
<file path=[Content_Types].xml><?xml version="1.0" encoding="utf-8"?>
<Types xmlns="http://schemas.openxmlformats.org/package/2006/content-types">
  <Default Extension="png" ContentType="image/png"/>
  <Default Extension="jpeg" ContentType="image/jpeg"/>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header3.xml" ContentType="application/vnd.openxmlformats-officedocument.wordprocessingml.header+xml"/>
  <Override PartName="/word/footer7.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57E1" w:rsidRDefault="00D957E1" w:rsidP="00D957E1">
      <w:pPr>
        <w:spacing w:line="226" w:lineRule="auto"/>
        <w:contextualSpacing/>
        <w:jc w:val="center"/>
        <w:rPr>
          <w:rFonts w:ascii="Times New Roman" w:hAnsi="Times New Roman"/>
          <w:b/>
          <w:color w:val="000000"/>
          <w:sz w:val="44"/>
          <w:szCs w:val="44"/>
        </w:rPr>
      </w:pPr>
      <w:r w:rsidRPr="00DD49EB">
        <w:rPr>
          <w:rFonts w:ascii="Times New Roman" w:hAnsi="Times New Roman"/>
          <w:b/>
          <w:color w:val="000000"/>
          <w:sz w:val="44"/>
          <w:szCs w:val="44"/>
        </w:rPr>
        <w:t xml:space="preserve">Оцінка людського </w:t>
      </w:r>
    </w:p>
    <w:p w:rsidR="00D957E1" w:rsidRPr="00D957E1" w:rsidRDefault="00D957E1" w:rsidP="00D957E1">
      <w:pPr>
        <w:spacing w:line="226" w:lineRule="auto"/>
        <w:contextualSpacing/>
        <w:jc w:val="center"/>
        <w:rPr>
          <w:rFonts w:ascii="Times New Roman" w:hAnsi="Times New Roman"/>
          <w:b/>
          <w:color w:val="000000"/>
          <w:sz w:val="44"/>
          <w:szCs w:val="44"/>
        </w:rPr>
      </w:pPr>
      <w:r w:rsidRPr="00DD49EB">
        <w:rPr>
          <w:rFonts w:ascii="Times New Roman" w:hAnsi="Times New Roman"/>
          <w:b/>
          <w:color w:val="000000"/>
          <w:sz w:val="44"/>
          <w:szCs w:val="44"/>
        </w:rPr>
        <w:t xml:space="preserve">потенціалу: регіональний </w:t>
      </w:r>
      <w:r w:rsidRPr="00D957E1">
        <w:rPr>
          <w:rFonts w:ascii="Times New Roman" w:hAnsi="Times New Roman"/>
          <w:b/>
          <w:color w:val="000000"/>
          <w:sz w:val="44"/>
          <w:szCs w:val="44"/>
        </w:rPr>
        <w:t>аналіз і пр</w:t>
      </w:r>
      <w:r w:rsidRPr="00D957E1">
        <w:rPr>
          <w:rFonts w:ascii="Times New Roman" w:hAnsi="Times New Roman"/>
          <w:b/>
          <w:color w:val="000000"/>
          <w:sz w:val="44"/>
          <w:szCs w:val="44"/>
        </w:rPr>
        <w:t>о</w:t>
      </w:r>
      <w:r w:rsidRPr="00D957E1">
        <w:rPr>
          <w:rFonts w:ascii="Times New Roman" w:hAnsi="Times New Roman"/>
          <w:b/>
          <w:color w:val="000000"/>
          <w:sz w:val="44"/>
          <w:szCs w:val="44"/>
        </w:rPr>
        <w:t>гноз</w:t>
      </w:r>
    </w:p>
    <w:p w:rsidR="00D957E1" w:rsidRPr="00D957E1" w:rsidRDefault="00D957E1" w:rsidP="00D957E1">
      <w:pPr>
        <w:spacing w:line="226" w:lineRule="auto"/>
        <w:contextualSpacing/>
        <w:rPr>
          <w:rFonts w:ascii="Times New Roman" w:hAnsi="Times New Roman"/>
          <w:color w:val="000000"/>
          <w:sz w:val="19"/>
          <w:szCs w:val="19"/>
        </w:rPr>
      </w:pPr>
    </w:p>
    <w:p w:rsidR="00D957E1" w:rsidRPr="00D957E1" w:rsidRDefault="00D957E1" w:rsidP="00D957E1">
      <w:pPr>
        <w:spacing w:line="226" w:lineRule="auto"/>
        <w:contextualSpacing/>
        <w:rPr>
          <w:rFonts w:ascii="Times New Roman" w:hAnsi="Times New Roman"/>
          <w:color w:val="000000"/>
          <w:sz w:val="19"/>
          <w:szCs w:val="19"/>
        </w:rPr>
      </w:pPr>
    </w:p>
    <w:p w:rsidR="00D957E1" w:rsidRPr="00D957E1" w:rsidRDefault="00D957E1" w:rsidP="00D957E1">
      <w:pPr>
        <w:spacing w:line="226" w:lineRule="auto"/>
        <w:contextualSpacing/>
        <w:rPr>
          <w:rFonts w:ascii="Times New Roman" w:hAnsi="Times New Roman"/>
          <w:color w:val="000000"/>
          <w:sz w:val="19"/>
          <w:szCs w:val="19"/>
        </w:rPr>
      </w:pPr>
    </w:p>
    <w:p w:rsidR="00D957E1" w:rsidRPr="00D957E1" w:rsidRDefault="00D957E1" w:rsidP="00D957E1">
      <w:pPr>
        <w:spacing w:line="226" w:lineRule="auto"/>
        <w:contextualSpacing/>
        <w:rPr>
          <w:rFonts w:ascii="Times New Roman" w:hAnsi="Times New Roman"/>
          <w:color w:val="000000"/>
          <w:sz w:val="19"/>
          <w:szCs w:val="19"/>
        </w:rPr>
      </w:pPr>
    </w:p>
    <w:p w:rsidR="00D957E1" w:rsidRPr="00D957E1" w:rsidRDefault="00D957E1" w:rsidP="00D957E1">
      <w:pPr>
        <w:spacing w:line="226" w:lineRule="auto"/>
        <w:contextualSpacing/>
        <w:rPr>
          <w:rFonts w:ascii="Times New Roman" w:hAnsi="Times New Roman"/>
          <w:color w:val="000000"/>
          <w:sz w:val="19"/>
          <w:szCs w:val="19"/>
        </w:rPr>
      </w:pPr>
    </w:p>
    <w:p w:rsidR="00D957E1" w:rsidRPr="00D957E1" w:rsidRDefault="00D957E1" w:rsidP="00D957E1">
      <w:pPr>
        <w:spacing w:line="226" w:lineRule="auto"/>
        <w:contextualSpacing/>
        <w:rPr>
          <w:rFonts w:ascii="Times New Roman" w:hAnsi="Times New Roman"/>
          <w:color w:val="000000"/>
          <w:sz w:val="19"/>
          <w:szCs w:val="19"/>
        </w:rPr>
      </w:pPr>
    </w:p>
    <w:p w:rsidR="00D957E1" w:rsidRPr="00D957E1" w:rsidRDefault="00D957E1" w:rsidP="00D957E1">
      <w:pPr>
        <w:spacing w:line="226" w:lineRule="auto"/>
        <w:contextualSpacing/>
        <w:rPr>
          <w:rFonts w:ascii="Times New Roman" w:hAnsi="Times New Roman"/>
          <w:color w:val="000000"/>
          <w:sz w:val="19"/>
          <w:szCs w:val="19"/>
        </w:rPr>
      </w:pPr>
    </w:p>
    <w:p w:rsidR="00D957E1" w:rsidRPr="00D957E1" w:rsidRDefault="00D957E1" w:rsidP="00D957E1">
      <w:pPr>
        <w:spacing w:line="226" w:lineRule="auto"/>
        <w:contextualSpacing/>
        <w:rPr>
          <w:rFonts w:ascii="Times New Roman" w:hAnsi="Times New Roman"/>
          <w:color w:val="000000"/>
          <w:sz w:val="19"/>
          <w:szCs w:val="19"/>
        </w:rPr>
      </w:pPr>
    </w:p>
    <w:p w:rsidR="00D957E1" w:rsidRPr="00D957E1" w:rsidRDefault="00D957E1" w:rsidP="00D957E1">
      <w:pPr>
        <w:spacing w:line="226" w:lineRule="auto"/>
        <w:contextualSpacing/>
        <w:rPr>
          <w:rFonts w:ascii="Times New Roman" w:hAnsi="Times New Roman"/>
          <w:color w:val="000000"/>
          <w:sz w:val="19"/>
          <w:szCs w:val="19"/>
        </w:rPr>
      </w:pPr>
    </w:p>
    <w:p w:rsidR="00D957E1" w:rsidRPr="00D957E1" w:rsidRDefault="00D957E1" w:rsidP="00D957E1">
      <w:pPr>
        <w:spacing w:line="226" w:lineRule="auto"/>
        <w:contextualSpacing/>
        <w:rPr>
          <w:rFonts w:ascii="Times New Roman" w:hAnsi="Times New Roman"/>
          <w:color w:val="000000"/>
          <w:sz w:val="19"/>
          <w:szCs w:val="19"/>
        </w:rPr>
      </w:pPr>
    </w:p>
    <w:p w:rsidR="00D957E1" w:rsidRPr="00D957E1" w:rsidRDefault="00D957E1" w:rsidP="00D957E1">
      <w:pPr>
        <w:spacing w:line="226" w:lineRule="auto"/>
        <w:contextualSpacing/>
        <w:jc w:val="right"/>
        <w:rPr>
          <w:rFonts w:ascii="Times New Roman" w:hAnsi="Times New Roman"/>
          <w:color w:val="000000"/>
          <w:sz w:val="19"/>
          <w:szCs w:val="19"/>
        </w:rPr>
      </w:pPr>
      <w:r w:rsidRPr="00D957E1">
        <w:rPr>
          <w:rFonts w:ascii="Times New Roman" w:hAnsi="Times New Roman"/>
          <w:color w:val="000000"/>
          <w:sz w:val="19"/>
          <w:szCs w:val="19"/>
        </w:rPr>
        <w:t>За науковою редакцією</w:t>
      </w:r>
    </w:p>
    <w:p w:rsidR="00D957E1" w:rsidRPr="00D957E1" w:rsidRDefault="00D957E1" w:rsidP="00D957E1">
      <w:pPr>
        <w:spacing w:line="226" w:lineRule="auto"/>
        <w:contextualSpacing/>
        <w:jc w:val="right"/>
        <w:rPr>
          <w:rFonts w:ascii="Times New Roman" w:hAnsi="Times New Roman"/>
          <w:color w:val="000000"/>
          <w:sz w:val="19"/>
          <w:szCs w:val="19"/>
        </w:rPr>
      </w:pPr>
      <w:r w:rsidRPr="00D957E1">
        <w:rPr>
          <w:rFonts w:ascii="Times New Roman" w:hAnsi="Times New Roman"/>
          <w:color w:val="000000"/>
          <w:sz w:val="19"/>
          <w:szCs w:val="19"/>
        </w:rPr>
        <w:t>д.е.н., проф. Нижника В. М.</w:t>
      </w:r>
    </w:p>
    <w:p w:rsidR="00D957E1" w:rsidRPr="00D957E1" w:rsidRDefault="00D957E1" w:rsidP="00D957E1">
      <w:pPr>
        <w:spacing w:line="226" w:lineRule="auto"/>
        <w:contextualSpacing/>
        <w:jc w:val="right"/>
        <w:rPr>
          <w:rFonts w:ascii="Times New Roman" w:hAnsi="Times New Roman"/>
          <w:color w:val="000000"/>
          <w:sz w:val="19"/>
          <w:szCs w:val="19"/>
        </w:rPr>
      </w:pPr>
    </w:p>
    <w:p w:rsidR="00D957E1" w:rsidRPr="00D957E1" w:rsidRDefault="00D957E1" w:rsidP="00D957E1">
      <w:pPr>
        <w:spacing w:line="226" w:lineRule="auto"/>
        <w:contextualSpacing/>
        <w:rPr>
          <w:rFonts w:ascii="Times New Roman" w:hAnsi="Times New Roman"/>
          <w:color w:val="000000"/>
          <w:sz w:val="19"/>
          <w:szCs w:val="19"/>
        </w:rPr>
      </w:pPr>
    </w:p>
    <w:p w:rsidR="00D957E1" w:rsidRPr="00D957E1" w:rsidRDefault="00D957E1" w:rsidP="00D957E1">
      <w:pPr>
        <w:spacing w:line="226" w:lineRule="auto"/>
        <w:contextualSpacing/>
        <w:rPr>
          <w:rFonts w:ascii="Times New Roman" w:hAnsi="Times New Roman"/>
          <w:color w:val="000000"/>
          <w:sz w:val="19"/>
          <w:szCs w:val="19"/>
        </w:rPr>
      </w:pPr>
    </w:p>
    <w:p w:rsidR="00D957E1" w:rsidRPr="00D957E1" w:rsidRDefault="00D957E1" w:rsidP="00D957E1">
      <w:pPr>
        <w:spacing w:line="226" w:lineRule="auto"/>
        <w:contextualSpacing/>
        <w:rPr>
          <w:rFonts w:ascii="Times New Roman" w:hAnsi="Times New Roman"/>
          <w:color w:val="000000"/>
          <w:sz w:val="19"/>
          <w:szCs w:val="19"/>
        </w:rPr>
      </w:pPr>
    </w:p>
    <w:p w:rsidR="00D957E1" w:rsidRPr="00D957E1" w:rsidRDefault="00D957E1" w:rsidP="00D957E1">
      <w:pPr>
        <w:spacing w:line="226" w:lineRule="auto"/>
        <w:contextualSpacing/>
        <w:rPr>
          <w:rFonts w:ascii="Times New Roman" w:hAnsi="Times New Roman"/>
          <w:color w:val="000000"/>
          <w:sz w:val="19"/>
          <w:szCs w:val="19"/>
        </w:rPr>
      </w:pPr>
    </w:p>
    <w:p w:rsidR="00D957E1" w:rsidRPr="00D957E1" w:rsidRDefault="00D957E1" w:rsidP="00D957E1">
      <w:pPr>
        <w:spacing w:line="226" w:lineRule="auto"/>
        <w:contextualSpacing/>
        <w:rPr>
          <w:rFonts w:ascii="Times New Roman" w:hAnsi="Times New Roman"/>
          <w:color w:val="000000"/>
          <w:sz w:val="19"/>
          <w:szCs w:val="19"/>
        </w:rPr>
      </w:pPr>
    </w:p>
    <w:p w:rsidR="00D957E1" w:rsidRPr="00D957E1" w:rsidRDefault="00D957E1" w:rsidP="00D957E1">
      <w:pPr>
        <w:spacing w:line="226" w:lineRule="auto"/>
        <w:contextualSpacing/>
        <w:rPr>
          <w:rFonts w:ascii="Times New Roman" w:hAnsi="Times New Roman"/>
          <w:color w:val="000000"/>
          <w:sz w:val="19"/>
          <w:szCs w:val="19"/>
        </w:rPr>
      </w:pPr>
    </w:p>
    <w:p w:rsidR="00D957E1" w:rsidRPr="00D957E1" w:rsidRDefault="00D957E1" w:rsidP="00D957E1">
      <w:pPr>
        <w:spacing w:line="226" w:lineRule="auto"/>
        <w:contextualSpacing/>
        <w:rPr>
          <w:rFonts w:ascii="Times New Roman" w:hAnsi="Times New Roman"/>
          <w:color w:val="000000"/>
          <w:sz w:val="19"/>
          <w:szCs w:val="19"/>
        </w:rPr>
      </w:pPr>
    </w:p>
    <w:p w:rsidR="00D957E1" w:rsidRPr="00D957E1" w:rsidRDefault="00D957E1" w:rsidP="00D957E1">
      <w:pPr>
        <w:spacing w:line="226" w:lineRule="auto"/>
        <w:contextualSpacing/>
        <w:rPr>
          <w:rFonts w:ascii="Times New Roman" w:hAnsi="Times New Roman"/>
          <w:color w:val="000000"/>
          <w:sz w:val="19"/>
          <w:szCs w:val="19"/>
        </w:rPr>
      </w:pPr>
    </w:p>
    <w:p w:rsidR="00D957E1" w:rsidRPr="00D957E1" w:rsidRDefault="00D957E1" w:rsidP="00D957E1">
      <w:pPr>
        <w:spacing w:line="226" w:lineRule="auto"/>
        <w:contextualSpacing/>
        <w:rPr>
          <w:rFonts w:ascii="Times New Roman" w:hAnsi="Times New Roman"/>
          <w:color w:val="000000"/>
          <w:sz w:val="19"/>
          <w:szCs w:val="19"/>
        </w:rPr>
      </w:pPr>
    </w:p>
    <w:p w:rsidR="00D957E1" w:rsidRPr="00D957E1" w:rsidRDefault="00D957E1" w:rsidP="00D957E1">
      <w:pPr>
        <w:spacing w:line="226" w:lineRule="auto"/>
        <w:contextualSpacing/>
        <w:jc w:val="center"/>
        <w:rPr>
          <w:rFonts w:ascii="Times New Roman" w:hAnsi="Times New Roman"/>
          <w:color w:val="000000"/>
          <w:sz w:val="19"/>
          <w:szCs w:val="19"/>
        </w:rPr>
      </w:pPr>
      <w:r w:rsidRPr="00D957E1">
        <w:rPr>
          <w:rFonts w:ascii="Times New Roman" w:hAnsi="Times New Roman"/>
          <w:color w:val="000000"/>
          <w:sz w:val="19"/>
          <w:szCs w:val="19"/>
        </w:rPr>
        <w:t>Хмельницький-2015</w:t>
      </w:r>
    </w:p>
    <w:p w:rsidR="00D957E1" w:rsidRPr="00D957E1" w:rsidRDefault="00D957E1" w:rsidP="00D957E1">
      <w:pPr>
        <w:spacing w:line="226" w:lineRule="auto"/>
        <w:contextualSpacing/>
        <w:rPr>
          <w:rFonts w:ascii="Times New Roman" w:hAnsi="Times New Roman"/>
          <w:color w:val="000000"/>
          <w:sz w:val="19"/>
          <w:szCs w:val="19"/>
        </w:rPr>
      </w:pPr>
      <w:r w:rsidRPr="00D957E1">
        <w:rPr>
          <w:rFonts w:ascii="Times New Roman" w:hAnsi="Times New Roman"/>
          <w:color w:val="000000"/>
          <w:sz w:val="19"/>
          <w:szCs w:val="19"/>
        </w:rPr>
        <w:br w:type="page"/>
      </w:r>
      <w:r w:rsidRPr="00D957E1">
        <w:rPr>
          <w:rFonts w:ascii="Times New Roman" w:hAnsi="Times New Roman"/>
          <w:color w:val="000000"/>
          <w:sz w:val="19"/>
          <w:szCs w:val="19"/>
        </w:rPr>
        <w:lastRenderedPageBreak/>
        <w:t>УДК 65.018</w:t>
      </w:r>
    </w:p>
    <w:p w:rsidR="00D957E1" w:rsidRPr="00D957E1" w:rsidRDefault="00D957E1" w:rsidP="00D957E1">
      <w:pPr>
        <w:spacing w:line="226" w:lineRule="auto"/>
        <w:contextualSpacing/>
        <w:rPr>
          <w:rFonts w:ascii="Times New Roman" w:hAnsi="Times New Roman"/>
          <w:color w:val="000000"/>
          <w:spacing w:val="14"/>
          <w:sz w:val="19"/>
          <w:szCs w:val="19"/>
        </w:rPr>
      </w:pPr>
      <w:r w:rsidRPr="00D957E1">
        <w:rPr>
          <w:rFonts w:ascii="Times New Roman" w:hAnsi="Times New Roman"/>
          <w:color w:val="000000"/>
          <w:spacing w:val="14"/>
          <w:sz w:val="19"/>
          <w:szCs w:val="19"/>
        </w:rPr>
        <w:t>ББК 65.9(2)49</w:t>
      </w:r>
    </w:p>
    <w:p w:rsidR="00D957E1" w:rsidRPr="00D957E1" w:rsidRDefault="00D957E1" w:rsidP="00D957E1">
      <w:pPr>
        <w:spacing w:line="226" w:lineRule="auto"/>
        <w:ind w:firstLine="462"/>
        <w:contextualSpacing/>
        <w:rPr>
          <w:rFonts w:ascii="Times New Roman" w:hAnsi="Times New Roman"/>
          <w:color w:val="000000"/>
          <w:sz w:val="19"/>
          <w:szCs w:val="19"/>
        </w:rPr>
      </w:pPr>
      <w:r w:rsidRPr="00D957E1">
        <w:rPr>
          <w:rFonts w:ascii="Times New Roman" w:hAnsi="Times New Roman"/>
          <w:color w:val="000000"/>
          <w:sz w:val="19"/>
          <w:szCs w:val="19"/>
        </w:rPr>
        <w:t>М55</w:t>
      </w:r>
    </w:p>
    <w:p w:rsidR="00D957E1" w:rsidRPr="00D957E1" w:rsidRDefault="00D957E1" w:rsidP="00D957E1">
      <w:pPr>
        <w:spacing w:line="226" w:lineRule="auto"/>
        <w:contextualSpacing/>
        <w:jc w:val="center"/>
        <w:rPr>
          <w:rFonts w:ascii="Times New Roman" w:hAnsi="Times New Roman"/>
          <w:i/>
          <w:sz w:val="19"/>
          <w:szCs w:val="19"/>
        </w:rPr>
      </w:pPr>
      <w:r w:rsidRPr="00D957E1">
        <w:rPr>
          <w:rFonts w:ascii="Times New Roman" w:hAnsi="Times New Roman"/>
          <w:bCs/>
          <w:i/>
          <w:sz w:val="19"/>
          <w:szCs w:val="19"/>
        </w:rPr>
        <w:t xml:space="preserve">Рекомендовано до друку </w:t>
      </w:r>
      <w:r w:rsidRPr="00D957E1">
        <w:rPr>
          <w:rFonts w:ascii="Times New Roman" w:hAnsi="Times New Roman"/>
          <w:i/>
          <w:sz w:val="19"/>
          <w:szCs w:val="19"/>
        </w:rPr>
        <w:t xml:space="preserve">Вченою радою </w:t>
      </w:r>
    </w:p>
    <w:p w:rsidR="00D957E1" w:rsidRPr="00D957E1" w:rsidRDefault="00D957E1" w:rsidP="00D957E1">
      <w:pPr>
        <w:spacing w:line="226" w:lineRule="auto"/>
        <w:contextualSpacing/>
        <w:jc w:val="center"/>
        <w:rPr>
          <w:rFonts w:ascii="Times New Roman" w:hAnsi="Times New Roman"/>
          <w:i/>
          <w:sz w:val="19"/>
          <w:szCs w:val="19"/>
        </w:rPr>
      </w:pPr>
      <w:r w:rsidRPr="00D957E1">
        <w:rPr>
          <w:rFonts w:ascii="Times New Roman" w:hAnsi="Times New Roman"/>
          <w:i/>
          <w:sz w:val="19"/>
          <w:szCs w:val="19"/>
        </w:rPr>
        <w:t>Хмельницького національного університету</w:t>
      </w:r>
      <w:r w:rsidRPr="00D957E1">
        <w:rPr>
          <w:rFonts w:ascii="Times New Roman" w:hAnsi="Times New Roman"/>
          <w:sz w:val="19"/>
          <w:szCs w:val="19"/>
        </w:rPr>
        <w:t>,</w:t>
      </w:r>
    </w:p>
    <w:p w:rsidR="00D957E1" w:rsidRPr="00D957E1" w:rsidRDefault="00D957E1" w:rsidP="00D957E1">
      <w:pPr>
        <w:spacing w:line="226" w:lineRule="auto"/>
        <w:contextualSpacing/>
        <w:jc w:val="center"/>
        <w:rPr>
          <w:rFonts w:ascii="Times New Roman" w:hAnsi="Times New Roman"/>
          <w:i/>
          <w:sz w:val="19"/>
          <w:szCs w:val="19"/>
        </w:rPr>
      </w:pPr>
      <w:r w:rsidRPr="00D957E1">
        <w:rPr>
          <w:rFonts w:ascii="Times New Roman" w:hAnsi="Times New Roman"/>
          <w:i/>
          <w:sz w:val="19"/>
          <w:szCs w:val="19"/>
        </w:rPr>
        <w:t>протокол № 4 від 26.11.2015 р.</w:t>
      </w:r>
    </w:p>
    <w:p w:rsidR="00D957E1" w:rsidRPr="00D957E1" w:rsidRDefault="00D957E1" w:rsidP="00D957E1">
      <w:pPr>
        <w:spacing w:line="226" w:lineRule="auto"/>
        <w:contextualSpacing/>
        <w:jc w:val="center"/>
        <w:rPr>
          <w:rFonts w:ascii="Times New Roman" w:hAnsi="Times New Roman"/>
          <w:i/>
          <w:sz w:val="19"/>
          <w:szCs w:val="19"/>
        </w:rPr>
      </w:pPr>
    </w:p>
    <w:p w:rsidR="00D957E1" w:rsidRPr="00D957E1" w:rsidRDefault="00D957E1" w:rsidP="00D957E1">
      <w:pPr>
        <w:widowControl w:val="0"/>
        <w:spacing w:line="226" w:lineRule="auto"/>
        <w:jc w:val="center"/>
        <w:rPr>
          <w:rFonts w:ascii="Times New Roman" w:hAnsi="Times New Roman"/>
          <w:sz w:val="10"/>
          <w:szCs w:val="10"/>
        </w:rPr>
      </w:pPr>
      <w:r w:rsidRPr="00D957E1">
        <w:rPr>
          <w:rFonts w:ascii="Times New Roman" w:hAnsi="Times New Roman"/>
          <w:b/>
          <w:i/>
          <w:sz w:val="19"/>
          <w:szCs w:val="19"/>
        </w:rPr>
        <w:t>Авторський колектив</w:t>
      </w:r>
      <w:r w:rsidRPr="00D957E1">
        <w:rPr>
          <w:rFonts w:ascii="Times New Roman" w:hAnsi="Times New Roman"/>
          <w:sz w:val="19"/>
          <w:szCs w:val="19"/>
        </w:rPr>
        <w:t>:</w:t>
      </w:r>
    </w:p>
    <w:p w:rsidR="00D957E1" w:rsidRPr="00D957E1" w:rsidRDefault="00D957E1" w:rsidP="00D957E1">
      <w:pPr>
        <w:spacing w:line="226" w:lineRule="auto"/>
        <w:jc w:val="center"/>
        <w:rPr>
          <w:rFonts w:ascii="Times New Roman" w:hAnsi="Times New Roman"/>
          <w:b/>
          <w:i/>
          <w:sz w:val="10"/>
          <w:szCs w:val="10"/>
        </w:rPr>
      </w:pPr>
    </w:p>
    <w:p w:rsidR="00D957E1" w:rsidRPr="00D957E1" w:rsidRDefault="00D957E1" w:rsidP="00D957E1">
      <w:pPr>
        <w:widowControl w:val="0"/>
        <w:spacing w:line="226" w:lineRule="auto"/>
        <w:contextualSpacing/>
        <w:jc w:val="center"/>
        <w:rPr>
          <w:rFonts w:ascii="Times New Roman" w:hAnsi="Times New Roman"/>
          <w:spacing w:val="-4"/>
          <w:sz w:val="18"/>
          <w:szCs w:val="18"/>
        </w:rPr>
      </w:pPr>
      <w:r w:rsidRPr="00D957E1">
        <w:rPr>
          <w:rFonts w:ascii="Times New Roman" w:hAnsi="Times New Roman"/>
          <w:i/>
          <w:sz w:val="18"/>
          <w:szCs w:val="18"/>
        </w:rPr>
        <w:t>Нижник В. М.</w:t>
      </w:r>
      <w:r w:rsidRPr="00D957E1">
        <w:rPr>
          <w:rFonts w:ascii="Times New Roman" w:hAnsi="Times New Roman"/>
          <w:sz w:val="18"/>
          <w:szCs w:val="18"/>
        </w:rPr>
        <w:t>, д-р екон. наук, проф.</w:t>
      </w:r>
      <w:r w:rsidRPr="00D957E1">
        <w:rPr>
          <w:rFonts w:ascii="Times New Roman" w:hAnsi="Times New Roman"/>
          <w:i/>
          <w:sz w:val="18"/>
          <w:szCs w:val="18"/>
        </w:rPr>
        <w:t xml:space="preserve"> </w:t>
      </w:r>
      <w:r w:rsidRPr="00D957E1">
        <w:rPr>
          <w:rFonts w:ascii="Times New Roman" w:hAnsi="Times New Roman"/>
          <w:sz w:val="18"/>
          <w:szCs w:val="18"/>
        </w:rPr>
        <w:t xml:space="preserve">(вступ, розд. 2); </w:t>
      </w:r>
      <w:r w:rsidRPr="00D957E1">
        <w:rPr>
          <w:rFonts w:ascii="Times New Roman" w:hAnsi="Times New Roman"/>
          <w:i/>
          <w:sz w:val="18"/>
          <w:szCs w:val="18"/>
        </w:rPr>
        <w:t>Мартинова Л. Б</w:t>
      </w:r>
      <w:r w:rsidRPr="00D957E1">
        <w:rPr>
          <w:rFonts w:ascii="Times New Roman" w:hAnsi="Times New Roman"/>
          <w:sz w:val="18"/>
          <w:szCs w:val="18"/>
        </w:rPr>
        <w:t xml:space="preserve">., канд. екон. наук, доц. (розд. 1); </w:t>
      </w:r>
      <w:r w:rsidRPr="00D957E1">
        <w:rPr>
          <w:rFonts w:ascii="Times New Roman" w:hAnsi="Times New Roman"/>
          <w:i/>
          <w:spacing w:val="-4"/>
          <w:sz w:val="18"/>
          <w:szCs w:val="18"/>
        </w:rPr>
        <w:t>Зуб М. Я.</w:t>
      </w:r>
      <w:r w:rsidRPr="00D957E1">
        <w:rPr>
          <w:rFonts w:ascii="Times New Roman" w:hAnsi="Times New Roman"/>
          <w:spacing w:val="-4"/>
          <w:sz w:val="18"/>
          <w:szCs w:val="18"/>
        </w:rPr>
        <w:t xml:space="preserve">, канд. екон. наук (розд. 3); </w:t>
      </w:r>
      <w:r w:rsidRPr="00D957E1">
        <w:rPr>
          <w:rFonts w:ascii="Times New Roman" w:hAnsi="Times New Roman"/>
          <w:i/>
          <w:spacing w:val="-4"/>
          <w:sz w:val="18"/>
          <w:szCs w:val="18"/>
        </w:rPr>
        <w:t>Курій Л. О.</w:t>
      </w:r>
      <w:r w:rsidRPr="00D957E1">
        <w:rPr>
          <w:rFonts w:ascii="Times New Roman" w:hAnsi="Times New Roman"/>
          <w:spacing w:val="-4"/>
          <w:sz w:val="18"/>
          <w:szCs w:val="18"/>
        </w:rPr>
        <w:t xml:space="preserve">, канд. екон. наук (розд. 1, розд. 4); </w:t>
      </w:r>
      <w:r w:rsidRPr="00D957E1">
        <w:rPr>
          <w:rFonts w:ascii="Times New Roman" w:hAnsi="Times New Roman"/>
          <w:i/>
          <w:sz w:val="18"/>
          <w:szCs w:val="18"/>
        </w:rPr>
        <w:t>Подра О. П.</w:t>
      </w:r>
      <w:r w:rsidRPr="00D957E1">
        <w:rPr>
          <w:rFonts w:ascii="Times New Roman" w:hAnsi="Times New Roman"/>
          <w:sz w:val="18"/>
          <w:szCs w:val="18"/>
        </w:rPr>
        <w:t xml:space="preserve">, канд. екон. наук </w:t>
      </w:r>
      <w:r w:rsidRPr="00D957E1">
        <w:rPr>
          <w:rFonts w:ascii="Times New Roman" w:hAnsi="Times New Roman"/>
          <w:spacing w:val="-4"/>
          <w:sz w:val="18"/>
          <w:szCs w:val="18"/>
        </w:rPr>
        <w:t>(розд. 3);</w:t>
      </w:r>
    </w:p>
    <w:p w:rsidR="00D957E1" w:rsidRPr="00D957E1" w:rsidRDefault="00D957E1" w:rsidP="00D957E1">
      <w:pPr>
        <w:widowControl w:val="0"/>
        <w:spacing w:line="226" w:lineRule="auto"/>
        <w:contextualSpacing/>
        <w:jc w:val="center"/>
        <w:rPr>
          <w:rFonts w:ascii="Times New Roman" w:hAnsi="Times New Roman"/>
          <w:sz w:val="18"/>
          <w:szCs w:val="18"/>
        </w:rPr>
      </w:pPr>
      <w:r w:rsidRPr="00D957E1">
        <w:rPr>
          <w:rFonts w:ascii="Times New Roman" w:hAnsi="Times New Roman"/>
          <w:i/>
          <w:spacing w:val="-4"/>
          <w:sz w:val="18"/>
          <w:szCs w:val="18"/>
        </w:rPr>
        <w:t>Рижа Т. В.</w:t>
      </w:r>
      <w:r w:rsidRPr="00D957E1">
        <w:rPr>
          <w:rFonts w:ascii="Times New Roman" w:hAnsi="Times New Roman"/>
          <w:spacing w:val="-4"/>
          <w:sz w:val="18"/>
          <w:szCs w:val="18"/>
        </w:rPr>
        <w:t xml:space="preserve">, канд. екон. наук (розд. </w:t>
      </w:r>
      <w:r w:rsidRPr="00D957E1">
        <w:rPr>
          <w:rFonts w:ascii="Times New Roman" w:hAnsi="Times New Roman"/>
          <w:spacing w:val="-4"/>
          <w:sz w:val="18"/>
          <w:szCs w:val="18"/>
          <w:lang w:val="ru-RU"/>
        </w:rPr>
        <w:t>7</w:t>
      </w:r>
      <w:r w:rsidRPr="00D957E1">
        <w:rPr>
          <w:rFonts w:ascii="Times New Roman" w:hAnsi="Times New Roman"/>
          <w:spacing w:val="-4"/>
          <w:sz w:val="18"/>
          <w:szCs w:val="18"/>
        </w:rPr>
        <w:t>);</w:t>
      </w:r>
      <w:r w:rsidRPr="00D957E1">
        <w:rPr>
          <w:rFonts w:ascii="Times New Roman" w:hAnsi="Times New Roman"/>
          <w:sz w:val="18"/>
          <w:szCs w:val="18"/>
        </w:rPr>
        <w:t xml:space="preserve">  </w:t>
      </w:r>
      <w:r w:rsidRPr="00D957E1">
        <w:rPr>
          <w:rFonts w:ascii="Times New Roman" w:hAnsi="Times New Roman"/>
          <w:i/>
          <w:sz w:val="18"/>
          <w:szCs w:val="18"/>
        </w:rPr>
        <w:t>Родінова І. В.</w:t>
      </w:r>
      <w:r w:rsidRPr="00D957E1">
        <w:rPr>
          <w:rFonts w:ascii="Times New Roman" w:hAnsi="Times New Roman"/>
          <w:sz w:val="18"/>
          <w:szCs w:val="18"/>
        </w:rPr>
        <w:t>, канд. екон. наук</w:t>
      </w:r>
      <w:r w:rsidRPr="00D957E1">
        <w:rPr>
          <w:rFonts w:ascii="Times New Roman" w:hAnsi="Times New Roman"/>
          <w:sz w:val="18"/>
          <w:szCs w:val="18"/>
          <w:lang w:val="ru-RU"/>
        </w:rPr>
        <w:t xml:space="preserve">, доц. </w:t>
      </w:r>
      <w:r w:rsidRPr="00D957E1">
        <w:rPr>
          <w:rFonts w:ascii="Times New Roman" w:hAnsi="Times New Roman"/>
          <w:sz w:val="18"/>
          <w:szCs w:val="18"/>
        </w:rPr>
        <w:t xml:space="preserve">(розд. 7); </w:t>
      </w:r>
      <w:r w:rsidRPr="00D957E1">
        <w:rPr>
          <w:rFonts w:ascii="Times New Roman" w:hAnsi="Times New Roman"/>
          <w:i/>
          <w:sz w:val="18"/>
          <w:szCs w:val="18"/>
        </w:rPr>
        <w:t>Нижник Т. Т.</w:t>
      </w:r>
      <w:r w:rsidRPr="00D957E1">
        <w:rPr>
          <w:rFonts w:ascii="Times New Roman" w:hAnsi="Times New Roman"/>
          <w:sz w:val="18"/>
          <w:szCs w:val="18"/>
        </w:rPr>
        <w:t xml:space="preserve">, наук. співроб. (розд. 7); </w:t>
      </w:r>
      <w:r w:rsidRPr="00D957E1">
        <w:rPr>
          <w:rFonts w:ascii="Times New Roman" w:hAnsi="Times New Roman"/>
          <w:i/>
          <w:sz w:val="18"/>
          <w:szCs w:val="18"/>
        </w:rPr>
        <w:t>Говорко О. В.</w:t>
      </w:r>
      <w:r w:rsidRPr="00D957E1">
        <w:rPr>
          <w:rFonts w:ascii="Times New Roman" w:hAnsi="Times New Roman"/>
          <w:sz w:val="18"/>
          <w:szCs w:val="18"/>
        </w:rPr>
        <w:t>, мол. наук. спі</w:t>
      </w:r>
      <w:r w:rsidRPr="00D957E1">
        <w:rPr>
          <w:rFonts w:ascii="Times New Roman" w:hAnsi="Times New Roman"/>
          <w:sz w:val="18"/>
          <w:szCs w:val="18"/>
        </w:rPr>
        <w:t>в</w:t>
      </w:r>
      <w:r w:rsidRPr="00D957E1">
        <w:rPr>
          <w:rFonts w:ascii="Times New Roman" w:hAnsi="Times New Roman"/>
          <w:sz w:val="18"/>
          <w:szCs w:val="18"/>
        </w:rPr>
        <w:t xml:space="preserve">роб. (розд. 2); </w:t>
      </w:r>
      <w:r w:rsidRPr="00D957E1">
        <w:rPr>
          <w:rFonts w:ascii="Times New Roman" w:hAnsi="Times New Roman"/>
          <w:i/>
          <w:sz w:val="18"/>
          <w:szCs w:val="18"/>
        </w:rPr>
        <w:t>Дзюба Т. З.</w:t>
      </w:r>
      <w:r w:rsidRPr="00D957E1">
        <w:rPr>
          <w:rFonts w:ascii="Times New Roman" w:hAnsi="Times New Roman"/>
          <w:sz w:val="18"/>
          <w:szCs w:val="18"/>
        </w:rPr>
        <w:t xml:space="preserve">, мол. наук. співроб. (розд. 4); </w:t>
      </w:r>
      <w:r w:rsidRPr="00D957E1">
        <w:rPr>
          <w:rFonts w:ascii="Times New Roman" w:hAnsi="Times New Roman"/>
          <w:i/>
          <w:sz w:val="18"/>
          <w:szCs w:val="18"/>
        </w:rPr>
        <w:t>Оверчук В. А.</w:t>
      </w:r>
      <w:r w:rsidRPr="00D957E1">
        <w:rPr>
          <w:rFonts w:ascii="Times New Roman" w:hAnsi="Times New Roman"/>
          <w:sz w:val="18"/>
          <w:szCs w:val="18"/>
        </w:rPr>
        <w:t xml:space="preserve">, мол. наук. співроб. (розд. 5); </w:t>
      </w:r>
      <w:r w:rsidRPr="00D957E1">
        <w:rPr>
          <w:rFonts w:ascii="Times New Roman" w:hAnsi="Times New Roman"/>
          <w:i/>
          <w:sz w:val="18"/>
          <w:szCs w:val="18"/>
        </w:rPr>
        <w:t>Оксенюк Т. М.</w:t>
      </w:r>
      <w:r w:rsidRPr="00D957E1">
        <w:rPr>
          <w:rFonts w:ascii="Times New Roman" w:hAnsi="Times New Roman"/>
          <w:sz w:val="18"/>
          <w:szCs w:val="18"/>
        </w:rPr>
        <w:t xml:space="preserve">, мол. наук. співроб. (розд. 6); </w:t>
      </w:r>
    </w:p>
    <w:p w:rsidR="00D957E1" w:rsidRPr="00D957E1" w:rsidRDefault="00D957E1" w:rsidP="00D957E1">
      <w:pPr>
        <w:widowControl w:val="0"/>
        <w:spacing w:line="226" w:lineRule="auto"/>
        <w:contextualSpacing/>
        <w:jc w:val="center"/>
        <w:rPr>
          <w:rFonts w:ascii="Times New Roman" w:hAnsi="Times New Roman"/>
          <w:sz w:val="18"/>
          <w:szCs w:val="18"/>
        </w:rPr>
      </w:pPr>
      <w:r w:rsidRPr="00D957E1">
        <w:rPr>
          <w:rFonts w:ascii="Times New Roman" w:hAnsi="Times New Roman"/>
          <w:i/>
          <w:sz w:val="18"/>
          <w:szCs w:val="18"/>
        </w:rPr>
        <w:t>Осіпова А. Ю.</w:t>
      </w:r>
      <w:r w:rsidRPr="00D957E1">
        <w:rPr>
          <w:rFonts w:ascii="Times New Roman" w:hAnsi="Times New Roman"/>
          <w:sz w:val="18"/>
          <w:szCs w:val="18"/>
        </w:rPr>
        <w:t xml:space="preserve">, мол. наук. співроб. (розд. 4); </w:t>
      </w:r>
      <w:r w:rsidRPr="00D957E1">
        <w:rPr>
          <w:rFonts w:ascii="Times New Roman" w:hAnsi="Times New Roman"/>
          <w:i/>
          <w:sz w:val="18"/>
          <w:szCs w:val="18"/>
        </w:rPr>
        <w:t>Федоришина І. В.</w:t>
      </w:r>
      <w:r w:rsidRPr="00D957E1">
        <w:rPr>
          <w:rFonts w:ascii="Times New Roman" w:hAnsi="Times New Roman"/>
          <w:sz w:val="18"/>
          <w:szCs w:val="18"/>
        </w:rPr>
        <w:t>, мол. наук. спі</w:t>
      </w:r>
      <w:r w:rsidRPr="00D957E1">
        <w:rPr>
          <w:rFonts w:ascii="Times New Roman" w:hAnsi="Times New Roman"/>
          <w:sz w:val="18"/>
          <w:szCs w:val="18"/>
        </w:rPr>
        <w:t>в</w:t>
      </w:r>
      <w:r w:rsidRPr="00D957E1">
        <w:rPr>
          <w:rFonts w:ascii="Times New Roman" w:hAnsi="Times New Roman"/>
          <w:sz w:val="18"/>
          <w:szCs w:val="18"/>
        </w:rPr>
        <w:t xml:space="preserve">роб. (розд. 5); </w:t>
      </w:r>
      <w:r w:rsidRPr="00D957E1">
        <w:rPr>
          <w:rFonts w:ascii="Times New Roman" w:hAnsi="Times New Roman"/>
          <w:i/>
          <w:sz w:val="18"/>
          <w:szCs w:val="18"/>
        </w:rPr>
        <w:t>Федоришин В. С.</w:t>
      </w:r>
      <w:r w:rsidRPr="00D957E1">
        <w:rPr>
          <w:rFonts w:ascii="Times New Roman" w:hAnsi="Times New Roman"/>
          <w:sz w:val="18"/>
          <w:szCs w:val="18"/>
        </w:rPr>
        <w:t xml:space="preserve">, мол. наук. співроб. (розд. 6); </w:t>
      </w:r>
      <w:r w:rsidRPr="00D957E1">
        <w:rPr>
          <w:rFonts w:ascii="Times New Roman" w:hAnsi="Times New Roman"/>
          <w:i/>
          <w:sz w:val="18"/>
          <w:szCs w:val="18"/>
        </w:rPr>
        <w:t>Чубар М. М.</w:t>
      </w:r>
      <w:r w:rsidRPr="00D957E1">
        <w:rPr>
          <w:rFonts w:ascii="Times New Roman" w:hAnsi="Times New Roman"/>
          <w:sz w:val="18"/>
          <w:szCs w:val="18"/>
        </w:rPr>
        <w:t xml:space="preserve">, мол. наук. співроб. (розд. 5); </w:t>
      </w:r>
      <w:r w:rsidRPr="00D957E1">
        <w:rPr>
          <w:rFonts w:ascii="Times New Roman" w:hAnsi="Times New Roman"/>
          <w:i/>
          <w:sz w:val="18"/>
          <w:szCs w:val="18"/>
        </w:rPr>
        <w:t>Юрчик І. Б.</w:t>
      </w:r>
      <w:r w:rsidRPr="00D957E1">
        <w:rPr>
          <w:rFonts w:ascii="Times New Roman" w:hAnsi="Times New Roman"/>
          <w:sz w:val="18"/>
          <w:szCs w:val="18"/>
        </w:rPr>
        <w:t>, мол. наук. спі</w:t>
      </w:r>
      <w:r w:rsidRPr="00D957E1">
        <w:rPr>
          <w:rFonts w:ascii="Times New Roman" w:hAnsi="Times New Roman"/>
          <w:sz w:val="18"/>
          <w:szCs w:val="18"/>
        </w:rPr>
        <w:t>в</w:t>
      </w:r>
      <w:r w:rsidRPr="00D957E1">
        <w:rPr>
          <w:rFonts w:ascii="Times New Roman" w:hAnsi="Times New Roman"/>
          <w:sz w:val="18"/>
          <w:szCs w:val="18"/>
        </w:rPr>
        <w:t>роб. (розд. 3);</w:t>
      </w:r>
    </w:p>
    <w:p w:rsidR="00D957E1" w:rsidRPr="00D957E1" w:rsidRDefault="00D957E1" w:rsidP="00D957E1">
      <w:pPr>
        <w:spacing w:line="226" w:lineRule="auto"/>
        <w:jc w:val="center"/>
        <w:rPr>
          <w:rFonts w:ascii="Times New Roman" w:hAnsi="Times New Roman"/>
          <w:sz w:val="16"/>
          <w:szCs w:val="16"/>
        </w:rPr>
      </w:pPr>
    </w:p>
    <w:p w:rsidR="00D957E1" w:rsidRPr="00D957E1" w:rsidRDefault="00D957E1" w:rsidP="00D957E1">
      <w:pPr>
        <w:spacing w:line="226" w:lineRule="auto"/>
        <w:contextualSpacing/>
        <w:jc w:val="center"/>
        <w:rPr>
          <w:rFonts w:ascii="Times New Roman" w:hAnsi="Times New Roman"/>
          <w:sz w:val="19"/>
          <w:szCs w:val="19"/>
        </w:rPr>
      </w:pPr>
      <w:r w:rsidRPr="00D957E1">
        <w:rPr>
          <w:rFonts w:ascii="Times New Roman" w:hAnsi="Times New Roman"/>
          <w:b/>
          <w:i/>
          <w:sz w:val="19"/>
          <w:szCs w:val="19"/>
        </w:rPr>
        <w:t>Рецензенти</w:t>
      </w:r>
      <w:r w:rsidRPr="00D957E1">
        <w:rPr>
          <w:rFonts w:ascii="Times New Roman" w:hAnsi="Times New Roman"/>
          <w:sz w:val="19"/>
          <w:szCs w:val="19"/>
        </w:rPr>
        <w:t>:</w:t>
      </w:r>
    </w:p>
    <w:p w:rsidR="00D957E1" w:rsidRPr="00D957E1" w:rsidRDefault="00D957E1" w:rsidP="00D957E1">
      <w:pPr>
        <w:spacing w:line="226" w:lineRule="auto"/>
        <w:contextualSpacing/>
        <w:jc w:val="center"/>
        <w:rPr>
          <w:rFonts w:ascii="Times New Roman" w:hAnsi="Times New Roman"/>
          <w:sz w:val="10"/>
          <w:szCs w:val="10"/>
        </w:rPr>
      </w:pPr>
    </w:p>
    <w:p w:rsidR="00D957E1" w:rsidRPr="00D957E1" w:rsidRDefault="00D957E1" w:rsidP="00D957E1">
      <w:pPr>
        <w:spacing w:line="226" w:lineRule="auto"/>
        <w:ind w:left="1701" w:hanging="1521"/>
        <w:contextualSpacing/>
        <w:jc w:val="both"/>
        <w:rPr>
          <w:rFonts w:ascii="Times New Roman" w:hAnsi="Times New Roman"/>
          <w:sz w:val="19"/>
          <w:szCs w:val="19"/>
        </w:rPr>
      </w:pPr>
      <w:r w:rsidRPr="00D957E1">
        <w:rPr>
          <w:rFonts w:ascii="Times New Roman" w:hAnsi="Times New Roman"/>
          <w:i/>
          <w:sz w:val="19"/>
          <w:szCs w:val="19"/>
        </w:rPr>
        <w:t>Кирич Н. Б.</w:t>
      </w:r>
      <w:r w:rsidRPr="00D957E1">
        <w:rPr>
          <w:rFonts w:ascii="Times New Roman" w:hAnsi="Times New Roman"/>
          <w:sz w:val="19"/>
          <w:szCs w:val="19"/>
        </w:rPr>
        <w:tab/>
        <w:t xml:space="preserve">– д-р екон. наук, проф., зав. кафедри менеджменту </w:t>
      </w:r>
    </w:p>
    <w:p w:rsidR="00D957E1" w:rsidRPr="00D957E1" w:rsidRDefault="00D957E1" w:rsidP="00D957E1">
      <w:pPr>
        <w:spacing w:line="226" w:lineRule="auto"/>
        <w:ind w:left="1848" w:hanging="7"/>
        <w:contextualSpacing/>
        <w:jc w:val="both"/>
        <w:rPr>
          <w:rFonts w:ascii="Times New Roman" w:hAnsi="Times New Roman"/>
          <w:sz w:val="19"/>
          <w:szCs w:val="19"/>
        </w:rPr>
      </w:pPr>
      <w:r w:rsidRPr="00D957E1">
        <w:rPr>
          <w:rFonts w:ascii="Times New Roman" w:hAnsi="Times New Roman"/>
          <w:sz w:val="19"/>
          <w:szCs w:val="19"/>
        </w:rPr>
        <w:t xml:space="preserve">виробничої сфери, Тернопільський </w:t>
      </w:r>
    </w:p>
    <w:p w:rsidR="00D957E1" w:rsidRPr="00D957E1" w:rsidRDefault="00D957E1" w:rsidP="00D957E1">
      <w:pPr>
        <w:spacing w:line="226" w:lineRule="auto"/>
        <w:ind w:left="1848" w:hanging="7"/>
        <w:contextualSpacing/>
        <w:jc w:val="both"/>
        <w:rPr>
          <w:rFonts w:ascii="Times New Roman" w:hAnsi="Times New Roman"/>
          <w:sz w:val="19"/>
          <w:szCs w:val="19"/>
        </w:rPr>
      </w:pPr>
      <w:r w:rsidRPr="00D957E1">
        <w:rPr>
          <w:rFonts w:ascii="Times New Roman" w:hAnsi="Times New Roman"/>
          <w:sz w:val="19"/>
          <w:szCs w:val="19"/>
        </w:rPr>
        <w:t>національний технічний університет ім. І. П</w:t>
      </w:r>
      <w:r w:rsidRPr="00D957E1">
        <w:rPr>
          <w:rFonts w:ascii="Times New Roman" w:hAnsi="Times New Roman"/>
          <w:sz w:val="19"/>
          <w:szCs w:val="19"/>
        </w:rPr>
        <w:t>у</w:t>
      </w:r>
      <w:r w:rsidRPr="00D957E1">
        <w:rPr>
          <w:rFonts w:ascii="Times New Roman" w:hAnsi="Times New Roman"/>
          <w:sz w:val="19"/>
          <w:szCs w:val="19"/>
        </w:rPr>
        <w:t>люя;</w:t>
      </w:r>
    </w:p>
    <w:p w:rsidR="00D957E1" w:rsidRPr="00D957E1" w:rsidRDefault="00D957E1" w:rsidP="00D957E1">
      <w:pPr>
        <w:tabs>
          <w:tab w:val="left" w:pos="1694"/>
        </w:tabs>
        <w:spacing w:line="226" w:lineRule="auto"/>
        <w:contextualSpacing/>
        <w:jc w:val="both"/>
        <w:rPr>
          <w:rFonts w:ascii="Times New Roman" w:hAnsi="Times New Roman"/>
          <w:sz w:val="19"/>
          <w:szCs w:val="19"/>
          <w:lang w:val="ru-RU"/>
        </w:rPr>
      </w:pPr>
      <w:r w:rsidRPr="00D957E1">
        <w:rPr>
          <w:rFonts w:ascii="Times New Roman" w:hAnsi="Times New Roman"/>
          <w:i/>
          <w:sz w:val="19"/>
          <w:szCs w:val="19"/>
        </w:rPr>
        <w:t xml:space="preserve">    Семикіна М. В.</w:t>
      </w:r>
      <w:r w:rsidRPr="00D957E1">
        <w:rPr>
          <w:rFonts w:ascii="Times New Roman" w:hAnsi="Times New Roman"/>
          <w:i/>
          <w:sz w:val="19"/>
          <w:szCs w:val="19"/>
        </w:rPr>
        <w:tab/>
        <w:t>–</w:t>
      </w:r>
      <w:r w:rsidRPr="00D957E1">
        <w:rPr>
          <w:rFonts w:ascii="Times New Roman" w:hAnsi="Times New Roman"/>
          <w:sz w:val="19"/>
          <w:szCs w:val="19"/>
        </w:rPr>
        <w:t xml:space="preserve"> д-р екон. наук, проф., </w:t>
      </w:r>
    </w:p>
    <w:p w:rsidR="00D957E1" w:rsidRPr="00D957E1" w:rsidRDefault="00D957E1" w:rsidP="00D957E1">
      <w:pPr>
        <w:tabs>
          <w:tab w:val="left" w:pos="1694"/>
        </w:tabs>
        <w:spacing w:line="226" w:lineRule="auto"/>
        <w:ind w:firstLine="1834"/>
        <w:contextualSpacing/>
        <w:jc w:val="both"/>
        <w:rPr>
          <w:rFonts w:ascii="Times New Roman" w:hAnsi="Times New Roman"/>
          <w:sz w:val="19"/>
          <w:szCs w:val="19"/>
        </w:rPr>
      </w:pPr>
      <w:r w:rsidRPr="00D957E1">
        <w:rPr>
          <w:rFonts w:ascii="Times New Roman" w:hAnsi="Times New Roman"/>
          <w:sz w:val="19"/>
          <w:szCs w:val="19"/>
        </w:rPr>
        <w:t>зав. кафедри економіки та організації виробництва</w:t>
      </w:r>
      <w:r w:rsidRPr="00D957E1">
        <w:rPr>
          <w:rFonts w:ascii="Times New Roman" w:hAnsi="Times New Roman"/>
          <w:sz w:val="19"/>
          <w:szCs w:val="19"/>
          <w:lang w:val="ru-RU"/>
        </w:rPr>
        <w:t>,</w:t>
      </w:r>
      <w:r w:rsidRPr="00D957E1">
        <w:rPr>
          <w:rFonts w:ascii="Times New Roman" w:hAnsi="Times New Roman"/>
          <w:sz w:val="19"/>
          <w:szCs w:val="19"/>
        </w:rPr>
        <w:t xml:space="preserve"> </w:t>
      </w:r>
    </w:p>
    <w:p w:rsidR="00D957E1" w:rsidRPr="00D957E1" w:rsidRDefault="00D957E1" w:rsidP="00D957E1">
      <w:pPr>
        <w:spacing w:line="226" w:lineRule="auto"/>
        <w:ind w:firstLine="1834"/>
        <w:contextualSpacing/>
        <w:jc w:val="both"/>
        <w:rPr>
          <w:rFonts w:ascii="Times New Roman" w:hAnsi="Times New Roman"/>
          <w:sz w:val="19"/>
          <w:szCs w:val="19"/>
        </w:rPr>
      </w:pPr>
      <w:r w:rsidRPr="00D957E1">
        <w:rPr>
          <w:rFonts w:ascii="Times New Roman" w:hAnsi="Times New Roman"/>
          <w:sz w:val="19"/>
          <w:szCs w:val="19"/>
        </w:rPr>
        <w:t xml:space="preserve">Кіровоградський національний технічний </w:t>
      </w:r>
    </w:p>
    <w:p w:rsidR="00D957E1" w:rsidRPr="00D957E1" w:rsidRDefault="00D957E1" w:rsidP="00D957E1">
      <w:pPr>
        <w:spacing w:line="226" w:lineRule="auto"/>
        <w:ind w:firstLine="1834"/>
        <w:contextualSpacing/>
        <w:jc w:val="both"/>
        <w:rPr>
          <w:rFonts w:ascii="Times New Roman" w:hAnsi="Times New Roman"/>
          <w:b/>
          <w:i/>
          <w:sz w:val="19"/>
          <w:szCs w:val="19"/>
        </w:rPr>
      </w:pPr>
      <w:r w:rsidRPr="00D957E1">
        <w:rPr>
          <w:rFonts w:ascii="Times New Roman" w:hAnsi="Times New Roman"/>
          <w:sz w:val="19"/>
          <w:szCs w:val="19"/>
        </w:rPr>
        <w:t>універс</w:t>
      </w:r>
      <w:r w:rsidRPr="00D957E1">
        <w:rPr>
          <w:rFonts w:ascii="Times New Roman" w:hAnsi="Times New Roman"/>
          <w:sz w:val="19"/>
          <w:szCs w:val="19"/>
        </w:rPr>
        <w:t>и</w:t>
      </w:r>
      <w:r w:rsidRPr="00D957E1">
        <w:rPr>
          <w:rFonts w:ascii="Times New Roman" w:hAnsi="Times New Roman"/>
          <w:sz w:val="19"/>
          <w:szCs w:val="19"/>
        </w:rPr>
        <w:t>тет</w:t>
      </w:r>
    </w:p>
    <w:p w:rsidR="00D957E1" w:rsidRPr="00D957E1" w:rsidRDefault="00D957E1" w:rsidP="00D957E1">
      <w:pPr>
        <w:spacing w:line="226" w:lineRule="auto"/>
        <w:ind w:firstLine="141"/>
        <w:contextualSpacing/>
        <w:jc w:val="both"/>
        <w:rPr>
          <w:rFonts w:ascii="Times New Roman" w:hAnsi="Times New Roman"/>
          <w:bCs/>
          <w:sz w:val="16"/>
          <w:szCs w:val="16"/>
        </w:rPr>
      </w:pPr>
    </w:p>
    <w:p w:rsidR="00D957E1" w:rsidRPr="00D957E1" w:rsidRDefault="00D957E1" w:rsidP="00D957E1">
      <w:pPr>
        <w:spacing w:line="226" w:lineRule="auto"/>
        <w:ind w:left="322" w:right="315" w:firstLine="252"/>
        <w:contextualSpacing/>
        <w:jc w:val="both"/>
        <w:rPr>
          <w:rFonts w:ascii="Times New Roman" w:hAnsi="Times New Roman"/>
          <w:sz w:val="20"/>
          <w:szCs w:val="20"/>
        </w:rPr>
      </w:pPr>
      <w:r w:rsidRPr="00D957E1">
        <w:rPr>
          <w:rFonts w:ascii="Times New Roman" w:hAnsi="Times New Roman"/>
          <w:b/>
          <w:noProof/>
          <w:sz w:val="20"/>
          <w:szCs w:val="20"/>
          <w:lang w:val="ru-RU" w:eastAsia="ru-RU"/>
        </w:rPr>
        <mc:AlternateContent>
          <mc:Choice Requires="wps">
            <w:drawing>
              <wp:anchor distT="0" distB="0" distL="114300" distR="114300" simplePos="0" relativeHeight="251747328" behindDoc="0" locked="0" layoutInCell="1" allowOverlap="1">
                <wp:simplePos x="0" y="0"/>
                <wp:positionH relativeFrom="column">
                  <wp:posOffset>-5080</wp:posOffset>
                </wp:positionH>
                <wp:positionV relativeFrom="paragraph">
                  <wp:posOffset>635</wp:posOffset>
                </wp:positionV>
                <wp:extent cx="347980" cy="147320"/>
                <wp:effectExtent l="635" t="0" r="3810" b="0"/>
                <wp:wrapNone/>
                <wp:docPr id="1839" name="Надпись 18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980" cy="147320"/>
                        </a:xfrm>
                        <a:prstGeom prst="rect">
                          <a:avLst/>
                        </a:prstGeom>
                        <a:solidFill>
                          <a:srgbClr val="FFFFFF"/>
                        </a:solidFill>
                        <a:ln>
                          <a:noFill/>
                        </a:ln>
                        <a:effectLst/>
                        <a:extLs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D957E1" w:rsidRPr="007E4921" w:rsidRDefault="00D957E1" w:rsidP="00D957E1">
                            <w:pPr>
                              <w:rPr>
                                <w:rFonts w:ascii="Times New Roman" w:hAnsi="Times New Roman"/>
                                <w:sz w:val="20"/>
                                <w:szCs w:val="20"/>
                              </w:rPr>
                            </w:pPr>
                            <w:r>
                              <w:rPr>
                                <w:rFonts w:ascii="Times New Roman" w:hAnsi="Times New Roman"/>
                                <w:sz w:val="20"/>
                                <w:szCs w:val="20"/>
                                <w:highlight w:val="yellow"/>
                              </w:rPr>
                              <w:t>О</w:t>
                            </w:r>
                            <w:r w:rsidRPr="002865AE">
                              <w:rPr>
                                <w:rFonts w:ascii="Times New Roman" w:hAnsi="Times New Roman"/>
                                <w:sz w:val="20"/>
                                <w:szCs w:val="20"/>
                                <w:highlight w:val="yellow"/>
                              </w:rPr>
                              <w:t>55</w:t>
                            </w:r>
                          </w:p>
                          <w:p w:rsidR="00D957E1" w:rsidRDefault="00D957E1" w:rsidP="00D957E1"/>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839" o:spid="_x0000_s1026" type="#_x0000_t202" style="position:absolute;left:0;text-align:left;margin-left:-.4pt;margin-top:.05pt;width:27.4pt;height:11.6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" stroked="f">
                <v:textbox inset="0,0,0,0">
                  <w:txbxContent>
                    <w:p w:rsidR="00D957E1" w:rsidRPr="007E4921" w:rsidRDefault="00D957E1" w:rsidP="00D957E1">
                      <w:pPr>
                        <w:rPr>
                          <w:rFonts w:ascii="Times New Roman" w:hAnsi="Times New Roman"/>
                          <w:sz w:val="20"/>
                          <w:szCs w:val="20"/>
                        </w:rPr>
                      </w:pPr>
                      <w:r>
                        <w:rPr>
                          <w:rFonts w:ascii="Times New Roman" w:hAnsi="Times New Roman"/>
                          <w:sz w:val="20"/>
                          <w:szCs w:val="20"/>
                          <w:highlight w:val="yellow"/>
                        </w:rPr>
                        <w:t>О</w:t>
                      </w:r>
                      <w:r w:rsidRPr="002865AE">
                        <w:rPr>
                          <w:rFonts w:ascii="Times New Roman" w:hAnsi="Times New Roman"/>
                          <w:sz w:val="20"/>
                          <w:szCs w:val="20"/>
                          <w:highlight w:val="yellow"/>
                        </w:rPr>
                        <w:t>55</w:t>
                      </w:r>
                    </w:p>
                    <w:p w:rsidR="00D957E1" w:rsidRDefault="00D957E1" w:rsidP="00D957E1"/>
                  </w:txbxContent>
                </v:textbox>
              </v:shape>
            </w:pict>
          </mc:Fallback>
        </mc:AlternateContent>
      </w:r>
      <w:r w:rsidRPr="00D957E1">
        <w:rPr>
          <w:rFonts w:ascii="Times New Roman" w:hAnsi="Times New Roman"/>
          <w:b/>
          <w:noProof/>
          <w:sz w:val="20"/>
          <w:szCs w:val="20"/>
          <w:lang w:val="ru-RU" w:eastAsia="ru-RU"/>
        </w:rPr>
        <w:t>Оцінка людського потенціалу : регіональний аналіз і прогноз</w:t>
      </w:r>
      <w:r w:rsidRPr="00D957E1">
        <w:rPr>
          <w:rFonts w:ascii="Times New Roman" w:hAnsi="Times New Roman"/>
          <w:sz w:val="20"/>
          <w:szCs w:val="20"/>
        </w:rPr>
        <w:t xml:space="preserve"> </w:t>
      </w:r>
      <w:r w:rsidRPr="00D957E1">
        <w:rPr>
          <w:rFonts w:ascii="Times New Roman" w:hAnsi="Times New Roman"/>
          <w:bCs/>
          <w:sz w:val="20"/>
          <w:szCs w:val="20"/>
        </w:rPr>
        <w:t xml:space="preserve">: </w:t>
      </w:r>
      <w:r w:rsidRPr="00D957E1">
        <w:rPr>
          <w:rFonts w:ascii="Times New Roman" w:hAnsi="Times New Roman"/>
          <w:sz w:val="20"/>
          <w:szCs w:val="20"/>
        </w:rPr>
        <w:t>монографія / за наук. ред. д-ра екон. наук, проф. В. М. Нижника. – Хмельниц</w:t>
      </w:r>
      <w:r w:rsidRPr="00D957E1">
        <w:rPr>
          <w:rFonts w:ascii="Times New Roman" w:hAnsi="Times New Roman"/>
          <w:sz w:val="20"/>
          <w:szCs w:val="20"/>
        </w:rPr>
        <w:t>ь</w:t>
      </w:r>
      <w:r w:rsidRPr="00D957E1">
        <w:rPr>
          <w:rFonts w:ascii="Times New Roman" w:hAnsi="Times New Roman"/>
          <w:sz w:val="20"/>
          <w:szCs w:val="20"/>
        </w:rPr>
        <w:t xml:space="preserve">кий : ХНУ, 2015. – </w:t>
      </w:r>
      <w:r w:rsidRPr="00D957E1">
        <w:rPr>
          <w:rFonts w:ascii="Times New Roman" w:hAnsi="Times New Roman"/>
          <w:sz w:val="20"/>
          <w:szCs w:val="20"/>
          <w:lang w:val="ru-RU"/>
        </w:rPr>
        <w:t>347</w:t>
      </w:r>
      <w:r w:rsidRPr="00D957E1">
        <w:rPr>
          <w:rFonts w:ascii="Times New Roman" w:hAnsi="Times New Roman"/>
          <w:sz w:val="20"/>
          <w:szCs w:val="20"/>
        </w:rPr>
        <w:t xml:space="preserve"> с.</w:t>
      </w:r>
    </w:p>
    <w:p w:rsidR="00D957E1" w:rsidRPr="00D957E1" w:rsidRDefault="00D957E1" w:rsidP="00D957E1">
      <w:pPr>
        <w:spacing w:line="226" w:lineRule="auto"/>
        <w:ind w:left="322" w:right="315" w:firstLine="252"/>
        <w:contextualSpacing/>
        <w:jc w:val="both"/>
        <w:rPr>
          <w:rFonts w:ascii="Times New Roman" w:hAnsi="Times New Roman"/>
          <w:bCs/>
          <w:sz w:val="20"/>
          <w:szCs w:val="20"/>
        </w:rPr>
      </w:pPr>
      <w:r w:rsidRPr="00D957E1">
        <w:rPr>
          <w:rFonts w:ascii="Times New Roman" w:hAnsi="Times New Roman"/>
          <w:sz w:val="20"/>
          <w:szCs w:val="20"/>
        </w:rPr>
        <w:t>ISBN 978-966-330-161-7</w:t>
      </w:r>
    </w:p>
    <w:p w:rsidR="00D957E1" w:rsidRPr="00D957E1" w:rsidRDefault="00D957E1" w:rsidP="00D957E1">
      <w:pPr>
        <w:spacing w:line="226" w:lineRule="auto"/>
        <w:ind w:firstLine="141"/>
        <w:contextualSpacing/>
        <w:jc w:val="both"/>
        <w:rPr>
          <w:rFonts w:ascii="Times New Roman" w:hAnsi="Times New Roman"/>
          <w:bCs/>
          <w:sz w:val="16"/>
          <w:szCs w:val="16"/>
        </w:rPr>
      </w:pPr>
    </w:p>
    <w:p w:rsidR="00D957E1" w:rsidRPr="00D957E1" w:rsidRDefault="00D957E1" w:rsidP="00D957E1">
      <w:pPr>
        <w:widowControl w:val="0"/>
        <w:spacing w:line="226" w:lineRule="auto"/>
        <w:ind w:left="322" w:right="315" w:firstLine="252"/>
        <w:contextualSpacing/>
        <w:jc w:val="both"/>
        <w:rPr>
          <w:rFonts w:ascii="Times New Roman" w:hAnsi="Times New Roman"/>
          <w:sz w:val="18"/>
          <w:szCs w:val="18"/>
        </w:rPr>
      </w:pPr>
      <w:r w:rsidRPr="00D957E1">
        <w:rPr>
          <w:rFonts w:ascii="Times New Roman" w:hAnsi="Times New Roman"/>
          <w:spacing w:val="-2"/>
          <w:sz w:val="18"/>
          <w:szCs w:val="18"/>
        </w:rPr>
        <w:t>Розкрито сутнісну характеристику та компонентну структуру людс</w:t>
      </w:r>
      <w:r w:rsidRPr="00D957E1">
        <w:rPr>
          <w:rFonts w:ascii="Times New Roman" w:hAnsi="Times New Roman"/>
          <w:spacing w:val="-2"/>
          <w:sz w:val="18"/>
          <w:szCs w:val="18"/>
        </w:rPr>
        <w:t>ь</w:t>
      </w:r>
      <w:r w:rsidRPr="00D957E1">
        <w:rPr>
          <w:rFonts w:ascii="Times New Roman" w:hAnsi="Times New Roman"/>
          <w:spacing w:val="-2"/>
          <w:sz w:val="18"/>
          <w:szCs w:val="18"/>
        </w:rPr>
        <w:t>кого потенціалу, проаналізовано розвиток демографічного пот</w:t>
      </w:r>
      <w:r w:rsidRPr="00D957E1">
        <w:rPr>
          <w:rFonts w:ascii="Times New Roman" w:hAnsi="Times New Roman"/>
          <w:spacing w:val="-2"/>
          <w:sz w:val="18"/>
          <w:szCs w:val="18"/>
        </w:rPr>
        <w:t>е</w:t>
      </w:r>
      <w:r w:rsidRPr="00D957E1">
        <w:rPr>
          <w:rFonts w:ascii="Times New Roman" w:hAnsi="Times New Roman"/>
          <w:spacing w:val="-2"/>
          <w:sz w:val="18"/>
          <w:szCs w:val="18"/>
        </w:rPr>
        <w:t>нціалу та передумови його формування в Україні, розглянуто еволюцію форм</w:t>
      </w:r>
      <w:r w:rsidRPr="00D957E1">
        <w:rPr>
          <w:rFonts w:ascii="Times New Roman" w:hAnsi="Times New Roman"/>
          <w:spacing w:val="-2"/>
          <w:sz w:val="18"/>
          <w:szCs w:val="18"/>
        </w:rPr>
        <w:t>у</w:t>
      </w:r>
      <w:r w:rsidRPr="00D957E1">
        <w:rPr>
          <w:rFonts w:ascii="Times New Roman" w:hAnsi="Times New Roman"/>
          <w:spacing w:val="-2"/>
          <w:sz w:val="18"/>
          <w:szCs w:val="18"/>
        </w:rPr>
        <w:t>вання та розвитку соціально-орієнтованого ринку праці, проведено оц</w:t>
      </w:r>
      <w:r w:rsidRPr="00D957E1">
        <w:rPr>
          <w:rFonts w:ascii="Times New Roman" w:hAnsi="Times New Roman"/>
          <w:spacing w:val="-2"/>
          <w:sz w:val="18"/>
          <w:szCs w:val="18"/>
        </w:rPr>
        <w:t>і</w:t>
      </w:r>
      <w:r w:rsidRPr="00D957E1">
        <w:rPr>
          <w:rFonts w:ascii="Times New Roman" w:hAnsi="Times New Roman"/>
          <w:spacing w:val="-2"/>
          <w:sz w:val="18"/>
          <w:szCs w:val="18"/>
        </w:rPr>
        <w:t>нку міграційної складової формування людського потенціалу, розглян</w:t>
      </w:r>
      <w:r w:rsidRPr="00D957E1">
        <w:rPr>
          <w:rFonts w:ascii="Times New Roman" w:hAnsi="Times New Roman"/>
          <w:spacing w:val="-2"/>
          <w:sz w:val="18"/>
          <w:szCs w:val="18"/>
        </w:rPr>
        <w:t>у</w:t>
      </w:r>
      <w:r w:rsidRPr="00D957E1">
        <w:rPr>
          <w:rFonts w:ascii="Times New Roman" w:hAnsi="Times New Roman"/>
          <w:spacing w:val="-2"/>
          <w:sz w:val="18"/>
          <w:szCs w:val="18"/>
        </w:rPr>
        <w:t>то соціальну регіональну політику в управлінні розвитком людського потенц</w:t>
      </w:r>
      <w:r w:rsidRPr="00D957E1">
        <w:rPr>
          <w:rFonts w:ascii="Times New Roman" w:hAnsi="Times New Roman"/>
          <w:spacing w:val="-2"/>
          <w:sz w:val="18"/>
          <w:szCs w:val="18"/>
        </w:rPr>
        <w:t>і</w:t>
      </w:r>
      <w:r w:rsidRPr="00D957E1">
        <w:rPr>
          <w:rFonts w:ascii="Times New Roman" w:hAnsi="Times New Roman"/>
          <w:spacing w:val="-2"/>
          <w:sz w:val="18"/>
          <w:szCs w:val="18"/>
        </w:rPr>
        <w:t>алу</w:t>
      </w:r>
      <w:r w:rsidRPr="00D957E1">
        <w:rPr>
          <w:rFonts w:ascii="Times New Roman" w:hAnsi="Times New Roman"/>
          <w:sz w:val="18"/>
          <w:szCs w:val="18"/>
        </w:rPr>
        <w:t xml:space="preserve">. </w:t>
      </w:r>
    </w:p>
    <w:p w:rsidR="00D957E1" w:rsidRPr="00D957E1" w:rsidRDefault="00D957E1" w:rsidP="00D957E1">
      <w:pPr>
        <w:spacing w:line="226" w:lineRule="auto"/>
        <w:ind w:left="322" w:right="315" w:firstLine="252"/>
        <w:contextualSpacing/>
        <w:jc w:val="both"/>
        <w:rPr>
          <w:rFonts w:ascii="Times New Roman" w:hAnsi="Times New Roman"/>
          <w:bCs/>
          <w:sz w:val="20"/>
          <w:szCs w:val="20"/>
        </w:rPr>
      </w:pPr>
      <w:r w:rsidRPr="00D957E1">
        <w:rPr>
          <w:rFonts w:ascii="Times New Roman" w:hAnsi="Times New Roman"/>
          <w:sz w:val="18"/>
          <w:szCs w:val="18"/>
        </w:rPr>
        <w:t>Для наукових працівників, спеціалістів у сфері економіки праці, соціальної та регіональної політики, аспірантів та студентів економі</w:t>
      </w:r>
      <w:r w:rsidRPr="00D957E1">
        <w:rPr>
          <w:rFonts w:ascii="Times New Roman" w:hAnsi="Times New Roman"/>
          <w:sz w:val="18"/>
          <w:szCs w:val="18"/>
        </w:rPr>
        <w:t>ч</w:t>
      </w:r>
      <w:r w:rsidRPr="00D957E1">
        <w:rPr>
          <w:rFonts w:ascii="Times New Roman" w:hAnsi="Times New Roman"/>
          <w:sz w:val="18"/>
          <w:szCs w:val="18"/>
        </w:rPr>
        <w:t>них спеціальностей вищих навчальних закладів.</w:t>
      </w:r>
    </w:p>
    <w:p w:rsidR="00D957E1" w:rsidRPr="00D957E1" w:rsidRDefault="00D957E1" w:rsidP="00D957E1">
      <w:pPr>
        <w:spacing w:line="226" w:lineRule="auto"/>
        <w:ind w:left="4396"/>
        <w:contextualSpacing/>
        <w:rPr>
          <w:rFonts w:ascii="Times New Roman" w:hAnsi="Times New Roman"/>
          <w:b/>
          <w:color w:val="000000"/>
          <w:sz w:val="18"/>
          <w:szCs w:val="18"/>
        </w:rPr>
      </w:pPr>
      <w:r w:rsidRPr="00D957E1">
        <w:rPr>
          <w:rFonts w:ascii="Times New Roman" w:hAnsi="Times New Roman"/>
          <w:b/>
          <w:color w:val="000000"/>
          <w:sz w:val="18"/>
          <w:szCs w:val="18"/>
        </w:rPr>
        <w:t>УДК 65.018</w:t>
      </w:r>
    </w:p>
    <w:p w:rsidR="00D957E1" w:rsidRPr="00D957E1" w:rsidRDefault="00D957E1" w:rsidP="00D957E1">
      <w:pPr>
        <w:spacing w:line="226" w:lineRule="auto"/>
        <w:ind w:left="4396"/>
        <w:contextualSpacing/>
        <w:rPr>
          <w:rFonts w:ascii="Times New Roman" w:hAnsi="Times New Roman"/>
          <w:b/>
          <w:color w:val="000000"/>
          <w:spacing w:val="14"/>
          <w:sz w:val="18"/>
          <w:szCs w:val="18"/>
        </w:rPr>
      </w:pPr>
      <w:r w:rsidRPr="00D957E1">
        <w:rPr>
          <w:rFonts w:ascii="Times New Roman" w:hAnsi="Times New Roman"/>
          <w:b/>
          <w:color w:val="000000"/>
          <w:spacing w:val="14"/>
          <w:sz w:val="18"/>
          <w:szCs w:val="18"/>
        </w:rPr>
        <w:t>ББК 65.9(2)499</w:t>
      </w:r>
    </w:p>
    <w:p w:rsidR="00D957E1" w:rsidRPr="00645467" w:rsidRDefault="00D957E1" w:rsidP="00D957E1">
      <w:pPr>
        <w:spacing w:line="226" w:lineRule="auto"/>
        <w:contextualSpacing/>
        <w:rPr>
          <w:rFonts w:ascii="Times New Roman" w:hAnsi="Times New Roman"/>
          <w:sz w:val="18"/>
          <w:szCs w:val="18"/>
        </w:rPr>
      </w:pPr>
      <w:r w:rsidRPr="00D957E1">
        <w:rPr>
          <w:rFonts w:ascii="Times New Roman" w:hAnsi="Times New Roman"/>
          <w:sz w:val="20"/>
          <w:szCs w:val="20"/>
        </w:rPr>
        <w:lastRenderedPageBreak/>
        <w:t>ISBN 978-966-330-161-7</w:t>
      </w:r>
      <w:r w:rsidRPr="00D957E1">
        <w:rPr>
          <w:rFonts w:ascii="Times New Roman" w:hAnsi="Times New Roman"/>
          <w:sz w:val="18"/>
          <w:szCs w:val="18"/>
        </w:rPr>
        <w:t xml:space="preserve">                                  © Авт. кол., 2015</w:t>
      </w:r>
    </w:p>
    <w:p w:rsidR="00D957E1" w:rsidRPr="00080AC0" w:rsidRDefault="00D957E1" w:rsidP="00D957E1">
      <w:pPr>
        <w:spacing w:line="226" w:lineRule="auto"/>
        <w:ind w:firstLine="3612"/>
        <w:contextualSpacing/>
        <w:rPr>
          <w:rFonts w:ascii="Times New Roman" w:hAnsi="Times New Roman"/>
          <w:sz w:val="21"/>
          <w:szCs w:val="21"/>
          <w:lang w:eastAsia="ru-RU"/>
        </w:rPr>
        <w:sectPr w:rsidR="00D957E1" w:rsidRPr="00080AC0" w:rsidSect="00F57441">
          <w:footerReference w:type="even" r:id="rId7"/>
          <w:footerReference w:type="default" r:id="rId8"/>
          <w:footerReference w:type="first" r:id="rId9"/>
          <w:pgSz w:w="8392" w:h="11907" w:code="11"/>
          <w:pgMar w:top="1134" w:right="1134" w:bottom="1134" w:left="1134" w:header="680" w:footer="709" w:gutter="0"/>
          <w:pgNumType w:start="1"/>
          <w:cols w:space="708"/>
          <w:docGrid w:linePitch="360"/>
        </w:sectPr>
      </w:pPr>
      <w:r w:rsidRPr="00645467">
        <w:rPr>
          <w:rFonts w:ascii="Times New Roman" w:hAnsi="Times New Roman"/>
          <w:sz w:val="18"/>
          <w:szCs w:val="18"/>
        </w:rPr>
        <w:t>© ХНУ, оригінал-макет, 201</w:t>
      </w:r>
      <w:r w:rsidRPr="00645467">
        <w:rPr>
          <w:noProof/>
          <w:lang w:val="ru-RU" w:eastAsia="ru-RU"/>
        </w:rPr>
        <mc:AlternateContent>
          <mc:Choice Requires="wps">
            <w:drawing>
              <wp:anchor distT="0" distB="0" distL="114300" distR="114300" simplePos="0" relativeHeight="251746304" behindDoc="0" locked="0" layoutInCell="1" allowOverlap="1">
                <wp:simplePos x="0" y="0"/>
                <wp:positionH relativeFrom="column">
                  <wp:posOffset>1507490</wp:posOffset>
                </wp:positionH>
                <wp:positionV relativeFrom="paragraph">
                  <wp:posOffset>1170305</wp:posOffset>
                </wp:positionV>
                <wp:extent cx="991235" cy="397510"/>
                <wp:effectExtent l="0" t="0" r="0" b="2540"/>
                <wp:wrapNone/>
                <wp:docPr id="1833" name="Прямоугольник 18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1235" cy="397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6FFB10" id="Прямоугольник 1833" o:spid="_x0000_s1026" style="position:absolute;margin-left:118.7pt;margin-top:92.15pt;width:78.05pt;height:31.3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" stroked="f"/>
            </w:pict>
          </mc:Fallback>
        </mc:AlternateContent>
      </w:r>
      <w:r w:rsidRPr="00645467">
        <w:rPr>
          <w:noProof/>
          <w:lang w:val="ru-RU" w:eastAsia="ru-RU"/>
        </w:rPr>
        <mc:AlternateContent>
          <mc:Choice Requires="wps">
            <w:drawing>
              <wp:anchor distT="0" distB="0" distL="114300" distR="114300" simplePos="0" relativeHeight="251745280" behindDoc="0" locked="0" layoutInCell="1" allowOverlap="1">
                <wp:simplePos x="0" y="0"/>
                <wp:positionH relativeFrom="column">
                  <wp:posOffset>1360805</wp:posOffset>
                </wp:positionH>
                <wp:positionV relativeFrom="paragraph">
                  <wp:posOffset>1170305</wp:posOffset>
                </wp:positionV>
                <wp:extent cx="991235" cy="397510"/>
                <wp:effectExtent l="0" t="0" r="0" b="2540"/>
                <wp:wrapNone/>
                <wp:docPr id="21" name="Прямоугольник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1235" cy="397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CB071C" id="Прямоугольник 21" o:spid="_x0000_s1026" style="position:absolute;margin-left:107.15pt;margin-top:92.15pt;width:78.05pt;height:31.3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" stroked="f"/>
            </w:pict>
          </mc:Fallback>
        </mc:AlternateContent>
      </w:r>
      <w:r>
        <w:rPr>
          <w:rFonts w:ascii="Times New Roman" w:hAnsi="Times New Roman"/>
          <w:sz w:val="18"/>
          <w:szCs w:val="18"/>
        </w:rPr>
        <w:t>5</w:t>
      </w:r>
      <w:r w:rsidRPr="00080AC0">
        <w:rPr>
          <w:rFonts w:ascii="Times New Roman" w:hAnsi="Times New Roman"/>
          <w:sz w:val="21"/>
          <w:szCs w:val="21"/>
          <w:lang w:eastAsia="ru-RU"/>
        </w:rPr>
        <w:t xml:space="preserve"> </w:t>
      </w:r>
    </w:p>
    <w:p w:rsidR="00B233DE" w:rsidRPr="00A61E33"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Pr="00A165EA" w:rsidRDefault="00B233DE" w:rsidP="00B233DE">
      <w:pPr>
        <w:ind w:firstLine="709"/>
        <w:jc w:val="center"/>
        <w:rPr>
          <w:rFonts w:ascii="Times New Roman" w:hAnsi="Times New Roman" w:cs="Times New Roman"/>
          <w:b/>
          <w:sz w:val="21"/>
          <w:szCs w:val="21"/>
        </w:rPr>
      </w:pPr>
      <w:r w:rsidRPr="00A165EA">
        <w:rPr>
          <w:rFonts w:ascii="Times New Roman" w:hAnsi="Times New Roman" w:cs="Times New Roman"/>
          <w:b/>
          <w:sz w:val="21"/>
          <w:szCs w:val="21"/>
        </w:rPr>
        <w:t>ВСТУП</w:t>
      </w: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Pr="001C4D5A" w:rsidRDefault="00B233DE" w:rsidP="00B233DE">
      <w:pPr>
        <w:pStyle w:val="affe"/>
        <w:widowControl w:val="0"/>
        <w:spacing w:line="240" w:lineRule="auto"/>
        <w:ind w:left="0" w:right="0" w:firstLine="709"/>
        <w:jc w:val="both"/>
        <w:rPr>
          <w:sz w:val="21"/>
          <w:szCs w:val="21"/>
        </w:rPr>
      </w:pPr>
      <w:r w:rsidRPr="001C4D5A">
        <w:rPr>
          <w:sz w:val="21"/>
          <w:szCs w:val="21"/>
        </w:rPr>
        <w:t>В сучасній парадигмі цивілізаційного розвитку головну роль у зростанні національного багатства країн відводиться людині та її потенціалу.</w:t>
      </w:r>
      <w:r>
        <w:rPr>
          <w:sz w:val="21"/>
          <w:szCs w:val="21"/>
        </w:rPr>
        <w:t xml:space="preserve"> </w:t>
      </w:r>
      <w:r w:rsidRPr="001C4D5A">
        <w:rPr>
          <w:sz w:val="21"/>
          <w:szCs w:val="21"/>
        </w:rPr>
        <w:t>Людство виходить на такий рівень розвитку, при якому еволюція стає можливою тільки за умови творчої активності працівників значної частини професій, широкого використання в сфері суспільної праці новітніх технічних і супутніх їм знань. Людські знання стали</w:t>
      </w:r>
      <w:r>
        <w:rPr>
          <w:sz w:val="21"/>
          <w:szCs w:val="21"/>
        </w:rPr>
        <w:t xml:space="preserve"> </w:t>
      </w:r>
      <w:r w:rsidRPr="001C4D5A">
        <w:rPr>
          <w:sz w:val="21"/>
          <w:szCs w:val="21"/>
        </w:rPr>
        <w:t>особливо цінним капіталом, об’єктом інвестування, котрий регенерує новий потік доходу внаслідок освіти, кваліфікації. Саме тому при оцінці сучасного соціально-економіч</w:t>
      </w:r>
      <w:r>
        <w:rPr>
          <w:sz w:val="21"/>
          <w:szCs w:val="21"/>
        </w:rPr>
        <w:t>ного розвитку України все більшого</w:t>
      </w:r>
      <w:r w:rsidRPr="001C4D5A">
        <w:rPr>
          <w:sz w:val="21"/>
          <w:szCs w:val="21"/>
        </w:rPr>
        <w:t xml:space="preserve"> значення </w:t>
      </w:r>
      <w:r>
        <w:rPr>
          <w:sz w:val="21"/>
          <w:szCs w:val="21"/>
        </w:rPr>
        <w:t xml:space="preserve">набуває </w:t>
      </w:r>
      <w:r w:rsidRPr="001C4D5A">
        <w:rPr>
          <w:sz w:val="21"/>
          <w:szCs w:val="21"/>
        </w:rPr>
        <w:t>розвит</w:t>
      </w:r>
      <w:r>
        <w:rPr>
          <w:sz w:val="21"/>
          <w:szCs w:val="21"/>
        </w:rPr>
        <w:t>ок</w:t>
      </w:r>
      <w:r w:rsidRPr="001C4D5A">
        <w:rPr>
          <w:sz w:val="21"/>
          <w:szCs w:val="21"/>
        </w:rPr>
        <w:t xml:space="preserve"> людського потенціалу, який є основою розробки інформаційних та інноваційних стратегій суспільного прогресу.</w:t>
      </w:r>
    </w:p>
    <w:p w:rsidR="00B233DE" w:rsidRPr="001C4D5A" w:rsidRDefault="00B233DE" w:rsidP="00B233DE">
      <w:pPr>
        <w:pStyle w:val="affe"/>
        <w:spacing w:line="240" w:lineRule="auto"/>
        <w:ind w:left="0" w:right="0" w:firstLine="709"/>
        <w:jc w:val="both"/>
        <w:rPr>
          <w:sz w:val="21"/>
          <w:szCs w:val="21"/>
        </w:rPr>
      </w:pPr>
      <w:r w:rsidRPr="001C4D5A">
        <w:rPr>
          <w:sz w:val="21"/>
          <w:szCs w:val="21"/>
        </w:rPr>
        <w:t>В умовах кардинальної трансформації</w:t>
      </w:r>
      <w:r>
        <w:rPr>
          <w:sz w:val="21"/>
          <w:szCs w:val="21"/>
        </w:rPr>
        <w:t xml:space="preserve"> економіки України відбувається</w:t>
      </w:r>
      <w:r w:rsidRPr="001C4D5A">
        <w:rPr>
          <w:sz w:val="21"/>
          <w:szCs w:val="21"/>
        </w:rPr>
        <w:t xml:space="preserve"> зростання ролі регіонів у процесі суспільного розвитку </w:t>
      </w:r>
      <w:r>
        <w:rPr>
          <w:sz w:val="21"/>
          <w:szCs w:val="21"/>
        </w:rPr>
        <w:t>країни</w:t>
      </w:r>
      <w:r w:rsidRPr="001C4D5A">
        <w:rPr>
          <w:sz w:val="21"/>
          <w:szCs w:val="21"/>
        </w:rPr>
        <w:t>, що включає обов’язкове задоволення матеріальних і духовних потреб людини та розширення можливостей її вибору. Забезпечення цих вимог обумовлюється регіональним розвитком і в значній мірі залежить від ефективності регіональної політики як сукупності державних заходів у сфері комплексного розвитку регіонів країни відповідно до їх поточних і стратегічних цілей. Регіональна політика, як органічна складова загальнодержавної політики, спрямовується на всебічний розвиток країни, в тому числі і людського потенціалу, головної компоненти її продуктивних сил через гармонізацію цілей і збалансованість дій всіх регіонів.</w:t>
      </w:r>
    </w:p>
    <w:p w:rsidR="00B233DE" w:rsidRPr="001C4D5A" w:rsidRDefault="00B233DE" w:rsidP="00B233DE">
      <w:pPr>
        <w:widowControl w:val="0"/>
        <w:ind w:firstLine="709"/>
        <w:jc w:val="both"/>
        <w:rPr>
          <w:rFonts w:ascii="Times New Roman" w:hAnsi="Times New Roman" w:cs="Times New Roman"/>
          <w:sz w:val="21"/>
          <w:szCs w:val="21"/>
        </w:rPr>
      </w:pPr>
      <w:r w:rsidRPr="001C4D5A">
        <w:rPr>
          <w:rFonts w:ascii="Times New Roman" w:hAnsi="Times New Roman" w:cs="Times New Roman"/>
          <w:sz w:val="21"/>
          <w:szCs w:val="21"/>
        </w:rPr>
        <w:t xml:space="preserve">Стратегія випереджувального розвитку регіональних соціально-економічних систем України потребує повноцінного ресурсного забезпечення та ефективних механізмів їх відтворення. </w:t>
      </w:r>
      <w:r w:rsidRPr="001C4D5A">
        <w:rPr>
          <w:rFonts w:ascii="Times New Roman" w:hAnsi="Times New Roman" w:cs="Times New Roman"/>
          <w:sz w:val="21"/>
          <w:szCs w:val="21"/>
        </w:rPr>
        <w:lastRenderedPageBreak/>
        <w:t>Оскільки головним ресурсом будь-якої суспільної системи виступають людські ресурси з потенційною спроможністю до їх повноцінного використання, то питанням розвитку та відтворення людини в ході суспільної еволюції приділяється значна увага науковців і практиків.</w:t>
      </w:r>
    </w:p>
    <w:p w:rsidR="00B233DE" w:rsidRPr="001C4D5A" w:rsidRDefault="00B233DE" w:rsidP="00B233DE">
      <w:pPr>
        <w:ind w:firstLine="709"/>
        <w:jc w:val="both"/>
        <w:rPr>
          <w:rFonts w:ascii="Times New Roman" w:hAnsi="Times New Roman" w:cs="Times New Roman"/>
          <w:sz w:val="21"/>
          <w:szCs w:val="21"/>
        </w:rPr>
      </w:pPr>
      <w:r w:rsidRPr="001C4D5A">
        <w:rPr>
          <w:rFonts w:ascii="Times New Roman" w:hAnsi="Times New Roman" w:cs="Times New Roman"/>
          <w:sz w:val="21"/>
          <w:szCs w:val="21"/>
        </w:rPr>
        <w:t>До науково</w:t>
      </w:r>
      <w:r>
        <w:rPr>
          <w:rFonts w:ascii="Times New Roman" w:hAnsi="Times New Roman" w:cs="Times New Roman"/>
          <w:sz w:val="21"/>
          <w:szCs w:val="21"/>
        </w:rPr>
        <w:t>го</w:t>
      </w:r>
      <w:r w:rsidRPr="001C4D5A">
        <w:rPr>
          <w:rFonts w:ascii="Times New Roman" w:hAnsi="Times New Roman" w:cs="Times New Roman"/>
          <w:sz w:val="21"/>
          <w:szCs w:val="21"/>
        </w:rPr>
        <w:t xml:space="preserve"> </w:t>
      </w:r>
      <w:r>
        <w:rPr>
          <w:rFonts w:ascii="Times New Roman" w:hAnsi="Times New Roman" w:cs="Times New Roman"/>
          <w:sz w:val="21"/>
          <w:szCs w:val="21"/>
        </w:rPr>
        <w:t>доробку</w:t>
      </w:r>
      <w:r w:rsidRPr="001C4D5A">
        <w:rPr>
          <w:rFonts w:ascii="Times New Roman" w:hAnsi="Times New Roman" w:cs="Times New Roman"/>
          <w:sz w:val="21"/>
          <w:szCs w:val="21"/>
        </w:rPr>
        <w:t xml:space="preserve"> теоретичних та прикладних </w:t>
      </w:r>
      <w:r>
        <w:rPr>
          <w:rFonts w:ascii="Times New Roman" w:hAnsi="Times New Roman" w:cs="Times New Roman"/>
          <w:sz w:val="21"/>
          <w:szCs w:val="21"/>
        </w:rPr>
        <w:t>основ</w:t>
      </w:r>
      <w:r w:rsidRPr="001C4D5A">
        <w:rPr>
          <w:rFonts w:ascii="Times New Roman" w:hAnsi="Times New Roman" w:cs="Times New Roman"/>
          <w:sz w:val="21"/>
          <w:szCs w:val="21"/>
        </w:rPr>
        <w:t>, пов’язаних з поняттям людський потенціал, значний вне</w:t>
      </w:r>
      <w:r>
        <w:rPr>
          <w:rFonts w:ascii="Times New Roman" w:hAnsi="Times New Roman" w:cs="Times New Roman"/>
          <w:sz w:val="21"/>
          <w:szCs w:val="21"/>
        </w:rPr>
        <w:t xml:space="preserve">сок зробили зарубіжні вчені: Г. Беккер, А. Печчеі, А. Сен, Л. </w:t>
      </w:r>
      <w:r w:rsidRPr="001C4D5A">
        <w:rPr>
          <w:rFonts w:ascii="Times New Roman" w:hAnsi="Times New Roman" w:cs="Times New Roman"/>
          <w:sz w:val="21"/>
          <w:szCs w:val="21"/>
        </w:rPr>
        <w:t xml:space="preserve">Туроу, </w:t>
      </w:r>
      <w:r w:rsidRPr="001C4D5A">
        <w:rPr>
          <w:rFonts w:ascii="Times New Roman" w:hAnsi="Times New Roman" w:cs="Times New Roman"/>
          <w:sz w:val="21"/>
          <w:szCs w:val="21"/>
          <w:lang w:val="en-US"/>
        </w:rPr>
        <w:t>O</w:t>
      </w:r>
      <w:r>
        <w:rPr>
          <w:rFonts w:ascii="Times New Roman" w:hAnsi="Times New Roman" w:cs="Times New Roman"/>
          <w:sz w:val="21"/>
          <w:szCs w:val="21"/>
        </w:rPr>
        <w:t xml:space="preserve">. Добринін, С. Дятлов, В. Єльмеєв, С. Кадомцева, К. Колін, В. Марцинкевич, Л. </w:t>
      </w:r>
      <w:r w:rsidRPr="001C4D5A">
        <w:rPr>
          <w:rFonts w:ascii="Times New Roman" w:hAnsi="Times New Roman" w:cs="Times New Roman"/>
          <w:sz w:val="21"/>
          <w:szCs w:val="21"/>
        </w:rPr>
        <w:t>Нестер</w:t>
      </w:r>
      <w:r>
        <w:rPr>
          <w:rFonts w:ascii="Times New Roman" w:hAnsi="Times New Roman" w:cs="Times New Roman"/>
          <w:sz w:val="21"/>
          <w:szCs w:val="21"/>
        </w:rPr>
        <w:t xml:space="preserve">ов, Ю. Нетесин, Н. Носов, Н. </w:t>
      </w:r>
      <w:r w:rsidRPr="001C4D5A">
        <w:rPr>
          <w:rFonts w:ascii="Times New Roman" w:hAnsi="Times New Roman" w:cs="Times New Roman"/>
          <w:sz w:val="21"/>
          <w:szCs w:val="21"/>
        </w:rPr>
        <w:t>Рима</w:t>
      </w:r>
      <w:r>
        <w:rPr>
          <w:rFonts w:ascii="Times New Roman" w:hAnsi="Times New Roman" w:cs="Times New Roman"/>
          <w:sz w:val="21"/>
          <w:szCs w:val="21"/>
        </w:rPr>
        <w:t xml:space="preserve">-шевська, Н. Цирелов, Б. </w:t>
      </w:r>
      <w:r w:rsidRPr="001C4D5A">
        <w:rPr>
          <w:rFonts w:ascii="Times New Roman" w:hAnsi="Times New Roman" w:cs="Times New Roman"/>
          <w:sz w:val="21"/>
          <w:szCs w:val="21"/>
        </w:rPr>
        <w:t xml:space="preserve">Юдін та інші. Дослідженням цієї важливої наукової проблематики в умовах соціальної та економічної трансформації суспільства </w:t>
      </w:r>
      <w:r>
        <w:rPr>
          <w:rFonts w:ascii="Times New Roman" w:hAnsi="Times New Roman" w:cs="Times New Roman"/>
          <w:sz w:val="21"/>
          <w:szCs w:val="21"/>
        </w:rPr>
        <w:t xml:space="preserve">присвятили свої прці провідні провідні науковці України: С. Бандур, Д. Богиня, П. Борщевський, М. Бутко, О. Грішнова, Б. Данилишин, М. Долішній, С. Дорогунцов, Т. Заяць, С. Злупко, В. </w:t>
      </w:r>
      <w:r w:rsidRPr="001C4D5A">
        <w:rPr>
          <w:rFonts w:ascii="Times New Roman" w:hAnsi="Times New Roman" w:cs="Times New Roman"/>
          <w:sz w:val="21"/>
          <w:szCs w:val="21"/>
        </w:rPr>
        <w:t>Куце</w:t>
      </w:r>
      <w:r>
        <w:rPr>
          <w:rFonts w:ascii="Times New Roman" w:hAnsi="Times New Roman" w:cs="Times New Roman"/>
          <w:sz w:val="21"/>
          <w:szCs w:val="21"/>
        </w:rPr>
        <w:t xml:space="preserve">нко, Е. Лібанова, А. Лисецький, О. Макарова, С. Мочерний, В. Онікієнко, І. Петрова, С. Пирожков, Ю. </w:t>
      </w:r>
      <w:r w:rsidRPr="001C4D5A">
        <w:rPr>
          <w:rFonts w:ascii="Times New Roman" w:hAnsi="Times New Roman" w:cs="Times New Roman"/>
          <w:sz w:val="21"/>
          <w:szCs w:val="21"/>
        </w:rPr>
        <w:t>Са</w:t>
      </w:r>
      <w:r>
        <w:rPr>
          <w:rFonts w:ascii="Times New Roman" w:hAnsi="Times New Roman" w:cs="Times New Roman"/>
          <w:sz w:val="21"/>
          <w:szCs w:val="21"/>
        </w:rPr>
        <w:t xml:space="preserve">єнко, Л. Семів, В. Стешенко, Л. Чернюк, М. </w:t>
      </w:r>
      <w:r w:rsidRPr="001C4D5A">
        <w:rPr>
          <w:rFonts w:ascii="Times New Roman" w:hAnsi="Times New Roman" w:cs="Times New Roman"/>
          <w:sz w:val="21"/>
          <w:szCs w:val="21"/>
        </w:rPr>
        <w:t>Фащевський та інші.</w:t>
      </w:r>
    </w:p>
    <w:p w:rsidR="00B233DE" w:rsidRPr="001C4D5A" w:rsidRDefault="00B233DE" w:rsidP="00B233DE">
      <w:pPr>
        <w:ind w:firstLine="709"/>
        <w:jc w:val="both"/>
        <w:rPr>
          <w:rFonts w:ascii="Times New Roman" w:eastAsia="TimesNewRoman" w:hAnsi="Times New Roman" w:cs="Times New Roman"/>
          <w:sz w:val="21"/>
          <w:szCs w:val="21"/>
        </w:rPr>
      </w:pPr>
      <w:r w:rsidRPr="001C4D5A">
        <w:rPr>
          <w:rFonts w:ascii="Times New Roman" w:hAnsi="Times New Roman" w:cs="Times New Roman"/>
          <w:sz w:val="21"/>
          <w:szCs w:val="21"/>
        </w:rPr>
        <w:t xml:space="preserve">Вагомим чинником розвитку людського потенціалу України </w:t>
      </w:r>
      <w:r>
        <w:rPr>
          <w:rFonts w:ascii="Times New Roman" w:eastAsia="TimesNewRoman" w:hAnsi="Times New Roman" w:cs="Times New Roman"/>
          <w:sz w:val="21"/>
          <w:szCs w:val="21"/>
        </w:rPr>
        <w:t>на сьогодні</w:t>
      </w:r>
      <w:r w:rsidRPr="001C4D5A">
        <w:rPr>
          <w:rFonts w:ascii="Times New Roman" w:eastAsia="TimesNewRoman" w:hAnsi="Times New Roman" w:cs="Times New Roman"/>
          <w:sz w:val="21"/>
          <w:szCs w:val="21"/>
        </w:rPr>
        <w:t xml:space="preserve"> є її участь у процесах європейської інтеграції. Вступ до ЄС вважається основним стимулом та запорукою модернізації економіки та всіх сфер суспільного життя. Комплексний вплив конкуренції на єдиному європейському ринку; вільного доступу до новітніх технологій, капіталу, інформації; підвищення людського потенціалу шляхом реалізації на єдиному ринку за умов вільного руху його носіїв; створення більш сприятливого інвестиційного клімату; зростання взаємообміну в наук</w:t>
      </w:r>
      <w:r>
        <w:rPr>
          <w:rFonts w:ascii="Times New Roman" w:eastAsia="TimesNewRoman" w:hAnsi="Times New Roman" w:cs="Times New Roman"/>
          <w:sz w:val="21"/>
          <w:szCs w:val="21"/>
        </w:rPr>
        <w:t>о- та техноємних галузях здатних</w:t>
      </w:r>
      <w:r w:rsidRPr="001C4D5A">
        <w:rPr>
          <w:rFonts w:ascii="Times New Roman" w:eastAsia="TimesNewRoman" w:hAnsi="Times New Roman" w:cs="Times New Roman"/>
          <w:sz w:val="21"/>
          <w:szCs w:val="21"/>
        </w:rPr>
        <w:t xml:space="preserve"> забезпечити зростання продуктивності економіки та темпів її технологічної модернізації.</w:t>
      </w:r>
    </w:p>
    <w:p w:rsidR="00B233DE" w:rsidRPr="001C4D5A" w:rsidRDefault="00B233DE" w:rsidP="00B233DE">
      <w:pPr>
        <w:ind w:firstLine="709"/>
        <w:jc w:val="both"/>
        <w:rPr>
          <w:rFonts w:ascii="Times New Roman" w:eastAsia="Times New Roman" w:hAnsi="Times New Roman" w:cs="Times New Roman"/>
          <w:sz w:val="21"/>
          <w:szCs w:val="21"/>
        </w:rPr>
      </w:pPr>
      <w:r w:rsidRPr="001C4D5A">
        <w:rPr>
          <w:rFonts w:ascii="Times New Roman" w:hAnsi="Times New Roman" w:cs="Times New Roman"/>
          <w:sz w:val="21"/>
          <w:szCs w:val="21"/>
        </w:rPr>
        <w:t>Виходячи з таких позицій, виникає гостра потреба розв’язання гострих соціально-економічних проблем, пов’язаних з розвитком людського потенціалу регіонів України.</w:t>
      </w:r>
    </w:p>
    <w:p w:rsidR="00B233DE" w:rsidRPr="001C4D5A" w:rsidRDefault="00B233DE" w:rsidP="00B233DE">
      <w:pPr>
        <w:ind w:firstLine="709"/>
        <w:jc w:val="both"/>
        <w:rPr>
          <w:rFonts w:ascii="Times New Roman" w:hAnsi="Times New Roman" w:cs="Times New Roman"/>
          <w:sz w:val="21"/>
          <w:szCs w:val="21"/>
        </w:rPr>
      </w:pPr>
      <w:r w:rsidRPr="001C4D5A">
        <w:rPr>
          <w:rFonts w:ascii="Times New Roman" w:hAnsi="Times New Roman" w:cs="Times New Roman"/>
          <w:sz w:val="21"/>
          <w:szCs w:val="21"/>
        </w:rPr>
        <w:t>Перший розділ монографії присвячено дослідженню сутнісної характеристики людського потенціалу, його компонентної структури, відповідних наукових поглядів та концепцій.</w:t>
      </w:r>
    </w:p>
    <w:p w:rsidR="00B233DE" w:rsidRPr="001C4D5A" w:rsidRDefault="00B233DE" w:rsidP="00B233DE">
      <w:pPr>
        <w:pStyle w:val="33"/>
        <w:tabs>
          <w:tab w:val="left" w:pos="708"/>
        </w:tabs>
        <w:rPr>
          <w:rFonts w:ascii="Times New Roman" w:hAnsi="Times New Roman" w:cs="Times New Roman"/>
          <w:sz w:val="21"/>
          <w:szCs w:val="21"/>
        </w:rPr>
      </w:pPr>
      <w:r w:rsidRPr="001C4D5A">
        <w:rPr>
          <w:rFonts w:ascii="Times New Roman" w:hAnsi="Times New Roman" w:cs="Times New Roman"/>
          <w:sz w:val="21"/>
          <w:szCs w:val="21"/>
        </w:rPr>
        <w:t xml:space="preserve">Зближення та взаємопроникнення інструментального напряму уявлень про розвиток людини, який включає теорію людського капіталу і концепцію трудового потенціалу, та </w:t>
      </w:r>
      <w:r w:rsidRPr="001C4D5A">
        <w:rPr>
          <w:rFonts w:ascii="Times New Roman" w:hAnsi="Times New Roman" w:cs="Times New Roman"/>
          <w:sz w:val="21"/>
          <w:szCs w:val="21"/>
        </w:rPr>
        <w:lastRenderedPageBreak/>
        <w:t>соціального напряму, який висуває на перший план суспільні аспекти відтворення людських ресурсів, призвело до появи нової концепції, що на перший план виводить формування людського потенціалу.</w:t>
      </w:r>
    </w:p>
    <w:p w:rsidR="00B233DE" w:rsidRPr="001C4D5A" w:rsidRDefault="00B233DE" w:rsidP="00B233DE">
      <w:pPr>
        <w:ind w:firstLine="709"/>
        <w:jc w:val="both"/>
        <w:rPr>
          <w:rFonts w:ascii="Times New Roman" w:hAnsi="Times New Roman" w:cs="Times New Roman"/>
          <w:sz w:val="21"/>
          <w:szCs w:val="21"/>
        </w:rPr>
      </w:pPr>
      <w:r w:rsidRPr="001C4D5A">
        <w:rPr>
          <w:rFonts w:ascii="Times New Roman" w:hAnsi="Times New Roman" w:cs="Times New Roman"/>
          <w:sz w:val="21"/>
          <w:szCs w:val="21"/>
        </w:rPr>
        <w:t>Компонентна структура людського потенціалу включає окремі складові: демографічну, життєву (здоров’я), трудову, освітньо-кваліфікаційну, інтелектуальну, соціальну, адаптаційну, громадянсько-політичну, які визначальним чином впливають на його конкурентоспроможність в Україні за сучасних соціально-економічних умов.</w:t>
      </w:r>
    </w:p>
    <w:p w:rsidR="00B233DE" w:rsidRPr="001C4D5A" w:rsidRDefault="00B233DE" w:rsidP="00B233DE">
      <w:pPr>
        <w:ind w:firstLine="709"/>
        <w:jc w:val="both"/>
        <w:rPr>
          <w:rFonts w:ascii="Times New Roman" w:eastAsia="Arial Unicode MS" w:hAnsi="Times New Roman" w:cs="Times New Roman"/>
          <w:sz w:val="21"/>
          <w:szCs w:val="21"/>
          <w:lang w:eastAsia="zh-CN"/>
        </w:rPr>
      </w:pPr>
      <w:r w:rsidRPr="001C4D5A">
        <w:rPr>
          <w:rFonts w:ascii="Times New Roman" w:eastAsia="Arial Unicode MS" w:hAnsi="Times New Roman" w:cs="Times New Roman"/>
          <w:sz w:val="21"/>
          <w:szCs w:val="21"/>
          <w:lang w:eastAsia="zh-CN"/>
        </w:rPr>
        <w:t xml:space="preserve">Значення сучасних соціально-економічних концепцій, зокрема, концепції людського розвитку, концепції сталого розвитку, теорії постіндустріального суспільства, що включає концепцію інформаційного суспільства та економіки знань, у трактуванні розвитку людського потенціалу полягає у виході його якісної складової на перше місце </w:t>
      </w:r>
      <w:r w:rsidRPr="001C4D5A">
        <w:rPr>
          <w:rFonts w:ascii="Times New Roman" w:hAnsi="Times New Roman" w:cs="Times New Roman"/>
          <w:sz w:val="21"/>
          <w:szCs w:val="21"/>
        </w:rPr>
        <w:t>за вагомістю серед факторів економічного зростання, що значно підвищує роль секторів освіти, науки, інноваційного і технологічного розвитку</w:t>
      </w:r>
      <w:r w:rsidRPr="001C4D5A">
        <w:rPr>
          <w:rFonts w:ascii="Times New Roman" w:eastAsia="Arial Unicode MS" w:hAnsi="Times New Roman" w:cs="Times New Roman"/>
          <w:sz w:val="21"/>
          <w:szCs w:val="21"/>
          <w:lang w:eastAsia="zh-CN"/>
        </w:rPr>
        <w:t>.</w:t>
      </w:r>
    </w:p>
    <w:p w:rsidR="00B233DE" w:rsidRPr="001C4D5A" w:rsidRDefault="00B233DE" w:rsidP="00B233DE">
      <w:pPr>
        <w:widowControl w:val="0"/>
        <w:tabs>
          <w:tab w:val="left" w:pos="142"/>
        </w:tabs>
        <w:overflowPunct w:val="0"/>
        <w:autoSpaceDE w:val="0"/>
        <w:autoSpaceDN w:val="0"/>
        <w:adjustRightInd w:val="0"/>
        <w:ind w:firstLine="709"/>
        <w:jc w:val="both"/>
        <w:rPr>
          <w:rFonts w:ascii="Times New Roman" w:eastAsia="Times New Roman" w:hAnsi="Times New Roman" w:cs="Times New Roman"/>
          <w:sz w:val="21"/>
          <w:szCs w:val="21"/>
          <w:lang w:eastAsia="ru-RU"/>
        </w:rPr>
      </w:pPr>
      <w:r w:rsidRPr="001C4D5A">
        <w:rPr>
          <w:rFonts w:ascii="Times New Roman" w:eastAsia="Arial Unicode MS" w:hAnsi="Times New Roman" w:cs="Times New Roman"/>
          <w:sz w:val="21"/>
          <w:szCs w:val="21"/>
          <w:lang w:eastAsia="zh-CN"/>
        </w:rPr>
        <w:t>У другому розділі монографії проведено</w:t>
      </w:r>
      <w:r w:rsidRPr="001C4D5A">
        <w:rPr>
          <w:rFonts w:ascii="Times New Roman" w:hAnsi="Times New Roman" w:cs="Times New Roman"/>
          <w:sz w:val="21"/>
          <w:szCs w:val="21"/>
        </w:rPr>
        <w:t xml:space="preserve"> аналіз генези розвитку демографічного потенціалу та передумов його формування в Україні, визначено методичні підходи до оцінки стану соціально-демографічного потенціалу України, виділено якісні та кількісні показники оцінки демографічного потенціалу, здійснена оцінка розвитку системи охорони здоров’я у забезпеченні формування соціально-демографічного потенціалу, проаналізовано стан соціально-демографічного потенціалу Подільського регіону.</w:t>
      </w:r>
    </w:p>
    <w:p w:rsidR="00B233DE" w:rsidRPr="001C4D5A" w:rsidRDefault="00B233DE" w:rsidP="00B233DE">
      <w:pPr>
        <w:ind w:firstLine="709"/>
        <w:jc w:val="both"/>
        <w:rPr>
          <w:rFonts w:ascii="Times New Roman" w:hAnsi="Times New Roman" w:cs="Times New Roman"/>
          <w:sz w:val="21"/>
          <w:szCs w:val="21"/>
          <w:lang w:val="ru-RU"/>
        </w:rPr>
      </w:pPr>
      <w:r w:rsidRPr="001C4D5A">
        <w:rPr>
          <w:rFonts w:ascii="Times New Roman" w:hAnsi="Times New Roman" w:cs="Times New Roman"/>
          <w:sz w:val="21"/>
          <w:szCs w:val="21"/>
        </w:rPr>
        <w:t>Широкого розмаху набули дослідження, що мали на меті виявити залежність демографічних характеристик від особливостей і рівня історичного розвитку. Наголошувалися відмінності природного відтворення населення в примітивних, доіндустріальних та індустріальних суспільствах, визначалися особливості демографічної поведінки міського і сільського населення. Зарубіжні дослідники поставили проблему про необхідність відповідності чисельності населення рівню соціально-економічного розвитку. Виходячи з цього, на їх думку, повинні регулюватися темпи зростання населення.</w:t>
      </w:r>
    </w:p>
    <w:p w:rsidR="00B233DE" w:rsidRPr="001C4D5A" w:rsidRDefault="00B233DE" w:rsidP="00B233DE">
      <w:pPr>
        <w:autoSpaceDE w:val="0"/>
        <w:autoSpaceDN w:val="0"/>
        <w:adjustRightInd w:val="0"/>
        <w:ind w:firstLine="709"/>
        <w:jc w:val="both"/>
        <w:rPr>
          <w:rFonts w:ascii="Times New Roman" w:hAnsi="Times New Roman" w:cs="Times New Roman"/>
          <w:sz w:val="21"/>
          <w:szCs w:val="21"/>
        </w:rPr>
      </w:pPr>
      <w:r w:rsidRPr="001C4D5A">
        <w:rPr>
          <w:rFonts w:ascii="Times New Roman" w:hAnsi="Times New Roman" w:cs="Times New Roman"/>
          <w:sz w:val="21"/>
          <w:szCs w:val="21"/>
        </w:rPr>
        <w:t xml:space="preserve">Система охорони здоров’я включає сукупність усіх організацій, інститутів і ресурсів, головною метою яких є зміцнення, підтримка або відновлення здоров’я. Основними </w:t>
      </w:r>
      <w:r w:rsidRPr="001C4D5A">
        <w:rPr>
          <w:rFonts w:ascii="Times New Roman" w:hAnsi="Times New Roman" w:cs="Times New Roman"/>
          <w:sz w:val="21"/>
          <w:szCs w:val="21"/>
        </w:rPr>
        <w:lastRenderedPageBreak/>
        <w:t xml:space="preserve">завданнями реформування системи охорони здоров’я є поліпшення здоров’я населення, відповідність запитам та потребам людей, забезпечення справедливості в розподілі фінансових ресурсів. У такому контексті, пріоритетною умовою для успішного функціонування системи охорони здоров’я є ефективна нормативно-правова база, що включає комплекс ресурсів, таких як фінансові, кадрові, матеріально-технічні, управління та керівництво, технології, а основними цінностями – справедливість, солідарність, участь населення та етичний підхід до розвитку системи. </w:t>
      </w:r>
    </w:p>
    <w:p w:rsidR="00B233DE" w:rsidRPr="001C4D5A" w:rsidRDefault="00B233DE" w:rsidP="00B233DE">
      <w:pPr>
        <w:autoSpaceDE w:val="0"/>
        <w:autoSpaceDN w:val="0"/>
        <w:adjustRightInd w:val="0"/>
        <w:ind w:firstLine="709"/>
        <w:jc w:val="both"/>
        <w:rPr>
          <w:rFonts w:ascii="Times New Roman" w:hAnsi="Times New Roman" w:cs="Times New Roman"/>
          <w:sz w:val="21"/>
          <w:szCs w:val="21"/>
        </w:rPr>
      </w:pPr>
      <w:r w:rsidRPr="001C4D5A">
        <w:rPr>
          <w:rFonts w:ascii="Times New Roman" w:hAnsi="Times New Roman" w:cs="Times New Roman"/>
          <w:sz w:val="21"/>
          <w:szCs w:val="21"/>
        </w:rPr>
        <w:t>Таким чином, прогрес у досягненні реформування системи охорони здоров’я безпосередньо залежить від ефективного виконання ключових функцій, а саме: спрямовуючого керівництва, формування ресурсів, надання послуг та фінансування.</w:t>
      </w:r>
    </w:p>
    <w:p w:rsidR="00B233DE" w:rsidRPr="001C4D5A" w:rsidRDefault="00B233DE" w:rsidP="00B233DE">
      <w:pPr>
        <w:autoSpaceDE w:val="0"/>
        <w:autoSpaceDN w:val="0"/>
        <w:adjustRightInd w:val="0"/>
        <w:ind w:firstLine="709"/>
        <w:jc w:val="both"/>
        <w:rPr>
          <w:rFonts w:ascii="Times New Roman" w:hAnsi="Times New Roman" w:cs="Times New Roman"/>
          <w:sz w:val="21"/>
          <w:szCs w:val="21"/>
          <w:lang w:val="ru-RU"/>
        </w:rPr>
      </w:pPr>
      <w:r w:rsidRPr="001C4D5A">
        <w:rPr>
          <w:rFonts w:ascii="Times New Roman" w:hAnsi="Times New Roman" w:cs="Times New Roman"/>
          <w:sz w:val="21"/>
          <w:szCs w:val="21"/>
        </w:rPr>
        <w:t>Подолання кризових явищ у відтворенні населення буде тим успішнішим, чим скоріше буде взятий на озброєння науково-обґрунтований підхід до поліпшення умов життя населення, а значить і умов його відтворення. Це поліпшення має бути найважливішою метою побудови суверенної держави і проведення соціально-економічних реформ. Ігнорування проблем відтворення населення свідчить про недооцінку демографічного фактора в налагодженні ефективної економіки, про нерозуміння того факту, що невирішеність питань відтворення здорового населення взагалі і його працездатної частини, тобто трудових ресурсів зокрема, давно стала економічно невигідною, а сучасна економія на розвитку даної сфери може обернутися великими збитками для суспільства.</w:t>
      </w:r>
    </w:p>
    <w:p w:rsidR="00B233DE" w:rsidRPr="001C4D5A" w:rsidRDefault="00B233DE" w:rsidP="00B233DE">
      <w:pPr>
        <w:pStyle w:val="afb"/>
        <w:shd w:val="clear" w:color="auto" w:fill="auto"/>
        <w:tabs>
          <w:tab w:val="left" w:pos="394"/>
          <w:tab w:val="left" w:pos="426"/>
        </w:tabs>
        <w:spacing w:before="0" w:line="240" w:lineRule="auto"/>
        <w:ind w:firstLine="709"/>
        <w:contextualSpacing/>
        <w:jc w:val="both"/>
        <w:rPr>
          <w:sz w:val="21"/>
          <w:szCs w:val="21"/>
        </w:rPr>
      </w:pPr>
      <w:r w:rsidRPr="001C4D5A">
        <w:rPr>
          <w:sz w:val="21"/>
          <w:szCs w:val="21"/>
        </w:rPr>
        <w:t>У третьому розділі монографії розглядається еволюція формування та розвитку соціально-орієнтованого ринку праці, інституціональні перетворення у його становленні, розвиток інфраструктури ринку праці в регіонах України, формування людського капіталу як реалізованого людського потенціалу та забез-печення його конкурентоспроможності на ринку праці.</w:t>
      </w:r>
    </w:p>
    <w:p w:rsidR="00B233DE" w:rsidRPr="001C4D5A" w:rsidRDefault="00B233DE" w:rsidP="00B233DE">
      <w:pPr>
        <w:widowControl w:val="0"/>
        <w:tabs>
          <w:tab w:val="left" w:pos="142"/>
        </w:tabs>
        <w:overflowPunct w:val="0"/>
        <w:autoSpaceDE w:val="0"/>
        <w:autoSpaceDN w:val="0"/>
        <w:adjustRightInd w:val="0"/>
        <w:ind w:firstLine="709"/>
        <w:jc w:val="both"/>
        <w:rPr>
          <w:rFonts w:ascii="Times New Roman" w:hAnsi="Times New Roman" w:cs="Times New Roman"/>
          <w:sz w:val="21"/>
          <w:szCs w:val="21"/>
        </w:rPr>
      </w:pPr>
      <w:r w:rsidRPr="001C4D5A">
        <w:rPr>
          <w:rFonts w:ascii="Times New Roman" w:hAnsi="Times New Roman" w:cs="Times New Roman"/>
          <w:sz w:val="21"/>
          <w:szCs w:val="21"/>
        </w:rPr>
        <w:t xml:space="preserve">Сучасна модель українського ринку праці є парадоксальною і характеризується суперечностями, що перешкоджають його ефективній інтеграції. Політика зайнятості та політика оплати праці не скоординовані, державні та ринкові регулятори не взаємодіють, рішення, що ухвалюються, є реакцією на події, а не є проактивними, ринок праці відірваний від ринків житла, кредитів, інвестицій, товарів та послуг; держава контролює </w:t>
      </w:r>
      <w:r w:rsidRPr="001C4D5A">
        <w:rPr>
          <w:rFonts w:ascii="Times New Roman" w:hAnsi="Times New Roman" w:cs="Times New Roman"/>
          <w:sz w:val="21"/>
          <w:szCs w:val="21"/>
        </w:rPr>
        <w:lastRenderedPageBreak/>
        <w:t>прибутковість роботодавців, а не їх системний розвиток; законодавство розробляється, але порушується й не дотримується. Дослідження показали, що потрібні перетворення на ринку праці співпадають з заходами, необхідними для євроінтеграції економіки України. У разі їх втілення у життя умови функціонування та регулювання ринку праці наблизяться до європейських.</w:t>
      </w:r>
    </w:p>
    <w:p w:rsidR="00B233DE" w:rsidRPr="001C4D5A" w:rsidRDefault="00B233DE" w:rsidP="00B233DE">
      <w:pPr>
        <w:autoSpaceDE w:val="0"/>
        <w:autoSpaceDN w:val="0"/>
        <w:adjustRightInd w:val="0"/>
        <w:ind w:firstLine="709"/>
        <w:jc w:val="both"/>
        <w:rPr>
          <w:rFonts w:ascii="Times New Roman" w:hAnsi="Times New Roman" w:cs="Times New Roman"/>
          <w:sz w:val="21"/>
          <w:szCs w:val="21"/>
          <w:lang w:val="ru-RU"/>
        </w:rPr>
      </w:pPr>
      <w:r w:rsidRPr="001C4D5A">
        <w:rPr>
          <w:rFonts w:ascii="Times New Roman" w:hAnsi="Times New Roman" w:cs="Times New Roman"/>
          <w:sz w:val="21"/>
          <w:szCs w:val="21"/>
        </w:rPr>
        <w:t xml:space="preserve">На сьогодні, відбувається трансформація ринку праці, як результат різноманітних інституціональних змін. В Україні назріла необхідність побудови якісного інституційного оформлення ринку праці, завдяки реформуванню існуючих, прискоренню «приживання» тих інститутів, які знаходяться в стадії формування та створенню можливості появи нових інститутів ринку праці. </w:t>
      </w:r>
    </w:p>
    <w:p w:rsidR="00B233DE" w:rsidRPr="001C4D5A" w:rsidRDefault="00B233DE" w:rsidP="00B233DE">
      <w:pPr>
        <w:widowControl w:val="0"/>
        <w:tabs>
          <w:tab w:val="left" w:pos="142"/>
        </w:tabs>
        <w:overflowPunct w:val="0"/>
        <w:autoSpaceDE w:val="0"/>
        <w:autoSpaceDN w:val="0"/>
        <w:adjustRightInd w:val="0"/>
        <w:ind w:firstLine="709"/>
        <w:jc w:val="both"/>
        <w:rPr>
          <w:rFonts w:ascii="Times New Roman" w:hAnsi="Times New Roman" w:cs="Times New Roman"/>
          <w:sz w:val="21"/>
          <w:szCs w:val="21"/>
        </w:rPr>
      </w:pPr>
      <w:r w:rsidRPr="001C4D5A">
        <w:rPr>
          <w:rFonts w:ascii="Times New Roman" w:hAnsi="Times New Roman" w:cs="Times New Roman"/>
          <w:sz w:val="21"/>
          <w:szCs w:val="21"/>
        </w:rPr>
        <w:t>Відволікання в питаннях вдосконалення, модернізації та розбудови інфраструктури як національного ринку праці, так і регіональних ринків праці в умовах євроінтеграції гальмуватиме успішне регулювання проблем зайнятості та безробіття на них.</w:t>
      </w:r>
    </w:p>
    <w:p w:rsidR="00B233DE" w:rsidRPr="001C4D5A" w:rsidRDefault="00B233DE" w:rsidP="00B233DE">
      <w:pPr>
        <w:autoSpaceDE w:val="0"/>
        <w:autoSpaceDN w:val="0"/>
        <w:adjustRightInd w:val="0"/>
        <w:ind w:firstLine="709"/>
        <w:jc w:val="both"/>
        <w:rPr>
          <w:rFonts w:ascii="Times New Roman" w:hAnsi="Times New Roman" w:cs="Times New Roman"/>
          <w:sz w:val="21"/>
          <w:szCs w:val="21"/>
        </w:rPr>
      </w:pPr>
      <w:r w:rsidRPr="001C4D5A">
        <w:rPr>
          <w:rFonts w:ascii="Times New Roman" w:hAnsi="Times New Roman" w:cs="Times New Roman"/>
          <w:sz w:val="21"/>
          <w:szCs w:val="21"/>
        </w:rPr>
        <w:t>Разом з тим, формування інвестиційного сектору розвитку людського капіталу забезпечує відхід від рудиментарних понять трудових ресурсів та персоналу в результаті обґрунтування інвестиційної основи його формування та ключової ролі у інформаційному суспільстві.</w:t>
      </w:r>
    </w:p>
    <w:p w:rsidR="00B233DE" w:rsidRPr="001C4D5A" w:rsidRDefault="00B233DE" w:rsidP="00B233DE">
      <w:pPr>
        <w:widowControl w:val="0"/>
        <w:ind w:firstLine="709"/>
        <w:jc w:val="both"/>
        <w:rPr>
          <w:rFonts w:ascii="Times New Roman" w:hAnsi="Times New Roman" w:cs="Times New Roman"/>
          <w:sz w:val="21"/>
          <w:szCs w:val="21"/>
        </w:rPr>
      </w:pPr>
      <w:r w:rsidRPr="001C4D5A">
        <w:rPr>
          <w:rFonts w:ascii="Times New Roman" w:hAnsi="Times New Roman" w:cs="Times New Roman"/>
          <w:sz w:val="21"/>
          <w:szCs w:val="21"/>
        </w:rPr>
        <w:t>Четвертий розділ монографії присвячений оцінці міграційної складової формування людського потенціалу, аналізу міграційних тенденцій та формування людського потенціалу України,</w:t>
      </w:r>
      <w:r>
        <w:rPr>
          <w:rFonts w:ascii="Times New Roman" w:hAnsi="Times New Roman" w:cs="Times New Roman"/>
          <w:sz w:val="21"/>
          <w:szCs w:val="21"/>
        </w:rPr>
        <w:t xml:space="preserve"> </w:t>
      </w:r>
      <w:r w:rsidRPr="001C4D5A">
        <w:rPr>
          <w:rFonts w:ascii="Times New Roman" w:hAnsi="Times New Roman" w:cs="Times New Roman"/>
          <w:sz w:val="21"/>
          <w:szCs w:val="21"/>
        </w:rPr>
        <w:t>чинникам розвитку людських ресурсів в системі сучасних міграційних процесів, системі формування людського потенціалу України за рахунок регіональної та зовнішньої міграції.</w:t>
      </w:r>
    </w:p>
    <w:p w:rsidR="00B233DE" w:rsidRPr="001C4D5A" w:rsidRDefault="00B233DE" w:rsidP="00B233DE">
      <w:pPr>
        <w:ind w:firstLine="709"/>
        <w:jc w:val="both"/>
        <w:rPr>
          <w:rFonts w:ascii="Times New Roman" w:hAnsi="Times New Roman" w:cs="Times New Roman"/>
          <w:sz w:val="21"/>
          <w:szCs w:val="21"/>
        </w:rPr>
      </w:pPr>
      <w:r w:rsidRPr="001C4D5A">
        <w:rPr>
          <w:rFonts w:ascii="Times New Roman" w:hAnsi="Times New Roman" w:cs="Times New Roman"/>
          <w:sz w:val="21"/>
          <w:szCs w:val="21"/>
        </w:rPr>
        <w:t>Розроблена система формування людського потенціалу за рахунок міграції, що враховує причинно-наслідкові зв’язки між</w:t>
      </w:r>
      <w:r w:rsidRPr="001C4D5A">
        <w:rPr>
          <w:rFonts w:ascii="Times New Roman" w:hAnsi="Times New Roman" w:cs="Times New Roman"/>
          <w:spacing w:val="-2"/>
          <w:sz w:val="21"/>
          <w:szCs w:val="21"/>
        </w:rPr>
        <w:t xml:space="preserve"> наслідками, цілями та інструментами міграційного перерозподілу людського потенціалу</w:t>
      </w:r>
      <w:r w:rsidRPr="001C4D5A">
        <w:rPr>
          <w:rFonts w:ascii="Times New Roman" w:hAnsi="Times New Roman" w:cs="Times New Roman"/>
          <w:sz w:val="21"/>
          <w:szCs w:val="21"/>
        </w:rPr>
        <w:t>. Систематизація інструментів створює можливості вибору доцільних шляхів регулювання міграційних процесів і є основою формування механізму міграційного перерозподілу людського потенціалу.</w:t>
      </w:r>
    </w:p>
    <w:p w:rsidR="00B233DE" w:rsidRPr="001C4D5A" w:rsidRDefault="00B233DE" w:rsidP="00B233DE">
      <w:pPr>
        <w:ind w:firstLine="709"/>
        <w:jc w:val="both"/>
        <w:rPr>
          <w:rFonts w:ascii="Times New Roman" w:hAnsi="Times New Roman" w:cs="Times New Roman"/>
          <w:sz w:val="21"/>
          <w:szCs w:val="21"/>
        </w:rPr>
      </w:pPr>
      <w:r w:rsidRPr="001C4D5A">
        <w:rPr>
          <w:rFonts w:ascii="Times New Roman" w:hAnsi="Times New Roman" w:cs="Times New Roman"/>
          <w:sz w:val="21"/>
          <w:szCs w:val="21"/>
        </w:rPr>
        <w:t xml:space="preserve">Висвітлені тенденції міграційних процесів в Україні та пов’язані з ними проблеми соціально-економічного розвитку вимагають вдосконалення української міграційної політики для збереження, накопичення та відтворення людського потенціалу на основі відповідного законодавчого та інституційного забезпечення. </w:t>
      </w:r>
      <w:r w:rsidRPr="001C4D5A">
        <w:rPr>
          <w:rFonts w:ascii="Times New Roman" w:hAnsi="Times New Roman" w:cs="Times New Roman"/>
          <w:sz w:val="21"/>
          <w:szCs w:val="21"/>
        </w:rPr>
        <w:lastRenderedPageBreak/>
        <w:t>Міграційна політика повинна мати комплексний характер в контексті формування та реалізації людського потенціалу України на основі ефективного функціонування механізму його перерозподілу.</w:t>
      </w:r>
    </w:p>
    <w:p w:rsidR="00B233DE" w:rsidRPr="001C4D5A" w:rsidRDefault="00B233DE" w:rsidP="00B233DE">
      <w:pPr>
        <w:pStyle w:val="ad"/>
        <w:widowControl w:val="0"/>
        <w:tabs>
          <w:tab w:val="left" w:pos="142"/>
          <w:tab w:val="left" w:pos="567"/>
        </w:tabs>
        <w:ind w:left="0" w:firstLine="709"/>
        <w:jc w:val="both"/>
        <w:rPr>
          <w:rFonts w:ascii="Times New Roman" w:hAnsi="Times New Roman" w:cs="Times New Roman"/>
          <w:sz w:val="21"/>
          <w:szCs w:val="21"/>
        </w:rPr>
      </w:pPr>
      <w:r w:rsidRPr="001C4D5A">
        <w:rPr>
          <w:rFonts w:ascii="Times New Roman" w:hAnsi="Times New Roman" w:cs="Times New Roman"/>
          <w:sz w:val="21"/>
          <w:szCs w:val="21"/>
        </w:rPr>
        <w:t>У п’ятому розділі монографії розглядається соціальна регіональна політика в управлінні розвитком людського потенціалу</w:t>
      </w:r>
      <w:r w:rsidRPr="001C4D5A">
        <w:rPr>
          <w:rFonts w:ascii="Times New Roman" w:hAnsi="Times New Roman" w:cs="Times New Roman"/>
          <w:iCs/>
          <w:sz w:val="21"/>
          <w:szCs w:val="21"/>
        </w:rPr>
        <w:t>, п</w:t>
      </w:r>
      <w:r w:rsidRPr="001C4D5A">
        <w:rPr>
          <w:rFonts w:ascii="Times New Roman" w:hAnsi="Times New Roman" w:cs="Times New Roman"/>
          <w:sz w:val="21"/>
          <w:szCs w:val="21"/>
        </w:rPr>
        <w:t>ринципи формування соціального капіталу регіонів України</w:t>
      </w:r>
      <w:r w:rsidRPr="001C4D5A">
        <w:rPr>
          <w:rFonts w:ascii="Times New Roman" w:hAnsi="Times New Roman" w:cs="Times New Roman"/>
          <w:iCs/>
          <w:sz w:val="21"/>
          <w:szCs w:val="21"/>
        </w:rPr>
        <w:t>, р</w:t>
      </w:r>
      <w:r w:rsidRPr="001C4D5A">
        <w:rPr>
          <w:rFonts w:ascii="Times New Roman" w:hAnsi="Times New Roman" w:cs="Times New Roman"/>
          <w:sz w:val="21"/>
          <w:szCs w:val="21"/>
        </w:rPr>
        <w:t>егулювання регіонального розвитку людського потенціалу в системі державної соціальної політики</w:t>
      </w:r>
      <w:r w:rsidRPr="001C4D5A">
        <w:rPr>
          <w:rFonts w:ascii="Times New Roman" w:hAnsi="Times New Roman" w:cs="Times New Roman"/>
          <w:iCs/>
          <w:sz w:val="21"/>
          <w:szCs w:val="21"/>
        </w:rPr>
        <w:t>, с</w:t>
      </w:r>
      <w:r w:rsidRPr="001C4D5A">
        <w:rPr>
          <w:rFonts w:ascii="Times New Roman" w:hAnsi="Times New Roman" w:cs="Times New Roman"/>
          <w:sz w:val="21"/>
          <w:szCs w:val="21"/>
        </w:rPr>
        <w:t xml:space="preserve">пецифічні напрями формування людського потенціалу </w:t>
      </w:r>
      <w:r w:rsidRPr="001C4D5A">
        <w:rPr>
          <w:rFonts w:ascii="Times New Roman" w:hAnsi="Times New Roman" w:cs="Times New Roman"/>
          <w:iCs/>
          <w:sz w:val="21"/>
          <w:szCs w:val="21"/>
        </w:rPr>
        <w:t>та процесів його реалізації.</w:t>
      </w:r>
    </w:p>
    <w:p w:rsidR="00B233DE" w:rsidRPr="001C4D5A" w:rsidRDefault="00B233DE" w:rsidP="00B233DE">
      <w:pPr>
        <w:widowControl w:val="0"/>
        <w:tabs>
          <w:tab w:val="left" w:pos="142"/>
        </w:tabs>
        <w:overflowPunct w:val="0"/>
        <w:autoSpaceDE w:val="0"/>
        <w:autoSpaceDN w:val="0"/>
        <w:adjustRightInd w:val="0"/>
        <w:ind w:firstLine="709"/>
        <w:jc w:val="both"/>
        <w:rPr>
          <w:rFonts w:ascii="Times New Roman" w:hAnsi="Times New Roman" w:cs="Times New Roman"/>
          <w:sz w:val="21"/>
          <w:szCs w:val="21"/>
        </w:rPr>
      </w:pPr>
      <w:r w:rsidRPr="001C4D5A">
        <w:rPr>
          <w:rFonts w:ascii="Times New Roman" w:hAnsi="Times New Roman" w:cs="Times New Roman"/>
          <w:sz w:val="21"/>
          <w:szCs w:val="21"/>
        </w:rPr>
        <w:t>Відправною точкою самого існування соціальної політики та її головним суб’єктом є людина, яка у даному контексті на місцевому рівні набуває рис територіальної громади. В умовах децентралізації роль територіальної громади як суб’єкта соціальної регіональної політики важко переоцінити, вона володіє безпрецедентними можливостями регулювання окремих соціальних відносин та соціальної сфери загалом, насамперед, через інститут місцевого самоврядування та право комунальної власності.</w:t>
      </w:r>
    </w:p>
    <w:p w:rsidR="00B233DE" w:rsidRPr="001C4D5A" w:rsidRDefault="00B233DE" w:rsidP="00B233DE">
      <w:pPr>
        <w:ind w:firstLine="709"/>
        <w:jc w:val="both"/>
        <w:rPr>
          <w:rFonts w:ascii="Times New Roman" w:hAnsi="Times New Roman" w:cs="Times New Roman"/>
          <w:sz w:val="21"/>
          <w:szCs w:val="21"/>
        </w:rPr>
      </w:pPr>
      <w:r w:rsidRPr="001C4D5A">
        <w:rPr>
          <w:rFonts w:ascii="Times New Roman" w:hAnsi="Times New Roman" w:cs="Times New Roman"/>
          <w:sz w:val="21"/>
          <w:szCs w:val="21"/>
        </w:rPr>
        <w:t>Звернення до соціального капіталу дозволяє, з одного боку, включити в аналіз складну інституціональну структуру соціуму, в якій нерозривно переплетені ринковий сектор економіки, сукупність стосунків громадянського суспільства, діяльність держави, а з іншої - притягнути увагу до ключових аспектів соціальних стосунків.</w:t>
      </w:r>
    </w:p>
    <w:p w:rsidR="00B233DE" w:rsidRPr="001C4D5A" w:rsidRDefault="00B233DE" w:rsidP="00B233DE">
      <w:pPr>
        <w:ind w:firstLine="709"/>
        <w:jc w:val="both"/>
        <w:rPr>
          <w:rFonts w:ascii="Times New Roman" w:hAnsi="Times New Roman" w:cs="Times New Roman"/>
          <w:sz w:val="21"/>
          <w:szCs w:val="21"/>
        </w:rPr>
      </w:pPr>
      <w:r w:rsidRPr="001C4D5A">
        <w:rPr>
          <w:rFonts w:ascii="Times New Roman" w:hAnsi="Times New Roman" w:cs="Times New Roman"/>
          <w:sz w:val="21"/>
          <w:szCs w:val="21"/>
        </w:rPr>
        <w:t>Огляд наведених визначень соціальної політики, сформульованих різними вченими, показує їх спільність у тому, що всі вони акцентують увагу на головних ознаках соціального стану населення і забезпеченні умов його стабільного розвитку та спроможності задоволення потреб. Соціальну політику слід розглядати як багаторівневу і багатофункціональну систему, яка зможе забезпечити соціальний і економічний розвиток держави шляхом активізації людського капіталу та максимальної реалізації його інноваційного потенціалу.</w:t>
      </w:r>
    </w:p>
    <w:p w:rsidR="00B233DE" w:rsidRPr="001C4D5A" w:rsidRDefault="00B233DE" w:rsidP="00B233DE">
      <w:pPr>
        <w:ind w:firstLine="709"/>
        <w:jc w:val="both"/>
        <w:rPr>
          <w:rFonts w:ascii="Times New Roman" w:hAnsi="Times New Roman" w:cs="Times New Roman"/>
          <w:i/>
          <w:sz w:val="21"/>
          <w:szCs w:val="21"/>
        </w:rPr>
      </w:pPr>
      <w:r w:rsidRPr="001C4D5A">
        <w:rPr>
          <w:rFonts w:ascii="Times New Roman" w:hAnsi="Times New Roman" w:cs="Times New Roman"/>
          <w:noProof/>
          <w:sz w:val="21"/>
          <w:szCs w:val="21"/>
        </w:rPr>
        <w:t xml:space="preserve">Сфера професійної реабілітації та працевлаштування людей з обмеженими можливостями ще недостатньо розвинута в нашій країні. Держава пропонує інвалідам переважно робітничі професії, які не потребують глибоких знань, передбачають монотонну й </w:t>
      </w:r>
      <w:r w:rsidRPr="001C4D5A">
        <w:rPr>
          <w:rFonts w:ascii="Times New Roman" w:hAnsi="Times New Roman" w:cs="Times New Roman"/>
          <w:noProof/>
          <w:sz w:val="21"/>
          <w:szCs w:val="21"/>
        </w:rPr>
        <w:lastRenderedPageBreak/>
        <w:t xml:space="preserve">низькооплачувану працю. Водночас, громадські організації в змозі запропонувати нові підходи до процесу професійної реабілітації людей з особливими потребами та скласти серйозну конкуренцію державній системі надання послуг у цій сфері. Однак вони поки що не надто переймаються саме цим напрямом роботи. </w:t>
      </w:r>
      <w:r w:rsidRPr="001C4D5A">
        <w:rPr>
          <w:rFonts w:ascii="Times New Roman" w:hAnsi="Times New Roman" w:cs="Times New Roman"/>
          <w:sz w:val="21"/>
          <w:szCs w:val="21"/>
        </w:rPr>
        <w:t>З точки зору створення оптимальних умов для реабілітації та інтеграції інвалідів до соціуму важливим є надання їм можливості відчувати свою незалежність, значимість і корисність для оточуючих та суспільства.</w:t>
      </w:r>
    </w:p>
    <w:p w:rsidR="00B233DE" w:rsidRPr="001C4D5A" w:rsidRDefault="00B233DE" w:rsidP="00B233DE">
      <w:pPr>
        <w:ind w:firstLine="709"/>
        <w:jc w:val="both"/>
        <w:rPr>
          <w:rFonts w:ascii="Times New Roman" w:hAnsi="Times New Roman" w:cs="Times New Roman"/>
          <w:sz w:val="21"/>
          <w:szCs w:val="21"/>
        </w:rPr>
      </w:pPr>
      <w:r w:rsidRPr="001C4D5A">
        <w:rPr>
          <w:rFonts w:ascii="Times New Roman" w:hAnsi="Times New Roman" w:cs="Times New Roman"/>
          <w:sz w:val="21"/>
          <w:szCs w:val="21"/>
        </w:rPr>
        <w:t>Розробка та реалізація державних соціальних програм має спиратися на системний аналіз, що забезпечує прийняття науково</w:t>
      </w:r>
      <w:r>
        <w:rPr>
          <w:rFonts w:ascii="Times New Roman" w:hAnsi="Times New Roman" w:cs="Times New Roman"/>
          <w:sz w:val="21"/>
          <w:szCs w:val="21"/>
        </w:rPr>
        <w:t>-</w:t>
      </w:r>
      <w:r w:rsidRPr="001C4D5A">
        <w:rPr>
          <w:rFonts w:ascii="Times New Roman" w:hAnsi="Times New Roman" w:cs="Times New Roman"/>
          <w:sz w:val="21"/>
          <w:szCs w:val="21"/>
        </w:rPr>
        <w:t>обгрунтованих управлінських рішень. Одним з методів такого аналізу є контролінг. При цьому він як підсистема державного управління має відповідати визначеному комплексу методологічних вимог.</w:t>
      </w:r>
    </w:p>
    <w:p w:rsidR="00B233DE" w:rsidRPr="001C4D5A" w:rsidRDefault="00B233DE" w:rsidP="00B233DE">
      <w:pPr>
        <w:pStyle w:val="ad"/>
        <w:widowControl w:val="0"/>
        <w:tabs>
          <w:tab w:val="left" w:pos="142"/>
          <w:tab w:val="left" w:pos="567"/>
        </w:tabs>
        <w:ind w:left="0" w:firstLine="709"/>
        <w:jc w:val="both"/>
        <w:rPr>
          <w:rFonts w:ascii="Times New Roman" w:hAnsi="Times New Roman" w:cs="Times New Roman"/>
          <w:sz w:val="21"/>
          <w:szCs w:val="21"/>
        </w:rPr>
      </w:pPr>
      <w:r w:rsidRPr="001C4D5A">
        <w:rPr>
          <w:rFonts w:ascii="Times New Roman" w:hAnsi="Times New Roman" w:cs="Times New Roman"/>
          <w:sz w:val="21"/>
          <w:szCs w:val="21"/>
        </w:rPr>
        <w:t xml:space="preserve">Шостий розділ монографії присвячений реформуванню комунальної власності в умовах трансформації місцевого самоврядування та територіальної реорганізації, удосконаленню системи фінансування соціальної регіональної політики на основі розвитку комунальної власності, громадському контролю за використанням комунальної власності як основи соціального розвитку територіальних громад.  </w:t>
      </w:r>
    </w:p>
    <w:p w:rsidR="00B233DE" w:rsidRPr="001C4D5A" w:rsidRDefault="00B233DE" w:rsidP="00B233DE">
      <w:pPr>
        <w:widowControl w:val="0"/>
        <w:ind w:firstLine="709"/>
        <w:jc w:val="both"/>
        <w:rPr>
          <w:rFonts w:ascii="Times New Roman" w:hAnsi="Times New Roman" w:cs="Times New Roman"/>
          <w:sz w:val="21"/>
          <w:szCs w:val="21"/>
        </w:rPr>
      </w:pPr>
      <w:r w:rsidRPr="001C4D5A">
        <w:rPr>
          <w:rFonts w:ascii="Times New Roman" w:hAnsi="Times New Roman" w:cs="Times New Roman"/>
          <w:sz w:val="21"/>
          <w:szCs w:val="21"/>
        </w:rPr>
        <w:t>Реформа місцевого самоврядування за принципом децентралізації є основою ефективного використання та розвитку комунальної власності як міцної основи дієвої реалізації соціальної регіональної політики. Саме на рівні регіону (області), району та територіальної громади матеріальним і фінансовим підґрунтям здійснення заходів соціальної політики є комунальна власність, що потребує розробки заходів щодо активізації її розвитку та продуктивного використання, у тому числі на основі активізації розвитку людського потенціалу та формування відповідних організаційних структур.</w:t>
      </w:r>
      <w:r w:rsidRPr="001C4D5A">
        <w:rPr>
          <w:rFonts w:ascii="Times New Roman" w:hAnsi="Times New Roman" w:cs="Times New Roman"/>
          <w:b/>
          <w:sz w:val="21"/>
          <w:szCs w:val="21"/>
        </w:rPr>
        <w:t> </w:t>
      </w:r>
    </w:p>
    <w:p w:rsidR="00B233DE" w:rsidRPr="001C4D5A" w:rsidRDefault="00B233DE" w:rsidP="00B233DE">
      <w:pPr>
        <w:widowControl w:val="0"/>
        <w:autoSpaceDE w:val="0"/>
        <w:autoSpaceDN w:val="0"/>
        <w:adjustRightInd w:val="0"/>
        <w:ind w:firstLine="709"/>
        <w:jc w:val="both"/>
        <w:rPr>
          <w:rFonts w:ascii="Times New Roman" w:hAnsi="Times New Roman" w:cs="Times New Roman"/>
          <w:sz w:val="21"/>
          <w:szCs w:val="21"/>
        </w:rPr>
      </w:pPr>
      <w:r w:rsidRPr="001C4D5A">
        <w:rPr>
          <w:rFonts w:ascii="Times New Roman" w:hAnsi="Times New Roman" w:cs="Times New Roman"/>
          <w:sz w:val="21"/>
          <w:szCs w:val="21"/>
        </w:rPr>
        <w:t xml:space="preserve">Наявність ефективного громадського контролю за використанням комунальної власності є основою соціального розвитку громади. Він має базуватися на принципах активної участі кожного члена громади у досягненні соціального ефекту та розумінні потенціалу окремої особи, об’єднання осіб, наявного комунального майна як переваги, яка є точкою відліку для майбутніх соціальних перетворень. А прийняття оптимальних </w:t>
      </w:r>
      <w:r w:rsidRPr="001C4D5A">
        <w:rPr>
          <w:rFonts w:ascii="Times New Roman" w:hAnsi="Times New Roman" w:cs="Times New Roman"/>
          <w:sz w:val="21"/>
          <w:szCs w:val="21"/>
        </w:rPr>
        <w:lastRenderedPageBreak/>
        <w:t>рішень з боку територіальної громади та її органів місцевого самоврядування має відбуватися на основі визначення соціальної ефективності перетворень у соціальній сфері та у значною мірою забезпечуючій її сфері комунальної власності.</w:t>
      </w:r>
    </w:p>
    <w:p w:rsidR="00B233DE" w:rsidRPr="001C4D5A" w:rsidRDefault="00B233DE" w:rsidP="00B233DE">
      <w:pPr>
        <w:ind w:firstLine="709"/>
        <w:jc w:val="both"/>
        <w:rPr>
          <w:rFonts w:ascii="Times New Roman" w:hAnsi="Times New Roman" w:cs="Times New Roman"/>
          <w:sz w:val="21"/>
          <w:szCs w:val="21"/>
        </w:rPr>
      </w:pPr>
      <w:r w:rsidRPr="001C4D5A">
        <w:rPr>
          <w:rFonts w:ascii="Times New Roman" w:hAnsi="Times New Roman" w:cs="Times New Roman"/>
          <w:sz w:val="21"/>
          <w:szCs w:val="21"/>
        </w:rPr>
        <w:t>У сьомому розділі аналізується розвиток та прогнозування напрямів підвищення освітньо-кваліфікаційного потенціалу України, забезпечення доступності та якості вищої освіти в контексті реалізації сучасної нормативно-правової бази, визначаються напрями реформування фінансово-господарської діяльності ВНЗ у підвищенні людського потенціалу, структура та складові елементи механізму управління фінансово-господарською діяльністю вищого навчального закладу.</w:t>
      </w:r>
    </w:p>
    <w:p w:rsidR="00B233DE" w:rsidRPr="001C4D5A" w:rsidRDefault="00B233DE" w:rsidP="00B233DE">
      <w:pPr>
        <w:ind w:firstLine="709"/>
        <w:jc w:val="both"/>
        <w:rPr>
          <w:rFonts w:ascii="Times New Roman" w:hAnsi="Times New Roman" w:cs="Times New Roman"/>
          <w:sz w:val="21"/>
          <w:szCs w:val="21"/>
          <w:lang w:val="ru-RU"/>
        </w:rPr>
      </w:pPr>
      <w:r w:rsidRPr="001C4D5A">
        <w:rPr>
          <w:rFonts w:ascii="Times New Roman" w:hAnsi="Times New Roman" w:cs="Times New Roman"/>
          <w:sz w:val="21"/>
          <w:szCs w:val="21"/>
        </w:rPr>
        <w:t>На сьогодні в Україні лише формується система забезпечення якості вищої освіти. Так, на державному рівні розробляються і приймаються нормативні документи з питань забезпечення якості освіти, затверджуються механізм і процедури її контролю. В той же час, на сьогодні у сфері вищої освіти, і, зокрема, в питаннях державного регулювання забезпечення її якості, існує ще цілий ряд проблем, які потребують нагального вирішення.</w:t>
      </w:r>
    </w:p>
    <w:p w:rsidR="00B233DE" w:rsidRPr="001C4D5A" w:rsidRDefault="00B233DE" w:rsidP="00B233DE">
      <w:pPr>
        <w:pStyle w:val="52"/>
        <w:spacing w:after="0" w:line="240" w:lineRule="auto"/>
        <w:ind w:left="0" w:firstLine="709"/>
        <w:jc w:val="both"/>
        <w:rPr>
          <w:rFonts w:ascii="Times New Roman" w:hAnsi="Times New Roman"/>
          <w:sz w:val="21"/>
          <w:szCs w:val="21"/>
          <w:lang w:val="uk-UA"/>
        </w:rPr>
      </w:pPr>
      <w:r w:rsidRPr="001C4D5A">
        <w:rPr>
          <w:rFonts w:ascii="Times New Roman" w:hAnsi="Times New Roman"/>
          <w:sz w:val="21"/>
          <w:szCs w:val="21"/>
          <w:lang w:val="uk-UA"/>
        </w:rPr>
        <w:t>Проблеми економічного розвитку навчальних закладів вимагають уваги і повинні вирішуватись шляхом поєднання елементів централізованого та децентралізованого управління із врахуванням вітчизняних традицій і зарубіжного досвіду. Прийняття багатьох рішень безпосередньо на рівні навчального закладу та концентрація на рівні державних органів влади лише найсуттєвіших функцій керівництва і управління забезпечить ефективне функціонування вищих навчальних закладів.</w:t>
      </w:r>
    </w:p>
    <w:p w:rsidR="00B233DE" w:rsidRDefault="00B233DE" w:rsidP="00B233DE">
      <w:pPr>
        <w:pStyle w:val="52"/>
        <w:spacing w:after="0" w:line="240" w:lineRule="auto"/>
        <w:ind w:left="0" w:firstLine="709"/>
        <w:jc w:val="both"/>
        <w:rPr>
          <w:rFonts w:ascii="Times New Roman" w:hAnsi="Times New Roman"/>
          <w:sz w:val="21"/>
          <w:szCs w:val="21"/>
          <w:lang w:val="uk-UA"/>
        </w:rPr>
      </w:pPr>
      <w:r w:rsidRPr="001C4D5A">
        <w:rPr>
          <w:rFonts w:ascii="Times New Roman" w:hAnsi="Times New Roman"/>
          <w:sz w:val="21"/>
          <w:szCs w:val="21"/>
          <w:lang w:val="uk-UA"/>
        </w:rPr>
        <w:t>Метою впровадження механізму управління фінансово-господарською діяльністю є досягнення економічного розвитку вищого навчального закладу, що є, у свою чергу, запорукою надання якісних освітніх послуг. За сучасних умов функціонування, якість освітніх послуг є визначальним чинником конкурентоспроможності закладу освіти. Забезпечення конкуренто-спроможності ВНЗ можливе за умови об’єктивного оцінювання результатів діяльності на основі оперативної своєчасної та достовірної інформації, що є підставою для вироблення ефективних управлінських рішень.</w:t>
      </w:r>
    </w:p>
    <w:p w:rsidR="00B233DE" w:rsidRPr="001C4D5A" w:rsidRDefault="00B233DE" w:rsidP="00B233DE">
      <w:pPr>
        <w:pStyle w:val="52"/>
        <w:spacing w:after="0" w:line="240" w:lineRule="auto"/>
        <w:ind w:left="0" w:firstLine="709"/>
        <w:jc w:val="both"/>
        <w:rPr>
          <w:rFonts w:ascii="Times New Roman" w:hAnsi="Times New Roman"/>
          <w:sz w:val="21"/>
          <w:szCs w:val="21"/>
          <w:lang w:val="uk-UA"/>
        </w:rPr>
      </w:pPr>
      <w:r>
        <w:rPr>
          <w:rFonts w:ascii="Times New Roman" w:hAnsi="Times New Roman"/>
          <w:sz w:val="21"/>
          <w:szCs w:val="21"/>
          <w:lang w:val="uk-UA"/>
        </w:rPr>
        <w:lastRenderedPageBreak/>
        <w:t>Таким чином, поєднання еволюційності сутнісних характеристик людського потенціалу з розвитком демографічного потенціалу, формуванням соціально-орієнтованого ринку праці з урахуванням міграційних процесів, формуванням соціальної політики та підвищенням освітньо-кваліфікаційного рівня персоналу дозволдить Україні сформувати достатній рівень людського потенціалу для входження в європейський простір.</w:t>
      </w:r>
    </w:p>
    <w:p w:rsidR="00B233DE" w:rsidRPr="001C4D5A" w:rsidRDefault="00B233DE" w:rsidP="00B233DE">
      <w:pPr>
        <w:ind w:firstLine="709"/>
        <w:jc w:val="both"/>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rPr>
          <w:rFonts w:ascii="Times New Roman" w:hAnsi="Times New Roman" w:cs="Times New Roman"/>
          <w:sz w:val="21"/>
          <w:szCs w:val="21"/>
        </w:rPr>
      </w:pPr>
      <w:r>
        <w:rPr>
          <w:rFonts w:ascii="Times New Roman" w:hAnsi="Times New Roman" w:cs="Times New Roman"/>
          <w:sz w:val="21"/>
          <w:szCs w:val="21"/>
        </w:rPr>
        <w:br w:type="page"/>
      </w: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jc w:val="center"/>
        <w:rPr>
          <w:rFonts w:ascii="Times New Roman" w:hAnsi="Times New Roman" w:cs="Times New Roman"/>
          <w:b/>
          <w:sz w:val="21"/>
          <w:szCs w:val="21"/>
        </w:rPr>
      </w:pPr>
      <w:r w:rsidRPr="006C7057">
        <w:rPr>
          <w:rFonts w:ascii="Times New Roman" w:hAnsi="Times New Roman" w:cs="Times New Roman"/>
          <w:b/>
          <w:sz w:val="21"/>
          <w:szCs w:val="21"/>
        </w:rPr>
        <w:t>РОЗДІЛ 1</w:t>
      </w:r>
      <w:r>
        <w:rPr>
          <w:rFonts w:ascii="Times New Roman" w:hAnsi="Times New Roman" w:cs="Times New Roman"/>
          <w:b/>
          <w:sz w:val="21"/>
          <w:szCs w:val="21"/>
        </w:rPr>
        <w:t xml:space="preserve">. </w:t>
      </w:r>
      <w:r w:rsidRPr="00F8667D">
        <w:rPr>
          <w:rFonts w:ascii="Times New Roman" w:hAnsi="Times New Roman" w:cs="Times New Roman"/>
          <w:b/>
          <w:sz w:val="21"/>
          <w:szCs w:val="21"/>
        </w:rPr>
        <w:t>СУТНІСНА ХАРАКТЕРИСТИКА ЛЮДСЬКОГО ПОТЕНЦІАЛУ</w:t>
      </w:r>
    </w:p>
    <w:p w:rsidR="00B233DE" w:rsidRDefault="00B233DE" w:rsidP="00B233DE">
      <w:pPr>
        <w:ind w:firstLine="709"/>
        <w:jc w:val="center"/>
        <w:rPr>
          <w:rFonts w:ascii="Times New Roman" w:hAnsi="Times New Roman" w:cs="Times New Roman"/>
          <w:b/>
          <w:sz w:val="21"/>
          <w:szCs w:val="21"/>
        </w:rPr>
      </w:pPr>
    </w:p>
    <w:p w:rsidR="00B233DE" w:rsidRDefault="00B233DE" w:rsidP="00B233DE">
      <w:pPr>
        <w:ind w:firstLine="709"/>
        <w:jc w:val="center"/>
        <w:rPr>
          <w:rFonts w:ascii="Times New Roman" w:hAnsi="Times New Roman" w:cs="Times New Roman"/>
          <w:b/>
          <w:sz w:val="21"/>
          <w:szCs w:val="21"/>
        </w:rPr>
      </w:pPr>
    </w:p>
    <w:p w:rsidR="00B233DE" w:rsidRPr="00E20C1F" w:rsidRDefault="00B233DE" w:rsidP="00B233DE">
      <w:pPr>
        <w:pStyle w:val="afb"/>
        <w:shd w:val="clear" w:color="auto" w:fill="auto"/>
        <w:tabs>
          <w:tab w:val="left" w:pos="394"/>
          <w:tab w:val="left" w:pos="426"/>
        </w:tabs>
        <w:spacing w:before="0" w:line="240" w:lineRule="auto"/>
        <w:ind w:right="40"/>
        <w:contextualSpacing/>
        <w:jc w:val="center"/>
        <w:rPr>
          <w:b/>
          <w:sz w:val="21"/>
          <w:szCs w:val="21"/>
        </w:rPr>
      </w:pPr>
      <w:r w:rsidRPr="00E20C1F">
        <w:rPr>
          <w:rFonts w:ascii="UkrainianPeterburg" w:hAnsi="UkrainianPeterburg"/>
          <w:b/>
          <w:sz w:val="21"/>
          <w:szCs w:val="21"/>
        </w:rPr>
        <w:t>1.1. Еволюція наукових поглядів та концепцій розвитку людського потенціалу</w:t>
      </w:r>
    </w:p>
    <w:p w:rsidR="00B233DE" w:rsidRPr="00F8667D" w:rsidRDefault="00B233DE" w:rsidP="00B233DE">
      <w:pPr>
        <w:jc w:val="both"/>
        <w:rPr>
          <w:rFonts w:ascii="Times New Roman" w:hAnsi="Times New Roman" w:cs="Times New Roman"/>
          <w:sz w:val="21"/>
          <w:szCs w:val="21"/>
        </w:rPr>
      </w:pPr>
    </w:p>
    <w:p w:rsidR="00B233DE" w:rsidRPr="00F8667D" w:rsidRDefault="00B233DE" w:rsidP="00B233DE">
      <w:pPr>
        <w:jc w:val="both"/>
        <w:rPr>
          <w:rFonts w:ascii="Times New Roman" w:hAnsi="Times New Roman" w:cs="Times New Roman"/>
          <w:sz w:val="21"/>
          <w:szCs w:val="21"/>
        </w:rPr>
      </w:pPr>
    </w:p>
    <w:p w:rsidR="00B233DE" w:rsidRPr="00190C54" w:rsidRDefault="00B233DE" w:rsidP="00B233DE">
      <w:pPr>
        <w:ind w:firstLine="720"/>
        <w:jc w:val="both"/>
        <w:rPr>
          <w:rFonts w:ascii="Times New Roman" w:hAnsi="Times New Roman" w:cs="Times New Roman"/>
          <w:sz w:val="21"/>
          <w:szCs w:val="21"/>
        </w:rPr>
      </w:pPr>
      <w:r w:rsidRPr="00190C54">
        <w:rPr>
          <w:rFonts w:ascii="Times New Roman" w:hAnsi="Times New Roman" w:cs="Times New Roman"/>
          <w:sz w:val="21"/>
          <w:szCs w:val="21"/>
        </w:rPr>
        <w:t xml:space="preserve">Визначення ролі людини у суспільно-економічному </w:t>
      </w:r>
      <w:r>
        <w:rPr>
          <w:rFonts w:ascii="Times New Roman" w:hAnsi="Times New Roman" w:cs="Times New Roman"/>
          <w:sz w:val="21"/>
          <w:szCs w:val="21"/>
        </w:rPr>
        <w:t>житті</w:t>
      </w:r>
      <w:r w:rsidRPr="00190C54">
        <w:rPr>
          <w:rFonts w:ascii="Times New Roman" w:hAnsi="Times New Roman" w:cs="Times New Roman"/>
          <w:sz w:val="21"/>
          <w:szCs w:val="21"/>
        </w:rPr>
        <w:t xml:space="preserve"> характеризується різноманіттям поглядів на кожному з етапів історичного поступу. Протягом існування економічної системи людина використовувала природні та економічні важелі для підтримання своєї життєдіяльності. Останні десятиліття інтенсивн</w:t>
      </w:r>
      <w:r>
        <w:rPr>
          <w:rFonts w:ascii="Times New Roman" w:hAnsi="Times New Roman" w:cs="Times New Roman"/>
          <w:sz w:val="21"/>
          <w:szCs w:val="21"/>
        </w:rPr>
        <w:t>ого економічного, політичного</w:t>
      </w:r>
      <w:r w:rsidRPr="00190C54">
        <w:rPr>
          <w:rFonts w:ascii="Times New Roman" w:hAnsi="Times New Roman" w:cs="Times New Roman"/>
          <w:sz w:val="21"/>
          <w:szCs w:val="21"/>
        </w:rPr>
        <w:t xml:space="preserve"> та соціального розвитку показали, що основним джерелом існування людини є її власний потенціал. Екологічні, політичні та фінансово-економічні кризи доводять, що природні і матеріальні ресурси є вичерпними і не здатні забезпечити сталий розвиток. Розвинуті країни світу звертаються до накопичення іншого виду багатства – людського потенціалу. Інтенсивний науково-технічний прогрес та перехід до інформаційного суспільства доводить, що людина</w:t>
      </w:r>
      <w:r>
        <w:rPr>
          <w:rFonts w:ascii="Times New Roman" w:hAnsi="Times New Roman" w:cs="Times New Roman"/>
          <w:sz w:val="21"/>
          <w:szCs w:val="21"/>
        </w:rPr>
        <w:t>,</w:t>
      </w:r>
      <w:r w:rsidRPr="00190C54">
        <w:rPr>
          <w:rFonts w:ascii="Times New Roman" w:hAnsi="Times New Roman" w:cs="Times New Roman"/>
          <w:sz w:val="21"/>
          <w:szCs w:val="21"/>
        </w:rPr>
        <w:t xml:space="preserve"> володіючи інтелектуальним, освітнім, духовним, фізичним та соціальним потенціалом, здатна подолати кризові явища та вийти на новий шлях розвитку. Реалізація людського потенціалу відбувається через формування та функціонування економіки знань</w:t>
      </w:r>
      <w:r>
        <w:rPr>
          <w:rFonts w:ascii="Times New Roman" w:hAnsi="Times New Roman" w:cs="Times New Roman"/>
          <w:sz w:val="21"/>
          <w:szCs w:val="21"/>
        </w:rPr>
        <w:t>,</w:t>
      </w:r>
      <w:r w:rsidRPr="00190C54">
        <w:rPr>
          <w:rFonts w:ascii="Times New Roman" w:hAnsi="Times New Roman" w:cs="Times New Roman"/>
          <w:sz w:val="21"/>
          <w:szCs w:val="21"/>
        </w:rPr>
        <w:t xml:space="preserve"> як вищого етапу постіндустріального та інноваційного розвитку.</w:t>
      </w:r>
    </w:p>
    <w:p w:rsidR="00B233DE" w:rsidRPr="00190C54" w:rsidRDefault="00B233DE" w:rsidP="00B233DE">
      <w:pPr>
        <w:pStyle w:val="afc"/>
        <w:spacing w:line="240" w:lineRule="auto"/>
        <w:rPr>
          <w:spacing w:val="-4"/>
          <w:sz w:val="21"/>
          <w:szCs w:val="21"/>
        </w:rPr>
      </w:pPr>
      <w:r w:rsidRPr="00190C54">
        <w:rPr>
          <w:spacing w:val="-4"/>
          <w:sz w:val="21"/>
          <w:szCs w:val="21"/>
        </w:rPr>
        <w:t>При розробці економічних теорій та концепцій протягом еволюції суспільних формацій набувало поширення використання понять, що відображали домінуюче значення людини та її потенціалу в економічному поступі (табл. 1.1).</w:t>
      </w:r>
    </w:p>
    <w:p w:rsidR="00B233DE" w:rsidRPr="00190C54" w:rsidRDefault="00B233DE" w:rsidP="00B233DE">
      <w:pPr>
        <w:pStyle w:val="afc"/>
        <w:spacing w:line="240" w:lineRule="auto"/>
        <w:rPr>
          <w:sz w:val="21"/>
          <w:szCs w:val="21"/>
        </w:rPr>
      </w:pPr>
      <w:r w:rsidRPr="00190C54">
        <w:rPr>
          <w:spacing w:val="-4"/>
          <w:sz w:val="21"/>
          <w:szCs w:val="21"/>
        </w:rPr>
        <w:t xml:space="preserve">До середини ХІХ ст. наукова думка розвивалась у напрямі усвідомлення того, що накопичення багатства не є самоціллю економічної діяльності, а людина є основною його складовою. </w:t>
      </w:r>
    </w:p>
    <w:p w:rsidR="00B233DE" w:rsidRDefault="00B233DE" w:rsidP="00B233DE">
      <w:pPr>
        <w:pStyle w:val="afc"/>
        <w:spacing w:line="240" w:lineRule="auto"/>
        <w:jc w:val="right"/>
        <w:rPr>
          <w:sz w:val="19"/>
          <w:szCs w:val="19"/>
        </w:rPr>
      </w:pPr>
    </w:p>
    <w:p w:rsidR="00B233DE" w:rsidRPr="00190C54" w:rsidRDefault="00B233DE" w:rsidP="00B233DE">
      <w:pPr>
        <w:pStyle w:val="afc"/>
        <w:spacing w:line="240" w:lineRule="auto"/>
        <w:jc w:val="right"/>
        <w:rPr>
          <w:sz w:val="19"/>
          <w:szCs w:val="19"/>
          <w:lang w:val="ru-RU"/>
        </w:rPr>
      </w:pPr>
      <w:r w:rsidRPr="00190C54">
        <w:rPr>
          <w:sz w:val="19"/>
          <w:szCs w:val="19"/>
        </w:rPr>
        <w:lastRenderedPageBreak/>
        <w:t>Таблиця 1</w:t>
      </w:r>
      <w:r w:rsidRPr="00190C54">
        <w:rPr>
          <w:sz w:val="19"/>
          <w:szCs w:val="19"/>
          <w:lang w:val="ru-RU"/>
        </w:rPr>
        <w:t>.1</w:t>
      </w:r>
    </w:p>
    <w:p w:rsidR="00B233DE" w:rsidRPr="00190C54" w:rsidRDefault="00B233DE" w:rsidP="00B233DE">
      <w:pPr>
        <w:pStyle w:val="afc"/>
        <w:spacing w:line="240" w:lineRule="auto"/>
        <w:jc w:val="center"/>
        <w:rPr>
          <w:b/>
          <w:spacing w:val="-12"/>
          <w:sz w:val="19"/>
          <w:szCs w:val="19"/>
        </w:rPr>
      </w:pPr>
      <w:r w:rsidRPr="00190C54">
        <w:rPr>
          <w:b/>
          <w:spacing w:val="-12"/>
          <w:sz w:val="19"/>
          <w:szCs w:val="19"/>
        </w:rPr>
        <w:t>Еволюція наукових поглядів на</w:t>
      </w:r>
      <w:r w:rsidRPr="00190C54">
        <w:rPr>
          <w:b/>
          <w:spacing w:val="-12"/>
          <w:sz w:val="19"/>
          <w:szCs w:val="19"/>
          <w:lang w:val="ru-RU"/>
        </w:rPr>
        <w:t xml:space="preserve"> </w:t>
      </w:r>
      <w:r w:rsidRPr="00190C54">
        <w:rPr>
          <w:b/>
          <w:spacing w:val="-12"/>
          <w:sz w:val="19"/>
          <w:szCs w:val="19"/>
        </w:rPr>
        <w:t>сутнісні характеристики людини та її потенціалу*</w:t>
      </w:r>
    </w:p>
    <w:tbl>
      <w:tblPr>
        <w:tblStyle w:val="afe"/>
        <w:tblW w:w="6238" w:type="dxa"/>
        <w:tblInd w:w="-34" w:type="dxa"/>
        <w:tblLayout w:type="fixed"/>
        <w:tblLook w:val="01E0" w:firstRow="1" w:lastRow="1" w:firstColumn="1" w:lastColumn="1" w:noHBand="0" w:noVBand="0"/>
      </w:tblPr>
      <w:tblGrid>
        <w:gridCol w:w="993"/>
        <w:gridCol w:w="2551"/>
        <w:gridCol w:w="851"/>
        <w:gridCol w:w="1843"/>
      </w:tblGrid>
      <w:tr w:rsidR="00B233DE" w:rsidRPr="00774698" w:rsidTr="0023489B">
        <w:tc>
          <w:tcPr>
            <w:tcW w:w="993" w:type="dxa"/>
          </w:tcPr>
          <w:p w:rsidR="00B233DE" w:rsidRPr="00774698" w:rsidRDefault="00B233DE" w:rsidP="0023489B">
            <w:pPr>
              <w:pStyle w:val="afc"/>
              <w:spacing w:line="240" w:lineRule="auto"/>
              <w:ind w:left="-142" w:right="-108" w:firstLine="0"/>
              <w:jc w:val="center"/>
              <w:rPr>
                <w:sz w:val="16"/>
                <w:szCs w:val="16"/>
              </w:rPr>
            </w:pPr>
            <w:r w:rsidRPr="00774698">
              <w:rPr>
                <w:sz w:val="16"/>
                <w:szCs w:val="16"/>
              </w:rPr>
              <w:t>Період</w:t>
            </w:r>
            <w:r w:rsidRPr="00774698">
              <w:rPr>
                <w:sz w:val="16"/>
                <w:szCs w:val="16"/>
                <w:lang w:val="ru-RU"/>
              </w:rPr>
              <w:t xml:space="preserve"> </w:t>
            </w:r>
            <w:r w:rsidRPr="00774698">
              <w:rPr>
                <w:sz w:val="16"/>
                <w:szCs w:val="16"/>
              </w:rPr>
              <w:t>та етап соціально-економічного розвитку</w:t>
            </w:r>
          </w:p>
        </w:tc>
        <w:tc>
          <w:tcPr>
            <w:tcW w:w="2551" w:type="dxa"/>
          </w:tcPr>
          <w:p w:rsidR="00B233DE" w:rsidRPr="00A71CC4" w:rsidRDefault="00B233DE" w:rsidP="0023489B">
            <w:pPr>
              <w:pStyle w:val="afc"/>
              <w:spacing w:line="240" w:lineRule="auto"/>
              <w:ind w:left="-142" w:right="-108" w:firstLine="0"/>
              <w:jc w:val="center"/>
              <w:rPr>
                <w:sz w:val="16"/>
                <w:szCs w:val="16"/>
                <w:lang w:val="ru-RU"/>
              </w:rPr>
            </w:pPr>
            <w:r w:rsidRPr="00774698">
              <w:rPr>
                <w:sz w:val="16"/>
                <w:szCs w:val="16"/>
              </w:rPr>
              <w:t xml:space="preserve">Домінуючі економічні погляди </w:t>
            </w:r>
          </w:p>
          <w:p w:rsidR="00B233DE" w:rsidRPr="00774698" w:rsidRDefault="00B233DE" w:rsidP="0023489B">
            <w:pPr>
              <w:pStyle w:val="afc"/>
              <w:spacing w:line="240" w:lineRule="auto"/>
              <w:ind w:left="-142" w:right="-108" w:firstLine="0"/>
              <w:jc w:val="center"/>
              <w:rPr>
                <w:sz w:val="16"/>
                <w:szCs w:val="16"/>
              </w:rPr>
            </w:pPr>
            <w:r w:rsidRPr="00774698">
              <w:rPr>
                <w:sz w:val="16"/>
                <w:szCs w:val="16"/>
              </w:rPr>
              <w:t>на людину</w:t>
            </w:r>
          </w:p>
        </w:tc>
        <w:tc>
          <w:tcPr>
            <w:tcW w:w="851" w:type="dxa"/>
          </w:tcPr>
          <w:p w:rsidR="00B233DE" w:rsidRPr="00774698" w:rsidRDefault="00B233DE" w:rsidP="0023489B">
            <w:pPr>
              <w:pStyle w:val="afc"/>
              <w:spacing w:line="240" w:lineRule="auto"/>
              <w:ind w:left="-142" w:right="-108" w:firstLine="0"/>
              <w:jc w:val="center"/>
              <w:rPr>
                <w:sz w:val="16"/>
                <w:szCs w:val="16"/>
              </w:rPr>
            </w:pPr>
            <w:r w:rsidRPr="00774698">
              <w:rPr>
                <w:sz w:val="16"/>
                <w:szCs w:val="16"/>
              </w:rPr>
              <w:t>Вчені-економісти</w:t>
            </w:r>
          </w:p>
        </w:tc>
        <w:tc>
          <w:tcPr>
            <w:tcW w:w="1843" w:type="dxa"/>
          </w:tcPr>
          <w:p w:rsidR="00B233DE" w:rsidRPr="00774698" w:rsidRDefault="00B233DE" w:rsidP="0023489B">
            <w:pPr>
              <w:pStyle w:val="afc"/>
              <w:spacing w:line="240" w:lineRule="auto"/>
              <w:ind w:left="-142" w:right="-108" w:firstLine="0"/>
              <w:jc w:val="center"/>
              <w:rPr>
                <w:sz w:val="16"/>
                <w:szCs w:val="16"/>
              </w:rPr>
            </w:pPr>
            <w:r w:rsidRPr="00774698">
              <w:rPr>
                <w:sz w:val="16"/>
                <w:szCs w:val="16"/>
              </w:rPr>
              <w:t>Визначення поняття «потенціал»</w:t>
            </w:r>
          </w:p>
        </w:tc>
      </w:tr>
      <w:tr w:rsidR="00B233DE" w:rsidRPr="00774698" w:rsidTr="0023489B">
        <w:tc>
          <w:tcPr>
            <w:tcW w:w="993" w:type="dxa"/>
          </w:tcPr>
          <w:p w:rsidR="00B233DE" w:rsidRPr="00774698" w:rsidRDefault="00B233DE" w:rsidP="0023489B">
            <w:pPr>
              <w:pStyle w:val="afc"/>
              <w:spacing w:line="240" w:lineRule="auto"/>
              <w:ind w:left="-142" w:right="-108" w:firstLine="0"/>
              <w:jc w:val="center"/>
              <w:rPr>
                <w:sz w:val="16"/>
                <w:szCs w:val="16"/>
              </w:rPr>
            </w:pPr>
            <w:r w:rsidRPr="00774698">
              <w:rPr>
                <w:sz w:val="16"/>
                <w:szCs w:val="16"/>
              </w:rPr>
              <w:t>До середини ХІХ ст.,</w:t>
            </w:r>
          </w:p>
          <w:p w:rsidR="00B233DE" w:rsidRPr="00774698" w:rsidRDefault="00B233DE" w:rsidP="0023489B">
            <w:pPr>
              <w:pStyle w:val="afc"/>
              <w:spacing w:line="240" w:lineRule="auto"/>
              <w:ind w:left="-142" w:right="-108" w:firstLine="0"/>
              <w:jc w:val="center"/>
              <w:rPr>
                <w:sz w:val="16"/>
                <w:szCs w:val="16"/>
              </w:rPr>
            </w:pPr>
            <w:r w:rsidRPr="00774698">
              <w:rPr>
                <w:sz w:val="16"/>
                <w:szCs w:val="16"/>
              </w:rPr>
              <w:t>аграрний</w:t>
            </w:r>
          </w:p>
        </w:tc>
        <w:tc>
          <w:tcPr>
            <w:tcW w:w="2551" w:type="dxa"/>
          </w:tcPr>
          <w:p w:rsidR="00B233DE" w:rsidRPr="00774698" w:rsidRDefault="00B233DE" w:rsidP="0023489B">
            <w:pPr>
              <w:pStyle w:val="afc"/>
              <w:spacing w:line="240" w:lineRule="auto"/>
              <w:ind w:left="-108" w:firstLine="0"/>
              <w:jc w:val="center"/>
              <w:rPr>
                <w:sz w:val="16"/>
                <w:szCs w:val="16"/>
                <w:lang w:val="ru-RU"/>
              </w:rPr>
            </w:pPr>
            <w:r w:rsidRPr="00774698">
              <w:rPr>
                <w:sz w:val="16"/>
                <w:szCs w:val="16"/>
              </w:rPr>
              <w:t xml:space="preserve">«багатство... не є тим, до чого ми </w:t>
            </w:r>
            <w:r w:rsidRPr="008C48EC">
              <w:rPr>
                <w:spacing w:val="-6"/>
                <w:sz w:val="16"/>
                <w:szCs w:val="16"/>
              </w:rPr>
              <w:t>прагнемо, тому що воно лише корисне</w:t>
            </w:r>
            <w:r w:rsidRPr="00774698">
              <w:rPr>
                <w:sz w:val="16"/>
                <w:szCs w:val="16"/>
              </w:rPr>
              <w:t xml:space="preserve"> і слугує якійсь іншій меті» </w:t>
            </w:r>
            <w:r w:rsidRPr="00774698">
              <w:rPr>
                <w:sz w:val="16"/>
                <w:szCs w:val="16"/>
                <w:lang w:val="ru-RU"/>
              </w:rPr>
              <w:t>[</w:t>
            </w:r>
            <w:r>
              <w:rPr>
                <w:sz w:val="16"/>
                <w:szCs w:val="16"/>
                <w:lang w:val="ru-RU"/>
              </w:rPr>
              <w:fldChar w:fldCharType="begin"/>
            </w:r>
            <w:r>
              <w:rPr>
                <w:sz w:val="16"/>
                <w:szCs w:val="16"/>
                <w:lang w:val="ru-RU"/>
              </w:rPr>
              <w:instrText xml:space="preserve"> REF _Ref430593676 \r \h </w:instrText>
            </w:r>
            <w:r>
              <w:rPr>
                <w:sz w:val="16"/>
                <w:szCs w:val="16"/>
                <w:lang w:val="ru-RU"/>
              </w:rPr>
            </w:r>
            <w:r>
              <w:rPr>
                <w:sz w:val="16"/>
                <w:szCs w:val="16"/>
                <w:lang w:val="ru-RU"/>
              </w:rPr>
              <w:fldChar w:fldCharType="separate"/>
            </w:r>
            <w:r>
              <w:rPr>
                <w:sz w:val="16"/>
                <w:szCs w:val="16"/>
                <w:lang w:val="ru-RU"/>
              </w:rPr>
              <w:t>4</w:t>
            </w:r>
            <w:r>
              <w:rPr>
                <w:sz w:val="16"/>
                <w:szCs w:val="16"/>
                <w:lang w:val="ru-RU"/>
              </w:rPr>
              <w:fldChar w:fldCharType="end"/>
            </w:r>
            <w:r w:rsidRPr="00774698">
              <w:rPr>
                <w:sz w:val="16"/>
                <w:szCs w:val="16"/>
                <w:lang w:val="ru-RU"/>
              </w:rPr>
              <w:t>]</w:t>
            </w:r>
          </w:p>
          <w:p w:rsidR="00B233DE" w:rsidRPr="00774698" w:rsidRDefault="00B233DE" w:rsidP="0023489B">
            <w:pPr>
              <w:pStyle w:val="afc"/>
              <w:spacing w:line="240" w:lineRule="auto"/>
              <w:ind w:left="-108" w:firstLine="0"/>
              <w:jc w:val="center"/>
              <w:rPr>
                <w:sz w:val="4"/>
                <w:szCs w:val="4"/>
              </w:rPr>
            </w:pPr>
          </w:p>
          <w:p w:rsidR="00B233DE" w:rsidRPr="00774698" w:rsidRDefault="00B233DE" w:rsidP="0023489B">
            <w:pPr>
              <w:pStyle w:val="afc"/>
              <w:spacing w:line="240" w:lineRule="auto"/>
              <w:ind w:left="-108" w:firstLine="0"/>
              <w:jc w:val="center"/>
              <w:rPr>
                <w:sz w:val="16"/>
                <w:szCs w:val="16"/>
                <w:lang w:val="ru-RU"/>
              </w:rPr>
            </w:pPr>
            <w:r w:rsidRPr="00774698">
              <w:rPr>
                <w:sz w:val="16"/>
                <w:szCs w:val="16"/>
              </w:rPr>
              <w:t xml:space="preserve">Багатство – це люди зі своїми виробничими здібностями </w:t>
            </w:r>
            <w:r w:rsidRPr="00774698">
              <w:rPr>
                <w:sz w:val="16"/>
                <w:szCs w:val="16"/>
                <w:lang w:val="ru-RU"/>
              </w:rPr>
              <w:t>[</w:t>
            </w:r>
            <w:r>
              <w:rPr>
                <w:sz w:val="16"/>
                <w:szCs w:val="16"/>
                <w:lang w:val="ru-RU"/>
              </w:rPr>
              <w:fldChar w:fldCharType="begin"/>
            </w:r>
            <w:r>
              <w:rPr>
                <w:sz w:val="16"/>
                <w:szCs w:val="16"/>
                <w:lang w:val="ru-RU"/>
              </w:rPr>
              <w:instrText xml:space="preserve"> REF _Ref430593683 \r \h </w:instrText>
            </w:r>
            <w:r>
              <w:rPr>
                <w:sz w:val="16"/>
                <w:szCs w:val="16"/>
                <w:lang w:val="ru-RU"/>
              </w:rPr>
            </w:r>
            <w:r>
              <w:rPr>
                <w:sz w:val="16"/>
                <w:szCs w:val="16"/>
                <w:lang w:val="ru-RU"/>
              </w:rPr>
              <w:fldChar w:fldCharType="separate"/>
            </w:r>
            <w:r>
              <w:rPr>
                <w:sz w:val="16"/>
                <w:szCs w:val="16"/>
                <w:lang w:val="ru-RU"/>
              </w:rPr>
              <w:t>1</w:t>
            </w:r>
            <w:r>
              <w:rPr>
                <w:sz w:val="16"/>
                <w:szCs w:val="16"/>
                <w:lang w:val="ru-RU"/>
              </w:rPr>
              <w:fldChar w:fldCharType="end"/>
            </w:r>
            <w:r w:rsidRPr="00774698">
              <w:rPr>
                <w:sz w:val="16"/>
                <w:szCs w:val="16"/>
                <w:lang w:val="ru-RU"/>
              </w:rPr>
              <w:t>]</w:t>
            </w:r>
          </w:p>
          <w:p w:rsidR="00B233DE" w:rsidRPr="00774698" w:rsidRDefault="00B233DE" w:rsidP="0023489B">
            <w:pPr>
              <w:pStyle w:val="afc"/>
              <w:spacing w:line="240" w:lineRule="auto"/>
              <w:ind w:left="-108" w:firstLine="0"/>
              <w:jc w:val="center"/>
              <w:rPr>
                <w:sz w:val="4"/>
                <w:szCs w:val="4"/>
              </w:rPr>
            </w:pPr>
          </w:p>
          <w:p w:rsidR="00B233DE" w:rsidRDefault="00B233DE" w:rsidP="0023489B">
            <w:pPr>
              <w:pStyle w:val="afc"/>
              <w:spacing w:line="240" w:lineRule="auto"/>
              <w:ind w:left="-108" w:firstLine="0"/>
              <w:jc w:val="center"/>
              <w:rPr>
                <w:sz w:val="16"/>
                <w:szCs w:val="16"/>
              </w:rPr>
            </w:pPr>
            <w:r w:rsidRPr="00774698">
              <w:rPr>
                <w:sz w:val="16"/>
                <w:szCs w:val="16"/>
              </w:rPr>
              <w:t xml:space="preserve">Людина є не лише джерелом, </w:t>
            </w:r>
          </w:p>
          <w:p w:rsidR="00B233DE" w:rsidRPr="00774698" w:rsidRDefault="00B233DE" w:rsidP="0023489B">
            <w:pPr>
              <w:pStyle w:val="afc"/>
              <w:spacing w:line="240" w:lineRule="auto"/>
              <w:ind w:left="-108" w:firstLine="0"/>
              <w:jc w:val="center"/>
              <w:rPr>
                <w:sz w:val="16"/>
                <w:szCs w:val="16"/>
                <w:lang w:val="ru-RU"/>
              </w:rPr>
            </w:pPr>
            <w:r w:rsidRPr="00774698">
              <w:rPr>
                <w:sz w:val="16"/>
                <w:szCs w:val="16"/>
              </w:rPr>
              <w:t xml:space="preserve">а й частиною суспільного багатства </w:t>
            </w:r>
            <w:r w:rsidRPr="00774698">
              <w:rPr>
                <w:sz w:val="16"/>
                <w:szCs w:val="16"/>
                <w:lang w:val="ru-RU"/>
              </w:rPr>
              <w:t>[</w:t>
            </w:r>
            <w:r>
              <w:rPr>
                <w:sz w:val="16"/>
                <w:szCs w:val="16"/>
                <w:lang w:val="ru-RU"/>
              </w:rPr>
              <w:fldChar w:fldCharType="begin"/>
            </w:r>
            <w:r>
              <w:rPr>
                <w:sz w:val="16"/>
                <w:szCs w:val="16"/>
                <w:lang w:val="ru-RU"/>
              </w:rPr>
              <w:instrText xml:space="preserve"> REF _Ref430593702 \r \h </w:instrText>
            </w:r>
            <w:r>
              <w:rPr>
                <w:sz w:val="16"/>
                <w:szCs w:val="16"/>
                <w:lang w:val="ru-RU"/>
              </w:rPr>
            </w:r>
            <w:r>
              <w:rPr>
                <w:sz w:val="16"/>
                <w:szCs w:val="16"/>
                <w:lang w:val="ru-RU"/>
              </w:rPr>
              <w:fldChar w:fldCharType="separate"/>
            </w:r>
            <w:r>
              <w:rPr>
                <w:sz w:val="16"/>
                <w:szCs w:val="16"/>
                <w:lang w:val="ru-RU"/>
              </w:rPr>
              <w:t>57</w:t>
            </w:r>
            <w:r>
              <w:rPr>
                <w:sz w:val="16"/>
                <w:szCs w:val="16"/>
                <w:lang w:val="ru-RU"/>
              </w:rPr>
              <w:fldChar w:fldCharType="end"/>
            </w:r>
            <w:r w:rsidRPr="00774698">
              <w:rPr>
                <w:sz w:val="16"/>
                <w:szCs w:val="16"/>
                <w:lang w:val="ru-RU"/>
              </w:rPr>
              <w:t>]</w:t>
            </w:r>
          </w:p>
        </w:tc>
        <w:tc>
          <w:tcPr>
            <w:tcW w:w="851" w:type="dxa"/>
          </w:tcPr>
          <w:p w:rsidR="00B233DE" w:rsidRPr="00774698" w:rsidRDefault="00B233DE" w:rsidP="0023489B">
            <w:pPr>
              <w:pStyle w:val="afc"/>
              <w:spacing w:line="240" w:lineRule="auto"/>
              <w:ind w:left="-142" w:right="-108" w:firstLine="0"/>
              <w:jc w:val="center"/>
              <w:rPr>
                <w:sz w:val="16"/>
                <w:szCs w:val="16"/>
              </w:rPr>
            </w:pPr>
          </w:p>
          <w:p w:rsidR="00B233DE" w:rsidRPr="00774698" w:rsidRDefault="00B233DE" w:rsidP="0023489B">
            <w:pPr>
              <w:pStyle w:val="afc"/>
              <w:spacing w:line="240" w:lineRule="auto"/>
              <w:ind w:left="-142" w:right="-108" w:firstLine="0"/>
              <w:jc w:val="center"/>
              <w:rPr>
                <w:sz w:val="10"/>
                <w:szCs w:val="10"/>
              </w:rPr>
            </w:pPr>
          </w:p>
          <w:p w:rsidR="00B233DE" w:rsidRPr="00774698" w:rsidRDefault="00B233DE" w:rsidP="0023489B">
            <w:pPr>
              <w:pStyle w:val="afc"/>
              <w:spacing w:line="240" w:lineRule="auto"/>
              <w:ind w:left="-142" w:right="-108" w:firstLine="0"/>
              <w:jc w:val="center"/>
              <w:rPr>
                <w:sz w:val="16"/>
                <w:szCs w:val="16"/>
              </w:rPr>
            </w:pPr>
            <w:r w:rsidRPr="00774698">
              <w:rPr>
                <w:sz w:val="16"/>
                <w:szCs w:val="16"/>
              </w:rPr>
              <w:t>Аристотель</w:t>
            </w:r>
          </w:p>
          <w:p w:rsidR="00B233DE" w:rsidRPr="00774698" w:rsidRDefault="00B233DE" w:rsidP="0023489B">
            <w:pPr>
              <w:pStyle w:val="afc"/>
              <w:spacing w:line="240" w:lineRule="auto"/>
              <w:ind w:left="-142" w:right="-108" w:firstLine="0"/>
              <w:jc w:val="center"/>
              <w:rPr>
                <w:sz w:val="16"/>
                <w:szCs w:val="16"/>
              </w:rPr>
            </w:pPr>
          </w:p>
          <w:p w:rsidR="00B233DE" w:rsidRDefault="00B233DE" w:rsidP="0023489B">
            <w:pPr>
              <w:pStyle w:val="afc"/>
              <w:spacing w:line="240" w:lineRule="auto"/>
              <w:ind w:left="-142" w:right="-108" w:firstLine="0"/>
              <w:jc w:val="center"/>
              <w:rPr>
                <w:sz w:val="16"/>
                <w:szCs w:val="16"/>
              </w:rPr>
            </w:pPr>
          </w:p>
          <w:p w:rsidR="00B233DE" w:rsidRPr="00774698" w:rsidRDefault="00B233DE" w:rsidP="0023489B">
            <w:pPr>
              <w:pStyle w:val="afc"/>
              <w:spacing w:line="240" w:lineRule="auto"/>
              <w:ind w:left="-142" w:right="-108" w:firstLine="0"/>
              <w:jc w:val="center"/>
              <w:rPr>
                <w:sz w:val="16"/>
                <w:szCs w:val="16"/>
                <w:lang w:val="ru-RU"/>
              </w:rPr>
            </w:pPr>
            <w:r w:rsidRPr="00774698">
              <w:rPr>
                <w:sz w:val="16"/>
                <w:szCs w:val="16"/>
              </w:rPr>
              <w:t>В. Петі</w:t>
            </w:r>
          </w:p>
          <w:p w:rsidR="00B233DE" w:rsidRDefault="00B233DE" w:rsidP="0023489B">
            <w:pPr>
              <w:pStyle w:val="afc"/>
              <w:spacing w:line="240" w:lineRule="auto"/>
              <w:ind w:left="-142" w:right="-108" w:firstLine="0"/>
              <w:jc w:val="center"/>
              <w:rPr>
                <w:sz w:val="16"/>
                <w:szCs w:val="16"/>
                <w:lang w:val="ru-RU"/>
              </w:rPr>
            </w:pPr>
          </w:p>
          <w:p w:rsidR="00B233DE" w:rsidRPr="00774698" w:rsidRDefault="00B233DE" w:rsidP="0023489B">
            <w:pPr>
              <w:pStyle w:val="afc"/>
              <w:spacing w:line="240" w:lineRule="auto"/>
              <w:ind w:left="-142" w:right="-108" w:firstLine="0"/>
              <w:jc w:val="center"/>
              <w:rPr>
                <w:sz w:val="6"/>
                <w:szCs w:val="6"/>
                <w:lang w:val="ru-RU"/>
              </w:rPr>
            </w:pPr>
          </w:p>
          <w:p w:rsidR="00B233DE" w:rsidRPr="00774698" w:rsidRDefault="00B233DE" w:rsidP="0023489B">
            <w:pPr>
              <w:pStyle w:val="afc"/>
              <w:spacing w:line="240" w:lineRule="auto"/>
              <w:ind w:left="-142" w:right="-108" w:firstLine="0"/>
              <w:jc w:val="center"/>
              <w:rPr>
                <w:sz w:val="16"/>
                <w:szCs w:val="16"/>
              </w:rPr>
            </w:pPr>
            <w:r w:rsidRPr="00774698">
              <w:rPr>
                <w:sz w:val="16"/>
                <w:szCs w:val="16"/>
              </w:rPr>
              <w:t>А. Сміт</w:t>
            </w:r>
          </w:p>
        </w:tc>
        <w:tc>
          <w:tcPr>
            <w:tcW w:w="1843" w:type="dxa"/>
          </w:tcPr>
          <w:p w:rsidR="00B233DE" w:rsidRPr="00A71CC4" w:rsidRDefault="00B233DE" w:rsidP="0023489B">
            <w:pPr>
              <w:pStyle w:val="afc"/>
              <w:spacing w:line="240" w:lineRule="auto"/>
              <w:ind w:left="-142" w:right="-108" w:firstLine="0"/>
              <w:jc w:val="center"/>
              <w:rPr>
                <w:sz w:val="16"/>
                <w:szCs w:val="16"/>
                <w:lang w:val="ru-RU"/>
              </w:rPr>
            </w:pPr>
            <w:r w:rsidRPr="00774698">
              <w:rPr>
                <w:sz w:val="16"/>
                <w:szCs w:val="16"/>
                <w:lang w:val="en-US"/>
              </w:rPr>
              <w:t>Potential</w:t>
            </w:r>
            <w:r w:rsidRPr="00774698">
              <w:rPr>
                <w:sz w:val="16"/>
                <w:szCs w:val="16"/>
              </w:rPr>
              <w:t xml:space="preserve"> (лат.) – можливий </w:t>
            </w:r>
          </w:p>
          <w:p w:rsidR="00B233DE" w:rsidRPr="00774698" w:rsidRDefault="00B233DE" w:rsidP="0023489B">
            <w:pPr>
              <w:pStyle w:val="afc"/>
              <w:spacing w:line="240" w:lineRule="auto"/>
              <w:ind w:left="-142" w:right="-108" w:firstLine="0"/>
              <w:jc w:val="center"/>
              <w:rPr>
                <w:sz w:val="16"/>
                <w:szCs w:val="16"/>
              </w:rPr>
            </w:pPr>
            <w:r w:rsidRPr="00774698">
              <w:rPr>
                <w:sz w:val="16"/>
                <w:szCs w:val="16"/>
              </w:rPr>
              <w:t>у разі існування необхідних умов [</w:t>
            </w:r>
            <w:r>
              <w:rPr>
                <w:sz w:val="16"/>
                <w:szCs w:val="16"/>
              </w:rPr>
              <w:fldChar w:fldCharType="begin"/>
            </w:r>
            <w:r>
              <w:rPr>
                <w:sz w:val="16"/>
                <w:szCs w:val="16"/>
              </w:rPr>
              <w:instrText xml:space="preserve"> REF _Ref430593692 \r \h </w:instrText>
            </w:r>
            <w:r>
              <w:rPr>
                <w:sz w:val="16"/>
                <w:szCs w:val="16"/>
              </w:rPr>
            </w:r>
            <w:r>
              <w:rPr>
                <w:sz w:val="16"/>
                <w:szCs w:val="16"/>
              </w:rPr>
              <w:fldChar w:fldCharType="separate"/>
            </w:r>
            <w:r>
              <w:rPr>
                <w:sz w:val="16"/>
                <w:szCs w:val="16"/>
              </w:rPr>
              <w:t>22</w:t>
            </w:r>
            <w:r>
              <w:rPr>
                <w:sz w:val="16"/>
                <w:szCs w:val="16"/>
              </w:rPr>
              <w:fldChar w:fldCharType="end"/>
            </w:r>
            <w:r w:rsidRPr="00774698">
              <w:rPr>
                <w:sz w:val="16"/>
                <w:szCs w:val="16"/>
              </w:rPr>
              <w:t>]</w:t>
            </w:r>
          </w:p>
        </w:tc>
      </w:tr>
      <w:tr w:rsidR="00B233DE" w:rsidRPr="00774698" w:rsidTr="0023489B">
        <w:tc>
          <w:tcPr>
            <w:tcW w:w="993" w:type="dxa"/>
          </w:tcPr>
          <w:p w:rsidR="00B233DE" w:rsidRPr="00774698" w:rsidRDefault="00B233DE" w:rsidP="0023489B">
            <w:pPr>
              <w:pStyle w:val="afc"/>
              <w:spacing w:line="240" w:lineRule="auto"/>
              <w:ind w:left="-142" w:right="-108" w:firstLine="0"/>
              <w:jc w:val="center"/>
              <w:rPr>
                <w:sz w:val="16"/>
                <w:szCs w:val="16"/>
              </w:rPr>
            </w:pPr>
            <w:r>
              <w:rPr>
                <w:sz w:val="16"/>
                <w:szCs w:val="16"/>
              </w:rPr>
              <w:t xml:space="preserve">ХІХ – друга </w:t>
            </w:r>
            <w:r w:rsidRPr="008C48EC">
              <w:rPr>
                <w:spacing w:val="-6"/>
                <w:sz w:val="16"/>
                <w:szCs w:val="16"/>
              </w:rPr>
              <w:t>третина ХХ ст.,</w:t>
            </w:r>
            <w:r w:rsidRPr="00774698">
              <w:rPr>
                <w:sz w:val="16"/>
                <w:szCs w:val="16"/>
              </w:rPr>
              <w:t xml:space="preserve"> </w:t>
            </w:r>
            <w:r w:rsidRPr="008C48EC">
              <w:rPr>
                <w:spacing w:val="-6"/>
                <w:sz w:val="16"/>
                <w:szCs w:val="16"/>
              </w:rPr>
              <w:t>індустріальний</w:t>
            </w:r>
          </w:p>
        </w:tc>
        <w:tc>
          <w:tcPr>
            <w:tcW w:w="2551" w:type="dxa"/>
          </w:tcPr>
          <w:p w:rsidR="00B233DE" w:rsidRPr="00774698" w:rsidRDefault="00B233DE" w:rsidP="0023489B">
            <w:pPr>
              <w:pStyle w:val="afc"/>
              <w:spacing w:line="240" w:lineRule="auto"/>
              <w:ind w:left="-108" w:firstLine="0"/>
              <w:jc w:val="center"/>
              <w:rPr>
                <w:sz w:val="16"/>
                <w:szCs w:val="16"/>
              </w:rPr>
            </w:pPr>
            <w:r w:rsidRPr="00774698">
              <w:rPr>
                <w:sz w:val="16"/>
                <w:szCs w:val="16"/>
              </w:rPr>
              <w:t>«Людина є ціллю, заради якої існує багатство» [</w:t>
            </w:r>
            <w:r>
              <w:rPr>
                <w:sz w:val="16"/>
                <w:szCs w:val="16"/>
                <w:lang w:val="en-US"/>
              </w:rPr>
              <w:fldChar w:fldCharType="begin"/>
            </w:r>
            <w:r>
              <w:rPr>
                <w:sz w:val="16"/>
                <w:szCs w:val="16"/>
              </w:rPr>
              <w:instrText xml:space="preserve"> REF _Ref430593710 \r \h </w:instrText>
            </w:r>
            <w:r>
              <w:rPr>
                <w:sz w:val="16"/>
                <w:szCs w:val="16"/>
                <w:lang w:val="en-US"/>
              </w:rPr>
            </w:r>
            <w:r>
              <w:rPr>
                <w:sz w:val="16"/>
                <w:szCs w:val="16"/>
                <w:lang w:val="en-US"/>
              </w:rPr>
              <w:fldChar w:fldCharType="separate"/>
            </w:r>
            <w:r>
              <w:rPr>
                <w:sz w:val="16"/>
                <w:szCs w:val="16"/>
              </w:rPr>
              <w:t>79</w:t>
            </w:r>
            <w:r>
              <w:rPr>
                <w:sz w:val="16"/>
                <w:szCs w:val="16"/>
                <w:lang w:val="en-US"/>
              </w:rPr>
              <w:fldChar w:fldCharType="end"/>
            </w:r>
            <w:r w:rsidRPr="00774698">
              <w:rPr>
                <w:sz w:val="16"/>
                <w:szCs w:val="16"/>
              </w:rPr>
              <w:t>]</w:t>
            </w:r>
          </w:p>
          <w:p w:rsidR="00B233DE" w:rsidRPr="00774698" w:rsidRDefault="00B233DE" w:rsidP="0023489B">
            <w:pPr>
              <w:pStyle w:val="afc"/>
              <w:spacing w:line="240" w:lineRule="auto"/>
              <w:ind w:left="-108" w:firstLine="0"/>
              <w:jc w:val="center"/>
              <w:rPr>
                <w:sz w:val="16"/>
                <w:szCs w:val="16"/>
                <w:lang w:val="ru-RU"/>
              </w:rPr>
            </w:pPr>
            <w:r w:rsidRPr="00774698">
              <w:rPr>
                <w:sz w:val="16"/>
                <w:szCs w:val="16"/>
              </w:rPr>
              <w:t>Людина – головний засіб виробництва багатства і вона слугує кінцевою його метою</w:t>
            </w:r>
            <w:r w:rsidRPr="00774698">
              <w:rPr>
                <w:sz w:val="16"/>
                <w:szCs w:val="16"/>
                <w:lang w:val="ru-RU"/>
              </w:rPr>
              <w:t xml:space="preserve"> [</w:t>
            </w:r>
            <w:r>
              <w:rPr>
                <w:sz w:val="16"/>
                <w:szCs w:val="16"/>
                <w:lang w:val="ru-RU"/>
              </w:rPr>
              <w:fldChar w:fldCharType="begin"/>
            </w:r>
            <w:r>
              <w:rPr>
                <w:sz w:val="16"/>
                <w:szCs w:val="16"/>
                <w:lang w:val="ru-RU"/>
              </w:rPr>
              <w:instrText xml:space="preserve"> REF _Ref430593718 \r \h </w:instrText>
            </w:r>
            <w:r>
              <w:rPr>
                <w:sz w:val="16"/>
                <w:szCs w:val="16"/>
                <w:lang w:val="ru-RU"/>
              </w:rPr>
            </w:r>
            <w:r>
              <w:rPr>
                <w:sz w:val="16"/>
                <w:szCs w:val="16"/>
                <w:lang w:val="ru-RU"/>
              </w:rPr>
              <w:fldChar w:fldCharType="separate"/>
            </w:r>
            <w:r>
              <w:rPr>
                <w:sz w:val="16"/>
                <w:szCs w:val="16"/>
                <w:lang w:val="ru-RU"/>
              </w:rPr>
              <w:t>37</w:t>
            </w:r>
            <w:r>
              <w:rPr>
                <w:sz w:val="16"/>
                <w:szCs w:val="16"/>
                <w:lang w:val="ru-RU"/>
              </w:rPr>
              <w:fldChar w:fldCharType="end"/>
            </w:r>
            <w:r w:rsidRPr="00774698">
              <w:rPr>
                <w:sz w:val="16"/>
                <w:szCs w:val="16"/>
                <w:lang w:val="ru-RU"/>
              </w:rPr>
              <w:t>]</w:t>
            </w:r>
          </w:p>
          <w:p w:rsidR="00B233DE" w:rsidRPr="008C48EC" w:rsidRDefault="00B233DE" w:rsidP="0023489B">
            <w:pPr>
              <w:pStyle w:val="afc"/>
              <w:spacing w:line="240" w:lineRule="auto"/>
              <w:ind w:left="-108" w:firstLine="0"/>
              <w:jc w:val="center"/>
              <w:rPr>
                <w:spacing w:val="-6"/>
                <w:sz w:val="16"/>
                <w:szCs w:val="16"/>
                <w:lang w:val="ru-RU"/>
              </w:rPr>
            </w:pPr>
            <w:r>
              <w:rPr>
                <w:sz w:val="16"/>
                <w:szCs w:val="16"/>
              </w:rPr>
              <w:t xml:space="preserve">Розвиток і реалізація </w:t>
            </w:r>
            <w:r w:rsidRPr="00774698">
              <w:rPr>
                <w:sz w:val="16"/>
                <w:szCs w:val="16"/>
              </w:rPr>
              <w:t xml:space="preserve">здібностей людини і розширення можливостей її особистого вибору є важливою </w:t>
            </w:r>
            <w:r w:rsidRPr="008C48EC">
              <w:rPr>
                <w:spacing w:val="-6"/>
                <w:sz w:val="16"/>
                <w:szCs w:val="16"/>
              </w:rPr>
              <w:t>умовою економічного зростання [</w:t>
            </w:r>
            <w:r>
              <w:rPr>
                <w:sz w:val="16"/>
                <w:szCs w:val="16"/>
                <w:lang w:val="en-US"/>
              </w:rPr>
              <w:fldChar w:fldCharType="begin"/>
            </w:r>
            <w:r>
              <w:rPr>
                <w:spacing w:val="-6"/>
                <w:sz w:val="16"/>
                <w:szCs w:val="16"/>
              </w:rPr>
              <w:instrText xml:space="preserve"> REF _Ref430593727 \r \h </w:instrText>
            </w:r>
            <w:r>
              <w:rPr>
                <w:sz w:val="16"/>
                <w:szCs w:val="16"/>
                <w:lang w:val="en-US"/>
              </w:rPr>
            </w:r>
            <w:r>
              <w:rPr>
                <w:sz w:val="16"/>
                <w:szCs w:val="16"/>
                <w:lang w:val="en-US"/>
              </w:rPr>
              <w:fldChar w:fldCharType="separate"/>
            </w:r>
            <w:r>
              <w:rPr>
                <w:spacing w:val="-6"/>
                <w:sz w:val="16"/>
                <w:szCs w:val="16"/>
              </w:rPr>
              <w:t>77</w:t>
            </w:r>
            <w:r>
              <w:rPr>
                <w:sz w:val="16"/>
                <w:szCs w:val="16"/>
                <w:lang w:val="en-US"/>
              </w:rPr>
              <w:fldChar w:fldCharType="end"/>
            </w:r>
            <w:r w:rsidRPr="008C48EC">
              <w:rPr>
                <w:spacing w:val="-6"/>
                <w:sz w:val="16"/>
                <w:szCs w:val="16"/>
              </w:rPr>
              <w:t>]</w:t>
            </w:r>
          </w:p>
          <w:p w:rsidR="00B233DE" w:rsidRPr="00774698" w:rsidRDefault="00B233DE" w:rsidP="0023489B">
            <w:pPr>
              <w:pStyle w:val="afc"/>
              <w:spacing w:line="240" w:lineRule="auto"/>
              <w:ind w:left="-108" w:firstLine="0"/>
              <w:jc w:val="center"/>
              <w:rPr>
                <w:sz w:val="16"/>
                <w:szCs w:val="16"/>
                <w:lang w:val="ru-RU"/>
              </w:rPr>
            </w:pPr>
            <w:r w:rsidRPr="00774698">
              <w:rPr>
                <w:sz w:val="16"/>
                <w:szCs w:val="16"/>
              </w:rPr>
              <w:t xml:space="preserve">Людина зі всією сукупністю своїх якостей корисна і здатна приносити дохід </w:t>
            </w:r>
            <w:r w:rsidRPr="00774698">
              <w:rPr>
                <w:sz w:val="16"/>
                <w:szCs w:val="16"/>
                <w:lang w:val="ru-RU"/>
              </w:rPr>
              <w:t>[</w:t>
            </w:r>
            <w:r>
              <w:rPr>
                <w:sz w:val="16"/>
                <w:szCs w:val="16"/>
                <w:lang w:val="en-US"/>
              </w:rPr>
              <w:fldChar w:fldCharType="begin"/>
            </w:r>
            <w:r>
              <w:rPr>
                <w:sz w:val="16"/>
                <w:szCs w:val="16"/>
                <w:lang w:val="ru-RU"/>
              </w:rPr>
              <w:instrText xml:space="preserve"> REF _Ref430593735 \r \h </w:instrText>
            </w:r>
            <w:r>
              <w:rPr>
                <w:sz w:val="16"/>
                <w:szCs w:val="16"/>
                <w:lang w:val="en-US"/>
              </w:rPr>
            </w:r>
            <w:r>
              <w:rPr>
                <w:sz w:val="16"/>
                <w:szCs w:val="16"/>
                <w:lang w:val="en-US"/>
              </w:rPr>
              <w:fldChar w:fldCharType="separate"/>
            </w:r>
            <w:r>
              <w:rPr>
                <w:sz w:val="16"/>
                <w:szCs w:val="16"/>
                <w:lang w:val="ru-RU"/>
              </w:rPr>
              <w:t>74</w:t>
            </w:r>
            <w:r>
              <w:rPr>
                <w:sz w:val="16"/>
                <w:szCs w:val="16"/>
                <w:lang w:val="en-US"/>
              </w:rPr>
              <w:fldChar w:fldCharType="end"/>
            </w:r>
            <w:r w:rsidRPr="00774698">
              <w:rPr>
                <w:sz w:val="16"/>
                <w:szCs w:val="16"/>
                <w:lang w:val="ru-RU"/>
              </w:rPr>
              <w:t>]</w:t>
            </w:r>
          </w:p>
        </w:tc>
        <w:tc>
          <w:tcPr>
            <w:tcW w:w="851" w:type="dxa"/>
          </w:tcPr>
          <w:p w:rsidR="00B233DE" w:rsidRPr="00774698" w:rsidRDefault="00B233DE" w:rsidP="0023489B">
            <w:pPr>
              <w:pStyle w:val="afc"/>
              <w:spacing w:line="240" w:lineRule="auto"/>
              <w:ind w:left="-142" w:right="-108" w:firstLine="0"/>
              <w:jc w:val="center"/>
              <w:rPr>
                <w:sz w:val="16"/>
                <w:szCs w:val="16"/>
              </w:rPr>
            </w:pPr>
          </w:p>
          <w:p w:rsidR="00B233DE" w:rsidRPr="00774698" w:rsidRDefault="00B233DE" w:rsidP="0023489B">
            <w:pPr>
              <w:pStyle w:val="afc"/>
              <w:spacing w:line="240" w:lineRule="auto"/>
              <w:ind w:left="-142" w:right="-108" w:firstLine="0"/>
              <w:jc w:val="center"/>
              <w:rPr>
                <w:sz w:val="16"/>
                <w:szCs w:val="16"/>
              </w:rPr>
            </w:pPr>
            <w:r w:rsidRPr="00774698">
              <w:rPr>
                <w:sz w:val="16"/>
                <w:szCs w:val="16"/>
              </w:rPr>
              <w:t>Дж. Мілль</w:t>
            </w:r>
          </w:p>
          <w:p w:rsidR="00B233DE" w:rsidRPr="00774698" w:rsidRDefault="00B233DE" w:rsidP="0023489B">
            <w:pPr>
              <w:pStyle w:val="afc"/>
              <w:spacing w:line="240" w:lineRule="auto"/>
              <w:ind w:left="-142" w:right="-108" w:firstLine="0"/>
              <w:jc w:val="center"/>
              <w:rPr>
                <w:sz w:val="16"/>
                <w:szCs w:val="16"/>
                <w:lang w:val="ru-RU"/>
              </w:rPr>
            </w:pPr>
          </w:p>
          <w:p w:rsidR="00B233DE" w:rsidRPr="00774698" w:rsidRDefault="00B233DE" w:rsidP="0023489B">
            <w:pPr>
              <w:pStyle w:val="afc"/>
              <w:spacing w:line="240" w:lineRule="auto"/>
              <w:ind w:left="-142" w:right="-108" w:firstLine="0"/>
              <w:jc w:val="center"/>
              <w:rPr>
                <w:sz w:val="16"/>
                <w:szCs w:val="16"/>
                <w:lang w:val="ru-RU"/>
              </w:rPr>
            </w:pPr>
          </w:p>
          <w:p w:rsidR="00B233DE" w:rsidRPr="00774698" w:rsidRDefault="00B233DE" w:rsidP="0023489B">
            <w:pPr>
              <w:pStyle w:val="afc"/>
              <w:spacing w:line="240" w:lineRule="auto"/>
              <w:ind w:left="-142" w:right="-108" w:firstLine="0"/>
              <w:jc w:val="center"/>
              <w:rPr>
                <w:sz w:val="16"/>
                <w:szCs w:val="16"/>
              </w:rPr>
            </w:pPr>
            <w:r w:rsidRPr="00774698">
              <w:rPr>
                <w:sz w:val="16"/>
                <w:szCs w:val="16"/>
              </w:rPr>
              <w:t>А. Маршал</w:t>
            </w:r>
          </w:p>
          <w:p w:rsidR="00B233DE" w:rsidRPr="00774698" w:rsidRDefault="00B233DE" w:rsidP="0023489B">
            <w:pPr>
              <w:pStyle w:val="afc"/>
              <w:spacing w:line="240" w:lineRule="auto"/>
              <w:ind w:left="-142" w:right="-108" w:firstLine="0"/>
              <w:jc w:val="center"/>
              <w:rPr>
                <w:sz w:val="16"/>
                <w:szCs w:val="16"/>
              </w:rPr>
            </w:pPr>
          </w:p>
          <w:p w:rsidR="00B233DE" w:rsidRPr="00774698" w:rsidRDefault="00B233DE" w:rsidP="0023489B">
            <w:pPr>
              <w:pStyle w:val="afc"/>
              <w:spacing w:line="240" w:lineRule="auto"/>
              <w:ind w:left="-142" w:right="-108" w:firstLine="0"/>
              <w:jc w:val="center"/>
              <w:rPr>
                <w:sz w:val="16"/>
                <w:szCs w:val="16"/>
                <w:lang w:val="ru-RU"/>
              </w:rPr>
            </w:pPr>
          </w:p>
          <w:p w:rsidR="00B233DE" w:rsidRPr="00774698" w:rsidRDefault="00B233DE" w:rsidP="0023489B">
            <w:pPr>
              <w:pStyle w:val="afc"/>
              <w:spacing w:line="240" w:lineRule="auto"/>
              <w:ind w:left="-142" w:right="-108" w:firstLine="0"/>
              <w:jc w:val="center"/>
              <w:rPr>
                <w:sz w:val="16"/>
                <w:szCs w:val="16"/>
                <w:lang w:val="ru-RU"/>
              </w:rPr>
            </w:pPr>
            <w:r w:rsidRPr="00774698">
              <w:rPr>
                <w:sz w:val="16"/>
                <w:szCs w:val="16"/>
              </w:rPr>
              <w:t>Дж. Кейнс</w:t>
            </w:r>
          </w:p>
          <w:p w:rsidR="00B233DE" w:rsidRPr="00774698" w:rsidRDefault="00B233DE" w:rsidP="0023489B">
            <w:pPr>
              <w:pStyle w:val="afc"/>
              <w:spacing w:line="240" w:lineRule="auto"/>
              <w:ind w:left="-142" w:right="-108" w:firstLine="0"/>
              <w:jc w:val="center"/>
              <w:rPr>
                <w:sz w:val="16"/>
                <w:szCs w:val="16"/>
                <w:lang w:val="ru-RU"/>
              </w:rPr>
            </w:pPr>
          </w:p>
          <w:p w:rsidR="00B233DE" w:rsidRPr="00774698" w:rsidRDefault="00B233DE" w:rsidP="0023489B">
            <w:pPr>
              <w:pStyle w:val="afc"/>
              <w:spacing w:line="240" w:lineRule="auto"/>
              <w:ind w:left="-142" w:right="-108" w:firstLine="0"/>
              <w:jc w:val="center"/>
              <w:rPr>
                <w:sz w:val="16"/>
                <w:szCs w:val="16"/>
                <w:lang w:val="ru-RU"/>
              </w:rPr>
            </w:pPr>
          </w:p>
          <w:p w:rsidR="00B233DE" w:rsidRPr="00774698" w:rsidRDefault="00B233DE" w:rsidP="0023489B">
            <w:pPr>
              <w:pStyle w:val="afc"/>
              <w:spacing w:line="240" w:lineRule="auto"/>
              <w:ind w:left="-142" w:right="-108" w:firstLine="0"/>
              <w:jc w:val="center"/>
              <w:rPr>
                <w:sz w:val="16"/>
                <w:szCs w:val="16"/>
              </w:rPr>
            </w:pPr>
            <w:r w:rsidRPr="00774698">
              <w:rPr>
                <w:sz w:val="16"/>
                <w:szCs w:val="16"/>
              </w:rPr>
              <w:t>І. Фішер</w:t>
            </w:r>
          </w:p>
          <w:p w:rsidR="00B233DE" w:rsidRPr="00774698" w:rsidRDefault="00B233DE" w:rsidP="0023489B">
            <w:pPr>
              <w:pStyle w:val="afc"/>
              <w:spacing w:line="240" w:lineRule="auto"/>
              <w:ind w:left="-142" w:right="-108" w:firstLine="0"/>
              <w:jc w:val="center"/>
              <w:rPr>
                <w:sz w:val="16"/>
                <w:szCs w:val="16"/>
              </w:rPr>
            </w:pPr>
          </w:p>
        </w:tc>
        <w:tc>
          <w:tcPr>
            <w:tcW w:w="1843" w:type="dxa"/>
          </w:tcPr>
          <w:p w:rsidR="00B233DE" w:rsidRDefault="00B233DE" w:rsidP="0023489B">
            <w:pPr>
              <w:pStyle w:val="afc"/>
              <w:spacing w:line="240" w:lineRule="auto"/>
              <w:ind w:left="-142" w:right="-108" w:firstLine="0"/>
              <w:jc w:val="center"/>
              <w:rPr>
                <w:sz w:val="16"/>
                <w:szCs w:val="16"/>
              </w:rPr>
            </w:pPr>
            <w:r w:rsidRPr="00774698">
              <w:rPr>
                <w:sz w:val="16"/>
                <w:szCs w:val="16"/>
              </w:rPr>
              <w:t xml:space="preserve">Демографічний потенціал – здатність суспільства до розмноження, яка може проявлятись при даному рівні народжуваності </w:t>
            </w:r>
          </w:p>
          <w:p w:rsidR="00B233DE" w:rsidRPr="008C48EC" w:rsidRDefault="00B233DE" w:rsidP="0023489B">
            <w:pPr>
              <w:pStyle w:val="afc"/>
              <w:spacing w:line="240" w:lineRule="auto"/>
              <w:ind w:left="-142" w:right="-108" w:firstLine="0"/>
              <w:jc w:val="center"/>
              <w:rPr>
                <w:spacing w:val="-6"/>
                <w:sz w:val="16"/>
                <w:szCs w:val="16"/>
              </w:rPr>
            </w:pPr>
            <w:r w:rsidRPr="008C48EC">
              <w:rPr>
                <w:spacing w:val="-6"/>
                <w:sz w:val="16"/>
                <w:szCs w:val="16"/>
              </w:rPr>
              <w:t>і смертності за виключенням</w:t>
            </w:r>
            <w:r w:rsidRPr="00774698">
              <w:rPr>
                <w:sz w:val="16"/>
                <w:szCs w:val="16"/>
              </w:rPr>
              <w:t xml:space="preserve"> </w:t>
            </w:r>
            <w:r w:rsidRPr="008C48EC">
              <w:rPr>
                <w:spacing w:val="-6"/>
                <w:sz w:val="16"/>
                <w:szCs w:val="16"/>
              </w:rPr>
              <w:t>побічних факторів [</w:t>
            </w:r>
            <w:r>
              <w:rPr>
                <w:bCs/>
                <w:sz w:val="16"/>
                <w:szCs w:val="16"/>
              </w:rPr>
              <w:fldChar w:fldCharType="begin"/>
            </w:r>
            <w:r>
              <w:rPr>
                <w:spacing w:val="-6"/>
                <w:sz w:val="16"/>
                <w:szCs w:val="16"/>
              </w:rPr>
              <w:instrText xml:space="preserve"> REF _Ref430593743 \r \h </w:instrText>
            </w:r>
            <w:r>
              <w:rPr>
                <w:bCs/>
                <w:sz w:val="16"/>
                <w:szCs w:val="16"/>
              </w:rPr>
            </w:r>
            <w:r>
              <w:rPr>
                <w:bCs/>
                <w:sz w:val="16"/>
                <w:szCs w:val="16"/>
              </w:rPr>
              <w:fldChar w:fldCharType="separate"/>
            </w:r>
            <w:r>
              <w:rPr>
                <w:spacing w:val="-6"/>
                <w:sz w:val="16"/>
                <w:szCs w:val="16"/>
              </w:rPr>
              <w:t>47</w:t>
            </w:r>
            <w:r>
              <w:rPr>
                <w:bCs/>
                <w:sz w:val="16"/>
                <w:szCs w:val="16"/>
              </w:rPr>
              <w:fldChar w:fldCharType="end"/>
            </w:r>
            <w:r w:rsidRPr="008C48EC">
              <w:rPr>
                <w:spacing w:val="-6"/>
                <w:sz w:val="16"/>
                <w:szCs w:val="16"/>
              </w:rPr>
              <w:t>]</w:t>
            </w:r>
          </w:p>
          <w:p w:rsidR="00B233DE" w:rsidRPr="00774698" w:rsidRDefault="00B233DE" w:rsidP="0023489B">
            <w:pPr>
              <w:pStyle w:val="afc"/>
              <w:spacing w:line="240" w:lineRule="auto"/>
              <w:ind w:left="-142" w:right="-108" w:firstLine="0"/>
              <w:jc w:val="center"/>
              <w:rPr>
                <w:sz w:val="16"/>
                <w:szCs w:val="16"/>
              </w:rPr>
            </w:pPr>
            <w:r w:rsidRPr="00774698">
              <w:rPr>
                <w:sz w:val="16"/>
                <w:szCs w:val="16"/>
              </w:rPr>
              <w:t>Життєвий потенціал – залежність між рівнями смертності та віковими структурами реального населення [</w:t>
            </w:r>
            <w:r>
              <w:rPr>
                <w:bCs/>
                <w:sz w:val="16"/>
                <w:szCs w:val="16"/>
              </w:rPr>
              <w:fldChar w:fldCharType="begin"/>
            </w:r>
            <w:r>
              <w:rPr>
                <w:sz w:val="16"/>
                <w:szCs w:val="16"/>
              </w:rPr>
              <w:instrText xml:space="preserve"> REF _Ref430593743 \r \h </w:instrText>
            </w:r>
            <w:r>
              <w:rPr>
                <w:bCs/>
                <w:sz w:val="16"/>
                <w:szCs w:val="16"/>
              </w:rPr>
            </w:r>
            <w:r>
              <w:rPr>
                <w:bCs/>
                <w:sz w:val="16"/>
                <w:szCs w:val="16"/>
              </w:rPr>
              <w:fldChar w:fldCharType="separate"/>
            </w:r>
            <w:r>
              <w:rPr>
                <w:sz w:val="16"/>
                <w:szCs w:val="16"/>
              </w:rPr>
              <w:t>47</w:t>
            </w:r>
            <w:r>
              <w:rPr>
                <w:bCs/>
                <w:sz w:val="16"/>
                <w:szCs w:val="16"/>
              </w:rPr>
              <w:fldChar w:fldCharType="end"/>
            </w:r>
            <w:r w:rsidRPr="00774698">
              <w:rPr>
                <w:sz w:val="16"/>
                <w:szCs w:val="16"/>
              </w:rPr>
              <w:t>]</w:t>
            </w:r>
          </w:p>
        </w:tc>
      </w:tr>
      <w:tr w:rsidR="00B233DE" w:rsidRPr="00774698" w:rsidTr="0023489B">
        <w:tc>
          <w:tcPr>
            <w:tcW w:w="993" w:type="dxa"/>
          </w:tcPr>
          <w:p w:rsidR="00B233DE" w:rsidRPr="00774698" w:rsidRDefault="00B233DE" w:rsidP="0023489B">
            <w:pPr>
              <w:pStyle w:val="afc"/>
              <w:spacing w:line="240" w:lineRule="auto"/>
              <w:ind w:left="-142" w:right="-108" w:firstLine="0"/>
              <w:jc w:val="center"/>
              <w:rPr>
                <w:sz w:val="16"/>
                <w:szCs w:val="16"/>
              </w:rPr>
            </w:pPr>
            <w:r w:rsidRPr="00774698">
              <w:rPr>
                <w:sz w:val="16"/>
                <w:szCs w:val="16"/>
              </w:rPr>
              <w:t xml:space="preserve">З останньої третини ХХ ст. до сьогодні, </w:t>
            </w:r>
            <w:r w:rsidRPr="008C48EC">
              <w:rPr>
                <w:spacing w:val="-6"/>
                <w:sz w:val="16"/>
                <w:szCs w:val="16"/>
              </w:rPr>
              <w:t>інформаційний</w:t>
            </w:r>
          </w:p>
        </w:tc>
        <w:tc>
          <w:tcPr>
            <w:tcW w:w="2551" w:type="dxa"/>
          </w:tcPr>
          <w:p w:rsidR="00B233DE" w:rsidRPr="008C48EC" w:rsidRDefault="00B233DE" w:rsidP="0023489B">
            <w:pPr>
              <w:pStyle w:val="afc"/>
              <w:spacing w:line="240" w:lineRule="auto"/>
              <w:ind w:left="-108" w:firstLine="0"/>
              <w:jc w:val="center"/>
              <w:rPr>
                <w:spacing w:val="-8"/>
                <w:sz w:val="16"/>
                <w:szCs w:val="16"/>
                <w:lang w:val="ru-RU"/>
              </w:rPr>
            </w:pPr>
            <w:r w:rsidRPr="00774698">
              <w:rPr>
                <w:sz w:val="16"/>
                <w:szCs w:val="16"/>
              </w:rPr>
              <w:t xml:space="preserve">Людський капітал як здатність людини до праці є головним </w:t>
            </w:r>
            <w:r w:rsidRPr="008C48EC">
              <w:rPr>
                <w:spacing w:val="-8"/>
                <w:sz w:val="16"/>
                <w:szCs w:val="16"/>
              </w:rPr>
              <w:t>фактором економічного розвитку</w:t>
            </w:r>
            <w:r w:rsidRPr="008C48EC">
              <w:rPr>
                <w:spacing w:val="-8"/>
                <w:sz w:val="16"/>
                <w:szCs w:val="16"/>
                <w:lang w:val="ru-RU"/>
              </w:rPr>
              <w:t xml:space="preserve"> [</w:t>
            </w:r>
            <w:r>
              <w:rPr>
                <w:spacing w:val="-8"/>
                <w:sz w:val="16"/>
                <w:szCs w:val="16"/>
              </w:rPr>
              <w:fldChar w:fldCharType="begin"/>
            </w:r>
            <w:r>
              <w:rPr>
                <w:spacing w:val="-8"/>
                <w:sz w:val="16"/>
                <w:szCs w:val="16"/>
                <w:lang w:val="ru-RU"/>
              </w:rPr>
              <w:instrText xml:space="preserve"> REF _Ref430593757 \r \h </w:instrText>
            </w:r>
            <w:r>
              <w:rPr>
                <w:spacing w:val="-8"/>
                <w:sz w:val="16"/>
                <w:szCs w:val="16"/>
              </w:rPr>
            </w:r>
            <w:r>
              <w:rPr>
                <w:spacing w:val="-8"/>
                <w:sz w:val="16"/>
                <w:szCs w:val="16"/>
              </w:rPr>
              <w:fldChar w:fldCharType="separate"/>
            </w:r>
            <w:r>
              <w:rPr>
                <w:spacing w:val="-8"/>
                <w:sz w:val="16"/>
                <w:szCs w:val="16"/>
                <w:lang w:val="ru-RU"/>
              </w:rPr>
              <w:t>81</w:t>
            </w:r>
            <w:r>
              <w:rPr>
                <w:spacing w:val="-8"/>
                <w:sz w:val="16"/>
                <w:szCs w:val="16"/>
              </w:rPr>
              <w:fldChar w:fldCharType="end"/>
            </w:r>
            <w:r w:rsidRPr="008C48EC">
              <w:rPr>
                <w:spacing w:val="-8"/>
                <w:sz w:val="16"/>
                <w:szCs w:val="16"/>
                <w:lang w:val="ru-RU"/>
              </w:rPr>
              <w:t>]</w:t>
            </w:r>
          </w:p>
          <w:p w:rsidR="00B233DE" w:rsidRPr="00774698" w:rsidRDefault="00B233DE" w:rsidP="0023489B">
            <w:pPr>
              <w:pStyle w:val="afc"/>
              <w:spacing w:line="240" w:lineRule="auto"/>
              <w:ind w:left="-108" w:firstLine="0"/>
              <w:jc w:val="center"/>
              <w:rPr>
                <w:sz w:val="16"/>
                <w:szCs w:val="16"/>
              </w:rPr>
            </w:pPr>
            <w:r w:rsidRPr="00774698">
              <w:rPr>
                <w:sz w:val="16"/>
                <w:szCs w:val="16"/>
              </w:rPr>
              <w:t xml:space="preserve">Людина володіє виробничими </w:t>
            </w:r>
            <w:r w:rsidRPr="008C48EC">
              <w:rPr>
                <w:spacing w:val="-8"/>
                <w:sz w:val="16"/>
                <w:szCs w:val="16"/>
              </w:rPr>
              <w:t>знаннями, уміннями і професійною</w:t>
            </w:r>
            <w:r w:rsidRPr="00774698">
              <w:rPr>
                <w:sz w:val="16"/>
                <w:szCs w:val="16"/>
              </w:rPr>
              <w:t xml:space="preserve"> підготовкою, що і формують людський капітал [</w:t>
            </w:r>
            <w:r>
              <w:rPr>
                <w:spacing w:val="-10"/>
                <w:sz w:val="16"/>
                <w:szCs w:val="16"/>
              </w:rPr>
              <w:fldChar w:fldCharType="begin"/>
            </w:r>
            <w:r>
              <w:rPr>
                <w:sz w:val="16"/>
                <w:szCs w:val="16"/>
              </w:rPr>
              <w:instrText xml:space="preserve"> REF _Ref430593769 \r \h </w:instrText>
            </w:r>
            <w:r>
              <w:rPr>
                <w:spacing w:val="-10"/>
                <w:sz w:val="16"/>
                <w:szCs w:val="16"/>
              </w:rPr>
            </w:r>
            <w:r>
              <w:rPr>
                <w:spacing w:val="-10"/>
                <w:sz w:val="16"/>
                <w:szCs w:val="16"/>
              </w:rPr>
              <w:fldChar w:fldCharType="separate"/>
            </w:r>
            <w:r>
              <w:rPr>
                <w:sz w:val="16"/>
                <w:szCs w:val="16"/>
              </w:rPr>
              <w:t>73</w:t>
            </w:r>
            <w:r>
              <w:rPr>
                <w:spacing w:val="-10"/>
                <w:sz w:val="16"/>
                <w:szCs w:val="16"/>
              </w:rPr>
              <w:fldChar w:fldCharType="end"/>
            </w:r>
            <w:r w:rsidRPr="00774698">
              <w:rPr>
                <w:sz w:val="16"/>
                <w:szCs w:val="16"/>
              </w:rPr>
              <w:t>]</w:t>
            </w:r>
          </w:p>
          <w:p w:rsidR="00B233DE" w:rsidRPr="008C48EC" w:rsidRDefault="00B233DE" w:rsidP="0023489B">
            <w:pPr>
              <w:pStyle w:val="afc"/>
              <w:spacing w:line="240" w:lineRule="auto"/>
              <w:ind w:left="-108" w:firstLine="0"/>
              <w:jc w:val="center"/>
              <w:rPr>
                <w:spacing w:val="-8"/>
                <w:sz w:val="16"/>
                <w:szCs w:val="16"/>
                <w:lang w:val="ru-RU"/>
              </w:rPr>
            </w:pPr>
            <w:r w:rsidRPr="00774698">
              <w:rPr>
                <w:sz w:val="16"/>
                <w:szCs w:val="16"/>
              </w:rPr>
              <w:t xml:space="preserve">Людина з одержаними в процесі навчання і професійної підготовки </w:t>
            </w:r>
            <w:r w:rsidRPr="008C48EC">
              <w:rPr>
                <w:spacing w:val="-8"/>
                <w:sz w:val="16"/>
                <w:szCs w:val="16"/>
              </w:rPr>
              <w:t>знаннями здатна створювати дохід</w:t>
            </w:r>
            <w:r w:rsidRPr="008C48EC">
              <w:rPr>
                <w:spacing w:val="-8"/>
                <w:sz w:val="16"/>
                <w:szCs w:val="16"/>
                <w:lang w:val="ru-RU"/>
              </w:rPr>
              <w:t xml:space="preserve"> [</w:t>
            </w:r>
            <w:r>
              <w:rPr>
                <w:sz w:val="16"/>
                <w:szCs w:val="16"/>
                <w:lang w:val="en-US"/>
              </w:rPr>
              <w:fldChar w:fldCharType="begin"/>
            </w:r>
            <w:r>
              <w:rPr>
                <w:spacing w:val="-8"/>
                <w:sz w:val="16"/>
                <w:szCs w:val="16"/>
                <w:lang w:val="ru-RU"/>
              </w:rPr>
              <w:instrText xml:space="preserve"> REF _Ref430593775 \r \h </w:instrText>
            </w:r>
            <w:r>
              <w:rPr>
                <w:sz w:val="16"/>
                <w:szCs w:val="16"/>
                <w:lang w:val="en-US"/>
              </w:rPr>
            </w:r>
            <w:r>
              <w:rPr>
                <w:sz w:val="16"/>
                <w:szCs w:val="16"/>
                <w:lang w:val="en-US"/>
              </w:rPr>
              <w:fldChar w:fldCharType="separate"/>
            </w:r>
            <w:r>
              <w:rPr>
                <w:spacing w:val="-8"/>
                <w:sz w:val="16"/>
                <w:szCs w:val="16"/>
                <w:lang w:val="ru-RU"/>
              </w:rPr>
              <w:t>76</w:t>
            </w:r>
            <w:r>
              <w:rPr>
                <w:sz w:val="16"/>
                <w:szCs w:val="16"/>
                <w:lang w:val="en-US"/>
              </w:rPr>
              <w:fldChar w:fldCharType="end"/>
            </w:r>
            <w:r w:rsidRPr="008C48EC">
              <w:rPr>
                <w:spacing w:val="-8"/>
                <w:sz w:val="16"/>
                <w:szCs w:val="16"/>
                <w:lang w:val="ru-RU"/>
              </w:rPr>
              <w:t>]</w:t>
            </w:r>
          </w:p>
          <w:p w:rsidR="00B233DE" w:rsidRPr="008C48EC" w:rsidRDefault="00B233DE" w:rsidP="0023489B">
            <w:pPr>
              <w:pStyle w:val="afc"/>
              <w:spacing w:line="240" w:lineRule="auto"/>
              <w:ind w:left="-108" w:firstLine="0"/>
              <w:jc w:val="center"/>
              <w:rPr>
                <w:spacing w:val="-8"/>
                <w:sz w:val="16"/>
                <w:szCs w:val="16"/>
                <w:lang w:val="ru-RU"/>
              </w:rPr>
            </w:pPr>
            <w:r w:rsidRPr="008C48EC">
              <w:rPr>
                <w:spacing w:val="-8"/>
                <w:sz w:val="16"/>
                <w:szCs w:val="16"/>
              </w:rPr>
              <w:t>Людський капітал є квінтесенцією</w:t>
            </w:r>
            <w:r w:rsidRPr="00774698">
              <w:rPr>
                <w:sz w:val="16"/>
                <w:szCs w:val="16"/>
              </w:rPr>
              <w:t xml:space="preserve"> конкурентоспроможності, еконо</w:t>
            </w:r>
            <w:r>
              <w:rPr>
                <w:sz w:val="16"/>
                <w:szCs w:val="16"/>
              </w:rPr>
              <w:t>-</w:t>
            </w:r>
            <w:r w:rsidRPr="008C48EC">
              <w:rPr>
                <w:spacing w:val="-8"/>
                <w:sz w:val="16"/>
                <w:szCs w:val="16"/>
              </w:rPr>
              <w:t>мічного зростання й ефективності</w:t>
            </w:r>
            <w:r w:rsidRPr="008C48EC">
              <w:rPr>
                <w:spacing w:val="-8"/>
                <w:sz w:val="16"/>
                <w:szCs w:val="16"/>
                <w:lang w:val="ru-RU"/>
              </w:rPr>
              <w:t xml:space="preserve"> [</w:t>
            </w:r>
            <w:r>
              <w:rPr>
                <w:sz w:val="16"/>
                <w:szCs w:val="16"/>
              </w:rPr>
              <w:fldChar w:fldCharType="begin"/>
            </w:r>
            <w:r>
              <w:rPr>
                <w:spacing w:val="-8"/>
                <w:sz w:val="16"/>
                <w:szCs w:val="16"/>
                <w:lang w:val="ru-RU"/>
              </w:rPr>
              <w:instrText xml:space="preserve"> REF _Ref430593785 \r \h </w:instrText>
            </w:r>
            <w:r>
              <w:rPr>
                <w:sz w:val="16"/>
                <w:szCs w:val="16"/>
              </w:rPr>
            </w:r>
            <w:r>
              <w:rPr>
                <w:sz w:val="16"/>
                <w:szCs w:val="16"/>
              </w:rPr>
              <w:fldChar w:fldCharType="separate"/>
            </w:r>
            <w:r>
              <w:rPr>
                <w:spacing w:val="-8"/>
                <w:sz w:val="16"/>
                <w:szCs w:val="16"/>
                <w:lang w:val="ru-RU"/>
              </w:rPr>
              <w:t>18</w:t>
            </w:r>
            <w:r>
              <w:rPr>
                <w:sz w:val="16"/>
                <w:szCs w:val="16"/>
              </w:rPr>
              <w:fldChar w:fldCharType="end"/>
            </w:r>
            <w:r w:rsidRPr="008C48EC">
              <w:rPr>
                <w:spacing w:val="-8"/>
                <w:sz w:val="16"/>
                <w:szCs w:val="16"/>
                <w:lang w:val="ru-RU"/>
              </w:rPr>
              <w:t>]</w:t>
            </w:r>
          </w:p>
          <w:p w:rsidR="00B233DE" w:rsidRPr="008C48EC" w:rsidRDefault="00B233DE" w:rsidP="0023489B">
            <w:pPr>
              <w:pStyle w:val="afc"/>
              <w:spacing w:line="240" w:lineRule="auto"/>
              <w:ind w:left="-108" w:firstLine="0"/>
              <w:jc w:val="center"/>
              <w:rPr>
                <w:spacing w:val="-6"/>
                <w:sz w:val="16"/>
                <w:szCs w:val="16"/>
              </w:rPr>
            </w:pPr>
            <w:r w:rsidRPr="00774698">
              <w:rPr>
                <w:sz w:val="16"/>
                <w:szCs w:val="16"/>
              </w:rPr>
              <w:t xml:space="preserve">Людська природа і довгострокові циклічні коливання економіки </w:t>
            </w:r>
            <w:r w:rsidRPr="008C48EC">
              <w:rPr>
                <w:spacing w:val="-6"/>
                <w:sz w:val="16"/>
                <w:szCs w:val="16"/>
              </w:rPr>
              <w:t>мають органічний взаємозв’язок [</w:t>
            </w:r>
            <w:r>
              <w:rPr>
                <w:sz w:val="16"/>
                <w:szCs w:val="16"/>
              </w:rPr>
              <w:fldChar w:fldCharType="begin"/>
            </w:r>
            <w:r>
              <w:rPr>
                <w:spacing w:val="-6"/>
                <w:sz w:val="16"/>
                <w:szCs w:val="16"/>
              </w:rPr>
              <w:instrText xml:space="preserve"> REF _Ref430593792 \r \h </w:instrText>
            </w:r>
            <w:r>
              <w:rPr>
                <w:sz w:val="16"/>
                <w:szCs w:val="16"/>
              </w:rPr>
            </w:r>
            <w:r>
              <w:rPr>
                <w:sz w:val="16"/>
                <w:szCs w:val="16"/>
              </w:rPr>
              <w:fldChar w:fldCharType="separate"/>
            </w:r>
            <w:r>
              <w:rPr>
                <w:spacing w:val="-6"/>
                <w:sz w:val="16"/>
                <w:szCs w:val="16"/>
              </w:rPr>
              <w:t>31</w:t>
            </w:r>
            <w:r>
              <w:rPr>
                <w:sz w:val="16"/>
                <w:szCs w:val="16"/>
              </w:rPr>
              <w:fldChar w:fldCharType="end"/>
            </w:r>
            <w:r w:rsidRPr="008C48EC">
              <w:rPr>
                <w:spacing w:val="-6"/>
                <w:sz w:val="16"/>
                <w:szCs w:val="16"/>
              </w:rPr>
              <w:t>]</w:t>
            </w:r>
          </w:p>
          <w:p w:rsidR="00B233DE" w:rsidRPr="00774698" w:rsidRDefault="00B233DE" w:rsidP="0023489B">
            <w:pPr>
              <w:pStyle w:val="afc"/>
              <w:spacing w:line="240" w:lineRule="auto"/>
              <w:ind w:left="-108" w:firstLine="0"/>
              <w:jc w:val="center"/>
              <w:rPr>
                <w:sz w:val="16"/>
                <w:szCs w:val="16"/>
                <w:lang w:val="ru-RU"/>
              </w:rPr>
            </w:pPr>
            <w:r w:rsidRPr="00774698">
              <w:rPr>
                <w:sz w:val="16"/>
                <w:szCs w:val="16"/>
              </w:rPr>
              <w:t>Людина та реалізація нею трьох основних можливостей прожити довге і здорове життя, набувати нові знання і мати доступ до необхідних ресурсів є ціллю розвитку економіки</w:t>
            </w:r>
            <w:r w:rsidRPr="00774698">
              <w:rPr>
                <w:sz w:val="16"/>
                <w:szCs w:val="16"/>
                <w:lang w:val="ru-RU"/>
              </w:rPr>
              <w:t xml:space="preserve"> [</w:t>
            </w:r>
            <w:r>
              <w:rPr>
                <w:sz w:val="16"/>
                <w:szCs w:val="16"/>
              </w:rPr>
              <w:fldChar w:fldCharType="begin"/>
            </w:r>
            <w:r>
              <w:rPr>
                <w:sz w:val="16"/>
                <w:szCs w:val="16"/>
                <w:lang w:val="ru-RU"/>
              </w:rPr>
              <w:instrText xml:space="preserve"> REF _Ref430593801 \r \h </w:instrText>
            </w:r>
            <w:r>
              <w:rPr>
                <w:sz w:val="16"/>
                <w:szCs w:val="16"/>
              </w:rPr>
            </w:r>
            <w:r>
              <w:rPr>
                <w:sz w:val="16"/>
                <w:szCs w:val="16"/>
              </w:rPr>
              <w:fldChar w:fldCharType="separate"/>
            </w:r>
            <w:r>
              <w:rPr>
                <w:sz w:val="16"/>
                <w:szCs w:val="16"/>
                <w:lang w:val="ru-RU"/>
              </w:rPr>
              <w:t>53</w:t>
            </w:r>
            <w:r>
              <w:rPr>
                <w:sz w:val="16"/>
                <w:szCs w:val="16"/>
              </w:rPr>
              <w:fldChar w:fldCharType="end"/>
            </w:r>
            <w:r w:rsidRPr="00774698">
              <w:rPr>
                <w:sz w:val="16"/>
                <w:szCs w:val="16"/>
                <w:lang w:val="ru-RU"/>
              </w:rPr>
              <w:t>]</w:t>
            </w:r>
          </w:p>
        </w:tc>
        <w:tc>
          <w:tcPr>
            <w:tcW w:w="851" w:type="dxa"/>
          </w:tcPr>
          <w:p w:rsidR="00B233DE" w:rsidRDefault="00B233DE" w:rsidP="0023489B">
            <w:pPr>
              <w:pStyle w:val="afc"/>
              <w:spacing w:line="240" w:lineRule="auto"/>
              <w:ind w:left="-142" w:right="-108" w:firstLine="0"/>
              <w:jc w:val="center"/>
              <w:rPr>
                <w:sz w:val="16"/>
                <w:szCs w:val="16"/>
              </w:rPr>
            </w:pPr>
          </w:p>
          <w:p w:rsidR="00B233DE" w:rsidRPr="00774698" w:rsidRDefault="00B233DE" w:rsidP="0023489B">
            <w:pPr>
              <w:pStyle w:val="afc"/>
              <w:spacing w:line="240" w:lineRule="auto"/>
              <w:ind w:left="-142" w:right="-108" w:firstLine="0"/>
              <w:jc w:val="center"/>
              <w:rPr>
                <w:sz w:val="16"/>
                <w:szCs w:val="16"/>
              </w:rPr>
            </w:pPr>
            <w:r w:rsidRPr="00774698">
              <w:rPr>
                <w:sz w:val="16"/>
                <w:szCs w:val="16"/>
              </w:rPr>
              <w:t>Т. Шульц</w:t>
            </w:r>
          </w:p>
          <w:p w:rsidR="00B233DE" w:rsidRPr="00774698" w:rsidRDefault="00B233DE" w:rsidP="0023489B">
            <w:pPr>
              <w:pStyle w:val="afc"/>
              <w:spacing w:line="240" w:lineRule="auto"/>
              <w:ind w:left="-142" w:right="-108" w:firstLine="0"/>
              <w:jc w:val="center"/>
              <w:rPr>
                <w:sz w:val="16"/>
                <w:szCs w:val="16"/>
              </w:rPr>
            </w:pPr>
          </w:p>
          <w:p w:rsidR="00B233DE" w:rsidRPr="00774698" w:rsidRDefault="00B233DE" w:rsidP="0023489B">
            <w:pPr>
              <w:pStyle w:val="afc"/>
              <w:spacing w:line="240" w:lineRule="auto"/>
              <w:ind w:left="-142" w:right="-108" w:firstLine="0"/>
              <w:jc w:val="center"/>
              <w:rPr>
                <w:sz w:val="16"/>
                <w:szCs w:val="16"/>
                <w:lang w:val="ru-RU"/>
              </w:rPr>
            </w:pPr>
          </w:p>
          <w:p w:rsidR="00B233DE" w:rsidRPr="00774698" w:rsidRDefault="00B233DE" w:rsidP="0023489B">
            <w:pPr>
              <w:pStyle w:val="afc"/>
              <w:spacing w:line="240" w:lineRule="auto"/>
              <w:ind w:left="-142" w:right="-108" w:firstLine="0"/>
              <w:jc w:val="center"/>
              <w:rPr>
                <w:sz w:val="16"/>
                <w:szCs w:val="16"/>
              </w:rPr>
            </w:pPr>
            <w:r w:rsidRPr="00774698">
              <w:rPr>
                <w:sz w:val="16"/>
                <w:szCs w:val="16"/>
              </w:rPr>
              <w:t>Г. Бекер</w:t>
            </w:r>
          </w:p>
          <w:p w:rsidR="00B233DE" w:rsidRPr="00774698" w:rsidRDefault="00B233DE" w:rsidP="0023489B">
            <w:pPr>
              <w:pStyle w:val="afc"/>
              <w:spacing w:line="240" w:lineRule="auto"/>
              <w:ind w:left="-142" w:right="-108" w:firstLine="0"/>
              <w:jc w:val="center"/>
              <w:rPr>
                <w:sz w:val="16"/>
                <w:szCs w:val="16"/>
              </w:rPr>
            </w:pPr>
          </w:p>
          <w:p w:rsidR="00B233DE" w:rsidRPr="00774698" w:rsidRDefault="00B233DE" w:rsidP="0023489B">
            <w:pPr>
              <w:pStyle w:val="afc"/>
              <w:spacing w:line="240" w:lineRule="auto"/>
              <w:ind w:left="-142" w:right="-108" w:firstLine="0"/>
              <w:jc w:val="center"/>
              <w:rPr>
                <w:sz w:val="16"/>
                <w:szCs w:val="16"/>
                <w:lang w:val="ru-RU"/>
              </w:rPr>
            </w:pPr>
          </w:p>
          <w:p w:rsidR="00B233DE" w:rsidRPr="00774698" w:rsidRDefault="00B233DE" w:rsidP="0023489B">
            <w:pPr>
              <w:pStyle w:val="afc"/>
              <w:spacing w:line="240" w:lineRule="auto"/>
              <w:ind w:left="-142" w:right="-108" w:firstLine="0"/>
              <w:jc w:val="center"/>
              <w:rPr>
                <w:sz w:val="16"/>
                <w:szCs w:val="16"/>
                <w:lang w:val="ru-RU"/>
              </w:rPr>
            </w:pPr>
          </w:p>
          <w:p w:rsidR="00B233DE" w:rsidRPr="00774698" w:rsidRDefault="00B233DE" w:rsidP="0023489B">
            <w:pPr>
              <w:pStyle w:val="afc"/>
              <w:spacing w:line="240" w:lineRule="auto"/>
              <w:ind w:left="-142" w:right="-108" w:firstLine="0"/>
              <w:jc w:val="center"/>
              <w:rPr>
                <w:sz w:val="16"/>
                <w:szCs w:val="16"/>
              </w:rPr>
            </w:pPr>
            <w:r w:rsidRPr="00774698">
              <w:rPr>
                <w:sz w:val="16"/>
                <w:szCs w:val="16"/>
              </w:rPr>
              <w:t>Дж. Кендрик</w:t>
            </w:r>
          </w:p>
          <w:p w:rsidR="00B233DE" w:rsidRPr="00774698" w:rsidRDefault="00B233DE" w:rsidP="0023489B">
            <w:pPr>
              <w:pStyle w:val="afc"/>
              <w:spacing w:line="240" w:lineRule="auto"/>
              <w:ind w:left="-142" w:right="-108" w:firstLine="0"/>
              <w:jc w:val="center"/>
              <w:rPr>
                <w:sz w:val="16"/>
                <w:szCs w:val="16"/>
              </w:rPr>
            </w:pPr>
          </w:p>
          <w:p w:rsidR="00B233DE" w:rsidRPr="00774698" w:rsidRDefault="00B233DE" w:rsidP="0023489B">
            <w:pPr>
              <w:pStyle w:val="afc"/>
              <w:spacing w:line="240" w:lineRule="auto"/>
              <w:ind w:left="-142" w:right="-108" w:firstLine="0"/>
              <w:jc w:val="center"/>
              <w:rPr>
                <w:sz w:val="16"/>
                <w:szCs w:val="16"/>
                <w:lang w:val="ru-RU"/>
              </w:rPr>
            </w:pPr>
          </w:p>
          <w:p w:rsidR="00B233DE" w:rsidRPr="00774698" w:rsidRDefault="00B233DE" w:rsidP="0023489B">
            <w:pPr>
              <w:pStyle w:val="afc"/>
              <w:spacing w:line="240" w:lineRule="auto"/>
              <w:ind w:left="-142" w:right="-108" w:firstLine="0"/>
              <w:jc w:val="center"/>
              <w:rPr>
                <w:sz w:val="16"/>
                <w:szCs w:val="16"/>
              </w:rPr>
            </w:pPr>
            <w:r w:rsidRPr="00774698">
              <w:rPr>
                <w:sz w:val="16"/>
                <w:szCs w:val="16"/>
              </w:rPr>
              <w:t>Дж. Грейсон</w:t>
            </w:r>
          </w:p>
          <w:p w:rsidR="00B233DE" w:rsidRPr="00774698" w:rsidRDefault="00B233DE" w:rsidP="0023489B">
            <w:pPr>
              <w:pStyle w:val="afc"/>
              <w:spacing w:line="240" w:lineRule="auto"/>
              <w:ind w:left="-142" w:right="-108" w:firstLine="0"/>
              <w:jc w:val="center"/>
              <w:rPr>
                <w:sz w:val="16"/>
                <w:szCs w:val="16"/>
              </w:rPr>
            </w:pPr>
          </w:p>
          <w:p w:rsidR="00B233DE" w:rsidRPr="00774698" w:rsidRDefault="00B233DE" w:rsidP="0023489B">
            <w:pPr>
              <w:pStyle w:val="afc"/>
              <w:spacing w:line="240" w:lineRule="auto"/>
              <w:ind w:left="-142" w:right="-108" w:firstLine="0"/>
              <w:jc w:val="center"/>
              <w:rPr>
                <w:sz w:val="16"/>
                <w:szCs w:val="16"/>
              </w:rPr>
            </w:pPr>
          </w:p>
          <w:p w:rsidR="00B233DE" w:rsidRPr="00774698" w:rsidRDefault="00B233DE" w:rsidP="0023489B">
            <w:pPr>
              <w:pStyle w:val="afc"/>
              <w:spacing w:line="240" w:lineRule="auto"/>
              <w:ind w:left="-142" w:right="-108" w:firstLine="0"/>
              <w:jc w:val="center"/>
              <w:rPr>
                <w:sz w:val="16"/>
                <w:szCs w:val="16"/>
              </w:rPr>
            </w:pPr>
            <w:r w:rsidRPr="00774698">
              <w:rPr>
                <w:sz w:val="16"/>
                <w:szCs w:val="16"/>
              </w:rPr>
              <w:t>М. Кондратьєв</w:t>
            </w:r>
          </w:p>
          <w:p w:rsidR="00B233DE" w:rsidRPr="00774698" w:rsidRDefault="00B233DE" w:rsidP="0023489B">
            <w:pPr>
              <w:pStyle w:val="afc"/>
              <w:spacing w:line="240" w:lineRule="auto"/>
              <w:ind w:left="-142" w:right="-108" w:firstLine="0"/>
              <w:jc w:val="center"/>
              <w:rPr>
                <w:sz w:val="16"/>
                <w:szCs w:val="16"/>
              </w:rPr>
            </w:pPr>
          </w:p>
          <w:p w:rsidR="00B233DE" w:rsidRPr="00774698" w:rsidRDefault="00B233DE" w:rsidP="0023489B">
            <w:pPr>
              <w:pStyle w:val="afc"/>
              <w:spacing w:line="240" w:lineRule="auto"/>
              <w:ind w:left="-142" w:right="-108" w:firstLine="0"/>
              <w:jc w:val="center"/>
              <w:rPr>
                <w:sz w:val="16"/>
                <w:szCs w:val="16"/>
                <w:lang w:val="ru-RU"/>
              </w:rPr>
            </w:pPr>
          </w:p>
          <w:p w:rsidR="00B233DE" w:rsidRPr="00774698" w:rsidRDefault="00B233DE" w:rsidP="0023489B">
            <w:pPr>
              <w:pStyle w:val="afc"/>
              <w:spacing w:line="240" w:lineRule="auto"/>
              <w:ind w:left="-142" w:right="-108" w:firstLine="0"/>
              <w:jc w:val="center"/>
              <w:rPr>
                <w:sz w:val="16"/>
                <w:szCs w:val="16"/>
                <w:lang w:val="ru-RU"/>
              </w:rPr>
            </w:pPr>
            <w:r>
              <w:rPr>
                <w:sz w:val="16"/>
                <w:szCs w:val="16"/>
              </w:rPr>
              <w:t>М.</w:t>
            </w:r>
            <w:r w:rsidRPr="00774698">
              <w:rPr>
                <w:sz w:val="16"/>
                <w:szCs w:val="16"/>
              </w:rPr>
              <w:t xml:space="preserve"> Хак,</w:t>
            </w:r>
          </w:p>
          <w:p w:rsidR="00B233DE" w:rsidRPr="00774698" w:rsidRDefault="00B233DE" w:rsidP="0023489B">
            <w:pPr>
              <w:pStyle w:val="afc"/>
              <w:spacing w:line="240" w:lineRule="auto"/>
              <w:ind w:left="-142" w:right="-108" w:firstLine="0"/>
              <w:jc w:val="center"/>
              <w:rPr>
                <w:sz w:val="16"/>
                <w:szCs w:val="16"/>
              </w:rPr>
            </w:pPr>
            <w:r w:rsidRPr="00774698">
              <w:rPr>
                <w:sz w:val="16"/>
                <w:szCs w:val="16"/>
              </w:rPr>
              <w:t>А. Сен</w:t>
            </w:r>
          </w:p>
        </w:tc>
        <w:tc>
          <w:tcPr>
            <w:tcW w:w="1843" w:type="dxa"/>
          </w:tcPr>
          <w:p w:rsidR="00B233DE" w:rsidRPr="00774698" w:rsidRDefault="00B233DE" w:rsidP="0023489B">
            <w:pPr>
              <w:pStyle w:val="afc"/>
              <w:spacing w:line="240" w:lineRule="auto"/>
              <w:ind w:left="-142" w:right="-108" w:firstLine="0"/>
              <w:jc w:val="center"/>
              <w:rPr>
                <w:sz w:val="16"/>
                <w:szCs w:val="16"/>
                <w:lang w:val="ru-RU"/>
              </w:rPr>
            </w:pPr>
            <w:r w:rsidRPr="00774698">
              <w:rPr>
                <w:sz w:val="16"/>
                <w:szCs w:val="16"/>
              </w:rPr>
              <w:t xml:space="preserve">Трудовий потенціал – це запаси праці, що залежать від сукупності кількісних та якісних характеристик трудових ресурсів </w:t>
            </w:r>
            <w:r w:rsidRPr="00774698">
              <w:rPr>
                <w:sz w:val="16"/>
                <w:szCs w:val="16"/>
                <w:lang w:val="ru-RU"/>
              </w:rPr>
              <w:t>[</w:t>
            </w:r>
            <w:r>
              <w:rPr>
                <w:sz w:val="16"/>
                <w:szCs w:val="16"/>
              </w:rPr>
              <w:fldChar w:fldCharType="begin"/>
            </w:r>
            <w:r>
              <w:rPr>
                <w:sz w:val="16"/>
                <w:szCs w:val="16"/>
                <w:lang w:val="ru-RU"/>
              </w:rPr>
              <w:instrText xml:space="preserve"> REF _Ref430593816 \r \h </w:instrText>
            </w:r>
            <w:r>
              <w:rPr>
                <w:sz w:val="16"/>
                <w:szCs w:val="16"/>
              </w:rPr>
            </w:r>
            <w:r>
              <w:rPr>
                <w:sz w:val="16"/>
                <w:szCs w:val="16"/>
              </w:rPr>
              <w:fldChar w:fldCharType="separate"/>
            </w:r>
            <w:r>
              <w:rPr>
                <w:sz w:val="16"/>
                <w:szCs w:val="16"/>
                <w:lang w:val="ru-RU"/>
              </w:rPr>
              <w:t>32</w:t>
            </w:r>
            <w:r>
              <w:rPr>
                <w:sz w:val="16"/>
                <w:szCs w:val="16"/>
              </w:rPr>
              <w:fldChar w:fldCharType="end"/>
            </w:r>
            <w:r w:rsidRPr="00774698">
              <w:rPr>
                <w:sz w:val="16"/>
                <w:szCs w:val="16"/>
                <w:lang w:val="ru-RU"/>
              </w:rPr>
              <w:t>]</w:t>
            </w:r>
          </w:p>
          <w:p w:rsidR="00B233DE" w:rsidRDefault="00B233DE" w:rsidP="0023489B">
            <w:pPr>
              <w:pStyle w:val="afc"/>
              <w:spacing w:line="240" w:lineRule="auto"/>
              <w:ind w:left="-142" w:right="-108" w:firstLine="0"/>
              <w:jc w:val="center"/>
              <w:rPr>
                <w:sz w:val="16"/>
                <w:szCs w:val="16"/>
              </w:rPr>
            </w:pPr>
          </w:p>
          <w:p w:rsidR="00B233DE" w:rsidRPr="00774698" w:rsidRDefault="00B233DE" w:rsidP="0023489B">
            <w:pPr>
              <w:pStyle w:val="afc"/>
              <w:spacing w:line="240" w:lineRule="auto"/>
              <w:ind w:left="-142" w:right="-108" w:firstLine="0"/>
              <w:jc w:val="center"/>
              <w:rPr>
                <w:sz w:val="16"/>
                <w:szCs w:val="16"/>
                <w:lang w:val="ru-RU"/>
              </w:rPr>
            </w:pPr>
            <w:r w:rsidRPr="00774698">
              <w:rPr>
                <w:sz w:val="16"/>
                <w:szCs w:val="16"/>
              </w:rPr>
              <w:t>Людський потенціал – не лише людські знання і навики, та їх здатність приносити дохід, а й можливості прожити довге і здорове життя, набувати і оновлювати знання</w:t>
            </w:r>
            <w:r w:rsidRPr="00774698">
              <w:rPr>
                <w:sz w:val="16"/>
                <w:szCs w:val="16"/>
                <w:lang w:val="ru-RU"/>
              </w:rPr>
              <w:t xml:space="preserve"> [</w:t>
            </w:r>
            <w:r>
              <w:rPr>
                <w:sz w:val="16"/>
                <w:szCs w:val="16"/>
                <w:lang w:val="en-US"/>
              </w:rPr>
              <w:fldChar w:fldCharType="begin"/>
            </w:r>
            <w:r>
              <w:rPr>
                <w:sz w:val="16"/>
                <w:szCs w:val="16"/>
                <w:lang w:val="ru-RU"/>
              </w:rPr>
              <w:instrText xml:space="preserve"> REF _Ref430593809 \r \h </w:instrText>
            </w:r>
            <w:r>
              <w:rPr>
                <w:sz w:val="16"/>
                <w:szCs w:val="16"/>
                <w:lang w:val="en-US"/>
              </w:rPr>
            </w:r>
            <w:r>
              <w:rPr>
                <w:sz w:val="16"/>
                <w:szCs w:val="16"/>
                <w:lang w:val="en-US"/>
              </w:rPr>
              <w:fldChar w:fldCharType="separate"/>
            </w:r>
            <w:r>
              <w:rPr>
                <w:sz w:val="16"/>
                <w:szCs w:val="16"/>
                <w:lang w:val="ru-RU"/>
              </w:rPr>
              <w:t>82</w:t>
            </w:r>
            <w:r>
              <w:rPr>
                <w:sz w:val="16"/>
                <w:szCs w:val="16"/>
                <w:lang w:val="en-US"/>
              </w:rPr>
              <w:fldChar w:fldCharType="end"/>
            </w:r>
            <w:r w:rsidRPr="00774698">
              <w:rPr>
                <w:sz w:val="16"/>
                <w:szCs w:val="16"/>
                <w:lang w:val="ru-RU"/>
              </w:rPr>
              <w:t>]</w:t>
            </w:r>
          </w:p>
        </w:tc>
      </w:tr>
    </w:tbl>
    <w:p w:rsidR="00B233DE" w:rsidRPr="00E02868" w:rsidRDefault="00B233DE" w:rsidP="00B233DE">
      <w:pPr>
        <w:pStyle w:val="afc"/>
        <w:spacing w:line="240" w:lineRule="auto"/>
        <w:rPr>
          <w:sz w:val="18"/>
          <w:szCs w:val="18"/>
        </w:rPr>
      </w:pPr>
      <w:r>
        <w:rPr>
          <w:sz w:val="18"/>
          <w:szCs w:val="18"/>
        </w:rPr>
        <w:t>* - запропоновано автором розділу</w:t>
      </w:r>
    </w:p>
    <w:p w:rsidR="00B233DE" w:rsidRPr="00190C54" w:rsidRDefault="00B233DE" w:rsidP="00B233DE">
      <w:pPr>
        <w:pStyle w:val="afc"/>
        <w:spacing w:line="240" w:lineRule="auto"/>
        <w:rPr>
          <w:sz w:val="21"/>
          <w:szCs w:val="21"/>
        </w:rPr>
      </w:pPr>
      <w:r w:rsidRPr="00190C54">
        <w:rPr>
          <w:spacing w:val="-4"/>
          <w:sz w:val="21"/>
          <w:szCs w:val="21"/>
        </w:rPr>
        <w:lastRenderedPageBreak/>
        <w:t>На цьому акцентували увагу представники античної наукової школи, зокрема, Аристотель</w:t>
      </w:r>
      <w:r>
        <w:rPr>
          <w:spacing w:val="-4"/>
          <w:sz w:val="21"/>
          <w:szCs w:val="21"/>
        </w:rPr>
        <w:t xml:space="preserve"> [</w:t>
      </w:r>
      <w:r>
        <w:rPr>
          <w:spacing w:val="-4"/>
          <w:sz w:val="21"/>
          <w:szCs w:val="21"/>
        </w:rPr>
        <w:fldChar w:fldCharType="begin"/>
      </w:r>
      <w:r>
        <w:rPr>
          <w:spacing w:val="-4"/>
          <w:sz w:val="21"/>
          <w:szCs w:val="21"/>
        </w:rPr>
        <w:instrText xml:space="preserve"> REF _Ref430593676 \r \h </w:instrText>
      </w:r>
      <w:r>
        <w:rPr>
          <w:spacing w:val="-4"/>
          <w:sz w:val="21"/>
          <w:szCs w:val="21"/>
        </w:rPr>
      </w:r>
      <w:r>
        <w:rPr>
          <w:spacing w:val="-4"/>
          <w:sz w:val="21"/>
          <w:szCs w:val="21"/>
        </w:rPr>
        <w:fldChar w:fldCharType="separate"/>
      </w:r>
      <w:r>
        <w:rPr>
          <w:spacing w:val="-4"/>
          <w:sz w:val="21"/>
          <w:szCs w:val="21"/>
        </w:rPr>
        <w:t>4</w:t>
      </w:r>
      <w:r>
        <w:rPr>
          <w:spacing w:val="-4"/>
          <w:sz w:val="21"/>
          <w:szCs w:val="21"/>
        </w:rPr>
        <w:fldChar w:fldCharType="end"/>
      </w:r>
      <w:r>
        <w:rPr>
          <w:spacing w:val="-4"/>
          <w:sz w:val="21"/>
          <w:szCs w:val="21"/>
        </w:rPr>
        <w:t>]</w:t>
      </w:r>
      <w:r w:rsidRPr="00190C54">
        <w:rPr>
          <w:spacing w:val="-4"/>
          <w:sz w:val="21"/>
          <w:szCs w:val="21"/>
        </w:rPr>
        <w:t xml:space="preserve"> та в подальшому засновник кількісної економіки В. Петі</w:t>
      </w:r>
      <w:r>
        <w:rPr>
          <w:spacing w:val="-4"/>
          <w:sz w:val="21"/>
          <w:szCs w:val="21"/>
        </w:rPr>
        <w:t xml:space="preserve"> [</w:t>
      </w:r>
      <w:r>
        <w:rPr>
          <w:spacing w:val="-4"/>
          <w:sz w:val="21"/>
          <w:szCs w:val="21"/>
        </w:rPr>
        <w:fldChar w:fldCharType="begin"/>
      </w:r>
      <w:r>
        <w:rPr>
          <w:spacing w:val="-4"/>
          <w:sz w:val="21"/>
          <w:szCs w:val="21"/>
        </w:rPr>
        <w:instrText xml:space="preserve"> REF _Ref430593683 \r \h </w:instrText>
      </w:r>
      <w:r>
        <w:rPr>
          <w:spacing w:val="-4"/>
          <w:sz w:val="21"/>
          <w:szCs w:val="21"/>
        </w:rPr>
      </w:r>
      <w:r>
        <w:rPr>
          <w:spacing w:val="-4"/>
          <w:sz w:val="21"/>
          <w:szCs w:val="21"/>
        </w:rPr>
        <w:fldChar w:fldCharType="separate"/>
      </w:r>
      <w:r>
        <w:rPr>
          <w:spacing w:val="-4"/>
          <w:sz w:val="21"/>
          <w:szCs w:val="21"/>
        </w:rPr>
        <w:t>1</w:t>
      </w:r>
      <w:r>
        <w:rPr>
          <w:spacing w:val="-4"/>
          <w:sz w:val="21"/>
          <w:szCs w:val="21"/>
        </w:rPr>
        <w:fldChar w:fldCharType="end"/>
      </w:r>
      <w:r>
        <w:rPr>
          <w:spacing w:val="-4"/>
          <w:sz w:val="21"/>
          <w:szCs w:val="21"/>
        </w:rPr>
        <w:t>]</w:t>
      </w:r>
      <w:r w:rsidRPr="00190C54">
        <w:rPr>
          <w:spacing w:val="-4"/>
          <w:sz w:val="21"/>
          <w:szCs w:val="21"/>
        </w:rPr>
        <w:t xml:space="preserve"> і фундатор класичної пол</w:t>
      </w:r>
      <w:r>
        <w:rPr>
          <w:spacing w:val="-4"/>
          <w:sz w:val="21"/>
          <w:szCs w:val="21"/>
        </w:rPr>
        <w:t>ітичної економії А. Сміт [</w:t>
      </w:r>
      <w:r>
        <w:rPr>
          <w:spacing w:val="-4"/>
          <w:sz w:val="21"/>
          <w:szCs w:val="21"/>
        </w:rPr>
        <w:fldChar w:fldCharType="begin"/>
      </w:r>
      <w:r>
        <w:rPr>
          <w:spacing w:val="-4"/>
          <w:sz w:val="21"/>
          <w:szCs w:val="21"/>
        </w:rPr>
        <w:instrText xml:space="preserve"> REF _Ref430593702 \r \h </w:instrText>
      </w:r>
      <w:r>
        <w:rPr>
          <w:spacing w:val="-4"/>
          <w:sz w:val="21"/>
          <w:szCs w:val="21"/>
        </w:rPr>
      </w:r>
      <w:r>
        <w:rPr>
          <w:spacing w:val="-4"/>
          <w:sz w:val="21"/>
          <w:szCs w:val="21"/>
        </w:rPr>
        <w:fldChar w:fldCharType="separate"/>
      </w:r>
      <w:r>
        <w:rPr>
          <w:spacing w:val="-4"/>
          <w:sz w:val="21"/>
          <w:szCs w:val="21"/>
        </w:rPr>
        <w:t>57</w:t>
      </w:r>
      <w:r>
        <w:rPr>
          <w:spacing w:val="-4"/>
          <w:sz w:val="21"/>
          <w:szCs w:val="21"/>
        </w:rPr>
        <w:fldChar w:fldCharType="end"/>
      </w:r>
      <w:r>
        <w:rPr>
          <w:spacing w:val="-4"/>
          <w:sz w:val="21"/>
          <w:szCs w:val="21"/>
        </w:rPr>
        <w:t xml:space="preserve">]. Наприкінці </w:t>
      </w:r>
      <w:r w:rsidRPr="00190C54">
        <w:rPr>
          <w:spacing w:val="-4"/>
          <w:sz w:val="21"/>
          <w:szCs w:val="21"/>
        </w:rPr>
        <w:t>аграрного етапу соціально-економічного розвитку, для якого характерним було екстенсивне використання людських ресурсів, а земля виступала провідним фактором виробництва, у західній економічній думці відбувся перегляд поглядів на людину та її потенціал.</w:t>
      </w:r>
      <w:r w:rsidRPr="00190C54">
        <w:rPr>
          <w:sz w:val="21"/>
          <w:szCs w:val="21"/>
        </w:rPr>
        <w:t xml:space="preserve"> </w:t>
      </w:r>
    </w:p>
    <w:p w:rsidR="00B233DE" w:rsidRPr="00190C54" w:rsidRDefault="00B233DE" w:rsidP="00B233DE">
      <w:pPr>
        <w:pStyle w:val="afc"/>
        <w:spacing w:line="240" w:lineRule="auto"/>
        <w:rPr>
          <w:spacing w:val="-8"/>
          <w:sz w:val="21"/>
          <w:szCs w:val="21"/>
        </w:rPr>
      </w:pPr>
      <w:r w:rsidRPr="00781346">
        <w:rPr>
          <w:spacing w:val="-8"/>
          <w:sz w:val="21"/>
          <w:szCs w:val="21"/>
        </w:rPr>
        <w:t>Вдосконалення виробничих процесів періоду індустріалізації</w:t>
      </w:r>
      <w:r w:rsidRPr="00190C54">
        <w:rPr>
          <w:sz w:val="21"/>
          <w:szCs w:val="21"/>
        </w:rPr>
        <w:t xml:space="preserve"> спровокувало потребу у кваліфікованих робітниках і спеціалістах, що дало поштовх до інтенсивного використання людських ресурсів, змін</w:t>
      </w:r>
      <w:r>
        <w:rPr>
          <w:sz w:val="21"/>
          <w:szCs w:val="21"/>
        </w:rPr>
        <w:t>и</w:t>
      </w:r>
      <w:r w:rsidRPr="00190C54">
        <w:rPr>
          <w:sz w:val="21"/>
          <w:szCs w:val="21"/>
        </w:rPr>
        <w:t xml:space="preserve"> поглядів на людину та її здатність до праці</w:t>
      </w:r>
      <w:r>
        <w:rPr>
          <w:sz w:val="21"/>
          <w:szCs w:val="21"/>
        </w:rPr>
        <w:t>,</w:t>
      </w:r>
      <w:r w:rsidRPr="00190C54">
        <w:rPr>
          <w:sz w:val="21"/>
          <w:szCs w:val="21"/>
        </w:rPr>
        <w:t xml:space="preserve"> як основного чинника економічного зростання. На корисність якостей, здібностей та можливостей людини звертали свою увагу провідні представники тогочасної економічної думки </w:t>
      </w:r>
      <w:r w:rsidRPr="00190C54">
        <w:rPr>
          <w:spacing w:val="-8"/>
          <w:sz w:val="21"/>
          <w:szCs w:val="21"/>
        </w:rPr>
        <w:t>Дж. Мілль</w:t>
      </w:r>
      <w:r>
        <w:rPr>
          <w:spacing w:val="-8"/>
          <w:sz w:val="21"/>
          <w:szCs w:val="21"/>
        </w:rPr>
        <w:t xml:space="preserve"> [</w:t>
      </w:r>
      <w:r>
        <w:rPr>
          <w:sz w:val="21"/>
          <w:szCs w:val="21"/>
          <w:lang w:val="en-US"/>
        </w:rPr>
        <w:fldChar w:fldCharType="begin"/>
      </w:r>
      <w:r>
        <w:rPr>
          <w:spacing w:val="-8"/>
          <w:sz w:val="21"/>
          <w:szCs w:val="21"/>
        </w:rPr>
        <w:instrText xml:space="preserve"> REF _Ref430593710 \r \h </w:instrText>
      </w:r>
      <w:r>
        <w:rPr>
          <w:sz w:val="21"/>
          <w:szCs w:val="21"/>
          <w:lang w:val="en-US"/>
        </w:rPr>
      </w:r>
      <w:r>
        <w:rPr>
          <w:sz w:val="21"/>
          <w:szCs w:val="21"/>
          <w:lang w:val="en-US"/>
        </w:rPr>
        <w:fldChar w:fldCharType="separate"/>
      </w:r>
      <w:r>
        <w:rPr>
          <w:spacing w:val="-8"/>
          <w:sz w:val="21"/>
          <w:szCs w:val="21"/>
        </w:rPr>
        <w:t>79</w:t>
      </w:r>
      <w:r>
        <w:rPr>
          <w:sz w:val="21"/>
          <w:szCs w:val="21"/>
          <w:lang w:val="en-US"/>
        </w:rPr>
        <w:fldChar w:fldCharType="end"/>
      </w:r>
      <w:r>
        <w:rPr>
          <w:spacing w:val="-8"/>
          <w:sz w:val="21"/>
          <w:szCs w:val="21"/>
        </w:rPr>
        <w:t>], А. </w:t>
      </w:r>
      <w:r w:rsidRPr="00190C54">
        <w:rPr>
          <w:spacing w:val="-8"/>
          <w:sz w:val="21"/>
          <w:szCs w:val="21"/>
        </w:rPr>
        <w:t>Маршал</w:t>
      </w:r>
      <w:r>
        <w:rPr>
          <w:spacing w:val="-8"/>
          <w:sz w:val="21"/>
          <w:szCs w:val="21"/>
        </w:rPr>
        <w:t xml:space="preserve"> [</w:t>
      </w:r>
      <w:r>
        <w:rPr>
          <w:sz w:val="21"/>
          <w:szCs w:val="21"/>
        </w:rPr>
        <w:fldChar w:fldCharType="begin"/>
      </w:r>
      <w:r>
        <w:rPr>
          <w:spacing w:val="-8"/>
          <w:sz w:val="21"/>
          <w:szCs w:val="21"/>
        </w:rPr>
        <w:instrText xml:space="preserve"> REF _Ref430593718 \r \h </w:instrText>
      </w:r>
      <w:r>
        <w:rPr>
          <w:sz w:val="21"/>
          <w:szCs w:val="21"/>
        </w:rPr>
      </w:r>
      <w:r>
        <w:rPr>
          <w:sz w:val="21"/>
          <w:szCs w:val="21"/>
        </w:rPr>
        <w:fldChar w:fldCharType="separate"/>
      </w:r>
      <w:r>
        <w:rPr>
          <w:spacing w:val="-8"/>
          <w:sz w:val="21"/>
          <w:szCs w:val="21"/>
        </w:rPr>
        <w:t>37</w:t>
      </w:r>
      <w:r>
        <w:rPr>
          <w:sz w:val="21"/>
          <w:szCs w:val="21"/>
        </w:rPr>
        <w:fldChar w:fldCharType="end"/>
      </w:r>
      <w:r>
        <w:rPr>
          <w:spacing w:val="-8"/>
          <w:sz w:val="21"/>
          <w:szCs w:val="21"/>
        </w:rPr>
        <w:t>]</w:t>
      </w:r>
      <w:r w:rsidRPr="00190C54">
        <w:rPr>
          <w:spacing w:val="-8"/>
          <w:sz w:val="21"/>
          <w:szCs w:val="21"/>
        </w:rPr>
        <w:t>, Дж. Кейнс</w:t>
      </w:r>
      <w:r>
        <w:rPr>
          <w:spacing w:val="-8"/>
          <w:sz w:val="21"/>
          <w:szCs w:val="21"/>
        </w:rPr>
        <w:t xml:space="preserve"> [</w:t>
      </w:r>
      <w:r>
        <w:rPr>
          <w:sz w:val="21"/>
          <w:szCs w:val="21"/>
          <w:lang w:val="en-US"/>
        </w:rPr>
        <w:fldChar w:fldCharType="begin"/>
      </w:r>
      <w:r>
        <w:rPr>
          <w:spacing w:val="-8"/>
          <w:sz w:val="21"/>
          <w:szCs w:val="21"/>
        </w:rPr>
        <w:instrText xml:space="preserve"> REF _Ref430593727 \r \h </w:instrText>
      </w:r>
      <w:r>
        <w:rPr>
          <w:sz w:val="21"/>
          <w:szCs w:val="21"/>
          <w:lang w:val="en-US"/>
        </w:rPr>
      </w:r>
      <w:r>
        <w:rPr>
          <w:sz w:val="21"/>
          <w:szCs w:val="21"/>
          <w:lang w:val="en-US"/>
        </w:rPr>
        <w:fldChar w:fldCharType="separate"/>
      </w:r>
      <w:r>
        <w:rPr>
          <w:spacing w:val="-8"/>
          <w:sz w:val="21"/>
          <w:szCs w:val="21"/>
        </w:rPr>
        <w:t>77</w:t>
      </w:r>
      <w:r>
        <w:rPr>
          <w:sz w:val="21"/>
          <w:szCs w:val="21"/>
          <w:lang w:val="en-US"/>
        </w:rPr>
        <w:fldChar w:fldCharType="end"/>
      </w:r>
      <w:r>
        <w:rPr>
          <w:spacing w:val="-8"/>
          <w:sz w:val="21"/>
          <w:szCs w:val="21"/>
        </w:rPr>
        <w:t>], І. Фішер [</w:t>
      </w:r>
      <w:r>
        <w:rPr>
          <w:sz w:val="21"/>
          <w:szCs w:val="21"/>
          <w:lang w:val="en-US"/>
        </w:rPr>
        <w:fldChar w:fldCharType="begin"/>
      </w:r>
      <w:r>
        <w:rPr>
          <w:spacing w:val="-8"/>
          <w:sz w:val="21"/>
          <w:szCs w:val="21"/>
        </w:rPr>
        <w:instrText xml:space="preserve"> REF _Ref430593735 \r \h </w:instrText>
      </w:r>
      <w:r>
        <w:rPr>
          <w:sz w:val="21"/>
          <w:szCs w:val="21"/>
          <w:lang w:val="en-US"/>
        </w:rPr>
      </w:r>
      <w:r>
        <w:rPr>
          <w:sz w:val="21"/>
          <w:szCs w:val="21"/>
          <w:lang w:val="en-US"/>
        </w:rPr>
        <w:fldChar w:fldCharType="separate"/>
      </w:r>
      <w:r>
        <w:rPr>
          <w:spacing w:val="-8"/>
          <w:sz w:val="21"/>
          <w:szCs w:val="21"/>
        </w:rPr>
        <w:t>74</w:t>
      </w:r>
      <w:r>
        <w:rPr>
          <w:sz w:val="21"/>
          <w:szCs w:val="21"/>
          <w:lang w:val="en-US"/>
        </w:rPr>
        <w:fldChar w:fldCharType="end"/>
      </w:r>
      <w:r w:rsidRPr="00190C54">
        <w:rPr>
          <w:spacing w:val="-8"/>
          <w:sz w:val="21"/>
          <w:szCs w:val="21"/>
        </w:rPr>
        <w:t>].</w:t>
      </w:r>
    </w:p>
    <w:p w:rsidR="00B233DE" w:rsidRPr="00190C54" w:rsidRDefault="00B233DE" w:rsidP="00B233DE">
      <w:pPr>
        <w:pStyle w:val="afc"/>
        <w:spacing w:line="240" w:lineRule="auto"/>
        <w:rPr>
          <w:sz w:val="21"/>
          <w:szCs w:val="21"/>
        </w:rPr>
      </w:pPr>
      <w:r w:rsidRPr="00190C54">
        <w:rPr>
          <w:sz w:val="21"/>
          <w:szCs w:val="21"/>
        </w:rPr>
        <w:t xml:space="preserve">Разом з тим, у другій третині ХХ століття у демографічній науці почав зароджуватись потенціальний напрямок, який дозволяв аналізувати </w:t>
      </w:r>
      <w:r>
        <w:rPr>
          <w:sz w:val="21"/>
          <w:szCs w:val="21"/>
        </w:rPr>
        <w:t xml:space="preserve">такі </w:t>
      </w:r>
      <w:r w:rsidRPr="00190C54">
        <w:rPr>
          <w:sz w:val="21"/>
          <w:szCs w:val="21"/>
        </w:rPr>
        <w:t>демографічні структури</w:t>
      </w:r>
      <w:r>
        <w:rPr>
          <w:sz w:val="21"/>
          <w:szCs w:val="21"/>
        </w:rPr>
        <w:t>,</w:t>
      </w:r>
      <w:r w:rsidRPr="00190C54">
        <w:rPr>
          <w:sz w:val="21"/>
          <w:szCs w:val="21"/>
        </w:rPr>
        <w:t xml:space="preserve"> як групи населення, сформовані за певною ознакою, з точки зору потенційно закладених в них можливостей реалізації певних соціально-економічних явищ у разі існування необхідних умов (табл. 1.1). На цьому етапі науковці С. Шульц та Л. Герш розвинули поняття демографічного та життєвого потенціалу населення, а С. Струмілін ввів поняття економічного потенціалу, що враховує виробничу силу праці працездатного населення [</w:t>
      </w:r>
      <w:r>
        <w:rPr>
          <w:bCs/>
          <w:sz w:val="21"/>
          <w:szCs w:val="21"/>
        </w:rPr>
        <w:fldChar w:fldCharType="begin"/>
      </w:r>
      <w:r>
        <w:rPr>
          <w:sz w:val="21"/>
          <w:szCs w:val="21"/>
        </w:rPr>
        <w:instrText xml:space="preserve"> REF _Ref430593743 \r \h </w:instrText>
      </w:r>
      <w:r>
        <w:rPr>
          <w:bCs/>
          <w:sz w:val="21"/>
          <w:szCs w:val="21"/>
        </w:rPr>
      </w:r>
      <w:r>
        <w:rPr>
          <w:bCs/>
          <w:sz w:val="21"/>
          <w:szCs w:val="21"/>
        </w:rPr>
        <w:fldChar w:fldCharType="separate"/>
      </w:r>
      <w:r>
        <w:rPr>
          <w:sz w:val="21"/>
          <w:szCs w:val="21"/>
        </w:rPr>
        <w:t>47</w:t>
      </w:r>
      <w:r>
        <w:rPr>
          <w:bCs/>
          <w:sz w:val="21"/>
          <w:szCs w:val="21"/>
        </w:rPr>
        <w:fldChar w:fldCharType="end"/>
      </w:r>
      <w:r w:rsidRPr="00190C54">
        <w:rPr>
          <w:sz w:val="21"/>
          <w:szCs w:val="21"/>
        </w:rPr>
        <w:t>].</w:t>
      </w:r>
    </w:p>
    <w:p w:rsidR="00B233DE" w:rsidRDefault="00B233DE" w:rsidP="00B233DE">
      <w:pPr>
        <w:ind w:firstLine="709"/>
        <w:jc w:val="both"/>
        <w:rPr>
          <w:rFonts w:ascii="Times New Roman" w:hAnsi="Times New Roman" w:cs="Times New Roman"/>
          <w:sz w:val="21"/>
          <w:szCs w:val="21"/>
        </w:rPr>
      </w:pPr>
      <w:r w:rsidRPr="00190C54">
        <w:rPr>
          <w:rFonts w:ascii="Times New Roman" w:hAnsi="Times New Roman" w:cs="Times New Roman"/>
          <w:sz w:val="21"/>
          <w:szCs w:val="21"/>
        </w:rPr>
        <w:t>На рубежі 50-60-х років ХХ ст. почалась тенденція до вичерпування резервів зростання індустріальної економіки за рахунок екстенсивного розвитку [</w:t>
      </w:r>
      <w:r>
        <w:rPr>
          <w:rFonts w:ascii="Times New Roman" w:hAnsi="Times New Roman"/>
          <w:iCs/>
          <w:sz w:val="21"/>
          <w:szCs w:val="21"/>
        </w:rPr>
        <w:fldChar w:fldCharType="begin"/>
      </w:r>
      <w:r>
        <w:rPr>
          <w:rFonts w:ascii="Times New Roman" w:hAnsi="Times New Roman" w:cs="Times New Roman"/>
          <w:sz w:val="21"/>
          <w:szCs w:val="21"/>
        </w:rPr>
        <w:instrText xml:space="preserve"> REF _Ref430593893 \r \h </w:instrText>
      </w:r>
      <w:r>
        <w:rPr>
          <w:rFonts w:ascii="Times New Roman" w:hAnsi="Times New Roman"/>
          <w:iCs/>
          <w:sz w:val="21"/>
          <w:szCs w:val="21"/>
        </w:rPr>
      </w:r>
      <w:r>
        <w:rPr>
          <w:rFonts w:ascii="Times New Roman" w:hAnsi="Times New Roman"/>
          <w:iCs/>
          <w:sz w:val="21"/>
          <w:szCs w:val="21"/>
        </w:rPr>
        <w:fldChar w:fldCharType="separate"/>
      </w:r>
      <w:r>
        <w:rPr>
          <w:rFonts w:ascii="Times New Roman" w:hAnsi="Times New Roman" w:cs="Times New Roman"/>
          <w:sz w:val="21"/>
          <w:szCs w:val="21"/>
        </w:rPr>
        <w:t>14</w:t>
      </w:r>
      <w:r>
        <w:rPr>
          <w:rFonts w:ascii="Times New Roman" w:hAnsi="Times New Roman"/>
          <w:iCs/>
          <w:sz w:val="21"/>
          <w:szCs w:val="21"/>
        </w:rPr>
        <w:fldChar w:fldCharType="end"/>
      </w:r>
      <w:r w:rsidRPr="00190C54">
        <w:rPr>
          <w:rFonts w:ascii="Times New Roman" w:hAnsi="Times New Roman" w:cs="Times New Roman"/>
          <w:sz w:val="21"/>
          <w:szCs w:val="21"/>
        </w:rPr>
        <w:t>, с. 78]. Із прогресом в автоматизації відбулось значне зростання продуктивності праці, що зумовило підвищення її оплати, розширення системи професійної та вищої освіти, розвиток інтел</w:t>
      </w:r>
      <w:r>
        <w:rPr>
          <w:rFonts w:ascii="Times New Roman" w:hAnsi="Times New Roman" w:cs="Times New Roman"/>
          <w:sz w:val="21"/>
          <w:szCs w:val="21"/>
        </w:rPr>
        <w:t>ектуальної праці. За таких умов</w:t>
      </w:r>
      <w:r w:rsidRPr="00190C54">
        <w:rPr>
          <w:rFonts w:ascii="Times New Roman" w:hAnsi="Times New Roman" w:cs="Times New Roman"/>
          <w:sz w:val="21"/>
          <w:szCs w:val="21"/>
        </w:rPr>
        <w:t xml:space="preserve"> наукові підходи щодо визначення ролі людини в соціально-економічному прогресі проявились у розвитку теорії людс</w:t>
      </w:r>
      <w:r>
        <w:rPr>
          <w:rFonts w:ascii="Times New Roman" w:hAnsi="Times New Roman" w:cs="Times New Roman"/>
          <w:sz w:val="21"/>
          <w:szCs w:val="21"/>
        </w:rPr>
        <w:t>ького капіталу Т. Шульцом [</w:t>
      </w:r>
      <w:r>
        <w:rPr>
          <w:rFonts w:ascii="Times New Roman" w:hAnsi="Times New Roman" w:cs="Times New Roman"/>
          <w:spacing w:val="-8"/>
          <w:sz w:val="21"/>
          <w:szCs w:val="21"/>
        </w:rPr>
        <w:fldChar w:fldCharType="begin"/>
      </w:r>
      <w:r>
        <w:rPr>
          <w:rFonts w:ascii="Times New Roman" w:hAnsi="Times New Roman" w:cs="Times New Roman"/>
          <w:sz w:val="21"/>
          <w:szCs w:val="21"/>
        </w:rPr>
        <w:instrText xml:space="preserve"> REF _Ref430593757 \r \h </w:instrText>
      </w:r>
      <w:r>
        <w:rPr>
          <w:rFonts w:ascii="Times New Roman" w:hAnsi="Times New Roman" w:cs="Times New Roman"/>
          <w:spacing w:val="-8"/>
          <w:sz w:val="21"/>
          <w:szCs w:val="21"/>
        </w:rPr>
      </w:r>
      <w:r>
        <w:rPr>
          <w:rFonts w:ascii="Times New Roman" w:hAnsi="Times New Roman" w:cs="Times New Roman"/>
          <w:spacing w:val="-8"/>
          <w:sz w:val="21"/>
          <w:szCs w:val="21"/>
        </w:rPr>
        <w:fldChar w:fldCharType="separate"/>
      </w:r>
      <w:r>
        <w:rPr>
          <w:rFonts w:ascii="Times New Roman" w:hAnsi="Times New Roman" w:cs="Times New Roman"/>
          <w:sz w:val="21"/>
          <w:szCs w:val="21"/>
        </w:rPr>
        <w:t>81</w:t>
      </w:r>
      <w:r>
        <w:rPr>
          <w:rFonts w:ascii="Times New Roman" w:hAnsi="Times New Roman" w:cs="Times New Roman"/>
          <w:spacing w:val="-8"/>
          <w:sz w:val="21"/>
          <w:szCs w:val="21"/>
        </w:rPr>
        <w:fldChar w:fldCharType="end"/>
      </w:r>
      <w:r>
        <w:rPr>
          <w:rFonts w:ascii="Times New Roman" w:hAnsi="Times New Roman" w:cs="Times New Roman"/>
          <w:sz w:val="21"/>
          <w:szCs w:val="21"/>
        </w:rPr>
        <w:t xml:space="preserve">] та Г. </w:t>
      </w:r>
      <w:r w:rsidRPr="00190C54">
        <w:rPr>
          <w:rFonts w:ascii="Times New Roman" w:hAnsi="Times New Roman" w:cs="Times New Roman"/>
          <w:sz w:val="21"/>
          <w:szCs w:val="21"/>
        </w:rPr>
        <w:t xml:space="preserve">Беккером </w:t>
      </w:r>
      <w:r>
        <w:rPr>
          <w:rFonts w:ascii="Times New Roman" w:hAnsi="Times New Roman" w:cs="Times New Roman"/>
          <w:sz w:val="21"/>
          <w:szCs w:val="21"/>
        </w:rPr>
        <w:t>[</w:t>
      </w:r>
      <w:r>
        <w:rPr>
          <w:rFonts w:ascii="Times New Roman" w:hAnsi="Times New Roman" w:cs="Times New Roman"/>
          <w:spacing w:val="-10"/>
          <w:sz w:val="21"/>
          <w:szCs w:val="21"/>
        </w:rPr>
        <w:fldChar w:fldCharType="begin"/>
      </w:r>
      <w:r>
        <w:rPr>
          <w:rFonts w:ascii="Times New Roman" w:hAnsi="Times New Roman" w:cs="Times New Roman"/>
          <w:sz w:val="21"/>
          <w:szCs w:val="21"/>
        </w:rPr>
        <w:instrText xml:space="preserve"> REF _Ref430593769 \r \h </w:instrText>
      </w:r>
      <w:r>
        <w:rPr>
          <w:rFonts w:ascii="Times New Roman" w:hAnsi="Times New Roman" w:cs="Times New Roman"/>
          <w:spacing w:val="-10"/>
          <w:sz w:val="21"/>
          <w:szCs w:val="21"/>
        </w:rPr>
      </w:r>
      <w:r>
        <w:rPr>
          <w:rFonts w:ascii="Times New Roman" w:hAnsi="Times New Roman" w:cs="Times New Roman"/>
          <w:spacing w:val="-10"/>
          <w:sz w:val="21"/>
          <w:szCs w:val="21"/>
        </w:rPr>
        <w:fldChar w:fldCharType="separate"/>
      </w:r>
      <w:r>
        <w:rPr>
          <w:rFonts w:ascii="Times New Roman" w:hAnsi="Times New Roman" w:cs="Times New Roman"/>
          <w:sz w:val="21"/>
          <w:szCs w:val="21"/>
        </w:rPr>
        <w:t>73</w:t>
      </w:r>
      <w:r>
        <w:rPr>
          <w:rFonts w:ascii="Times New Roman" w:hAnsi="Times New Roman" w:cs="Times New Roman"/>
          <w:spacing w:val="-10"/>
          <w:sz w:val="21"/>
          <w:szCs w:val="21"/>
        </w:rPr>
        <w:fldChar w:fldCharType="end"/>
      </w:r>
      <w:r>
        <w:rPr>
          <w:rFonts w:ascii="Times New Roman" w:hAnsi="Times New Roman" w:cs="Times New Roman"/>
          <w:sz w:val="21"/>
          <w:szCs w:val="21"/>
        </w:rPr>
        <w:t xml:space="preserve">] </w:t>
      </w:r>
      <w:r w:rsidRPr="00190C54">
        <w:rPr>
          <w:rFonts w:ascii="Times New Roman" w:hAnsi="Times New Roman" w:cs="Times New Roman"/>
          <w:sz w:val="21"/>
          <w:szCs w:val="21"/>
        </w:rPr>
        <w:t>(табл. 1.1). Дана теорія передбачала, що примноження людського капіталу як його неречової форми – здібностей людини, її освітнього та інтелектуального рівнів, виробничого досвіду – сприяє зростанню продуктивності праці та</w:t>
      </w:r>
      <w:r>
        <w:rPr>
          <w:rFonts w:ascii="Times New Roman" w:hAnsi="Times New Roman" w:cs="Times New Roman"/>
          <w:sz w:val="21"/>
          <w:szCs w:val="21"/>
        </w:rPr>
        <w:t xml:space="preserve"> ефективності виробництва</w:t>
      </w:r>
      <w:r w:rsidRPr="00190C54">
        <w:rPr>
          <w:rFonts w:ascii="Times New Roman" w:hAnsi="Times New Roman" w:cs="Times New Roman"/>
          <w:sz w:val="21"/>
          <w:szCs w:val="21"/>
        </w:rPr>
        <w:t xml:space="preserve">. Збільшення </w:t>
      </w:r>
      <w:r w:rsidRPr="00190C54">
        <w:rPr>
          <w:rFonts w:ascii="Times New Roman" w:hAnsi="Times New Roman" w:cs="Times New Roman"/>
          <w:sz w:val="21"/>
          <w:szCs w:val="21"/>
        </w:rPr>
        <w:lastRenderedPageBreak/>
        <w:t>доходів працівника внаслідок зростання продуктивності праці, в свою чергу, стимулює працівника інвестувати у власне здоров’я і освіту з метою набуття нових знань, навичок і мотивацій (що і є людським капіталом за визначенням Г. Беккера), які в результаті готові і необхідні для застосування в економічній діяльності [</w:t>
      </w:r>
      <w:r>
        <w:rPr>
          <w:rFonts w:ascii="Times New Roman" w:hAnsi="Times New Roman" w:cs="Times New Roman"/>
          <w:spacing w:val="-10"/>
          <w:sz w:val="21"/>
          <w:szCs w:val="21"/>
        </w:rPr>
        <w:fldChar w:fldCharType="begin"/>
      </w:r>
      <w:r>
        <w:rPr>
          <w:rFonts w:ascii="Times New Roman" w:hAnsi="Times New Roman" w:cs="Times New Roman"/>
          <w:sz w:val="21"/>
          <w:szCs w:val="21"/>
        </w:rPr>
        <w:instrText xml:space="preserve"> REF _Ref430593769 \r \h </w:instrText>
      </w:r>
      <w:r>
        <w:rPr>
          <w:rFonts w:ascii="Times New Roman" w:hAnsi="Times New Roman" w:cs="Times New Roman"/>
          <w:spacing w:val="-10"/>
          <w:sz w:val="21"/>
          <w:szCs w:val="21"/>
        </w:rPr>
      </w:r>
      <w:r>
        <w:rPr>
          <w:rFonts w:ascii="Times New Roman" w:hAnsi="Times New Roman" w:cs="Times New Roman"/>
          <w:spacing w:val="-10"/>
          <w:sz w:val="21"/>
          <w:szCs w:val="21"/>
        </w:rPr>
        <w:fldChar w:fldCharType="separate"/>
      </w:r>
      <w:r>
        <w:rPr>
          <w:rFonts w:ascii="Times New Roman" w:hAnsi="Times New Roman" w:cs="Times New Roman"/>
          <w:sz w:val="21"/>
          <w:szCs w:val="21"/>
        </w:rPr>
        <w:t>73</w:t>
      </w:r>
      <w:r>
        <w:rPr>
          <w:rFonts w:ascii="Times New Roman" w:hAnsi="Times New Roman" w:cs="Times New Roman"/>
          <w:spacing w:val="-10"/>
          <w:sz w:val="21"/>
          <w:szCs w:val="21"/>
        </w:rPr>
        <w:fldChar w:fldCharType="end"/>
      </w:r>
      <w:r w:rsidRPr="00190C54">
        <w:rPr>
          <w:rFonts w:ascii="Times New Roman" w:hAnsi="Times New Roman" w:cs="Times New Roman"/>
          <w:sz w:val="21"/>
          <w:szCs w:val="21"/>
        </w:rPr>
        <w:t xml:space="preserve">]. </w:t>
      </w:r>
    </w:p>
    <w:p w:rsidR="00B233DE" w:rsidRPr="00190C54" w:rsidRDefault="00B233DE" w:rsidP="00B233DE">
      <w:pPr>
        <w:ind w:firstLine="709"/>
        <w:jc w:val="both"/>
        <w:rPr>
          <w:rFonts w:ascii="Times New Roman" w:hAnsi="Times New Roman" w:cs="Times New Roman"/>
          <w:sz w:val="21"/>
          <w:szCs w:val="21"/>
        </w:rPr>
      </w:pPr>
      <w:r w:rsidRPr="00190C54">
        <w:rPr>
          <w:rFonts w:ascii="Times New Roman" w:hAnsi="Times New Roman" w:cs="Times New Roman"/>
          <w:sz w:val="21"/>
          <w:szCs w:val="21"/>
        </w:rPr>
        <w:t>У подальшому погляди на людину як носія людського капіталу формувались у напрямі оцінки її вроджених здібностей й набутих знань і вмінь та їх іманентного взаємозв’язку із конкуретноспроможністю і економічним зростанням (Дж. Кендрик</w:t>
      </w:r>
      <w:r>
        <w:rPr>
          <w:rFonts w:ascii="Times New Roman" w:hAnsi="Times New Roman" w:cs="Times New Roman"/>
          <w:sz w:val="21"/>
          <w:szCs w:val="21"/>
        </w:rPr>
        <w:t xml:space="preserve"> [</w:t>
      </w:r>
      <w:r>
        <w:rPr>
          <w:rFonts w:ascii="Times New Roman" w:hAnsi="Times New Roman" w:cs="Times New Roman"/>
          <w:sz w:val="21"/>
          <w:szCs w:val="21"/>
          <w:lang w:val="en-US"/>
        </w:rPr>
        <w:fldChar w:fldCharType="begin"/>
      </w:r>
      <w:r>
        <w:rPr>
          <w:rFonts w:ascii="Times New Roman" w:hAnsi="Times New Roman" w:cs="Times New Roman"/>
          <w:sz w:val="21"/>
          <w:szCs w:val="21"/>
        </w:rPr>
        <w:instrText xml:space="preserve"> REF _Ref430593775 \r \h </w:instrText>
      </w:r>
      <w:r>
        <w:rPr>
          <w:rFonts w:ascii="Times New Roman" w:hAnsi="Times New Roman" w:cs="Times New Roman"/>
          <w:sz w:val="21"/>
          <w:szCs w:val="21"/>
          <w:lang w:val="en-US"/>
        </w:rPr>
      </w:r>
      <w:r>
        <w:rPr>
          <w:rFonts w:ascii="Times New Roman" w:hAnsi="Times New Roman" w:cs="Times New Roman"/>
          <w:sz w:val="21"/>
          <w:szCs w:val="21"/>
          <w:lang w:val="en-US"/>
        </w:rPr>
        <w:fldChar w:fldCharType="separate"/>
      </w:r>
      <w:r>
        <w:rPr>
          <w:rFonts w:ascii="Times New Roman" w:hAnsi="Times New Roman" w:cs="Times New Roman"/>
          <w:sz w:val="21"/>
          <w:szCs w:val="21"/>
        </w:rPr>
        <w:t>76</w:t>
      </w:r>
      <w:r>
        <w:rPr>
          <w:rFonts w:ascii="Times New Roman" w:hAnsi="Times New Roman" w:cs="Times New Roman"/>
          <w:sz w:val="21"/>
          <w:szCs w:val="21"/>
          <w:lang w:val="en-US"/>
        </w:rPr>
        <w:fldChar w:fldCharType="end"/>
      </w:r>
      <w:r>
        <w:rPr>
          <w:rFonts w:ascii="Times New Roman" w:hAnsi="Times New Roman" w:cs="Times New Roman"/>
          <w:sz w:val="21"/>
          <w:szCs w:val="21"/>
        </w:rPr>
        <w:t>]</w:t>
      </w:r>
      <w:r w:rsidRPr="00190C54">
        <w:rPr>
          <w:rFonts w:ascii="Times New Roman" w:hAnsi="Times New Roman" w:cs="Times New Roman"/>
          <w:sz w:val="21"/>
          <w:szCs w:val="21"/>
        </w:rPr>
        <w:t>, Дж. Грейсон</w:t>
      </w:r>
      <w:r>
        <w:rPr>
          <w:rFonts w:ascii="Times New Roman" w:hAnsi="Times New Roman" w:cs="Times New Roman"/>
          <w:sz w:val="21"/>
          <w:szCs w:val="21"/>
        </w:rPr>
        <w:t xml:space="preserve">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_Ref430593785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18</w:t>
      </w:r>
      <w:r>
        <w:rPr>
          <w:rFonts w:ascii="Times New Roman" w:hAnsi="Times New Roman" w:cs="Times New Roman"/>
          <w:sz w:val="21"/>
          <w:szCs w:val="21"/>
        </w:rPr>
        <w:fldChar w:fldCharType="end"/>
      </w:r>
      <w:r>
        <w:rPr>
          <w:rFonts w:ascii="Times New Roman" w:hAnsi="Times New Roman" w:cs="Times New Roman"/>
          <w:sz w:val="21"/>
          <w:szCs w:val="21"/>
        </w:rPr>
        <w:t>])</w:t>
      </w:r>
      <w:r w:rsidRPr="00190C54">
        <w:rPr>
          <w:rFonts w:ascii="Times New Roman" w:hAnsi="Times New Roman" w:cs="Times New Roman"/>
          <w:sz w:val="21"/>
          <w:szCs w:val="21"/>
        </w:rPr>
        <w:t>.</w:t>
      </w:r>
    </w:p>
    <w:p w:rsidR="00B233DE" w:rsidRPr="00190C54" w:rsidRDefault="00B233DE" w:rsidP="00B233DE">
      <w:pPr>
        <w:ind w:firstLine="709"/>
        <w:jc w:val="both"/>
        <w:rPr>
          <w:rFonts w:ascii="Times New Roman" w:hAnsi="Times New Roman" w:cs="Times New Roman"/>
          <w:sz w:val="21"/>
          <w:szCs w:val="21"/>
        </w:rPr>
      </w:pPr>
      <w:r w:rsidRPr="00190C54">
        <w:rPr>
          <w:rFonts w:ascii="Times New Roman" w:hAnsi="Times New Roman" w:cs="Times New Roman"/>
          <w:sz w:val="21"/>
          <w:szCs w:val="21"/>
        </w:rPr>
        <w:t xml:space="preserve">У вітчизняній науковій думці радянських часів погляди на людину як джерело економічного зростання тривалий час зводились до використання поняття «трудові ресурси», визначеного С. Струміліним як </w:t>
      </w:r>
      <w:r>
        <w:rPr>
          <w:rFonts w:ascii="Times New Roman" w:hAnsi="Times New Roman" w:cs="Times New Roman"/>
          <w:sz w:val="21"/>
          <w:szCs w:val="21"/>
        </w:rPr>
        <w:t>«</w:t>
      </w:r>
      <w:r w:rsidRPr="00190C54">
        <w:rPr>
          <w:rFonts w:ascii="Times New Roman" w:hAnsi="Times New Roman" w:cs="Times New Roman"/>
          <w:sz w:val="21"/>
          <w:szCs w:val="21"/>
        </w:rPr>
        <w:t>працездатне населення працездатного віку</w:t>
      </w:r>
      <w:r>
        <w:rPr>
          <w:rFonts w:ascii="Times New Roman" w:hAnsi="Times New Roman" w:cs="Times New Roman"/>
          <w:sz w:val="21"/>
          <w:szCs w:val="21"/>
        </w:rPr>
        <w:t>»</w:t>
      </w:r>
      <w:r w:rsidRPr="00190C54">
        <w:rPr>
          <w:rFonts w:ascii="Times New Roman" w:hAnsi="Times New Roman" w:cs="Times New Roman"/>
          <w:sz w:val="21"/>
          <w:szCs w:val="21"/>
        </w:rPr>
        <w:t>, що було пов’язано із поширенням екстенсивної системи господарювання [</w:t>
      </w:r>
      <w:r>
        <w:rPr>
          <w:rFonts w:ascii="Times New Roman" w:hAnsi="Times New Roman" w:cs="Times New Roman"/>
          <w:bCs/>
          <w:sz w:val="21"/>
          <w:szCs w:val="21"/>
        </w:rPr>
        <w:fldChar w:fldCharType="begin"/>
      </w:r>
      <w:r>
        <w:rPr>
          <w:rFonts w:ascii="Times New Roman" w:hAnsi="Times New Roman" w:cs="Times New Roman"/>
          <w:sz w:val="21"/>
          <w:szCs w:val="21"/>
        </w:rPr>
        <w:instrText xml:space="preserve"> REF _Ref430593743 \r \h </w:instrText>
      </w:r>
      <w:r>
        <w:rPr>
          <w:rFonts w:ascii="Times New Roman" w:hAnsi="Times New Roman" w:cs="Times New Roman"/>
          <w:bCs/>
          <w:sz w:val="21"/>
          <w:szCs w:val="21"/>
        </w:rPr>
      </w:r>
      <w:r>
        <w:rPr>
          <w:rFonts w:ascii="Times New Roman" w:hAnsi="Times New Roman" w:cs="Times New Roman"/>
          <w:bCs/>
          <w:sz w:val="21"/>
          <w:szCs w:val="21"/>
        </w:rPr>
        <w:fldChar w:fldCharType="separate"/>
      </w:r>
      <w:r>
        <w:rPr>
          <w:rFonts w:ascii="Times New Roman" w:hAnsi="Times New Roman" w:cs="Times New Roman"/>
          <w:sz w:val="21"/>
          <w:szCs w:val="21"/>
        </w:rPr>
        <w:t>47</w:t>
      </w:r>
      <w:r>
        <w:rPr>
          <w:rFonts w:ascii="Times New Roman" w:hAnsi="Times New Roman" w:cs="Times New Roman"/>
          <w:bCs/>
          <w:sz w:val="21"/>
          <w:szCs w:val="21"/>
        </w:rPr>
        <w:fldChar w:fldCharType="end"/>
      </w:r>
      <w:r w:rsidRPr="00190C54">
        <w:rPr>
          <w:rFonts w:ascii="Times New Roman" w:hAnsi="Times New Roman" w:cs="Times New Roman"/>
          <w:sz w:val="21"/>
          <w:szCs w:val="21"/>
        </w:rPr>
        <w:t>]. Із розвитком усвідомлення необхідності інтенсифікації виробничих процесів в економічній науці дане поняття було розширене В. Костаковим, який включив до нього, разом з наявними, потенційні ресурси та звернув увагу на їх якісні характеристики (табл. 1.1)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_Ref430593816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32</w:t>
      </w:r>
      <w:r>
        <w:rPr>
          <w:rFonts w:ascii="Times New Roman" w:hAnsi="Times New Roman" w:cs="Times New Roman"/>
          <w:sz w:val="21"/>
          <w:szCs w:val="21"/>
        </w:rPr>
        <w:fldChar w:fldCharType="end"/>
      </w:r>
      <w:r w:rsidRPr="00190C54">
        <w:rPr>
          <w:rFonts w:ascii="Times New Roman" w:hAnsi="Times New Roman" w:cs="Times New Roman"/>
          <w:sz w:val="21"/>
          <w:szCs w:val="21"/>
        </w:rPr>
        <w:t>]. Таким чином, поряд із розповсюдженим застосуванням поняття «людський капітал» у працях західних економістів, у другій половині ХХ ст. було започатковане широке використання поняття «трудовий потенціал» у дослідженнях українських науковців. Розвиток цих понять мав тісний взаємозв’язок із закономірними процесами індустріальної економіки – поступовим зниженням приросту ефектів від динамічного розвитку технологічних процесів та автоматизації праці [</w:t>
      </w:r>
      <w:r>
        <w:rPr>
          <w:rFonts w:ascii="Times New Roman" w:hAnsi="Times New Roman"/>
          <w:iCs/>
          <w:sz w:val="21"/>
          <w:szCs w:val="21"/>
        </w:rPr>
        <w:fldChar w:fldCharType="begin"/>
      </w:r>
      <w:r>
        <w:rPr>
          <w:rFonts w:ascii="Times New Roman" w:hAnsi="Times New Roman" w:cs="Times New Roman"/>
          <w:sz w:val="21"/>
          <w:szCs w:val="21"/>
        </w:rPr>
        <w:instrText xml:space="preserve"> REF _Ref430593964 \r \h </w:instrText>
      </w:r>
      <w:r>
        <w:rPr>
          <w:rFonts w:ascii="Times New Roman" w:hAnsi="Times New Roman"/>
          <w:iCs/>
          <w:sz w:val="21"/>
          <w:szCs w:val="21"/>
        </w:rPr>
      </w:r>
      <w:r>
        <w:rPr>
          <w:rFonts w:ascii="Times New Roman" w:hAnsi="Times New Roman"/>
          <w:iCs/>
          <w:sz w:val="21"/>
          <w:szCs w:val="21"/>
        </w:rPr>
        <w:fldChar w:fldCharType="separate"/>
      </w:r>
      <w:r>
        <w:rPr>
          <w:rFonts w:ascii="Times New Roman" w:hAnsi="Times New Roman" w:cs="Times New Roman"/>
          <w:sz w:val="21"/>
          <w:szCs w:val="21"/>
        </w:rPr>
        <w:t>28</w:t>
      </w:r>
      <w:r>
        <w:rPr>
          <w:rFonts w:ascii="Times New Roman" w:hAnsi="Times New Roman"/>
          <w:iCs/>
          <w:sz w:val="21"/>
          <w:szCs w:val="21"/>
        </w:rPr>
        <w:fldChar w:fldCharType="end"/>
      </w:r>
      <w:r w:rsidRPr="00E34722">
        <w:rPr>
          <w:rFonts w:ascii="Times New Roman" w:hAnsi="Times New Roman" w:cs="Times New Roman"/>
          <w:sz w:val="21"/>
          <w:szCs w:val="21"/>
        </w:rPr>
        <w:t>,</w:t>
      </w:r>
      <w:r w:rsidRPr="00190C54">
        <w:rPr>
          <w:rFonts w:ascii="Times New Roman" w:hAnsi="Times New Roman" w:cs="Times New Roman"/>
          <w:sz w:val="21"/>
          <w:szCs w:val="21"/>
        </w:rPr>
        <w:t xml:space="preserve"> с. 173]. </w:t>
      </w:r>
    </w:p>
    <w:p w:rsidR="00B233DE" w:rsidRPr="00920391" w:rsidRDefault="00B233DE" w:rsidP="00B233DE">
      <w:pPr>
        <w:ind w:firstLine="709"/>
        <w:jc w:val="both"/>
        <w:rPr>
          <w:rFonts w:ascii="Times New Roman" w:hAnsi="Times New Roman" w:cs="Times New Roman"/>
          <w:spacing w:val="-6"/>
          <w:sz w:val="21"/>
          <w:szCs w:val="21"/>
        </w:rPr>
      </w:pPr>
      <w:r w:rsidRPr="00190C54">
        <w:rPr>
          <w:rFonts w:ascii="Times New Roman" w:hAnsi="Times New Roman" w:cs="Times New Roman"/>
          <w:spacing w:val="-2"/>
          <w:sz w:val="21"/>
          <w:szCs w:val="21"/>
        </w:rPr>
        <w:t>В останній третині минулого століття розпочався етап інтенсивного розвитку виробничих технологій, процесів та технічного забезпечення праці [</w:t>
      </w:r>
      <w:r>
        <w:rPr>
          <w:rFonts w:ascii="Times New Roman" w:hAnsi="Times New Roman"/>
          <w:iCs/>
          <w:sz w:val="21"/>
          <w:szCs w:val="21"/>
        </w:rPr>
        <w:fldChar w:fldCharType="begin"/>
      </w:r>
      <w:r>
        <w:rPr>
          <w:rFonts w:ascii="Times New Roman" w:hAnsi="Times New Roman" w:cs="Times New Roman"/>
          <w:spacing w:val="-2"/>
          <w:sz w:val="21"/>
          <w:szCs w:val="21"/>
        </w:rPr>
        <w:instrText xml:space="preserve"> REF _Ref430593893 \r \h </w:instrText>
      </w:r>
      <w:r>
        <w:rPr>
          <w:rFonts w:ascii="Times New Roman" w:hAnsi="Times New Roman"/>
          <w:iCs/>
          <w:sz w:val="21"/>
          <w:szCs w:val="21"/>
        </w:rPr>
      </w:r>
      <w:r>
        <w:rPr>
          <w:rFonts w:ascii="Times New Roman" w:hAnsi="Times New Roman"/>
          <w:iCs/>
          <w:sz w:val="21"/>
          <w:szCs w:val="21"/>
        </w:rPr>
        <w:fldChar w:fldCharType="separate"/>
      </w:r>
      <w:r>
        <w:rPr>
          <w:rFonts w:ascii="Times New Roman" w:hAnsi="Times New Roman" w:cs="Times New Roman"/>
          <w:spacing w:val="-2"/>
          <w:sz w:val="21"/>
          <w:szCs w:val="21"/>
        </w:rPr>
        <w:t>14</w:t>
      </w:r>
      <w:r>
        <w:rPr>
          <w:rFonts w:ascii="Times New Roman" w:hAnsi="Times New Roman"/>
          <w:iCs/>
          <w:sz w:val="21"/>
          <w:szCs w:val="21"/>
        </w:rPr>
        <w:fldChar w:fldCharType="end"/>
      </w:r>
      <w:r>
        <w:rPr>
          <w:rFonts w:ascii="Times New Roman" w:hAnsi="Times New Roman" w:cs="Times New Roman"/>
          <w:spacing w:val="-2"/>
          <w:sz w:val="21"/>
          <w:szCs w:val="21"/>
        </w:rPr>
        <w:t xml:space="preserve">, </w:t>
      </w:r>
      <w:r w:rsidRPr="00190C54">
        <w:rPr>
          <w:rFonts w:ascii="Times New Roman" w:hAnsi="Times New Roman" w:cs="Times New Roman"/>
          <w:spacing w:val="-2"/>
          <w:sz w:val="21"/>
          <w:szCs w:val="21"/>
        </w:rPr>
        <w:t xml:space="preserve">с. 78]. </w:t>
      </w:r>
      <w:r>
        <w:rPr>
          <w:rFonts w:ascii="Times New Roman" w:hAnsi="Times New Roman" w:cs="Times New Roman"/>
          <w:spacing w:val="-1"/>
          <w:sz w:val="21"/>
          <w:szCs w:val="21"/>
        </w:rPr>
        <w:t>Д</w:t>
      </w:r>
      <w:r w:rsidRPr="00190C54">
        <w:rPr>
          <w:rFonts w:ascii="Times New Roman" w:hAnsi="Times New Roman" w:cs="Times New Roman"/>
          <w:spacing w:val="-1"/>
          <w:sz w:val="21"/>
          <w:szCs w:val="21"/>
        </w:rPr>
        <w:t>ля економіки стало характерним зниження приросту ефектів від динамічного розвитку технологічних процесів та автоматизації праці [</w:t>
      </w:r>
      <w:r>
        <w:rPr>
          <w:rFonts w:ascii="Times New Roman" w:hAnsi="Times New Roman"/>
          <w:iCs/>
          <w:sz w:val="21"/>
          <w:szCs w:val="21"/>
        </w:rPr>
        <w:fldChar w:fldCharType="begin"/>
      </w:r>
      <w:r>
        <w:rPr>
          <w:rFonts w:ascii="Times New Roman" w:hAnsi="Times New Roman" w:cs="Times New Roman"/>
          <w:spacing w:val="-1"/>
          <w:sz w:val="21"/>
          <w:szCs w:val="21"/>
        </w:rPr>
        <w:instrText xml:space="preserve"> REF _Ref430593964 \r \h </w:instrText>
      </w:r>
      <w:r>
        <w:rPr>
          <w:rFonts w:ascii="Times New Roman" w:hAnsi="Times New Roman"/>
          <w:iCs/>
          <w:sz w:val="21"/>
          <w:szCs w:val="21"/>
        </w:rPr>
      </w:r>
      <w:r>
        <w:rPr>
          <w:rFonts w:ascii="Times New Roman" w:hAnsi="Times New Roman"/>
          <w:iCs/>
          <w:sz w:val="21"/>
          <w:szCs w:val="21"/>
        </w:rPr>
        <w:fldChar w:fldCharType="separate"/>
      </w:r>
      <w:r>
        <w:rPr>
          <w:rFonts w:ascii="Times New Roman" w:hAnsi="Times New Roman" w:cs="Times New Roman"/>
          <w:spacing w:val="-1"/>
          <w:sz w:val="21"/>
          <w:szCs w:val="21"/>
        </w:rPr>
        <w:t>28</w:t>
      </w:r>
      <w:r>
        <w:rPr>
          <w:rFonts w:ascii="Times New Roman" w:hAnsi="Times New Roman"/>
          <w:iCs/>
          <w:sz w:val="21"/>
          <w:szCs w:val="21"/>
        </w:rPr>
        <w:fldChar w:fldCharType="end"/>
      </w:r>
      <w:r w:rsidRPr="00E34722">
        <w:rPr>
          <w:rFonts w:ascii="Times New Roman" w:hAnsi="Times New Roman" w:cs="Times New Roman"/>
          <w:spacing w:val="-1"/>
          <w:sz w:val="21"/>
          <w:szCs w:val="21"/>
        </w:rPr>
        <w:t>,</w:t>
      </w:r>
      <w:r>
        <w:rPr>
          <w:rFonts w:ascii="Times New Roman" w:hAnsi="Times New Roman" w:cs="Times New Roman"/>
          <w:spacing w:val="-1"/>
          <w:sz w:val="21"/>
          <w:szCs w:val="21"/>
        </w:rPr>
        <w:t xml:space="preserve"> </w:t>
      </w:r>
      <w:r w:rsidRPr="00190C54">
        <w:rPr>
          <w:rFonts w:ascii="Times New Roman" w:hAnsi="Times New Roman" w:cs="Times New Roman"/>
          <w:spacing w:val="-1"/>
          <w:sz w:val="21"/>
          <w:szCs w:val="21"/>
        </w:rPr>
        <w:t>с.</w:t>
      </w:r>
      <w:r>
        <w:rPr>
          <w:rFonts w:ascii="Times New Roman" w:hAnsi="Times New Roman" w:cs="Times New Roman"/>
          <w:spacing w:val="-1"/>
          <w:sz w:val="21"/>
          <w:szCs w:val="21"/>
        </w:rPr>
        <w:t xml:space="preserve"> </w:t>
      </w:r>
      <w:r w:rsidRPr="00190C54">
        <w:rPr>
          <w:rFonts w:ascii="Times New Roman" w:hAnsi="Times New Roman" w:cs="Times New Roman"/>
          <w:spacing w:val="-1"/>
          <w:sz w:val="21"/>
          <w:szCs w:val="21"/>
        </w:rPr>
        <w:t xml:space="preserve">173]. Пошук нових резервів вдосконалення управління людським ресурсами призвів до закономірного розвитку напряму вдосконалення процесів праці. В результаті, набули поширення наукові підходи </w:t>
      </w:r>
      <w:r>
        <w:rPr>
          <w:rFonts w:ascii="Times New Roman" w:hAnsi="Times New Roman" w:cs="Times New Roman"/>
          <w:spacing w:val="-1"/>
          <w:sz w:val="21"/>
          <w:szCs w:val="21"/>
        </w:rPr>
        <w:t xml:space="preserve">щодо </w:t>
      </w:r>
      <w:r w:rsidRPr="00190C54">
        <w:rPr>
          <w:rFonts w:ascii="Times New Roman" w:hAnsi="Times New Roman" w:cs="Times New Roman"/>
          <w:spacing w:val="-1"/>
          <w:sz w:val="21"/>
          <w:szCs w:val="21"/>
        </w:rPr>
        <w:t xml:space="preserve">формування системи менеджменту персоналу, управління трудовими ресурсами, трудовим потенціалом, продуктивністю праці, системами підготовки та перепідготовки, зародження </w:t>
      </w:r>
      <w:r w:rsidRPr="00190C54">
        <w:rPr>
          <w:rFonts w:ascii="Times New Roman" w:hAnsi="Times New Roman" w:cs="Times New Roman"/>
          <w:spacing w:val="-1"/>
          <w:sz w:val="21"/>
          <w:szCs w:val="21"/>
        </w:rPr>
        <w:lastRenderedPageBreak/>
        <w:t xml:space="preserve">рекрутингу персоналу, вдосконалення систем нормування та </w:t>
      </w:r>
      <w:r w:rsidRPr="00920391">
        <w:rPr>
          <w:rFonts w:ascii="Times New Roman" w:hAnsi="Times New Roman" w:cs="Times New Roman"/>
          <w:spacing w:val="-6"/>
          <w:sz w:val="21"/>
          <w:szCs w:val="21"/>
        </w:rPr>
        <w:t>організації праці та їх прикладне застосування на системній основі [</w:t>
      </w:r>
      <w:r>
        <w:rPr>
          <w:rFonts w:ascii="Times New Roman" w:hAnsi="Times New Roman" w:cs="Times New Roman"/>
          <w:iCs/>
          <w:sz w:val="21"/>
          <w:szCs w:val="21"/>
        </w:rPr>
        <w:fldChar w:fldCharType="begin"/>
      </w:r>
      <w:r>
        <w:rPr>
          <w:rFonts w:ascii="Times New Roman" w:hAnsi="Times New Roman" w:cs="Times New Roman"/>
          <w:spacing w:val="-6"/>
          <w:sz w:val="21"/>
          <w:szCs w:val="21"/>
        </w:rPr>
        <w:instrText xml:space="preserve"> REF _Ref430593988 \r \h </w:instrText>
      </w:r>
      <w:r>
        <w:rPr>
          <w:rFonts w:ascii="Times New Roman" w:hAnsi="Times New Roman" w:cs="Times New Roman"/>
          <w:iCs/>
          <w:sz w:val="21"/>
          <w:szCs w:val="21"/>
        </w:rPr>
      </w:r>
      <w:r>
        <w:rPr>
          <w:rFonts w:ascii="Times New Roman" w:hAnsi="Times New Roman" w:cs="Times New Roman"/>
          <w:iCs/>
          <w:sz w:val="21"/>
          <w:szCs w:val="21"/>
        </w:rPr>
        <w:fldChar w:fldCharType="separate"/>
      </w:r>
      <w:r>
        <w:rPr>
          <w:rFonts w:ascii="Times New Roman" w:hAnsi="Times New Roman" w:cs="Times New Roman"/>
          <w:spacing w:val="-6"/>
          <w:sz w:val="21"/>
          <w:szCs w:val="21"/>
        </w:rPr>
        <w:t>43</w:t>
      </w:r>
      <w:r>
        <w:rPr>
          <w:rFonts w:ascii="Times New Roman" w:hAnsi="Times New Roman" w:cs="Times New Roman"/>
          <w:iCs/>
          <w:sz w:val="21"/>
          <w:szCs w:val="21"/>
        </w:rPr>
        <w:fldChar w:fldCharType="end"/>
      </w:r>
      <w:r w:rsidRPr="00920391">
        <w:rPr>
          <w:rFonts w:ascii="Times New Roman" w:hAnsi="Times New Roman" w:cs="Times New Roman"/>
          <w:spacing w:val="-6"/>
          <w:sz w:val="21"/>
          <w:szCs w:val="21"/>
        </w:rPr>
        <w:t>].</w:t>
      </w:r>
    </w:p>
    <w:p w:rsidR="00B233DE" w:rsidRPr="00920391" w:rsidRDefault="00B233DE" w:rsidP="00B233DE">
      <w:pPr>
        <w:ind w:firstLine="709"/>
        <w:jc w:val="both"/>
        <w:rPr>
          <w:rFonts w:ascii="Times New Roman" w:hAnsi="Times New Roman" w:cs="Times New Roman"/>
          <w:spacing w:val="-2"/>
          <w:sz w:val="21"/>
          <w:szCs w:val="21"/>
        </w:rPr>
      </w:pPr>
      <w:r w:rsidRPr="00190C54">
        <w:rPr>
          <w:rFonts w:ascii="Times New Roman" w:hAnsi="Times New Roman" w:cs="Times New Roman"/>
          <w:sz w:val="21"/>
          <w:szCs w:val="21"/>
        </w:rPr>
        <w:t xml:space="preserve">Вичерпування приросту ефектів від систем організації праці та його співпадіння у часі з перманентними кризами індустріального етапу розвитку економічної системи, закономірно стали передумовою зародження інформаційного суспільства. Водночас, на відміну від попередніх етапів, розвиток концепцій управління людськими ресурсами набув багатогранного характеру з формуванням кількох напрямів, серед яких слід відмітити зародження концепцій соціальної економіки, корпоративної </w:t>
      </w:r>
      <w:r w:rsidRPr="00920391">
        <w:rPr>
          <w:rFonts w:ascii="Times New Roman" w:hAnsi="Times New Roman" w:cs="Times New Roman"/>
          <w:spacing w:val="-2"/>
          <w:sz w:val="21"/>
          <w:szCs w:val="21"/>
        </w:rPr>
        <w:t>відповідальності та інформаційного суспільства [</w:t>
      </w:r>
      <w:r>
        <w:rPr>
          <w:rFonts w:ascii="Times New Roman" w:hAnsi="Times New Roman" w:cs="Times New Roman"/>
          <w:iCs/>
          <w:sz w:val="21"/>
          <w:szCs w:val="21"/>
        </w:rPr>
        <w:fldChar w:fldCharType="begin"/>
      </w:r>
      <w:r>
        <w:rPr>
          <w:rFonts w:ascii="Times New Roman" w:hAnsi="Times New Roman" w:cs="Times New Roman"/>
          <w:spacing w:val="-2"/>
          <w:sz w:val="21"/>
          <w:szCs w:val="21"/>
        </w:rPr>
        <w:instrText xml:space="preserve"> REF _Ref430593998 \r \h </w:instrText>
      </w:r>
      <w:r>
        <w:rPr>
          <w:rFonts w:ascii="Times New Roman" w:hAnsi="Times New Roman" w:cs="Times New Roman"/>
          <w:iCs/>
          <w:sz w:val="21"/>
          <w:szCs w:val="21"/>
        </w:rPr>
      </w:r>
      <w:r>
        <w:rPr>
          <w:rFonts w:ascii="Times New Roman" w:hAnsi="Times New Roman" w:cs="Times New Roman"/>
          <w:iCs/>
          <w:sz w:val="21"/>
          <w:szCs w:val="21"/>
        </w:rPr>
        <w:fldChar w:fldCharType="separate"/>
      </w:r>
      <w:r>
        <w:rPr>
          <w:rFonts w:ascii="Times New Roman" w:hAnsi="Times New Roman" w:cs="Times New Roman"/>
          <w:spacing w:val="-2"/>
          <w:sz w:val="21"/>
          <w:szCs w:val="21"/>
        </w:rPr>
        <w:t>12</w:t>
      </w:r>
      <w:r>
        <w:rPr>
          <w:rFonts w:ascii="Times New Roman" w:hAnsi="Times New Roman" w:cs="Times New Roman"/>
          <w:iCs/>
          <w:sz w:val="21"/>
          <w:szCs w:val="21"/>
        </w:rPr>
        <w:fldChar w:fldCharType="end"/>
      </w:r>
      <w:r w:rsidRPr="00E34722">
        <w:rPr>
          <w:rFonts w:ascii="Times New Roman" w:hAnsi="Times New Roman" w:cs="Times New Roman"/>
          <w:spacing w:val="-2"/>
          <w:sz w:val="21"/>
          <w:szCs w:val="21"/>
        </w:rPr>
        <w:t>, с. 131–161</w:t>
      </w:r>
      <w:r w:rsidRPr="00920391">
        <w:rPr>
          <w:rFonts w:ascii="Times New Roman" w:hAnsi="Times New Roman" w:cs="Times New Roman"/>
          <w:spacing w:val="-2"/>
          <w:sz w:val="21"/>
          <w:szCs w:val="21"/>
        </w:rPr>
        <w:t>].</w:t>
      </w:r>
    </w:p>
    <w:p w:rsidR="00B233DE" w:rsidRPr="00190C54" w:rsidRDefault="00B233DE" w:rsidP="00B233DE">
      <w:pPr>
        <w:ind w:firstLine="709"/>
        <w:jc w:val="both"/>
        <w:rPr>
          <w:rFonts w:ascii="Times New Roman" w:hAnsi="Times New Roman" w:cs="Times New Roman"/>
          <w:sz w:val="21"/>
          <w:szCs w:val="21"/>
        </w:rPr>
      </w:pPr>
      <w:r w:rsidRPr="00190C54">
        <w:rPr>
          <w:rFonts w:ascii="Times New Roman" w:hAnsi="Times New Roman" w:cs="Times New Roman"/>
          <w:sz w:val="21"/>
          <w:szCs w:val="21"/>
        </w:rPr>
        <w:t xml:space="preserve">Разом з тим, необхідно підкреслити, що теорія людського </w:t>
      </w:r>
      <w:r w:rsidRPr="002347A2">
        <w:rPr>
          <w:rFonts w:ascii="Times New Roman" w:hAnsi="Times New Roman" w:cs="Times New Roman"/>
          <w:spacing w:val="-8"/>
          <w:sz w:val="21"/>
          <w:szCs w:val="21"/>
        </w:rPr>
        <w:t>капіталу, як і концепція трудового потенціалу, належать до інструмен-</w:t>
      </w:r>
      <w:r w:rsidRPr="00190C54">
        <w:rPr>
          <w:rFonts w:ascii="Times New Roman" w:hAnsi="Times New Roman" w:cs="Times New Roman"/>
          <w:sz w:val="21"/>
          <w:szCs w:val="21"/>
        </w:rPr>
        <w:t>тального напряму уявлень про розвиток людини, що розглядає її як інструмент економічної системи і ґрунтується на дослідженні здатності людини до праці, її виробничих здібностей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_Ref430594008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7</w:t>
      </w:r>
      <w:r>
        <w:rPr>
          <w:rFonts w:ascii="Times New Roman" w:hAnsi="Times New Roman" w:cs="Times New Roman"/>
          <w:sz w:val="21"/>
          <w:szCs w:val="21"/>
        </w:rPr>
        <w:fldChar w:fldCharType="end"/>
      </w:r>
      <w:r w:rsidRPr="00190C54">
        <w:rPr>
          <w:rFonts w:ascii="Times New Roman" w:hAnsi="Times New Roman" w:cs="Times New Roman"/>
          <w:sz w:val="21"/>
          <w:szCs w:val="21"/>
        </w:rPr>
        <w:t xml:space="preserve">, </w:t>
      </w:r>
      <w:r w:rsidRPr="00190C54">
        <w:rPr>
          <w:rFonts w:ascii="Times New Roman" w:hAnsi="Times New Roman" w:cs="Times New Roman"/>
          <w:sz w:val="21"/>
          <w:szCs w:val="21"/>
          <w:lang w:val="en-US"/>
        </w:rPr>
        <w:t>c</w:t>
      </w:r>
      <w:r w:rsidRPr="00190C54">
        <w:rPr>
          <w:rFonts w:ascii="Times New Roman" w:hAnsi="Times New Roman" w:cs="Times New Roman"/>
          <w:sz w:val="21"/>
          <w:szCs w:val="21"/>
        </w:rPr>
        <w:t>. 8].</w:t>
      </w:r>
    </w:p>
    <w:p w:rsidR="00B233DE" w:rsidRPr="00190C54" w:rsidRDefault="00B233DE" w:rsidP="00B233DE">
      <w:pPr>
        <w:ind w:firstLine="709"/>
        <w:jc w:val="both"/>
        <w:rPr>
          <w:rFonts w:ascii="Times New Roman" w:hAnsi="Times New Roman" w:cs="Times New Roman"/>
          <w:sz w:val="21"/>
          <w:szCs w:val="21"/>
        </w:rPr>
      </w:pPr>
      <w:r w:rsidRPr="00190C54">
        <w:rPr>
          <w:rFonts w:ascii="Times New Roman" w:hAnsi="Times New Roman" w:cs="Times New Roman"/>
          <w:sz w:val="21"/>
          <w:szCs w:val="21"/>
        </w:rPr>
        <w:t>В останній третині ХХ ст. зниження ефектів від систем організації праці поряд із періодичними кризами індустріального етапу розвитку економіки, закономірно стали передумовою зародження інформаційного суспільства. Система поглядів на людину набула багатогранного характеру із пріоритетним формуванням соціального напряму уявлень про розвиток людини, що висунув на перший план суспільні аспекти відтворення людських ресурсів – врахування соціальних умов життя населення, соціальні наслідки змін в економіці, розвитку концепцій «рівня життя» та «якості життя».</w:t>
      </w:r>
    </w:p>
    <w:p w:rsidR="00B233DE" w:rsidRPr="00190C54" w:rsidRDefault="00B233DE" w:rsidP="00B233DE">
      <w:pPr>
        <w:ind w:firstLine="709"/>
        <w:jc w:val="both"/>
        <w:rPr>
          <w:rFonts w:ascii="Times New Roman" w:hAnsi="Times New Roman" w:cs="Times New Roman"/>
          <w:sz w:val="21"/>
          <w:szCs w:val="21"/>
        </w:rPr>
      </w:pPr>
      <w:r w:rsidRPr="00190C54">
        <w:rPr>
          <w:rFonts w:ascii="Times New Roman" w:hAnsi="Times New Roman" w:cs="Times New Roman"/>
          <w:sz w:val="21"/>
          <w:szCs w:val="21"/>
        </w:rPr>
        <w:t>Зближення та взаємопроникнення інструментального та соціального напрямів уявлень про розвиток людини призвело до появи нової концепції, що на перший план висунула поняття «людський розвиток»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_Ref430594008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7</w:t>
      </w:r>
      <w:r>
        <w:rPr>
          <w:rFonts w:ascii="Times New Roman" w:hAnsi="Times New Roman" w:cs="Times New Roman"/>
          <w:sz w:val="21"/>
          <w:szCs w:val="21"/>
        </w:rPr>
        <w:fldChar w:fldCharType="end"/>
      </w:r>
      <w:r w:rsidRPr="00190C54">
        <w:rPr>
          <w:rFonts w:ascii="Times New Roman" w:hAnsi="Times New Roman" w:cs="Times New Roman"/>
          <w:sz w:val="21"/>
          <w:szCs w:val="21"/>
        </w:rPr>
        <w:t xml:space="preserve">, </w:t>
      </w:r>
      <w:r w:rsidRPr="00190C54">
        <w:rPr>
          <w:rFonts w:ascii="Times New Roman" w:hAnsi="Times New Roman" w:cs="Times New Roman"/>
          <w:sz w:val="21"/>
          <w:szCs w:val="21"/>
          <w:lang w:val="en-US"/>
        </w:rPr>
        <w:t>c</w:t>
      </w:r>
      <w:r w:rsidRPr="00190C54">
        <w:rPr>
          <w:rFonts w:ascii="Times New Roman" w:hAnsi="Times New Roman" w:cs="Times New Roman"/>
          <w:sz w:val="21"/>
          <w:szCs w:val="21"/>
        </w:rPr>
        <w:t xml:space="preserve">. 8]. Концепція капіталу змінюється концепцією розвитку, який розглядається як процес, в центрі якого знаходиться людина. </w:t>
      </w:r>
      <w:r>
        <w:rPr>
          <w:rFonts w:ascii="Times New Roman" w:hAnsi="Times New Roman" w:cs="Times New Roman"/>
          <w:sz w:val="21"/>
          <w:szCs w:val="21"/>
        </w:rPr>
        <w:t xml:space="preserve">Теоретичні розробки економістів М. </w:t>
      </w:r>
      <w:r w:rsidRPr="00190C54">
        <w:rPr>
          <w:rFonts w:ascii="Times New Roman" w:hAnsi="Times New Roman" w:cs="Times New Roman"/>
          <w:sz w:val="21"/>
          <w:szCs w:val="21"/>
        </w:rPr>
        <w:t xml:space="preserve">Хака та А. Сена лягли в основу концепції людського розвиту ПРООН і звели воєдино поняття «людина» та її «потенціал» (табл. 1.1). Розвиток людського потенціалу </w:t>
      </w:r>
      <w:r>
        <w:rPr>
          <w:rFonts w:ascii="Times New Roman" w:hAnsi="Times New Roman" w:cs="Times New Roman"/>
          <w:sz w:val="21"/>
          <w:szCs w:val="21"/>
        </w:rPr>
        <w:t>розглядається</w:t>
      </w:r>
      <w:r w:rsidRPr="00190C54">
        <w:rPr>
          <w:rFonts w:ascii="Times New Roman" w:hAnsi="Times New Roman" w:cs="Times New Roman"/>
          <w:sz w:val="21"/>
          <w:szCs w:val="21"/>
        </w:rPr>
        <w:t xml:space="preserve"> як процес розширення можливостей людини</w:t>
      </w:r>
      <w:r>
        <w:rPr>
          <w:rFonts w:ascii="Times New Roman" w:hAnsi="Times New Roman" w:cs="Times New Roman"/>
          <w:sz w:val="21"/>
          <w:szCs w:val="21"/>
        </w:rPr>
        <w:t>,</w:t>
      </w:r>
      <w:r w:rsidRPr="00190C54">
        <w:rPr>
          <w:rFonts w:ascii="Times New Roman" w:hAnsi="Times New Roman" w:cs="Times New Roman"/>
          <w:sz w:val="21"/>
          <w:szCs w:val="21"/>
        </w:rPr>
        <w:t xml:space="preserve"> прожи</w:t>
      </w:r>
      <w:r>
        <w:rPr>
          <w:rFonts w:ascii="Times New Roman" w:hAnsi="Times New Roman" w:cs="Times New Roman"/>
          <w:sz w:val="21"/>
          <w:szCs w:val="21"/>
        </w:rPr>
        <w:t>вання</w:t>
      </w:r>
      <w:r w:rsidRPr="00190C54">
        <w:rPr>
          <w:rFonts w:ascii="Times New Roman" w:hAnsi="Times New Roman" w:cs="Times New Roman"/>
          <w:sz w:val="21"/>
          <w:szCs w:val="21"/>
        </w:rPr>
        <w:t xml:space="preserve"> довг</w:t>
      </w:r>
      <w:r>
        <w:rPr>
          <w:rFonts w:ascii="Times New Roman" w:hAnsi="Times New Roman" w:cs="Times New Roman"/>
          <w:sz w:val="21"/>
          <w:szCs w:val="21"/>
        </w:rPr>
        <w:t>ого</w:t>
      </w:r>
      <w:r w:rsidRPr="00190C54">
        <w:rPr>
          <w:rFonts w:ascii="Times New Roman" w:hAnsi="Times New Roman" w:cs="Times New Roman"/>
          <w:sz w:val="21"/>
          <w:szCs w:val="21"/>
        </w:rPr>
        <w:t xml:space="preserve"> і здоров</w:t>
      </w:r>
      <w:r>
        <w:rPr>
          <w:rFonts w:ascii="Times New Roman" w:hAnsi="Times New Roman" w:cs="Times New Roman"/>
          <w:sz w:val="21"/>
          <w:szCs w:val="21"/>
        </w:rPr>
        <w:t xml:space="preserve">ого життя з </w:t>
      </w:r>
      <w:r w:rsidRPr="00190C54">
        <w:rPr>
          <w:rFonts w:ascii="Times New Roman" w:hAnsi="Times New Roman" w:cs="Times New Roman"/>
          <w:sz w:val="21"/>
          <w:szCs w:val="21"/>
        </w:rPr>
        <w:t>доступ</w:t>
      </w:r>
      <w:r>
        <w:rPr>
          <w:rFonts w:ascii="Times New Roman" w:hAnsi="Times New Roman" w:cs="Times New Roman"/>
          <w:sz w:val="21"/>
          <w:szCs w:val="21"/>
        </w:rPr>
        <w:t>ом</w:t>
      </w:r>
      <w:r w:rsidRPr="00190C54">
        <w:rPr>
          <w:rFonts w:ascii="Times New Roman" w:hAnsi="Times New Roman" w:cs="Times New Roman"/>
          <w:sz w:val="21"/>
          <w:szCs w:val="21"/>
        </w:rPr>
        <w:t xml:space="preserve"> до необхідних ресурсів для підтримання гідного його рівня, набу</w:t>
      </w:r>
      <w:r>
        <w:rPr>
          <w:rFonts w:ascii="Times New Roman" w:hAnsi="Times New Roman" w:cs="Times New Roman"/>
          <w:sz w:val="21"/>
          <w:szCs w:val="21"/>
        </w:rPr>
        <w:t>ття</w:t>
      </w:r>
      <w:r w:rsidRPr="00190C54">
        <w:rPr>
          <w:rFonts w:ascii="Times New Roman" w:hAnsi="Times New Roman" w:cs="Times New Roman"/>
          <w:sz w:val="21"/>
          <w:szCs w:val="21"/>
        </w:rPr>
        <w:t xml:space="preserve"> і оновл</w:t>
      </w:r>
      <w:r>
        <w:rPr>
          <w:rFonts w:ascii="Times New Roman" w:hAnsi="Times New Roman" w:cs="Times New Roman"/>
          <w:sz w:val="21"/>
          <w:szCs w:val="21"/>
        </w:rPr>
        <w:t>ення</w:t>
      </w:r>
      <w:r w:rsidRPr="00190C54">
        <w:rPr>
          <w:rFonts w:ascii="Times New Roman" w:hAnsi="Times New Roman" w:cs="Times New Roman"/>
          <w:sz w:val="21"/>
          <w:szCs w:val="21"/>
        </w:rPr>
        <w:t xml:space="preserve"> знан</w:t>
      </w:r>
      <w:r>
        <w:rPr>
          <w:rFonts w:ascii="Times New Roman" w:hAnsi="Times New Roman" w:cs="Times New Roman"/>
          <w:sz w:val="21"/>
          <w:szCs w:val="21"/>
        </w:rPr>
        <w:t>ь</w:t>
      </w:r>
      <w:r w:rsidRPr="00190C54">
        <w:rPr>
          <w:rFonts w:ascii="Times New Roman" w:hAnsi="Times New Roman" w:cs="Times New Roman"/>
          <w:sz w:val="21"/>
          <w:szCs w:val="21"/>
        </w:rPr>
        <w:t xml:space="preserve">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_Ref430594018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24</w:t>
      </w:r>
      <w:r>
        <w:rPr>
          <w:rFonts w:ascii="Times New Roman" w:hAnsi="Times New Roman" w:cs="Times New Roman"/>
          <w:sz w:val="21"/>
          <w:szCs w:val="21"/>
        </w:rPr>
        <w:fldChar w:fldCharType="end"/>
      </w:r>
      <w:r w:rsidRPr="00190C54">
        <w:rPr>
          <w:rFonts w:ascii="Times New Roman" w:hAnsi="Times New Roman" w:cs="Times New Roman"/>
          <w:sz w:val="21"/>
          <w:szCs w:val="21"/>
        </w:rPr>
        <w:t>].</w:t>
      </w:r>
    </w:p>
    <w:p w:rsidR="00B233DE" w:rsidRPr="00190C54" w:rsidRDefault="00B233DE" w:rsidP="00B233DE">
      <w:pPr>
        <w:ind w:firstLine="709"/>
        <w:jc w:val="both"/>
        <w:rPr>
          <w:rFonts w:ascii="Times New Roman" w:hAnsi="Times New Roman" w:cs="Times New Roman"/>
          <w:sz w:val="21"/>
          <w:szCs w:val="21"/>
        </w:rPr>
      </w:pPr>
      <w:r w:rsidRPr="00190C54">
        <w:rPr>
          <w:rFonts w:ascii="Times New Roman" w:hAnsi="Times New Roman" w:cs="Times New Roman"/>
          <w:sz w:val="21"/>
          <w:szCs w:val="21"/>
        </w:rPr>
        <w:lastRenderedPageBreak/>
        <w:t>Зазначені зрушення у генезі поглядів на людину та її потенціал активізували дослідження з даної проблематики групи вітчизняних вчених: О. Амоші,</w:t>
      </w:r>
      <w:r>
        <w:rPr>
          <w:rFonts w:ascii="Times New Roman" w:hAnsi="Times New Roman" w:cs="Times New Roman"/>
          <w:sz w:val="21"/>
          <w:szCs w:val="21"/>
        </w:rPr>
        <w:t xml:space="preserve"> В. Антонюк, Л. Безтелесної, В. </w:t>
      </w:r>
      <w:r w:rsidRPr="00190C54">
        <w:rPr>
          <w:rFonts w:ascii="Times New Roman" w:hAnsi="Times New Roman" w:cs="Times New Roman"/>
          <w:sz w:val="21"/>
          <w:szCs w:val="21"/>
        </w:rPr>
        <w:t xml:space="preserve">Близнюк, Д. Богині, С. Вовканича, О. Грішнової, М. Долішнього, </w:t>
      </w:r>
      <w:r w:rsidRPr="003E5C41">
        <w:rPr>
          <w:rFonts w:ascii="Times New Roman" w:hAnsi="Times New Roman" w:cs="Times New Roman"/>
          <w:spacing w:val="-8"/>
          <w:sz w:val="21"/>
          <w:szCs w:val="21"/>
        </w:rPr>
        <w:t>Е. Лібанової, О. Новікової, В. Онікієнка, С. Пирожкова, М. Семикіної,</w:t>
      </w:r>
      <w:r w:rsidRPr="00190C54">
        <w:rPr>
          <w:rFonts w:ascii="Times New Roman" w:hAnsi="Times New Roman" w:cs="Times New Roman"/>
          <w:sz w:val="21"/>
          <w:szCs w:val="21"/>
        </w:rPr>
        <w:t xml:space="preserve"> Л. Семів, О. Стефанишин, С. Трубич, Л. Шаульської </w:t>
      </w:r>
      <w:r>
        <w:rPr>
          <w:rFonts w:ascii="Times New Roman" w:hAnsi="Times New Roman" w:cs="Times New Roman"/>
          <w:sz w:val="21"/>
          <w:szCs w:val="21"/>
        </w:rPr>
        <w:t>тощо</w:t>
      </w:r>
      <w:r w:rsidRPr="00190C54">
        <w:rPr>
          <w:rFonts w:ascii="Times New Roman" w:hAnsi="Times New Roman" w:cs="Times New Roman"/>
          <w:sz w:val="21"/>
          <w:szCs w:val="21"/>
        </w:rPr>
        <w:t>.</w:t>
      </w:r>
    </w:p>
    <w:p w:rsidR="00B233DE" w:rsidRPr="00190C54" w:rsidRDefault="00B233DE" w:rsidP="00B233DE">
      <w:pPr>
        <w:ind w:firstLine="709"/>
        <w:jc w:val="both"/>
        <w:rPr>
          <w:rFonts w:ascii="Times New Roman" w:hAnsi="Times New Roman" w:cs="Times New Roman"/>
          <w:sz w:val="21"/>
          <w:szCs w:val="21"/>
        </w:rPr>
      </w:pPr>
      <w:r w:rsidRPr="00190C54">
        <w:rPr>
          <w:rFonts w:ascii="Times New Roman" w:hAnsi="Times New Roman" w:cs="Times New Roman"/>
          <w:sz w:val="21"/>
          <w:szCs w:val="21"/>
        </w:rPr>
        <w:t>В процесі становлення наукової думки щодо соціально-економічної ролі людини українські науковці активно використовують і розвивають такі поняття</w:t>
      </w:r>
      <w:r>
        <w:rPr>
          <w:rFonts w:ascii="Times New Roman" w:hAnsi="Times New Roman" w:cs="Times New Roman"/>
          <w:sz w:val="21"/>
          <w:szCs w:val="21"/>
        </w:rPr>
        <w:t>,</w:t>
      </w:r>
      <w:r w:rsidRPr="00190C54">
        <w:rPr>
          <w:rFonts w:ascii="Times New Roman" w:hAnsi="Times New Roman" w:cs="Times New Roman"/>
          <w:sz w:val="21"/>
          <w:szCs w:val="21"/>
        </w:rPr>
        <w:t xml:space="preserve"> як робоча сила, трудові ресурси, трудовий потенціал, людський капітал, людський розвиток. Дані поняття є тотожними у тому, що позначають людину основним фактором економічного прогресу, але на цьому етапі дослідження варто акцентувати увагу на принципових відмінностях між ними. Найвужчим, на наш погляд, є поняття робочої сили, як економічно</w:t>
      </w:r>
      <w:r>
        <w:rPr>
          <w:rFonts w:ascii="Times New Roman" w:hAnsi="Times New Roman" w:cs="Times New Roman"/>
          <w:sz w:val="21"/>
          <w:szCs w:val="21"/>
        </w:rPr>
        <w:t xml:space="preserve"> активної частини населення. О. </w:t>
      </w:r>
      <w:r w:rsidRPr="00190C54">
        <w:rPr>
          <w:rFonts w:ascii="Times New Roman" w:hAnsi="Times New Roman" w:cs="Times New Roman"/>
          <w:sz w:val="21"/>
          <w:szCs w:val="21"/>
        </w:rPr>
        <w:t>Грішнова підкреслює, що поняття «робоча сила» визначає в першу чергу те, що лю</w:t>
      </w:r>
      <w:r>
        <w:rPr>
          <w:rFonts w:ascii="Times New Roman" w:hAnsi="Times New Roman" w:cs="Times New Roman"/>
          <w:sz w:val="21"/>
          <w:szCs w:val="21"/>
        </w:rPr>
        <w:t>дина володіє здатністю до праці</w:t>
      </w:r>
      <w:r w:rsidRPr="00190C54">
        <w:rPr>
          <w:rFonts w:ascii="Times New Roman" w:hAnsi="Times New Roman" w:cs="Times New Roman"/>
          <w:sz w:val="21"/>
          <w:szCs w:val="21"/>
        </w:rPr>
        <w:t xml:space="preserve">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_Ref430594036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65</w:t>
      </w:r>
      <w:r>
        <w:rPr>
          <w:rFonts w:ascii="Times New Roman" w:hAnsi="Times New Roman" w:cs="Times New Roman"/>
          <w:sz w:val="21"/>
          <w:szCs w:val="21"/>
        </w:rPr>
        <w:fldChar w:fldCharType="end"/>
      </w:r>
      <w:r w:rsidRPr="00190C54">
        <w:rPr>
          <w:rFonts w:ascii="Times New Roman" w:hAnsi="Times New Roman" w:cs="Times New Roman"/>
          <w:sz w:val="21"/>
          <w:szCs w:val="21"/>
        </w:rPr>
        <w:t>, с. 88]. В цьому руслі можна погодитись з думкою О. Грішнової, що трудові ресурси і є сукупністю робочої сили, але з певним рівнем кваліфікації та професійної підготовки, необхідним за даних економічних умов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_Ref430594036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65</w:t>
      </w:r>
      <w:r>
        <w:rPr>
          <w:rFonts w:ascii="Times New Roman" w:hAnsi="Times New Roman" w:cs="Times New Roman"/>
          <w:sz w:val="21"/>
          <w:szCs w:val="21"/>
        </w:rPr>
        <w:fldChar w:fldCharType="end"/>
      </w:r>
      <w:r w:rsidRPr="00190C54">
        <w:rPr>
          <w:rFonts w:ascii="Times New Roman" w:hAnsi="Times New Roman" w:cs="Times New Roman"/>
          <w:sz w:val="21"/>
          <w:szCs w:val="21"/>
        </w:rPr>
        <w:t>, с. 88].</w:t>
      </w:r>
    </w:p>
    <w:p w:rsidR="00B233DE" w:rsidRDefault="00B233DE" w:rsidP="00B233DE">
      <w:pPr>
        <w:ind w:firstLine="709"/>
        <w:jc w:val="both"/>
        <w:rPr>
          <w:rFonts w:ascii="Times New Roman" w:hAnsi="Times New Roman" w:cs="Times New Roman"/>
          <w:sz w:val="21"/>
          <w:szCs w:val="21"/>
        </w:rPr>
      </w:pPr>
      <w:r w:rsidRPr="00190C54">
        <w:rPr>
          <w:rFonts w:ascii="Times New Roman" w:hAnsi="Times New Roman" w:cs="Times New Roman"/>
          <w:sz w:val="21"/>
          <w:szCs w:val="21"/>
        </w:rPr>
        <w:t>Схожих поглядів дотримується В. Онікієнко, логічно припускаючи, що трудові ресурси, як працездатна частина населення, що може бути залучена у процес виробництва, є основоположним елементом трудового потенціалу</w:t>
      </w:r>
      <w:r>
        <w:rPr>
          <w:rFonts w:ascii="Times New Roman" w:hAnsi="Times New Roman" w:cs="Times New Roman"/>
          <w:sz w:val="21"/>
          <w:szCs w:val="21"/>
        </w:rPr>
        <w:t>,</w:t>
      </w:r>
      <w:r w:rsidRPr="00190C54">
        <w:rPr>
          <w:rFonts w:ascii="Times New Roman" w:hAnsi="Times New Roman" w:cs="Times New Roman"/>
          <w:sz w:val="21"/>
          <w:szCs w:val="21"/>
        </w:rPr>
        <w:t xml:space="preserve"> як сукупності </w:t>
      </w:r>
      <w:r w:rsidRPr="006E0AA3">
        <w:rPr>
          <w:rFonts w:ascii="Times New Roman" w:hAnsi="Times New Roman" w:cs="Times New Roman"/>
          <w:spacing w:val="-6"/>
          <w:sz w:val="21"/>
          <w:szCs w:val="21"/>
        </w:rPr>
        <w:t>працездатного населення з визначеним професійно-кваліфікаційним</w:t>
      </w:r>
      <w:r w:rsidRPr="00190C54">
        <w:rPr>
          <w:rFonts w:ascii="Times New Roman" w:hAnsi="Times New Roman" w:cs="Times New Roman"/>
          <w:sz w:val="21"/>
          <w:szCs w:val="21"/>
        </w:rPr>
        <w:t xml:space="preserve"> рівнем, що застосовує працю в економіці з врахуванням її технологічної та технічної оснащеності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_Ref430594061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44</w:t>
      </w:r>
      <w:r>
        <w:rPr>
          <w:rFonts w:ascii="Times New Roman" w:hAnsi="Times New Roman" w:cs="Times New Roman"/>
          <w:sz w:val="21"/>
          <w:szCs w:val="21"/>
        </w:rPr>
        <w:fldChar w:fldCharType="end"/>
      </w:r>
      <w:r w:rsidRPr="00190C54">
        <w:rPr>
          <w:rFonts w:ascii="Times New Roman" w:hAnsi="Times New Roman" w:cs="Times New Roman"/>
          <w:sz w:val="21"/>
          <w:szCs w:val="21"/>
        </w:rPr>
        <w:t xml:space="preserve">]. </w:t>
      </w:r>
    </w:p>
    <w:p w:rsidR="00B233DE" w:rsidRDefault="00B233DE" w:rsidP="00B233DE">
      <w:pPr>
        <w:ind w:firstLine="709"/>
        <w:jc w:val="both"/>
        <w:rPr>
          <w:rFonts w:ascii="Times New Roman" w:hAnsi="Times New Roman" w:cs="Times New Roman"/>
          <w:sz w:val="21"/>
          <w:szCs w:val="21"/>
        </w:rPr>
      </w:pPr>
      <w:r w:rsidRPr="00190C54">
        <w:rPr>
          <w:rFonts w:ascii="Times New Roman" w:hAnsi="Times New Roman" w:cs="Times New Roman"/>
          <w:sz w:val="21"/>
          <w:szCs w:val="21"/>
        </w:rPr>
        <w:t>С. Пирожков розширює визначення трудового потенціалу, доповнивши його сукупністю демографічних, соціальних і духовних характеристик працездатного населення, зайнятого у суспільному виробництві, а також тієї його частини, яка залучена у підготовку до трудової діяльності, займається індивідуальною трудовою діяльністю, підприємництвом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_Ref430594070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48</w:t>
      </w:r>
      <w:r>
        <w:rPr>
          <w:rFonts w:ascii="Times New Roman" w:hAnsi="Times New Roman" w:cs="Times New Roman"/>
          <w:sz w:val="21"/>
          <w:szCs w:val="21"/>
        </w:rPr>
        <w:fldChar w:fldCharType="end"/>
      </w:r>
      <w:r w:rsidRPr="00190C54">
        <w:rPr>
          <w:rFonts w:ascii="Times New Roman" w:hAnsi="Times New Roman" w:cs="Times New Roman"/>
          <w:sz w:val="21"/>
          <w:szCs w:val="21"/>
        </w:rPr>
        <w:t xml:space="preserve">, с. 16]. </w:t>
      </w:r>
    </w:p>
    <w:p w:rsidR="00B233DE" w:rsidRPr="00190C54" w:rsidRDefault="00B233DE" w:rsidP="00B233DE">
      <w:pPr>
        <w:ind w:firstLine="709"/>
        <w:jc w:val="both"/>
        <w:rPr>
          <w:rFonts w:ascii="Times New Roman" w:hAnsi="Times New Roman" w:cs="Times New Roman"/>
          <w:sz w:val="21"/>
          <w:szCs w:val="21"/>
        </w:rPr>
      </w:pPr>
      <w:r w:rsidRPr="00190C54">
        <w:rPr>
          <w:rFonts w:ascii="Times New Roman" w:hAnsi="Times New Roman" w:cs="Times New Roman"/>
          <w:sz w:val="21"/>
          <w:szCs w:val="21"/>
        </w:rPr>
        <w:t xml:space="preserve">Д. Богиня поділяє намагання С. Пирожкова підлаштувати визначення трудового потенціалу до сучасних умов господарювання і </w:t>
      </w:r>
      <w:r>
        <w:rPr>
          <w:rFonts w:ascii="Times New Roman" w:hAnsi="Times New Roman" w:cs="Times New Roman"/>
          <w:sz w:val="21"/>
          <w:szCs w:val="21"/>
        </w:rPr>
        <w:t>трактує</w:t>
      </w:r>
      <w:r w:rsidRPr="00190C54">
        <w:rPr>
          <w:rFonts w:ascii="Times New Roman" w:hAnsi="Times New Roman" w:cs="Times New Roman"/>
          <w:sz w:val="21"/>
          <w:szCs w:val="21"/>
        </w:rPr>
        <w:t xml:space="preserve"> його більш лаконічно як «інтегральну оцінку і кількісних, і якісних характеристик економічно активного населення»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_Ref430594247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11</w:t>
      </w:r>
      <w:r>
        <w:rPr>
          <w:rFonts w:ascii="Times New Roman" w:hAnsi="Times New Roman" w:cs="Times New Roman"/>
          <w:sz w:val="21"/>
          <w:szCs w:val="21"/>
        </w:rPr>
        <w:fldChar w:fldCharType="end"/>
      </w:r>
      <w:r w:rsidRPr="00190C54">
        <w:rPr>
          <w:rFonts w:ascii="Times New Roman" w:hAnsi="Times New Roman" w:cs="Times New Roman"/>
          <w:sz w:val="21"/>
          <w:szCs w:val="21"/>
        </w:rPr>
        <w:t>, с. 77].</w:t>
      </w:r>
    </w:p>
    <w:p w:rsidR="00B233DE" w:rsidRDefault="00B233DE" w:rsidP="00B233DE">
      <w:pPr>
        <w:ind w:firstLine="709"/>
        <w:jc w:val="both"/>
        <w:rPr>
          <w:rFonts w:ascii="Times New Roman" w:hAnsi="Times New Roman" w:cs="Times New Roman"/>
          <w:spacing w:val="-2"/>
          <w:sz w:val="21"/>
          <w:szCs w:val="21"/>
        </w:rPr>
      </w:pPr>
      <w:r w:rsidRPr="00190C54">
        <w:rPr>
          <w:rFonts w:ascii="Times New Roman" w:hAnsi="Times New Roman" w:cs="Times New Roman"/>
          <w:spacing w:val="-2"/>
          <w:sz w:val="21"/>
          <w:szCs w:val="21"/>
        </w:rPr>
        <w:lastRenderedPageBreak/>
        <w:t>Найбільш сучасним і відповід</w:t>
      </w:r>
      <w:r>
        <w:rPr>
          <w:rFonts w:ascii="Times New Roman" w:hAnsi="Times New Roman" w:cs="Times New Roman"/>
          <w:spacing w:val="-2"/>
          <w:sz w:val="21"/>
          <w:szCs w:val="21"/>
        </w:rPr>
        <w:t>ним</w:t>
      </w:r>
      <w:r w:rsidRPr="00190C54">
        <w:rPr>
          <w:rFonts w:ascii="Times New Roman" w:hAnsi="Times New Roman" w:cs="Times New Roman"/>
          <w:spacing w:val="-2"/>
          <w:sz w:val="21"/>
          <w:szCs w:val="21"/>
        </w:rPr>
        <w:t xml:space="preserve"> вимогам інформаційної економіки, на нашу думку, є визначен</w:t>
      </w:r>
      <w:r>
        <w:rPr>
          <w:rFonts w:ascii="Times New Roman" w:hAnsi="Times New Roman" w:cs="Times New Roman"/>
          <w:spacing w:val="-2"/>
          <w:sz w:val="21"/>
          <w:szCs w:val="21"/>
        </w:rPr>
        <w:t>ня трудового потенціалу В. </w:t>
      </w:r>
      <w:r w:rsidRPr="00190C54">
        <w:rPr>
          <w:rFonts w:ascii="Times New Roman" w:hAnsi="Times New Roman" w:cs="Times New Roman"/>
          <w:spacing w:val="-2"/>
          <w:sz w:val="21"/>
          <w:szCs w:val="21"/>
        </w:rPr>
        <w:t>Антонюк, яка розуміє його як інтегральну здатність населення будь-якого віку до трудової, підприємницької та інноваційної діяльності[</w:t>
      </w:r>
      <w:r>
        <w:rPr>
          <w:rFonts w:ascii="Times New Roman" w:hAnsi="Times New Roman" w:cs="Times New Roman"/>
          <w:sz w:val="21"/>
          <w:szCs w:val="21"/>
        </w:rPr>
        <w:fldChar w:fldCharType="begin"/>
      </w:r>
      <w:r>
        <w:rPr>
          <w:rFonts w:ascii="Times New Roman" w:hAnsi="Times New Roman" w:cs="Times New Roman"/>
          <w:spacing w:val="-2"/>
          <w:sz w:val="21"/>
          <w:szCs w:val="21"/>
        </w:rPr>
        <w:instrText xml:space="preserve"> REF _Ref430594275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pacing w:val="-2"/>
          <w:sz w:val="21"/>
          <w:szCs w:val="21"/>
        </w:rPr>
        <w:t>34</w:t>
      </w:r>
      <w:r>
        <w:rPr>
          <w:rFonts w:ascii="Times New Roman" w:hAnsi="Times New Roman" w:cs="Times New Roman"/>
          <w:sz w:val="21"/>
          <w:szCs w:val="21"/>
        </w:rPr>
        <w:fldChar w:fldCharType="end"/>
      </w:r>
      <w:r w:rsidRPr="00190C54">
        <w:rPr>
          <w:rFonts w:ascii="Times New Roman" w:hAnsi="Times New Roman" w:cs="Times New Roman"/>
          <w:spacing w:val="-2"/>
          <w:sz w:val="21"/>
          <w:szCs w:val="21"/>
        </w:rPr>
        <w:t xml:space="preserve">]. Автор вперше визнає носієм трудового потенціалу усе населення із його спроможністю до продуктивної і творчої праці, вдосконалення професійних навиків, активності в інноваціях, тощо. </w:t>
      </w:r>
    </w:p>
    <w:p w:rsidR="00B233DE" w:rsidRDefault="00B233DE" w:rsidP="00B233DE">
      <w:pPr>
        <w:ind w:firstLine="709"/>
        <w:jc w:val="both"/>
        <w:rPr>
          <w:rFonts w:ascii="Times New Roman" w:hAnsi="Times New Roman" w:cs="Times New Roman"/>
          <w:spacing w:val="-4"/>
          <w:sz w:val="21"/>
          <w:szCs w:val="21"/>
        </w:rPr>
      </w:pPr>
      <w:r w:rsidRPr="00190C54">
        <w:rPr>
          <w:rFonts w:ascii="Times New Roman" w:hAnsi="Times New Roman" w:cs="Times New Roman"/>
          <w:spacing w:val="-2"/>
          <w:sz w:val="21"/>
          <w:szCs w:val="21"/>
        </w:rPr>
        <w:t xml:space="preserve">Водночас, ми не можемо погодитись з тим, що науковці не включають трудовий потенціал у структуру людського, хоча В. Антонюк близька до цього, визначивши трудовий потенціал характеристикою усього сукупного населення без вікових обмежень. Розглядаючи трудовий потенціал не лише з погляду кількісно-якісних характеристик населення як його носія, а і з огляду на концептуальні зміни в економічних відносинах інформаційного суспільства, ми переконані у тому, що це поняття поступово зменшує свою вагомість у трактуванні ролі, місця та значення людини в економічному прогресі, і, поступаючись у цьому </w:t>
      </w:r>
      <w:r w:rsidRPr="006E0AA3">
        <w:rPr>
          <w:rFonts w:ascii="Times New Roman" w:hAnsi="Times New Roman" w:cs="Times New Roman"/>
          <w:spacing w:val="-4"/>
          <w:sz w:val="21"/>
          <w:szCs w:val="21"/>
        </w:rPr>
        <w:t>людському потенціалу, органічно входить в його структуру (рис. 1.1).</w:t>
      </w:r>
    </w:p>
    <w:p w:rsidR="00B233DE" w:rsidRPr="0011391F" w:rsidRDefault="00B233DE" w:rsidP="00B233DE">
      <w:pPr>
        <w:ind w:firstLine="709"/>
        <w:jc w:val="both"/>
        <w:rPr>
          <w:rFonts w:ascii="Times New Roman" w:hAnsi="Times New Roman" w:cs="Times New Roman"/>
          <w:spacing w:val="-4"/>
          <w:sz w:val="12"/>
          <w:szCs w:val="12"/>
        </w:rPr>
      </w:pPr>
    </w:p>
    <w:p w:rsidR="00B233DE" w:rsidRDefault="00B233DE" w:rsidP="00B233DE">
      <w:pPr>
        <w:ind w:firstLine="709"/>
        <w:jc w:val="both"/>
        <w:rPr>
          <w:rFonts w:ascii="Times New Roman" w:hAnsi="Times New Roman" w:cs="Times New Roman"/>
          <w:sz w:val="21"/>
          <w:szCs w:val="21"/>
        </w:rPr>
      </w:pPr>
      <w:r>
        <w:rPr>
          <w:noProof/>
          <w:lang w:val="ru-RU" w:eastAsia="ru-RU"/>
        </w:rPr>
        <mc:AlternateContent>
          <mc:Choice Requires="wpg">
            <w:drawing>
              <wp:anchor distT="0" distB="0" distL="114300" distR="114300" simplePos="0" relativeHeight="251659264" behindDoc="0" locked="0" layoutInCell="1" allowOverlap="1" wp14:anchorId="38666677" wp14:editId="4B75A89D">
                <wp:simplePos x="0" y="0"/>
                <wp:positionH relativeFrom="column">
                  <wp:posOffset>156210</wp:posOffset>
                </wp:positionH>
                <wp:positionV relativeFrom="paragraph">
                  <wp:posOffset>96203</wp:posOffset>
                </wp:positionV>
                <wp:extent cx="3648075" cy="2542162"/>
                <wp:effectExtent l="0" t="0" r="28575" b="10795"/>
                <wp:wrapNone/>
                <wp:docPr id="1"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48075" cy="2542162"/>
                          <a:chOff x="2417" y="-1141"/>
                          <a:chExt cx="6928" cy="3489"/>
                        </a:xfrm>
                      </wpg:grpSpPr>
                      <wps:wsp>
                        <wps:cNvPr id="2" name="Text Box 19"/>
                        <wps:cNvSpPr txBox="1">
                          <a:spLocks noChangeArrowheads="1"/>
                        </wps:cNvSpPr>
                        <wps:spPr bwMode="auto">
                          <a:xfrm>
                            <a:off x="2417" y="-1141"/>
                            <a:ext cx="3804" cy="1215"/>
                          </a:xfrm>
                          <a:prstGeom prst="rect">
                            <a:avLst/>
                          </a:prstGeom>
                          <a:solidFill>
                            <a:srgbClr val="FFFFFF"/>
                          </a:solidFill>
                          <a:ln w="19050">
                            <a:solidFill>
                              <a:srgbClr val="000000"/>
                            </a:solidFill>
                            <a:miter lim="800000"/>
                            <a:headEnd/>
                            <a:tailEnd/>
                          </a:ln>
                        </wps:spPr>
                        <wps:txbx>
                          <w:txbxContent>
                            <w:p w:rsidR="00BE40F8" w:rsidRDefault="00BE40F8" w:rsidP="00B233DE">
                              <w:pPr>
                                <w:ind w:firstLine="0"/>
                                <w:jc w:val="center"/>
                                <w:rPr>
                                  <w:rFonts w:ascii="Times New Roman" w:hAnsi="Times New Roman" w:cs="Times New Roman"/>
                                  <w:sz w:val="16"/>
                                  <w:szCs w:val="16"/>
                                </w:rPr>
                              </w:pPr>
                              <w:r w:rsidRPr="00A81F50">
                                <w:rPr>
                                  <w:rFonts w:ascii="Times New Roman" w:hAnsi="Times New Roman" w:cs="Times New Roman"/>
                                  <w:b/>
                                  <w:sz w:val="16"/>
                                  <w:szCs w:val="16"/>
                                </w:rPr>
                                <w:t>Людський потенціал</w:t>
                              </w:r>
                              <w:r w:rsidRPr="00A81F50">
                                <w:rPr>
                                  <w:rFonts w:ascii="Times New Roman" w:hAnsi="Times New Roman" w:cs="Times New Roman"/>
                                  <w:sz w:val="16"/>
                                  <w:szCs w:val="16"/>
                                </w:rPr>
                                <w:t xml:space="preserve"> – сукупні можливості населення до економічної, соціальної, </w:t>
                              </w:r>
                              <w:r w:rsidRPr="00A81F50">
                                <w:rPr>
                                  <w:rFonts w:ascii="Times New Roman" w:hAnsi="Times New Roman" w:cs="Times New Roman"/>
                                  <w:spacing w:val="-6"/>
                                  <w:sz w:val="16"/>
                                  <w:szCs w:val="16"/>
                                </w:rPr>
                                <w:t>інноваційної діяльності, підтримки необхідного</w:t>
                              </w:r>
                              <w:r w:rsidRPr="00A81F50">
                                <w:rPr>
                                  <w:rFonts w:ascii="Times New Roman" w:hAnsi="Times New Roman" w:cs="Times New Roman"/>
                                  <w:sz w:val="16"/>
                                  <w:szCs w:val="16"/>
                                </w:rPr>
                                <w:t xml:space="preserve"> рівня здоров’я і моральності, постійного розвитку навиків і здібностей, засвоєння </w:t>
                              </w:r>
                            </w:p>
                            <w:p w:rsidR="00BE40F8" w:rsidRPr="00A81F50" w:rsidRDefault="00BE40F8" w:rsidP="00B233DE">
                              <w:pPr>
                                <w:ind w:firstLine="0"/>
                                <w:jc w:val="center"/>
                                <w:rPr>
                                  <w:rFonts w:ascii="Times New Roman" w:hAnsi="Times New Roman" w:cs="Times New Roman"/>
                                  <w:sz w:val="16"/>
                                  <w:szCs w:val="16"/>
                                </w:rPr>
                              </w:pPr>
                              <w:r w:rsidRPr="00A81F50">
                                <w:rPr>
                                  <w:rFonts w:ascii="Times New Roman" w:hAnsi="Times New Roman" w:cs="Times New Roman"/>
                                  <w:sz w:val="16"/>
                                  <w:szCs w:val="16"/>
                                </w:rPr>
                                <w:t>і продукування нових знань і технологій, соціальної взаємодії і взаєморозуміння</w:t>
                              </w:r>
                            </w:p>
                          </w:txbxContent>
                        </wps:txbx>
                        <wps:bodyPr rot="0" vert="horz" wrap="square" lIns="18000" tIns="10800" rIns="18000" bIns="10800" anchor="t" anchorCtr="0" upright="1">
                          <a:noAutofit/>
                        </wps:bodyPr>
                      </wps:wsp>
                      <wps:wsp>
                        <wps:cNvPr id="3" name="Text Box 20"/>
                        <wps:cNvSpPr txBox="1">
                          <a:spLocks noChangeArrowheads="1"/>
                        </wps:cNvSpPr>
                        <wps:spPr bwMode="auto">
                          <a:xfrm>
                            <a:off x="2417" y="216"/>
                            <a:ext cx="3532" cy="702"/>
                          </a:xfrm>
                          <a:prstGeom prst="rect">
                            <a:avLst/>
                          </a:prstGeom>
                          <a:solidFill>
                            <a:srgbClr val="FFFFFF"/>
                          </a:solidFill>
                          <a:ln w="9525">
                            <a:solidFill>
                              <a:srgbClr val="000000"/>
                            </a:solidFill>
                            <a:miter lim="800000"/>
                            <a:headEnd/>
                            <a:tailEnd/>
                          </a:ln>
                        </wps:spPr>
                        <wps:txbx>
                          <w:txbxContent>
                            <w:p w:rsidR="00BE40F8" w:rsidRPr="00A81F50" w:rsidRDefault="00BE40F8" w:rsidP="00B233DE">
                              <w:pPr>
                                <w:ind w:firstLine="0"/>
                                <w:jc w:val="center"/>
                                <w:rPr>
                                  <w:rFonts w:ascii="Times New Roman" w:hAnsi="Times New Roman" w:cs="Times New Roman"/>
                                  <w:sz w:val="16"/>
                                  <w:szCs w:val="16"/>
                                </w:rPr>
                              </w:pPr>
                              <w:r w:rsidRPr="00A81F50">
                                <w:rPr>
                                  <w:rFonts w:ascii="Times New Roman" w:hAnsi="Times New Roman" w:cs="Times New Roman"/>
                                  <w:b/>
                                  <w:sz w:val="16"/>
                                  <w:szCs w:val="16"/>
                                </w:rPr>
                                <w:t>Трудовий потенціал</w:t>
                              </w:r>
                              <w:r w:rsidRPr="00A81F50">
                                <w:rPr>
                                  <w:rFonts w:ascii="Times New Roman" w:hAnsi="Times New Roman" w:cs="Times New Roman"/>
                                  <w:sz w:val="16"/>
                                  <w:szCs w:val="16"/>
                                </w:rPr>
                                <w:t xml:space="preserve"> – складова </w:t>
                              </w:r>
                              <w:r w:rsidRPr="00A81F50">
                                <w:rPr>
                                  <w:rFonts w:ascii="Times New Roman" w:hAnsi="Times New Roman" w:cs="Times New Roman"/>
                                  <w:spacing w:val="-6"/>
                                  <w:sz w:val="16"/>
                                  <w:szCs w:val="16"/>
                                </w:rPr>
                                <w:t>людського потенціалу, інтегральна здатність</w:t>
                              </w:r>
                              <w:r w:rsidRPr="00A81F50">
                                <w:rPr>
                                  <w:rFonts w:ascii="Times New Roman" w:hAnsi="Times New Roman" w:cs="Times New Roman"/>
                                  <w:sz w:val="16"/>
                                  <w:szCs w:val="16"/>
                                </w:rPr>
                                <w:t xml:space="preserve"> населення до трудової, інноваційної та підприємницької діяльності</w:t>
                              </w:r>
                            </w:p>
                          </w:txbxContent>
                        </wps:txbx>
                        <wps:bodyPr rot="0" vert="horz" wrap="square" lIns="18000" tIns="10800" rIns="18000" bIns="10800" anchor="t" anchorCtr="0" upright="1">
                          <a:noAutofit/>
                        </wps:bodyPr>
                      </wps:wsp>
                      <wps:wsp>
                        <wps:cNvPr id="4" name="Text Box 21"/>
                        <wps:cNvSpPr txBox="1">
                          <a:spLocks noChangeArrowheads="1"/>
                        </wps:cNvSpPr>
                        <wps:spPr bwMode="auto">
                          <a:xfrm>
                            <a:off x="2417" y="1091"/>
                            <a:ext cx="3124" cy="675"/>
                          </a:xfrm>
                          <a:prstGeom prst="rect">
                            <a:avLst/>
                          </a:prstGeom>
                          <a:solidFill>
                            <a:srgbClr val="FFFFFF"/>
                          </a:solidFill>
                          <a:ln w="9525">
                            <a:solidFill>
                              <a:srgbClr val="000000"/>
                            </a:solidFill>
                            <a:miter lim="800000"/>
                            <a:headEnd/>
                            <a:tailEnd/>
                          </a:ln>
                        </wps:spPr>
                        <wps:txbx>
                          <w:txbxContent>
                            <w:p w:rsidR="00BE40F8" w:rsidRPr="00A81F50" w:rsidRDefault="00BE40F8" w:rsidP="00B233DE">
                              <w:pPr>
                                <w:ind w:firstLine="0"/>
                                <w:jc w:val="center"/>
                                <w:rPr>
                                  <w:rFonts w:ascii="Times New Roman" w:hAnsi="Times New Roman" w:cs="Times New Roman"/>
                                  <w:sz w:val="16"/>
                                  <w:szCs w:val="16"/>
                                </w:rPr>
                              </w:pPr>
                              <w:r w:rsidRPr="00A81F50">
                                <w:rPr>
                                  <w:rFonts w:ascii="Times New Roman" w:hAnsi="Times New Roman" w:cs="Times New Roman"/>
                                  <w:b/>
                                  <w:sz w:val="16"/>
                                  <w:szCs w:val="16"/>
                                </w:rPr>
                                <w:t>Трудові ресурси</w:t>
                              </w:r>
                              <w:r w:rsidRPr="00A81F50">
                                <w:rPr>
                                  <w:rFonts w:ascii="Times New Roman" w:hAnsi="Times New Roman" w:cs="Times New Roman"/>
                                  <w:sz w:val="16"/>
                                  <w:szCs w:val="16"/>
                                </w:rPr>
                                <w:t xml:space="preserve"> – сукупність робочої сили з певним рівнем кваліфікації та професійної підготовки</w:t>
                              </w:r>
                            </w:p>
                          </w:txbxContent>
                        </wps:txbx>
                        <wps:bodyPr rot="0" vert="horz" wrap="square" lIns="18000" tIns="10800" rIns="18000" bIns="10800" anchor="t" anchorCtr="0" upright="1">
                          <a:noAutofit/>
                        </wps:bodyPr>
                      </wps:wsp>
                      <wps:wsp>
                        <wps:cNvPr id="5" name="Text Box 22"/>
                        <wps:cNvSpPr txBox="1">
                          <a:spLocks noChangeArrowheads="1"/>
                        </wps:cNvSpPr>
                        <wps:spPr bwMode="auto">
                          <a:xfrm>
                            <a:off x="2417" y="1943"/>
                            <a:ext cx="2581" cy="405"/>
                          </a:xfrm>
                          <a:prstGeom prst="rect">
                            <a:avLst/>
                          </a:prstGeom>
                          <a:solidFill>
                            <a:srgbClr val="FFFFFF"/>
                          </a:solidFill>
                          <a:ln w="9525">
                            <a:solidFill>
                              <a:srgbClr val="000000"/>
                            </a:solidFill>
                            <a:miter lim="800000"/>
                            <a:headEnd/>
                            <a:tailEnd/>
                          </a:ln>
                        </wps:spPr>
                        <wps:txbx>
                          <w:txbxContent>
                            <w:p w:rsidR="00BE40F8" w:rsidRPr="00A81F50" w:rsidRDefault="00BE40F8" w:rsidP="00B233DE">
                              <w:pPr>
                                <w:ind w:firstLine="0"/>
                                <w:jc w:val="center"/>
                                <w:rPr>
                                  <w:rFonts w:ascii="Times New Roman" w:hAnsi="Times New Roman" w:cs="Times New Roman"/>
                                  <w:sz w:val="16"/>
                                  <w:szCs w:val="16"/>
                                </w:rPr>
                              </w:pPr>
                              <w:r w:rsidRPr="00A81F50">
                                <w:rPr>
                                  <w:rFonts w:ascii="Times New Roman" w:hAnsi="Times New Roman" w:cs="Times New Roman"/>
                                  <w:b/>
                                  <w:sz w:val="16"/>
                                  <w:szCs w:val="16"/>
                                </w:rPr>
                                <w:t>Робоча сила</w:t>
                              </w:r>
                              <w:r w:rsidRPr="00A81F50">
                                <w:rPr>
                                  <w:rFonts w:ascii="Times New Roman" w:hAnsi="Times New Roman" w:cs="Times New Roman"/>
                                  <w:sz w:val="16"/>
                                  <w:szCs w:val="16"/>
                                </w:rPr>
                                <w:t xml:space="preserve"> – економічно активна частина населення</w:t>
                              </w:r>
                            </w:p>
                          </w:txbxContent>
                        </wps:txbx>
                        <wps:bodyPr rot="0" vert="horz" wrap="square" lIns="18000" tIns="10800" rIns="18000" bIns="10800" anchor="t" anchorCtr="0" upright="1">
                          <a:noAutofit/>
                        </wps:bodyPr>
                      </wps:wsp>
                      <wps:wsp>
                        <wps:cNvPr id="6" name="Text Box 23"/>
                        <wps:cNvSpPr txBox="1">
                          <a:spLocks noChangeArrowheads="1"/>
                        </wps:cNvSpPr>
                        <wps:spPr bwMode="auto">
                          <a:xfrm>
                            <a:off x="6628" y="-1141"/>
                            <a:ext cx="2717" cy="1155"/>
                          </a:xfrm>
                          <a:prstGeom prst="rect">
                            <a:avLst/>
                          </a:prstGeom>
                          <a:solidFill>
                            <a:srgbClr val="FFFFFF"/>
                          </a:solidFill>
                          <a:ln w="15875">
                            <a:solidFill>
                              <a:srgbClr val="000000"/>
                            </a:solidFill>
                            <a:miter lim="800000"/>
                            <a:headEnd/>
                            <a:tailEnd/>
                          </a:ln>
                        </wps:spPr>
                        <wps:txbx>
                          <w:txbxContent>
                            <w:p w:rsidR="00BE40F8" w:rsidRPr="00A81F50" w:rsidRDefault="00BE40F8" w:rsidP="00B233DE">
                              <w:pPr>
                                <w:ind w:firstLine="0"/>
                                <w:jc w:val="center"/>
                                <w:rPr>
                                  <w:rFonts w:ascii="Times New Roman" w:hAnsi="Times New Roman" w:cs="Times New Roman"/>
                                  <w:sz w:val="16"/>
                                  <w:szCs w:val="16"/>
                                </w:rPr>
                              </w:pPr>
                              <w:r w:rsidRPr="00A81F50">
                                <w:rPr>
                                  <w:rFonts w:ascii="Times New Roman" w:hAnsi="Times New Roman" w:cs="Times New Roman"/>
                                  <w:b/>
                                  <w:sz w:val="16"/>
                                  <w:szCs w:val="16"/>
                                </w:rPr>
                                <w:t>Людський капітал</w:t>
                              </w:r>
                              <w:r w:rsidRPr="00A81F50">
                                <w:rPr>
                                  <w:rFonts w:ascii="Times New Roman" w:hAnsi="Times New Roman" w:cs="Times New Roman"/>
                                  <w:sz w:val="16"/>
                                  <w:szCs w:val="16"/>
                                </w:rPr>
                                <w:t xml:space="preserve"> – реалізований людський потенціал, вартісна оцінка можливостей і здібностей населення та їх здатність приносити дохід</w:t>
                              </w:r>
                            </w:p>
                          </w:txbxContent>
                        </wps:txbx>
                        <wps:bodyPr rot="0" vert="horz" wrap="square" lIns="18000" tIns="10800" rIns="18000" bIns="10800" anchor="ctr" anchorCtr="0" upright="1">
                          <a:noAutofit/>
                        </wps:bodyPr>
                      </wps:wsp>
                      <wps:wsp>
                        <wps:cNvPr id="7" name="Text Box 24"/>
                        <wps:cNvSpPr txBox="1">
                          <a:spLocks noChangeArrowheads="1"/>
                        </wps:cNvSpPr>
                        <wps:spPr bwMode="auto">
                          <a:xfrm>
                            <a:off x="6628" y="292"/>
                            <a:ext cx="2717" cy="727"/>
                          </a:xfrm>
                          <a:prstGeom prst="rect">
                            <a:avLst/>
                          </a:prstGeom>
                          <a:solidFill>
                            <a:srgbClr val="FFFFFF"/>
                          </a:solidFill>
                          <a:ln w="15875">
                            <a:solidFill>
                              <a:srgbClr val="000000"/>
                            </a:solidFill>
                            <a:miter lim="800000"/>
                            <a:headEnd/>
                            <a:tailEnd/>
                          </a:ln>
                        </wps:spPr>
                        <wps:txbx>
                          <w:txbxContent>
                            <w:p w:rsidR="00BE40F8" w:rsidRPr="00A81F50" w:rsidRDefault="00BE40F8" w:rsidP="00B233DE">
                              <w:pPr>
                                <w:ind w:firstLine="0"/>
                                <w:jc w:val="center"/>
                                <w:rPr>
                                  <w:rFonts w:ascii="Times New Roman" w:hAnsi="Times New Roman" w:cs="Times New Roman"/>
                                  <w:sz w:val="16"/>
                                  <w:szCs w:val="16"/>
                                </w:rPr>
                              </w:pPr>
                              <w:r w:rsidRPr="00A81F50">
                                <w:rPr>
                                  <w:rFonts w:ascii="Times New Roman" w:hAnsi="Times New Roman" w:cs="Times New Roman"/>
                                  <w:b/>
                                  <w:sz w:val="16"/>
                                  <w:szCs w:val="16"/>
                                </w:rPr>
                                <w:t>Людський розвиток</w:t>
                              </w:r>
                              <w:r w:rsidRPr="00A81F50">
                                <w:rPr>
                                  <w:rFonts w:ascii="Times New Roman" w:hAnsi="Times New Roman" w:cs="Times New Roman"/>
                                  <w:sz w:val="16"/>
                                  <w:szCs w:val="16"/>
                                </w:rPr>
                                <w:t xml:space="preserve"> – умови для відтворення, формування, </w:t>
                              </w:r>
                              <w:r w:rsidRPr="00A81F50">
                                <w:rPr>
                                  <w:rFonts w:ascii="Times New Roman" w:hAnsi="Times New Roman" w:cs="Times New Roman"/>
                                  <w:spacing w:val="-4"/>
                                  <w:sz w:val="16"/>
                                  <w:szCs w:val="16"/>
                                </w:rPr>
                                <w:t>розвитку, підвищення і реалізації</w:t>
                              </w:r>
                              <w:r w:rsidRPr="00A81F50">
                                <w:rPr>
                                  <w:rFonts w:ascii="Times New Roman" w:hAnsi="Times New Roman" w:cs="Times New Roman"/>
                                  <w:sz w:val="16"/>
                                  <w:szCs w:val="16"/>
                                </w:rPr>
                                <w:t xml:space="preserve"> людського потенціалу</w:t>
                              </w:r>
                            </w:p>
                          </w:txbxContent>
                        </wps:txbx>
                        <wps:bodyPr rot="0" vert="horz" wrap="square" lIns="18000" tIns="10800" rIns="18000" bIns="10800" anchor="t" anchorCtr="0" upright="1">
                          <a:noAutofit/>
                        </wps:bodyPr>
                      </wps:wsp>
                      <wps:wsp>
                        <wps:cNvPr id="8" name="Line 25"/>
                        <wps:cNvCnPr/>
                        <wps:spPr bwMode="auto">
                          <a:xfrm flipV="1">
                            <a:off x="6221" y="-736"/>
                            <a:ext cx="407" cy="405"/>
                          </a:xfrm>
                          <a:prstGeom prst="line">
                            <a:avLst/>
                          </a:prstGeom>
                          <a:noFill/>
                          <a:ln w="1587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9" name="Line 26"/>
                        <wps:cNvCnPr>
                          <a:stCxn id="7" idx="1"/>
                        </wps:cNvCnPr>
                        <wps:spPr bwMode="auto">
                          <a:xfrm flipH="1" flipV="1">
                            <a:off x="6221" y="-331"/>
                            <a:ext cx="407" cy="986"/>
                          </a:xfrm>
                          <a:prstGeom prst="line">
                            <a:avLst/>
                          </a:prstGeom>
                          <a:noFill/>
                          <a:ln w="1587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0" name="Line 27"/>
                        <wps:cNvCnPr/>
                        <wps:spPr bwMode="auto">
                          <a:xfrm>
                            <a:off x="4183" y="102"/>
                            <a:ext cx="0" cy="135"/>
                          </a:xfrm>
                          <a:prstGeom prst="line">
                            <a:avLst/>
                          </a:prstGeom>
                          <a:noFill/>
                          <a:ln w="95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1" name="Line 28"/>
                        <wps:cNvCnPr/>
                        <wps:spPr bwMode="auto">
                          <a:xfrm>
                            <a:off x="4183" y="956"/>
                            <a:ext cx="1" cy="135"/>
                          </a:xfrm>
                          <a:prstGeom prst="line">
                            <a:avLst/>
                          </a:prstGeom>
                          <a:noFill/>
                          <a:ln w="95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2" name="Line 29"/>
                        <wps:cNvCnPr/>
                        <wps:spPr bwMode="auto">
                          <a:xfrm>
                            <a:off x="4183" y="1808"/>
                            <a:ext cx="1" cy="135"/>
                          </a:xfrm>
                          <a:prstGeom prst="line">
                            <a:avLst/>
                          </a:prstGeom>
                          <a:noFill/>
                          <a:ln w="9525">
                            <a:solidFill>
                              <a:srgbClr val="000000"/>
                            </a:solidFill>
                            <a:round/>
                            <a:headEnd/>
                            <a:tailEnd type="triangle" w="lg" len="lg"/>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38666677" id="Group 18" o:spid="_x0000_s1027" style="position:absolute;left:0;text-align:left;margin-left:12.3pt;margin-top:7.6pt;width:287.25pt;height:200.15pt;z-index:251659264;mso-width-relative:margin;mso-height-relative:margin" coordorigin="2417,-1141" coordsize="6928,3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">
                <v:shape id="Text Box 19" o:spid="_x0000_s1028" type="#_x0000_t202" style="position:absolute;left:2417;top:-1141;width:3804;height:12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" strokeweight="1.5pt">
                  <v:textbox inset=".5mm,.3mm,.5mm,.3mm">
                    <w:txbxContent>
                      <w:p w:rsidR="00BE40F8" w:rsidRDefault="00BE40F8" w:rsidP="00B233DE">
                        <w:pPr>
                          <w:ind w:firstLine="0"/>
                          <w:jc w:val="center"/>
                          <w:rPr>
                            <w:rFonts w:ascii="Times New Roman" w:hAnsi="Times New Roman" w:cs="Times New Roman"/>
                            <w:sz w:val="16"/>
                            <w:szCs w:val="16"/>
                          </w:rPr>
                        </w:pPr>
                        <w:r w:rsidRPr="00A81F50">
                          <w:rPr>
                            <w:rFonts w:ascii="Times New Roman" w:hAnsi="Times New Roman" w:cs="Times New Roman"/>
                            <w:b/>
                            <w:sz w:val="16"/>
                            <w:szCs w:val="16"/>
                          </w:rPr>
                          <w:t>Людський потенціал</w:t>
                        </w:r>
                        <w:r w:rsidRPr="00A81F50">
                          <w:rPr>
                            <w:rFonts w:ascii="Times New Roman" w:hAnsi="Times New Roman" w:cs="Times New Roman"/>
                            <w:sz w:val="16"/>
                            <w:szCs w:val="16"/>
                          </w:rPr>
                          <w:t xml:space="preserve"> – сукупні можливості населення до економічної, соціальної, </w:t>
                        </w:r>
                        <w:r w:rsidRPr="00A81F50">
                          <w:rPr>
                            <w:rFonts w:ascii="Times New Roman" w:hAnsi="Times New Roman" w:cs="Times New Roman"/>
                            <w:spacing w:val="-6"/>
                            <w:sz w:val="16"/>
                            <w:szCs w:val="16"/>
                          </w:rPr>
                          <w:t>інноваційної діяльності, підтримки необхідного</w:t>
                        </w:r>
                        <w:r w:rsidRPr="00A81F50">
                          <w:rPr>
                            <w:rFonts w:ascii="Times New Roman" w:hAnsi="Times New Roman" w:cs="Times New Roman"/>
                            <w:sz w:val="16"/>
                            <w:szCs w:val="16"/>
                          </w:rPr>
                          <w:t xml:space="preserve"> рівня здоров’я і моральності, постійного розвитку навиків і здібностей, засвоєння </w:t>
                        </w:r>
                      </w:p>
                      <w:p w:rsidR="00BE40F8" w:rsidRPr="00A81F50" w:rsidRDefault="00BE40F8" w:rsidP="00B233DE">
                        <w:pPr>
                          <w:ind w:firstLine="0"/>
                          <w:jc w:val="center"/>
                          <w:rPr>
                            <w:rFonts w:ascii="Times New Roman" w:hAnsi="Times New Roman" w:cs="Times New Roman"/>
                            <w:sz w:val="16"/>
                            <w:szCs w:val="16"/>
                          </w:rPr>
                        </w:pPr>
                        <w:r w:rsidRPr="00A81F50">
                          <w:rPr>
                            <w:rFonts w:ascii="Times New Roman" w:hAnsi="Times New Roman" w:cs="Times New Roman"/>
                            <w:sz w:val="16"/>
                            <w:szCs w:val="16"/>
                          </w:rPr>
                          <w:t>і продукування нових знань і технологій, соціальної взаємодії і взаєморозуміння</w:t>
                        </w:r>
                      </w:p>
                    </w:txbxContent>
                  </v:textbox>
                </v:shape>
                <v:shape id="Text Box 20" o:spid="_x0000_s1029" type="#_x0000_t202" style="position:absolute;left:2417;top:216;width:3532;height: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">
                  <v:textbox inset=".5mm,.3mm,.5mm,.3mm">
                    <w:txbxContent>
                      <w:p w:rsidR="00BE40F8" w:rsidRPr="00A81F50" w:rsidRDefault="00BE40F8" w:rsidP="00B233DE">
                        <w:pPr>
                          <w:ind w:firstLine="0"/>
                          <w:jc w:val="center"/>
                          <w:rPr>
                            <w:rFonts w:ascii="Times New Roman" w:hAnsi="Times New Roman" w:cs="Times New Roman"/>
                            <w:sz w:val="16"/>
                            <w:szCs w:val="16"/>
                          </w:rPr>
                        </w:pPr>
                        <w:r w:rsidRPr="00A81F50">
                          <w:rPr>
                            <w:rFonts w:ascii="Times New Roman" w:hAnsi="Times New Roman" w:cs="Times New Roman"/>
                            <w:b/>
                            <w:sz w:val="16"/>
                            <w:szCs w:val="16"/>
                          </w:rPr>
                          <w:t>Трудовий потенціал</w:t>
                        </w:r>
                        <w:r w:rsidRPr="00A81F50">
                          <w:rPr>
                            <w:rFonts w:ascii="Times New Roman" w:hAnsi="Times New Roman" w:cs="Times New Roman"/>
                            <w:sz w:val="16"/>
                            <w:szCs w:val="16"/>
                          </w:rPr>
                          <w:t xml:space="preserve"> – складова </w:t>
                        </w:r>
                        <w:r w:rsidRPr="00A81F50">
                          <w:rPr>
                            <w:rFonts w:ascii="Times New Roman" w:hAnsi="Times New Roman" w:cs="Times New Roman"/>
                            <w:spacing w:val="-6"/>
                            <w:sz w:val="16"/>
                            <w:szCs w:val="16"/>
                          </w:rPr>
                          <w:t>людського потенціалу, інтегральна здатність</w:t>
                        </w:r>
                        <w:r w:rsidRPr="00A81F50">
                          <w:rPr>
                            <w:rFonts w:ascii="Times New Roman" w:hAnsi="Times New Roman" w:cs="Times New Roman"/>
                            <w:sz w:val="16"/>
                            <w:szCs w:val="16"/>
                          </w:rPr>
                          <w:t xml:space="preserve"> населення до трудової, інноваційної та підприємницької діяльності</w:t>
                        </w:r>
                      </w:p>
                    </w:txbxContent>
                  </v:textbox>
                </v:shape>
                <v:shape id="Text Box 21" o:spid="_x0000_s1030" type="#_x0000_t202" style="position:absolute;left:2417;top:1091;width:3124;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">
                  <v:textbox inset=".5mm,.3mm,.5mm,.3mm">
                    <w:txbxContent>
                      <w:p w:rsidR="00BE40F8" w:rsidRPr="00A81F50" w:rsidRDefault="00BE40F8" w:rsidP="00B233DE">
                        <w:pPr>
                          <w:ind w:firstLine="0"/>
                          <w:jc w:val="center"/>
                          <w:rPr>
                            <w:rFonts w:ascii="Times New Roman" w:hAnsi="Times New Roman" w:cs="Times New Roman"/>
                            <w:sz w:val="16"/>
                            <w:szCs w:val="16"/>
                          </w:rPr>
                        </w:pPr>
                        <w:r w:rsidRPr="00A81F50">
                          <w:rPr>
                            <w:rFonts w:ascii="Times New Roman" w:hAnsi="Times New Roman" w:cs="Times New Roman"/>
                            <w:b/>
                            <w:sz w:val="16"/>
                            <w:szCs w:val="16"/>
                          </w:rPr>
                          <w:t>Трудові ресурси</w:t>
                        </w:r>
                        <w:r w:rsidRPr="00A81F50">
                          <w:rPr>
                            <w:rFonts w:ascii="Times New Roman" w:hAnsi="Times New Roman" w:cs="Times New Roman"/>
                            <w:sz w:val="16"/>
                            <w:szCs w:val="16"/>
                          </w:rPr>
                          <w:t xml:space="preserve"> – сукупність робочої сили з певним рівнем кваліфікації та професійної підготовки</w:t>
                        </w:r>
                      </w:p>
                    </w:txbxContent>
                  </v:textbox>
                </v:shape>
                <v:shape id="Text Box 22" o:spid="_x0000_s1031" type="#_x0000_t202" style="position:absolute;left:2417;top:1943;width:2581;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">
                  <v:textbox inset=".5mm,.3mm,.5mm,.3mm">
                    <w:txbxContent>
                      <w:p w:rsidR="00BE40F8" w:rsidRPr="00A81F50" w:rsidRDefault="00BE40F8" w:rsidP="00B233DE">
                        <w:pPr>
                          <w:ind w:firstLine="0"/>
                          <w:jc w:val="center"/>
                          <w:rPr>
                            <w:rFonts w:ascii="Times New Roman" w:hAnsi="Times New Roman" w:cs="Times New Roman"/>
                            <w:sz w:val="16"/>
                            <w:szCs w:val="16"/>
                          </w:rPr>
                        </w:pPr>
                        <w:r w:rsidRPr="00A81F50">
                          <w:rPr>
                            <w:rFonts w:ascii="Times New Roman" w:hAnsi="Times New Roman" w:cs="Times New Roman"/>
                            <w:b/>
                            <w:sz w:val="16"/>
                            <w:szCs w:val="16"/>
                          </w:rPr>
                          <w:t>Робоча сила</w:t>
                        </w:r>
                        <w:r w:rsidRPr="00A81F50">
                          <w:rPr>
                            <w:rFonts w:ascii="Times New Roman" w:hAnsi="Times New Roman" w:cs="Times New Roman"/>
                            <w:sz w:val="16"/>
                            <w:szCs w:val="16"/>
                          </w:rPr>
                          <w:t xml:space="preserve"> – економічно активна частина населення</w:t>
                        </w:r>
                      </w:p>
                    </w:txbxContent>
                  </v:textbox>
                </v:shape>
                <v:shape id="Text Box 23" o:spid="_x0000_s1032" type="#_x0000_t202" style="position:absolute;left:6628;top:-1141;width:2717;height:11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" strokeweight="1.25pt">
                  <v:textbox inset=".5mm,.3mm,.5mm,.3mm">
                    <w:txbxContent>
                      <w:p w:rsidR="00BE40F8" w:rsidRPr="00A81F50" w:rsidRDefault="00BE40F8" w:rsidP="00B233DE">
                        <w:pPr>
                          <w:ind w:firstLine="0"/>
                          <w:jc w:val="center"/>
                          <w:rPr>
                            <w:rFonts w:ascii="Times New Roman" w:hAnsi="Times New Roman" w:cs="Times New Roman"/>
                            <w:sz w:val="16"/>
                            <w:szCs w:val="16"/>
                          </w:rPr>
                        </w:pPr>
                        <w:r w:rsidRPr="00A81F50">
                          <w:rPr>
                            <w:rFonts w:ascii="Times New Roman" w:hAnsi="Times New Roman" w:cs="Times New Roman"/>
                            <w:b/>
                            <w:sz w:val="16"/>
                            <w:szCs w:val="16"/>
                          </w:rPr>
                          <w:t>Людський капітал</w:t>
                        </w:r>
                        <w:r w:rsidRPr="00A81F50">
                          <w:rPr>
                            <w:rFonts w:ascii="Times New Roman" w:hAnsi="Times New Roman" w:cs="Times New Roman"/>
                            <w:sz w:val="16"/>
                            <w:szCs w:val="16"/>
                          </w:rPr>
                          <w:t xml:space="preserve"> – реалізований людський потенціал, вартісна оцінка можливостей і здібностей населення та їх здатність приносити дохід</w:t>
                        </w:r>
                      </w:p>
                    </w:txbxContent>
                  </v:textbox>
                </v:shape>
                <v:shape id="Text Box 24" o:spid="_x0000_s1033" type="#_x0000_t202" style="position:absolute;left:6628;top:292;width:2717;height: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" strokeweight="1.25pt">
                  <v:textbox inset=".5mm,.3mm,.5mm,.3mm">
                    <w:txbxContent>
                      <w:p w:rsidR="00BE40F8" w:rsidRPr="00A81F50" w:rsidRDefault="00BE40F8" w:rsidP="00B233DE">
                        <w:pPr>
                          <w:ind w:firstLine="0"/>
                          <w:jc w:val="center"/>
                          <w:rPr>
                            <w:rFonts w:ascii="Times New Roman" w:hAnsi="Times New Roman" w:cs="Times New Roman"/>
                            <w:sz w:val="16"/>
                            <w:szCs w:val="16"/>
                          </w:rPr>
                        </w:pPr>
                        <w:r w:rsidRPr="00A81F50">
                          <w:rPr>
                            <w:rFonts w:ascii="Times New Roman" w:hAnsi="Times New Roman" w:cs="Times New Roman"/>
                            <w:b/>
                            <w:sz w:val="16"/>
                            <w:szCs w:val="16"/>
                          </w:rPr>
                          <w:t>Людський розвиток</w:t>
                        </w:r>
                        <w:r w:rsidRPr="00A81F50">
                          <w:rPr>
                            <w:rFonts w:ascii="Times New Roman" w:hAnsi="Times New Roman" w:cs="Times New Roman"/>
                            <w:sz w:val="16"/>
                            <w:szCs w:val="16"/>
                          </w:rPr>
                          <w:t xml:space="preserve"> – умови для відтворення, формування, </w:t>
                        </w:r>
                        <w:r w:rsidRPr="00A81F50">
                          <w:rPr>
                            <w:rFonts w:ascii="Times New Roman" w:hAnsi="Times New Roman" w:cs="Times New Roman"/>
                            <w:spacing w:val="-4"/>
                            <w:sz w:val="16"/>
                            <w:szCs w:val="16"/>
                          </w:rPr>
                          <w:t>розвитку, підвищення і реалізації</w:t>
                        </w:r>
                        <w:r w:rsidRPr="00A81F50">
                          <w:rPr>
                            <w:rFonts w:ascii="Times New Roman" w:hAnsi="Times New Roman" w:cs="Times New Roman"/>
                            <w:sz w:val="16"/>
                            <w:szCs w:val="16"/>
                          </w:rPr>
                          <w:t xml:space="preserve"> людського потенціалу</w:t>
                        </w:r>
                      </w:p>
                    </w:txbxContent>
                  </v:textbox>
                </v:shape>
                <v:line id="Line 25" o:spid="_x0000_s1034" style="position:absolute;flip:y;visibility:visible;mso-wrap-style:square" from="6221,-736" to="6628,-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" strokeweight="1.25pt">
                  <v:stroke endarrow="block" endarrowwidth="wide" endarrowlength="long"/>
                </v:line>
                <v:line id="Line 26" o:spid="_x0000_s1035" style="position:absolute;flip:x y;visibility:visible;mso-wrap-style:square" from="6221,-331" to="6628,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" strokeweight="1.25pt">
                  <v:stroke endarrow="block" endarrowwidth="wide" endarrowlength="long"/>
                </v:line>
                <v:line id="Line 27" o:spid="_x0000_s1036" style="position:absolute;visibility:visible;mso-wrap-style:square" from="4183,102" to="4183,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">
                  <v:stroke endarrow="block" endarrowwidth="wide" endarrowlength="long"/>
                </v:line>
                <v:line id="Line 28" o:spid="_x0000_s1037" style="position:absolute;visibility:visible;mso-wrap-style:square" from="4183,956" to="4184,10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">
                  <v:stroke endarrow="block" endarrowwidth="wide" endarrowlength="long"/>
                </v:line>
                <v:line id="Line 29" o:spid="_x0000_s1038" style="position:absolute;visibility:visible;mso-wrap-style:square" from="4183,1808" to="4184,19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">
                  <v:stroke endarrow="block" endarrowwidth="wide" endarrowlength="long"/>
                </v:line>
              </v:group>
            </w:pict>
          </mc:Fallback>
        </mc:AlternateContent>
      </w: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Pr="00A81F50" w:rsidRDefault="00B233DE" w:rsidP="00B233DE">
      <w:pPr>
        <w:ind w:firstLine="709"/>
        <w:jc w:val="center"/>
        <w:rPr>
          <w:rFonts w:ascii="Times New Roman" w:hAnsi="Times New Roman" w:cs="Times New Roman"/>
          <w:b/>
          <w:sz w:val="21"/>
          <w:szCs w:val="21"/>
        </w:rPr>
      </w:pPr>
      <w:r w:rsidRPr="00A81F50">
        <w:rPr>
          <w:rFonts w:ascii="Times New Roman" w:hAnsi="Times New Roman" w:cs="Times New Roman"/>
          <w:b/>
          <w:sz w:val="21"/>
          <w:szCs w:val="21"/>
        </w:rPr>
        <w:t>Рис. 1.1</w:t>
      </w:r>
      <w:r>
        <w:rPr>
          <w:rFonts w:ascii="Times New Roman" w:hAnsi="Times New Roman" w:cs="Times New Roman"/>
          <w:b/>
          <w:sz w:val="21"/>
          <w:szCs w:val="21"/>
        </w:rPr>
        <w:t>.</w:t>
      </w:r>
      <w:r w:rsidRPr="00A81F50">
        <w:rPr>
          <w:rFonts w:ascii="Times New Roman" w:hAnsi="Times New Roman" w:cs="Times New Roman"/>
          <w:b/>
          <w:sz w:val="21"/>
          <w:szCs w:val="21"/>
        </w:rPr>
        <w:t xml:space="preserve"> Співвідношення основних понять щодо визначення ролі людини в соціально-економічному розвитку*</w:t>
      </w:r>
    </w:p>
    <w:p w:rsidR="00B233DE" w:rsidRPr="0011391F" w:rsidRDefault="00B233DE" w:rsidP="00B233DE">
      <w:pPr>
        <w:jc w:val="both"/>
        <w:rPr>
          <w:rFonts w:ascii="Times New Roman" w:hAnsi="Times New Roman" w:cs="Times New Roman"/>
          <w:sz w:val="18"/>
          <w:szCs w:val="18"/>
        </w:rPr>
      </w:pPr>
      <w:r w:rsidRPr="0011391F">
        <w:rPr>
          <w:rFonts w:ascii="Times New Roman" w:hAnsi="Times New Roman" w:cs="Times New Roman"/>
          <w:sz w:val="18"/>
          <w:szCs w:val="18"/>
        </w:rPr>
        <w:t>* - складено автором на основі [</w:t>
      </w:r>
      <w:r w:rsidRPr="0011391F">
        <w:rPr>
          <w:rFonts w:ascii="Times New Roman" w:hAnsi="Times New Roman" w:cs="Times New Roman"/>
          <w:sz w:val="18"/>
          <w:szCs w:val="18"/>
        </w:rPr>
        <w:fldChar w:fldCharType="begin"/>
      </w:r>
      <w:r w:rsidRPr="0011391F">
        <w:rPr>
          <w:rFonts w:ascii="Times New Roman" w:hAnsi="Times New Roman" w:cs="Times New Roman"/>
          <w:sz w:val="18"/>
          <w:szCs w:val="18"/>
        </w:rPr>
        <w:instrText xml:space="preserve"> REF _Ref430594008 \r \h  \* MERGEFORMAT </w:instrText>
      </w:r>
      <w:r w:rsidRPr="0011391F">
        <w:rPr>
          <w:rFonts w:ascii="Times New Roman" w:hAnsi="Times New Roman" w:cs="Times New Roman"/>
          <w:sz w:val="18"/>
          <w:szCs w:val="18"/>
        </w:rPr>
      </w:r>
      <w:r w:rsidRPr="0011391F">
        <w:rPr>
          <w:rFonts w:ascii="Times New Roman" w:hAnsi="Times New Roman" w:cs="Times New Roman"/>
          <w:sz w:val="18"/>
          <w:szCs w:val="18"/>
        </w:rPr>
        <w:fldChar w:fldCharType="separate"/>
      </w:r>
      <w:r>
        <w:rPr>
          <w:rFonts w:ascii="Times New Roman" w:hAnsi="Times New Roman" w:cs="Times New Roman"/>
          <w:sz w:val="18"/>
          <w:szCs w:val="18"/>
        </w:rPr>
        <w:t>7</w:t>
      </w:r>
      <w:r w:rsidRPr="0011391F">
        <w:rPr>
          <w:rFonts w:ascii="Times New Roman" w:hAnsi="Times New Roman" w:cs="Times New Roman"/>
          <w:sz w:val="18"/>
          <w:szCs w:val="18"/>
        </w:rPr>
        <w:fldChar w:fldCharType="end"/>
      </w:r>
      <w:r w:rsidRPr="0011391F">
        <w:rPr>
          <w:rFonts w:ascii="Times New Roman" w:hAnsi="Times New Roman" w:cs="Times New Roman"/>
          <w:sz w:val="18"/>
          <w:szCs w:val="18"/>
        </w:rPr>
        <w:t xml:space="preserve">, </w:t>
      </w:r>
      <w:r w:rsidRPr="0011391F">
        <w:rPr>
          <w:rFonts w:ascii="Times New Roman" w:hAnsi="Times New Roman" w:cs="Times New Roman"/>
          <w:sz w:val="18"/>
          <w:szCs w:val="18"/>
        </w:rPr>
        <w:fldChar w:fldCharType="begin"/>
      </w:r>
      <w:r w:rsidRPr="0011391F">
        <w:rPr>
          <w:rFonts w:ascii="Times New Roman" w:hAnsi="Times New Roman" w:cs="Times New Roman"/>
          <w:sz w:val="18"/>
          <w:szCs w:val="18"/>
        </w:rPr>
        <w:instrText xml:space="preserve"> REF _Ref430594309 \r \h  \* MERGEFORMAT </w:instrText>
      </w:r>
      <w:r w:rsidRPr="0011391F">
        <w:rPr>
          <w:rFonts w:ascii="Times New Roman" w:hAnsi="Times New Roman" w:cs="Times New Roman"/>
          <w:sz w:val="18"/>
          <w:szCs w:val="18"/>
        </w:rPr>
      </w:r>
      <w:r w:rsidRPr="0011391F">
        <w:rPr>
          <w:rFonts w:ascii="Times New Roman" w:hAnsi="Times New Roman" w:cs="Times New Roman"/>
          <w:sz w:val="18"/>
          <w:szCs w:val="18"/>
        </w:rPr>
        <w:fldChar w:fldCharType="separate"/>
      </w:r>
      <w:r>
        <w:rPr>
          <w:rFonts w:ascii="Times New Roman" w:hAnsi="Times New Roman" w:cs="Times New Roman"/>
          <w:sz w:val="18"/>
          <w:szCs w:val="18"/>
        </w:rPr>
        <w:t>19</w:t>
      </w:r>
      <w:r w:rsidRPr="0011391F">
        <w:rPr>
          <w:rFonts w:ascii="Times New Roman" w:hAnsi="Times New Roman" w:cs="Times New Roman"/>
          <w:sz w:val="18"/>
          <w:szCs w:val="18"/>
        </w:rPr>
        <w:fldChar w:fldCharType="end"/>
      </w:r>
      <w:r w:rsidRPr="0011391F">
        <w:rPr>
          <w:rFonts w:ascii="Times New Roman" w:hAnsi="Times New Roman" w:cs="Times New Roman"/>
          <w:sz w:val="18"/>
          <w:szCs w:val="18"/>
        </w:rPr>
        <w:t xml:space="preserve">, </w:t>
      </w:r>
      <w:r w:rsidRPr="0011391F">
        <w:rPr>
          <w:rFonts w:ascii="Times New Roman" w:hAnsi="Times New Roman" w:cs="Times New Roman"/>
          <w:sz w:val="18"/>
          <w:szCs w:val="18"/>
        </w:rPr>
        <w:fldChar w:fldCharType="begin"/>
      </w:r>
      <w:r w:rsidRPr="0011391F">
        <w:rPr>
          <w:rFonts w:ascii="Times New Roman" w:hAnsi="Times New Roman" w:cs="Times New Roman"/>
          <w:sz w:val="18"/>
          <w:szCs w:val="18"/>
        </w:rPr>
        <w:instrText xml:space="preserve"> REF _Ref430594275 \r \h  \* MERGEFORMAT </w:instrText>
      </w:r>
      <w:r w:rsidRPr="0011391F">
        <w:rPr>
          <w:rFonts w:ascii="Times New Roman" w:hAnsi="Times New Roman" w:cs="Times New Roman"/>
          <w:sz w:val="18"/>
          <w:szCs w:val="18"/>
        </w:rPr>
      </w:r>
      <w:r w:rsidRPr="0011391F">
        <w:rPr>
          <w:rFonts w:ascii="Times New Roman" w:hAnsi="Times New Roman" w:cs="Times New Roman"/>
          <w:sz w:val="18"/>
          <w:szCs w:val="18"/>
        </w:rPr>
        <w:fldChar w:fldCharType="separate"/>
      </w:r>
      <w:r>
        <w:rPr>
          <w:rFonts w:ascii="Times New Roman" w:hAnsi="Times New Roman" w:cs="Times New Roman"/>
          <w:sz w:val="18"/>
          <w:szCs w:val="18"/>
        </w:rPr>
        <w:t>34</w:t>
      </w:r>
      <w:r w:rsidRPr="0011391F">
        <w:rPr>
          <w:rFonts w:ascii="Times New Roman" w:hAnsi="Times New Roman" w:cs="Times New Roman"/>
          <w:sz w:val="18"/>
          <w:szCs w:val="18"/>
        </w:rPr>
        <w:fldChar w:fldCharType="end"/>
      </w:r>
      <w:r w:rsidRPr="0011391F">
        <w:rPr>
          <w:rFonts w:ascii="Times New Roman" w:hAnsi="Times New Roman" w:cs="Times New Roman"/>
          <w:sz w:val="18"/>
          <w:szCs w:val="18"/>
        </w:rPr>
        <w:t>]</w:t>
      </w:r>
    </w:p>
    <w:p w:rsidR="00B233DE" w:rsidRPr="00190C54" w:rsidRDefault="00B233DE" w:rsidP="00B233DE">
      <w:pPr>
        <w:ind w:firstLine="709"/>
        <w:jc w:val="both"/>
        <w:rPr>
          <w:rFonts w:ascii="Times New Roman" w:hAnsi="Times New Roman" w:cs="Times New Roman"/>
          <w:sz w:val="21"/>
          <w:szCs w:val="21"/>
        </w:rPr>
      </w:pPr>
      <w:r w:rsidRPr="00190C54">
        <w:rPr>
          <w:rFonts w:ascii="Times New Roman" w:hAnsi="Times New Roman" w:cs="Times New Roman"/>
          <w:sz w:val="21"/>
          <w:szCs w:val="21"/>
        </w:rPr>
        <w:lastRenderedPageBreak/>
        <w:t>Характерно, що в сучасних соціально-економічних дослідженнях найбільш вживаним є поняття людського капіталу, який розуміють як вартісну оцінку здібностей людини: вроджених якостей, освіти, кваліфікації, професійних знань, досвіду в контексті їх здатності приносити дохід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_Ref430594363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50</w:t>
      </w:r>
      <w:r>
        <w:rPr>
          <w:rFonts w:ascii="Times New Roman" w:hAnsi="Times New Roman" w:cs="Times New Roman"/>
          <w:sz w:val="21"/>
          <w:szCs w:val="21"/>
        </w:rPr>
        <w:fldChar w:fldCharType="end"/>
      </w:r>
      <w:r w:rsidRPr="00190C54">
        <w:rPr>
          <w:rFonts w:ascii="Times New Roman" w:hAnsi="Times New Roman" w:cs="Times New Roman"/>
          <w:sz w:val="21"/>
          <w:szCs w:val="21"/>
        </w:rPr>
        <w:t>, с. 9].</w:t>
      </w:r>
    </w:p>
    <w:p w:rsidR="00B233DE" w:rsidRDefault="00B233DE" w:rsidP="00B233DE">
      <w:pPr>
        <w:ind w:firstLine="709"/>
        <w:jc w:val="both"/>
        <w:rPr>
          <w:rFonts w:ascii="Times New Roman" w:hAnsi="Times New Roman" w:cs="Times New Roman"/>
          <w:sz w:val="21"/>
          <w:szCs w:val="21"/>
        </w:rPr>
      </w:pPr>
      <w:r w:rsidRPr="00190C54">
        <w:rPr>
          <w:rFonts w:ascii="Times New Roman" w:hAnsi="Times New Roman" w:cs="Times New Roman"/>
          <w:sz w:val="21"/>
          <w:szCs w:val="21"/>
        </w:rPr>
        <w:t xml:space="preserve">Разом з тим, ряд науковців наголошують на обмеженості використання концепції людського капіталу при визначенні місця </w:t>
      </w:r>
      <w:r>
        <w:rPr>
          <w:rFonts w:ascii="Times New Roman" w:hAnsi="Times New Roman" w:cs="Times New Roman"/>
          <w:sz w:val="21"/>
          <w:szCs w:val="21"/>
        </w:rPr>
        <w:t xml:space="preserve">людини в економіці. Зокрема, С. </w:t>
      </w:r>
      <w:r w:rsidRPr="00190C54">
        <w:rPr>
          <w:rFonts w:ascii="Times New Roman" w:hAnsi="Times New Roman" w:cs="Times New Roman"/>
          <w:sz w:val="21"/>
          <w:szCs w:val="21"/>
        </w:rPr>
        <w:t>Злупко зазначає, що ідентичні обсяги інвестування в людський капітал в різних країнах не приносять ідентичних економічних ефектів.</w:t>
      </w:r>
      <w:r>
        <w:rPr>
          <w:rFonts w:ascii="Times New Roman" w:hAnsi="Times New Roman" w:cs="Times New Roman"/>
          <w:sz w:val="21"/>
          <w:szCs w:val="21"/>
        </w:rPr>
        <w:t xml:space="preserve"> </w:t>
      </w:r>
      <w:r w:rsidRPr="00A81F50">
        <w:rPr>
          <w:rFonts w:ascii="Times New Roman" w:hAnsi="Times New Roman" w:cs="Times New Roman"/>
          <w:sz w:val="21"/>
          <w:szCs w:val="21"/>
        </w:rPr>
        <w:t>Це пояснюється тим, що за межами визначення людського капіталу залишаються ряд інших вимірів людини, таких як таланти і обдарування, вроджені здібності, психологічні особливості, менталітет, духовність, соціальні відносини тощо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_Ref430594370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25</w:t>
      </w:r>
      <w:r>
        <w:rPr>
          <w:rFonts w:ascii="Times New Roman" w:hAnsi="Times New Roman" w:cs="Times New Roman"/>
          <w:sz w:val="21"/>
          <w:szCs w:val="21"/>
        </w:rPr>
        <w:fldChar w:fldCharType="end"/>
      </w:r>
      <w:r w:rsidRPr="00A81F50">
        <w:rPr>
          <w:rFonts w:ascii="Times New Roman" w:hAnsi="Times New Roman" w:cs="Times New Roman"/>
          <w:sz w:val="21"/>
          <w:szCs w:val="21"/>
        </w:rPr>
        <w:t>, с. 13].</w:t>
      </w:r>
    </w:p>
    <w:p w:rsidR="00B233DE" w:rsidRPr="00A0158A" w:rsidRDefault="00B233DE" w:rsidP="00B233DE">
      <w:pPr>
        <w:ind w:firstLine="709"/>
        <w:jc w:val="both"/>
        <w:rPr>
          <w:rFonts w:ascii="Times New Roman" w:hAnsi="Times New Roman" w:cs="Times New Roman"/>
          <w:spacing w:val="-2"/>
          <w:sz w:val="21"/>
          <w:szCs w:val="21"/>
        </w:rPr>
      </w:pPr>
      <w:r w:rsidRPr="00A81F50">
        <w:rPr>
          <w:rFonts w:ascii="Times New Roman" w:hAnsi="Times New Roman" w:cs="Times New Roman"/>
          <w:sz w:val="21"/>
          <w:szCs w:val="21"/>
        </w:rPr>
        <w:t>В той же час, гносеологічно ширшим є поняття «потенціал», що включає сукупність можливостей, джерел і ресурсів, що можуть бути використані для вирішення необхідних завдань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_Ref430594378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13</w:t>
      </w:r>
      <w:r>
        <w:rPr>
          <w:rFonts w:ascii="Times New Roman" w:hAnsi="Times New Roman" w:cs="Times New Roman"/>
          <w:sz w:val="21"/>
          <w:szCs w:val="21"/>
        </w:rPr>
        <w:fldChar w:fldCharType="end"/>
      </w:r>
      <w:r w:rsidRPr="00A81F50">
        <w:rPr>
          <w:rFonts w:ascii="Times New Roman" w:hAnsi="Times New Roman" w:cs="Times New Roman"/>
          <w:sz w:val="21"/>
          <w:szCs w:val="21"/>
        </w:rPr>
        <w:t xml:space="preserve">, </w:t>
      </w:r>
      <w:r w:rsidRPr="00A81F50">
        <w:rPr>
          <w:rFonts w:ascii="Times New Roman" w:hAnsi="Times New Roman" w:cs="Times New Roman"/>
          <w:sz w:val="21"/>
          <w:szCs w:val="21"/>
          <w:lang w:val="en-US"/>
        </w:rPr>
        <w:t>c</w:t>
      </w:r>
      <w:r w:rsidRPr="00A81F50">
        <w:rPr>
          <w:rFonts w:ascii="Times New Roman" w:hAnsi="Times New Roman" w:cs="Times New Roman"/>
          <w:sz w:val="21"/>
          <w:szCs w:val="21"/>
        </w:rPr>
        <w:t xml:space="preserve">. 8]. З точки зору В. Близнюк, потенціал, характеризуючи сферу можливостей, цілком або частково може </w:t>
      </w:r>
      <w:r w:rsidRPr="00A0158A">
        <w:rPr>
          <w:rFonts w:ascii="Times New Roman" w:hAnsi="Times New Roman" w:cs="Times New Roman"/>
          <w:spacing w:val="-2"/>
          <w:sz w:val="21"/>
          <w:szCs w:val="21"/>
        </w:rPr>
        <w:t>бути реалізованим, перетворюючись на людський капітал [</w:t>
      </w:r>
      <w:r>
        <w:rPr>
          <w:rFonts w:ascii="Times New Roman" w:hAnsi="Times New Roman" w:cs="Times New Roman"/>
          <w:sz w:val="21"/>
          <w:szCs w:val="21"/>
        </w:rPr>
        <w:fldChar w:fldCharType="begin"/>
      </w:r>
      <w:r>
        <w:rPr>
          <w:rFonts w:ascii="Times New Roman" w:hAnsi="Times New Roman" w:cs="Times New Roman"/>
          <w:spacing w:val="-2"/>
          <w:sz w:val="21"/>
          <w:szCs w:val="21"/>
        </w:rPr>
        <w:instrText xml:space="preserve"> REF _Ref430594387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pacing w:val="-2"/>
          <w:sz w:val="21"/>
          <w:szCs w:val="21"/>
        </w:rPr>
        <w:t>10</w:t>
      </w:r>
      <w:r>
        <w:rPr>
          <w:rFonts w:ascii="Times New Roman" w:hAnsi="Times New Roman" w:cs="Times New Roman"/>
          <w:sz w:val="21"/>
          <w:szCs w:val="21"/>
        </w:rPr>
        <w:fldChar w:fldCharType="end"/>
      </w:r>
      <w:r w:rsidRPr="00A0158A">
        <w:rPr>
          <w:rFonts w:ascii="Times New Roman" w:hAnsi="Times New Roman" w:cs="Times New Roman"/>
          <w:spacing w:val="-2"/>
          <w:sz w:val="21"/>
          <w:szCs w:val="21"/>
        </w:rPr>
        <w:t xml:space="preserve">, </w:t>
      </w:r>
      <w:r w:rsidRPr="00A0158A">
        <w:rPr>
          <w:rFonts w:ascii="Times New Roman" w:hAnsi="Times New Roman" w:cs="Times New Roman"/>
          <w:spacing w:val="-2"/>
          <w:sz w:val="21"/>
          <w:szCs w:val="21"/>
          <w:lang w:val="en-US"/>
        </w:rPr>
        <w:t>c</w:t>
      </w:r>
      <w:r w:rsidRPr="00A0158A">
        <w:rPr>
          <w:rFonts w:ascii="Times New Roman" w:hAnsi="Times New Roman" w:cs="Times New Roman"/>
          <w:spacing w:val="-2"/>
          <w:sz w:val="21"/>
          <w:szCs w:val="21"/>
        </w:rPr>
        <w:t xml:space="preserve">. 32]. </w:t>
      </w:r>
    </w:p>
    <w:p w:rsidR="00B233DE" w:rsidRDefault="00B233DE" w:rsidP="00B233DE">
      <w:pPr>
        <w:ind w:firstLine="709"/>
        <w:jc w:val="both"/>
        <w:rPr>
          <w:rFonts w:ascii="Times New Roman" w:hAnsi="Times New Roman" w:cs="Times New Roman"/>
          <w:sz w:val="21"/>
          <w:szCs w:val="21"/>
        </w:rPr>
      </w:pPr>
      <w:r w:rsidRPr="00A81F50">
        <w:rPr>
          <w:rFonts w:ascii="Times New Roman" w:hAnsi="Times New Roman" w:cs="Times New Roman"/>
          <w:sz w:val="21"/>
          <w:szCs w:val="21"/>
        </w:rPr>
        <w:t>Л. Шаульська підкреслює, що поняття «людський потенціал», позначаючи сукупну здатність населення до економічної та соціальної діяльності і розвитку, є найширшим за змістом і включає трудовий потенціал як невід’ємну його складову і людський капітал як форму його реалізації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_Ref430594397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68</w:t>
      </w:r>
      <w:r>
        <w:rPr>
          <w:rFonts w:ascii="Times New Roman" w:hAnsi="Times New Roman" w:cs="Times New Roman"/>
          <w:sz w:val="21"/>
          <w:szCs w:val="21"/>
        </w:rPr>
        <w:fldChar w:fldCharType="end"/>
      </w:r>
      <w:r w:rsidRPr="00A81F50">
        <w:rPr>
          <w:rFonts w:ascii="Times New Roman" w:hAnsi="Times New Roman" w:cs="Times New Roman"/>
          <w:sz w:val="21"/>
          <w:szCs w:val="21"/>
        </w:rPr>
        <w:t>, с. 93</w:t>
      </w:r>
      <w:r>
        <w:rPr>
          <w:rFonts w:ascii="Times New Roman" w:hAnsi="Times New Roman" w:cs="Times New Roman"/>
          <w:sz w:val="21"/>
          <w:szCs w:val="21"/>
        </w:rPr>
        <w:t>–</w:t>
      </w:r>
      <w:r w:rsidRPr="00A81F50">
        <w:rPr>
          <w:rFonts w:ascii="Times New Roman" w:hAnsi="Times New Roman" w:cs="Times New Roman"/>
          <w:sz w:val="21"/>
          <w:szCs w:val="21"/>
        </w:rPr>
        <w:t>94].</w:t>
      </w:r>
    </w:p>
    <w:p w:rsidR="00B233DE" w:rsidRPr="00A0158A" w:rsidRDefault="00B233DE" w:rsidP="00B233DE">
      <w:pPr>
        <w:ind w:firstLine="709"/>
        <w:jc w:val="both"/>
        <w:rPr>
          <w:rFonts w:ascii="Times New Roman" w:hAnsi="Times New Roman" w:cs="Times New Roman"/>
          <w:spacing w:val="-8"/>
          <w:sz w:val="21"/>
          <w:szCs w:val="21"/>
        </w:rPr>
      </w:pPr>
      <w:r w:rsidRPr="00A81F50">
        <w:rPr>
          <w:rFonts w:ascii="Times New Roman" w:hAnsi="Times New Roman" w:cs="Times New Roman"/>
          <w:sz w:val="21"/>
          <w:szCs w:val="21"/>
        </w:rPr>
        <w:t>Аналогічним чином інші вітчизняні еконо</w:t>
      </w:r>
      <w:r>
        <w:rPr>
          <w:rFonts w:ascii="Times New Roman" w:hAnsi="Times New Roman" w:cs="Times New Roman"/>
          <w:sz w:val="21"/>
          <w:szCs w:val="21"/>
        </w:rPr>
        <w:t xml:space="preserve">місти О. Амоша, О. Новікова, В. </w:t>
      </w:r>
      <w:r w:rsidRPr="00A81F50">
        <w:rPr>
          <w:rFonts w:ascii="Times New Roman" w:hAnsi="Times New Roman" w:cs="Times New Roman"/>
          <w:sz w:val="21"/>
          <w:szCs w:val="21"/>
        </w:rPr>
        <w:t>Антонюк дають загальне визначення людського потенціалу</w:t>
      </w:r>
      <w:r>
        <w:rPr>
          <w:rFonts w:ascii="Times New Roman" w:hAnsi="Times New Roman" w:cs="Times New Roman"/>
          <w:sz w:val="21"/>
          <w:szCs w:val="21"/>
        </w:rPr>
        <w:t>,</w:t>
      </w:r>
      <w:r w:rsidRPr="00A81F50">
        <w:rPr>
          <w:rFonts w:ascii="Times New Roman" w:hAnsi="Times New Roman" w:cs="Times New Roman"/>
          <w:sz w:val="21"/>
          <w:szCs w:val="21"/>
        </w:rPr>
        <w:t xml:space="preserve"> як високих якісних характеристик людини, що дозволяють їй прожити тривале та благополучне життя. Виділяючи людський потенціал пріоритетом економічної і суспільної діяльності, вони ставлять наголос на концепції людського розвитку, що включає два ключових аспекти: формування складових людського потенціалу та його використання в різних видах економічної діяльності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_Ref430594275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34</w:t>
      </w:r>
      <w:r>
        <w:rPr>
          <w:rFonts w:ascii="Times New Roman" w:hAnsi="Times New Roman" w:cs="Times New Roman"/>
          <w:sz w:val="21"/>
          <w:szCs w:val="21"/>
        </w:rPr>
        <w:fldChar w:fldCharType="end"/>
      </w:r>
      <w:r w:rsidRPr="00A81F50">
        <w:rPr>
          <w:rFonts w:ascii="Times New Roman" w:hAnsi="Times New Roman" w:cs="Times New Roman"/>
          <w:sz w:val="21"/>
          <w:szCs w:val="21"/>
        </w:rPr>
        <w:t xml:space="preserve">, с. 16]. В цьому ж руслі Л. Безтелесна позначає людський розвиток як економічну категорію, що відображає процес формування умов і здійснення людьми вибору з </w:t>
      </w:r>
      <w:r w:rsidRPr="00A0158A">
        <w:rPr>
          <w:rFonts w:ascii="Times New Roman" w:hAnsi="Times New Roman" w:cs="Times New Roman"/>
          <w:spacing w:val="-8"/>
          <w:sz w:val="21"/>
          <w:szCs w:val="21"/>
        </w:rPr>
        <w:t>розширення можливостей з реалізації їх людського потенціалу [</w:t>
      </w:r>
      <w:r>
        <w:rPr>
          <w:rFonts w:ascii="Times New Roman" w:hAnsi="Times New Roman" w:cs="Times New Roman"/>
          <w:sz w:val="21"/>
          <w:szCs w:val="21"/>
        </w:rPr>
        <w:fldChar w:fldCharType="begin"/>
      </w:r>
      <w:r>
        <w:rPr>
          <w:rFonts w:ascii="Times New Roman" w:hAnsi="Times New Roman" w:cs="Times New Roman"/>
          <w:spacing w:val="-8"/>
          <w:sz w:val="21"/>
          <w:szCs w:val="21"/>
        </w:rPr>
        <w:instrText xml:space="preserve"> REF _Ref430594008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pacing w:val="-8"/>
          <w:sz w:val="21"/>
          <w:szCs w:val="21"/>
        </w:rPr>
        <w:t>7</w:t>
      </w:r>
      <w:r>
        <w:rPr>
          <w:rFonts w:ascii="Times New Roman" w:hAnsi="Times New Roman" w:cs="Times New Roman"/>
          <w:sz w:val="21"/>
          <w:szCs w:val="21"/>
        </w:rPr>
        <w:fldChar w:fldCharType="end"/>
      </w:r>
      <w:r w:rsidRPr="00A0158A">
        <w:rPr>
          <w:rFonts w:ascii="Times New Roman" w:hAnsi="Times New Roman" w:cs="Times New Roman"/>
          <w:spacing w:val="-8"/>
          <w:sz w:val="21"/>
          <w:szCs w:val="21"/>
        </w:rPr>
        <w:t xml:space="preserve">, с. 10]. </w:t>
      </w:r>
    </w:p>
    <w:p w:rsidR="00B233DE"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 xml:space="preserve">Е. </w:t>
      </w:r>
      <w:r w:rsidRPr="00A81F50">
        <w:rPr>
          <w:rFonts w:ascii="Times New Roman" w:hAnsi="Times New Roman" w:cs="Times New Roman"/>
          <w:sz w:val="21"/>
          <w:szCs w:val="21"/>
        </w:rPr>
        <w:t>Лібанова підкреслює такі базові умови людського розвитку</w:t>
      </w:r>
      <w:r>
        <w:rPr>
          <w:rFonts w:ascii="Times New Roman" w:hAnsi="Times New Roman" w:cs="Times New Roman"/>
          <w:sz w:val="21"/>
          <w:szCs w:val="21"/>
        </w:rPr>
        <w:t>,</w:t>
      </w:r>
      <w:r w:rsidRPr="00A81F50">
        <w:rPr>
          <w:rFonts w:ascii="Times New Roman" w:hAnsi="Times New Roman" w:cs="Times New Roman"/>
          <w:sz w:val="21"/>
          <w:szCs w:val="21"/>
        </w:rPr>
        <w:t xml:space="preserve"> як продуктивність – можливість людини підвищувати </w:t>
      </w:r>
      <w:r w:rsidRPr="00A81F50">
        <w:rPr>
          <w:rFonts w:ascii="Times New Roman" w:hAnsi="Times New Roman" w:cs="Times New Roman"/>
          <w:sz w:val="21"/>
          <w:szCs w:val="21"/>
        </w:rPr>
        <w:lastRenderedPageBreak/>
        <w:t>продуктивність своєї діяльності за адекватну винагороду; рівність – рівні можливості в економічному, суспільному і політичному житті; участь людей у прийнятті рішень, які стосуються їх життя і розвитку; сталість – підвищення відповідальності людини у використанні ресурсів; співробітництво – розвиток соціальних структур; безпека у всіх сферах життя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_Ref430594429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36</w:t>
      </w:r>
      <w:r>
        <w:rPr>
          <w:rFonts w:ascii="Times New Roman" w:hAnsi="Times New Roman" w:cs="Times New Roman"/>
          <w:sz w:val="21"/>
          <w:szCs w:val="21"/>
        </w:rPr>
        <w:fldChar w:fldCharType="end"/>
      </w:r>
      <w:r w:rsidRPr="00A81F50">
        <w:rPr>
          <w:rFonts w:ascii="Times New Roman" w:hAnsi="Times New Roman" w:cs="Times New Roman"/>
          <w:sz w:val="21"/>
          <w:szCs w:val="21"/>
        </w:rPr>
        <w:t xml:space="preserve">, </w:t>
      </w:r>
      <w:r w:rsidRPr="00A81F50">
        <w:rPr>
          <w:rFonts w:ascii="Times New Roman" w:hAnsi="Times New Roman" w:cs="Times New Roman"/>
          <w:sz w:val="21"/>
          <w:szCs w:val="21"/>
          <w:lang w:val="en-US"/>
        </w:rPr>
        <w:t>c</w:t>
      </w:r>
      <w:r w:rsidRPr="00A81F50">
        <w:rPr>
          <w:rFonts w:ascii="Times New Roman" w:hAnsi="Times New Roman" w:cs="Times New Roman"/>
          <w:sz w:val="21"/>
          <w:szCs w:val="21"/>
        </w:rPr>
        <w:t>. 53</w:t>
      </w:r>
      <w:r>
        <w:rPr>
          <w:rFonts w:ascii="Times New Roman" w:hAnsi="Times New Roman" w:cs="Times New Roman"/>
          <w:sz w:val="21"/>
          <w:szCs w:val="21"/>
        </w:rPr>
        <w:t>–</w:t>
      </w:r>
      <w:r w:rsidRPr="00A81F50">
        <w:rPr>
          <w:rFonts w:ascii="Times New Roman" w:hAnsi="Times New Roman" w:cs="Times New Roman"/>
          <w:sz w:val="21"/>
          <w:szCs w:val="21"/>
        </w:rPr>
        <w:t>56]. Отже, людський розвиток є процесом запровадження необхідних умов для формування і реалізації людського потенціалу (рис. 1.1).</w:t>
      </w:r>
    </w:p>
    <w:p w:rsidR="00B233DE" w:rsidRDefault="00B233DE" w:rsidP="00B233DE">
      <w:pPr>
        <w:ind w:firstLine="709"/>
        <w:jc w:val="both"/>
        <w:rPr>
          <w:rFonts w:ascii="Times New Roman" w:hAnsi="Times New Roman" w:cs="Times New Roman"/>
          <w:sz w:val="21"/>
          <w:szCs w:val="21"/>
        </w:rPr>
      </w:pPr>
      <w:r w:rsidRPr="00A81F50">
        <w:rPr>
          <w:rFonts w:ascii="Times New Roman" w:hAnsi="Times New Roman" w:cs="Times New Roman"/>
          <w:sz w:val="21"/>
          <w:szCs w:val="21"/>
        </w:rPr>
        <w:t>За десятиліття дослідження поняття людського потенціалу українськими вченими склалась низка його визначень (табл. 1.2). Спільною їх рисою є комплексний підхід до розуміння людського потенціалу, намагання відобразити його багатосторонню структуру. Разом з тим, ми не можемо погодитись із окремими визначеннями (В. Порохня, В. Приймак), які відображають лише інструментальні погляди на дане поняття, ототожнюючи його з людським капіталом. Спираючись на концепцію розвитку людського потенціалу, яка поєднує інструментальний та соціальний напрями визначення місця людини в економічному житті, ми переконані в тому, що поняття «людський потенціал» відображає набагато ширшу сферу суспільних відносин ніж людський капітал та інші суміжні поняття.</w:t>
      </w:r>
    </w:p>
    <w:p w:rsidR="00B233DE" w:rsidRPr="00B040B4" w:rsidRDefault="00B233DE" w:rsidP="00B233DE">
      <w:pPr>
        <w:ind w:firstLine="709"/>
        <w:jc w:val="both"/>
        <w:rPr>
          <w:rFonts w:ascii="Times New Roman" w:hAnsi="Times New Roman" w:cs="Times New Roman"/>
          <w:sz w:val="21"/>
          <w:szCs w:val="21"/>
        </w:rPr>
      </w:pPr>
      <w:r w:rsidRPr="00B040B4">
        <w:rPr>
          <w:rFonts w:ascii="Times New Roman" w:hAnsi="Times New Roman" w:cs="Times New Roman"/>
          <w:spacing w:val="-4"/>
          <w:sz w:val="21"/>
          <w:szCs w:val="21"/>
        </w:rPr>
        <w:t>Принципові відмінності людського потенціалу та людського капіталу полягають у тому, що концепція людського потенціалу визначає зростаючу роль людини не лише у виробництві, а й у суспільному житті; досліджує, крім економічних, психологічні, соціальні, моральні якості людини; розглядає людину не як визначальний фактор виробництва, а як критерій і мету суспільного розвитку [</w:t>
      </w:r>
      <w:r>
        <w:rPr>
          <w:rFonts w:ascii="Times New Roman" w:hAnsi="Times New Roman" w:cs="Times New Roman"/>
          <w:spacing w:val="-4"/>
          <w:sz w:val="21"/>
          <w:szCs w:val="21"/>
        </w:rPr>
        <w:fldChar w:fldCharType="begin"/>
      </w:r>
      <w:r>
        <w:rPr>
          <w:rFonts w:ascii="Times New Roman" w:hAnsi="Times New Roman" w:cs="Times New Roman"/>
          <w:spacing w:val="-4"/>
          <w:sz w:val="21"/>
          <w:szCs w:val="21"/>
        </w:rPr>
        <w:instrText xml:space="preserve"> REF _Ref430594439 \r \h </w:instrText>
      </w:r>
      <w:r>
        <w:rPr>
          <w:rFonts w:ascii="Times New Roman" w:hAnsi="Times New Roman" w:cs="Times New Roman"/>
          <w:spacing w:val="-4"/>
          <w:sz w:val="21"/>
          <w:szCs w:val="21"/>
        </w:rPr>
      </w:r>
      <w:r>
        <w:rPr>
          <w:rFonts w:ascii="Times New Roman" w:hAnsi="Times New Roman" w:cs="Times New Roman"/>
          <w:spacing w:val="-4"/>
          <w:sz w:val="21"/>
          <w:szCs w:val="21"/>
        </w:rPr>
        <w:fldChar w:fldCharType="separate"/>
      </w:r>
      <w:r>
        <w:rPr>
          <w:rFonts w:ascii="Times New Roman" w:hAnsi="Times New Roman" w:cs="Times New Roman"/>
          <w:spacing w:val="-4"/>
          <w:sz w:val="21"/>
          <w:szCs w:val="21"/>
        </w:rPr>
        <w:t>72</w:t>
      </w:r>
      <w:r>
        <w:rPr>
          <w:rFonts w:ascii="Times New Roman" w:hAnsi="Times New Roman" w:cs="Times New Roman"/>
          <w:spacing w:val="-4"/>
          <w:sz w:val="21"/>
          <w:szCs w:val="21"/>
        </w:rPr>
        <w:fldChar w:fldCharType="end"/>
      </w:r>
      <w:r w:rsidRPr="00B040B4">
        <w:rPr>
          <w:rFonts w:ascii="Times New Roman" w:hAnsi="Times New Roman" w:cs="Times New Roman"/>
          <w:spacing w:val="-4"/>
          <w:sz w:val="21"/>
          <w:szCs w:val="21"/>
        </w:rPr>
        <w:t>, с. 10]. В свою чергу, ми підтримуємо позицію Л. Семів, яка заперечує тотожність понять «людські ресурси» та «людський потенціал», підкреслюючи, що людський потенціалом є можливості, надані людськими ресурсами, які можуть бути використані або не використовуються для досягнення певної мети [</w:t>
      </w:r>
      <w:r>
        <w:rPr>
          <w:rFonts w:ascii="Times New Roman" w:hAnsi="Times New Roman" w:cs="Times New Roman"/>
          <w:spacing w:val="-4"/>
          <w:sz w:val="21"/>
          <w:szCs w:val="21"/>
        </w:rPr>
        <w:fldChar w:fldCharType="begin"/>
      </w:r>
      <w:r>
        <w:rPr>
          <w:rFonts w:ascii="Times New Roman" w:hAnsi="Times New Roman" w:cs="Times New Roman"/>
          <w:spacing w:val="-4"/>
          <w:sz w:val="21"/>
          <w:szCs w:val="21"/>
        </w:rPr>
        <w:instrText xml:space="preserve"> REF _Ref430594450 \r \h </w:instrText>
      </w:r>
      <w:r>
        <w:rPr>
          <w:rFonts w:ascii="Times New Roman" w:hAnsi="Times New Roman" w:cs="Times New Roman"/>
          <w:spacing w:val="-4"/>
          <w:sz w:val="21"/>
          <w:szCs w:val="21"/>
        </w:rPr>
      </w:r>
      <w:r>
        <w:rPr>
          <w:rFonts w:ascii="Times New Roman" w:hAnsi="Times New Roman" w:cs="Times New Roman"/>
          <w:spacing w:val="-4"/>
          <w:sz w:val="21"/>
          <w:szCs w:val="21"/>
        </w:rPr>
        <w:fldChar w:fldCharType="separate"/>
      </w:r>
      <w:r>
        <w:rPr>
          <w:rFonts w:ascii="Times New Roman" w:hAnsi="Times New Roman" w:cs="Times New Roman"/>
          <w:spacing w:val="-4"/>
          <w:sz w:val="21"/>
          <w:szCs w:val="21"/>
        </w:rPr>
        <w:t>52</w:t>
      </w:r>
      <w:r>
        <w:rPr>
          <w:rFonts w:ascii="Times New Roman" w:hAnsi="Times New Roman" w:cs="Times New Roman"/>
          <w:spacing w:val="-4"/>
          <w:sz w:val="21"/>
          <w:szCs w:val="21"/>
        </w:rPr>
        <w:fldChar w:fldCharType="end"/>
      </w:r>
      <w:r w:rsidRPr="00B040B4">
        <w:rPr>
          <w:rFonts w:ascii="Times New Roman" w:hAnsi="Times New Roman" w:cs="Times New Roman"/>
          <w:spacing w:val="-4"/>
          <w:sz w:val="21"/>
          <w:szCs w:val="21"/>
        </w:rPr>
        <w:t>, с. 31].</w:t>
      </w:r>
    </w:p>
    <w:p w:rsidR="00B233DE" w:rsidRPr="00B040B4" w:rsidRDefault="00B233DE" w:rsidP="00B233DE">
      <w:pPr>
        <w:ind w:firstLine="709"/>
        <w:jc w:val="both"/>
        <w:rPr>
          <w:rFonts w:ascii="Times New Roman" w:hAnsi="Times New Roman" w:cs="Times New Roman"/>
          <w:sz w:val="21"/>
          <w:szCs w:val="21"/>
        </w:rPr>
      </w:pPr>
      <w:r w:rsidRPr="00B040B4">
        <w:rPr>
          <w:rFonts w:ascii="Times New Roman" w:hAnsi="Times New Roman" w:cs="Times New Roman"/>
          <w:sz w:val="21"/>
          <w:szCs w:val="21"/>
        </w:rPr>
        <w:t>Підсумовуючи наведені вище наукові погляди, ми притримуємось думки, що людським потенціалом у макроекономічному розумінні є сукупні можливості населення до економічної, соціальної, інноваційної діяльності, підтримки необхідного рівня здоров’я і моральності, постійного розвитку навиків і здібностей, засвоєння та продукування нових знань і технологій, соціальної взаємодії і взаєморозуміння.</w:t>
      </w:r>
    </w:p>
    <w:p w:rsidR="00B233DE" w:rsidRDefault="00B233DE" w:rsidP="00B233DE">
      <w:pPr>
        <w:ind w:firstLine="709"/>
        <w:jc w:val="right"/>
        <w:rPr>
          <w:rFonts w:ascii="Times New Roman" w:hAnsi="Times New Roman" w:cs="Times New Roman"/>
          <w:sz w:val="21"/>
          <w:szCs w:val="21"/>
        </w:rPr>
      </w:pPr>
      <w:r w:rsidRPr="00A81F50">
        <w:rPr>
          <w:rFonts w:ascii="Times New Roman" w:hAnsi="Times New Roman" w:cs="Times New Roman"/>
          <w:sz w:val="21"/>
          <w:szCs w:val="21"/>
        </w:rPr>
        <w:lastRenderedPageBreak/>
        <w:t>Таблиця 1.2</w:t>
      </w:r>
    </w:p>
    <w:p w:rsidR="00B233DE" w:rsidRPr="00B040B4" w:rsidRDefault="00B233DE" w:rsidP="00B233DE">
      <w:pPr>
        <w:ind w:firstLine="709"/>
        <w:jc w:val="center"/>
        <w:rPr>
          <w:rFonts w:ascii="Times New Roman" w:hAnsi="Times New Roman" w:cs="Times New Roman"/>
          <w:b/>
          <w:sz w:val="21"/>
          <w:szCs w:val="21"/>
        </w:rPr>
      </w:pPr>
      <w:r w:rsidRPr="00B040B4">
        <w:rPr>
          <w:rFonts w:ascii="Times New Roman" w:hAnsi="Times New Roman" w:cs="Times New Roman"/>
          <w:b/>
          <w:sz w:val="21"/>
          <w:szCs w:val="21"/>
        </w:rPr>
        <w:t>Контент-аналіз поняття «людський потенціал»</w:t>
      </w:r>
      <w:r>
        <w:rPr>
          <w:rFonts w:ascii="Times New Roman" w:hAnsi="Times New Roman" w:cs="Times New Roman"/>
          <w:b/>
          <w:sz w:val="21"/>
          <w:szCs w:val="21"/>
        </w:rPr>
        <w:t xml:space="preserve"> </w:t>
      </w:r>
      <w:r w:rsidRPr="00B040B4">
        <w:rPr>
          <w:rFonts w:ascii="Times New Roman" w:hAnsi="Times New Roman" w:cs="Times New Roman"/>
          <w:b/>
          <w:sz w:val="21"/>
          <w:szCs w:val="21"/>
        </w:rPr>
        <w:t>українськими науковцями</w:t>
      </w:r>
    </w:p>
    <w:tbl>
      <w:tblPr>
        <w:tblStyle w:val="afe"/>
        <w:tblW w:w="6096" w:type="dxa"/>
        <w:tblInd w:w="108" w:type="dxa"/>
        <w:tblLayout w:type="fixed"/>
        <w:tblLook w:val="01E0" w:firstRow="1" w:lastRow="1" w:firstColumn="1" w:lastColumn="1" w:noHBand="0" w:noVBand="0"/>
      </w:tblPr>
      <w:tblGrid>
        <w:gridCol w:w="284"/>
        <w:gridCol w:w="4678"/>
        <w:gridCol w:w="1134"/>
      </w:tblGrid>
      <w:tr w:rsidR="00B233DE" w:rsidRPr="005256EF" w:rsidTr="0023489B">
        <w:trPr>
          <w:trHeight w:val="415"/>
        </w:trPr>
        <w:tc>
          <w:tcPr>
            <w:tcW w:w="284" w:type="dxa"/>
            <w:vAlign w:val="center"/>
          </w:tcPr>
          <w:p w:rsidR="00B233DE" w:rsidRPr="005256EF" w:rsidRDefault="00B233DE" w:rsidP="0023489B">
            <w:pPr>
              <w:ind w:left="-108" w:right="-108"/>
              <w:jc w:val="center"/>
              <w:rPr>
                <w:sz w:val="16"/>
                <w:szCs w:val="16"/>
              </w:rPr>
            </w:pPr>
            <w:r w:rsidRPr="005256EF">
              <w:rPr>
                <w:sz w:val="16"/>
                <w:szCs w:val="16"/>
              </w:rPr>
              <w:t>№ п/п</w:t>
            </w:r>
          </w:p>
        </w:tc>
        <w:tc>
          <w:tcPr>
            <w:tcW w:w="4678" w:type="dxa"/>
            <w:vAlign w:val="center"/>
          </w:tcPr>
          <w:p w:rsidR="00B233DE" w:rsidRPr="005256EF" w:rsidRDefault="00B233DE" w:rsidP="0023489B">
            <w:pPr>
              <w:ind w:left="-108" w:right="-108"/>
              <w:jc w:val="center"/>
              <w:rPr>
                <w:sz w:val="16"/>
                <w:szCs w:val="16"/>
              </w:rPr>
            </w:pPr>
            <w:r w:rsidRPr="005256EF">
              <w:rPr>
                <w:sz w:val="16"/>
                <w:szCs w:val="16"/>
              </w:rPr>
              <w:t>Визначення</w:t>
            </w:r>
          </w:p>
        </w:tc>
        <w:tc>
          <w:tcPr>
            <w:tcW w:w="1134" w:type="dxa"/>
            <w:vAlign w:val="center"/>
          </w:tcPr>
          <w:p w:rsidR="00B233DE" w:rsidRPr="005256EF" w:rsidRDefault="00B233DE" w:rsidP="0023489B">
            <w:pPr>
              <w:ind w:left="-108" w:right="-108"/>
              <w:jc w:val="center"/>
              <w:rPr>
                <w:sz w:val="16"/>
                <w:szCs w:val="16"/>
              </w:rPr>
            </w:pPr>
            <w:r w:rsidRPr="005256EF">
              <w:rPr>
                <w:sz w:val="16"/>
                <w:szCs w:val="16"/>
              </w:rPr>
              <w:t>Автор</w:t>
            </w:r>
          </w:p>
        </w:tc>
      </w:tr>
      <w:tr w:rsidR="00B233DE" w:rsidRPr="005256EF" w:rsidTr="0023489B">
        <w:tc>
          <w:tcPr>
            <w:tcW w:w="284" w:type="dxa"/>
            <w:vAlign w:val="center"/>
          </w:tcPr>
          <w:p w:rsidR="00B233DE" w:rsidRPr="005256EF" w:rsidRDefault="00B233DE" w:rsidP="0023489B">
            <w:pPr>
              <w:ind w:left="-108" w:right="-108"/>
              <w:jc w:val="center"/>
              <w:rPr>
                <w:sz w:val="16"/>
                <w:szCs w:val="16"/>
              </w:rPr>
            </w:pPr>
            <w:r w:rsidRPr="005256EF">
              <w:rPr>
                <w:sz w:val="16"/>
                <w:szCs w:val="16"/>
              </w:rPr>
              <w:t>1</w:t>
            </w:r>
          </w:p>
        </w:tc>
        <w:tc>
          <w:tcPr>
            <w:tcW w:w="4678" w:type="dxa"/>
          </w:tcPr>
          <w:p w:rsidR="00B233DE" w:rsidRPr="005256EF" w:rsidRDefault="00B233DE" w:rsidP="0023489B">
            <w:pPr>
              <w:ind w:left="-108" w:right="-108"/>
              <w:jc w:val="both"/>
              <w:rPr>
                <w:sz w:val="16"/>
                <w:szCs w:val="16"/>
              </w:rPr>
            </w:pPr>
            <w:r w:rsidRPr="005256EF">
              <w:rPr>
                <w:sz w:val="16"/>
                <w:szCs w:val="16"/>
              </w:rPr>
              <w:t>Людський потенціал – це високі якісні характеристики людини, її можливість прожити тривале та благополучне життя, головний елемент національного багатства та провідна мета суспільного розвитку [</w:t>
            </w:r>
            <w:r>
              <w:rPr>
                <w:sz w:val="16"/>
                <w:szCs w:val="16"/>
              </w:rPr>
              <w:fldChar w:fldCharType="begin"/>
            </w:r>
            <w:r>
              <w:rPr>
                <w:sz w:val="16"/>
                <w:szCs w:val="16"/>
              </w:rPr>
              <w:instrText xml:space="preserve"> REF _Ref430594275 \r \h </w:instrText>
            </w:r>
            <w:r>
              <w:rPr>
                <w:sz w:val="16"/>
                <w:szCs w:val="16"/>
              </w:rPr>
            </w:r>
            <w:r>
              <w:rPr>
                <w:sz w:val="16"/>
                <w:szCs w:val="16"/>
              </w:rPr>
              <w:fldChar w:fldCharType="separate"/>
            </w:r>
            <w:r>
              <w:rPr>
                <w:sz w:val="16"/>
                <w:szCs w:val="16"/>
              </w:rPr>
              <w:t>34</w:t>
            </w:r>
            <w:r>
              <w:rPr>
                <w:sz w:val="16"/>
                <w:szCs w:val="16"/>
              </w:rPr>
              <w:fldChar w:fldCharType="end"/>
            </w:r>
            <w:r w:rsidRPr="005256EF">
              <w:rPr>
                <w:sz w:val="16"/>
                <w:szCs w:val="16"/>
              </w:rPr>
              <w:t>, с. 16]</w:t>
            </w:r>
          </w:p>
        </w:tc>
        <w:tc>
          <w:tcPr>
            <w:tcW w:w="1134" w:type="dxa"/>
            <w:vAlign w:val="center"/>
          </w:tcPr>
          <w:p w:rsidR="00B233DE" w:rsidRPr="005256EF" w:rsidRDefault="00B233DE" w:rsidP="0023489B">
            <w:pPr>
              <w:ind w:left="-108" w:right="-108"/>
              <w:jc w:val="center"/>
              <w:rPr>
                <w:sz w:val="16"/>
                <w:szCs w:val="16"/>
              </w:rPr>
            </w:pPr>
            <w:r w:rsidRPr="005256EF">
              <w:rPr>
                <w:sz w:val="16"/>
                <w:szCs w:val="16"/>
              </w:rPr>
              <w:t>О. Амоша, В. Антонюк, О. Новікова</w:t>
            </w:r>
          </w:p>
        </w:tc>
      </w:tr>
      <w:tr w:rsidR="00B233DE" w:rsidRPr="005256EF" w:rsidTr="0023489B">
        <w:tc>
          <w:tcPr>
            <w:tcW w:w="284" w:type="dxa"/>
            <w:vAlign w:val="center"/>
          </w:tcPr>
          <w:p w:rsidR="00B233DE" w:rsidRPr="005256EF" w:rsidRDefault="00B233DE" w:rsidP="0023489B">
            <w:pPr>
              <w:ind w:left="-108" w:right="-108"/>
              <w:jc w:val="center"/>
              <w:rPr>
                <w:sz w:val="16"/>
                <w:szCs w:val="16"/>
              </w:rPr>
            </w:pPr>
            <w:r w:rsidRPr="005256EF">
              <w:rPr>
                <w:sz w:val="16"/>
                <w:szCs w:val="16"/>
              </w:rPr>
              <w:t>2</w:t>
            </w:r>
          </w:p>
        </w:tc>
        <w:tc>
          <w:tcPr>
            <w:tcW w:w="4678" w:type="dxa"/>
          </w:tcPr>
          <w:p w:rsidR="00B233DE" w:rsidRPr="005256EF" w:rsidRDefault="00B233DE" w:rsidP="0023489B">
            <w:pPr>
              <w:ind w:left="-108" w:right="-108"/>
              <w:jc w:val="both"/>
              <w:rPr>
                <w:sz w:val="16"/>
                <w:szCs w:val="16"/>
              </w:rPr>
            </w:pPr>
            <w:r w:rsidRPr="005256EF">
              <w:rPr>
                <w:sz w:val="16"/>
                <w:szCs w:val="16"/>
              </w:rPr>
              <w:t>Людський потенціал – це здібності, можливості й потреба людей працювати, сукупність різних їх якостей, що визначають особистість, як фізичних, так і духовних [</w:t>
            </w:r>
            <w:r>
              <w:rPr>
                <w:sz w:val="16"/>
                <w:szCs w:val="16"/>
              </w:rPr>
              <w:fldChar w:fldCharType="begin"/>
            </w:r>
            <w:r>
              <w:rPr>
                <w:sz w:val="16"/>
                <w:szCs w:val="16"/>
              </w:rPr>
              <w:instrText xml:space="preserve"> REF _Ref430594008 \r \h </w:instrText>
            </w:r>
            <w:r>
              <w:rPr>
                <w:sz w:val="16"/>
                <w:szCs w:val="16"/>
              </w:rPr>
            </w:r>
            <w:r>
              <w:rPr>
                <w:sz w:val="16"/>
                <w:szCs w:val="16"/>
              </w:rPr>
              <w:fldChar w:fldCharType="separate"/>
            </w:r>
            <w:r>
              <w:rPr>
                <w:sz w:val="16"/>
                <w:szCs w:val="16"/>
              </w:rPr>
              <w:t>7</w:t>
            </w:r>
            <w:r>
              <w:rPr>
                <w:sz w:val="16"/>
                <w:szCs w:val="16"/>
              </w:rPr>
              <w:fldChar w:fldCharType="end"/>
            </w:r>
            <w:r w:rsidRPr="005256EF">
              <w:rPr>
                <w:sz w:val="16"/>
                <w:szCs w:val="16"/>
              </w:rPr>
              <w:t>, с. 9]</w:t>
            </w:r>
          </w:p>
        </w:tc>
        <w:tc>
          <w:tcPr>
            <w:tcW w:w="1134" w:type="dxa"/>
            <w:vAlign w:val="center"/>
          </w:tcPr>
          <w:p w:rsidR="00B233DE" w:rsidRPr="005256EF" w:rsidRDefault="00B233DE" w:rsidP="0023489B">
            <w:pPr>
              <w:ind w:left="-108" w:right="-108"/>
              <w:jc w:val="center"/>
              <w:rPr>
                <w:sz w:val="16"/>
                <w:szCs w:val="16"/>
              </w:rPr>
            </w:pPr>
            <w:r w:rsidRPr="005256EF">
              <w:rPr>
                <w:sz w:val="16"/>
                <w:szCs w:val="16"/>
              </w:rPr>
              <w:t>Л. Безтелесна</w:t>
            </w:r>
          </w:p>
        </w:tc>
      </w:tr>
      <w:tr w:rsidR="00B233DE" w:rsidRPr="005256EF" w:rsidTr="0023489B">
        <w:tc>
          <w:tcPr>
            <w:tcW w:w="284" w:type="dxa"/>
            <w:vAlign w:val="center"/>
          </w:tcPr>
          <w:p w:rsidR="00B233DE" w:rsidRPr="005256EF" w:rsidRDefault="00B233DE" w:rsidP="0023489B">
            <w:pPr>
              <w:ind w:left="-108" w:right="-108"/>
              <w:jc w:val="center"/>
              <w:rPr>
                <w:sz w:val="16"/>
                <w:szCs w:val="16"/>
              </w:rPr>
            </w:pPr>
            <w:r w:rsidRPr="005256EF">
              <w:rPr>
                <w:sz w:val="16"/>
                <w:szCs w:val="16"/>
              </w:rPr>
              <w:t>3</w:t>
            </w:r>
          </w:p>
        </w:tc>
        <w:tc>
          <w:tcPr>
            <w:tcW w:w="4678" w:type="dxa"/>
          </w:tcPr>
          <w:p w:rsidR="00B233DE" w:rsidRPr="005256EF" w:rsidRDefault="00B233DE" w:rsidP="0023489B">
            <w:pPr>
              <w:ind w:left="-108" w:right="-108"/>
              <w:jc w:val="both"/>
              <w:rPr>
                <w:sz w:val="16"/>
                <w:szCs w:val="16"/>
              </w:rPr>
            </w:pPr>
            <w:r w:rsidRPr="005256EF">
              <w:rPr>
                <w:sz w:val="16"/>
                <w:szCs w:val="16"/>
              </w:rPr>
              <w:t>Людський потенціал – це сукупна здатність суспільства до освоєння і осмислення світу, накопичення знань, створення на цій основі інтелектуальних продуктів та системи прийняття, переробки, використання, відтворення і передавання інформації [</w:t>
            </w:r>
            <w:r>
              <w:rPr>
                <w:sz w:val="16"/>
                <w:szCs w:val="16"/>
              </w:rPr>
              <w:fldChar w:fldCharType="begin"/>
            </w:r>
            <w:r>
              <w:rPr>
                <w:sz w:val="16"/>
                <w:szCs w:val="16"/>
              </w:rPr>
              <w:instrText xml:space="preserve"> REF _Ref430594387 \r \h </w:instrText>
            </w:r>
            <w:r>
              <w:rPr>
                <w:sz w:val="16"/>
                <w:szCs w:val="16"/>
              </w:rPr>
            </w:r>
            <w:r>
              <w:rPr>
                <w:sz w:val="16"/>
                <w:szCs w:val="16"/>
              </w:rPr>
              <w:fldChar w:fldCharType="separate"/>
            </w:r>
            <w:r>
              <w:rPr>
                <w:sz w:val="16"/>
                <w:szCs w:val="16"/>
              </w:rPr>
              <w:t>10</w:t>
            </w:r>
            <w:r>
              <w:rPr>
                <w:sz w:val="16"/>
                <w:szCs w:val="16"/>
              </w:rPr>
              <w:fldChar w:fldCharType="end"/>
            </w:r>
            <w:r w:rsidRPr="005256EF">
              <w:rPr>
                <w:sz w:val="16"/>
                <w:szCs w:val="16"/>
              </w:rPr>
              <w:t>, с. 31]</w:t>
            </w:r>
          </w:p>
        </w:tc>
        <w:tc>
          <w:tcPr>
            <w:tcW w:w="1134" w:type="dxa"/>
            <w:vAlign w:val="center"/>
          </w:tcPr>
          <w:p w:rsidR="00B233DE" w:rsidRPr="005256EF" w:rsidRDefault="00B233DE" w:rsidP="0023489B">
            <w:pPr>
              <w:ind w:left="-108" w:right="-108"/>
              <w:jc w:val="center"/>
              <w:rPr>
                <w:sz w:val="16"/>
                <w:szCs w:val="16"/>
              </w:rPr>
            </w:pPr>
            <w:r w:rsidRPr="005256EF">
              <w:rPr>
                <w:sz w:val="16"/>
                <w:szCs w:val="16"/>
              </w:rPr>
              <w:t>В. Близнюк</w:t>
            </w:r>
          </w:p>
        </w:tc>
      </w:tr>
      <w:tr w:rsidR="00B233DE" w:rsidRPr="005256EF" w:rsidTr="0023489B">
        <w:tc>
          <w:tcPr>
            <w:tcW w:w="284" w:type="dxa"/>
            <w:vAlign w:val="center"/>
          </w:tcPr>
          <w:p w:rsidR="00B233DE" w:rsidRPr="005256EF" w:rsidRDefault="00B233DE" w:rsidP="0023489B">
            <w:pPr>
              <w:ind w:left="-108" w:right="-108"/>
              <w:jc w:val="center"/>
              <w:rPr>
                <w:sz w:val="16"/>
                <w:szCs w:val="16"/>
              </w:rPr>
            </w:pPr>
            <w:r w:rsidRPr="005256EF">
              <w:rPr>
                <w:sz w:val="16"/>
                <w:szCs w:val="16"/>
              </w:rPr>
              <w:t>5</w:t>
            </w:r>
          </w:p>
        </w:tc>
        <w:tc>
          <w:tcPr>
            <w:tcW w:w="4678" w:type="dxa"/>
          </w:tcPr>
          <w:p w:rsidR="00B233DE" w:rsidRPr="005256EF" w:rsidRDefault="00B233DE" w:rsidP="0023489B">
            <w:pPr>
              <w:ind w:left="-108" w:right="-108"/>
              <w:jc w:val="both"/>
              <w:rPr>
                <w:sz w:val="16"/>
                <w:szCs w:val="16"/>
              </w:rPr>
            </w:pPr>
            <w:r w:rsidRPr="005256EF">
              <w:rPr>
                <w:sz w:val="16"/>
                <w:szCs w:val="16"/>
              </w:rPr>
              <w:t>Людський потенціал – це поняття, яке, будучи близьким по змісту до таких понять як трудовий або виробничий потенціал, визначає більш широкий спектр соціально-демографічних і трудових відносин у суспільстві [</w:t>
            </w:r>
            <w:r>
              <w:rPr>
                <w:sz w:val="16"/>
                <w:szCs w:val="16"/>
              </w:rPr>
              <w:fldChar w:fldCharType="begin"/>
            </w:r>
            <w:r>
              <w:rPr>
                <w:sz w:val="16"/>
                <w:szCs w:val="16"/>
              </w:rPr>
              <w:instrText xml:space="preserve"> REF _Ref430594247 \r \h </w:instrText>
            </w:r>
            <w:r>
              <w:rPr>
                <w:sz w:val="16"/>
                <w:szCs w:val="16"/>
              </w:rPr>
            </w:r>
            <w:r>
              <w:rPr>
                <w:sz w:val="16"/>
                <w:szCs w:val="16"/>
              </w:rPr>
              <w:fldChar w:fldCharType="separate"/>
            </w:r>
            <w:r>
              <w:rPr>
                <w:sz w:val="16"/>
                <w:szCs w:val="16"/>
              </w:rPr>
              <w:t>11</w:t>
            </w:r>
            <w:r>
              <w:rPr>
                <w:sz w:val="16"/>
                <w:szCs w:val="16"/>
              </w:rPr>
              <w:fldChar w:fldCharType="end"/>
            </w:r>
            <w:r w:rsidRPr="005256EF">
              <w:rPr>
                <w:sz w:val="16"/>
                <w:szCs w:val="16"/>
              </w:rPr>
              <w:t>, с. 58]</w:t>
            </w:r>
          </w:p>
        </w:tc>
        <w:tc>
          <w:tcPr>
            <w:tcW w:w="1134" w:type="dxa"/>
            <w:vAlign w:val="center"/>
          </w:tcPr>
          <w:p w:rsidR="00B233DE" w:rsidRPr="005256EF" w:rsidRDefault="00B233DE" w:rsidP="0023489B">
            <w:pPr>
              <w:ind w:left="-108" w:right="-108"/>
              <w:jc w:val="center"/>
              <w:rPr>
                <w:sz w:val="16"/>
                <w:szCs w:val="16"/>
              </w:rPr>
            </w:pPr>
            <w:r w:rsidRPr="005256EF">
              <w:rPr>
                <w:sz w:val="16"/>
                <w:szCs w:val="16"/>
              </w:rPr>
              <w:t>Д. Богиня</w:t>
            </w:r>
          </w:p>
        </w:tc>
      </w:tr>
      <w:tr w:rsidR="00B233DE" w:rsidRPr="005256EF" w:rsidTr="0023489B">
        <w:tc>
          <w:tcPr>
            <w:tcW w:w="284" w:type="dxa"/>
            <w:vAlign w:val="center"/>
          </w:tcPr>
          <w:p w:rsidR="00B233DE" w:rsidRPr="005256EF" w:rsidRDefault="00B233DE" w:rsidP="0023489B">
            <w:pPr>
              <w:ind w:left="-108" w:right="-108"/>
              <w:jc w:val="center"/>
              <w:rPr>
                <w:sz w:val="16"/>
                <w:szCs w:val="16"/>
              </w:rPr>
            </w:pPr>
            <w:r w:rsidRPr="005256EF">
              <w:rPr>
                <w:sz w:val="16"/>
                <w:szCs w:val="16"/>
              </w:rPr>
              <w:t>6</w:t>
            </w:r>
          </w:p>
        </w:tc>
        <w:tc>
          <w:tcPr>
            <w:tcW w:w="4678" w:type="dxa"/>
          </w:tcPr>
          <w:p w:rsidR="00B233DE" w:rsidRPr="005256EF" w:rsidRDefault="00B233DE" w:rsidP="0023489B">
            <w:pPr>
              <w:ind w:left="-108" w:right="-108"/>
              <w:jc w:val="both"/>
              <w:rPr>
                <w:sz w:val="16"/>
                <w:szCs w:val="16"/>
              </w:rPr>
            </w:pPr>
            <w:r w:rsidRPr="005256EF">
              <w:rPr>
                <w:sz w:val="16"/>
                <w:szCs w:val="16"/>
              </w:rPr>
              <w:t>Людський потенціал – це сукупність соціально-демографічного, соціально-економічного, діяльнісного та соціокультурного потенціалів [</w:t>
            </w:r>
            <w:r>
              <w:rPr>
                <w:sz w:val="16"/>
                <w:szCs w:val="16"/>
              </w:rPr>
              <w:t>Людський потенціал</w:t>
            </w:r>
            <w:r w:rsidRPr="005256EF">
              <w:rPr>
                <w:sz w:val="16"/>
                <w:szCs w:val="16"/>
              </w:rPr>
              <w:t xml:space="preserve">, </w:t>
            </w:r>
            <w:r w:rsidRPr="005256EF">
              <w:rPr>
                <w:sz w:val="16"/>
                <w:szCs w:val="16"/>
                <w:lang w:val="en-US"/>
              </w:rPr>
              <w:t>c</w:t>
            </w:r>
            <w:r w:rsidRPr="005256EF">
              <w:rPr>
                <w:sz w:val="16"/>
                <w:szCs w:val="16"/>
              </w:rPr>
              <w:t>. 35]</w:t>
            </w:r>
          </w:p>
        </w:tc>
        <w:tc>
          <w:tcPr>
            <w:tcW w:w="1134" w:type="dxa"/>
            <w:vAlign w:val="center"/>
          </w:tcPr>
          <w:p w:rsidR="00B233DE" w:rsidRPr="005256EF" w:rsidRDefault="00B233DE" w:rsidP="0023489B">
            <w:pPr>
              <w:ind w:left="-108" w:right="-108"/>
              <w:jc w:val="center"/>
              <w:rPr>
                <w:sz w:val="16"/>
                <w:szCs w:val="16"/>
              </w:rPr>
            </w:pPr>
            <w:r w:rsidRPr="005256EF">
              <w:rPr>
                <w:sz w:val="16"/>
                <w:szCs w:val="16"/>
              </w:rPr>
              <w:t>О. Грішнова</w:t>
            </w:r>
          </w:p>
          <w:p w:rsidR="00B233DE" w:rsidRPr="005256EF" w:rsidRDefault="00B233DE" w:rsidP="0023489B">
            <w:pPr>
              <w:ind w:left="-108" w:right="-108"/>
              <w:jc w:val="center"/>
              <w:rPr>
                <w:sz w:val="16"/>
                <w:szCs w:val="16"/>
              </w:rPr>
            </w:pPr>
            <w:r w:rsidRPr="005256EF">
              <w:rPr>
                <w:sz w:val="16"/>
                <w:szCs w:val="16"/>
              </w:rPr>
              <w:t>Е. Лібанова</w:t>
            </w:r>
          </w:p>
        </w:tc>
      </w:tr>
      <w:tr w:rsidR="00B233DE" w:rsidRPr="005256EF" w:rsidTr="0023489B">
        <w:tc>
          <w:tcPr>
            <w:tcW w:w="284" w:type="dxa"/>
            <w:vAlign w:val="center"/>
          </w:tcPr>
          <w:p w:rsidR="00B233DE" w:rsidRPr="005256EF" w:rsidRDefault="00B233DE" w:rsidP="0023489B">
            <w:pPr>
              <w:ind w:left="-108" w:right="-108"/>
              <w:jc w:val="center"/>
              <w:rPr>
                <w:sz w:val="16"/>
                <w:szCs w:val="16"/>
              </w:rPr>
            </w:pPr>
            <w:r w:rsidRPr="005256EF">
              <w:rPr>
                <w:sz w:val="16"/>
                <w:szCs w:val="16"/>
              </w:rPr>
              <w:t>7</w:t>
            </w:r>
          </w:p>
        </w:tc>
        <w:tc>
          <w:tcPr>
            <w:tcW w:w="4678" w:type="dxa"/>
          </w:tcPr>
          <w:p w:rsidR="00B233DE" w:rsidRPr="005256EF" w:rsidRDefault="00B233DE" w:rsidP="0023489B">
            <w:pPr>
              <w:ind w:left="-108" w:right="-108"/>
              <w:jc w:val="both"/>
              <w:rPr>
                <w:sz w:val="16"/>
                <w:szCs w:val="16"/>
              </w:rPr>
            </w:pPr>
            <w:r w:rsidRPr="005256EF">
              <w:rPr>
                <w:sz w:val="16"/>
                <w:szCs w:val="16"/>
              </w:rPr>
              <w:t>Людський потенціал – це системне утворення, зміст і функції якого розкриваються у процесі взаємозв’язку і взаємодії його складових, реалізація яких у ході життєдіяльності призводить до певних досягнень людини, що мають соціальну значимість [</w:t>
            </w:r>
            <w:r>
              <w:rPr>
                <w:sz w:val="16"/>
                <w:szCs w:val="16"/>
              </w:rPr>
              <w:fldChar w:fldCharType="begin"/>
            </w:r>
            <w:r>
              <w:rPr>
                <w:sz w:val="16"/>
                <w:szCs w:val="16"/>
              </w:rPr>
              <w:instrText xml:space="preserve"> REF _Ref430594070 \r \h </w:instrText>
            </w:r>
            <w:r>
              <w:rPr>
                <w:sz w:val="16"/>
                <w:szCs w:val="16"/>
              </w:rPr>
            </w:r>
            <w:r>
              <w:rPr>
                <w:sz w:val="16"/>
                <w:szCs w:val="16"/>
              </w:rPr>
              <w:fldChar w:fldCharType="separate"/>
            </w:r>
            <w:r>
              <w:rPr>
                <w:sz w:val="16"/>
                <w:szCs w:val="16"/>
              </w:rPr>
              <w:t>48</w:t>
            </w:r>
            <w:r>
              <w:rPr>
                <w:sz w:val="16"/>
                <w:szCs w:val="16"/>
              </w:rPr>
              <w:fldChar w:fldCharType="end"/>
            </w:r>
            <w:r w:rsidRPr="005256EF">
              <w:rPr>
                <w:sz w:val="16"/>
                <w:szCs w:val="16"/>
              </w:rPr>
              <w:t xml:space="preserve">, </w:t>
            </w:r>
            <w:r w:rsidRPr="005256EF">
              <w:rPr>
                <w:sz w:val="16"/>
                <w:szCs w:val="16"/>
                <w:lang w:val="en-US"/>
              </w:rPr>
              <w:t>c</w:t>
            </w:r>
            <w:r w:rsidRPr="005256EF">
              <w:rPr>
                <w:sz w:val="16"/>
                <w:szCs w:val="16"/>
              </w:rPr>
              <w:t>. 17]</w:t>
            </w:r>
          </w:p>
        </w:tc>
        <w:tc>
          <w:tcPr>
            <w:tcW w:w="1134" w:type="dxa"/>
            <w:vAlign w:val="center"/>
          </w:tcPr>
          <w:p w:rsidR="00B233DE" w:rsidRPr="005256EF" w:rsidRDefault="00B233DE" w:rsidP="0023489B">
            <w:pPr>
              <w:ind w:left="-108" w:right="-108"/>
              <w:jc w:val="center"/>
              <w:rPr>
                <w:sz w:val="16"/>
                <w:szCs w:val="16"/>
              </w:rPr>
            </w:pPr>
            <w:r w:rsidRPr="005256EF">
              <w:rPr>
                <w:sz w:val="16"/>
                <w:szCs w:val="16"/>
              </w:rPr>
              <w:t>С. Пирожков</w:t>
            </w:r>
          </w:p>
        </w:tc>
      </w:tr>
      <w:tr w:rsidR="00B233DE" w:rsidRPr="005256EF" w:rsidTr="0023489B">
        <w:tc>
          <w:tcPr>
            <w:tcW w:w="284" w:type="dxa"/>
            <w:vAlign w:val="center"/>
          </w:tcPr>
          <w:p w:rsidR="00B233DE" w:rsidRPr="005256EF" w:rsidRDefault="00B233DE" w:rsidP="0023489B">
            <w:pPr>
              <w:ind w:left="-108" w:right="-108"/>
              <w:jc w:val="center"/>
              <w:rPr>
                <w:sz w:val="16"/>
                <w:szCs w:val="16"/>
              </w:rPr>
            </w:pPr>
            <w:r w:rsidRPr="005256EF">
              <w:rPr>
                <w:sz w:val="16"/>
                <w:szCs w:val="16"/>
              </w:rPr>
              <w:t>8</w:t>
            </w:r>
          </w:p>
        </w:tc>
        <w:tc>
          <w:tcPr>
            <w:tcW w:w="4678" w:type="dxa"/>
          </w:tcPr>
          <w:p w:rsidR="00B233DE" w:rsidRPr="005256EF" w:rsidRDefault="00B233DE" w:rsidP="0023489B">
            <w:pPr>
              <w:ind w:left="-108" w:right="-108"/>
              <w:jc w:val="both"/>
              <w:rPr>
                <w:sz w:val="16"/>
                <w:szCs w:val="16"/>
              </w:rPr>
            </w:pPr>
            <w:r w:rsidRPr="005256EF">
              <w:rPr>
                <w:sz w:val="16"/>
                <w:szCs w:val="16"/>
              </w:rPr>
              <w:t>Людський потенціал – це можливий рівень досягнення економікою країни бажаних темпів економічного зростання з використанням наявного людського та інтелектуального капіталу [</w:t>
            </w:r>
            <w:r>
              <w:rPr>
                <w:sz w:val="16"/>
                <w:szCs w:val="16"/>
              </w:rPr>
              <w:fldChar w:fldCharType="begin"/>
            </w:r>
            <w:r>
              <w:rPr>
                <w:sz w:val="16"/>
                <w:szCs w:val="16"/>
              </w:rPr>
              <w:instrText xml:space="preserve"> REF _Ref430594507 \r \h </w:instrText>
            </w:r>
            <w:r>
              <w:rPr>
                <w:sz w:val="16"/>
                <w:szCs w:val="16"/>
              </w:rPr>
            </w:r>
            <w:r>
              <w:rPr>
                <w:sz w:val="16"/>
                <w:szCs w:val="16"/>
              </w:rPr>
              <w:fldChar w:fldCharType="separate"/>
            </w:r>
            <w:r>
              <w:rPr>
                <w:sz w:val="16"/>
                <w:szCs w:val="16"/>
              </w:rPr>
              <w:t>49</w:t>
            </w:r>
            <w:r>
              <w:rPr>
                <w:sz w:val="16"/>
                <w:szCs w:val="16"/>
              </w:rPr>
              <w:fldChar w:fldCharType="end"/>
            </w:r>
            <w:r w:rsidRPr="005256EF">
              <w:rPr>
                <w:sz w:val="16"/>
                <w:szCs w:val="16"/>
              </w:rPr>
              <w:t xml:space="preserve">, </w:t>
            </w:r>
            <w:r w:rsidRPr="005256EF">
              <w:rPr>
                <w:sz w:val="16"/>
                <w:szCs w:val="16"/>
                <w:lang w:val="en-US"/>
              </w:rPr>
              <w:t>c</w:t>
            </w:r>
            <w:r w:rsidRPr="005256EF">
              <w:rPr>
                <w:sz w:val="16"/>
                <w:szCs w:val="16"/>
              </w:rPr>
              <w:t>. 50]</w:t>
            </w:r>
          </w:p>
        </w:tc>
        <w:tc>
          <w:tcPr>
            <w:tcW w:w="1134" w:type="dxa"/>
            <w:vAlign w:val="center"/>
          </w:tcPr>
          <w:p w:rsidR="00B233DE" w:rsidRPr="005256EF" w:rsidRDefault="00B233DE" w:rsidP="0023489B">
            <w:pPr>
              <w:ind w:left="-108" w:right="-108"/>
              <w:jc w:val="center"/>
              <w:rPr>
                <w:sz w:val="16"/>
                <w:szCs w:val="16"/>
              </w:rPr>
            </w:pPr>
            <w:r w:rsidRPr="005256EF">
              <w:rPr>
                <w:sz w:val="16"/>
                <w:szCs w:val="16"/>
              </w:rPr>
              <w:t>В. Порохня</w:t>
            </w:r>
          </w:p>
        </w:tc>
      </w:tr>
      <w:tr w:rsidR="00B233DE" w:rsidRPr="005256EF" w:rsidTr="0023489B">
        <w:tc>
          <w:tcPr>
            <w:tcW w:w="284" w:type="dxa"/>
            <w:vAlign w:val="center"/>
          </w:tcPr>
          <w:p w:rsidR="00B233DE" w:rsidRPr="005256EF" w:rsidRDefault="00B233DE" w:rsidP="0023489B">
            <w:pPr>
              <w:ind w:left="-108" w:right="-108"/>
              <w:jc w:val="center"/>
              <w:rPr>
                <w:sz w:val="16"/>
                <w:szCs w:val="16"/>
              </w:rPr>
            </w:pPr>
            <w:r w:rsidRPr="005256EF">
              <w:rPr>
                <w:sz w:val="16"/>
                <w:szCs w:val="16"/>
              </w:rPr>
              <w:t>9</w:t>
            </w:r>
          </w:p>
        </w:tc>
        <w:tc>
          <w:tcPr>
            <w:tcW w:w="4678" w:type="dxa"/>
          </w:tcPr>
          <w:p w:rsidR="00B233DE" w:rsidRPr="005256EF" w:rsidRDefault="00B233DE" w:rsidP="0023489B">
            <w:pPr>
              <w:ind w:left="-108" w:right="-108"/>
              <w:jc w:val="both"/>
              <w:rPr>
                <w:sz w:val="16"/>
                <w:szCs w:val="16"/>
              </w:rPr>
            </w:pPr>
            <w:r w:rsidRPr="005256EF">
              <w:rPr>
                <w:sz w:val="16"/>
                <w:szCs w:val="16"/>
              </w:rPr>
              <w:t>Людський потенціал – це людський капітал та соціально-економічні умови його формування, розвитку і використання [</w:t>
            </w:r>
            <w:r>
              <w:rPr>
                <w:sz w:val="16"/>
                <w:szCs w:val="16"/>
              </w:rPr>
              <w:fldChar w:fldCharType="begin"/>
            </w:r>
            <w:r>
              <w:rPr>
                <w:sz w:val="16"/>
                <w:szCs w:val="16"/>
              </w:rPr>
              <w:instrText xml:space="preserve"> REF _Ref430594363 \r \h </w:instrText>
            </w:r>
            <w:r>
              <w:rPr>
                <w:sz w:val="16"/>
                <w:szCs w:val="16"/>
              </w:rPr>
            </w:r>
            <w:r>
              <w:rPr>
                <w:sz w:val="16"/>
                <w:szCs w:val="16"/>
              </w:rPr>
              <w:fldChar w:fldCharType="separate"/>
            </w:r>
            <w:r>
              <w:rPr>
                <w:sz w:val="16"/>
                <w:szCs w:val="16"/>
              </w:rPr>
              <w:t>50</w:t>
            </w:r>
            <w:r>
              <w:rPr>
                <w:sz w:val="16"/>
                <w:szCs w:val="16"/>
              </w:rPr>
              <w:fldChar w:fldCharType="end"/>
            </w:r>
            <w:r w:rsidRPr="005256EF">
              <w:rPr>
                <w:sz w:val="16"/>
                <w:szCs w:val="16"/>
              </w:rPr>
              <w:t>, с. 9]</w:t>
            </w:r>
          </w:p>
        </w:tc>
        <w:tc>
          <w:tcPr>
            <w:tcW w:w="1134" w:type="dxa"/>
            <w:vAlign w:val="center"/>
          </w:tcPr>
          <w:p w:rsidR="00B233DE" w:rsidRPr="005256EF" w:rsidRDefault="00B233DE" w:rsidP="0023489B">
            <w:pPr>
              <w:ind w:left="-108" w:right="-108"/>
              <w:jc w:val="center"/>
              <w:rPr>
                <w:sz w:val="16"/>
                <w:szCs w:val="16"/>
              </w:rPr>
            </w:pPr>
            <w:r w:rsidRPr="005256EF">
              <w:rPr>
                <w:sz w:val="16"/>
                <w:szCs w:val="16"/>
              </w:rPr>
              <w:t>В. Приймак</w:t>
            </w:r>
          </w:p>
        </w:tc>
      </w:tr>
      <w:tr w:rsidR="00B233DE" w:rsidRPr="005256EF" w:rsidTr="0023489B">
        <w:tc>
          <w:tcPr>
            <w:tcW w:w="284" w:type="dxa"/>
            <w:vAlign w:val="center"/>
          </w:tcPr>
          <w:p w:rsidR="00B233DE" w:rsidRPr="005256EF" w:rsidRDefault="00B233DE" w:rsidP="0023489B">
            <w:pPr>
              <w:ind w:left="-108" w:right="-108"/>
              <w:jc w:val="center"/>
              <w:rPr>
                <w:sz w:val="16"/>
                <w:szCs w:val="16"/>
              </w:rPr>
            </w:pPr>
            <w:r w:rsidRPr="005256EF">
              <w:rPr>
                <w:sz w:val="16"/>
                <w:szCs w:val="16"/>
              </w:rPr>
              <w:t>10</w:t>
            </w:r>
          </w:p>
        </w:tc>
        <w:tc>
          <w:tcPr>
            <w:tcW w:w="4678" w:type="dxa"/>
          </w:tcPr>
          <w:p w:rsidR="00B233DE" w:rsidRPr="005256EF" w:rsidRDefault="00B233DE" w:rsidP="0023489B">
            <w:pPr>
              <w:ind w:left="-108" w:right="-108"/>
              <w:jc w:val="both"/>
              <w:rPr>
                <w:sz w:val="16"/>
                <w:szCs w:val="16"/>
              </w:rPr>
            </w:pPr>
            <w:r w:rsidRPr="005256EF">
              <w:rPr>
                <w:sz w:val="16"/>
                <w:szCs w:val="16"/>
              </w:rPr>
              <w:t>Людський потенціал – це здібності людини, що не залежать від рівня їх використання в матеріальному або нематеріальному виробництві [</w:t>
            </w:r>
            <w:r>
              <w:rPr>
                <w:sz w:val="16"/>
                <w:szCs w:val="16"/>
              </w:rPr>
              <w:fldChar w:fldCharType="begin"/>
            </w:r>
            <w:r>
              <w:rPr>
                <w:sz w:val="16"/>
                <w:szCs w:val="16"/>
              </w:rPr>
              <w:instrText xml:space="preserve"> REF _Ref430594450 \r \h </w:instrText>
            </w:r>
            <w:r>
              <w:rPr>
                <w:sz w:val="16"/>
                <w:szCs w:val="16"/>
              </w:rPr>
            </w:r>
            <w:r>
              <w:rPr>
                <w:sz w:val="16"/>
                <w:szCs w:val="16"/>
              </w:rPr>
              <w:fldChar w:fldCharType="separate"/>
            </w:r>
            <w:r>
              <w:rPr>
                <w:sz w:val="16"/>
                <w:szCs w:val="16"/>
              </w:rPr>
              <w:t>52</w:t>
            </w:r>
            <w:r>
              <w:rPr>
                <w:sz w:val="16"/>
                <w:szCs w:val="16"/>
              </w:rPr>
              <w:fldChar w:fldCharType="end"/>
            </w:r>
            <w:r w:rsidRPr="005256EF">
              <w:rPr>
                <w:sz w:val="16"/>
                <w:szCs w:val="16"/>
              </w:rPr>
              <w:t>, с. 31]</w:t>
            </w:r>
          </w:p>
        </w:tc>
        <w:tc>
          <w:tcPr>
            <w:tcW w:w="1134" w:type="dxa"/>
            <w:vAlign w:val="center"/>
          </w:tcPr>
          <w:p w:rsidR="00B233DE" w:rsidRPr="005256EF" w:rsidRDefault="00B233DE" w:rsidP="0023489B">
            <w:pPr>
              <w:ind w:left="-108" w:right="-108"/>
              <w:jc w:val="center"/>
              <w:rPr>
                <w:sz w:val="16"/>
                <w:szCs w:val="16"/>
              </w:rPr>
            </w:pPr>
            <w:r w:rsidRPr="005256EF">
              <w:rPr>
                <w:sz w:val="16"/>
                <w:szCs w:val="16"/>
              </w:rPr>
              <w:t>Л. Семів</w:t>
            </w:r>
          </w:p>
        </w:tc>
      </w:tr>
      <w:tr w:rsidR="00B233DE" w:rsidRPr="005256EF" w:rsidTr="0023489B">
        <w:tc>
          <w:tcPr>
            <w:tcW w:w="284" w:type="dxa"/>
            <w:vAlign w:val="center"/>
          </w:tcPr>
          <w:p w:rsidR="00B233DE" w:rsidRPr="005256EF" w:rsidRDefault="00B233DE" w:rsidP="0023489B">
            <w:pPr>
              <w:ind w:left="-108" w:right="-108"/>
              <w:jc w:val="center"/>
              <w:rPr>
                <w:sz w:val="16"/>
                <w:szCs w:val="16"/>
              </w:rPr>
            </w:pPr>
            <w:r w:rsidRPr="005256EF">
              <w:rPr>
                <w:sz w:val="16"/>
                <w:szCs w:val="16"/>
              </w:rPr>
              <w:t>11</w:t>
            </w:r>
          </w:p>
        </w:tc>
        <w:tc>
          <w:tcPr>
            <w:tcW w:w="4678" w:type="dxa"/>
          </w:tcPr>
          <w:p w:rsidR="00B233DE" w:rsidRPr="005256EF" w:rsidRDefault="00B233DE" w:rsidP="0023489B">
            <w:pPr>
              <w:ind w:left="-108" w:right="-108"/>
              <w:jc w:val="both"/>
              <w:rPr>
                <w:sz w:val="16"/>
                <w:szCs w:val="16"/>
              </w:rPr>
            </w:pPr>
            <w:r w:rsidRPr="005256EF">
              <w:rPr>
                <w:sz w:val="16"/>
                <w:szCs w:val="16"/>
              </w:rPr>
              <w:t>Людський потенціал – це сукупність наявних або природних здібностей до інтелектуальної, творчої, розумової, економічної, культурної діяльності з метою індивідуального та суспільного розвитку [</w:t>
            </w:r>
            <w:r>
              <w:rPr>
                <w:sz w:val="16"/>
                <w:szCs w:val="16"/>
              </w:rPr>
              <w:fldChar w:fldCharType="begin"/>
            </w:r>
            <w:r>
              <w:rPr>
                <w:sz w:val="16"/>
                <w:szCs w:val="16"/>
              </w:rPr>
              <w:instrText xml:space="preserve"> REF _Ref430594429 \r \h </w:instrText>
            </w:r>
            <w:r>
              <w:rPr>
                <w:sz w:val="16"/>
                <w:szCs w:val="16"/>
              </w:rPr>
            </w:r>
            <w:r>
              <w:rPr>
                <w:sz w:val="16"/>
                <w:szCs w:val="16"/>
              </w:rPr>
              <w:fldChar w:fldCharType="separate"/>
            </w:r>
            <w:r>
              <w:rPr>
                <w:sz w:val="16"/>
                <w:szCs w:val="16"/>
              </w:rPr>
              <w:t>36</w:t>
            </w:r>
            <w:r>
              <w:rPr>
                <w:sz w:val="16"/>
                <w:szCs w:val="16"/>
              </w:rPr>
              <w:fldChar w:fldCharType="end"/>
            </w:r>
            <w:r w:rsidRPr="005256EF">
              <w:rPr>
                <w:sz w:val="16"/>
                <w:szCs w:val="16"/>
              </w:rPr>
              <w:t xml:space="preserve">, </w:t>
            </w:r>
            <w:r w:rsidRPr="005256EF">
              <w:rPr>
                <w:sz w:val="16"/>
                <w:szCs w:val="16"/>
                <w:lang w:val="en-US"/>
              </w:rPr>
              <w:t>c</w:t>
            </w:r>
            <w:r w:rsidRPr="005256EF">
              <w:rPr>
                <w:sz w:val="16"/>
                <w:szCs w:val="16"/>
              </w:rPr>
              <w:t>. 69]</w:t>
            </w:r>
          </w:p>
        </w:tc>
        <w:tc>
          <w:tcPr>
            <w:tcW w:w="1134" w:type="dxa"/>
            <w:vAlign w:val="center"/>
          </w:tcPr>
          <w:p w:rsidR="00B233DE" w:rsidRPr="005256EF" w:rsidRDefault="00B233DE" w:rsidP="0023489B">
            <w:pPr>
              <w:ind w:left="-108" w:right="-108"/>
              <w:jc w:val="center"/>
              <w:rPr>
                <w:sz w:val="16"/>
                <w:szCs w:val="16"/>
              </w:rPr>
            </w:pPr>
            <w:r w:rsidRPr="005256EF">
              <w:rPr>
                <w:sz w:val="16"/>
                <w:szCs w:val="16"/>
              </w:rPr>
              <w:t>О. Стефанишин</w:t>
            </w:r>
          </w:p>
        </w:tc>
      </w:tr>
      <w:tr w:rsidR="00B233DE" w:rsidRPr="005256EF" w:rsidTr="0023489B">
        <w:tc>
          <w:tcPr>
            <w:tcW w:w="284" w:type="dxa"/>
            <w:vAlign w:val="center"/>
          </w:tcPr>
          <w:p w:rsidR="00B233DE" w:rsidRPr="005256EF" w:rsidRDefault="00B233DE" w:rsidP="0023489B">
            <w:pPr>
              <w:ind w:left="-108" w:right="-108"/>
              <w:jc w:val="center"/>
              <w:rPr>
                <w:sz w:val="16"/>
                <w:szCs w:val="16"/>
              </w:rPr>
            </w:pPr>
            <w:r w:rsidRPr="005256EF">
              <w:rPr>
                <w:sz w:val="16"/>
                <w:szCs w:val="16"/>
              </w:rPr>
              <w:t>12</w:t>
            </w:r>
          </w:p>
        </w:tc>
        <w:tc>
          <w:tcPr>
            <w:tcW w:w="4678" w:type="dxa"/>
          </w:tcPr>
          <w:p w:rsidR="00B233DE" w:rsidRPr="005256EF" w:rsidRDefault="00B233DE" w:rsidP="0023489B">
            <w:pPr>
              <w:ind w:left="-108" w:right="-108"/>
              <w:jc w:val="both"/>
              <w:rPr>
                <w:sz w:val="16"/>
                <w:szCs w:val="16"/>
              </w:rPr>
            </w:pPr>
            <w:r w:rsidRPr="005256EF">
              <w:rPr>
                <w:sz w:val="16"/>
                <w:szCs w:val="16"/>
              </w:rPr>
              <w:t>Людський потенціал – це наявні в даний момент чи в майбутньому людські можливості, які можуть бути використані в будь-якій сфері суспільно корисної діяльності для досягнення поставленої мети [</w:t>
            </w:r>
            <w:r>
              <w:rPr>
                <w:sz w:val="16"/>
                <w:szCs w:val="16"/>
              </w:rPr>
              <w:fldChar w:fldCharType="begin"/>
            </w:r>
            <w:r>
              <w:rPr>
                <w:sz w:val="16"/>
                <w:szCs w:val="16"/>
              </w:rPr>
              <w:instrText xml:space="preserve"> REF _Ref430594534 \r \h </w:instrText>
            </w:r>
            <w:r>
              <w:rPr>
                <w:sz w:val="16"/>
                <w:szCs w:val="16"/>
              </w:rPr>
            </w:r>
            <w:r>
              <w:rPr>
                <w:sz w:val="16"/>
                <w:szCs w:val="16"/>
              </w:rPr>
              <w:fldChar w:fldCharType="separate"/>
            </w:r>
            <w:r>
              <w:rPr>
                <w:sz w:val="16"/>
                <w:szCs w:val="16"/>
              </w:rPr>
              <w:t>64</w:t>
            </w:r>
            <w:r>
              <w:rPr>
                <w:sz w:val="16"/>
                <w:szCs w:val="16"/>
              </w:rPr>
              <w:fldChar w:fldCharType="end"/>
            </w:r>
            <w:r w:rsidRPr="005256EF">
              <w:rPr>
                <w:sz w:val="16"/>
                <w:szCs w:val="16"/>
              </w:rPr>
              <w:t xml:space="preserve">, </w:t>
            </w:r>
            <w:r w:rsidRPr="005256EF">
              <w:rPr>
                <w:sz w:val="16"/>
                <w:szCs w:val="16"/>
                <w:lang w:val="en-US"/>
              </w:rPr>
              <w:t>c</w:t>
            </w:r>
            <w:r w:rsidRPr="005256EF">
              <w:rPr>
                <w:sz w:val="16"/>
                <w:szCs w:val="16"/>
              </w:rPr>
              <w:t>. 192]</w:t>
            </w:r>
          </w:p>
        </w:tc>
        <w:tc>
          <w:tcPr>
            <w:tcW w:w="1134" w:type="dxa"/>
            <w:vAlign w:val="center"/>
          </w:tcPr>
          <w:p w:rsidR="00B233DE" w:rsidRPr="005256EF" w:rsidRDefault="00B233DE" w:rsidP="0023489B">
            <w:pPr>
              <w:ind w:left="-108" w:right="-108"/>
              <w:jc w:val="center"/>
              <w:rPr>
                <w:sz w:val="16"/>
                <w:szCs w:val="16"/>
              </w:rPr>
            </w:pPr>
            <w:r w:rsidRPr="005256EF">
              <w:rPr>
                <w:sz w:val="16"/>
                <w:szCs w:val="16"/>
              </w:rPr>
              <w:t>С. Трубич</w:t>
            </w:r>
          </w:p>
        </w:tc>
      </w:tr>
      <w:tr w:rsidR="00B233DE" w:rsidRPr="005256EF" w:rsidTr="0023489B">
        <w:tc>
          <w:tcPr>
            <w:tcW w:w="284" w:type="dxa"/>
            <w:vAlign w:val="center"/>
          </w:tcPr>
          <w:p w:rsidR="00B233DE" w:rsidRPr="005256EF" w:rsidRDefault="00B233DE" w:rsidP="0023489B">
            <w:pPr>
              <w:ind w:left="-108" w:right="-108"/>
              <w:jc w:val="center"/>
              <w:rPr>
                <w:sz w:val="16"/>
                <w:szCs w:val="16"/>
              </w:rPr>
            </w:pPr>
            <w:r w:rsidRPr="005256EF">
              <w:rPr>
                <w:sz w:val="16"/>
                <w:szCs w:val="16"/>
              </w:rPr>
              <w:t>13</w:t>
            </w:r>
          </w:p>
        </w:tc>
        <w:tc>
          <w:tcPr>
            <w:tcW w:w="4678" w:type="dxa"/>
          </w:tcPr>
          <w:p w:rsidR="00B233DE" w:rsidRPr="005256EF" w:rsidRDefault="00B233DE" w:rsidP="0023489B">
            <w:pPr>
              <w:autoSpaceDE w:val="0"/>
              <w:autoSpaceDN w:val="0"/>
              <w:adjustRightInd w:val="0"/>
              <w:ind w:left="-108" w:right="-108"/>
              <w:rPr>
                <w:rFonts w:eastAsia="TimesNewRoman"/>
                <w:sz w:val="16"/>
                <w:szCs w:val="16"/>
              </w:rPr>
            </w:pPr>
            <w:r w:rsidRPr="005256EF">
              <w:rPr>
                <w:rFonts w:eastAsia="TimesNewRoman"/>
                <w:sz w:val="16"/>
                <w:szCs w:val="16"/>
              </w:rPr>
              <w:t>Людський потенціал – сукупна здат</w:t>
            </w:r>
            <w:r>
              <w:rPr>
                <w:rFonts w:eastAsia="TimesNewRoman"/>
                <w:sz w:val="16"/>
                <w:szCs w:val="16"/>
              </w:rPr>
              <w:t>ність певної людської спільно</w:t>
            </w:r>
            <w:r w:rsidRPr="005256EF">
              <w:rPr>
                <w:rFonts w:eastAsia="TimesNewRoman"/>
                <w:sz w:val="16"/>
                <w:szCs w:val="16"/>
              </w:rPr>
              <w:t xml:space="preserve">ти </w:t>
            </w:r>
            <w:r w:rsidRPr="00E633B5">
              <w:rPr>
                <w:rFonts w:eastAsia="TimesNewRoman"/>
                <w:spacing w:val="-8"/>
                <w:sz w:val="16"/>
                <w:szCs w:val="16"/>
              </w:rPr>
              <w:t>(народу, територіальної громади, трудового колективу підприємства</w:t>
            </w:r>
            <w:r w:rsidRPr="005256EF">
              <w:rPr>
                <w:rFonts w:eastAsia="TimesNewRoman"/>
                <w:sz w:val="16"/>
                <w:szCs w:val="16"/>
              </w:rPr>
              <w:t xml:space="preserve"> тощо) </w:t>
            </w:r>
            <w:r w:rsidRPr="00E633B5">
              <w:rPr>
                <w:rFonts w:eastAsia="TimesNewRoman"/>
                <w:spacing w:val="-6"/>
                <w:sz w:val="16"/>
                <w:szCs w:val="16"/>
              </w:rPr>
              <w:t>і окремої людини до економічної і соціальної діяльності та розвитку</w:t>
            </w:r>
            <w:r w:rsidRPr="005256EF">
              <w:rPr>
                <w:sz w:val="16"/>
                <w:szCs w:val="16"/>
              </w:rPr>
              <w:t xml:space="preserve"> [</w:t>
            </w:r>
            <w:r>
              <w:rPr>
                <w:sz w:val="16"/>
                <w:szCs w:val="16"/>
              </w:rPr>
              <w:fldChar w:fldCharType="begin"/>
            </w:r>
            <w:r>
              <w:rPr>
                <w:sz w:val="16"/>
                <w:szCs w:val="16"/>
              </w:rPr>
              <w:instrText xml:space="preserve"> REF _Ref430594397 \r \h </w:instrText>
            </w:r>
            <w:r>
              <w:rPr>
                <w:sz w:val="16"/>
                <w:szCs w:val="16"/>
              </w:rPr>
            </w:r>
            <w:r>
              <w:rPr>
                <w:sz w:val="16"/>
                <w:szCs w:val="16"/>
              </w:rPr>
              <w:fldChar w:fldCharType="separate"/>
            </w:r>
            <w:r>
              <w:rPr>
                <w:sz w:val="16"/>
                <w:szCs w:val="16"/>
              </w:rPr>
              <w:t>68</w:t>
            </w:r>
            <w:r>
              <w:rPr>
                <w:sz w:val="16"/>
                <w:szCs w:val="16"/>
              </w:rPr>
              <w:fldChar w:fldCharType="end"/>
            </w:r>
            <w:r w:rsidRPr="005256EF">
              <w:rPr>
                <w:rFonts w:eastAsia="TimesNewRoman"/>
                <w:sz w:val="16"/>
                <w:szCs w:val="16"/>
              </w:rPr>
              <w:t>, с. 93</w:t>
            </w:r>
            <w:r>
              <w:rPr>
                <w:rFonts w:eastAsia="TimesNewRoman"/>
                <w:sz w:val="16"/>
                <w:szCs w:val="16"/>
              </w:rPr>
              <w:t>–</w:t>
            </w:r>
            <w:r w:rsidRPr="005256EF">
              <w:rPr>
                <w:rFonts w:eastAsia="TimesNewRoman"/>
                <w:sz w:val="16"/>
                <w:szCs w:val="16"/>
              </w:rPr>
              <w:t>94</w:t>
            </w:r>
            <w:r w:rsidRPr="005256EF">
              <w:rPr>
                <w:sz w:val="16"/>
                <w:szCs w:val="16"/>
              </w:rPr>
              <w:t>]</w:t>
            </w:r>
          </w:p>
        </w:tc>
        <w:tc>
          <w:tcPr>
            <w:tcW w:w="1134" w:type="dxa"/>
            <w:vAlign w:val="center"/>
          </w:tcPr>
          <w:p w:rsidR="00B233DE" w:rsidRPr="005256EF" w:rsidRDefault="00B233DE" w:rsidP="0023489B">
            <w:pPr>
              <w:ind w:left="-108" w:right="-108"/>
              <w:jc w:val="center"/>
              <w:rPr>
                <w:sz w:val="16"/>
                <w:szCs w:val="16"/>
              </w:rPr>
            </w:pPr>
            <w:r w:rsidRPr="005256EF">
              <w:rPr>
                <w:sz w:val="16"/>
                <w:szCs w:val="16"/>
              </w:rPr>
              <w:t>Л. Шаульська</w:t>
            </w:r>
          </w:p>
        </w:tc>
      </w:tr>
    </w:tbl>
    <w:p w:rsidR="00B233DE" w:rsidRDefault="00B233DE" w:rsidP="00B233DE">
      <w:pPr>
        <w:ind w:firstLine="709"/>
        <w:jc w:val="both"/>
        <w:rPr>
          <w:rFonts w:ascii="Times New Roman" w:hAnsi="Times New Roman" w:cs="Times New Roman"/>
          <w:sz w:val="21"/>
          <w:szCs w:val="21"/>
        </w:rPr>
      </w:pPr>
    </w:p>
    <w:p w:rsidR="00B233DE" w:rsidRPr="006A4FCE" w:rsidRDefault="00B233DE" w:rsidP="00B233DE">
      <w:pPr>
        <w:tabs>
          <w:tab w:val="left" w:pos="900"/>
          <w:tab w:val="left" w:pos="1260"/>
        </w:tabs>
        <w:ind w:firstLine="567"/>
        <w:jc w:val="both"/>
        <w:rPr>
          <w:rFonts w:ascii="Times New Roman" w:hAnsi="Times New Roman" w:cs="Times New Roman"/>
          <w:sz w:val="21"/>
          <w:szCs w:val="21"/>
        </w:rPr>
      </w:pPr>
      <w:r w:rsidRPr="006A4FCE">
        <w:rPr>
          <w:rFonts w:ascii="Times New Roman" w:hAnsi="Times New Roman" w:cs="Times New Roman"/>
          <w:sz w:val="21"/>
          <w:szCs w:val="21"/>
        </w:rPr>
        <w:lastRenderedPageBreak/>
        <w:t>У вітчизняній науковій думці становлення концепції розвитку людського потенціалу започаткувало пошук взаємозв’язку, тотожності та відмінності між поняттями «населення», «робоча сила», «трудові ресурси», «трудовий потенціал» і «людський потенціал» (табл. 1.3).</w:t>
      </w:r>
    </w:p>
    <w:p w:rsidR="00B233DE" w:rsidRPr="006A4FCE" w:rsidRDefault="00B233DE" w:rsidP="00B233DE">
      <w:pPr>
        <w:tabs>
          <w:tab w:val="left" w:pos="900"/>
          <w:tab w:val="left" w:pos="1260"/>
        </w:tabs>
        <w:ind w:firstLine="567"/>
        <w:jc w:val="right"/>
        <w:rPr>
          <w:rFonts w:ascii="Times New Roman" w:hAnsi="Times New Roman" w:cs="Times New Roman"/>
          <w:sz w:val="21"/>
          <w:szCs w:val="21"/>
        </w:rPr>
      </w:pPr>
      <w:r>
        <w:rPr>
          <w:rFonts w:ascii="Times New Roman" w:hAnsi="Times New Roman" w:cs="Times New Roman"/>
          <w:sz w:val="21"/>
          <w:szCs w:val="21"/>
        </w:rPr>
        <w:t>Таблиця 1.3</w:t>
      </w:r>
    </w:p>
    <w:p w:rsidR="00B233DE" w:rsidRPr="006A4FCE" w:rsidRDefault="00B233DE" w:rsidP="00B233DE">
      <w:pPr>
        <w:tabs>
          <w:tab w:val="left" w:pos="900"/>
          <w:tab w:val="left" w:pos="1260"/>
        </w:tabs>
        <w:ind w:firstLine="567"/>
        <w:jc w:val="center"/>
        <w:rPr>
          <w:rFonts w:ascii="Times New Roman" w:hAnsi="Times New Roman" w:cs="Times New Roman"/>
          <w:b/>
          <w:sz w:val="21"/>
          <w:szCs w:val="21"/>
        </w:rPr>
      </w:pPr>
      <w:r w:rsidRPr="006A4FCE">
        <w:rPr>
          <w:rFonts w:ascii="Times New Roman" w:hAnsi="Times New Roman" w:cs="Times New Roman"/>
          <w:b/>
          <w:sz w:val="21"/>
          <w:szCs w:val="21"/>
        </w:rPr>
        <w:t>Виявлення окремих характеристик та їх відображення у поняттях «населення», «робоча сила», «трудові ресурси», «трудовий потенціал» і «людський потенціал»*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51"/>
        <w:gridCol w:w="1043"/>
        <w:gridCol w:w="621"/>
        <w:gridCol w:w="657"/>
        <w:gridCol w:w="741"/>
        <w:gridCol w:w="827"/>
      </w:tblGrid>
      <w:tr w:rsidR="00B233DE" w:rsidRPr="006A4FCE" w:rsidTr="0023489B">
        <w:trPr>
          <w:cantSplit/>
          <w:trHeight w:val="583"/>
        </w:trPr>
        <w:tc>
          <w:tcPr>
            <w:tcW w:w="4068" w:type="dxa"/>
            <w:shd w:val="clear" w:color="auto" w:fill="auto"/>
            <w:vAlign w:val="center"/>
          </w:tcPr>
          <w:p w:rsidR="00B233DE" w:rsidRPr="006A4FCE" w:rsidRDefault="00B233DE" w:rsidP="0023489B">
            <w:pPr>
              <w:tabs>
                <w:tab w:val="left" w:pos="1041"/>
              </w:tabs>
              <w:ind w:left="-142" w:right="-103" w:firstLine="0"/>
              <w:jc w:val="center"/>
              <w:rPr>
                <w:rFonts w:ascii="Times New Roman" w:hAnsi="Times New Roman" w:cs="Times New Roman"/>
                <w:sz w:val="16"/>
                <w:szCs w:val="16"/>
              </w:rPr>
            </w:pPr>
            <w:r w:rsidRPr="006A4FCE">
              <w:rPr>
                <w:rFonts w:ascii="Times New Roman" w:hAnsi="Times New Roman" w:cs="Times New Roman"/>
                <w:sz w:val="16"/>
                <w:szCs w:val="16"/>
              </w:rPr>
              <w:t>Складові поняття</w:t>
            </w:r>
          </w:p>
        </w:tc>
        <w:tc>
          <w:tcPr>
            <w:tcW w:w="1620" w:type="dxa"/>
            <w:shd w:val="clear" w:color="auto" w:fill="auto"/>
            <w:vAlign w:val="center"/>
          </w:tcPr>
          <w:p w:rsidR="00B233DE" w:rsidRPr="006A4FCE" w:rsidRDefault="00B233DE" w:rsidP="0023489B">
            <w:pPr>
              <w:tabs>
                <w:tab w:val="left" w:pos="1041"/>
              </w:tabs>
              <w:ind w:left="-142" w:right="-103" w:firstLine="0"/>
              <w:jc w:val="center"/>
              <w:rPr>
                <w:rFonts w:ascii="Times New Roman" w:hAnsi="Times New Roman" w:cs="Times New Roman"/>
                <w:sz w:val="16"/>
                <w:szCs w:val="16"/>
              </w:rPr>
            </w:pPr>
            <w:r w:rsidRPr="006A4FCE">
              <w:rPr>
                <w:rFonts w:ascii="Times New Roman" w:hAnsi="Times New Roman" w:cs="Times New Roman"/>
                <w:sz w:val="16"/>
                <w:szCs w:val="16"/>
              </w:rPr>
              <w:t>Населення</w:t>
            </w:r>
          </w:p>
        </w:tc>
        <w:tc>
          <w:tcPr>
            <w:tcW w:w="900" w:type="dxa"/>
            <w:shd w:val="clear" w:color="auto" w:fill="auto"/>
            <w:vAlign w:val="center"/>
          </w:tcPr>
          <w:p w:rsidR="00B233DE" w:rsidRPr="006A4FCE" w:rsidRDefault="00B233DE" w:rsidP="0023489B">
            <w:pPr>
              <w:tabs>
                <w:tab w:val="left" w:pos="1041"/>
              </w:tabs>
              <w:ind w:left="-142" w:right="-103" w:firstLine="0"/>
              <w:jc w:val="center"/>
              <w:rPr>
                <w:rFonts w:ascii="Times New Roman" w:hAnsi="Times New Roman" w:cs="Times New Roman"/>
                <w:sz w:val="16"/>
                <w:szCs w:val="16"/>
              </w:rPr>
            </w:pPr>
            <w:r w:rsidRPr="006A4FCE">
              <w:rPr>
                <w:rFonts w:ascii="Times New Roman" w:hAnsi="Times New Roman" w:cs="Times New Roman"/>
                <w:sz w:val="16"/>
                <w:szCs w:val="16"/>
              </w:rPr>
              <w:t>Робоча сила</w:t>
            </w:r>
          </w:p>
        </w:tc>
        <w:tc>
          <w:tcPr>
            <w:tcW w:w="900" w:type="dxa"/>
            <w:shd w:val="clear" w:color="auto" w:fill="auto"/>
            <w:vAlign w:val="center"/>
          </w:tcPr>
          <w:p w:rsidR="00B233DE" w:rsidRPr="006A4FCE" w:rsidRDefault="00B233DE" w:rsidP="0023489B">
            <w:pPr>
              <w:tabs>
                <w:tab w:val="left" w:pos="1041"/>
              </w:tabs>
              <w:ind w:left="-142" w:right="-103" w:firstLine="0"/>
              <w:jc w:val="center"/>
              <w:rPr>
                <w:rFonts w:ascii="Times New Roman" w:hAnsi="Times New Roman" w:cs="Times New Roman"/>
                <w:sz w:val="16"/>
                <w:szCs w:val="16"/>
              </w:rPr>
            </w:pPr>
            <w:r w:rsidRPr="006A4FCE">
              <w:rPr>
                <w:rFonts w:ascii="Times New Roman" w:hAnsi="Times New Roman" w:cs="Times New Roman"/>
                <w:sz w:val="16"/>
                <w:szCs w:val="16"/>
              </w:rPr>
              <w:t>Трудові ресурси</w:t>
            </w:r>
          </w:p>
        </w:tc>
        <w:tc>
          <w:tcPr>
            <w:tcW w:w="900" w:type="dxa"/>
            <w:shd w:val="clear" w:color="auto" w:fill="auto"/>
            <w:vAlign w:val="center"/>
          </w:tcPr>
          <w:p w:rsidR="00B233DE" w:rsidRPr="006A4FCE" w:rsidRDefault="00B233DE" w:rsidP="0023489B">
            <w:pPr>
              <w:tabs>
                <w:tab w:val="left" w:pos="1041"/>
              </w:tabs>
              <w:ind w:left="-142" w:right="-103" w:firstLine="0"/>
              <w:jc w:val="center"/>
              <w:rPr>
                <w:rFonts w:ascii="Times New Roman" w:hAnsi="Times New Roman" w:cs="Times New Roman"/>
                <w:sz w:val="16"/>
                <w:szCs w:val="16"/>
              </w:rPr>
            </w:pPr>
            <w:r w:rsidRPr="006A4FCE">
              <w:rPr>
                <w:rFonts w:ascii="Times New Roman" w:hAnsi="Times New Roman" w:cs="Times New Roman"/>
                <w:sz w:val="16"/>
                <w:szCs w:val="16"/>
              </w:rPr>
              <w:t>Трудовий потенціал</w:t>
            </w:r>
          </w:p>
        </w:tc>
        <w:tc>
          <w:tcPr>
            <w:tcW w:w="1080" w:type="dxa"/>
            <w:shd w:val="clear" w:color="auto" w:fill="auto"/>
            <w:vAlign w:val="center"/>
          </w:tcPr>
          <w:p w:rsidR="00B233DE" w:rsidRPr="006A4FCE" w:rsidRDefault="00B233DE" w:rsidP="0023489B">
            <w:pPr>
              <w:tabs>
                <w:tab w:val="left" w:pos="1041"/>
              </w:tabs>
              <w:ind w:left="-142" w:right="-103" w:firstLine="0"/>
              <w:jc w:val="center"/>
              <w:rPr>
                <w:rFonts w:ascii="Times New Roman" w:hAnsi="Times New Roman" w:cs="Times New Roman"/>
                <w:sz w:val="16"/>
                <w:szCs w:val="16"/>
              </w:rPr>
            </w:pPr>
            <w:r w:rsidRPr="006A4FCE">
              <w:rPr>
                <w:rFonts w:ascii="Times New Roman" w:hAnsi="Times New Roman" w:cs="Times New Roman"/>
                <w:sz w:val="16"/>
                <w:szCs w:val="16"/>
              </w:rPr>
              <w:t>Людський потенціал</w:t>
            </w:r>
          </w:p>
        </w:tc>
      </w:tr>
      <w:tr w:rsidR="00B233DE" w:rsidRPr="006A4FCE" w:rsidTr="0023489B">
        <w:tc>
          <w:tcPr>
            <w:tcW w:w="4068" w:type="dxa"/>
            <w:shd w:val="clear" w:color="auto" w:fill="auto"/>
            <w:vAlign w:val="center"/>
          </w:tcPr>
          <w:p w:rsidR="00B233DE" w:rsidRPr="006A4FCE" w:rsidRDefault="00B233DE" w:rsidP="0023489B">
            <w:pPr>
              <w:tabs>
                <w:tab w:val="left" w:pos="1041"/>
              </w:tabs>
              <w:ind w:right="-103" w:firstLine="0"/>
              <w:rPr>
                <w:rFonts w:ascii="Times New Roman" w:hAnsi="Times New Roman" w:cs="Times New Roman"/>
                <w:sz w:val="16"/>
                <w:szCs w:val="16"/>
              </w:rPr>
            </w:pPr>
            <w:r w:rsidRPr="006A4FCE">
              <w:rPr>
                <w:rFonts w:ascii="Times New Roman" w:hAnsi="Times New Roman" w:cs="Times New Roman"/>
                <w:sz w:val="16"/>
                <w:szCs w:val="16"/>
              </w:rPr>
              <w:t>Статево-вікова структура</w:t>
            </w:r>
          </w:p>
        </w:tc>
        <w:tc>
          <w:tcPr>
            <w:tcW w:w="162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108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r>
      <w:tr w:rsidR="00B233DE" w:rsidRPr="006A4FCE" w:rsidTr="0023489B">
        <w:tc>
          <w:tcPr>
            <w:tcW w:w="4068" w:type="dxa"/>
            <w:shd w:val="clear" w:color="auto" w:fill="auto"/>
            <w:vAlign w:val="center"/>
          </w:tcPr>
          <w:p w:rsidR="00B233DE" w:rsidRPr="006A4FCE" w:rsidRDefault="00B233DE" w:rsidP="0023489B">
            <w:pPr>
              <w:tabs>
                <w:tab w:val="left" w:pos="1041"/>
              </w:tabs>
              <w:ind w:right="-103" w:firstLine="0"/>
              <w:rPr>
                <w:rFonts w:ascii="Times New Roman" w:hAnsi="Times New Roman" w:cs="Times New Roman"/>
                <w:sz w:val="16"/>
                <w:szCs w:val="16"/>
              </w:rPr>
            </w:pPr>
            <w:r w:rsidRPr="006A4FCE">
              <w:rPr>
                <w:rFonts w:ascii="Times New Roman" w:hAnsi="Times New Roman" w:cs="Times New Roman"/>
                <w:sz w:val="16"/>
                <w:szCs w:val="16"/>
              </w:rPr>
              <w:t>Шлюбно-сімейна структура</w:t>
            </w:r>
          </w:p>
        </w:tc>
        <w:tc>
          <w:tcPr>
            <w:tcW w:w="162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108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r>
      <w:tr w:rsidR="00B233DE" w:rsidRPr="006A4FCE" w:rsidTr="0023489B">
        <w:tc>
          <w:tcPr>
            <w:tcW w:w="4068" w:type="dxa"/>
            <w:shd w:val="clear" w:color="auto" w:fill="auto"/>
            <w:vAlign w:val="center"/>
          </w:tcPr>
          <w:p w:rsidR="00B233DE" w:rsidRPr="006A4FCE" w:rsidRDefault="00B233DE" w:rsidP="0023489B">
            <w:pPr>
              <w:tabs>
                <w:tab w:val="left" w:pos="1041"/>
              </w:tabs>
              <w:ind w:right="-103" w:firstLine="0"/>
              <w:rPr>
                <w:rFonts w:ascii="Times New Roman" w:hAnsi="Times New Roman" w:cs="Times New Roman"/>
                <w:sz w:val="16"/>
                <w:szCs w:val="16"/>
              </w:rPr>
            </w:pPr>
            <w:r w:rsidRPr="006A4FCE">
              <w:rPr>
                <w:rFonts w:ascii="Times New Roman" w:hAnsi="Times New Roman" w:cs="Times New Roman"/>
                <w:sz w:val="16"/>
                <w:szCs w:val="16"/>
              </w:rPr>
              <w:t>Динаміка чисельності та складу</w:t>
            </w:r>
          </w:p>
        </w:tc>
        <w:tc>
          <w:tcPr>
            <w:tcW w:w="162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108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r>
      <w:tr w:rsidR="00B233DE" w:rsidRPr="006A4FCE" w:rsidTr="0023489B">
        <w:tc>
          <w:tcPr>
            <w:tcW w:w="4068" w:type="dxa"/>
            <w:shd w:val="clear" w:color="auto" w:fill="auto"/>
            <w:vAlign w:val="center"/>
          </w:tcPr>
          <w:p w:rsidR="00B233DE" w:rsidRPr="006A4FCE" w:rsidRDefault="00B233DE" w:rsidP="0023489B">
            <w:pPr>
              <w:tabs>
                <w:tab w:val="left" w:pos="1041"/>
              </w:tabs>
              <w:ind w:right="-103" w:firstLine="0"/>
              <w:rPr>
                <w:rFonts w:ascii="Times New Roman" w:hAnsi="Times New Roman" w:cs="Times New Roman"/>
                <w:sz w:val="16"/>
                <w:szCs w:val="16"/>
              </w:rPr>
            </w:pPr>
            <w:r w:rsidRPr="006A4FCE">
              <w:rPr>
                <w:rFonts w:ascii="Times New Roman" w:hAnsi="Times New Roman" w:cs="Times New Roman"/>
                <w:sz w:val="16"/>
                <w:szCs w:val="16"/>
              </w:rPr>
              <w:t>Етнічний склад</w:t>
            </w:r>
          </w:p>
        </w:tc>
        <w:tc>
          <w:tcPr>
            <w:tcW w:w="162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108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r>
      <w:tr w:rsidR="00B233DE" w:rsidRPr="006A4FCE" w:rsidTr="0023489B">
        <w:tc>
          <w:tcPr>
            <w:tcW w:w="4068" w:type="dxa"/>
            <w:shd w:val="clear" w:color="auto" w:fill="auto"/>
            <w:vAlign w:val="center"/>
          </w:tcPr>
          <w:p w:rsidR="00B233DE" w:rsidRPr="006A4FCE" w:rsidRDefault="00B233DE" w:rsidP="0023489B">
            <w:pPr>
              <w:tabs>
                <w:tab w:val="left" w:pos="1041"/>
              </w:tabs>
              <w:ind w:right="-103" w:firstLine="0"/>
              <w:rPr>
                <w:rFonts w:ascii="Times New Roman" w:hAnsi="Times New Roman" w:cs="Times New Roman"/>
                <w:sz w:val="16"/>
                <w:szCs w:val="16"/>
              </w:rPr>
            </w:pPr>
            <w:r w:rsidRPr="006A4FCE">
              <w:rPr>
                <w:rFonts w:ascii="Times New Roman" w:hAnsi="Times New Roman" w:cs="Times New Roman"/>
                <w:sz w:val="16"/>
                <w:szCs w:val="16"/>
              </w:rPr>
              <w:t>Працездатний вік</w:t>
            </w:r>
          </w:p>
        </w:tc>
        <w:tc>
          <w:tcPr>
            <w:tcW w:w="162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108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r>
      <w:tr w:rsidR="00B233DE" w:rsidRPr="006A4FCE" w:rsidTr="0023489B">
        <w:tc>
          <w:tcPr>
            <w:tcW w:w="4068" w:type="dxa"/>
            <w:shd w:val="clear" w:color="auto" w:fill="auto"/>
            <w:vAlign w:val="center"/>
          </w:tcPr>
          <w:p w:rsidR="00B233DE" w:rsidRPr="006A4FCE" w:rsidRDefault="00B233DE" w:rsidP="0023489B">
            <w:pPr>
              <w:tabs>
                <w:tab w:val="left" w:pos="1041"/>
              </w:tabs>
              <w:ind w:right="-103" w:firstLine="0"/>
              <w:rPr>
                <w:rFonts w:ascii="Times New Roman" w:hAnsi="Times New Roman" w:cs="Times New Roman"/>
                <w:sz w:val="16"/>
                <w:szCs w:val="16"/>
              </w:rPr>
            </w:pPr>
            <w:r w:rsidRPr="006A4FCE">
              <w:rPr>
                <w:rFonts w:ascii="Times New Roman" w:hAnsi="Times New Roman" w:cs="Times New Roman"/>
                <w:sz w:val="16"/>
                <w:szCs w:val="16"/>
              </w:rPr>
              <w:t>Освітньо-кваліфікаційний рівень</w:t>
            </w:r>
          </w:p>
        </w:tc>
        <w:tc>
          <w:tcPr>
            <w:tcW w:w="162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108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r>
      <w:tr w:rsidR="00B233DE" w:rsidRPr="006A4FCE" w:rsidTr="0023489B">
        <w:tc>
          <w:tcPr>
            <w:tcW w:w="4068" w:type="dxa"/>
            <w:shd w:val="clear" w:color="auto" w:fill="auto"/>
            <w:vAlign w:val="center"/>
          </w:tcPr>
          <w:p w:rsidR="00B233DE" w:rsidRPr="006A4FCE" w:rsidRDefault="00B233DE" w:rsidP="0023489B">
            <w:pPr>
              <w:tabs>
                <w:tab w:val="left" w:pos="1041"/>
              </w:tabs>
              <w:ind w:right="-103" w:firstLine="0"/>
              <w:rPr>
                <w:rFonts w:ascii="Times New Roman" w:hAnsi="Times New Roman" w:cs="Times New Roman"/>
                <w:sz w:val="16"/>
                <w:szCs w:val="16"/>
              </w:rPr>
            </w:pPr>
            <w:r w:rsidRPr="006A4FCE">
              <w:rPr>
                <w:rFonts w:ascii="Times New Roman" w:hAnsi="Times New Roman" w:cs="Times New Roman"/>
                <w:sz w:val="16"/>
                <w:szCs w:val="16"/>
              </w:rPr>
              <w:t>Міграційна мобільність</w:t>
            </w:r>
          </w:p>
        </w:tc>
        <w:tc>
          <w:tcPr>
            <w:tcW w:w="162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108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r>
      <w:tr w:rsidR="00B233DE" w:rsidRPr="006A4FCE" w:rsidTr="0023489B">
        <w:tc>
          <w:tcPr>
            <w:tcW w:w="4068" w:type="dxa"/>
            <w:shd w:val="clear" w:color="auto" w:fill="auto"/>
            <w:vAlign w:val="center"/>
          </w:tcPr>
          <w:p w:rsidR="00B233DE" w:rsidRPr="006A4FCE" w:rsidRDefault="00B233DE" w:rsidP="0023489B">
            <w:pPr>
              <w:tabs>
                <w:tab w:val="left" w:pos="1041"/>
              </w:tabs>
              <w:ind w:right="-103" w:firstLine="0"/>
              <w:rPr>
                <w:rFonts w:ascii="Times New Roman" w:hAnsi="Times New Roman" w:cs="Times New Roman"/>
                <w:sz w:val="16"/>
                <w:szCs w:val="16"/>
              </w:rPr>
            </w:pPr>
            <w:r w:rsidRPr="006A4FCE">
              <w:rPr>
                <w:rFonts w:ascii="Times New Roman" w:hAnsi="Times New Roman" w:cs="Times New Roman"/>
                <w:sz w:val="16"/>
                <w:szCs w:val="16"/>
              </w:rPr>
              <w:t>Науково-технічний, інтелектуальний, творчий потенціал</w:t>
            </w:r>
          </w:p>
        </w:tc>
        <w:tc>
          <w:tcPr>
            <w:tcW w:w="162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108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r>
      <w:tr w:rsidR="00B233DE" w:rsidRPr="006A4FCE" w:rsidTr="0023489B">
        <w:tc>
          <w:tcPr>
            <w:tcW w:w="4068" w:type="dxa"/>
            <w:shd w:val="clear" w:color="auto" w:fill="auto"/>
            <w:vAlign w:val="center"/>
          </w:tcPr>
          <w:p w:rsidR="00B233DE" w:rsidRPr="006A4FCE" w:rsidRDefault="00B233DE" w:rsidP="0023489B">
            <w:pPr>
              <w:tabs>
                <w:tab w:val="left" w:pos="1041"/>
              </w:tabs>
              <w:ind w:right="-103" w:firstLine="0"/>
              <w:rPr>
                <w:rFonts w:ascii="Times New Roman" w:hAnsi="Times New Roman" w:cs="Times New Roman"/>
                <w:sz w:val="16"/>
                <w:szCs w:val="16"/>
              </w:rPr>
            </w:pPr>
            <w:r w:rsidRPr="006A4FCE">
              <w:rPr>
                <w:rFonts w:ascii="Times New Roman" w:hAnsi="Times New Roman" w:cs="Times New Roman"/>
                <w:sz w:val="16"/>
                <w:szCs w:val="16"/>
              </w:rPr>
              <w:t>Зовнішньотрудовий потенціал</w:t>
            </w:r>
          </w:p>
        </w:tc>
        <w:tc>
          <w:tcPr>
            <w:tcW w:w="162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108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r>
      <w:tr w:rsidR="00B233DE" w:rsidRPr="006A4FCE" w:rsidTr="0023489B">
        <w:tc>
          <w:tcPr>
            <w:tcW w:w="4068" w:type="dxa"/>
            <w:shd w:val="clear" w:color="auto" w:fill="auto"/>
            <w:vAlign w:val="center"/>
          </w:tcPr>
          <w:p w:rsidR="00B233DE" w:rsidRPr="006A4FCE" w:rsidRDefault="00B233DE" w:rsidP="0023489B">
            <w:pPr>
              <w:tabs>
                <w:tab w:val="left" w:pos="1041"/>
              </w:tabs>
              <w:ind w:right="-103" w:firstLine="0"/>
              <w:rPr>
                <w:rFonts w:ascii="Times New Roman" w:hAnsi="Times New Roman" w:cs="Times New Roman"/>
                <w:sz w:val="16"/>
                <w:szCs w:val="16"/>
              </w:rPr>
            </w:pPr>
            <w:r w:rsidRPr="006A4FCE">
              <w:rPr>
                <w:rFonts w:ascii="Times New Roman" w:hAnsi="Times New Roman" w:cs="Times New Roman"/>
                <w:sz w:val="16"/>
                <w:szCs w:val="16"/>
              </w:rPr>
              <w:t>Демографічний потенціал</w:t>
            </w:r>
          </w:p>
        </w:tc>
        <w:tc>
          <w:tcPr>
            <w:tcW w:w="162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108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r>
      <w:tr w:rsidR="00B233DE" w:rsidRPr="006A4FCE" w:rsidTr="0023489B">
        <w:tc>
          <w:tcPr>
            <w:tcW w:w="4068" w:type="dxa"/>
            <w:shd w:val="clear" w:color="auto" w:fill="auto"/>
            <w:vAlign w:val="center"/>
          </w:tcPr>
          <w:p w:rsidR="00B233DE" w:rsidRPr="006A4FCE" w:rsidRDefault="00B233DE" w:rsidP="0023489B">
            <w:pPr>
              <w:tabs>
                <w:tab w:val="left" w:pos="1041"/>
              </w:tabs>
              <w:ind w:right="-103" w:firstLine="0"/>
              <w:rPr>
                <w:rFonts w:ascii="Times New Roman" w:hAnsi="Times New Roman" w:cs="Times New Roman"/>
                <w:sz w:val="16"/>
                <w:szCs w:val="16"/>
              </w:rPr>
            </w:pPr>
            <w:r w:rsidRPr="006A4FCE">
              <w:rPr>
                <w:rFonts w:ascii="Times New Roman" w:hAnsi="Times New Roman" w:cs="Times New Roman"/>
                <w:sz w:val="16"/>
                <w:szCs w:val="16"/>
              </w:rPr>
              <w:t>Охорона здоров’я</w:t>
            </w:r>
          </w:p>
        </w:tc>
        <w:tc>
          <w:tcPr>
            <w:tcW w:w="162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108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r>
      <w:tr w:rsidR="00B233DE" w:rsidRPr="006A4FCE" w:rsidTr="0023489B">
        <w:tc>
          <w:tcPr>
            <w:tcW w:w="4068" w:type="dxa"/>
            <w:shd w:val="clear" w:color="auto" w:fill="auto"/>
            <w:vAlign w:val="center"/>
          </w:tcPr>
          <w:p w:rsidR="00B233DE" w:rsidRPr="006A4FCE" w:rsidRDefault="00B233DE" w:rsidP="0023489B">
            <w:pPr>
              <w:tabs>
                <w:tab w:val="left" w:pos="1041"/>
              </w:tabs>
              <w:ind w:right="-103" w:firstLine="0"/>
              <w:rPr>
                <w:rFonts w:ascii="Times New Roman" w:hAnsi="Times New Roman" w:cs="Times New Roman"/>
                <w:sz w:val="16"/>
                <w:szCs w:val="16"/>
              </w:rPr>
            </w:pPr>
            <w:r w:rsidRPr="006A4FCE">
              <w:rPr>
                <w:rFonts w:ascii="Times New Roman" w:hAnsi="Times New Roman" w:cs="Times New Roman"/>
                <w:sz w:val="16"/>
                <w:szCs w:val="16"/>
              </w:rPr>
              <w:t>Фінансування людського розвитку</w:t>
            </w:r>
          </w:p>
        </w:tc>
        <w:tc>
          <w:tcPr>
            <w:tcW w:w="162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108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r>
      <w:tr w:rsidR="00B233DE" w:rsidRPr="006A4FCE" w:rsidTr="0023489B">
        <w:tc>
          <w:tcPr>
            <w:tcW w:w="4068" w:type="dxa"/>
            <w:shd w:val="clear" w:color="auto" w:fill="auto"/>
            <w:vAlign w:val="center"/>
          </w:tcPr>
          <w:p w:rsidR="00B233DE" w:rsidRPr="006A4FCE" w:rsidRDefault="00B233DE" w:rsidP="0023489B">
            <w:pPr>
              <w:tabs>
                <w:tab w:val="left" w:pos="1041"/>
              </w:tabs>
              <w:ind w:right="-103" w:firstLine="0"/>
              <w:rPr>
                <w:rFonts w:ascii="Times New Roman" w:hAnsi="Times New Roman" w:cs="Times New Roman"/>
                <w:sz w:val="16"/>
                <w:szCs w:val="16"/>
              </w:rPr>
            </w:pPr>
            <w:r w:rsidRPr="006A4FCE">
              <w:rPr>
                <w:rFonts w:ascii="Times New Roman" w:hAnsi="Times New Roman" w:cs="Times New Roman"/>
                <w:sz w:val="16"/>
                <w:szCs w:val="16"/>
              </w:rPr>
              <w:t>Середня тривалість життя</w:t>
            </w:r>
          </w:p>
        </w:tc>
        <w:tc>
          <w:tcPr>
            <w:tcW w:w="162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108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r>
      <w:tr w:rsidR="00B233DE" w:rsidRPr="006A4FCE" w:rsidTr="0023489B">
        <w:tc>
          <w:tcPr>
            <w:tcW w:w="4068" w:type="dxa"/>
            <w:shd w:val="clear" w:color="auto" w:fill="auto"/>
            <w:vAlign w:val="center"/>
          </w:tcPr>
          <w:p w:rsidR="00B233DE" w:rsidRPr="006A4FCE" w:rsidRDefault="00B233DE" w:rsidP="0023489B">
            <w:pPr>
              <w:tabs>
                <w:tab w:val="left" w:pos="1041"/>
              </w:tabs>
              <w:ind w:right="-103" w:firstLine="0"/>
              <w:rPr>
                <w:rFonts w:ascii="Times New Roman" w:hAnsi="Times New Roman" w:cs="Times New Roman"/>
                <w:sz w:val="16"/>
                <w:szCs w:val="16"/>
              </w:rPr>
            </w:pPr>
            <w:r w:rsidRPr="006A4FCE">
              <w:rPr>
                <w:rFonts w:ascii="Times New Roman" w:hAnsi="Times New Roman" w:cs="Times New Roman"/>
                <w:sz w:val="16"/>
                <w:szCs w:val="16"/>
              </w:rPr>
              <w:t>Культурний потенціал</w:t>
            </w:r>
          </w:p>
        </w:tc>
        <w:tc>
          <w:tcPr>
            <w:tcW w:w="162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108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r>
      <w:tr w:rsidR="00B233DE" w:rsidRPr="006A4FCE" w:rsidTr="0023489B">
        <w:tc>
          <w:tcPr>
            <w:tcW w:w="4068" w:type="dxa"/>
            <w:shd w:val="clear" w:color="auto" w:fill="auto"/>
            <w:vAlign w:val="center"/>
          </w:tcPr>
          <w:p w:rsidR="00B233DE" w:rsidRPr="006A4FCE" w:rsidRDefault="00B233DE" w:rsidP="0023489B">
            <w:pPr>
              <w:tabs>
                <w:tab w:val="left" w:pos="1041"/>
              </w:tabs>
              <w:ind w:right="-103" w:firstLine="0"/>
              <w:rPr>
                <w:rFonts w:ascii="Times New Roman" w:hAnsi="Times New Roman" w:cs="Times New Roman"/>
                <w:sz w:val="16"/>
                <w:szCs w:val="16"/>
              </w:rPr>
            </w:pPr>
            <w:r w:rsidRPr="006A4FCE">
              <w:rPr>
                <w:rFonts w:ascii="Times New Roman" w:hAnsi="Times New Roman" w:cs="Times New Roman"/>
                <w:sz w:val="16"/>
                <w:szCs w:val="16"/>
              </w:rPr>
              <w:t>Соціальний потенціал</w:t>
            </w:r>
          </w:p>
        </w:tc>
        <w:tc>
          <w:tcPr>
            <w:tcW w:w="162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108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r>
      <w:tr w:rsidR="00B233DE" w:rsidRPr="006A4FCE" w:rsidTr="0023489B">
        <w:tc>
          <w:tcPr>
            <w:tcW w:w="4068" w:type="dxa"/>
            <w:shd w:val="clear" w:color="auto" w:fill="auto"/>
            <w:vAlign w:val="center"/>
          </w:tcPr>
          <w:p w:rsidR="00B233DE" w:rsidRPr="006A4FCE" w:rsidRDefault="00B233DE" w:rsidP="0023489B">
            <w:pPr>
              <w:tabs>
                <w:tab w:val="left" w:pos="1041"/>
              </w:tabs>
              <w:ind w:right="-103" w:firstLine="0"/>
              <w:rPr>
                <w:rFonts w:ascii="Times New Roman" w:hAnsi="Times New Roman" w:cs="Times New Roman"/>
                <w:sz w:val="16"/>
                <w:szCs w:val="16"/>
              </w:rPr>
            </w:pPr>
            <w:r w:rsidRPr="006A4FCE">
              <w:rPr>
                <w:rFonts w:ascii="Times New Roman" w:hAnsi="Times New Roman" w:cs="Times New Roman"/>
                <w:sz w:val="16"/>
                <w:szCs w:val="16"/>
              </w:rPr>
              <w:t>Розвиток ринку праці</w:t>
            </w:r>
          </w:p>
        </w:tc>
        <w:tc>
          <w:tcPr>
            <w:tcW w:w="162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108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r>
      <w:tr w:rsidR="00B233DE" w:rsidRPr="006A4FCE" w:rsidTr="0023489B">
        <w:tc>
          <w:tcPr>
            <w:tcW w:w="4068" w:type="dxa"/>
            <w:shd w:val="clear" w:color="auto" w:fill="auto"/>
            <w:vAlign w:val="center"/>
          </w:tcPr>
          <w:p w:rsidR="00B233DE" w:rsidRPr="006A4FCE" w:rsidRDefault="00B233DE" w:rsidP="0023489B">
            <w:pPr>
              <w:tabs>
                <w:tab w:val="left" w:pos="1041"/>
              </w:tabs>
              <w:ind w:right="-103" w:firstLine="0"/>
              <w:rPr>
                <w:rFonts w:ascii="Times New Roman" w:hAnsi="Times New Roman" w:cs="Times New Roman"/>
                <w:sz w:val="16"/>
                <w:szCs w:val="16"/>
              </w:rPr>
            </w:pPr>
            <w:r w:rsidRPr="006A4FCE">
              <w:rPr>
                <w:rFonts w:ascii="Times New Roman" w:hAnsi="Times New Roman" w:cs="Times New Roman"/>
                <w:sz w:val="16"/>
                <w:szCs w:val="16"/>
              </w:rPr>
              <w:t>Рівень життя</w:t>
            </w:r>
          </w:p>
        </w:tc>
        <w:tc>
          <w:tcPr>
            <w:tcW w:w="162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108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r>
      <w:tr w:rsidR="00B233DE" w:rsidRPr="006A4FCE" w:rsidTr="0023489B">
        <w:tc>
          <w:tcPr>
            <w:tcW w:w="4068" w:type="dxa"/>
            <w:shd w:val="clear" w:color="auto" w:fill="auto"/>
            <w:vAlign w:val="center"/>
          </w:tcPr>
          <w:p w:rsidR="00B233DE" w:rsidRPr="006A4FCE" w:rsidRDefault="00B233DE" w:rsidP="0023489B">
            <w:pPr>
              <w:tabs>
                <w:tab w:val="left" w:pos="1041"/>
              </w:tabs>
              <w:ind w:right="-103" w:firstLine="0"/>
              <w:rPr>
                <w:rFonts w:ascii="Times New Roman" w:hAnsi="Times New Roman" w:cs="Times New Roman"/>
                <w:sz w:val="16"/>
                <w:szCs w:val="16"/>
              </w:rPr>
            </w:pPr>
            <w:r w:rsidRPr="006A4FCE">
              <w:rPr>
                <w:rFonts w:ascii="Times New Roman" w:hAnsi="Times New Roman" w:cs="Times New Roman"/>
                <w:sz w:val="16"/>
                <w:szCs w:val="16"/>
              </w:rPr>
              <w:t>Здатність до інноваційної діяльності</w:t>
            </w:r>
          </w:p>
        </w:tc>
        <w:tc>
          <w:tcPr>
            <w:tcW w:w="162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p>
        </w:tc>
        <w:tc>
          <w:tcPr>
            <w:tcW w:w="90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c>
          <w:tcPr>
            <w:tcW w:w="1080" w:type="dxa"/>
            <w:shd w:val="clear" w:color="auto" w:fill="auto"/>
            <w:vAlign w:val="center"/>
          </w:tcPr>
          <w:p w:rsidR="00B233DE" w:rsidRPr="006A4FCE" w:rsidRDefault="00B233DE" w:rsidP="0023489B">
            <w:pPr>
              <w:tabs>
                <w:tab w:val="left" w:pos="1041"/>
              </w:tabs>
              <w:ind w:left="-41" w:right="-103" w:hanging="142"/>
              <w:jc w:val="center"/>
              <w:rPr>
                <w:rFonts w:ascii="Times New Roman" w:hAnsi="Times New Roman" w:cs="Times New Roman"/>
                <w:sz w:val="16"/>
                <w:szCs w:val="16"/>
              </w:rPr>
            </w:pPr>
            <w:r w:rsidRPr="006A4FCE">
              <w:rPr>
                <w:rFonts w:ascii="Times New Roman" w:hAnsi="Times New Roman" w:cs="Times New Roman"/>
                <w:sz w:val="16"/>
                <w:szCs w:val="16"/>
              </w:rPr>
              <w:t>+</w:t>
            </w:r>
          </w:p>
        </w:tc>
      </w:tr>
    </w:tbl>
    <w:p w:rsidR="00B233DE" w:rsidRPr="00B72D85" w:rsidRDefault="00B233DE" w:rsidP="00B233DE">
      <w:pPr>
        <w:ind w:firstLine="709"/>
        <w:rPr>
          <w:rFonts w:ascii="Times New Roman" w:hAnsi="Times New Roman" w:cs="Times New Roman"/>
          <w:spacing w:val="-6"/>
          <w:sz w:val="18"/>
          <w:szCs w:val="18"/>
        </w:rPr>
      </w:pPr>
      <w:r w:rsidRPr="00B72D85">
        <w:rPr>
          <w:rFonts w:ascii="Times New Roman" w:hAnsi="Times New Roman" w:cs="Times New Roman"/>
          <w:spacing w:val="-6"/>
          <w:sz w:val="18"/>
          <w:szCs w:val="18"/>
          <w:lang w:val="ru-RU"/>
        </w:rPr>
        <w:t>*</w:t>
      </w:r>
      <w:r w:rsidRPr="00B72D85">
        <w:rPr>
          <w:rFonts w:ascii="Times New Roman" w:hAnsi="Times New Roman" w:cs="Times New Roman"/>
          <w:spacing w:val="-6"/>
          <w:sz w:val="18"/>
          <w:szCs w:val="18"/>
        </w:rPr>
        <w:t xml:space="preserve"> - сформовано автором на основі </w:t>
      </w:r>
      <w:r w:rsidRPr="00B72D85">
        <w:rPr>
          <w:rFonts w:ascii="Times New Roman" w:hAnsi="Times New Roman" w:cs="Times New Roman"/>
          <w:spacing w:val="-6"/>
          <w:sz w:val="18"/>
          <w:szCs w:val="18"/>
          <w:lang w:val="ru-RU"/>
        </w:rPr>
        <w:t>[</w:t>
      </w:r>
      <w:r w:rsidRPr="00B72D85">
        <w:rPr>
          <w:rFonts w:ascii="Times New Roman" w:hAnsi="Times New Roman" w:cs="Times New Roman"/>
          <w:spacing w:val="-6"/>
          <w:sz w:val="18"/>
          <w:szCs w:val="18"/>
        </w:rPr>
        <w:fldChar w:fldCharType="begin"/>
      </w:r>
      <w:r w:rsidRPr="00B72D85">
        <w:rPr>
          <w:rFonts w:ascii="Times New Roman" w:hAnsi="Times New Roman" w:cs="Times New Roman"/>
          <w:spacing w:val="-6"/>
          <w:sz w:val="18"/>
          <w:szCs w:val="18"/>
          <w:lang w:val="ru-RU"/>
        </w:rPr>
        <w:instrText xml:space="preserve"> REF _Ref430594558 \r \h </w:instrText>
      </w:r>
      <w:r>
        <w:rPr>
          <w:rFonts w:ascii="Times New Roman" w:hAnsi="Times New Roman" w:cs="Times New Roman"/>
          <w:spacing w:val="-6"/>
          <w:sz w:val="18"/>
          <w:szCs w:val="18"/>
        </w:rPr>
        <w:instrText xml:space="preserve"> \* MERGEFORMAT </w:instrText>
      </w:r>
      <w:r w:rsidRPr="00B72D85">
        <w:rPr>
          <w:rFonts w:ascii="Times New Roman" w:hAnsi="Times New Roman" w:cs="Times New Roman"/>
          <w:spacing w:val="-6"/>
          <w:sz w:val="18"/>
          <w:szCs w:val="18"/>
        </w:rPr>
      </w:r>
      <w:r w:rsidRPr="00B72D85">
        <w:rPr>
          <w:rFonts w:ascii="Times New Roman" w:hAnsi="Times New Roman" w:cs="Times New Roman"/>
          <w:spacing w:val="-6"/>
          <w:sz w:val="18"/>
          <w:szCs w:val="18"/>
        </w:rPr>
        <w:fldChar w:fldCharType="separate"/>
      </w:r>
      <w:r>
        <w:rPr>
          <w:rFonts w:ascii="Times New Roman" w:hAnsi="Times New Roman" w:cs="Times New Roman"/>
          <w:spacing w:val="-6"/>
          <w:sz w:val="18"/>
          <w:szCs w:val="18"/>
          <w:lang w:val="ru-RU"/>
        </w:rPr>
        <w:t>15</w:t>
      </w:r>
      <w:r w:rsidRPr="00B72D85">
        <w:rPr>
          <w:rFonts w:ascii="Times New Roman" w:hAnsi="Times New Roman" w:cs="Times New Roman"/>
          <w:spacing w:val="-6"/>
          <w:sz w:val="18"/>
          <w:szCs w:val="18"/>
        </w:rPr>
        <w:fldChar w:fldCharType="end"/>
      </w:r>
      <w:r w:rsidRPr="00B72D85">
        <w:rPr>
          <w:rFonts w:ascii="Times New Roman" w:hAnsi="Times New Roman" w:cs="Times New Roman"/>
          <w:spacing w:val="-6"/>
          <w:sz w:val="18"/>
          <w:szCs w:val="18"/>
          <w:lang w:val="ru-RU"/>
        </w:rPr>
        <w:t xml:space="preserve">, </w:t>
      </w:r>
      <w:r w:rsidRPr="00B72D85">
        <w:rPr>
          <w:rFonts w:ascii="Times New Roman" w:hAnsi="Times New Roman" w:cs="Times New Roman"/>
          <w:spacing w:val="-6"/>
          <w:sz w:val="18"/>
          <w:szCs w:val="18"/>
          <w:lang w:val="ru-RU"/>
        </w:rPr>
        <w:fldChar w:fldCharType="begin"/>
      </w:r>
      <w:r w:rsidRPr="00B72D85">
        <w:rPr>
          <w:rFonts w:ascii="Times New Roman" w:hAnsi="Times New Roman" w:cs="Times New Roman"/>
          <w:spacing w:val="-6"/>
          <w:sz w:val="18"/>
          <w:szCs w:val="18"/>
          <w:lang w:val="ru-RU"/>
        </w:rPr>
        <w:instrText xml:space="preserve"> REF _Ref430594450 \r \h </w:instrText>
      </w:r>
      <w:r>
        <w:rPr>
          <w:rFonts w:ascii="Times New Roman" w:hAnsi="Times New Roman" w:cs="Times New Roman"/>
          <w:spacing w:val="-6"/>
          <w:sz w:val="18"/>
          <w:szCs w:val="18"/>
          <w:lang w:val="ru-RU"/>
        </w:rPr>
        <w:instrText xml:space="preserve"> \* MERGEFORMAT </w:instrText>
      </w:r>
      <w:r w:rsidRPr="00B72D85">
        <w:rPr>
          <w:rFonts w:ascii="Times New Roman" w:hAnsi="Times New Roman" w:cs="Times New Roman"/>
          <w:spacing w:val="-6"/>
          <w:sz w:val="18"/>
          <w:szCs w:val="18"/>
          <w:lang w:val="ru-RU"/>
        </w:rPr>
      </w:r>
      <w:r w:rsidRPr="00B72D85">
        <w:rPr>
          <w:rFonts w:ascii="Times New Roman" w:hAnsi="Times New Roman" w:cs="Times New Roman"/>
          <w:spacing w:val="-6"/>
          <w:sz w:val="18"/>
          <w:szCs w:val="18"/>
          <w:lang w:val="ru-RU"/>
        </w:rPr>
        <w:fldChar w:fldCharType="separate"/>
      </w:r>
      <w:r>
        <w:rPr>
          <w:rFonts w:ascii="Times New Roman" w:hAnsi="Times New Roman" w:cs="Times New Roman"/>
          <w:spacing w:val="-6"/>
          <w:sz w:val="18"/>
          <w:szCs w:val="18"/>
          <w:lang w:val="ru-RU"/>
        </w:rPr>
        <w:t>52</w:t>
      </w:r>
      <w:r w:rsidRPr="00B72D85">
        <w:rPr>
          <w:rFonts w:ascii="Times New Roman" w:hAnsi="Times New Roman" w:cs="Times New Roman"/>
          <w:spacing w:val="-6"/>
          <w:sz w:val="18"/>
          <w:szCs w:val="18"/>
          <w:lang w:val="ru-RU"/>
        </w:rPr>
        <w:fldChar w:fldCharType="end"/>
      </w:r>
      <w:r w:rsidRPr="00B72D85">
        <w:rPr>
          <w:rFonts w:ascii="Times New Roman" w:hAnsi="Times New Roman" w:cs="Times New Roman"/>
          <w:spacing w:val="-6"/>
          <w:sz w:val="18"/>
          <w:szCs w:val="18"/>
          <w:lang w:val="ru-RU"/>
        </w:rPr>
        <w:t>]</w:t>
      </w:r>
    </w:p>
    <w:p w:rsidR="00B233DE" w:rsidRPr="006A4FCE" w:rsidRDefault="00B233DE" w:rsidP="00B233DE">
      <w:pPr>
        <w:tabs>
          <w:tab w:val="left" w:pos="900"/>
          <w:tab w:val="left" w:pos="1260"/>
        </w:tabs>
        <w:ind w:firstLine="567"/>
        <w:jc w:val="both"/>
        <w:rPr>
          <w:rFonts w:ascii="Times New Roman" w:hAnsi="Times New Roman" w:cs="Times New Roman"/>
          <w:sz w:val="21"/>
          <w:szCs w:val="21"/>
        </w:rPr>
      </w:pPr>
    </w:p>
    <w:p w:rsidR="00B233DE" w:rsidRDefault="00B233DE" w:rsidP="00B233DE">
      <w:pPr>
        <w:tabs>
          <w:tab w:val="left" w:pos="900"/>
          <w:tab w:val="left" w:pos="1260"/>
        </w:tabs>
        <w:ind w:firstLine="567"/>
        <w:jc w:val="both"/>
        <w:rPr>
          <w:rFonts w:ascii="Times New Roman" w:hAnsi="Times New Roman" w:cs="Times New Roman"/>
          <w:spacing w:val="-4"/>
          <w:sz w:val="21"/>
          <w:szCs w:val="21"/>
        </w:rPr>
      </w:pPr>
      <w:r w:rsidRPr="006A4FCE">
        <w:rPr>
          <w:rFonts w:ascii="Times New Roman" w:hAnsi="Times New Roman" w:cs="Times New Roman"/>
          <w:spacing w:val="-4"/>
          <w:sz w:val="21"/>
          <w:szCs w:val="21"/>
        </w:rPr>
        <w:t>Поняття «населення» є предметом вивчення демографії і найбільш загальним поняттям, яке позначає сукупність людей, що проживають на певній території [</w:t>
      </w:r>
      <w:r>
        <w:rPr>
          <w:rFonts w:ascii="Times New Roman" w:hAnsi="Times New Roman" w:cs="Times New Roman"/>
          <w:spacing w:val="-4"/>
          <w:sz w:val="21"/>
          <w:szCs w:val="21"/>
        </w:rPr>
        <w:fldChar w:fldCharType="begin"/>
      </w:r>
      <w:r>
        <w:rPr>
          <w:rFonts w:ascii="Times New Roman" w:hAnsi="Times New Roman" w:cs="Times New Roman"/>
          <w:spacing w:val="-4"/>
          <w:sz w:val="21"/>
          <w:szCs w:val="21"/>
        </w:rPr>
        <w:instrText xml:space="preserve"> REF _Ref430594580 \r \h </w:instrText>
      </w:r>
      <w:r>
        <w:rPr>
          <w:rFonts w:ascii="Times New Roman" w:hAnsi="Times New Roman" w:cs="Times New Roman"/>
          <w:spacing w:val="-4"/>
          <w:sz w:val="21"/>
          <w:szCs w:val="21"/>
        </w:rPr>
      </w:r>
      <w:r>
        <w:rPr>
          <w:rFonts w:ascii="Times New Roman" w:hAnsi="Times New Roman" w:cs="Times New Roman"/>
          <w:spacing w:val="-4"/>
          <w:sz w:val="21"/>
          <w:szCs w:val="21"/>
        </w:rPr>
        <w:fldChar w:fldCharType="separate"/>
      </w:r>
      <w:r>
        <w:rPr>
          <w:rFonts w:ascii="Times New Roman" w:hAnsi="Times New Roman" w:cs="Times New Roman"/>
          <w:spacing w:val="-4"/>
          <w:sz w:val="21"/>
          <w:szCs w:val="21"/>
        </w:rPr>
        <w:t>41</w:t>
      </w:r>
      <w:r>
        <w:rPr>
          <w:rFonts w:ascii="Times New Roman" w:hAnsi="Times New Roman" w:cs="Times New Roman"/>
          <w:spacing w:val="-4"/>
          <w:sz w:val="21"/>
          <w:szCs w:val="21"/>
        </w:rPr>
        <w:fldChar w:fldCharType="end"/>
      </w:r>
      <w:r w:rsidRPr="006A4FCE">
        <w:rPr>
          <w:rFonts w:ascii="Times New Roman" w:hAnsi="Times New Roman" w:cs="Times New Roman"/>
          <w:spacing w:val="-4"/>
          <w:sz w:val="21"/>
          <w:szCs w:val="21"/>
        </w:rPr>
        <w:t xml:space="preserve">, </w:t>
      </w:r>
      <w:r w:rsidRPr="006A4FCE">
        <w:rPr>
          <w:rFonts w:ascii="Times New Roman" w:hAnsi="Times New Roman" w:cs="Times New Roman"/>
          <w:spacing w:val="-4"/>
          <w:sz w:val="21"/>
          <w:szCs w:val="21"/>
          <w:lang w:val="en-US"/>
        </w:rPr>
        <w:t>c</w:t>
      </w:r>
      <w:r w:rsidRPr="006A4FCE">
        <w:rPr>
          <w:rFonts w:ascii="Times New Roman" w:hAnsi="Times New Roman" w:cs="Times New Roman"/>
          <w:spacing w:val="-4"/>
          <w:sz w:val="21"/>
          <w:szCs w:val="21"/>
        </w:rPr>
        <w:t>. 7]. У політичній економії для позначення участі населення в трудовому процесі використовується поняття «робоча сила»</w:t>
      </w:r>
      <w:r>
        <w:rPr>
          <w:rFonts w:ascii="Times New Roman" w:hAnsi="Times New Roman" w:cs="Times New Roman"/>
          <w:spacing w:val="-4"/>
          <w:sz w:val="21"/>
          <w:szCs w:val="21"/>
        </w:rPr>
        <w:t xml:space="preserve"> </w:t>
      </w:r>
      <w:r w:rsidRPr="006A4FCE">
        <w:rPr>
          <w:rFonts w:ascii="Times New Roman" w:hAnsi="Times New Roman" w:cs="Times New Roman"/>
          <w:spacing w:val="-4"/>
          <w:sz w:val="21"/>
          <w:szCs w:val="21"/>
        </w:rPr>
        <w:t>(табл.1.4).</w:t>
      </w:r>
    </w:p>
    <w:p w:rsidR="00B233DE" w:rsidRDefault="00B233DE" w:rsidP="00B233DE">
      <w:pPr>
        <w:tabs>
          <w:tab w:val="left" w:pos="900"/>
          <w:tab w:val="left" w:pos="1260"/>
        </w:tabs>
        <w:ind w:firstLine="567"/>
        <w:jc w:val="both"/>
        <w:rPr>
          <w:rFonts w:ascii="Times New Roman" w:hAnsi="Times New Roman" w:cs="Times New Roman"/>
          <w:sz w:val="21"/>
          <w:szCs w:val="21"/>
        </w:rPr>
      </w:pPr>
      <w:r w:rsidRPr="00650A88">
        <w:rPr>
          <w:rFonts w:ascii="Times New Roman" w:hAnsi="Times New Roman" w:cs="Times New Roman"/>
          <w:sz w:val="21"/>
          <w:szCs w:val="21"/>
        </w:rPr>
        <w:t xml:space="preserve">Процес формування умов і можливостей для реалізації людського потенціалу уособлює поняття «людський розвиток», що </w:t>
      </w:r>
      <w:r w:rsidRPr="00650A88">
        <w:rPr>
          <w:rFonts w:ascii="Times New Roman" w:hAnsi="Times New Roman" w:cs="Times New Roman"/>
          <w:sz w:val="21"/>
          <w:szCs w:val="21"/>
        </w:rPr>
        <w:lastRenderedPageBreak/>
        <w:t>розглядається як процес розширення людського вибору і досягнутий рівень добробуту людей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_Ref430594309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19</w:t>
      </w:r>
      <w:r>
        <w:rPr>
          <w:rFonts w:ascii="Times New Roman" w:hAnsi="Times New Roman" w:cs="Times New Roman"/>
          <w:sz w:val="21"/>
          <w:szCs w:val="21"/>
        </w:rPr>
        <w:fldChar w:fldCharType="end"/>
      </w:r>
      <w:r w:rsidRPr="00650A88">
        <w:rPr>
          <w:rFonts w:ascii="Times New Roman" w:hAnsi="Times New Roman" w:cs="Times New Roman"/>
          <w:sz w:val="21"/>
          <w:szCs w:val="21"/>
        </w:rPr>
        <w:t>, с. 88].</w:t>
      </w:r>
    </w:p>
    <w:p w:rsidR="00B233DE" w:rsidRPr="006A4FCE" w:rsidRDefault="00B233DE" w:rsidP="00B233DE">
      <w:pPr>
        <w:tabs>
          <w:tab w:val="left" w:pos="900"/>
          <w:tab w:val="left" w:pos="1260"/>
        </w:tabs>
        <w:ind w:firstLine="567"/>
        <w:jc w:val="both"/>
        <w:rPr>
          <w:rFonts w:ascii="Times New Roman" w:hAnsi="Times New Roman" w:cs="Times New Roman"/>
          <w:spacing w:val="-4"/>
          <w:sz w:val="21"/>
          <w:szCs w:val="21"/>
        </w:rPr>
      </w:pPr>
    </w:p>
    <w:p w:rsidR="00B233DE" w:rsidRPr="006A4FCE" w:rsidRDefault="00B233DE" w:rsidP="00B233DE">
      <w:pPr>
        <w:tabs>
          <w:tab w:val="left" w:pos="853"/>
        </w:tabs>
        <w:ind w:left="454"/>
        <w:jc w:val="right"/>
        <w:rPr>
          <w:rFonts w:ascii="Times New Roman" w:hAnsi="Times New Roman" w:cs="Times New Roman"/>
          <w:sz w:val="21"/>
          <w:szCs w:val="21"/>
        </w:rPr>
      </w:pPr>
      <w:r>
        <w:rPr>
          <w:rFonts w:ascii="Times New Roman" w:hAnsi="Times New Roman" w:cs="Times New Roman"/>
          <w:sz w:val="21"/>
          <w:szCs w:val="21"/>
        </w:rPr>
        <w:t>Таблиця 1.4</w:t>
      </w:r>
    </w:p>
    <w:p w:rsidR="00B233DE" w:rsidRPr="00E60ADE" w:rsidRDefault="00B233DE" w:rsidP="00B233DE">
      <w:pPr>
        <w:tabs>
          <w:tab w:val="left" w:pos="853"/>
        </w:tabs>
        <w:ind w:left="454"/>
        <w:jc w:val="center"/>
        <w:rPr>
          <w:rFonts w:ascii="Times New Roman" w:hAnsi="Times New Roman" w:cs="Times New Roman"/>
          <w:b/>
          <w:sz w:val="21"/>
          <w:szCs w:val="21"/>
        </w:rPr>
      </w:pPr>
      <w:r w:rsidRPr="00E60ADE">
        <w:rPr>
          <w:rFonts w:ascii="Times New Roman" w:hAnsi="Times New Roman" w:cs="Times New Roman"/>
          <w:b/>
          <w:sz w:val="21"/>
          <w:szCs w:val="21"/>
        </w:rPr>
        <w:t>Еволюція понять стосовно ролі людини як суб’єкта економічної діяльності*</w:t>
      </w:r>
    </w:p>
    <w:tbl>
      <w:tblPr>
        <w:tblW w:w="62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1055"/>
        <w:gridCol w:w="2347"/>
        <w:gridCol w:w="1984"/>
      </w:tblGrid>
      <w:tr w:rsidR="00B233DE" w:rsidRPr="00112C88" w:rsidTr="0023489B">
        <w:tc>
          <w:tcPr>
            <w:tcW w:w="851" w:type="dxa"/>
            <w:shd w:val="clear" w:color="auto" w:fill="auto"/>
            <w:vAlign w:val="center"/>
          </w:tcPr>
          <w:p w:rsidR="00B233DE" w:rsidRPr="00650A88" w:rsidRDefault="00B233DE" w:rsidP="0023489B">
            <w:pPr>
              <w:tabs>
                <w:tab w:val="left" w:pos="853"/>
              </w:tabs>
              <w:ind w:left="-108" w:right="-100" w:firstLine="0"/>
              <w:jc w:val="center"/>
              <w:rPr>
                <w:rFonts w:ascii="Times New Roman" w:hAnsi="Times New Roman" w:cs="Times New Roman"/>
                <w:spacing w:val="-4"/>
                <w:sz w:val="16"/>
                <w:szCs w:val="16"/>
              </w:rPr>
            </w:pPr>
            <w:r w:rsidRPr="00650A88">
              <w:rPr>
                <w:rFonts w:ascii="Times New Roman" w:hAnsi="Times New Roman" w:cs="Times New Roman"/>
                <w:spacing w:val="-4"/>
                <w:sz w:val="16"/>
                <w:szCs w:val="16"/>
              </w:rPr>
              <w:t>Поняття</w:t>
            </w:r>
          </w:p>
        </w:tc>
        <w:tc>
          <w:tcPr>
            <w:tcW w:w="1055" w:type="dxa"/>
            <w:shd w:val="clear" w:color="auto" w:fill="auto"/>
            <w:vAlign w:val="center"/>
          </w:tcPr>
          <w:p w:rsidR="00B233DE" w:rsidRPr="00650A88" w:rsidRDefault="00B233DE" w:rsidP="0023489B">
            <w:pPr>
              <w:tabs>
                <w:tab w:val="left" w:pos="853"/>
              </w:tabs>
              <w:ind w:left="-108" w:right="-100" w:firstLine="0"/>
              <w:jc w:val="center"/>
              <w:rPr>
                <w:rFonts w:ascii="Times New Roman" w:hAnsi="Times New Roman" w:cs="Times New Roman"/>
                <w:spacing w:val="-4"/>
                <w:sz w:val="16"/>
                <w:szCs w:val="16"/>
              </w:rPr>
            </w:pPr>
            <w:r w:rsidRPr="00650A88">
              <w:rPr>
                <w:rFonts w:ascii="Times New Roman" w:hAnsi="Times New Roman" w:cs="Times New Roman"/>
                <w:spacing w:val="-4"/>
                <w:sz w:val="16"/>
                <w:szCs w:val="16"/>
              </w:rPr>
              <w:t>Започатковано</w:t>
            </w:r>
          </w:p>
        </w:tc>
        <w:tc>
          <w:tcPr>
            <w:tcW w:w="2347" w:type="dxa"/>
            <w:shd w:val="clear" w:color="auto" w:fill="auto"/>
            <w:vAlign w:val="center"/>
          </w:tcPr>
          <w:p w:rsidR="00B233DE" w:rsidRPr="00650A88" w:rsidRDefault="00B233DE" w:rsidP="0023489B">
            <w:pPr>
              <w:tabs>
                <w:tab w:val="left" w:pos="853"/>
              </w:tabs>
              <w:ind w:left="-108" w:right="-100" w:firstLine="0"/>
              <w:jc w:val="center"/>
              <w:rPr>
                <w:rFonts w:ascii="Times New Roman" w:hAnsi="Times New Roman" w:cs="Times New Roman"/>
                <w:spacing w:val="-4"/>
                <w:sz w:val="16"/>
                <w:szCs w:val="16"/>
              </w:rPr>
            </w:pPr>
            <w:r w:rsidRPr="00650A88">
              <w:rPr>
                <w:rFonts w:ascii="Times New Roman" w:hAnsi="Times New Roman" w:cs="Times New Roman"/>
                <w:spacing w:val="-4"/>
                <w:sz w:val="16"/>
                <w:szCs w:val="16"/>
              </w:rPr>
              <w:t>Визначення</w:t>
            </w:r>
          </w:p>
        </w:tc>
        <w:tc>
          <w:tcPr>
            <w:tcW w:w="1984" w:type="dxa"/>
            <w:shd w:val="clear" w:color="auto" w:fill="auto"/>
            <w:vAlign w:val="center"/>
          </w:tcPr>
          <w:p w:rsidR="00B233DE" w:rsidRPr="00650A88" w:rsidRDefault="00B233DE" w:rsidP="0023489B">
            <w:pPr>
              <w:tabs>
                <w:tab w:val="left" w:pos="853"/>
              </w:tabs>
              <w:ind w:left="-108" w:right="-100" w:firstLine="0"/>
              <w:jc w:val="center"/>
              <w:rPr>
                <w:rFonts w:ascii="Times New Roman" w:hAnsi="Times New Roman" w:cs="Times New Roman"/>
                <w:spacing w:val="-4"/>
                <w:sz w:val="16"/>
                <w:szCs w:val="16"/>
              </w:rPr>
            </w:pPr>
            <w:r w:rsidRPr="00650A88">
              <w:rPr>
                <w:rFonts w:ascii="Times New Roman" w:hAnsi="Times New Roman" w:cs="Times New Roman"/>
                <w:spacing w:val="-4"/>
                <w:sz w:val="16"/>
                <w:szCs w:val="16"/>
              </w:rPr>
              <w:t>Роль людини</w:t>
            </w:r>
          </w:p>
        </w:tc>
      </w:tr>
      <w:tr w:rsidR="00B233DE" w:rsidRPr="00112C88" w:rsidTr="0023489B">
        <w:tc>
          <w:tcPr>
            <w:tcW w:w="851" w:type="dxa"/>
            <w:shd w:val="clear" w:color="auto" w:fill="auto"/>
            <w:vAlign w:val="center"/>
          </w:tcPr>
          <w:p w:rsidR="00B233DE" w:rsidRPr="00650A88" w:rsidRDefault="00B233DE" w:rsidP="0023489B">
            <w:pPr>
              <w:tabs>
                <w:tab w:val="left" w:pos="853"/>
              </w:tabs>
              <w:ind w:left="-108" w:right="-100" w:firstLine="0"/>
              <w:jc w:val="center"/>
              <w:rPr>
                <w:rFonts w:ascii="Times New Roman" w:hAnsi="Times New Roman" w:cs="Times New Roman"/>
                <w:spacing w:val="-4"/>
                <w:sz w:val="16"/>
                <w:szCs w:val="16"/>
                <w:lang w:val="en-US"/>
              </w:rPr>
            </w:pPr>
            <w:r w:rsidRPr="00650A88">
              <w:rPr>
                <w:rFonts w:ascii="Times New Roman" w:hAnsi="Times New Roman" w:cs="Times New Roman"/>
                <w:spacing w:val="-4"/>
                <w:sz w:val="16"/>
                <w:szCs w:val="16"/>
              </w:rPr>
              <w:t>Робоча сила</w:t>
            </w:r>
          </w:p>
        </w:tc>
        <w:tc>
          <w:tcPr>
            <w:tcW w:w="1055" w:type="dxa"/>
            <w:shd w:val="clear" w:color="auto" w:fill="auto"/>
            <w:vAlign w:val="center"/>
          </w:tcPr>
          <w:p w:rsidR="00B233DE" w:rsidRPr="00650A88" w:rsidRDefault="00B233DE" w:rsidP="0023489B">
            <w:pPr>
              <w:tabs>
                <w:tab w:val="left" w:pos="853"/>
              </w:tabs>
              <w:ind w:left="-108" w:right="-100" w:firstLine="0"/>
              <w:jc w:val="center"/>
              <w:rPr>
                <w:rFonts w:ascii="Times New Roman" w:hAnsi="Times New Roman" w:cs="Times New Roman"/>
                <w:spacing w:val="-4"/>
                <w:sz w:val="16"/>
                <w:szCs w:val="16"/>
                <w:lang w:val="en-US"/>
              </w:rPr>
            </w:pPr>
            <w:r w:rsidRPr="00650A88">
              <w:rPr>
                <w:rFonts w:ascii="Times New Roman" w:hAnsi="Times New Roman" w:cs="Times New Roman"/>
                <w:spacing w:val="-4"/>
                <w:sz w:val="16"/>
                <w:szCs w:val="16"/>
              </w:rPr>
              <w:t>XIX століття</w:t>
            </w:r>
          </w:p>
        </w:tc>
        <w:tc>
          <w:tcPr>
            <w:tcW w:w="2347" w:type="dxa"/>
            <w:shd w:val="clear" w:color="auto" w:fill="auto"/>
            <w:vAlign w:val="center"/>
          </w:tcPr>
          <w:p w:rsidR="00B233DE" w:rsidRPr="00650A88" w:rsidRDefault="00B233DE" w:rsidP="0023489B">
            <w:pPr>
              <w:tabs>
                <w:tab w:val="left" w:pos="853"/>
              </w:tabs>
              <w:ind w:left="-108" w:right="-100" w:firstLine="0"/>
              <w:jc w:val="center"/>
              <w:rPr>
                <w:rFonts w:ascii="Times New Roman" w:hAnsi="Times New Roman" w:cs="Times New Roman"/>
                <w:spacing w:val="-6"/>
                <w:sz w:val="16"/>
                <w:szCs w:val="16"/>
              </w:rPr>
            </w:pPr>
            <w:r w:rsidRPr="00650A88">
              <w:rPr>
                <w:rFonts w:ascii="Times New Roman" w:hAnsi="Times New Roman" w:cs="Times New Roman"/>
                <w:spacing w:val="-6"/>
                <w:sz w:val="16"/>
                <w:szCs w:val="16"/>
              </w:rPr>
              <w:t>Економічно активна частина населення (зайняті і безробітні)</w:t>
            </w:r>
          </w:p>
        </w:tc>
        <w:tc>
          <w:tcPr>
            <w:tcW w:w="1984" w:type="dxa"/>
            <w:shd w:val="clear" w:color="auto" w:fill="auto"/>
            <w:vAlign w:val="center"/>
          </w:tcPr>
          <w:p w:rsidR="00B233DE" w:rsidRPr="00650A88" w:rsidRDefault="00B233DE" w:rsidP="0023489B">
            <w:pPr>
              <w:tabs>
                <w:tab w:val="left" w:pos="853"/>
              </w:tabs>
              <w:ind w:left="-108" w:right="-100" w:firstLine="0"/>
              <w:jc w:val="center"/>
              <w:rPr>
                <w:rFonts w:ascii="Times New Roman" w:hAnsi="Times New Roman" w:cs="Times New Roman"/>
                <w:spacing w:val="-6"/>
                <w:sz w:val="16"/>
                <w:szCs w:val="16"/>
              </w:rPr>
            </w:pPr>
            <w:r w:rsidRPr="00650A88">
              <w:rPr>
                <w:rFonts w:ascii="Times New Roman" w:hAnsi="Times New Roman" w:cs="Times New Roman"/>
                <w:spacing w:val="-6"/>
                <w:sz w:val="16"/>
                <w:szCs w:val="16"/>
              </w:rPr>
              <w:t xml:space="preserve">Людина </w:t>
            </w:r>
            <w:r>
              <w:rPr>
                <w:rFonts w:ascii="Times New Roman" w:hAnsi="Times New Roman" w:cs="Times New Roman"/>
                <w:spacing w:val="-6"/>
                <w:sz w:val="16"/>
                <w:szCs w:val="16"/>
              </w:rPr>
              <w:t>–</w:t>
            </w:r>
            <w:r w:rsidRPr="00650A88">
              <w:rPr>
                <w:rFonts w:ascii="Times New Roman" w:hAnsi="Times New Roman" w:cs="Times New Roman"/>
                <w:spacing w:val="-6"/>
                <w:sz w:val="16"/>
                <w:szCs w:val="16"/>
              </w:rPr>
              <w:t xml:space="preserve"> носій здатності до праці</w:t>
            </w:r>
          </w:p>
        </w:tc>
      </w:tr>
      <w:tr w:rsidR="00B233DE" w:rsidRPr="00112C88" w:rsidTr="0023489B">
        <w:tc>
          <w:tcPr>
            <w:tcW w:w="851" w:type="dxa"/>
            <w:shd w:val="clear" w:color="auto" w:fill="auto"/>
            <w:vAlign w:val="center"/>
          </w:tcPr>
          <w:p w:rsidR="00B233DE" w:rsidRPr="00650A88" w:rsidRDefault="00B233DE" w:rsidP="0023489B">
            <w:pPr>
              <w:tabs>
                <w:tab w:val="left" w:pos="853"/>
              </w:tabs>
              <w:ind w:left="-108" w:right="-100" w:firstLine="0"/>
              <w:jc w:val="center"/>
              <w:rPr>
                <w:rFonts w:ascii="Times New Roman" w:hAnsi="Times New Roman" w:cs="Times New Roman"/>
                <w:spacing w:val="-4"/>
                <w:sz w:val="16"/>
                <w:szCs w:val="16"/>
                <w:lang w:val="en-US"/>
              </w:rPr>
            </w:pPr>
            <w:r w:rsidRPr="00650A88">
              <w:rPr>
                <w:rFonts w:ascii="Times New Roman" w:hAnsi="Times New Roman" w:cs="Times New Roman"/>
                <w:spacing w:val="-4"/>
                <w:sz w:val="16"/>
                <w:szCs w:val="16"/>
              </w:rPr>
              <w:t>Трудові ресурси</w:t>
            </w:r>
          </w:p>
        </w:tc>
        <w:tc>
          <w:tcPr>
            <w:tcW w:w="1055" w:type="dxa"/>
            <w:shd w:val="clear" w:color="auto" w:fill="auto"/>
            <w:vAlign w:val="center"/>
          </w:tcPr>
          <w:p w:rsidR="00B233DE" w:rsidRPr="00650A88" w:rsidRDefault="00B233DE" w:rsidP="0023489B">
            <w:pPr>
              <w:tabs>
                <w:tab w:val="left" w:pos="853"/>
              </w:tabs>
              <w:ind w:left="-108" w:right="-100" w:firstLine="0"/>
              <w:jc w:val="center"/>
              <w:rPr>
                <w:rFonts w:ascii="Times New Roman" w:hAnsi="Times New Roman" w:cs="Times New Roman"/>
                <w:spacing w:val="-4"/>
                <w:sz w:val="16"/>
                <w:szCs w:val="16"/>
                <w:lang w:val="en-US"/>
              </w:rPr>
            </w:pPr>
            <w:r w:rsidRPr="00650A88">
              <w:rPr>
                <w:rFonts w:ascii="Times New Roman" w:hAnsi="Times New Roman" w:cs="Times New Roman"/>
                <w:spacing w:val="-4"/>
                <w:sz w:val="16"/>
                <w:szCs w:val="16"/>
              </w:rPr>
              <w:t>20-ті роки XX століття</w:t>
            </w:r>
          </w:p>
        </w:tc>
        <w:tc>
          <w:tcPr>
            <w:tcW w:w="2347" w:type="dxa"/>
            <w:shd w:val="clear" w:color="auto" w:fill="auto"/>
            <w:vAlign w:val="center"/>
          </w:tcPr>
          <w:p w:rsidR="00B233DE" w:rsidRDefault="00B233DE" w:rsidP="0023489B">
            <w:pPr>
              <w:tabs>
                <w:tab w:val="left" w:pos="853"/>
              </w:tabs>
              <w:ind w:left="-108" w:right="-100" w:firstLine="0"/>
              <w:jc w:val="center"/>
              <w:rPr>
                <w:rFonts w:ascii="Times New Roman" w:hAnsi="Times New Roman" w:cs="Times New Roman"/>
                <w:spacing w:val="-6"/>
                <w:sz w:val="16"/>
                <w:szCs w:val="16"/>
              </w:rPr>
            </w:pPr>
            <w:r w:rsidRPr="00650A88">
              <w:rPr>
                <w:rFonts w:ascii="Times New Roman" w:hAnsi="Times New Roman" w:cs="Times New Roman"/>
                <w:spacing w:val="-6"/>
                <w:sz w:val="16"/>
                <w:szCs w:val="16"/>
              </w:rPr>
              <w:t xml:space="preserve">Сукупність економічно активної частини населення (робочої сили) </w:t>
            </w:r>
          </w:p>
          <w:p w:rsidR="00B233DE" w:rsidRPr="00650A88" w:rsidRDefault="00B233DE" w:rsidP="0023489B">
            <w:pPr>
              <w:tabs>
                <w:tab w:val="left" w:pos="853"/>
              </w:tabs>
              <w:ind w:left="-108" w:right="-100" w:firstLine="0"/>
              <w:jc w:val="center"/>
              <w:rPr>
                <w:rFonts w:ascii="Times New Roman" w:hAnsi="Times New Roman" w:cs="Times New Roman"/>
                <w:spacing w:val="-6"/>
                <w:sz w:val="16"/>
                <w:szCs w:val="16"/>
              </w:rPr>
            </w:pPr>
            <w:r w:rsidRPr="00650A88">
              <w:rPr>
                <w:rFonts w:ascii="Times New Roman" w:hAnsi="Times New Roman" w:cs="Times New Roman"/>
                <w:spacing w:val="-6"/>
                <w:sz w:val="16"/>
                <w:szCs w:val="16"/>
              </w:rPr>
              <w:t>з певним рівнем професійно-кваліфікаційної підготовки, навиками і знаннями</w:t>
            </w:r>
          </w:p>
        </w:tc>
        <w:tc>
          <w:tcPr>
            <w:tcW w:w="1984" w:type="dxa"/>
            <w:shd w:val="clear" w:color="auto" w:fill="auto"/>
            <w:vAlign w:val="center"/>
          </w:tcPr>
          <w:p w:rsidR="00B233DE" w:rsidRPr="00650A88" w:rsidRDefault="00B233DE" w:rsidP="0023489B">
            <w:pPr>
              <w:tabs>
                <w:tab w:val="left" w:pos="853"/>
              </w:tabs>
              <w:ind w:left="-108" w:right="-100" w:firstLine="0"/>
              <w:jc w:val="center"/>
              <w:rPr>
                <w:rFonts w:ascii="Times New Roman" w:hAnsi="Times New Roman" w:cs="Times New Roman"/>
                <w:spacing w:val="-6"/>
                <w:sz w:val="16"/>
                <w:szCs w:val="16"/>
              </w:rPr>
            </w:pPr>
            <w:r w:rsidRPr="00650A88">
              <w:rPr>
                <w:rFonts w:ascii="Times New Roman" w:hAnsi="Times New Roman" w:cs="Times New Roman"/>
                <w:spacing w:val="-6"/>
                <w:sz w:val="16"/>
                <w:szCs w:val="16"/>
              </w:rPr>
              <w:t xml:space="preserve">Людина </w:t>
            </w:r>
            <w:r>
              <w:rPr>
                <w:rFonts w:ascii="Times New Roman" w:hAnsi="Times New Roman" w:cs="Times New Roman"/>
                <w:spacing w:val="-6"/>
                <w:sz w:val="16"/>
                <w:szCs w:val="16"/>
              </w:rPr>
              <w:t>–</w:t>
            </w:r>
            <w:r w:rsidRPr="00650A88">
              <w:rPr>
                <w:rFonts w:ascii="Times New Roman" w:hAnsi="Times New Roman" w:cs="Times New Roman"/>
                <w:spacing w:val="-6"/>
                <w:sz w:val="16"/>
                <w:szCs w:val="16"/>
              </w:rPr>
              <w:t xml:space="preserve"> об’єкт забезпечення народного господарства необхідною кількістю та якістю робочої сили</w:t>
            </w:r>
          </w:p>
        </w:tc>
      </w:tr>
      <w:tr w:rsidR="00B233DE" w:rsidRPr="00112C88" w:rsidTr="0023489B">
        <w:tc>
          <w:tcPr>
            <w:tcW w:w="851" w:type="dxa"/>
            <w:shd w:val="clear" w:color="auto" w:fill="auto"/>
            <w:vAlign w:val="center"/>
          </w:tcPr>
          <w:p w:rsidR="00B233DE" w:rsidRPr="00650A88" w:rsidRDefault="00B233DE" w:rsidP="0023489B">
            <w:pPr>
              <w:tabs>
                <w:tab w:val="left" w:pos="853"/>
              </w:tabs>
              <w:ind w:left="-108" w:right="-100" w:firstLine="0"/>
              <w:jc w:val="center"/>
              <w:rPr>
                <w:rFonts w:ascii="Times New Roman" w:hAnsi="Times New Roman" w:cs="Times New Roman"/>
                <w:spacing w:val="-4"/>
                <w:sz w:val="16"/>
                <w:szCs w:val="16"/>
                <w:lang w:val="en-US"/>
              </w:rPr>
            </w:pPr>
            <w:r w:rsidRPr="00650A88">
              <w:rPr>
                <w:rFonts w:ascii="Times New Roman" w:hAnsi="Times New Roman" w:cs="Times New Roman"/>
                <w:spacing w:val="-4"/>
                <w:sz w:val="16"/>
                <w:szCs w:val="16"/>
              </w:rPr>
              <w:t>Трудовий потенціал</w:t>
            </w:r>
          </w:p>
        </w:tc>
        <w:tc>
          <w:tcPr>
            <w:tcW w:w="1055" w:type="dxa"/>
            <w:shd w:val="clear" w:color="auto" w:fill="auto"/>
            <w:vAlign w:val="center"/>
          </w:tcPr>
          <w:p w:rsidR="00B233DE" w:rsidRPr="00650A88" w:rsidRDefault="00B233DE" w:rsidP="0023489B">
            <w:pPr>
              <w:tabs>
                <w:tab w:val="left" w:pos="853"/>
              </w:tabs>
              <w:ind w:left="-108" w:right="-100" w:firstLine="0"/>
              <w:jc w:val="center"/>
              <w:rPr>
                <w:rFonts w:ascii="Times New Roman" w:hAnsi="Times New Roman" w:cs="Times New Roman"/>
                <w:spacing w:val="-4"/>
                <w:sz w:val="16"/>
                <w:szCs w:val="16"/>
                <w:lang w:val="en-US"/>
              </w:rPr>
            </w:pPr>
            <w:r w:rsidRPr="00650A88">
              <w:rPr>
                <w:rFonts w:ascii="Times New Roman" w:hAnsi="Times New Roman" w:cs="Times New Roman"/>
                <w:spacing w:val="-4"/>
                <w:sz w:val="16"/>
                <w:szCs w:val="16"/>
              </w:rPr>
              <w:t>70-ті роки XX століття</w:t>
            </w:r>
          </w:p>
        </w:tc>
        <w:tc>
          <w:tcPr>
            <w:tcW w:w="2347" w:type="dxa"/>
            <w:shd w:val="clear" w:color="auto" w:fill="auto"/>
            <w:vAlign w:val="center"/>
          </w:tcPr>
          <w:p w:rsidR="00B233DE" w:rsidRDefault="00B233DE" w:rsidP="0023489B">
            <w:pPr>
              <w:tabs>
                <w:tab w:val="left" w:pos="853"/>
              </w:tabs>
              <w:ind w:left="-108" w:right="-100" w:firstLine="0"/>
              <w:jc w:val="center"/>
              <w:rPr>
                <w:rFonts w:ascii="Times New Roman" w:hAnsi="Times New Roman" w:cs="Times New Roman"/>
                <w:spacing w:val="-6"/>
                <w:sz w:val="16"/>
                <w:szCs w:val="16"/>
              </w:rPr>
            </w:pPr>
            <w:r w:rsidRPr="00650A88">
              <w:rPr>
                <w:rFonts w:ascii="Times New Roman" w:hAnsi="Times New Roman" w:cs="Times New Roman"/>
                <w:spacing w:val="-6"/>
                <w:sz w:val="16"/>
                <w:szCs w:val="16"/>
              </w:rPr>
              <w:t xml:space="preserve">Сукупність можливостей населення до трудової </w:t>
            </w:r>
          </w:p>
          <w:p w:rsidR="00B233DE" w:rsidRPr="00650A88" w:rsidRDefault="00B233DE" w:rsidP="0023489B">
            <w:pPr>
              <w:tabs>
                <w:tab w:val="left" w:pos="853"/>
              </w:tabs>
              <w:ind w:left="-108" w:right="-100" w:firstLine="0"/>
              <w:jc w:val="center"/>
              <w:rPr>
                <w:rFonts w:ascii="Times New Roman" w:hAnsi="Times New Roman" w:cs="Times New Roman"/>
                <w:spacing w:val="-6"/>
                <w:sz w:val="16"/>
                <w:szCs w:val="16"/>
              </w:rPr>
            </w:pPr>
            <w:r w:rsidRPr="00650A88">
              <w:rPr>
                <w:rFonts w:ascii="Times New Roman" w:hAnsi="Times New Roman" w:cs="Times New Roman"/>
                <w:spacing w:val="-6"/>
                <w:sz w:val="16"/>
                <w:szCs w:val="16"/>
              </w:rPr>
              <w:t>і професійної діяльності, підприємницької та інноваційної активності</w:t>
            </w:r>
          </w:p>
        </w:tc>
        <w:tc>
          <w:tcPr>
            <w:tcW w:w="1984" w:type="dxa"/>
            <w:shd w:val="clear" w:color="auto" w:fill="auto"/>
            <w:vAlign w:val="center"/>
          </w:tcPr>
          <w:p w:rsidR="00B233DE" w:rsidRPr="00650A88" w:rsidRDefault="00B233DE" w:rsidP="0023489B">
            <w:pPr>
              <w:tabs>
                <w:tab w:val="left" w:pos="853"/>
              </w:tabs>
              <w:ind w:left="-108" w:right="-100" w:firstLine="0"/>
              <w:jc w:val="center"/>
              <w:rPr>
                <w:rFonts w:ascii="Times New Roman" w:hAnsi="Times New Roman" w:cs="Times New Roman"/>
                <w:spacing w:val="-6"/>
                <w:sz w:val="16"/>
                <w:szCs w:val="16"/>
              </w:rPr>
            </w:pPr>
            <w:r w:rsidRPr="00650A88">
              <w:rPr>
                <w:rFonts w:ascii="Times New Roman" w:hAnsi="Times New Roman" w:cs="Times New Roman"/>
                <w:spacing w:val="-6"/>
                <w:sz w:val="16"/>
                <w:szCs w:val="16"/>
              </w:rPr>
              <w:t xml:space="preserve">Людина </w:t>
            </w:r>
            <w:r>
              <w:rPr>
                <w:rFonts w:ascii="Times New Roman" w:hAnsi="Times New Roman" w:cs="Times New Roman"/>
                <w:spacing w:val="-6"/>
                <w:sz w:val="16"/>
                <w:szCs w:val="16"/>
              </w:rPr>
              <w:t>–</w:t>
            </w:r>
            <w:r w:rsidRPr="00650A88">
              <w:rPr>
                <w:rFonts w:ascii="Times New Roman" w:hAnsi="Times New Roman" w:cs="Times New Roman"/>
                <w:spacing w:val="-6"/>
                <w:sz w:val="16"/>
                <w:szCs w:val="16"/>
              </w:rPr>
              <w:t xml:space="preserve"> суб’єкт народного господарства з трудовими потребами і професійними інтересами</w:t>
            </w:r>
          </w:p>
        </w:tc>
      </w:tr>
      <w:tr w:rsidR="00B233DE" w:rsidRPr="00112C88" w:rsidTr="0023489B">
        <w:tc>
          <w:tcPr>
            <w:tcW w:w="851" w:type="dxa"/>
            <w:shd w:val="clear" w:color="auto" w:fill="auto"/>
            <w:vAlign w:val="center"/>
          </w:tcPr>
          <w:p w:rsidR="00B233DE" w:rsidRPr="00650A88" w:rsidRDefault="00B233DE" w:rsidP="0023489B">
            <w:pPr>
              <w:tabs>
                <w:tab w:val="left" w:pos="853"/>
              </w:tabs>
              <w:ind w:left="-108" w:right="-100" w:firstLine="0"/>
              <w:jc w:val="center"/>
              <w:rPr>
                <w:rFonts w:ascii="Times New Roman" w:hAnsi="Times New Roman" w:cs="Times New Roman"/>
                <w:spacing w:val="-4"/>
                <w:sz w:val="16"/>
                <w:szCs w:val="16"/>
                <w:lang w:val="en-US"/>
              </w:rPr>
            </w:pPr>
            <w:r w:rsidRPr="00650A88">
              <w:rPr>
                <w:rFonts w:ascii="Times New Roman" w:hAnsi="Times New Roman" w:cs="Times New Roman"/>
                <w:spacing w:val="-4"/>
                <w:sz w:val="16"/>
                <w:szCs w:val="16"/>
              </w:rPr>
              <w:t>Людський капітал</w:t>
            </w:r>
          </w:p>
        </w:tc>
        <w:tc>
          <w:tcPr>
            <w:tcW w:w="1055" w:type="dxa"/>
            <w:shd w:val="clear" w:color="auto" w:fill="auto"/>
            <w:vAlign w:val="center"/>
          </w:tcPr>
          <w:p w:rsidR="00B233DE" w:rsidRPr="00650A88" w:rsidRDefault="00B233DE" w:rsidP="0023489B">
            <w:pPr>
              <w:tabs>
                <w:tab w:val="left" w:pos="853"/>
              </w:tabs>
              <w:ind w:left="-108" w:right="-100" w:firstLine="0"/>
              <w:jc w:val="center"/>
              <w:rPr>
                <w:rFonts w:ascii="Times New Roman" w:hAnsi="Times New Roman" w:cs="Times New Roman"/>
                <w:spacing w:val="-4"/>
                <w:sz w:val="16"/>
                <w:szCs w:val="16"/>
                <w:lang w:val="en-US"/>
              </w:rPr>
            </w:pPr>
            <w:r w:rsidRPr="00650A88">
              <w:rPr>
                <w:rFonts w:ascii="Times New Roman" w:hAnsi="Times New Roman" w:cs="Times New Roman"/>
                <w:spacing w:val="-4"/>
                <w:sz w:val="16"/>
                <w:szCs w:val="16"/>
              </w:rPr>
              <w:t>80-90-ті роки XX століття</w:t>
            </w:r>
          </w:p>
        </w:tc>
        <w:tc>
          <w:tcPr>
            <w:tcW w:w="2347" w:type="dxa"/>
            <w:shd w:val="clear" w:color="auto" w:fill="auto"/>
            <w:vAlign w:val="center"/>
          </w:tcPr>
          <w:p w:rsidR="00B233DE" w:rsidRPr="00650A88" w:rsidRDefault="00B233DE" w:rsidP="0023489B">
            <w:pPr>
              <w:tabs>
                <w:tab w:val="left" w:pos="853"/>
              </w:tabs>
              <w:ind w:left="-108" w:right="-100" w:firstLine="0"/>
              <w:jc w:val="center"/>
              <w:rPr>
                <w:rFonts w:ascii="Times New Roman" w:hAnsi="Times New Roman" w:cs="Times New Roman"/>
                <w:spacing w:val="-6"/>
                <w:sz w:val="16"/>
                <w:szCs w:val="16"/>
              </w:rPr>
            </w:pPr>
            <w:r w:rsidRPr="00650A88">
              <w:rPr>
                <w:rFonts w:ascii="Times New Roman" w:hAnsi="Times New Roman" w:cs="Times New Roman"/>
                <w:spacing w:val="-6"/>
                <w:sz w:val="16"/>
                <w:szCs w:val="16"/>
              </w:rPr>
              <w:t>Сукупність знань і кваліфікацій людини як основного чинника зростання продуктивності праці</w:t>
            </w:r>
          </w:p>
        </w:tc>
        <w:tc>
          <w:tcPr>
            <w:tcW w:w="1984" w:type="dxa"/>
            <w:shd w:val="clear" w:color="auto" w:fill="auto"/>
            <w:vAlign w:val="center"/>
          </w:tcPr>
          <w:p w:rsidR="00B233DE" w:rsidRDefault="00B233DE" w:rsidP="0023489B">
            <w:pPr>
              <w:tabs>
                <w:tab w:val="left" w:pos="853"/>
              </w:tabs>
              <w:ind w:left="-108" w:right="-100" w:firstLine="0"/>
              <w:jc w:val="center"/>
              <w:rPr>
                <w:rFonts w:ascii="Times New Roman" w:hAnsi="Times New Roman" w:cs="Times New Roman"/>
                <w:spacing w:val="-6"/>
                <w:sz w:val="16"/>
                <w:szCs w:val="16"/>
              </w:rPr>
            </w:pPr>
            <w:r w:rsidRPr="00650A88">
              <w:rPr>
                <w:rFonts w:ascii="Times New Roman" w:hAnsi="Times New Roman" w:cs="Times New Roman"/>
                <w:spacing w:val="-6"/>
                <w:sz w:val="16"/>
                <w:szCs w:val="16"/>
              </w:rPr>
              <w:t xml:space="preserve">Людина </w:t>
            </w:r>
            <w:r>
              <w:rPr>
                <w:rFonts w:ascii="Times New Roman" w:hAnsi="Times New Roman" w:cs="Times New Roman"/>
                <w:spacing w:val="-6"/>
                <w:sz w:val="16"/>
                <w:szCs w:val="16"/>
              </w:rPr>
              <w:t>–</w:t>
            </w:r>
            <w:r w:rsidRPr="00650A88">
              <w:rPr>
                <w:rFonts w:ascii="Times New Roman" w:hAnsi="Times New Roman" w:cs="Times New Roman"/>
                <w:spacing w:val="-6"/>
                <w:sz w:val="16"/>
                <w:szCs w:val="16"/>
              </w:rPr>
              <w:t xml:space="preserve"> об’єкт  найбільш</w:t>
            </w:r>
            <w:r>
              <w:rPr>
                <w:rFonts w:ascii="Times New Roman" w:hAnsi="Times New Roman" w:cs="Times New Roman"/>
                <w:spacing w:val="-6"/>
                <w:sz w:val="16"/>
                <w:szCs w:val="16"/>
              </w:rPr>
              <w:t xml:space="preserve"> ефективних капіталовкладень у</w:t>
            </w:r>
            <w:r w:rsidRPr="00650A88">
              <w:rPr>
                <w:rFonts w:ascii="Times New Roman" w:hAnsi="Times New Roman" w:cs="Times New Roman"/>
                <w:spacing w:val="-6"/>
                <w:sz w:val="16"/>
                <w:szCs w:val="16"/>
              </w:rPr>
              <w:t xml:space="preserve"> її знання, професійний розвиток, фізичний стан </w:t>
            </w:r>
          </w:p>
          <w:p w:rsidR="00B233DE" w:rsidRDefault="00B233DE" w:rsidP="0023489B">
            <w:pPr>
              <w:tabs>
                <w:tab w:val="left" w:pos="853"/>
              </w:tabs>
              <w:ind w:left="-108" w:right="-100" w:firstLine="0"/>
              <w:jc w:val="center"/>
              <w:rPr>
                <w:rFonts w:ascii="Times New Roman" w:hAnsi="Times New Roman" w:cs="Times New Roman"/>
                <w:spacing w:val="-6"/>
                <w:sz w:val="16"/>
                <w:szCs w:val="16"/>
              </w:rPr>
            </w:pPr>
            <w:r w:rsidRPr="00650A88">
              <w:rPr>
                <w:rFonts w:ascii="Times New Roman" w:hAnsi="Times New Roman" w:cs="Times New Roman"/>
                <w:spacing w:val="-6"/>
                <w:sz w:val="16"/>
                <w:szCs w:val="16"/>
              </w:rPr>
              <w:t xml:space="preserve">з подальшою їх реалізацією </w:t>
            </w:r>
          </w:p>
          <w:p w:rsidR="00B233DE" w:rsidRPr="00650A88" w:rsidRDefault="00B233DE" w:rsidP="0023489B">
            <w:pPr>
              <w:tabs>
                <w:tab w:val="left" w:pos="853"/>
              </w:tabs>
              <w:ind w:left="-108" w:right="-100" w:firstLine="0"/>
              <w:jc w:val="center"/>
              <w:rPr>
                <w:rFonts w:ascii="Times New Roman" w:hAnsi="Times New Roman" w:cs="Times New Roman"/>
                <w:spacing w:val="-6"/>
                <w:sz w:val="16"/>
                <w:szCs w:val="16"/>
              </w:rPr>
            </w:pPr>
            <w:r w:rsidRPr="00650A88">
              <w:rPr>
                <w:rFonts w:ascii="Times New Roman" w:hAnsi="Times New Roman" w:cs="Times New Roman"/>
                <w:spacing w:val="-6"/>
                <w:sz w:val="16"/>
                <w:szCs w:val="16"/>
              </w:rPr>
              <w:t>в економ</w:t>
            </w:r>
            <w:r>
              <w:rPr>
                <w:rFonts w:ascii="Times New Roman" w:hAnsi="Times New Roman" w:cs="Times New Roman"/>
                <w:spacing w:val="-6"/>
                <w:sz w:val="16"/>
                <w:szCs w:val="16"/>
              </w:rPr>
              <w:t>і</w:t>
            </w:r>
            <w:r w:rsidRPr="00650A88">
              <w:rPr>
                <w:rFonts w:ascii="Times New Roman" w:hAnsi="Times New Roman" w:cs="Times New Roman"/>
                <w:spacing w:val="-6"/>
                <w:sz w:val="16"/>
                <w:szCs w:val="16"/>
              </w:rPr>
              <w:t>чній системі</w:t>
            </w:r>
          </w:p>
        </w:tc>
      </w:tr>
      <w:tr w:rsidR="00B233DE" w:rsidRPr="00112C88" w:rsidTr="0023489B">
        <w:tc>
          <w:tcPr>
            <w:tcW w:w="851" w:type="dxa"/>
            <w:shd w:val="clear" w:color="auto" w:fill="auto"/>
            <w:vAlign w:val="center"/>
          </w:tcPr>
          <w:p w:rsidR="00B233DE" w:rsidRPr="00650A88" w:rsidRDefault="00B233DE" w:rsidP="0023489B">
            <w:pPr>
              <w:tabs>
                <w:tab w:val="left" w:pos="853"/>
              </w:tabs>
              <w:ind w:left="-108" w:right="-100" w:firstLine="0"/>
              <w:jc w:val="center"/>
              <w:rPr>
                <w:rFonts w:ascii="Times New Roman" w:hAnsi="Times New Roman" w:cs="Times New Roman"/>
                <w:spacing w:val="-4"/>
                <w:sz w:val="16"/>
                <w:szCs w:val="16"/>
                <w:lang w:val="en-US"/>
              </w:rPr>
            </w:pPr>
            <w:r w:rsidRPr="00650A88">
              <w:rPr>
                <w:rFonts w:ascii="Times New Roman" w:hAnsi="Times New Roman" w:cs="Times New Roman"/>
                <w:spacing w:val="-4"/>
                <w:sz w:val="16"/>
                <w:szCs w:val="16"/>
              </w:rPr>
              <w:t>Людський потенціал</w:t>
            </w:r>
          </w:p>
        </w:tc>
        <w:tc>
          <w:tcPr>
            <w:tcW w:w="1055" w:type="dxa"/>
            <w:shd w:val="clear" w:color="auto" w:fill="auto"/>
            <w:vAlign w:val="center"/>
          </w:tcPr>
          <w:p w:rsidR="00B233DE" w:rsidRPr="00650A88" w:rsidRDefault="00B233DE" w:rsidP="0023489B">
            <w:pPr>
              <w:tabs>
                <w:tab w:val="left" w:pos="853"/>
              </w:tabs>
              <w:ind w:left="-108" w:right="-100" w:firstLine="0"/>
              <w:jc w:val="center"/>
              <w:rPr>
                <w:rFonts w:ascii="Times New Roman" w:hAnsi="Times New Roman" w:cs="Times New Roman"/>
                <w:spacing w:val="-4"/>
                <w:sz w:val="16"/>
                <w:szCs w:val="16"/>
                <w:lang w:val="en-US"/>
              </w:rPr>
            </w:pPr>
            <w:r w:rsidRPr="00650A88">
              <w:rPr>
                <w:rFonts w:ascii="Times New Roman" w:hAnsi="Times New Roman" w:cs="Times New Roman"/>
                <w:spacing w:val="-4"/>
                <w:sz w:val="16"/>
                <w:szCs w:val="16"/>
              </w:rPr>
              <w:t xml:space="preserve">кін. ХХ </w:t>
            </w:r>
            <w:r>
              <w:rPr>
                <w:rFonts w:ascii="Times New Roman" w:hAnsi="Times New Roman" w:cs="Times New Roman"/>
                <w:spacing w:val="-4"/>
                <w:sz w:val="16"/>
                <w:szCs w:val="16"/>
              </w:rPr>
              <w:t>–</w:t>
            </w:r>
            <w:r w:rsidRPr="00650A88">
              <w:rPr>
                <w:rFonts w:ascii="Times New Roman" w:hAnsi="Times New Roman" w:cs="Times New Roman"/>
                <w:spacing w:val="-4"/>
                <w:sz w:val="16"/>
                <w:szCs w:val="16"/>
              </w:rPr>
              <w:t xml:space="preserve"> поч. ХХІ століття</w:t>
            </w:r>
          </w:p>
        </w:tc>
        <w:tc>
          <w:tcPr>
            <w:tcW w:w="2347" w:type="dxa"/>
            <w:shd w:val="clear" w:color="auto" w:fill="auto"/>
            <w:vAlign w:val="center"/>
          </w:tcPr>
          <w:p w:rsidR="00B233DE" w:rsidRDefault="00B233DE" w:rsidP="0023489B">
            <w:pPr>
              <w:tabs>
                <w:tab w:val="left" w:pos="853"/>
              </w:tabs>
              <w:ind w:left="-108" w:right="-100" w:firstLine="0"/>
              <w:jc w:val="center"/>
              <w:rPr>
                <w:rFonts w:ascii="Times New Roman" w:hAnsi="Times New Roman" w:cs="Times New Roman"/>
                <w:spacing w:val="-6"/>
                <w:sz w:val="16"/>
                <w:szCs w:val="16"/>
              </w:rPr>
            </w:pPr>
            <w:r w:rsidRPr="00650A88">
              <w:rPr>
                <w:rFonts w:ascii="Times New Roman" w:hAnsi="Times New Roman" w:cs="Times New Roman"/>
                <w:spacing w:val="-6"/>
                <w:sz w:val="16"/>
                <w:szCs w:val="16"/>
              </w:rPr>
              <w:t xml:space="preserve">Людські можливості, що визначаються рівнем фізичного </w:t>
            </w:r>
          </w:p>
          <w:p w:rsidR="00B233DE" w:rsidRPr="00650A88" w:rsidRDefault="00B233DE" w:rsidP="0023489B">
            <w:pPr>
              <w:tabs>
                <w:tab w:val="left" w:pos="853"/>
              </w:tabs>
              <w:ind w:left="-108" w:right="-100" w:firstLine="0"/>
              <w:jc w:val="center"/>
              <w:rPr>
                <w:rFonts w:ascii="Times New Roman" w:hAnsi="Times New Roman" w:cs="Times New Roman"/>
                <w:spacing w:val="-6"/>
                <w:sz w:val="16"/>
                <w:szCs w:val="16"/>
              </w:rPr>
            </w:pPr>
            <w:r w:rsidRPr="00650A88">
              <w:rPr>
                <w:rFonts w:ascii="Times New Roman" w:hAnsi="Times New Roman" w:cs="Times New Roman"/>
                <w:spacing w:val="-6"/>
                <w:sz w:val="16"/>
                <w:szCs w:val="16"/>
              </w:rPr>
              <w:t>та психічного здоров’я, соціального благополуччя, моральності, духовності, здібностей, таланту, рівня освіти, кваліфікації та інтелектуального розвитку</w:t>
            </w:r>
          </w:p>
        </w:tc>
        <w:tc>
          <w:tcPr>
            <w:tcW w:w="1984" w:type="dxa"/>
            <w:shd w:val="clear" w:color="auto" w:fill="auto"/>
            <w:vAlign w:val="center"/>
          </w:tcPr>
          <w:p w:rsidR="00B233DE" w:rsidRPr="00650A88" w:rsidRDefault="00B233DE" w:rsidP="0023489B">
            <w:pPr>
              <w:tabs>
                <w:tab w:val="left" w:pos="853"/>
              </w:tabs>
              <w:ind w:left="-108" w:right="-100" w:firstLine="0"/>
              <w:jc w:val="center"/>
              <w:rPr>
                <w:rFonts w:ascii="Times New Roman" w:hAnsi="Times New Roman" w:cs="Times New Roman"/>
                <w:spacing w:val="-10"/>
                <w:sz w:val="16"/>
                <w:szCs w:val="16"/>
              </w:rPr>
            </w:pPr>
            <w:r w:rsidRPr="00650A88">
              <w:rPr>
                <w:rFonts w:ascii="Times New Roman" w:hAnsi="Times New Roman" w:cs="Times New Roman"/>
                <w:spacing w:val="-10"/>
                <w:sz w:val="16"/>
                <w:szCs w:val="16"/>
              </w:rPr>
              <w:t>Людина – носій унікальних здібностей та можливостей, що визначаються рівнем фізичного та психічного здоров’я, соціального благополуччя, моральності, духовності, таланту, рівня освіти, кваліфікації, інтелектуального розвитку та їх потенційна здатність приносити дохід</w:t>
            </w:r>
          </w:p>
        </w:tc>
      </w:tr>
    </w:tbl>
    <w:p w:rsidR="00B233DE" w:rsidRPr="00B72D85" w:rsidRDefault="00B233DE" w:rsidP="00B233DE">
      <w:pPr>
        <w:tabs>
          <w:tab w:val="left" w:pos="853"/>
        </w:tabs>
        <w:ind w:firstLine="720"/>
        <w:jc w:val="both"/>
        <w:rPr>
          <w:rFonts w:ascii="Times New Roman" w:hAnsi="Times New Roman" w:cs="Times New Roman"/>
          <w:spacing w:val="-9"/>
          <w:sz w:val="18"/>
          <w:szCs w:val="18"/>
        </w:rPr>
      </w:pPr>
      <w:r w:rsidRPr="00B72D85">
        <w:rPr>
          <w:rFonts w:ascii="Times New Roman" w:hAnsi="Times New Roman" w:cs="Times New Roman"/>
          <w:spacing w:val="-9"/>
          <w:sz w:val="18"/>
          <w:szCs w:val="18"/>
        </w:rPr>
        <w:t>*- сформовано автором на основі [</w:t>
      </w:r>
      <w:r w:rsidRPr="00B72D85">
        <w:rPr>
          <w:rFonts w:ascii="Times New Roman" w:hAnsi="Times New Roman" w:cs="Times New Roman"/>
          <w:spacing w:val="-9"/>
          <w:sz w:val="18"/>
          <w:szCs w:val="18"/>
        </w:rPr>
        <w:fldChar w:fldCharType="begin"/>
      </w:r>
      <w:r w:rsidRPr="00B72D85">
        <w:rPr>
          <w:rFonts w:ascii="Times New Roman" w:hAnsi="Times New Roman" w:cs="Times New Roman"/>
          <w:spacing w:val="-9"/>
          <w:sz w:val="18"/>
          <w:szCs w:val="18"/>
        </w:rPr>
        <w:instrText xml:space="preserve"> REF _Ref430594589 \r \h </w:instrText>
      </w:r>
      <w:r>
        <w:rPr>
          <w:rFonts w:ascii="Times New Roman" w:hAnsi="Times New Roman" w:cs="Times New Roman"/>
          <w:spacing w:val="-9"/>
          <w:sz w:val="18"/>
          <w:szCs w:val="18"/>
        </w:rPr>
        <w:instrText xml:space="preserve"> \* MERGEFORMAT </w:instrText>
      </w:r>
      <w:r w:rsidRPr="00B72D85">
        <w:rPr>
          <w:rFonts w:ascii="Times New Roman" w:hAnsi="Times New Roman" w:cs="Times New Roman"/>
          <w:spacing w:val="-9"/>
          <w:sz w:val="18"/>
          <w:szCs w:val="18"/>
        </w:rPr>
      </w:r>
      <w:r w:rsidRPr="00B72D85">
        <w:rPr>
          <w:rFonts w:ascii="Times New Roman" w:hAnsi="Times New Roman" w:cs="Times New Roman"/>
          <w:spacing w:val="-9"/>
          <w:sz w:val="18"/>
          <w:szCs w:val="18"/>
        </w:rPr>
        <w:fldChar w:fldCharType="separate"/>
      </w:r>
      <w:r>
        <w:rPr>
          <w:rFonts w:ascii="Times New Roman" w:hAnsi="Times New Roman" w:cs="Times New Roman"/>
          <w:spacing w:val="-9"/>
          <w:sz w:val="18"/>
          <w:szCs w:val="18"/>
        </w:rPr>
        <w:t>66</w:t>
      </w:r>
      <w:r w:rsidRPr="00B72D85">
        <w:rPr>
          <w:rFonts w:ascii="Times New Roman" w:hAnsi="Times New Roman" w:cs="Times New Roman"/>
          <w:spacing w:val="-9"/>
          <w:sz w:val="18"/>
          <w:szCs w:val="18"/>
        </w:rPr>
        <w:fldChar w:fldCharType="end"/>
      </w:r>
      <w:r w:rsidRPr="00B72D85">
        <w:rPr>
          <w:rFonts w:ascii="Times New Roman" w:hAnsi="Times New Roman" w:cs="Times New Roman"/>
          <w:spacing w:val="-9"/>
          <w:sz w:val="18"/>
          <w:szCs w:val="18"/>
        </w:rPr>
        <w:t>, с. 79]</w:t>
      </w:r>
    </w:p>
    <w:p w:rsidR="00B233DE" w:rsidRPr="00650A88" w:rsidRDefault="00B233DE" w:rsidP="00B233DE">
      <w:pPr>
        <w:tabs>
          <w:tab w:val="left" w:pos="853"/>
        </w:tabs>
        <w:ind w:firstLine="720"/>
        <w:jc w:val="both"/>
        <w:rPr>
          <w:rFonts w:ascii="Times New Roman" w:hAnsi="Times New Roman" w:cs="Times New Roman"/>
          <w:sz w:val="21"/>
          <w:szCs w:val="21"/>
        </w:rPr>
      </w:pPr>
    </w:p>
    <w:p w:rsidR="00B233DE" w:rsidRPr="00650A88" w:rsidRDefault="00B233DE" w:rsidP="00B233DE">
      <w:pPr>
        <w:pStyle w:val="23"/>
        <w:suppressAutoHyphens/>
        <w:spacing w:after="0" w:line="240" w:lineRule="auto"/>
        <w:ind w:left="0" w:firstLine="720"/>
        <w:jc w:val="both"/>
        <w:rPr>
          <w:rFonts w:ascii="Times New Roman" w:hAnsi="Times New Roman"/>
          <w:sz w:val="21"/>
          <w:szCs w:val="21"/>
        </w:rPr>
      </w:pPr>
      <w:r w:rsidRPr="00650A88">
        <w:rPr>
          <w:rFonts w:ascii="Times New Roman" w:hAnsi="Times New Roman"/>
          <w:sz w:val="21"/>
          <w:szCs w:val="21"/>
        </w:rPr>
        <w:t xml:space="preserve">Е. Лібанова включає до поняття «людський розвиток» наступні елементи: реалізацію базових можливостей (можливості людей брати участь у прийнятті рішень, які стосуються їхнього життя та активну участь у процесі власного розвитку); співробітництво (відчуття приналежності до суспільства передбачає співробітництво людей в інтересах взаємного збагачення, що призводить до розширення індивідуального вибору); справедливість (забезпечення рівних можливостей </w:t>
      </w:r>
      <w:r>
        <w:rPr>
          <w:rFonts w:ascii="Times New Roman" w:hAnsi="Times New Roman"/>
          <w:sz w:val="21"/>
          <w:szCs w:val="21"/>
        </w:rPr>
        <w:t>–</w:t>
      </w:r>
      <w:r w:rsidRPr="00650A88">
        <w:rPr>
          <w:rFonts w:ascii="Times New Roman" w:hAnsi="Times New Roman"/>
          <w:sz w:val="21"/>
          <w:szCs w:val="21"/>
        </w:rPr>
        <w:t xml:space="preserve"> кожна людина повинна мати можливість, наприклад, одержати </w:t>
      </w:r>
      <w:r w:rsidRPr="00650A88">
        <w:rPr>
          <w:rFonts w:ascii="Times New Roman" w:hAnsi="Times New Roman"/>
          <w:sz w:val="21"/>
          <w:szCs w:val="21"/>
        </w:rPr>
        <w:lastRenderedPageBreak/>
        <w:t>освіту і жити довгим і здоровим життям); сталість (сталий людський розвиток дозволяє задовольняти потреби нинішнього покоління без зменшення можливостей доступу до ресурсів розвитку майбутніх поколінь); безпека (людський розвиток вимагає забезпечення для кожної людини хоча б мінімального рівня безпеки в усіх сферах життя) [</w:t>
      </w:r>
      <w:r>
        <w:rPr>
          <w:rFonts w:ascii="Times New Roman" w:hAnsi="Times New Roman"/>
          <w:sz w:val="21"/>
          <w:szCs w:val="21"/>
        </w:rPr>
        <w:fldChar w:fldCharType="begin"/>
      </w:r>
      <w:r>
        <w:rPr>
          <w:rFonts w:ascii="Times New Roman" w:hAnsi="Times New Roman"/>
          <w:sz w:val="21"/>
          <w:szCs w:val="21"/>
        </w:rPr>
        <w:instrText xml:space="preserve"> REF _Ref430594429 \r \h </w:instrText>
      </w:r>
      <w:r>
        <w:rPr>
          <w:rFonts w:ascii="Times New Roman" w:hAnsi="Times New Roman"/>
          <w:sz w:val="21"/>
          <w:szCs w:val="21"/>
        </w:rPr>
      </w:r>
      <w:r>
        <w:rPr>
          <w:rFonts w:ascii="Times New Roman" w:hAnsi="Times New Roman"/>
          <w:sz w:val="21"/>
          <w:szCs w:val="21"/>
        </w:rPr>
        <w:fldChar w:fldCharType="separate"/>
      </w:r>
      <w:r>
        <w:rPr>
          <w:rFonts w:ascii="Times New Roman" w:hAnsi="Times New Roman"/>
          <w:sz w:val="21"/>
          <w:szCs w:val="21"/>
        </w:rPr>
        <w:t>36</w:t>
      </w:r>
      <w:r>
        <w:rPr>
          <w:rFonts w:ascii="Times New Roman" w:hAnsi="Times New Roman"/>
          <w:sz w:val="21"/>
          <w:szCs w:val="21"/>
        </w:rPr>
        <w:fldChar w:fldCharType="end"/>
      </w:r>
      <w:r w:rsidRPr="00650A88">
        <w:rPr>
          <w:rFonts w:ascii="Times New Roman" w:hAnsi="Times New Roman"/>
          <w:sz w:val="21"/>
          <w:szCs w:val="21"/>
        </w:rPr>
        <w:t xml:space="preserve">, </w:t>
      </w:r>
      <w:r w:rsidRPr="00650A88">
        <w:rPr>
          <w:rFonts w:ascii="Times New Roman" w:hAnsi="Times New Roman"/>
          <w:sz w:val="21"/>
          <w:szCs w:val="21"/>
          <w:lang w:val="en-US"/>
        </w:rPr>
        <w:t>c</w:t>
      </w:r>
      <w:r w:rsidRPr="00650A88">
        <w:rPr>
          <w:rFonts w:ascii="Times New Roman" w:hAnsi="Times New Roman"/>
          <w:sz w:val="21"/>
          <w:szCs w:val="21"/>
        </w:rPr>
        <w:t>. 53</w:t>
      </w:r>
      <w:r>
        <w:rPr>
          <w:rFonts w:ascii="Times New Roman" w:hAnsi="Times New Roman"/>
          <w:sz w:val="21"/>
          <w:szCs w:val="21"/>
        </w:rPr>
        <w:t>–</w:t>
      </w:r>
      <w:r w:rsidRPr="00650A88">
        <w:rPr>
          <w:rFonts w:ascii="Times New Roman" w:hAnsi="Times New Roman"/>
          <w:sz w:val="21"/>
          <w:szCs w:val="21"/>
        </w:rPr>
        <w:t>56].</w:t>
      </w:r>
    </w:p>
    <w:p w:rsidR="00B233DE" w:rsidRPr="00650A88" w:rsidRDefault="00B233DE" w:rsidP="00B233DE">
      <w:pPr>
        <w:pStyle w:val="23"/>
        <w:spacing w:after="0" w:line="240" w:lineRule="auto"/>
        <w:ind w:left="0" w:firstLine="720"/>
        <w:jc w:val="both"/>
        <w:rPr>
          <w:rFonts w:ascii="Times New Roman" w:hAnsi="Times New Roman"/>
          <w:sz w:val="21"/>
          <w:szCs w:val="21"/>
        </w:rPr>
      </w:pPr>
      <w:r w:rsidRPr="00650A88">
        <w:rPr>
          <w:rFonts w:ascii="Times New Roman" w:hAnsi="Times New Roman"/>
          <w:sz w:val="21"/>
          <w:szCs w:val="21"/>
        </w:rPr>
        <w:t>Узагальнення наукових підходів до визначення понять «людський капітал», «людський розвиток», «трудовий потенціал» і «людський потенціал» дозволяє виявити співвідношення між ними (рис. 1.2).</w:t>
      </w:r>
    </w:p>
    <w:p w:rsidR="00B233DE" w:rsidRPr="005858DE" w:rsidRDefault="00B233DE" w:rsidP="00B233DE">
      <w:pPr>
        <w:pStyle w:val="23"/>
        <w:spacing w:after="0" w:line="240" w:lineRule="auto"/>
        <w:ind w:left="0" w:firstLine="720"/>
        <w:jc w:val="both"/>
        <w:rPr>
          <w:rFonts w:ascii="Times New Roman" w:hAnsi="Times New Roman"/>
          <w:sz w:val="21"/>
          <w:szCs w:val="21"/>
        </w:rPr>
      </w:pPr>
    </w:p>
    <w:p w:rsidR="00B233DE" w:rsidRPr="005858DE" w:rsidRDefault="00B233DE" w:rsidP="00B233DE">
      <w:pPr>
        <w:pStyle w:val="aff0"/>
        <w:ind w:right="-1" w:firstLine="720"/>
        <w:jc w:val="both"/>
        <w:rPr>
          <w:sz w:val="21"/>
          <w:szCs w:val="21"/>
          <w:lang w:val="uk-UA"/>
        </w:rPr>
      </w:pPr>
      <w:r>
        <w:rPr>
          <w:noProof/>
          <w:sz w:val="21"/>
          <w:szCs w:val="21"/>
          <w:lang w:val="ru-RU"/>
        </w:rPr>
        <mc:AlternateContent>
          <mc:Choice Requires="wpg">
            <w:drawing>
              <wp:inline distT="0" distB="0" distL="0" distR="0" wp14:anchorId="3737EC11" wp14:editId="7768083D">
                <wp:extent cx="3157225" cy="2319338"/>
                <wp:effectExtent l="0" t="0" r="24130" b="24130"/>
                <wp:docPr id="23" name="Группа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57225" cy="2319338"/>
                          <a:chOff x="3022" y="9504"/>
                          <a:chExt cx="7009" cy="6120"/>
                        </a:xfrm>
                      </wpg:grpSpPr>
                      <wps:wsp>
                        <wps:cNvPr id="24" name="Text Box 13"/>
                        <wps:cNvSpPr txBox="1">
                          <a:spLocks noChangeArrowheads="1"/>
                        </wps:cNvSpPr>
                        <wps:spPr bwMode="auto">
                          <a:xfrm>
                            <a:off x="3022" y="9504"/>
                            <a:ext cx="7009" cy="6120"/>
                          </a:xfrm>
                          <a:prstGeom prst="rect">
                            <a:avLst/>
                          </a:prstGeom>
                          <a:solidFill>
                            <a:srgbClr val="FFFFFF"/>
                          </a:solidFill>
                          <a:ln w="9525">
                            <a:solidFill>
                              <a:srgbClr val="000000"/>
                            </a:solidFill>
                            <a:prstDash val="dash"/>
                            <a:miter lim="800000"/>
                            <a:headEnd/>
                            <a:tailEnd/>
                          </a:ln>
                        </wps:spPr>
                        <wps:txbx>
                          <w:txbxContent>
                            <w:p w:rsidR="00BE40F8" w:rsidRPr="009D7693" w:rsidRDefault="00BE40F8" w:rsidP="00B233DE">
                              <w:pPr>
                                <w:ind w:firstLine="0"/>
                                <w:jc w:val="center"/>
                                <w:rPr>
                                  <w:rFonts w:ascii="Times New Roman" w:hAnsi="Times New Roman" w:cs="Times New Roman"/>
                                  <w:b/>
                                  <w:sz w:val="16"/>
                                  <w:szCs w:val="16"/>
                                </w:rPr>
                              </w:pPr>
                              <w:r w:rsidRPr="009D7693">
                                <w:rPr>
                                  <w:rFonts w:ascii="Times New Roman" w:hAnsi="Times New Roman" w:cs="Times New Roman"/>
                                  <w:b/>
                                  <w:sz w:val="16"/>
                                  <w:szCs w:val="16"/>
                                </w:rPr>
                                <w:t>Людський розвиток</w:t>
                              </w:r>
                            </w:p>
                          </w:txbxContent>
                        </wps:txbx>
                        <wps:bodyPr rot="0" vert="horz" wrap="square" lIns="91440" tIns="45720" rIns="91440" bIns="45720" anchor="t" anchorCtr="0" upright="1">
                          <a:noAutofit/>
                        </wps:bodyPr>
                      </wps:wsp>
                      <wps:wsp>
                        <wps:cNvPr id="25" name="Text Box 14"/>
                        <wps:cNvSpPr txBox="1">
                          <a:spLocks noChangeArrowheads="1"/>
                        </wps:cNvSpPr>
                        <wps:spPr bwMode="auto">
                          <a:xfrm>
                            <a:off x="3321" y="10314"/>
                            <a:ext cx="720" cy="4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40F8" w:rsidRPr="009D7693" w:rsidRDefault="00BE40F8" w:rsidP="00B233DE">
                              <w:pPr>
                                <w:jc w:val="center"/>
                                <w:rPr>
                                  <w:rFonts w:ascii="Times New Roman" w:hAnsi="Times New Roman" w:cs="Times New Roman"/>
                                  <w:sz w:val="16"/>
                                  <w:szCs w:val="16"/>
                                </w:rPr>
                              </w:pPr>
                              <w:r w:rsidRPr="009D7693">
                                <w:rPr>
                                  <w:rFonts w:ascii="Times New Roman" w:hAnsi="Times New Roman" w:cs="Times New Roman"/>
                                  <w:sz w:val="16"/>
                                  <w:szCs w:val="16"/>
                                </w:rPr>
                                <w:t>реалізація</w:t>
                              </w:r>
                            </w:p>
                          </w:txbxContent>
                        </wps:txbx>
                        <wps:bodyPr rot="0" vert="vert270" wrap="square" lIns="0" tIns="0" rIns="0" bIns="0" anchor="t" anchorCtr="0" upright="1">
                          <a:noAutofit/>
                        </wps:bodyPr>
                      </wps:wsp>
                      <wps:wsp>
                        <wps:cNvPr id="26" name="Text Box 15"/>
                        <wps:cNvSpPr txBox="1">
                          <a:spLocks noChangeArrowheads="1"/>
                        </wps:cNvSpPr>
                        <wps:spPr bwMode="auto">
                          <a:xfrm>
                            <a:off x="8901" y="10314"/>
                            <a:ext cx="722" cy="4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40F8" w:rsidRPr="009D7693" w:rsidRDefault="00BE40F8" w:rsidP="00B233DE">
                              <w:pPr>
                                <w:jc w:val="center"/>
                                <w:rPr>
                                  <w:rFonts w:ascii="Times New Roman" w:hAnsi="Times New Roman" w:cs="Times New Roman"/>
                                  <w:sz w:val="16"/>
                                  <w:szCs w:val="16"/>
                                </w:rPr>
                              </w:pPr>
                              <w:r w:rsidRPr="009D7693">
                                <w:rPr>
                                  <w:rFonts w:ascii="Times New Roman" w:hAnsi="Times New Roman" w:cs="Times New Roman"/>
                                  <w:sz w:val="16"/>
                                  <w:szCs w:val="16"/>
                                </w:rPr>
                                <w:t>потенціалу</w:t>
                              </w:r>
                            </w:p>
                          </w:txbxContent>
                        </wps:txbx>
                        <wps:bodyPr rot="0" vert="vert270" wrap="square" lIns="0" tIns="0" rIns="0" bIns="0" anchor="t" anchorCtr="0" upright="1">
                          <a:noAutofit/>
                        </wps:bodyPr>
                      </wps:wsp>
                      <wps:wsp>
                        <wps:cNvPr id="27" name="Text Box 16"/>
                        <wps:cNvSpPr txBox="1">
                          <a:spLocks noChangeArrowheads="1"/>
                        </wps:cNvSpPr>
                        <wps:spPr bwMode="auto">
                          <a:xfrm>
                            <a:off x="4041" y="14454"/>
                            <a:ext cx="4860" cy="53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40F8" w:rsidRPr="009D7693" w:rsidRDefault="00BE40F8" w:rsidP="00B233DE">
                              <w:pPr>
                                <w:ind w:firstLine="0"/>
                                <w:jc w:val="center"/>
                                <w:rPr>
                                  <w:rFonts w:ascii="Times New Roman" w:hAnsi="Times New Roman" w:cs="Times New Roman"/>
                                  <w:sz w:val="16"/>
                                  <w:szCs w:val="16"/>
                                </w:rPr>
                              </w:pPr>
                              <w:r w:rsidRPr="009D7693">
                                <w:rPr>
                                  <w:rFonts w:ascii="Times New Roman" w:hAnsi="Times New Roman" w:cs="Times New Roman"/>
                                  <w:sz w:val="16"/>
                                  <w:szCs w:val="16"/>
                                </w:rPr>
                                <w:t>людського</w:t>
                              </w:r>
                            </w:p>
                          </w:txbxContent>
                        </wps:txbx>
                        <wps:bodyPr rot="0" vert="horz" wrap="square" lIns="91440" tIns="45720" rIns="91440" bIns="45720" anchor="t" anchorCtr="0" upright="1">
                          <a:noAutofit/>
                        </wps:bodyPr>
                      </wps:wsp>
                      <wps:wsp>
                        <wps:cNvPr id="28" name="Text Box 17"/>
                        <wps:cNvSpPr txBox="1">
                          <a:spLocks noChangeArrowheads="1"/>
                        </wps:cNvSpPr>
                        <wps:spPr bwMode="auto">
                          <a:xfrm>
                            <a:off x="4370" y="9610"/>
                            <a:ext cx="4140" cy="4500"/>
                          </a:xfrm>
                          <a:prstGeom prst="rect">
                            <a:avLst/>
                          </a:prstGeom>
                          <a:solidFill>
                            <a:srgbClr val="FFFFFF"/>
                          </a:solidFill>
                          <a:ln w="9525">
                            <a:solidFill>
                              <a:srgbClr val="000000"/>
                            </a:solidFill>
                            <a:miter lim="800000"/>
                            <a:headEnd/>
                            <a:tailEnd/>
                          </a:ln>
                        </wps:spPr>
                        <wps:txbx>
                          <w:txbxContent>
                            <w:p w:rsidR="00BE40F8" w:rsidRPr="009D7693" w:rsidRDefault="00BE40F8" w:rsidP="00B233DE">
                              <w:pPr>
                                <w:ind w:firstLine="0"/>
                                <w:jc w:val="center"/>
                                <w:rPr>
                                  <w:rFonts w:ascii="Times New Roman" w:hAnsi="Times New Roman" w:cs="Times New Roman"/>
                                  <w:b/>
                                  <w:sz w:val="16"/>
                                  <w:szCs w:val="16"/>
                                </w:rPr>
                              </w:pPr>
                              <w:r w:rsidRPr="009D7693">
                                <w:rPr>
                                  <w:rFonts w:ascii="Times New Roman" w:hAnsi="Times New Roman" w:cs="Times New Roman"/>
                                  <w:b/>
                                  <w:sz w:val="16"/>
                                  <w:szCs w:val="16"/>
                                </w:rPr>
                                <w:t>Людський потенціал</w:t>
                              </w:r>
                            </w:p>
                          </w:txbxContent>
                        </wps:txbx>
                        <wps:bodyPr rot="0" vert="horz" wrap="square" lIns="91440" tIns="45720" rIns="91440" bIns="45720" anchor="t" anchorCtr="0" upright="1">
                          <a:noAutofit/>
                        </wps:bodyPr>
                      </wps:wsp>
                      <wps:wsp>
                        <wps:cNvPr id="29" name="Text Box 18"/>
                        <wps:cNvSpPr txBox="1">
                          <a:spLocks noChangeArrowheads="1"/>
                        </wps:cNvSpPr>
                        <wps:spPr bwMode="auto">
                          <a:xfrm>
                            <a:off x="4539" y="10667"/>
                            <a:ext cx="3780" cy="3240"/>
                          </a:xfrm>
                          <a:prstGeom prst="rect">
                            <a:avLst/>
                          </a:prstGeom>
                          <a:solidFill>
                            <a:srgbClr val="FFFFFF"/>
                          </a:solidFill>
                          <a:ln w="9525">
                            <a:solidFill>
                              <a:srgbClr val="000000"/>
                            </a:solidFill>
                            <a:miter lim="800000"/>
                            <a:headEnd/>
                            <a:tailEnd/>
                          </a:ln>
                        </wps:spPr>
                        <wps:txbx>
                          <w:txbxContent>
                            <w:p w:rsidR="00BE40F8" w:rsidRPr="009D7693" w:rsidRDefault="00BE40F8" w:rsidP="00B233DE">
                              <w:pPr>
                                <w:ind w:firstLine="0"/>
                                <w:jc w:val="center"/>
                                <w:rPr>
                                  <w:rFonts w:ascii="Times New Roman" w:hAnsi="Times New Roman" w:cs="Times New Roman"/>
                                  <w:b/>
                                  <w:sz w:val="16"/>
                                  <w:szCs w:val="16"/>
                                </w:rPr>
                              </w:pPr>
                              <w:r w:rsidRPr="009D7693">
                                <w:rPr>
                                  <w:rFonts w:ascii="Times New Roman" w:hAnsi="Times New Roman" w:cs="Times New Roman"/>
                                  <w:b/>
                                  <w:sz w:val="16"/>
                                  <w:szCs w:val="16"/>
                                </w:rPr>
                                <w:t>Трудовий потенціал</w:t>
                              </w:r>
                            </w:p>
                            <w:p w:rsidR="00BE40F8" w:rsidRPr="009D7693" w:rsidRDefault="00BE40F8" w:rsidP="00B233DE">
                              <w:pPr>
                                <w:ind w:firstLine="0"/>
                                <w:jc w:val="center"/>
                                <w:rPr>
                                  <w:rFonts w:ascii="Times New Roman" w:hAnsi="Times New Roman" w:cs="Times New Roman"/>
                                  <w:sz w:val="16"/>
                                  <w:szCs w:val="16"/>
                                </w:rPr>
                              </w:pPr>
                              <w:r w:rsidRPr="009D7693">
                                <w:rPr>
                                  <w:rFonts w:ascii="Times New Roman" w:hAnsi="Times New Roman" w:cs="Times New Roman"/>
                                  <w:sz w:val="16"/>
                                  <w:szCs w:val="16"/>
                                </w:rPr>
                                <w:t>як складова частина людського потенціалу</w:t>
                              </w:r>
                            </w:p>
                          </w:txbxContent>
                        </wps:txbx>
                        <wps:bodyPr rot="0" vert="horz" wrap="square" lIns="91440" tIns="45720" rIns="91440" bIns="45720" anchor="t" anchorCtr="0" upright="1">
                          <a:noAutofit/>
                        </wps:bodyPr>
                      </wps:wsp>
                      <wps:wsp>
                        <wps:cNvPr id="30" name="Line 19"/>
                        <wps:cNvCnPr/>
                        <wps:spPr bwMode="auto">
                          <a:xfrm>
                            <a:off x="6561" y="10134"/>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Text Box 20"/>
                        <wps:cNvSpPr txBox="1">
                          <a:spLocks noChangeArrowheads="1"/>
                        </wps:cNvSpPr>
                        <wps:spPr bwMode="auto">
                          <a:xfrm>
                            <a:off x="4761" y="12114"/>
                            <a:ext cx="3420" cy="1620"/>
                          </a:xfrm>
                          <a:prstGeom prst="rect">
                            <a:avLst/>
                          </a:prstGeom>
                          <a:solidFill>
                            <a:srgbClr val="FFFFFF"/>
                          </a:solidFill>
                          <a:ln w="9525">
                            <a:solidFill>
                              <a:srgbClr val="000000"/>
                            </a:solidFill>
                            <a:miter lim="800000"/>
                            <a:headEnd/>
                            <a:tailEnd/>
                          </a:ln>
                        </wps:spPr>
                        <wps:txbx>
                          <w:txbxContent>
                            <w:p w:rsidR="00BE40F8" w:rsidRDefault="00BE40F8" w:rsidP="00B233DE">
                              <w:pPr>
                                <w:ind w:firstLine="0"/>
                                <w:jc w:val="center"/>
                                <w:rPr>
                                  <w:rFonts w:ascii="Times New Roman" w:hAnsi="Times New Roman" w:cs="Times New Roman"/>
                                  <w:b/>
                                  <w:sz w:val="16"/>
                                  <w:szCs w:val="16"/>
                                </w:rPr>
                              </w:pPr>
                              <w:r w:rsidRPr="009D7693">
                                <w:rPr>
                                  <w:rFonts w:ascii="Times New Roman" w:hAnsi="Times New Roman" w:cs="Times New Roman"/>
                                  <w:b/>
                                  <w:sz w:val="16"/>
                                  <w:szCs w:val="16"/>
                                </w:rPr>
                                <w:t xml:space="preserve">Зовнішньотрудовий потенціал </w:t>
                              </w:r>
                            </w:p>
                            <w:p w:rsidR="00BE40F8" w:rsidRPr="009D7693" w:rsidRDefault="00BE40F8" w:rsidP="00B233DE">
                              <w:pPr>
                                <w:ind w:firstLine="0"/>
                                <w:jc w:val="center"/>
                                <w:rPr>
                                  <w:rFonts w:ascii="Times New Roman" w:hAnsi="Times New Roman" w:cs="Times New Roman"/>
                                  <w:sz w:val="16"/>
                                  <w:szCs w:val="16"/>
                                </w:rPr>
                              </w:pPr>
                              <w:r w:rsidRPr="009D7693">
                                <w:rPr>
                                  <w:rFonts w:ascii="Times New Roman" w:hAnsi="Times New Roman" w:cs="Times New Roman"/>
                                  <w:sz w:val="16"/>
                                  <w:szCs w:val="16"/>
                                </w:rPr>
                                <w:t>як складова частина</w:t>
                              </w:r>
                              <w:r w:rsidRPr="009D7693">
                                <w:rPr>
                                  <w:rFonts w:ascii="Times New Roman" w:hAnsi="Times New Roman" w:cs="Times New Roman"/>
                                  <w:b/>
                                  <w:sz w:val="16"/>
                                  <w:szCs w:val="16"/>
                                </w:rPr>
                                <w:t xml:space="preserve"> </w:t>
                              </w:r>
                              <w:r w:rsidRPr="009D7693">
                                <w:rPr>
                                  <w:rFonts w:ascii="Times New Roman" w:hAnsi="Times New Roman" w:cs="Times New Roman"/>
                                  <w:sz w:val="16"/>
                                  <w:szCs w:val="16"/>
                                </w:rPr>
                                <w:t>трудового потенціалу</w:t>
                              </w:r>
                            </w:p>
                          </w:txbxContent>
                        </wps:txbx>
                        <wps:bodyPr rot="0" vert="horz" wrap="square" lIns="0" tIns="0" rIns="0" bIns="0" anchor="t" anchorCtr="0" upright="1">
                          <a:noAutofit/>
                        </wps:bodyPr>
                      </wps:wsp>
                      <wps:wsp>
                        <wps:cNvPr id="32" name="Line 21"/>
                        <wps:cNvCnPr/>
                        <wps:spPr bwMode="auto">
                          <a:xfrm>
                            <a:off x="6561" y="11754"/>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3737EC11" id="Группа 23" o:spid="_x0000_s1039" style="width:248.6pt;height:182.65pt;mso-position-horizontal-relative:char;mso-position-vertical-relative:line" coordorigin="3022,9504" coordsize="7009,6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">
                <v:shape id="Text Box 13" o:spid="_x0000_s1040" type="#_x0000_t202" style="position:absolute;left:3022;top:9504;width:7009;height:6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">
                  <v:stroke dashstyle="dash"/>
                  <v:textbox>
                    <w:txbxContent>
                      <w:p w:rsidR="00BE40F8" w:rsidRPr="009D7693" w:rsidRDefault="00BE40F8" w:rsidP="00B233DE">
                        <w:pPr>
                          <w:ind w:firstLine="0"/>
                          <w:jc w:val="center"/>
                          <w:rPr>
                            <w:rFonts w:ascii="Times New Roman" w:hAnsi="Times New Roman" w:cs="Times New Roman"/>
                            <w:b/>
                            <w:sz w:val="16"/>
                            <w:szCs w:val="16"/>
                          </w:rPr>
                        </w:pPr>
                        <w:r w:rsidRPr="009D7693">
                          <w:rPr>
                            <w:rFonts w:ascii="Times New Roman" w:hAnsi="Times New Roman" w:cs="Times New Roman"/>
                            <w:b/>
                            <w:sz w:val="16"/>
                            <w:szCs w:val="16"/>
                          </w:rPr>
                          <w:t>Людський розвиток</w:t>
                        </w:r>
                      </w:p>
                    </w:txbxContent>
                  </v:textbox>
                </v:shape>
                <v:shape id="Text Box 14" o:spid="_x0000_s1041" type="#_x0000_t202" style="position:absolute;left:3321;top:10314;width:720;height:45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" stroked="f">
                  <v:textbox style="layout-flow:vertical;mso-layout-flow-alt:bottom-to-top" inset="0,0,0,0">
                    <w:txbxContent>
                      <w:p w:rsidR="00BE40F8" w:rsidRPr="009D7693" w:rsidRDefault="00BE40F8" w:rsidP="00B233DE">
                        <w:pPr>
                          <w:jc w:val="center"/>
                          <w:rPr>
                            <w:rFonts w:ascii="Times New Roman" w:hAnsi="Times New Roman" w:cs="Times New Roman"/>
                            <w:sz w:val="16"/>
                            <w:szCs w:val="16"/>
                          </w:rPr>
                        </w:pPr>
                        <w:r w:rsidRPr="009D7693">
                          <w:rPr>
                            <w:rFonts w:ascii="Times New Roman" w:hAnsi="Times New Roman" w:cs="Times New Roman"/>
                            <w:sz w:val="16"/>
                            <w:szCs w:val="16"/>
                          </w:rPr>
                          <w:t>реалізація</w:t>
                        </w:r>
                      </w:p>
                    </w:txbxContent>
                  </v:textbox>
                </v:shape>
                <v:shape id="Text Box 15" o:spid="_x0000_s1042" type="#_x0000_t202" style="position:absolute;left:8901;top:10314;width:722;height:45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" stroked="f">
                  <v:textbox style="layout-flow:vertical;mso-layout-flow-alt:bottom-to-top" inset="0,0,0,0">
                    <w:txbxContent>
                      <w:p w:rsidR="00BE40F8" w:rsidRPr="009D7693" w:rsidRDefault="00BE40F8" w:rsidP="00B233DE">
                        <w:pPr>
                          <w:jc w:val="center"/>
                          <w:rPr>
                            <w:rFonts w:ascii="Times New Roman" w:hAnsi="Times New Roman" w:cs="Times New Roman"/>
                            <w:sz w:val="16"/>
                            <w:szCs w:val="16"/>
                          </w:rPr>
                        </w:pPr>
                        <w:r w:rsidRPr="009D7693">
                          <w:rPr>
                            <w:rFonts w:ascii="Times New Roman" w:hAnsi="Times New Roman" w:cs="Times New Roman"/>
                            <w:sz w:val="16"/>
                            <w:szCs w:val="16"/>
                          </w:rPr>
                          <w:t>потенціалу</w:t>
                        </w:r>
                      </w:p>
                    </w:txbxContent>
                  </v:textbox>
                </v:shape>
                <v:shape id="Text Box 16" o:spid="_x0000_s1043" type="#_x0000_t202" style="position:absolute;left:4041;top:14454;width:4860;height:5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" stroked="f">
                  <v:textbox>
                    <w:txbxContent>
                      <w:p w:rsidR="00BE40F8" w:rsidRPr="009D7693" w:rsidRDefault="00BE40F8" w:rsidP="00B233DE">
                        <w:pPr>
                          <w:ind w:firstLine="0"/>
                          <w:jc w:val="center"/>
                          <w:rPr>
                            <w:rFonts w:ascii="Times New Roman" w:hAnsi="Times New Roman" w:cs="Times New Roman"/>
                            <w:sz w:val="16"/>
                            <w:szCs w:val="16"/>
                          </w:rPr>
                        </w:pPr>
                        <w:r w:rsidRPr="009D7693">
                          <w:rPr>
                            <w:rFonts w:ascii="Times New Roman" w:hAnsi="Times New Roman" w:cs="Times New Roman"/>
                            <w:sz w:val="16"/>
                            <w:szCs w:val="16"/>
                          </w:rPr>
                          <w:t>людського</w:t>
                        </w:r>
                      </w:p>
                    </w:txbxContent>
                  </v:textbox>
                </v:shape>
                <v:shape id="Text Box 17" o:spid="_x0000_s1044" type="#_x0000_t202" style="position:absolute;left:4370;top:9610;width:4140;height:45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">
                  <v:textbox>
                    <w:txbxContent>
                      <w:p w:rsidR="00BE40F8" w:rsidRPr="009D7693" w:rsidRDefault="00BE40F8" w:rsidP="00B233DE">
                        <w:pPr>
                          <w:ind w:firstLine="0"/>
                          <w:jc w:val="center"/>
                          <w:rPr>
                            <w:rFonts w:ascii="Times New Roman" w:hAnsi="Times New Roman" w:cs="Times New Roman"/>
                            <w:b/>
                            <w:sz w:val="16"/>
                            <w:szCs w:val="16"/>
                          </w:rPr>
                        </w:pPr>
                        <w:r w:rsidRPr="009D7693">
                          <w:rPr>
                            <w:rFonts w:ascii="Times New Roman" w:hAnsi="Times New Roman" w:cs="Times New Roman"/>
                            <w:b/>
                            <w:sz w:val="16"/>
                            <w:szCs w:val="16"/>
                          </w:rPr>
                          <w:t>Людський потенціал</w:t>
                        </w:r>
                      </w:p>
                    </w:txbxContent>
                  </v:textbox>
                </v:shape>
                <v:shape id="Text Box 18" o:spid="_x0000_s1045" type="#_x0000_t202" style="position:absolute;left:4539;top:10667;width:3780;height:3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">
                  <v:textbox>
                    <w:txbxContent>
                      <w:p w:rsidR="00BE40F8" w:rsidRPr="009D7693" w:rsidRDefault="00BE40F8" w:rsidP="00B233DE">
                        <w:pPr>
                          <w:ind w:firstLine="0"/>
                          <w:jc w:val="center"/>
                          <w:rPr>
                            <w:rFonts w:ascii="Times New Roman" w:hAnsi="Times New Roman" w:cs="Times New Roman"/>
                            <w:b/>
                            <w:sz w:val="16"/>
                            <w:szCs w:val="16"/>
                          </w:rPr>
                        </w:pPr>
                        <w:r w:rsidRPr="009D7693">
                          <w:rPr>
                            <w:rFonts w:ascii="Times New Roman" w:hAnsi="Times New Roman" w:cs="Times New Roman"/>
                            <w:b/>
                            <w:sz w:val="16"/>
                            <w:szCs w:val="16"/>
                          </w:rPr>
                          <w:t>Трудовий потенціал</w:t>
                        </w:r>
                      </w:p>
                      <w:p w:rsidR="00BE40F8" w:rsidRPr="009D7693" w:rsidRDefault="00BE40F8" w:rsidP="00B233DE">
                        <w:pPr>
                          <w:ind w:firstLine="0"/>
                          <w:jc w:val="center"/>
                          <w:rPr>
                            <w:rFonts w:ascii="Times New Roman" w:hAnsi="Times New Roman" w:cs="Times New Roman"/>
                            <w:sz w:val="16"/>
                            <w:szCs w:val="16"/>
                          </w:rPr>
                        </w:pPr>
                        <w:r w:rsidRPr="009D7693">
                          <w:rPr>
                            <w:rFonts w:ascii="Times New Roman" w:hAnsi="Times New Roman" w:cs="Times New Roman"/>
                            <w:sz w:val="16"/>
                            <w:szCs w:val="16"/>
                          </w:rPr>
                          <w:t>як складова частина людського потенціалу</w:t>
                        </w:r>
                      </w:p>
                    </w:txbxContent>
                  </v:textbox>
                </v:shape>
                <v:line id="Line 19" o:spid="_x0000_s1046" style="position:absolute;visibility:visible;mso-wrap-style:square" from="6561,10134" to="6561,106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">
                  <v:stroke endarrow="block"/>
                </v:line>
                <v:shape id="Text Box 20" o:spid="_x0000_s1047" type="#_x0000_t202" style="position:absolute;left:4761;top:12114;width:3420;height:1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">
                  <v:textbox inset="0,0,0,0">
                    <w:txbxContent>
                      <w:p w:rsidR="00BE40F8" w:rsidRDefault="00BE40F8" w:rsidP="00B233DE">
                        <w:pPr>
                          <w:ind w:firstLine="0"/>
                          <w:jc w:val="center"/>
                          <w:rPr>
                            <w:rFonts w:ascii="Times New Roman" w:hAnsi="Times New Roman" w:cs="Times New Roman"/>
                            <w:b/>
                            <w:sz w:val="16"/>
                            <w:szCs w:val="16"/>
                          </w:rPr>
                        </w:pPr>
                        <w:r w:rsidRPr="009D7693">
                          <w:rPr>
                            <w:rFonts w:ascii="Times New Roman" w:hAnsi="Times New Roman" w:cs="Times New Roman"/>
                            <w:b/>
                            <w:sz w:val="16"/>
                            <w:szCs w:val="16"/>
                          </w:rPr>
                          <w:t xml:space="preserve">Зовнішньотрудовий потенціал </w:t>
                        </w:r>
                      </w:p>
                      <w:p w:rsidR="00BE40F8" w:rsidRPr="009D7693" w:rsidRDefault="00BE40F8" w:rsidP="00B233DE">
                        <w:pPr>
                          <w:ind w:firstLine="0"/>
                          <w:jc w:val="center"/>
                          <w:rPr>
                            <w:rFonts w:ascii="Times New Roman" w:hAnsi="Times New Roman" w:cs="Times New Roman"/>
                            <w:sz w:val="16"/>
                            <w:szCs w:val="16"/>
                          </w:rPr>
                        </w:pPr>
                        <w:r w:rsidRPr="009D7693">
                          <w:rPr>
                            <w:rFonts w:ascii="Times New Roman" w:hAnsi="Times New Roman" w:cs="Times New Roman"/>
                            <w:sz w:val="16"/>
                            <w:szCs w:val="16"/>
                          </w:rPr>
                          <w:t>як складова частина</w:t>
                        </w:r>
                        <w:r w:rsidRPr="009D7693">
                          <w:rPr>
                            <w:rFonts w:ascii="Times New Roman" w:hAnsi="Times New Roman" w:cs="Times New Roman"/>
                            <w:b/>
                            <w:sz w:val="16"/>
                            <w:szCs w:val="16"/>
                          </w:rPr>
                          <w:t xml:space="preserve"> </w:t>
                        </w:r>
                        <w:r w:rsidRPr="009D7693">
                          <w:rPr>
                            <w:rFonts w:ascii="Times New Roman" w:hAnsi="Times New Roman" w:cs="Times New Roman"/>
                            <w:sz w:val="16"/>
                            <w:szCs w:val="16"/>
                          </w:rPr>
                          <w:t>трудового потенціалу</w:t>
                        </w:r>
                      </w:p>
                    </w:txbxContent>
                  </v:textbox>
                </v:shape>
                <v:line id="Line 21" o:spid="_x0000_s1048" style="position:absolute;visibility:visible;mso-wrap-style:square" from="6561,11754" to="6561,121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">
                  <v:stroke endarrow="block"/>
                </v:line>
                <w10:anchorlock/>
              </v:group>
            </w:pict>
          </mc:Fallback>
        </mc:AlternateContent>
      </w:r>
    </w:p>
    <w:p w:rsidR="00B233DE" w:rsidRPr="005858DE" w:rsidRDefault="00B233DE" w:rsidP="00B233DE">
      <w:pPr>
        <w:tabs>
          <w:tab w:val="left" w:pos="853"/>
        </w:tabs>
        <w:ind w:firstLine="709"/>
        <w:jc w:val="center"/>
        <w:rPr>
          <w:rFonts w:ascii="Times New Roman" w:hAnsi="Times New Roman" w:cs="Times New Roman"/>
          <w:b/>
          <w:spacing w:val="-6"/>
          <w:sz w:val="21"/>
          <w:szCs w:val="21"/>
        </w:rPr>
      </w:pPr>
      <w:r w:rsidRPr="005858DE">
        <w:rPr>
          <w:rFonts w:ascii="Times New Roman" w:hAnsi="Times New Roman" w:cs="Times New Roman"/>
          <w:b/>
          <w:spacing w:val="-6"/>
          <w:sz w:val="21"/>
          <w:szCs w:val="21"/>
        </w:rPr>
        <w:t>Рис. 1.2</w:t>
      </w:r>
      <w:r>
        <w:rPr>
          <w:rFonts w:ascii="Times New Roman" w:hAnsi="Times New Roman" w:cs="Times New Roman"/>
          <w:b/>
          <w:spacing w:val="-6"/>
          <w:sz w:val="21"/>
          <w:szCs w:val="21"/>
        </w:rPr>
        <w:t>.</w:t>
      </w:r>
      <w:r w:rsidRPr="005858DE">
        <w:rPr>
          <w:rFonts w:ascii="Times New Roman" w:hAnsi="Times New Roman" w:cs="Times New Roman"/>
          <w:b/>
          <w:spacing w:val="-6"/>
          <w:sz w:val="21"/>
          <w:szCs w:val="21"/>
        </w:rPr>
        <w:t xml:space="preserve"> Співвідношення між поняттями «трудовий потенціал», «зовнішньотрудовий потенціал», «людський потенціал» і «людський розвиток»*</w:t>
      </w:r>
    </w:p>
    <w:p w:rsidR="00B233DE" w:rsidRPr="00B72D85" w:rsidRDefault="00B233DE" w:rsidP="00B233DE">
      <w:pPr>
        <w:shd w:val="clear" w:color="auto" w:fill="FFFFFF"/>
        <w:autoSpaceDE w:val="0"/>
        <w:autoSpaceDN w:val="0"/>
        <w:adjustRightInd w:val="0"/>
        <w:jc w:val="both"/>
        <w:rPr>
          <w:rFonts w:ascii="Times New Roman" w:hAnsi="Times New Roman" w:cs="Times New Roman"/>
          <w:sz w:val="18"/>
          <w:szCs w:val="18"/>
        </w:rPr>
      </w:pPr>
      <w:r w:rsidRPr="00B72D85">
        <w:rPr>
          <w:rFonts w:ascii="Times New Roman" w:hAnsi="Times New Roman" w:cs="Times New Roman"/>
          <w:spacing w:val="-6"/>
          <w:sz w:val="18"/>
          <w:szCs w:val="18"/>
        </w:rPr>
        <w:t>* - складено автором на основі аналізу [</w:t>
      </w:r>
      <w:r w:rsidRPr="00B72D85">
        <w:rPr>
          <w:rFonts w:ascii="Times New Roman" w:hAnsi="Times New Roman" w:cs="Times New Roman"/>
          <w:sz w:val="18"/>
          <w:szCs w:val="18"/>
        </w:rPr>
        <w:fldChar w:fldCharType="begin"/>
      </w:r>
      <w:r w:rsidRPr="00B72D85">
        <w:rPr>
          <w:rFonts w:ascii="Times New Roman" w:hAnsi="Times New Roman" w:cs="Times New Roman"/>
          <w:spacing w:val="-6"/>
          <w:sz w:val="18"/>
          <w:szCs w:val="18"/>
        </w:rPr>
        <w:instrText xml:space="preserve"> REF _Ref430594387 \r \h </w:instrText>
      </w:r>
      <w:r>
        <w:rPr>
          <w:rFonts w:ascii="Times New Roman" w:hAnsi="Times New Roman" w:cs="Times New Roman"/>
          <w:sz w:val="18"/>
          <w:szCs w:val="18"/>
        </w:rPr>
        <w:instrText xml:space="preserve"> \* MERGEFORMAT </w:instrText>
      </w:r>
      <w:r w:rsidRPr="00B72D85">
        <w:rPr>
          <w:rFonts w:ascii="Times New Roman" w:hAnsi="Times New Roman" w:cs="Times New Roman"/>
          <w:sz w:val="18"/>
          <w:szCs w:val="18"/>
        </w:rPr>
      </w:r>
      <w:r w:rsidRPr="00B72D85">
        <w:rPr>
          <w:rFonts w:ascii="Times New Roman" w:hAnsi="Times New Roman" w:cs="Times New Roman"/>
          <w:sz w:val="18"/>
          <w:szCs w:val="18"/>
        </w:rPr>
        <w:fldChar w:fldCharType="separate"/>
      </w:r>
      <w:r>
        <w:rPr>
          <w:rFonts w:ascii="Times New Roman" w:hAnsi="Times New Roman" w:cs="Times New Roman"/>
          <w:spacing w:val="-6"/>
          <w:sz w:val="18"/>
          <w:szCs w:val="18"/>
        </w:rPr>
        <w:t>10</w:t>
      </w:r>
      <w:r w:rsidRPr="00B72D85">
        <w:rPr>
          <w:rFonts w:ascii="Times New Roman" w:hAnsi="Times New Roman" w:cs="Times New Roman"/>
          <w:sz w:val="18"/>
          <w:szCs w:val="18"/>
        </w:rPr>
        <w:fldChar w:fldCharType="end"/>
      </w:r>
      <w:r w:rsidRPr="00B72D85">
        <w:rPr>
          <w:rFonts w:ascii="Times New Roman" w:hAnsi="Times New Roman" w:cs="Times New Roman"/>
          <w:spacing w:val="-6"/>
          <w:sz w:val="18"/>
          <w:szCs w:val="18"/>
        </w:rPr>
        <w:t xml:space="preserve">, </w:t>
      </w:r>
      <w:r w:rsidRPr="00B72D85">
        <w:rPr>
          <w:rFonts w:ascii="Times New Roman" w:hAnsi="Times New Roman" w:cs="Times New Roman"/>
          <w:sz w:val="18"/>
          <w:szCs w:val="18"/>
        </w:rPr>
        <w:fldChar w:fldCharType="begin"/>
      </w:r>
      <w:r w:rsidRPr="00B72D85">
        <w:rPr>
          <w:rFonts w:ascii="Times New Roman" w:hAnsi="Times New Roman" w:cs="Times New Roman"/>
          <w:spacing w:val="-6"/>
          <w:sz w:val="18"/>
          <w:szCs w:val="18"/>
        </w:rPr>
        <w:instrText xml:space="preserve"> REF _Ref430594397 \r \h </w:instrText>
      </w:r>
      <w:r>
        <w:rPr>
          <w:rFonts w:ascii="Times New Roman" w:hAnsi="Times New Roman" w:cs="Times New Roman"/>
          <w:sz w:val="18"/>
          <w:szCs w:val="18"/>
        </w:rPr>
        <w:instrText xml:space="preserve"> \* MERGEFORMAT </w:instrText>
      </w:r>
      <w:r w:rsidRPr="00B72D85">
        <w:rPr>
          <w:rFonts w:ascii="Times New Roman" w:hAnsi="Times New Roman" w:cs="Times New Roman"/>
          <w:sz w:val="18"/>
          <w:szCs w:val="18"/>
        </w:rPr>
      </w:r>
      <w:r w:rsidRPr="00B72D85">
        <w:rPr>
          <w:rFonts w:ascii="Times New Roman" w:hAnsi="Times New Roman" w:cs="Times New Roman"/>
          <w:sz w:val="18"/>
          <w:szCs w:val="18"/>
        </w:rPr>
        <w:fldChar w:fldCharType="separate"/>
      </w:r>
      <w:r>
        <w:rPr>
          <w:rFonts w:ascii="Times New Roman" w:hAnsi="Times New Roman" w:cs="Times New Roman"/>
          <w:spacing w:val="-6"/>
          <w:sz w:val="18"/>
          <w:szCs w:val="18"/>
        </w:rPr>
        <w:t>68</w:t>
      </w:r>
      <w:r w:rsidRPr="00B72D85">
        <w:rPr>
          <w:rFonts w:ascii="Times New Roman" w:hAnsi="Times New Roman" w:cs="Times New Roman"/>
          <w:sz w:val="18"/>
          <w:szCs w:val="18"/>
        </w:rPr>
        <w:fldChar w:fldCharType="end"/>
      </w:r>
      <w:r w:rsidRPr="00B72D85">
        <w:rPr>
          <w:rFonts w:ascii="Times New Roman" w:hAnsi="Times New Roman" w:cs="Times New Roman"/>
          <w:spacing w:val="-6"/>
          <w:sz w:val="18"/>
          <w:szCs w:val="18"/>
        </w:rPr>
        <w:t xml:space="preserve">, </w:t>
      </w:r>
      <w:r w:rsidRPr="00B72D85">
        <w:rPr>
          <w:rFonts w:ascii="Times New Roman" w:hAnsi="Times New Roman" w:cs="Times New Roman"/>
          <w:sz w:val="18"/>
          <w:szCs w:val="18"/>
        </w:rPr>
        <w:fldChar w:fldCharType="begin"/>
      </w:r>
      <w:r w:rsidRPr="00B72D85">
        <w:rPr>
          <w:rFonts w:ascii="Times New Roman" w:hAnsi="Times New Roman" w:cs="Times New Roman"/>
          <w:spacing w:val="-6"/>
          <w:sz w:val="18"/>
          <w:szCs w:val="18"/>
        </w:rPr>
        <w:instrText xml:space="preserve"> REF _Ref430594450 \r \h </w:instrText>
      </w:r>
      <w:r>
        <w:rPr>
          <w:rFonts w:ascii="Times New Roman" w:hAnsi="Times New Roman" w:cs="Times New Roman"/>
          <w:sz w:val="18"/>
          <w:szCs w:val="18"/>
        </w:rPr>
        <w:instrText xml:space="preserve"> \* MERGEFORMAT </w:instrText>
      </w:r>
      <w:r w:rsidRPr="00B72D85">
        <w:rPr>
          <w:rFonts w:ascii="Times New Roman" w:hAnsi="Times New Roman" w:cs="Times New Roman"/>
          <w:sz w:val="18"/>
          <w:szCs w:val="18"/>
        </w:rPr>
      </w:r>
      <w:r w:rsidRPr="00B72D85">
        <w:rPr>
          <w:rFonts w:ascii="Times New Roman" w:hAnsi="Times New Roman" w:cs="Times New Roman"/>
          <w:sz w:val="18"/>
          <w:szCs w:val="18"/>
        </w:rPr>
        <w:fldChar w:fldCharType="separate"/>
      </w:r>
      <w:r>
        <w:rPr>
          <w:rFonts w:ascii="Times New Roman" w:hAnsi="Times New Roman" w:cs="Times New Roman"/>
          <w:spacing w:val="-6"/>
          <w:sz w:val="18"/>
          <w:szCs w:val="18"/>
        </w:rPr>
        <w:t>52</w:t>
      </w:r>
      <w:r w:rsidRPr="00B72D85">
        <w:rPr>
          <w:rFonts w:ascii="Times New Roman" w:hAnsi="Times New Roman" w:cs="Times New Roman"/>
          <w:sz w:val="18"/>
          <w:szCs w:val="18"/>
        </w:rPr>
        <w:fldChar w:fldCharType="end"/>
      </w:r>
      <w:r w:rsidRPr="00B72D85">
        <w:rPr>
          <w:rFonts w:ascii="Times New Roman" w:hAnsi="Times New Roman" w:cs="Times New Roman"/>
          <w:spacing w:val="-6"/>
          <w:sz w:val="18"/>
          <w:szCs w:val="18"/>
        </w:rPr>
        <w:t xml:space="preserve">, </w:t>
      </w:r>
      <w:r w:rsidRPr="00B72D85">
        <w:rPr>
          <w:rFonts w:ascii="Times New Roman" w:hAnsi="Times New Roman" w:cs="Times New Roman"/>
          <w:sz w:val="18"/>
          <w:szCs w:val="18"/>
        </w:rPr>
        <w:fldChar w:fldCharType="begin"/>
      </w:r>
      <w:r w:rsidRPr="00B72D85">
        <w:rPr>
          <w:rFonts w:ascii="Times New Roman" w:hAnsi="Times New Roman" w:cs="Times New Roman"/>
          <w:spacing w:val="-6"/>
          <w:sz w:val="18"/>
          <w:szCs w:val="18"/>
        </w:rPr>
        <w:instrText xml:space="preserve"> REF _Ref430594429 \r \h </w:instrText>
      </w:r>
      <w:r>
        <w:rPr>
          <w:rFonts w:ascii="Times New Roman" w:hAnsi="Times New Roman" w:cs="Times New Roman"/>
          <w:sz w:val="18"/>
          <w:szCs w:val="18"/>
        </w:rPr>
        <w:instrText xml:space="preserve"> \* MERGEFORMAT </w:instrText>
      </w:r>
      <w:r w:rsidRPr="00B72D85">
        <w:rPr>
          <w:rFonts w:ascii="Times New Roman" w:hAnsi="Times New Roman" w:cs="Times New Roman"/>
          <w:sz w:val="18"/>
          <w:szCs w:val="18"/>
        </w:rPr>
      </w:r>
      <w:r w:rsidRPr="00B72D85">
        <w:rPr>
          <w:rFonts w:ascii="Times New Roman" w:hAnsi="Times New Roman" w:cs="Times New Roman"/>
          <w:sz w:val="18"/>
          <w:szCs w:val="18"/>
        </w:rPr>
        <w:fldChar w:fldCharType="separate"/>
      </w:r>
      <w:r>
        <w:rPr>
          <w:rFonts w:ascii="Times New Roman" w:hAnsi="Times New Roman" w:cs="Times New Roman"/>
          <w:spacing w:val="-6"/>
          <w:sz w:val="18"/>
          <w:szCs w:val="18"/>
        </w:rPr>
        <w:t>36</w:t>
      </w:r>
      <w:r w:rsidRPr="00B72D85">
        <w:rPr>
          <w:rFonts w:ascii="Times New Roman" w:hAnsi="Times New Roman" w:cs="Times New Roman"/>
          <w:sz w:val="18"/>
          <w:szCs w:val="18"/>
        </w:rPr>
        <w:fldChar w:fldCharType="end"/>
      </w:r>
      <w:r w:rsidRPr="00B72D85">
        <w:rPr>
          <w:rFonts w:ascii="Times New Roman" w:hAnsi="Times New Roman" w:cs="Times New Roman"/>
          <w:spacing w:val="-6"/>
          <w:sz w:val="18"/>
          <w:szCs w:val="18"/>
        </w:rPr>
        <w:t xml:space="preserve">, </w:t>
      </w:r>
      <w:r w:rsidRPr="00B72D85">
        <w:rPr>
          <w:rFonts w:ascii="Times New Roman" w:hAnsi="Times New Roman" w:cs="Times New Roman"/>
          <w:sz w:val="18"/>
          <w:szCs w:val="18"/>
        </w:rPr>
        <w:fldChar w:fldCharType="begin"/>
      </w:r>
      <w:r w:rsidRPr="00B72D85">
        <w:rPr>
          <w:rFonts w:ascii="Times New Roman" w:hAnsi="Times New Roman" w:cs="Times New Roman"/>
          <w:spacing w:val="-6"/>
          <w:sz w:val="18"/>
          <w:szCs w:val="18"/>
        </w:rPr>
        <w:instrText xml:space="preserve"> REF _Ref430594651 \r \h </w:instrText>
      </w:r>
      <w:r>
        <w:rPr>
          <w:rFonts w:ascii="Times New Roman" w:hAnsi="Times New Roman" w:cs="Times New Roman"/>
          <w:sz w:val="18"/>
          <w:szCs w:val="18"/>
        </w:rPr>
        <w:instrText xml:space="preserve"> \* MERGEFORMAT </w:instrText>
      </w:r>
      <w:r w:rsidRPr="00B72D85">
        <w:rPr>
          <w:rFonts w:ascii="Times New Roman" w:hAnsi="Times New Roman" w:cs="Times New Roman"/>
          <w:sz w:val="18"/>
          <w:szCs w:val="18"/>
        </w:rPr>
      </w:r>
      <w:r w:rsidRPr="00B72D85">
        <w:rPr>
          <w:rFonts w:ascii="Times New Roman" w:hAnsi="Times New Roman" w:cs="Times New Roman"/>
          <w:sz w:val="18"/>
          <w:szCs w:val="18"/>
        </w:rPr>
        <w:fldChar w:fldCharType="separate"/>
      </w:r>
      <w:r>
        <w:rPr>
          <w:rFonts w:ascii="Times New Roman" w:hAnsi="Times New Roman" w:cs="Times New Roman"/>
          <w:spacing w:val="-6"/>
          <w:sz w:val="18"/>
          <w:szCs w:val="18"/>
        </w:rPr>
        <w:t>40</w:t>
      </w:r>
      <w:r w:rsidRPr="00B72D85">
        <w:rPr>
          <w:rFonts w:ascii="Times New Roman" w:hAnsi="Times New Roman" w:cs="Times New Roman"/>
          <w:sz w:val="18"/>
          <w:szCs w:val="18"/>
        </w:rPr>
        <w:fldChar w:fldCharType="end"/>
      </w:r>
      <w:r w:rsidRPr="00B72D85">
        <w:rPr>
          <w:rFonts w:ascii="Times New Roman" w:hAnsi="Times New Roman" w:cs="Times New Roman"/>
          <w:spacing w:val="-6"/>
          <w:sz w:val="18"/>
          <w:szCs w:val="18"/>
        </w:rPr>
        <w:t>]</w:t>
      </w:r>
    </w:p>
    <w:p w:rsidR="00B233DE" w:rsidRPr="005858DE" w:rsidRDefault="00B233DE" w:rsidP="00B233DE">
      <w:pPr>
        <w:tabs>
          <w:tab w:val="left" w:pos="853"/>
        </w:tabs>
        <w:ind w:firstLine="709"/>
        <w:jc w:val="both"/>
        <w:rPr>
          <w:rFonts w:ascii="Times New Roman" w:hAnsi="Times New Roman" w:cs="Times New Roman"/>
          <w:spacing w:val="-4"/>
          <w:sz w:val="21"/>
          <w:szCs w:val="21"/>
        </w:rPr>
      </w:pPr>
    </w:p>
    <w:p w:rsidR="00B233DE" w:rsidRPr="005858DE" w:rsidRDefault="00B233DE" w:rsidP="00B233DE">
      <w:pPr>
        <w:ind w:firstLine="720"/>
        <w:jc w:val="both"/>
        <w:rPr>
          <w:rFonts w:ascii="Times New Roman" w:hAnsi="Times New Roman" w:cs="Times New Roman"/>
          <w:sz w:val="21"/>
          <w:szCs w:val="21"/>
        </w:rPr>
      </w:pPr>
      <w:r w:rsidRPr="005858DE">
        <w:rPr>
          <w:rFonts w:ascii="Times New Roman" w:hAnsi="Times New Roman" w:cs="Times New Roman"/>
          <w:sz w:val="21"/>
          <w:szCs w:val="21"/>
        </w:rPr>
        <w:t xml:space="preserve">Отже, більш широким поняттям є «людський потенціал», складовою якого є «трудовий потенціал». </w:t>
      </w:r>
      <w:r>
        <w:rPr>
          <w:rFonts w:ascii="Times New Roman" w:hAnsi="Times New Roman" w:cs="Times New Roman"/>
          <w:sz w:val="21"/>
          <w:szCs w:val="21"/>
        </w:rPr>
        <w:t>В той же час, «л</w:t>
      </w:r>
      <w:r w:rsidRPr="005858DE">
        <w:rPr>
          <w:rFonts w:ascii="Times New Roman" w:hAnsi="Times New Roman" w:cs="Times New Roman"/>
          <w:sz w:val="21"/>
          <w:szCs w:val="21"/>
        </w:rPr>
        <w:t xml:space="preserve">юдський розвиток» </w:t>
      </w:r>
      <w:r>
        <w:rPr>
          <w:rFonts w:ascii="Times New Roman" w:hAnsi="Times New Roman" w:cs="Times New Roman"/>
          <w:sz w:val="21"/>
          <w:szCs w:val="21"/>
        </w:rPr>
        <w:t>виступає</w:t>
      </w:r>
      <w:r w:rsidRPr="005858DE">
        <w:rPr>
          <w:rFonts w:ascii="Times New Roman" w:hAnsi="Times New Roman" w:cs="Times New Roman"/>
          <w:sz w:val="21"/>
          <w:szCs w:val="21"/>
        </w:rPr>
        <w:t xml:space="preserve"> процесом реалізації людського потенціалу.</w:t>
      </w: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Pr="005858DE" w:rsidRDefault="00B233DE" w:rsidP="00B233DE">
      <w:pPr>
        <w:ind w:firstLine="709"/>
        <w:jc w:val="both"/>
        <w:rPr>
          <w:rFonts w:ascii="Times New Roman" w:hAnsi="Times New Roman" w:cs="Times New Roman"/>
          <w:sz w:val="21"/>
          <w:szCs w:val="21"/>
        </w:rPr>
      </w:pPr>
    </w:p>
    <w:p w:rsidR="00B233DE" w:rsidRPr="00E20C1F" w:rsidRDefault="00B233DE" w:rsidP="00B233DE">
      <w:pPr>
        <w:pStyle w:val="afb"/>
        <w:shd w:val="clear" w:color="auto" w:fill="auto"/>
        <w:tabs>
          <w:tab w:val="left" w:pos="394"/>
          <w:tab w:val="left" w:pos="426"/>
        </w:tabs>
        <w:spacing w:before="0" w:line="240" w:lineRule="auto"/>
        <w:ind w:right="40" w:firstLine="709"/>
        <w:contextualSpacing/>
        <w:jc w:val="center"/>
        <w:rPr>
          <w:b/>
          <w:sz w:val="21"/>
          <w:szCs w:val="21"/>
        </w:rPr>
      </w:pPr>
      <w:r w:rsidRPr="00E20C1F">
        <w:rPr>
          <w:rFonts w:ascii="UkrainianPeterburg" w:hAnsi="UkrainianPeterburg"/>
          <w:b/>
          <w:sz w:val="21"/>
          <w:szCs w:val="21"/>
        </w:rPr>
        <w:lastRenderedPageBreak/>
        <w:t>1.2. Компонентна структура людського потенціалу за сучасних умов розвитку економіки</w:t>
      </w:r>
    </w:p>
    <w:p w:rsidR="00B233DE" w:rsidRPr="00F8667D" w:rsidRDefault="00B233DE" w:rsidP="00B233DE">
      <w:pPr>
        <w:jc w:val="both"/>
        <w:rPr>
          <w:rFonts w:ascii="Times New Roman" w:hAnsi="Times New Roman" w:cs="Times New Roman"/>
          <w:sz w:val="21"/>
          <w:szCs w:val="21"/>
        </w:rPr>
      </w:pPr>
    </w:p>
    <w:p w:rsidR="00B233DE" w:rsidRPr="00BE73AC" w:rsidRDefault="00B233DE" w:rsidP="00B233DE">
      <w:pPr>
        <w:ind w:firstLine="709"/>
        <w:jc w:val="both"/>
        <w:rPr>
          <w:rFonts w:ascii="Times New Roman" w:hAnsi="Times New Roman" w:cs="Times New Roman"/>
          <w:sz w:val="21"/>
          <w:szCs w:val="21"/>
          <w:lang w:val="ru-RU"/>
        </w:rPr>
      </w:pPr>
    </w:p>
    <w:p w:rsidR="00B233DE" w:rsidRDefault="00B233DE" w:rsidP="00B233DE">
      <w:pPr>
        <w:ind w:firstLine="709"/>
        <w:jc w:val="both"/>
        <w:rPr>
          <w:rFonts w:ascii="Times New Roman" w:hAnsi="Times New Roman" w:cs="Times New Roman"/>
          <w:sz w:val="21"/>
          <w:szCs w:val="21"/>
        </w:rPr>
      </w:pPr>
      <w:r w:rsidRPr="00D361D6">
        <w:rPr>
          <w:rFonts w:ascii="Times New Roman" w:hAnsi="Times New Roman" w:cs="Times New Roman"/>
          <w:sz w:val="21"/>
          <w:szCs w:val="21"/>
        </w:rPr>
        <w:t>Очевидно, що людський потенціал є комплексним системним поняттям із цілісною структурою взаємозалежних складових елементів. Науковці розходяться в думках щодо визначення складових людського потенціалу, розглядаючи різну їх кількість та вагомість кожної у його розвитку. Зокрема, О. Стеф</w:t>
      </w:r>
      <w:r>
        <w:rPr>
          <w:rFonts w:ascii="Times New Roman" w:hAnsi="Times New Roman" w:cs="Times New Roman"/>
          <w:sz w:val="21"/>
          <w:szCs w:val="21"/>
        </w:rPr>
        <w:t>анишин розробила досить розгалу</w:t>
      </w:r>
      <w:r w:rsidRPr="00D361D6">
        <w:rPr>
          <w:rFonts w:ascii="Times New Roman" w:hAnsi="Times New Roman" w:cs="Times New Roman"/>
          <w:sz w:val="21"/>
          <w:szCs w:val="21"/>
        </w:rPr>
        <w:t>жену структуру даного поняття, включивши біологічну, екогомологічну, екологічну, демографічну, соціальну, освітню, інтелектуальну, мотиваційну, культурну, етнокультурну, економічну, інформаційну, сакральну складові, а також складові здоров’я, мобільності, творчості, підприємливості, політичної діяльності, використання часу, громадського порядку і безпеки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_Ref430594429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36</w:t>
      </w:r>
      <w:r>
        <w:rPr>
          <w:rFonts w:ascii="Times New Roman" w:hAnsi="Times New Roman" w:cs="Times New Roman"/>
          <w:sz w:val="21"/>
          <w:szCs w:val="21"/>
        </w:rPr>
        <w:fldChar w:fldCharType="end"/>
      </w:r>
      <w:r w:rsidRPr="00D361D6">
        <w:rPr>
          <w:rFonts w:ascii="Times New Roman" w:hAnsi="Times New Roman" w:cs="Times New Roman"/>
          <w:sz w:val="21"/>
          <w:szCs w:val="21"/>
        </w:rPr>
        <w:t xml:space="preserve">, </w:t>
      </w:r>
      <w:r w:rsidRPr="00D361D6">
        <w:rPr>
          <w:rFonts w:ascii="Times New Roman" w:hAnsi="Times New Roman" w:cs="Times New Roman"/>
          <w:sz w:val="21"/>
          <w:szCs w:val="21"/>
          <w:lang w:val="en-US"/>
        </w:rPr>
        <w:t>c</w:t>
      </w:r>
      <w:r w:rsidRPr="00D361D6">
        <w:rPr>
          <w:rFonts w:ascii="Times New Roman" w:hAnsi="Times New Roman" w:cs="Times New Roman"/>
          <w:sz w:val="21"/>
          <w:szCs w:val="21"/>
        </w:rPr>
        <w:t xml:space="preserve">. 70]. </w:t>
      </w:r>
    </w:p>
    <w:p w:rsidR="00B233DE" w:rsidRDefault="00B233DE" w:rsidP="00B233DE">
      <w:pPr>
        <w:ind w:firstLine="709"/>
        <w:jc w:val="both"/>
        <w:rPr>
          <w:rFonts w:ascii="Times New Roman" w:hAnsi="Times New Roman" w:cs="Times New Roman"/>
          <w:sz w:val="21"/>
          <w:szCs w:val="21"/>
        </w:rPr>
      </w:pPr>
      <w:r w:rsidRPr="00D361D6">
        <w:rPr>
          <w:rFonts w:ascii="Times New Roman" w:hAnsi="Times New Roman" w:cs="Times New Roman"/>
          <w:sz w:val="21"/>
          <w:szCs w:val="21"/>
        </w:rPr>
        <w:t>С. Трубич виокремлює «істотні» компоненти людського потенціалу: демографічний, життєвий, здоров’я, освітній, культурний, соціальний, трудовий потенціали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_Ref430594534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64</w:t>
      </w:r>
      <w:r>
        <w:rPr>
          <w:rFonts w:ascii="Times New Roman" w:hAnsi="Times New Roman" w:cs="Times New Roman"/>
          <w:sz w:val="21"/>
          <w:szCs w:val="21"/>
        </w:rPr>
        <w:fldChar w:fldCharType="end"/>
      </w:r>
      <w:r w:rsidRPr="00D361D6">
        <w:rPr>
          <w:rFonts w:ascii="Times New Roman" w:hAnsi="Times New Roman" w:cs="Times New Roman"/>
          <w:sz w:val="21"/>
          <w:szCs w:val="21"/>
        </w:rPr>
        <w:t xml:space="preserve">, </w:t>
      </w:r>
      <w:r w:rsidRPr="00D361D6">
        <w:rPr>
          <w:rFonts w:ascii="Times New Roman" w:hAnsi="Times New Roman" w:cs="Times New Roman"/>
          <w:sz w:val="21"/>
          <w:szCs w:val="21"/>
          <w:lang w:val="en-US"/>
        </w:rPr>
        <w:t>c</w:t>
      </w:r>
      <w:r w:rsidRPr="00D361D6">
        <w:rPr>
          <w:rFonts w:ascii="Times New Roman" w:hAnsi="Times New Roman" w:cs="Times New Roman"/>
          <w:sz w:val="21"/>
          <w:szCs w:val="21"/>
        </w:rPr>
        <w:t xml:space="preserve">. 191]. </w:t>
      </w:r>
    </w:p>
    <w:p w:rsidR="00B233DE"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О. Новікова та</w:t>
      </w:r>
      <w:r w:rsidRPr="00D361D6">
        <w:rPr>
          <w:rFonts w:ascii="Times New Roman" w:hAnsi="Times New Roman" w:cs="Times New Roman"/>
          <w:sz w:val="21"/>
          <w:szCs w:val="21"/>
        </w:rPr>
        <w:t xml:space="preserve"> В. Антонюк виділяють серед складових даного поняття демографічний потенціал, потенціал здоров’я, освітньо-професійний, інтелектуальний, діяльнісний, соціально-економічний, соціально-ментальний та громадянсько-політичний потенціали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_Ref430594275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34</w:t>
      </w:r>
      <w:r>
        <w:rPr>
          <w:rFonts w:ascii="Times New Roman" w:hAnsi="Times New Roman" w:cs="Times New Roman"/>
          <w:sz w:val="21"/>
          <w:szCs w:val="21"/>
        </w:rPr>
        <w:fldChar w:fldCharType="end"/>
      </w:r>
      <w:r w:rsidRPr="00D361D6">
        <w:rPr>
          <w:rFonts w:ascii="Times New Roman" w:hAnsi="Times New Roman" w:cs="Times New Roman"/>
          <w:sz w:val="21"/>
          <w:szCs w:val="21"/>
        </w:rPr>
        <w:t>, с. 17</w:t>
      </w:r>
      <w:r>
        <w:rPr>
          <w:rFonts w:ascii="Times New Roman" w:hAnsi="Times New Roman" w:cs="Times New Roman"/>
          <w:sz w:val="21"/>
          <w:szCs w:val="21"/>
        </w:rPr>
        <w:t>–18], які можна розглядати як на національному, так і на особистому рівні (рис. 1.3).</w:t>
      </w:r>
    </w:p>
    <w:p w:rsidR="00B233DE" w:rsidRDefault="00B233DE" w:rsidP="00B233DE">
      <w:pPr>
        <w:ind w:firstLine="709"/>
        <w:jc w:val="both"/>
        <w:rPr>
          <w:rFonts w:ascii="Times New Roman" w:hAnsi="Times New Roman"/>
          <w:sz w:val="21"/>
          <w:szCs w:val="21"/>
        </w:rPr>
      </w:pPr>
      <w:r>
        <w:rPr>
          <w:rFonts w:ascii="Times New Roman" w:hAnsi="Times New Roman"/>
          <w:sz w:val="21"/>
          <w:szCs w:val="21"/>
        </w:rPr>
        <w:t xml:space="preserve">Розглядаючи дослідження російського науковця О. Іванова, слід акцентувати увагу на виділенні компонент людського потенціалу із соціального та економічного аспектів. Із соціальної точки зору людський потенціал включає в себе демографічну компоненту, як сформовану у взаємодії із соціальним середовищем систему потреб, здібностей і готовностей індивідів та спільнот забезпечувати продовження роду, їх життя від одного покоління до другого; компоненту здоров’я, як відповідну систему потреб, здібностей та готовностей індивідів і спільнот протягом довгих років підтримувати достатній рівень здоров’я (фізичного і психічного) і працездатності; освітню компоненту, як аналогічну систему засвоєння і використання різноманітних типів знань, а також досягнутий рівень освіченості </w:t>
      </w:r>
      <w:r>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_Ref435779119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26</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Pr>
          <w:rFonts w:ascii="Times New Roman" w:hAnsi="Times New Roman"/>
          <w:sz w:val="21"/>
          <w:szCs w:val="21"/>
        </w:rPr>
        <w:t>.</w:t>
      </w:r>
    </w:p>
    <w:p w:rsidR="00B233DE" w:rsidRDefault="00B233DE" w:rsidP="00B233DE">
      <w:pPr>
        <w:ind w:firstLine="709"/>
        <w:jc w:val="both"/>
        <w:rPr>
          <w:rFonts w:ascii="Times New Roman" w:hAnsi="Times New Roman"/>
          <w:sz w:val="21"/>
          <w:szCs w:val="21"/>
        </w:rPr>
      </w:pPr>
    </w:p>
    <w:p w:rsidR="00B233DE" w:rsidRPr="008714BD" w:rsidRDefault="00B233DE" w:rsidP="00B233DE">
      <w:pPr>
        <w:ind w:firstLine="709"/>
        <w:jc w:val="both"/>
        <w:rPr>
          <w:rFonts w:ascii="Times New Roman" w:hAnsi="Times New Roman"/>
          <w:sz w:val="21"/>
          <w:szCs w:val="21"/>
        </w:rPr>
      </w:pPr>
      <w:r>
        <w:rPr>
          <w:rFonts w:ascii="Times New Roman" w:hAnsi="Times New Roman"/>
          <w:sz w:val="21"/>
          <w:szCs w:val="21"/>
        </w:rPr>
        <w:lastRenderedPageBreak/>
        <w:t xml:space="preserve">Крім того, за твердженням автора </w:t>
      </w:r>
      <w:r>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_Ref435779119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26</w:t>
      </w:r>
      <w:r>
        <w:rPr>
          <w:rFonts w:ascii="Times New Roman" w:hAnsi="Times New Roman" w:cs="Times New Roman"/>
          <w:sz w:val="21"/>
          <w:szCs w:val="21"/>
          <w:highlight w:val="yellow"/>
        </w:rPr>
        <w:fldChar w:fldCharType="end"/>
      </w:r>
      <w:r>
        <w:rPr>
          <w:rFonts w:ascii="Times New Roman" w:hAnsi="Times New Roman" w:cs="Times New Roman"/>
          <w:sz w:val="21"/>
          <w:szCs w:val="21"/>
        </w:rPr>
        <w:t>] компонентами людського потенціалу із соціальної точки зору є трудова</w:t>
      </w:r>
      <w:r>
        <w:rPr>
          <w:rFonts w:ascii="Times New Roman" w:hAnsi="Times New Roman"/>
          <w:sz w:val="21"/>
          <w:szCs w:val="21"/>
        </w:rPr>
        <w:t xml:space="preserve"> – як система діяльності по створенню різноманітних індивідуально і соціально значимих продуктів і послуг, незалежно від того, де ця діяльність може здійснюватись; культурна – як система розуміння і критичної оцінки різних типів і форм культури, а також здатності створювати культурні цінності, використовувати певні типи поведінки і мислення; громадянська – як сформована у взаємодії із соціальним середовищем система потреб, здібностей і готовностей індивідів та спільнот виконувати різні ролі громадянина своєї країни, учасника адміністративних, правових, політичних відносин, здатність займати активну позицію в обговоренні і вирішенні проблем розвитку власної країни; духовно-моральна – як сфомована у взаємодії із соціальним середовищем система потреб, здатностей і готовностей індивідів та суспільств жити, спираючись на історично вироблений, соціально схвалений комплекс моральних норм і цінностей, що забезпечують особисту автономію і соціальну солідарність; мережева компонента – як діяльність по забезпеченню єдності і цілісності людського потенціалу.</w:t>
      </w:r>
    </w:p>
    <w:p w:rsidR="00B233DE" w:rsidRDefault="00B233DE" w:rsidP="00B233DE">
      <w:pPr>
        <w:ind w:firstLine="709"/>
        <w:jc w:val="both"/>
        <w:rPr>
          <w:rFonts w:ascii="Times New Roman" w:hAnsi="Times New Roman"/>
          <w:sz w:val="21"/>
          <w:szCs w:val="21"/>
        </w:rPr>
      </w:pPr>
      <w:r>
        <w:rPr>
          <w:rFonts w:ascii="Times New Roman" w:hAnsi="Times New Roman"/>
          <w:sz w:val="21"/>
          <w:szCs w:val="21"/>
        </w:rPr>
        <w:t xml:space="preserve">Економічний погляд на структуру людського потенціалу О. Іванова передбачає, що якість людського потенціалу економіки визначається, передусім, ступенем, рівнем розвитку його трудової, інноваційної, підприємницької, конкурентної, науково-технічної, управлінської компонент, ступенем узгодженості та тіснотою взаємозв’язку між ними. Зокрема, підприємницький потенціал розглядається як сформована у взаємодії із соціальним середовищем система потреб, здібностей і готовностей індивідів та спільнот здійснювати на свій ризик і під майнову відповідальність виробничу, комерційну і фінансову діяльність, результатом якої може бути отримання прибутку. Науково-технічна компонента людського потенціалу відображає здатність до діяльності з виробництва нових наукових знань, створення на їх основі нових продуктів, сприяння їх тиражуванню і отриманню прибутку на основі продажу знань і продуктів. Конкурентна складова людського потенціалу передбачає створення продуктів та послуг, які перевершують за своїми якостями наявні аналогічні продукти і послуги або з початком їх збуту користуються широким попитом. За умов переходу до соціально-орієнтованого інноваційного типу економіки особлива роль надається прогнозно-аналітичній </w:t>
      </w:r>
      <w:r>
        <w:rPr>
          <w:rFonts w:ascii="Times New Roman" w:hAnsi="Times New Roman"/>
          <w:sz w:val="21"/>
          <w:szCs w:val="21"/>
        </w:rPr>
        <w:lastRenderedPageBreak/>
        <w:t>компоненті людського потенціалу, що передбачає здатність та можливість виявляти позитивні і негативні соціальні наслідки своєї діяльності, а також попереджати можливе виникнення її негативного впливу.</w:t>
      </w:r>
    </w:p>
    <w:p w:rsidR="00B233DE" w:rsidRDefault="00B233DE" w:rsidP="00B233DE">
      <w:pPr>
        <w:ind w:firstLine="709"/>
        <w:jc w:val="both"/>
        <w:rPr>
          <w:rFonts w:ascii="Times New Roman" w:hAnsi="Times New Roman"/>
          <w:sz w:val="21"/>
          <w:szCs w:val="21"/>
        </w:rPr>
      </w:pPr>
      <w:r>
        <w:rPr>
          <w:rFonts w:ascii="Times New Roman" w:hAnsi="Times New Roman"/>
          <w:sz w:val="21"/>
          <w:szCs w:val="21"/>
        </w:rPr>
        <w:t xml:space="preserve">В свою чергу, інший дослідник В. Лапшин зводить структуру людського потенціалу до трьох основних компонент: інноваційної, інтелектуальної та культурної. Інноваційний потенціал обумовлений новаційними властивостями, мотивацією до пошуку нових рішень, здатністю до створення і впровадження нових знань, перетворенню результатів наукової або науково-технічної діяльності в інновації та їх ефективному використанню. Інтелектуальна складова представлена здатністю до постановки цілей і пошуку засобів з їх реалізації, без чого предметна діяльність неможлива. Культурний потенціал відображає сукупність потенційних можливостей у сфері людської діяльності, пов’язаних із самовираженням людини, проявом його суб’єктивності характеру, ціннісних орієнтацій, компетентностей, навиків, умінь і знань, вміння відповідати культурним взірцям або змінювати їх, розвинута особиста відповідальність, здатність до створення, трансляції і відтворення, зміни культурних норм, уявлень, зразків </w:t>
      </w:r>
      <w:r w:rsidRPr="000312A6">
        <w:rPr>
          <w:rFonts w:ascii="Times New Roman" w:hAnsi="Times New Roman"/>
          <w:sz w:val="21"/>
          <w:szCs w:val="21"/>
        </w:rPr>
        <w:t>[</w:t>
      </w:r>
      <w:r>
        <w:rPr>
          <w:rFonts w:ascii="Times New Roman" w:hAnsi="Times New Roman"/>
          <w:sz w:val="21"/>
          <w:szCs w:val="21"/>
          <w:highlight w:val="yellow"/>
        </w:rPr>
        <w:fldChar w:fldCharType="begin"/>
      </w:r>
      <w:r>
        <w:rPr>
          <w:rFonts w:ascii="Times New Roman" w:hAnsi="Times New Roman"/>
          <w:sz w:val="21"/>
          <w:szCs w:val="21"/>
        </w:rPr>
        <w:instrText xml:space="preserve"> REF _Ref435779130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sz w:val="21"/>
          <w:szCs w:val="21"/>
        </w:rPr>
        <w:t>34</w:t>
      </w:r>
      <w:r>
        <w:rPr>
          <w:rFonts w:ascii="Times New Roman" w:hAnsi="Times New Roman"/>
          <w:sz w:val="21"/>
          <w:szCs w:val="21"/>
          <w:highlight w:val="yellow"/>
        </w:rPr>
        <w:fldChar w:fldCharType="end"/>
      </w:r>
      <w:r w:rsidRPr="000312A6">
        <w:rPr>
          <w:rFonts w:ascii="Times New Roman" w:hAnsi="Times New Roman"/>
          <w:sz w:val="21"/>
          <w:szCs w:val="21"/>
        </w:rPr>
        <w:t>]</w:t>
      </w:r>
      <w:r>
        <w:rPr>
          <w:rFonts w:ascii="Times New Roman" w:hAnsi="Times New Roman"/>
          <w:sz w:val="21"/>
          <w:szCs w:val="21"/>
        </w:rPr>
        <w:t>.</w:t>
      </w:r>
    </w:p>
    <w:p w:rsidR="00B233DE" w:rsidRDefault="00B233DE" w:rsidP="00B233DE">
      <w:pPr>
        <w:ind w:firstLine="709"/>
        <w:jc w:val="both"/>
        <w:rPr>
          <w:rFonts w:ascii="Times New Roman" w:hAnsi="Times New Roman" w:cs="Times New Roman"/>
          <w:sz w:val="21"/>
          <w:szCs w:val="21"/>
        </w:rPr>
      </w:pPr>
      <w:r>
        <w:rPr>
          <w:rFonts w:ascii="Times New Roman" w:hAnsi="Times New Roman"/>
          <w:sz w:val="21"/>
          <w:szCs w:val="21"/>
        </w:rPr>
        <w:t>Разом з тим, не можемо погодитись з твердженням автора, що демографічний потенціал та потенціал здоров’я варто компілювати з іншими компонентами людського потенціалу, оскільки вони є основоположними та невід’ємними його складовими.</w:t>
      </w:r>
    </w:p>
    <w:p w:rsidR="00B233DE" w:rsidRDefault="00B233DE" w:rsidP="00B233DE">
      <w:pPr>
        <w:ind w:firstLine="709"/>
        <w:jc w:val="both"/>
        <w:rPr>
          <w:rFonts w:ascii="Times New Roman" w:hAnsi="Times New Roman" w:cs="Times New Roman"/>
          <w:sz w:val="21"/>
          <w:szCs w:val="21"/>
        </w:rPr>
      </w:pPr>
      <w:r w:rsidRPr="00D361D6">
        <w:rPr>
          <w:rFonts w:ascii="Times New Roman" w:hAnsi="Times New Roman" w:cs="Times New Roman"/>
          <w:sz w:val="21"/>
          <w:szCs w:val="21"/>
        </w:rPr>
        <w:t>Найбільш лаконічною, на нашу думку, є структура людського потенціалу</w:t>
      </w:r>
      <w:r>
        <w:rPr>
          <w:rFonts w:ascii="Times New Roman" w:hAnsi="Times New Roman" w:cs="Times New Roman"/>
          <w:sz w:val="21"/>
          <w:szCs w:val="21"/>
        </w:rPr>
        <w:t>, запропонована</w:t>
      </w:r>
      <w:r w:rsidRPr="00D361D6">
        <w:rPr>
          <w:rFonts w:ascii="Times New Roman" w:hAnsi="Times New Roman" w:cs="Times New Roman"/>
          <w:sz w:val="21"/>
          <w:szCs w:val="21"/>
        </w:rPr>
        <w:t xml:space="preserve"> В. Близнюк, що охоплює життєву, соціальну, трудову, інтелектуальну, споживчу та адаптаційну складові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_Ref430594387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10</w:t>
      </w:r>
      <w:r>
        <w:rPr>
          <w:rFonts w:ascii="Times New Roman" w:hAnsi="Times New Roman" w:cs="Times New Roman"/>
          <w:sz w:val="21"/>
          <w:szCs w:val="21"/>
        </w:rPr>
        <w:fldChar w:fldCharType="end"/>
      </w:r>
      <w:r w:rsidRPr="00D361D6">
        <w:rPr>
          <w:rFonts w:ascii="Times New Roman" w:hAnsi="Times New Roman" w:cs="Times New Roman"/>
          <w:sz w:val="21"/>
          <w:szCs w:val="21"/>
        </w:rPr>
        <w:t xml:space="preserve">, </w:t>
      </w:r>
      <w:r w:rsidRPr="00D361D6">
        <w:rPr>
          <w:rFonts w:ascii="Times New Roman" w:hAnsi="Times New Roman" w:cs="Times New Roman"/>
          <w:sz w:val="21"/>
          <w:szCs w:val="21"/>
          <w:lang w:val="en-US"/>
        </w:rPr>
        <w:t>c</w:t>
      </w:r>
      <w:r w:rsidRPr="00D361D6">
        <w:rPr>
          <w:rFonts w:ascii="Times New Roman" w:hAnsi="Times New Roman" w:cs="Times New Roman"/>
          <w:sz w:val="21"/>
          <w:szCs w:val="21"/>
        </w:rPr>
        <w:t xml:space="preserve">. 31]. В той же час, згідно до мети та завдань </w:t>
      </w:r>
      <w:r>
        <w:rPr>
          <w:rFonts w:ascii="Times New Roman" w:hAnsi="Times New Roman" w:cs="Times New Roman"/>
          <w:sz w:val="21"/>
          <w:szCs w:val="21"/>
        </w:rPr>
        <w:t>дослідження</w:t>
      </w:r>
      <w:r w:rsidRPr="00D361D6">
        <w:rPr>
          <w:rFonts w:ascii="Times New Roman" w:hAnsi="Times New Roman" w:cs="Times New Roman"/>
          <w:sz w:val="21"/>
          <w:szCs w:val="21"/>
        </w:rPr>
        <w:t>, у структурі людського потенціалу нам слід виділити такі складові, які, на наше переконання, визначальним чином впливають на його конкурентоспроможність в Україні за сучасних соціально-економічних умов і які ляжуть в основу наших теоретичних обґрунтувань, висновків і пропозицій на подальших етапах дослідження (рис. 1.</w:t>
      </w:r>
      <w:r>
        <w:rPr>
          <w:rFonts w:ascii="Times New Roman" w:hAnsi="Times New Roman" w:cs="Times New Roman"/>
          <w:sz w:val="21"/>
          <w:szCs w:val="21"/>
        </w:rPr>
        <w:t>4</w:t>
      </w:r>
      <w:r w:rsidRPr="00D361D6">
        <w:rPr>
          <w:rFonts w:ascii="Times New Roman" w:hAnsi="Times New Roman" w:cs="Times New Roman"/>
          <w:sz w:val="21"/>
          <w:szCs w:val="21"/>
        </w:rPr>
        <w:t>).</w:t>
      </w:r>
    </w:p>
    <w:p w:rsidR="00B233DE" w:rsidRDefault="00B233DE" w:rsidP="00B233DE">
      <w:pPr>
        <w:ind w:firstLine="709"/>
        <w:jc w:val="both"/>
        <w:rPr>
          <w:rFonts w:ascii="Times New Roman" w:hAnsi="Times New Roman" w:cs="Times New Roman"/>
          <w:sz w:val="21"/>
          <w:szCs w:val="21"/>
        </w:rPr>
      </w:pPr>
      <w:r w:rsidRPr="002F397C">
        <w:rPr>
          <w:rFonts w:ascii="Times New Roman" w:hAnsi="Times New Roman" w:cs="Times New Roman"/>
          <w:sz w:val="21"/>
          <w:szCs w:val="21"/>
        </w:rPr>
        <w:t xml:space="preserve">Демографічний потенціал є базовою складовою людського потенціалу і розглядається як сукупність поколінь населення та їх </w:t>
      </w:r>
      <w:r w:rsidRPr="002F397C">
        <w:rPr>
          <w:rFonts w:ascii="Times New Roman" w:hAnsi="Times New Roman" w:cs="Times New Roman"/>
          <w:sz w:val="21"/>
          <w:szCs w:val="21"/>
        </w:rPr>
        <w:lastRenderedPageBreak/>
        <w:t>здатність до відтворення наступних поколінь в певному часовому інтервалі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_Ref430593743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47</w:t>
      </w:r>
      <w:r>
        <w:rPr>
          <w:rFonts w:ascii="Times New Roman" w:hAnsi="Times New Roman" w:cs="Times New Roman"/>
          <w:sz w:val="21"/>
          <w:szCs w:val="21"/>
        </w:rPr>
        <w:fldChar w:fldCharType="end"/>
      </w:r>
      <w:r w:rsidRPr="002F397C">
        <w:rPr>
          <w:rFonts w:ascii="Times New Roman" w:hAnsi="Times New Roman" w:cs="Times New Roman"/>
          <w:sz w:val="21"/>
          <w:szCs w:val="21"/>
        </w:rPr>
        <w:t xml:space="preserve">, </w:t>
      </w:r>
      <w:r w:rsidRPr="002F397C">
        <w:rPr>
          <w:rFonts w:ascii="Times New Roman" w:hAnsi="Times New Roman" w:cs="Times New Roman"/>
          <w:sz w:val="21"/>
          <w:szCs w:val="21"/>
          <w:lang w:val="en-US"/>
        </w:rPr>
        <w:t>c</w:t>
      </w:r>
      <w:r w:rsidRPr="002F397C">
        <w:rPr>
          <w:rFonts w:ascii="Times New Roman" w:hAnsi="Times New Roman" w:cs="Times New Roman"/>
          <w:sz w:val="21"/>
          <w:szCs w:val="21"/>
        </w:rPr>
        <w:t>. 187].</w:t>
      </w: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r>
        <w:rPr>
          <w:rFonts w:ascii="Times New Roman" w:hAnsi="Times New Roman" w:cs="Times New Roman"/>
          <w:noProof/>
          <w:sz w:val="21"/>
          <w:szCs w:val="21"/>
          <w:lang w:val="ru-RU" w:eastAsia="ru-RU"/>
        </w:rPr>
        <mc:AlternateContent>
          <mc:Choice Requires="wpg">
            <w:drawing>
              <wp:anchor distT="0" distB="0" distL="114300" distR="114300" simplePos="0" relativeHeight="251660288" behindDoc="0" locked="0" layoutInCell="1" allowOverlap="1" wp14:anchorId="6D10F19C" wp14:editId="3E11EBA0">
                <wp:simplePos x="0" y="0"/>
                <wp:positionH relativeFrom="column">
                  <wp:posOffset>168910</wp:posOffset>
                </wp:positionH>
                <wp:positionV relativeFrom="paragraph">
                  <wp:posOffset>101177</wp:posOffset>
                </wp:positionV>
                <wp:extent cx="3714115" cy="2353733"/>
                <wp:effectExtent l="0" t="0" r="19685" b="27940"/>
                <wp:wrapNone/>
                <wp:docPr id="33" name="Группа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14115" cy="2353733"/>
                          <a:chOff x="2417" y="3516"/>
                          <a:chExt cx="5706" cy="4309"/>
                        </a:xfrm>
                      </wpg:grpSpPr>
                      <wps:wsp>
                        <wps:cNvPr id="34" name="Text Box 23"/>
                        <wps:cNvSpPr txBox="1">
                          <a:spLocks noChangeArrowheads="1"/>
                        </wps:cNvSpPr>
                        <wps:spPr bwMode="auto">
                          <a:xfrm>
                            <a:off x="2417" y="5271"/>
                            <a:ext cx="2581" cy="675"/>
                          </a:xfrm>
                          <a:prstGeom prst="rect">
                            <a:avLst/>
                          </a:prstGeom>
                          <a:solidFill>
                            <a:srgbClr val="FFFFFF"/>
                          </a:solidFill>
                          <a:ln w="15875">
                            <a:solidFill>
                              <a:srgbClr val="000000"/>
                            </a:solidFill>
                            <a:miter lim="800000"/>
                            <a:headEnd/>
                            <a:tailEnd/>
                          </a:ln>
                        </wps:spPr>
                        <wps:txbx>
                          <w:txbxContent>
                            <w:p w:rsidR="00BE40F8" w:rsidRPr="00D14E8B" w:rsidRDefault="00BE40F8" w:rsidP="00B233DE">
                              <w:pPr>
                                <w:ind w:firstLine="0"/>
                                <w:jc w:val="center"/>
                                <w:rPr>
                                  <w:rFonts w:ascii="Times New Roman" w:hAnsi="Times New Roman" w:cs="Times New Roman"/>
                                  <w:sz w:val="18"/>
                                  <w:szCs w:val="18"/>
                                </w:rPr>
                              </w:pPr>
                              <w:r w:rsidRPr="00D14E8B">
                                <w:rPr>
                                  <w:rFonts w:ascii="Times New Roman" w:hAnsi="Times New Roman" w:cs="Times New Roman"/>
                                  <w:sz w:val="18"/>
                                  <w:szCs w:val="18"/>
                                </w:rPr>
                                <w:t>Людський потенціал</w:t>
                              </w:r>
                            </w:p>
                          </w:txbxContent>
                        </wps:txbx>
                        <wps:bodyPr rot="0" vert="horz" wrap="square" lIns="91440" tIns="45720" rIns="91440" bIns="45720" anchor="ctr" anchorCtr="0" upright="1">
                          <a:noAutofit/>
                        </wps:bodyPr>
                      </wps:wsp>
                      <wps:wsp>
                        <wps:cNvPr id="35" name="Text Box 24"/>
                        <wps:cNvSpPr txBox="1">
                          <a:spLocks noChangeArrowheads="1"/>
                        </wps:cNvSpPr>
                        <wps:spPr bwMode="auto">
                          <a:xfrm>
                            <a:off x="5541" y="3516"/>
                            <a:ext cx="2582" cy="405"/>
                          </a:xfrm>
                          <a:prstGeom prst="rect">
                            <a:avLst/>
                          </a:prstGeom>
                          <a:solidFill>
                            <a:srgbClr val="FFFFFF"/>
                          </a:solidFill>
                          <a:ln w="9525">
                            <a:solidFill>
                              <a:srgbClr val="000000"/>
                            </a:solidFill>
                            <a:miter lim="800000"/>
                            <a:headEnd/>
                            <a:tailEnd/>
                          </a:ln>
                        </wps:spPr>
                        <wps:txbx>
                          <w:txbxContent>
                            <w:p w:rsidR="00BE40F8" w:rsidRPr="00D14E8B" w:rsidRDefault="00BE40F8" w:rsidP="00B233DE">
                              <w:pPr>
                                <w:ind w:firstLine="0"/>
                                <w:jc w:val="center"/>
                                <w:rPr>
                                  <w:rFonts w:ascii="Times New Roman" w:hAnsi="Times New Roman" w:cs="Times New Roman"/>
                                  <w:sz w:val="18"/>
                                  <w:szCs w:val="18"/>
                                </w:rPr>
                              </w:pPr>
                              <w:r>
                                <w:rPr>
                                  <w:rFonts w:ascii="Times New Roman" w:hAnsi="Times New Roman" w:cs="Times New Roman"/>
                                  <w:sz w:val="18"/>
                                  <w:szCs w:val="18"/>
                                </w:rPr>
                                <w:t>д</w:t>
                              </w:r>
                              <w:r w:rsidRPr="00D14E8B">
                                <w:rPr>
                                  <w:rFonts w:ascii="Times New Roman" w:hAnsi="Times New Roman" w:cs="Times New Roman"/>
                                  <w:sz w:val="18"/>
                                  <w:szCs w:val="18"/>
                                </w:rPr>
                                <w:t>емографічний</w:t>
                              </w:r>
                              <w:r>
                                <w:rPr>
                                  <w:rFonts w:ascii="Times New Roman" w:hAnsi="Times New Roman" w:cs="Times New Roman"/>
                                  <w:sz w:val="18"/>
                                  <w:szCs w:val="18"/>
                                </w:rPr>
                                <w:t xml:space="preserve"> потенціал</w:t>
                              </w:r>
                            </w:p>
                          </w:txbxContent>
                        </wps:txbx>
                        <wps:bodyPr rot="0" vert="horz" wrap="square" lIns="91440" tIns="45720" rIns="91440" bIns="45720" anchor="t" anchorCtr="0" upright="1">
                          <a:noAutofit/>
                        </wps:bodyPr>
                      </wps:wsp>
                      <wps:wsp>
                        <wps:cNvPr id="36" name="Text Box 25"/>
                        <wps:cNvSpPr txBox="1">
                          <a:spLocks noChangeArrowheads="1"/>
                        </wps:cNvSpPr>
                        <wps:spPr bwMode="auto">
                          <a:xfrm>
                            <a:off x="5541" y="4056"/>
                            <a:ext cx="2582" cy="405"/>
                          </a:xfrm>
                          <a:prstGeom prst="rect">
                            <a:avLst/>
                          </a:prstGeom>
                          <a:solidFill>
                            <a:srgbClr val="FFFFFF"/>
                          </a:solidFill>
                          <a:ln w="9525">
                            <a:solidFill>
                              <a:srgbClr val="000000"/>
                            </a:solidFill>
                            <a:miter lim="800000"/>
                            <a:headEnd/>
                            <a:tailEnd/>
                          </a:ln>
                        </wps:spPr>
                        <wps:txbx>
                          <w:txbxContent>
                            <w:p w:rsidR="00BE40F8" w:rsidRPr="00D14E8B" w:rsidRDefault="00BE40F8" w:rsidP="00B233DE">
                              <w:pPr>
                                <w:ind w:firstLine="0"/>
                                <w:jc w:val="center"/>
                                <w:rPr>
                                  <w:rFonts w:ascii="Times New Roman" w:hAnsi="Times New Roman" w:cs="Times New Roman"/>
                                  <w:sz w:val="18"/>
                                  <w:szCs w:val="18"/>
                                </w:rPr>
                              </w:pPr>
                              <w:r w:rsidRPr="00D14E8B">
                                <w:rPr>
                                  <w:rFonts w:ascii="Times New Roman" w:hAnsi="Times New Roman" w:cs="Times New Roman"/>
                                  <w:sz w:val="18"/>
                                  <w:szCs w:val="18"/>
                                </w:rPr>
                                <w:t>життєвий (здоров’я)</w:t>
                              </w:r>
                              <w:r>
                                <w:rPr>
                                  <w:rFonts w:ascii="Times New Roman" w:hAnsi="Times New Roman" w:cs="Times New Roman"/>
                                  <w:sz w:val="18"/>
                                  <w:szCs w:val="18"/>
                                </w:rPr>
                                <w:t xml:space="preserve"> потенціал</w:t>
                              </w:r>
                            </w:p>
                          </w:txbxContent>
                        </wps:txbx>
                        <wps:bodyPr rot="0" vert="horz" wrap="square" lIns="0" tIns="0" rIns="0" bIns="0" anchor="t" anchorCtr="0" upright="1">
                          <a:noAutofit/>
                        </wps:bodyPr>
                      </wps:wsp>
                      <wps:wsp>
                        <wps:cNvPr id="37" name="Text Box 26"/>
                        <wps:cNvSpPr txBox="1">
                          <a:spLocks noChangeArrowheads="1"/>
                        </wps:cNvSpPr>
                        <wps:spPr bwMode="auto">
                          <a:xfrm>
                            <a:off x="5541" y="4596"/>
                            <a:ext cx="2582" cy="405"/>
                          </a:xfrm>
                          <a:prstGeom prst="rect">
                            <a:avLst/>
                          </a:prstGeom>
                          <a:solidFill>
                            <a:srgbClr val="FFFFFF"/>
                          </a:solidFill>
                          <a:ln w="9525">
                            <a:solidFill>
                              <a:srgbClr val="000000"/>
                            </a:solidFill>
                            <a:miter lim="800000"/>
                            <a:headEnd/>
                            <a:tailEnd/>
                          </a:ln>
                        </wps:spPr>
                        <wps:txbx>
                          <w:txbxContent>
                            <w:p w:rsidR="00BE40F8" w:rsidRPr="00D14E8B" w:rsidRDefault="00BE40F8" w:rsidP="00B233DE">
                              <w:pPr>
                                <w:ind w:firstLine="0"/>
                                <w:jc w:val="center"/>
                                <w:rPr>
                                  <w:rFonts w:ascii="Times New Roman" w:hAnsi="Times New Roman" w:cs="Times New Roman"/>
                                  <w:sz w:val="18"/>
                                  <w:szCs w:val="18"/>
                                </w:rPr>
                              </w:pPr>
                              <w:r>
                                <w:rPr>
                                  <w:rFonts w:ascii="Times New Roman" w:hAnsi="Times New Roman" w:cs="Times New Roman"/>
                                  <w:sz w:val="18"/>
                                  <w:szCs w:val="18"/>
                                </w:rPr>
                                <w:t>т</w:t>
                              </w:r>
                              <w:r w:rsidRPr="00D14E8B">
                                <w:rPr>
                                  <w:rFonts w:ascii="Times New Roman" w:hAnsi="Times New Roman" w:cs="Times New Roman"/>
                                  <w:sz w:val="18"/>
                                  <w:szCs w:val="18"/>
                                </w:rPr>
                                <w:t>рудовий</w:t>
                              </w:r>
                              <w:r>
                                <w:rPr>
                                  <w:rFonts w:ascii="Times New Roman" w:hAnsi="Times New Roman" w:cs="Times New Roman"/>
                                  <w:sz w:val="18"/>
                                  <w:szCs w:val="18"/>
                                </w:rPr>
                                <w:t xml:space="preserve"> потенціал</w:t>
                              </w:r>
                            </w:p>
                          </w:txbxContent>
                        </wps:txbx>
                        <wps:bodyPr rot="0" vert="horz" wrap="square" lIns="91440" tIns="45720" rIns="91440" bIns="45720" anchor="t" anchorCtr="0" upright="1">
                          <a:noAutofit/>
                        </wps:bodyPr>
                      </wps:wsp>
                      <wps:wsp>
                        <wps:cNvPr id="38" name="Text Box 27"/>
                        <wps:cNvSpPr txBox="1">
                          <a:spLocks noChangeArrowheads="1"/>
                        </wps:cNvSpPr>
                        <wps:spPr bwMode="auto">
                          <a:xfrm>
                            <a:off x="5541" y="5136"/>
                            <a:ext cx="2582" cy="540"/>
                          </a:xfrm>
                          <a:prstGeom prst="rect">
                            <a:avLst/>
                          </a:prstGeom>
                          <a:solidFill>
                            <a:srgbClr val="FFFFFF"/>
                          </a:solidFill>
                          <a:ln w="9525">
                            <a:solidFill>
                              <a:srgbClr val="000000"/>
                            </a:solidFill>
                            <a:miter lim="800000"/>
                            <a:headEnd/>
                            <a:tailEnd/>
                          </a:ln>
                        </wps:spPr>
                        <wps:txbx>
                          <w:txbxContent>
                            <w:p w:rsidR="00BE40F8" w:rsidRPr="00D14E8B" w:rsidRDefault="00BE40F8" w:rsidP="00B233DE">
                              <w:pPr>
                                <w:ind w:firstLine="0"/>
                                <w:jc w:val="center"/>
                                <w:rPr>
                                  <w:rFonts w:ascii="Times New Roman" w:hAnsi="Times New Roman" w:cs="Times New Roman"/>
                                  <w:sz w:val="18"/>
                                  <w:szCs w:val="18"/>
                                </w:rPr>
                              </w:pPr>
                              <w:r w:rsidRPr="00D14E8B">
                                <w:rPr>
                                  <w:rFonts w:ascii="Times New Roman" w:hAnsi="Times New Roman" w:cs="Times New Roman"/>
                                  <w:sz w:val="18"/>
                                  <w:szCs w:val="18"/>
                                </w:rPr>
                                <w:t>освітньо-кваліфікаційний</w:t>
                              </w:r>
                              <w:r>
                                <w:rPr>
                                  <w:rFonts w:ascii="Times New Roman" w:hAnsi="Times New Roman" w:cs="Times New Roman"/>
                                  <w:sz w:val="18"/>
                                  <w:szCs w:val="18"/>
                                </w:rPr>
                                <w:t xml:space="preserve"> потенціал</w:t>
                              </w:r>
                            </w:p>
                          </w:txbxContent>
                        </wps:txbx>
                        <wps:bodyPr rot="0" vert="horz" wrap="square" lIns="0" tIns="0" rIns="0" bIns="0" anchor="t" anchorCtr="0" upright="1">
                          <a:noAutofit/>
                        </wps:bodyPr>
                      </wps:wsp>
                      <wps:wsp>
                        <wps:cNvPr id="39" name="Text Box 28"/>
                        <wps:cNvSpPr txBox="1">
                          <a:spLocks noChangeArrowheads="1"/>
                        </wps:cNvSpPr>
                        <wps:spPr bwMode="auto">
                          <a:xfrm>
                            <a:off x="5541" y="5739"/>
                            <a:ext cx="2582" cy="405"/>
                          </a:xfrm>
                          <a:prstGeom prst="rect">
                            <a:avLst/>
                          </a:prstGeom>
                          <a:solidFill>
                            <a:srgbClr val="FFFFFF"/>
                          </a:solidFill>
                          <a:ln w="9525">
                            <a:solidFill>
                              <a:srgbClr val="000000"/>
                            </a:solidFill>
                            <a:miter lim="800000"/>
                            <a:headEnd/>
                            <a:tailEnd/>
                          </a:ln>
                        </wps:spPr>
                        <wps:txbx>
                          <w:txbxContent>
                            <w:p w:rsidR="00BE40F8" w:rsidRPr="00D14E8B" w:rsidRDefault="00BE40F8" w:rsidP="00B233DE">
                              <w:pPr>
                                <w:ind w:firstLine="0"/>
                                <w:jc w:val="center"/>
                                <w:rPr>
                                  <w:rFonts w:ascii="Times New Roman" w:hAnsi="Times New Roman" w:cs="Times New Roman"/>
                                  <w:sz w:val="18"/>
                                  <w:szCs w:val="18"/>
                                </w:rPr>
                              </w:pPr>
                              <w:r>
                                <w:rPr>
                                  <w:rFonts w:ascii="Times New Roman" w:hAnsi="Times New Roman" w:cs="Times New Roman"/>
                                  <w:sz w:val="18"/>
                                  <w:szCs w:val="18"/>
                                </w:rPr>
                                <w:t>і</w:t>
                              </w:r>
                              <w:r w:rsidRPr="00D14E8B">
                                <w:rPr>
                                  <w:rFonts w:ascii="Times New Roman" w:hAnsi="Times New Roman" w:cs="Times New Roman"/>
                                  <w:sz w:val="18"/>
                                  <w:szCs w:val="18"/>
                                </w:rPr>
                                <w:t>нтелектуальний</w:t>
                              </w:r>
                              <w:r>
                                <w:rPr>
                                  <w:rFonts w:ascii="Times New Roman" w:hAnsi="Times New Roman" w:cs="Times New Roman"/>
                                  <w:sz w:val="18"/>
                                  <w:szCs w:val="18"/>
                                </w:rPr>
                                <w:t xml:space="preserve"> потенціал</w:t>
                              </w:r>
                            </w:p>
                          </w:txbxContent>
                        </wps:txbx>
                        <wps:bodyPr rot="0" vert="horz" wrap="square" lIns="91440" tIns="45720" rIns="91440" bIns="45720" anchor="t" anchorCtr="0" upright="1">
                          <a:noAutofit/>
                        </wps:bodyPr>
                      </wps:wsp>
                      <wps:wsp>
                        <wps:cNvPr id="40" name="Text Box 29"/>
                        <wps:cNvSpPr txBox="1">
                          <a:spLocks noChangeArrowheads="1"/>
                        </wps:cNvSpPr>
                        <wps:spPr bwMode="auto">
                          <a:xfrm>
                            <a:off x="5541" y="6216"/>
                            <a:ext cx="2582" cy="405"/>
                          </a:xfrm>
                          <a:prstGeom prst="rect">
                            <a:avLst/>
                          </a:prstGeom>
                          <a:solidFill>
                            <a:srgbClr val="FFFFFF"/>
                          </a:solidFill>
                          <a:ln w="9525">
                            <a:solidFill>
                              <a:srgbClr val="000000"/>
                            </a:solidFill>
                            <a:miter lim="800000"/>
                            <a:headEnd/>
                            <a:tailEnd/>
                          </a:ln>
                        </wps:spPr>
                        <wps:txbx>
                          <w:txbxContent>
                            <w:p w:rsidR="00BE40F8" w:rsidRPr="00D14E8B" w:rsidRDefault="00BE40F8" w:rsidP="00B233DE">
                              <w:pPr>
                                <w:ind w:firstLine="0"/>
                                <w:jc w:val="center"/>
                                <w:rPr>
                                  <w:rFonts w:ascii="Times New Roman" w:hAnsi="Times New Roman" w:cs="Times New Roman"/>
                                  <w:sz w:val="18"/>
                                  <w:szCs w:val="18"/>
                                </w:rPr>
                              </w:pPr>
                              <w:r>
                                <w:rPr>
                                  <w:rFonts w:ascii="Times New Roman" w:hAnsi="Times New Roman" w:cs="Times New Roman"/>
                                  <w:sz w:val="18"/>
                                  <w:szCs w:val="18"/>
                                </w:rPr>
                                <w:t>с</w:t>
                              </w:r>
                              <w:r w:rsidRPr="00D14E8B">
                                <w:rPr>
                                  <w:rFonts w:ascii="Times New Roman" w:hAnsi="Times New Roman" w:cs="Times New Roman"/>
                                  <w:sz w:val="18"/>
                                  <w:szCs w:val="18"/>
                                </w:rPr>
                                <w:t>оціальний</w:t>
                              </w:r>
                              <w:r>
                                <w:rPr>
                                  <w:rFonts w:ascii="Times New Roman" w:hAnsi="Times New Roman" w:cs="Times New Roman"/>
                                  <w:sz w:val="18"/>
                                  <w:szCs w:val="18"/>
                                </w:rPr>
                                <w:t xml:space="preserve"> потенціал</w:t>
                              </w:r>
                            </w:p>
                          </w:txbxContent>
                        </wps:txbx>
                        <wps:bodyPr rot="0" vert="horz" wrap="square" lIns="91440" tIns="45720" rIns="91440" bIns="45720" anchor="t" anchorCtr="0" upright="1">
                          <a:noAutofit/>
                        </wps:bodyPr>
                      </wps:wsp>
                      <wps:wsp>
                        <wps:cNvPr id="41" name="Text Box 30"/>
                        <wps:cNvSpPr txBox="1">
                          <a:spLocks noChangeArrowheads="1"/>
                        </wps:cNvSpPr>
                        <wps:spPr bwMode="auto">
                          <a:xfrm>
                            <a:off x="5541" y="6756"/>
                            <a:ext cx="2582" cy="405"/>
                          </a:xfrm>
                          <a:prstGeom prst="rect">
                            <a:avLst/>
                          </a:prstGeom>
                          <a:solidFill>
                            <a:srgbClr val="FFFFFF"/>
                          </a:solidFill>
                          <a:ln w="9525">
                            <a:solidFill>
                              <a:srgbClr val="000000"/>
                            </a:solidFill>
                            <a:miter lim="800000"/>
                            <a:headEnd/>
                            <a:tailEnd/>
                          </a:ln>
                        </wps:spPr>
                        <wps:txbx>
                          <w:txbxContent>
                            <w:p w:rsidR="00BE40F8" w:rsidRPr="00D14E8B" w:rsidRDefault="00BE40F8" w:rsidP="00B233DE">
                              <w:pPr>
                                <w:ind w:firstLine="0"/>
                                <w:jc w:val="center"/>
                                <w:rPr>
                                  <w:rFonts w:ascii="Times New Roman" w:hAnsi="Times New Roman" w:cs="Times New Roman"/>
                                  <w:sz w:val="18"/>
                                  <w:szCs w:val="18"/>
                                </w:rPr>
                              </w:pPr>
                              <w:r>
                                <w:rPr>
                                  <w:rFonts w:ascii="Times New Roman" w:hAnsi="Times New Roman" w:cs="Times New Roman"/>
                                  <w:sz w:val="18"/>
                                  <w:szCs w:val="18"/>
                                </w:rPr>
                                <w:t>а</w:t>
                              </w:r>
                              <w:r w:rsidRPr="00D14E8B">
                                <w:rPr>
                                  <w:rFonts w:ascii="Times New Roman" w:hAnsi="Times New Roman" w:cs="Times New Roman"/>
                                  <w:sz w:val="18"/>
                                  <w:szCs w:val="18"/>
                                </w:rPr>
                                <w:t>даптаційний</w:t>
                              </w:r>
                              <w:r>
                                <w:rPr>
                                  <w:rFonts w:ascii="Times New Roman" w:hAnsi="Times New Roman" w:cs="Times New Roman"/>
                                  <w:sz w:val="18"/>
                                  <w:szCs w:val="18"/>
                                </w:rPr>
                                <w:t xml:space="preserve"> потенціал</w:t>
                              </w:r>
                            </w:p>
                          </w:txbxContent>
                        </wps:txbx>
                        <wps:bodyPr rot="0" vert="horz" wrap="square" lIns="91440" tIns="45720" rIns="91440" bIns="45720" anchor="t" anchorCtr="0" upright="1">
                          <a:noAutofit/>
                        </wps:bodyPr>
                      </wps:wsp>
                      <wps:wsp>
                        <wps:cNvPr id="42" name="Text Box 31"/>
                        <wps:cNvSpPr txBox="1">
                          <a:spLocks noChangeArrowheads="1"/>
                        </wps:cNvSpPr>
                        <wps:spPr bwMode="auto">
                          <a:xfrm>
                            <a:off x="5541" y="7296"/>
                            <a:ext cx="2582" cy="529"/>
                          </a:xfrm>
                          <a:prstGeom prst="rect">
                            <a:avLst/>
                          </a:prstGeom>
                          <a:solidFill>
                            <a:srgbClr val="FFFFFF"/>
                          </a:solidFill>
                          <a:ln w="9525">
                            <a:solidFill>
                              <a:srgbClr val="000000"/>
                            </a:solidFill>
                            <a:miter lim="800000"/>
                            <a:headEnd/>
                            <a:tailEnd/>
                          </a:ln>
                        </wps:spPr>
                        <wps:txbx>
                          <w:txbxContent>
                            <w:p w:rsidR="00BE40F8" w:rsidRPr="00D14E8B" w:rsidRDefault="00BE40F8" w:rsidP="00B233DE">
                              <w:pPr>
                                <w:ind w:firstLine="0"/>
                                <w:jc w:val="center"/>
                                <w:rPr>
                                  <w:rFonts w:ascii="Times New Roman" w:hAnsi="Times New Roman" w:cs="Times New Roman"/>
                                  <w:sz w:val="18"/>
                                  <w:szCs w:val="18"/>
                                </w:rPr>
                              </w:pPr>
                              <w:r w:rsidRPr="00D14E8B">
                                <w:rPr>
                                  <w:rFonts w:ascii="Times New Roman" w:hAnsi="Times New Roman" w:cs="Times New Roman"/>
                                  <w:sz w:val="18"/>
                                  <w:szCs w:val="18"/>
                                </w:rPr>
                                <w:t>громадянсько-політичний</w:t>
                              </w:r>
                              <w:r>
                                <w:rPr>
                                  <w:rFonts w:ascii="Times New Roman" w:hAnsi="Times New Roman" w:cs="Times New Roman"/>
                                  <w:sz w:val="18"/>
                                  <w:szCs w:val="18"/>
                                </w:rPr>
                                <w:t xml:space="preserve"> потенціал</w:t>
                              </w:r>
                            </w:p>
                          </w:txbxContent>
                        </wps:txbx>
                        <wps:bodyPr rot="0" vert="horz" wrap="square" lIns="0" tIns="0" rIns="0" bIns="0" anchor="t" anchorCtr="0" upright="1">
                          <a:noAutofit/>
                        </wps:bodyPr>
                      </wps:wsp>
                      <wps:wsp>
                        <wps:cNvPr id="43" name="Line 32"/>
                        <wps:cNvCnPr/>
                        <wps:spPr bwMode="auto">
                          <a:xfrm flipV="1">
                            <a:off x="4998" y="3786"/>
                            <a:ext cx="543" cy="14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 name="Line 33"/>
                        <wps:cNvCnPr/>
                        <wps:spPr bwMode="auto">
                          <a:xfrm flipV="1">
                            <a:off x="4998" y="4326"/>
                            <a:ext cx="543" cy="9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Line 34"/>
                        <wps:cNvCnPr/>
                        <wps:spPr bwMode="auto">
                          <a:xfrm flipV="1">
                            <a:off x="4998" y="4866"/>
                            <a:ext cx="543"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 name="Line 35"/>
                        <wps:cNvCnPr/>
                        <wps:spPr bwMode="auto">
                          <a:xfrm>
                            <a:off x="4998" y="5271"/>
                            <a:ext cx="543"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 name="Line 36"/>
                        <wps:cNvCnPr/>
                        <wps:spPr bwMode="auto">
                          <a:xfrm>
                            <a:off x="4998" y="5946"/>
                            <a:ext cx="543"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 name="Line 37"/>
                        <wps:cNvCnPr/>
                        <wps:spPr bwMode="auto">
                          <a:xfrm>
                            <a:off x="4998" y="5946"/>
                            <a:ext cx="543"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 name="Line 38"/>
                        <wps:cNvCnPr/>
                        <wps:spPr bwMode="auto">
                          <a:xfrm>
                            <a:off x="4998" y="5946"/>
                            <a:ext cx="543" cy="9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 name="Line 39"/>
                        <wps:cNvCnPr/>
                        <wps:spPr bwMode="auto">
                          <a:xfrm>
                            <a:off x="4998" y="5946"/>
                            <a:ext cx="543" cy="16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D10F19C" id="Группа 33" o:spid="_x0000_s1049" style="position:absolute;left:0;text-align:left;margin-left:13.3pt;margin-top:7.95pt;width:292.45pt;height:185.35pt;z-index:251660288;mso-position-horizontal-relative:text;mso-position-vertical-relative:text" coordorigin="2417,3516" coordsize="5706,43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">
                <v:shape id="Text Box 23" o:spid="_x0000_s1050" type="#_x0000_t202" style="position:absolute;left:2417;top:5271;width:2581;height:6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" strokeweight="1.25pt">
                  <v:textbox>
                    <w:txbxContent>
                      <w:p w:rsidR="00BE40F8" w:rsidRPr="00D14E8B" w:rsidRDefault="00BE40F8" w:rsidP="00B233DE">
                        <w:pPr>
                          <w:ind w:firstLine="0"/>
                          <w:jc w:val="center"/>
                          <w:rPr>
                            <w:rFonts w:ascii="Times New Roman" w:hAnsi="Times New Roman" w:cs="Times New Roman"/>
                            <w:sz w:val="18"/>
                            <w:szCs w:val="18"/>
                          </w:rPr>
                        </w:pPr>
                        <w:r w:rsidRPr="00D14E8B">
                          <w:rPr>
                            <w:rFonts w:ascii="Times New Roman" w:hAnsi="Times New Roman" w:cs="Times New Roman"/>
                            <w:sz w:val="18"/>
                            <w:szCs w:val="18"/>
                          </w:rPr>
                          <w:t>Людський потенціал</w:t>
                        </w:r>
                      </w:p>
                    </w:txbxContent>
                  </v:textbox>
                </v:shape>
                <v:shape id="Text Box 24" o:spid="_x0000_s1051" type="#_x0000_t202" style="position:absolute;left:5541;top:3516;width:2582;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">
                  <v:textbox>
                    <w:txbxContent>
                      <w:p w:rsidR="00BE40F8" w:rsidRPr="00D14E8B" w:rsidRDefault="00BE40F8" w:rsidP="00B233DE">
                        <w:pPr>
                          <w:ind w:firstLine="0"/>
                          <w:jc w:val="center"/>
                          <w:rPr>
                            <w:rFonts w:ascii="Times New Roman" w:hAnsi="Times New Roman" w:cs="Times New Roman"/>
                            <w:sz w:val="18"/>
                            <w:szCs w:val="18"/>
                          </w:rPr>
                        </w:pPr>
                        <w:r>
                          <w:rPr>
                            <w:rFonts w:ascii="Times New Roman" w:hAnsi="Times New Roman" w:cs="Times New Roman"/>
                            <w:sz w:val="18"/>
                            <w:szCs w:val="18"/>
                          </w:rPr>
                          <w:t>д</w:t>
                        </w:r>
                        <w:r w:rsidRPr="00D14E8B">
                          <w:rPr>
                            <w:rFonts w:ascii="Times New Roman" w:hAnsi="Times New Roman" w:cs="Times New Roman"/>
                            <w:sz w:val="18"/>
                            <w:szCs w:val="18"/>
                          </w:rPr>
                          <w:t>емографічний</w:t>
                        </w:r>
                        <w:r>
                          <w:rPr>
                            <w:rFonts w:ascii="Times New Roman" w:hAnsi="Times New Roman" w:cs="Times New Roman"/>
                            <w:sz w:val="18"/>
                            <w:szCs w:val="18"/>
                          </w:rPr>
                          <w:t xml:space="preserve"> потенціал</w:t>
                        </w:r>
                      </w:p>
                    </w:txbxContent>
                  </v:textbox>
                </v:shape>
                <v:shape id="Text Box 25" o:spid="_x0000_s1052" type="#_x0000_t202" style="position:absolute;left:5541;top:4056;width:2582;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">
                  <v:textbox inset="0,0,0,0">
                    <w:txbxContent>
                      <w:p w:rsidR="00BE40F8" w:rsidRPr="00D14E8B" w:rsidRDefault="00BE40F8" w:rsidP="00B233DE">
                        <w:pPr>
                          <w:ind w:firstLine="0"/>
                          <w:jc w:val="center"/>
                          <w:rPr>
                            <w:rFonts w:ascii="Times New Roman" w:hAnsi="Times New Roman" w:cs="Times New Roman"/>
                            <w:sz w:val="18"/>
                            <w:szCs w:val="18"/>
                          </w:rPr>
                        </w:pPr>
                        <w:r w:rsidRPr="00D14E8B">
                          <w:rPr>
                            <w:rFonts w:ascii="Times New Roman" w:hAnsi="Times New Roman" w:cs="Times New Roman"/>
                            <w:sz w:val="18"/>
                            <w:szCs w:val="18"/>
                          </w:rPr>
                          <w:t>життєвий (здоров’я)</w:t>
                        </w:r>
                        <w:r>
                          <w:rPr>
                            <w:rFonts w:ascii="Times New Roman" w:hAnsi="Times New Roman" w:cs="Times New Roman"/>
                            <w:sz w:val="18"/>
                            <w:szCs w:val="18"/>
                          </w:rPr>
                          <w:t xml:space="preserve"> потенціал</w:t>
                        </w:r>
                      </w:p>
                    </w:txbxContent>
                  </v:textbox>
                </v:shape>
                <v:shape id="Text Box 26" o:spid="_x0000_s1053" type="#_x0000_t202" style="position:absolute;left:5541;top:4596;width:2582;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">
                  <v:textbox>
                    <w:txbxContent>
                      <w:p w:rsidR="00BE40F8" w:rsidRPr="00D14E8B" w:rsidRDefault="00BE40F8" w:rsidP="00B233DE">
                        <w:pPr>
                          <w:ind w:firstLine="0"/>
                          <w:jc w:val="center"/>
                          <w:rPr>
                            <w:rFonts w:ascii="Times New Roman" w:hAnsi="Times New Roman" w:cs="Times New Roman"/>
                            <w:sz w:val="18"/>
                            <w:szCs w:val="18"/>
                          </w:rPr>
                        </w:pPr>
                        <w:r>
                          <w:rPr>
                            <w:rFonts w:ascii="Times New Roman" w:hAnsi="Times New Roman" w:cs="Times New Roman"/>
                            <w:sz w:val="18"/>
                            <w:szCs w:val="18"/>
                          </w:rPr>
                          <w:t>т</w:t>
                        </w:r>
                        <w:r w:rsidRPr="00D14E8B">
                          <w:rPr>
                            <w:rFonts w:ascii="Times New Roman" w:hAnsi="Times New Roman" w:cs="Times New Roman"/>
                            <w:sz w:val="18"/>
                            <w:szCs w:val="18"/>
                          </w:rPr>
                          <w:t>рудовий</w:t>
                        </w:r>
                        <w:r>
                          <w:rPr>
                            <w:rFonts w:ascii="Times New Roman" w:hAnsi="Times New Roman" w:cs="Times New Roman"/>
                            <w:sz w:val="18"/>
                            <w:szCs w:val="18"/>
                          </w:rPr>
                          <w:t xml:space="preserve"> потенціал</w:t>
                        </w:r>
                      </w:p>
                    </w:txbxContent>
                  </v:textbox>
                </v:shape>
                <v:shape id="Text Box 27" o:spid="_x0000_s1054" type="#_x0000_t202" style="position:absolute;left:5541;top:5136;width:2582;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">
                  <v:textbox inset="0,0,0,0">
                    <w:txbxContent>
                      <w:p w:rsidR="00BE40F8" w:rsidRPr="00D14E8B" w:rsidRDefault="00BE40F8" w:rsidP="00B233DE">
                        <w:pPr>
                          <w:ind w:firstLine="0"/>
                          <w:jc w:val="center"/>
                          <w:rPr>
                            <w:rFonts w:ascii="Times New Roman" w:hAnsi="Times New Roman" w:cs="Times New Roman"/>
                            <w:sz w:val="18"/>
                            <w:szCs w:val="18"/>
                          </w:rPr>
                        </w:pPr>
                        <w:r w:rsidRPr="00D14E8B">
                          <w:rPr>
                            <w:rFonts w:ascii="Times New Roman" w:hAnsi="Times New Roman" w:cs="Times New Roman"/>
                            <w:sz w:val="18"/>
                            <w:szCs w:val="18"/>
                          </w:rPr>
                          <w:t>освітньо-кваліфікаційний</w:t>
                        </w:r>
                        <w:r>
                          <w:rPr>
                            <w:rFonts w:ascii="Times New Roman" w:hAnsi="Times New Roman" w:cs="Times New Roman"/>
                            <w:sz w:val="18"/>
                            <w:szCs w:val="18"/>
                          </w:rPr>
                          <w:t xml:space="preserve"> потенціал</w:t>
                        </w:r>
                      </w:p>
                    </w:txbxContent>
                  </v:textbox>
                </v:shape>
                <v:shape id="Text Box 28" o:spid="_x0000_s1055" type="#_x0000_t202" style="position:absolute;left:5541;top:5739;width:2582;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">
                  <v:textbox>
                    <w:txbxContent>
                      <w:p w:rsidR="00BE40F8" w:rsidRPr="00D14E8B" w:rsidRDefault="00BE40F8" w:rsidP="00B233DE">
                        <w:pPr>
                          <w:ind w:firstLine="0"/>
                          <w:jc w:val="center"/>
                          <w:rPr>
                            <w:rFonts w:ascii="Times New Roman" w:hAnsi="Times New Roman" w:cs="Times New Roman"/>
                            <w:sz w:val="18"/>
                            <w:szCs w:val="18"/>
                          </w:rPr>
                        </w:pPr>
                        <w:r>
                          <w:rPr>
                            <w:rFonts w:ascii="Times New Roman" w:hAnsi="Times New Roman" w:cs="Times New Roman"/>
                            <w:sz w:val="18"/>
                            <w:szCs w:val="18"/>
                          </w:rPr>
                          <w:t>і</w:t>
                        </w:r>
                        <w:r w:rsidRPr="00D14E8B">
                          <w:rPr>
                            <w:rFonts w:ascii="Times New Roman" w:hAnsi="Times New Roman" w:cs="Times New Roman"/>
                            <w:sz w:val="18"/>
                            <w:szCs w:val="18"/>
                          </w:rPr>
                          <w:t>нтелектуальний</w:t>
                        </w:r>
                        <w:r>
                          <w:rPr>
                            <w:rFonts w:ascii="Times New Roman" w:hAnsi="Times New Roman" w:cs="Times New Roman"/>
                            <w:sz w:val="18"/>
                            <w:szCs w:val="18"/>
                          </w:rPr>
                          <w:t xml:space="preserve"> потенціал</w:t>
                        </w:r>
                      </w:p>
                    </w:txbxContent>
                  </v:textbox>
                </v:shape>
                <v:shape id="Text Box 29" o:spid="_x0000_s1056" type="#_x0000_t202" style="position:absolute;left:5541;top:6216;width:2582;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">
                  <v:textbox>
                    <w:txbxContent>
                      <w:p w:rsidR="00BE40F8" w:rsidRPr="00D14E8B" w:rsidRDefault="00BE40F8" w:rsidP="00B233DE">
                        <w:pPr>
                          <w:ind w:firstLine="0"/>
                          <w:jc w:val="center"/>
                          <w:rPr>
                            <w:rFonts w:ascii="Times New Roman" w:hAnsi="Times New Roman" w:cs="Times New Roman"/>
                            <w:sz w:val="18"/>
                            <w:szCs w:val="18"/>
                          </w:rPr>
                        </w:pPr>
                        <w:r>
                          <w:rPr>
                            <w:rFonts w:ascii="Times New Roman" w:hAnsi="Times New Roman" w:cs="Times New Roman"/>
                            <w:sz w:val="18"/>
                            <w:szCs w:val="18"/>
                          </w:rPr>
                          <w:t>с</w:t>
                        </w:r>
                        <w:r w:rsidRPr="00D14E8B">
                          <w:rPr>
                            <w:rFonts w:ascii="Times New Roman" w:hAnsi="Times New Roman" w:cs="Times New Roman"/>
                            <w:sz w:val="18"/>
                            <w:szCs w:val="18"/>
                          </w:rPr>
                          <w:t>оціальний</w:t>
                        </w:r>
                        <w:r>
                          <w:rPr>
                            <w:rFonts w:ascii="Times New Roman" w:hAnsi="Times New Roman" w:cs="Times New Roman"/>
                            <w:sz w:val="18"/>
                            <w:szCs w:val="18"/>
                          </w:rPr>
                          <w:t xml:space="preserve"> потенціал</w:t>
                        </w:r>
                      </w:p>
                    </w:txbxContent>
                  </v:textbox>
                </v:shape>
                <v:shape id="Text Box 30" o:spid="_x0000_s1057" type="#_x0000_t202" style="position:absolute;left:5541;top:6756;width:2582;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">
                  <v:textbox>
                    <w:txbxContent>
                      <w:p w:rsidR="00BE40F8" w:rsidRPr="00D14E8B" w:rsidRDefault="00BE40F8" w:rsidP="00B233DE">
                        <w:pPr>
                          <w:ind w:firstLine="0"/>
                          <w:jc w:val="center"/>
                          <w:rPr>
                            <w:rFonts w:ascii="Times New Roman" w:hAnsi="Times New Roman" w:cs="Times New Roman"/>
                            <w:sz w:val="18"/>
                            <w:szCs w:val="18"/>
                          </w:rPr>
                        </w:pPr>
                        <w:r>
                          <w:rPr>
                            <w:rFonts w:ascii="Times New Roman" w:hAnsi="Times New Roman" w:cs="Times New Roman"/>
                            <w:sz w:val="18"/>
                            <w:szCs w:val="18"/>
                          </w:rPr>
                          <w:t>а</w:t>
                        </w:r>
                        <w:r w:rsidRPr="00D14E8B">
                          <w:rPr>
                            <w:rFonts w:ascii="Times New Roman" w:hAnsi="Times New Roman" w:cs="Times New Roman"/>
                            <w:sz w:val="18"/>
                            <w:szCs w:val="18"/>
                          </w:rPr>
                          <w:t>даптаційний</w:t>
                        </w:r>
                        <w:r>
                          <w:rPr>
                            <w:rFonts w:ascii="Times New Roman" w:hAnsi="Times New Roman" w:cs="Times New Roman"/>
                            <w:sz w:val="18"/>
                            <w:szCs w:val="18"/>
                          </w:rPr>
                          <w:t xml:space="preserve"> потенціал</w:t>
                        </w:r>
                      </w:p>
                    </w:txbxContent>
                  </v:textbox>
                </v:shape>
                <v:shape id="Text Box 31" o:spid="_x0000_s1058" type="#_x0000_t202" style="position:absolute;left:5541;top:7296;width:2582;height:5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">
                  <v:textbox inset="0,0,0,0">
                    <w:txbxContent>
                      <w:p w:rsidR="00BE40F8" w:rsidRPr="00D14E8B" w:rsidRDefault="00BE40F8" w:rsidP="00B233DE">
                        <w:pPr>
                          <w:ind w:firstLine="0"/>
                          <w:jc w:val="center"/>
                          <w:rPr>
                            <w:rFonts w:ascii="Times New Roman" w:hAnsi="Times New Roman" w:cs="Times New Roman"/>
                            <w:sz w:val="18"/>
                            <w:szCs w:val="18"/>
                          </w:rPr>
                        </w:pPr>
                        <w:r w:rsidRPr="00D14E8B">
                          <w:rPr>
                            <w:rFonts w:ascii="Times New Roman" w:hAnsi="Times New Roman" w:cs="Times New Roman"/>
                            <w:sz w:val="18"/>
                            <w:szCs w:val="18"/>
                          </w:rPr>
                          <w:t>громадянсько-політичний</w:t>
                        </w:r>
                        <w:r>
                          <w:rPr>
                            <w:rFonts w:ascii="Times New Roman" w:hAnsi="Times New Roman" w:cs="Times New Roman"/>
                            <w:sz w:val="18"/>
                            <w:szCs w:val="18"/>
                          </w:rPr>
                          <w:t xml:space="preserve"> потенціал</w:t>
                        </w:r>
                      </w:p>
                    </w:txbxContent>
                  </v:textbox>
                </v:shape>
                <v:line id="Line 32" o:spid="_x0000_s1059" style="position:absolute;flip:y;visibility:visible;mso-wrap-style:square" from="4998,3786" to="5541,5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">
                  <v:stroke endarrow="block"/>
                </v:line>
                <v:line id="Line 33" o:spid="_x0000_s1060" style="position:absolute;flip:y;visibility:visible;mso-wrap-style:square" from="4998,4326" to="5541,5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">
                  <v:stroke endarrow="block"/>
                </v:line>
                <v:line id="Line 34" o:spid="_x0000_s1061" style="position:absolute;flip:y;visibility:visible;mso-wrap-style:square" from="4998,4866" to="5541,5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">
                  <v:stroke endarrow="block"/>
                </v:line>
                <v:line id="Line 35" o:spid="_x0000_s1062" style="position:absolute;visibility:visible;mso-wrap-style:square" from="4998,5271" to="5541,5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">
                  <v:stroke endarrow="block"/>
                </v:line>
                <v:line id="Line 36" o:spid="_x0000_s1063" style="position:absolute;visibility:visible;mso-wrap-style:square" from="4998,5946" to="5541,5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">
                  <v:stroke endarrow="block"/>
                </v:line>
                <v:line id="Line 37" o:spid="_x0000_s1064" style="position:absolute;visibility:visible;mso-wrap-style:square" from="4998,5946" to="5541,6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">
                  <v:stroke endarrow="block"/>
                </v:line>
                <v:line id="Line 38" o:spid="_x0000_s1065" style="position:absolute;visibility:visible;mso-wrap-style:square" from="4998,5946" to="5541,6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">
                  <v:stroke endarrow="block"/>
                </v:line>
                <v:line id="Line 39" o:spid="_x0000_s1066" style="position:absolute;visibility:visible;mso-wrap-style:square" from="4998,5946" to="5541,7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">
                  <v:stroke endarrow="block"/>
                </v:line>
              </v:group>
            </w:pict>
          </mc:Fallback>
        </mc:AlternateContent>
      </w: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Pr="002F397C" w:rsidRDefault="00B233DE" w:rsidP="00B233DE">
      <w:pPr>
        <w:ind w:firstLine="709"/>
        <w:jc w:val="both"/>
        <w:rPr>
          <w:rFonts w:ascii="Times New Roman" w:hAnsi="Times New Roman" w:cs="Times New Roman"/>
          <w:sz w:val="21"/>
          <w:szCs w:val="21"/>
        </w:rPr>
      </w:pPr>
    </w:p>
    <w:p w:rsidR="00B233DE" w:rsidRPr="002F397C" w:rsidRDefault="00B233DE" w:rsidP="00B233DE">
      <w:pPr>
        <w:tabs>
          <w:tab w:val="left" w:pos="1155"/>
        </w:tabs>
        <w:ind w:firstLine="709"/>
        <w:jc w:val="center"/>
        <w:rPr>
          <w:rFonts w:ascii="Times New Roman" w:hAnsi="Times New Roman" w:cs="Times New Roman"/>
          <w:b/>
          <w:spacing w:val="-3"/>
          <w:sz w:val="21"/>
          <w:szCs w:val="21"/>
        </w:rPr>
      </w:pPr>
      <w:r w:rsidRPr="002F397C">
        <w:rPr>
          <w:rFonts w:ascii="Times New Roman" w:hAnsi="Times New Roman" w:cs="Times New Roman"/>
          <w:b/>
          <w:spacing w:val="-3"/>
          <w:sz w:val="21"/>
          <w:szCs w:val="21"/>
        </w:rPr>
        <w:t>Рис. 1.</w:t>
      </w:r>
      <w:r>
        <w:rPr>
          <w:rFonts w:ascii="Times New Roman" w:hAnsi="Times New Roman" w:cs="Times New Roman"/>
          <w:b/>
          <w:spacing w:val="-3"/>
          <w:sz w:val="21"/>
          <w:szCs w:val="21"/>
        </w:rPr>
        <w:t>4.</w:t>
      </w:r>
      <w:r w:rsidRPr="002F397C">
        <w:rPr>
          <w:rFonts w:ascii="Times New Roman" w:hAnsi="Times New Roman" w:cs="Times New Roman"/>
          <w:b/>
          <w:spacing w:val="-3"/>
          <w:sz w:val="21"/>
          <w:szCs w:val="21"/>
        </w:rPr>
        <w:t xml:space="preserve"> Основні складові людського потенціалу*</w:t>
      </w:r>
    </w:p>
    <w:p w:rsidR="00B233DE" w:rsidRPr="00B72D85" w:rsidRDefault="00B233DE" w:rsidP="00B233DE">
      <w:pPr>
        <w:tabs>
          <w:tab w:val="left" w:pos="2100"/>
        </w:tabs>
        <w:ind w:firstLine="709"/>
        <w:jc w:val="both"/>
        <w:rPr>
          <w:rFonts w:ascii="Times New Roman" w:hAnsi="Times New Roman" w:cs="Times New Roman"/>
          <w:sz w:val="18"/>
          <w:szCs w:val="18"/>
        </w:rPr>
      </w:pPr>
      <w:r w:rsidRPr="00B72D85">
        <w:rPr>
          <w:rFonts w:ascii="Times New Roman" w:hAnsi="Times New Roman" w:cs="Times New Roman"/>
          <w:spacing w:val="-3"/>
          <w:sz w:val="18"/>
          <w:szCs w:val="18"/>
        </w:rPr>
        <w:t xml:space="preserve">* - </w:t>
      </w:r>
      <w:r>
        <w:rPr>
          <w:rFonts w:ascii="Times New Roman" w:hAnsi="Times New Roman" w:cs="Times New Roman"/>
          <w:spacing w:val="-3"/>
          <w:sz w:val="18"/>
          <w:szCs w:val="18"/>
        </w:rPr>
        <w:t>запропоновано автором розділу</w:t>
      </w:r>
    </w:p>
    <w:p w:rsidR="00B233DE" w:rsidRPr="00306A48" w:rsidRDefault="00B233DE" w:rsidP="00B233DE">
      <w:pPr>
        <w:ind w:firstLine="709"/>
        <w:jc w:val="both"/>
        <w:rPr>
          <w:rFonts w:ascii="Times New Roman" w:hAnsi="Times New Roman" w:cs="Times New Roman"/>
          <w:sz w:val="21"/>
          <w:szCs w:val="21"/>
        </w:rPr>
      </w:pPr>
    </w:p>
    <w:p w:rsidR="00B233DE" w:rsidRPr="002F397C" w:rsidRDefault="00B233DE" w:rsidP="00B233DE">
      <w:pPr>
        <w:ind w:firstLine="709"/>
        <w:jc w:val="both"/>
        <w:rPr>
          <w:rFonts w:ascii="Times New Roman" w:hAnsi="Times New Roman" w:cs="Times New Roman"/>
          <w:sz w:val="21"/>
          <w:szCs w:val="21"/>
        </w:rPr>
      </w:pPr>
      <w:r w:rsidRPr="002F397C">
        <w:rPr>
          <w:rFonts w:ascii="Times New Roman" w:hAnsi="Times New Roman" w:cs="Times New Roman"/>
          <w:sz w:val="21"/>
          <w:szCs w:val="21"/>
        </w:rPr>
        <w:t>Життєвий потенціал, на нашу думку, варто об’єднати з потенціалом здоров’я і виділити як кількість років, які проживає визначена кількість населення при даному рівні середньої тривалості життя, генетично закладених та здобутих протягом життя фізичного здоров’я, працездатності, імунітету до хвороб, тривалості періоду активної трудової діяльності, розвитку системи охорони здоров’я та медичної допомоги і соціально-економічних можливостях суспільства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_Ref430594534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64</w:t>
      </w:r>
      <w:r>
        <w:rPr>
          <w:rFonts w:ascii="Times New Roman" w:hAnsi="Times New Roman" w:cs="Times New Roman"/>
          <w:sz w:val="21"/>
          <w:szCs w:val="21"/>
        </w:rPr>
        <w:fldChar w:fldCharType="end"/>
      </w:r>
      <w:r w:rsidRPr="002F397C">
        <w:rPr>
          <w:rFonts w:ascii="Times New Roman" w:hAnsi="Times New Roman" w:cs="Times New Roman"/>
          <w:sz w:val="21"/>
          <w:szCs w:val="21"/>
        </w:rPr>
        <w:t xml:space="preserve">, </w:t>
      </w:r>
      <w:r w:rsidRPr="002F397C">
        <w:rPr>
          <w:rFonts w:ascii="Times New Roman" w:hAnsi="Times New Roman" w:cs="Times New Roman"/>
          <w:sz w:val="21"/>
          <w:szCs w:val="21"/>
          <w:lang w:val="en-US"/>
        </w:rPr>
        <w:t>c</w:t>
      </w:r>
      <w:r w:rsidRPr="002F397C">
        <w:rPr>
          <w:rFonts w:ascii="Times New Roman" w:hAnsi="Times New Roman" w:cs="Times New Roman"/>
          <w:sz w:val="21"/>
          <w:szCs w:val="21"/>
        </w:rPr>
        <w:t>. 191].</w:t>
      </w:r>
    </w:p>
    <w:p w:rsidR="00B233DE" w:rsidRPr="002F397C" w:rsidRDefault="00B233DE" w:rsidP="00B233DE">
      <w:pPr>
        <w:ind w:firstLine="709"/>
        <w:jc w:val="both"/>
        <w:rPr>
          <w:rFonts w:ascii="Times New Roman" w:hAnsi="Times New Roman" w:cs="Times New Roman"/>
          <w:sz w:val="21"/>
          <w:szCs w:val="21"/>
        </w:rPr>
      </w:pPr>
      <w:r w:rsidRPr="002F397C">
        <w:rPr>
          <w:rFonts w:ascii="Times New Roman" w:hAnsi="Times New Roman" w:cs="Times New Roman"/>
          <w:sz w:val="21"/>
          <w:szCs w:val="21"/>
        </w:rPr>
        <w:t>Прийнявши точку зору О. Новікової та В. Антонюк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_Ref430594275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34</w:t>
      </w:r>
      <w:r>
        <w:rPr>
          <w:rFonts w:ascii="Times New Roman" w:hAnsi="Times New Roman" w:cs="Times New Roman"/>
          <w:sz w:val="21"/>
          <w:szCs w:val="21"/>
        </w:rPr>
        <w:fldChar w:fldCharType="end"/>
      </w:r>
      <w:r w:rsidRPr="002F397C">
        <w:rPr>
          <w:rFonts w:ascii="Times New Roman" w:hAnsi="Times New Roman" w:cs="Times New Roman"/>
          <w:sz w:val="21"/>
          <w:szCs w:val="21"/>
        </w:rPr>
        <w:t xml:space="preserve">, </w:t>
      </w:r>
      <w:r w:rsidRPr="002F397C">
        <w:rPr>
          <w:rFonts w:ascii="Times New Roman" w:hAnsi="Times New Roman" w:cs="Times New Roman"/>
          <w:sz w:val="21"/>
          <w:szCs w:val="21"/>
          <w:lang w:val="en-US"/>
        </w:rPr>
        <w:t>c</w:t>
      </w:r>
      <w:r w:rsidRPr="002F397C">
        <w:rPr>
          <w:rFonts w:ascii="Times New Roman" w:hAnsi="Times New Roman" w:cs="Times New Roman"/>
          <w:sz w:val="21"/>
          <w:szCs w:val="21"/>
        </w:rPr>
        <w:t>. 19], ми долучаємо інноваційну та діяльнісну складові людського потенціалу до трудової і визначаємо останню як здатні</w:t>
      </w:r>
      <w:r>
        <w:rPr>
          <w:rFonts w:ascii="Times New Roman" w:hAnsi="Times New Roman" w:cs="Times New Roman"/>
          <w:sz w:val="21"/>
          <w:szCs w:val="21"/>
        </w:rPr>
        <w:t>с</w:t>
      </w:r>
      <w:r w:rsidRPr="002F397C">
        <w:rPr>
          <w:rFonts w:ascii="Times New Roman" w:hAnsi="Times New Roman" w:cs="Times New Roman"/>
          <w:sz w:val="21"/>
          <w:szCs w:val="21"/>
        </w:rPr>
        <w:t>ть до трудової діяльності та підприємництва, економічної, ділової, творчої та соціальної активності, самовдосконалення і покращення професійних вмінь та навичок, вміння створювати, сприймати, впроваджувати і застосовувати інновації у господарській діяльності.</w:t>
      </w:r>
    </w:p>
    <w:p w:rsidR="00B233DE" w:rsidRPr="002F397C" w:rsidRDefault="00B233DE" w:rsidP="00B233DE">
      <w:pPr>
        <w:ind w:firstLine="709"/>
        <w:jc w:val="both"/>
        <w:rPr>
          <w:rFonts w:ascii="Times New Roman" w:hAnsi="Times New Roman" w:cs="Times New Roman"/>
          <w:sz w:val="21"/>
          <w:szCs w:val="21"/>
        </w:rPr>
      </w:pPr>
      <w:r w:rsidRPr="002F397C">
        <w:rPr>
          <w:rFonts w:ascii="Times New Roman" w:hAnsi="Times New Roman" w:cs="Times New Roman"/>
          <w:sz w:val="21"/>
          <w:szCs w:val="21"/>
        </w:rPr>
        <w:lastRenderedPageBreak/>
        <w:t>Освітньо-кваліфікаційним потенціалом, на наш погляд, є сукупність здобутих знань, професійних навиків і досвіду шляхом отримання людиною певного рівня освіти і кваліфікації та його безперервного підвищення. Інтелектуальний потенціал – це сукупність природних задатків, здібностей та умінь населення, його інформованості та здатності до освоєння і переробки інформації, застосування набутих і створення нових знань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_Ref430594749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59</w:t>
      </w:r>
      <w:r>
        <w:rPr>
          <w:rFonts w:ascii="Times New Roman" w:hAnsi="Times New Roman" w:cs="Times New Roman"/>
          <w:sz w:val="21"/>
          <w:szCs w:val="21"/>
        </w:rPr>
        <w:fldChar w:fldCharType="end"/>
      </w:r>
      <w:r w:rsidRPr="002F397C">
        <w:rPr>
          <w:rFonts w:ascii="Times New Roman" w:hAnsi="Times New Roman" w:cs="Times New Roman"/>
          <w:sz w:val="21"/>
          <w:szCs w:val="21"/>
        </w:rPr>
        <w:t xml:space="preserve">, с. 283; </w:t>
      </w:r>
      <w:r>
        <w:rPr>
          <w:rFonts w:ascii="Times New Roman" w:hAnsi="Times New Roman" w:cs="Times New Roman"/>
          <w:sz w:val="21"/>
          <w:szCs w:val="21"/>
        </w:rPr>
        <w:t>Людський потенціал : механізми збереження</w:t>
      </w:r>
      <w:r w:rsidRPr="002F397C">
        <w:rPr>
          <w:rFonts w:ascii="Times New Roman" w:hAnsi="Times New Roman" w:cs="Times New Roman"/>
          <w:sz w:val="21"/>
          <w:szCs w:val="21"/>
        </w:rPr>
        <w:t xml:space="preserve">, </w:t>
      </w:r>
      <w:r w:rsidRPr="002F397C">
        <w:rPr>
          <w:rFonts w:ascii="Times New Roman" w:hAnsi="Times New Roman" w:cs="Times New Roman"/>
          <w:sz w:val="21"/>
          <w:szCs w:val="21"/>
          <w:lang w:val="en-US"/>
        </w:rPr>
        <w:t>c</w:t>
      </w:r>
      <w:r w:rsidRPr="002F397C">
        <w:rPr>
          <w:rFonts w:ascii="Times New Roman" w:hAnsi="Times New Roman" w:cs="Times New Roman"/>
          <w:sz w:val="21"/>
          <w:szCs w:val="21"/>
        </w:rPr>
        <w:t>. 19].</w:t>
      </w:r>
    </w:p>
    <w:p w:rsidR="00B233DE" w:rsidRPr="002F397C" w:rsidRDefault="00B233DE" w:rsidP="00B233DE">
      <w:pPr>
        <w:ind w:firstLine="709"/>
        <w:jc w:val="both"/>
        <w:rPr>
          <w:rFonts w:ascii="Times New Roman" w:hAnsi="Times New Roman" w:cs="Times New Roman"/>
          <w:sz w:val="21"/>
          <w:szCs w:val="21"/>
        </w:rPr>
      </w:pPr>
      <w:r w:rsidRPr="002F397C">
        <w:rPr>
          <w:rFonts w:ascii="Times New Roman" w:hAnsi="Times New Roman" w:cs="Times New Roman"/>
          <w:spacing w:val="-4"/>
          <w:sz w:val="21"/>
          <w:szCs w:val="21"/>
        </w:rPr>
        <w:t>Адаптаційний потенціал – психологічна стійкість населення</w:t>
      </w:r>
      <w:r w:rsidRPr="002F397C">
        <w:rPr>
          <w:rFonts w:ascii="Times New Roman" w:hAnsi="Times New Roman" w:cs="Times New Roman"/>
          <w:sz w:val="21"/>
          <w:szCs w:val="21"/>
        </w:rPr>
        <w:t xml:space="preserve"> до постійної зміни умов життєдіяльності, господарювання та </w:t>
      </w:r>
      <w:r w:rsidRPr="002F397C">
        <w:rPr>
          <w:rFonts w:ascii="Times New Roman" w:hAnsi="Times New Roman" w:cs="Times New Roman"/>
          <w:spacing w:val="-6"/>
          <w:sz w:val="21"/>
          <w:szCs w:val="21"/>
        </w:rPr>
        <w:t>соціально-економічних відносин. Громадянсько-політичний потенціал</w:t>
      </w:r>
      <w:r w:rsidRPr="002F397C">
        <w:rPr>
          <w:rFonts w:ascii="Times New Roman" w:hAnsi="Times New Roman" w:cs="Times New Roman"/>
          <w:sz w:val="21"/>
          <w:szCs w:val="21"/>
        </w:rPr>
        <w:t xml:space="preserve"> – здатність до самоорганізації і самоврядування, громадянська активність, єдність, патріотичність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_Ref430594275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34</w:t>
      </w:r>
      <w:r>
        <w:rPr>
          <w:rFonts w:ascii="Times New Roman" w:hAnsi="Times New Roman" w:cs="Times New Roman"/>
          <w:sz w:val="21"/>
          <w:szCs w:val="21"/>
        </w:rPr>
        <w:fldChar w:fldCharType="end"/>
      </w:r>
      <w:r w:rsidRPr="002F397C">
        <w:rPr>
          <w:rFonts w:ascii="Times New Roman" w:hAnsi="Times New Roman" w:cs="Times New Roman"/>
          <w:sz w:val="21"/>
          <w:szCs w:val="21"/>
        </w:rPr>
        <w:t>, с. 19].</w:t>
      </w:r>
    </w:p>
    <w:p w:rsidR="00B233DE" w:rsidRDefault="00B233DE" w:rsidP="00B233DE">
      <w:pPr>
        <w:ind w:firstLine="709"/>
        <w:jc w:val="both"/>
        <w:rPr>
          <w:rFonts w:ascii="Times New Roman" w:hAnsi="Times New Roman" w:cs="Times New Roman"/>
          <w:sz w:val="21"/>
          <w:szCs w:val="21"/>
        </w:rPr>
      </w:pPr>
      <w:r w:rsidRPr="002F397C">
        <w:rPr>
          <w:rFonts w:ascii="Times New Roman" w:hAnsi="Times New Roman" w:cs="Times New Roman"/>
          <w:sz w:val="21"/>
          <w:szCs w:val="21"/>
        </w:rPr>
        <w:t>При розгляді соціального потенціалу населення ми не погоджуємось з окремими авторами, зокрема з Л. Панковою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_Ref430594765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45</w:t>
      </w:r>
      <w:r>
        <w:rPr>
          <w:rFonts w:ascii="Times New Roman" w:hAnsi="Times New Roman" w:cs="Times New Roman"/>
          <w:sz w:val="21"/>
          <w:szCs w:val="21"/>
        </w:rPr>
        <w:fldChar w:fldCharType="end"/>
      </w:r>
      <w:r w:rsidRPr="002F397C">
        <w:rPr>
          <w:rFonts w:ascii="Times New Roman" w:hAnsi="Times New Roman" w:cs="Times New Roman"/>
          <w:sz w:val="21"/>
          <w:szCs w:val="21"/>
        </w:rPr>
        <w:t>, с. 6], яка визначає його як на</w:t>
      </w:r>
      <w:r>
        <w:rPr>
          <w:rFonts w:ascii="Times New Roman" w:hAnsi="Times New Roman" w:cs="Times New Roman"/>
          <w:sz w:val="21"/>
          <w:szCs w:val="21"/>
        </w:rPr>
        <w:t>й</w:t>
      </w:r>
      <w:r w:rsidRPr="002F397C">
        <w:rPr>
          <w:rFonts w:ascii="Times New Roman" w:hAnsi="Times New Roman" w:cs="Times New Roman"/>
          <w:sz w:val="21"/>
          <w:szCs w:val="21"/>
        </w:rPr>
        <w:t>більш широке за сутністю поняття відносно людського, демографічного, трудового, інтелектуального та освітнього потенціалів. На наше переконання, соціальний потенціал доцільно визначити як можливості населення, організованого в певну соціальну структуру, до міжособистісних стосунків на основі взаємної довіри і взаємодопомоги, створення і підтримки соціальних відносин, зв’язків і мереж, що визначаються рівнем соціальної згуртованості, соціального діалогу та соціального партнерства і забезпечують певний рівень соціальної захищеності населення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_Ref430594534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64</w:t>
      </w:r>
      <w:r>
        <w:rPr>
          <w:rFonts w:ascii="Times New Roman" w:hAnsi="Times New Roman" w:cs="Times New Roman"/>
          <w:sz w:val="21"/>
          <w:szCs w:val="21"/>
        </w:rPr>
        <w:fldChar w:fldCharType="end"/>
      </w:r>
      <w:r w:rsidRPr="002F397C">
        <w:rPr>
          <w:rFonts w:ascii="Times New Roman" w:hAnsi="Times New Roman" w:cs="Times New Roman"/>
          <w:sz w:val="21"/>
          <w:szCs w:val="21"/>
        </w:rPr>
        <w:t xml:space="preserve">, с. 191;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_Ref430594782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30</w:t>
      </w:r>
      <w:r>
        <w:rPr>
          <w:rFonts w:ascii="Times New Roman" w:hAnsi="Times New Roman" w:cs="Times New Roman"/>
          <w:sz w:val="21"/>
          <w:szCs w:val="21"/>
        </w:rPr>
        <w:fldChar w:fldCharType="end"/>
      </w:r>
      <w:r w:rsidRPr="002F397C">
        <w:rPr>
          <w:rFonts w:ascii="Times New Roman" w:hAnsi="Times New Roman" w:cs="Times New Roman"/>
          <w:sz w:val="21"/>
          <w:szCs w:val="21"/>
        </w:rPr>
        <w:t>, с. 114]. Отже, соціальний потенціал є можливостями населення до суспільної діяльності, що, разом із демографічним, трудовим, інтелектуальним та освітнім потенціалом, є невід’ємною складовою зазначеного вище авторського визначення людського потенціалу.</w:t>
      </w:r>
    </w:p>
    <w:p w:rsidR="00B233DE" w:rsidRPr="00852AFC" w:rsidRDefault="00B233DE" w:rsidP="00B233DE">
      <w:pPr>
        <w:ind w:firstLine="720"/>
        <w:jc w:val="both"/>
        <w:rPr>
          <w:rFonts w:ascii="Times New Roman" w:hAnsi="Times New Roman" w:cs="Times New Roman"/>
          <w:spacing w:val="-4"/>
          <w:sz w:val="21"/>
          <w:szCs w:val="21"/>
        </w:rPr>
      </w:pPr>
      <w:r w:rsidRPr="00852AFC">
        <w:rPr>
          <w:rFonts w:ascii="Times New Roman" w:hAnsi="Times New Roman" w:cs="Times New Roman"/>
          <w:spacing w:val="-4"/>
          <w:sz w:val="21"/>
          <w:szCs w:val="21"/>
        </w:rPr>
        <w:t xml:space="preserve">Наше бачення поняття «трудовий потенціал» узгоджується з трактуванням С. Пирожкова, що розуміє його як «розвинуту в даному суспільстві сукупність… характеристик і якостей </w:t>
      </w:r>
      <w:r>
        <w:rPr>
          <w:rFonts w:ascii="Times New Roman" w:hAnsi="Times New Roman" w:cs="Times New Roman"/>
          <w:spacing w:val="-4"/>
          <w:sz w:val="21"/>
          <w:szCs w:val="21"/>
        </w:rPr>
        <w:t>праце</w:t>
      </w:r>
      <w:r w:rsidRPr="00852AFC">
        <w:rPr>
          <w:rFonts w:ascii="Times New Roman" w:hAnsi="Times New Roman" w:cs="Times New Roman"/>
          <w:spacing w:val="-4"/>
          <w:sz w:val="21"/>
          <w:szCs w:val="21"/>
        </w:rPr>
        <w:t>активного населення, які реалізовані або можуть бути реалізовані в умовах досягнутого рівня розвитку виробничих сил, науково-технічного прогресу і системи відносин, пов’язаних з участю у процесі праці і суспільної діяльності» [</w:t>
      </w:r>
      <w:r>
        <w:rPr>
          <w:rFonts w:ascii="Times New Roman" w:hAnsi="Times New Roman" w:cs="Times New Roman"/>
          <w:spacing w:val="-4"/>
          <w:sz w:val="21"/>
          <w:szCs w:val="21"/>
        </w:rPr>
        <w:fldChar w:fldCharType="begin"/>
      </w:r>
      <w:r>
        <w:rPr>
          <w:rFonts w:ascii="Times New Roman" w:hAnsi="Times New Roman" w:cs="Times New Roman"/>
          <w:spacing w:val="-4"/>
          <w:sz w:val="21"/>
          <w:szCs w:val="21"/>
        </w:rPr>
        <w:instrText xml:space="preserve"> REF _Ref430593743 \r \h </w:instrText>
      </w:r>
      <w:r>
        <w:rPr>
          <w:rFonts w:ascii="Times New Roman" w:hAnsi="Times New Roman" w:cs="Times New Roman"/>
          <w:spacing w:val="-4"/>
          <w:sz w:val="21"/>
          <w:szCs w:val="21"/>
        </w:rPr>
      </w:r>
      <w:r>
        <w:rPr>
          <w:rFonts w:ascii="Times New Roman" w:hAnsi="Times New Roman" w:cs="Times New Roman"/>
          <w:spacing w:val="-4"/>
          <w:sz w:val="21"/>
          <w:szCs w:val="21"/>
        </w:rPr>
        <w:fldChar w:fldCharType="separate"/>
      </w:r>
      <w:r>
        <w:rPr>
          <w:rFonts w:ascii="Times New Roman" w:hAnsi="Times New Roman" w:cs="Times New Roman"/>
          <w:spacing w:val="-4"/>
          <w:sz w:val="21"/>
          <w:szCs w:val="21"/>
        </w:rPr>
        <w:t>47</w:t>
      </w:r>
      <w:r>
        <w:rPr>
          <w:rFonts w:ascii="Times New Roman" w:hAnsi="Times New Roman" w:cs="Times New Roman"/>
          <w:spacing w:val="-4"/>
          <w:sz w:val="21"/>
          <w:szCs w:val="21"/>
        </w:rPr>
        <w:fldChar w:fldCharType="end"/>
      </w:r>
      <w:r w:rsidRPr="00852AFC">
        <w:rPr>
          <w:rFonts w:ascii="Times New Roman" w:hAnsi="Times New Roman" w:cs="Times New Roman"/>
          <w:spacing w:val="-4"/>
          <w:sz w:val="21"/>
          <w:szCs w:val="21"/>
        </w:rPr>
        <w:t>, с. 396].</w:t>
      </w:r>
    </w:p>
    <w:p w:rsidR="00B233DE" w:rsidRDefault="00B233DE" w:rsidP="00B233DE">
      <w:pPr>
        <w:tabs>
          <w:tab w:val="left" w:pos="853"/>
        </w:tabs>
        <w:ind w:firstLine="709"/>
        <w:jc w:val="both"/>
        <w:rPr>
          <w:rFonts w:ascii="Times New Roman" w:hAnsi="Times New Roman" w:cs="Times New Roman"/>
          <w:spacing w:val="-4"/>
          <w:sz w:val="21"/>
          <w:szCs w:val="21"/>
        </w:rPr>
      </w:pPr>
      <w:r w:rsidRPr="00852AFC">
        <w:rPr>
          <w:rFonts w:ascii="Times New Roman" w:hAnsi="Times New Roman" w:cs="Times New Roman"/>
          <w:spacing w:val="-4"/>
          <w:sz w:val="21"/>
          <w:szCs w:val="21"/>
        </w:rPr>
        <w:t>Варто відзначити, що Л. Шевчук до структури трудового потенціалу вводить також сукупність знань, здібностей, кваліфікацій, що не використовуються в даний час з тих чи інших причин [</w:t>
      </w:r>
      <w:r>
        <w:rPr>
          <w:rFonts w:ascii="Times New Roman" w:hAnsi="Times New Roman" w:cs="Times New Roman"/>
          <w:spacing w:val="-4"/>
          <w:sz w:val="21"/>
          <w:szCs w:val="21"/>
        </w:rPr>
        <w:fldChar w:fldCharType="begin"/>
      </w:r>
      <w:r>
        <w:rPr>
          <w:rFonts w:ascii="Times New Roman" w:hAnsi="Times New Roman" w:cs="Times New Roman"/>
          <w:spacing w:val="-4"/>
          <w:sz w:val="21"/>
          <w:szCs w:val="21"/>
        </w:rPr>
        <w:instrText xml:space="preserve"> REF _Ref430594797 \r \h </w:instrText>
      </w:r>
      <w:r>
        <w:rPr>
          <w:rFonts w:ascii="Times New Roman" w:hAnsi="Times New Roman" w:cs="Times New Roman"/>
          <w:spacing w:val="-4"/>
          <w:sz w:val="21"/>
          <w:szCs w:val="21"/>
        </w:rPr>
      </w:r>
      <w:r>
        <w:rPr>
          <w:rFonts w:ascii="Times New Roman" w:hAnsi="Times New Roman" w:cs="Times New Roman"/>
          <w:spacing w:val="-4"/>
          <w:sz w:val="21"/>
          <w:szCs w:val="21"/>
        </w:rPr>
        <w:fldChar w:fldCharType="separate"/>
      </w:r>
      <w:r>
        <w:rPr>
          <w:rFonts w:ascii="Times New Roman" w:hAnsi="Times New Roman" w:cs="Times New Roman"/>
          <w:spacing w:val="-4"/>
          <w:sz w:val="21"/>
          <w:szCs w:val="21"/>
        </w:rPr>
        <w:t>69</w:t>
      </w:r>
      <w:r>
        <w:rPr>
          <w:rFonts w:ascii="Times New Roman" w:hAnsi="Times New Roman" w:cs="Times New Roman"/>
          <w:spacing w:val="-4"/>
          <w:sz w:val="21"/>
          <w:szCs w:val="21"/>
        </w:rPr>
        <w:fldChar w:fldCharType="end"/>
      </w:r>
      <w:r>
        <w:rPr>
          <w:rFonts w:ascii="Times New Roman" w:hAnsi="Times New Roman" w:cs="Times New Roman"/>
          <w:spacing w:val="-4"/>
          <w:sz w:val="21"/>
          <w:szCs w:val="21"/>
        </w:rPr>
        <w:t xml:space="preserve">], а </w:t>
      </w:r>
      <w:r>
        <w:rPr>
          <w:rFonts w:ascii="Times New Roman" w:hAnsi="Times New Roman" w:cs="Times New Roman"/>
          <w:spacing w:val="-4"/>
          <w:sz w:val="21"/>
          <w:szCs w:val="21"/>
        </w:rPr>
        <w:lastRenderedPageBreak/>
        <w:t>М. </w:t>
      </w:r>
      <w:r w:rsidRPr="00852AFC">
        <w:rPr>
          <w:rFonts w:ascii="Times New Roman" w:hAnsi="Times New Roman" w:cs="Times New Roman"/>
          <w:spacing w:val="-4"/>
          <w:sz w:val="21"/>
          <w:szCs w:val="21"/>
        </w:rPr>
        <w:t>Долішній визначає трудовий потенціал як «… прогнозовану інтегральну здатність…працездатного населення країни… до продуктивної трудової професійної діяльності, результатом якої є новостворені духовні та матеріальні цінності» [</w:t>
      </w:r>
      <w:r>
        <w:rPr>
          <w:rFonts w:ascii="Times New Roman" w:hAnsi="Times New Roman" w:cs="Times New Roman"/>
          <w:spacing w:val="-4"/>
          <w:sz w:val="21"/>
          <w:szCs w:val="21"/>
        </w:rPr>
        <w:fldChar w:fldCharType="begin"/>
      </w:r>
      <w:r>
        <w:rPr>
          <w:rFonts w:ascii="Times New Roman" w:hAnsi="Times New Roman" w:cs="Times New Roman"/>
          <w:spacing w:val="-4"/>
          <w:sz w:val="21"/>
          <w:szCs w:val="21"/>
        </w:rPr>
        <w:instrText xml:space="preserve"> REF _Ref430594805 \r \h </w:instrText>
      </w:r>
      <w:r>
        <w:rPr>
          <w:rFonts w:ascii="Times New Roman" w:hAnsi="Times New Roman" w:cs="Times New Roman"/>
          <w:spacing w:val="-4"/>
          <w:sz w:val="21"/>
          <w:szCs w:val="21"/>
        </w:rPr>
      </w:r>
      <w:r>
        <w:rPr>
          <w:rFonts w:ascii="Times New Roman" w:hAnsi="Times New Roman" w:cs="Times New Roman"/>
          <w:spacing w:val="-4"/>
          <w:sz w:val="21"/>
          <w:szCs w:val="21"/>
        </w:rPr>
        <w:fldChar w:fldCharType="separate"/>
      </w:r>
      <w:r>
        <w:rPr>
          <w:rFonts w:ascii="Times New Roman" w:hAnsi="Times New Roman" w:cs="Times New Roman"/>
          <w:spacing w:val="-4"/>
          <w:sz w:val="21"/>
          <w:szCs w:val="21"/>
        </w:rPr>
        <w:t>58</w:t>
      </w:r>
      <w:r>
        <w:rPr>
          <w:rFonts w:ascii="Times New Roman" w:hAnsi="Times New Roman" w:cs="Times New Roman"/>
          <w:spacing w:val="-4"/>
          <w:sz w:val="21"/>
          <w:szCs w:val="21"/>
        </w:rPr>
        <w:fldChar w:fldCharType="end"/>
      </w:r>
      <w:r w:rsidRPr="00852AFC">
        <w:rPr>
          <w:rFonts w:ascii="Times New Roman" w:hAnsi="Times New Roman" w:cs="Times New Roman"/>
          <w:spacing w:val="-4"/>
          <w:sz w:val="21"/>
          <w:szCs w:val="21"/>
        </w:rPr>
        <w:t xml:space="preserve">, </w:t>
      </w:r>
      <w:r w:rsidRPr="00852AFC">
        <w:rPr>
          <w:rFonts w:ascii="Times New Roman" w:hAnsi="Times New Roman" w:cs="Times New Roman"/>
          <w:spacing w:val="-4"/>
          <w:sz w:val="21"/>
          <w:szCs w:val="21"/>
          <w:lang w:val="en-US"/>
        </w:rPr>
        <w:t>c</w:t>
      </w:r>
      <w:r w:rsidRPr="00852AFC">
        <w:rPr>
          <w:rFonts w:ascii="Times New Roman" w:hAnsi="Times New Roman" w:cs="Times New Roman"/>
          <w:spacing w:val="-4"/>
          <w:sz w:val="21"/>
          <w:szCs w:val="21"/>
        </w:rPr>
        <w:t xml:space="preserve">. 8]. </w:t>
      </w:r>
    </w:p>
    <w:p w:rsidR="00B233DE" w:rsidRPr="00852AFC" w:rsidRDefault="00B233DE" w:rsidP="00B233DE">
      <w:pPr>
        <w:tabs>
          <w:tab w:val="left" w:pos="853"/>
        </w:tabs>
        <w:ind w:firstLine="709"/>
        <w:jc w:val="both"/>
        <w:rPr>
          <w:rFonts w:ascii="Times New Roman" w:hAnsi="Times New Roman" w:cs="Times New Roman"/>
          <w:spacing w:val="-4"/>
          <w:sz w:val="21"/>
          <w:szCs w:val="21"/>
        </w:rPr>
      </w:pPr>
      <w:r w:rsidRPr="00852AFC">
        <w:rPr>
          <w:rFonts w:ascii="Times New Roman" w:hAnsi="Times New Roman" w:cs="Times New Roman"/>
          <w:spacing w:val="-4"/>
          <w:sz w:val="21"/>
          <w:szCs w:val="21"/>
        </w:rPr>
        <w:t>Ми погоджуємось з В. Антонюк, яка підкреслює, що «трудовий потенціал» є інтегральною здатністю населення до трудової діяльності, підприємництва та інновацій. Тобто</w:t>
      </w:r>
      <w:r>
        <w:rPr>
          <w:rFonts w:ascii="Times New Roman" w:hAnsi="Times New Roman" w:cs="Times New Roman"/>
          <w:spacing w:val="-4"/>
          <w:sz w:val="21"/>
          <w:szCs w:val="21"/>
        </w:rPr>
        <w:t>,</w:t>
      </w:r>
      <w:r w:rsidRPr="00852AFC">
        <w:rPr>
          <w:rFonts w:ascii="Times New Roman" w:hAnsi="Times New Roman" w:cs="Times New Roman"/>
          <w:spacing w:val="-4"/>
          <w:sz w:val="21"/>
          <w:szCs w:val="21"/>
        </w:rPr>
        <w:t xml:space="preserve"> носієм трудового потенціалу є населення без вікових обмежень. Під інтегральною здатністю мається на увазі спроможність до продуктивної та творчої праці, покращення професійних умінь, інноваційної активності, тощо [</w:t>
      </w:r>
      <w:r>
        <w:rPr>
          <w:rFonts w:ascii="Times New Roman" w:hAnsi="Times New Roman" w:cs="Times New Roman"/>
          <w:spacing w:val="-4"/>
          <w:sz w:val="21"/>
          <w:szCs w:val="21"/>
        </w:rPr>
        <w:fldChar w:fldCharType="begin"/>
      </w:r>
      <w:r>
        <w:rPr>
          <w:rFonts w:ascii="Times New Roman" w:hAnsi="Times New Roman" w:cs="Times New Roman"/>
          <w:spacing w:val="-4"/>
          <w:sz w:val="21"/>
          <w:szCs w:val="21"/>
        </w:rPr>
        <w:instrText xml:space="preserve"> REF _Ref430594812 \r \h </w:instrText>
      </w:r>
      <w:r>
        <w:rPr>
          <w:rFonts w:ascii="Times New Roman" w:hAnsi="Times New Roman" w:cs="Times New Roman"/>
          <w:spacing w:val="-4"/>
          <w:sz w:val="21"/>
          <w:szCs w:val="21"/>
        </w:rPr>
      </w:r>
      <w:r>
        <w:rPr>
          <w:rFonts w:ascii="Times New Roman" w:hAnsi="Times New Roman" w:cs="Times New Roman"/>
          <w:spacing w:val="-4"/>
          <w:sz w:val="21"/>
          <w:szCs w:val="21"/>
        </w:rPr>
        <w:fldChar w:fldCharType="separate"/>
      </w:r>
      <w:r>
        <w:rPr>
          <w:rFonts w:ascii="Times New Roman" w:hAnsi="Times New Roman" w:cs="Times New Roman"/>
          <w:spacing w:val="-4"/>
          <w:sz w:val="21"/>
          <w:szCs w:val="21"/>
        </w:rPr>
        <w:t>51</w:t>
      </w:r>
      <w:r>
        <w:rPr>
          <w:rFonts w:ascii="Times New Roman" w:hAnsi="Times New Roman" w:cs="Times New Roman"/>
          <w:spacing w:val="-4"/>
          <w:sz w:val="21"/>
          <w:szCs w:val="21"/>
        </w:rPr>
        <w:fldChar w:fldCharType="end"/>
      </w:r>
      <w:r w:rsidRPr="00852AFC">
        <w:rPr>
          <w:rFonts w:ascii="Times New Roman" w:hAnsi="Times New Roman" w:cs="Times New Roman"/>
          <w:spacing w:val="-4"/>
          <w:sz w:val="21"/>
          <w:szCs w:val="21"/>
        </w:rPr>
        <w:t xml:space="preserve">, </w:t>
      </w:r>
      <w:r w:rsidRPr="00852AFC">
        <w:rPr>
          <w:rFonts w:ascii="Times New Roman" w:hAnsi="Times New Roman" w:cs="Times New Roman"/>
          <w:spacing w:val="-4"/>
          <w:sz w:val="21"/>
          <w:szCs w:val="21"/>
          <w:lang w:val="en-US"/>
        </w:rPr>
        <w:t>c</w:t>
      </w:r>
      <w:r w:rsidRPr="00852AFC">
        <w:rPr>
          <w:rFonts w:ascii="Times New Roman" w:hAnsi="Times New Roman" w:cs="Times New Roman"/>
          <w:spacing w:val="-4"/>
          <w:sz w:val="21"/>
          <w:szCs w:val="21"/>
        </w:rPr>
        <w:t>. 11]. Але при цьому, на нашу думку, трудовий потенціал доцільно розглядати як одну із складових в структурі людського потенціалу.</w:t>
      </w:r>
    </w:p>
    <w:p w:rsidR="00B233DE" w:rsidRPr="00852AFC" w:rsidRDefault="00B233DE" w:rsidP="00B233DE">
      <w:pPr>
        <w:tabs>
          <w:tab w:val="left" w:pos="900"/>
          <w:tab w:val="left" w:pos="1260"/>
        </w:tabs>
        <w:ind w:firstLine="567"/>
        <w:jc w:val="both"/>
        <w:rPr>
          <w:rFonts w:ascii="Times New Roman" w:hAnsi="Times New Roman" w:cs="Times New Roman"/>
          <w:spacing w:val="-4"/>
          <w:sz w:val="21"/>
          <w:szCs w:val="21"/>
        </w:rPr>
      </w:pPr>
      <w:r w:rsidRPr="00852AFC">
        <w:rPr>
          <w:rFonts w:ascii="Times New Roman" w:hAnsi="Times New Roman" w:cs="Times New Roman"/>
          <w:spacing w:val="-4"/>
          <w:sz w:val="21"/>
          <w:szCs w:val="21"/>
        </w:rPr>
        <w:t>Дослідження С. Трубич та В. Близнюк підтверджують необхідність включення поняття трудовий потенціал до структури людського потенціалу [</w:t>
      </w:r>
      <w:r>
        <w:rPr>
          <w:rFonts w:ascii="Times New Roman" w:hAnsi="Times New Roman" w:cs="Times New Roman"/>
          <w:spacing w:val="-4"/>
          <w:sz w:val="21"/>
          <w:szCs w:val="21"/>
        </w:rPr>
        <w:fldChar w:fldCharType="begin"/>
      </w:r>
      <w:r>
        <w:rPr>
          <w:rFonts w:ascii="Times New Roman" w:hAnsi="Times New Roman" w:cs="Times New Roman"/>
          <w:spacing w:val="-4"/>
          <w:sz w:val="21"/>
          <w:szCs w:val="21"/>
        </w:rPr>
        <w:instrText xml:space="preserve"> REF _Ref430594387 \r \h </w:instrText>
      </w:r>
      <w:r>
        <w:rPr>
          <w:rFonts w:ascii="Times New Roman" w:hAnsi="Times New Roman" w:cs="Times New Roman"/>
          <w:spacing w:val="-4"/>
          <w:sz w:val="21"/>
          <w:szCs w:val="21"/>
        </w:rPr>
      </w:r>
      <w:r>
        <w:rPr>
          <w:rFonts w:ascii="Times New Roman" w:hAnsi="Times New Roman" w:cs="Times New Roman"/>
          <w:spacing w:val="-4"/>
          <w:sz w:val="21"/>
          <w:szCs w:val="21"/>
        </w:rPr>
        <w:fldChar w:fldCharType="separate"/>
      </w:r>
      <w:r>
        <w:rPr>
          <w:rFonts w:ascii="Times New Roman" w:hAnsi="Times New Roman" w:cs="Times New Roman"/>
          <w:spacing w:val="-4"/>
          <w:sz w:val="21"/>
          <w:szCs w:val="21"/>
        </w:rPr>
        <w:t>10</w:t>
      </w:r>
      <w:r>
        <w:rPr>
          <w:rFonts w:ascii="Times New Roman" w:hAnsi="Times New Roman" w:cs="Times New Roman"/>
          <w:spacing w:val="-4"/>
          <w:sz w:val="21"/>
          <w:szCs w:val="21"/>
        </w:rPr>
        <w:fldChar w:fldCharType="end"/>
      </w:r>
      <w:r>
        <w:rPr>
          <w:rFonts w:ascii="Times New Roman" w:hAnsi="Times New Roman" w:cs="Times New Roman"/>
          <w:spacing w:val="-4"/>
          <w:sz w:val="21"/>
          <w:szCs w:val="21"/>
        </w:rPr>
        <w:t xml:space="preserve">, </w:t>
      </w:r>
      <w:r>
        <w:rPr>
          <w:rFonts w:ascii="Times New Roman" w:hAnsi="Times New Roman" w:cs="Times New Roman"/>
          <w:spacing w:val="-4"/>
          <w:sz w:val="21"/>
          <w:szCs w:val="21"/>
        </w:rPr>
        <w:fldChar w:fldCharType="begin"/>
      </w:r>
      <w:r>
        <w:rPr>
          <w:rFonts w:ascii="Times New Roman" w:hAnsi="Times New Roman" w:cs="Times New Roman"/>
          <w:spacing w:val="-4"/>
          <w:sz w:val="21"/>
          <w:szCs w:val="21"/>
        </w:rPr>
        <w:instrText xml:space="preserve"> REF _Ref430594534 \r \h </w:instrText>
      </w:r>
      <w:r>
        <w:rPr>
          <w:rFonts w:ascii="Times New Roman" w:hAnsi="Times New Roman" w:cs="Times New Roman"/>
          <w:spacing w:val="-4"/>
          <w:sz w:val="21"/>
          <w:szCs w:val="21"/>
        </w:rPr>
      </w:r>
      <w:r>
        <w:rPr>
          <w:rFonts w:ascii="Times New Roman" w:hAnsi="Times New Roman" w:cs="Times New Roman"/>
          <w:spacing w:val="-4"/>
          <w:sz w:val="21"/>
          <w:szCs w:val="21"/>
        </w:rPr>
        <w:fldChar w:fldCharType="separate"/>
      </w:r>
      <w:r>
        <w:rPr>
          <w:rFonts w:ascii="Times New Roman" w:hAnsi="Times New Roman" w:cs="Times New Roman"/>
          <w:spacing w:val="-4"/>
          <w:sz w:val="21"/>
          <w:szCs w:val="21"/>
        </w:rPr>
        <w:t>64</w:t>
      </w:r>
      <w:r>
        <w:rPr>
          <w:rFonts w:ascii="Times New Roman" w:hAnsi="Times New Roman" w:cs="Times New Roman"/>
          <w:spacing w:val="-4"/>
          <w:sz w:val="21"/>
          <w:szCs w:val="21"/>
        </w:rPr>
        <w:fldChar w:fldCharType="end"/>
      </w:r>
      <w:r w:rsidRPr="00852AFC">
        <w:rPr>
          <w:rFonts w:ascii="Times New Roman" w:hAnsi="Times New Roman" w:cs="Times New Roman"/>
          <w:spacing w:val="-4"/>
          <w:sz w:val="21"/>
          <w:szCs w:val="21"/>
        </w:rPr>
        <w:t>].</w:t>
      </w:r>
    </w:p>
    <w:p w:rsidR="00B233DE" w:rsidRPr="00852AFC" w:rsidRDefault="00B233DE" w:rsidP="00B233DE">
      <w:pPr>
        <w:shd w:val="clear" w:color="auto" w:fill="FFFFFF"/>
        <w:autoSpaceDE w:val="0"/>
        <w:autoSpaceDN w:val="0"/>
        <w:adjustRightInd w:val="0"/>
        <w:ind w:firstLine="709"/>
        <w:jc w:val="both"/>
        <w:rPr>
          <w:rFonts w:ascii="Times New Roman" w:hAnsi="Times New Roman" w:cs="Times New Roman"/>
          <w:spacing w:val="-4"/>
          <w:sz w:val="21"/>
          <w:szCs w:val="21"/>
        </w:rPr>
      </w:pPr>
      <w:r>
        <w:rPr>
          <w:rFonts w:ascii="Times New Roman" w:hAnsi="Times New Roman" w:cs="Times New Roman"/>
          <w:spacing w:val="-4"/>
          <w:sz w:val="21"/>
          <w:szCs w:val="21"/>
        </w:rPr>
        <w:t>Потенціал здоров’</w:t>
      </w:r>
      <w:r w:rsidRPr="00852AFC">
        <w:rPr>
          <w:rFonts w:ascii="Times New Roman" w:hAnsi="Times New Roman" w:cs="Times New Roman"/>
          <w:spacing w:val="-4"/>
          <w:sz w:val="21"/>
          <w:szCs w:val="21"/>
        </w:rPr>
        <w:t xml:space="preserve">я </w:t>
      </w:r>
      <w:r>
        <w:rPr>
          <w:rFonts w:ascii="Times New Roman" w:hAnsi="Times New Roman" w:cs="Times New Roman"/>
          <w:spacing w:val="-4"/>
          <w:sz w:val="21"/>
          <w:szCs w:val="21"/>
        </w:rPr>
        <w:t>–</w:t>
      </w:r>
      <w:r w:rsidRPr="00852AFC">
        <w:rPr>
          <w:rFonts w:ascii="Times New Roman" w:hAnsi="Times New Roman" w:cs="Times New Roman"/>
          <w:spacing w:val="-4"/>
          <w:sz w:val="21"/>
          <w:szCs w:val="21"/>
        </w:rPr>
        <w:t xml:space="preserve"> генетично закладена природою та здобута протягом життя фізична сила, працездатність, імунітет до хвороб, тривалість періоду активної трудової діяльності.</w:t>
      </w:r>
    </w:p>
    <w:p w:rsidR="00B233DE" w:rsidRPr="00852AFC" w:rsidRDefault="00B233DE" w:rsidP="00B233DE">
      <w:pPr>
        <w:shd w:val="clear" w:color="auto" w:fill="FFFFFF"/>
        <w:autoSpaceDE w:val="0"/>
        <w:autoSpaceDN w:val="0"/>
        <w:adjustRightInd w:val="0"/>
        <w:ind w:firstLine="709"/>
        <w:jc w:val="both"/>
        <w:rPr>
          <w:rFonts w:ascii="Times New Roman" w:hAnsi="Times New Roman" w:cs="Times New Roman"/>
          <w:sz w:val="21"/>
          <w:szCs w:val="21"/>
        </w:rPr>
      </w:pPr>
      <w:r w:rsidRPr="00852AFC">
        <w:rPr>
          <w:rFonts w:ascii="Times New Roman" w:hAnsi="Times New Roman" w:cs="Times New Roman"/>
          <w:sz w:val="21"/>
          <w:szCs w:val="21"/>
        </w:rPr>
        <w:t>Життєвий потенціал – це кількість людино-років, які проживає певна кількість населення при даному рівні середньої тривалості життя і соціально-економічних можливостях суспільства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_Ref430594534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64</w:t>
      </w:r>
      <w:r>
        <w:rPr>
          <w:rFonts w:ascii="Times New Roman" w:hAnsi="Times New Roman" w:cs="Times New Roman"/>
          <w:sz w:val="21"/>
          <w:szCs w:val="21"/>
        </w:rPr>
        <w:fldChar w:fldCharType="end"/>
      </w:r>
      <w:r w:rsidRPr="00852AFC">
        <w:rPr>
          <w:rFonts w:ascii="Times New Roman" w:hAnsi="Times New Roman" w:cs="Times New Roman"/>
          <w:sz w:val="21"/>
          <w:szCs w:val="21"/>
        </w:rPr>
        <w:t xml:space="preserve">, </w:t>
      </w:r>
      <w:r w:rsidRPr="00852AFC">
        <w:rPr>
          <w:rFonts w:ascii="Times New Roman" w:hAnsi="Times New Roman" w:cs="Times New Roman"/>
          <w:sz w:val="21"/>
          <w:szCs w:val="21"/>
          <w:lang w:val="en-US"/>
        </w:rPr>
        <w:t>c</w:t>
      </w:r>
      <w:r w:rsidRPr="00852AFC">
        <w:rPr>
          <w:rFonts w:ascii="Times New Roman" w:hAnsi="Times New Roman" w:cs="Times New Roman"/>
          <w:sz w:val="21"/>
          <w:szCs w:val="21"/>
        </w:rPr>
        <w:t>. 191].</w:t>
      </w:r>
    </w:p>
    <w:p w:rsidR="00B233DE" w:rsidRPr="00852AFC" w:rsidRDefault="00B233DE" w:rsidP="00B233DE">
      <w:pPr>
        <w:shd w:val="clear" w:color="auto" w:fill="FFFFFF"/>
        <w:autoSpaceDE w:val="0"/>
        <w:autoSpaceDN w:val="0"/>
        <w:adjustRightInd w:val="0"/>
        <w:ind w:firstLine="709"/>
        <w:jc w:val="both"/>
        <w:rPr>
          <w:rFonts w:ascii="Times New Roman" w:hAnsi="Times New Roman" w:cs="Times New Roman"/>
          <w:sz w:val="21"/>
          <w:szCs w:val="21"/>
        </w:rPr>
      </w:pPr>
      <w:r w:rsidRPr="00852AFC">
        <w:rPr>
          <w:rFonts w:ascii="Times New Roman" w:hAnsi="Times New Roman" w:cs="Times New Roman"/>
          <w:sz w:val="21"/>
          <w:szCs w:val="21"/>
        </w:rPr>
        <w:t xml:space="preserve">Освітньо-кваліфікаційний потенціал </w:t>
      </w:r>
      <w:r>
        <w:rPr>
          <w:rFonts w:ascii="Times New Roman" w:hAnsi="Times New Roman" w:cs="Times New Roman"/>
          <w:sz w:val="21"/>
          <w:szCs w:val="21"/>
        </w:rPr>
        <w:t>–</w:t>
      </w:r>
      <w:r w:rsidRPr="00852AFC">
        <w:rPr>
          <w:rFonts w:ascii="Times New Roman" w:hAnsi="Times New Roman" w:cs="Times New Roman"/>
          <w:sz w:val="21"/>
          <w:szCs w:val="21"/>
        </w:rPr>
        <w:t xml:space="preserve"> це сукупність знань, які здобуває людина в результаті виховання, загальної та професійної освіти, підвищення кваліфікації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_Ref430594387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10</w:t>
      </w:r>
      <w:r>
        <w:rPr>
          <w:rFonts w:ascii="Times New Roman" w:hAnsi="Times New Roman" w:cs="Times New Roman"/>
          <w:sz w:val="21"/>
          <w:szCs w:val="21"/>
        </w:rPr>
        <w:fldChar w:fldCharType="end"/>
      </w:r>
      <w:r>
        <w:rPr>
          <w:rFonts w:ascii="Times New Roman" w:hAnsi="Times New Roman" w:cs="Times New Roman"/>
          <w:sz w:val="21"/>
          <w:szCs w:val="21"/>
        </w:rPr>
        <w:t xml:space="preserve">,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_Ref430594534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64</w:t>
      </w:r>
      <w:r>
        <w:rPr>
          <w:rFonts w:ascii="Times New Roman" w:hAnsi="Times New Roman" w:cs="Times New Roman"/>
          <w:sz w:val="21"/>
          <w:szCs w:val="21"/>
        </w:rPr>
        <w:fldChar w:fldCharType="end"/>
      </w:r>
      <w:r w:rsidRPr="00852AFC">
        <w:rPr>
          <w:rFonts w:ascii="Times New Roman" w:hAnsi="Times New Roman" w:cs="Times New Roman"/>
          <w:sz w:val="21"/>
          <w:szCs w:val="21"/>
        </w:rPr>
        <w:t>]. Освітній потенціал безпосередньо визначає виробничі, науково-технічні і, як результат, економічні можливості суспільства, виступає головним механізмом збереження високого рівня професійної працездатності.</w:t>
      </w:r>
    </w:p>
    <w:p w:rsidR="00B233DE" w:rsidRPr="00852AFC" w:rsidRDefault="00B233DE" w:rsidP="00B233DE">
      <w:pPr>
        <w:shd w:val="clear" w:color="auto" w:fill="FFFFFF"/>
        <w:autoSpaceDE w:val="0"/>
        <w:autoSpaceDN w:val="0"/>
        <w:adjustRightInd w:val="0"/>
        <w:ind w:firstLine="709"/>
        <w:jc w:val="both"/>
        <w:rPr>
          <w:rFonts w:ascii="Times New Roman" w:hAnsi="Times New Roman" w:cs="Times New Roman"/>
          <w:sz w:val="21"/>
          <w:szCs w:val="21"/>
        </w:rPr>
      </w:pPr>
      <w:r w:rsidRPr="00852AFC">
        <w:rPr>
          <w:rFonts w:ascii="Times New Roman" w:hAnsi="Times New Roman" w:cs="Times New Roman"/>
          <w:sz w:val="21"/>
          <w:szCs w:val="21"/>
        </w:rPr>
        <w:t xml:space="preserve">Культурний потенціал </w:t>
      </w:r>
      <w:r>
        <w:rPr>
          <w:rFonts w:ascii="Times New Roman" w:hAnsi="Times New Roman" w:cs="Times New Roman"/>
          <w:sz w:val="21"/>
          <w:szCs w:val="21"/>
        </w:rPr>
        <w:t>–</w:t>
      </w:r>
      <w:r w:rsidRPr="00852AFC">
        <w:rPr>
          <w:rFonts w:ascii="Times New Roman" w:hAnsi="Times New Roman" w:cs="Times New Roman"/>
          <w:sz w:val="21"/>
          <w:szCs w:val="21"/>
        </w:rPr>
        <w:t xml:space="preserve"> атрибут індивіда, який набувається внаслідок соціалізації у сім’ї, навчальних закладах, колективі, соціальному довкіллі тощо.</w:t>
      </w:r>
    </w:p>
    <w:p w:rsidR="00B233DE" w:rsidRPr="00852AFC" w:rsidRDefault="00B233DE" w:rsidP="00B233DE">
      <w:pPr>
        <w:shd w:val="clear" w:color="auto" w:fill="FFFFFF"/>
        <w:autoSpaceDE w:val="0"/>
        <w:autoSpaceDN w:val="0"/>
        <w:adjustRightInd w:val="0"/>
        <w:ind w:firstLine="709"/>
        <w:jc w:val="both"/>
        <w:rPr>
          <w:rFonts w:ascii="Times New Roman" w:hAnsi="Times New Roman" w:cs="Times New Roman"/>
          <w:sz w:val="21"/>
          <w:szCs w:val="21"/>
        </w:rPr>
      </w:pPr>
      <w:r>
        <w:rPr>
          <w:rFonts w:ascii="Times New Roman" w:hAnsi="Times New Roman" w:cs="Times New Roman"/>
          <w:sz w:val="21"/>
          <w:szCs w:val="21"/>
        </w:rPr>
        <w:t>Соціальний потенціал –</w:t>
      </w:r>
      <w:r w:rsidRPr="00852AFC">
        <w:rPr>
          <w:rFonts w:ascii="Times New Roman" w:hAnsi="Times New Roman" w:cs="Times New Roman"/>
          <w:sz w:val="21"/>
          <w:szCs w:val="21"/>
        </w:rPr>
        <w:t xml:space="preserve"> це ресурс, заснований на міжособистісних стосунках певних су</w:t>
      </w:r>
      <w:r>
        <w:rPr>
          <w:rFonts w:ascii="Times New Roman" w:hAnsi="Times New Roman" w:cs="Times New Roman"/>
          <w:sz w:val="21"/>
          <w:szCs w:val="21"/>
        </w:rPr>
        <w:t>б’</w:t>
      </w:r>
      <w:r w:rsidRPr="00852AFC">
        <w:rPr>
          <w:rFonts w:ascii="Times New Roman" w:hAnsi="Times New Roman" w:cs="Times New Roman"/>
          <w:sz w:val="21"/>
          <w:szCs w:val="21"/>
        </w:rPr>
        <w:t>єктів у певній соціальній структурі, яка організована на основі взаємної довіри і взаємодопомоги з ме</w:t>
      </w:r>
      <w:r>
        <w:rPr>
          <w:rFonts w:ascii="Times New Roman" w:hAnsi="Times New Roman" w:cs="Times New Roman"/>
          <w:sz w:val="21"/>
          <w:szCs w:val="21"/>
        </w:rPr>
        <w:t>тою встановлення і підтримки зв’язків з іншими суб’</w:t>
      </w:r>
      <w:r w:rsidRPr="00852AFC">
        <w:rPr>
          <w:rFonts w:ascii="Times New Roman" w:hAnsi="Times New Roman" w:cs="Times New Roman"/>
          <w:sz w:val="21"/>
          <w:szCs w:val="21"/>
        </w:rPr>
        <w:t>єктами заради взаємної вигоди.</w:t>
      </w:r>
    </w:p>
    <w:p w:rsidR="00B233DE" w:rsidRPr="00852AFC" w:rsidRDefault="00B233DE" w:rsidP="00B233DE">
      <w:pPr>
        <w:ind w:firstLine="709"/>
        <w:jc w:val="both"/>
        <w:rPr>
          <w:rFonts w:ascii="Times New Roman" w:hAnsi="Times New Roman" w:cs="Times New Roman"/>
          <w:sz w:val="21"/>
          <w:szCs w:val="21"/>
        </w:rPr>
      </w:pPr>
      <w:r w:rsidRPr="00852AFC">
        <w:rPr>
          <w:rFonts w:ascii="Times New Roman" w:hAnsi="Times New Roman" w:cs="Times New Roman"/>
          <w:sz w:val="21"/>
          <w:szCs w:val="21"/>
        </w:rPr>
        <w:lastRenderedPageBreak/>
        <w:t xml:space="preserve">Трудовий потенціал – одна із складових людського потенціалу, потенційна робоча сила, яка характеризує здібності людини до вирішення завдань економічної діяльності у визначених соціально-економічних умовах. </w:t>
      </w:r>
    </w:p>
    <w:p w:rsidR="00B233DE" w:rsidRPr="00852AFC" w:rsidRDefault="00B233DE" w:rsidP="00B233DE">
      <w:pPr>
        <w:ind w:firstLine="709"/>
        <w:jc w:val="both"/>
        <w:rPr>
          <w:rFonts w:ascii="Times New Roman" w:hAnsi="Times New Roman" w:cs="Times New Roman"/>
          <w:spacing w:val="-2"/>
          <w:sz w:val="21"/>
          <w:szCs w:val="21"/>
        </w:rPr>
      </w:pPr>
      <w:r w:rsidRPr="00852AFC">
        <w:rPr>
          <w:rFonts w:ascii="Times New Roman" w:hAnsi="Times New Roman" w:cs="Times New Roman"/>
          <w:spacing w:val="-2"/>
          <w:sz w:val="21"/>
          <w:szCs w:val="21"/>
        </w:rPr>
        <w:t>Духовно-творчий (інтелектуальний) потенціал – творча активність людини у її управлінських рішеннях, інноваційність мислення, професійна та інтелектуальна інтуїція [</w:t>
      </w:r>
      <w:r>
        <w:rPr>
          <w:rFonts w:ascii="Times New Roman" w:hAnsi="Times New Roman" w:cs="Times New Roman"/>
          <w:spacing w:val="-2"/>
          <w:sz w:val="21"/>
          <w:szCs w:val="21"/>
        </w:rPr>
        <w:fldChar w:fldCharType="begin"/>
      </w:r>
      <w:r>
        <w:rPr>
          <w:rFonts w:ascii="Times New Roman" w:hAnsi="Times New Roman" w:cs="Times New Roman"/>
          <w:spacing w:val="-2"/>
          <w:sz w:val="21"/>
          <w:szCs w:val="21"/>
        </w:rPr>
        <w:instrText xml:space="preserve"> REF _Ref430594534 \r \h </w:instrText>
      </w:r>
      <w:r>
        <w:rPr>
          <w:rFonts w:ascii="Times New Roman" w:hAnsi="Times New Roman" w:cs="Times New Roman"/>
          <w:spacing w:val="-2"/>
          <w:sz w:val="21"/>
          <w:szCs w:val="21"/>
        </w:rPr>
      </w:r>
      <w:r>
        <w:rPr>
          <w:rFonts w:ascii="Times New Roman" w:hAnsi="Times New Roman" w:cs="Times New Roman"/>
          <w:spacing w:val="-2"/>
          <w:sz w:val="21"/>
          <w:szCs w:val="21"/>
        </w:rPr>
        <w:fldChar w:fldCharType="separate"/>
      </w:r>
      <w:r>
        <w:rPr>
          <w:rFonts w:ascii="Times New Roman" w:hAnsi="Times New Roman" w:cs="Times New Roman"/>
          <w:spacing w:val="-2"/>
          <w:sz w:val="21"/>
          <w:szCs w:val="21"/>
        </w:rPr>
        <w:t>64</w:t>
      </w:r>
      <w:r>
        <w:rPr>
          <w:rFonts w:ascii="Times New Roman" w:hAnsi="Times New Roman" w:cs="Times New Roman"/>
          <w:spacing w:val="-2"/>
          <w:sz w:val="21"/>
          <w:szCs w:val="21"/>
        </w:rPr>
        <w:fldChar w:fldCharType="end"/>
      </w:r>
      <w:r w:rsidRPr="00852AFC">
        <w:rPr>
          <w:rFonts w:ascii="Times New Roman" w:hAnsi="Times New Roman" w:cs="Times New Roman"/>
          <w:spacing w:val="-2"/>
          <w:sz w:val="21"/>
          <w:szCs w:val="21"/>
        </w:rPr>
        <w:t xml:space="preserve">, </w:t>
      </w:r>
      <w:r>
        <w:rPr>
          <w:rFonts w:ascii="Times New Roman" w:hAnsi="Times New Roman" w:cs="Times New Roman"/>
          <w:spacing w:val="-2"/>
          <w:sz w:val="21"/>
          <w:szCs w:val="21"/>
        </w:rPr>
        <w:fldChar w:fldCharType="begin"/>
      </w:r>
      <w:r>
        <w:rPr>
          <w:rFonts w:ascii="Times New Roman" w:hAnsi="Times New Roman" w:cs="Times New Roman"/>
          <w:spacing w:val="-2"/>
          <w:sz w:val="21"/>
          <w:szCs w:val="21"/>
        </w:rPr>
        <w:instrText xml:space="preserve"> REF _Ref430594387 \r \h </w:instrText>
      </w:r>
      <w:r>
        <w:rPr>
          <w:rFonts w:ascii="Times New Roman" w:hAnsi="Times New Roman" w:cs="Times New Roman"/>
          <w:spacing w:val="-2"/>
          <w:sz w:val="21"/>
          <w:szCs w:val="21"/>
        </w:rPr>
      </w:r>
      <w:r>
        <w:rPr>
          <w:rFonts w:ascii="Times New Roman" w:hAnsi="Times New Roman" w:cs="Times New Roman"/>
          <w:spacing w:val="-2"/>
          <w:sz w:val="21"/>
          <w:szCs w:val="21"/>
        </w:rPr>
        <w:fldChar w:fldCharType="separate"/>
      </w:r>
      <w:r>
        <w:rPr>
          <w:rFonts w:ascii="Times New Roman" w:hAnsi="Times New Roman" w:cs="Times New Roman"/>
          <w:spacing w:val="-2"/>
          <w:sz w:val="21"/>
          <w:szCs w:val="21"/>
        </w:rPr>
        <w:t>10</w:t>
      </w:r>
      <w:r>
        <w:rPr>
          <w:rFonts w:ascii="Times New Roman" w:hAnsi="Times New Roman" w:cs="Times New Roman"/>
          <w:spacing w:val="-2"/>
          <w:sz w:val="21"/>
          <w:szCs w:val="21"/>
        </w:rPr>
        <w:fldChar w:fldCharType="end"/>
      </w:r>
      <w:r w:rsidRPr="00852AFC">
        <w:rPr>
          <w:rFonts w:ascii="Times New Roman" w:hAnsi="Times New Roman" w:cs="Times New Roman"/>
          <w:spacing w:val="-2"/>
          <w:sz w:val="21"/>
          <w:szCs w:val="21"/>
        </w:rPr>
        <w:t>]. Поняття духовно-інтелектуаль</w:t>
      </w:r>
      <w:r>
        <w:rPr>
          <w:rFonts w:ascii="Times New Roman" w:hAnsi="Times New Roman" w:cs="Times New Roman"/>
          <w:spacing w:val="-2"/>
          <w:sz w:val="21"/>
          <w:szCs w:val="21"/>
        </w:rPr>
        <w:t xml:space="preserve">ного потенціалу запроваджене С. </w:t>
      </w:r>
      <w:r w:rsidRPr="00852AFC">
        <w:rPr>
          <w:rFonts w:ascii="Times New Roman" w:hAnsi="Times New Roman" w:cs="Times New Roman"/>
          <w:spacing w:val="-2"/>
          <w:sz w:val="21"/>
          <w:szCs w:val="21"/>
        </w:rPr>
        <w:t>Вовканичем, який представляє його як «здатність (спроможність) акумулювати нагромаджену традиційну інформацію, творити на її основі нові знання та досвід і приймати оптимальні рішення щодо якісно нових засад (догм) співжиття для людства…» [</w:t>
      </w:r>
      <w:r>
        <w:rPr>
          <w:rFonts w:ascii="Times New Roman" w:hAnsi="Times New Roman" w:cs="Times New Roman"/>
          <w:spacing w:val="-2"/>
          <w:sz w:val="21"/>
          <w:szCs w:val="21"/>
        </w:rPr>
        <w:fldChar w:fldCharType="begin"/>
      </w:r>
      <w:r>
        <w:rPr>
          <w:rFonts w:ascii="Times New Roman" w:hAnsi="Times New Roman" w:cs="Times New Roman"/>
          <w:spacing w:val="-2"/>
          <w:sz w:val="21"/>
          <w:szCs w:val="21"/>
        </w:rPr>
        <w:instrText xml:space="preserve"> REF _Ref430594558 \r \h </w:instrText>
      </w:r>
      <w:r>
        <w:rPr>
          <w:rFonts w:ascii="Times New Roman" w:hAnsi="Times New Roman" w:cs="Times New Roman"/>
          <w:spacing w:val="-2"/>
          <w:sz w:val="21"/>
          <w:szCs w:val="21"/>
        </w:rPr>
      </w:r>
      <w:r>
        <w:rPr>
          <w:rFonts w:ascii="Times New Roman" w:hAnsi="Times New Roman" w:cs="Times New Roman"/>
          <w:spacing w:val="-2"/>
          <w:sz w:val="21"/>
          <w:szCs w:val="21"/>
        </w:rPr>
        <w:fldChar w:fldCharType="separate"/>
      </w:r>
      <w:r>
        <w:rPr>
          <w:rFonts w:ascii="Times New Roman" w:hAnsi="Times New Roman" w:cs="Times New Roman"/>
          <w:spacing w:val="-2"/>
          <w:sz w:val="21"/>
          <w:szCs w:val="21"/>
        </w:rPr>
        <w:t>15</w:t>
      </w:r>
      <w:r>
        <w:rPr>
          <w:rFonts w:ascii="Times New Roman" w:hAnsi="Times New Roman" w:cs="Times New Roman"/>
          <w:spacing w:val="-2"/>
          <w:sz w:val="21"/>
          <w:szCs w:val="21"/>
        </w:rPr>
        <w:fldChar w:fldCharType="end"/>
      </w:r>
      <w:r w:rsidRPr="00852AFC">
        <w:rPr>
          <w:rFonts w:ascii="Times New Roman" w:hAnsi="Times New Roman" w:cs="Times New Roman"/>
          <w:spacing w:val="-2"/>
          <w:sz w:val="21"/>
          <w:szCs w:val="21"/>
        </w:rPr>
        <w:t xml:space="preserve">, </w:t>
      </w:r>
      <w:r w:rsidRPr="00852AFC">
        <w:rPr>
          <w:rFonts w:ascii="Times New Roman" w:hAnsi="Times New Roman" w:cs="Times New Roman"/>
          <w:spacing w:val="-2"/>
          <w:sz w:val="21"/>
          <w:szCs w:val="21"/>
          <w:lang w:val="en-US"/>
        </w:rPr>
        <w:t>c</w:t>
      </w:r>
      <w:r w:rsidRPr="00852AFC">
        <w:rPr>
          <w:rFonts w:ascii="Times New Roman" w:hAnsi="Times New Roman" w:cs="Times New Roman"/>
          <w:spacing w:val="-2"/>
          <w:sz w:val="21"/>
          <w:szCs w:val="21"/>
        </w:rPr>
        <w:t>. 12].</w:t>
      </w:r>
    </w:p>
    <w:p w:rsidR="00B233DE" w:rsidRDefault="00B233DE" w:rsidP="00B233DE">
      <w:pPr>
        <w:ind w:firstLine="709"/>
        <w:jc w:val="both"/>
        <w:rPr>
          <w:rFonts w:ascii="Times New Roman" w:hAnsi="Times New Roman"/>
          <w:sz w:val="21"/>
          <w:szCs w:val="21"/>
        </w:rPr>
      </w:pPr>
      <w:r w:rsidRPr="00852AFC">
        <w:rPr>
          <w:rFonts w:ascii="Times New Roman" w:hAnsi="Times New Roman" w:cs="Times New Roman"/>
          <w:spacing w:val="-2"/>
          <w:sz w:val="21"/>
          <w:szCs w:val="21"/>
        </w:rPr>
        <w:t>Вітчизняні науковці Л. Шаульська та В. Близнюк</w:t>
      </w:r>
      <w:r>
        <w:rPr>
          <w:rFonts w:ascii="Times New Roman" w:hAnsi="Times New Roman" w:cs="Times New Roman"/>
          <w:spacing w:val="-2"/>
          <w:sz w:val="21"/>
          <w:szCs w:val="21"/>
        </w:rPr>
        <w:t xml:space="preserve"> (табл. 1.6)</w:t>
      </w:r>
      <w:r w:rsidRPr="00852AFC">
        <w:rPr>
          <w:rFonts w:ascii="Times New Roman" w:hAnsi="Times New Roman" w:cs="Times New Roman"/>
          <w:spacing w:val="-2"/>
          <w:sz w:val="21"/>
          <w:szCs w:val="21"/>
        </w:rPr>
        <w:t xml:space="preserve"> також наголошують на тому, що найширшим за змістом є поняття «людський потенціал», що визначається як сукупна здатність суспільства до освоєння світу, накопичення знань, створення на цій основі інтелектуальних продуктів, економічної і соціальної діяльності, розвитку. </w:t>
      </w:r>
    </w:p>
    <w:p w:rsidR="00B233DE" w:rsidRDefault="00B233DE" w:rsidP="00B233DE">
      <w:pPr>
        <w:pStyle w:val="23"/>
        <w:spacing w:after="0" w:line="240" w:lineRule="auto"/>
        <w:ind w:left="0" w:firstLine="720"/>
        <w:jc w:val="right"/>
        <w:rPr>
          <w:rFonts w:ascii="Times New Roman" w:hAnsi="Times New Roman"/>
          <w:sz w:val="21"/>
          <w:szCs w:val="21"/>
        </w:rPr>
      </w:pPr>
    </w:p>
    <w:p w:rsidR="00B233DE" w:rsidRPr="00852AFC" w:rsidRDefault="00B233DE" w:rsidP="00B233DE">
      <w:pPr>
        <w:pStyle w:val="23"/>
        <w:spacing w:after="0" w:line="240" w:lineRule="auto"/>
        <w:ind w:left="0" w:firstLine="720"/>
        <w:jc w:val="right"/>
        <w:rPr>
          <w:rFonts w:ascii="Times New Roman" w:hAnsi="Times New Roman"/>
          <w:sz w:val="21"/>
          <w:szCs w:val="21"/>
        </w:rPr>
      </w:pPr>
      <w:r w:rsidRPr="00852AFC">
        <w:rPr>
          <w:rFonts w:ascii="Times New Roman" w:hAnsi="Times New Roman"/>
          <w:sz w:val="21"/>
          <w:szCs w:val="21"/>
        </w:rPr>
        <w:t>Таблиця 1.6</w:t>
      </w:r>
    </w:p>
    <w:p w:rsidR="00B233DE" w:rsidRPr="00852AFC" w:rsidRDefault="00B233DE" w:rsidP="00B233DE">
      <w:pPr>
        <w:pStyle w:val="23"/>
        <w:spacing w:after="0" w:line="240" w:lineRule="auto"/>
        <w:ind w:left="0" w:firstLine="720"/>
        <w:jc w:val="center"/>
        <w:rPr>
          <w:rFonts w:ascii="Times New Roman" w:hAnsi="Times New Roman"/>
          <w:sz w:val="21"/>
          <w:szCs w:val="21"/>
          <w:lang w:val="ru-RU"/>
        </w:rPr>
      </w:pPr>
      <w:r w:rsidRPr="00164107">
        <w:rPr>
          <w:rFonts w:ascii="Times New Roman" w:hAnsi="Times New Roman"/>
          <w:b/>
          <w:sz w:val="21"/>
          <w:szCs w:val="21"/>
        </w:rPr>
        <w:t>Визначення понять «населення», «робоча сила», «трудові ресурси», «трудовий потенціал» і «людський потенціал» у працях українських науковців</w:t>
      </w:r>
      <w:r>
        <w:rPr>
          <w:rFonts w:ascii="Times New Roman" w:hAnsi="Times New Roman"/>
          <w:sz w:val="21"/>
          <w:szCs w:val="21"/>
        </w:rPr>
        <w:t>*</w:t>
      </w:r>
    </w:p>
    <w:tbl>
      <w:tblPr>
        <w:tblW w:w="63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9"/>
        <w:gridCol w:w="993"/>
        <w:gridCol w:w="708"/>
        <w:gridCol w:w="884"/>
        <w:gridCol w:w="992"/>
        <w:gridCol w:w="919"/>
      </w:tblGrid>
      <w:tr w:rsidR="00B233DE" w:rsidRPr="00164107" w:rsidTr="0023489B">
        <w:trPr>
          <w:cantSplit/>
          <w:trHeight w:val="608"/>
        </w:trPr>
        <w:tc>
          <w:tcPr>
            <w:tcW w:w="1809" w:type="dxa"/>
            <w:shd w:val="clear" w:color="auto" w:fill="auto"/>
            <w:vAlign w:val="center"/>
          </w:tcPr>
          <w:p w:rsidR="00B233DE" w:rsidRPr="00164107" w:rsidRDefault="00B233DE" w:rsidP="0023489B">
            <w:pPr>
              <w:pStyle w:val="23"/>
              <w:spacing w:after="0" w:line="240" w:lineRule="auto"/>
              <w:ind w:left="0" w:right="-117"/>
              <w:jc w:val="center"/>
              <w:rPr>
                <w:rFonts w:ascii="Times New Roman" w:hAnsi="Times New Roman"/>
                <w:sz w:val="16"/>
                <w:szCs w:val="16"/>
              </w:rPr>
            </w:pPr>
            <w:r w:rsidRPr="00164107">
              <w:rPr>
                <w:rFonts w:ascii="Times New Roman" w:hAnsi="Times New Roman"/>
                <w:sz w:val="16"/>
                <w:szCs w:val="16"/>
              </w:rPr>
              <w:t>Автор</w:t>
            </w:r>
          </w:p>
        </w:tc>
        <w:tc>
          <w:tcPr>
            <w:tcW w:w="993"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Населення</w:t>
            </w:r>
          </w:p>
        </w:tc>
        <w:tc>
          <w:tcPr>
            <w:tcW w:w="708"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Робоча сила</w:t>
            </w:r>
          </w:p>
        </w:tc>
        <w:tc>
          <w:tcPr>
            <w:tcW w:w="884"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Трудові ресурси</w:t>
            </w:r>
          </w:p>
        </w:tc>
        <w:tc>
          <w:tcPr>
            <w:tcW w:w="992"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Трудовий потенціал</w:t>
            </w:r>
          </w:p>
        </w:tc>
        <w:tc>
          <w:tcPr>
            <w:tcW w:w="919"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Людський потенціал</w:t>
            </w:r>
          </w:p>
        </w:tc>
      </w:tr>
      <w:tr w:rsidR="00B233DE" w:rsidRPr="00164107" w:rsidTr="0023489B">
        <w:tc>
          <w:tcPr>
            <w:tcW w:w="1809" w:type="dxa"/>
            <w:shd w:val="clear" w:color="auto" w:fill="auto"/>
          </w:tcPr>
          <w:p w:rsidR="00B233DE" w:rsidRPr="00B33658" w:rsidRDefault="00B233DE" w:rsidP="0023489B">
            <w:pPr>
              <w:pStyle w:val="23"/>
              <w:spacing w:after="0" w:line="240" w:lineRule="auto"/>
              <w:ind w:left="0" w:right="-117"/>
              <w:jc w:val="both"/>
              <w:rPr>
                <w:rFonts w:ascii="Times New Roman" w:hAnsi="Times New Roman"/>
                <w:sz w:val="16"/>
                <w:szCs w:val="16"/>
                <w:lang w:val="ru-RU"/>
              </w:rPr>
            </w:pPr>
            <w:r w:rsidRPr="00164107">
              <w:rPr>
                <w:rFonts w:ascii="Times New Roman" w:hAnsi="Times New Roman"/>
                <w:sz w:val="16"/>
                <w:szCs w:val="16"/>
              </w:rPr>
              <w:t>Антонюк В.</w:t>
            </w:r>
            <w:r w:rsidRPr="00164107">
              <w:rPr>
                <w:rFonts w:ascii="Times New Roman" w:hAnsi="Times New Roman"/>
                <w:sz w:val="16"/>
                <w:szCs w:val="16"/>
                <w:lang w:val="ru-RU"/>
              </w:rPr>
              <w:t xml:space="preserve"> [</w:t>
            </w:r>
            <w:r>
              <w:rPr>
                <w:rFonts w:ascii="Times New Roman" w:hAnsi="Times New Roman"/>
                <w:sz w:val="16"/>
                <w:szCs w:val="16"/>
              </w:rPr>
              <w:fldChar w:fldCharType="begin"/>
            </w:r>
            <w:r>
              <w:rPr>
                <w:rFonts w:ascii="Times New Roman" w:hAnsi="Times New Roman"/>
                <w:sz w:val="16"/>
                <w:szCs w:val="16"/>
                <w:lang w:val="ru-RU"/>
              </w:rPr>
              <w:instrText xml:space="preserve"> REF _Ref430594812 \r \h </w:instrText>
            </w:r>
            <w:r>
              <w:rPr>
                <w:rFonts w:ascii="Times New Roman" w:hAnsi="Times New Roman"/>
                <w:sz w:val="16"/>
                <w:szCs w:val="16"/>
              </w:rPr>
            </w:r>
            <w:r>
              <w:rPr>
                <w:rFonts w:ascii="Times New Roman" w:hAnsi="Times New Roman"/>
                <w:sz w:val="16"/>
                <w:szCs w:val="16"/>
              </w:rPr>
              <w:fldChar w:fldCharType="separate"/>
            </w:r>
            <w:r>
              <w:rPr>
                <w:rFonts w:ascii="Times New Roman" w:hAnsi="Times New Roman"/>
                <w:sz w:val="16"/>
                <w:szCs w:val="16"/>
                <w:lang w:val="ru-RU"/>
              </w:rPr>
              <w:t>51</w:t>
            </w:r>
            <w:r>
              <w:rPr>
                <w:rFonts w:ascii="Times New Roman" w:hAnsi="Times New Roman"/>
                <w:sz w:val="16"/>
                <w:szCs w:val="16"/>
              </w:rPr>
              <w:fldChar w:fldCharType="end"/>
            </w:r>
            <w:r w:rsidRPr="00B33658">
              <w:rPr>
                <w:rFonts w:ascii="Times New Roman" w:hAnsi="Times New Roman"/>
                <w:sz w:val="16"/>
                <w:szCs w:val="16"/>
                <w:lang w:val="ru-RU"/>
              </w:rPr>
              <w:t>]</w:t>
            </w:r>
          </w:p>
        </w:tc>
        <w:tc>
          <w:tcPr>
            <w:tcW w:w="993"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708"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lang w:val="en-US"/>
              </w:rPr>
            </w:pPr>
            <w:r w:rsidRPr="00164107">
              <w:rPr>
                <w:rFonts w:ascii="Times New Roman" w:hAnsi="Times New Roman"/>
                <w:sz w:val="16"/>
                <w:szCs w:val="16"/>
                <w:lang w:val="en-US"/>
              </w:rPr>
              <w:t>+</w:t>
            </w:r>
          </w:p>
        </w:tc>
        <w:tc>
          <w:tcPr>
            <w:tcW w:w="884"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lang w:val="en-US"/>
              </w:rPr>
            </w:pPr>
            <w:r w:rsidRPr="00164107">
              <w:rPr>
                <w:rFonts w:ascii="Times New Roman" w:hAnsi="Times New Roman"/>
                <w:sz w:val="16"/>
                <w:szCs w:val="16"/>
                <w:lang w:val="en-US"/>
              </w:rPr>
              <w:t>+</w:t>
            </w:r>
          </w:p>
        </w:tc>
        <w:tc>
          <w:tcPr>
            <w:tcW w:w="992"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c>
          <w:tcPr>
            <w:tcW w:w="919"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r>
      <w:tr w:rsidR="00B233DE" w:rsidRPr="00164107" w:rsidTr="0023489B">
        <w:tc>
          <w:tcPr>
            <w:tcW w:w="1809" w:type="dxa"/>
            <w:shd w:val="clear" w:color="auto" w:fill="auto"/>
          </w:tcPr>
          <w:p w:rsidR="00B233DE" w:rsidRPr="00B33658" w:rsidRDefault="00B233DE" w:rsidP="0023489B">
            <w:pPr>
              <w:pStyle w:val="23"/>
              <w:spacing w:after="0" w:line="240" w:lineRule="auto"/>
              <w:ind w:left="0" w:right="-117"/>
              <w:jc w:val="both"/>
              <w:rPr>
                <w:rFonts w:ascii="Times New Roman" w:hAnsi="Times New Roman"/>
                <w:sz w:val="16"/>
                <w:szCs w:val="16"/>
                <w:lang w:val="ru-RU"/>
              </w:rPr>
            </w:pPr>
            <w:r w:rsidRPr="00164107">
              <w:rPr>
                <w:rFonts w:ascii="Times New Roman" w:hAnsi="Times New Roman"/>
                <w:sz w:val="16"/>
                <w:szCs w:val="16"/>
              </w:rPr>
              <w:t>Близнюк В.</w:t>
            </w:r>
            <w:r w:rsidRPr="00B33658">
              <w:rPr>
                <w:rFonts w:ascii="Times New Roman" w:hAnsi="Times New Roman"/>
                <w:sz w:val="16"/>
                <w:szCs w:val="16"/>
                <w:lang w:val="ru-RU"/>
              </w:rPr>
              <w:t xml:space="preserve"> [</w:t>
            </w:r>
            <w:r>
              <w:rPr>
                <w:rFonts w:ascii="Times New Roman" w:hAnsi="Times New Roman"/>
                <w:sz w:val="16"/>
                <w:szCs w:val="16"/>
              </w:rPr>
              <w:fldChar w:fldCharType="begin"/>
            </w:r>
            <w:r>
              <w:rPr>
                <w:rFonts w:ascii="Times New Roman" w:hAnsi="Times New Roman"/>
                <w:sz w:val="16"/>
                <w:szCs w:val="16"/>
                <w:lang w:val="ru-RU"/>
              </w:rPr>
              <w:instrText xml:space="preserve"> REF _Ref430594387 \r \h </w:instrText>
            </w:r>
            <w:r>
              <w:rPr>
                <w:rFonts w:ascii="Times New Roman" w:hAnsi="Times New Roman"/>
                <w:sz w:val="16"/>
                <w:szCs w:val="16"/>
              </w:rPr>
            </w:r>
            <w:r>
              <w:rPr>
                <w:rFonts w:ascii="Times New Roman" w:hAnsi="Times New Roman"/>
                <w:sz w:val="16"/>
                <w:szCs w:val="16"/>
              </w:rPr>
              <w:fldChar w:fldCharType="separate"/>
            </w:r>
            <w:r>
              <w:rPr>
                <w:rFonts w:ascii="Times New Roman" w:hAnsi="Times New Roman"/>
                <w:sz w:val="16"/>
                <w:szCs w:val="16"/>
                <w:lang w:val="ru-RU"/>
              </w:rPr>
              <w:t>10</w:t>
            </w:r>
            <w:r>
              <w:rPr>
                <w:rFonts w:ascii="Times New Roman" w:hAnsi="Times New Roman"/>
                <w:sz w:val="16"/>
                <w:szCs w:val="16"/>
              </w:rPr>
              <w:fldChar w:fldCharType="end"/>
            </w:r>
            <w:r w:rsidRPr="00B33658">
              <w:rPr>
                <w:rFonts w:ascii="Times New Roman" w:hAnsi="Times New Roman"/>
                <w:sz w:val="16"/>
                <w:szCs w:val="16"/>
                <w:lang w:val="ru-RU"/>
              </w:rPr>
              <w:t>]</w:t>
            </w:r>
          </w:p>
        </w:tc>
        <w:tc>
          <w:tcPr>
            <w:tcW w:w="993"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708"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884"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992"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919"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r>
      <w:tr w:rsidR="00B233DE" w:rsidRPr="00164107" w:rsidTr="0023489B">
        <w:tc>
          <w:tcPr>
            <w:tcW w:w="1809" w:type="dxa"/>
            <w:shd w:val="clear" w:color="auto" w:fill="auto"/>
          </w:tcPr>
          <w:p w:rsidR="00B233DE" w:rsidRPr="00B33658" w:rsidRDefault="00B233DE" w:rsidP="0023489B">
            <w:pPr>
              <w:pStyle w:val="23"/>
              <w:spacing w:after="0" w:line="240" w:lineRule="auto"/>
              <w:ind w:left="0" w:right="-117"/>
              <w:jc w:val="both"/>
              <w:rPr>
                <w:rFonts w:ascii="Times New Roman" w:hAnsi="Times New Roman"/>
                <w:sz w:val="16"/>
                <w:szCs w:val="16"/>
                <w:lang w:val="ru-RU"/>
              </w:rPr>
            </w:pPr>
            <w:r w:rsidRPr="00164107">
              <w:rPr>
                <w:rFonts w:ascii="Times New Roman" w:hAnsi="Times New Roman"/>
                <w:sz w:val="16"/>
                <w:szCs w:val="16"/>
              </w:rPr>
              <w:t>Вовканич С.</w:t>
            </w:r>
            <w:r w:rsidRPr="00B33658">
              <w:rPr>
                <w:rFonts w:ascii="Times New Roman" w:hAnsi="Times New Roman"/>
                <w:sz w:val="16"/>
                <w:szCs w:val="16"/>
                <w:lang w:val="ru-RU"/>
              </w:rPr>
              <w:t xml:space="preserve"> [</w:t>
            </w:r>
            <w:r>
              <w:rPr>
                <w:rFonts w:ascii="Times New Roman" w:hAnsi="Times New Roman"/>
                <w:sz w:val="16"/>
                <w:szCs w:val="16"/>
              </w:rPr>
              <w:fldChar w:fldCharType="begin"/>
            </w:r>
            <w:r>
              <w:rPr>
                <w:rFonts w:ascii="Times New Roman" w:hAnsi="Times New Roman"/>
                <w:sz w:val="16"/>
                <w:szCs w:val="16"/>
                <w:lang w:val="ru-RU"/>
              </w:rPr>
              <w:instrText xml:space="preserve"> REF _Ref430594558 \r \h </w:instrText>
            </w:r>
            <w:r>
              <w:rPr>
                <w:rFonts w:ascii="Times New Roman" w:hAnsi="Times New Roman"/>
                <w:sz w:val="16"/>
                <w:szCs w:val="16"/>
              </w:rPr>
            </w:r>
            <w:r>
              <w:rPr>
                <w:rFonts w:ascii="Times New Roman" w:hAnsi="Times New Roman"/>
                <w:sz w:val="16"/>
                <w:szCs w:val="16"/>
              </w:rPr>
              <w:fldChar w:fldCharType="separate"/>
            </w:r>
            <w:r>
              <w:rPr>
                <w:rFonts w:ascii="Times New Roman" w:hAnsi="Times New Roman"/>
                <w:sz w:val="16"/>
                <w:szCs w:val="16"/>
                <w:lang w:val="ru-RU"/>
              </w:rPr>
              <w:t>15</w:t>
            </w:r>
            <w:r>
              <w:rPr>
                <w:rFonts w:ascii="Times New Roman" w:hAnsi="Times New Roman"/>
                <w:sz w:val="16"/>
                <w:szCs w:val="16"/>
              </w:rPr>
              <w:fldChar w:fldCharType="end"/>
            </w:r>
            <w:r w:rsidRPr="00B33658">
              <w:rPr>
                <w:rFonts w:ascii="Times New Roman" w:hAnsi="Times New Roman"/>
                <w:sz w:val="16"/>
                <w:szCs w:val="16"/>
                <w:lang w:val="ru-RU"/>
              </w:rPr>
              <w:t>]</w:t>
            </w:r>
          </w:p>
        </w:tc>
        <w:tc>
          <w:tcPr>
            <w:tcW w:w="993"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708"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884"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992"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919"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r>
      <w:tr w:rsidR="00B233DE" w:rsidRPr="00164107" w:rsidTr="0023489B">
        <w:tc>
          <w:tcPr>
            <w:tcW w:w="1809" w:type="dxa"/>
            <w:shd w:val="clear" w:color="auto" w:fill="auto"/>
          </w:tcPr>
          <w:p w:rsidR="00B233DE" w:rsidRPr="00B33658" w:rsidRDefault="00B233DE" w:rsidP="0023489B">
            <w:pPr>
              <w:pStyle w:val="23"/>
              <w:spacing w:after="0" w:line="240" w:lineRule="auto"/>
              <w:ind w:left="0" w:right="-117"/>
              <w:jc w:val="both"/>
              <w:rPr>
                <w:rFonts w:ascii="Times New Roman" w:hAnsi="Times New Roman"/>
                <w:sz w:val="16"/>
                <w:szCs w:val="16"/>
                <w:lang w:val="ru-RU"/>
              </w:rPr>
            </w:pPr>
            <w:r w:rsidRPr="00164107">
              <w:rPr>
                <w:rFonts w:ascii="Times New Roman" w:hAnsi="Times New Roman"/>
                <w:sz w:val="16"/>
                <w:szCs w:val="16"/>
              </w:rPr>
              <w:t>Грішнова О.</w:t>
            </w:r>
            <w:r w:rsidRPr="00B33658">
              <w:rPr>
                <w:rFonts w:ascii="Times New Roman" w:hAnsi="Times New Roman"/>
                <w:sz w:val="16"/>
                <w:szCs w:val="16"/>
                <w:lang w:val="ru-RU"/>
              </w:rPr>
              <w:t xml:space="preserve"> [</w:t>
            </w:r>
            <w:r>
              <w:rPr>
                <w:rFonts w:ascii="Times New Roman" w:hAnsi="Times New Roman"/>
                <w:sz w:val="16"/>
                <w:szCs w:val="16"/>
              </w:rPr>
              <w:fldChar w:fldCharType="begin"/>
            </w:r>
            <w:r>
              <w:rPr>
                <w:rFonts w:ascii="Times New Roman" w:hAnsi="Times New Roman"/>
                <w:sz w:val="16"/>
                <w:szCs w:val="16"/>
                <w:lang w:val="ru-RU"/>
              </w:rPr>
              <w:instrText xml:space="preserve"> REF _Ref430594309 \r \h </w:instrText>
            </w:r>
            <w:r>
              <w:rPr>
                <w:rFonts w:ascii="Times New Roman" w:hAnsi="Times New Roman"/>
                <w:sz w:val="16"/>
                <w:szCs w:val="16"/>
              </w:rPr>
            </w:r>
            <w:r>
              <w:rPr>
                <w:rFonts w:ascii="Times New Roman" w:hAnsi="Times New Roman"/>
                <w:sz w:val="16"/>
                <w:szCs w:val="16"/>
              </w:rPr>
              <w:fldChar w:fldCharType="separate"/>
            </w:r>
            <w:r>
              <w:rPr>
                <w:rFonts w:ascii="Times New Roman" w:hAnsi="Times New Roman"/>
                <w:sz w:val="16"/>
                <w:szCs w:val="16"/>
                <w:lang w:val="ru-RU"/>
              </w:rPr>
              <w:t>19</w:t>
            </w:r>
            <w:r>
              <w:rPr>
                <w:rFonts w:ascii="Times New Roman" w:hAnsi="Times New Roman"/>
                <w:sz w:val="16"/>
                <w:szCs w:val="16"/>
              </w:rPr>
              <w:fldChar w:fldCharType="end"/>
            </w:r>
            <w:r w:rsidRPr="00B33658">
              <w:rPr>
                <w:rFonts w:ascii="Times New Roman" w:hAnsi="Times New Roman"/>
                <w:sz w:val="16"/>
                <w:szCs w:val="16"/>
                <w:lang w:val="ru-RU"/>
              </w:rPr>
              <w:t>]</w:t>
            </w:r>
          </w:p>
        </w:tc>
        <w:tc>
          <w:tcPr>
            <w:tcW w:w="993"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c>
          <w:tcPr>
            <w:tcW w:w="708"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c>
          <w:tcPr>
            <w:tcW w:w="884"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c>
          <w:tcPr>
            <w:tcW w:w="992"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c>
          <w:tcPr>
            <w:tcW w:w="919"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r>
      <w:tr w:rsidR="00B233DE" w:rsidRPr="00164107" w:rsidTr="0023489B">
        <w:tc>
          <w:tcPr>
            <w:tcW w:w="1809" w:type="dxa"/>
            <w:shd w:val="clear" w:color="auto" w:fill="auto"/>
          </w:tcPr>
          <w:p w:rsidR="00B233DE" w:rsidRPr="00B33658" w:rsidRDefault="00B233DE" w:rsidP="0023489B">
            <w:pPr>
              <w:pStyle w:val="23"/>
              <w:spacing w:after="0" w:line="240" w:lineRule="auto"/>
              <w:ind w:left="0" w:right="-117"/>
              <w:jc w:val="both"/>
              <w:rPr>
                <w:rFonts w:ascii="Times New Roman" w:hAnsi="Times New Roman"/>
                <w:sz w:val="16"/>
                <w:szCs w:val="16"/>
                <w:lang w:val="ru-RU"/>
              </w:rPr>
            </w:pPr>
            <w:r w:rsidRPr="00164107">
              <w:rPr>
                <w:rFonts w:ascii="Times New Roman" w:hAnsi="Times New Roman"/>
                <w:sz w:val="16"/>
                <w:szCs w:val="16"/>
              </w:rPr>
              <w:t>Долішній М.</w:t>
            </w:r>
            <w:r w:rsidRPr="00B33658">
              <w:rPr>
                <w:rFonts w:ascii="Times New Roman" w:hAnsi="Times New Roman"/>
                <w:sz w:val="16"/>
                <w:szCs w:val="16"/>
                <w:lang w:val="ru-RU"/>
              </w:rPr>
              <w:t xml:space="preserve"> [</w:t>
            </w:r>
            <w:r>
              <w:rPr>
                <w:rFonts w:ascii="Times New Roman" w:hAnsi="Times New Roman"/>
                <w:sz w:val="16"/>
                <w:szCs w:val="16"/>
                <w:lang w:val="ru-RU"/>
              </w:rPr>
              <w:fldChar w:fldCharType="begin"/>
            </w:r>
            <w:r>
              <w:rPr>
                <w:rFonts w:ascii="Times New Roman" w:hAnsi="Times New Roman"/>
                <w:sz w:val="16"/>
                <w:szCs w:val="16"/>
                <w:lang w:val="ru-RU"/>
              </w:rPr>
              <w:instrText xml:space="preserve"> REF _Ref430594805 \r \h </w:instrText>
            </w:r>
            <w:r>
              <w:rPr>
                <w:rFonts w:ascii="Times New Roman" w:hAnsi="Times New Roman"/>
                <w:sz w:val="16"/>
                <w:szCs w:val="16"/>
                <w:lang w:val="ru-RU"/>
              </w:rPr>
            </w:r>
            <w:r>
              <w:rPr>
                <w:rFonts w:ascii="Times New Roman" w:hAnsi="Times New Roman"/>
                <w:sz w:val="16"/>
                <w:szCs w:val="16"/>
                <w:lang w:val="ru-RU"/>
              </w:rPr>
              <w:fldChar w:fldCharType="separate"/>
            </w:r>
            <w:r>
              <w:rPr>
                <w:rFonts w:ascii="Times New Roman" w:hAnsi="Times New Roman"/>
                <w:sz w:val="16"/>
                <w:szCs w:val="16"/>
                <w:lang w:val="ru-RU"/>
              </w:rPr>
              <w:t>58</w:t>
            </w:r>
            <w:r>
              <w:rPr>
                <w:rFonts w:ascii="Times New Roman" w:hAnsi="Times New Roman"/>
                <w:sz w:val="16"/>
                <w:szCs w:val="16"/>
                <w:lang w:val="ru-RU"/>
              </w:rPr>
              <w:fldChar w:fldCharType="end"/>
            </w:r>
            <w:r w:rsidRPr="00B33658">
              <w:rPr>
                <w:rFonts w:ascii="Times New Roman" w:hAnsi="Times New Roman"/>
                <w:sz w:val="16"/>
                <w:szCs w:val="16"/>
                <w:lang w:val="ru-RU"/>
              </w:rPr>
              <w:t>]</w:t>
            </w:r>
          </w:p>
        </w:tc>
        <w:tc>
          <w:tcPr>
            <w:tcW w:w="993"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708"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884"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992"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c>
          <w:tcPr>
            <w:tcW w:w="919"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r>
      <w:tr w:rsidR="00B233DE" w:rsidRPr="00164107" w:rsidTr="0023489B">
        <w:tc>
          <w:tcPr>
            <w:tcW w:w="1809" w:type="dxa"/>
            <w:shd w:val="clear" w:color="auto" w:fill="auto"/>
          </w:tcPr>
          <w:p w:rsidR="00B233DE" w:rsidRPr="00B33658" w:rsidRDefault="00B233DE" w:rsidP="0023489B">
            <w:pPr>
              <w:pStyle w:val="23"/>
              <w:spacing w:after="0" w:line="240" w:lineRule="auto"/>
              <w:ind w:left="0" w:right="-117"/>
              <w:jc w:val="both"/>
              <w:rPr>
                <w:rFonts w:ascii="Times New Roman" w:hAnsi="Times New Roman"/>
                <w:sz w:val="16"/>
                <w:szCs w:val="16"/>
              </w:rPr>
            </w:pPr>
            <w:r w:rsidRPr="00164107">
              <w:rPr>
                <w:rFonts w:ascii="Times New Roman" w:hAnsi="Times New Roman"/>
                <w:sz w:val="16"/>
                <w:szCs w:val="16"/>
              </w:rPr>
              <w:t>Ільїч Л.</w:t>
            </w:r>
            <w:r w:rsidRPr="00B33658">
              <w:rPr>
                <w:rFonts w:ascii="Times New Roman" w:hAnsi="Times New Roman"/>
                <w:sz w:val="16"/>
                <w:szCs w:val="16"/>
              </w:rPr>
              <w:t xml:space="preserve"> [</w:t>
            </w:r>
            <w:r>
              <w:rPr>
                <w:rFonts w:ascii="Times New Roman" w:hAnsi="Times New Roman"/>
                <w:sz w:val="16"/>
                <w:szCs w:val="16"/>
              </w:rPr>
              <w:fldChar w:fldCharType="begin"/>
            </w:r>
            <w:r>
              <w:rPr>
                <w:rFonts w:ascii="Times New Roman" w:hAnsi="Times New Roman"/>
                <w:sz w:val="16"/>
                <w:szCs w:val="16"/>
              </w:rPr>
              <w:instrText xml:space="preserve"> REF _Ref430594896 \r \h </w:instrText>
            </w:r>
            <w:r>
              <w:rPr>
                <w:rFonts w:ascii="Times New Roman" w:hAnsi="Times New Roman"/>
                <w:sz w:val="16"/>
                <w:szCs w:val="16"/>
              </w:rPr>
            </w:r>
            <w:r>
              <w:rPr>
                <w:rFonts w:ascii="Times New Roman" w:hAnsi="Times New Roman"/>
                <w:sz w:val="16"/>
                <w:szCs w:val="16"/>
              </w:rPr>
              <w:fldChar w:fldCharType="separate"/>
            </w:r>
            <w:r>
              <w:rPr>
                <w:rFonts w:ascii="Times New Roman" w:hAnsi="Times New Roman"/>
                <w:sz w:val="16"/>
                <w:szCs w:val="16"/>
              </w:rPr>
              <w:t>26</w:t>
            </w:r>
            <w:r>
              <w:rPr>
                <w:rFonts w:ascii="Times New Roman" w:hAnsi="Times New Roman"/>
                <w:sz w:val="16"/>
                <w:szCs w:val="16"/>
              </w:rPr>
              <w:fldChar w:fldCharType="end"/>
            </w:r>
            <w:r w:rsidRPr="00B33658">
              <w:rPr>
                <w:rFonts w:ascii="Times New Roman" w:hAnsi="Times New Roman"/>
                <w:sz w:val="16"/>
                <w:szCs w:val="16"/>
              </w:rPr>
              <w:t>]</w:t>
            </w:r>
          </w:p>
        </w:tc>
        <w:tc>
          <w:tcPr>
            <w:tcW w:w="993"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708"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884"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c>
          <w:tcPr>
            <w:tcW w:w="992"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c>
          <w:tcPr>
            <w:tcW w:w="919"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r>
      <w:tr w:rsidR="00B233DE" w:rsidRPr="00164107" w:rsidTr="0023489B">
        <w:tc>
          <w:tcPr>
            <w:tcW w:w="1809" w:type="dxa"/>
            <w:shd w:val="clear" w:color="auto" w:fill="auto"/>
          </w:tcPr>
          <w:p w:rsidR="00B233DE" w:rsidRPr="00B33658" w:rsidRDefault="00B233DE" w:rsidP="0023489B">
            <w:pPr>
              <w:pStyle w:val="23"/>
              <w:spacing w:after="0" w:line="240" w:lineRule="auto"/>
              <w:ind w:left="0" w:right="-117"/>
              <w:jc w:val="both"/>
              <w:rPr>
                <w:rFonts w:ascii="Times New Roman" w:hAnsi="Times New Roman"/>
                <w:sz w:val="16"/>
                <w:szCs w:val="16"/>
              </w:rPr>
            </w:pPr>
            <w:r w:rsidRPr="00164107">
              <w:rPr>
                <w:rFonts w:ascii="Times New Roman" w:hAnsi="Times New Roman"/>
                <w:sz w:val="16"/>
                <w:szCs w:val="16"/>
              </w:rPr>
              <w:t>Новікова О.</w:t>
            </w:r>
            <w:r w:rsidRPr="00B33658">
              <w:rPr>
                <w:rFonts w:ascii="Times New Roman" w:hAnsi="Times New Roman"/>
                <w:sz w:val="16"/>
                <w:szCs w:val="16"/>
              </w:rPr>
              <w:t xml:space="preserve"> [</w:t>
            </w:r>
            <w:r>
              <w:rPr>
                <w:rFonts w:ascii="Times New Roman" w:hAnsi="Times New Roman"/>
                <w:sz w:val="16"/>
                <w:szCs w:val="16"/>
              </w:rPr>
              <w:fldChar w:fldCharType="begin"/>
            </w:r>
            <w:r>
              <w:rPr>
                <w:rFonts w:ascii="Times New Roman" w:hAnsi="Times New Roman"/>
                <w:sz w:val="16"/>
                <w:szCs w:val="16"/>
              </w:rPr>
              <w:instrText xml:space="preserve"> REF _Ref430594275 \r \h </w:instrText>
            </w:r>
            <w:r>
              <w:rPr>
                <w:rFonts w:ascii="Times New Roman" w:hAnsi="Times New Roman"/>
                <w:sz w:val="16"/>
                <w:szCs w:val="16"/>
              </w:rPr>
            </w:r>
            <w:r>
              <w:rPr>
                <w:rFonts w:ascii="Times New Roman" w:hAnsi="Times New Roman"/>
                <w:sz w:val="16"/>
                <w:szCs w:val="16"/>
              </w:rPr>
              <w:fldChar w:fldCharType="separate"/>
            </w:r>
            <w:r>
              <w:rPr>
                <w:rFonts w:ascii="Times New Roman" w:hAnsi="Times New Roman"/>
                <w:sz w:val="16"/>
                <w:szCs w:val="16"/>
              </w:rPr>
              <w:t>34</w:t>
            </w:r>
            <w:r>
              <w:rPr>
                <w:rFonts w:ascii="Times New Roman" w:hAnsi="Times New Roman"/>
                <w:sz w:val="16"/>
                <w:szCs w:val="16"/>
              </w:rPr>
              <w:fldChar w:fldCharType="end"/>
            </w:r>
            <w:r w:rsidRPr="00B33658">
              <w:rPr>
                <w:rFonts w:ascii="Times New Roman" w:hAnsi="Times New Roman"/>
                <w:sz w:val="16"/>
                <w:szCs w:val="16"/>
              </w:rPr>
              <w:t>]</w:t>
            </w:r>
          </w:p>
        </w:tc>
        <w:tc>
          <w:tcPr>
            <w:tcW w:w="993"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708"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884"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992"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919"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r>
      <w:tr w:rsidR="00B233DE" w:rsidRPr="00164107" w:rsidTr="0023489B">
        <w:tc>
          <w:tcPr>
            <w:tcW w:w="1809" w:type="dxa"/>
            <w:shd w:val="clear" w:color="auto" w:fill="auto"/>
          </w:tcPr>
          <w:p w:rsidR="00B233DE" w:rsidRPr="00B33658" w:rsidRDefault="00B233DE" w:rsidP="0023489B">
            <w:pPr>
              <w:pStyle w:val="23"/>
              <w:spacing w:after="0" w:line="240" w:lineRule="auto"/>
              <w:ind w:left="0" w:right="-117"/>
              <w:jc w:val="both"/>
              <w:rPr>
                <w:rFonts w:ascii="Times New Roman" w:hAnsi="Times New Roman"/>
                <w:sz w:val="16"/>
                <w:szCs w:val="16"/>
              </w:rPr>
            </w:pPr>
            <w:r w:rsidRPr="00164107">
              <w:rPr>
                <w:rFonts w:ascii="Times New Roman" w:hAnsi="Times New Roman"/>
                <w:sz w:val="16"/>
                <w:szCs w:val="16"/>
              </w:rPr>
              <w:t>Позняк О.</w:t>
            </w:r>
            <w:r w:rsidRPr="00B33658">
              <w:rPr>
                <w:rFonts w:ascii="Times New Roman" w:hAnsi="Times New Roman"/>
                <w:sz w:val="16"/>
                <w:szCs w:val="16"/>
              </w:rPr>
              <w:t xml:space="preserve"> [</w:t>
            </w:r>
            <w:r>
              <w:rPr>
                <w:rFonts w:ascii="Times New Roman" w:hAnsi="Times New Roman"/>
                <w:sz w:val="16"/>
                <w:szCs w:val="16"/>
              </w:rPr>
              <w:fldChar w:fldCharType="begin"/>
            </w:r>
            <w:r>
              <w:rPr>
                <w:rFonts w:ascii="Times New Roman" w:hAnsi="Times New Roman"/>
                <w:sz w:val="16"/>
                <w:szCs w:val="16"/>
              </w:rPr>
              <w:instrText xml:space="preserve"> REF _Ref430594651 \r \h </w:instrText>
            </w:r>
            <w:r>
              <w:rPr>
                <w:rFonts w:ascii="Times New Roman" w:hAnsi="Times New Roman"/>
                <w:sz w:val="16"/>
                <w:szCs w:val="16"/>
              </w:rPr>
            </w:r>
            <w:r>
              <w:rPr>
                <w:rFonts w:ascii="Times New Roman" w:hAnsi="Times New Roman"/>
                <w:sz w:val="16"/>
                <w:szCs w:val="16"/>
              </w:rPr>
              <w:fldChar w:fldCharType="separate"/>
            </w:r>
            <w:r>
              <w:rPr>
                <w:rFonts w:ascii="Times New Roman" w:hAnsi="Times New Roman"/>
                <w:sz w:val="16"/>
                <w:szCs w:val="16"/>
              </w:rPr>
              <w:t>40</w:t>
            </w:r>
            <w:r>
              <w:rPr>
                <w:rFonts w:ascii="Times New Roman" w:hAnsi="Times New Roman"/>
                <w:sz w:val="16"/>
                <w:szCs w:val="16"/>
              </w:rPr>
              <w:fldChar w:fldCharType="end"/>
            </w:r>
            <w:r w:rsidRPr="00B33658">
              <w:rPr>
                <w:rFonts w:ascii="Times New Roman" w:hAnsi="Times New Roman"/>
                <w:sz w:val="16"/>
                <w:szCs w:val="16"/>
              </w:rPr>
              <w:t>]</w:t>
            </w:r>
          </w:p>
        </w:tc>
        <w:tc>
          <w:tcPr>
            <w:tcW w:w="993"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c>
          <w:tcPr>
            <w:tcW w:w="708"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884"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992"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c>
          <w:tcPr>
            <w:tcW w:w="919"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r>
      <w:tr w:rsidR="00B233DE" w:rsidRPr="00164107" w:rsidTr="0023489B">
        <w:tc>
          <w:tcPr>
            <w:tcW w:w="1809" w:type="dxa"/>
            <w:shd w:val="clear" w:color="auto" w:fill="auto"/>
          </w:tcPr>
          <w:p w:rsidR="00B233DE" w:rsidRPr="00B33658" w:rsidRDefault="00B233DE" w:rsidP="0023489B">
            <w:pPr>
              <w:pStyle w:val="23"/>
              <w:spacing w:after="0" w:line="240" w:lineRule="auto"/>
              <w:ind w:left="0" w:right="-117"/>
              <w:jc w:val="both"/>
              <w:rPr>
                <w:rFonts w:ascii="Times New Roman" w:hAnsi="Times New Roman"/>
                <w:sz w:val="16"/>
                <w:szCs w:val="16"/>
              </w:rPr>
            </w:pPr>
            <w:r w:rsidRPr="00164107">
              <w:rPr>
                <w:rFonts w:ascii="Times New Roman" w:hAnsi="Times New Roman"/>
                <w:sz w:val="16"/>
                <w:szCs w:val="16"/>
              </w:rPr>
              <w:t>Семів Л.</w:t>
            </w:r>
            <w:r w:rsidRPr="00B33658">
              <w:rPr>
                <w:rFonts w:ascii="Times New Roman" w:hAnsi="Times New Roman"/>
                <w:sz w:val="16"/>
                <w:szCs w:val="16"/>
              </w:rPr>
              <w:t xml:space="preserve"> [</w:t>
            </w:r>
            <w:r>
              <w:rPr>
                <w:rFonts w:ascii="Times New Roman" w:hAnsi="Times New Roman"/>
                <w:sz w:val="16"/>
                <w:szCs w:val="16"/>
              </w:rPr>
              <w:fldChar w:fldCharType="begin"/>
            </w:r>
            <w:r>
              <w:rPr>
                <w:rFonts w:ascii="Times New Roman" w:hAnsi="Times New Roman"/>
                <w:sz w:val="16"/>
                <w:szCs w:val="16"/>
              </w:rPr>
              <w:instrText xml:space="preserve"> REF _Ref430594450 \r \h </w:instrText>
            </w:r>
            <w:r>
              <w:rPr>
                <w:rFonts w:ascii="Times New Roman" w:hAnsi="Times New Roman"/>
                <w:sz w:val="16"/>
                <w:szCs w:val="16"/>
              </w:rPr>
            </w:r>
            <w:r>
              <w:rPr>
                <w:rFonts w:ascii="Times New Roman" w:hAnsi="Times New Roman"/>
                <w:sz w:val="16"/>
                <w:szCs w:val="16"/>
              </w:rPr>
              <w:fldChar w:fldCharType="separate"/>
            </w:r>
            <w:r>
              <w:rPr>
                <w:rFonts w:ascii="Times New Roman" w:hAnsi="Times New Roman"/>
                <w:sz w:val="16"/>
                <w:szCs w:val="16"/>
              </w:rPr>
              <w:t>52</w:t>
            </w:r>
            <w:r>
              <w:rPr>
                <w:rFonts w:ascii="Times New Roman" w:hAnsi="Times New Roman"/>
                <w:sz w:val="16"/>
                <w:szCs w:val="16"/>
              </w:rPr>
              <w:fldChar w:fldCharType="end"/>
            </w:r>
            <w:r w:rsidRPr="00B33658">
              <w:rPr>
                <w:rFonts w:ascii="Times New Roman" w:hAnsi="Times New Roman"/>
                <w:sz w:val="16"/>
                <w:szCs w:val="16"/>
              </w:rPr>
              <w:t>]</w:t>
            </w:r>
          </w:p>
        </w:tc>
        <w:tc>
          <w:tcPr>
            <w:tcW w:w="993"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708"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884"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992"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919"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r>
      <w:tr w:rsidR="00B233DE" w:rsidRPr="00164107" w:rsidTr="0023489B">
        <w:tc>
          <w:tcPr>
            <w:tcW w:w="1809" w:type="dxa"/>
            <w:shd w:val="clear" w:color="auto" w:fill="auto"/>
          </w:tcPr>
          <w:p w:rsidR="00B233DE" w:rsidRPr="00B33658" w:rsidRDefault="00B233DE" w:rsidP="0023489B">
            <w:pPr>
              <w:pStyle w:val="23"/>
              <w:spacing w:after="0" w:line="240" w:lineRule="auto"/>
              <w:ind w:left="0" w:right="-117"/>
              <w:jc w:val="both"/>
              <w:rPr>
                <w:rFonts w:ascii="Times New Roman" w:hAnsi="Times New Roman"/>
                <w:sz w:val="16"/>
                <w:szCs w:val="16"/>
              </w:rPr>
            </w:pPr>
            <w:r w:rsidRPr="00164107">
              <w:rPr>
                <w:rFonts w:ascii="Times New Roman" w:hAnsi="Times New Roman"/>
                <w:sz w:val="16"/>
                <w:szCs w:val="16"/>
              </w:rPr>
              <w:t>Стефанишин О.</w:t>
            </w:r>
            <w:r w:rsidRPr="00B33658">
              <w:rPr>
                <w:rFonts w:ascii="Times New Roman" w:hAnsi="Times New Roman"/>
                <w:sz w:val="16"/>
                <w:szCs w:val="16"/>
              </w:rPr>
              <w:t xml:space="preserve"> [</w:t>
            </w:r>
            <w:r>
              <w:rPr>
                <w:rFonts w:ascii="Times New Roman" w:hAnsi="Times New Roman"/>
                <w:sz w:val="16"/>
                <w:szCs w:val="16"/>
              </w:rPr>
              <w:fldChar w:fldCharType="begin"/>
            </w:r>
            <w:r>
              <w:rPr>
                <w:rFonts w:ascii="Times New Roman" w:hAnsi="Times New Roman"/>
                <w:sz w:val="16"/>
                <w:szCs w:val="16"/>
              </w:rPr>
              <w:instrText xml:space="preserve"> REF _Ref430594749 \r \h </w:instrText>
            </w:r>
            <w:r>
              <w:rPr>
                <w:rFonts w:ascii="Times New Roman" w:hAnsi="Times New Roman"/>
                <w:sz w:val="16"/>
                <w:szCs w:val="16"/>
              </w:rPr>
            </w:r>
            <w:r>
              <w:rPr>
                <w:rFonts w:ascii="Times New Roman" w:hAnsi="Times New Roman"/>
                <w:sz w:val="16"/>
                <w:szCs w:val="16"/>
              </w:rPr>
              <w:fldChar w:fldCharType="separate"/>
            </w:r>
            <w:r>
              <w:rPr>
                <w:rFonts w:ascii="Times New Roman" w:hAnsi="Times New Roman"/>
                <w:sz w:val="16"/>
                <w:szCs w:val="16"/>
              </w:rPr>
              <w:t>59</w:t>
            </w:r>
            <w:r>
              <w:rPr>
                <w:rFonts w:ascii="Times New Roman" w:hAnsi="Times New Roman"/>
                <w:sz w:val="16"/>
                <w:szCs w:val="16"/>
              </w:rPr>
              <w:fldChar w:fldCharType="end"/>
            </w:r>
            <w:r w:rsidRPr="00B33658">
              <w:rPr>
                <w:rFonts w:ascii="Times New Roman" w:hAnsi="Times New Roman"/>
                <w:sz w:val="16"/>
                <w:szCs w:val="16"/>
              </w:rPr>
              <w:t>]</w:t>
            </w:r>
          </w:p>
        </w:tc>
        <w:tc>
          <w:tcPr>
            <w:tcW w:w="993"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708"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884"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992"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919"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r>
      <w:tr w:rsidR="00B233DE" w:rsidRPr="00164107" w:rsidTr="0023489B">
        <w:tc>
          <w:tcPr>
            <w:tcW w:w="1809" w:type="dxa"/>
            <w:shd w:val="clear" w:color="auto" w:fill="auto"/>
          </w:tcPr>
          <w:p w:rsidR="00B233DE" w:rsidRPr="00164107" w:rsidRDefault="00B233DE" w:rsidP="0023489B">
            <w:pPr>
              <w:pStyle w:val="23"/>
              <w:spacing w:after="0" w:line="240" w:lineRule="auto"/>
              <w:ind w:left="0" w:right="-117"/>
              <w:jc w:val="both"/>
              <w:rPr>
                <w:rFonts w:ascii="Times New Roman" w:hAnsi="Times New Roman"/>
                <w:sz w:val="16"/>
                <w:szCs w:val="16"/>
                <w:lang w:val="ru-RU"/>
              </w:rPr>
            </w:pPr>
            <w:r w:rsidRPr="00164107">
              <w:rPr>
                <w:rFonts w:ascii="Times New Roman" w:hAnsi="Times New Roman"/>
                <w:sz w:val="16"/>
                <w:szCs w:val="16"/>
              </w:rPr>
              <w:t xml:space="preserve">Трубич С. </w:t>
            </w:r>
            <w:r w:rsidRPr="00B33658">
              <w:rPr>
                <w:rFonts w:ascii="Times New Roman" w:hAnsi="Times New Roman"/>
                <w:sz w:val="16"/>
                <w:szCs w:val="16"/>
              </w:rPr>
              <w:t>[</w:t>
            </w:r>
            <w:r>
              <w:rPr>
                <w:rFonts w:ascii="Times New Roman" w:hAnsi="Times New Roman"/>
                <w:sz w:val="16"/>
                <w:szCs w:val="16"/>
              </w:rPr>
              <w:fldChar w:fldCharType="begin"/>
            </w:r>
            <w:r>
              <w:rPr>
                <w:rFonts w:ascii="Times New Roman" w:hAnsi="Times New Roman"/>
                <w:sz w:val="16"/>
                <w:szCs w:val="16"/>
              </w:rPr>
              <w:instrText xml:space="preserve"> REF _Ref430594534 \r \h </w:instrText>
            </w:r>
            <w:r>
              <w:rPr>
                <w:rFonts w:ascii="Times New Roman" w:hAnsi="Times New Roman"/>
                <w:sz w:val="16"/>
                <w:szCs w:val="16"/>
              </w:rPr>
            </w:r>
            <w:r>
              <w:rPr>
                <w:rFonts w:ascii="Times New Roman" w:hAnsi="Times New Roman"/>
                <w:sz w:val="16"/>
                <w:szCs w:val="16"/>
              </w:rPr>
              <w:fldChar w:fldCharType="separate"/>
            </w:r>
            <w:r>
              <w:rPr>
                <w:rFonts w:ascii="Times New Roman" w:hAnsi="Times New Roman"/>
                <w:sz w:val="16"/>
                <w:szCs w:val="16"/>
              </w:rPr>
              <w:t>64</w:t>
            </w:r>
            <w:r>
              <w:rPr>
                <w:rFonts w:ascii="Times New Roman" w:hAnsi="Times New Roman"/>
                <w:sz w:val="16"/>
                <w:szCs w:val="16"/>
              </w:rPr>
              <w:fldChar w:fldCharType="end"/>
            </w:r>
            <w:r w:rsidRPr="00164107">
              <w:rPr>
                <w:rFonts w:ascii="Times New Roman" w:hAnsi="Times New Roman"/>
                <w:sz w:val="16"/>
                <w:szCs w:val="16"/>
                <w:lang w:val="ru-RU"/>
              </w:rPr>
              <w:t>]</w:t>
            </w:r>
          </w:p>
        </w:tc>
        <w:tc>
          <w:tcPr>
            <w:tcW w:w="993"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708"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884"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992"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c>
          <w:tcPr>
            <w:tcW w:w="919"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r>
      <w:tr w:rsidR="00B233DE" w:rsidRPr="00164107" w:rsidTr="0023489B">
        <w:tc>
          <w:tcPr>
            <w:tcW w:w="1809" w:type="dxa"/>
            <w:shd w:val="clear" w:color="auto" w:fill="auto"/>
          </w:tcPr>
          <w:p w:rsidR="00B233DE" w:rsidRPr="00164107" w:rsidRDefault="00B233DE" w:rsidP="0023489B">
            <w:pPr>
              <w:pStyle w:val="23"/>
              <w:spacing w:after="0" w:line="240" w:lineRule="auto"/>
              <w:ind w:left="0" w:right="-117"/>
              <w:jc w:val="both"/>
              <w:rPr>
                <w:rFonts w:ascii="Times New Roman" w:hAnsi="Times New Roman"/>
                <w:sz w:val="16"/>
                <w:szCs w:val="16"/>
                <w:lang w:val="ru-RU"/>
              </w:rPr>
            </w:pPr>
            <w:r w:rsidRPr="00164107">
              <w:rPr>
                <w:rFonts w:ascii="Times New Roman" w:hAnsi="Times New Roman"/>
                <w:sz w:val="16"/>
                <w:szCs w:val="16"/>
              </w:rPr>
              <w:t>Шаульська Л.</w:t>
            </w:r>
            <w:r w:rsidRPr="00164107">
              <w:rPr>
                <w:rFonts w:ascii="Times New Roman" w:hAnsi="Times New Roman"/>
                <w:sz w:val="16"/>
                <w:szCs w:val="16"/>
                <w:lang w:val="ru-RU"/>
              </w:rPr>
              <w:t xml:space="preserve"> [</w:t>
            </w:r>
            <w:r>
              <w:rPr>
                <w:rFonts w:ascii="Times New Roman" w:hAnsi="Times New Roman"/>
                <w:sz w:val="16"/>
                <w:szCs w:val="16"/>
                <w:lang w:val="ru-RU"/>
              </w:rPr>
              <w:fldChar w:fldCharType="begin"/>
            </w:r>
            <w:r>
              <w:rPr>
                <w:rFonts w:ascii="Times New Roman" w:hAnsi="Times New Roman"/>
                <w:sz w:val="16"/>
                <w:szCs w:val="16"/>
                <w:lang w:val="ru-RU"/>
              </w:rPr>
              <w:instrText xml:space="preserve"> REF _Ref430594397 \r \h </w:instrText>
            </w:r>
            <w:r>
              <w:rPr>
                <w:rFonts w:ascii="Times New Roman" w:hAnsi="Times New Roman"/>
                <w:sz w:val="16"/>
                <w:szCs w:val="16"/>
                <w:lang w:val="ru-RU"/>
              </w:rPr>
            </w:r>
            <w:r>
              <w:rPr>
                <w:rFonts w:ascii="Times New Roman" w:hAnsi="Times New Roman"/>
                <w:sz w:val="16"/>
                <w:szCs w:val="16"/>
                <w:lang w:val="ru-RU"/>
              </w:rPr>
              <w:fldChar w:fldCharType="separate"/>
            </w:r>
            <w:r>
              <w:rPr>
                <w:rFonts w:ascii="Times New Roman" w:hAnsi="Times New Roman"/>
                <w:sz w:val="16"/>
                <w:szCs w:val="16"/>
                <w:lang w:val="ru-RU"/>
              </w:rPr>
              <w:t>68</w:t>
            </w:r>
            <w:r>
              <w:rPr>
                <w:rFonts w:ascii="Times New Roman" w:hAnsi="Times New Roman"/>
                <w:sz w:val="16"/>
                <w:szCs w:val="16"/>
                <w:lang w:val="ru-RU"/>
              </w:rPr>
              <w:fldChar w:fldCharType="end"/>
            </w:r>
            <w:r w:rsidRPr="00164107">
              <w:rPr>
                <w:rFonts w:ascii="Times New Roman" w:hAnsi="Times New Roman"/>
                <w:sz w:val="16"/>
                <w:szCs w:val="16"/>
                <w:lang w:val="ru-RU"/>
              </w:rPr>
              <w:t>]</w:t>
            </w:r>
          </w:p>
        </w:tc>
        <w:tc>
          <w:tcPr>
            <w:tcW w:w="993"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708"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884"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992"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919"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r>
      <w:tr w:rsidR="00B233DE" w:rsidRPr="00164107" w:rsidTr="0023489B">
        <w:tc>
          <w:tcPr>
            <w:tcW w:w="1809" w:type="dxa"/>
            <w:shd w:val="clear" w:color="auto" w:fill="auto"/>
          </w:tcPr>
          <w:p w:rsidR="00B233DE" w:rsidRPr="00164107" w:rsidRDefault="00B233DE" w:rsidP="0023489B">
            <w:pPr>
              <w:pStyle w:val="23"/>
              <w:spacing w:after="0" w:line="240" w:lineRule="auto"/>
              <w:ind w:left="0" w:right="-117"/>
              <w:jc w:val="both"/>
              <w:rPr>
                <w:rFonts w:ascii="Times New Roman" w:hAnsi="Times New Roman"/>
                <w:sz w:val="16"/>
                <w:szCs w:val="16"/>
                <w:lang w:val="ru-RU"/>
              </w:rPr>
            </w:pPr>
            <w:r w:rsidRPr="00164107">
              <w:rPr>
                <w:rFonts w:ascii="Times New Roman" w:hAnsi="Times New Roman"/>
                <w:sz w:val="16"/>
                <w:szCs w:val="16"/>
              </w:rPr>
              <w:t>Шевчук Л.</w:t>
            </w:r>
            <w:r w:rsidRPr="00164107">
              <w:rPr>
                <w:rFonts w:ascii="Times New Roman" w:hAnsi="Times New Roman"/>
                <w:sz w:val="16"/>
                <w:szCs w:val="16"/>
                <w:lang w:val="ru-RU"/>
              </w:rPr>
              <w:t xml:space="preserve"> [</w:t>
            </w:r>
            <w:r>
              <w:rPr>
                <w:rFonts w:ascii="Times New Roman" w:hAnsi="Times New Roman"/>
                <w:sz w:val="16"/>
                <w:szCs w:val="16"/>
                <w:lang w:val="ru-RU"/>
              </w:rPr>
              <w:fldChar w:fldCharType="begin"/>
            </w:r>
            <w:r>
              <w:rPr>
                <w:rFonts w:ascii="Times New Roman" w:hAnsi="Times New Roman"/>
                <w:sz w:val="16"/>
                <w:szCs w:val="16"/>
                <w:lang w:val="ru-RU"/>
              </w:rPr>
              <w:instrText xml:space="preserve"> REF _Ref430595052 \r \h </w:instrText>
            </w:r>
            <w:r>
              <w:rPr>
                <w:rFonts w:ascii="Times New Roman" w:hAnsi="Times New Roman"/>
                <w:sz w:val="16"/>
                <w:szCs w:val="16"/>
                <w:lang w:val="ru-RU"/>
              </w:rPr>
            </w:r>
            <w:r>
              <w:rPr>
                <w:rFonts w:ascii="Times New Roman" w:hAnsi="Times New Roman"/>
                <w:sz w:val="16"/>
                <w:szCs w:val="16"/>
                <w:lang w:val="ru-RU"/>
              </w:rPr>
              <w:fldChar w:fldCharType="separate"/>
            </w:r>
            <w:r>
              <w:rPr>
                <w:rFonts w:ascii="Times New Roman" w:hAnsi="Times New Roman"/>
                <w:sz w:val="16"/>
                <w:szCs w:val="16"/>
                <w:lang w:val="ru-RU"/>
              </w:rPr>
              <w:t>70</w:t>
            </w:r>
            <w:r>
              <w:rPr>
                <w:rFonts w:ascii="Times New Roman" w:hAnsi="Times New Roman"/>
                <w:sz w:val="16"/>
                <w:szCs w:val="16"/>
                <w:lang w:val="ru-RU"/>
              </w:rPr>
              <w:fldChar w:fldCharType="end"/>
            </w:r>
            <w:r w:rsidRPr="00164107">
              <w:rPr>
                <w:rFonts w:ascii="Times New Roman" w:hAnsi="Times New Roman"/>
                <w:sz w:val="16"/>
                <w:szCs w:val="16"/>
                <w:lang w:val="ru-RU"/>
              </w:rPr>
              <w:t>]</w:t>
            </w:r>
          </w:p>
        </w:tc>
        <w:tc>
          <w:tcPr>
            <w:tcW w:w="993"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c>
          <w:tcPr>
            <w:tcW w:w="708"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lang w:val="ru-RU"/>
              </w:rPr>
            </w:pPr>
            <w:r w:rsidRPr="00164107">
              <w:rPr>
                <w:rFonts w:ascii="Times New Roman" w:hAnsi="Times New Roman"/>
                <w:sz w:val="16"/>
                <w:szCs w:val="16"/>
                <w:lang w:val="ru-RU"/>
              </w:rPr>
              <w:t>+</w:t>
            </w:r>
          </w:p>
        </w:tc>
        <w:tc>
          <w:tcPr>
            <w:tcW w:w="884"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lang w:val="ru-RU"/>
              </w:rPr>
            </w:pPr>
            <w:r w:rsidRPr="00164107">
              <w:rPr>
                <w:rFonts w:ascii="Times New Roman" w:hAnsi="Times New Roman"/>
                <w:sz w:val="16"/>
                <w:szCs w:val="16"/>
                <w:lang w:val="ru-RU"/>
              </w:rPr>
              <w:t>+</w:t>
            </w:r>
          </w:p>
        </w:tc>
        <w:tc>
          <w:tcPr>
            <w:tcW w:w="992"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r w:rsidRPr="00164107">
              <w:rPr>
                <w:rFonts w:ascii="Times New Roman" w:hAnsi="Times New Roman"/>
                <w:sz w:val="16"/>
                <w:szCs w:val="16"/>
              </w:rPr>
              <w:t>+</w:t>
            </w:r>
          </w:p>
        </w:tc>
        <w:tc>
          <w:tcPr>
            <w:tcW w:w="919" w:type="dxa"/>
            <w:shd w:val="clear" w:color="auto" w:fill="auto"/>
            <w:vAlign w:val="center"/>
          </w:tcPr>
          <w:p w:rsidR="00B233DE" w:rsidRPr="00164107" w:rsidRDefault="00B233DE" w:rsidP="0023489B">
            <w:pPr>
              <w:pStyle w:val="23"/>
              <w:spacing w:after="0" w:line="240" w:lineRule="auto"/>
              <w:ind w:left="-99" w:right="-117"/>
              <w:jc w:val="center"/>
              <w:rPr>
                <w:rFonts w:ascii="Times New Roman" w:hAnsi="Times New Roman"/>
                <w:sz w:val="16"/>
                <w:szCs w:val="16"/>
              </w:rPr>
            </w:pPr>
          </w:p>
        </w:tc>
      </w:tr>
    </w:tbl>
    <w:p w:rsidR="00B233DE" w:rsidRPr="00B72D85" w:rsidRDefault="00B233DE" w:rsidP="00B233DE">
      <w:pPr>
        <w:ind w:firstLine="709"/>
        <w:jc w:val="both"/>
        <w:rPr>
          <w:rFonts w:ascii="Times New Roman" w:hAnsi="Times New Roman" w:cs="Times New Roman"/>
          <w:sz w:val="18"/>
          <w:szCs w:val="18"/>
        </w:rPr>
      </w:pPr>
      <w:r w:rsidRPr="00B72D85">
        <w:rPr>
          <w:rFonts w:ascii="Times New Roman" w:hAnsi="Times New Roman" w:cs="Times New Roman"/>
          <w:sz w:val="18"/>
          <w:szCs w:val="18"/>
        </w:rPr>
        <w:t>* - запропоновано автором розділу</w:t>
      </w:r>
    </w:p>
    <w:p w:rsidR="00B233DE" w:rsidRDefault="00B233DE" w:rsidP="00B233DE">
      <w:pPr>
        <w:spacing w:line="230" w:lineRule="auto"/>
        <w:ind w:firstLine="709"/>
        <w:jc w:val="both"/>
        <w:rPr>
          <w:rFonts w:ascii="Times New Roman" w:hAnsi="Times New Roman" w:cs="Times New Roman"/>
          <w:spacing w:val="-2"/>
          <w:sz w:val="21"/>
          <w:szCs w:val="21"/>
        </w:rPr>
      </w:pPr>
      <w:r w:rsidRPr="00852AFC">
        <w:rPr>
          <w:rFonts w:ascii="Times New Roman" w:hAnsi="Times New Roman" w:cs="Times New Roman"/>
          <w:spacing w:val="-2"/>
          <w:sz w:val="21"/>
          <w:szCs w:val="21"/>
        </w:rPr>
        <w:lastRenderedPageBreak/>
        <w:t>Трудовий потенціал є невід’ємною частиною людського потенціалу, що використовується або може бути використана у сфері праці [</w:t>
      </w:r>
      <w:r>
        <w:rPr>
          <w:rFonts w:ascii="Times New Roman" w:hAnsi="Times New Roman" w:cs="Times New Roman"/>
          <w:spacing w:val="-2"/>
          <w:sz w:val="21"/>
          <w:szCs w:val="21"/>
        </w:rPr>
        <w:fldChar w:fldCharType="begin"/>
      </w:r>
      <w:r>
        <w:rPr>
          <w:rFonts w:ascii="Times New Roman" w:hAnsi="Times New Roman" w:cs="Times New Roman"/>
          <w:spacing w:val="-2"/>
          <w:sz w:val="21"/>
          <w:szCs w:val="21"/>
        </w:rPr>
        <w:instrText xml:space="preserve"> REF _Ref430594387 \r \h </w:instrText>
      </w:r>
      <w:r>
        <w:rPr>
          <w:rFonts w:ascii="Times New Roman" w:hAnsi="Times New Roman" w:cs="Times New Roman"/>
          <w:spacing w:val="-2"/>
          <w:sz w:val="21"/>
          <w:szCs w:val="21"/>
        </w:rPr>
      </w:r>
      <w:r>
        <w:rPr>
          <w:rFonts w:ascii="Times New Roman" w:hAnsi="Times New Roman" w:cs="Times New Roman"/>
          <w:spacing w:val="-2"/>
          <w:sz w:val="21"/>
          <w:szCs w:val="21"/>
        </w:rPr>
        <w:fldChar w:fldCharType="separate"/>
      </w:r>
      <w:r>
        <w:rPr>
          <w:rFonts w:ascii="Times New Roman" w:hAnsi="Times New Roman" w:cs="Times New Roman"/>
          <w:spacing w:val="-2"/>
          <w:sz w:val="21"/>
          <w:szCs w:val="21"/>
        </w:rPr>
        <w:t>10</w:t>
      </w:r>
      <w:r>
        <w:rPr>
          <w:rFonts w:ascii="Times New Roman" w:hAnsi="Times New Roman" w:cs="Times New Roman"/>
          <w:spacing w:val="-2"/>
          <w:sz w:val="21"/>
          <w:szCs w:val="21"/>
        </w:rPr>
        <w:fldChar w:fldCharType="end"/>
      </w:r>
      <w:r w:rsidRPr="00852AFC">
        <w:rPr>
          <w:rFonts w:ascii="Times New Roman" w:hAnsi="Times New Roman" w:cs="Times New Roman"/>
          <w:spacing w:val="-2"/>
          <w:sz w:val="21"/>
          <w:szCs w:val="21"/>
        </w:rPr>
        <w:t xml:space="preserve">, </w:t>
      </w:r>
      <w:r>
        <w:rPr>
          <w:rFonts w:ascii="Times New Roman" w:hAnsi="Times New Roman" w:cs="Times New Roman"/>
          <w:spacing w:val="-2"/>
          <w:sz w:val="21"/>
          <w:szCs w:val="21"/>
        </w:rPr>
        <w:fldChar w:fldCharType="begin"/>
      </w:r>
      <w:r>
        <w:rPr>
          <w:rFonts w:ascii="Times New Roman" w:hAnsi="Times New Roman" w:cs="Times New Roman"/>
          <w:spacing w:val="-2"/>
          <w:sz w:val="21"/>
          <w:szCs w:val="21"/>
        </w:rPr>
        <w:instrText xml:space="preserve"> REF _Ref430594397 \r \h </w:instrText>
      </w:r>
      <w:r>
        <w:rPr>
          <w:rFonts w:ascii="Times New Roman" w:hAnsi="Times New Roman" w:cs="Times New Roman"/>
          <w:spacing w:val="-2"/>
          <w:sz w:val="21"/>
          <w:szCs w:val="21"/>
        </w:rPr>
      </w:r>
      <w:r>
        <w:rPr>
          <w:rFonts w:ascii="Times New Roman" w:hAnsi="Times New Roman" w:cs="Times New Roman"/>
          <w:spacing w:val="-2"/>
          <w:sz w:val="21"/>
          <w:szCs w:val="21"/>
        </w:rPr>
        <w:fldChar w:fldCharType="separate"/>
      </w:r>
      <w:r>
        <w:rPr>
          <w:rFonts w:ascii="Times New Roman" w:hAnsi="Times New Roman" w:cs="Times New Roman"/>
          <w:spacing w:val="-2"/>
          <w:sz w:val="21"/>
          <w:szCs w:val="21"/>
        </w:rPr>
        <w:t>68</w:t>
      </w:r>
      <w:r>
        <w:rPr>
          <w:rFonts w:ascii="Times New Roman" w:hAnsi="Times New Roman" w:cs="Times New Roman"/>
          <w:spacing w:val="-2"/>
          <w:sz w:val="21"/>
          <w:szCs w:val="21"/>
        </w:rPr>
        <w:fldChar w:fldCharType="end"/>
      </w:r>
      <w:r w:rsidRPr="00852AFC">
        <w:rPr>
          <w:rFonts w:ascii="Times New Roman" w:hAnsi="Times New Roman" w:cs="Times New Roman"/>
          <w:spacing w:val="-2"/>
          <w:sz w:val="21"/>
          <w:szCs w:val="21"/>
        </w:rPr>
        <w:t xml:space="preserve">]. </w:t>
      </w:r>
    </w:p>
    <w:p w:rsidR="00B233DE" w:rsidRDefault="00B233DE" w:rsidP="00B233DE">
      <w:pPr>
        <w:spacing w:line="230" w:lineRule="auto"/>
        <w:ind w:firstLine="709"/>
        <w:jc w:val="both"/>
        <w:rPr>
          <w:rFonts w:ascii="Times New Roman" w:hAnsi="Times New Roman" w:cs="Times New Roman"/>
          <w:spacing w:val="-2"/>
          <w:sz w:val="21"/>
          <w:szCs w:val="21"/>
        </w:rPr>
      </w:pPr>
      <w:r w:rsidRPr="00852AFC">
        <w:rPr>
          <w:rFonts w:ascii="Times New Roman" w:hAnsi="Times New Roman" w:cs="Times New Roman"/>
          <w:spacing w:val="-2"/>
          <w:sz w:val="21"/>
          <w:szCs w:val="21"/>
        </w:rPr>
        <w:t>На думку Л. Семів, людським потенціалом є можливості, наявні в людських ресурсів у певний час, які можуть бути використані у майбутньому. Людський потенціал характеризується умовами відтворення, формування, роз</w:t>
      </w:r>
      <w:r>
        <w:rPr>
          <w:rFonts w:ascii="Times New Roman" w:hAnsi="Times New Roman" w:cs="Times New Roman"/>
          <w:spacing w:val="-2"/>
          <w:sz w:val="21"/>
          <w:szCs w:val="21"/>
        </w:rPr>
        <w:t xml:space="preserve">витку та реалізації </w:t>
      </w:r>
      <w:r w:rsidRPr="00852AFC">
        <w:rPr>
          <w:rFonts w:ascii="Times New Roman" w:hAnsi="Times New Roman" w:cs="Times New Roman"/>
          <w:spacing w:val="-2"/>
          <w:sz w:val="21"/>
          <w:szCs w:val="21"/>
        </w:rPr>
        <w:t>[</w:t>
      </w:r>
      <w:r>
        <w:rPr>
          <w:rFonts w:ascii="Times New Roman" w:hAnsi="Times New Roman" w:cs="Times New Roman"/>
          <w:spacing w:val="-2"/>
          <w:sz w:val="21"/>
          <w:szCs w:val="21"/>
        </w:rPr>
        <w:fldChar w:fldCharType="begin"/>
      </w:r>
      <w:r>
        <w:rPr>
          <w:rFonts w:ascii="Times New Roman" w:hAnsi="Times New Roman" w:cs="Times New Roman"/>
          <w:spacing w:val="-2"/>
          <w:sz w:val="21"/>
          <w:szCs w:val="21"/>
        </w:rPr>
        <w:instrText xml:space="preserve"> REF _Ref430594812 \r \h </w:instrText>
      </w:r>
      <w:r>
        <w:rPr>
          <w:rFonts w:ascii="Times New Roman" w:hAnsi="Times New Roman" w:cs="Times New Roman"/>
          <w:spacing w:val="-2"/>
          <w:sz w:val="21"/>
          <w:szCs w:val="21"/>
        </w:rPr>
      </w:r>
      <w:r>
        <w:rPr>
          <w:rFonts w:ascii="Times New Roman" w:hAnsi="Times New Roman" w:cs="Times New Roman"/>
          <w:spacing w:val="-2"/>
          <w:sz w:val="21"/>
          <w:szCs w:val="21"/>
        </w:rPr>
        <w:fldChar w:fldCharType="separate"/>
      </w:r>
      <w:r>
        <w:rPr>
          <w:rFonts w:ascii="Times New Roman" w:hAnsi="Times New Roman" w:cs="Times New Roman"/>
          <w:spacing w:val="-2"/>
          <w:sz w:val="21"/>
          <w:szCs w:val="21"/>
        </w:rPr>
        <w:t>51</w:t>
      </w:r>
      <w:r>
        <w:rPr>
          <w:rFonts w:ascii="Times New Roman" w:hAnsi="Times New Roman" w:cs="Times New Roman"/>
          <w:spacing w:val="-2"/>
          <w:sz w:val="21"/>
          <w:szCs w:val="21"/>
        </w:rPr>
        <w:fldChar w:fldCharType="end"/>
      </w:r>
      <w:r w:rsidRPr="00852AFC">
        <w:rPr>
          <w:rFonts w:ascii="Times New Roman" w:hAnsi="Times New Roman" w:cs="Times New Roman"/>
          <w:spacing w:val="-2"/>
          <w:sz w:val="21"/>
          <w:szCs w:val="21"/>
        </w:rPr>
        <w:t xml:space="preserve">, </w:t>
      </w:r>
      <w:r w:rsidRPr="00852AFC">
        <w:rPr>
          <w:rFonts w:ascii="Times New Roman" w:hAnsi="Times New Roman" w:cs="Times New Roman"/>
          <w:spacing w:val="-2"/>
          <w:sz w:val="21"/>
          <w:szCs w:val="21"/>
          <w:lang w:val="en-US"/>
        </w:rPr>
        <w:t>c</w:t>
      </w:r>
      <w:r w:rsidRPr="00852AFC">
        <w:rPr>
          <w:rFonts w:ascii="Times New Roman" w:hAnsi="Times New Roman" w:cs="Times New Roman"/>
          <w:spacing w:val="-2"/>
          <w:sz w:val="21"/>
          <w:szCs w:val="21"/>
        </w:rPr>
        <w:t xml:space="preserve">. 127]. </w:t>
      </w:r>
    </w:p>
    <w:p w:rsidR="00B233DE" w:rsidRPr="00852AFC" w:rsidRDefault="00B233DE" w:rsidP="00B233DE">
      <w:pPr>
        <w:spacing w:line="230" w:lineRule="auto"/>
        <w:ind w:firstLine="709"/>
        <w:jc w:val="both"/>
        <w:rPr>
          <w:rFonts w:ascii="Times New Roman" w:hAnsi="Times New Roman" w:cs="Times New Roman"/>
          <w:spacing w:val="-2"/>
          <w:sz w:val="21"/>
          <w:szCs w:val="21"/>
        </w:rPr>
      </w:pPr>
      <w:r w:rsidRPr="00852AFC">
        <w:rPr>
          <w:rFonts w:ascii="Times New Roman" w:hAnsi="Times New Roman" w:cs="Times New Roman"/>
          <w:spacing w:val="-2"/>
          <w:sz w:val="21"/>
          <w:szCs w:val="21"/>
        </w:rPr>
        <w:t>Л. Ільїч наголошує, що поняття «трудовий потенціал» охоплює лише економічно активну частину населення, в той час як поняття «людський потенціал» є набагато ширшим та охоплює все населення [</w:t>
      </w:r>
      <w:r>
        <w:rPr>
          <w:rFonts w:ascii="Times New Roman" w:hAnsi="Times New Roman" w:cs="Times New Roman"/>
          <w:spacing w:val="-2"/>
          <w:sz w:val="21"/>
          <w:szCs w:val="21"/>
        </w:rPr>
        <w:fldChar w:fldCharType="begin"/>
      </w:r>
      <w:r>
        <w:rPr>
          <w:rFonts w:ascii="Times New Roman" w:hAnsi="Times New Roman" w:cs="Times New Roman"/>
          <w:spacing w:val="-2"/>
          <w:sz w:val="21"/>
          <w:szCs w:val="21"/>
        </w:rPr>
        <w:instrText xml:space="preserve"> REF _Ref430594896 \r \h </w:instrText>
      </w:r>
      <w:r>
        <w:rPr>
          <w:rFonts w:ascii="Times New Roman" w:hAnsi="Times New Roman" w:cs="Times New Roman"/>
          <w:spacing w:val="-2"/>
          <w:sz w:val="21"/>
          <w:szCs w:val="21"/>
        </w:rPr>
      </w:r>
      <w:r>
        <w:rPr>
          <w:rFonts w:ascii="Times New Roman" w:hAnsi="Times New Roman" w:cs="Times New Roman"/>
          <w:spacing w:val="-2"/>
          <w:sz w:val="21"/>
          <w:szCs w:val="21"/>
        </w:rPr>
        <w:fldChar w:fldCharType="separate"/>
      </w:r>
      <w:r>
        <w:rPr>
          <w:rFonts w:ascii="Times New Roman" w:hAnsi="Times New Roman" w:cs="Times New Roman"/>
          <w:spacing w:val="-2"/>
          <w:sz w:val="21"/>
          <w:szCs w:val="21"/>
        </w:rPr>
        <w:t>26</w:t>
      </w:r>
      <w:r>
        <w:rPr>
          <w:rFonts w:ascii="Times New Roman" w:hAnsi="Times New Roman" w:cs="Times New Roman"/>
          <w:spacing w:val="-2"/>
          <w:sz w:val="21"/>
          <w:szCs w:val="21"/>
        </w:rPr>
        <w:fldChar w:fldCharType="end"/>
      </w:r>
      <w:r w:rsidRPr="00852AFC">
        <w:rPr>
          <w:rFonts w:ascii="Times New Roman" w:hAnsi="Times New Roman" w:cs="Times New Roman"/>
          <w:spacing w:val="-2"/>
          <w:sz w:val="21"/>
          <w:szCs w:val="21"/>
        </w:rPr>
        <w:t>,</w:t>
      </w:r>
      <w:r>
        <w:rPr>
          <w:rFonts w:ascii="Times New Roman" w:hAnsi="Times New Roman" w:cs="Times New Roman"/>
          <w:spacing w:val="-2"/>
          <w:sz w:val="21"/>
          <w:szCs w:val="21"/>
        </w:rPr>
        <w:t xml:space="preserve"> </w:t>
      </w:r>
      <w:r w:rsidRPr="00852AFC">
        <w:rPr>
          <w:rFonts w:ascii="Times New Roman" w:hAnsi="Times New Roman" w:cs="Times New Roman"/>
          <w:spacing w:val="-2"/>
          <w:sz w:val="21"/>
          <w:szCs w:val="21"/>
          <w:lang w:val="en-US"/>
        </w:rPr>
        <w:t>c</w:t>
      </w:r>
      <w:r w:rsidRPr="00852AFC">
        <w:rPr>
          <w:rFonts w:ascii="Times New Roman" w:hAnsi="Times New Roman" w:cs="Times New Roman"/>
          <w:spacing w:val="-2"/>
          <w:sz w:val="21"/>
          <w:szCs w:val="21"/>
        </w:rPr>
        <w:t>.</w:t>
      </w:r>
      <w:r>
        <w:rPr>
          <w:rFonts w:ascii="Times New Roman" w:hAnsi="Times New Roman" w:cs="Times New Roman"/>
          <w:spacing w:val="-2"/>
          <w:sz w:val="21"/>
          <w:szCs w:val="21"/>
        </w:rPr>
        <w:t xml:space="preserve"> </w:t>
      </w:r>
      <w:r w:rsidRPr="00852AFC">
        <w:rPr>
          <w:rFonts w:ascii="Times New Roman" w:hAnsi="Times New Roman" w:cs="Times New Roman"/>
          <w:spacing w:val="-2"/>
          <w:sz w:val="21"/>
          <w:szCs w:val="21"/>
        </w:rPr>
        <w:t>24].</w:t>
      </w:r>
    </w:p>
    <w:p w:rsidR="00B233DE" w:rsidRDefault="00B233DE" w:rsidP="00B233DE">
      <w:pPr>
        <w:tabs>
          <w:tab w:val="left" w:pos="853"/>
        </w:tabs>
        <w:spacing w:line="230" w:lineRule="auto"/>
        <w:ind w:firstLine="709"/>
        <w:jc w:val="both"/>
        <w:rPr>
          <w:rFonts w:ascii="Times New Roman" w:hAnsi="Times New Roman" w:cs="Times New Roman"/>
          <w:sz w:val="21"/>
          <w:szCs w:val="21"/>
        </w:rPr>
      </w:pPr>
      <w:r w:rsidRPr="00852AFC">
        <w:rPr>
          <w:rFonts w:ascii="Times New Roman" w:hAnsi="Times New Roman" w:cs="Times New Roman"/>
          <w:sz w:val="21"/>
          <w:szCs w:val="21"/>
        </w:rPr>
        <w:t xml:space="preserve">Більш широко структуру людського потенціалу розкриває О. Стефанишин, визначаючи </w:t>
      </w:r>
      <w:r>
        <w:rPr>
          <w:rFonts w:ascii="Times New Roman" w:hAnsi="Times New Roman" w:cs="Times New Roman"/>
          <w:sz w:val="21"/>
          <w:szCs w:val="21"/>
        </w:rPr>
        <w:t>її</w:t>
      </w:r>
      <w:r w:rsidRPr="00852AFC">
        <w:rPr>
          <w:rFonts w:ascii="Times New Roman" w:hAnsi="Times New Roman" w:cs="Times New Roman"/>
          <w:sz w:val="21"/>
          <w:szCs w:val="21"/>
        </w:rPr>
        <w:t xml:space="preserve"> у вигляді сукупності таких складових: біологічної, демографічної, інтелектуальної, моти</w:t>
      </w:r>
      <w:r>
        <w:rPr>
          <w:rFonts w:ascii="Times New Roman" w:hAnsi="Times New Roman" w:cs="Times New Roman"/>
          <w:sz w:val="21"/>
          <w:szCs w:val="21"/>
        </w:rPr>
        <w:t>-</w:t>
      </w:r>
      <w:r w:rsidRPr="00852AFC">
        <w:rPr>
          <w:rFonts w:ascii="Times New Roman" w:hAnsi="Times New Roman" w:cs="Times New Roman"/>
          <w:sz w:val="21"/>
          <w:szCs w:val="21"/>
        </w:rPr>
        <w:t>ваційної, екогомологічної, екологічної, культурної, етнокультурної, соціальної, економічної, здоров’я, мобільності, творчості (підприємливості), освітньої, інформаційної, політичної діяльності, використання часу, громадського порядку та безпеки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_Ref430594904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60</w:t>
      </w:r>
      <w:r>
        <w:rPr>
          <w:rFonts w:ascii="Times New Roman" w:hAnsi="Times New Roman" w:cs="Times New Roman"/>
          <w:sz w:val="21"/>
          <w:szCs w:val="21"/>
        </w:rPr>
        <w:fldChar w:fldCharType="end"/>
      </w:r>
      <w:r w:rsidRPr="00852AFC">
        <w:rPr>
          <w:rFonts w:ascii="Times New Roman" w:hAnsi="Times New Roman" w:cs="Times New Roman"/>
          <w:sz w:val="21"/>
          <w:szCs w:val="21"/>
        </w:rPr>
        <w:t xml:space="preserve">, </w:t>
      </w:r>
      <w:r w:rsidRPr="00852AFC">
        <w:rPr>
          <w:rFonts w:ascii="Times New Roman" w:hAnsi="Times New Roman" w:cs="Times New Roman"/>
          <w:sz w:val="21"/>
          <w:szCs w:val="21"/>
          <w:lang w:val="en-US"/>
        </w:rPr>
        <w:t>c</w:t>
      </w:r>
      <w:r>
        <w:rPr>
          <w:rFonts w:ascii="Times New Roman" w:hAnsi="Times New Roman" w:cs="Times New Roman"/>
          <w:sz w:val="21"/>
          <w:szCs w:val="21"/>
        </w:rPr>
        <w:t>. 70].</w:t>
      </w:r>
    </w:p>
    <w:p w:rsidR="00B233DE" w:rsidRDefault="00B233DE" w:rsidP="00B233DE">
      <w:pPr>
        <w:pStyle w:val="23"/>
        <w:spacing w:after="0" w:line="230" w:lineRule="auto"/>
        <w:ind w:left="0" w:firstLine="720"/>
        <w:jc w:val="right"/>
        <w:rPr>
          <w:rFonts w:ascii="Times New Roman" w:hAnsi="Times New Roman"/>
          <w:sz w:val="21"/>
          <w:szCs w:val="21"/>
        </w:rPr>
      </w:pPr>
    </w:p>
    <w:p w:rsidR="00B233DE" w:rsidRPr="002F397C" w:rsidRDefault="00B233DE" w:rsidP="00B233DE">
      <w:pPr>
        <w:spacing w:line="230" w:lineRule="auto"/>
        <w:ind w:firstLine="709"/>
        <w:jc w:val="both"/>
        <w:rPr>
          <w:rFonts w:ascii="Times New Roman" w:hAnsi="Times New Roman" w:cs="Times New Roman"/>
          <w:sz w:val="21"/>
          <w:szCs w:val="21"/>
        </w:rPr>
      </w:pPr>
    </w:p>
    <w:p w:rsidR="00B233DE" w:rsidRPr="00E20C1F" w:rsidRDefault="00B233DE" w:rsidP="00B233DE">
      <w:pPr>
        <w:pStyle w:val="afb"/>
        <w:shd w:val="clear" w:color="auto" w:fill="auto"/>
        <w:tabs>
          <w:tab w:val="left" w:pos="394"/>
          <w:tab w:val="left" w:pos="426"/>
        </w:tabs>
        <w:spacing w:before="0" w:line="240" w:lineRule="auto"/>
        <w:ind w:right="40" w:firstLine="709"/>
        <w:contextualSpacing/>
        <w:jc w:val="center"/>
        <w:rPr>
          <w:b/>
          <w:sz w:val="21"/>
          <w:szCs w:val="21"/>
        </w:rPr>
      </w:pPr>
      <w:r w:rsidRPr="00E20C1F">
        <w:rPr>
          <w:rFonts w:ascii="UkrainianPeterburg" w:hAnsi="UkrainianPeterburg"/>
          <w:b/>
          <w:sz w:val="21"/>
          <w:szCs w:val="21"/>
        </w:rPr>
        <w:t>1.3. Оцінка розвитку людського потенціалу в системі сучасних соціально-економічних концепцій</w:t>
      </w: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autoSpaceDE w:val="0"/>
        <w:autoSpaceDN w:val="0"/>
        <w:adjustRightInd w:val="0"/>
        <w:spacing w:line="230" w:lineRule="auto"/>
        <w:ind w:firstLine="720"/>
        <w:jc w:val="both"/>
        <w:rPr>
          <w:rFonts w:ascii="Times New Roman" w:hAnsi="Times New Roman" w:cs="Times New Roman"/>
          <w:sz w:val="21"/>
          <w:szCs w:val="21"/>
        </w:rPr>
      </w:pPr>
      <w:r w:rsidRPr="00D416D3">
        <w:rPr>
          <w:rFonts w:ascii="Times New Roman" w:hAnsi="Times New Roman" w:cs="Times New Roman"/>
          <w:sz w:val="21"/>
          <w:szCs w:val="21"/>
        </w:rPr>
        <w:t>На сьогодні, більшість сучасних соціально-економічних концепцій базуються на цивілізаційному підході до періодизації історії людського суспільства. Основним її критерієм виступає технологічний спосіб виробництва, що дає можливість визначити три стадії суспільного розвитку: доіндустріальну, індустріальну та постіндустіальну. В межах першої стадії базовим способом виробництва є ручна праця, в межах другої – праця машин, третьої – інтелектуальна праця, заснована на виробництві та використанні інформації і знань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_Ref430595060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67</w:t>
      </w:r>
      <w:r>
        <w:rPr>
          <w:rFonts w:ascii="Times New Roman" w:hAnsi="Times New Roman" w:cs="Times New Roman"/>
          <w:sz w:val="21"/>
          <w:szCs w:val="21"/>
        </w:rPr>
        <w:fldChar w:fldCharType="end"/>
      </w:r>
      <w:r w:rsidRPr="00D416D3">
        <w:rPr>
          <w:rFonts w:ascii="Times New Roman" w:hAnsi="Times New Roman" w:cs="Times New Roman"/>
          <w:sz w:val="21"/>
          <w:szCs w:val="21"/>
        </w:rPr>
        <w:t xml:space="preserve">, с. 430]. </w:t>
      </w:r>
    </w:p>
    <w:p w:rsidR="00B233DE" w:rsidRPr="00D416D3" w:rsidRDefault="00B233DE" w:rsidP="00B233DE">
      <w:pPr>
        <w:autoSpaceDE w:val="0"/>
        <w:autoSpaceDN w:val="0"/>
        <w:adjustRightInd w:val="0"/>
        <w:spacing w:line="230" w:lineRule="auto"/>
        <w:ind w:firstLine="720"/>
        <w:jc w:val="both"/>
        <w:rPr>
          <w:rFonts w:ascii="Times New Roman" w:hAnsi="Times New Roman" w:cs="Times New Roman"/>
          <w:sz w:val="21"/>
          <w:szCs w:val="21"/>
        </w:rPr>
      </w:pPr>
      <w:r>
        <w:rPr>
          <w:rFonts w:ascii="Times New Roman" w:hAnsi="Times New Roman" w:cs="Times New Roman"/>
          <w:sz w:val="21"/>
          <w:szCs w:val="21"/>
        </w:rPr>
        <w:t xml:space="preserve">Прийнявши точку зору Е. </w:t>
      </w:r>
      <w:r w:rsidRPr="00D416D3">
        <w:rPr>
          <w:rFonts w:ascii="Times New Roman" w:hAnsi="Times New Roman" w:cs="Times New Roman"/>
          <w:sz w:val="21"/>
          <w:szCs w:val="21"/>
        </w:rPr>
        <w:t>Тоффлера, становлення постіндустіального суспільства можна визначити як «третю хвилю історичної трансформації» у глобальному масштабі, в результаті чого утворюється «не розширений варіант нашого сучасного суспільства, а нове суспільство»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_Ref430595066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63</w:t>
      </w:r>
      <w:r>
        <w:rPr>
          <w:rFonts w:ascii="Times New Roman" w:hAnsi="Times New Roman" w:cs="Times New Roman"/>
          <w:sz w:val="21"/>
          <w:szCs w:val="21"/>
        </w:rPr>
        <w:fldChar w:fldCharType="end"/>
      </w:r>
      <w:r w:rsidRPr="00D416D3">
        <w:rPr>
          <w:rFonts w:ascii="Times New Roman" w:hAnsi="Times New Roman" w:cs="Times New Roman"/>
          <w:sz w:val="21"/>
          <w:szCs w:val="21"/>
        </w:rPr>
        <w:t>].</w:t>
      </w:r>
    </w:p>
    <w:p w:rsidR="00B233DE" w:rsidRPr="00D416D3" w:rsidRDefault="00B233DE" w:rsidP="00B233DE">
      <w:pPr>
        <w:autoSpaceDE w:val="0"/>
        <w:autoSpaceDN w:val="0"/>
        <w:adjustRightInd w:val="0"/>
        <w:spacing w:line="230" w:lineRule="auto"/>
        <w:ind w:firstLine="720"/>
        <w:jc w:val="both"/>
        <w:rPr>
          <w:rFonts w:ascii="Times New Roman" w:hAnsi="Times New Roman" w:cs="Times New Roman"/>
          <w:sz w:val="21"/>
          <w:szCs w:val="21"/>
        </w:rPr>
      </w:pPr>
      <w:r w:rsidRPr="00D416D3">
        <w:rPr>
          <w:rFonts w:ascii="Times New Roman" w:hAnsi="Times New Roman" w:cs="Times New Roman"/>
          <w:sz w:val="21"/>
          <w:szCs w:val="21"/>
        </w:rPr>
        <w:t xml:space="preserve">Прогрес нового технологічного способу виробництва, невід’ємними елементами якого є поширення інформаційних </w:t>
      </w:r>
      <w:r w:rsidRPr="00D416D3">
        <w:rPr>
          <w:rFonts w:ascii="Times New Roman" w:hAnsi="Times New Roman" w:cs="Times New Roman"/>
          <w:sz w:val="21"/>
          <w:szCs w:val="21"/>
        </w:rPr>
        <w:lastRenderedPageBreak/>
        <w:t>технологій, інтенсивне використання мережевих систем та телекомунікацій визначає зростання всіх елементів глобалізації: зростання міжнародної торгівлі, міжнародного співробітництва у різних галузях, розвиток валютно-фінансових відносин, інтеграційних процесів тощо. Виходячи з таких позицій, глобалізація є найбільш яскравою формою вираження становлення і розвитку інформаційної постіндустріальної економіки. Разом з тим, глобалізація має дві сторони: ліквідація кордонів в інформаційному просторі є каталізатором значного технологічного прориву і формування транснаціональної системи господарювання, та, водночас, глобалізаційні процеси зумовлюють соціально-економічну поляризацію країн світу, які зовсім по-різному залучені до побудови нової економіки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_Ref430595076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29</w:t>
      </w:r>
      <w:r>
        <w:rPr>
          <w:rFonts w:ascii="Times New Roman" w:hAnsi="Times New Roman" w:cs="Times New Roman"/>
          <w:sz w:val="21"/>
          <w:szCs w:val="21"/>
        </w:rPr>
        <w:fldChar w:fldCharType="end"/>
      </w:r>
      <w:r w:rsidRPr="00D416D3">
        <w:rPr>
          <w:rFonts w:ascii="Times New Roman" w:hAnsi="Times New Roman" w:cs="Times New Roman"/>
          <w:sz w:val="21"/>
          <w:szCs w:val="21"/>
        </w:rPr>
        <w:t>, с. 58]. Посилення соціальної нерівності в окремих країнах, як наслідок глобалізації, призводить до зниження людського потенціалу цих країн. В той же час, в постіндустріальній світовій цивілізації, у суспільстві, заснованому на знаннях, саме людський потенціал займає позицію головного ресурсу економічного розвитку і зростання. Адже, взявши до уваги визначення Е. Тоффлера, слід підкреслити переважання «влади знань» людини у сучасному соціумі – «знання постають основним джерелом розвитку економіки» [</w:t>
      </w:r>
      <w:r>
        <w:rPr>
          <w:rFonts w:ascii="Times New Roman" w:hAnsi="Times New Roman"/>
          <w:bCs/>
          <w:sz w:val="21"/>
          <w:szCs w:val="21"/>
        </w:rPr>
        <w:fldChar w:fldCharType="begin"/>
      </w:r>
      <w:r>
        <w:rPr>
          <w:rFonts w:ascii="Times New Roman" w:hAnsi="Times New Roman" w:cs="Times New Roman"/>
          <w:sz w:val="21"/>
          <w:szCs w:val="21"/>
        </w:rPr>
        <w:instrText xml:space="preserve"> REF _Ref430595084 \r \h </w:instrText>
      </w:r>
      <w:r>
        <w:rPr>
          <w:rFonts w:ascii="Times New Roman" w:hAnsi="Times New Roman"/>
          <w:bCs/>
          <w:sz w:val="21"/>
          <w:szCs w:val="21"/>
        </w:rPr>
      </w:r>
      <w:r>
        <w:rPr>
          <w:rFonts w:ascii="Times New Roman" w:hAnsi="Times New Roman"/>
          <w:bCs/>
          <w:sz w:val="21"/>
          <w:szCs w:val="21"/>
        </w:rPr>
        <w:fldChar w:fldCharType="separate"/>
      </w:r>
      <w:r>
        <w:rPr>
          <w:rFonts w:ascii="Times New Roman" w:hAnsi="Times New Roman" w:cs="Times New Roman"/>
          <w:sz w:val="21"/>
          <w:szCs w:val="21"/>
        </w:rPr>
        <w:t>62</w:t>
      </w:r>
      <w:r>
        <w:rPr>
          <w:rFonts w:ascii="Times New Roman" w:hAnsi="Times New Roman"/>
          <w:bCs/>
          <w:sz w:val="21"/>
          <w:szCs w:val="21"/>
        </w:rPr>
        <w:fldChar w:fldCharType="end"/>
      </w:r>
      <w:r w:rsidRPr="00D416D3">
        <w:rPr>
          <w:rFonts w:ascii="Times New Roman" w:hAnsi="Times New Roman" w:cs="Times New Roman"/>
          <w:sz w:val="21"/>
          <w:szCs w:val="21"/>
        </w:rPr>
        <w:t>, с. 572].</w:t>
      </w:r>
    </w:p>
    <w:p w:rsidR="00B233DE" w:rsidRPr="00D416D3" w:rsidRDefault="00B233DE" w:rsidP="00B233DE">
      <w:pPr>
        <w:autoSpaceDE w:val="0"/>
        <w:autoSpaceDN w:val="0"/>
        <w:adjustRightInd w:val="0"/>
        <w:spacing w:line="230" w:lineRule="auto"/>
        <w:ind w:firstLine="720"/>
        <w:jc w:val="both"/>
        <w:rPr>
          <w:rFonts w:ascii="Times New Roman" w:hAnsi="Times New Roman" w:cs="Times New Roman"/>
          <w:sz w:val="21"/>
          <w:szCs w:val="21"/>
        </w:rPr>
      </w:pPr>
      <w:r w:rsidRPr="00D416D3">
        <w:rPr>
          <w:rFonts w:ascii="Times New Roman" w:hAnsi="Times New Roman" w:cs="Times New Roman"/>
          <w:sz w:val="21"/>
          <w:szCs w:val="21"/>
        </w:rPr>
        <w:t>В цьому зв’язку варто розглянути сутність сучасних соціально-економічних концепцій, направлених на знаходження шляхів подолання глобальних суперечностей і визначення можливостей ефективного розвитку і реалізації людського потенціалу для забезпечення сталого суспільного і цивілізаційного прогресу (табл. 1.</w:t>
      </w:r>
      <w:r>
        <w:rPr>
          <w:rFonts w:ascii="Times New Roman" w:hAnsi="Times New Roman" w:cs="Times New Roman"/>
          <w:sz w:val="21"/>
          <w:szCs w:val="21"/>
        </w:rPr>
        <w:t>7)</w:t>
      </w:r>
      <w:r w:rsidRPr="00D416D3">
        <w:rPr>
          <w:rFonts w:ascii="Times New Roman" w:hAnsi="Times New Roman" w:cs="Times New Roman"/>
          <w:sz w:val="21"/>
          <w:szCs w:val="21"/>
        </w:rPr>
        <w:t>.</w:t>
      </w:r>
    </w:p>
    <w:p w:rsidR="00B233DE" w:rsidRPr="00D416D3" w:rsidRDefault="00B233DE" w:rsidP="00B233DE">
      <w:pPr>
        <w:autoSpaceDE w:val="0"/>
        <w:autoSpaceDN w:val="0"/>
        <w:adjustRightInd w:val="0"/>
        <w:spacing w:line="230" w:lineRule="auto"/>
        <w:ind w:firstLine="720"/>
        <w:jc w:val="both"/>
        <w:rPr>
          <w:rFonts w:ascii="Times New Roman" w:hAnsi="Times New Roman" w:cs="Times New Roman"/>
          <w:sz w:val="21"/>
          <w:szCs w:val="21"/>
        </w:rPr>
      </w:pPr>
      <w:r w:rsidRPr="00D416D3">
        <w:rPr>
          <w:rFonts w:ascii="Times New Roman" w:hAnsi="Times New Roman" w:cs="Times New Roman"/>
          <w:sz w:val="21"/>
          <w:szCs w:val="21"/>
        </w:rPr>
        <w:t>Концепція людського розвитку або концепція розвитку людського потенціалу акцентує увагу на людині як на об’єкті процесу розвитку. Вона виявляє домінування соціальних чинників розвитку над економічними, розглядаючи розвиток людських можливостей як кінцеву мету суспільного прогресу [</w:t>
      </w:r>
      <w:r>
        <w:rPr>
          <w:rFonts w:ascii="Times New Roman" w:hAnsi="Times New Roman"/>
          <w:sz w:val="21"/>
          <w:szCs w:val="21"/>
        </w:rPr>
        <w:fldChar w:fldCharType="begin"/>
      </w:r>
      <w:r>
        <w:rPr>
          <w:rFonts w:ascii="Times New Roman" w:hAnsi="Times New Roman" w:cs="Times New Roman"/>
          <w:sz w:val="21"/>
          <w:szCs w:val="21"/>
        </w:rPr>
        <w:instrText xml:space="preserve"> REF _Ref430595092 \r \h </w:instrText>
      </w:r>
      <w:r>
        <w:rPr>
          <w:rFonts w:ascii="Times New Roman" w:hAnsi="Times New Roman"/>
          <w:sz w:val="21"/>
          <w:szCs w:val="21"/>
        </w:rPr>
      </w:r>
      <w:r>
        <w:rPr>
          <w:rFonts w:ascii="Times New Roman" w:hAnsi="Times New Roman"/>
          <w:sz w:val="21"/>
          <w:szCs w:val="21"/>
        </w:rPr>
        <w:fldChar w:fldCharType="separate"/>
      </w:r>
      <w:r>
        <w:rPr>
          <w:rFonts w:ascii="Times New Roman" w:hAnsi="Times New Roman" w:cs="Times New Roman"/>
          <w:sz w:val="21"/>
          <w:szCs w:val="21"/>
        </w:rPr>
        <w:t>17</w:t>
      </w:r>
      <w:r>
        <w:rPr>
          <w:rFonts w:ascii="Times New Roman" w:hAnsi="Times New Roman"/>
          <w:sz w:val="21"/>
          <w:szCs w:val="21"/>
        </w:rPr>
        <w:fldChar w:fldCharType="end"/>
      </w:r>
      <w:r w:rsidRPr="00D416D3">
        <w:rPr>
          <w:rFonts w:ascii="Times New Roman" w:hAnsi="Times New Roman" w:cs="Times New Roman"/>
          <w:sz w:val="21"/>
          <w:szCs w:val="21"/>
        </w:rPr>
        <w:t>]. При цьому, концепція приділяє мало уваги розгляду впливу розвитку людського потенціалу на економічну ефективність.</w:t>
      </w:r>
    </w:p>
    <w:p w:rsidR="00B233DE" w:rsidRPr="00D416D3" w:rsidRDefault="00B233DE" w:rsidP="00B233DE">
      <w:pPr>
        <w:autoSpaceDE w:val="0"/>
        <w:autoSpaceDN w:val="0"/>
        <w:adjustRightInd w:val="0"/>
        <w:spacing w:line="230" w:lineRule="auto"/>
        <w:ind w:firstLine="720"/>
        <w:jc w:val="both"/>
        <w:rPr>
          <w:rFonts w:ascii="Times New Roman" w:hAnsi="Times New Roman" w:cs="Times New Roman"/>
          <w:sz w:val="21"/>
          <w:szCs w:val="21"/>
        </w:rPr>
      </w:pPr>
      <w:r w:rsidRPr="00D416D3">
        <w:rPr>
          <w:rFonts w:ascii="Times New Roman" w:hAnsi="Times New Roman" w:cs="Times New Roman"/>
          <w:sz w:val="21"/>
          <w:szCs w:val="21"/>
        </w:rPr>
        <w:t>Разом з тим, такий взаємозв’язок можна прослідкувати у теорії постіндустріального суспільства та його вихідних концепціях інформаційного суспільства та економіки знань [</w:t>
      </w:r>
      <w:r>
        <w:rPr>
          <w:rFonts w:ascii="Times New Roman" w:hAnsi="Times New Roman"/>
          <w:sz w:val="21"/>
          <w:szCs w:val="21"/>
        </w:rPr>
        <w:fldChar w:fldCharType="begin"/>
      </w:r>
      <w:r>
        <w:rPr>
          <w:rFonts w:ascii="Times New Roman" w:hAnsi="Times New Roman" w:cs="Times New Roman"/>
          <w:sz w:val="21"/>
          <w:szCs w:val="21"/>
        </w:rPr>
        <w:instrText xml:space="preserve"> REF _Ref430595060 \r \h </w:instrText>
      </w:r>
      <w:r>
        <w:rPr>
          <w:rFonts w:ascii="Times New Roman" w:hAnsi="Times New Roman"/>
          <w:sz w:val="21"/>
          <w:szCs w:val="21"/>
        </w:rPr>
      </w:r>
      <w:r>
        <w:rPr>
          <w:rFonts w:ascii="Times New Roman" w:hAnsi="Times New Roman"/>
          <w:sz w:val="21"/>
          <w:szCs w:val="21"/>
        </w:rPr>
        <w:fldChar w:fldCharType="separate"/>
      </w:r>
      <w:r>
        <w:rPr>
          <w:rFonts w:ascii="Times New Roman" w:hAnsi="Times New Roman" w:cs="Times New Roman"/>
          <w:sz w:val="21"/>
          <w:szCs w:val="21"/>
        </w:rPr>
        <w:t>67</w:t>
      </w:r>
      <w:r>
        <w:rPr>
          <w:rFonts w:ascii="Times New Roman" w:hAnsi="Times New Roman"/>
          <w:sz w:val="21"/>
          <w:szCs w:val="21"/>
        </w:rPr>
        <w:fldChar w:fldCharType="end"/>
      </w:r>
      <w:r w:rsidRPr="00D416D3">
        <w:rPr>
          <w:rFonts w:ascii="Times New Roman" w:hAnsi="Times New Roman" w:cs="Times New Roman"/>
          <w:sz w:val="21"/>
          <w:szCs w:val="21"/>
        </w:rPr>
        <w:t>, с. 53]. У постіндустріальному світі інтелектуальна технологія, як рушій економічного розвитку, продукується висок</w:t>
      </w:r>
      <w:r>
        <w:rPr>
          <w:rFonts w:ascii="Times New Roman" w:hAnsi="Times New Roman" w:cs="Times New Roman"/>
          <w:sz w:val="21"/>
          <w:szCs w:val="21"/>
        </w:rPr>
        <w:t>оякісним людським потенціалом –</w:t>
      </w:r>
      <w:r w:rsidRPr="00D416D3">
        <w:rPr>
          <w:rFonts w:ascii="Times New Roman" w:hAnsi="Times New Roman" w:cs="Times New Roman"/>
          <w:sz w:val="21"/>
          <w:szCs w:val="21"/>
        </w:rPr>
        <w:t xml:space="preserve"> фахівцями високої кваліфікації. </w:t>
      </w:r>
    </w:p>
    <w:p w:rsidR="00B233DE" w:rsidRDefault="00B233DE" w:rsidP="00B233DE">
      <w:pPr>
        <w:autoSpaceDE w:val="0"/>
        <w:autoSpaceDN w:val="0"/>
        <w:adjustRightInd w:val="0"/>
        <w:jc w:val="right"/>
        <w:rPr>
          <w:rFonts w:ascii="Times New Roman" w:hAnsi="Times New Roman" w:cs="Times New Roman"/>
          <w:sz w:val="21"/>
          <w:szCs w:val="21"/>
        </w:rPr>
      </w:pPr>
    </w:p>
    <w:p w:rsidR="00B233DE" w:rsidRPr="00D416D3" w:rsidRDefault="00B233DE" w:rsidP="00B233DE">
      <w:pPr>
        <w:autoSpaceDE w:val="0"/>
        <w:autoSpaceDN w:val="0"/>
        <w:adjustRightInd w:val="0"/>
        <w:jc w:val="right"/>
        <w:rPr>
          <w:rFonts w:ascii="Times New Roman" w:hAnsi="Times New Roman" w:cs="Times New Roman"/>
          <w:sz w:val="21"/>
          <w:szCs w:val="21"/>
        </w:rPr>
      </w:pPr>
      <w:r>
        <w:rPr>
          <w:rFonts w:ascii="Times New Roman" w:hAnsi="Times New Roman" w:cs="Times New Roman"/>
          <w:sz w:val="21"/>
          <w:szCs w:val="21"/>
        </w:rPr>
        <w:lastRenderedPageBreak/>
        <w:t>Таблиця 1.7</w:t>
      </w:r>
    </w:p>
    <w:p w:rsidR="00B233DE" w:rsidRPr="0043261E" w:rsidRDefault="00B233DE" w:rsidP="00B233DE">
      <w:pPr>
        <w:autoSpaceDE w:val="0"/>
        <w:autoSpaceDN w:val="0"/>
        <w:adjustRightInd w:val="0"/>
        <w:jc w:val="center"/>
        <w:rPr>
          <w:rFonts w:ascii="Times New Roman" w:hAnsi="Times New Roman" w:cs="Times New Roman"/>
          <w:b/>
          <w:sz w:val="21"/>
          <w:szCs w:val="21"/>
        </w:rPr>
      </w:pPr>
      <w:r w:rsidRPr="0043261E">
        <w:rPr>
          <w:rFonts w:ascii="Times New Roman" w:hAnsi="Times New Roman" w:cs="Times New Roman"/>
          <w:b/>
          <w:sz w:val="21"/>
          <w:szCs w:val="21"/>
        </w:rPr>
        <w:t>Сучасні соціально-економічні концепції та їх значення у розвитку людського потенціалу*</w:t>
      </w:r>
    </w:p>
    <w:tbl>
      <w:tblPr>
        <w:tblW w:w="6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9"/>
        <w:gridCol w:w="2977"/>
        <w:gridCol w:w="2268"/>
      </w:tblGrid>
      <w:tr w:rsidR="00B233DE" w:rsidRPr="000F4E88" w:rsidTr="0023489B">
        <w:tc>
          <w:tcPr>
            <w:tcW w:w="959" w:type="dxa"/>
            <w:shd w:val="clear" w:color="auto" w:fill="auto"/>
            <w:vAlign w:val="center"/>
          </w:tcPr>
          <w:p w:rsidR="00B233DE" w:rsidRPr="000F4E88" w:rsidRDefault="00B233DE" w:rsidP="0023489B">
            <w:pPr>
              <w:autoSpaceDE w:val="0"/>
              <w:autoSpaceDN w:val="0"/>
              <w:adjustRightInd w:val="0"/>
              <w:ind w:left="-142" w:right="-108" w:firstLine="0"/>
              <w:jc w:val="center"/>
              <w:rPr>
                <w:rFonts w:ascii="Times New Roman" w:eastAsia="SimSun" w:hAnsi="Times New Roman" w:cs="Times New Roman"/>
                <w:sz w:val="15"/>
                <w:szCs w:val="15"/>
              </w:rPr>
            </w:pPr>
            <w:r w:rsidRPr="000F4E88">
              <w:rPr>
                <w:rFonts w:ascii="Times New Roman" w:eastAsia="SimSun" w:hAnsi="Times New Roman" w:cs="Times New Roman"/>
                <w:sz w:val="15"/>
                <w:szCs w:val="15"/>
              </w:rPr>
              <w:t>Концепція</w:t>
            </w:r>
            <w:r>
              <w:rPr>
                <w:rFonts w:ascii="Times New Roman" w:eastAsia="SimSun" w:hAnsi="Times New Roman" w:cs="Times New Roman"/>
                <w:sz w:val="15"/>
                <w:szCs w:val="15"/>
              </w:rPr>
              <w:t xml:space="preserve"> та провідні дослідники</w:t>
            </w:r>
          </w:p>
        </w:tc>
        <w:tc>
          <w:tcPr>
            <w:tcW w:w="2977" w:type="dxa"/>
            <w:shd w:val="clear" w:color="auto" w:fill="auto"/>
            <w:vAlign w:val="center"/>
          </w:tcPr>
          <w:p w:rsidR="00B233DE" w:rsidRPr="000F4E88" w:rsidRDefault="00B233DE" w:rsidP="0023489B">
            <w:pPr>
              <w:autoSpaceDE w:val="0"/>
              <w:autoSpaceDN w:val="0"/>
              <w:adjustRightInd w:val="0"/>
              <w:ind w:right="-108" w:firstLine="0"/>
              <w:jc w:val="center"/>
              <w:rPr>
                <w:rFonts w:ascii="Times New Roman" w:eastAsia="SimSun" w:hAnsi="Times New Roman" w:cs="Times New Roman"/>
                <w:sz w:val="15"/>
                <w:szCs w:val="15"/>
              </w:rPr>
            </w:pPr>
            <w:r w:rsidRPr="000F4E88">
              <w:rPr>
                <w:rFonts w:ascii="Times New Roman" w:eastAsia="SimSun" w:hAnsi="Times New Roman" w:cs="Times New Roman"/>
                <w:sz w:val="15"/>
                <w:szCs w:val="15"/>
              </w:rPr>
              <w:t>Сутність</w:t>
            </w:r>
          </w:p>
        </w:tc>
        <w:tc>
          <w:tcPr>
            <w:tcW w:w="2268" w:type="dxa"/>
            <w:shd w:val="clear" w:color="auto" w:fill="auto"/>
            <w:vAlign w:val="center"/>
          </w:tcPr>
          <w:p w:rsidR="00B233DE" w:rsidRPr="000F4E88" w:rsidRDefault="00B233DE" w:rsidP="0023489B">
            <w:pPr>
              <w:autoSpaceDE w:val="0"/>
              <w:autoSpaceDN w:val="0"/>
              <w:adjustRightInd w:val="0"/>
              <w:ind w:right="-108" w:firstLine="0"/>
              <w:jc w:val="center"/>
              <w:rPr>
                <w:rFonts w:ascii="Times New Roman" w:eastAsia="SimSun" w:hAnsi="Times New Roman" w:cs="Times New Roman"/>
                <w:sz w:val="15"/>
                <w:szCs w:val="15"/>
              </w:rPr>
            </w:pPr>
            <w:r w:rsidRPr="000F4E88">
              <w:rPr>
                <w:rFonts w:ascii="Times New Roman" w:eastAsia="SimSun" w:hAnsi="Times New Roman" w:cs="Times New Roman"/>
                <w:sz w:val="15"/>
                <w:szCs w:val="15"/>
              </w:rPr>
              <w:t>Пріоритетні напрями розвитку людського потенціалу</w:t>
            </w:r>
          </w:p>
        </w:tc>
      </w:tr>
      <w:tr w:rsidR="00B233DE" w:rsidRPr="000F4E88" w:rsidTr="0023489B">
        <w:tc>
          <w:tcPr>
            <w:tcW w:w="959" w:type="dxa"/>
            <w:shd w:val="clear" w:color="auto" w:fill="auto"/>
            <w:vAlign w:val="center"/>
          </w:tcPr>
          <w:p w:rsidR="00B233DE" w:rsidRPr="000F4E88" w:rsidRDefault="00B233DE" w:rsidP="0023489B">
            <w:pPr>
              <w:autoSpaceDE w:val="0"/>
              <w:autoSpaceDN w:val="0"/>
              <w:adjustRightInd w:val="0"/>
              <w:ind w:left="-142" w:right="-108" w:firstLine="0"/>
              <w:jc w:val="center"/>
              <w:rPr>
                <w:rFonts w:ascii="Times New Roman" w:eastAsia="SimSun" w:hAnsi="Times New Roman" w:cs="Times New Roman"/>
                <w:sz w:val="15"/>
                <w:szCs w:val="15"/>
              </w:rPr>
            </w:pPr>
            <w:r>
              <w:rPr>
                <w:rFonts w:ascii="Times New Roman" w:eastAsia="SimSun" w:hAnsi="Times New Roman" w:cs="Times New Roman"/>
                <w:sz w:val="15"/>
                <w:szCs w:val="15"/>
              </w:rPr>
              <w:t>1</w:t>
            </w:r>
          </w:p>
        </w:tc>
        <w:tc>
          <w:tcPr>
            <w:tcW w:w="2977" w:type="dxa"/>
            <w:shd w:val="clear" w:color="auto" w:fill="auto"/>
            <w:vAlign w:val="center"/>
          </w:tcPr>
          <w:p w:rsidR="00B233DE" w:rsidRPr="000F4E88" w:rsidRDefault="00B233DE" w:rsidP="0023489B">
            <w:pPr>
              <w:autoSpaceDE w:val="0"/>
              <w:autoSpaceDN w:val="0"/>
              <w:adjustRightInd w:val="0"/>
              <w:ind w:right="-108" w:firstLine="0"/>
              <w:jc w:val="center"/>
              <w:rPr>
                <w:rFonts w:ascii="Times New Roman" w:eastAsia="SimSun" w:hAnsi="Times New Roman" w:cs="Times New Roman"/>
                <w:sz w:val="15"/>
                <w:szCs w:val="15"/>
              </w:rPr>
            </w:pPr>
            <w:r>
              <w:rPr>
                <w:rFonts w:ascii="Times New Roman" w:eastAsia="SimSun" w:hAnsi="Times New Roman" w:cs="Times New Roman"/>
                <w:sz w:val="15"/>
                <w:szCs w:val="15"/>
              </w:rPr>
              <w:t>2</w:t>
            </w:r>
          </w:p>
        </w:tc>
        <w:tc>
          <w:tcPr>
            <w:tcW w:w="2268" w:type="dxa"/>
            <w:shd w:val="clear" w:color="auto" w:fill="auto"/>
            <w:vAlign w:val="center"/>
          </w:tcPr>
          <w:p w:rsidR="00B233DE" w:rsidRPr="000F4E88" w:rsidRDefault="00B233DE" w:rsidP="0023489B">
            <w:pPr>
              <w:autoSpaceDE w:val="0"/>
              <w:autoSpaceDN w:val="0"/>
              <w:adjustRightInd w:val="0"/>
              <w:ind w:right="-108" w:firstLine="0"/>
              <w:jc w:val="center"/>
              <w:rPr>
                <w:rFonts w:ascii="Times New Roman" w:eastAsia="SimSun" w:hAnsi="Times New Roman" w:cs="Times New Roman"/>
                <w:sz w:val="15"/>
                <w:szCs w:val="15"/>
              </w:rPr>
            </w:pPr>
            <w:r>
              <w:rPr>
                <w:rFonts w:ascii="Times New Roman" w:eastAsia="SimSun" w:hAnsi="Times New Roman" w:cs="Times New Roman"/>
                <w:sz w:val="15"/>
                <w:szCs w:val="15"/>
              </w:rPr>
              <w:t>3</w:t>
            </w:r>
          </w:p>
        </w:tc>
      </w:tr>
      <w:tr w:rsidR="00B233DE" w:rsidRPr="000F4E88" w:rsidTr="0023489B">
        <w:tc>
          <w:tcPr>
            <w:tcW w:w="959" w:type="dxa"/>
            <w:shd w:val="clear" w:color="auto" w:fill="auto"/>
            <w:vAlign w:val="center"/>
          </w:tcPr>
          <w:p w:rsidR="00B233DE" w:rsidRDefault="00B233DE" w:rsidP="0023489B">
            <w:pPr>
              <w:autoSpaceDE w:val="0"/>
              <w:autoSpaceDN w:val="0"/>
              <w:adjustRightInd w:val="0"/>
              <w:ind w:left="-142" w:right="-108" w:firstLine="0"/>
              <w:jc w:val="center"/>
              <w:rPr>
                <w:rFonts w:ascii="Times New Roman" w:eastAsia="SimSun" w:hAnsi="Times New Roman" w:cs="Times New Roman"/>
                <w:sz w:val="15"/>
                <w:szCs w:val="15"/>
              </w:rPr>
            </w:pPr>
            <w:r w:rsidRPr="000F4E88">
              <w:rPr>
                <w:rFonts w:ascii="Times New Roman" w:eastAsia="SimSun" w:hAnsi="Times New Roman" w:cs="Times New Roman"/>
                <w:sz w:val="15"/>
                <w:szCs w:val="15"/>
              </w:rPr>
              <w:t>Концепція людського розвитку</w:t>
            </w:r>
            <w:r>
              <w:rPr>
                <w:rFonts w:ascii="Times New Roman" w:eastAsia="SimSun" w:hAnsi="Times New Roman" w:cs="Times New Roman"/>
                <w:sz w:val="15"/>
                <w:szCs w:val="15"/>
              </w:rPr>
              <w:t xml:space="preserve"> </w:t>
            </w:r>
          </w:p>
          <w:p w:rsidR="00B233DE" w:rsidRPr="000F4E88" w:rsidRDefault="00B233DE" w:rsidP="0023489B">
            <w:pPr>
              <w:autoSpaceDE w:val="0"/>
              <w:autoSpaceDN w:val="0"/>
              <w:adjustRightInd w:val="0"/>
              <w:ind w:left="-142" w:right="-108" w:firstLine="0"/>
              <w:jc w:val="center"/>
              <w:rPr>
                <w:rFonts w:ascii="Times New Roman" w:eastAsia="SimSun" w:hAnsi="Times New Roman" w:cs="Times New Roman"/>
                <w:sz w:val="15"/>
                <w:szCs w:val="15"/>
              </w:rPr>
            </w:pPr>
            <w:r>
              <w:rPr>
                <w:rFonts w:ascii="Times New Roman" w:eastAsia="SimSun" w:hAnsi="Times New Roman" w:cs="Times New Roman"/>
                <w:sz w:val="15"/>
                <w:szCs w:val="15"/>
              </w:rPr>
              <w:t>(А. Сен)</w:t>
            </w:r>
          </w:p>
        </w:tc>
        <w:tc>
          <w:tcPr>
            <w:tcW w:w="2977" w:type="dxa"/>
            <w:shd w:val="clear" w:color="auto" w:fill="auto"/>
            <w:vAlign w:val="center"/>
          </w:tcPr>
          <w:p w:rsidR="00B233DE" w:rsidRPr="000F4E88" w:rsidRDefault="00B233DE" w:rsidP="0023489B">
            <w:pPr>
              <w:autoSpaceDE w:val="0"/>
              <w:autoSpaceDN w:val="0"/>
              <w:adjustRightInd w:val="0"/>
              <w:ind w:left="-108" w:firstLine="108"/>
              <w:jc w:val="both"/>
              <w:rPr>
                <w:rFonts w:ascii="Times New Roman" w:eastAsia="SimSun" w:hAnsi="Times New Roman" w:cs="Times New Roman"/>
                <w:sz w:val="15"/>
                <w:szCs w:val="15"/>
              </w:rPr>
            </w:pPr>
            <w:r w:rsidRPr="000F4E88">
              <w:rPr>
                <w:rFonts w:ascii="Times New Roman" w:eastAsia="SimSun" w:hAnsi="Times New Roman" w:cs="Times New Roman"/>
                <w:sz w:val="15"/>
                <w:szCs w:val="15"/>
              </w:rPr>
              <w:t>Розширення людського вибору, що забезпечується трьома базовими складовими: прожити довге і здорове життя, отримати освіту, мати гідний рівень життя, а також іншими гарантованими правами людини</w:t>
            </w:r>
          </w:p>
        </w:tc>
        <w:tc>
          <w:tcPr>
            <w:tcW w:w="2268" w:type="dxa"/>
            <w:shd w:val="clear" w:color="auto" w:fill="auto"/>
            <w:vAlign w:val="center"/>
          </w:tcPr>
          <w:p w:rsidR="00B233DE" w:rsidRPr="00D527D5" w:rsidRDefault="00B233DE" w:rsidP="0023489B">
            <w:pPr>
              <w:autoSpaceDE w:val="0"/>
              <w:autoSpaceDN w:val="0"/>
              <w:adjustRightInd w:val="0"/>
              <w:ind w:left="-108" w:firstLine="108"/>
              <w:jc w:val="both"/>
              <w:rPr>
                <w:rFonts w:ascii="Times New Roman" w:eastAsia="SimSun" w:hAnsi="Times New Roman" w:cs="Times New Roman"/>
                <w:spacing w:val="-8"/>
                <w:sz w:val="15"/>
                <w:szCs w:val="15"/>
              </w:rPr>
            </w:pPr>
            <w:r w:rsidRPr="000F4E88">
              <w:rPr>
                <w:rFonts w:ascii="Times New Roman" w:eastAsia="SimSun" w:hAnsi="Times New Roman" w:cs="Times New Roman"/>
                <w:spacing w:val="-8"/>
                <w:sz w:val="15"/>
                <w:szCs w:val="15"/>
              </w:rPr>
              <w:t>1. Вирішення проблем населення, його</w:t>
            </w:r>
            <w:r w:rsidRPr="000F4E88">
              <w:rPr>
                <w:rFonts w:ascii="Times New Roman" w:eastAsia="SimSun" w:hAnsi="Times New Roman" w:cs="Times New Roman"/>
                <w:sz w:val="15"/>
                <w:szCs w:val="15"/>
              </w:rPr>
              <w:t xml:space="preserve"> </w:t>
            </w:r>
            <w:r w:rsidRPr="000F4E88">
              <w:rPr>
                <w:rFonts w:ascii="Times New Roman" w:eastAsia="SimSun" w:hAnsi="Times New Roman" w:cs="Times New Roman"/>
                <w:spacing w:val="-8"/>
                <w:sz w:val="15"/>
                <w:szCs w:val="15"/>
              </w:rPr>
              <w:t>соціальної залученості, рівності можливостей, вдосконалення соці</w:t>
            </w:r>
            <w:r>
              <w:rPr>
                <w:rFonts w:ascii="Times New Roman" w:eastAsia="SimSun" w:hAnsi="Times New Roman" w:cs="Times New Roman"/>
                <w:spacing w:val="-8"/>
                <w:sz w:val="15"/>
                <w:szCs w:val="15"/>
              </w:rPr>
              <w:t>-</w:t>
            </w:r>
            <w:r w:rsidRPr="000F4E88">
              <w:rPr>
                <w:rFonts w:ascii="Times New Roman" w:eastAsia="SimSun" w:hAnsi="Times New Roman" w:cs="Times New Roman"/>
                <w:spacing w:val="-8"/>
                <w:sz w:val="15"/>
                <w:szCs w:val="15"/>
              </w:rPr>
              <w:t>ально-</w:t>
            </w:r>
            <w:r w:rsidRPr="000F4E88">
              <w:rPr>
                <w:rFonts w:ascii="Times New Roman" w:eastAsia="SimSun" w:hAnsi="Times New Roman" w:cs="Times New Roman"/>
                <w:sz w:val="15"/>
                <w:szCs w:val="15"/>
              </w:rPr>
              <w:t>трудових відносин за раху</w:t>
            </w:r>
            <w:r>
              <w:rPr>
                <w:rFonts w:ascii="Times New Roman" w:eastAsia="SimSun" w:hAnsi="Times New Roman" w:cs="Times New Roman"/>
                <w:sz w:val="15"/>
                <w:szCs w:val="15"/>
              </w:rPr>
              <w:t>-</w:t>
            </w:r>
            <w:r w:rsidRPr="00D527D5">
              <w:rPr>
                <w:rFonts w:ascii="Times New Roman" w:eastAsia="SimSun" w:hAnsi="Times New Roman" w:cs="Times New Roman"/>
                <w:spacing w:val="-8"/>
                <w:sz w:val="15"/>
                <w:szCs w:val="15"/>
              </w:rPr>
              <w:t>нок ефективної соціальної політики</w:t>
            </w:r>
          </w:p>
          <w:p w:rsidR="00B233DE" w:rsidRPr="000F4E88" w:rsidRDefault="00B233DE" w:rsidP="0023489B">
            <w:pPr>
              <w:autoSpaceDE w:val="0"/>
              <w:autoSpaceDN w:val="0"/>
              <w:adjustRightInd w:val="0"/>
              <w:ind w:left="-108" w:firstLine="108"/>
              <w:jc w:val="both"/>
              <w:rPr>
                <w:rFonts w:ascii="Times New Roman" w:eastAsia="SimSun" w:hAnsi="Times New Roman" w:cs="Times New Roman"/>
                <w:sz w:val="15"/>
                <w:szCs w:val="15"/>
              </w:rPr>
            </w:pPr>
            <w:r w:rsidRPr="00D527D5">
              <w:rPr>
                <w:rFonts w:ascii="Times New Roman" w:eastAsia="SimSun" w:hAnsi="Times New Roman" w:cs="Times New Roman"/>
                <w:spacing w:val="-8"/>
                <w:sz w:val="15"/>
                <w:szCs w:val="15"/>
              </w:rPr>
              <w:t>2. Підтримка гідного рівня та якості</w:t>
            </w:r>
            <w:r w:rsidRPr="000F4E88">
              <w:rPr>
                <w:rFonts w:ascii="Times New Roman" w:eastAsia="SimSun" w:hAnsi="Times New Roman" w:cs="Times New Roman"/>
                <w:sz w:val="15"/>
                <w:szCs w:val="15"/>
              </w:rPr>
              <w:t xml:space="preserve"> </w:t>
            </w:r>
            <w:r w:rsidRPr="000F4E88">
              <w:rPr>
                <w:rFonts w:ascii="Times New Roman" w:eastAsia="SimSun" w:hAnsi="Times New Roman" w:cs="Times New Roman"/>
                <w:spacing w:val="-8"/>
                <w:sz w:val="15"/>
                <w:szCs w:val="15"/>
              </w:rPr>
              <w:t>життя населення шляхом макро</w:t>
            </w:r>
            <w:r>
              <w:rPr>
                <w:rFonts w:ascii="Times New Roman" w:eastAsia="SimSun" w:hAnsi="Times New Roman" w:cs="Times New Roman"/>
                <w:spacing w:val="-8"/>
                <w:sz w:val="15"/>
                <w:szCs w:val="15"/>
              </w:rPr>
              <w:t>-</w:t>
            </w:r>
            <w:r w:rsidRPr="000F4E88">
              <w:rPr>
                <w:rFonts w:ascii="Times New Roman" w:eastAsia="SimSun" w:hAnsi="Times New Roman" w:cs="Times New Roman"/>
                <w:spacing w:val="-8"/>
                <w:sz w:val="15"/>
                <w:szCs w:val="15"/>
              </w:rPr>
              <w:t>еконо</w:t>
            </w:r>
            <w:r w:rsidRPr="000F4E88">
              <w:rPr>
                <w:rFonts w:ascii="Times New Roman" w:eastAsia="SimSun" w:hAnsi="Times New Roman" w:cs="Times New Roman"/>
                <w:spacing w:val="-6"/>
                <w:sz w:val="15"/>
                <w:szCs w:val="15"/>
              </w:rPr>
              <w:t>мічної стабілізації та вдоско</w:t>
            </w:r>
            <w:r>
              <w:rPr>
                <w:rFonts w:ascii="Times New Roman" w:eastAsia="SimSun" w:hAnsi="Times New Roman" w:cs="Times New Roman"/>
                <w:spacing w:val="-6"/>
                <w:sz w:val="15"/>
                <w:szCs w:val="15"/>
              </w:rPr>
              <w:t>-</w:t>
            </w:r>
            <w:r w:rsidRPr="000F4E88">
              <w:rPr>
                <w:rFonts w:ascii="Times New Roman" w:eastAsia="SimSun" w:hAnsi="Times New Roman" w:cs="Times New Roman"/>
                <w:spacing w:val="-6"/>
                <w:sz w:val="15"/>
                <w:szCs w:val="15"/>
              </w:rPr>
              <w:t>налення</w:t>
            </w:r>
            <w:r w:rsidRPr="000F4E88">
              <w:rPr>
                <w:rFonts w:ascii="Times New Roman" w:eastAsia="SimSun" w:hAnsi="Times New Roman" w:cs="Times New Roman"/>
                <w:sz w:val="15"/>
                <w:szCs w:val="15"/>
              </w:rPr>
              <w:t xml:space="preserve"> систем соціального забезпечення</w:t>
            </w:r>
            <w:r>
              <w:rPr>
                <w:rFonts w:ascii="Times New Roman" w:eastAsia="SimSun" w:hAnsi="Times New Roman" w:cs="Times New Roman"/>
                <w:sz w:val="15"/>
                <w:szCs w:val="15"/>
              </w:rPr>
              <w:t xml:space="preserve"> </w:t>
            </w:r>
            <w:r w:rsidRPr="000F4E88">
              <w:rPr>
                <w:rFonts w:ascii="Times New Roman" w:eastAsia="SimSun" w:hAnsi="Times New Roman" w:cs="Times New Roman"/>
                <w:sz w:val="15"/>
                <w:szCs w:val="15"/>
              </w:rPr>
              <w:t>і захисту</w:t>
            </w:r>
          </w:p>
        </w:tc>
      </w:tr>
      <w:tr w:rsidR="00B233DE" w:rsidRPr="000F4E88" w:rsidTr="0023489B">
        <w:tc>
          <w:tcPr>
            <w:tcW w:w="959" w:type="dxa"/>
            <w:shd w:val="clear" w:color="auto" w:fill="auto"/>
            <w:vAlign w:val="center"/>
          </w:tcPr>
          <w:p w:rsidR="00B233DE" w:rsidRDefault="00B233DE" w:rsidP="0023489B">
            <w:pPr>
              <w:autoSpaceDE w:val="0"/>
              <w:autoSpaceDN w:val="0"/>
              <w:adjustRightInd w:val="0"/>
              <w:ind w:left="-142" w:right="-108" w:firstLine="0"/>
              <w:jc w:val="center"/>
              <w:rPr>
                <w:rFonts w:ascii="Times New Roman" w:eastAsia="SimSun" w:hAnsi="Times New Roman" w:cs="Times New Roman"/>
                <w:sz w:val="15"/>
                <w:szCs w:val="15"/>
              </w:rPr>
            </w:pPr>
            <w:r w:rsidRPr="000F4E88">
              <w:rPr>
                <w:rFonts w:ascii="Times New Roman" w:eastAsia="SimSun" w:hAnsi="Times New Roman" w:cs="Times New Roman"/>
                <w:sz w:val="15"/>
                <w:szCs w:val="15"/>
              </w:rPr>
              <w:t>Теорія постіндустрі-ального суспільства (концепція інформацій-ного суспільства, концепція економіки знань)</w:t>
            </w:r>
          </w:p>
          <w:p w:rsidR="00B233DE" w:rsidRPr="000F4E88" w:rsidRDefault="00B233DE" w:rsidP="0023489B">
            <w:pPr>
              <w:autoSpaceDE w:val="0"/>
              <w:autoSpaceDN w:val="0"/>
              <w:adjustRightInd w:val="0"/>
              <w:ind w:left="-108" w:right="-108" w:firstLine="0"/>
              <w:jc w:val="center"/>
              <w:rPr>
                <w:rFonts w:ascii="Times New Roman" w:eastAsia="SimSun" w:hAnsi="Times New Roman" w:cs="Times New Roman"/>
                <w:sz w:val="15"/>
                <w:szCs w:val="15"/>
              </w:rPr>
            </w:pPr>
            <w:r>
              <w:rPr>
                <w:rFonts w:ascii="Times New Roman" w:eastAsia="SimSun" w:hAnsi="Times New Roman" w:cs="Times New Roman"/>
                <w:sz w:val="15"/>
                <w:szCs w:val="15"/>
              </w:rPr>
              <w:t>(</w:t>
            </w:r>
            <w:r w:rsidRPr="000F4E88">
              <w:rPr>
                <w:rFonts w:ascii="Times New Roman" w:eastAsia="SimSun" w:hAnsi="Times New Roman" w:cs="Times New Roman"/>
                <w:sz w:val="15"/>
                <w:szCs w:val="15"/>
              </w:rPr>
              <w:t>Д. Белл,</w:t>
            </w:r>
          </w:p>
          <w:p w:rsidR="00B233DE" w:rsidRPr="000F4E88" w:rsidRDefault="00B233DE" w:rsidP="0023489B">
            <w:pPr>
              <w:autoSpaceDE w:val="0"/>
              <w:autoSpaceDN w:val="0"/>
              <w:adjustRightInd w:val="0"/>
              <w:ind w:left="-108" w:right="-108" w:firstLine="0"/>
              <w:jc w:val="center"/>
              <w:rPr>
                <w:rFonts w:ascii="Times New Roman" w:eastAsia="SimSun" w:hAnsi="Times New Roman" w:cs="Times New Roman"/>
                <w:spacing w:val="-4"/>
                <w:sz w:val="15"/>
                <w:szCs w:val="15"/>
              </w:rPr>
            </w:pPr>
            <w:r w:rsidRPr="000F4E88">
              <w:rPr>
                <w:rFonts w:ascii="Times New Roman" w:eastAsia="SimSun" w:hAnsi="Times New Roman" w:cs="Times New Roman"/>
                <w:spacing w:val="-4"/>
                <w:sz w:val="15"/>
                <w:szCs w:val="15"/>
              </w:rPr>
              <w:t>М. Кастельс,</w:t>
            </w:r>
          </w:p>
          <w:p w:rsidR="00B233DE" w:rsidRPr="000F4E88" w:rsidRDefault="00B233DE" w:rsidP="0023489B">
            <w:pPr>
              <w:autoSpaceDE w:val="0"/>
              <w:autoSpaceDN w:val="0"/>
              <w:adjustRightInd w:val="0"/>
              <w:ind w:left="-108" w:right="-108" w:firstLine="0"/>
              <w:jc w:val="center"/>
              <w:rPr>
                <w:rFonts w:ascii="Times New Roman" w:eastAsia="SimSun" w:hAnsi="Times New Roman" w:cs="Times New Roman"/>
                <w:sz w:val="15"/>
                <w:szCs w:val="15"/>
              </w:rPr>
            </w:pPr>
            <w:r w:rsidRPr="000F4E88">
              <w:rPr>
                <w:rFonts w:ascii="Times New Roman" w:eastAsia="SimSun" w:hAnsi="Times New Roman" w:cs="Times New Roman"/>
                <w:sz w:val="15"/>
                <w:szCs w:val="15"/>
              </w:rPr>
              <w:t>Е. Тоффлер,</w:t>
            </w:r>
          </w:p>
          <w:p w:rsidR="00B233DE" w:rsidRPr="000F4E88" w:rsidRDefault="00B233DE" w:rsidP="0023489B">
            <w:pPr>
              <w:autoSpaceDE w:val="0"/>
              <w:autoSpaceDN w:val="0"/>
              <w:adjustRightInd w:val="0"/>
              <w:ind w:left="-108" w:right="-108" w:firstLine="0"/>
              <w:jc w:val="center"/>
              <w:rPr>
                <w:rFonts w:ascii="Times New Roman" w:eastAsia="SimSun" w:hAnsi="Times New Roman" w:cs="Times New Roman"/>
                <w:spacing w:val="-6"/>
                <w:sz w:val="15"/>
                <w:szCs w:val="15"/>
              </w:rPr>
            </w:pPr>
            <w:r w:rsidRPr="000F4E88">
              <w:rPr>
                <w:rFonts w:ascii="Times New Roman" w:eastAsia="SimSun" w:hAnsi="Times New Roman" w:cs="Times New Roman"/>
                <w:spacing w:val="-6"/>
                <w:sz w:val="15"/>
                <w:szCs w:val="15"/>
              </w:rPr>
              <w:t>В. Іноземцев,</w:t>
            </w:r>
          </w:p>
          <w:p w:rsidR="00B233DE" w:rsidRPr="000F4E88" w:rsidRDefault="00B233DE" w:rsidP="0023489B">
            <w:pPr>
              <w:autoSpaceDE w:val="0"/>
              <w:autoSpaceDN w:val="0"/>
              <w:adjustRightInd w:val="0"/>
              <w:ind w:left="-142" w:right="-108" w:firstLine="0"/>
              <w:jc w:val="center"/>
              <w:rPr>
                <w:rFonts w:ascii="Times New Roman" w:eastAsia="SimSun" w:hAnsi="Times New Roman" w:cs="Times New Roman"/>
                <w:sz w:val="15"/>
                <w:szCs w:val="15"/>
              </w:rPr>
            </w:pPr>
            <w:r w:rsidRPr="000F4E88">
              <w:rPr>
                <w:rFonts w:ascii="Times New Roman" w:eastAsia="SimSun" w:hAnsi="Times New Roman" w:cs="Times New Roman"/>
                <w:sz w:val="15"/>
                <w:szCs w:val="15"/>
              </w:rPr>
              <w:t>А. Чухно</w:t>
            </w:r>
            <w:r>
              <w:rPr>
                <w:rFonts w:ascii="Times New Roman" w:eastAsia="SimSun" w:hAnsi="Times New Roman" w:cs="Times New Roman"/>
                <w:sz w:val="15"/>
                <w:szCs w:val="15"/>
              </w:rPr>
              <w:t>)</w:t>
            </w:r>
          </w:p>
        </w:tc>
        <w:tc>
          <w:tcPr>
            <w:tcW w:w="2977" w:type="dxa"/>
            <w:shd w:val="clear" w:color="auto" w:fill="auto"/>
            <w:vAlign w:val="center"/>
          </w:tcPr>
          <w:p w:rsidR="00B233DE" w:rsidRPr="000F4E88" w:rsidRDefault="00B233DE" w:rsidP="0023489B">
            <w:pPr>
              <w:autoSpaceDE w:val="0"/>
              <w:autoSpaceDN w:val="0"/>
              <w:adjustRightInd w:val="0"/>
              <w:ind w:left="-108" w:firstLine="108"/>
              <w:jc w:val="both"/>
              <w:rPr>
                <w:rFonts w:ascii="Times New Roman" w:eastAsia="SimSun" w:hAnsi="Times New Roman" w:cs="Times New Roman"/>
                <w:sz w:val="15"/>
                <w:szCs w:val="15"/>
              </w:rPr>
            </w:pPr>
            <w:r w:rsidRPr="00EC348A">
              <w:rPr>
                <w:rFonts w:ascii="Times New Roman" w:eastAsia="SimSun" w:hAnsi="Times New Roman" w:cs="Times New Roman"/>
                <w:spacing w:val="-6"/>
                <w:sz w:val="15"/>
                <w:szCs w:val="15"/>
              </w:rPr>
              <w:t xml:space="preserve">1. </w:t>
            </w:r>
            <w:r w:rsidRPr="00DB2011">
              <w:rPr>
                <w:rFonts w:ascii="Times New Roman" w:eastAsia="SimSun" w:hAnsi="Times New Roman" w:cs="Times New Roman"/>
                <w:sz w:val="15"/>
                <w:szCs w:val="15"/>
              </w:rPr>
              <w:t>Інтенсивне виробництво та розпо</w:t>
            </w:r>
            <w:r>
              <w:rPr>
                <w:rFonts w:ascii="Times New Roman" w:eastAsia="SimSun" w:hAnsi="Times New Roman" w:cs="Times New Roman"/>
                <w:sz w:val="15"/>
                <w:szCs w:val="15"/>
              </w:rPr>
              <w:t>-</w:t>
            </w:r>
            <w:r w:rsidRPr="00DB2011">
              <w:rPr>
                <w:rFonts w:ascii="Times New Roman" w:eastAsia="SimSun" w:hAnsi="Times New Roman" w:cs="Times New Roman"/>
                <w:sz w:val="15"/>
                <w:szCs w:val="15"/>
              </w:rPr>
              <w:t>всюдження</w:t>
            </w:r>
            <w:r w:rsidRPr="000F4E88">
              <w:rPr>
                <w:rFonts w:ascii="Times New Roman" w:eastAsia="SimSun" w:hAnsi="Times New Roman" w:cs="Times New Roman"/>
                <w:sz w:val="15"/>
                <w:szCs w:val="15"/>
              </w:rPr>
              <w:t xml:space="preserve"> знань внаслідок швидкого розвитку інформаційно-комунікаційних технологій </w:t>
            </w:r>
          </w:p>
          <w:p w:rsidR="00B233DE" w:rsidRPr="000F4E88" w:rsidRDefault="00B233DE" w:rsidP="0023489B">
            <w:pPr>
              <w:autoSpaceDE w:val="0"/>
              <w:autoSpaceDN w:val="0"/>
              <w:adjustRightInd w:val="0"/>
              <w:ind w:left="-108" w:firstLine="108"/>
              <w:jc w:val="both"/>
              <w:rPr>
                <w:rFonts w:ascii="Times New Roman" w:eastAsia="SimSun" w:hAnsi="Times New Roman" w:cs="Times New Roman"/>
                <w:sz w:val="15"/>
                <w:szCs w:val="15"/>
              </w:rPr>
            </w:pPr>
            <w:r>
              <w:rPr>
                <w:rFonts w:ascii="Times New Roman" w:eastAsia="SimSun" w:hAnsi="Times New Roman" w:cs="Times New Roman"/>
                <w:sz w:val="15"/>
                <w:szCs w:val="15"/>
              </w:rPr>
              <w:t xml:space="preserve">2. </w:t>
            </w:r>
            <w:r w:rsidRPr="000F4E88">
              <w:rPr>
                <w:rFonts w:ascii="Times New Roman" w:eastAsia="SimSun" w:hAnsi="Times New Roman" w:cs="Times New Roman"/>
                <w:sz w:val="15"/>
                <w:szCs w:val="15"/>
              </w:rPr>
              <w:t xml:space="preserve">Якісно новий розвиток науки </w:t>
            </w:r>
            <w:r>
              <w:rPr>
                <w:rFonts w:ascii="Times New Roman" w:eastAsia="SimSun" w:hAnsi="Times New Roman" w:cs="Times New Roman"/>
                <w:sz w:val="15"/>
                <w:szCs w:val="15"/>
              </w:rPr>
              <w:t>і тео-ретичного знання</w:t>
            </w:r>
          </w:p>
          <w:p w:rsidR="00B233DE" w:rsidRPr="000F4E88" w:rsidRDefault="00B233DE" w:rsidP="0023489B">
            <w:pPr>
              <w:autoSpaceDE w:val="0"/>
              <w:autoSpaceDN w:val="0"/>
              <w:adjustRightInd w:val="0"/>
              <w:ind w:left="-108" w:firstLine="108"/>
              <w:jc w:val="both"/>
              <w:rPr>
                <w:rFonts w:ascii="Times New Roman" w:eastAsia="SimSun" w:hAnsi="Times New Roman" w:cs="Times New Roman"/>
                <w:spacing w:val="-8"/>
                <w:sz w:val="15"/>
                <w:szCs w:val="15"/>
              </w:rPr>
            </w:pPr>
            <w:r w:rsidRPr="000F4E88">
              <w:rPr>
                <w:rFonts w:ascii="Times New Roman" w:eastAsia="SimSun" w:hAnsi="Times New Roman" w:cs="Times New Roman"/>
                <w:spacing w:val="-8"/>
                <w:sz w:val="15"/>
                <w:szCs w:val="15"/>
              </w:rPr>
              <w:t>3. Перетворення праці у творчу працю</w:t>
            </w:r>
          </w:p>
          <w:p w:rsidR="00B233DE" w:rsidRPr="000F4E88" w:rsidRDefault="00B233DE" w:rsidP="0023489B">
            <w:pPr>
              <w:autoSpaceDE w:val="0"/>
              <w:autoSpaceDN w:val="0"/>
              <w:adjustRightInd w:val="0"/>
              <w:ind w:left="-108" w:firstLine="108"/>
              <w:jc w:val="both"/>
              <w:rPr>
                <w:rFonts w:ascii="Times New Roman" w:eastAsia="SimSun" w:hAnsi="Times New Roman" w:cs="Times New Roman"/>
                <w:sz w:val="15"/>
                <w:szCs w:val="15"/>
              </w:rPr>
            </w:pPr>
            <w:r w:rsidRPr="00DB2011">
              <w:rPr>
                <w:rFonts w:ascii="Times New Roman" w:eastAsia="SimSun" w:hAnsi="Times New Roman" w:cs="Times New Roman"/>
                <w:spacing w:val="-8"/>
                <w:sz w:val="15"/>
                <w:szCs w:val="15"/>
              </w:rPr>
              <w:t>4. Становлення постматеріальної мотивації</w:t>
            </w:r>
            <w:r>
              <w:rPr>
                <w:rFonts w:ascii="Times New Roman" w:eastAsia="SimSun" w:hAnsi="Times New Roman" w:cs="Times New Roman"/>
                <w:sz w:val="15"/>
                <w:szCs w:val="15"/>
              </w:rPr>
              <w:t xml:space="preserve"> працюючих</w:t>
            </w:r>
          </w:p>
          <w:p w:rsidR="00B233DE" w:rsidRPr="00DB2011" w:rsidRDefault="00B233DE" w:rsidP="0023489B">
            <w:pPr>
              <w:autoSpaceDE w:val="0"/>
              <w:autoSpaceDN w:val="0"/>
              <w:adjustRightInd w:val="0"/>
              <w:ind w:left="-108" w:firstLine="108"/>
              <w:jc w:val="both"/>
              <w:rPr>
                <w:rFonts w:ascii="Times New Roman" w:eastAsia="SimSun" w:hAnsi="Times New Roman" w:cs="Times New Roman"/>
                <w:sz w:val="15"/>
                <w:szCs w:val="15"/>
              </w:rPr>
            </w:pPr>
            <w:r>
              <w:rPr>
                <w:rFonts w:ascii="Times New Roman" w:eastAsia="SimSun" w:hAnsi="Times New Roman" w:cs="Times New Roman"/>
                <w:sz w:val="15"/>
                <w:szCs w:val="15"/>
              </w:rPr>
              <w:t>5. </w:t>
            </w:r>
            <w:r w:rsidRPr="00DB2011">
              <w:rPr>
                <w:rFonts w:ascii="Times New Roman" w:eastAsia="SimSun" w:hAnsi="Times New Roman" w:cs="Times New Roman"/>
                <w:sz w:val="15"/>
                <w:szCs w:val="15"/>
              </w:rPr>
              <w:t>Продуктивність і конкурентоздатність економіки визначається здатністю генерувати нові знання та ефективно працювати з інформацією</w:t>
            </w:r>
          </w:p>
          <w:p w:rsidR="00B233DE" w:rsidRPr="000F4E88" w:rsidRDefault="00B233DE" w:rsidP="0023489B">
            <w:pPr>
              <w:autoSpaceDE w:val="0"/>
              <w:autoSpaceDN w:val="0"/>
              <w:adjustRightInd w:val="0"/>
              <w:ind w:left="-108" w:firstLine="108"/>
              <w:jc w:val="both"/>
              <w:rPr>
                <w:rFonts w:ascii="Times New Roman" w:eastAsia="SimSun" w:hAnsi="Times New Roman" w:cs="Times New Roman"/>
                <w:sz w:val="15"/>
                <w:szCs w:val="15"/>
              </w:rPr>
            </w:pPr>
            <w:r w:rsidRPr="00EC348A">
              <w:rPr>
                <w:rFonts w:ascii="Times New Roman" w:eastAsia="SimSun" w:hAnsi="Times New Roman" w:cs="Times New Roman"/>
                <w:spacing w:val="-6"/>
                <w:sz w:val="15"/>
                <w:szCs w:val="15"/>
              </w:rPr>
              <w:t>6. Всі сфери людської діяльності ґрун</w:t>
            </w:r>
            <w:r w:rsidRPr="000F4E88">
              <w:rPr>
                <w:rFonts w:ascii="Times New Roman" w:eastAsia="SimSun" w:hAnsi="Times New Roman" w:cs="Times New Roman"/>
                <w:sz w:val="15"/>
                <w:szCs w:val="15"/>
              </w:rPr>
              <w:t>туються на використанні інформ</w:t>
            </w:r>
            <w:r>
              <w:rPr>
                <w:rFonts w:ascii="Times New Roman" w:eastAsia="SimSun" w:hAnsi="Times New Roman" w:cs="Times New Roman"/>
                <w:sz w:val="15"/>
                <w:szCs w:val="15"/>
              </w:rPr>
              <w:t>ації та технологічних інновацій</w:t>
            </w:r>
          </w:p>
          <w:p w:rsidR="00B233DE" w:rsidRPr="000F4E88" w:rsidRDefault="00B233DE" w:rsidP="0023489B">
            <w:pPr>
              <w:autoSpaceDE w:val="0"/>
              <w:autoSpaceDN w:val="0"/>
              <w:adjustRightInd w:val="0"/>
              <w:ind w:left="-108" w:firstLine="108"/>
              <w:jc w:val="both"/>
              <w:rPr>
                <w:rFonts w:ascii="Times New Roman" w:eastAsia="SimSun" w:hAnsi="Times New Roman" w:cs="Times New Roman"/>
                <w:sz w:val="15"/>
                <w:szCs w:val="15"/>
              </w:rPr>
            </w:pPr>
            <w:r w:rsidRPr="000F4E88">
              <w:rPr>
                <w:rFonts w:ascii="Times New Roman" w:eastAsia="SimSun" w:hAnsi="Times New Roman" w:cs="Times New Roman"/>
                <w:sz w:val="15"/>
                <w:szCs w:val="15"/>
              </w:rPr>
              <w:t xml:space="preserve">7. Посилення щільності зв’язку між інтелектуальною діяльністю </w:t>
            </w:r>
            <w:r>
              <w:rPr>
                <w:rFonts w:ascii="Times New Roman" w:eastAsia="SimSun" w:hAnsi="Times New Roman" w:cs="Times New Roman"/>
                <w:sz w:val="15"/>
                <w:szCs w:val="15"/>
              </w:rPr>
              <w:t>і матеріаль-ним виробництвом</w:t>
            </w:r>
          </w:p>
          <w:p w:rsidR="00B233DE" w:rsidRPr="00DB2011" w:rsidRDefault="00B233DE" w:rsidP="0023489B">
            <w:pPr>
              <w:autoSpaceDE w:val="0"/>
              <w:autoSpaceDN w:val="0"/>
              <w:adjustRightInd w:val="0"/>
              <w:ind w:left="-108" w:firstLine="108"/>
              <w:jc w:val="both"/>
              <w:rPr>
                <w:rFonts w:ascii="Times New Roman" w:eastAsia="SimSun" w:hAnsi="Times New Roman" w:cs="Times New Roman"/>
                <w:spacing w:val="-8"/>
                <w:sz w:val="15"/>
                <w:szCs w:val="15"/>
              </w:rPr>
            </w:pPr>
            <w:r w:rsidRPr="00DB2011">
              <w:rPr>
                <w:rFonts w:ascii="Times New Roman" w:eastAsia="SimSun" w:hAnsi="Times New Roman" w:cs="Times New Roman"/>
                <w:sz w:val="15"/>
                <w:szCs w:val="15"/>
              </w:rPr>
              <w:t>8. Джерелом продуктивності економіки є людський</w:t>
            </w:r>
            <w:r w:rsidRPr="000F4E88">
              <w:rPr>
                <w:rFonts w:ascii="Times New Roman" w:eastAsia="SimSun" w:hAnsi="Times New Roman" w:cs="Times New Roman"/>
                <w:spacing w:val="-8"/>
                <w:sz w:val="15"/>
                <w:szCs w:val="15"/>
              </w:rPr>
              <w:t xml:space="preserve"> потенціал високого</w:t>
            </w:r>
            <w:r w:rsidRPr="000F4E88">
              <w:rPr>
                <w:rFonts w:ascii="Times New Roman" w:eastAsia="SimSun" w:hAnsi="Times New Roman" w:cs="Times New Roman"/>
                <w:sz w:val="15"/>
                <w:szCs w:val="15"/>
              </w:rPr>
              <w:t xml:space="preserve"> </w:t>
            </w:r>
            <w:r>
              <w:rPr>
                <w:rFonts w:ascii="Times New Roman" w:eastAsia="SimSun" w:hAnsi="Times New Roman" w:cs="Times New Roman"/>
                <w:sz w:val="15"/>
                <w:szCs w:val="15"/>
              </w:rPr>
              <w:t>освітньо-кваліфікаційного рівня</w:t>
            </w:r>
          </w:p>
          <w:p w:rsidR="00B233DE" w:rsidRPr="000F4E88" w:rsidRDefault="00B233DE" w:rsidP="0023489B">
            <w:pPr>
              <w:autoSpaceDE w:val="0"/>
              <w:autoSpaceDN w:val="0"/>
              <w:adjustRightInd w:val="0"/>
              <w:ind w:left="-108" w:firstLine="108"/>
              <w:jc w:val="both"/>
              <w:rPr>
                <w:rFonts w:ascii="Times New Roman" w:eastAsia="SimSun" w:hAnsi="Times New Roman" w:cs="Times New Roman"/>
                <w:sz w:val="15"/>
                <w:szCs w:val="15"/>
              </w:rPr>
            </w:pPr>
            <w:r w:rsidRPr="000F4E88">
              <w:rPr>
                <w:rFonts w:ascii="Times New Roman" w:eastAsia="SimSun" w:hAnsi="Times New Roman" w:cs="Times New Roman"/>
                <w:sz w:val="15"/>
                <w:szCs w:val="15"/>
              </w:rPr>
              <w:t>9. Розвиток людського потенціалу, що під</w:t>
            </w:r>
            <w:r>
              <w:rPr>
                <w:rFonts w:ascii="Times New Roman" w:eastAsia="SimSun" w:hAnsi="Times New Roman" w:cs="Times New Roman"/>
                <w:sz w:val="15"/>
                <w:szCs w:val="15"/>
              </w:rPr>
              <w:t>-</w:t>
            </w:r>
            <w:r w:rsidRPr="00D527D5">
              <w:rPr>
                <w:rFonts w:ascii="Times New Roman" w:eastAsia="SimSun" w:hAnsi="Times New Roman" w:cs="Times New Roman"/>
                <w:spacing w:val="-8"/>
                <w:sz w:val="15"/>
                <w:szCs w:val="15"/>
              </w:rPr>
              <w:t>тримується ефективною соціальною політикою,</w:t>
            </w:r>
            <w:r w:rsidRPr="000F4E88">
              <w:rPr>
                <w:rFonts w:ascii="Times New Roman" w:eastAsia="SimSun" w:hAnsi="Times New Roman" w:cs="Times New Roman"/>
                <w:sz w:val="15"/>
                <w:szCs w:val="15"/>
              </w:rPr>
              <w:t xml:space="preserve"> є</w:t>
            </w:r>
            <w:r>
              <w:rPr>
                <w:rFonts w:ascii="Times New Roman" w:eastAsia="SimSun" w:hAnsi="Times New Roman" w:cs="Times New Roman"/>
                <w:sz w:val="15"/>
                <w:szCs w:val="15"/>
              </w:rPr>
              <w:t xml:space="preserve"> основою економічного зростання</w:t>
            </w:r>
          </w:p>
          <w:p w:rsidR="00B233DE" w:rsidRPr="000F4E88" w:rsidRDefault="00B233DE" w:rsidP="0023489B">
            <w:pPr>
              <w:autoSpaceDE w:val="0"/>
              <w:autoSpaceDN w:val="0"/>
              <w:adjustRightInd w:val="0"/>
              <w:ind w:left="-108" w:firstLine="108"/>
              <w:jc w:val="both"/>
              <w:rPr>
                <w:rFonts w:ascii="Times New Roman" w:eastAsia="SimSun" w:hAnsi="Times New Roman" w:cs="Times New Roman"/>
                <w:sz w:val="15"/>
                <w:szCs w:val="15"/>
              </w:rPr>
            </w:pPr>
            <w:r w:rsidRPr="000F4E88">
              <w:rPr>
                <w:rFonts w:ascii="Times New Roman" w:eastAsia="SimSun" w:hAnsi="Times New Roman" w:cs="Times New Roman"/>
                <w:sz w:val="15"/>
                <w:szCs w:val="15"/>
              </w:rPr>
              <w:t xml:space="preserve">10. </w:t>
            </w:r>
            <w:r w:rsidRPr="000F4E88">
              <w:rPr>
                <w:rFonts w:ascii="Times New Roman" w:eastAsia="SimSun" w:hAnsi="Times New Roman" w:cs="Times New Roman"/>
                <w:spacing w:val="-6"/>
                <w:sz w:val="15"/>
                <w:szCs w:val="15"/>
              </w:rPr>
              <w:t>Інформація як базовий системо-</w:t>
            </w:r>
            <w:r w:rsidRPr="000F4E88">
              <w:rPr>
                <w:rFonts w:ascii="Times New Roman" w:eastAsia="SimSun" w:hAnsi="Times New Roman" w:cs="Times New Roman"/>
                <w:sz w:val="15"/>
                <w:szCs w:val="15"/>
              </w:rPr>
              <w:t xml:space="preserve">утворюючий фактор змінює </w:t>
            </w:r>
            <w:r w:rsidRPr="000F4E88">
              <w:rPr>
                <w:rFonts w:ascii="Times New Roman" w:eastAsia="SimSun" w:hAnsi="Times New Roman" w:cs="Times New Roman"/>
                <w:spacing w:val="-6"/>
                <w:sz w:val="15"/>
                <w:szCs w:val="15"/>
              </w:rPr>
              <w:t xml:space="preserve">характер </w:t>
            </w:r>
            <w:r w:rsidRPr="00D527D5">
              <w:rPr>
                <w:rFonts w:ascii="Times New Roman" w:eastAsia="SimSun" w:hAnsi="Times New Roman" w:cs="Times New Roman"/>
                <w:spacing w:val="-8"/>
                <w:sz w:val="15"/>
                <w:szCs w:val="15"/>
              </w:rPr>
              <w:t>вироб</w:t>
            </w:r>
            <w:r>
              <w:rPr>
                <w:rFonts w:ascii="Times New Roman" w:eastAsia="SimSun" w:hAnsi="Times New Roman" w:cs="Times New Roman"/>
                <w:spacing w:val="-8"/>
                <w:sz w:val="15"/>
                <w:szCs w:val="15"/>
              </w:rPr>
              <w:t>-</w:t>
            </w:r>
            <w:r w:rsidRPr="00D527D5">
              <w:rPr>
                <w:rFonts w:ascii="Times New Roman" w:eastAsia="SimSun" w:hAnsi="Times New Roman" w:cs="Times New Roman"/>
                <w:spacing w:val="-8"/>
                <w:sz w:val="15"/>
                <w:szCs w:val="15"/>
              </w:rPr>
              <w:t>ництва (модульність, мініатюризація, багато-функціональність тощо), особливості трудової</w:t>
            </w:r>
            <w:r w:rsidRPr="000F4E88">
              <w:rPr>
                <w:rFonts w:ascii="Times New Roman" w:eastAsia="SimSun" w:hAnsi="Times New Roman" w:cs="Times New Roman"/>
                <w:sz w:val="15"/>
                <w:szCs w:val="15"/>
              </w:rPr>
              <w:t xml:space="preserve"> діяльності (віртуалізація </w:t>
            </w:r>
            <w:r w:rsidRPr="000F4E88">
              <w:rPr>
                <w:rFonts w:ascii="Times New Roman" w:eastAsia="SimSun" w:hAnsi="Times New Roman" w:cs="Times New Roman"/>
                <w:spacing w:val="-6"/>
                <w:sz w:val="15"/>
                <w:szCs w:val="15"/>
              </w:rPr>
              <w:t xml:space="preserve">процесів, </w:t>
            </w:r>
            <w:r w:rsidRPr="00D527D5">
              <w:rPr>
                <w:rFonts w:ascii="Times New Roman" w:eastAsia="SimSun" w:hAnsi="Times New Roman" w:cs="Times New Roman"/>
                <w:spacing w:val="-8"/>
                <w:sz w:val="15"/>
                <w:szCs w:val="15"/>
              </w:rPr>
              <w:t>підвищення креативності), специфіку соціальних</w:t>
            </w:r>
            <w:r w:rsidRPr="000F4E88">
              <w:rPr>
                <w:rFonts w:ascii="Times New Roman" w:eastAsia="SimSun" w:hAnsi="Times New Roman" w:cs="Times New Roman"/>
                <w:sz w:val="15"/>
                <w:szCs w:val="15"/>
              </w:rPr>
              <w:t xml:space="preserve"> відносин </w:t>
            </w:r>
            <w:r w:rsidRPr="00D527D5">
              <w:rPr>
                <w:rFonts w:ascii="Times New Roman" w:eastAsia="SimSun" w:hAnsi="Times New Roman" w:cs="Times New Roman"/>
                <w:spacing w:val="-8"/>
                <w:sz w:val="15"/>
                <w:szCs w:val="15"/>
              </w:rPr>
              <w:t>(глобалізація, формування мережевих систем)</w:t>
            </w:r>
          </w:p>
          <w:p w:rsidR="00B233DE" w:rsidRPr="000F4E88" w:rsidRDefault="00B233DE" w:rsidP="0023489B">
            <w:pPr>
              <w:ind w:left="-108" w:firstLine="108"/>
              <w:jc w:val="both"/>
              <w:rPr>
                <w:rFonts w:ascii="Times New Roman" w:eastAsia="SimSun" w:hAnsi="Times New Roman" w:cs="Times New Roman"/>
                <w:sz w:val="15"/>
                <w:szCs w:val="15"/>
              </w:rPr>
            </w:pPr>
            <w:r w:rsidRPr="000F4E88">
              <w:rPr>
                <w:rFonts w:ascii="Times New Roman" w:eastAsia="SimSun" w:hAnsi="Times New Roman" w:cs="Times New Roman"/>
                <w:sz w:val="15"/>
                <w:szCs w:val="15"/>
              </w:rPr>
              <w:t>11. Використання з</w:t>
            </w:r>
            <w:r>
              <w:rPr>
                <w:rFonts w:ascii="Times New Roman" w:eastAsia="SimSun" w:hAnsi="Times New Roman" w:cs="Times New Roman"/>
                <w:sz w:val="15"/>
                <w:szCs w:val="15"/>
              </w:rPr>
              <w:t xml:space="preserve">нань для </w:t>
            </w:r>
            <w:r w:rsidRPr="000F4E88">
              <w:rPr>
                <w:rFonts w:ascii="Times New Roman" w:eastAsia="SimSun" w:hAnsi="Times New Roman" w:cs="Times New Roman"/>
                <w:spacing w:val="-6"/>
                <w:sz w:val="15"/>
                <w:szCs w:val="15"/>
              </w:rPr>
              <w:t>проду</w:t>
            </w:r>
            <w:r w:rsidRPr="000E1B7A">
              <w:rPr>
                <w:rFonts w:ascii="Times New Roman" w:eastAsia="SimSun" w:hAnsi="Times New Roman" w:cs="Times New Roman"/>
                <w:spacing w:val="-8"/>
                <w:sz w:val="15"/>
                <w:szCs w:val="15"/>
              </w:rPr>
              <w:t>кування конкурентоспроможних на світо</w:t>
            </w:r>
            <w:r w:rsidRPr="000F4E88">
              <w:rPr>
                <w:rFonts w:ascii="Times New Roman" w:eastAsia="SimSun" w:hAnsi="Times New Roman" w:cs="Times New Roman"/>
                <w:spacing w:val="-8"/>
                <w:sz w:val="15"/>
                <w:szCs w:val="15"/>
              </w:rPr>
              <w:t>вому ринку нових продук</w:t>
            </w:r>
            <w:r w:rsidRPr="000F4E88">
              <w:rPr>
                <w:rFonts w:ascii="Times New Roman" w:eastAsia="SimSun" w:hAnsi="Times New Roman" w:cs="Times New Roman"/>
                <w:spacing w:val="-6"/>
                <w:sz w:val="15"/>
                <w:szCs w:val="15"/>
              </w:rPr>
              <w:t xml:space="preserve">тів, які, завдяки масовому збуту, </w:t>
            </w:r>
            <w:r w:rsidRPr="004806E9">
              <w:rPr>
                <w:rFonts w:ascii="Times New Roman" w:eastAsia="SimSun" w:hAnsi="Times New Roman" w:cs="Times New Roman"/>
                <w:spacing w:val="-4"/>
                <w:sz w:val="15"/>
                <w:szCs w:val="15"/>
              </w:rPr>
              <w:t>забезпечують економічний розвиток і націо-</w:t>
            </w:r>
          </w:p>
        </w:tc>
        <w:tc>
          <w:tcPr>
            <w:tcW w:w="2268" w:type="dxa"/>
            <w:shd w:val="clear" w:color="auto" w:fill="auto"/>
            <w:vAlign w:val="center"/>
          </w:tcPr>
          <w:p w:rsidR="00B233DE" w:rsidRPr="00601EED" w:rsidRDefault="00B233DE" w:rsidP="0023489B">
            <w:pPr>
              <w:autoSpaceDE w:val="0"/>
              <w:autoSpaceDN w:val="0"/>
              <w:adjustRightInd w:val="0"/>
              <w:ind w:left="-108" w:firstLine="108"/>
              <w:jc w:val="both"/>
              <w:rPr>
                <w:rFonts w:ascii="Times New Roman" w:eastAsia="SimSun" w:hAnsi="Times New Roman" w:cs="Times New Roman"/>
                <w:color w:val="000000"/>
                <w:sz w:val="15"/>
                <w:szCs w:val="15"/>
              </w:rPr>
            </w:pPr>
            <w:r w:rsidRPr="00226F08">
              <w:rPr>
                <w:rFonts w:ascii="Times New Roman" w:eastAsia="SimSun" w:hAnsi="Times New Roman" w:cs="Times New Roman"/>
                <w:sz w:val="15"/>
                <w:szCs w:val="15"/>
              </w:rPr>
              <w:t>1</w:t>
            </w:r>
            <w:r>
              <w:rPr>
                <w:rFonts w:ascii="Times New Roman" w:eastAsia="SimSun" w:hAnsi="Times New Roman" w:cs="Times New Roman"/>
                <w:sz w:val="15"/>
                <w:szCs w:val="15"/>
              </w:rPr>
              <w:t xml:space="preserve">. </w:t>
            </w:r>
            <w:r w:rsidRPr="00601EED">
              <w:rPr>
                <w:rFonts w:ascii="Times New Roman" w:eastAsia="SimSun" w:hAnsi="Times New Roman" w:cs="Times New Roman"/>
                <w:sz w:val="15"/>
                <w:szCs w:val="15"/>
              </w:rPr>
              <w:t xml:space="preserve">Стимулювання здатності населення до інтелектуальної діяльності, продукування та ефективного використання інформації </w:t>
            </w:r>
            <w:r w:rsidRPr="00226F08">
              <w:rPr>
                <w:rFonts w:ascii="Times New Roman" w:eastAsia="SimSun" w:hAnsi="Times New Roman" w:cs="Times New Roman"/>
                <w:spacing w:val="-8"/>
                <w:sz w:val="15"/>
                <w:szCs w:val="15"/>
              </w:rPr>
              <w:t>та знань, що забезпечується необхідним</w:t>
            </w:r>
            <w:r w:rsidRPr="00601EED">
              <w:rPr>
                <w:rFonts w:ascii="Times New Roman" w:eastAsia="SimSun" w:hAnsi="Times New Roman" w:cs="Times New Roman"/>
                <w:sz w:val="15"/>
                <w:szCs w:val="15"/>
              </w:rPr>
              <w:t xml:space="preserve"> </w:t>
            </w:r>
            <w:r>
              <w:rPr>
                <w:rFonts w:ascii="Times New Roman" w:eastAsia="SimSun" w:hAnsi="Times New Roman" w:cs="Times New Roman"/>
                <w:sz w:val="15"/>
                <w:szCs w:val="15"/>
              </w:rPr>
              <w:t>освітньо-кваліфікаційним рівнем</w:t>
            </w:r>
          </w:p>
          <w:p w:rsidR="00B233DE" w:rsidRPr="00601EED" w:rsidRDefault="00B233DE" w:rsidP="0023489B">
            <w:pPr>
              <w:autoSpaceDE w:val="0"/>
              <w:autoSpaceDN w:val="0"/>
              <w:adjustRightInd w:val="0"/>
              <w:ind w:left="-108" w:firstLine="108"/>
              <w:jc w:val="both"/>
              <w:rPr>
                <w:rFonts w:ascii="Times New Roman" w:eastAsia="SimSun" w:hAnsi="Times New Roman" w:cs="Times New Roman"/>
                <w:color w:val="000000"/>
                <w:sz w:val="15"/>
                <w:szCs w:val="15"/>
              </w:rPr>
            </w:pPr>
            <w:r w:rsidRPr="00226F08">
              <w:rPr>
                <w:rFonts w:ascii="Times New Roman" w:eastAsia="SimSun" w:hAnsi="Times New Roman" w:cs="Times New Roman"/>
                <w:color w:val="000000"/>
                <w:spacing w:val="-8"/>
                <w:sz w:val="15"/>
                <w:szCs w:val="15"/>
              </w:rPr>
              <w:t>2. Забезпечення умов для внутріш-</w:t>
            </w:r>
            <w:r w:rsidRPr="00601EED">
              <w:rPr>
                <w:rFonts w:ascii="Times New Roman" w:eastAsia="SimSun" w:hAnsi="Times New Roman" w:cs="Times New Roman"/>
                <w:color w:val="000000"/>
                <w:sz w:val="15"/>
                <w:szCs w:val="15"/>
              </w:rPr>
              <w:t>нього розвитку людини, її можли</w:t>
            </w:r>
            <w:r w:rsidRPr="00226F08">
              <w:rPr>
                <w:rFonts w:ascii="Times New Roman" w:eastAsia="SimSun" w:hAnsi="Times New Roman" w:cs="Times New Roman"/>
                <w:color w:val="000000"/>
                <w:spacing w:val="-8"/>
                <w:sz w:val="15"/>
                <w:szCs w:val="15"/>
              </w:rPr>
              <w:t>вості самовдосконалюватись, генеру</w:t>
            </w:r>
            <w:r w:rsidRPr="00601EED">
              <w:rPr>
                <w:rFonts w:ascii="Times New Roman" w:eastAsia="SimSun" w:hAnsi="Times New Roman" w:cs="Times New Roman"/>
                <w:color w:val="000000"/>
                <w:sz w:val="15"/>
                <w:szCs w:val="15"/>
              </w:rPr>
              <w:t>вати знання, які здатні змінити і її саму, і навколишнє середовище.</w:t>
            </w:r>
          </w:p>
          <w:p w:rsidR="00B233DE" w:rsidRPr="00601EED" w:rsidRDefault="00B233DE" w:rsidP="0023489B">
            <w:pPr>
              <w:autoSpaceDE w:val="0"/>
              <w:autoSpaceDN w:val="0"/>
              <w:adjustRightInd w:val="0"/>
              <w:ind w:left="-108" w:firstLine="108"/>
              <w:jc w:val="both"/>
              <w:rPr>
                <w:rFonts w:ascii="Times New Roman" w:eastAsia="SimSun" w:hAnsi="Times New Roman" w:cs="Times New Roman"/>
                <w:color w:val="000000"/>
                <w:sz w:val="15"/>
                <w:szCs w:val="15"/>
              </w:rPr>
            </w:pPr>
            <w:r>
              <w:rPr>
                <w:rFonts w:ascii="Times New Roman" w:eastAsia="SimSun" w:hAnsi="Times New Roman" w:cs="Times New Roman"/>
                <w:color w:val="000000"/>
                <w:sz w:val="15"/>
                <w:szCs w:val="15"/>
              </w:rPr>
              <w:t xml:space="preserve">3. </w:t>
            </w:r>
            <w:r w:rsidRPr="00601EED">
              <w:rPr>
                <w:rFonts w:ascii="Times New Roman" w:eastAsia="SimSun" w:hAnsi="Times New Roman" w:cs="Times New Roman"/>
                <w:color w:val="000000"/>
                <w:sz w:val="15"/>
                <w:szCs w:val="15"/>
              </w:rPr>
              <w:t xml:space="preserve">Центральною метою державної політики є підтримання високого </w:t>
            </w:r>
            <w:r w:rsidRPr="00226F08">
              <w:rPr>
                <w:rFonts w:ascii="Times New Roman" w:eastAsia="SimSun" w:hAnsi="Times New Roman" w:cs="Times New Roman"/>
                <w:color w:val="000000"/>
                <w:spacing w:val="-6"/>
                <w:sz w:val="15"/>
                <w:szCs w:val="15"/>
              </w:rPr>
              <w:t>рівня добробуту населення як голов</w:t>
            </w:r>
            <w:r>
              <w:rPr>
                <w:rFonts w:ascii="Times New Roman" w:eastAsia="SimSun" w:hAnsi="Times New Roman" w:cs="Times New Roman"/>
                <w:color w:val="000000"/>
                <w:sz w:val="15"/>
                <w:szCs w:val="15"/>
              </w:rPr>
              <w:t>ної продуктивної сили і</w:t>
            </w:r>
            <w:r w:rsidRPr="00601EED">
              <w:rPr>
                <w:rFonts w:ascii="Times New Roman" w:eastAsia="SimSun" w:hAnsi="Times New Roman" w:cs="Times New Roman"/>
                <w:color w:val="000000"/>
                <w:sz w:val="15"/>
                <w:szCs w:val="15"/>
              </w:rPr>
              <w:t xml:space="preserve"> суб’єкта виробничих відносин, провід</w:t>
            </w:r>
            <w:r>
              <w:rPr>
                <w:rFonts w:ascii="Times New Roman" w:eastAsia="SimSun" w:hAnsi="Times New Roman" w:cs="Times New Roman"/>
                <w:color w:val="000000"/>
                <w:sz w:val="15"/>
                <w:szCs w:val="15"/>
              </w:rPr>
              <w:t>-</w:t>
            </w:r>
            <w:r w:rsidRPr="00601EED">
              <w:rPr>
                <w:rFonts w:ascii="Times New Roman" w:eastAsia="SimSun" w:hAnsi="Times New Roman" w:cs="Times New Roman"/>
                <w:color w:val="000000"/>
                <w:sz w:val="15"/>
                <w:szCs w:val="15"/>
              </w:rPr>
              <w:t>ного фактора розвитку науки і освіти, в</w:t>
            </w:r>
            <w:r>
              <w:rPr>
                <w:rFonts w:ascii="Times New Roman" w:eastAsia="SimSun" w:hAnsi="Times New Roman" w:cs="Times New Roman"/>
                <w:color w:val="000000"/>
                <w:sz w:val="15"/>
                <w:szCs w:val="15"/>
              </w:rPr>
              <w:t>иробництва і викори-стання знань</w:t>
            </w:r>
          </w:p>
          <w:p w:rsidR="00B233DE" w:rsidRPr="00601EED" w:rsidRDefault="00B233DE" w:rsidP="0023489B">
            <w:pPr>
              <w:ind w:left="-108" w:firstLine="108"/>
              <w:jc w:val="both"/>
              <w:rPr>
                <w:rFonts w:ascii="Times New Roman" w:eastAsia="SimSun" w:hAnsi="Times New Roman" w:cs="Times New Roman"/>
                <w:sz w:val="15"/>
                <w:szCs w:val="15"/>
              </w:rPr>
            </w:pPr>
            <w:r>
              <w:rPr>
                <w:rFonts w:ascii="Times New Roman" w:eastAsia="SimSun" w:hAnsi="Times New Roman" w:cs="Times New Roman"/>
                <w:sz w:val="15"/>
                <w:szCs w:val="15"/>
              </w:rPr>
              <w:t xml:space="preserve">4. </w:t>
            </w:r>
            <w:r w:rsidRPr="00601EED">
              <w:rPr>
                <w:rFonts w:ascii="Times New Roman" w:eastAsia="SimSun" w:hAnsi="Times New Roman" w:cs="Times New Roman"/>
                <w:sz w:val="15"/>
                <w:szCs w:val="15"/>
              </w:rPr>
              <w:t>Забезпечення якості національного людського потен</w:t>
            </w:r>
            <w:r>
              <w:rPr>
                <w:rFonts w:ascii="Times New Roman" w:eastAsia="SimSun" w:hAnsi="Times New Roman" w:cs="Times New Roman"/>
                <w:sz w:val="15"/>
                <w:szCs w:val="15"/>
              </w:rPr>
              <w:t>-</w:t>
            </w:r>
            <w:r w:rsidRPr="00601EED">
              <w:rPr>
                <w:rFonts w:ascii="Times New Roman" w:eastAsia="SimSun" w:hAnsi="Times New Roman" w:cs="Times New Roman"/>
                <w:sz w:val="15"/>
                <w:szCs w:val="15"/>
              </w:rPr>
              <w:t xml:space="preserve">ціалу займає перше місце за значимістю серед </w:t>
            </w:r>
            <w:r>
              <w:rPr>
                <w:rFonts w:ascii="Times New Roman" w:eastAsia="SimSun" w:hAnsi="Times New Roman" w:cs="Times New Roman"/>
                <w:sz w:val="15"/>
                <w:szCs w:val="15"/>
              </w:rPr>
              <w:t>факторів економічного зростання</w:t>
            </w:r>
          </w:p>
          <w:p w:rsidR="00B233DE" w:rsidRPr="00601EED" w:rsidRDefault="00B233DE" w:rsidP="0023489B">
            <w:pPr>
              <w:suppressAutoHyphens/>
              <w:ind w:left="-108" w:firstLine="108"/>
              <w:jc w:val="both"/>
              <w:rPr>
                <w:rFonts w:ascii="Times New Roman" w:eastAsia="SimSun" w:hAnsi="Times New Roman" w:cs="Times New Roman"/>
                <w:sz w:val="15"/>
                <w:szCs w:val="15"/>
              </w:rPr>
            </w:pPr>
            <w:r w:rsidRPr="00601EED">
              <w:rPr>
                <w:rFonts w:ascii="Times New Roman" w:eastAsia="SimSun" w:hAnsi="Times New Roman" w:cs="Times New Roman"/>
                <w:color w:val="000000"/>
                <w:sz w:val="15"/>
                <w:szCs w:val="15"/>
              </w:rPr>
              <w:t xml:space="preserve">5. Перехід до інформаційного суспільства, що </w:t>
            </w:r>
            <w:r w:rsidRPr="00601EED">
              <w:rPr>
                <w:rFonts w:ascii="Times New Roman" w:eastAsia="SimSun" w:hAnsi="Times New Roman" w:cs="Times New Roman"/>
                <w:sz w:val="15"/>
                <w:szCs w:val="15"/>
              </w:rPr>
              <w:t>дозволяє підви</w:t>
            </w:r>
            <w:r>
              <w:rPr>
                <w:rFonts w:ascii="Times New Roman" w:eastAsia="SimSun" w:hAnsi="Times New Roman" w:cs="Times New Roman"/>
                <w:sz w:val="15"/>
                <w:szCs w:val="15"/>
              </w:rPr>
              <w:t>-</w:t>
            </w:r>
            <w:r w:rsidRPr="00226F08">
              <w:rPr>
                <w:rFonts w:ascii="Times New Roman" w:eastAsia="SimSun" w:hAnsi="Times New Roman" w:cs="Times New Roman"/>
                <w:spacing w:val="-8"/>
                <w:sz w:val="15"/>
                <w:szCs w:val="15"/>
              </w:rPr>
              <w:t>щити національну конкуренто</w:t>
            </w:r>
            <w:r>
              <w:rPr>
                <w:rFonts w:ascii="Times New Roman" w:eastAsia="SimSun" w:hAnsi="Times New Roman" w:cs="Times New Roman"/>
                <w:spacing w:val="-8"/>
                <w:sz w:val="15"/>
                <w:szCs w:val="15"/>
              </w:rPr>
              <w:t>-</w:t>
            </w:r>
            <w:r w:rsidRPr="00226F08">
              <w:rPr>
                <w:rFonts w:ascii="Times New Roman" w:eastAsia="SimSun" w:hAnsi="Times New Roman" w:cs="Times New Roman"/>
                <w:spacing w:val="-8"/>
                <w:sz w:val="15"/>
                <w:szCs w:val="15"/>
              </w:rPr>
              <w:t>спромож</w:t>
            </w:r>
            <w:r w:rsidRPr="00601EED">
              <w:rPr>
                <w:rFonts w:ascii="Times New Roman" w:eastAsia="SimSun" w:hAnsi="Times New Roman" w:cs="Times New Roman"/>
                <w:sz w:val="15"/>
                <w:szCs w:val="15"/>
              </w:rPr>
              <w:t>ність за рахунок роз</w:t>
            </w:r>
            <w:r>
              <w:rPr>
                <w:rFonts w:ascii="Times New Roman" w:eastAsia="SimSun" w:hAnsi="Times New Roman" w:cs="Times New Roman"/>
                <w:sz w:val="15"/>
                <w:szCs w:val="15"/>
              </w:rPr>
              <w:t>-</w:t>
            </w:r>
            <w:r w:rsidRPr="00601EED">
              <w:rPr>
                <w:rFonts w:ascii="Times New Roman" w:eastAsia="SimSun" w:hAnsi="Times New Roman" w:cs="Times New Roman"/>
                <w:sz w:val="15"/>
                <w:szCs w:val="15"/>
              </w:rPr>
              <w:t>витку людського потенціалу, передусім, у високоінтелек</w:t>
            </w:r>
            <w:r>
              <w:rPr>
                <w:rFonts w:ascii="Times New Roman" w:eastAsia="SimSun" w:hAnsi="Times New Roman" w:cs="Times New Roman"/>
                <w:sz w:val="15"/>
                <w:szCs w:val="15"/>
              </w:rPr>
              <w:t>-</w:t>
            </w:r>
            <w:r w:rsidRPr="00601EED">
              <w:rPr>
                <w:rFonts w:ascii="Times New Roman" w:eastAsia="SimSun" w:hAnsi="Times New Roman" w:cs="Times New Roman"/>
                <w:sz w:val="15"/>
                <w:szCs w:val="15"/>
              </w:rPr>
              <w:t xml:space="preserve">туальних сферах праці; </w:t>
            </w:r>
            <w:r w:rsidRPr="00D527D5">
              <w:rPr>
                <w:rFonts w:ascii="Times New Roman" w:eastAsia="SimSun" w:hAnsi="Times New Roman" w:cs="Times New Roman"/>
                <w:spacing w:val="-8"/>
                <w:sz w:val="15"/>
                <w:szCs w:val="15"/>
              </w:rPr>
              <w:t>підвищити якість життя населення</w:t>
            </w:r>
            <w:r w:rsidRPr="00601EED">
              <w:rPr>
                <w:rFonts w:ascii="Times New Roman" w:eastAsia="SimSun" w:hAnsi="Times New Roman" w:cs="Times New Roman"/>
                <w:sz w:val="15"/>
                <w:szCs w:val="15"/>
              </w:rPr>
              <w:t xml:space="preserve"> за рахунок економічного зростання, надання </w:t>
            </w:r>
          </w:p>
        </w:tc>
      </w:tr>
    </w:tbl>
    <w:p w:rsidR="00B233DE" w:rsidRDefault="00B233DE" w:rsidP="00B233DE">
      <w:pPr>
        <w:autoSpaceDE w:val="0"/>
        <w:autoSpaceDN w:val="0"/>
        <w:adjustRightInd w:val="0"/>
        <w:ind w:firstLine="720"/>
        <w:jc w:val="right"/>
        <w:rPr>
          <w:rFonts w:ascii="Times New Roman" w:hAnsi="Times New Roman" w:cs="Times New Roman"/>
          <w:sz w:val="21"/>
          <w:szCs w:val="21"/>
        </w:rPr>
      </w:pPr>
      <w:r>
        <w:rPr>
          <w:rFonts w:ascii="Times New Roman" w:hAnsi="Times New Roman" w:cs="Times New Roman"/>
          <w:sz w:val="21"/>
          <w:szCs w:val="21"/>
        </w:rPr>
        <w:lastRenderedPageBreak/>
        <w:t>Продовження табл. 1.7</w:t>
      </w:r>
    </w:p>
    <w:tbl>
      <w:tblPr>
        <w:tblW w:w="62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2976"/>
        <w:gridCol w:w="2268"/>
      </w:tblGrid>
      <w:tr w:rsidR="00B233DE" w:rsidRPr="000F4E88" w:rsidTr="0023489B">
        <w:tc>
          <w:tcPr>
            <w:tcW w:w="993" w:type="dxa"/>
            <w:shd w:val="clear" w:color="auto" w:fill="auto"/>
            <w:vAlign w:val="center"/>
          </w:tcPr>
          <w:p w:rsidR="00B233DE" w:rsidRPr="000F4E88" w:rsidRDefault="00B233DE" w:rsidP="0023489B">
            <w:pPr>
              <w:autoSpaceDE w:val="0"/>
              <w:autoSpaceDN w:val="0"/>
              <w:adjustRightInd w:val="0"/>
              <w:ind w:left="-142" w:right="-108" w:firstLine="0"/>
              <w:jc w:val="center"/>
              <w:rPr>
                <w:rFonts w:ascii="Times New Roman" w:eastAsia="SimSun" w:hAnsi="Times New Roman" w:cs="Times New Roman"/>
                <w:sz w:val="15"/>
                <w:szCs w:val="15"/>
              </w:rPr>
            </w:pPr>
            <w:r>
              <w:rPr>
                <w:rFonts w:ascii="Times New Roman" w:eastAsia="SimSun" w:hAnsi="Times New Roman" w:cs="Times New Roman"/>
                <w:sz w:val="15"/>
                <w:szCs w:val="15"/>
              </w:rPr>
              <w:t>1</w:t>
            </w:r>
          </w:p>
        </w:tc>
        <w:tc>
          <w:tcPr>
            <w:tcW w:w="2976" w:type="dxa"/>
            <w:shd w:val="clear" w:color="auto" w:fill="auto"/>
            <w:vAlign w:val="center"/>
          </w:tcPr>
          <w:p w:rsidR="00B233DE" w:rsidRPr="000F4E88" w:rsidRDefault="00B233DE" w:rsidP="0023489B">
            <w:pPr>
              <w:autoSpaceDE w:val="0"/>
              <w:autoSpaceDN w:val="0"/>
              <w:adjustRightInd w:val="0"/>
              <w:ind w:right="-108" w:firstLine="0"/>
              <w:jc w:val="center"/>
              <w:rPr>
                <w:rFonts w:ascii="Times New Roman" w:eastAsia="SimSun" w:hAnsi="Times New Roman" w:cs="Times New Roman"/>
                <w:sz w:val="15"/>
                <w:szCs w:val="15"/>
              </w:rPr>
            </w:pPr>
            <w:r>
              <w:rPr>
                <w:rFonts w:ascii="Times New Roman" w:eastAsia="SimSun" w:hAnsi="Times New Roman" w:cs="Times New Roman"/>
                <w:sz w:val="15"/>
                <w:szCs w:val="15"/>
              </w:rPr>
              <w:t>2</w:t>
            </w:r>
          </w:p>
        </w:tc>
        <w:tc>
          <w:tcPr>
            <w:tcW w:w="2268" w:type="dxa"/>
            <w:shd w:val="clear" w:color="auto" w:fill="auto"/>
            <w:vAlign w:val="center"/>
          </w:tcPr>
          <w:p w:rsidR="00B233DE" w:rsidRPr="000F4E88" w:rsidRDefault="00B233DE" w:rsidP="0023489B">
            <w:pPr>
              <w:autoSpaceDE w:val="0"/>
              <w:autoSpaceDN w:val="0"/>
              <w:adjustRightInd w:val="0"/>
              <w:ind w:right="-108" w:firstLine="0"/>
              <w:jc w:val="center"/>
              <w:rPr>
                <w:rFonts w:ascii="Times New Roman" w:eastAsia="SimSun" w:hAnsi="Times New Roman" w:cs="Times New Roman"/>
                <w:sz w:val="15"/>
                <w:szCs w:val="15"/>
              </w:rPr>
            </w:pPr>
            <w:r>
              <w:rPr>
                <w:rFonts w:ascii="Times New Roman" w:eastAsia="SimSun" w:hAnsi="Times New Roman" w:cs="Times New Roman"/>
                <w:sz w:val="15"/>
                <w:szCs w:val="15"/>
              </w:rPr>
              <w:t>3</w:t>
            </w:r>
          </w:p>
        </w:tc>
      </w:tr>
      <w:tr w:rsidR="00B233DE" w:rsidRPr="000F4E88" w:rsidTr="0023489B">
        <w:tc>
          <w:tcPr>
            <w:tcW w:w="993" w:type="dxa"/>
            <w:shd w:val="clear" w:color="auto" w:fill="auto"/>
            <w:vAlign w:val="center"/>
          </w:tcPr>
          <w:p w:rsidR="00B233DE" w:rsidRPr="000F4E88" w:rsidRDefault="00B233DE" w:rsidP="0023489B">
            <w:pPr>
              <w:autoSpaceDE w:val="0"/>
              <w:autoSpaceDN w:val="0"/>
              <w:adjustRightInd w:val="0"/>
              <w:ind w:left="-142" w:right="-108" w:firstLine="0"/>
              <w:jc w:val="center"/>
              <w:rPr>
                <w:rFonts w:ascii="Times New Roman" w:eastAsia="SimSun" w:hAnsi="Times New Roman" w:cs="Times New Roman"/>
                <w:sz w:val="15"/>
                <w:szCs w:val="15"/>
              </w:rPr>
            </w:pPr>
          </w:p>
        </w:tc>
        <w:tc>
          <w:tcPr>
            <w:tcW w:w="2976" w:type="dxa"/>
            <w:shd w:val="clear" w:color="auto" w:fill="auto"/>
            <w:vAlign w:val="center"/>
          </w:tcPr>
          <w:p w:rsidR="00B233DE" w:rsidRPr="000F4E88" w:rsidRDefault="00B233DE" w:rsidP="0023489B">
            <w:pPr>
              <w:ind w:left="-108" w:firstLine="0"/>
              <w:jc w:val="both"/>
              <w:rPr>
                <w:rFonts w:ascii="Times New Roman" w:eastAsia="SimSun" w:hAnsi="Times New Roman" w:cs="Times New Roman"/>
                <w:sz w:val="15"/>
                <w:szCs w:val="15"/>
              </w:rPr>
            </w:pPr>
            <w:r w:rsidRPr="000F4E88">
              <w:rPr>
                <w:rFonts w:ascii="Times New Roman" w:eastAsia="SimSun" w:hAnsi="Times New Roman" w:cs="Times New Roman"/>
                <w:spacing w:val="-6"/>
                <w:sz w:val="15"/>
                <w:szCs w:val="15"/>
              </w:rPr>
              <w:t>нальне багатство країн-продуцентів</w:t>
            </w:r>
          </w:p>
          <w:p w:rsidR="00B233DE" w:rsidRDefault="00B233DE" w:rsidP="0023489B">
            <w:pPr>
              <w:autoSpaceDE w:val="0"/>
              <w:autoSpaceDN w:val="0"/>
              <w:adjustRightInd w:val="0"/>
              <w:ind w:left="-108" w:firstLine="0"/>
              <w:jc w:val="both"/>
              <w:rPr>
                <w:rFonts w:ascii="Times New Roman" w:eastAsia="SimSun" w:hAnsi="Times New Roman" w:cs="Times New Roman"/>
                <w:sz w:val="15"/>
                <w:szCs w:val="15"/>
              </w:rPr>
            </w:pPr>
            <w:r w:rsidRPr="00601EED">
              <w:rPr>
                <w:rFonts w:ascii="Times New Roman" w:eastAsia="SimSun" w:hAnsi="Times New Roman" w:cs="Times New Roman"/>
                <w:spacing w:val="-8"/>
                <w:sz w:val="15"/>
                <w:szCs w:val="15"/>
              </w:rPr>
              <w:t>12. Концепція знаннєвої економіки спрямована</w:t>
            </w:r>
            <w:r w:rsidRPr="000F4E88">
              <w:rPr>
                <w:rFonts w:ascii="Times New Roman" w:eastAsia="SimSun" w:hAnsi="Times New Roman" w:cs="Times New Roman"/>
                <w:sz w:val="15"/>
                <w:szCs w:val="15"/>
              </w:rPr>
              <w:t xml:space="preserve"> на забезпечення досягнення, а також довгострокового утримання високого рівня </w:t>
            </w:r>
            <w:r w:rsidRPr="00601EED">
              <w:rPr>
                <w:rFonts w:ascii="Times New Roman" w:eastAsia="SimSun" w:hAnsi="Times New Roman" w:cs="Times New Roman"/>
                <w:spacing w:val="-6"/>
                <w:sz w:val="15"/>
                <w:szCs w:val="15"/>
              </w:rPr>
              <w:t>глобальної соціально-економічної конкуренто-</w:t>
            </w:r>
            <w:r w:rsidRPr="000F4E88">
              <w:rPr>
                <w:rFonts w:ascii="Times New Roman" w:eastAsia="SimSun" w:hAnsi="Times New Roman" w:cs="Times New Roman"/>
                <w:sz w:val="15"/>
                <w:szCs w:val="15"/>
              </w:rPr>
              <w:t>спроможності країн у с</w:t>
            </w:r>
            <w:r>
              <w:rPr>
                <w:rFonts w:ascii="Times New Roman" w:eastAsia="SimSun" w:hAnsi="Times New Roman" w:cs="Times New Roman"/>
                <w:sz w:val="15"/>
                <w:szCs w:val="15"/>
              </w:rPr>
              <w:t>віті</w:t>
            </w:r>
          </w:p>
          <w:p w:rsidR="00B233DE" w:rsidRPr="000F4E88" w:rsidRDefault="00B233DE" w:rsidP="0023489B">
            <w:pPr>
              <w:autoSpaceDE w:val="0"/>
              <w:autoSpaceDN w:val="0"/>
              <w:adjustRightInd w:val="0"/>
              <w:ind w:left="-108" w:firstLine="0"/>
              <w:jc w:val="both"/>
              <w:rPr>
                <w:rFonts w:ascii="Times New Roman" w:eastAsia="SimSun" w:hAnsi="Times New Roman" w:cs="Times New Roman"/>
                <w:sz w:val="15"/>
                <w:szCs w:val="15"/>
              </w:rPr>
            </w:pPr>
            <w:r w:rsidRPr="00EC348A">
              <w:rPr>
                <w:rFonts w:ascii="Times New Roman" w:eastAsia="SimSun" w:hAnsi="Times New Roman" w:cs="Times New Roman"/>
                <w:spacing w:val="-8"/>
                <w:sz w:val="15"/>
                <w:szCs w:val="15"/>
              </w:rPr>
              <w:t>13. Разом із зростанням наукомісткост</w:t>
            </w:r>
            <w:r>
              <w:rPr>
                <w:rFonts w:ascii="Times New Roman" w:eastAsia="SimSun" w:hAnsi="Times New Roman" w:cs="Times New Roman"/>
                <w:spacing w:val="-8"/>
                <w:sz w:val="15"/>
                <w:szCs w:val="15"/>
              </w:rPr>
              <w:t>кості</w:t>
            </w:r>
            <w:r w:rsidRPr="000F4E88">
              <w:rPr>
                <w:rFonts w:ascii="Times New Roman" w:eastAsia="SimSun" w:hAnsi="Times New Roman" w:cs="Times New Roman"/>
                <w:spacing w:val="-8"/>
                <w:sz w:val="15"/>
                <w:szCs w:val="15"/>
              </w:rPr>
              <w:t xml:space="preserve"> конкурентоспромож</w:t>
            </w:r>
            <w:r w:rsidRPr="000F4E88">
              <w:rPr>
                <w:rFonts w:ascii="Times New Roman" w:eastAsia="SimSun" w:hAnsi="Times New Roman" w:cs="Times New Roman"/>
                <w:sz w:val="15"/>
                <w:szCs w:val="15"/>
              </w:rPr>
              <w:t>них виробництв відбу</w:t>
            </w:r>
            <w:r>
              <w:rPr>
                <w:rFonts w:ascii="Times New Roman" w:eastAsia="SimSun" w:hAnsi="Times New Roman" w:cs="Times New Roman"/>
                <w:sz w:val="15"/>
                <w:szCs w:val="15"/>
              </w:rPr>
              <w:t>-</w:t>
            </w:r>
            <w:r w:rsidRPr="000F4E88">
              <w:rPr>
                <w:rFonts w:ascii="Times New Roman" w:eastAsia="SimSun" w:hAnsi="Times New Roman" w:cs="Times New Roman"/>
                <w:sz w:val="15"/>
                <w:szCs w:val="15"/>
              </w:rPr>
              <w:t>вається значне підвищення ролі секторів освіти, науки та інно</w:t>
            </w:r>
            <w:r>
              <w:rPr>
                <w:rFonts w:ascii="Times New Roman" w:eastAsia="SimSun" w:hAnsi="Times New Roman" w:cs="Times New Roman"/>
                <w:sz w:val="15"/>
                <w:szCs w:val="15"/>
              </w:rPr>
              <w:t>ваційно-техноло-гічного розвитку</w:t>
            </w:r>
          </w:p>
        </w:tc>
        <w:tc>
          <w:tcPr>
            <w:tcW w:w="2268" w:type="dxa"/>
            <w:shd w:val="clear" w:color="auto" w:fill="auto"/>
            <w:vAlign w:val="center"/>
          </w:tcPr>
          <w:p w:rsidR="00B233DE" w:rsidRPr="00601EED" w:rsidRDefault="00B233DE" w:rsidP="0023489B">
            <w:pPr>
              <w:suppressAutoHyphens/>
              <w:ind w:left="-108" w:firstLine="0"/>
              <w:jc w:val="both"/>
              <w:rPr>
                <w:rFonts w:ascii="Times New Roman" w:eastAsia="SimSun" w:hAnsi="Times New Roman" w:cs="Times New Roman"/>
                <w:sz w:val="15"/>
                <w:szCs w:val="15"/>
              </w:rPr>
            </w:pPr>
            <w:r w:rsidRPr="00601EED">
              <w:rPr>
                <w:rFonts w:ascii="Times New Roman" w:eastAsia="SimSun" w:hAnsi="Times New Roman" w:cs="Times New Roman"/>
                <w:sz w:val="15"/>
                <w:szCs w:val="15"/>
              </w:rPr>
              <w:t xml:space="preserve">рівного якісного доступу до </w:t>
            </w:r>
            <w:r w:rsidRPr="00D527D5">
              <w:rPr>
                <w:rFonts w:ascii="Times New Roman" w:eastAsia="SimSun" w:hAnsi="Times New Roman" w:cs="Times New Roman"/>
                <w:spacing w:val="-8"/>
                <w:sz w:val="15"/>
                <w:szCs w:val="15"/>
              </w:rPr>
              <w:t>інформації, освіти, послуг закладів</w:t>
            </w:r>
            <w:r>
              <w:rPr>
                <w:rFonts w:ascii="Times New Roman" w:eastAsia="SimSun" w:hAnsi="Times New Roman" w:cs="Times New Roman"/>
                <w:sz w:val="15"/>
                <w:szCs w:val="15"/>
              </w:rPr>
              <w:t xml:space="preserve"> охорони здоров’</w:t>
            </w:r>
            <w:r w:rsidRPr="00601EED">
              <w:rPr>
                <w:rFonts w:ascii="Times New Roman" w:eastAsia="SimSun" w:hAnsi="Times New Roman" w:cs="Times New Roman"/>
                <w:sz w:val="15"/>
                <w:szCs w:val="15"/>
              </w:rPr>
              <w:t>я та адміністра</w:t>
            </w:r>
            <w:r>
              <w:rPr>
                <w:rFonts w:ascii="Times New Roman" w:eastAsia="SimSun" w:hAnsi="Times New Roman" w:cs="Times New Roman"/>
                <w:sz w:val="15"/>
                <w:szCs w:val="15"/>
              </w:rPr>
              <w:t>-</w:t>
            </w:r>
            <w:r w:rsidRPr="00601EED">
              <w:rPr>
                <w:rFonts w:ascii="Times New Roman" w:eastAsia="SimSun" w:hAnsi="Times New Roman" w:cs="Times New Roman"/>
                <w:sz w:val="15"/>
                <w:szCs w:val="15"/>
              </w:rPr>
              <w:t xml:space="preserve">тивних послуг, створення нових робочих місць і розширення можливостей </w:t>
            </w:r>
            <w:r w:rsidRPr="00226F08">
              <w:rPr>
                <w:rFonts w:ascii="Times New Roman" w:eastAsia="SimSun" w:hAnsi="Times New Roman" w:cs="Times New Roman"/>
                <w:spacing w:val="-6"/>
                <w:sz w:val="15"/>
                <w:szCs w:val="15"/>
              </w:rPr>
              <w:t>щодо працевлаш</w:t>
            </w:r>
            <w:r>
              <w:rPr>
                <w:rFonts w:ascii="Times New Roman" w:eastAsia="SimSun" w:hAnsi="Times New Roman" w:cs="Times New Roman"/>
                <w:spacing w:val="-6"/>
                <w:sz w:val="15"/>
                <w:szCs w:val="15"/>
              </w:rPr>
              <w:t>-</w:t>
            </w:r>
            <w:r w:rsidRPr="00226F08">
              <w:rPr>
                <w:rFonts w:ascii="Times New Roman" w:eastAsia="SimSun" w:hAnsi="Times New Roman" w:cs="Times New Roman"/>
                <w:spacing w:val="-6"/>
                <w:sz w:val="15"/>
                <w:szCs w:val="15"/>
              </w:rPr>
              <w:t>тування населення,</w:t>
            </w:r>
            <w:r w:rsidRPr="00601EED">
              <w:rPr>
                <w:rFonts w:ascii="Times New Roman" w:eastAsia="SimSun" w:hAnsi="Times New Roman" w:cs="Times New Roman"/>
                <w:sz w:val="15"/>
                <w:szCs w:val="15"/>
              </w:rPr>
              <w:t xml:space="preserve"> підвищення соціального захисту вразливих верств населення завдяки широ</w:t>
            </w:r>
            <w:r>
              <w:rPr>
                <w:rFonts w:ascii="Times New Roman" w:eastAsia="SimSun" w:hAnsi="Times New Roman" w:cs="Times New Roman"/>
                <w:sz w:val="15"/>
                <w:szCs w:val="15"/>
              </w:rPr>
              <w:t>-</w:t>
            </w:r>
            <w:r w:rsidRPr="00D527D5">
              <w:rPr>
                <w:rFonts w:ascii="Times New Roman" w:eastAsia="SimSun" w:hAnsi="Times New Roman" w:cs="Times New Roman"/>
                <w:spacing w:val="-8"/>
                <w:sz w:val="15"/>
                <w:szCs w:val="15"/>
              </w:rPr>
              <w:t>кому використанню інформаційно-</w:t>
            </w:r>
            <w:r w:rsidRPr="00601EED">
              <w:rPr>
                <w:rFonts w:ascii="Times New Roman" w:eastAsia="SimSun" w:hAnsi="Times New Roman" w:cs="Times New Roman"/>
                <w:sz w:val="15"/>
                <w:szCs w:val="15"/>
              </w:rPr>
              <w:t>комунікаційних техно</w:t>
            </w:r>
            <w:r>
              <w:rPr>
                <w:rFonts w:ascii="Times New Roman" w:eastAsia="SimSun" w:hAnsi="Times New Roman" w:cs="Times New Roman"/>
                <w:sz w:val="15"/>
                <w:szCs w:val="15"/>
              </w:rPr>
              <w:t>логій</w:t>
            </w:r>
          </w:p>
        </w:tc>
      </w:tr>
      <w:tr w:rsidR="00B233DE" w:rsidRPr="000F4E88" w:rsidTr="0023489B">
        <w:tc>
          <w:tcPr>
            <w:tcW w:w="993" w:type="dxa"/>
            <w:shd w:val="clear" w:color="auto" w:fill="auto"/>
            <w:vAlign w:val="center"/>
          </w:tcPr>
          <w:p w:rsidR="00B233DE" w:rsidRDefault="00B233DE" w:rsidP="0023489B">
            <w:pPr>
              <w:autoSpaceDE w:val="0"/>
              <w:autoSpaceDN w:val="0"/>
              <w:adjustRightInd w:val="0"/>
              <w:ind w:left="-142" w:right="-108" w:firstLine="0"/>
              <w:jc w:val="center"/>
              <w:rPr>
                <w:rFonts w:ascii="Times New Roman" w:eastAsia="SimSun" w:hAnsi="Times New Roman" w:cs="Times New Roman"/>
                <w:sz w:val="15"/>
                <w:szCs w:val="15"/>
              </w:rPr>
            </w:pPr>
            <w:r w:rsidRPr="000F4E88">
              <w:rPr>
                <w:rFonts w:ascii="Times New Roman" w:eastAsia="SimSun" w:hAnsi="Times New Roman" w:cs="Times New Roman"/>
                <w:sz w:val="15"/>
                <w:szCs w:val="15"/>
              </w:rPr>
              <w:t>Концепція сталого розвитку</w:t>
            </w:r>
          </w:p>
          <w:p w:rsidR="00B233DE" w:rsidRPr="000F4E88" w:rsidRDefault="00B233DE" w:rsidP="0023489B">
            <w:pPr>
              <w:autoSpaceDE w:val="0"/>
              <w:autoSpaceDN w:val="0"/>
              <w:adjustRightInd w:val="0"/>
              <w:ind w:left="-142" w:right="-108" w:firstLine="0"/>
              <w:jc w:val="center"/>
              <w:rPr>
                <w:rFonts w:ascii="Times New Roman" w:eastAsia="SimSun" w:hAnsi="Times New Roman" w:cs="Times New Roman"/>
                <w:sz w:val="15"/>
                <w:szCs w:val="15"/>
              </w:rPr>
            </w:pPr>
            <w:r>
              <w:rPr>
                <w:rFonts w:ascii="Times New Roman" w:eastAsia="SimSun" w:hAnsi="Times New Roman" w:cs="Times New Roman"/>
                <w:sz w:val="15"/>
                <w:szCs w:val="15"/>
              </w:rPr>
              <w:t>(</w:t>
            </w:r>
            <w:r w:rsidRPr="000F4E88">
              <w:rPr>
                <w:rFonts w:ascii="Times New Roman" w:eastAsia="SimSun" w:hAnsi="Times New Roman" w:cs="Times New Roman"/>
                <w:sz w:val="15"/>
                <w:szCs w:val="15"/>
              </w:rPr>
              <w:t>Д. Х. Медоуз, Д. Л. Медоуз, Й. Рендерс, В. Беренс</w:t>
            </w:r>
            <w:r>
              <w:rPr>
                <w:rFonts w:ascii="Times New Roman" w:eastAsia="SimSun" w:hAnsi="Times New Roman" w:cs="Times New Roman"/>
                <w:sz w:val="15"/>
                <w:szCs w:val="15"/>
              </w:rPr>
              <w:t>)</w:t>
            </w:r>
          </w:p>
        </w:tc>
        <w:tc>
          <w:tcPr>
            <w:tcW w:w="2976" w:type="dxa"/>
            <w:shd w:val="clear" w:color="auto" w:fill="auto"/>
            <w:vAlign w:val="center"/>
          </w:tcPr>
          <w:p w:rsidR="00B233DE" w:rsidRDefault="00B233DE" w:rsidP="0023489B">
            <w:pPr>
              <w:autoSpaceDE w:val="0"/>
              <w:autoSpaceDN w:val="0"/>
              <w:adjustRightInd w:val="0"/>
              <w:ind w:left="-108" w:firstLine="108"/>
              <w:jc w:val="both"/>
              <w:rPr>
                <w:rFonts w:ascii="Times New Roman" w:eastAsia="SimSun" w:hAnsi="Times New Roman" w:cs="Times New Roman"/>
                <w:sz w:val="15"/>
                <w:szCs w:val="15"/>
              </w:rPr>
            </w:pPr>
            <w:r w:rsidRPr="000F4E88">
              <w:rPr>
                <w:rFonts w:ascii="Times New Roman" w:eastAsia="SimSun" w:hAnsi="Times New Roman" w:cs="Times New Roman"/>
                <w:sz w:val="15"/>
                <w:szCs w:val="15"/>
              </w:rPr>
              <w:t xml:space="preserve">Концепція визначає необхідність встановлення балансу між задоволенням сучасних потреб людства і збереження такої можливості для майбутніх поколінь. </w:t>
            </w:r>
            <w:r>
              <w:rPr>
                <w:rFonts w:ascii="Times New Roman" w:eastAsia="SimSun" w:hAnsi="Times New Roman" w:cs="Times New Roman"/>
                <w:sz w:val="15"/>
                <w:szCs w:val="15"/>
              </w:rPr>
              <w:t>Вона</w:t>
            </w:r>
            <w:r w:rsidRPr="000F4E88">
              <w:rPr>
                <w:rFonts w:ascii="Times New Roman" w:eastAsia="SimSun" w:hAnsi="Times New Roman" w:cs="Times New Roman"/>
                <w:sz w:val="15"/>
                <w:szCs w:val="15"/>
              </w:rPr>
              <w:t xml:space="preserve"> побудована на трьох основних скла</w:t>
            </w:r>
            <w:r>
              <w:rPr>
                <w:rFonts w:ascii="Times New Roman" w:eastAsia="SimSun" w:hAnsi="Times New Roman" w:cs="Times New Roman"/>
                <w:sz w:val="15"/>
                <w:szCs w:val="15"/>
              </w:rPr>
              <w:t>-</w:t>
            </w:r>
            <w:r w:rsidRPr="00226F08">
              <w:rPr>
                <w:rFonts w:ascii="Times New Roman" w:eastAsia="SimSun" w:hAnsi="Times New Roman" w:cs="Times New Roman"/>
                <w:spacing w:val="-8"/>
                <w:sz w:val="15"/>
                <w:szCs w:val="15"/>
              </w:rPr>
              <w:t>дових: економічній, соціальній та екологічній.</w:t>
            </w:r>
            <w:r w:rsidRPr="000F4E88">
              <w:rPr>
                <w:rFonts w:ascii="Times New Roman" w:eastAsia="SimSun" w:hAnsi="Times New Roman" w:cs="Times New Roman"/>
                <w:sz w:val="15"/>
                <w:szCs w:val="15"/>
              </w:rPr>
              <w:t xml:space="preserve"> </w:t>
            </w:r>
          </w:p>
          <w:p w:rsidR="00B233DE" w:rsidRPr="000F4E88" w:rsidRDefault="00B233DE" w:rsidP="0023489B">
            <w:pPr>
              <w:autoSpaceDE w:val="0"/>
              <w:autoSpaceDN w:val="0"/>
              <w:adjustRightInd w:val="0"/>
              <w:ind w:left="-108" w:firstLine="108"/>
              <w:jc w:val="both"/>
              <w:rPr>
                <w:rFonts w:ascii="Times New Roman" w:eastAsia="SimSun" w:hAnsi="Times New Roman" w:cs="Times New Roman"/>
                <w:sz w:val="15"/>
                <w:szCs w:val="15"/>
              </w:rPr>
            </w:pPr>
            <w:r w:rsidRPr="000F4E88">
              <w:rPr>
                <w:rFonts w:ascii="Times New Roman" w:eastAsia="SimSun" w:hAnsi="Times New Roman" w:cs="Times New Roman"/>
                <w:sz w:val="15"/>
                <w:szCs w:val="15"/>
              </w:rPr>
              <w:t xml:space="preserve">Економічна складова передбачає оптимальне використання обмежених ресурсів і використання екологічних </w:t>
            </w:r>
            <w:r>
              <w:rPr>
                <w:rFonts w:ascii="Times New Roman" w:eastAsia="SimSun" w:hAnsi="Times New Roman" w:cs="Times New Roman"/>
                <w:sz w:val="15"/>
                <w:szCs w:val="15"/>
              </w:rPr>
              <w:t>–</w:t>
            </w:r>
            <w:r w:rsidRPr="000F4E88">
              <w:rPr>
                <w:rFonts w:ascii="Times New Roman" w:eastAsia="SimSun" w:hAnsi="Times New Roman" w:cs="Times New Roman"/>
                <w:sz w:val="15"/>
                <w:szCs w:val="15"/>
              </w:rPr>
              <w:t xml:space="preserve"> природо-, енерго- і матеріалозберігаючих технологій, включаючи створення еколо</w:t>
            </w:r>
            <w:r>
              <w:rPr>
                <w:rFonts w:ascii="Times New Roman" w:eastAsia="SimSun" w:hAnsi="Times New Roman" w:cs="Times New Roman"/>
                <w:sz w:val="15"/>
                <w:szCs w:val="15"/>
              </w:rPr>
              <w:t>-</w:t>
            </w:r>
            <w:r w:rsidRPr="000F4E88">
              <w:rPr>
                <w:rFonts w:ascii="Times New Roman" w:eastAsia="SimSun" w:hAnsi="Times New Roman" w:cs="Times New Roman"/>
                <w:sz w:val="15"/>
                <w:szCs w:val="15"/>
              </w:rPr>
              <w:t>гічно прийнятної продукції, мінімізацію, переробку і знищення відходів.</w:t>
            </w:r>
          </w:p>
          <w:p w:rsidR="00B233DE" w:rsidRPr="000F4E88" w:rsidRDefault="00B233DE" w:rsidP="0023489B">
            <w:pPr>
              <w:autoSpaceDE w:val="0"/>
              <w:autoSpaceDN w:val="0"/>
              <w:adjustRightInd w:val="0"/>
              <w:ind w:left="-108" w:firstLine="108"/>
              <w:jc w:val="both"/>
              <w:rPr>
                <w:rFonts w:ascii="Times New Roman" w:eastAsia="SimSun" w:hAnsi="Times New Roman" w:cs="Times New Roman"/>
                <w:sz w:val="15"/>
                <w:szCs w:val="15"/>
              </w:rPr>
            </w:pPr>
            <w:r w:rsidRPr="000F4E88">
              <w:rPr>
                <w:rFonts w:ascii="Times New Roman" w:eastAsia="SimSun" w:hAnsi="Times New Roman" w:cs="Times New Roman"/>
                <w:sz w:val="15"/>
                <w:szCs w:val="15"/>
              </w:rPr>
              <w:t>Із соціальної точки зору, людина повинна брати участь у процесах, які формують сферу її життєдіяльності, сприяти прийняттю і реалізації рі</w:t>
            </w:r>
            <w:r>
              <w:rPr>
                <w:rFonts w:ascii="Times New Roman" w:eastAsia="SimSun" w:hAnsi="Times New Roman" w:cs="Times New Roman"/>
                <w:sz w:val="15"/>
                <w:szCs w:val="15"/>
              </w:rPr>
              <w:t>шень, контролювати їх виконання.</w:t>
            </w:r>
          </w:p>
          <w:p w:rsidR="00B233DE" w:rsidRPr="000F4E88" w:rsidRDefault="00B233DE" w:rsidP="0023489B">
            <w:pPr>
              <w:autoSpaceDE w:val="0"/>
              <w:autoSpaceDN w:val="0"/>
              <w:adjustRightInd w:val="0"/>
              <w:ind w:left="-108" w:firstLine="108"/>
              <w:jc w:val="both"/>
              <w:rPr>
                <w:rFonts w:ascii="Times New Roman" w:eastAsia="SimSun" w:hAnsi="Times New Roman" w:cs="Times New Roman"/>
                <w:sz w:val="15"/>
                <w:szCs w:val="15"/>
              </w:rPr>
            </w:pPr>
            <w:r w:rsidRPr="000F4E88">
              <w:rPr>
                <w:rFonts w:ascii="Times New Roman" w:eastAsia="SimSun" w:hAnsi="Times New Roman" w:cs="Times New Roman"/>
                <w:sz w:val="15"/>
                <w:szCs w:val="15"/>
              </w:rPr>
              <w:t>Екологічний підхід до концепції передбачає, що сталий розвиток має забезпечувати цілісність біологічних і фі</w:t>
            </w:r>
            <w:r>
              <w:rPr>
                <w:rFonts w:ascii="Times New Roman" w:eastAsia="SimSun" w:hAnsi="Times New Roman" w:cs="Times New Roman"/>
                <w:sz w:val="15"/>
                <w:szCs w:val="15"/>
              </w:rPr>
              <w:t>-зичних природних систем</w:t>
            </w:r>
          </w:p>
        </w:tc>
        <w:tc>
          <w:tcPr>
            <w:tcW w:w="2268" w:type="dxa"/>
            <w:shd w:val="clear" w:color="auto" w:fill="auto"/>
            <w:vAlign w:val="center"/>
          </w:tcPr>
          <w:p w:rsidR="00B233DE" w:rsidRDefault="00B233DE" w:rsidP="0023489B">
            <w:pPr>
              <w:tabs>
                <w:tab w:val="left" w:pos="259"/>
              </w:tabs>
              <w:autoSpaceDE w:val="0"/>
              <w:autoSpaceDN w:val="0"/>
              <w:adjustRightInd w:val="0"/>
              <w:ind w:firstLine="0"/>
              <w:jc w:val="both"/>
              <w:rPr>
                <w:rFonts w:ascii="Times New Roman" w:eastAsia="SimSun" w:hAnsi="Times New Roman" w:cs="Times New Roman"/>
                <w:sz w:val="15"/>
                <w:szCs w:val="15"/>
              </w:rPr>
            </w:pPr>
            <w:r>
              <w:rPr>
                <w:rFonts w:ascii="Times New Roman" w:eastAsia="SimSun" w:hAnsi="Times New Roman" w:cs="Times New Roman"/>
                <w:sz w:val="15"/>
                <w:szCs w:val="15"/>
              </w:rPr>
              <w:t xml:space="preserve">1. </w:t>
            </w:r>
            <w:r w:rsidRPr="000F4E88">
              <w:rPr>
                <w:rFonts w:ascii="Times New Roman" w:eastAsia="SimSun" w:hAnsi="Times New Roman" w:cs="Times New Roman"/>
                <w:sz w:val="15"/>
                <w:szCs w:val="15"/>
              </w:rPr>
              <w:t xml:space="preserve">Забезпечення стабільності </w:t>
            </w:r>
          </w:p>
          <w:p w:rsidR="00B233DE" w:rsidRPr="000F4E88" w:rsidRDefault="00B233DE" w:rsidP="0023489B">
            <w:pPr>
              <w:tabs>
                <w:tab w:val="left" w:pos="259"/>
              </w:tabs>
              <w:autoSpaceDE w:val="0"/>
              <w:autoSpaceDN w:val="0"/>
              <w:adjustRightInd w:val="0"/>
              <w:ind w:firstLine="0"/>
              <w:jc w:val="both"/>
              <w:rPr>
                <w:rFonts w:ascii="Times New Roman" w:eastAsia="SimSun" w:hAnsi="Times New Roman" w:cs="Times New Roman"/>
                <w:sz w:val="15"/>
                <w:szCs w:val="15"/>
              </w:rPr>
            </w:pPr>
            <w:r w:rsidRPr="000F4E88">
              <w:rPr>
                <w:rFonts w:ascii="Times New Roman" w:eastAsia="SimSun" w:hAnsi="Times New Roman" w:cs="Times New Roman"/>
                <w:sz w:val="15"/>
                <w:szCs w:val="15"/>
              </w:rPr>
              <w:t>і безпеки соціальних систем, скорочення числа конфліктів.</w:t>
            </w:r>
          </w:p>
          <w:p w:rsidR="00B233DE" w:rsidRPr="000F4E88" w:rsidRDefault="00B233DE" w:rsidP="0023489B">
            <w:pPr>
              <w:tabs>
                <w:tab w:val="left" w:pos="259"/>
              </w:tabs>
              <w:autoSpaceDE w:val="0"/>
              <w:autoSpaceDN w:val="0"/>
              <w:adjustRightInd w:val="0"/>
              <w:ind w:firstLine="0"/>
              <w:jc w:val="both"/>
              <w:rPr>
                <w:rFonts w:ascii="Times New Roman" w:eastAsia="SimSun" w:hAnsi="Times New Roman" w:cs="Times New Roman"/>
                <w:sz w:val="15"/>
                <w:szCs w:val="15"/>
              </w:rPr>
            </w:pPr>
            <w:r>
              <w:rPr>
                <w:rFonts w:ascii="Times New Roman" w:eastAsia="SimSun" w:hAnsi="Times New Roman" w:cs="Times New Roman"/>
                <w:sz w:val="15"/>
                <w:szCs w:val="15"/>
              </w:rPr>
              <w:t xml:space="preserve">2. </w:t>
            </w:r>
            <w:r w:rsidRPr="000F4E88">
              <w:rPr>
                <w:rFonts w:ascii="Times New Roman" w:eastAsia="SimSun" w:hAnsi="Times New Roman" w:cs="Times New Roman"/>
                <w:sz w:val="15"/>
                <w:szCs w:val="15"/>
              </w:rPr>
              <w:t>Справедливий розподіл доходів і благ</w:t>
            </w:r>
          </w:p>
          <w:p w:rsidR="00B233DE" w:rsidRDefault="00B233DE" w:rsidP="0023489B">
            <w:pPr>
              <w:tabs>
                <w:tab w:val="left" w:pos="259"/>
              </w:tabs>
              <w:autoSpaceDE w:val="0"/>
              <w:autoSpaceDN w:val="0"/>
              <w:adjustRightInd w:val="0"/>
              <w:ind w:firstLine="0"/>
              <w:jc w:val="both"/>
              <w:rPr>
                <w:rFonts w:ascii="Times New Roman" w:eastAsia="SimSun" w:hAnsi="Times New Roman" w:cs="Times New Roman"/>
                <w:sz w:val="15"/>
                <w:szCs w:val="15"/>
              </w:rPr>
            </w:pPr>
            <w:r>
              <w:rPr>
                <w:rFonts w:ascii="Times New Roman" w:eastAsia="SimSun" w:hAnsi="Times New Roman" w:cs="Times New Roman"/>
                <w:sz w:val="15"/>
                <w:szCs w:val="15"/>
              </w:rPr>
              <w:t xml:space="preserve">3. </w:t>
            </w:r>
            <w:r w:rsidRPr="000F4E88">
              <w:rPr>
                <w:rFonts w:ascii="Times New Roman" w:eastAsia="SimSun" w:hAnsi="Times New Roman" w:cs="Times New Roman"/>
                <w:sz w:val="15"/>
                <w:szCs w:val="15"/>
              </w:rPr>
              <w:t xml:space="preserve">Створення ефективнішої системи ухвалення рішень, що враховує історичний досвід </w:t>
            </w:r>
          </w:p>
          <w:p w:rsidR="00B233DE" w:rsidRPr="000F4E88" w:rsidRDefault="00B233DE" w:rsidP="0023489B">
            <w:pPr>
              <w:tabs>
                <w:tab w:val="left" w:pos="259"/>
              </w:tabs>
              <w:autoSpaceDE w:val="0"/>
              <w:autoSpaceDN w:val="0"/>
              <w:adjustRightInd w:val="0"/>
              <w:ind w:firstLine="0"/>
              <w:jc w:val="both"/>
              <w:rPr>
                <w:rFonts w:ascii="Times New Roman" w:eastAsia="SimSun" w:hAnsi="Times New Roman" w:cs="Times New Roman"/>
                <w:sz w:val="15"/>
                <w:szCs w:val="15"/>
              </w:rPr>
            </w:pPr>
            <w:r w:rsidRPr="000F4E88">
              <w:rPr>
                <w:rFonts w:ascii="Times New Roman" w:eastAsia="SimSun" w:hAnsi="Times New Roman" w:cs="Times New Roman"/>
                <w:sz w:val="15"/>
                <w:szCs w:val="15"/>
              </w:rPr>
              <w:t>і заохочує плюралізм</w:t>
            </w:r>
          </w:p>
        </w:tc>
      </w:tr>
    </w:tbl>
    <w:p w:rsidR="00B233DE" w:rsidRPr="004806E9" w:rsidRDefault="00B233DE" w:rsidP="00B233DE">
      <w:pPr>
        <w:autoSpaceDE w:val="0"/>
        <w:autoSpaceDN w:val="0"/>
        <w:adjustRightInd w:val="0"/>
        <w:ind w:firstLine="709"/>
        <w:jc w:val="both"/>
        <w:rPr>
          <w:rFonts w:ascii="Times New Roman" w:hAnsi="Times New Roman" w:cs="Times New Roman"/>
          <w:sz w:val="18"/>
          <w:szCs w:val="18"/>
        </w:rPr>
      </w:pPr>
      <w:r w:rsidRPr="004806E9">
        <w:rPr>
          <w:rFonts w:ascii="Times New Roman" w:hAnsi="Times New Roman" w:cs="Times New Roman"/>
          <w:sz w:val="18"/>
          <w:szCs w:val="18"/>
        </w:rPr>
        <w:t>*</w:t>
      </w:r>
      <w:r>
        <w:rPr>
          <w:rFonts w:ascii="Times New Roman" w:hAnsi="Times New Roman" w:cs="Times New Roman"/>
          <w:sz w:val="18"/>
          <w:szCs w:val="18"/>
        </w:rPr>
        <w:t xml:space="preserve"> - </w:t>
      </w:r>
      <w:r w:rsidRPr="004806E9">
        <w:rPr>
          <w:rFonts w:ascii="Times New Roman" w:hAnsi="Times New Roman" w:cs="Times New Roman"/>
          <w:sz w:val="18"/>
          <w:szCs w:val="18"/>
        </w:rPr>
        <w:t xml:space="preserve">складено автором </w:t>
      </w:r>
      <w:r>
        <w:rPr>
          <w:rFonts w:ascii="Times New Roman" w:hAnsi="Times New Roman" w:cs="Times New Roman"/>
          <w:sz w:val="18"/>
          <w:szCs w:val="18"/>
        </w:rPr>
        <w:t xml:space="preserve">розділу </w:t>
      </w:r>
      <w:r w:rsidRPr="004806E9">
        <w:rPr>
          <w:rFonts w:ascii="Times New Roman" w:hAnsi="Times New Roman" w:cs="Times New Roman"/>
          <w:sz w:val="18"/>
          <w:szCs w:val="18"/>
        </w:rPr>
        <w:t>на основі [</w:t>
      </w:r>
      <w:r w:rsidRPr="004806E9">
        <w:rPr>
          <w:rFonts w:ascii="Times New Roman" w:hAnsi="Times New Roman" w:cs="Times New Roman"/>
          <w:sz w:val="18"/>
          <w:szCs w:val="18"/>
        </w:rPr>
        <w:fldChar w:fldCharType="begin"/>
      </w:r>
      <w:r w:rsidRPr="004806E9">
        <w:rPr>
          <w:rFonts w:ascii="Times New Roman" w:hAnsi="Times New Roman" w:cs="Times New Roman"/>
          <w:sz w:val="18"/>
          <w:szCs w:val="18"/>
        </w:rPr>
        <w:instrText xml:space="preserve"> REF _Ref430595112 \r \h </w:instrText>
      </w:r>
      <w:r>
        <w:rPr>
          <w:rFonts w:ascii="Times New Roman" w:hAnsi="Times New Roman" w:cs="Times New Roman"/>
          <w:sz w:val="18"/>
          <w:szCs w:val="18"/>
        </w:rPr>
        <w:instrText xml:space="preserve"> \* MERGEFORMAT </w:instrText>
      </w:r>
      <w:r w:rsidRPr="004806E9">
        <w:rPr>
          <w:rFonts w:ascii="Times New Roman" w:hAnsi="Times New Roman" w:cs="Times New Roman"/>
          <w:sz w:val="18"/>
          <w:szCs w:val="18"/>
        </w:rPr>
      </w:r>
      <w:r w:rsidRPr="004806E9">
        <w:rPr>
          <w:rFonts w:ascii="Times New Roman" w:hAnsi="Times New Roman" w:cs="Times New Roman"/>
          <w:sz w:val="18"/>
          <w:szCs w:val="18"/>
        </w:rPr>
        <w:fldChar w:fldCharType="separate"/>
      </w:r>
      <w:r>
        <w:rPr>
          <w:rFonts w:ascii="Times New Roman" w:hAnsi="Times New Roman" w:cs="Times New Roman"/>
          <w:sz w:val="18"/>
          <w:szCs w:val="18"/>
        </w:rPr>
        <w:t>2</w:t>
      </w:r>
      <w:r w:rsidRPr="004806E9">
        <w:rPr>
          <w:rFonts w:ascii="Times New Roman" w:hAnsi="Times New Roman" w:cs="Times New Roman"/>
          <w:sz w:val="18"/>
          <w:szCs w:val="18"/>
        </w:rPr>
        <w:fldChar w:fldCharType="end"/>
      </w:r>
      <w:r>
        <w:rPr>
          <w:rFonts w:ascii="Times New Roman" w:hAnsi="Times New Roman" w:cs="Times New Roman"/>
          <w:sz w:val="18"/>
          <w:szCs w:val="18"/>
        </w:rPr>
        <w:t>, с. 373;</w:t>
      </w:r>
      <w:r w:rsidRPr="004806E9">
        <w:rPr>
          <w:rFonts w:ascii="Times New Roman" w:hAnsi="Times New Roman" w:cs="Times New Roman"/>
          <w:sz w:val="18"/>
          <w:szCs w:val="18"/>
        </w:rPr>
        <w:t xml:space="preserve"> </w:t>
      </w:r>
      <w:r w:rsidRPr="004806E9">
        <w:rPr>
          <w:rFonts w:ascii="Times New Roman" w:hAnsi="Times New Roman" w:cs="Times New Roman"/>
          <w:sz w:val="18"/>
          <w:szCs w:val="18"/>
        </w:rPr>
        <w:fldChar w:fldCharType="begin"/>
      </w:r>
      <w:r w:rsidRPr="004806E9">
        <w:rPr>
          <w:rFonts w:ascii="Times New Roman" w:hAnsi="Times New Roman" w:cs="Times New Roman"/>
          <w:sz w:val="18"/>
          <w:szCs w:val="18"/>
        </w:rPr>
        <w:instrText xml:space="preserve"> REF _Ref430595203 \r \h </w:instrText>
      </w:r>
      <w:r>
        <w:rPr>
          <w:rFonts w:ascii="Times New Roman" w:hAnsi="Times New Roman" w:cs="Times New Roman"/>
          <w:sz w:val="18"/>
          <w:szCs w:val="18"/>
        </w:rPr>
        <w:instrText xml:space="preserve"> \* MERGEFORMAT </w:instrText>
      </w:r>
      <w:r w:rsidRPr="004806E9">
        <w:rPr>
          <w:rFonts w:ascii="Times New Roman" w:hAnsi="Times New Roman" w:cs="Times New Roman"/>
          <w:sz w:val="18"/>
          <w:szCs w:val="18"/>
        </w:rPr>
      </w:r>
      <w:r w:rsidRPr="004806E9">
        <w:rPr>
          <w:rFonts w:ascii="Times New Roman" w:hAnsi="Times New Roman" w:cs="Times New Roman"/>
          <w:sz w:val="18"/>
          <w:szCs w:val="18"/>
        </w:rPr>
        <w:fldChar w:fldCharType="separate"/>
      </w:r>
      <w:r>
        <w:rPr>
          <w:rFonts w:ascii="Times New Roman" w:hAnsi="Times New Roman" w:cs="Times New Roman"/>
          <w:sz w:val="18"/>
          <w:szCs w:val="18"/>
        </w:rPr>
        <w:t>6</w:t>
      </w:r>
      <w:r w:rsidRPr="004806E9">
        <w:rPr>
          <w:rFonts w:ascii="Times New Roman" w:hAnsi="Times New Roman" w:cs="Times New Roman"/>
          <w:sz w:val="18"/>
          <w:szCs w:val="18"/>
        </w:rPr>
        <w:fldChar w:fldCharType="end"/>
      </w:r>
      <w:r>
        <w:rPr>
          <w:rFonts w:ascii="Times New Roman" w:hAnsi="Times New Roman" w:cs="Times New Roman"/>
          <w:sz w:val="18"/>
          <w:szCs w:val="18"/>
        </w:rPr>
        <w:t xml:space="preserve">; </w:t>
      </w:r>
      <w:r w:rsidRPr="004806E9">
        <w:rPr>
          <w:rFonts w:ascii="Times New Roman" w:hAnsi="Times New Roman" w:cs="Times New Roman"/>
          <w:sz w:val="18"/>
          <w:szCs w:val="18"/>
        </w:rPr>
        <w:fldChar w:fldCharType="begin"/>
      </w:r>
      <w:r w:rsidRPr="004806E9">
        <w:rPr>
          <w:rFonts w:ascii="Times New Roman" w:hAnsi="Times New Roman" w:cs="Times New Roman"/>
          <w:sz w:val="18"/>
          <w:szCs w:val="18"/>
        </w:rPr>
        <w:instrText xml:space="preserve"> REF _Ref430595175 \r \h </w:instrText>
      </w:r>
      <w:r>
        <w:rPr>
          <w:rFonts w:ascii="Times New Roman" w:hAnsi="Times New Roman" w:cs="Times New Roman"/>
          <w:sz w:val="18"/>
          <w:szCs w:val="18"/>
        </w:rPr>
        <w:instrText xml:space="preserve"> \* MERGEFORMAT </w:instrText>
      </w:r>
      <w:r w:rsidRPr="004806E9">
        <w:rPr>
          <w:rFonts w:ascii="Times New Roman" w:hAnsi="Times New Roman" w:cs="Times New Roman"/>
          <w:sz w:val="18"/>
          <w:szCs w:val="18"/>
        </w:rPr>
      </w:r>
      <w:r w:rsidRPr="004806E9">
        <w:rPr>
          <w:rFonts w:ascii="Times New Roman" w:hAnsi="Times New Roman" w:cs="Times New Roman"/>
          <w:sz w:val="18"/>
          <w:szCs w:val="18"/>
        </w:rPr>
        <w:fldChar w:fldCharType="separate"/>
      </w:r>
      <w:r>
        <w:rPr>
          <w:rFonts w:ascii="Times New Roman" w:hAnsi="Times New Roman" w:cs="Times New Roman"/>
          <w:sz w:val="18"/>
          <w:szCs w:val="18"/>
        </w:rPr>
        <w:t>8</w:t>
      </w:r>
      <w:r w:rsidRPr="004806E9">
        <w:rPr>
          <w:rFonts w:ascii="Times New Roman" w:hAnsi="Times New Roman" w:cs="Times New Roman"/>
          <w:sz w:val="18"/>
          <w:szCs w:val="18"/>
        </w:rPr>
        <w:fldChar w:fldCharType="end"/>
      </w:r>
      <w:r w:rsidRPr="004806E9">
        <w:rPr>
          <w:rFonts w:ascii="Times New Roman" w:hAnsi="Times New Roman" w:cs="Times New Roman"/>
          <w:sz w:val="18"/>
          <w:szCs w:val="18"/>
        </w:rPr>
        <w:t>, с. 160</w:t>
      </w:r>
      <w:r>
        <w:rPr>
          <w:rFonts w:ascii="Times New Roman" w:hAnsi="Times New Roman" w:cs="Times New Roman"/>
          <w:sz w:val="18"/>
          <w:szCs w:val="18"/>
        </w:rPr>
        <w:t xml:space="preserve">; </w:t>
      </w:r>
      <w:r w:rsidRPr="004806E9">
        <w:rPr>
          <w:rFonts w:ascii="Times New Roman" w:hAnsi="Times New Roman" w:cs="Times New Roman"/>
          <w:sz w:val="18"/>
          <w:szCs w:val="18"/>
        </w:rPr>
        <w:fldChar w:fldCharType="begin"/>
      </w:r>
      <w:r w:rsidRPr="004806E9">
        <w:rPr>
          <w:rFonts w:ascii="Times New Roman" w:hAnsi="Times New Roman" w:cs="Times New Roman"/>
          <w:sz w:val="18"/>
          <w:szCs w:val="18"/>
        </w:rPr>
        <w:instrText xml:space="preserve"> REF _Ref430595158 \r \h </w:instrText>
      </w:r>
      <w:r>
        <w:rPr>
          <w:rFonts w:ascii="Times New Roman" w:hAnsi="Times New Roman" w:cs="Times New Roman"/>
          <w:sz w:val="18"/>
          <w:szCs w:val="18"/>
        </w:rPr>
        <w:instrText xml:space="preserve"> \* MERGEFORMAT </w:instrText>
      </w:r>
      <w:r w:rsidRPr="004806E9">
        <w:rPr>
          <w:rFonts w:ascii="Times New Roman" w:hAnsi="Times New Roman" w:cs="Times New Roman"/>
          <w:sz w:val="18"/>
          <w:szCs w:val="18"/>
        </w:rPr>
      </w:r>
      <w:r w:rsidRPr="004806E9">
        <w:rPr>
          <w:rFonts w:ascii="Times New Roman" w:hAnsi="Times New Roman" w:cs="Times New Roman"/>
          <w:sz w:val="18"/>
          <w:szCs w:val="18"/>
        </w:rPr>
        <w:fldChar w:fldCharType="separate"/>
      </w:r>
      <w:r>
        <w:rPr>
          <w:rFonts w:ascii="Times New Roman" w:hAnsi="Times New Roman" w:cs="Times New Roman"/>
          <w:sz w:val="18"/>
          <w:szCs w:val="18"/>
        </w:rPr>
        <w:t>9</w:t>
      </w:r>
      <w:r w:rsidRPr="004806E9">
        <w:rPr>
          <w:rFonts w:ascii="Times New Roman" w:hAnsi="Times New Roman" w:cs="Times New Roman"/>
          <w:sz w:val="18"/>
          <w:szCs w:val="18"/>
        </w:rPr>
        <w:fldChar w:fldCharType="end"/>
      </w:r>
      <w:r>
        <w:rPr>
          <w:rFonts w:ascii="Times New Roman" w:hAnsi="Times New Roman" w:cs="Times New Roman"/>
          <w:sz w:val="18"/>
          <w:szCs w:val="18"/>
        </w:rPr>
        <w:t xml:space="preserve">; </w:t>
      </w:r>
      <w:r w:rsidRPr="004806E9">
        <w:rPr>
          <w:rFonts w:ascii="Times New Roman" w:hAnsi="Times New Roman" w:cs="Times New Roman"/>
          <w:sz w:val="18"/>
          <w:szCs w:val="18"/>
        </w:rPr>
        <w:fldChar w:fldCharType="begin"/>
      </w:r>
      <w:r w:rsidRPr="004806E9">
        <w:rPr>
          <w:rFonts w:ascii="Times New Roman" w:hAnsi="Times New Roman" w:cs="Times New Roman"/>
          <w:sz w:val="18"/>
          <w:szCs w:val="18"/>
        </w:rPr>
        <w:instrText xml:space="preserve"> REF _Ref430595131 \r \h </w:instrText>
      </w:r>
      <w:r>
        <w:rPr>
          <w:rFonts w:ascii="Times New Roman" w:hAnsi="Times New Roman" w:cs="Times New Roman"/>
          <w:sz w:val="18"/>
          <w:szCs w:val="18"/>
        </w:rPr>
        <w:instrText xml:space="preserve"> \* MERGEFORMAT </w:instrText>
      </w:r>
      <w:r w:rsidRPr="004806E9">
        <w:rPr>
          <w:rFonts w:ascii="Times New Roman" w:hAnsi="Times New Roman" w:cs="Times New Roman"/>
          <w:sz w:val="18"/>
          <w:szCs w:val="18"/>
        </w:rPr>
      </w:r>
      <w:r w:rsidRPr="004806E9">
        <w:rPr>
          <w:rFonts w:ascii="Times New Roman" w:hAnsi="Times New Roman" w:cs="Times New Roman"/>
          <w:sz w:val="18"/>
          <w:szCs w:val="18"/>
        </w:rPr>
        <w:fldChar w:fldCharType="separate"/>
      </w:r>
      <w:r>
        <w:rPr>
          <w:rFonts w:ascii="Times New Roman" w:hAnsi="Times New Roman" w:cs="Times New Roman"/>
          <w:sz w:val="18"/>
          <w:szCs w:val="18"/>
        </w:rPr>
        <w:t>21</w:t>
      </w:r>
      <w:r w:rsidRPr="004806E9">
        <w:rPr>
          <w:rFonts w:ascii="Times New Roman" w:hAnsi="Times New Roman" w:cs="Times New Roman"/>
          <w:sz w:val="18"/>
          <w:szCs w:val="18"/>
        </w:rPr>
        <w:fldChar w:fldCharType="end"/>
      </w:r>
      <w:r w:rsidRPr="004806E9">
        <w:rPr>
          <w:rFonts w:ascii="Times New Roman" w:hAnsi="Times New Roman" w:cs="Times New Roman"/>
          <w:sz w:val="18"/>
          <w:szCs w:val="18"/>
        </w:rPr>
        <w:t>, с. 81–</w:t>
      </w:r>
      <w:r>
        <w:rPr>
          <w:rFonts w:ascii="Times New Roman" w:hAnsi="Times New Roman" w:cs="Times New Roman"/>
          <w:sz w:val="18"/>
          <w:szCs w:val="18"/>
        </w:rPr>
        <w:t>112;</w:t>
      </w:r>
      <w:r w:rsidRPr="004806E9">
        <w:rPr>
          <w:rFonts w:ascii="Times New Roman" w:hAnsi="Times New Roman" w:cs="Times New Roman"/>
          <w:sz w:val="18"/>
          <w:szCs w:val="18"/>
        </w:rPr>
        <w:t xml:space="preserve"> </w:t>
      </w:r>
      <w:r w:rsidRPr="004806E9">
        <w:rPr>
          <w:rFonts w:ascii="Times New Roman" w:hAnsi="Times New Roman"/>
          <w:sz w:val="18"/>
          <w:szCs w:val="18"/>
        </w:rPr>
        <w:fldChar w:fldCharType="begin"/>
      </w:r>
      <w:r w:rsidRPr="004806E9">
        <w:rPr>
          <w:rFonts w:ascii="Times New Roman" w:hAnsi="Times New Roman" w:cs="Times New Roman"/>
          <w:sz w:val="18"/>
          <w:szCs w:val="18"/>
        </w:rPr>
        <w:instrText xml:space="preserve"> REF _Ref430595196 \r \h </w:instrText>
      </w:r>
      <w:r>
        <w:rPr>
          <w:rFonts w:ascii="Times New Roman" w:hAnsi="Times New Roman"/>
          <w:sz w:val="18"/>
          <w:szCs w:val="18"/>
        </w:rPr>
        <w:instrText xml:space="preserve"> \* MERGEFORMAT </w:instrText>
      </w:r>
      <w:r w:rsidRPr="004806E9">
        <w:rPr>
          <w:rFonts w:ascii="Times New Roman" w:hAnsi="Times New Roman"/>
          <w:sz w:val="18"/>
          <w:szCs w:val="18"/>
        </w:rPr>
      </w:r>
      <w:r w:rsidRPr="004806E9">
        <w:rPr>
          <w:rFonts w:ascii="Times New Roman" w:hAnsi="Times New Roman"/>
          <w:sz w:val="18"/>
          <w:szCs w:val="18"/>
        </w:rPr>
        <w:fldChar w:fldCharType="separate"/>
      </w:r>
      <w:r>
        <w:rPr>
          <w:rFonts w:ascii="Times New Roman" w:hAnsi="Times New Roman" w:cs="Times New Roman"/>
          <w:sz w:val="18"/>
          <w:szCs w:val="18"/>
        </w:rPr>
        <w:t>38</w:t>
      </w:r>
      <w:r w:rsidRPr="004806E9">
        <w:rPr>
          <w:rFonts w:ascii="Times New Roman" w:hAnsi="Times New Roman"/>
          <w:sz w:val="18"/>
          <w:szCs w:val="18"/>
        </w:rPr>
        <w:fldChar w:fldCharType="end"/>
      </w:r>
      <w:r>
        <w:rPr>
          <w:rFonts w:ascii="Times New Roman" w:hAnsi="Times New Roman" w:cs="Times New Roman"/>
          <w:sz w:val="18"/>
          <w:szCs w:val="18"/>
        </w:rPr>
        <w:t xml:space="preserve">; </w:t>
      </w:r>
      <w:r w:rsidRPr="004806E9">
        <w:rPr>
          <w:rFonts w:ascii="Times New Roman" w:hAnsi="Times New Roman" w:cs="Times New Roman"/>
          <w:sz w:val="18"/>
          <w:szCs w:val="18"/>
        </w:rPr>
        <w:fldChar w:fldCharType="begin"/>
      </w:r>
      <w:r w:rsidRPr="004806E9">
        <w:rPr>
          <w:rFonts w:ascii="Times New Roman" w:hAnsi="Times New Roman" w:cs="Times New Roman"/>
          <w:sz w:val="18"/>
          <w:szCs w:val="18"/>
        </w:rPr>
        <w:instrText xml:space="preserve"> REF _Ref430594749 \r \h </w:instrText>
      </w:r>
      <w:r>
        <w:rPr>
          <w:rFonts w:ascii="Times New Roman" w:hAnsi="Times New Roman" w:cs="Times New Roman"/>
          <w:sz w:val="18"/>
          <w:szCs w:val="18"/>
        </w:rPr>
        <w:instrText xml:space="preserve"> \* MERGEFORMAT </w:instrText>
      </w:r>
      <w:r w:rsidRPr="004806E9">
        <w:rPr>
          <w:rFonts w:ascii="Times New Roman" w:hAnsi="Times New Roman" w:cs="Times New Roman"/>
          <w:sz w:val="18"/>
          <w:szCs w:val="18"/>
        </w:rPr>
      </w:r>
      <w:r w:rsidRPr="004806E9">
        <w:rPr>
          <w:rFonts w:ascii="Times New Roman" w:hAnsi="Times New Roman" w:cs="Times New Roman"/>
          <w:sz w:val="18"/>
          <w:szCs w:val="18"/>
        </w:rPr>
        <w:fldChar w:fldCharType="separate"/>
      </w:r>
      <w:r>
        <w:rPr>
          <w:rFonts w:ascii="Times New Roman" w:hAnsi="Times New Roman" w:cs="Times New Roman"/>
          <w:sz w:val="18"/>
          <w:szCs w:val="18"/>
        </w:rPr>
        <w:t>59</w:t>
      </w:r>
      <w:r w:rsidRPr="004806E9">
        <w:rPr>
          <w:rFonts w:ascii="Times New Roman" w:hAnsi="Times New Roman" w:cs="Times New Roman"/>
          <w:sz w:val="18"/>
          <w:szCs w:val="18"/>
        </w:rPr>
        <w:fldChar w:fldCharType="end"/>
      </w:r>
      <w:r>
        <w:rPr>
          <w:rFonts w:ascii="Times New Roman" w:hAnsi="Times New Roman" w:cs="Times New Roman"/>
          <w:sz w:val="18"/>
          <w:szCs w:val="18"/>
        </w:rPr>
        <w:t>;</w:t>
      </w:r>
      <w:r w:rsidRPr="004806E9">
        <w:rPr>
          <w:rFonts w:ascii="Times New Roman" w:hAnsi="Times New Roman" w:cs="Times New Roman"/>
          <w:sz w:val="18"/>
          <w:szCs w:val="18"/>
        </w:rPr>
        <w:t xml:space="preserve"> </w:t>
      </w:r>
      <w:r w:rsidRPr="004806E9">
        <w:rPr>
          <w:rFonts w:ascii="Times New Roman" w:hAnsi="Times New Roman" w:cs="Times New Roman"/>
          <w:sz w:val="18"/>
          <w:szCs w:val="18"/>
        </w:rPr>
        <w:fldChar w:fldCharType="begin"/>
      </w:r>
      <w:r w:rsidRPr="004806E9">
        <w:rPr>
          <w:rFonts w:ascii="Times New Roman" w:hAnsi="Times New Roman" w:cs="Times New Roman"/>
          <w:sz w:val="18"/>
          <w:szCs w:val="18"/>
        </w:rPr>
        <w:instrText xml:space="preserve"> REF _Ref430595214 \r \h </w:instrText>
      </w:r>
      <w:r>
        <w:rPr>
          <w:rFonts w:ascii="Times New Roman" w:hAnsi="Times New Roman" w:cs="Times New Roman"/>
          <w:sz w:val="18"/>
          <w:szCs w:val="18"/>
        </w:rPr>
        <w:instrText xml:space="preserve"> \* MERGEFORMAT </w:instrText>
      </w:r>
      <w:r w:rsidRPr="004806E9">
        <w:rPr>
          <w:rFonts w:ascii="Times New Roman" w:hAnsi="Times New Roman" w:cs="Times New Roman"/>
          <w:sz w:val="18"/>
          <w:szCs w:val="18"/>
        </w:rPr>
      </w:r>
      <w:r w:rsidRPr="004806E9">
        <w:rPr>
          <w:rFonts w:ascii="Times New Roman" w:hAnsi="Times New Roman" w:cs="Times New Roman"/>
          <w:sz w:val="18"/>
          <w:szCs w:val="18"/>
        </w:rPr>
        <w:fldChar w:fldCharType="separate"/>
      </w:r>
      <w:r>
        <w:rPr>
          <w:rFonts w:ascii="Times New Roman" w:hAnsi="Times New Roman" w:cs="Times New Roman"/>
          <w:sz w:val="18"/>
          <w:szCs w:val="18"/>
        </w:rPr>
        <w:t>61</w:t>
      </w:r>
      <w:r w:rsidRPr="004806E9">
        <w:rPr>
          <w:rFonts w:ascii="Times New Roman" w:hAnsi="Times New Roman" w:cs="Times New Roman"/>
          <w:sz w:val="18"/>
          <w:szCs w:val="18"/>
        </w:rPr>
        <w:fldChar w:fldCharType="end"/>
      </w:r>
      <w:r>
        <w:rPr>
          <w:rFonts w:ascii="Times New Roman" w:hAnsi="Times New Roman" w:cs="Times New Roman"/>
          <w:sz w:val="18"/>
          <w:szCs w:val="18"/>
        </w:rPr>
        <w:t xml:space="preserve">; </w:t>
      </w:r>
      <w:r w:rsidRPr="004806E9">
        <w:rPr>
          <w:rFonts w:ascii="Times New Roman" w:hAnsi="Times New Roman"/>
          <w:sz w:val="18"/>
          <w:szCs w:val="18"/>
        </w:rPr>
        <w:fldChar w:fldCharType="begin"/>
      </w:r>
      <w:r w:rsidRPr="004806E9">
        <w:rPr>
          <w:rFonts w:ascii="Times New Roman" w:hAnsi="Times New Roman" w:cs="Times New Roman"/>
          <w:sz w:val="18"/>
          <w:szCs w:val="18"/>
        </w:rPr>
        <w:instrText xml:space="preserve"> REF _Ref430595066 \r \h </w:instrText>
      </w:r>
      <w:r>
        <w:rPr>
          <w:rFonts w:ascii="Times New Roman" w:hAnsi="Times New Roman"/>
          <w:sz w:val="18"/>
          <w:szCs w:val="18"/>
        </w:rPr>
        <w:instrText xml:space="preserve"> \* MERGEFORMAT </w:instrText>
      </w:r>
      <w:r w:rsidRPr="004806E9">
        <w:rPr>
          <w:rFonts w:ascii="Times New Roman" w:hAnsi="Times New Roman"/>
          <w:sz w:val="18"/>
          <w:szCs w:val="18"/>
        </w:rPr>
      </w:r>
      <w:r w:rsidRPr="004806E9">
        <w:rPr>
          <w:rFonts w:ascii="Times New Roman" w:hAnsi="Times New Roman"/>
          <w:sz w:val="18"/>
          <w:szCs w:val="18"/>
        </w:rPr>
        <w:fldChar w:fldCharType="separate"/>
      </w:r>
      <w:r>
        <w:rPr>
          <w:rFonts w:ascii="Times New Roman" w:hAnsi="Times New Roman" w:cs="Times New Roman"/>
          <w:sz w:val="18"/>
          <w:szCs w:val="18"/>
        </w:rPr>
        <w:t>63</w:t>
      </w:r>
      <w:r w:rsidRPr="004806E9">
        <w:rPr>
          <w:rFonts w:ascii="Times New Roman" w:hAnsi="Times New Roman"/>
          <w:sz w:val="18"/>
          <w:szCs w:val="18"/>
        </w:rPr>
        <w:fldChar w:fldCharType="end"/>
      </w:r>
      <w:r>
        <w:rPr>
          <w:rFonts w:ascii="Times New Roman" w:hAnsi="Times New Roman" w:cs="Times New Roman"/>
          <w:sz w:val="18"/>
          <w:szCs w:val="18"/>
        </w:rPr>
        <w:t xml:space="preserve">; </w:t>
      </w:r>
      <w:r w:rsidRPr="004806E9">
        <w:rPr>
          <w:rFonts w:ascii="Times New Roman" w:hAnsi="Times New Roman" w:cs="Times New Roman"/>
          <w:sz w:val="18"/>
          <w:szCs w:val="18"/>
        </w:rPr>
        <w:fldChar w:fldCharType="begin"/>
      </w:r>
      <w:r w:rsidRPr="004806E9">
        <w:rPr>
          <w:rFonts w:ascii="Times New Roman" w:hAnsi="Times New Roman" w:cs="Times New Roman"/>
          <w:sz w:val="18"/>
          <w:szCs w:val="18"/>
        </w:rPr>
        <w:instrText xml:space="preserve"> REF _Ref430595060 \r \h </w:instrText>
      </w:r>
      <w:r>
        <w:rPr>
          <w:rFonts w:ascii="Times New Roman" w:hAnsi="Times New Roman" w:cs="Times New Roman"/>
          <w:sz w:val="18"/>
          <w:szCs w:val="18"/>
        </w:rPr>
        <w:instrText xml:space="preserve"> \* MERGEFORMAT </w:instrText>
      </w:r>
      <w:r w:rsidRPr="004806E9">
        <w:rPr>
          <w:rFonts w:ascii="Times New Roman" w:hAnsi="Times New Roman" w:cs="Times New Roman"/>
          <w:sz w:val="18"/>
          <w:szCs w:val="18"/>
        </w:rPr>
      </w:r>
      <w:r w:rsidRPr="004806E9">
        <w:rPr>
          <w:rFonts w:ascii="Times New Roman" w:hAnsi="Times New Roman" w:cs="Times New Roman"/>
          <w:sz w:val="18"/>
          <w:szCs w:val="18"/>
        </w:rPr>
        <w:fldChar w:fldCharType="separate"/>
      </w:r>
      <w:r>
        <w:rPr>
          <w:rFonts w:ascii="Times New Roman" w:hAnsi="Times New Roman" w:cs="Times New Roman"/>
          <w:sz w:val="18"/>
          <w:szCs w:val="18"/>
        </w:rPr>
        <w:t>67</w:t>
      </w:r>
      <w:r w:rsidRPr="004806E9">
        <w:rPr>
          <w:rFonts w:ascii="Times New Roman" w:hAnsi="Times New Roman" w:cs="Times New Roman"/>
          <w:sz w:val="18"/>
          <w:szCs w:val="18"/>
        </w:rPr>
        <w:fldChar w:fldCharType="end"/>
      </w:r>
      <w:r>
        <w:rPr>
          <w:rFonts w:ascii="Times New Roman" w:hAnsi="Times New Roman" w:cs="Times New Roman"/>
          <w:sz w:val="18"/>
          <w:szCs w:val="18"/>
        </w:rPr>
        <w:t>;</w:t>
      </w:r>
      <w:r w:rsidRPr="004806E9">
        <w:rPr>
          <w:rFonts w:ascii="Times New Roman" w:hAnsi="Times New Roman" w:cs="Times New Roman"/>
          <w:sz w:val="18"/>
          <w:szCs w:val="18"/>
        </w:rPr>
        <w:t xml:space="preserve"> </w:t>
      </w:r>
      <w:r w:rsidRPr="004806E9">
        <w:rPr>
          <w:rFonts w:ascii="Times New Roman" w:hAnsi="Times New Roman"/>
          <w:sz w:val="18"/>
          <w:szCs w:val="18"/>
          <w:lang w:val="en-US"/>
        </w:rPr>
        <w:fldChar w:fldCharType="begin"/>
      </w:r>
      <w:r w:rsidRPr="004806E9">
        <w:rPr>
          <w:rFonts w:ascii="Times New Roman" w:hAnsi="Times New Roman" w:cs="Times New Roman"/>
          <w:sz w:val="18"/>
          <w:szCs w:val="18"/>
        </w:rPr>
        <w:instrText xml:space="preserve"> REF _Ref430595189 \r \h </w:instrText>
      </w:r>
      <w:r w:rsidRPr="004806E9">
        <w:rPr>
          <w:rFonts w:ascii="Times New Roman" w:hAnsi="Times New Roman"/>
          <w:sz w:val="18"/>
          <w:szCs w:val="18"/>
          <w:lang w:val="ru-RU"/>
        </w:rPr>
        <w:instrText xml:space="preserve"> \* </w:instrText>
      </w:r>
      <w:r>
        <w:rPr>
          <w:rFonts w:ascii="Times New Roman" w:hAnsi="Times New Roman"/>
          <w:sz w:val="18"/>
          <w:szCs w:val="18"/>
          <w:lang w:val="en-US"/>
        </w:rPr>
        <w:instrText>MERGEFORMAT</w:instrText>
      </w:r>
      <w:r w:rsidRPr="004806E9">
        <w:rPr>
          <w:rFonts w:ascii="Times New Roman" w:hAnsi="Times New Roman"/>
          <w:sz w:val="18"/>
          <w:szCs w:val="18"/>
          <w:lang w:val="ru-RU"/>
        </w:rPr>
        <w:instrText xml:space="preserve"> </w:instrText>
      </w:r>
      <w:r w:rsidRPr="004806E9">
        <w:rPr>
          <w:rFonts w:ascii="Times New Roman" w:hAnsi="Times New Roman"/>
          <w:sz w:val="18"/>
          <w:szCs w:val="18"/>
          <w:lang w:val="en-US"/>
        </w:rPr>
      </w:r>
      <w:r w:rsidRPr="004806E9">
        <w:rPr>
          <w:rFonts w:ascii="Times New Roman" w:hAnsi="Times New Roman"/>
          <w:sz w:val="18"/>
          <w:szCs w:val="18"/>
          <w:lang w:val="en-US"/>
        </w:rPr>
        <w:fldChar w:fldCharType="separate"/>
      </w:r>
      <w:r>
        <w:rPr>
          <w:rFonts w:ascii="Times New Roman" w:hAnsi="Times New Roman" w:cs="Times New Roman"/>
          <w:sz w:val="18"/>
          <w:szCs w:val="18"/>
        </w:rPr>
        <w:t>78</w:t>
      </w:r>
      <w:r w:rsidRPr="004806E9">
        <w:rPr>
          <w:rFonts w:ascii="Times New Roman" w:hAnsi="Times New Roman"/>
          <w:sz w:val="18"/>
          <w:szCs w:val="18"/>
          <w:lang w:val="en-US"/>
        </w:rPr>
        <w:fldChar w:fldCharType="end"/>
      </w:r>
      <w:r w:rsidRPr="004806E9">
        <w:rPr>
          <w:rFonts w:ascii="Times New Roman" w:hAnsi="Times New Roman" w:cs="Times New Roman"/>
          <w:sz w:val="18"/>
          <w:szCs w:val="18"/>
        </w:rPr>
        <w:t>]</w:t>
      </w:r>
    </w:p>
    <w:p w:rsidR="00B233DE" w:rsidRPr="004806E9" w:rsidRDefault="00B233DE" w:rsidP="00B233DE">
      <w:pPr>
        <w:autoSpaceDE w:val="0"/>
        <w:autoSpaceDN w:val="0"/>
        <w:adjustRightInd w:val="0"/>
        <w:ind w:firstLine="709"/>
        <w:jc w:val="both"/>
        <w:rPr>
          <w:rFonts w:ascii="Times New Roman" w:hAnsi="Times New Roman" w:cs="Times New Roman"/>
          <w:sz w:val="18"/>
          <w:szCs w:val="18"/>
        </w:rPr>
      </w:pPr>
    </w:p>
    <w:p w:rsidR="00B233DE" w:rsidRPr="00D416D3" w:rsidRDefault="00B233DE" w:rsidP="00B233DE">
      <w:pPr>
        <w:autoSpaceDE w:val="0"/>
        <w:autoSpaceDN w:val="0"/>
        <w:adjustRightInd w:val="0"/>
        <w:spacing w:line="230" w:lineRule="auto"/>
        <w:ind w:firstLine="720"/>
        <w:jc w:val="both"/>
        <w:rPr>
          <w:rFonts w:ascii="Times New Roman" w:hAnsi="Times New Roman" w:cs="Times New Roman"/>
          <w:sz w:val="21"/>
          <w:szCs w:val="21"/>
        </w:rPr>
      </w:pPr>
      <w:r w:rsidRPr="00D416D3">
        <w:rPr>
          <w:rFonts w:ascii="Times New Roman" w:hAnsi="Times New Roman" w:cs="Times New Roman"/>
          <w:sz w:val="21"/>
          <w:szCs w:val="21"/>
        </w:rPr>
        <w:t>Для нового суспільства характерним є панування сфери послуг та нематеріального виробництва, за якого саме людина стає метою і критерієм соціально-економічного розвитку, а її знання перетворюються на визначальний ресурс.</w:t>
      </w:r>
    </w:p>
    <w:p w:rsidR="00B233DE" w:rsidRDefault="00B233DE" w:rsidP="00B233DE">
      <w:pPr>
        <w:spacing w:line="230" w:lineRule="auto"/>
        <w:ind w:firstLine="720"/>
        <w:jc w:val="both"/>
        <w:rPr>
          <w:rFonts w:ascii="Times New Roman" w:hAnsi="Times New Roman" w:cs="Times New Roman"/>
          <w:sz w:val="21"/>
          <w:szCs w:val="21"/>
        </w:rPr>
      </w:pPr>
      <w:r w:rsidRPr="00D416D3">
        <w:rPr>
          <w:rFonts w:ascii="Times New Roman" w:hAnsi="Times New Roman" w:cs="Times New Roman"/>
          <w:sz w:val="21"/>
          <w:szCs w:val="21"/>
        </w:rPr>
        <w:t>Слід підкреслити, що концепція економіки знань набула ролі основної теоретичної бази політики економічного зростання для розвинутих країн, зокрема, для Європейського Союзу.</w:t>
      </w:r>
    </w:p>
    <w:p w:rsidR="00B233DE" w:rsidRPr="00E35FCB" w:rsidRDefault="00B233DE" w:rsidP="00B233DE">
      <w:pPr>
        <w:spacing w:line="230" w:lineRule="auto"/>
        <w:ind w:firstLine="720"/>
        <w:jc w:val="both"/>
        <w:rPr>
          <w:rFonts w:ascii="Times New Roman" w:hAnsi="Times New Roman" w:cs="Times New Roman"/>
          <w:sz w:val="21"/>
          <w:szCs w:val="21"/>
        </w:rPr>
      </w:pPr>
      <w:r w:rsidRPr="00E35FCB">
        <w:rPr>
          <w:rFonts w:ascii="Times New Roman" w:hAnsi="Times New Roman" w:cs="Times New Roman"/>
          <w:sz w:val="21"/>
          <w:szCs w:val="21"/>
        </w:rPr>
        <w:t xml:space="preserve">У Лісабонській стратегії ЄС 2000 року </w:t>
      </w:r>
      <w:r>
        <w:rPr>
          <w:rFonts w:ascii="Times New Roman" w:hAnsi="Times New Roman" w:cs="Times New Roman"/>
          <w:sz w:val="21"/>
          <w:szCs w:val="21"/>
        </w:rPr>
        <w:t>за</w:t>
      </w:r>
      <w:r w:rsidRPr="00E35FCB">
        <w:rPr>
          <w:rFonts w:ascii="Times New Roman" w:hAnsi="Times New Roman" w:cs="Times New Roman"/>
          <w:sz w:val="21"/>
          <w:szCs w:val="21"/>
        </w:rPr>
        <w:t>тверджено економічну політику, с</w:t>
      </w:r>
      <w:r>
        <w:rPr>
          <w:rFonts w:ascii="Times New Roman" w:hAnsi="Times New Roman" w:cs="Times New Roman"/>
          <w:sz w:val="21"/>
          <w:szCs w:val="21"/>
        </w:rPr>
        <w:t>п</w:t>
      </w:r>
      <w:r w:rsidRPr="00E35FCB">
        <w:rPr>
          <w:rFonts w:ascii="Times New Roman" w:hAnsi="Times New Roman" w:cs="Times New Roman"/>
          <w:sz w:val="21"/>
          <w:szCs w:val="21"/>
        </w:rPr>
        <w:t>рямовану на створення найбільш конкурентної і динамічної економіки</w:t>
      </w:r>
      <w:r>
        <w:rPr>
          <w:rFonts w:ascii="Times New Roman" w:hAnsi="Times New Roman" w:cs="Times New Roman"/>
          <w:sz w:val="21"/>
          <w:szCs w:val="21"/>
        </w:rPr>
        <w:t xml:space="preserve"> знань</w:t>
      </w:r>
      <w:r w:rsidRPr="00E35FCB">
        <w:rPr>
          <w:rFonts w:ascii="Times New Roman" w:hAnsi="Times New Roman" w:cs="Times New Roman"/>
          <w:sz w:val="21"/>
          <w:szCs w:val="21"/>
        </w:rPr>
        <w:t xml:space="preserve">, яка забезпечує стале економічне зростання, зайнятість та соціальну злагоду. Теоретичне та практичне впровадження концепції передбачає також розбудову </w:t>
      </w:r>
      <w:r w:rsidRPr="00E35FCB">
        <w:rPr>
          <w:rFonts w:ascii="Times New Roman" w:hAnsi="Times New Roman" w:cs="Times New Roman"/>
          <w:sz w:val="21"/>
          <w:szCs w:val="21"/>
        </w:rPr>
        <w:lastRenderedPageBreak/>
        <w:t>інтегральної національної системи стратегічного управління для забезпечення досягнення та довгострокового утримання високого рівня соціально-економічної конкурентоспроможності країн у швидкозмінному глобальному середовищі. В умовах постійного посилення міжнародної конкуренції, країни ЄС визнали необхідність дотримання високих темпів структурних змін, що обумовило зростання вимог до розвитку усіх складових людського потенціалу. Якісна складова людського потенціалу національної економіки вийшла на перше місце за вагомістю серед факторів економічного зростання, що значно підвищило роль секторів освіти, науки, інноваційного і технологічного розвитку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_Ref430595203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6</w:t>
      </w:r>
      <w:r>
        <w:rPr>
          <w:rFonts w:ascii="Times New Roman" w:hAnsi="Times New Roman" w:cs="Times New Roman"/>
          <w:sz w:val="21"/>
          <w:szCs w:val="21"/>
        </w:rPr>
        <w:fldChar w:fldCharType="end"/>
      </w:r>
      <w:r w:rsidRPr="00E35FCB">
        <w:rPr>
          <w:rFonts w:ascii="Times New Roman" w:hAnsi="Times New Roman" w:cs="Times New Roman"/>
          <w:sz w:val="21"/>
          <w:szCs w:val="21"/>
        </w:rPr>
        <w:t>].</w:t>
      </w:r>
    </w:p>
    <w:p w:rsidR="00B233DE" w:rsidRPr="00E35FCB" w:rsidRDefault="00B233DE" w:rsidP="00B233DE">
      <w:pPr>
        <w:spacing w:line="230" w:lineRule="auto"/>
        <w:ind w:firstLine="720"/>
        <w:jc w:val="both"/>
        <w:rPr>
          <w:rFonts w:ascii="Times New Roman" w:hAnsi="Times New Roman" w:cs="Times New Roman"/>
          <w:sz w:val="21"/>
          <w:szCs w:val="21"/>
        </w:rPr>
      </w:pPr>
      <w:r w:rsidRPr="00E35FCB">
        <w:rPr>
          <w:rFonts w:ascii="Times New Roman" w:hAnsi="Times New Roman" w:cs="Times New Roman"/>
          <w:sz w:val="21"/>
          <w:szCs w:val="21"/>
        </w:rPr>
        <w:t>Концепція сталого розвитку інтегрувала в себе основні положення концепцій постіндустріального суспільства та людського розвитку і доповнила їх необхідністю збереження навколишнього середовища для забезпечення п</w:t>
      </w:r>
      <w:r>
        <w:rPr>
          <w:rFonts w:ascii="Times New Roman" w:hAnsi="Times New Roman" w:cs="Times New Roman"/>
          <w:sz w:val="21"/>
          <w:szCs w:val="21"/>
        </w:rPr>
        <w:t>отреб майбутніх поколінь</w:t>
      </w:r>
      <w:r w:rsidRPr="00E35FCB">
        <w:rPr>
          <w:rFonts w:ascii="Times New Roman" w:hAnsi="Times New Roman" w:cs="Times New Roman"/>
          <w:sz w:val="21"/>
          <w:szCs w:val="21"/>
        </w:rPr>
        <w:t>. Сталий розвиток став невід’ємною складовою становлення суспільства знань, в якому існує постійний попит на нові знання, необхідні для створення конкурентоспроможних видів продукції та послуг, ефективно функціонують системи виробництва та передачі знань і забезпечується їх взаємодія із системами виробництва матеріальних продуктів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_Ref430595214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61</w:t>
      </w:r>
      <w:r>
        <w:rPr>
          <w:rFonts w:ascii="Times New Roman" w:hAnsi="Times New Roman" w:cs="Times New Roman"/>
          <w:sz w:val="21"/>
          <w:szCs w:val="21"/>
        </w:rPr>
        <w:fldChar w:fldCharType="end"/>
      </w:r>
      <w:r w:rsidRPr="00E35FCB">
        <w:rPr>
          <w:rFonts w:ascii="Times New Roman" w:hAnsi="Times New Roman" w:cs="Times New Roman"/>
          <w:sz w:val="21"/>
          <w:szCs w:val="21"/>
        </w:rPr>
        <w:t>].</w:t>
      </w:r>
    </w:p>
    <w:p w:rsidR="00B233DE" w:rsidRPr="00E35FCB" w:rsidRDefault="00B233DE" w:rsidP="00B233DE">
      <w:pPr>
        <w:spacing w:line="230" w:lineRule="auto"/>
        <w:ind w:firstLine="720"/>
        <w:jc w:val="both"/>
        <w:rPr>
          <w:rFonts w:ascii="Times New Roman" w:hAnsi="Times New Roman" w:cs="Times New Roman"/>
          <w:sz w:val="21"/>
          <w:szCs w:val="21"/>
        </w:rPr>
      </w:pPr>
      <w:r w:rsidRPr="00E35FCB">
        <w:rPr>
          <w:rFonts w:ascii="Times New Roman" w:hAnsi="Times New Roman" w:cs="Times New Roman"/>
          <w:sz w:val="21"/>
          <w:szCs w:val="21"/>
        </w:rPr>
        <w:t>Концепція сталого розвитку передбачає вирішення економічних, соціальних та екологічних проблем. Очевидно, що розвиток буде сталим тільки тоді, коли буде досягнута рівновага між різними факторами, що зумовлюють загальний рівень життя: економічна діяльність людини повинна орієнтуватись не на зростання споживання ресурсів біосфери, а на її раціоналізацію за рахунок інтенсифікації господарства шляхом ефективного використання інформаційних технологій. Обов’язковими складовими сталого розвитку є також виважена демографічна та соціальна політика, спрямована на подолання великої різниці в рівнях доходів і якості життя між країнами, різними групами і прошарками населення.</w:t>
      </w:r>
    </w:p>
    <w:p w:rsidR="00B233DE" w:rsidRPr="00E35FCB" w:rsidRDefault="00B233DE" w:rsidP="00B233DE">
      <w:pPr>
        <w:autoSpaceDE w:val="0"/>
        <w:autoSpaceDN w:val="0"/>
        <w:adjustRightInd w:val="0"/>
        <w:spacing w:line="230" w:lineRule="auto"/>
        <w:ind w:firstLine="720"/>
        <w:jc w:val="both"/>
        <w:rPr>
          <w:rFonts w:ascii="Times New Roman" w:hAnsi="Times New Roman" w:cs="Times New Roman"/>
          <w:sz w:val="21"/>
          <w:szCs w:val="21"/>
        </w:rPr>
      </w:pPr>
      <w:r w:rsidRPr="00E35FCB">
        <w:rPr>
          <w:rFonts w:ascii="Times New Roman" w:hAnsi="Times New Roman" w:cs="Times New Roman"/>
          <w:sz w:val="21"/>
          <w:szCs w:val="21"/>
        </w:rPr>
        <w:t xml:space="preserve">Перегляд економічних підходів до місця людини у соціально-економічному розвитку, як активної частини суспільного багатства та головної цінності суспільного розвитку, став закономірною характерною рисою переходу від індустріального до постіндустріального етапів розвитку людства. За умов становлення нової економіки на базі інформаційно та інтелектуально ємних технологій, виробництво розглядається як засіб покращення добробуту населення, що викликає необхідність формування </w:t>
      </w:r>
      <w:r w:rsidRPr="00E35FCB">
        <w:rPr>
          <w:rFonts w:ascii="Times New Roman" w:hAnsi="Times New Roman" w:cs="Times New Roman"/>
          <w:sz w:val="21"/>
          <w:szCs w:val="21"/>
        </w:rPr>
        <w:lastRenderedPageBreak/>
        <w:t>принципово нової соціальної політики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_Ref430595060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67</w:t>
      </w:r>
      <w:r>
        <w:rPr>
          <w:rFonts w:ascii="Times New Roman" w:hAnsi="Times New Roman" w:cs="Times New Roman"/>
          <w:sz w:val="21"/>
          <w:szCs w:val="21"/>
        </w:rPr>
        <w:fldChar w:fldCharType="end"/>
      </w:r>
      <w:r w:rsidRPr="00E35FCB">
        <w:rPr>
          <w:rFonts w:ascii="Times New Roman" w:hAnsi="Times New Roman" w:cs="Times New Roman"/>
          <w:sz w:val="21"/>
          <w:szCs w:val="21"/>
        </w:rPr>
        <w:t>, с. 402]. Такі тенденції стали закономірним продовженням досягнення високого рівня добробуту населення розвинутих країн, що зумовило перехід до задоволення нематеріальних потреб, передусім, накопичення знань та розвитку особистих здібностей. В свою чергу, нові фактори виробництва – інформація та знання – потребують постійного підвищення освітнього, інтелектуального та кваліфікаційного рівня населення як носія людського потенціалу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_Ref430595060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67</w:t>
      </w:r>
      <w:r>
        <w:rPr>
          <w:rFonts w:ascii="Times New Roman" w:hAnsi="Times New Roman" w:cs="Times New Roman"/>
          <w:sz w:val="21"/>
          <w:szCs w:val="21"/>
        </w:rPr>
        <w:fldChar w:fldCharType="end"/>
      </w:r>
      <w:r>
        <w:rPr>
          <w:rFonts w:ascii="Times New Roman" w:hAnsi="Times New Roman" w:cs="Times New Roman"/>
          <w:sz w:val="21"/>
          <w:szCs w:val="21"/>
        </w:rPr>
        <w:t xml:space="preserve">, </w:t>
      </w:r>
      <w:r w:rsidRPr="00E35FCB">
        <w:rPr>
          <w:rFonts w:ascii="Times New Roman" w:hAnsi="Times New Roman" w:cs="Times New Roman"/>
          <w:sz w:val="21"/>
          <w:szCs w:val="21"/>
        </w:rPr>
        <w:t>с.</w:t>
      </w:r>
      <w:r>
        <w:rPr>
          <w:rFonts w:ascii="Times New Roman" w:hAnsi="Times New Roman" w:cs="Times New Roman"/>
          <w:sz w:val="21"/>
          <w:szCs w:val="21"/>
        </w:rPr>
        <w:t xml:space="preserve"> </w:t>
      </w:r>
      <w:r w:rsidRPr="00E35FCB">
        <w:rPr>
          <w:rFonts w:ascii="Times New Roman" w:hAnsi="Times New Roman" w:cs="Times New Roman"/>
          <w:sz w:val="21"/>
          <w:szCs w:val="21"/>
        </w:rPr>
        <w:t>420].</w:t>
      </w:r>
    </w:p>
    <w:p w:rsidR="00B233DE" w:rsidRPr="00E35FCB" w:rsidRDefault="00B233DE" w:rsidP="00B233DE">
      <w:pPr>
        <w:autoSpaceDE w:val="0"/>
        <w:autoSpaceDN w:val="0"/>
        <w:adjustRightInd w:val="0"/>
        <w:spacing w:line="230" w:lineRule="auto"/>
        <w:ind w:firstLine="720"/>
        <w:jc w:val="both"/>
        <w:rPr>
          <w:rFonts w:ascii="Times New Roman" w:hAnsi="Times New Roman" w:cs="Times New Roman"/>
          <w:sz w:val="21"/>
          <w:szCs w:val="21"/>
        </w:rPr>
      </w:pPr>
      <w:r w:rsidRPr="00E35FCB">
        <w:rPr>
          <w:rFonts w:ascii="Times New Roman" w:hAnsi="Times New Roman" w:cs="Times New Roman"/>
          <w:sz w:val="21"/>
          <w:szCs w:val="21"/>
        </w:rPr>
        <w:t>Слід підкреслити, що при переході до постіндустріального суспільства промисловість та сільське господарство не зникають, а зазнають такого рівня модернізації, який дозволяє вивільнити людський ресурс з цих сфер і направити його у сферу послуг, що зростає надшвидкими темпами.</w:t>
      </w:r>
    </w:p>
    <w:p w:rsidR="00B233DE" w:rsidRPr="00E35FCB" w:rsidRDefault="00B233DE" w:rsidP="00B233DE">
      <w:pPr>
        <w:autoSpaceDE w:val="0"/>
        <w:autoSpaceDN w:val="0"/>
        <w:adjustRightInd w:val="0"/>
        <w:spacing w:line="230" w:lineRule="auto"/>
        <w:ind w:firstLine="720"/>
        <w:jc w:val="both"/>
        <w:rPr>
          <w:rFonts w:ascii="Times New Roman" w:hAnsi="Times New Roman" w:cs="Times New Roman"/>
          <w:sz w:val="21"/>
          <w:szCs w:val="21"/>
        </w:rPr>
      </w:pPr>
      <w:r w:rsidRPr="00E35FCB">
        <w:rPr>
          <w:rFonts w:ascii="Times New Roman" w:hAnsi="Times New Roman" w:cs="Times New Roman"/>
          <w:sz w:val="21"/>
          <w:szCs w:val="21"/>
        </w:rPr>
        <w:t>В інформаційній економіці господарська діяльність проявляється у виробництві і застосуванні інформації з метою підвищення ефективності всіх інших форм економічної і суспільної діяльності (табл. 1.</w:t>
      </w:r>
      <w:r>
        <w:rPr>
          <w:rFonts w:ascii="Times New Roman" w:hAnsi="Times New Roman" w:cs="Times New Roman"/>
          <w:sz w:val="21"/>
          <w:szCs w:val="21"/>
        </w:rPr>
        <w:t>8</w:t>
      </w:r>
      <w:r w:rsidRPr="00E35FCB">
        <w:rPr>
          <w:rFonts w:ascii="Times New Roman" w:hAnsi="Times New Roman" w:cs="Times New Roman"/>
          <w:sz w:val="21"/>
          <w:szCs w:val="21"/>
        </w:rPr>
        <w:t>).</w:t>
      </w:r>
    </w:p>
    <w:p w:rsidR="00B233DE" w:rsidRPr="00E35FCB" w:rsidRDefault="00B233DE" w:rsidP="00B233DE">
      <w:pPr>
        <w:autoSpaceDE w:val="0"/>
        <w:autoSpaceDN w:val="0"/>
        <w:adjustRightInd w:val="0"/>
        <w:jc w:val="right"/>
        <w:rPr>
          <w:rFonts w:ascii="Times New Roman" w:hAnsi="Times New Roman" w:cs="Times New Roman"/>
          <w:sz w:val="21"/>
          <w:szCs w:val="21"/>
        </w:rPr>
      </w:pPr>
    </w:p>
    <w:p w:rsidR="00B233DE" w:rsidRPr="00E35FCB" w:rsidRDefault="00B233DE" w:rsidP="00B233DE">
      <w:pPr>
        <w:autoSpaceDE w:val="0"/>
        <w:autoSpaceDN w:val="0"/>
        <w:adjustRightInd w:val="0"/>
        <w:jc w:val="right"/>
        <w:rPr>
          <w:rFonts w:ascii="Times New Roman" w:hAnsi="Times New Roman" w:cs="Times New Roman"/>
          <w:sz w:val="21"/>
          <w:szCs w:val="21"/>
        </w:rPr>
      </w:pPr>
      <w:r w:rsidRPr="00E35FCB">
        <w:rPr>
          <w:rFonts w:ascii="Times New Roman" w:hAnsi="Times New Roman" w:cs="Times New Roman"/>
          <w:sz w:val="21"/>
          <w:szCs w:val="21"/>
        </w:rPr>
        <w:t>Таблиця 1.</w:t>
      </w:r>
      <w:r>
        <w:rPr>
          <w:rFonts w:ascii="Times New Roman" w:hAnsi="Times New Roman" w:cs="Times New Roman"/>
          <w:sz w:val="21"/>
          <w:szCs w:val="21"/>
        </w:rPr>
        <w:t>8</w:t>
      </w:r>
    </w:p>
    <w:p w:rsidR="00B233DE" w:rsidRPr="00CC72B6" w:rsidRDefault="00B233DE" w:rsidP="00B233DE">
      <w:pPr>
        <w:ind w:firstLine="720"/>
        <w:jc w:val="center"/>
        <w:rPr>
          <w:rFonts w:ascii="Times New Roman" w:hAnsi="Times New Roman" w:cs="Times New Roman"/>
          <w:b/>
          <w:sz w:val="21"/>
          <w:szCs w:val="21"/>
        </w:rPr>
      </w:pPr>
      <w:r w:rsidRPr="00CC72B6">
        <w:rPr>
          <w:rFonts w:ascii="Times New Roman" w:hAnsi="Times New Roman" w:cs="Times New Roman"/>
          <w:b/>
          <w:sz w:val="21"/>
          <w:szCs w:val="21"/>
        </w:rPr>
        <w:t xml:space="preserve">Основні форми суспільно-економічних відносин </w:t>
      </w:r>
    </w:p>
    <w:p w:rsidR="00B233DE" w:rsidRPr="00CC72B6" w:rsidRDefault="00B233DE" w:rsidP="00B233DE">
      <w:pPr>
        <w:ind w:firstLine="720"/>
        <w:jc w:val="center"/>
        <w:rPr>
          <w:rFonts w:ascii="Times New Roman" w:hAnsi="Times New Roman" w:cs="Times New Roman"/>
          <w:b/>
          <w:sz w:val="21"/>
          <w:szCs w:val="21"/>
        </w:rPr>
      </w:pPr>
      <w:r w:rsidRPr="00CC72B6">
        <w:rPr>
          <w:rFonts w:ascii="Times New Roman" w:hAnsi="Times New Roman" w:cs="Times New Roman"/>
          <w:b/>
          <w:sz w:val="21"/>
          <w:szCs w:val="21"/>
        </w:rPr>
        <w:t>в інформаційному суспільстві*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34"/>
        <w:gridCol w:w="4984"/>
      </w:tblGrid>
      <w:tr w:rsidR="00B233DE" w:rsidRPr="004806E9" w:rsidTr="0023489B">
        <w:tc>
          <w:tcPr>
            <w:tcW w:w="1134" w:type="dxa"/>
            <w:shd w:val="clear" w:color="auto" w:fill="auto"/>
            <w:vAlign w:val="center"/>
          </w:tcPr>
          <w:p w:rsidR="00B233DE" w:rsidRPr="004806E9" w:rsidRDefault="00B233DE" w:rsidP="0023489B">
            <w:pPr>
              <w:ind w:left="-142" w:right="-108" w:firstLine="0"/>
              <w:jc w:val="center"/>
              <w:rPr>
                <w:rFonts w:ascii="Times New Roman" w:eastAsia="SimSun" w:hAnsi="Times New Roman" w:cs="Times New Roman"/>
                <w:sz w:val="16"/>
                <w:szCs w:val="16"/>
              </w:rPr>
            </w:pPr>
            <w:r w:rsidRPr="004806E9">
              <w:rPr>
                <w:rFonts w:ascii="Times New Roman" w:eastAsia="SimSun" w:hAnsi="Times New Roman" w:cs="Times New Roman"/>
                <w:sz w:val="16"/>
                <w:szCs w:val="16"/>
              </w:rPr>
              <w:t>Форма суспіль</w:t>
            </w:r>
            <w:r>
              <w:rPr>
                <w:rFonts w:ascii="Times New Roman" w:eastAsia="SimSun" w:hAnsi="Times New Roman" w:cs="Times New Roman"/>
                <w:sz w:val="16"/>
                <w:szCs w:val="16"/>
              </w:rPr>
              <w:t>-</w:t>
            </w:r>
            <w:r w:rsidRPr="004806E9">
              <w:rPr>
                <w:rFonts w:ascii="Times New Roman" w:eastAsia="SimSun" w:hAnsi="Times New Roman" w:cs="Times New Roman"/>
                <w:sz w:val="16"/>
                <w:szCs w:val="16"/>
              </w:rPr>
              <w:t>но-економічних відносин</w:t>
            </w:r>
          </w:p>
        </w:tc>
        <w:tc>
          <w:tcPr>
            <w:tcW w:w="4984" w:type="dxa"/>
            <w:shd w:val="clear" w:color="auto" w:fill="auto"/>
            <w:vAlign w:val="center"/>
          </w:tcPr>
          <w:p w:rsidR="00B233DE" w:rsidRPr="004806E9" w:rsidRDefault="00B233DE" w:rsidP="0023489B">
            <w:pPr>
              <w:ind w:firstLine="0"/>
              <w:jc w:val="center"/>
              <w:rPr>
                <w:rFonts w:ascii="Times New Roman" w:eastAsia="SimSun" w:hAnsi="Times New Roman" w:cs="Times New Roman"/>
                <w:sz w:val="16"/>
                <w:szCs w:val="16"/>
              </w:rPr>
            </w:pPr>
            <w:r w:rsidRPr="004806E9">
              <w:rPr>
                <w:rFonts w:ascii="Times New Roman" w:eastAsia="SimSun" w:hAnsi="Times New Roman" w:cs="Times New Roman"/>
                <w:sz w:val="16"/>
                <w:szCs w:val="16"/>
              </w:rPr>
              <w:t>Визначення</w:t>
            </w:r>
          </w:p>
        </w:tc>
      </w:tr>
      <w:tr w:rsidR="00B233DE" w:rsidRPr="004806E9" w:rsidTr="0023489B">
        <w:tc>
          <w:tcPr>
            <w:tcW w:w="1134" w:type="dxa"/>
            <w:shd w:val="clear" w:color="auto" w:fill="auto"/>
            <w:vAlign w:val="center"/>
          </w:tcPr>
          <w:p w:rsidR="00B233DE" w:rsidRPr="004806E9" w:rsidRDefault="00B233DE" w:rsidP="0023489B">
            <w:pPr>
              <w:ind w:firstLine="0"/>
              <w:jc w:val="center"/>
              <w:rPr>
                <w:rFonts w:ascii="Times New Roman" w:eastAsia="SimSun" w:hAnsi="Times New Roman" w:cs="Times New Roman"/>
                <w:sz w:val="16"/>
                <w:szCs w:val="16"/>
              </w:rPr>
            </w:pPr>
            <w:r w:rsidRPr="004806E9">
              <w:rPr>
                <w:rFonts w:ascii="Times New Roman" w:eastAsia="SimSun" w:hAnsi="Times New Roman" w:cs="Times New Roman"/>
                <w:sz w:val="16"/>
                <w:szCs w:val="16"/>
              </w:rPr>
              <w:t>Електронна демократія</w:t>
            </w:r>
          </w:p>
        </w:tc>
        <w:tc>
          <w:tcPr>
            <w:tcW w:w="4984" w:type="dxa"/>
            <w:shd w:val="clear" w:color="auto" w:fill="auto"/>
            <w:vAlign w:val="center"/>
          </w:tcPr>
          <w:p w:rsidR="00B233DE" w:rsidRPr="004806E9" w:rsidRDefault="00B233DE" w:rsidP="0023489B">
            <w:pPr>
              <w:ind w:firstLine="0"/>
              <w:jc w:val="both"/>
              <w:rPr>
                <w:rFonts w:ascii="Times New Roman" w:eastAsia="SimSun" w:hAnsi="Times New Roman" w:cs="Times New Roman"/>
                <w:sz w:val="16"/>
                <w:szCs w:val="16"/>
              </w:rPr>
            </w:pPr>
            <w:r w:rsidRPr="004806E9">
              <w:rPr>
                <w:rFonts w:ascii="Times New Roman" w:eastAsia="SimSun" w:hAnsi="Times New Roman" w:cs="Times New Roman"/>
                <w:sz w:val="16"/>
                <w:szCs w:val="16"/>
              </w:rPr>
              <w:t xml:space="preserve">форма організації суспільно-політичної діяльності громадян, яка забезпечує, за рахунок широкого </w:t>
            </w:r>
            <w:r w:rsidRPr="004806E9">
              <w:rPr>
                <w:rFonts w:ascii="Times New Roman" w:eastAsia="SimSun" w:hAnsi="Times New Roman" w:cs="Times New Roman"/>
                <w:spacing w:val="-8"/>
                <w:sz w:val="16"/>
                <w:szCs w:val="16"/>
              </w:rPr>
              <w:t>застосування інформаційно-комунікаційних технологій,</w:t>
            </w:r>
            <w:r w:rsidRPr="004806E9">
              <w:rPr>
                <w:rFonts w:ascii="Times New Roman" w:eastAsia="SimSun" w:hAnsi="Times New Roman" w:cs="Times New Roman"/>
                <w:sz w:val="16"/>
                <w:szCs w:val="16"/>
              </w:rPr>
              <w:t xml:space="preserve"> якісно новий рівень взаємодії в процесах державо-творення та державного управління громадян між собою, з органами державної влади, місцевого самоврядування, громадськими організаціями та суб’єктами господарювання</w:t>
            </w:r>
          </w:p>
        </w:tc>
      </w:tr>
      <w:tr w:rsidR="00B233DE" w:rsidRPr="004806E9" w:rsidTr="0023489B">
        <w:tc>
          <w:tcPr>
            <w:tcW w:w="1134" w:type="dxa"/>
            <w:shd w:val="clear" w:color="auto" w:fill="auto"/>
            <w:vAlign w:val="center"/>
          </w:tcPr>
          <w:p w:rsidR="00B233DE" w:rsidRPr="004806E9" w:rsidRDefault="00B233DE" w:rsidP="0023489B">
            <w:pPr>
              <w:ind w:firstLine="0"/>
              <w:jc w:val="center"/>
              <w:rPr>
                <w:rFonts w:ascii="Times New Roman" w:eastAsia="SimSun" w:hAnsi="Times New Roman" w:cs="Times New Roman"/>
                <w:sz w:val="16"/>
                <w:szCs w:val="16"/>
              </w:rPr>
            </w:pPr>
            <w:r w:rsidRPr="004806E9">
              <w:rPr>
                <w:rFonts w:ascii="Times New Roman" w:eastAsia="SimSun" w:hAnsi="Times New Roman" w:cs="Times New Roman"/>
                <w:sz w:val="16"/>
                <w:szCs w:val="16"/>
              </w:rPr>
              <w:t>Електронна економіка</w:t>
            </w:r>
          </w:p>
        </w:tc>
        <w:tc>
          <w:tcPr>
            <w:tcW w:w="4984" w:type="dxa"/>
            <w:shd w:val="clear" w:color="auto" w:fill="auto"/>
            <w:vAlign w:val="center"/>
          </w:tcPr>
          <w:p w:rsidR="00B233DE" w:rsidRPr="004806E9" w:rsidRDefault="00B233DE" w:rsidP="0023489B">
            <w:pPr>
              <w:ind w:firstLine="0"/>
              <w:jc w:val="both"/>
              <w:rPr>
                <w:rFonts w:ascii="Times New Roman" w:eastAsia="SimSun" w:hAnsi="Times New Roman" w:cs="Times New Roman"/>
                <w:sz w:val="16"/>
                <w:szCs w:val="16"/>
              </w:rPr>
            </w:pPr>
            <w:r w:rsidRPr="004806E9">
              <w:rPr>
                <w:rStyle w:val="FontStyle17"/>
                <w:rFonts w:eastAsia="SimSun"/>
                <w:sz w:val="16"/>
                <w:szCs w:val="16"/>
                <w:lang w:eastAsia="uk-UA"/>
              </w:rPr>
              <w:t>сукупність економічних відносин у сфері виробництва, розподілу, обміну та споживання товарів і послуг, наданих в електронному вигляді, за допомогою інформаційно-комунікаційних технологій</w:t>
            </w:r>
          </w:p>
        </w:tc>
      </w:tr>
      <w:tr w:rsidR="00B233DE" w:rsidRPr="004806E9" w:rsidTr="0023489B">
        <w:tc>
          <w:tcPr>
            <w:tcW w:w="1134" w:type="dxa"/>
            <w:shd w:val="clear" w:color="auto" w:fill="auto"/>
            <w:vAlign w:val="center"/>
          </w:tcPr>
          <w:p w:rsidR="00B233DE" w:rsidRPr="004806E9" w:rsidRDefault="00B233DE" w:rsidP="0023489B">
            <w:pPr>
              <w:ind w:firstLine="0"/>
              <w:jc w:val="center"/>
              <w:rPr>
                <w:rFonts w:ascii="Times New Roman" w:eastAsia="SimSun" w:hAnsi="Times New Roman" w:cs="Times New Roman"/>
                <w:sz w:val="16"/>
                <w:szCs w:val="16"/>
              </w:rPr>
            </w:pPr>
            <w:r w:rsidRPr="004806E9">
              <w:rPr>
                <w:rFonts w:ascii="Times New Roman" w:eastAsia="SimSun" w:hAnsi="Times New Roman" w:cs="Times New Roman"/>
                <w:sz w:val="16"/>
                <w:szCs w:val="16"/>
              </w:rPr>
              <w:t>Електронна культура</w:t>
            </w:r>
          </w:p>
        </w:tc>
        <w:tc>
          <w:tcPr>
            <w:tcW w:w="4984" w:type="dxa"/>
            <w:shd w:val="clear" w:color="auto" w:fill="auto"/>
            <w:vAlign w:val="center"/>
          </w:tcPr>
          <w:p w:rsidR="00B233DE" w:rsidRPr="004806E9" w:rsidRDefault="00B233DE" w:rsidP="0023489B">
            <w:pPr>
              <w:ind w:firstLine="0"/>
              <w:jc w:val="both"/>
              <w:rPr>
                <w:rStyle w:val="FontStyle17"/>
                <w:rFonts w:eastAsia="SimSun"/>
                <w:sz w:val="16"/>
                <w:szCs w:val="16"/>
                <w:lang w:eastAsia="uk-UA"/>
              </w:rPr>
            </w:pPr>
            <w:r w:rsidRPr="004806E9">
              <w:rPr>
                <w:rStyle w:val="FontStyle17"/>
                <w:rFonts w:eastAsia="SimSun"/>
                <w:sz w:val="16"/>
                <w:szCs w:val="16"/>
                <w:lang w:eastAsia="uk-UA"/>
              </w:rPr>
              <w:t>використання інформаційно-комунікаційних технологій з метою забезпечення вільного доступу до сукупності матеріальних і духовних цінностей, створених людством протягом його історії</w:t>
            </w:r>
          </w:p>
        </w:tc>
      </w:tr>
      <w:tr w:rsidR="00B233DE" w:rsidRPr="004806E9" w:rsidTr="0023489B">
        <w:tc>
          <w:tcPr>
            <w:tcW w:w="1134" w:type="dxa"/>
            <w:shd w:val="clear" w:color="auto" w:fill="auto"/>
            <w:vAlign w:val="center"/>
          </w:tcPr>
          <w:p w:rsidR="00B233DE" w:rsidRPr="004806E9" w:rsidRDefault="00B233DE" w:rsidP="0023489B">
            <w:pPr>
              <w:ind w:firstLine="0"/>
              <w:jc w:val="center"/>
              <w:rPr>
                <w:rFonts w:ascii="Times New Roman" w:eastAsia="SimSun" w:hAnsi="Times New Roman" w:cs="Times New Roman"/>
                <w:sz w:val="16"/>
                <w:szCs w:val="16"/>
              </w:rPr>
            </w:pPr>
            <w:r w:rsidRPr="004806E9">
              <w:rPr>
                <w:rFonts w:ascii="Times New Roman" w:eastAsia="SimSun" w:hAnsi="Times New Roman" w:cs="Times New Roman"/>
                <w:sz w:val="16"/>
                <w:szCs w:val="16"/>
              </w:rPr>
              <w:t>Електронна медицина</w:t>
            </w:r>
          </w:p>
        </w:tc>
        <w:tc>
          <w:tcPr>
            <w:tcW w:w="4984" w:type="dxa"/>
            <w:shd w:val="clear" w:color="auto" w:fill="auto"/>
            <w:vAlign w:val="center"/>
          </w:tcPr>
          <w:p w:rsidR="00B233DE" w:rsidRPr="004806E9" w:rsidRDefault="00B233DE" w:rsidP="0023489B">
            <w:pPr>
              <w:ind w:firstLine="0"/>
              <w:jc w:val="both"/>
              <w:rPr>
                <w:rStyle w:val="FontStyle17"/>
                <w:rFonts w:eastAsia="SimSun"/>
                <w:i/>
                <w:sz w:val="16"/>
                <w:szCs w:val="16"/>
                <w:lang w:eastAsia="uk-UA"/>
              </w:rPr>
            </w:pPr>
            <w:r w:rsidRPr="004806E9">
              <w:rPr>
                <w:rStyle w:val="FontStyle17"/>
                <w:rFonts w:eastAsia="SimSun"/>
                <w:sz w:val="16"/>
                <w:szCs w:val="16"/>
                <w:lang w:eastAsia="uk-UA"/>
              </w:rPr>
              <w:t>використання інформаційно-комунікаційних технологій з метою підвищення ефективності медичних послуг та послуг з охорони здоров’я, усунення нерівності в доступі до медичних послуг, пропагування здорового способу життя</w:t>
            </w:r>
          </w:p>
        </w:tc>
      </w:tr>
      <w:tr w:rsidR="00B233DE" w:rsidRPr="004806E9" w:rsidTr="0023489B">
        <w:tc>
          <w:tcPr>
            <w:tcW w:w="1134" w:type="dxa"/>
            <w:shd w:val="clear" w:color="auto" w:fill="auto"/>
            <w:vAlign w:val="center"/>
          </w:tcPr>
          <w:p w:rsidR="00B233DE" w:rsidRPr="004806E9" w:rsidRDefault="00B233DE" w:rsidP="0023489B">
            <w:pPr>
              <w:ind w:firstLine="0"/>
              <w:jc w:val="center"/>
              <w:rPr>
                <w:rFonts w:ascii="Times New Roman" w:eastAsia="SimSun" w:hAnsi="Times New Roman" w:cs="Times New Roman"/>
                <w:sz w:val="16"/>
                <w:szCs w:val="16"/>
              </w:rPr>
            </w:pPr>
            <w:r w:rsidRPr="004806E9">
              <w:rPr>
                <w:rStyle w:val="FontStyle17"/>
                <w:rFonts w:eastAsia="SimSun"/>
                <w:sz w:val="16"/>
                <w:szCs w:val="16"/>
                <w:lang w:eastAsia="uk-UA"/>
              </w:rPr>
              <w:t>Електронна</w:t>
            </w:r>
            <w:r w:rsidRPr="004806E9">
              <w:rPr>
                <w:rStyle w:val="FontStyle17"/>
                <w:rFonts w:eastAsia="SimSun"/>
                <w:i/>
                <w:sz w:val="16"/>
                <w:szCs w:val="16"/>
                <w:lang w:eastAsia="uk-UA"/>
              </w:rPr>
              <w:t xml:space="preserve"> </w:t>
            </w:r>
            <w:r w:rsidRPr="004806E9">
              <w:rPr>
                <w:rStyle w:val="FontStyle17"/>
                <w:rFonts w:eastAsia="SimSun"/>
                <w:sz w:val="16"/>
                <w:szCs w:val="16"/>
                <w:lang w:eastAsia="uk-UA"/>
              </w:rPr>
              <w:t>освіта</w:t>
            </w:r>
          </w:p>
        </w:tc>
        <w:tc>
          <w:tcPr>
            <w:tcW w:w="4984" w:type="dxa"/>
            <w:shd w:val="clear" w:color="auto" w:fill="auto"/>
            <w:vAlign w:val="center"/>
          </w:tcPr>
          <w:p w:rsidR="00B233DE" w:rsidRPr="004806E9" w:rsidRDefault="00B233DE" w:rsidP="0023489B">
            <w:pPr>
              <w:ind w:firstLine="0"/>
              <w:jc w:val="both"/>
              <w:rPr>
                <w:rStyle w:val="FontStyle17"/>
                <w:rFonts w:eastAsia="SimSun"/>
                <w:sz w:val="16"/>
                <w:szCs w:val="16"/>
                <w:lang w:eastAsia="uk-UA"/>
              </w:rPr>
            </w:pPr>
            <w:r w:rsidRPr="004806E9">
              <w:rPr>
                <w:rStyle w:val="FontStyle17"/>
                <w:rFonts w:eastAsia="SimSun"/>
                <w:sz w:val="16"/>
                <w:szCs w:val="16"/>
                <w:lang w:eastAsia="uk-UA"/>
              </w:rPr>
              <w:t>використання інформаційно-комунікаційних технологій з метою підвищення ефективності процесу навчання та розвитку навичок, самостійного навчання протягом всього життя</w:t>
            </w:r>
          </w:p>
        </w:tc>
      </w:tr>
    </w:tbl>
    <w:p w:rsidR="00B233DE" w:rsidRPr="004806E9" w:rsidRDefault="00B233DE" w:rsidP="00B233DE">
      <w:pPr>
        <w:autoSpaceDE w:val="0"/>
        <w:autoSpaceDN w:val="0"/>
        <w:adjustRightInd w:val="0"/>
        <w:rPr>
          <w:rFonts w:ascii="Times New Roman" w:hAnsi="Times New Roman" w:cs="Times New Roman"/>
          <w:sz w:val="18"/>
          <w:szCs w:val="18"/>
        </w:rPr>
      </w:pPr>
      <w:r w:rsidRPr="004806E9">
        <w:rPr>
          <w:rFonts w:ascii="Times New Roman" w:hAnsi="Times New Roman" w:cs="Times New Roman"/>
          <w:sz w:val="18"/>
          <w:szCs w:val="18"/>
        </w:rPr>
        <w:t xml:space="preserve">* - складено автором </w:t>
      </w:r>
      <w:r>
        <w:rPr>
          <w:rFonts w:ascii="Times New Roman" w:hAnsi="Times New Roman" w:cs="Times New Roman"/>
          <w:sz w:val="18"/>
          <w:szCs w:val="18"/>
        </w:rPr>
        <w:t xml:space="preserve">розділу </w:t>
      </w:r>
      <w:r w:rsidRPr="004806E9">
        <w:rPr>
          <w:rFonts w:ascii="Times New Roman" w:hAnsi="Times New Roman" w:cs="Times New Roman"/>
          <w:sz w:val="18"/>
          <w:szCs w:val="18"/>
        </w:rPr>
        <w:t>на основі [</w:t>
      </w:r>
      <w:r w:rsidRPr="004806E9">
        <w:rPr>
          <w:rFonts w:ascii="Times New Roman" w:hAnsi="Times New Roman" w:cs="Times New Roman"/>
          <w:sz w:val="18"/>
          <w:szCs w:val="18"/>
        </w:rPr>
        <w:fldChar w:fldCharType="begin"/>
      </w:r>
      <w:r w:rsidRPr="004806E9">
        <w:rPr>
          <w:rFonts w:ascii="Times New Roman" w:hAnsi="Times New Roman" w:cs="Times New Roman"/>
          <w:sz w:val="18"/>
          <w:szCs w:val="18"/>
        </w:rPr>
        <w:instrText xml:space="preserve"> REF _Ref430595214 \r \h </w:instrText>
      </w:r>
      <w:r>
        <w:rPr>
          <w:rFonts w:ascii="Times New Roman" w:hAnsi="Times New Roman" w:cs="Times New Roman"/>
          <w:sz w:val="18"/>
          <w:szCs w:val="18"/>
        </w:rPr>
        <w:instrText xml:space="preserve"> \* MERGEFORMAT </w:instrText>
      </w:r>
      <w:r w:rsidRPr="004806E9">
        <w:rPr>
          <w:rFonts w:ascii="Times New Roman" w:hAnsi="Times New Roman" w:cs="Times New Roman"/>
          <w:sz w:val="18"/>
          <w:szCs w:val="18"/>
        </w:rPr>
      </w:r>
      <w:r w:rsidRPr="004806E9">
        <w:rPr>
          <w:rFonts w:ascii="Times New Roman" w:hAnsi="Times New Roman" w:cs="Times New Roman"/>
          <w:sz w:val="18"/>
          <w:szCs w:val="18"/>
        </w:rPr>
        <w:fldChar w:fldCharType="separate"/>
      </w:r>
      <w:r>
        <w:rPr>
          <w:rFonts w:ascii="Times New Roman" w:hAnsi="Times New Roman" w:cs="Times New Roman"/>
          <w:sz w:val="18"/>
          <w:szCs w:val="18"/>
        </w:rPr>
        <w:t>61</w:t>
      </w:r>
      <w:r w:rsidRPr="004806E9">
        <w:rPr>
          <w:rFonts w:ascii="Times New Roman" w:hAnsi="Times New Roman" w:cs="Times New Roman"/>
          <w:sz w:val="18"/>
          <w:szCs w:val="18"/>
        </w:rPr>
        <w:fldChar w:fldCharType="end"/>
      </w:r>
      <w:r w:rsidRPr="004806E9">
        <w:rPr>
          <w:rFonts w:ascii="Times New Roman" w:hAnsi="Times New Roman" w:cs="Times New Roman"/>
          <w:sz w:val="18"/>
          <w:szCs w:val="18"/>
        </w:rPr>
        <w:t>]</w:t>
      </w:r>
    </w:p>
    <w:p w:rsidR="00B233DE" w:rsidRPr="004806E9" w:rsidRDefault="00B233DE" w:rsidP="00B233DE">
      <w:pPr>
        <w:pStyle w:val="afc"/>
        <w:tabs>
          <w:tab w:val="clear" w:pos="792"/>
        </w:tabs>
        <w:spacing w:line="240" w:lineRule="auto"/>
        <w:rPr>
          <w:sz w:val="18"/>
          <w:szCs w:val="18"/>
        </w:rPr>
      </w:pPr>
    </w:p>
    <w:p w:rsidR="00B233DE" w:rsidRDefault="00B233DE" w:rsidP="00B233DE">
      <w:pPr>
        <w:autoSpaceDE w:val="0"/>
        <w:autoSpaceDN w:val="0"/>
        <w:adjustRightInd w:val="0"/>
        <w:ind w:firstLine="720"/>
        <w:jc w:val="both"/>
        <w:rPr>
          <w:rFonts w:ascii="Times New Roman" w:hAnsi="Times New Roman" w:cs="Times New Roman"/>
          <w:sz w:val="21"/>
          <w:szCs w:val="21"/>
        </w:rPr>
      </w:pPr>
      <w:r w:rsidRPr="00E35FCB">
        <w:rPr>
          <w:rFonts w:ascii="Times New Roman" w:hAnsi="Times New Roman" w:cs="Times New Roman"/>
          <w:sz w:val="21"/>
          <w:szCs w:val="21"/>
        </w:rPr>
        <w:lastRenderedPageBreak/>
        <w:t>Інформаційне суспільство у своєму розвитку проходить шлях від знання в одиничному його прояві до знань множинних, зосереджених у багатьох різних галузях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_Ref430595060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67</w:t>
      </w:r>
      <w:r>
        <w:rPr>
          <w:rFonts w:ascii="Times New Roman" w:hAnsi="Times New Roman" w:cs="Times New Roman"/>
          <w:sz w:val="21"/>
          <w:szCs w:val="21"/>
        </w:rPr>
        <w:fldChar w:fldCharType="end"/>
      </w:r>
      <w:r w:rsidRPr="00E35FCB">
        <w:rPr>
          <w:rFonts w:ascii="Times New Roman" w:hAnsi="Times New Roman" w:cs="Times New Roman"/>
          <w:sz w:val="21"/>
          <w:szCs w:val="21"/>
        </w:rPr>
        <w:t>, с. 54].</w:t>
      </w:r>
    </w:p>
    <w:p w:rsidR="00B233DE" w:rsidRPr="00BE73AC" w:rsidRDefault="00B233DE" w:rsidP="00B233DE">
      <w:pPr>
        <w:autoSpaceDE w:val="0"/>
        <w:autoSpaceDN w:val="0"/>
        <w:adjustRightInd w:val="0"/>
        <w:ind w:firstLine="720"/>
        <w:jc w:val="both"/>
        <w:rPr>
          <w:rFonts w:ascii="Times New Roman" w:hAnsi="Times New Roman" w:cs="Times New Roman"/>
          <w:sz w:val="21"/>
          <w:szCs w:val="21"/>
        </w:rPr>
      </w:pPr>
      <w:r w:rsidRPr="00BE73AC">
        <w:rPr>
          <w:rFonts w:ascii="Times New Roman" w:hAnsi="Times New Roman" w:cs="Times New Roman"/>
          <w:sz w:val="21"/>
          <w:szCs w:val="21"/>
        </w:rPr>
        <w:t>Вплив розвитку людського потенціалу на базис економічного зростання характеризується як прямим, так і зворотним зв’язком: підвищення продуктивності економіки внаслідок ефективного використання інформації, знань та технологічних інновацій сприяє економічному зростанню, а отже збільшенню можливостей соціальної політики, спрямованої на розвиток людського потенціалу – росту інвестицій в освіту, охорону здоров’я, професійну підготовку, досягнення більш справедливого розподілу доходу і багатства [</w:t>
      </w:r>
      <w:r w:rsidRPr="00BE73AC">
        <w:rPr>
          <w:rFonts w:ascii="Times New Roman" w:hAnsi="Times New Roman" w:cs="Times New Roman"/>
          <w:sz w:val="21"/>
          <w:szCs w:val="21"/>
        </w:rPr>
        <w:fldChar w:fldCharType="begin"/>
      </w:r>
      <w:r w:rsidRPr="00BE73AC">
        <w:rPr>
          <w:rFonts w:ascii="Times New Roman" w:hAnsi="Times New Roman" w:cs="Times New Roman"/>
          <w:sz w:val="21"/>
          <w:szCs w:val="21"/>
        </w:rPr>
        <w:instrText xml:space="preserve"> REF _Ref430595281 \r \h </w:instrText>
      </w:r>
      <w:r>
        <w:rPr>
          <w:rFonts w:ascii="Times New Roman" w:hAnsi="Times New Roman" w:cs="Times New Roman"/>
          <w:sz w:val="21"/>
          <w:szCs w:val="21"/>
        </w:rPr>
        <w:instrText xml:space="preserve"> \* MERGEFORMAT </w:instrText>
      </w:r>
      <w:r w:rsidRPr="00BE73AC">
        <w:rPr>
          <w:rFonts w:ascii="Times New Roman" w:hAnsi="Times New Roman" w:cs="Times New Roman"/>
          <w:sz w:val="21"/>
          <w:szCs w:val="21"/>
        </w:rPr>
      </w:r>
      <w:r w:rsidRPr="00BE73AC">
        <w:rPr>
          <w:rFonts w:ascii="Times New Roman" w:hAnsi="Times New Roman" w:cs="Times New Roman"/>
          <w:sz w:val="21"/>
          <w:szCs w:val="21"/>
        </w:rPr>
        <w:fldChar w:fldCharType="separate"/>
      </w:r>
      <w:r>
        <w:rPr>
          <w:rFonts w:ascii="Times New Roman" w:hAnsi="Times New Roman" w:cs="Times New Roman"/>
          <w:sz w:val="21"/>
          <w:szCs w:val="21"/>
        </w:rPr>
        <w:t>54</w:t>
      </w:r>
      <w:r w:rsidRPr="00BE73AC">
        <w:rPr>
          <w:rFonts w:ascii="Times New Roman" w:hAnsi="Times New Roman" w:cs="Times New Roman"/>
          <w:sz w:val="21"/>
          <w:szCs w:val="21"/>
        </w:rPr>
        <w:fldChar w:fldCharType="end"/>
      </w:r>
      <w:r w:rsidRPr="00BE73AC">
        <w:rPr>
          <w:rFonts w:ascii="Times New Roman" w:hAnsi="Times New Roman" w:cs="Times New Roman"/>
          <w:sz w:val="21"/>
          <w:szCs w:val="21"/>
        </w:rPr>
        <w:t>].</w:t>
      </w:r>
    </w:p>
    <w:p w:rsidR="00B233DE" w:rsidRPr="00014502" w:rsidRDefault="00B233DE" w:rsidP="00B233DE">
      <w:pPr>
        <w:pStyle w:val="afc"/>
        <w:tabs>
          <w:tab w:val="clear" w:pos="792"/>
        </w:tabs>
        <w:spacing w:line="240" w:lineRule="auto"/>
        <w:rPr>
          <w:sz w:val="21"/>
          <w:szCs w:val="21"/>
        </w:rPr>
      </w:pPr>
      <w:r>
        <w:rPr>
          <w:sz w:val="21"/>
          <w:szCs w:val="21"/>
        </w:rPr>
        <w:t>В</w:t>
      </w:r>
      <w:r w:rsidRPr="00014502">
        <w:rPr>
          <w:sz w:val="21"/>
          <w:szCs w:val="21"/>
        </w:rPr>
        <w:t>еликі потоки інформації з часом раціоналізуються, стають доступними для ширшого кола непідготовлених користувачів, через що останні не в змозі її застосовувати, і виключно знання та вміння використати отримувану інформацію забезпечує наступне соціально-економічне зростання [</w:t>
      </w:r>
      <w:r>
        <w:rPr>
          <w:sz w:val="21"/>
          <w:szCs w:val="21"/>
        </w:rPr>
        <w:fldChar w:fldCharType="begin"/>
      </w:r>
      <w:r>
        <w:rPr>
          <w:sz w:val="21"/>
          <w:szCs w:val="21"/>
        </w:rPr>
        <w:instrText xml:space="preserve"> REF _Ref430595272 \r \h </w:instrText>
      </w:r>
      <w:r>
        <w:rPr>
          <w:sz w:val="21"/>
          <w:szCs w:val="21"/>
        </w:rPr>
      </w:r>
      <w:r>
        <w:rPr>
          <w:sz w:val="21"/>
          <w:szCs w:val="21"/>
        </w:rPr>
        <w:fldChar w:fldCharType="separate"/>
      </w:r>
      <w:r>
        <w:rPr>
          <w:sz w:val="21"/>
          <w:szCs w:val="21"/>
        </w:rPr>
        <w:t>42</w:t>
      </w:r>
      <w:r>
        <w:rPr>
          <w:sz w:val="21"/>
          <w:szCs w:val="21"/>
        </w:rPr>
        <w:fldChar w:fldCharType="end"/>
      </w:r>
      <w:r w:rsidRPr="00014502">
        <w:rPr>
          <w:sz w:val="21"/>
          <w:szCs w:val="21"/>
        </w:rPr>
        <w:t>] (рис. 1.</w:t>
      </w:r>
      <w:r>
        <w:rPr>
          <w:sz w:val="21"/>
          <w:szCs w:val="21"/>
        </w:rPr>
        <w:t>5</w:t>
      </w:r>
      <w:r w:rsidRPr="00014502">
        <w:rPr>
          <w:sz w:val="21"/>
          <w:szCs w:val="21"/>
        </w:rPr>
        <w:t>).</w:t>
      </w:r>
    </w:p>
    <w:p w:rsidR="00B233DE" w:rsidRPr="00190C54" w:rsidRDefault="00B233DE" w:rsidP="00B233DE">
      <w:pPr>
        <w:ind w:firstLine="709"/>
        <w:jc w:val="both"/>
        <w:rPr>
          <w:rFonts w:ascii="Times New Roman" w:hAnsi="Times New Roman" w:cs="Times New Roman"/>
          <w:sz w:val="21"/>
          <w:szCs w:val="21"/>
        </w:rPr>
      </w:pPr>
    </w:p>
    <w:p w:rsidR="00B233DE" w:rsidRDefault="00B233DE" w:rsidP="00B233DE">
      <w:pPr>
        <w:jc w:val="both"/>
        <w:rPr>
          <w:rFonts w:ascii="Times New Roman" w:hAnsi="Times New Roman" w:cs="Times New Roman"/>
          <w:sz w:val="18"/>
          <w:szCs w:val="18"/>
        </w:rPr>
      </w:pPr>
      <w:r>
        <w:rPr>
          <w:noProof/>
          <w:lang w:val="ru-RU" w:eastAsia="ru-RU"/>
        </w:rPr>
        <mc:AlternateContent>
          <mc:Choice Requires="wpg">
            <w:drawing>
              <wp:anchor distT="0" distB="0" distL="114300" distR="114300" simplePos="0" relativeHeight="251661312" behindDoc="0" locked="0" layoutInCell="1" allowOverlap="1" wp14:anchorId="2B43548A" wp14:editId="510F0C6C">
                <wp:simplePos x="0" y="0"/>
                <wp:positionH relativeFrom="column">
                  <wp:posOffset>160655</wp:posOffset>
                </wp:positionH>
                <wp:positionV relativeFrom="paragraph">
                  <wp:posOffset>70485</wp:posOffset>
                </wp:positionV>
                <wp:extent cx="3624262" cy="2571115"/>
                <wp:effectExtent l="0" t="0" r="14605" b="19685"/>
                <wp:wrapNone/>
                <wp:docPr id="78" name="Group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24262" cy="2571115"/>
                          <a:chOff x="2561" y="-340"/>
                          <a:chExt cx="6071" cy="3763"/>
                        </a:xfrm>
                      </wpg:grpSpPr>
                      <wps:wsp>
                        <wps:cNvPr id="79" name="Text Box 43"/>
                        <wps:cNvSpPr txBox="1">
                          <a:spLocks noChangeArrowheads="1"/>
                        </wps:cNvSpPr>
                        <wps:spPr bwMode="auto">
                          <a:xfrm>
                            <a:off x="3408" y="1333"/>
                            <a:ext cx="1695" cy="836"/>
                          </a:xfrm>
                          <a:prstGeom prst="rect">
                            <a:avLst/>
                          </a:prstGeom>
                          <a:solidFill>
                            <a:srgbClr val="FFFFFF"/>
                          </a:solidFill>
                          <a:ln w="9525">
                            <a:solidFill>
                              <a:srgbClr val="000000"/>
                            </a:solidFill>
                            <a:miter lim="800000"/>
                            <a:headEnd/>
                            <a:tailEnd/>
                          </a:ln>
                        </wps:spPr>
                        <wps:txbx>
                          <w:txbxContent>
                            <w:p w:rsidR="00BE40F8" w:rsidRPr="00323F75" w:rsidRDefault="00BE40F8" w:rsidP="00B233DE">
                              <w:pPr>
                                <w:ind w:firstLine="0"/>
                                <w:jc w:val="center"/>
                                <w:rPr>
                                  <w:rFonts w:ascii="Times New Roman" w:hAnsi="Times New Roman" w:cs="Times New Roman"/>
                                  <w:sz w:val="16"/>
                                  <w:szCs w:val="16"/>
                                </w:rPr>
                              </w:pPr>
                              <w:r w:rsidRPr="00323F75">
                                <w:rPr>
                                  <w:rFonts w:ascii="Times New Roman" w:hAnsi="Times New Roman" w:cs="Times New Roman"/>
                                  <w:sz w:val="16"/>
                                  <w:szCs w:val="16"/>
                                </w:rPr>
                                <w:t>Використання інформації, знань та технологічних інновацій</w:t>
                              </w:r>
                            </w:p>
                          </w:txbxContent>
                        </wps:txbx>
                        <wps:bodyPr rot="0" vert="horz" wrap="square" lIns="91440" tIns="45720" rIns="91440" bIns="45720" anchor="t" anchorCtr="0" upright="1">
                          <a:noAutofit/>
                        </wps:bodyPr>
                      </wps:wsp>
                      <wps:wsp>
                        <wps:cNvPr id="80" name="Text Box 44"/>
                        <wps:cNvSpPr txBox="1">
                          <a:spLocks noChangeArrowheads="1"/>
                        </wps:cNvSpPr>
                        <wps:spPr bwMode="auto">
                          <a:xfrm>
                            <a:off x="2561" y="-61"/>
                            <a:ext cx="2119" cy="698"/>
                          </a:xfrm>
                          <a:prstGeom prst="rect">
                            <a:avLst/>
                          </a:prstGeom>
                          <a:solidFill>
                            <a:srgbClr val="FFFFFF"/>
                          </a:solidFill>
                          <a:ln w="9525">
                            <a:solidFill>
                              <a:srgbClr val="000000"/>
                            </a:solidFill>
                            <a:miter lim="800000"/>
                            <a:headEnd/>
                            <a:tailEnd/>
                          </a:ln>
                        </wps:spPr>
                        <wps:txbx>
                          <w:txbxContent>
                            <w:p w:rsidR="00BE40F8" w:rsidRDefault="00BE40F8" w:rsidP="00B233DE">
                              <w:pPr>
                                <w:ind w:firstLine="0"/>
                                <w:jc w:val="center"/>
                                <w:rPr>
                                  <w:rFonts w:ascii="Times New Roman" w:hAnsi="Times New Roman" w:cs="Times New Roman"/>
                                  <w:sz w:val="16"/>
                                  <w:szCs w:val="16"/>
                                </w:rPr>
                              </w:pPr>
                              <w:r w:rsidRPr="00E16748">
                                <w:rPr>
                                  <w:rFonts w:ascii="Times New Roman" w:hAnsi="Times New Roman" w:cs="Times New Roman"/>
                                  <w:sz w:val="16"/>
                                  <w:szCs w:val="16"/>
                                </w:rPr>
                                <w:t xml:space="preserve">Здатність генерувати знання та ефективно працювати </w:t>
                              </w:r>
                            </w:p>
                            <w:p w:rsidR="00BE40F8" w:rsidRPr="00E16748" w:rsidRDefault="00BE40F8" w:rsidP="00B233DE">
                              <w:pPr>
                                <w:ind w:firstLine="0"/>
                                <w:jc w:val="center"/>
                                <w:rPr>
                                  <w:rFonts w:ascii="Times New Roman" w:hAnsi="Times New Roman" w:cs="Times New Roman"/>
                                  <w:sz w:val="16"/>
                                  <w:szCs w:val="16"/>
                                </w:rPr>
                              </w:pPr>
                              <w:r w:rsidRPr="00E16748">
                                <w:rPr>
                                  <w:rFonts w:ascii="Times New Roman" w:hAnsi="Times New Roman" w:cs="Times New Roman"/>
                                  <w:sz w:val="16"/>
                                  <w:szCs w:val="16"/>
                                </w:rPr>
                                <w:t>з інформацією</w:t>
                              </w:r>
                            </w:p>
                          </w:txbxContent>
                        </wps:txbx>
                        <wps:bodyPr rot="0" vert="horz" wrap="square" lIns="0" tIns="0" rIns="0" bIns="0" anchor="ctr" anchorCtr="0" upright="1">
                          <a:noAutofit/>
                        </wps:bodyPr>
                      </wps:wsp>
                      <wps:wsp>
                        <wps:cNvPr id="81" name="Text Box 45"/>
                        <wps:cNvSpPr txBox="1">
                          <a:spLocks noChangeArrowheads="1"/>
                        </wps:cNvSpPr>
                        <wps:spPr bwMode="auto">
                          <a:xfrm>
                            <a:off x="5808" y="-340"/>
                            <a:ext cx="2824" cy="279"/>
                          </a:xfrm>
                          <a:prstGeom prst="rect">
                            <a:avLst/>
                          </a:prstGeom>
                          <a:solidFill>
                            <a:srgbClr val="FFFFFF"/>
                          </a:solidFill>
                          <a:ln w="12700">
                            <a:solidFill>
                              <a:srgbClr val="000000"/>
                            </a:solidFill>
                            <a:miter lim="800000"/>
                            <a:headEnd/>
                            <a:tailEnd/>
                          </a:ln>
                        </wps:spPr>
                        <wps:txbx>
                          <w:txbxContent>
                            <w:p w:rsidR="00BE40F8" w:rsidRPr="00E16748" w:rsidRDefault="00BE40F8" w:rsidP="00B233DE">
                              <w:pPr>
                                <w:ind w:firstLine="0"/>
                                <w:jc w:val="center"/>
                                <w:rPr>
                                  <w:rFonts w:ascii="Times New Roman" w:hAnsi="Times New Roman" w:cs="Times New Roman"/>
                                  <w:sz w:val="16"/>
                                  <w:szCs w:val="16"/>
                                </w:rPr>
                              </w:pPr>
                              <w:r w:rsidRPr="00E16748">
                                <w:rPr>
                                  <w:rFonts w:ascii="Times New Roman" w:hAnsi="Times New Roman" w:cs="Times New Roman"/>
                                  <w:sz w:val="16"/>
                                  <w:szCs w:val="16"/>
                                </w:rPr>
                                <w:t>Джерело економічної продуктивності</w:t>
                              </w:r>
                            </w:p>
                          </w:txbxContent>
                        </wps:txbx>
                        <wps:bodyPr rot="0" vert="horz" wrap="square" lIns="0" tIns="0" rIns="0" bIns="0" anchor="ctr" anchorCtr="0" upright="1">
                          <a:noAutofit/>
                        </wps:bodyPr>
                      </wps:wsp>
                      <wps:wsp>
                        <wps:cNvPr id="82" name="Text Box 46"/>
                        <wps:cNvSpPr txBox="1">
                          <a:spLocks noChangeArrowheads="1"/>
                        </wps:cNvSpPr>
                        <wps:spPr bwMode="auto">
                          <a:xfrm>
                            <a:off x="5808" y="-61"/>
                            <a:ext cx="2824" cy="836"/>
                          </a:xfrm>
                          <a:prstGeom prst="rect">
                            <a:avLst/>
                          </a:prstGeom>
                          <a:solidFill>
                            <a:srgbClr val="FFFFFF"/>
                          </a:solidFill>
                          <a:ln w="9525">
                            <a:solidFill>
                              <a:srgbClr val="000000"/>
                            </a:solidFill>
                            <a:miter lim="800000"/>
                            <a:headEnd/>
                            <a:tailEnd/>
                          </a:ln>
                        </wps:spPr>
                        <wps:txbx>
                          <w:txbxContent>
                            <w:p w:rsidR="00BE40F8" w:rsidRPr="00E16748" w:rsidRDefault="00BE40F8" w:rsidP="00B233DE">
                              <w:pPr>
                                <w:ind w:firstLine="0"/>
                                <w:jc w:val="center"/>
                                <w:rPr>
                                  <w:rFonts w:ascii="Times New Roman" w:hAnsi="Times New Roman" w:cs="Times New Roman"/>
                                  <w:sz w:val="16"/>
                                  <w:szCs w:val="16"/>
                                </w:rPr>
                              </w:pPr>
                              <w:r w:rsidRPr="00E16748">
                                <w:rPr>
                                  <w:rFonts w:ascii="Times New Roman" w:hAnsi="Times New Roman" w:cs="Times New Roman"/>
                                  <w:sz w:val="16"/>
                                  <w:szCs w:val="16"/>
                                </w:rPr>
                                <w:t>Носії людського потенціалу високої якості (за інтелектуальною, трудовою та освітньо-кваліфікаційною складовими)</w:t>
                              </w:r>
                            </w:p>
                          </w:txbxContent>
                        </wps:txbx>
                        <wps:bodyPr rot="0" vert="horz" wrap="square" lIns="0" tIns="0" rIns="0" bIns="0" anchor="ctr" anchorCtr="0" upright="1">
                          <a:noAutofit/>
                        </wps:bodyPr>
                      </wps:wsp>
                      <wps:wsp>
                        <wps:cNvPr id="83" name="Text Box 47"/>
                        <wps:cNvSpPr txBox="1">
                          <a:spLocks noChangeArrowheads="1"/>
                        </wps:cNvSpPr>
                        <wps:spPr bwMode="auto">
                          <a:xfrm>
                            <a:off x="6232" y="1472"/>
                            <a:ext cx="2400" cy="326"/>
                          </a:xfrm>
                          <a:prstGeom prst="rect">
                            <a:avLst/>
                          </a:prstGeom>
                          <a:solidFill>
                            <a:srgbClr val="FFFFFF"/>
                          </a:solidFill>
                          <a:ln w="9525">
                            <a:solidFill>
                              <a:srgbClr val="000000"/>
                            </a:solidFill>
                            <a:miter lim="800000"/>
                            <a:headEnd/>
                            <a:tailEnd/>
                          </a:ln>
                        </wps:spPr>
                        <wps:txbx>
                          <w:txbxContent>
                            <w:p w:rsidR="00BE40F8" w:rsidRPr="00323F75" w:rsidRDefault="00BE40F8" w:rsidP="00B233DE">
                              <w:pPr>
                                <w:ind w:firstLine="0"/>
                                <w:jc w:val="center"/>
                                <w:rPr>
                                  <w:rFonts w:ascii="Times New Roman" w:hAnsi="Times New Roman" w:cs="Times New Roman"/>
                                  <w:sz w:val="16"/>
                                  <w:szCs w:val="16"/>
                                </w:rPr>
                              </w:pPr>
                              <w:r w:rsidRPr="00323F75">
                                <w:rPr>
                                  <w:rFonts w:ascii="Times New Roman" w:hAnsi="Times New Roman" w:cs="Times New Roman"/>
                                  <w:sz w:val="16"/>
                                  <w:szCs w:val="16"/>
                                </w:rPr>
                                <w:t>Розвиток людського потенціалу</w:t>
                              </w:r>
                            </w:p>
                          </w:txbxContent>
                        </wps:txbx>
                        <wps:bodyPr rot="0" vert="horz" wrap="square" lIns="0" tIns="0" rIns="0" bIns="0" anchor="ctr" anchorCtr="0" upright="1">
                          <a:noAutofit/>
                        </wps:bodyPr>
                      </wps:wsp>
                      <wps:wsp>
                        <wps:cNvPr id="84" name="Text Box 48"/>
                        <wps:cNvSpPr txBox="1">
                          <a:spLocks noChangeArrowheads="1"/>
                        </wps:cNvSpPr>
                        <wps:spPr bwMode="auto">
                          <a:xfrm>
                            <a:off x="4114" y="2587"/>
                            <a:ext cx="1694" cy="467"/>
                          </a:xfrm>
                          <a:prstGeom prst="rect">
                            <a:avLst/>
                          </a:prstGeom>
                          <a:solidFill>
                            <a:srgbClr val="FFFFFF"/>
                          </a:solidFill>
                          <a:ln w="9525">
                            <a:solidFill>
                              <a:srgbClr val="000000"/>
                            </a:solidFill>
                            <a:miter lim="800000"/>
                            <a:headEnd/>
                            <a:tailEnd/>
                          </a:ln>
                        </wps:spPr>
                        <wps:txbx>
                          <w:txbxContent>
                            <w:p w:rsidR="00BE40F8" w:rsidRPr="001C2FE7" w:rsidRDefault="00BE40F8" w:rsidP="00B233DE">
                              <w:pPr>
                                <w:ind w:firstLine="0"/>
                                <w:jc w:val="center"/>
                                <w:rPr>
                                  <w:rFonts w:ascii="Times New Roman" w:hAnsi="Times New Roman" w:cs="Times New Roman"/>
                                  <w:sz w:val="16"/>
                                  <w:szCs w:val="16"/>
                                </w:rPr>
                              </w:pPr>
                              <w:r w:rsidRPr="001C2FE7">
                                <w:rPr>
                                  <w:rFonts w:ascii="Times New Roman" w:hAnsi="Times New Roman" w:cs="Times New Roman"/>
                                  <w:sz w:val="16"/>
                                  <w:szCs w:val="16"/>
                                </w:rPr>
                                <w:t>Соціальний розвиток</w:t>
                              </w:r>
                            </w:p>
                          </w:txbxContent>
                        </wps:txbx>
                        <wps:bodyPr rot="0" vert="horz" wrap="square" lIns="0" tIns="0" rIns="0" bIns="0" anchor="ctr" anchorCtr="0" upright="1">
                          <a:noAutofit/>
                        </wps:bodyPr>
                      </wps:wsp>
                      <wps:wsp>
                        <wps:cNvPr id="85" name="Text Box 49"/>
                        <wps:cNvSpPr txBox="1">
                          <a:spLocks noChangeArrowheads="1"/>
                        </wps:cNvSpPr>
                        <wps:spPr bwMode="auto">
                          <a:xfrm>
                            <a:off x="2561" y="2587"/>
                            <a:ext cx="1131" cy="697"/>
                          </a:xfrm>
                          <a:prstGeom prst="rect">
                            <a:avLst/>
                          </a:prstGeom>
                          <a:solidFill>
                            <a:srgbClr val="FFFFFF"/>
                          </a:solidFill>
                          <a:ln w="9525">
                            <a:solidFill>
                              <a:srgbClr val="000000"/>
                            </a:solidFill>
                            <a:miter lim="800000"/>
                            <a:headEnd/>
                            <a:tailEnd/>
                          </a:ln>
                        </wps:spPr>
                        <wps:txbx>
                          <w:txbxContent>
                            <w:p w:rsidR="00BE40F8" w:rsidRPr="00E16748" w:rsidRDefault="00BE40F8" w:rsidP="00B233DE">
                              <w:pPr>
                                <w:ind w:firstLine="0"/>
                                <w:jc w:val="center"/>
                                <w:rPr>
                                  <w:rFonts w:ascii="Times New Roman" w:hAnsi="Times New Roman" w:cs="Times New Roman"/>
                                  <w:sz w:val="16"/>
                                  <w:szCs w:val="16"/>
                                </w:rPr>
                              </w:pPr>
                              <w:r w:rsidRPr="00E16748">
                                <w:rPr>
                                  <w:rFonts w:ascii="Times New Roman" w:hAnsi="Times New Roman" w:cs="Times New Roman"/>
                                  <w:sz w:val="16"/>
                                  <w:szCs w:val="16"/>
                                </w:rPr>
                                <w:t>Розвиток інноваційної діяльності</w:t>
                              </w:r>
                            </w:p>
                          </w:txbxContent>
                        </wps:txbx>
                        <wps:bodyPr rot="0" vert="horz" wrap="square" lIns="0" tIns="0" rIns="0" bIns="0" anchor="ctr" anchorCtr="0" upright="1">
                          <a:noAutofit/>
                        </wps:bodyPr>
                      </wps:wsp>
                      <wps:wsp>
                        <wps:cNvPr id="86" name="Text Box 50"/>
                        <wps:cNvSpPr txBox="1">
                          <a:spLocks noChangeArrowheads="1"/>
                        </wps:cNvSpPr>
                        <wps:spPr bwMode="auto">
                          <a:xfrm>
                            <a:off x="3408" y="1054"/>
                            <a:ext cx="1695" cy="276"/>
                          </a:xfrm>
                          <a:prstGeom prst="rect">
                            <a:avLst/>
                          </a:prstGeom>
                          <a:solidFill>
                            <a:srgbClr val="FFFFFF"/>
                          </a:solidFill>
                          <a:ln w="12700">
                            <a:solidFill>
                              <a:srgbClr val="000000"/>
                            </a:solidFill>
                            <a:miter lim="800000"/>
                            <a:headEnd/>
                            <a:tailEnd/>
                          </a:ln>
                        </wps:spPr>
                        <wps:txbx>
                          <w:txbxContent>
                            <w:p w:rsidR="00BE40F8" w:rsidRPr="00323F75" w:rsidRDefault="00BE40F8" w:rsidP="00B233DE">
                              <w:pPr>
                                <w:ind w:firstLine="0"/>
                                <w:jc w:val="center"/>
                                <w:rPr>
                                  <w:rFonts w:ascii="Times New Roman" w:hAnsi="Times New Roman" w:cs="Times New Roman"/>
                                  <w:sz w:val="16"/>
                                  <w:szCs w:val="16"/>
                                </w:rPr>
                              </w:pPr>
                              <w:r w:rsidRPr="00323F75">
                                <w:rPr>
                                  <w:rFonts w:ascii="Times New Roman" w:hAnsi="Times New Roman" w:cs="Times New Roman"/>
                                  <w:sz w:val="16"/>
                                  <w:szCs w:val="16"/>
                                </w:rPr>
                                <w:t>Базис економіки</w:t>
                              </w:r>
                            </w:p>
                          </w:txbxContent>
                        </wps:txbx>
                        <wps:bodyPr rot="0" vert="horz" wrap="square" lIns="0" tIns="0" rIns="0" bIns="0" anchor="ctr" anchorCtr="0" upright="1">
                          <a:noAutofit/>
                        </wps:bodyPr>
                      </wps:wsp>
                      <wps:wsp>
                        <wps:cNvPr id="87" name="Text Box 51"/>
                        <wps:cNvSpPr txBox="1">
                          <a:spLocks noChangeArrowheads="1"/>
                        </wps:cNvSpPr>
                        <wps:spPr bwMode="auto">
                          <a:xfrm>
                            <a:off x="2561" y="-340"/>
                            <a:ext cx="2119" cy="326"/>
                          </a:xfrm>
                          <a:prstGeom prst="rect">
                            <a:avLst/>
                          </a:prstGeom>
                          <a:solidFill>
                            <a:srgbClr val="FFFFFF"/>
                          </a:solidFill>
                          <a:ln w="12700">
                            <a:solidFill>
                              <a:srgbClr val="000000"/>
                            </a:solidFill>
                            <a:miter lim="800000"/>
                            <a:headEnd/>
                            <a:tailEnd/>
                          </a:ln>
                        </wps:spPr>
                        <wps:txbx>
                          <w:txbxContent>
                            <w:p w:rsidR="00BE40F8" w:rsidRPr="00E16748" w:rsidRDefault="00BE40F8" w:rsidP="00B233DE">
                              <w:pPr>
                                <w:ind w:firstLine="0"/>
                                <w:jc w:val="center"/>
                                <w:rPr>
                                  <w:rFonts w:ascii="Times New Roman" w:hAnsi="Times New Roman" w:cs="Times New Roman"/>
                                  <w:sz w:val="16"/>
                                  <w:szCs w:val="16"/>
                                </w:rPr>
                              </w:pPr>
                              <w:r w:rsidRPr="00E16748">
                                <w:rPr>
                                  <w:rFonts w:ascii="Times New Roman" w:hAnsi="Times New Roman" w:cs="Times New Roman"/>
                                  <w:sz w:val="16"/>
                                  <w:szCs w:val="16"/>
                                </w:rPr>
                                <w:t>Продуктивність економіки</w:t>
                              </w:r>
                            </w:p>
                          </w:txbxContent>
                        </wps:txbx>
                        <wps:bodyPr rot="0" vert="horz" wrap="square" lIns="91440" tIns="45720" rIns="91440" bIns="45720" anchor="t" anchorCtr="0" upright="1">
                          <a:noAutofit/>
                        </wps:bodyPr>
                      </wps:wsp>
                      <wps:wsp>
                        <wps:cNvPr id="88" name="Text Box 52"/>
                        <wps:cNvSpPr txBox="1">
                          <a:spLocks noChangeArrowheads="1"/>
                        </wps:cNvSpPr>
                        <wps:spPr bwMode="auto">
                          <a:xfrm>
                            <a:off x="6232" y="1193"/>
                            <a:ext cx="2400" cy="308"/>
                          </a:xfrm>
                          <a:prstGeom prst="rect">
                            <a:avLst/>
                          </a:prstGeom>
                          <a:solidFill>
                            <a:srgbClr val="FFFFFF"/>
                          </a:solidFill>
                          <a:ln w="12700">
                            <a:solidFill>
                              <a:srgbClr val="000000"/>
                            </a:solidFill>
                            <a:miter lim="800000"/>
                            <a:headEnd/>
                            <a:tailEnd/>
                          </a:ln>
                        </wps:spPr>
                        <wps:txbx>
                          <w:txbxContent>
                            <w:p w:rsidR="00BE40F8" w:rsidRPr="00323F75" w:rsidRDefault="00BE40F8" w:rsidP="00B233DE">
                              <w:pPr>
                                <w:ind w:firstLine="0"/>
                                <w:jc w:val="center"/>
                                <w:rPr>
                                  <w:rFonts w:ascii="Times New Roman" w:hAnsi="Times New Roman" w:cs="Times New Roman"/>
                                  <w:sz w:val="16"/>
                                  <w:szCs w:val="16"/>
                                </w:rPr>
                              </w:pPr>
                              <w:r w:rsidRPr="00323F75">
                                <w:rPr>
                                  <w:rFonts w:ascii="Times New Roman" w:hAnsi="Times New Roman" w:cs="Times New Roman"/>
                                  <w:sz w:val="16"/>
                                  <w:szCs w:val="16"/>
                                </w:rPr>
                                <w:t>Основа економічного зростання</w:t>
                              </w:r>
                            </w:p>
                          </w:txbxContent>
                        </wps:txbx>
                        <wps:bodyPr rot="0" vert="horz" wrap="square" lIns="0" tIns="0" rIns="0" bIns="0" anchor="ctr" anchorCtr="0" upright="1">
                          <a:noAutofit/>
                        </wps:bodyPr>
                      </wps:wsp>
                      <wps:wsp>
                        <wps:cNvPr id="89" name="Text Box 53"/>
                        <wps:cNvSpPr txBox="1">
                          <a:spLocks noChangeArrowheads="1"/>
                        </wps:cNvSpPr>
                        <wps:spPr bwMode="auto">
                          <a:xfrm>
                            <a:off x="6232" y="2169"/>
                            <a:ext cx="2400" cy="1254"/>
                          </a:xfrm>
                          <a:prstGeom prst="rect">
                            <a:avLst/>
                          </a:prstGeom>
                          <a:solidFill>
                            <a:srgbClr val="FFFFFF"/>
                          </a:solidFill>
                          <a:ln w="9525">
                            <a:solidFill>
                              <a:srgbClr val="000000"/>
                            </a:solidFill>
                            <a:miter lim="800000"/>
                            <a:headEnd/>
                            <a:tailEnd/>
                          </a:ln>
                        </wps:spPr>
                        <wps:txbx>
                          <w:txbxContent>
                            <w:p w:rsidR="00BE40F8" w:rsidRPr="001C2FE7" w:rsidRDefault="00BE40F8" w:rsidP="00B233DE">
                              <w:pPr>
                                <w:ind w:firstLine="0"/>
                                <w:jc w:val="center"/>
                                <w:rPr>
                                  <w:rFonts w:ascii="Times New Roman" w:hAnsi="Times New Roman" w:cs="Times New Roman"/>
                                  <w:sz w:val="16"/>
                                  <w:szCs w:val="16"/>
                                </w:rPr>
                              </w:pPr>
                              <w:r w:rsidRPr="001C2FE7">
                                <w:rPr>
                                  <w:rFonts w:ascii="Times New Roman" w:hAnsi="Times New Roman" w:cs="Times New Roman"/>
                                  <w:sz w:val="16"/>
                                  <w:szCs w:val="16"/>
                                </w:rPr>
                                <w:t>Со</w:t>
                              </w:r>
                              <w:r>
                                <w:rPr>
                                  <w:rFonts w:ascii="Times New Roman" w:hAnsi="Times New Roman" w:cs="Times New Roman"/>
                                  <w:sz w:val="16"/>
                                  <w:szCs w:val="16"/>
                                </w:rPr>
                                <w:t xml:space="preserve">ціальна політика, спрямована на </w:t>
                              </w:r>
                              <w:r w:rsidRPr="001C2FE7">
                                <w:rPr>
                                  <w:rFonts w:ascii="Times New Roman" w:hAnsi="Times New Roman" w:cs="Times New Roman"/>
                                  <w:sz w:val="16"/>
                                  <w:szCs w:val="16"/>
                                </w:rPr>
                                <w:t>пі</w:t>
                              </w:r>
                              <w:r>
                                <w:rPr>
                                  <w:rFonts w:ascii="Times New Roman" w:hAnsi="Times New Roman" w:cs="Times New Roman"/>
                                  <w:sz w:val="16"/>
                                  <w:szCs w:val="16"/>
                                </w:rPr>
                                <w:t xml:space="preserve">двищення рівня життя населення, </w:t>
                              </w:r>
                              <w:r w:rsidRPr="001C2FE7">
                                <w:rPr>
                                  <w:rFonts w:ascii="Times New Roman" w:hAnsi="Times New Roman" w:cs="Times New Roman"/>
                                  <w:sz w:val="16"/>
                                  <w:szCs w:val="16"/>
                                </w:rPr>
                                <w:t>підвищення якості життя населення</w:t>
                              </w:r>
                            </w:p>
                          </w:txbxContent>
                        </wps:txbx>
                        <wps:bodyPr rot="0" vert="horz" wrap="square" lIns="0" tIns="0" rIns="0" bIns="0" anchor="ctr" anchorCtr="0" upright="1">
                          <a:noAutofit/>
                        </wps:bodyPr>
                      </wps:wsp>
                      <wps:wsp>
                        <wps:cNvPr id="90" name="Line 54"/>
                        <wps:cNvCnPr/>
                        <wps:spPr bwMode="auto">
                          <a:xfrm>
                            <a:off x="3691" y="2866"/>
                            <a:ext cx="42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1" name="Line 55"/>
                        <wps:cNvCnPr/>
                        <wps:spPr bwMode="auto">
                          <a:xfrm>
                            <a:off x="5808" y="2866"/>
                            <a:ext cx="424"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2" name="Line 56"/>
                        <wps:cNvCnPr/>
                        <wps:spPr bwMode="auto">
                          <a:xfrm flipV="1">
                            <a:off x="7361" y="1794"/>
                            <a:ext cx="1" cy="3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3" name="Line 57"/>
                        <wps:cNvCnPr/>
                        <wps:spPr bwMode="auto">
                          <a:xfrm flipV="1">
                            <a:off x="7361" y="776"/>
                            <a:ext cx="1" cy="41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4" name="Line 58"/>
                        <wps:cNvCnPr/>
                        <wps:spPr bwMode="auto">
                          <a:xfrm flipH="1">
                            <a:off x="4679" y="218"/>
                            <a:ext cx="112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5" name="Line 59"/>
                        <wps:cNvCnPr/>
                        <wps:spPr bwMode="auto">
                          <a:xfrm>
                            <a:off x="4255" y="636"/>
                            <a:ext cx="0" cy="41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6" name="Line 60"/>
                        <wps:cNvCnPr/>
                        <wps:spPr bwMode="auto">
                          <a:xfrm>
                            <a:off x="4679" y="496"/>
                            <a:ext cx="1129"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97" name="Line 61"/>
                        <wps:cNvCnPr/>
                        <wps:spPr bwMode="auto">
                          <a:xfrm>
                            <a:off x="6938" y="775"/>
                            <a:ext cx="0" cy="418"/>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98" name="Line 62"/>
                        <wps:cNvCnPr/>
                        <wps:spPr bwMode="auto">
                          <a:xfrm>
                            <a:off x="6938" y="1794"/>
                            <a:ext cx="1" cy="373"/>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99" name="Line 63"/>
                        <wps:cNvCnPr/>
                        <wps:spPr bwMode="auto">
                          <a:xfrm flipH="1">
                            <a:off x="5808" y="2726"/>
                            <a:ext cx="424"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00" name="Line 64"/>
                        <wps:cNvCnPr/>
                        <wps:spPr bwMode="auto">
                          <a:xfrm flipH="1">
                            <a:off x="3691" y="2726"/>
                            <a:ext cx="423"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01" name="AutoShape 65"/>
                        <wps:cNvCnPr>
                          <a:cxnSpLocks noChangeShapeType="1"/>
                        </wps:cNvCnPr>
                        <wps:spPr bwMode="auto">
                          <a:xfrm rot="16200000">
                            <a:off x="2850" y="2028"/>
                            <a:ext cx="836" cy="281"/>
                          </a:xfrm>
                          <a:prstGeom prst="bentConnector2">
                            <a:avLst/>
                          </a:prstGeom>
                          <a:noFill/>
                          <a:ln w="9525">
                            <a:solidFill>
                              <a:srgbClr val="000000"/>
                            </a:solidFill>
                            <a:prstDash val="dash"/>
                            <a:miter lim="800000"/>
                            <a:headEnd/>
                            <a:tailEnd type="triangle" w="med" len="med"/>
                          </a:ln>
                          <a:extLst>
                            <a:ext uri="{909E8E84-426E-40DD-AFC4-6F175D3DCCD1}">
                              <a14:hiddenFill xmlns:a14="http://schemas.microsoft.com/office/drawing/2010/main">
                                <a:noFill/>
                              </a14:hiddenFill>
                            </a:ext>
                          </a:extLst>
                        </wps:spPr>
                        <wps:bodyPr/>
                      </wps:wsp>
                      <wps:wsp>
                        <wps:cNvPr id="102" name="Line 66"/>
                        <wps:cNvCnPr/>
                        <wps:spPr bwMode="auto">
                          <a:xfrm flipV="1">
                            <a:off x="3973" y="636"/>
                            <a:ext cx="0" cy="418"/>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03" name="Line 67"/>
                        <wps:cNvCnPr/>
                        <wps:spPr bwMode="auto">
                          <a:xfrm flipH="1">
                            <a:off x="3550" y="2169"/>
                            <a:ext cx="1" cy="41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anchor>
            </w:drawing>
          </mc:Choice>
          <mc:Fallback>
            <w:pict>
              <v:group w14:anchorId="2B43548A" id="Group 42" o:spid="_x0000_s1067" style="position:absolute;left:0;text-align:left;margin-left:12.65pt;margin-top:5.55pt;width:285.35pt;height:202.45pt;z-index:251661312;mso-position-horizontal-relative:text;mso-position-vertical-relative:text;mso-width-relative:margin" coordorigin="2561,-340" coordsize="6071,3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">
                <v:shape id="Text Box 43" o:spid="_x0000_s1068" type="#_x0000_t202" style="position:absolute;left:3408;top:1333;width:1695;height: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">
                  <v:textbox>
                    <w:txbxContent>
                      <w:p w:rsidR="00BE40F8" w:rsidRPr="00323F75" w:rsidRDefault="00BE40F8" w:rsidP="00B233DE">
                        <w:pPr>
                          <w:ind w:firstLine="0"/>
                          <w:jc w:val="center"/>
                          <w:rPr>
                            <w:rFonts w:ascii="Times New Roman" w:hAnsi="Times New Roman" w:cs="Times New Roman"/>
                            <w:sz w:val="16"/>
                            <w:szCs w:val="16"/>
                          </w:rPr>
                        </w:pPr>
                        <w:r w:rsidRPr="00323F75">
                          <w:rPr>
                            <w:rFonts w:ascii="Times New Roman" w:hAnsi="Times New Roman" w:cs="Times New Roman"/>
                            <w:sz w:val="16"/>
                            <w:szCs w:val="16"/>
                          </w:rPr>
                          <w:t>Використання інформації, знань та технологічних інновацій</w:t>
                        </w:r>
                      </w:p>
                    </w:txbxContent>
                  </v:textbox>
                </v:shape>
                <v:shape id="Text Box 44" o:spid="_x0000_s1069" type="#_x0000_t202" style="position:absolute;left:2561;top:-61;width:2119;height:6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">
                  <v:textbox inset="0,0,0,0">
                    <w:txbxContent>
                      <w:p w:rsidR="00BE40F8" w:rsidRDefault="00BE40F8" w:rsidP="00B233DE">
                        <w:pPr>
                          <w:ind w:firstLine="0"/>
                          <w:jc w:val="center"/>
                          <w:rPr>
                            <w:rFonts w:ascii="Times New Roman" w:hAnsi="Times New Roman" w:cs="Times New Roman"/>
                            <w:sz w:val="16"/>
                            <w:szCs w:val="16"/>
                          </w:rPr>
                        </w:pPr>
                        <w:r w:rsidRPr="00E16748">
                          <w:rPr>
                            <w:rFonts w:ascii="Times New Roman" w:hAnsi="Times New Roman" w:cs="Times New Roman"/>
                            <w:sz w:val="16"/>
                            <w:szCs w:val="16"/>
                          </w:rPr>
                          <w:t xml:space="preserve">Здатність генерувати знання та ефективно працювати </w:t>
                        </w:r>
                      </w:p>
                      <w:p w:rsidR="00BE40F8" w:rsidRPr="00E16748" w:rsidRDefault="00BE40F8" w:rsidP="00B233DE">
                        <w:pPr>
                          <w:ind w:firstLine="0"/>
                          <w:jc w:val="center"/>
                          <w:rPr>
                            <w:rFonts w:ascii="Times New Roman" w:hAnsi="Times New Roman" w:cs="Times New Roman"/>
                            <w:sz w:val="16"/>
                            <w:szCs w:val="16"/>
                          </w:rPr>
                        </w:pPr>
                        <w:r w:rsidRPr="00E16748">
                          <w:rPr>
                            <w:rFonts w:ascii="Times New Roman" w:hAnsi="Times New Roman" w:cs="Times New Roman"/>
                            <w:sz w:val="16"/>
                            <w:szCs w:val="16"/>
                          </w:rPr>
                          <w:t>з інформацією</w:t>
                        </w:r>
                      </w:p>
                    </w:txbxContent>
                  </v:textbox>
                </v:shape>
                <v:shape id="Text Box 45" o:spid="_x0000_s1070" type="#_x0000_t202" style="position:absolute;left:5808;top:-340;width:2824;height:2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" strokeweight="1pt">
                  <v:textbox inset="0,0,0,0">
                    <w:txbxContent>
                      <w:p w:rsidR="00BE40F8" w:rsidRPr="00E16748" w:rsidRDefault="00BE40F8" w:rsidP="00B233DE">
                        <w:pPr>
                          <w:ind w:firstLine="0"/>
                          <w:jc w:val="center"/>
                          <w:rPr>
                            <w:rFonts w:ascii="Times New Roman" w:hAnsi="Times New Roman" w:cs="Times New Roman"/>
                            <w:sz w:val="16"/>
                            <w:szCs w:val="16"/>
                          </w:rPr>
                        </w:pPr>
                        <w:r w:rsidRPr="00E16748">
                          <w:rPr>
                            <w:rFonts w:ascii="Times New Roman" w:hAnsi="Times New Roman" w:cs="Times New Roman"/>
                            <w:sz w:val="16"/>
                            <w:szCs w:val="16"/>
                          </w:rPr>
                          <w:t>Джерело економічної продуктивності</w:t>
                        </w:r>
                      </w:p>
                    </w:txbxContent>
                  </v:textbox>
                </v:shape>
                <v:shape id="Text Box 46" o:spid="_x0000_s1071" type="#_x0000_t202" style="position:absolute;left:5808;top:-61;width:2824;height:8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">
                  <v:textbox inset="0,0,0,0">
                    <w:txbxContent>
                      <w:p w:rsidR="00BE40F8" w:rsidRPr="00E16748" w:rsidRDefault="00BE40F8" w:rsidP="00B233DE">
                        <w:pPr>
                          <w:ind w:firstLine="0"/>
                          <w:jc w:val="center"/>
                          <w:rPr>
                            <w:rFonts w:ascii="Times New Roman" w:hAnsi="Times New Roman" w:cs="Times New Roman"/>
                            <w:sz w:val="16"/>
                            <w:szCs w:val="16"/>
                          </w:rPr>
                        </w:pPr>
                        <w:r w:rsidRPr="00E16748">
                          <w:rPr>
                            <w:rFonts w:ascii="Times New Roman" w:hAnsi="Times New Roman" w:cs="Times New Roman"/>
                            <w:sz w:val="16"/>
                            <w:szCs w:val="16"/>
                          </w:rPr>
                          <w:t>Носії людського потенціалу високої якості (за інтелектуальною, трудовою та освітньо-кваліфікаційною складовими)</w:t>
                        </w:r>
                      </w:p>
                    </w:txbxContent>
                  </v:textbox>
                </v:shape>
                <v:shape id="Text Box 47" o:spid="_x0000_s1072" type="#_x0000_t202" style="position:absolute;left:6232;top:1472;width:2400;height:3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">
                  <v:textbox inset="0,0,0,0">
                    <w:txbxContent>
                      <w:p w:rsidR="00BE40F8" w:rsidRPr="00323F75" w:rsidRDefault="00BE40F8" w:rsidP="00B233DE">
                        <w:pPr>
                          <w:ind w:firstLine="0"/>
                          <w:jc w:val="center"/>
                          <w:rPr>
                            <w:rFonts w:ascii="Times New Roman" w:hAnsi="Times New Roman" w:cs="Times New Roman"/>
                            <w:sz w:val="16"/>
                            <w:szCs w:val="16"/>
                          </w:rPr>
                        </w:pPr>
                        <w:r w:rsidRPr="00323F75">
                          <w:rPr>
                            <w:rFonts w:ascii="Times New Roman" w:hAnsi="Times New Roman" w:cs="Times New Roman"/>
                            <w:sz w:val="16"/>
                            <w:szCs w:val="16"/>
                          </w:rPr>
                          <w:t>Розвиток людського потенціалу</w:t>
                        </w:r>
                      </w:p>
                    </w:txbxContent>
                  </v:textbox>
                </v:shape>
                <v:shape id="Text Box 48" o:spid="_x0000_s1073" type="#_x0000_t202" style="position:absolute;left:4114;top:2587;width:1694;height:4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">
                  <v:textbox inset="0,0,0,0">
                    <w:txbxContent>
                      <w:p w:rsidR="00BE40F8" w:rsidRPr="001C2FE7" w:rsidRDefault="00BE40F8" w:rsidP="00B233DE">
                        <w:pPr>
                          <w:ind w:firstLine="0"/>
                          <w:jc w:val="center"/>
                          <w:rPr>
                            <w:rFonts w:ascii="Times New Roman" w:hAnsi="Times New Roman" w:cs="Times New Roman"/>
                            <w:sz w:val="16"/>
                            <w:szCs w:val="16"/>
                          </w:rPr>
                        </w:pPr>
                        <w:r w:rsidRPr="001C2FE7">
                          <w:rPr>
                            <w:rFonts w:ascii="Times New Roman" w:hAnsi="Times New Roman" w:cs="Times New Roman"/>
                            <w:sz w:val="16"/>
                            <w:szCs w:val="16"/>
                          </w:rPr>
                          <w:t>Соціальний розвиток</w:t>
                        </w:r>
                      </w:p>
                    </w:txbxContent>
                  </v:textbox>
                </v:shape>
                <v:shape id="Text Box 49" o:spid="_x0000_s1074" type="#_x0000_t202" style="position:absolute;left:2561;top:2587;width:1131;height:6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">
                  <v:textbox inset="0,0,0,0">
                    <w:txbxContent>
                      <w:p w:rsidR="00BE40F8" w:rsidRPr="00E16748" w:rsidRDefault="00BE40F8" w:rsidP="00B233DE">
                        <w:pPr>
                          <w:ind w:firstLine="0"/>
                          <w:jc w:val="center"/>
                          <w:rPr>
                            <w:rFonts w:ascii="Times New Roman" w:hAnsi="Times New Roman" w:cs="Times New Roman"/>
                            <w:sz w:val="16"/>
                            <w:szCs w:val="16"/>
                          </w:rPr>
                        </w:pPr>
                        <w:r w:rsidRPr="00E16748">
                          <w:rPr>
                            <w:rFonts w:ascii="Times New Roman" w:hAnsi="Times New Roman" w:cs="Times New Roman"/>
                            <w:sz w:val="16"/>
                            <w:szCs w:val="16"/>
                          </w:rPr>
                          <w:t>Розвиток інноваційної діяльності</w:t>
                        </w:r>
                      </w:p>
                    </w:txbxContent>
                  </v:textbox>
                </v:shape>
                <v:shape id="Text Box 50" o:spid="_x0000_s1075" type="#_x0000_t202" style="position:absolute;left:3408;top:1054;width:1695;height:2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" strokeweight="1pt">
                  <v:textbox inset="0,0,0,0">
                    <w:txbxContent>
                      <w:p w:rsidR="00BE40F8" w:rsidRPr="00323F75" w:rsidRDefault="00BE40F8" w:rsidP="00B233DE">
                        <w:pPr>
                          <w:ind w:firstLine="0"/>
                          <w:jc w:val="center"/>
                          <w:rPr>
                            <w:rFonts w:ascii="Times New Roman" w:hAnsi="Times New Roman" w:cs="Times New Roman"/>
                            <w:sz w:val="16"/>
                            <w:szCs w:val="16"/>
                          </w:rPr>
                        </w:pPr>
                        <w:r w:rsidRPr="00323F75">
                          <w:rPr>
                            <w:rFonts w:ascii="Times New Roman" w:hAnsi="Times New Roman" w:cs="Times New Roman"/>
                            <w:sz w:val="16"/>
                            <w:szCs w:val="16"/>
                          </w:rPr>
                          <w:t>Базис економіки</w:t>
                        </w:r>
                      </w:p>
                    </w:txbxContent>
                  </v:textbox>
                </v:shape>
                <v:shape id="Text Box 51" o:spid="_x0000_s1076" type="#_x0000_t202" style="position:absolute;left:2561;top:-340;width:2119;height:3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" strokeweight="1pt">
                  <v:textbox>
                    <w:txbxContent>
                      <w:p w:rsidR="00BE40F8" w:rsidRPr="00E16748" w:rsidRDefault="00BE40F8" w:rsidP="00B233DE">
                        <w:pPr>
                          <w:ind w:firstLine="0"/>
                          <w:jc w:val="center"/>
                          <w:rPr>
                            <w:rFonts w:ascii="Times New Roman" w:hAnsi="Times New Roman" w:cs="Times New Roman"/>
                            <w:sz w:val="16"/>
                            <w:szCs w:val="16"/>
                          </w:rPr>
                        </w:pPr>
                        <w:r w:rsidRPr="00E16748">
                          <w:rPr>
                            <w:rFonts w:ascii="Times New Roman" w:hAnsi="Times New Roman" w:cs="Times New Roman"/>
                            <w:sz w:val="16"/>
                            <w:szCs w:val="16"/>
                          </w:rPr>
                          <w:t>Продуктивність економіки</w:t>
                        </w:r>
                      </w:p>
                    </w:txbxContent>
                  </v:textbox>
                </v:shape>
                <v:shape id="Text Box 52" o:spid="_x0000_s1077" type="#_x0000_t202" style="position:absolute;left:6232;top:1193;width:2400;height:3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" strokeweight="1pt">
                  <v:textbox inset="0,0,0,0">
                    <w:txbxContent>
                      <w:p w:rsidR="00BE40F8" w:rsidRPr="00323F75" w:rsidRDefault="00BE40F8" w:rsidP="00B233DE">
                        <w:pPr>
                          <w:ind w:firstLine="0"/>
                          <w:jc w:val="center"/>
                          <w:rPr>
                            <w:rFonts w:ascii="Times New Roman" w:hAnsi="Times New Roman" w:cs="Times New Roman"/>
                            <w:sz w:val="16"/>
                            <w:szCs w:val="16"/>
                          </w:rPr>
                        </w:pPr>
                        <w:r w:rsidRPr="00323F75">
                          <w:rPr>
                            <w:rFonts w:ascii="Times New Roman" w:hAnsi="Times New Roman" w:cs="Times New Roman"/>
                            <w:sz w:val="16"/>
                            <w:szCs w:val="16"/>
                          </w:rPr>
                          <w:t>Основа економічного зростання</w:t>
                        </w:r>
                      </w:p>
                    </w:txbxContent>
                  </v:textbox>
                </v:shape>
                <v:shape id="Text Box 53" o:spid="_x0000_s1078" type="#_x0000_t202" style="position:absolute;left:6232;top:2169;width:2400;height:12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">
                  <v:textbox inset="0,0,0,0">
                    <w:txbxContent>
                      <w:p w:rsidR="00BE40F8" w:rsidRPr="001C2FE7" w:rsidRDefault="00BE40F8" w:rsidP="00B233DE">
                        <w:pPr>
                          <w:ind w:firstLine="0"/>
                          <w:jc w:val="center"/>
                          <w:rPr>
                            <w:rFonts w:ascii="Times New Roman" w:hAnsi="Times New Roman" w:cs="Times New Roman"/>
                            <w:sz w:val="16"/>
                            <w:szCs w:val="16"/>
                          </w:rPr>
                        </w:pPr>
                        <w:r w:rsidRPr="001C2FE7">
                          <w:rPr>
                            <w:rFonts w:ascii="Times New Roman" w:hAnsi="Times New Roman" w:cs="Times New Roman"/>
                            <w:sz w:val="16"/>
                            <w:szCs w:val="16"/>
                          </w:rPr>
                          <w:t>Со</w:t>
                        </w:r>
                        <w:r>
                          <w:rPr>
                            <w:rFonts w:ascii="Times New Roman" w:hAnsi="Times New Roman" w:cs="Times New Roman"/>
                            <w:sz w:val="16"/>
                            <w:szCs w:val="16"/>
                          </w:rPr>
                          <w:t xml:space="preserve">ціальна політика, спрямована на </w:t>
                        </w:r>
                        <w:r w:rsidRPr="001C2FE7">
                          <w:rPr>
                            <w:rFonts w:ascii="Times New Roman" w:hAnsi="Times New Roman" w:cs="Times New Roman"/>
                            <w:sz w:val="16"/>
                            <w:szCs w:val="16"/>
                          </w:rPr>
                          <w:t>пі</w:t>
                        </w:r>
                        <w:r>
                          <w:rPr>
                            <w:rFonts w:ascii="Times New Roman" w:hAnsi="Times New Roman" w:cs="Times New Roman"/>
                            <w:sz w:val="16"/>
                            <w:szCs w:val="16"/>
                          </w:rPr>
                          <w:t xml:space="preserve">двищення рівня життя населення, </w:t>
                        </w:r>
                        <w:r w:rsidRPr="001C2FE7">
                          <w:rPr>
                            <w:rFonts w:ascii="Times New Roman" w:hAnsi="Times New Roman" w:cs="Times New Roman"/>
                            <w:sz w:val="16"/>
                            <w:szCs w:val="16"/>
                          </w:rPr>
                          <w:t>підвищення якості життя населення</w:t>
                        </w:r>
                      </w:p>
                    </w:txbxContent>
                  </v:textbox>
                </v:shape>
                <v:line id="Line 54" o:spid="_x0000_s1079" style="position:absolute;visibility:visible;mso-wrap-style:square" from="3691,2866" to="4114,2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">
                  <v:stroke endarrow="block"/>
                </v:line>
                <v:line id="Line 55" o:spid="_x0000_s1080" style="position:absolute;visibility:visible;mso-wrap-style:square" from="5808,2866" to="6232,28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">
                  <v:stroke endarrow="block"/>
                </v:line>
                <v:line id="Line 56" o:spid="_x0000_s1081" style="position:absolute;flip:y;visibility:visible;mso-wrap-style:square" from="7361,1794" to="7362,2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">
                  <v:stroke endarrow="block"/>
                </v:line>
                <v:line id="Line 57" o:spid="_x0000_s1082" style="position:absolute;flip:y;visibility:visible;mso-wrap-style:square" from="7361,776" to="7362,1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">
                  <v:stroke endarrow="block"/>
                </v:line>
                <v:line id="Line 58" o:spid="_x0000_s1083" style="position:absolute;flip:x;visibility:visible;mso-wrap-style:square" from="4679,218" to="5808,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">
                  <v:stroke endarrow="block"/>
                </v:line>
                <v:line id="Line 59" o:spid="_x0000_s1084" style="position:absolute;visibility:visible;mso-wrap-style:square" from="4255,636" to="4255,1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">
                  <v:stroke endarrow="block"/>
                </v:line>
                <v:line id="Line 60" o:spid="_x0000_s1085" style="position:absolute;visibility:visible;mso-wrap-style:square" from="4679,496" to="5808,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">
                  <v:stroke dashstyle="dash" endarrow="block"/>
                </v:line>
                <v:line id="Line 61" o:spid="_x0000_s1086" style="position:absolute;visibility:visible;mso-wrap-style:square" from="6938,775" to="6938,11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">
                  <v:stroke dashstyle="dash" endarrow="block"/>
                </v:line>
                <v:line id="Line 62" o:spid="_x0000_s1087" style="position:absolute;visibility:visible;mso-wrap-style:square" from="6938,1794" to="6939,2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">
                  <v:stroke dashstyle="dash" endarrow="block"/>
                </v:line>
                <v:line id="Line 63" o:spid="_x0000_s1088" style="position:absolute;flip:x;visibility:visible;mso-wrap-style:square" from="5808,2726" to="6232,27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">
                  <v:stroke dashstyle="dash" endarrow="block"/>
                </v:line>
                <v:line id="Line 64" o:spid="_x0000_s1089" style="position:absolute;flip:x;visibility:visible;mso-wrap-style:square" from="3691,2726" to="4114,27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">
                  <v:stroke dashstyle="dash" endarrow="block"/>
                </v:line>
                <v:shapetype id="_x0000_t33" coordsize="21600,21600" o:spt="33" o:oned="t" path="m,l21600,r,21600e" filled="f">
                  <v:stroke joinstyle="miter"/>
                  <v:path arrowok="t" fillok="f" o:connecttype="none"/>
                  <o:lock v:ext="edit" shapetype="t"/>
                </v:shapetype>
                <v:shape id="AutoShape 65" o:spid="_x0000_s1090" type="#_x0000_t33" style="position:absolute;left:2850;top:2028;width:836;height:281;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">
                  <v:stroke dashstyle="dash" endarrow="block"/>
                </v:shape>
                <v:line id="Line 66" o:spid="_x0000_s1091" style="position:absolute;flip:y;visibility:visible;mso-wrap-style:square" from="3973,636" to="3973,1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">
                  <v:stroke dashstyle="dash" endarrow="block"/>
                </v:line>
                <v:line id="Line 67" o:spid="_x0000_s1092" style="position:absolute;flip:x;visibility:visible;mso-wrap-style:square" from="3550,2169" to="3551,2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">
                  <v:stroke endarrow="block"/>
                </v:line>
              </v:group>
            </w:pict>
          </mc:Fallback>
        </mc:AlternateContent>
      </w:r>
    </w:p>
    <w:p w:rsidR="00B233DE" w:rsidRDefault="00B233DE" w:rsidP="00B233DE">
      <w:pPr>
        <w:jc w:val="both"/>
        <w:rPr>
          <w:rFonts w:ascii="Times New Roman" w:hAnsi="Times New Roman" w:cs="Times New Roman"/>
          <w:sz w:val="18"/>
          <w:szCs w:val="18"/>
        </w:rPr>
      </w:pPr>
    </w:p>
    <w:p w:rsidR="00B233DE" w:rsidRDefault="00B233DE" w:rsidP="00B233DE">
      <w:pPr>
        <w:jc w:val="both"/>
        <w:rPr>
          <w:rFonts w:ascii="Times New Roman" w:hAnsi="Times New Roman" w:cs="Times New Roman"/>
          <w:sz w:val="18"/>
          <w:szCs w:val="18"/>
        </w:rPr>
      </w:pPr>
    </w:p>
    <w:p w:rsidR="00B233DE" w:rsidRDefault="00B233DE" w:rsidP="00B233DE">
      <w:pPr>
        <w:jc w:val="both"/>
        <w:rPr>
          <w:rFonts w:ascii="Times New Roman" w:hAnsi="Times New Roman" w:cs="Times New Roman"/>
          <w:sz w:val="18"/>
          <w:szCs w:val="18"/>
        </w:rPr>
      </w:pPr>
    </w:p>
    <w:p w:rsidR="00B233DE" w:rsidRDefault="00B233DE" w:rsidP="00B233DE">
      <w:pPr>
        <w:jc w:val="both"/>
        <w:rPr>
          <w:rFonts w:ascii="Times New Roman" w:hAnsi="Times New Roman" w:cs="Times New Roman"/>
          <w:sz w:val="18"/>
          <w:szCs w:val="18"/>
        </w:rPr>
      </w:pPr>
    </w:p>
    <w:p w:rsidR="00B233DE" w:rsidRDefault="00B233DE" w:rsidP="00B233DE">
      <w:pPr>
        <w:jc w:val="both"/>
        <w:rPr>
          <w:rFonts w:ascii="Times New Roman" w:hAnsi="Times New Roman" w:cs="Times New Roman"/>
          <w:sz w:val="18"/>
          <w:szCs w:val="18"/>
        </w:rPr>
      </w:pPr>
    </w:p>
    <w:p w:rsidR="00B233DE" w:rsidRDefault="00B233DE" w:rsidP="00B233DE">
      <w:pPr>
        <w:jc w:val="both"/>
        <w:rPr>
          <w:rFonts w:ascii="Times New Roman" w:hAnsi="Times New Roman" w:cs="Times New Roman"/>
          <w:sz w:val="18"/>
          <w:szCs w:val="18"/>
        </w:rPr>
      </w:pPr>
    </w:p>
    <w:p w:rsidR="00B233DE" w:rsidRDefault="00B233DE" w:rsidP="00B233DE">
      <w:pPr>
        <w:jc w:val="both"/>
        <w:rPr>
          <w:rFonts w:ascii="Times New Roman" w:hAnsi="Times New Roman" w:cs="Times New Roman"/>
          <w:sz w:val="18"/>
          <w:szCs w:val="18"/>
        </w:rPr>
      </w:pPr>
    </w:p>
    <w:p w:rsidR="00B233DE" w:rsidRDefault="00B233DE" w:rsidP="00B233DE">
      <w:pPr>
        <w:jc w:val="both"/>
        <w:rPr>
          <w:rFonts w:ascii="Times New Roman" w:hAnsi="Times New Roman" w:cs="Times New Roman"/>
          <w:sz w:val="18"/>
          <w:szCs w:val="18"/>
        </w:rPr>
      </w:pPr>
    </w:p>
    <w:p w:rsidR="00B233DE" w:rsidRDefault="00B233DE" w:rsidP="00B233DE">
      <w:pPr>
        <w:jc w:val="both"/>
        <w:rPr>
          <w:rFonts w:ascii="Times New Roman" w:hAnsi="Times New Roman" w:cs="Times New Roman"/>
          <w:sz w:val="18"/>
          <w:szCs w:val="18"/>
        </w:rPr>
      </w:pPr>
    </w:p>
    <w:p w:rsidR="00B233DE" w:rsidRDefault="00B233DE" w:rsidP="00B233DE">
      <w:pPr>
        <w:jc w:val="both"/>
        <w:rPr>
          <w:rFonts w:ascii="Times New Roman" w:hAnsi="Times New Roman" w:cs="Times New Roman"/>
          <w:sz w:val="18"/>
          <w:szCs w:val="18"/>
        </w:rPr>
      </w:pPr>
    </w:p>
    <w:p w:rsidR="00B233DE" w:rsidRDefault="00B233DE" w:rsidP="00B233DE">
      <w:pPr>
        <w:jc w:val="both"/>
        <w:rPr>
          <w:rFonts w:ascii="Times New Roman" w:hAnsi="Times New Roman" w:cs="Times New Roman"/>
          <w:sz w:val="18"/>
          <w:szCs w:val="18"/>
        </w:rPr>
      </w:pPr>
    </w:p>
    <w:p w:rsidR="00B233DE" w:rsidRDefault="00B233DE" w:rsidP="00B233DE">
      <w:pPr>
        <w:jc w:val="both"/>
        <w:rPr>
          <w:rFonts w:ascii="Times New Roman" w:hAnsi="Times New Roman" w:cs="Times New Roman"/>
          <w:sz w:val="18"/>
          <w:szCs w:val="18"/>
        </w:rPr>
      </w:pPr>
    </w:p>
    <w:p w:rsidR="00B233DE" w:rsidRDefault="00B233DE" w:rsidP="00B233DE">
      <w:pPr>
        <w:jc w:val="both"/>
        <w:rPr>
          <w:rFonts w:ascii="Times New Roman" w:hAnsi="Times New Roman" w:cs="Times New Roman"/>
          <w:sz w:val="18"/>
          <w:szCs w:val="18"/>
        </w:rPr>
      </w:pPr>
    </w:p>
    <w:p w:rsidR="00B233DE" w:rsidRDefault="00B233DE" w:rsidP="00B233DE">
      <w:pPr>
        <w:jc w:val="both"/>
        <w:rPr>
          <w:rFonts w:ascii="Times New Roman" w:hAnsi="Times New Roman" w:cs="Times New Roman"/>
          <w:sz w:val="18"/>
          <w:szCs w:val="18"/>
        </w:rPr>
      </w:pPr>
    </w:p>
    <w:p w:rsidR="00B233DE" w:rsidRDefault="00B233DE" w:rsidP="00B233DE">
      <w:pPr>
        <w:jc w:val="both"/>
        <w:rPr>
          <w:rFonts w:ascii="Times New Roman" w:hAnsi="Times New Roman" w:cs="Times New Roman"/>
          <w:sz w:val="18"/>
          <w:szCs w:val="18"/>
        </w:rPr>
      </w:pPr>
    </w:p>
    <w:p w:rsidR="00B233DE" w:rsidRDefault="00B233DE" w:rsidP="00B233DE">
      <w:pPr>
        <w:jc w:val="both"/>
        <w:rPr>
          <w:rFonts w:ascii="Times New Roman" w:hAnsi="Times New Roman" w:cs="Times New Roman"/>
          <w:sz w:val="18"/>
          <w:szCs w:val="18"/>
        </w:rPr>
      </w:pPr>
    </w:p>
    <w:p w:rsidR="00B233DE" w:rsidRDefault="00B233DE" w:rsidP="00B233DE">
      <w:pPr>
        <w:jc w:val="both"/>
        <w:rPr>
          <w:rFonts w:ascii="Times New Roman" w:hAnsi="Times New Roman" w:cs="Times New Roman"/>
          <w:sz w:val="18"/>
          <w:szCs w:val="18"/>
        </w:rPr>
      </w:pPr>
    </w:p>
    <w:p w:rsidR="00B233DE" w:rsidRPr="00EA49BF" w:rsidRDefault="00B233DE" w:rsidP="00B233DE">
      <w:pPr>
        <w:jc w:val="both"/>
        <w:rPr>
          <w:rFonts w:ascii="Times New Roman" w:hAnsi="Times New Roman" w:cs="Times New Roman"/>
          <w:sz w:val="18"/>
          <w:szCs w:val="18"/>
        </w:rPr>
      </w:pPr>
    </w:p>
    <w:p w:rsidR="00B233DE" w:rsidRPr="00EA49BF" w:rsidRDefault="00B233DE" w:rsidP="00B233DE">
      <w:pPr>
        <w:jc w:val="both"/>
        <w:rPr>
          <w:rFonts w:ascii="Times New Roman" w:hAnsi="Times New Roman" w:cs="Times New Roman"/>
          <w:sz w:val="18"/>
          <w:szCs w:val="18"/>
        </w:rPr>
      </w:pPr>
    </w:p>
    <w:p w:rsidR="00B233DE" w:rsidRDefault="00B233DE" w:rsidP="00B233DE">
      <w:pPr>
        <w:autoSpaceDE w:val="0"/>
        <w:autoSpaceDN w:val="0"/>
        <w:adjustRightInd w:val="0"/>
        <w:ind w:firstLine="720"/>
        <w:rPr>
          <w:rFonts w:ascii="Times New Roman" w:hAnsi="Times New Roman" w:cs="Times New Roman"/>
          <w:sz w:val="21"/>
          <w:szCs w:val="21"/>
        </w:rPr>
      </w:pPr>
    </w:p>
    <w:p w:rsidR="00B233DE" w:rsidRPr="00C22FF9" w:rsidRDefault="00B233DE" w:rsidP="00B233DE">
      <w:pPr>
        <w:autoSpaceDE w:val="0"/>
        <w:autoSpaceDN w:val="0"/>
        <w:adjustRightInd w:val="0"/>
        <w:ind w:firstLine="720"/>
        <w:jc w:val="center"/>
        <w:rPr>
          <w:rFonts w:ascii="Times New Roman" w:hAnsi="Times New Roman" w:cs="Times New Roman"/>
          <w:b/>
          <w:sz w:val="21"/>
          <w:szCs w:val="21"/>
        </w:rPr>
      </w:pPr>
      <w:r w:rsidRPr="00C22FF9">
        <w:rPr>
          <w:rFonts w:ascii="Times New Roman" w:hAnsi="Times New Roman" w:cs="Times New Roman"/>
          <w:b/>
          <w:sz w:val="21"/>
          <w:szCs w:val="21"/>
        </w:rPr>
        <w:t>Рис. 1.</w:t>
      </w:r>
      <w:r>
        <w:rPr>
          <w:rFonts w:ascii="Times New Roman" w:hAnsi="Times New Roman" w:cs="Times New Roman"/>
          <w:b/>
          <w:sz w:val="21"/>
          <w:szCs w:val="21"/>
        </w:rPr>
        <w:t>5.</w:t>
      </w:r>
      <w:r w:rsidRPr="00C22FF9">
        <w:rPr>
          <w:rFonts w:ascii="Times New Roman" w:hAnsi="Times New Roman" w:cs="Times New Roman"/>
          <w:b/>
          <w:sz w:val="21"/>
          <w:szCs w:val="21"/>
        </w:rPr>
        <w:t xml:space="preserve"> Основні складові економічного зростання </w:t>
      </w:r>
      <w:r>
        <w:rPr>
          <w:rFonts w:ascii="Times New Roman" w:hAnsi="Times New Roman" w:cs="Times New Roman"/>
          <w:b/>
          <w:sz w:val="21"/>
          <w:szCs w:val="21"/>
        </w:rPr>
        <w:t>в</w:t>
      </w:r>
      <w:r w:rsidRPr="00C22FF9">
        <w:rPr>
          <w:rFonts w:ascii="Times New Roman" w:hAnsi="Times New Roman" w:cs="Times New Roman"/>
          <w:b/>
          <w:sz w:val="21"/>
          <w:szCs w:val="21"/>
        </w:rPr>
        <w:t xml:space="preserve"> економіці знань*</w:t>
      </w:r>
    </w:p>
    <w:p w:rsidR="00B233DE" w:rsidRPr="00C22FF9" w:rsidRDefault="00B233DE" w:rsidP="00B233DE">
      <w:pPr>
        <w:autoSpaceDE w:val="0"/>
        <w:autoSpaceDN w:val="0"/>
        <w:adjustRightInd w:val="0"/>
        <w:ind w:firstLine="720"/>
        <w:jc w:val="both"/>
        <w:rPr>
          <w:rFonts w:ascii="Times New Roman" w:hAnsi="Times New Roman" w:cs="Times New Roman"/>
          <w:sz w:val="21"/>
          <w:szCs w:val="21"/>
        </w:rPr>
      </w:pPr>
      <w:r w:rsidRPr="00C22FF9">
        <w:rPr>
          <w:rFonts w:ascii="Times New Roman" w:hAnsi="Times New Roman" w:cs="Times New Roman"/>
          <w:sz w:val="21"/>
          <w:szCs w:val="21"/>
        </w:rPr>
        <w:t>*</w:t>
      </w:r>
      <w:r>
        <w:rPr>
          <w:rFonts w:ascii="Times New Roman" w:hAnsi="Times New Roman" w:cs="Times New Roman"/>
          <w:sz w:val="21"/>
          <w:szCs w:val="21"/>
        </w:rPr>
        <w:t xml:space="preserve"> - </w:t>
      </w:r>
      <w:r w:rsidRPr="00C22FF9">
        <w:rPr>
          <w:rFonts w:ascii="Times New Roman" w:hAnsi="Times New Roman" w:cs="Times New Roman"/>
          <w:sz w:val="21"/>
          <w:szCs w:val="21"/>
        </w:rPr>
        <w:t>запропоновано автором</w:t>
      </w:r>
      <w:r>
        <w:rPr>
          <w:rFonts w:ascii="Times New Roman" w:hAnsi="Times New Roman" w:cs="Times New Roman"/>
          <w:sz w:val="21"/>
          <w:szCs w:val="21"/>
        </w:rPr>
        <w:t xml:space="preserve"> розділу</w:t>
      </w:r>
    </w:p>
    <w:p w:rsidR="00B233DE" w:rsidRDefault="00B233DE" w:rsidP="00B233DE">
      <w:pPr>
        <w:autoSpaceDE w:val="0"/>
        <w:autoSpaceDN w:val="0"/>
        <w:adjustRightInd w:val="0"/>
        <w:ind w:firstLine="720"/>
        <w:jc w:val="both"/>
        <w:rPr>
          <w:rFonts w:ascii="Times New Roman" w:hAnsi="Times New Roman" w:cs="Times New Roman"/>
          <w:sz w:val="21"/>
          <w:szCs w:val="21"/>
        </w:rPr>
      </w:pPr>
    </w:p>
    <w:p w:rsidR="00B233DE" w:rsidRPr="00014502" w:rsidRDefault="00B233DE" w:rsidP="00B233DE">
      <w:pPr>
        <w:pStyle w:val="afc"/>
        <w:tabs>
          <w:tab w:val="clear" w:pos="792"/>
        </w:tabs>
        <w:spacing w:line="240" w:lineRule="auto"/>
        <w:rPr>
          <w:sz w:val="21"/>
          <w:szCs w:val="21"/>
        </w:rPr>
      </w:pPr>
      <w:r w:rsidRPr="00C22FF9">
        <w:rPr>
          <w:sz w:val="21"/>
          <w:szCs w:val="21"/>
        </w:rPr>
        <w:t>Водночас, розвиток людського потенціалу, як наслідок ефективної соціальної політики та інноваційної діяльності, виступає джерелом економічної продуктивності.</w:t>
      </w:r>
    </w:p>
    <w:p w:rsidR="00B233DE" w:rsidRPr="00C22FF9" w:rsidRDefault="00B233DE" w:rsidP="00B233DE">
      <w:pPr>
        <w:autoSpaceDE w:val="0"/>
        <w:autoSpaceDN w:val="0"/>
        <w:adjustRightInd w:val="0"/>
        <w:ind w:firstLine="720"/>
        <w:jc w:val="both"/>
        <w:rPr>
          <w:rFonts w:ascii="Times New Roman" w:hAnsi="Times New Roman" w:cs="Times New Roman"/>
          <w:sz w:val="21"/>
          <w:szCs w:val="21"/>
        </w:rPr>
      </w:pPr>
      <w:r w:rsidRPr="00C22FF9">
        <w:rPr>
          <w:rFonts w:ascii="Times New Roman" w:hAnsi="Times New Roman" w:cs="Times New Roman"/>
          <w:sz w:val="21"/>
          <w:szCs w:val="21"/>
        </w:rPr>
        <w:t>У новій економіці, де конкуренція відіграє важливу роль, саме реалізація інтелектуальної складової людського потенціалу, що включає знання, навички, творчі здібності, шляхом матеріалізації новаторської ідеї, забезпечує виробництво інноваційного продукту.</w:t>
      </w:r>
    </w:p>
    <w:p w:rsidR="00B233DE" w:rsidRPr="00C22FF9" w:rsidRDefault="00B233DE" w:rsidP="00B233DE">
      <w:pPr>
        <w:autoSpaceDE w:val="0"/>
        <w:autoSpaceDN w:val="0"/>
        <w:adjustRightInd w:val="0"/>
        <w:ind w:firstLine="720"/>
        <w:jc w:val="both"/>
        <w:rPr>
          <w:rFonts w:ascii="Times New Roman" w:hAnsi="Times New Roman" w:cs="Times New Roman"/>
          <w:sz w:val="21"/>
          <w:szCs w:val="21"/>
        </w:rPr>
      </w:pPr>
      <w:r w:rsidRPr="00C22FF9">
        <w:rPr>
          <w:rFonts w:ascii="Times New Roman" w:hAnsi="Times New Roman" w:cs="Times New Roman"/>
          <w:sz w:val="21"/>
          <w:szCs w:val="21"/>
        </w:rPr>
        <w:t>Очевидно, що цей процес є можливим за наявності відповідних соціально-економічних умов, в першу чергу, як матеріального, так і нематеріального мотиваційного забезпечення. На зрілих етапах становлення постіндустріального суспільства матеріальні чинники стимулювання високо</w:t>
      </w:r>
      <w:r>
        <w:rPr>
          <w:rFonts w:ascii="Times New Roman" w:hAnsi="Times New Roman" w:cs="Times New Roman"/>
          <w:sz w:val="21"/>
          <w:szCs w:val="21"/>
        </w:rPr>
        <w:t>-</w:t>
      </w:r>
      <w:r w:rsidRPr="00C22FF9">
        <w:rPr>
          <w:rFonts w:ascii="Times New Roman" w:hAnsi="Times New Roman" w:cs="Times New Roman"/>
          <w:sz w:val="21"/>
          <w:szCs w:val="21"/>
        </w:rPr>
        <w:t>продуктивної праці поступаються нематеріальним, таким як підвищення соціального статусу, перехід на вищий кваліфікаційний рівень, отримання нових навиків і знань, поглиблення професійних соціальних зв’язків тощо. Разом з тим, у країнах, що лише виходять на шлях побудови інформаційної економіки, досить гострими залишаються такі аспекти ефективної реалізації високоякісного людського потенціалу як забезпечення гідного рівня оплати праці і соціального забезпечення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_Ref430595060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67</w:t>
      </w:r>
      <w:r>
        <w:rPr>
          <w:rFonts w:ascii="Times New Roman" w:hAnsi="Times New Roman" w:cs="Times New Roman"/>
          <w:sz w:val="21"/>
          <w:szCs w:val="21"/>
        </w:rPr>
        <w:fldChar w:fldCharType="end"/>
      </w:r>
      <w:r w:rsidRPr="00C22FF9">
        <w:rPr>
          <w:rFonts w:ascii="Times New Roman" w:hAnsi="Times New Roman" w:cs="Times New Roman"/>
          <w:sz w:val="21"/>
          <w:szCs w:val="21"/>
        </w:rPr>
        <w:t>, с. 402].</w:t>
      </w:r>
    </w:p>
    <w:p w:rsidR="00B233DE" w:rsidRPr="00C22FF9" w:rsidRDefault="00B233DE" w:rsidP="00B233DE">
      <w:pPr>
        <w:autoSpaceDE w:val="0"/>
        <w:autoSpaceDN w:val="0"/>
        <w:adjustRightInd w:val="0"/>
        <w:ind w:firstLine="720"/>
        <w:jc w:val="both"/>
        <w:rPr>
          <w:rFonts w:ascii="Times New Roman" w:hAnsi="Times New Roman" w:cs="Times New Roman"/>
          <w:sz w:val="21"/>
          <w:szCs w:val="21"/>
        </w:rPr>
      </w:pPr>
      <w:r w:rsidRPr="00C22FF9">
        <w:rPr>
          <w:rFonts w:ascii="Times New Roman" w:hAnsi="Times New Roman" w:cs="Times New Roman"/>
          <w:sz w:val="21"/>
          <w:szCs w:val="21"/>
        </w:rPr>
        <w:t>Слід відзначити, що на сьогодні розвинуті країни, забезпечені людським потенціалом найвищої якості, завдяки високій концентрації науковців та фахівців високотехнологічних галузей, акумулюють найсучасніші високорентабельні інтелектуальні та інформаційні технології. Водночас, у слаборозвинуті країни переносяться нерентабельні низькоінтелектуальні, ресурсозатратні та екологічно небезпечні виробництва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_Ref430595060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67</w:t>
      </w:r>
      <w:r>
        <w:rPr>
          <w:rFonts w:ascii="Times New Roman" w:hAnsi="Times New Roman" w:cs="Times New Roman"/>
          <w:sz w:val="21"/>
          <w:szCs w:val="21"/>
        </w:rPr>
        <w:fldChar w:fldCharType="end"/>
      </w:r>
      <w:r w:rsidRPr="00C22FF9">
        <w:rPr>
          <w:rFonts w:ascii="Times New Roman" w:hAnsi="Times New Roman" w:cs="Times New Roman"/>
          <w:sz w:val="21"/>
          <w:szCs w:val="21"/>
        </w:rPr>
        <w:t>, с. 67]. Така закономірність підтверджує наше переконання, що розвиток та ефективна реалізація людського потенціалу є запорукою прогресу національних економік в умовах становлення економіки знань та інформаційного суспільства і, завдяки цьому, постає суттєвим фактором скорочення нерівності країн, спричиненої процесами глобалізації.</w:t>
      </w:r>
    </w:p>
    <w:p w:rsidR="00B233DE" w:rsidRPr="00C22FF9" w:rsidRDefault="00B233DE" w:rsidP="00B233DE">
      <w:pPr>
        <w:autoSpaceDE w:val="0"/>
        <w:autoSpaceDN w:val="0"/>
        <w:adjustRightInd w:val="0"/>
        <w:ind w:firstLine="720"/>
        <w:jc w:val="both"/>
        <w:rPr>
          <w:rFonts w:ascii="Times New Roman" w:hAnsi="Times New Roman" w:cs="Times New Roman"/>
          <w:sz w:val="21"/>
          <w:szCs w:val="21"/>
        </w:rPr>
      </w:pPr>
      <w:r w:rsidRPr="00C22FF9">
        <w:rPr>
          <w:rFonts w:ascii="Times New Roman" w:hAnsi="Times New Roman" w:cs="Times New Roman"/>
          <w:sz w:val="21"/>
          <w:szCs w:val="21"/>
        </w:rPr>
        <w:t xml:space="preserve">Іншими словами, за становлення економіки знань, рівень розвитку людського потенціалу та його реалізації є головною конкурентною перевагою національної економіки в умовах міжнародної економічної конкуренції. Про це свідчать і значні </w:t>
      </w:r>
      <w:r w:rsidRPr="00C22FF9">
        <w:rPr>
          <w:rFonts w:ascii="Times New Roman" w:hAnsi="Times New Roman" w:cs="Times New Roman"/>
          <w:sz w:val="21"/>
          <w:szCs w:val="21"/>
        </w:rPr>
        <w:lastRenderedPageBreak/>
        <w:t>структурні зрушення у світовому експорті на користь продукції високотехнологічних галузей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_Ref430595309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5</w:t>
      </w:r>
      <w:r>
        <w:rPr>
          <w:rFonts w:ascii="Times New Roman" w:hAnsi="Times New Roman" w:cs="Times New Roman"/>
          <w:sz w:val="21"/>
          <w:szCs w:val="21"/>
        </w:rPr>
        <w:fldChar w:fldCharType="end"/>
      </w:r>
      <w:r w:rsidRPr="00C22FF9">
        <w:rPr>
          <w:rFonts w:ascii="Times New Roman" w:hAnsi="Times New Roman" w:cs="Times New Roman"/>
          <w:sz w:val="21"/>
          <w:szCs w:val="21"/>
        </w:rPr>
        <w:t>]. Частка наукомісткої продукції у світовій торгівлі складає близько 20</w:t>
      </w:r>
      <w:r>
        <w:rPr>
          <w:rFonts w:ascii="Times New Roman" w:hAnsi="Times New Roman" w:cs="Times New Roman"/>
          <w:sz w:val="21"/>
          <w:szCs w:val="21"/>
        </w:rPr>
        <w:t xml:space="preserve"> </w:t>
      </w:r>
      <w:r w:rsidRPr="00C22FF9">
        <w:rPr>
          <w:rFonts w:ascii="Times New Roman" w:hAnsi="Times New Roman" w:cs="Times New Roman"/>
          <w:sz w:val="21"/>
          <w:szCs w:val="21"/>
        </w:rPr>
        <w:t>% у 2014 році, натомість частка низькодохідних товарів первинної обробки та сировини – всього біля 6</w:t>
      </w:r>
      <w:r>
        <w:rPr>
          <w:rFonts w:ascii="Times New Roman" w:hAnsi="Times New Roman" w:cs="Times New Roman"/>
          <w:sz w:val="21"/>
          <w:szCs w:val="21"/>
        </w:rPr>
        <w:t xml:space="preserve"> </w:t>
      </w:r>
      <w:r w:rsidRPr="00C22FF9">
        <w:rPr>
          <w:rFonts w:ascii="Times New Roman" w:hAnsi="Times New Roman" w:cs="Times New Roman"/>
          <w:sz w:val="21"/>
          <w:szCs w:val="21"/>
        </w:rPr>
        <w:t>% [</w:t>
      </w:r>
      <w:r>
        <w:rPr>
          <w:rFonts w:ascii="Times New Roman" w:hAnsi="Times New Roman"/>
          <w:sz w:val="21"/>
          <w:szCs w:val="21"/>
        </w:rPr>
        <w:fldChar w:fldCharType="begin"/>
      </w:r>
      <w:r>
        <w:rPr>
          <w:rFonts w:ascii="Times New Roman" w:hAnsi="Times New Roman" w:cs="Times New Roman"/>
          <w:sz w:val="21"/>
          <w:szCs w:val="21"/>
        </w:rPr>
        <w:instrText xml:space="preserve"> REF _Ref430595317 \r \h </w:instrText>
      </w:r>
      <w:r>
        <w:rPr>
          <w:rFonts w:ascii="Times New Roman" w:hAnsi="Times New Roman"/>
          <w:sz w:val="21"/>
          <w:szCs w:val="21"/>
        </w:rPr>
      </w:r>
      <w:r>
        <w:rPr>
          <w:rFonts w:ascii="Times New Roman" w:hAnsi="Times New Roman"/>
          <w:sz w:val="21"/>
          <w:szCs w:val="21"/>
        </w:rPr>
        <w:fldChar w:fldCharType="separate"/>
      </w:r>
      <w:r>
        <w:rPr>
          <w:rFonts w:ascii="Times New Roman" w:hAnsi="Times New Roman" w:cs="Times New Roman"/>
          <w:sz w:val="21"/>
          <w:szCs w:val="21"/>
        </w:rPr>
        <w:t>75</w:t>
      </w:r>
      <w:r>
        <w:rPr>
          <w:rFonts w:ascii="Times New Roman" w:hAnsi="Times New Roman"/>
          <w:sz w:val="21"/>
          <w:szCs w:val="21"/>
        </w:rPr>
        <w:fldChar w:fldCharType="end"/>
      </w:r>
      <w:r w:rsidRPr="00C22FF9">
        <w:rPr>
          <w:rFonts w:ascii="Times New Roman" w:hAnsi="Times New Roman" w:cs="Times New Roman"/>
          <w:sz w:val="21"/>
          <w:szCs w:val="21"/>
        </w:rPr>
        <w:t>].</w:t>
      </w:r>
    </w:p>
    <w:p w:rsidR="00B233DE" w:rsidRPr="00C22FF9" w:rsidRDefault="00B233DE" w:rsidP="00B233DE">
      <w:pPr>
        <w:autoSpaceDE w:val="0"/>
        <w:autoSpaceDN w:val="0"/>
        <w:adjustRightInd w:val="0"/>
        <w:ind w:firstLine="720"/>
        <w:jc w:val="both"/>
        <w:rPr>
          <w:rFonts w:ascii="Times New Roman" w:hAnsi="Times New Roman" w:cs="Times New Roman"/>
          <w:sz w:val="21"/>
          <w:szCs w:val="21"/>
        </w:rPr>
      </w:pPr>
      <w:r w:rsidRPr="00C22FF9">
        <w:rPr>
          <w:rFonts w:ascii="Times New Roman" w:hAnsi="Times New Roman" w:cs="Times New Roman"/>
          <w:sz w:val="21"/>
          <w:szCs w:val="21"/>
        </w:rPr>
        <w:t xml:space="preserve">У інноваційному процесі економіки </w:t>
      </w:r>
      <w:r>
        <w:rPr>
          <w:rFonts w:ascii="Times New Roman" w:hAnsi="Times New Roman" w:cs="Times New Roman"/>
          <w:sz w:val="21"/>
          <w:szCs w:val="21"/>
        </w:rPr>
        <w:t xml:space="preserve">знань </w:t>
      </w:r>
      <w:r w:rsidRPr="00C22FF9">
        <w:rPr>
          <w:rFonts w:ascii="Times New Roman" w:hAnsi="Times New Roman" w:cs="Times New Roman"/>
          <w:sz w:val="21"/>
          <w:szCs w:val="21"/>
        </w:rPr>
        <w:t>головною ланкою є трансформація інтелектуального та освітньо-кваліфікаційного людського потенціалу в процесі його реалізації у інноваційний продукт. Така трансформація вимагає відповідного технологічного, інституційного та інвестиційного забезпечення інноваційної діяльності. В цьому напрямі передбачається такий рівень інституціонального розвитку, який дає можливість залучити до процесу створення інновацій багатьох учасників на основі не лише особистого, а</w:t>
      </w:r>
      <w:r>
        <w:rPr>
          <w:rFonts w:ascii="Times New Roman" w:hAnsi="Times New Roman" w:cs="Times New Roman"/>
          <w:sz w:val="21"/>
          <w:szCs w:val="21"/>
        </w:rPr>
        <w:t>ле</w:t>
      </w:r>
      <w:r w:rsidRPr="00C22FF9">
        <w:rPr>
          <w:rFonts w:ascii="Times New Roman" w:hAnsi="Times New Roman" w:cs="Times New Roman"/>
          <w:sz w:val="21"/>
          <w:szCs w:val="21"/>
        </w:rPr>
        <w:t xml:space="preserve"> і загальносуспільних </w:t>
      </w:r>
      <w:r>
        <w:rPr>
          <w:rFonts w:ascii="Times New Roman" w:hAnsi="Times New Roman" w:cs="Times New Roman"/>
          <w:sz w:val="21"/>
          <w:szCs w:val="21"/>
        </w:rPr>
        <w:t xml:space="preserve">економічних </w:t>
      </w:r>
      <w:r w:rsidRPr="00C22FF9">
        <w:rPr>
          <w:rFonts w:ascii="Times New Roman" w:hAnsi="Times New Roman" w:cs="Times New Roman"/>
          <w:sz w:val="21"/>
          <w:szCs w:val="21"/>
        </w:rPr>
        <w:t>інтересів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_Ref430595281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54</w:t>
      </w:r>
      <w:r>
        <w:rPr>
          <w:rFonts w:ascii="Times New Roman" w:hAnsi="Times New Roman" w:cs="Times New Roman"/>
          <w:sz w:val="21"/>
          <w:szCs w:val="21"/>
        </w:rPr>
        <w:fldChar w:fldCharType="end"/>
      </w:r>
      <w:r w:rsidRPr="00C22FF9">
        <w:rPr>
          <w:rFonts w:ascii="Times New Roman" w:hAnsi="Times New Roman" w:cs="Times New Roman"/>
          <w:sz w:val="21"/>
          <w:szCs w:val="21"/>
        </w:rPr>
        <w:t>, с. 132].</w:t>
      </w:r>
    </w:p>
    <w:p w:rsidR="00B233DE" w:rsidRPr="00C22FF9" w:rsidRDefault="00B233DE" w:rsidP="00B233DE">
      <w:pPr>
        <w:autoSpaceDE w:val="0"/>
        <w:autoSpaceDN w:val="0"/>
        <w:adjustRightInd w:val="0"/>
        <w:ind w:firstLine="720"/>
        <w:jc w:val="both"/>
        <w:rPr>
          <w:rFonts w:ascii="Times New Roman" w:hAnsi="Times New Roman" w:cs="Times New Roman"/>
          <w:color w:val="231F20"/>
          <w:sz w:val="21"/>
          <w:szCs w:val="21"/>
        </w:rPr>
      </w:pPr>
      <w:r w:rsidRPr="00C22FF9">
        <w:rPr>
          <w:rFonts w:ascii="Times New Roman" w:hAnsi="Times New Roman" w:cs="Times New Roman"/>
          <w:color w:val="231F20"/>
          <w:sz w:val="21"/>
          <w:szCs w:val="21"/>
        </w:rPr>
        <w:t xml:space="preserve">Досвід країн-аутсайдерів ЄС та малих країн-лідерів розбудови економіки </w:t>
      </w:r>
      <w:r>
        <w:rPr>
          <w:rFonts w:ascii="Times New Roman" w:hAnsi="Times New Roman" w:cs="Times New Roman"/>
          <w:color w:val="231F20"/>
          <w:sz w:val="21"/>
          <w:szCs w:val="21"/>
        </w:rPr>
        <w:t xml:space="preserve">знань </w:t>
      </w:r>
      <w:r w:rsidRPr="00C22FF9">
        <w:rPr>
          <w:rFonts w:ascii="Times New Roman" w:hAnsi="Times New Roman" w:cs="Times New Roman"/>
          <w:color w:val="231F20"/>
          <w:sz w:val="21"/>
          <w:szCs w:val="21"/>
        </w:rPr>
        <w:t>(Скандинавських країн, Ірландії) свідчить про те, що вони застосовують у економічній політиці філософію зростання передових країн, постійно збільшуючи обсяги фінансування науково-технічної сфери. Так, за даними Світового банку, річні витрати на наукові дослідження і розробки зросли за 1996</w:t>
      </w:r>
      <w:r>
        <w:rPr>
          <w:rFonts w:ascii="Times New Roman" w:hAnsi="Times New Roman" w:cs="Times New Roman"/>
          <w:color w:val="231F20"/>
          <w:sz w:val="21"/>
          <w:szCs w:val="21"/>
        </w:rPr>
        <w:t>–</w:t>
      </w:r>
      <w:r w:rsidRPr="00C22FF9">
        <w:rPr>
          <w:rFonts w:ascii="Times New Roman" w:hAnsi="Times New Roman" w:cs="Times New Roman"/>
          <w:color w:val="231F20"/>
          <w:sz w:val="21"/>
          <w:szCs w:val="21"/>
        </w:rPr>
        <w:t>2012 роки на 60</w:t>
      </w:r>
      <w:r>
        <w:rPr>
          <w:rFonts w:ascii="Times New Roman" w:hAnsi="Times New Roman" w:cs="Times New Roman"/>
          <w:color w:val="231F20"/>
          <w:sz w:val="21"/>
          <w:szCs w:val="21"/>
        </w:rPr>
        <w:t xml:space="preserve"> </w:t>
      </w:r>
      <w:r w:rsidRPr="00C22FF9">
        <w:rPr>
          <w:rFonts w:ascii="Times New Roman" w:hAnsi="Times New Roman" w:cs="Times New Roman"/>
          <w:color w:val="231F20"/>
          <w:sz w:val="21"/>
          <w:szCs w:val="21"/>
        </w:rPr>
        <w:t>% у Данії, на 40</w:t>
      </w:r>
      <w:r>
        <w:rPr>
          <w:rFonts w:ascii="Times New Roman" w:hAnsi="Times New Roman" w:cs="Times New Roman"/>
          <w:color w:val="231F20"/>
          <w:sz w:val="21"/>
          <w:szCs w:val="21"/>
        </w:rPr>
        <w:t xml:space="preserve"> </w:t>
      </w:r>
      <w:r w:rsidRPr="00C22FF9">
        <w:rPr>
          <w:rFonts w:ascii="Times New Roman" w:hAnsi="Times New Roman" w:cs="Times New Roman"/>
          <w:color w:val="231F20"/>
          <w:sz w:val="21"/>
          <w:szCs w:val="21"/>
        </w:rPr>
        <w:t>% – у Фінляндії, на 32</w:t>
      </w:r>
      <w:r>
        <w:rPr>
          <w:rFonts w:ascii="Times New Roman" w:hAnsi="Times New Roman" w:cs="Times New Roman"/>
          <w:color w:val="231F20"/>
          <w:sz w:val="21"/>
          <w:szCs w:val="21"/>
        </w:rPr>
        <w:t xml:space="preserve"> </w:t>
      </w:r>
      <w:r w:rsidRPr="00C22FF9">
        <w:rPr>
          <w:rFonts w:ascii="Times New Roman" w:hAnsi="Times New Roman" w:cs="Times New Roman"/>
          <w:color w:val="231F20"/>
          <w:sz w:val="21"/>
          <w:szCs w:val="21"/>
        </w:rPr>
        <w:t xml:space="preserve">% – у Ірландії, що призвело до підвищення і інших показників розвитку економіки знань: </w:t>
      </w:r>
      <w:r w:rsidRPr="00C22FF9">
        <w:rPr>
          <w:rFonts w:ascii="Times New Roman" w:hAnsi="Times New Roman" w:cs="Times New Roman"/>
          <w:sz w:val="21"/>
          <w:szCs w:val="21"/>
        </w:rPr>
        <w:t>кількості наукових публікацій та цитування, наукових ступенів та міжнародних винагород, патентної активності, створення нових промислових галузей високих технологій та їх частки в експорті тощо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_Ref430595309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5</w:t>
      </w:r>
      <w:r>
        <w:rPr>
          <w:rFonts w:ascii="Times New Roman" w:hAnsi="Times New Roman" w:cs="Times New Roman"/>
          <w:sz w:val="21"/>
          <w:szCs w:val="21"/>
        </w:rPr>
        <w:fldChar w:fldCharType="end"/>
      </w:r>
      <w:r w:rsidRPr="00C22FF9">
        <w:rPr>
          <w:rFonts w:ascii="Times New Roman" w:hAnsi="Times New Roman" w:cs="Times New Roman"/>
          <w:sz w:val="21"/>
          <w:szCs w:val="21"/>
        </w:rPr>
        <w:t>,</w:t>
      </w:r>
      <w:r>
        <w:rPr>
          <w:rFonts w:ascii="Times New Roman" w:hAnsi="Times New Roman" w:cs="Times New Roman"/>
          <w:sz w:val="21"/>
          <w:szCs w:val="21"/>
        </w:rPr>
        <w:t xml:space="preserve"> </w:t>
      </w:r>
      <w:r>
        <w:rPr>
          <w:rFonts w:ascii="Times New Roman" w:hAnsi="Times New Roman"/>
          <w:sz w:val="21"/>
          <w:szCs w:val="21"/>
        </w:rPr>
        <w:fldChar w:fldCharType="begin"/>
      </w:r>
      <w:r>
        <w:rPr>
          <w:rFonts w:ascii="Times New Roman" w:hAnsi="Times New Roman" w:cs="Times New Roman"/>
          <w:sz w:val="21"/>
          <w:szCs w:val="21"/>
        </w:rPr>
        <w:instrText xml:space="preserve"> REF _Ref430595317 \r \h </w:instrText>
      </w:r>
      <w:r>
        <w:rPr>
          <w:rFonts w:ascii="Times New Roman" w:hAnsi="Times New Roman"/>
          <w:sz w:val="21"/>
          <w:szCs w:val="21"/>
        </w:rPr>
      </w:r>
      <w:r>
        <w:rPr>
          <w:rFonts w:ascii="Times New Roman" w:hAnsi="Times New Roman"/>
          <w:sz w:val="21"/>
          <w:szCs w:val="21"/>
        </w:rPr>
        <w:fldChar w:fldCharType="separate"/>
      </w:r>
      <w:r>
        <w:rPr>
          <w:rFonts w:ascii="Times New Roman" w:hAnsi="Times New Roman" w:cs="Times New Roman"/>
          <w:sz w:val="21"/>
          <w:szCs w:val="21"/>
        </w:rPr>
        <w:t>75</w:t>
      </w:r>
      <w:r>
        <w:rPr>
          <w:rFonts w:ascii="Times New Roman" w:hAnsi="Times New Roman"/>
          <w:sz w:val="21"/>
          <w:szCs w:val="21"/>
        </w:rPr>
        <w:fldChar w:fldCharType="end"/>
      </w:r>
      <w:r w:rsidRPr="00C22FF9">
        <w:rPr>
          <w:rFonts w:ascii="Times New Roman" w:hAnsi="Times New Roman" w:cs="Times New Roman"/>
          <w:sz w:val="21"/>
          <w:szCs w:val="21"/>
        </w:rPr>
        <w:t>]</w:t>
      </w:r>
      <w:r w:rsidRPr="00C22FF9">
        <w:rPr>
          <w:rFonts w:ascii="Times New Roman" w:hAnsi="Times New Roman" w:cs="Times New Roman"/>
          <w:color w:val="231F20"/>
          <w:sz w:val="21"/>
          <w:szCs w:val="21"/>
        </w:rPr>
        <w:t>. В Україні ж зазначені витрати у річному вимірі зменшились за вказаний період на 60</w:t>
      </w:r>
      <w:r>
        <w:rPr>
          <w:rFonts w:ascii="Times New Roman" w:hAnsi="Times New Roman" w:cs="Times New Roman"/>
          <w:color w:val="231F20"/>
          <w:sz w:val="21"/>
          <w:szCs w:val="21"/>
        </w:rPr>
        <w:t xml:space="preserve"> </w:t>
      </w:r>
      <w:r w:rsidRPr="00C22FF9">
        <w:rPr>
          <w:rFonts w:ascii="Times New Roman" w:hAnsi="Times New Roman" w:cs="Times New Roman"/>
          <w:color w:val="231F20"/>
          <w:sz w:val="21"/>
          <w:szCs w:val="21"/>
        </w:rPr>
        <w:t>% [</w:t>
      </w:r>
      <w:r>
        <w:rPr>
          <w:rFonts w:ascii="Times New Roman" w:hAnsi="Times New Roman"/>
          <w:sz w:val="21"/>
          <w:szCs w:val="21"/>
        </w:rPr>
        <w:fldChar w:fldCharType="begin"/>
      </w:r>
      <w:r>
        <w:rPr>
          <w:rFonts w:ascii="Times New Roman" w:hAnsi="Times New Roman" w:cs="Times New Roman"/>
          <w:color w:val="231F20"/>
          <w:sz w:val="21"/>
          <w:szCs w:val="21"/>
        </w:rPr>
        <w:instrText xml:space="preserve"> REF _Ref430595317 \r \h </w:instrText>
      </w:r>
      <w:r>
        <w:rPr>
          <w:rFonts w:ascii="Times New Roman" w:hAnsi="Times New Roman"/>
          <w:sz w:val="21"/>
          <w:szCs w:val="21"/>
        </w:rPr>
      </w:r>
      <w:r>
        <w:rPr>
          <w:rFonts w:ascii="Times New Roman" w:hAnsi="Times New Roman"/>
          <w:sz w:val="21"/>
          <w:szCs w:val="21"/>
        </w:rPr>
        <w:fldChar w:fldCharType="separate"/>
      </w:r>
      <w:r>
        <w:rPr>
          <w:rFonts w:ascii="Times New Roman" w:hAnsi="Times New Roman" w:cs="Times New Roman"/>
          <w:color w:val="231F20"/>
          <w:sz w:val="21"/>
          <w:szCs w:val="21"/>
        </w:rPr>
        <w:t>75</w:t>
      </w:r>
      <w:r>
        <w:rPr>
          <w:rFonts w:ascii="Times New Roman" w:hAnsi="Times New Roman"/>
          <w:sz w:val="21"/>
          <w:szCs w:val="21"/>
        </w:rPr>
        <w:fldChar w:fldCharType="end"/>
      </w:r>
      <w:r w:rsidRPr="00C22FF9">
        <w:rPr>
          <w:rFonts w:ascii="Times New Roman" w:hAnsi="Times New Roman" w:cs="Times New Roman"/>
          <w:color w:val="231F20"/>
          <w:sz w:val="21"/>
          <w:szCs w:val="21"/>
        </w:rPr>
        <w:t>].</w:t>
      </w:r>
    </w:p>
    <w:p w:rsidR="00B233DE" w:rsidRPr="00C22FF9" w:rsidRDefault="00B233DE" w:rsidP="00B233DE">
      <w:pPr>
        <w:autoSpaceDE w:val="0"/>
        <w:autoSpaceDN w:val="0"/>
        <w:adjustRightInd w:val="0"/>
        <w:ind w:firstLine="720"/>
        <w:jc w:val="both"/>
        <w:rPr>
          <w:rFonts w:ascii="Times New Roman" w:hAnsi="Times New Roman" w:cs="Times New Roman"/>
          <w:color w:val="231F20"/>
          <w:sz w:val="21"/>
          <w:szCs w:val="21"/>
        </w:rPr>
      </w:pPr>
      <w:r w:rsidRPr="00C22FF9">
        <w:rPr>
          <w:rFonts w:ascii="Times New Roman" w:hAnsi="Times New Roman" w:cs="Times New Roman"/>
          <w:color w:val="231F20"/>
          <w:sz w:val="21"/>
          <w:szCs w:val="21"/>
        </w:rPr>
        <w:t xml:space="preserve">Проблема низького фінансування та неефективності галузей економіки </w:t>
      </w:r>
      <w:r>
        <w:rPr>
          <w:rFonts w:ascii="Times New Roman" w:hAnsi="Times New Roman" w:cs="Times New Roman"/>
          <w:color w:val="231F20"/>
          <w:sz w:val="21"/>
          <w:szCs w:val="21"/>
        </w:rPr>
        <w:t xml:space="preserve">знань </w:t>
      </w:r>
      <w:r w:rsidRPr="00C22FF9">
        <w:rPr>
          <w:rFonts w:ascii="Times New Roman" w:hAnsi="Times New Roman" w:cs="Times New Roman"/>
          <w:color w:val="231F20"/>
          <w:sz w:val="21"/>
          <w:szCs w:val="21"/>
        </w:rPr>
        <w:t>України набуває критичного характеру порівняно з динамічними змінами, які відбуваються в країнах ЄС. При чому необхідно підкреслити, що підходи формування і реалізації економічної політики на базі концепцій економіки знань та інформаційного суспільства рекомендовані Європейським Союзом для країн-кандидатів до вступу в об’єднання. Спеціалізований директорат «</w:t>
      </w:r>
      <w:r>
        <w:rPr>
          <w:rFonts w:ascii="Times New Roman" w:hAnsi="Times New Roman" w:cs="Times New Roman"/>
          <w:color w:val="231F20"/>
          <w:sz w:val="21"/>
          <w:szCs w:val="21"/>
        </w:rPr>
        <w:t>Е</w:t>
      </w:r>
      <w:r w:rsidRPr="00C22FF9">
        <w:rPr>
          <w:rFonts w:ascii="Times New Roman" w:hAnsi="Times New Roman" w:cs="Times New Roman"/>
          <w:color w:val="231F20"/>
          <w:sz w:val="21"/>
          <w:szCs w:val="21"/>
        </w:rPr>
        <w:t xml:space="preserve">кономіка </w:t>
      </w:r>
      <w:r>
        <w:rPr>
          <w:rFonts w:ascii="Times New Roman" w:hAnsi="Times New Roman" w:cs="Times New Roman"/>
          <w:color w:val="231F20"/>
          <w:sz w:val="21"/>
          <w:szCs w:val="21"/>
        </w:rPr>
        <w:t xml:space="preserve">знань </w:t>
      </w:r>
      <w:r w:rsidRPr="00C22FF9">
        <w:rPr>
          <w:rFonts w:ascii="Times New Roman" w:hAnsi="Times New Roman" w:cs="Times New Roman"/>
          <w:color w:val="231F20"/>
          <w:sz w:val="21"/>
          <w:szCs w:val="21"/>
        </w:rPr>
        <w:t xml:space="preserve">і суспільство» у структурі Європейської Комісії формує критерії моніторингу та оцінки ефективності реалізації політики становлення економіки </w:t>
      </w:r>
      <w:r w:rsidRPr="00C22FF9">
        <w:rPr>
          <w:rFonts w:ascii="Times New Roman" w:hAnsi="Times New Roman" w:cs="Times New Roman"/>
          <w:color w:val="231F20"/>
          <w:sz w:val="21"/>
          <w:szCs w:val="21"/>
        </w:rPr>
        <w:lastRenderedPageBreak/>
        <w:t xml:space="preserve">знань як в країнах ЄС, так і в країнах-кандидатах </w:t>
      </w:r>
      <w:r w:rsidRPr="00C22FF9">
        <w:rPr>
          <w:rFonts w:ascii="Times New Roman" w:hAnsi="Times New Roman" w:cs="Times New Roman"/>
          <w:sz w:val="21"/>
          <w:szCs w:val="21"/>
        </w:rPr>
        <w:t xml:space="preserve">до вступу в Співтовариство вже у вигляді конкретних вимог до їх поточної економічної політики </w:t>
      </w:r>
      <w:r w:rsidRPr="00C22FF9">
        <w:rPr>
          <w:rFonts w:ascii="Times New Roman" w:hAnsi="Times New Roman" w:cs="Times New Roman"/>
          <w:color w:val="231F20"/>
          <w:sz w:val="21"/>
          <w:szCs w:val="21"/>
        </w:rPr>
        <w:t>[</w:t>
      </w:r>
      <w:r>
        <w:rPr>
          <w:rFonts w:ascii="Times New Roman" w:hAnsi="Times New Roman" w:cs="Times New Roman"/>
          <w:color w:val="231F20"/>
          <w:sz w:val="21"/>
          <w:szCs w:val="21"/>
        </w:rPr>
        <w:fldChar w:fldCharType="begin"/>
      </w:r>
      <w:r>
        <w:rPr>
          <w:rFonts w:ascii="Times New Roman" w:hAnsi="Times New Roman" w:cs="Times New Roman"/>
          <w:color w:val="231F20"/>
          <w:sz w:val="21"/>
          <w:szCs w:val="21"/>
        </w:rPr>
        <w:instrText xml:space="preserve"> REF _Ref430595309 \r \h </w:instrText>
      </w:r>
      <w:r>
        <w:rPr>
          <w:rFonts w:ascii="Times New Roman" w:hAnsi="Times New Roman" w:cs="Times New Roman"/>
          <w:color w:val="231F20"/>
          <w:sz w:val="21"/>
          <w:szCs w:val="21"/>
        </w:rPr>
      </w:r>
      <w:r>
        <w:rPr>
          <w:rFonts w:ascii="Times New Roman" w:hAnsi="Times New Roman" w:cs="Times New Roman"/>
          <w:color w:val="231F20"/>
          <w:sz w:val="21"/>
          <w:szCs w:val="21"/>
        </w:rPr>
        <w:fldChar w:fldCharType="separate"/>
      </w:r>
      <w:r>
        <w:rPr>
          <w:rFonts w:ascii="Times New Roman" w:hAnsi="Times New Roman" w:cs="Times New Roman"/>
          <w:color w:val="231F20"/>
          <w:sz w:val="21"/>
          <w:szCs w:val="21"/>
        </w:rPr>
        <w:t>5</w:t>
      </w:r>
      <w:r>
        <w:rPr>
          <w:rFonts w:ascii="Times New Roman" w:hAnsi="Times New Roman" w:cs="Times New Roman"/>
          <w:color w:val="231F20"/>
          <w:sz w:val="21"/>
          <w:szCs w:val="21"/>
        </w:rPr>
        <w:fldChar w:fldCharType="end"/>
      </w:r>
      <w:r w:rsidRPr="00C22FF9">
        <w:rPr>
          <w:rFonts w:ascii="Times New Roman" w:hAnsi="Times New Roman" w:cs="Times New Roman"/>
          <w:color w:val="231F20"/>
          <w:sz w:val="21"/>
          <w:szCs w:val="21"/>
        </w:rPr>
        <w:t xml:space="preserve">, </w:t>
      </w:r>
      <w:r w:rsidRPr="00C22FF9">
        <w:rPr>
          <w:rFonts w:ascii="Times New Roman" w:hAnsi="Times New Roman" w:cs="Times New Roman"/>
          <w:color w:val="231F20"/>
          <w:sz w:val="21"/>
          <w:szCs w:val="21"/>
          <w:lang w:val="en-US"/>
        </w:rPr>
        <w:t>c</w:t>
      </w:r>
      <w:r w:rsidRPr="00C22FF9">
        <w:rPr>
          <w:rFonts w:ascii="Times New Roman" w:hAnsi="Times New Roman" w:cs="Times New Roman"/>
          <w:color w:val="231F20"/>
          <w:sz w:val="21"/>
          <w:szCs w:val="21"/>
        </w:rPr>
        <w:t>. 71]</w:t>
      </w:r>
      <w:r w:rsidRPr="00C22FF9">
        <w:rPr>
          <w:rFonts w:ascii="Times New Roman" w:hAnsi="Times New Roman" w:cs="Times New Roman"/>
          <w:sz w:val="21"/>
          <w:szCs w:val="21"/>
        </w:rPr>
        <w:t>.</w:t>
      </w:r>
      <w:r w:rsidRPr="00C22FF9">
        <w:rPr>
          <w:rFonts w:ascii="Times New Roman" w:hAnsi="Times New Roman" w:cs="Times New Roman"/>
          <w:color w:val="231F20"/>
          <w:sz w:val="21"/>
          <w:szCs w:val="21"/>
        </w:rPr>
        <w:t xml:space="preserve"> Зокрема, згідно з Угодою про асоціацію між Україною та ЄС, Україна має докладати зусиль «для досягнення прогресу в набутті наукових та технологічних знань, важливих для забезпечення сталого економічного розвитку, шляхом розвитку дослідних потужностей та людського потенціалу. Накопичення та обмін науковою інформацією сприяють підвищенню конкурентоспроможності шляхом розширення можливостей економіки щодо набуття та використання знань для комерціаліза</w:t>
      </w:r>
      <w:r>
        <w:rPr>
          <w:rFonts w:ascii="Times New Roman" w:hAnsi="Times New Roman" w:cs="Times New Roman"/>
          <w:color w:val="231F20"/>
          <w:sz w:val="21"/>
          <w:szCs w:val="21"/>
        </w:rPr>
        <w:t>ції нових продуктів та послуг»</w:t>
      </w:r>
      <w:r w:rsidRPr="00C22FF9">
        <w:rPr>
          <w:rFonts w:ascii="Times New Roman" w:hAnsi="Times New Roman" w:cs="Times New Roman"/>
          <w:color w:val="231F20"/>
          <w:sz w:val="21"/>
          <w:szCs w:val="21"/>
        </w:rPr>
        <w:t>.</w:t>
      </w:r>
    </w:p>
    <w:p w:rsidR="00B233DE" w:rsidRDefault="00B233DE" w:rsidP="00B233DE">
      <w:pPr>
        <w:autoSpaceDE w:val="0"/>
        <w:autoSpaceDN w:val="0"/>
        <w:adjustRightInd w:val="0"/>
        <w:ind w:firstLine="720"/>
        <w:jc w:val="both"/>
        <w:rPr>
          <w:rFonts w:ascii="Times New Roman" w:hAnsi="Times New Roman" w:cs="Times New Roman"/>
          <w:spacing w:val="-4"/>
          <w:sz w:val="21"/>
          <w:szCs w:val="21"/>
        </w:rPr>
      </w:pPr>
      <w:r w:rsidRPr="00C22FF9">
        <w:rPr>
          <w:rFonts w:ascii="Times New Roman" w:hAnsi="Times New Roman" w:cs="Times New Roman"/>
          <w:spacing w:val="-4"/>
          <w:sz w:val="21"/>
          <w:szCs w:val="21"/>
        </w:rPr>
        <w:t>В силу того, що інформаційно-комунікаційним технологіям відводиться роль одного з ключових чинників інноваційного розвитку економіки та необхідного інструменту соціально-економічного прогресу, варто відзначити недостатній ступінь розбудови інформаційного суспільства в Україні, що не відповідає її людському потенціалу та можливостям (табл. 1.</w:t>
      </w:r>
      <w:r>
        <w:rPr>
          <w:rFonts w:ascii="Times New Roman" w:hAnsi="Times New Roman" w:cs="Times New Roman"/>
          <w:spacing w:val="-4"/>
          <w:sz w:val="21"/>
          <w:szCs w:val="21"/>
        </w:rPr>
        <w:t>9</w:t>
      </w:r>
      <w:r w:rsidRPr="00C22FF9">
        <w:rPr>
          <w:rFonts w:ascii="Times New Roman" w:hAnsi="Times New Roman" w:cs="Times New Roman"/>
          <w:spacing w:val="-4"/>
          <w:sz w:val="21"/>
          <w:szCs w:val="21"/>
        </w:rPr>
        <w:t>) [</w:t>
      </w:r>
      <w:r>
        <w:rPr>
          <w:rFonts w:ascii="Times New Roman" w:hAnsi="Times New Roman" w:cs="Times New Roman"/>
          <w:spacing w:val="-4"/>
          <w:sz w:val="21"/>
          <w:szCs w:val="21"/>
        </w:rPr>
        <w:fldChar w:fldCharType="begin"/>
      </w:r>
      <w:r>
        <w:rPr>
          <w:rFonts w:ascii="Times New Roman" w:hAnsi="Times New Roman" w:cs="Times New Roman"/>
          <w:spacing w:val="-4"/>
          <w:sz w:val="21"/>
          <w:szCs w:val="21"/>
        </w:rPr>
        <w:instrText xml:space="preserve"> REF _Ref430595214 \r \h </w:instrText>
      </w:r>
      <w:r>
        <w:rPr>
          <w:rFonts w:ascii="Times New Roman" w:hAnsi="Times New Roman" w:cs="Times New Roman"/>
          <w:spacing w:val="-4"/>
          <w:sz w:val="21"/>
          <w:szCs w:val="21"/>
        </w:rPr>
      </w:r>
      <w:r>
        <w:rPr>
          <w:rFonts w:ascii="Times New Roman" w:hAnsi="Times New Roman" w:cs="Times New Roman"/>
          <w:spacing w:val="-4"/>
          <w:sz w:val="21"/>
          <w:szCs w:val="21"/>
        </w:rPr>
        <w:fldChar w:fldCharType="separate"/>
      </w:r>
      <w:r>
        <w:rPr>
          <w:rFonts w:ascii="Times New Roman" w:hAnsi="Times New Roman" w:cs="Times New Roman"/>
          <w:spacing w:val="-4"/>
          <w:sz w:val="21"/>
          <w:szCs w:val="21"/>
        </w:rPr>
        <w:t>61</w:t>
      </w:r>
      <w:r>
        <w:rPr>
          <w:rFonts w:ascii="Times New Roman" w:hAnsi="Times New Roman" w:cs="Times New Roman"/>
          <w:spacing w:val="-4"/>
          <w:sz w:val="21"/>
          <w:szCs w:val="21"/>
        </w:rPr>
        <w:fldChar w:fldCharType="end"/>
      </w:r>
      <w:r w:rsidRPr="00C22FF9">
        <w:rPr>
          <w:rFonts w:ascii="Times New Roman" w:hAnsi="Times New Roman" w:cs="Times New Roman"/>
          <w:spacing w:val="-4"/>
          <w:sz w:val="21"/>
          <w:szCs w:val="21"/>
        </w:rPr>
        <w:t>].</w:t>
      </w:r>
    </w:p>
    <w:p w:rsidR="00B233DE" w:rsidRDefault="00B233DE" w:rsidP="00B233DE">
      <w:pPr>
        <w:autoSpaceDE w:val="0"/>
        <w:autoSpaceDN w:val="0"/>
        <w:adjustRightInd w:val="0"/>
        <w:ind w:firstLine="720"/>
        <w:jc w:val="both"/>
        <w:rPr>
          <w:rFonts w:ascii="Times New Roman" w:hAnsi="Times New Roman" w:cs="Times New Roman"/>
          <w:sz w:val="21"/>
          <w:szCs w:val="21"/>
        </w:rPr>
      </w:pPr>
      <w:r w:rsidRPr="00F12C67">
        <w:rPr>
          <w:rFonts w:ascii="Times New Roman" w:hAnsi="Times New Roman" w:cs="Times New Roman"/>
          <w:sz w:val="21"/>
          <w:szCs w:val="21"/>
        </w:rPr>
        <w:t>Широке впровадження інформаційних та комунікаційних технологій дозволяє країнам стрімко розвивати економіку, модернізуючи систему виробництва та освіти, соціальну сферу, тим самим підвищуючи конкурентоздатність людського потенціалу та національної економіки набагато швидше ніж раніше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_Ref430595131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21</w:t>
      </w:r>
      <w:r>
        <w:rPr>
          <w:rFonts w:ascii="Times New Roman" w:hAnsi="Times New Roman" w:cs="Times New Roman"/>
          <w:sz w:val="21"/>
          <w:szCs w:val="21"/>
        </w:rPr>
        <w:fldChar w:fldCharType="end"/>
      </w:r>
      <w:r w:rsidRPr="00F12C67">
        <w:rPr>
          <w:rFonts w:ascii="Times New Roman" w:hAnsi="Times New Roman" w:cs="Times New Roman"/>
          <w:sz w:val="21"/>
          <w:szCs w:val="21"/>
        </w:rPr>
        <w:t>, с. 86].</w:t>
      </w:r>
    </w:p>
    <w:p w:rsidR="00B233DE" w:rsidRDefault="00B233DE" w:rsidP="00B233DE">
      <w:pPr>
        <w:autoSpaceDE w:val="0"/>
        <w:autoSpaceDN w:val="0"/>
        <w:adjustRightInd w:val="0"/>
        <w:ind w:firstLine="720"/>
        <w:jc w:val="both"/>
        <w:rPr>
          <w:rFonts w:ascii="Times New Roman" w:hAnsi="Times New Roman" w:cs="Times New Roman"/>
          <w:sz w:val="21"/>
          <w:szCs w:val="21"/>
        </w:rPr>
      </w:pPr>
      <w:r w:rsidRPr="00F12C67">
        <w:rPr>
          <w:rFonts w:ascii="Times New Roman" w:hAnsi="Times New Roman" w:cs="Times New Roman"/>
          <w:sz w:val="21"/>
          <w:szCs w:val="21"/>
        </w:rPr>
        <w:t>При цьому, перехід до інформаційного етапу розвитку залежить від можливостей засвоєння і обробки інформації в масштабах цілого суспільства, що вимагає відповідного рівня освіти всього населення. Виходячи з таких позицій, базовими напрямами стимулювання розвитку інформаційного суспільства в Україні можна визначити широке впровадження інформаційно-комунікаційних технологій в освіту, культуру, охорону здоров'я, охорону навколишнього середовища; забезпечення пріоритетності науково-технічного та інноваційного розвитку держави та формування для цього необхідних законодавчих і сприятливих економічних умов.</w:t>
      </w:r>
    </w:p>
    <w:p w:rsidR="00B233DE" w:rsidRPr="00C22FF9" w:rsidRDefault="00B233DE" w:rsidP="00B233DE">
      <w:pPr>
        <w:autoSpaceDE w:val="0"/>
        <w:autoSpaceDN w:val="0"/>
        <w:adjustRightInd w:val="0"/>
        <w:ind w:firstLine="720"/>
        <w:jc w:val="both"/>
        <w:rPr>
          <w:rFonts w:ascii="Times New Roman" w:hAnsi="Times New Roman" w:cs="Times New Roman"/>
          <w:spacing w:val="-4"/>
          <w:sz w:val="21"/>
          <w:szCs w:val="21"/>
        </w:rPr>
      </w:pPr>
      <w:r w:rsidRPr="00F12C67">
        <w:rPr>
          <w:rFonts w:ascii="Times New Roman" w:hAnsi="Times New Roman" w:cs="Times New Roman"/>
          <w:color w:val="231F20"/>
          <w:sz w:val="21"/>
          <w:szCs w:val="21"/>
        </w:rPr>
        <w:t>Виходячи з позицій В. Сизоненко [</w:t>
      </w:r>
      <w:r>
        <w:rPr>
          <w:rFonts w:ascii="Times New Roman" w:hAnsi="Times New Roman" w:cs="Times New Roman"/>
          <w:color w:val="231F20"/>
          <w:sz w:val="21"/>
          <w:szCs w:val="21"/>
        </w:rPr>
        <w:fldChar w:fldCharType="begin"/>
      </w:r>
      <w:r>
        <w:rPr>
          <w:rFonts w:ascii="Times New Roman" w:hAnsi="Times New Roman" w:cs="Times New Roman"/>
          <w:color w:val="231F20"/>
          <w:sz w:val="21"/>
          <w:szCs w:val="21"/>
        </w:rPr>
        <w:instrText xml:space="preserve"> REF _Ref430595281 \r \h </w:instrText>
      </w:r>
      <w:r>
        <w:rPr>
          <w:rFonts w:ascii="Times New Roman" w:hAnsi="Times New Roman" w:cs="Times New Roman"/>
          <w:color w:val="231F20"/>
          <w:sz w:val="21"/>
          <w:szCs w:val="21"/>
        </w:rPr>
      </w:r>
      <w:r>
        <w:rPr>
          <w:rFonts w:ascii="Times New Roman" w:hAnsi="Times New Roman" w:cs="Times New Roman"/>
          <w:color w:val="231F20"/>
          <w:sz w:val="21"/>
          <w:szCs w:val="21"/>
        </w:rPr>
        <w:fldChar w:fldCharType="separate"/>
      </w:r>
      <w:r>
        <w:rPr>
          <w:rFonts w:ascii="Times New Roman" w:hAnsi="Times New Roman" w:cs="Times New Roman"/>
          <w:color w:val="231F20"/>
          <w:sz w:val="21"/>
          <w:szCs w:val="21"/>
        </w:rPr>
        <w:t>54</w:t>
      </w:r>
      <w:r>
        <w:rPr>
          <w:rFonts w:ascii="Times New Roman" w:hAnsi="Times New Roman" w:cs="Times New Roman"/>
          <w:color w:val="231F20"/>
          <w:sz w:val="21"/>
          <w:szCs w:val="21"/>
        </w:rPr>
        <w:fldChar w:fldCharType="end"/>
      </w:r>
      <w:r w:rsidRPr="00F12C67">
        <w:rPr>
          <w:rFonts w:ascii="Times New Roman" w:hAnsi="Times New Roman" w:cs="Times New Roman"/>
          <w:color w:val="231F20"/>
          <w:sz w:val="21"/>
          <w:szCs w:val="21"/>
        </w:rPr>
        <w:t>, с. 132], помилковість підходів до усвідомлення інноваційного прогресу в Україні полягає у розгляді переходу до інноваційної моделі розвитку як результату загальних ринкових перетворень, які автоматично сприяють становленню високотехнологічного виробництва, стимулюють попит на інновації.</w:t>
      </w:r>
    </w:p>
    <w:p w:rsidR="00B233DE" w:rsidRPr="004806E9" w:rsidRDefault="00B233DE" w:rsidP="00B233DE">
      <w:pPr>
        <w:ind w:firstLine="709"/>
        <w:jc w:val="right"/>
        <w:rPr>
          <w:rFonts w:ascii="Times New Roman" w:hAnsi="Times New Roman" w:cs="Times New Roman"/>
          <w:sz w:val="21"/>
          <w:szCs w:val="21"/>
        </w:rPr>
      </w:pPr>
      <w:r w:rsidRPr="004806E9">
        <w:rPr>
          <w:rFonts w:ascii="Times New Roman" w:hAnsi="Times New Roman" w:cs="Times New Roman"/>
          <w:sz w:val="21"/>
          <w:szCs w:val="21"/>
        </w:rPr>
        <w:lastRenderedPageBreak/>
        <w:t>Таблиця 1.9</w:t>
      </w:r>
    </w:p>
    <w:p w:rsidR="00B233DE" w:rsidRDefault="00B233DE" w:rsidP="00B233DE">
      <w:pPr>
        <w:ind w:firstLine="709"/>
        <w:jc w:val="center"/>
        <w:rPr>
          <w:rFonts w:ascii="Times New Roman" w:hAnsi="Times New Roman" w:cs="Times New Roman"/>
          <w:b/>
          <w:sz w:val="21"/>
          <w:szCs w:val="21"/>
        </w:rPr>
      </w:pPr>
      <w:r w:rsidRPr="004806E9">
        <w:rPr>
          <w:rFonts w:ascii="Times New Roman" w:hAnsi="Times New Roman" w:cs="Times New Roman"/>
          <w:b/>
          <w:sz w:val="21"/>
          <w:szCs w:val="21"/>
        </w:rPr>
        <w:t xml:space="preserve">Перешкоди для розвитку інформаційного суспільства </w:t>
      </w:r>
    </w:p>
    <w:p w:rsidR="00B233DE" w:rsidRPr="004806E9" w:rsidRDefault="00B233DE" w:rsidP="00B233DE">
      <w:pPr>
        <w:ind w:firstLine="709"/>
        <w:jc w:val="center"/>
        <w:rPr>
          <w:rFonts w:ascii="Times New Roman" w:hAnsi="Times New Roman" w:cs="Times New Roman"/>
          <w:b/>
          <w:sz w:val="21"/>
          <w:szCs w:val="21"/>
        </w:rPr>
      </w:pPr>
      <w:r w:rsidRPr="004806E9">
        <w:rPr>
          <w:rFonts w:ascii="Times New Roman" w:hAnsi="Times New Roman" w:cs="Times New Roman"/>
          <w:b/>
          <w:sz w:val="21"/>
          <w:szCs w:val="21"/>
        </w:rPr>
        <w:t>в Україні*</w:t>
      </w:r>
    </w:p>
    <w:tbl>
      <w:tblPr>
        <w:tblW w:w="6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5103"/>
      </w:tblGrid>
      <w:tr w:rsidR="00B233DE" w:rsidRPr="008958A1" w:rsidTr="0023489B">
        <w:tc>
          <w:tcPr>
            <w:tcW w:w="1101" w:type="dxa"/>
            <w:shd w:val="clear" w:color="auto" w:fill="auto"/>
          </w:tcPr>
          <w:p w:rsidR="00B233DE" w:rsidRPr="008958A1" w:rsidRDefault="00B233DE" w:rsidP="0023489B">
            <w:pPr>
              <w:autoSpaceDE w:val="0"/>
              <w:autoSpaceDN w:val="0"/>
              <w:adjustRightInd w:val="0"/>
              <w:ind w:left="-142" w:right="-108" w:firstLine="0"/>
              <w:jc w:val="center"/>
              <w:rPr>
                <w:rFonts w:ascii="Times New Roman" w:eastAsia="SimSun" w:hAnsi="Times New Roman" w:cs="Times New Roman"/>
                <w:sz w:val="16"/>
                <w:szCs w:val="16"/>
              </w:rPr>
            </w:pPr>
            <w:r w:rsidRPr="008958A1">
              <w:rPr>
                <w:rFonts w:ascii="Times New Roman" w:eastAsia="SimSun" w:hAnsi="Times New Roman" w:cs="Times New Roman"/>
                <w:sz w:val="16"/>
                <w:szCs w:val="16"/>
              </w:rPr>
              <w:t xml:space="preserve">Рівень розвитку </w:t>
            </w:r>
            <w:r>
              <w:rPr>
                <w:rFonts w:ascii="Times New Roman" w:eastAsia="SimSun" w:hAnsi="Times New Roman" w:cs="Times New Roman"/>
                <w:sz w:val="16"/>
                <w:szCs w:val="16"/>
              </w:rPr>
              <w:t xml:space="preserve">інформаційного </w:t>
            </w:r>
            <w:r w:rsidRPr="008958A1">
              <w:rPr>
                <w:rFonts w:ascii="Times New Roman" w:eastAsia="SimSun" w:hAnsi="Times New Roman" w:cs="Times New Roman"/>
                <w:sz w:val="16"/>
                <w:szCs w:val="16"/>
              </w:rPr>
              <w:t>суспільства</w:t>
            </w:r>
          </w:p>
        </w:tc>
        <w:tc>
          <w:tcPr>
            <w:tcW w:w="5103" w:type="dxa"/>
            <w:shd w:val="clear" w:color="auto" w:fill="auto"/>
          </w:tcPr>
          <w:p w:rsidR="00B233DE" w:rsidRPr="008958A1" w:rsidRDefault="00B233DE" w:rsidP="0023489B">
            <w:pPr>
              <w:autoSpaceDE w:val="0"/>
              <w:autoSpaceDN w:val="0"/>
              <w:adjustRightInd w:val="0"/>
              <w:ind w:left="-142" w:right="-108" w:firstLine="0"/>
              <w:jc w:val="center"/>
              <w:rPr>
                <w:rFonts w:ascii="Times New Roman" w:eastAsia="SimSun" w:hAnsi="Times New Roman" w:cs="Times New Roman"/>
                <w:sz w:val="16"/>
                <w:szCs w:val="16"/>
              </w:rPr>
            </w:pPr>
            <w:r w:rsidRPr="008958A1">
              <w:rPr>
                <w:rFonts w:ascii="Times New Roman" w:eastAsia="SimSun" w:hAnsi="Times New Roman" w:cs="Times New Roman"/>
                <w:sz w:val="16"/>
                <w:szCs w:val="16"/>
              </w:rPr>
              <w:t>Перешкоди</w:t>
            </w:r>
          </w:p>
        </w:tc>
      </w:tr>
      <w:tr w:rsidR="00B233DE" w:rsidRPr="008958A1" w:rsidTr="0023489B">
        <w:tc>
          <w:tcPr>
            <w:tcW w:w="1101" w:type="dxa"/>
            <w:shd w:val="clear" w:color="auto" w:fill="auto"/>
            <w:vAlign w:val="center"/>
          </w:tcPr>
          <w:p w:rsidR="00B233DE" w:rsidRPr="008958A1" w:rsidRDefault="00B233DE" w:rsidP="0023489B">
            <w:pPr>
              <w:autoSpaceDE w:val="0"/>
              <w:autoSpaceDN w:val="0"/>
              <w:adjustRightInd w:val="0"/>
              <w:spacing w:before="120" w:after="120"/>
              <w:ind w:left="-142" w:right="-108" w:firstLine="0"/>
              <w:jc w:val="center"/>
              <w:rPr>
                <w:rFonts w:ascii="Times New Roman" w:eastAsia="SimSun" w:hAnsi="Times New Roman" w:cs="Times New Roman"/>
                <w:sz w:val="16"/>
                <w:szCs w:val="16"/>
              </w:rPr>
            </w:pPr>
            <w:r w:rsidRPr="008958A1">
              <w:rPr>
                <w:rFonts w:ascii="Times New Roman" w:eastAsia="SimSun" w:hAnsi="Times New Roman" w:cs="Times New Roman"/>
                <w:sz w:val="16"/>
                <w:szCs w:val="16"/>
              </w:rPr>
              <w:t>Загально</w:t>
            </w:r>
            <w:r>
              <w:rPr>
                <w:rFonts w:ascii="Times New Roman" w:eastAsia="SimSun" w:hAnsi="Times New Roman" w:cs="Times New Roman"/>
                <w:sz w:val="16"/>
                <w:szCs w:val="16"/>
              </w:rPr>
              <w:t>-</w:t>
            </w:r>
            <w:r w:rsidRPr="008958A1">
              <w:rPr>
                <w:rFonts w:ascii="Times New Roman" w:eastAsia="SimSun" w:hAnsi="Times New Roman" w:cs="Times New Roman"/>
                <w:sz w:val="16"/>
                <w:szCs w:val="16"/>
              </w:rPr>
              <w:t>державна політика</w:t>
            </w:r>
          </w:p>
        </w:tc>
        <w:tc>
          <w:tcPr>
            <w:tcW w:w="5103" w:type="dxa"/>
            <w:shd w:val="clear" w:color="auto" w:fill="auto"/>
          </w:tcPr>
          <w:p w:rsidR="00B233DE" w:rsidRPr="008958A1" w:rsidRDefault="00B233DE" w:rsidP="0023489B">
            <w:pPr>
              <w:tabs>
                <w:tab w:val="left" w:pos="182"/>
              </w:tabs>
              <w:ind w:left="-108" w:right="-108" w:firstLine="0"/>
              <w:jc w:val="both"/>
              <w:rPr>
                <w:rFonts w:ascii="Times New Roman" w:eastAsia="SimSun" w:hAnsi="Times New Roman" w:cs="Times New Roman"/>
                <w:sz w:val="16"/>
                <w:szCs w:val="16"/>
              </w:rPr>
            </w:pPr>
            <w:r w:rsidRPr="008958A1">
              <w:rPr>
                <w:rFonts w:ascii="Times New Roman" w:eastAsia="SimSun" w:hAnsi="Times New Roman" w:cs="Times New Roman"/>
                <w:sz w:val="16"/>
                <w:szCs w:val="16"/>
              </w:rPr>
              <w:t xml:space="preserve">1. Нормативно-правова база інформаційної сфери не в повному обсязі забезпечує її розвиток, уповільнено впроваджуються відповідні європейські правові норми та інформаційні стандарти </w:t>
            </w:r>
          </w:p>
          <w:p w:rsidR="00B233DE" w:rsidRPr="00BE73AC" w:rsidRDefault="00B233DE" w:rsidP="0023489B">
            <w:pPr>
              <w:tabs>
                <w:tab w:val="left" w:pos="182"/>
              </w:tabs>
              <w:ind w:left="-108" w:right="-108" w:firstLine="0"/>
              <w:jc w:val="both"/>
              <w:rPr>
                <w:rFonts w:ascii="Times New Roman" w:eastAsia="SimSun" w:hAnsi="Times New Roman" w:cs="Times New Roman"/>
                <w:sz w:val="16"/>
                <w:szCs w:val="16"/>
              </w:rPr>
            </w:pPr>
            <w:r w:rsidRPr="00BE73AC">
              <w:rPr>
                <w:rFonts w:ascii="Times New Roman" w:eastAsia="SimSun" w:hAnsi="Times New Roman" w:cs="Times New Roman"/>
                <w:spacing w:val="-8"/>
                <w:sz w:val="16"/>
                <w:szCs w:val="16"/>
              </w:rPr>
              <w:t>2. Не координовано відбувається запровадження інструментів електронної демо</w:t>
            </w:r>
            <w:r>
              <w:rPr>
                <w:rFonts w:ascii="Times New Roman" w:eastAsia="SimSun" w:hAnsi="Times New Roman" w:cs="Times New Roman"/>
                <w:spacing w:val="-8"/>
                <w:sz w:val="16"/>
                <w:szCs w:val="16"/>
              </w:rPr>
              <w:t>-</w:t>
            </w:r>
            <w:r w:rsidRPr="00BE73AC">
              <w:rPr>
                <w:rFonts w:ascii="Times New Roman" w:eastAsia="SimSun" w:hAnsi="Times New Roman" w:cs="Times New Roman"/>
                <w:sz w:val="16"/>
                <w:szCs w:val="16"/>
              </w:rPr>
              <w:t>кратії, електронного правосуддя, парламентаризму та представництва</w:t>
            </w:r>
          </w:p>
          <w:p w:rsidR="00B233DE" w:rsidRPr="008958A1" w:rsidRDefault="00B233DE" w:rsidP="0023489B">
            <w:pPr>
              <w:tabs>
                <w:tab w:val="left" w:pos="182"/>
              </w:tabs>
              <w:ind w:left="-108" w:right="-108" w:firstLine="0"/>
              <w:jc w:val="both"/>
              <w:rPr>
                <w:rFonts w:ascii="Times New Roman" w:eastAsia="SimSun" w:hAnsi="Times New Roman" w:cs="Times New Roman"/>
                <w:sz w:val="16"/>
                <w:szCs w:val="16"/>
              </w:rPr>
            </w:pPr>
            <w:r w:rsidRPr="00BE73AC">
              <w:rPr>
                <w:rFonts w:ascii="Times New Roman" w:eastAsia="SimSun" w:hAnsi="Times New Roman" w:cs="Times New Roman"/>
                <w:spacing w:val="-8"/>
                <w:sz w:val="16"/>
                <w:szCs w:val="16"/>
              </w:rPr>
              <w:t>3. Відсутні системні державні рішення, спрямовані на створення національних</w:t>
            </w:r>
            <w:r w:rsidRPr="008958A1">
              <w:rPr>
                <w:rFonts w:ascii="Times New Roman" w:eastAsia="SimSun" w:hAnsi="Times New Roman" w:cs="Times New Roman"/>
                <w:spacing w:val="-4"/>
                <w:sz w:val="16"/>
                <w:szCs w:val="16"/>
              </w:rPr>
              <w:t xml:space="preserve"> </w:t>
            </w:r>
            <w:r w:rsidRPr="00BE73AC">
              <w:rPr>
                <w:rFonts w:ascii="Times New Roman" w:eastAsia="SimSun" w:hAnsi="Times New Roman" w:cs="Times New Roman"/>
                <w:spacing w:val="-8"/>
                <w:sz w:val="16"/>
                <w:szCs w:val="16"/>
              </w:rPr>
              <w:t>інноваційних структур (центрів, наукових парків і технопарків) з розробки кон-</w:t>
            </w:r>
            <w:r w:rsidRPr="008958A1">
              <w:rPr>
                <w:rFonts w:ascii="Times New Roman" w:eastAsia="SimSun" w:hAnsi="Times New Roman" w:cs="Times New Roman"/>
                <w:sz w:val="16"/>
                <w:szCs w:val="16"/>
              </w:rPr>
              <w:t>курентоспроможних вітчизняних інформаційно-комп’ютерних технологій</w:t>
            </w:r>
          </w:p>
          <w:p w:rsidR="00B233DE" w:rsidRPr="008958A1" w:rsidRDefault="00B233DE" w:rsidP="0023489B">
            <w:pPr>
              <w:tabs>
                <w:tab w:val="left" w:pos="182"/>
              </w:tabs>
              <w:ind w:left="-108" w:right="-108" w:firstLine="0"/>
              <w:jc w:val="both"/>
              <w:rPr>
                <w:rFonts w:ascii="Times New Roman" w:eastAsia="SimSun" w:hAnsi="Times New Roman" w:cs="Times New Roman"/>
                <w:sz w:val="16"/>
                <w:szCs w:val="16"/>
              </w:rPr>
            </w:pPr>
            <w:r w:rsidRPr="008958A1">
              <w:rPr>
                <w:rFonts w:ascii="Times New Roman" w:eastAsia="SimSun" w:hAnsi="Times New Roman" w:cs="Times New Roman"/>
                <w:sz w:val="16"/>
                <w:szCs w:val="16"/>
              </w:rPr>
              <w:t>4. Недосконалий інституціональний механізм формування, координації та контролю за виконанням завдань розбудови інформаційного суспільства;</w:t>
            </w:r>
          </w:p>
          <w:p w:rsidR="00B233DE" w:rsidRPr="008958A1" w:rsidRDefault="00B233DE" w:rsidP="0023489B">
            <w:pPr>
              <w:tabs>
                <w:tab w:val="left" w:pos="182"/>
              </w:tabs>
              <w:ind w:left="-108" w:right="-108" w:firstLine="0"/>
              <w:jc w:val="both"/>
              <w:rPr>
                <w:rFonts w:ascii="Times New Roman" w:eastAsia="SimSun" w:hAnsi="Times New Roman" w:cs="Times New Roman"/>
                <w:sz w:val="16"/>
                <w:szCs w:val="16"/>
              </w:rPr>
            </w:pPr>
            <w:r w:rsidRPr="00BE73AC">
              <w:rPr>
                <w:rFonts w:ascii="Times New Roman" w:eastAsia="SimSun" w:hAnsi="Times New Roman" w:cs="Times New Roman"/>
                <w:spacing w:val="-6"/>
                <w:sz w:val="16"/>
                <w:szCs w:val="16"/>
              </w:rPr>
              <w:t>5. Рівень інформаційної представленості України в Інтернет-просторі та при-</w:t>
            </w:r>
            <w:r w:rsidRPr="008958A1">
              <w:rPr>
                <w:rFonts w:ascii="Times New Roman" w:eastAsia="SimSun" w:hAnsi="Times New Roman" w:cs="Times New Roman"/>
                <w:sz w:val="16"/>
                <w:szCs w:val="16"/>
              </w:rPr>
              <w:t>сутності україномовних інформаційних ресурсів залишається низьким.</w:t>
            </w:r>
          </w:p>
        </w:tc>
      </w:tr>
      <w:tr w:rsidR="00B233DE" w:rsidRPr="008958A1" w:rsidTr="0023489B">
        <w:tc>
          <w:tcPr>
            <w:tcW w:w="1101" w:type="dxa"/>
            <w:shd w:val="clear" w:color="auto" w:fill="auto"/>
            <w:vAlign w:val="center"/>
          </w:tcPr>
          <w:p w:rsidR="00B233DE" w:rsidRPr="008958A1" w:rsidRDefault="00B233DE" w:rsidP="0023489B">
            <w:pPr>
              <w:autoSpaceDE w:val="0"/>
              <w:autoSpaceDN w:val="0"/>
              <w:adjustRightInd w:val="0"/>
              <w:spacing w:before="120" w:after="120"/>
              <w:ind w:left="-142" w:right="-108" w:firstLine="0"/>
              <w:jc w:val="center"/>
              <w:rPr>
                <w:rFonts w:ascii="Times New Roman" w:eastAsia="SimSun" w:hAnsi="Times New Roman" w:cs="Times New Roman"/>
                <w:sz w:val="16"/>
                <w:szCs w:val="16"/>
              </w:rPr>
            </w:pPr>
            <w:r w:rsidRPr="008958A1">
              <w:rPr>
                <w:rFonts w:ascii="Times New Roman" w:eastAsia="SimSun" w:hAnsi="Times New Roman" w:cs="Times New Roman"/>
                <w:sz w:val="16"/>
                <w:szCs w:val="16"/>
              </w:rPr>
              <w:t>Впровадження електронного уряду</w:t>
            </w:r>
          </w:p>
        </w:tc>
        <w:tc>
          <w:tcPr>
            <w:tcW w:w="5103" w:type="dxa"/>
            <w:shd w:val="clear" w:color="auto" w:fill="auto"/>
          </w:tcPr>
          <w:p w:rsidR="00B233DE" w:rsidRPr="008958A1" w:rsidRDefault="00B233DE" w:rsidP="0023489B">
            <w:pPr>
              <w:numPr>
                <w:ilvl w:val="0"/>
                <w:numId w:val="2"/>
              </w:numPr>
              <w:tabs>
                <w:tab w:val="left" w:pos="182"/>
              </w:tabs>
              <w:ind w:left="-108" w:right="-108" w:firstLine="0"/>
              <w:jc w:val="both"/>
              <w:rPr>
                <w:rFonts w:ascii="Times New Roman" w:eastAsia="SimSun" w:hAnsi="Times New Roman" w:cs="Times New Roman"/>
                <w:sz w:val="16"/>
                <w:szCs w:val="16"/>
              </w:rPr>
            </w:pPr>
            <w:r w:rsidRPr="008958A1">
              <w:rPr>
                <w:rFonts w:ascii="Times New Roman" w:eastAsia="SimSun" w:hAnsi="Times New Roman" w:cs="Times New Roman"/>
                <w:sz w:val="16"/>
                <w:szCs w:val="16"/>
              </w:rPr>
              <w:t>Результати розробки і впровадження інформаційно-комп’ю</w:t>
            </w:r>
            <w:r w:rsidRPr="00BE73AC">
              <w:rPr>
                <w:rFonts w:ascii="Times New Roman" w:eastAsia="SimSun" w:hAnsi="Times New Roman" w:cs="Times New Roman"/>
                <w:spacing w:val="-4"/>
                <w:sz w:val="16"/>
                <w:szCs w:val="16"/>
              </w:rPr>
              <w:t>терних технологій, що проводяться на замовлення органів державної</w:t>
            </w:r>
            <w:r w:rsidRPr="008958A1">
              <w:rPr>
                <w:rFonts w:ascii="Times New Roman" w:eastAsia="SimSun" w:hAnsi="Times New Roman" w:cs="Times New Roman"/>
                <w:sz w:val="16"/>
                <w:szCs w:val="16"/>
              </w:rPr>
              <w:t xml:space="preserve"> влади, часто носить переважно локальний, відомчий характер;</w:t>
            </w:r>
          </w:p>
          <w:p w:rsidR="00B233DE" w:rsidRPr="008958A1" w:rsidRDefault="00B233DE" w:rsidP="0023489B">
            <w:pPr>
              <w:numPr>
                <w:ilvl w:val="0"/>
                <w:numId w:val="2"/>
              </w:numPr>
              <w:tabs>
                <w:tab w:val="left" w:pos="182"/>
              </w:tabs>
              <w:ind w:left="-108" w:right="-108" w:firstLine="0"/>
              <w:jc w:val="both"/>
              <w:rPr>
                <w:rFonts w:ascii="Times New Roman" w:eastAsia="SimSun" w:hAnsi="Times New Roman" w:cs="Times New Roman"/>
                <w:sz w:val="16"/>
                <w:szCs w:val="16"/>
              </w:rPr>
            </w:pPr>
            <w:r w:rsidRPr="008958A1">
              <w:rPr>
                <w:rFonts w:ascii="Times New Roman" w:eastAsia="SimSun" w:hAnsi="Times New Roman" w:cs="Times New Roman"/>
                <w:sz w:val="16"/>
                <w:szCs w:val="16"/>
              </w:rPr>
              <w:t xml:space="preserve">Недостатніми темпами розвиваються інфраструктура доступу населення до веб-сайтів органів державної влади та інші засоби інформаційно-довідкової підтримки і обслуговування населення. </w:t>
            </w:r>
            <w:r w:rsidRPr="008958A1">
              <w:rPr>
                <w:rFonts w:ascii="Times New Roman" w:eastAsia="SimSun" w:hAnsi="Times New Roman" w:cs="Times New Roman"/>
                <w:spacing w:val="-6"/>
                <w:sz w:val="16"/>
                <w:szCs w:val="16"/>
              </w:rPr>
              <w:t>Отримання громадянами та організаціями державних послуг, а також</w:t>
            </w:r>
            <w:r>
              <w:rPr>
                <w:rFonts w:ascii="Times New Roman" w:eastAsia="SimSun" w:hAnsi="Times New Roman" w:cs="Times New Roman"/>
                <w:sz w:val="16"/>
                <w:szCs w:val="16"/>
              </w:rPr>
              <w:t xml:space="preserve"> інформації, пов’</w:t>
            </w:r>
            <w:r w:rsidRPr="008958A1">
              <w:rPr>
                <w:rFonts w:ascii="Times New Roman" w:eastAsia="SimSun" w:hAnsi="Times New Roman" w:cs="Times New Roman"/>
                <w:sz w:val="16"/>
                <w:szCs w:val="16"/>
              </w:rPr>
              <w:t>язаної з діяльністю органів державної влади, в більшості випадків вимагає їх особистого звернення до цих органів, а також надання запитів і документів на паперовому носії, що призводить до значних витрат часу і створює значні незручності для населення;</w:t>
            </w:r>
          </w:p>
          <w:p w:rsidR="00B233DE" w:rsidRPr="008958A1" w:rsidRDefault="00B233DE" w:rsidP="0023489B">
            <w:pPr>
              <w:tabs>
                <w:tab w:val="left" w:pos="182"/>
              </w:tabs>
              <w:ind w:left="-108" w:right="-108" w:firstLine="0"/>
              <w:jc w:val="both"/>
              <w:rPr>
                <w:rFonts w:ascii="Times New Roman" w:eastAsia="SimSun" w:hAnsi="Times New Roman" w:cs="Times New Roman"/>
                <w:sz w:val="16"/>
                <w:szCs w:val="16"/>
              </w:rPr>
            </w:pPr>
            <w:r w:rsidRPr="008958A1">
              <w:rPr>
                <w:rFonts w:ascii="Times New Roman" w:eastAsia="SimSun" w:hAnsi="Times New Roman" w:cs="Times New Roman"/>
                <w:sz w:val="16"/>
                <w:szCs w:val="16"/>
              </w:rPr>
              <w:t xml:space="preserve">3. </w:t>
            </w:r>
            <w:r>
              <w:rPr>
                <w:rFonts w:ascii="Times New Roman" w:eastAsia="SimSun" w:hAnsi="Times New Roman" w:cs="Times New Roman"/>
                <w:sz w:val="16"/>
                <w:szCs w:val="16"/>
              </w:rPr>
              <w:t>Залишається низьким рівень комп’</w:t>
            </w:r>
            <w:r w:rsidRPr="008958A1">
              <w:rPr>
                <w:rFonts w:ascii="Times New Roman" w:eastAsia="SimSun" w:hAnsi="Times New Roman" w:cs="Times New Roman"/>
                <w:sz w:val="16"/>
                <w:szCs w:val="16"/>
              </w:rPr>
              <w:t>ютерної грамотності державних службовців, що актуалізує питання організації безперервного навчання державних службовців та оцінки навичок використання інформаційно-комп’ютерних технологій.</w:t>
            </w:r>
          </w:p>
        </w:tc>
      </w:tr>
      <w:tr w:rsidR="00B233DE" w:rsidRPr="008958A1" w:rsidTr="0023489B">
        <w:tc>
          <w:tcPr>
            <w:tcW w:w="1101" w:type="dxa"/>
            <w:shd w:val="clear" w:color="auto" w:fill="auto"/>
            <w:vAlign w:val="center"/>
          </w:tcPr>
          <w:p w:rsidR="00B233DE" w:rsidRPr="008958A1" w:rsidRDefault="00B233DE" w:rsidP="0023489B">
            <w:pPr>
              <w:autoSpaceDE w:val="0"/>
              <w:autoSpaceDN w:val="0"/>
              <w:adjustRightInd w:val="0"/>
              <w:spacing w:before="120" w:after="120"/>
              <w:ind w:left="-142" w:right="-108" w:firstLine="0"/>
              <w:jc w:val="center"/>
              <w:rPr>
                <w:rFonts w:ascii="Times New Roman" w:eastAsia="SimSun" w:hAnsi="Times New Roman" w:cs="Times New Roman"/>
                <w:sz w:val="16"/>
                <w:szCs w:val="16"/>
              </w:rPr>
            </w:pPr>
            <w:r w:rsidRPr="008958A1">
              <w:rPr>
                <w:rFonts w:ascii="Times New Roman" w:eastAsia="SimSun" w:hAnsi="Times New Roman" w:cs="Times New Roman"/>
                <w:sz w:val="16"/>
                <w:szCs w:val="16"/>
              </w:rPr>
              <w:t>Використання інформаційно-комунікаційних технологій (ІКТ)</w:t>
            </w:r>
          </w:p>
        </w:tc>
        <w:tc>
          <w:tcPr>
            <w:tcW w:w="5103" w:type="dxa"/>
            <w:shd w:val="clear" w:color="auto" w:fill="auto"/>
          </w:tcPr>
          <w:p w:rsidR="00B233DE" w:rsidRPr="008958A1" w:rsidRDefault="00B233DE" w:rsidP="0023489B">
            <w:pPr>
              <w:numPr>
                <w:ilvl w:val="0"/>
                <w:numId w:val="3"/>
              </w:numPr>
              <w:tabs>
                <w:tab w:val="left" w:pos="182"/>
              </w:tabs>
              <w:ind w:left="-108" w:right="-108" w:firstLine="0"/>
              <w:jc w:val="both"/>
              <w:rPr>
                <w:rFonts w:ascii="Times New Roman" w:eastAsia="SimSun" w:hAnsi="Times New Roman" w:cs="Times New Roman"/>
                <w:sz w:val="16"/>
                <w:szCs w:val="16"/>
              </w:rPr>
            </w:pPr>
            <w:r w:rsidRPr="008958A1">
              <w:rPr>
                <w:rFonts w:ascii="Times New Roman" w:eastAsia="SimSun" w:hAnsi="Times New Roman" w:cs="Times New Roman"/>
                <w:sz w:val="16"/>
                <w:szCs w:val="16"/>
              </w:rPr>
              <w:t>Зберігається високий «цифровий розрив» у використанні ІКТ регіонами, різними верствами суспільства.</w:t>
            </w:r>
          </w:p>
          <w:p w:rsidR="00B233DE" w:rsidRPr="008958A1" w:rsidRDefault="00B233DE" w:rsidP="0023489B">
            <w:pPr>
              <w:numPr>
                <w:ilvl w:val="0"/>
                <w:numId w:val="3"/>
              </w:numPr>
              <w:tabs>
                <w:tab w:val="left" w:pos="182"/>
              </w:tabs>
              <w:ind w:left="-108" w:right="-108" w:firstLine="0"/>
              <w:jc w:val="both"/>
              <w:rPr>
                <w:rFonts w:ascii="Times New Roman" w:eastAsia="SimSun" w:hAnsi="Times New Roman" w:cs="Times New Roman"/>
                <w:sz w:val="16"/>
                <w:szCs w:val="16"/>
              </w:rPr>
            </w:pPr>
            <w:r w:rsidRPr="008958A1">
              <w:rPr>
                <w:rFonts w:ascii="Times New Roman" w:eastAsia="SimSun" w:hAnsi="Times New Roman" w:cs="Times New Roman"/>
                <w:sz w:val="16"/>
                <w:szCs w:val="16"/>
              </w:rPr>
              <w:t xml:space="preserve">Недостатньо розвинена базова інфраструктура інформаційного суспільства, зокрема, високим є рівень відмінності регіонів у використанні ІКТ в домашніх господарствах; існують значні відмінності між органами державної влади щодо використання ІКТ у своїй діяльності; </w:t>
            </w:r>
            <w:r w:rsidRPr="007A5D7C">
              <w:rPr>
                <w:rFonts w:ascii="Times New Roman" w:eastAsia="SimSun" w:hAnsi="Times New Roman" w:cs="Times New Roman"/>
                <w:spacing w:val="-8"/>
                <w:sz w:val="16"/>
                <w:szCs w:val="16"/>
              </w:rPr>
              <w:t>зберігаються проблеми організації широкосмугового доступу для кінцевих</w:t>
            </w:r>
            <w:r w:rsidRPr="008958A1">
              <w:rPr>
                <w:rFonts w:ascii="Times New Roman" w:eastAsia="SimSun" w:hAnsi="Times New Roman" w:cs="Times New Roman"/>
                <w:sz w:val="16"/>
                <w:szCs w:val="16"/>
              </w:rPr>
              <w:t xml:space="preserve"> користувачів і низькі показники якості доступу до мережі Інтернет.</w:t>
            </w:r>
          </w:p>
        </w:tc>
      </w:tr>
      <w:tr w:rsidR="00B233DE" w:rsidRPr="008958A1" w:rsidTr="0023489B">
        <w:tc>
          <w:tcPr>
            <w:tcW w:w="1101" w:type="dxa"/>
            <w:shd w:val="clear" w:color="auto" w:fill="auto"/>
            <w:vAlign w:val="center"/>
          </w:tcPr>
          <w:p w:rsidR="00B233DE" w:rsidRPr="008958A1" w:rsidRDefault="00B233DE" w:rsidP="0023489B">
            <w:pPr>
              <w:autoSpaceDE w:val="0"/>
              <w:autoSpaceDN w:val="0"/>
              <w:adjustRightInd w:val="0"/>
              <w:spacing w:before="120" w:after="120"/>
              <w:ind w:left="-142" w:right="-108" w:firstLine="0"/>
              <w:jc w:val="center"/>
              <w:rPr>
                <w:rFonts w:ascii="Times New Roman" w:eastAsia="SimSun" w:hAnsi="Times New Roman" w:cs="Times New Roman"/>
                <w:sz w:val="16"/>
                <w:szCs w:val="16"/>
              </w:rPr>
            </w:pPr>
            <w:r w:rsidRPr="008958A1">
              <w:rPr>
                <w:rFonts w:ascii="Times New Roman" w:eastAsia="SimSun" w:hAnsi="Times New Roman" w:cs="Times New Roman"/>
                <w:sz w:val="16"/>
                <w:szCs w:val="16"/>
              </w:rPr>
              <w:t>Інформаційна безпека</w:t>
            </w:r>
          </w:p>
        </w:tc>
        <w:tc>
          <w:tcPr>
            <w:tcW w:w="5103" w:type="dxa"/>
            <w:shd w:val="clear" w:color="auto" w:fill="auto"/>
          </w:tcPr>
          <w:p w:rsidR="00B233DE" w:rsidRPr="008958A1" w:rsidRDefault="00B233DE" w:rsidP="0023489B">
            <w:pPr>
              <w:tabs>
                <w:tab w:val="left" w:pos="182"/>
              </w:tabs>
              <w:ind w:left="-108" w:right="-108" w:firstLine="0"/>
              <w:jc w:val="both"/>
              <w:rPr>
                <w:rFonts w:ascii="Times New Roman" w:eastAsia="SimSun" w:hAnsi="Times New Roman" w:cs="Times New Roman"/>
                <w:sz w:val="16"/>
                <w:szCs w:val="16"/>
              </w:rPr>
            </w:pPr>
            <w:r w:rsidRPr="008958A1">
              <w:rPr>
                <w:rFonts w:ascii="Times New Roman" w:eastAsia="SimSun" w:hAnsi="Times New Roman" w:cs="Times New Roman"/>
                <w:sz w:val="16"/>
                <w:szCs w:val="16"/>
              </w:rPr>
              <w:t>1. Спостерігається неконтрольоване зростання обсягів інформації про громадян, юридичн</w:t>
            </w:r>
            <w:r>
              <w:rPr>
                <w:rFonts w:ascii="Times New Roman" w:eastAsia="SimSun" w:hAnsi="Times New Roman" w:cs="Times New Roman"/>
                <w:sz w:val="16"/>
                <w:szCs w:val="16"/>
              </w:rPr>
              <w:t>их осіб</w:t>
            </w:r>
            <w:r w:rsidRPr="008958A1">
              <w:rPr>
                <w:rFonts w:ascii="Times New Roman" w:eastAsia="SimSun" w:hAnsi="Times New Roman" w:cs="Times New Roman"/>
                <w:sz w:val="16"/>
                <w:szCs w:val="16"/>
              </w:rPr>
              <w:t xml:space="preserve"> в державних інформаційних системах, що, в умовах відсутності ефективних механізмів контролю її використання, створює </w:t>
            </w:r>
            <w:r>
              <w:rPr>
                <w:rFonts w:ascii="Times New Roman" w:eastAsia="SimSun" w:hAnsi="Times New Roman" w:cs="Times New Roman"/>
                <w:sz w:val="16"/>
                <w:szCs w:val="16"/>
              </w:rPr>
              <w:t>загрозу порушення прав громадян</w:t>
            </w:r>
          </w:p>
          <w:p w:rsidR="00B233DE" w:rsidRPr="008958A1" w:rsidRDefault="00B233DE" w:rsidP="0023489B">
            <w:pPr>
              <w:tabs>
                <w:tab w:val="left" w:pos="182"/>
              </w:tabs>
              <w:ind w:left="-108" w:right="-108" w:firstLine="0"/>
              <w:jc w:val="both"/>
              <w:rPr>
                <w:rFonts w:ascii="Times New Roman" w:eastAsia="SimSun" w:hAnsi="Times New Roman" w:cs="Times New Roman"/>
                <w:sz w:val="16"/>
                <w:szCs w:val="16"/>
              </w:rPr>
            </w:pPr>
            <w:r w:rsidRPr="008958A1">
              <w:rPr>
                <w:rFonts w:ascii="Times New Roman" w:eastAsia="SimSun" w:hAnsi="Times New Roman" w:cs="Times New Roman"/>
                <w:sz w:val="16"/>
                <w:szCs w:val="16"/>
              </w:rPr>
              <w:t>2. ІКТ все частіше використовуються для вчинення традиційних злочинів, зокрема крадіжок,</w:t>
            </w:r>
            <w:r>
              <w:rPr>
                <w:rFonts w:ascii="Times New Roman" w:eastAsia="SimSun" w:hAnsi="Times New Roman" w:cs="Times New Roman"/>
                <w:sz w:val="16"/>
                <w:szCs w:val="16"/>
              </w:rPr>
              <w:t xml:space="preserve"> вимагань, шахрайства тощо</w:t>
            </w:r>
          </w:p>
          <w:p w:rsidR="00B233DE" w:rsidRPr="008958A1" w:rsidRDefault="00B233DE" w:rsidP="0023489B">
            <w:pPr>
              <w:tabs>
                <w:tab w:val="left" w:pos="182"/>
              </w:tabs>
              <w:ind w:left="-108" w:right="-108" w:firstLine="0"/>
              <w:jc w:val="both"/>
              <w:rPr>
                <w:rFonts w:ascii="Times New Roman" w:eastAsia="SimSun" w:hAnsi="Times New Roman" w:cs="Times New Roman"/>
                <w:sz w:val="16"/>
                <w:szCs w:val="16"/>
              </w:rPr>
            </w:pPr>
            <w:r w:rsidRPr="007A5D7C">
              <w:rPr>
                <w:rFonts w:ascii="Times New Roman" w:eastAsia="SimSun" w:hAnsi="Times New Roman" w:cs="Times New Roman"/>
                <w:spacing w:val="-6"/>
                <w:sz w:val="16"/>
                <w:szCs w:val="16"/>
              </w:rPr>
              <w:t>3. Більшої актуальності набувають питання забезпечення безпеки національного</w:t>
            </w:r>
            <w:r w:rsidRPr="008958A1">
              <w:rPr>
                <w:rFonts w:ascii="Times New Roman" w:eastAsia="SimSun" w:hAnsi="Times New Roman" w:cs="Times New Roman"/>
                <w:sz w:val="16"/>
                <w:szCs w:val="16"/>
              </w:rPr>
              <w:t xml:space="preserve"> сегмента мережі Інтернет, захисту націонал</w:t>
            </w:r>
            <w:r>
              <w:rPr>
                <w:rFonts w:ascii="Times New Roman" w:eastAsia="SimSun" w:hAnsi="Times New Roman" w:cs="Times New Roman"/>
                <w:sz w:val="16"/>
                <w:szCs w:val="16"/>
              </w:rPr>
              <w:t>ьних інформаційних ресурсів</w:t>
            </w:r>
            <w:r w:rsidRPr="008958A1">
              <w:rPr>
                <w:rFonts w:ascii="Times New Roman" w:eastAsia="SimSun" w:hAnsi="Times New Roman" w:cs="Times New Roman"/>
                <w:sz w:val="16"/>
                <w:szCs w:val="16"/>
              </w:rPr>
              <w:t>.</w:t>
            </w:r>
          </w:p>
        </w:tc>
      </w:tr>
    </w:tbl>
    <w:p w:rsidR="00B233DE" w:rsidRPr="004806E9" w:rsidRDefault="00B233DE" w:rsidP="00B233DE">
      <w:pPr>
        <w:autoSpaceDE w:val="0"/>
        <w:autoSpaceDN w:val="0"/>
        <w:adjustRightInd w:val="0"/>
        <w:rPr>
          <w:rFonts w:ascii="Times New Roman" w:hAnsi="Times New Roman" w:cs="Times New Roman"/>
          <w:sz w:val="18"/>
          <w:szCs w:val="18"/>
        </w:rPr>
      </w:pPr>
      <w:r w:rsidRPr="004806E9">
        <w:rPr>
          <w:rFonts w:ascii="Times New Roman" w:hAnsi="Times New Roman" w:cs="Times New Roman"/>
          <w:sz w:val="18"/>
          <w:szCs w:val="18"/>
        </w:rPr>
        <w:t>* - складено автором розділу на основі [</w:t>
      </w:r>
      <w:r w:rsidRPr="004806E9">
        <w:rPr>
          <w:rFonts w:ascii="Times New Roman" w:hAnsi="Times New Roman" w:cs="Times New Roman"/>
          <w:sz w:val="18"/>
          <w:szCs w:val="18"/>
        </w:rPr>
        <w:fldChar w:fldCharType="begin"/>
      </w:r>
      <w:r w:rsidRPr="004806E9">
        <w:rPr>
          <w:rFonts w:ascii="Times New Roman" w:hAnsi="Times New Roman" w:cs="Times New Roman"/>
          <w:sz w:val="18"/>
          <w:szCs w:val="18"/>
        </w:rPr>
        <w:instrText xml:space="preserve"> REF _Ref430595203 \r \h </w:instrText>
      </w:r>
      <w:r>
        <w:rPr>
          <w:rFonts w:ascii="Times New Roman" w:hAnsi="Times New Roman" w:cs="Times New Roman"/>
          <w:sz w:val="18"/>
          <w:szCs w:val="18"/>
        </w:rPr>
        <w:instrText xml:space="preserve"> \* MERGEFORMAT </w:instrText>
      </w:r>
      <w:r w:rsidRPr="004806E9">
        <w:rPr>
          <w:rFonts w:ascii="Times New Roman" w:hAnsi="Times New Roman" w:cs="Times New Roman"/>
          <w:sz w:val="18"/>
          <w:szCs w:val="18"/>
        </w:rPr>
      </w:r>
      <w:r w:rsidRPr="004806E9">
        <w:rPr>
          <w:rFonts w:ascii="Times New Roman" w:hAnsi="Times New Roman" w:cs="Times New Roman"/>
          <w:sz w:val="18"/>
          <w:szCs w:val="18"/>
        </w:rPr>
        <w:fldChar w:fldCharType="separate"/>
      </w:r>
      <w:r>
        <w:rPr>
          <w:rFonts w:ascii="Times New Roman" w:hAnsi="Times New Roman" w:cs="Times New Roman"/>
          <w:sz w:val="18"/>
          <w:szCs w:val="18"/>
        </w:rPr>
        <w:t>6</w:t>
      </w:r>
      <w:r w:rsidRPr="004806E9">
        <w:rPr>
          <w:rFonts w:ascii="Times New Roman" w:hAnsi="Times New Roman" w:cs="Times New Roman"/>
          <w:sz w:val="18"/>
          <w:szCs w:val="18"/>
        </w:rPr>
        <w:fldChar w:fldCharType="end"/>
      </w:r>
      <w:r w:rsidRPr="004806E9">
        <w:rPr>
          <w:rFonts w:ascii="Times New Roman" w:hAnsi="Times New Roman" w:cs="Times New Roman"/>
          <w:sz w:val="18"/>
          <w:szCs w:val="18"/>
        </w:rPr>
        <w:t xml:space="preserve">, </w:t>
      </w:r>
      <w:r w:rsidRPr="004806E9">
        <w:rPr>
          <w:rFonts w:ascii="Times New Roman" w:hAnsi="Times New Roman" w:cs="Times New Roman"/>
          <w:sz w:val="18"/>
          <w:szCs w:val="18"/>
        </w:rPr>
        <w:fldChar w:fldCharType="begin"/>
      </w:r>
      <w:r w:rsidRPr="004806E9">
        <w:rPr>
          <w:rFonts w:ascii="Times New Roman" w:hAnsi="Times New Roman" w:cs="Times New Roman"/>
          <w:sz w:val="18"/>
          <w:szCs w:val="18"/>
        </w:rPr>
        <w:instrText xml:space="preserve"> REF _Ref430595214 \r \h </w:instrText>
      </w:r>
      <w:r>
        <w:rPr>
          <w:rFonts w:ascii="Times New Roman" w:hAnsi="Times New Roman" w:cs="Times New Roman"/>
          <w:sz w:val="18"/>
          <w:szCs w:val="18"/>
        </w:rPr>
        <w:instrText xml:space="preserve"> \* MERGEFORMAT </w:instrText>
      </w:r>
      <w:r w:rsidRPr="004806E9">
        <w:rPr>
          <w:rFonts w:ascii="Times New Roman" w:hAnsi="Times New Roman" w:cs="Times New Roman"/>
          <w:sz w:val="18"/>
          <w:szCs w:val="18"/>
        </w:rPr>
      </w:r>
      <w:r w:rsidRPr="004806E9">
        <w:rPr>
          <w:rFonts w:ascii="Times New Roman" w:hAnsi="Times New Roman" w:cs="Times New Roman"/>
          <w:sz w:val="18"/>
          <w:szCs w:val="18"/>
        </w:rPr>
        <w:fldChar w:fldCharType="separate"/>
      </w:r>
      <w:r>
        <w:rPr>
          <w:rFonts w:ascii="Times New Roman" w:hAnsi="Times New Roman" w:cs="Times New Roman"/>
          <w:sz w:val="18"/>
          <w:szCs w:val="18"/>
        </w:rPr>
        <w:t>61</w:t>
      </w:r>
      <w:r w:rsidRPr="004806E9">
        <w:rPr>
          <w:rFonts w:ascii="Times New Roman" w:hAnsi="Times New Roman" w:cs="Times New Roman"/>
          <w:sz w:val="18"/>
          <w:szCs w:val="18"/>
        </w:rPr>
        <w:fldChar w:fldCharType="end"/>
      </w:r>
      <w:r w:rsidRPr="004806E9">
        <w:rPr>
          <w:rFonts w:ascii="Times New Roman" w:hAnsi="Times New Roman" w:cs="Times New Roman"/>
          <w:sz w:val="18"/>
          <w:szCs w:val="18"/>
        </w:rPr>
        <w:t>]</w:t>
      </w:r>
    </w:p>
    <w:p w:rsidR="00B233DE" w:rsidRPr="00F12C67" w:rsidRDefault="00B233DE" w:rsidP="00B233DE">
      <w:pPr>
        <w:autoSpaceDE w:val="0"/>
        <w:autoSpaceDN w:val="0"/>
        <w:adjustRightInd w:val="0"/>
        <w:ind w:firstLine="720"/>
        <w:jc w:val="both"/>
        <w:rPr>
          <w:rFonts w:ascii="Times New Roman" w:hAnsi="Times New Roman" w:cs="Times New Roman"/>
          <w:color w:val="231F20"/>
          <w:sz w:val="21"/>
          <w:szCs w:val="21"/>
        </w:rPr>
      </w:pPr>
      <w:r w:rsidRPr="00F12C67">
        <w:rPr>
          <w:rFonts w:ascii="Times New Roman" w:hAnsi="Times New Roman" w:cs="Times New Roman"/>
          <w:color w:val="231F20"/>
          <w:sz w:val="21"/>
          <w:szCs w:val="21"/>
        </w:rPr>
        <w:lastRenderedPageBreak/>
        <w:t>Досвід розвинутих країн світу переконує, що першо</w:t>
      </w:r>
      <w:r>
        <w:rPr>
          <w:rFonts w:ascii="Times New Roman" w:hAnsi="Times New Roman" w:cs="Times New Roman"/>
          <w:color w:val="231F20"/>
          <w:sz w:val="21"/>
          <w:szCs w:val="21"/>
        </w:rPr>
        <w:t>-</w:t>
      </w:r>
      <w:r w:rsidRPr="00F12C67">
        <w:rPr>
          <w:rFonts w:ascii="Times New Roman" w:hAnsi="Times New Roman" w:cs="Times New Roman"/>
          <w:color w:val="231F20"/>
          <w:sz w:val="21"/>
          <w:szCs w:val="21"/>
        </w:rPr>
        <w:t>основою інноваційного прогресу є розвиток нових технологій, структурні зрушення в економіці під впливом широкого використання інформаційних технологій, усвідомлення бізнесом своїх інтересів з врахуванням корисності для суспільства та його переходу на вищий рівень економічної модернізації [</w:t>
      </w:r>
      <w:r>
        <w:rPr>
          <w:rFonts w:ascii="Times New Roman" w:hAnsi="Times New Roman" w:cs="Times New Roman"/>
          <w:color w:val="231F20"/>
          <w:sz w:val="21"/>
          <w:szCs w:val="21"/>
        </w:rPr>
        <w:fldChar w:fldCharType="begin"/>
      </w:r>
      <w:r>
        <w:rPr>
          <w:rFonts w:ascii="Times New Roman" w:hAnsi="Times New Roman" w:cs="Times New Roman"/>
          <w:color w:val="231F20"/>
          <w:sz w:val="21"/>
          <w:szCs w:val="21"/>
        </w:rPr>
        <w:instrText xml:space="preserve"> REF _Ref430595281 \r \h </w:instrText>
      </w:r>
      <w:r>
        <w:rPr>
          <w:rFonts w:ascii="Times New Roman" w:hAnsi="Times New Roman" w:cs="Times New Roman"/>
          <w:color w:val="231F20"/>
          <w:sz w:val="21"/>
          <w:szCs w:val="21"/>
        </w:rPr>
      </w:r>
      <w:r>
        <w:rPr>
          <w:rFonts w:ascii="Times New Roman" w:hAnsi="Times New Roman" w:cs="Times New Roman"/>
          <w:color w:val="231F20"/>
          <w:sz w:val="21"/>
          <w:szCs w:val="21"/>
        </w:rPr>
        <w:fldChar w:fldCharType="separate"/>
      </w:r>
      <w:r>
        <w:rPr>
          <w:rFonts w:ascii="Times New Roman" w:hAnsi="Times New Roman" w:cs="Times New Roman"/>
          <w:color w:val="231F20"/>
          <w:sz w:val="21"/>
          <w:szCs w:val="21"/>
        </w:rPr>
        <w:t>54</w:t>
      </w:r>
      <w:r>
        <w:rPr>
          <w:rFonts w:ascii="Times New Roman" w:hAnsi="Times New Roman" w:cs="Times New Roman"/>
          <w:color w:val="231F20"/>
          <w:sz w:val="21"/>
          <w:szCs w:val="21"/>
        </w:rPr>
        <w:fldChar w:fldCharType="end"/>
      </w:r>
      <w:r w:rsidRPr="00F12C67">
        <w:rPr>
          <w:rFonts w:ascii="Times New Roman" w:hAnsi="Times New Roman" w:cs="Times New Roman"/>
          <w:color w:val="231F20"/>
          <w:sz w:val="21"/>
          <w:szCs w:val="21"/>
        </w:rPr>
        <w:t>, с. 132].</w:t>
      </w:r>
    </w:p>
    <w:p w:rsidR="00B233DE" w:rsidRPr="00F12C67" w:rsidRDefault="00B233DE" w:rsidP="00B233DE">
      <w:pPr>
        <w:autoSpaceDE w:val="0"/>
        <w:autoSpaceDN w:val="0"/>
        <w:adjustRightInd w:val="0"/>
        <w:ind w:firstLine="720"/>
        <w:jc w:val="both"/>
        <w:rPr>
          <w:rFonts w:ascii="Times New Roman" w:hAnsi="Times New Roman" w:cs="Times New Roman"/>
          <w:sz w:val="21"/>
          <w:szCs w:val="21"/>
        </w:rPr>
      </w:pPr>
      <w:r w:rsidRPr="00F12C67">
        <w:rPr>
          <w:rFonts w:ascii="Times New Roman" w:hAnsi="Times New Roman" w:cs="Times New Roman"/>
          <w:sz w:val="21"/>
          <w:szCs w:val="21"/>
        </w:rPr>
        <w:t>За даними окремих досліджень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_Ref430595420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46</w:t>
      </w:r>
      <w:r>
        <w:rPr>
          <w:rFonts w:ascii="Times New Roman" w:hAnsi="Times New Roman" w:cs="Times New Roman"/>
          <w:sz w:val="21"/>
          <w:szCs w:val="21"/>
        </w:rPr>
        <w:fldChar w:fldCharType="end"/>
      </w:r>
      <w:r w:rsidRPr="00F12C67">
        <w:rPr>
          <w:rFonts w:ascii="Times New Roman" w:hAnsi="Times New Roman" w:cs="Times New Roman"/>
          <w:sz w:val="21"/>
          <w:szCs w:val="21"/>
        </w:rPr>
        <w:t>], в Україні для більшості суб’єктів економічної діяльності характерною є відсутність стратегічного управління підвищенням конкурентоспроможності людського капіталу як реалізованого людського потенціалу. Така ситуація проявляється у неусвідомленні майбутніх проблем і неузгодженості дій, дотриманні найменш затратного шляху отримання прибутку «тут і зараз», несистемних та короткострокових існуючих ініціатив розвитку людського капіталу. Тому ключовим завданням державної політики підвищення конкурентоспроможності людського потенціалу є створення системи заохочення суб’єктів економічної діяльності до стратегічного планування розвитку людського капіталу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_Ref430595420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46</w:t>
      </w:r>
      <w:r>
        <w:rPr>
          <w:rFonts w:ascii="Times New Roman" w:hAnsi="Times New Roman" w:cs="Times New Roman"/>
          <w:sz w:val="21"/>
          <w:szCs w:val="21"/>
        </w:rPr>
        <w:fldChar w:fldCharType="end"/>
      </w:r>
      <w:r w:rsidRPr="00F12C67">
        <w:rPr>
          <w:rFonts w:ascii="Times New Roman" w:hAnsi="Times New Roman" w:cs="Times New Roman"/>
          <w:sz w:val="21"/>
          <w:szCs w:val="21"/>
        </w:rPr>
        <w:t xml:space="preserve">]. </w:t>
      </w:r>
      <w:r>
        <w:rPr>
          <w:rFonts w:ascii="Times New Roman" w:hAnsi="Times New Roman" w:cs="Times New Roman"/>
          <w:sz w:val="21"/>
          <w:szCs w:val="21"/>
        </w:rPr>
        <w:t>У</w:t>
      </w:r>
      <w:r w:rsidRPr="00F12C67">
        <w:rPr>
          <w:rFonts w:ascii="Times New Roman" w:hAnsi="Times New Roman" w:cs="Times New Roman"/>
          <w:sz w:val="21"/>
          <w:szCs w:val="21"/>
        </w:rPr>
        <w:t xml:space="preserve"> зв’язку з цим, заходи із підвищення конкурентоспроможності людського потенціалу мають бути включені як в загальнодержавну стратегію соціально-економічного розвитку, так і в окремі законодавчі акти, що регулюють сфери розвитку людського потенціалу і діяльність суб’єктів економіки щодо підвищення людського капіталу.</w:t>
      </w:r>
    </w:p>
    <w:p w:rsidR="00B233DE" w:rsidRDefault="00B233DE" w:rsidP="00B233DE">
      <w:pPr>
        <w:autoSpaceDE w:val="0"/>
        <w:autoSpaceDN w:val="0"/>
        <w:adjustRightInd w:val="0"/>
        <w:ind w:firstLine="720"/>
        <w:jc w:val="both"/>
        <w:rPr>
          <w:rFonts w:ascii="Times New Roman" w:hAnsi="Times New Roman" w:cs="Times New Roman"/>
          <w:color w:val="231F20"/>
          <w:sz w:val="21"/>
          <w:szCs w:val="21"/>
        </w:rPr>
      </w:pPr>
      <w:r w:rsidRPr="00F12C67">
        <w:rPr>
          <w:rFonts w:ascii="Times New Roman" w:hAnsi="Times New Roman" w:cs="Times New Roman"/>
          <w:sz w:val="21"/>
          <w:szCs w:val="21"/>
        </w:rPr>
        <w:t>В цьому ж руслі необхідно звернути увагу на те, що</w:t>
      </w:r>
      <w:r w:rsidRPr="00F12C67">
        <w:rPr>
          <w:rFonts w:ascii="Times New Roman" w:hAnsi="Times New Roman" w:cs="Times New Roman"/>
          <w:color w:val="231F20"/>
          <w:sz w:val="21"/>
          <w:szCs w:val="21"/>
        </w:rPr>
        <w:t xml:space="preserve"> зростання частки малого бізнесу у ВВП є однією із характерних рис становлення постіндустріальної економіки</w:t>
      </w:r>
      <w:r>
        <w:rPr>
          <w:rFonts w:ascii="Times New Roman" w:hAnsi="Times New Roman" w:cs="Times New Roman"/>
          <w:sz w:val="21"/>
          <w:szCs w:val="21"/>
        </w:rPr>
        <w:t xml:space="preserve">. Це пов’язано </w:t>
      </w:r>
      <w:r w:rsidRPr="00F12C67">
        <w:rPr>
          <w:rFonts w:ascii="Times New Roman" w:hAnsi="Times New Roman" w:cs="Times New Roman"/>
          <w:sz w:val="21"/>
          <w:szCs w:val="21"/>
        </w:rPr>
        <w:t xml:space="preserve">з </w:t>
      </w:r>
      <w:r w:rsidRPr="00F12C67">
        <w:rPr>
          <w:rFonts w:ascii="Times New Roman" w:hAnsi="Times New Roman" w:cs="Times New Roman"/>
          <w:color w:val="231F20"/>
          <w:sz w:val="21"/>
          <w:szCs w:val="21"/>
        </w:rPr>
        <w:t>електронізацією виробництва і побуту, необмежен</w:t>
      </w:r>
      <w:r>
        <w:rPr>
          <w:rFonts w:ascii="Times New Roman" w:hAnsi="Times New Roman" w:cs="Times New Roman"/>
          <w:color w:val="231F20"/>
          <w:sz w:val="21"/>
          <w:szCs w:val="21"/>
        </w:rPr>
        <w:t>им</w:t>
      </w:r>
      <w:r w:rsidRPr="00F12C67">
        <w:rPr>
          <w:rFonts w:ascii="Times New Roman" w:hAnsi="Times New Roman" w:cs="Times New Roman"/>
          <w:color w:val="231F20"/>
          <w:sz w:val="21"/>
          <w:szCs w:val="21"/>
        </w:rPr>
        <w:t xml:space="preserve"> доступ</w:t>
      </w:r>
      <w:r>
        <w:rPr>
          <w:rFonts w:ascii="Times New Roman" w:hAnsi="Times New Roman" w:cs="Times New Roman"/>
          <w:color w:val="231F20"/>
          <w:sz w:val="21"/>
          <w:szCs w:val="21"/>
        </w:rPr>
        <w:t>ом</w:t>
      </w:r>
      <w:r w:rsidRPr="00F12C67">
        <w:rPr>
          <w:rFonts w:ascii="Times New Roman" w:hAnsi="Times New Roman" w:cs="Times New Roman"/>
          <w:color w:val="231F20"/>
          <w:sz w:val="21"/>
          <w:szCs w:val="21"/>
        </w:rPr>
        <w:t xml:space="preserve"> до інформаційних мереж, мінітюаризаці</w:t>
      </w:r>
      <w:r>
        <w:rPr>
          <w:rFonts w:ascii="Times New Roman" w:hAnsi="Times New Roman" w:cs="Times New Roman"/>
          <w:color w:val="231F20"/>
          <w:sz w:val="21"/>
          <w:szCs w:val="21"/>
        </w:rPr>
        <w:t>єю</w:t>
      </w:r>
      <w:r w:rsidRPr="00F12C67">
        <w:rPr>
          <w:rFonts w:ascii="Times New Roman" w:hAnsi="Times New Roman" w:cs="Times New Roman"/>
          <w:color w:val="231F20"/>
          <w:sz w:val="21"/>
          <w:szCs w:val="21"/>
        </w:rPr>
        <w:t xml:space="preserve"> техніки, розосередження</w:t>
      </w:r>
      <w:r>
        <w:rPr>
          <w:rFonts w:ascii="Times New Roman" w:hAnsi="Times New Roman" w:cs="Times New Roman"/>
          <w:color w:val="231F20"/>
          <w:sz w:val="21"/>
          <w:szCs w:val="21"/>
        </w:rPr>
        <w:t>м</w:t>
      </w:r>
      <w:r w:rsidRPr="00F12C67">
        <w:rPr>
          <w:rFonts w:ascii="Times New Roman" w:hAnsi="Times New Roman" w:cs="Times New Roman"/>
          <w:color w:val="231F20"/>
          <w:sz w:val="21"/>
          <w:szCs w:val="21"/>
        </w:rPr>
        <w:t xml:space="preserve"> виробництва та деурбанізаці</w:t>
      </w:r>
      <w:r>
        <w:rPr>
          <w:rFonts w:ascii="Times New Roman" w:hAnsi="Times New Roman" w:cs="Times New Roman"/>
          <w:color w:val="231F20"/>
          <w:sz w:val="21"/>
          <w:szCs w:val="21"/>
        </w:rPr>
        <w:t>єю. З</w:t>
      </w:r>
      <w:r w:rsidRPr="00F12C67">
        <w:rPr>
          <w:rFonts w:ascii="Times New Roman" w:hAnsi="Times New Roman" w:cs="Times New Roman"/>
          <w:color w:val="231F20"/>
          <w:sz w:val="21"/>
          <w:szCs w:val="21"/>
        </w:rPr>
        <w:t xml:space="preserve"> процесом відродження дрібних виробників – власників інноваційних фірм, приватних підприємців, фермерів, власників магазинів, ресторанів тощо – одночасно зро</w:t>
      </w:r>
      <w:r>
        <w:rPr>
          <w:rFonts w:ascii="Times New Roman" w:hAnsi="Times New Roman" w:cs="Times New Roman"/>
          <w:color w:val="231F20"/>
          <w:sz w:val="21"/>
          <w:szCs w:val="21"/>
        </w:rPr>
        <w:t>-</w:t>
      </w:r>
      <w:r w:rsidRPr="00F12C67">
        <w:rPr>
          <w:rFonts w:ascii="Times New Roman" w:hAnsi="Times New Roman" w:cs="Times New Roman"/>
          <w:color w:val="231F20"/>
          <w:sz w:val="21"/>
          <w:szCs w:val="21"/>
        </w:rPr>
        <w:t>стає соціальна сила малого бізнесу. До нього долучаються багато представників вільних професій, що відкривають бюро юридичної допомоги, консалтингові центри, художні салони тощо [</w:t>
      </w:r>
      <w:r>
        <w:rPr>
          <w:rStyle w:val="a9"/>
          <w:rFonts w:ascii="Times New Roman" w:hAnsi="Times New Roman"/>
          <w:b w:val="0"/>
          <w:sz w:val="21"/>
          <w:szCs w:val="21"/>
        </w:rPr>
        <w:fldChar w:fldCharType="begin"/>
      </w:r>
      <w:r>
        <w:rPr>
          <w:rFonts w:ascii="Times New Roman" w:hAnsi="Times New Roman" w:cs="Times New Roman"/>
          <w:color w:val="231F20"/>
          <w:sz w:val="21"/>
          <w:szCs w:val="21"/>
        </w:rPr>
        <w:instrText xml:space="preserve"> REF _Ref430595432 \r \h </w:instrText>
      </w:r>
      <w:r>
        <w:rPr>
          <w:rStyle w:val="a9"/>
          <w:rFonts w:ascii="Times New Roman" w:hAnsi="Times New Roman"/>
          <w:b w:val="0"/>
          <w:sz w:val="21"/>
          <w:szCs w:val="21"/>
        </w:rPr>
      </w:r>
      <w:r>
        <w:rPr>
          <w:rStyle w:val="a9"/>
          <w:rFonts w:ascii="Times New Roman" w:hAnsi="Times New Roman"/>
          <w:b w:val="0"/>
          <w:sz w:val="21"/>
          <w:szCs w:val="21"/>
        </w:rPr>
        <w:fldChar w:fldCharType="separate"/>
      </w:r>
      <w:r>
        <w:rPr>
          <w:rFonts w:ascii="Times New Roman" w:hAnsi="Times New Roman" w:cs="Times New Roman"/>
          <w:color w:val="231F20"/>
          <w:sz w:val="21"/>
          <w:szCs w:val="21"/>
        </w:rPr>
        <w:t>33</w:t>
      </w:r>
      <w:r>
        <w:rPr>
          <w:rStyle w:val="a9"/>
          <w:rFonts w:ascii="Times New Roman" w:hAnsi="Times New Roman"/>
          <w:b w:val="0"/>
          <w:sz w:val="21"/>
          <w:szCs w:val="21"/>
        </w:rPr>
        <w:fldChar w:fldCharType="end"/>
      </w:r>
      <w:r w:rsidRPr="00F12C67">
        <w:rPr>
          <w:rFonts w:ascii="Times New Roman" w:hAnsi="Times New Roman" w:cs="Times New Roman"/>
          <w:color w:val="231F20"/>
          <w:sz w:val="21"/>
          <w:szCs w:val="21"/>
        </w:rPr>
        <w:t xml:space="preserve">, с. 48]. </w:t>
      </w:r>
    </w:p>
    <w:p w:rsidR="00B233DE" w:rsidRDefault="00B233DE" w:rsidP="00B233DE">
      <w:pPr>
        <w:autoSpaceDE w:val="0"/>
        <w:autoSpaceDN w:val="0"/>
        <w:adjustRightInd w:val="0"/>
        <w:ind w:firstLine="720"/>
        <w:jc w:val="both"/>
        <w:rPr>
          <w:rFonts w:ascii="Times New Roman" w:hAnsi="Times New Roman" w:cs="Times New Roman"/>
          <w:color w:val="231F20"/>
          <w:sz w:val="21"/>
          <w:szCs w:val="21"/>
        </w:rPr>
      </w:pPr>
      <w:r w:rsidRPr="00F12C67">
        <w:rPr>
          <w:rFonts w:ascii="Times New Roman" w:hAnsi="Times New Roman" w:cs="Times New Roman"/>
          <w:color w:val="231F20"/>
          <w:sz w:val="21"/>
          <w:szCs w:val="21"/>
        </w:rPr>
        <w:t xml:space="preserve">Очевидно, що дані категорії населення, формуючи середній клас суспільства, набувають ролі основи соціально-економічного прогресу та стабільності нової економіки. Соціальна структура постіндустріального суспільства включає такі базові соціальні </w:t>
      </w:r>
      <w:r w:rsidRPr="00F12C67">
        <w:rPr>
          <w:rFonts w:ascii="Times New Roman" w:hAnsi="Times New Roman" w:cs="Times New Roman"/>
          <w:color w:val="231F20"/>
          <w:sz w:val="21"/>
          <w:szCs w:val="21"/>
        </w:rPr>
        <w:lastRenderedPageBreak/>
        <w:t>групи як кваліфіковані працівники в сфері виробництва – техніки, програмісти, вчені, конструктори, інженери, вчителі, службовці; малі та середні підприємці промисловості, сільського господарства, будівництва, транспорту, сфери послуг; пенсіонери та рантьє, що живуть за рахунок доходів, створених їх минулою працею або вкладених в цінні папери коштів [</w:t>
      </w:r>
      <w:r>
        <w:rPr>
          <w:rStyle w:val="a9"/>
          <w:rFonts w:ascii="Times New Roman" w:hAnsi="Times New Roman"/>
          <w:b w:val="0"/>
          <w:sz w:val="21"/>
          <w:szCs w:val="21"/>
        </w:rPr>
        <w:fldChar w:fldCharType="begin"/>
      </w:r>
      <w:r>
        <w:rPr>
          <w:rFonts w:ascii="Times New Roman" w:hAnsi="Times New Roman" w:cs="Times New Roman"/>
          <w:color w:val="231F20"/>
          <w:sz w:val="21"/>
          <w:szCs w:val="21"/>
        </w:rPr>
        <w:instrText xml:space="preserve"> REF _Ref430595432 \r \h </w:instrText>
      </w:r>
      <w:r>
        <w:rPr>
          <w:rStyle w:val="a9"/>
          <w:rFonts w:ascii="Times New Roman" w:hAnsi="Times New Roman"/>
          <w:b w:val="0"/>
          <w:sz w:val="21"/>
          <w:szCs w:val="21"/>
        </w:rPr>
      </w:r>
      <w:r>
        <w:rPr>
          <w:rStyle w:val="a9"/>
          <w:rFonts w:ascii="Times New Roman" w:hAnsi="Times New Roman"/>
          <w:b w:val="0"/>
          <w:sz w:val="21"/>
          <w:szCs w:val="21"/>
        </w:rPr>
        <w:fldChar w:fldCharType="separate"/>
      </w:r>
      <w:r>
        <w:rPr>
          <w:rFonts w:ascii="Times New Roman" w:hAnsi="Times New Roman" w:cs="Times New Roman"/>
          <w:color w:val="231F20"/>
          <w:sz w:val="21"/>
          <w:szCs w:val="21"/>
        </w:rPr>
        <w:t>33</w:t>
      </w:r>
      <w:r>
        <w:rPr>
          <w:rStyle w:val="a9"/>
          <w:rFonts w:ascii="Times New Roman" w:hAnsi="Times New Roman"/>
          <w:b w:val="0"/>
          <w:sz w:val="21"/>
          <w:szCs w:val="21"/>
        </w:rPr>
        <w:fldChar w:fldCharType="end"/>
      </w:r>
      <w:r w:rsidRPr="00F12C67">
        <w:rPr>
          <w:rFonts w:ascii="Times New Roman" w:hAnsi="Times New Roman" w:cs="Times New Roman"/>
          <w:color w:val="231F20"/>
          <w:sz w:val="21"/>
          <w:szCs w:val="21"/>
        </w:rPr>
        <w:t xml:space="preserve">, с. 48]. </w:t>
      </w:r>
    </w:p>
    <w:p w:rsidR="00B233DE" w:rsidRDefault="00B233DE" w:rsidP="00B233DE">
      <w:pPr>
        <w:autoSpaceDE w:val="0"/>
        <w:autoSpaceDN w:val="0"/>
        <w:adjustRightInd w:val="0"/>
        <w:ind w:firstLine="720"/>
        <w:jc w:val="both"/>
        <w:rPr>
          <w:rFonts w:ascii="Times New Roman" w:hAnsi="Times New Roman" w:cs="Times New Roman"/>
          <w:color w:val="231F20"/>
          <w:sz w:val="21"/>
          <w:szCs w:val="21"/>
        </w:rPr>
      </w:pPr>
      <w:r>
        <w:rPr>
          <w:rFonts w:ascii="Times New Roman" w:hAnsi="Times New Roman" w:cs="Times New Roman"/>
          <w:color w:val="231F20"/>
          <w:sz w:val="21"/>
          <w:szCs w:val="21"/>
        </w:rPr>
        <w:t>С</w:t>
      </w:r>
      <w:r w:rsidRPr="00F12C67">
        <w:rPr>
          <w:rFonts w:ascii="Times New Roman" w:hAnsi="Times New Roman" w:cs="Times New Roman"/>
          <w:color w:val="231F20"/>
          <w:sz w:val="21"/>
          <w:szCs w:val="21"/>
        </w:rPr>
        <w:t>тановлення та розширення середнього класу інформаційного суспільства та економіки знань забезпечується інтенсивним соціальним розвитком, тобто підтримується відпо</w:t>
      </w:r>
      <w:r>
        <w:rPr>
          <w:rFonts w:ascii="Times New Roman" w:hAnsi="Times New Roman" w:cs="Times New Roman"/>
          <w:color w:val="231F20"/>
          <w:sz w:val="21"/>
          <w:szCs w:val="21"/>
        </w:rPr>
        <w:t>-</w:t>
      </w:r>
      <w:r w:rsidRPr="00F12C67">
        <w:rPr>
          <w:rFonts w:ascii="Times New Roman" w:hAnsi="Times New Roman" w:cs="Times New Roman"/>
          <w:color w:val="231F20"/>
          <w:sz w:val="21"/>
          <w:szCs w:val="21"/>
        </w:rPr>
        <w:t>відним рівнем добробуту, інтелектуальним та освітньо-кваліфі</w:t>
      </w:r>
      <w:r>
        <w:rPr>
          <w:rFonts w:ascii="Times New Roman" w:hAnsi="Times New Roman" w:cs="Times New Roman"/>
          <w:color w:val="231F20"/>
          <w:sz w:val="21"/>
          <w:szCs w:val="21"/>
        </w:rPr>
        <w:t>-</w:t>
      </w:r>
      <w:r w:rsidRPr="00F12C67">
        <w:rPr>
          <w:rFonts w:ascii="Times New Roman" w:hAnsi="Times New Roman" w:cs="Times New Roman"/>
          <w:color w:val="231F20"/>
          <w:sz w:val="21"/>
          <w:szCs w:val="21"/>
        </w:rPr>
        <w:t>каційним рівнем населення, і, виконуючи функцію соціальної і економічної стабілізації, створює сприятливі умови для розвитку і підвищення людського потенціалу (рис. 1.</w:t>
      </w:r>
      <w:r>
        <w:rPr>
          <w:rFonts w:ascii="Times New Roman" w:hAnsi="Times New Roman" w:cs="Times New Roman"/>
          <w:color w:val="231F20"/>
          <w:sz w:val="21"/>
          <w:szCs w:val="21"/>
        </w:rPr>
        <w:t>6</w:t>
      </w:r>
      <w:r w:rsidRPr="00F12C67">
        <w:rPr>
          <w:rFonts w:ascii="Times New Roman" w:hAnsi="Times New Roman" w:cs="Times New Roman"/>
          <w:color w:val="231F20"/>
          <w:sz w:val="21"/>
          <w:szCs w:val="21"/>
        </w:rPr>
        <w:t>) [</w:t>
      </w:r>
      <w:r>
        <w:rPr>
          <w:rFonts w:ascii="Times New Roman" w:hAnsi="Times New Roman" w:cs="Times New Roman"/>
          <w:color w:val="231F20"/>
          <w:sz w:val="21"/>
          <w:szCs w:val="21"/>
        </w:rPr>
        <w:fldChar w:fldCharType="begin"/>
      </w:r>
      <w:r>
        <w:rPr>
          <w:rFonts w:ascii="Times New Roman" w:hAnsi="Times New Roman" w:cs="Times New Roman"/>
          <w:color w:val="231F20"/>
          <w:sz w:val="21"/>
          <w:szCs w:val="21"/>
        </w:rPr>
        <w:instrText xml:space="preserve"> REF _Ref430594275 \r \h </w:instrText>
      </w:r>
      <w:r>
        <w:rPr>
          <w:rFonts w:ascii="Times New Roman" w:hAnsi="Times New Roman" w:cs="Times New Roman"/>
          <w:color w:val="231F20"/>
          <w:sz w:val="21"/>
          <w:szCs w:val="21"/>
        </w:rPr>
      </w:r>
      <w:r>
        <w:rPr>
          <w:rFonts w:ascii="Times New Roman" w:hAnsi="Times New Roman" w:cs="Times New Roman"/>
          <w:color w:val="231F20"/>
          <w:sz w:val="21"/>
          <w:szCs w:val="21"/>
        </w:rPr>
        <w:fldChar w:fldCharType="separate"/>
      </w:r>
      <w:r>
        <w:rPr>
          <w:rFonts w:ascii="Times New Roman" w:hAnsi="Times New Roman" w:cs="Times New Roman"/>
          <w:color w:val="231F20"/>
          <w:sz w:val="21"/>
          <w:szCs w:val="21"/>
        </w:rPr>
        <w:t>34</w:t>
      </w:r>
      <w:r>
        <w:rPr>
          <w:rFonts w:ascii="Times New Roman" w:hAnsi="Times New Roman" w:cs="Times New Roman"/>
          <w:color w:val="231F20"/>
          <w:sz w:val="21"/>
          <w:szCs w:val="21"/>
        </w:rPr>
        <w:fldChar w:fldCharType="end"/>
      </w:r>
      <w:r w:rsidRPr="00F12C67">
        <w:rPr>
          <w:rFonts w:ascii="Times New Roman" w:hAnsi="Times New Roman" w:cs="Times New Roman"/>
          <w:color w:val="231F20"/>
          <w:sz w:val="21"/>
          <w:szCs w:val="21"/>
        </w:rPr>
        <w:t xml:space="preserve">, </w:t>
      </w:r>
      <w:r w:rsidRPr="00F12C67">
        <w:rPr>
          <w:rFonts w:ascii="Times New Roman" w:hAnsi="Times New Roman" w:cs="Times New Roman"/>
          <w:color w:val="231F20"/>
          <w:sz w:val="21"/>
          <w:szCs w:val="21"/>
          <w:lang w:val="en-US"/>
        </w:rPr>
        <w:t>c</w:t>
      </w:r>
      <w:r w:rsidRPr="00F12C67">
        <w:rPr>
          <w:rFonts w:ascii="Times New Roman" w:hAnsi="Times New Roman" w:cs="Times New Roman"/>
          <w:color w:val="231F20"/>
          <w:sz w:val="21"/>
          <w:szCs w:val="21"/>
        </w:rPr>
        <w:t>. 255</w:t>
      </w:r>
      <w:r>
        <w:rPr>
          <w:rFonts w:ascii="Times New Roman" w:hAnsi="Times New Roman" w:cs="Times New Roman"/>
          <w:color w:val="231F20"/>
          <w:sz w:val="21"/>
          <w:szCs w:val="21"/>
        </w:rPr>
        <w:t>–</w:t>
      </w:r>
      <w:r w:rsidRPr="00F12C67">
        <w:rPr>
          <w:rFonts w:ascii="Times New Roman" w:hAnsi="Times New Roman" w:cs="Times New Roman"/>
          <w:color w:val="231F20"/>
          <w:sz w:val="21"/>
          <w:szCs w:val="21"/>
        </w:rPr>
        <w:t>257].</w:t>
      </w:r>
    </w:p>
    <w:p w:rsidR="00B233DE" w:rsidRDefault="00B233DE" w:rsidP="00B233DE">
      <w:pPr>
        <w:autoSpaceDE w:val="0"/>
        <w:autoSpaceDN w:val="0"/>
        <w:adjustRightInd w:val="0"/>
        <w:ind w:firstLine="720"/>
        <w:jc w:val="both"/>
        <w:rPr>
          <w:rFonts w:ascii="Times New Roman" w:hAnsi="Times New Roman" w:cs="Times New Roman"/>
          <w:color w:val="231F20"/>
          <w:sz w:val="21"/>
          <w:szCs w:val="21"/>
        </w:rPr>
      </w:pPr>
      <w:r w:rsidRPr="008B466E">
        <w:rPr>
          <w:rFonts w:ascii="Times New Roman" w:hAnsi="Times New Roman" w:cs="Times New Roman"/>
          <w:color w:val="231F20"/>
          <w:sz w:val="21"/>
          <w:szCs w:val="21"/>
        </w:rPr>
        <w:t>Згідно окремих досліджень [</w:t>
      </w:r>
      <w:r>
        <w:rPr>
          <w:rFonts w:ascii="Times New Roman" w:hAnsi="Times New Roman" w:cs="Times New Roman"/>
          <w:color w:val="231F20"/>
          <w:sz w:val="21"/>
          <w:szCs w:val="21"/>
        </w:rPr>
        <w:fldChar w:fldCharType="begin"/>
      </w:r>
      <w:r>
        <w:rPr>
          <w:rFonts w:ascii="Times New Roman" w:hAnsi="Times New Roman" w:cs="Times New Roman"/>
          <w:color w:val="231F20"/>
          <w:sz w:val="21"/>
          <w:szCs w:val="21"/>
        </w:rPr>
        <w:instrText xml:space="preserve"> REF _Ref430595459 \r \h </w:instrText>
      </w:r>
      <w:r>
        <w:rPr>
          <w:rFonts w:ascii="Times New Roman" w:hAnsi="Times New Roman" w:cs="Times New Roman"/>
          <w:color w:val="231F20"/>
          <w:sz w:val="21"/>
          <w:szCs w:val="21"/>
        </w:rPr>
      </w:r>
      <w:r>
        <w:rPr>
          <w:rFonts w:ascii="Times New Roman" w:hAnsi="Times New Roman" w:cs="Times New Roman"/>
          <w:color w:val="231F20"/>
          <w:sz w:val="21"/>
          <w:szCs w:val="21"/>
        </w:rPr>
        <w:fldChar w:fldCharType="separate"/>
      </w:r>
      <w:r>
        <w:rPr>
          <w:rFonts w:ascii="Times New Roman" w:hAnsi="Times New Roman" w:cs="Times New Roman"/>
          <w:color w:val="231F20"/>
          <w:sz w:val="21"/>
          <w:szCs w:val="21"/>
        </w:rPr>
        <w:t>23</w:t>
      </w:r>
      <w:r>
        <w:rPr>
          <w:rFonts w:ascii="Times New Roman" w:hAnsi="Times New Roman" w:cs="Times New Roman"/>
          <w:color w:val="231F20"/>
          <w:sz w:val="21"/>
          <w:szCs w:val="21"/>
        </w:rPr>
        <w:fldChar w:fldCharType="end"/>
      </w:r>
      <w:r w:rsidRPr="008B466E">
        <w:rPr>
          <w:rFonts w:ascii="Times New Roman" w:hAnsi="Times New Roman" w:cs="Times New Roman"/>
          <w:color w:val="231F20"/>
          <w:sz w:val="21"/>
          <w:szCs w:val="21"/>
        </w:rPr>
        <w:t xml:space="preserve">, с. 469, </w:t>
      </w:r>
      <w:r>
        <w:rPr>
          <w:rFonts w:ascii="Times New Roman" w:hAnsi="Times New Roman" w:cs="Times New Roman"/>
          <w:color w:val="231F20"/>
          <w:sz w:val="21"/>
          <w:szCs w:val="21"/>
        </w:rPr>
        <w:fldChar w:fldCharType="begin"/>
      </w:r>
      <w:r>
        <w:rPr>
          <w:rFonts w:ascii="Times New Roman" w:hAnsi="Times New Roman" w:cs="Times New Roman"/>
          <w:color w:val="231F20"/>
          <w:sz w:val="21"/>
          <w:szCs w:val="21"/>
        </w:rPr>
        <w:instrText xml:space="preserve"> REF _Ref430595466 \r \h </w:instrText>
      </w:r>
      <w:r>
        <w:rPr>
          <w:rFonts w:ascii="Times New Roman" w:hAnsi="Times New Roman" w:cs="Times New Roman"/>
          <w:color w:val="231F20"/>
          <w:sz w:val="21"/>
          <w:szCs w:val="21"/>
        </w:rPr>
      </w:r>
      <w:r>
        <w:rPr>
          <w:rFonts w:ascii="Times New Roman" w:hAnsi="Times New Roman" w:cs="Times New Roman"/>
          <w:color w:val="231F20"/>
          <w:sz w:val="21"/>
          <w:szCs w:val="21"/>
        </w:rPr>
        <w:fldChar w:fldCharType="separate"/>
      </w:r>
      <w:r>
        <w:rPr>
          <w:rFonts w:ascii="Times New Roman" w:hAnsi="Times New Roman" w:cs="Times New Roman"/>
          <w:color w:val="231F20"/>
          <w:sz w:val="21"/>
          <w:szCs w:val="21"/>
        </w:rPr>
        <w:t>55</w:t>
      </w:r>
      <w:r>
        <w:rPr>
          <w:rFonts w:ascii="Times New Roman" w:hAnsi="Times New Roman" w:cs="Times New Roman"/>
          <w:color w:val="231F20"/>
          <w:sz w:val="21"/>
          <w:szCs w:val="21"/>
        </w:rPr>
        <w:fldChar w:fldCharType="end"/>
      </w:r>
      <w:r w:rsidRPr="008B466E">
        <w:rPr>
          <w:rFonts w:ascii="Times New Roman" w:hAnsi="Times New Roman" w:cs="Times New Roman"/>
          <w:color w:val="231F20"/>
          <w:sz w:val="21"/>
          <w:szCs w:val="21"/>
        </w:rPr>
        <w:t>, с. 119], саме середній клас є ініціатором економічних і технологічних новацій, більш схильний до самоосвіти, безперервного нарощування інтелектуального потенціалу, а отже виступає основою конкурентоспроможного людського потенціалу країни.</w:t>
      </w:r>
    </w:p>
    <w:p w:rsidR="00B233DE" w:rsidRPr="003F5D3E" w:rsidRDefault="00B233DE" w:rsidP="00B233DE">
      <w:pPr>
        <w:autoSpaceDE w:val="0"/>
        <w:autoSpaceDN w:val="0"/>
        <w:adjustRightInd w:val="0"/>
        <w:ind w:firstLine="720"/>
        <w:jc w:val="both"/>
        <w:rPr>
          <w:rFonts w:cs="PetersburgC"/>
          <w:color w:val="231F20"/>
          <w:sz w:val="28"/>
          <w:szCs w:val="28"/>
        </w:rPr>
      </w:pPr>
      <w:r>
        <w:rPr>
          <w:noProof/>
          <w:lang w:val="ru-RU" w:eastAsia="ru-RU"/>
        </w:rPr>
        <mc:AlternateContent>
          <mc:Choice Requires="wpg">
            <w:drawing>
              <wp:anchor distT="0" distB="0" distL="114300" distR="114300" simplePos="0" relativeHeight="251662336" behindDoc="0" locked="0" layoutInCell="1" allowOverlap="1" wp14:anchorId="1C86FC36" wp14:editId="0186567F">
                <wp:simplePos x="0" y="0"/>
                <wp:positionH relativeFrom="column">
                  <wp:posOffset>16510</wp:posOffset>
                </wp:positionH>
                <wp:positionV relativeFrom="paragraph">
                  <wp:posOffset>177165</wp:posOffset>
                </wp:positionV>
                <wp:extent cx="3838575" cy="1938867"/>
                <wp:effectExtent l="0" t="0" r="28575" b="23495"/>
                <wp:wrapNone/>
                <wp:docPr id="122" name="Group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38575" cy="1938867"/>
                          <a:chOff x="2279" y="1631"/>
                          <a:chExt cx="7059" cy="2370"/>
                        </a:xfrm>
                      </wpg:grpSpPr>
                      <wps:wsp>
                        <wps:cNvPr id="123" name="Text Box 71"/>
                        <wps:cNvSpPr txBox="1">
                          <a:spLocks noChangeArrowheads="1"/>
                        </wps:cNvSpPr>
                        <wps:spPr bwMode="auto">
                          <a:xfrm>
                            <a:off x="2279" y="2048"/>
                            <a:ext cx="2118" cy="279"/>
                          </a:xfrm>
                          <a:prstGeom prst="rect">
                            <a:avLst/>
                          </a:prstGeom>
                          <a:solidFill>
                            <a:srgbClr val="FFFFFF"/>
                          </a:solidFill>
                          <a:ln w="9525">
                            <a:solidFill>
                              <a:srgbClr val="000000"/>
                            </a:solidFill>
                            <a:miter lim="800000"/>
                            <a:headEnd/>
                            <a:tailEnd/>
                          </a:ln>
                        </wps:spPr>
                        <wps:txbx>
                          <w:txbxContent>
                            <w:p w:rsidR="00BE40F8" w:rsidRPr="004806E9" w:rsidRDefault="00BE40F8" w:rsidP="00B233DE">
                              <w:pPr>
                                <w:ind w:firstLine="0"/>
                                <w:jc w:val="center"/>
                                <w:rPr>
                                  <w:rFonts w:ascii="Times New Roman" w:hAnsi="Times New Roman" w:cs="Times New Roman"/>
                                  <w:sz w:val="16"/>
                                  <w:szCs w:val="16"/>
                                </w:rPr>
                              </w:pPr>
                              <w:r w:rsidRPr="004806E9">
                                <w:rPr>
                                  <w:rFonts w:ascii="Times New Roman" w:hAnsi="Times New Roman" w:cs="Times New Roman"/>
                                  <w:sz w:val="16"/>
                                  <w:szCs w:val="16"/>
                                </w:rPr>
                                <w:t>Соціальна солідарність</w:t>
                              </w:r>
                            </w:p>
                          </w:txbxContent>
                        </wps:txbx>
                        <wps:bodyPr rot="0" vert="horz" wrap="square" lIns="91440" tIns="10800" rIns="91440" bIns="10800" anchor="t" anchorCtr="0" upright="1">
                          <a:noAutofit/>
                        </wps:bodyPr>
                      </wps:wsp>
                      <wps:wsp>
                        <wps:cNvPr id="124" name="Text Box 72"/>
                        <wps:cNvSpPr txBox="1">
                          <a:spLocks noChangeArrowheads="1"/>
                        </wps:cNvSpPr>
                        <wps:spPr bwMode="auto">
                          <a:xfrm>
                            <a:off x="5385" y="2048"/>
                            <a:ext cx="3952" cy="418"/>
                          </a:xfrm>
                          <a:prstGeom prst="rect">
                            <a:avLst/>
                          </a:prstGeom>
                          <a:solidFill>
                            <a:srgbClr val="FFFFFF"/>
                          </a:solidFill>
                          <a:ln w="9525">
                            <a:solidFill>
                              <a:srgbClr val="000000"/>
                            </a:solidFill>
                            <a:miter lim="800000"/>
                            <a:headEnd/>
                            <a:tailEnd/>
                          </a:ln>
                        </wps:spPr>
                        <wps:txbx>
                          <w:txbxContent>
                            <w:p w:rsidR="00BE40F8" w:rsidRPr="004806E9" w:rsidRDefault="00BE40F8" w:rsidP="00B233DE">
                              <w:pPr>
                                <w:ind w:firstLine="0"/>
                                <w:jc w:val="center"/>
                                <w:rPr>
                                  <w:rFonts w:ascii="Times New Roman" w:hAnsi="Times New Roman" w:cs="Times New Roman"/>
                                  <w:sz w:val="16"/>
                                  <w:szCs w:val="16"/>
                                </w:rPr>
                              </w:pPr>
                              <w:r w:rsidRPr="004806E9">
                                <w:rPr>
                                  <w:rFonts w:ascii="Times New Roman" w:hAnsi="Times New Roman" w:cs="Times New Roman"/>
                                  <w:sz w:val="16"/>
                                  <w:szCs w:val="16"/>
                                </w:rPr>
                                <w:t>Визначник стабільності, а, отже, передбачуваності інвестування</w:t>
                              </w:r>
                            </w:p>
                          </w:txbxContent>
                        </wps:txbx>
                        <wps:bodyPr rot="0" vert="horz" wrap="square" lIns="18000" tIns="10800" rIns="18000" bIns="10800" anchor="ctr" anchorCtr="0" upright="1">
                          <a:noAutofit/>
                        </wps:bodyPr>
                      </wps:wsp>
                      <wps:wsp>
                        <wps:cNvPr id="125" name="Text Box 73"/>
                        <wps:cNvSpPr txBox="1">
                          <a:spLocks noChangeArrowheads="1"/>
                        </wps:cNvSpPr>
                        <wps:spPr bwMode="auto">
                          <a:xfrm>
                            <a:off x="2279" y="2606"/>
                            <a:ext cx="2118" cy="279"/>
                          </a:xfrm>
                          <a:prstGeom prst="rect">
                            <a:avLst/>
                          </a:prstGeom>
                          <a:solidFill>
                            <a:srgbClr val="FFFFFF"/>
                          </a:solidFill>
                          <a:ln w="9525">
                            <a:solidFill>
                              <a:srgbClr val="000000"/>
                            </a:solidFill>
                            <a:miter lim="800000"/>
                            <a:headEnd/>
                            <a:tailEnd/>
                          </a:ln>
                        </wps:spPr>
                        <wps:txbx>
                          <w:txbxContent>
                            <w:p w:rsidR="00BE40F8" w:rsidRPr="004806E9" w:rsidRDefault="00BE40F8" w:rsidP="00B233DE">
                              <w:pPr>
                                <w:ind w:firstLine="0"/>
                                <w:jc w:val="center"/>
                                <w:rPr>
                                  <w:rFonts w:ascii="Times New Roman" w:hAnsi="Times New Roman" w:cs="Times New Roman"/>
                                  <w:sz w:val="16"/>
                                  <w:szCs w:val="16"/>
                                </w:rPr>
                              </w:pPr>
                              <w:r w:rsidRPr="004806E9">
                                <w:rPr>
                                  <w:rFonts w:ascii="Times New Roman" w:hAnsi="Times New Roman" w:cs="Times New Roman"/>
                                  <w:sz w:val="16"/>
                                  <w:szCs w:val="16"/>
                                </w:rPr>
                                <w:t>Сімейне благополуччя</w:t>
                              </w:r>
                            </w:p>
                          </w:txbxContent>
                        </wps:txbx>
                        <wps:bodyPr rot="0" vert="horz" wrap="square" lIns="91440" tIns="10800" rIns="91440" bIns="10800" anchor="t" anchorCtr="0" upright="1">
                          <a:noAutofit/>
                        </wps:bodyPr>
                      </wps:wsp>
                      <wps:wsp>
                        <wps:cNvPr id="126" name="Text Box 74"/>
                        <wps:cNvSpPr txBox="1">
                          <a:spLocks noChangeArrowheads="1"/>
                        </wps:cNvSpPr>
                        <wps:spPr bwMode="auto">
                          <a:xfrm>
                            <a:off x="5385" y="2606"/>
                            <a:ext cx="3952" cy="279"/>
                          </a:xfrm>
                          <a:prstGeom prst="rect">
                            <a:avLst/>
                          </a:prstGeom>
                          <a:solidFill>
                            <a:srgbClr val="FFFFFF"/>
                          </a:solidFill>
                          <a:ln w="9525">
                            <a:solidFill>
                              <a:srgbClr val="000000"/>
                            </a:solidFill>
                            <a:miter lim="800000"/>
                            <a:headEnd/>
                            <a:tailEnd/>
                          </a:ln>
                        </wps:spPr>
                        <wps:txbx>
                          <w:txbxContent>
                            <w:p w:rsidR="00BE40F8" w:rsidRPr="004806E9" w:rsidRDefault="00BE40F8" w:rsidP="00B233DE">
                              <w:pPr>
                                <w:ind w:firstLine="0"/>
                                <w:jc w:val="center"/>
                                <w:rPr>
                                  <w:rFonts w:ascii="Times New Roman" w:hAnsi="Times New Roman" w:cs="Times New Roman"/>
                                  <w:sz w:val="16"/>
                                  <w:szCs w:val="16"/>
                                </w:rPr>
                              </w:pPr>
                              <w:r w:rsidRPr="004806E9">
                                <w:rPr>
                                  <w:rFonts w:ascii="Times New Roman" w:hAnsi="Times New Roman" w:cs="Times New Roman"/>
                                  <w:sz w:val="16"/>
                                  <w:szCs w:val="16"/>
                                </w:rPr>
                                <w:t>Основа формування готовності ризикувати</w:t>
                              </w:r>
                            </w:p>
                          </w:txbxContent>
                        </wps:txbx>
                        <wps:bodyPr rot="0" vert="horz" wrap="square" lIns="18000" tIns="10800" rIns="18000" bIns="10800" anchor="t" anchorCtr="0" upright="1">
                          <a:noAutofit/>
                        </wps:bodyPr>
                      </wps:wsp>
                      <wps:wsp>
                        <wps:cNvPr id="127" name="Text Box 75"/>
                        <wps:cNvSpPr txBox="1">
                          <a:spLocks noChangeArrowheads="1"/>
                        </wps:cNvSpPr>
                        <wps:spPr bwMode="auto">
                          <a:xfrm>
                            <a:off x="2279" y="3024"/>
                            <a:ext cx="2118" cy="420"/>
                          </a:xfrm>
                          <a:prstGeom prst="rect">
                            <a:avLst/>
                          </a:prstGeom>
                          <a:solidFill>
                            <a:srgbClr val="FFFFFF"/>
                          </a:solidFill>
                          <a:ln w="9525">
                            <a:solidFill>
                              <a:srgbClr val="000000"/>
                            </a:solidFill>
                            <a:miter lim="800000"/>
                            <a:headEnd/>
                            <a:tailEnd/>
                          </a:ln>
                        </wps:spPr>
                        <wps:txbx>
                          <w:txbxContent>
                            <w:p w:rsidR="00BE40F8" w:rsidRPr="004806E9" w:rsidRDefault="00BE40F8" w:rsidP="00B233DE">
                              <w:pPr>
                                <w:ind w:firstLine="0"/>
                                <w:jc w:val="center"/>
                                <w:rPr>
                                  <w:rFonts w:ascii="Times New Roman" w:hAnsi="Times New Roman" w:cs="Times New Roman"/>
                                  <w:sz w:val="16"/>
                                  <w:szCs w:val="16"/>
                                </w:rPr>
                              </w:pPr>
                              <w:r w:rsidRPr="004806E9">
                                <w:rPr>
                                  <w:rFonts w:ascii="Times New Roman" w:hAnsi="Times New Roman" w:cs="Times New Roman"/>
                                  <w:sz w:val="16"/>
                                  <w:szCs w:val="16"/>
                                </w:rPr>
                                <w:t>Довіра до співгромадян та інститутів влади</w:t>
                              </w:r>
                            </w:p>
                          </w:txbxContent>
                        </wps:txbx>
                        <wps:bodyPr rot="0" vert="horz" wrap="square" lIns="91440" tIns="10800" rIns="91440" bIns="10800" anchor="t" anchorCtr="0" upright="1">
                          <a:noAutofit/>
                        </wps:bodyPr>
                      </wps:wsp>
                      <wps:wsp>
                        <wps:cNvPr id="128" name="Text Box 76"/>
                        <wps:cNvSpPr txBox="1">
                          <a:spLocks noChangeArrowheads="1"/>
                        </wps:cNvSpPr>
                        <wps:spPr bwMode="auto">
                          <a:xfrm>
                            <a:off x="5385" y="3024"/>
                            <a:ext cx="3952" cy="279"/>
                          </a:xfrm>
                          <a:prstGeom prst="rect">
                            <a:avLst/>
                          </a:prstGeom>
                          <a:solidFill>
                            <a:srgbClr val="FFFFFF"/>
                          </a:solidFill>
                          <a:ln w="9525">
                            <a:solidFill>
                              <a:srgbClr val="000000"/>
                            </a:solidFill>
                            <a:miter lim="800000"/>
                            <a:headEnd/>
                            <a:tailEnd/>
                          </a:ln>
                        </wps:spPr>
                        <wps:txbx>
                          <w:txbxContent>
                            <w:p w:rsidR="00BE40F8" w:rsidRPr="004806E9" w:rsidRDefault="00BE40F8" w:rsidP="00B233DE">
                              <w:pPr>
                                <w:ind w:firstLine="0"/>
                                <w:jc w:val="center"/>
                                <w:rPr>
                                  <w:rFonts w:ascii="Times New Roman" w:hAnsi="Times New Roman" w:cs="Times New Roman"/>
                                  <w:sz w:val="16"/>
                                  <w:szCs w:val="16"/>
                                </w:rPr>
                              </w:pPr>
                              <w:r w:rsidRPr="004806E9">
                                <w:rPr>
                                  <w:rFonts w:ascii="Times New Roman" w:hAnsi="Times New Roman" w:cs="Times New Roman"/>
                                  <w:sz w:val="16"/>
                                  <w:szCs w:val="16"/>
                                </w:rPr>
                                <w:t>Інституціональна стабільність</w:t>
                              </w:r>
                            </w:p>
                          </w:txbxContent>
                        </wps:txbx>
                        <wps:bodyPr rot="0" vert="horz" wrap="square" lIns="18000" tIns="10800" rIns="18000" bIns="10800" anchor="ctr" anchorCtr="0" upright="1">
                          <a:noAutofit/>
                        </wps:bodyPr>
                      </wps:wsp>
                      <wps:wsp>
                        <wps:cNvPr id="129" name="Text Box 77"/>
                        <wps:cNvSpPr txBox="1">
                          <a:spLocks noChangeArrowheads="1"/>
                        </wps:cNvSpPr>
                        <wps:spPr bwMode="auto">
                          <a:xfrm>
                            <a:off x="2279" y="3582"/>
                            <a:ext cx="2118" cy="419"/>
                          </a:xfrm>
                          <a:prstGeom prst="rect">
                            <a:avLst/>
                          </a:prstGeom>
                          <a:solidFill>
                            <a:srgbClr val="FFFFFF"/>
                          </a:solidFill>
                          <a:ln w="9525">
                            <a:solidFill>
                              <a:srgbClr val="000000"/>
                            </a:solidFill>
                            <a:miter lim="800000"/>
                            <a:headEnd/>
                            <a:tailEnd/>
                          </a:ln>
                        </wps:spPr>
                        <wps:txbx>
                          <w:txbxContent>
                            <w:p w:rsidR="00BE40F8" w:rsidRPr="004806E9" w:rsidRDefault="00BE40F8" w:rsidP="00B233DE">
                              <w:pPr>
                                <w:ind w:firstLine="0"/>
                                <w:jc w:val="center"/>
                                <w:rPr>
                                  <w:rFonts w:ascii="Times New Roman" w:hAnsi="Times New Roman" w:cs="Times New Roman"/>
                                  <w:sz w:val="16"/>
                                  <w:szCs w:val="16"/>
                                </w:rPr>
                              </w:pPr>
                              <w:r w:rsidRPr="004806E9">
                                <w:rPr>
                                  <w:rFonts w:ascii="Times New Roman" w:hAnsi="Times New Roman" w:cs="Times New Roman"/>
                                  <w:sz w:val="16"/>
                                  <w:szCs w:val="16"/>
                                </w:rPr>
                                <w:t>Розвиток соціальної культури</w:t>
                              </w:r>
                            </w:p>
                          </w:txbxContent>
                        </wps:txbx>
                        <wps:bodyPr rot="0" vert="horz" wrap="square" lIns="91440" tIns="10800" rIns="91440" bIns="10800" anchor="ctr" anchorCtr="0" upright="1">
                          <a:noAutofit/>
                        </wps:bodyPr>
                      </wps:wsp>
                      <wps:wsp>
                        <wps:cNvPr id="130" name="Text Box 78"/>
                        <wps:cNvSpPr txBox="1">
                          <a:spLocks noChangeArrowheads="1"/>
                        </wps:cNvSpPr>
                        <wps:spPr bwMode="auto">
                          <a:xfrm>
                            <a:off x="5385" y="3581"/>
                            <a:ext cx="3952" cy="419"/>
                          </a:xfrm>
                          <a:prstGeom prst="rect">
                            <a:avLst/>
                          </a:prstGeom>
                          <a:solidFill>
                            <a:srgbClr val="FFFFFF"/>
                          </a:solidFill>
                          <a:ln w="9525">
                            <a:solidFill>
                              <a:srgbClr val="000000"/>
                            </a:solidFill>
                            <a:miter lim="800000"/>
                            <a:headEnd/>
                            <a:tailEnd/>
                          </a:ln>
                        </wps:spPr>
                        <wps:txbx>
                          <w:txbxContent>
                            <w:p w:rsidR="00BE40F8" w:rsidRPr="004806E9" w:rsidRDefault="00BE40F8" w:rsidP="00B233DE">
                              <w:pPr>
                                <w:ind w:firstLine="0"/>
                                <w:jc w:val="center"/>
                                <w:rPr>
                                  <w:rFonts w:ascii="Times New Roman" w:hAnsi="Times New Roman" w:cs="Times New Roman"/>
                                  <w:sz w:val="16"/>
                                  <w:szCs w:val="16"/>
                                </w:rPr>
                              </w:pPr>
                              <w:r w:rsidRPr="004806E9">
                                <w:rPr>
                                  <w:rFonts w:ascii="Times New Roman" w:hAnsi="Times New Roman" w:cs="Times New Roman"/>
                                  <w:sz w:val="16"/>
                                  <w:szCs w:val="16"/>
                                </w:rPr>
                                <w:t>Сприяє інноваціям, що стимулюють економічний розвиток</w:t>
                              </w:r>
                            </w:p>
                          </w:txbxContent>
                        </wps:txbx>
                        <wps:bodyPr rot="0" vert="horz" wrap="square" lIns="18000" tIns="10800" rIns="18000" bIns="10800" anchor="ctr" anchorCtr="0" upright="1">
                          <a:noAutofit/>
                        </wps:bodyPr>
                      </wps:wsp>
                      <wps:wsp>
                        <wps:cNvPr id="131" name="Line 79"/>
                        <wps:cNvCnPr/>
                        <wps:spPr bwMode="auto">
                          <a:xfrm>
                            <a:off x="4397" y="3860"/>
                            <a:ext cx="988" cy="0"/>
                          </a:xfrm>
                          <a:prstGeom prst="line">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2" name="Line 80"/>
                        <wps:cNvCnPr/>
                        <wps:spPr bwMode="auto">
                          <a:xfrm>
                            <a:off x="4397" y="3163"/>
                            <a:ext cx="988" cy="0"/>
                          </a:xfrm>
                          <a:prstGeom prst="line">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3" name="Line 81"/>
                        <wps:cNvCnPr/>
                        <wps:spPr bwMode="auto">
                          <a:xfrm>
                            <a:off x="4397" y="2745"/>
                            <a:ext cx="988" cy="0"/>
                          </a:xfrm>
                          <a:prstGeom prst="line">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4" name="Line 82"/>
                        <wps:cNvCnPr/>
                        <wps:spPr bwMode="auto">
                          <a:xfrm>
                            <a:off x="4397" y="2188"/>
                            <a:ext cx="988" cy="0"/>
                          </a:xfrm>
                          <a:prstGeom prst="line">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135" name="Group 83"/>
                        <wpg:cNvGrpSpPr>
                          <a:grpSpLocks/>
                        </wpg:cNvGrpSpPr>
                        <wpg:grpSpPr bwMode="auto">
                          <a:xfrm>
                            <a:off x="2279" y="1631"/>
                            <a:ext cx="7059" cy="278"/>
                            <a:chOff x="2279" y="1491"/>
                            <a:chExt cx="7059" cy="279"/>
                          </a:xfrm>
                        </wpg:grpSpPr>
                        <wps:wsp>
                          <wps:cNvPr id="136" name="Text Box 84"/>
                          <wps:cNvSpPr txBox="1">
                            <a:spLocks noChangeArrowheads="1"/>
                          </wps:cNvSpPr>
                          <wps:spPr bwMode="auto">
                            <a:xfrm>
                              <a:off x="2279" y="1491"/>
                              <a:ext cx="2118" cy="279"/>
                            </a:xfrm>
                            <a:prstGeom prst="rect">
                              <a:avLst/>
                            </a:prstGeom>
                            <a:solidFill>
                              <a:srgbClr val="FFFFFF"/>
                            </a:solidFill>
                            <a:ln w="9525">
                              <a:solidFill>
                                <a:srgbClr val="000000"/>
                              </a:solidFill>
                              <a:miter lim="800000"/>
                              <a:headEnd/>
                              <a:tailEnd/>
                            </a:ln>
                          </wps:spPr>
                          <wps:txbx>
                            <w:txbxContent>
                              <w:p w:rsidR="00BE40F8" w:rsidRPr="004806E9" w:rsidRDefault="00BE40F8" w:rsidP="00B233DE">
                                <w:pPr>
                                  <w:ind w:firstLine="0"/>
                                  <w:jc w:val="center"/>
                                  <w:rPr>
                                    <w:rFonts w:ascii="Times New Roman" w:hAnsi="Times New Roman" w:cs="Times New Roman"/>
                                    <w:sz w:val="16"/>
                                    <w:szCs w:val="16"/>
                                  </w:rPr>
                                </w:pPr>
                                <w:r w:rsidRPr="004806E9">
                                  <w:rPr>
                                    <w:rFonts w:ascii="Times New Roman" w:hAnsi="Times New Roman" w:cs="Times New Roman"/>
                                    <w:sz w:val="16"/>
                                    <w:szCs w:val="16"/>
                                  </w:rPr>
                                  <w:t>Свобода особистості</w:t>
                                </w:r>
                              </w:p>
                            </w:txbxContent>
                          </wps:txbx>
                          <wps:bodyPr rot="0" vert="horz" wrap="square" lIns="0" tIns="0" rIns="0" bIns="0" anchor="ctr" anchorCtr="0" upright="1">
                            <a:noAutofit/>
                          </wps:bodyPr>
                        </wps:wsp>
                        <wps:wsp>
                          <wps:cNvPr id="137" name="Text Box 85"/>
                          <wps:cNvSpPr txBox="1">
                            <a:spLocks noChangeArrowheads="1"/>
                          </wps:cNvSpPr>
                          <wps:spPr bwMode="auto">
                            <a:xfrm>
                              <a:off x="5385" y="1491"/>
                              <a:ext cx="3953" cy="279"/>
                            </a:xfrm>
                            <a:prstGeom prst="rect">
                              <a:avLst/>
                            </a:prstGeom>
                            <a:solidFill>
                              <a:srgbClr val="FFFFFF"/>
                            </a:solidFill>
                            <a:ln w="9525">
                              <a:solidFill>
                                <a:srgbClr val="000000"/>
                              </a:solidFill>
                              <a:miter lim="800000"/>
                              <a:headEnd/>
                              <a:tailEnd/>
                            </a:ln>
                          </wps:spPr>
                          <wps:txbx>
                            <w:txbxContent>
                              <w:p w:rsidR="00BE40F8" w:rsidRPr="004806E9" w:rsidRDefault="00BE40F8" w:rsidP="00B233DE">
                                <w:pPr>
                                  <w:ind w:firstLine="0"/>
                                  <w:jc w:val="center"/>
                                  <w:rPr>
                                    <w:rFonts w:ascii="Times New Roman" w:hAnsi="Times New Roman" w:cs="Times New Roman"/>
                                    <w:sz w:val="16"/>
                                    <w:szCs w:val="16"/>
                                  </w:rPr>
                                </w:pPr>
                                <w:r w:rsidRPr="004806E9">
                                  <w:rPr>
                                    <w:rFonts w:ascii="Times New Roman" w:hAnsi="Times New Roman" w:cs="Times New Roman"/>
                                    <w:sz w:val="16"/>
                                    <w:szCs w:val="16"/>
                                  </w:rPr>
                                  <w:t>Необхідна передумова розвитку підприємництва</w:t>
                                </w:r>
                              </w:p>
                            </w:txbxContent>
                          </wps:txbx>
                          <wps:bodyPr rot="0" vert="horz" wrap="square" lIns="18000" tIns="10800" rIns="18000" bIns="10800" anchor="t" anchorCtr="0" upright="1">
                            <a:noAutofit/>
                          </wps:bodyPr>
                        </wps:wsp>
                        <wps:wsp>
                          <wps:cNvPr id="138" name="Line 86"/>
                          <wps:cNvCnPr/>
                          <wps:spPr bwMode="auto">
                            <a:xfrm>
                              <a:off x="4397" y="1631"/>
                              <a:ext cx="988" cy="0"/>
                            </a:xfrm>
                            <a:prstGeom prst="line">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margin">
                  <wp14:pctWidth>0</wp14:pctWidth>
                </wp14:sizeRelH>
                <wp14:sizeRelV relativeFrom="margin">
                  <wp14:pctHeight>0</wp14:pctHeight>
                </wp14:sizeRelV>
              </wp:anchor>
            </w:drawing>
          </mc:Choice>
          <mc:Fallback>
            <w:pict>
              <v:group w14:anchorId="1C86FC36" id="Group 70" o:spid="_x0000_s1093" style="position:absolute;left:0;text-align:left;margin-left:1.3pt;margin-top:13.95pt;width:302.25pt;height:152.65pt;z-index:251662336;mso-position-horizontal-relative:text;mso-position-vertical-relative:text;mso-width-relative:margin;mso-height-relative:margin" coordorigin="2279,1631" coordsize="7059,2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">
                <v:shape id="Text Box 71" o:spid="_x0000_s1094" type="#_x0000_t202" style="position:absolute;left:2279;top:2048;width:2118;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">
                  <v:textbox inset=",.3mm,,.3mm">
                    <w:txbxContent>
                      <w:p w:rsidR="00BE40F8" w:rsidRPr="004806E9" w:rsidRDefault="00BE40F8" w:rsidP="00B233DE">
                        <w:pPr>
                          <w:ind w:firstLine="0"/>
                          <w:jc w:val="center"/>
                          <w:rPr>
                            <w:rFonts w:ascii="Times New Roman" w:hAnsi="Times New Roman" w:cs="Times New Roman"/>
                            <w:sz w:val="16"/>
                            <w:szCs w:val="16"/>
                          </w:rPr>
                        </w:pPr>
                        <w:r w:rsidRPr="004806E9">
                          <w:rPr>
                            <w:rFonts w:ascii="Times New Roman" w:hAnsi="Times New Roman" w:cs="Times New Roman"/>
                            <w:sz w:val="16"/>
                            <w:szCs w:val="16"/>
                          </w:rPr>
                          <w:t>Соціальна солідарність</w:t>
                        </w:r>
                      </w:p>
                    </w:txbxContent>
                  </v:textbox>
                </v:shape>
                <v:shape id="Text Box 72" o:spid="_x0000_s1095" type="#_x0000_t202" style="position:absolute;left:5385;top:2048;width:3952;height:4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">
                  <v:textbox inset=".5mm,.3mm,.5mm,.3mm">
                    <w:txbxContent>
                      <w:p w:rsidR="00BE40F8" w:rsidRPr="004806E9" w:rsidRDefault="00BE40F8" w:rsidP="00B233DE">
                        <w:pPr>
                          <w:ind w:firstLine="0"/>
                          <w:jc w:val="center"/>
                          <w:rPr>
                            <w:rFonts w:ascii="Times New Roman" w:hAnsi="Times New Roman" w:cs="Times New Roman"/>
                            <w:sz w:val="16"/>
                            <w:szCs w:val="16"/>
                          </w:rPr>
                        </w:pPr>
                        <w:r w:rsidRPr="004806E9">
                          <w:rPr>
                            <w:rFonts w:ascii="Times New Roman" w:hAnsi="Times New Roman" w:cs="Times New Roman"/>
                            <w:sz w:val="16"/>
                            <w:szCs w:val="16"/>
                          </w:rPr>
                          <w:t>Визначник стабільності, а, отже, передбачуваності інвестування</w:t>
                        </w:r>
                      </w:p>
                    </w:txbxContent>
                  </v:textbox>
                </v:shape>
                <v:shape id="Text Box 73" o:spid="_x0000_s1096" type="#_x0000_t202" style="position:absolute;left:2279;top:2606;width:2118;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">
                  <v:textbox inset=",.3mm,,.3mm">
                    <w:txbxContent>
                      <w:p w:rsidR="00BE40F8" w:rsidRPr="004806E9" w:rsidRDefault="00BE40F8" w:rsidP="00B233DE">
                        <w:pPr>
                          <w:ind w:firstLine="0"/>
                          <w:jc w:val="center"/>
                          <w:rPr>
                            <w:rFonts w:ascii="Times New Roman" w:hAnsi="Times New Roman" w:cs="Times New Roman"/>
                            <w:sz w:val="16"/>
                            <w:szCs w:val="16"/>
                          </w:rPr>
                        </w:pPr>
                        <w:r w:rsidRPr="004806E9">
                          <w:rPr>
                            <w:rFonts w:ascii="Times New Roman" w:hAnsi="Times New Roman" w:cs="Times New Roman"/>
                            <w:sz w:val="16"/>
                            <w:szCs w:val="16"/>
                          </w:rPr>
                          <w:t>Сімейне благополуччя</w:t>
                        </w:r>
                      </w:p>
                    </w:txbxContent>
                  </v:textbox>
                </v:shape>
                <v:shape id="Text Box 74" o:spid="_x0000_s1097" type="#_x0000_t202" style="position:absolute;left:5385;top:2606;width:3952;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">
                  <v:textbox inset=".5mm,.3mm,.5mm,.3mm">
                    <w:txbxContent>
                      <w:p w:rsidR="00BE40F8" w:rsidRPr="004806E9" w:rsidRDefault="00BE40F8" w:rsidP="00B233DE">
                        <w:pPr>
                          <w:ind w:firstLine="0"/>
                          <w:jc w:val="center"/>
                          <w:rPr>
                            <w:rFonts w:ascii="Times New Roman" w:hAnsi="Times New Roman" w:cs="Times New Roman"/>
                            <w:sz w:val="16"/>
                            <w:szCs w:val="16"/>
                          </w:rPr>
                        </w:pPr>
                        <w:r w:rsidRPr="004806E9">
                          <w:rPr>
                            <w:rFonts w:ascii="Times New Roman" w:hAnsi="Times New Roman" w:cs="Times New Roman"/>
                            <w:sz w:val="16"/>
                            <w:szCs w:val="16"/>
                          </w:rPr>
                          <w:t>Основа формування готовності ризикувати</w:t>
                        </w:r>
                      </w:p>
                    </w:txbxContent>
                  </v:textbox>
                </v:shape>
                <v:shape id="Text Box 75" o:spid="_x0000_s1098" type="#_x0000_t202" style="position:absolute;left:2279;top:3024;width:2118;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">
                  <v:textbox inset=",.3mm,,.3mm">
                    <w:txbxContent>
                      <w:p w:rsidR="00BE40F8" w:rsidRPr="004806E9" w:rsidRDefault="00BE40F8" w:rsidP="00B233DE">
                        <w:pPr>
                          <w:ind w:firstLine="0"/>
                          <w:jc w:val="center"/>
                          <w:rPr>
                            <w:rFonts w:ascii="Times New Roman" w:hAnsi="Times New Roman" w:cs="Times New Roman"/>
                            <w:sz w:val="16"/>
                            <w:szCs w:val="16"/>
                          </w:rPr>
                        </w:pPr>
                        <w:r w:rsidRPr="004806E9">
                          <w:rPr>
                            <w:rFonts w:ascii="Times New Roman" w:hAnsi="Times New Roman" w:cs="Times New Roman"/>
                            <w:sz w:val="16"/>
                            <w:szCs w:val="16"/>
                          </w:rPr>
                          <w:t>Довіра до співгромадян та інститутів влади</w:t>
                        </w:r>
                      </w:p>
                    </w:txbxContent>
                  </v:textbox>
                </v:shape>
                <v:shape id="Text Box 76" o:spid="_x0000_s1099" type="#_x0000_t202" style="position:absolute;left:5385;top:3024;width:3952;height:2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">
                  <v:textbox inset=".5mm,.3mm,.5mm,.3mm">
                    <w:txbxContent>
                      <w:p w:rsidR="00BE40F8" w:rsidRPr="004806E9" w:rsidRDefault="00BE40F8" w:rsidP="00B233DE">
                        <w:pPr>
                          <w:ind w:firstLine="0"/>
                          <w:jc w:val="center"/>
                          <w:rPr>
                            <w:rFonts w:ascii="Times New Roman" w:hAnsi="Times New Roman" w:cs="Times New Roman"/>
                            <w:sz w:val="16"/>
                            <w:szCs w:val="16"/>
                          </w:rPr>
                        </w:pPr>
                        <w:r w:rsidRPr="004806E9">
                          <w:rPr>
                            <w:rFonts w:ascii="Times New Roman" w:hAnsi="Times New Roman" w:cs="Times New Roman"/>
                            <w:sz w:val="16"/>
                            <w:szCs w:val="16"/>
                          </w:rPr>
                          <w:t>Інституціональна стабільність</w:t>
                        </w:r>
                      </w:p>
                    </w:txbxContent>
                  </v:textbox>
                </v:shape>
                <v:shape id="Text Box 77" o:spid="_x0000_s1100" type="#_x0000_t202" style="position:absolute;left:2279;top:3582;width:2118;height:4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">
                  <v:textbox inset=",.3mm,,.3mm">
                    <w:txbxContent>
                      <w:p w:rsidR="00BE40F8" w:rsidRPr="004806E9" w:rsidRDefault="00BE40F8" w:rsidP="00B233DE">
                        <w:pPr>
                          <w:ind w:firstLine="0"/>
                          <w:jc w:val="center"/>
                          <w:rPr>
                            <w:rFonts w:ascii="Times New Roman" w:hAnsi="Times New Roman" w:cs="Times New Roman"/>
                            <w:sz w:val="16"/>
                            <w:szCs w:val="16"/>
                          </w:rPr>
                        </w:pPr>
                        <w:r w:rsidRPr="004806E9">
                          <w:rPr>
                            <w:rFonts w:ascii="Times New Roman" w:hAnsi="Times New Roman" w:cs="Times New Roman"/>
                            <w:sz w:val="16"/>
                            <w:szCs w:val="16"/>
                          </w:rPr>
                          <w:t>Розвиток соціальної культури</w:t>
                        </w:r>
                      </w:p>
                    </w:txbxContent>
                  </v:textbox>
                </v:shape>
                <v:shape id="Text Box 78" o:spid="_x0000_s1101" type="#_x0000_t202" style="position:absolute;left:5385;top:3581;width:3952;height:4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">
                  <v:textbox inset=".5mm,.3mm,.5mm,.3mm">
                    <w:txbxContent>
                      <w:p w:rsidR="00BE40F8" w:rsidRPr="004806E9" w:rsidRDefault="00BE40F8" w:rsidP="00B233DE">
                        <w:pPr>
                          <w:ind w:firstLine="0"/>
                          <w:jc w:val="center"/>
                          <w:rPr>
                            <w:rFonts w:ascii="Times New Roman" w:hAnsi="Times New Roman" w:cs="Times New Roman"/>
                            <w:sz w:val="16"/>
                            <w:szCs w:val="16"/>
                          </w:rPr>
                        </w:pPr>
                        <w:r w:rsidRPr="004806E9">
                          <w:rPr>
                            <w:rFonts w:ascii="Times New Roman" w:hAnsi="Times New Roman" w:cs="Times New Roman"/>
                            <w:sz w:val="16"/>
                            <w:szCs w:val="16"/>
                          </w:rPr>
                          <w:t>Сприяє інноваціям, що стимулюють економічний розвиток</w:t>
                        </w:r>
                      </w:p>
                    </w:txbxContent>
                  </v:textbox>
                </v:shape>
                <v:line id="Line 79" o:spid="_x0000_s1102" style="position:absolute;visibility:visible;mso-wrap-style:square" from="4397,3860" to="5385,3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" strokeweight=".5pt">
                  <v:stroke endarrow="block"/>
                </v:line>
                <v:line id="Line 80" o:spid="_x0000_s1103" style="position:absolute;visibility:visible;mso-wrap-style:square" from="4397,3163" to="5385,31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" strokeweight=".5pt">
                  <v:stroke endarrow="block"/>
                </v:line>
                <v:line id="Line 81" o:spid="_x0000_s1104" style="position:absolute;visibility:visible;mso-wrap-style:square" from="4397,2745" to="5385,27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" strokeweight=".5pt">
                  <v:stroke endarrow="block"/>
                </v:line>
                <v:line id="Line 82" o:spid="_x0000_s1105" style="position:absolute;visibility:visible;mso-wrap-style:square" from="4397,2188" to="5385,21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" strokeweight=".5pt">
                  <v:stroke endarrow="block"/>
                </v:line>
                <v:group id="Group 83" o:spid="_x0000_s1106" style="position:absolute;left:2279;top:1631;width:7059;height:278" coordorigin="2279,1491" coordsize="7059,2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shape id="Text Box 84" o:spid="_x0000_s1107" type="#_x0000_t202" style="position:absolute;left:2279;top:1491;width:2118;height:2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">
                    <v:textbox inset="0,0,0,0">
                      <w:txbxContent>
                        <w:p w:rsidR="00BE40F8" w:rsidRPr="004806E9" w:rsidRDefault="00BE40F8" w:rsidP="00B233DE">
                          <w:pPr>
                            <w:ind w:firstLine="0"/>
                            <w:jc w:val="center"/>
                            <w:rPr>
                              <w:rFonts w:ascii="Times New Roman" w:hAnsi="Times New Roman" w:cs="Times New Roman"/>
                              <w:sz w:val="16"/>
                              <w:szCs w:val="16"/>
                            </w:rPr>
                          </w:pPr>
                          <w:r w:rsidRPr="004806E9">
                            <w:rPr>
                              <w:rFonts w:ascii="Times New Roman" w:hAnsi="Times New Roman" w:cs="Times New Roman"/>
                              <w:sz w:val="16"/>
                              <w:szCs w:val="16"/>
                            </w:rPr>
                            <w:t>Свобода особистості</w:t>
                          </w:r>
                        </w:p>
                      </w:txbxContent>
                    </v:textbox>
                  </v:shape>
                  <v:shape id="Text Box 85" o:spid="_x0000_s1108" type="#_x0000_t202" style="position:absolute;left:5385;top:1491;width:3953;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">
                    <v:textbox inset=".5mm,.3mm,.5mm,.3mm">
                      <w:txbxContent>
                        <w:p w:rsidR="00BE40F8" w:rsidRPr="004806E9" w:rsidRDefault="00BE40F8" w:rsidP="00B233DE">
                          <w:pPr>
                            <w:ind w:firstLine="0"/>
                            <w:jc w:val="center"/>
                            <w:rPr>
                              <w:rFonts w:ascii="Times New Roman" w:hAnsi="Times New Roman" w:cs="Times New Roman"/>
                              <w:sz w:val="16"/>
                              <w:szCs w:val="16"/>
                            </w:rPr>
                          </w:pPr>
                          <w:r w:rsidRPr="004806E9">
                            <w:rPr>
                              <w:rFonts w:ascii="Times New Roman" w:hAnsi="Times New Roman" w:cs="Times New Roman"/>
                              <w:sz w:val="16"/>
                              <w:szCs w:val="16"/>
                            </w:rPr>
                            <w:t>Необхідна передумова розвитку підприємництва</w:t>
                          </w:r>
                        </w:p>
                      </w:txbxContent>
                    </v:textbox>
                  </v:shape>
                  <v:line id="Line 86" o:spid="_x0000_s1109" style="position:absolute;visibility:visible;mso-wrap-style:square" from="4397,1631" to="5385,16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" strokeweight=".5pt">
                    <v:stroke endarrow="block"/>
                  </v:line>
                </v:group>
              </v:group>
            </w:pict>
          </mc:Fallback>
        </mc:AlternateContent>
      </w:r>
    </w:p>
    <w:p w:rsidR="00B233DE" w:rsidRPr="00721C34" w:rsidRDefault="00B233DE" w:rsidP="00B233DE">
      <w:pPr>
        <w:widowControl w:val="0"/>
        <w:contextualSpacing/>
        <w:jc w:val="both"/>
        <w:rPr>
          <w:rFonts w:ascii="Times New Roman" w:hAnsi="Times New Roman" w:cs="Times New Roman"/>
          <w:b/>
          <w:sz w:val="21"/>
          <w:szCs w:val="21"/>
        </w:rPr>
      </w:pPr>
    </w:p>
    <w:p w:rsidR="00B233DE" w:rsidRPr="00721C34" w:rsidRDefault="00B233DE" w:rsidP="00B233DE">
      <w:pPr>
        <w:widowControl w:val="0"/>
        <w:spacing w:line="233" w:lineRule="auto"/>
        <w:contextualSpacing/>
        <w:jc w:val="both"/>
        <w:rPr>
          <w:rFonts w:ascii="Times New Roman" w:hAnsi="Times New Roman" w:cs="Times New Roman"/>
          <w:b/>
          <w:sz w:val="21"/>
          <w:szCs w:val="21"/>
        </w:rPr>
      </w:pPr>
    </w:p>
    <w:p w:rsidR="00B233DE" w:rsidRPr="00721C34" w:rsidRDefault="00B233DE" w:rsidP="00B233DE">
      <w:pPr>
        <w:widowControl w:val="0"/>
        <w:spacing w:line="233" w:lineRule="auto"/>
        <w:contextualSpacing/>
        <w:jc w:val="both"/>
        <w:rPr>
          <w:rFonts w:ascii="Times New Roman" w:hAnsi="Times New Roman" w:cs="Times New Roman"/>
          <w:b/>
          <w:sz w:val="21"/>
          <w:szCs w:val="21"/>
        </w:rPr>
      </w:pPr>
    </w:p>
    <w:p w:rsidR="00B233DE" w:rsidRPr="00721C34" w:rsidRDefault="00B233DE" w:rsidP="00B233DE">
      <w:pPr>
        <w:widowControl w:val="0"/>
        <w:spacing w:line="233" w:lineRule="auto"/>
        <w:contextualSpacing/>
        <w:jc w:val="both"/>
        <w:rPr>
          <w:rFonts w:ascii="Times New Roman" w:hAnsi="Times New Roman" w:cs="Times New Roman"/>
          <w:b/>
          <w:sz w:val="21"/>
          <w:szCs w:val="21"/>
        </w:rPr>
      </w:pPr>
    </w:p>
    <w:p w:rsidR="00B233DE" w:rsidRPr="00721C34" w:rsidRDefault="00B233DE" w:rsidP="00B233DE">
      <w:pPr>
        <w:widowControl w:val="0"/>
        <w:spacing w:line="233" w:lineRule="auto"/>
        <w:contextualSpacing/>
        <w:jc w:val="both"/>
        <w:rPr>
          <w:rFonts w:ascii="Times New Roman" w:hAnsi="Times New Roman" w:cs="Times New Roman"/>
          <w:b/>
          <w:sz w:val="21"/>
          <w:szCs w:val="21"/>
        </w:rPr>
      </w:pPr>
    </w:p>
    <w:p w:rsidR="00B233DE" w:rsidRPr="00721C34" w:rsidRDefault="00B233DE" w:rsidP="00B233DE">
      <w:pPr>
        <w:widowControl w:val="0"/>
        <w:spacing w:line="233" w:lineRule="auto"/>
        <w:contextualSpacing/>
        <w:jc w:val="both"/>
        <w:rPr>
          <w:rFonts w:ascii="Times New Roman" w:hAnsi="Times New Roman" w:cs="Times New Roman"/>
          <w:b/>
          <w:sz w:val="21"/>
          <w:szCs w:val="21"/>
        </w:rPr>
      </w:pPr>
    </w:p>
    <w:p w:rsidR="00B233DE" w:rsidRPr="00721C34" w:rsidRDefault="00B233DE" w:rsidP="00B233DE">
      <w:pPr>
        <w:widowControl w:val="0"/>
        <w:spacing w:line="233" w:lineRule="auto"/>
        <w:contextualSpacing/>
        <w:jc w:val="both"/>
        <w:rPr>
          <w:rFonts w:ascii="Times New Roman" w:hAnsi="Times New Roman" w:cs="Times New Roman"/>
          <w:b/>
          <w:sz w:val="21"/>
          <w:szCs w:val="21"/>
        </w:rPr>
      </w:pPr>
    </w:p>
    <w:p w:rsidR="00B233DE" w:rsidRPr="00721C34" w:rsidRDefault="00B233DE" w:rsidP="00B233DE">
      <w:pPr>
        <w:widowControl w:val="0"/>
        <w:spacing w:line="233" w:lineRule="auto"/>
        <w:contextualSpacing/>
        <w:jc w:val="both"/>
        <w:rPr>
          <w:rFonts w:ascii="Times New Roman" w:hAnsi="Times New Roman" w:cs="Times New Roman"/>
          <w:b/>
          <w:sz w:val="21"/>
          <w:szCs w:val="21"/>
        </w:rPr>
      </w:pPr>
    </w:p>
    <w:p w:rsidR="00B233DE" w:rsidRPr="00721C34" w:rsidRDefault="00B233DE" w:rsidP="00B233DE">
      <w:pPr>
        <w:widowControl w:val="0"/>
        <w:tabs>
          <w:tab w:val="left" w:pos="1838"/>
        </w:tabs>
        <w:spacing w:line="233" w:lineRule="auto"/>
        <w:contextualSpacing/>
        <w:jc w:val="both"/>
        <w:rPr>
          <w:rFonts w:ascii="Times New Roman" w:hAnsi="Times New Roman" w:cs="Times New Roman"/>
          <w:b/>
          <w:sz w:val="21"/>
          <w:szCs w:val="21"/>
        </w:rPr>
      </w:pPr>
      <w:r>
        <w:rPr>
          <w:rFonts w:ascii="Times New Roman" w:hAnsi="Times New Roman" w:cs="Times New Roman"/>
          <w:b/>
          <w:sz w:val="21"/>
          <w:szCs w:val="21"/>
        </w:rPr>
        <w:tab/>
      </w:r>
    </w:p>
    <w:p w:rsidR="00B233DE" w:rsidRDefault="00B233DE" w:rsidP="00B233DE">
      <w:pPr>
        <w:widowControl w:val="0"/>
        <w:spacing w:line="233" w:lineRule="auto"/>
        <w:contextualSpacing/>
        <w:jc w:val="both"/>
        <w:rPr>
          <w:rFonts w:ascii="Times New Roman" w:hAnsi="Times New Roman" w:cs="Times New Roman"/>
          <w:b/>
          <w:sz w:val="21"/>
          <w:szCs w:val="21"/>
        </w:rPr>
      </w:pPr>
    </w:p>
    <w:p w:rsidR="00B233DE" w:rsidRDefault="00B233DE" w:rsidP="00B233DE">
      <w:pPr>
        <w:widowControl w:val="0"/>
        <w:spacing w:line="233" w:lineRule="auto"/>
        <w:contextualSpacing/>
        <w:jc w:val="both"/>
        <w:rPr>
          <w:rFonts w:ascii="Times New Roman" w:hAnsi="Times New Roman" w:cs="Times New Roman"/>
          <w:b/>
          <w:sz w:val="21"/>
          <w:szCs w:val="21"/>
        </w:rPr>
      </w:pPr>
    </w:p>
    <w:p w:rsidR="00B233DE" w:rsidRDefault="00B233DE" w:rsidP="00B233DE">
      <w:pPr>
        <w:widowControl w:val="0"/>
        <w:spacing w:line="233" w:lineRule="auto"/>
        <w:contextualSpacing/>
        <w:jc w:val="both"/>
        <w:rPr>
          <w:rFonts w:ascii="Times New Roman" w:hAnsi="Times New Roman" w:cs="Times New Roman"/>
          <w:b/>
          <w:sz w:val="21"/>
          <w:szCs w:val="21"/>
        </w:rPr>
      </w:pPr>
    </w:p>
    <w:p w:rsidR="00B233DE" w:rsidRDefault="00B233DE" w:rsidP="00B233DE">
      <w:pPr>
        <w:widowControl w:val="0"/>
        <w:spacing w:line="233" w:lineRule="auto"/>
        <w:contextualSpacing/>
        <w:jc w:val="both"/>
        <w:rPr>
          <w:rFonts w:ascii="Times New Roman" w:hAnsi="Times New Roman" w:cs="Times New Roman"/>
          <w:b/>
          <w:sz w:val="21"/>
          <w:szCs w:val="21"/>
        </w:rPr>
      </w:pPr>
    </w:p>
    <w:p w:rsidR="00B233DE" w:rsidRPr="008B466E" w:rsidRDefault="00B233DE" w:rsidP="00B233DE">
      <w:pPr>
        <w:autoSpaceDE w:val="0"/>
        <w:autoSpaceDN w:val="0"/>
        <w:adjustRightInd w:val="0"/>
        <w:jc w:val="center"/>
        <w:rPr>
          <w:rFonts w:ascii="Times New Roman" w:hAnsi="Times New Roman" w:cs="Times New Roman"/>
          <w:b/>
          <w:color w:val="231F20"/>
          <w:sz w:val="21"/>
          <w:szCs w:val="21"/>
        </w:rPr>
      </w:pPr>
      <w:r w:rsidRPr="008B466E">
        <w:rPr>
          <w:rFonts w:ascii="Times New Roman" w:hAnsi="Times New Roman" w:cs="Times New Roman"/>
          <w:b/>
          <w:color w:val="231F20"/>
          <w:sz w:val="21"/>
          <w:szCs w:val="21"/>
        </w:rPr>
        <w:t>Рис. 1.</w:t>
      </w:r>
      <w:r>
        <w:rPr>
          <w:rFonts w:ascii="Times New Roman" w:hAnsi="Times New Roman" w:cs="Times New Roman"/>
          <w:b/>
          <w:color w:val="231F20"/>
          <w:sz w:val="21"/>
          <w:szCs w:val="21"/>
        </w:rPr>
        <w:t>6.</w:t>
      </w:r>
      <w:r w:rsidRPr="008B466E">
        <w:rPr>
          <w:rFonts w:ascii="Times New Roman" w:hAnsi="Times New Roman" w:cs="Times New Roman"/>
          <w:b/>
          <w:color w:val="231F20"/>
          <w:sz w:val="21"/>
          <w:szCs w:val="21"/>
        </w:rPr>
        <w:t xml:space="preserve"> Соціальний розвиток як фактор економічного зростання в інформаційну епоху*</w:t>
      </w:r>
    </w:p>
    <w:p w:rsidR="00B233DE" w:rsidRPr="004806E9" w:rsidRDefault="00B233DE" w:rsidP="00B233DE">
      <w:pPr>
        <w:autoSpaceDE w:val="0"/>
        <w:autoSpaceDN w:val="0"/>
        <w:adjustRightInd w:val="0"/>
        <w:jc w:val="both"/>
        <w:rPr>
          <w:rFonts w:ascii="Times New Roman" w:hAnsi="Times New Roman" w:cs="Times New Roman"/>
          <w:color w:val="231F20"/>
          <w:sz w:val="18"/>
          <w:szCs w:val="18"/>
        </w:rPr>
      </w:pPr>
      <w:r w:rsidRPr="004806E9">
        <w:rPr>
          <w:rFonts w:ascii="Times New Roman" w:hAnsi="Times New Roman" w:cs="Times New Roman"/>
          <w:color w:val="231F20"/>
          <w:sz w:val="18"/>
          <w:szCs w:val="18"/>
        </w:rPr>
        <w:t xml:space="preserve">* - сформовано автором </w:t>
      </w:r>
      <w:r>
        <w:rPr>
          <w:rFonts w:ascii="Times New Roman" w:hAnsi="Times New Roman" w:cs="Times New Roman"/>
          <w:color w:val="231F20"/>
          <w:sz w:val="18"/>
          <w:szCs w:val="18"/>
        </w:rPr>
        <w:t xml:space="preserve">розділу </w:t>
      </w:r>
      <w:r w:rsidRPr="004806E9">
        <w:rPr>
          <w:rFonts w:ascii="Times New Roman" w:hAnsi="Times New Roman" w:cs="Times New Roman"/>
          <w:color w:val="231F20"/>
          <w:sz w:val="18"/>
          <w:szCs w:val="18"/>
        </w:rPr>
        <w:t>на основі [</w:t>
      </w:r>
      <w:r w:rsidRPr="004806E9">
        <w:rPr>
          <w:rFonts w:ascii="Times New Roman" w:hAnsi="Times New Roman" w:cs="Times New Roman"/>
          <w:color w:val="231F20"/>
          <w:sz w:val="18"/>
          <w:szCs w:val="18"/>
        </w:rPr>
        <w:fldChar w:fldCharType="begin"/>
      </w:r>
      <w:r w:rsidRPr="004806E9">
        <w:rPr>
          <w:rFonts w:ascii="Times New Roman" w:hAnsi="Times New Roman" w:cs="Times New Roman"/>
          <w:color w:val="231F20"/>
          <w:sz w:val="18"/>
          <w:szCs w:val="18"/>
        </w:rPr>
        <w:instrText xml:space="preserve"> REF _Ref430595131 \r \h </w:instrText>
      </w:r>
      <w:r>
        <w:rPr>
          <w:rFonts w:ascii="Times New Roman" w:hAnsi="Times New Roman" w:cs="Times New Roman"/>
          <w:color w:val="231F20"/>
          <w:sz w:val="18"/>
          <w:szCs w:val="18"/>
        </w:rPr>
        <w:instrText xml:space="preserve"> \* MERGEFORMAT </w:instrText>
      </w:r>
      <w:r w:rsidRPr="004806E9">
        <w:rPr>
          <w:rFonts w:ascii="Times New Roman" w:hAnsi="Times New Roman" w:cs="Times New Roman"/>
          <w:color w:val="231F20"/>
          <w:sz w:val="18"/>
          <w:szCs w:val="18"/>
        </w:rPr>
      </w:r>
      <w:r w:rsidRPr="004806E9">
        <w:rPr>
          <w:rFonts w:ascii="Times New Roman" w:hAnsi="Times New Roman" w:cs="Times New Roman"/>
          <w:color w:val="231F20"/>
          <w:sz w:val="18"/>
          <w:szCs w:val="18"/>
        </w:rPr>
        <w:fldChar w:fldCharType="separate"/>
      </w:r>
      <w:r>
        <w:rPr>
          <w:rFonts w:ascii="Times New Roman" w:hAnsi="Times New Roman" w:cs="Times New Roman"/>
          <w:color w:val="231F20"/>
          <w:sz w:val="18"/>
          <w:szCs w:val="18"/>
        </w:rPr>
        <w:t>21</w:t>
      </w:r>
      <w:r w:rsidRPr="004806E9">
        <w:rPr>
          <w:rFonts w:ascii="Times New Roman" w:hAnsi="Times New Roman" w:cs="Times New Roman"/>
          <w:color w:val="231F20"/>
          <w:sz w:val="18"/>
          <w:szCs w:val="18"/>
        </w:rPr>
        <w:fldChar w:fldCharType="end"/>
      </w:r>
      <w:r w:rsidRPr="004806E9">
        <w:rPr>
          <w:rFonts w:ascii="Times New Roman" w:hAnsi="Times New Roman" w:cs="Times New Roman"/>
          <w:color w:val="231F20"/>
          <w:sz w:val="18"/>
          <w:szCs w:val="18"/>
        </w:rPr>
        <w:t>, с. 100]</w:t>
      </w:r>
    </w:p>
    <w:p w:rsidR="00B233DE" w:rsidRDefault="00B233DE" w:rsidP="00B233DE">
      <w:pPr>
        <w:autoSpaceDE w:val="0"/>
        <w:autoSpaceDN w:val="0"/>
        <w:adjustRightInd w:val="0"/>
        <w:ind w:firstLine="720"/>
        <w:jc w:val="both"/>
        <w:rPr>
          <w:rFonts w:ascii="Times New Roman" w:hAnsi="Times New Roman" w:cs="Times New Roman"/>
          <w:color w:val="231F20"/>
          <w:sz w:val="21"/>
          <w:szCs w:val="21"/>
        </w:rPr>
      </w:pPr>
    </w:p>
    <w:p w:rsidR="00B233DE" w:rsidRPr="008B466E" w:rsidRDefault="00B233DE" w:rsidP="00B233DE">
      <w:pPr>
        <w:autoSpaceDE w:val="0"/>
        <w:autoSpaceDN w:val="0"/>
        <w:adjustRightInd w:val="0"/>
        <w:ind w:firstLine="720"/>
        <w:jc w:val="both"/>
        <w:rPr>
          <w:rFonts w:ascii="Times New Roman" w:hAnsi="Times New Roman" w:cs="Times New Roman"/>
          <w:color w:val="231F20"/>
          <w:sz w:val="21"/>
          <w:szCs w:val="21"/>
        </w:rPr>
      </w:pPr>
      <w:r w:rsidRPr="008B466E">
        <w:rPr>
          <w:rFonts w:ascii="Times New Roman" w:hAnsi="Times New Roman" w:cs="Times New Roman"/>
          <w:color w:val="231F20"/>
          <w:sz w:val="21"/>
          <w:szCs w:val="21"/>
        </w:rPr>
        <w:t>Формування соціального потенціалу значною мірою залежить від рівня розвитку відповідного інституціонального середовища (табл. 1.1</w:t>
      </w:r>
      <w:r>
        <w:rPr>
          <w:rFonts w:ascii="Times New Roman" w:hAnsi="Times New Roman" w:cs="Times New Roman"/>
          <w:color w:val="231F20"/>
          <w:sz w:val="21"/>
          <w:szCs w:val="21"/>
        </w:rPr>
        <w:t>0</w:t>
      </w:r>
      <w:r w:rsidRPr="008B466E">
        <w:rPr>
          <w:rFonts w:ascii="Times New Roman" w:hAnsi="Times New Roman" w:cs="Times New Roman"/>
          <w:color w:val="231F20"/>
          <w:sz w:val="21"/>
          <w:szCs w:val="21"/>
        </w:rPr>
        <w:t>).</w:t>
      </w:r>
    </w:p>
    <w:p w:rsidR="00B233DE" w:rsidRPr="008B466E" w:rsidRDefault="00B233DE" w:rsidP="00B233DE">
      <w:pPr>
        <w:autoSpaceDE w:val="0"/>
        <w:autoSpaceDN w:val="0"/>
        <w:adjustRightInd w:val="0"/>
        <w:jc w:val="right"/>
        <w:rPr>
          <w:rFonts w:ascii="Times New Roman" w:hAnsi="Times New Roman" w:cs="Times New Roman"/>
          <w:color w:val="231F20"/>
          <w:sz w:val="21"/>
          <w:szCs w:val="21"/>
        </w:rPr>
      </w:pPr>
      <w:r w:rsidRPr="008B466E">
        <w:rPr>
          <w:rFonts w:ascii="Times New Roman" w:hAnsi="Times New Roman" w:cs="Times New Roman"/>
          <w:color w:val="231F20"/>
          <w:sz w:val="21"/>
          <w:szCs w:val="21"/>
        </w:rPr>
        <w:lastRenderedPageBreak/>
        <w:t>Таблиця 1.1</w:t>
      </w:r>
      <w:r>
        <w:rPr>
          <w:rFonts w:ascii="Times New Roman" w:hAnsi="Times New Roman" w:cs="Times New Roman"/>
          <w:color w:val="231F20"/>
          <w:sz w:val="21"/>
          <w:szCs w:val="21"/>
        </w:rPr>
        <w:t>0</w:t>
      </w:r>
    </w:p>
    <w:p w:rsidR="00B233DE" w:rsidRPr="00A71A64" w:rsidRDefault="00B233DE" w:rsidP="00B233DE">
      <w:pPr>
        <w:autoSpaceDE w:val="0"/>
        <w:autoSpaceDN w:val="0"/>
        <w:adjustRightInd w:val="0"/>
        <w:jc w:val="center"/>
        <w:rPr>
          <w:rFonts w:ascii="Times New Roman" w:hAnsi="Times New Roman" w:cs="Times New Roman"/>
          <w:b/>
          <w:color w:val="231F20"/>
          <w:sz w:val="21"/>
          <w:szCs w:val="21"/>
        </w:rPr>
      </w:pPr>
      <w:r w:rsidRPr="00A71A64">
        <w:rPr>
          <w:rFonts w:ascii="Times New Roman" w:hAnsi="Times New Roman" w:cs="Times New Roman"/>
          <w:b/>
          <w:color w:val="231F20"/>
          <w:sz w:val="21"/>
          <w:szCs w:val="21"/>
        </w:rPr>
        <w:t>Основні інститути, задіяні у підвищенні конкурентоспроможності соціальної складової людського потенціалу постіндустріального суспільств</w:t>
      </w:r>
      <w:r w:rsidRPr="00AA52C4">
        <w:rPr>
          <w:rFonts w:ascii="Times New Roman" w:hAnsi="Times New Roman" w:cs="Times New Roman"/>
          <w:b/>
          <w:color w:val="231F20"/>
          <w:sz w:val="21"/>
          <w:szCs w:val="21"/>
        </w:rPr>
        <w:t>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4962"/>
      </w:tblGrid>
      <w:tr w:rsidR="00B233DE" w:rsidRPr="00425B65" w:rsidTr="0023489B">
        <w:tc>
          <w:tcPr>
            <w:tcW w:w="1134" w:type="dxa"/>
            <w:shd w:val="clear" w:color="auto" w:fill="auto"/>
          </w:tcPr>
          <w:p w:rsidR="00B233DE" w:rsidRPr="001F4EFA" w:rsidRDefault="00B233DE" w:rsidP="0023489B">
            <w:pPr>
              <w:autoSpaceDE w:val="0"/>
              <w:autoSpaceDN w:val="0"/>
              <w:adjustRightInd w:val="0"/>
              <w:ind w:right="-108" w:firstLine="0"/>
              <w:jc w:val="center"/>
              <w:rPr>
                <w:rFonts w:ascii="Times New Roman" w:eastAsia="SimSun" w:hAnsi="Times New Roman" w:cs="Times New Roman"/>
                <w:color w:val="231F20"/>
                <w:sz w:val="16"/>
                <w:szCs w:val="16"/>
              </w:rPr>
            </w:pPr>
            <w:r w:rsidRPr="001F4EFA">
              <w:rPr>
                <w:rFonts w:ascii="Times New Roman" w:eastAsia="SimSun" w:hAnsi="Times New Roman" w:cs="Times New Roman"/>
                <w:color w:val="231F20"/>
                <w:sz w:val="16"/>
                <w:szCs w:val="16"/>
              </w:rPr>
              <w:t>Інститути</w:t>
            </w:r>
          </w:p>
        </w:tc>
        <w:tc>
          <w:tcPr>
            <w:tcW w:w="4962" w:type="dxa"/>
            <w:shd w:val="clear" w:color="auto" w:fill="auto"/>
          </w:tcPr>
          <w:p w:rsidR="00B233DE" w:rsidRPr="001F4EFA" w:rsidRDefault="00B233DE" w:rsidP="0023489B">
            <w:pPr>
              <w:autoSpaceDE w:val="0"/>
              <w:autoSpaceDN w:val="0"/>
              <w:adjustRightInd w:val="0"/>
              <w:ind w:right="-108" w:firstLine="0"/>
              <w:jc w:val="center"/>
              <w:rPr>
                <w:rFonts w:ascii="Times New Roman" w:eastAsia="SimSun" w:hAnsi="Times New Roman" w:cs="Times New Roman"/>
                <w:color w:val="231F20"/>
                <w:sz w:val="16"/>
                <w:szCs w:val="16"/>
              </w:rPr>
            </w:pPr>
            <w:r w:rsidRPr="001F4EFA">
              <w:rPr>
                <w:rFonts w:ascii="Times New Roman" w:eastAsia="SimSun" w:hAnsi="Times New Roman" w:cs="Times New Roman"/>
                <w:color w:val="231F20"/>
                <w:sz w:val="16"/>
                <w:szCs w:val="16"/>
              </w:rPr>
              <w:t>Функції інститутів</w:t>
            </w:r>
          </w:p>
        </w:tc>
      </w:tr>
      <w:tr w:rsidR="00B233DE" w:rsidRPr="00425B65" w:rsidTr="0023489B">
        <w:tc>
          <w:tcPr>
            <w:tcW w:w="1134" w:type="dxa"/>
            <w:shd w:val="clear" w:color="auto" w:fill="auto"/>
            <w:vAlign w:val="center"/>
          </w:tcPr>
          <w:p w:rsidR="00B233DE" w:rsidRPr="001F4EFA" w:rsidRDefault="00B233DE" w:rsidP="0023489B">
            <w:pPr>
              <w:tabs>
                <w:tab w:val="left" w:pos="2920"/>
              </w:tabs>
              <w:autoSpaceDE w:val="0"/>
              <w:autoSpaceDN w:val="0"/>
              <w:adjustRightInd w:val="0"/>
              <w:ind w:left="-108" w:right="-108" w:firstLine="0"/>
              <w:jc w:val="center"/>
              <w:rPr>
                <w:rFonts w:ascii="Times New Roman" w:eastAsia="SimSun" w:hAnsi="Times New Roman" w:cs="Times New Roman"/>
                <w:color w:val="231F20"/>
                <w:sz w:val="16"/>
                <w:szCs w:val="16"/>
              </w:rPr>
            </w:pPr>
            <w:r w:rsidRPr="001F4EFA">
              <w:rPr>
                <w:rFonts w:ascii="Times New Roman" w:eastAsia="SimSun" w:hAnsi="Times New Roman" w:cs="Times New Roman"/>
                <w:color w:val="231F20"/>
                <w:sz w:val="16"/>
                <w:szCs w:val="16"/>
              </w:rPr>
              <w:t>Держава</w:t>
            </w:r>
          </w:p>
        </w:tc>
        <w:tc>
          <w:tcPr>
            <w:tcW w:w="4962" w:type="dxa"/>
            <w:shd w:val="clear" w:color="auto" w:fill="auto"/>
          </w:tcPr>
          <w:p w:rsidR="00B233DE" w:rsidRPr="001F4EFA" w:rsidRDefault="00B233DE" w:rsidP="0023489B">
            <w:pPr>
              <w:autoSpaceDE w:val="0"/>
              <w:autoSpaceDN w:val="0"/>
              <w:adjustRightInd w:val="0"/>
              <w:ind w:left="-108" w:right="-108" w:firstLine="0"/>
              <w:jc w:val="both"/>
              <w:rPr>
                <w:rFonts w:ascii="Times New Roman" w:eastAsia="SimSun" w:hAnsi="Times New Roman" w:cs="Times New Roman"/>
                <w:color w:val="231F20"/>
                <w:sz w:val="16"/>
                <w:szCs w:val="16"/>
              </w:rPr>
            </w:pPr>
            <w:r w:rsidRPr="001F4EFA">
              <w:rPr>
                <w:rFonts w:ascii="Times New Roman" w:eastAsia="SimSun" w:hAnsi="Times New Roman" w:cs="Times New Roman"/>
                <w:color w:val="231F20"/>
                <w:sz w:val="16"/>
                <w:szCs w:val="16"/>
              </w:rPr>
              <w:t>Реалізація соціальної політики, яка через покращення добробуту населення та соціального клімату в держ</w:t>
            </w:r>
            <w:r>
              <w:rPr>
                <w:rFonts w:ascii="Times New Roman" w:eastAsia="SimSun" w:hAnsi="Times New Roman" w:cs="Times New Roman"/>
                <w:color w:val="231F20"/>
                <w:sz w:val="16"/>
                <w:szCs w:val="16"/>
              </w:rPr>
              <w:t>аві, сприяння сталому зростанню</w:t>
            </w:r>
            <w:r w:rsidRPr="001F4EFA">
              <w:rPr>
                <w:rFonts w:ascii="Times New Roman" w:eastAsia="SimSun" w:hAnsi="Times New Roman" w:cs="Times New Roman"/>
                <w:color w:val="231F20"/>
                <w:sz w:val="16"/>
                <w:szCs w:val="16"/>
              </w:rPr>
              <w:t xml:space="preserve"> науково-технологічного потенціалу, припинення виснаження природних ресурсів стимулює розвиток і підвищення людського потенціалу національної економіки</w:t>
            </w:r>
          </w:p>
        </w:tc>
      </w:tr>
      <w:tr w:rsidR="00B233DE" w:rsidRPr="00425B65" w:rsidTr="0023489B">
        <w:tc>
          <w:tcPr>
            <w:tcW w:w="1134" w:type="dxa"/>
            <w:shd w:val="clear" w:color="auto" w:fill="auto"/>
            <w:vAlign w:val="center"/>
          </w:tcPr>
          <w:p w:rsidR="00B233DE" w:rsidRPr="001F4EFA" w:rsidRDefault="00B233DE" w:rsidP="0023489B">
            <w:pPr>
              <w:tabs>
                <w:tab w:val="left" w:pos="2920"/>
              </w:tabs>
              <w:autoSpaceDE w:val="0"/>
              <w:autoSpaceDN w:val="0"/>
              <w:adjustRightInd w:val="0"/>
              <w:ind w:left="-108" w:right="-108" w:firstLine="0"/>
              <w:jc w:val="center"/>
              <w:rPr>
                <w:rFonts w:ascii="Times New Roman" w:eastAsia="SimSun" w:hAnsi="Times New Roman" w:cs="Times New Roman"/>
                <w:color w:val="231F20"/>
                <w:sz w:val="16"/>
                <w:szCs w:val="16"/>
              </w:rPr>
            </w:pPr>
            <w:r w:rsidRPr="001F4EFA">
              <w:rPr>
                <w:rFonts w:ascii="Times New Roman" w:eastAsia="SimSun" w:hAnsi="Times New Roman" w:cs="Times New Roman"/>
                <w:color w:val="231F20"/>
                <w:sz w:val="16"/>
                <w:szCs w:val="16"/>
              </w:rPr>
              <w:t>Законодавча система</w:t>
            </w:r>
          </w:p>
        </w:tc>
        <w:tc>
          <w:tcPr>
            <w:tcW w:w="4962" w:type="dxa"/>
            <w:shd w:val="clear" w:color="auto" w:fill="auto"/>
          </w:tcPr>
          <w:p w:rsidR="00B233DE" w:rsidRPr="001F4EFA" w:rsidRDefault="00B233DE" w:rsidP="0023489B">
            <w:pPr>
              <w:autoSpaceDE w:val="0"/>
              <w:autoSpaceDN w:val="0"/>
              <w:adjustRightInd w:val="0"/>
              <w:ind w:left="-108" w:right="-108" w:firstLine="0"/>
              <w:jc w:val="both"/>
              <w:rPr>
                <w:rFonts w:ascii="Times New Roman" w:eastAsia="SimSun" w:hAnsi="Times New Roman" w:cs="Times New Roman"/>
                <w:color w:val="231F20"/>
                <w:sz w:val="16"/>
                <w:szCs w:val="16"/>
              </w:rPr>
            </w:pPr>
            <w:r w:rsidRPr="001F4EFA">
              <w:rPr>
                <w:rFonts w:ascii="Times New Roman" w:eastAsia="SimSun" w:hAnsi="Times New Roman" w:cs="Times New Roman"/>
                <w:color w:val="231F20"/>
                <w:sz w:val="16"/>
                <w:szCs w:val="16"/>
              </w:rPr>
              <w:t xml:space="preserve">Забезпечення гармонізації законодавства у сфері сталого та людського </w:t>
            </w:r>
            <w:r w:rsidRPr="00AD44BF">
              <w:rPr>
                <w:rFonts w:ascii="Times New Roman" w:eastAsia="SimSun" w:hAnsi="Times New Roman" w:cs="Times New Roman"/>
                <w:color w:val="231F20"/>
                <w:spacing w:val="-6"/>
                <w:sz w:val="16"/>
                <w:szCs w:val="16"/>
              </w:rPr>
              <w:t>розвитку, регулювання становлення інформаційного суспільства та соціаль-</w:t>
            </w:r>
            <w:r w:rsidRPr="001F4EFA">
              <w:rPr>
                <w:rFonts w:ascii="Times New Roman" w:eastAsia="SimSun" w:hAnsi="Times New Roman" w:cs="Times New Roman"/>
                <w:color w:val="231F20"/>
                <w:sz w:val="16"/>
                <w:szCs w:val="16"/>
              </w:rPr>
              <w:t>них взаємовідносин між його членами і приведення нормативно-правової бази до вимог ЄС</w:t>
            </w:r>
          </w:p>
        </w:tc>
      </w:tr>
      <w:tr w:rsidR="00B233DE" w:rsidRPr="00425B65" w:rsidTr="0023489B">
        <w:tc>
          <w:tcPr>
            <w:tcW w:w="1134" w:type="dxa"/>
            <w:shd w:val="clear" w:color="auto" w:fill="auto"/>
            <w:vAlign w:val="center"/>
          </w:tcPr>
          <w:p w:rsidR="00B233DE" w:rsidRPr="001F4EFA" w:rsidRDefault="00B233DE" w:rsidP="0023489B">
            <w:pPr>
              <w:tabs>
                <w:tab w:val="left" w:pos="2920"/>
              </w:tabs>
              <w:autoSpaceDE w:val="0"/>
              <w:autoSpaceDN w:val="0"/>
              <w:adjustRightInd w:val="0"/>
              <w:ind w:left="-108" w:right="-108" w:firstLine="0"/>
              <w:jc w:val="center"/>
              <w:rPr>
                <w:rFonts w:ascii="Times New Roman" w:eastAsia="SimSun" w:hAnsi="Times New Roman" w:cs="Times New Roman"/>
                <w:color w:val="231F20"/>
                <w:sz w:val="16"/>
                <w:szCs w:val="16"/>
              </w:rPr>
            </w:pPr>
            <w:r w:rsidRPr="001F4EFA">
              <w:rPr>
                <w:rFonts w:ascii="Times New Roman" w:eastAsia="SimSun" w:hAnsi="Times New Roman" w:cs="Times New Roman"/>
                <w:color w:val="231F20"/>
                <w:sz w:val="16"/>
                <w:szCs w:val="16"/>
              </w:rPr>
              <w:t>Ринок праці</w:t>
            </w:r>
          </w:p>
        </w:tc>
        <w:tc>
          <w:tcPr>
            <w:tcW w:w="4962" w:type="dxa"/>
            <w:shd w:val="clear" w:color="auto" w:fill="auto"/>
          </w:tcPr>
          <w:p w:rsidR="00B233DE" w:rsidRPr="001F4EFA" w:rsidRDefault="00B233DE" w:rsidP="0023489B">
            <w:pPr>
              <w:autoSpaceDE w:val="0"/>
              <w:autoSpaceDN w:val="0"/>
              <w:adjustRightInd w:val="0"/>
              <w:ind w:left="-108" w:right="-108" w:firstLine="0"/>
              <w:jc w:val="both"/>
              <w:rPr>
                <w:rFonts w:ascii="Times New Roman" w:eastAsia="SimSun" w:hAnsi="Times New Roman" w:cs="Times New Roman"/>
                <w:color w:val="231F20"/>
                <w:sz w:val="16"/>
                <w:szCs w:val="16"/>
              </w:rPr>
            </w:pPr>
            <w:r w:rsidRPr="001F4EFA">
              <w:rPr>
                <w:rFonts w:ascii="Times New Roman" w:eastAsia="SimSun" w:hAnsi="Times New Roman" w:cs="Times New Roman"/>
                <w:color w:val="231F20"/>
                <w:sz w:val="16"/>
                <w:szCs w:val="16"/>
              </w:rPr>
              <w:t>Заснування практики соціальних відносин на основі поширення інформаційних технологій і забезпечення їх використання у напрямі ефективної реалізації людського потенціалу – зайнятості населення, продуктивної комунікації і співпраці між усіма агентами ринку праці, врахування у системі оплати праці необхідності безперервного вдосконалення знань та вмінь працівника, системи «оплати за ква</w:t>
            </w:r>
            <w:r>
              <w:rPr>
                <w:rFonts w:ascii="Times New Roman" w:eastAsia="SimSun" w:hAnsi="Times New Roman" w:cs="Times New Roman"/>
                <w:color w:val="231F20"/>
                <w:sz w:val="16"/>
                <w:szCs w:val="16"/>
              </w:rPr>
              <w:t>-</w:t>
            </w:r>
            <w:r w:rsidRPr="001F4EFA">
              <w:rPr>
                <w:rFonts w:ascii="Times New Roman" w:eastAsia="SimSun" w:hAnsi="Times New Roman" w:cs="Times New Roman"/>
                <w:color w:val="231F20"/>
                <w:sz w:val="16"/>
                <w:szCs w:val="16"/>
              </w:rPr>
              <w:t>ліфікацію» (надбавки до заробітної плати за опанування кожної нової спеціальності)</w:t>
            </w:r>
          </w:p>
        </w:tc>
      </w:tr>
      <w:tr w:rsidR="00B233DE" w:rsidRPr="00425B65" w:rsidTr="0023489B">
        <w:tc>
          <w:tcPr>
            <w:tcW w:w="1134" w:type="dxa"/>
            <w:shd w:val="clear" w:color="auto" w:fill="auto"/>
            <w:vAlign w:val="center"/>
          </w:tcPr>
          <w:p w:rsidR="00B233DE" w:rsidRPr="001F4EFA" w:rsidRDefault="00B233DE" w:rsidP="0023489B">
            <w:pPr>
              <w:tabs>
                <w:tab w:val="left" w:pos="2920"/>
              </w:tabs>
              <w:autoSpaceDE w:val="0"/>
              <w:autoSpaceDN w:val="0"/>
              <w:adjustRightInd w:val="0"/>
              <w:ind w:left="-108" w:right="-108" w:firstLine="0"/>
              <w:jc w:val="center"/>
              <w:rPr>
                <w:rFonts w:ascii="Times New Roman" w:eastAsia="SimSun" w:hAnsi="Times New Roman" w:cs="Times New Roman"/>
                <w:color w:val="231F20"/>
                <w:sz w:val="16"/>
                <w:szCs w:val="16"/>
              </w:rPr>
            </w:pPr>
            <w:r w:rsidRPr="001F4EFA">
              <w:rPr>
                <w:rFonts w:ascii="Times New Roman" w:eastAsia="SimSun" w:hAnsi="Times New Roman" w:cs="Times New Roman"/>
                <w:color w:val="231F20"/>
                <w:sz w:val="16"/>
                <w:szCs w:val="16"/>
              </w:rPr>
              <w:t>Система соціального захисту</w:t>
            </w:r>
          </w:p>
        </w:tc>
        <w:tc>
          <w:tcPr>
            <w:tcW w:w="4962" w:type="dxa"/>
            <w:shd w:val="clear" w:color="auto" w:fill="auto"/>
          </w:tcPr>
          <w:p w:rsidR="00B233DE" w:rsidRPr="001F4EFA" w:rsidRDefault="00B233DE" w:rsidP="0023489B">
            <w:pPr>
              <w:autoSpaceDE w:val="0"/>
              <w:autoSpaceDN w:val="0"/>
              <w:adjustRightInd w:val="0"/>
              <w:ind w:left="-108" w:right="-108" w:firstLine="0"/>
              <w:jc w:val="both"/>
              <w:rPr>
                <w:rFonts w:ascii="Times New Roman" w:eastAsia="SimSun" w:hAnsi="Times New Roman" w:cs="Times New Roman"/>
                <w:color w:val="231F20"/>
                <w:sz w:val="16"/>
                <w:szCs w:val="16"/>
              </w:rPr>
            </w:pPr>
            <w:r w:rsidRPr="001F4EFA">
              <w:rPr>
                <w:rFonts w:ascii="Times New Roman" w:eastAsia="SimSun" w:hAnsi="Times New Roman" w:cs="Times New Roman"/>
                <w:color w:val="231F20"/>
                <w:sz w:val="16"/>
                <w:szCs w:val="16"/>
              </w:rPr>
              <w:t>Соціальний захист населення створює необхідні гарантовані стартові умови для реалізації його людського потенціалу – забезпечення рівня та якості життя, необхідних для найбільш повного розкриття здібностей людини</w:t>
            </w:r>
          </w:p>
        </w:tc>
      </w:tr>
      <w:tr w:rsidR="00B233DE" w:rsidRPr="00425B65" w:rsidTr="0023489B">
        <w:tc>
          <w:tcPr>
            <w:tcW w:w="1134" w:type="dxa"/>
            <w:shd w:val="clear" w:color="auto" w:fill="auto"/>
            <w:vAlign w:val="center"/>
          </w:tcPr>
          <w:p w:rsidR="00B233DE" w:rsidRPr="001F4EFA" w:rsidRDefault="00B233DE" w:rsidP="0023489B">
            <w:pPr>
              <w:tabs>
                <w:tab w:val="left" w:pos="2920"/>
              </w:tabs>
              <w:autoSpaceDE w:val="0"/>
              <w:autoSpaceDN w:val="0"/>
              <w:adjustRightInd w:val="0"/>
              <w:ind w:left="-108" w:right="-108" w:firstLine="0"/>
              <w:jc w:val="center"/>
              <w:rPr>
                <w:rFonts w:ascii="Times New Roman" w:eastAsia="SimSun" w:hAnsi="Times New Roman" w:cs="Times New Roman"/>
                <w:color w:val="231F20"/>
                <w:sz w:val="16"/>
                <w:szCs w:val="16"/>
              </w:rPr>
            </w:pPr>
            <w:r w:rsidRPr="001F4EFA">
              <w:rPr>
                <w:rFonts w:ascii="Times New Roman" w:eastAsia="SimSun" w:hAnsi="Times New Roman" w:cs="Times New Roman"/>
                <w:color w:val="231F20"/>
                <w:sz w:val="16"/>
                <w:szCs w:val="16"/>
              </w:rPr>
              <w:t>Соціальне партнерство</w:t>
            </w:r>
          </w:p>
        </w:tc>
        <w:tc>
          <w:tcPr>
            <w:tcW w:w="4962" w:type="dxa"/>
            <w:shd w:val="clear" w:color="auto" w:fill="auto"/>
          </w:tcPr>
          <w:p w:rsidR="00B233DE" w:rsidRPr="001F4EFA" w:rsidRDefault="00B233DE" w:rsidP="0023489B">
            <w:pPr>
              <w:autoSpaceDE w:val="0"/>
              <w:autoSpaceDN w:val="0"/>
              <w:adjustRightInd w:val="0"/>
              <w:ind w:left="-108" w:right="-108" w:firstLine="0"/>
              <w:jc w:val="both"/>
              <w:rPr>
                <w:rFonts w:ascii="Times New Roman" w:eastAsia="SimSun" w:hAnsi="Times New Roman" w:cs="Times New Roman"/>
                <w:color w:val="231F20"/>
                <w:sz w:val="16"/>
                <w:szCs w:val="16"/>
              </w:rPr>
            </w:pPr>
            <w:r w:rsidRPr="001F4EFA">
              <w:rPr>
                <w:rFonts w:ascii="Times New Roman" w:eastAsia="SimSun" w:hAnsi="Times New Roman" w:cs="Times New Roman"/>
                <w:color w:val="231F20"/>
                <w:sz w:val="16"/>
                <w:szCs w:val="16"/>
              </w:rPr>
              <w:t>Формування механізмів узгодження суспільних інтересів, спроможних забезпечувати соціальний мир та злагоду для підтримання стабільного конкурентоспроможного рівня розвитку людського потенціалу</w:t>
            </w:r>
          </w:p>
        </w:tc>
      </w:tr>
      <w:tr w:rsidR="00B233DE" w:rsidRPr="00425B65" w:rsidTr="0023489B">
        <w:tc>
          <w:tcPr>
            <w:tcW w:w="1134" w:type="dxa"/>
            <w:shd w:val="clear" w:color="auto" w:fill="auto"/>
            <w:vAlign w:val="center"/>
          </w:tcPr>
          <w:p w:rsidR="00B233DE" w:rsidRPr="001F4EFA" w:rsidRDefault="00B233DE" w:rsidP="0023489B">
            <w:pPr>
              <w:tabs>
                <w:tab w:val="left" w:pos="2920"/>
              </w:tabs>
              <w:autoSpaceDE w:val="0"/>
              <w:autoSpaceDN w:val="0"/>
              <w:adjustRightInd w:val="0"/>
              <w:ind w:left="-108" w:right="-108" w:firstLine="0"/>
              <w:jc w:val="center"/>
              <w:rPr>
                <w:rFonts w:ascii="Times New Roman" w:eastAsia="SimSun" w:hAnsi="Times New Roman" w:cs="Times New Roman"/>
                <w:color w:val="231F20"/>
                <w:sz w:val="16"/>
                <w:szCs w:val="16"/>
              </w:rPr>
            </w:pPr>
            <w:r w:rsidRPr="001F4EFA">
              <w:rPr>
                <w:rFonts w:ascii="Times New Roman" w:eastAsia="SimSun" w:hAnsi="Times New Roman" w:cs="Times New Roman"/>
                <w:color w:val="231F20"/>
                <w:sz w:val="16"/>
                <w:szCs w:val="16"/>
              </w:rPr>
              <w:t>Наука</w:t>
            </w:r>
          </w:p>
        </w:tc>
        <w:tc>
          <w:tcPr>
            <w:tcW w:w="4962" w:type="dxa"/>
            <w:shd w:val="clear" w:color="auto" w:fill="auto"/>
          </w:tcPr>
          <w:p w:rsidR="00B233DE" w:rsidRPr="001F4EFA" w:rsidRDefault="00B233DE" w:rsidP="0023489B">
            <w:pPr>
              <w:autoSpaceDE w:val="0"/>
              <w:autoSpaceDN w:val="0"/>
              <w:adjustRightInd w:val="0"/>
              <w:ind w:left="-108" w:right="-108" w:firstLine="0"/>
              <w:jc w:val="both"/>
              <w:rPr>
                <w:rFonts w:ascii="Times New Roman" w:eastAsia="SimSun" w:hAnsi="Times New Roman" w:cs="Times New Roman"/>
                <w:color w:val="231F20"/>
                <w:sz w:val="16"/>
                <w:szCs w:val="16"/>
              </w:rPr>
            </w:pPr>
            <w:r w:rsidRPr="00AD44BF">
              <w:rPr>
                <w:rFonts w:ascii="Times New Roman" w:eastAsia="SimSun" w:hAnsi="Times New Roman" w:cs="Times New Roman"/>
                <w:color w:val="231F20"/>
                <w:spacing w:val="-6"/>
                <w:sz w:val="16"/>
                <w:szCs w:val="16"/>
              </w:rPr>
              <w:t>Забезпечення якості життя людини за рахунок створення новітніх вина</w:t>
            </w:r>
            <w:r w:rsidRPr="00AD44BF">
              <w:rPr>
                <w:rFonts w:ascii="Times New Roman" w:eastAsia="SimSun" w:hAnsi="Times New Roman" w:cs="Times New Roman"/>
                <w:color w:val="231F20"/>
                <w:spacing w:val="-8"/>
                <w:sz w:val="16"/>
                <w:szCs w:val="16"/>
              </w:rPr>
              <w:t xml:space="preserve">ходів </w:t>
            </w:r>
            <w:r w:rsidRPr="00AD44BF">
              <w:rPr>
                <w:rFonts w:ascii="Times New Roman" w:eastAsia="SimSun" w:hAnsi="Times New Roman" w:cs="Times New Roman"/>
                <w:color w:val="231F20"/>
                <w:sz w:val="16"/>
                <w:szCs w:val="16"/>
              </w:rPr>
              <w:t>та розробок, генерування інновацій у сфері соціального розвитку</w:t>
            </w:r>
          </w:p>
        </w:tc>
      </w:tr>
      <w:tr w:rsidR="00B233DE" w:rsidRPr="00425B65" w:rsidTr="0023489B">
        <w:tc>
          <w:tcPr>
            <w:tcW w:w="1134" w:type="dxa"/>
            <w:shd w:val="clear" w:color="auto" w:fill="auto"/>
            <w:vAlign w:val="center"/>
          </w:tcPr>
          <w:p w:rsidR="00B233DE" w:rsidRPr="001F4EFA" w:rsidRDefault="00B233DE" w:rsidP="0023489B">
            <w:pPr>
              <w:tabs>
                <w:tab w:val="left" w:pos="2920"/>
              </w:tabs>
              <w:autoSpaceDE w:val="0"/>
              <w:autoSpaceDN w:val="0"/>
              <w:adjustRightInd w:val="0"/>
              <w:ind w:left="-108" w:right="-108" w:firstLine="0"/>
              <w:jc w:val="center"/>
              <w:rPr>
                <w:rFonts w:ascii="Times New Roman" w:eastAsia="SimSun" w:hAnsi="Times New Roman" w:cs="Times New Roman"/>
                <w:color w:val="231F20"/>
                <w:sz w:val="16"/>
                <w:szCs w:val="16"/>
              </w:rPr>
            </w:pPr>
            <w:r w:rsidRPr="001F4EFA">
              <w:rPr>
                <w:rFonts w:ascii="Times New Roman" w:eastAsia="SimSun" w:hAnsi="Times New Roman" w:cs="Times New Roman"/>
                <w:color w:val="231F20"/>
                <w:sz w:val="16"/>
                <w:szCs w:val="16"/>
              </w:rPr>
              <w:t>Освіта</w:t>
            </w:r>
          </w:p>
        </w:tc>
        <w:tc>
          <w:tcPr>
            <w:tcW w:w="4962" w:type="dxa"/>
            <w:shd w:val="clear" w:color="auto" w:fill="auto"/>
          </w:tcPr>
          <w:p w:rsidR="00B233DE" w:rsidRPr="001F4EFA" w:rsidRDefault="00B233DE" w:rsidP="0023489B">
            <w:pPr>
              <w:autoSpaceDE w:val="0"/>
              <w:autoSpaceDN w:val="0"/>
              <w:adjustRightInd w:val="0"/>
              <w:ind w:left="-108" w:right="-108" w:firstLine="0"/>
              <w:jc w:val="both"/>
              <w:rPr>
                <w:rFonts w:ascii="Times New Roman" w:eastAsia="SimSun" w:hAnsi="Times New Roman" w:cs="Times New Roman"/>
                <w:color w:val="231F20"/>
                <w:sz w:val="16"/>
                <w:szCs w:val="16"/>
              </w:rPr>
            </w:pPr>
            <w:r w:rsidRPr="00AD44BF">
              <w:rPr>
                <w:rFonts w:ascii="Times New Roman" w:eastAsia="SimSun" w:hAnsi="Times New Roman" w:cs="Times New Roman"/>
                <w:color w:val="231F20"/>
                <w:spacing w:val="-4"/>
                <w:sz w:val="16"/>
                <w:szCs w:val="16"/>
              </w:rPr>
              <w:t>Розширення знань, розвиток інтелекту, спеціальних навичок, у тому числі</w:t>
            </w:r>
            <w:r w:rsidRPr="001F4EFA">
              <w:rPr>
                <w:rFonts w:ascii="Times New Roman" w:eastAsia="SimSun" w:hAnsi="Times New Roman" w:cs="Times New Roman"/>
                <w:color w:val="231F20"/>
                <w:sz w:val="16"/>
                <w:szCs w:val="16"/>
              </w:rPr>
              <w:t xml:space="preserve"> </w:t>
            </w:r>
            <w:r w:rsidRPr="00AD44BF">
              <w:rPr>
                <w:rFonts w:ascii="Times New Roman" w:eastAsia="SimSun" w:hAnsi="Times New Roman" w:cs="Times New Roman"/>
                <w:color w:val="231F20"/>
                <w:spacing w:val="-6"/>
                <w:sz w:val="16"/>
                <w:szCs w:val="16"/>
              </w:rPr>
              <w:t>навиків освоєння інформаційних технологій та ефективного використання</w:t>
            </w:r>
            <w:r w:rsidRPr="001F4EFA">
              <w:rPr>
                <w:rFonts w:ascii="Times New Roman" w:eastAsia="SimSun" w:hAnsi="Times New Roman" w:cs="Times New Roman"/>
                <w:color w:val="231F20"/>
                <w:sz w:val="16"/>
                <w:szCs w:val="16"/>
              </w:rPr>
              <w:t xml:space="preserve"> </w:t>
            </w:r>
            <w:r w:rsidRPr="00AD44BF">
              <w:rPr>
                <w:rFonts w:ascii="Times New Roman" w:eastAsia="SimSun" w:hAnsi="Times New Roman" w:cs="Times New Roman"/>
                <w:color w:val="231F20"/>
                <w:spacing w:val="-6"/>
                <w:sz w:val="16"/>
                <w:szCs w:val="16"/>
              </w:rPr>
              <w:t>інформації; формування життєвої позиції і цінностей у сфері сталого розвитку</w:t>
            </w:r>
          </w:p>
        </w:tc>
      </w:tr>
      <w:tr w:rsidR="00B233DE" w:rsidRPr="00425B65" w:rsidTr="0023489B">
        <w:tc>
          <w:tcPr>
            <w:tcW w:w="1134" w:type="dxa"/>
            <w:shd w:val="clear" w:color="auto" w:fill="auto"/>
            <w:vAlign w:val="center"/>
          </w:tcPr>
          <w:p w:rsidR="00B233DE" w:rsidRPr="001F4EFA" w:rsidRDefault="00B233DE" w:rsidP="0023489B">
            <w:pPr>
              <w:tabs>
                <w:tab w:val="left" w:pos="2920"/>
              </w:tabs>
              <w:autoSpaceDE w:val="0"/>
              <w:autoSpaceDN w:val="0"/>
              <w:adjustRightInd w:val="0"/>
              <w:ind w:left="-108" w:right="-108" w:firstLine="0"/>
              <w:jc w:val="center"/>
              <w:rPr>
                <w:rFonts w:ascii="Times New Roman" w:eastAsia="SimSun" w:hAnsi="Times New Roman" w:cs="Times New Roman"/>
                <w:color w:val="231F20"/>
                <w:sz w:val="16"/>
                <w:szCs w:val="16"/>
              </w:rPr>
            </w:pPr>
            <w:r w:rsidRPr="001F4EFA">
              <w:rPr>
                <w:rFonts w:ascii="Times New Roman" w:eastAsia="SimSun" w:hAnsi="Times New Roman" w:cs="Times New Roman"/>
                <w:color w:val="231F20"/>
                <w:sz w:val="16"/>
                <w:szCs w:val="16"/>
              </w:rPr>
              <w:t xml:space="preserve">Соціальна </w:t>
            </w:r>
            <w:r w:rsidRPr="001F4EFA">
              <w:rPr>
                <w:rFonts w:ascii="Times New Roman" w:eastAsia="SimSun" w:hAnsi="Times New Roman" w:cs="Times New Roman"/>
                <w:color w:val="231F20"/>
                <w:spacing w:val="-4"/>
                <w:sz w:val="16"/>
                <w:szCs w:val="16"/>
              </w:rPr>
              <w:t>відповідальність</w:t>
            </w:r>
            <w:r w:rsidRPr="001F4EFA">
              <w:rPr>
                <w:rFonts w:ascii="Times New Roman" w:eastAsia="SimSun" w:hAnsi="Times New Roman" w:cs="Times New Roman"/>
                <w:color w:val="231F20"/>
                <w:sz w:val="16"/>
                <w:szCs w:val="16"/>
              </w:rPr>
              <w:t xml:space="preserve"> бізнесу</w:t>
            </w:r>
          </w:p>
        </w:tc>
        <w:tc>
          <w:tcPr>
            <w:tcW w:w="4962" w:type="dxa"/>
            <w:shd w:val="clear" w:color="auto" w:fill="auto"/>
          </w:tcPr>
          <w:p w:rsidR="00B233DE" w:rsidRPr="001F4EFA" w:rsidRDefault="00B233DE" w:rsidP="0023489B">
            <w:pPr>
              <w:autoSpaceDE w:val="0"/>
              <w:autoSpaceDN w:val="0"/>
              <w:adjustRightInd w:val="0"/>
              <w:ind w:left="-108" w:right="-108" w:firstLine="0"/>
              <w:jc w:val="both"/>
              <w:rPr>
                <w:rFonts w:ascii="Times New Roman" w:eastAsia="SimSun" w:hAnsi="Times New Roman" w:cs="Times New Roman"/>
                <w:color w:val="231F20"/>
                <w:sz w:val="16"/>
                <w:szCs w:val="16"/>
              </w:rPr>
            </w:pPr>
            <w:r w:rsidRPr="001F4EFA">
              <w:rPr>
                <w:rFonts w:ascii="Times New Roman" w:eastAsia="SimSun" w:hAnsi="Times New Roman" w:cs="Times New Roman"/>
                <w:color w:val="231F20"/>
                <w:sz w:val="16"/>
                <w:szCs w:val="16"/>
              </w:rPr>
              <w:t>Формування системи державно-приватного партнерства у напрямі розвитку громадянського суспільства, інноваційної діяльності та соціального захисту населення; реалізація природоохоронної політики за рахунок неухильного зменшення ресурсоємності економіки шляхом впровадження новітніх технологій</w:t>
            </w:r>
          </w:p>
        </w:tc>
      </w:tr>
      <w:tr w:rsidR="00B233DE" w:rsidRPr="00425B65" w:rsidTr="0023489B">
        <w:tc>
          <w:tcPr>
            <w:tcW w:w="1134" w:type="dxa"/>
            <w:shd w:val="clear" w:color="auto" w:fill="auto"/>
            <w:vAlign w:val="center"/>
          </w:tcPr>
          <w:p w:rsidR="00B233DE" w:rsidRPr="001F4EFA" w:rsidRDefault="00B233DE" w:rsidP="0023489B">
            <w:pPr>
              <w:tabs>
                <w:tab w:val="left" w:pos="2920"/>
              </w:tabs>
              <w:autoSpaceDE w:val="0"/>
              <w:autoSpaceDN w:val="0"/>
              <w:adjustRightInd w:val="0"/>
              <w:ind w:left="-108" w:right="-108" w:firstLine="0"/>
              <w:jc w:val="center"/>
              <w:rPr>
                <w:rFonts w:ascii="Times New Roman" w:eastAsia="SimSun" w:hAnsi="Times New Roman" w:cs="Times New Roman"/>
                <w:color w:val="231F20"/>
                <w:sz w:val="16"/>
                <w:szCs w:val="16"/>
              </w:rPr>
            </w:pPr>
            <w:r w:rsidRPr="001F4EFA">
              <w:rPr>
                <w:rFonts w:ascii="Times New Roman" w:eastAsia="SimSun" w:hAnsi="Times New Roman" w:cs="Times New Roman"/>
                <w:color w:val="231F20"/>
                <w:sz w:val="16"/>
                <w:szCs w:val="16"/>
              </w:rPr>
              <w:t>Соціальна справедливість</w:t>
            </w:r>
          </w:p>
        </w:tc>
        <w:tc>
          <w:tcPr>
            <w:tcW w:w="4962" w:type="dxa"/>
            <w:shd w:val="clear" w:color="auto" w:fill="auto"/>
          </w:tcPr>
          <w:p w:rsidR="00B233DE" w:rsidRPr="001F4EFA" w:rsidRDefault="00B233DE" w:rsidP="0023489B">
            <w:pPr>
              <w:autoSpaceDE w:val="0"/>
              <w:autoSpaceDN w:val="0"/>
              <w:adjustRightInd w:val="0"/>
              <w:ind w:left="-108" w:right="-108" w:firstLine="0"/>
              <w:jc w:val="both"/>
              <w:rPr>
                <w:rFonts w:ascii="Times New Roman" w:eastAsia="SimSun" w:hAnsi="Times New Roman" w:cs="Times New Roman"/>
                <w:color w:val="231F20"/>
                <w:sz w:val="16"/>
                <w:szCs w:val="16"/>
              </w:rPr>
            </w:pPr>
            <w:r w:rsidRPr="001F4EFA">
              <w:rPr>
                <w:rFonts w:ascii="Times New Roman" w:eastAsia="SimSun" w:hAnsi="Times New Roman" w:cs="Times New Roman"/>
                <w:color w:val="231F20"/>
                <w:sz w:val="16"/>
                <w:szCs w:val="16"/>
              </w:rPr>
              <w:t>Організація, регулювання і впорядкування суспільного життя для рівного користування населенням матеріальними і духовними благами, доступом до інформації і знань, політичними, соціальними та культурними правами і свободами</w:t>
            </w:r>
          </w:p>
        </w:tc>
      </w:tr>
      <w:tr w:rsidR="00B233DE" w:rsidRPr="00425B65" w:rsidTr="0023489B">
        <w:tc>
          <w:tcPr>
            <w:tcW w:w="1134" w:type="dxa"/>
            <w:shd w:val="clear" w:color="auto" w:fill="auto"/>
            <w:vAlign w:val="center"/>
          </w:tcPr>
          <w:p w:rsidR="00B233DE" w:rsidRPr="001F4EFA" w:rsidRDefault="00B233DE" w:rsidP="0023489B">
            <w:pPr>
              <w:tabs>
                <w:tab w:val="left" w:pos="2920"/>
              </w:tabs>
              <w:autoSpaceDE w:val="0"/>
              <w:autoSpaceDN w:val="0"/>
              <w:adjustRightInd w:val="0"/>
              <w:ind w:left="-108" w:right="-108" w:firstLine="0"/>
              <w:jc w:val="center"/>
              <w:rPr>
                <w:rFonts w:ascii="Times New Roman" w:eastAsia="SimSun" w:hAnsi="Times New Roman" w:cs="Times New Roman"/>
                <w:color w:val="231F20"/>
                <w:sz w:val="16"/>
                <w:szCs w:val="16"/>
              </w:rPr>
            </w:pPr>
            <w:r w:rsidRPr="001F4EFA">
              <w:rPr>
                <w:rFonts w:ascii="Times New Roman" w:eastAsia="SimSun" w:hAnsi="Times New Roman" w:cs="Times New Roman"/>
                <w:color w:val="231F20"/>
                <w:sz w:val="16"/>
                <w:szCs w:val="16"/>
              </w:rPr>
              <w:t>Соціальні комунікації</w:t>
            </w:r>
          </w:p>
        </w:tc>
        <w:tc>
          <w:tcPr>
            <w:tcW w:w="4962" w:type="dxa"/>
            <w:shd w:val="clear" w:color="auto" w:fill="auto"/>
          </w:tcPr>
          <w:p w:rsidR="00B233DE" w:rsidRPr="001F4EFA" w:rsidRDefault="00B233DE" w:rsidP="0023489B">
            <w:pPr>
              <w:autoSpaceDE w:val="0"/>
              <w:autoSpaceDN w:val="0"/>
              <w:adjustRightInd w:val="0"/>
              <w:ind w:left="-108" w:right="-108" w:firstLine="0"/>
              <w:jc w:val="both"/>
              <w:rPr>
                <w:rFonts w:ascii="Times New Roman" w:eastAsia="SimSun" w:hAnsi="Times New Roman" w:cs="Times New Roman"/>
                <w:color w:val="231F20"/>
                <w:sz w:val="16"/>
                <w:szCs w:val="16"/>
              </w:rPr>
            </w:pPr>
            <w:r w:rsidRPr="001F4EFA">
              <w:rPr>
                <w:rFonts w:ascii="Times New Roman" w:eastAsia="SimSun" w:hAnsi="Times New Roman" w:cs="Times New Roman"/>
                <w:color w:val="231F20"/>
                <w:sz w:val="16"/>
                <w:szCs w:val="16"/>
              </w:rPr>
              <w:t>Використання додаткових можливостей спілкування, поширення інформації та знань у соціальних мережах, що відображають різноманітні зв’язки між індивідами через різні соціальні взаємовідносини, починаючи від певного кола знайомих людини до професійних зв’язків і ділових контактів</w:t>
            </w:r>
          </w:p>
        </w:tc>
      </w:tr>
    </w:tbl>
    <w:p w:rsidR="00B233DE" w:rsidRPr="004B50E7" w:rsidRDefault="00B233DE" w:rsidP="00B233DE">
      <w:pPr>
        <w:autoSpaceDE w:val="0"/>
        <w:autoSpaceDN w:val="0"/>
        <w:adjustRightInd w:val="0"/>
        <w:jc w:val="both"/>
        <w:rPr>
          <w:rFonts w:ascii="Times New Roman" w:hAnsi="Times New Roman" w:cs="Times New Roman"/>
          <w:sz w:val="18"/>
          <w:szCs w:val="18"/>
        </w:rPr>
      </w:pPr>
      <w:r w:rsidRPr="004B50E7">
        <w:rPr>
          <w:rFonts w:ascii="Times New Roman" w:hAnsi="Times New Roman" w:cs="Times New Roman"/>
          <w:sz w:val="18"/>
          <w:szCs w:val="18"/>
        </w:rPr>
        <w:t>* - складено автором розділу на основі [</w:t>
      </w:r>
      <w:r w:rsidRPr="004B50E7">
        <w:rPr>
          <w:rFonts w:ascii="Times New Roman" w:hAnsi="Times New Roman" w:cs="Times New Roman"/>
          <w:sz w:val="18"/>
          <w:szCs w:val="18"/>
        </w:rPr>
        <w:fldChar w:fldCharType="begin"/>
      </w:r>
      <w:r w:rsidRPr="004B50E7">
        <w:rPr>
          <w:rFonts w:ascii="Times New Roman" w:hAnsi="Times New Roman" w:cs="Times New Roman"/>
          <w:sz w:val="18"/>
          <w:szCs w:val="18"/>
        </w:rPr>
        <w:instrText xml:space="preserve"> REF _Ref430595492 \r \h </w:instrText>
      </w:r>
      <w:r>
        <w:rPr>
          <w:rFonts w:ascii="Times New Roman" w:hAnsi="Times New Roman" w:cs="Times New Roman"/>
          <w:sz w:val="18"/>
          <w:szCs w:val="18"/>
        </w:rPr>
        <w:instrText xml:space="preserve"> \* MERGEFORMAT </w:instrText>
      </w:r>
      <w:r w:rsidRPr="004B50E7">
        <w:rPr>
          <w:rFonts w:ascii="Times New Roman" w:hAnsi="Times New Roman" w:cs="Times New Roman"/>
          <w:sz w:val="18"/>
          <w:szCs w:val="18"/>
        </w:rPr>
      </w:r>
      <w:r w:rsidRPr="004B50E7">
        <w:rPr>
          <w:rFonts w:ascii="Times New Roman" w:hAnsi="Times New Roman" w:cs="Times New Roman"/>
          <w:sz w:val="18"/>
          <w:szCs w:val="18"/>
        </w:rPr>
        <w:fldChar w:fldCharType="separate"/>
      </w:r>
      <w:r>
        <w:rPr>
          <w:rFonts w:ascii="Times New Roman" w:hAnsi="Times New Roman" w:cs="Times New Roman"/>
          <w:sz w:val="18"/>
          <w:szCs w:val="18"/>
        </w:rPr>
        <w:t>39</w:t>
      </w:r>
      <w:r w:rsidRPr="004B50E7">
        <w:rPr>
          <w:rFonts w:ascii="Times New Roman" w:hAnsi="Times New Roman" w:cs="Times New Roman"/>
          <w:sz w:val="18"/>
          <w:szCs w:val="18"/>
        </w:rPr>
        <w:fldChar w:fldCharType="end"/>
      </w:r>
      <w:r>
        <w:rPr>
          <w:rFonts w:ascii="Times New Roman" w:hAnsi="Times New Roman" w:cs="Times New Roman"/>
          <w:sz w:val="18"/>
          <w:szCs w:val="18"/>
        </w:rPr>
        <w:t xml:space="preserve">, </w:t>
      </w:r>
      <w:r w:rsidRPr="004B50E7">
        <w:rPr>
          <w:rFonts w:ascii="Times New Roman" w:hAnsi="Times New Roman" w:cs="Times New Roman"/>
          <w:sz w:val="18"/>
          <w:szCs w:val="18"/>
        </w:rPr>
        <w:fldChar w:fldCharType="begin"/>
      </w:r>
      <w:r w:rsidRPr="004B50E7">
        <w:rPr>
          <w:rFonts w:ascii="Times New Roman" w:hAnsi="Times New Roman" w:cs="Times New Roman"/>
          <w:sz w:val="18"/>
          <w:szCs w:val="18"/>
        </w:rPr>
        <w:instrText xml:space="preserve"> REF _Ref430595478 \r \h </w:instrText>
      </w:r>
      <w:r>
        <w:rPr>
          <w:rFonts w:ascii="Times New Roman" w:hAnsi="Times New Roman" w:cs="Times New Roman"/>
          <w:sz w:val="18"/>
          <w:szCs w:val="18"/>
        </w:rPr>
        <w:instrText xml:space="preserve"> \* MERGEFORMAT </w:instrText>
      </w:r>
      <w:r w:rsidRPr="004B50E7">
        <w:rPr>
          <w:rFonts w:ascii="Times New Roman" w:hAnsi="Times New Roman" w:cs="Times New Roman"/>
          <w:sz w:val="18"/>
          <w:szCs w:val="18"/>
        </w:rPr>
      </w:r>
      <w:r w:rsidRPr="004B50E7">
        <w:rPr>
          <w:rFonts w:ascii="Times New Roman" w:hAnsi="Times New Roman" w:cs="Times New Roman"/>
          <w:sz w:val="18"/>
          <w:szCs w:val="18"/>
        </w:rPr>
        <w:fldChar w:fldCharType="separate"/>
      </w:r>
      <w:r>
        <w:rPr>
          <w:rFonts w:ascii="Times New Roman" w:hAnsi="Times New Roman" w:cs="Times New Roman"/>
          <w:sz w:val="18"/>
          <w:szCs w:val="18"/>
        </w:rPr>
        <w:t>56</w:t>
      </w:r>
      <w:r w:rsidRPr="004B50E7">
        <w:rPr>
          <w:rFonts w:ascii="Times New Roman" w:hAnsi="Times New Roman" w:cs="Times New Roman"/>
          <w:sz w:val="18"/>
          <w:szCs w:val="18"/>
        </w:rPr>
        <w:fldChar w:fldCharType="end"/>
      </w:r>
      <w:r w:rsidRPr="004B50E7">
        <w:rPr>
          <w:rFonts w:ascii="Times New Roman" w:hAnsi="Times New Roman" w:cs="Times New Roman"/>
          <w:sz w:val="18"/>
          <w:szCs w:val="18"/>
        </w:rPr>
        <w:t xml:space="preserve">, с. 188–190, </w:t>
      </w:r>
      <w:r w:rsidRPr="004B50E7">
        <w:rPr>
          <w:rFonts w:ascii="Times New Roman" w:hAnsi="Times New Roman" w:cs="Times New Roman"/>
          <w:sz w:val="18"/>
          <w:szCs w:val="18"/>
        </w:rPr>
        <w:fldChar w:fldCharType="begin"/>
      </w:r>
      <w:r w:rsidRPr="004B50E7">
        <w:rPr>
          <w:rFonts w:ascii="Times New Roman" w:hAnsi="Times New Roman" w:cs="Times New Roman"/>
          <w:sz w:val="18"/>
          <w:szCs w:val="18"/>
        </w:rPr>
        <w:instrText xml:space="preserve"> REF _Ref430595486 \r \h </w:instrText>
      </w:r>
      <w:r>
        <w:rPr>
          <w:rFonts w:ascii="Times New Roman" w:hAnsi="Times New Roman" w:cs="Times New Roman"/>
          <w:sz w:val="18"/>
          <w:szCs w:val="18"/>
        </w:rPr>
        <w:instrText xml:space="preserve"> \* MERGEFORMAT </w:instrText>
      </w:r>
      <w:r w:rsidRPr="004B50E7">
        <w:rPr>
          <w:rFonts w:ascii="Times New Roman" w:hAnsi="Times New Roman" w:cs="Times New Roman"/>
          <w:sz w:val="18"/>
          <w:szCs w:val="18"/>
        </w:rPr>
      </w:r>
      <w:r w:rsidRPr="004B50E7">
        <w:rPr>
          <w:rFonts w:ascii="Times New Roman" w:hAnsi="Times New Roman" w:cs="Times New Roman"/>
          <w:sz w:val="18"/>
          <w:szCs w:val="18"/>
        </w:rPr>
        <w:fldChar w:fldCharType="separate"/>
      </w:r>
      <w:r>
        <w:rPr>
          <w:rFonts w:ascii="Times New Roman" w:hAnsi="Times New Roman" w:cs="Times New Roman"/>
          <w:sz w:val="18"/>
          <w:szCs w:val="18"/>
        </w:rPr>
        <w:t>71</w:t>
      </w:r>
      <w:r w:rsidRPr="004B50E7">
        <w:rPr>
          <w:rFonts w:ascii="Times New Roman" w:hAnsi="Times New Roman" w:cs="Times New Roman"/>
          <w:sz w:val="18"/>
          <w:szCs w:val="18"/>
        </w:rPr>
        <w:fldChar w:fldCharType="end"/>
      </w:r>
      <w:r w:rsidRPr="004B50E7">
        <w:rPr>
          <w:rFonts w:ascii="Times New Roman" w:hAnsi="Times New Roman" w:cs="Times New Roman"/>
          <w:sz w:val="18"/>
          <w:szCs w:val="18"/>
        </w:rPr>
        <w:t>, с. 47–51,]</w:t>
      </w:r>
    </w:p>
    <w:p w:rsidR="00B233DE" w:rsidRDefault="00B233DE" w:rsidP="00B233DE">
      <w:pPr>
        <w:autoSpaceDE w:val="0"/>
        <w:autoSpaceDN w:val="0"/>
        <w:adjustRightInd w:val="0"/>
        <w:ind w:firstLine="720"/>
        <w:jc w:val="both"/>
        <w:rPr>
          <w:rFonts w:ascii="Times New Roman" w:hAnsi="Times New Roman" w:cs="Times New Roman"/>
          <w:color w:val="231F20"/>
          <w:sz w:val="21"/>
          <w:szCs w:val="21"/>
        </w:rPr>
      </w:pPr>
      <w:r w:rsidRPr="008B466E">
        <w:rPr>
          <w:rFonts w:ascii="Times New Roman" w:hAnsi="Times New Roman" w:cs="Times New Roman"/>
          <w:color w:val="231F20"/>
          <w:sz w:val="21"/>
          <w:szCs w:val="21"/>
        </w:rPr>
        <w:lastRenderedPageBreak/>
        <w:t>На розвиток соціально орієнтованої постіндустріальної економіки має суттєвий вплив посилення інституту законодавчої системи, що активізує управлінську роль держави та робить мож</w:t>
      </w:r>
      <w:r>
        <w:rPr>
          <w:rFonts w:ascii="Times New Roman" w:hAnsi="Times New Roman" w:cs="Times New Roman"/>
          <w:color w:val="231F20"/>
          <w:sz w:val="21"/>
          <w:szCs w:val="21"/>
        </w:rPr>
        <w:t>-</w:t>
      </w:r>
      <w:r w:rsidRPr="008B466E">
        <w:rPr>
          <w:rFonts w:ascii="Times New Roman" w:hAnsi="Times New Roman" w:cs="Times New Roman"/>
          <w:color w:val="231F20"/>
          <w:sz w:val="21"/>
          <w:szCs w:val="21"/>
        </w:rPr>
        <w:t>ливим вдосконалення державних соціально-економічних механіз</w:t>
      </w:r>
      <w:r>
        <w:rPr>
          <w:rFonts w:ascii="Times New Roman" w:hAnsi="Times New Roman" w:cs="Times New Roman"/>
          <w:color w:val="231F20"/>
          <w:sz w:val="21"/>
          <w:szCs w:val="21"/>
        </w:rPr>
        <w:t>-</w:t>
      </w:r>
      <w:r w:rsidRPr="008B466E">
        <w:rPr>
          <w:rFonts w:ascii="Times New Roman" w:hAnsi="Times New Roman" w:cs="Times New Roman"/>
          <w:color w:val="231F20"/>
          <w:sz w:val="21"/>
          <w:szCs w:val="21"/>
        </w:rPr>
        <w:t>мів регулювання на різних рівнях. Цьому сприяє і розвиток інсти</w:t>
      </w:r>
      <w:r>
        <w:rPr>
          <w:rFonts w:ascii="Times New Roman" w:hAnsi="Times New Roman" w:cs="Times New Roman"/>
          <w:color w:val="231F20"/>
          <w:sz w:val="21"/>
          <w:szCs w:val="21"/>
        </w:rPr>
        <w:t>-</w:t>
      </w:r>
      <w:r w:rsidRPr="008B466E">
        <w:rPr>
          <w:rFonts w:ascii="Times New Roman" w:hAnsi="Times New Roman" w:cs="Times New Roman"/>
          <w:color w:val="231F20"/>
          <w:sz w:val="21"/>
          <w:szCs w:val="21"/>
        </w:rPr>
        <w:t>туту соціального партнерства, який в інформаційному суспільстві передбачає побудову мережевої структури соціальних відносин, в котрій механізм соціального партнерства як ефективна взаємодія між державою, бізнесом та громадою у вирішенні соціально значу</w:t>
      </w:r>
      <w:r>
        <w:rPr>
          <w:rFonts w:ascii="Times New Roman" w:hAnsi="Times New Roman" w:cs="Times New Roman"/>
          <w:color w:val="231F20"/>
          <w:sz w:val="21"/>
          <w:szCs w:val="21"/>
        </w:rPr>
        <w:t>-</w:t>
      </w:r>
      <w:r w:rsidRPr="008B466E">
        <w:rPr>
          <w:rFonts w:ascii="Times New Roman" w:hAnsi="Times New Roman" w:cs="Times New Roman"/>
          <w:color w:val="231F20"/>
          <w:sz w:val="21"/>
          <w:szCs w:val="21"/>
        </w:rPr>
        <w:t>щих проблем потребує модифікацій, що виходять за рамки соці</w:t>
      </w:r>
      <w:r>
        <w:rPr>
          <w:rFonts w:ascii="Times New Roman" w:hAnsi="Times New Roman" w:cs="Times New Roman"/>
          <w:color w:val="231F20"/>
          <w:sz w:val="21"/>
          <w:szCs w:val="21"/>
        </w:rPr>
        <w:t>-</w:t>
      </w:r>
      <w:r w:rsidRPr="008B466E">
        <w:rPr>
          <w:rFonts w:ascii="Times New Roman" w:hAnsi="Times New Roman" w:cs="Times New Roman"/>
          <w:color w:val="231F20"/>
          <w:sz w:val="21"/>
          <w:szCs w:val="21"/>
        </w:rPr>
        <w:t>ально-трудових відносин і вимагає суттєвої інтеграції державної політики в мережеві громадянські структури та підвищення соці</w:t>
      </w:r>
      <w:r>
        <w:rPr>
          <w:rFonts w:ascii="Times New Roman" w:hAnsi="Times New Roman" w:cs="Times New Roman"/>
          <w:color w:val="231F20"/>
          <w:sz w:val="21"/>
          <w:szCs w:val="21"/>
        </w:rPr>
        <w:t>-</w:t>
      </w:r>
      <w:r w:rsidRPr="008B466E">
        <w:rPr>
          <w:rFonts w:ascii="Times New Roman" w:hAnsi="Times New Roman" w:cs="Times New Roman"/>
          <w:color w:val="231F20"/>
          <w:sz w:val="21"/>
          <w:szCs w:val="21"/>
        </w:rPr>
        <w:t xml:space="preserve">альної відповідальності бізнесу. </w:t>
      </w:r>
    </w:p>
    <w:p w:rsidR="00B233DE" w:rsidRPr="008B466E" w:rsidRDefault="00B233DE" w:rsidP="00B233DE">
      <w:pPr>
        <w:autoSpaceDE w:val="0"/>
        <w:autoSpaceDN w:val="0"/>
        <w:adjustRightInd w:val="0"/>
        <w:ind w:firstLine="720"/>
        <w:jc w:val="both"/>
        <w:rPr>
          <w:rFonts w:ascii="Times New Roman" w:hAnsi="Times New Roman" w:cs="Times New Roman"/>
          <w:color w:val="231F20"/>
          <w:sz w:val="21"/>
          <w:szCs w:val="21"/>
        </w:rPr>
      </w:pPr>
      <w:r w:rsidRPr="008B466E">
        <w:rPr>
          <w:rFonts w:ascii="Times New Roman" w:hAnsi="Times New Roman" w:cs="Times New Roman"/>
          <w:color w:val="231F20"/>
          <w:sz w:val="21"/>
          <w:szCs w:val="21"/>
        </w:rPr>
        <w:t>В свою чергу, соціальна відповідальність бізнесу також включає активну його участь у спільному визначенні пріоритетів соціальної політики.</w:t>
      </w:r>
    </w:p>
    <w:p w:rsidR="00B233DE" w:rsidRPr="00BF3F47" w:rsidRDefault="00B233DE" w:rsidP="00B233DE">
      <w:pPr>
        <w:autoSpaceDE w:val="0"/>
        <w:autoSpaceDN w:val="0"/>
        <w:adjustRightInd w:val="0"/>
        <w:ind w:firstLine="720"/>
        <w:jc w:val="both"/>
        <w:rPr>
          <w:rFonts w:ascii="Times New Roman" w:hAnsi="Times New Roman" w:cs="Times New Roman"/>
          <w:color w:val="231F20"/>
          <w:sz w:val="21"/>
          <w:szCs w:val="21"/>
        </w:rPr>
      </w:pPr>
      <w:r w:rsidRPr="00BF3F47">
        <w:rPr>
          <w:rFonts w:ascii="Times New Roman" w:hAnsi="Times New Roman" w:cs="Times New Roman"/>
          <w:color w:val="231F20"/>
          <w:sz w:val="21"/>
          <w:szCs w:val="21"/>
        </w:rPr>
        <w:t>Перспективним інститутом підвищення конкурентоспро</w:t>
      </w:r>
      <w:r>
        <w:rPr>
          <w:rFonts w:ascii="Times New Roman" w:hAnsi="Times New Roman" w:cs="Times New Roman"/>
          <w:color w:val="231F20"/>
          <w:sz w:val="21"/>
          <w:szCs w:val="21"/>
        </w:rPr>
        <w:t>-</w:t>
      </w:r>
      <w:r w:rsidRPr="00BF3F47">
        <w:rPr>
          <w:rFonts w:ascii="Times New Roman" w:hAnsi="Times New Roman" w:cs="Times New Roman"/>
          <w:color w:val="231F20"/>
          <w:sz w:val="21"/>
          <w:szCs w:val="21"/>
        </w:rPr>
        <w:t>можності людського потенціалу інформаційного суспільства є соціальні комунікації, що проявляються у поширенні соціальних мереж як особистого спілкування, так і спеціалізованих, які ство</w:t>
      </w:r>
      <w:r>
        <w:rPr>
          <w:rFonts w:ascii="Times New Roman" w:hAnsi="Times New Roman" w:cs="Times New Roman"/>
          <w:color w:val="231F20"/>
          <w:sz w:val="21"/>
          <w:szCs w:val="21"/>
        </w:rPr>
        <w:t>-</w:t>
      </w:r>
      <w:r w:rsidRPr="00BF3F47">
        <w:rPr>
          <w:rFonts w:ascii="Times New Roman" w:hAnsi="Times New Roman" w:cs="Times New Roman"/>
          <w:color w:val="231F20"/>
          <w:sz w:val="21"/>
          <w:szCs w:val="21"/>
        </w:rPr>
        <w:t>рюються для спілкування на професійні теми, обміну досвідом та знаннями, пошуку і пропозиції вакансій, розвитку ділових зв’язків. Соціальні мережі є унікальним механізмом для пошуку носіїв люд</w:t>
      </w:r>
      <w:r>
        <w:rPr>
          <w:rFonts w:ascii="Times New Roman" w:hAnsi="Times New Roman" w:cs="Times New Roman"/>
          <w:color w:val="231F20"/>
          <w:sz w:val="21"/>
          <w:szCs w:val="21"/>
        </w:rPr>
        <w:t>-</w:t>
      </w:r>
      <w:r w:rsidRPr="00BF3F47">
        <w:rPr>
          <w:rFonts w:ascii="Times New Roman" w:hAnsi="Times New Roman" w:cs="Times New Roman"/>
          <w:color w:val="231F20"/>
          <w:sz w:val="21"/>
          <w:szCs w:val="21"/>
        </w:rPr>
        <w:t>ського потенціалу необхідної якості, використання поділюваних знань для підвищення економічної ефективності [</w:t>
      </w:r>
      <w:r>
        <w:rPr>
          <w:rFonts w:ascii="Times New Roman" w:hAnsi="Times New Roman" w:cs="Times New Roman"/>
          <w:color w:val="231F20"/>
          <w:sz w:val="21"/>
          <w:szCs w:val="21"/>
        </w:rPr>
        <w:fldChar w:fldCharType="begin"/>
      </w:r>
      <w:r>
        <w:rPr>
          <w:rFonts w:ascii="Times New Roman" w:hAnsi="Times New Roman" w:cs="Times New Roman"/>
          <w:color w:val="231F20"/>
          <w:sz w:val="21"/>
          <w:szCs w:val="21"/>
        </w:rPr>
        <w:instrText xml:space="preserve"> REF _Ref430595478 \r \h </w:instrText>
      </w:r>
      <w:r>
        <w:rPr>
          <w:rFonts w:ascii="Times New Roman" w:hAnsi="Times New Roman" w:cs="Times New Roman"/>
          <w:color w:val="231F20"/>
          <w:sz w:val="21"/>
          <w:szCs w:val="21"/>
        </w:rPr>
      </w:r>
      <w:r>
        <w:rPr>
          <w:rFonts w:ascii="Times New Roman" w:hAnsi="Times New Roman" w:cs="Times New Roman"/>
          <w:color w:val="231F20"/>
          <w:sz w:val="21"/>
          <w:szCs w:val="21"/>
        </w:rPr>
        <w:fldChar w:fldCharType="separate"/>
      </w:r>
      <w:r>
        <w:rPr>
          <w:rFonts w:ascii="Times New Roman" w:hAnsi="Times New Roman" w:cs="Times New Roman"/>
          <w:color w:val="231F20"/>
          <w:sz w:val="21"/>
          <w:szCs w:val="21"/>
        </w:rPr>
        <w:t>56</w:t>
      </w:r>
      <w:r>
        <w:rPr>
          <w:rFonts w:ascii="Times New Roman" w:hAnsi="Times New Roman" w:cs="Times New Roman"/>
          <w:color w:val="231F20"/>
          <w:sz w:val="21"/>
          <w:szCs w:val="21"/>
        </w:rPr>
        <w:fldChar w:fldCharType="end"/>
      </w:r>
      <w:r w:rsidRPr="00BF3F47">
        <w:rPr>
          <w:rFonts w:ascii="Times New Roman" w:hAnsi="Times New Roman" w:cs="Times New Roman"/>
          <w:color w:val="231F20"/>
          <w:sz w:val="21"/>
          <w:szCs w:val="21"/>
        </w:rPr>
        <w:t xml:space="preserve">, </w:t>
      </w:r>
      <w:r w:rsidRPr="00BF3F47">
        <w:rPr>
          <w:rFonts w:ascii="Times New Roman" w:hAnsi="Times New Roman" w:cs="Times New Roman"/>
          <w:color w:val="231F20"/>
          <w:sz w:val="21"/>
          <w:szCs w:val="21"/>
          <w:lang w:val="en-US"/>
        </w:rPr>
        <w:t>c</w:t>
      </w:r>
      <w:r w:rsidRPr="00BF3F47">
        <w:rPr>
          <w:rFonts w:ascii="Times New Roman" w:hAnsi="Times New Roman" w:cs="Times New Roman"/>
          <w:color w:val="231F20"/>
          <w:sz w:val="21"/>
          <w:szCs w:val="21"/>
        </w:rPr>
        <w:t>. 199</w:t>
      </w:r>
      <w:r>
        <w:rPr>
          <w:rFonts w:ascii="Times New Roman" w:hAnsi="Times New Roman" w:cs="Times New Roman"/>
          <w:color w:val="231F20"/>
          <w:sz w:val="21"/>
          <w:szCs w:val="21"/>
        </w:rPr>
        <w:t>–</w:t>
      </w:r>
      <w:r w:rsidRPr="00BF3F47">
        <w:rPr>
          <w:rFonts w:ascii="Times New Roman" w:hAnsi="Times New Roman" w:cs="Times New Roman"/>
          <w:color w:val="231F20"/>
          <w:sz w:val="21"/>
          <w:szCs w:val="21"/>
        </w:rPr>
        <w:t>200].</w:t>
      </w:r>
    </w:p>
    <w:p w:rsidR="00B233DE" w:rsidRPr="00BF3F47" w:rsidRDefault="00B233DE" w:rsidP="00B233DE">
      <w:pPr>
        <w:autoSpaceDE w:val="0"/>
        <w:autoSpaceDN w:val="0"/>
        <w:adjustRightInd w:val="0"/>
        <w:ind w:firstLine="720"/>
        <w:jc w:val="both"/>
        <w:rPr>
          <w:rFonts w:ascii="Times New Roman" w:hAnsi="Times New Roman" w:cs="Times New Roman"/>
          <w:color w:val="231F20"/>
          <w:sz w:val="21"/>
          <w:szCs w:val="21"/>
        </w:rPr>
      </w:pPr>
      <w:r w:rsidRPr="00BF3F47">
        <w:rPr>
          <w:rFonts w:ascii="Times New Roman" w:hAnsi="Times New Roman" w:cs="Times New Roman"/>
          <w:color w:val="231F20"/>
          <w:sz w:val="21"/>
          <w:szCs w:val="21"/>
        </w:rPr>
        <w:t>За оцінками окремих дослідників [</w:t>
      </w:r>
      <w:r>
        <w:rPr>
          <w:rFonts w:ascii="Times New Roman" w:hAnsi="Times New Roman" w:cs="Times New Roman"/>
          <w:color w:val="231F20"/>
          <w:sz w:val="21"/>
          <w:szCs w:val="21"/>
        </w:rPr>
        <w:fldChar w:fldCharType="begin"/>
      </w:r>
      <w:r>
        <w:rPr>
          <w:rFonts w:ascii="Times New Roman" w:hAnsi="Times New Roman" w:cs="Times New Roman"/>
          <w:color w:val="231F20"/>
          <w:sz w:val="21"/>
          <w:szCs w:val="21"/>
        </w:rPr>
        <w:instrText xml:space="preserve"> REF _Ref430594275 \r \h </w:instrText>
      </w:r>
      <w:r>
        <w:rPr>
          <w:rFonts w:ascii="Times New Roman" w:hAnsi="Times New Roman" w:cs="Times New Roman"/>
          <w:color w:val="231F20"/>
          <w:sz w:val="21"/>
          <w:szCs w:val="21"/>
        </w:rPr>
      </w:r>
      <w:r>
        <w:rPr>
          <w:rFonts w:ascii="Times New Roman" w:hAnsi="Times New Roman" w:cs="Times New Roman"/>
          <w:color w:val="231F20"/>
          <w:sz w:val="21"/>
          <w:szCs w:val="21"/>
        </w:rPr>
        <w:fldChar w:fldCharType="separate"/>
      </w:r>
      <w:r>
        <w:rPr>
          <w:rFonts w:ascii="Times New Roman" w:hAnsi="Times New Roman" w:cs="Times New Roman"/>
          <w:color w:val="231F20"/>
          <w:sz w:val="21"/>
          <w:szCs w:val="21"/>
        </w:rPr>
        <w:t>34</w:t>
      </w:r>
      <w:r>
        <w:rPr>
          <w:rFonts w:ascii="Times New Roman" w:hAnsi="Times New Roman" w:cs="Times New Roman"/>
          <w:color w:val="231F20"/>
          <w:sz w:val="21"/>
          <w:szCs w:val="21"/>
        </w:rPr>
        <w:fldChar w:fldCharType="end"/>
      </w:r>
      <w:r w:rsidRPr="00BF3F47">
        <w:rPr>
          <w:rFonts w:ascii="Times New Roman" w:hAnsi="Times New Roman" w:cs="Times New Roman"/>
          <w:color w:val="231F20"/>
          <w:sz w:val="21"/>
          <w:szCs w:val="21"/>
        </w:rPr>
        <w:t xml:space="preserve">, </w:t>
      </w:r>
      <w:r>
        <w:rPr>
          <w:rFonts w:ascii="Times New Roman" w:hAnsi="Times New Roman" w:cs="Times New Roman"/>
          <w:color w:val="231F20"/>
          <w:sz w:val="21"/>
          <w:szCs w:val="21"/>
        </w:rPr>
        <w:fldChar w:fldCharType="begin"/>
      </w:r>
      <w:r>
        <w:rPr>
          <w:rFonts w:ascii="Times New Roman" w:hAnsi="Times New Roman" w:cs="Times New Roman"/>
          <w:color w:val="231F20"/>
          <w:sz w:val="21"/>
          <w:szCs w:val="21"/>
        </w:rPr>
        <w:instrText xml:space="preserve"> REF _Ref430595420 \r \h </w:instrText>
      </w:r>
      <w:r>
        <w:rPr>
          <w:rFonts w:ascii="Times New Roman" w:hAnsi="Times New Roman" w:cs="Times New Roman"/>
          <w:color w:val="231F20"/>
          <w:sz w:val="21"/>
          <w:szCs w:val="21"/>
        </w:rPr>
      </w:r>
      <w:r>
        <w:rPr>
          <w:rFonts w:ascii="Times New Roman" w:hAnsi="Times New Roman" w:cs="Times New Roman"/>
          <w:color w:val="231F20"/>
          <w:sz w:val="21"/>
          <w:szCs w:val="21"/>
        </w:rPr>
        <w:fldChar w:fldCharType="separate"/>
      </w:r>
      <w:r>
        <w:rPr>
          <w:rFonts w:ascii="Times New Roman" w:hAnsi="Times New Roman" w:cs="Times New Roman"/>
          <w:color w:val="231F20"/>
          <w:sz w:val="21"/>
          <w:szCs w:val="21"/>
        </w:rPr>
        <w:t>46</w:t>
      </w:r>
      <w:r>
        <w:rPr>
          <w:rFonts w:ascii="Times New Roman" w:hAnsi="Times New Roman" w:cs="Times New Roman"/>
          <w:color w:val="231F20"/>
          <w:sz w:val="21"/>
          <w:szCs w:val="21"/>
        </w:rPr>
        <w:fldChar w:fldCharType="end"/>
      </w:r>
      <w:r w:rsidRPr="00BF3F47">
        <w:rPr>
          <w:rFonts w:ascii="Times New Roman" w:hAnsi="Times New Roman" w:cs="Times New Roman"/>
          <w:color w:val="231F20"/>
          <w:sz w:val="21"/>
          <w:szCs w:val="21"/>
        </w:rPr>
        <w:t>], недостатній розвиток соціального потенціалу в Україні проявляється у відсут</w:t>
      </w:r>
      <w:r>
        <w:rPr>
          <w:rFonts w:ascii="Times New Roman" w:hAnsi="Times New Roman" w:cs="Times New Roman"/>
          <w:color w:val="231F20"/>
          <w:sz w:val="21"/>
          <w:szCs w:val="21"/>
        </w:rPr>
        <w:t>-</w:t>
      </w:r>
      <w:r w:rsidRPr="00BF3F47">
        <w:rPr>
          <w:rFonts w:ascii="Times New Roman" w:hAnsi="Times New Roman" w:cs="Times New Roman"/>
          <w:color w:val="231F20"/>
          <w:sz w:val="21"/>
          <w:szCs w:val="21"/>
        </w:rPr>
        <w:t>ності взаємної довіри між державою, підприємцями та працівни</w:t>
      </w:r>
      <w:r>
        <w:rPr>
          <w:rFonts w:ascii="Times New Roman" w:hAnsi="Times New Roman" w:cs="Times New Roman"/>
          <w:color w:val="231F20"/>
          <w:sz w:val="21"/>
          <w:szCs w:val="21"/>
        </w:rPr>
        <w:t>-</w:t>
      </w:r>
      <w:r w:rsidRPr="00BF3F47">
        <w:rPr>
          <w:rFonts w:ascii="Times New Roman" w:hAnsi="Times New Roman" w:cs="Times New Roman"/>
          <w:color w:val="231F20"/>
          <w:sz w:val="21"/>
          <w:szCs w:val="21"/>
        </w:rPr>
        <w:t>ками, і, як наслідок, орієнтацією бізнесу на коротко</w:t>
      </w:r>
      <w:r>
        <w:rPr>
          <w:rFonts w:ascii="Times New Roman" w:hAnsi="Times New Roman" w:cs="Times New Roman"/>
          <w:color w:val="231F20"/>
          <w:sz w:val="21"/>
          <w:szCs w:val="21"/>
        </w:rPr>
        <w:t>-</w:t>
      </w:r>
      <w:r w:rsidRPr="00BF3F47">
        <w:rPr>
          <w:rFonts w:ascii="Times New Roman" w:hAnsi="Times New Roman" w:cs="Times New Roman"/>
          <w:color w:val="231F20"/>
          <w:sz w:val="21"/>
          <w:szCs w:val="21"/>
        </w:rPr>
        <w:t>строкові цілі отримання максимального прибутку без врахування довгостро</w:t>
      </w:r>
      <w:r>
        <w:rPr>
          <w:rFonts w:ascii="Times New Roman" w:hAnsi="Times New Roman" w:cs="Times New Roman"/>
          <w:color w:val="231F20"/>
          <w:sz w:val="21"/>
          <w:szCs w:val="21"/>
        </w:rPr>
        <w:t>-</w:t>
      </w:r>
      <w:r w:rsidRPr="00BF3F47">
        <w:rPr>
          <w:rFonts w:ascii="Times New Roman" w:hAnsi="Times New Roman" w:cs="Times New Roman"/>
          <w:color w:val="231F20"/>
          <w:sz w:val="21"/>
          <w:szCs w:val="21"/>
        </w:rPr>
        <w:t>кових наслідків для економіки і суспільства та необхідності страте</w:t>
      </w:r>
      <w:r>
        <w:rPr>
          <w:rFonts w:ascii="Times New Roman" w:hAnsi="Times New Roman" w:cs="Times New Roman"/>
          <w:color w:val="231F20"/>
          <w:sz w:val="21"/>
          <w:szCs w:val="21"/>
        </w:rPr>
        <w:t>-</w:t>
      </w:r>
      <w:r w:rsidRPr="00BF3F47">
        <w:rPr>
          <w:rFonts w:ascii="Times New Roman" w:hAnsi="Times New Roman" w:cs="Times New Roman"/>
          <w:color w:val="231F20"/>
          <w:sz w:val="21"/>
          <w:szCs w:val="21"/>
        </w:rPr>
        <w:t>гічного планування розвитку людського потенціалу для сталого зростання. Також варто відзначити, що, на сьогодні, відбувається зниження соціального потенціалу населення України внаслідок по</w:t>
      </w:r>
      <w:r>
        <w:rPr>
          <w:rFonts w:ascii="Times New Roman" w:hAnsi="Times New Roman" w:cs="Times New Roman"/>
          <w:color w:val="231F20"/>
          <w:sz w:val="21"/>
          <w:szCs w:val="21"/>
        </w:rPr>
        <w:t>-</w:t>
      </w:r>
      <w:r w:rsidRPr="00BF3F47">
        <w:rPr>
          <w:rFonts w:ascii="Times New Roman" w:hAnsi="Times New Roman" w:cs="Times New Roman"/>
          <w:color w:val="231F20"/>
          <w:sz w:val="21"/>
          <w:szCs w:val="21"/>
        </w:rPr>
        <w:t>рушення національної, у тому числі інформаційної, безпеки країни.</w:t>
      </w:r>
    </w:p>
    <w:p w:rsidR="00B233DE" w:rsidRPr="00BF3F47" w:rsidRDefault="00B233DE" w:rsidP="00B233DE">
      <w:pPr>
        <w:autoSpaceDE w:val="0"/>
        <w:autoSpaceDN w:val="0"/>
        <w:adjustRightInd w:val="0"/>
        <w:spacing w:line="233" w:lineRule="auto"/>
        <w:ind w:firstLine="720"/>
        <w:jc w:val="both"/>
        <w:rPr>
          <w:rFonts w:ascii="Times New Roman" w:hAnsi="Times New Roman" w:cs="Times New Roman"/>
          <w:color w:val="231F20"/>
          <w:sz w:val="21"/>
          <w:szCs w:val="21"/>
        </w:rPr>
      </w:pPr>
      <w:r w:rsidRPr="00BF3F47">
        <w:rPr>
          <w:rFonts w:ascii="Times New Roman" w:hAnsi="Times New Roman" w:cs="Times New Roman"/>
          <w:color w:val="231F20"/>
          <w:sz w:val="21"/>
          <w:szCs w:val="21"/>
        </w:rPr>
        <w:t>Недостатній розвиток соціального потенціалу і орієнтація бізнесу на короткострокові цілі отримання максимального прибут</w:t>
      </w:r>
      <w:r>
        <w:rPr>
          <w:rFonts w:ascii="Times New Roman" w:hAnsi="Times New Roman" w:cs="Times New Roman"/>
          <w:color w:val="231F20"/>
          <w:sz w:val="21"/>
          <w:szCs w:val="21"/>
        </w:rPr>
        <w:t>-</w:t>
      </w:r>
      <w:r w:rsidRPr="00BF3F47">
        <w:rPr>
          <w:rFonts w:ascii="Times New Roman" w:hAnsi="Times New Roman" w:cs="Times New Roman"/>
          <w:color w:val="231F20"/>
          <w:sz w:val="21"/>
          <w:szCs w:val="21"/>
        </w:rPr>
        <w:t>ку відносимо до загроз конкурентоспроможності людського потен</w:t>
      </w:r>
      <w:r>
        <w:rPr>
          <w:rFonts w:ascii="Times New Roman" w:hAnsi="Times New Roman" w:cs="Times New Roman"/>
          <w:color w:val="231F20"/>
          <w:sz w:val="21"/>
          <w:szCs w:val="21"/>
        </w:rPr>
        <w:t>-</w:t>
      </w:r>
      <w:r w:rsidRPr="00BF3F47">
        <w:rPr>
          <w:rFonts w:ascii="Times New Roman" w:hAnsi="Times New Roman" w:cs="Times New Roman"/>
          <w:color w:val="231F20"/>
          <w:sz w:val="21"/>
          <w:szCs w:val="21"/>
        </w:rPr>
        <w:t>ціалу на підставі того, що конкуренція на основі максимізації при</w:t>
      </w:r>
      <w:r>
        <w:rPr>
          <w:rFonts w:ascii="Times New Roman" w:hAnsi="Times New Roman" w:cs="Times New Roman"/>
          <w:color w:val="231F20"/>
          <w:sz w:val="21"/>
          <w:szCs w:val="21"/>
        </w:rPr>
        <w:t>-</w:t>
      </w:r>
      <w:r w:rsidRPr="00BF3F47">
        <w:rPr>
          <w:rFonts w:ascii="Times New Roman" w:hAnsi="Times New Roman" w:cs="Times New Roman"/>
          <w:color w:val="231F20"/>
          <w:sz w:val="21"/>
          <w:szCs w:val="21"/>
        </w:rPr>
        <w:lastRenderedPageBreak/>
        <w:t>бутку шляхом погіршення умов праці призводить до втрати стиму</w:t>
      </w:r>
      <w:r>
        <w:rPr>
          <w:rFonts w:ascii="Times New Roman" w:hAnsi="Times New Roman" w:cs="Times New Roman"/>
          <w:color w:val="231F20"/>
          <w:sz w:val="21"/>
          <w:szCs w:val="21"/>
        </w:rPr>
        <w:t>-</w:t>
      </w:r>
      <w:r w:rsidRPr="00BF3F47">
        <w:rPr>
          <w:rFonts w:ascii="Times New Roman" w:hAnsi="Times New Roman" w:cs="Times New Roman"/>
          <w:color w:val="231F20"/>
          <w:sz w:val="21"/>
          <w:szCs w:val="21"/>
        </w:rPr>
        <w:t>лу інвестування інтелектуального капіталу і освіти, зменшення купівельної спроможності та сповільнення процесу інновацій [</w:t>
      </w:r>
      <w:r>
        <w:rPr>
          <w:rFonts w:ascii="Times New Roman" w:hAnsi="Times New Roman" w:cs="Times New Roman"/>
          <w:color w:val="231F20"/>
          <w:sz w:val="21"/>
          <w:szCs w:val="21"/>
        </w:rPr>
        <w:fldChar w:fldCharType="begin"/>
      </w:r>
      <w:r>
        <w:rPr>
          <w:rFonts w:ascii="Times New Roman" w:hAnsi="Times New Roman" w:cs="Times New Roman"/>
          <w:color w:val="231F20"/>
          <w:sz w:val="21"/>
          <w:szCs w:val="21"/>
        </w:rPr>
        <w:instrText xml:space="preserve"> REF _Ref430595131 \r \h </w:instrText>
      </w:r>
      <w:r>
        <w:rPr>
          <w:rFonts w:ascii="Times New Roman" w:hAnsi="Times New Roman" w:cs="Times New Roman"/>
          <w:color w:val="231F20"/>
          <w:sz w:val="21"/>
          <w:szCs w:val="21"/>
        </w:rPr>
      </w:r>
      <w:r>
        <w:rPr>
          <w:rFonts w:ascii="Times New Roman" w:hAnsi="Times New Roman" w:cs="Times New Roman"/>
          <w:color w:val="231F20"/>
          <w:sz w:val="21"/>
          <w:szCs w:val="21"/>
        </w:rPr>
        <w:fldChar w:fldCharType="separate"/>
      </w:r>
      <w:r>
        <w:rPr>
          <w:rFonts w:ascii="Times New Roman" w:hAnsi="Times New Roman" w:cs="Times New Roman"/>
          <w:color w:val="231F20"/>
          <w:sz w:val="21"/>
          <w:szCs w:val="21"/>
        </w:rPr>
        <w:t>21</w:t>
      </w:r>
      <w:r>
        <w:rPr>
          <w:rFonts w:ascii="Times New Roman" w:hAnsi="Times New Roman" w:cs="Times New Roman"/>
          <w:color w:val="231F20"/>
          <w:sz w:val="21"/>
          <w:szCs w:val="21"/>
        </w:rPr>
        <w:fldChar w:fldCharType="end"/>
      </w:r>
      <w:r w:rsidRPr="00BF3F47">
        <w:rPr>
          <w:rFonts w:ascii="Times New Roman" w:hAnsi="Times New Roman" w:cs="Times New Roman"/>
          <w:color w:val="231F20"/>
          <w:sz w:val="21"/>
          <w:szCs w:val="21"/>
        </w:rPr>
        <w:t>].</w:t>
      </w:r>
    </w:p>
    <w:p w:rsidR="00B233DE" w:rsidRPr="00BF3F47" w:rsidRDefault="00B233DE" w:rsidP="00B233DE">
      <w:pPr>
        <w:autoSpaceDE w:val="0"/>
        <w:autoSpaceDN w:val="0"/>
        <w:adjustRightInd w:val="0"/>
        <w:spacing w:line="233" w:lineRule="auto"/>
        <w:ind w:firstLine="720"/>
        <w:jc w:val="both"/>
        <w:rPr>
          <w:rFonts w:ascii="Times New Roman" w:hAnsi="Times New Roman" w:cs="Times New Roman"/>
          <w:sz w:val="21"/>
          <w:szCs w:val="21"/>
        </w:rPr>
      </w:pPr>
      <w:r w:rsidRPr="00BF3F47">
        <w:rPr>
          <w:rFonts w:ascii="Times New Roman" w:hAnsi="Times New Roman" w:cs="Times New Roman"/>
          <w:sz w:val="21"/>
          <w:szCs w:val="21"/>
        </w:rPr>
        <w:t>Необхідно підкреслити, що забезпечення умов для розши</w:t>
      </w:r>
      <w:r>
        <w:rPr>
          <w:rFonts w:ascii="Times New Roman" w:hAnsi="Times New Roman" w:cs="Times New Roman"/>
          <w:sz w:val="21"/>
          <w:szCs w:val="21"/>
        </w:rPr>
        <w:t>-</w:t>
      </w:r>
      <w:r w:rsidRPr="00BF3F47">
        <w:rPr>
          <w:rFonts w:ascii="Times New Roman" w:hAnsi="Times New Roman" w:cs="Times New Roman"/>
          <w:sz w:val="21"/>
          <w:szCs w:val="21"/>
        </w:rPr>
        <w:t>реного відтворення та ефективного функціонування людського ка</w:t>
      </w:r>
      <w:r>
        <w:rPr>
          <w:rFonts w:ascii="Times New Roman" w:hAnsi="Times New Roman" w:cs="Times New Roman"/>
          <w:sz w:val="21"/>
          <w:szCs w:val="21"/>
        </w:rPr>
        <w:t>-</w:t>
      </w:r>
      <w:r w:rsidRPr="00BF3F47">
        <w:rPr>
          <w:rFonts w:ascii="Times New Roman" w:hAnsi="Times New Roman" w:cs="Times New Roman"/>
          <w:sz w:val="21"/>
          <w:szCs w:val="21"/>
        </w:rPr>
        <w:t>піталу</w:t>
      </w:r>
      <w:r>
        <w:rPr>
          <w:rFonts w:ascii="Times New Roman" w:hAnsi="Times New Roman" w:cs="Times New Roman"/>
          <w:sz w:val="21"/>
          <w:szCs w:val="21"/>
        </w:rPr>
        <w:t>,</w:t>
      </w:r>
      <w:r w:rsidRPr="00BF3F47">
        <w:rPr>
          <w:rFonts w:ascii="Times New Roman" w:hAnsi="Times New Roman" w:cs="Times New Roman"/>
          <w:sz w:val="21"/>
          <w:szCs w:val="21"/>
        </w:rPr>
        <w:t xml:space="preserve"> як реалізованого людського потенціалу населення</w:t>
      </w:r>
      <w:r>
        <w:rPr>
          <w:rFonts w:ascii="Times New Roman" w:hAnsi="Times New Roman" w:cs="Times New Roman"/>
          <w:sz w:val="21"/>
          <w:szCs w:val="21"/>
        </w:rPr>
        <w:t>,</w:t>
      </w:r>
      <w:r w:rsidRPr="00BF3F47">
        <w:rPr>
          <w:rFonts w:ascii="Times New Roman" w:hAnsi="Times New Roman" w:cs="Times New Roman"/>
          <w:sz w:val="21"/>
          <w:szCs w:val="21"/>
        </w:rPr>
        <w:t xml:space="preserve"> є пріо</w:t>
      </w:r>
      <w:r>
        <w:rPr>
          <w:rFonts w:ascii="Times New Roman" w:hAnsi="Times New Roman" w:cs="Times New Roman"/>
          <w:sz w:val="21"/>
          <w:szCs w:val="21"/>
        </w:rPr>
        <w:t>-</w:t>
      </w:r>
      <w:r w:rsidRPr="00BF3F47">
        <w:rPr>
          <w:rFonts w:ascii="Times New Roman" w:hAnsi="Times New Roman" w:cs="Times New Roman"/>
          <w:sz w:val="21"/>
          <w:szCs w:val="21"/>
        </w:rPr>
        <w:t>ритетним за</w:t>
      </w:r>
      <w:r>
        <w:rPr>
          <w:rFonts w:ascii="Times New Roman" w:hAnsi="Times New Roman" w:cs="Times New Roman"/>
          <w:sz w:val="21"/>
          <w:szCs w:val="21"/>
        </w:rPr>
        <w:t>вданням соціальної політики ЄС</w:t>
      </w:r>
      <w:r w:rsidRPr="00BF3F47">
        <w:rPr>
          <w:rFonts w:ascii="Times New Roman" w:hAnsi="Times New Roman" w:cs="Times New Roman"/>
          <w:sz w:val="21"/>
          <w:szCs w:val="21"/>
        </w:rPr>
        <w:t xml:space="preserve">. Заходами соціальної політики забезпечується і справедливість розподілу доходу країни, що сприяє підвищенню рівня життя, який, в свою чергу, </w:t>
      </w:r>
      <w:r w:rsidRPr="00BF3F47">
        <w:rPr>
          <w:rFonts w:ascii="Times New Roman" w:hAnsi="Times New Roman" w:cs="Times New Roman"/>
          <w:color w:val="231F20"/>
          <w:sz w:val="21"/>
          <w:szCs w:val="21"/>
        </w:rPr>
        <w:t xml:space="preserve">відображає ступінь розвитку та умови задоволення суспільством фізичних, духовних </w:t>
      </w:r>
      <w:r>
        <w:rPr>
          <w:rFonts w:ascii="Times New Roman" w:hAnsi="Times New Roman" w:cs="Times New Roman"/>
          <w:color w:val="231F20"/>
          <w:sz w:val="21"/>
          <w:szCs w:val="21"/>
        </w:rPr>
        <w:t>і соціальних потреб населення</w:t>
      </w:r>
      <w:r w:rsidRPr="00BF3F47">
        <w:rPr>
          <w:rFonts w:ascii="Times New Roman" w:hAnsi="Times New Roman" w:cs="Times New Roman"/>
          <w:color w:val="231F20"/>
          <w:sz w:val="21"/>
          <w:szCs w:val="21"/>
        </w:rPr>
        <w:t>. Досягнення високого рівня життя є беззаперечною та безумовною базовою вимогою переходу до постіндустріального етапу розвитку. Природно, що у новій економіці сприйняття високого рівня життя як об’єктивної даності зміщує акцент на поняття якості життя. Лише за умови покращання якості життя населення, тобто поліпшення його добро</w:t>
      </w:r>
      <w:r>
        <w:rPr>
          <w:rFonts w:ascii="Times New Roman" w:hAnsi="Times New Roman" w:cs="Times New Roman"/>
          <w:color w:val="231F20"/>
          <w:sz w:val="21"/>
          <w:szCs w:val="21"/>
        </w:rPr>
        <w:t>-</w:t>
      </w:r>
      <w:r w:rsidRPr="00BF3F47">
        <w:rPr>
          <w:rFonts w:ascii="Times New Roman" w:hAnsi="Times New Roman" w:cs="Times New Roman"/>
          <w:color w:val="231F20"/>
          <w:sz w:val="21"/>
          <w:szCs w:val="21"/>
        </w:rPr>
        <w:t>буту, здоров’я, освіти, умов праці, навколишнього середовища, удосконалення зайнятості, збільшення тривалості вільного часу можна підвищити якість людського потенціалу інформа</w:t>
      </w:r>
      <w:r>
        <w:rPr>
          <w:rFonts w:ascii="Times New Roman" w:hAnsi="Times New Roman" w:cs="Times New Roman"/>
          <w:color w:val="231F20"/>
          <w:sz w:val="21"/>
          <w:szCs w:val="21"/>
        </w:rPr>
        <w:t>-</w:t>
      </w:r>
      <w:r w:rsidRPr="00BF3F47">
        <w:rPr>
          <w:rFonts w:ascii="Times New Roman" w:hAnsi="Times New Roman" w:cs="Times New Roman"/>
          <w:color w:val="231F20"/>
          <w:sz w:val="21"/>
          <w:szCs w:val="21"/>
        </w:rPr>
        <w:t xml:space="preserve">ційного </w:t>
      </w:r>
      <w:r>
        <w:rPr>
          <w:rFonts w:ascii="Times New Roman" w:hAnsi="Times New Roman" w:cs="Times New Roman"/>
          <w:color w:val="231F20"/>
          <w:sz w:val="21"/>
          <w:szCs w:val="21"/>
        </w:rPr>
        <w:t>суспільства</w:t>
      </w:r>
      <w:r w:rsidRPr="00BF3F47">
        <w:rPr>
          <w:rFonts w:ascii="Times New Roman" w:hAnsi="Times New Roman" w:cs="Times New Roman"/>
          <w:color w:val="231F20"/>
          <w:sz w:val="21"/>
          <w:szCs w:val="21"/>
        </w:rPr>
        <w:t xml:space="preserve">. Тому небезпідставно соціальна політика ЄС </w:t>
      </w:r>
      <w:r w:rsidRPr="00BF3F47">
        <w:rPr>
          <w:rFonts w:ascii="Times New Roman" w:hAnsi="Times New Roman" w:cs="Times New Roman"/>
          <w:sz w:val="21"/>
          <w:szCs w:val="21"/>
        </w:rPr>
        <w:t>включає такі поняття як «соціальний вимір», «соціальна база», «соціальна згуртованість», «соціальні технології», «соціальний простір», «со</w:t>
      </w:r>
      <w:r>
        <w:rPr>
          <w:rFonts w:ascii="Times New Roman" w:hAnsi="Times New Roman" w:cs="Times New Roman"/>
          <w:sz w:val="21"/>
          <w:szCs w:val="21"/>
        </w:rPr>
        <w:t>-</w:t>
      </w:r>
      <w:r w:rsidRPr="00BF3F47">
        <w:rPr>
          <w:rFonts w:ascii="Times New Roman" w:hAnsi="Times New Roman" w:cs="Times New Roman"/>
          <w:sz w:val="21"/>
          <w:szCs w:val="21"/>
        </w:rPr>
        <w:t>ціальна екологія» та має невід’ємне значення для підтримки всього процесу суспільних змін</w:t>
      </w:r>
      <w:r w:rsidRPr="00BF3F47">
        <w:rPr>
          <w:rFonts w:ascii="Times New Roman" w:hAnsi="Times New Roman" w:cs="Times New Roman"/>
          <w:color w:val="231F20"/>
          <w:sz w:val="21"/>
          <w:szCs w:val="21"/>
        </w:rPr>
        <w:t xml:space="preserve">, </w:t>
      </w:r>
      <w:r w:rsidRPr="00BF3F47">
        <w:rPr>
          <w:rFonts w:ascii="Times New Roman" w:hAnsi="Times New Roman" w:cs="Times New Roman"/>
          <w:sz w:val="21"/>
          <w:szCs w:val="21"/>
        </w:rPr>
        <w:t>на відміну від інших країн, де така полі</w:t>
      </w:r>
      <w:r>
        <w:rPr>
          <w:rFonts w:ascii="Times New Roman" w:hAnsi="Times New Roman" w:cs="Times New Roman"/>
          <w:sz w:val="21"/>
          <w:szCs w:val="21"/>
        </w:rPr>
        <w:t>-</w:t>
      </w:r>
      <w:r w:rsidRPr="00BF3F47">
        <w:rPr>
          <w:rFonts w:ascii="Times New Roman" w:hAnsi="Times New Roman" w:cs="Times New Roman"/>
          <w:sz w:val="21"/>
          <w:szCs w:val="21"/>
        </w:rPr>
        <w:t>тика зводиться до вирішення питань умов і оплати праці, профе</w:t>
      </w:r>
      <w:r>
        <w:rPr>
          <w:rFonts w:ascii="Times New Roman" w:hAnsi="Times New Roman" w:cs="Times New Roman"/>
          <w:sz w:val="21"/>
          <w:szCs w:val="21"/>
        </w:rPr>
        <w:t>-</w:t>
      </w:r>
      <w:r w:rsidRPr="00BF3F47">
        <w:rPr>
          <w:rFonts w:ascii="Times New Roman" w:hAnsi="Times New Roman" w:cs="Times New Roman"/>
          <w:sz w:val="21"/>
          <w:szCs w:val="21"/>
        </w:rPr>
        <w:t>сійної підготовки, пенсійного з</w:t>
      </w:r>
      <w:r>
        <w:rPr>
          <w:rFonts w:ascii="Times New Roman" w:hAnsi="Times New Roman" w:cs="Times New Roman"/>
          <w:sz w:val="21"/>
          <w:szCs w:val="21"/>
        </w:rPr>
        <w:t>абезпечення та системи допомог</w:t>
      </w:r>
      <w:r w:rsidRPr="00BF3F47">
        <w:rPr>
          <w:rFonts w:ascii="Times New Roman" w:hAnsi="Times New Roman" w:cs="Times New Roman"/>
          <w:sz w:val="21"/>
          <w:szCs w:val="21"/>
        </w:rPr>
        <w:t>.</w:t>
      </w:r>
    </w:p>
    <w:p w:rsidR="00B233DE" w:rsidRPr="00BF3F47" w:rsidRDefault="00B233DE" w:rsidP="00B233DE">
      <w:pPr>
        <w:autoSpaceDE w:val="0"/>
        <w:autoSpaceDN w:val="0"/>
        <w:adjustRightInd w:val="0"/>
        <w:spacing w:line="233" w:lineRule="auto"/>
        <w:jc w:val="both"/>
        <w:rPr>
          <w:rFonts w:ascii="Times New Roman" w:hAnsi="Times New Roman" w:cs="Times New Roman"/>
          <w:color w:val="231F20"/>
          <w:sz w:val="21"/>
          <w:szCs w:val="21"/>
        </w:rPr>
      </w:pPr>
      <w:r w:rsidRPr="00BF3F47">
        <w:rPr>
          <w:rFonts w:ascii="Times New Roman" w:hAnsi="Times New Roman" w:cs="Times New Roman"/>
          <w:color w:val="231F20"/>
          <w:sz w:val="21"/>
          <w:szCs w:val="21"/>
        </w:rPr>
        <w:t>Таким чином, усвідомлення сутності сучасних соціально-еко</w:t>
      </w:r>
      <w:r>
        <w:rPr>
          <w:rFonts w:ascii="Times New Roman" w:hAnsi="Times New Roman" w:cs="Times New Roman"/>
          <w:color w:val="231F20"/>
          <w:sz w:val="21"/>
          <w:szCs w:val="21"/>
        </w:rPr>
        <w:t>-</w:t>
      </w:r>
      <w:r w:rsidRPr="00BF3F47">
        <w:rPr>
          <w:rFonts w:ascii="Times New Roman" w:hAnsi="Times New Roman" w:cs="Times New Roman"/>
          <w:color w:val="231F20"/>
          <w:sz w:val="21"/>
          <w:szCs w:val="21"/>
        </w:rPr>
        <w:t>номічних концепцій та необхідних заходів державної економічної політики щодо їх реалізації в Україні є провідним напрямом підви</w:t>
      </w:r>
      <w:r>
        <w:rPr>
          <w:rFonts w:ascii="Times New Roman" w:hAnsi="Times New Roman" w:cs="Times New Roman"/>
          <w:color w:val="231F20"/>
          <w:sz w:val="21"/>
          <w:szCs w:val="21"/>
        </w:rPr>
        <w:t>-</w:t>
      </w:r>
      <w:r w:rsidRPr="00BF3F47">
        <w:rPr>
          <w:rFonts w:ascii="Times New Roman" w:hAnsi="Times New Roman" w:cs="Times New Roman"/>
          <w:color w:val="231F20"/>
          <w:sz w:val="21"/>
          <w:szCs w:val="21"/>
        </w:rPr>
        <w:t>щення конкурентоспроможності національного людського потен</w:t>
      </w:r>
      <w:r>
        <w:rPr>
          <w:rFonts w:ascii="Times New Roman" w:hAnsi="Times New Roman" w:cs="Times New Roman"/>
          <w:color w:val="231F20"/>
          <w:sz w:val="21"/>
          <w:szCs w:val="21"/>
        </w:rPr>
        <w:t>-</w:t>
      </w:r>
      <w:r w:rsidRPr="00BF3F47">
        <w:rPr>
          <w:rFonts w:ascii="Times New Roman" w:hAnsi="Times New Roman" w:cs="Times New Roman"/>
          <w:color w:val="231F20"/>
          <w:sz w:val="21"/>
          <w:szCs w:val="21"/>
        </w:rPr>
        <w:t>ціалу як вагомого чинника виконання обов’язкових вимог для інте</w:t>
      </w:r>
      <w:r>
        <w:rPr>
          <w:rFonts w:ascii="Times New Roman" w:hAnsi="Times New Roman" w:cs="Times New Roman"/>
          <w:color w:val="231F20"/>
          <w:sz w:val="21"/>
          <w:szCs w:val="21"/>
        </w:rPr>
        <w:t>-</w:t>
      </w:r>
      <w:r w:rsidRPr="00BF3F47">
        <w:rPr>
          <w:rFonts w:ascii="Times New Roman" w:hAnsi="Times New Roman" w:cs="Times New Roman"/>
          <w:color w:val="231F20"/>
          <w:sz w:val="21"/>
          <w:szCs w:val="21"/>
        </w:rPr>
        <w:t>грації до Європейського Союзу.</w:t>
      </w:r>
    </w:p>
    <w:p w:rsidR="00B233DE" w:rsidRPr="00F9695A" w:rsidRDefault="00B233DE" w:rsidP="00B233DE">
      <w:pPr>
        <w:widowControl w:val="0"/>
        <w:spacing w:line="233" w:lineRule="auto"/>
        <w:contextualSpacing/>
        <w:jc w:val="both"/>
        <w:rPr>
          <w:rFonts w:ascii="Times New Roman" w:hAnsi="Times New Roman" w:cs="Times New Roman"/>
          <w:sz w:val="21"/>
          <w:szCs w:val="21"/>
        </w:rPr>
      </w:pPr>
    </w:p>
    <w:p w:rsidR="00B233DE" w:rsidRPr="00F9695A" w:rsidRDefault="00B233DE" w:rsidP="00B233DE">
      <w:pPr>
        <w:widowControl w:val="0"/>
        <w:spacing w:line="233" w:lineRule="auto"/>
        <w:contextualSpacing/>
        <w:jc w:val="both"/>
        <w:rPr>
          <w:rFonts w:ascii="Times New Roman" w:hAnsi="Times New Roman" w:cs="Times New Roman"/>
          <w:sz w:val="21"/>
          <w:szCs w:val="21"/>
        </w:rPr>
      </w:pPr>
    </w:p>
    <w:p w:rsidR="00B233DE" w:rsidRDefault="00B233DE" w:rsidP="00B233DE">
      <w:pPr>
        <w:widowControl w:val="0"/>
        <w:spacing w:line="233" w:lineRule="auto"/>
        <w:ind w:firstLine="0"/>
        <w:contextualSpacing/>
        <w:jc w:val="center"/>
        <w:rPr>
          <w:rFonts w:ascii="UkrainianPeterburg" w:hAnsi="UkrainianPeterburg"/>
          <w:b/>
          <w:sz w:val="21"/>
          <w:szCs w:val="21"/>
        </w:rPr>
      </w:pPr>
      <w:r w:rsidRPr="00EA63EC">
        <w:rPr>
          <w:rFonts w:ascii="UkrainianPeterburg" w:hAnsi="UkrainianPeterburg"/>
          <w:b/>
          <w:sz w:val="21"/>
          <w:szCs w:val="21"/>
        </w:rPr>
        <w:t>Список використаних джерел</w:t>
      </w:r>
    </w:p>
    <w:p w:rsidR="00B233DE" w:rsidRDefault="00B233DE" w:rsidP="00B233DE">
      <w:pPr>
        <w:jc w:val="both"/>
        <w:rPr>
          <w:rFonts w:ascii="Times New Roman" w:hAnsi="Times New Roman" w:cs="Times New Roman"/>
          <w:sz w:val="21"/>
          <w:szCs w:val="21"/>
        </w:rPr>
      </w:pPr>
    </w:p>
    <w:p w:rsidR="00B233DE" w:rsidRPr="004B50E7" w:rsidRDefault="00B233DE" w:rsidP="00B233DE">
      <w:pPr>
        <w:jc w:val="both"/>
        <w:rPr>
          <w:rFonts w:ascii="Times New Roman" w:hAnsi="Times New Roman" w:cs="Times New Roman"/>
          <w:sz w:val="21"/>
          <w:szCs w:val="21"/>
        </w:rPr>
      </w:pPr>
    </w:p>
    <w:p w:rsidR="00B233DE" w:rsidRPr="002055BD" w:rsidRDefault="00B233DE" w:rsidP="00B233DE">
      <w:pPr>
        <w:numPr>
          <w:ilvl w:val="0"/>
          <w:numId w:val="1"/>
        </w:numPr>
        <w:tabs>
          <w:tab w:val="clear" w:pos="720"/>
          <w:tab w:val="left" w:pos="1134"/>
        </w:tabs>
        <w:ind w:left="0" w:firstLine="709"/>
        <w:jc w:val="both"/>
        <w:rPr>
          <w:rFonts w:ascii="Times New Roman" w:hAnsi="Times New Roman" w:cs="Times New Roman"/>
          <w:sz w:val="21"/>
          <w:szCs w:val="21"/>
        </w:rPr>
      </w:pPr>
      <w:bookmarkStart w:id="0" w:name="_Ref430593683"/>
      <w:r w:rsidRPr="00E36E2F">
        <w:rPr>
          <w:rFonts w:ascii="Times New Roman" w:hAnsi="Times New Roman" w:cs="Times New Roman"/>
          <w:sz w:val="21"/>
          <w:szCs w:val="21"/>
        </w:rPr>
        <w:t>390 лет</w:t>
      </w:r>
      <w:r w:rsidRPr="002055BD">
        <w:rPr>
          <w:rStyle w:val="aa"/>
          <w:rFonts w:ascii="Times New Roman" w:hAnsi="Times New Roman" w:cs="Times New Roman"/>
          <w:i w:val="0"/>
          <w:sz w:val="21"/>
          <w:szCs w:val="21"/>
        </w:rPr>
        <w:t xml:space="preserve"> </w:t>
      </w:r>
      <w:r w:rsidRPr="002055BD">
        <w:rPr>
          <w:rFonts w:ascii="Times New Roman" w:hAnsi="Times New Roman" w:cs="Times New Roman"/>
          <w:iCs/>
          <w:sz w:val="21"/>
          <w:szCs w:val="21"/>
        </w:rPr>
        <w:t xml:space="preserve">со дня рождения Уильяма Петти // Демоскоп Weekly. – 2013. – № 555–556 [Електронний ресурс]. – Режим доступу : </w:t>
      </w:r>
      <w:r w:rsidRPr="002055BD">
        <w:rPr>
          <w:rFonts w:ascii="Times New Roman" w:hAnsi="Times New Roman" w:cs="Times New Roman"/>
          <w:sz w:val="21"/>
          <w:szCs w:val="21"/>
        </w:rPr>
        <w:t>http://demoscope.ru/weekly/2013/0555/nauka03.php</w:t>
      </w:r>
      <w:bookmarkEnd w:id="0"/>
    </w:p>
    <w:p w:rsidR="00B233DE" w:rsidRPr="00AA6D16" w:rsidRDefault="00B233DE" w:rsidP="00B233DE">
      <w:pPr>
        <w:numPr>
          <w:ilvl w:val="0"/>
          <w:numId w:val="1"/>
        </w:numPr>
        <w:tabs>
          <w:tab w:val="clear" w:pos="720"/>
          <w:tab w:val="left" w:pos="1134"/>
        </w:tabs>
        <w:ind w:left="0" w:firstLine="709"/>
        <w:jc w:val="both"/>
        <w:rPr>
          <w:rFonts w:ascii="Times New Roman" w:hAnsi="Times New Roman" w:cs="Times New Roman"/>
          <w:sz w:val="21"/>
          <w:szCs w:val="21"/>
        </w:rPr>
      </w:pPr>
      <w:bookmarkStart w:id="1" w:name="_Ref430595112"/>
      <w:r w:rsidRPr="00F11B95">
        <w:rPr>
          <w:rFonts w:ascii="Times New Roman" w:eastAsia="PalatinoLinotype-Bold" w:hAnsi="Times New Roman" w:cs="Times New Roman"/>
          <w:sz w:val="21"/>
          <w:szCs w:val="21"/>
        </w:rPr>
        <w:lastRenderedPageBreak/>
        <w:t>Актуальні аспекти реалізації євроінтеграційних прагнень України</w:t>
      </w:r>
      <w:r>
        <w:rPr>
          <w:rFonts w:ascii="Times New Roman" w:eastAsia="PalatinoLinotype-Bold" w:hAnsi="Times New Roman" w:cs="Times New Roman"/>
          <w:sz w:val="21"/>
          <w:szCs w:val="21"/>
        </w:rPr>
        <w:t xml:space="preserve"> </w:t>
      </w:r>
      <w:r w:rsidRPr="00F11B95">
        <w:rPr>
          <w:rFonts w:ascii="Times New Roman" w:eastAsia="PalatinoLinotype-Bold" w:hAnsi="Times New Roman" w:cs="Times New Roman"/>
          <w:sz w:val="21"/>
          <w:szCs w:val="21"/>
        </w:rPr>
        <w:t>: Збірник наукових праць за матеріалами науково-практичної конференції (м. Ужгород, 29</w:t>
      </w:r>
      <w:r>
        <w:rPr>
          <w:rFonts w:ascii="Times New Roman" w:eastAsia="PalatinoLinotype-Bold" w:hAnsi="Times New Roman" w:cs="Times New Roman"/>
          <w:sz w:val="21"/>
          <w:szCs w:val="21"/>
        </w:rPr>
        <w:t>–</w:t>
      </w:r>
      <w:r w:rsidRPr="00F11B95">
        <w:rPr>
          <w:rFonts w:ascii="Times New Roman" w:eastAsia="PalatinoLinotype-Bold" w:hAnsi="Times New Roman" w:cs="Times New Roman"/>
          <w:sz w:val="21"/>
          <w:szCs w:val="21"/>
        </w:rPr>
        <w:t>30 листопада 2007 р.)</w:t>
      </w:r>
      <w:r>
        <w:rPr>
          <w:rFonts w:ascii="Times New Roman" w:eastAsia="PalatinoLinotype-Bold" w:hAnsi="Times New Roman" w:cs="Times New Roman"/>
          <w:sz w:val="21"/>
          <w:szCs w:val="21"/>
        </w:rPr>
        <w:t xml:space="preserve"> </w:t>
      </w:r>
      <w:r w:rsidRPr="00F11B95">
        <w:rPr>
          <w:rFonts w:ascii="Times New Roman" w:eastAsia="PalatinoLinotype-Bold" w:hAnsi="Times New Roman" w:cs="Times New Roman"/>
          <w:sz w:val="21"/>
          <w:szCs w:val="21"/>
        </w:rPr>
        <w:t>/</w:t>
      </w:r>
      <w:r>
        <w:rPr>
          <w:rFonts w:ascii="Times New Roman" w:eastAsia="PalatinoLinotype-Bold" w:hAnsi="Times New Roman" w:cs="Times New Roman"/>
          <w:sz w:val="21"/>
          <w:szCs w:val="21"/>
        </w:rPr>
        <w:t xml:space="preserve"> </w:t>
      </w:r>
      <w:r w:rsidRPr="00F11B95">
        <w:rPr>
          <w:rFonts w:ascii="Times New Roman" w:eastAsia="PalatinoLinotype-Bold" w:hAnsi="Times New Roman" w:cs="Times New Roman"/>
          <w:sz w:val="21"/>
          <w:szCs w:val="21"/>
        </w:rPr>
        <w:t>відп. ред. І.</w:t>
      </w:r>
      <w:r>
        <w:rPr>
          <w:rFonts w:ascii="Times New Roman" w:eastAsia="PalatinoLinotype-Bold" w:hAnsi="Times New Roman" w:cs="Times New Roman"/>
          <w:sz w:val="21"/>
          <w:szCs w:val="21"/>
        </w:rPr>
        <w:t xml:space="preserve"> </w:t>
      </w:r>
      <w:r w:rsidRPr="00F11B95">
        <w:rPr>
          <w:rFonts w:ascii="Times New Roman" w:eastAsia="PalatinoLinotype-Bold" w:hAnsi="Times New Roman" w:cs="Times New Roman"/>
          <w:sz w:val="21"/>
          <w:szCs w:val="21"/>
        </w:rPr>
        <w:t>В.</w:t>
      </w:r>
      <w:r>
        <w:rPr>
          <w:rFonts w:ascii="Times New Roman" w:eastAsia="PalatinoLinotype-Bold" w:hAnsi="Times New Roman" w:cs="Times New Roman"/>
          <w:sz w:val="21"/>
          <w:szCs w:val="21"/>
        </w:rPr>
        <w:t xml:space="preserve"> </w:t>
      </w:r>
      <w:r w:rsidRPr="00F11B95">
        <w:rPr>
          <w:rFonts w:ascii="Times New Roman" w:eastAsia="PalatinoLinotype-Bold" w:hAnsi="Times New Roman" w:cs="Times New Roman"/>
          <w:sz w:val="21"/>
          <w:szCs w:val="21"/>
        </w:rPr>
        <w:t xml:space="preserve">Артьомов. </w:t>
      </w:r>
      <w:r>
        <w:rPr>
          <w:rFonts w:ascii="Times New Roman" w:eastAsia="PalatinoLinotype-Bold" w:hAnsi="Times New Roman" w:cs="Times New Roman"/>
          <w:sz w:val="21"/>
          <w:szCs w:val="21"/>
        </w:rPr>
        <w:t>–</w:t>
      </w:r>
      <w:r w:rsidRPr="00F11B95">
        <w:rPr>
          <w:rFonts w:ascii="Times New Roman" w:eastAsia="PalatinoLinotype-Bold" w:hAnsi="Times New Roman" w:cs="Times New Roman"/>
          <w:sz w:val="21"/>
          <w:szCs w:val="21"/>
        </w:rPr>
        <w:t xml:space="preserve"> Ужгород</w:t>
      </w:r>
      <w:r>
        <w:rPr>
          <w:rFonts w:ascii="Times New Roman" w:eastAsia="PalatinoLinotype-Bold" w:hAnsi="Times New Roman" w:cs="Times New Roman"/>
          <w:sz w:val="21"/>
          <w:szCs w:val="21"/>
        </w:rPr>
        <w:t xml:space="preserve"> </w:t>
      </w:r>
      <w:r w:rsidRPr="00F11B95">
        <w:rPr>
          <w:rFonts w:ascii="Times New Roman" w:eastAsia="PalatinoLinotype-Bold" w:hAnsi="Times New Roman" w:cs="Times New Roman"/>
          <w:sz w:val="21"/>
          <w:szCs w:val="21"/>
        </w:rPr>
        <w:t>: Ліра, 2008. − 390 с.</w:t>
      </w:r>
      <w:bookmarkEnd w:id="1"/>
    </w:p>
    <w:p w:rsidR="00B233DE" w:rsidRDefault="00B233DE" w:rsidP="00B233DE">
      <w:pPr>
        <w:numPr>
          <w:ilvl w:val="0"/>
          <w:numId w:val="1"/>
        </w:numPr>
        <w:tabs>
          <w:tab w:val="clear" w:pos="720"/>
          <w:tab w:val="left" w:pos="1134"/>
        </w:tabs>
        <w:ind w:left="0" w:firstLine="709"/>
        <w:jc w:val="both"/>
        <w:rPr>
          <w:rFonts w:ascii="Times New Roman" w:hAnsi="Times New Roman" w:cs="Times New Roman"/>
          <w:sz w:val="21"/>
          <w:szCs w:val="21"/>
        </w:rPr>
      </w:pPr>
      <w:r w:rsidRPr="00D56F5A">
        <w:rPr>
          <w:rFonts w:ascii="Times New Roman" w:hAnsi="Times New Roman" w:cs="Times New Roman"/>
          <w:sz w:val="21"/>
          <w:szCs w:val="21"/>
        </w:rPr>
        <w:t>Антонюк В.</w:t>
      </w:r>
      <w:r>
        <w:rPr>
          <w:rFonts w:ascii="Times New Roman" w:hAnsi="Times New Roman" w:cs="Times New Roman"/>
          <w:sz w:val="21"/>
          <w:szCs w:val="21"/>
        </w:rPr>
        <w:t xml:space="preserve"> </w:t>
      </w:r>
      <w:r w:rsidRPr="00D56F5A">
        <w:rPr>
          <w:rFonts w:ascii="Times New Roman" w:hAnsi="Times New Roman" w:cs="Times New Roman"/>
          <w:sz w:val="21"/>
          <w:szCs w:val="21"/>
        </w:rPr>
        <w:t xml:space="preserve">П. Регіональний менеджмент в системі формування трудового потенціалу / В. П. Антонюк // Вісник Житомирського державного технологічного університету. Сер. : </w:t>
      </w:r>
      <w:r>
        <w:rPr>
          <w:rFonts w:ascii="Times New Roman" w:hAnsi="Times New Roman" w:cs="Times New Roman"/>
          <w:sz w:val="21"/>
          <w:szCs w:val="21"/>
        </w:rPr>
        <w:t>Економічні науки. –</w:t>
      </w:r>
      <w:r w:rsidRPr="00D56F5A">
        <w:rPr>
          <w:rFonts w:ascii="Times New Roman" w:hAnsi="Times New Roman" w:cs="Times New Roman"/>
          <w:sz w:val="21"/>
          <w:szCs w:val="21"/>
        </w:rPr>
        <w:t xml:space="preserve"> 2</w:t>
      </w:r>
      <w:r>
        <w:rPr>
          <w:rFonts w:ascii="Times New Roman" w:hAnsi="Times New Roman" w:cs="Times New Roman"/>
          <w:sz w:val="21"/>
          <w:szCs w:val="21"/>
        </w:rPr>
        <w:t>005. –</w:t>
      </w:r>
      <w:r w:rsidRPr="00D56F5A">
        <w:rPr>
          <w:rFonts w:ascii="Times New Roman" w:hAnsi="Times New Roman" w:cs="Times New Roman"/>
          <w:sz w:val="21"/>
          <w:szCs w:val="21"/>
        </w:rPr>
        <w:t xml:space="preserve"> </w:t>
      </w:r>
      <w:r>
        <w:rPr>
          <w:rFonts w:ascii="Times New Roman" w:hAnsi="Times New Roman" w:cs="Times New Roman"/>
          <w:sz w:val="21"/>
          <w:szCs w:val="21"/>
        </w:rPr>
        <w:t>№ 3. –</w:t>
      </w:r>
      <w:r w:rsidRPr="00D56F5A">
        <w:rPr>
          <w:rFonts w:ascii="Times New Roman" w:hAnsi="Times New Roman" w:cs="Times New Roman"/>
          <w:sz w:val="21"/>
          <w:szCs w:val="21"/>
        </w:rPr>
        <w:t xml:space="preserve"> </w:t>
      </w:r>
      <w:r>
        <w:rPr>
          <w:rFonts w:ascii="Times New Roman" w:hAnsi="Times New Roman" w:cs="Times New Roman"/>
          <w:sz w:val="21"/>
          <w:szCs w:val="21"/>
        </w:rPr>
        <w:t>С. 243–</w:t>
      </w:r>
      <w:r w:rsidRPr="00D56F5A">
        <w:rPr>
          <w:rFonts w:ascii="Times New Roman" w:hAnsi="Times New Roman" w:cs="Times New Roman"/>
          <w:sz w:val="21"/>
          <w:szCs w:val="21"/>
        </w:rPr>
        <w:t>252.</w:t>
      </w:r>
    </w:p>
    <w:p w:rsidR="00B233DE" w:rsidRPr="002055BD" w:rsidRDefault="00B233DE" w:rsidP="00B233DE">
      <w:pPr>
        <w:numPr>
          <w:ilvl w:val="0"/>
          <w:numId w:val="1"/>
        </w:numPr>
        <w:tabs>
          <w:tab w:val="clear" w:pos="720"/>
          <w:tab w:val="left" w:pos="1134"/>
        </w:tabs>
        <w:ind w:left="0" w:firstLine="709"/>
        <w:jc w:val="both"/>
        <w:rPr>
          <w:rFonts w:ascii="Times New Roman" w:hAnsi="Times New Roman" w:cs="Times New Roman"/>
          <w:sz w:val="21"/>
          <w:szCs w:val="21"/>
        </w:rPr>
      </w:pPr>
      <w:bookmarkStart w:id="2" w:name="_Ref430593676"/>
      <w:r w:rsidRPr="002055BD">
        <w:rPr>
          <w:rFonts w:ascii="Times New Roman" w:hAnsi="Times New Roman" w:cs="Times New Roman"/>
          <w:sz w:val="21"/>
          <w:szCs w:val="21"/>
        </w:rPr>
        <w:t>Аристотель. Политика / Аристотель // Сочинения : в 4 т. Т. 4. – М. : Мысль, 1983. – 381 с.</w:t>
      </w:r>
      <w:bookmarkEnd w:id="2"/>
    </w:p>
    <w:p w:rsidR="00B233DE" w:rsidRPr="009B21B6"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3" w:name="_Ref430595309"/>
      <w:r w:rsidRPr="00A104FF">
        <w:rPr>
          <w:rFonts w:ascii="Times New Roman" w:hAnsi="Times New Roman" w:cs="Times New Roman"/>
          <w:spacing w:val="-6"/>
          <w:sz w:val="21"/>
          <w:szCs w:val="21"/>
        </w:rPr>
        <w:t>Бажал Ю. М. Знаннєва економіка – економіка конкуренто-</w:t>
      </w:r>
      <w:r w:rsidRPr="00F11B95">
        <w:rPr>
          <w:rFonts w:ascii="Times New Roman" w:hAnsi="Times New Roman" w:cs="Times New Roman"/>
          <w:sz w:val="21"/>
          <w:szCs w:val="21"/>
        </w:rPr>
        <w:t xml:space="preserve">спроможності / Ю. М. Бажал // Інформаційне суспільство. Шлях України. </w:t>
      </w:r>
      <w:r>
        <w:rPr>
          <w:rFonts w:ascii="Times New Roman" w:hAnsi="Times New Roman" w:cs="Times New Roman"/>
          <w:sz w:val="21"/>
          <w:szCs w:val="21"/>
        </w:rPr>
        <w:t>–</w:t>
      </w:r>
      <w:r w:rsidRPr="00F11B95">
        <w:rPr>
          <w:rFonts w:ascii="Times New Roman" w:hAnsi="Times New Roman" w:cs="Times New Roman"/>
          <w:sz w:val="21"/>
          <w:szCs w:val="21"/>
        </w:rPr>
        <w:t xml:space="preserve"> К. : Б-ка інформ. сус-ва, 2004. </w:t>
      </w:r>
      <w:r>
        <w:rPr>
          <w:rFonts w:ascii="Times New Roman" w:hAnsi="Times New Roman" w:cs="Times New Roman"/>
          <w:sz w:val="21"/>
          <w:szCs w:val="21"/>
        </w:rPr>
        <w:t>–</w:t>
      </w:r>
      <w:r w:rsidRPr="00F11B95">
        <w:rPr>
          <w:rFonts w:ascii="Times New Roman" w:hAnsi="Times New Roman" w:cs="Times New Roman"/>
          <w:sz w:val="21"/>
          <w:szCs w:val="21"/>
        </w:rPr>
        <w:t xml:space="preserve"> С. 219</w:t>
      </w:r>
      <w:r>
        <w:rPr>
          <w:rFonts w:ascii="Times New Roman" w:hAnsi="Times New Roman" w:cs="Times New Roman"/>
          <w:sz w:val="21"/>
          <w:szCs w:val="21"/>
        </w:rPr>
        <w:t>–</w:t>
      </w:r>
      <w:r w:rsidRPr="00F11B95">
        <w:rPr>
          <w:rFonts w:ascii="Times New Roman" w:hAnsi="Times New Roman" w:cs="Times New Roman"/>
          <w:sz w:val="21"/>
          <w:szCs w:val="21"/>
        </w:rPr>
        <w:t>224</w:t>
      </w:r>
      <w:r>
        <w:rPr>
          <w:rFonts w:ascii="Times New Roman" w:hAnsi="Times New Roman" w:cs="Times New Roman"/>
          <w:sz w:val="21"/>
          <w:szCs w:val="21"/>
        </w:rPr>
        <w:t>.</w:t>
      </w:r>
      <w:bookmarkEnd w:id="3"/>
    </w:p>
    <w:p w:rsidR="00B233DE" w:rsidRPr="00A104FF"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4" w:name="_Ref430595203"/>
      <w:r w:rsidRPr="00F11B95">
        <w:rPr>
          <w:rFonts w:ascii="Times New Roman" w:hAnsi="Times New Roman" w:cs="Times New Roman"/>
          <w:sz w:val="21"/>
          <w:szCs w:val="21"/>
        </w:rPr>
        <w:t xml:space="preserve">Бажал Ю. </w:t>
      </w:r>
      <w:r>
        <w:rPr>
          <w:rFonts w:ascii="Times New Roman" w:hAnsi="Times New Roman" w:cs="Times New Roman"/>
          <w:sz w:val="21"/>
          <w:szCs w:val="21"/>
        </w:rPr>
        <w:t xml:space="preserve">М. </w:t>
      </w:r>
      <w:r w:rsidRPr="00F11B95">
        <w:rPr>
          <w:rFonts w:ascii="Times New Roman" w:hAnsi="Times New Roman" w:cs="Times New Roman"/>
          <w:sz w:val="21"/>
          <w:szCs w:val="21"/>
        </w:rPr>
        <w:t>Знаннєва економіка</w:t>
      </w:r>
      <w:r>
        <w:rPr>
          <w:rFonts w:ascii="Times New Roman" w:hAnsi="Times New Roman" w:cs="Times New Roman"/>
          <w:sz w:val="21"/>
          <w:szCs w:val="21"/>
        </w:rPr>
        <w:t xml:space="preserve"> </w:t>
      </w:r>
      <w:r w:rsidRPr="00F11B95">
        <w:rPr>
          <w:rFonts w:ascii="Times New Roman" w:hAnsi="Times New Roman" w:cs="Times New Roman"/>
          <w:sz w:val="21"/>
          <w:szCs w:val="21"/>
        </w:rPr>
        <w:t xml:space="preserve">: теорії і державна політика / Ю. </w:t>
      </w:r>
      <w:r>
        <w:rPr>
          <w:rFonts w:ascii="Times New Roman" w:hAnsi="Times New Roman" w:cs="Times New Roman"/>
          <w:sz w:val="21"/>
          <w:szCs w:val="21"/>
        </w:rPr>
        <w:t xml:space="preserve">М. </w:t>
      </w:r>
      <w:r w:rsidRPr="00F11B95">
        <w:rPr>
          <w:rFonts w:ascii="Times New Roman" w:hAnsi="Times New Roman" w:cs="Times New Roman"/>
          <w:sz w:val="21"/>
          <w:szCs w:val="21"/>
        </w:rPr>
        <w:t>Бажал // Економіка і прогнозування. – 2003. – № 3. – С. 71</w:t>
      </w:r>
      <w:r>
        <w:rPr>
          <w:rFonts w:ascii="Times New Roman" w:hAnsi="Times New Roman" w:cs="Times New Roman"/>
          <w:sz w:val="21"/>
          <w:szCs w:val="21"/>
        </w:rPr>
        <w:t>–</w:t>
      </w:r>
      <w:r w:rsidRPr="00F11B95">
        <w:rPr>
          <w:rFonts w:ascii="Times New Roman" w:hAnsi="Times New Roman" w:cs="Times New Roman"/>
          <w:sz w:val="21"/>
          <w:szCs w:val="21"/>
        </w:rPr>
        <w:t>76</w:t>
      </w:r>
      <w:r>
        <w:rPr>
          <w:rFonts w:ascii="Times New Roman" w:hAnsi="Times New Roman" w:cs="Times New Roman"/>
          <w:sz w:val="21"/>
          <w:szCs w:val="21"/>
        </w:rPr>
        <w:t>.</w:t>
      </w:r>
      <w:bookmarkEnd w:id="4"/>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5" w:name="_Ref430594008"/>
      <w:r w:rsidRPr="002055BD">
        <w:rPr>
          <w:rFonts w:ascii="Times New Roman" w:hAnsi="Times New Roman" w:cs="Times New Roman"/>
          <w:sz w:val="21"/>
          <w:szCs w:val="21"/>
        </w:rPr>
        <w:t>Безтелесна Л. Людський розвиток</w:t>
      </w:r>
      <w:r>
        <w:rPr>
          <w:rFonts w:ascii="Times New Roman" w:hAnsi="Times New Roman" w:cs="Times New Roman"/>
          <w:sz w:val="21"/>
          <w:szCs w:val="21"/>
        </w:rPr>
        <w:t xml:space="preserve"> </w:t>
      </w:r>
      <w:r w:rsidRPr="002055BD">
        <w:rPr>
          <w:rFonts w:ascii="Times New Roman" w:hAnsi="Times New Roman" w:cs="Times New Roman"/>
          <w:sz w:val="21"/>
          <w:szCs w:val="21"/>
        </w:rPr>
        <w:t>: підходи до трактування суті та умов його забезпечення / Л. Безтелесна // Економіка Україн</w:t>
      </w:r>
      <w:r>
        <w:rPr>
          <w:rFonts w:ascii="Times New Roman" w:hAnsi="Times New Roman" w:cs="Times New Roman"/>
          <w:sz w:val="21"/>
          <w:szCs w:val="21"/>
        </w:rPr>
        <w:t>и : Політико-економічний журнал</w:t>
      </w:r>
      <w:r w:rsidRPr="002055BD">
        <w:rPr>
          <w:rFonts w:ascii="Times New Roman" w:hAnsi="Times New Roman" w:cs="Times New Roman"/>
          <w:sz w:val="21"/>
          <w:szCs w:val="21"/>
        </w:rPr>
        <w:t xml:space="preserve">. </w:t>
      </w:r>
      <w:r>
        <w:rPr>
          <w:rFonts w:ascii="Times New Roman" w:hAnsi="Times New Roman" w:cs="Times New Roman"/>
          <w:sz w:val="21"/>
          <w:szCs w:val="21"/>
        </w:rPr>
        <w:t>– 2009. – № 7</w:t>
      </w:r>
      <w:r w:rsidRPr="002055BD">
        <w:rPr>
          <w:rFonts w:ascii="Times New Roman" w:hAnsi="Times New Roman" w:cs="Times New Roman"/>
          <w:sz w:val="21"/>
          <w:szCs w:val="21"/>
        </w:rPr>
        <w:t>. – С. 4</w:t>
      </w:r>
      <w:r>
        <w:rPr>
          <w:rFonts w:ascii="Times New Roman" w:hAnsi="Times New Roman" w:cs="Times New Roman"/>
          <w:sz w:val="21"/>
          <w:szCs w:val="21"/>
        </w:rPr>
        <w:t>–</w:t>
      </w:r>
      <w:r w:rsidRPr="002055BD">
        <w:rPr>
          <w:rFonts w:ascii="Times New Roman" w:hAnsi="Times New Roman" w:cs="Times New Roman"/>
          <w:sz w:val="21"/>
          <w:szCs w:val="21"/>
        </w:rPr>
        <w:t>12.</w:t>
      </w:r>
      <w:bookmarkEnd w:id="5"/>
    </w:p>
    <w:p w:rsidR="00B233DE" w:rsidRPr="002B6656"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6" w:name="_Ref430595175"/>
      <w:r w:rsidRPr="00F11B95">
        <w:rPr>
          <w:rFonts w:ascii="Times New Roman" w:hAnsi="Times New Roman" w:cs="Times New Roman"/>
          <w:sz w:val="21"/>
          <w:szCs w:val="21"/>
        </w:rPr>
        <w:t xml:space="preserve">Белл. Д. Грядущее постиндустриальное общество. Опыт социального прогнозирования / </w:t>
      </w:r>
      <w:r>
        <w:rPr>
          <w:rFonts w:ascii="Times New Roman" w:hAnsi="Times New Roman" w:cs="Times New Roman"/>
          <w:sz w:val="21"/>
          <w:szCs w:val="21"/>
        </w:rPr>
        <w:t>Д. Белл ; перевод с английского. – и</w:t>
      </w:r>
      <w:r w:rsidRPr="00F11B95">
        <w:rPr>
          <w:rFonts w:ascii="Times New Roman" w:hAnsi="Times New Roman" w:cs="Times New Roman"/>
          <w:sz w:val="21"/>
          <w:szCs w:val="21"/>
        </w:rPr>
        <w:t>зд. 2-ое,</w:t>
      </w:r>
      <w:r>
        <w:rPr>
          <w:rFonts w:ascii="Times New Roman" w:hAnsi="Times New Roman" w:cs="Times New Roman"/>
          <w:sz w:val="21"/>
          <w:szCs w:val="21"/>
        </w:rPr>
        <w:t xml:space="preserve"> испр. и доп. –</w:t>
      </w:r>
      <w:r w:rsidRPr="00F11B95">
        <w:rPr>
          <w:rFonts w:ascii="Times New Roman" w:hAnsi="Times New Roman" w:cs="Times New Roman"/>
          <w:sz w:val="21"/>
          <w:szCs w:val="21"/>
        </w:rPr>
        <w:t xml:space="preserve"> М.</w:t>
      </w:r>
      <w:r>
        <w:rPr>
          <w:rFonts w:ascii="Times New Roman" w:hAnsi="Times New Roman" w:cs="Times New Roman"/>
          <w:sz w:val="21"/>
          <w:szCs w:val="21"/>
        </w:rPr>
        <w:t xml:space="preserve"> </w:t>
      </w:r>
      <w:r w:rsidRPr="00F11B95">
        <w:rPr>
          <w:rFonts w:ascii="Times New Roman" w:hAnsi="Times New Roman" w:cs="Times New Roman"/>
          <w:sz w:val="21"/>
          <w:szCs w:val="21"/>
        </w:rPr>
        <w:t xml:space="preserve">: </w:t>
      </w:r>
      <w:r w:rsidRPr="00F11B95">
        <w:rPr>
          <w:rFonts w:ascii="Times New Roman" w:hAnsi="Times New Roman" w:cs="Times New Roman"/>
          <w:sz w:val="21"/>
          <w:szCs w:val="21"/>
          <w:lang w:val="en-US"/>
        </w:rPr>
        <w:t>Academia</w:t>
      </w:r>
      <w:r>
        <w:rPr>
          <w:rFonts w:ascii="Times New Roman" w:hAnsi="Times New Roman" w:cs="Times New Roman"/>
          <w:sz w:val="21"/>
          <w:szCs w:val="21"/>
        </w:rPr>
        <w:t>, 2004. –</w:t>
      </w:r>
      <w:r w:rsidRPr="00F11B95">
        <w:rPr>
          <w:rFonts w:ascii="Times New Roman" w:hAnsi="Times New Roman" w:cs="Times New Roman"/>
          <w:sz w:val="21"/>
          <w:szCs w:val="21"/>
        </w:rPr>
        <w:t xml:space="preserve"> 788 с.</w:t>
      </w:r>
      <w:bookmarkEnd w:id="6"/>
    </w:p>
    <w:p w:rsidR="00B233DE" w:rsidRPr="001E47F0"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7" w:name="_Ref430595158"/>
      <w:r w:rsidRPr="00F11B95">
        <w:rPr>
          <w:rFonts w:ascii="Times New Roman" w:hAnsi="Times New Roman" w:cs="Times New Roman"/>
          <w:sz w:val="21"/>
          <w:szCs w:val="21"/>
        </w:rPr>
        <w:t>Білоусов О. С. Розвиток концепцій інформаційного суспільства</w:t>
      </w:r>
      <w:r>
        <w:rPr>
          <w:rFonts w:ascii="Times New Roman" w:hAnsi="Times New Roman" w:cs="Times New Roman"/>
          <w:sz w:val="21"/>
          <w:szCs w:val="21"/>
        </w:rPr>
        <w:t xml:space="preserve"> </w:t>
      </w:r>
      <w:r w:rsidRPr="00F11B95">
        <w:rPr>
          <w:rFonts w:ascii="Times New Roman" w:hAnsi="Times New Roman" w:cs="Times New Roman"/>
          <w:sz w:val="21"/>
          <w:szCs w:val="21"/>
        </w:rPr>
        <w:t xml:space="preserve">: від формування теорії постіндустріалізму до сучасності / О. С. Білоусов // Актуальні проблеми політики. </w:t>
      </w:r>
      <w:r>
        <w:rPr>
          <w:rFonts w:ascii="Times New Roman" w:hAnsi="Times New Roman" w:cs="Times New Roman"/>
          <w:sz w:val="21"/>
          <w:szCs w:val="21"/>
        </w:rPr>
        <w:t>–</w:t>
      </w:r>
      <w:r w:rsidRPr="00F11B95">
        <w:rPr>
          <w:rFonts w:ascii="Times New Roman" w:hAnsi="Times New Roman" w:cs="Times New Roman"/>
          <w:sz w:val="21"/>
          <w:szCs w:val="21"/>
        </w:rPr>
        <w:t xml:space="preserve"> 2013. </w:t>
      </w:r>
      <w:r>
        <w:rPr>
          <w:rFonts w:ascii="Times New Roman" w:hAnsi="Times New Roman" w:cs="Times New Roman"/>
          <w:sz w:val="21"/>
          <w:szCs w:val="21"/>
        </w:rPr>
        <w:t>–</w:t>
      </w:r>
      <w:r w:rsidRPr="00F11B95">
        <w:rPr>
          <w:rFonts w:ascii="Times New Roman" w:hAnsi="Times New Roman" w:cs="Times New Roman"/>
          <w:sz w:val="21"/>
          <w:szCs w:val="21"/>
        </w:rPr>
        <w:t xml:space="preserve"> Вип. 49. </w:t>
      </w:r>
      <w:r>
        <w:rPr>
          <w:rFonts w:ascii="Times New Roman" w:hAnsi="Times New Roman" w:cs="Times New Roman"/>
          <w:sz w:val="21"/>
          <w:szCs w:val="21"/>
        </w:rPr>
        <w:t>–</w:t>
      </w:r>
      <w:r w:rsidRPr="00F11B95">
        <w:rPr>
          <w:rFonts w:ascii="Times New Roman" w:hAnsi="Times New Roman" w:cs="Times New Roman"/>
          <w:sz w:val="21"/>
          <w:szCs w:val="21"/>
        </w:rPr>
        <w:t xml:space="preserve"> С. 60</w:t>
      </w:r>
      <w:r>
        <w:rPr>
          <w:rFonts w:ascii="Times New Roman" w:hAnsi="Times New Roman" w:cs="Times New Roman"/>
          <w:sz w:val="21"/>
          <w:szCs w:val="21"/>
        </w:rPr>
        <w:t>–</w:t>
      </w:r>
      <w:r w:rsidRPr="00F11B95">
        <w:rPr>
          <w:rFonts w:ascii="Times New Roman" w:hAnsi="Times New Roman" w:cs="Times New Roman"/>
          <w:sz w:val="21"/>
          <w:szCs w:val="21"/>
        </w:rPr>
        <w:t>68.</w:t>
      </w:r>
      <w:bookmarkEnd w:id="7"/>
    </w:p>
    <w:p w:rsidR="00B233DE" w:rsidRPr="00427EA9"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8" w:name="_Ref430594387"/>
      <w:r w:rsidRPr="002055BD">
        <w:rPr>
          <w:rFonts w:ascii="Times New Roman" w:hAnsi="Times New Roman" w:cs="Times New Roman"/>
          <w:sz w:val="21"/>
          <w:szCs w:val="21"/>
        </w:rPr>
        <w:t>Близнюк В. Оцінка людського потенціалу економічного зростання України</w:t>
      </w:r>
      <w:r>
        <w:rPr>
          <w:rFonts w:ascii="Times New Roman" w:hAnsi="Times New Roman" w:cs="Times New Roman"/>
          <w:sz w:val="21"/>
          <w:szCs w:val="21"/>
        </w:rPr>
        <w:t xml:space="preserve"> : теорія та практика / В. Близнюк </w:t>
      </w:r>
      <w:r w:rsidRPr="002055BD">
        <w:rPr>
          <w:rFonts w:ascii="Times New Roman" w:hAnsi="Times New Roman" w:cs="Times New Roman"/>
          <w:sz w:val="21"/>
          <w:szCs w:val="21"/>
        </w:rPr>
        <w:t xml:space="preserve">// </w:t>
      </w:r>
      <w:r>
        <w:rPr>
          <w:rFonts w:ascii="Times New Roman" w:hAnsi="Times New Roman" w:cs="Times New Roman"/>
          <w:sz w:val="21"/>
          <w:szCs w:val="21"/>
        </w:rPr>
        <w:t xml:space="preserve">Україна </w:t>
      </w:r>
      <w:r w:rsidRPr="002055BD">
        <w:rPr>
          <w:rFonts w:ascii="Times New Roman" w:hAnsi="Times New Roman" w:cs="Times New Roman"/>
          <w:sz w:val="21"/>
          <w:szCs w:val="21"/>
        </w:rPr>
        <w:t>: аспекти праці. – 2006. – № 5. – С. 30–34</w:t>
      </w:r>
      <w:r>
        <w:rPr>
          <w:rFonts w:ascii="Times New Roman" w:hAnsi="Times New Roman" w:cs="Times New Roman"/>
          <w:sz w:val="21"/>
          <w:szCs w:val="21"/>
        </w:rPr>
        <w:t>.</w:t>
      </w:r>
      <w:bookmarkEnd w:id="8"/>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9" w:name="_Ref430594247"/>
      <w:r w:rsidRPr="002055BD">
        <w:rPr>
          <w:rFonts w:ascii="Times New Roman" w:hAnsi="Times New Roman" w:cs="Times New Roman"/>
          <w:sz w:val="21"/>
          <w:szCs w:val="21"/>
        </w:rPr>
        <w:t>Богиня Д.</w:t>
      </w:r>
      <w:r>
        <w:rPr>
          <w:rFonts w:ascii="Times New Roman" w:hAnsi="Times New Roman" w:cs="Times New Roman"/>
          <w:sz w:val="21"/>
          <w:szCs w:val="21"/>
        </w:rPr>
        <w:t xml:space="preserve"> </w:t>
      </w:r>
      <w:r w:rsidRPr="002055BD">
        <w:rPr>
          <w:rFonts w:ascii="Times New Roman" w:hAnsi="Times New Roman" w:cs="Times New Roman"/>
          <w:sz w:val="21"/>
          <w:szCs w:val="21"/>
        </w:rPr>
        <w:t>П. Основи економіки праці</w:t>
      </w:r>
      <w:r>
        <w:rPr>
          <w:rFonts w:ascii="Times New Roman" w:hAnsi="Times New Roman" w:cs="Times New Roman"/>
          <w:sz w:val="21"/>
          <w:szCs w:val="21"/>
        </w:rPr>
        <w:t xml:space="preserve"> </w:t>
      </w:r>
      <w:r w:rsidRPr="002055BD">
        <w:rPr>
          <w:rFonts w:ascii="Times New Roman" w:hAnsi="Times New Roman" w:cs="Times New Roman"/>
          <w:sz w:val="21"/>
          <w:szCs w:val="21"/>
        </w:rPr>
        <w:t xml:space="preserve">: [навч. посіб.] / </w:t>
      </w:r>
      <w:r>
        <w:rPr>
          <w:rFonts w:ascii="Times New Roman" w:hAnsi="Times New Roman" w:cs="Times New Roman"/>
          <w:sz w:val="21"/>
          <w:szCs w:val="21"/>
        </w:rPr>
        <w:t>Д. П. Богиня</w:t>
      </w:r>
      <w:r w:rsidRPr="002055BD">
        <w:rPr>
          <w:rFonts w:ascii="Times New Roman" w:hAnsi="Times New Roman" w:cs="Times New Roman"/>
          <w:sz w:val="21"/>
          <w:szCs w:val="21"/>
        </w:rPr>
        <w:t xml:space="preserve">, </w:t>
      </w:r>
      <w:r>
        <w:rPr>
          <w:rFonts w:ascii="Times New Roman" w:hAnsi="Times New Roman" w:cs="Times New Roman"/>
          <w:sz w:val="21"/>
          <w:szCs w:val="21"/>
        </w:rPr>
        <w:t>О. А. Грішнова.</w:t>
      </w:r>
      <w:r w:rsidRPr="002055BD">
        <w:rPr>
          <w:rFonts w:ascii="Times New Roman" w:hAnsi="Times New Roman" w:cs="Times New Roman"/>
          <w:sz w:val="21"/>
          <w:szCs w:val="21"/>
        </w:rPr>
        <w:t xml:space="preserve"> – 2-ге вид., стер. – К.</w:t>
      </w:r>
      <w:r>
        <w:rPr>
          <w:rFonts w:ascii="Times New Roman" w:hAnsi="Times New Roman" w:cs="Times New Roman"/>
          <w:sz w:val="21"/>
          <w:szCs w:val="21"/>
        </w:rPr>
        <w:t xml:space="preserve"> </w:t>
      </w:r>
      <w:r w:rsidRPr="002055BD">
        <w:rPr>
          <w:rFonts w:ascii="Times New Roman" w:hAnsi="Times New Roman" w:cs="Times New Roman"/>
          <w:sz w:val="21"/>
          <w:szCs w:val="21"/>
        </w:rPr>
        <w:t>: Знання-Прес, 2001. – 312 с.</w:t>
      </w:r>
      <w:bookmarkEnd w:id="9"/>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10" w:name="_Ref430593998"/>
      <w:r w:rsidRPr="002055BD">
        <w:rPr>
          <w:rFonts w:ascii="Times New Roman" w:hAnsi="Times New Roman" w:cs="Times New Roman"/>
          <w:iCs/>
          <w:sz w:val="21"/>
          <w:szCs w:val="21"/>
        </w:rPr>
        <w:t>Будкін В. Зони високих технологій</w:t>
      </w:r>
      <w:r>
        <w:rPr>
          <w:rFonts w:ascii="Times New Roman" w:hAnsi="Times New Roman" w:cs="Times New Roman"/>
          <w:iCs/>
          <w:sz w:val="21"/>
          <w:szCs w:val="21"/>
        </w:rPr>
        <w:t xml:space="preserve"> </w:t>
      </w:r>
      <w:r w:rsidRPr="002055BD">
        <w:rPr>
          <w:rFonts w:ascii="Times New Roman" w:hAnsi="Times New Roman" w:cs="Times New Roman"/>
          <w:iCs/>
          <w:sz w:val="21"/>
          <w:szCs w:val="21"/>
        </w:rPr>
        <w:t xml:space="preserve">: світовий досвід та реалії України / В. Будкін, З. Петренко, </w:t>
      </w:r>
      <w:r>
        <w:rPr>
          <w:rFonts w:ascii="Times New Roman" w:hAnsi="Times New Roman" w:cs="Times New Roman"/>
          <w:iCs/>
          <w:sz w:val="21"/>
          <w:szCs w:val="21"/>
        </w:rPr>
        <w:t>Т. Х. Нгуєн</w:t>
      </w:r>
      <w:r w:rsidRPr="002055BD">
        <w:rPr>
          <w:rFonts w:ascii="Times New Roman" w:hAnsi="Times New Roman" w:cs="Times New Roman"/>
          <w:iCs/>
          <w:sz w:val="21"/>
          <w:szCs w:val="21"/>
        </w:rPr>
        <w:t xml:space="preserve"> // Економіка України. – 2005. – № 10. – С. 71–76</w:t>
      </w:r>
      <w:bookmarkEnd w:id="10"/>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11" w:name="_Ref430594378"/>
      <w:r w:rsidRPr="002055BD">
        <w:rPr>
          <w:rFonts w:ascii="Times New Roman" w:hAnsi="Times New Roman" w:cs="Times New Roman"/>
          <w:sz w:val="21"/>
          <w:szCs w:val="21"/>
        </w:rPr>
        <w:t>Буркинський Б.</w:t>
      </w:r>
      <w:r>
        <w:rPr>
          <w:rFonts w:ascii="Times New Roman" w:hAnsi="Times New Roman" w:cs="Times New Roman"/>
          <w:sz w:val="21"/>
          <w:szCs w:val="21"/>
        </w:rPr>
        <w:t xml:space="preserve"> </w:t>
      </w:r>
      <w:r w:rsidRPr="002055BD">
        <w:rPr>
          <w:rFonts w:ascii="Times New Roman" w:hAnsi="Times New Roman" w:cs="Times New Roman"/>
          <w:sz w:val="21"/>
          <w:szCs w:val="21"/>
        </w:rPr>
        <w:t>В. Ефективність використання трудового потенціалу</w:t>
      </w:r>
      <w:r>
        <w:rPr>
          <w:rFonts w:ascii="Times New Roman" w:hAnsi="Times New Roman" w:cs="Times New Roman"/>
          <w:sz w:val="21"/>
          <w:szCs w:val="21"/>
        </w:rPr>
        <w:t xml:space="preserve"> </w:t>
      </w:r>
      <w:r w:rsidRPr="002055BD">
        <w:rPr>
          <w:rFonts w:ascii="Times New Roman" w:hAnsi="Times New Roman" w:cs="Times New Roman"/>
          <w:sz w:val="21"/>
          <w:szCs w:val="21"/>
        </w:rPr>
        <w:t xml:space="preserve">: теорія і практика / </w:t>
      </w:r>
      <w:r>
        <w:rPr>
          <w:rFonts w:ascii="Times New Roman" w:hAnsi="Times New Roman" w:cs="Times New Roman"/>
          <w:sz w:val="21"/>
          <w:szCs w:val="21"/>
        </w:rPr>
        <w:t xml:space="preserve">Б. В. </w:t>
      </w:r>
      <w:r w:rsidRPr="002055BD">
        <w:rPr>
          <w:rFonts w:ascii="Times New Roman" w:hAnsi="Times New Roman" w:cs="Times New Roman"/>
          <w:sz w:val="21"/>
          <w:szCs w:val="21"/>
        </w:rPr>
        <w:t xml:space="preserve">Буркинський, </w:t>
      </w:r>
      <w:r>
        <w:rPr>
          <w:rFonts w:ascii="Times New Roman" w:hAnsi="Times New Roman" w:cs="Times New Roman"/>
          <w:sz w:val="21"/>
          <w:szCs w:val="21"/>
        </w:rPr>
        <w:lastRenderedPageBreak/>
        <w:t>В. М. Нижник</w:t>
      </w:r>
      <w:r w:rsidRPr="002055BD">
        <w:rPr>
          <w:rFonts w:ascii="Times New Roman" w:hAnsi="Times New Roman" w:cs="Times New Roman"/>
          <w:sz w:val="21"/>
          <w:szCs w:val="21"/>
        </w:rPr>
        <w:t xml:space="preserve">, </w:t>
      </w:r>
      <w:r>
        <w:rPr>
          <w:rFonts w:ascii="Times New Roman" w:hAnsi="Times New Roman" w:cs="Times New Roman"/>
          <w:sz w:val="21"/>
          <w:szCs w:val="21"/>
        </w:rPr>
        <w:t>М. В. Ніколайчук</w:t>
      </w:r>
      <w:r w:rsidRPr="002055BD">
        <w:rPr>
          <w:rFonts w:ascii="Times New Roman" w:hAnsi="Times New Roman" w:cs="Times New Roman"/>
          <w:sz w:val="21"/>
          <w:szCs w:val="21"/>
        </w:rPr>
        <w:t>. – Хмельницький : ХНУ, 2009. – 223 с.</w:t>
      </w:r>
      <w:bookmarkEnd w:id="11"/>
    </w:p>
    <w:p w:rsidR="00B233DE" w:rsidRPr="007532CD"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12" w:name="_Ref430593893"/>
      <w:r w:rsidRPr="002055BD">
        <w:rPr>
          <w:rFonts w:ascii="Times New Roman" w:hAnsi="Times New Roman"/>
          <w:iCs/>
          <w:sz w:val="21"/>
          <w:szCs w:val="21"/>
        </w:rPr>
        <w:t>Виноградський М.</w:t>
      </w:r>
      <w:r>
        <w:rPr>
          <w:rFonts w:ascii="Times New Roman" w:hAnsi="Times New Roman"/>
          <w:iCs/>
          <w:sz w:val="21"/>
          <w:szCs w:val="21"/>
        </w:rPr>
        <w:t xml:space="preserve"> Д. Управління персоналом</w:t>
      </w:r>
      <w:r w:rsidRPr="002055BD">
        <w:rPr>
          <w:rFonts w:ascii="Times New Roman" w:hAnsi="Times New Roman"/>
          <w:iCs/>
          <w:sz w:val="21"/>
          <w:szCs w:val="21"/>
        </w:rPr>
        <w:t xml:space="preserve"> / М.</w:t>
      </w:r>
      <w:r>
        <w:rPr>
          <w:rFonts w:ascii="Times New Roman" w:hAnsi="Times New Roman"/>
          <w:iCs/>
          <w:sz w:val="21"/>
          <w:szCs w:val="21"/>
        </w:rPr>
        <w:t> Д. </w:t>
      </w:r>
      <w:r w:rsidRPr="002055BD">
        <w:rPr>
          <w:rFonts w:ascii="Times New Roman" w:hAnsi="Times New Roman"/>
          <w:iCs/>
          <w:sz w:val="21"/>
          <w:szCs w:val="21"/>
        </w:rPr>
        <w:t>Виноградський, С.</w:t>
      </w:r>
      <w:r>
        <w:rPr>
          <w:rFonts w:ascii="Times New Roman" w:hAnsi="Times New Roman"/>
          <w:iCs/>
          <w:sz w:val="21"/>
          <w:szCs w:val="21"/>
        </w:rPr>
        <w:t xml:space="preserve"> </w:t>
      </w:r>
      <w:r w:rsidRPr="002055BD">
        <w:rPr>
          <w:rFonts w:ascii="Times New Roman" w:hAnsi="Times New Roman"/>
          <w:iCs/>
          <w:sz w:val="21"/>
          <w:szCs w:val="21"/>
        </w:rPr>
        <w:t>В. Беляєва, А.</w:t>
      </w:r>
      <w:r>
        <w:rPr>
          <w:rFonts w:ascii="Times New Roman" w:hAnsi="Times New Roman"/>
          <w:iCs/>
          <w:sz w:val="21"/>
          <w:szCs w:val="21"/>
        </w:rPr>
        <w:t xml:space="preserve"> </w:t>
      </w:r>
      <w:r w:rsidRPr="002055BD">
        <w:rPr>
          <w:rFonts w:ascii="Times New Roman" w:hAnsi="Times New Roman"/>
          <w:iCs/>
          <w:sz w:val="21"/>
          <w:szCs w:val="21"/>
        </w:rPr>
        <w:t>М. Виноградська, О.</w:t>
      </w:r>
      <w:r>
        <w:rPr>
          <w:rFonts w:ascii="Times New Roman" w:hAnsi="Times New Roman"/>
          <w:iCs/>
          <w:sz w:val="21"/>
          <w:szCs w:val="21"/>
        </w:rPr>
        <w:t> М. </w:t>
      </w:r>
      <w:r w:rsidRPr="002055BD">
        <w:rPr>
          <w:rFonts w:ascii="Times New Roman" w:hAnsi="Times New Roman"/>
          <w:iCs/>
          <w:sz w:val="21"/>
          <w:szCs w:val="21"/>
        </w:rPr>
        <w:t>Шканова. – К. : Центр навчальної літератури, 2006. – 504</w:t>
      </w:r>
      <w:r>
        <w:rPr>
          <w:rFonts w:ascii="Times New Roman" w:hAnsi="Times New Roman"/>
          <w:iCs/>
          <w:sz w:val="21"/>
          <w:szCs w:val="21"/>
        </w:rPr>
        <w:t xml:space="preserve"> </w:t>
      </w:r>
      <w:r w:rsidRPr="002055BD">
        <w:rPr>
          <w:rFonts w:ascii="Times New Roman" w:hAnsi="Times New Roman"/>
          <w:iCs/>
          <w:sz w:val="21"/>
          <w:szCs w:val="21"/>
        </w:rPr>
        <w:t>с.</w:t>
      </w:r>
      <w:bookmarkEnd w:id="12"/>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13" w:name="_Ref430594558"/>
      <w:r w:rsidRPr="007532CD">
        <w:rPr>
          <w:rFonts w:ascii="Times New Roman" w:hAnsi="Times New Roman" w:cs="Times New Roman"/>
          <w:sz w:val="21"/>
          <w:szCs w:val="21"/>
        </w:rPr>
        <w:t>Вовканич С. Глобалізація, євроінтеграція та збереження її національної ідентичності</w:t>
      </w:r>
      <w:r>
        <w:rPr>
          <w:rFonts w:ascii="Times New Roman" w:hAnsi="Times New Roman" w:cs="Times New Roman"/>
          <w:sz w:val="21"/>
          <w:szCs w:val="21"/>
        </w:rPr>
        <w:t xml:space="preserve"> </w:t>
      </w:r>
      <w:r w:rsidRPr="007532CD">
        <w:rPr>
          <w:rFonts w:ascii="Times New Roman" w:hAnsi="Times New Roman" w:cs="Times New Roman"/>
          <w:sz w:val="21"/>
          <w:szCs w:val="21"/>
        </w:rPr>
        <w:t xml:space="preserve">: цивілізаційні виклики і націоцентричні імперативи : препринт наук. доп. / </w:t>
      </w:r>
      <w:r>
        <w:rPr>
          <w:rFonts w:ascii="Times New Roman" w:hAnsi="Times New Roman" w:cs="Times New Roman"/>
          <w:sz w:val="21"/>
          <w:szCs w:val="21"/>
        </w:rPr>
        <w:t xml:space="preserve">С. </w:t>
      </w:r>
      <w:r w:rsidRPr="007532CD">
        <w:rPr>
          <w:rFonts w:ascii="Times New Roman" w:hAnsi="Times New Roman" w:cs="Times New Roman"/>
          <w:sz w:val="21"/>
          <w:szCs w:val="21"/>
        </w:rPr>
        <w:t>Вовканич. – Львів, 2004. – 60 с.</w:t>
      </w:r>
      <w:bookmarkEnd w:id="13"/>
    </w:p>
    <w:p w:rsidR="00B233DE" w:rsidRPr="009B21B6"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r w:rsidRPr="00F11B95">
        <w:rPr>
          <w:rFonts w:ascii="Times New Roman" w:hAnsi="Times New Roman" w:cs="Times New Roman"/>
          <w:sz w:val="21"/>
          <w:szCs w:val="21"/>
        </w:rPr>
        <w:t>Геєць В. Характер перехідних п</w:t>
      </w:r>
      <w:r>
        <w:rPr>
          <w:rFonts w:ascii="Times New Roman" w:hAnsi="Times New Roman" w:cs="Times New Roman"/>
          <w:sz w:val="21"/>
          <w:szCs w:val="21"/>
        </w:rPr>
        <w:t>роцесів до економіки знань / В.</w:t>
      </w:r>
      <w:r w:rsidRPr="009B21B6">
        <w:rPr>
          <w:rFonts w:ascii="Times New Roman" w:hAnsi="Times New Roman" w:cs="Times New Roman"/>
          <w:sz w:val="21"/>
          <w:szCs w:val="21"/>
          <w:lang w:val="ru-RU"/>
        </w:rPr>
        <w:t xml:space="preserve"> </w:t>
      </w:r>
      <w:r w:rsidRPr="00F11B95">
        <w:rPr>
          <w:rFonts w:ascii="Times New Roman" w:hAnsi="Times New Roman" w:cs="Times New Roman"/>
          <w:sz w:val="21"/>
          <w:szCs w:val="21"/>
        </w:rPr>
        <w:t>М. Геєць // Економіка України. – 2004. – №</w:t>
      </w:r>
      <w:r w:rsidRPr="009B21B6">
        <w:rPr>
          <w:rFonts w:ascii="Times New Roman" w:hAnsi="Times New Roman" w:cs="Times New Roman"/>
          <w:sz w:val="21"/>
          <w:szCs w:val="21"/>
          <w:lang w:val="ru-RU"/>
        </w:rPr>
        <w:t xml:space="preserve"> </w:t>
      </w:r>
      <w:r w:rsidRPr="00F11B95">
        <w:rPr>
          <w:rFonts w:ascii="Times New Roman" w:hAnsi="Times New Roman" w:cs="Times New Roman"/>
          <w:sz w:val="21"/>
          <w:szCs w:val="21"/>
        </w:rPr>
        <w:t>5. – С. 6</w:t>
      </w:r>
      <w:r>
        <w:rPr>
          <w:rFonts w:ascii="Times New Roman" w:hAnsi="Times New Roman" w:cs="Times New Roman"/>
          <w:sz w:val="21"/>
          <w:szCs w:val="21"/>
        </w:rPr>
        <w:t>.</w:t>
      </w:r>
    </w:p>
    <w:p w:rsidR="00B233DE" w:rsidRPr="00AA6D16"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14" w:name="_Ref430595092"/>
      <w:r w:rsidRPr="00F11B95">
        <w:rPr>
          <w:rFonts w:ascii="Times New Roman" w:hAnsi="Times New Roman" w:cs="Times New Roman"/>
          <w:sz w:val="21"/>
          <w:szCs w:val="21"/>
        </w:rPr>
        <w:t>Гибадатова Г.</w:t>
      </w:r>
      <w:r>
        <w:rPr>
          <w:rFonts w:ascii="Times New Roman" w:hAnsi="Times New Roman" w:cs="Times New Roman"/>
          <w:sz w:val="21"/>
          <w:szCs w:val="21"/>
        </w:rPr>
        <w:t xml:space="preserve"> </w:t>
      </w:r>
      <w:r w:rsidRPr="00F11B95">
        <w:rPr>
          <w:rFonts w:ascii="Times New Roman" w:hAnsi="Times New Roman" w:cs="Times New Roman"/>
          <w:sz w:val="21"/>
          <w:szCs w:val="21"/>
        </w:rPr>
        <w:t>Р. Человеческий потенциал и его роль в технологической модернизации российской экономики</w:t>
      </w:r>
      <w:r>
        <w:rPr>
          <w:rFonts w:ascii="Times New Roman" w:hAnsi="Times New Roman" w:cs="Times New Roman"/>
          <w:sz w:val="21"/>
          <w:szCs w:val="21"/>
        </w:rPr>
        <w:t xml:space="preserve"> </w:t>
      </w:r>
      <w:r w:rsidRPr="00F11B95">
        <w:rPr>
          <w:rFonts w:ascii="Times New Roman" w:hAnsi="Times New Roman" w:cs="Times New Roman"/>
          <w:sz w:val="21"/>
          <w:szCs w:val="21"/>
        </w:rPr>
        <w:t>: ав</w:t>
      </w:r>
      <w:r>
        <w:rPr>
          <w:rFonts w:ascii="Times New Roman" w:hAnsi="Times New Roman" w:cs="Times New Roman"/>
          <w:sz w:val="21"/>
          <w:szCs w:val="21"/>
        </w:rPr>
        <w:t>тореф. дис</w:t>
      </w:r>
      <w:r w:rsidRPr="00F11B95">
        <w:rPr>
          <w:rFonts w:ascii="Times New Roman" w:hAnsi="Times New Roman" w:cs="Times New Roman"/>
          <w:sz w:val="21"/>
          <w:szCs w:val="21"/>
        </w:rPr>
        <w:t>. кан. экон. Наук</w:t>
      </w:r>
      <w:r>
        <w:rPr>
          <w:rFonts w:ascii="Times New Roman" w:hAnsi="Times New Roman" w:cs="Times New Roman"/>
          <w:sz w:val="21"/>
          <w:szCs w:val="21"/>
        </w:rPr>
        <w:t xml:space="preserve"> </w:t>
      </w:r>
      <w:r w:rsidRPr="00F11B95">
        <w:rPr>
          <w:rFonts w:ascii="Times New Roman" w:hAnsi="Times New Roman" w:cs="Times New Roman"/>
          <w:sz w:val="21"/>
          <w:szCs w:val="21"/>
        </w:rPr>
        <w:t>: 08.00.01.</w:t>
      </w:r>
      <w:r>
        <w:rPr>
          <w:rFonts w:ascii="Times New Roman" w:hAnsi="Times New Roman" w:cs="Times New Roman"/>
          <w:sz w:val="21"/>
          <w:szCs w:val="21"/>
        </w:rPr>
        <w:t xml:space="preserve"> </w:t>
      </w:r>
      <w:r w:rsidRPr="00F11B95">
        <w:rPr>
          <w:rFonts w:ascii="Times New Roman" w:hAnsi="Times New Roman" w:cs="Times New Roman"/>
          <w:sz w:val="21"/>
          <w:szCs w:val="21"/>
        </w:rPr>
        <w:t>/</w:t>
      </w:r>
      <w:r>
        <w:rPr>
          <w:rFonts w:ascii="Times New Roman" w:hAnsi="Times New Roman" w:cs="Times New Roman"/>
          <w:sz w:val="21"/>
          <w:szCs w:val="21"/>
        </w:rPr>
        <w:t xml:space="preserve"> </w:t>
      </w:r>
      <w:r w:rsidRPr="00F11B95">
        <w:rPr>
          <w:rFonts w:ascii="Times New Roman" w:hAnsi="Times New Roman" w:cs="Times New Roman"/>
          <w:sz w:val="21"/>
          <w:szCs w:val="21"/>
        </w:rPr>
        <w:t>Г.</w:t>
      </w:r>
      <w:r>
        <w:rPr>
          <w:rFonts w:ascii="Times New Roman" w:hAnsi="Times New Roman" w:cs="Times New Roman"/>
          <w:sz w:val="21"/>
          <w:szCs w:val="21"/>
        </w:rPr>
        <w:t xml:space="preserve"> </w:t>
      </w:r>
      <w:r w:rsidRPr="00F11B95">
        <w:rPr>
          <w:rFonts w:ascii="Times New Roman" w:hAnsi="Times New Roman" w:cs="Times New Roman"/>
          <w:sz w:val="21"/>
          <w:szCs w:val="21"/>
        </w:rPr>
        <w:t xml:space="preserve">Р. Гибадатова. </w:t>
      </w:r>
      <w:r>
        <w:rPr>
          <w:rFonts w:ascii="Times New Roman" w:hAnsi="Times New Roman" w:cs="Times New Roman"/>
          <w:sz w:val="21"/>
          <w:szCs w:val="21"/>
        </w:rPr>
        <w:t xml:space="preserve">– </w:t>
      </w:r>
      <w:r w:rsidRPr="00F11B95">
        <w:rPr>
          <w:rFonts w:ascii="Times New Roman" w:hAnsi="Times New Roman" w:cs="Times New Roman"/>
          <w:sz w:val="21"/>
          <w:szCs w:val="21"/>
        </w:rPr>
        <w:t xml:space="preserve">М., 2011. </w:t>
      </w:r>
      <w:r w:rsidRPr="00F11B95">
        <w:rPr>
          <w:rFonts w:ascii="Times New Roman" w:hAnsi="Times New Roman" w:cs="Times New Roman"/>
          <w:sz w:val="21"/>
          <w:szCs w:val="21"/>
          <w:lang w:val="ru-RU"/>
        </w:rPr>
        <w:t xml:space="preserve">– </w:t>
      </w:r>
      <w:r w:rsidRPr="00F11B95">
        <w:rPr>
          <w:rFonts w:ascii="Times New Roman" w:hAnsi="Times New Roman" w:cs="Times New Roman"/>
          <w:sz w:val="21"/>
          <w:szCs w:val="21"/>
        </w:rPr>
        <w:t>24 с.</w:t>
      </w:r>
      <w:bookmarkEnd w:id="14"/>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15" w:name="_Ref430593785"/>
      <w:r w:rsidRPr="002055BD">
        <w:rPr>
          <w:rFonts w:ascii="Times New Roman" w:hAnsi="Times New Roman" w:cs="Times New Roman"/>
          <w:sz w:val="21"/>
          <w:szCs w:val="21"/>
        </w:rPr>
        <w:t xml:space="preserve">Грейсон Дж. Американский менеджмент на пороге ХХІ века / </w:t>
      </w:r>
      <w:r>
        <w:rPr>
          <w:rFonts w:ascii="Times New Roman" w:hAnsi="Times New Roman" w:cs="Times New Roman"/>
          <w:sz w:val="21"/>
          <w:szCs w:val="21"/>
        </w:rPr>
        <w:t>Дж. Грейсон</w:t>
      </w:r>
      <w:r w:rsidRPr="002055BD">
        <w:rPr>
          <w:rFonts w:ascii="Times New Roman" w:hAnsi="Times New Roman" w:cs="Times New Roman"/>
          <w:sz w:val="21"/>
          <w:szCs w:val="21"/>
        </w:rPr>
        <w:t xml:space="preserve">, </w:t>
      </w:r>
      <w:r>
        <w:rPr>
          <w:rFonts w:ascii="Times New Roman" w:hAnsi="Times New Roman" w:cs="Times New Roman"/>
          <w:sz w:val="21"/>
          <w:szCs w:val="21"/>
        </w:rPr>
        <w:t>К. О'Делл</w:t>
      </w:r>
      <w:r w:rsidRPr="002055BD">
        <w:rPr>
          <w:rFonts w:ascii="Times New Roman" w:hAnsi="Times New Roman" w:cs="Times New Roman"/>
          <w:sz w:val="21"/>
          <w:szCs w:val="21"/>
        </w:rPr>
        <w:t>. – М.</w:t>
      </w:r>
      <w:r>
        <w:rPr>
          <w:rFonts w:ascii="Times New Roman" w:hAnsi="Times New Roman" w:cs="Times New Roman"/>
          <w:sz w:val="21"/>
          <w:szCs w:val="21"/>
        </w:rPr>
        <w:t xml:space="preserve"> </w:t>
      </w:r>
      <w:r w:rsidRPr="002055BD">
        <w:rPr>
          <w:rFonts w:ascii="Times New Roman" w:hAnsi="Times New Roman" w:cs="Times New Roman"/>
          <w:sz w:val="21"/>
          <w:szCs w:val="21"/>
        </w:rPr>
        <w:t xml:space="preserve">: Экономика, 1991. </w:t>
      </w:r>
      <w:r>
        <w:rPr>
          <w:rFonts w:ascii="Times New Roman" w:hAnsi="Times New Roman" w:cs="Times New Roman"/>
          <w:sz w:val="21"/>
          <w:szCs w:val="21"/>
        </w:rPr>
        <w:t>–</w:t>
      </w:r>
      <w:r w:rsidRPr="002055BD">
        <w:rPr>
          <w:rFonts w:ascii="Times New Roman" w:hAnsi="Times New Roman" w:cs="Times New Roman"/>
          <w:sz w:val="21"/>
          <w:szCs w:val="21"/>
        </w:rPr>
        <w:t xml:space="preserve"> 196</w:t>
      </w:r>
      <w:r>
        <w:rPr>
          <w:rFonts w:ascii="Times New Roman" w:hAnsi="Times New Roman" w:cs="Times New Roman"/>
          <w:sz w:val="21"/>
          <w:szCs w:val="21"/>
        </w:rPr>
        <w:t xml:space="preserve"> с.</w:t>
      </w:r>
      <w:bookmarkEnd w:id="15"/>
    </w:p>
    <w:p w:rsidR="00B233DE" w:rsidRPr="00651317"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16" w:name="_Ref430594309"/>
      <w:r w:rsidRPr="002055BD">
        <w:rPr>
          <w:rFonts w:ascii="Times New Roman" w:hAnsi="Times New Roman" w:cs="Times New Roman"/>
          <w:sz w:val="21"/>
          <w:szCs w:val="21"/>
        </w:rPr>
        <w:t>Грішнова О.</w:t>
      </w:r>
      <w:r>
        <w:rPr>
          <w:rFonts w:ascii="Times New Roman" w:hAnsi="Times New Roman" w:cs="Times New Roman"/>
          <w:sz w:val="21"/>
          <w:szCs w:val="21"/>
        </w:rPr>
        <w:t xml:space="preserve"> </w:t>
      </w:r>
      <w:r w:rsidRPr="002055BD">
        <w:rPr>
          <w:rFonts w:ascii="Times New Roman" w:hAnsi="Times New Roman" w:cs="Times New Roman"/>
          <w:sz w:val="21"/>
          <w:szCs w:val="21"/>
        </w:rPr>
        <w:t xml:space="preserve">А. Людський розвиток : [навч. посіб.] / </w:t>
      </w:r>
      <w:r>
        <w:rPr>
          <w:rFonts w:ascii="Times New Roman" w:hAnsi="Times New Roman" w:cs="Times New Roman"/>
          <w:sz w:val="21"/>
          <w:szCs w:val="21"/>
        </w:rPr>
        <w:t>О. А. Грішнова</w:t>
      </w:r>
      <w:r w:rsidRPr="002055BD">
        <w:rPr>
          <w:rFonts w:ascii="Times New Roman" w:hAnsi="Times New Roman" w:cs="Times New Roman"/>
          <w:sz w:val="21"/>
          <w:szCs w:val="21"/>
        </w:rPr>
        <w:t>. – К. : КНЕУ, 2006. – 308 с.</w:t>
      </w:r>
      <w:bookmarkEnd w:id="16"/>
    </w:p>
    <w:p w:rsidR="00B233DE" w:rsidRPr="00651317"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r>
        <w:rPr>
          <w:rFonts w:ascii="Times New Roman" w:hAnsi="Times New Roman" w:cs="Times New Roman"/>
          <w:sz w:val="21"/>
          <w:szCs w:val="21"/>
        </w:rPr>
        <w:t>Гузенко</w:t>
      </w:r>
      <w:r w:rsidRPr="00F11B95">
        <w:rPr>
          <w:rFonts w:ascii="Times New Roman" w:hAnsi="Times New Roman" w:cs="Times New Roman"/>
          <w:sz w:val="21"/>
          <w:szCs w:val="21"/>
        </w:rPr>
        <w:t xml:space="preserve"> Г. М. Людський потенціал</w:t>
      </w:r>
      <w:r>
        <w:rPr>
          <w:rFonts w:ascii="Times New Roman" w:hAnsi="Times New Roman" w:cs="Times New Roman"/>
          <w:sz w:val="21"/>
          <w:szCs w:val="21"/>
        </w:rPr>
        <w:t xml:space="preserve"> </w:t>
      </w:r>
      <w:r w:rsidRPr="00F11B95">
        <w:rPr>
          <w:rFonts w:ascii="Times New Roman" w:hAnsi="Times New Roman" w:cs="Times New Roman"/>
          <w:sz w:val="21"/>
          <w:szCs w:val="21"/>
        </w:rPr>
        <w:t>: сутність та пріоритетні напрямки розвитку в Україні [Електронний ресурс] / Г. М. Гузенко. – Режим доступу</w:t>
      </w:r>
      <w:r>
        <w:rPr>
          <w:rFonts w:ascii="Times New Roman" w:hAnsi="Times New Roman" w:cs="Times New Roman"/>
          <w:sz w:val="21"/>
          <w:szCs w:val="21"/>
        </w:rPr>
        <w:t xml:space="preserve"> : </w:t>
      </w:r>
      <w:hyperlink r:id="rId10" w:history="1">
        <w:r w:rsidRPr="00651317">
          <w:rPr>
            <w:rStyle w:val="aff"/>
            <w:rFonts w:ascii="Times New Roman" w:hAnsi="Times New Roman" w:cs="Times New Roman"/>
            <w:color w:val="auto"/>
            <w:sz w:val="21"/>
            <w:szCs w:val="21"/>
            <w:u w:val="none"/>
          </w:rPr>
          <w:t>http://www.irbis-nbuv.gov.ua/</w:t>
        </w:r>
      </w:hyperlink>
      <w:r w:rsidRPr="00651317">
        <w:rPr>
          <w:rFonts w:ascii="Times New Roman" w:hAnsi="Times New Roman" w:cs="Times New Roman"/>
          <w:sz w:val="21"/>
          <w:szCs w:val="21"/>
        </w:rPr>
        <w:t xml:space="preserve"> cgiirbis_64.exe</w:t>
      </w:r>
    </w:p>
    <w:p w:rsidR="00B233DE" w:rsidRPr="00362F67"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17" w:name="_Ref430595131"/>
      <w:r w:rsidRPr="00362F67">
        <w:rPr>
          <w:rFonts w:ascii="Times New Roman" w:hAnsi="Times New Roman" w:cs="Times New Roman"/>
          <w:spacing w:val="-4"/>
          <w:sz w:val="21"/>
          <w:szCs w:val="21"/>
        </w:rPr>
        <w:t xml:space="preserve">Економіка знань : виклики глобалізації та Україна / за заг. </w:t>
      </w:r>
      <w:r w:rsidRPr="00F11B95">
        <w:rPr>
          <w:rFonts w:ascii="Times New Roman" w:hAnsi="Times New Roman" w:cs="Times New Roman"/>
          <w:sz w:val="21"/>
          <w:szCs w:val="21"/>
        </w:rPr>
        <w:t>ред.</w:t>
      </w:r>
      <w:r>
        <w:rPr>
          <w:rFonts w:ascii="Times New Roman" w:hAnsi="Times New Roman" w:cs="Times New Roman"/>
          <w:sz w:val="21"/>
          <w:szCs w:val="21"/>
        </w:rPr>
        <w:t xml:space="preserve"> : А. </w:t>
      </w:r>
      <w:r w:rsidRPr="00F11B95">
        <w:rPr>
          <w:rFonts w:ascii="Times New Roman" w:hAnsi="Times New Roman" w:cs="Times New Roman"/>
          <w:sz w:val="21"/>
          <w:szCs w:val="21"/>
        </w:rPr>
        <w:t>С. Гальчин</w:t>
      </w:r>
      <w:r>
        <w:rPr>
          <w:rFonts w:ascii="Times New Roman" w:hAnsi="Times New Roman" w:cs="Times New Roman"/>
          <w:sz w:val="21"/>
          <w:szCs w:val="21"/>
        </w:rPr>
        <w:t>ського, С. В. Льовочкіна, В. П. </w:t>
      </w:r>
      <w:r w:rsidRPr="00F11B95">
        <w:rPr>
          <w:rFonts w:ascii="Times New Roman" w:hAnsi="Times New Roman" w:cs="Times New Roman"/>
          <w:sz w:val="21"/>
          <w:szCs w:val="21"/>
        </w:rPr>
        <w:t xml:space="preserve">Семиноженка. </w:t>
      </w:r>
      <w:r>
        <w:rPr>
          <w:rFonts w:ascii="Times New Roman" w:hAnsi="Times New Roman" w:cs="Times New Roman"/>
          <w:sz w:val="21"/>
          <w:szCs w:val="21"/>
        </w:rPr>
        <w:t>–</w:t>
      </w:r>
      <w:r w:rsidRPr="00F11B95">
        <w:rPr>
          <w:rFonts w:ascii="Times New Roman" w:hAnsi="Times New Roman" w:cs="Times New Roman"/>
          <w:sz w:val="21"/>
          <w:szCs w:val="21"/>
        </w:rPr>
        <w:t xml:space="preserve"> К. : НІСД, 2004. </w:t>
      </w:r>
      <w:r>
        <w:rPr>
          <w:rFonts w:ascii="Times New Roman" w:hAnsi="Times New Roman" w:cs="Times New Roman"/>
          <w:sz w:val="21"/>
          <w:szCs w:val="21"/>
        </w:rPr>
        <w:t>–</w:t>
      </w:r>
      <w:r w:rsidRPr="00F11B95">
        <w:rPr>
          <w:rFonts w:ascii="Times New Roman" w:hAnsi="Times New Roman" w:cs="Times New Roman"/>
          <w:sz w:val="21"/>
          <w:szCs w:val="21"/>
        </w:rPr>
        <w:t xml:space="preserve"> 261 с.</w:t>
      </w:r>
      <w:bookmarkEnd w:id="17"/>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18" w:name="_Ref430593692"/>
      <w:r w:rsidRPr="002055BD">
        <w:rPr>
          <w:rFonts w:ascii="Times New Roman" w:hAnsi="Times New Roman" w:cs="Times New Roman"/>
          <w:sz w:val="21"/>
          <w:szCs w:val="21"/>
        </w:rPr>
        <w:t>Економічна енциклопедія : у 3 т. / гол. ред. Б</w:t>
      </w:r>
      <w:r>
        <w:rPr>
          <w:rFonts w:ascii="Times New Roman" w:hAnsi="Times New Roman" w:cs="Times New Roman"/>
          <w:sz w:val="21"/>
          <w:szCs w:val="21"/>
        </w:rPr>
        <w:t>. Д. </w:t>
      </w:r>
      <w:r w:rsidRPr="002055BD">
        <w:rPr>
          <w:rFonts w:ascii="Times New Roman" w:hAnsi="Times New Roman" w:cs="Times New Roman"/>
          <w:sz w:val="21"/>
          <w:szCs w:val="21"/>
        </w:rPr>
        <w:t xml:space="preserve">Гаврилишин. – К. : </w:t>
      </w:r>
      <w:r>
        <w:rPr>
          <w:rFonts w:ascii="Times New Roman" w:hAnsi="Times New Roman" w:cs="Times New Roman"/>
          <w:sz w:val="21"/>
          <w:szCs w:val="21"/>
        </w:rPr>
        <w:t>Академія</w:t>
      </w:r>
      <w:r w:rsidRPr="002055BD">
        <w:rPr>
          <w:rFonts w:ascii="Times New Roman" w:hAnsi="Times New Roman" w:cs="Times New Roman"/>
          <w:sz w:val="21"/>
          <w:szCs w:val="21"/>
        </w:rPr>
        <w:t>, 2000. – Т. 2</w:t>
      </w:r>
      <w:r>
        <w:rPr>
          <w:rFonts w:ascii="Times New Roman" w:hAnsi="Times New Roman" w:cs="Times New Roman"/>
          <w:sz w:val="21"/>
          <w:szCs w:val="21"/>
        </w:rPr>
        <w:t xml:space="preserve"> </w:t>
      </w:r>
      <w:r w:rsidRPr="002055BD">
        <w:rPr>
          <w:rFonts w:ascii="Times New Roman" w:hAnsi="Times New Roman" w:cs="Times New Roman"/>
          <w:sz w:val="21"/>
          <w:szCs w:val="21"/>
        </w:rPr>
        <w:t>: К (концентрація капіталу) – П (портфельний аналіз</w:t>
      </w:r>
      <w:r>
        <w:rPr>
          <w:rFonts w:ascii="Times New Roman" w:hAnsi="Times New Roman" w:cs="Times New Roman"/>
          <w:sz w:val="21"/>
          <w:szCs w:val="21"/>
        </w:rPr>
        <w:t>) / відп. ред. С. В. Мочерний</w:t>
      </w:r>
      <w:r w:rsidRPr="002055BD">
        <w:rPr>
          <w:rFonts w:ascii="Times New Roman" w:hAnsi="Times New Roman" w:cs="Times New Roman"/>
          <w:sz w:val="21"/>
          <w:szCs w:val="21"/>
        </w:rPr>
        <w:t>, 2001. – 848 с.</w:t>
      </w:r>
      <w:bookmarkEnd w:id="18"/>
    </w:p>
    <w:p w:rsidR="00B233DE" w:rsidRPr="009B21B6"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19" w:name="_Ref430595459"/>
      <w:r w:rsidRPr="00F11B95">
        <w:rPr>
          <w:rFonts w:ascii="Times New Roman" w:hAnsi="Times New Roman" w:cs="Times New Roman"/>
          <w:sz w:val="21"/>
          <w:szCs w:val="21"/>
        </w:rPr>
        <w:t>Заславская Т.</w:t>
      </w:r>
      <w:r>
        <w:rPr>
          <w:rFonts w:ascii="Times New Roman" w:hAnsi="Times New Roman" w:cs="Times New Roman"/>
          <w:sz w:val="21"/>
          <w:szCs w:val="21"/>
        </w:rPr>
        <w:t xml:space="preserve"> </w:t>
      </w:r>
      <w:r w:rsidRPr="00F11B95">
        <w:rPr>
          <w:rFonts w:ascii="Times New Roman" w:hAnsi="Times New Roman" w:cs="Times New Roman"/>
          <w:sz w:val="21"/>
          <w:szCs w:val="21"/>
        </w:rPr>
        <w:t>И. Социальная трансформация российского общества</w:t>
      </w:r>
      <w:r>
        <w:rPr>
          <w:rFonts w:ascii="Times New Roman" w:hAnsi="Times New Roman" w:cs="Times New Roman"/>
          <w:sz w:val="21"/>
          <w:szCs w:val="21"/>
        </w:rPr>
        <w:t xml:space="preserve"> </w:t>
      </w:r>
      <w:r w:rsidRPr="00F11B95">
        <w:rPr>
          <w:rFonts w:ascii="Times New Roman" w:hAnsi="Times New Roman" w:cs="Times New Roman"/>
          <w:sz w:val="21"/>
          <w:szCs w:val="21"/>
        </w:rPr>
        <w:t>: Деятельностно-структурная</w:t>
      </w:r>
      <w:r w:rsidRPr="00F11B95">
        <w:rPr>
          <w:rFonts w:ascii="Times New Roman" w:hAnsi="Times New Roman" w:cs="Times New Roman"/>
          <w:sz w:val="21"/>
          <w:szCs w:val="21"/>
          <w:lang w:val="ru-RU"/>
        </w:rPr>
        <w:t xml:space="preserve"> </w:t>
      </w:r>
      <w:r w:rsidRPr="00F11B95">
        <w:rPr>
          <w:rFonts w:ascii="Times New Roman" w:hAnsi="Times New Roman" w:cs="Times New Roman"/>
          <w:sz w:val="21"/>
          <w:szCs w:val="21"/>
        </w:rPr>
        <w:t>конвенция / Т.</w:t>
      </w:r>
      <w:r>
        <w:rPr>
          <w:rFonts w:ascii="Times New Roman" w:hAnsi="Times New Roman" w:cs="Times New Roman"/>
          <w:sz w:val="21"/>
          <w:szCs w:val="21"/>
        </w:rPr>
        <w:t> </w:t>
      </w:r>
      <w:r w:rsidRPr="00F11B95">
        <w:rPr>
          <w:rFonts w:ascii="Times New Roman" w:hAnsi="Times New Roman" w:cs="Times New Roman"/>
          <w:sz w:val="21"/>
          <w:szCs w:val="21"/>
        </w:rPr>
        <w:t>И. Заславская. – 2-е изд., испр. и доп. – М.</w:t>
      </w:r>
      <w:r>
        <w:rPr>
          <w:rFonts w:ascii="Times New Roman" w:hAnsi="Times New Roman" w:cs="Times New Roman"/>
          <w:sz w:val="21"/>
          <w:szCs w:val="21"/>
        </w:rPr>
        <w:t xml:space="preserve"> </w:t>
      </w:r>
      <w:r w:rsidRPr="00F11B95">
        <w:rPr>
          <w:rFonts w:ascii="Times New Roman" w:hAnsi="Times New Roman" w:cs="Times New Roman"/>
          <w:sz w:val="21"/>
          <w:szCs w:val="21"/>
        </w:rPr>
        <w:t>: Дело, 2003. – 568 с.</w:t>
      </w:r>
      <w:bookmarkEnd w:id="19"/>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20" w:name="_Ref430594018"/>
      <w:r w:rsidRPr="002055BD">
        <w:rPr>
          <w:rFonts w:ascii="Times New Roman" w:hAnsi="Times New Roman" w:cs="Times New Roman"/>
          <w:sz w:val="21"/>
          <w:szCs w:val="21"/>
        </w:rPr>
        <w:t>Звіт з людського розвитку в Україні за 2008 р. Людський розвиток і європейський вибір України. – К. : ПРООН, 2008. – 122 c.</w:t>
      </w:r>
      <w:bookmarkEnd w:id="20"/>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21" w:name="_Ref430594370"/>
      <w:r w:rsidRPr="002055BD">
        <w:rPr>
          <w:rFonts w:ascii="Times New Roman" w:hAnsi="Times New Roman" w:cs="Times New Roman"/>
          <w:sz w:val="21"/>
          <w:szCs w:val="21"/>
        </w:rPr>
        <w:t>Злупко С. М. Людський потенціал, зайнятість і соціальний захист населення в Україні</w:t>
      </w:r>
      <w:r>
        <w:rPr>
          <w:rFonts w:ascii="Times New Roman" w:hAnsi="Times New Roman" w:cs="Times New Roman"/>
          <w:sz w:val="21"/>
          <w:szCs w:val="21"/>
        </w:rPr>
        <w:t xml:space="preserve"> : навч. посібник / С. М. </w:t>
      </w:r>
      <w:r w:rsidRPr="002055BD">
        <w:rPr>
          <w:rFonts w:ascii="Times New Roman" w:hAnsi="Times New Roman" w:cs="Times New Roman"/>
          <w:sz w:val="21"/>
          <w:szCs w:val="21"/>
        </w:rPr>
        <w:t>Злупко, М. М. Мартиняк. – Львів : Львівський нац. Ун-т. ім. І.</w:t>
      </w:r>
      <w:r>
        <w:rPr>
          <w:rFonts w:ascii="Times New Roman" w:hAnsi="Times New Roman" w:cs="Times New Roman"/>
          <w:sz w:val="21"/>
          <w:szCs w:val="21"/>
        </w:rPr>
        <w:t> </w:t>
      </w:r>
      <w:r w:rsidRPr="002055BD">
        <w:rPr>
          <w:rFonts w:ascii="Times New Roman" w:hAnsi="Times New Roman" w:cs="Times New Roman"/>
          <w:sz w:val="21"/>
          <w:szCs w:val="21"/>
        </w:rPr>
        <w:t>Франка, 2001. – 192 с.</w:t>
      </w:r>
      <w:bookmarkEnd w:id="21"/>
    </w:p>
    <w:p w:rsidR="00B233DE" w:rsidRPr="008714BD"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22" w:name="_Ref435779119"/>
      <w:bookmarkStart w:id="23" w:name="_Ref430594896"/>
      <w:r>
        <w:rPr>
          <w:rFonts w:ascii="Times New Roman" w:hAnsi="Times New Roman" w:cs="Times New Roman"/>
          <w:sz w:val="21"/>
          <w:szCs w:val="21"/>
        </w:rPr>
        <w:lastRenderedPageBreak/>
        <w:t>Иванов О. И. Человеческий потенциал (формирование, развитие, использование) / О. И. Иванов. – СПб. : Скифия-принт, 2013. – 336 с.</w:t>
      </w:r>
      <w:bookmarkEnd w:id="22"/>
    </w:p>
    <w:p w:rsidR="00B233DE" w:rsidRPr="00427EA9"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r w:rsidRPr="00FB39C2">
        <w:rPr>
          <w:rFonts w:ascii="Times New Roman" w:hAnsi="Times New Roman" w:cs="Times New Roman"/>
          <w:spacing w:val="-9"/>
          <w:sz w:val="21"/>
          <w:szCs w:val="21"/>
        </w:rPr>
        <w:t>Ільїч Л.</w:t>
      </w:r>
      <w:r>
        <w:rPr>
          <w:rFonts w:ascii="Times New Roman" w:hAnsi="Times New Roman" w:cs="Times New Roman"/>
          <w:spacing w:val="-9"/>
          <w:sz w:val="21"/>
          <w:szCs w:val="21"/>
        </w:rPr>
        <w:t xml:space="preserve"> </w:t>
      </w:r>
      <w:r w:rsidRPr="00FB39C2">
        <w:rPr>
          <w:rFonts w:ascii="Times New Roman" w:hAnsi="Times New Roman" w:cs="Times New Roman"/>
          <w:spacing w:val="-9"/>
          <w:sz w:val="21"/>
          <w:szCs w:val="21"/>
        </w:rPr>
        <w:t>М. Ефективність відтворення трудового потенціалу Укра</w:t>
      </w:r>
      <w:r>
        <w:rPr>
          <w:rFonts w:ascii="Times New Roman" w:hAnsi="Times New Roman" w:cs="Times New Roman"/>
          <w:spacing w:val="-9"/>
          <w:sz w:val="21"/>
          <w:szCs w:val="21"/>
        </w:rPr>
        <w:t>їни : монографія</w:t>
      </w:r>
      <w:r w:rsidRPr="00FB39C2">
        <w:rPr>
          <w:rFonts w:ascii="Times New Roman" w:hAnsi="Times New Roman" w:cs="Times New Roman"/>
          <w:spacing w:val="-9"/>
          <w:sz w:val="21"/>
          <w:szCs w:val="21"/>
        </w:rPr>
        <w:t xml:space="preserve"> / </w:t>
      </w:r>
      <w:r>
        <w:rPr>
          <w:rFonts w:ascii="Times New Roman" w:hAnsi="Times New Roman" w:cs="Times New Roman"/>
          <w:spacing w:val="-9"/>
          <w:sz w:val="21"/>
          <w:szCs w:val="21"/>
        </w:rPr>
        <w:t xml:space="preserve">Л. М. Ільїч. – К. : Енергія плюс, 2007. – </w:t>
      </w:r>
      <w:r w:rsidRPr="00FB39C2">
        <w:rPr>
          <w:rFonts w:ascii="Times New Roman" w:hAnsi="Times New Roman" w:cs="Times New Roman"/>
          <w:spacing w:val="-9"/>
          <w:sz w:val="21"/>
          <w:szCs w:val="21"/>
        </w:rPr>
        <w:t xml:space="preserve">212 </w:t>
      </w:r>
      <w:r w:rsidRPr="00FB39C2">
        <w:rPr>
          <w:rFonts w:ascii="Times New Roman" w:hAnsi="Times New Roman" w:cs="Times New Roman"/>
          <w:spacing w:val="-9"/>
          <w:sz w:val="21"/>
          <w:szCs w:val="21"/>
          <w:lang w:val="en-US"/>
        </w:rPr>
        <w:t>c</w:t>
      </w:r>
      <w:r w:rsidRPr="00FB39C2">
        <w:rPr>
          <w:rFonts w:ascii="Times New Roman" w:hAnsi="Times New Roman" w:cs="Times New Roman"/>
          <w:spacing w:val="-9"/>
          <w:sz w:val="21"/>
          <w:szCs w:val="21"/>
        </w:rPr>
        <w:t>.</w:t>
      </w:r>
      <w:bookmarkEnd w:id="23"/>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24" w:name="_Ref430593964"/>
      <w:r w:rsidRPr="002055BD">
        <w:rPr>
          <w:rFonts w:ascii="Times New Roman" w:hAnsi="Times New Roman"/>
          <w:iCs/>
          <w:sz w:val="21"/>
          <w:szCs w:val="21"/>
        </w:rPr>
        <w:t>Інвестування української економіки: Монографія / за ред.А. Сухорукова. – К.: ОІЕ НАНУ, 2005. – 484 с.</w:t>
      </w:r>
      <w:bookmarkEnd w:id="24"/>
    </w:p>
    <w:p w:rsidR="00B233DE" w:rsidRPr="00AA6D16"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25" w:name="_Ref430595076"/>
      <w:r w:rsidRPr="00F11B95">
        <w:rPr>
          <w:rFonts w:ascii="Times New Roman" w:hAnsi="Times New Roman" w:cs="Times New Roman"/>
          <w:sz w:val="21"/>
          <w:szCs w:val="21"/>
        </w:rPr>
        <w:t>Інтеграція в європейський освітній простір</w:t>
      </w:r>
      <w:r>
        <w:rPr>
          <w:rFonts w:ascii="Times New Roman" w:hAnsi="Times New Roman" w:cs="Times New Roman"/>
          <w:sz w:val="21"/>
          <w:szCs w:val="21"/>
        </w:rPr>
        <w:t xml:space="preserve"> </w:t>
      </w:r>
      <w:r w:rsidRPr="00F11B95">
        <w:rPr>
          <w:rFonts w:ascii="Times New Roman" w:hAnsi="Times New Roman" w:cs="Times New Roman"/>
          <w:sz w:val="21"/>
          <w:szCs w:val="21"/>
        </w:rPr>
        <w:t xml:space="preserve">: здобутки, проблеми, перспективи : монографія / [Ф. Г. Ващук та ін.] ; за заг. ред. д-ра техн. наук, проф. Ф. Г. Ващука. </w:t>
      </w:r>
      <w:r>
        <w:rPr>
          <w:rFonts w:ascii="Times New Roman" w:hAnsi="Times New Roman" w:cs="Times New Roman"/>
          <w:sz w:val="21"/>
          <w:szCs w:val="21"/>
        </w:rPr>
        <w:t>–</w:t>
      </w:r>
      <w:r w:rsidRPr="00F11B95">
        <w:rPr>
          <w:rFonts w:ascii="Times New Roman" w:hAnsi="Times New Roman" w:cs="Times New Roman"/>
          <w:sz w:val="21"/>
          <w:szCs w:val="21"/>
        </w:rPr>
        <w:t xml:space="preserve"> Ужгород : [ЗакДУ], 2011. </w:t>
      </w:r>
      <w:r>
        <w:rPr>
          <w:rFonts w:ascii="Times New Roman" w:hAnsi="Times New Roman" w:cs="Times New Roman"/>
          <w:sz w:val="21"/>
          <w:szCs w:val="21"/>
        </w:rPr>
        <w:t>–</w:t>
      </w:r>
      <w:r w:rsidRPr="00F11B95">
        <w:rPr>
          <w:rFonts w:ascii="Times New Roman" w:hAnsi="Times New Roman" w:cs="Times New Roman"/>
          <w:sz w:val="21"/>
          <w:szCs w:val="21"/>
        </w:rPr>
        <w:t xml:space="preserve"> 559 с.</w:t>
      </w:r>
      <w:bookmarkEnd w:id="25"/>
    </w:p>
    <w:p w:rsidR="00B233DE" w:rsidRPr="00D56F5A"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26" w:name="_Ref430594782"/>
      <w:r w:rsidRPr="00D56F5A">
        <w:rPr>
          <w:rFonts w:ascii="Times New Roman" w:hAnsi="Times New Roman" w:cs="Times New Roman"/>
          <w:sz w:val="21"/>
          <w:szCs w:val="21"/>
        </w:rPr>
        <w:t>Коленда Н. В. Соціальний потенціал</w:t>
      </w:r>
      <w:r>
        <w:rPr>
          <w:rFonts w:ascii="Times New Roman" w:hAnsi="Times New Roman" w:cs="Times New Roman"/>
          <w:sz w:val="21"/>
          <w:szCs w:val="21"/>
        </w:rPr>
        <w:t xml:space="preserve"> </w:t>
      </w:r>
      <w:r w:rsidRPr="00D56F5A">
        <w:rPr>
          <w:rFonts w:ascii="Times New Roman" w:hAnsi="Times New Roman" w:cs="Times New Roman"/>
          <w:sz w:val="21"/>
          <w:szCs w:val="21"/>
        </w:rPr>
        <w:t xml:space="preserve">: сутність та основні ознаки / Н. В. Коленда // Вісник Одеського національного університету. Економіка </w:t>
      </w:r>
      <w:r>
        <w:rPr>
          <w:rFonts w:ascii="Times New Roman" w:hAnsi="Times New Roman" w:cs="Times New Roman"/>
          <w:sz w:val="21"/>
          <w:szCs w:val="21"/>
        </w:rPr>
        <w:t>–</w:t>
      </w:r>
      <w:r w:rsidRPr="00D56F5A">
        <w:rPr>
          <w:rFonts w:ascii="Times New Roman" w:hAnsi="Times New Roman" w:cs="Times New Roman"/>
          <w:sz w:val="21"/>
          <w:szCs w:val="21"/>
        </w:rPr>
        <w:t xml:space="preserve"> 2013. </w:t>
      </w:r>
      <w:r>
        <w:rPr>
          <w:rFonts w:ascii="Times New Roman" w:hAnsi="Times New Roman" w:cs="Times New Roman"/>
          <w:sz w:val="21"/>
          <w:szCs w:val="21"/>
        </w:rPr>
        <w:t>–Вип. 1,</w:t>
      </w:r>
      <w:r w:rsidRPr="00D56F5A">
        <w:rPr>
          <w:rFonts w:ascii="Times New Roman" w:hAnsi="Times New Roman" w:cs="Times New Roman"/>
          <w:sz w:val="21"/>
          <w:szCs w:val="21"/>
        </w:rPr>
        <w:t xml:space="preserve"> </w:t>
      </w:r>
      <w:r>
        <w:rPr>
          <w:rFonts w:ascii="Times New Roman" w:hAnsi="Times New Roman" w:cs="Times New Roman"/>
          <w:sz w:val="21"/>
          <w:szCs w:val="21"/>
        </w:rPr>
        <w:t>т. 18.</w:t>
      </w:r>
      <w:r w:rsidRPr="00D56F5A">
        <w:rPr>
          <w:rFonts w:ascii="Times New Roman" w:hAnsi="Times New Roman" w:cs="Times New Roman"/>
          <w:sz w:val="21"/>
          <w:szCs w:val="21"/>
        </w:rPr>
        <w:t xml:space="preserve"> </w:t>
      </w:r>
      <w:r>
        <w:rPr>
          <w:rFonts w:ascii="Times New Roman" w:hAnsi="Times New Roman" w:cs="Times New Roman"/>
          <w:sz w:val="21"/>
          <w:szCs w:val="21"/>
        </w:rPr>
        <w:t>–</w:t>
      </w:r>
      <w:r w:rsidRPr="00D56F5A">
        <w:rPr>
          <w:rFonts w:ascii="Times New Roman" w:hAnsi="Times New Roman" w:cs="Times New Roman"/>
          <w:sz w:val="21"/>
          <w:szCs w:val="21"/>
        </w:rPr>
        <w:t xml:space="preserve"> С. 105</w:t>
      </w:r>
      <w:r>
        <w:rPr>
          <w:rFonts w:ascii="Times New Roman" w:hAnsi="Times New Roman" w:cs="Times New Roman"/>
          <w:sz w:val="21"/>
          <w:szCs w:val="21"/>
        </w:rPr>
        <w:t>–</w:t>
      </w:r>
      <w:r w:rsidRPr="00D56F5A">
        <w:rPr>
          <w:rFonts w:ascii="Times New Roman" w:hAnsi="Times New Roman" w:cs="Times New Roman"/>
          <w:sz w:val="21"/>
          <w:szCs w:val="21"/>
        </w:rPr>
        <w:t>115</w:t>
      </w:r>
      <w:r>
        <w:rPr>
          <w:rFonts w:ascii="Times New Roman" w:hAnsi="Times New Roman" w:cs="Times New Roman"/>
          <w:sz w:val="21"/>
          <w:szCs w:val="21"/>
        </w:rPr>
        <w:t>.</w:t>
      </w:r>
      <w:bookmarkEnd w:id="26"/>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27" w:name="_Ref430593792"/>
      <w:r w:rsidRPr="002055BD">
        <w:rPr>
          <w:rFonts w:ascii="Times New Roman" w:hAnsi="Times New Roman" w:cs="Times New Roman"/>
          <w:sz w:val="21"/>
          <w:szCs w:val="21"/>
        </w:rPr>
        <w:t xml:space="preserve">Кондратьев Н. </w:t>
      </w:r>
      <w:hyperlink r:id="rId11" w:history="1">
        <w:r w:rsidRPr="002055BD">
          <w:rPr>
            <w:rFonts w:ascii="Times New Roman" w:hAnsi="Times New Roman" w:cs="Times New Roman"/>
            <w:sz w:val="21"/>
            <w:szCs w:val="21"/>
          </w:rPr>
          <w:t>Большие циклы конъюнктуры и теория предвидения.</w:t>
        </w:r>
      </w:hyperlink>
      <w:r>
        <w:rPr>
          <w:rFonts w:ascii="Times New Roman" w:hAnsi="Times New Roman" w:cs="Times New Roman"/>
          <w:sz w:val="21"/>
          <w:szCs w:val="21"/>
        </w:rPr>
        <w:t xml:space="preserve"> Избранные труды / Н. Кондратьев</w:t>
      </w:r>
      <w:r w:rsidRPr="002055BD">
        <w:rPr>
          <w:rFonts w:ascii="Times New Roman" w:hAnsi="Times New Roman" w:cs="Times New Roman"/>
          <w:sz w:val="21"/>
          <w:szCs w:val="21"/>
        </w:rPr>
        <w:t xml:space="preserve">, </w:t>
      </w:r>
      <w:r>
        <w:rPr>
          <w:rFonts w:ascii="Times New Roman" w:hAnsi="Times New Roman" w:cs="Times New Roman"/>
          <w:sz w:val="21"/>
          <w:szCs w:val="21"/>
        </w:rPr>
        <w:t xml:space="preserve">Ю. </w:t>
      </w:r>
      <w:hyperlink r:id="rId12" w:tooltip="Яковец, Юрий Владимирович (страница отсутствует)" w:history="1">
        <w:r w:rsidRPr="002055BD">
          <w:rPr>
            <w:rFonts w:ascii="Times New Roman" w:hAnsi="Times New Roman" w:cs="Times New Roman"/>
            <w:sz w:val="21"/>
            <w:szCs w:val="21"/>
          </w:rPr>
          <w:t>Яковец</w:t>
        </w:r>
      </w:hyperlink>
      <w:r w:rsidRPr="002055BD">
        <w:rPr>
          <w:rFonts w:ascii="Times New Roman" w:hAnsi="Times New Roman" w:cs="Times New Roman"/>
          <w:sz w:val="21"/>
          <w:szCs w:val="21"/>
        </w:rPr>
        <w:t xml:space="preserve">, </w:t>
      </w:r>
      <w:r>
        <w:rPr>
          <w:rFonts w:ascii="Times New Roman" w:hAnsi="Times New Roman" w:cs="Times New Roman"/>
          <w:sz w:val="21"/>
          <w:szCs w:val="21"/>
        </w:rPr>
        <w:t xml:space="preserve">Л. </w:t>
      </w:r>
      <w:hyperlink r:id="rId13" w:tooltip="Абалкин, Леонид Иванович" w:history="1">
        <w:r>
          <w:rPr>
            <w:rFonts w:ascii="Times New Roman" w:hAnsi="Times New Roman" w:cs="Times New Roman"/>
            <w:sz w:val="21"/>
            <w:szCs w:val="21"/>
          </w:rPr>
          <w:t>Абалкин</w:t>
        </w:r>
        <w:r w:rsidRPr="002055BD">
          <w:rPr>
            <w:rFonts w:ascii="Times New Roman" w:hAnsi="Times New Roman" w:cs="Times New Roman"/>
            <w:sz w:val="21"/>
            <w:szCs w:val="21"/>
          </w:rPr>
          <w:t>.</w:t>
        </w:r>
      </w:hyperlink>
      <w:r w:rsidRPr="002055BD">
        <w:rPr>
          <w:rFonts w:ascii="Times New Roman" w:hAnsi="Times New Roman" w:cs="Times New Roman"/>
          <w:sz w:val="21"/>
          <w:szCs w:val="21"/>
        </w:rPr>
        <w:t xml:space="preserve"> – М. : Экономика, 2002. – 768 с.</w:t>
      </w:r>
      <w:bookmarkEnd w:id="27"/>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28" w:name="_Ref430593816"/>
      <w:r w:rsidRPr="002055BD">
        <w:rPr>
          <w:rFonts w:ascii="Times New Roman" w:hAnsi="Times New Roman" w:cs="Times New Roman"/>
          <w:sz w:val="21"/>
          <w:szCs w:val="21"/>
        </w:rPr>
        <w:t>Костаков В.</w:t>
      </w:r>
      <w:r>
        <w:rPr>
          <w:rFonts w:ascii="Times New Roman" w:hAnsi="Times New Roman" w:cs="Times New Roman"/>
          <w:sz w:val="21"/>
          <w:szCs w:val="21"/>
        </w:rPr>
        <w:t xml:space="preserve"> </w:t>
      </w:r>
      <w:r w:rsidRPr="002055BD">
        <w:rPr>
          <w:rFonts w:ascii="Times New Roman" w:hAnsi="Times New Roman" w:cs="Times New Roman"/>
          <w:sz w:val="21"/>
          <w:szCs w:val="21"/>
        </w:rPr>
        <w:t>Г. Сверхзанятость – дефицит рабочей силы, региональ</w:t>
      </w:r>
      <w:r>
        <w:rPr>
          <w:rFonts w:ascii="Times New Roman" w:hAnsi="Times New Roman" w:cs="Times New Roman"/>
          <w:sz w:val="21"/>
          <w:szCs w:val="21"/>
        </w:rPr>
        <w:t>ный разрез</w:t>
      </w:r>
      <w:r w:rsidRPr="002055BD">
        <w:rPr>
          <w:rFonts w:ascii="Times New Roman" w:hAnsi="Times New Roman" w:cs="Times New Roman"/>
          <w:sz w:val="21"/>
          <w:szCs w:val="21"/>
        </w:rPr>
        <w:t xml:space="preserve"> </w:t>
      </w:r>
      <w:r>
        <w:rPr>
          <w:rFonts w:ascii="Times New Roman" w:hAnsi="Times New Roman" w:cs="Times New Roman"/>
          <w:sz w:val="21"/>
          <w:szCs w:val="21"/>
        </w:rPr>
        <w:t>/ В. Г. Костаков // Доклад на междунар. к</w:t>
      </w:r>
      <w:r w:rsidRPr="002055BD">
        <w:rPr>
          <w:rFonts w:ascii="Times New Roman" w:hAnsi="Times New Roman" w:cs="Times New Roman"/>
          <w:sz w:val="21"/>
          <w:szCs w:val="21"/>
        </w:rPr>
        <w:t>онф. МОТ. – Москва, 1-4 окт. 1990 г. – 56 с.</w:t>
      </w:r>
      <w:bookmarkEnd w:id="28"/>
    </w:p>
    <w:p w:rsidR="00B233DE" w:rsidRPr="009B21B6"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29" w:name="_Ref430595432"/>
      <w:r w:rsidRPr="00F11B95">
        <w:rPr>
          <w:rStyle w:val="a9"/>
          <w:rFonts w:ascii="Times New Roman" w:hAnsi="Times New Roman" w:cs="Times New Roman"/>
          <w:b w:val="0"/>
          <w:sz w:val="21"/>
          <w:szCs w:val="21"/>
        </w:rPr>
        <w:t>Кузык Б.</w:t>
      </w:r>
      <w:r>
        <w:rPr>
          <w:rStyle w:val="a9"/>
          <w:rFonts w:ascii="Times New Roman" w:hAnsi="Times New Roman" w:cs="Times New Roman"/>
          <w:b w:val="0"/>
          <w:sz w:val="21"/>
          <w:szCs w:val="21"/>
        </w:rPr>
        <w:t xml:space="preserve"> </w:t>
      </w:r>
      <w:r w:rsidRPr="00F11B95">
        <w:rPr>
          <w:rStyle w:val="a9"/>
          <w:rFonts w:ascii="Times New Roman" w:hAnsi="Times New Roman" w:cs="Times New Roman"/>
          <w:b w:val="0"/>
          <w:sz w:val="21"/>
          <w:szCs w:val="21"/>
        </w:rPr>
        <w:t>Н. Цивилизация</w:t>
      </w:r>
      <w:r>
        <w:rPr>
          <w:rStyle w:val="a9"/>
          <w:rFonts w:ascii="Times New Roman" w:hAnsi="Times New Roman" w:cs="Times New Roman"/>
          <w:b w:val="0"/>
          <w:sz w:val="21"/>
          <w:szCs w:val="21"/>
        </w:rPr>
        <w:t xml:space="preserve"> </w:t>
      </w:r>
      <w:r w:rsidRPr="00F11B95">
        <w:rPr>
          <w:rStyle w:val="a9"/>
          <w:rFonts w:ascii="Times New Roman" w:hAnsi="Times New Roman" w:cs="Times New Roman"/>
          <w:b w:val="0"/>
          <w:sz w:val="21"/>
          <w:szCs w:val="21"/>
        </w:rPr>
        <w:t xml:space="preserve">: теория, история, диалог, будущее : т. </w:t>
      </w:r>
      <w:r>
        <w:rPr>
          <w:rStyle w:val="a9"/>
          <w:rFonts w:ascii="Times New Roman" w:hAnsi="Times New Roman" w:cs="Times New Roman"/>
          <w:b w:val="0"/>
          <w:sz w:val="21"/>
          <w:szCs w:val="21"/>
        </w:rPr>
        <w:t>1</w:t>
      </w:r>
      <w:r w:rsidRPr="00F11B95">
        <w:rPr>
          <w:rStyle w:val="a9"/>
          <w:rFonts w:ascii="Times New Roman" w:hAnsi="Times New Roman" w:cs="Times New Roman"/>
          <w:b w:val="0"/>
          <w:sz w:val="21"/>
          <w:szCs w:val="21"/>
        </w:rPr>
        <w:t xml:space="preserve"> : Теория и история цивилизаций / Б.</w:t>
      </w:r>
      <w:r>
        <w:rPr>
          <w:rStyle w:val="a9"/>
          <w:rFonts w:ascii="Times New Roman" w:hAnsi="Times New Roman" w:cs="Times New Roman"/>
          <w:b w:val="0"/>
          <w:sz w:val="21"/>
          <w:szCs w:val="21"/>
        </w:rPr>
        <w:t xml:space="preserve"> </w:t>
      </w:r>
      <w:r w:rsidRPr="00F11B95">
        <w:rPr>
          <w:rStyle w:val="a9"/>
          <w:rFonts w:ascii="Times New Roman" w:hAnsi="Times New Roman" w:cs="Times New Roman"/>
          <w:b w:val="0"/>
          <w:sz w:val="21"/>
          <w:szCs w:val="21"/>
        </w:rPr>
        <w:t>Н. Кузык, Ю.</w:t>
      </w:r>
      <w:r>
        <w:rPr>
          <w:rStyle w:val="a9"/>
          <w:rFonts w:ascii="Times New Roman" w:hAnsi="Times New Roman" w:cs="Times New Roman"/>
          <w:b w:val="0"/>
          <w:sz w:val="21"/>
          <w:szCs w:val="21"/>
        </w:rPr>
        <w:t> В. </w:t>
      </w:r>
      <w:r w:rsidRPr="00F11B95">
        <w:rPr>
          <w:rStyle w:val="a9"/>
          <w:rFonts w:ascii="Times New Roman" w:hAnsi="Times New Roman" w:cs="Times New Roman"/>
          <w:b w:val="0"/>
          <w:sz w:val="21"/>
          <w:szCs w:val="21"/>
        </w:rPr>
        <w:t>Яковец. – М. : Институт экономических стратегий, 2006. – 768 с.</w:t>
      </w:r>
      <w:bookmarkEnd w:id="29"/>
    </w:p>
    <w:p w:rsidR="00B233DE" w:rsidRPr="00347D85"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30" w:name="_Ref435779130"/>
      <w:bookmarkStart w:id="31" w:name="_Ref430594275"/>
      <w:r>
        <w:rPr>
          <w:rFonts w:ascii="Times New Roman" w:hAnsi="Times New Roman"/>
          <w:sz w:val="21"/>
          <w:szCs w:val="21"/>
        </w:rPr>
        <w:t>Лапшин</w:t>
      </w:r>
      <w:r w:rsidRPr="00847CE9">
        <w:rPr>
          <w:rFonts w:ascii="Times New Roman" w:hAnsi="Times New Roman"/>
          <w:sz w:val="21"/>
          <w:szCs w:val="21"/>
        </w:rPr>
        <w:t xml:space="preserve"> В.</w:t>
      </w:r>
      <w:r>
        <w:rPr>
          <w:rFonts w:ascii="Times New Roman" w:hAnsi="Times New Roman"/>
          <w:sz w:val="21"/>
          <w:szCs w:val="21"/>
        </w:rPr>
        <w:t xml:space="preserve"> </w:t>
      </w:r>
      <w:r w:rsidRPr="00847CE9">
        <w:rPr>
          <w:rFonts w:ascii="Times New Roman" w:hAnsi="Times New Roman"/>
          <w:sz w:val="21"/>
          <w:szCs w:val="21"/>
        </w:rPr>
        <w:t xml:space="preserve">А. Структурные компоненты </w:t>
      </w:r>
      <w:r>
        <w:rPr>
          <w:rFonts w:ascii="Times New Roman" w:hAnsi="Times New Roman"/>
          <w:sz w:val="21"/>
          <w:szCs w:val="21"/>
        </w:rPr>
        <w:t>человеческого потенциала</w:t>
      </w:r>
      <w:r w:rsidRPr="00847CE9">
        <w:rPr>
          <w:rFonts w:ascii="Times New Roman" w:hAnsi="Times New Roman"/>
          <w:sz w:val="21"/>
          <w:szCs w:val="21"/>
        </w:rPr>
        <w:t xml:space="preserve"> / В.</w:t>
      </w:r>
      <w:r>
        <w:rPr>
          <w:rFonts w:ascii="Times New Roman" w:hAnsi="Times New Roman"/>
          <w:sz w:val="21"/>
          <w:szCs w:val="21"/>
        </w:rPr>
        <w:t xml:space="preserve"> </w:t>
      </w:r>
      <w:r w:rsidRPr="00847CE9">
        <w:rPr>
          <w:rFonts w:ascii="Times New Roman" w:hAnsi="Times New Roman"/>
          <w:sz w:val="21"/>
          <w:szCs w:val="21"/>
        </w:rPr>
        <w:t>А. Лапшин // Знание. Понимание. Умение. – 2013. – № 1. – С. 259</w:t>
      </w:r>
      <w:r>
        <w:rPr>
          <w:rFonts w:ascii="Times New Roman" w:hAnsi="Times New Roman"/>
          <w:sz w:val="21"/>
          <w:szCs w:val="21"/>
        </w:rPr>
        <w:t>–</w:t>
      </w:r>
      <w:r w:rsidRPr="00847CE9">
        <w:rPr>
          <w:rFonts w:ascii="Times New Roman" w:hAnsi="Times New Roman"/>
          <w:sz w:val="21"/>
          <w:szCs w:val="21"/>
        </w:rPr>
        <w:t>263</w:t>
      </w:r>
      <w:r>
        <w:rPr>
          <w:rFonts w:ascii="Times New Roman" w:hAnsi="Times New Roman"/>
          <w:sz w:val="21"/>
          <w:szCs w:val="21"/>
        </w:rPr>
        <w:t>.</w:t>
      </w:r>
      <w:bookmarkEnd w:id="30"/>
    </w:p>
    <w:p w:rsidR="00B233DE" w:rsidRPr="004C14E7"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r w:rsidRPr="002055BD">
        <w:rPr>
          <w:rFonts w:ascii="Times New Roman" w:hAnsi="Times New Roman" w:cs="Times New Roman"/>
          <w:sz w:val="21"/>
          <w:szCs w:val="21"/>
        </w:rPr>
        <w:t>Людський потенціал</w:t>
      </w:r>
      <w:r>
        <w:rPr>
          <w:rFonts w:ascii="Times New Roman" w:hAnsi="Times New Roman" w:cs="Times New Roman"/>
          <w:sz w:val="21"/>
          <w:szCs w:val="21"/>
        </w:rPr>
        <w:t xml:space="preserve"> </w:t>
      </w:r>
      <w:r w:rsidRPr="002055BD">
        <w:rPr>
          <w:rFonts w:ascii="Times New Roman" w:hAnsi="Times New Roman" w:cs="Times New Roman"/>
          <w:sz w:val="21"/>
          <w:szCs w:val="21"/>
        </w:rPr>
        <w:t>: механізми збереження та розвитку : монографія / [О.</w:t>
      </w:r>
      <w:r>
        <w:rPr>
          <w:rFonts w:ascii="Times New Roman" w:hAnsi="Times New Roman" w:cs="Times New Roman"/>
          <w:sz w:val="21"/>
          <w:szCs w:val="21"/>
        </w:rPr>
        <w:t xml:space="preserve"> </w:t>
      </w:r>
      <w:r w:rsidRPr="002055BD">
        <w:rPr>
          <w:rFonts w:ascii="Times New Roman" w:hAnsi="Times New Roman" w:cs="Times New Roman"/>
          <w:sz w:val="21"/>
          <w:szCs w:val="21"/>
        </w:rPr>
        <w:t>Ф. Новікова, О.</w:t>
      </w:r>
      <w:r>
        <w:rPr>
          <w:rFonts w:ascii="Times New Roman" w:hAnsi="Times New Roman" w:cs="Times New Roman"/>
          <w:sz w:val="21"/>
          <w:szCs w:val="21"/>
        </w:rPr>
        <w:t xml:space="preserve"> </w:t>
      </w:r>
      <w:r w:rsidRPr="002055BD">
        <w:rPr>
          <w:rFonts w:ascii="Times New Roman" w:hAnsi="Times New Roman" w:cs="Times New Roman"/>
          <w:sz w:val="21"/>
          <w:szCs w:val="21"/>
        </w:rPr>
        <w:t>І. Амоша, В.</w:t>
      </w:r>
      <w:r>
        <w:rPr>
          <w:rFonts w:ascii="Times New Roman" w:hAnsi="Times New Roman" w:cs="Times New Roman"/>
          <w:sz w:val="21"/>
          <w:szCs w:val="21"/>
        </w:rPr>
        <w:t> П. </w:t>
      </w:r>
      <w:r w:rsidRPr="002055BD">
        <w:rPr>
          <w:rFonts w:ascii="Times New Roman" w:hAnsi="Times New Roman" w:cs="Times New Roman"/>
          <w:sz w:val="21"/>
          <w:szCs w:val="21"/>
        </w:rPr>
        <w:t xml:space="preserve">Антонюк та ін.]. – Донецьк, 2008. – </w:t>
      </w:r>
      <w:r w:rsidRPr="00077A51">
        <w:rPr>
          <w:rFonts w:ascii="Times New Roman" w:hAnsi="Times New Roman" w:cs="Times New Roman"/>
          <w:sz w:val="21"/>
          <w:szCs w:val="21"/>
        </w:rPr>
        <w:t xml:space="preserve">468 </w:t>
      </w:r>
      <w:r w:rsidRPr="002055BD">
        <w:rPr>
          <w:rFonts w:ascii="Times New Roman" w:hAnsi="Times New Roman" w:cs="Times New Roman"/>
          <w:sz w:val="21"/>
          <w:szCs w:val="21"/>
          <w:lang w:val="en-US"/>
        </w:rPr>
        <w:t>c</w:t>
      </w:r>
      <w:r w:rsidRPr="002055BD">
        <w:rPr>
          <w:rFonts w:ascii="Times New Roman" w:hAnsi="Times New Roman" w:cs="Times New Roman"/>
          <w:sz w:val="21"/>
          <w:szCs w:val="21"/>
        </w:rPr>
        <w:t>.</w:t>
      </w:r>
      <w:bookmarkEnd w:id="31"/>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32" w:name="_Ref430594429"/>
      <w:r w:rsidRPr="007532CD">
        <w:rPr>
          <w:rFonts w:ascii="Times New Roman" w:hAnsi="Times New Roman" w:cs="Times New Roman"/>
          <w:sz w:val="21"/>
          <w:szCs w:val="21"/>
        </w:rPr>
        <w:t>Людський розвиток регіонів України</w:t>
      </w:r>
      <w:r>
        <w:rPr>
          <w:rFonts w:ascii="Times New Roman" w:hAnsi="Times New Roman" w:cs="Times New Roman"/>
          <w:sz w:val="21"/>
          <w:szCs w:val="21"/>
        </w:rPr>
        <w:t xml:space="preserve"> </w:t>
      </w:r>
      <w:r w:rsidRPr="007532CD">
        <w:rPr>
          <w:rFonts w:ascii="Times New Roman" w:hAnsi="Times New Roman" w:cs="Times New Roman"/>
          <w:sz w:val="21"/>
          <w:szCs w:val="21"/>
        </w:rPr>
        <w:t>: аналіз та прогноз (колективна монографія) / За ред. Е.</w:t>
      </w:r>
      <w:r>
        <w:rPr>
          <w:rFonts w:ascii="Times New Roman" w:hAnsi="Times New Roman" w:cs="Times New Roman"/>
          <w:sz w:val="21"/>
          <w:szCs w:val="21"/>
        </w:rPr>
        <w:t xml:space="preserve"> М. Лібанової. – К. : </w:t>
      </w:r>
      <w:r w:rsidRPr="007532CD">
        <w:rPr>
          <w:rFonts w:ascii="Times New Roman" w:hAnsi="Times New Roman" w:cs="Times New Roman"/>
          <w:sz w:val="21"/>
          <w:szCs w:val="21"/>
        </w:rPr>
        <w:t>Ін-т демографії та соціальних досліджень НАН України, Держкомстат України, 2007. – 328 с.</w:t>
      </w:r>
      <w:bookmarkEnd w:id="32"/>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33" w:name="_Ref430593718"/>
      <w:r w:rsidRPr="002055BD">
        <w:rPr>
          <w:rFonts w:ascii="Times New Roman" w:hAnsi="Times New Roman" w:cs="Times New Roman"/>
          <w:sz w:val="21"/>
          <w:szCs w:val="21"/>
        </w:rPr>
        <w:t xml:space="preserve">Маршалл А. Принципы экономической науки : т. 1 / </w:t>
      </w:r>
      <w:r>
        <w:rPr>
          <w:rFonts w:ascii="Times New Roman" w:hAnsi="Times New Roman" w:cs="Times New Roman"/>
          <w:sz w:val="21"/>
          <w:szCs w:val="21"/>
        </w:rPr>
        <w:t>А. Маршалл.</w:t>
      </w:r>
      <w:r w:rsidRPr="002055BD">
        <w:rPr>
          <w:rFonts w:ascii="Times New Roman" w:hAnsi="Times New Roman" w:cs="Times New Roman"/>
          <w:sz w:val="21"/>
          <w:szCs w:val="21"/>
        </w:rPr>
        <w:t xml:space="preserve"> – М. : Прогресс, 1993. – 416 с.</w:t>
      </w:r>
      <w:bookmarkEnd w:id="33"/>
    </w:p>
    <w:p w:rsidR="00B233DE" w:rsidRPr="00A104FF"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34" w:name="_Ref430595196"/>
      <w:r w:rsidRPr="00F11B95">
        <w:rPr>
          <w:rFonts w:ascii="Times New Roman" w:hAnsi="Times New Roman" w:cs="Times New Roman"/>
          <w:sz w:val="21"/>
          <w:szCs w:val="21"/>
        </w:rPr>
        <w:t>Медоуз Д. Х. Пред</w:t>
      </w:r>
      <w:r>
        <w:rPr>
          <w:rFonts w:ascii="Times New Roman" w:hAnsi="Times New Roman" w:cs="Times New Roman"/>
          <w:sz w:val="21"/>
          <w:szCs w:val="21"/>
        </w:rPr>
        <w:t>елы роста / Д. Х. Медоуз, Д. Л. </w:t>
      </w:r>
      <w:r w:rsidRPr="00F11B95">
        <w:rPr>
          <w:rFonts w:ascii="Times New Roman" w:hAnsi="Times New Roman" w:cs="Times New Roman"/>
          <w:sz w:val="21"/>
          <w:szCs w:val="21"/>
        </w:rPr>
        <w:t>Медоуз, Й. Рэндерс, В. В. Беренс.</w:t>
      </w:r>
      <w:r>
        <w:rPr>
          <w:rFonts w:ascii="Times New Roman" w:hAnsi="Times New Roman" w:cs="Times New Roman"/>
          <w:sz w:val="21"/>
          <w:szCs w:val="21"/>
        </w:rPr>
        <w:t xml:space="preserve"> –</w:t>
      </w:r>
      <w:r w:rsidRPr="00F11B95">
        <w:rPr>
          <w:rFonts w:ascii="Times New Roman" w:hAnsi="Times New Roman" w:cs="Times New Roman"/>
          <w:sz w:val="21"/>
          <w:szCs w:val="21"/>
        </w:rPr>
        <w:t xml:space="preserve"> М.</w:t>
      </w:r>
      <w:r>
        <w:rPr>
          <w:rFonts w:ascii="Times New Roman" w:hAnsi="Times New Roman" w:cs="Times New Roman"/>
          <w:sz w:val="21"/>
          <w:szCs w:val="21"/>
        </w:rPr>
        <w:t xml:space="preserve"> : Издательство МГУ, 1991. –</w:t>
      </w:r>
      <w:r w:rsidRPr="00F11B95">
        <w:rPr>
          <w:rFonts w:ascii="Times New Roman" w:hAnsi="Times New Roman" w:cs="Times New Roman"/>
          <w:sz w:val="21"/>
          <w:szCs w:val="21"/>
        </w:rPr>
        <w:t xml:space="preserve"> 207 с.</w:t>
      </w:r>
      <w:bookmarkEnd w:id="34"/>
    </w:p>
    <w:p w:rsidR="00B233DE" w:rsidRPr="009B21B6"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35" w:name="_Ref430595492"/>
      <w:r w:rsidRPr="00F11B95">
        <w:rPr>
          <w:rFonts w:ascii="Times New Roman" w:hAnsi="Times New Roman" w:cs="Times New Roman"/>
          <w:iCs/>
          <w:sz w:val="21"/>
          <w:szCs w:val="21"/>
        </w:rPr>
        <w:lastRenderedPageBreak/>
        <w:t xml:space="preserve">Мельник С. </w:t>
      </w:r>
      <w:r w:rsidRPr="00F11B95">
        <w:rPr>
          <w:rFonts w:ascii="Times New Roman" w:hAnsi="Times New Roman" w:cs="Times New Roman"/>
          <w:sz w:val="21"/>
          <w:szCs w:val="21"/>
        </w:rPr>
        <w:t>Становлення соціально орієнтованого бізнесу в Україні як складова державної</w:t>
      </w:r>
      <w:r w:rsidRPr="00F11B95">
        <w:rPr>
          <w:rFonts w:ascii="Times New Roman" w:hAnsi="Times New Roman" w:cs="Times New Roman"/>
          <w:sz w:val="21"/>
          <w:szCs w:val="21"/>
          <w:lang w:val="ru-RU"/>
        </w:rPr>
        <w:t xml:space="preserve"> </w:t>
      </w:r>
      <w:r>
        <w:rPr>
          <w:rFonts w:ascii="Times New Roman" w:hAnsi="Times New Roman" w:cs="Times New Roman"/>
          <w:sz w:val="21"/>
          <w:szCs w:val="21"/>
        </w:rPr>
        <w:t>соціальної політики / С. </w:t>
      </w:r>
      <w:r w:rsidRPr="00F11B95">
        <w:rPr>
          <w:rFonts w:ascii="Times New Roman" w:hAnsi="Times New Roman" w:cs="Times New Roman"/>
          <w:sz w:val="21"/>
          <w:szCs w:val="21"/>
        </w:rPr>
        <w:t>Мельник // Україна : аспекти праці. – 2008. – № 5. – С. 32</w:t>
      </w:r>
      <w:r>
        <w:rPr>
          <w:rFonts w:ascii="Times New Roman" w:hAnsi="Times New Roman" w:cs="Times New Roman"/>
          <w:sz w:val="21"/>
          <w:szCs w:val="21"/>
        </w:rPr>
        <w:t>–</w:t>
      </w:r>
      <w:r w:rsidRPr="00F11B95">
        <w:rPr>
          <w:rFonts w:ascii="Times New Roman" w:hAnsi="Times New Roman" w:cs="Times New Roman"/>
          <w:sz w:val="21"/>
          <w:szCs w:val="21"/>
        </w:rPr>
        <w:t>36</w:t>
      </w:r>
      <w:r>
        <w:rPr>
          <w:rFonts w:ascii="Times New Roman" w:hAnsi="Times New Roman" w:cs="Times New Roman"/>
          <w:sz w:val="21"/>
          <w:szCs w:val="21"/>
        </w:rPr>
        <w:t>.</w:t>
      </w:r>
      <w:bookmarkEnd w:id="35"/>
    </w:p>
    <w:p w:rsidR="00B233DE" w:rsidRPr="008B0AB8"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36" w:name="_Ref430594651"/>
      <w:r w:rsidRPr="00FB39C2">
        <w:rPr>
          <w:rFonts w:ascii="Times New Roman" w:hAnsi="Times New Roman" w:cs="Times New Roman"/>
          <w:sz w:val="21"/>
          <w:szCs w:val="21"/>
        </w:rPr>
        <w:t>Міграційні процеси в Україні</w:t>
      </w:r>
      <w:r>
        <w:rPr>
          <w:rFonts w:ascii="Times New Roman" w:hAnsi="Times New Roman" w:cs="Times New Roman"/>
          <w:sz w:val="21"/>
          <w:szCs w:val="21"/>
        </w:rPr>
        <w:t xml:space="preserve"> </w:t>
      </w:r>
      <w:r w:rsidRPr="00FB39C2">
        <w:rPr>
          <w:rFonts w:ascii="Times New Roman" w:hAnsi="Times New Roman" w:cs="Times New Roman"/>
          <w:sz w:val="21"/>
          <w:szCs w:val="21"/>
        </w:rPr>
        <w:t>: сучасний стан і перспективи / [за ред. О.</w:t>
      </w:r>
      <w:r>
        <w:rPr>
          <w:rFonts w:ascii="Times New Roman" w:hAnsi="Times New Roman" w:cs="Times New Roman"/>
          <w:sz w:val="21"/>
          <w:szCs w:val="21"/>
        </w:rPr>
        <w:t xml:space="preserve"> </w:t>
      </w:r>
      <w:r w:rsidRPr="00FB39C2">
        <w:rPr>
          <w:rFonts w:ascii="Times New Roman" w:hAnsi="Times New Roman" w:cs="Times New Roman"/>
          <w:sz w:val="21"/>
          <w:szCs w:val="21"/>
        </w:rPr>
        <w:t>В. Позняка]. – Умань, 2007. – 276 с.</w:t>
      </w:r>
      <w:bookmarkEnd w:id="36"/>
    </w:p>
    <w:p w:rsidR="00B233DE" w:rsidRPr="004C14E7"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37" w:name="_Ref430594580"/>
      <w:r w:rsidRPr="007532CD">
        <w:rPr>
          <w:rFonts w:ascii="Times New Roman" w:hAnsi="Times New Roman" w:cs="Times New Roman"/>
          <w:sz w:val="21"/>
          <w:szCs w:val="21"/>
        </w:rPr>
        <w:t>Муромцева Ю.</w:t>
      </w:r>
      <w:r>
        <w:rPr>
          <w:rFonts w:ascii="Times New Roman" w:hAnsi="Times New Roman" w:cs="Times New Roman"/>
          <w:sz w:val="21"/>
          <w:szCs w:val="21"/>
        </w:rPr>
        <w:t xml:space="preserve"> </w:t>
      </w:r>
      <w:r w:rsidRPr="007532CD">
        <w:rPr>
          <w:rFonts w:ascii="Times New Roman" w:hAnsi="Times New Roman" w:cs="Times New Roman"/>
          <w:sz w:val="21"/>
          <w:szCs w:val="21"/>
        </w:rPr>
        <w:t xml:space="preserve">І. Демографія : [навч. посібник] / </w:t>
      </w:r>
      <w:r>
        <w:rPr>
          <w:rFonts w:ascii="Times New Roman" w:hAnsi="Times New Roman" w:cs="Times New Roman"/>
          <w:sz w:val="21"/>
          <w:szCs w:val="21"/>
        </w:rPr>
        <w:t>Ю. І. Муромцева.</w:t>
      </w:r>
      <w:r w:rsidRPr="007532CD">
        <w:rPr>
          <w:rFonts w:ascii="Times New Roman" w:hAnsi="Times New Roman" w:cs="Times New Roman"/>
          <w:sz w:val="21"/>
          <w:szCs w:val="21"/>
        </w:rPr>
        <w:t xml:space="preserve"> – К. : Кондор, 2006. – 300 с.</w:t>
      </w:r>
      <w:bookmarkEnd w:id="37"/>
    </w:p>
    <w:p w:rsidR="00B233DE" w:rsidRPr="00651317"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38" w:name="_Ref430595272"/>
      <w:r w:rsidRPr="00F11B95">
        <w:rPr>
          <w:rFonts w:ascii="Times New Roman" w:hAnsi="Times New Roman" w:cs="Times New Roman"/>
          <w:iCs/>
          <w:sz w:val="21"/>
          <w:szCs w:val="21"/>
        </w:rPr>
        <w:t>Ніколайчук М. В. Еволюція форм власності відтворення продуктивних сил інформаційного суспільства та економіки знань / М.</w:t>
      </w:r>
      <w:r>
        <w:rPr>
          <w:rFonts w:ascii="Times New Roman" w:hAnsi="Times New Roman" w:cs="Times New Roman"/>
          <w:iCs/>
          <w:sz w:val="21"/>
          <w:szCs w:val="21"/>
        </w:rPr>
        <w:t xml:space="preserve"> </w:t>
      </w:r>
      <w:r w:rsidRPr="00F11B95">
        <w:rPr>
          <w:rFonts w:ascii="Times New Roman" w:hAnsi="Times New Roman" w:cs="Times New Roman"/>
          <w:iCs/>
          <w:sz w:val="21"/>
          <w:szCs w:val="21"/>
        </w:rPr>
        <w:t>В. Ніколайчук // Глобальні процеси: економічний та соціологічний виміри : матеріали міжнародної науково-практичної конференції 9</w:t>
      </w:r>
      <w:r>
        <w:rPr>
          <w:rFonts w:ascii="Times New Roman" w:hAnsi="Times New Roman" w:cs="Times New Roman"/>
          <w:iCs/>
          <w:sz w:val="21"/>
          <w:szCs w:val="21"/>
        </w:rPr>
        <w:t>–</w:t>
      </w:r>
      <w:r w:rsidRPr="00F11B95">
        <w:rPr>
          <w:rFonts w:ascii="Times New Roman" w:hAnsi="Times New Roman" w:cs="Times New Roman"/>
          <w:iCs/>
          <w:sz w:val="21"/>
          <w:szCs w:val="21"/>
        </w:rPr>
        <w:t>10 грудня 2011 р. – Сімферополь-Ялта. ВіТроПринт. – 2011. – 312 с.</w:t>
      </w:r>
      <w:bookmarkEnd w:id="38"/>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39" w:name="_Ref430593988"/>
      <w:r w:rsidRPr="002055BD">
        <w:rPr>
          <w:rFonts w:ascii="Times New Roman" w:hAnsi="Times New Roman" w:cs="Times New Roman"/>
          <w:iCs/>
          <w:sz w:val="21"/>
          <w:szCs w:val="21"/>
        </w:rPr>
        <w:t>Ніколайчук М. Людський капітал в системі структурних зрушень економіки / М. Ніколайчук // Роль інновацій у підвищені наявного по</w:t>
      </w:r>
      <w:r>
        <w:rPr>
          <w:rFonts w:ascii="Times New Roman" w:hAnsi="Times New Roman" w:cs="Times New Roman"/>
          <w:iCs/>
          <w:sz w:val="21"/>
          <w:szCs w:val="21"/>
        </w:rPr>
        <w:t>тенціалу країни : матеріали між</w:t>
      </w:r>
      <w:r w:rsidRPr="002055BD">
        <w:rPr>
          <w:rFonts w:ascii="Times New Roman" w:hAnsi="Times New Roman" w:cs="Times New Roman"/>
          <w:iCs/>
          <w:sz w:val="21"/>
          <w:szCs w:val="21"/>
        </w:rPr>
        <w:t>нар. наук.-практ. Інтернет-конф. 14-15 грудня 2011 р. Ч. 2. – Тернопіль : Крок, 2011. – С. 84</w:t>
      </w:r>
      <w:r>
        <w:rPr>
          <w:rFonts w:ascii="Times New Roman" w:hAnsi="Times New Roman" w:cs="Times New Roman"/>
          <w:iCs/>
          <w:sz w:val="21"/>
          <w:szCs w:val="21"/>
        </w:rPr>
        <w:t>–</w:t>
      </w:r>
      <w:r w:rsidRPr="002055BD">
        <w:rPr>
          <w:rFonts w:ascii="Times New Roman" w:hAnsi="Times New Roman" w:cs="Times New Roman"/>
          <w:iCs/>
          <w:sz w:val="21"/>
          <w:szCs w:val="21"/>
        </w:rPr>
        <w:t>86</w:t>
      </w:r>
      <w:bookmarkEnd w:id="39"/>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40" w:name="_Ref430594061"/>
      <w:r w:rsidRPr="002055BD">
        <w:rPr>
          <w:rFonts w:ascii="Times New Roman" w:hAnsi="Times New Roman" w:cs="Times New Roman"/>
          <w:sz w:val="21"/>
          <w:szCs w:val="21"/>
        </w:rPr>
        <w:t>Онікієнко В.</w:t>
      </w:r>
      <w:r>
        <w:rPr>
          <w:rFonts w:ascii="Times New Roman" w:hAnsi="Times New Roman" w:cs="Times New Roman"/>
          <w:sz w:val="21"/>
          <w:szCs w:val="21"/>
        </w:rPr>
        <w:t xml:space="preserve"> </w:t>
      </w:r>
      <w:r w:rsidRPr="002055BD">
        <w:rPr>
          <w:rFonts w:ascii="Times New Roman" w:hAnsi="Times New Roman" w:cs="Times New Roman"/>
          <w:sz w:val="21"/>
          <w:szCs w:val="21"/>
        </w:rPr>
        <w:t>В. Методологія регулювання попиту і пропозиції робочої сили / В.</w:t>
      </w:r>
      <w:r>
        <w:rPr>
          <w:rFonts w:ascii="Times New Roman" w:hAnsi="Times New Roman" w:cs="Times New Roman"/>
          <w:sz w:val="21"/>
          <w:szCs w:val="21"/>
        </w:rPr>
        <w:t xml:space="preserve"> В. Онікієнко</w:t>
      </w:r>
      <w:r w:rsidRPr="002055BD">
        <w:rPr>
          <w:rFonts w:ascii="Times New Roman" w:hAnsi="Times New Roman" w:cs="Times New Roman"/>
          <w:sz w:val="21"/>
          <w:szCs w:val="21"/>
        </w:rPr>
        <w:t xml:space="preserve"> // Зайнятість та ринок праці</w:t>
      </w:r>
      <w:r>
        <w:rPr>
          <w:rFonts w:ascii="Times New Roman" w:hAnsi="Times New Roman" w:cs="Times New Roman"/>
          <w:sz w:val="21"/>
          <w:szCs w:val="21"/>
        </w:rPr>
        <w:t xml:space="preserve"> </w:t>
      </w:r>
      <w:r w:rsidRPr="002055BD">
        <w:rPr>
          <w:rFonts w:ascii="Times New Roman" w:hAnsi="Times New Roman" w:cs="Times New Roman"/>
          <w:sz w:val="21"/>
          <w:szCs w:val="21"/>
        </w:rPr>
        <w:t>: Міжвід. наук. зб.</w:t>
      </w:r>
      <w:r>
        <w:rPr>
          <w:rFonts w:ascii="Times New Roman" w:hAnsi="Times New Roman" w:cs="Times New Roman"/>
          <w:sz w:val="21"/>
          <w:szCs w:val="21"/>
        </w:rPr>
        <w:t xml:space="preserve"> –</w:t>
      </w:r>
      <w:r w:rsidRPr="002055BD">
        <w:rPr>
          <w:rFonts w:ascii="Times New Roman" w:hAnsi="Times New Roman" w:cs="Times New Roman"/>
          <w:sz w:val="21"/>
          <w:szCs w:val="21"/>
        </w:rPr>
        <w:t xml:space="preserve"> </w:t>
      </w:r>
      <w:r>
        <w:rPr>
          <w:rFonts w:ascii="Times New Roman" w:hAnsi="Times New Roman" w:cs="Times New Roman"/>
          <w:sz w:val="21"/>
          <w:szCs w:val="21"/>
        </w:rPr>
        <w:t xml:space="preserve">2004. – </w:t>
      </w:r>
      <w:r w:rsidRPr="002055BD">
        <w:rPr>
          <w:rFonts w:ascii="Times New Roman" w:hAnsi="Times New Roman" w:cs="Times New Roman"/>
          <w:sz w:val="21"/>
          <w:szCs w:val="21"/>
        </w:rPr>
        <w:t xml:space="preserve">Вип.18. </w:t>
      </w:r>
      <w:r>
        <w:rPr>
          <w:rFonts w:ascii="Times New Roman" w:hAnsi="Times New Roman" w:cs="Times New Roman"/>
          <w:sz w:val="21"/>
          <w:szCs w:val="21"/>
        </w:rPr>
        <w:t xml:space="preserve">– </w:t>
      </w:r>
      <w:r w:rsidRPr="002055BD">
        <w:rPr>
          <w:rFonts w:ascii="Times New Roman" w:hAnsi="Times New Roman" w:cs="Times New Roman"/>
          <w:sz w:val="21"/>
          <w:szCs w:val="21"/>
        </w:rPr>
        <w:t>С</w:t>
      </w:r>
      <w:r>
        <w:rPr>
          <w:rFonts w:ascii="Times New Roman" w:hAnsi="Times New Roman" w:cs="Times New Roman"/>
          <w:sz w:val="21"/>
          <w:szCs w:val="21"/>
        </w:rPr>
        <w:t>.7–</w:t>
      </w:r>
      <w:r w:rsidRPr="002055BD">
        <w:rPr>
          <w:rFonts w:ascii="Times New Roman" w:hAnsi="Times New Roman" w:cs="Times New Roman"/>
          <w:sz w:val="21"/>
          <w:szCs w:val="21"/>
        </w:rPr>
        <w:t>14</w:t>
      </w:r>
      <w:bookmarkEnd w:id="40"/>
    </w:p>
    <w:p w:rsidR="00B233DE" w:rsidRPr="00D56F5A"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41" w:name="_Ref430594765"/>
      <w:r w:rsidRPr="00D56F5A">
        <w:rPr>
          <w:rFonts w:ascii="Times New Roman" w:hAnsi="Times New Roman" w:cs="Times New Roman"/>
          <w:sz w:val="21"/>
          <w:szCs w:val="21"/>
        </w:rPr>
        <w:t xml:space="preserve">Панкова Л. І. Соціальний потенціал в системі пріоритетів людського розвитку : автореферат дис. ... канд. екон. наук : 08.00.07 / Л. І. Панкова ; Донец. держ. ун-т упр. </w:t>
      </w:r>
      <w:r>
        <w:rPr>
          <w:rFonts w:ascii="Times New Roman" w:hAnsi="Times New Roman" w:cs="Times New Roman"/>
          <w:sz w:val="21"/>
          <w:szCs w:val="21"/>
        </w:rPr>
        <w:t>–</w:t>
      </w:r>
      <w:r w:rsidRPr="00D56F5A">
        <w:rPr>
          <w:rFonts w:ascii="Times New Roman" w:hAnsi="Times New Roman" w:cs="Times New Roman"/>
          <w:sz w:val="21"/>
          <w:szCs w:val="21"/>
        </w:rPr>
        <w:t xml:space="preserve"> Донецьк : 2011. </w:t>
      </w:r>
      <w:r>
        <w:rPr>
          <w:rFonts w:ascii="Times New Roman" w:hAnsi="Times New Roman" w:cs="Times New Roman"/>
          <w:sz w:val="21"/>
          <w:szCs w:val="21"/>
        </w:rPr>
        <w:t>–</w:t>
      </w:r>
      <w:r w:rsidRPr="00D56F5A">
        <w:rPr>
          <w:rFonts w:ascii="Times New Roman" w:hAnsi="Times New Roman" w:cs="Times New Roman"/>
          <w:sz w:val="21"/>
          <w:szCs w:val="21"/>
        </w:rPr>
        <w:t xml:space="preserve"> 20 с.</w:t>
      </w:r>
      <w:bookmarkEnd w:id="41"/>
    </w:p>
    <w:p w:rsidR="00B233DE" w:rsidRPr="009B21B6"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42" w:name="_Ref430595420"/>
      <w:r w:rsidRPr="00F11B95">
        <w:rPr>
          <w:rFonts w:ascii="Times New Roman" w:hAnsi="Times New Roman" w:cs="Times New Roman"/>
          <w:sz w:val="21"/>
          <w:szCs w:val="21"/>
        </w:rPr>
        <w:t>Пека</w:t>
      </w:r>
      <w:r>
        <w:rPr>
          <w:rFonts w:ascii="Times New Roman" w:hAnsi="Times New Roman" w:cs="Times New Roman"/>
          <w:sz w:val="21"/>
          <w:szCs w:val="21"/>
          <w:lang w:val="ru-RU"/>
        </w:rPr>
        <w:t>р</w:t>
      </w:r>
      <w:r w:rsidRPr="00F11B95">
        <w:rPr>
          <w:rFonts w:ascii="Times New Roman" w:hAnsi="Times New Roman" w:cs="Times New Roman"/>
          <w:sz w:val="21"/>
          <w:szCs w:val="21"/>
          <w:lang w:val="ru-RU"/>
        </w:rPr>
        <w:t xml:space="preserve"> В. Человеческий капитал Украины 20</w:t>
      </w:r>
      <w:r>
        <w:rPr>
          <w:rFonts w:ascii="Times New Roman" w:hAnsi="Times New Roman" w:cs="Times New Roman"/>
          <w:sz w:val="21"/>
          <w:szCs w:val="21"/>
          <w:lang w:val="ru-RU"/>
        </w:rPr>
        <w:t xml:space="preserve">25. Итоги форсайта / В. Пекар, Е. </w:t>
      </w:r>
      <w:r w:rsidRPr="00F11B95">
        <w:rPr>
          <w:rFonts w:ascii="Times New Roman" w:hAnsi="Times New Roman" w:cs="Times New Roman"/>
          <w:sz w:val="21"/>
          <w:szCs w:val="21"/>
          <w:lang w:val="ru-RU"/>
        </w:rPr>
        <w:t xml:space="preserve">Пестерников // Маркетинг и реклама : международный профессиональный журнал. </w:t>
      </w:r>
      <w:r>
        <w:rPr>
          <w:rFonts w:ascii="Times New Roman" w:hAnsi="Times New Roman" w:cs="Times New Roman"/>
          <w:sz w:val="21"/>
          <w:szCs w:val="21"/>
          <w:lang w:val="ru-RU"/>
        </w:rPr>
        <w:t>–</w:t>
      </w:r>
      <w:r w:rsidRPr="00F11B95">
        <w:rPr>
          <w:rFonts w:ascii="Times New Roman" w:hAnsi="Times New Roman" w:cs="Times New Roman"/>
          <w:sz w:val="21"/>
          <w:szCs w:val="21"/>
          <w:lang w:val="ru-RU"/>
        </w:rPr>
        <w:t xml:space="preserve"> Х</w:t>
      </w:r>
      <w:r>
        <w:rPr>
          <w:rFonts w:ascii="Times New Roman" w:hAnsi="Times New Roman" w:cs="Times New Roman"/>
          <w:sz w:val="21"/>
          <w:szCs w:val="21"/>
          <w:lang w:val="ru-RU"/>
        </w:rPr>
        <w:t>арьков : НВФ «Студцентр»</w:t>
      </w:r>
      <w:r w:rsidRPr="00F11B95">
        <w:rPr>
          <w:rFonts w:ascii="Times New Roman" w:hAnsi="Times New Roman" w:cs="Times New Roman"/>
          <w:sz w:val="21"/>
          <w:szCs w:val="21"/>
          <w:lang w:val="ru-RU"/>
        </w:rPr>
        <w:t xml:space="preserve">, 2012. </w:t>
      </w:r>
      <w:r>
        <w:rPr>
          <w:rFonts w:ascii="Times New Roman" w:hAnsi="Times New Roman" w:cs="Times New Roman"/>
          <w:sz w:val="21"/>
          <w:szCs w:val="21"/>
          <w:lang w:val="ru-RU"/>
        </w:rPr>
        <w:t>–</w:t>
      </w:r>
      <w:r w:rsidRPr="00F11B95">
        <w:rPr>
          <w:rFonts w:ascii="Times New Roman" w:hAnsi="Times New Roman" w:cs="Times New Roman"/>
          <w:sz w:val="21"/>
          <w:szCs w:val="21"/>
          <w:lang w:val="ru-RU"/>
        </w:rPr>
        <w:t xml:space="preserve"> </w:t>
      </w:r>
      <w:r>
        <w:rPr>
          <w:rFonts w:ascii="Times New Roman" w:hAnsi="Times New Roman" w:cs="Times New Roman"/>
          <w:sz w:val="21"/>
          <w:szCs w:val="21"/>
        </w:rPr>
        <w:t>№</w:t>
      </w:r>
      <w:r w:rsidRPr="00F11B95">
        <w:rPr>
          <w:rFonts w:ascii="Times New Roman" w:hAnsi="Times New Roman" w:cs="Times New Roman"/>
          <w:sz w:val="21"/>
          <w:szCs w:val="21"/>
          <w:lang w:val="ru-RU"/>
        </w:rPr>
        <w:t xml:space="preserve"> 12. </w:t>
      </w:r>
      <w:r>
        <w:rPr>
          <w:rFonts w:ascii="Times New Roman" w:hAnsi="Times New Roman" w:cs="Times New Roman"/>
          <w:sz w:val="21"/>
          <w:szCs w:val="21"/>
          <w:lang w:val="ru-RU"/>
        </w:rPr>
        <w:t>–</w:t>
      </w:r>
      <w:r w:rsidRPr="00F11B95">
        <w:rPr>
          <w:rFonts w:ascii="Times New Roman" w:hAnsi="Times New Roman" w:cs="Times New Roman"/>
          <w:sz w:val="21"/>
          <w:szCs w:val="21"/>
          <w:lang w:val="ru-RU"/>
        </w:rPr>
        <w:t xml:space="preserve"> С. 20</w:t>
      </w:r>
      <w:r>
        <w:rPr>
          <w:rFonts w:ascii="Times New Roman" w:hAnsi="Times New Roman" w:cs="Times New Roman"/>
          <w:sz w:val="21"/>
          <w:szCs w:val="21"/>
          <w:lang w:val="ru-RU"/>
        </w:rPr>
        <w:t>–</w:t>
      </w:r>
      <w:r w:rsidRPr="00F11B95">
        <w:rPr>
          <w:rFonts w:ascii="Times New Roman" w:hAnsi="Times New Roman" w:cs="Times New Roman"/>
          <w:sz w:val="21"/>
          <w:szCs w:val="21"/>
          <w:lang w:val="ru-RU"/>
        </w:rPr>
        <w:t>24</w:t>
      </w:r>
      <w:r>
        <w:rPr>
          <w:rFonts w:ascii="Times New Roman" w:hAnsi="Times New Roman" w:cs="Times New Roman"/>
          <w:sz w:val="21"/>
          <w:szCs w:val="21"/>
          <w:lang w:val="ru-RU"/>
        </w:rPr>
        <w:t>.</w:t>
      </w:r>
      <w:bookmarkEnd w:id="42"/>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43" w:name="_Ref430593743"/>
      <w:r w:rsidRPr="002055BD">
        <w:rPr>
          <w:rFonts w:ascii="Times New Roman" w:hAnsi="Times New Roman" w:cs="Times New Roman"/>
          <w:bCs/>
          <w:sz w:val="21"/>
          <w:szCs w:val="21"/>
        </w:rPr>
        <w:t xml:space="preserve">Пирожков С. </w:t>
      </w:r>
      <w:r w:rsidRPr="002055BD">
        <w:rPr>
          <w:rFonts w:ascii="Times New Roman" w:hAnsi="Times New Roman" w:cs="Times New Roman"/>
          <w:sz w:val="21"/>
          <w:szCs w:val="21"/>
        </w:rPr>
        <w:t xml:space="preserve">Вибрані наукові праці : у 2 т. </w:t>
      </w:r>
      <w:r w:rsidRPr="002055BD">
        <w:rPr>
          <w:rFonts w:ascii="Times New Roman" w:hAnsi="Times New Roman" w:cs="Times New Roman"/>
          <w:bCs/>
          <w:sz w:val="21"/>
          <w:szCs w:val="21"/>
        </w:rPr>
        <w:t>Т. 1</w:t>
      </w:r>
      <w:r w:rsidRPr="002055BD">
        <w:rPr>
          <w:rFonts w:ascii="Times New Roman" w:hAnsi="Times New Roman" w:cs="Times New Roman"/>
          <w:sz w:val="21"/>
          <w:szCs w:val="21"/>
        </w:rPr>
        <w:t xml:space="preserve"> : Демографічний і трудовий потенціал / С. І. Пирожков. – К. : НАН України, Інститут демографії і соціальних досліджень, Київський нац. торговельно-екон. ун-т, 2008. – 933 с.</w:t>
      </w:r>
      <w:bookmarkEnd w:id="43"/>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44" w:name="_Ref430594070"/>
      <w:r w:rsidRPr="002055BD">
        <w:rPr>
          <w:rFonts w:ascii="Times New Roman" w:hAnsi="Times New Roman" w:cs="Times New Roman"/>
          <w:sz w:val="21"/>
          <w:szCs w:val="21"/>
        </w:rPr>
        <w:t>Пирожков С.</w:t>
      </w:r>
      <w:r>
        <w:rPr>
          <w:rFonts w:ascii="Times New Roman" w:hAnsi="Times New Roman" w:cs="Times New Roman"/>
          <w:sz w:val="21"/>
          <w:szCs w:val="21"/>
        </w:rPr>
        <w:t xml:space="preserve"> </w:t>
      </w:r>
      <w:r w:rsidRPr="002055BD">
        <w:rPr>
          <w:rFonts w:ascii="Times New Roman" w:hAnsi="Times New Roman" w:cs="Times New Roman"/>
          <w:sz w:val="21"/>
          <w:szCs w:val="21"/>
        </w:rPr>
        <w:t>И. Трудовой потенциал в демографическом измерении. – К.</w:t>
      </w:r>
      <w:r>
        <w:rPr>
          <w:rFonts w:ascii="Times New Roman" w:hAnsi="Times New Roman" w:cs="Times New Roman"/>
          <w:sz w:val="21"/>
          <w:szCs w:val="21"/>
        </w:rPr>
        <w:t xml:space="preserve"> </w:t>
      </w:r>
      <w:r w:rsidRPr="002055BD">
        <w:rPr>
          <w:rFonts w:ascii="Times New Roman" w:hAnsi="Times New Roman" w:cs="Times New Roman"/>
          <w:sz w:val="21"/>
          <w:szCs w:val="21"/>
        </w:rPr>
        <w:t>: Наук. думка, 1992. – 173 с.</w:t>
      </w:r>
      <w:bookmarkEnd w:id="44"/>
    </w:p>
    <w:p w:rsidR="00B233DE" w:rsidRPr="00D56F5A"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45" w:name="_Ref430594507"/>
      <w:r w:rsidRPr="00D56F5A">
        <w:rPr>
          <w:rFonts w:ascii="Times New Roman" w:hAnsi="Times New Roman" w:cs="Times New Roman"/>
          <w:spacing w:val="-2"/>
          <w:sz w:val="21"/>
          <w:szCs w:val="21"/>
        </w:rPr>
        <w:t>Порохня В.</w:t>
      </w:r>
      <w:r>
        <w:rPr>
          <w:rFonts w:ascii="Times New Roman" w:hAnsi="Times New Roman" w:cs="Times New Roman"/>
          <w:spacing w:val="-2"/>
          <w:sz w:val="21"/>
          <w:szCs w:val="21"/>
        </w:rPr>
        <w:t xml:space="preserve"> </w:t>
      </w:r>
      <w:r w:rsidRPr="00D56F5A">
        <w:rPr>
          <w:rFonts w:ascii="Times New Roman" w:hAnsi="Times New Roman" w:cs="Times New Roman"/>
          <w:spacing w:val="-2"/>
          <w:sz w:val="21"/>
          <w:szCs w:val="21"/>
        </w:rPr>
        <w:t xml:space="preserve">М. Моделювання </w:t>
      </w:r>
      <w:r>
        <w:rPr>
          <w:rFonts w:ascii="Times New Roman" w:hAnsi="Times New Roman" w:cs="Times New Roman"/>
          <w:spacing w:val="-2"/>
          <w:sz w:val="21"/>
          <w:szCs w:val="21"/>
        </w:rPr>
        <w:t xml:space="preserve">людського потенціалу держави : </w:t>
      </w:r>
      <w:r w:rsidRPr="00D56F5A">
        <w:rPr>
          <w:rFonts w:ascii="Times New Roman" w:hAnsi="Times New Roman" w:cs="Times New Roman"/>
          <w:spacing w:val="-2"/>
          <w:sz w:val="21"/>
          <w:szCs w:val="21"/>
        </w:rPr>
        <w:t>м</w:t>
      </w:r>
      <w:r>
        <w:rPr>
          <w:rFonts w:ascii="Times New Roman" w:hAnsi="Times New Roman" w:cs="Times New Roman"/>
          <w:spacing w:val="-2"/>
          <w:sz w:val="21"/>
          <w:szCs w:val="21"/>
        </w:rPr>
        <w:t>онографія</w:t>
      </w:r>
      <w:r w:rsidRPr="00D56F5A">
        <w:rPr>
          <w:rFonts w:ascii="Times New Roman" w:hAnsi="Times New Roman" w:cs="Times New Roman"/>
          <w:spacing w:val="-2"/>
          <w:sz w:val="21"/>
          <w:szCs w:val="21"/>
        </w:rPr>
        <w:t xml:space="preserve"> / </w:t>
      </w:r>
      <w:r>
        <w:rPr>
          <w:rFonts w:ascii="Times New Roman" w:hAnsi="Times New Roman" w:cs="Times New Roman"/>
          <w:spacing w:val="-2"/>
          <w:sz w:val="21"/>
          <w:szCs w:val="21"/>
        </w:rPr>
        <w:t>В. М. Порохня</w:t>
      </w:r>
      <w:r w:rsidRPr="00D56F5A">
        <w:rPr>
          <w:rFonts w:ascii="Times New Roman" w:hAnsi="Times New Roman" w:cs="Times New Roman"/>
          <w:spacing w:val="-2"/>
          <w:sz w:val="21"/>
          <w:szCs w:val="21"/>
        </w:rPr>
        <w:t xml:space="preserve">, </w:t>
      </w:r>
      <w:r>
        <w:rPr>
          <w:rFonts w:ascii="Times New Roman" w:hAnsi="Times New Roman" w:cs="Times New Roman"/>
          <w:spacing w:val="-2"/>
          <w:sz w:val="21"/>
          <w:szCs w:val="21"/>
        </w:rPr>
        <w:t>В. В. Бирський</w:t>
      </w:r>
      <w:r w:rsidRPr="00D56F5A">
        <w:rPr>
          <w:rFonts w:ascii="Times New Roman" w:hAnsi="Times New Roman" w:cs="Times New Roman"/>
          <w:spacing w:val="-2"/>
          <w:sz w:val="21"/>
          <w:szCs w:val="21"/>
        </w:rPr>
        <w:t>. – Запоріжжя : КПУ, 2008. – 192 с.</w:t>
      </w:r>
      <w:bookmarkEnd w:id="45"/>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46" w:name="_Ref430594363"/>
      <w:r w:rsidRPr="002055BD">
        <w:rPr>
          <w:rFonts w:ascii="Times New Roman" w:hAnsi="Times New Roman" w:cs="Times New Roman"/>
          <w:sz w:val="21"/>
          <w:szCs w:val="21"/>
        </w:rPr>
        <w:lastRenderedPageBreak/>
        <w:t>Приймак В. Управління процесами розвитку та реалізації людського потенц</w:t>
      </w:r>
      <w:r>
        <w:rPr>
          <w:rFonts w:ascii="Times New Roman" w:hAnsi="Times New Roman" w:cs="Times New Roman"/>
          <w:sz w:val="21"/>
          <w:szCs w:val="21"/>
        </w:rPr>
        <w:t>іалу в економіці України</w:t>
      </w:r>
      <w:r w:rsidRPr="002055BD">
        <w:rPr>
          <w:rFonts w:ascii="Times New Roman" w:hAnsi="Times New Roman" w:cs="Times New Roman"/>
          <w:sz w:val="21"/>
          <w:szCs w:val="21"/>
        </w:rPr>
        <w:t xml:space="preserve"> : мон</w:t>
      </w:r>
      <w:r>
        <w:rPr>
          <w:rFonts w:ascii="Times New Roman" w:hAnsi="Times New Roman" w:cs="Times New Roman"/>
          <w:sz w:val="21"/>
          <w:szCs w:val="21"/>
        </w:rPr>
        <w:t>ографія / В. Приймак, О. Гинда</w:t>
      </w:r>
      <w:r w:rsidRPr="002055BD">
        <w:rPr>
          <w:rFonts w:ascii="Times New Roman" w:hAnsi="Times New Roman" w:cs="Times New Roman"/>
          <w:sz w:val="21"/>
          <w:szCs w:val="21"/>
        </w:rPr>
        <w:t xml:space="preserve">. </w:t>
      </w:r>
      <w:r>
        <w:rPr>
          <w:rFonts w:ascii="Times New Roman" w:hAnsi="Times New Roman" w:cs="Times New Roman"/>
          <w:sz w:val="21"/>
          <w:szCs w:val="21"/>
        </w:rPr>
        <w:t>–</w:t>
      </w:r>
      <w:r w:rsidRPr="002055BD">
        <w:rPr>
          <w:rFonts w:ascii="Times New Roman" w:hAnsi="Times New Roman" w:cs="Times New Roman"/>
          <w:sz w:val="21"/>
          <w:szCs w:val="21"/>
        </w:rPr>
        <w:t xml:space="preserve"> Львів : Растр-7, 2013. </w:t>
      </w:r>
      <w:r>
        <w:rPr>
          <w:rFonts w:ascii="Times New Roman" w:hAnsi="Times New Roman" w:cs="Times New Roman"/>
          <w:sz w:val="21"/>
          <w:szCs w:val="21"/>
        </w:rPr>
        <w:t>–</w:t>
      </w:r>
      <w:r w:rsidRPr="002055BD">
        <w:rPr>
          <w:rFonts w:ascii="Times New Roman" w:hAnsi="Times New Roman" w:cs="Times New Roman"/>
          <w:sz w:val="21"/>
          <w:szCs w:val="21"/>
        </w:rPr>
        <w:t xml:space="preserve"> 436 с.</w:t>
      </w:r>
      <w:bookmarkEnd w:id="46"/>
    </w:p>
    <w:p w:rsidR="00B233DE" w:rsidRPr="00427EA9"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47" w:name="_Ref430594812"/>
      <w:r w:rsidRPr="00427EA9">
        <w:rPr>
          <w:rFonts w:ascii="Times New Roman" w:hAnsi="Times New Roman" w:cs="Times New Roman"/>
          <w:spacing w:val="-4"/>
          <w:sz w:val="21"/>
          <w:szCs w:val="21"/>
        </w:rPr>
        <w:t>Регіональні проблеми формування трудового потенціалу</w:t>
      </w:r>
      <w:r w:rsidRPr="00FB39C2">
        <w:rPr>
          <w:rFonts w:ascii="Times New Roman" w:hAnsi="Times New Roman" w:cs="Times New Roman"/>
          <w:sz w:val="21"/>
          <w:szCs w:val="21"/>
        </w:rPr>
        <w:t xml:space="preserve"> і шляхи їх вирішення : монографія / [Н.</w:t>
      </w:r>
      <w:r>
        <w:rPr>
          <w:rFonts w:ascii="Times New Roman" w:hAnsi="Times New Roman" w:cs="Times New Roman"/>
          <w:sz w:val="21"/>
          <w:szCs w:val="21"/>
        </w:rPr>
        <w:t xml:space="preserve"> </w:t>
      </w:r>
      <w:r w:rsidRPr="00FB39C2">
        <w:rPr>
          <w:rFonts w:ascii="Times New Roman" w:hAnsi="Times New Roman" w:cs="Times New Roman"/>
          <w:sz w:val="21"/>
          <w:szCs w:val="21"/>
        </w:rPr>
        <w:t>Д. Лук’янченко, В.</w:t>
      </w:r>
      <w:r>
        <w:rPr>
          <w:rFonts w:ascii="Times New Roman" w:hAnsi="Times New Roman" w:cs="Times New Roman"/>
          <w:sz w:val="21"/>
          <w:szCs w:val="21"/>
        </w:rPr>
        <w:t> П. </w:t>
      </w:r>
      <w:r w:rsidRPr="00FB39C2">
        <w:rPr>
          <w:rFonts w:ascii="Times New Roman" w:hAnsi="Times New Roman" w:cs="Times New Roman"/>
          <w:sz w:val="21"/>
          <w:szCs w:val="21"/>
        </w:rPr>
        <w:t>Антонюк, Л.</w:t>
      </w:r>
      <w:r>
        <w:rPr>
          <w:rFonts w:ascii="Times New Roman" w:hAnsi="Times New Roman" w:cs="Times New Roman"/>
          <w:sz w:val="21"/>
          <w:szCs w:val="21"/>
        </w:rPr>
        <w:t xml:space="preserve"> </w:t>
      </w:r>
      <w:r w:rsidRPr="00FB39C2">
        <w:rPr>
          <w:rFonts w:ascii="Times New Roman" w:hAnsi="Times New Roman" w:cs="Times New Roman"/>
          <w:sz w:val="21"/>
          <w:szCs w:val="21"/>
        </w:rPr>
        <w:t>В. Шаульська, Л.</w:t>
      </w:r>
      <w:r>
        <w:rPr>
          <w:rFonts w:ascii="Times New Roman" w:hAnsi="Times New Roman" w:cs="Times New Roman"/>
          <w:sz w:val="21"/>
          <w:szCs w:val="21"/>
        </w:rPr>
        <w:t xml:space="preserve"> </w:t>
      </w:r>
      <w:r w:rsidRPr="00FB39C2">
        <w:rPr>
          <w:rFonts w:ascii="Times New Roman" w:hAnsi="Times New Roman" w:cs="Times New Roman"/>
          <w:sz w:val="21"/>
          <w:szCs w:val="21"/>
        </w:rPr>
        <w:t>Л. Шамільова та ін.] / МОН України. Донецький нац. ун-т ; НАН України. Ін-т економіки пром-ті. – Донецьк, 2004. –340 с.</w:t>
      </w:r>
      <w:bookmarkEnd w:id="47"/>
    </w:p>
    <w:p w:rsidR="00B233DE" w:rsidRPr="004C14E7"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48" w:name="_Ref430594450"/>
      <w:r w:rsidRPr="007532CD">
        <w:rPr>
          <w:rFonts w:ascii="Times New Roman" w:hAnsi="Times New Roman" w:cs="Times New Roman"/>
          <w:sz w:val="21"/>
          <w:szCs w:val="21"/>
        </w:rPr>
        <w:t>Семів Л.</w:t>
      </w:r>
      <w:r>
        <w:rPr>
          <w:rFonts w:ascii="Times New Roman" w:hAnsi="Times New Roman" w:cs="Times New Roman"/>
          <w:sz w:val="21"/>
          <w:szCs w:val="21"/>
        </w:rPr>
        <w:t xml:space="preserve"> </w:t>
      </w:r>
      <w:r w:rsidRPr="007532CD">
        <w:rPr>
          <w:rFonts w:ascii="Times New Roman" w:hAnsi="Times New Roman" w:cs="Times New Roman"/>
          <w:sz w:val="21"/>
          <w:szCs w:val="21"/>
        </w:rPr>
        <w:t>К. Регіональна політика</w:t>
      </w:r>
      <w:r>
        <w:rPr>
          <w:rFonts w:ascii="Times New Roman" w:hAnsi="Times New Roman" w:cs="Times New Roman"/>
          <w:sz w:val="21"/>
          <w:szCs w:val="21"/>
        </w:rPr>
        <w:t xml:space="preserve"> : людський вимір : монографія</w:t>
      </w:r>
      <w:r w:rsidRPr="007532CD">
        <w:rPr>
          <w:rFonts w:ascii="Times New Roman" w:hAnsi="Times New Roman" w:cs="Times New Roman"/>
          <w:sz w:val="21"/>
          <w:szCs w:val="21"/>
        </w:rPr>
        <w:t xml:space="preserve"> / </w:t>
      </w:r>
      <w:r>
        <w:rPr>
          <w:rFonts w:ascii="Times New Roman" w:hAnsi="Times New Roman" w:cs="Times New Roman"/>
          <w:sz w:val="21"/>
          <w:szCs w:val="21"/>
        </w:rPr>
        <w:t>Л. К. Семів</w:t>
      </w:r>
      <w:r w:rsidRPr="007532CD">
        <w:rPr>
          <w:rFonts w:ascii="Times New Roman" w:hAnsi="Times New Roman" w:cs="Times New Roman"/>
          <w:sz w:val="21"/>
          <w:szCs w:val="21"/>
        </w:rPr>
        <w:t>. – Львів : ІРД НАН України, 2004. – 392 с.</w:t>
      </w:r>
      <w:bookmarkEnd w:id="48"/>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49" w:name="_Ref430593801"/>
      <w:r w:rsidRPr="002055BD">
        <w:rPr>
          <w:rFonts w:ascii="Times New Roman" w:hAnsi="Times New Roman" w:cs="Times New Roman"/>
          <w:sz w:val="21"/>
          <w:szCs w:val="21"/>
        </w:rPr>
        <w:t xml:space="preserve">Сен А. Развитие как свобода / </w:t>
      </w:r>
      <w:r>
        <w:rPr>
          <w:rFonts w:ascii="Times New Roman" w:hAnsi="Times New Roman" w:cs="Times New Roman"/>
          <w:sz w:val="21"/>
          <w:szCs w:val="21"/>
        </w:rPr>
        <w:t>А. Сен.</w:t>
      </w:r>
      <w:r w:rsidRPr="002055BD">
        <w:rPr>
          <w:rFonts w:ascii="Times New Roman" w:hAnsi="Times New Roman" w:cs="Times New Roman"/>
          <w:sz w:val="21"/>
          <w:szCs w:val="21"/>
        </w:rPr>
        <w:t xml:space="preserve"> – М. : Новое издательство, 2004. – 432 c.</w:t>
      </w:r>
      <w:bookmarkEnd w:id="49"/>
    </w:p>
    <w:p w:rsidR="00B233DE"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50" w:name="_Ref430595281"/>
      <w:r>
        <w:rPr>
          <w:rFonts w:ascii="Times New Roman" w:hAnsi="Times New Roman" w:cs="Times New Roman"/>
          <w:sz w:val="21"/>
          <w:szCs w:val="21"/>
        </w:rPr>
        <w:t>Сизоненко</w:t>
      </w:r>
      <w:r w:rsidRPr="00F11B95">
        <w:rPr>
          <w:rFonts w:ascii="Times New Roman" w:hAnsi="Times New Roman" w:cs="Times New Roman"/>
          <w:sz w:val="21"/>
          <w:szCs w:val="21"/>
        </w:rPr>
        <w:t xml:space="preserve"> В. Людський розвиток як передумова інтеграції України у світовий інноваційний простір / В. Сизоненко /</w:t>
      </w:r>
      <w:r>
        <w:rPr>
          <w:rFonts w:ascii="Times New Roman" w:hAnsi="Times New Roman" w:cs="Times New Roman"/>
          <w:sz w:val="21"/>
          <w:szCs w:val="21"/>
        </w:rPr>
        <w:t xml:space="preserve">/ </w:t>
      </w:r>
      <w:r w:rsidRPr="00F11B95">
        <w:rPr>
          <w:rFonts w:ascii="Times New Roman" w:hAnsi="Times New Roman" w:cs="Times New Roman"/>
          <w:sz w:val="21"/>
          <w:szCs w:val="21"/>
        </w:rPr>
        <w:t xml:space="preserve">Актуальні проблеми міжнародних відносин : зб. наук. пр. </w:t>
      </w:r>
      <w:r>
        <w:rPr>
          <w:rFonts w:ascii="Times New Roman" w:hAnsi="Times New Roman" w:cs="Times New Roman"/>
          <w:sz w:val="21"/>
          <w:szCs w:val="21"/>
        </w:rPr>
        <w:t>–</w:t>
      </w:r>
      <w:r w:rsidRPr="00F11B95">
        <w:rPr>
          <w:rFonts w:ascii="Times New Roman" w:hAnsi="Times New Roman" w:cs="Times New Roman"/>
          <w:sz w:val="21"/>
          <w:szCs w:val="21"/>
        </w:rPr>
        <w:t xml:space="preserve"> К. : Вип. 105 : ма</w:t>
      </w:r>
      <w:r>
        <w:rPr>
          <w:rFonts w:ascii="Times New Roman" w:hAnsi="Times New Roman" w:cs="Times New Roman"/>
          <w:sz w:val="21"/>
          <w:szCs w:val="21"/>
        </w:rPr>
        <w:t>теріали конф. : у 2 ч., Ч. 2 / «</w:t>
      </w:r>
      <w:r w:rsidRPr="00F11B95">
        <w:rPr>
          <w:rFonts w:ascii="Times New Roman" w:hAnsi="Times New Roman" w:cs="Times New Roman"/>
          <w:sz w:val="21"/>
          <w:szCs w:val="21"/>
        </w:rPr>
        <w:t>Україна у міжнародному бізнесі за 20 років нез</w:t>
      </w:r>
      <w:r>
        <w:rPr>
          <w:rFonts w:ascii="Times New Roman" w:hAnsi="Times New Roman" w:cs="Times New Roman"/>
          <w:sz w:val="21"/>
          <w:szCs w:val="21"/>
        </w:rPr>
        <w:t>алежності : досвід і перспективи»</w:t>
      </w:r>
      <w:r w:rsidRPr="00F11B95">
        <w:rPr>
          <w:rFonts w:ascii="Times New Roman" w:hAnsi="Times New Roman" w:cs="Times New Roman"/>
          <w:sz w:val="21"/>
          <w:szCs w:val="21"/>
        </w:rPr>
        <w:t xml:space="preserve">, міжнар. наук.-теорет. конф. (28 жовт. 2011 р. ; Київ). </w:t>
      </w:r>
      <w:r>
        <w:rPr>
          <w:rFonts w:ascii="Times New Roman" w:hAnsi="Times New Roman" w:cs="Times New Roman"/>
          <w:sz w:val="21"/>
          <w:szCs w:val="21"/>
        </w:rPr>
        <w:t>–</w:t>
      </w:r>
      <w:r w:rsidRPr="00F11B95">
        <w:rPr>
          <w:rFonts w:ascii="Times New Roman" w:hAnsi="Times New Roman" w:cs="Times New Roman"/>
          <w:sz w:val="21"/>
          <w:szCs w:val="21"/>
        </w:rPr>
        <w:t xml:space="preserve"> 2012.</w:t>
      </w:r>
      <w:r>
        <w:rPr>
          <w:rFonts w:ascii="Times New Roman" w:hAnsi="Times New Roman" w:cs="Times New Roman"/>
          <w:sz w:val="21"/>
          <w:szCs w:val="21"/>
        </w:rPr>
        <w:t xml:space="preserve"> – С</w:t>
      </w:r>
      <w:r w:rsidRPr="00F11B95">
        <w:rPr>
          <w:rFonts w:ascii="Times New Roman" w:hAnsi="Times New Roman" w:cs="Times New Roman"/>
          <w:sz w:val="21"/>
          <w:szCs w:val="21"/>
        </w:rPr>
        <w:t>.</w:t>
      </w:r>
      <w:r>
        <w:rPr>
          <w:rFonts w:ascii="Times New Roman" w:hAnsi="Times New Roman" w:cs="Times New Roman"/>
          <w:sz w:val="21"/>
          <w:szCs w:val="21"/>
        </w:rPr>
        <w:t xml:space="preserve"> </w:t>
      </w:r>
      <w:r w:rsidRPr="00F11B95">
        <w:rPr>
          <w:rFonts w:ascii="Times New Roman" w:hAnsi="Times New Roman" w:cs="Times New Roman"/>
          <w:sz w:val="21"/>
          <w:szCs w:val="21"/>
        </w:rPr>
        <w:t>129</w:t>
      </w:r>
      <w:r>
        <w:rPr>
          <w:rFonts w:ascii="Times New Roman" w:hAnsi="Times New Roman" w:cs="Times New Roman"/>
          <w:sz w:val="21"/>
          <w:szCs w:val="21"/>
        </w:rPr>
        <w:t>–</w:t>
      </w:r>
      <w:r w:rsidRPr="00F11B95">
        <w:rPr>
          <w:rFonts w:ascii="Times New Roman" w:hAnsi="Times New Roman" w:cs="Times New Roman"/>
          <w:sz w:val="21"/>
          <w:szCs w:val="21"/>
        </w:rPr>
        <w:t>135</w:t>
      </w:r>
      <w:r>
        <w:rPr>
          <w:rFonts w:ascii="Times New Roman" w:hAnsi="Times New Roman" w:cs="Times New Roman"/>
          <w:sz w:val="21"/>
          <w:szCs w:val="21"/>
        </w:rPr>
        <w:t>.</w:t>
      </w:r>
      <w:bookmarkEnd w:id="50"/>
    </w:p>
    <w:p w:rsidR="00B233DE"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51" w:name="_Ref430595466"/>
      <w:r w:rsidRPr="009B21B6">
        <w:rPr>
          <w:rFonts w:ascii="Times New Roman" w:hAnsi="Times New Roman" w:cs="Times New Roman"/>
          <w:sz w:val="21"/>
          <w:szCs w:val="21"/>
        </w:rPr>
        <w:t xml:space="preserve">Симончук О. В. Середній клас у соціальній структурі українського суспільства </w:t>
      </w:r>
      <w:r>
        <w:rPr>
          <w:rFonts w:ascii="Times New Roman" w:hAnsi="Times New Roman" w:cs="Times New Roman"/>
          <w:sz w:val="21"/>
          <w:szCs w:val="21"/>
        </w:rPr>
        <w:t xml:space="preserve">/ О. В. Симончук </w:t>
      </w:r>
      <w:r w:rsidRPr="009B21B6">
        <w:rPr>
          <w:rFonts w:ascii="Times New Roman" w:hAnsi="Times New Roman" w:cs="Times New Roman"/>
          <w:sz w:val="21"/>
          <w:szCs w:val="21"/>
        </w:rPr>
        <w:t>// Структурні виміри сучасного суспільства</w:t>
      </w:r>
      <w:r>
        <w:rPr>
          <w:rFonts w:ascii="Times New Roman" w:hAnsi="Times New Roman" w:cs="Times New Roman"/>
          <w:sz w:val="21"/>
          <w:szCs w:val="21"/>
        </w:rPr>
        <w:t xml:space="preserve"> </w:t>
      </w:r>
      <w:r w:rsidRPr="009B21B6">
        <w:rPr>
          <w:rFonts w:ascii="Times New Roman" w:hAnsi="Times New Roman" w:cs="Times New Roman"/>
          <w:sz w:val="21"/>
          <w:szCs w:val="21"/>
        </w:rPr>
        <w:t>: Навчальний посібник / За ред. С.</w:t>
      </w:r>
      <w:r>
        <w:rPr>
          <w:rFonts w:ascii="Times New Roman" w:hAnsi="Times New Roman" w:cs="Times New Roman"/>
          <w:sz w:val="21"/>
          <w:szCs w:val="21"/>
        </w:rPr>
        <w:t xml:space="preserve"> Макеєва. –</w:t>
      </w:r>
      <w:r w:rsidRPr="009B21B6">
        <w:rPr>
          <w:rFonts w:ascii="Times New Roman" w:hAnsi="Times New Roman" w:cs="Times New Roman"/>
          <w:sz w:val="21"/>
          <w:szCs w:val="21"/>
        </w:rPr>
        <w:t xml:space="preserve"> К.</w:t>
      </w:r>
      <w:r>
        <w:rPr>
          <w:rFonts w:ascii="Times New Roman" w:hAnsi="Times New Roman" w:cs="Times New Roman"/>
          <w:sz w:val="21"/>
          <w:szCs w:val="21"/>
        </w:rPr>
        <w:t xml:space="preserve"> </w:t>
      </w:r>
      <w:r w:rsidRPr="009B21B6">
        <w:rPr>
          <w:rFonts w:ascii="Times New Roman" w:hAnsi="Times New Roman" w:cs="Times New Roman"/>
          <w:sz w:val="21"/>
          <w:szCs w:val="21"/>
        </w:rPr>
        <w:t>: Інститут</w:t>
      </w:r>
      <w:r>
        <w:rPr>
          <w:rFonts w:ascii="Times New Roman" w:hAnsi="Times New Roman" w:cs="Times New Roman"/>
          <w:sz w:val="21"/>
          <w:szCs w:val="21"/>
        </w:rPr>
        <w:t xml:space="preserve"> соціології НАН України, 2006. –</w:t>
      </w:r>
      <w:r w:rsidRPr="009B21B6">
        <w:rPr>
          <w:rFonts w:ascii="Times New Roman" w:hAnsi="Times New Roman" w:cs="Times New Roman"/>
          <w:sz w:val="21"/>
          <w:szCs w:val="21"/>
        </w:rPr>
        <w:t xml:space="preserve"> С. 209–243</w:t>
      </w:r>
      <w:r>
        <w:rPr>
          <w:rFonts w:ascii="Times New Roman" w:hAnsi="Times New Roman" w:cs="Times New Roman"/>
          <w:sz w:val="21"/>
          <w:szCs w:val="21"/>
        </w:rPr>
        <w:t>.</w:t>
      </w:r>
      <w:bookmarkEnd w:id="51"/>
    </w:p>
    <w:p w:rsidR="00B233DE"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52" w:name="_Ref430595478"/>
      <w:r w:rsidRPr="009B21B6">
        <w:rPr>
          <w:rFonts w:ascii="Times New Roman" w:hAnsi="Times New Roman" w:cs="Times New Roman"/>
          <w:sz w:val="21"/>
          <w:szCs w:val="21"/>
        </w:rPr>
        <w:t>Сімченко Н. О. Соціальний капітал</w:t>
      </w:r>
      <w:r>
        <w:rPr>
          <w:rFonts w:ascii="Times New Roman" w:hAnsi="Times New Roman" w:cs="Times New Roman"/>
          <w:sz w:val="21"/>
          <w:szCs w:val="21"/>
        </w:rPr>
        <w:t xml:space="preserve"> </w:t>
      </w:r>
      <w:r w:rsidRPr="009B21B6">
        <w:rPr>
          <w:rFonts w:ascii="Times New Roman" w:hAnsi="Times New Roman" w:cs="Times New Roman"/>
          <w:sz w:val="21"/>
          <w:szCs w:val="21"/>
        </w:rPr>
        <w:t>: феноменологічна природа, форми прояву, конкурент</w:t>
      </w:r>
      <w:r>
        <w:rPr>
          <w:rFonts w:ascii="Times New Roman" w:hAnsi="Times New Roman" w:cs="Times New Roman"/>
          <w:sz w:val="21"/>
          <w:szCs w:val="21"/>
        </w:rPr>
        <w:t>оспроможність : монографія / [Н. </w:t>
      </w:r>
      <w:r w:rsidRPr="009B21B6">
        <w:rPr>
          <w:rFonts w:ascii="Times New Roman" w:hAnsi="Times New Roman" w:cs="Times New Roman"/>
          <w:sz w:val="21"/>
          <w:szCs w:val="21"/>
        </w:rPr>
        <w:t xml:space="preserve">О. Сімченко, С. Ю. Солодовников, О. А. Гавриш, </w:t>
      </w:r>
      <w:r>
        <w:rPr>
          <w:rFonts w:ascii="Times New Roman" w:hAnsi="Times New Roman" w:cs="Times New Roman"/>
          <w:sz w:val="21"/>
          <w:szCs w:val="21"/>
        </w:rPr>
        <w:t>та ін.] ; ред. : О. О. Охріменко</w:t>
      </w:r>
      <w:r w:rsidRPr="009B21B6">
        <w:rPr>
          <w:rFonts w:ascii="Times New Roman" w:hAnsi="Times New Roman" w:cs="Times New Roman"/>
          <w:sz w:val="21"/>
          <w:szCs w:val="21"/>
        </w:rPr>
        <w:t xml:space="preserve">. </w:t>
      </w:r>
      <w:r>
        <w:rPr>
          <w:rFonts w:ascii="Times New Roman" w:hAnsi="Times New Roman" w:cs="Times New Roman"/>
          <w:sz w:val="21"/>
          <w:szCs w:val="21"/>
        </w:rPr>
        <w:t>–</w:t>
      </w:r>
      <w:r w:rsidRPr="009B21B6">
        <w:rPr>
          <w:rFonts w:ascii="Times New Roman" w:hAnsi="Times New Roman" w:cs="Times New Roman"/>
          <w:sz w:val="21"/>
          <w:szCs w:val="21"/>
        </w:rPr>
        <w:t xml:space="preserve"> К</w:t>
      </w:r>
      <w:r>
        <w:rPr>
          <w:rFonts w:ascii="Times New Roman" w:hAnsi="Times New Roman" w:cs="Times New Roman"/>
          <w:sz w:val="21"/>
          <w:szCs w:val="21"/>
        </w:rPr>
        <w:t>иїв : НТУУ «КПІ»</w:t>
      </w:r>
      <w:r w:rsidRPr="009B21B6">
        <w:rPr>
          <w:rFonts w:ascii="Times New Roman" w:hAnsi="Times New Roman" w:cs="Times New Roman"/>
          <w:sz w:val="21"/>
          <w:szCs w:val="21"/>
        </w:rPr>
        <w:t xml:space="preserve">, 2014. </w:t>
      </w:r>
      <w:r>
        <w:rPr>
          <w:rFonts w:ascii="Times New Roman" w:hAnsi="Times New Roman" w:cs="Times New Roman"/>
          <w:sz w:val="21"/>
          <w:szCs w:val="21"/>
        </w:rPr>
        <w:t>–</w:t>
      </w:r>
      <w:r w:rsidRPr="009B21B6">
        <w:rPr>
          <w:rFonts w:ascii="Times New Roman" w:hAnsi="Times New Roman" w:cs="Times New Roman"/>
          <w:sz w:val="21"/>
          <w:szCs w:val="21"/>
        </w:rPr>
        <w:t xml:space="preserve"> 411 </w:t>
      </w:r>
      <w:r w:rsidRPr="00F11B95">
        <w:rPr>
          <w:rFonts w:ascii="Times New Roman" w:hAnsi="Times New Roman" w:cs="Times New Roman"/>
          <w:sz w:val="21"/>
          <w:szCs w:val="21"/>
          <w:lang w:val="ru-RU"/>
        </w:rPr>
        <w:t>c</w:t>
      </w:r>
      <w:r w:rsidRPr="009B21B6">
        <w:rPr>
          <w:rFonts w:ascii="Times New Roman" w:hAnsi="Times New Roman" w:cs="Times New Roman"/>
          <w:sz w:val="21"/>
          <w:szCs w:val="21"/>
        </w:rPr>
        <w:t>.</w:t>
      </w:r>
      <w:bookmarkEnd w:id="52"/>
    </w:p>
    <w:p w:rsidR="00B233DE"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53" w:name="_Ref430593702"/>
      <w:r w:rsidRPr="002055BD">
        <w:rPr>
          <w:rFonts w:ascii="Times New Roman" w:hAnsi="Times New Roman" w:cs="Times New Roman"/>
          <w:spacing w:val="-4"/>
          <w:sz w:val="21"/>
          <w:szCs w:val="21"/>
        </w:rPr>
        <w:t xml:space="preserve">Смит А. Исследование о природе и причинах богатства народов / </w:t>
      </w:r>
      <w:r>
        <w:rPr>
          <w:rFonts w:ascii="Times New Roman" w:hAnsi="Times New Roman" w:cs="Times New Roman"/>
          <w:spacing w:val="-4"/>
          <w:sz w:val="21"/>
          <w:szCs w:val="21"/>
        </w:rPr>
        <w:t xml:space="preserve">А. Смит. </w:t>
      </w:r>
      <w:r w:rsidRPr="002055BD">
        <w:rPr>
          <w:rFonts w:ascii="Times New Roman" w:hAnsi="Times New Roman" w:cs="Times New Roman"/>
          <w:spacing w:val="-4"/>
          <w:sz w:val="21"/>
          <w:szCs w:val="21"/>
        </w:rPr>
        <w:t>– М. : Эксмо, 2007. – 960 с. – (Серия: Антология экономической мысли).</w:t>
      </w:r>
      <w:bookmarkEnd w:id="53"/>
    </w:p>
    <w:p w:rsidR="00B233DE"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54" w:name="_Ref430594805"/>
      <w:r w:rsidRPr="00FB39C2">
        <w:rPr>
          <w:rFonts w:ascii="Times New Roman" w:hAnsi="Times New Roman" w:cs="Times New Roman"/>
          <w:spacing w:val="-9"/>
          <w:sz w:val="21"/>
          <w:szCs w:val="21"/>
        </w:rPr>
        <w:t>Соціально-трудовий потенціал</w:t>
      </w:r>
      <w:r>
        <w:rPr>
          <w:rFonts w:ascii="Times New Roman" w:hAnsi="Times New Roman" w:cs="Times New Roman"/>
          <w:spacing w:val="-9"/>
          <w:sz w:val="21"/>
          <w:szCs w:val="21"/>
        </w:rPr>
        <w:t xml:space="preserve"> </w:t>
      </w:r>
      <w:r w:rsidRPr="00FB39C2">
        <w:rPr>
          <w:rFonts w:ascii="Times New Roman" w:hAnsi="Times New Roman" w:cs="Times New Roman"/>
          <w:spacing w:val="-9"/>
          <w:sz w:val="21"/>
          <w:szCs w:val="21"/>
        </w:rPr>
        <w:t>: теорія і практика : у 2 ч. Ч. 1 / [</w:t>
      </w:r>
      <w:r>
        <w:rPr>
          <w:rFonts w:ascii="Times New Roman" w:hAnsi="Times New Roman" w:cs="Times New Roman"/>
          <w:spacing w:val="-9"/>
          <w:sz w:val="21"/>
          <w:szCs w:val="21"/>
        </w:rPr>
        <w:t>М. І. Долішній</w:t>
      </w:r>
      <w:r w:rsidRPr="00FB39C2">
        <w:rPr>
          <w:rFonts w:ascii="Times New Roman" w:hAnsi="Times New Roman" w:cs="Times New Roman"/>
          <w:spacing w:val="-9"/>
          <w:sz w:val="21"/>
          <w:szCs w:val="21"/>
        </w:rPr>
        <w:t xml:space="preserve">, </w:t>
      </w:r>
      <w:r>
        <w:rPr>
          <w:rFonts w:ascii="Times New Roman" w:hAnsi="Times New Roman" w:cs="Times New Roman"/>
          <w:spacing w:val="-9"/>
          <w:sz w:val="21"/>
          <w:szCs w:val="21"/>
        </w:rPr>
        <w:t>С. М. Злупко</w:t>
      </w:r>
      <w:r w:rsidRPr="00FB39C2">
        <w:rPr>
          <w:rFonts w:ascii="Times New Roman" w:hAnsi="Times New Roman" w:cs="Times New Roman"/>
          <w:spacing w:val="-9"/>
          <w:sz w:val="21"/>
          <w:szCs w:val="21"/>
        </w:rPr>
        <w:t xml:space="preserve"> та ін.]. – К. : Наук. думка, 1994. – 264 с.</w:t>
      </w:r>
      <w:bookmarkEnd w:id="54"/>
    </w:p>
    <w:p w:rsidR="00B233DE" w:rsidRPr="00D56F5A"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55" w:name="_Ref430594749"/>
      <w:r w:rsidRPr="00D56F5A">
        <w:rPr>
          <w:rFonts w:ascii="Times New Roman" w:hAnsi="Times New Roman" w:cs="Times New Roman"/>
          <w:sz w:val="21"/>
          <w:szCs w:val="21"/>
        </w:rPr>
        <w:t>Стефанишин О.</w:t>
      </w:r>
      <w:r>
        <w:rPr>
          <w:rFonts w:ascii="Times New Roman" w:hAnsi="Times New Roman" w:cs="Times New Roman"/>
          <w:sz w:val="21"/>
          <w:szCs w:val="21"/>
        </w:rPr>
        <w:t xml:space="preserve"> </w:t>
      </w:r>
      <w:r w:rsidRPr="00D56F5A">
        <w:rPr>
          <w:rFonts w:ascii="Times New Roman" w:hAnsi="Times New Roman" w:cs="Times New Roman"/>
          <w:sz w:val="21"/>
          <w:szCs w:val="21"/>
        </w:rPr>
        <w:t>В. Людський потенціал</w:t>
      </w:r>
      <w:r>
        <w:rPr>
          <w:rFonts w:ascii="Times New Roman" w:hAnsi="Times New Roman" w:cs="Times New Roman"/>
          <w:sz w:val="21"/>
          <w:szCs w:val="21"/>
        </w:rPr>
        <w:t xml:space="preserve"> економіки України : монографія</w:t>
      </w:r>
      <w:r w:rsidRPr="00D56F5A">
        <w:rPr>
          <w:rFonts w:ascii="Times New Roman" w:hAnsi="Times New Roman" w:cs="Times New Roman"/>
          <w:sz w:val="21"/>
          <w:szCs w:val="21"/>
        </w:rPr>
        <w:t>. – Львів : Видав. центр ЛНУ ім. Івана Франка, 2006. – 315 с.</w:t>
      </w:r>
      <w:bookmarkEnd w:id="55"/>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56" w:name="_Ref430594904"/>
      <w:r w:rsidRPr="00D56F5A">
        <w:rPr>
          <w:rFonts w:ascii="Times New Roman" w:hAnsi="Times New Roman" w:cs="Times New Roman"/>
          <w:sz w:val="21"/>
          <w:szCs w:val="21"/>
        </w:rPr>
        <w:t>Стефанишин О. В. Людський потенціал ринкової економіки України / О. В. Стефанишин // Науковий вісник НЛТУУ</w:t>
      </w:r>
      <w:r>
        <w:rPr>
          <w:rFonts w:ascii="Times New Roman" w:hAnsi="Times New Roman" w:cs="Times New Roman"/>
          <w:sz w:val="21"/>
          <w:szCs w:val="21"/>
        </w:rPr>
        <w:t xml:space="preserve"> </w:t>
      </w:r>
      <w:r w:rsidRPr="00D56F5A">
        <w:rPr>
          <w:rFonts w:ascii="Times New Roman" w:hAnsi="Times New Roman" w:cs="Times New Roman"/>
          <w:sz w:val="21"/>
          <w:szCs w:val="21"/>
        </w:rPr>
        <w:t>: Зб. наук-техн. праць.</w:t>
      </w:r>
      <w:r>
        <w:rPr>
          <w:rFonts w:ascii="Times New Roman" w:hAnsi="Times New Roman" w:cs="Times New Roman"/>
          <w:sz w:val="21"/>
          <w:szCs w:val="21"/>
        </w:rPr>
        <w:t xml:space="preserve"> –</w:t>
      </w:r>
      <w:r w:rsidRPr="00D56F5A">
        <w:rPr>
          <w:rFonts w:ascii="Times New Roman" w:hAnsi="Times New Roman" w:cs="Times New Roman"/>
          <w:sz w:val="21"/>
          <w:szCs w:val="21"/>
        </w:rPr>
        <w:t xml:space="preserve"> 2006. – Вип. 16.1. –</w:t>
      </w:r>
      <w:r>
        <w:rPr>
          <w:rFonts w:ascii="Times New Roman" w:hAnsi="Times New Roman" w:cs="Times New Roman"/>
          <w:sz w:val="21"/>
          <w:szCs w:val="21"/>
        </w:rPr>
        <w:t xml:space="preserve"> С</w:t>
      </w:r>
      <w:r w:rsidRPr="00D56F5A">
        <w:rPr>
          <w:rFonts w:ascii="Times New Roman" w:hAnsi="Times New Roman" w:cs="Times New Roman"/>
          <w:sz w:val="21"/>
          <w:szCs w:val="21"/>
        </w:rPr>
        <w:t>. 276</w:t>
      </w:r>
      <w:r>
        <w:rPr>
          <w:rFonts w:ascii="Times New Roman" w:hAnsi="Times New Roman" w:cs="Times New Roman"/>
          <w:sz w:val="21"/>
          <w:szCs w:val="21"/>
        </w:rPr>
        <w:t>–</w:t>
      </w:r>
      <w:r w:rsidRPr="00D56F5A">
        <w:rPr>
          <w:rFonts w:ascii="Times New Roman" w:hAnsi="Times New Roman" w:cs="Times New Roman"/>
          <w:sz w:val="21"/>
          <w:szCs w:val="21"/>
        </w:rPr>
        <w:t>184</w:t>
      </w:r>
      <w:bookmarkEnd w:id="56"/>
    </w:p>
    <w:p w:rsidR="00B233DE" w:rsidRPr="00A104FF"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57" w:name="_Ref430595214"/>
      <w:r w:rsidRPr="00F11B95">
        <w:rPr>
          <w:rFonts w:ascii="Times New Roman" w:hAnsi="Times New Roman" w:cs="Times New Roman"/>
          <w:sz w:val="21"/>
          <w:szCs w:val="21"/>
        </w:rPr>
        <w:t xml:space="preserve">Стратегія розвитку інформаційного суспільства в Україні [схвалено розпорядженням Кабінету Міністрів України від </w:t>
      </w:r>
      <w:r w:rsidRPr="00F11B95">
        <w:rPr>
          <w:rFonts w:ascii="Times New Roman" w:hAnsi="Times New Roman" w:cs="Times New Roman"/>
          <w:sz w:val="21"/>
          <w:szCs w:val="21"/>
        </w:rPr>
        <w:lastRenderedPageBreak/>
        <w:t xml:space="preserve">15 травня 2013 р. </w:t>
      </w:r>
      <w:r w:rsidRPr="00F11B95">
        <w:rPr>
          <w:rFonts w:ascii="Times New Roman" w:hAnsi="Times New Roman" w:cs="Times New Roman"/>
          <w:smallCaps/>
          <w:sz w:val="21"/>
          <w:szCs w:val="21"/>
          <w:lang w:bidi="en-US"/>
        </w:rPr>
        <w:t>№ 386-р</w:t>
      </w:r>
      <w:r w:rsidRPr="00F11B95">
        <w:rPr>
          <w:rFonts w:ascii="Times New Roman" w:hAnsi="Times New Roman" w:cs="Times New Roman"/>
          <w:sz w:val="21"/>
          <w:szCs w:val="21"/>
        </w:rPr>
        <w:t xml:space="preserve">] [Електронний ресурс]. – Режим доступу: </w:t>
      </w:r>
      <w:hyperlink r:id="rId14" w:history="1">
        <w:r w:rsidRPr="00A104FF">
          <w:rPr>
            <w:rStyle w:val="aff"/>
            <w:rFonts w:ascii="Times New Roman" w:eastAsia="Calibri" w:hAnsi="Times New Roman" w:cs="Times New Roman"/>
            <w:color w:val="auto"/>
            <w:sz w:val="21"/>
            <w:szCs w:val="21"/>
            <w:u w:val="none"/>
          </w:rPr>
          <w:t>http://zakon2.rada.gov.ua/laws/show/386-2013-р/page</w:t>
        </w:r>
      </w:hyperlink>
      <w:bookmarkEnd w:id="57"/>
    </w:p>
    <w:p w:rsidR="00B233DE" w:rsidRPr="00AA6D16"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58" w:name="_Ref430595084"/>
      <w:r w:rsidRPr="00F11B95">
        <w:rPr>
          <w:rFonts w:ascii="Times New Roman" w:hAnsi="Times New Roman" w:cs="Times New Roman"/>
          <w:bCs/>
          <w:sz w:val="21"/>
          <w:szCs w:val="21"/>
        </w:rPr>
        <w:t>Тоффлер Э. Метаморфозы власти</w:t>
      </w:r>
      <w:r>
        <w:rPr>
          <w:rFonts w:ascii="Times New Roman" w:hAnsi="Times New Roman" w:cs="Times New Roman"/>
          <w:bCs/>
          <w:sz w:val="21"/>
          <w:szCs w:val="21"/>
        </w:rPr>
        <w:t xml:space="preserve"> </w:t>
      </w:r>
      <w:r>
        <w:rPr>
          <w:rFonts w:ascii="Times New Roman" w:hAnsi="Times New Roman" w:cs="Times New Roman"/>
          <w:sz w:val="21"/>
          <w:szCs w:val="21"/>
        </w:rPr>
        <w:t>: Пер. с англ. / Э. Тоффлер. –</w:t>
      </w:r>
      <w:r w:rsidRPr="00F11B95">
        <w:rPr>
          <w:rFonts w:ascii="Times New Roman" w:hAnsi="Times New Roman" w:cs="Times New Roman"/>
          <w:sz w:val="21"/>
          <w:szCs w:val="21"/>
        </w:rPr>
        <w:t xml:space="preserve"> М.</w:t>
      </w:r>
      <w:r>
        <w:rPr>
          <w:rFonts w:ascii="Times New Roman" w:hAnsi="Times New Roman" w:cs="Times New Roman"/>
          <w:sz w:val="21"/>
          <w:szCs w:val="21"/>
        </w:rPr>
        <w:t xml:space="preserve"> : ACT, 2003. –</w:t>
      </w:r>
      <w:r w:rsidRPr="00F11B95">
        <w:rPr>
          <w:rFonts w:ascii="Times New Roman" w:hAnsi="Times New Roman" w:cs="Times New Roman"/>
          <w:sz w:val="21"/>
          <w:szCs w:val="21"/>
        </w:rPr>
        <w:t xml:space="preserve"> 669 с.</w:t>
      </w:r>
      <w:bookmarkEnd w:id="58"/>
    </w:p>
    <w:p w:rsidR="00B233DE" w:rsidRPr="00AA6D16"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59" w:name="_Ref430595066"/>
      <w:r w:rsidRPr="00F11B95">
        <w:rPr>
          <w:rFonts w:ascii="Times New Roman" w:hAnsi="Times New Roman" w:cs="Times New Roman"/>
          <w:sz w:val="21"/>
          <w:szCs w:val="21"/>
        </w:rPr>
        <w:t xml:space="preserve">Тоффлер </w:t>
      </w:r>
      <w:r w:rsidRPr="00F11B95">
        <w:rPr>
          <w:rFonts w:ascii="Times New Roman" w:hAnsi="Times New Roman" w:cs="Times New Roman"/>
          <w:sz w:val="21"/>
          <w:szCs w:val="21"/>
          <w:lang w:val="ru-RU"/>
        </w:rPr>
        <w:t>Э. Третья волна</w:t>
      </w:r>
      <w:r>
        <w:rPr>
          <w:rFonts w:ascii="Times New Roman" w:hAnsi="Times New Roman" w:cs="Times New Roman"/>
          <w:sz w:val="21"/>
          <w:szCs w:val="21"/>
          <w:lang w:val="ru-RU"/>
        </w:rPr>
        <w:t xml:space="preserve"> / Э. Тоффлер.</w:t>
      </w:r>
      <w:r w:rsidRPr="00F11B95">
        <w:rPr>
          <w:rFonts w:ascii="Times New Roman" w:hAnsi="Times New Roman" w:cs="Times New Roman"/>
          <w:sz w:val="21"/>
          <w:szCs w:val="21"/>
          <w:lang w:val="ru-RU"/>
        </w:rPr>
        <w:t xml:space="preserve"> – М., 1995. –349</w:t>
      </w:r>
      <w:r>
        <w:rPr>
          <w:rFonts w:ascii="Times New Roman" w:hAnsi="Times New Roman" w:cs="Times New Roman"/>
          <w:sz w:val="21"/>
          <w:szCs w:val="21"/>
          <w:lang w:val="ru-RU"/>
        </w:rPr>
        <w:t xml:space="preserve"> с.</w:t>
      </w:r>
      <w:bookmarkEnd w:id="59"/>
    </w:p>
    <w:p w:rsidR="00B233DE" w:rsidRPr="00D56F5A"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60" w:name="_Ref430594534"/>
      <w:r w:rsidRPr="00D56F5A">
        <w:rPr>
          <w:rFonts w:ascii="Times New Roman" w:hAnsi="Times New Roman" w:cs="Times New Roman"/>
          <w:sz w:val="21"/>
          <w:szCs w:val="21"/>
        </w:rPr>
        <w:t>Трубич С.</w:t>
      </w:r>
      <w:r>
        <w:rPr>
          <w:rFonts w:ascii="Times New Roman" w:hAnsi="Times New Roman" w:cs="Times New Roman"/>
          <w:sz w:val="21"/>
          <w:szCs w:val="21"/>
        </w:rPr>
        <w:t xml:space="preserve"> </w:t>
      </w:r>
      <w:r w:rsidRPr="00D56F5A">
        <w:rPr>
          <w:rFonts w:ascii="Times New Roman" w:hAnsi="Times New Roman" w:cs="Times New Roman"/>
          <w:sz w:val="21"/>
          <w:szCs w:val="21"/>
        </w:rPr>
        <w:t>Ю. Соціально-економічна сутність та особливості формування людського потенціалу / С.</w:t>
      </w:r>
      <w:r>
        <w:rPr>
          <w:rFonts w:ascii="Times New Roman" w:hAnsi="Times New Roman" w:cs="Times New Roman"/>
          <w:sz w:val="21"/>
          <w:szCs w:val="21"/>
        </w:rPr>
        <w:t xml:space="preserve"> Ю. Трубич, </w:t>
      </w:r>
      <w:r w:rsidRPr="00D56F5A">
        <w:rPr>
          <w:rFonts w:ascii="Times New Roman" w:hAnsi="Times New Roman" w:cs="Times New Roman"/>
          <w:sz w:val="21"/>
          <w:szCs w:val="21"/>
        </w:rPr>
        <w:t>З.</w:t>
      </w:r>
      <w:r>
        <w:rPr>
          <w:rFonts w:ascii="Times New Roman" w:hAnsi="Times New Roman" w:cs="Times New Roman"/>
          <w:sz w:val="21"/>
          <w:szCs w:val="21"/>
        </w:rPr>
        <w:t> </w:t>
      </w:r>
      <w:r w:rsidRPr="00D56F5A">
        <w:rPr>
          <w:rFonts w:ascii="Times New Roman" w:hAnsi="Times New Roman" w:cs="Times New Roman"/>
          <w:sz w:val="21"/>
          <w:szCs w:val="21"/>
        </w:rPr>
        <w:t>М. Пушкар // Актуальні проблеми економіки. – 2006. – № 4(58). – С. 186–192</w:t>
      </w:r>
      <w:bookmarkEnd w:id="60"/>
    </w:p>
    <w:p w:rsidR="00B233DE" w:rsidRPr="004C14E7"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61" w:name="_Ref430594036"/>
      <w:r w:rsidRPr="002055BD">
        <w:rPr>
          <w:rFonts w:ascii="Times New Roman" w:hAnsi="Times New Roman" w:cs="Times New Roman"/>
          <w:sz w:val="21"/>
          <w:szCs w:val="21"/>
        </w:rPr>
        <w:t>Управління підприємством</w:t>
      </w:r>
      <w:r>
        <w:rPr>
          <w:rFonts w:ascii="Times New Roman" w:hAnsi="Times New Roman" w:cs="Times New Roman"/>
          <w:sz w:val="21"/>
          <w:szCs w:val="21"/>
        </w:rPr>
        <w:t xml:space="preserve"> </w:t>
      </w:r>
      <w:r w:rsidRPr="002055BD">
        <w:rPr>
          <w:rFonts w:ascii="Times New Roman" w:hAnsi="Times New Roman" w:cs="Times New Roman"/>
          <w:sz w:val="21"/>
          <w:szCs w:val="21"/>
        </w:rPr>
        <w:t>: організаційно-економічний аспект : монографія / за</w:t>
      </w:r>
      <w:r>
        <w:rPr>
          <w:rFonts w:ascii="Times New Roman" w:hAnsi="Times New Roman" w:cs="Times New Roman"/>
          <w:sz w:val="21"/>
          <w:szCs w:val="21"/>
        </w:rPr>
        <w:t xml:space="preserve"> ред. д-ра екон. наук, проф. В. </w:t>
      </w:r>
      <w:r w:rsidRPr="002055BD">
        <w:rPr>
          <w:rFonts w:ascii="Times New Roman" w:hAnsi="Times New Roman" w:cs="Times New Roman"/>
          <w:sz w:val="21"/>
          <w:szCs w:val="21"/>
        </w:rPr>
        <w:t>М. Нижника, канд. екон. наук, доц. М. В. Нік</w:t>
      </w:r>
      <w:r>
        <w:rPr>
          <w:rFonts w:ascii="Times New Roman" w:hAnsi="Times New Roman" w:cs="Times New Roman"/>
          <w:sz w:val="21"/>
          <w:szCs w:val="21"/>
        </w:rPr>
        <w:t>олайчука. – Хмельницький : ХНУ, 2010. –</w:t>
      </w:r>
      <w:r w:rsidRPr="002055BD">
        <w:rPr>
          <w:rFonts w:ascii="Times New Roman" w:hAnsi="Times New Roman" w:cs="Times New Roman"/>
          <w:sz w:val="21"/>
          <w:szCs w:val="21"/>
        </w:rPr>
        <w:t xml:space="preserve"> 389 с.</w:t>
      </w:r>
      <w:bookmarkEnd w:id="61"/>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62" w:name="_Ref430594589"/>
      <w:r w:rsidRPr="007532CD">
        <w:rPr>
          <w:rFonts w:ascii="Times New Roman" w:hAnsi="Times New Roman" w:cs="Times New Roman"/>
          <w:sz w:val="21"/>
          <w:szCs w:val="21"/>
        </w:rPr>
        <w:t>Управління трудовим потенціалом : навч. посіб. /</w:t>
      </w:r>
      <w:r w:rsidRPr="007532CD">
        <w:rPr>
          <w:rFonts w:ascii="Times New Roman" w:hAnsi="Times New Roman" w:cs="Times New Roman"/>
          <w:spacing w:val="-9"/>
          <w:sz w:val="21"/>
          <w:szCs w:val="21"/>
        </w:rPr>
        <w:t xml:space="preserve"> [</w:t>
      </w:r>
      <w:r>
        <w:rPr>
          <w:rFonts w:ascii="Times New Roman" w:hAnsi="Times New Roman" w:cs="Times New Roman"/>
          <w:spacing w:val="-9"/>
          <w:sz w:val="21"/>
          <w:szCs w:val="21"/>
        </w:rPr>
        <w:t>В. Васильченко</w:t>
      </w:r>
      <w:r w:rsidRPr="007532CD">
        <w:rPr>
          <w:rFonts w:ascii="Times New Roman" w:hAnsi="Times New Roman" w:cs="Times New Roman"/>
          <w:spacing w:val="-9"/>
          <w:sz w:val="21"/>
          <w:szCs w:val="21"/>
        </w:rPr>
        <w:t xml:space="preserve">, </w:t>
      </w:r>
      <w:r>
        <w:rPr>
          <w:rFonts w:ascii="Times New Roman" w:hAnsi="Times New Roman" w:cs="Times New Roman"/>
          <w:spacing w:val="-9"/>
          <w:sz w:val="21"/>
          <w:szCs w:val="21"/>
        </w:rPr>
        <w:t>А. Гриненко</w:t>
      </w:r>
      <w:r w:rsidRPr="007532CD">
        <w:rPr>
          <w:rFonts w:ascii="Times New Roman" w:hAnsi="Times New Roman" w:cs="Times New Roman"/>
          <w:spacing w:val="-9"/>
          <w:sz w:val="21"/>
          <w:szCs w:val="21"/>
        </w:rPr>
        <w:t xml:space="preserve">, </w:t>
      </w:r>
      <w:r>
        <w:rPr>
          <w:rFonts w:ascii="Times New Roman" w:hAnsi="Times New Roman" w:cs="Times New Roman"/>
          <w:spacing w:val="-9"/>
          <w:sz w:val="21"/>
          <w:szCs w:val="21"/>
        </w:rPr>
        <w:t>О. Грішнова</w:t>
      </w:r>
      <w:r w:rsidRPr="007532CD">
        <w:rPr>
          <w:rFonts w:ascii="Times New Roman" w:hAnsi="Times New Roman" w:cs="Times New Roman"/>
          <w:spacing w:val="-9"/>
          <w:sz w:val="21"/>
          <w:szCs w:val="21"/>
        </w:rPr>
        <w:t xml:space="preserve">, </w:t>
      </w:r>
      <w:r>
        <w:rPr>
          <w:rFonts w:ascii="Times New Roman" w:hAnsi="Times New Roman" w:cs="Times New Roman"/>
          <w:spacing w:val="-9"/>
          <w:sz w:val="21"/>
          <w:szCs w:val="21"/>
        </w:rPr>
        <w:t>Л. Керб</w:t>
      </w:r>
      <w:r w:rsidRPr="007532CD">
        <w:rPr>
          <w:rFonts w:ascii="Times New Roman" w:hAnsi="Times New Roman" w:cs="Times New Roman"/>
          <w:sz w:val="21"/>
          <w:szCs w:val="21"/>
        </w:rPr>
        <w:t>]</w:t>
      </w:r>
      <w:r w:rsidRPr="007532CD">
        <w:rPr>
          <w:rFonts w:ascii="Times New Roman" w:hAnsi="Times New Roman" w:cs="Times New Roman"/>
          <w:spacing w:val="4"/>
          <w:sz w:val="21"/>
          <w:szCs w:val="21"/>
        </w:rPr>
        <w:t>. – К. :</w:t>
      </w:r>
      <w:r w:rsidRPr="007532CD">
        <w:rPr>
          <w:rFonts w:ascii="Times New Roman" w:hAnsi="Times New Roman" w:cs="Times New Roman"/>
          <w:sz w:val="21"/>
          <w:szCs w:val="21"/>
        </w:rPr>
        <w:t xml:space="preserve"> КНЕУ, 2005. – </w:t>
      </w:r>
      <w:r>
        <w:rPr>
          <w:rFonts w:ascii="Times New Roman" w:hAnsi="Times New Roman" w:cs="Times New Roman"/>
          <w:sz w:val="21"/>
          <w:szCs w:val="21"/>
        </w:rPr>
        <w:t>466 с</w:t>
      </w:r>
      <w:r w:rsidRPr="007532CD">
        <w:rPr>
          <w:rFonts w:ascii="Times New Roman" w:hAnsi="Times New Roman" w:cs="Times New Roman"/>
          <w:sz w:val="21"/>
          <w:szCs w:val="21"/>
        </w:rPr>
        <w:t>.</w:t>
      </w:r>
      <w:bookmarkEnd w:id="62"/>
    </w:p>
    <w:p w:rsidR="00B233DE" w:rsidRPr="00F11B95"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63" w:name="_Ref430595060"/>
      <w:r w:rsidRPr="00F11B95">
        <w:rPr>
          <w:rFonts w:ascii="Times New Roman" w:hAnsi="Times New Roman" w:cs="Times New Roman"/>
          <w:sz w:val="21"/>
          <w:szCs w:val="21"/>
        </w:rPr>
        <w:t>Чухно А. А. Постіндустріальна економіка</w:t>
      </w:r>
      <w:r>
        <w:rPr>
          <w:rFonts w:ascii="Times New Roman" w:hAnsi="Times New Roman"/>
          <w:sz w:val="21"/>
          <w:szCs w:val="21"/>
        </w:rPr>
        <w:t xml:space="preserve"> </w:t>
      </w:r>
      <w:r w:rsidRPr="00F11B95">
        <w:rPr>
          <w:rFonts w:ascii="Times New Roman" w:hAnsi="Times New Roman" w:cs="Times New Roman"/>
          <w:sz w:val="21"/>
          <w:szCs w:val="21"/>
        </w:rPr>
        <w:t xml:space="preserve">: теорія, практика та їх значення для України / А. А. Чухно. </w:t>
      </w:r>
      <w:r>
        <w:rPr>
          <w:rFonts w:ascii="Times New Roman" w:hAnsi="Times New Roman"/>
          <w:sz w:val="21"/>
          <w:szCs w:val="21"/>
        </w:rPr>
        <w:t>–</w:t>
      </w:r>
      <w:r w:rsidRPr="00F11B95">
        <w:rPr>
          <w:rFonts w:ascii="Times New Roman" w:hAnsi="Times New Roman" w:cs="Times New Roman"/>
          <w:sz w:val="21"/>
          <w:szCs w:val="21"/>
        </w:rPr>
        <w:t xml:space="preserve"> К. : Логос, 2003. </w:t>
      </w:r>
      <w:r>
        <w:rPr>
          <w:rFonts w:ascii="Times New Roman" w:hAnsi="Times New Roman"/>
          <w:sz w:val="21"/>
          <w:szCs w:val="21"/>
        </w:rPr>
        <w:t>–</w:t>
      </w:r>
      <w:r w:rsidRPr="00F11B95">
        <w:rPr>
          <w:rFonts w:ascii="Times New Roman" w:hAnsi="Times New Roman" w:cs="Times New Roman"/>
          <w:sz w:val="21"/>
          <w:szCs w:val="21"/>
        </w:rPr>
        <w:t xml:space="preserve"> 631 c.</w:t>
      </w:r>
      <w:bookmarkEnd w:id="63"/>
    </w:p>
    <w:p w:rsidR="00B233DE" w:rsidRPr="00D56F5A"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64" w:name="_Ref430594397"/>
      <w:r w:rsidRPr="002055BD">
        <w:rPr>
          <w:rFonts w:ascii="Times New Roman" w:hAnsi="Times New Roman" w:cs="Times New Roman"/>
          <w:sz w:val="21"/>
          <w:szCs w:val="21"/>
        </w:rPr>
        <w:t>Шаульська Л. В. Стратегія розвитку трудового потенціалу України : монографія / Л. В. Шаульська. – Донецьк : НАН України, Ін-т економіки пром-ті, 2005. – 502 с.</w:t>
      </w:r>
      <w:bookmarkEnd w:id="64"/>
    </w:p>
    <w:p w:rsidR="00B233DE" w:rsidRPr="008B0AB8"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65" w:name="_Ref430594797"/>
      <w:r w:rsidRPr="00FB39C2">
        <w:rPr>
          <w:rFonts w:ascii="Times New Roman" w:hAnsi="Times New Roman" w:cs="Times New Roman"/>
          <w:iCs/>
          <w:sz w:val="21"/>
          <w:szCs w:val="21"/>
        </w:rPr>
        <w:t>Шевчук А.</w:t>
      </w:r>
      <w:r>
        <w:rPr>
          <w:rFonts w:ascii="Times New Roman" w:hAnsi="Times New Roman" w:cs="Times New Roman"/>
          <w:iCs/>
          <w:sz w:val="21"/>
          <w:szCs w:val="21"/>
        </w:rPr>
        <w:t xml:space="preserve"> </w:t>
      </w:r>
      <w:r w:rsidRPr="00FB39C2">
        <w:rPr>
          <w:rFonts w:ascii="Times New Roman" w:hAnsi="Times New Roman" w:cs="Times New Roman"/>
          <w:iCs/>
          <w:sz w:val="21"/>
          <w:szCs w:val="21"/>
        </w:rPr>
        <w:t xml:space="preserve">В. Впровадження </w:t>
      </w:r>
      <w:r>
        <w:rPr>
          <w:rFonts w:ascii="Times New Roman" w:hAnsi="Times New Roman" w:cs="Times New Roman"/>
          <w:iCs/>
          <w:sz w:val="21"/>
          <w:szCs w:val="21"/>
        </w:rPr>
        <w:t xml:space="preserve">нових інформаційних технологій </w:t>
      </w:r>
      <w:r w:rsidRPr="00FB39C2">
        <w:rPr>
          <w:rFonts w:ascii="Times New Roman" w:hAnsi="Times New Roman" w:cs="Times New Roman"/>
          <w:iCs/>
          <w:sz w:val="21"/>
          <w:szCs w:val="21"/>
        </w:rPr>
        <w:t>в праці та освіті як фактор зниження міграційного навантаження / А.</w:t>
      </w:r>
      <w:r>
        <w:rPr>
          <w:rFonts w:ascii="Times New Roman" w:hAnsi="Times New Roman" w:cs="Times New Roman"/>
          <w:iCs/>
          <w:sz w:val="21"/>
          <w:szCs w:val="21"/>
        </w:rPr>
        <w:t xml:space="preserve"> </w:t>
      </w:r>
      <w:r w:rsidRPr="00FB39C2">
        <w:rPr>
          <w:rFonts w:ascii="Times New Roman" w:hAnsi="Times New Roman" w:cs="Times New Roman"/>
          <w:iCs/>
          <w:sz w:val="21"/>
          <w:szCs w:val="21"/>
        </w:rPr>
        <w:t xml:space="preserve">В. Шевчук // </w:t>
      </w:r>
      <w:r w:rsidRPr="00FB39C2">
        <w:rPr>
          <w:rFonts w:ascii="Times New Roman" w:hAnsi="Times New Roman" w:cs="Times New Roman"/>
          <w:sz w:val="21"/>
          <w:szCs w:val="21"/>
        </w:rPr>
        <w:t>Соціально-економічні проблеми сучасного періоду України : зб. наук. праць / НАНУ, ІРД НАНУ. – Львів, 2009. – Вип. 6(80). – С. 142–143</w:t>
      </w:r>
      <w:r>
        <w:rPr>
          <w:rFonts w:ascii="Times New Roman" w:hAnsi="Times New Roman" w:cs="Times New Roman"/>
          <w:sz w:val="21"/>
          <w:szCs w:val="21"/>
        </w:rPr>
        <w:t>.</w:t>
      </w:r>
      <w:bookmarkEnd w:id="65"/>
    </w:p>
    <w:p w:rsidR="00B233DE" w:rsidRPr="009B21B6"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66" w:name="_Ref430595052"/>
      <w:r w:rsidRPr="00FB39C2">
        <w:rPr>
          <w:rFonts w:ascii="Times New Roman" w:hAnsi="Times New Roman" w:cs="Times New Roman"/>
          <w:spacing w:val="-9"/>
          <w:sz w:val="21"/>
          <w:szCs w:val="21"/>
        </w:rPr>
        <w:t>Шевчук Л.</w:t>
      </w:r>
      <w:r>
        <w:rPr>
          <w:rFonts w:ascii="Times New Roman" w:hAnsi="Times New Roman" w:cs="Times New Roman"/>
          <w:spacing w:val="-9"/>
          <w:sz w:val="21"/>
          <w:szCs w:val="21"/>
        </w:rPr>
        <w:t xml:space="preserve"> </w:t>
      </w:r>
      <w:r w:rsidRPr="00FB39C2">
        <w:rPr>
          <w:rFonts w:ascii="Times New Roman" w:hAnsi="Times New Roman" w:cs="Times New Roman"/>
          <w:spacing w:val="-9"/>
          <w:sz w:val="21"/>
          <w:szCs w:val="21"/>
        </w:rPr>
        <w:t>Т. Медико-соціальні аспекти використання трудового потенціалу</w:t>
      </w:r>
      <w:r>
        <w:rPr>
          <w:rFonts w:ascii="Times New Roman" w:hAnsi="Times New Roman" w:cs="Times New Roman"/>
          <w:spacing w:val="-9"/>
          <w:sz w:val="21"/>
          <w:szCs w:val="21"/>
        </w:rPr>
        <w:t xml:space="preserve"> </w:t>
      </w:r>
      <w:r w:rsidRPr="00FB39C2">
        <w:rPr>
          <w:rFonts w:ascii="Times New Roman" w:hAnsi="Times New Roman" w:cs="Times New Roman"/>
          <w:spacing w:val="-9"/>
          <w:sz w:val="21"/>
          <w:szCs w:val="21"/>
        </w:rPr>
        <w:t xml:space="preserve">: регіональний аналіз і прогноз / </w:t>
      </w:r>
      <w:r>
        <w:rPr>
          <w:rFonts w:ascii="Times New Roman" w:hAnsi="Times New Roman" w:cs="Times New Roman"/>
          <w:spacing w:val="-9"/>
          <w:sz w:val="21"/>
          <w:szCs w:val="21"/>
        </w:rPr>
        <w:t>Л. Т. Шевчук</w:t>
      </w:r>
      <w:r w:rsidRPr="00FB39C2">
        <w:rPr>
          <w:rFonts w:ascii="Times New Roman" w:hAnsi="Times New Roman" w:cs="Times New Roman"/>
          <w:spacing w:val="-9"/>
          <w:sz w:val="21"/>
          <w:szCs w:val="21"/>
        </w:rPr>
        <w:t>. – Львів, 2003. –</w:t>
      </w:r>
      <w:r>
        <w:rPr>
          <w:rFonts w:ascii="Times New Roman" w:hAnsi="Times New Roman" w:cs="Times New Roman"/>
          <w:spacing w:val="-9"/>
          <w:sz w:val="21"/>
          <w:szCs w:val="21"/>
        </w:rPr>
        <w:t xml:space="preserve"> 240 с.</w:t>
      </w:r>
      <w:bookmarkEnd w:id="66"/>
    </w:p>
    <w:p w:rsidR="00B233DE" w:rsidRPr="00427EA9"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67" w:name="_Ref430595486"/>
      <w:r>
        <w:rPr>
          <w:rFonts w:ascii="Times New Roman" w:hAnsi="Times New Roman" w:cs="Times New Roman"/>
          <w:sz w:val="21"/>
          <w:szCs w:val="21"/>
        </w:rPr>
        <w:t>Шкурупій О. В.</w:t>
      </w:r>
      <w:r w:rsidRPr="00F11B95">
        <w:rPr>
          <w:rFonts w:ascii="Times New Roman" w:hAnsi="Times New Roman" w:cs="Times New Roman"/>
          <w:sz w:val="21"/>
          <w:szCs w:val="21"/>
        </w:rPr>
        <w:t xml:space="preserve"> Нова роль людського фактора в процесах руху вартості та нагромадження інтелектуаль</w:t>
      </w:r>
      <w:r>
        <w:rPr>
          <w:rFonts w:ascii="Times New Roman" w:hAnsi="Times New Roman" w:cs="Times New Roman"/>
          <w:sz w:val="21"/>
          <w:szCs w:val="21"/>
        </w:rPr>
        <w:t>ного капіталу / О. В. Шкурупій // З</w:t>
      </w:r>
      <w:r w:rsidRPr="00F11B95">
        <w:rPr>
          <w:rFonts w:ascii="Times New Roman" w:hAnsi="Times New Roman" w:cs="Times New Roman"/>
          <w:sz w:val="21"/>
          <w:szCs w:val="21"/>
        </w:rPr>
        <w:t xml:space="preserve">бірник наукових праць : в 2 ч. Серія: Економічні науки Вип. 19, ч. 1. </w:t>
      </w:r>
      <w:r>
        <w:rPr>
          <w:rFonts w:ascii="Times New Roman" w:hAnsi="Times New Roman" w:cs="Times New Roman"/>
          <w:sz w:val="21"/>
          <w:szCs w:val="21"/>
        </w:rPr>
        <w:t>–</w:t>
      </w:r>
      <w:r w:rsidRPr="00F11B95">
        <w:rPr>
          <w:rFonts w:ascii="Times New Roman" w:hAnsi="Times New Roman" w:cs="Times New Roman"/>
          <w:sz w:val="21"/>
          <w:szCs w:val="21"/>
        </w:rPr>
        <w:t xml:space="preserve"> Черкаси : Видавництво ЧДТУ, 2008. </w:t>
      </w:r>
      <w:r>
        <w:rPr>
          <w:rFonts w:ascii="Times New Roman" w:hAnsi="Times New Roman" w:cs="Times New Roman"/>
          <w:sz w:val="21"/>
          <w:szCs w:val="21"/>
        </w:rPr>
        <w:t>–</w:t>
      </w:r>
      <w:r w:rsidRPr="00F11B95">
        <w:rPr>
          <w:rFonts w:ascii="Times New Roman" w:hAnsi="Times New Roman" w:cs="Times New Roman"/>
          <w:sz w:val="21"/>
          <w:szCs w:val="21"/>
        </w:rPr>
        <w:t xml:space="preserve"> 263 с.</w:t>
      </w:r>
      <w:bookmarkEnd w:id="67"/>
    </w:p>
    <w:p w:rsidR="00B233DE" w:rsidRPr="002055BD" w:rsidRDefault="00B233DE" w:rsidP="00B233DE">
      <w:pPr>
        <w:numPr>
          <w:ilvl w:val="0"/>
          <w:numId w:val="1"/>
        </w:numPr>
        <w:tabs>
          <w:tab w:val="clear" w:pos="720"/>
          <w:tab w:val="left" w:pos="1134"/>
        </w:tabs>
        <w:ind w:left="0" w:firstLine="709"/>
        <w:jc w:val="both"/>
        <w:rPr>
          <w:rFonts w:ascii="Times New Roman" w:hAnsi="Times New Roman" w:cs="Times New Roman"/>
          <w:spacing w:val="-4"/>
          <w:sz w:val="21"/>
          <w:szCs w:val="21"/>
        </w:rPr>
      </w:pPr>
      <w:bookmarkStart w:id="68" w:name="_Ref430594439"/>
      <w:r>
        <w:rPr>
          <w:rFonts w:ascii="Times New Roman" w:hAnsi="Times New Roman" w:cs="Times New Roman"/>
          <w:sz w:val="21"/>
          <w:szCs w:val="21"/>
        </w:rPr>
        <w:t xml:space="preserve">Яковенко Р. </w:t>
      </w:r>
      <w:r w:rsidRPr="00D56F5A">
        <w:rPr>
          <w:rFonts w:ascii="Times New Roman" w:hAnsi="Times New Roman" w:cs="Times New Roman"/>
          <w:sz w:val="21"/>
          <w:szCs w:val="21"/>
        </w:rPr>
        <w:t xml:space="preserve">В. Відтворення людського потенціалу в умовах трансформаційної економіки : автореферат дис. ... канд. </w:t>
      </w:r>
      <w:r w:rsidRPr="00D56F5A">
        <w:rPr>
          <w:rFonts w:ascii="Times New Roman" w:hAnsi="Times New Roman" w:cs="Times New Roman"/>
          <w:sz w:val="21"/>
          <w:szCs w:val="21"/>
        </w:rPr>
        <w:lastRenderedPageBreak/>
        <w:t>екон. наук : 08.00.01 / Р. В. Якове</w:t>
      </w:r>
      <w:r>
        <w:rPr>
          <w:rFonts w:ascii="Times New Roman" w:hAnsi="Times New Roman" w:cs="Times New Roman"/>
          <w:sz w:val="21"/>
          <w:szCs w:val="21"/>
        </w:rPr>
        <w:t>нко ; Київ. нац. ун-т ім. Т. Г. </w:t>
      </w:r>
      <w:r w:rsidRPr="00D56F5A">
        <w:rPr>
          <w:rFonts w:ascii="Times New Roman" w:hAnsi="Times New Roman" w:cs="Times New Roman"/>
          <w:sz w:val="21"/>
          <w:szCs w:val="21"/>
        </w:rPr>
        <w:t xml:space="preserve">Шевченка. </w:t>
      </w:r>
      <w:r>
        <w:rPr>
          <w:rFonts w:ascii="Times New Roman" w:hAnsi="Times New Roman" w:cs="Times New Roman"/>
          <w:sz w:val="21"/>
          <w:szCs w:val="21"/>
        </w:rPr>
        <w:t>–</w:t>
      </w:r>
      <w:r w:rsidRPr="00D56F5A">
        <w:rPr>
          <w:rFonts w:ascii="Times New Roman" w:hAnsi="Times New Roman" w:cs="Times New Roman"/>
          <w:sz w:val="21"/>
          <w:szCs w:val="21"/>
        </w:rPr>
        <w:t xml:space="preserve"> К. : 2011. </w:t>
      </w:r>
      <w:r>
        <w:rPr>
          <w:rFonts w:ascii="Times New Roman" w:hAnsi="Times New Roman" w:cs="Times New Roman"/>
          <w:sz w:val="21"/>
          <w:szCs w:val="21"/>
        </w:rPr>
        <w:t>–</w:t>
      </w:r>
      <w:r w:rsidRPr="00D56F5A">
        <w:rPr>
          <w:rFonts w:ascii="Times New Roman" w:hAnsi="Times New Roman" w:cs="Times New Roman"/>
          <w:sz w:val="21"/>
          <w:szCs w:val="21"/>
        </w:rPr>
        <w:t xml:space="preserve"> 19 с.</w:t>
      </w:r>
      <w:bookmarkEnd w:id="68"/>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z w:val="21"/>
          <w:szCs w:val="21"/>
        </w:rPr>
      </w:pPr>
      <w:bookmarkStart w:id="69" w:name="_Ref430593769"/>
      <w:r w:rsidRPr="00EE53D9">
        <w:rPr>
          <w:rFonts w:ascii="Times New Roman" w:hAnsi="Times New Roman" w:cs="Times New Roman"/>
          <w:spacing w:val="-10"/>
          <w:sz w:val="21"/>
          <w:szCs w:val="21"/>
        </w:rPr>
        <w:t>Becker G. Human Capital : Theoretical and Empir</w:t>
      </w:r>
      <w:r w:rsidRPr="002055BD">
        <w:rPr>
          <w:rFonts w:ascii="Times New Roman" w:hAnsi="Times New Roman" w:cs="Times New Roman"/>
          <w:spacing w:val="-10"/>
          <w:sz w:val="21"/>
          <w:szCs w:val="21"/>
        </w:rPr>
        <w:t>ical Analysis, with Spec</w:t>
      </w:r>
      <w:r>
        <w:rPr>
          <w:rFonts w:ascii="Times New Roman" w:hAnsi="Times New Roman" w:cs="Times New Roman"/>
          <w:spacing w:val="-10"/>
          <w:sz w:val="21"/>
          <w:szCs w:val="21"/>
        </w:rPr>
        <w:t xml:space="preserve">ial Reference to Education / G. </w:t>
      </w:r>
      <w:r w:rsidRPr="002055BD">
        <w:rPr>
          <w:rFonts w:ascii="Times New Roman" w:hAnsi="Times New Roman" w:cs="Times New Roman"/>
          <w:spacing w:val="-10"/>
          <w:sz w:val="21"/>
          <w:szCs w:val="21"/>
        </w:rPr>
        <w:t xml:space="preserve">Becker. </w:t>
      </w:r>
      <w:r>
        <w:rPr>
          <w:rFonts w:ascii="Times New Roman" w:hAnsi="Times New Roman" w:cs="Times New Roman"/>
          <w:spacing w:val="-10"/>
          <w:sz w:val="21"/>
          <w:szCs w:val="21"/>
        </w:rPr>
        <w:t>–</w:t>
      </w:r>
      <w:r w:rsidRPr="002055BD">
        <w:rPr>
          <w:rFonts w:ascii="Times New Roman" w:hAnsi="Times New Roman" w:cs="Times New Roman"/>
          <w:spacing w:val="-10"/>
          <w:sz w:val="21"/>
          <w:szCs w:val="21"/>
        </w:rPr>
        <w:t xml:space="preserve"> 3</w:t>
      </w:r>
      <w:r>
        <w:rPr>
          <w:rFonts w:ascii="Times New Roman" w:hAnsi="Times New Roman" w:cs="Times New Roman"/>
          <w:spacing w:val="-10"/>
          <w:sz w:val="21"/>
          <w:szCs w:val="21"/>
        </w:rPr>
        <w:t>-</w:t>
      </w:r>
      <w:r w:rsidRPr="002055BD">
        <w:rPr>
          <w:rFonts w:ascii="Times New Roman" w:hAnsi="Times New Roman" w:cs="Times New Roman"/>
          <w:spacing w:val="-10"/>
          <w:sz w:val="21"/>
          <w:szCs w:val="21"/>
        </w:rPr>
        <w:t>rd ed. – University of Chicago Press, 1993. – 390 p.</w:t>
      </w:r>
      <w:bookmarkEnd w:id="69"/>
    </w:p>
    <w:p w:rsidR="00B233DE" w:rsidRPr="00A71CC4" w:rsidRDefault="00B233DE" w:rsidP="00B233DE">
      <w:pPr>
        <w:numPr>
          <w:ilvl w:val="0"/>
          <w:numId w:val="1"/>
        </w:numPr>
        <w:tabs>
          <w:tab w:val="clear" w:pos="720"/>
          <w:tab w:val="left" w:pos="1134"/>
        </w:tabs>
        <w:ind w:left="0" w:firstLine="709"/>
        <w:jc w:val="both"/>
        <w:rPr>
          <w:rFonts w:ascii="Times New Roman" w:hAnsi="Times New Roman" w:cs="Times New Roman"/>
          <w:sz w:val="21"/>
          <w:szCs w:val="21"/>
        </w:rPr>
      </w:pPr>
      <w:bookmarkStart w:id="70" w:name="_Ref430593735"/>
      <w:r w:rsidRPr="002055BD">
        <w:rPr>
          <w:rFonts w:ascii="Times New Roman" w:hAnsi="Times New Roman" w:cs="Times New Roman"/>
          <w:sz w:val="21"/>
          <w:szCs w:val="21"/>
          <w:lang w:val="en-US"/>
        </w:rPr>
        <w:t>Fisher I. The Nature of Capital and Income / I.</w:t>
      </w:r>
      <w:r>
        <w:rPr>
          <w:rFonts w:ascii="Times New Roman" w:hAnsi="Times New Roman" w:cs="Times New Roman"/>
          <w:sz w:val="21"/>
          <w:szCs w:val="21"/>
        </w:rPr>
        <w:t xml:space="preserve"> </w:t>
      </w:r>
      <w:r w:rsidRPr="002055BD">
        <w:rPr>
          <w:rFonts w:ascii="Times New Roman" w:hAnsi="Times New Roman" w:cs="Times New Roman"/>
          <w:sz w:val="21"/>
          <w:szCs w:val="21"/>
          <w:lang w:val="en-US"/>
        </w:rPr>
        <w:t>Fisher – New York : Cosimo Classics, 2007. – 452 p.</w:t>
      </w:r>
      <w:bookmarkEnd w:id="70"/>
    </w:p>
    <w:p w:rsidR="00B233DE" w:rsidRPr="00651317" w:rsidRDefault="00B233DE" w:rsidP="00B233DE">
      <w:pPr>
        <w:numPr>
          <w:ilvl w:val="0"/>
          <w:numId w:val="1"/>
        </w:numPr>
        <w:tabs>
          <w:tab w:val="clear" w:pos="720"/>
          <w:tab w:val="left" w:pos="1134"/>
        </w:tabs>
        <w:ind w:left="0" w:firstLine="709"/>
        <w:jc w:val="both"/>
        <w:rPr>
          <w:rFonts w:ascii="Times New Roman" w:hAnsi="Times New Roman" w:cs="Times New Roman"/>
          <w:sz w:val="21"/>
          <w:szCs w:val="21"/>
          <w:lang w:val="en-US"/>
        </w:rPr>
      </w:pPr>
      <w:bookmarkStart w:id="71" w:name="_Ref430595317"/>
      <w:r w:rsidRPr="00F11B95">
        <w:rPr>
          <w:rFonts w:ascii="Times New Roman" w:hAnsi="Times New Roman" w:cs="Times New Roman"/>
          <w:sz w:val="21"/>
          <w:szCs w:val="21"/>
        </w:rPr>
        <w:t xml:space="preserve">International Trade and Market Access Data [Електронний ресурс]. – Режим доступу: </w:t>
      </w:r>
      <w:hyperlink r:id="rId15" w:history="1">
        <w:r w:rsidRPr="00651317">
          <w:rPr>
            <w:rStyle w:val="aff"/>
            <w:rFonts w:ascii="Times New Roman" w:eastAsia="Calibri" w:hAnsi="Times New Roman" w:cs="Times New Roman"/>
            <w:color w:val="auto"/>
            <w:sz w:val="21"/>
            <w:szCs w:val="21"/>
            <w:u w:val="none"/>
          </w:rPr>
          <w:t>https://www.wto.org/english /res_e/statis_e/statis_bis_e.htm?solution=WTO&amp;path=/Dashboards/MAPS&amp;file=Map.wcdf&amp;bookmarkState={%22impl%22:%22client%22,%22params%22:{%22langParam%22:%22en%22}}</w:t>
        </w:r>
      </w:hyperlink>
      <w:bookmarkEnd w:id="71"/>
    </w:p>
    <w:p w:rsidR="00B233DE" w:rsidRPr="00634126" w:rsidRDefault="00B233DE" w:rsidP="00B233DE">
      <w:pPr>
        <w:numPr>
          <w:ilvl w:val="0"/>
          <w:numId w:val="1"/>
        </w:numPr>
        <w:tabs>
          <w:tab w:val="clear" w:pos="720"/>
          <w:tab w:val="left" w:pos="1134"/>
        </w:tabs>
        <w:ind w:left="0" w:firstLine="709"/>
        <w:jc w:val="both"/>
        <w:rPr>
          <w:rFonts w:ascii="Times New Roman" w:hAnsi="Times New Roman" w:cs="Times New Roman"/>
          <w:sz w:val="21"/>
          <w:szCs w:val="21"/>
          <w:lang w:val="en-US"/>
        </w:rPr>
      </w:pPr>
      <w:bookmarkStart w:id="72" w:name="_Ref430593775"/>
      <w:r w:rsidRPr="002055BD">
        <w:rPr>
          <w:rFonts w:ascii="Times New Roman" w:hAnsi="Times New Roman" w:cs="Times New Roman"/>
          <w:sz w:val="21"/>
          <w:szCs w:val="21"/>
          <w:lang w:val="en-US"/>
        </w:rPr>
        <w:t xml:space="preserve">Kendrick </w:t>
      </w:r>
      <w:r>
        <w:rPr>
          <w:rFonts w:ascii="Times New Roman" w:hAnsi="Times New Roman" w:cs="Times New Roman"/>
          <w:sz w:val="21"/>
          <w:szCs w:val="21"/>
          <w:lang w:val="en-US"/>
        </w:rPr>
        <w:t>J</w:t>
      </w:r>
      <w:r>
        <w:rPr>
          <w:rFonts w:ascii="Times New Roman" w:hAnsi="Times New Roman" w:cs="Times New Roman"/>
          <w:sz w:val="21"/>
          <w:szCs w:val="21"/>
        </w:rPr>
        <w:t>.</w:t>
      </w:r>
      <w:r w:rsidRPr="002055BD">
        <w:rPr>
          <w:rFonts w:ascii="Times New Roman" w:hAnsi="Times New Roman" w:cs="Times New Roman"/>
          <w:sz w:val="21"/>
          <w:szCs w:val="21"/>
          <w:lang w:val="en-US"/>
        </w:rPr>
        <w:t xml:space="preserve"> W. Total Capital and Economic Growth </w:t>
      </w:r>
      <w:r>
        <w:rPr>
          <w:rFonts w:ascii="Times New Roman" w:hAnsi="Times New Roman" w:cs="Times New Roman"/>
          <w:sz w:val="21"/>
          <w:szCs w:val="21"/>
        </w:rPr>
        <w:t xml:space="preserve">/ </w:t>
      </w:r>
      <w:r>
        <w:rPr>
          <w:rFonts w:ascii="Times New Roman" w:hAnsi="Times New Roman" w:cs="Times New Roman"/>
          <w:sz w:val="21"/>
          <w:szCs w:val="21"/>
          <w:lang w:val="en-US"/>
        </w:rPr>
        <w:t>J</w:t>
      </w:r>
      <w:r>
        <w:rPr>
          <w:rFonts w:ascii="Times New Roman" w:hAnsi="Times New Roman" w:cs="Times New Roman"/>
          <w:sz w:val="21"/>
          <w:szCs w:val="21"/>
        </w:rPr>
        <w:t>. </w:t>
      </w:r>
      <w:r w:rsidRPr="002055BD">
        <w:rPr>
          <w:rFonts w:ascii="Times New Roman" w:hAnsi="Times New Roman" w:cs="Times New Roman"/>
          <w:sz w:val="21"/>
          <w:szCs w:val="21"/>
          <w:lang w:val="en-US"/>
        </w:rPr>
        <w:t>W. Kendrick</w:t>
      </w:r>
      <w:r>
        <w:rPr>
          <w:rFonts w:ascii="Times New Roman" w:hAnsi="Times New Roman" w:cs="Times New Roman"/>
          <w:sz w:val="21"/>
          <w:szCs w:val="21"/>
        </w:rPr>
        <w:t>. –</w:t>
      </w:r>
      <w:r w:rsidRPr="002055BD">
        <w:rPr>
          <w:rFonts w:ascii="Times New Roman" w:hAnsi="Times New Roman" w:cs="Times New Roman"/>
          <w:sz w:val="21"/>
          <w:szCs w:val="21"/>
          <w:lang w:val="en-US"/>
        </w:rPr>
        <w:t xml:space="preserve"> </w:t>
      </w:r>
      <w:r w:rsidRPr="00634126">
        <w:rPr>
          <w:rFonts w:ascii="Times New Roman" w:hAnsi="Times New Roman" w:cs="Times New Roman"/>
          <w:sz w:val="21"/>
          <w:szCs w:val="21"/>
          <w:lang w:val="en-US"/>
        </w:rPr>
        <w:t>[</w:t>
      </w:r>
      <w:r w:rsidRPr="002055BD">
        <w:rPr>
          <w:rFonts w:ascii="Times New Roman" w:hAnsi="Times New Roman" w:cs="Times New Roman"/>
          <w:sz w:val="21"/>
          <w:szCs w:val="21"/>
        </w:rPr>
        <w:t>Електронний ресурс</w:t>
      </w:r>
      <w:r w:rsidRPr="00634126">
        <w:rPr>
          <w:rFonts w:ascii="Times New Roman" w:hAnsi="Times New Roman" w:cs="Times New Roman"/>
          <w:sz w:val="21"/>
          <w:szCs w:val="21"/>
          <w:lang w:val="en-US"/>
        </w:rPr>
        <w:t>]</w:t>
      </w:r>
      <w:r w:rsidRPr="002055BD">
        <w:rPr>
          <w:rFonts w:ascii="Times New Roman" w:hAnsi="Times New Roman" w:cs="Times New Roman"/>
          <w:sz w:val="21"/>
          <w:szCs w:val="21"/>
        </w:rPr>
        <w:t xml:space="preserve"> – Режим доступу:</w:t>
      </w:r>
      <w:r w:rsidRPr="00634126">
        <w:rPr>
          <w:rFonts w:ascii="Times New Roman" w:hAnsi="Times New Roman" w:cs="Times New Roman"/>
          <w:sz w:val="21"/>
          <w:szCs w:val="21"/>
          <w:lang w:val="en-US"/>
        </w:rPr>
        <w:t xml:space="preserve"> </w:t>
      </w:r>
      <w:hyperlink r:id="rId16" w:history="1">
        <w:r w:rsidRPr="00634126">
          <w:rPr>
            <w:rStyle w:val="aff"/>
            <w:rFonts w:ascii="Times New Roman" w:eastAsia="Calibri" w:hAnsi="Times New Roman" w:cs="Times New Roman"/>
            <w:color w:val="auto"/>
            <w:sz w:val="21"/>
            <w:szCs w:val="21"/>
            <w:u w:val="none"/>
            <w:lang w:val="en-US"/>
          </w:rPr>
          <w:t>http://www.nber.org/chapters/c3808.pdf</w:t>
        </w:r>
      </w:hyperlink>
      <w:bookmarkEnd w:id="72"/>
    </w:p>
    <w:p w:rsidR="00B233DE" w:rsidRPr="00EE53D9" w:rsidRDefault="00B233DE" w:rsidP="00B233DE">
      <w:pPr>
        <w:numPr>
          <w:ilvl w:val="0"/>
          <w:numId w:val="1"/>
        </w:numPr>
        <w:tabs>
          <w:tab w:val="clear" w:pos="720"/>
          <w:tab w:val="left" w:pos="1134"/>
        </w:tabs>
        <w:ind w:left="0" w:firstLine="709"/>
        <w:jc w:val="both"/>
        <w:rPr>
          <w:rFonts w:ascii="Times New Roman" w:hAnsi="Times New Roman" w:cs="Times New Roman"/>
          <w:sz w:val="21"/>
          <w:szCs w:val="21"/>
        </w:rPr>
      </w:pPr>
      <w:bookmarkStart w:id="73" w:name="_Ref430593727"/>
      <w:r w:rsidRPr="002055BD">
        <w:rPr>
          <w:rFonts w:ascii="Times New Roman" w:hAnsi="Times New Roman" w:cs="Times New Roman"/>
          <w:sz w:val="21"/>
          <w:szCs w:val="21"/>
          <w:lang w:val="en-US"/>
        </w:rPr>
        <w:t>Keynes J. M. The General Theory of</w:t>
      </w:r>
      <w:r>
        <w:rPr>
          <w:rFonts w:ascii="Times New Roman" w:hAnsi="Times New Roman" w:cs="Times New Roman"/>
          <w:sz w:val="21"/>
          <w:szCs w:val="21"/>
          <w:lang w:val="en-US"/>
        </w:rPr>
        <w:t xml:space="preserve"> Employment, Interest and Money</w:t>
      </w:r>
      <w:r>
        <w:rPr>
          <w:rFonts w:ascii="Times New Roman" w:hAnsi="Times New Roman" w:cs="Times New Roman"/>
          <w:sz w:val="21"/>
          <w:szCs w:val="21"/>
        </w:rPr>
        <w:t xml:space="preserve"> / </w:t>
      </w:r>
      <w:r w:rsidRPr="002055BD">
        <w:rPr>
          <w:rFonts w:ascii="Times New Roman" w:hAnsi="Times New Roman" w:cs="Times New Roman"/>
          <w:sz w:val="21"/>
          <w:szCs w:val="21"/>
          <w:lang w:val="en-US"/>
        </w:rPr>
        <w:t>J. M. Keynes</w:t>
      </w:r>
      <w:r>
        <w:rPr>
          <w:rFonts w:ascii="Times New Roman" w:hAnsi="Times New Roman" w:cs="Times New Roman"/>
          <w:sz w:val="21"/>
          <w:szCs w:val="21"/>
        </w:rPr>
        <w:t>. –</w:t>
      </w:r>
      <w:r w:rsidRPr="002055BD">
        <w:rPr>
          <w:rFonts w:ascii="Times New Roman" w:hAnsi="Times New Roman" w:cs="Times New Roman"/>
          <w:sz w:val="21"/>
          <w:szCs w:val="21"/>
          <w:lang w:val="en-US"/>
        </w:rPr>
        <w:t xml:space="preserve"> Ebook</w:t>
      </w:r>
      <w:r w:rsidRPr="002055BD">
        <w:rPr>
          <w:rFonts w:ascii="Times New Roman" w:hAnsi="Times New Roman" w:cs="Times New Roman"/>
          <w:sz w:val="21"/>
          <w:szCs w:val="21"/>
        </w:rPr>
        <w:t xml:space="preserve"> [Електронний ресурс]</w:t>
      </w:r>
      <w:r>
        <w:rPr>
          <w:rFonts w:ascii="Times New Roman" w:hAnsi="Times New Roman" w:cs="Times New Roman"/>
          <w:sz w:val="21"/>
          <w:szCs w:val="21"/>
        </w:rPr>
        <w:t xml:space="preserve"> – Режим доступу: </w:t>
      </w:r>
      <w:hyperlink r:id="rId17" w:history="1">
        <w:r w:rsidRPr="00EE53D9">
          <w:rPr>
            <w:rStyle w:val="aff"/>
            <w:rFonts w:ascii="Times New Roman" w:eastAsia="Calibri" w:hAnsi="Times New Roman" w:cs="Times New Roman"/>
            <w:color w:val="auto"/>
            <w:sz w:val="21"/>
            <w:szCs w:val="21"/>
            <w:u w:val="none"/>
          </w:rPr>
          <w:t>https://www.marxists.org/reference/subject/economics/keynes/ general-theory/</w:t>
        </w:r>
      </w:hyperlink>
      <w:bookmarkEnd w:id="73"/>
    </w:p>
    <w:p w:rsidR="00B233DE" w:rsidRDefault="00B233DE" w:rsidP="00B233DE">
      <w:pPr>
        <w:numPr>
          <w:ilvl w:val="0"/>
          <w:numId w:val="1"/>
        </w:numPr>
        <w:tabs>
          <w:tab w:val="clear" w:pos="720"/>
          <w:tab w:val="left" w:pos="1134"/>
        </w:tabs>
        <w:ind w:left="0" w:firstLine="709"/>
        <w:jc w:val="both"/>
        <w:rPr>
          <w:rFonts w:ascii="Times New Roman" w:hAnsi="Times New Roman" w:cs="Times New Roman"/>
          <w:sz w:val="21"/>
          <w:szCs w:val="21"/>
        </w:rPr>
      </w:pPr>
      <w:bookmarkStart w:id="74" w:name="_Ref430595189"/>
      <w:r w:rsidRPr="00F11B95">
        <w:rPr>
          <w:rFonts w:ascii="Times New Roman" w:hAnsi="Times New Roman" w:cs="Times New Roman"/>
          <w:sz w:val="21"/>
          <w:szCs w:val="21"/>
          <w:lang w:val="en-US"/>
        </w:rPr>
        <w:t>Masuda</w:t>
      </w:r>
      <w:r w:rsidRPr="00F11B95">
        <w:rPr>
          <w:rFonts w:ascii="Times New Roman" w:hAnsi="Times New Roman" w:cs="Times New Roman"/>
          <w:sz w:val="21"/>
          <w:szCs w:val="21"/>
        </w:rPr>
        <w:t xml:space="preserve"> </w:t>
      </w:r>
      <w:r w:rsidRPr="00F11B95">
        <w:rPr>
          <w:rFonts w:ascii="Times New Roman" w:hAnsi="Times New Roman" w:cs="Times New Roman"/>
          <w:sz w:val="21"/>
          <w:szCs w:val="21"/>
          <w:lang w:val="en-US"/>
        </w:rPr>
        <w:t>Y</w:t>
      </w:r>
      <w:r w:rsidRPr="00F11B95">
        <w:rPr>
          <w:rFonts w:ascii="Times New Roman" w:hAnsi="Times New Roman" w:cs="Times New Roman"/>
          <w:sz w:val="21"/>
          <w:szCs w:val="21"/>
        </w:rPr>
        <w:t xml:space="preserve">. </w:t>
      </w:r>
      <w:r w:rsidRPr="00F11B95">
        <w:rPr>
          <w:rFonts w:ascii="Times New Roman" w:hAnsi="Times New Roman" w:cs="Times New Roman"/>
          <w:sz w:val="21"/>
          <w:szCs w:val="21"/>
          <w:lang w:val="en-US"/>
        </w:rPr>
        <w:t>Hypothesis</w:t>
      </w:r>
      <w:r w:rsidRPr="00F11B95">
        <w:rPr>
          <w:rFonts w:ascii="Times New Roman" w:hAnsi="Times New Roman" w:cs="Times New Roman"/>
          <w:sz w:val="21"/>
          <w:szCs w:val="21"/>
        </w:rPr>
        <w:t xml:space="preserve"> </w:t>
      </w:r>
      <w:r w:rsidRPr="00F11B95">
        <w:rPr>
          <w:rFonts w:ascii="Times New Roman" w:hAnsi="Times New Roman" w:cs="Times New Roman"/>
          <w:sz w:val="21"/>
          <w:szCs w:val="21"/>
          <w:lang w:val="en-US"/>
        </w:rPr>
        <w:t>on</w:t>
      </w:r>
      <w:r w:rsidRPr="00F11B95">
        <w:rPr>
          <w:rFonts w:ascii="Times New Roman" w:hAnsi="Times New Roman" w:cs="Times New Roman"/>
          <w:sz w:val="21"/>
          <w:szCs w:val="21"/>
        </w:rPr>
        <w:t xml:space="preserve"> </w:t>
      </w:r>
      <w:r w:rsidRPr="00F11B95">
        <w:rPr>
          <w:rFonts w:ascii="Times New Roman" w:hAnsi="Times New Roman" w:cs="Times New Roman"/>
          <w:sz w:val="21"/>
          <w:szCs w:val="21"/>
          <w:lang w:val="en-US"/>
        </w:rPr>
        <w:t>the</w:t>
      </w:r>
      <w:r w:rsidRPr="00F11B95">
        <w:rPr>
          <w:rFonts w:ascii="Times New Roman" w:hAnsi="Times New Roman" w:cs="Times New Roman"/>
          <w:sz w:val="21"/>
          <w:szCs w:val="21"/>
        </w:rPr>
        <w:t xml:space="preserve"> </w:t>
      </w:r>
      <w:r w:rsidRPr="00F11B95">
        <w:rPr>
          <w:rFonts w:ascii="Times New Roman" w:hAnsi="Times New Roman" w:cs="Times New Roman"/>
          <w:sz w:val="21"/>
          <w:szCs w:val="21"/>
          <w:lang w:val="en-US"/>
        </w:rPr>
        <w:t>genesis</w:t>
      </w:r>
      <w:r w:rsidRPr="00F11B95">
        <w:rPr>
          <w:rFonts w:ascii="Times New Roman" w:hAnsi="Times New Roman" w:cs="Times New Roman"/>
          <w:sz w:val="21"/>
          <w:szCs w:val="21"/>
        </w:rPr>
        <w:t xml:space="preserve"> </w:t>
      </w:r>
      <w:r w:rsidRPr="00F11B95">
        <w:rPr>
          <w:rFonts w:ascii="Times New Roman" w:hAnsi="Times New Roman" w:cs="Times New Roman"/>
          <w:sz w:val="21"/>
          <w:szCs w:val="21"/>
          <w:lang w:val="en-US"/>
        </w:rPr>
        <w:t>of</w:t>
      </w:r>
      <w:r w:rsidRPr="00F11B95">
        <w:rPr>
          <w:rFonts w:ascii="Times New Roman" w:hAnsi="Times New Roman" w:cs="Times New Roman"/>
          <w:sz w:val="21"/>
          <w:szCs w:val="21"/>
        </w:rPr>
        <w:t xml:space="preserve"> </w:t>
      </w:r>
      <w:r w:rsidRPr="00F11B95">
        <w:rPr>
          <w:rFonts w:ascii="Times New Roman" w:hAnsi="Times New Roman" w:cs="Times New Roman"/>
          <w:sz w:val="21"/>
          <w:szCs w:val="21"/>
          <w:lang w:val="en-US"/>
        </w:rPr>
        <w:t>homo</w:t>
      </w:r>
      <w:r w:rsidRPr="00F11B95">
        <w:rPr>
          <w:rFonts w:ascii="Times New Roman" w:hAnsi="Times New Roman" w:cs="Times New Roman"/>
          <w:sz w:val="21"/>
          <w:szCs w:val="21"/>
        </w:rPr>
        <w:t xml:space="preserve"> </w:t>
      </w:r>
      <w:r w:rsidRPr="00F11B95">
        <w:rPr>
          <w:rFonts w:ascii="Times New Roman" w:hAnsi="Times New Roman" w:cs="Times New Roman"/>
          <w:sz w:val="21"/>
          <w:szCs w:val="21"/>
          <w:lang w:val="en-US"/>
        </w:rPr>
        <w:t>intelligens</w:t>
      </w:r>
      <w:r w:rsidRPr="00F11B95">
        <w:rPr>
          <w:rFonts w:ascii="Times New Roman" w:hAnsi="Times New Roman" w:cs="Times New Roman"/>
          <w:sz w:val="21"/>
          <w:szCs w:val="21"/>
        </w:rPr>
        <w:t xml:space="preserve"> / </w:t>
      </w:r>
      <w:r w:rsidRPr="00F11B95">
        <w:rPr>
          <w:rFonts w:ascii="Times New Roman" w:hAnsi="Times New Roman" w:cs="Times New Roman"/>
          <w:sz w:val="21"/>
          <w:szCs w:val="21"/>
          <w:lang w:val="en-US"/>
        </w:rPr>
        <w:t>Y</w:t>
      </w:r>
      <w:r w:rsidRPr="00F11B95">
        <w:rPr>
          <w:rFonts w:ascii="Times New Roman" w:hAnsi="Times New Roman" w:cs="Times New Roman"/>
          <w:sz w:val="21"/>
          <w:szCs w:val="21"/>
        </w:rPr>
        <w:t xml:space="preserve">. </w:t>
      </w:r>
      <w:r w:rsidRPr="00F11B95">
        <w:rPr>
          <w:rFonts w:ascii="Times New Roman" w:hAnsi="Times New Roman" w:cs="Times New Roman"/>
          <w:sz w:val="21"/>
          <w:szCs w:val="21"/>
          <w:lang w:val="en-US"/>
        </w:rPr>
        <w:t>Masuda</w:t>
      </w:r>
      <w:r w:rsidRPr="00F11B95">
        <w:rPr>
          <w:rFonts w:ascii="Times New Roman" w:hAnsi="Times New Roman" w:cs="Times New Roman"/>
          <w:sz w:val="21"/>
          <w:szCs w:val="21"/>
        </w:rPr>
        <w:t xml:space="preserve"> // </w:t>
      </w:r>
      <w:r w:rsidRPr="00F11B95">
        <w:rPr>
          <w:rFonts w:ascii="Times New Roman" w:hAnsi="Times New Roman" w:cs="Times New Roman"/>
          <w:sz w:val="21"/>
          <w:szCs w:val="21"/>
          <w:lang w:val="en-US"/>
        </w:rPr>
        <w:t>Futures</w:t>
      </w:r>
      <w:r>
        <w:rPr>
          <w:rFonts w:ascii="Times New Roman" w:hAnsi="Times New Roman" w:cs="Times New Roman"/>
          <w:sz w:val="21"/>
          <w:szCs w:val="21"/>
        </w:rPr>
        <w:t>. Guilford. –</w:t>
      </w:r>
      <w:r w:rsidRPr="00F11B95">
        <w:rPr>
          <w:rFonts w:ascii="Times New Roman" w:hAnsi="Times New Roman" w:cs="Times New Roman"/>
          <w:sz w:val="21"/>
          <w:szCs w:val="21"/>
        </w:rPr>
        <w:t xml:space="preserve"> 1985. – Vol. 17, № 5. – p. 479</w:t>
      </w:r>
      <w:r>
        <w:rPr>
          <w:rFonts w:ascii="Times New Roman" w:hAnsi="Times New Roman" w:cs="Times New Roman"/>
          <w:sz w:val="21"/>
          <w:szCs w:val="21"/>
        </w:rPr>
        <w:t>–</w:t>
      </w:r>
      <w:r w:rsidRPr="00F11B95">
        <w:rPr>
          <w:rFonts w:ascii="Times New Roman" w:hAnsi="Times New Roman" w:cs="Times New Roman"/>
          <w:sz w:val="21"/>
          <w:szCs w:val="21"/>
        </w:rPr>
        <w:t>494.</w:t>
      </w:r>
      <w:bookmarkEnd w:id="74"/>
    </w:p>
    <w:p w:rsidR="00B233DE" w:rsidRPr="004D54E7" w:rsidRDefault="00B233DE" w:rsidP="00B233DE">
      <w:pPr>
        <w:numPr>
          <w:ilvl w:val="0"/>
          <w:numId w:val="1"/>
        </w:numPr>
        <w:tabs>
          <w:tab w:val="clear" w:pos="720"/>
          <w:tab w:val="left" w:pos="1134"/>
        </w:tabs>
        <w:ind w:left="0" w:firstLine="709"/>
        <w:jc w:val="both"/>
        <w:rPr>
          <w:rFonts w:ascii="Times New Roman" w:hAnsi="Times New Roman" w:cs="Times New Roman"/>
          <w:sz w:val="21"/>
          <w:szCs w:val="21"/>
        </w:rPr>
      </w:pPr>
      <w:bookmarkStart w:id="75" w:name="_Ref430593710"/>
      <w:r w:rsidRPr="002055BD">
        <w:rPr>
          <w:rFonts w:ascii="Times New Roman" w:hAnsi="Times New Roman" w:cs="Times New Roman"/>
          <w:sz w:val="21"/>
          <w:szCs w:val="21"/>
          <w:lang w:val="en-US"/>
        </w:rPr>
        <w:t>Mill J. S. Principles Of Political Economy</w:t>
      </w:r>
      <w:r>
        <w:rPr>
          <w:rFonts w:ascii="Times New Roman" w:hAnsi="Times New Roman" w:cs="Times New Roman"/>
          <w:sz w:val="21"/>
          <w:szCs w:val="21"/>
        </w:rPr>
        <w:t xml:space="preserve"> /</w:t>
      </w:r>
      <w:r w:rsidRPr="004D54E7">
        <w:rPr>
          <w:rFonts w:ascii="Times New Roman" w:hAnsi="Times New Roman" w:cs="Times New Roman"/>
          <w:sz w:val="21"/>
          <w:szCs w:val="21"/>
          <w:lang w:val="en-US"/>
        </w:rPr>
        <w:t xml:space="preserve"> </w:t>
      </w:r>
      <w:r>
        <w:rPr>
          <w:rFonts w:ascii="Times New Roman" w:hAnsi="Times New Roman" w:cs="Times New Roman"/>
          <w:sz w:val="21"/>
          <w:szCs w:val="21"/>
          <w:lang w:val="en-US"/>
        </w:rPr>
        <w:t>J. S.</w:t>
      </w:r>
      <w:r>
        <w:rPr>
          <w:rFonts w:ascii="Times New Roman" w:hAnsi="Times New Roman" w:cs="Times New Roman"/>
          <w:sz w:val="21"/>
          <w:szCs w:val="21"/>
        </w:rPr>
        <w:t xml:space="preserve"> </w:t>
      </w:r>
      <w:r w:rsidRPr="002055BD">
        <w:rPr>
          <w:rFonts w:ascii="Times New Roman" w:hAnsi="Times New Roman" w:cs="Times New Roman"/>
          <w:sz w:val="21"/>
          <w:szCs w:val="21"/>
          <w:lang w:val="en-US"/>
        </w:rPr>
        <w:t>Mill</w:t>
      </w:r>
      <w:r>
        <w:rPr>
          <w:rFonts w:ascii="Times New Roman" w:hAnsi="Times New Roman" w:cs="Times New Roman"/>
          <w:sz w:val="21"/>
          <w:szCs w:val="21"/>
        </w:rPr>
        <w:t>. –</w:t>
      </w:r>
      <w:r w:rsidRPr="004D54E7">
        <w:rPr>
          <w:rFonts w:ascii="Times New Roman" w:hAnsi="Times New Roman" w:cs="Times New Roman"/>
          <w:sz w:val="21"/>
          <w:szCs w:val="21"/>
          <w:lang w:val="en-US"/>
        </w:rPr>
        <w:t xml:space="preserve"> </w:t>
      </w:r>
      <w:r w:rsidRPr="002055BD">
        <w:rPr>
          <w:rFonts w:ascii="Times New Roman" w:hAnsi="Times New Roman" w:cs="Times New Roman"/>
          <w:sz w:val="21"/>
          <w:szCs w:val="21"/>
          <w:lang w:val="en-US"/>
        </w:rPr>
        <w:t>Ebook</w:t>
      </w:r>
      <w:r w:rsidRPr="002055BD">
        <w:rPr>
          <w:rFonts w:ascii="Times New Roman" w:hAnsi="Times New Roman" w:cs="Times New Roman"/>
          <w:sz w:val="21"/>
          <w:szCs w:val="21"/>
        </w:rPr>
        <w:t xml:space="preserve"> [Електронний ресурс] – Режим доступу: </w:t>
      </w:r>
      <w:hyperlink r:id="rId18" w:history="1">
        <w:r w:rsidRPr="004D54E7">
          <w:rPr>
            <w:rStyle w:val="aff"/>
            <w:rFonts w:ascii="Times New Roman" w:eastAsia="Calibri" w:hAnsi="Times New Roman" w:cs="Times New Roman"/>
            <w:color w:val="auto"/>
            <w:sz w:val="21"/>
            <w:szCs w:val="21"/>
            <w:u w:val="none"/>
          </w:rPr>
          <w:t>http://www.gutenberg.org/files/30107/30107-pdf.pdf</w:t>
        </w:r>
      </w:hyperlink>
      <w:bookmarkEnd w:id="75"/>
    </w:p>
    <w:p w:rsidR="00B233DE" w:rsidRPr="009B21B6" w:rsidRDefault="00B233DE" w:rsidP="00B233DE">
      <w:pPr>
        <w:numPr>
          <w:ilvl w:val="0"/>
          <w:numId w:val="1"/>
        </w:numPr>
        <w:tabs>
          <w:tab w:val="clear" w:pos="720"/>
          <w:tab w:val="left" w:pos="1134"/>
        </w:tabs>
        <w:ind w:left="0" w:firstLine="709"/>
        <w:jc w:val="both"/>
        <w:rPr>
          <w:rFonts w:ascii="Times New Roman" w:hAnsi="Times New Roman" w:cs="Times New Roman"/>
          <w:sz w:val="21"/>
          <w:szCs w:val="21"/>
          <w:lang w:val="en-US"/>
        </w:rPr>
      </w:pPr>
      <w:r w:rsidRPr="00F11B95">
        <w:rPr>
          <w:rFonts w:ascii="Times New Roman" w:hAnsi="Times New Roman" w:cs="Times New Roman"/>
          <w:sz w:val="21"/>
          <w:szCs w:val="21"/>
        </w:rPr>
        <w:t xml:space="preserve">Research and development expenditure. </w:t>
      </w:r>
      <w:r w:rsidRPr="00F11B95">
        <w:rPr>
          <w:rFonts w:ascii="Times New Roman" w:hAnsi="Times New Roman" w:cs="Times New Roman"/>
          <w:sz w:val="21"/>
          <w:szCs w:val="21"/>
          <w:lang w:val="en-US"/>
        </w:rPr>
        <w:t>World Bank Indicators</w:t>
      </w:r>
      <w:r w:rsidRPr="00F11B95">
        <w:rPr>
          <w:rFonts w:ascii="Times New Roman" w:hAnsi="Times New Roman" w:cs="Times New Roman"/>
          <w:sz w:val="21"/>
          <w:szCs w:val="21"/>
        </w:rPr>
        <w:t xml:space="preserve"> </w:t>
      </w:r>
      <w:r w:rsidRPr="00F11B95">
        <w:rPr>
          <w:rFonts w:ascii="Times New Roman" w:hAnsi="Times New Roman" w:cs="Times New Roman"/>
          <w:iCs/>
          <w:sz w:val="21"/>
          <w:szCs w:val="21"/>
        </w:rPr>
        <w:t>[Електронний ресурс]. – Режим доступу:</w:t>
      </w:r>
      <w:r w:rsidRPr="00F11B95">
        <w:rPr>
          <w:rFonts w:ascii="Times New Roman" w:hAnsi="Times New Roman" w:cs="Times New Roman"/>
          <w:sz w:val="21"/>
          <w:szCs w:val="21"/>
        </w:rPr>
        <w:t xml:space="preserve"> </w:t>
      </w:r>
      <w:hyperlink r:id="rId19" w:history="1">
        <w:r w:rsidRPr="009B21B6">
          <w:rPr>
            <w:rStyle w:val="aff"/>
            <w:rFonts w:ascii="Times New Roman" w:eastAsia="Calibri" w:hAnsi="Times New Roman" w:cs="Times New Roman"/>
            <w:color w:val="auto"/>
            <w:sz w:val="21"/>
            <w:szCs w:val="21"/>
            <w:u w:val="none"/>
            <w:lang w:val="en-US"/>
          </w:rPr>
          <w:t>http</w:t>
        </w:r>
        <w:r w:rsidRPr="009B21B6">
          <w:rPr>
            <w:rStyle w:val="aff"/>
            <w:rFonts w:ascii="Times New Roman" w:eastAsia="Calibri" w:hAnsi="Times New Roman" w:cs="Times New Roman"/>
            <w:color w:val="auto"/>
            <w:sz w:val="21"/>
            <w:szCs w:val="21"/>
            <w:u w:val="none"/>
          </w:rPr>
          <w:t>://</w:t>
        </w:r>
        <w:r w:rsidRPr="009B21B6">
          <w:rPr>
            <w:rStyle w:val="aff"/>
            <w:rFonts w:ascii="Times New Roman" w:eastAsia="Calibri" w:hAnsi="Times New Roman" w:cs="Times New Roman"/>
            <w:color w:val="auto"/>
            <w:sz w:val="21"/>
            <w:szCs w:val="21"/>
            <w:u w:val="none"/>
            <w:lang w:val="en-US"/>
          </w:rPr>
          <w:t>data</w:t>
        </w:r>
        <w:r w:rsidRPr="009B21B6">
          <w:rPr>
            <w:rStyle w:val="aff"/>
            <w:rFonts w:ascii="Times New Roman" w:eastAsia="Calibri" w:hAnsi="Times New Roman" w:cs="Times New Roman"/>
            <w:color w:val="auto"/>
            <w:sz w:val="21"/>
            <w:szCs w:val="21"/>
            <w:u w:val="none"/>
          </w:rPr>
          <w:t>.</w:t>
        </w:r>
        <w:r w:rsidRPr="009B21B6">
          <w:rPr>
            <w:rStyle w:val="aff"/>
            <w:rFonts w:ascii="Times New Roman" w:eastAsia="Calibri" w:hAnsi="Times New Roman" w:cs="Times New Roman"/>
            <w:color w:val="auto"/>
            <w:sz w:val="21"/>
            <w:szCs w:val="21"/>
            <w:u w:val="none"/>
            <w:lang w:val="en-US"/>
          </w:rPr>
          <w:t>worldbank</w:t>
        </w:r>
        <w:r w:rsidRPr="009B21B6">
          <w:rPr>
            <w:rStyle w:val="aff"/>
            <w:rFonts w:ascii="Times New Roman" w:eastAsia="Calibri" w:hAnsi="Times New Roman" w:cs="Times New Roman"/>
            <w:color w:val="auto"/>
            <w:sz w:val="21"/>
            <w:szCs w:val="21"/>
            <w:u w:val="none"/>
          </w:rPr>
          <w:t>.</w:t>
        </w:r>
        <w:r w:rsidRPr="009B21B6">
          <w:rPr>
            <w:rStyle w:val="aff"/>
            <w:rFonts w:ascii="Times New Roman" w:eastAsia="Calibri" w:hAnsi="Times New Roman" w:cs="Times New Roman"/>
            <w:color w:val="auto"/>
            <w:sz w:val="21"/>
            <w:szCs w:val="21"/>
            <w:u w:val="none"/>
            <w:lang w:val="en-US"/>
          </w:rPr>
          <w:t>org</w:t>
        </w:r>
        <w:r w:rsidRPr="009B21B6">
          <w:rPr>
            <w:rStyle w:val="aff"/>
            <w:rFonts w:ascii="Times New Roman" w:eastAsia="Calibri" w:hAnsi="Times New Roman" w:cs="Times New Roman"/>
            <w:color w:val="auto"/>
            <w:sz w:val="21"/>
            <w:szCs w:val="21"/>
            <w:u w:val="none"/>
          </w:rPr>
          <w:t>/</w:t>
        </w:r>
        <w:r w:rsidRPr="009B21B6">
          <w:rPr>
            <w:rStyle w:val="aff"/>
            <w:rFonts w:ascii="Times New Roman" w:eastAsia="Calibri" w:hAnsi="Times New Roman" w:cs="Times New Roman"/>
            <w:color w:val="auto"/>
            <w:sz w:val="21"/>
            <w:szCs w:val="21"/>
            <w:u w:val="none"/>
            <w:lang w:val="en-US"/>
          </w:rPr>
          <w:t>indicator</w:t>
        </w:r>
        <w:r w:rsidRPr="009B21B6">
          <w:rPr>
            <w:rStyle w:val="aff"/>
            <w:rFonts w:ascii="Times New Roman" w:eastAsia="Calibri" w:hAnsi="Times New Roman" w:cs="Times New Roman"/>
            <w:color w:val="auto"/>
            <w:sz w:val="21"/>
            <w:szCs w:val="21"/>
            <w:u w:val="none"/>
          </w:rPr>
          <w:t>/</w:t>
        </w:r>
        <w:r w:rsidRPr="009B21B6">
          <w:rPr>
            <w:rStyle w:val="aff"/>
            <w:rFonts w:ascii="Times New Roman" w:eastAsia="Calibri" w:hAnsi="Times New Roman" w:cs="Times New Roman"/>
            <w:color w:val="auto"/>
            <w:sz w:val="21"/>
            <w:szCs w:val="21"/>
            <w:u w:val="none"/>
            <w:lang w:val="en-US"/>
          </w:rPr>
          <w:t>GB</w:t>
        </w:r>
        <w:r w:rsidRPr="009B21B6">
          <w:rPr>
            <w:rStyle w:val="aff"/>
            <w:rFonts w:ascii="Times New Roman" w:eastAsia="Calibri" w:hAnsi="Times New Roman" w:cs="Times New Roman"/>
            <w:color w:val="auto"/>
            <w:sz w:val="21"/>
            <w:szCs w:val="21"/>
            <w:u w:val="none"/>
          </w:rPr>
          <w:t>.</w:t>
        </w:r>
        <w:r w:rsidRPr="009B21B6">
          <w:rPr>
            <w:rStyle w:val="aff"/>
            <w:rFonts w:ascii="Times New Roman" w:eastAsia="Calibri" w:hAnsi="Times New Roman" w:cs="Times New Roman"/>
            <w:color w:val="auto"/>
            <w:sz w:val="21"/>
            <w:szCs w:val="21"/>
            <w:u w:val="none"/>
            <w:lang w:val="en-US"/>
          </w:rPr>
          <w:t>XPD</w:t>
        </w:r>
        <w:r w:rsidRPr="009B21B6">
          <w:rPr>
            <w:rStyle w:val="aff"/>
            <w:rFonts w:ascii="Times New Roman" w:eastAsia="Calibri" w:hAnsi="Times New Roman" w:cs="Times New Roman"/>
            <w:color w:val="auto"/>
            <w:sz w:val="21"/>
            <w:szCs w:val="21"/>
            <w:u w:val="none"/>
          </w:rPr>
          <w:t>.</w:t>
        </w:r>
        <w:r w:rsidRPr="009B21B6">
          <w:rPr>
            <w:rStyle w:val="aff"/>
            <w:rFonts w:ascii="Times New Roman" w:eastAsia="Calibri" w:hAnsi="Times New Roman" w:cs="Times New Roman"/>
            <w:color w:val="auto"/>
            <w:sz w:val="21"/>
            <w:szCs w:val="21"/>
            <w:u w:val="none"/>
            <w:lang w:val="en-US"/>
          </w:rPr>
          <w:t>RSDV</w:t>
        </w:r>
        <w:r w:rsidRPr="009B21B6">
          <w:rPr>
            <w:rStyle w:val="aff"/>
            <w:rFonts w:ascii="Times New Roman" w:eastAsia="Calibri" w:hAnsi="Times New Roman" w:cs="Times New Roman"/>
            <w:color w:val="auto"/>
            <w:sz w:val="21"/>
            <w:szCs w:val="21"/>
            <w:u w:val="none"/>
          </w:rPr>
          <w:t>.</w:t>
        </w:r>
        <w:r w:rsidRPr="009B21B6">
          <w:rPr>
            <w:rStyle w:val="aff"/>
            <w:rFonts w:ascii="Times New Roman" w:eastAsia="Calibri" w:hAnsi="Times New Roman" w:cs="Times New Roman"/>
            <w:color w:val="auto"/>
            <w:sz w:val="21"/>
            <w:szCs w:val="21"/>
            <w:u w:val="none"/>
            <w:lang w:val="en-US"/>
          </w:rPr>
          <w:t>GD</w:t>
        </w:r>
        <w:r w:rsidRPr="009B21B6">
          <w:rPr>
            <w:rStyle w:val="aff"/>
            <w:rFonts w:ascii="Times New Roman" w:eastAsia="Calibri" w:hAnsi="Times New Roman" w:cs="Times New Roman"/>
            <w:color w:val="auto"/>
            <w:sz w:val="21"/>
            <w:szCs w:val="21"/>
            <w:u w:val="none"/>
          </w:rPr>
          <w:t>.</w:t>
        </w:r>
        <w:r w:rsidRPr="009B21B6">
          <w:rPr>
            <w:rStyle w:val="aff"/>
            <w:rFonts w:ascii="Times New Roman" w:eastAsia="Calibri" w:hAnsi="Times New Roman" w:cs="Times New Roman"/>
            <w:color w:val="auto"/>
            <w:sz w:val="21"/>
            <w:szCs w:val="21"/>
            <w:u w:val="none"/>
            <w:lang w:val="en-US"/>
          </w:rPr>
          <w:t>ZS</w:t>
        </w:r>
      </w:hyperlink>
    </w:p>
    <w:p w:rsidR="00B233DE" w:rsidRPr="00EE53D9" w:rsidRDefault="00B233DE" w:rsidP="00B233DE">
      <w:pPr>
        <w:numPr>
          <w:ilvl w:val="0"/>
          <w:numId w:val="1"/>
        </w:numPr>
        <w:tabs>
          <w:tab w:val="clear" w:pos="720"/>
          <w:tab w:val="left" w:pos="1134"/>
        </w:tabs>
        <w:ind w:left="0" w:firstLine="709"/>
        <w:jc w:val="both"/>
        <w:rPr>
          <w:rFonts w:ascii="Times New Roman" w:hAnsi="Times New Roman" w:cs="Times New Roman"/>
          <w:sz w:val="21"/>
          <w:szCs w:val="21"/>
          <w:lang w:val="en-US"/>
        </w:rPr>
      </w:pPr>
      <w:bookmarkStart w:id="76" w:name="_Ref430593757"/>
      <w:r w:rsidRPr="002055BD">
        <w:rPr>
          <w:rFonts w:ascii="Times New Roman" w:hAnsi="Times New Roman" w:cs="Times New Roman"/>
          <w:spacing w:val="-8"/>
          <w:sz w:val="21"/>
          <w:szCs w:val="21"/>
        </w:rPr>
        <w:t>Schultz T. Investment in Human Capital</w:t>
      </w:r>
      <w:r>
        <w:rPr>
          <w:rFonts w:ascii="Times New Roman" w:hAnsi="Times New Roman" w:cs="Times New Roman"/>
          <w:spacing w:val="-8"/>
          <w:sz w:val="21"/>
          <w:szCs w:val="21"/>
        </w:rPr>
        <w:t xml:space="preserve"> /</w:t>
      </w:r>
      <w:r w:rsidRPr="00634126">
        <w:rPr>
          <w:rFonts w:ascii="Times New Roman" w:hAnsi="Times New Roman" w:cs="Times New Roman"/>
          <w:spacing w:val="-8"/>
          <w:sz w:val="21"/>
          <w:szCs w:val="21"/>
        </w:rPr>
        <w:t xml:space="preserve"> </w:t>
      </w:r>
      <w:r w:rsidRPr="002055BD">
        <w:rPr>
          <w:rFonts w:ascii="Times New Roman" w:hAnsi="Times New Roman" w:cs="Times New Roman"/>
          <w:spacing w:val="-8"/>
          <w:sz w:val="21"/>
          <w:szCs w:val="21"/>
        </w:rPr>
        <w:t>T.</w:t>
      </w:r>
      <w:r>
        <w:rPr>
          <w:rFonts w:ascii="Times New Roman" w:hAnsi="Times New Roman" w:cs="Times New Roman"/>
          <w:spacing w:val="-8"/>
          <w:sz w:val="21"/>
          <w:szCs w:val="21"/>
        </w:rPr>
        <w:t xml:space="preserve"> </w:t>
      </w:r>
      <w:r w:rsidRPr="002055BD">
        <w:rPr>
          <w:rFonts w:ascii="Times New Roman" w:hAnsi="Times New Roman" w:cs="Times New Roman"/>
          <w:spacing w:val="-8"/>
          <w:sz w:val="21"/>
          <w:szCs w:val="21"/>
        </w:rPr>
        <w:t xml:space="preserve">Schultz </w:t>
      </w:r>
      <w:r w:rsidRPr="00634126">
        <w:rPr>
          <w:rFonts w:ascii="Times New Roman" w:hAnsi="Times New Roman" w:cs="Times New Roman"/>
          <w:sz w:val="21"/>
          <w:szCs w:val="21"/>
          <w:lang w:val="en-US"/>
        </w:rPr>
        <w:t>[</w:t>
      </w:r>
      <w:r w:rsidRPr="002055BD">
        <w:rPr>
          <w:rFonts w:ascii="Times New Roman" w:hAnsi="Times New Roman" w:cs="Times New Roman"/>
          <w:sz w:val="21"/>
          <w:szCs w:val="21"/>
        </w:rPr>
        <w:t>Електронний ресурс</w:t>
      </w:r>
      <w:r w:rsidRPr="00634126">
        <w:rPr>
          <w:rFonts w:ascii="Times New Roman" w:hAnsi="Times New Roman" w:cs="Times New Roman"/>
          <w:sz w:val="21"/>
          <w:szCs w:val="21"/>
          <w:lang w:val="en-US"/>
        </w:rPr>
        <w:t>]</w:t>
      </w:r>
      <w:r w:rsidRPr="002055BD">
        <w:rPr>
          <w:rFonts w:ascii="Times New Roman" w:hAnsi="Times New Roman" w:cs="Times New Roman"/>
          <w:sz w:val="21"/>
          <w:szCs w:val="21"/>
        </w:rPr>
        <w:t xml:space="preserve"> – Режим доступу:</w:t>
      </w:r>
      <w:r>
        <w:rPr>
          <w:rFonts w:ascii="Times New Roman" w:hAnsi="Times New Roman" w:cs="Times New Roman"/>
          <w:sz w:val="21"/>
          <w:szCs w:val="21"/>
        </w:rPr>
        <w:t xml:space="preserve"> </w:t>
      </w:r>
      <w:hyperlink r:id="rId20" w:history="1">
        <w:r w:rsidRPr="00EE53D9">
          <w:rPr>
            <w:rStyle w:val="aff"/>
            <w:rFonts w:ascii="Times New Roman" w:eastAsia="Calibri" w:hAnsi="Times New Roman" w:cs="Times New Roman"/>
            <w:color w:val="auto"/>
            <w:sz w:val="21"/>
            <w:szCs w:val="21"/>
            <w:u w:val="none"/>
            <w:lang w:val="en-US"/>
          </w:rPr>
          <w:t>http://www.ssc.wisc.edu/~</w:t>
        </w:r>
        <w:r w:rsidRPr="00EE53D9">
          <w:rPr>
            <w:rStyle w:val="aff"/>
            <w:rFonts w:ascii="Times New Roman" w:eastAsia="Calibri" w:hAnsi="Times New Roman" w:cs="Times New Roman"/>
            <w:color w:val="auto"/>
            <w:sz w:val="21"/>
            <w:szCs w:val="21"/>
            <w:u w:val="none"/>
          </w:rPr>
          <w:t xml:space="preserve"> </w:t>
        </w:r>
        <w:r w:rsidRPr="00EE53D9">
          <w:rPr>
            <w:rStyle w:val="aff"/>
            <w:rFonts w:ascii="Times New Roman" w:eastAsia="Calibri" w:hAnsi="Times New Roman" w:cs="Times New Roman"/>
            <w:color w:val="auto"/>
            <w:sz w:val="21"/>
            <w:szCs w:val="21"/>
            <w:u w:val="none"/>
            <w:lang w:val="en-US"/>
          </w:rPr>
          <w:t>walker/wp/wpcontent/uploads/2012/04/schultz61.pdf</w:t>
        </w:r>
      </w:hyperlink>
      <w:bookmarkEnd w:id="76"/>
    </w:p>
    <w:p w:rsidR="00B233DE" w:rsidRPr="002055BD" w:rsidRDefault="00B233DE" w:rsidP="00B233DE">
      <w:pPr>
        <w:numPr>
          <w:ilvl w:val="0"/>
          <w:numId w:val="1"/>
        </w:numPr>
        <w:tabs>
          <w:tab w:val="clear" w:pos="720"/>
          <w:tab w:val="left" w:pos="1134"/>
        </w:tabs>
        <w:ind w:left="0" w:firstLine="709"/>
        <w:jc w:val="both"/>
        <w:rPr>
          <w:rFonts w:ascii="Times New Roman" w:hAnsi="Times New Roman" w:cs="Times New Roman"/>
          <w:sz w:val="21"/>
          <w:szCs w:val="21"/>
          <w:lang w:val="en-US"/>
        </w:rPr>
      </w:pPr>
      <w:r w:rsidRPr="00EE53D9">
        <w:rPr>
          <w:rFonts w:ascii="Times New Roman" w:hAnsi="Times New Roman" w:cs="Times New Roman"/>
          <w:spacing w:val="-10"/>
          <w:sz w:val="21"/>
          <w:szCs w:val="21"/>
        </w:rPr>
        <w:t xml:space="preserve"> </w:t>
      </w:r>
      <w:bookmarkStart w:id="77" w:name="_Ref430593809"/>
      <w:r w:rsidRPr="002055BD">
        <w:rPr>
          <w:rFonts w:ascii="Times New Roman" w:hAnsi="Times New Roman" w:cs="Times New Roman"/>
          <w:sz w:val="21"/>
          <w:szCs w:val="21"/>
          <w:lang w:val="en-US"/>
        </w:rPr>
        <w:t>UNDP. Human Development Report 1990. – New York: Oxford University Press. – p.10</w:t>
      </w:r>
      <w:r>
        <w:rPr>
          <w:rFonts w:ascii="Times New Roman" w:hAnsi="Times New Roman" w:cs="Times New Roman"/>
          <w:sz w:val="21"/>
          <w:szCs w:val="21"/>
        </w:rPr>
        <w:t>.</w:t>
      </w:r>
      <w:bookmarkEnd w:id="77"/>
    </w:p>
    <w:p w:rsidR="00B233DE" w:rsidRDefault="00B233DE" w:rsidP="00B233DE">
      <w:pPr>
        <w:jc w:val="both"/>
        <w:rPr>
          <w:rFonts w:ascii="Times New Roman" w:hAnsi="Times New Roman" w:cs="Times New Roman"/>
          <w:sz w:val="21"/>
          <w:szCs w:val="21"/>
        </w:rPr>
      </w:pPr>
    </w:p>
    <w:p w:rsidR="00B233DE" w:rsidRDefault="00B233DE" w:rsidP="00B233DE">
      <w:pPr>
        <w:jc w:val="both"/>
        <w:rPr>
          <w:rFonts w:ascii="Times New Roman" w:hAnsi="Times New Roman" w:cs="Times New Roman"/>
          <w:sz w:val="21"/>
          <w:szCs w:val="21"/>
        </w:rPr>
      </w:pPr>
    </w:p>
    <w:p w:rsidR="00B233DE" w:rsidRDefault="00B233DE" w:rsidP="00B233DE">
      <w:pPr>
        <w:rPr>
          <w:rFonts w:ascii="Times New Roman" w:hAnsi="Times New Roman" w:cs="Times New Roman"/>
          <w:sz w:val="21"/>
          <w:szCs w:val="21"/>
        </w:rPr>
      </w:pPr>
      <w:r>
        <w:rPr>
          <w:rFonts w:ascii="Times New Roman" w:hAnsi="Times New Roman" w:cs="Times New Roman"/>
          <w:sz w:val="21"/>
          <w:szCs w:val="21"/>
        </w:rPr>
        <w:br w:type="page"/>
      </w:r>
    </w:p>
    <w:p w:rsidR="00B233DE" w:rsidRDefault="00B233DE" w:rsidP="00B233DE">
      <w:pPr>
        <w:ind w:firstLine="709"/>
        <w:jc w:val="right"/>
        <w:rPr>
          <w:rFonts w:ascii="Times New Roman" w:hAnsi="Times New Roman" w:cs="Times New Roman"/>
          <w:sz w:val="21"/>
          <w:szCs w:val="21"/>
        </w:rPr>
      </w:pPr>
    </w:p>
    <w:p w:rsidR="00B233DE" w:rsidRDefault="00B233DE" w:rsidP="00B233DE">
      <w:pPr>
        <w:ind w:firstLine="709"/>
        <w:jc w:val="right"/>
        <w:rPr>
          <w:rFonts w:ascii="Times New Roman" w:hAnsi="Times New Roman" w:cs="Times New Roman"/>
          <w:sz w:val="21"/>
          <w:szCs w:val="21"/>
        </w:rPr>
      </w:pPr>
    </w:p>
    <w:p w:rsidR="00B233DE" w:rsidRDefault="00B233DE" w:rsidP="00B233DE">
      <w:pPr>
        <w:ind w:firstLine="709"/>
        <w:jc w:val="right"/>
        <w:rPr>
          <w:rFonts w:ascii="Times New Roman" w:hAnsi="Times New Roman" w:cs="Times New Roman"/>
          <w:sz w:val="21"/>
          <w:szCs w:val="21"/>
        </w:rPr>
      </w:pPr>
    </w:p>
    <w:p w:rsidR="00B233DE" w:rsidRDefault="00B233DE" w:rsidP="00B233DE">
      <w:pPr>
        <w:ind w:firstLine="709"/>
        <w:jc w:val="right"/>
        <w:rPr>
          <w:rFonts w:ascii="Times New Roman" w:hAnsi="Times New Roman" w:cs="Times New Roman"/>
          <w:sz w:val="21"/>
          <w:szCs w:val="21"/>
        </w:rPr>
      </w:pPr>
    </w:p>
    <w:p w:rsidR="00B233DE" w:rsidRDefault="00B233DE" w:rsidP="00B233DE">
      <w:pPr>
        <w:ind w:firstLine="709"/>
        <w:jc w:val="right"/>
        <w:rPr>
          <w:rFonts w:ascii="Times New Roman" w:hAnsi="Times New Roman" w:cs="Times New Roman"/>
          <w:sz w:val="21"/>
          <w:szCs w:val="21"/>
        </w:rPr>
      </w:pPr>
    </w:p>
    <w:p w:rsidR="00B233DE" w:rsidRDefault="00B233DE" w:rsidP="00B233DE">
      <w:pPr>
        <w:ind w:firstLine="709"/>
        <w:jc w:val="right"/>
        <w:rPr>
          <w:rFonts w:ascii="Times New Roman" w:hAnsi="Times New Roman" w:cs="Times New Roman"/>
          <w:sz w:val="21"/>
          <w:szCs w:val="21"/>
        </w:rPr>
      </w:pPr>
    </w:p>
    <w:p w:rsidR="00B233DE" w:rsidRPr="004B50E7" w:rsidRDefault="00B233DE" w:rsidP="00B233DE">
      <w:pPr>
        <w:ind w:firstLine="709"/>
        <w:jc w:val="center"/>
        <w:rPr>
          <w:rFonts w:ascii="Times New Roman" w:hAnsi="Times New Roman" w:cs="Times New Roman"/>
          <w:sz w:val="21"/>
          <w:szCs w:val="21"/>
        </w:rPr>
      </w:pPr>
      <w:r w:rsidRPr="004B50E7">
        <w:rPr>
          <w:rFonts w:ascii="Times New Roman" w:hAnsi="Times New Roman" w:cs="Times New Roman"/>
          <w:b/>
          <w:sz w:val="21"/>
          <w:szCs w:val="21"/>
        </w:rPr>
        <w:t>РОЗДІЛ 2.</w:t>
      </w:r>
      <w:r>
        <w:rPr>
          <w:rFonts w:ascii="Times New Roman" w:hAnsi="Times New Roman" w:cs="Times New Roman"/>
          <w:sz w:val="21"/>
          <w:szCs w:val="21"/>
        </w:rPr>
        <w:t xml:space="preserve"> </w:t>
      </w:r>
      <w:r>
        <w:rPr>
          <w:rFonts w:ascii="Times New Roman" w:hAnsi="Times New Roman" w:cs="Times New Roman"/>
          <w:b/>
          <w:sz w:val="21"/>
          <w:szCs w:val="21"/>
        </w:rPr>
        <w:t>СТАН СОЦІАЛЬНО-ДЕМОГРАФІЧНОГО ПОТЕНЦІАЛУ УКРАЇНИ ТА ПРОБЛЕМИ ЙОГО ВИКОРИСТАННЯ</w:t>
      </w:r>
    </w:p>
    <w:p w:rsidR="00B233DE" w:rsidRDefault="00B233DE" w:rsidP="00B233DE">
      <w:pPr>
        <w:ind w:firstLine="709"/>
        <w:jc w:val="center"/>
        <w:rPr>
          <w:rFonts w:ascii="Times New Roman" w:hAnsi="Times New Roman" w:cs="Times New Roman"/>
          <w:b/>
          <w:sz w:val="21"/>
          <w:szCs w:val="21"/>
        </w:rPr>
      </w:pPr>
    </w:p>
    <w:p w:rsidR="00B233DE" w:rsidRDefault="00B233DE" w:rsidP="00B233DE">
      <w:pPr>
        <w:ind w:firstLine="709"/>
        <w:jc w:val="center"/>
        <w:rPr>
          <w:rFonts w:ascii="Times New Roman" w:hAnsi="Times New Roman" w:cs="Times New Roman"/>
          <w:b/>
          <w:sz w:val="21"/>
          <w:szCs w:val="21"/>
        </w:rPr>
      </w:pPr>
    </w:p>
    <w:p w:rsidR="00B233DE" w:rsidRPr="00E20C1F" w:rsidRDefault="00B233DE" w:rsidP="00B233DE">
      <w:pPr>
        <w:pStyle w:val="afb"/>
        <w:shd w:val="clear" w:color="auto" w:fill="auto"/>
        <w:tabs>
          <w:tab w:val="left" w:pos="394"/>
          <w:tab w:val="left" w:pos="426"/>
        </w:tabs>
        <w:spacing w:before="0" w:line="240" w:lineRule="auto"/>
        <w:ind w:right="40" w:firstLine="709"/>
        <w:contextualSpacing/>
        <w:jc w:val="center"/>
        <w:rPr>
          <w:b/>
          <w:sz w:val="21"/>
          <w:szCs w:val="21"/>
        </w:rPr>
      </w:pPr>
      <w:r w:rsidRPr="00E20C1F">
        <w:rPr>
          <w:rFonts w:ascii="UkrainianPeterburg" w:hAnsi="UkrainianPeterburg"/>
          <w:b/>
          <w:sz w:val="21"/>
          <w:szCs w:val="21"/>
        </w:rPr>
        <w:t>2.1. Генезис розвитку демографічного потенціалу та передумови його формування в Україні</w:t>
      </w:r>
    </w:p>
    <w:p w:rsidR="00B233DE" w:rsidRDefault="00B233DE" w:rsidP="00B233DE">
      <w:pPr>
        <w:jc w:val="both"/>
        <w:rPr>
          <w:rFonts w:ascii="Times New Roman" w:hAnsi="Times New Roman" w:cs="Times New Roman"/>
          <w:sz w:val="21"/>
          <w:szCs w:val="21"/>
        </w:rPr>
      </w:pPr>
    </w:p>
    <w:p w:rsidR="00B233DE" w:rsidRPr="00F8667D" w:rsidRDefault="00B233DE" w:rsidP="00B233DE">
      <w:pPr>
        <w:jc w:val="both"/>
        <w:rPr>
          <w:rFonts w:ascii="Times New Roman" w:hAnsi="Times New Roman" w:cs="Times New Roman"/>
          <w:sz w:val="21"/>
          <w:szCs w:val="21"/>
        </w:rPr>
      </w:pPr>
    </w:p>
    <w:p w:rsidR="00B233DE" w:rsidRPr="0024174E" w:rsidRDefault="00B233DE" w:rsidP="00B233DE">
      <w:pPr>
        <w:tabs>
          <w:tab w:val="left" w:pos="142"/>
        </w:tabs>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Розвиток будь-якої країни значною мірою залежить від наявності людського потенціалу, гармонізації процесу його відновлення. На жаль, в останні два десятиріччя в Україні відбувається порушення процесу відтворення населення, що в результаті зумовило явище депопуляції. Скоротилася середня тривалість життя, зростають показники смертності, знизився рівень народжуваності, погіршилося репродуктивне здоров’я населення, зменшилася кількість зареєстрованих шлюбів, збільшилася кількість розлучень. Значний негативний вплив на міцність шлюбу має трудова міграція, яка стала масовим явищем. Відтік людських ресурсів поглиблює і так складну демографічну ситуацію в Україні. Тому усі ці вияви порушення </w:t>
      </w:r>
      <w:r>
        <w:rPr>
          <w:rFonts w:ascii="Times New Roman" w:hAnsi="Times New Roman" w:cs="Times New Roman"/>
          <w:sz w:val="21"/>
          <w:szCs w:val="21"/>
        </w:rPr>
        <w:t xml:space="preserve">процесу відтворення населення, </w:t>
      </w:r>
      <w:r w:rsidRPr="0024174E">
        <w:rPr>
          <w:rFonts w:ascii="Times New Roman" w:hAnsi="Times New Roman" w:cs="Times New Roman"/>
          <w:sz w:val="21"/>
          <w:szCs w:val="21"/>
        </w:rPr>
        <w:t xml:space="preserve">його соціальної структури повинні спонукати до формування такої внутрішньої політики держави, у центрі якої має бути людина, її життя, здоров’я, духовні потреби. </w:t>
      </w:r>
    </w:p>
    <w:p w:rsidR="00B233DE" w:rsidRPr="0024174E" w:rsidRDefault="00B233DE" w:rsidP="00B233DE">
      <w:pPr>
        <w:tabs>
          <w:tab w:val="left" w:pos="142"/>
        </w:tabs>
        <w:ind w:firstLine="720"/>
        <w:jc w:val="both"/>
        <w:rPr>
          <w:rFonts w:ascii="Times New Roman" w:hAnsi="Times New Roman" w:cs="Times New Roman"/>
          <w:sz w:val="21"/>
          <w:szCs w:val="21"/>
        </w:rPr>
      </w:pPr>
      <w:r w:rsidRPr="0024174E">
        <w:rPr>
          <w:rFonts w:ascii="Times New Roman" w:hAnsi="Times New Roman" w:cs="Times New Roman"/>
          <w:sz w:val="21"/>
          <w:szCs w:val="21"/>
        </w:rPr>
        <w:t>До питань демографії в різний час історії зверталися відомі вчені, філософи і дослідники. Одні з перших на сьогодні праць, де мова йде про питання демографії, належ</w:t>
      </w:r>
      <w:r>
        <w:rPr>
          <w:rFonts w:ascii="Times New Roman" w:hAnsi="Times New Roman" w:cs="Times New Roman"/>
          <w:sz w:val="21"/>
          <w:szCs w:val="21"/>
        </w:rPr>
        <w:t>ать Платону. Саме Платон (428–</w:t>
      </w:r>
      <w:r w:rsidRPr="0024174E">
        <w:rPr>
          <w:rFonts w:ascii="Times New Roman" w:hAnsi="Times New Roman" w:cs="Times New Roman"/>
          <w:sz w:val="21"/>
          <w:szCs w:val="21"/>
        </w:rPr>
        <w:t>347 рр. до н.е.) у «Законах»</w:t>
      </w:r>
      <w:r>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_Ref433791455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25</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sidRPr="0024174E">
        <w:rPr>
          <w:rFonts w:ascii="Times New Roman" w:hAnsi="Times New Roman" w:cs="Times New Roman"/>
          <w:sz w:val="21"/>
          <w:szCs w:val="21"/>
        </w:rPr>
        <w:t xml:space="preserve"> подає проект ідеальної держави, зауважуючи, що кількість родин у державі не повинна перевищувати 5040. Тобто, він визначив демографічний оптимум. Щоб його утримувати в таких межах він пропонував: по-перше, обмежити народжуваність, а по-друге, заснувати колонії, куди </w:t>
      </w:r>
      <w:r w:rsidRPr="0024174E">
        <w:rPr>
          <w:rFonts w:ascii="Times New Roman" w:hAnsi="Times New Roman" w:cs="Times New Roman"/>
          <w:sz w:val="21"/>
          <w:szCs w:val="21"/>
        </w:rPr>
        <w:lastRenderedPageBreak/>
        <w:t>спрямовувався б надлишок населення, по-третє, регулювати кількість шлюбів. Погляди Плат</w:t>
      </w:r>
      <w:r>
        <w:rPr>
          <w:rFonts w:ascii="Times New Roman" w:hAnsi="Times New Roman" w:cs="Times New Roman"/>
          <w:sz w:val="21"/>
          <w:szCs w:val="21"/>
        </w:rPr>
        <w:t>она поділяв і Аристотель (384–</w:t>
      </w:r>
      <w:r w:rsidRPr="0024174E">
        <w:rPr>
          <w:rFonts w:ascii="Times New Roman" w:hAnsi="Times New Roman" w:cs="Times New Roman"/>
          <w:sz w:val="21"/>
          <w:szCs w:val="21"/>
        </w:rPr>
        <w:t>322 рр. до н.е.), який підкреслював важливу роль держави у дотриманні демографічного оптимуму. Інакше, вважав Аристотель, надмірне збільшення чисельності населення призведе до збідніння громадян, а відтак це стане причиною суспільного незадоволення, порушиться соціальна гармонія, суспільний спокій</w:t>
      </w:r>
      <w:r>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_Ref433791463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sidRPr="0024174E">
        <w:rPr>
          <w:rFonts w:ascii="Times New Roman" w:hAnsi="Times New Roman" w:cs="Times New Roman"/>
          <w:sz w:val="21"/>
          <w:szCs w:val="21"/>
        </w:rPr>
        <w:t xml:space="preserve">. </w:t>
      </w:r>
    </w:p>
    <w:p w:rsidR="00B233DE" w:rsidRPr="0024174E" w:rsidRDefault="00B233DE" w:rsidP="00B233DE">
      <w:pPr>
        <w:tabs>
          <w:tab w:val="left" w:pos="142"/>
        </w:tabs>
        <w:ind w:firstLine="720"/>
        <w:jc w:val="both"/>
        <w:rPr>
          <w:rFonts w:ascii="Times New Roman" w:hAnsi="Times New Roman" w:cs="Times New Roman"/>
          <w:sz w:val="21"/>
          <w:szCs w:val="21"/>
        </w:rPr>
      </w:pPr>
      <w:r w:rsidRPr="0024174E">
        <w:rPr>
          <w:rFonts w:ascii="Times New Roman" w:hAnsi="Times New Roman" w:cs="Times New Roman"/>
          <w:sz w:val="21"/>
          <w:szCs w:val="21"/>
        </w:rPr>
        <w:t>У Спарті і Фівах батьки взагалі були позбавлені права вирішувати питання подальшого розвитку народженої дитини – тут діяв державний відбір новонароджених. Як висловлювався Сократ: «Після пологів треба дивитися, щоб народження не приховало від нас чогось не вартого годування»</w:t>
      </w:r>
      <w:r>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_Ref433791470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30</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sidRPr="0024174E">
        <w:rPr>
          <w:rFonts w:ascii="Times New Roman" w:hAnsi="Times New Roman" w:cs="Times New Roman"/>
          <w:sz w:val="21"/>
          <w:szCs w:val="21"/>
        </w:rPr>
        <w:t xml:space="preserve">. Платон і Аристотель обмежували період народжуваності. Платон вважав, що жінці можна народжувати, починаючи з двадцятирічного до сорокарічного віку, Аристотель обмежував віковий ценз закінченням дітонародження 37 роками. </w:t>
      </w:r>
    </w:p>
    <w:p w:rsidR="00B233DE" w:rsidRDefault="00B233DE" w:rsidP="00B233DE">
      <w:pPr>
        <w:tabs>
          <w:tab w:val="left" w:pos="142"/>
        </w:tabs>
        <w:ind w:firstLine="720"/>
        <w:jc w:val="both"/>
        <w:rPr>
          <w:rFonts w:ascii="Times New Roman" w:hAnsi="Times New Roman" w:cs="Times New Roman"/>
          <w:sz w:val="21"/>
          <w:szCs w:val="21"/>
        </w:rPr>
      </w:pPr>
      <w:r w:rsidRPr="0024174E">
        <w:rPr>
          <w:rFonts w:ascii="Times New Roman" w:hAnsi="Times New Roman" w:cs="Times New Roman"/>
          <w:sz w:val="21"/>
          <w:szCs w:val="21"/>
        </w:rPr>
        <w:t>В античних містах-державах намагалися забезпечити рівність сімей повноправних громадян. З цією метою Платон вимагав заборонити традиційне обов’язкове правило забезпечення приданим доньки. Але цю традицію подолати не вдалося, тому в античній Греції держава могла із громадських фондів забезпечувати доньку незаможніх батьків приданим. Адже необхідність зібрати придане для дочки лягало важкою ношею на батьків і часто вони відмовлялися від неї. Як свідчив Посідіпп: «Сина виховують, навіть якщо бідні, а дочку викидають, навіть якщо багаті»</w:t>
      </w:r>
      <w:r>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_Ref433791478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sidRPr="0024174E">
        <w:rPr>
          <w:rFonts w:ascii="Times New Roman" w:hAnsi="Times New Roman" w:cs="Times New Roman"/>
          <w:sz w:val="21"/>
          <w:szCs w:val="21"/>
        </w:rPr>
        <w:t>. Але це призводило до порушення статевої структури населення. Так, у сім’ях 79 греків, які отримали громадянство міста-держави Мілет, було 118 синів і тільки 38 дочок, тобто співвідношення 3:1 тому держава намагалася виправити це яви</w:t>
      </w:r>
      <w:r>
        <w:rPr>
          <w:rFonts w:ascii="Times New Roman" w:hAnsi="Times New Roman" w:cs="Times New Roman"/>
          <w:sz w:val="21"/>
          <w:szCs w:val="21"/>
        </w:rPr>
        <w:t xml:space="preserve">ще частковою допомогою сім’ям. </w:t>
      </w:r>
    </w:p>
    <w:p w:rsidR="00B233DE" w:rsidRPr="0024174E" w:rsidRDefault="00B233DE" w:rsidP="00B233DE">
      <w:pPr>
        <w:tabs>
          <w:tab w:val="left" w:pos="142"/>
        </w:tabs>
        <w:ind w:firstLine="720"/>
        <w:jc w:val="both"/>
        <w:rPr>
          <w:rFonts w:ascii="Times New Roman" w:hAnsi="Times New Roman" w:cs="Times New Roman"/>
          <w:sz w:val="21"/>
          <w:szCs w:val="21"/>
        </w:rPr>
      </w:pPr>
      <w:r w:rsidRPr="0024174E">
        <w:rPr>
          <w:rFonts w:ascii="Times New Roman" w:hAnsi="Times New Roman" w:cs="Times New Roman"/>
          <w:sz w:val="21"/>
          <w:szCs w:val="21"/>
        </w:rPr>
        <w:t>У Стародавньому Китаї проблема демографічного оптимуму також хвилювала філософів. Конфуці</w:t>
      </w:r>
      <w:r>
        <w:rPr>
          <w:rFonts w:ascii="Times New Roman" w:hAnsi="Times New Roman" w:cs="Times New Roman"/>
          <w:sz w:val="21"/>
          <w:szCs w:val="21"/>
        </w:rPr>
        <w:t>й (551–</w:t>
      </w:r>
      <w:r w:rsidRPr="0024174E">
        <w:rPr>
          <w:rFonts w:ascii="Times New Roman" w:hAnsi="Times New Roman" w:cs="Times New Roman"/>
          <w:sz w:val="21"/>
          <w:szCs w:val="21"/>
        </w:rPr>
        <w:t>479 рр. до н.е.) говорив про «ідеальну пропорцію» між кількістю населення і площею наявної землі. Порушення цієї пропорції в той чи в інший бік призводить до негативних наслідків. При зменшенні населення – не вся земля обробляється, стоїть пусткою, а при надмірному збільшенні – існуюча земля не може прогодувати усіх</w:t>
      </w:r>
      <w:r>
        <w:rPr>
          <w:rFonts w:ascii="Times New Roman" w:hAnsi="Times New Roman" w:cs="Times New Roman"/>
          <w:sz w:val="21"/>
          <w:szCs w:val="21"/>
        </w:rPr>
        <w:t xml:space="preserve"> [</w:t>
      </w:r>
      <w:r>
        <w:fldChar w:fldCharType="begin"/>
      </w:r>
      <w:r>
        <w:rPr>
          <w:rFonts w:ascii="Times New Roman" w:hAnsi="Times New Roman" w:cs="Times New Roman"/>
          <w:sz w:val="21"/>
          <w:szCs w:val="21"/>
        </w:rPr>
        <w:instrText xml:space="preserve"> REF _Ref433791484 \r \h </w:instrText>
      </w:r>
      <w:r>
        <w:fldChar w:fldCharType="separate"/>
      </w:r>
      <w:r>
        <w:rPr>
          <w:rFonts w:ascii="Times New Roman" w:hAnsi="Times New Roman" w:cs="Times New Roman"/>
          <w:sz w:val="21"/>
          <w:szCs w:val="21"/>
        </w:rPr>
        <w:t>14</w:t>
      </w:r>
      <w:r>
        <w:fldChar w:fldCharType="end"/>
      </w:r>
      <w:r>
        <w:rPr>
          <w:rFonts w:ascii="Times New Roman" w:hAnsi="Times New Roman" w:cs="Times New Roman"/>
          <w:sz w:val="21"/>
          <w:szCs w:val="21"/>
        </w:rPr>
        <w:t>]</w:t>
      </w:r>
      <w:r w:rsidRPr="0024174E">
        <w:rPr>
          <w:rFonts w:ascii="Times New Roman" w:hAnsi="Times New Roman" w:cs="Times New Roman"/>
          <w:sz w:val="21"/>
          <w:szCs w:val="21"/>
        </w:rPr>
        <w:t xml:space="preserve">. У ІІІ столітті до нашої ери в Стародавньому Китаї виникає школа легістів (законників), які виступають за контроль над процесом </w:t>
      </w:r>
      <w:r w:rsidRPr="0024174E">
        <w:rPr>
          <w:rFonts w:ascii="Times New Roman" w:hAnsi="Times New Roman" w:cs="Times New Roman"/>
          <w:sz w:val="21"/>
          <w:szCs w:val="21"/>
        </w:rPr>
        <w:lastRenderedPageBreak/>
        <w:t>відтворення населення. Одним з яскравих представників ціє</w:t>
      </w:r>
      <w:r>
        <w:rPr>
          <w:rFonts w:ascii="Times New Roman" w:hAnsi="Times New Roman" w:cs="Times New Roman"/>
          <w:sz w:val="21"/>
          <w:szCs w:val="21"/>
        </w:rPr>
        <w:t>ї школи був Хань Фей-цзи (280–</w:t>
      </w:r>
      <w:r w:rsidRPr="0024174E">
        <w:rPr>
          <w:rFonts w:ascii="Times New Roman" w:hAnsi="Times New Roman" w:cs="Times New Roman"/>
          <w:sz w:val="21"/>
          <w:szCs w:val="21"/>
        </w:rPr>
        <w:t xml:space="preserve">233 рр. до н.е.). </w:t>
      </w:r>
    </w:p>
    <w:p w:rsidR="00B233DE" w:rsidRPr="0024174E" w:rsidRDefault="00B233DE" w:rsidP="00B233DE">
      <w:pPr>
        <w:tabs>
          <w:tab w:val="left" w:pos="142"/>
        </w:tabs>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Наприкінці ХVІ століття знову вченими оволодіває хвилювання з приводу негативних наслідків різкого збільшення народонаселення. У працях англійського автора </w:t>
      </w:r>
      <w:r>
        <w:rPr>
          <w:rFonts w:ascii="Times New Roman" w:hAnsi="Times New Roman" w:cs="Times New Roman"/>
          <w:sz w:val="21"/>
          <w:szCs w:val="21"/>
        </w:rPr>
        <w:t>Р</w:t>
      </w:r>
      <w:r w:rsidRPr="0024174E">
        <w:rPr>
          <w:rFonts w:ascii="Times New Roman" w:hAnsi="Times New Roman" w:cs="Times New Roman"/>
          <w:sz w:val="21"/>
          <w:szCs w:val="21"/>
        </w:rPr>
        <w:t>. Холі</w:t>
      </w:r>
      <w:r>
        <w:rPr>
          <w:rFonts w:ascii="Times New Roman" w:hAnsi="Times New Roman" w:cs="Times New Roman"/>
          <w:sz w:val="21"/>
          <w:szCs w:val="21"/>
        </w:rPr>
        <w:t>н</w:t>
      </w:r>
      <w:r w:rsidRPr="0024174E">
        <w:rPr>
          <w:rFonts w:ascii="Times New Roman" w:hAnsi="Times New Roman" w:cs="Times New Roman"/>
          <w:sz w:val="21"/>
          <w:szCs w:val="21"/>
        </w:rPr>
        <w:t>шеда</w:t>
      </w:r>
      <w:r>
        <w:rPr>
          <w:rFonts w:ascii="Times New Roman" w:hAnsi="Times New Roman" w:cs="Times New Roman"/>
          <w:sz w:val="21"/>
          <w:szCs w:val="21"/>
        </w:rPr>
        <w:t xml:space="preserve"> [</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_Ref433791491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41</w:t>
      </w:r>
      <w:r>
        <w:rPr>
          <w:rFonts w:ascii="Times New Roman" w:hAnsi="Times New Roman" w:cs="Times New Roman"/>
          <w:sz w:val="21"/>
          <w:szCs w:val="21"/>
          <w:highlight w:val="yellow"/>
          <w:lang w:val="en-US"/>
        </w:rPr>
        <w:fldChar w:fldCharType="end"/>
      </w:r>
      <w:r>
        <w:rPr>
          <w:rFonts w:ascii="Times New Roman" w:hAnsi="Times New Roman" w:cs="Times New Roman"/>
          <w:sz w:val="21"/>
          <w:szCs w:val="21"/>
        </w:rPr>
        <w:t>]</w:t>
      </w:r>
      <w:r w:rsidRPr="0024174E">
        <w:rPr>
          <w:rFonts w:ascii="Times New Roman" w:hAnsi="Times New Roman" w:cs="Times New Roman"/>
          <w:sz w:val="21"/>
          <w:szCs w:val="21"/>
        </w:rPr>
        <w:t xml:space="preserve"> стверджується, що багаточисельні шлюби вже не приносять країні користі, а навпаки, ускладнюють життя людей.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Одним з перших найвідоміших вчених-демографів був англієць Джон Граунт. У січні 1662 в Лондоні вийшла у світ його книга, що мала довгу, як тоді було прийнято, назву: «Природні і політичні спостереження, перераховані в доданому змісті і зроблені на основі бюлетенів про смертність, по відношенню до управління, релігії, торгівлі, зростання, повітря, хвороб та інших змін названого </w:t>
      </w:r>
      <w:r w:rsidRPr="009F3B45">
        <w:rPr>
          <w:rFonts w:ascii="Times New Roman" w:hAnsi="Times New Roman" w:cs="Times New Roman"/>
          <w:spacing w:val="-2"/>
          <w:sz w:val="21"/>
          <w:szCs w:val="21"/>
        </w:rPr>
        <w:t>міста. Твір Джона Граунта, громадянина Лондона» [</w:t>
      </w:r>
      <w:r w:rsidRPr="009F3B45">
        <w:rPr>
          <w:rFonts w:ascii="Times New Roman" w:hAnsi="Times New Roman" w:cs="Times New Roman"/>
          <w:spacing w:val="-2"/>
          <w:sz w:val="21"/>
          <w:szCs w:val="21"/>
          <w:highlight w:val="yellow"/>
          <w:lang w:val="ru-RU"/>
        </w:rPr>
        <w:fldChar w:fldCharType="begin"/>
      </w:r>
      <w:r w:rsidRPr="009F3B45">
        <w:rPr>
          <w:rFonts w:ascii="Times New Roman" w:hAnsi="Times New Roman" w:cs="Times New Roman"/>
          <w:spacing w:val="-2"/>
          <w:sz w:val="21"/>
          <w:szCs w:val="21"/>
        </w:rPr>
        <w:instrText xml:space="preserve"> REF _Ref433791499 \r \h </w:instrText>
      </w:r>
      <w:r>
        <w:rPr>
          <w:rFonts w:ascii="Times New Roman" w:hAnsi="Times New Roman" w:cs="Times New Roman"/>
          <w:spacing w:val="-2"/>
          <w:sz w:val="21"/>
          <w:szCs w:val="21"/>
          <w:highlight w:val="yellow"/>
          <w:lang w:val="ru-RU"/>
        </w:rPr>
        <w:instrText xml:space="preserve"> \* MERGEFORMAT </w:instrText>
      </w:r>
      <w:r w:rsidRPr="009F3B45">
        <w:rPr>
          <w:rFonts w:ascii="Times New Roman" w:hAnsi="Times New Roman" w:cs="Times New Roman"/>
          <w:spacing w:val="-2"/>
          <w:sz w:val="21"/>
          <w:szCs w:val="21"/>
          <w:highlight w:val="yellow"/>
          <w:lang w:val="ru-RU"/>
        </w:rPr>
      </w:r>
      <w:r w:rsidRPr="009F3B45">
        <w:rPr>
          <w:rFonts w:ascii="Times New Roman" w:hAnsi="Times New Roman" w:cs="Times New Roman"/>
          <w:spacing w:val="-2"/>
          <w:sz w:val="21"/>
          <w:szCs w:val="21"/>
          <w:highlight w:val="yellow"/>
          <w:lang w:val="ru-RU"/>
        </w:rPr>
        <w:fldChar w:fldCharType="separate"/>
      </w:r>
      <w:r>
        <w:rPr>
          <w:rFonts w:ascii="Times New Roman" w:hAnsi="Times New Roman" w:cs="Times New Roman"/>
          <w:spacing w:val="-2"/>
          <w:sz w:val="21"/>
          <w:szCs w:val="21"/>
        </w:rPr>
        <w:t>9</w:t>
      </w:r>
      <w:r w:rsidRPr="009F3B45">
        <w:rPr>
          <w:rFonts w:ascii="Times New Roman" w:hAnsi="Times New Roman" w:cs="Times New Roman"/>
          <w:spacing w:val="-2"/>
          <w:sz w:val="21"/>
          <w:szCs w:val="21"/>
          <w:highlight w:val="yellow"/>
          <w:lang w:val="ru-RU"/>
        </w:rPr>
        <w:fldChar w:fldCharType="end"/>
      </w:r>
      <w:r w:rsidRPr="009F3B45">
        <w:rPr>
          <w:rFonts w:ascii="Times New Roman" w:hAnsi="Times New Roman" w:cs="Times New Roman"/>
          <w:spacing w:val="-2"/>
          <w:sz w:val="21"/>
          <w:szCs w:val="21"/>
        </w:rPr>
        <w:t>]. Як випливає з</w:t>
      </w:r>
      <w:r w:rsidRPr="0024174E">
        <w:rPr>
          <w:rFonts w:ascii="Times New Roman" w:hAnsi="Times New Roman" w:cs="Times New Roman"/>
          <w:sz w:val="21"/>
          <w:szCs w:val="21"/>
        </w:rPr>
        <w:t xml:space="preserve"> </w:t>
      </w:r>
      <w:r w:rsidRPr="009F3B45">
        <w:rPr>
          <w:rFonts w:ascii="Times New Roman" w:hAnsi="Times New Roman" w:cs="Times New Roman"/>
          <w:spacing w:val="-4"/>
          <w:sz w:val="21"/>
          <w:szCs w:val="21"/>
        </w:rPr>
        <w:t>назви, Граунт при написанні книги керувався головним чином даними з</w:t>
      </w:r>
      <w:r w:rsidRPr="0024174E">
        <w:rPr>
          <w:rFonts w:ascii="Times New Roman" w:hAnsi="Times New Roman" w:cs="Times New Roman"/>
          <w:sz w:val="21"/>
          <w:szCs w:val="21"/>
        </w:rPr>
        <w:t xml:space="preserve"> так званих бюлетенів про смертність, так що перші статистичні викладки людства зроблені Граунтом саме в цій тематиці. Серед іншого, у своїй книзі Граунт розповідає про середню тривалість життя жителів Лондона (дані він бере за 80 років).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Саме нові джерела даних про народонаселення </w:t>
      </w:r>
      <w:r>
        <w:rPr>
          <w:rFonts w:ascii="Times New Roman" w:hAnsi="Times New Roman" w:cs="Times New Roman"/>
          <w:sz w:val="21"/>
          <w:szCs w:val="21"/>
        </w:rPr>
        <w:t>–</w:t>
      </w:r>
      <w:r w:rsidRPr="0024174E">
        <w:rPr>
          <w:rFonts w:ascii="Times New Roman" w:hAnsi="Times New Roman" w:cs="Times New Roman"/>
          <w:sz w:val="21"/>
          <w:szCs w:val="21"/>
        </w:rPr>
        <w:t xml:space="preserve"> бюлетені смертності, що представляли собою періодично публіковані списки померлих і народжених жителів Лондона з розподілом їх за статтю, віком, причинами смерті, дали можливість Граунту вперше розглянути смертність і народжуваність не в їх одиничних проявах, а в сукупності цих подій протягом значних проміжків часу, тобто в процесі їх руху. Такий підхід заклав основи вивчення законо</w:t>
      </w:r>
      <w:r w:rsidRPr="009F3B45">
        <w:rPr>
          <w:rFonts w:ascii="Times New Roman" w:hAnsi="Times New Roman" w:cs="Times New Roman"/>
          <w:sz w:val="21"/>
          <w:szCs w:val="21"/>
          <w:lang w:val="ru-RU"/>
        </w:rPr>
        <w:t>-</w:t>
      </w:r>
      <w:r w:rsidRPr="0024174E">
        <w:rPr>
          <w:rFonts w:ascii="Times New Roman" w:hAnsi="Times New Roman" w:cs="Times New Roman"/>
          <w:sz w:val="21"/>
          <w:szCs w:val="21"/>
        </w:rPr>
        <w:t>мірностей, які раніше, при одиничному спостереженні цих по</w:t>
      </w:r>
      <w:r>
        <w:rPr>
          <w:rFonts w:ascii="Times New Roman" w:hAnsi="Times New Roman" w:cs="Times New Roman"/>
          <w:sz w:val="21"/>
          <w:szCs w:val="21"/>
        </w:rPr>
        <w:t xml:space="preserve">дій, не могли бути встановлені. </w:t>
      </w:r>
      <w:r w:rsidRPr="0024174E">
        <w:rPr>
          <w:rFonts w:ascii="Times New Roman" w:hAnsi="Times New Roman" w:cs="Times New Roman"/>
          <w:sz w:val="21"/>
          <w:szCs w:val="21"/>
        </w:rPr>
        <w:t>Це мало величезне значення для подальшого розвитку кількостей, вивчення масов</w:t>
      </w:r>
      <w:r>
        <w:rPr>
          <w:rFonts w:ascii="Times New Roman" w:hAnsi="Times New Roman" w:cs="Times New Roman"/>
          <w:sz w:val="21"/>
          <w:szCs w:val="21"/>
        </w:rPr>
        <w:t xml:space="preserve">их явищ, формування статистики. </w:t>
      </w:r>
      <w:r w:rsidRPr="0024174E">
        <w:rPr>
          <w:rFonts w:ascii="Times New Roman" w:hAnsi="Times New Roman" w:cs="Times New Roman"/>
          <w:sz w:val="21"/>
          <w:szCs w:val="21"/>
        </w:rPr>
        <w:t>Поряд з цим, була відкрита нова галузь д</w:t>
      </w:r>
      <w:r>
        <w:rPr>
          <w:rFonts w:ascii="Times New Roman" w:hAnsi="Times New Roman" w:cs="Times New Roman"/>
          <w:sz w:val="21"/>
          <w:szCs w:val="21"/>
        </w:rPr>
        <w:t>ослідження народонаселення, пов’</w:t>
      </w:r>
      <w:r w:rsidRPr="0024174E">
        <w:rPr>
          <w:rFonts w:ascii="Times New Roman" w:hAnsi="Times New Roman" w:cs="Times New Roman"/>
          <w:sz w:val="21"/>
          <w:szCs w:val="21"/>
        </w:rPr>
        <w:t>язана з його відтворенням, яка поклала початок розробці таблиць смертності та інших спостережень.</w:t>
      </w:r>
    </w:p>
    <w:p w:rsidR="00B233DE" w:rsidRPr="0024174E" w:rsidRDefault="00B233DE" w:rsidP="00B233DE">
      <w:pPr>
        <w:ind w:firstLine="720"/>
        <w:jc w:val="both"/>
        <w:rPr>
          <w:rFonts w:ascii="Times New Roman" w:hAnsi="Times New Roman" w:cs="Times New Roman"/>
          <w:sz w:val="21"/>
          <w:szCs w:val="21"/>
        </w:rPr>
      </w:pPr>
      <w:r>
        <w:rPr>
          <w:rFonts w:ascii="Times New Roman" w:hAnsi="Times New Roman" w:cs="Times New Roman"/>
          <w:sz w:val="21"/>
          <w:szCs w:val="21"/>
        </w:rPr>
        <w:t xml:space="preserve">Дж. </w:t>
      </w:r>
      <w:r w:rsidRPr="0024174E">
        <w:rPr>
          <w:rFonts w:ascii="Times New Roman" w:hAnsi="Times New Roman" w:cs="Times New Roman"/>
          <w:sz w:val="21"/>
          <w:szCs w:val="21"/>
        </w:rPr>
        <w:t xml:space="preserve">Граунт був першим, хто побудував математичну модель (таблицю) смертності, що описує закономірне збільшення ймовірності смерті в міру старіння людей. Нині така модель, звичайно ж, незрівнянно більш досконала, ніж створена </w:t>
      </w:r>
      <w:r>
        <w:rPr>
          <w:rFonts w:ascii="Times New Roman" w:hAnsi="Times New Roman" w:cs="Times New Roman"/>
          <w:sz w:val="21"/>
          <w:szCs w:val="21"/>
        </w:rPr>
        <w:t xml:space="preserve">Дж. </w:t>
      </w:r>
      <w:r w:rsidRPr="0024174E">
        <w:rPr>
          <w:rFonts w:ascii="Times New Roman" w:hAnsi="Times New Roman" w:cs="Times New Roman"/>
          <w:sz w:val="21"/>
          <w:szCs w:val="21"/>
        </w:rPr>
        <w:t xml:space="preserve">Граунтом та є одним з головних знарядь в арсеналі демографії, причому використовується для аналізу не тільки смертності, але і </w:t>
      </w:r>
      <w:r w:rsidRPr="0024174E">
        <w:rPr>
          <w:rFonts w:ascii="Times New Roman" w:hAnsi="Times New Roman" w:cs="Times New Roman"/>
          <w:sz w:val="21"/>
          <w:szCs w:val="21"/>
        </w:rPr>
        <w:lastRenderedPageBreak/>
        <w:t>шлюбності, народжуваності, вікової структури населення, для розробки прогнозів за чисельністю та структурою населення.</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Разом з Вільямом Петті Джон Граунт розробив основи статистики </w:t>
      </w:r>
      <w:r>
        <w:rPr>
          <w:rFonts w:ascii="Times New Roman" w:hAnsi="Times New Roman" w:cs="Times New Roman"/>
          <w:sz w:val="21"/>
          <w:szCs w:val="21"/>
        </w:rPr>
        <w:t>–</w:t>
      </w:r>
      <w:r w:rsidRPr="0024174E">
        <w:rPr>
          <w:rFonts w:ascii="Times New Roman" w:hAnsi="Times New Roman" w:cs="Times New Roman"/>
          <w:sz w:val="21"/>
          <w:szCs w:val="21"/>
        </w:rPr>
        <w:t xml:space="preserve"> стосовно дослідження людських мас </w:t>
      </w:r>
      <w:r>
        <w:rPr>
          <w:rFonts w:ascii="Times New Roman" w:hAnsi="Times New Roman" w:cs="Times New Roman"/>
          <w:sz w:val="21"/>
          <w:szCs w:val="21"/>
        </w:rPr>
        <w:t>–</w:t>
      </w:r>
      <w:r w:rsidRPr="0024174E">
        <w:rPr>
          <w:rFonts w:ascii="Times New Roman" w:hAnsi="Times New Roman" w:cs="Times New Roman"/>
          <w:sz w:val="21"/>
          <w:szCs w:val="21"/>
        </w:rPr>
        <w:t xml:space="preserve"> і ряд аналітичних методів, які стали своєрідною основою демографі</w:t>
      </w:r>
      <w:r>
        <w:rPr>
          <w:rFonts w:ascii="Times New Roman" w:hAnsi="Times New Roman" w:cs="Times New Roman"/>
          <w:sz w:val="21"/>
          <w:szCs w:val="21"/>
        </w:rPr>
        <w:t>чної науки наших днів. Саме Дж.</w:t>
      </w:r>
      <w:r w:rsidRPr="0024174E">
        <w:rPr>
          <w:rFonts w:ascii="Times New Roman" w:hAnsi="Times New Roman" w:cs="Times New Roman"/>
          <w:sz w:val="21"/>
          <w:szCs w:val="21"/>
        </w:rPr>
        <w:t xml:space="preserve"> Граунт створив першу «таблицю життя», що демонструє ймовірність дожити до того чи іншого віку. Крім того, </w:t>
      </w:r>
      <w:r>
        <w:rPr>
          <w:rFonts w:ascii="Times New Roman" w:hAnsi="Times New Roman" w:cs="Times New Roman"/>
          <w:sz w:val="21"/>
          <w:szCs w:val="21"/>
        </w:rPr>
        <w:t xml:space="preserve">Дж. </w:t>
      </w:r>
      <w:r w:rsidRPr="0024174E">
        <w:rPr>
          <w:rFonts w:ascii="Times New Roman" w:hAnsi="Times New Roman" w:cs="Times New Roman"/>
          <w:sz w:val="21"/>
          <w:szCs w:val="21"/>
        </w:rPr>
        <w:t xml:space="preserve">Граунт вважається одним з перших експертів у сфері епідеміології </w:t>
      </w:r>
      <w:r>
        <w:rPr>
          <w:rFonts w:ascii="Times New Roman" w:hAnsi="Times New Roman" w:cs="Times New Roman"/>
          <w:sz w:val="21"/>
          <w:szCs w:val="21"/>
        </w:rPr>
        <w:t>–</w:t>
      </w:r>
      <w:r w:rsidRPr="0024174E">
        <w:rPr>
          <w:rFonts w:ascii="Times New Roman" w:hAnsi="Times New Roman" w:cs="Times New Roman"/>
          <w:sz w:val="21"/>
          <w:szCs w:val="21"/>
        </w:rPr>
        <w:t xml:space="preserve"> н</w:t>
      </w:r>
      <w:r>
        <w:rPr>
          <w:rFonts w:ascii="Times New Roman" w:hAnsi="Times New Roman" w:cs="Times New Roman"/>
          <w:sz w:val="21"/>
          <w:szCs w:val="21"/>
        </w:rPr>
        <w:t>а</w:t>
      </w:r>
      <w:r w:rsidRPr="0024174E">
        <w:rPr>
          <w:rFonts w:ascii="Times New Roman" w:hAnsi="Times New Roman" w:cs="Times New Roman"/>
          <w:sz w:val="21"/>
          <w:szCs w:val="21"/>
        </w:rPr>
        <w:t>йвідоміша з його праць була присвячен</w:t>
      </w:r>
      <w:r>
        <w:rPr>
          <w:rFonts w:ascii="Times New Roman" w:hAnsi="Times New Roman" w:cs="Times New Roman"/>
          <w:sz w:val="21"/>
          <w:szCs w:val="21"/>
        </w:rPr>
        <w:t>а статистичним даним про здоров’</w:t>
      </w:r>
      <w:r w:rsidRPr="0024174E">
        <w:rPr>
          <w:rFonts w:ascii="Times New Roman" w:hAnsi="Times New Roman" w:cs="Times New Roman"/>
          <w:sz w:val="21"/>
          <w:szCs w:val="21"/>
        </w:rPr>
        <w:t>я нації.</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Книга «Природні і політичні спостереження, зроблен</w:t>
      </w:r>
      <w:r>
        <w:rPr>
          <w:rFonts w:ascii="Times New Roman" w:hAnsi="Times New Roman" w:cs="Times New Roman"/>
          <w:sz w:val="21"/>
          <w:szCs w:val="21"/>
        </w:rPr>
        <w:t>і</w:t>
      </w:r>
      <w:r w:rsidRPr="0024174E">
        <w:rPr>
          <w:rFonts w:ascii="Times New Roman" w:hAnsi="Times New Roman" w:cs="Times New Roman"/>
          <w:sz w:val="21"/>
          <w:szCs w:val="21"/>
        </w:rPr>
        <w:t xml:space="preserve"> на основі даних про смертність»</w:t>
      </w:r>
      <w:r>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_Ref433791509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40</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sidRPr="0024174E">
        <w:rPr>
          <w:rFonts w:ascii="Times New Roman" w:hAnsi="Times New Roman" w:cs="Times New Roman"/>
          <w:sz w:val="21"/>
          <w:szCs w:val="21"/>
        </w:rPr>
        <w:t xml:space="preserve"> містила ретельний аналіз смертності жителів Лондона часів Карла II </w:t>
      </w:r>
      <w:r>
        <w:rPr>
          <w:rFonts w:ascii="Times New Roman" w:hAnsi="Times New Roman" w:cs="Times New Roman"/>
          <w:sz w:val="21"/>
          <w:szCs w:val="21"/>
        </w:rPr>
        <w:t>–</w:t>
      </w:r>
      <w:r w:rsidRPr="0024174E">
        <w:rPr>
          <w:rFonts w:ascii="Times New Roman" w:hAnsi="Times New Roman" w:cs="Times New Roman"/>
          <w:sz w:val="21"/>
          <w:szCs w:val="21"/>
        </w:rPr>
        <w:t xml:space="preserve"> до речі, рідного міста самого Джона. У той час з волі монарха велися роботи по створенню системи попередження і запобігання поширення бубонної чуми. Система ця так і не була доведена до кінця, проте дослідження </w:t>
      </w:r>
      <w:r>
        <w:rPr>
          <w:rFonts w:ascii="Times New Roman" w:hAnsi="Times New Roman" w:cs="Times New Roman"/>
          <w:sz w:val="21"/>
          <w:szCs w:val="21"/>
        </w:rPr>
        <w:t xml:space="preserve">Дж. </w:t>
      </w:r>
      <w:r w:rsidRPr="0024174E">
        <w:rPr>
          <w:rFonts w:ascii="Times New Roman" w:hAnsi="Times New Roman" w:cs="Times New Roman"/>
          <w:sz w:val="21"/>
          <w:szCs w:val="21"/>
        </w:rPr>
        <w:t>Граунта, стали першим, заснованим на реальній статистиці, аналізом лондонського населення.</w:t>
      </w:r>
    </w:p>
    <w:p w:rsidR="00B233DE" w:rsidRPr="0024174E" w:rsidRDefault="00B233DE" w:rsidP="00B233DE">
      <w:pPr>
        <w:ind w:firstLine="720"/>
        <w:jc w:val="both"/>
        <w:rPr>
          <w:rFonts w:ascii="Times New Roman" w:hAnsi="Times New Roman" w:cs="Times New Roman"/>
          <w:sz w:val="21"/>
          <w:szCs w:val="21"/>
        </w:rPr>
      </w:pPr>
      <w:r>
        <w:rPr>
          <w:rFonts w:ascii="Times New Roman" w:hAnsi="Times New Roman" w:cs="Times New Roman"/>
          <w:sz w:val="21"/>
          <w:szCs w:val="21"/>
        </w:rPr>
        <w:t>У XIX–XX століттях з’</w:t>
      </w:r>
      <w:r w:rsidRPr="0024174E">
        <w:rPr>
          <w:rFonts w:ascii="Times New Roman" w:hAnsi="Times New Roman" w:cs="Times New Roman"/>
          <w:sz w:val="21"/>
          <w:szCs w:val="21"/>
        </w:rPr>
        <w:t xml:space="preserve">явилася велика кількість літератури, яка сприяла утвердженню уявлення про Граунта як «засновника демографії». </w:t>
      </w:r>
    </w:p>
    <w:p w:rsidR="00B233D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Дослідження Джона Граунта продовжив його друг і послідовник В. Петті, що заснував школу так званих політичних арифметиків. З найбільш відо</w:t>
      </w:r>
      <w:r>
        <w:rPr>
          <w:rFonts w:ascii="Times New Roman" w:hAnsi="Times New Roman" w:cs="Times New Roman"/>
          <w:sz w:val="21"/>
          <w:szCs w:val="21"/>
        </w:rPr>
        <w:t>мих європейських дослідників, які у ХVII–XVIII ст.</w:t>
      </w:r>
      <w:r w:rsidRPr="0024174E">
        <w:rPr>
          <w:rFonts w:ascii="Times New Roman" w:hAnsi="Times New Roman" w:cs="Times New Roman"/>
          <w:sz w:val="21"/>
          <w:szCs w:val="21"/>
        </w:rPr>
        <w:t xml:space="preserve"> займалися  ан</w:t>
      </w:r>
      <w:r>
        <w:rPr>
          <w:rFonts w:ascii="Times New Roman" w:hAnsi="Times New Roman" w:cs="Times New Roman"/>
          <w:sz w:val="21"/>
          <w:szCs w:val="21"/>
        </w:rPr>
        <w:t>алізом статистичних даних про</w:t>
      </w:r>
      <w:r w:rsidRPr="0024174E">
        <w:rPr>
          <w:rFonts w:ascii="Times New Roman" w:hAnsi="Times New Roman" w:cs="Times New Roman"/>
          <w:sz w:val="21"/>
          <w:szCs w:val="21"/>
        </w:rPr>
        <w:t xml:space="preserve"> населен</w:t>
      </w:r>
      <w:r>
        <w:rPr>
          <w:rFonts w:ascii="Times New Roman" w:hAnsi="Times New Roman" w:cs="Times New Roman"/>
          <w:sz w:val="21"/>
          <w:szCs w:val="21"/>
        </w:rPr>
        <w:t xml:space="preserve">ня, можна назвати Е. Галлея </w:t>
      </w:r>
      <w:r w:rsidRPr="0024174E">
        <w:rPr>
          <w:rFonts w:ascii="Times New Roman" w:hAnsi="Times New Roman" w:cs="Times New Roman"/>
          <w:sz w:val="21"/>
          <w:szCs w:val="21"/>
        </w:rPr>
        <w:t xml:space="preserve">та П. Зюссмільха. Е. Галлей </w:t>
      </w:r>
      <w:r>
        <w:rPr>
          <w:rFonts w:ascii="Times New Roman" w:hAnsi="Times New Roman" w:cs="Times New Roman"/>
          <w:sz w:val="21"/>
          <w:szCs w:val="21"/>
        </w:rPr>
        <w:t>[</w:t>
      </w:r>
      <w:r>
        <w:rPr>
          <w:rFonts w:ascii="Times New Roman" w:hAnsi="Times New Roman" w:cs="Times New Roman"/>
          <w:sz w:val="21"/>
          <w:szCs w:val="21"/>
          <w:highlight w:val="yellow"/>
          <w:lang w:val="ru-RU"/>
        </w:rPr>
        <w:fldChar w:fldCharType="begin"/>
      </w:r>
      <w:r>
        <w:rPr>
          <w:rFonts w:ascii="Times New Roman" w:hAnsi="Times New Roman" w:cs="Times New Roman"/>
          <w:sz w:val="21"/>
          <w:szCs w:val="21"/>
        </w:rPr>
        <w:instrText xml:space="preserve"> REF _Ref433791499 \r \h </w:instrText>
      </w:r>
      <w:r>
        <w:rPr>
          <w:rFonts w:ascii="Times New Roman" w:hAnsi="Times New Roman" w:cs="Times New Roman"/>
          <w:sz w:val="21"/>
          <w:szCs w:val="21"/>
          <w:highlight w:val="yellow"/>
          <w:lang w:val="ru-RU"/>
        </w:rPr>
      </w:r>
      <w:r>
        <w:rPr>
          <w:rFonts w:ascii="Times New Roman" w:hAnsi="Times New Roman" w:cs="Times New Roman"/>
          <w:sz w:val="21"/>
          <w:szCs w:val="21"/>
          <w:highlight w:val="yellow"/>
          <w:lang w:val="ru-RU"/>
        </w:rPr>
        <w:fldChar w:fldCharType="separate"/>
      </w:r>
      <w:r>
        <w:rPr>
          <w:rFonts w:ascii="Times New Roman" w:hAnsi="Times New Roman" w:cs="Times New Roman"/>
          <w:sz w:val="21"/>
          <w:szCs w:val="21"/>
        </w:rPr>
        <w:t>9</w:t>
      </w:r>
      <w:r>
        <w:rPr>
          <w:rFonts w:ascii="Times New Roman" w:hAnsi="Times New Roman" w:cs="Times New Roman"/>
          <w:sz w:val="21"/>
          <w:szCs w:val="21"/>
          <w:highlight w:val="yellow"/>
          <w:lang w:val="ru-RU"/>
        </w:rPr>
        <w:fldChar w:fldCharType="end"/>
      </w:r>
      <w:r>
        <w:rPr>
          <w:rFonts w:ascii="Times New Roman" w:hAnsi="Times New Roman" w:cs="Times New Roman"/>
          <w:sz w:val="21"/>
          <w:szCs w:val="21"/>
        </w:rPr>
        <w:t xml:space="preserve">] </w:t>
      </w:r>
      <w:r w:rsidRPr="0024174E">
        <w:rPr>
          <w:rFonts w:ascii="Times New Roman" w:hAnsi="Times New Roman" w:cs="Times New Roman"/>
          <w:sz w:val="21"/>
          <w:szCs w:val="21"/>
        </w:rPr>
        <w:t>розробив у 1693 році першу таблицю смертності, він увів понятт</w:t>
      </w:r>
      <w:r>
        <w:rPr>
          <w:rFonts w:ascii="Times New Roman" w:hAnsi="Times New Roman" w:cs="Times New Roman"/>
          <w:sz w:val="21"/>
          <w:szCs w:val="21"/>
        </w:rPr>
        <w:t xml:space="preserve">я «ймовірна тривалість життя».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Особливо яскравою фігурою в статистичних дослідженнях демографічних процесів є німецький армійський священик</w:t>
      </w:r>
      <w:r>
        <w:rPr>
          <w:rFonts w:ascii="Times New Roman" w:hAnsi="Times New Roman" w:cs="Times New Roman"/>
          <w:sz w:val="21"/>
          <w:szCs w:val="21"/>
        </w:rPr>
        <w:t xml:space="preserve"> Йоганн Петер Зюссмільх (1707–</w:t>
      </w:r>
      <w:r w:rsidRPr="0024174E">
        <w:rPr>
          <w:rFonts w:ascii="Times New Roman" w:hAnsi="Times New Roman" w:cs="Times New Roman"/>
          <w:sz w:val="21"/>
          <w:szCs w:val="21"/>
        </w:rPr>
        <w:t xml:space="preserve">1769 рр.), який, на основі аналізу та систематизації масового емпіричного матеріалу, відкриває закономірності у співвідношенні новонароджених дітей чоловічої та жіночої статі, співвідношення чоловіків та жінок у шлюбному віці, в постійності числа смертності як загальної, так і за віком, у тому числі і внаслідок вбивства та самогубства. Зюссмільх </w:t>
      </w:r>
      <w:r>
        <w:rPr>
          <w:rFonts w:ascii="Times New Roman" w:hAnsi="Times New Roman" w:cs="Times New Roman"/>
          <w:sz w:val="21"/>
          <w:szCs w:val="21"/>
        </w:rPr>
        <w:t>[</w:t>
      </w:r>
      <w:r>
        <w:rPr>
          <w:rFonts w:ascii="Arial" w:eastAsia="Times New Roman" w:hAnsi="Arial" w:cs="Arial"/>
          <w:color w:val="252525"/>
          <w:sz w:val="21"/>
          <w:szCs w:val="21"/>
          <w:highlight w:val="yellow"/>
          <w:lang w:eastAsia="uk-UA"/>
        </w:rPr>
        <w:fldChar w:fldCharType="begin"/>
      </w:r>
      <w:r>
        <w:rPr>
          <w:rFonts w:ascii="Times New Roman" w:hAnsi="Times New Roman" w:cs="Times New Roman"/>
          <w:sz w:val="21"/>
          <w:szCs w:val="21"/>
        </w:rPr>
        <w:instrText xml:space="preserve"> REF _Ref433791541 \r \h </w:instrText>
      </w:r>
      <w:r>
        <w:rPr>
          <w:rFonts w:ascii="Arial" w:eastAsia="Times New Roman" w:hAnsi="Arial" w:cs="Arial"/>
          <w:color w:val="252525"/>
          <w:sz w:val="21"/>
          <w:szCs w:val="21"/>
          <w:highlight w:val="yellow"/>
          <w:lang w:eastAsia="uk-UA"/>
        </w:rPr>
      </w:r>
      <w:r>
        <w:rPr>
          <w:rFonts w:ascii="Arial" w:eastAsia="Times New Roman" w:hAnsi="Arial" w:cs="Arial"/>
          <w:color w:val="252525"/>
          <w:sz w:val="21"/>
          <w:szCs w:val="21"/>
          <w:highlight w:val="yellow"/>
          <w:lang w:eastAsia="uk-UA"/>
        </w:rPr>
        <w:fldChar w:fldCharType="separate"/>
      </w:r>
      <w:r>
        <w:rPr>
          <w:rFonts w:ascii="Times New Roman" w:hAnsi="Times New Roman" w:cs="Times New Roman"/>
          <w:sz w:val="21"/>
          <w:szCs w:val="21"/>
        </w:rPr>
        <w:t>45</w:t>
      </w:r>
      <w:r>
        <w:rPr>
          <w:rFonts w:ascii="Arial" w:eastAsia="Times New Roman" w:hAnsi="Arial" w:cs="Arial"/>
          <w:color w:val="252525"/>
          <w:sz w:val="21"/>
          <w:szCs w:val="21"/>
          <w:highlight w:val="yellow"/>
          <w:lang w:eastAsia="uk-UA"/>
        </w:rPr>
        <w:fldChar w:fldCharType="end"/>
      </w:r>
      <w:r>
        <w:rPr>
          <w:rFonts w:ascii="Times New Roman" w:hAnsi="Times New Roman" w:cs="Times New Roman"/>
          <w:sz w:val="21"/>
          <w:szCs w:val="21"/>
        </w:rPr>
        <w:t xml:space="preserve">] </w:t>
      </w:r>
      <w:r w:rsidRPr="0024174E">
        <w:rPr>
          <w:rFonts w:ascii="Times New Roman" w:hAnsi="Times New Roman" w:cs="Times New Roman"/>
          <w:sz w:val="21"/>
          <w:szCs w:val="21"/>
        </w:rPr>
        <w:t>констатує наявність постійної більшості новонароджених над померлими.</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lastRenderedPageBreak/>
        <w:t>У Росії першим до демографічних досліджень звернувся М.</w:t>
      </w:r>
      <w:r>
        <w:rPr>
          <w:rFonts w:ascii="Times New Roman" w:hAnsi="Times New Roman" w:cs="Times New Roman"/>
          <w:sz w:val="21"/>
          <w:szCs w:val="21"/>
        </w:rPr>
        <w:t> </w:t>
      </w:r>
      <w:r w:rsidRPr="0024174E">
        <w:rPr>
          <w:rFonts w:ascii="Times New Roman" w:hAnsi="Times New Roman" w:cs="Times New Roman"/>
          <w:sz w:val="21"/>
          <w:szCs w:val="21"/>
        </w:rPr>
        <w:t xml:space="preserve">Ломоносов. У роботі «Про збереження </w:t>
      </w:r>
      <w:r>
        <w:rPr>
          <w:rFonts w:ascii="Times New Roman" w:hAnsi="Times New Roman" w:cs="Times New Roman"/>
          <w:sz w:val="21"/>
          <w:szCs w:val="21"/>
        </w:rPr>
        <w:t>російського народу»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_Ref433791556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17</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sidRPr="0024174E">
        <w:rPr>
          <w:rFonts w:ascii="Times New Roman" w:hAnsi="Times New Roman" w:cs="Times New Roman"/>
          <w:sz w:val="21"/>
          <w:szCs w:val="21"/>
        </w:rPr>
        <w:t>, що зібрала його численні замітки про розвиток і добробут російської держави, Ломоносов в першу чергу звертає увагу на найважливішу роль демографічного чинника у розвитку країни. Не випадково він починає так: «Початок цього гадаю головною справою: збереженням і розмноженням російського народу, в чому полягає величність, могутність і багатство держави, а не в просторості, марн</w:t>
      </w:r>
      <w:r>
        <w:rPr>
          <w:rFonts w:ascii="Times New Roman" w:hAnsi="Times New Roman" w:cs="Times New Roman"/>
          <w:sz w:val="21"/>
          <w:szCs w:val="21"/>
        </w:rPr>
        <w:t>ій</w:t>
      </w:r>
      <w:r w:rsidRPr="0024174E">
        <w:rPr>
          <w:rFonts w:ascii="Times New Roman" w:hAnsi="Times New Roman" w:cs="Times New Roman"/>
          <w:sz w:val="21"/>
          <w:szCs w:val="21"/>
        </w:rPr>
        <w:t xml:space="preserve"> без мешканців»</w:t>
      </w:r>
      <w:r>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_Ref433791556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17</w:t>
      </w:r>
      <w:r>
        <w:rPr>
          <w:rFonts w:ascii="Times New Roman" w:hAnsi="Times New Roman" w:cs="Times New Roman"/>
          <w:sz w:val="21"/>
          <w:szCs w:val="21"/>
          <w:highlight w:val="yellow"/>
        </w:rPr>
        <w:fldChar w:fldCharType="end"/>
      </w:r>
      <w:r>
        <w:rPr>
          <w:rFonts w:ascii="Times New Roman" w:hAnsi="Times New Roman" w:cs="Times New Roman"/>
          <w:sz w:val="21"/>
          <w:szCs w:val="21"/>
        </w:rPr>
        <w:t xml:space="preserve">]. </w:t>
      </w:r>
      <w:r w:rsidRPr="0024174E">
        <w:rPr>
          <w:rFonts w:ascii="Times New Roman" w:hAnsi="Times New Roman" w:cs="Times New Roman"/>
          <w:sz w:val="21"/>
          <w:szCs w:val="21"/>
        </w:rPr>
        <w:t>Ломоносов розглядав в медико-біологічному і в соціальному плані</w:t>
      </w:r>
      <w:r>
        <w:rPr>
          <w:rFonts w:ascii="Times New Roman" w:hAnsi="Times New Roman" w:cs="Times New Roman"/>
          <w:sz w:val="21"/>
          <w:szCs w:val="21"/>
        </w:rPr>
        <w:t xml:space="preserve"> ключові демографічні проблеми. </w:t>
      </w:r>
      <w:r w:rsidRPr="0024174E">
        <w:rPr>
          <w:rFonts w:ascii="Times New Roman" w:hAnsi="Times New Roman" w:cs="Times New Roman"/>
          <w:sz w:val="21"/>
          <w:szCs w:val="21"/>
        </w:rPr>
        <w:t>Міркуючи про збільшення чисельності населення Росії, він докладно зупинявся на питаннях підвищення народжуваності і зниження дитячої смертності, яка в середині XV</w:t>
      </w:r>
      <w:r>
        <w:rPr>
          <w:rFonts w:ascii="Times New Roman" w:hAnsi="Times New Roman" w:cs="Times New Roman"/>
          <w:sz w:val="21"/>
          <w:szCs w:val="21"/>
        </w:rPr>
        <w:t xml:space="preserve">III століття була страхітливою. </w:t>
      </w:r>
      <w:r w:rsidRPr="0024174E">
        <w:rPr>
          <w:rFonts w:ascii="Times New Roman" w:hAnsi="Times New Roman" w:cs="Times New Roman"/>
          <w:sz w:val="21"/>
          <w:szCs w:val="21"/>
        </w:rPr>
        <w:t>В роботі аналізувалися причини високої дитячої смертності: важкі пологи і родові травми, епідемічні і простудні захворювання, невірний догляд,</w:t>
      </w:r>
      <w:r>
        <w:rPr>
          <w:rFonts w:ascii="Times New Roman" w:hAnsi="Times New Roman" w:cs="Times New Roman"/>
          <w:sz w:val="21"/>
          <w:szCs w:val="21"/>
        </w:rPr>
        <w:t xml:space="preserve"> годування, лікування тощо. </w:t>
      </w:r>
      <w:r w:rsidRPr="0024174E">
        <w:rPr>
          <w:rFonts w:ascii="Times New Roman" w:hAnsi="Times New Roman" w:cs="Times New Roman"/>
          <w:sz w:val="21"/>
          <w:szCs w:val="21"/>
        </w:rPr>
        <w:t>Питання шлюбу також були представлені як в медичном</w:t>
      </w:r>
      <w:r>
        <w:rPr>
          <w:rFonts w:ascii="Times New Roman" w:hAnsi="Times New Roman" w:cs="Times New Roman"/>
          <w:sz w:val="21"/>
          <w:szCs w:val="21"/>
        </w:rPr>
        <w:t>у, так і в соціальному аспекті. З</w:t>
      </w:r>
      <w:r w:rsidRPr="0024174E">
        <w:rPr>
          <w:rFonts w:ascii="Times New Roman" w:hAnsi="Times New Roman" w:cs="Times New Roman"/>
          <w:sz w:val="21"/>
          <w:szCs w:val="21"/>
        </w:rPr>
        <w:t>окрема, учений піднімав проблему допустимого розходження у віці подружжя, гігієни та гармонійності шлюбу.</w:t>
      </w:r>
    </w:p>
    <w:p w:rsidR="00B233DE" w:rsidRDefault="00B233DE" w:rsidP="00B233DE">
      <w:pPr>
        <w:ind w:firstLine="720"/>
        <w:jc w:val="both"/>
        <w:rPr>
          <w:rFonts w:ascii="Times New Roman" w:hAnsi="Times New Roman" w:cs="Times New Roman"/>
          <w:sz w:val="21"/>
          <w:szCs w:val="21"/>
          <w:lang w:val="ru-RU"/>
        </w:rPr>
      </w:pPr>
      <w:r w:rsidRPr="0024174E">
        <w:rPr>
          <w:rFonts w:ascii="Times New Roman" w:hAnsi="Times New Roman" w:cs="Times New Roman"/>
          <w:sz w:val="21"/>
          <w:szCs w:val="21"/>
        </w:rPr>
        <w:t>У ХVІІІ</w:t>
      </w:r>
      <w:r>
        <w:rPr>
          <w:rFonts w:ascii="Times New Roman" w:hAnsi="Times New Roman" w:cs="Times New Roman"/>
          <w:sz w:val="21"/>
          <w:szCs w:val="21"/>
        </w:rPr>
        <w:t xml:space="preserve"> столітті з’являється праця Д. Т</w:t>
      </w:r>
      <w:r w:rsidRPr="0024174E">
        <w:rPr>
          <w:rFonts w:ascii="Times New Roman" w:hAnsi="Times New Roman" w:cs="Times New Roman"/>
          <w:sz w:val="21"/>
          <w:szCs w:val="21"/>
        </w:rPr>
        <w:t xml:space="preserve">аунсенда «Виписки з мандрівки по Іспанії», у якій він виступає за стримування народжуваності, особливо серед бідноти. У цей же час англієць Р. Уоллес </w:t>
      </w:r>
      <w:r>
        <w:rPr>
          <w:rFonts w:ascii="Times New Roman" w:hAnsi="Times New Roman" w:cs="Times New Roman"/>
          <w:sz w:val="21"/>
          <w:szCs w:val="21"/>
        </w:rPr>
        <w:t>[</w:t>
      </w:r>
      <w:r>
        <w:rPr>
          <w:rFonts w:ascii="Times New Roman" w:hAnsi="Times New Roman" w:cs="Times New Roman"/>
          <w:color w:val="000000"/>
          <w:sz w:val="21"/>
          <w:szCs w:val="21"/>
          <w:highlight w:val="yellow"/>
          <w:shd w:val="clear" w:color="auto" w:fill="FFFFFF"/>
        </w:rPr>
        <w:fldChar w:fldCharType="begin"/>
      </w:r>
      <w:r>
        <w:rPr>
          <w:rFonts w:ascii="Times New Roman" w:hAnsi="Times New Roman" w:cs="Times New Roman"/>
          <w:sz w:val="21"/>
          <w:szCs w:val="21"/>
        </w:rPr>
        <w:instrText xml:space="preserve"> REF _Ref433791575 \r \h </w:instrText>
      </w:r>
      <w:r>
        <w:rPr>
          <w:rFonts w:ascii="Times New Roman" w:hAnsi="Times New Roman" w:cs="Times New Roman"/>
          <w:color w:val="000000"/>
          <w:sz w:val="21"/>
          <w:szCs w:val="21"/>
          <w:highlight w:val="yellow"/>
          <w:shd w:val="clear" w:color="auto" w:fill="FFFFFF"/>
        </w:rPr>
      </w:r>
      <w:r>
        <w:rPr>
          <w:rFonts w:ascii="Times New Roman" w:hAnsi="Times New Roman" w:cs="Times New Roman"/>
          <w:color w:val="000000"/>
          <w:sz w:val="21"/>
          <w:szCs w:val="21"/>
          <w:highlight w:val="yellow"/>
          <w:shd w:val="clear" w:color="auto" w:fill="FFFFFF"/>
        </w:rPr>
        <w:fldChar w:fldCharType="separate"/>
      </w:r>
      <w:r>
        <w:rPr>
          <w:rFonts w:ascii="Times New Roman" w:hAnsi="Times New Roman" w:cs="Times New Roman"/>
          <w:sz w:val="21"/>
          <w:szCs w:val="21"/>
        </w:rPr>
        <w:t>33</w:t>
      </w:r>
      <w:r>
        <w:rPr>
          <w:rFonts w:ascii="Times New Roman" w:hAnsi="Times New Roman" w:cs="Times New Roman"/>
          <w:color w:val="000000"/>
          <w:sz w:val="21"/>
          <w:szCs w:val="21"/>
          <w:highlight w:val="yellow"/>
          <w:shd w:val="clear" w:color="auto" w:fill="FFFFFF"/>
        </w:rPr>
        <w:fldChar w:fldCharType="end"/>
      </w:r>
      <w:r>
        <w:rPr>
          <w:rFonts w:ascii="Times New Roman" w:hAnsi="Times New Roman" w:cs="Times New Roman"/>
          <w:sz w:val="21"/>
          <w:szCs w:val="21"/>
        </w:rPr>
        <w:t xml:space="preserve">] </w:t>
      </w:r>
      <w:r w:rsidRPr="0024174E">
        <w:rPr>
          <w:rFonts w:ascii="Times New Roman" w:hAnsi="Times New Roman" w:cs="Times New Roman"/>
          <w:sz w:val="21"/>
          <w:szCs w:val="21"/>
        </w:rPr>
        <w:t>висловив думку, що зростання чисельності населення може обігнати виробництво засобів для прожиття. У 1781 році французький письменник абат Гійом Рейналь у своїй книзі «Американська революція» писав: «Без певної частини сміливості неможливо уявити, що очікує населення США... Якщо 10 мільйонів осіб колись і зможуть себе прогодувати, то це буде прекрасно. Країна, яка з великими труднощами забезпечує себе, зможе підтримати таку кількість населення тільки за умови суворої економії»</w:t>
      </w:r>
      <w:r>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_Ref433791583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47</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sidRPr="0024174E">
        <w:rPr>
          <w:rFonts w:ascii="Times New Roman" w:hAnsi="Times New Roman" w:cs="Times New Roman"/>
          <w:sz w:val="21"/>
          <w:szCs w:val="21"/>
        </w:rPr>
        <w:t>. Однак письменник у своїх передбаченнях помилився. У ті роки, коли він жив і творив, населення США налічувало близько 3 мільйонів мешканців, а нині – вже близько 300 мільйонів. Тобто за умови ефективної економіки, при раціональному використанні природних ресурсів, параметри демографічног</w:t>
      </w:r>
      <w:r>
        <w:rPr>
          <w:rFonts w:ascii="Times New Roman" w:hAnsi="Times New Roman" w:cs="Times New Roman"/>
          <w:sz w:val="21"/>
          <w:szCs w:val="21"/>
        </w:rPr>
        <w:t>о оптимуму можуть коригуватися.</w:t>
      </w:r>
    </w:p>
    <w:p w:rsidR="00B233DE" w:rsidRPr="0024174E" w:rsidRDefault="00B233DE" w:rsidP="00B233DE">
      <w:pPr>
        <w:ind w:firstLine="709"/>
        <w:jc w:val="both"/>
        <w:rPr>
          <w:rFonts w:ascii="Times New Roman" w:hAnsi="Times New Roman" w:cs="Times New Roman"/>
          <w:sz w:val="21"/>
          <w:szCs w:val="21"/>
        </w:rPr>
      </w:pPr>
      <w:r w:rsidRPr="0024174E">
        <w:rPr>
          <w:rFonts w:ascii="Times New Roman" w:hAnsi="Times New Roman" w:cs="Times New Roman"/>
        </w:rPr>
        <w:t xml:space="preserve">Разом з тим, у той час були і прихильники збільшення чисельності населення. Зокрема ті, хто висловлював ідеї </w:t>
      </w:r>
      <w:r w:rsidRPr="0024174E">
        <w:rPr>
          <w:rFonts w:ascii="Times New Roman" w:hAnsi="Times New Roman" w:cs="Times New Roman"/>
        </w:rPr>
        <w:lastRenderedPageBreak/>
        <w:t>меркантилізму – Р. Кантільйон</w:t>
      </w:r>
      <w:r>
        <w:rPr>
          <w:rFonts w:ascii="Times New Roman" w:hAnsi="Times New Roman" w:cs="Times New Roman"/>
        </w:rPr>
        <w:t xml:space="preserve"> [</w:t>
      </w:r>
      <w:r>
        <w:rPr>
          <w:rFonts w:ascii="Times New Roman" w:hAnsi="Times New Roman" w:cs="Times New Roman"/>
          <w:highlight w:val="yellow"/>
        </w:rPr>
        <w:fldChar w:fldCharType="begin"/>
      </w:r>
      <w:r>
        <w:rPr>
          <w:rFonts w:ascii="Times New Roman" w:hAnsi="Times New Roman" w:cs="Times New Roman"/>
        </w:rPr>
        <w:instrText xml:space="preserve"> REF _Ref433791589 \r \h </w:instrText>
      </w:r>
      <w:r>
        <w:rPr>
          <w:rFonts w:ascii="Times New Roman" w:hAnsi="Times New Roman" w:cs="Times New Roman"/>
          <w:highlight w:val="yellow"/>
        </w:rPr>
      </w:r>
      <w:r>
        <w:rPr>
          <w:rFonts w:ascii="Times New Roman" w:hAnsi="Times New Roman" w:cs="Times New Roman"/>
          <w:highlight w:val="yellow"/>
        </w:rPr>
        <w:fldChar w:fldCharType="separate"/>
      </w:r>
      <w:r>
        <w:rPr>
          <w:rFonts w:ascii="Times New Roman" w:hAnsi="Times New Roman" w:cs="Times New Roman"/>
        </w:rPr>
        <w:t>39</w:t>
      </w:r>
      <w:r>
        <w:rPr>
          <w:rFonts w:ascii="Times New Roman" w:hAnsi="Times New Roman" w:cs="Times New Roman"/>
          <w:highlight w:val="yellow"/>
        </w:rPr>
        <w:fldChar w:fldCharType="end"/>
      </w:r>
      <w:r>
        <w:rPr>
          <w:rFonts w:ascii="Times New Roman" w:hAnsi="Times New Roman" w:cs="Times New Roman"/>
        </w:rPr>
        <w:t>]</w:t>
      </w:r>
      <w:r w:rsidRPr="0024174E">
        <w:rPr>
          <w:rFonts w:ascii="Times New Roman" w:hAnsi="Times New Roman" w:cs="Times New Roman"/>
        </w:rPr>
        <w:t>, Т. М</w:t>
      </w:r>
      <w:r w:rsidRPr="006B5E15">
        <w:rPr>
          <w:rFonts w:ascii="Times New Roman" w:hAnsi="Times New Roman" w:cs="Times New Roman"/>
        </w:rPr>
        <w:t>а</w:t>
      </w:r>
      <w:r w:rsidRPr="0024174E">
        <w:rPr>
          <w:rFonts w:ascii="Times New Roman" w:hAnsi="Times New Roman" w:cs="Times New Roman"/>
        </w:rPr>
        <w:t>н</w:t>
      </w:r>
      <w:r>
        <w:rPr>
          <w:rFonts w:ascii="Times New Roman" w:hAnsi="Times New Roman" w:cs="Times New Roman"/>
        </w:rPr>
        <w:t xml:space="preserve"> [</w:t>
      </w:r>
      <w:r>
        <w:rPr>
          <w:rFonts w:ascii="Times New Roman" w:hAnsi="Times New Roman" w:cs="Times New Roman"/>
          <w:sz w:val="21"/>
          <w:szCs w:val="21"/>
          <w:highlight w:val="yellow"/>
        </w:rPr>
        <w:fldChar w:fldCharType="begin"/>
      </w:r>
      <w:r>
        <w:rPr>
          <w:rFonts w:ascii="Times New Roman" w:hAnsi="Times New Roman" w:cs="Times New Roman"/>
        </w:rPr>
        <w:instrText xml:space="preserve"> REF _Ref433791595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rPr>
        <w:t>44</w:t>
      </w:r>
      <w:r>
        <w:rPr>
          <w:rFonts w:ascii="Times New Roman" w:hAnsi="Times New Roman" w:cs="Times New Roman"/>
          <w:sz w:val="21"/>
          <w:szCs w:val="21"/>
          <w:highlight w:val="yellow"/>
        </w:rPr>
        <w:fldChar w:fldCharType="end"/>
      </w:r>
      <w:r>
        <w:rPr>
          <w:rFonts w:ascii="Times New Roman" w:hAnsi="Times New Roman" w:cs="Times New Roman"/>
        </w:rPr>
        <w:t>]</w:t>
      </w:r>
      <w:r w:rsidRPr="0024174E">
        <w:rPr>
          <w:rFonts w:ascii="Times New Roman" w:hAnsi="Times New Roman" w:cs="Times New Roman"/>
        </w:rPr>
        <w:t>, А. Сера</w:t>
      </w:r>
      <w:r>
        <w:rPr>
          <w:rFonts w:ascii="Times New Roman" w:hAnsi="Times New Roman" w:cs="Times New Roman"/>
        </w:rPr>
        <w:t xml:space="preserve"> [</w:t>
      </w:r>
      <w:r>
        <w:rPr>
          <w:rFonts w:ascii="Times New Roman" w:hAnsi="Times New Roman" w:cs="Times New Roman"/>
          <w:sz w:val="21"/>
          <w:szCs w:val="21"/>
          <w:highlight w:val="yellow"/>
        </w:rPr>
        <w:fldChar w:fldCharType="begin"/>
      </w:r>
      <w:r>
        <w:rPr>
          <w:rFonts w:ascii="Times New Roman" w:hAnsi="Times New Roman" w:cs="Times New Roman"/>
        </w:rPr>
        <w:instrText xml:space="preserve"> REF _Ref433791602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rPr>
        <w:t>48</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sidRPr="0024174E">
        <w:rPr>
          <w:rFonts w:ascii="Times New Roman" w:hAnsi="Times New Roman" w:cs="Times New Roman"/>
          <w:sz w:val="21"/>
          <w:szCs w:val="21"/>
        </w:rPr>
        <w:t xml:space="preserve"> – вони вважали населення, як платників податків, джерелом багатства, а відтак потрібно заохочувати в’їзд у країну нових людей і обмежувати виїзд з країни. Продовжувачем цих ідей був французький вчений В. Петті, який висловив формулу: «Малочисельне населення – ось істинна бідність»</w:t>
      </w:r>
      <w:r>
        <w:rPr>
          <w:rFonts w:ascii="Times New Roman" w:hAnsi="Times New Roman" w:cs="Times New Roman"/>
          <w:sz w:val="21"/>
          <w:szCs w:val="21"/>
        </w:rPr>
        <w:t xml:space="preserve"> [</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_Ref433791608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46</w:t>
      </w:r>
      <w:r>
        <w:rPr>
          <w:rFonts w:ascii="Times New Roman" w:hAnsi="Times New Roman" w:cs="Times New Roman"/>
          <w:sz w:val="21"/>
          <w:szCs w:val="21"/>
          <w:highlight w:val="yellow"/>
          <w:lang w:val="en-US"/>
        </w:rPr>
        <w:fldChar w:fldCharType="end"/>
      </w:r>
      <w:r>
        <w:rPr>
          <w:rFonts w:ascii="Times New Roman" w:hAnsi="Times New Roman" w:cs="Times New Roman"/>
          <w:sz w:val="21"/>
          <w:szCs w:val="21"/>
        </w:rPr>
        <w:t>]</w:t>
      </w:r>
      <w:r w:rsidRPr="0024174E">
        <w:rPr>
          <w:rFonts w:ascii="Times New Roman" w:hAnsi="Times New Roman" w:cs="Times New Roman"/>
          <w:sz w:val="21"/>
          <w:szCs w:val="21"/>
        </w:rPr>
        <w:t>. Підтримував ці по</w:t>
      </w:r>
      <w:r>
        <w:rPr>
          <w:rFonts w:ascii="Times New Roman" w:hAnsi="Times New Roman" w:cs="Times New Roman"/>
          <w:sz w:val="21"/>
          <w:szCs w:val="21"/>
        </w:rPr>
        <w:t>гляди і американський вчений Б. </w:t>
      </w:r>
      <w:r w:rsidRPr="0024174E">
        <w:rPr>
          <w:rFonts w:ascii="Times New Roman" w:hAnsi="Times New Roman" w:cs="Times New Roman"/>
          <w:sz w:val="21"/>
          <w:szCs w:val="21"/>
        </w:rPr>
        <w:t>Франклін</w:t>
      </w:r>
      <w:r>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_Ref433791619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6</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sidRPr="0024174E">
        <w:rPr>
          <w:rFonts w:ascii="Times New Roman" w:hAnsi="Times New Roman" w:cs="Times New Roman"/>
          <w:sz w:val="21"/>
          <w:szCs w:val="21"/>
        </w:rPr>
        <w:t>, який вважав, що шв</w:t>
      </w:r>
      <w:r>
        <w:rPr>
          <w:rFonts w:ascii="Times New Roman" w:hAnsi="Times New Roman" w:cs="Times New Roman"/>
          <w:sz w:val="21"/>
          <w:szCs w:val="21"/>
        </w:rPr>
        <w:t>идкі темпи збільшення населення</w:t>
      </w:r>
      <w:r w:rsidRPr="0024174E">
        <w:rPr>
          <w:rFonts w:ascii="Times New Roman" w:hAnsi="Times New Roman" w:cs="Times New Roman"/>
          <w:sz w:val="21"/>
          <w:szCs w:val="21"/>
        </w:rPr>
        <w:t xml:space="preserve"> є обов’язков</w:t>
      </w:r>
      <w:r>
        <w:rPr>
          <w:rFonts w:ascii="Times New Roman" w:hAnsi="Times New Roman" w:cs="Times New Roman"/>
          <w:sz w:val="21"/>
          <w:szCs w:val="21"/>
        </w:rPr>
        <w:t>ою</w:t>
      </w:r>
      <w:r w:rsidRPr="0024174E">
        <w:rPr>
          <w:rFonts w:ascii="Times New Roman" w:hAnsi="Times New Roman" w:cs="Times New Roman"/>
          <w:sz w:val="21"/>
          <w:szCs w:val="21"/>
        </w:rPr>
        <w:t xml:space="preserve"> передумов</w:t>
      </w:r>
      <w:r>
        <w:rPr>
          <w:rFonts w:ascii="Times New Roman" w:hAnsi="Times New Roman" w:cs="Times New Roman"/>
          <w:sz w:val="21"/>
          <w:szCs w:val="21"/>
        </w:rPr>
        <w:t>ою</w:t>
      </w:r>
      <w:r w:rsidRPr="0024174E">
        <w:rPr>
          <w:rFonts w:ascii="Times New Roman" w:hAnsi="Times New Roman" w:cs="Times New Roman"/>
          <w:sz w:val="21"/>
          <w:szCs w:val="21"/>
        </w:rPr>
        <w:t xml:space="preserve"> розвитку економіки і торгівлі. </w:t>
      </w:r>
    </w:p>
    <w:p w:rsidR="00B233DE" w:rsidRPr="0024174E" w:rsidRDefault="00B233DE" w:rsidP="00B233DE">
      <w:pPr>
        <w:tabs>
          <w:tab w:val="left" w:pos="142"/>
        </w:tabs>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Першопочатки української демографічної науки мали дещо інший змістовий характер, ніж західноєвропейські. Коли в країнах Західної Європи точилися гарячі дискусії стосовно загрози зростання чисельності населення і щодо методів нейтралізації можливих негативних від цього наслідків, то у нас на широких українських просторах з родючими землями, які могли прогодувати в кілька разів більшу кількість люду, ці дискусії не мали підґрунтя. А хвилювали освічену верству українства демографічні проблеми морального характеру.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На початку ХVІІІ століття </w:t>
      </w:r>
      <w:r>
        <w:rPr>
          <w:rFonts w:ascii="Times New Roman" w:hAnsi="Times New Roman" w:cs="Times New Roman"/>
          <w:sz w:val="21"/>
          <w:szCs w:val="21"/>
        </w:rPr>
        <w:t>К. Зиновіїв</w:t>
      </w:r>
      <w:r w:rsidRPr="0024174E">
        <w:rPr>
          <w:rFonts w:ascii="Times New Roman" w:hAnsi="Times New Roman" w:cs="Times New Roman"/>
          <w:sz w:val="21"/>
          <w:szCs w:val="21"/>
        </w:rPr>
        <w:t xml:space="preserve"> створив у віршованій формі енциклопедію життя українського народу того часу. В ній наявні спостереження суто демографічного характеру: К. Зиновіїв </w:t>
      </w:r>
      <w:r>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_Ref433791627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12</w:t>
      </w:r>
      <w:r>
        <w:rPr>
          <w:rFonts w:ascii="Times New Roman" w:hAnsi="Times New Roman" w:cs="Times New Roman"/>
          <w:sz w:val="21"/>
          <w:szCs w:val="21"/>
          <w:highlight w:val="yellow"/>
        </w:rPr>
        <w:fldChar w:fldCharType="end"/>
      </w:r>
      <w:r>
        <w:rPr>
          <w:rFonts w:ascii="Times New Roman" w:hAnsi="Times New Roman" w:cs="Times New Roman"/>
          <w:sz w:val="21"/>
          <w:szCs w:val="21"/>
        </w:rPr>
        <w:t xml:space="preserve">] </w:t>
      </w:r>
      <w:r w:rsidRPr="0024174E">
        <w:rPr>
          <w:rFonts w:ascii="Times New Roman" w:hAnsi="Times New Roman" w:cs="Times New Roman"/>
          <w:sz w:val="21"/>
          <w:szCs w:val="21"/>
        </w:rPr>
        <w:t xml:space="preserve">відзначає такі демографічні парадокси, як неплідність, народження близнюків, народження дітей поза шлюбом, дітовбивство. Він засуджує ранні шлюби, які не були тоді дивиною. На його думку, найдоцільніший вік для укладення першого шлюбу не повинен бути нижче 20 років для нареченого та 15 років </w:t>
      </w:r>
      <w:r>
        <w:rPr>
          <w:rFonts w:ascii="Times New Roman" w:hAnsi="Times New Roman" w:cs="Times New Roman"/>
          <w:sz w:val="21"/>
          <w:szCs w:val="21"/>
        </w:rPr>
        <w:t>–</w:t>
      </w:r>
      <w:r w:rsidRPr="0024174E">
        <w:rPr>
          <w:rFonts w:ascii="Times New Roman" w:hAnsi="Times New Roman" w:cs="Times New Roman"/>
          <w:sz w:val="21"/>
          <w:szCs w:val="21"/>
        </w:rPr>
        <w:t xml:space="preserve"> для нареченої. Виходячи з сімейно-шлюбної доктрини православної церкви, він виступив проти укладання третіх і четвертих шлюбів, які на той час, попри заборону церкви, мали в Україні неабияке поширення.</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К. Зиновіїв обстоював етнічну ендогамію шлюбу, виступаючи проти його конфесійної ендогамії. Він також відзначив вищу смертність серед чоловіків і кількісну перевагу жінок в українському суспільстві тих часів як наслідок постійних війн.</w:t>
      </w:r>
    </w:p>
    <w:p w:rsidR="00B233DE" w:rsidRPr="0024174E" w:rsidRDefault="00B233DE" w:rsidP="00B233DE">
      <w:pPr>
        <w:tabs>
          <w:tab w:val="left" w:pos="142"/>
        </w:tabs>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Виникнення демографічного знання </w:t>
      </w:r>
      <w:r>
        <w:rPr>
          <w:rFonts w:ascii="Times New Roman" w:hAnsi="Times New Roman" w:cs="Times New Roman"/>
          <w:sz w:val="21"/>
          <w:szCs w:val="21"/>
        </w:rPr>
        <w:t>в Україні пов’</w:t>
      </w:r>
      <w:r w:rsidRPr="0024174E">
        <w:rPr>
          <w:rFonts w:ascii="Times New Roman" w:hAnsi="Times New Roman" w:cs="Times New Roman"/>
          <w:sz w:val="21"/>
          <w:szCs w:val="21"/>
        </w:rPr>
        <w:t xml:space="preserve">язане з формуванням відповідного понятійного апарату й термінології. І тут значно випередив добу </w:t>
      </w:r>
      <w:r>
        <w:rPr>
          <w:rFonts w:ascii="Times New Roman" w:hAnsi="Times New Roman" w:cs="Times New Roman"/>
          <w:sz w:val="21"/>
          <w:szCs w:val="21"/>
        </w:rPr>
        <w:t>український державознавець Г. </w:t>
      </w:r>
      <w:r w:rsidRPr="0024174E">
        <w:rPr>
          <w:rFonts w:ascii="Times New Roman" w:hAnsi="Times New Roman" w:cs="Times New Roman"/>
          <w:sz w:val="21"/>
          <w:szCs w:val="21"/>
        </w:rPr>
        <w:t>Новицький</w:t>
      </w:r>
      <w:r>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_Ref433791633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23</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sidRPr="0024174E">
        <w:rPr>
          <w:rFonts w:ascii="Times New Roman" w:hAnsi="Times New Roman" w:cs="Times New Roman"/>
          <w:sz w:val="21"/>
          <w:szCs w:val="21"/>
        </w:rPr>
        <w:t>. Це йому належить термін «велелюдство» (прообраз терміну «народонаселення»). Він запроп</w:t>
      </w:r>
      <w:r>
        <w:rPr>
          <w:rFonts w:ascii="Times New Roman" w:hAnsi="Times New Roman" w:cs="Times New Roman"/>
          <w:sz w:val="21"/>
          <w:szCs w:val="21"/>
        </w:rPr>
        <w:t xml:space="preserve">онував його ще </w:t>
      </w:r>
      <w:r>
        <w:rPr>
          <w:rFonts w:ascii="Times New Roman" w:hAnsi="Times New Roman" w:cs="Times New Roman"/>
          <w:sz w:val="21"/>
          <w:szCs w:val="21"/>
        </w:rPr>
        <w:lastRenderedPageBreak/>
        <w:t>у 1715 році. Г.</w:t>
      </w:r>
      <w:r w:rsidRPr="0024174E">
        <w:rPr>
          <w:rFonts w:ascii="Times New Roman" w:hAnsi="Times New Roman" w:cs="Times New Roman"/>
          <w:sz w:val="21"/>
          <w:szCs w:val="21"/>
        </w:rPr>
        <w:t xml:space="preserve"> Новицький розумів категорію сукупності людей стосовно сучасної йому історико-географічної реальності у подвійному значенні: як множину, складену із значної кількості людей та як оцінку чисельності народів у порівняльній формі. </w:t>
      </w:r>
      <w:r>
        <w:rPr>
          <w:rFonts w:ascii="Times New Roman" w:hAnsi="Times New Roman" w:cs="Times New Roman"/>
          <w:sz w:val="21"/>
          <w:szCs w:val="21"/>
        </w:rPr>
        <w:t>Оригінал праці Г. </w:t>
      </w:r>
      <w:r w:rsidRPr="0024174E">
        <w:rPr>
          <w:rFonts w:ascii="Times New Roman" w:hAnsi="Times New Roman" w:cs="Times New Roman"/>
          <w:sz w:val="21"/>
          <w:szCs w:val="21"/>
        </w:rPr>
        <w:t xml:space="preserve">Новицького був </w:t>
      </w:r>
      <w:r>
        <w:rPr>
          <w:rFonts w:ascii="Times New Roman" w:hAnsi="Times New Roman" w:cs="Times New Roman"/>
          <w:sz w:val="21"/>
          <w:szCs w:val="21"/>
        </w:rPr>
        <w:t>опублікований тільки у 1884 р</w:t>
      </w:r>
      <w:r w:rsidRPr="0024174E">
        <w:rPr>
          <w:rFonts w:ascii="Times New Roman" w:hAnsi="Times New Roman" w:cs="Times New Roman"/>
          <w:sz w:val="21"/>
          <w:szCs w:val="21"/>
        </w:rPr>
        <w:t>.</w:t>
      </w:r>
    </w:p>
    <w:p w:rsidR="00B233DE" w:rsidRPr="0024174E" w:rsidRDefault="00B233DE" w:rsidP="00B233DE">
      <w:pPr>
        <w:tabs>
          <w:tab w:val="left" w:pos="142"/>
        </w:tabs>
        <w:ind w:firstLine="720"/>
        <w:jc w:val="both"/>
        <w:rPr>
          <w:rFonts w:ascii="Times New Roman" w:hAnsi="Times New Roman" w:cs="Times New Roman"/>
          <w:sz w:val="21"/>
          <w:szCs w:val="21"/>
        </w:rPr>
      </w:pPr>
      <w:r w:rsidRPr="0024174E">
        <w:rPr>
          <w:rFonts w:ascii="Times New Roman" w:hAnsi="Times New Roman" w:cs="Times New Roman"/>
          <w:sz w:val="21"/>
          <w:szCs w:val="21"/>
        </w:rPr>
        <w:t>Безпосереднє статистичʜе вивчення народонаселення України налічує понад двохсотрічну історію. Відомості про чисельність дворів, спостереження про міру заселен</w:t>
      </w:r>
      <w:r>
        <w:rPr>
          <w:rFonts w:ascii="Times New Roman" w:hAnsi="Times New Roman" w:cs="Times New Roman"/>
          <w:sz w:val="21"/>
          <w:szCs w:val="21"/>
        </w:rPr>
        <w:t>ості з’</w:t>
      </w:r>
      <w:r w:rsidRPr="0024174E">
        <w:rPr>
          <w:rFonts w:ascii="Times New Roman" w:hAnsi="Times New Roman" w:cs="Times New Roman"/>
          <w:sz w:val="21"/>
          <w:szCs w:val="21"/>
        </w:rPr>
        <w:t>являються вже у 20</w:t>
      </w:r>
      <w:r>
        <w:rPr>
          <w:rFonts w:ascii="Times New Roman" w:hAnsi="Times New Roman" w:cs="Times New Roman"/>
          <w:sz w:val="21"/>
          <w:szCs w:val="21"/>
        </w:rPr>
        <w:t>–</w:t>
      </w:r>
      <w:r w:rsidRPr="0024174E">
        <w:rPr>
          <w:rFonts w:ascii="Times New Roman" w:hAnsi="Times New Roman" w:cs="Times New Roman"/>
          <w:sz w:val="21"/>
          <w:szCs w:val="21"/>
        </w:rPr>
        <w:t>30-ті р</w:t>
      </w:r>
      <w:r>
        <w:rPr>
          <w:rFonts w:ascii="Times New Roman" w:hAnsi="Times New Roman" w:cs="Times New Roman"/>
          <w:sz w:val="21"/>
          <w:szCs w:val="21"/>
        </w:rPr>
        <w:t>оки XVIII сторіччя у працях І. Кирилова та Г.</w:t>
      </w:r>
      <w:r w:rsidRPr="0024174E">
        <w:rPr>
          <w:rFonts w:ascii="Times New Roman" w:hAnsi="Times New Roman" w:cs="Times New Roman"/>
          <w:sz w:val="21"/>
          <w:szCs w:val="21"/>
        </w:rPr>
        <w:t xml:space="preserve"> Юнкера. Проте ці відомості стосувалися тільки Лівобережної України й по</w:t>
      </w:r>
      <w:r>
        <w:rPr>
          <w:rFonts w:ascii="Times New Roman" w:hAnsi="Times New Roman" w:cs="Times New Roman"/>
          <w:sz w:val="21"/>
          <w:szCs w:val="21"/>
        </w:rPr>
        <w:t>части Слобожанщини. У праці І. </w:t>
      </w:r>
      <w:r w:rsidRPr="0024174E">
        <w:rPr>
          <w:rFonts w:ascii="Times New Roman" w:hAnsi="Times New Roman" w:cs="Times New Roman"/>
          <w:sz w:val="21"/>
          <w:szCs w:val="21"/>
        </w:rPr>
        <w:t>Кирилова «Квітучий стан Всеросійської держави»</w:t>
      </w:r>
      <w:r>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_Ref433791642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13</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sidRPr="0024174E">
        <w:rPr>
          <w:rFonts w:ascii="Times New Roman" w:hAnsi="Times New Roman" w:cs="Times New Roman"/>
          <w:sz w:val="21"/>
          <w:szCs w:val="21"/>
        </w:rPr>
        <w:t xml:space="preserve"> надавалися дані про «дворову кількість» козаків та посполитих регіональної подвірної ревізії 1723 року, а також про чисельність дворових козаків у </w:t>
      </w:r>
      <w:r>
        <w:rPr>
          <w:rFonts w:ascii="Times New Roman" w:hAnsi="Times New Roman" w:cs="Times New Roman"/>
          <w:sz w:val="21"/>
          <w:szCs w:val="21"/>
        </w:rPr>
        <w:t>полках Слобідської України. Г.</w:t>
      </w:r>
      <w:r w:rsidRPr="0024174E">
        <w:rPr>
          <w:rFonts w:ascii="Times New Roman" w:hAnsi="Times New Roman" w:cs="Times New Roman"/>
          <w:sz w:val="21"/>
          <w:szCs w:val="21"/>
        </w:rPr>
        <w:t xml:space="preserve"> Юнкер був першим, хто звернув увагу на причини, що стримували зростання заселеності краю. Ця тема дістала розвиток в «Екстракті про знесилення слобідських полків»</w:t>
      </w:r>
      <w:r>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_Ref433791649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36</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sidRPr="0024174E">
        <w:rPr>
          <w:rFonts w:ascii="Times New Roman" w:hAnsi="Times New Roman" w:cs="Times New Roman"/>
          <w:sz w:val="21"/>
          <w:szCs w:val="21"/>
        </w:rPr>
        <w:t>, складеному наприкінці 50-х на початку 60-х років XVIII сторіччя у Військовій колегії.</w:t>
      </w:r>
    </w:p>
    <w:p w:rsidR="00B233DE" w:rsidRPr="0024174E" w:rsidRDefault="00B233DE" w:rsidP="00B233DE">
      <w:pPr>
        <w:tabs>
          <w:tab w:val="left" w:pos="142"/>
        </w:tabs>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Наприкінці 60-х років XVIII сторіччя було укладено описаʜня земель донських козаків відомим українським </w:t>
      </w:r>
      <w:r>
        <w:rPr>
          <w:rFonts w:ascii="Times New Roman" w:hAnsi="Times New Roman" w:cs="Times New Roman"/>
          <w:sz w:val="21"/>
          <w:szCs w:val="21"/>
        </w:rPr>
        <w:t>істориком О. Рі</w:t>
      </w:r>
      <w:r w:rsidRPr="0024174E">
        <w:rPr>
          <w:rFonts w:ascii="Times New Roman" w:hAnsi="Times New Roman" w:cs="Times New Roman"/>
          <w:sz w:val="21"/>
          <w:szCs w:val="21"/>
        </w:rPr>
        <w:t>гельманом</w:t>
      </w:r>
      <w:r>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_Ref433791654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27</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sidRPr="0024174E">
        <w:rPr>
          <w:rFonts w:ascii="Times New Roman" w:hAnsi="Times New Roman" w:cs="Times New Roman"/>
          <w:sz w:val="21"/>
          <w:szCs w:val="21"/>
        </w:rPr>
        <w:t>. Тут уперше було наведено загальну чисельність і становий склад чоловічого населення Донського краю, які доти залишалися невідомими. При визначенні чисельності станових груп, включаючи регулярні війська, козацтво, українців на До</w:t>
      </w:r>
      <w:r>
        <w:rPr>
          <w:rFonts w:ascii="Times New Roman" w:hAnsi="Times New Roman" w:cs="Times New Roman"/>
          <w:sz w:val="21"/>
          <w:szCs w:val="21"/>
        </w:rPr>
        <w:t>ну, О. Рігель</w:t>
      </w:r>
      <w:r w:rsidRPr="0024174E">
        <w:rPr>
          <w:rFonts w:ascii="Times New Roman" w:hAnsi="Times New Roman" w:cs="Times New Roman"/>
          <w:sz w:val="21"/>
          <w:szCs w:val="21"/>
        </w:rPr>
        <w:t>ман застосував принципи політичної арифметики, що було новиною у тогочасному державознавстві. Йому ж належить пріоритет (1785</w:t>
      </w:r>
      <w:r>
        <w:rPr>
          <w:rFonts w:ascii="Times New Roman" w:hAnsi="Times New Roman" w:cs="Times New Roman"/>
          <w:sz w:val="21"/>
          <w:szCs w:val="21"/>
        </w:rPr>
        <w:t>–</w:t>
      </w:r>
      <w:r w:rsidRPr="0024174E">
        <w:rPr>
          <w:rFonts w:ascii="Times New Roman" w:hAnsi="Times New Roman" w:cs="Times New Roman"/>
          <w:sz w:val="21"/>
          <w:szCs w:val="21"/>
        </w:rPr>
        <w:t xml:space="preserve">1786 рр.) у визначенні чисельності населення України на середину XVII сторіччя. Так, він твердив, що в козацькій гетьманській державі Богдана Хмельницького налічувалося близько 4 мільйонів населення. </w:t>
      </w:r>
    </w:p>
    <w:p w:rsidR="00B233DE" w:rsidRPr="0024174E" w:rsidRDefault="00B233DE" w:rsidP="00B233DE">
      <w:pPr>
        <w:tabs>
          <w:tab w:val="left" w:pos="142"/>
        </w:tabs>
        <w:ind w:firstLine="720"/>
        <w:jc w:val="both"/>
        <w:rPr>
          <w:rFonts w:ascii="Times New Roman" w:hAnsi="Times New Roman" w:cs="Times New Roman"/>
          <w:sz w:val="21"/>
          <w:szCs w:val="21"/>
        </w:rPr>
      </w:pPr>
      <w:r w:rsidRPr="0024174E">
        <w:rPr>
          <w:rFonts w:ascii="Times New Roman" w:hAnsi="Times New Roman" w:cs="Times New Roman"/>
          <w:sz w:val="21"/>
          <w:szCs w:val="21"/>
        </w:rPr>
        <w:t>У той же час, зарубіжні вчені вивчали залежність тривалості життя від економічних, соціальних, культурних умов життя. Це прац</w:t>
      </w:r>
      <w:r>
        <w:rPr>
          <w:rFonts w:ascii="Times New Roman" w:hAnsi="Times New Roman" w:cs="Times New Roman"/>
          <w:sz w:val="21"/>
          <w:szCs w:val="21"/>
        </w:rPr>
        <w:t xml:space="preserve">і Т. Кінга </w:t>
      </w:r>
      <w:r w:rsidRPr="0024174E">
        <w:rPr>
          <w:rFonts w:ascii="Times New Roman" w:hAnsi="Times New Roman" w:cs="Times New Roman"/>
          <w:sz w:val="21"/>
          <w:szCs w:val="21"/>
        </w:rPr>
        <w:t>(кінець ХVІІ ст.) і Моо (ХVІІІ століття).</w:t>
      </w:r>
      <w:r>
        <w:rPr>
          <w:rFonts w:ascii="Times New Roman" w:hAnsi="Times New Roman" w:cs="Times New Roman"/>
          <w:sz w:val="21"/>
          <w:szCs w:val="21"/>
        </w:rPr>
        <w:t xml:space="preserve"> Важливим є дослідження Ф.</w:t>
      </w:r>
      <w:r w:rsidRPr="0024174E">
        <w:rPr>
          <w:rFonts w:ascii="Times New Roman" w:hAnsi="Times New Roman" w:cs="Times New Roman"/>
          <w:sz w:val="21"/>
          <w:szCs w:val="21"/>
        </w:rPr>
        <w:t xml:space="preserve"> Бекона </w:t>
      </w:r>
      <w:r>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_Ref433791661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w:t>
      </w:r>
      <w:r>
        <w:rPr>
          <w:rFonts w:ascii="Times New Roman" w:hAnsi="Times New Roman" w:cs="Times New Roman"/>
          <w:sz w:val="21"/>
          <w:szCs w:val="21"/>
          <w:highlight w:val="yellow"/>
        </w:rPr>
        <w:fldChar w:fldCharType="end"/>
      </w:r>
      <w:r>
        <w:rPr>
          <w:rFonts w:ascii="Times New Roman" w:hAnsi="Times New Roman" w:cs="Times New Roman"/>
          <w:sz w:val="21"/>
          <w:szCs w:val="21"/>
        </w:rPr>
        <w:t xml:space="preserve">] </w:t>
      </w:r>
      <w:r w:rsidRPr="0024174E">
        <w:rPr>
          <w:rFonts w:ascii="Times New Roman" w:hAnsi="Times New Roman" w:cs="Times New Roman"/>
          <w:sz w:val="21"/>
          <w:szCs w:val="21"/>
        </w:rPr>
        <w:t xml:space="preserve">стосовно визначення біологічної тривалості життя. </w:t>
      </w:r>
    </w:p>
    <w:p w:rsidR="00B233DE" w:rsidRPr="0024174E" w:rsidRDefault="00B233DE" w:rsidP="00B233DE">
      <w:pPr>
        <w:tabs>
          <w:tab w:val="left" w:pos="142"/>
        </w:tabs>
        <w:ind w:firstLine="720"/>
        <w:jc w:val="both"/>
        <w:rPr>
          <w:rFonts w:ascii="Times New Roman" w:hAnsi="Times New Roman" w:cs="Times New Roman"/>
          <w:sz w:val="21"/>
          <w:szCs w:val="21"/>
        </w:rPr>
      </w:pPr>
      <w:r w:rsidRPr="0024174E">
        <w:rPr>
          <w:rFonts w:ascii="Times New Roman" w:hAnsi="Times New Roman" w:cs="Times New Roman"/>
          <w:sz w:val="21"/>
          <w:szCs w:val="21"/>
        </w:rPr>
        <w:t>Кроком вперед у розвитку демографічних досліджень в Україні став генеральний о</w:t>
      </w:r>
      <w:r>
        <w:rPr>
          <w:rFonts w:ascii="Times New Roman" w:hAnsi="Times New Roman" w:cs="Times New Roman"/>
          <w:sz w:val="21"/>
          <w:szCs w:val="21"/>
        </w:rPr>
        <w:t>пис лівобережної України 1765–</w:t>
      </w:r>
      <w:r w:rsidRPr="0024174E">
        <w:rPr>
          <w:rFonts w:ascii="Times New Roman" w:hAnsi="Times New Roman" w:cs="Times New Roman"/>
          <w:sz w:val="21"/>
          <w:szCs w:val="21"/>
        </w:rPr>
        <w:t xml:space="preserve">1769 рр. з подальшим опрацюванням одержаних даних. Вперше був </w:t>
      </w:r>
      <w:r w:rsidRPr="0024174E">
        <w:rPr>
          <w:rFonts w:ascii="Times New Roman" w:hAnsi="Times New Roman" w:cs="Times New Roman"/>
          <w:sz w:val="21"/>
          <w:szCs w:val="21"/>
        </w:rPr>
        <w:lastRenderedPageBreak/>
        <w:t>застосований детальний диференційований перепис населення, визначено віковий склад мешканців Лівоб</w:t>
      </w:r>
      <w:r>
        <w:rPr>
          <w:rFonts w:ascii="Times New Roman" w:hAnsi="Times New Roman" w:cs="Times New Roman"/>
          <w:sz w:val="21"/>
          <w:szCs w:val="21"/>
        </w:rPr>
        <w:t>ережжя. 1779 року українець Ф.</w:t>
      </w:r>
      <w:r w:rsidRPr="0024174E">
        <w:rPr>
          <w:rFonts w:ascii="Times New Roman" w:hAnsi="Times New Roman" w:cs="Times New Roman"/>
          <w:sz w:val="21"/>
          <w:szCs w:val="21"/>
        </w:rPr>
        <w:t xml:space="preserve"> Туманський, член-кореспондент Петербурзької академії наук, розробив першу в Україні статистичну анкету, яка враховувала кількість міських і сільських мешканців, розподіл їх за заняттями, антропометричні дані тощо. Згідно з цією анкетою вперше обраховувалась кількість осіб жіночої статі. За цією анкетою була проведена в Російській імперії 1782 року ревізія. Поділяв</w:t>
      </w:r>
      <w:r>
        <w:rPr>
          <w:rFonts w:ascii="Times New Roman" w:hAnsi="Times New Roman" w:cs="Times New Roman"/>
          <w:sz w:val="21"/>
          <w:szCs w:val="21"/>
        </w:rPr>
        <w:t xml:space="preserve"> ідеї Ф.</w:t>
      </w:r>
      <w:r w:rsidRPr="0024174E">
        <w:rPr>
          <w:rFonts w:ascii="Times New Roman" w:hAnsi="Times New Roman" w:cs="Times New Roman"/>
          <w:sz w:val="21"/>
          <w:szCs w:val="21"/>
        </w:rPr>
        <w:t xml:space="preserve"> Туманського і вик</w:t>
      </w:r>
      <w:r>
        <w:rPr>
          <w:rFonts w:ascii="Times New Roman" w:hAnsi="Times New Roman" w:cs="Times New Roman"/>
          <w:sz w:val="21"/>
          <w:szCs w:val="21"/>
        </w:rPr>
        <w:t>ористав згадану вище анкету О. </w:t>
      </w:r>
      <w:r w:rsidRPr="0024174E">
        <w:rPr>
          <w:rFonts w:ascii="Times New Roman" w:hAnsi="Times New Roman" w:cs="Times New Roman"/>
          <w:sz w:val="21"/>
          <w:szCs w:val="21"/>
        </w:rPr>
        <w:t>Шафонський, здійснюючи в 1786 році опис Чернігівського намісництва</w:t>
      </w:r>
      <w:r>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_Ref433791667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35</w:t>
      </w:r>
      <w:r>
        <w:rPr>
          <w:rFonts w:ascii="Times New Roman" w:hAnsi="Times New Roman" w:cs="Times New Roman"/>
          <w:sz w:val="21"/>
          <w:szCs w:val="21"/>
          <w:highlight w:val="yellow"/>
        </w:rPr>
        <w:fldChar w:fldCharType="end"/>
      </w:r>
      <w:r>
        <w:rPr>
          <w:rFonts w:ascii="Times New Roman" w:hAnsi="Times New Roman" w:cs="Times New Roman"/>
          <w:sz w:val="21"/>
          <w:szCs w:val="21"/>
        </w:rPr>
        <w:t>]. Новизна дослідження О.</w:t>
      </w:r>
      <w:r w:rsidRPr="0024174E">
        <w:rPr>
          <w:rFonts w:ascii="Times New Roman" w:hAnsi="Times New Roman" w:cs="Times New Roman"/>
          <w:sz w:val="21"/>
          <w:szCs w:val="21"/>
        </w:rPr>
        <w:t xml:space="preserve"> Шафонського </w:t>
      </w:r>
      <w:r w:rsidRPr="0023037F">
        <w:rPr>
          <w:rFonts w:ascii="Times New Roman" w:hAnsi="Times New Roman" w:cs="Times New Roman"/>
          <w:spacing w:val="-8"/>
          <w:sz w:val="21"/>
          <w:szCs w:val="21"/>
        </w:rPr>
        <w:t>– це спроба з’ясувати етнічний склад населення. Анкету Ф. Туманського</w:t>
      </w:r>
      <w:r w:rsidRPr="0024174E">
        <w:rPr>
          <w:rFonts w:ascii="Times New Roman" w:hAnsi="Times New Roman" w:cs="Times New Roman"/>
          <w:sz w:val="21"/>
          <w:szCs w:val="21"/>
        </w:rPr>
        <w:t xml:space="preserve"> викор</w:t>
      </w:r>
      <w:r>
        <w:rPr>
          <w:rFonts w:ascii="Times New Roman" w:hAnsi="Times New Roman" w:cs="Times New Roman"/>
          <w:sz w:val="21"/>
          <w:szCs w:val="21"/>
        </w:rPr>
        <w:t>истовували також Д. Пащенко, П. </w:t>
      </w:r>
      <w:r w:rsidRPr="0024174E">
        <w:rPr>
          <w:rFonts w:ascii="Times New Roman" w:hAnsi="Times New Roman" w:cs="Times New Roman"/>
          <w:sz w:val="21"/>
          <w:szCs w:val="21"/>
        </w:rPr>
        <w:t xml:space="preserve">Симоновський. </w:t>
      </w:r>
    </w:p>
    <w:p w:rsidR="00B233DE" w:rsidRPr="0024174E" w:rsidRDefault="00B233DE" w:rsidP="00B233DE">
      <w:pPr>
        <w:tabs>
          <w:tab w:val="left" w:pos="142"/>
        </w:tabs>
        <w:ind w:firstLine="720"/>
        <w:jc w:val="both"/>
        <w:rPr>
          <w:rFonts w:ascii="Times New Roman" w:hAnsi="Times New Roman" w:cs="Times New Roman"/>
          <w:sz w:val="21"/>
          <w:szCs w:val="21"/>
        </w:rPr>
      </w:pPr>
      <w:r w:rsidRPr="0024174E">
        <w:rPr>
          <w:rFonts w:ascii="Times New Roman" w:hAnsi="Times New Roman" w:cs="Times New Roman"/>
          <w:sz w:val="21"/>
          <w:szCs w:val="21"/>
        </w:rPr>
        <w:t>У 1780-ті роки проводив обрахунок кількості слов’янського населення у період В</w:t>
      </w:r>
      <w:r>
        <w:rPr>
          <w:rFonts w:ascii="Times New Roman" w:hAnsi="Times New Roman" w:cs="Times New Roman"/>
          <w:sz w:val="21"/>
          <w:szCs w:val="21"/>
        </w:rPr>
        <w:t>еликого переселення народів Я. Рубан. А В. </w:t>
      </w:r>
      <w:r w:rsidRPr="0024174E">
        <w:rPr>
          <w:rFonts w:ascii="Times New Roman" w:hAnsi="Times New Roman" w:cs="Times New Roman"/>
          <w:sz w:val="21"/>
          <w:szCs w:val="21"/>
        </w:rPr>
        <w:t>Полетика наприкінці ХVІІІ століття сформулював концепцію поступового зростання народонаселення</w:t>
      </w:r>
      <w:r>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_Ref433791673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26</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sidRPr="0024174E">
        <w:rPr>
          <w:rFonts w:ascii="Times New Roman" w:hAnsi="Times New Roman" w:cs="Times New Roman"/>
          <w:sz w:val="21"/>
          <w:szCs w:val="21"/>
        </w:rPr>
        <w:t>. Й</w:t>
      </w:r>
      <w:r>
        <w:rPr>
          <w:rFonts w:ascii="Times New Roman" w:hAnsi="Times New Roman" w:cs="Times New Roman"/>
          <w:sz w:val="21"/>
          <w:szCs w:val="21"/>
        </w:rPr>
        <w:t>ого сучасник М. </w:t>
      </w:r>
      <w:r w:rsidRPr="0024174E">
        <w:rPr>
          <w:rFonts w:ascii="Times New Roman" w:hAnsi="Times New Roman" w:cs="Times New Roman"/>
          <w:sz w:val="21"/>
          <w:szCs w:val="21"/>
        </w:rPr>
        <w:t>А</w:t>
      </w:r>
      <w:r>
        <w:rPr>
          <w:rFonts w:ascii="Times New Roman" w:hAnsi="Times New Roman" w:cs="Times New Roman"/>
          <w:sz w:val="21"/>
          <w:szCs w:val="21"/>
        </w:rPr>
        <w:t>нтоновський [</w:t>
      </w:r>
      <w:r>
        <w:rPr>
          <w:rFonts w:ascii="Times New Roman" w:hAnsi="Times New Roman" w:cs="Times New Roman"/>
          <w:sz w:val="21"/>
          <w:szCs w:val="21"/>
          <w:highlight w:val="yellow"/>
          <w:lang w:val="ru-RU"/>
        </w:rPr>
        <w:fldChar w:fldCharType="begin"/>
      </w:r>
      <w:r>
        <w:rPr>
          <w:rFonts w:ascii="Times New Roman" w:hAnsi="Times New Roman" w:cs="Times New Roman"/>
          <w:sz w:val="21"/>
          <w:szCs w:val="21"/>
        </w:rPr>
        <w:instrText xml:space="preserve"> REF _Ref433791680 \r \h </w:instrText>
      </w:r>
      <w:r>
        <w:rPr>
          <w:rFonts w:ascii="Times New Roman" w:hAnsi="Times New Roman" w:cs="Times New Roman"/>
          <w:sz w:val="21"/>
          <w:szCs w:val="21"/>
          <w:highlight w:val="yellow"/>
          <w:lang w:val="ru-RU"/>
        </w:rPr>
      </w:r>
      <w:r>
        <w:rPr>
          <w:rFonts w:ascii="Times New Roman" w:hAnsi="Times New Roman" w:cs="Times New Roman"/>
          <w:sz w:val="21"/>
          <w:szCs w:val="21"/>
          <w:highlight w:val="yellow"/>
          <w:lang w:val="ru-RU"/>
        </w:rPr>
        <w:fldChar w:fldCharType="separate"/>
      </w:r>
      <w:r>
        <w:rPr>
          <w:rFonts w:ascii="Times New Roman" w:hAnsi="Times New Roman" w:cs="Times New Roman"/>
          <w:sz w:val="21"/>
          <w:szCs w:val="21"/>
        </w:rPr>
        <w:t>1</w:t>
      </w:r>
      <w:r>
        <w:rPr>
          <w:rFonts w:ascii="Times New Roman" w:hAnsi="Times New Roman" w:cs="Times New Roman"/>
          <w:sz w:val="21"/>
          <w:szCs w:val="21"/>
          <w:highlight w:val="yellow"/>
          <w:lang w:val="ru-RU"/>
        </w:rPr>
        <w:fldChar w:fldCharType="end"/>
      </w:r>
      <w:r>
        <w:rPr>
          <w:rFonts w:ascii="Times New Roman" w:hAnsi="Times New Roman" w:cs="Times New Roman"/>
          <w:sz w:val="21"/>
          <w:szCs w:val="21"/>
        </w:rPr>
        <w:t>]</w:t>
      </w:r>
      <w:r>
        <w:rPr>
          <w:rFonts w:ascii="Times New Roman" w:hAnsi="Times New Roman" w:cs="Times New Roman"/>
          <w:sz w:val="21"/>
          <w:szCs w:val="21"/>
          <w:lang w:val="ru-RU"/>
        </w:rPr>
        <w:t xml:space="preserve"> </w:t>
      </w:r>
      <w:r>
        <w:rPr>
          <w:rFonts w:ascii="Times New Roman" w:hAnsi="Times New Roman" w:cs="Times New Roman"/>
          <w:sz w:val="21"/>
          <w:szCs w:val="21"/>
        </w:rPr>
        <w:t>поділяв погляди В.</w:t>
      </w:r>
      <w:r w:rsidRPr="0024174E">
        <w:rPr>
          <w:rFonts w:ascii="Times New Roman" w:hAnsi="Times New Roman" w:cs="Times New Roman"/>
          <w:sz w:val="21"/>
          <w:szCs w:val="21"/>
        </w:rPr>
        <w:t xml:space="preserve"> Полетики і намагався обрахувати темпи приросту населення Російської імперії. </w:t>
      </w:r>
      <w:r>
        <w:rPr>
          <w:rFonts w:ascii="Times New Roman" w:hAnsi="Times New Roman" w:cs="Times New Roman"/>
          <w:sz w:val="21"/>
          <w:szCs w:val="21"/>
        </w:rPr>
        <w:t>Також це завдання вирішував І.</w:t>
      </w:r>
      <w:r w:rsidRPr="0024174E">
        <w:rPr>
          <w:rFonts w:ascii="Times New Roman" w:hAnsi="Times New Roman" w:cs="Times New Roman"/>
          <w:sz w:val="21"/>
          <w:szCs w:val="21"/>
        </w:rPr>
        <w:t xml:space="preserve"> Гер</w:t>
      </w:r>
      <w:r>
        <w:rPr>
          <w:rFonts w:ascii="Times New Roman" w:hAnsi="Times New Roman" w:cs="Times New Roman"/>
          <w:sz w:val="21"/>
          <w:szCs w:val="21"/>
        </w:rPr>
        <w:t>ман. Український статистик Я. </w:t>
      </w:r>
      <w:r w:rsidRPr="0024174E">
        <w:rPr>
          <w:rFonts w:ascii="Times New Roman" w:hAnsi="Times New Roman" w:cs="Times New Roman"/>
          <w:sz w:val="21"/>
          <w:szCs w:val="21"/>
        </w:rPr>
        <w:t xml:space="preserve">Маркович </w:t>
      </w:r>
      <w:r>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_Ref433791687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21</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sidRPr="00884FAE">
        <w:rPr>
          <w:rFonts w:ascii="Times New Roman" w:hAnsi="Times New Roman" w:cs="Times New Roman"/>
          <w:sz w:val="21"/>
          <w:szCs w:val="21"/>
        </w:rPr>
        <w:t xml:space="preserve"> </w:t>
      </w:r>
      <w:r w:rsidRPr="0024174E">
        <w:rPr>
          <w:rFonts w:ascii="Times New Roman" w:hAnsi="Times New Roman" w:cs="Times New Roman"/>
          <w:sz w:val="21"/>
          <w:szCs w:val="21"/>
        </w:rPr>
        <w:t xml:space="preserve">провів розрахунки і твердив, що населення Лівобережної </w:t>
      </w:r>
      <w:r w:rsidRPr="009F3B45">
        <w:rPr>
          <w:rFonts w:ascii="Times New Roman" w:hAnsi="Times New Roman" w:cs="Times New Roman"/>
          <w:spacing w:val="-4"/>
          <w:sz w:val="21"/>
          <w:szCs w:val="21"/>
        </w:rPr>
        <w:t>України наприкінці ХVІІІ ст. становить близько трьох мільйонів осіб.</w:t>
      </w:r>
      <w:r w:rsidRPr="0024174E">
        <w:rPr>
          <w:rFonts w:ascii="Times New Roman" w:hAnsi="Times New Roman" w:cs="Times New Roman"/>
          <w:sz w:val="21"/>
          <w:szCs w:val="21"/>
        </w:rPr>
        <w:t xml:space="preserve"> </w:t>
      </w:r>
    </w:p>
    <w:p w:rsidR="00B233DE" w:rsidRPr="0024174E" w:rsidRDefault="00B233DE" w:rsidP="00B233DE">
      <w:pPr>
        <w:tabs>
          <w:tab w:val="left" w:pos="142"/>
        </w:tabs>
        <w:ind w:firstLine="720"/>
        <w:jc w:val="both"/>
        <w:rPr>
          <w:rFonts w:ascii="Times New Roman" w:hAnsi="Times New Roman" w:cs="Times New Roman"/>
          <w:sz w:val="21"/>
          <w:szCs w:val="21"/>
        </w:rPr>
      </w:pPr>
      <w:r w:rsidRPr="0024174E">
        <w:rPr>
          <w:rFonts w:ascii="Times New Roman" w:hAnsi="Times New Roman" w:cs="Times New Roman"/>
          <w:sz w:val="21"/>
          <w:szCs w:val="21"/>
        </w:rPr>
        <w:t>Проведена в 1795 році ревізія дала інший результат – трохи більше двох мільйонів осіб. Тому ще один</w:t>
      </w:r>
      <w:r>
        <w:rPr>
          <w:rFonts w:ascii="Times New Roman" w:hAnsi="Times New Roman" w:cs="Times New Roman"/>
          <w:sz w:val="21"/>
          <w:szCs w:val="21"/>
        </w:rPr>
        <w:t xml:space="preserve"> відомий український вчений М.</w:t>
      </w:r>
      <w:r w:rsidRPr="0024174E">
        <w:rPr>
          <w:rFonts w:ascii="Times New Roman" w:hAnsi="Times New Roman" w:cs="Times New Roman"/>
          <w:sz w:val="21"/>
          <w:szCs w:val="21"/>
        </w:rPr>
        <w:t xml:space="preserve"> Антоновський наголошував на тому, що треба опиратися на більш точні статистичні дані, а не на досить відносні гіпотетичні розрахунки</w:t>
      </w:r>
      <w:r>
        <w:rPr>
          <w:rFonts w:ascii="Times New Roman" w:hAnsi="Times New Roman" w:cs="Times New Roman"/>
          <w:sz w:val="21"/>
          <w:szCs w:val="21"/>
        </w:rPr>
        <w:t xml:space="preserve"> [</w:t>
      </w:r>
      <w:r>
        <w:rPr>
          <w:rFonts w:ascii="Times New Roman" w:hAnsi="Times New Roman" w:cs="Times New Roman"/>
          <w:sz w:val="21"/>
          <w:szCs w:val="21"/>
          <w:highlight w:val="yellow"/>
          <w:lang w:val="ru-RU"/>
        </w:rPr>
        <w:fldChar w:fldCharType="begin"/>
      </w:r>
      <w:r>
        <w:rPr>
          <w:rFonts w:ascii="Times New Roman" w:hAnsi="Times New Roman" w:cs="Times New Roman"/>
          <w:sz w:val="21"/>
          <w:szCs w:val="21"/>
        </w:rPr>
        <w:instrText xml:space="preserve"> REF _Ref433791680 \r \h </w:instrText>
      </w:r>
      <w:r>
        <w:rPr>
          <w:rFonts w:ascii="Times New Roman" w:hAnsi="Times New Roman" w:cs="Times New Roman"/>
          <w:sz w:val="21"/>
          <w:szCs w:val="21"/>
          <w:highlight w:val="yellow"/>
          <w:lang w:val="ru-RU"/>
        </w:rPr>
      </w:r>
      <w:r>
        <w:rPr>
          <w:rFonts w:ascii="Times New Roman" w:hAnsi="Times New Roman" w:cs="Times New Roman"/>
          <w:sz w:val="21"/>
          <w:szCs w:val="21"/>
          <w:highlight w:val="yellow"/>
          <w:lang w:val="ru-RU"/>
        </w:rPr>
        <w:fldChar w:fldCharType="separate"/>
      </w:r>
      <w:r>
        <w:rPr>
          <w:rFonts w:ascii="Times New Roman" w:hAnsi="Times New Roman" w:cs="Times New Roman"/>
          <w:sz w:val="21"/>
          <w:szCs w:val="21"/>
        </w:rPr>
        <w:t>1</w:t>
      </w:r>
      <w:r>
        <w:rPr>
          <w:rFonts w:ascii="Times New Roman" w:hAnsi="Times New Roman" w:cs="Times New Roman"/>
          <w:sz w:val="21"/>
          <w:szCs w:val="21"/>
          <w:highlight w:val="yellow"/>
          <w:lang w:val="ru-RU"/>
        </w:rPr>
        <w:fldChar w:fldCharType="end"/>
      </w:r>
      <w:r>
        <w:rPr>
          <w:rFonts w:ascii="Times New Roman" w:hAnsi="Times New Roman" w:cs="Times New Roman"/>
          <w:sz w:val="21"/>
          <w:szCs w:val="21"/>
        </w:rPr>
        <w:t>]</w:t>
      </w:r>
      <w:r w:rsidRPr="0024174E">
        <w:rPr>
          <w:rFonts w:ascii="Times New Roman" w:hAnsi="Times New Roman" w:cs="Times New Roman"/>
          <w:sz w:val="21"/>
          <w:szCs w:val="21"/>
        </w:rPr>
        <w:t xml:space="preserve">. </w:t>
      </w:r>
    </w:p>
    <w:p w:rsidR="00B233DE" w:rsidRPr="0024174E" w:rsidRDefault="00B233DE" w:rsidP="00B233DE">
      <w:pPr>
        <w:tabs>
          <w:tab w:val="left" w:pos="142"/>
        </w:tabs>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Але ця наукова дискусія наприкінці ХVІІІ століття свідчила про актуальність проблеми і сприяла подальшому розвитку методології демографічних досліджень. </w:t>
      </w:r>
    </w:p>
    <w:p w:rsidR="00B233DE" w:rsidRPr="0024174E" w:rsidRDefault="00B233DE" w:rsidP="00B233DE">
      <w:pPr>
        <w:tabs>
          <w:tab w:val="left" w:pos="142"/>
        </w:tabs>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На початку ХІХ століття наукові кола європейських країн знову гаряче обговорюють перспективи та наслідки зростання чисельності населення. Новий виток </w:t>
      </w:r>
      <w:r>
        <w:rPr>
          <w:rFonts w:ascii="Times New Roman" w:hAnsi="Times New Roman" w:cs="Times New Roman"/>
          <w:sz w:val="21"/>
          <w:szCs w:val="21"/>
        </w:rPr>
        <w:t>цим дискусіям поклала праця Т.</w:t>
      </w:r>
      <w:r w:rsidRPr="0024174E">
        <w:rPr>
          <w:rFonts w:ascii="Times New Roman" w:hAnsi="Times New Roman" w:cs="Times New Roman"/>
          <w:sz w:val="21"/>
          <w:szCs w:val="21"/>
        </w:rPr>
        <w:t xml:space="preserve"> Мальтуса., опублікована в 1798 році – «Досвід про закон народонаселення і його вплив на покращення суспільного добробуту, відповідь на зауваження пана Годвіна, </w:t>
      </w:r>
      <w:r w:rsidRPr="0024174E">
        <w:rPr>
          <w:rFonts w:ascii="Times New Roman" w:hAnsi="Times New Roman" w:cs="Times New Roman"/>
          <w:sz w:val="21"/>
          <w:szCs w:val="21"/>
          <w:shd w:val="clear" w:color="auto" w:fill="FFFFFF"/>
        </w:rPr>
        <w:t xml:space="preserve">мсьє </w:t>
      </w:r>
      <w:r w:rsidRPr="0024174E">
        <w:rPr>
          <w:rFonts w:ascii="Times New Roman" w:hAnsi="Times New Roman" w:cs="Times New Roman"/>
          <w:sz w:val="21"/>
          <w:szCs w:val="21"/>
        </w:rPr>
        <w:t>Кондорсе та інших авторів»</w:t>
      </w:r>
      <w:r>
        <w:rPr>
          <w:rFonts w:ascii="Times New Roman" w:hAnsi="Times New Roman" w:cs="Times New Roman"/>
          <w:sz w:val="21"/>
          <w:szCs w:val="21"/>
        </w:rPr>
        <w:t xml:space="preserve"> [</w:t>
      </w:r>
      <w:r>
        <w:rPr>
          <w:rFonts w:ascii="Times New Roman" w:hAnsi="Times New Roman" w:cs="Times New Roman"/>
          <w:sz w:val="21"/>
          <w:szCs w:val="21"/>
          <w:highlight w:val="yellow"/>
          <w:lang w:val="ru-RU"/>
        </w:rPr>
        <w:fldChar w:fldCharType="begin"/>
      </w:r>
      <w:r>
        <w:rPr>
          <w:rFonts w:ascii="Times New Roman" w:hAnsi="Times New Roman" w:cs="Times New Roman"/>
          <w:sz w:val="21"/>
          <w:szCs w:val="21"/>
        </w:rPr>
        <w:instrText xml:space="preserve"> REF _Ref433791698 \r \h </w:instrText>
      </w:r>
      <w:r>
        <w:rPr>
          <w:rFonts w:ascii="Times New Roman" w:hAnsi="Times New Roman" w:cs="Times New Roman"/>
          <w:sz w:val="21"/>
          <w:szCs w:val="21"/>
          <w:highlight w:val="yellow"/>
          <w:lang w:val="ru-RU"/>
        </w:rPr>
      </w:r>
      <w:r>
        <w:rPr>
          <w:rFonts w:ascii="Times New Roman" w:hAnsi="Times New Roman" w:cs="Times New Roman"/>
          <w:sz w:val="21"/>
          <w:szCs w:val="21"/>
          <w:highlight w:val="yellow"/>
          <w:lang w:val="ru-RU"/>
        </w:rPr>
        <w:fldChar w:fldCharType="separate"/>
      </w:r>
      <w:r>
        <w:rPr>
          <w:rFonts w:ascii="Times New Roman" w:hAnsi="Times New Roman" w:cs="Times New Roman"/>
          <w:sz w:val="21"/>
          <w:szCs w:val="21"/>
        </w:rPr>
        <w:t>19</w:t>
      </w:r>
      <w:r>
        <w:rPr>
          <w:rFonts w:ascii="Times New Roman" w:hAnsi="Times New Roman" w:cs="Times New Roman"/>
          <w:sz w:val="21"/>
          <w:szCs w:val="21"/>
          <w:highlight w:val="yellow"/>
          <w:lang w:val="ru-RU"/>
        </w:rPr>
        <w:fldChar w:fldCharType="end"/>
      </w:r>
      <w:r>
        <w:rPr>
          <w:rFonts w:ascii="Times New Roman" w:hAnsi="Times New Roman" w:cs="Times New Roman"/>
          <w:sz w:val="21"/>
          <w:szCs w:val="21"/>
        </w:rPr>
        <w:t>]. Т.</w:t>
      </w:r>
      <w:r w:rsidRPr="0024174E">
        <w:rPr>
          <w:rFonts w:ascii="Times New Roman" w:hAnsi="Times New Roman" w:cs="Times New Roman"/>
          <w:sz w:val="21"/>
          <w:szCs w:val="21"/>
        </w:rPr>
        <w:t xml:space="preserve"> Мальтус висловив думку, що зростання кількості населення є основною причиною соціальних бід – злиднів, безробіття, жебрацтва. Він вважав, що населення зростає в </w:t>
      </w:r>
      <w:r w:rsidRPr="0024174E">
        <w:rPr>
          <w:rFonts w:ascii="Times New Roman" w:hAnsi="Times New Roman" w:cs="Times New Roman"/>
          <w:sz w:val="21"/>
          <w:szCs w:val="21"/>
        </w:rPr>
        <w:lastRenderedPageBreak/>
        <w:t>геометричній прогресії, а засоби існування, які виробляє це населення, зростають лише у арифметичній прогресії. В першу чергу це стосувалося сільс</w:t>
      </w:r>
      <w:r>
        <w:rPr>
          <w:rFonts w:ascii="Times New Roman" w:hAnsi="Times New Roman" w:cs="Times New Roman"/>
          <w:sz w:val="21"/>
          <w:szCs w:val="21"/>
        </w:rPr>
        <w:t>ькогосподарської продукції. Т.</w:t>
      </w:r>
      <w:r w:rsidRPr="0024174E">
        <w:rPr>
          <w:rFonts w:ascii="Times New Roman" w:hAnsi="Times New Roman" w:cs="Times New Roman"/>
          <w:sz w:val="21"/>
          <w:szCs w:val="21"/>
        </w:rPr>
        <w:t xml:space="preserve"> Мальтус вважав, що причиною є «закон поступового зменшення родю</w:t>
      </w:r>
      <w:r>
        <w:rPr>
          <w:rFonts w:ascii="Times New Roman" w:hAnsi="Times New Roman" w:cs="Times New Roman"/>
          <w:sz w:val="21"/>
          <w:szCs w:val="21"/>
        </w:rPr>
        <w:t xml:space="preserve">чості ґрунту». </w:t>
      </w:r>
      <w:r w:rsidRPr="0024174E">
        <w:rPr>
          <w:rFonts w:ascii="Times New Roman" w:hAnsi="Times New Roman" w:cs="Times New Roman"/>
          <w:sz w:val="21"/>
          <w:szCs w:val="21"/>
        </w:rPr>
        <w:t xml:space="preserve">Тому зростання чисельності населення </w:t>
      </w:r>
      <w:r>
        <w:rPr>
          <w:rFonts w:ascii="Times New Roman" w:hAnsi="Times New Roman" w:cs="Times New Roman"/>
          <w:sz w:val="21"/>
          <w:szCs w:val="21"/>
        </w:rPr>
        <w:t>він</w:t>
      </w:r>
      <w:r w:rsidRPr="0024174E">
        <w:rPr>
          <w:rFonts w:ascii="Times New Roman" w:hAnsi="Times New Roman" w:cs="Times New Roman"/>
          <w:sz w:val="21"/>
          <w:szCs w:val="21"/>
        </w:rPr>
        <w:t xml:space="preserve"> розглядав як гальмівний чинник суспільного прогресу. </w:t>
      </w:r>
    </w:p>
    <w:p w:rsidR="00B233DE" w:rsidRPr="0024174E" w:rsidRDefault="00B233DE" w:rsidP="00B233DE">
      <w:pPr>
        <w:tabs>
          <w:tab w:val="left" w:pos="142"/>
        </w:tabs>
        <w:ind w:firstLine="720"/>
        <w:jc w:val="both"/>
        <w:rPr>
          <w:rFonts w:ascii="Times New Roman" w:hAnsi="Times New Roman" w:cs="Times New Roman"/>
          <w:sz w:val="21"/>
          <w:szCs w:val="21"/>
        </w:rPr>
      </w:pPr>
      <w:r>
        <w:rPr>
          <w:rFonts w:ascii="Times New Roman" w:hAnsi="Times New Roman" w:cs="Times New Roman"/>
          <w:sz w:val="21"/>
          <w:szCs w:val="21"/>
        </w:rPr>
        <w:t>На погляди Т.</w:t>
      </w:r>
      <w:r w:rsidRPr="0024174E">
        <w:rPr>
          <w:rFonts w:ascii="Times New Roman" w:hAnsi="Times New Roman" w:cs="Times New Roman"/>
          <w:sz w:val="21"/>
          <w:szCs w:val="21"/>
        </w:rPr>
        <w:t xml:space="preserve"> Мальтуса відреагували економісти, зокрема, А. Сміт</w:t>
      </w:r>
      <w:r>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_Ref433791705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28</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sidRPr="0024174E">
        <w:rPr>
          <w:rFonts w:ascii="Times New Roman" w:hAnsi="Times New Roman" w:cs="Times New Roman"/>
          <w:sz w:val="21"/>
          <w:szCs w:val="21"/>
        </w:rPr>
        <w:t xml:space="preserve">, який погоджувався з тим, що в майбутньому через обмеженість земельної площі виникнуть труднощі, пов’язані зі зростанням чисельності населення, тому єдино прийнятним засобом уповільнення цього процесу є зниження в майбутньому заробітної плати. Цю думку загалом поділяв й інший економіст </w:t>
      </w:r>
      <w:r>
        <w:rPr>
          <w:rFonts w:ascii="Times New Roman" w:hAnsi="Times New Roman" w:cs="Times New Roman"/>
          <w:sz w:val="21"/>
          <w:szCs w:val="21"/>
        </w:rPr>
        <w:t>–</w:t>
      </w:r>
      <w:r w:rsidRPr="0024174E">
        <w:rPr>
          <w:rFonts w:ascii="Times New Roman" w:hAnsi="Times New Roman" w:cs="Times New Roman"/>
          <w:sz w:val="21"/>
          <w:szCs w:val="21"/>
        </w:rPr>
        <w:t xml:space="preserve"> Д</w:t>
      </w:r>
      <w:r>
        <w:rPr>
          <w:rFonts w:ascii="Times New Roman" w:hAnsi="Times New Roman" w:cs="Times New Roman"/>
          <w:sz w:val="21"/>
          <w:szCs w:val="21"/>
        </w:rPr>
        <w:t>. </w:t>
      </w:r>
      <w:r w:rsidRPr="0024174E">
        <w:rPr>
          <w:rFonts w:ascii="Times New Roman" w:hAnsi="Times New Roman" w:cs="Times New Roman"/>
          <w:sz w:val="21"/>
          <w:szCs w:val="21"/>
        </w:rPr>
        <w:t>Рікардо. Італійський економіст Д. Ортес, поділяючи тривоги щодо можливості існуючих ресурсів забезпечити зростаюче населення, виступа</w:t>
      </w:r>
      <w:r>
        <w:rPr>
          <w:rFonts w:ascii="Times New Roman" w:hAnsi="Times New Roman" w:cs="Times New Roman"/>
          <w:sz w:val="21"/>
          <w:szCs w:val="21"/>
        </w:rPr>
        <w:t>в за обмеження народження дітей. О</w:t>
      </w:r>
      <w:r w:rsidRPr="0024174E">
        <w:rPr>
          <w:rFonts w:ascii="Times New Roman" w:hAnsi="Times New Roman" w:cs="Times New Roman"/>
          <w:sz w:val="21"/>
          <w:szCs w:val="21"/>
        </w:rPr>
        <w:t xml:space="preserve">дним із засобів він пропагував безшлюбність. </w:t>
      </w:r>
    </w:p>
    <w:p w:rsidR="00B233DE" w:rsidRPr="0024174E" w:rsidRDefault="00B233DE" w:rsidP="00B233DE">
      <w:pPr>
        <w:tabs>
          <w:tab w:val="left" w:pos="142"/>
        </w:tabs>
        <w:ind w:firstLine="720"/>
        <w:jc w:val="both"/>
        <w:rPr>
          <w:rFonts w:ascii="Times New Roman" w:hAnsi="Times New Roman" w:cs="Times New Roman"/>
          <w:sz w:val="21"/>
          <w:szCs w:val="21"/>
        </w:rPr>
      </w:pPr>
      <w:r>
        <w:rPr>
          <w:rFonts w:ascii="Times New Roman" w:hAnsi="Times New Roman" w:cs="Times New Roman"/>
          <w:sz w:val="21"/>
          <w:szCs w:val="21"/>
        </w:rPr>
        <w:t>Ідеї Т.</w:t>
      </w:r>
      <w:r w:rsidRPr="0024174E">
        <w:rPr>
          <w:rFonts w:ascii="Times New Roman" w:hAnsi="Times New Roman" w:cs="Times New Roman"/>
          <w:sz w:val="21"/>
          <w:szCs w:val="21"/>
        </w:rPr>
        <w:t xml:space="preserve"> Мальтуса та його послідовників викликали відгук і у вітчизняних вч</w:t>
      </w:r>
      <w:r>
        <w:rPr>
          <w:rFonts w:ascii="Times New Roman" w:hAnsi="Times New Roman" w:cs="Times New Roman"/>
          <w:sz w:val="21"/>
          <w:szCs w:val="21"/>
        </w:rPr>
        <w:t>ених. В. Мілютін критикував Т.</w:t>
      </w:r>
      <w:r w:rsidRPr="0024174E">
        <w:rPr>
          <w:rFonts w:ascii="Times New Roman" w:hAnsi="Times New Roman" w:cs="Times New Roman"/>
          <w:sz w:val="21"/>
          <w:szCs w:val="21"/>
        </w:rPr>
        <w:t xml:space="preserve"> Мальтуса, який не враховував розвиток науки і що технічний прогрес дозволить забез</w:t>
      </w:r>
      <w:r>
        <w:rPr>
          <w:rFonts w:ascii="Times New Roman" w:hAnsi="Times New Roman" w:cs="Times New Roman"/>
          <w:sz w:val="21"/>
          <w:szCs w:val="21"/>
        </w:rPr>
        <w:t>печити людство. Разом з тим М. Бунге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_Ref433791713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w:t>
      </w:r>
      <w:r>
        <w:rPr>
          <w:rFonts w:ascii="Times New Roman" w:hAnsi="Times New Roman" w:cs="Times New Roman"/>
          <w:sz w:val="21"/>
          <w:szCs w:val="21"/>
          <w:highlight w:val="yellow"/>
        </w:rPr>
        <w:fldChar w:fldCharType="end"/>
      </w:r>
      <w:r>
        <w:rPr>
          <w:rFonts w:ascii="Times New Roman" w:hAnsi="Times New Roman" w:cs="Times New Roman"/>
          <w:sz w:val="21"/>
          <w:szCs w:val="21"/>
        </w:rPr>
        <w:t>], Г. Галаган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_Ref433791719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5</w:t>
      </w:r>
      <w:r>
        <w:rPr>
          <w:rFonts w:ascii="Times New Roman" w:hAnsi="Times New Roman" w:cs="Times New Roman"/>
          <w:sz w:val="21"/>
          <w:szCs w:val="21"/>
          <w:highlight w:val="yellow"/>
        </w:rPr>
        <w:fldChar w:fldCharType="end"/>
      </w:r>
      <w:r>
        <w:rPr>
          <w:rFonts w:ascii="Times New Roman" w:hAnsi="Times New Roman" w:cs="Times New Roman"/>
          <w:sz w:val="21"/>
          <w:szCs w:val="21"/>
        </w:rPr>
        <w:t>], В. </w:t>
      </w:r>
      <w:r w:rsidRPr="0024174E">
        <w:rPr>
          <w:rFonts w:ascii="Times New Roman" w:hAnsi="Times New Roman" w:cs="Times New Roman"/>
          <w:sz w:val="21"/>
          <w:szCs w:val="21"/>
        </w:rPr>
        <w:t xml:space="preserve">Тарновський </w:t>
      </w:r>
      <w:r>
        <w:rPr>
          <w:rFonts w:ascii="Times New Roman" w:hAnsi="Times New Roman" w:cs="Times New Roman"/>
          <w:sz w:val="21"/>
          <w:szCs w:val="21"/>
        </w:rPr>
        <w:t>[</w:t>
      </w:r>
      <w:r>
        <w:rPr>
          <w:rFonts w:ascii="Times New Roman" w:hAnsi="Times New Roman" w:cs="Times New Roman"/>
          <w:sz w:val="21"/>
          <w:szCs w:val="21"/>
          <w:highlight w:val="yellow"/>
          <w:lang w:val="ru-RU"/>
        </w:rPr>
        <w:fldChar w:fldCharType="begin"/>
      </w:r>
      <w:r>
        <w:rPr>
          <w:rFonts w:ascii="Times New Roman" w:hAnsi="Times New Roman" w:cs="Times New Roman"/>
          <w:sz w:val="21"/>
          <w:szCs w:val="21"/>
        </w:rPr>
        <w:instrText xml:space="preserve"> REF _Ref433791726 \r \h </w:instrText>
      </w:r>
      <w:r>
        <w:rPr>
          <w:rFonts w:ascii="Times New Roman" w:hAnsi="Times New Roman" w:cs="Times New Roman"/>
          <w:sz w:val="21"/>
          <w:szCs w:val="21"/>
          <w:highlight w:val="yellow"/>
          <w:lang w:val="ru-RU"/>
        </w:rPr>
      </w:r>
      <w:r>
        <w:rPr>
          <w:rFonts w:ascii="Times New Roman" w:hAnsi="Times New Roman" w:cs="Times New Roman"/>
          <w:sz w:val="21"/>
          <w:szCs w:val="21"/>
          <w:highlight w:val="yellow"/>
          <w:lang w:val="ru-RU"/>
        </w:rPr>
        <w:fldChar w:fldCharType="separate"/>
      </w:r>
      <w:r>
        <w:rPr>
          <w:rFonts w:ascii="Times New Roman" w:hAnsi="Times New Roman" w:cs="Times New Roman"/>
          <w:sz w:val="21"/>
          <w:szCs w:val="21"/>
        </w:rPr>
        <w:t>31</w:t>
      </w:r>
      <w:r>
        <w:rPr>
          <w:rFonts w:ascii="Times New Roman" w:hAnsi="Times New Roman" w:cs="Times New Roman"/>
          <w:sz w:val="21"/>
          <w:szCs w:val="21"/>
          <w:highlight w:val="yellow"/>
          <w:lang w:val="ru-RU"/>
        </w:rPr>
        <w:fldChar w:fldCharType="end"/>
      </w:r>
      <w:r>
        <w:rPr>
          <w:rFonts w:ascii="Times New Roman" w:hAnsi="Times New Roman" w:cs="Times New Roman"/>
          <w:sz w:val="21"/>
          <w:szCs w:val="21"/>
        </w:rPr>
        <w:t xml:space="preserve">] </w:t>
      </w:r>
      <w:r w:rsidRPr="0024174E">
        <w:rPr>
          <w:rFonts w:ascii="Times New Roman" w:hAnsi="Times New Roman" w:cs="Times New Roman"/>
          <w:sz w:val="21"/>
          <w:szCs w:val="21"/>
        </w:rPr>
        <w:t>констатували, що існує тенденція спаду відтворення селянства в умовах кризи феодально-кріпосницької системи. Але цілком характерним було явище аграрного перенаселення, що зумовлювало трудову еміграцію. Цій про</w:t>
      </w:r>
      <w:r>
        <w:rPr>
          <w:rFonts w:ascii="Times New Roman" w:hAnsi="Times New Roman" w:cs="Times New Roman"/>
          <w:sz w:val="21"/>
          <w:szCs w:val="21"/>
        </w:rPr>
        <w:t>блемі ряд статей присвятили П. Грабовський, І. Франко, а</w:t>
      </w:r>
      <w:r w:rsidRPr="0024174E">
        <w:rPr>
          <w:rFonts w:ascii="Times New Roman" w:hAnsi="Times New Roman" w:cs="Times New Roman"/>
          <w:sz w:val="21"/>
          <w:szCs w:val="21"/>
        </w:rPr>
        <w:t xml:space="preserve"> на Заході – англійський вчений Е. Рейвенстайн. Останній сформулював емпіричні закони міграції, один з яких доводив, що жінки більш схильні до міграції, аніж чоловіки. </w:t>
      </w:r>
    </w:p>
    <w:p w:rsidR="00B233D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Наприкінці ХІХ століття, у зв’язку з активізацією переселенського руху, предметом дослідження стає проблема адаптації переселенців до нових умов життя. Це зн</w:t>
      </w:r>
      <w:r>
        <w:rPr>
          <w:rFonts w:ascii="Times New Roman" w:hAnsi="Times New Roman" w:cs="Times New Roman"/>
          <w:sz w:val="21"/>
          <w:szCs w:val="21"/>
        </w:rPr>
        <w:t>айшло відображення у працях Ж. Зайончковської, Т. Заславської, В. Переведенцева, Л. Рибаковського, К.</w:t>
      </w:r>
      <w:r w:rsidRPr="0024174E">
        <w:rPr>
          <w:rFonts w:ascii="Times New Roman" w:hAnsi="Times New Roman" w:cs="Times New Roman"/>
          <w:sz w:val="21"/>
          <w:szCs w:val="21"/>
        </w:rPr>
        <w:t xml:space="preserve"> Воблого.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Проблема, яка об’єднала у її обговоренні вчених багатьох країн впродовж усього ХІХ століття – це проблема смертності. Перші кроки у її дослідженні започаткували українські і російські вчені. Вже на початку ХІХ століття</w:t>
      </w:r>
      <w:r>
        <w:rPr>
          <w:rFonts w:ascii="Times New Roman" w:hAnsi="Times New Roman" w:cs="Times New Roman"/>
          <w:sz w:val="21"/>
          <w:szCs w:val="21"/>
        </w:rPr>
        <w:t xml:space="preserve"> у Харківському університеті А. Павловський,</w:t>
      </w:r>
      <w:r w:rsidRPr="0024174E">
        <w:rPr>
          <w:rFonts w:ascii="Times New Roman" w:hAnsi="Times New Roman" w:cs="Times New Roman"/>
          <w:sz w:val="21"/>
          <w:szCs w:val="21"/>
        </w:rPr>
        <w:t xml:space="preserve"> окрім математики, працював над створенням </w:t>
      </w:r>
      <w:r w:rsidRPr="0024174E">
        <w:rPr>
          <w:rFonts w:ascii="Times New Roman" w:hAnsi="Times New Roman" w:cs="Times New Roman"/>
          <w:sz w:val="21"/>
          <w:szCs w:val="21"/>
        </w:rPr>
        <w:lastRenderedPageBreak/>
        <w:t>таблиць смерт</w:t>
      </w:r>
      <w:r>
        <w:rPr>
          <w:rFonts w:ascii="Times New Roman" w:hAnsi="Times New Roman" w:cs="Times New Roman"/>
          <w:sz w:val="21"/>
          <w:szCs w:val="21"/>
        </w:rPr>
        <w:t>ності –</w:t>
      </w:r>
      <w:r w:rsidRPr="0024174E">
        <w:rPr>
          <w:rFonts w:ascii="Times New Roman" w:hAnsi="Times New Roman" w:cs="Times New Roman"/>
          <w:sz w:val="21"/>
          <w:szCs w:val="21"/>
        </w:rPr>
        <w:t xml:space="preserve"> він вивчав дані про смертність в різних соціальних групах.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Проблему диференційної смертності досліджували наприкінці ХІХ століття французький вчений Ж. Бертільйон, німецькі лікарі Неффе і Зінгер. Паралельно у часі проблеми причин смертності торкалися у своїх працях </w:t>
      </w:r>
      <w:r>
        <w:rPr>
          <w:rFonts w:ascii="Times New Roman" w:hAnsi="Times New Roman" w:cs="Times New Roman"/>
          <w:sz w:val="21"/>
          <w:szCs w:val="21"/>
        </w:rPr>
        <w:t>українські вчені-гігієністи О. Корчак-Чепурківський, М. Кузнєцов, Т. Маковецький, Є. </w:t>
      </w:r>
      <w:r w:rsidRPr="0024174E">
        <w:rPr>
          <w:rFonts w:ascii="Times New Roman" w:hAnsi="Times New Roman" w:cs="Times New Roman"/>
          <w:sz w:val="21"/>
          <w:szCs w:val="21"/>
        </w:rPr>
        <w:t xml:space="preserve">Святковський.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З відкриттям кафедр гігієни у Київському, Новоро</w:t>
      </w:r>
      <w:r w:rsidRPr="009F3B45">
        <w:rPr>
          <w:rFonts w:ascii="Times New Roman" w:hAnsi="Times New Roman" w:cs="Times New Roman"/>
          <w:sz w:val="21"/>
          <w:szCs w:val="21"/>
        </w:rPr>
        <w:t>-</w:t>
      </w:r>
      <w:r w:rsidRPr="0024174E">
        <w:rPr>
          <w:rFonts w:ascii="Times New Roman" w:hAnsi="Times New Roman" w:cs="Times New Roman"/>
          <w:sz w:val="21"/>
          <w:szCs w:val="21"/>
        </w:rPr>
        <w:t xml:space="preserve">сійському, Харківському університетах наприкінці ХІХ століття </w:t>
      </w:r>
      <w:r w:rsidRPr="009F3B45">
        <w:rPr>
          <w:rFonts w:ascii="Times New Roman" w:hAnsi="Times New Roman" w:cs="Times New Roman"/>
          <w:spacing w:val="-4"/>
          <w:sz w:val="21"/>
          <w:szCs w:val="21"/>
        </w:rPr>
        <w:t>медико-демографічні дослідження розгортаються значно активніше.</w:t>
      </w:r>
      <w:r w:rsidRPr="0024174E">
        <w:rPr>
          <w:rFonts w:ascii="Times New Roman" w:hAnsi="Times New Roman" w:cs="Times New Roman"/>
          <w:sz w:val="21"/>
          <w:szCs w:val="21"/>
        </w:rPr>
        <w:t xml:space="preserve">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У XX ст., особливо в другій його половині, інтерес до демографічних проблем різко зріс. З одного боку, він був обумовлений пропагандою контролю над народжуваністю, що широко розвернулася у той час, з іншого </w:t>
      </w:r>
      <w:r>
        <w:rPr>
          <w:rFonts w:ascii="Times New Roman" w:hAnsi="Times New Roman" w:cs="Times New Roman"/>
          <w:sz w:val="21"/>
          <w:szCs w:val="21"/>
        </w:rPr>
        <w:t>–</w:t>
      </w:r>
      <w:r w:rsidRPr="0024174E">
        <w:rPr>
          <w:rFonts w:ascii="Times New Roman" w:hAnsi="Times New Roman" w:cs="Times New Roman"/>
          <w:sz w:val="21"/>
          <w:szCs w:val="21"/>
        </w:rPr>
        <w:t xml:space="preserve"> ухваленням у Франції, а пізніше і в інших країнах законів, що заохочують народжуваність. Разом з подальшим розвитком ідей, висловлених ще в попередньо</w:t>
      </w:r>
      <w:r>
        <w:rPr>
          <w:rFonts w:ascii="Times New Roman" w:hAnsi="Times New Roman" w:cs="Times New Roman"/>
          <w:sz w:val="21"/>
          <w:szCs w:val="21"/>
        </w:rPr>
        <w:t>му сторіччі, у XX ст. у науці з’</w:t>
      </w:r>
      <w:r w:rsidRPr="0024174E">
        <w:rPr>
          <w:rFonts w:ascii="Times New Roman" w:hAnsi="Times New Roman" w:cs="Times New Roman"/>
          <w:sz w:val="21"/>
          <w:szCs w:val="21"/>
        </w:rPr>
        <w:t xml:space="preserve">явилися </w:t>
      </w:r>
      <w:r>
        <w:rPr>
          <w:rFonts w:ascii="Times New Roman" w:hAnsi="Times New Roman" w:cs="Times New Roman"/>
          <w:sz w:val="21"/>
          <w:szCs w:val="21"/>
        </w:rPr>
        <w:t xml:space="preserve">і нові демографічні концепції. </w:t>
      </w:r>
      <w:r w:rsidRPr="0024174E">
        <w:rPr>
          <w:rFonts w:ascii="Times New Roman" w:hAnsi="Times New Roman" w:cs="Times New Roman"/>
          <w:sz w:val="21"/>
          <w:szCs w:val="21"/>
        </w:rPr>
        <w:t>Нововведенням, порівняно з XIX ст. б</w:t>
      </w:r>
      <w:r>
        <w:rPr>
          <w:rFonts w:ascii="Times New Roman" w:hAnsi="Times New Roman" w:cs="Times New Roman"/>
          <w:sz w:val="21"/>
          <w:szCs w:val="21"/>
        </w:rPr>
        <w:t xml:space="preserve">уло, зокрема, вивчення зв’язків між </w:t>
      </w:r>
      <w:r w:rsidRPr="0024174E">
        <w:rPr>
          <w:rFonts w:ascii="Times New Roman" w:hAnsi="Times New Roman" w:cs="Times New Roman"/>
          <w:sz w:val="21"/>
          <w:szCs w:val="21"/>
        </w:rPr>
        <w:t xml:space="preserve">демографічними і соціальними характеристиками, а також між демографічними фактами й історичними подіями.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Широкого розмаху набули дослідження, що мали на меті виявити залежність демографічних характеристик від особливостей і рівня історичного розвитку. Наголошувалися відмінності природного відтворення населення в примітивних, доіндустріальних та індустріальних суспільствах, визначалися особливості демографічної поведінки міського і сільського населення. Зарубіжні дослідники поставили проблему про необхідність відповідності чисельності населення рівню соціально-економічного розвитку.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Виходячи з цього, вважали вони, повинні регулюватися темпи зростання населення. </w:t>
      </w:r>
    </w:p>
    <w:p w:rsidR="00B233DE" w:rsidRPr="0024174E" w:rsidRDefault="00B233DE" w:rsidP="00B233DE">
      <w:pPr>
        <w:ind w:firstLine="720"/>
        <w:jc w:val="both"/>
        <w:rPr>
          <w:rFonts w:ascii="Times New Roman" w:hAnsi="Times New Roman" w:cs="Times New Roman"/>
          <w:sz w:val="21"/>
          <w:szCs w:val="21"/>
        </w:rPr>
      </w:pPr>
      <w:r>
        <w:rPr>
          <w:rFonts w:ascii="Times New Roman" w:hAnsi="Times New Roman" w:cs="Times New Roman"/>
          <w:sz w:val="21"/>
          <w:szCs w:val="21"/>
        </w:rPr>
        <w:t>Об’</w:t>
      </w:r>
      <w:r w:rsidRPr="0024174E">
        <w:rPr>
          <w:rFonts w:ascii="Times New Roman" w:hAnsi="Times New Roman" w:cs="Times New Roman"/>
          <w:sz w:val="21"/>
          <w:szCs w:val="21"/>
        </w:rPr>
        <w:t xml:space="preserve">єктом особливо пильного аналізу в XX ст. стала статистика народжуваності: виявлялися її відмінності за регіонами, оцінювався вплив на показники народжуваності таких чинників, як професія, соціальна приналежність, релігія та інші. </w:t>
      </w:r>
    </w:p>
    <w:p w:rsidR="00B233DE" w:rsidRDefault="00B233DE" w:rsidP="00B233DE">
      <w:pPr>
        <w:ind w:firstLine="720"/>
        <w:jc w:val="both"/>
        <w:rPr>
          <w:rFonts w:ascii="Times New Roman" w:hAnsi="Times New Roman" w:cs="Times New Roman"/>
          <w:sz w:val="21"/>
          <w:szCs w:val="21"/>
        </w:rPr>
      </w:pPr>
      <w:r w:rsidRPr="009F3B45">
        <w:rPr>
          <w:rFonts w:ascii="Times New Roman" w:hAnsi="Times New Roman" w:cs="Times New Roman"/>
          <w:spacing w:val="-4"/>
          <w:sz w:val="21"/>
          <w:szCs w:val="21"/>
        </w:rPr>
        <w:t>Останнім часом дослідники почали звертати все більшу увагу</w:t>
      </w:r>
      <w:r w:rsidRPr="0024174E">
        <w:rPr>
          <w:rFonts w:ascii="Times New Roman" w:hAnsi="Times New Roman" w:cs="Times New Roman"/>
          <w:sz w:val="21"/>
          <w:szCs w:val="21"/>
        </w:rPr>
        <w:t xml:space="preserve"> на те, як впливає на демографічні</w:t>
      </w:r>
      <w:r>
        <w:rPr>
          <w:rFonts w:ascii="Times New Roman" w:hAnsi="Times New Roman" w:cs="Times New Roman"/>
          <w:sz w:val="21"/>
          <w:szCs w:val="21"/>
        </w:rPr>
        <w:t xml:space="preserve"> показники екологічна ситуація.</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lastRenderedPageBreak/>
        <w:t>Занепокоєння вчених викликало і поступове зникнення невеликих за чи</w:t>
      </w:r>
      <w:r>
        <w:rPr>
          <w:rFonts w:ascii="Times New Roman" w:hAnsi="Times New Roman" w:cs="Times New Roman"/>
          <w:sz w:val="21"/>
          <w:szCs w:val="21"/>
        </w:rPr>
        <w:t>сельністю народів. Професор А.</w:t>
      </w:r>
      <w:r w:rsidRPr="0024174E">
        <w:rPr>
          <w:rFonts w:ascii="Times New Roman" w:hAnsi="Times New Roman" w:cs="Times New Roman"/>
          <w:sz w:val="21"/>
          <w:szCs w:val="21"/>
        </w:rPr>
        <w:t xml:space="preserve"> Якобій своїми працями з цієї проблематики </w:t>
      </w:r>
      <w:r>
        <w:rPr>
          <w:rFonts w:ascii="Times New Roman" w:hAnsi="Times New Roman" w:cs="Times New Roman"/>
          <w:sz w:val="21"/>
          <w:szCs w:val="21"/>
        </w:rPr>
        <w:t>[</w:t>
      </w:r>
      <w:r>
        <w:rPr>
          <w:rFonts w:ascii="Times New Roman" w:hAnsi="Times New Roman" w:cs="Times New Roman"/>
          <w:sz w:val="21"/>
          <w:szCs w:val="21"/>
          <w:highlight w:val="yellow"/>
          <w:lang w:val="ru-RU"/>
        </w:rPr>
        <w:fldChar w:fldCharType="begin"/>
      </w:r>
      <w:r>
        <w:rPr>
          <w:rFonts w:ascii="Times New Roman" w:hAnsi="Times New Roman" w:cs="Times New Roman"/>
          <w:sz w:val="21"/>
          <w:szCs w:val="21"/>
        </w:rPr>
        <w:instrText xml:space="preserve"> REF _Ref433791739 \r \h </w:instrText>
      </w:r>
      <w:r>
        <w:rPr>
          <w:rFonts w:ascii="Times New Roman" w:hAnsi="Times New Roman" w:cs="Times New Roman"/>
          <w:sz w:val="21"/>
          <w:szCs w:val="21"/>
          <w:highlight w:val="yellow"/>
          <w:lang w:val="ru-RU"/>
        </w:rPr>
      </w:r>
      <w:r>
        <w:rPr>
          <w:rFonts w:ascii="Times New Roman" w:hAnsi="Times New Roman" w:cs="Times New Roman"/>
          <w:sz w:val="21"/>
          <w:szCs w:val="21"/>
          <w:highlight w:val="yellow"/>
          <w:lang w:val="ru-RU"/>
        </w:rPr>
        <w:fldChar w:fldCharType="separate"/>
      </w:r>
      <w:r>
        <w:rPr>
          <w:rFonts w:ascii="Times New Roman" w:hAnsi="Times New Roman" w:cs="Times New Roman"/>
          <w:sz w:val="21"/>
          <w:szCs w:val="21"/>
        </w:rPr>
        <w:t>37</w:t>
      </w:r>
      <w:r>
        <w:rPr>
          <w:rFonts w:ascii="Times New Roman" w:hAnsi="Times New Roman" w:cs="Times New Roman"/>
          <w:sz w:val="21"/>
          <w:szCs w:val="21"/>
          <w:highlight w:val="yellow"/>
          <w:lang w:val="ru-RU"/>
        </w:rPr>
        <w:fldChar w:fldCharType="end"/>
      </w:r>
      <w:r>
        <w:rPr>
          <w:rFonts w:ascii="Times New Roman" w:hAnsi="Times New Roman" w:cs="Times New Roman"/>
          <w:sz w:val="21"/>
          <w:szCs w:val="21"/>
        </w:rPr>
        <w:t xml:space="preserve">] </w:t>
      </w:r>
      <w:r w:rsidRPr="0024174E">
        <w:rPr>
          <w:rFonts w:ascii="Times New Roman" w:hAnsi="Times New Roman" w:cs="Times New Roman"/>
          <w:sz w:val="21"/>
          <w:szCs w:val="21"/>
        </w:rPr>
        <w:t xml:space="preserve">започаткував етнічну демографію. Поява галузей демографії свідчила про поглиблення досліджень народонаселення. Тіснішою стає співпраця вчених різних країн.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Щороку відбувалися Міжнародні конгреси гігієни та демографії. Свідченням подальшої інтеграції демографічних досліджень став І Міжнародний демографічний конгрес, який пройшов у Женеві 1927 року. У ХХ столітті вченими було висловлено ряд нових концепцій, переосмислено деякі колишні концепції. Вже на початку ХХ століття проявилася тенденція зниження народжуваності. Перша світова війна зумовила величезні людські втрати і </w:t>
      </w:r>
      <w:r>
        <w:rPr>
          <w:rFonts w:ascii="Times New Roman" w:hAnsi="Times New Roman" w:cs="Times New Roman"/>
          <w:sz w:val="21"/>
          <w:szCs w:val="21"/>
        </w:rPr>
        <w:t>появу</w:t>
      </w:r>
      <w:r w:rsidRPr="0024174E">
        <w:rPr>
          <w:rFonts w:ascii="Times New Roman" w:hAnsi="Times New Roman" w:cs="Times New Roman"/>
          <w:sz w:val="21"/>
          <w:szCs w:val="21"/>
        </w:rPr>
        <w:t xml:space="preserve"> загроз</w:t>
      </w:r>
      <w:r>
        <w:rPr>
          <w:rFonts w:ascii="Times New Roman" w:hAnsi="Times New Roman" w:cs="Times New Roman"/>
          <w:sz w:val="21"/>
          <w:szCs w:val="21"/>
        </w:rPr>
        <w:t>и</w:t>
      </w:r>
      <w:r w:rsidRPr="0024174E">
        <w:rPr>
          <w:rFonts w:ascii="Times New Roman" w:hAnsi="Times New Roman" w:cs="Times New Roman"/>
          <w:sz w:val="21"/>
          <w:szCs w:val="21"/>
        </w:rPr>
        <w:t xml:space="preserve"> депопуляції.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У цих умовах Л. Герш </w:t>
      </w:r>
      <w:r>
        <w:rPr>
          <w:rFonts w:ascii="Times New Roman" w:hAnsi="Times New Roman" w:cs="Times New Roman"/>
          <w:sz w:val="21"/>
          <w:szCs w:val="21"/>
        </w:rPr>
        <w:t>[</w:t>
      </w:r>
      <w:r>
        <w:rPr>
          <w:rStyle w:val="w"/>
          <w:rFonts w:ascii="Times New Roman" w:hAnsi="Times New Roman" w:cs="Times New Roman"/>
          <w:color w:val="000000"/>
          <w:sz w:val="21"/>
          <w:szCs w:val="21"/>
          <w:highlight w:val="yellow"/>
          <w:shd w:val="clear" w:color="auto" w:fill="FFFFFF"/>
        </w:rPr>
        <w:fldChar w:fldCharType="begin"/>
      </w:r>
      <w:r>
        <w:rPr>
          <w:rFonts w:ascii="Times New Roman" w:hAnsi="Times New Roman" w:cs="Times New Roman"/>
          <w:sz w:val="21"/>
          <w:szCs w:val="21"/>
        </w:rPr>
        <w:instrText xml:space="preserve"> REF _Ref433791747 \r \h </w:instrText>
      </w:r>
      <w:r>
        <w:rPr>
          <w:rStyle w:val="w"/>
          <w:rFonts w:ascii="Times New Roman" w:hAnsi="Times New Roman" w:cs="Times New Roman"/>
          <w:color w:val="000000"/>
          <w:sz w:val="21"/>
          <w:szCs w:val="21"/>
          <w:highlight w:val="yellow"/>
          <w:shd w:val="clear" w:color="auto" w:fill="FFFFFF"/>
        </w:rPr>
      </w:r>
      <w:r>
        <w:rPr>
          <w:rStyle w:val="w"/>
          <w:rFonts w:ascii="Times New Roman" w:hAnsi="Times New Roman" w:cs="Times New Roman"/>
          <w:color w:val="000000"/>
          <w:sz w:val="21"/>
          <w:szCs w:val="21"/>
          <w:highlight w:val="yellow"/>
          <w:shd w:val="clear" w:color="auto" w:fill="FFFFFF"/>
        </w:rPr>
        <w:fldChar w:fldCharType="separate"/>
      </w:r>
      <w:r>
        <w:rPr>
          <w:rFonts w:ascii="Times New Roman" w:hAnsi="Times New Roman" w:cs="Times New Roman"/>
          <w:sz w:val="21"/>
          <w:szCs w:val="21"/>
        </w:rPr>
        <w:t>43</w:t>
      </w:r>
      <w:r>
        <w:rPr>
          <w:rStyle w:val="w"/>
          <w:rFonts w:ascii="Times New Roman" w:hAnsi="Times New Roman" w:cs="Times New Roman"/>
          <w:color w:val="000000"/>
          <w:sz w:val="21"/>
          <w:szCs w:val="21"/>
          <w:highlight w:val="yellow"/>
          <w:shd w:val="clear" w:color="auto" w:fill="FFFFFF"/>
        </w:rPr>
        <w:fldChar w:fldCharType="end"/>
      </w:r>
      <w:r>
        <w:rPr>
          <w:rFonts w:ascii="Times New Roman" w:hAnsi="Times New Roman" w:cs="Times New Roman"/>
          <w:sz w:val="21"/>
          <w:szCs w:val="21"/>
        </w:rPr>
        <w:t xml:space="preserve">] </w:t>
      </w:r>
      <w:r w:rsidRPr="0024174E">
        <w:rPr>
          <w:rFonts w:ascii="Times New Roman" w:hAnsi="Times New Roman" w:cs="Times New Roman"/>
          <w:sz w:val="21"/>
          <w:szCs w:val="21"/>
        </w:rPr>
        <w:t>висунув концепцію, яка дістала неофіційну назву «мальтузіанство навиворіт». Він виступав за підтримку і заохочення дітонародження. Адже, на думку вченого, зниження народжуваності зменшує попит на товари, а відтак скорочуються обсяги виробництва, відбувається звільнення робітників, а це, в свою чергу, веде</w:t>
      </w:r>
      <w:r>
        <w:rPr>
          <w:rFonts w:ascii="Times New Roman" w:hAnsi="Times New Roman" w:cs="Times New Roman"/>
          <w:sz w:val="21"/>
          <w:szCs w:val="21"/>
        </w:rPr>
        <w:t xml:space="preserve"> до пауперизації та злиднів. Л. </w:t>
      </w:r>
      <w:r w:rsidRPr="0024174E">
        <w:rPr>
          <w:rFonts w:ascii="Times New Roman" w:hAnsi="Times New Roman" w:cs="Times New Roman"/>
          <w:sz w:val="21"/>
          <w:szCs w:val="21"/>
        </w:rPr>
        <w:t xml:space="preserve">Герш вважав, що зростання народжуваності зумовить зростання обсягів виробництва у різних галузях промисловості, сільському господарстві, бо збільшиться попит на різну продукцію.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Разом з тим нове життя отримала концепція оптимуму населення. Саме ця концепція була ключовою темою обговорення на І-му Міжнародному демографічному конгресі в 1927 році. Ліга Націй приділила велику увагу цій проблемі, ця міжнародна організація видала працю І. Ференгі «Оптимум населення». У своїй праці І. Ференгі визначає оптимум населення як таку кількість, яка за даного рівня розвитку науки і техніки забезпечує найбільший дохід на душу населення. Державні діячі повинні визначати оптимум населення, «який забезпечує найбільше благополуччя і достаток людській расі» – таку думку, яка перегукується з поглядами І. Ференгі, висловив А. Ландрі на Міжнародному демографічному конгресі у Парижі в 1937 році. Французький демограф А. Сові у своїй праці «Загальна теорія населення»</w:t>
      </w:r>
      <w:r>
        <w:rPr>
          <w:rFonts w:ascii="Times New Roman" w:hAnsi="Times New Roman" w:cs="Times New Roman"/>
          <w:sz w:val="21"/>
          <w:szCs w:val="21"/>
        </w:rPr>
        <w:t xml:space="preserve"> [</w:t>
      </w:r>
      <w:r>
        <w:rPr>
          <w:rFonts w:ascii="Times New Roman" w:hAnsi="Times New Roman" w:cs="Times New Roman"/>
          <w:sz w:val="21"/>
          <w:szCs w:val="21"/>
          <w:highlight w:val="yellow"/>
          <w:lang w:val="ru-RU"/>
        </w:rPr>
        <w:fldChar w:fldCharType="begin"/>
      </w:r>
      <w:r>
        <w:rPr>
          <w:rFonts w:ascii="Times New Roman" w:hAnsi="Times New Roman" w:cs="Times New Roman"/>
          <w:sz w:val="21"/>
          <w:szCs w:val="21"/>
        </w:rPr>
        <w:instrText xml:space="preserve"> REF _Ref433791766 \r \h </w:instrText>
      </w:r>
      <w:r>
        <w:rPr>
          <w:rFonts w:ascii="Times New Roman" w:hAnsi="Times New Roman" w:cs="Times New Roman"/>
          <w:sz w:val="21"/>
          <w:szCs w:val="21"/>
          <w:highlight w:val="yellow"/>
          <w:lang w:val="ru-RU"/>
        </w:rPr>
      </w:r>
      <w:r>
        <w:rPr>
          <w:rFonts w:ascii="Times New Roman" w:hAnsi="Times New Roman" w:cs="Times New Roman"/>
          <w:sz w:val="21"/>
          <w:szCs w:val="21"/>
          <w:highlight w:val="yellow"/>
          <w:lang w:val="ru-RU"/>
        </w:rPr>
        <w:fldChar w:fldCharType="separate"/>
      </w:r>
      <w:r>
        <w:rPr>
          <w:rFonts w:ascii="Times New Roman" w:hAnsi="Times New Roman" w:cs="Times New Roman"/>
          <w:sz w:val="21"/>
          <w:szCs w:val="21"/>
        </w:rPr>
        <w:t>29</w:t>
      </w:r>
      <w:r>
        <w:rPr>
          <w:rFonts w:ascii="Times New Roman" w:hAnsi="Times New Roman" w:cs="Times New Roman"/>
          <w:sz w:val="21"/>
          <w:szCs w:val="21"/>
          <w:highlight w:val="yellow"/>
          <w:lang w:val="ru-RU"/>
        </w:rPr>
        <w:fldChar w:fldCharType="end"/>
      </w:r>
      <w:r>
        <w:rPr>
          <w:rFonts w:ascii="Times New Roman" w:hAnsi="Times New Roman" w:cs="Times New Roman"/>
          <w:sz w:val="21"/>
          <w:szCs w:val="21"/>
        </w:rPr>
        <w:t>]</w:t>
      </w:r>
      <w:r w:rsidRPr="0024174E">
        <w:rPr>
          <w:rFonts w:ascii="Times New Roman" w:hAnsi="Times New Roman" w:cs="Times New Roman"/>
          <w:sz w:val="21"/>
          <w:szCs w:val="21"/>
        </w:rPr>
        <w:t xml:space="preserve"> твердив, що у Франції шлях до прогресу перепиняло мальтузіанство, тобто обмеження народжуваності.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lastRenderedPageBreak/>
        <w:t xml:space="preserve">А. Сові доповнив теорію оптимуму населення теорією оптимального темпу зростання </w:t>
      </w:r>
      <w:r>
        <w:rPr>
          <w:rFonts w:ascii="Times New Roman" w:hAnsi="Times New Roman" w:cs="Times New Roman"/>
          <w:sz w:val="21"/>
          <w:szCs w:val="21"/>
        </w:rPr>
        <w:t>чисельності</w:t>
      </w:r>
      <w:r w:rsidRPr="0024174E">
        <w:rPr>
          <w:rFonts w:ascii="Times New Roman" w:hAnsi="Times New Roman" w:cs="Times New Roman"/>
          <w:sz w:val="21"/>
          <w:szCs w:val="21"/>
        </w:rPr>
        <w:t xml:space="preserve"> населення. Американський вчений Перл-Рід шляхом прогнозних розрахунків накреслив логістичну криву, яка відображала ідею послідовного збільшення протидії необмеженому зростанню населення. Прогнозування динаміки зростання чисельності населення також було однією з найбільш дискусійних проблем. У ХХ столітті вона набула нового якісного рівня, адже вчені оперували рядом нових методів обчислень з використанням різних гіпотез динаміки смертності й народжуваності.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Значний внесок у дослідження цієї проблеми зробили </w:t>
      </w:r>
      <w:r>
        <w:rPr>
          <w:rFonts w:ascii="Times New Roman" w:hAnsi="Times New Roman" w:cs="Times New Roman"/>
          <w:sz w:val="21"/>
          <w:szCs w:val="21"/>
        </w:rPr>
        <w:t xml:space="preserve">українські вчені Ю. Корчак-Чепурківський, М. Птуха, А. </w:t>
      </w:r>
      <w:r w:rsidRPr="0024174E">
        <w:rPr>
          <w:rFonts w:ascii="Times New Roman" w:hAnsi="Times New Roman" w:cs="Times New Roman"/>
          <w:sz w:val="21"/>
          <w:szCs w:val="21"/>
        </w:rPr>
        <w:t>Хоменко. У своїх перспективних обчислення</w:t>
      </w:r>
      <w:r>
        <w:rPr>
          <w:rFonts w:ascii="Times New Roman" w:hAnsi="Times New Roman" w:cs="Times New Roman"/>
          <w:sz w:val="21"/>
          <w:szCs w:val="21"/>
        </w:rPr>
        <w:t>х зниження рівня смертності М. </w:t>
      </w:r>
      <w:r w:rsidRPr="0024174E">
        <w:rPr>
          <w:rFonts w:ascii="Times New Roman" w:hAnsi="Times New Roman" w:cs="Times New Roman"/>
          <w:sz w:val="21"/>
          <w:szCs w:val="21"/>
        </w:rPr>
        <w:t xml:space="preserve">Птуха </w:t>
      </w:r>
      <w:r>
        <w:rPr>
          <w:rFonts w:ascii="Times New Roman" w:hAnsi="Times New Roman" w:cs="Times New Roman"/>
          <w:sz w:val="21"/>
          <w:szCs w:val="21"/>
        </w:rPr>
        <w:t>[</w:t>
      </w:r>
      <w:r>
        <w:rPr>
          <w:rFonts w:ascii="Times New Roman" w:hAnsi="Times New Roman" w:cs="Times New Roman"/>
          <w:sz w:val="21"/>
          <w:szCs w:val="21"/>
          <w:lang w:val="ru-RU"/>
        </w:rPr>
        <w:t xml:space="preserve">Птуха М. </w:t>
      </w:r>
      <w:r>
        <w:rPr>
          <w:rFonts w:ascii="Times New Roman" w:hAnsi="Times New Roman" w:cs="Times New Roman"/>
          <w:sz w:val="21"/>
          <w:szCs w:val="21"/>
        </w:rPr>
        <w:t xml:space="preserve">Смертність в Росії і в Україні / М. Птуха. – К., 1928] </w:t>
      </w:r>
      <w:r w:rsidRPr="0024174E">
        <w:rPr>
          <w:rFonts w:ascii="Times New Roman" w:hAnsi="Times New Roman" w:cs="Times New Roman"/>
          <w:sz w:val="21"/>
          <w:szCs w:val="21"/>
        </w:rPr>
        <w:t xml:space="preserve">опирався на прогресивний розвиток медицини, на експертні оцінки вчених-медиків. </w:t>
      </w:r>
    </w:p>
    <w:p w:rsidR="00B233DE" w:rsidRPr="0024174E" w:rsidRDefault="00B233DE" w:rsidP="00B233DE">
      <w:pPr>
        <w:ind w:firstLine="720"/>
        <w:jc w:val="both"/>
        <w:rPr>
          <w:rFonts w:ascii="Times New Roman" w:hAnsi="Times New Roman" w:cs="Times New Roman"/>
          <w:sz w:val="21"/>
          <w:szCs w:val="21"/>
        </w:rPr>
      </w:pPr>
      <w:r>
        <w:rPr>
          <w:rFonts w:ascii="Times New Roman" w:hAnsi="Times New Roman" w:cs="Times New Roman"/>
          <w:sz w:val="21"/>
          <w:szCs w:val="21"/>
        </w:rPr>
        <w:t>М.</w:t>
      </w:r>
      <w:r w:rsidRPr="0024174E">
        <w:rPr>
          <w:rFonts w:ascii="Times New Roman" w:hAnsi="Times New Roman" w:cs="Times New Roman"/>
          <w:sz w:val="21"/>
          <w:szCs w:val="21"/>
        </w:rPr>
        <w:t xml:space="preserve"> Птуха, директор Інституту демографії АН УРСР вважав, що необхідно вивчати народонаселення комплексно. Він розробив схему вивчення демографічних явищ, яка ґрунтувалася на основному елементі – «демографічній біог</w:t>
      </w:r>
      <w:r>
        <w:rPr>
          <w:rFonts w:ascii="Times New Roman" w:hAnsi="Times New Roman" w:cs="Times New Roman"/>
          <w:sz w:val="21"/>
          <w:szCs w:val="21"/>
        </w:rPr>
        <w:t>рафії пересічної людини». А.</w:t>
      </w:r>
      <w:r w:rsidRPr="0024174E">
        <w:rPr>
          <w:rFonts w:ascii="Times New Roman" w:hAnsi="Times New Roman" w:cs="Times New Roman"/>
          <w:sz w:val="21"/>
          <w:szCs w:val="21"/>
        </w:rPr>
        <w:t xml:space="preserve"> Хоменко </w:t>
      </w:r>
      <w:r>
        <w:rPr>
          <w:rFonts w:ascii="Times New Roman" w:hAnsi="Times New Roman" w:cs="Times New Roman"/>
          <w:sz w:val="21"/>
          <w:szCs w:val="21"/>
        </w:rPr>
        <w:t xml:space="preserve">також </w:t>
      </w:r>
      <w:r w:rsidRPr="0024174E">
        <w:rPr>
          <w:rFonts w:ascii="Times New Roman" w:hAnsi="Times New Roman" w:cs="Times New Roman"/>
          <w:sz w:val="21"/>
          <w:szCs w:val="21"/>
        </w:rPr>
        <w:t>зроби</w:t>
      </w:r>
      <w:r>
        <w:rPr>
          <w:rFonts w:ascii="Times New Roman" w:hAnsi="Times New Roman" w:cs="Times New Roman"/>
          <w:sz w:val="21"/>
          <w:szCs w:val="21"/>
        </w:rPr>
        <w:t>в</w:t>
      </w:r>
      <w:r w:rsidRPr="0024174E">
        <w:rPr>
          <w:rFonts w:ascii="Times New Roman" w:hAnsi="Times New Roman" w:cs="Times New Roman"/>
          <w:sz w:val="21"/>
          <w:szCs w:val="21"/>
        </w:rPr>
        <w:t xml:space="preserve"> значний внесок у </w:t>
      </w:r>
      <w:r>
        <w:rPr>
          <w:rFonts w:ascii="Times New Roman" w:hAnsi="Times New Roman" w:cs="Times New Roman"/>
          <w:sz w:val="21"/>
          <w:szCs w:val="21"/>
        </w:rPr>
        <w:t>дослідження проблеми смертності – н</w:t>
      </w:r>
      <w:r w:rsidRPr="0024174E">
        <w:rPr>
          <w:rFonts w:ascii="Times New Roman" w:hAnsi="Times New Roman" w:cs="Times New Roman"/>
          <w:sz w:val="21"/>
          <w:szCs w:val="21"/>
        </w:rPr>
        <w:t>им було розроблено ряд таблиць смертності, які дають змогу прослідкувати характ</w:t>
      </w:r>
      <w:r>
        <w:rPr>
          <w:rFonts w:ascii="Times New Roman" w:hAnsi="Times New Roman" w:cs="Times New Roman"/>
          <w:sz w:val="21"/>
          <w:szCs w:val="21"/>
        </w:rPr>
        <w:t>ерні тенденції цього явища. Ю.</w:t>
      </w:r>
      <w:r w:rsidRPr="0024174E">
        <w:rPr>
          <w:rFonts w:ascii="Times New Roman" w:hAnsi="Times New Roman" w:cs="Times New Roman"/>
          <w:sz w:val="21"/>
          <w:szCs w:val="21"/>
        </w:rPr>
        <w:t xml:space="preserve"> Корчак-Чепурківським </w:t>
      </w:r>
      <w:r>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_Ref433791777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16</w:t>
      </w:r>
      <w:r>
        <w:rPr>
          <w:rFonts w:ascii="Times New Roman" w:hAnsi="Times New Roman" w:cs="Times New Roman"/>
          <w:sz w:val="21"/>
          <w:szCs w:val="21"/>
          <w:highlight w:val="yellow"/>
        </w:rPr>
        <w:fldChar w:fldCharType="end"/>
      </w:r>
      <w:r>
        <w:rPr>
          <w:rFonts w:ascii="Times New Roman" w:hAnsi="Times New Roman" w:cs="Times New Roman"/>
          <w:sz w:val="21"/>
          <w:szCs w:val="21"/>
        </w:rPr>
        <w:t xml:space="preserve">] </w:t>
      </w:r>
      <w:r w:rsidRPr="0024174E">
        <w:rPr>
          <w:rFonts w:ascii="Times New Roman" w:hAnsi="Times New Roman" w:cs="Times New Roman"/>
          <w:sz w:val="21"/>
          <w:szCs w:val="21"/>
        </w:rPr>
        <w:t>досліджено вплив поширених тоді хвороб, для прикладу, туберкульозу на загальну тривалість життя. Він також автор монографії, у якій просліджуються причини і рівень смертно</w:t>
      </w:r>
      <w:r>
        <w:rPr>
          <w:rFonts w:ascii="Times New Roman" w:hAnsi="Times New Roman" w:cs="Times New Roman"/>
          <w:sz w:val="21"/>
          <w:szCs w:val="21"/>
        </w:rPr>
        <w:t>сті жінок у період пологів. Ю.</w:t>
      </w:r>
      <w:r w:rsidRPr="0024174E">
        <w:rPr>
          <w:rFonts w:ascii="Times New Roman" w:hAnsi="Times New Roman" w:cs="Times New Roman"/>
          <w:sz w:val="21"/>
          <w:szCs w:val="21"/>
        </w:rPr>
        <w:t xml:space="preserve"> Корчак-Чепурківський підкреслював існуючий зв’язок демографічних і соціально-економічних процесів. Цей вчений розробив також показник сумарної характеристики вікового складу населення, який дістав назву «індекс нахилу вікової піраміди».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Серед українських демог</w:t>
      </w:r>
      <w:r>
        <w:rPr>
          <w:rFonts w:ascii="Times New Roman" w:hAnsi="Times New Roman" w:cs="Times New Roman"/>
          <w:sz w:val="21"/>
          <w:szCs w:val="21"/>
        </w:rPr>
        <w:t>рафів помітне місце займав С.</w:t>
      </w:r>
      <w:r>
        <w:rPr>
          <w:rFonts w:ascii="Times New Roman" w:hAnsi="Times New Roman" w:cs="Times New Roman"/>
          <w:sz w:val="21"/>
          <w:szCs w:val="21"/>
          <w:lang w:val="ru-RU"/>
        </w:rPr>
        <w:t> </w:t>
      </w:r>
      <w:r w:rsidRPr="0024174E">
        <w:rPr>
          <w:rFonts w:ascii="Times New Roman" w:hAnsi="Times New Roman" w:cs="Times New Roman"/>
          <w:sz w:val="21"/>
          <w:szCs w:val="21"/>
        </w:rPr>
        <w:t>Томилін, який зосереджував свою увагу в більшій мірі на проблемі поліпшення якості населення через соціально-медичну профілактику. Він запропонував концепцію циклічності глобального демографічного розвитку</w:t>
      </w:r>
      <w:r w:rsidRPr="00780EF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_Ref433791784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32</w:t>
      </w:r>
      <w:r>
        <w:rPr>
          <w:rFonts w:ascii="Times New Roman" w:hAnsi="Times New Roman" w:cs="Times New Roman"/>
          <w:sz w:val="21"/>
          <w:szCs w:val="21"/>
          <w:highlight w:val="yellow"/>
        </w:rPr>
        <w:fldChar w:fldCharType="end"/>
      </w:r>
      <w:r w:rsidRPr="00780EF3">
        <w:rPr>
          <w:rFonts w:ascii="Times New Roman" w:hAnsi="Times New Roman" w:cs="Times New Roman"/>
          <w:sz w:val="21"/>
          <w:szCs w:val="21"/>
        </w:rPr>
        <w:t>]</w:t>
      </w:r>
      <w:r w:rsidRPr="0024174E">
        <w:rPr>
          <w:rFonts w:ascii="Times New Roman" w:hAnsi="Times New Roman" w:cs="Times New Roman"/>
          <w:sz w:val="21"/>
          <w:szCs w:val="21"/>
        </w:rPr>
        <w:t xml:space="preserve">.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Праці українських демографів, їхні концепції і теорії викликали увагу і жваве зацікавлення у іноземних колег. Можна зробити цілком виправданий і справедливий висновок про те, що </w:t>
      </w:r>
      <w:r w:rsidRPr="0024174E">
        <w:rPr>
          <w:rFonts w:ascii="Times New Roman" w:hAnsi="Times New Roman" w:cs="Times New Roman"/>
          <w:sz w:val="21"/>
          <w:szCs w:val="21"/>
        </w:rPr>
        <w:lastRenderedPageBreak/>
        <w:t>українська демо</w:t>
      </w:r>
      <w:r>
        <w:rPr>
          <w:rFonts w:ascii="Times New Roman" w:hAnsi="Times New Roman" w:cs="Times New Roman"/>
          <w:sz w:val="21"/>
          <w:szCs w:val="21"/>
        </w:rPr>
        <w:t>графічна наука зробила у 1920–</w:t>
      </w:r>
      <w:r w:rsidRPr="0024174E">
        <w:rPr>
          <w:rFonts w:ascii="Times New Roman" w:hAnsi="Times New Roman" w:cs="Times New Roman"/>
          <w:sz w:val="21"/>
          <w:szCs w:val="21"/>
        </w:rPr>
        <w:t xml:space="preserve">1930 рр. помітний крок уперед.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Однак, на жаль, наприкінці 1930-х років демографічні дослідження були припинені, а багато вчених зазна</w:t>
      </w:r>
      <w:r>
        <w:rPr>
          <w:rFonts w:ascii="Times New Roman" w:hAnsi="Times New Roman" w:cs="Times New Roman"/>
          <w:sz w:val="21"/>
          <w:szCs w:val="21"/>
          <w:lang w:val="ru-RU"/>
        </w:rPr>
        <w:t>ли</w:t>
      </w:r>
      <w:r w:rsidRPr="0024174E">
        <w:rPr>
          <w:rFonts w:ascii="Times New Roman" w:hAnsi="Times New Roman" w:cs="Times New Roman"/>
          <w:sz w:val="21"/>
          <w:szCs w:val="21"/>
        </w:rPr>
        <w:t xml:space="preserve"> репресій.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А на Заході </w:t>
      </w:r>
      <w:r>
        <w:rPr>
          <w:rFonts w:ascii="Times New Roman" w:hAnsi="Times New Roman" w:cs="Times New Roman"/>
          <w:sz w:val="21"/>
          <w:szCs w:val="21"/>
          <w:lang w:val="ru-RU"/>
        </w:rPr>
        <w:t xml:space="preserve">в </w:t>
      </w:r>
      <w:r w:rsidRPr="0024174E">
        <w:rPr>
          <w:rFonts w:ascii="Times New Roman" w:hAnsi="Times New Roman" w:cs="Times New Roman"/>
          <w:sz w:val="21"/>
          <w:szCs w:val="21"/>
        </w:rPr>
        <w:t>1930-ті роки ще однією темою для обговорення стає концепція демографічного переходу, яку сформулю</w:t>
      </w:r>
      <w:r>
        <w:rPr>
          <w:rFonts w:ascii="Times New Roman" w:hAnsi="Times New Roman" w:cs="Times New Roman"/>
          <w:sz w:val="21"/>
          <w:szCs w:val="21"/>
        </w:rPr>
        <w:t>вав американський демограф У</w:t>
      </w:r>
      <w:r>
        <w:rPr>
          <w:rFonts w:ascii="Times New Roman" w:hAnsi="Times New Roman" w:cs="Times New Roman"/>
          <w:sz w:val="21"/>
          <w:szCs w:val="21"/>
          <w:lang w:val="ru-RU"/>
        </w:rPr>
        <w:t>.</w:t>
      </w:r>
      <w:r w:rsidRPr="0024174E">
        <w:rPr>
          <w:rFonts w:ascii="Times New Roman" w:hAnsi="Times New Roman" w:cs="Times New Roman"/>
          <w:sz w:val="21"/>
          <w:szCs w:val="21"/>
        </w:rPr>
        <w:t xml:space="preserve"> Томпсон 1929 року у своїй статті «Населення», опублікованій в «Американському соціологічному часописі». Проте сам термін «демографічний перехід» увів в обіг інший</w:t>
      </w:r>
      <w:r>
        <w:rPr>
          <w:rFonts w:ascii="Times New Roman" w:hAnsi="Times New Roman" w:cs="Times New Roman"/>
          <w:sz w:val="21"/>
          <w:szCs w:val="21"/>
        </w:rPr>
        <w:t xml:space="preserve"> американський демограф Ф</w:t>
      </w:r>
      <w:r>
        <w:rPr>
          <w:rFonts w:ascii="Times New Roman" w:hAnsi="Times New Roman" w:cs="Times New Roman"/>
          <w:sz w:val="21"/>
          <w:szCs w:val="21"/>
          <w:lang w:val="ru-RU"/>
        </w:rPr>
        <w:t>.</w:t>
      </w:r>
      <w:r w:rsidRPr="0024174E">
        <w:rPr>
          <w:rFonts w:ascii="Times New Roman" w:hAnsi="Times New Roman" w:cs="Times New Roman"/>
          <w:sz w:val="21"/>
          <w:szCs w:val="21"/>
        </w:rPr>
        <w:t xml:space="preserve"> Ноутстайн в 1945 році. Проблему демографічного переходу досліджував і французький вчений А. Ландрі у своїй праці «Демографічна революція» (1934 р.)</w:t>
      </w:r>
      <w:r w:rsidRPr="003D76D6">
        <w:rPr>
          <w:rFonts w:ascii="Times New Roman" w:hAnsi="Times New Roman" w:cs="Times New Roman"/>
          <w:sz w:val="21"/>
          <w:szCs w:val="21"/>
        </w:rPr>
        <w:t xml:space="preserve"> </w:t>
      </w:r>
      <w:r>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_Ref433791796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42</w:t>
      </w:r>
      <w:r>
        <w:rPr>
          <w:rFonts w:ascii="Times New Roman" w:hAnsi="Times New Roman" w:cs="Times New Roman"/>
          <w:sz w:val="21"/>
          <w:szCs w:val="21"/>
          <w:highlight w:val="yellow"/>
        </w:rPr>
        <w:fldChar w:fldCharType="end"/>
      </w:r>
      <w:r>
        <w:rPr>
          <w:rFonts w:ascii="Times New Roman" w:hAnsi="Times New Roman" w:cs="Times New Roman"/>
          <w:sz w:val="21"/>
          <w:szCs w:val="21"/>
        </w:rPr>
        <w:t>], а у повоєнний час (1950–</w:t>
      </w:r>
      <w:r w:rsidRPr="0024174E">
        <w:rPr>
          <w:rFonts w:ascii="Times New Roman" w:hAnsi="Times New Roman" w:cs="Times New Roman"/>
          <w:sz w:val="21"/>
          <w:szCs w:val="21"/>
        </w:rPr>
        <w:t>1970 рр.) – такі вчені, як Е</w:t>
      </w:r>
      <w:r>
        <w:rPr>
          <w:rFonts w:ascii="Times New Roman" w:hAnsi="Times New Roman" w:cs="Times New Roman"/>
          <w:sz w:val="21"/>
          <w:szCs w:val="21"/>
        </w:rPr>
        <w:t>. Россет, О. Кваша, А.</w:t>
      </w:r>
      <w:r w:rsidRPr="0024174E">
        <w:rPr>
          <w:rFonts w:ascii="Times New Roman" w:hAnsi="Times New Roman" w:cs="Times New Roman"/>
          <w:sz w:val="21"/>
          <w:szCs w:val="21"/>
        </w:rPr>
        <w:t xml:space="preserve"> Вишневський, Л. Андерсон та інші. </w:t>
      </w:r>
    </w:p>
    <w:p w:rsidR="00B233DE" w:rsidRDefault="00B233DE" w:rsidP="00B233DE">
      <w:pPr>
        <w:ind w:firstLine="720"/>
        <w:jc w:val="both"/>
        <w:rPr>
          <w:rFonts w:ascii="Times New Roman" w:hAnsi="Times New Roman" w:cs="Times New Roman"/>
          <w:sz w:val="21"/>
          <w:szCs w:val="21"/>
          <w:lang w:val="ru-RU"/>
        </w:rPr>
      </w:pPr>
      <w:r w:rsidRPr="0024174E">
        <w:rPr>
          <w:rFonts w:ascii="Times New Roman" w:hAnsi="Times New Roman" w:cs="Times New Roman"/>
          <w:sz w:val="21"/>
          <w:szCs w:val="21"/>
        </w:rPr>
        <w:t xml:space="preserve">Концепція демографічного переходу ґрунтується на тезі про періодизацію демографічного розвитку, яка відповідає трьом історичним етапам суспільного розвитку – періоду привласнювальної економіки, періоду аграрного суспільства і сучасного (індустріального). Тому виділяють такі історичні типи відтворення населення: </w:t>
      </w:r>
    </w:p>
    <w:p w:rsidR="00B233DE" w:rsidRDefault="00B233DE" w:rsidP="00B233DE">
      <w:pPr>
        <w:ind w:firstLine="720"/>
        <w:jc w:val="both"/>
        <w:rPr>
          <w:rFonts w:ascii="Times New Roman" w:hAnsi="Times New Roman" w:cs="Times New Roman"/>
          <w:sz w:val="21"/>
          <w:szCs w:val="21"/>
          <w:lang w:val="ru-RU"/>
        </w:rPr>
      </w:pPr>
      <w:r w:rsidRPr="0024174E">
        <w:rPr>
          <w:rFonts w:ascii="Times New Roman" w:hAnsi="Times New Roman" w:cs="Times New Roman"/>
          <w:sz w:val="21"/>
          <w:szCs w:val="21"/>
        </w:rPr>
        <w:t xml:space="preserve">1) архетип, властивий суспільству з привласнювальними формами господарювання (первісне суспільство кам’яного віку); </w:t>
      </w:r>
    </w:p>
    <w:p w:rsidR="00B233DE" w:rsidRDefault="00B233DE" w:rsidP="00B233DE">
      <w:pPr>
        <w:ind w:firstLine="720"/>
        <w:jc w:val="both"/>
        <w:rPr>
          <w:rFonts w:ascii="Times New Roman" w:hAnsi="Times New Roman" w:cs="Times New Roman"/>
          <w:sz w:val="21"/>
          <w:szCs w:val="21"/>
          <w:lang w:val="ru-RU"/>
        </w:rPr>
      </w:pPr>
      <w:r w:rsidRPr="0024174E">
        <w:rPr>
          <w:rFonts w:ascii="Times New Roman" w:hAnsi="Times New Roman" w:cs="Times New Roman"/>
          <w:sz w:val="21"/>
          <w:szCs w:val="21"/>
        </w:rPr>
        <w:t xml:space="preserve">2) традиційний тип, притаманний аграрному суспільству. Цей тип ще називають екстенсивним;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3) сучасний або раціональний тип чи інтенсивний.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Тісно пов’язана з концепцією демографічного переходу концепція раціоналізму, яку висунули зарубіжні демографи – французький вчений Ж. Буржуа-П</w:t>
      </w:r>
      <w:r>
        <w:rPr>
          <w:rFonts w:ascii="Times New Roman" w:hAnsi="Times New Roman" w:cs="Times New Roman"/>
          <w:sz w:val="21"/>
          <w:szCs w:val="21"/>
        </w:rPr>
        <w:t>іша, американський дослідник С.</w:t>
      </w:r>
      <w:r>
        <w:rPr>
          <w:rFonts w:ascii="Times New Roman" w:hAnsi="Times New Roman" w:cs="Times New Roman"/>
          <w:sz w:val="21"/>
          <w:szCs w:val="21"/>
          <w:lang w:val="ru-RU"/>
        </w:rPr>
        <w:t> </w:t>
      </w:r>
      <w:r w:rsidRPr="0024174E">
        <w:rPr>
          <w:rFonts w:ascii="Times New Roman" w:hAnsi="Times New Roman" w:cs="Times New Roman"/>
          <w:sz w:val="21"/>
          <w:szCs w:val="21"/>
        </w:rPr>
        <w:t xml:space="preserve">Енке. Ця концепція визначає теоретичні основи схеми розвитку й завершення демографічного переходу в різних країнах світу. Згідно з даною концепцією, на першому етапі демографічного переходу помітно скорочується екзогенна смертність, а відтак збільшується середня тривалість життя, а на другому етапі змінюється тип народжуваності.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 xml:space="preserve">Американські демографи Д. Блейк і К. Девіс, а також австралійський вчений Дж. Колдуелл заснували інший напрямок у поясненні демографічного переходу. Вони у своїх працях, опублікованих в 1950-ті роки зробили висновок, що зміна типу </w:t>
      </w:r>
      <w:r w:rsidRPr="0024174E">
        <w:rPr>
          <w:rFonts w:ascii="Times New Roman" w:hAnsi="Times New Roman" w:cs="Times New Roman"/>
          <w:sz w:val="21"/>
          <w:szCs w:val="21"/>
        </w:rPr>
        <w:lastRenderedPageBreak/>
        <w:t xml:space="preserve">народжуваності залежала в меншій мірі від зниження смертності, а в більшій мірі від зміни суспільно-економічних умов, переходу до індустріального суспільства.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Демографічні дослідження в Україні у 60-ті роки проводилися в секторі демографії й відтворення трудових ресурсів Інституту економіки АН УРСР та у Раді з вивчення продуктивних сил УРСР АН УРСР. У розробках Інституту економіки АН УРСР наявна комплексна оцінка демографічної ситуації у повоєнній Україні, досліджені тенденції відтворення й міграції населення, розроблені заходи щодо вдосконалення демографічної політики. Дослідження Ради з вивчення продуктивних сил УРСР були спрямовані переважно на вивчення регіональних аспектів відтворення населення й трудових ресурсів. Паралельно такі самі дослідження вели в Інституті економіки промисловості АН УРСР (Донецьк), Львівському та Харківському відділеннях Інституту економіки АН УРСР. Проблеми медичної демографії стали об'єктом уваги вчених Київського науково-дослідного інституту загальної т</w:t>
      </w:r>
      <w:r>
        <w:rPr>
          <w:rFonts w:ascii="Times New Roman" w:hAnsi="Times New Roman" w:cs="Times New Roman"/>
          <w:sz w:val="21"/>
          <w:szCs w:val="21"/>
        </w:rPr>
        <w:t>а комунальної гігієни імені О.</w:t>
      </w:r>
      <w:r w:rsidRPr="0024174E">
        <w:rPr>
          <w:rFonts w:ascii="Times New Roman" w:hAnsi="Times New Roman" w:cs="Times New Roman"/>
          <w:sz w:val="21"/>
          <w:szCs w:val="21"/>
        </w:rPr>
        <w:t xml:space="preserve"> Марзєєва й на кафедрах низки медичних вузів. Істотний розвиток дістали в Інституті геронтології АМН СРСР від 1959 року дослідження тривалості життя людей та активного довголіття людини. З 1970 році </w:t>
      </w:r>
      <w:r w:rsidRPr="009F3B45">
        <w:rPr>
          <w:rFonts w:ascii="Times New Roman" w:hAnsi="Times New Roman" w:cs="Times New Roman"/>
          <w:spacing w:val="-4"/>
          <w:sz w:val="21"/>
          <w:szCs w:val="21"/>
        </w:rPr>
        <w:t>починається викладання демографії переважно в економічних вузах.</w:t>
      </w:r>
      <w:r w:rsidRPr="0024174E">
        <w:rPr>
          <w:rFonts w:ascii="Times New Roman" w:hAnsi="Times New Roman" w:cs="Times New Roman"/>
          <w:sz w:val="21"/>
          <w:szCs w:val="21"/>
        </w:rPr>
        <w:t xml:space="preserve"> </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Тільки в 2003 році було створено інститут демографії України. Серед сучасних провідних вчених-демографів можна відмітити</w:t>
      </w:r>
      <w:r>
        <w:rPr>
          <w:rFonts w:ascii="Times New Roman" w:hAnsi="Times New Roman" w:cs="Times New Roman"/>
          <w:sz w:val="21"/>
          <w:szCs w:val="21"/>
        </w:rPr>
        <w:t>:</w:t>
      </w:r>
      <w:r w:rsidRPr="0024174E">
        <w:rPr>
          <w:rFonts w:ascii="Times New Roman" w:hAnsi="Times New Roman" w:cs="Times New Roman"/>
          <w:sz w:val="21"/>
          <w:szCs w:val="21"/>
        </w:rPr>
        <w:t xml:space="preserve"> С. Пирожкова, який займається вивчення</w:t>
      </w:r>
      <w:r w:rsidRPr="004735C5">
        <w:rPr>
          <w:rFonts w:ascii="Times New Roman" w:hAnsi="Times New Roman" w:cs="Times New Roman"/>
          <w:sz w:val="21"/>
          <w:szCs w:val="21"/>
        </w:rPr>
        <w:t>м</w:t>
      </w:r>
      <w:r w:rsidRPr="0024174E">
        <w:rPr>
          <w:rFonts w:ascii="Times New Roman" w:hAnsi="Times New Roman" w:cs="Times New Roman"/>
          <w:sz w:val="21"/>
          <w:szCs w:val="21"/>
        </w:rPr>
        <w:t xml:space="preserve"> вікової структури населення, розвитком методів прогнозування і демографічних моделей і був першим директором цього інституту, В. Стешенко, В. Піскунов</w:t>
      </w:r>
      <w:r w:rsidRPr="004735C5">
        <w:rPr>
          <w:rFonts w:ascii="Times New Roman" w:hAnsi="Times New Roman" w:cs="Times New Roman"/>
          <w:sz w:val="21"/>
          <w:szCs w:val="21"/>
        </w:rPr>
        <w:t>а</w:t>
      </w:r>
      <w:r w:rsidRPr="0024174E">
        <w:rPr>
          <w:rFonts w:ascii="Times New Roman" w:hAnsi="Times New Roman" w:cs="Times New Roman"/>
          <w:sz w:val="21"/>
          <w:szCs w:val="21"/>
        </w:rPr>
        <w:t xml:space="preserve"> (когортний метод аналізу факторів зниження народжуваності, відтворення населення), Е. Лібанов</w:t>
      </w:r>
      <w:r w:rsidRPr="004735C5">
        <w:rPr>
          <w:rFonts w:ascii="Times New Roman" w:hAnsi="Times New Roman" w:cs="Times New Roman"/>
          <w:sz w:val="21"/>
          <w:szCs w:val="21"/>
        </w:rPr>
        <w:t>у</w:t>
      </w:r>
      <w:r w:rsidRPr="0024174E">
        <w:rPr>
          <w:rFonts w:ascii="Times New Roman" w:hAnsi="Times New Roman" w:cs="Times New Roman"/>
          <w:sz w:val="21"/>
          <w:szCs w:val="21"/>
        </w:rPr>
        <w:t>,</w:t>
      </w:r>
      <w:r>
        <w:rPr>
          <w:rFonts w:ascii="Times New Roman" w:hAnsi="Times New Roman" w:cs="Times New Roman"/>
          <w:sz w:val="21"/>
          <w:szCs w:val="21"/>
        </w:rPr>
        <w:t xml:space="preserve"> теперішн</w:t>
      </w:r>
      <w:r w:rsidRPr="004735C5">
        <w:rPr>
          <w:rFonts w:ascii="Times New Roman" w:hAnsi="Times New Roman" w:cs="Times New Roman"/>
          <w:sz w:val="21"/>
          <w:szCs w:val="21"/>
        </w:rPr>
        <w:t>ього</w:t>
      </w:r>
      <w:r w:rsidRPr="0024174E">
        <w:rPr>
          <w:rFonts w:ascii="Times New Roman" w:hAnsi="Times New Roman" w:cs="Times New Roman"/>
          <w:sz w:val="21"/>
          <w:szCs w:val="21"/>
        </w:rPr>
        <w:t xml:space="preserve"> директор</w:t>
      </w:r>
      <w:r w:rsidRPr="004735C5">
        <w:rPr>
          <w:rFonts w:ascii="Times New Roman" w:hAnsi="Times New Roman" w:cs="Times New Roman"/>
          <w:sz w:val="21"/>
          <w:szCs w:val="21"/>
        </w:rPr>
        <w:t>а</w:t>
      </w:r>
      <w:r>
        <w:rPr>
          <w:rFonts w:ascii="Times New Roman" w:hAnsi="Times New Roman" w:cs="Times New Roman"/>
          <w:sz w:val="21"/>
          <w:szCs w:val="21"/>
        </w:rPr>
        <w:t xml:space="preserve"> І</w:t>
      </w:r>
      <w:r w:rsidRPr="0024174E">
        <w:rPr>
          <w:rFonts w:ascii="Times New Roman" w:hAnsi="Times New Roman" w:cs="Times New Roman"/>
          <w:sz w:val="21"/>
          <w:szCs w:val="21"/>
        </w:rPr>
        <w:t>нституту демографії.</w:t>
      </w:r>
    </w:p>
    <w:p w:rsidR="00B233DE" w:rsidRPr="0024174E" w:rsidRDefault="00B233DE" w:rsidP="00B233DE">
      <w:pPr>
        <w:ind w:firstLine="720"/>
        <w:jc w:val="both"/>
        <w:rPr>
          <w:rFonts w:ascii="Times New Roman" w:hAnsi="Times New Roman" w:cs="Times New Roman"/>
          <w:sz w:val="21"/>
          <w:szCs w:val="21"/>
        </w:rPr>
      </w:pPr>
      <w:r w:rsidRPr="0024174E">
        <w:rPr>
          <w:rFonts w:ascii="Times New Roman" w:hAnsi="Times New Roman" w:cs="Times New Roman"/>
          <w:sz w:val="21"/>
          <w:szCs w:val="21"/>
        </w:rPr>
        <w:t>Широкого розмаху набули дослідження, що мали на меті виявити залежність демографічних характеристик від особливостей і рівня історичного розвитку. Наголошувалися відмінності природного відтворення населення в примітивних, доіндустріальних та індустріальних суспільствах, визначалися особливості демографічної поведінки міського і сільського населення. Зарубіжні дослідники поставили проблему про необхідність відповідності чисельності населення рівню соціально-</w:t>
      </w:r>
      <w:r w:rsidRPr="0024174E">
        <w:rPr>
          <w:rFonts w:ascii="Times New Roman" w:hAnsi="Times New Roman" w:cs="Times New Roman"/>
          <w:sz w:val="21"/>
          <w:szCs w:val="21"/>
        </w:rPr>
        <w:lastRenderedPageBreak/>
        <w:t>економічного розвитку. Виходячи з цього, вважали вони, повинні регулюватися темпи зростання населення.</w:t>
      </w:r>
    </w:p>
    <w:p w:rsidR="00B233DE" w:rsidRPr="0024174E" w:rsidRDefault="00B233DE" w:rsidP="00B233DE">
      <w:pPr>
        <w:ind w:firstLine="720"/>
        <w:jc w:val="both"/>
        <w:rPr>
          <w:rFonts w:ascii="Times New Roman" w:hAnsi="Times New Roman" w:cs="Times New Roman"/>
          <w:sz w:val="21"/>
          <w:szCs w:val="21"/>
        </w:rPr>
      </w:pPr>
      <w:r>
        <w:rPr>
          <w:rFonts w:ascii="Times New Roman" w:hAnsi="Times New Roman" w:cs="Times New Roman"/>
          <w:sz w:val="21"/>
          <w:szCs w:val="21"/>
        </w:rPr>
        <w:t>Об</w:t>
      </w:r>
      <w:r w:rsidRPr="009F3B45">
        <w:rPr>
          <w:rFonts w:ascii="Times New Roman" w:hAnsi="Times New Roman" w:cs="Times New Roman"/>
          <w:sz w:val="21"/>
          <w:szCs w:val="21"/>
          <w:lang w:val="ru-RU"/>
        </w:rPr>
        <w:t>’</w:t>
      </w:r>
      <w:r w:rsidRPr="0024174E">
        <w:rPr>
          <w:rFonts w:ascii="Times New Roman" w:hAnsi="Times New Roman" w:cs="Times New Roman"/>
          <w:sz w:val="21"/>
          <w:szCs w:val="21"/>
        </w:rPr>
        <w:t>єктом особливо пильного аналізу в XX ст. стала статистика народжуваності: виявлялися її відмінності за регіонами, оцінювався вплив на показники народжуваності таких чинників, як професія, соціальна приналежність, релігія та інші. Останнім часом дослідники почали звертати все більшу увагу на те, як впливає на демографічні показники екологічна ситуація.</w:t>
      </w:r>
    </w:p>
    <w:p w:rsidR="00B233DE" w:rsidRDefault="00B233DE" w:rsidP="00B233DE">
      <w:pPr>
        <w:jc w:val="both"/>
        <w:rPr>
          <w:rFonts w:ascii="Times New Roman" w:hAnsi="Times New Roman" w:cs="Times New Roman"/>
          <w:sz w:val="21"/>
          <w:szCs w:val="21"/>
        </w:rPr>
      </w:pPr>
    </w:p>
    <w:p w:rsidR="00B233DE" w:rsidRDefault="00B233DE" w:rsidP="00B233DE">
      <w:pPr>
        <w:jc w:val="both"/>
        <w:rPr>
          <w:rFonts w:ascii="Times New Roman" w:hAnsi="Times New Roman" w:cs="Times New Roman"/>
          <w:sz w:val="21"/>
          <w:szCs w:val="21"/>
        </w:rPr>
      </w:pPr>
    </w:p>
    <w:p w:rsidR="00B233DE" w:rsidRPr="00E20C1F" w:rsidRDefault="00B233DE" w:rsidP="00B233DE">
      <w:pPr>
        <w:pStyle w:val="afb"/>
        <w:shd w:val="clear" w:color="auto" w:fill="auto"/>
        <w:tabs>
          <w:tab w:val="left" w:pos="394"/>
          <w:tab w:val="left" w:pos="426"/>
        </w:tabs>
        <w:spacing w:before="0" w:line="240" w:lineRule="auto"/>
        <w:ind w:right="40" w:firstLine="709"/>
        <w:contextualSpacing/>
        <w:jc w:val="center"/>
        <w:rPr>
          <w:b/>
          <w:sz w:val="21"/>
          <w:szCs w:val="21"/>
        </w:rPr>
      </w:pPr>
      <w:r w:rsidRPr="00E20C1F">
        <w:rPr>
          <w:rFonts w:ascii="UkrainianPeterburg" w:hAnsi="UkrainianPeterburg"/>
          <w:b/>
          <w:sz w:val="21"/>
          <w:szCs w:val="21"/>
        </w:rPr>
        <w:t>2.2. Методичні підходи до оцінки стану соціально-демографічного потенціалу України</w:t>
      </w:r>
    </w:p>
    <w:p w:rsidR="00B233DE" w:rsidRDefault="00B233DE" w:rsidP="00B233DE">
      <w:pPr>
        <w:jc w:val="both"/>
        <w:rPr>
          <w:rFonts w:ascii="Times New Roman" w:hAnsi="Times New Roman" w:cs="Times New Roman"/>
          <w:sz w:val="21"/>
          <w:szCs w:val="21"/>
        </w:rPr>
      </w:pPr>
    </w:p>
    <w:p w:rsidR="00B233DE" w:rsidRDefault="00B233DE" w:rsidP="00B233DE">
      <w:pPr>
        <w:jc w:val="both"/>
        <w:rPr>
          <w:rFonts w:ascii="Times New Roman" w:hAnsi="Times New Roman" w:cs="Times New Roman"/>
          <w:sz w:val="21"/>
          <w:szCs w:val="21"/>
        </w:rPr>
      </w:pPr>
    </w:p>
    <w:p w:rsidR="00B233DE" w:rsidRPr="00ED02A3" w:rsidRDefault="00B233DE" w:rsidP="00B233DE">
      <w:pPr>
        <w:ind w:firstLine="720"/>
        <w:jc w:val="both"/>
        <w:rPr>
          <w:rFonts w:ascii="Times New Roman" w:hAnsi="Times New Roman" w:cs="Times New Roman"/>
          <w:sz w:val="21"/>
          <w:szCs w:val="21"/>
        </w:rPr>
      </w:pPr>
      <w:r w:rsidRPr="00ED02A3">
        <w:rPr>
          <w:rFonts w:ascii="Times New Roman" w:hAnsi="Times New Roman" w:cs="Times New Roman"/>
          <w:sz w:val="21"/>
          <w:szCs w:val="21"/>
        </w:rPr>
        <w:t xml:space="preserve">Сучасне XXI ст. ставить нові виклики розвитку демографічної наукової думки. Адже потужним чинником детермінації демографічних змін є глобалізація суспільного життя. </w:t>
      </w:r>
    </w:p>
    <w:p w:rsidR="00B233DE" w:rsidRPr="00ED02A3" w:rsidRDefault="00B233DE" w:rsidP="00B233DE">
      <w:pPr>
        <w:ind w:firstLine="720"/>
        <w:jc w:val="both"/>
        <w:rPr>
          <w:rFonts w:ascii="Times New Roman" w:hAnsi="Times New Roman" w:cs="Times New Roman"/>
          <w:sz w:val="21"/>
          <w:szCs w:val="21"/>
        </w:rPr>
      </w:pPr>
      <w:r w:rsidRPr="00ED02A3">
        <w:rPr>
          <w:rFonts w:ascii="Times New Roman" w:hAnsi="Times New Roman" w:cs="Times New Roman"/>
          <w:sz w:val="21"/>
          <w:szCs w:val="21"/>
        </w:rPr>
        <w:t>Вперше поняття «демографічний потенціал» запропонував ввести англійський демограф Р. Фішер</w:t>
      </w:r>
      <w:r>
        <w:rPr>
          <w:rFonts w:ascii="Times New Roman" w:hAnsi="Times New Roman" w:cs="Times New Roman"/>
          <w:sz w:val="21"/>
          <w:szCs w:val="21"/>
          <w:lang w:val="ru-RU"/>
        </w:rPr>
        <w:t xml:space="preserve"> [</w:t>
      </w:r>
      <w:r>
        <w:rPr>
          <w:rFonts w:ascii="Times New Roman" w:hAnsi="Times New Roman" w:cs="Times New Roman"/>
          <w:sz w:val="21"/>
          <w:szCs w:val="21"/>
          <w:highlight w:val="yellow"/>
          <w:lang w:val="ru-RU"/>
        </w:rPr>
        <w:fldChar w:fldCharType="begin"/>
      </w:r>
      <w:r>
        <w:rPr>
          <w:rFonts w:ascii="Times New Roman" w:hAnsi="Times New Roman" w:cs="Times New Roman"/>
          <w:sz w:val="21"/>
          <w:szCs w:val="21"/>
          <w:lang w:val="ru-RU"/>
        </w:rPr>
        <w:instrText xml:space="preserve"> REF _Ref433791804 \r \h </w:instrText>
      </w:r>
      <w:r>
        <w:rPr>
          <w:rFonts w:ascii="Times New Roman" w:hAnsi="Times New Roman" w:cs="Times New Roman"/>
          <w:sz w:val="21"/>
          <w:szCs w:val="21"/>
          <w:highlight w:val="yellow"/>
          <w:lang w:val="ru-RU"/>
        </w:rPr>
      </w:r>
      <w:r>
        <w:rPr>
          <w:rFonts w:ascii="Times New Roman" w:hAnsi="Times New Roman" w:cs="Times New Roman"/>
          <w:sz w:val="21"/>
          <w:szCs w:val="21"/>
          <w:highlight w:val="yellow"/>
          <w:lang w:val="ru-RU"/>
        </w:rPr>
        <w:fldChar w:fldCharType="separate"/>
      </w:r>
      <w:r>
        <w:rPr>
          <w:rFonts w:ascii="Times New Roman" w:hAnsi="Times New Roman" w:cs="Times New Roman"/>
          <w:sz w:val="21"/>
          <w:szCs w:val="21"/>
          <w:lang w:val="ru-RU"/>
        </w:rPr>
        <w:t>34</w:t>
      </w:r>
      <w:r>
        <w:rPr>
          <w:rFonts w:ascii="Times New Roman" w:hAnsi="Times New Roman" w:cs="Times New Roman"/>
          <w:sz w:val="21"/>
          <w:szCs w:val="21"/>
          <w:highlight w:val="yellow"/>
          <w:lang w:val="ru-RU"/>
        </w:rPr>
        <w:fldChar w:fldCharType="end"/>
      </w:r>
      <w:r>
        <w:rPr>
          <w:rFonts w:ascii="Times New Roman" w:hAnsi="Times New Roman" w:cs="Times New Roman"/>
          <w:sz w:val="21"/>
          <w:szCs w:val="21"/>
          <w:lang w:val="ru-RU"/>
        </w:rPr>
        <w:t>]</w:t>
      </w:r>
      <w:r w:rsidRPr="00ED02A3">
        <w:rPr>
          <w:rFonts w:ascii="Times New Roman" w:hAnsi="Times New Roman" w:cs="Times New Roman"/>
          <w:sz w:val="21"/>
          <w:szCs w:val="21"/>
        </w:rPr>
        <w:t xml:space="preserve"> в 1920-х роках. Він розглядав народження</w:t>
      </w:r>
      <w:r>
        <w:rPr>
          <w:rFonts w:ascii="Times New Roman" w:hAnsi="Times New Roman" w:cs="Times New Roman"/>
          <w:sz w:val="21"/>
          <w:szCs w:val="21"/>
        </w:rPr>
        <w:t xml:space="preserve"> людини як отримання ним життя </w:t>
      </w:r>
      <w:r>
        <w:rPr>
          <w:rFonts w:ascii="Times New Roman" w:hAnsi="Times New Roman" w:cs="Times New Roman"/>
          <w:sz w:val="21"/>
          <w:szCs w:val="21"/>
          <w:lang w:val="ru-RU"/>
        </w:rPr>
        <w:t>«</w:t>
      </w:r>
      <w:r>
        <w:rPr>
          <w:rFonts w:ascii="Times New Roman" w:hAnsi="Times New Roman" w:cs="Times New Roman"/>
          <w:sz w:val="21"/>
          <w:szCs w:val="21"/>
        </w:rPr>
        <w:t>в кредит</w:t>
      </w:r>
      <w:r>
        <w:rPr>
          <w:rFonts w:ascii="Times New Roman" w:hAnsi="Times New Roman" w:cs="Times New Roman"/>
          <w:sz w:val="21"/>
          <w:szCs w:val="21"/>
          <w:lang w:val="ru-RU"/>
        </w:rPr>
        <w:t>»</w:t>
      </w:r>
      <w:r w:rsidRPr="00ED02A3">
        <w:rPr>
          <w:rFonts w:ascii="Times New Roman" w:hAnsi="Times New Roman" w:cs="Times New Roman"/>
          <w:sz w:val="21"/>
          <w:szCs w:val="21"/>
        </w:rPr>
        <w:t>, а подаль</w:t>
      </w:r>
      <w:r>
        <w:rPr>
          <w:rFonts w:ascii="Times New Roman" w:hAnsi="Times New Roman" w:cs="Times New Roman"/>
          <w:sz w:val="21"/>
          <w:szCs w:val="21"/>
        </w:rPr>
        <w:t xml:space="preserve">ше народження власних дітей як </w:t>
      </w:r>
      <w:r>
        <w:rPr>
          <w:rFonts w:ascii="Times New Roman" w:hAnsi="Times New Roman" w:cs="Times New Roman"/>
          <w:sz w:val="21"/>
          <w:szCs w:val="21"/>
          <w:lang w:val="ru-RU"/>
        </w:rPr>
        <w:t>«</w:t>
      </w:r>
      <w:r>
        <w:rPr>
          <w:rFonts w:ascii="Times New Roman" w:hAnsi="Times New Roman" w:cs="Times New Roman"/>
          <w:sz w:val="21"/>
          <w:szCs w:val="21"/>
        </w:rPr>
        <w:t>виплату боргу</w:t>
      </w:r>
      <w:r>
        <w:rPr>
          <w:rFonts w:ascii="Times New Roman" w:hAnsi="Times New Roman" w:cs="Times New Roman"/>
          <w:sz w:val="21"/>
          <w:szCs w:val="21"/>
          <w:lang w:val="ru-RU"/>
        </w:rPr>
        <w:t>»</w:t>
      </w:r>
      <w:r w:rsidRPr="00ED02A3">
        <w:rPr>
          <w:rFonts w:ascii="Times New Roman" w:hAnsi="Times New Roman" w:cs="Times New Roman"/>
          <w:sz w:val="21"/>
          <w:szCs w:val="21"/>
        </w:rPr>
        <w:t>. Однак</w:t>
      </w:r>
      <w:r>
        <w:rPr>
          <w:rFonts w:ascii="Times New Roman" w:hAnsi="Times New Roman" w:cs="Times New Roman"/>
          <w:sz w:val="21"/>
          <w:szCs w:val="21"/>
          <w:lang w:val="ru-RU"/>
        </w:rPr>
        <w:t>,</w:t>
      </w:r>
      <w:r w:rsidRPr="00ED02A3">
        <w:rPr>
          <w:rFonts w:ascii="Times New Roman" w:hAnsi="Times New Roman" w:cs="Times New Roman"/>
          <w:sz w:val="21"/>
          <w:szCs w:val="21"/>
        </w:rPr>
        <w:t xml:space="preserve"> запропоноване поняття в демографії не знайшло точного вимірювання.</w:t>
      </w:r>
    </w:p>
    <w:p w:rsidR="00B233DE" w:rsidRPr="00ED02A3" w:rsidRDefault="00B233DE" w:rsidP="00B233DE">
      <w:pPr>
        <w:ind w:firstLine="720"/>
        <w:jc w:val="both"/>
        <w:rPr>
          <w:rFonts w:ascii="Times New Roman" w:hAnsi="Times New Roman" w:cs="Times New Roman"/>
          <w:sz w:val="21"/>
          <w:szCs w:val="21"/>
        </w:rPr>
      </w:pPr>
      <w:r>
        <w:rPr>
          <w:rFonts w:ascii="Times New Roman" w:hAnsi="Times New Roman" w:cs="Times New Roman"/>
          <w:sz w:val="21"/>
          <w:szCs w:val="21"/>
        </w:rPr>
        <w:t>П. Венсан</w:t>
      </w:r>
      <w:r>
        <w:rPr>
          <w:rFonts w:ascii="Times New Roman" w:hAnsi="Times New Roman" w:cs="Times New Roman"/>
          <w:sz w:val="21"/>
          <w:szCs w:val="21"/>
          <w:lang w:val="ru-RU"/>
        </w:rPr>
        <w:t xml:space="preserve"> </w:t>
      </w:r>
      <w:r w:rsidRPr="00ED02A3">
        <w:rPr>
          <w:rFonts w:ascii="Times New Roman" w:hAnsi="Times New Roman" w:cs="Times New Roman"/>
          <w:sz w:val="21"/>
          <w:szCs w:val="21"/>
        </w:rPr>
        <w:t xml:space="preserve">ввів термін «потенціал зростання», який визначає збільшення чисельності всього населення за певний період. Але це тільки посилило проблему вимірювання «демографічного потенціалу», так як потенціал зростання </w:t>
      </w:r>
      <w:r>
        <w:rPr>
          <w:rFonts w:ascii="Times New Roman" w:hAnsi="Times New Roman" w:cs="Times New Roman"/>
          <w:sz w:val="21"/>
          <w:szCs w:val="21"/>
        </w:rPr>
        <w:t>–</w:t>
      </w:r>
      <w:r w:rsidRPr="00ED02A3">
        <w:rPr>
          <w:rFonts w:ascii="Times New Roman" w:hAnsi="Times New Roman" w:cs="Times New Roman"/>
          <w:sz w:val="21"/>
          <w:szCs w:val="21"/>
        </w:rPr>
        <w:t xml:space="preserve"> це відносний показник, в той час як базове поняття «потенціал» визначає можливості чого-небудь і повинен вимірюватися як у відносних, так і в абсолютних величинах.</w:t>
      </w:r>
    </w:p>
    <w:p w:rsidR="00B233DE" w:rsidRPr="00ED02A3" w:rsidRDefault="00B233DE" w:rsidP="00B233DE">
      <w:pPr>
        <w:ind w:firstLine="720"/>
        <w:jc w:val="both"/>
        <w:rPr>
          <w:rFonts w:ascii="Times New Roman" w:hAnsi="Times New Roman" w:cs="Times New Roman"/>
          <w:sz w:val="21"/>
          <w:szCs w:val="21"/>
        </w:rPr>
      </w:pPr>
      <w:r w:rsidRPr="00ED02A3">
        <w:rPr>
          <w:rFonts w:ascii="Times New Roman" w:hAnsi="Times New Roman" w:cs="Times New Roman"/>
          <w:sz w:val="21"/>
          <w:szCs w:val="21"/>
        </w:rPr>
        <w:t xml:space="preserve">Відома пропозиція вимірювати демографічний потенціал в людино-роках за їх чисельністю та тривалістю життя. Дана пропозиція запозичена у понятті «трудовий потенціал», де під «трудовим» розуміють безпосередньо існування людини. </w:t>
      </w:r>
    </w:p>
    <w:p w:rsidR="00B233DE" w:rsidRPr="002D0778"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2D0778">
        <w:rPr>
          <w:rFonts w:ascii="Times New Roman" w:hAnsi="Times New Roman" w:cs="Times New Roman"/>
          <w:sz w:val="21"/>
          <w:szCs w:val="21"/>
        </w:rPr>
        <w:t xml:space="preserve">У демографічних та статистичних роботах, а також у наукових дослідженнях під демографічним потенціалом країни розуміється загальна кількість її жителів. У такому ж контексті ведеться і кількісний розрахунок його обсягів. Такий підхід, володіючи безсумнівною простотою і легкістю кількісних </w:t>
      </w:r>
      <w:r w:rsidRPr="002D0778">
        <w:rPr>
          <w:rFonts w:ascii="Times New Roman" w:hAnsi="Times New Roman" w:cs="Times New Roman"/>
          <w:sz w:val="21"/>
          <w:szCs w:val="21"/>
        </w:rPr>
        <w:lastRenderedPageBreak/>
        <w:t>розрахунків, тим не менш, з якісної точки зору виявлення факторів, причин формування тих чи інших тенденцій, умов розвитку, розробки комплексу заходів з подолання негативних тенденцій не відповідає завданням соціально-економічного аналізу.</w:t>
      </w:r>
    </w:p>
    <w:p w:rsidR="00B233DE" w:rsidRPr="002D0778"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2D0778">
        <w:rPr>
          <w:rFonts w:ascii="Times New Roman" w:hAnsi="Times New Roman" w:cs="Times New Roman"/>
          <w:sz w:val="21"/>
          <w:szCs w:val="21"/>
        </w:rPr>
        <w:t>У ряді робіт під демографічним потенціалом розуміються виключно репродуктивні можливості суспільства, які визначаються чисельністю репродуктивного контингенту активних представників у складі спільності та їх дітородної активності. Оцінка демографічного потенціалу проводиться на основі розрахунку цих показників в короткостроковій, середньостроковій і довгостроковій (через 1-2 покоління) перспективі. У більш широкому трактуванні цей підхід виражений у визначенні демографічного потенціалу як показника потенційного зростання населення на основі вже сформованої статево-віковою структури та динаміки фертильності, шлюбності та інших показників.</w:t>
      </w:r>
    </w:p>
    <w:p w:rsidR="00B233DE" w:rsidRPr="002D0778"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Pr>
          <w:rFonts w:ascii="Times New Roman" w:hAnsi="Times New Roman" w:cs="Times New Roman"/>
          <w:sz w:val="21"/>
          <w:szCs w:val="21"/>
        </w:rPr>
        <w:t>Значне</w:t>
      </w:r>
      <w:r w:rsidRPr="002D0778">
        <w:rPr>
          <w:rFonts w:ascii="Times New Roman" w:hAnsi="Times New Roman" w:cs="Times New Roman"/>
          <w:sz w:val="21"/>
          <w:szCs w:val="21"/>
        </w:rPr>
        <w:t xml:space="preserve"> поширення отримує уявлення про демографічний потенціал суспільства через поняття життєвого імовірнісного потенціалу, який вимірюється числом людей з урахуванням прожитого ними сукупного часу. Частина дослідників взагалі ставлять знак рівності між цими поняттями, трактуючи демографічний потенціал тільки як життєвий. Цей підхід корелює з таким напрямком у демографії, як «потенційна демографія».</w:t>
      </w:r>
    </w:p>
    <w:p w:rsidR="00B233DE" w:rsidRPr="002D0778"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2D0778">
        <w:rPr>
          <w:rFonts w:ascii="Times New Roman" w:hAnsi="Times New Roman" w:cs="Times New Roman"/>
          <w:sz w:val="21"/>
          <w:szCs w:val="21"/>
        </w:rPr>
        <w:t xml:space="preserve">Потенційна демографія </w:t>
      </w:r>
      <w:r>
        <w:rPr>
          <w:rFonts w:ascii="Times New Roman" w:hAnsi="Times New Roman" w:cs="Times New Roman"/>
          <w:sz w:val="21"/>
          <w:szCs w:val="21"/>
        </w:rPr>
        <w:t>–</w:t>
      </w:r>
      <w:r w:rsidRPr="002D0778">
        <w:rPr>
          <w:rFonts w:ascii="Times New Roman" w:hAnsi="Times New Roman" w:cs="Times New Roman"/>
          <w:sz w:val="21"/>
          <w:szCs w:val="21"/>
        </w:rPr>
        <w:t xml:space="preserve"> оцінка значення демографічного явища на основі приросту (додатного чи від’ємного) життєвого потенціалу населення. Під життєвим потенціалом розуміється число наступних років життя особи (чи деякої сукупності осіб </w:t>
      </w:r>
      <w:r>
        <w:rPr>
          <w:rFonts w:ascii="Times New Roman" w:hAnsi="Times New Roman" w:cs="Times New Roman"/>
          <w:sz w:val="21"/>
          <w:szCs w:val="21"/>
        </w:rPr>
        <w:t>–</w:t>
      </w:r>
      <w:r w:rsidRPr="002D0778">
        <w:rPr>
          <w:rFonts w:ascii="Times New Roman" w:hAnsi="Times New Roman" w:cs="Times New Roman"/>
          <w:sz w:val="21"/>
          <w:szCs w:val="21"/>
        </w:rPr>
        <w:t xml:space="preserve"> наприклад, населення досліджуваного регіону) у визначеному віці. Розраховується на основі порядку вимирання (таблиць смертності).</w:t>
      </w:r>
    </w:p>
    <w:p w:rsidR="00B233DE" w:rsidRPr="002D0778"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2D0778">
        <w:rPr>
          <w:rFonts w:ascii="Times New Roman" w:hAnsi="Times New Roman" w:cs="Times New Roman"/>
          <w:sz w:val="21"/>
          <w:szCs w:val="21"/>
        </w:rPr>
        <w:t>Розвиток потенційної демографії стимулювався необхідністю подолання труднощів, з якими зустрічається традиційна демографі</w:t>
      </w:r>
      <w:r>
        <w:rPr>
          <w:rFonts w:ascii="Times New Roman" w:hAnsi="Times New Roman" w:cs="Times New Roman"/>
          <w:sz w:val="21"/>
          <w:szCs w:val="21"/>
        </w:rPr>
        <w:t>чна статистика. Ці труднощі пов’</w:t>
      </w:r>
      <w:r w:rsidRPr="002D0778">
        <w:rPr>
          <w:rFonts w:ascii="Times New Roman" w:hAnsi="Times New Roman" w:cs="Times New Roman"/>
          <w:sz w:val="21"/>
          <w:szCs w:val="21"/>
        </w:rPr>
        <w:t xml:space="preserve">язані з тим, що, оскільки одиницею демостатистичного спостереження є людина, подолання впливу на рівень структурних змін різних статистичних показників, що відбуваються в сукупності, вимагає спеціальних зусиль. Методи потенційної демографії дозволяють врахувати той факт, що не всі люди рівнозначні з точки зору їх участі у відтворенні населення, в трудовій діяльності і так далі. Кожна людина має «вагу», відповідну її віку, тривалості перебування в шлюбі та участі в трудовій діяльності і так далі. </w:t>
      </w:r>
      <w:r w:rsidRPr="002D0778">
        <w:rPr>
          <w:rFonts w:ascii="Times New Roman" w:hAnsi="Times New Roman" w:cs="Times New Roman"/>
          <w:sz w:val="21"/>
          <w:szCs w:val="21"/>
        </w:rPr>
        <w:lastRenderedPageBreak/>
        <w:t xml:space="preserve">Цією «вагою» є величина середньої тривалості життя </w:t>
      </w:r>
      <w:r>
        <w:rPr>
          <w:rFonts w:ascii="Times New Roman" w:hAnsi="Times New Roman" w:cs="Times New Roman"/>
          <w:sz w:val="21"/>
          <w:szCs w:val="21"/>
        </w:rPr>
        <w:t>–</w:t>
      </w:r>
      <w:r w:rsidRPr="002D0778">
        <w:rPr>
          <w:rFonts w:ascii="Times New Roman" w:hAnsi="Times New Roman" w:cs="Times New Roman"/>
          <w:sz w:val="21"/>
          <w:szCs w:val="21"/>
        </w:rPr>
        <w:t xml:space="preserve"> повна або неповна </w:t>
      </w:r>
      <w:r>
        <w:rPr>
          <w:rFonts w:ascii="Times New Roman" w:hAnsi="Times New Roman" w:cs="Times New Roman"/>
          <w:sz w:val="21"/>
          <w:szCs w:val="21"/>
        </w:rPr>
        <w:t>–</w:t>
      </w:r>
      <w:r w:rsidRPr="002D0778">
        <w:rPr>
          <w:rFonts w:ascii="Times New Roman" w:hAnsi="Times New Roman" w:cs="Times New Roman"/>
          <w:sz w:val="21"/>
          <w:szCs w:val="21"/>
        </w:rPr>
        <w:t xml:space="preserve"> залежно від завдання дослідження. Людині у молодому віці належить прожити довше, і як наслідок, довше займатися трудовою діяльністю.</w:t>
      </w:r>
    </w:p>
    <w:p w:rsidR="00B233DE" w:rsidRPr="002D0778"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2D0778">
        <w:rPr>
          <w:rFonts w:ascii="Times New Roman" w:hAnsi="Times New Roman" w:cs="Times New Roman"/>
          <w:sz w:val="21"/>
          <w:szCs w:val="21"/>
        </w:rPr>
        <w:t>Методи потенційної демографії дають можливість підвищити точність зіставлення різних демо</w:t>
      </w:r>
      <w:r>
        <w:rPr>
          <w:rFonts w:ascii="Times New Roman" w:hAnsi="Times New Roman" w:cs="Times New Roman"/>
          <w:sz w:val="21"/>
          <w:szCs w:val="21"/>
        </w:rPr>
        <w:t>графічних явищ, виражаючи їх об’</w:t>
      </w:r>
      <w:r w:rsidRPr="002D0778">
        <w:rPr>
          <w:rFonts w:ascii="Times New Roman" w:hAnsi="Times New Roman" w:cs="Times New Roman"/>
          <w:sz w:val="21"/>
          <w:szCs w:val="21"/>
        </w:rPr>
        <w:t>єм в людино-роках, що є адекватним вимірником існування народонаселення.</w:t>
      </w:r>
    </w:p>
    <w:p w:rsidR="00B233DE" w:rsidRPr="00D7131A"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pacing w:val="-6"/>
          <w:sz w:val="21"/>
          <w:szCs w:val="21"/>
        </w:rPr>
      </w:pPr>
      <w:r w:rsidRPr="002D0778">
        <w:rPr>
          <w:rFonts w:ascii="Times New Roman" w:hAnsi="Times New Roman" w:cs="Times New Roman"/>
          <w:sz w:val="21"/>
          <w:szCs w:val="21"/>
        </w:rPr>
        <w:t xml:space="preserve">Все частіше починає застосовуватися трактування демографічного потенціалу в контексті людського потенціалу території. У цьому розрізі демографічний потенціал трактується як кількісний і якісний потенціал відтворення народонаселення певної території (держави, регіону) і визначається такими показниками, як загальна чисельність населення, його статево-віковий склад, </w:t>
      </w:r>
      <w:r w:rsidRPr="00D7131A">
        <w:rPr>
          <w:rFonts w:ascii="Times New Roman" w:hAnsi="Times New Roman" w:cs="Times New Roman"/>
          <w:spacing w:val="-6"/>
          <w:sz w:val="21"/>
          <w:szCs w:val="21"/>
        </w:rPr>
        <w:t xml:space="preserve">динаміка зростання (зменшення) населення, міграційні процеси тощо. </w:t>
      </w:r>
    </w:p>
    <w:p w:rsidR="00B233DE" w:rsidRPr="002D0778"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2D0778">
        <w:rPr>
          <w:rFonts w:ascii="Times New Roman" w:hAnsi="Times New Roman" w:cs="Times New Roman"/>
          <w:sz w:val="21"/>
          <w:szCs w:val="21"/>
        </w:rPr>
        <w:t>Людський потенціал території – це сукупні можливості окремої людини або населення країни, регіону, іншої спільноти до економічної, соціальної діяльності та до власного розвитку. Поняття людського потенціалу охоплює такі властивості людини, як потреби та інтереси, рівень життя та здоров’я, загальні та професійні знання, кваліфікацію, мотивацію діяльності, ставлення до праці, ініціативність та підприємливість, способи поведінки. Методологічною базою аналізу процесів відтворення людського потенціалу найбільш часто виступає теорія людського капіталу, яка концентрується навколо розвитку людини, орієнтованого на потреби суспільного виробництва, досліджує вдосконалення людини як фактору виробництва.</w:t>
      </w:r>
    </w:p>
    <w:p w:rsidR="00B233DE" w:rsidRPr="002D0778"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2D0778">
        <w:rPr>
          <w:rFonts w:ascii="Times New Roman" w:hAnsi="Times New Roman" w:cs="Times New Roman"/>
          <w:sz w:val="21"/>
          <w:szCs w:val="21"/>
        </w:rPr>
        <w:t>Демографічними показниками, які доповнюють характеристику людського потенціалу, можуть бути очікувана чисельність учнів та випускників шкіл, частка осіб працездатного віку в загальній чисельності населення регіону тощо.</w:t>
      </w:r>
    </w:p>
    <w:p w:rsidR="00B233DE" w:rsidRPr="00E20C1F" w:rsidRDefault="00B233DE" w:rsidP="00B233DE">
      <w:pPr>
        <w:widowControl w:val="0"/>
        <w:tabs>
          <w:tab w:val="left" w:pos="142"/>
        </w:tabs>
        <w:overflowPunct w:val="0"/>
        <w:autoSpaceDE w:val="0"/>
        <w:autoSpaceDN w:val="0"/>
        <w:adjustRightInd w:val="0"/>
        <w:spacing w:line="230" w:lineRule="auto"/>
        <w:ind w:firstLine="720"/>
        <w:jc w:val="both"/>
        <w:rPr>
          <w:rFonts w:ascii="Times New Roman" w:hAnsi="Times New Roman" w:cs="Times New Roman"/>
          <w:sz w:val="21"/>
          <w:szCs w:val="21"/>
        </w:rPr>
      </w:pPr>
      <w:r w:rsidRPr="002D0778">
        <w:rPr>
          <w:rFonts w:ascii="Times New Roman" w:hAnsi="Times New Roman" w:cs="Times New Roman"/>
          <w:sz w:val="21"/>
          <w:szCs w:val="21"/>
        </w:rPr>
        <w:t>Жоден з перерахованих підходів не дає надійної</w:t>
      </w:r>
      <w:r>
        <w:rPr>
          <w:rFonts w:ascii="Times New Roman" w:hAnsi="Times New Roman" w:cs="Times New Roman"/>
          <w:sz w:val="21"/>
          <w:szCs w:val="21"/>
        </w:rPr>
        <w:t xml:space="preserve"> теоретико-</w:t>
      </w:r>
      <w:r w:rsidRPr="002D0778">
        <w:rPr>
          <w:rFonts w:ascii="Times New Roman" w:hAnsi="Times New Roman" w:cs="Times New Roman"/>
          <w:sz w:val="21"/>
          <w:szCs w:val="21"/>
        </w:rPr>
        <w:t>методологічної бази для розробки і застосування комплексу заходів щодо поліпшення демографічної ситуації в країні та її регіонах, забезпечення демографічного зростання і високої якості життя населення, що закономірно вимагає додаткового теоретичного опрацювання цього поняття. Крім того, в українському законодавстві, наприклад в Концепції демографічного розвитку України на 2005</w:t>
      </w:r>
      <w:r>
        <w:rPr>
          <w:rFonts w:ascii="Times New Roman" w:hAnsi="Times New Roman" w:cs="Times New Roman"/>
          <w:sz w:val="21"/>
          <w:szCs w:val="21"/>
        </w:rPr>
        <w:t>–</w:t>
      </w:r>
      <w:r w:rsidRPr="002D0778">
        <w:rPr>
          <w:rFonts w:ascii="Times New Roman" w:hAnsi="Times New Roman" w:cs="Times New Roman"/>
          <w:sz w:val="21"/>
          <w:szCs w:val="21"/>
        </w:rPr>
        <w:t>2015 рр. та інших нормативно-правових доку</w:t>
      </w:r>
      <w:r>
        <w:rPr>
          <w:rFonts w:ascii="Times New Roman" w:hAnsi="Times New Roman" w:cs="Times New Roman"/>
          <w:sz w:val="21"/>
          <w:szCs w:val="21"/>
        </w:rPr>
        <w:t>-</w:t>
      </w:r>
      <w:r w:rsidRPr="00E20C1F">
        <w:rPr>
          <w:rFonts w:ascii="Times New Roman" w:hAnsi="Times New Roman" w:cs="Times New Roman"/>
          <w:sz w:val="21"/>
          <w:szCs w:val="21"/>
        </w:rPr>
        <w:lastRenderedPageBreak/>
        <w:t>ментах поняття демографічного потенціалу не розглядається.</w:t>
      </w:r>
    </w:p>
    <w:p w:rsidR="00B233DE" w:rsidRPr="00E20C1F" w:rsidRDefault="00B233DE" w:rsidP="00B233DE">
      <w:pPr>
        <w:widowControl w:val="0"/>
        <w:tabs>
          <w:tab w:val="left" w:pos="142"/>
        </w:tabs>
        <w:overflowPunct w:val="0"/>
        <w:autoSpaceDE w:val="0"/>
        <w:autoSpaceDN w:val="0"/>
        <w:adjustRightInd w:val="0"/>
        <w:spacing w:line="230" w:lineRule="auto"/>
        <w:ind w:firstLine="720"/>
        <w:jc w:val="both"/>
        <w:rPr>
          <w:rFonts w:ascii="Times New Roman" w:hAnsi="Times New Roman" w:cs="Times New Roman"/>
          <w:sz w:val="21"/>
          <w:szCs w:val="21"/>
        </w:rPr>
      </w:pPr>
      <w:r w:rsidRPr="00E20C1F">
        <w:rPr>
          <w:rFonts w:ascii="Times New Roman" w:hAnsi="Times New Roman" w:cs="Times New Roman"/>
          <w:sz w:val="21"/>
          <w:szCs w:val="21"/>
        </w:rPr>
        <w:t>У процесі дослідження була виявлена така особливість формування та розвитку демографічного потенціалу в сучасних умовах, як істотно збільшена залежність його рівня і стану від регіональної специфіки. Це було чітко простежено при порівняль-ному аналізі демографічних тенденцій в нашій країні, її окремих регіонах, а також при порівнянні України з іншими країнами і зарубіжних країн між собою.</w:t>
      </w:r>
    </w:p>
    <w:p w:rsidR="00B233DE" w:rsidRPr="00E20C1F" w:rsidRDefault="00B233DE" w:rsidP="00B233DE">
      <w:pPr>
        <w:widowControl w:val="0"/>
        <w:tabs>
          <w:tab w:val="left" w:pos="142"/>
        </w:tabs>
        <w:overflowPunct w:val="0"/>
        <w:autoSpaceDE w:val="0"/>
        <w:autoSpaceDN w:val="0"/>
        <w:adjustRightInd w:val="0"/>
        <w:spacing w:line="230" w:lineRule="auto"/>
        <w:ind w:firstLine="720"/>
        <w:jc w:val="both"/>
        <w:rPr>
          <w:rFonts w:ascii="Times New Roman" w:hAnsi="Times New Roman" w:cs="Times New Roman"/>
          <w:sz w:val="21"/>
          <w:szCs w:val="21"/>
        </w:rPr>
      </w:pPr>
      <w:r w:rsidRPr="00E20C1F">
        <w:rPr>
          <w:rFonts w:ascii="Times New Roman" w:hAnsi="Times New Roman" w:cs="Times New Roman"/>
          <w:sz w:val="21"/>
          <w:szCs w:val="21"/>
        </w:rPr>
        <w:t>Під демографічним потенціалом країни (регіону) розуміють сукупність населення (народонаселення) з певними якостями (характеристиками) необхідними для соціально-економічного розвитку даної території.</w:t>
      </w:r>
    </w:p>
    <w:p w:rsidR="00B233DE" w:rsidRPr="00E20C1F" w:rsidRDefault="00B233DE" w:rsidP="00B233DE">
      <w:pPr>
        <w:widowControl w:val="0"/>
        <w:tabs>
          <w:tab w:val="left" w:pos="142"/>
        </w:tabs>
        <w:overflowPunct w:val="0"/>
        <w:autoSpaceDE w:val="0"/>
        <w:autoSpaceDN w:val="0"/>
        <w:adjustRightInd w:val="0"/>
        <w:spacing w:line="230" w:lineRule="auto"/>
        <w:ind w:firstLine="720"/>
        <w:jc w:val="both"/>
        <w:rPr>
          <w:rFonts w:ascii="Times New Roman" w:hAnsi="Times New Roman" w:cs="Times New Roman"/>
          <w:sz w:val="21"/>
          <w:szCs w:val="21"/>
        </w:rPr>
      </w:pPr>
      <w:r w:rsidRPr="00E20C1F">
        <w:rPr>
          <w:rFonts w:ascii="Times New Roman" w:hAnsi="Times New Roman" w:cs="Times New Roman"/>
          <w:sz w:val="21"/>
          <w:szCs w:val="21"/>
        </w:rPr>
        <w:t>Демографічний потенціал має дві характеристики, які поєднують його з соціально-економічним розвитком. По-перше, від чисельності, структури і якості демографічного потенціалу буде напряму залежати чисельність і якість трудових ресурсів, як наслідок, функціонування економіки. Крім того, чисельність населення важлива з точки зору освоєння і заселення територій країни. Як показує історія, слабо заселена і погано освоєна в господарському відношенні територій країна утримати довго не зможе – на них знаходяться претенденти, які мають ресурси для їх освоєння і залучення в господарський оборот.</w:t>
      </w:r>
    </w:p>
    <w:p w:rsidR="00B233DE" w:rsidRPr="00E20C1F" w:rsidRDefault="00B233DE" w:rsidP="00B233DE">
      <w:pPr>
        <w:widowControl w:val="0"/>
        <w:tabs>
          <w:tab w:val="left" w:pos="142"/>
        </w:tabs>
        <w:overflowPunct w:val="0"/>
        <w:autoSpaceDE w:val="0"/>
        <w:autoSpaceDN w:val="0"/>
        <w:adjustRightInd w:val="0"/>
        <w:spacing w:line="230" w:lineRule="auto"/>
        <w:ind w:firstLine="720"/>
        <w:jc w:val="both"/>
        <w:rPr>
          <w:rFonts w:ascii="Times New Roman" w:hAnsi="Times New Roman" w:cs="Times New Roman"/>
          <w:sz w:val="21"/>
          <w:szCs w:val="21"/>
        </w:rPr>
      </w:pPr>
      <w:r w:rsidRPr="00E20C1F">
        <w:rPr>
          <w:rFonts w:ascii="Times New Roman" w:hAnsi="Times New Roman" w:cs="Times New Roman"/>
          <w:sz w:val="21"/>
          <w:szCs w:val="21"/>
        </w:rPr>
        <w:t xml:space="preserve">По-друге, за якістю демографічного потенціалу можна судити про ефективність розвитку соціально-економічних систем (моделей економіки). Очевидно, що в суспільствах (країнах), де люди в більшості своїй забезпечені, здорові, мають доступ до освіти, високі показники тривалості, рівня і якості життя, соціально-економічні системи функціонують більш успішно. </w:t>
      </w:r>
    </w:p>
    <w:p w:rsidR="00B233DE" w:rsidRPr="00E20C1F" w:rsidRDefault="00B233DE" w:rsidP="00B233DE">
      <w:pPr>
        <w:widowControl w:val="0"/>
        <w:tabs>
          <w:tab w:val="left" w:pos="142"/>
        </w:tabs>
        <w:overflowPunct w:val="0"/>
        <w:autoSpaceDE w:val="0"/>
        <w:autoSpaceDN w:val="0"/>
        <w:adjustRightInd w:val="0"/>
        <w:spacing w:line="230" w:lineRule="auto"/>
        <w:ind w:firstLine="720"/>
        <w:jc w:val="both"/>
        <w:rPr>
          <w:rFonts w:ascii="Times New Roman" w:hAnsi="Times New Roman" w:cs="Times New Roman"/>
          <w:sz w:val="21"/>
          <w:szCs w:val="21"/>
        </w:rPr>
      </w:pPr>
      <w:r w:rsidRPr="00E20C1F">
        <w:rPr>
          <w:rFonts w:ascii="Times New Roman" w:hAnsi="Times New Roman" w:cs="Times New Roman"/>
          <w:sz w:val="21"/>
          <w:szCs w:val="21"/>
        </w:rPr>
        <w:t>Демографічний потенціал характеризується кількісними та якісними показниками, які є критеріями його оцінки та порівняння серед країн (регіонів).</w:t>
      </w:r>
    </w:p>
    <w:p w:rsidR="00B233DE" w:rsidRPr="00E20C1F" w:rsidRDefault="00B233DE" w:rsidP="00B233DE">
      <w:pPr>
        <w:widowControl w:val="0"/>
        <w:tabs>
          <w:tab w:val="left" w:pos="142"/>
        </w:tabs>
        <w:overflowPunct w:val="0"/>
        <w:autoSpaceDE w:val="0"/>
        <w:autoSpaceDN w:val="0"/>
        <w:adjustRightInd w:val="0"/>
        <w:spacing w:line="230" w:lineRule="auto"/>
        <w:ind w:firstLine="720"/>
        <w:jc w:val="both"/>
        <w:rPr>
          <w:rFonts w:ascii="Times New Roman" w:hAnsi="Times New Roman" w:cs="Times New Roman"/>
          <w:sz w:val="21"/>
          <w:szCs w:val="21"/>
        </w:rPr>
      </w:pPr>
      <w:r w:rsidRPr="00E20C1F">
        <w:rPr>
          <w:rFonts w:ascii="Times New Roman" w:hAnsi="Times New Roman" w:cs="Times New Roman"/>
          <w:sz w:val="21"/>
          <w:szCs w:val="21"/>
        </w:rPr>
        <w:t>Кількісні та якісні характеристики населення безперервно змінюються: люди народжуються, вмирають, одружуються, змінюють місце проживання, здобувають освіту тощо. Зміна чисельності і складу населення суттєво впливають на розвиток економіки та суспільства в цілому.</w:t>
      </w:r>
    </w:p>
    <w:p w:rsidR="00B233DE" w:rsidRPr="00E20C1F" w:rsidRDefault="00B233DE" w:rsidP="00B233DE">
      <w:pPr>
        <w:widowControl w:val="0"/>
        <w:tabs>
          <w:tab w:val="left" w:pos="142"/>
        </w:tabs>
        <w:overflowPunct w:val="0"/>
        <w:autoSpaceDE w:val="0"/>
        <w:autoSpaceDN w:val="0"/>
        <w:adjustRightInd w:val="0"/>
        <w:spacing w:line="230" w:lineRule="auto"/>
        <w:ind w:firstLine="720"/>
        <w:jc w:val="both"/>
        <w:rPr>
          <w:rFonts w:ascii="Times New Roman" w:hAnsi="Times New Roman" w:cs="Times New Roman"/>
          <w:sz w:val="21"/>
          <w:szCs w:val="21"/>
        </w:rPr>
      </w:pPr>
      <w:r w:rsidRPr="00E20C1F">
        <w:rPr>
          <w:rFonts w:ascii="Times New Roman" w:hAnsi="Times New Roman" w:cs="Times New Roman"/>
          <w:sz w:val="21"/>
          <w:szCs w:val="21"/>
        </w:rPr>
        <w:t xml:space="preserve">Демографічний потенціал є важливим компонентом розвитку будь-якої країни. Чисельність і якість населення визначають не тільки місце країни у світовому рейтингу, але й міць соціально-економічного потенціалу держави. </w:t>
      </w:r>
    </w:p>
    <w:p w:rsidR="00B233DE" w:rsidRPr="00E20C1F" w:rsidRDefault="00B233DE" w:rsidP="00B233DE">
      <w:pPr>
        <w:widowControl w:val="0"/>
        <w:tabs>
          <w:tab w:val="left" w:pos="142"/>
        </w:tabs>
        <w:overflowPunct w:val="0"/>
        <w:autoSpaceDE w:val="0"/>
        <w:autoSpaceDN w:val="0"/>
        <w:adjustRightInd w:val="0"/>
        <w:spacing w:line="230" w:lineRule="auto"/>
        <w:ind w:firstLine="720"/>
        <w:jc w:val="both"/>
        <w:rPr>
          <w:rFonts w:ascii="Times New Roman" w:hAnsi="Times New Roman" w:cs="Times New Roman"/>
          <w:sz w:val="21"/>
          <w:szCs w:val="21"/>
        </w:rPr>
      </w:pPr>
      <w:r w:rsidRPr="00E20C1F">
        <w:rPr>
          <w:rFonts w:ascii="Times New Roman" w:hAnsi="Times New Roman" w:cs="Times New Roman"/>
          <w:sz w:val="21"/>
          <w:szCs w:val="21"/>
        </w:rPr>
        <w:t xml:space="preserve">Крім того, на стан і розвиток демографічного потенціалу </w:t>
      </w:r>
      <w:r w:rsidRPr="00E20C1F">
        <w:rPr>
          <w:rFonts w:ascii="Times New Roman" w:hAnsi="Times New Roman" w:cs="Times New Roman"/>
          <w:sz w:val="21"/>
          <w:szCs w:val="21"/>
        </w:rPr>
        <w:lastRenderedPageBreak/>
        <w:t xml:space="preserve">великий вплив мають безліч різноманітних факторів і чинників, які можна розподілити на чотири основних групи. </w:t>
      </w:r>
    </w:p>
    <w:p w:rsidR="00B233DE" w:rsidRPr="00E20C1F" w:rsidRDefault="00B233DE" w:rsidP="00B233DE">
      <w:pPr>
        <w:widowControl w:val="0"/>
        <w:tabs>
          <w:tab w:val="left" w:pos="142"/>
        </w:tabs>
        <w:overflowPunct w:val="0"/>
        <w:autoSpaceDE w:val="0"/>
        <w:autoSpaceDN w:val="0"/>
        <w:adjustRightInd w:val="0"/>
        <w:spacing w:line="230" w:lineRule="auto"/>
        <w:ind w:firstLine="720"/>
        <w:jc w:val="both"/>
        <w:rPr>
          <w:rFonts w:ascii="Times New Roman" w:hAnsi="Times New Roman" w:cs="Times New Roman"/>
          <w:sz w:val="21"/>
          <w:szCs w:val="21"/>
        </w:rPr>
      </w:pPr>
      <w:r w:rsidRPr="00E20C1F">
        <w:rPr>
          <w:rFonts w:ascii="Times New Roman" w:hAnsi="Times New Roman" w:cs="Times New Roman"/>
          <w:sz w:val="21"/>
          <w:szCs w:val="21"/>
        </w:rPr>
        <w:t>Перша група (соціально-економічні фактори) включає основні системні макроекономічні (загальнодержавні, регіональні) чинники, що впливають на демографічну ситуацію, здоров’я населення і демографічний потенціал конкретної території. Певною мірою їх можна назвати факторами зовнішнього середовища.</w:t>
      </w:r>
    </w:p>
    <w:p w:rsidR="00B233DE" w:rsidRPr="00E20C1F" w:rsidRDefault="00B233DE" w:rsidP="00B233DE">
      <w:pPr>
        <w:widowControl w:val="0"/>
        <w:tabs>
          <w:tab w:val="left" w:pos="142"/>
        </w:tabs>
        <w:overflowPunct w:val="0"/>
        <w:autoSpaceDE w:val="0"/>
        <w:autoSpaceDN w:val="0"/>
        <w:adjustRightInd w:val="0"/>
        <w:spacing w:line="230" w:lineRule="auto"/>
        <w:ind w:firstLine="720"/>
        <w:jc w:val="both"/>
        <w:rPr>
          <w:rFonts w:ascii="Times New Roman" w:hAnsi="Times New Roman" w:cs="Times New Roman"/>
          <w:sz w:val="21"/>
          <w:szCs w:val="21"/>
        </w:rPr>
      </w:pPr>
      <w:r w:rsidRPr="00E20C1F">
        <w:rPr>
          <w:rFonts w:ascii="Times New Roman" w:hAnsi="Times New Roman" w:cs="Times New Roman"/>
          <w:sz w:val="21"/>
          <w:szCs w:val="21"/>
        </w:rPr>
        <w:t>Друга група (фізіологічні чинники) об’єднує чинники, що формують демографічний потенціал (репродуктивне здоров’я, здоров’я дітей та молоді, а також здоров’я людей працездатного віку). Особливо важливими в цьому контексті є показники здоров’я людей працездатного віку (смертність у працездатному віці з різних причин), а також здоров’я дітей та молоді – тобто тих груп населення, які через деякий час увійдуть в працездатний вік і складуть основу трудового потенціалу та трудового капіталу суспільства.</w:t>
      </w:r>
    </w:p>
    <w:p w:rsidR="00B233DE" w:rsidRPr="00E20C1F" w:rsidRDefault="00B233DE" w:rsidP="00B233DE">
      <w:pPr>
        <w:widowControl w:val="0"/>
        <w:tabs>
          <w:tab w:val="left" w:pos="142"/>
        </w:tabs>
        <w:overflowPunct w:val="0"/>
        <w:autoSpaceDE w:val="0"/>
        <w:autoSpaceDN w:val="0"/>
        <w:adjustRightInd w:val="0"/>
        <w:spacing w:line="230" w:lineRule="auto"/>
        <w:ind w:firstLine="720"/>
        <w:jc w:val="both"/>
        <w:rPr>
          <w:rFonts w:ascii="Times New Roman" w:hAnsi="Times New Roman" w:cs="Times New Roman"/>
          <w:sz w:val="21"/>
          <w:szCs w:val="21"/>
        </w:rPr>
      </w:pPr>
      <w:r w:rsidRPr="00E20C1F">
        <w:rPr>
          <w:rFonts w:ascii="Times New Roman" w:hAnsi="Times New Roman" w:cs="Times New Roman"/>
          <w:sz w:val="21"/>
          <w:szCs w:val="21"/>
        </w:rPr>
        <w:t>Третя група (поведінкові чинники) включає основні фактори суб’єктивного плану, що роблять вплив як на фізичне і психічне здоров’я населення, так і на репродуктивні тенденції і традиції. До поведінкових факторів відносять широке коло традицій і звичок, найчастіше включаючи в нього характер харчування, дозвілля, порядок вживання ліків, наявність шкідливих звичок, регулярність занять фізкультурою і спортом, характер трудової діяльності, соціальну мобільність та активність населення.</w:t>
      </w:r>
    </w:p>
    <w:p w:rsidR="00B233DE" w:rsidRPr="00E20C1F" w:rsidRDefault="00B233DE" w:rsidP="00B233DE">
      <w:pPr>
        <w:widowControl w:val="0"/>
        <w:tabs>
          <w:tab w:val="left" w:pos="142"/>
        </w:tabs>
        <w:overflowPunct w:val="0"/>
        <w:autoSpaceDE w:val="0"/>
        <w:autoSpaceDN w:val="0"/>
        <w:adjustRightInd w:val="0"/>
        <w:spacing w:line="230" w:lineRule="auto"/>
        <w:ind w:firstLine="720"/>
        <w:jc w:val="both"/>
        <w:rPr>
          <w:rFonts w:ascii="Times New Roman" w:hAnsi="Times New Roman" w:cs="Times New Roman"/>
          <w:sz w:val="21"/>
          <w:szCs w:val="21"/>
        </w:rPr>
      </w:pPr>
      <w:r w:rsidRPr="00E20C1F">
        <w:rPr>
          <w:rFonts w:ascii="Times New Roman" w:hAnsi="Times New Roman" w:cs="Times New Roman"/>
          <w:sz w:val="21"/>
          <w:szCs w:val="21"/>
        </w:rPr>
        <w:t>Як показують численні дослідження, поведінкові фактори значною мірою залежать від факторів зовнішнього середовища, а також від інформаційних факторів. Так, наприклад, формування в суспільстві ставлення до свого здоров’я як життєвої цінності в значній мірі залежить від пропаганди даних поведінкових установок, їх широкого розповсюдження в суспільстві, всемірного державного заохочення даного типу поведінки.</w:t>
      </w:r>
    </w:p>
    <w:p w:rsidR="00B233DE" w:rsidRPr="00E20C1F" w:rsidRDefault="00B233DE" w:rsidP="00B233DE">
      <w:pPr>
        <w:widowControl w:val="0"/>
        <w:tabs>
          <w:tab w:val="left" w:pos="142"/>
        </w:tabs>
        <w:overflowPunct w:val="0"/>
        <w:autoSpaceDE w:val="0"/>
        <w:autoSpaceDN w:val="0"/>
        <w:adjustRightInd w:val="0"/>
        <w:spacing w:line="230" w:lineRule="auto"/>
        <w:ind w:firstLine="720"/>
        <w:jc w:val="both"/>
        <w:rPr>
          <w:rFonts w:ascii="Times New Roman" w:hAnsi="Times New Roman" w:cs="Times New Roman"/>
          <w:sz w:val="21"/>
          <w:szCs w:val="21"/>
        </w:rPr>
      </w:pPr>
      <w:r w:rsidRPr="00E20C1F">
        <w:rPr>
          <w:rFonts w:ascii="Times New Roman" w:hAnsi="Times New Roman" w:cs="Times New Roman"/>
          <w:sz w:val="21"/>
          <w:szCs w:val="21"/>
        </w:rPr>
        <w:t>Четверта група (інформаційні фактори) надає особливий вплив на соціально-демографічний розвиток суспільства і здоров'я населення. Інформація надає прямий і швидкий вплив на основні моделі поведінки, на настрої населення і його ставлення до того чи іншого явища, включаючи репродуктивні установки.</w:t>
      </w:r>
    </w:p>
    <w:p w:rsidR="00B233DE" w:rsidRDefault="00B233DE" w:rsidP="00B233DE">
      <w:pPr>
        <w:widowControl w:val="0"/>
        <w:tabs>
          <w:tab w:val="left" w:pos="142"/>
        </w:tabs>
        <w:autoSpaceDE w:val="0"/>
        <w:autoSpaceDN w:val="0"/>
        <w:adjustRightInd w:val="0"/>
        <w:spacing w:line="230" w:lineRule="auto"/>
        <w:ind w:firstLine="720"/>
        <w:jc w:val="both"/>
        <w:rPr>
          <w:rFonts w:ascii="Times New Roman" w:hAnsi="Times New Roman" w:cs="Times New Roman"/>
          <w:bCs/>
          <w:iCs/>
          <w:sz w:val="21"/>
          <w:szCs w:val="21"/>
        </w:rPr>
      </w:pPr>
      <w:r w:rsidRPr="00E20C1F">
        <w:rPr>
          <w:rFonts w:ascii="Times New Roman" w:hAnsi="Times New Roman" w:cs="Times New Roman"/>
          <w:sz w:val="21"/>
          <w:szCs w:val="21"/>
        </w:rPr>
        <w:t>Демографічний потенціал характеризується кількісними та якісними показниками, які є критеріями його оцінки та порівняння серед країн (регіонів).</w:t>
      </w:r>
      <w:r w:rsidRPr="00E20C1F">
        <w:rPr>
          <w:rFonts w:ascii="Times New Roman" w:hAnsi="Times New Roman" w:cs="Times New Roman"/>
          <w:bCs/>
          <w:iCs/>
          <w:sz w:val="21"/>
          <w:szCs w:val="21"/>
        </w:rPr>
        <w:t xml:space="preserve"> Сукупність кількісних показників оцінки демографічного потенціалу представлена у табл. </w:t>
      </w:r>
      <w:r w:rsidRPr="00E20C1F">
        <w:rPr>
          <w:rFonts w:ascii="Times New Roman" w:hAnsi="Times New Roman" w:cs="Times New Roman"/>
          <w:bCs/>
          <w:iCs/>
          <w:sz w:val="21"/>
          <w:szCs w:val="21"/>
          <w:lang w:val="ru-RU"/>
        </w:rPr>
        <w:t>2</w:t>
      </w:r>
      <w:r w:rsidRPr="00E20C1F">
        <w:rPr>
          <w:rFonts w:ascii="Times New Roman" w:hAnsi="Times New Roman" w:cs="Times New Roman"/>
          <w:bCs/>
          <w:iCs/>
          <w:sz w:val="21"/>
          <w:szCs w:val="21"/>
        </w:rPr>
        <w:t>.1.</w:t>
      </w:r>
    </w:p>
    <w:p w:rsidR="00B233DE" w:rsidRPr="00B757E6" w:rsidRDefault="00B233DE" w:rsidP="00B233DE">
      <w:pPr>
        <w:widowControl w:val="0"/>
        <w:tabs>
          <w:tab w:val="left" w:pos="142"/>
        </w:tabs>
        <w:autoSpaceDE w:val="0"/>
        <w:autoSpaceDN w:val="0"/>
        <w:adjustRightInd w:val="0"/>
        <w:spacing w:line="230" w:lineRule="auto"/>
        <w:ind w:firstLine="720"/>
        <w:jc w:val="both"/>
        <w:rPr>
          <w:rFonts w:ascii="Times New Roman" w:hAnsi="Times New Roman" w:cs="Times New Roman"/>
          <w:bCs/>
          <w:iCs/>
          <w:sz w:val="21"/>
          <w:szCs w:val="21"/>
          <w:lang w:val="ru-RU"/>
        </w:rPr>
      </w:pPr>
    </w:p>
    <w:p w:rsidR="00B233DE" w:rsidRPr="00B757E6" w:rsidRDefault="00B233DE" w:rsidP="00B233DE">
      <w:pPr>
        <w:widowControl w:val="0"/>
        <w:tabs>
          <w:tab w:val="left" w:pos="142"/>
        </w:tabs>
        <w:overflowPunct w:val="0"/>
        <w:autoSpaceDE w:val="0"/>
        <w:autoSpaceDN w:val="0"/>
        <w:adjustRightInd w:val="0"/>
        <w:jc w:val="right"/>
        <w:rPr>
          <w:rFonts w:ascii="Times New Roman" w:hAnsi="Times New Roman" w:cs="Times New Roman"/>
          <w:bCs/>
          <w:iCs/>
          <w:sz w:val="21"/>
          <w:szCs w:val="21"/>
          <w:lang w:val="ru-RU"/>
        </w:rPr>
      </w:pPr>
      <w:bookmarkStart w:id="78" w:name="page9"/>
      <w:bookmarkEnd w:id="78"/>
      <w:r w:rsidRPr="00ED02A3">
        <w:rPr>
          <w:rFonts w:ascii="Times New Roman" w:hAnsi="Times New Roman" w:cs="Times New Roman"/>
          <w:bCs/>
          <w:iCs/>
          <w:sz w:val="21"/>
          <w:szCs w:val="21"/>
        </w:rPr>
        <w:lastRenderedPageBreak/>
        <w:t xml:space="preserve">Таблиця </w:t>
      </w:r>
      <w:r w:rsidRPr="00B757E6">
        <w:rPr>
          <w:rFonts w:ascii="Times New Roman" w:hAnsi="Times New Roman" w:cs="Times New Roman"/>
          <w:bCs/>
          <w:iCs/>
          <w:sz w:val="21"/>
          <w:szCs w:val="21"/>
          <w:lang w:val="ru-RU"/>
        </w:rPr>
        <w:t>2</w:t>
      </w:r>
      <w:r w:rsidRPr="00ED02A3">
        <w:rPr>
          <w:rFonts w:ascii="Times New Roman" w:hAnsi="Times New Roman" w:cs="Times New Roman"/>
          <w:bCs/>
          <w:iCs/>
          <w:sz w:val="21"/>
          <w:szCs w:val="21"/>
        </w:rPr>
        <w:t>.1</w:t>
      </w:r>
    </w:p>
    <w:p w:rsidR="00B233DE" w:rsidRPr="00983D9A" w:rsidRDefault="00B233DE" w:rsidP="00B233DE">
      <w:pPr>
        <w:widowControl w:val="0"/>
        <w:tabs>
          <w:tab w:val="left" w:pos="142"/>
        </w:tabs>
        <w:overflowPunct w:val="0"/>
        <w:autoSpaceDE w:val="0"/>
        <w:autoSpaceDN w:val="0"/>
        <w:adjustRightInd w:val="0"/>
        <w:jc w:val="center"/>
        <w:rPr>
          <w:rFonts w:ascii="Times New Roman" w:hAnsi="Times New Roman" w:cs="Times New Roman"/>
          <w:b/>
          <w:bCs/>
          <w:iCs/>
          <w:sz w:val="21"/>
          <w:szCs w:val="21"/>
          <w:lang w:val="ru-RU"/>
        </w:rPr>
      </w:pPr>
      <w:r w:rsidRPr="00983D9A">
        <w:rPr>
          <w:rFonts w:ascii="Times New Roman" w:hAnsi="Times New Roman" w:cs="Times New Roman"/>
          <w:b/>
          <w:bCs/>
          <w:iCs/>
          <w:sz w:val="21"/>
          <w:szCs w:val="21"/>
        </w:rPr>
        <w:t>Кількісні показники оцінки демографічного потенціалу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29"/>
        <w:gridCol w:w="4533"/>
      </w:tblGrid>
      <w:tr w:rsidR="00B233DE" w:rsidRPr="00983D9A" w:rsidTr="0023489B">
        <w:trPr>
          <w:jc w:val="center"/>
        </w:trPr>
        <w:tc>
          <w:tcPr>
            <w:tcW w:w="1529" w:type="dxa"/>
            <w:vAlign w:val="center"/>
          </w:tcPr>
          <w:p w:rsidR="00B233DE" w:rsidRPr="00983D9A" w:rsidRDefault="00B233DE" w:rsidP="0023489B">
            <w:pPr>
              <w:widowControl w:val="0"/>
              <w:tabs>
                <w:tab w:val="left" w:pos="3"/>
              </w:tabs>
              <w:overflowPunct w:val="0"/>
              <w:autoSpaceDE w:val="0"/>
              <w:autoSpaceDN w:val="0"/>
              <w:adjustRightInd w:val="0"/>
              <w:ind w:right="-120" w:firstLine="3"/>
              <w:jc w:val="center"/>
              <w:rPr>
                <w:rFonts w:ascii="Times New Roman" w:hAnsi="Times New Roman" w:cs="Times New Roman"/>
                <w:bCs/>
                <w:iCs/>
                <w:sz w:val="16"/>
                <w:szCs w:val="16"/>
              </w:rPr>
            </w:pPr>
            <w:r w:rsidRPr="00983D9A">
              <w:rPr>
                <w:rFonts w:ascii="Times New Roman" w:hAnsi="Times New Roman" w:cs="Times New Roman"/>
                <w:bCs/>
                <w:iCs/>
                <w:sz w:val="16"/>
                <w:szCs w:val="16"/>
              </w:rPr>
              <w:t>Показник</w:t>
            </w:r>
          </w:p>
        </w:tc>
        <w:tc>
          <w:tcPr>
            <w:tcW w:w="4533" w:type="dxa"/>
            <w:vAlign w:val="center"/>
          </w:tcPr>
          <w:p w:rsidR="00B233DE" w:rsidRPr="00983D9A" w:rsidRDefault="00B233DE" w:rsidP="0023489B">
            <w:pPr>
              <w:widowControl w:val="0"/>
              <w:tabs>
                <w:tab w:val="left" w:pos="29"/>
              </w:tabs>
              <w:overflowPunct w:val="0"/>
              <w:autoSpaceDE w:val="0"/>
              <w:autoSpaceDN w:val="0"/>
              <w:adjustRightInd w:val="0"/>
              <w:ind w:right="-120" w:firstLine="3"/>
              <w:jc w:val="center"/>
              <w:rPr>
                <w:rFonts w:ascii="Times New Roman" w:hAnsi="Times New Roman" w:cs="Times New Roman"/>
                <w:bCs/>
                <w:iCs/>
                <w:sz w:val="16"/>
                <w:szCs w:val="16"/>
              </w:rPr>
            </w:pPr>
            <w:r w:rsidRPr="00983D9A">
              <w:rPr>
                <w:rFonts w:ascii="Times New Roman" w:hAnsi="Times New Roman" w:cs="Times New Roman"/>
                <w:bCs/>
                <w:iCs/>
                <w:sz w:val="16"/>
                <w:szCs w:val="16"/>
              </w:rPr>
              <w:t xml:space="preserve">Особливості та методика </w:t>
            </w:r>
          </w:p>
          <w:p w:rsidR="00B233DE" w:rsidRPr="00983D9A" w:rsidRDefault="00B233DE" w:rsidP="0023489B">
            <w:pPr>
              <w:widowControl w:val="0"/>
              <w:tabs>
                <w:tab w:val="left" w:pos="29"/>
              </w:tabs>
              <w:overflowPunct w:val="0"/>
              <w:autoSpaceDE w:val="0"/>
              <w:autoSpaceDN w:val="0"/>
              <w:adjustRightInd w:val="0"/>
              <w:ind w:right="-120" w:firstLine="3"/>
              <w:jc w:val="center"/>
              <w:rPr>
                <w:rFonts w:ascii="Times New Roman" w:hAnsi="Times New Roman" w:cs="Times New Roman"/>
                <w:bCs/>
                <w:iCs/>
                <w:sz w:val="16"/>
                <w:szCs w:val="16"/>
              </w:rPr>
            </w:pPr>
            <w:r w:rsidRPr="00983D9A">
              <w:rPr>
                <w:rFonts w:ascii="Times New Roman" w:hAnsi="Times New Roman" w:cs="Times New Roman"/>
                <w:bCs/>
                <w:iCs/>
                <w:sz w:val="16"/>
                <w:szCs w:val="16"/>
              </w:rPr>
              <w:t>розрахунку показника</w:t>
            </w:r>
          </w:p>
        </w:tc>
      </w:tr>
      <w:tr w:rsidR="00B233DE" w:rsidRPr="00983D9A" w:rsidTr="0023489B">
        <w:trPr>
          <w:trHeight w:val="1065"/>
          <w:jc w:val="center"/>
        </w:trPr>
        <w:tc>
          <w:tcPr>
            <w:tcW w:w="1529" w:type="dxa"/>
            <w:vAlign w:val="center"/>
          </w:tcPr>
          <w:p w:rsidR="00B233DE" w:rsidRPr="00983D9A" w:rsidRDefault="00B233DE" w:rsidP="0023489B">
            <w:pPr>
              <w:widowControl w:val="0"/>
              <w:tabs>
                <w:tab w:val="left" w:pos="3"/>
              </w:tabs>
              <w:overflowPunct w:val="0"/>
              <w:autoSpaceDE w:val="0"/>
              <w:autoSpaceDN w:val="0"/>
              <w:adjustRightInd w:val="0"/>
              <w:ind w:right="-120" w:firstLine="3"/>
              <w:jc w:val="center"/>
              <w:rPr>
                <w:rFonts w:ascii="Times New Roman" w:hAnsi="Times New Roman" w:cs="Times New Roman"/>
                <w:bCs/>
                <w:iCs/>
                <w:sz w:val="16"/>
                <w:szCs w:val="16"/>
              </w:rPr>
            </w:pPr>
            <w:r w:rsidRPr="00983D9A">
              <w:rPr>
                <w:rFonts w:ascii="Times New Roman" w:hAnsi="Times New Roman" w:cs="Times New Roman"/>
                <w:bCs/>
                <w:iCs/>
                <w:sz w:val="16"/>
                <w:szCs w:val="16"/>
              </w:rPr>
              <w:t>Абсолютна чисельність населення (постійного або наявного)</w:t>
            </w:r>
          </w:p>
        </w:tc>
        <w:tc>
          <w:tcPr>
            <w:tcW w:w="4533" w:type="dxa"/>
            <w:vAlign w:val="center"/>
          </w:tcPr>
          <w:p w:rsidR="00B233DE" w:rsidRPr="00983D9A" w:rsidRDefault="00B233DE" w:rsidP="0023489B">
            <w:pPr>
              <w:widowControl w:val="0"/>
              <w:tabs>
                <w:tab w:val="left" w:pos="29"/>
              </w:tabs>
              <w:overflowPunct w:val="0"/>
              <w:autoSpaceDE w:val="0"/>
              <w:autoSpaceDN w:val="0"/>
              <w:adjustRightInd w:val="0"/>
              <w:ind w:right="-120" w:firstLine="3"/>
              <w:jc w:val="both"/>
              <w:rPr>
                <w:rFonts w:ascii="Times New Roman" w:hAnsi="Times New Roman" w:cs="Times New Roman"/>
                <w:bCs/>
                <w:iCs/>
                <w:sz w:val="16"/>
                <w:szCs w:val="16"/>
              </w:rPr>
            </w:pPr>
            <w:r w:rsidRPr="00983D9A">
              <w:rPr>
                <w:rFonts w:ascii="Times New Roman" w:hAnsi="Times New Roman" w:cs="Times New Roman"/>
                <w:bCs/>
                <w:iCs/>
                <w:sz w:val="16"/>
                <w:szCs w:val="16"/>
              </w:rPr>
              <w:t xml:space="preserve">Визначається на основі даних перепису населення. Постійне населення визначається як різниця між наявним населенням і тимчасово присутніми в момент перепису на даній території. До різниці додаються тимчасово </w:t>
            </w:r>
            <w:r>
              <w:rPr>
                <w:rFonts w:ascii="Times New Roman" w:hAnsi="Times New Roman" w:cs="Times New Roman"/>
                <w:bCs/>
                <w:iCs/>
                <w:sz w:val="16"/>
                <w:szCs w:val="16"/>
              </w:rPr>
              <w:t>відсутні жителі цієї місцевості</w:t>
            </w:r>
          </w:p>
        </w:tc>
      </w:tr>
      <w:tr w:rsidR="00B233DE" w:rsidRPr="00983D9A" w:rsidTr="0023489B">
        <w:trPr>
          <w:jc w:val="center"/>
        </w:trPr>
        <w:tc>
          <w:tcPr>
            <w:tcW w:w="1529" w:type="dxa"/>
            <w:vAlign w:val="center"/>
          </w:tcPr>
          <w:p w:rsidR="00B233DE" w:rsidRPr="00983D9A" w:rsidRDefault="00B233DE" w:rsidP="0023489B">
            <w:pPr>
              <w:widowControl w:val="0"/>
              <w:tabs>
                <w:tab w:val="left" w:pos="3"/>
              </w:tabs>
              <w:overflowPunct w:val="0"/>
              <w:autoSpaceDE w:val="0"/>
              <w:autoSpaceDN w:val="0"/>
              <w:adjustRightInd w:val="0"/>
              <w:ind w:right="-120" w:firstLine="3"/>
              <w:jc w:val="center"/>
              <w:rPr>
                <w:rFonts w:ascii="Times New Roman" w:hAnsi="Times New Roman" w:cs="Times New Roman"/>
                <w:bCs/>
                <w:iCs/>
                <w:sz w:val="16"/>
                <w:szCs w:val="16"/>
              </w:rPr>
            </w:pPr>
            <w:r w:rsidRPr="00983D9A">
              <w:rPr>
                <w:rFonts w:ascii="Times New Roman" w:hAnsi="Times New Roman" w:cs="Times New Roman"/>
                <w:bCs/>
                <w:iCs/>
                <w:sz w:val="16"/>
                <w:szCs w:val="16"/>
              </w:rPr>
              <w:t>Чисельність населення на початок року</w:t>
            </w:r>
          </w:p>
        </w:tc>
        <w:tc>
          <w:tcPr>
            <w:tcW w:w="4533" w:type="dxa"/>
            <w:vAlign w:val="center"/>
          </w:tcPr>
          <w:p w:rsidR="00B233DE" w:rsidRPr="00983D9A" w:rsidRDefault="00B233DE" w:rsidP="0023489B">
            <w:pPr>
              <w:widowControl w:val="0"/>
              <w:tabs>
                <w:tab w:val="left" w:pos="29"/>
              </w:tabs>
              <w:overflowPunct w:val="0"/>
              <w:autoSpaceDE w:val="0"/>
              <w:autoSpaceDN w:val="0"/>
              <w:adjustRightInd w:val="0"/>
              <w:ind w:right="-120" w:firstLine="3"/>
              <w:jc w:val="both"/>
              <w:rPr>
                <w:rFonts w:ascii="Times New Roman" w:hAnsi="Times New Roman" w:cs="Times New Roman"/>
                <w:bCs/>
                <w:iCs/>
                <w:sz w:val="16"/>
                <w:szCs w:val="16"/>
              </w:rPr>
            </w:pPr>
            <w:r w:rsidRPr="00983D9A">
              <w:rPr>
                <w:rFonts w:ascii="Times New Roman" w:hAnsi="Times New Roman" w:cs="Times New Roman"/>
                <w:bCs/>
                <w:iCs/>
                <w:sz w:val="16"/>
                <w:szCs w:val="16"/>
              </w:rPr>
              <w:t xml:space="preserve">Перепис населення зазвичай проводять в грудні або січні, тому критичний момент не співпадає з першим січня. </w:t>
            </w:r>
          </w:p>
          <w:p w:rsidR="00B233DE" w:rsidRPr="00983D9A" w:rsidRDefault="00B233DE" w:rsidP="0023489B">
            <w:pPr>
              <w:widowControl w:val="0"/>
              <w:tabs>
                <w:tab w:val="left" w:pos="29"/>
              </w:tabs>
              <w:overflowPunct w:val="0"/>
              <w:autoSpaceDE w:val="0"/>
              <w:autoSpaceDN w:val="0"/>
              <w:adjustRightInd w:val="0"/>
              <w:ind w:right="-120" w:firstLine="3"/>
              <w:jc w:val="both"/>
              <w:rPr>
                <w:rFonts w:ascii="Times New Roman" w:hAnsi="Times New Roman" w:cs="Times New Roman"/>
                <w:bCs/>
                <w:iCs/>
                <w:sz w:val="16"/>
                <w:szCs w:val="16"/>
              </w:rPr>
            </w:pPr>
            <w:r w:rsidRPr="00983D9A">
              <w:rPr>
                <w:rFonts w:ascii="Times New Roman" w:hAnsi="Times New Roman" w:cs="Times New Roman"/>
                <w:bCs/>
                <w:iCs/>
                <w:sz w:val="16"/>
                <w:szCs w:val="16"/>
              </w:rPr>
              <w:t>Щоб одержати чисельність на початок року до даних перепису, якщо він проводився в кінці попереднього року, додають результати природного і міграційного руху населення за той проміжок часу, який визначає дату перепису від 1 січня наступного року. Результати  природного і міграційного руху віднімають, якщо перепис проводився після 1 січня поточного року. Подібним чином робиться і оцінка чисельності</w:t>
            </w:r>
            <w:r>
              <w:rPr>
                <w:rFonts w:ascii="Times New Roman" w:hAnsi="Times New Roman" w:cs="Times New Roman"/>
                <w:bCs/>
                <w:iCs/>
                <w:sz w:val="16"/>
                <w:szCs w:val="16"/>
              </w:rPr>
              <w:t xml:space="preserve"> населення в міжпереписні роки</w:t>
            </w:r>
          </w:p>
        </w:tc>
      </w:tr>
      <w:tr w:rsidR="00B233DE" w:rsidRPr="00983D9A" w:rsidTr="0023489B">
        <w:trPr>
          <w:jc w:val="center"/>
        </w:trPr>
        <w:tc>
          <w:tcPr>
            <w:tcW w:w="1529" w:type="dxa"/>
          </w:tcPr>
          <w:p w:rsidR="00B233DE" w:rsidRPr="00983D9A" w:rsidRDefault="00B233DE" w:rsidP="0023489B">
            <w:pPr>
              <w:widowControl w:val="0"/>
              <w:tabs>
                <w:tab w:val="left" w:pos="3"/>
              </w:tabs>
              <w:overflowPunct w:val="0"/>
              <w:autoSpaceDE w:val="0"/>
              <w:autoSpaceDN w:val="0"/>
              <w:adjustRightInd w:val="0"/>
              <w:ind w:right="-120" w:firstLine="3"/>
              <w:jc w:val="center"/>
              <w:rPr>
                <w:rFonts w:ascii="Times New Roman" w:hAnsi="Times New Roman" w:cs="Times New Roman"/>
                <w:bCs/>
                <w:iCs/>
                <w:sz w:val="16"/>
                <w:szCs w:val="16"/>
              </w:rPr>
            </w:pPr>
            <w:r w:rsidRPr="00983D9A">
              <w:rPr>
                <w:rFonts w:ascii="Times New Roman" w:hAnsi="Times New Roman" w:cs="Times New Roman"/>
                <w:bCs/>
                <w:iCs/>
                <w:sz w:val="16"/>
                <w:szCs w:val="16"/>
              </w:rPr>
              <w:t xml:space="preserve">Середньорічна чисельність населення </w:t>
            </w:r>
          </w:p>
          <w:p w:rsidR="00B233DE" w:rsidRPr="00983D9A" w:rsidRDefault="00B233DE" w:rsidP="0023489B">
            <w:pPr>
              <w:widowControl w:val="0"/>
              <w:tabs>
                <w:tab w:val="left" w:pos="3"/>
              </w:tabs>
              <w:overflowPunct w:val="0"/>
              <w:autoSpaceDE w:val="0"/>
              <w:autoSpaceDN w:val="0"/>
              <w:adjustRightInd w:val="0"/>
              <w:ind w:right="-120" w:firstLine="3"/>
              <w:jc w:val="center"/>
              <w:rPr>
                <w:rFonts w:ascii="Times New Roman" w:hAnsi="Times New Roman" w:cs="Times New Roman"/>
                <w:bCs/>
                <w:iCs/>
                <w:sz w:val="16"/>
                <w:szCs w:val="16"/>
              </w:rPr>
            </w:pPr>
            <w:r w:rsidRPr="00983D9A">
              <w:rPr>
                <w:rFonts w:ascii="Times New Roman" w:hAnsi="Times New Roman" w:cs="Times New Roman"/>
                <w:bCs/>
                <w:iCs/>
                <w:sz w:val="16"/>
                <w:szCs w:val="16"/>
              </w:rPr>
              <w:t>(середнє населення)</w:t>
            </w:r>
          </w:p>
        </w:tc>
        <w:tc>
          <w:tcPr>
            <w:tcW w:w="4533" w:type="dxa"/>
          </w:tcPr>
          <w:p w:rsidR="00B233DE" w:rsidRPr="00983D9A" w:rsidRDefault="00B233DE" w:rsidP="0023489B">
            <w:pPr>
              <w:widowControl w:val="0"/>
              <w:tabs>
                <w:tab w:val="left" w:pos="29"/>
              </w:tabs>
              <w:overflowPunct w:val="0"/>
              <w:autoSpaceDE w:val="0"/>
              <w:autoSpaceDN w:val="0"/>
              <w:adjustRightInd w:val="0"/>
              <w:ind w:right="-120" w:firstLine="3"/>
              <w:jc w:val="both"/>
              <w:rPr>
                <w:rFonts w:ascii="Times New Roman" w:hAnsi="Times New Roman" w:cs="Times New Roman"/>
                <w:bCs/>
                <w:iCs/>
                <w:sz w:val="16"/>
                <w:szCs w:val="16"/>
              </w:rPr>
            </w:pPr>
            <w:r w:rsidRPr="00983D9A">
              <w:rPr>
                <w:rFonts w:ascii="Times New Roman" w:hAnsi="Times New Roman" w:cs="Times New Roman"/>
                <w:bCs/>
                <w:iCs/>
                <w:sz w:val="16"/>
                <w:szCs w:val="16"/>
              </w:rPr>
              <w:t>Сума чисельності населення на початок одного та іншого року ділиться на два. Якщо є проміжні дані, наприклад, на перше число кожного кварталу, то найпростіше знайти середньо-квартальну чисельність, додати їх і розділити на кількість кварталів. Також можна вчинити і для знаходження середньорічної чисельност</w:t>
            </w:r>
            <w:r>
              <w:rPr>
                <w:rFonts w:ascii="Times New Roman" w:hAnsi="Times New Roman" w:cs="Times New Roman"/>
                <w:bCs/>
                <w:iCs/>
                <w:sz w:val="16"/>
                <w:szCs w:val="16"/>
              </w:rPr>
              <w:t>і за ряд років</w:t>
            </w:r>
          </w:p>
        </w:tc>
      </w:tr>
      <w:tr w:rsidR="00B233DE" w:rsidRPr="00983D9A" w:rsidTr="0023489B">
        <w:trPr>
          <w:jc w:val="center"/>
        </w:trPr>
        <w:tc>
          <w:tcPr>
            <w:tcW w:w="1529" w:type="dxa"/>
          </w:tcPr>
          <w:p w:rsidR="00B233DE" w:rsidRPr="00983D9A" w:rsidRDefault="00B233DE" w:rsidP="0023489B">
            <w:pPr>
              <w:widowControl w:val="0"/>
              <w:tabs>
                <w:tab w:val="left" w:pos="3"/>
              </w:tabs>
              <w:overflowPunct w:val="0"/>
              <w:autoSpaceDE w:val="0"/>
              <w:autoSpaceDN w:val="0"/>
              <w:adjustRightInd w:val="0"/>
              <w:ind w:right="-120" w:firstLine="3"/>
              <w:jc w:val="center"/>
              <w:rPr>
                <w:rFonts w:ascii="Times New Roman" w:hAnsi="Times New Roman" w:cs="Times New Roman"/>
                <w:bCs/>
                <w:iCs/>
                <w:sz w:val="16"/>
                <w:szCs w:val="16"/>
              </w:rPr>
            </w:pPr>
            <w:r w:rsidRPr="00983D9A">
              <w:rPr>
                <w:rFonts w:ascii="Times New Roman" w:hAnsi="Times New Roman" w:cs="Times New Roman"/>
                <w:bCs/>
                <w:iCs/>
                <w:sz w:val="16"/>
                <w:szCs w:val="16"/>
              </w:rPr>
              <w:t>Частка країни (регіону) в населенні світу</w:t>
            </w:r>
          </w:p>
        </w:tc>
        <w:tc>
          <w:tcPr>
            <w:tcW w:w="4533" w:type="dxa"/>
          </w:tcPr>
          <w:p w:rsidR="00B233DE" w:rsidRPr="00983D9A" w:rsidRDefault="00B233DE" w:rsidP="0023489B">
            <w:pPr>
              <w:widowControl w:val="0"/>
              <w:tabs>
                <w:tab w:val="left" w:pos="29"/>
              </w:tabs>
              <w:overflowPunct w:val="0"/>
              <w:autoSpaceDE w:val="0"/>
              <w:autoSpaceDN w:val="0"/>
              <w:adjustRightInd w:val="0"/>
              <w:ind w:right="-120" w:firstLine="3"/>
              <w:jc w:val="both"/>
              <w:rPr>
                <w:rFonts w:ascii="Times New Roman" w:hAnsi="Times New Roman" w:cs="Times New Roman"/>
                <w:bCs/>
                <w:iCs/>
                <w:sz w:val="16"/>
                <w:szCs w:val="16"/>
              </w:rPr>
            </w:pPr>
            <w:r w:rsidRPr="00983D9A">
              <w:rPr>
                <w:rFonts w:ascii="Times New Roman" w:hAnsi="Times New Roman" w:cs="Times New Roman"/>
                <w:bCs/>
                <w:iCs/>
                <w:sz w:val="16"/>
                <w:szCs w:val="16"/>
              </w:rPr>
              <w:t xml:space="preserve">Чисельність населення країни (регіону) ділиться на чисельність населення світу і множиться на 100. Населення має бути в обох випадках або наявне, або постійне і </w:t>
            </w:r>
            <w:r>
              <w:rPr>
                <w:rFonts w:ascii="Times New Roman" w:hAnsi="Times New Roman" w:cs="Times New Roman"/>
                <w:bCs/>
                <w:iCs/>
                <w:sz w:val="16"/>
                <w:szCs w:val="16"/>
              </w:rPr>
              <w:t>прийматися на одну і ту ж дату</w:t>
            </w:r>
          </w:p>
        </w:tc>
      </w:tr>
      <w:tr w:rsidR="00B233DE" w:rsidRPr="00983D9A" w:rsidTr="0023489B">
        <w:trPr>
          <w:jc w:val="center"/>
        </w:trPr>
        <w:tc>
          <w:tcPr>
            <w:tcW w:w="1529" w:type="dxa"/>
          </w:tcPr>
          <w:p w:rsidR="00B233DE" w:rsidRPr="00983D9A" w:rsidRDefault="00B233DE" w:rsidP="0023489B">
            <w:pPr>
              <w:widowControl w:val="0"/>
              <w:tabs>
                <w:tab w:val="left" w:pos="3"/>
              </w:tabs>
              <w:overflowPunct w:val="0"/>
              <w:autoSpaceDE w:val="0"/>
              <w:autoSpaceDN w:val="0"/>
              <w:adjustRightInd w:val="0"/>
              <w:ind w:right="-120" w:firstLine="3"/>
              <w:jc w:val="center"/>
              <w:rPr>
                <w:rFonts w:ascii="Times New Roman" w:hAnsi="Times New Roman" w:cs="Times New Roman"/>
                <w:bCs/>
                <w:iCs/>
                <w:sz w:val="16"/>
                <w:szCs w:val="16"/>
              </w:rPr>
            </w:pPr>
            <w:r w:rsidRPr="00983D9A">
              <w:rPr>
                <w:rFonts w:ascii="Times New Roman" w:hAnsi="Times New Roman" w:cs="Times New Roman"/>
                <w:bCs/>
                <w:iCs/>
                <w:sz w:val="16"/>
                <w:szCs w:val="16"/>
              </w:rPr>
              <w:t>Темпи зростання (скорочення) чисельності населення</w:t>
            </w:r>
          </w:p>
        </w:tc>
        <w:tc>
          <w:tcPr>
            <w:tcW w:w="4533" w:type="dxa"/>
          </w:tcPr>
          <w:p w:rsidR="00B233DE" w:rsidRPr="00983D9A" w:rsidRDefault="00B233DE" w:rsidP="0023489B">
            <w:pPr>
              <w:widowControl w:val="0"/>
              <w:tabs>
                <w:tab w:val="left" w:pos="29"/>
              </w:tabs>
              <w:overflowPunct w:val="0"/>
              <w:autoSpaceDE w:val="0"/>
              <w:autoSpaceDN w:val="0"/>
              <w:adjustRightInd w:val="0"/>
              <w:ind w:right="-120" w:firstLine="3"/>
              <w:jc w:val="both"/>
              <w:rPr>
                <w:rFonts w:ascii="Times New Roman" w:hAnsi="Times New Roman" w:cs="Times New Roman"/>
                <w:bCs/>
                <w:iCs/>
                <w:sz w:val="16"/>
                <w:szCs w:val="16"/>
              </w:rPr>
            </w:pPr>
            <w:r w:rsidRPr="00983D9A">
              <w:rPr>
                <w:rFonts w:ascii="Times New Roman" w:hAnsi="Times New Roman" w:cs="Times New Roman"/>
                <w:bCs/>
                <w:iCs/>
                <w:sz w:val="16"/>
                <w:szCs w:val="16"/>
              </w:rPr>
              <w:t>Частка чисельності населення на початок даного року (може бути прийнятий прогнозний рік) на чисельність населення на початок минулого року (будь-якого року минулого періоду). Темп зростання в відсотках отримують в результаті множення частки на 100.</w:t>
            </w:r>
          </w:p>
        </w:tc>
      </w:tr>
      <w:tr w:rsidR="00B233DE" w:rsidRPr="00983D9A" w:rsidTr="0023489B">
        <w:trPr>
          <w:jc w:val="center"/>
        </w:trPr>
        <w:tc>
          <w:tcPr>
            <w:tcW w:w="1529" w:type="dxa"/>
          </w:tcPr>
          <w:p w:rsidR="00B233DE" w:rsidRPr="00983D9A" w:rsidRDefault="00B233DE" w:rsidP="0023489B">
            <w:pPr>
              <w:widowControl w:val="0"/>
              <w:tabs>
                <w:tab w:val="left" w:pos="3"/>
              </w:tabs>
              <w:overflowPunct w:val="0"/>
              <w:autoSpaceDE w:val="0"/>
              <w:autoSpaceDN w:val="0"/>
              <w:adjustRightInd w:val="0"/>
              <w:ind w:right="-120" w:firstLine="3"/>
              <w:jc w:val="center"/>
              <w:rPr>
                <w:rFonts w:ascii="Times New Roman" w:hAnsi="Times New Roman" w:cs="Times New Roman"/>
                <w:bCs/>
                <w:iCs/>
                <w:sz w:val="16"/>
                <w:szCs w:val="16"/>
              </w:rPr>
            </w:pPr>
            <w:r w:rsidRPr="00983D9A">
              <w:rPr>
                <w:rFonts w:ascii="Times New Roman" w:hAnsi="Times New Roman" w:cs="Times New Roman"/>
                <w:bCs/>
                <w:iCs/>
                <w:sz w:val="16"/>
                <w:szCs w:val="16"/>
              </w:rPr>
              <w:t>Темпи приросту (скорочення) чисельності населення</w:t>
            </w:r>
          </w:p>
        </w:tc>
        <w:tc>
          <w:tcPr>
            <w:tcW w:w="4533" w:type="dxa"/>
          </w:tcPr>
          <w:p w:rsidR="00B233DE" w:rsidRPr="00983D9A" w:rsidRDefault="00B233DE" w:rsidP="0023489B">
            <w:pPr>
              <w:widowControl w:val="0"/>
              <w:tabs>
                <w:tab w:val="left" w:pos="29"/>
              </w:tabs>
              <w:overflowPunct w:val="0"/>
              <w:autoSpaceDE w:val="0"/>
              <w:autoSpaceDN w:val="0"/>
              <w:adjustRightInd w:val="0"/>
              <w:ind w:right="-120" w:firstLine="3"/>
              <w:jc w:val="both"/>
              <w:rPr>
                <w:rFonts w:ascii="Times New Roman" w:hAnsi="Times New Roman" w:cs="Times New Roman"/>
                <w:bCs/>
                <w:iCs/>
                <w:sz w:val="16"/>
                <w:szCs w:val="16"/>
              </w:rPr>
            </w:pPr>
            <w:r w:rsidRPr="00983D9A">
              <w:rPr>
                <w:rFonts w:ascii="Times New Roman" w:hAnsi="Times New Roman" w:cs="Times New Roman"/>
                <w:bCs/>
                <w:iCs/>
                <w:sz w:val="16"/>
                <w:szCs w:val="16"/>
              </w:rPr>
              <w:t>Від темпу зростання</w:t>
            </w:r>
            <w:r>
              <w:rPr>
                <w:rFonts w:ascii="Times New Roman" w:hAnsi="Times New Roman" w:cs="Times New Roman"/>
                <w:bCs/>
                <w:iCs/>
                <w:sz w:val="16"/>
                <w:szCs w:val="16"/>
              </w:rPr>
              <w:t xml:space="preserve"> (скорочення) віднімається 100</w:t>
            </w:r>
          </w:p>
        </w:tc>
      </w:tr>
      <w:tr w:rsidR="00B233DE" w:rsidRPr="00983D9A" w:rsidTr="0023489B">
        <w:trPr>
          <w:jc w:val="center"/>
        </w:trPr>
        <w:tc>
          <w:tcPr>
            <w:tcW w:w="1529" w:type="dxa"/>
          </w:tcPr>
          <w:p w:rsidR="00B233DE" w:rsidRPr="00983D9A" w:rsidRDefault="00B233DE" w:rsidP="0023489B">
            <w:pPr>
              <w:widowControl w:val="0"/>
              <w:tabs>
                <w:tab w:val="left" w:pos="3"/>
              </w:tabs>
              <w:overflowPunct w:val="0"/>
              <w:autoSpaceDE w:val="0"/>
              <w:autoSpaceDN w:val="0"/>
              <w:adjustRightInd w:val="0"/>
              <w:ind w:right="-120" w:firstLine="3"/>
              <w:jc w:val="center"/>
              <w:rPr>
                <w:rFonts w:ascii="Times New Roman" w:hAnsi="Times New Roman" w:cs="Times New Roman"/>
                <w:bCs/>
                <w:iCs/>
                <w:sz w:val="16"/>
                <w:szCs w:val="16"/>
              </w:rPr>
            </w:pPr>
            <w:r w:rsidRPr="00983D9A">
              <w:rPr>
                <w:rFonts w:ascii="Times New Roman" w:hAnsi="Times New Roman" w:cs="Times New Roman"/>
                <w:bCs/>
                <w:iCs/>
                <w:sz w:val="16"/>
                <w:szCs w:val="16"/>
              </w:rPr>
              <w:t>Середній темп зростання населення</w:t>
            </w:r>
          </w:p>
        </w:tc>
        <w:tc>
          <w:tcPr>
            <w:tcW w:w="4533" w:type="dxa"/>
          </w:tcPr>
          <w:p w:rsidR="00B233DE" w:rsidRPr="00983D9A" w:rsidRDefault="00B233DE" w:rsidP="0023489B">
            <w:pPr>
              <w:widowControl w:val="0"/>
              <w:tabs>
                <w:tab w:val="left" w:pos="29"/>
              </w:tabs>
              <w:overflowPunct w:val="0"/>
              <w:autoSpaceDE w:val="0"/>
              <w:autoSpaceDN w:val="0"/>
              <w:adjustRightInd w:val="0"/>
              <w:ind w:right="-120" w:firstLine="3"/>
              <w:jc w:val="both"/>
              <w:rPr>
                <w:rFonts w:ascii="Times New Roman" w:hAnsi="Times New Roman" w:cs="Times New Roman"/>
                <w:bCs/>
                <w:iCs/>
                <w:sz w:val="16"/>
                <w:szCs w:val="16"/>
              </w:rPr>
            </w:pPr>
            <w:r w:rsidRPr="00983D9A">
              <w:rPr>
                <w:rFonts w:ascii="Times New Roman" w:hAnsi="Times New Roman" w:cs="Times New Roman"/>
                <w:bCs/>
                <w:iCs/>
                <w:sz w:val="16"/>
                <w:szCs w:val="16"/>
              </w:rPr>
              <w:t>З темпу зростання витягується корінь тієї ступені, яка дорівнює тривалості р</w:t>
            </w:r>
            <w:r>
              <w:rPr>
                <w:rFonts w:ascii="Times New Roman" w:hAnsi="Times New Roman" w:cs="Times New Roman"/>
                <w:bCs/>
                <w:iCs/>
                <w:sz w:val="16"/>
                <w:szCs w:val="16"/>
              </w:rPr>
              <w:t>озрахункового періоду</w:t>
            </w:r>
          </w:p>
        </w:tc>
      </w:tr>
      <w:tr w:rsidR="00B233DE" w:rsidRPr="00983D9A" w:rsidTr="0023489B">
        <w:trPr>
          <w:jc w:val="center"/>
        </w:trPr>
        <w:tc>
          <w:tcPr>
            <w:tcW w:w="1529" w:type="dxa"/>
          </w:tcPr>
          <w:p w:rsidR="00B233DE" w:rsidRPr="00983D9A" w:rsidRDefault="00B233DE" w:rsidP="0023489B">
            <w:pPr>
              <w:widowControl w:val="0"/>
              <w:tabs>
                <w:tab w:val="left" w:pos="3"/>
              </w:tabs>
              <w:overflowPunct w:val="0"/>
              <w:autoSpaceDE w:val="0"/>
              <w:autoSpaceDN w:val="0"/>
              <w:adjustRightInd w:val="0"/>
              <w:ind w:right="-120" w:firstLine="3"/>
              <w:jc w:val="center"/>
              <w:rPr>
                <w:rFonts w:ascii="Times New Roman" w:hAnsi="Times New Roman" w:cs="Times New Roman"/>
                <w:bCs/>
                <w:iCs/>
                <w:sz w:val="16"/>
                <w:szCs w:val="16"/>
              </w:rPr>
            </w:pPr>
            <w:r w:rsidRPr="00983D9A">
              <w:rPr>
                <w:rFonts w:ascii="Times New Roman" w:hAnsi="Times New Roman" w:cs="Times New Roman"/>
                <w:bCs/>
                <w:iCs/>
                <w:sz w:val="16"/>
                <w:szCs w:val="16"/>
              </w:rPr>
              <w:t>Середній темп приросту населення</w:t>
            </w:r>
          </w:p>
        </w:tc>
        <w:tc>
          <w:tcPr>
            <w:tcW w:w="4533" w:type="dxa"/>
          </w:tcPr>
          <w:p w:rsidR="00B233DE" w:rsidRPr="00983D9A" w:rsidRDefault="00B233DE" w:rsidP="0023489B">
            <w:pPr>
              <w:widowControl w:val="0"/>
              <w:tabs>
                <w:tab w:val="left" w:pos="29"/>
              </w:tabs>
              <w:overflowPunct w:val="0"/>
              <w:autoSpaceDE w:val="0"/>
              <w:autoSpaceDN w:val="0"/>
              <w:adjustRightInd w:val="0"/>
              <w:ind w:right="-120" w:firstLine="3"/>
              <w:jc w:val="both"/>
              <w:rPr>
                <w:rFonts w:ascii="Times New Roman" w:hAnsi="Times New Roman" w:cs="Times New Roman"/>
                <w:bCs/>
                <w:iCs/>
                <w:sz w:val="16"/>
                <w:szCs w:val="16"/>
              </w:rPr>
            </w:pPr>
            <w:r w:rsidRPr="00983D9A">
              <w:rPr>
                <w:rFonts w:ascii="Times New Roman" w:hAnsi="Times New Roman" w:cs="Times New Roman"/>
                <w:bCs/>
                <w:iCs/>
                <w:sz w:val="16"/>
                <w:szCs w:val="16"/>
              </w:rPr>
              <w:t>Відніманням від сер</w:t>
            </w:r>
            <w:r>
              <w:rPr>
                <w:rFonts w:ascii="Times New Roman" w:hAnsi="Times New Roman" w:cs="Times New Roman"/>
                <w:bCs/>
                <w:iCs/>
                <w:sz w:val="16"/>
                <w:szCs w:val="16"/>
              </w:rPr>
              <w:t>еднього темпу зростання одиниці</w:t>
            </w:r>
          </w:p>
        </w:tc>
      </w:tr>
      <w:tr w:rsidR="00B233DE" w:rsidRPr="00983D9A" w:rsidTr="0023489B">
        <w:trPr>
          <w:jc w:val="center"/>
        </w:trPr>
        <w:tc>
          <w:tcPr>
            <w:tcW w:w="1529" w:type="dxa"/>
          </w:tcPr>
          <w:p w:rsidR="00B233DE" w:rsidRPr="00983D9A" w:rsidRDefault="00B233DE" w:rsidP="0023489B">
            <w:pPr>
              <w:widowControl w:val="0"/>
              <w:tabs>
                <w:tab w:val="left" w:pos="3"/>
              </w:tabs>
              <w:overflowPunct w:val="0"/>
              <w:autoSpaceDE w:val="0"/>
              <w:autoSpaceDN w:val="0"/>
              <w:adjustRightInd w:val="0"/>
              <w:ind w:right="-120" w:firstLine="3"/>
              <w:jc w:val="center"/>
              <w:rPr>
                <w:rFonts w:ascii="Times New Roman" w:hAnsi="Times New Roman" w:cs="Times New Roman"/>
                <w:bCs/>
                <w:iCs/>
                <w:sz w:val="16"/>
                <w:szCs w:val="16"/>
              </w:rPr>
            </w:pPr>
            <w:r w:rsidRPr="00983D9A">
              <w:rPr>
                <w:rFonts w:ascii="Times New Roman" w:hAnsi="Times New Roman" w:cs="Times New Roman"/>
                <w:bCs/>
                <w:iCs/>
                <w:sz w:val="16"/>
                <w:szCs w:val="16"/>
              </w:rPr>
              <w:t>Абсолютний приріст (убуток) населення</w:t>
            </w:r>
          </w:p>
        </w:tc>
        <w:tc>
          <w:tcPr>
            <w:tcW w:w="4533" w:type="dxa"/>
          </w:tcPr>
          <w:p w:rsidR="00B233DE" w:rsidRPr="00983D9A" w:rsidRDefault="00B233DE" w:rsidP="0023489B">
            <w:pPr>
              <w:widowControl w:val="0"/>
              <w:tabs>
                <w:tab w:val="left" w:pos="29"/>
              </w:tabs>
              <w:overflowPunct w:val="0"/>
              <w:autoSpaceDE w:val="0"/>
              <w:autoSpaceDN w:val="0"/>
              <w:adjustRightInd w:val="0"/>
              <w:ind w:right="-120" w:firstLine="3"/>
              <w:jc w:val="both"/>
              <w:rPr>
                <w:rFonts w:ascii="Times New Roman" w:hAnsi="Times New Roman" w:cs="Times New Roman"/>
                <w:bCs/>
                <w:iCs/>
                <w:sz w:val="16"/>
                <w:szCs w:val="16"/>
              </w:rPr>
            </w:pPr>
            <w:r w:rsidRPr="00983D9A">
              <w:rPr>
                <w:rFonts w:ascii="Times New Roman" w:hAnsi="Times New Roman" w:cs="Times New Roman"/>
                <w:bCs/>
                <w:iCs/>
                <w:sz w:val="16"/>
                <w:szCs w:val="16"/>
              </w:rPr>
              <w:t>Різниця між чисельністю населення на початок і кінець періоду (</w:t>
            </w:r>
            <w:r>
              <w:rPr>
                <w:rFonts w:ascii="Times New Roman" w:hAnsi="Times New Roman" w:cs="Times New Roman"/>
                <w:bCs/>
                <w:iCs/>
                <w:sz w:val="16"/>
                <w:szCs w:val="16"/>
              </w:rPr>
              <w:t>або початок наступного періоду)</w:t>
            </w:r>
          </w:p>
        </w:tc>
      </w:tr>
      <w:tr w:rsidR="00B233DE" w:rsidRPr="00983D9A" w:rsidTr="0023489B">
        <w:trPr>
          <w:jc w:val="center"/>
        </w:trPr>
        <w:tc>
          <w:tcPr>
            <w:tcW w:w="1529" w:type="dxa"/>
          </w:tcPr>
          <w:p w:rsidR="00B233DE" w:rsidRPr="00983D9A" w:rsidRDefault="00B233DE" w:rsidP="0023489B">
            <w:pPr>
              <w:widowControl w:val="0"/>
              <w:tabs>
                <w:tab w:val="left" w:pos="3"/>
              </w:tabs>
              <w:overflowPunct w:val="0"/>
              <w:autoSpaceDE w:val="0"/>
              <w:autoSpaceDN w:val="0"/>
              <w:adjustRightInd w:val="0"/>
              <w:ind w:right="-120" w:firstLine="3"/>
              <w:jc w:val="center"/>
              <w:rPr>
                <w:rFonts w:ascii="Times New Roman" w:hAnsi="Times New Roman" w:cs="Times New Roman"/>
                <w:bCs/>
                <w:iCs/>
                <w:sz w:val="16"/>
                <w:szCs w:val="16"/>
              </w:rPr>
            </w:pPr>
            <w:r w:rsidRPr="00983D9A">
              <w:rPr>
                <w:rFonts w:ascii="Times New Roman" w:hAnsi="Times New Roman" w:cs="Times New Roman"/>
                <w:bCs/>
                <w:iCs/>
                <w:sz w:val="16"/>
                <w:szCs w:val="16"/>
              </w:rPr>
              <w:t>Щільність населення</w:t>
            </w:r>
          </w:p>
        </w:tc>
        <w:tc>
          <w:tcPr>
            <w:tcW w:w="4533" w:type="dxa"/>
          </w:tcPr>
          <w:p w:rsidR="00B233DE" w:rsidRPr="00983D9A" w:rsidRDefault="00B233DE" w:rsidP="0023489B">
            <w:pPr>
              <w:widowControl w:val="0"/>
              <w:tabs>
                <w:tab w:val="left" w:pos="29"/>
              </w:tabs>
              <w:overflowPunct w:val="0"/>
              <w:autoSpaceDE w:val="0"/>
              <w:autoSpaceDN w:val="0"/>
              <w:adjustRightInd w:val="0"/>
              <w:ind w:right="-120" w:firstLine="3"/>
              <w:jc w:val="both"/>
              <w:rPr>
                <w:rFonts w:ascii="Times New Roman" w:hAnsi="Times New Roman" w:cs="Times New Roman"/>
                <w:bCs/>
                <w:iCs/>
                <w:sz w:val="16"/>
                <w:szCs w:val="16"/>
              </w:rPr>
            </w:pPr>
            <w:r w:rsidRPr="00983D9A">
              <w:rPr>
                <w:rFonts w:ascii="Times New Roman" w:hAnsi="Times New Roman" w:cs="Times New Roman"/>
                <w:bCs/>
                <w:iCs/>
                <w:sz w:val="16"/>
                <w:szCs w:val="16"/>
              </w:rPr>
              <w:t>Частка середньорічної чисельності населення на кількість квадратних кілометрів терито</w:t>
            </w:r>
            <w:r>
              <w:rPr>
                <w:rFonts w:ascii="Times New Roman" w:hAnsi="Times New Roman" w:cs="Times New Roman"/>
                <w:bCs/>
                <w:iCs/>
                <w:sz w:val="16"/>
                <w:szCs w:val="16"/>
              </w:rPr>
              <w:t>рії регіону, чоловік на кв. км</w:t>
            </w:r>
          </w:p>
        </w:tc>
      </w:tr>
      <w:tr w:rsidR="00B233DE" w:rsidRPr="00983D9A" w:rsidTr="0023489B">
        <w:trPr>
          <w:jc w:val="center"/>
        </w:trPr>
        <w:tc>
          <w:tcPr>
            <w:tcW w:w="1529" w:type="dxa"/>
          </w:tcPr>
          <w:p w:rsidR="00B233DE" w:rsidRPr="00983D9A" w:rsidRDefault="00B233DE" w:rsidP="0023489B">
            <w:pPr>
              <w:widowControl w:val="0"/>
              <w:tabs>
                <w:tab w:val="left" w:pos="3"/>
              </w:tabs>
              <w:overflowPunct w:val="0"/>
              <w:autoSpaceDE w:val="0"/>
              <w:autoSpaceDN w:val="0"/>
              <w:adjustRightInd w:val="0"/>
              <w:ind w:right="-120" w:firstLine="3"/>
              <w:jc w:val="center"/>
              <w:rPr>
                <w:rFonts w:ascii="Times New Roman" w:hAnsi="Times New Roman" w:cs="Times New Roman"/>
                <w:bCs/>
                <w:iCs/>
                <w:sz w:val="16"/>
                <w:szCs w:val="16"/>
              </w:rPr>
            </w:pPr>
            <w:r w:rsidRPr="00983D9A">
              <w:rPr>
                <w:rFonts w:ascii="Times New Roman" w:hAnsi="Times New Roman" w:cs="Times New Roman"/>
                <w:bCs/>
                <w:iCs/>
                <w:sz w:val="16"/>
                <w:szCs w:val="16"/>
              </w:rPr>
              <w:t>Коефіцієнт (рівень) урбанізації</w:t>
            </w:r>
          </w:p>
        </w:tc>
        <w:tc>
          <w:tcPr>
            <w:tcW w:w="4533" w:type="dxa"/>
          </w:tcPr>
          <w:p w:rsidR="00B233DE" w:rsidRPr="00983D9A" w:rsidRDefault="00B233DE" w:rsidP="0023489B">
            <w:pPr>
              <w:widowControl w:val="0"/>
              <w:tabs>
                <w:tab w:val="left" w:pos="29"/>
              </w:tabs>
              <w:overflowPunct w:val="0"/>
              <w:autoSpaceDE w:val="0"/>
              <w:autoSpaceDN w:val="0"/>
              <w:adjustRightInd w:val="0"/>
              <w:ind w:right="-120" w:firstLine="3"/>
              <w:jc w:val="both"/>
              <w:rPr>
                <w:rFonts w:ascii="Times New Roman" w:hAnsi="Times New Roman" w:cs="Times New Roman"/>
                <w:bCs/>
                <w:iCs/>
                <w:sz w:val="16"/>
                <w:szCs w:val="16"/>
              </w:rPr>
            </w:pPr>
            <w:r w:rsidRPr="00983D9A">
              <w:rPr>
                <w:rFonts w:ascii="Times New Roman" w:hAnsi="Times New Roman" w:cs="Times New Roman"/>
                <w:bCs/>
                <w:iCs/>
                <w:sz w:val="16"/>
                <w:szCs w:val="16"/>
              </w:rPr>
              <w:t>Частка міського н</w:t>
            </w:r>
            <w:r>
              <w:rPr>
                <w:rFonts w:ascii="Times New Roman" w:hAnsi="Times New Roman" w:cs="Times New Roman"/>
                <w:bCs/>
                <w:iCs/>
                <w:sz w:val="16"/>
                <w:szCs w:val="16"/>
              </w:rPr>
              <w:t>аселення в усьому населенні, %</w:t>
            </w:r>
          </w:p>
        </w:tc>
      </w:tr>
    </w:tbl>
    <w:p w:rsidR="00B233DE"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bCs/>
          <w:iCs/>
          <w:sz w:val="21"/>
          <w:szCs w:val="21"/>
        </w:rPr>
      </w:pPr>
      <w:r w:rsidRPr="00ED02A3">
        <w:rPr>
          <w:rFonts w:ascii="Times New Roman" w:hAnsi="Times New Roman" w:cs="Times New Roman"/>
          <w:bCs/>
          <w:iCs/>
          <w:sz w:val="21"/>
          <w:szCs w:val="21"/>
        </w:rPr>
        <w:lastRenderedPageBreak/>
        <w:t xml:space="preserve">Основний кількісний показник </w:t>
      </w:r>
      <w:r>
        <w:rPr>
          <w:rFonts w:ascii="Times New Roman" w:hAnsi="Times New Roman" w:cs="Times New Roman"/>
          <w:bCs/>
          <w:iCs/>
          <w:sz w:val="21"/>
          <w:szCs w:val="21"/>
        </w:rPr>
        <w:t>–</w:t>
      </w:r>
      <w:r w:rsidRPr="00ED02A3">
        <w:rPr>
          <w:rFonts w:ascii="Times New Roman" w:hAnsi="Times New Roman" w:cs="Times New Roman"/>
          <w:bCs/>
          <w:iCs/>
          <w:sz w:val="21"/>
          <w:szCs w:val="21"/>
        </w:rPr>
        <w:t xml:space="preserve"> це абсолютна чисельність населення. Вона може в</w:t>
      </w:r>
      <w:r>
        <w:rPr>
          <w:rFonts w:ascii="Times New Roman" w:hAnsi="Times New Roman" w:cs="Times New Roman"/>
          <w:bCs/>
          <w:iCs/>
          <w:sz w:val="21"/>
          <w:szCs w:val="21"/>
        </w:rPr>
        <w:t>имірюватися в кількості чоловік (тис., млн)</w:t>
      </w:r>
      <w:r w:rsidRPr="00ED02A3">
        <w:rPr>
          <w:rFonts w:ascii="Times New Roman" w:hAnsi="Times New Roman" w:cs="Times New Roman"/>
          <w:bCs/>
          <w:iCs/>
          <w:sz w:val="21"/>
          <w:szCs w:val="21"/>
        </w:rPr>
        <w:t>. Важливо відзначити, що демографічний потенціал в кількісному відношенні постійно змінюється як на рівні регіону, так і на рівні країни та світу. Це обумовлено тим, що процес відтворення населення неперервний. Кожну хвилину народжуються, вмирають і змінюють місце проживання люди. Всі ці компоненти впливають на чисельність демографічного потенціалу. При характеристиці демографічного потенціалу важливо встановлювати «відправну точку» (дату) оцінки чисельності населення. В якості таких «рубежів» можуть виступати початок або кінець року, дата перепису населення тощо. На основі кількісного критерію можна порівнювати країни і регіони, але це не дає повної картини про демографічний потенціал.</w:t>
      </w:r>
      <w:r>
        <w:rPr>
          <w:rFonts w:ascii="Times New Roman" w:hAnsi="Times New Roman" w:cs="Times New Roman"/>
          <w:bCs/>
          <w:iCs/>
          <w:sz w:val="21"/>
          <w:szCs w:val="21"/>
        </w:rPr>
        <w:t xml:space="preserve"> </w:t>
      </w:r>
    </w:p>
    <w:p w:rsidR="00B233DE"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983D9A">
        <w:rPr>
          <w:rFonts w:ascii="Times New Roman" w:hAnsi="Times New Roman" w:cs="Times New Roman"/>
          <w:sz w:val="21"/>
          <w:szCs w:val="21"/>
        </w:rPr>
        <w:t xml:space="preserve">Не менш важливі для оцінки демографічного потенціалу </w:t>
      </w:r>
      <w:r w:rsidRPr="00983D9A">
        <w:rPr>
          <w:rFonts w:ascii="Times New Roman" w:hAnsi="Times New Roman" w:cs="Times New Roman"/>
          <w:bCs/>
          <w:iCs/>
          <w:sz w:val="21"/>
          <w:szCs w:val="21"/>
        </w:rPr>
        <w:t xml:space="preserve">якісні показники. </w:t>
      </w:r>
      <w:r w:rsidRPr="00983D9A">
        <w:rPr>
          <w:rFonts w:ascii="Times New Roman" w:hAnsi="Times New Roman" w:cs="Times New Roman"/>
          <w:sz w:val="21"/>
          <w:szCs w:val="21"/>
        </w:rPr>
        <w:t>До них необхідно віднести структуру і склад</w:t>
      </w:r>
      <w:r w:rsidRPr="00983D9A">
        <w:rPr>
          <w:rFonts w:ascii="Times New Roman" w:hAnsi="Times New Roman" w:cs="Times New Roman"/>
          <w:bCs/>
          <w:iCs/>
          <w:sz w:val="21"/>
          <w:szCs w:val="21"/>
        </w:rPr>
        <w:t xml:space="preserve"> </w:t>
      </w:r>
      <w:r w:rsidRPr="00983D9A">
        <w:rPr>
          <w:rFonts w:ascii="Times New Roman" w:hAnsi="Times New Roman" w:cs="Times New Roman"/>
          <w:sz w:val="21"/>
          <w:szCs w:val="21"/>
        </w:rPr>
        <w:t>населення території</w:t>
      </w:r>
      <w:r>
        <w:rPr>
          <w:rFonts w:ascii="Times New Roman" w:hAnsi="Times New Roman" w:cs="Times New Roman"/>
          <w:sz w:val="21"/>
          <w:szCs w:val="21"/>
        </w:rPr>
        <w:t xml:space="preserve"> (табл. </w:t>
      </w:r>
      <w:r w:rsidRPr="00B757E6">
        <w:rPr>
          <w:rFonts w:ascii="Times New Roman" w:hAnsi="Times New Roman" w:cs="Times New Roman"/>
          <w:sz w:val="21"/>
          <w:szCs w:val="21"/>
          <w:lang w:val="ru-RU"/>
        </w:rPr>
        <w:t>2</w:t>
      </w:r>
      <w:r>
        <w:rPr>
          <w:rFonts w:ascii="Times New Roman" w:hAnsi="Times New Roman" w:cs="Times New Roman"/>
          <w:sz w:val="21"/>
          <w:szCs w:val="21"/>
        </w:rPr>
        <w:t>.2).</w:t>
      </w:r>
    </w:p>
    <w:p w:rsidR="00B233DE" w:rsidRPr="00D7131A"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983D9A">
        <w:rPr>
          <w:rFonts w:ascii="Times New Roman" w:hAnsi="Times New Roman" w:cs="Times New Roman"/>
          <w:sz w:val="21"/>
          <w:szCs w:val="21"/>
        </w:rPr>
        <w:t xml:space="preserve">Структура і склад населення не являються синонімами. Склад – це «номенклатура», чи перелік складових населення. Наприклад, демографічний склад включає в себе поділ людей на чоловіків і жінок, на різні вікові групи. На відміну від складу структура населення </w:t>
      </w:r>
      <w:r>
        <w:rPr>
          <w:rFonts w:ascii="Times New Roman" w:hAnsi="Times New Roman" w:cs="Times New Roman"/>
          <w:sz w:val="21"/>
          <w:szCs w:val="21"/>
        </w:rPr>
        <w:t>–</w:t>
      </w:r>
      <w:r w:rsidRPr="00983D9A">
        <w:rPr>
          <w:rFonts w:ascii="Times New Roman" w:hAnsi="Times New Roman" w:cs="Times New Roman"/>
          <w:sz w:val="21"/>
          <w:szCs w:val="21"/>
        </w:rPr>
        <w:t xml:space="preserve"> це співвідношення між однорідними елементами або чисельністю певних груп. Наприклад, статева структура. Вона може бути виражена як частка чоловіків і жінок в загальній чисельності населення. Також можна виділити шлюбну, етнічну, освітню структури тощо. Іноді можна поєднати дві ознаки </w:t>
      </w:r>
      <w:r>
        <w:rPr>
          <w:rFonts w:ascii="Times New Roman" w:hAnsi="Times New Roman" w:cs="Times New Roman"/>
          <w:sz w:val="21"/>
          <w:szCs w:val="21"/>
        </w:rPr>
        <w:t>–</w:t>
      </w:r>
      <w:r w:rsidRPr="00983D9A">
        <w:rPr>
          <w:rFonts w:ascii="Times New Roman" w:hAnsi="Times New Roman" w:cs="Times New Roman"/>
          <w:sz w:val="21"/>
          <w:szCs w:val="21"/>
        </w:rPr>
        <w:t xml:space="preserve"> наприклад, статево-вікова структура. Структура виражається у відсотках, проміле, частках.</w:t>
      </w:r>
    </w:p>
    <w:p w:rsidR="00B233DE"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CE5EC5">
        <w:rPr>
          <w:rFonts w:ascii="Times New Roman" w:hAnsi="Times New Roman" w:cs="Times New Roman"/>
          <w:sz w:val="21"/>
          <w:szCs w:val="21"/>
        </w:rPr>
        <w:t xml:space="preserve">Однією із важливих якісних характеристик демографічного потенціалу є вік. </w:t>
      </w:r>
      <w:r w:rsidRPr="00CE5EC5">
        <w:rPr>
          <w:rFonts w:ascii="Times New Roman" w:hAnsi="Times New Roman" w:cs="Times New Roman"/>
          <w:bCs/>
          <w:iCs/>
          <w:sz w:val="21"/>
          <w:szCs w:val="21"/>
        </w:rPr>
        <w:t>Вік</w:t>
      </w:r>
      <w:r w:rsidRPr="00CE5EC5">
        <w:rPr>
          <w:rFonts w:ascii="Times New Roman" w:hAnsi="Times New Roman" w:cs="Times New Roman"/>
          <w:sz w:val="21"/>
          <w:szCs w:val="21"/>
        </w:rPr>
        <w:t xml:space="preserve"> – це період від народження людини до того чи іншого моменту </w:t>
      </w:r>
      <w:r>
        <w:rPr>
          <w:rFonts w:ascii="Times New Roman" w:hAnsi="Times New Roman" w:cs="Times New Roman"/>
          <w:sz w:val="21"/>
          <w:szCs w:val="21"/>
        </w:rPr>
        <w:t>її</w:t>
      </w:r>
      <w:r w:rsidRPr="00CE5EC5">
        <w:rPr>
          <w:rFonts w:ascii="Times New Roman" w:hAnsi="Times New Roman" w:cs="Times New Roman"/>
          <w:sz w:val="21"/>
          <w:szCs w:val="21"/>
        </w:rPr>
        <w:t xml:space="preserve"> життя. Для соціально-економічного розвитку країни має особливу роль вікова структура населення.</w:t>
      </w:r>
    </w:p>
    <w:p w:rsidR="00B233DE"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CE5EC5">
        <w:rPr>
          <w:rFonts w:ascii="Times New Roman" w:hAnsi="Times New Roman" w:cs="Times New Roman"/>
          <w:sz w:val="21"/>
          <w:szCs w:val="21"/>
        </w:rPr>
        <w:t xml:space="preserve">Віковою структурою населення називається розподіл людей за віковими групами та віковим контингентом. Вікову </w:t>
      </w:r>
      <w:r w:rsidRPr="00D7131A">
        <w:rPr>
          <w:rFonts w:ascii="Times New Roman" w:hAnsi="Times New Roman" w:cs="Times New Roman"/>
          <w:spacing w:val="-6"/>
          <w:sz w:val="21"/>
          <w:szCs w:val="21"/>
        </w:rPr>
        <w:t>структуру можна побудувати на основі різних інтервалів. Як правило,</w:t>
      </w:r>
      <w:r>
        <w:rPr>
          <w:rFonts w:ascii="Times New Roman" w:hAnsi="Times New Roman" w:cs="Times New Roman"/>
          <w:sz w:val="21"/>
          <w:szCs w:val="21"/>
        </w:rPr>
        <w:t xml:space="preserve"> буває однорічна, п’</w:t>
      </w:r>
      <w:r w:rsidRPr="00CE5EC5">
        <w:rPr>
          <w:rFonts w:ascii="Times New Roman" w:hAnsi="Times New Roman" w:cs="Times New Roman"/>
          <w:sz w:val="21"/>
          <w:szCs w:val="21"/>
        </w:rPr>
        <w:t>ятирічна і десятирічна вікова структура. У поєднанні з розподілом населення за статтю вікова структура не тільки дає уявлення про склад населення та його роль в економіці, але і дозволяє робити прогнози розвитку населення на перспективу.</w:t>
      </w:r>
    </w:p>
    <w:p w:rsidR="00B233DE" w:rsidRPr="00983D9A" w:rsidRDefault="00B233DE" w:rsidP="00B233DE">
      <w:pPr>
        <w:widowControl w:val="0"/>
        <w:tabs>
          <w:tab w:val="left" w:pos="142"/>
        </w:tabs>
        <w:overflowPunct w:val="0"/>
        <w:autoSpaceDE w:val="0"/>
        <w:autoSpaceDN w:val="0"/>
        <w:adjustRightInd w:val="0"/>
        <w:jc w:val="right"/>
        <w:rPr>
          <w:rFonts w:ascii="Times New Roman" w:hAnsi="Times New Roman" w:cs="Times New Roman"/>
          <w:sz w:val="21"/>
          <w:szCs w:val="21"/>
        </w:rPr>
      </w:pPr>
      <w:r w:rsidRPr="00983D9A">
        <w:rPr>
          <w:rFonts w:ascii="Times New Roman" w:hAnsi="Times New Roman" w:cs="Times New Roman"/>
          <w:sz w:val="21"/>
          <w:szCs w:val="21"/>
        </w:rPr>
        <w:lastRenderedPageBreak/>
        <w:t xml:space="preserve">Таблиця </w:t>
      </w:r>
      <w:r w:rsidRPr="00B757E6">
        <w:rPr>
          <w:rFonts w:ascii="Times New Roman" w:hAnsi="Times New Roman" w:cs="Times New Roman"/>
          <w:sz w:val="21"/>
          <w:szCs w:val="21"/>
          <w:lang w:val="ru-RU"/>
        </w:rPr>
        <w:t>2</w:t>
      </w:r>
      <w:r w:rsidRPr="00983D9A">
        <w:rPr>
          <w:rFonts w:ascii="Times New Roman" w:hAnsi="Times New Roman" w:cs="Times New Roman"/>
          <w:sz w:val="21"/>
          <w:szCs w:val="21"/>
        </w:rPr>
        <w:t>.</w:t>
      </w:r>
      <w:r>
        <w:rPr>
          <w:rFonts w:ascii="Times New Roman" w:hAnsi="Times New Roman" w:cs="Times New Roman"/>
          <w:sz w:val="21"/>
          <w:szCs w:val="21"/>
        </w:rPr>
        <w:t>2</w:t>
      </w:r>
      <w:r w:rsidRPr="00983D9A">
        <w:rPr>
          <w:rFonts w:ascii="Times New Roman" w:hAnsi="Times New Roman" w:cs="Times New Roman"/>
          <w:sz w:val="21"/>
          <w:szCs w:val="21"/>
        </w:rPr>
        <w:t xml:space="preserve"> </w:t>
      </w:r>
    </w:p>
    <w:p w:rsidR="00B233DE" w:rsidRPr="00983D9A" w:rsidRDefault="00B233DE" w:rsidP="00B233DE">
      <w:pPr>
        <w:widowControl w:val="0"/>
        <w:tabs>
          <w:tab w:val="left" w:pos="142"/>
        </w:tabs>
        <w:overflowPunct w:val="0"/>
        <w:autoSpaceDE w:val="0"/>
        <w:autoSpaceDN w:val="0"/>
        <w:adjustRightInd w:val="0"/>
        <w:jc w:val="center"/>
        <w:rPr>
          <w:rFonts w:ascii="Times New Roman" w:hAnsi="Times New Roman" w:cs="Times New Roman"/>
          <w:b/>
          <w:sz w:val="21"/>
          <w:szCs w:val="21"/>
        </w:rPr>
      </w:pPr>
      <w:r w:rsidRPr="00983D9A">
        <w:rPr>
          <w:rFonts w:ascii="Times New Roman" w:hAnsi="Times New Roman" w:cs="Times New Roman"/>
          <w:b/>
          <w:sz w:val="21"/>
          <w:szCs w:val="21"/>
        </w:rPr>
        <w:t>Якісні показники оцінки демографічного потенціалу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4531"/>
      </w:tblGrid>
      <w:tr w:rsidR="00B233DE" w:rsidRPr="008A321F" w:rsidTr="0023489B">
        <w:trPr>
          <w:jc w:val="center"/>
        </w:trPr>
        <w:tc>
          <w:tcPr>
            <w:tcW w:w="1809" w:type="dxa"/>
            <w:vAlign w:val="center"/>
          </w:tcPr>
          <w:p w:rsidR="00B233DE" w:rsidRPr="00983D9A" w:rsidRDefault="00B233DE" w:rsidP="0023489B">
            <w:pPr>
              <w:widowControl w:val="0"/>
              <w:tabs>
                <w:tab w:val="left" w:pos="142"/>
              </w:tabs>
              <w:overflowPunct w:val="0"/>
              <w:autoSpaceDE w:val="0"/>
              <w:autoSpaceDN w:val="0"/>
              <w:adjustRightInd w:val="0"/>
              <w:ind w:right="-146" w:firstLine="0"/>
              <w:jc w:val="center"/>
              <w:rPr>
                <w:rFonts w:ascii="Times New Roman" w:hAnsi="Times New Roman" w:cs="Times New Roman"/>
                <w:bCs/>
                <w:iCs/>
                <w:sz w:val="16"/>
                <w:szCs w:val="16"/>
              </w:rPr>
            </w:pPr>
            <w:r w:rsidRPr="00983D9A">
              <w:rPr>
                <w:rFonts w:ascii="Times New Roman" w:hAnsi="Times New Roman" w:cs="Times New Roman"/>
                <w:bCs/>
                <w:iCs/>
                <w:sz w:val="16"/>
                <w:szCs w:val="16"/>
              </w:rPr>
              <w:t>Показник</w:t>
            </w:r>
          </w:p>
        </w:tc>
        <w:tc>
          <w:tcPr>
            <w:tcW w:w="4531" w:type="dxa"/>
          </w:tcPr>
          <w:p w:rsidR="00B233DE" w:rsidRPr="00983D9A" w:rsidRDefault="00B233DE" w:rsidP="0023489B">
            <w:pPr>
              <w:widowControl w:val="0"/>
              <w:tabs>
                <w:tab w:val="left" w:pos="142"/>
              </w:tabs>
              <w:overflowPunct w:val="0"/>
              <w:autoSpaceDE w:val="0"/>
              <w:autoSpaceDN w:val="0"/>
              <w:adjustRightInd w:val="0"/>
              <w:ind w:right="-146" w:firstLine="0"/>
              <w:jc w:val="center"/>
              <w:rPr>
                <w:rFonts w:ascii="Times New Roman" w:hAnsi="Times New Roman" w:cs="Times New Roman"/>
                <w:bCs/>
                <w:iCs/>
                <w:sz w:val="16"/>
                <w:szCs w:val="16"/>
              </w:rPr>
            </w:pPr>
            <w:r w:rsidRPr="00983D9A">
              <w:rPr>
                <w:rFonts w:ascii="Times New Roman" w:hAnsi="Times New Roman" w:cs="Times New Roman"/>
                <w:bCs/>
                <w:iCs/>
                <w:sz w:val="16"/>
                <w:szCs w:val="16"/>
              </w:rPr>
              <w:t xml:space="preserve">Особливості та методика </w:t>
            </w:r>
          </w:p>
          <w:p w:rsidR="00B233DE" w:rsidRPr="00983D9A" w:rsidRDefault="00B233DE" w:rsidP="0023489B">
            <w:pPr>
              <w:widowControl w:val="0"/>
              <w:tabs>
                <w:tab w:val="left" w:pos="142"/>
              </w:tabs>
              <w:overflowPunct w:val="0"/>
              <w:autoSpaceDE w:val="0"/>
              <w:autoSpaceDN w:val="0"/>
              <w:adjustRightInd w:val="0"/>
              <w:ind w:right="-146" w:firstLine="0"/>
              <w:jc w:val="center"/>
              <w:rPr>
                <w:rFonts w:ascii="Times New Roman" w:hAnsi="Times New Roman" w:cs="Times New Roman"/>
                <w:bCs/>
                <w:iCs/>
                <w:sz w:val="16"/>
                <w:szCs w:val="16"/>
              </w:rPr>
            </w:pPr>
            <w:r w:rsidRPr="00983D9A">
              <w:rPr>
                <w:rFonts w:ascii="Times New Roman" w:hAnsi="Times New Roman" w:cs="Times New Roman"/>
                <w:bCs/>
                <w:iCs/>
                <w:sz w:val="16"/>
                <w:szCs w:val="16"/>
              </w:rPr>
              <w:t>розрахунку показника</w:t>
            </w:r>
          </w:p>
        </w:tc>
      </w:tr>
      <w:tr w:rsidR="00B233DE" w:rsidRPr="008A321F" w:rsidTr="0023489B">
        <w:trPr>
          <w:jc w:val="center"/>
        </w:trPr>
        <w:tc>
          <w:tcPr>
            <w:tcW w:w="1809" w:type="dxa"/>
            <w:vAlign w:val="center"/>
          </w:tcPr>
          <w:p w:rsidR="00B233DE" w:rsidRPr="00983D9A" w:rsidRDefault="00B233DE" w:rsidP="0023489B">
            <w:pPr>
              <w:widowControl w:val="0"/>
              <w:tabs>
                <w:tab w:val="left" w:pos="142"/>
              </w:tabs>
              <w:overflowPunct w:val="0"/>
              <w:autoSpaceDE w:val="0"/>
              <w:autoSpaceDN w:val="0"/>
              <w:adjustRightInd w:val="0"/>
              <w:ind w:right="-108" w:firstLine="0"/>
              <w:jc w:val="center"/>
              <w:rPr>
                <w:rFonts w:ascii="Times New Roman" w:hAnsi="Times New Roman" w:cs="Times New Roman"/>
                <w:bCs/>
                <w:iCs/>
                <w:sz w:val="16"/>
                <w:szCs w:val="16"/>
              </w:rPr>
            </w:pPr>
            <w:r>
              <w:rPr>
                <w:rFonts w:ascii="Times New Roman" w:hAnsi="Times New Roman" w:cs="Times New Roman"/>
                <w:bCs/>
                <w:iCs/>
                <w:sz w:val="16"/>
                <w:szCs w:val="16"/>
              </w:rPr>
              <w:t xml:space="preserve">Частка чоловіків (жінок) у </w:t>
            </w:r>
            <w:r w:rsidRPr="00983D9A">
              <w:rPr>
                <w:rFonts w:ascii="Times New Roman" w:hAnsi="Times New Roman" w:cs="Times New Roman"/>
                <w:bCs/>
                <w:iCs/>
                <w:sz w:val="16"/>
                <w:szCs w:val="16"/>
              </w:rPr>
              <w:t>населенні</w:t>
            </w:r>
          </w:p>
        </w:tc>
        <w:tc>
          <w:tcPr>
            <w:tcW w:w="4531" w:type="dxa"/>
          </w:tcPr>
          <w:p w:rsidR="00B233DE" w:rsidRPr="00983D9A" w:rsidRDefault="00B233DE" w:rsidP="0023489B">
            <w:pPr>
              <w:widowControl w:val="0"/>
              <w:tabs>
                <w:tab w:val="left" w:pos="142"/>
              </w:tabs>
              <w:overflowPunct w:val="0"/>
              <w:autoSpaceDE w:val="0"/>
              <w:autoSpaceDN w:val="0"/>
              <w:adjustRightInd w:val="0"/>
              <w:ind w:firstLine="0"/>
              <w:jc w:val="both"/>
              <w:rPr>
                <w:rFonts w:ascii="Times New Roman" w:hAnsi="Times New Roman" w:cs="Times New Roman"/>
                <w:bCs/>
                <w:iCs/>
                <w:sz w:val="16"/>
                <w:szCs w:val="16"/>
              </w:rPr>
            </w:pPr>
            <w:r w:rsidRPr="00983D9A">
              <w:rPr>
                <w:rFonts w:ascii="Times New Roman" w:hAnsi="Times New Roman" w:cs="Times New Roman"/>
                <w:bCs/>
                <w:iCs/>
                <w:sz w:val="16"/>
                <w:szCs w:val="16"/>
              </w:rPr>
              <w:t>Відношення чисельності чоловіків (жінок) до всього населення. Розрахунки можливі також за різними віковими групами і віковим ко</w:t>
            </w:r>
            <w:r>
              <w:rPr>
                <w:rFonts w:ascii="Times New Roman" w:hAnsi="Times New Roman" w:cs="Times New Roman"/>
                <w:bCs/>
                <w:iCs/>
                <w:sz w:val="16"/>
                <w:szCs w:val="16"/>
              </w:rPr>
              <w:t>нтингентом</w:t>
            </w:r>
          </w:p>
        </w:tc>
      </w:tr>
      <w:tr w:rsidR="00B233DE" w:rsidRPr="008A321F" w:rsidTr="0023489B">
        <w:trPr>
          <w:jc w:val="center"/>
        </w:trPr>
        <w:tc>
          <w:tcPr>
            <w:tcW w:w="1809" w:type="dxa"/>
            <w:vAlign w:val="center"/>
          </w:tcPr>
          <w:p w:rsidR="00B233DE" w:rsidRDefault="00B233DE" w:rsidP="0023489B">
            <w:pPr>
              <w:widowControl w:val="0"/>
              <w:tabs>
                <w:tab w:val="left" w:pos="142"/>
              </w:tabs>
              <w:overflowPunct w:val="0"/>
              <w:autoSpaceDE w:val="0"/>
              <w:autoSpaceDN w:val="0"/>
              <w:adjustRightInd w:val="0"/>
              <w:ind w:right="-108" w:firstLine="0"/>
              <w:jc w:val="center"/>
              <w:rPr>
                <w:rFonts w:ascii="Times New Roman" w:hAnsi="Times New Roman" w:cs="Times New Roman"/>
                <w:bCs/>
                <w:iCs/>
                <w:sz w:val="16"/>
                <w:szCs w:val="16"/>
              </w:rPr>
            </w:pPr>
            <w:r w:rsidRPr="00983D9A">
              <w:rPr>
                <w:rFonts w:ascii="Times New Roman" w:hAnsi="Times New Roman" w:cs="Times New Roman"/>
                <w:bCs/>
                <w:iCs/>
                <w:sz w:val="16"/>
                <w:szCs w:val="16"/>
              </w:rPr>
              <w:t xml:space="preserve">Кількість чоловіків </w:t>
            </w:r>
          </w:p>
          <w:p w:rsidR="00B233DE" w:rsidRPr="00983D9A" w:rsidRDefault="00B233DE" w:rsidP="0023489B">
            <w:pPr>
              <w:widowControl w:val="0"/>
              <w:tabs>
                <w:tab w:val="left" w:pos="142"/>
              </w:tabs>
              <w:overflowPunct w:val="0"/>
              <w:autoSpaceDE w:val="0"/>
              <w:autoSpaceDN w:val="0"/>
              <w:adjustRightInd w:val="0"/>
              <w:ind w:right="-108" w:firstLine="0"/>
              <w:jc w:val="center"/>
              <w:rPr>
                <w:rFonts w:ascii="Times New Roman" w:hAnsi="Times New Roman" w:cs="Times New Roman"/>
                <w:bCs/>
                <w:iCs/>
                <w:sz w:val="16"/>
                <w:szCs w:val="16"/>
              </w:rPr>
            </w:pPr>
            <w:r w:rsidRPr="00983D9A">
              <w:rPr>
                <w:rFonts w:ascii="Times New Roman" w:hAnsi="Times New Roman" w:cs="Times New Roman"/>
                <w:bCs/>
                <w:iCs/>
                <w:sz w:val="16"/>
                <w:szCs w:val="16"/>
              </w:rPr>
              <w:t>в розрахунку на тисячу жінок</w:t>
            </w:r>
          </w:p>
        </w:tc>
        <w:tc>
          <w:tcPr>
            <w:tcW w:w="4531" w:type="dxa"/>
          </w:tcPr>
          <w:p w:rsidR="00B233DE" w:rsidRPr="00983D9A" w:rsidRDefault="00B233DE" w:rsidP="0023489B">
            <w:pPr>
              <w:widowControl w:val="0"/>
              <w:tabs>
                <w:tab w:val="left" w:pos="142"/>
              </w:tabs>
              <w:overflowPunct w:val="0"/>
              <w:autoSpaceDE w:val="0"/>
              <w:autoSpaceDN w:val="0"/>
              <w:adjustRightInd w:val="0"/>
              <w:ind w:firstLine="0"/>
              <w:jc w:val="both"/>
              <w:rPr>
                <w:rFonts w:ascii="Times New Roman" w:hAnsi="Times New Roman" w:cs="Times New Roman"/>
                <w:bCs/>
                <w:iCs/>
                <w:sz w:val="16"/>
                <w:szCs w:val="16"/>
              </w:rPr>
            </w:pPr>
            <w:r w:rsidRPr="00983D9A">
              <w:rPr>
                <w:rFonts w:ascii="Times New Roman" w:hAnsi="Times New Roman" w:cs="Times New Roman"/>
                <w:bCs/>
                <w:iCs/>
                <w:sz w:val="16"/>
                <w:szCs w:val="16"/>
              </w:rPr>
              <w:t xml:space="preserve">Співвідношення чисельності чоловіків відносно чисельності жінок в розрахунку на тисячу (можливо обчислення числа жінок в </w:t>
            </w:r>
            <w:r>
              <w:rPr>
                <w:rFonts w:ascii="Times New Roman" w:hAnsi="Times New Roman" w:cs="Times New Roman"/>
                <w:bCs/>
                <w:iCs/>
                <w:sz w:val="16"/>
                <w:szCs w:val="16"/>
              </w:rPr>
              <w:t>розрахунку на тисячу чоловіків)</w:t>
            </w:r>
            <w:r w:rsidRPr="00983D9A">
              <w:rPr>
                <w:rFonts w:ascii="Times New Roman" w:hAnsi="Times New Roman" w:cs="Times New Roman"/>
                <w:bCs/>
                <w:iCs/>
                <w:sz w:val="16"/>
                <w:szCs w:val="16"/>
              </w:rPr>
              <w:tab/>
            </w:r>
          </w:p>
        </w:tc>
      </w:tr>
      <w:tr w:rsidR="00B233DE" w:rsidRPr="008A321F" w:rsidTr="0023489B">
        <w:trPr>
          <w:jc w:val="center"/>
        </w:trPr>
        <w:tc>
          <w:tcPr>
            <w:tcW w:w="1809" w:type="dxa"/>
            <w:vAlign w:val="center"/>
          </w:tcPr>
          <w:p w:rsidR="00B233DE" w:rsidRPr="00983D9A" w:rsidRDefault="00B233DE" w:rsidP="0023489B">
            <w:pPr>
              <w:widowControl w:val="0"/>
              <w:tabs>
                <w:tab w:val="left" w:pos="142"/>
              </w:tabs>
              <w:overflowPunct w:val="0"/>
              <w:autoSpaceDE w:val="0"/>
              <w:autoSpaceDN w:val="0"/>
              <w:adjustRightInd w:val="0"/>
              <w:ind w:right="-108" w:firstLine="0"/>
              <w:jc w:val="center"/>
              <w:rPr>
                <w:rFonts w:ascii="Times New Roman" w:hAnsi="Times New Roman" w:cs="Times New Roman"/>
                <w:bCs/>
                <w:iCs/>
                <w:sz w:val="16"/>
                <w:szCs w:val="16"/>
              </w:rPr>
            </w:pPr>
            <w:r w:rsidRPr="00983D9A">
              <w:rPr>
                <w:rFonts w:ascii="Times New Roman" w:hAnsi="Times New Roman" w:cs="Times New Roman"/>
                <w:bCs/>
                <w:iCs/>
                <w:sz w:val="16"/>
                <w:szCs w:val="16"/>
              </w:rPr>
              <w:t>Середній вік населення</w:t>
            </w:r>
          </w:p>
        </w:tc>
        <w:tc>
          <w:tcPr>
            <w:tcW w:w="4531" w:type="dxa"/>
          </w:tcPr>
          <w:p w:rsidR="00B233DE" w:rsidRPr="00983D9A" w:rsidRDefault="00B233DE" w:rsidP="0023489B">
            <w:pPr>
              <w:widowControl w:val="0"/>
              <w:tabs>
                <w:tab w:val="left" w:pos="142"/>
              </w:tabs>
              <w:overflowPunct w:val="0"/>
              <w:autoSpaceDE w:val="0"/>
              <w:autoSpaceDN w:val="0"/>
              <w:adjustRightInd w:val="0"/>
              <w:ind w:firstLine="0"/>
              <w:jc w:val="both"/>
              <w:rPr>
                <w:rFonts w:ascii="Times New Roman" w:hAnsi="Times New Roman" w:cs="Times New Roman"/>
                <w:bCs/>
                <w:iCs/>
                <w:sz w:val="16"/>
                <w:szCs w:val="16"/>
              </w:rPr>
            </w:pPr>
            <w:r w:rsidRPr="00983D9A">
              <w:rPr>
                <w:rFonts w:ascii="Times New Roman" w:hAnsi="Times New Roman" w:cs="Times New Roman"/>
                <w:bCs/>
                <w:iCs/>
                <w:sz w:val="16"/>
                <w:szCs w:val="16"/>
              </w:rPr>
              <w:t xml:space="preserve">Середній вік розраховується як середня арифметична зважена. В чисельнику – сума вікових відтворень на чисельність </w:t>
            </w:r>
            <w:r w:rsidRPr="005A4DFD">
              <w:rPr>
                <w:rFonts w:ascii="Times New Roman" w:hAnsi="Times New Roman" w:cs="Times New Roman"/>
                <w:bCs/>
                <w:iCs/>
                <w:spacing w:val="-4"/>
                <w:sz w:val="16"/>
                <w:szCs w:val="16"/>
              </w:rPr>
              <w:t>населення, яке сягнуло, або на долю населення даного віку в за-</w:t>
            </w:r>
            <w:r w:rsidRPr="00983D9A">
              <w:rPr>
                <w:rFonts w:ascii="Times New Roman" w:hAnsi="Times New Roman" w:cs="Times New Roman"/>
                <w:bCs/>
                <w:iCs/>
                <w:sz w:val="16"/>
                <w:szCs w:val="16"/>
              </w:rPr>
              <w:t>гальній чисельності населення.</w:t>
            </w:r>
          </w:p>
          <w:p w:rsidR="00B233DE" w:rsidRPr="00983D9A" w:rsidRDefault="00B233DE" w:rsidP="0023489B">
            <w:pPr>
              <w:widowControl w:val="0"/>
              <w:tabs>
                <w:tab w:val="left" w:pos="142"/>
              </w:tabs>
              <w:overflowPunct w:val="0"/>
              <w:autoSpaceDE w:val="0"/>
              <w:autoSpaceDN w:val="0"/>
              <w:adjustRightInd w:val="0"/>
              <w:ind w:firstLine="0"/>
              <w:jc w:val="both"/>
              <w:rPr>
                <w:rFonts w:ascii="Times New Roman" w:hAnsi="Times New Roman" w:cs="Times New Roman"/>
                <w:bCs/>
                <w:iCs/>
                <w:sz w:val="16"/>
                <w:szCs w:val="16"/>
              </w:rPr>
            </w:pPr>
            <w:r w:rsidRPr="00983D9A">
              <w:rPr>
                <w:rFonts w:ascii="Times New Roman" w:hAnsi="Times New Roman" w:cs="Times New Roman"/>
                <w:bCs/>
                <w:iCs/>
                <w:sz w:val="16"/>
                <w:szCs w:val="16"/>
              </w:rPr>
              <w:t>Знаменником виступає загальна чисельність населення, для якої розраховується середній вік, або 100%, якщо для розрахунку використовуються частки населення.</w:t>
            </w:r>
          </w:p>
          <w:p w:rsidR="00B233DE" w:rsidRPr="00983D9A" w:rsidRDefault="00B233DE" w:rsidP="0023489B">
            <w:pPr>
              <w:widowControl w:val="0"/>
              <w:tabs>
                <w:tab w:val="left" w:pos="142"/>
              </w:tabs>
              <w:overflowPunct w:val="0"/>
              <w:autoSpaceDE w:val="0"/>
              <w:autoSpaceDN w:val="0"/>
              <w:adjustRightInd w:val="0"/>
              <w:ind w:firstLine="0"/>
              <w:jc w:val="both"/>
              <w:rPr>
                <w:rFonts w:ascii="Times New Roman" w:hAnsi="Times New Roman" w:cs="Times New Roman"/>
                <w:bCs/>
                <w:iCs/>
                <w:sz w:val="16"/>
                <w:szCs w:val="16"/>
              </w:rPr>
            </w:pPr>
            <w:r w:rsidRPr="005A4DFD">
              <w:rPr>
                <w:rFonts w:ascii="Times New Roman" w:hAnsi="Times New Roman" w:cs="Times New Roman"/>
                <w:bCs/>
                <w:iCs/>
                <w:spacing w:val="-8"/>
                <w:sz w:val="16"/>
                <w:szCs w:val="16"/>
              </w:rPr>
              <w:t>Якщо відомий розподіл населення не за окремим віком, а за віковими</w:t>
            </w:r>
            <w:r>
              <w:rPr>
                <w:rFonts w:ascii="Times New Roman" w:hAnsi="Times New Roman" w:cs="Times New Roman"/>
                <w:bCs/>
                <w:iCs/>
                <w:sz w:val="16"/>
                <w:szCs w:val="16"/>
              </w:rPr>
              <w:t xml:space="preserve"> групами, </w:t>
            </w:r>
            <w:r w:rsidRPr="00983D9A">
              <w:rPr>
                <w:rFonts w:ascii="Times New Roman" w:hAnsi="Times New Roman" w:cs="Times New Roman"/>
                <w:bCs/>
                <w:iCs/>
                <w:sz w:val="16"/>
                <w:szCs w:val="16"/>
              </w:rPr>
              <w:t xml:space="preserve">то при розрахунку в якості віку застосовують середину вікового інтервалу (для групи 0-4 років </w:t>
            </w:r>
            <w:r>
              <w:rPr>
                <w:rFonts w:ascii="Times New Roman" w:hAnsi="Times New Roman" w:cs="Times New Roman"/>
                <w:bCs/>
                <w:iCs/>
                <w:sz w:val="16"/>
                <w:szCs w:val="16"/>
              </w:rPr>
              <w:t>–</w:t>
            </w:r>
            <w:r w:rsidRPr="00983D9A">
              <w:rPr>
                <w:rFonts w:ascii="Times New Roman" w:hAnsi="Times New Roman" w:cs="Times New Roman"/>
                <w:bCs/>
                <w:iCs/>
                <w:sz w:val="16"/>
                <w:szCs w:val="16"/>
              </w:rPr>
              <w:t xml:space="preserve"> 2,5, для 5-9 років </w:t>
            </w:r>
            <w:r>
              <w:rPr>
                <w:rFonts w:ascii="Times New Roman" w:hAnsi="Times New Roman" w:cs="Times New Roman"/>
                <w:bCs/>
                <w:iCs/>
                <w:sz w:val="16"/>
                <w:szCs w:val="16"/>
              </w:rPr>
              <w:t>–</w:t>
            </w:r>
            <w:r w:rsidRPr="00983D9A">
              <w:rPr>
                <w:rFonts w:ascii="Times New Roman" w:hAnsi="Times New Roman" w:cs="Times New Roman"/>
                <w:bCs/>
                <w:iCs/>
                <w:sz w:val="16"/>
                <w:szCs w:val="16"/>
              </w:rPr>
              <w:t xml:space="preserve"> 7</w:t>
            </w:r>
            <w:r>
              <w:rPr>
                <w:rFonts w:ascii="Times New Roman" w:hAnsi="Times New Roman" w:cs="Times New Roman"/>
                <w:bCs/>
                <w:iCs/>
                <w:sz w:val="16"/>
                <w:szCs w:val="16"/>
              </w:rPr>
              <w:t>,5 тощо)</w:t>
            </w:r>
          </w:p>
        </w:tc>
      </w:tr>
      <w:tr w:rsidR="00B233DE" w:rsidRPr="008A321F" w:rsidTr="0023489B">
        <w:trPr>
          <w:jc w:val="center"/>
        </w:trPr>
        <w:tc>
          <w:tcPr>
            <w:tcW w:w="1809" w:type="dxa"/>
            <w:vAlign w:val="center"/>
          </w:tcPr>
          <w:p w:rsidR="00B233DE" w:rsidRPr="00983D9A" w:rsidRDefault="00B233DE" w:rsidP="0023489B">
            <w:pPr>
              <w:widowControl w:val="0"/>
              <w:tabs>
                <w:tab w:val="left" w:pos="142"/>
              </w:tabs>
              <w:overflowPunct w:val="0"/>
              <w:autoSpaceDE w:val="0"/>
              <w:autoSpaceDN w:val="0"/>
              <w:adjustRightInd w:val="0"/>
              <w:ind w:right="-108" w:firstLine="0"/>
              <w:jc w:val="center"/>
              <w:rPr>
                <w:rFonts w:ascii="Times New Roman" w:hAnsi="Times New Roman" w:cs="Times New Roman"/>
                <w:bCs/>
                <w:iCs/>
                <w:sz w:val="16"/>
                <w:szCs w:val="16"/>
              </w:rPr>
            </w:pPr>
            <w:r w:rsidRPr="00983D9A">
              <w:rPr>
                <w:rFonts w:ascii="Times New Roman" w:hAnsi="Times New Roman" w:cs="Times New Roman"/>
                <w:bCs/>
                <w:iCs/>
                <w:sz w:val="16"/>
                <w:szCs w:val="16"/>
              </w:rPr>
              <w:t>Медіанний вік</w:t>
            </w:r>
          </w:p>
        </w:tc>
        <w:tc>
          <w:tcPr>
            <w:tcW w:w="4531" w:type="dxa"/>
          </w:tcPr>
          <w:p w:rsidR="00B233DE" w:rsidRPr="00983D9A" w:rsidRDefault="00B233DE" w:rsidP="0023489B">
            <w:pPr>
              <w:widowControl w:val="0"/>
              <w:tabs>
                <w:tab w:val="left" w:pos="142"/>
              </w:tabs>
              <w:overflowPunct w:val="0"/>
              <w:autoSpaceDE w:val="0"/>
              <w:autoSpaceDN w:val="0"/>
              <w:adjustRightInd w:val="0"/>
              <w:ind w:firstLine="0"/>
              <w:jc w:val="both"/>
              <w:rPr>
                <w:rFonts w:ascii="Times New Roman" w:hAnsi="Times New Roman" w:cs="Times New Roman"/>
                <w:bCs/>
                <w:iCs/>
                <w:sz w:val="16"/>
                <w:szCs w:val="16"/>
              </w:rPr>
            </w:pPr>
            <w:r w:rsidRPr="00983D9A">
              <w:rPr>
                <w:rFonts w:ascii="Times New Roman" w:hAnsi="Times New Roman" w:cs="Times New Roman"/>
                <w:bCs/>
                <w:iCs/>
                <w:sz w:val="16"/>
                <w:szCs w:val="16"/>
              </w:rPr>
              <w:t>Медіанний вік ділить все населення на дві рівні частини: м</w:t>
            </w:r>
            <w:r>
              <w:rPr>
                <w:rFonts w:ascii="Times New Roman" w:hAnsi="Times New Roman" w:cs="Times New Roman"/>
                <w:bCs/>
                <w:iCs/>
                <w:sz w:val="16"/>
                <w:szCs w:val="16"/>
              </w:rPr>
              <w:t>олодше і старше медіанного віку</w:t>
            </w:r>
          </w:p>
        </w:tc>
      </w:tr>
      <w:tr w:rsidR="00B233DE" w:rsidRPr="008A321F" w:rsidTr="0023489B">
        <w:trPr>
          <w:jc w:val="center"/>
        </w:trPr>
        <w:tc>
          <w:tcPr>
            <w:tcW w:w="1809" w:type="dxa"/>
            <w:vAlign w:val="center"/>
          </w:tcPr>
          <w:p w:rsidR="00B233DE" w:rsidRPr="00983D9A" w:rsidRDefault="00B233DE" w:rsidP="0023489B">
            <w:pPr>
              <w:widowControl w:val="0"/>
              <w:tabs>
                <w:tab w:val="left" w:pos="142"/>
              </w:tabs>
              <w:overflowPunct w:val="0"/>
              <w:autoSpaceDE w:val="0"/>
              <w:autoSpaceDN w:val="0"/>
              <w:adjustRightInd w:val="0"/>
              <w:ind w:right="-108" w:firstLine="0"/>
              <w:jc w:val="center"/>
              <w:rPr>
                <w:rFonts w:ascii="Times New Roman" w:hAnsi="Times New Roman" w:cs="Times New Roman"/>
                <w:bCs/>
                <w:iCs/>
                <w:sz w:val="16"/>
                <w:szCs w:val="16"/>
              </w:rPr>
            </w:pPr>
            <w:r w:rsidRPr="00983D9A">
              <w:rPr>
                <w:rFonts w:ascii="Times New Roman" w:hAnsi="Times New Roman" w:cs="Times New Roman"/>
                <w:bCs/>
                <w:iCs/>
                <w:sz w:val="16"/>
                <w:szCs w:val="16"/>
              </w:rPr>
              <w:t>Частка населення молодшого за праце</w:t>
            </w:r>
            <w:r>
              <w:rPr>
                <w:rFonts w:ascii="Times New Roman" w:hAnsi="Times New Roman" w:cs="Times New Roman"/>
                <w:bCs/>
                <w:iCs/>
                <w:sz w:val="16"/>
                <w:szCs w:val="16"/>
              </w:rPr>
              <w:t xml:space="preserve">-здатний вік </w:t>
            </w:r>
            <w:r w:rsidRPr="00983D9A">
              <w:rPr>
                <w:rFonts w:ascii="Times New Roman" w:hAnsi="Times New Roman" w:cs="Times New Roman"/>
                <w:bCs/>
                <w:iCs/>
                <w:sz w:val="16"/>
                <w:szCs w:val="16"/>
              </w:rPr>
              <w:t>(праце</w:t>
            </w:r>
            <w:r>
              <w:rPr>
                <w:rFonts w:ascii="Times New Roman" w:hAnsi="Times New Roman" w:cs="Times New Roman"/>
                <w:bCs/>
                <w:iCs/>
                <w:sz w:val="16"/>
                <w:szCs w:val="16"/>
              </w:rPr>
              <w:t xml:space="preserve">-здатного віку, </w:t>
            </w:r>
            <w:r w:rsidRPr="00983D9A">
              <w:rPr>
                <w:rFonts w:ascii="Times New Roman" w:hAnsi="Times New Roman" w:cs="Times New Roman"/>
                <w:bCs/>
                <w:iCs/>
                <w:sz w:val="16"/>
                <w:szCs w:val="16"/>
              </w:rPr>
              <w:t>старше працездатного віку)</w:t>
            </w:r>
          </w:p>
        </w:tc>
        <w:tc>
          <w:tcPr>
            <w:tcW w:w="4531" w:type="dxa"/>
          </w:tcPr>
          <w:p w:rsidR="00B233DE" w:rsidRDefault="00B233DE" w:rsidP="0023489B">
            <w:pPr>
              <w:widowControl w:val="0"/>
              <w:tabs>
                <w:tab w:val="left" w:pos="142"/>
              </w:tabs>
              <w:overflowPunct w:val="0"/>
              <w:autoSpaceDE w:val="0"/>
              <w:autoSpaceDN w:val="0"/>
              <w:adjustRightInd w:val="0"/>
              <w:ind w:firstLine="0"/>
              <w:jc w:val="both"/>
              <w:rPr>
                <w:rFonts w:ascii="Times New Roman" w:hAnsi="Times New Roman" w:cs="Times New Roman"/>
                <w:bCs/>
                <w:iCs/>
                <w:sz w:val="16"/>
                <w:szCs w:val="16"/>
              </w:rPr>
            </w:pPr>
            <w:r w:rsidRPr="00983D9A">
              <w:rPr>
                <w:rFonts w:ascii="Times New Roman" w:hAnsi="Times New Roman" w:cs="Times New Roman"/>
                <w:bCs/>
                <w:iCs/>
                <w:sz w:val="16"/>
                <w:szCs w:val="16"/>
              </w:rPr>
              <w:t xml:space="preserve">Відношення чисельності осіб молодшого за працездатний вік </w:t>
            </w:r>
          </w:p>
          <w:p w:rsidR="00B233DE" w:rsidRPr="00983D9A" w:rsidRDefault="00B233DE" w:rsidP="0023489B">
            <w:pPr>
              <w:widowControl w:val="0"/>
              <w:tabs>
                <w:tab w:val="left" w:pos="142"/>
              </w:tabs>
              <w:overflowPunct w:val="0"/>
              <w:autoSpaceDE w:val="0"/>
              <w:autoSpaceDN w:val="0"/>
              <w:adjustRightInd w:val="0"/>
              <w:ind w:firstLine="0"/>
              <w:jc w:val="both"/>
              <w:rPr>
                <w:rFonts w:ascii="Times New Roman" w:hAnsi="Times New Roman" w:cs="Times New Roman"/>
                <w:bCs/>
                <w:iCs/>
                <w:sz w:val="16"/>
                <w:szCs w:val="16"/>
              </w:rPr>
            </w:pPr>
            <w:r w:rsidRPr="00983D9A">
              <w:rPr>
                <w:rFonts w:ascii="Times New Roman" w:hAnsi="Times New Roman" w:cs="Times New Roman"/>
                <w:bCs/>
                <w:iCs/>
                <w:sz w:val="16"/>
                <w:szCs w:val="16"/>
              </w:rPr>
              <w:t>(в працездатному віці, пенсій</w:t>
            </w:r>
            <w:r>
              <w:rPr>
                <w:rFonts w:ascii="Times New Roman" w:hAnsi="Times New Roman" w:cs="Times New Roman"/>
                <w:bCs/>
                <w:iCs/>
                <w:sz w:val="16"/>
                <w:szCs w:val="16"/>
              </w:rPr>
              <w:t>ного віку) до всього населення</w:t>
            </w:r>
          </w:p>
        </w:tc>
      </w:tr>
      <w:tr w:rsidR="00B233DE" w:rsidRPr="008A321F" w:rsidTr="0023489B">
        <w:trPr>
          <w:jc w:val="center"/>
        </w:trPr>
        <w:tc>
          <w:tcPr>
            <w:tcW w:w="1809" w:type="dxa"/>
            <w:vAlign w:val="center"/>
          </w:tcPr>
          <w:p w:rsidR="00B233DE" w:rsidRPr="00983D9A" w:rsidRDefault="00B233DE" w:rsidP="0023489B">
            <w:pPr>
              <w:widowControl w:val="0"/>
              <w:tabs>
                <w:tab w:val="left" w:pos="142"/>
              </w:tabs>
              <w:overflowPunct w:val="0"/>
              <w:autoSpaceDE w:val="0"/>
              <w:autoSpaceDN w:val="0"/>
              <w:adjustRightInd w:val="0"/>
              <w:ind w:right="-108" w:firstLine="0"/>
              <w:jc w:val="center"/>
              <w:rPr>
                <w:rFonts w:ascii="Times New Roman" w:hAnsi="Times New Roman" w:cs="Times New Roman"/>
                <w:bCs/>
                <w:iCs/>
                <w:sz w:val="16"/>
                <w:szCs w:val="16"/>
              </w:rPr>
            </w:pPr>
            <w:r w:rsidRPr="00983D9A">
              <w:rPr>
                <w:rFonts w:ascii="Times New Roman" w:hAnsi="Times New Roman" w:cs="Times New Roman"/>
                <w:bCs/>
                <w:iCs/>
                <w:sz w:val="16"/>
                <w:szCs w:val="16"/>
              </w:rPr>
              <w:t>Частка економічно активного населення</w:t>
            </w:r>
          </w:p>
        </w:tc>
        <w:tc>
          <w:tcPr>
            <w:tcW w:w="4531" w:type="dxa"/>
          </w:tcPr>
          <w:p w:rsidR="00B233DE" w:rsidRPr="00983D9A" w:rsidRDefault="00B233DE" w:rsidP="0023489B">
            <w:pPr>
              <w:widowControl w:val="0"/>
              <w:tabs>
                <w:tab w:val="left" w:pos="142"/>
              </w:tabs>
              <w:overflowPunct w:val="0"/>
              <w:autoSpaceDE w:val="0"/>
              <w:autoSpaceDN w:val="0"/>
              <w:adjustRightInd w:val="0"/>
              <w:ind w:firstLine="0"/>
              <w:jc w:val="both"/>
              <w:rPr>
                <w:rFonts w:ascii="Times New Roman" w:hAnsi="Times New Roman" w:cs="Times New Roman"/>
                <w:bCs/>
                <w:iCs/>
                <w:sz w:val="16"/>
                <w:szCs w:val="16"/>
              </w:rPr>
            </w:pPr>
            <w:r>
              <w:rPr>
                <w:rFonts w:ascii="Times New Roman" w:hAnsi="Times New Roman" w:cs="Times New Roman"/>
                <w:bCs/>
                <w:iCs/>
                <w:sz w:val="16"/>
                <w:szCs w:val="16"/>
              </w:rPr>
              <w:t xml:space="preserve">Відношення </w:t>
            </w:r>
            <w:r w:rsidRPr="00983D9A">
              <w:rPr>
                <w:rFonts w:ascii="Times New Roman" w:hAnsi="Times New Roman" w:cs="Times New Roman"/>
                <w:bCs/>
                <w:iCs/>
                <w:sz w:val="16"/>
                <w:szCs w:val="16"/>
              </w:rPr>
              <w:t>чисельності зайнятих або</w:t>
            </w:r>
            <w:r>
              <w:rPr>
                <w:rFonts w:ascii="Times New Roman" w:hAnsi="Times New Roman" w:cs="Times New Roman"/>
                <w:bCs/>
                <w:iCs/>
                <w:sz w:val="16"/>
                <w:szCs w:val="16"/>
              </w:rPr>
              <w:t xml:space="preserve"> безробітних у віці 15–</w:t>
            </w:r>
            <w:r w:rsidRPr="00983D9A">
              <w:rPr>
                <w:rFonts w:ascii="Times New Roman" w:hAnsi="Times New Roman" w:cs="Times New Roman"/>
                <w:bCs/>
                <w:iCs/>
                <w:sz w:val="16"/>
                <w:szCs w:val="16"/>
              </w:rPr>
              <w:t>7</w:t>
            </w:r>
            <w:r>
              <w:rPr>
                <w:rFonts w:ascii="Times New Roman" w:hAnsi="Times New Roman" w:cs="Times New Roman"/>
                <w:bCs/>
                <w:iCs/>
                <w:sz w:val="16"/>
                <w:szCs w:val="16"/>
              </w:rPr>
              <w:t>0 років до всього населення</w:t>
            </w:r>
          </w:p>
        </w:tc>
      </w:tr>
      <w:tr w:rsidR="00B233DE" w:rsidRPr="008A321F" w:rsidTr="0023489B">
        <w:trPr>
          <w:jc w:val="center"/>
        </w:trPr>
        <w:tc>
          <w:tcPr>
            <w:tcW w:w="1809" w:type="dxa"/>
            <w:vAlign w:val="center"/>
          </w:tcPr>
          <w:p w:rsidR="00B233DE" w:rsidRPr="00983D9A" w:rsidRDefault="00B233DE" w:rsidP="0023489B">
            <w:pPr>
              <w:widowControl w:val="0"/>
              <w:tabs>
                <w:tab w:val="left" w:pos="142"/>
              </w:tabs>
              <w:overflowPunct w:val="0"/>
              <w:autoSpaceDE w:val="0"/>
              <w:autoSpaceDN w:val="0"/>
              <w:adjustRightInd w:val="0"/>
              <w:ind w:right="-108" w:firstLine="0"/>
              <w:jc w:val="center"/>
              <w:rPr>
                <w:rFonts w:ascii="Times New Roman" w:hAnsi="Times New Roman" w:cs="Times New Roman"/>
                <w:bCs/>
                <w:iCs/>
                <w:sz w:val="16"/>
                <w:szCs w:val="16"/>
              </w:rPr>
            </w:pPr>
            <w:r w:rsidRPr="00983D9A">
              <w:rPr>
                <w:rFonts w:ascii="Times New Roman" w:hAnsi="Times New Roman" w:cs="Times New Roman"/>
                <w:bCs/>
                <w:iCs/>
                <w:sz w:val="16"/>
                <w:szCs w:val="16"/>
              </w:rPr>
              <w:t xml:space="preserve">Демографічне </w:t>
            </w:r>
            <w:r>
              <w:rPr>
                <w:rFonts w:ascii="Times New Roman" w:hAnsi="Times New Roman" w:cs="Times New Roman"/>
                <w:bCs/>
                <w:iCs/>
                <w:sz w:val="16"/>
                <w:szCs w:val="16"/>
              </w:rPr>
              <w:t>н</w:t>
            </w:r>
            <w:r w:rsidRPr="00983D9A">
              <w:rPr>
                <w:rFonts w:ascii="Times New Roman" w:hAnsi="Times New Roman" w:cs="Times New Roman"/>
                <w:bCs/>
                <w:iCs/>
                <w:sz w:val="16"/>
                <w:szCs w:val="16"/>
              </w:rPr>
              <w:t>аван</w:t>
            </w:r>
            <w:r>
              <w:rPr>
                <w:rFonts w:ascii="Times New Roman" w:hAnsi="Times New Roman" w:cs="Times New Roman"/>
                <w:bCs/>
                <w:iCs/>
                <w:sz w:val="16"/>
                <w:szCs w:val="16"/>
              </w:rPr>
              <w:t xml:space="preserve">-таження на жителів працездатного віку особами в </w:t>
            </w:r>
            <w:r w:rsidRPr="00983D9A">
              <w:rPr>
                <w:rFonts w:ascii="Times New Roman" w:hAnsi="Times New Roman" w:cs="Times New Roman"/>
                <w:bCs/>
                <w:iCs/>
                <w:sz w:val="16"/>
                <w:szCs w:val="16"/>
              </w:rPr>
              <w:t>непраце</w:t>
            </w:r>
            <w:r>
              <w:rPr>
                <w:rFonts w:ascii="Times New Roman" w:hAnsi="Times New Roman" w:cs="Times New Roman"/>
                <w:bCs/>
                <w:iCs/>
                <w:sz w:val="16"/>
                <w:szCs w:val="16"/>
              </w:rPr>
              <w:t>-</w:t>
            </w:r>
            <w:r w:rsidRPr="00983D9A">
              <w:rPr>
                <w:rFonts w:ascii="Times New Roman" w:hAnsi="Times New Roman" w:cs="Times New Roman"/>
                <w:bCs/>
                <w:iCs/>
                <w:sz w:val="16"/>
                <w:szCs w:val="16"/>
              </w:rPr>
              <w:t>здатному</w:t>
            </w:r>
            <w:r>
              <w:rPr>
                <w:rFonts w:ascii="Times New Roman" w:hAnsi="Times New Roman" w:cs="Times New Roman"/>
                <w:bCs/>
                <w:iCs/>
                <w:sz w:val="16"/>
                <w:szCs w:val="16"/>
              </w:rPr>
              <w:t xml:space="preserve"> віці </w:t>
            </w:r>
            <w:r w:rsidRPr="00983D9A">
              <w:rPr>
                <w:rFonts w:ascii="Times New Roman" w:hAnsi="Times New Roman" w:cs="Times New Roman"/>
                <w:bCs/>
                <w:iCs/>
                <w:sz w:val="16"/>
                <w:szCs w:val="16"/>
              </w:rPr>
              <w:t>(осіб молодших за праце</w:t>
            </w:r>
            <w:r>
              <w:rPr>
                <w:rFonts w:ascii="Times New Roman" w:hAnsi="Times New Roman" w:cs="Times New Roman"/>
                <w:bCs/>
                <w:iCs/>
                <w:sz w:val="16"/>
                <w:szCs w:val="16"/>
              </w:rPr>
              <w:t>-</w:t>
            </w:r>
            <w:r w:rsidRPr="00983D9A">
              <w:rPr>
                <w:rFonts w:ascii="Times New Roman" w:hAnsi="Times New Roman" w:cs="Times New Roman"/>
                <w:bCs/>
                <w:iCs/>
                <w:sz w:val="16"/>
                <w:szCs w:val="16"/>
              </w:rPr>
              <w:t>здатний вік)</w:t>
            </w:r>
          </w:p>
        </w:tc>
        <w:tc>
          <w:tcPr>
            <w:tcW w:w="4531" w:type="dxa"/>
          </w:tcPr>
          <w:p w:rsidR="00B233DE" w:rsidRPr="00983D9A" w:rsidRDefault="00B233DE" w:rsidP="0023489B">
            <w:pPr>
              <w:widowControl w:val="0"/>
              <w:tabs>
                <w:tab w:val="left" w:pos="142"/>
              </w:tabs>
              <w:overflowPunct w:val="0"/>
              <w:autoSpaceDE w:val="0"/>
              <w:autoSpaceDN w:val="0"/>
              <w:adjustRightInd w:val="0"/>
              <w:ind w:firstLine="0"/>
              <w:jc w:val="both"/>
              <w:rPr>
                <w:rFonts w:ascii="Times New Roman" w:hAnsi="Times New Roman" w:cs="Times New Roman"/>
                <w:bCs/>
                <w:iCs/>
                <w:sz w:val="16"/>
                <w:szCs w:val="16"/>
              </w:rPr>
            </w:pPr>
            <w:r w:rsidRPr="00983D9A">
              <w:rPr>
                <w:rFonts w:ascii="Times New Roman" w:hAnsi="Times New Roman" w:cs="Times New Roman"/>
                <w:bCs/>
                <w:iCs/>
                <w:sz w:val="16"/>
                <w:szCs w:val="16"/>
              </w:rPr>
              <w:t>Частка від ділення чисельності осіб в непрацездатному віці (жінки 0-15 і 55 і старше, чоловіки 0-15 і 60 і старше) на чисельність населення в працездатному</w:t>
            </w:r>
            <w:r>
              <w:rPr>
                <w:rFonts w:ascii="Times New Roman" w:hAnsi="Times New Roman" w:cs="Times New Roman"/>
                <w:bCs/>
                <w:iCs/>
                <w:sz w:val="16"/>
                <w:szCs w:val="16"/>
              </w:rPr>
              <w:t xml:space="preserve"> віці (осіб віком від 16 років)</w:t>
            </w:r>
          </w:p>
        </w:tc>
      </w:tr>
      <w:tr w:rsidR="00B233DE" w:rsidRPr="008A321F" w:rsidTr="0023489B">
        <w:trPr>
          <w:jc w:val="center"/>
        </w:trPr>
        <w:tc>
          <w:tcPr>
            <w:tcW w:w="1809" w:type="dxa"/>
            <w:vAlign w:val="center"/>
          </w:tcPr>
          <w:p w:rsidR="00B233DE" w:rsidRPr="00983D9A" w:rsidRDefault="00B233DE" w:rsidP="0023489B">
            <w:pPr>
              <w:widowControl w:val="0"/>
              <w:tabs>
                <w:tab w:val="left" w:pos="142"/>
              </w:tabs>
              <w:overflowPunct w:val="0"/>
              <w:autoSpaceDE w:val="0"/>
              <w:autoSpaceDN w:val="0"/>
              <w:adjustRightInd w:val="0"/>
              <w:ind w:right="-108" w:firstLine="0"/>
              <w:jc w:val="center"/>
              <w:rPr>
                <w:rFonts w:ascii="Times New Roman" w:hAnsi="Times New Roman" w:cs="Times New Roman"/>
                <w:bCs/>
                <w:iCs/>
                <w:sz w:val="16"/>
                <w:szCs w:val="16"/>
              </w:rPr>
            </w:pPr>
            <w:r w:rsidRPr="00983D9A">
              <w:rPr>
                <w:rFonts w:ascii="Times New Roman" w:hAnsi="Times New Roman" w:cs="Times New Roman"/>
                <w:bCs/>
                <w:iCs/>
                <w:sz w:val="16"/>
                <w:szCs w:val="16"/>
              </w:rPr>
              <w:t>Демографічне наван</w:t>
            </w:r>
            <w:r>
              <w:rPr>
                <w:rFonts w:ascii="Times New Roman" w:hAnsi="Times New Roman" w:cs="Times New Roman"/>
                <w:bCs/>
                <w:iCs/>
                <w:sz w:val="16"/>
                <w:szCs w:val="16"/>
              </w:rPr>
              <w:t>-</w:t>
            </w:r>
            <w:r w:rsidRPr="00983D9A">
              <w:rPr>
                <w:rFonts w:ascii="Times New Roman" w:hAnsi="Times New Roman" w:cs="Times New Roman"/>
                <w:bCs/>
                <w:iCs/>
                <w:sz w:val="16"/>
                <w:szCs w:val="16"/>
              </w:rPr>
              <w:t xml:space="preserve">таження на жителів працездатного віку особами старше </w:t>
            </w:r>
          </w:p>
          <w:p w:rsidR="00B233DE" w:rsidRPr="00983D9A" w:rsidRDefault="00B233DE" w:rsidP="0023489B">
            <w:pPr>
              <w:widowControl w:val="0"/>
              <w:tabs>
                <w:tab w:val="left" w:pos="142"/>
              </w:tabs>
              <w:overflowPunct w:val="0"/>
              <w:autoSpaceDE w:val="0"/>
              <w:autoSpaceDN w:val="0"/>
              <w:adjustRightInd w:val="0"/>
              <w:ind w:right="-108" w:firstLine="0"/>
              <w:jc w:val="center"/>
              <w:rPr>
                <w:rFonts w:ascii="Times New Roman" w:hAnsi="Times New Roman" w:cs="Times New Roman"/>
                <w:bCs/>
                <w:iCs/>
                <w:sz w:val="16"/>
                <w:szCs w:val="16"/>
              </w:rPr>
            </w:pPr>
            <w:r w:rsidRPr="00983D9A">
              <w:rPr>
                <w:rFonts w:ascii="Times New Roman" w:hAnsi="Times New Roman" w:cs="Times New Roman"/>
                <w:bCs/>
                <w:iCs/>
                <w:sz w:val="16"/>
                <w:szCs w:val="16"/>
              </w:rPr>
              <w:t>працездатного віку</w:t>
            </w:r>
          </w:p>
        </w:tc>
        <w:tc>
          <w:tcPr>
            <w:tcW w:w="4531" w:type="dxa"/>
          </w:tcPr>
          <w:p w:rsidR="00B233DE" w:rsidRPr="00983D9A" w:rsidRDefault="00B233DE" w:rsidP="0023489B">
            <w:pPr>
              <w:widowControl w:val="0"/>
              <w:tabs>
                <w:tab w:val="left" w:pos="142"/>
              </w:tabs>
              <w:overflowPunct w:val="0"/>
              <w:autoSpaceDE w:val="0"/>
              <w:autoSpaceDN w:val="0"/>
              <w:adjustRightInd w:val="0"/>
              <w:ind w:firstLine="0"/>
              <w:jc w:val="both"/>
              <w:rPr>
                <w:rFonts w:ascii="Times New Roman" w:hAnsi="Times New Roman" w:cs="Times New Roman"/>
                <w:bCs/>
                <w:iCs/>
                <w:sz w:val="16"/>
                <w:szCs w:val="16"/>
              </w:rPr>
            </w:pPr>
            <w:r w:rsidRPr="00983D9A">
              <w:rPr>
                <w:rFonts w:ascii="Times New Roman" w:hAnsi="Times New Roman" w:cs="Times New Roman"/>
                <w:bCs/>
                <w:iCs/>
                <w:sz w:val="16"/>
                <w:szCs w:val="16"/>
              </w:rPr>
              <w:t>Розраховується подібним чином на жінок віком 55 років і старш</w:t>
            </w:r>
            <w:r>
              <w:rPr>
                <w:rFonts w:ascii="Times New Roman" w:hAnsi="Times New Roman" w:cs="Times New Roman"/>
                <w:bCs/>
                <w:iCs/>
                <w:sz w:val="16"/>
                <w:szCs w:val="16"/>
              </w:rPr>
              <w:t>е і чоловіків 60 років і старше</w:t>
            </w:r>
          </w:p>
        </w:tc>
      </w:tr>
      <w:tr w:rsidR="00B233DE" w:rsidRPr="008A321F" w:rsidTr="0023489B">
        <w:trPr>
          <w:jc w:val="center"/>
        </w:trPr>
        <w:tc>
          <w:tcPr>
            <w:tcW w:w="1809" w:type="dxa"/>
            <w:vAlign w:val="center"/>
          </w:tcPr>
          <w:p w:rsidR="00B233DE" w:rsidRPr="00983D9A" w:rsidRDefault="00B233DE" w:rsidP="0023489B">
            <w:pPr>
              <w:widowControl w:val="0"/>
              <w:tabs>
                <w:tab w:val="left" w:pos="142"/>
              </w:tabs>
              <w:overflowPunct w:val="0"/>
              <w:autoSpaceDE w:val="0"/>
              <w:autoSpaceDN w:val="0"/>
              <w:adjustRightInd w:val="0"/>
              <w:ind w:right="-108" w:firstLine="0"/>
              <w:jc w:val="center"/>
              <w:rPr>
                <w:rFonts w:ascii="Times New Roman" w:hAnsi="Times New Roman" w:cs="Times New Roman"/>
                <w:bCs/>
                <w:iCs/>
                <w:sz w:val="16"/>
                <w:szCs w:val="16"/>
              </w:rPr>
            </w:pPr>
            <w:r w:rsidRPr="00983D9A">
              <w:rPr>
                <w:rFonts w:ascii="Times New Roman" w:hAnsi="Times New Roman" w:cs="Times New Roman"/>
                <w:bCs/>
                <w:iCs/>
                <w:sz w:val="16"/>
                <w:szCs w:val="16"/>
              </w:rPr>
              <w:t xml:space="preserve">Коефіцієнт старіння, або </w:t>
            </w:r>
          </w:p>
          <w:p w:rsidR="00B233DE" w:rsidRPr="00983D9A" w:rsidRDefault="00B233DE" w:rsidP="0023489B">
            <w:pPr>
              <w:widowControl w:val="0"/>
              <w:tabs>
                <w:tab w:val="left" w:pos="142"/>
              </w:tabs>
              <w:overflowPunct w:val="0"/>
              <w:autoSpaceDE w:val="0"/>
              <w:autoSpaceDN w:val="0"/>
              <w:adjustRightInd w:val="0"/>
              <w:ind w:right="-108" w:firstLine="0"/>
              <w:jc w:val="center"/>
              <w:rPr>
                <w:rFonts w:ascii="Times New Roman" w:hAnsi="Times New Roman" w:cs="Times New Roman"/>
                <w:bCs/>
                <w:iCs/>
                <w:sz w:val="16"/>
                <w:szCs w:val="16"/>
              </w:rPr>
            </w:pPr>
            <w:r w:rsidRPr="00983D9A">
              <w:rPr>
                <w:rFonts w:ascii="Times New Roman" w:hAnsi="Times New Roman" w:cs="Times New Roman"/>
                <w:bCs/>
                <w:iCs/>
                <w:sz w:val="16"/>
                <w:szCs w:val="16"/>
              </w:rPr>
              <w:t>коефіцієнт демографіч</w:t>
            </w:r>
            <w:r>
              <w:rPr>
                <w:rFonts w:ascii="Times New Roman" w:hAnsi="Times New Roman" w:cs="Times New Roman"/>
                <w:bCs/>
                <w:iCs/>
                <w:sz w:val="16"/>
                <w:szCs w:val="16"/>
              </w:rPr>
              <w:t>-</w:t>
            </w:r>
            <w:r w:rsidRPr="00983D9A">
              <w:rPr>
                <w:rFonts w:ascii="Times New Roman" w:hAnsi="Times New Roman" w:cs="Times New Roman"/>
                <w:bCs/>
                <w:iCs/>
                <w:sz w:val="16"/>
                <w:szCs w:val="16"/>
              </w:rPr>
              <w:t>ної старості населення</w:t>
            </w:r>
          </w:p>
        </w:tc>
        <w:tc>
          <w:tcPr>
            <w:tcW w:w="4531" w:type="dxa"/>
          </w:tcPr>
          <w:p w:rsidR="00B233DE" w:rsidRPr="00983D9A" w:rsidRDefault="00B233DE" w:rsidP="0023489B">
            <w:pPr>
              <w:widowControl w:val="0"/>
              <w:tabs>
                <w:tab w:val="left" w:pos="142"/>
              </w:tabs>
              <w:overflowPunct w:val="0"/>
              <w:autoSpaceDE w:val="0"/>
              <w:autoSpaceDN w:val="0"/>
              <w:adjustRightInd w:val="0"/>
              <w:ind w:firstLine="0"/>
              <w:jc w:val="both"/>
              <w:rPr>
                <w:rFonts w:ascii="Times New Roman" w:hAnsi="Times New Roman" w:cs="Times New Roman"/>
                <w:bCs/>
                <w:iCs/>
                <w:sz w:val="16"/>
                <w:szCs w:val="16"/>
              </w:rPr>
            </w:pPr>
            <w:r w:rsidRPr="00983D9A">
              <w:rPr>
                <w:rFonts w:ascii="Times New Roman" w:hAnsi="Times New Roman" w:cs="Times New Roman"/>
                <w:bCs/>
                <w:iCs/>
                <w:sz w:val="16"/>
                <w:szCs w:val="16"/>
              </w:rPr>
              <w:t>Питома вага (відсоток) осіб старше 60 років у всьому населенні (теж чоловіків і жінок)</w:t>
            </w:r>
          </w:p>
        </w:tc>
      </w:tr>
    </w:tbl>
    <w:p w:rsidR="00B233DE" w:rsidRPr="00CE5EC5"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CE5EC5">
        <w:rPr>
          <w:rFonts w:ascii="Times New Roman" w:hAnsi="Times New Roman" w:cs="Times New Roman"/>
          <w:sz w:val="21"/>
          <w:szCs w:val="21"/>
        </w:rPr>
        <w:t xml:space="preserve"> </w:t>
      </w:r>
      <w:bookmarkStart w:id="79" w:name="page15"/>
      <w:bookmarkStart w:id="80" w:name="page17"/>
      <w:bookmarkEnd w:id="79"/>
      <w:bookmarkEnd w:id="80"/>
    </w:p>
    <w:p w:rsidR="00B233DE" w:rsidRPr="00CE5EC5" w:rsidRDefault="00B233DE" w:rsidP="00B233DE">
      <w:pPr>
        <w:widowControl w:val="0"/>
        <w:tabs>
          <w:tab w:val="left" w:pos="142"/>
        </w:tabs>
        <w:autoSpaceDE w:val="0"/>
        <w:autoSpaceDN w:val="0"/>
        <w:adjustRightInd w:val="0"/>
        <w:ind w:firstLine="720"/>
        <w:jc w:val="both"/>
        <w:rPr>
          <w:rFonts w:ascii="Times New Roman" w:hAnsi="Times New Roman" w:cs="Times New Roman"/>
          <w:sz w:val="21"/>
          <w:szCs w:val="21"/>
        </w:rPr>
      </w:pPr>
      <w:r w:rsidRPr="00CE5EC5">
        <w:rPr>
          <w:rFonts w:ascii="Times New Roman" w:hAnsi="Times New Roman" w:cs="Times New Roman"/>
          <w:sz w:val="21"/>
          <w:szCs w:val="21"/>
        </w:rPr>
        <w:t xml:space="preserve">Графічним зображенням структури населення за статтю та віком є віково-статеві піраміди. Віково-статева піраміда </w:t>
      </w:r>
      <w:r>
        <w:rPr>
          <w:rFonts w:ascii="Times New Roman" w:hAnsi="Times New Roman" w:cs="Times New Roman"/>
          <w:sz w:val="21"/>
          <w:szCs w:val="21"/>
        </w:rPr>
        <w:t>–</w:t>
      </w:r>
      <w:r w:rsidRPr="00CE5EC5">
        <w:rPr>
          <w:rFonts w:ascii="Times New Roman" w:hAnsi="Times New Roman" w:cs="Times New Roman"/>
          <w:sz w:val="21"/>
          <w:szCs w:val="21"/>
        </w:rPr>
        <w:t xml:space="preserve"> це двостороння діаграма, на якій число людей кожного віку і статі </w:t>
      </w:r>
      <w:r w:rsidRPr="00CE5EC5">
        <w:rPr>
          <w:rFonts w:ascii="Times New Roman" w:hAnsi="Times New Roman" w:cs="Times New Roman"/>
          <w:sz w:val="21"/>
          <w:szCs w:val="21"/>
        </w:rPr>
        <w:lastRenderedPageBreak/>
        <w:t xml:space="preserve">(або частка їх у населенні) зображено горизонтальною смугою однакового масштабу. Смуги розташовуються одна над іншою в порядку збільшення значень віку (зазвичай від 1 до 100 років), ліворуч </w:t>
      </w:r>
      <w:r>
        <w:rPr>
          <w:rFonts w:ascii="Times New Roman" w:hAnsi="Times New Roman" w:cs="Times New Roman"/>
          <w:sz w:val="21"/>
          <w:szCs w:val="21"/>
        </w:rPr>
        <w:t>–</w:t>
      </w:r>
      <w:r w:rsidRPr="00CE5EC5">
        <w:rPr>
          <w:rFonts w:ascii="Times New Roman" w:hAnsi="Times New Roman" w:cs="Times New Roman"/>
          <w:sz w:val="21"/>
          <w:szCs w:val="21"/>
        </w:rPr>
        <w:t xml:space="preserve"> для чоловіків, </w:t>
      </w:r>
      <w:r>
        <w:rPr>
          <w:rFonts w:ascii="Times New Roman" w:hAnsi="Times New Roman" w:cs="Times New Roman"/>
          <w:sz w:val="21"/>
          <w:szCs w:val="21"/>
        </w:rPr>
        <w:t>праворуч</w:t>
      </w:r>
      <w:r w:rsidRPr="00CE5EC5">
        <w:rPr>
          <w:rFonts w:ascii="Times New Roman" w:hAnsi="Times New Roman" w:cs="Times New Roman"/>
          <w:sz w:val="21"/>
          <w:szCs w:val="21"/>
        </w:rPr>
        <w:t xml:space="preserve"> </w:t>
      </w:r>
      <w:r>
        <w:rPr>
          <w:rFonts w:ascii="Times New Roman" w:hAnsi="Times New Roman" w:cs="Times New Roman"/>
          <w:sz w:val="21"/>
          <w:szCs w:val="21"/>
        </w:rPr>
        <w:t>–</w:t>
      </w:r>
      <w:r w:rsidRPr="00CE5EC5">
        <w:rPr>
          <w:rFonts w:ascii="Times New Roman" w:hAnsi="Times New Roman" w:cs="Times New Roman"/>
          <w:sz w:val="21"/>
          <w:szCs w:val="21"/>
        </w:rPr>
        <w:t xml:space="preserve"> для жінок. Віково-статеві піраміди будуються за даними переписів. Площа щаблів пірамід відповідає числу людей даного віку і статі або їх частки в населенні (при цьому довжина щабл</w:t>
      </w:r>
      <w:r>
        <w:rPr>
          <w:rFonts w:ascii="Times New Roman" w:hAnsi="Times New Roman" w:cs="Times New Roman"/>
          <w:sz w:val="21"/>
          <w:szCs w:val="21"/>
        </w:rPr>
        <w:t>ів</w:t>
      </w:r>
      <w:r w:rsidRPr="00CE5EC5">
        <w:rPr>
          <w:rFonts w:ascii="Times New Roman" w:hAnsi="Times New Roman" w:cs="Times New Roman"/>
          <w:sz w:val="21"/>
          <w:szCs w:val="21"/>
        </w:rPr>
        <w:t xml:space="preserve"> відповідає щільності даної вікової групи </w:t>
      </w:r>
      <w:r>
        <w:rPr>
          <w:rFonts w:ascii="Times New Roman" w:hAnsi="Times New Roman" w:cs="Times New Roman"/>
          <w:sz w:val="21"/>
          <w:szCs w:val="21"/>
        </w:rPr>
        <w:t>–</w:t>
      </w:r>
      <w:r w:rsidRPr="00CE5EC5">
        <w:rPr>
          <w:rFonts w:ascii="Times New Roman" w:hAnsi="Times New Roman" w:cs="Times New Roman"/>
          <w:sz w:val="21"/>
          <w:szCs w:val="21"/>
        </w:rPr>
        <w:t xml:space="preserve"> числу людей, що припадають на одиницю віку). </w:t>
      </w:r>
    </w:p>
    <w:p w:rsidR="00B233DE" w:rsidRDefault="00B233DE" w:rsidP="00B233DE">
      <w:pPr>
        <w:widowControl w:val="0"/>
        <w:tabs>
          <w:tab w:val="left" w:pos="142"/>
        </w:tabs>
        <w:autoSpaceDE w:val="0"/>
        <w:autoSpaceDN w:val="0"/>
        <w:adjustRightInd w:val="0"/>
        <w:ind w:firstLine="720"/>
        <w:jc w:val="both"/>
        <w:rPr>
          <w:rFonts w:ascii="Times New Roman" w:hAnsi="Times New Roman" w:cs="Times New Roman"/>
          <w:sz w:val="21"/>
          <w:szCs w:val="21"/>
        </w:rPr>
      </w:pPr>
      <w:r>
        <w:rPr>
          <w:rFonts w:ascii="Times New Roman" w:hAnsi="Times New Roman" w:cs="Times New Roman"/>
          <w:sz w:val="21"/>
          <w:szCs w:val="21"/>
        </w:rPr>
        <w:t xml:space="preserve">Шведський демограф А. Сундберг </w:t>
      </w:r>
      <w:r w:rsidRPr="00CE5EC5">
        <w:rPr>
          <w:rFonts w:ascii="Times New Roman" w:hAnsi="Times New Roman" w:cs="Times New Roman"/>
          <w:sz w:val="21"/>
          <w:szCs w:val="21"/>
        </w:rPr>
        <w:t xml:space="preserve">ще наприкінці XIX століття ввів в науковий обіг поняття прогресивного, стаціонарного і регресивного типів вікової структури. Названі вони були так тому, що при прогресивній віковій структурі населення збільшується, причому досить швидко, при стаціонарній </w:t>
      </w:r>
      <w:r>
        <w:rPr>
          <w:rFonts w:ascii="Times New Roman" w:hAnsi="Times New Roman" w:cs="Times New Roman"/>
          <w:sz w:val="21"/>
          <w:szCs w:val="21"/>
        </w:rPr>
        <w:t>–</w:t>
      </w:r>
      <w:r w:rsidRPr="00CE5EC5">
        <w:rPr>
          <w:rFonts w:ascii="Times New Roman" w:hAnsi="Times New Roman" w:cs="Times New Roman"/>
          <w:sz w:val="21"/>
          <w:szCs w:val="21"/>
        </w:rPr>
        <w:t xml:space="preserve"> не змінює своєї чисельності, а при регресивній </w:t>
      </w:r>
      <w:r>
        <w:rPr>
          <w:rFonts w:ascii="Times New Roman" w:hAnsi="Times New Roman" w:cs="Times New Roman"/>
          <w:sz w:val="21"/>
          <w:szCs w:val="21"/>
        </w:rPr>
        <w:t>–</w:t>
      </w:r>
      <w:r w:rsidRPr="00CE5EC5">
        <w:rPr>
          <w:rFonts w:ascii="Times New Roman" w:hAnsi="Times New Roman" w:cs="Times New Roman"/>
          <w:sz w:val="21"/>
          <w:szCs w:val="21"/>
        </w:rPr>
        <w:t xml:space="preserve"> скорочується. Відрізняються вони одна від одної часткою дітей віком 0</w:t>
      </w:r>
      <w:r>
        <w:rPr>
          <w:rFonts w:ascii="Times New Roman" w:hAnsi="Times New Roman" w:cs="Times New Roman"/>
          <w:sz w:val="21"/>
          <w:szCs w:val="21"/>
        </w:rPr>
        <w:t xml:space="preserve"> – </w:t>
      </w:r>
      <w:r w:rsidRPr="00CE5EC5">
        <w:rPr>
          <w:rFonts w:ascii="Times New Roman" w:hAnsi="Times New Roman" w:cs="Times New Roman"/>
          <w:sz w:val="21"/>
          <w:szCs w:val="21"/>
        </w:rPr>
        <w:t>15 років і «літніх людей» у віці 50 років і старше. В прогресивній віковій структурі частка дітей складає, по Сундбергу, 40</w:t>
      </w:r>
      <w:r>
        <w:rPr>
          <w:rFonts w:ascii="Times New Roman" w:hAnsi="Times New Roman" w:cs="Times New Roman"/>
          <w:sz w:val="21"/>
          <w:szCs w:val="21"/>
        </w:rPr>
        <w:t xml:space="preserve"> </w:t>
      </w:r>
      <w:r w:rsidRPr="00CE5EC5">
        <w:rPr>
          <w:rFonts w:ascii="Times New Roman" w:hAnsi="Times New Roman" w:cs="Times New Roman"/>
          <w:sz w:val="21"/>
          <w:szCs w:val="21"/>
        </w:rPr>
        <w:t xml:space="preserve">%, а «літніх людей» </w:t>
      </w:r>
      <w:r>
        <w:rPr>
          <w:rFonts w:ascii="Times New Roman" w:hAnsi="Times New Roman" w:cs="Times New Roman"/>
          <w:sz w:val="21"/>
          <w:szCs w:val="21"/>
        </w:rPr>
        <w:t>–</w:t>
      </w:r>
      <w:r w:rsidRPr="00CE5EC5">
        <w:rPr>
          <w:rFonts w:ascii="Times New Roman" w:hAnsi="Times New Roman" w:cs="Times New Roman"/>
          <w:sz w:val="21"/>
          <w:szCs w:val="21"/>
        </w:rPr>
        <w:t xml:space="preserve"> 10</w:t>
      </w:r>
      <w:r>
        <w:rPr>
          <w:rFonts w:ascii="Times New Roman" w:hAnsi="Times New Roman" w:cs="Times New Roman"/>
          <w:sz w:val="21"/>
          <w:szCs w:val="21"/>
        </w:rPr>
        <w:t xml:space="preserve"> </w:t>
      </w:r>
      <w:r w:rsidRPr="00CE5EC5">
        <w:rPr>
          <w:rFonts w:ascii="Times New Roman" w:hAnsi="Times New Roman" w:cs="Times New Roman"/>
          <w:sz w:val="21"/>
          <w:szCs w:val="21"/>
        </w:rPr>
        <w:t xml:space="preserve">%, в стаціонарній відповідно </w:t>
      </w:r>
      <w:r>
        <w:rPr>
          <w:rFonts w:ascii="Times New Roman" w:hAnsi="Times New Roman" w:cs="Times New Roman"/>
          <w:sz w:val="21"/>
          <w:szCs w:val="21"/>
        </w:rPr>
        <w:t>–</w:t>
      </w:r>
      <w:r w:rsidRPr="00CE5EC5">
        <w:rPr>
          <w:rFonts w:ascii="Times New Roman" w:hAnsi="Times New Roman" w:cs="Times New Roman"/>
          <w:sz w:val="21"/>
          <w:szCs w:val="21"/>
        </w:rPr>
        <w:t xml:space="preserve"> 27</w:t>
      </w:r>
      <w:r>
        <w:rPr>
          <w:rFonts w:ascii="Times New Roman" w:hAnsi="Times New Roman" w:cs="Times New Roman"/>
          <w:sz w:val="21"/>
          <w:szCs w:val="21"/>
        </w:rPr>
        <w:t xml:space="preserve"> </w:t>
      </w:r>
      <w:r w:rsidRPr="00CE5EC5">
        <w:rPr>
          <w:rFonts w:ascii="Times New Roman" w:hAnsi="Times New Roman" w:cs="Times New Roman"/>
          <w:sz w:val="21"/>
          <w:szCs w:val="21"/>
        </w:rPr>
        <w:t>% і 23</w:t>
      </w:r>
      <w:r>
        <w:rPr>
          <w:rFonts w:ascii="Times New Roman" w:hAnsi="Times New Roman" w:cs="Times New Roman"/>
          <w:sz w:val="21"/>
          <w:szCs w:val="21"/>
        </w:rPr>
        <w:t xml:space="preserve"> </w:t>
      </w:r>
      <w:r w:rsidRPr="00CE5EC5">
        <w:rPr>
          <w:rFonts w:ascii="Times New Roman" w:hAnsi="Times New Roman" w:cs="Times New Roman"/>
          <w:sz w:val="21"/>
          <w:szCs w:val="21"/>
        </w:rPr>
        <w:t xml:space="preserve">%, а в регресивній </w:t>
      </w:r>
      <w:r>
        <w:rPr>
          <w:rFonts w:ascii="Times New Roman" w:hAnsi="Times New Roman" w:cs="Times New Roman"/>
          <w:sz w:val="21"/>
          <w:szCs w:val="21"/>
        </w:rPr>
        <w:t>–</w:t>
      </w:r>
      <w:r w:rsidRPr="00CE5EC5">
        <w:rPr>
          <w:rFonts w:ascii="Times New Roman" w:hAnsi="Times New Roman" w:cs="Times New Roman"/>
          <w:sz w:val="21"/>
          <w:szCs w:val="21"/>
        </w:rPr>
        <w:t xml:space="preserve"> 20</w:t>
      </w:r>
      <w:r>
        <w:rPr>
          <w:rFonts w:ascii="Times New Roman" w:hAnsi="Times New Roman" w:cs="Times New Roman"/>
          <w:sz w:val="21"/>
          <w:szCs w:val="21"/>
        </w:rPr>
        <w:t xml:space="preserve"> </w:t>
      </w:r>
      <w:r w:rsidRPr="00CE5EC5">
        <w:rPr>
          <w:rFonts w:ascii="Times New Roman" w:hAnsi="Times New Roman" w:cs="Times New Roman"/>
          <w:sz w:val="21"/>
          <w:szCs w:val="21"/>
        </w:rPr>
        <w:t>% і 30</w:t>
      </w:r>
      <w:r>
        <w:rPr>
          <w:rFonts w:ascii="Times New Roman" w:hAnsi="Times New Roman" w:cs="Times New Roman"/>
          <w:sz w:val="21"/>
          <w:szCs w:val="21"/>
        </w:rPr>
        <w:t> </w:t>
      </w:r>
      <w:r w:rsidRPr="00CE5EC5">
        <w:rPr>
          <w:rFonts w:ascii="Times New Roman" w:hAnsi="Times New Roman" w:cs="Times New Roman"/>
          <w:sz w:val="21"/>
          <w:szCs w:val="21"/>
        </w:rPr>
        <w:t>%.</w:t>
      </w:r>
    </w:p>
    <w:p w:rsidR="00B233DE" w:rsidRDefault="00B233DE" w:rsidP="00B233DE">
      <w:pPr>
        <w:widowControl w:val="0"/>
        <w:tabs>
          <w:tab w:val="left" w:pos="142"/>
        </w:tabs>
        <w:autoSpaceDE w:val="0"/>
        <w:autoSpaceDN w:val="0"/>
        <w:adjustRightInd w:val="0"/>
        <w:ind w:firstLine="720"/>
        <w:jc w:val="both"/>
        <w:rPr>
          <w:rFonts w:ascii="Times New Roman" w:hAnsi="Times New Roman" w:cs="Times New Roman"/>
          <w:sz w:val="21"/>
          <w:szCs w:val="21"/>
        </w:rPr>
      </w:pPr>
      <w:r w:rsidRPr="00CE5EC5">
        <w:rPr>
          <w:rFonts w:ascii="Times New Roman" w:hAnsi="Times New Roman" w:cs="Times New Roman"/>
          <w:sz w:val="21"/>
          <w:szCs w:val="21"/>
        </w:rPr>
        <w:t>Цим типам вікової структури відповідають типи вікових пірамід, запропонованих в 1930-</w:t>
      </w:r>
      <w:r>
        <w:rPr>
          <w:rFonts w:ascii="Times New Roman" w:hAnsi="Times New Roman" w:cs="Times New Roman"/>
          <w:sz w:val="21"/>
          <w:szCs w:val="21"/>
        </w:rPr>
        <w:t>ті рр. німецьким статистиком Ф. </w:t>
      </w:r>
      <w:r w:rsidRPr="00CE5EC5">
        <w:rPr>
          <w:rFonts w:ascii="Times New Roman" w:hAnsi="Times New Roman" w:cs="Times New Roman"/>
          <w:sz w:val="21"/>
          <w:szCs w:val="21"/>
        </w:rPr>
        <w:t>Бургдерфером</w:t>
      </w:r>
      <w:r>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_Ref433791817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38</w:t>
      </w:r>
      <w:r>
        <w:rPr>
          <w:rFonts w:ascii="Times New Roman" w:hAnsi="Times New Roman" w:cs="Times New Roman"/>
          <w:sz w:val="21"/>
          <w:szCs w:val="21"/>
          <w:highlight w:val="yellow"/>
        </w:rPr>
        <w:fldChar w:fldCharType="end"/>
      </w:r>
      <w:r>
        <w:rPr>
          <w:rFonts w:ascii="Times New Roman" w:hAnsi="Times New Roman" w:cs="Times New Roman"/>
          <w:sz w:val="21"/>
          <w:szCs w:val="21"/>
        </w:rPr>
        <w:t>] (рис. 2.1)</w:t>
      </w:r>
      <w:r w:rsidRPr="00CE5EC5">
        <w:rPr>
          <w:rFonts w:ascii="Times New Roman" w:hAnsi="Times New Roman" w:cs="Times New Roman"/>
          <w:sz w:val="21"/>
          <w:szCs w:val="21"/>
        </w:rPr>
        <w:t>.</w:t>
      </w:r>
    </w:p>
    <w:p w:rsidR="00B233DE" w:rsidRPr="00CE5EC5" w:rsidRDefault="00B233DE" w:rsidP="00B233DE">
      <w:pPr>
        <w:widowControl w:val="0"/>
        <w:tabs>
          <w:tab w:val="left" w:pos="142"/>
        </w:tabs>
        <w:autoSpaceDE w:val="0"/>
        <w:autoSpaceDN w:val="0"/>
        <w:adjustRightInd w:val="0"/>
        <w:ind w:firstLine="720"/>
        <w:jc w:val="both"/>
        <w:rPr>
          <w:rFonts w:ascii="Times New Roman" w:hAnsi="Times New Roman" w:cs="Times New Roman"/>
          <w:sz w:val="21"/>
          <w:szCs w:val="21"/>
        </w:rPr>
      </w:pPr>
    </w:p>
    <w:p w:rsidR="00B233DE" w:rsidRPr="009649D6" w:rsidRDefault="00B233DE" w:rsidP="00B233DE">
      <w:pPr>
        <w:jc w:val="both"/>
        <w:rPr>
          <w:rFonts w:ascii="Times New Roman" w:hAnsi="Times New Roman" w:cs="Times New Roman"/>
          <w:sz w:val="4"/>
          <w:szCs w:val="4"/>
        </w:rPr>
      </w:pPr>
      <w:r w:rsidRPr="008175A1">
        <w:rPr>
          <w:rFonts w:ascii="Times New Roman" w:hAnsi="Times New Roman" w:cs="Times New Roman"/>
          <w:noProof/>
          <w:sz w:val="21"/>
          <w:szCs w:val="21"/>
          <w:lang w:val="ru-RU" w:eastAsia="ru-RU"/>
        </w:rPr>
        <w:drawing>
          <wp:anchor distT="0" distB="0" distL="114300" distR="114300" simplePos="0" relativeHeight="251666432" behindDoc="1" locked="0" layoutInCell="0" allowOverlap="1" wp14:anchorId="42912AFF" wp14:editId="562B5971">
            <wp:simplePos x="0" y="0"/>
            <wp:positionH relativeFrom="margin">
              <wp:posOffset>139065</wp:posOffset>
            </wp:positionH>
            <wp:positionV relativeFrom="paragraph">
              <wp:posOffset>37465</wp:posOffset>
            </wp:positionV>
            <wp:extent cx="3810000" cy="1200150"/>
            <wp:effectExtent l="0" t="0" r="0" b="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810000" cy="120015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1"/>
          <w:szCs w:val="21"/>
          <w:lang w:val="ru-RU" w:eastAsia="ru-RU"/>
        </w:rPr>
        <w:drawing>
          <wp:anchor distT="0" distB="0" distL="114300" distR="114300" simplePos="0" relativeHeight="251663360" behindDoc="1" locked="0" layoutInCell="0" allowOverlap="1" wp14:anchorId="581337F7" wp14:editId="7456D87E">
            <wp:simplePos x="0" y="0"/>
            <wp:positionH relativeFrom="margin">
              <wp:posOffset>1924050</wp:posOffset>
            </wp:positionH>
            <wp:positionV relativeFrom="paragraph">
              <wp:posOffset>5398135</wp:posOffset>
            </wp:positionV>
            <wp:extent cx="4143375" cy="1524000"/>
            <wp:effectExtent l="0" t="0" r="9525" b="0"/>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143375" cy="1524000"/>
                    </a:xfrm>
                    <a:prstGeom prst="rect">
                      <a:avLst/>
                    </a:prstGeom>
                    <a:noFill/>
                  </pic:spPr>
                </pic:pic>
              </a:graphicData>
            </a:graphic>
            <wp14:sizeRelH relativeFrom="page">
              <wp14:pctWidth>0</wp14:pctWidth>
            </wp14:sizeRelH>
            <wp14:sizeRelV relativeFrom="page">
              <wp14:pctHeight>0</wp14:pctHeight>
            </wp14:sizeRelV>
          </wp:anchor>
        </w:drawing>
      </w:r>
    </w:p>
    <w:tbl>
      <w:tblPr>
        <w:tblpPr w:vertAnchor="page" w:horzAnchor="margin" w:tblpY="8589"/>
        <w:tblOverlap w:val="never"/>
        <w:tblW w:w="5959" w:type="dxa"/>
        <w:tblLayout w:type="fixed"/>
        <w:tblCellMar>
          <w:left w:w="0" w:type="dxa"/>
          <w:right w:w="0" w:type="dxa"/>
        </w:tblCellMar>
        <w:tblLook w:val="0000" w:firstRow="0" w:lastRow="0" w:firstColumn="0" w:lastColumn="0" w:noHBand="0" w:noVBand="0"/>
      </w:tblPr>
      <w:tblGrid>
        <w:gridCol w:w="1843"/>
        <w:gridCol w:w="2268"/>
        <w:gridCol w:w="1848"/>
      </w:tblGrid>
      <w:tr w:rsidR="00B233DE" w:rsidRPr="008175A1" w:rsidTr="0023489B">
        <w:trPr>
          <w:trHeight w:val="137"/>
        </w:trPr>
        <w:tc>
          <w:tcPr>
            <w:tcW w:w="1843" w:type="dxa"/>
            <w:vAlign w:val="bottom"/>
          </w:tcPr>
          <w:p w:rsidR="00B233DE" w:rsidRPr="009649D6" w:rsidRDefault="00B233DE" w:rsidP="0023489B">
            <w:pPr>
              <w:widowControl w:val="0"/>
              <w:tabs>
                <w:tab w:val="left" w:pos="142"/>
              </w:tabs>
              <w:autoSpaceDE w:val="0"/>
              <w:autoSpaceDN w:val="0"/>
              <w:adjustRightInd w:val="0"/>
              <w:ind w:firstLine="0"/>
              <w:jc w:val="center"/>
              <w:rPr>
                <w:rFonts w:ascii="Times New Roman" w:hAnsi="Times New Roman" w:cs="Times New Roman"/>
                <w:w w:val="90"/>
                <w:sz w:val="18"/>
                <w:szCs w:val="18"/>
              </w:rPr>
            </w:pPr>
            <w:r w:rsidRPr="00B757E6">
              <w:rPr>
                <w:rFonts w:ascii="Times New Roman" w:hAnsi="Times New Roman" w:cs="Times New Roman"/>
                <w:w w:val="90"/>
                <w:sz w:val="18"/>
                <w:szCs w:val="18"/>
                <w:lang w:val="ru-RU"/>
              </w:rPr>
              <w:t xml:space="preserve">      </w:t>
            </w:r>
            <w:r w:rsidRPr="009649D6">
              <w:rPr>
                <w:rFonts w:ascii="Times New Roman" w:hAnsi="Times New Roman" w:cs="Times New Roman"/>
                <w:w w:val="90"/>
                <w:sz w:val="18"/>
                <w:szCs w:val="18"/>
              </w:rPr>
              <w:t>Молоде (зростаюче)</w:t>
            </w:r>
          </w:p>
        </w:tc>
        <w:tc>
          <w:tcPr>
            <w:tcW w:w="2268" w:type="dxa"/>
            <w:vAlign w:val="bottom"/>
          </w:tcPr>
          <w:p w:rsidR="00B233DE" w:rsidRPr="009649D6" w:rsidRDefault="00B233DE" w:rsidP="0023489B">
            <w:pPr>
              <w:widowControl w:val="0"/>
              <w:tabs>
                <w:tab w:val="left" w:pos="142"/>
              </w:tabs>
              <w:autoSpaceDE w:val="0"/>
              <w:autoSpaceDN w:val="0"/>
              <w:adjustRightInd w:val="0"/>
              <w:ind w:firstLine="0"/>
              <w:jc w:val="center"/>
              <w:rPr>
                <w:rFonts w:ascii="Times New Roman" w:hAnsi="Times New Roman" w:cs="Times New Roman"/>
                <w:sz w:val="18"/>
                <w:szCs w:val="18"/>
              </w:rPr>
            </w:pPr>
            <w:r>
              <w:rPr>
                <w:rFonts w:ascii="Times New Roman" w:hAnsi="Times New Roman" w:cs="Times New Roman"/>
                <w:w w:val="88"/>
                <w:sz w:val="18"/>
                <w:szCs w:val="18"/>
                <w:lang w:val="en-US"/>
              </w:rPr>
              <w:t xml:space="preserve">     </w:t>
            </w:r>
            <w:r w:rsidRPr="009649D6">
              <w:rPr>
                <w:rFonts w:ascii="Times New Roman" w:hAnsi="Times New Roman" w:cs="Times New Roman"/>
                <w:w w:val="88"/>
                <w:sz w:val="18"/>
                <w:szCs w:val="18"/>
              </w:rPr>
              <w:t>Пристаріле</w:t>
            </w:r>
          </w:p>
        </w:tc>
        <w:tc>
          <w:tcPr>
            <w:tcW w:w="1848" w:type="dxa"/>
            <w:vAlign w:val="bottom"/>
          </w:tcPr>
          <w:p w:rsidR="00B233DE" w:rsidRPr="009649D6" w:rsidRDefault="00B233DE" w:rsidP="0023489B">
            <w:pPr>
              <w:widowControl w:val="0"/>
              <w:tabs>
                <w:tab w:val="left" w:pos="142"/>
              </w:tabs>
              <w:autoSpaceDE w:val="0"/>
              <w:autoSpaceDN w:val="0"/>
              <w:adjustRightInd w:val="0"/>
              <w:ind w:firstLine="0"/>
              <w:jc w:val="center"/>
              <w:rPr>
                <w:rFonts w:ascii="Times New Roman" w:hAnsi="Times New Roman" w:cs="Times New Roman"/>
                <w:sz w:val="18"/>
                <w:szCs w:val="18"/>
              </w:rPr>
            </w:pPr>
            <w:r>
              <w:rPr>
                <w:rFonts w:ascii="Times New Roman" w:hAnsi="Times New Roman" w:cs="Times New Roman"/>
                <w:w w:val="89"/>
                <w:sz w:val="18"/>
                <w:szCs w:val="18"/>
                <w:lang w:val="en-US"/>
              </w:rPr>
              <w:t xml:space="preserve">                </w:t>
            </w:r>
            <w:r w:rsidRPr="009649D6">
              <w:rPr>
                <w:rFonts w:ascii="Times New Roman" w:hAnsi="Times New Roman" w:cs="Times New Roman"/>
                <w:w w:val="89"/>
                <w:sz w:val="18"/>
                <w:szCs w:val="18"/>
              </w:rPr>
              <w:t>Дуже старе</w:t>
            </w:r>
          </w:p>
        </w:tc>
      </w:tr>
      <w:tr w:rsidR="00B233DE" w:rsidRPr="008175A1" w:rsidTr="0023489B">
        <w:trPr>
          <w:trHeight w:val="197"/>
        </w:trPr>
        <w:tc>
          <w:tcPr>
            <w:tcW w:w="1843" w:type="dxa"/>
            <w:vAlign w:val="bottom"/>
          </w:tcPr>
          <w:p w:rsidR="00B233DE" w:rsidRPr="009649D6" w:rsidRDefault="00B233DE" w:rsidP="0023489B">
            <w:pPr>
              <w:widowControl w:val="0"/>
              <w:tabs>
                <w:tab w:val="left" w:pos="142"/>
              </w:tabs>
              <w:autoSpaceDE w:val="0"/>
              <w:autoSpaceDN w:val="0"/>
              <w:adjustRightInd w:val="0"/>
              <w:ind w:firstLine="0"/>
              <w:jc w:val="center"/>
              <w:rPr>
                <w:rFonts w:ascii="Times New Roman" w:hAnsi="Times New Roman" w:cs="Times New Roman"/>
                <w:sz w:val="18"/>
                <w:szCs w:val="18"/>
              </w:rPr>
            </w:pPr>
            <w:r>
              <w:rPr>
                <w:rFonts w:ascii="Times New Roman" w:hAnsi="Times New Roman" w:cs="Times New Roman"/>
                <w:w w:val="86"/>
                <w:sz w:val="18"/>
                <w:szCs w:val="18"/>
                <w:lang w:val="en-US"/>
              </w:rPr>
              <w:t xml:space="preserve">       </w:t>
            </w:r>
            <w:r w:rsidRPr="009649D6">
              <w:rPr>
                <w:rFonts w:ascii="Times New Roman" w:hAnsi="Times New Roman" w:cs="Times New Roman"/>
                <w:w w:val="86"/>
                <w:sz w:val="18"/>
                <w:szCs w:val="18"/>
              </w:rPr>
              <w:t>населення</w:t>
            </w:r>
          </w:p>
        </w:tc>
        <w:tc>
          <w:tcPr>
            <w:tcW w:w="2268" w:type="dxa"/>
            <w:vAlign w:val="bottom"/>
          </w:tcPr>
          <w:p w:rsidR="00B233DE" w:rsidRPr="009649D6" w:rsidRDefault="00B233DE" w:rsidP="0023489B">
            <w:pPr>
              <w:widowControl w:val="0"/>
              <w:tabs>
                <w:tab w:val="left" w:pos="142"/>
              </w:tabs>
              <w:autoSpaceDE w:val="0"/>
              <w:autoSpaceDN w:val="0"/>
              <w:adjustRightInd w:val="0"/>
              <w:ind w:firstLine="0"/>
              <w:jc w:val="center"/>
              <w:rPr>
                <w:rFonts w:ascii="Times New Roman" w:hAnsi="Times New Roman" w:cs="Times New Roman"/>
                <w:sz w:val="18"/>
                <w:szCs w:val="18"/>
              </w:rPr>
            </w:pPr>
            <w:r>
              <w:rPr>
                <w:rFonts w:ascii="Times New Roman" w:hAnsi="Times New Roman" w:cs="Times New Roman"/>
                <w:w w:val="90"/>
                <w:sz w:val="18"/>
                <w:szCs w:val="18"/>
                <w:lang w:val="en-US"/>
              </w:rPr>
              <w:t xml:space="preserve">      </w:t>
            </w:r>
            <w:r w:rsidRPr="009649D6">
              <w:rPr>
                <w:rFonts w:ascii="Times New Roman" w:hAnsi="Times New Roman" w:cs="Times New Roman"/>
                <w:w w:val="90"/>
                <w:sz w:val="18"/>
                <w:szCs w:val="18"/>
              </w:rPr>
              <w:t>(стаціонарне)</w:t>
            </w:r>
          </w:p>
        </w:tc>
        <w:tc>
          <w:tcPr>
            <w:tcW w:w="1848" w:type="dxa"/>
            <w:vAlign w:val="bottom"/>
          </w:tcPr>
          <w:p w:rsidR="00B233DE" w:rsidRPr="009649D6" w:rsidRDefault="00B233DE" w:rsidP="0023489B">
            <w:pPr>
              <w:widowControl w:val="0"/>
              <w:tabs>
                <w:tab w:val="left" w:pos="142"/>
              </w:tabs>
              <w:autoSpaceDE w:val="0"/>
              <w:autoSpaceDN w:val="0"/>
              <w:adjustRightInd w:val="0"/>
              <w:ind w:firstLine="0"/>
              <w:jc w:val="center"/>
              <w:rPr>
                <w:rFonts w:ascii="Times New Roman" w:hAnsi="Times New Roman" w:cs="Times New Roman"/>
                <w:sz w:val="18"/>
                <w:szCs w:val="18"/>
              </w:rPr>
            </w:pPr>
            <w:r>
              <w:rPr>
                <w:rFonts w:ascii="Times New Roman" w:hAnsi="Times New Roman" w:cs="Times New Roman"/>
                <w:w w:val="90"/>
                <w:sz w:val="18"/>
                <w:szCs w:val="18"/>
                <w:lang w:val="en-US"/>
              </w:rPr>
              <w:t xml:space="preserve">                </w:t>
            </w:r>
            <w:r w:rsidRPr="009649D6">
              <w:rPr>
                <w:rFonts w:ascii="Times New Roman" w:hAnsi="Times New Roman" w:cs="Times New Roman"/>
                <w:w w:val="90"/>
                <w:sz w:val="18"/>
                <w:szCs w:val="18"/>
              </w:rPr>
              <w:t>(убуваюче)</w:t>
            </w:r>
          </w:p>
        </w:tc>
      </w:tr>
      <w:tr w:rsidR="00B233DE" w:rsidRPr="008175A1" w:rsidTr="0023489B">
        <w:trPr>
          <w:trHeight w:val="129"/>
        </w:trPr>
        <w:tc>
          <w:tcPr>
            <w:tcW w:w="1843" w:type="dxa"/>
            <w:vAlign w:val="bottom"/>
          </w:tcPr>
          <w:p w:rsidR="00B233DE" w:rsidRPr="009649D6" w:rsidRDefault="00B233DE" w:rsidP="0023489B">
            <w:pPr>
              <w:widowControl w:val="0"/>
              <w:tabs>
                <w:tab w:val="left" w:pos="142"/>
              </w:tabs>
              <w:autoSpaceDE w:val="0"/>
              <w:autoSpaceDN w:val="0"/>
              <w:adjustRightInd w:val="0"/>
              <w:ind w:firstLine="0"/>
              <w:jc w:val="center"/>
              <w:rPr>
                <w:rFonts w:ascii="Times New Roman" w:hAnsi="Times New Roman" w:cs="Times New Roman"/>
                <w:sz w:val="18"/>
                <w:szCs w:val="18"/>
              </w:rPr>
            </w:pPr>
          </w:p>
        </w:tc>
        <w:tc>
          <w:tcPr>
            <w:tcW w:w="2268" w:type="dxa"/>
            <w:vAlign w:val="bottom"/>
          </w:tcPr>
          <w:p w:rsidR="00B233DE" w:rsidRPr="009649D6" w:rsidRDefault="00B233DE" w:rsidP="0023489B">
            <w:pPr>
              <w:widowControl w:val="0"/>
              <w:tabs>
                <w:tab w:val="left" w:pos="142"/>
              </w:tabs>
              <w:autoSpaceDE w:val="0"/>
              <w:autoSpaceDN w:val="0"/>
              <w:adjustRightInd w:val="0"/>
              <w:ind w:firstLine="0"/>
              <w:jc w:val="center"/>
              <w:rPr>
                <w:rFonts w:ascii="Times New Roman" w:hAnsi="Times New Roman" w:cs="Times New Roman"/>
                <w:sz w:val="18"/>
                <w:szCs w:val="18"/>
              </w:rPr>
            </w:pPr>
            <w:r>
              <w:rPr>
                <w:rFonts w:ascii="Times New Roman" w:hAnsi="Times New Roman" w:cs="Times New Roman"/>
                <w:w w:val="87"/>
                <w:sz w:val="18"/>
                <w:szCs w:val="18"/>
                <w:lang w:val="en-US"/>
              </w:rPr>
              <w:t xml:space="preserve">     </w:t>
            </w:r>
            <w:r w:rsidRPr="009649D6">
              <w:rPr>
                <w:rFonts w:ascii="Times New Roman" w:hAnsi="Times New Roman" w:cs="Times New Roman"/>
                <w:w w:val="87"/>
                <w:sz w:val="18"/>
                <w:szCs w:val="18"/>
              </w:rPr>
              <w:t>населення</w:t>
            </w:r>
          </w:p>
        </w:tc>
        <w:tc>
          <w:tcPr>
            <w:tcW w:w="1848" w:type="dxa"/>
            <w:vAlign w:val="bottom"/>
          </w:tcPr>
          <w:p w:rsidR="00B233DE" w:rsidRPr="009649D6" w:rsidRDefault="00B233DE" w:rsidP="0023489B">
            <w:pPr>
              <w:widowControl w:val="0"/>
              <w:tabs>
                <w:tab w:val="left" w:pos="142"/>
              </w:tabs>
              <w:autoSpaceDE w:val="0"/>
              <w:autoSpaceDN w:val="0"/>
              <w:adjustRightInd w:val="0"/>
              <w:ind w:firstLine="0"/>
              <w:jc w:val="center"/>
              <w:rPr>
                <w:rFonts w:ascii="Times New Roman" w:hAnsi="Times New Roman" w:cs="Times New Roman"/>
                <w:sz w:val="18"/>
                <w:szCs w:val="18"/>
              </w:rPr>
            </w:pPr>
            <w:r>
              <w:rPr>
                <w:rFonts w:ascii="Times New Roman" w:hAnsi="Times New Roman" w:cs="Times New Roman"/>
                <w:w w:val="86"/>
                <w:sz w:val="18"/>
                <w:szCs w:val="18"/>
                <w:lang w:val="en-US"/>
              </w:rPr>
              <w:t xml:space="preserve">              </w:t>
            </w:r>
            <w:r w:rsidRPr="009649D6">
              <w:rPr>
                <w:rFonts w:ascii="Times New Roman" w:hAnsi="Times New Roman" w:cs="Times New Roman"/>
                <w:w w:val="86"/>
                <w:sz w:val="18"/>
                <w:szCs w:val="18"/>
              </w:rPr>
              <w:t>населення</w:t>
            </w:r>
          </w:p>
        </w:tc>
      </w:tr>
    </w:tbl>
    <w:p w:rsidR="00B233DE" w:rsidRPr="00AF6481" w:rsidRDefault="00B233DE" w:rsidP="00B233DE">
      <w:pPr>
        <w:widowControl w:val="0"/>
        <w:tabs>
          <w:tab w:val="left" w:pos="142"/>
        </w:tabs>
        <w:autoSpaceDE w:val="0"/>
        <w:autoSpaceDN w:val="0"/>
        <w:adjustRightInd w:val="0"/>
        <w:jc w:val="center"/>
        <w:rPr>
          <w:rFonts w:ascii="Times New Roman" w:hAnsi="Times New Roman" w:cs="Times New Roman"/>
          <w:sz w:val="16"/>
          <w:szCs w:val="16"/>
        </w:rPr>
      </w:pPr>
    </w:p>
    <w:p w:rsidR="00B233DE" w:rsidRPr="009F3B45" w:rsidRDefault="00B233DE" w:rsidP="00B233DE">
      <w:pPr>
        <w:widowControl w:val="0"/>
        <w:tabs>
          <w:tab w:val="left" w:pos="142"/>
        </w:tabs>
        <w:autoSpaceDE w:val="0"/>
        <w:autoSpaceDN w:val="0"/>
        <w:adjustRightInd w:val="0"/>
        <w:jc w:val="center"/>
        <w:rPr>
          <w:rFonts w:ascii="Times New Roman" w:hAnsi="Times New Roman" w:cs="Times New Roman"/>
          <w:b/>
          <w:sz w:val="21"/>
          <w:szCs w:val="21"/>
        </w:rPr>
      </w:pPr>
      <w:r w:rsidRPr="009F3B45">
        <w:rPr>
          <w:rFonts w:ascii="Times New Roman" w:hAnsi="Times New Roman" w:cs="Times New Roman"/>
          <w:b/>
          <w:sz w:val="21"/>
          <w:szCs w:val="21"/>
        </w:rPr>
        <w:t xml:space="preserve">Рис. </w:t>
      </w:r>
      <w:r w:rsidRPr="009F3B45">
        <w:rPr>
          <w:rFonts w:ascii="Times New Roman" w:hAnsi="Times New Roman" w:cs="Times New Roman"/>
          <w:b/>
          <w:sz w:val="21"/>
          <w:szCs w:val="21"/>
          <w:lang w:val="ru-RU"/>
        </w:rPr>
        <w:t>2</w:t>
      </w:r>
      <w:r w:rsidRPr="009F3B45">
        <w:rPr>
          <w:rFonts w:ascii="Times New Roman" w:hAnsi="Times New Roman" w:cs="Times New Roman"/>
          <w:b/>
          <w:sz w:val="21"/>
          <w:szCs w:val="21"/>
        </w:rPr>
        <w:t>.1. Типи вікової структури населення</w:t>
      </w:r>
    </w:p>
    <w:p w:rsidR="00B233DE" w:rsidRDefault="00B233DE" w:rsidP="00B233DE">
      <w:pPr>
        <w:jc w:val="both"/>
        <w:rPr>
          <w:rFonts w:ascii="Times New Roman" w:hAnsi="Times New Roman" w:cs="Times New Roman"/>
          <w:sz w:val="21"/>
          <w:szCs w:val="21"/>
        </w:rPr>
      </w:pPr>
      <w:r>
        <w:rPr>
          <w:rFonts w:ascii="Times New Roman" w:hAnsi="Times New Roman" w:cs="Times New Roman"/>
          <w:noProof/>
          <w:sz w:val="21"/>
          <w:szCs w:val="21"/>
          <w:lang w:val="ru-RU" w:eastAsia="ru-RU"/>
        </w:rPr>
        <w:drawing>
          <wp:anchor distT="0" distB="0" distL="114300" distR="114300" simplePos="0" relativeHeight="251665408" behindDoc="1" locked="0" layoutInCell="0" allowOverlap="1" wp14:anchorId="475B89AD" wp14:editId="1DBD91C2">
            <wp:simplePos x="0" y="0"/>
            <wp:positionH relativeFrom="margin">
              <wp:posOffset>1924050</wp:posOffset>
            </wp:positionH>
            <wp:positionV relativeFrom="paragraph">
              <wp:posOffset>5398135</wp:posOffset>
            </wp:positionV>
            <wp:extent cx="4143375" cy="1524000"/>
            <wp:effectExtent l="0" t="0" r="9525" b="0"/>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143375" cy="1524000"/>
                    </a:xfrm>
                    <a:prstGeom prst="rect">
                      <a:avLst/>
                    </a:prstGeom>
                    <a:noFill/>
                  </pic:spPr>
                </pic:pic>
              </a:graphicData>
            </a:graphic>
            <wp14:sizeRelH relativeFrom="page">
              <wp14:pctWidth>0</wp14:pctWidth>
            </wp14:sizeRelH>
            <wp14:sizeRelV relativeFrom="page">
              <wp14:pctHeight>0</wp14:pctHeight>
            </wp14:sizeRelV>
          </wp:anchor>
        </w:drawing>
      </w:r>
    </w:p>
    <w:p w:rsidR="00B233DE" w:rsidRDefault="00B233DE" w:rsidP="00B233DE">
      <w:pPr>
        <w:jc w:val="both"/>
        <w:rPr>
          <w:rFonts w:ascii="Times New Roman" w:hAnsi="Times New Roman" w:cs="Times New Roman"/>
          <w:sz w:val="21"/>
          <w:szCs w:val="21"/>
        </w:rPr>
      </w:pPr>
      <w:r w:rsidRPr="00CE5EC5">
        <w:rPr>
          <w:rFonts w:ascii="Times New Roman" w:hAnsi="Times New Roman" w:cs="Times New Roman"/>
          <w:sz w:val="21"/>
          <w:szCs w:val="21"/>
        </w:rPr>
        <w:t xml:space="preserve">Прогресивній віковій структурі (молоде населення) відповідає правильна піраміда. Діаграма, що зображує стаціонарну структуру, </w:t>
      </w:r>
      <w:r w:rsidRPr="00CE5EC5">
        <w:rPr>
          <w:rFonts w:ascii="Times New Roman" w:hAnsi="Times New Roman" w:cs="Times New Roman"/>
          <w:sz w:val="21"/>
          <w:szCs w:val="21"/>
        </w:rPr>
        <w:lastRenderedPageBreak/>
        <w:t>нагадує дзвін.</w:t>
      </w:r>
      <w:r>
        <w:rPr>
          <w:rFonts w:ascii="Times New Roman" w:hAnsi="Times New Roman" w:cs="Times New Roman"/>
          <w:sz w:val="21"/>
          <w:szCs w:val="21"/>
        </w:rPr>
        <w:t xml:space="preserve"> </w:t>
      </w:r>
      <w:r w:rsidRPr="008175A1">
        <w:rPr>
          <w:rFonts w:ascii="Times New Roman" w:hAnsi="Times New Roman" w:cs="Times New Roman"/>
          <w:sz w:val="21"/>
          <w:szCs w:val="21"/>
        </w:rPr>
        <w:t>Регресивній віковій структурі відповідає фігура, названа «урною».</w:t>
      </w:r>
    </w:p>
    <w:p w:rsidR="00B233DE" w:rsidRPr="00655859"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655859">
        <w:rPr>
          <w:rFonts w:ascii="Times New Roman" w:hAnsi="Times New Roman" w:cs="Times New Roman"/>
          <w:sz w:val="21"/>
          <w:szCs w:val="21"/>
        </w:rPr>
        <w:t>Для визначення старіння населення використовують спеціальну шкалу, засновану на частці літніх людей в структурі населення. Якщо в якості критерію використовують вік 65 років, то застосовують шкалу демографічного старіння ООН. Відповідно до цієї шкали</w:t>
      </w:r>
      <w:r>
        <w:rPr>
          <w:rFonts w:ascii="Times New Roman" w:hAnsi="Times New Roman" w:cs="Times New Roman"/>
          <w:sz w:val="21"/>
          <w:szCs w:val="21"/>
        </w:rPr>
        <w:t>,</w:t>
      </w:r>
      <w:r w:rsidRPr="00655859">
        <w:rPr>
          <w:rFonts w:ascii="Times New Roman" w:hAnsi="Times New Roman" w:cs="Times New Roman"/>
          <w:sz w:val="21"/>
          <w:szCs w:val="21"/>
        </w:rPr>
        <w:t xml:space="preserve"> населення з частко</w:t>
      </w:r>
      <w:r>
        <w:rPr>
          <w:rFonts w:ascii="Times New Roman" w:hAnsi="Times New Roman" w:cs="Times New Roman"/>
          <w:sz w:val="21"/>
          <w:szCs w:val="21"/>
        </w:rPr>
        <w:t>ю осіб у віці 65 років і більше</w:t>
      </w:r>
      <w:r w:rsidRPr="00655859">
        <w:rPr>
          <w:rFonts w:ascii="Times New Roman" w:hAnsi="Times New Roman" w:cs="Times New Roman"/>
          <w:sz w:val="21"/>
          <w:szCs w:val="21"/>
        </w:rPr>
        <w:t xml:space="preserve"> менше 4</w:t>
      </w:r>
      <w:r>
        <w:rPr>
          <w:rFonts w:ascii="Times New Roman" w:hAnsi="Times New Roman" w:cs="Times New Roman"/>
          <w:sz w:val="21"/>
          <w:szCs w:val="21"/>
        </w:rPr>
        <w:t> </w:t>
      </w:r>
      <w:r w:rsidRPr="00655859">
        <w:rPr>
          <w:rFonts w:ascii="Times New Roman" w:hAnsi="Times New Roman" w:cs="Times New Roman"/>
          <w:sz w:val="21"/>
          <w:szCs w:val="21"/>
        </w:rPr>
        <w:t>%, вважають молодим. Якщо ця часка більше 4</w:t>
      </w:r>
      <w:r>
        <w:rPr>
          <w:rFonts w:ascii="Times New Roman" w:hAnsi="Times New Roman" w:cs="Times New Roman"/>
          <w:sz w:val="21"/>
          <w:szCs w:val="21"/>
        </w:rPr>
        <w:t xml:space="preserve"> </w:t>
      </w:r>
      <w:r w:rsidRPr="00655859">
        <w:rPr>
          <w:rFonts w:ascii="Times New Roman" w:hAnsi="Times New Roman" w:cs="Times New Roman"/>
          <w:sz w:val="21"/>
          <w:szCs w:val="21"/>
        </w:rPr>
        <w:t>%, але менша ніж 7</w:t>
      </w:r>
      <w:r>
        <w:rPr>
          <w:rFonts w:ascii="Times New Roman" w:hAnsi="Times New Roman" w:cs="Times New Roman"/>
          <w:sz w:val="21"/>
          <w:szCs w:val="21"/>
        </w:rPr>
        <w:t> </w:t>
      </w:r>
      <w:r w:rsidRPr="00655859">
        <w:rPr>
          <w:rFonts w:ascii="Times New Roman" w:hAnsi="Times New Roman" w:cs="Times New Roman"/>
          <w:sz w:val="21"/>
          <w:szCs w:val="21"/>
        </w:rPr>
        <w:t>%, то населення знаходиться на порозі старіння, а якщо дорівнює 7</w:t>
      </w:r>
      <w:r>
        <w:rPr>
          <w:rFonts w:ascii="Times New Roman" w:hAnsi="Times New Roman" w:cs="Times New Roman"/>
          <w:sz w:val="21"/>
          <w:szCs w:val="21"/>
        </w:rPr>
        <w:t> </w:t>
      </w:r>
      <w:r w:rsidRPr="00655859">
        <w:rPr>
          <w:rFonts w:ascii="Times New Roman" w:hAnsi="Times New Roman" w:cs="Times New Roman"/>
          <w:sz w:val="21"/>
          <w:szCs w:val="21"/>
        </w:rPr>
        <w:t>% і більше, то населення вважають старим. Якщо в якості критерію використовують вік 60 років, то застосовують шкалу Ж.</w:t>
      </w:r>
      <w:r>
        <w:rPr>
          <w:rFonts w:ascii="Times New Roman" w:hAnsi="Times New Roman" w:cs="Times New Roman"/>
          <w:sz w:val="21"/>
          <w:szCs w:val="21"/>
        </w:rPr>
        <w:t> </w:t>
      </w:r>
      <w:r w:rsidRPr="00655859">
        <w:rPr>
          <w:rFonts w:ascii="Times New Roman" w:hAnsi="Times New Roman" w:cs="Times New Roman"/>
          <w:sz w:val="21"/>
          <w:szCs w:val="21"/>
        </w:rPr>
        <w:t>Боже-Граньє – Е. Россета. В цьому випадку виділяють чотири типи населення за рівнем старіння</w:t>
      </w:r>
      <w:bookmarkStart w:id="81" w:name="page23"/>
      <w:bookmarkEnd w:id="81"/>
      <w:r>
        <w:rPr>
          <w:rFonts w:ascii="Times New Roman" w:hAnsi="Times New Roman" w:cs="Times New Roman"/>
          <w:sz w:val="21"/>
          <w:szCs w:val="21"/>
        </w:rPr>
        <w:t xml:space="preserve"> (табл. </w:t>
      </w:r>
      <w:r w:rsidRPr="00B757E6">
        <w:rPr>
          <w:rFonts w:ascii="Times New Roman" w:hAnsi="Times New Roman" w:cs="Times New Roman"/>
          <w:sz w:val="21"/>
          <w:szCs w:val="21"/>
          <w:lang w:val="ru-RU"/>
        </w:rPr>
        <w:t>2</w:t>
      </w:r>
      <w:r>
        <w:rPr>
          <w:rFonts w:ascii="Times New Roman" w:hAnsi="Times New Roman" w:cs="Times New Roman"/>
          <w:sz w:val="21"/>
          <w:szCs w:val="21"/>
        </w:rPr>
        <w:t>.3)</w:t>
      </w:r>
    </w:p>
    <w:p w:rsidR="00B233DE" w:rsidRDefault="00B233DE" w:rsidP="00B233DE">
      <w:pPr>
        <w:widowControl w:val="0"/>
        <w:tabs>
          <w:tab w:val="left" w:pos="142"/>
        </w:tabs>
        <w:overflowPunct w:val="0"/>
        <w:autoSpaceDE w:val="0"/>
        <w:autoSpaceDN w:val="0"/>
        <w:adjustRightInd w:val="0"/>
        <w:jc w:val="right"/>
        <w:rPr>
          <w:rFonts w:ascii="Times New Roman" w:hAnsi="Times New Roman" w:cs="Times New Roman"/>
          <w:sz w:val="21"/>
          <w:szCs w:val="21"/>
        </w:rPr>
      </w:pPr>
    </w:p>
    <w:p w:rsidR="00B233DE" w:rsidRPr="00655859" w:rsidRDefault="00B233DE" w:rsidP="00B233DE">
      <w:pPr>
        <w:widowControl w:val="0"/>
        <w:tabs>
          <w:tab w:val="left" w:pos="142"/>
        </w:tabs>
        <w:overflowPunct w:val="0"/>
        <w:autoSpaceDE w:val="0"/>
        <w:autoSpaceDN w:val="0"/>
        <w:adjustRightInd w:val="0"/>
        <w:jc w:val="right"/>
        <w:rPr>
          <w:rFonts w:ascii="Times New Roman" w:hAnsi="Times New Roman" w:cs="Times New Roman"/>
          <w:sz w:val="21"/>
          <w:szCs w:val="21"/>
        </w:rPr>
      </w:pPr>
      <w:r w:rsidRPr="00655859">
        <w:rPr>
          <w:rFonts w:ascii="Times New Roman" w:hAnsi="Times New Roman" w:cs="Times New Roman"/>
          <w:sz w:val="21"/>
          <w:szCs w:val="21"/>
        </w:rPr>
        <w:t xml:space="preserve">Таблиця </w:t>
      </w:r>
      <w:r w:rsidRPr="00B757E6">
        <w:rPr>
          <w:rFonts w:ascii="Times New Roman" w:hAnsi="Times New Roman" w:cs="Times New Roman"/>
          <w:sz w:val="21"/>
          <w:szCs w:val="21"/>
          <w:lang w:val="ru-RU"/>
        </w:rPr>
        <w:t>2</w:t>
      </w:r>
      <w:r w:rsidRPr="00655859">
        <w:rPr>
          <w:rFonts w:ascii="Times New Roman" w:hAnsi="Times New Roman" w:cs="Times New Roman"/>
          <w:sz w:val="21"/>
          <w:szCs w:val="21"/>
        </w:rPr>
        <w:t>.</w:t>
      </w:r>
      <w:r>
        <w:rPr>
          <w:rFonts w:ascii="Times New Roman" w:hAnsi="Times New Roman" w:cs="Times New Roman"/>
          <w:sz w:val="21"/>
          <w:szCs w:val="21"/>
        </w:rPr>
        <w:t>3</w:t>
      </w:r>
    </w:p>
    <w:p w:rsidR="00B233DE" w:rsidRPr="00C82B50" w:rsidRDefault="00B233DE" w:rsidP="00B233DE">
      <w:pPr>
        <w:widowControl w:val="0"/>
        <w:tabs>
          <w:tab w:val="left" w:pos="142"/>
        </w:tabs>
        <w:overflowPunct w:val="0"/>
        <w:autoSpaceDE w:val="0"/>
        <w:autoSpaceDN w:val="0"/>
        <w:adjustRightInd w:val="0"/>
        <w:jc w:val="center"/>
        <w:rPr>
          <w:rFonts w:ascii="Times New Roman" w:hAnsi="Times New Roman" w:cs="Times New Roman"/>
          <w:b/>
          <w:sz w:val="21"/>
          <w:szCs w:val="21"/>
        </w:rPr>
      </w:pPr>
      <w:r w:rsidRPr="00C82B50">
        <w:rPr>
          <w:rFonts w:ascii="Times New Roman" w:hAnsi="Times New Roman" w:cs="Times New Roman"/>
          <w:b/>
          <w:sz w:val="21"/>
          <w:szCs w:val="21"/>
        </w:rPr>
        <w:t>Класифікація населення, залежно від рівня демографічної старості, за шкалою Россета</w:t>
      </w:r>
      <w:r>
        <w:rPr>
          <w:rFonts w:ascii="Times New Roman" w:hAnsi="Times New Roman" w:cs="Times New Roman"/>
          <w:b/>
          <w:sz w:val="21"/>
          <w:szCs w:val="21"/>
        </w:rPr>
        <w:t xml:space="preserve"> [</w:t>
      </w:r>
      <w:r>
        <w:rPr>
          <w:rFonts w:ascii="Times New Roman" w:hAnsi="Times New Roman" w:cs="Times New Roman"/>
          <w:iCs/>
          <w:color w:val="252525"/>
          <w:sz w:val="21"/>
          <w:szCs w:val="21"/>
          <w:highlight w:val="yellow"/>
          <w:shd w:val="clear" w:color="auto" w:fill="FFFFFF"/>
        </w:rPr>
        <w:fldChar w:fldCharType="begin"/>
      </w:r>
      <w:r>
        <w:rPr>
          <w:rFonts w:ascii="Times New Roman" w:hAnsi="Times New Roman" w:cs="Times New Roman"/>
          <w:b/>
          <w:sz w:val="21"/>
          <w:szCs w:val="21"/>
        </w:rPr>
        <w:instrText xml:space="preserve"> REF _Ref433791825 \r \h </w:instrText>
      </w:r>
      <w:r>
        <w:rPr>
          <w:rFonts w:ascii="Times New Roman" w:hAnsi="Times New Roman" w:cs="Times New Roman"/>
          <w:iCs/>
          <w:color w:val="252525"/>
          <w:sz w:val="21"/>
          <w:szCs w:val="21"/>
          <w:highlight w:val="yellow"/>
          <w:shd w:val="clear" w:color="auto" w:fill="FFFFFF"/>
        </w:rPr>
      </w:r>
      <w:r>
        <w:rPr>
          <w:rFonts w:ascii="Times New Roman" w:hAnsi="Times New Roman" w:cs="Times New Roman"/>
          <w:iCs/>
          <w:color w:val="252525"/>
          <w:sz w:val="21"/>
          <w:szCs w:val="21"/>
          <w:highlight w:val="yellow"/>
          <w:shd w:val="clear" w:color="auto" w:fill="FFFFFF"/>
        </w:rPr>
        <w:fldChar w:fldCharType="separate"/>
      </w:r>
      <w:r>
        <w:rPr>
          <w:rFonts w:ascii="Times New Roman" w:hAnsi="Times New Roman" w:cs="Times New Roman"/>
          <w:b/>
          <w:sz w:val="21"/>
          <w:szCs w:val="21"/>
        </w:rPr>
        <w:t>22</w:t>
      </w:r>
      <w:r>
        <w:rPr>
          <w:rFonts w:ascii="Times New Roman" w:hAnsi="Times New Roman" w:cs="Times New Roman"/>
          <w:iCs/>
          <w:color w:val="252525"/>
          <w:sz w:val="21"/>
          <w:szCs w:val="21"/>
          <w:highlight w:val="yellow"/>
          <w:shd w:val="clear" w:color="auto" w:fill="FFFFFF"/>
        </w:rPr>
        <w:fldChar w:fldCharType="end"/>
      </w:r>
      <w:r>
        <w:rPr>
          <w:rFonts w:ascii="Times New Roman" w:hAnsi="Times New Roman" w:cs="Times New Roman"/>
          <w:b/>
          <w:sz w:val="21"/>
          <w:szCs w:val="21"/>
        </w:rPr>
        <w:t>]</w:t>
      </w:r>
    </w:p>
    <w:tbl>
      <w:tblPr>
        <w:tblW w:w="6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02"/>
        <w:gridCol w:w="1985"/>
        <w:gridCol w:w="2973"/>
      </w:tblGrid>
      <w:tr w:rsidR="00B233DE" w:rsidRPr="00672CBC" w:rsidTr="0023489B">
        <w:trPr>
          <w:jc w:val="center"/>
        </w:trPr>
        <w:tc>
          <w:tcPr>
            <w:tcW w:w="1102" w:type="dxa"/>
            <w:vAlign w:val="center"/>
          </w:tcPr>
          <w:p w:rsidR="00B233DE" w:rsidRPr="009649D6" w:rsidRDefault="00B233DE" w:rsidP="0023489B">
            <w:pPr>
              <w:widowControl w:val="0"/>
              <w:tabs>
                <w:tab w:val="left" w:pos="142"/>
              </w:tabs>
              <w:overflowPunct w:val="0"/>
              <w:autoSpaceDE w:val="0"/>
              <w:autoSpaceDN w:val="0"/>
              <w:adjustRightInd w:val="0"/>
              <w:ind w:firstLine="2"/>
              <w:jc w:val="center"/>
              <w:rPr>
                <w:rFonts w:ascii="Times New Roman" w:hAnsi="Times New Roman" w:cs="Times New Roman"/>
                <w:sz w:val="18"/>
                <w:szCs w:val="18"/>
              </w:rPr>
            </w:pPr>
            <w:r w:rsidRPr="009649D6">
              <w:rPr>
                <w:rFonts w:ascii="Times New Roman" w:hAnsi="Times New Roman" w:cs="Times New Roman"/>
                <w:sz w:val="18"/>
                <w:szCs w:val="18"/>
              </w:rPr>
              <w:t>Етап</w:t>
            </w:r>
          </w:p>
        </w:tc>
        <w:tc>
          <w:tcPr>
            <w:tcW w:w="1985" w:type="dxa"/>
            <w:vAlign w:val="center"/>
          </w:tcPr>
          <w:p w:rsidR="00B233DE" w:rsidRDefault="00B233DE" w:rsidP="0023489B">
            <w:pPr>
              <w:widowControl w:val="0"/>
              <w:tabs>
                <w:tab w:val="left" w:pos="142"/>
              </w:tabs>
              <w:overflowPunct w:val="0"/>
              <w:autoSpaceDE w:val="0"/>
              <w:autoSpaceDN w:val="0"/>
              <w:adjustRightInd w:val="0"/>
              <w:ind w:firstLine="2"/>
              <w:jc w:val="center"/>
              <w:rPr>
                <w:rFonts w:ascii="Times New Roman" w:hAnsi="Times New Roman" w:cs="Times New Roman"/>
                <w:sz w:val="18"/>
                <w:szCs w:val="18"/>
              </w:rPr>
            </w:pPr>
            <w:r w:rsidRPr="009649D6">
              <w:rPr>
                <w:rFonts w:ascii="Times New Roman" w:hAnsi="Times New Roman" w:cs="Times New Roman"/>
                <w:sz w:val="18"/>
                <w:szCs w:val="18"/>
              </w:rPr>
              <w:t>Особи у віці 6</w:t>
            </w:r>
            <w:r>
              <w:rPr>
                <w:rFonts w:ascii="Times New Roman" w:hAnsi="Times New Roman" w:cs="Times New Roman"/>
                <w:sz w:val="18"/>
                <w:szCs w:val="18"/>
              </w:rPr>
              <w:t xml:space="preserve">0 років </w:t>
            </w:r>
          </w:p>
          <w:p w:rsidR="00B233DE" w:rsidRPr="009649D6" w:rsidRDefault="00B233DE" w:rsidP="0023489B">
            <w:pPr>
              <w:widowControl w:val="0"/>
              <w:tabs>
                <w:tab w:val="left" w:pos="142"/>
              </w:tabs>
              <w:overflowPunct w:val="0"/>
              <w:autoSpaceDE w:val="0"/>
              <w:autoSpaceDN w:val="0"/>
              <w:adjustRightInd w:val="0"/>
              <w:ind w:firstLine="2"/>
              <w:jc w:val="center"/>
              <w:rPr>
                <w:rFonts w:ascii="Times New Roman" w:hAnsi="Times New Roman" w:cs="Times New Roman"/>
                <w:sz w:val="18"/>
                <w:szCs w:val="18"/>
              </w:rPr>
            </w:pPr>
            <w:r>
              <w:rPr>
                <w:rFonts w:ascii="Times New Roman" w:hAnsi="Times New Roman" w:cs="Times New Roman"/>
                <w:sz w:val="18"/>
                <w:szCs w:val="18"/>
              </w:rPr>
              <w:t xml:space="preserve">і старші, у % до всього </w:t>
            </w:r>
            <w:r w:rsidRPr="009649D6">
              <w:rPr>
                <w:rFonts w:ascii="Times New Roman" w:hAnsi="Times New Roman" w:cs="Times New Roman"/>
                <w:sz w:val="18"/>
                <w:szCs w:val="18"/>
              </w:rPr>
              <w:t>населення</w:t>
            </w:r>
          </w:p>
        </w:tc>
        <w:tc>
          <w:tcPr>
            <w:tcW w:w="2973" w:type="dxa"/>
            <w:vAlign w:val="center"/>
          </w:tcPr>
          <w:p w:rsidR="00B233DE" w:rsidRPr="009649D6" w:rsidRDefault="00B233DE" w:rsidP="0023489B">
            <w:pPr>
              <w:widowControl w:val="0"/>
              <w:tabs>
                <w:tab w:val="left" w:pos="142"/>
              </w:tabs>
              <w:overflowPunct w:val="0"/>
              <w:autoSpaceDE w:val="0"/>
              <w:autoSpaceDN w:val="0"/>
              <w:adjustRightInd w:val="0"/>
              <w:ind w:firstLine="2"/>
              <w:jc w:val="center"/>
              <w:rPr>
                <w:rFonts w:ascii="Times New Roman" w:hAnsi="Times New Roman" w:cs="Times New Roman"/>
                <w:sz w:val="18"/>
                <w:szCs w:val="18"/>
              </w:rPr>
            </w:pPr>
            <w:r w:rsidRPr="009649D6">
              <w:rPr>
                <w:rFonts w:ascii="Times New Roman" w:hAnsi="Times New Roman" w:cs="Times New Roman"/>
                <w:sz w:val="18"/>
                <w:szCs w:val="18"/>
              </w:rPr>
              <w:t>Рівень демографічної старості</w:t>
            </w:r>
          </w:p>
        </w:tc>
      </w:tr>
      <w:tr w:rsidR="00B233DE" w:rsidRPr="00672CBC" w:rsidTr="0023489B">
        <w:trPr>
          <w:jc w:val="center"/>
        </w:trPr>
        <w:tc>
          <w:tcPr>
            <w:tcW w:w="1102" w:type="dxa"/>
            <w:vAlign w:val="center"/>
          </w:tcPr>
          <w:p w:rsidR="00B233DE" w:rsidRPr="009649D6" w:rsidRDefault="00B233DE" w:rsidP="0023489B">
            <w:pPr>
              <w:widowControl w:val="0"/>
              <w:tabs>
                <w:tab w:val="left" w:pos="142"/>
              </w:tabs>
              <w:overflowPunct w:val="0"/>
              <w:autoSpaceDE w:val="0"/>
              <w:autoSpaceDN w:val="0"/>
              <w:adjustRightInd w:val="0"/>
              <w:ind w:firstLine="2"/>
              <w:jc w:val="center"/>
              <w:rPr>
                <w:rFonts w:ascii="Times New Roman" w:hAnsi="Times New Roman" w:cs="Times New Roman"/>
                <w:sz w:val="18"/>
                <w:szCs w:val="18"/>
              </w:rPr>
            </w:pPr>
            <w:r w:rsidRPr="009649D6">
              <w:rPr>
                <w:rFonts w:ascii="Times New Roman" w:hAnsi="Times New Roman" w:cs="Times New Roman"/>
                <w:sz w:val="18"/>
                <w:szCs w:val="18"/>
              </w:rPr>
              <w:t>1-й</w:t>
            </w:r>
          </w:p>
        </w:tc>
        <w:tc>
          <w:tcPr>
            <w:tcW w:w="1985" w:type="dxa"/>
            <w:vAlign w:val="center"/>
          </w:tcPr>
          <w:p w:rsidR="00B233DE" w:rsidRPr="009649D6" w:rsidRDefault="00B233DE" w:rsidP="0023489B">
            <w:pPr>
              <w:widowControl w:val="0"/>
              <w:tabs>
                <w:tab w:val="left" w:pos="142"/>
              </w:tabs>
              <w:overflowPunct w:val="0"/>
              <w:autoSpaceDE w:val="0"/>
              <w:autoSpaceDN w:val="0"/>
              <w:adjustRightInd w:val="0"/>
              <w:ind w:firstLine="2"/>
              <w:jc w:val="center"/>
              <w:rPr>
                <w:rFonts w:ascii="Times New Roman" w:hAnsi="Times New Roman" w:cs="Times New Roman"/>
                <w:sz w:val="18"/>
                <w:szCs w:val="18"/>
              </w:rPr>
            </w:pPr>
            <w:r w:rsidRPr="009649D6">
              <w:rPr>
                <w:rFonts w:ascii="Times New Roman" w:hAnsi="Times New Roman" w:cs="Times New Roman"/>
                <w:bCs/>
                <w:sz w:val="18"/>
                <w:szCs w:val="18"/>
              </w:rPr>
              <w:t>До 8</w:t>
            </w:r>
          </w:p>
        </w:tc>
        <w:tc>
          <w:tcPr>
            <w:tcW w:w="2973" w:type="dxa"/>
            <w:vAlign w:val="center"/>
          </w:tcPr>
          <w:p w:rsidR="00B233DE" w:rsidRPr="009649D6" w:rsidRDefault="00B233DE" w:rsidP="0023489B">
            <w:pPr>
              <w:widowControl w:val="0"/>
              <w:tabs>
                <w:tab w:val="left" w:pos="142"/>
              </w:tabs>
              <w:overflowPunct w:val="0"/>
              <w:autoSpaceDE w:val="0"/>
              <w:autoSpaceDN w:val="0"/>
              <w:adjustRightInd w:val="0"/>
              <w:ind w:firstLine="2"/>
              <w:jc w:val="both"/>
              <w:rPr>
                <w:rFonts w:ascii="Times New Roman" w:hAnsi="Times New Roman" w:cs="Times New Roman"/>
                <w:sz w:val="18"/>
                <w:szCs w:val="18"/>
              </w:rPr>
            </w:pPr>
            <w:r w:rsidRPr="009649D6">
              <w:rPr>
                <w:rFonts w:ascii="Times New Roman" w:hAnsi="Times New Roman" w:cs="Times New Roman"/>
                <w:sz w:val="18"/>
                <w:szCs w:val="18"/>
              </w:rPr>
              <w:t>Демографічна молодість</w:t>
            </w:r>
          </w:p>
        </w:tc>
      </w:tr>
      <w:tr w:rsidR="00B233DE" w:rsidRPr="00672CBC" w:rsidTr="0023489B">
        <w:trPr>
          <w:jc w:val="center"/>
        </w:trPr>
        <w:tc>
          <w:tcPr>
            <w:tcW w:w="1102" w:type="dxa"/>
            <w:vAlign w:val="center"/>
          </w:tcPr>
          <w:p w:rsidR="00B233DE" w:rsidRPr="009649D6" w:rsidRDefault="00B233DE" w:rsidP="0023489B">
            <w:pPr>
              <w:widowControl w:val="0"/>
              <w:tabs>
                <w:tab w:val="left" w:pos="142"/>
              </w:tabs>
              <w:overflowPunct w:val="0"/>
              <w:autoSpaceDE w:val="0"/>
              <w:autoSpaceDN w:val="0"/>
              <w:adjustRightInd w:val="0"/>
              <w:ind w:firstLine="2"/>
              <w:jc w:val="center"/>
              <w:rPr>
                <w:rFonts w:ascii="Times New Roman" w:hAnsi="Times New Roman" w:cs="Times New Roman"/>
                <w:sz w:val="18"/>
                <w:szCs w:val="18"/>
              </w:rPr>
            </w:pPr>
            <w:r w:rsidRPr="009649D6">
              <w:rPr>
                <w:rFonts w:ascii="Times New Roman" w:hAnsi="Times New Roman" w:cs="Times New Roman"/>
                <w:sz w:val="18"/>
                <w:szCs w:val="18"/>
              </w:rPr>
              <w:t>2-й</w:t>
            </w:r>
          </w:p>
        </w:tc>
        <w:tc>
          <w:tcPr>
            <w:tcW w:w="1985" w:type="dxa"/>
            <w:vAlign w:val="center"/>
          </w:tcPr>
          <w:p w:rsidR="00B233DE" w:rsidRPr="009649D6" w:rsidRDefault="00B233DE" w:rsidP="0023489B">
            <w:pPr>
              <w:widowControl w:val="0"/>
              <w:tabs>
                <w:tab w:val="left" w:pos="142"/>
              </w:tabs>
              <w:overflowPunct w:val="0"/>
              <w:autoSpaceDE w:val="0"/>
              <w:autoSpaceDN w:val="0"/>
              <w:adjustRightInd w:val="0"/>
              <w:ind w:firstLine="2"/>
              <w:jc w:val="center"/>
              <w:rPr>
                <w:rFonts w:ascii="Times New Roman" w:hAnsi="Times New Roman" w:cs="Times New Roman"/>
                <w:bCs/>
                <w:sz w:val="18"/>
                <w:szCs w:val="18"/>
              </w:rPr>
            </w:pPr>
            <w:r w:rsidRPr="009649D6">
              <w:rPr>
                <w:rFonts w:ascii="Times New Roman" w:hAnsi="Times New Roman" w:cs="Times New Roman"/>
                <w:bCs/>
                <w:sz w:val="18"/>
                <w:szCs w:val="18"/>
              </w:rPr>
              <w:t>8-10</w:t>
            </w:r>
          </w:p>
        </w:tc>
        <w:tc>
          <w:tcPr>
            <w:tcW w:w="2973" w:type="dxa"/>
            <w:vAlign w:val="center"/>
          </w:tcPr>
          <w:p w:rsidR="00B233DE" w:rsidRPr="009649D6" w:rsidRDefault="00B233DE" w:rsidP="0023489B">
            <w:pPr>
              <w:widowControl w:val="0"/>
              <w:tabs>
                <w:tab w:val="left" w:pos="142"/>
              </w:tabs>
              <w:overflowPunct w:val="0"/>
              <w:autoSpaceDE w:val="0"/>
              <w:autoSpaceDN w:val="0"/>
              <w:adjustRightInd w:val="0"/>
              <w:ind w:firstLine="2"/>
              <w:jc w:val="both"/>
              <w:rPr>
                <w:rFonts w:ascii="Times New Roman" w:hAnsi="Times New Roman" w:cs="Times New Roman"/>
                <w:sz w:val="18"/>
                <w:szCs w:val="18"/>
              </w:rPr>
            </w:pPr>
            <w:r w:rsidRPr="009649D6">
              <w:rPr>
                <w:rFonts w:ascii="Times New Roman" w:hAnsi="Times New Roman" w:cs="Times New Roman"/>
                <w:sz w:val="18"/>
                <w:szCs w:val="18"/>
              </w:rPr>
              <w:t>Початок старіння</w:t>
            </w:r>
          </w:p>
        </w:tc>
      </w:tr>
      <w:tr w:rsidR="00B233DE" w:rsidRPr="00672CBC" w:rsidTr="0023489B">
        <w:trPr>
          <w:jc w:val="center"/>
        </w:trPr>
        <w:tc>
          <w:tcPr>
            <w:tcW w:w="1102" w:type="dxa"/>
            <w:vAlign w:val="center"/>
          </w:tcPr>
          <w:p w:rsidR="00B233DE" w:rsidRPr="009649D6" w:rsidRDefault="00B233DE" w:rsidP="0023489B">
            <w:pPr>
              <w:widowControl w:val="0"/>
              <w:tabs>
                <w:tab w:val="left" w:pos="142"/>
              </w:tabs>
              <w:overflowPunct w:val="0"/>
              <w:autoSpaceDE w:val="0"/>
              <w:autoSpaceDN w:val="0"/>
              <w:adjustRightInd w:val="0"/>
              <w:ind w:firstLine="2"/>
              <w:jc w:val="center"/>
              <w:rPr>
                <w:rFonts w:ascii="Times New Roman" w:hAnsi="Times New Roman" w:cs="Times New Roman"/>
                <w:sz w:val="18"/>
                <w:szCs w:val="18"/>
              </w:rPr>
            </w:pPr>
            <w:r w:rsidRPr="009649D6">
              <w:rPr>
                <w:rFonts w:ascii="Times New Roman" w:hAnsi="Times New Roman" w:cs="Times New Roman"/>
                <w:sz w:val="18"/>
                <w:szCs w:val="18"/>
              </w:rPr>
              <w:t>3-й</w:t>
            </w:r>
          </w:p>
        </w:tc>
        <w:tc>
          <w:tcPr>
            <w:tcW w:w="1985" w:type="dxa"/>
            <w:vAlign w:val="center"/>
          </w:tcPr>
          <w:p w:rsidR="00B233DE" w:rsidRPr="009649D6" w:rsidRDefault="00B233DE" w:rsidP="0023489B">
            <w:pPr>
              <w:widowControl w:val="0"/>
              <w:tabs>
                <w:tab w:val="left" w:pos="142"/>
              </w:tabs>
              <w:overflowPunct w:val="0"/>
              <w:autoSpaceDE w:val="0"/>
              <w:autoSpaceDN w:val="0"/>
              <w:adjustRightInd w:val="0"/>
              <w:ind w:firstLine="2"/>
              <w:jc w:val="center"/>
              <w:rPr>
                <w:rFonts w:ascii="Times New Roman" w:hAnsi="Times New Roman" w:cs="Times New Roman"/>
                <w:bCs/>
                <w:sz w:val="18"/>
                <w:szCs w:val="18"/>
              </w:rPr>
            </w:pPr>
            <w:r w:rsidRPr="009649D6">
              <w:rPr>
                <w:rFonts w:ascii="Times New Roman" w:hAnsi="Times New Roman" w:cs="Times New Roman"/>
                <w:bCs/>
                <w:sz w:val="18"/>
                <w:szCs w:val="18"/>
              </w:rPr>
              <w:t>10-12</w:t>
            </w:r>
          </w:p>
        </w:tc>
        <w:tc>
          <w:tcPr>
            <w:tcW w:w="2973" w:type="dxa"/>
            <w:vAlign w:val="center"/>
          </w:tcPr>
          <w:p w:rsidR="00B233DE" w:rsidRPr="009649D6" w:rsidRDefault="00B233DE" w:rsidP="0023489B">
            <w:pPr>
              <w:widowControl w:val="0"/>
              <w:tabs>
                <w:tab w:val="left" w:pos="142"/>
              </w:tabs>
              <w:overflowPunct w:val="0"/>
              <w:autoSpaceDE w:val="0"/>
              <w:autoSpaceDN w:val="0"/>
              <w:adjustRightInd w:val="0"/>
              <w:ind w:firstLine="2"/>
              <w:jc w:val="both"/>
              <w:rPr>
                <w:rFonts w:ascii="Times New Roman" w:hAnsi="Times New Roman" w:cs="Times New Roman"/>
                <w:sz w:val="18"/>
                <w:szCs w:val="18"/>
              </w:rPr>
            </w:pPr>
            <w:r w:rsidRPr="009649D6">
              <w:rPr>
                <w:rFonts w:ascii="Times New Roman" w:hAnsi="Times New Roman" w:cs="Times New Roman"/>
                <w:sz w:val="18"/>
                <w:szCs w:val="18"/>
              </w:rPr>
              <w:t>Середній рівень старості</w:t>
            </w:r>
          </w:p>
        </w:tc>
      </w:tr>
      <w:tr w:rsidR="00B233DE" w:rsidRPr="00672CBC" w:rsidTr="0023489B">
        <w:trPr>
          <w:jc w:val="center"/>
        </w:trPr>
        <w:tc>
          <w:tcPr>
            <w:tcW w:w="1102" w:type="dxa"/>
            <w:vAlign w:val="center"/>
          </w:tcPr>
          <w:p w:rsidR="00B233DE" w:rsidRPr="009649D6" w:rsidRDefault="00B233DE" w:rsidP="0023489B">
            <w:pPr>
              <w:widowControl w:val="0"/>
              <w:tabs>
                <w:tab w:val="left" w:pos="142"/>
              </w:tabs>
              <w:overflowPunct w:val="0"/>
              <w:autoSpaceDE w:val="0"/>
              <w:autoSpaceDN w:val="0"/>
              <w:adjustRightInd w:val="0"/>
              <w:ind w:firstLine="2"/>
              <w:jc w:val="center"/>
              <w:rPr>
                <w:rFonts w:ascii="Times New Roman" w:hAnsi="Times New Roman" w:cs="Times New Roman"/>
                <w:sz w:val="18"/>
                <w:szCs w:val="18"/>
              </w:rPr>
            </w:pPr>
            <w:r w:rsidRPr="009649D6">
              <w:rPr>
                <w:rFonts w:ascii="Times New Roman" w:hAnsi="Times New Roman" w:cs="Times New Roman"/>
                <w:sz w:val="18"/>
                <w:szCs w:val="18"/>
              </w:rPr>
              <w:t>4-й</w:t>
            </w:r>
          </w:p>
        </w:tc>
        <w:tc>
          <w:tcPr>
            <w:tcW w:w="1985" w:type="dxa"/>
            <w:vAlign w:val="center"/>
          </w:tcPr>
          <w:p w:rsidR="00B233DE" w:rsidRPr="009649D6" w:rsidRDefault="00B233DE" w:rsidP="0023489B">
            <w:pPr>
              <w:widowControl w:val="0"/>
              <w:tabs>
                <w:tab w:val="left" w:pos="142"/>
              </w:tabs>
              <w:overflowPunct w:val="0"/>
              <w:autoSpaceDE w:val="0"/>
              <w:autoSpaceDN w:val="0"/>
              <w:adjustRightInd w:val="0"/>
              <w:ind w:firstLine="2"/>
              <w:jc w:val="center"/>
              <w:rPr>
                <w:rFonts w:ascii="Times New Roman" w:hAnsi="Times New Roman" w:cs="Times New Roman"/>
                <w:bCs/>
                <w:sz w:val="18"/>
                <w:szCs w:val="18"/>
              </w:rPr>
            </w:pPr>
            <w:r w:rsidRPr="009649D6">
              <w:rPr>
                <w:rFonts w:ascii="Times New Roman" w:hAnsi="Times New Roman" w:cs="Times New Roman"/>
                <w:bCs/>
                <w:sz w:val="18"/>
                <w:szCs w:val="18"/>
              </w:rPr>
              <w:t>12 і більше</w:t>
            </w:r>
          </w:p>
          <w:p w:rsidR="00B233DE" w:rsidRPr="009649D6" w:rsidRDefault="00B233DE" w:rsidP="0023489B">
            <w:pPr>
              <w:widowControl w:val="0"/>
              <w:tabs>
                <w:tab w:val="left" w:pos="142"/>
              </w:tabs>
              <w:overflowPunct w:val="0"/>
              <w:autoSpaceDE w:val="0"/>
              <w:autoSpaceDN w:val="0"/>
              <w:adjustRightInd w:val="0"/>
              <w:ind w:firstLine="2"/>
              <w:jc w:val="center"/>
              <w:rPr>
                <w:rFonts w:ascii="Times New Roman" w:hAnsi="Times New Roman" w:cs="Times New Roman"/>
                <w:bCs/>
                <w:sz w:val="18"/>
                <w:szCs w:val="18"/>
              </w:rPr>
            </w:pPr>
            <w:r w:rsidRPr="009649D6">
              <w:rPr>
                <w:rFonts w:ascii="Times New Roman" w:hAnsi="Times New Roman" w:cs="Times New Roman"/>
                <w:bCs/>
                <w:sz w:val="18"/>
                <w:szCs w:val="18"/>
              </w:rPr>
              <w:t>12</w:t>
            </w:r>
            <w:r>
              <w:rPr>
                <w:rFonts w:ascii="Times New Roman" w:hAnsi="Times New Roman" w:cs="Times New Roman"/>
                <w:bCs/>
                <w:sz w:val="18"/>
                <w:szCs w:val="18"/>
              </w:rPr>
              <w:t>–</w:t>
            </w:r>
            <w:r w:rsidRPr="009649D6">
              <w:rPr>
                <w:rFonts w:ascii="Times New Roman" w:hAnsi="Times New Roman" w:cs="Times New Roman"/>
                <w:bCs/>
                <w:sz w:val="18"/>
                <w:szCs w:val="18"/>
              </w:rPr>
              <w:t>14</w:t>
            </w:r>
          </w:p>
          <w:p w:rsidR="00B233DE" w:rsidRPr="009649D6" w:rsidRDefault="00B233DE" w:rsidP="0023489B">
            <w:pPr>
              <w:widowControl w:val="0"/>
              <w:tabs>
                <w:tab w:val="left" w:pos="142"/>
              </w:tabs>
              <w:overflowPunct w:val="0"/>
              <w:autoSpaceDE w:val="0"/>
              <w:autoSpaceDN w:val="0"/>
              <w:adjustRightInd w:val="0"/>
              <w:ind w:firstLine="2"/>
              <w:jc w:val="center"/>
              <w:rPr>
                <w:rFonts w:ascii="Times New Roman" w:hAnsi="Times New Roman" w:cs="Times New Roman"/>
                <w:bCs/>
                <w:sz w:val="18"/>
                <w:szCs w:val="18"/>
              </w:rPr>
            </w:pPr>
            <w:r w:rsidRPr="009649D6">
              <w:rPr>
                <w:rFonts w:ascii="Times New Roman" w:hAnsi="Times New Roman" w:cs="Times New Roman"/>
                <w:bCs/>
                <w:sz w:val="18"/>
                <w:szCs w:val="18"/>
              </w:rPr>
              <w:t>14</w:t>
            </w:r>
            <w:r>
              <w:rPr>
                <w:rFonts w:ascii="Times New Roman" w:hAnsi="Times New Roman" w:cs="Times New Roman"/>
                <w:bCs/>
                <w:sz w:val="18"/>
                <w:szCs w:val="18"/>
              </w:rPr>
              <w:t>–</w:t>
            </w:r>
            <w:r w:rsidRPr="009649D6">
              <w:rPr>
                <w:rFonts w:ascii="Times New Roman" w:hAnsi="Times New Roman" w:cs="Times New Roman"/>
                <w:bCs/>
                <w:sz w:val="18"/>
                <w:szCs w:val="18"/>
              </w:rPr>
              <w:t>16</w:t>
            </w:r>
          </w:p>
          <w:p w:rsidR="00B233DE" w:rsidRPr="009649D6" w:rsidRDefault="00B233DE" w:rsidP="0023489B">
            <w:pPr>
              <w:widowControl w:val="0"/>
              <w:tabs>
                <w:tab w:val="left" w:pos="142"/>
              </w:tabs>
              <w:overflowPunct w:val="0"/>
              <w:autoSpaceDE w:val="0"/>
              <w:autoSpaceDN w:val="0"/>
              <w:adjustRightInd w:val="0"/>
              <w:ind w:firstLine="2"/>
              <w:jc w:val="center"/>
              <w:rPr>
                <w:rFonts w:ascii="Times New Roman" w:hAnsi="Times New Roman" w:cs="Times New Roman"/>
                <w:bCs/>
                <w:sz w:val="18"/>
                <w:szCs w:val="18"/>
              </w:rPr>
            </w:pPr>
            <w:r w:rsidRPr="009649D6">
              <w:rPr>
                <w:rFonts w:ascii="Times New Roman" w:hAnsi="Times New Roman" w:cs="Times New Roman"/>
                <w:bCs/>
                <w:sz w:val="18"/>
                <w:szCs w:val="18"/>
              </w:rPr>
              <w:t>16</w:t>
            </w:r>
            <w:r>
              <w:rPr>
                <w:rFonts w:ascii="Times New Roman" w:hAnsi="Times New Roman" w:cs="Times New Roman"/>
                <w:bCs/>
                <w:sz w:val="18"/>
                <w:szCs w:val="18"/>
              </w:rPr>
              <w:t>–</w:t>
            </w:r>
            <w:r w:rsidRPr="009649D6">
              <w:rPr>
                <w:rFonts w:ascii="Times New Roman" w:hAnsi="Times New Roman" w:cs="Times New Roman"/>
                <w:bCs/>
                <w:sz w:val="18"/>
                <w:szCs w:val="18"/>
              </w:rPr>
              <w:t>18</w:t>
            </w:r>
          </w:p>
          <w:p w:rsidR="00B233DE" w:rsidRPr="009649D6" w:rsidRDefault="00B233DE" w:rsidP="0023489B">
            <w:pPr>
              <w:widowControl w:val="0"/>
              <w:tabs>
                <w:tab w:val="left" w:pos="142"/>
              </w:tabs>
              <w:overflowPunct w:val="0"/>
              <w:autoSpaceDE w:val="0"/>
              <w:autoSpaceDN w:val="0"/>
              <w:adjustRightInd w:val="0"/>
              <w:ind w:firstLine="2"/>
              <w:jc w:val="center"/>
              <w:rPr>
                <w:rFonts w:ascii="Times New Roman" w:hAnsi="Times New Roman" w:cs="Times New Roman"/>
                <w:bCs/>
                <w:sz w:val="18"/>
                <w:szCs w:val="18"/>
              </w:rPr>
            </w:pPr>
            <w:r w:rsidRPr="009649D6">
              <w:rPr>
                <w:rFonts w:ascii="Times New Roman" w:hAnsi="Times New Roman" w:cs="Times New Roman"/>
                <w:bCs/>
                <w:sz w:val="18"/>
                <w:szCs w:val="18"/>
              </w:rPr>
              <w:t>18 і більше</w:t>
            </w:r>
          </w:p>
        </w:tc>
        <w:tc>
          <w:tcPr>
            <w:tcW w:w="2973" w:type="dxa"/>
            <w:vAlign w:val="center"/>
          </w:tcPr>
          <w:p w:rsidR="00B233DE" w:rsidRPr="009649D6" w:rsidRDefault="00B233DE" w:rsidP="0023489B">
            <w:pPr>
              <w:widowControl w:val="0"/>
              <w:tabs>
                <w:tab w:val="left" w:pos="142"/>
              </w:tabs>
              <w:overflowPunct w:val="0"/>
              <w:autoSpaceDE w:val="0"/>
              <w:autoSpaceDN w:val="0"/>
              <w:adjustRightInd w:val="0"/>
              <w:ind w:firstLine="2"/>
              <w:jc w:val="both"/>
              <w:rPr>
                <w:rFonts w:ascii="Times New Roman" w:hAnsi="Times New Roman" w:cs="Times New Roman"/>
                <w:sz w:val="18"/>
                <w:szCs w:val="18"/>
              </w:rPr>
            </w:pPr>
            <w:r w:rsidRPr="009649D6">
              <w:rPr>
                <w:rFonts w:ascii="Times New Roman" w:hAnsi="Times New Roman" w:cs="Times New Roman"/>
                <w:sz w:val="18"/>
                <w:szCs w:val="18"/>
              </w:rPr>
              <w:t>Демографічна старість</w:t>
            </w:r>
          </w:p>
          <w:p w:rsidR="00B233DE" w:rsidRPr="009649D6" w:rsidRDefault="00B233DE" w:rsidP="0023489B">
            <w:pPr>
              <w:widowControl w:val="0"/>
              <w:tabs>
                <w:tab w:val="left" w:pos="142"/>
              </w:tabs>
              <w:overflowPunct w:val="0"/>
              <w:autoSpaceDE w:val="0"/>
              <w:autoSpaceDN w:val="0"/>
              <w:adjustRightInd w:val="0"/>
              <w:ind w:firstLine="2"/>
              <w:jc w:val="both"/>
              <w:rPr>
                <w:rFonts w:ascii="Times New Roman" w:hAnsi="Times New Roman" w:cs="Times New Roman"/>
                <w:bCs/>
                <w:sz w:val="18"/>
                <w:szCs w:val="18"/>
              </w:rPr>
            </w:pPr>
            <w:r w:rsidRPr="009649D6">
              <w:rPr>
                <w:rFonts w:ascii="Times New Roman" w:hAnsi="Times New Roman" w:cs="Times New Roman"/>
                <w:bCs/>
                <w:sz w:val="18"/>
                <w:szCs w:val="18"/>
              </w:rPr>
              <w:t>Початковий рівень</w:t>
            </w:r>
          </w:p>
          <w:p w:rsidR="00B233DE" w:rsidRPr="009649D6" w:rsidRDefault="00B233DE" w:rsidP="0023489B">
            <w:pPr>
              <w:widowControl w:val="0"/>
              <w:tabs>
                <w:tab w:val="left" w:pos="142"/>
              </w:tabs>
              <w:overflowPunct w:val="0"/>
              <w:autoSpaceDE w:val="0"/>
              <w:autoSpaceDN w:val="0"/>
              <w:adjustRightInd w:val="0"/>
              <w:ind w:firstLine="2"/>
              <w:jc w:val="both"/>
              <w:rPr>
                <w:rFonts w:ascii="Times New Roman" w:hAnsi="Times New Roman" w:cs="Times New Roman"/>
                <w:bCs/>
                <w:sz w:val="18"/>
                <w:szCs w:val="18"/>
              </w:rPr>
            </w:pPr>
            <w:r w:rsidRPr="009649D6">
              <w:rPr>
                <w:rFonts w:ascii="Times New Roman" w:hAnsi="Times New Roman" w:cs="Times New Roman"/>
                <w:bCs/>
                <w:sz w:val="18"/>
                <w:szCs w:val="18"/>
              </w:rPr>
              <w:t>Середній рівень</w:t>
            </w:r>
          </w:p>
          <w:p w:rsidR="00B233DE" w:rsidRPr="009649D6" w:rsidRDefault="00B233DE" w:rsidP="0023489B">
            <w:pPr>
              <w:widowControl w:val="0"/>
              <w:tabs>
                <w:tab w:val="left" w:pos="142"/>
              </w:tabs>
              <w:overflowPunct w:val="0"/>
              <w:autoSpaceDE w:val="0"/>
              <w:autoSpaceDN w:val="0"/>
              <w:adjustRightInd w:val="0"/>
              <w:ind w:firstLine="2"/>
              <w:jc w:val="both"/>
              <w:rPr>
                <w:rFonts w:ascii="Times New Roman" w:hAnsi="Times New Roman" w:cs="Times New Roman"/>
                <w:bCs/>
                <w:sz w:val="18"/>
                <w:szCs w:val="18"/>
              </w:rPr>
            </w:pPr>
            <w:r w:rsidRPr="009649D6">
              <w:rPr>
                <w:rFonts w:ascii="Times New Roman" w:hAnsi="Times New Roman" w:cs="Times New Roman"/>
                <w:bCs/>
                <w:sz w:val="18"/>
                <w:szCs w:val="18"/>
              </w:rPr>
              <w:t>Високий рівень</w:t>
            </w:r>
          </w:p>
          <w:p w:rsidR="00B233DE" w:rsidRPr="009649D6" w:rsidRDefault="00B233DE" w:rsidP="0023489B">
            <w:pPr>
              <w:widowControl w:val="0"/>
              <w:tabs>
                <w:tab w:val="left" w:pos="142"/>
              </w:tabs>
              <w:overflowPunct w:val="0"/>
              <w:autoSpaceDE w:val="0"/>
              <w:autoSpaceDN w:val="0"/>
              <w:adjustRightInd w:val="0"/>
              <w:ind w:firstLine="2"/>
              <w:jc w:val="both"/>
              <w:rPr>
                <w:rFonts w:ascii="Times New Roman" w:hAnsi="Times New Roman" w:cs="Times New Roman"/>
                <w:sz w:val="18"/>
                <w:szCs w:val="18"/>
              </w:rPr>
            </w:pPr>
            <w:r w:rsidRPr="009649D6">
              <w:rPr>
                <w:rFonts w:ascii="Times New Roman" w:hAnsi="Times New Roman" w:cs="Times New Roman"/>
                <w:bCs/>
                <w:sz w:val="18"/>
                <w:szCs w:val="18"/>
              </w:rPr>
              <w:t>Надзвичайно високий рівень</w:t>
            </w:r>
          </w:p>
        </w:tc>
      </w:tr>
    </w:tbl>
    <w:p w:rsidR="00B233DE" w:rsidRDefault="00B233DE" w:rsidP="00B233DE">
      <w:pPr>
        <w:jc w:val="both"/>
        <w:rPr>
          <w:rFonts w:ascii="Times New Roman" w:hAnsi="Times New Roman" w:cs="Times New Roman"/>
          <w:sz w:val="21"/>
          <w:szCs w:val="21"/>
        </w:rPr>
      </w:pPr>
      <w:r>
        <w:rPr>
          <w:rFonts w:ascii="Times New Roman" w:hAnsi="Times New Roman" w:cs="Times New Roman"/>
          <w:noProof/>
          <w:sz w:val="21"/>
          <w:szCs w:val="21"/>
          <w:lang w:val="ru-RU" w:eastAsia="ru-RU"/>
        </w:rPr>
        <w:drawing>
          <wp:anchor distT="0" distB="0" distL="114300" distR="114300" simplePos="0" relativeHeight="251664384" behindDoc="1" locked="0" layoutInCell="0" allowOverlap="1" wp14:anchorId="405DFC47" wp14:editId="70A40715">
            <wp:simplePos x="0" y="0"/>
            <wp:positionH relativeFrom="margin">
              <wp:posOffset>1924050</wp:posOffset>
            </wp:positionH>
            <wp:positionV relativeFrom="paragraph">
              <wp:posOffset>5398135</wp:posOffset>
            </wp:positionV>
            <wp:extent cx="4143375" cy="1524000"/>
            <wp:effectExtent l="0" t="0" r="9525" b="0"/>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143375" cy="1524000"/>
                    </a:xfrm>
                    <a:prstGeom prst="rect">
                      <a:avLst/>
                    </a:prstGeom>
                    <a:noFill/>
                  </pic:spPr>
                </pic:pic>
              </a:graphicData>
            </a:graphic>
            <wp14:sizeRelH relativeFrom="page">
              <wp14:pctWidth>0</wp14:pctWidth>
            </wp14:sizeRelH>
            <wp14:sizeRelV relativeFrom="page">
              <wp14:pctHeight>0</wp14:pctHeight>
            </wp14:sizeRelV>
          </wp:anchor>
        </w:drawing>
      </w:r>
    </w:p>
    <w:p w:rsidR="00B233DE"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AF6481">
        <w:rPr>
          <w:rFonts w:ascii="Times New Roman" w:hAnsi="Times New Roman" w:cs="Times New Roman"/>
          <w:sz w:val="21"/>
          <w:szCs w:val="21"/>
        </w:rPr>
        <w:t xml:space="preserve">Процес старіння населення </w:t>
      </w:r>
      <w:r>
        <w:rPr>
          <w:rFonts w:ascii="Times New Roman" w:hAnsi="Times New Roman" w:cs="Times New Roman"/>
          <w:sz w:val="21"/>
          <w:szCs w:val="21"/>
        </w:rPr>
        <w:t>–</w:t>
      </w:r>
      <w:r w:rsidRPr="00AF6481">
        <w:rPr>
          <w:rFonts w:ascii="Times New Roman" w:hAnsi="Times New Roman" w:cs="Times New Roman"/>
          <w:sz w:val="21"/>
          <w:szCs w:val="21"/>
        </w:rPr>
        <w:t xml:space="preserve"> це об’єктивний історично зумовлений процес, результат зниження народжуваності та збереження її впродовж тривалого періоду на рівні, що не забезпечує навіть простого відтворення поколінь.</w:t>
      </w:r>
    </w:p>
    <w:p w:rsidR="00B233DE" w:rsidRPr="00AF6481"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AF6481">
        <w:rPr>
          <w:rFonts w:ascii="Times New Roman" w:hAnsi="Times New Roman" w:cs="Times New Roman"/>
          <w:sz w:val="21"/>
          <w:szCs w:val="21"/>
        </w:rPr>
        <w:t>Старіння населення породжує нові вимоги до соціального забезпечення і медичного обслуговування літніх і старих людей. Збільшення їхньої частки</w:t>
      </w:r>
      <w:r>
        <w:rPr>
          <w:rFonts w:ascii="Times New Roman" w:hAnsi="Times New Roman" w:cs="Times New Roman"/>
          <w:sz w:val="21"/>
          <w:szCs w:val="21"/>
        </w:rPr>
        <w:t>,</w:t>
      </w:r>
      <w:r w:rsidRPr="00AF6481">
        <w:rPr>
          <w:rFonts w:ascii="Times New Roman" w:hAnsi="Times New Roman" w:cs="Times New Roman"/>
          <w:sz w:val="21"/>
          <w:szCs w:val="21"/>
        </w:rPr>
        <w:t xml:space="preserve"> на тлі скорочення чисельності економічно активного населення, веде до росту демографічного навантаження, створює додаткові труднощі в їхньому пенсійному забезпеченні. </w:t>
      </w:r>
      <w:r>
        <w:rPr>
          <w:rFonts w:ascii="Times New Roman" w:hAnsi="Times New Roman" w:cs="Times New Roman"/>
          <w:sz w:val="21"/>
          <w:szCs w:val="21"/>
        </w:rPr>
        <w:t>Врахування</w:t>
      </w:r>
      <w:r w:rsidRPr="00AF6481">
        <w:rPr>
          <w:rFonts w:ascii="Times New Roman" w:hAnsi="Times New Roman" w:cs="Times New Roman"/>
          <w:sz w:val="21"/>
          <w:szCs w:val="21"/>
        </w:rPr>
        <w:t xml:space="preserve"> тенденцій і наслідків демографічного старіння є одн</w:t>
      </w:r>
      <w:r>
        <w:rPr>
          <w:rFonts w:ascii="Times New Roman" w:hAnsi="Times New Roman" w:cs="Times New Roman"/>
          <w:sz w:val="21"/>
          <w:szCs w:val="21"/>
        </w:rPr>
        <w:t>им</w:t>
      </w:r>
      <w:r w:rsidRPr="00AF6481">
        <w:rPr>
          <w:rFonts w:ascii="Times New Roman" w:hAnsi="Times New Roman" w:cs="Times New Roman"/>
          <w:sz w:val="21"/>
          <w:szCs w:val="21"/>
        </w:rPr>
        <w:t xml:space="preserve"> </w:t>
      </w:r>
      <w:r>
        <w:rPr>
          <w:rFonts w:ascii="Times New Roman" w:hAnsi="Times New Roman" w:cs="Times New Roman"/>
          <w:sz w:val="21"/>
          <w:szCs w:val="21"/>
        </w:rPr>
        <w:t>і</w:t>
      </w:r>
      <w:r w:rsidRPr="00AF6481">
        <w:rPr>
          <w:rFonts w:ascii="Times New Roman" w:hAnsi="Times New Roman" w:cs="Times New Roman"/>
          <w:sz w:val="21"/>
          <w:szCs w:val="21"/>
        </w:rPr>
        <w:t xml:space="preserve">з найважливіших завдань соціальної політики. </w:t>
      </w:r>
    </w:p>
    <w:p w:rsidR="00B233DE" w:rsidRPr="00AF6481"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AF6481">
        <w:rPr>
          <w:rFonts w:ascii="Times New Roman" w:hAnsi="Times New Roman" w:cs="Times New Roman"/>
          <w:sz w:val="21"/>
          <w:szCs w:val="21"/>
        </w:rPr>
        <w:lastRenderedPageBreak/>
        <w:t>Статево-вікові піраміди дають багато можливостей для аналізу. Порівняльна довжина щаблів дає уявлення про вплив на віковий склад населення процесів народжуваності і смертності, а також відображає «демографічне відлуння» порушень в чисельності і віковій структурі населення або порушень інтенсивності відтворення населення (наприклад, через війну або постійну міграцію). Вікові піраміди полегшують демографічний прогноз: потрібно накласти одну на одну вікові піраміди за двома переписами і проаналізувати зрушення. Вікові піраміди знаходять застосування в демографічних моделях. Можна порівняти вікові піраміди реального населення і стаціонарного (стабільного), що дозволяє вловити зміни в режимі відтворення і встанов</w:t>
      </w:r>
      <w:r>
        <w:rPr>
          <w:rFonts w:ascii="Times New Roman" w:hAnsi="Times New Roman" w:cs="Times New Roman"/>
          <w:sz w:val="21"/>
          <w:szCs w:val="21"/>
        </w:rPr>
        <w:t>и</w:t>
      </w:r>
      <w:r w:rsidRPr="00AF6481">
        <w:rPr>
          <w:rFonts w:ascii="Times New Roman" w:hAnsi="Times New Roman" w:cs="Times New Roman"/>
          <w:sz w:val="21"/>
          <w:szCs w:val="21"/>
        </w:rPr>
        <w:t>ти час такого переходу.</w:t>
      </w:r>
    </w:p>
    <w:p w:rsidR="00B233DE" w:rsidRPr="00AF6481"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AF6481">
        <w:rPr>
          <w:rFonts w:ascii="Times New Roman" w:hAnsi="Times New Roman" w:cs="Times New Roman"/>
          <w:sz w:val="21"/>
          <w:szCs w:val="21"/>
        </w:rPr>
        <w:t xml:space="preserve">Кількісні і якісні характеристики демографічного потенціалу країни (регіону) залежатимуть від </w:t>
      </w:r>
      <w:r w:rsidRPr="00AF6481">
        <w:rPr>
          <w:rFonts w:ascii="Times New Roman" w:hAnsi="Times New Roman" w:cs="Times New Roman"/>
          <w:bCs/>
          <w:iCs/>
          <w:sz w:val="21"/>
          <w:szCs w:val="21"/>
        </w:rPr>
        <w:t>декількох факторів.</w:t>
      </w:r>
      <w:r>
        <w:rPr>
          <w:rFonts w:ascii="Times New Roman" w:hAnsi="Times New Roman" w:cs="Times New Roman"/>
          <w:sz w:val="21"/>
          <w:szCs w:val="21"/>
        </w:rPr>
        <w:t xml:space="preserve"> </w:t>
      </w:r>
      <w:r w:rsidRPr="00AF6481">
        <w:rPr>
          <w:rFonts w:ascii="Times New Roman" w:hAnsi="Times New Roman" w:cs="Times New Roman"/>
          <w:sz w:val="21"/>
          <w:szCs w:val="21"/>
        </w:rPr>
        <w:t>Насамперед, це характер і співвідношення процесів природного руху населення (народжуваності та смертності). У випадку, коли абсолютний показник народження перевищує абсолютне число смертей, то природний приріст позитивний. В іншому випадку – відмічають природне зменшення населення в країні або регіоні.</w:t>
      </w:r>
    </w:p>
    <w:p w:rsidR="00B233DE" w:rsidRPr="00AF6481"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AF6481">
        <w:rPr>
          <w:rFonts w:ascii="Times New Roman" w:hAnsi="Times New Roman" w:cs="Times New Roman"/>
          <w:sz w:val="21"/>
          <w:szCs w:val="21"/>
        </w:rPr>
        <w:t xml:space="preserve">По-друге, результативність міграційних процесів, яка становить різницю між кількістю людей, які прибули в регіон (країну) і </w:t>
      </w:r>
      <w:r>
        <w:rPr>
          <w:rFonts w:ascii="Times New Roman" w:hAnsi="Times New Roman" w:cs="Times New Roman"/>
          <w:sz w:val="21"/>
          <w:szCs w:val="21"/>
        </w:rPr>
        <w:t xml:space="preserve">тими, що </w:t>
      </w:r>
      <w:r w:rsidRPr="00AF6481">
        <w:rPr>
          <w:rFonts w:ascii="Times New Roman" w:hAnsi="Times New Roman" w:cs="Times New Roman"/>
          <w:sz w:val="21"/>
          <w:szCs w:val="21"/>
        </w:rPr>
        <w:t>вибули з регіону (країни). Якщо показник позитивний, то міграція позитивно відбивається на формуванні демографічного потенціалу. Відтак</w:t>
      </w:r>
      <w:r>
        <w:rPr>
          <w:rFonts w:ascii="Times New Roman" w:hAnsi="Times New Roman" w:cs="Times New Roman"/>
          <w:sz w:val="21"/>
          <w:szCs w:val="21"/>
        </w:rPr>
        <w:t>,</w:t>
      </w:r>
      <w:r w:rsidRPr="00AF6481">
        <w:rPr>
          <w:rFonts w:ascii="Times New Roman" w:hAnsi="Times New Roman" w:cs="Times New Roman"/>
          <w:sz w:val="21"/>
          <w:szCs w:val="21"/>
        </w:rPr>
        <w:t xml:space="preserve"> міграція не завжди компенсує скорочення чисельності населення. Наприклад, в Україні убуток населення в результаті природного руху настільки значний, що позитивне сальдо міграції не може повністю компенсувати втрати населення країни.</w:t>
      </w:r>
    </w:p>
    <w:p w:rsidR="00B233DE" w:rsidRPr="00AF6481"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bookmarkStart w:id="82" w:name="page25"/>
      <w:bookmarkEnd w:id="82"/>
      <w:r w:rsidRPr="00AF6481">
        <w:rPr>
          <w:rFonts w:ascii="Times New Roman" w:hAnsi="Times New Roman" w:cs="Times New Roman"/>
          <w:sz w:val="21"/>
          <w:szCs w:val="21"/>
        </w:rPr>
        <w:t>По-третє, якісні сторони природного та міграційного руху населення можуть змінити структуру демографічного потенціалу регіону чи країни. Наприклад, в залежності від того, як відрізняється смертність в різних вікових і статевих групах, буде змінюватися статево-вікова структура населення регіону чи країни. Міграція може суттєво змінити етнічну або освітню структуру населення регіону чи країни. Відмінності репродуктивних показників народжуваності різних народів можуть впливати на етнічний склад населення території.</w:t>
      </w:r>
    </w:p>
    <w:p w:rsidR="00B233DE" w:rsidRPr="00AF6481"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AF6481">
        <w:rPr>
          <w:rFonts w:ascii="Times New Roman" w:hAnsi="Times New Roman" w:cs="Times New Roman"/>
          <w:sz w:val="21"/>
          <w:szCs w:val="21"/>
        </w:rPr>
        <w:t>По</w:t>
      </w:r>
      <w:r w:rsidRPr="00AF6481">
        <w:rPr>
          <w:rFonts w:ascii="Times New Roman" w:hAnsi="Times New Roman" w:cs="Times New Roman"/>
          <w:b/>
          <w:sz w:val="21"/>
          <w:szCs w:val="21"/>
        </w:rPr>
        <w:t>-</w:t>
      </w:r>
      <w:r w:rsidRPr="00AF6481">
        <w:rPr>
          <w:rFonts w:ascii="Times New Roman" w:hAnsi="Times New Roman" w:cs="Times New Roman"/>
          <w:sz w:val="21"/>
          <w:szCs w:val="21"/>
        </w:rPr>
        <w:t xml:space="preserve">четверте, на кількісні та якісні характеристики </w:t>
      </w:r>
      <w:r w:rsidRPr="00AF6481">
        <w:rPr>
          <w:rFonts w:ascii="Times New Roman" w:hAnsi="Times New Roman" w:cs="Times New Roman"/>
          <w:sz w:val="21"/>
          <w:szCs w:val="21"/>
        </w:rPr>
        <w:lastRenderedPageBreak/>
        <w:t>демографічного потенціалу впливають соціально-економічні процеси (рівень життя, витрати держави та доступність для населення послуг охорони здоров’я і освіти, наявність житла</w:t>
      </w:r>
      <w:r>
        <w:rPr>
          <w:rFonts w:ascii="Times New Roman" w:hAnsi="Times New Roman" w:cs="Times New Roman"/>
          <w:sz w:val="21"/>
          <w:szCs w:val="21"/>
        </w:rPr>
        <w:t xml:space="preserve"> та комфортних умов життя тощо</w:t>
      </w:r>
      <w:r w:rsidRPr="00AF6481">
        <w:rPr>
          <w:rFonts w:ascii="Times New Roman" w:hAnsi="Times New Roman" w:cs="Times New Roman"/>
          <w:sz w:val="21"/>
          <w:szCs w:val="21"/>
        </w:rPr>
        <w:t>). Існує точка зору, згідно якої рівень життя має незначний вплив на демографічні процеси, які в основному визначаються біологічними закономірностями. Більшість науковців вважають, що саме соціально-економічні фактори значно впливають на демографічний потенціал. Наприклад, в сучасній Україні підвищені показники смертності людей в працездатному віці обумовлені розповсюдженням негативних соціальних явищ (безробіття, стреси, пияцтво, наркоманія тощо). Занижені показники народжуваності в значній частині соціально-адаптованих груп українців викликані відсутністю житла та гідної заробітної плати.</w:t>
      </w:r>
    </w:p>
    <w:p w:rsidR="00B233DE" w:rsidRPr="00AF6481"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AF6481">
        <w:rPr>
          <w:rFonts w:ascii="Times New Roman" w:hAnsi="Times New Roman" w:cs="Times New Roman"/>
          <w:sz w:val="21"/>
          <w:szCs w:val="21"/>
        </w:rPr>
        <w:t xml:space="preserve">Демографічний потенціал будь-якої країни формується в ході </w:t>
      </w:r>
      <w:r w:rsidRPr="00AF6481">
        <w:rPr>
          <w:rFonts w:ascii="Times New Roman" w:hAnsi="Times New Roman" w:cs="Times New Roman"/>
          <w:bCs/>
          <w:iCs/>
          <w:sz w:val="21"/>
          <w:szCs w:val="21"/>
        </w:rPr>
        <w:t xml:space="preserve">відтворення населення, </w:t>
      </w:r>
      <w:r w:rsidRPr="00AF6481">
        <w:rPr>
          <w:rFonts w:ascii="Times New Roman" w:hAnsi="Times New Roman" w:cs="Times New Roman"/>
          <w:sz w:val="21"/>
          <w:szCs w:val="21"/>
        </w:rPr>
        <w:t>яке представляє собою процес</w:t>
      </w:r>
      <w:r w:rsidRPr="00AF6481">
        <w:rPr>
          <w:rFonts w:ascii="Times New Roman" w:hAnsi="Times New Roman" w:cs="Times New Roman"/>
          <w:bCs/>
          <w:iCs/>
          <w:sz w:val="21"/>
          <w:szCs w:val="21"/>
        </w:rPr>
        <w:t xml:space="preserve"> без</w:t>
      </w:r>
      <w:r w:rsidRPr="00AF6481">
        <w:rPr>
          <w:rFonts w:ascii="Times New Roman" w:hAnsi="Times New Roman" w:cs="Times New Roman"/>
          <w:sz w:val="21"/>
          <w:szCs w:val="21"/>
        </w:rPr>
        <w:t>перервної зміни поколінь в результаті народжуваності та смертності. Відтворення населення може бути звуженим (покоління дітей</w:t>
      </w:r>
      <w:bookmarkStart w:id="83" w:name="page27"/>
      <w:bookmarkEnd w:id="83"/>
      <w:r w:rsidRPr="00AF6481">
        <w:rPr>
          <w:rFonts w:ascii="Times New Roman" w:hAnsi="Times New Roman" w:cs="Times New Roman"/>
          <w:sz w:val="21"/>
          <w:szCs w:val="21"/>
        </w:rPr>
        <w:t xml:space="preserve"> не повністю відтворює покоління батьків). Наприклад, наприкінці 1990-х – початку поточного десятиріччя оновлення поколінь в Україні в цілому забезпечувалось менш ніж </w:t>
      </w:r>
      <w:r w:rsidRPr="00D7131A">
        <w:rPr>
          <w:rFonts w:ascii="Times New Roman" w:hAnsi="Times New Roman" w:cs="Times New Roman"/>
          <w:spacing w:val="-4"/>
          <w:sz w:val="21"/>
          <w:szCs w:val="21"/>
        </w:rPr>
        <w:t>на половину, а останнім часом (як і п’ятнадцять років тому) – на 2/3;</w:t>
      </w:r>
      <w:r w:rsidRPr="00AF6481">
        <w:rPr>
          <w:rFonts w:ascii="Times New Roman" w:hAnsi="Times New Roman" w:cs="Times New Roman"/>
          <w:sz w:val="21"/>
          <w:szCs w:val="21"/>
        </w:rPr>
        <w:t xml:space="preserve"> </w:t>
      </w:r>
      <w:r w:rsidRPr="00D7131A">
        <w:rPr>
          <w:rFonts w:ascii="Times New Roman" w:hAnsi="Times New Roman" w:cs="Times New Roman"/>
          <w:spacing w:val="-6"/>
          <w:sz w:val="21"/>
          <w:szCs w:val="21"/>
        </w:rPr>
        <w:t>крім того, від покоління до покоління погіршується здоров’я населення.</w:t>
      </w:r>
    </w:p>
    <w:p w:rsidR="00B233DE" w:rsidRPr="00AF6481"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AF6481">
        <w:rPr>
          <w:rFonts w:ascii="Times New Roman" w:hAnsi="Times New Roman" w:cs="Times New Roman"/>
          <w:sz w:val="21"/>
          <w:szCs w:val="21"/>
        </w:rPr>
        <w:t>Просте відтворення має місце тоді, коли покоління дітей відтворює покоління батьків. Згідно показників, для досягнення даного результату потрібно, щоб на одну жінку репродуктивного віку припадало по 2,14</w:t>
      </w:r>
      <w:r>
        <w:rPr>
          <w:rFonts w:ascii="Times New Roman" w:hAnsi="Times New Roman" w:cs="Times New Roman"/>
          <w:sz w:val="21"/>
          <w:szCs w:val="21"/>
        </w:rPr>
        <w:t>–</w:t>
      </w:r>
      <w:r w:rsidRPr="00AF6481">
        <w:rPr>
          <w:rFonts w:ascii="Times New Roman" w:hAnsi="Times New Roman" w:cs="Times New Roman"/>
          <w:sz w:val="21"/>
          <w:szCs w:val="21"/>
        </w:rPr>
        <w:t>2</w:t>
      </w:r>
      <w:r>
        <w:rPr>
          <w:rFonts w:ascii="Times New Roman" w:hAnsi="Times New Roman" w:cs="Times New Roman"/>
          <w:sz w:val="21"/>
          <w:szCs w:val="21"/>
        </w:rPr>
        <w:t xml:space="preserve">,15 дитини, а на одну родину, </w:t>
      </w:r>
      <w:r w:rsidRPr="00AF6481">
        <w:rPr>
          <w:rFonts w:ascii="Times New Roman" w:hAnsi="Times New Roman" w:cs="Times New Roman"/>
          <w:sz w:val="21"/>
          <w:szCs w:val="21"/>
        </w:rPr>
        <w:t>яка здатна мати дітей</w:t>
      </w:r>
      <w:r>
        <w:rPr>
          <w:rFonts w:ascii="Times New Roman" w:hAnsi="Times New Roman" w:cs="Times New Roman"/>
          <w:sz w:val="21"/>
          <w:szCs w:val="21"/>
        </w:rPr>
        <w:t>,</w:t>
      </w:r>
      <w:r w:rsidRPr="00AF6481">
        <w:rPr>
          <w:rFonts w:ascii="Times New Roman" w:hAnsi="Times New Roman" w:cs="Times New Roman"/>
          <w:sz w:val="21"/>
          <w:szCs w:val="21"/>
        </w:rPr>
        <w:t xml:space="preserve"> не менш ніж 2,3</w:t>
      </w:r>
      <w:r>
        <w:rPr>
          <w:rFonts w:ascii="Times New Roman" w:hAnsi="Times New Roman" w:cs="Times New Roman"/>
          <w:sz w:val="21"/>
          <w:szCs w:val="21"/>
        </w:rPr>
        <w:t>–</w:t>
      </w:r>
      <w:r w:rsidRPr="00AF6481">
        <w:rPr>
          <w:rFonts w:ascii="Times New Roman" w:hAnsi="Times New Roman" w:cs="Times New Roman"/>
          <w:sz w:val="21"/>
          <w:szCs w:val="21"/>
        </w:rPr>
        <w:t>2,4 дитини. Розширене відтворення населення – явище, при якому покоління дітей більше, ніж покоління батьків. Розширений тип відтворення зберігається в основному в країнах, що розвиваються.</w:t>
      </w:r>
    </w:p>
    <w:p w:rsidR="00B233DE" w:rsidRPr="00AF6481"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AF6481">
        <w:rPr>
          <w:rFonts w:ascii="Times New Roman" w:hAnsi="Times New Roman" w:cs="Times New Roman"/>
          <w:sz w:val="21"/>
          <w:szCs w:val="21"/>
        </w:rPr>
        <w:t>Важливою складовою відтворення населення та фактору формування демографічного потенціалу є народжуваність. Від зміни репродуктивних функцій населення та рівня народжуваності в значній мірі залежать перспективи демографічного розвитку регіонів, а також цілих країн. Тому, вивченню репродуктивної поведінки і народжуваності в демографічній науці відводиться особливе місце.</w:t>
      </w:r>
    </w:p>
    <w:p w:rsidR="00B233DE" w:rsidRPr="00AF6481"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AF6481">
        <w:rPr>
          <w:rFonts w:ascii="Times New Roman" w:hAnsi="Times New Roman" w:cs="Times New Roman"/>
          <w:bCs/>
          <w:iCs/>
          <w:sz w:val="21"/>
          <w:szCs w:val="21"/>
        </w:rPr>
        <w:t xml:space="preserve">Народжуваність </w:t>
      </w:r>
      <w:r w:rsidRPr="00AF6481">
        <w:rPr>
          <w:rFonts w:ascii="Times New Roman" w:hAnsi="Times New Roman" w:cs="Times New Roman"/>
          <w:sz w:val="21"/>
          <w:szCs w:val="21"/>
        </w:rPr>
        <w:t xml:space="preserve">являє собою масовий процес народження </w:t>
      </w:r>
      <w:r w:rsidRPr="00AF6481">
        <w:rPr>
          <w:rFonts w:ascii="Times New Roman" w:hAnsi="Times New Roman" w:cs="Times New Roman"/>
          <w:sz w:val="21"/>
          <w:szCs w:val="21"/>
        </w:rPr>
        <w:lastRenderedPageBreak/>
        <w:t xml:space="preserve">дітей, який складається з одиничних актів дітонародження. Від народжуваності багато в чому залежить процес заміщення поколінь в суспільстві, тобто відтворення населення. Основою народжуваності та відтворення населення є плодовитість – біологічна (фізіологічна) здатність до зачаття і народження дітей. Теоретично число народження в одноплідних пологах може варіюватися в достатньо великих межах від 0 до 35 (репродуктивний вік жінок, як правило, від 15 до 50 років). Максимальних параметрів плодовитість досягає у віці від 20 до 30 років, а потім починає спадати. Однак максимальна плодовитість рідко реалізується в повному обсязі через причини природного та набутого характеру. За відсутністю практики внутрішньо-сімейного обмеження народжуваності межі народжуваності регулюються соціальними нормами, нормами поведінки в шлюбі, співвідношенням статей в шлюбному і репродуктивному віці, а також рівнем смертності цих груп населення. При сприятливому співвідношенні всіх цих параметрів реально досяжним рівнем народжуваності є приблизно 8 живо народжень в середньому за один ефективний шлюб. </w:t>
      </w:r>
    </w:p>
    <w:p w:rsidR="00B233DE" w:rsidRPr="00AF6481"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AF6481">
        <w:rPr>
          <w:rFonts w:ascii="Times New Roman" w:hAnsi="Times New Roman" w:cs="Times New Roman"/>
          <w:sz w:val="21"/>
          <w:szCs w:val="21"/>
        </w:rPr>
        <w:t xml:space="preserve">Рівень народжуваності визначається репродуктивною поведінкою населення. </w:t>
      </w:r>
      <w:r w:rsidRPr="00AF6481">
        <w:rPr>
          <w:rFonts w:ascii="Times New Roman" w:hAnsi="Times New Roman" w:cs="Times New Roman"/>
          <w:bCs/>
          <w:iCs/>
          <w:sz w:val="21"/>
          <w:szCs w:val="21"/>
        </w:rPr>
        <w:t>Репродуктивна поведінка</w:t>
      </w:r>
      <w:r w:rsidRPr="00AF6481">
        <w:rPr>
          <w:rFonts w:ascii="Times New Roman" w:hAnsi="Times New Roman" w:cs="Times New Roman"/>
          <w:sz w:val="21"/>
          <w:szCs w:val="21"/>
        </w:rPr>
        <w:t xml:space="preserve"> </w:t>
      </w:r>
      <w:r>
        <w:rPr>
          <w:rFonts w:ascii="Times New Roman" w:hAnsi="Times New Roman" w:cs="Times New Roman"/>
          <w:sz w:val="21"/>
          <w:szCs w:val="21"/>
        </w:rPr>
        <w:t>–</w:t>
      </w:r>
      <w:r w:rsidRPr="00AF6481">
        <w:rPr>
          <w:rFonts w:ascii="Times New Roman" w:hAnsi="Times New Roman" w:cs="Times New Roman"/>
          <w:sz w:val="21"/>
          <w:szCs w:val="21"/>
        </w:rPr>
        <w:t xml:space="preserve"> це цілісна система дій, відносин і психічних станів людини, спрямованих на народження або відмову від народження дитини будь-якої черговості, в шлюбі чи поза шлюбом. Репродуктивна поведінка включає три компонента. По-перше, сукупність поведінкових актів і рішень, безпосередньо спрямованих на народження дитини, або власне репродуктивну поведінку. По-друге, контрацептивну поведінку, тобто дії, спрямовані на запобіганню зачаття. По-третє, абортивну поведінку, тобто дії, що мають на меті запобігти небажаному народженню. Виділяють три типи репродуктивної поведінки: багатодітна (потреб</w:t>
      </w:r>
      <w:r>
        <w:rPr>
          <w:rFonts w:ascii="Times New Roman" w:hAnsi="Times New Roman" w:cs="Times New Roman"/>
          <w:sz w:val="21"/>
          <w:szCs w:val="21"/>
        </w:rPr>
        <w:t>а в 5 і більше дітях), середньо</w:t>
      </w:r>
      <w:r w:rsidRPr="00AF6481">
        <w:rPr>
          <w:rFonts w:ascii="Times New Roman" w:hAnsi="Times New Roman" w:cs="Times New Roman"/>
          <w:sz w:val="21"/>
          <w:szCs w:val="21"/>
        </w:rPr>
        <w:t>дітна (потреба в 3</w:t>
      </w:r>
      <w:r>
        <w:rPr>
          <w:rFonts w:ascii="Times New Roman" w:hAnsi="Times New Roman" w:cs="Times New Roman"/>
          <w:sz w:val="21"/>
          <w:szCs w:val="21"/>
        </w:rPr>
        <w:t>–</w:t>
      </w:r>
      <w:r w:rsidRPr="00AF6481">
        <w:rPr>
          <w:rFonts w:ascii="Times New Roman" w:hAnsi="Times New Roman" w:cs="Times New Roman"/>
          <w:sz w:val="21"/>
          <w:szCs w:val="21"/>
        </w:rPr>
        <w:t>4 дітях) і малодітна (потреба в 1</w:t>
      </w:r>
      <w:r>
        <w:rPr>
          <w:rFonts w:ascii="Times New Roman" w:hAnsi="Times New Roman" w:cs="Times New Roman"/>
          <w:sz w:val="21"/>
          <w:szCs w:val="21"/>
        </w:rPr>
        <w:t>–</w:t>
      </w:r>
      <w:r w:rsidRPr="00AF6481">
        <w:rPr>
          <w:rFonts w:ascii="Times New Roman" w:hAnsi="Times New Roman" w:cs="Times New Roman"/>
          <w:sz w:val="21"/>
          <w:szCs w:val="21"/>
        </w:rPr>
        <w:t xml:space="preserve">2 дітях). </w:t>
      </w:r>
    </w:p>
    <w:p w:rsidR="00B233DE"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AF6481">
        <w:rPr>
          <w:rFonts w:ascii="Times New Roman" w:hAnsi="Times New Roman" w:cs="Times New Roman"/>
          <w:sz w:val="21"/>
          <w:szCs w:val="21"/>
        </w:rPr>
        <w:t>Рівень народжуваності вимірю</w:t>
      </w:r>
      <w:r>
        <w:rPr>
          <w:rFonts w:ascii="Times New Roman" w:hAnsi="Times New Roman" w:cs="Times New Roman"/>
          <w:sz w:val="21"/>
          <w:szCs w:val="21"/>
        </w:rPr>
        <w:t xml:space="preserve">ється за допомогою коефіцієнтів (табл. </w:t>
      </w:r>
      <w:r w:rsidRPr="009F3B45">
        <w:rPr>
          <w:rFonts w:ascii="Times New Roman" w:hAnsi="Times New Roman" w:cs="Times New Roman"/>
          <w:sz w:val="21"/>
          <w:szCs w:val="21"/>
          <w:lang w:val="ru-RU"/>
        </w:rPr>
        <w:t>2</w:t>
      </w:r>
      <w:r>
        <w:rPr>
          <w:rFonts w:ascii="Times New Roman" w:hAnsi="Times New Roman" w:cs="Times New Roman"/>
          <w:sz w:val="21"/>
          <w:szCs w:val="21"/>
        </w:rPr>
        <w:t>.4)</w:t>
      </w:r>
      <w:r w:rsidRPr="00AF6481">
        <w:rPr>
          <w:rFonts w:ascii="Times New Roman" w:hAnsi="Times New Roman" w:cs="Times New Roman"/>
          <w:sz w:val="21"/>
          <w:szCs w:val="21"/>
        </w:rPr>
        <w:t xml:space="preserve"> Їх розрахунок заснований на співвідношенні загального числа живо народжени</w:t>
      </w:r>
      <w:r>
        <w:rPr>
          <w:rFonts w:ascii="Times New Roman" w:hAnsi="Times New Roman" w:cs="Times New Roman"/>
          <w:sz w:val="21"/>
          <w:szCs w:val="21"/>
        </w:rPr>
        <w:t>х</w:t>
      </w:r>
      <w:r w:rsidRPr="00AF6481">
        <w:rPr>
          <w:rFonts w:ascii="Times New Roman" w:hAnsi="Times New Roman" w:cs="Times New Roman"/>
          <w:sz w:val="21"/>
          <w:szCs w:val="21"/>
        </w:rPr>
        <w:t xml:space="preserve"> за певний період часу (як правило, за рік) і чисельністю населення в цілому, а також з урахуванням його розподілу за статтю, віком, шлюбним станом. Коефіцієнти народжуваності поділяються на загальні, спеціальні та часткові.</w:t>
      </w:r>
    </w:p>
    <w:p w:rsidR="00B233DE" w:rsidRPr="00AF6481" w:rsidRDefault="00B233DE" w:rsidP="00B233DE">
      <w:pPr>
        <w:widowControl w:val="0"/>
        <w:tabs>
          <w:tab w:val="left" w:pos="142"/>
        </w:tabs>
        <w:overflowPunct w:val="0"/>
        <w:autoSpaceDE w:val="0"/>
        <w:autoSpaceDN w:val="0"/>
        <w:adjustRightInd w:val="0"/>
        <w:jc w:val="right"/>
        <w:rPr>
          <w:rFonts w:ascii="Times New Roman" w:hAnsi="Times New Roman" w:cs="Times New Roman"/>
          <w:sz w:val="21"/>
          <w:szCs w:val="21"/>
        </w:rPr>
      </w:pPr>
      <w:r>
        <w:rPr>
          <w:rFonts w:ascii="Times New Roman" w:hAnsi="Times New Roman" w:cs="Times New Roman"/>
          <w:sz w:val="21"/>
          <w:szCs w:val="21"/>
        </w:rPr>
        <w:lastRenderedPageBreak/>
        <w:t xml:space="preserve">Таблиця </w:t>
      </w:r>
      <w:r w:rsidRPr="00B757E6">
        <w:rPr>
          <w:rFonts w:ascii="Times New Roman" w:hAnsi="Times New Roman" w:cs="Times New Roman"/>
          <w:sz w:val="21"/>
          <w:szCs w:val="21"/>
          <w:lang w:val="ru-RU"/>
        </w:rPr>
        <w:t>2</w:t>
      </w:r>
      <w:r w:rsidRPr="00AF6481">
        <w:rPr>
          <w:rFonts w:ascii="Times New Roman" w:hAnsi="Times New Roman" w:cs="Times New Roman"/>
          <w:sz w:val="21"/>
          <w:szCs w:val="21"/>
        </w:rPr>
        <w:t>.</w:t>
      </w:r>
      <w:r>
        <w:rPr>
          <w:rFonts w:ascii="Times New Roman" w:hAnsi="Times New Roman" w:cs="Times New Roman"/>
          <w:sz w:val="21"/>
          <w:szCs w:val="21"/>
        </w:rPr>
        <w:t>4</w:t>
      </w:r>
    </w:p>
    <w:p w:rsidR="00B233DE" w:rsidRPr="00A758D6" w:rsidRDefault="00B233DE" w:rsidP="00B233DE">
      <w:pPr>
        <w:widowControl w:val="0"/>
        <w:tabs>
          <w:tab w:val="left" w:pos="142"/>
        </w:tabs>
        <w:overflowPunct w:val="0"/>
        <w:autoSpaceDE w:val="0"/>
        <w:autoSpaceDN w:val="0"/>
        <w:adjustRightInd w:val="0"/>
        <w:jc w:val="center"/>
        <w:rPr>
          <w:rFonts w:ascii="Times New Roman" w:hAnsi="Times New Roman" w:cs="Times New Roman"/>
          <w:b/>
          <w:bCs/>
          <w:iCs/>
          <w:sz w:val="21"/>
          <w:szCs w:val="21"/>
        </w:rPr>
      </w:pPr>
      <w:r w:rsidRPr="00A758D6">
        <w:rPr>
          <w:rFonts w:ascii="Times New Roman" w:hAnsi="Times New Roman" w:cs="Times New Roman"/>
          <w:b/>
          <w:bCs/>
          <w:iCs/>
          <w:sz w:val="21"/>
          <w:szCs w:val="21"/>
        </w:rPr>
        <w:t>Показники народжуваності населення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80"/>
        <w:gridCol w:w="4584"/>
      </w:tblGrid>
      <w:tr w:rsidR="00B233DE" w:rsidRPr="00780EF3" w:rsidTr="0023489B">
        <w:trPr>
          <w:jc w:val="center"/>
        </w:trPr>
        <w:tc>
          <w:tcPr>
            <w:tcW w:w="1580" w:type="dxa"/>
            <w:vAlign w:val="center"/>
          </w:tcPr>
          <w:p w:rsidR="00B233DE" w:rsidRPr="00780EF3" w:rsidRDefault="00B233DE" w:rsidP="0023489B">
            <w:pPr>
              <w:widowControl w:val="0"/>
              <w:tabs>
                <w:tab w:val="left" w:pos="142"/>
              </w:tabs>
              <w:overflowPunct w:val="0"/>
              <w:autoSpaceDE w:val="0"/>
              <w:autoSpaceDN w:val="0"/>
              <w:adjustRightInd w:val="0"/>
              <w:ind w:right="-37" w:firstLine="0"/>
              <w:jc w:val="center"/>
              <w:rPr>
                <w:rFonts w:ascii="Times New Roman" w:hAnsi="Times New Roman" w:cs="Times New Roman"/>
                <w:bCs/>
                <w:iCs/>
                <w:sz w:val="18"/>
                <w:szCs w:val="18"/>
              </w:rPr>
            </w:pPr>
            <w:r w:rsidRPr="00780EF3">
              <w:rPr>
                <w:rFonts w:ascii="Times New Roman" w:hAnsi="Times New Roman" w:cs="Times New Roman"/>
                <w:bCs/>
                <w:iCs/>
                <w:sz w:val="18"/>
                <w:szCs w:val="18"/>
              </w:rPr>
              <w:t>Показник</w:t>
            </w:r>
          </w:p>
        </w:tc>
        <w:tc>
          <w:tcPr>
            <w:tcW w:w="4584" w:type="dxa"/>
            <w:vAlign w:val="center"/>
          </w:tcPr>
          <w:p w:rsidR="00B233DE" w:rsidRPr="00780EF3" w:rsidRDefault="00B233DE" w:rsidP="0023489B">
            <w:pPr>
              <w:widowControl w:val="0"/>
              <w:tabs>
                <w:tab w:val="left" w:pos="142"/>
              </w:tabs>
              <w:overflowPunct w:val="0"/>
              <w:autoSpaceDE w:val="0"/>
              <w:autoSpaceDN w:val="0"/>
              <w:adjustRightInd w:val="0"/>
              <w:ind w:right="-37" w:firstLine="0"/>
              <w:jc w:val="center"/>
              <w:rPr>
                <w:rFonts w:ascii="Times New Roman" w:hAnsi="Times New Roman" w:cs="Times New Roman"/>
                <w:bCs/>
                <w:iCs/>
                <w:sz w:val="18"/>
                <w:szCs w:val="18"/>
              </w:rPr>
            </w:pPr>
            <w:r>
              <w:rPr>
                <w:rFonts w:ascii="Times New Roman" w:hAnsi="Times New Roman" w:cs="Times New Roman"/>
                <w:bCs/>
                <w:iCs/>
                <w:sz w:val="18"/>
                <w:szCs w:val="18"/>
              </w:rPr>
              <w:t xml:space="preserve">Особливості та методика </w:t>
            </w:r>
            <w:r w:rsidRPr="00780EF3">
              <w:rPr>
                <w:rFonts w:ascii="Times New Roman" w:hAnsi="Times New Roman" w:cs="Times New Roman"/>
                <w:bCs/>
                <w:iCs/>
                <w:sz w:val="18"/>
                <w:szCs w:val="18"/>
              </w:rPr>
              <w:t>розрахунку показника</w:t>
            </w:r>
          </w:p>
        </w:tc>
      </w:tr>
      <w:tr w:rsidR="00B233DE" w:rsidRPr="00780EF3" w:rsidTr="0023489B">
        <w:trPr>
          <w:jc w:val="center"/>
        </w:trPr>
        <w:tc>
          <w:tcPr>
            <w:tcW w:w="1580" w:type="dxa"/>
            <w:vAlign w:val="center"/>
          </w:tcPr>
          <w:p w:rsidR="00B233DE" w:rsidRPr="00780EF3" w:rsidRDefault="00B233DE" w:rsidP="0023489B">
            <w:pPr>
              <w:widowControl w:val="0"/>
              <w:tabs>
                <w:tab w:val="left" w:pos="142"/>
              </w:tabs>
              <w:overflowPunct w:val="0"/>
              <w:autoSpaceDE w:val="0"/>
              <w:autoSpaceDN w:val="0"/>
              <w:adjustRightInd w:val="0"/>
              <w:ind w:right="-37" w:firstLine="0"/>
              <w:jc w:val="center"/>
              <w:rPr>
                <w:rFonts w:ascii="Times New Roman" w:hAnsi="Times New Roman" w:cs="Times New Roman"/>
                <w:bCs/>
                <w:iCs/>
                <w:sz w:val="18"/>
                <w:szCs w:val="18"/>
              </w:rPr>
            </w:pPr>
            <w:r w:rsidRPr="00780EF3">
              <w:rPr>
                <w:rFonts w:ascii="Times New Roman" w:hAnsi="Times New Roman" w:cs="Times New Roman"/>
                <w:bCs/>
                <w:iCs/>
                <w:sz w:val="18"/>
                <w:szCs w:val="18"/>
              </w:rPr>
              <w:t>Абсолютне число народжених</w:t>
            </w:r>
          </w:p>
        </w:tc>
        <w:tc>
          <w:tcPr>
            <w:tcW w:w="4584" w:type="dxa"/>
            <w:vAlign w:val="center"/>
          </w:tcPr>
          <w:p w:rsidR="00B233DE" w:rsidRPr="00780EF3" w:rsidRDefault="00B233DE" w:rsidP="0023489B">
            <w:pPr>
              <w:widowControl w:val="0"/>
              <w:tabs>
                <w:tab w:val="left" w:pos="142"/>
              </w:tabs>
              <w:overflowPunct w:val="0"/>
              <w:autoSpaceDE w:val="0"/>
              <w:autoSpaceDN w:val="0"/>
              <w:adjustRightInd w:val="0"/>
              <w:ind w:right="-37" w:firstLine="0"/>
              <w:jc w:val="both"/>
              <w:rPr>
                <w:rFonts w:ascii="Times New Roman" w:hAnsi="Times New Roman" w:cs="Times New Roman"/>
                <w:bCs/>
                <w:iCs/>
                <w:sz w:val="18"/>
                <w:szCs w:val="18"/>
              </w:rPr>
            </w:pPr>
            <w:r w:rsidRPr="00780EF3">
              <w:rPr>
                <w:rFonts w:ascii="Times New Roman" w:hAnsi="Times New Roman" w:cs="Times New Roman"/>
                <w:bCs/>
                <w:iCs/>
                <w:sz w:val="18"/>
                <w:szCs w:val="18"/>
              </w:rPr>
              <w:t>Являє собою загальне число дітей, народжених живими.</w:t>
            </w:r>
          </w:p>
        </w:tc>
      </w:tr>
      <w:tr w:rsidR="00B233DE" w:rsidRPr="00780EF3" w:rsidTr="0023489B">
        <w:trPr>
          <w:jc w:val="center"/>
        </w:trPr>
        <w:tc>
          <w:tcPr>
            <w:tcW w:w="1580" w:type="dxa"/>
            <w:vAlign w:val="center"/>
          </w:tcPr>
          <w:p w:rsidR="00B233DE" w:rsidRPr="00780EF3" w:rsidRDefault="00B233DE" w:rsidP="0023489B">
            <w:pPr>
              <w:widowControl w:val="0"/>
              <w:tabs>
                <w:tab w:val="left" w:pos="142"/>
              </w:tabs>
              <w:overflowPunct w:val="0"/>
              <w:autoSpaceDE w:val="0"/>
              <w:autoSpaceDN w:val="0"/>
              <w:adjustRightInd w:val="0"/>
              <w:ind w:right="-37" w:firstLine="0"/>
              <w:jc w:val="center"/>
              <w:rPr>
                <w:rFonts w:ascii="Times New Roman" w:hAnsi="Times New Roman" w:cs="Times New Roman"/>
                <w:bCs/>
                <w:iCs/>
                <w:sz w:val="18"/>
                <w:szCs w:val="18"/>
              </w:rPr>
            </w:pPr>
            <w:r w:rsidRPr="00780EF3">
              <w:rPr>
                <w:rFonts w:ascii="Times New Roman" w:hAnsi="Times New Roman" w:cs="Times New Roman"/>
                <w:bCs/>
                <w:iCs/>
                <w:sz w:val="18"/>
                <w:szCs w:val="18"/>
              </w:rPr>
              <w:t xml:space="preserve">Загальний коефіцієнт </w:t>
            </w:r>
          </w:p>
          <w:p w:rsidR="00B233DE" w:rsidRPr="00780EF3" w:rsidRDefault="00B233DE" w:rsidP="0023489B">
            <w:pPr>
              <w:widowControl w:val="0"/>
              <w:tabs>
                <w:tab w:val="left" w:pos="142"/>
              </w:tabs>
              <w:overflowPunct w:val="0"/>
              <w:autoSpaceDE w:val="0"/>
              <w:autoSpaceDN w:val="0"/>
              <w:adjustRightInd w:val="0"/>
              <w:ind w:right="-37" w:firstLine="0"/>
              <w:jc w:val="center"/>
              <w:rPr>
                <w:rFonts w:ascii="Times New Roman" w:hAnsi="Times New Roman" w:cs="Times New Roman"/>
                <w:bCs/>
                <w:iCs/>
                <w:sz w:val="18"/>
                <w:szCs w:val="18"/>
              </w:rPr>
            </w:pPr>
            <w:r w:rsidRPr="00780EF3">
              <w:rPr>
                <w:rFonts w:ascii="Times New Roman" w:hAnsi="Times New Roman" w:cs="Times New Roman"/>
                <w:bCs/>
                <w:iCs/>
                <w:sz w:val="18"/>
                <w:szCs w:val="18"/>
              </w:rPr>
              <w:t>народжуваності</w:t>
            </w:r>
          </w:p>
        </w:tc>
        <w:tc>
          <w:tcPr>
            <w:tcW w:w="4584" w:type="dxa"/>
            <w:vAlign w:val="center"/>
          </w:tcPr>
          <w:p w:rsidR="00B233DE" w:rsidRPr="00780EF3" w:rsidRDefault="00B233DE" w:rsidP="0023489B">
            <w:pPr>
              <w:widowControl w:val="0"/>
              <w:tabs>
                <w:tab w:val="left" w:pos="142"/>
              </w:tabs>
              <w:overflowPunct w:val="0"/>
              <w:autoSpaceDE w:val="0"/>
              <w:autoSpaceDN w:val="0"/>
              <w:adjustRightInd w:val="0"/>
              <w:ind w:right="-37" w:firstLine="0"/>
              <w:jc w:val="both"/>
              <w:rPr>
                <w:rFonts w:ascii="Times New Roman" w:hAnsi="Times New Roman" w:cs="Times New Roman"/>
                <w:bCs/>
                <w:iCs/>
                <w:sz w:val="18"/>
                <w:szCs w:val="18"/>
              </w:rPr>
            </w:pPr>
            <w:r w:rsidRPr="00780EF3">
              <w:rPr>
                <w:rFonts w:ascii="Times New Roman" w:hAnsi="Times New Roman" w:cs="Times New Roman"/>
                <w:bCs/>
                <w:iCs/>
                <w:sz w:val="18"/>
                <w:szCs w:val="18"/>
              </w:rPr>
              <w:t>Являє собою</w:t>
            </w:r>
            <w:r>
              <w:rPr>
                <w:rFonts w:ascii="Times New Roman" w:hAnsi="Times New Roman" w:cs="Times New Roman"/>
                <w:bCs/>
                <w:iCs/>
                <w:sz w:val="18"/>
                <w:szCs w:val="18"/>
              </w:rPr>
              <w:t xml:space="preserve"> число народжених в розрахунку на 1.000 населення. </w:t>
            </w:r>
            <w:r w:rsidRPr="00780EF3">
              <w:rPr>
                <w:rFonts w:ascii="Times New Roman" w:hAnsi="Times New Roman" w:cs="Times New Roman"/>
                <w:bCs/>
                <w:iCs/>
                <w:sz w:val="18"/>
                <w:szCs w:val="18"/>
              </w:rPr>
              <w:t xml:space="preserve">Розраховується шляхом ділення абсолютного числа народжених на середньорічну </w:t>
            </w:r>
            <w:r>
              <w:rPr>
                <w:rFonts w:ascii="Times New Roman" w:hAnsi="Times New Roman" w:cs="Times New Roman"/>
                <w:bCs/>
                <w:iCs/>
                <w:sz w:val="18"/>
                <w:szCs w:val="18"/>
              </w:rPr>
              <w:t xml:space="preserve">загальну чисельність населення </w:t>
            </w:r>
            <w:r w:rsidRPr="00780EF3">
              <w:rPr>
                <w:rFonts w:ascii="Times New Roman" w:hAnsi="Times New Roman" w:cs="Times New Roman"/>
                <w:bCs/>
                <w:iCs/>
                <w:sz w:val="18"/>
                <w:szCs w:val="18"/>
              </w:rPr>
              <w:t xml:space="preserve">і шляхом </w:t>
            </w:r>
            <w:r>
              <w:rPr>
                <w:rFonts w:ascii="Times New Roman" w:hAnsi="Times New Roman" w:cs="Times New Roman"/>
                <w:bCs/>
                <w:iCs/>
                <w:sz w:val="18"/>
                <w:szCs w:val="18"/>
              </w:rPr>
              <w:t xml:space="preserve">множення отриманого результату на 1.000; розраховується в ‰. </w:t>
            </w:r>
          </w:p>
        </w:tc>
      </w:tr>
      <w:tr w:rsidR="00B233DE" w:rsidRPr="00780EF3" w:rsidTr="0023489B">
        <w:trPr>
          <w:jc w:val="center"/>
        </w:trPr>
        <w:tc>
          <w:tcPr>
            <w:tcW w:w="1580" w:type="dxa"/>
            <w:vAlign w:val="center"/>
          </w:tcPr>
          <w:p w:rsidR="00B233DE" w:rsidRPr="00780EF3" w:rsidRDefault="00B233DE" w:rsidP="0023489B">
            <w:pPr>
              <w:widowControl w:val="0"/>
              <w:tabs>
                <w:tab w:val="left" w:pos="142"/>
              </w:tabs>
              <w:overflowPunct w:val="0"/>
              <w:autoSpaceDE w:val="0"/>
              <w:autoSpaceDN w:val="0"/>
              <w:adjustRightInd w:val="0"/>
              <w:ind w:right="-37" w:firstLine="0"/>
              <w:jc w:val="center"/>
              <w:rPr>
                <w:rFonts w:ascii="Times New Roman" w:hAnsi="Times New Roman" w:cs="Times New Roman"/>
                <w:bCs/>
                <w:iCs/>
                <w:sz w:val="18"/>
                <w:szCs w:val="18"/>
              </w:rPr>
            </w:pPr>
            <w:r w:rsidRPr="00780EF3">
              <w:rPr>
                <w:rFonts w:ascii="Times New Roman" w:hAnsi="Times New Roman" w:cs="Times New Roman"/>
                <w:bCs/>
                <w:iCs/>
                <w:sz w:val="18"/>
                <w:szCs w:val="18"/>
              </w:rPr>
              <w:t xml:space="preserve">Спеціальний коефіцієнт </w:t>
            </w:r>
          </w:p>
          <w:p w:rsidR="00B233DE" w:rsidRPr="00780EF3" w:rsidRDefault="00B233DE" w:rsidP="0023489B">
            <w:pPr>
              <w:widowControl w:val="0"/>
              <w:tabs>
                <w:tab w:val="left" w:pos="142"/>
              </w:tabs>
              <w:overflowPunct w:val="0"/>
              <w:autoSpaceDE w:val="0"/>
              <w:autoSpaceDN w:val="0"/>
              <w:adjustRightInd w:val="0"/>
              <w:ind w:right="-37" w:firstLine="0"/>
              <w:jc w:val="center"/>
              <w:rPr>
                <w:rFonts w:ascii="Times New Roman" w:hAnsi="Times New Roman" w:cs="Times New Roman"/>
                <w:bCs/>
                <w:iCs/>
                <w:sz w:val="18"/>
                <w:szCs w:val="18"/>
              </w:rPr>
            </w:pPr>
            <w:r w:rsidRPr="00780EF3">
              <w:rPr>
                <w:rFonts w:ascii="Times New Roman" w:hAnsi="Times New Roman" w:cs="Times New Roman"/>
                <w:bCs/>
                <w:iCs/>
                <w:sz w:val="18"/>
                <w:szCs w:val="18"/>
              </w:rPr>
              <w:t>народжуваності</w:t>
            </w:r>
          </w:p>
        </w:tc>
        <w:tc>
          <w:tcPr>
            <w:tcW w:w="4584" w:type="dxa"/>
            <w:vAlign w:val="center"/>
          </w:tcPr>
          <w:p w:rsidR="00B233DE" w:rsidRPr="00780EF3" w:rsidRDefault="00B233DE" w:rsidP="0023489B">
            <w:pPr>
              <w:widowControl w:val="0"/>
              <w:tabs>
                <w:tab w:val="left" w:pos="142"/>
              </w:tabs>
              <w:overflowPunct w:val="0"/>
              <w:autoSpaceDE w:val="0"/>
              <w:autoSpaceDN w:val="0"/>
              <w:adjustRightInd w:val="0"/>
              <w:ind w:right="-37" w:firstLine="0"/>
              <w:jc w:val="both"/>
              <w:rPr>
                <w:rFonts w:ascii="Times New Roman" w:hAnsi="Times New Roman" w:cs="Times New Roman"/>
                <w:bCs/>
                <w:iCs/>
                <w:sz w:val="18"/>
                <w:szCs w:val="18"/>
              </w:rPr>
            </w:pPr>
            <w:r w:rsidRPr="00780EF3">
              <w:rPr>
                <w:rFonts w:ascii="Times New Roman" w:hAnsi="Times New Roman" w:cs="Times New Roman"/>
                <w:bCs/>
                <w:iCs/>
                <w:sz w:val="18"/>
                <w:szCs w:val="18"/>
              </w:rPr>
              <w:t>Являє собою число народжених в розрахунку на 1.</w:t>
            </w:r>
            <w:r>
              <w:rPr>
                <w:rFonts w:ascii="Times New Roman" w:hAnsi="Times New Roman" w:cs="Times New Roman"/>
                <w:bCs/>
                <w:iCs/>
                <w:sz w:val="18"/>
                <w:szCs w:val="18"/>
              </w:rPr>
              <w:t xml:space="preserve">000 жінок репродуктивного віку. </w:t>
            </w:r>
            <w:r w:rsidRPr="00780EF3">
              <w:rPr>
                <w:rFonts w:ascii="Times New Roman" w:hAnsi="Times New Roman" w:cs="Times New Roman"/>
                <w:bCs/>
                <w:iCs/>
                <w:sz w:val="18"/>
                <w:szCs w:val="18"/>
              </w:rPr>
              <w:t xml:space="preserve">Розраховується шляхом ділення абсолютного числа народжених на </w:t>
            </w:r>
            <w:r w:rsidRPr="00855DCC">
              <w:rPr>
                <w:rFonts w:ascii="Times New Roman" w:hAnsi="Times New Roman" w:cs="Times New Roman"/>
                <w:bCs/>
                <w:iCs/>
                <w:spacing w:val="-6"/>
                <w:sz w:val="18"/>
                <w:szCs w:val="18"/>
              </w:rPr>
              <w:t>середньорічну чисельність жінок в віці 15–49 років і шляхом</w:t>
            </w:r>
            <w:r w:rsidRPr="00780EF3">
              <w:rPr>
                <w:rFonts w:ascii="Times New Roman" w:hAnsi="Times New Roman" w:cs="Times New Roman"/>
                <w:bCs/>
                <w:iCs/>
                <w:sz w:val="18"/>
                <w:szCs w:val="18"/>
              </w:rPr>
              <w:t xml:space="preserve"> </w:t>
            </w:r>
            <w:r>
              <w:rPr>
                <w:rFonts w:ascii="Times New Roman" w:hAnsi="Times New Roman" w:cs="Times New Roman"/>
                <w:bCs/>
                <w:iCs/>
                <w:sz w:val="18"/>
                <w:szCs w:val="18"/>
              </w:rPr>
              <w:t xml:space="preserve">множення отриманого результату на 1000; розраховується в ‰. </w:t>
            </w:r>
          </w:p>
        </w:tc>
      </w:tr>
      <w:tr w:rsidR="00B233DE" w:rsidRPr="00780EF3" w:rsidTr="0023489B">
        <w:trPr>
          <w:jc w:val="center"/>
        </w:trPr>
        <w:tc>
          <w:tcPr>
            <w:tcW w:w="1580" w:type="dxa"/>
            <w:vAlign w:val="center"/>
          </w:tcPr>
          <w:p w:rsidR="00B233DE" w:rsidRPr="00780EF3" w:rsidRDefault="00B233DE" w:rsidP="0023489B">
            <w:pPr>
              <w:widowControl w:val="0"/>
              <w:tabs>
                <w:tab w:val="left" w:pos="142"/>
              </w:tabs>
              <w:overflowPunct w:val="0"/>
              <w:autoSpaceDE w:val="0"/>
              <w:autoSpaceDN w:val="0"/>
              <w:adjustRightInd w:val="0"/>
              <w:ind w:right="-37" w:firstLine="0"/>
              <w:jc w:val="center"/>
              <w:rPr>
                <w:rFonts w:ascii="Times New Roman" w:hAnsi="Times New Roman" w:cs="Times New Roman"/>
                <w:bCs/>
                <w:iCs/>
                <w:sz w:val="18"/>
                <w:szCs w:val="18"/>
              </w:rPr>
            </w:pPr>
            <w:r w:rsidRPr="00780EF3">
              <w:rPr>
                <w:rFonts w:ascii="Times New Roman" w:hAnsi="Times New Roman" w:cs="Times New Roman"/>
                <w:bCs/>
                <w:iCs/>
                <w:sz w:val="18"/>
                <w:szCs w:val="18"/>
              </w:rPr>
              <w:t xml:space="preserve">Віковий коефіцієнт </w:t>
            </w:r>
          </w:p>
          <w:p w:rsidR="00B233DE" w:rsidRPr="00780EF3" w:rsidRDefault="00B233DE" w:rsidP="0023489B">
            <w:pPr>
              <w:widowControl w:val="0"/>
              <w:tabs>
                <w:tab w:val="left" w:pos="142"/>
              </w:tabs>
              <w:overflowPunct w:val="0"/>
              <w:autoSpaceDE w:val="0"/>
              <w:autoSpaceDN w:val="0"/>
              <w:adjustRightInd w:val="0"/>
              <w:ind w:right="-37" w:firstLine="0"/>
              <w:jc w:val="center"/>
              <w:rPr>
                <w:rFonts w:ascii="Times New Roman" w:hAnsi="Times New Roman" w:cs="Times New Roman"/>
                <w:bCs/>
                <w:iCs/>
                <w:sz w:val="18"/>
                <w:szCs w:val="18"/>
              </w:rPr>
            </w:pPr>
            <w:r w:rsidRPr="00780EF3">
              <w:rPr>
                <w:rFonts w:ascii="Times New Roman" w:hAnsi="Times New Roman" w:cs="Times New Roman"/>
                <w:bCs/>
                <w:iCs/>
                <w:sz w:val="18"/>
                <w:szCs w:val="18"/>
              </w:rPr>
              <w:t>народжуваності</w:t>
            </w:r>
          </w:p>
        </w:tc>
        <w:tc>
          <w:tcPr>
            <w:tcW w:w="4584" w:type="dxa"/>
            <w:vAlign w:val="center"/>
          </w:tcPr>
          <w:p w:rsidR="00B233DE" w:rsidRPr="00855DCC" w:rsidRDefault="00B233DE" w:rsidP="0023489B">
            <w:pPr>
              <w:widowControl w:val="0"/>
              <w:tabs>
                <w:tab w:val="left" w:pos="142"/>
              </w:tabs>
              <w:overflowPunct w:val="0"/>
              <w:autoSpaceDE w:val="0"/>
              <w:autoSpaceDN w:val="0"/>
              <w:adjustRightInd w:val="0"/>
              <w:ind w:right="-37" w:firstLine="0"/>
              <w:jc w:val="both"/>
              <w:rPr>
                <w:rFonts w:ascii="Times New Roman" w:hAnsi="Times New Roman" w:cs="Times New Roman"/>
                <w:bCs/>
                <w:iCs/>
                <w:spacing w:val="-6"/>
                <w:sz w:val="18"/>
                <w:szCs w:val="18"/>
              </w:rPr>
            </w:pPr>
            <w:r w:rsidRPr="00855DCC">
              <w:rPr>
                <w:rFonts w:ascii="Times New Roman" w:hAnsi="Times New Roman" w:cs="Times New Roman"/>
                <w:bCs/>
                <w:iCs/>
                <w:spacing w:val="-4"/>
                <w:sz w:val="18"/>
                <w:szCs w:val="18"/>
              </w:rPr>
              <w:t>Являє собою число народжених у матерів віку « х » у роз-</w:t>
            </w:r>
            <w:r w:rsidRPr="00855DCC">
              <w:rPr>
                <w:rFonts w:ascii="Times New Roman" w:hAnsi="Times New Roman" w:cs="Times New Roman"/>
                <w:bCs/>
                <w:iCs/>
                <w:spacing w:val="-6"/>
                <w:sz w:val="18"/>
                <w:szCs w:val="18"/>
              </w:rPr>
              <w:t xml:space="preserve">рахунку на 1.000 жінок цього віку, тобто розраховується в ‰. </w:t>
            </w:r>
          </w:p>
          <w:p w:rsidR="00B233DE" w:rsidRPr="00780EF3" w:rsidRDefault="00B233DE" w:rsidP="0023489B">
            <w:pPr>
              <w:widowControl w:val="0"/>
              <w:tabs>
                <w:tab w:val="left" w:pos="142"/>
              </w:tabs>
              <w:overflowPunct w:val="0"/>
              <w:autoSpaceDE w:val="0"/>
              <w:autoSpaceDN w:val="0"/>
              <w:adjustRightInd w:val="0"/>
              <w:ind w:right="-37" w:firstLine="0"/>
              <w:jc w:val="both"/>
              <w:rPr>
                <w:rFonts w:ascii="Times New Roman" w:hAnsi="Times New Roman" w:cs="Times New Roman"/>
                <w:bCs/>
                <w:iCs/>
                <w:sz w:val="18"/>
                <w:szCs w:val="18"/>
              </w:rPr>
            </w:pPr>
            <w:r w:rsidRPr="00780EF3">
              <w:rPr>
                <w:rFonts w:ascii="Times New Roman" w:hAnsi="Times New Roman" w:cs="Times New Roman"/>
                <w:bCs/>
                <w:iCs/>
                <w:sz w:val="18"/>
                <w:szCs w:val="18"/>
              </w:rPr>
              <w:t>Як правило, розр</w:t>
            </w:r>
            <w:r>
              <w:rPr>
                <w:rFonts w:ascii="Times New Roman" w:hAnsi="Times New Roman" w:cs="Times New Roman"/>
                <w:bCs/>
                <w:iCs/>
                <w:sz w:val="18"/>
                <w:szCs w:val="18"/>
              </w:rPr>
              <w:t>аховуються і публікуються для п’</w:t>
            </w:r>
            <w:r w:rsidRPr="00780EF3">
              <w:rPr>
                <w:rFonts w:ascii="Times New Roman" w:hAnsi="Times New Roman" w:cs="Times New Roman"/>
                <w:bCs/>
                <w:iCs/>
                <w:sz w:val="18"/>
                <w:szCs w:val="18"/>
              </w:rPr>
              <w:t>яти</w:t>
            </w:r>
            <w:r>
              <w:rPr>
                <w:rFonts w:ascii="Times New Roman" w:hAnsi="Times New Roman" w:cs="Times New Roman"/>
                <w:bCs/>
                <w:iCs/>
                <w:sz w:val="18"/>
                <w:szCs w:val="18"/>
              </w:rPr>
              <w:t>-</w:t>
            </w:r>
            <w:r w:rsidRPr="00780EF3">
              <w:rPr>
                <w:rFonts w:ascii="Times New Roman" w:hAnsi="Times New Roman" w:cs="Times New Roman"/>
                <w:bCs/>
                <w:iCs/>
                <w:sz w:val="18"/>
                <w:szCs w:val="18"/>
              </w:rPr>
              <w:t>річних вікових груп жінок (15</w:t>
            </w:r>
            <w:r>
              <w:rPr>
                <w:rFonts w:ascii="Times New Roman" w:hAnsi="Times New Roman" w:cs="Times New Roman"/>
                <w:bCs/>
                <w:iCs/>
                <w:sz w:val="18"/>
                <w:szCs w:val="18"/>
              </w:rPr>
              <w:t>–</w:t>
            </w:r>
            <w:r w:rsidRPr="00780EF3">
              <w:rPr>
                <w:rFonts w:ascii="Times New Roman" w:hAnsi="Times New Roman" w:cs="Times New Roman"/>
                <w:bCs/>
                <w:iCs/>
                <w:sz w:val="18"/>
                <w:szCs w:val="18"/>
              </w:rPr>
              <w:t>19, 20</w:t>
            </w:r>
            <w:r>
              <w:rPr>
                <w:rFonts w:ascii="Times New Roman" w:hAnsi="Times New Roman" w:cs="Times New Roman"/>
                <w:bCs/>
                <w:iCs/>
                <w:sz w:val="18"/>
                <w:szCs w:val="18"/>
              </w:rPr>
              <w:t>–</w:t>
            </w:r>
            <w:r w:rsidRPr="00780EF3">
              <w:rPr>
                <w:rFonts w:ascii="Times New Roman" w:hAnsi="Times New Roman" w:cs="Times New Roman"/>
                <w:bCs/>
                <w:iCs/>
                <w:sz w:val="18"/>
                <w:szCs w:val="18"/>
              </w:rPr>
              <w:t>24, 25</w:t>
            </w:r>
            <w:r>
              <w:rPr>
                <w:rFonts w:ascii="Times New Roman" w:hAnsi="Times New Roman" w:cs="Times New Roman"/>
                <w:bCs/>
                <w:iCs/>
                <w:sz w:val="18"/>
                <w:szCs w:val="18"/>
              </w:rPr>
              <w:t>–</w:t>
            </w:r>
            <w:r w:rsidRPr="00780EF3">
              <w:rPr>
                <w:rFonts w:ascii="Times New Roman" w:hAnsi="Times New Roman" w:cs="Times New Roman"/>
                <w:bCs/>
                <w:iCs/>
                <w:sz w:val="18"/>
                <w:szCs w:val="18"/>
              </w:rPr>
              <w:t>29, 30</w:t>
            </w:r>
            <w:r>
              <w:rPr>
                <w:rFonts w:ascii="Times New Roman" w:hAnsi="Times New Roman" w:cs="Times New Roman"/>
                <w:bCs/>
                <w:iCs/>
                <w:sz w:val="18"/>
                <w:szCs w:val="18"/>
              </w:rPr>
              <w:t>–</w:t>
            </w:r>
            <w:r w:rsidRPr="00780EF3">
              <w:rPr>
                <w:rFonts w:ascii="Times New Roman" w:hAnsi="Times New Roman" w:cs="Times New Roman"/>
                <w:bCs/>
                <w:iCs/>
                <w:sz w:val="18"/>
                <w:szCs w:val="18"/>
              </w:rPr>
              <w:t>34, 35</w:t>
            </w:r>
            <w:r>
              <w:rPr>
                <w:rFonts w:ascii="Times New Roman" w:hAnsi="Times New Roman" w:cs="Times New Roman"/>
                <w:bCs/>
                <w:iCs/>
                <w:sz w:val="18"/>
                <w:szCs w:val="18"/>
              </w:rPr>
              <w:t>–</w:t>
            </w:r>
            <w:r w:rsidRPr="00780EF3">
              <w:rPr>
                <w:rFonts w:ascii="Times New Roman" w:hAnsi="Times New Roman" w:cs="Times New Roman"/>
                <w:bCs/>
                <w:iCs/>
                <w:sz w:val="18"/>
                <w:szCs w:val="18"/>
              </w:rPr>
              <w:t>39, 40</w:t>
            </w:r>
            <w:r>
              <w:rPr>
                <w:rFonts w:ascii="Times New Roman" w:hAnsi="Times New Roman" w:cs="Times New Roman"/>
                <w:bCs/>
                <w:iCs/>
                <w:sz w:val="18"/>
                <w:szCs w:val="18"/>
              </w:rPr>
              <w:t>–</w:t>
            </w:r>
            <w:r w:rsidRPr="00780EF3">
              <w:rPr>
                <w:rFonts w:ascii="Times New Roman" w:hAnsi="Times New Roman" w:cs="Times New Roman"/>
                <w:bCs/>
                <w:iCs/>
                <w:sz w:val="18"/>
                <w:szCs w:val="18"/>
              </w:rPr>
              <w:t>44, 45</w:t>
            </w:r>
            <w:r>
              <w:rPr>
                <w:rFonts w:ascii="Times New Roman" w:hAnsi="Times New Roman" w:cs="Times New Roman"/>
                <w:bCs/>
                <w:iCs/>
                <w:sz w:val="18"/>
                <w:szCs w:val="18"/>
              </w:rPr>
              <w:t>–</w:t>
            </w:r>
            <w:r w:rsidRPr="00780EF3">
              <w:rPr>
                <w:rFonts w:ascii="Times New Roman" w:hAnsi="Times New Roman" w:cs="Times New Roman"/>
                <w:bCs/>
                <w:iCs/>
                <w:sz w:val="18"/>
                <w:szCs w:val="18"/>
              </w:rPr>
              <w:t>49). Можуть бути розраховані і для однорічних вікових груп, тобто для кожного віку окремо. Розраховується шляхом ділення числа народження у матерів певної вікової групи (наприклад, 20</w:t>
            </w:r>
            <w:r>
              <w:rPr>
                <w:rFonts w:ascii="Times New Roman" w:hAnsi="Times New Roman" w:cs="Times New Roman"/>
                <w:bCs/>
                <w:iCs/>
                <w:sz w:val="18"/>
                <w:szCs w:val="18"/>
              </w:rPr>
              <w:t>–</w:t>
            </w:r>
            <w:r w:rsidRPr="00780EF3">
              <w:rPr>
                <w:rFonts w:ascii="Times New Roman" w:hAnsi="Times New Roman" w:cs="Times New Roman"/>
                <w:bCs/>
                <w:iCs/>
                <w:sz w:val="18"/>
                <w:szCs w:val="18"/>
              </w:rPr>
              <w:t xml:space="preserve">24 роки) на середньорічну чисельність жінок цього </w:t>
            </w:r>
            <w:r w:rsidRPr="00855DCC">
              <w:rPr>
                <w:rFonts w:ascii="Times New Roman" w:hAnsi="Times New Roman" w:cs="Times New Roman"/>
                <w:bCs/>
                <w:iCs/>
                <w:spacing w:val="-4"/>
                <w:sz w:val="18"/>
                <w:szCs w:val="18"/>
              </w:rPr>
              <w:t>віку і шляхом множення отриманого результату на 1.000.</w:t>
            </w:r>
            <w:r>
              <w:rPr>
                <w:rFonts w:ascii="Times New Roman" w:hAnsi="Times New Roman" w:cs="Times New Roman"/>
                <w:bCs/>
                <w:iCs/>
                <w:sz w:val="18"/>
                <w:szCs w:val="18"/>
              </w:rPr>
              <w:t xml:space="preserve"> </w:t>
            </w:r>
          </w:p>
        </w:tc>
      </w:tr>
    </w:tbl>
    <w:p w:rsidR="00B233DE" w:rsidRPr="00855DCC"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bCs/>
          <w:iCs/>
          <w:sz w:val="21"/>
          <w:szCs w:val="21"/>
        </w:rPr>
      </w:pPr>
    </w:p>
    <w:p w:rsidR="00B233DE"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bCs/>
          <w:iCs/>
          <w:sz w:val="21"/>
          <w:szCs w:val="21"/>
        </w:rPr>
      </w:pPr>
      <w:r w:rsidRPr="00855DCC">
        <w:rPr>
          <w:rFonts w:ascii="Times New Roman" w:hAnsi="Times New Roman" w:cs="Times New Roman"/>
          <w:bCs/>
          <w:iCs/>
          <w:sz w:val="21"/>
          <w:szCs w:val="21"/>
        </w:rPr>
        <w:t xml:space="preserve">Найбільше для міжнародних порівнянь використовується середній коефіцієнт народжуваності, який являє собою найбільш адекватний показник для характеристики рівня народжуваності, </w:t>
      </w:r>
      <w:r w:rsidRPr="00E43561">
        <w:rPr>
          <w:rFonts w:ascii="Times New Roman" w:hAnsi="Times New Roman" w:cs="Times New Roman"/>
          <w:bCs/>
          <w:iCs/>
          <w:spacing w:val="-8"/>
          <w:sz w:val="21"/>
          <w:szCs w:val="21"/>
        </w:rPr>
        <w:t>оскільки враховує не все населення, а лише жінок репродуктивного віку.</w:t>
      </w:r>
    </w:p>
    <w:p w:rsidR="00B233DE"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bCs/>
          <w:iCs/>
          <w:sz w:val="21"/>
          <w:szCs w:val="21"/>
        </w:rPr>
      </w:pPr>
      <w:r w:rsidRPr="00855DCC">
        <w:rPr>
          <w:rFonts w:ascii="Times New Roman" w:hAnsi="Times New Roman" w:cs="Times New Roman"/>
          <w:bCs/>
          <w:iCs/>
          <w:sz w:val="21"/>
          <w:szCs w:val="21"/>
        </w:rPr>
        <w:t>Смертність також є одним з найважливіших демографічних показників. Показник смертності поряд з народжуваністю відноситься до населення в цілому. Смертність являє собою процес вимирання поколінь, який складається з сукупності індивідуальних смертей, що наступають у різному віці.</w:t>
      </w:r>
    </w:p>
    <w:p w:rsidR="00B233DE"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855DCC">
        <w:rPr>
          <w:rFonts w:ascii="Times New Roman" w:hAnsi="Times New Roman" w:cs="Times New Roman"/>
          <w:bCs/>
          <w:iCs/>
          <w:sz w:val="21"/>
          <w:szCs w:val="21"/>
        </w:rPr>
        <w:t xml:space="preserve">Смертність населення залежить від ряду факторів. Ендогенний фактор смертності </w:t>
      </w:r>
      <w:r>
        <w:rPr>
          <w:rFonts w:ascii="Times New Roman" w:hAnsi="Times New Roman" w:cs="Times New Roman"/>
          <w:bCs/>
          <w:iCs/>
          <w:sz w:val="21"/>
          <w:szCs w:val="21"/>
        </w:rPr>
        <w:t>–</w:t>
      </w:r>
      <w:r w:rsidRPr="00855DCC">
        <w:rPr>
          <w:rFonts w:ascii="Times New Roman" w:hAnsi="Times New Roman" w:cs="Times New Roman"/>
          <w:bCs/>
          <w:iCs/>
          <w:sz w:val="21"/>
          <w:szCs w:val="21"/>
        </w:rPr>
        <w:t xml:space="preserve"> це стани, що породжені внутрішнім розвитком самого організму.</w:t>
      </w:r>
    </w:p>
    <w:p w:rsidR="00B233DE" w:rsidRPr="00855DCC"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bCs/>
          <w:iCs/>
          <w:sz w:val="21"/>
          <w:szCs w:val="21"/>
        </w:rPr>
      </w:pPr>
      <w:r w:rsidRPr="00855DCC">
        <w:rPr>
          <w:rFonts w:ascii="Times New Roman" w:hAnsi="Times New Roman" w:cs="Times New Roman"/>
          <w:bCs/>
          <w:iCs/>
          <w:sz w:val="21"/>
          <w:szCs w:val="21"/>
        </w:rPr>
        <w:t>Ендогенні процеси</w:t>
      </w:r>
      <w:r>
        <w:rPr>
          <w:rFonts w:ascii="Times New Roman" w:hAnsi="Times New Roman" w:cs="Times New Roman"/>
          <w:bCs/>
          <w:iCs/>
          <w:sz w:val="21"/>
          <w:szCs w:val="21"/>
        </w:rPr>
        <w:t>, що</w:t>
      </w:r>
      <w:r w:rsidRPr="00855DCC">
        <w:rPr>
          <w:rFonts w:ascii="Times New Roman" w:hAnsi="Times New Roman" w:cs="Times New Roman"/>
          <w:bCs/>
          <w:iCs/>
          <w:sz w:val="21"/>
          <w:szCs w:val="21"/>
        </w:rPr>
        <w:t xml:space="preserve"> відбуваються в людському організмі від моменту народження до моменту смерті, багато в чому мають біологічну або генетичну природу і безпосередньо обумовлені природним старінням та деградацією організму в </w:t>
      </w:r>
      <w:r w:rsidRPr="00855DCC">
        <w:rPr>
          <w:rFonts w:ascii="Times New Roman" w:hAnsi="Times New Roman" w:cs="Times New Roman"/>
          <w:bCs/>
          <w:iCs/>
          <w:sz w:val="21"/>
          <w:szCs w:val="21"/>
        </w:rPr>
        <w:lastRenderedPageBreak/>
        <w:t>цілому і його окремих підсистем. Оскільки окремі підсистеми (органи) людини старіють поступово і патологічні зміни в них накопичуються з віком, смертність від ендогенних факторів впорядкована згідно віку. Пік смертності в результаті дії ендогенних факторів припадає на старіший вік. Разом з тим, не всі випадки смерті від ендогенних факторів локалізуються виключно в старішому віці, тобто обумовлені виключно збільшенням віку. Деяка кільк</w:t>
      </w:r>
      <w:r>
        <w:rPr>
          <w:rFonts w:ascii="Times New Roman" w:hAnsi="Times New Roman" w:cs="Times New Roman"/>
          <w:bCs/>
          <w:iCs/>
          <w:sz w:val="21"/>
          <w:szCs w:val="21"/>
        </w:rPr>
        <w:t>ість смертей, безпосередньо пов’</w:t>
      </w:r>
      <w:r w:rsidRPr="00855DCC">
        <w:rPr>
          <w:rFonts w:ascii="Times New Roman" w:hAnsi="Times New Roman" w:cs="Times New Roman"/>
          <w:bCs/>
          <w:iCs/>
          <w:sz w:val="21"/>
          <w:szCs w:val="21"/>
        </w:rPr>
        <w:t xml:space="preserve">язаних з ендогенними факторами, наступає в молодому і навіть дитячому віці. Це смерті внаслідок спадкових захворювань, вроджених вад, генетичних розладів тощо. </w:t>
      </w:r>
    </w:p>
    <w:p w:rsidR="00B233DE" w:rsidRPr="00855DCC"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bCs/>
          <w:iCs/>
          <w:sz w:val="21"/>
          <w:szCs w:val="21"/>
        </w:rPr>
      </w:pPr>
      <w:r w:rsidRPr="00855DCC">
        <w:rPr>
          <w:rFonts w:ascii="Times New Roman" w:hAnsi="Times New Roman" w:cs="Times New Roman"/>
          <w:bCs/>
          <w:iCs/>
          <w:sz w:val="21"/>
          <w:szCs w:val="21"/>
        </w:rPr>
        <w:t>Екзогенний фактор смертності проявляється під впливом на організм людини зовнішнього середовища її проживання. На відміну від ендогенних, екзогенні фактори порушують впоряд</w:t>
      </w:r>
      <w:r>
        <w:rPr>
          <w:rFonts w:ascii="Times New Roman" w:hAnsi="Times New Roman" w:cs="Times New Roman"/>
          <w:bCs/>
          <w:iCs/>
          <w:sz w:val="21"/>
          <w:szCs w:val="21"/>
        </w:rPr>
        <w:t>кованість відносно функції віку і</w:t>
      </w:r>
      <w:r w:rsidRPr="00855DCC">
        <w:rPr>
          <w:rFonts w:ascii="Times New Roman" w:hAnsi="Times New Roman" w:cs="Times New Roman"/>
          <w:bCs/>
          <w:iCs/>
          <w:sz w:val="21"/>
          <w:szCs w:val="21"/>
        </w:rPr>
        <w:t xml:space="preserve"> в більшості своїй не вибагливі</w:t>
      </w:r>
      <w:r>
        <w:rPr>
          <w:rFonts w:ascii="Times New Roman" w:hAnsi="Times New Roman" w:cs="Times New Roman"/>
          <w:bCs/>
          <w:iCs/>
          <w:sz w:val="21"/>
          <w:szCs w:val="21"/>
        </w:rPr>
        <w:t xml:space="preserve"> відносно віку людини. Об’</w:t>
      </w:r>
      <w:r w:rsidRPr="00855DCC">
        <w:rPr>
          <w:rFonts w:ascii="Times New Roman" w:hAnsi="Times New Roman" w:cs="Times New Roman"/>
          <w:bCs/>
          <w:iCs/>
          <w:sz w:val="21"/>
          <w:szCs w:val="21"/>
        </w:rPr>
        <w:t xml:space="preserve">єктом впливу цих факторів може стати будь-яка людина, незалежно від віку. Вони можуть стати, а можуть і не стати причиною негайної смерті людини, однак їх дія рідко проходить для організму безслідно. У цьому сенсі постійно діючі фактори зовнішнього середовища (екзогенні) володіють таким же кумулятивним впливом на організм людини, як і фактори природного старіння. </w:t>
      </w:r>
    </w:p>
    <w:p w:rsidR="00B233DE" w:rsidRPr="00855DCC"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bCs/>
          <w:iCs/>
          <w:sz w:val="21"/>
          <w:szCs w:val="21"/>
        </w:rPr>
      </w:pPr>
      <w:r w:rsidRPr="00855DCC">
        <w:rPr>
          <w:rFonts w:ascii="Times New Roman" w:hAnsi="Times New Roman" w:cs="Times New Roman"/>
          <w:bCs/>
          <w:iCs/>
          <w:sz w:val="21"/>
          <w:szCs w:val="21"/>
        </w:rPr>
        <w:t xml:space="preserve">Механізм дії екзогенних факторів полягає в тому, що якщо вони не призводять до смерті в молодому віці (до передчасної смерті в повному сенсі слова), то, у всякому разі, прискорюють процес старіння організму людини і в будь-якому випадку обумовлюють його передчасну смертність по відношенню до величини видової тривалості життя. Даний феномен носить назву квазіендогенних факторів смертності. У більш узагальненому вигляді сукупність екзогенних факторів може бути визначено як рівень і якість життя населення. Під цим розуміють власне рівень матеріального добробуту (дохід, житло </w:t>
      </w:r>
      <w:r>
        <w:rPr>
          <w:rFonts w:ascii="Times New Roman" w:hAnsi="Times New Roman" w:cs="Times New Roman"/>
          <w:bCs/>
          <w:iCs/>
          <w:sz w:val="21"/>
          <w:szCs w:val="21"/>
        </w:rPr>
        <w:t>та інше), якість охорони здоров’</w:t>
      </w:r>
      <w:r w:rsidRPr="00855DCC">
        <w:rPr>
          <w:rFonts w:ascii="Times New Roman" w:hAnsi="Times New Roman" w:cs="Times New Roman"/>
          <w:bCs/>
          <w:iCs/>
          <w:sz w:val="21"/>
          <w:szCs w:val="21"/>
        </w:rPr>
        <w:t>я та медичної допомоги, санітарн</w:t>
      </w:r>
      <w:r>
        <w:rPr>
          <w:rFonts w:ascii="Times New Roman" w:hAnsi="Times New Roman" w:cs="Times New Roman"/>
          <w:bCs/>
          <w:iCs/>
          <w:sz w:val="21"/>
          <w:szCs w:val="21"/>
        </w:rPr>
        <w:t>у</w:t>
      </w:r>
      <w:r w:rsidRPr="00855DCC">
        <w:rPr>
          <w:rFonts w:ascii="Times New Roman" w:hAnsi="Times New Roman" w:cs="Times New Roman"/>
          <w:bCs/>
          <w:iCs/>
          <w:sz w:val="21"/>
          <w:szCs w:val="21"/>
        </w:rPr>
        <w:t xml:space="preserve"> культур</w:t>
      </w:r>
      <w:r>
        <w:rPr>
          <w:rFonts w:ascii="Times New Roman" w:hAnsi="Times New Roman" w:cs="Times New Roman"/>
          <w:bCs/>
          <w:iCs/>
          <w:sz w:val="21"/>
          <w:szCs w:val="21"/>
        </w:rPr>
        <w:t>у</w:t>
      </w:r>
      <w:r w:rsidRPr="00855DCC">
        <w:rPr>
          <w:rFonts w:ascii="Times New Roman" w:hAnsi="Times New Roman" w:cs="Times New Roman"/>
          <w:bCs/>
          <w:iCs/>
          <w:sz w:val="21"/>
          <w:szCs w:val="21"/>
        </w:rPr>
        <w:t xml:space="preserve">, рівень освіти, стан навколишнього середовища </w:t>
      </w:r>
      <w:r>
        <w:rPr>
          <w:rFonts w:ascii="Times New Roman" w:hAnsi="Times New Roman" w:cs="Times New Roman"/>
          <w:bCs/>
          <w:iCs/>
          <w:sz w:val="21"/>
          <w:szCs w:val="21"/>
        </w:rPr>
        <w:t>тощо</w:t>
      </w:r>
      <w:r w:rsidRPr="00855DCC">
        <w:rPr>
          <w:rFonts w:ascii="Times New Roman" w:hAnsi="Times New Roman" w:cs="Times New Roman"/>
          <w:bCs/>
          <w:iCs/>
          <w:sz w:val="21"/>
          <w:szCs w:val="21"/>
        </w:rPr>
        <w:t xml:space="preserve">. </w:t>
      </w:r>
    </w:p>
    <w:p w:rsidR="00B233DE" w:rsidRPr="00855DCC"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bCs/>
          <w:iCs/>
          <w:sz w:val="21"/>
          <w:szCs w:val="21"/>
        </w:rPr>
      </w:pPr>
      <w:r w:rsidRPr="00855DCC">
        <w:rPr>
          <w:rFonts w:ascii="Times New Roman" w:hAnsi="Times New Roman" w:cs="Times New Roman"/>
          <w:bCs/>
          <w:iCs/>
          <w:sz w:val="21"/>
          <w:szCs w:val="21"/>
        </w:rPr>
        <w:t xml:space="preserve">Статистика смертності влаштована таким чином, що вона фіксує факт смерті відносно однієї з причин. Тому наведені фактори можна оцінювати тільки на експертному рівні. До ряду причин смерті, безпосередньо обумовлених дією екзогенних факторів, відносяться інфекційні та паразитарні хвороби, нещасні </w:t>
      </w:r>
      <w:r w:rsidRPr="00855DCC">
        <w:rPr>
          <w:rFonts w:ascii="Times New Roman" w:hAnsi="Times New Roman" w:cs="Times New Roman"/>
          <w:bCs/>
          <w:iCs/>
          <w:sz w:val="21"/>
          <w:szCs w:val="21"/>
        </w:rPr>
        <w:lastRenderedPageBreak/>
        <w:t xml:space="preserve">випадки, отруєння і травми, хвороби органів дихання, простудні захворювання, ряд хвороб органів травлення. До причин смерті, які мають ендогенну природу, відносяться хвороби системи кровообігу, новоутворення, вроджені пороки, ендокринні захворювання, ураження кровоносної системи і ряд інших. </w:t>
      </w:r>
    </w:p>
    <w:p w:rsidR="00B233DE" w:rsidRPr="00855DCC"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bCs/>
          <w:iCs/>
          <w:sz w:val="21"/>
          <w:szCs w:val="21"/>
        </w:rPr>
      </w:pPr>
      <w:r w:rsidRPr="00855DCC">
        <w:rPr>
          <w:rFonts w:ascii="Times New Roman" w:hAnsi="Times New Roman" w:cs="Times New Roman"/>
          <w:bCs/>
          <w:iCs/>
          <w:sz w:val="21"/>
          <w:szCs w:val="21"/>
        </w:rPr>
        <w:t xml:space="preserve">Етіологія цілого ряду захворювань має, як вважають багато фахівців, змішану природу. Яскравим прикладом досі вважається природа виникнення злоякісних новоутворень, оскільки очевидно, що спочатку ймовірність їх виникнення залежить від генетичної схильності, але в той же час може бути досить вираженою в залежності від зовнішніх середовищних (канцерогенних) факторів. Тому цю групу причин смерті вирішено відносити до числа квазіендогенних (по аналогії з квазіендогенними факторами смертності). </w:t>
      </w:r>
    </w:p>
    <w:p w:rsidR="00B233DE" w:rsidRDefault="00B233DE" w:rsidP="00B233DE">
      <w:pPr>
        <w:jc w:val="both"/>
        <w:rPr>
          <w:rFonts w:ascii="Times New Roman" w:hAnsi="Times New Roman" w:cs="Times New Roman"/>
          <w:bCs/>
          <w:iCs/>
          <w:sz w:val="21"/>
          <w:szCs w:val="21"/>
        </w:rPr>
      </w:pPr>
      <w:r w:rsidRPr="00855DCC">
        <w:rPr>
          <w:rFonts w:ascii="Times New Roman" w:hAnsi="Times New Roman" w:cs="Times New Roman"/>
          <w:bCs/>
          <w:iCs/>
          <w:sz w:val="21"/>
          <w:szCs w:val="21"/>
        </w:rPr>
        <w:t>У наш час використовується Міжнародна клас</w:t>
      </w:r>
      <w:r>
        <w:rPr>
          <w:rFonts w:ascii="Times New Roman" w:hAnsi="Times New Roman" w:cs="Times New Roman"/>
          <w:bCs/>
          <w:iCs/>
          <w:sz w:val="21"/>
          <w:szCs w:val="21"/>
        </w:rPr>
        <w:t>ифікація хвороб та проблем, пов’язаних зі здоров’</w:t>
      </w:r>
      <w:r w:rsidRPr="00855DCC">
        <w:rPr>
          <w:rFonts w:ascii="Times New Roman" w:hAnsi="Times New Roman" w:cs="Times New Roman"/>
          <w:bCs/>
          <w:iCs/>
          <w:sz w:val="21"/>
          <w:szCs w:val="21"/>
        </w:rPr>
        <w:t>ям (МКХ), яка являє собою перелік найменувань хвороб, прийнятих на даний момент медичною наукою. Сучасні варіанти МКХ розробляються і регулярно переглядаються Всесвітн</w:t>
      </w:r>
      <w:r>
        <w:rPr>
          <w:rFonts w:ascii="Times New Roman" w:hAnsi="Times New Roman" w:cs="Times New Roman"/>
          <w:bCs/>
          <w:iCs/>
          <w:sz w:val="21"/>
          <w:szCs w:val="21"/>
        </w:rPr>
        <w:t>ьою організацією охорони здоров’</w:t>
      </w:r>
      <w:r w:rsidRPr="00855DCC">
        <w:rPr>
          <w:rFonts w:ascii="Times New Roman" w:hAnsi="Times New Roman" w:cs="Times New Roman"/>
          <w:bCs/>
          <w:iCs/>
          <w:sz w:val="21"/>
          <w:szCs w:val="21"/>
        </w:rPr>
        <w:t>я (ВООЗ).</w:t>
      </w:r>
    </w:p>
    <w:p w:rsidR="00B233DE" w:rsidRDefault="00B233DE" w:rsidP="00B233DE">
      <w:pPr>
        <w:jc w:val="both"/>
        <w:rPr>
          <w:rFonts w:ascii="Times New Roman" w:hAnsi="Times New Roman" w:cs="Times New Roman"/>
          <w:bCs/>
          <w:iCs/>
          <w:sz w:val="21"/>
          <w:szCs w:val="21"/>
        </w:rPr>
      </w:pPr>
      <w:r>
        <w:rPr>
          <w:rFonts w:ascii="Times New Roman" w:hAnsi="Times New Roman" w:cs="Times New Roman"/>
          <w:bCs/>
          <w:iCs/>
          <w:sz w:val="21"/>
          <w:szCs w:val="21"/>
        </w:rPr>
        <w:t xml:space="preserve">Для вимірювання показників смертності населення прийнято використовувати ряд коефіцієнтів (табл. </w:t>
      </w:r>
      <w:r w:rsidRPr="00B757E6">
        <w:rPr>
          <w:rFonts w:ascii="Times New Roman" w:hAnsi="Times New Roman" w:cs="Times New Roman"/>
          <w:bCs/>
          <w:iCs/>
          <w:sz w:val="21"/>
          <w:szCs w:val="21"/>
          <w:lang w:val="ru-RU"/>
        </w:rPr>
        <w:t>2</w:t>
      </w:r>
      <w:r>
        <w:rPr>
          <w:rFonts w:ascii="Times New Roman" w:hAnsi="Times New Roman" w:cs="Times New Roman"/>
          <w:bCs/>
          <w:iCs/>
          <w:sz w:val="21"/>
          <w:szCs w:val="21"/>
        </w:rPr>
        <w:t>.5).</w:t>
      </w:r>
    </w:p>
    <w:p w:rsidR="00B233DE" w:rsidRDefault="00B233DE" w:rsidP="00B233DE">
      <w:pPr>
        <w:jc w:val="both"/>
        <w:rPr>
          <w:rFonts w:ascii="Times New Roman" w:hAnsi="Times New Roman" w:cs="Times New Roman"/>
          <w:bCs/>
          <w:iCs/>
          <w:sz w:val="21"/>
          <w:szCs w:val="21"/>
        </w:rPr>
      </w:pPr>
      <w:r w:rsidRPr="00C36B37">
        <w:rPr>
          <w:rFonts w:ascii="Times New Roman" w:hAnsi="Times New Roman" w:cs="Times New Roman"/>
          <w:bCs/>
          <w:iCs/>
          <w:sz w:val="21"/>
          <w:szCs w:val="21"/>
        </w:rPr>
        <w:t>Вік людини, до котрого відбувається повне вичерпання життєздатності у конкретних людей, які проживають в однакових, навіть найсприятливіших умовах, весь час коливається навколо деякої величини. Максимальним її значенням є біологічна, або видова тривалість життя, величина якої розглядається як константа, яка визначається можливостями людини як біологічного виду, але оцінюється фахівцями по-різному (від 85 до 100 років). В реаль</w:t>
      </w:r>
      <w:r>
        <w:rPr>
          <w:rFonts w:ascii="Times New Roman" w:hAnsi="Times New Roman" w:cs="Times New Roman"/>
          <w:bCs/>
          <w:iCs/>
          <w:sz w:val="21"/>
          <w:szCs w:val="21"/>
        </w:rPr>
        <w:t>-</w:t>
      </w:r>
      <w:r w:rsidRPr="00C36B37">
        <w:rPr>
          <w:rFonts w:ascii="Times New Roman" w:hAnsi="Times New Roman" w:cs="Times New Roman"/>
          <w:bCs/>
          <w:iCs/>
          <w:sz w:val="21"/>
          <w:szCs w:val="21"/>
        </w:rPr>
        <w:t xml:space="preserve">ності </w:t>
      </w:r>
      <w:r>
        <w:rPr>
          <w:rFonts w:ascii="Times New Roman" w:hAnsi="Times New Roman" w:cs="Times New Roman"/>
          <w:bCs/>
          <w:iCs/>
          <w:sz w:val="21"/>
          <w:szCs w:val="21"/>
        </w:rPr>
        <w:t>–</w:t>
      </w:r>
      <w:r w:rsidRPr="00C36B37">
        <w:rPr>
          <w:rFonts w:ascii="Times New Roman" w:hAnsi="Times New Roman" w:cs="Times New Roman"/>
          <w:bCs/>
          <w:iCs/>
          <w:sz w:val="21"/>
          <w:szCs w:val="21"/>
        </w:rPr>
        <w:t xml:space="preserve"> це очікувана тривалість майбутнього життя, максимально досяжна в даних конкретно-історичних і соціально-економічних умовах. Різниця між видовою і очікуваною тривалістю життя являє собою інтегральну оцінку впливу на рівень смертності сукупності екзогенних факторів, тобто зовнішніх по відношенню до людини впливів, що несуть загрозу </w:t>
      </w:r>
      <w:r>
        <w:rPr>
          <w:rFonts w:ascii="Times New Roman" w:hAnsi="Times New Roman" w:cs="Times New Roman"/>
          <w:bCs/>
          <w:iCs/>
          <w:sz w:val="21"/>
          <w:szCs w:val="21"/>
        </w:rPr>
        <w:t>її здоров’</w:t>
      </w:r>
      <w:r w:rsidRPr="00C36B37">
        <w:rPr>
          <w:rFonts w:ascii="Times New Roman" w:hAnsi="Times New Roman" w:cs="Times New Roman"/>
          <w:bCs/>
          <w:iCs/>
          <w:sz w:val="21"/>
          <w:szCs w:val="21"/>
        </w:rPr>
        <w:t>ю і життю.</w:t>
      </w:r>
    </w:p>
    <w:p w:rsidR="00B233DE" w:rsidRDefault="00B233DE" w:rsidP="00B233DE">
      <w:pPr>
        <w:jc w:val="both"/>
        <w:rPr>
          <w:rFonts w:ascii="Times New Roman" w:hAnsi="Times New Roman" w:cs="Times New Roman"/>
          <w:bCs/>
          <w:iCs/>
          <w:sz w:val="21"/>
          <w:szCs w:val="21"/>
        </w:rPr>
      </w:pPr>
      <w:r w:rsidRPr="00C36B37">
        <w:rPr>
          <w:rFonts w:ascii="Times New Roman" w:hAnsi="Times New Roman" w:cs="Times New Roman"/>
          <w:bCs/>
          <w:iCs/>
          <w:sz w:val="21"/>
          <w:szCs w:val="21"/>
        </w:rPr>
        <w:t xml:space="preserve">Очікувана тривалість життя </w:t>
      </w:r>
      <w:r>
        <w:rPr>
          <w:rFonts w:ascii="Times New Roman" w:hAnsi="Times New Roman" w:cs="Times New Roman"/>
          <w:bCs/>
          <w:iCs/>
          <w:sz w:val="21"/>
          <w:szCs w:val="21"/>
        </w:rPr>
        <w:t>–</w:t>
      </w:r>
      <w:r w:rsidRPr="00C36B37">
        <w:rPr>
          <w:rFonts w:ascii="Times New Roman" w:hAnsi="Times New Roman" w:cs="Times New Roman"/>
          <w:bCs/>
          <w:iCs/>
          <w:sz w:val="21"/>
          <w:szCs w:val="21"/>
        </w:rPr>
        <w:t xml:space="preserve"> показник, що розраховується на основі таблиць дожиття </w:t>
      </w:r>
      <w:r>
        <w:rPr>
          <w:rFonts w:ascii="Times New Roman" w:hAnsi="Times New Roman" w:cs="Times New Roman"/>
          <w:bCs/>
          <w:iCs/>
          <w:sz w:val="21"/>
          <w:szCs w:val="21"/>
        </w:rPr>
        <w:t>–</w:t>
      </w:r>
      <w:r w:rsidRPr="00C36B37">
        <w:rPr>
          <w:rFonts w:ascii="Times New Roman" w:hAnsi="Times New Roman" w:cs="Times New Roman"/>
          <w:bCs/>
          <w:iCs/>
          <w:sz w:val="21"/>
          <w:szCs w:val="21"/>
        </w:rPr>
        <w:t xml:space="preserve"> характеризує, з одного боку, рівень смертності, з іншого </w:t>
      </w:r>
      <w:r>
        <w:rPr>
          <w:rFonts w:ascii="Times New Roman" w:hAnsi="Times New Roman" w:cs="Times New Roman"/>
          <w:bCs/>
          <w:iCs/>
          <w:sz w:val="21"/>
          <w:szCs w:val="21"/>
        </w:rPr>
        <w:t>–</w:t>
      </w:r>
      <w:r w:rsidRPr="00C36B37">
        <w:rPr>
          <w:rFonts w:ascii="Times New Roman" w:hAnsi="Times New Roman" w:cs="Times New Roman"/>
          <w:bCs/>
          <w:iCs/>
          <w:sz w:val="21"/>
          <w:szCs w:val="21"/>
        </w:rPr>
        <w:t xml:space="preserve"> дає можливість адекватно співставити рівень смертності будь-яких територій, держав.</w:t>
      </w:r>
    </w:p>
    <w:p w:rsidR="00B233DE" w:rsidRPr="00855DCC" w:rsidRDefault="00B233DE" w:rsidP="00B233DE">
      <w:pPr>
        <w:widowControl w:val="0"/>
        <w:tabs>
          <w:tab w:val="left" w:pos="142"/>
        </w:tabs>
        <w:overflowPunct w:val="0"/>
        <w:autoSpaceDE w:val="0"/>
        <w:autoSpaceDN w:val="0"/>
        <w:adjustRightInd w:val="0"/>
        <w:jc w:val="right"/>
        <w:rPr>
          <w:rFonts w:ascii="Times New Roman" w:hAnsi="Times New Roman" w:cs="Times New Roman"/>
          <w:bCs/>
          <w:iCs/>
          <w:sz w:val="21"/>
          <w:szCs w:val="21"/>
        </w:rPr>
      </w:pPr>
      <w:r>
        <w:rPr>
          <w:rFonts w:ascii="Times New Roman" w:hAnsi="Times New Roman" w:cs="Times New Roman"/>
          <w:bCs/>
          <w:iCs/>
          <w:sz w:val="21"/>
          <w:szCs w:val="21"/>
        </w:rPr>
        <w:lastRenderedPageBreak/>
        <w:t xml:space="preserve">Таблиця </w:t>
      </w:r>
      <w:r>
        <w:rPr>
          <w:rFonts w:ascii="Times New Roman" w:hAnsi="Times New Roman" w:cs="Times New Roman"/>
          <w:bCs/>
          <w:iCs/>
          <w:sz w:val="21"/>
          <w:szCs w:val="21"/>
          <w:lang w:val="en-US"/>
        </w:rPr>
        <w:t>2</w:t>
      </w:r>
      <w:r>
        <w:rPr>
          <w:rFonts w:ascii="Times New Roman" w:hAnsi="Times New Roman" w:cs="Times New Roman"/>
          <w:bCs/>
          <w:iCs/>
          <w:sz w:val="21"/>
          <w:szCs w:val="21"/>
        </w:rPr>
        <w:t>.5</w:t>
      </w:r>
    </w:p>
    <w:p w:rsidR="00B233DE" w:rsidRPr="00A758D6" w:rsidRDefault="00B233DE" w:rsidP="00B233DE">
      <w:pPr>
        <w:widowControl w:val="0"/>
        <w:tabs>
          <w:tab w:val="left" w:pos="142"/>
        </w:tabs>
        <w:overflowPunct w:val="0"/>
        <w:autoSpaceDE w:val="0"/>
        <w:autoSpaceDN w:val="0"/>
        <w:adjustRightInd w:val="0"/>
        <w:jc w:val="center"/>
        <w:rPr>
          <w:rFonts w:ascii="Times New Roman" w:hAnsi="Times New Roman" w:cs="Times New Roman"/>
          <w:b/>
          <w:bCs/>
          <w:iCs/>
          <w:sz w:val="21"/>
          <w:szCs w:val="21"/>
        </w:rPr>
      </w:pPr>
      <w:r w:rsidRPr="00A758D6">
        <w:rPr>
          <w:rFonts w:ascii="Times New Roman" w:hAnsi="Times New Roman" w:cs="Times New Roman"/>
          <w:b/>
          <w:bCs/>
          <w:iCs/>
          <w:sz w:val="21"/>
          <w:szCs w:val="21"/>
        </w:rPr>
        <w:t>Показники смертності населення</w:t>
      </w:r>
    </w:p>
    <w:tbl>
      <w:tblPr>
        <w:tblW w:w="63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93"/>
        <w:gridCol w:w="4697"/>
      </w:tblGrid>
      <w:tr w:rsidR="00B233DE" w:rsidRPr="00855DCC" w:rsidTr="0023489B">
        <w:trPr>
          <w:jc w:val="center"/>
        </w:trPr>
        <w:tc>
          <w:tcPr>
            <w:tcW w:w="1693" w:type="dxa"/>
            <w:vAlign w:val="center"/>
          </w:tcPr>
          <w:p w:rsidR="00B233DE" w:rsidRPr="00855DCC" w:rsidRDefault="00B233DE" w:rsidP="0023489B">
            <w:pPr>
              <w:widowControl w:val="0"/>
              <w:tabs>
                <w:tab w:val="left" w:pos="142"/>
              </w:tabs>
              <w:overflowPunct w:val="0"/>
              <w:autoSpaceDE w:val="0"/>
              <w:autoSpaceDN w:val="0"/>
              <w:adjustRightInd w:val="0"/>
              <w:ind w:right="-125" w:firstLine="0"/>
              <w:jc w:val="center"/>
              <w:rPr>
                <w:rFonts w:ascii="Times New Roman" w:hAnsi="Times New Roman" w:cs="Times New Roman"/>
                <w:bCs/>
                <w:iCs/>
                <w:sz w:val="18"/>
                <w:szCs w:val="18"/>
              </w:rPr>
            </w:pPr>
            <w:r w:rsidRPr="00855DCC">
              <w:rPr>
                <w:rFonts w:ascii="Times New Roman" w:hAnsi="Times New Roman" w:cs="Times New Roman"/>
                <w:bCs/>
                <w:iCs/>
                <w:sz w:val="18"/>
                <w:szCs w:val="18"/>
              </w:rPr>
              <w:t>Показник</w:t>
            </w:r>
          </w:p>
        </w:tc>
        <w:tc>
          <w:tcPr>
            <w:tcW w:w="4697" w:type="dxa"/>
            <w:vAlign w:val="center"/>
          </w:tcPr>
          <w:p w:rsidR="00B233DE" w:rsidRPr="00855DCC" w:rsidRDefault="00B233DE" w:rsidP="0023489B">
            <w:pPr>
              <w:widowControl w:val="0"/>
              <w:tabs>
                <w:tab w:val="left" w:pos="142"/>
              </w:tabs>
              <w:overflowPunct w:val="0"/>
              <w:autoSpaceDE w:val="0"/>
              <w:autoSpaceDN w:val="0"/>
              <w:adjustRightInd w:val="0"/>
              <w:ind w:right="-125" w:firstLine="0"/>
              <w:jc w:val="center"/>
              <w:rPr>
                <w:rFonts w:ascii="Times New Roman" w:hAnsi="Times New Roman" w:cs="Times New Roman"/>
                <w:bCs/>
                <w:iCs/>
                <w:sz w:val="18"/>
                <w:szCs w:val="18"/>
              </w:rPr>
            </w:pPr>
            <w:r w:rsidRPr="00855DCC">
              <w:rPr>
                <w:rFonts w:ascii="Times New Roman" w:hAnsi="Times New Roman" w:cs="Times New Roman"/>
                <w:bCs/>
                <w:iCs/>
                <w:sz w:val="18"/>
                <w:szCs w:val="18"/>
              </w:rPr>
              <w:t>Особливості та мет</w:t>
            </w:r>
            <w:r>
              <w:rPr>
                <w:rFonts w:ascii="Times New Roman" w:hAnsi="Times New Roman" w:cs="Times New Roman"/>
                <w:bCs/>
                <w:iCs/>
                <w:sz w:val="18"/>
                <w:szCs w:val="18"/>
              </w:rPr>
              <w:t xml:space="preserve">одика </w:t>
            </w:r>
            <w:r w:rsidRPr="00855DCC">
              <w:rPr>
                <w:rFonts w:ascii="Times New Roman" w:hAnsi="Times New Roman" w:cs="Times New Roman"/>
                <w:bCs/>
                <w:iCs/>
                <w:sz w:val="18"/>
                <w:szCs w:val="18"/>
              </w:rPr>
              <w:t>розрахунку показника</w:t>
            </w:r>
          </w:p>
        </w:tc>
      </w:tr>
      <w:tr w:rsidR="00B233DE" w:rsidRPr="00855DCC" w:rsidTr="0023489B">
        <w:trPr>
          <w:jc w:val="center"/>
        </w:trPr>
        <w:tc>
          <w:tcPr>
            <w:tcW w:w="1693" w:type="dxa"/>
            <w:vAlign w:val="center"/>
          </w:tcPr>
          <w:p w:rsidR="00B233DE" w:rsidRPr="00855DCC" w:rsidRDefault="00B233DE" w:rsidP="0023489B">
            <w:pPr>
              <w:widowControl w:val="0"/>
              <w:tabs>
                <w:tab w:val="left" w:pos="142"/>
              </w:tabs>
              <w:overflowPunct w:val="0"/>
              <w:autoSpaceDE w:val="0"/>
              <w:autoSpaceDN w:val="0"/>
              <w:adjustRightInd w:val="0"/>
              <w:ind w:right="-125" w:firstLine="0"/>
              <w:jc w:val="center"/>
              <w:rPr>
                <w:rFonts w:ascii="Times New Roman" w:hAnsi="Times New Roman" w:cs="Times New Roman"/>
                <w:bCs/>
                <w:iCs/>
                <w:sz w:val="18"/>
                <w:szCs w:val="18"/>
              </w:rPr>
            </w:pPr>
            <w:r w:rsidRPr="00855DCC">
              <w:rPr>
                <w:rFonts w:ascii="Times New Roman" w:hAnsi="Times New Roman" w:cs="Times New Roman"/>
                <w:bCs/>
                <w:iCs/>
                <w:sz w:val="18"/>
                <w:szCs w:val="18"/>
              </w:rPr>
              <w:t>Абсолютне число померлих</w:t>
            </w:r>
          </w:p>
        </w:tc>
        <w:tc>
          <w:tcPr>
            <w:tcW w:w="4697" w:type="dxa"/>
            <w:vAlign w:val="center"/>
          </w:tcPr>
          <w:p w:rsidR="00B233DE" w:rsidRPr="00855DCC" w:rsidRDefault="00B233DE" w:rsidP="0023489B">
            <w:pPr>
              <w:widowControl w:val="0"/>
              <w:tabs>
                <w:tab w:val="left" w:pos="142"/>
              </w:tabs>
              <w:overflowPunct w:val="0"/>
              <w:autoSpaceDE w:val="0"/>
              <w:autoSpaceDN w:val="0"/>
              <w:adjustRightInd w:val="0"/>
              <w:ind w:right="-88" w:firstLine="0"/>
              <w:jc w:val="both"/>
              <w:rPr>
                <w:rFonts w:ascii="Times New Roman" w:hAnsi="Times New Roman" w:cs="Times New Roman"/>
                <w:bCs/>
                <w:iCs/>
                <w:sz w:val="18"/>
                <w:szCs w:val="18"/>
              </w:rPr>
            </w:pPr>
            <w:r w:rsidRPr="00855DCC">
              <w:rPr>
                <w:rFonts w:ascii="Times New Roman" w:hAnsi="Times New Roman" w:cs="Times New Roman"/>
                <w:bCs/>
                <w:iCs/>
                <w:sz w:val="18"/>
                <w:szCs w:val="18"/>
              </w:rPr>
              <w:t>Кількість людей</w:t>
            </w:r>
            <w:r>
              <w:rPr>
                <w:rFonts w:ascii="Times New Roman" w:hAnsi="Times New Roman" w:cs="Times New Roman"/>
                <w:bCs/>
                <w:iCs/>
                <w:sz w:val="18"/>
                <w:szCs w:val="18"/>
              </w:rPr>
              <w:t>, що померли в даній популяції,</w:t>
            </w:r>
            <w:r w:rsidRPr="00855DCC">
              <w:rPr>
                <w:rFonts w:ascii="Times New Roman" w:hAnsi="Times New Roman" w:cs="Times New Roman"/>
                <w:bCs/>
                <w:iCs/>
                <w:sz w:val="18"/>
                <w:szCs w:val="18"/>
              </w:rPr>
              <w:t xml:space="preserve"> в даній віковій групі за </w:t>
            </w:r>
            <w:r>
              <w:rPr>
                <w:rFonts w:ascii="Times New Roman" w:hAnsi="Times New Roman" w:cs="Times New Roman"/>
                <w:bCs/>
                <w:iCs/>
                <w:sz w:val="18"/>
                <w:szCs w:val="18"/>
              </w:rPr>
              <w:t>певний період (звичайна за рік)</w:t>
            </w:r>
          </w:p>
        </w:tc>
      </w:tr>
      <w:tr w:rsidR="00B233DE" w:rsidRPr="00855DCC" w:rsidTr="0023489B">
        <w:trPr>
          <w:jc w:val="center"/>
        </w:trPr>
        <w:tc>
          <w:tcPr>
            <w:tcW w:w="1693" w:type="dxa"/>
            <w:vAlign w:val="center"/>
          </w:tcPr>
          <w:p w:rsidR="00B233DE" w:rsidRPr="00855DCC" w:rsidRDefault="00B233DE" w:rsidP="0023489B">
            <w:pPr>
              <w:widowControl w:val="0"/>
              <w:tabs>
                <w:tab w:val="left" w:pos="142"/>
              </w:tabs>
              <w:overflowPunct w:val="0"/>
              <w:autoSpaceDE w:val="0"/>
              <w:autoSpaceDN w:val="0"/>
              <w:adjustRightInd w:val="0"/>
              <w:ind w:right="-125" w:firstLine="0"/>
              <w:jc w:val="center"/>
              <w:rPr>
                <w:rFonts w:ascii="Times New Roman" w:hAnsi="Times New Roman" w:cs="Times New Roman"/>
                <w:bCs/>
                <w:iCs/>
                <w:sz w:val="18"/>
                <w:szCs w:val="18"/>
              </w:rPr>
            </w:pPr>
            <w:r w:rsidRPr="00855DCC">
              <w:rPr>
                <w:rFonts w:ascii="Times New Roman" w:hAnsi="Times New Roman" w:cs="Times New Roman"/>
                <w:bCs/>
                <w:iCs/>
                <w:sz w:val="18"/>
                <w:szCs w:val="18"/>
              </w:rPr>
              <w:t xml:space="preserve">Загальний коефіцієнт </w:t>
            </w:r>
          </w:p>
          <w:p w:rsidR="00B233DE" w:rsidRPr="00855DCC" w:rsidRDefault="00B233DE" w:rsidP="0023489B">
            <w:pPr>
              <w:widowControl w:val="0"/>
              <w:tabs>
                <w:tab w:val="left" w:pos="142"/>
              </w:tabs>
              <w:overflowPunct w:val="0"/>
              <w:autoSpaceDE w:val="0"/>
              <w:autoSpaceDN w:val="0"/>
              <w:adjustRightInd w:val="0"/>
              <w:ind w:right="-125" w:firstLine="0"/>
              <w:jc w:val="center"/>
              <w:rPr>
                <w:rFonts w:ascii="Times New Roman" w:hAnsi="Times New Roman" w:cs="Times New Roman"/>
                <w:bCs/>
                <w:iCs/>
                <w:sz w:val="18"/>
                <w:szCs w:val="18"/>
              </w:rPr>
            </w:pPr>
            <w:r w:rsidRPr="00855DCC">
              <w:rPr>
                <w:rFonts w:ascii="Times New Roman" w:hAnsi="Times New Roman" w:cs="Times New Roman"/>
                <w:bCs/>
                <w:iCs/>
                <w:sz w:val="18"/>
                <w:szCs w:val="18"/>
              </w:rPr>
              <w:t>смертності</w:t>
            </w:r>
          </w:p>
        </w:tc>
        <w:tc>
          <w:tcPr>
            <w:tcW w:w="4697" w:type="dxa"/>
            <w:vAlign w:val="center"/>
          </w:tcPr>
          <w:p w:rsidR="00B233DE" w:rsidRPr="00855DCC" w:rsidRDefault="00B233DE" w:rsidP="0023489B">
            <w:pPr>
              <w:widowControl w:val="0"/>
              <w:tabs>
                <w:tab w:val="left" w:pos="142"/>
              </w:tabs>
              <w:overflowPunct w:val="0"/>
              <w:autoSpaceDE w:val="0"/>
              <w:autoSpaceDN w:val="0"/>
              <w:adjustRightInd w:val="0"/>
              <w:ind w:right="-88" w:firstLine="0"/>
              <w:jc w:val="both"/>
              <w:rPr>
                <w:rFonts w:ascii="Times New Roman" w:hAnsi="Times New Roman" w:cs="Times New Roman"/>
                <w:bCs/>
                <w:iCs/>
                <w:sz w:val="18"/>
                <w:szCs w:val="18"/>
              </w:rPr>
            </w:pPr>
            <w:r w:rsidRPr="00855DCC">
              <w:rPr>
                <w:rFonts w:ascii="Times New Roman" w:hAnsi="Times New Roman" w:cs="Times New Roman"/>
                <w:bCs/>
                <w:iCs/>
                <w:sz w:val="18"/>
                <w:szCs w:val="18"/>
              </w:rPr>
              <w:t>Розраховується як відношення різниці між числом народжень та числом смертей в населенні за період до середньої чисельності населення за цей же період, помножене на 1000; виражається в проміле. Простіше може розраховуватись як різниця мі загальним коефіцієнтом народжуваності і за</w:t>
            </w:r>
            <w:r>
              <w:rPr>
                <w:rFonts w:ascii="Times New Roman" w:hAnsi="Times New Roman" w:cs="Times New Roman"/>
                <w:bCs/>
                <w:iCs/>
                <w:sz w:val="18"/>
                <w:szCs w:val="18"/>
              </w:rPr>
              <w:t>гальним коефіцієнтом смертності</w:t>
            </w:r>
          </w:p>
        </w:tc>
      </w:tr>
      <w:tr w:rsidR="00B233DE" w:rsidRPr="00C36B37" w:rsidTr="0023489B">
        <w:trPr>
          <w:jc w:val="center"/>
        </w:trPr>
        <w:tc>
          <w:tcPr>
            <w:tcW w:w="1693" w:type="dxa"/>
            <w:vAlign w:val="center"/>
          </w:tcPr>
          <w:p w:rsidR="00B233DE" w:rsidRPr="00855DCC" w:rsidRDefault="00B233DE" w:rsidP="0023489B">
            <w:pPr>
              <w:widowControl w:val="0"/>
              <w:tabs>
                <w:tab w:val="left" w:pos="142"/>
              </w:tabs>
              <w:overflowPunct w:val="0"/>
              <w:autoSpaceDE w:val="0"/>
              <w:autoSpaceDN w:val="0"/>
              <w:adjustRightInd w:val="0"/>
              <w:ind w:right="-125" w:firstLine="0"/>
              <w:jc w:val="center"/>
              <w:rPr>
                <w:rFonts w:ascii="Times New Roman" w:hAnsi="Times New Roman" w:cs="Times New Roman"/>
                <w:bCs/>
                <w:iCs/>
                <w:sz w:val="18"/>
                <w:szCs w:val="18"/>
              </w:rPr>
            </w:pPr>
            <w:r w:rsidRPr="00855DCC">
              <w:rPr>
                <w:rFonts w:ascii="Times New Roman" w:hAnsi="Times New Roman" w:cs="Times New Roman"/>
                <w:bCs/>
                <w:iCs/>
                <w:sz w:val="18"/>
                <w:szCs w:val="18"/>
              </w:rPr>
              <w:t xml:space="preserve">Коефіцієнт малюкової </w:t>
            </w:r>
          </w:p>
          <w:p w:rsidR="00B233DE" w:rsidRPr="00855DCC" w:rsidRDefault="00B233DE" w:rsidP="0023489B">
            <w:pPr>
              <w:widowControl w:val="0"/>
              <w:tabs>
                <w:tab w:val="left" w:pos="142"/>
              </w:tabs>
              <w:overflowPunct w:val="0"/>
              <w:autoSpaceDE w:val="0"/>
              <w:autoSpaceDN w:val="0"/>
              <w:adjustRightInd w:val="0"/>
              <w:ind w:right="-125" w:firstLine="0"/>
              <w:jc w:val="center"/>
              <w:rPr>
                <w:rFonts w:ascii="Times New Roman" w:hAnsi="Times New Roman" w:cs="Times New Roman"/>
                <w:bCs/>
                <w:iCs/>
                <w:sz w:val="18"/>
                <w:szCs w:val="18"/>
              </w:rPr>
            </w:pPr>
            <w:r w:rsidRPr="00855DCC">
              <w:rPr>
                <w:rFonts w:ascii="Times New Roman" w:hAnsi="Times New Roman" w:cs="Times New Roman"/>
                <w:bCs/>
                <w:iCs/>
                <w:sz w:val="18"/>
                <w:szCs w:val="18"/>
              </w:rPr>
              <w:t>смертності</w:t>
            </w:r>
          </w:p>
        </w:tc>
        <w:tc>
          <w:tcPr>
            <w:tcW w:w="4697" w:type="dxa"/>
            <w:vAlign w:val="center"/>
          </w:tcPr>
          <w:p w:rsidR="00B233DE" w:rsidRPr="00C36B37" w:rsidRDefault="00B233DE" w:rsidP="0023489B">
            <w:pPr>
              <w:widowControl w:val="0"/>
              <w:tabs>
                <w:tab w:val="left" w:pos="142"/>
              </w:tabs>
              <w:overflowPunct w:val="0"/>
              <w:autoSpaceDE w:val="0"/>
              <w:autoSpaceDN w:val="0"/>
              <w:adjustRightInd w:val="0"/>
              <w:ind w:right="-88" w:firstLine="0"/>
              <w:jc w:val="both"/>
              <w:rPr>
                <w:rFonts w:ascii="Times New Roman" w:hAnsi="Times New Roman" w:cs="Times New Roman"/>
                <w:bCs/>
                <w:iCs/>
                <w:sz w:val="18"/>
                <w:szCs w:val="18"/>
              </w:rPr>
            </w:pPr>
            <w:r w:rsidRPr="00C36B37">
              <w:rPr>
                <w:rFonts w:ascii="Times New Roman" w:hAnsi="Times New Roman" w:cs="Times New Roman"/>
                <w:bCs/>
                <w:iCs/>
                <w:sz w:val="18"/>
                <w:szCs w:val="18"/>
              </w:rPr>
              <w:t xml:space="preserve">Для розрахунку коефіцієнту малюкової смертності </w:t>
            </w:r>
            <w:r w:rsidRPr="00C36B37">
              <w:rPr>
                <w:rFonts w:ascii="Times New Roman" w:hAnsi="Times New Roman" w:cs="Times New Roman"/>
                <w:bCs/>
                <w:iCs/>
                <w:spacing w:val="-6"/>
                <w:sz w:val="18"/>
                <w:szCs w:val="18"/>
              </w:rPr>
              <w:t>застосовують кілька методів. Найбільш поширеними є відно-шення числа дітей, які померли в даному році у віці до 1 року,</w:t>
            </w:r>
            <w:r w:rsidRPr="00C36B37">
              <w:rPr>
                <w:rFonts w:ascii="Times New Roman" w:hAnsi="Times New Roman" w:cs="Times New Roman"/>
                <w:bCs/>
                <w:iCs/>
                <w:sz w:val="18"/>
                <w:szCs w:val="18"/>
              </w:rPr>
              <w:t xml:space="preserve"> до числа народжених живими в тому ж календарному році, ви</w:t>
            </w:r>
            <w:r>
              <w:rPr>
                <w:rFonts w:ascii="Times New Roman" w:hAnsi="Times New Roman" w:cs="Times New Roman"/>
                <w:bCs/>
                <w:iCs/>
                <w:sz w:val="18"/>
                <w:szCs w:val="18"/>
              </w:rPr>
              <w:t>раженому в проміле (‰)</w:t>
            </w:r>
          </w:p>
        </w:tc>
      </w:tr>
      <w:tr w:rsidR="00B233DE" w:rsidRPr="00855DCC" w:rsidTr="0023489B">
        <w:trPr>
          <w:jc w:val="center"/>
        </w:trPr>
        <w:tc>
          <w:tcPr>
            <w:tcW w:w="1693" w:type="dxa"/>
            <w:vAlign w:val="center"/>
          </w:tcPr>
          <w:p w:rsidR="00B233DE" w:rsidRDefault="00B233DE" w:rsidP="0023489B">
            <w:pPr>
              <w:widowControl w:val="0"/>
              <w:tabs>
                <w:tab w:val="left" w:pos="142"/>
              </w:tabs>
              <w:overflowPunct w:val="0"/>
              <w:autoSpaceDE w:val="0"/>
              <w:autoSpaceDN w:val="0"/>
              <w:adjustRightInd w:val="0"/>
              <w:ind w:right="-125" w:firstLine="0"/>
              <w:jc w:val="center"/>
              <w:rPr>
                <w:rFonts w:ascii="Times New Roman" w:hAnsi="Times New Roman" w:cs="Times New Roman"/>
                <w:bCs/>
                <w:iCs/>
                <w:sz w:val="18"/>
                <w:szCs w:val="18"/>
              </w:rPr>
            </w:pPr>
            <w:r w:rsidRPr="00855DCC">
              <w:rPr>
                <w:rFonts w:ascii="Times New Roman" w:hAnsi="Times New Roman" w:cs="Times New Roman"/>
                <w:bCs/>
                <w:iCs/>
                <w:sz w:val="18"/>
                <w:szCs w:val="18"/>
              </w:rPr>
              <w:t xml:space="preserve">Материнська </w:t>
            </w:r>
          </w:p>
          <w:p w:rsidR="00B233DE" w:rsidRPr="00855DCC" w:rsidRDefault="00B233DE" w:rsidP="0023489B">
            <w:pPr>
              <w:widowControl w:val="0"/>
              <w:tabs>
                <w:tab w:val="left" w:pos="142"/>
              </w:tabs>
              <w:overflowPunct w:val="0"/>
              <w:autoSpaceDE w:val="0"/>
              <w:autoSpaceDN w:val="0"/>
              <w:adjustRightInd w:val="0"/>
              <w:ind w:right="-125" w:firstLine="0"/>
              <w:jc w:val="center"/>
              <w:rPr>
                <w:rFonts w:ascii="Times New Roman" w:hAnsi="Times New Roman" w:cs="Times New Roman"/>
                <w:bCs/>
                <w:iCs/>
                <w:sz w:val="18"/>
                <w:szCs w:val="18"/>
              </w:rPr>
            </w:pPr>
            <w:r w:rsidRPr="00855DCC">
              <w:rPr>
                <w:rFonts w:ascii="Times New Roman" w:hAnsi="Times New Roman" w:cs="Times New Roman"/>
                <w:bCs/>
                <w:iCs/>
                <w:sz w:val="18"/>
                <w:szCs w:val="18"/>
              </w:rPr>
              <w:t>смертність</w:t>
            </w:r>
          </w:p>
        </w:tc>
        <w:tc>
          <w:tcPr>
            <w:tcW w:w="4697" w:type="dxa"/>
            <w:vAlign w:val="center"/>
          </w:tcPr>
          <w:p w:rsidR="00B233DE" w:rsidRPr="00855DCC" w:rsidRDefault="00B233DE" w:rsidP="0023489B">
            <w:pPr>
              <w:widowControl w:val="0"/>
              <w:tabs>
                <w:tab w:val="left" w:pos="142"/>
              </w:tabs>
              <w:overflowPunct w:val="0"/>
              <w:autoSpaceDE w:val="0"/>
              <w:autoSpaceDN w:val="0"/>
              <w:adjustRightInd w:val="0"/>
              <w:ind w:right="-88" w:firstLine="0"/>
              <w:jc w:val="both"/>
              <w:rPr>
                <w:rFonts w:ascii="Times New Roman" w:hAnsi="Times New Roman" w:cs="Times New Roman"/>
                <w:bCs/>
                <w:iCs/>
                <w:sz w:val="18"/>
                <w:szCs w:val="18"/>
              </w:rPr>
            </w:pPr>
            <w:r w:rsidRPr="00855DCC">
              <w:rPr>
                <w:rFonts w:ascii="Times New Roman" w:hAnsi="Times New Roman" w:cs="Times New Roman"/>
                <w:bCs/>
                <w:iCs/>
                <w:sz w:val="18"/>
                <w:szCs w:val="18"/>
              </w:rPr>
              <w:t>Розраховують діленням кількості випадків материнських смертей на кількість живонароджених або загальну кількість народжених (живонароджені та мертвонароджені</w:t>
            </w:r>
            <w:r>
              <w:rPr>
                <w:rFonts w:ascii="Times New Roman" w:hAnsi="Times New Roman" w:cs="Times New Roman"/>
                <w:bCs/>
                <w:iCs/>
                <w:sz w:val="18"/>
                <w:szCs w:val="18"/>
              </w:rPr>
              <w:t xml:space="preserve"> разом) помножену на 100000 (‰)</w:t>
            </w:r>
          </w:p>
        </w:tc>
      </w:tr>
      <w:tr w:rsidR="00B233DE" w:rsidRPr="00855DCC" w:rsidTr="0023489B">
        <w:trPr>
          <w:jc w:val="center"/>
        </w:trPr>
        <w:tc>
          <w:tcPr>
            <w:tcW w:w="1693" w:type="dxa"/>
            <w:vAlign w:val="center"/>
          </w:tcPr>
          <w:p w:rsidR="00B233DE" w:rsidRPr="00855DCC" w:rsidRDefault="00B233DE" w:rsidP="0023489B">
            <w:pPr>
              <w:widowControl w:val="0"/>
              <w:tabs>
                <w:tab w:val="left" w:pos="142"/>
              </w:tabs>
              <w:overflowPunct w:val="0"/>
              <w:autoSpaceDE w:val="0"/>
              <w:autoSpaceDN w:val="0"/>
              <w:adjustRightInd w:val="0"/>
              <w:ind w:right="-125" w:firstLine="0"/>
              <w:jc w:val="center"/>
              <w:rPr>
                <w:rFonts w:ascii="Times New Roman" w:hAnsi="Times New Roman" w:cs="Times New Roman"/>
                <w:bCs/>
                <w:iCs/>
                <w:sz w:val="18"/>
                <w:szCs w:val="18"/>
              </w:rPr>
            </w:pPr>
            <w:r w:rsidRPr="00855DCC">
              <w:rPr>
                <w:rFonts w:ascii="Times New Roman" w:hAnsi="Times New Roman" w:cs="Times New Roman"/>
                <w:bCs/>
                <w:iCs/>
                <w:sz w:val="18"/>
                <w:szCs w:val="18"/>
              </w:rPr>
              <w:t>Очікувана тривалість</w:t>
            </w:r>
          </w:p>
          <w:p w:rsidR="00B233DE" w:rsidRPr="00855DCC" w:rsidRDefault="00B233DE" w:rsidP="0023489B">
            <w:pPr>
              <w:widowControl w:val="0"/>
              <w:tabs>
                <w:tab w:val="left" w:pos="142"/>
              </w:tabs>
              <w:overflowPunct w:val="0"/>
              <w:autoSpaceDE w:val="0"/>
              <w:autoSpaceDN w:val="0"/>
              <w:adjustRightInd w:val="0"/>
              <w:ind w:right="-125" w:firstLine="0"/>
              <w:jc w:val="center"/>
              <w:rPr>
                <w:rFonts w:ascii="Times New Roman" w:hAnsi="Times New Roman" w:cs="Times New Roman"/>
                <w:bCs/>
                <w:iCs/>
                <w:sz w:val="18"/>
                <w:szCs w:val="18"/>
              </w:rPr>
            </w:pPr>
            <w:r w:rsidRPr="00855DCC">
              <w:rPr>
                <w:rFonts w:ascii="Times New Roman" w:hAnsi="Times New Roman" w:cs="Times New Roman"/>
                <w:bCs/>
                <w:iCs/>
                <w:sz w:val="18"/>
                <w:szCs w:val="18"/>
              </w:rPr>
              <w:t>майбутнього життя</w:t>
            </w:r>
          </w:p>
        </w:tc>
        <w:tc>
          <w:tcPr>
            <w:tcW w:w="4697" w:type="dxa"/>
            <w:vAlign w:val="center"/>
          </w:tcPr>
          <w:p w:rsidR="00B233DE" w:rsidRPr="00855DCC" w:rsidRDefault="00B233DE" w:rsidP="0023489B">
            <w:pPr>
              <w:widowControl w:val="0"/>
              <w:tabs>
                <w:tab w:val="left" w:pos="142"/>
              </w:tabs>
              <w:overflowPunct w:val="0"/>
              <w:autoSpaceDE w:val="0"/>
              <w:autoSpaceDN w:val="0"/>
              <w:adjustRightInd w:val="0"/>
              <w:ind w:right="-88" w:firstLine="0"/>
              <w:jc w:val="both"/>
              <w:rPr>
                <w:rFonts w:ascii="Times New Roman" w:hAnsi="Times New Roman" w:cs="Times New Roman"/>
                <w:bCs/>
                <w:iCs/>
                <w:sz w:val="18"/>
                <w:szCs w:val="18"/>
              </w:rPr>
            </w:pPr>
            <w:r w:rsidRPr="00855DCC">
              <w:rPr>
                <w:rFonts w:ascii="Times New Roman" w:hAnsi="Times New Roman" w:cs="Times New Roman"/>
                <w:bCs/>
                <w:iCs/>
                <w:sz w:val="18"/>
                <w:szCs w:val="18"/>
              </w:rPr>
              <w:t>Означає середнє число років, яке належить дожити до наступного віку «х» років, за умови, що на протязі життя, що його очікує</w:t>
            </w:r>
            <w:r>
              <w:rPr>
                <w:rFonts w:ascii="Times New Roman" w:hAnsi="Times New Roman" w:cs="Times New Roman"/>
                <w:bCs/>
                <w:iCs/>
                <w:sz w:val="18"/>
                <w:szCs w:val="18"/>
              </w:rPr>
              <w:t>,</w:t>
            </w:r>
            <w:r w:rsidRPr="00855DCC">
              <w:rPr>
                <w:rFonts w:ascii="Times New Roman" w:hAnsi="Times New Roman" w:cs="Times New Roman"/>
                <w:bCs/>
                <w:iCs/>
                <w:sz w:val="18"/>
                <w:szCs w:val="18"/>
              </w:rPr>
              <w:t xml:space="preserve"> збережеться повікова смертність даного календарного періоду.</w:t>
            </w:r>
          </w:p>
        </w:tc>
      </w:tr>
    </w:tbl>
    <w:p w:rsidR="00B233DE" w:rsidRPr="00C36B37" w:rsidRDefault="00B233DE" w:rsidP="00B233DE">
      <w:pPr>
        <w:jc w:val="both"/>
        <w:rPr>
          <w:rFonts w:ascii="Times New Roman" w:hAnsi="Times New Roman" w:cs="Times New Roman"/>
          <w:sz w:val="21"/>
          <w:szCs w:val="21"/>
        </w:rPr>
      </w:pPr>
    </w:p>
    <w:p w:rsidR="00B233DE" w:rsidRPr="00C36B37" w:rsidRDefault="00B233DE" w:rsidP="00B233DE">
      <w:pPr>
        <w:widowControl w:val="0"/>
        <w:overflowPunct w:val="0"/>
        <w:autoSpaceDE w:val="0"/>
        <w:autoSpaceDN w:val="0"/>
        <w:adjustRightInd w:val="0"/>
        <w:ind w:firstLine="720"/>
        <w:jc w:val="both"/>
        <w:rPr>
          <w:rFonts w:ascii="Times New Roman" w:hAnsi="Times New Roman" w:cs="Times New Roman"/>
          <w:bCs/>
          <w:iCs/>
          <w:sz w:val="21"/>
          <w:szCs w:val="21"/>
        </w:rPr>
      </w:pPr>
      <w:r w:rsidRPr="00C36B37">
        <w:rPr>
          <w:rFonts w:ascii="Times New Roman" w:hAnsi="Times New Roman" w:cs="Times New Roman"/>
          <w:bCs/>
          <w:iCs/>
          <w:sz w:val="21"/>
          <w:szCs w:val="21"/>
        </w:rPr>
        <w:t>Це дозволяє визначити положення тієї чи іншої демографічної сукупності по відношенню до інших з точки зору стану епідеміологічних процесів, рівня соціально-економічного розвитку, якості життя тощо. В силу цього очікувана тривалість життя розглядається в якості одного з базових індикаторів соціально-економічного благополуччя населення.</w:t>
      </w:r>
    </w:p>
    <w:p w:rsidR="00B233DE" w:rsidRPr="00C36B37"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C36B37">
        <w:rPr>
          <w:rFonts w:ascii="Times New Roman" w:hAnsi="Times New Roman" w:cs="Times New Roman"/>
          <w:sz w:val="21"/>
          <w:szCs w:val="21"/>
        </w:rPr>
        <w:t>Кількісні та якісні характеристики населення безперервно змінюються: люди народжуються, вмирають, одружуються, змінюють місце проживання, здобувають освіту тощо. Зміна чисельності і складу населення суттєво впливають на розвиток економіки та суспільства в цілому.</w:t>
      </w:r>
    </w:p>
    <w:p w:rsidR="00B233DE" w:rsidRPr="00C36B37"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C36B37">
        <w:rPr>
          <w:rFonts w:ascii="Times New Roman" w:hAnsi="Times New Roman" w:cs="Times New Roman"/>
          <w:sz w:val="21"/>
          <w:szCs w:val="21"/>
        </w:rPr>
        <w:t xml:space="preserve">Чисельність і склад населення в усіх країнах визначається за допомогою перепису, поточного обліку населення (реєстрації народжуваності, смертності, прибуття і вибуття), вибіркового та спеціального демографічного обстеження, реєстрів населення. Переписи населення систематично проводяться в багатьох </w:t>
      </w:r>
      <w:r w:rsidRPr="00C36B37">
        <w:rPr>
          <w:rFonts w:ascii="Times New Roman" w:hAnsi="Times New Roman" w:cs="Times New Roman"/>
          <w:sz w:val="21"/>
          <w:szCs w:val="21"/>
        </w:rPr>
        <w:lastRenderedPageBreak/>
        <w:t>державах. Організація Об’єднаних Націй рекомендує проводити переписи в рік, близький до кінця десятиліття і включати в програми обов’язковий мінімум питань з метою міжнаро</w:t>
      </w:r>
      <w:r>
        <w:rPr>
          <w:rFonts w:ascii="Times New Roman" w:hAnsi="Times New Roman" w:cs="Times New Roman"/>
          <w:sz w:val="21"/>
          <w:szCs w:val="21"/>
        </w:rPr>
        <w:t>дного порів</w:t>
      </w:r>
      <w:r w:rsidRPr="00C36B37">
        <w:rPr>
          <w:rFonts w:ascii="Times New Roman" w:hAnsi="Times New Roman" w:cs="Times New Roman"/>
          <w:sz w:val="21"/>
          <w:szCs w:val="21"/>
        </w:rPr>
        <w:t>няння одержуваної інформації.</w:t>
      </w:r>
    </w:p>
    <w:p w:rsidR="00B233DE" w:rsidRPr="00C36B37"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C36B37">
        <w:rPr>
          <w:rFonts w:ascii="Times New Roman" w:hAnsi="Times New Roman" w:cs="Times New Roman"/>
          <w:sz w:val="21"/>
          <w:szCs w:val="21"/>
        </w:rPr>
        <w:t>Всеукраїнський перепис населення 2001 р. було проведено відповідно до Закону України «Про Всеукраїнський перепис населення»</w:t>
      </w:r>
      <w:r>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_Ref433791838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11</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sidRPr="00C36B37">
        <w:rPr>
          <w:rFonts w:ascii="Times New Roman" w:hAnsi="Times New Roman" w:cs="Times New Roman"/>
          <w:sz w:val="21"/>
          <w:szCs w:val="21"/>
        </w:rPr>
        <w:t>, який визначив правові, економічні та організаційні основи підготовки і проведення, обробки, поширення та використання його результатів. Основною метою проведення Все</w:t>
      </w:r>
      <w:r w:rsidRPr="00C36B37">
        <w:rPr>
          <w:rFonts w:ascii="Times New Roman" w:hAnsi="Times New Roman" w:cs="Times New Roman"/>
          <w:sz w:val="21"/>
          <w:szCs w:val="21"/>
        </w:rPr>
        <w:softHyphen/>
        <w:t>українського перепису було отримання об’єктивних та цілісних даних щодо загальної кількості населення країни, його демографічних і соціальних характеристик.</w:t>
      </w:r>
    </w:p>
    <w:p w:rsidR="00B233DE" w:rsidRPr="00C36B37"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C36B37">
        <w:rPr>
          <w:rFonts w:ascii="Times New Roman" w:hAnsi="Times New Roman" w:cs="Times New Roman"/>
          <w:sz w:val="21"/>
          <w:szCs w:val="21"/>
        </w:rPr>
        <w:t>Вибіркові та спеціальні демографічні обстеження</w:t>
      </w:r>
      <w:bookmarkStart w:id="84" w:name="_ftnref3"/>
      <w:r w:rsidRPr="00C36B37">
        <w:rPr>
          <w:rFonts w:ascii="Times New Roman" w:hAnsi="Times New Roman" w:cs="Times New Roman"/>
          <w:sz w:val="21"/>
          <w:szCs w:val="21"/>
        </w:rPr>
        <w:fldChar w:fldCharType="begin"/>
      </w:r>
      <w:r w:rsidRPr="00C36B37">
        <w:rPr>
          <w:rFonts w:ascii="Times New Roman" w:hAnsi="Times New Roman" w:cs="Times New Roman"/>
          <w:sz w:val="21"/>
          <w:szCs w:val="21"/>
        </w:rPr>
        <w:instrText xml:space="preserve"> HYPERLINK "http://buklib.net/books/27279/" \l "_ftn3" </w:instrText>
      </w:r>
      <w:r w:rsidRPr="00C36B37">
        <w:rPr>
          <w:rFonts w:ascii="Times New Roman" w:hAnsi="Times New Roman" w:cs="Times New Roman"/>
          <w:sz w:val="21"/>
          <w:szCs w:val="21"/>
        </w:rPr>
        <w:fldChar w:fldCharType="separate"/>
      </w:r>
      <w:r w:rsidRPr="00C36B37">
        <w:rPr>
          <w:rFonts w:ascii="Times New Roman" w:hAnsi="Times New Roman" w:cs="Times New Roman"/>
          <w:sz w:val="21"/>
          <w:szCs w:val="21"/>
        </w:rPr>
        <w:t xml:space="preserve"> застосовують</w:t>
      </w:r>
      <w:r w:rsidRPr="00C36B37">
        <w:rPr>
          <w:rFonts w:ascii="Times New Roman" w:hAnsi="Times New Roman" w:cs="Times New Roman"/>
          <w:sz w:val="21"/>
          <w:szCs w:val="21"/>
        </w:rPr>
        <w:fldChar w:fldCharType="end"/>
      </w:r>
      <w:bookmarkEnd w:id="84"/>
      <w:r w:rsidRPr="00C36B37">
        <w:rPr>
          <w:rFonts w:ascii="Times New Roman" w:hAnsi="Times New Roman" w:cs="Times New Roman"/>
          <w:sz w:val="21"/>
          <w:szCs w:val="21"/>
        </w:rPr>
        <w:t>ся для розширення програми перепису, отримання попередніх його результатів і прискорення розробки його матеріалів з метою додаткової розробки матеріалів за ширшою програмою. Поточним обліком населення опікуються статистичні та різні адміністративні і державні органи (складаються списки або картки населення).</w:t>
      </w:r>
    </w:p>
    <w:p w:rsidR="00B233DE" w:rsidRPr="00C36B37"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C36B37">
        <w:rPr>
          <w:rFonts w:ascii="Times New Roman" w:hAnsi="Times New Roman" w:cs="Times New Roman"/>
          <w:sz w:val="21"/>
          <w:szCs w:val="21"/>
        </w:rPr>
        <w:t>Джерелом даних про населення можуть бути також і реєстри</w:t>
      </w:r>
      <w:bookmarkStart w:id="85" w:name="_ftnref4"/>
      <w:r w:rsidRPr="00C36B37">
        <w:rPr>
          <w:rFonts w:ascii="Times New Roman" w:hAnsi="Times New Roman" w:cs="Times New Roman"/>
          <w:sz w:val="21"/>
          <w:szCs w:val="21"/>
        </w:rPr>
        <w:fldChar w:fldCharType="begin"/>
      </w:r>
      <w:r w:rsidRPr="00C36B37">
        <w:rPr>
          <w:rFonts w:ascii="Times New Roman" w:hAnsi="Times New Roman" w:cs="Times New Roman"/>
          <w:sz w:val="21"/>
          <w:szCs w:val="21"/>
        </w:rPr>
        <w:instrText xml:space="preserve"> HYPERLINK "http://buklib.net/books/27279/" \l "_ftn4" </w:instrText>
      </w:r>
      <w:r w:rsidRPr="00C36B37">
        <w:rPr>
          <w:rFonts w:ascii="Times New Roman" w:hAnsi="Times New Roman" w:cs="Times New Roman"/>
          <w:sz w:val="21"/>
          <w:szCs w:val="21"/>
        </w:rPr>
        <w:fldChar w:fldCharType="separate"/>
      </w:r>
      <w:r>
        <w:rPr>
          <w:rFonts w:ascii="Times New Roman" w:hAnsi="Times New Roman" w:cs="Times New Roman"/>
          <w:sz w:val="21"/>
          <w:szCs w:val="21"/>
        </w:rPr>
        <w:t xml:space="preserve">. </w:t>
      </w:r>
      <w:r w:rsidRPr="00C36B37">
        <w:rPr>
          <w:rFonts w:ascii="Times New Roman" w:hAnsi="Times New Roman" w:cs="Times New Roman"/>
          <w:sz w:val="21"/>
          <w:szCs w:val="21"/>
        </w:rPr>
        <w:t>В країнах з добре налагодженою системою обліку реєстри населе</w:t>
      </w:r>
      <w:r w:rsidRPr="00C36B37">
        <w:rPr>
          <w:rFonts w:ascii="Times New Roman" w:hAnsi="Times New Roman" w:cs="Times New Roman"/>
          <w:sz w:val="21"/>
          <w:szCs w:val="21"/>
        </w:rPr>
        <w:fldChar w:fldCharType="end"/>
      </w:r>
      <w:bookmarkEnd w:id="85"/>
      <w:r w:rsidRPr="00C36B37">
        <w:rPr>
          <w:rFonts w:ascii="Times New Roman" w:hAnsi="Times New Roman" w:cs="Times New Roman"/>
          <w:sz w:val="21"/>
          <w:szCs w:val="21"/>
        </w:rPr>
        <w:t>ння є основним джерелом інформації з демографічних питань. На кожну людину після її народження заводиться спеціальна карта, до якої вносяться відомості про події в житті даної особи: одруження, народження дітей, зміна професії, місця роботи, зміна житлових умов, рівня доходу тощо. Такі реєстри населення дають змогу одержати індивідуальні та групові соціальні характеристики в динаміці, розробляти обґрунтовані заходи щодо формування демографічної політики.</w:t>
      </w:r>
    </w:p>
    <w:p w:rsidR="00B233DE" w:rsidRPr="00C36B37"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C36B37">
        <w:rPr>
          <w:rFonts w:ascii="Times New Roman" w:hAnsi="Times New Roman" w:cs="Times New Roman"/>
          <w:sz w:val="21"/>
          <w:szCs w:val="21"/>
        </w:rPr>
        <w:t>Загальне керівництво веденням реєстрів населення в більшості європейських країн здійснюють центральні державні установи, статистичні органи, органи охорони правопорядку. Згідно з розпорядженням Кабінету Міністрів України розроблено програму формування державного реєстру населення України. Він має являти собою автоматизовану інформаційно-обчислювальну систему збору та обробки даних з метою отримання та постійного нагромадження інформації, необхі</w:t>
      </w:r>
      <w:r>
        <w:rPr>
          <w:rFonts w:ascii="Times New Roman" w:hAnsi="Times New Roman" w:cs="Times New Roman"/>
          <w:sz w:val="21"/>
          <w:szCs w:val="21"/>
        </w:rPr>
        <w:t>дної для реалізації заходів дер</w:t>
      </w:r>
      <w:r w:rsidRPr="00C36B37">
        <w:rPr>
          <w:rFonts w:ascii="Times New Roman" w:hAnsi="Times New Roman" w:cs="Times New Roman"/>
          <w:sz w:val="21"/>
          <w:szCs w:val="21"/>
        </w:rPr>
        <w:t>жавної соціальної політики, розроб</w:t>
      </w:r>
      <w:r>
        <w:rPr>
          <w:rFonts w:ascii="Times New Roman" w:hAnsi="Times New Roman" w:cs="Times New Roman"/>
          <w:sz w:val="21"/>
          <w:szCs w:val="21"/>
        </w:rPr>
        <w:t>ки демографічних прогнозів, ста</w:t>
      </w:r>
      <w:r w:rsidRPr="00C36B37">
        <w:rPr>
          <w:rFonts w:ascii="Times New Roman" w:hAnsi="Times New Roman" w:cs="Times New Roman"/>
          <w:sz w:val="21"/>
          <w:szCs w:val="21"/>
        </w:rPr>
        <w:t xml:space="preserve">ну навколишнього середовища, заходів щодо охорони здоров’я, </w:t>
      </w:r>
      <w:r w:rsidRPr="00C36B37">
        <w:rPr>
          <w:rFonts w:ascii="Times New Roman" w:hAnsi="Times New Roman" w:cs="Times New Roman"/>
          <w:sz w:val="21"/>
          <w:szCs w:val="21"/>
        </w:rPr>
        <w:lastRenderedPageBreak/>
        <w:t>праці, в галузі освіти та культури, забезпеченні житлом, сфері послуг та ін. Одиницею інформації або її носієм у цій системі є особиста реєстраційна карта, яка заповнюється на кожну особу і вед</w:t>
      </w:r>
      <w:r>
        <w:rPr>
          <w:rFonts w:ascii="Times New Roman" w:hAnsi="Times New Roman" w:cs="Times New Roman"/>
          <w:sz w:val="21"/>
          <w:szCs w:val="21"/>
        </w:rPr>
        <w:t>еться протягом усього її життя –</w:t>
      </w:r>
      <w:r w:rsidRPr="00C36B37">
        <w:rPr>
          <w:rFonts w:ascii="Times New Roman" w:hAnsi="Times New Roman" w:cs="Times New Roman"/>
          <w:sz w:val="21"/>
          <w:szCs w:val="21"/>
        </w:rPr>
        <w:t xml:space="preserve"> у пам’яті комп’ютера.</w:t>
      </w:r>
    </w:p>
    <w:p w:rsidR="00B233DE" w:rsidRPr="00C36B37"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C36B37">
        <w:rPr>
          <w:rFonts w:ascii="Times New Roman" w:hAnsi="Times New Roman" w:cs="Times New Roman"/>
          <w:sz w:val="21"/>
          <w:szCs w:val="21"/>
        </w:rPr>
        <w:t>Переваги реєстру населення над іншими джерелами інформації очевидні. До складу реєстру передбачається включати такі основні блоки ознак: демографічної, територіальної, трудової діяльності, освіти, прибутків, витрат, характеристики житла, екології, майнового становища, стану здоров’</w:t>
      </w:r>
      <w:r>
        <w:rPr>
          <w:rFonts w:ascii="Times New Roman" w:hAnsi="Times New Roman" w:cs="Times New Roman"/>
          <w:sz w:val="21"/>
          <w:szCs w:val="21"/>
        </w:rPr>
        <w:t>я, окремих характеристик (грома</w:t>
      </w:r>
      <w:r w:rsidRPr="00C36B37">
        <w:rPr>
          <w:rFonts w:ascii="Times New Roman" w:hAnsi="Times New Roman" w:cs="Times New Roman"/>
          <w:sz w:val="21"/>
          <w:szCs w:val="21"/>
        </w:rPr>
        <w:t>дянство</w:t>
      </w:r>
      <w:r>
        <w:rPr>
          <w:rFonts w:ascii="Times New Roman" w:hAnsi="Times New Roman" w:cs="Times New Roman"/>
          <w:sz w:val="21"/>
          <w:szCs w:val="21"/>
        </w:rPr>
        <w:t xml:space="preserve"> тощо</w:t>
      </w:r>
      <w:r w:rsidRPr="00C36B37">
        <w:rPr>
          <w:rFonts w:ascii="Times New Roman" w:hAnsi="Times New Roman" w:cs="Times New Roman"/>
          <w:sz w:val="21"/>
          <w:szCs w:val="21"/>
        </w:rPr>
        <w:t>). Це дасть реальну можливість відмовитися від прийнятої раніше системи усереднення показників і побудувати нові, що базуються на індивідуальних характеристиках кожної особи. Під час складання поточних реєстрів дотримуються принципу персоніфікації обліку та повсякденного збирання, оновлення інформації про осіб, які постійно живуть на певній території.</w:t>
      </w:r>
    </w:p>
    <w:p w:rsidR="00B233DE" w:rsidRPr="00C36B37"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C36B37">
        <w:rPr>
          <w:rFonts w:ascii="Times New Roman" w:hAnsi="Times New Roman" w:cs="Times New Roman"/>
          <w:sz w:val="21"/>
          <w:szCs w:val="21"/>
        </w:rPr>
        <w:t xml:space="preserve">В теперішній час держави суттєво відрізняються за показниками демографічного потенціалу. За основним кількіснім показником </w:t>
      </w:r>
      <w:r>
        <w:rPr>
          <w:rFonts w:ascii="Times New Roman" w:hAnsi="Times New Roman" w:cs="Times New Roman"/>
          <w:sz w:val="21"/>
          <w:szCs w:val="21"/>
        </w:rPr>
        <w:t>–</w:t>
      </w:r>
      <w:r w:rsidRPr="00C36B37">
        <w:rPr>
          <w:rFonts w:ascii="Times New Roman" w:hAnsi="Times New Roman" w:cs="Times New Roman"/>
          <w:sz w:val="21"/>
          <w:szCs w:val="21"/>
        </w:rPr>
        <w:t xml:space="preserve"> чисельністю населення країни </w:t>
      </w:r>
      <w:r>
        <w:rPr>
          <w:rFonts w:ascii="Times New Roman" w:hAnsi="Times New Roman" w:cs="Times New Roman"/>
          <w:sz w:val="21"/>
          <w:szCs w:val="21"/>
        </w:rPr>
        <w:t>–</w:t>
      </w:r>
      <w:r w:rsidRPr="00C36B37">
        <w:rPr>
          <w:rFonts w:ascii="Times New Roman" w:hAnsi="Times New Roman" w:cs="Times New Roman"/>
          <w:sz w:val="21"/>
          <w:szCs w:val="21"/>
        </w:rPr>
        <w:t xml:space="preserve"> можна </w:t>
      </w:r>
      <w:r>
        <w:rPr>
          <w:rFonts w:ascii="Times New Roman" w:hAnsi="Times New Roman" w:cs="Times New Roman"/>
          <w:sz w:val="21"/>
          <w:szCs w:val="21"/>
        </w:rPr>
        <w:t>ви</w:t>
      </w:r>
      <w:r w:rsidRPr="00C36B37">
        <w:rPr>
          <w:rFonts w:ascii="Times New Roman" w:hAnsi="Times New Roman" w:cs="Times New Roman"/>
          <w:sz w:val="21"/>
          <w:szCs w:val="21"/>
        </w:rPr>
        <w:t xml:space="preserve">ділити наступні групи. Насамперед, це країни з найбільшою кількістю населення </w:t>
      </w:r>
      <w:r>
        <w:rPr>
          <w:rFonts w:ascii="Times New Roman" w:hAnsi="Times New Roman" w:cs="Times New Roman"/>
          <w:sz w:val="21"/>
          <w:szCs w:val="21"/>
        </w:rPr>
        <w:t>–</w:t>
      </w:r>
      <w:r w:rsidRPr="00C36B37">
        <w:rPr>
          <w:rFonts w:ascii="Times New Roman" w:hAnsi="Times New Roman" w:cs="Times New Roman"/>
          <w:sz w:val="21"/>
          <w:szCs w:val="21"/>
        </w:rPr>
        <w:t xml:space="preserve"> понад 100 млн чол., з великою кількістю населення </w:t>
      </w:r>
      <w:r>
        <w:rPr>
          <w:rFonts w:ascii="Times New Roman" w:hAnsi="Times New Roman" w:cs="Times New Roman"/>
          <w:sz w:val="21"/>
          <w:szCs w:val="21"/>
        </w:rPr>
        <w:t>–</w:t>
      </w:r>
      <w:r w:rsidRPr="00C36B37">
        <w:rPr>
          <w:rFonts w:ascii="Times New Roman" w:hAnsi="Times New Roman" w:cs="Times New Roman"/>
          <w:sz w:val="21"/>
          <w:szCs w:val="21"/>
        </w:rPr>
        <w:t xml:space="preserve"> 50</w:t>
      </w:r>
      <w:r>
        <w:rPr>
          <w:rFonts w:ascii="Times New Roman" w:hAnsi="Times New Roman" w:cs="Times New Roman"/>
          <w:sz w:val="21"/>
          <w:szCs w:val="21"/>
        </w:rPr>
        <w:t>–</w:t>
      </w:r>
      <w:r w:rsidRPr="00C36B37">
        <w:rPr>
          <w:rFonts w:ascii="Times New Roman" w:hAnsi="Times New Roman" w:cs="Times New Roman"/>
          <w:sz w:val="21"/>
          <w:szCs w:val="21"/>
        </w:rPr>
        <w:t xml:space="preserve">100 млн чол., із середньою кількістю населення </w:t>
      </w:r>
      <w:r>
        <w:rPr>
          <w:rFonts w:ascii="Times New Roman" w:hAnsi="Times New Roman" w:cs="Times New Roman"/>
          <w:sz w:val="21"/>
          <w:szCs w:val="21"/>
        </w:rPr>
        <w:t>–</w:t>
      </w:r>
      <w:r w:rsidRPr="00C36B37">
        <w:rPr>
          <w:rFonts w:ascii="Times New Roman" w:hAnsi="Times New Roman" w:cs="Times New Roman"/>
          <w:sz w:val="21"/>
          <w:szCs w:val="21"/>
        </w:rPr>
        <w:t xml:space="preserve"> 10</w:t>
      </w:r>
      <w:r>
        <w:rPr>
          <w:rFonts w:ascii="Times New Roman" w:hAnsi="Times New Roman" w:cs="Times New Roman"/>
          <w:sz w:val="21"/>
          <w:szCs w:val="21"/>
        </w:rPr>
        <w:t>–</w:t>
      </w:r>
      <w:r w:rsidRPr="00C36B37">
        <w:rPr>
          <w:rFonts w:ascii="Times New Roman" w:hAnsi="Times New Roman" w:cs="Times New Roman"/>
          <w:sz w:val="21"/>
          <w:szCs w:val="21"/>
        </w:rPr>
        <w:t xml:space="preserve">50 млн чол., з малою кількістю населення </w:t>
      </w:r>
      <w:r>
        <w:rPr>
          <w:rFonts w:ascii="Times New Roman" w:hAnsi="Times New Roman" w:cs="Times New Roman"/>
          <w:sz w:val="21"/>
          <w:szCs w:val="21"/>
        </w:rPr>
        <w:t>–</w:t>
      </w:r>
      <w:r w:rsidRPr="00C36B37">
        <w:rPr>
          <w:rFonts w:ascii="Times New Roman" w:hAnsi="Times New Roman" w:cs="Times New Roman"/>
          <w:sz w:val="21"/>
          <w:szCs w:val="21"/>
        </w:rPr>
        <w:t xml:space="preserve"> 1</w:t>
      </w:r>
      <w:r>
        <w:rPr>
          <w:rFonts w:ascii="Times New Roman" w:hAnsi="Times New Roman" w:cs="Times New Roman"/>
          <w:sz w:val="21"/>
          <w:szCs w:val="21"/>
        </w:rPr>
        <w:t>–</w:t>
      </w:r>
      <w:r w:rsidRPr="00C36B37">
        <w:rPr>
          <w:rFonts w:ascii="Times New Roman" w:hAnsi="Times New Roman" w:cs="Times New Roman"/>
          <w:sz w:val="21"/>
          <w:szCs w:val="21"/>
        </w:rPr>
        <w:t xml:space="preserve">10 млн чол. та з найменшою кількістю населення </w:t>
      </w:r>
      <w:r>
        <w:rPr>
          <w:rFonts w:ascii="Times New Roman" w:hAnsi="Times New Roman" w:cs="Times New Roman"/>
          <w:sz w:val="21"/>
          <w:szCs w:val="21"/>
        </w:rPr>
        <w:t>–</w:t>
      </w:r>
      <w:r w:rsidRPr="00C36B37">
        <w:rPr>
          <w:rFonts w:ascii="Times New Roman" w:hAnsi="Times New Roman" w:cs="Times New Roman"/>
          <w:sz w:val="21"/>
          <w:szCs w:val="21"/>
        </w:rPr>
        <w:t xml:space="preserve"> менше 1 млн чол.</w:t>
      </w:r>
    </w:p>
    <w:p w:rsidR="00B233DE" w:rsidRPr="00C36B37"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C36B37">
        <w:rPr>
          <w:rFonts w:ascii="Times New Roman" w:hAnsi="Times New Roman" w:cs="Times New Roman"/>
          <w:sz w:val="21"/>
          <w:szCs w:val="21"/>
        </w:rPr>
        <w:t xml:space="preserve">Типи країн не групуються за розмірами. Якісні показники демографічного потенціалу найрізноманітніші. Основними серед них можна назвати показники вікової структури населення. В основу типології країн можуть бути покладені два показники: частка літнього населення (старше 60 років) в загальної чисельності населення і медіанний (середній) </w:t>
      </w:r>
      <w:r>
        <w:rPr>
          <w:rFonts w:ascii="Times New Roman" w:hAnsi="Times New Roman" w:cs="Times New Roman"/>
          <w:sz w:val="21"/>
          <w:szCs w:val="21"/>
        </w:rPr>
        <w:t>вік населення. Можна виділити п’</w:t>
      </w:r>
      <w:r w:rsidRPr="00C36B37">
        <w:rPr>
          <w:rFonts w:ascii="Times New Roman" w:hAnsi="Times New Roman" w:cs="Times New Roman"/>
          <w:sz w:val="21"/>
          <w:szCs w:val="21"/>
        </w:rPr>
        <w:t>ять типів країн: країни з високою часткою літніх осіб (більше 20</w:t>
      </w:r>
      <w:r>
        <w:rPr>
          <w:rFonts w:ascii="Times New Roman" w:hAnsi="Times New Roman" w:cs="Times New Roman"/>
          <w:sz w:val="21"/>
          <w:szCs w:val="21"/>
        </w:rPr>
        <w:t> </w:t>
      </w:r>
      <w:r w:rsidRPr="00C36B37">
        <w:rPr>
          <w:rFonts w:ascii="Times New Roman" w:hAnsi="Times New Roman" w:cs="Times New Roman"/>
          <w:sz w:val="21"/>
          <w:szCs w:val="21"/>
        </w:rPr>
        <w:t>%) і високим значенням медіанного віку (більше 40 років); країни з підвищеною часткою літніх осіб (15</w:t>
      </w:r>
      <w:r>
        <w:rPr>
          <w:rFonts w:ascii="Times New Roman" w:hAnsi="Times New Roman" w:cs="Times New Roman"/>
          <w:sz w:val="21"/>
          <w:szCs w:val="21"/>
        </w:rPr>
        <w:t>–</w:t>
      </w:r>
      <w:r w:rsidRPr="00C36B37">
        <w:rPr>
          <w:rFonts w:ascii="Times New Roman" w:hAnsi="Times New Roman" w:cs="Times New Roman"/>
          <w:sz w:val="21"/>
          <w:szCs w:val="21"/>
        </w:rPr>
        <w:t>20</w:t>
      </w:r>
      <w:r>
        <w:rPr>
          <w:rFonts w:ascii="Times New Roman" w:hAnsi="Times New Roman" w:cs="Times New Roman"/>
          <w:sz w:val="21"/>
          <w:szCs w:val="21"/>
        </w:rPr>
        <w:t xml:space="preserve"> </w:t>
      </w:r>
      <w:r w:rsidRPr="00C36B37">
        <w:rPr>
          <w:rFonts w:ascii="Times New Roman" w:hAnsi="Times New Roman" w:cs="Times New Roman"/>
          <w:sz w:val="21"/>
          <w:szCs w:val="21"/>
        </w:rPr>
        <w:t>%) і підвищеним значенням медіанного віку (35</w:t>
      </w:r>
      <w:r>
        <w:rPr>
          <w:rFonts w:ascii="Times New Roman" w:hAnsi="Times New Roman" w:cs="Times New Roman"/>
          <w:sz w:val="21"/>
          <w:szCs w:val="21"/>
        </w:rPr>
        <w:t>–</w:t>
      </w:r>
      <w:r w:rsidRPr="00C36B37">
        <w:rPr>
          <w:rFonts w:ascii="Times New Roman" w:hAnsi="Times New Roman" w:cs="Times New Roman"/>
          <w:sz w:val="21"/>
          <w:szCs w:val="21"/>
        </w:rPr>
        <w:t>40 років); країни з середньою часткою літніх осіб (10</w:t>
      </w:r>
      <w:r>
        <w:rPr>
          <w:rFonts w:ascii="Times New Roman" w:hAnsi="Times New Roman" w:cs="Times New Roman"/>
          <w:sz w:val="21"/>
          <w:szCs w:val="21"/>
        </w:rPr>
        <w:t>–</w:t>
      </w:r>
      <w:r w:rsidRPr="00C36B37">
        <w:rPr>
          <w:rFonts w:ascii="Times New Roman" w:hAnsi="Times New Roman" w:cs="Times New Roman"/>
          <w:sz w:val="21"/>
          <w:szCs w:val="21"/>
        </w:rPr>
        <w:t>15</w:t>
      </w:r>
      <w:r>
        <w:rPr>
          <w:rFonts w:ascii="Times New Roman" w:hAnsi="Times New Roman" w:cs="Times New Roman"/>
          <w:sz w:val="21"/>
          <w:szCs w:val="21"/>
        </w:rPr>
        <w:t xml:space="preserve"> </w:t>
      </w:r>
      <w:r w:rsidRPr="00C36B37">
        <w:rPr>
          <w:rFonts w:ascii="Times New Roman" w:hAnsi="Times New Roman" w:cs="Times New Roman"/>
          <w:sz w:val="21"/>
          <w:szCs w:val="21"/>
        </w:rPr>
        <w:t>%) і середнім значенням медіанного віку (30</w:t>
      </w:r>
      <w:r>
        <w:rPr>
          <w:rFonts w:ascii="Times New Roman" w:hAnsi="Times New Roman" w:cs="Times New Roman"/>
          <w:sz w:val="21"/>
          <w:szCs w:val="21"/>
        </w:rPr>
        <w:t>–</w:t>
      </w:r>
      <w:r w:rsidRPr="00C36B37">
        <w:rPr>
          <w:rFonts w:ascii="Times New Roman" w:hAnsi="Times New Roman" w:cs="Times New Roman"/>
          <w:sz w:val="21"/>
          <w:szCs w:val="21"/>
        </w:rPr>
        <w:t>35 років); країни зі зниженою часткою літніх осіб (5</w:t>
      </w:r>
      <w:r>
        <w:rPr>
          <w:rFonts w:ascii="Times New Roman" w:hAnsi="Times New Roman" w:cs="Times New Roman"/>
          <w:sz w:val="21"/>
          <w:szCs w:val="21"/>
        </w:rPr>
        <w:t>–</w:t>
      </w:r>
      <w:r w:rsidRPr="00C36B37">
        <w:rPr>
          <w:rFonts w:ascii="Times New Roman" w:hAnsi="Times New Roman" w:cs="Times New Roman"/>
          <w:sz w:val="21"/>
          <w:szCs w:val="21"/>
        </w:rPr>
        <w:t>10</w:t>
      </w:r>
      <w:r>
        <w:rPr>
          <w:rFonts w:ascii="Times New Roman" w:hAnsi="Times New Roman" w:cs="Times New Roman"/>
          <w:sz w:val="21"/>
          <w:szCs w:val="21"/>
        </w:rPr>
        <w:t xml:space="preserve"> </w:t>
      </w:r>
      <w:r w:rsidRPr="00C36B37">
        <w:rPr>
          <w:rFonts w:ascii="Times New Roman" w:hAnsi="Times New Roman" w:cs="Times New Roman"/>
          <w:sz w:val="21"/>
          <w:szCs w:val="21"/>
        </w:rPr>
        <w:t>%) і зниженим значенням медіанного віку (20</w:t>
      </w:r>
      <w:r>
        <w:rPr>
          <w:rFonts w:ascii="Times New Roman" w:hAnsi="Times New Roman" w:cs="Times New Roman"/>
          <w:sz w:val="21"/>
          <w:szCs w:val="21"/>
        </w:rPr>
        <w:t>–</w:t>
      </w:r>
      <w:r w:rsidRPr="00C36B37">
        <w:rPr>
          <w:rFonts w:ascii="Times New Roman" w:hAnsi="Times New Roman" w:cs="Times New Roman"/>
          <w:sz w:val="21"/>
          <w:szCs w:val="21"/>
        </w:rPr>
        <w:t>30 років); країни з низькою часткою літніх осіб (менше 5</w:t>
      </w:r>
      <w:r>
        <w:rPr>
          <w:rFonts w:ascii="Times New Roman" w:hAnsi="Times New Roman" w:cs="Times New Roman"/>
          <w:sz w:val="21"/>
          <w:szCs w:val="21"/>
        </w:rPr>
        <w:t xml:space="preserve"> </w:t>
      </w:r>
      <w:r w:rsidRPr="00C36B37">
        <w:rPr>
          <w:rFonts w:ascii="Times New Roman" w:hAnsi="Times New Roman" w:cs="Times New Roman"/>
          <w:sz w:val="21"/>
          <w:szCs w:val="21"/>
        </w:rPr>
        <w:t>%) і низьким значенням медіанного віку (до 20 років).</w:t>
      </w:r>
    </w:p>
    <w:p w:rsidR="00B233DE" w:rsidRPr="00C36B37"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C36B37">
        <w:rPr>
          <w:rFonts w:ascii="Times New Roman" w:hAnsi="Times New Roman" w:cs="Times New Roman"/>
          <w:sz w:val="21"/>
          <w:szCs w:val="21"/>
        </w:rPr>
        <w:lastRenderedPageBreak/>
        <w:t xml:space="preserve">Важливим якісним показником демографічного потенціалу є індекс людського розвитку (ІЛР) (до 2013 року «Індекс розвитку людського потенціалу» (ІРЛП), </w:t>
      </w:r>
      <w:r>
        <w:rPr>
          <w:rFonts w:ascii="Times New Roman" w:hAnsi="Times New Roman" w:cs="Times New Roman"/>
          <w:sz w:val="21"/>
          <w:szCs w:val="21"/>
        </w:rPr>
        <w:t>–</w:t>
      </w:r>
      <w:r w:rsidRPr="00C36B37">
        <w:rPr>
          <w:rFonts w:ascii="Times New Roman" w:hAnsi="Times New Roman" w:cs="Times New Roman"/>
          <w:sz w:val="21"/>
          <w:szCs w:val="21"/>
        </w:rPr>
        <w:t xml:space="preserve"> інтегральний показник, що розраховується щорічно для міждержавного порівняння і вимірювання рівня життя, грамотності, освіченості і довголіття, як основних характеристик людського потенціалу досліджуваної території. Він є стандартним інструментом при загальному порівнянні рівня життя різних країн і регіонів. Індекс публікується в рамках програми розвитку ООН в звітах про розвиток людського потенціалу і був розроблений в 1990 році групою економістів на чолі з пакистанцем </w:t>
      </w:r>
      <w:r>
        <w:rPr>
          <w:rFonts w:ascii="Times New Roman" w:hAnsi="Times New Roman" w:cs="Times New Roman"/>
          <w:sz w:val="21"/>
          <w:szCs w:val="21"/>
        </w:rPr>
        <w:t xml:space="preserve">М. </w:t>
      </w:r>
      <w:r w:rsidRPr="00C36B37">
        <w:rPr>
          <w:rFonts w:ascii="Times New Roman" w:hAnsi="Times New Roman" w:cs="Times New Roman"/>
          <w:sz w:val="21"/>
          <w:szCs w:val="21"/>
        </w:rPr>
        <w:t>Хаком. Однак концептуальна структура індексу бул</w:t>
      </w:r>
      <w:r>
        <w:rPr>
          <w:rFonts w:ascii="Times New Roman" w:hAnsi="Times New Roman" w:cs="Times New Roman"/>
          <w:sz w:val="21"/>
          <w:szCs w:val="21"/>
        </w:rPr>
        <w:t>а створена завдяки роботі А.</w:t>
      </w:r>
      <w:r w:rsidRPr="00C36B37">
        <w:rPr>
          <w:rFonts w:ascii="Times New Roman" w:hAnsi="Times New Roman" w:cs="Times New Roman"/>
          <w:sz w:val="21"/>
          <w:szCs w:val="21"/>
        </w:rPr>
        <w:t xml:space="preserve"> Сена. Індекc публікується </w:t>
      </w:r>
      <w:r w:rsidRPr="00E43561">
        <w:rPr>
          <w:rFonts w:ascii="Times New Roman" w:hAnsi="Times New Roman" w:cs="Times New Roman"/>
          <w:spacing w:val="-4"/>
          <w:sz w:val="21"/>
          <w:szCs w:val="21"/>
        </w:rPr>
        <w:t>ООН в щорічному звіті про розвиток людського потенціалу з 1990 р.</w:t>
      </w:r>
    </w:p>
    <w:p w:rsidR="00B233DE" w:rsidRPr="00C36B37"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C36B37">
        <w:rPr>
          <w:rFonts w:ascii="Times New Roman" w:hAnsi="Times New Roman" w:cs="Times New Roman"/>
          <w:sz w:val="21"/>
          <w:szCs w:val="21"/>
        </w:rPr>
        <w:t>При підрахунку ІЛР враховуються 3 види показників:</w:t>
      </w:r>
    </w:p>
    <w:p w:rsidR="00B233DE" w:rsidRPr="00C36B37" w:rsidRDefault="00B233DE" w:rsidP="00B233DE">
      <w:pPr>
        <w:widowControl w:val="0"/>
        <w:numPr>
          <w:ilvl w:val="0"/>
          <w:numId w:val="4"/>
        </w:numPr>
        <w:tabs>
          <w:tab w:val="left" w:pos="851"/>
        </w:tabs>
        <w:overflowPunct w:val="0"/>
        <w:autoSpaceDE w:val="0"/>
        <w:autoSpaceDN w:val="0"/>
        <w:adjustRightInd w:val="0"/>
        <w:ind w:left="0" w:firstLine="709"/>
        <w:contextualSpacing/>
        <w:jc w:val="both"/>
        <w:rPr>
          <w:rFonts w:ascii="Times New Roman" w:hAnsi="Times New Roman" w:cs="Times New Roman"/>
          <w:sz w:val="21"/>
          <w:szCs w:val="21"/>
        </w:rPr>
      </w:pPr>
      <w:r w:rsidRPr="00C36B37">
        <w:rPr>
          <w:rFonts w:ascii="Times New Roman" w:hAnsi="Times New Roman" w:cs="Times New Roman"/>
          <w:sz w:val="21"/>
          <w:szCs w:val="21"/>
        </w:rPr>
        <w:t xml:space="preserve">очікувана тривалість життя </w:t>
      </w:r>
      <w:r>
        <w:rPr>
          <w:rFonts w:ascii="Times New Roman" w:hAnsi="Times New Roman" w:cs="Times New Roman"/>
          <w:sz w:val="21"/>
          <w:szCs w:val="21"/>
        </w:rPr>
        <w:t>–</w:t>
      </w:r>
      <w:r w:rsidRPr="00C36B37">
        <w:rPr>
          <w:rFonts w:ascii="Times New Roman" w:hAnsi="Times New Roman" w:cs="Times New Roman"/>
          <w:sz w:val="21"/>
          <w:szCs w:val="21"/>
        </w:rPr>
        <w:t xml:space="preserve"> оцінює довголіття.</w:t>
      </w:r>
    </w:p>
    <w:p w:rsidR="00B233DE" w:rsidRPr="00C36B37" w:rsidRDefault="00B233DE" w:rsidP="00B233DE">
      <w:pPr>
        <w:widowControl w:val="0"/>
        <w:numPr>
          <w:ilvl w:val="0"/>
          <w:numId w:val="4"/>
        </w:numPr>
        <w:tabs>
          <w:tab w:val="left" w:pos="851"/>
        </w:tabs>
        <w:overflowPunct w:val="0"/>
        <w:autoSpaceDE w:val="0"/>
        <w:autoSpaceDN w:val="0"/>
        <w:adjustRightInd w:val="0"/>
        <w:ind w:left="0" w:firstLine="709"/>
        <w:contextualSpacing/>
        <w:jc w:val="both"/>
        <w:rPr>
          <w:rFonts w:ascii="Times New Roman" w:hAnsi="Times New Roman" w:cs="Times New Roman"/>
          <w:sz w:val="21"/>
          <w:szCs w:val="21"/>
        </w:rPr>
      </w:pPr>
      <w:r w:rsidRPr="00C36B37">
        <w:rPr>
          <w:rFonts w:ascii="Times New Roman" w:hAnsi="Times New Roman" w:cs="Times New Roman"/>
          <w:sz w:val="21"/>
          <w:szCs w:val="21"/>
        </w:rPr>
        <w:t xml:space="preserve">рівень грамотності населення країни (середня кількість років, витрачених на навчання) та очікувана тривалість навчання. </w:t>
      </w:r>
    </w:p>
    <w:p w:rsidR="00B233DE" w:rsidRPr="00C36B37" w:rsidRDefault="00B233DE" w:rsidP="00B233DE">
      <w:pPr>
        <w:widowControl w:val="0"/>
        <w:numPr>
          <w:ilvl w:val="0"/>
          <w:numId w:val="4"/>
        </w:numPr>
        <w:tabs>
          <w:tab w:val="left" w:pos="851"/>
        </w:tabs>
        <w:overflowPunct w:val="0"/>
        <w:autoSpaceDE w:val="0"/>
        <w:autoSpaceDN w:val="0"/>
        <w:adjustRightInd w:val="0"/>
        <w:ind w:left="0" w:firstLine="709"/>
        <w:contextualSpacing/>
        <w:jc w:val="both"/>
        <w:rPr>
          <w:rFonts w:ascii="Times New Roman" w:hAnsi="Times New Roman" w:cs="Times New Roman"/>
          <w:sz w:val="21"/>
          <w:szCs w:val="21"/>
        </w:rPr>
      </w:pPr>
      <w:r w:rsidRPr="00C36B37">
        <w:rPr>
          <w:rFonts w:ascii="Times New Roman" w:hAnsi="Times New Roman" w:cs="Times New Roman"/>
          <w:sz w:val="21"/>
          <w:szCs w:val="21"/>
        </w:rPr>
        <w:t xml:space="preserve">рівень життя, оцінений через ВВП на душу населення за паритетом купівельної спроможності (ПКС) в доларах США. </w:t>
      </w:r>
    </w:p>
    <w:p w:rsidR="00B233DE" w:rsidRPr="00C36B37"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E43561">
        <w:rPr>
          <w:rFonts w:ascii="Times New Roman" w:hAnsi="Times New Roman" w:cs="Times New Roman"/>
          <w:spacing w:val="-4"/>
          <w:sz w:val="21"/>
          <w:szCs w:val="21"/>
        </w:rPr>
        <w:t xml:space="preserve">Залежно від значення ІЛР, країни прийнято класифікувати за </w:t>
      </w:r>
      <w:r w:rsidRPr="00C36B37">
        <w:rPr>
          <w:rFonts w:ascii="Times New Roman" w:hAnsi="Times New Roman" w:cs="Times New Roman"/>
          <w:sz w:val="21"/>
          <w:szCs w:val="21"/>
        </w:rPr>
        <w:t xml:space="preserve">рівнем розвитку: </w:t>
      </w:r>
      <w:r>
        <w:rPr>
          <w:rFonts w:ascii="Times New Roman" w:hAnsi="Times New Roman" w:cs="Times New Roman"/>
          <w:sz w:val="21"/>
          <w:szCs w:val="21"/>
        </w:rPr>
        <w:t>дуже високий, високий, середній</w:t>
      </w:r>
      <w:r w:rsidRPr="00C36B37">
        <w:rPr>
          <w:rFonts w:ascii="Times New Roman" w:hAnsi="Times New Roman" w:cs="Times New Roman"/>
          <w:sz w:val="21"/>
          <w:szCs w:val="21"/>
        </w:rPr>
        <w:t xml:space="preserve"> і низький рівень.</w:t>
      </w:r>
    </w:p>
    <w:p w:rsidR="00B233DE" w:rsidRPr="00C36B37"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C36B37">
        <w:rPr>
          <w:rFonts w:ascii="Times New Roman" w:hAnsi="Times New Roman" w:cs="Times New Roman"/>
          <w:sz w:val="21"/>
          <w:szCs w:val="21"/>
        </w:rPr>
        <w:t>Альтернативним індексом є індекс бідності (розроблений ООН для оцінки якості життя населення в будь-якій країні, публікується щорічно, розраховується за трьома основними показниками: очікувана тривалість життя при народженні, рівень освіченості населення, рівень реальних доходів населення.</w:t>
      </w:r>
    </w:p>
    <w:p w:rsidR="00B233DE" w:rsidRPr="00C36B37" w:rsidRDefault="00B233DE" w:rsidP="00B233DE">
      <w:pPr>
        <w:widowControl w:val="0"/>
        <w:overflowPunct w:val="0"/>
        <w:autoSpaceDE w:val="0"/>
        <w:autoSpaceDN w:val="0"/>
        <w:adjustRightInd w:val="0"/>
        <w:ind w:firstLine="720"/>
        <w:jc w:val="both"/>
        <w:rPr>
          <w:rFonts w:ascii="Times New Roman" w:hAnsi="Times New Roman" w:cs="Times New Roman"/>
          <w:sz w:val="21"/>
          <w:szCs w:val="21"/>
        </w:rPr>
      </w:pPr>
      <w:r w:rsidRPr="00C36B37">
        <w:rPr>
          <w:rFonts w:ascii="Times New Roman" w:hAnsi="Times New Roman" w:cs="Times New Roman"/>
          <w:sz w:val="21"/>
          <w:szCs w:val="21"/>
        </w:rPr>
        <w:t xml:space="preserve">Демографічний потенціал є важливим компонентом розвитку будь-якої країни. Чисельність і якість населення визначають не тільки місце країни у світовому рейтингу, але й міць соціально-економічного потенціалу держави. Демографічний потенціал необхідно розглядати як важливу складову частину соціально-економічного потенціалу держави. Для оцінки соціально-економічного потенціалу можна використовувати індекс соціально-економічного та демографічного потенціалу країни (ІСЕДП), який являє собою середню частку з трьох часток країни у світі: за площею, за населенням та по ВВП. В доповіді про індикатори світового розвитку Світовий Банк назвав їх базовими. Вони близькі до класичної трійки факторів виробництва: земля, праця, капітал. Усі три показники </w:t>
      </w:r>
      <w:r>
        <w:rPr>
          <w:rFonts w:ascii="Times New Roman" w:hAnsi="Times New Roman" w:cs="Times New Roman"/>
          <w:sz w:val="21"/>
          <w:szCs w:val="21"/>
        </w:rPr>
        <w:t>–</w:t>
      </w:r>
      <w:r w:rsidRPr="00C36B37">
        <w:rPr>
          <w:rFonts w:ascii="Times New Roman" w:hAnsi="Times New Roman" w:cs="Times New Roman"/>
          <w:sz w:val="21"/>
          <w:szCs w:val="21"/>
        </w:rPr>
        <w:t xml:space="preserve"> населення</w:t>
      </w:r>
      <w:r>
        <w:rPr>
          <w:rFonts w:ascii="Times New Roman" w:hAnsi="Times New Roman" w:cs="Times New Roman"/>
          <w:sz w:val="21"/>
          <w:szCs w:val="21"/>
        </w:rPr>
        <w:t xml:space="preserve">, територія і ВВП між </w:t>
      </w:r>
      <w:r>
        <w:rPr>
          <w:rFonts w:ascii="Times New Roman" w:hAnsi="Times New Roman" w:cs="Times New Roman"/>
          <w:sz w:val="21"/>
          <w:szCs w:val="21"/>
        </w:rPr>
        <w:lastRenderedPageBreak/>
        <w:t>собою пов’</w:t>
      </w:r>
      <w:r w:rsidRPr="00C36B37">
        <w:rPr>
          <w:rFonts w:ascii="Times New Roman" w:hAnsi="Times New Roman" w:cs="Times New Roman"/>
          <w:sz w:val="21"/>
          <w:szCs w:val="21"/>
        </w:rPr>
        <w:t>язані різною мірою</w:t>
      </w:r>
      <w:r>
        <w:rPr>
          <w:rFonts w:ascii="Times New Roman" w:hAnsi="Times New Roman" w:cs="Times New Roman"/>
          <w:sz w:val="21"/>
          <w:szCs w:val="21"/>
        </w:rPr>
        <w:t xml:space="preserve"> тісноти. Найбільш щільним є зв’</w:t>
      </w:r>
      <w:r w:rsidRPr="00C36B37">
        <w:rPr>
          <w:rFonts w:ascii="Times New Roman" w:hAnsi="Times New Roman" w:cs="Times New Roman"/>
          <w:sz w:val="21"/>
          <w:szCs w:val="21"/>
        </w:rPr>
        <w:t>язок між населенням і ВВП (економікою). У другій половині Х</w:t>
      </w:r>
      <w:r>
        <w:rPr>
          <w:rFonts w:ascii="Times New Roman" w:hAnsi="Times New Roman" w:cs="Times New Roman"/>
          <w:sz w:val="21"/>
          <w:szCs w:val="21"/>
        </w:rPr>
        <w:t>Х століття цей зв’</w:t>
      </w:r>
      <w:r w:rsidRPr="00C36B37">
        <w:rPr>
          <w:rFonts w:ascii="Times New Roman" w:hAnsi="Times New Roman" w:cs="Times New Roman"/>
          <w:sz w:val="21"/>
          <w:szCs w:val="21"/>
        </w:rPr>
        <w:t>язок став менш тісним і лише за останні роки знову зміцнів.</w:t>
      </w:r>
    </w:p>
    <w:p w:rsidR="00B233DE" w:rsidRDefault="00B233DE" w:rsidP="00B233DE">
      <w:pPr>
        <w:jc w:val="both"/>
        <w:rPr>
          <w:rFonts w:ascii="Times New Roman" w:hAnsi="Times New Roman" w:cs="Times New Roman"/>
          <w:sz w:val="21"/>
          <w:szCs w:val="21"/>
        </w:rPr>
      </w:pPr>
    </w:p>
    <w:p w:rsidR="00B233DE" w:rsidRDefault="00B233DE" w:rsidP="00B233DE">
      <w:pPr>
        <w:jc w:val="both"/>
        <w:rPr>
          <w:rFonts w:ascii="Times New Roman" w:hAnsi="Times New Roman" w:cs="Times New Roman"/>
          <w:sz w:val="21"/>
          <w:szCs w:val="21"/>
        </w:rPr>
      </w:pPr>
    </w:p>
    <w:p w:rsidR="00B233DE" w:rsidRPr="00E20C1F" w:rsidRDefault="00B233DE" w:rsidP="00B233DE">
      <w:pPr>
        <w:pStyle w:val="afb"/>
        <w:shd w:val="clear" w:color="auto" w:fill="auto"/>
        <w:tabs>
          <w:tab w:val="left" w:pos="394"/>
          <w:tab w:val="left" w:pos="426"/>
        </w:tabs>
        <w:spacing w:before="0" w:line="240" w:lineRule="auto"/>
        <w:ind w:right="40" w:firstLine="709"/>
        <w:contextualSpacing/>
        <w:jc w:val="center"/>
        <w:rPr>
          <w:b/>
          <w:sz w:val="21"/>
          <w:szCs w:val="21"/>
        </w:rPr>
      </w:pPr>
      <w:r w:rsidRPr="00E20C1F">
        <w:rPr>
          <w:rFonts w:ascii="UkrainianPeterburg" w:hAnsi="UkrainianPeterburg"/>
          <w:b/>
          <w:sz w:val="21"/>
          <w:szCs w:val="21"/>
        </w:rPr>
        <w:t>2.3. Оцінка розвитку системи охорони здоров’я у забезпеченні формування соціально-демографічного потенціалу</w:t>
      </w:r>
    </w:p>
    <w:p w:rsidR="00B233DE" w:rsidRDefault="00B233DE" w:rsidP="00B233DE">
      <w:pPr>
        <w:jc w:val="both"/>
        <w:rPr>
          <w:rFonts w:ascii="Times New Roman" w:hAnsi="Times New Roman" w:cs="Times New Roman"/>
          <w:sz w:val="21"/>
          <w:szCs w:val="21"/>
        </w:rPr>
      </w:pPr>
    </w:p>
    <w:p w:rsidR="00B233DE" w:rsidRDefault="00B233DE" w:rsidP="00B233DE">
      <w:pPr>
        <w:jc w:val="both"/>
        <w:rPr>
          <w:rFonts w:ascii="Times New Roman" w:hAnsi="Times New Roman" w:cs="Times New Roman"/>
          <w:sz w:val="21"/>
          <w:szCs w:val="21"/>
        </w:rPr>
      </w:pPr>
    </w:p>
    <w:p w:rsidR="00B233DE" w:rsidRPr="002D0778"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2D0778">
        <w:rPr>
          <w:rFonts w:ascii="Times New Roman" w:hAnsi="Times New Roman" w:cs="Times New Roman"/>
          <w:sz w:val="21"/>
          <w:szCs w:val="21"/>
        </w:rPr>
        <w:t>Останнім часом на всіх рівнях державного управління зростає усвідомлення необхідності вирішення демографічних проблем, питань розвитку людських ресурсів, фізичного</w:t>
      </w:r>
      <w:r>
        <w:rPr>
          <w:rFonts w:ascii="Times New Roman" w:hAnsi="Times New Roman" w:cs="Times New Roman"/>
          <w:sz w:val="21"/>
          <w:szCs w:val="21"/>
        </w:rPr>
        <w:t>, духовного і психічного здоров’</w:t>
      </w:r>
      <w:r w:rsidRPr="002D0778">
        <w:rPr>
          <w:rFonts w:ascii="Times New Roman" w:hAnsi="Times New Roman" w:cs="Times New Roman"/>
          <w:sz w:val="21"/>
          <w:szCs w:val="21"/>
        </w:rPr>
        <w:t>я українських громадян, інтелектуального потенціалу нації, вдосконалення інструментів демографічної та сімейної політики.</w:t>
      </w:r>
    </w:p>
    <w:p w:rsidR="00B233DE" w:rsidRPr="002D0778"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2D0778">
        <w:rPr>
          <w:rFonts w:ascii="Times New Roman" w:hAnsi="Times New Roman" w:cs="Times New Roman"/>
          <w:sz w:val="21"/>
          <w:szCs w:val="21"/>
        </w:rPr>
        <w:t>Основний акцент у вирішенні демографічних проблем у вітчизняних державних прогр</w:t>
      </w:r>
      <w:r>
        <w:rPr>
          <w:rFonts w:ascii="Times New Roman" w:hAnsi="Times New Roman" w:cs="Times New Roman"/>
          <w:sz w:val="21"/>
          <w:szCs w:val="21"/>
        </w:rPr>
        <w:t>амах робиться на охороні здоров’</w:t>
      </w:r>
      <w:r w:rsidRPr="002D0778">
        <w:rPr>
          <w:rFonts w:ascii="Times New Roman" w:hAnsi="Times New Roman" w:cs="Times New Roman"/>
          <w:sz w:val="21"/>
          <w:szCs w:val="21"/>
        </w:rPr>
        <w:t>я. При цьому моніторинг і оцінка показників ді</w:t>
      </w:r>
      <w:r>
        <w:rPr>
          <w:rFonts w:ascii="Times New Roman" w:hAnsi="Times New Roman" w:cs="Times New Roman"/>
          <w:sz w:val="21"/>
          <w:szCs w:val="21"/>
        </w:rPr>
        <w:t>яльності системи охорони здоров’</w:t>
      </w:r>
      <w:r w:rsidRPr="002D0778">
        <w:rPr>
          <w:rFonts w:ascii="Times New Roman" w:hAnsi="Times New Roman" w:cs="Times New Roman"/>
          <w:sz w:val="21"/>
          <w:szCs w:val="21"/>
        </w:rPr>
        <w:t>я та збалансована взаємодія зацікавлених сторін на всіх рівнях управління мають ключове значення у забезпеченні прозорості і підзвітності. Наголошується на тому, що ефективна система охорони здоров</w:t>
      </w:r>
      <w:r>
        <w:rPr>
          <w:rFonts w:ascii="Times New Roman" w:hAnsi="Times New Roman" w:cs="Times New Roman"/>
          <w:sz w:val="21"/>
          <w:szCs w:val="21"/>
        </w:rPr>
        <w:t>’</w:t>
      </w:r>
      <w:r w:rsidRPr="002D0778">
        <w:rPr>
          <w:rFonts w:ascii="Times New Roman" w:hAnsi="Times New Roman" w:cs="Times New Roman"/>
          <w:sz w:val="21"/>
          <w:szCs w:val="21"/>
        </w:rPr>
        <w:t xml:space="preserve">я </w:t>
      </w:r>
      <w:r>
        <w:rPr>
          <w:rFonts w:ascii="Times New Roman" w:hAnsi="Times New Roman" w:cs="Times New Roman"/>
          <w:sz w:val="21"/>
          <w:szCs w:val="21"/>
        </w:rPr>
        <w:t>–</w:t>
      </w:r>
      <w:r w:rsidRPr="002D0778">
        <w:rPr>
          <w:rFonts w:ascii="Times New Roman" w:hAnsi="Times New Roman" w:cs="Times New Roman"/>
          <w:sz w:val="21"/>
          <w:szCs w:val="21"/>
        </w:rPr>
        <w:t xml:space="preserve"> складова соціальної і матеріальної інфраструктури, на якій ґрунтується процвітання, соціальна єдність і благополуччя будь-якої країни.</w:t>
      </w:r>
    </w:p>
    <w:p w:rsidR="00B233DE"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2D0778">
        <w:rPr>
          <w:rFonts w:ascii="Times New Roman" w:hAnsi="Times New Roman" w:cs="Times New Roman"/>
          <w:sz w:val="21"/>
          <w:szCs w:val="21"/>
        </w:rPr>
        <w:t>Відношення до охорони здоров’я в світі кардинально змінюється. Минув той час, коли охорона здоров’я визначалася тільки медико-санітарною допомогою планувати та організовувати, яку було важко та затратн</w:t>
      </w:r>
      <w:r>
        <w:rPr>
          <w:rFonts w:ascii="Times New Roman" w:hAnsi="Times New Roman" w:cs="Times New Roman"/>
          <w:sz w:val="21"/>
          <w:szCs w:val="21"/>
        </w:rPr>
        <w:t>о. На сьогодні охорона здоров’я</w:t>
      </w:r>
      <w:r w:rsidRPr="002D0778">
        <w:rPr>
          <w:rFonts w:ascii="Times New Roman" w:hAnsi="Times New Roman" w:cs="Times New Roman"/>
          <w:sz w:val="21"/>
          <w:szCs w:val="21"/>
        </w:rPr>
        <w:t xml:space="preserve"> являє собою досить складну систему з багатьма нюансами та чисельними детермінантами здоров’я, які охоплюють все суспільство. Здоров’я також розглядається як головний чинник і результат розвитку суспільства та складовою людського благополуччя. В світі визнано, що інвестиції в охорону здоров’я мають важливе значення для успішного політичного, соціального та економічного розвитку сучасного суспільства.</w:t>
      </w:r>
    </w:p>
    <w:p w:rsidR="00B233DE" w:rsidRPr="002D0778"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2D0778">
        <w:rPr>
          <w:rFonts w:ascii="Times New Roman" w:hAnsi="Times New Roman" w:cs="Times New Roman"/>
          <w:sz w:val="21"/>
          <w:szCs w:val="21"/>
        </w:rPr>
        <w:t>На жал</w:t>
      </w:r>
      <w:r>
        <w:rPr>
          <w:rFonts w:ascii="Times New Roman" w:hAnsi="Times New Roman" w:cs="Times New Roman"/>
          <w:sz w:val="21"/>
          <w:szCs w:val="21"/>
        </w:rPr>
        <w:t>ь, в Україні ситуація зі здоров’</w:t>
      </w:r>
      <w:r w:rsidRPr="002D0778">
        <w:rPr>
          <w:rFonts w:ascii="Times New Roman" w:hAnsi="Times New Roman" w:cs="Times New Roman"/>
          <w:sz w:val="21"/>
          <w:szCs w:val="21"/>
        </w:rPr>
        <w:t>ям нації погіршується з року в рік, що значно ускладнює проведення економіч</w:t>
      </w:r>
      <w:r>
        <w:rPr>
          <w:rFonts w:ascii="Times New Roman" w:hAnsi="Times New Roman" w:cs="Times New Roman"/>
          <w:sz w:val="21"/>
          <w:szCs w:val="21"/>
        </w:rPr>
        <w:t xml:space="preserve">них і </w:t>
      </w:r>
      <w:r>
        <w:rPr>
          <w:rFonts w:ascii="Times New Roman" w:hAnsi="Times New Roman" w:cs="Times New Roman"/>
          <w:sz w:val="21"/>
          <w:szCs w:val="21"/>
        </w:rPr>
        <w:lastRenderedPageBreak/>
        <w:t>соціальних реформ. Це пов’</w:t>
      </w:r>
      <w:r w:rsidRPr="002D0778">
        <w:rPr>
          <w:rFonts w:ascii="Times New Roman" w:hAnsi="Times New Roman" w:cs="Times New Roman"/>
          <w:sz w:val="21"/>
          <w:szCs w:val="21"/>
        </w:rPr>
        <w:t>язано з відсутністю в теорії та практиці соціально-демографічного регулювання єдиних базових понять, у тому числі поняття демографічного потенціалу, адекватного вимогам сучасного соціально-ек</w:t>
      </w:r>
      <w:r>
        <w:rPr>
          <w:rFonts w:ascii="Times New Roman" w:hAnsi="Times New Roman" w:cs="Times New Roman"/>
          <w:sz w:val="21"/>
          <w:szCs w:val="21"/>
        </w:rPr>
        <w:t>ономічного розвитку окремих суб’</w:t>
      </w:r>
      <w:r w:rsidRPr="002D0778">
        <w:rPr>
          <w:rFonts w:ascii="Times New Roman" w:hAnsi="Times New Roman" w:cs="Times New Roman"/>
          <w:sz w:val="21"/>
          <w:szCs w:val="21"/>
        </w:rPr>
        <w:t>єктів національного господарства – регіонів.</w:t>
      </w:r>
    </w:p>
    <w:p w:rsidR="00B233DE" w:rsidRPr="002D0778"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Pr>
          <w:rFonts w:ascii="Times New Roman" w:hAnsi="Times New Roman" w:cs="Times New Roman"/>
          <w:sz w:val="21"/>
          <w:szCs w:val="21"/>
        </w:rPr>
        <w:t>Д</w:t>
      </w:r>
      <w:r w:rsidRPr="002D0778">
        <w:rPr>
          <w:rFonts w:ascii="Times New Roman" w:hAnsi="Times New Roman" w:cs="Times New Roman"/>
          <w:sz w:val="21"/>
          <w:szCs w:val="21"/>
        </w:rPr>
        <w:t>осі традиційними в Україні залишаються фінансування охорони здоров’я за залишковим принципом і зневаження цінності людського життя. В Україні витрати на охорону здоров’я становлять 7,5 % ВВП, на відміну від європейських країн, де цей показник становить 20 % і більше.</w:t>
      </w:r>
    </w:p>
    <w:p w:rsidR="00B233DE" w:rsidRPr="002D0778"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2D0778">
        <w:rPr>
          <w:rFonts w:ascii="Times New Roman" w:hAnsi="Times New Roman" w:cs="Times New Roman"/>
          <w:sz w:val="21"/>
          <w:szCs w:val="21"/>
        </w:rPr>
        <w:t>Медико-демографічна ситуація, яка склалась останнім часом в Україні, свідчить про незадовільний стан здоров’я населення, що проявляється у низькій народжуваності, порівня</w:t>
      </w:r>
      <w:r>
        <w:rPr>
          <w:rFonts w:ascii="Times New Roman" w:hAnsi="Times New Roman" w:cs="Times New Roman"/>
          <w:sz w:val="21"/>
          <w:szCs w:val="21"/>
        </w:rPr>
        <w:t>но з високим</w:t>
      </w:r>
      <w:r w:rsidRPr="002D0778">
        <w:rPr>
          <w:rFonts w:ascii="Times New Roman" w:hAnsi="Times New Roman" w:cs="Times New Roman"/>
          <w:sz w:val="21"/>
          <w:szCs w:val="21"/>
        </w:rPr>
        <w:t xml:space="preserve"> рівнем смертності, насамперед чоловіків працездатного віку, від’ємному природному прирості населення, скороченні середньої очікуваної тривалості життя, а також високому рівні поширеності хронічних неінфекційних захворювань (ХНІЗ). </w:t>
      </w:r>
    </w:p>
    <w:p w:rsidR="00B233DE" w:rsidRPr="002D0778"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2D0778">
        <w:rPr>
          <w:rFonts w:ascii="Times New Roman" w:hAnsi="Times New Roman" w:cs="Times New Roman"/>
          <w:sz w:val="21"/>
          <w:szCs w:val="21"/>
        </w:rPr>
        <w:t xml:space="preserve">«Революція старіння» населення </w:t>
      </w:r>
      <w:r>
        <w:rPr>
          <w:rFonts w:ascii="Times New Roman" w:hAnsi="Times New Roman" w:cs="Times New Roman"/>
          <w:sz w:val="21"/>
          <w:szCs w:val="21"/>
        </w:rPr>
        <w:t>–</w:t>
      </w:r>
      <w:r w:rsidRPr="002D0778">
        <w:rPr>
          <w:rFonts w:ascii="Times New Roman" w:hAnsi="Times New Roman" w:cs="Times New Roman"/>
          <w:sz w:val="21"/>
          <w:szCs w:val="21"/>
        </w:rPr>
        <w:t xml:space="preserve"> загальноєвропейська тенденція, що захопила й Україну. Як відом</w:t>
      </w:r>
      <w:r>
        <w:rPr>
          <w:rFonts w:ascii="Times New Roman" w:hAnsi="Times New Roman" w:cs="Times New Roman"/>
          <w:sz w:val="21"/>
          <w:szCs w:val="21"/>
        </w:rPr>
        <w:t>о, на сьогоднішній день кожен п’</w:t>
      </w:r>
      <w:r w:rsidRPr="002D0778">
        <w:rPr>
          <w:rFonts w:ascii="Times New Roman" w:hAnsi="Times New Roman" w:cs="Times New Roman"/>
          <w:sz w:val="21"/>
          <w:szCs w:val="21"/>
        </w:rPr>
        <w:t xml:space="preserve">ятий українець </w:t>
      </w:r>
      <w:r>
        <w:rPr>
          <w:rFonts w:ascii="Times New Roman" w:hAnsi="Times New Roman" w:cs="Times New Roman"/>
          <w:sz w:val="21"/>
          <w:szCs w:val="21"/>
        </w:rPr>
        <w:t>–</w:t>
      </w:r>
      <w:r w:rsidRPr="002D0778">
        <w:rPr>
          <w:rFonts w:ascii="Times New Roman" w:hAnsi="Times New Roman" w:cs="Times New Roman"/>
          <w:sz w:val="21"/>
          <w:szCs w:val="21"/>
        </w:rPr>
        <w:t xml:space="preserve"> літня людина у віці від 60 років і старше. І це ставить певні виклики перед де</w:t>
      </w:r>
      <w:r>
        <w:rPr>
          <w:rFonts w:ascii="Times New Roman" w:hAnsi="Times New Roman" w:cs="Times New Roman"/>
          <w:sz w:val="21"/>
          <w:szCs w:val="21"/>
        </w:rPr>
        <w:t xml:space="preserve">ржавою і суспільством у цілому. </w:t>
      </w:r>
      <w:r w:rsidRPr="002D0778">
        <w:rPr>
          <w:rFonts w:ascii="Times New Roman" w:hAnsi="Times New Roman" w:cs="Times New Roman"/>
          <w:sz w:val="21"/>
          <w:szCs w:val="21"/>
        </w:rPr>
        <w:t>За прогнозами, до 2050 року 39</w:t>
      </w:r>
      <w:r>
        <w:rPr>
          <w:rFonts w:ascii="Times New Roman" w:hAnsi="Times New Roman" w:cs="Times New Roman"/>
          <w:sz w:val="21"/>
          <w:szCs w:val="21"/>
        </w:rPr>
        <w:t xml:space="preserve"> </w:t>
      </w:r>
      <w:r w:rsidRPr="002D0778">
        <w:rPr>
          <w:rFonts w:ascii="Times New Roman" w:hAnsi="Times New Roman" w:cs="Times New Roman"/>
          <w:sz w:val="21"/>
          <w:szCs w:val="21"/>
        </w:rPr>
        <w:t>% населення нашої країни буде у віці від 60 років</w:t>
      </w:r>
      <w:r>
        <w:rPr>
          <w:rFonts w:ascii="Times New Roman" w:hAnsi="Times New Roman" w:cs="Times New Roman"/>
          <w:sz w:val="21"/>
          <w:szCs w:val="21"/>
        </w:rPr>
        <w:t xml:space="preserve"> і старше. Експерти вже давно б’</w:t>
      </w:r>
      <w:r w:rsidRPr="002D0778">
        <w:rPr>
          <w:rFonts w:ascii="Times New Roman" w:hAnsi="Times New Roman" w:cs="Times New Roman"/>
          <w:sz w:val="21"/>
          <w:szCs w:val="21"/>
        </w:rPr>
        <w:t>ють тривогу, тому що демографічні проблеми в найближчому майбутньому призведуть до економічних.</w:t>
      </w:r>
    </w:p>
    <w:p w:rsidR="00B233DE" w:rsidRPr="002D0778"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2D0778">
        <w:rPr>
          <w:rFonts w:ascii="Times New Roman" w:hAnsi="Times New Roman" w:cs="Times New Roman"/>
          <w:sz w:val="21"/>
          <w:szCs w:val="21"/>
        </w:rPr>
        <w:t>Зі збільшенням чисельності немолодих людей підвищені вимоги і витрати ля</w:t>
      </w:r>
      <w:r>
        <w:rPr>
          <w:rFonts w:ascii="Times New Roman" w:hAnsi="Times New Roman" w:cs="Times New Roman"/>
          <w:sz w:val="21"/>
          <w:szCs w:val="21"/>
        </w:rPr>
        <w:t>гають на систему охорони здоров’</w:t>
      </w:r>
      <w:r w:rsidRPr="002D0778">
        <w:rPr>
          <w:rFonts w:ascii="Times New Roman" w:hAnsi="Times New Roman" w:cs="Times New Roman"/>
          <w:sz w:val="21"/>
          <w:szCs w:val="21"/>
        </w:rPr>
        <w:t xml:space="preserve">я. Витрати на медичну сферу постійно зростають, захворюваність серед пенсіонерів залишається досить високою. </w:t>
      </w:r>
    </w:p>
    <w:p w:rsidR="00B233DE" w:rsidRPr="002D0778"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2D0778">
        <w:rPr>
          <w:rFonts w:ascii="Times New Roman" w:hAnsi="Times New Roman" w:cs="Times New Roman"/>
          <w:sz w:val="21"/>
          <w:szCs w:val="21"/>
        </w:rPr>
        <w:t>Існуюча система охорони здоров’я не забезпечує в повному обсязі потреби населення в доступній, якісній та ефективній медичній допомозі. Реформи, які проводилися до цього часу, не принесли бажаного результату у зв’язку з тим, що носили непослідовний, переважно фрагментарний характер, в цілому не змінюючи застарілу з часів планової економіки систему надання медичної допомоги та не даючи можливості адаптувати її до ринкових відносин в економіці держави.</w:t>
      </w:r>
    </w:p>
    <w:p w:rsidR="00B233DE" w:rsidRPr="002D0778" w:rsidRDefault="00B233DE" w:rsidP="00B233DE">
      <w:pPr>
        <w:widowControl w:val="0"/>
        <w:tabs>
          <w:tab w:val="left" w:pos="142"/>
        </w:tabs>
        <w:overflowPunct w:val="0"/>
        <w:autoSpaceDE w:val="0"/>
        <w:autoSpaceDN w:val="0"/>
        <w:adjustRightInd w:val="0"/>
        <w:ind w:firstLine="720"/>
        <w:jc w:val="both"/>
        <w:rPr>
          <w:rFonts w:ascii="Times New Roman" w:hAnsi="Times New Roman" w:cs="Times New Roman"/>
          <w:sz w:val="21"/>
          <w:szCs w:val="21"/>
        </w:rPr>
      </w:pPr>
      <w:r w:rsidRPr="002D0778">
        <w:rPr>
          <w:rFonts w:ascii="Times New Roman" w:hAnsi="Times New Roman" w:cs="Times New Roman"/>
          <w:sz w:val="21"/>
          <w:szCs w:val="21"/>
        </w:rPr>
        <w:t xml:space="preserve">За останні роки практично зруйнована мережа закладів охорони здоров’я, як на центральному, так і регіональному рівнях, </w:t>
      </w:r>
      <w:r>
        <w:rPr>
          <w:rFonts w:ascii="Times New Roman" w:hAnsi="Times New Roman" w:cs="Times New Roman"/>
          <w:sz w:val="21"/>
          <w:szCs w:val="21"/>
        </w:rPr>
        <w:lastRenderedPageBreak/>
        <w:t xml:space="preserve">що займалися </w:t>
      </w:r>
      <w:r w:rsidRPr="002D0778">
        <w:rPr>
          <w:rFonts w:ascii="Times New Roman" w:hAnsi="Times New Roman" w:cs="Times New Roman"/>
          <w:sz w:val="21"/>
          <w:szCs w:val="21"/>
        </w:rPr>
        <w:t>формуванням здорового способу життя та санітарно-просвітницькою роботою серед населення.</w:t>
      </w:r>
    </w:p>
    <w:p w:rsidR="00B233DE" w:rsidRPr="002D0778" w:rsidRDefault="00B233DE" w:rsidP="00B233DE">
      <w:pPr>
        <w:tabs>
          <w:tab w:val="left" w:pos="142"/>
        </w:tabs>
        <w:ind w:firstLine="720"/>
        <w:contextualSpacing/>
        <w:jc w:val="both"/>
        <w:rPr>
          <w:rFonts w:ascii="Times New Roman" w:hAnsi="Times New Roman" w:cs="Times New Roman"/>
          <w:sz w:val="21"/>
          <w:szCs w:val="21"/>
        </w:rPr>
      </w:pPr>
      <w:r w:rsidRPr="002D0778">
        <w:rPr>
          <w:rFonts w:ascii="Times New Roman" w:hAnsi="Times New Roman" w:cs="Times New Roman"/>
          <w:sz w:val="21"/>
          <w:szCs w:val="21"/>
        </w:rPr>
        <w:t>Крім того, у суспільстві зберігається споживче ставлення населення до власного здоров’я, не формується відповідальність і мотивація щодо його збереження та зміцнення.</w:t>
      </w:r>
    </w:p>
    <w:p w:rsidR="00B233DE" w:rsidRPr="002D0778" w:rsidRDefault="00B233DE" w:rsidP="00B233DE">
      <w:pPr>
        <w:tabs>
          <w:tab w:val="left" w:pos="142"/>
        </w:tabs>
        <w:ind w:firstLine="720"/>
        <w:contextualSpacing/>
        <w:jc w:val="both"/>
        <w:rPr>
          <w:rFonts w:ascii="Times New Roman" w:hAnsi="Times New Roman" w:cs="Times New Roman"/>
          <w:sz w:val="21"/>
          <w:szCs w:val="21"/>
        </w:rPr>
      </w:pPr>
      <w:r w:rsidRPr="002D0778">
        <w:rPr>
          <w:rFonts w:ascii="Times New Roman" w:hAnsi="Times New Roman" w:cs="Times New Roman"/>
          <w:sz w:val="21"/>
          <w:szCs w:val="21"/>
        </w:rPr>
        <w:t>Особливою загрозою майбутнього країни є нинішній стан здоров’я і спосіб життя найбільш перспективних у віковому аспекті категорій населення – дітей і молоді. Нині кожна п’ята дитина народжується з відхиленнями в стані здоров’я. Кожна третя дитина народжується з відхиленням у розвитку нервової системи.</w:t>
      </w:r>
    </w:p>
    <w:p w:rsidR="00B233DE" w:rsidRPr="002D0778" w:rsidRDefault="00B233DE" w:rsidP="00B233DE">
      <w:pPr>
        <w:tabs>
          <w:tab w:val="left" w:pos="142"/>
        </w:tabs>
        <w:ind w:firstLine="720"/>
        <w:contextualSpacing/>
        <w:jc w:val="both"/>
        <w:rPr>
          <w:rFonts w:ascii="Times New Roman" w:hAnsi="Times New Roman" w:cs="Times New Roman"/>
          <w:sz w:val="21"/>
          <w:szCs w:val="21"/>
        </w:rPr>
      </w:pPr>
      <w:r w:rsidRPr="002D0778">
        <w:rPr>
          <w:rFonts w:ascii="Times New Roman" w:hAnsi="Times New Roman" w:cs="Times New Roman"/>
          <w:sz w:val="21"/>
          <w:szCs w:val="21"/>
        </w:rPr>
        <w:t>На стан здоров’я населення також негативно впливають чинники навколишнього середовища, і</w:t>
      </w:r>
      <w:r>
        <w:rPr>
          <w:rFonts w:ascii="Times New Roman" w:hAnsi="Times New Roman" w:cs="Times New Roman"/>
          <w:sz w:val="21"/>
          <w:szCs w:val="21"/>
        </w:rPr>
        <w:t>,</w:t>
      </w:r>
      <w:r w:rsidRPr="002D0778">
        <w:rPr>
          <w:rFonts w:ascii="Times New Roman" w:hAnsi="Times New Roman" w:cs="Times New Roman"/>
          <w:sz w:val="21"/>
          <w:szCs w:val="21"/>
        </w:rPr>
        <w:t xml:space="preserve"> в першу чергу, несприятлива екологічна ситуація, низька якість питної води та продуктів харчування; соціальні детермінанти – низький рівень доходів більшості населення, відсутність умов для здорового способу життя.</w:t>
      </w:r>
    </w:p>
    <w:p w:rsidR="00B233DE" w:rsidRPr="002D0778" w:rsidRDefault="00B233DE" w:rsidP="00B233DE">
      <w:pPr>
        <w:tabs>
          <w:tab w:val="left" w:pos="142"/>
        </w:tabs>
        <w:ind w:firstLine="720"/>
        <w:contextualSpacing/>
        <w:jc w:val="both"/>
        <w:rPr>
          <w:rFonts w:ascii="Times New Roman" w:hAnsi="Times New Roman" w:cs="Times New Roman"/>
          <w:sz w:val="21"/>
          <w:szCs w:val="21"/>
        </w:rPr>
      </w:pPr>
      <w:r w:rsidRPr="002D0778">
        <w:rPr>
          <w:rFonts w:ascii="Times New Roman" w:hAnsi="Times New Roman" w:cs="Times New Roman"/>
          <w:sz w:val="21"/>
          <w:szCs w:val="21"/>
        </w:rPr>
        <w:t>Система охорони здоров’я в своїй діяльності в основному направлена на лікування пацієнтів, а не профілактику захворювань та їх раннє виявлення, що призводить до хронізації хвороб, зростання первинної інвалідизації та запобіжної смертності.</w:t>
      </w:r>
    </w:p>
    <w:p w:rsidR="00B233DE" w:rsidRPr="002D0778" w:rsidRDefault="00B233DE" w:rsidP="00B233DE">
      <w:pPr>
        <w:tabs>
          <w:tab w:val="left" w:pos="142"/>
        </w:tabs>
        <w:ind w:firstLine="720"/>
        <w:contextualSpacing/>
        <w:jc w:val="both"/>
        <w:rPr>
          <w:rFonts w:ascii="Times New Roman" w:hAnsi="Times New Roman" w:cs="Times New Roman"/>
          <w:sz w:val="21"/>
          <w:szCs w:val="21"/>
        </w:rPr>
      </w:pPr>
      <w:r w:rsidRPr="002D0778">
        <w:rPr>
          <w:rFonts w:ascii="Times New Roman" w:hAnsi="Times New Roman" w:cs="Times New Roman"/>
          <w:sz w:val="21"/>
          <w:szCs w:val="21"/>
        </w:rPr>
        <w:t xml:space="preserve">В Україні діють ряд </w:t>
      </w:r>
      <w:r>
        <w:rPr>
          <w:rFonts w:ascii="Times New Roman" w:hAnsi="Times New Roman" w:cs="Times New Roman"/>
          <w:sz w:val="21"/>
          <w:szCs w:val="21"/>
        </w:rPr>
        <w:t>програм у галузі охорони здоров’</w:t>
      </w:r>
      <w:r w:rsidRPr="002D0778">
        <w:rPr>
          <w:rFonts w:ascii="Times New Roman" w:hAnsi="Times New Roman" w:cs="Times New Roman"/>
          <w:sz w:val="21"/>
          <w:szCs w:val="21"/>
        </w:rPr>
        <w:t>я, здійснюються певні заходи щодо соціального захисту вразливих верств населення, материнства та дитинства. Існуюча система охорони здоров’я не забезпечує в повному обсязі потреби населення в доступній, якісній та ефективній медичній допомозі та практично не впливає на стан медико-демографічної ситуації в країні. Реформи, які проводилися до цього часу в системі</w:t>
      </w:r>
      <w:r>
        <w:rPr>
          <w:rFonts w:ascii="Times New Roman" w:hAnsi="Times New Roman" w:cs="Times New Roman"/>
          <w:sz w:val="21"/>
          <w:szCs w:val="21"/>
        </w:rPr>
        <w:t>,</w:t>
      </w:r>
      <w:r w:rsidRPr="002D0778">
        <w:rPr>
          <w:rFonts w:ascii="Times New Roman" w:hAnsi="Times New Roman" w:cs="Times New Roman"/>
          <w:sz w:val="21"/>
          <w:szCs w:val="21"/>
        </w:rPr>
        <w:t xml:space="preserve"> не дали бажаного результату у зв’язку з тим, що носили непослідовний, переважно фрагментарний характер, в цілому не змінюючи застарілу систему надання медичної допомоги, що не дало можливості адаптувати її до ринкових відносин в економіці держави.</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Pr>
          <w:rFonts w:ascii="Times New Roman" w:hAnsi="Times New Roman" w:cs="Times New Roman"/>
          <w:color w:val="000000"/>
          <w:sz w:val="21"/>
          <w:szCs w:val="21"/>
        </w:rPr>
        <w:t>Здоров’</w:t>
      </w:r>
      <w:r w:rsidRPr="002D0778">
        <w:rPr>
          <w:rFonts w:ascii="Times New Roman" w:hAnsi="Times New Roman" w:cs="Times New Roman"/>
          <w:color w:val="000000"/>
          <w:sz w:val="21"/>
          <w:szCs w:val="21"/>
        </w:rPr>
        <w:t xml:space="preserve">я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це категорія не тільки соціальна, але й економічна, незважаючи на те, що не відноситься до товарно-грошових категорій і не являє собою товар, який продається </w:t>
      </w:r>
      <w:r>
        <w:rPr>
          <w:rFonts w:ascii="Times New Roman" w:hAnsi="Times New Roman" w:cs="Times New Roman"/>
          <w:color w:val="000000"/>
          <w:sz w:val="21"/>
          <w:szCs w:val="21"/>
        </w:rPr>
        <w:t>і його купують на ринку. Здоров’</w:t>
      </w:r>
      <w:r w:rsidRPr="002D0778">
        <w:rPr>
          <w:rFonts w:ascii="Times New Roman" w:hAnsi="Times New Roman" w:cs="Times New Roman"/>
          <w:color w:val="000000"/>
          <w:sz w:val="21"/>
          <w:szCs w:val="21"/>
        </w:rPr>
        <w:t>я</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відповідно</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не має ринкової ціни, хоча і володіє вищою цінністю для суспільства і індивідуума. Разом з тим на збереження, зм</w:t>
      </w:r>
      <w:r>
        <w:rPr>
          <w:rFonts w:ascii="Times New Roman" w:hAnsi="Times New Roman" w:cs="Times New Roman"/>
          <w:color w:val="000000"/>
          <w:sz w:val="21"/>
          <w:szCs w:val="21"/>
        </w:rPr>
        <w:t>іцнення, відновлення здоров’</w:t>
      </w:r>
      <w:r w:rsidRPr="002D0778">
        <w:rPr>
          <w:rFonts w:ascii="Times New Roman" w:hAnsi="Times New Roman" w:cs="Times New Roman"/>
          <w:color w:val="000000"/>
          <w:sz w:val="21"/>
          <w:szCs w:val="21"/>
        </w:rPr>
        <w:t>я державі доводиться витрачати величез</w:t>
      </w:r>
      <w:r>
        <w:rPr>
          <w:rFonts w:ascii="Times New Roman" w:hAnsi="Times New Roman" w:cs="Times New Roman"/>
          <w:color w:val="000000"/>
          <w:sz w:val="21"/>
          <w:szCs w:val="21"/>
        </w:rPr>
        <w:t>ні ресурси. Таким чином, здоров’</w:t>
      </w:r>
      <w:r w:rsidRPr="002D0778">
        <w:rPr>
          <w:rFonts w:ascii="Times New Roman" w:hAnsi="Times New Roman" w:cs="Times New Roman"/>
          <w:color w:val="000000"/>
          <w:sz w:val="21"/>
          <w:szCs w:val="21"/>
        </w:rPr>
        <w:t xml:space="preserve">я, </w:t>
      </w:r>
      <w:r w:rsidRPr="002D0778">
        <w:rPr>
          <w:rFonts w:ascii="Times New Roman" w:hAnsi="Times New Roman" w:cs="Times New Roman"/>
          <w:color w:val="000000"/>
          <w:sz w:val="21"/>
          <w:szCs w:val="21"/>
        </w:rPr>
        <w:lastRenderedPageBreak/>
        <w:t>обумовлює вартість, що дозволяє розглядати його в опосередкованій формі як економічну</w:t>
      </w:r>
      <w:r w:rsidRPr="002D0778">
        <w:rPr>
          <w:rFonts w:ascii="Times New Roman" w:hAnsi="Times New Roman" w:cs="Times New Roman"/>
          <w:sz w:val="21"/>
          <w:szCs w:val="21"/>
        </w:rPr>
        <w:t xml:space="preserve"> </w:t>
      </w:r>
      <w:r w:rsidRPr="002D0778">
        <w:rPr>
          <w:rFonts w:ascii="Times New Roman" w:hAnsi="Times New Roman" w:cs="Times New Roman"/>
          <w:color w:val="000000"/>
          <w:sz w:val="21"/>
          <w:szCs w:val="21"/>
        </w:rPr>
        <w:t>категорію.</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Не можна погоди</w:t>
      </w:r>
      <w:r>
        <w:rPr>
          <w:rFonts w:ascii="Times New Roman" w:hAnsi="Times New Roman" w:cs="Times New Roman"/>
          <w:color w:val="000000"/>
          <w:sz w:val="21"/>
          <w:szCs w:val="21"/>
        </w:rPr>
        <w:t>тися і з тим, що охорона здоров’</w:t>
      </w:r>
      <w:r w:rsidRPr="002D0778">
        <w:rPr>
          <w:rFonts w:ascii="Times New Roman" w:hAnsi="Times New Roman" w:cs="Times New Roman"/>
          <w:color w:val="000000"/>
          <w:sz w:val="21"/>
          <w:szCs w:val="21"/>
        </w:rPr>
        <w:t>я традиційно відноситься до невиробничих галузей, до сфери послуг нематеріального характеру. У ньому поєднуються товарно-матеріальна та духовно-інформаційна діяльність. У цьому сенсі ох</w:t>
      </w:r>
      <w:r>
        <w:rPr>
          <w:rFonts w:ascii="Times New Roman" w:hAnsi="Times New Roman" w:cs="Times New Roman"/>
          <w:color w:val="000000"/>
          <w:sz w:val="21"/>
          <w:szCs w:val="21"/>
        </w:rPr>
        <w:t>орону здоров’</w:t>
      </w:r>
      <w:r w:rsidRPr="002D0778">
        <w:rPr>
          <w:rFonts w:ascii="Times New Roman" w:hAnsi="Times New Roman" w:cs="Times New Roman"/>
          <w:color w:val="000000"/>
          <w:sz w:val="21"/>
          <w:szCs w:val="21"/>
        </w:rPr>
        <w:t>я можна називати «галуззю з</w:t>
      </w:r>
      <w:r>
        <w:rPr>
          <w:rFonts w:ascii="Times New Roman" w:hAnsi="Times New Roman" w:cs="Times New Roman"/>
          <w:color w:val="000000"/>
          <w:sz w:val="21"/>
          <w:szCs w:val="21"/>
        </w:rPr>
        <w:t>береження та виробництва здоров’</w:t>
      </w:r>
      <w:r w:rsidRPr="002D0778">
        <w:rPr>
          <w:rFonts w:ascii="Times New Roman" w:hAnsi="Times New Roman" w:cs="Times New Roman"/>
          <w:color w:val="000000"/>
          <w:sz w:val="21"/>
          <w:szCs w:val="21"/>
        </w:rPr>
        <w:t>я», в якій користуються великим арсеналом медичних, економічних методів і засобів.</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З урахуванням цього виникають наступні питання:</w:t>
      </w:r>
    </w:p>
    <w:p w:rsidR="00B233DE" w:rsidRPr="00A53884" w:rsidRDefault="00B233DE" w:rsidP="00B233DE">
      <w:pPr>
        <w:pStyle w:val="ad"/>
        <w:numPr>
          <w:ilvl w:val="0"/>
          <w:numId w:val="5"/>
        </w:numPr>
        <w:tabs>
          <w:tab w:val="left" w:pos="851"/>
        </w:tabs>
        <w:ind w:left="0" w:firstLine="709"/>
        <w:jc w:val="both"/>
        <w:rPr>
          <w:rFonts w:ascii="Times New Roman" w:hAnsi="Times New Roman" w:cs="Times New Roman"/>
          <w:color w:val="000000"/>
          <w:sz w:val="21"/>
          <w:szCs w:val="21"/>
        </w:rPr>
      </w:pPr>
      <w:r w:rsidRPr="00A53884">
        <w:rPr>
          <w:rFonts w:ascii="Times New Roman" w:hAnsi="Times New Roman" w:cs="Times New Roman"/>
          <w:color w:val="000000"/>
          <w:sz w:val="21"/>
          <w:szCs w:val="21"/>
        </w:rPr>
        <w:t>вартісна оцінка здоров’я, як найважливіша складова національного багатства і фактору економічного розвитку держави;</w:t>
      </w:r>
    </w:p>
    <w:p w:rsidR="00B233DE" w:rsidRPr="00A53884" w:rsidRDefault="00B233DE" w:rsidP="00B233DE">
      <w:pPr>
        <w:pStyle w:val="ad"/>
        <w:numPr>
          <w:ilvl w:val="0"/>
          <w:numId w:val="5"/>
        </w:numPr>
        <w:tabs>
          <w:tab w:val="left" w:pos="851"/>
        </w:tabs>
        <w:ind w:left="0" w:firstLine="709"/>
        <w:jc w:val="both"/>
        <w:rPr>
          <w:rFonts w:ascii="Times New Roman" w:hAnsi="Times New Roman" w:cs="Times New Roman"/>
          <w:color w:val="000000"/>
          <w:sz w:val="21"/>
          <w:szCs w:val="21"/>
        </w:rPr>
      </w:pPr>
      <w:r w:rsidRPr="00A53884">
        <w:rPr>
          <w:rFonts w:ascii="Times New Roman" w:hAnsi="Times New Roman" w:cs="Times New Roman"/>
          <w:color w:val="000000"/>
          <w:sz w:val="21"/>
          <w:szCs w:val="21"/>
        </w:rPr>
        <w:t>ціна окремої медичної послуги і вартість медичної допомоги в цілому;</w:t>
      </w:r>
    </w:p>
    <w:p w:rsidR="00B233DE" w:rsidRPr="00A53884" w:rsidRDefault="00B233DE" w:rsidP="00B233DE">
      <w:pPr>
        <w:pStyle w:val="ad"/>
        <w:numPr>
          <w:ilvl w:val="0"/>
          <w:numId w:val="5"/>
        </w:numPr>
        <w:tabs>
          <w:tab w:val="left" w:pos="851"/>
        </w:tabs>
        <w:ind w:left="0" w:firstLine="709"/>
        <w:jc w:val="both"/>
        <w:rPr>
          <w:rFonts w:ascii="Times New Roman" w:hAnsi="Times New Roman" w:cs="Times New Roman"/>
          <w:color w:val="000000"/>
          <w:sz w:val="21"/>
          <w:szCs w:val="21"/>
        </w:rPr>
      </w:pPr>
      <w:r w:rsidRPr="00A53884">
        <w:rPr>
          <w:rFonts w:ascii="Times New Roman" w:hAnsi="Times New Roman" w:cs="Times New Roman"/>
          <w:color w:val="000000"/>
          <w:sz w:val="21"/>
          <w:szCs w:val="21"/>
        </w:rPr>
        <w:t>оцінка ресурсного потенціалу охорони здоров’я та пошук нових джерел його формування;</w:t>
      </w:r>
    </w:p>
    <w:p w:rsidR="00B233DE" w:rsidRPr="00A53884" w:rsidRDefault="00B233DE" w:rsidP="00B233DE">
      <w:pPr>
        <w:pStyle w:val="ad"/>
        <w:numPr>
          <w:ilvl w:val="0"/>
          <w:numId w:val="5"/>
        </w:numPr>
        <w:tabs>
          <w:tab w:val="left" w:pos="851"/>
        </w:tabs>
        <w:ind w:left="0" w:firstLine="709"/>
        <w:jc w:val="both"/>
        <w:rPr>
          <w:rFonts w:ascii="Times New Roman" w:hAnsi="Times New Roman" w:cs="Times New Roman"/>
          <w:color w:val="000000"/>
          <w:sz w:val="21"/>
          <w:szCs w:val="21"/>
        </w:rPr>
      </w:pPr>
      <w:r w:rsidRPr="00A53884">
        <w:rPr>
          <w:rFonts w:ascii="Times New Roman" w:hAnsi="Times New Roman" w:cs="Times New Roman"/>
          <w:color w:val="000000"/>
          <w:sz w:val="21"/>
          <w:szCs w:val="21"/>
        </w:rPr>
        <w:t>оцінка ефективності функціонування охорони здоров’я в умовах ринкових відносин;</w:t>
      </w:r>
    </w:p>
    <w:p w:rsidR="00B233DE" w:rsidRPr="00A53884" w:rsidRDefault="00B233DE" w:rsidP="00B233DE">
      <w:pPr>
        <w:pStyle w:val="ad"/>
        <w:numPr>
          <w:ilvl w:val="0"/>
          <w:numId w:val="5"/>
        </w:numPr>
        <w:tabs>
          <w:tab w:val="left" w:pos="851"/>
        </w:tabs>
        <w:ind w:left="0" w:firstLine="709"/>
        <w:jc w:val="both"/>
        <w:rPr>
          <w:rFonts w:ascii="Times New Roman" w:hAnsi="Times New Roman" w:cs="Times New Roman"/>
          <w:color w:val="000000"/>
          <w:sz w:val="21"/>
          <w:szCs w:val="21"/>
        </w:rPr>
      </w:pPr>
      <w:r w:rsidRPr="00A53884">
        <w:rPr>
          <w:rFonts w:ascii="Times New Roman" w:hAnsi="Times New Roman" w:cs="Times New Roman"/>
          <w:color w:val="000000"/>
          <w:sz w:val="21"/>
          <w:szCs w:val="21"/>
        </w:rPr>
        <w:t>оцінка економічного збитку від захворюваності, інвалідизації та передчасної смертності.</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Pr>
          <w:rFonts w:ascii="Times New Roman" w:hAnsi="Times New Roman" w:cs="Times New Roman"/>
          <w:color w:val="000000"/>
          <w:sz w:val="21"/>
          <w:szCs w:val="21"/>
        </w:rPr>
        <w:t>Організації охорони здоров’</w:t>
      </w:r>
      <w:r w:rsidRPr="002D0778">
        <w:rPr>
          <w:rFonts w:ascii="Times New Roman" w:hAnsi="Times New Roman" w:cs="Times New Roman"/>
          <w:color w:val="000000"/>
          <w:sz w:val="21"/>
          <w:szCs w:val="21"/>
        </w:rPr>
        <w:t xml:space="preserve">я в рамках законодавства здійснюють економічну діяльність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виробництво і реалізацію медичних товарів і послуг, спрямованих н</w:t>
      </w:r>
      <w:r>
        <w:rPr>
          <w:rFonts w:ascii="Times New Roman" w:hAnsi="Times New Roman" w:cs="Times New Roman"/>
          <w:color w:val="000000"/>
          <w:sz w:val="21"/>
          <w:szCs w:val="21"/>
        </w:rPr>
        <w:t>а збереження і зміцнення здоров’</w:t>
      </w:r>
      <w:r w:rsidRPr="002D0778">
        <w:rPr>
          <w:rFonts w:ascii="Times New Roman" w:hAnsi="Times New Roman" w:cs="Times New Roman"/>
          <w:color w:val="000000"/>
          <w:sz w:val="21"/>
          <w:szCs w:val="21"/>
        </w:rPr>
        <w:t>я населення, використовуючи при цьому різні фінансові, матеріальні, трудові, інформаційні та інші ресурси.</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Постійне зро</w:t>
      </w:r>
      <w:r>
        <w:rPr>
          <w:rFonts w:ascii="Times New Roman" w:hAnsi="Times New Roman" w:cs="Times New Roman"/>
          <w:color w:val="000000"/>
          <w:sz w:val="21"/>
          <w:szCs w:val="21"/>
        </w:rPr>
        <w:t>стання витрат на охорону здоров’я, пов’</w:t>
      </w:r>
      <w:r w:rsidRPr="002D0778">
        <w:rPr>
          <w:rFonts w:ascii="Times New Roman" w:hAnsi="Times New Roman" w:cs="Times New Roman"/>
          <w:color w:val="000000"/>
          <w:sz w:val="21"/>
          <w:szCs w:val="21"/>
        </w:rPr>
        <w:t>язане з появою нових медичних технологій і ліків, змінами в структурі захворюваності і демографічними проблемами, є загальною тенденцією для розвинених країн світу. Сьогодні Всесв</w:t>
      </w:r>
      <w:r>
        <w:rPr>
          <w:rFonts w:ascii="Times New Roman" w:hAnsi="Times New Roman" w:cs="Times New Roman"/>
          <w:color w:val="000000"/>
          <w:sz w:val="21"/>
          <w:szCs w:val="21"/>
        </w:rPr>
        <w:t>ітня організація охорони здоров’</w:t>
      </w:r>
      <w:r w:rsidRPr="002D0778">
        <w:rPr>
          <w:rFonts w:ascii="Times New Roman" w:hAnsi="Times New Roman" w:cs="Times New Roman"/>
          <w:color w:val="000000"/>
          <w:sz w:val="21"/>
          <w:szCs w:val="21"/>
        </w:rPr>
        <w:t>я рекомен</w:t>
      </w:r>
      <w:r>
        <w:rPr>
          <w:rFonts w:ascii="Times New Roman" w:hAnsi="Times New Roman" w:cs="Times New Roman"/>
          <w:color w:val="000000"/>
          <w:sz w:val="21"/>
          <w:szCs w:val="21"/>
        </w:rPr>
        <w:t>дує витрачати на охорону здоров’</w:t>
      </w:r>
      <w:r w:rsidRPr="002D0778">
        <w:rPr>
          <w:rFonts w:ascii="Times New Roman" w:hAnsi="Times New Roman" w:cs="Times New Roman"/>
          <w:color w:val="000000"/>
          <w:sz w:val="21"/>
          <w:szCs w:val="21"/>
        </w:rPr>
        <w:t>я населення не менше 6</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6,5</w:t>
      </w:r>
      <w:r>
        <w:rPr>
          <w:rFonts w:ascii="Times New Roman" w:hAnsi="Times New Roman" w:cs="Times New Roman"/>
          <w:color w:val="000000"/>
          <w:sz w:val="21"/>
          <w:szCs w:val="21"/>
        </w:rPr>
        <w:t xml:space="preserve"> </w:t>
      </w:r>
      <w:r w:rsidRPr="002D0778">
        <w:rPr>
          <w:rFonts w:ascii="Times New Roman" w:hAnsi="Times New Roman" w:cs="Times New Roman"/>
          <w:color w:val="000000"/>
          <w:sz w:val="21"/>
          <w:szCs w:val="21"/>
        </w:rPr>
        <w:t xml:space="preserve">% від валового внутрішнього продукту. Україна </w:t>
      </w:r>
      <w:r>
        <w:rPr>
          <w:rFonts w:ascii="Times New Roman" w:hAnsi="Times New Roman" w:cs="Times New Roman"/>
          <w:color w:val="000000"/>
          <w:sz w:val="21"/>
          <w:szCs w:val="21"/>
        </w:rPr>
        <w:t>витрачає на цілі охорони здоров’</w:t>
      </w:r>
      <w:r w:rsidRPr="002D0778">
        <w:rPr>
          <w:rFonts w:ascii="Times New Roman" w:hAnsi="Times New Roman" w:cs="Times New Roman"/>
          <w:color w:val="000000"/>
          <w:sz w:val="21"/>
          <w:szCs w:val="21"/>
        </w:rPr>
        <w:t>я менше 5</w:t>
      </w:r>
      <w:r>
        <w:rPr>
          <w:rFonts w:ascii="Times New Roman" w:hAnsi="Times New Roman" w:cs="Times New Roman"/>
          <w:color w:val="000000"/>
          <w:sz w:val="21"/>
          <w:szCs w:val="21"/>
        </w:rPr>
        <w:t xml:space="preserve"> </w:t>
      </w:r>
      <w:r w:rsidRPr="002D0778">
        <w:rPr>
          <w:rFonts w:ascii="Times New Roman" w:hAnsi="Times New Roman" w:cs="Times New Roman"/>
          <w:color w:val="000000"/>
          <w:sz w:val="21"/>
          <w:szCs w:val="21"/>
        </w:rPr>
        <w:t>% від валового внутрішнього продукту, країни Західної Європи 8</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10</w:t>
      </w:r>
      <w:r>
        <w:rPr>
          <w:rFonts w:ascii="Times New Roman" w:hAnsi="Times New Roman" w:cs="Times New Roman"/>
          <w:color w:val="000000"/>
          <w:sz w:val="21"/>
          <w:szCs w:val="21"/>
        </w:rPr>
        <w:t xml:space="preserve"> </w:t>
      </w:r>
      <w:r w:rsidRPr="002D0778">
        <w:rPr>
          <w:rFonts w:ascii="Times New Roman" w:hAnsi="Times New Roman" w:cs="Times New Roman"/>
          <w:color w:val="000000"/>
          <w:sz w:val="21"/>
          <w:szCs w:val="21"/>
        </w:rPr>
        <w:t xml:space="preserve">%, США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понад 13</w:t>
      </w:r>
      <w:r>
        <w:rPr>
          <w:rFonts w:ascii="Times New Roman" w:hAnsi="Times New Roman" w:cs="Times New Roman"/>
          <w:color w:val="000000"/>
          <w:sz w:val="21"/>
          <w:szCs w:val="21"/>
        </w:rPr>
        <w:t xml:space="preserve"> </w:t>
      </w:r>
      <w:r w:rsidRPr="002D0778">
        <w:rPr>
          <w:rFonts w:ascii="Times New Roman" w:hAnsi="Times New Roman" w:cs="Times New Roman"/>
          <w:color w:val="000000"/>
          <w:sz w:val="21"/>
          <w:szCs w:val="21"/>
        </w:rPr>
        <w:t>%. Проте жодна з країн світу не може нескінченно збільшувати</w:t>
      </w:r>
      <w:r>
        <w:rPr>
          <w:rFonts w:ascii="Times New Roman" w:hAnsi="Times New Roman" w:cs="Times New Roman"/>
          <w:color w:val="000000"/>
          <w:sz w:val="21"/>
          <w:szCs w:val="21"/>
        </w:rPr>
        <w:t xml:space="preserve"> свої витрати на охорону здоров’</w:t>
      </w:r>
      <w:r w:rsidRPr="002D0778">
        <w:rPr>
          <w:rFonts w:ascii="Times New Roman" w:hAnsi="Times New Roman" w:cs="Times New Roman"/>
          <w:color w:val="000000"/>
          <w:sz w:val="21"/>
          <w:szCs w:val="21"/>
        </w:rPr>
        <w:t>я для забезпечення будь-яких можливих варіантів надання медичної допомоги. Для усунення диспропорції між наявними варіантами лікування і обмеженими економічними можл</w:t>
      </w:r>
      <w:r>
        <w:rPr>
          <w:rFonts w:ascii="Times New Roman" w:hAnsi="Times New Roman" w:cs="Times New Roman"/>
          <w:color w:val="000000"/>
          <w:sz w:val="21"/>
          <w:szCs w:val="21"/>
        </w:rPr>
        <w:t xml:space="preserve">ивостями системи охорони </w:t>
      </w:r>
      <w:r>
        <w:rPr>
          <w:rFonts w:ascii="Times New Roman" w:hAnsi="Times New Roman" w:cs="Times New Roman"/>
          <w:color w:val="000000"/>
          <w:sz w:val="21"/>
          <w:szCs w:val="21"/>
        </w:rPr>
        <w:lastRenderedPageBreak/>
        <w:t>здоров’</w:t>
      </w:r>
      <w:r w:rsidRPr="002D0778">
        <w:rPr>
          <w:rFonts w:ascii="Times New Roman" w:hAnsi="Times New Roman" w:cs="Times New Roman"/>
          <w:color w:val="000000"/>
          <w:sz w:val="21"/>
          <w:szCs w:val="21"/>
        </w:rPr>
        <w:t>я все більше уваги приділяють ефективності медичної допомоги та витрат на неї.</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При цьому</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найважливішою тенденцією</w:t>
      </w:r>
      <w:r>
        <w:rPr>
          <w:rFonts w:ascii="Times New Roman" w:hAnsi="Times New Roman" w:cs="Times New Roman"/>
          <w:color w:val="000000"/>
          <w:sz w:val="21"/>
          <w:szCs w:val="21"/>
        </w:rPr>
        <w:t xml:space="preserve"> розвитку систем охорони здоров’</w:t>
      </w:r>
      <w:r w:rsidRPr="002D0778">
        <w:rPr>
          <w:rFonts w:ascii="Times New Roman" w:hAnsi="Times New Roman" w:cs="Times New Roman"/>
          <w:color w:val="000000"/>
          <w:sz w:val="21"/>
          <w:szCs w:val="21"/>
        </w:rPr>
        <w:t>я економічно розвинених країн є зміщення пріоритету від максимальної економії витрат при наданні медичної допомоги до максимальної ефективності використання задіяних ресурсів.</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На цьому етапі дослідження необхідно дослідити категорії ефективності з урахуванням с</w:t>
      </w:r>
      <w:r>
        <w:rPr>
          <w:rFonts w:ascii="Times New Roman" w:hAnsi="Times New Roman" w:cs="Times New Roman"/>
          <w:color w:val="000000"/>
          <w:sz w:val="21"/>
          <w:szCs w:val="21"/>
        </w:rPr>
        <w:t>пецифіки системи охорони здоров’</w:t>
      </w:r>
      <w:r w:rsidRPr="002D0778">
        <w:rPr>
          <w:rFonts w:ascii="Times New Roman" w:hAnsi="Times New Roman" w:cs="Times New Roman"/>
          <w:color w:val="000000"/>
          <w:sz w:val="21"/>
          <w:szCs w:val="21"/>
        </w:rPr>
        <w:t>я.</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Зазвичай під поняттям «ефективність» розуміється ступінь досягнення конкретних результатів. При цьому понятт</w:t>
      </w:r>
      <w:r>
        <w:rPr>
          <w:rFonts w:ascii="Times New Roman" w:hAnsi="Times New Roman" w:cs="Times New Roman"/>
          <w:color w:val="000000"/>
          <w:sz w:val="21"/>
          <w:szCs w:val="21"/>
        </w:rPr>
        <w:t>я ефективності в охороні здоров’</w:t>
      </w:r>
      <w:r w:rsidRPr="002D0778">
        <w:rPr>
          <w:rFonts w:ascii="Times New Roman" w:hAnsi="Times New Roman" w:cs="Times New Roman"/>
          <w:color w:val="000000"/>
          <w:sz w:val="21"/>
          <w:szCs w:val="21"/>
        </w:rPr>
        <w:t>я не може бути ототожнене з загальноекономічною категорією ефективності. В о</w:t>
      </w:r>
      <w:r>
        <w:rPr>
          <w:rFonts w:ascii="Times New Roman" w:hAnsi="Times New Roman" w:cs="Times New Roman"/>
          <w:color w:val="000000"/>
          <w:sz w:val="21"/>
          <w:szCs w:val="21"/>
        </w:rPr>
        <w:t>хороні здоров’</w:t>
      </w:r>
      <w:r w:rsidRPr="002D0778">
        <w:rPr>
          <w:rFonts w:ascii="Times New Roman" w:hAnsi="Times New Roman" w:cs="Times New Roman"/>
          <w:color w:val="000000"/>
          <w:sz w:val="21"/>
          <w:szCs w:val="21"/>
        </w:rPr>
        <w:t>я навіть при застосуванні найбільш кваліфікованої праці і використанні сучасної медичної техніки може бути «нульовий» і навіть «негативний» результат.</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Ефек</w:t>
      </w:r>
      <w:r>
        <w:rPr>
          <w:rFonts w:ascii="Times New Roman" w:hAnsi="Times New Roman" w:cs="Times New Roman"/>
          <w:color w:val="000000"/>
          <w:sz w:val="21"/>
          <w:szCs w:val="21"/>
        </w:rPr>
        <w:t>тивність системи охорони здоров’</w:t>
      </w:r>
      <w:r w:rsidRPr="002D0778">
        <w:rPr>
          <w:rFonts w:ascii="Times New Roman" w:hAnsi="Times New Roman" w:cs="Times New Roman"/>
          <w:color w:val="000000"/>
          <w:sz w:val="21"/>
          <w:szCs w:val="21"/>
        </w:rPr>
        <w:t xml:space="preserve">я, </w:t>
      </w:r>
      <w:r>
        <w:rPr>
          <w:rFonts w:ascii="Times New Roman" w:hAnsi="Times New Roman" w:cs="Times New Roman"/>
          <w:color w:val="000000"/>
          <w:sz w:val="21"/>
          <w:szCs w:val="21"/>
        </w:rPr>
        <w:t>її</w:t>
      </w:r>
      <w:r w:rsidRPr="002D0778">
        <w:rPr>
          <w:rFonts w:ascii="Times New Roman" w:hAnsi="Times New Roman" w:cs="Times New Roman"/>
          <w:color w:val="000000"/>
          <w:sz w:val="21"/>
          <w:szCs w:val="21"/>
        </w:rPr>
        <w:t xml:space="preserve"> служб і окремих заходів вимірюється сукупністю показників, кожен з яких характеризує яку-небудь сторону процесу медичної діяльності. Ефек</w:t>
      </w:r>
      <w:r>
        <w:rPr>
          <w:rFonts w:ascii="Times New Roman" w:hAnsi="Times New Roman" w:cs="Times New Roman"/>
          <w:color w:val="000000"/>
          <w:sz w:val="21"/>
          <w:szCs w:val="21"/>
        </w:rPr>
        <w:t>тивність системи охорони здоров’</w:t>
      </w:r>
      <w:r w:rsidRPr="002D0778">
        <w:rPr>
          <w:rFonts w:ascii="Times New Roman" w:hAnsi="Times New Roman" w:cs="Times New Roman"/>
          <w:color w:val="000000"/>
          <w:sz w:val="21"/>
          <w:szCs w:val="21"/>
        </w:rPr>
        <w:t>я не може бути визначена однозна</w:t>
      </w:r>
      <w:r>
        <w:rPr>
          <w:rFonts w:ascii="Times New Roman" w:hAnsi="Times New Roman" w:cs="Times New Roman"/>
          <w:color w:val="000000"/>
          <w:sz w:val="21"/>
          <w:szCs w:val="21"/>
        </w:rPr>
        <w:t>чно. Стосовно до охорони здоров’</w:t>
      </w:r>
      <w:r w:rsidRPr="002D0778">
        <w:rPr>
          <w:rFonts w:ascii="Times New Roman" w:hAnsi="Times New Roman" w:cs="Times New Roman"/>
          <w:color w:val="000000"/>
          <w:sz w:val="21"/>
          <w:szCs w:val="21"/>
        </w:rPr>
        <w:t>я виділяють три типи ефективності: соціальну; медичну; економічну.</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 xml:space="preserve">На відміну від інших галузей народного господарства, результати тих </w:t>
      </w:r>
      <w:r>
        <w:rPr>
          <w:rFonts w:ascii="Times New Roman" w:hAnsi="Times New Roman" w:cs="Times New Roman"/>
          <w:color w:val="000000"/>
          <w:sz w:val="21"/>
          <w:szCs w:val="21"/>
        </w:rPr>
        <w:t>чи інших заходів охорони здоров’</w:t>
      </w:r>
      <w:r w:rsidRPr="002D0778">
        <w:rPr>
          <w:rFonts w:ascii="Times New Roman" w:hAnsi="Times New Roman" w:cs="Times New Roman"/>
          <w:color w:val="000000"/>
          <w:sz w:val="21"/>
          <w:szCs w:val="21"/>
        </w:rPr>
        <w:t xml:space="preserve">я, </w:t>
      </w:r>
      <w:r>
        <w:rPr>
          <w:rFonts w:ascii="Times New Roman" w:hAnsi="Times New Roman" w:cs="Times New Roman"/>
          <w:color w:val="000000"/>
          <w:sz w:val="21"/>
          <w:szCs w:val="21"/>
        </w:rPr>
        <w:t>її</w:t>
      </w:r>
      <w:r w:rsidRPr="002D0778">
        <w:rPr>
          <w:rFonts w:ascii="Times New Roman" w:hAnsi="Times New Roman" w:cs="Times New Roman"/>
          <w:color w:val="000000"/>
          <w:sz w:val="21"/>
          <w:szCs w:val="21"/>
        </w:rPr>
        <w:t xml:space="preserve"> служб і програм аналізуються з позицій соціальної, медичної та економічної ефективності, серед яких пріоритетними є медична та соціальна ефективність. Без оцінки результатів медичної та соціальної ефективності не може бути визначена і економіч</w:t>
      </w:r>
      <w:r>
        <w:rPr>
          <w:rFonts w:ascii="Times New Roman" w:hAnsi="Times New Roman" w:cs="Times New Roman"/>
          <w:color w:val="000000"/>
          <w:sz w:val="21"/>
          <w:szCs w:val="21"/>
        </w:rPr>
        <w:t>на ефективність. Існує взаємозв’</w:t>
      </w:r>
      <w:r w:rsidRPr="002D0778">
        <w:rPr>
          <w:rFonts w:ascii="Times New Roman" w:hAnsi="Times New Roman" w:cs="Times New Roman"/>
          <w:color w:val="000000"/>
          <w:sz w:val="21"/>
          <w:szCs w:val="21"/>
        </w:rPr>
        <w:t>язок і взаємозумовленість між медичною, соціальною та економічною ефективністю.</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 xml:space="preserve">Медична ефективність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це ступінь досягнення медичного результату. Відносно одного конкретного хворого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це одужа</w:t>
      </w:r>
      <w:r>
        <w:rPr>
          <w:rFonts w:ascii="Times New Roman" w:hAnsi="Times New Roman" w:cs="Times New Roman"/>
          <w:color w:val="000000"/>
          <w:sz w:val="21"/>
          <w:szCs w:val="21"/>
        </w:rPr>
        <w:t>ння або поліпшення стану здоров’</w:t>
      </w:r>
      <w:r w:rsidRPr="002D0778">
        <w:rPr>
          <w:rFonts w:ascii="Times New Roman" w:hAnsi="Times New Roman" w:cs="Times New Roman"/>
          <w:color w:val="000000"/>
          <w:sz w:val="21"/>
          <w:szCs w:val="21"/>
        </w:rPr>
        <w:t>я, відновлення втрачених функцій окремих органів і систем. Н</w:t>
      </w:r>
      <w:r>
        <w:rPr>
          <w:rFonts w:ascii="Times New Roman" w:hAnsi="Times New Roman" w:cs="Times New Roman"/>
          <w:color w:val="000000"/>
          <w:sz w:val="21"/>
          <w:szCs w:val="21"/>
        </w:rPr>
        <w:t>а рівні закладів охорони здоров’</w:t>
      </w:r>
      <w:r w:rsidRPr="002D0778">
        <w:rPr>
          <w:rFonts w:ascii="Times New Roman" w:hAnsi="Times New Roman" w:cs="Times New Roman"/>
          <w:color w:val="000000"/>
          <w:sz w:val="21"/>
          <w:szCs w:val="21"/>
        </w:rPr>
        <w:t>я та галузі в цілому медична ефективність вимірюється безліччю специфічних показників: питома вага вилікуваних хворих, зменшення випадків переходу захворювання в хронічну форму, зниження рівня захворюваності населення.</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lastRenderedPageBreak/>
        <w:t xml:space="preserve">Соціальна ефективність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це ступінь досягнення соціального результату. У відношенні конкретного хворого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це повернення його до праці і активного життя в суспільстві, задоволеність медичною допомогою. На рівні всієї галузі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це збільшення тривалості майбутнього життя населення, зниження рівня показників смертності та інвалідності, задоволеність суспільства в цілому системою надання медичної допомоги.</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 xml:space="preserve">Економічна ефективність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це співвідношення отриманих результатів і витрат. Розрахун</w:t>
      </w:r>
      <w:r>
        <w:rPr>
          <w:rFonts w:ascii="Times New Roman" w:hAnsi="Times New Roman" w:cs="Times New Roman"/>
          <w:color w:val="000000"/>
          <w:sz w:val="21"/>
          <w:szCs w:val="21"/>
        </w:rPr>
        <w:t>ок економічної ефективності пов’</w:t>
      </w:r>
      <w:r w:rsidRPr="002D0778">
        <w:rPr>
          <w:rFonts w:ascii="Times New Roman" w:hAnsi="Times New Roman" w:cs="Times New Roman"/>
          <w:color w:val="000000"/>
          <w:sz w:val="21"/>
          <w:szCs w:val="21"/>
        </w:rPr>
        <w:t>язаний з пошуком найбільш економічного використання наявних ресурсів. Цей показник є необхідним в оцінці функці</w:t>
      </w:r>
      <w:r>
        <w:rPr>
          <w:rFonts w:ascii="Times New Roman" w:hAnsi="Times New Roman" w:cs="Times New Roman"/>
          <w:color w:val="000000"/>
          <w:sz w:val="21"/>
          <w:szCs w:val="21"/>
        </w:rPr>
        <w:t>онування системи охорони здоров’</w:t>
      </w:r>
      <w:r w:rsidRPr="002D0778">
        <w:rPr>
          <w:rFonts w:ascii="Times New Roman" w:hAnsi="Times New Roman" w:cs="Times New Roman"/>
          <w:color w:val="000000"/>
          <w:sz w:val="21"/>
          <w:szCs w:val="21"/>
        </w:rPr>
        <w:t>я в цілому, окремих її підрозділів та структур, а також економічним обґрунтуван</w:t>
      </w:r>
      <w:r>
        <w:rPr>
          <w:rFonts w:ascii="Times New Roman" w:hAnsi="Times New Roman" w:cs="Times New Roman"/>
          <w:color w:val="000000"/>
          <w:sz w:val="21"/>
          <w:szCs w:val="21"/>
        </w:rPr>
        <w:t>ням заходів щодо охорони здоров’</w:t>
      </w:r>
      <w:r w:rsidRPr="002D0778">
        <w:rPr>
          <w:rFonts w:ascii="Times New Roman" w:hAnsi="Times New Roman" w:cs="Times New Roman"/>
          <w:color w:val="000000"/>
          <w:sz w:val="21"/>
          <w:szCs w:val="21"/>
        </w:rPr>
        <w:t>я населення.</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Будь-який вид лікарської діяльності, комплекс оздоровчих, гігієнічних та профілактичних заходів в окремих колективах і на адміністративній території повинен оцінюватися з точки зору соціальної, медичної та економічної ефективності. Провідним критерієм оцінки ефективності можу</w:t>
      </w:r>
      <w:r>
        <w:rPr>
          <w:rFonts w:ascii="Times New Roman" w:hAnsi="Times New Roman" w:cs="Times New Roman"/>
          <w:color w:val="000000"/>
          <w:sz w:val="21"/>
          <w:szCs w:val="21"/>
        </w:rPr>
        <w:t>ть бути тільки показники здоров’</w:t>
      </w:r>
      <w:r w:rsidRPr="002D0778">
        <w:rPr>
          <w:rFonts w:ascii="Times New Roman" w:hAnsi="Times New Roman" w:cs="Times New Roman"/>
          <w:color w:val="000000"/>
          <w:sz w:val="21"/>
          <w:szCs w:val="21"/>
        </w:rPr>
        <w:t xml:space="preserve">я в динаміці (зниження захворюваності, смертності, </w:t>
      </w:r>
      <w:r w:rsidRPr="00A53884">
        <w:rPr>
          <w:rFonts w:ascii="Times New Roman" w:hAnsi="Times New Roman" w:cs="Times New Roman"/>
          <w:color w:val="000000"/>
          <w:spacing w:val="-6"/>
          <w:sz w:val="21"/>
          <w:szCs w:val="21"/>
        </w:rPr>
        <w:t>інвалідизації, збільшення тривалості періоду трудової діяльності та ін.).</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Pr>
          <w:rFonts w:ascii="Times New Roman" w:hAnsi="Times New Roman" w:cs="Times New Roman"/>
          <w:color w:val="000000"/>
          <w:sz w:val="21"/>
          <w:szCs w:val="21"/>
        </w:rPr>
        <w:t>Особливість охорони здоров’</w:t>
      </w:r>
      <w:r w:rsidRPr="002D0778">
        <w:rPr>
          <w:rFonts w:ascii="Times New Roman" w:hAnsi="Times New Roman" w:cs="Times New Roman"/>
          <w:color w:val="000000"/>
          <w:sz w:val="21"/>
          <w:szCs w:val="21"/>
        </w:rPr>
        <w:t xml:space="preserve">я полягає в тому, що нерідко медичні заходи лікувального та профілактичного характеру можуть бути економічно невигідні, однак медичний і соціальний ефект вимагає їх проведення. Так, наприклад, при організації медичного обслуговування людей похилого віку з хронічними захворюваннями, хворих з розумовою відсталістю при явній медичній та соціальній ефективності економічний ефект буде негативним. При використанні сучасних медичних препаратів, інтенсивної терапії та реанімації досягається медичний і соціальний ефект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зберігається життя людини, проте </w:t>
      </w:r>
      <w:r>
        <w:rPr>
          <w:rFonts w:ascii="Times New Roman" w:hAnsi="Times New Roman" w:cs="Times New Roman"/>
          <w:color w:val="000000"/>
          <w:sz w:val="21"/>
          <w:szCs w:val="21"/>
        </w:rPr>
        <w:t>вона</w:t>
      </w:r>
      <w:r w:rsidRPr="002D0778">
        <w:rPr>
          <w:rFonts w:ascii="Times New Roman" w:hAnsi="Times New Roman" w:cs="Times New Roman"/>
          <w:color w:val="000000"/>
          <w:sz w:val="21"/>
          <w:szCs w:val="21"/>
        </w:rPr>
        <w:t xml:space="preserve"> може стати інвалідом і позбутися можливості займатися суспільно-корисною працею.</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Економічна ефекти</w:t>
      </w:r>
      <w:r>
        <w:rPr>
          <w:rFonts w:ascii="Times New Roman" w:hAnsi="Times New Roman" w:cs="Times New Roman"/>
          <w:color w:val="000000"/>
          <w:sz w:val="21"/>
          <w:szCs w:val="21"/>
        </w:rPr>
        <w:t>вність в охороні здоров’</w:t>
      </w:r>
      <w:r w:rsidRPr="002D0778">
        <w:rPr>
          <w:rFonts w:ascii="Times New Roman" w:hAnsi="Times New Roman" w:cs="Times New Roman"/>
          <w:color w:val="000000"/>
          <w:sz w:val="21"/>
          <w:szCs w:val="21"/>
        </w:rPr>
        <w:t xml:space="preserve">я не може бути визначальною при виборі тих чи інших засобів профілактики, лікування, організаційних форм надання медичної допомоги. Проте критерії економічної ефективності поряд з медичною та соціальною ефективністю можуть допомогти у встановленні </w:t>
      </w:r>
      <w:r w:rsidRPr="002D0778">
        <w:rPr>
          <w:rFonts w:ascii="Times New Roman" w:hAnsi="Times New Roman" w:cs="Times New Roman"/>
          <w:color w:val="000000"/>
          <w:sz w:val="21"/>
          <w:szCs w:val="21"/>
        </w:rPr>
        <w:lastRenderedPageBreak/>
        <w:t>черговості проведення тих чи інших заходів в умовах обмежених фінансових ресурсів.</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Pr>
          <w:rFonts w:ascii="Times New Roman" w:hAnsi="Times New Roman" w:cs="Times New Roman"/>
          <w:color w:val="000000"/>
          <w:sz w:val="21"/>
          <w:szCs w:val="21"/>
        </w:rPr>
        <w:t>Особливістю охорони здоров’</w:t>
      </w:r>
      <w:r w:rsidRPr="002D0778">
        <w:rPr>
          <w:rFonts w:ascii="Times New Roman" w:hAnsi="Times New Roman" w:cs="Times New Roman"/>
          <w:color w:val="000000"/>
          <w:sz w:val="21"/>
          <w:szCs w:val="21"/>
        </w:rPr>
        <w:t>я є і те, що витрати на надання медичної допомоги можуть перевищити очікуваний економічний результат. Наприклад, одужання працездатного працівника, яке буде означати зменшення втрат національного доходу від недовиробленої продукції, принесе значний економічний ефект. У той же час</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одужання непрацездатного пенсіонера або інваліда не принесе економічного ефекту, більш того, означатиме д</w:t>
      </w:r>
      <w:r>
        <w:rPr>
          <w:rFonts w:ascii="Times New Roman" w:hAnsi="Times New Roman" w:cs="Times New Roman"/>
          <w:color w:val="000000"/>
          <w:sz w:val="21"/>
          <w:szCs w:val="21"/>
        </w:rPr>
        <w:t>одаткові втрати у зв’</w:t>
      </w:r>
      <w:r w:rsidRPr="002D0778">
        <w:rPr>
          <w:rFonts w:ascii="Times New Roman" w:hAnsi="Times New Roman" w:cs="Times New Roman"/>
          <w:color w:val="000000"/>
          <w:sz w:val="21"/>
          <w:szCs w:val="21"/>
        </w:rPr>
        <w:t>язку з необхідністю виплати пенсії по старості або допомоги по інвалідності.</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 xml:space="preserve">У </w:t>
      </w:r>
      <w:r>
        <w:rPr>
          <w:rFonts w:ascii="Times New Roman" w:hAnsi="Times New Roman" w:cs="Times New Roman"/>
          <w:color w:val="000000"/>
          <w:sz w:val="21"/>
          <w:szCs w:val="21"/>
        </w:rPr>
        <w:t>медицині немає чіткого взаємозв’</w:t>
      </w:r>
      <w:r w:rsidRPr="002D0778">
        <w:rPr>
          <w:rFonts w:ascii="Times New Roman" w:hAnsi="Times New Roman" w:cs="Times New Roman"/>
          <w:color w:val="000000"/>
          <w:sz w:val="21"/>
          <w:szCs w:val="21"/>
        </w:rPr>
        <w:t>язку між кількістю витраченої лікарем праці та кінцевим результатом. Наприклад, при однаковій патології на літню людину буде витрачено більше часу і коштів, ніж на молод</w:t>
      </w:r>
      <w:r>
        <w:rPr>
          <w:rFonts w:ascii="Times New Roman" w:hAnsi="Times New Roman" w:cs="Times New Roman"/>
          <w:color w:val="000000"/>
          <w:sz w:val="21"/>
          <w:szCs w:val="21"/>
        </w:rPr>
        <w:t>у</w:t>
      </w:r>
      <w:r w:rsidRPr="002D0778">
        <w:rPr>
          <w:rFonts w:ascii="Times New Roman" w:hAnsi="Times New Roman" w:cs="Times New Roman"/>
          <w:color w:val="000000"/>
          <w:sz w:val="21"/>
          <w:szCs w:val="21"/>
        </w:rPr>
        <w:t>, а результат може бути неоднозначним.</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Для розуміння особливостей прояву економічно</w:t>
      </w:r>
      <w:r>
        <w:rPr>
          <w:rFonts w:ascii="Times New Roman" w:hAnsi="Times New Roman" w:cs="Times New Roman"/>
          <w:color w:val="000000"/>
          <w:sz w:val="21"/>
          <w:szCs w:val="21"/>
        </w:rPr>
        <w:t>ї ефективності в охороні здоров’</w:t>
      </w:r>
      <w:r w:rsidRPr="002D0778">
        <w:rPr>
          <w:rFonts w:ascii="Times New Roman" w:hAnsi="Times New Roman" w:cs="Times New Roman"/>
          <w:color w:val="000000"/>
          <w:sz w:val="21"/>
          <w:szCs w:val="21"/>
        </w:rPr>
        <w:t>я великий інтерес представляє аналіз ефективності послідовних витрат праці медичних працівників. Найбільш ефективними є первинні витрати праці на рівні, що забезпечує перелом у ході хвороби. Подальші витрати сприяють прискоренню одужання, але, в принципі, вони вже не є настільки ефективними, як первісні.</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Методичні підходи до визначення економічної ефек</w:t>
      </w:r>
      <w:r>
        <w:rPr>
          <w:rFonts w:ascii="Times New Roman" w:hAnsi="Times New Roman" w:cs="Times New Roman"/>
          <w:color w:val="000000"/>
          <w:sz w:val="21"/>
          <w:szCs w:val="21"/>
        </w:rPr>
        <w:t>тивності системи охорони здоров’</w:t>
      </w:r>
      <w:r w:rsidRPr="002D0778">
        <w:rPr>
          <w:rFonts w:ascii="Times New Roman" w:hAnsi="Times New Roman" w:cs="Times New Roman"/>
          <w:color w:val="000000"/>
          <w:sz w:val="21"/>
          <w:szCs w:val="21"/>
        </w:rPr>
        <w:t>я ґрунтуються насамперед на визначенні вартості окремих видів медичних заходів, а також величини збитку, що наноситься тими чи іншими захворюваннями. Вартісні показники лежать в основі визначення економічної ефективност</w:t>
      </w:r>
      <w:r>
        <w:rPr>
          <w:rFonts w:ascii="Times New Roman" w:hAnsi="Times New Roman" w:cs="Times New Roman"/>
          <w:color w:val="000000"/>
          <w:sz w:val="21"/>
          <w:szCs w:val="21"/>
        </w:rPr>
        <w:t>і системи охорони здоров’</w:t>
      </w:r>
      <w:r w:rsidRPr="002D0778">
        <w:rPr>
          <w:rFonts w:ascii="Times New Roman" w:hAnsi="Times New Roman" w:cs="Times New Roman"/>
          <w:color w:val="000000"/>
          <w:sz w:val="21"/>
          <w:szCs w:val="21"/>
        </w:rPr>
        <w:t>я. В конкретних розрахунках ця ефективність може вимірюватися часткою від ділення суми, що відбиває вигоду (економічний ефект) від даного заходу, на суму витрат на нього.</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Під економічним ефектом зазвичай розуміють попереджений економічний збиток, тобто той збиток, як</w:t>
      </w:r>
      <w:r>
        <w:rPr>
          <w:rFonts w:ascii="Times New Roman" w:hAnsi="Times New Roman" w:cs="Times New Roman"/>
          <w:color w:val="000000"/>
          <w:sz w:val="21"/>
          <w:szCs w:val="21"/>
        </w:rPr>
        <w:t>ого</w:t>
      </w:r>
      <w:r w:rsidRPr="002D0778">
        <w:rPr>
          <w:rFonts w:ascii="Times New Roman" w:hAnsi="Times New Roman" w:cs="Times New Roman"/>
          <w:color w:val="000000"/>
          <w:sz w:val="21"/>
          <w:szCs w:val="21"/>
        </w:rPr>
        <w:t xml:space="preserve"> вдалося уникнути в результаті застосування комплексу медичних заходів.</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Економічний ефект визначається як різниця між економічним збитком внаслідок захворювання або смертності до і після застосування лікувально-профілактичних заходів.</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lastRenderedPageBreak/>
        <w:t>Показники ефективності повинні відповідати наступним вимогам: мати кількісне вираження, бути простими в розрахунку, мати доступну і надійну інформаційну базу.</w:t>
      </w:r>
    </w:p>
    <w:p w:rsidR="00B233DE"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Економічну ефективність можна розрахувати за наступною формулою:</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p>
    <w:p w:rsidR="00B233DE" w:rsidRDefault="00B233DE" w:rsidP="00B233DE">
      <w:pPr>
        <w:tabs>
          <w:tab w:val="left" w:pos="142"/>
        </w:tabs>
        <w:ind w:firstLine="720"/>
        <w:jc w:val="center"/>
        <w:rPr>
          <w:rFonts w:ascii="Times New Roman" w:hAnsi="Times New Roman" w:cs="Times New Roman"/>
          <w:color w:val="000000"/>
          <w:sz w:val="21"/>
          <w:szCs w:val="21"/>
        </w:rPr>
      </w:pPr>
      <w:r w:rsidRPr="002D0778">
        <w:rPr>
          <w:rFonts w:ascii="Times New Roman" w:hAnsi="Times New Roman" w:cs="Times New Roman"/>
          <w:color w:val="000000"/>
          <w:sz w:val="21"/>
          <w:szCs w:val="21"/>
        </w:rPr>
        <w:t>К</w:t>
      </w:r>
      <w:r w:rsidRPr="00A53884">
        <w:rPr>
          <w:rFonts w:ascii="Times New Roman" w:hAnsi="Times New Roman" w:cs="Times New Roman"/>
          <w:color w:val="000000"/>
          <w:sz w:val="21"/>
          <w:szCs w:val="21"/>
          <w:vertAlign w:val="subscript"/>
        </w:rPr>
        <w:t>е</w:t>
      </w:r>
      <w:r w:rsidRPr="002D0778">
        <w:rPr>
          <w:rFonts w:ascii="Times New Roman" w:hAnsi="Times New Roman" w:cs="Times New Roman"/>
          <w:color w:val="000000"/>
          <w:sz w:val="21"/>
          <w:szCs w:val="21"/>
        </w:rPr>
        <w:t xml:space="preserve"> = Економічний ефект /</w:t>
      </w:r>
      <w:r w:rsidRPr="002D0778">
        <w:rPr>
          <w:rFonts w:ascii="Times New Roman" w:hAnsi="Times New Roman" w:cs="Times New Roman"/>
          <w:sz w:val="21"/>
          <w:szCs w:val="21"/>
        </w:rPr>
        <w:t xml:space="preserve"> </w:t>
      </w:r>
      <w:r>
        <w:rPr>
          <w:rFonts w:ascii="Times New Roman" w:hAnsi="Times New Roman" w:cs="Times New Roman"/>
          <w:color w:val="000000"/>
          <w:sz w:val="21"/>
          <w:szCs w:val="21"/>
        </w:rPr>
        <w:t xml:space="preserve">Економічні витрати, </w:t>
      </w:r>
    </w:p>
    <w:p w:rsidR="00B233DE" w:rsidRPr="002D0778" w:rsidRDefault="00B233DE" w:rsidP="00B233DE">
      <w:pPr>
        <w:tabs>
          <w:tab w:val="left" w:pos="142"/>
        </w:tabs>
        <w:ind w:firstLine="720"/>
        <w:jc w:val="center"/>
        <w:rPr>
          <w:rFonts w:ascii="Times New Roman" w:hAnsi="Times New Roman" w:cs="Times New Roman"/>
          <w:color w:val="000000"/>
          <w:sz w:val="21"/>
          <w:szCs w:val="21"/>
        </w:rPr>
      </w:pPr>
      <w:r>
        <w:rPr>
          <w:rFonts w:ascii="Times New Roman" w:hAnsi="Times New Roman" w:cs="Times New Roman"/>
          <w:color w:val="000000"/>
          <w:sz w:val="21"/>
          <w:szCs w:val="21"/>
        </w:rPr>
        <w:t xml:space="preserve">                      пов’</w:t>
      </w:r>
      <w:r w:rsidRPr="002D0778">
        <w:rPr>
          <w:rFonts w:ascii="Times New Roman" w:hAnsi="Times New Roman" w:cs="Times New Roman"/>
          <w:color w:val="000000"/>
          <w:sz w:val="21"/>
          <w:szCs w:val="21"/>
        </w:rPr>
        <w:t>язані з медичною програмою</w:t>
      </w:r>
      <w:r>
        <w:rPr>
          <w:rFonts w:ascii="Times New Roman" w:hAnsi="Times New Roman" w:cs="Times New Roman"/>
          <w:color w:val="000000"/>
          <w:sz w:val="21"/>
          <w:szCs w:val="21"/>
        </w:rPr>
        <w:t xml:space="preserve">                (2.1)</w:t>
      </w:r>
    </w:p>
    <w:p w:rsidR="00B233DE" w:rsidRDefault="00B233DE" w:rsidP="00B233DE">
      <w:pPr>
        <w:tabs>
          <w:tab w:val="left" w:pos="142"/>
        </w:tabs>
        <w:ind w:firstLine="720"/>
        <w:jc w:val="both"/>
        <w:rPr>
          <w:rFonts w:ascii="Times New Roman" w:hAnsi="Times New Roman" w:cs="Times New Roman"/>
          <w:color w:val="000000"/>
          <w:sz w:val="21"/>
          <w:szCs w:val="21"/>
        </w:rPr>
      </w:pP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Медична ефективність розраховується за формулою:</w:t>
      </w:r>
    </w:p>
    <w:p w:rsidR="00B233DE" w:rsidRDefault="00B233DE" w:rsidP="00B233DE">
      <w:pPr>
        <w:tabs>
          <w:tab w:val="left" w:pos="142"/>
        </w:tabs>
        <w:ind w:firstLine="720"/>
        <w:jc w:val="center"/>
        <w:rPr>
          <w:rFonts w:ascii="Times New Roman" w:hAnsi="Times New Roman" w:cs="Times New Roman"/>
          <w:color w:val="000000"/>
          <w:sz w:val="21"/>
          <w:szCs w:val="21"/>
        </w:rPr>
      </w:pPr>
    </w:p>
    <w:p w:rsidR="00B233DE" w:rsidRDefault="00B233DE" w:rsidP="00B233DE">
      <w:pPr>
        <w:tabs>
          <w:tab w:val="left" w:pos="142"/>
        </w:tabs>
        <w:ind w:firstLine="720"/>
        <w:jc w:val="center"/>
        <w:rPr>
          <w:rFonts w:ascii="Times New Roman" w:hAnsi="Times New Roman" w:cs="Times New Roman"/>
          <w:color w:val="000000"/>
          <w:sz w:val="21"/>
          <w:szCs w:val="21"/>
        </w:rPr>
      </w:pPr>
      <w:r w:rsidRPr="002D0778">
        <w:rPr>
          <w:rFonts w:ascii="Times New Roman" w:hAnsi="Times New Roman" w:cs="Times New Roman"/>
          <w:color w:val="000000"/>
          <w:sz w:val="21"/>
          <w:szCs w:val="21"/>
        </w:rPr>
        <w:t>К</w:t>
      </w:r>
      <w:r w:rsidRPr="00A53884">
        <w:rPr>
          <w:rFonts w:ascii="Times New Roman" w:hAnsi="Times New Roman" w:cs="Times New Roman"/>
          <w:color w:val="000000"/>
          <w:sz w:val="21"/>
          <w:szCs w:val="21"/>
          <w:vertAlign w:val="subscript"/>
        </w:rPr>
        <w:t>м</w:t>
      </w:r>
      <w:r w:rsidRPr="002D0778">
        <w:rPr>
          <w:rFonts w:ascii="Times New Roman" w:hAnsi="Times New Roman" w:cs="Times New Roman"/>
          <w:color w:val="000000"/>
          <w:sz w:val="21"/>
          <w:szCs w:val="21"/>
        </w:rPr>
        <w:t xml:space="preserve"> = Число випадків, які досягли медичних результатів / </w:t>
      </w:r>
      <w:r>
        <w:rPr>
          <w:rFonts w:ascii="Times New Roman" w:hAnsi="Times New Roman" w:cs="Times New Roman"/>
          <w:color w:val="000000"/>
          <w:sz w:val="21"/>
          <w:szCs w:val="21"/>
        </w:rPr>
        <w:t xml:space="preserve"> </w:t>
      </w:r>
    </w:p>
    <w:p w:rsidR="00B233DE" w:rsidRPr="002D0778" w:rsidRDefault="00B233DE" w:rsidP="00B233DE">
      <w:pPr>
        <w:tabs>
          <w:tab w:val="left" w:pos="142"/>
        </w:tabs>
        <w:ind w:firstLine="720"/>
        <w:jc w:val="center"/>
        <w:rPr>
          <w:rFonts w:ascii="Times New Roman" w:hAnsi="Times New Roman" w:cs="Times New Roman"/>
          <w:color w:val="000000"/>
          <w:sz w:val="21"/>
          <w:szCs w:val="21"/>
        </w:rPr>
      </w:pPr>
      <w:r>
        <w:rPr>
          <w:rFonts w:ascii="Times New Roman" w:hAnsi="Times New Roman" w:cs="Times New Roman"/>
          <w:color w:val="000000"/>
          <w:sz w:val="21"/>
          <w:szCs w:val="21"/>
        </w:rPr>
        <w:t xml:space="preserve">                           </w:t>
      </w:r>
      <w:r w:rsidRPr="002D0778">
        <w:rPr>
          <w:rFonts w:ascii="Times New Roman" w:hAnsi="Times New Roman" w:cs="Times New Roman"/>
          <w:color w:val="000000"/>
          <w:sz w:val="21"/>
          <w:szCs w:val="21"/>
        </w:rPr>
        <w:t>число оцінюваних випадків</w:t>
      </w:r>
      <w:r>
        <w:rPr>
          <w:rFonts w:ascii="Times New Roman" w:hAnsi="Times New Roman" w:cs="Times New Roman"/>
          <w:color w:val="000000"/>
          <w:sz w:val="21"/>
          <w:szCs w:val="21"/>
        </w:rPr>
        <w:t xml:space="preserve">                     (2.2)</w:t>
      </w:r>
    </w:p>
    <w:p w:rsidR="00B233DE" w:rsidRDefault="00B233DE" w:rsidP="00B233DE">
      <w:pPr>
        <w:tabs>
          <w:tab w:val="left" w:pos="142"/>
        </w:tabs>
        <w:ind w:firstLine="720"/>
        <w:jc w:val="both"/>
        <w:rPr>
          <w:rFonts w:ascii="Times New Roman" w:hAnsi="Times New Roman" w:cs="Times New Roman"/>
          <w:color w:val="000000"/>
          <w:sz w:val="21"/>
          <w:szCs w:val="21"/>
        </w:rPr>
      </w:pP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Соціальна ефективність розраховується за формулою:</w:t>
      </w:r>
    </w:p>
    <w:p w:rsidR="00B233DE" w:rsidRDefault="00B233DE" w:rsidP="00B233DE">
      <w:pPr>
        <w:tabs>
          <w:tab w:val="left" w:pos="142"/>
        </w:tabs>
        <w:ind w:firstLine="720"/>
        <w:jc w:val="center"/>
        <w:rPr>
          <w:rFonts w:ascii="Times New Roman" w:hAnsi="Times New Roman" w:cs="Times New Roman"/>
          <w:color w:val="000000"/>
          <w:sz w:val="21"/>
          <w:szCs w:val="21"/>
        </w:rPr>
      </w:pPr>
    </w:p>
    <w:p w:rsidR="00B233DE" w:rsidRDefault="00B233DE" w:rsidP="00B233DE">
      <w:pPr>
        <w:tabs>
          <w:tab w:val="left" w:pos="142"/>
        </w:tabs>
        <w:ind w:firstLine="720"/>
        <w:jc w:val="center"/>
        <w:rPr>
          <w:rFonts w:ascii="Times New Roman" w:hAnsi="Times New Roman" w:cs="Times New Roman"/>
          <w:color w:val="000000"/>
          <w:sz w:val="21"/>
          <w:szCs w:val="21"/>
        </w:rPr>
      </w:pPr>
      <w:r w:rsidRPr="002D0778">
        <w:rPr>
          <w:rFonts w:ascii="Times New Roman" w:hAnsi="Times New Roman" w:cs="Times New Roman"/>
          <w:color w:val="000000"/>
          <w:sz w:val="21"/>
          <w:szCs w:val="21"/>
        </w:rPr>
        <w:t>К</w:t>
      </w:r>
      <w:r w:rsidRPr="00A53884">
        <w:rPr>
          <w:rFonts w:ascii="Times New Roman" w:hAnsi="Times New Roman" w:cs="Times New Roman"/>
          <w:color w:val="000000"/>
          <w:sz w:val="21"/>
          <w:szCs w:val="21"/>
          <w:vertAlign w:val="subscript"/>
        </w:rPr>
        <w:t>с</w:t>
      </w:r>
      <w:r w:rsidRPr="002D0778">
        <w:rPr>
          <w:rFonts w:ascii="Times New Roman" w:hAnsi="Times New Roman" w:cs="Times New Roman"/>
          <w:color w:val="000000"/>
          <w:sz w:val="21"/>
          <w:szCs w:val="21"/>
        </w:rPr>
        <w:t xml:space="preserve"> =</w:t>
      </w:r>
      <w:r w:rsidRPr="002D0778">
        <w:rPr>
          <w:rFonts w:ascii="Times New Roman" w:hAnsi="Times New Roman" w:cs="Times New Roman"/>
          <w:sz w:val="21"/>
          <w:szCs w:val="21"/>
        </w:rPr>
        <w:t xml:space="preserve"> </w:t>
      </w:r>
      <w:r w:rsidRPr="002D0778">
        <w:rPr>
          <w:rFonts w:ascii="Times New Roman" w:hAnsi="Times New Roman" w:cs="Times New Roman"/>
          <w:color w:val="000000"/>
          <w:sz w:val="21"/>
          <w:szCs w:val="21"/>
        </w:rPr>
        <w:t xml:space="preserve">Число випадків задоволеності пацієнта медичною </w:t>
      </w:r>
    </w:p>
    <w:p w:rsidR="00B233DE" w:rsidRPr="002D0778" w:rsidRDefault="00B233DE" w:rsidP="00B233DE">
      <w:pPr>
        <w:tabs>
          <w:tab w:val="left" w:pos="142"/>
        </w:tabs>
        <w:ind w:firstLine="720"/>
        <w:jc w:val="center"/>
        <w:rPr>
          <w:rFonts w:ascii="Times New Roman" w:hAnsi="Times New Roman" w:cs="Times New Roman"/>
          <w:color w:val="000000"/>
          <w:sz w:val="21"/>
          <w:szCs w:val="21"/>
        </w:rPr>
      </w:pPr>
      <w:r>
        <w:rPr>
          <w:rFonts w:ascii="Times New Roman" w:hAnsi="Times New Roman" w:cs="Times New Roman"/>
          <w:color w:val="000000"/>
          <w:sz w:val="21"/>
          <w:szCs w:val="21"/>
        </w:rPr>
        <w:t xml:space="preserve">              </w:t>
      </w:r>
      <w:r w:rsidRPr="002D0778">
        <w:rPr>
          <w:rFonts w:ascii="Times New Roman" w:hAnsi="Times New Roman" w:cs="Times New Roman"/>
          <w:color w:val="000000"/>
          <w:sz w:val="21"/>
          <w:szCs w:val="21"/>
        </w:rPr>
        <w:t>допомогою /</w:t>
      </w:r>
      <w:r w:rsidRPr="002D0778">
        <w:rPr>
          <w:rFonts w:ascii="Times New Roman" w:hAnsi="Times New Roman" w:cs="Times New Roman"/>
          <w:sz w:val="21"/>
          <w:szCs w:val="21"/>
        </w:rPr>
        <w:t xml:space="preserve"> </w:t>
      </w:r>
      <w:r w:rsidRPr="002D0778">
        <w:rPr>
          <w:rFonts w:ascii="Times New Roman" w:hAnsi="Times New Roman" w:cs="Times New Roman"/>
          <w:color w:val="000000"/>
          <w:sz w:val="21"/>
          <w:szCs w:val="21"/>
        </w:rPr>
        <w:t>число оцінюваних випадків</w:t>
      </w:r>
      <w:r>
        <w:rPr>
          <w:rFonts w:ascii="Times New Roman" w:hAnsi="Times New Roman" w:cs="Times New Roman"/>
          <w:color w:val="000000"/>
          <w:sz w:val="21"/>
          <w:szCs w:val="21"/>
        </w:rPr>
        <w:t xml:space="preserve">           (2.3)</w:t>
      </w:r>
    </w:p>
    <w:p w:rsidR="00B233DE" w:rsidRDefault="00B233DE" w:rsidP="00B233DE">
      <w:pPr>
        <w:tabs>
          <w:tab w:val="left" w:pos="142"/>
        </w:tabs>
        <w:ind w:firstLine="720"/>
        <w:jc w:val="both"/>
        <w:rPr>
          <w:rFonts w:ascii="Times New Roman" w:hAnsi="Times New Roman" w:cs="Times New Roman"/>
          <w:color w:val="000000"/>
          <w:sz w:val="21"/>
          <w:szCs w:val="21"/>
        </w:rPr>
      </w:pP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При оцінці отриманих показників ефективності можна виходити з таких критеріїв:</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1) еталону показника, до якого повинні прагнути пр</w:t>
      </w:r>
      <w:r>
        <w:rPr>
          <w:rFonts w:ascii="Times New Roman" w:hAnsi="Times New Roman" w:cs="Times New Roman"/>
          <w:color w:val="000000"/>
          <w:sz w:val="21"/>
          <w:szCs w:val="21"/>
        </w:rPr>
        <w:t>ацівники системи охорони здоров’</w:t>
      </w:r>
      <w:r w:rsidRPr="002D0778">
        <w:rPr>
          <w:rFonts w:ascii="Times New Roman" w:hAnsi="Times New Roman" w:cs="Times New Roman"/>
          <w:color w:val="000000"/>
          <w:sz w:val="21"/>
          <w:szCs w:val="21"/>
        </w:rPr>
        <w:t>я (К = 1), а в разі економічної ефективності (К</w:t>
      </w:r>
      <w:r>
        <w:rPr>
          <w:rFonts w:ascii="Times New Roman" w:hAnsi="Times New Roman" w:cs="Times New Roman"/>
          <w:color w:val="000000"/>
          <w:sz w:val="21"/>
          <w:szCs w:val="21"/>
        </w:rPr>
        <w:t xml:space="preserve"> </w:t>
      </w:r>
      <w:r w:rsidRPr="002D0778">
        <w:rPr>
          <w:rFonts w:ascii="Times New Roman" w:hAnsi="Times New Roman" w:cs="Times New Roman"/>
          <w:color w:val="000000"/>
          <w:sz w:val="21"/>
          <w:szCs w:val="21"/>
        </w:rPr>
        <w:t>&gt; 1);</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2) середнього показника для лікувально-профілактичного закладу, відділення, регіону в цілому;</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3) динаміки даного показника у конкретного лікаря, у відділенні, в лікувально-профілактичному закладі.</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Істотну роль при оцінці ефективності відіграють інформаційні системи. Зібрана орга</w:t>
      </w:r>
      <w:r>
        <w:rPr>
          <w:rFonts w:ascii="Times New Roman" w:hAnsi="Times New Roman" w:cs="Times New Roman"/>
          <w:color w:val="000000"/>
          <w:sz w:val="21"/>
          <w:szCs w:val="21"/>
        </w:rPr>
        <w:t>нами управління охороною здоров’</w:t>
      </w:r>
      <w:r w:rsidRPr="002D0778">
        <w:rPr>
          <w:rFonts w:ascii="Times New Roman" w:hAnsi="Times New Roman" w:cs="Times New Roman"/>
          <w:color w:val="000000"/>
          <w:sz w:val="21"/>
          <w:szCs w:val="21"/>
        </w:rPr>
        <w:t>я медична статистика надає багатий інструментарій для розробки показників ефективності. Детальна медико-демографічна інформація та відомості про надані медичні послуги можуть бути отримані з</w:t>
      </w:r>
      <w:r>
        <w:rPr>
          <w:rFonts w:ascii="Times New Roman" w:hAnsi="Times New Roman" w:cs="Times New Roman"/>
          <w:color w:val="000000"/>
          <w:sz w:val="21"/>
          <w:szCs w:val="21"/>
        </w:rPr>
        <w:t>і</w:t>
      </w:r>
      <w:r w:rsidRPr="002D0778">
        <w:rPr>
          <w:rFonts w:ascii="Times New Roman" w:hAnsi="Times New Roman" w:cs="Times New Roman"/>
          <w:color w:val="000000"/>
          <w:sz w:val="21"/>
          <w:szCs w:val="21"/>
        </w:rPr>
        <w:t xml:space="preserve"> звітних форм, що складаються установою та орга</w:t>
      </w:r>
      <w:r>
        <w:rPr>
          <w:rFonts w:ascii="Times New Roman" w:hAnsi="Times New Roman" w:cs="Times New Roman"/>
          <w:color w:val="000000"/>
          <w:sz w:val="21"/>
          <w:szCs w:val="21"/>
        </w:rPr>
        <w:t>нами управління охороною здоров’</w:t>
      </w:r>
      <w:r w:rsidRPr="002D0778">
        <w:rPr>
          <w:rFonts w:ascii="Times New Roman" w:hAnsi="Times New Roman" w:cs="Times New Roman"/>
          <w:color w:val="000000"/>
          <w:sz w:val="21"/>
          <w:szCs w:val="21"/>
        </w:rPr>
        <w:t>я. Докладні дані про використання фінансових ресурсів також можуть бути надані медичними установами.</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 xml:space="preserve">Проте ряд показників ефективності медичних послуг не представлений в рамках системи державної статистики. Такі </w:t>
      </w:r>
      <w:r w:rsidRPr="002D0778">
        <w:rPr>
          <w:rFonts w:ascii="Times New Roman" w:hAnsi="Times New Roman" w:cs="Times New Roman"/>
          <w:color w:val="000000"/>
          <w:sz w:val="21"/>
          <w:szCs w:val="21"/>
        </w:rPr>
        <w:lastRenderedPageBreak/>
        <w:t>показники ставляться насамперед до медико-соціальної ефе</w:t>
      </w:r>
      <w:r>
        <w:rPr>
          <w:rFonts w:ascii="Times New Roman" w:hAnsi="Times New Roman" w:cs="Times New Roman"/>
          <w:color w:val="000000"/>
          <w:sz w:val="21"/>
          <w:szCs w:val="21"/>
        </w:rPr>
        <w:t>ктивності послуг охорони здоров’</w:t>
      </w:r>
      <w:r w:rsidRPr="002D0778">
        <w:rPr>
          <w:rFonts w:ascii="Times New Roman" w:hAnsi="Times New Roman" w:cs="Times New Roman"/>
          <w:color w:val="000000"/>
          <w:sz w:val="21"/>
          <w:szCs w:val="21"/>
        </w:rPr>
        <w:t>я і відображають якість медичної допомоги. Необхідна розробка системи індикаторів ефективності, що характеризують ступінь досягнення поставлених цілей. При розробці методик моніторингу та оцінки, в першу чергу, повинні бути визначені індикатори, які використовуються для оцінки досягнення результатів. Показники, що розробляються, повинні відображати діяльність з надання розглянутої послуги, вимірювати результат діяльності з її надання, бути вимірюваними з точки зору проведення оцінки та досяжними протягом звітного тимчасового періоду. Використання інтегральних індексів ефективності дозволяє враховувати безліч факторів, що впливають на кінцевий результат.</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В даний час нормативно-правові документи не містять точних вказівок, на підставі яких вибираються індикатори ефективності. Тим не менш, незважаючи на труднощі в розробці єдиної системи індикаторів ефективності, комплексне використання інфо</w:t>
      </w:r>
      <w:r>
        <w:rPr>
          <w:rFonts w:ascii="Times New Roman" w:hAnsi="Times New Roman" w:cs="Times New Roman"/>
          <w:color w:val="000000"/>
          <w:sz w:val="21"/>
          <w:szCs w:val="21"/>
        </w:rPr>
        <w:t>рмації в системі охорони здоров’</w:t>
      </w:r>
      <w:r w:rsidRPr="002D0778">
        <w:rPr>
          <w:rFonts w:ascii="Times New Roman" w:hAnsi="Times New Roman" w:cs="Times New Roman"/>
          <w:color w:val="000000"/>
          <w:sz w:val="21"/>
          <w:szCs w:val="21"/>
        </w:rPr>
        <w:t>я в контексті підвищення економічної та соціальної ефективності медичної допомоги є дуже важливим.</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Для цього необхідна розробка методики оцінки ефект</w:t>
      </w:r>
      <w:r>
        <w:rPr>
          <w:rFonts w:ascii="Times New Roman" w:hAnsi="Times New Roman" w:cs="Times New Roman"/>
          <w:color w:val="000000"/>
          <w:sz w:val="21"/>
          <w:szCs w:val="21"/>
        </w:rPr>
        <w:t>ивності розвитку охорони здоров’</w:t>
      </w:r>
      <w:r w:rsidRPr="002D0778">
        <w:rPr>
          <w:rFonts w:ascii="Times New Roman" w:hAnsi="Times New Roman" w:cs="Times New Roman"/>
          <w:color w:val="000000"/>
          <w:sz w:val="21"/>
          <w:szCs w:val="21"/>
        </w:rPr>
        <w:t>я, заснованої на медико-економічних стандартах медичної допомоги із застосуванням автоматизованих інформаційних систем для аналізу цієї ефективності.</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Порівняльний кількісний аналіз індикаторів ефективності діяльності різних лікувально-профілактичних закладів за підсумками конкретного року дозволяє відповісти на безліч управлінських питань, але найбільш цінна інформація може бути отримана при проведенні моніторингу показників протягом декількох років. При цьому при практичних розрахунках показників в якості нормативного значення мають використовуватися стандарти якості та медико-економічні нормативи.</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Як було</w:t>
      </w:r>
      <w:r>
        <w:rPr>
          <w:rFonts w:ascii="Times New Roman" w:hAnsi="Times New Roman" w:cs="Times New Roman"/>
          <w:color w:val="000000"/>
          <w:sz w:val="21"/>
          <w:szCs w:val="21"/>
        </w:rPr>
        <w:t xml:space="preserve"> сказано раніше, охорона здоров’</w:t>
      </w:r>
      <w:r w:rsidRPr="002D0778">
        <w:rPr>
          <w:rFonts w:ascii="Times New Roman" w:hAnsi="Times New Roman" w:cs="Times New Roman"/>
          <w:color w:val="000000"/>
          <w:sz w:val="21"/>
          <w:szCs w:val="21"/>
        </w:rPr>
        <w:t>я є «</w:t>
      </w:r>
      <w:r>
        <w:rPr>
          <w:rFonts w:ascii="Times New Roman" w:hAnsi="Times New Roman" w:cs="Times New Roman"/>
          <w:color w:val="000000"/>
          <w:sz w:val="21"/>
          <w:szCs w:val="21"/>
        </w:rPr>
        <w:t>г</w:t>
      </w:r>
      <w:r w:rsidRPr="002D0778">
        <w:rPr>
          <w:rFonts w:ascii="Times New Roman" w:hAnsi="Times New Roman" w:cs="Times New Roman"/>
          <w:color w:val="000000"/>
          <w:sz w:val="21"/>
          <w:szCs w:val="21"/>
        </w:rPr>
        <w:t>алуззю з</w:t>
      </w:r>
      <w:r>
        <w:rPr>
          <w:rFonts w:ascii="Times New Roman" w:hAnsi="Times New Roman" w:cs="Times New Roman"/>
          <w:color w:val="000000"/>
          <w:sz w:val="21"/>
          <w:szCs w:val="21"/>
        </w:rPr>
        <w:t>берігання та виробництва здоров’</w:t>
      </w:r>
      <w:r w:rsidRPr="002D0778">
        <w:rPr>
          <w:rFonts w:ascii="Times New Roman" w:hAnsi="Times New Roman" w:cs="Times New Roman"/>
          <w:color w:val="000000"/>
          <w:sz w:val="21"/>
          <w:szCs w:val="21"/>
        </w:rPr>
        <w:t>я» і певною мірою впливає на економічну ситуацію в країні в цілому і на макроекономічні показники, зокрема. Тому, г</w:t>
      </w:r>
      <w:r>
        <w:rPr>
          <w:rFonts w:ascii="Times New Roman" w:hAnsi="Times New Roman" w:cs="Times New Roman"/>
          <w:color w:val="000000"/>
          <w:sz w:val="21"/>
          <w:szCs w:val="21"/>
        </w:rPr>
        <w:t>оворячи про роль охорони здоров’</w:t>
      </w:r>
      <w:r w:rsidRPr="002D0778">
        <w:rPr>
          <w:rFonts w:ascii="Times New Roman" w:hAnsi="Times New Roman" w:cs="Times New Roman"/>
          <w:color w:val="000000"/>
          <w:sz w:val="21"/>
          <w:szCs w:val="21"/>
        </w:rPr>
        <w:t xml:space="preserve">я в економіці країни, необхідно, насамперед, мати на увазі </w:t>
      </w:r>
      <w:r w:rsidRPr="002D0778">
        <w:rPr>
          <w:rFonts w:ascii="Times New Roman" w:hAnsi="Times New Roman" w:cs="Times New Roman"/>
          <w:color w:val="000000"/>
          <w:sz w:val="21"/>
          <w:szCs w:val="21"/>
        </w:rPr>
        <w:lastRenderedPageBreak/>
        <w:t>попереджений економічний збиток (економічний ефект) внаслідок реалізації заходів щодо зниження захворюваності, інвалідизації та смертності населення.</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Розрізняють прямий</w:t>
      </w:r>
      <w:r>
        <w:rPr>
          <w:rFonts w:ascii="Times New Roman" w:hAnsi="Times New Roman" w:cs="Times New Roman"/>
          <w:color w:val="000000"/>
          <w:sz w:val="21"/>
          <w:szCs w:val="21"/>
        </w:rPr>
        <w:t xml:space="preserve"> і непрямий економічний збиток. </w:t>
      </w:r>
      <w:r w:rsidRPr="002D0778">
        <w:rPr>
          <w:rFonts w:ascii="Times New Roman" w:hAnsi="Times New Roman" w:cs="Times New Roman"/>
          <w:color w:val="000000"/>
          <w:sz w:val="21"/>
          <w:szCs w:val="21"/>
        </w:rPr>
        <w:t xml:space="preserve">Прямий економічний збиток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це витрати матеріальних, фінансових, інформаційних та інших ресурсів (у вартісному вираженні), які використовуються в процесі надання населенню медичної допомоги.</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 xml:space="preserve">Непрямий економічний збиток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це економічні втрати, пов’язані з виплатами допомоги з тимчасової втрати працездатності, пенсій по інвалідності, числом непрожитих працездатних років життя (у вартісному вираженні), зменшенням виробництва ВВП та ін.</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Найбільш відчутний економічний збиток серед працездатного населення внаслідок тимчасової або стійкої непрацездатності. Робітники, які втратили працездатність, не приймають участь у виробництві ВВП, а держава витрачає кошти на надання їм медичної допомоги, оплату лікарняних листів, пенсій по інвалі</w:t>
      </w:r>
      <w:r>
        <w:rPr>
          <w:rFonts w:ascii="Times New Roman" w:hAnsi="Times New Roman" w:cs="Times New Roman"/>
          <w:color w:val="000000"/>
          <w:sz w:val="21"/>
          <w:szCs w:val="21"/>
        </w:rPr>
        <w:t>дності, навчання інвалідів у зв’</w:t>
      </w:r>
      <w:r w:rsidRPr="002D0778">
        <w:rPr>
          <w:rFonts w:ascii="Times New Roman" w:hAnsi="Times New Roman" w:cs="Times New Roman"/>
          <w:color w:val="000000"/>
          <w:sz w:val="21"/>
          <w:szCs w:val="21"/>
        </w:rPr>
        <w:t>язку з перекваліфікацією і різного роду інших пільг соціального характеру.</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Економічний збиток внаслідок захворюваності (у розрахунку на одну людину) розраховується за наступними формулами:</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Pr>
          <w:rFonts w:ascii="Times New Roman" w:hAnsi="Times New Roman" w:cs="Times New Roman"/>
          <w:color w:val="000000"/>
          <w:sz w:val="21"/>
          <w:szCs w:val="21"/>
        </w:rPr>
        <w:t xml:space="preserve">а) </w:t>
      </w:r>
      <w:r w:rsidRPr="002D0778">
        <w:rPr>
          <w:rFonts w:ascii="Times New Roman" w:hAnsi="Times New Roman" w:cs="Times New Roman"/>
          <w:color w:val="000000"/>
          <w:sz w:val="21"/>
          <w:szCs w:val="21"/>
        </w:rPr>
        <w:t>для працюючого:</w:t>
      </w:r>
    </w:p>
    <w:p w:rsidR="00B233DE" w:rsidRDefault="00B233DE" w:rsidP="00B233DE">
      <w:pPr>
        <w:tabs>
          <w:tab w:val="left" w:pos="142"/>
        </w:tabs>
        <w:ind w:firstLine="720"/>
        <w:jc w:val="both"/>
        <w:rPr>
          <w:rFonts w:ascii="Times New Roman" w:hAnsi="Times New Roman" w:cs="Times New Roman"/>
          <w:color w:val="000000"/>
          <w:sz w:val="21"/>
          <w:szCs w:val="21"/>
        </w:rPr>
      </w:pPr>
    </w:p>
    <w:p w:rsidR="00B233DE" w:rsidRPr="002D0778" w:rsidRDefault="00B233DE" w:rsidP="00B233DE">
      <w:pPr>
        <w:tabs>
          <w:tab w:val="left" w:pos="142"/>
        </w:tabs>
        <w:ind w:firstLine="720"/>
        <w:jc w:val="center"/>
        <w:rPr>
          <w:rFonts w:ascii="Times New Roman" w:hAnsi="Times New Roman" w:cs="Times New Roman"/>
          <w:color w:val="000000"/>
          <w:sz w:val="21"/>
          <w:szCs w:val="21"/>
        </w:rPr>
      </w:pPr>
      <w:r>
        <w:rPr>
          <w:rFonts w:ascii="Times New Roman" w:hAnsi="Times New Roman" w:cs="Times New Roman"/>
          <w:color w:val="000000"/>
          <w:sz w:val="21"/>
          <w:szCs w:val="21"/>
        </w:rPr>
        <w:t xml:space="preserve">               </w:t>
      </w:r>
      <w:r w:rsidRPr="002D0778">
        <w:rPr>
          <w:rFonts w:ascii="Times New Roman" w:hAnsi="Times New Roman" w:cs="Times New Roman"/>
          <w:color w:val="000000"/>
          <w:sz w:val="21"/>
          <w:szCs w:val="21"/>
        </w:rPr>
        <w:t>З</w:t>
      </w:r>
      <w:r w:rsidRPr="00883A49">
        <w:rPr>
          <w:rFonts w:ascii="Times New Roman" w:hAnsi="Times New Roman" w:cs="Times New Roman"/>
          <w:color w:val="000000"/>
          <w:sz w:val="21"/>
          <w:szCs w:val="21"/>
          <w:vertAlign w:val="subscript"/>
        </w:rPr>
        <w:t>зп</w:t>
      </w:r>
      <w:r w:rsidRPr="002D0778">
        <w:rPr>
          <w:rFonts w:ascii="Times New Roman" w:hAnsi="Times New Roman" w:cs="Times New Roman"/>
          <w:color w:val="000000"/>
          <w:sz w:val="21"/>
          <w:szCs w:val="21"/>
        </w:rPr>
        <w:t xml:space="preserve"> = (Д +</w:t>
      </w:r>
      <w:r>
        <w:rPr>
          <w:rFonts w:ascii="Times New Roman" w:hAnsi="Times New Roman" w:cs="Times New Roman"/>
          <w:color w:val="000000"/>
          <w:sz w:val="21"/>
          <w:szCs w:val="21"/>
        </w:rPr>
        <w:t xml:space="preserve"> Б</w:t>
      </w:r>
      <w:r w:rsidRPr="00883A49">
        <w:rPr>
          <w:rFonts w:ascii="Times New Roman" w:hAnsi="Times New Roman" w:cs="Times New Roman"/>
          <w:color w:val="000000"/>
          <w:sz w:val="21"/>
          <w:szCs w:val="21"/>
          <w:vertAlign w:val="subscript"/>
        </w:rPr>
        <w:t>л</w:t>
      </w:r>
      <w:r>
        <w:rPr>
          <w:rFonts w:ascii="Times New Roman" w:hAnsi="Times New Roman" w:cs="Times New Roman"/>
          <w:color w:val="000000"/>
          <w:sz w:val="21"/>
          <w:szCs w:val="21"/>
        </w:rPr>
        <w:t>) × Т</w:t>
      </w:r>
      <w:r w:rsidRPr="00883A49">
        <w:rPr>
          <w:rFonts w:ascii="Times New Roman" w:hAnsi="Times New Roman" w:cs="Times New Roman"/>
          <w:color w:val="000000"/>
          <w:sz w:val="21"/>
          <w:szCs w:val="21"/>
          <w:vertAlign w:val="subscript"/>
        </w:rPr>
        <w:t>р</w:t>
      </w:r>
      <w:r>
        <w:rPr>
          <w:rFonts w:ascii="Times New Roman" w:hAnsi="Times New Roman" w:cs="Times New Roman"/>
          <w:color w:val="000000"/>
          <w:sz w:val="21"/>
          <w:szCs w:val="21"/>
        </w:rPr>
        <w:t xml:space="preserve"> + З</w:t>
      </w:r>
      <w:r w:rsidRPr="00883A49">
        <w:rPr>
          <w:rFonts w:ascii="Times New Roman" w:hAnsi="Times New Roman" w:cs="Times New Roman"/>
          <w:color w:val="000000"/>
          <w:sz w:val="21"/>
          <w:szCs w:val="21"/>
          <w:vertAlign w:val="subscript"/>
        </w:rPr>
        <w:t>асм</w:t>
      </w:r>
      <w:r>
        <w:rPr>
          <w:rFonts w:ascii="Times New Roman" w:hAnsi="Times New Roman" w:cs="Times New Roman"/>
          <w:color w:val="000000"/>
          <w:sz w:val="21"/>
          <w:szCs w:val="21"/>
        </w:rPr>
        <w:t xml:space="preserve"> × Ч + З</w:t>
      </w:r>
      <w:r w:rsidRPr="00883A49">
        <w:rPr>
          <w:rFonts w:ascii="Times New Roman" w:hAnsi="Times New Roman" w:cs="Times New Roman"/>
          <w:color w:val="000000"/>
          <w:sz w:val="21"/>
          <w:szCs w:val="21"/>
          <w:vertAlign w:val="subscript"/>
        </w:rPr>
        <w:t>вт</w:t>
      </w:r>
      <w:r>
        <w:rPr>
          <w:rFonts w:ascii="Times New Roman" w:hAnsi="Times New Roman" w:cs="Times New Roman"/>
          <w:color w:val="000000"/>
          <w:sz w:val="21"/>
          <w:szCs w:val="21"/>
        </w:rPr>
        <w:t xml:space="preserve"> × Т</w:t>
      </w:r>
      <w:r w:rsidRPr="00883A49">
        <w:rPr>
          <w:rFonts w:ascii="Times New Roman" w:hAnsi="Times New Roman" w:cs="Times New Roman"/>
          <w:color w:val="000000"/>
          <w:sz w:val="21"/>
          <w:szCs w:val="21"/>
          <w:vertAlign w:val="subscript"/>
        </w:rPr>
        <w:t>к</w:t>
      </w:r>
      <w:r>
        <w:rPr>
          <w:rFonts w:ascii="Times New Roman" w:hAnsi="Times New Roman" w:cs="Times New Roman"/>
          <w:color w:val="000000"/>
          <w:sz w:val="21"/>
          <w:szCs w:val="21"/>
        </w:rPr>
        <w:t xml:space="preserve">                (2.4)</w:t>
      </w:r>
    </w:p>
    <w:p w:rsidR="00B233DE" w:rsidRDefault="00B233DE" w:rsidP="00B233DE">
      <w:pPr>
        <w:tabs>
          <w:tab w:val="left" w:pos="142"/>
        </w:tabs>
        <w:ind w:firstLine="720"/>
        <w:jc w:val="both"/>
        <w:rPr>
          <w:rFonts w:ascii="Times New Roman" w:hAnsi="Times New Roman" w:cs="Times New Roman"/>
          <w:color w:val="000000"/>
          <w:sz w:val="21"/>
          <w:szCs w:val="21"/>
        </w:rPr>
      </w:pP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Pr>
          <w:rFonts w:ascii="Times New Roman" w:hAnsi="Times New Roman" w:cs="Times New Roman"/>
          <w:color w:val="000000"/>
          <w:sz w:val="21"/>
          <w:szCs w:val="21"/>
        </w:rPr>
        <w:t xml:space="preserve">б) </w:t>
      </w:r>
      <w:r w:rsidRPr="002D0778">
        <w:rPr>
          <w:rFonts w:ascii="Times New Roman" w:hAnsi="Times New Roman" w:cs="Times New Roman"/>
          <w:color w:val="000000"/>
          <w:sz w:val="21"/>
          <w:szCs w:val="21"/>
        </w:rPr>
        <w:t>для непрацюючого:</w:t>
      </w:r>
    </w:p>
    <w:p w:rsidR="00B233DE" w:rsidRDefault="00B233DE" w:rsidP="00B233DE">
      <w:pPr>
        <w:tabs>
          <w:tab w:val="left" w:pos="142"/>
        </w:tabs>
        <w:ind w:firstLine="720"/>
        <w:jc w:val="both"/>
        <w:rPr>
          <w:rFonts w:ascii="Times New Roman" w:hAnsi="Times New Roman" w:cs="Times New Roman"/>
          <w:color w:val="000000"/>
          <w:sz w:val="21"/>
          <w:szCs w:val="21"/>
        </w:rPr>
      </w:pPr>
    </w:p>
    <w:p w:rsidR="00B233DE" w:rsidRPr="002D0778" w:rsidRDefault="00B233DE" w:rsidP="00B233DE">
      <w:pPr>
        <w:tabs>
          <w:tab w:val="left" w:pos="142"/>
        </w:tabs>
        <w:ind w:firstLine="720"/>
        <w:jc w:val="center"/>
        <w:rPr>
          <w:rFonts w:ascii="Times New Roman" w:hAnsi="Times New Roman" w:cs="Times New Roman"/>
          <w:color w:val="000000"/>
          <w:sz w:val="21"/>
          <w:szCs w:val="21"/>
        </w:rPr>
      </w:pPr>
      <w:r>
        <w:rPr>
          <w:rFonts w:ascii="Times New Roman" w:hAnsi="Times New Roman" w:cs="Times New Roman"/>
          <w:color w:val="000000"/>
          <w:sz w:val="21"/>
          <w:szCs w:val="21"/>
        </w:rPr>
        <w:t xml:space="preserve">                               З</w:t>
      </w:r>
      <w:r w:rsidRPr="00883A49">
        <w:rPr>
          <w:rFonts w:ascii="Times New Roman" w:hAnsi="Times New Roman" w:cs="Times New Roman"/>
          <w:color w:val="000000"/>
          <w:sz w:val="21"/>
          <w:szCs w:val="21"/>
          <w:vertAlign w:val="subscript"/>
        </w:rPr>
        <w:t>зн</w:t>
      </w:r>
      <w:r>
        <w:rPr>
          <w:rFonts w:ascii="Times New Roman" w:hAnsi="Times New Roman" w:cs="Times New Roman"/>
          <w:color w:val="000000"/>
          <w:sz w:val="21"/>
          <w:szCs w:val="21"/>
        </w:rPr>
        <w:t xml:space="preserve"> = З</w:t>
      </w:r>
      <w:r w:rsidRPr="00883A49">
        <w:rPr>
          <w:rFonts w:ascii="Times New Roman" w:hAnsi="Times New Roman" w:cs="Times New Roman"/>
          <w:color w:val="000000"/>
          <w:sz w:val="21"/>
          <w:szCs w:val="21"/>
          <w:vertAlign w:val="subscript"/>
        </w:rPr>
        <w:t>асм</w:t>
      </w:r>
      <w:r>
        <w:rPr>
          <w:rFonts w:ascii="Times New Roman" w:hAnsi="Times New Roman" w:cs="Times New Roman"/>
          <w:color w:val="000000"/>
          <w:sz w:val="21"/>
          <w:szCs w:val="21"/>
        </w:rPr>
        <w:t xml:space="preserve"> × Ч + З</w:t>
      </w:r>
      <w:r w:rsidRPr="00883A49">
        <w:rPr>
          <w:rFonts w:ascii="Times New Roman" w:hAnsi="Times New Roman" w:cs="Times New Roman"/>
          <w:color w:val="000000"/>
          <w:sz w:val="21"/>
          <w:szCs w:val="21"/>
          <w:vertAlign w:val="subscript"/>
        </w:rPr>
        <w:t>вт</w:t>
      </w:r>
      <w:r>
        <w:rPr>
          <w:rFonts w:ascii="Times New Roman" w:hAnsi="Times New Roman" w:cs="Times New Roman"/>
          <w:color w:val="000000"/>
          <w:sz w:val="21"/>
          <w:szCs w:val="21"/>
        </w:rPr>
        <w:t xml:space="preserve"> × Т</w:t>
      </w:r>
      <w:r w:rsidRPr="00883A49">
        <w:rPr>
          <w:rFonts w:ascii="Times New Roman" w:hAnsi="Times New Roman" w:cs="Times New Roman"/>
          <w:color w:val="000000"/>
          <w:sz w:val="21"/>
          <w:szCs w:val="21"/>
          <w:vertAlign w:val="subscript"/>
        </w:rPr>
        <w:t>к</w:t>
      </w:r>
      <w:r>
        <w:rPr>
          <w:rFonts w:ascii="Times New Roman" w:hAnsi="Times New Roman" w:cs="Times New Roman"/>
          <w:color w:val="000000"/>
          <w:sz w:val="21"/>
          <w:szCs w:val="21"/>
        </w:rPr>
        <w:t xml:space="preserve">                         (2.5)</w:t>
      </w:r>
    </w:p>
    <w:p w:rsidR="00B233DE" w:rsidRDefault="00B233DE" w:rsidP="00B233DE">
      <w:pPr>
        <w:tabs>
          <w:tab w:val="left" w:pos="142"/>
        </w:tabs>
        <w:ind w:firstLine="720"/>
        <w:jc w:val="both"/>
        <w:rPr>
          <w:rFonts w:ascii="Times New Roman" w:hAnsi="Times New Roman" w:cs="Times New Roman"/>
          <w:color w:val="000000"/>
          <w:sz w:val="21"/>
          <w:szCs w:val="21"/>
        </w:rPr>
      </w:pP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 xml:space="preserve">де Д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вартість продукції, виробленої в розрахунку на одного працюючого за один робочий день;</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Б</w:t>
      </w:r>
      <w:r w:rsidRPr="00883A49">
        <w:rPr>
          <w:rFonts w:ascii="Times New Roman" w:hAnsi="Times New Roman" w:cs="Times New Roman"/>
          <w:color w:val="000000"/>
          <w:sz w:val="21"/>
          <w:szCs w:val="21"/>
          <w:vertAlign w:val="subscript"/>
        </w:rPr>
        <w:t>л</w:t>
      </w:r>
      <w:r w:rsidRPr="002D0778">
        <w:rPr>
          <w:rFonts w:ascii="Times New Roman" w:hAnsi="Times New Roman" w:cs="Times New Roman"/>
          <w:color w:val="000000"/>
          <w:sz w:val="21"/>
          <w:szCs w:val="21"/>
        </w:rPr>
        <w:t xml:space="preserve">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середньоденний розмір допомоги по тимчасовій непрацездатності одного працівника;</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Т</w:t>
      </w:r>
      <w:r w:rsidRPr="00883A49">
        <w:rPr>
          <w:rFonts w:ascii="Times New Roman" w:hAnsi="Times New Roman" w:cs="Times New Roman"/>
          <w:color w:val="000000"/>
          <w:sz w:val="21"/>
          <w:szCs w:val="21"/>
          <w:vertAlign w:val="subscript"/>
        </w:rPr>
        <w:t>р</w:t>
      </w:r>
      <w:r w:rsidRPr="002D0778">
        <w:rPr>
          <w:rFonts w:ascii="Times New Roman" w:hAnsi="Times New Roman" w:cs="Times New Roman"/>
          <w:color w:val="000000"/>
          <w:sz w:val="21"/>
          <w:szCs w:val="21"/>
        </w:rPr>
        <w:t xml:space="preserve">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тривалість лікування в робочих днях;</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З</w:t>
      </w:r>
      <w:r w:rsidRPr="00883A49">
        <w:rPr>
          <w:rFonts w:ascii="Times New Roman" w:hAnsi="Times New Roman" w:cs="Times New Roman"/>
          <w:color w:val="000000"/>
          <w:sz w:val="21"/>
          <w:szCs w:val="21"/>
          <w:vertAlign w:val="subscript"/>
        </w:rPr>
        <w:t>асм</w:t>
      </w:r>
      <w:r>
        <w:rPr>
          <w:rFonts w:ascii="Times New Roman" w:hAnsi="Times New Roman" w:cs="Times New Roman"/>
          <w:color w:val="000000"/>
          <w:sz w:val="21"/>
          <w:szCs w:val="21"/>
        </w:rPr>
        <w:t xml:space="preserve"> –</w:t>
      </w:r>
      <w:r w:rsidRPr="002D0778">
        <w:rPr>
          <w:rFonts w:ascii="Times New Roman" w:hAnsi="Times New Roman" w:cs="Times New Roman"/>
          <w:color w:val="000000"/>
          <w:sz w:val="21"/>
          <w:szCs w:val="21"/>
        </w:rPr>
        <w:t xml:space="preserve"> вартість витрат на 1 відвідування в АСМ;</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 xml:space="preserve">Ч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число відвідувань в АСМ;</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З</w:t>
      </w:r>
      <w:r w:rsidRPr="00883A49">
        <w:rPr>
          <w:rFonts w:ascii="Times New Roman" w:hAnsi="Times New Roman" w:cs="Times New Roman"/>
          <w:color w:val="000000"/>
          <w:sz w:val="21"/>
          <w:szCs w:val="21"/>
          <w:vertAlign w:val="subscript"/>
        </w:rPr>
        <w:t>вт</w:t>
      </w:r>
      <w:r w:rsidRPr="002D0778">
        <w:rPr>
          <w:rFonts w:ascii="Times New Roman" w:hAnsi="Times New Roman" w:cs="Times New Roman"/>
          <w:color w:val="000000"/>
          <w:sz w:val="21"/>
          <w:szCs w:val="21"/>
        </w:rPr>
        <w:t xml:space="preserve">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вартість витрат на 1 ліжко-день;</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lastRenderedPageBreak/>
        <w:t>Т</w:t>
      </w:r>
      <w:r w:rsidRPr="00883A49">
        <w:rPr>
          <w:rFonts w:ascii="Times New Roman" w:hAnsi="Times New Roman" w:cs="Times New Roman"/>
          <w:color w:val="000000"/>
          <w:sz w:val="21"/>
          <w:szCs w:val="21"/>
          <w:vertAlign w:val="subscript"/>
        </w:rPr>
        <w:t>к</w:t>
      </w:r>
      <w:r w:rsidRPr="002D0778">
        <w:rPr>
          <w:rFonts w:ascii="Times New Roman" w:hAnsi="Times New Roman" w:cs="Times New Roman"/>
          <w:color w:val="000000"/>
          <w:sz w:val="21"/>
          <w:szCs w:val="21"/>
        </w:rPr>
        <w:t xml:space="preserve">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тривалість лікування в календарних днях.</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Економічний збиток від інвалідності (у розрахунку на одного інваліда) розраховується за наступною формулою:</w:t>
      </w:r>
    </w:p>
    <w:p w:rsidR="00B233DE" w:rsidRDefault="00B233DE" w:rsidP="00B233DE">
      <w:pPr>
        <w:tabs>
          <w:tab w:val="left" w:pos="142"/>
        </w:tabs>
        <w:ind w:firstLine="720"/>
        <w:jc w:val="both"/>
        <w:rPr>
          <w:rFonts w:ascii="Times New Roman" w:hAnsi="Times New Roman" w:cs="Times New Roman"/>
          <w:color w:val="000000"/>
          <w:sz w:val="21"/>
          <w:szCs w:val="21"/>
        </w:rPr>
      </w:pP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Pr>
          <w:rFonts w:ascii="Times New Roman" w:hAnsi="Times New Roman" w:cs="Times New Roman"/>
          <w:color w:val="000000"/>
          <w:sz w:val="21"/>
          <w:szCs w:val="21"/>
        </w:rPr>
        <w:t xml:space="preserve">                          З</w:t>
      </w:r>
      <w:r w:rsidRPr="00883A49">
        <w:rPr>
          <w:rFonts w:ascii="Times New Roman" w:hAnsi="Times New Roman" w:cs="Times New Roman"/>
          <w:color w:val="000000"/>
          <w:sz w:val="21"/>
          <w:szCs w:val="21"/>
          <w:vertAlign w:val="subscript"/>
        </w:rPr>
        <w:t>і</w:t>
      </w:r>
      <w:r>
        <w:rPr>
          <w:rFonts w:ascii="Times New Roman" w:hAnsi="Times New Roman" w:cs="Times New Roman"/>
          <w:color w:val="000000"/>
          <w:sz w:val="21"/>
          <w:szCs w:val="21"/>
        </w:rPr>
        <w:t xml:space="preserve"> = Д × Т</w:t>
      </w:r>
      <w:r w:rsidRPr="00883A49">
        <w:rPr>
          <w:rFonts w:ascii="Times New Roman" w:hAnsi="Times New Roman" w:cs="Times New Roman"/>
          <w:color w:val="000000"/>
          <w:sz w:val="21"/>
          <w:szCs w:val="21"/>
          <w:vertAlign w:val="subscript"/>
        </w:rPr>
        <w:t>р</w:t>
      </w:r>
      <w:r>
        <w:rPr>
          <w:rFonts w:ascii="Times New Roman" w:hAnsi="Times New Roman" w:cs="Times New Roman"/>
          <w:color w:val="000000"/>
          <w:sz w:val="21"/>
          <w:szCs w:val="21"/>
        </w:rPr>
        <w:t xml:space="preserve"> + (П + С + Л) × Т</w:t>
      </w:r>
      <w:r w:rsidRPr="00883A49">
        <w:rPr>
          <w:rFonts w:ascii="Times New Roman" w:hAnsi="Times New Roman" w:cs="Times New Roman"/>
          <w:color w:val="000000"/>
          <w:sz w:val="21"/>
          <w:szCs w:val="21"/>
          <w:vertAlign w:val="subscript"/>
        </w:rPr>
        <w:t>к</w:t>
      </w:r>
      <w:r>
        <w:rPr>
          <w:rFonts w:ascii="Times New Roman" w:hAnsi="Times New Roman" w:cs="Times New Roman"/>
          <w:color w:val="000000"/>
          <w:sz w:val="21"/>
          <w:szCs w:val="21"/>
        </w:rPr>
        <w:t xml:space="preserve">                  (2.6)</w:t>
      </w:r>
    </w:p>
    <w:p w:rsidR="00B233DE" w:rsidRDefault="00B233DE" w:rsidP="00B233DE">
      <w:pPr>
        <w:tabs>
          <w:tab w:val="left" w:pos="142"/>
        </w:tabs>
        <w:ind w:firstLine="720"/>
        <w:jc w:val="both"/>
        <w:rPr>
          <w:rFonts w:ascii="Times New Roman" w:hAnsi="Times New Roman" w:cs="Times New Roman"/>
          <w:color w:val="000000"/>
          <w:sz w:val="21"/>
          <w:szCs w:val="21"/>
        </w:rPr>
      </w:pP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 xml:space="preserve">де Д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вартість продукції, недовиробленої в результаті інвалідності (за один робочий день);</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Т</w:t>
      </w:r>
      <w:r w:rsidRPr="00883A49">
        <w:rPr>
          <w:rFonts w:ascii="Times New Roman" w:hAnsi="Times New Roman" w:cs="Times New Roman"/>
          <w:color w:val="000000"/>
          <w:sz w:val="21"/>
          <w:szCs w:val="21"/>
          <w:vertAlign w:val="subscript"/>
        </w:rPr>
        <w:t>р</w:t>
      </w:r>
      <w:r w:rsidRPr="002D0778">
        <w:rPr>
          <w:rFonts w:ascii="Times New Roman" w:hAnsi="Times New Roman" w:cs="Times New Roman"/>
          <w:color w:val="000000"/>
          <w:sz w:val="21"/>
          <w:szCs w:val="21"/>
        </w:rPr>
        <w:t xml:space="preserve">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число робочих днів, втрачених по інвалідності;</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 xml:space="preserve">П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розмір пенсії по інвалідності в день;</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 xml:space="preserve">С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розмір соціальних пільг в день;</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 xml:space="preserve">Л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витрати на медичне обслуговування інваліда на день;</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Т</w:t>
      </w:r>
      <w:r w:rsidRPr="00883A49">
        <w:rPr>
          <w:rFonts w:ascii="Times New Roman" w:hAnsi="Times New Roman" w:cs="Times New Roman"/>
          <w:color w:val="000000"/>
          <w:sz w:val="21"/>
          <w:szCs w:val="21"/>
          <w:vertAlign w:val="subscript"/>
        </w:rPr>
        <w:t>к</w:t>
      </w:r>
      <w:r w:rsidRPr="002D0778">
        <w:rPr>
          <w:rFonts w:ascii="Times New Roman" w:hAnsi="Times New Roman" w:cs="Times New Roman"/>
          <w:color w:val="000000"/>
          <w:sz w:val="21"/>
          <w:szCs w:val="21"/>
        </w:rPr>
        <w:t xml:space="preserve">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число календарних днів, проведених за інвалідністю.</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Розрахунок економічного збитку на одного працюючого і непрацюючого інвалі</w:t>
      </w:r>
      <w:r>
        <w:rPr>
          <w:rFonts w:ascii="Times New Roman" w:hAnsi="Times New Roman" w:cs="Times New Roman"/>
          <w:color w:val="000000"/>
          <w:sz w:val="21"/>
          <w:szCs w:val="21"/>
        </w:rPr>
        <w:t>дів має відмінності, пов’</w:t>
      </w:r>
      <w:r w:rsidRPr="002D0778">
        <w:rPr>
          <w:rFonts w:ascii="Times New Roman" w:hAnsi="Times New Roman" w:cs="Times New Roman"/>
          <w:color w:val="000000"/>
          <w:sz w:val="21"/>
          <w:szCs w:val="21"/>
        </w:rPr>
        <w:t>язані, насамперед, з необхідністю врахування додаткових витрат на професійну пере</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підготовку та підбір відповідної професії для працюючого інваліда, </w:t>
      </w:r>
      <w:r w:rsidRPr="00883A49">
        <w:rPr>
          <w:rFonts w:ascii="Times New Roman" w:hAnsi="Times New Roman" w:cs="Times New Roman"/>
          <w:color w:val="000000"/>
          <w:spacing w:val="-4"/>
          <w:sz w:val="21"/>
          <w:szCs w:val="21"/>
        </w:rPr>
        <w:t>різниці вартості продукції, виробленої на колишній і новій роботі і ін.</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 xml:space="preserve">Економічний збиток від смертності в працездатному віці (у розрахунку на одну людину) </w:t>
      </w:r>
      <w:r>
        <w:rPr>
          <w:rFonts w:ascii="Times New Roman" w:hAnsi="Times New Roman" w:cs="Times New Roman"/>
          <w:color w:val="000000"/>
          <w:sz w:val="21"/>
          <w:szCs w:val="21"/>
        </w:rPr>
        <w:t>визначається</w:t>
      </w:r>
      <w:r w:rsidRPr="002D0778">
        <w:rPr>
          <w:rFonts w:ascii="Times New Roman" w:hAnsi="Times New Roman" w:cs="Times New Roman"/>
          <w:color w:val="000000"/>
          <w:sz w:val="21"/>
          <w:szCs w:val="21"/>
        </w:rPr>
        <w:t xml:space="preserve"> за такими формулами:</w:t>
      </w:r>
    </w:p>
    <w:p w:rsidR="00B233DE" w:rsidRDefault="00B233DE" w:rsidP="00B233DE">
      <w:pPr>
        <w:tabs>
          <w:tab w:val="left" w:pos="142"/>
        </w:tabs>
        <w:ind w:firstLine="720"/>
        <w:jc w:val="both"/>
        <w:rPr>
          <w:rFonts w:ascii="Times New Roman" w:hAnsi="Times New Roman" w:cs="Times New Roman"/>
          <w:color w:val="000000"/>
          <w:sz w:val="21"/>
          <w:szCs w:val="21"/>
        </w:rPr>
      </w:pPr>
      <w:r>
        <w:rPr>
          <w:rFonts w:ascii="Times New Roman" w:hAnsi="Times New Roman" w:cs="Times New Roman"/>
          <w:color w:val="000000"/>
          <w:sz w:val="21"/>
          <w:szCs w:val="21"/>
        </w:rPr>
        <w:t xml:space="preserve">а) </w:t>
      </w:r>
      <w:r w:rsidRPr="002D0778">
        <w:rPr>
          <w:rFonts w:ascii="Times New Roman" w:hAnsi="Times New Roman" w:cs="Times New Roman"/>
          <w:color w:val="000000"/>
          <w:sz w:val="21"/>
          <w:szCs w:val="21"/>
        </w:rPr>
        <w:t xml:space="preserve">для чоловіків: </w:t>
      </w:r>
    </w:p>
    <w:p w:rsidR="00B233DE" w:rsidRDefault="00B233DE" w:rsidP="00B233DE">
      <w:pPr>
        <w:tabs>
          <w:tab w:val="left" w:pos="142"/>
        </w:tabs>
        <w:ind w:firstLine="720"/>
        <w:jc w:val="both"/>
        <w:rPr>
          <w:rFonts w:ascii="Times New Roman" w:hAnsi="Times New Roman" w:cs="Times New Roman"/>
          <w:color w:val="000000"/>
          <w:sz w:val="21"/>
          <w:szCs w:val="21"/>
        </w:rPr>
      </w:pPr>
    </w:p>
    <w:p w:rsidR="00B233DE" w:rsidRPr="002D0778" w:rsidRDefault="00B233DE" w:rsidP="00B233DE">
      <w:pPr>
        <w:tabs>
          <w:tab w:val="left" w:pos="142"/>
        </w:tabs>
        <w:ind w:firstLine="720"/>
        <w:jc w:val="center"/>
        <w:rPr>
          <w:rFonts w:ascii="Times New Roman" w:hAnsi="Times New Roman" w:cs="Times New Roman"/>
          <w:color w:val="000000"/>
          <w:sz w:val="21"/>
          <w:szCs w:val="21"/>
        </w:rPr>
      </w:pPr>
      <w:r>
        <w:rPr>
          <w:rFonts w:ascii="Times New Roman" w:hAnsi="Times New Roman" w:cs="Times New Roman"/>
          <w:color w:val="000000"/>
          <w:sz w:val="21"/>
          <w:szCs w:val="21"/>
        </w:rPr>
        <w:t xml:space="preserve">                                 З</w:t>
      </w:r>
      <w:r w:rsidRPr="00883A49">
        <w:rPr>
          <w:rFonts w:ascii="Times New Roman" w:hAnsi="Times New Roman" w:cs="Times New Roman"/>
          <w:color w:val="000000"/>
          <w:sz w:val="21"/>
          <w:szCs w:val="21"/>
          <w:vertAlign w:val="subscript"/>
        </w:rPr>
        <w:t>сч</w:t>
      </w:r>
      <w:r>
        <w:rPr>
          <w:rFonts w:ascii="Times New Roman" w:hAnsi="Times New Roman" w:cs="Times New Roman"/>
          <w:color w:val="000000"/>
          <w:sz w:val="21"/>
          <w:szCs w:val="21"/>
        </w:rPr>
        <w:t xml:space="preserve"> = (60 – V) × Д                                (2.7)</w:t>
      </w:r>
    </w:p>
    <w:p w:rsidR="00B233DE" w:rsidRDefault="00B233DE" w:rsidP="00B233DE">
      <w:pPr>
        <w:tabs>
          <w:tab w:val="left" w:pos="142"/>
        </w:tabs>
        <w:ind w:firstLine="720"/>
        <w:jc w:val="both"/>
        <w:rPr>
          <w:rFonts w:ascii="Times New Roman" w:hAnsi="Times New Roman" w:cs="Times New Roman"/>
          <w:color w:val="000000"/>
          <w:sz w:val="21"/>
          <w:szCs w:val="21"/>
        </w:rPr>
      </w:pPr>
    </w:p>
    <w:p w:rsidR="00B233DE" w:rsidRDefault="00B233DE" w:rsidP="00B233DE">
      <w:pPr>
        <w:tabs>
          <w:tab w:val="left" w:pos="142"/>
        </w:tabs>
        <w:ind w:firstLine="720"/>
        <w:jc w:val="both"/>
        <w:rPr>
          <w:rFonts w:ascii="Times New Roman" w:hAnsi="Times New Roman" w:cs="Times New Roman"/>
          <w:color w:val="000000"/>
          <w:sz w:val="21"/>
          <w:szCs w:val="21"/>
        </w:rPr>
      </w:pPr>
      <w:r>
        <w:rPr>
          <w:rFonts w:ascii="Times New Roman" w:hAnsi="Times New Roman" w:cs="Times New Roman"/>
          <w:color w:val="000000"/>
          <w:sz w:val="21"/>
          <w:szCs w:val="21"/>
        </w:rPr>
        <w:t xml:space="preserve">б) </w:t>
      </w:r>
      <w:r w:rsidRPr="002D0778">
        <w:rPr>
          <w:rFonts w:ascii="Times New Roman" w:hAnsi="Times New Roman" w:cs="Times New Roman"/>
          <w:color w:val="000000"/>
          <w:sz w:val="21"/>
          <w:szCs w:val="21"/>
        </w:rPr>
        <w:t xml:space="preserve">для жінок: </w:t>
      </w:r>
    </w:p>
    <w:p w:rsidR="00B233DE" w:rsidRDefault="00B233DE" w:rsidP="00B233DE">
      <w:pPr>
        <w:tabs>
          <w:tab w:val="left" w:pos="142"/>
        </w:tabs>
        <w:ind w:firstLine="720"/>
        <w:jc w:val="both"/>
        <w:rPr>
          <w:rFonts w:ascii="Times New Roman" w:hAnsi="Times New Roman" w:cs="Times New Roman"/>
          <w:color w:val="000000"/>
          <w:sz w:val="21"/>
          <w:szCs w:val="21"/>
        </w:rPr>
      </w:pP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Pr>
          <w:rFonts w:ascii="Times New Roman" w:hAnsi="Times New Roman" w:cs="Times New Roman"/>
          <w:color w:val="000000"/>
          <w:sz w:val="21"/>
          <w:szCs w:val="21"/>
        </w:rPr>
        <w:t xml:space="preserve">                                  З</w:t>
      </w:r>
      <w:r w:rsidRPr="00883A49">
        <w:rPr>
          <w:rFonts w:ascii="Times New Roman" w:hAnsi="Times New Roman" w:cs="Times New Roman"/>
          <w:color w:val="000000"/>
          <w:sz w:val="21"/>
          <w:szCs w:val="21"/>
          <w:vertAlign w:val="subscript"/>
        </w:rPr>
        <w:t>сж</w:t>
      </w:r>
      <w:r>
        <w:rPr>
          <w:rFonts w:ascii="Times New Roman" w:hAnsi="Times New Roman" w:cs="Times New Roman"/>
          <w:color w:val="000000"/>
          <w:sz w:val="21"/>
          <w:szCs w:val="21"/>
        </w:rPr>
        <w:t xml:space="preserve"> = (55 – V) × Д                              (2.8)</w:t>
      </w:r>
    </w:p>
    <w:p w:rsidR="00B233DE" w:rsidRDefault="00B233DE" w:rsidP="00B233DE">
      <w:pPr>
        <w:tabs>
          <w:tab w:val="left" w:pos="142"/>
        </w:tabs>
        <w:ind w:firstLine="720"/>
        <w:jc w:val="both"/>
        <w:rPr>
          <w:rFonts w:ascii="Times New Roman" w:hAnsi="Times New Roman" w:cs="Times New Roman"/>
          <w:color w:val="000000"/>
          <w:sz w:val="21"/>
          <w:szCs w:val="21"/>
        </w:rPr>
      </w:pP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 xml:space="preserve">де V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вік померлого;</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 xml:space="preserve">Д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середньорічна вартість продукції, недовиробленої в результаті передчасної смертності.</w:t>
      </w:r>
    </w:p>
    <w:p w:rsidR="00B233DE"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Розрахувавши сумарний економічний збиток внаслідок захворюваності, інвалідності, смертності в працездатному віці, можна знайти економічний ефект (попереджений економічний збиток) ді</w:t>
      </w:r>
      <w:r>
        <w:rPr>
          <w:rFonts w:ascii="Times New Roman" w:hAnsi="Times New Roman" w:cs="Times New Roman"/>
          <w:color w:val="000000"/>
          <w:sz w:val="21"/>
          <w:szCs w:val="21"/>
        </w:rPr>
        <w:t>яльності системи охорони здоров’</w:t>
      </w:r>
      <w:r w:rsidRPr="002D0778">
        <w:rPr>
          <w:rFonts w:ascii="Times New Roman" w:hAnsi="Times New Roman" w:cs="Times New Roman"/>
          <w:color w:val="000000"/>
          <w:sz w:val="21"/>
          <w:szCs w:val="21"/>
        </w:rPr>
        <w:t>я, який розраховується як різниця сумарного економічного збитку до і після реалізації комплексу медичних та санітарно-епідеміологічних заходів:</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p>
    <w:p w:rsidR="00B233DE" w:rsidRPr="002D0778" w:rsidRDefault="00B233DE" w:rsidP="00B233DE">
      <w:pPr>
        <w:tabs>
          <w:tab w:val="left" w:pos="142"/>
        </w:tabs>
        <w:ind w:firstLine="720"/>
        <w:jc w:val="center"/>
        <w:rPr>
          <w:rFonts w:ascii="Times New Roman" w:hAnsi="Times New Roman" w:cs="Times New Roman"/>
          <w:color w:val="000000"/>
          <w:sz w:val="21"/>
          <w:szCs w:val="21"/>
        </w:rPr>
      </w:pPr>
      <w:r>
        <w:rPr>
          <w:rFonts w:ascii="Times New Roman" w:hAnsi="Times New Roman" w:cs="Times New Roman"/>
          <w:color w:val="000000"/>
          <w:sz w:val="21"/>
          <w:szCs w:val="21"/>
        </w:rPr>
        <w:t xml:space="preserve">                                         Е = З</w:t>
      </w:r>
      <w:r w:rsidRPr="00CC5E3B">
        <w:rPr>
          <w:rFonts w:ascii="Times New Roman" w:hAnsi="Times New Roman" w:cs="Times New Roman"/>
          <w:color w:val="000000"/>
          <w:sz w:val="21"/>
          <w:szCs w:val="21"/>
          <w:vertAlign w:val="subscript"/>
        </w:rPr>
        <w:t>1</w:t>
      </w:r>
      <w:r>
        <w:rPr>
          <w:rFonts w:ascii="Times New Roman" w:hAnsi="Times New Roman" w:cs="Times New Roman"/>
          <w:color w:val="000000"/>
          <w:sz w:val="21"/>
          <w:szCs w:val="21"/>
        </w:rPr>
        <w:t xml:space="preserve"> – З</w:t>
      </w:r>
      <w:r w:rsidRPr="00CC5E3B">
        <w:rPr>
          <w:rFonts w:ascii="Times New Roman" w:hAnsi="Times New Roman" w:cs="Times New Roman"/>
          <w:color w:val="000000"/>
          <w:sz w:val="21"/>
          <w:szCs w:val="21"/>
          <w:vertAlign w:val="subscript"/>
        </w:rPr>
        <w:t>2</w:t>
      </w:r>
      <w:r>
        <w:rPr>
          <w:rFonts w:ascii="Times New Roman" w:hAnsi="Times New Roman" w:cs="Times New Roman"/>
          <w:color w:val="000000"/>
          <w:sz w:val="21"/>
          <w:szCs w:val="21"/>
        </w:rPr>
        <w:t xml:space="preserve">                                    (2.9)</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lastRenderedPageBreak/>
        <w:t>де З</w:t>
      </w:r>
      <w:r w:rsidRPr="00CC5E3B">
        <w:rPr>
          <w:rFonts w:ascii="Times New Roman" w:hAnsi="Times New Roman" w:cs="Times New Roman"/>
          <w:color w:val="000000"/>
          <w:sz w:val="21"/>
          <w:szCs w:val="21"/>
          <w:vertAlign w:val="subscript"/>
        </w:rPr>
        <w:t>1</w:t>
      </w:r>
      <w:r w:rsidRPr="002D0778">
        <w:rPr>
          <w:rFonts w:ascii="Times New Roman" w:hAnsi="Times New Roman" w:cs="Times New Roman"/>
          <w:color w:val="000000"/>
          <w:sz w:val="21"/>
          <w:szCs w:val="21"/>
        </w:rPr>
        <w:t xml:space="preserve">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сумарний економічний збиток до реалізації комплексу медичних та санітарно-епідеміологічних заходів;</w:t>
      </w:r>
    </w:p>
    <w:p w:rsidR="00B233DE" w:rsidRPr="002D0778" w:rsidRDefault="00B233DE" w:rsidP="00B233DE">
      <w:pPr>
        <w:tabs>
          <w:tab w:val="left" w:pos="142"/>
        </w:tabs>
        <w:ind w:firstLine="720"/>
        <w:jc w:val="both"/>
        <w:rPr>
          <w:rFonts w:ascii="Times New Roman" w:hAnsi="Times New Roman" w:cs="Times New Roman"/>
          <w:color w:val="000000"/>
          <w:sz w:val="21"/>
          <w:szCs w:val="21"/>
        </w:rPr>
      </w:pPr>
      <w:r w:rsidRPr="002D0778">
        <w:rPr>
          <w:rFonts w:ascii="Times New Roman" w:hAnsi="Times New Roman" w:cs="Times New Roman"/>
          <w:color w:val="000000"/>
          <w:sz w:val="21"/>
          <w:szCs w:val="21"/>
        </w:rPr>
        <w:t>З</w:t>
      </w:r>
      <w:r w:rsidRPr="00CC5E3B">
        <w:rPr>
          <w:rFonts w:ascii="Times New Roman" w:hAnsi="Times New Roman" w:cs="Times New Roman"/>
          <w:color w:val="000000"/>
          <w:sz w:val="21"/>
          <w:szCs w:val="21"/>
          <w:vertAlign w:val="subscript"/>
        </w:rPr>
        <w:t>2</w:t>
      </w:r>
      <w:r w:rsidRPr="002D0778">
        <w:rPr>
          <w:rFonts w:ascii="Times New Roman" w:hAnsi="Times New Roman" w:cs="Times New Roman"/>
          <w:color w:val="000000"/>
          <w:sz w:val="21"/>
          <w:szCs w:val="21"/>
        </w:rPr>
        <w:t xml:space="preserve"> </w:t>
      </w:r>
      <w:r>
        <w:rPr>
          <w:rFonts w:ascii="Times New Roman" w:hAnsi="Times New Roman" w:cs="Times New Roman"/>
          <w:color w:val="000000"/>
          <w:sz w:val="21"/>
          <w:szCs w:val="21"/>
        </w:rPr>
        <w:t>–</w:t>
      </w:r>
      <w:r w:rsidRPr="002D0778">
        <w:rPr>
          <w:rFonts w:ascii="Times New Roman" w:hAnsi="Times New Roman" w:cs="Times New Roman"/>
          <w:color w:val="000000"/>
          <w:sz w:val="21"/>
          <w:szCs w:val="21"/>
        </w:rPr>
        <w:t xml:space="preserve"> сумарний економічний збиток після реалізації комплексу медичних та санітарно-епідеміологічних заходів.</w:t>
      </w:r>
    </w:p>
    <w:p w:rsidR="00B233DE" w:rsidRDefault="00B233DE" w:rsidP="00B233DE">
      <w:pPr>
        <w:autoSpaceDE w:val="0"/>
        <w:autoSpaceDN w:val="0"/>
        <w:adjustRightInd w:val="0"/>
        <w:ind w:firstLine="720"/>
        <w:jc w:val="both"/>
        <w:rPr>
          <w:rFonts w:ascii="Times New Roman" w:hAnsi="Times New Roman" w:cs="Times New Roman"/>
          <w:sz w:val="21"/>
          <w:szCs w:val="21"/>
        </w:rPr>
      </w:pPr>
      <w:r w:rsidRPr="002D0778">
        <w:rPr>
          <w:rFonts w:ascii="Times New Roman" w:hAnsi="Times New Roman" w:cs="Times New Roman"/>
          <w:sz w:val="21"/>
          <w:szCs w:val="21"/>
        </w:rPr>
        <w:t xml:space="preserve">Узагальнюючи, можна констатувати, що система охорони здоров’я є сукупністю усіх організацій, інститутів і ресурсів, головною метою яких є зміцнення, підтримка або відновлення здоров’я. Основними завданнями реформування системи охорони здоров’я слід визначити поліпшення здоров’я населення, відповідність запитам та потребам людей, забезпечення справедливості в розподілі фінансових ресурсів. У такому контексті, пріоритетною умовою для успішного функціонування системи охорони здоров’я є ефективна нормативно-правова база, що включає комплекс ресурсів, таких як фінансові, кадрові, матеріально-технічні, управління та керівництво, технології, а основними цінностями – справедливість, солідарність, участь населення та етичний підхід до розвитку системи. </w:t>
      </w:r>
    </w:p>
    <w:p w:rsidR="00B233DE" w:rsidRPr="002D0778" w:rsidRDefault="00B233DE" w:rsidP="00B233DE">
      <w:pPr>
        <w:autoSpaceDE w:val="0"/>
        <w:autoSpaceDN w:val="0"/>
        <w:adjustRightInd w:val="0"/>
        <w:ind w:firstLine="720"/>
        <w:jc w:val="both"/>
        <w:rPr>
          <w:rFonts w:ascii="Times New Roman" w:hAnsi="Times New Roman" w:cs="Times New Roman"/>
          <w:sz w:val="21"/>
          <w:szCs w:val="21"/>
        </w:rPr>
      </w:pPr>
      <w:r w:rsidRPr="002D0778">
        <w:rPr>
          <w:rFonts w:ascii="Times New Roman" w:hAnsi="Times New Roman" w:cs="Times New Roman"/>
          <w:sz w:val="21"/>
          <w:szCs w:val="21"/>
        </w:rPr>
        <w:t>Отже, прогрес у досягненні реформування системи охорони здоров’я безпосередньо залежить від ефективного виконання ключових функцій, а саме: спрямовуючого керівництва, формування ресурсів, надання послуг та фінансування.</w:t>
      </w:r>
    </w:p>
    <w:p w:rsidR="00B233DE" w:rsidRDefault="00B233DE" w:rsidP="00B233DE">
      <w:pPr>
        <w:jc w:val="both"/>
        <w:rPr>
          <w:rFonts w:ascii="Times New Roman" w:hAnsi="Times New Roman" w:cs="Times New Roman"/>
          <w:sz w:val="21"/>
          <w:szCs w:val="21"/>
        </w:rPr>
      </w:pPr>
    </w:p>
    <w:p w:rsidR="00B233DE" w:rsidRDefault="00B233DE" w:rsidP="00B233DE">
      <w:pPr>
        <w:jc w:val="both"/>
        <w:rPr>
          <w:rFonts w:ascii="Times New Roman" w:hAnsi="Times New Roman" w:cs="Times New Roman"/>
          <w:sz w:val="21"/>
          <w:szCs w:val="21"/>
        </w:rPr>
      </w:pPr>
    </w:p>
    <w:p w:rsidR="00B233DE" w:rsidRPr="00E20C1F" w:rsidRDefault="00B233DE" w:rsidP="00B233DE">
      <w:pPr>
        <w:pStyle w:val="afb"/>
        <w:shd w:val="clear" w:color="auto" w:fill="auto"/>
        <w:tabs>
          <w:tab w:val="left" w:pos="394"/>
          <w:tab w:val="left" w:pos="426"/>
        </w:tabs>
        <w:spacing w:before="0" w:line="240" w:lineRule="auto"/>
        <w:ind w:right="40" w:firstLine="709"/>
        <w:contextualSpacing/>
        <w:jc w:val="center"/>
        <w:rPr>
          <w:b/>
          <w:sz w:val="21"/>
          <w:szCs w:val="21"/>
          <w:lang w:val="ru-RU"/>
        </w:rPr>
      </w:pPr>
      <w:r w:rsidRPr="00E20C1F">
        <w:rPr>
          <w:rFonts w:ascii="UkrainianPeterburg" w:hAnsi="UkrainianPeterburg"/>
          <w:b/>
          <w:sz w:val="21"/>
          <w:szCs w:val="21"/>
        </w:rPr>
        <w:t>2.4. Аналіз стану соціально-демографічного потенціалу Подільського регіону</w:t>
      </w:r>
    </w:p>
    <w:p w:rsidR="00B233DE" w:rsidRDefault="00B233DE" w:rsidP="00B233DE">
      <w:pPr>
        <w:ind w:firstLine="709"/>
        <w:jc w:val="center"/>
        <w:rPr>
          <w:rFonts w:ascii="Times New Roman" w:hAnsi="Times New Roman" w:cs="Times New Roman"/>
          <w:sz w:val="21"/>
          <w:szCs w:val="21"/>
        </w:rPr>
      </w:pPr>
    </w:p>
    <w:p w:rsidR="00B233DE" w:rsidRDefault="00B233DE" w:rsidP="00B233DE">
      <w:pPr>
        <w:jc w:val="both"/>
        <w:rPr>
          <w:rFonts w:ascii="Times New Roman" w:hAnsi="Times New Roman" w:cs="Times New Roman"/>
          <w:sz w:val="21"/>
          <w:szCs w:val="21"/>
        </w:rPr>
      </w:pPr>
    </w:p>
    <w:p w:rsidR="00B233DE" w:rsidRPr="00CC5E3B"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t>Демографічна ситуація, що склалася в Вінницькій області та Україні, цілком обґрунтовано викликає занепокоєння як державних чиновників, так і широких верств суспільства. Скорочення чисельності населення, низька тривалість життя і стрімке падіння народжуваності, від’ємне сальдо міграції, що стали характерними ознаками демографічних процесів упродовж останніх двох десятиріч, дають підстави для висновку про наявність у країні демографічної кризи.</w:t>
      </w:r>
    </w:p>
    <w:p w:rsidR="00B233DE" w:rsidRPr="00CC5E3B"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t xml:space="preserve">Найвиразнішим проявом демографічної кризи є суттєве скорочення чисельності населення, яке супроводжується деформацією процесів його відтворення. Тому для запровадження дієвої демографічної політики, спрямованої на підвищення рівня та </w:t>
      </w:r>
      <w:r w:rsidRPr="00CC5E3B">
        <w:rPr>
          <w:rFonts w:ascii="Times New Roman" w:hAnsi="Times New Roman" w:cs="Times New Roman"/>
          <w:sz w:val="21"/>
          <w:szCs w:val="21"/>
        </w:rPr>
        <w:lastRenderedPageBreak/>
        <w:t>поліпшення якості життя населення, необхідно здійснювати комплексні дослідження реальної демографічної ситуації як на національному, так і на регіональному рівнях.</w:t>
      </w:r>
    </w:p>
    <w:p w:rsidR="00B233DE" w:rsidRPr="00CC5E3B"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t xml:space="preserve">Вглядаючись у наше минуле, слід згадати Першу та Другу світові війни, три голодомори (1921, 1932–1933, 1947 рр.), форсовану індустріалізацію, примусову колективізацію, масові репресії 1930–1950-х років, Чорнобильську катастрофу. Викликають також занепокоєння події в Україні, які відбуваються </w:t>
      </w:r>
      <w:r>
        <w:rPr>
          <w:rFonts w:ascii="Times New Roman" w:hAnsi="Times New Roman" w:cs="Times New Roman"/>
          <w:sz w:val="21"/>
          <w:szCs w:val="21"/>
        </w:rPr>
        <w:t>на протязі двох останніх років на сході України.</w:t>
      </w:r>
    </w:p>
    <w:p w:rsidR="00B233DE" w:rsidRPr="00CC5E3B"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t>Усі вони вкрай негативно вплинули на природний процес демографічної еволюції, призвели до помітних деформацій вікової структури населення, підвищеної смертності. У поєднанні з низьким рівнем народжуваності впродовж 20-річного періоду це зумовило вичерпання демографічного та відтворювального потенціалу і, врешті-решт, не могло не призвести до депопуляції. Наростання негативної демографічної динаміки істотно прискорилося через економічну кризу 1990-х років. Незважаючи на певні позитивні зрушення, демографічна ситуація в регіоні та країні залишається складною і несприятливою для майбутнього розвитку держави. Відсутні об’єктивні умови для призупинення наявної тенденції скорочення загальної чисельності населення.</w:t>
      </w:r>
    </w:p>
    <w:p w:rsidR="00B233DE" w:rsidRPr="008E7990"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t xml:space="preserve">Соціально-економічна перебудова суспільства в Україні спричинила гострі проблеми. Їхнє вирішення передбачає розробку науково обґрунтованої комплексної програми подолання демографічної кризи, яка б охоплювала не тільки питання простого відтворення населення, але й його розвитку у </w:t>
      </w:r>
      <w:r>
        <w:rPr>
          <w:rFonts w:ascii="Times New Roman" w:hAnsi="Times New Roman" w:cs="Times New Roman"/>
          <w:sz w:val="21"/>
          <w:szCs w:val="21"/>
        </w:rPr>
        <w:t>широкому соціальному контексті.</w:t>
      </w:r>
    </w:p>
    <w:p w:rsidR="00B233DE" w:rsidRPr="00CC5E3B" w:rsidRDefault="00B233DE" w:rsidP="00B233DE">
      <w:pPr>
        <w:ind w:firstLine="709"/>
        <w:jc w:val="both"/>
        <w:rPr>
          <w:rFonts w:ascii="Times New Roman" w:hAnsi="Times New Roman" w:cs="Times New Roman"/>
          <w:sz w:val="21"/>
          <w:szCs w:val="21"/>
        </w:rPr>
      </w:pPr>
      <w:r w:rsidRPr="008E7990">
        <w:rPr>
          <w:rFonts w:ascii="Times New Roman" w:hAnsi="Times New Roman" w:cs="Times New Roman"/>
          <w:sz w:val="21"/>
          <w:szCs w:val="21"/>
        </w:rPr>
        <w:t>Чисельність населення – моментний показник, тобто належить завжди до точного моменту часу. Не можна сказати: населення в такому-то році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_Ref435781236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17</w:t>
      </w:r>
      <w:r>
        <w:rPr>
          <w:rFonts w:ascii="Times New Roman" w:hAnsi="Times New Roman"/>
          <w:sz w:val="21"/>
          <w:szCs w:val="21"/>
          <w:highlight w:val="yellow"/>
        </w:rPr>
        <w:fldChar w:fldCharType="end"/>
      </w:r>
      <w:r w:rsidRPr="00CC5E3B">
        <w:rPr>
          <w:rFonts w:ascii="Times New Roman" w:hAnsi="Times New Roman" w:cs="Times New Roman"/>
          <w:sz w:val="21"/>
          <w:szCs w:val="21"/>
        </w:rPr>
        <w:t>,</w:t>
      </w:r>
      <w:r>
        <w:rPr>
          <w:rFonts w:ascii="Times New Roman" w:hAnsi="Times New Roman" w:cs="Times New Roman"/>
          <w:sz w:val="21"/>
          <w:szCs w:val="21"/>
        </w:rPr>
        <w:t xml:space="preserve"> </w:t>
      </w:r>
      <w:r w:rsidRPr="00CC5E3B">
        <w:rPr>
          <w:rFonts w:ascii="Times New Roman" w:hAnsi="Times New Roman" w:cs="Times New Roman"/>
          <w:sz w:val="21"/>
          <w:szCs w:val="21"/>
        </w:rPr>
        <w:t>с. 137]. Це неправильно</w:t>
      </w:r>
      <w:r>
        <w:rPr>
          <w:rFonts w:ascii="Times New Roman" w:hAnsi="Times New Roman" w:cs="Times New Roman"/>
          <w:sz w:val="21"/>
          <w:szCs w:val="21"/>
        </w:rPr>
        <w:t>, тому</w:t>
      </w:r>
      <w:r w:rsidRPr="00CC5E3B">
        <w:rPr>
          <w:rFonts w:ascii="Times New Roman" w:hAnsi="Times New Roman" w:cs="Times New Roman"/>
          <w:sz w:val="21"/>
          <w:szCs w:val="21"/>
        </w:rPr>
        <w:t xml:space="preserve"> що населення протягом року змінюється безупинно. У статистичних довідниках чисельність населення наводиться зазвичай або на 1 січня («на початок року», що означає те ж саме), або на 1 число місяця та середня за попередній період часу з початку року. Аналізуючи дані, скажімо, про динаміку чисельності населення за деякий період часу або порівнюючи дані про чисельність населення різних територій, необхідно звертати увагу на дати, до яких порівняння чисельності населення відносяться.</w:t>
      </w:r>
    </w:p>
    <w:p w:rsidR="00B233DE" w:rsidRPr="00CC5E3B"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lastRenderedPageBreak/>
        <w:t>Далі, необхідно звертати увагу на те, до яких адміністративно-територіальних кордонів відноситься аналізована чисельність населення. І</w:t>
      </w:r>
      <w:r>
        <w:rPr>
          <w:rFonts w:ascii="Times New Roman" w:hAnsi="Times New Roman" w:cs="Times New Roman"/>
          <w:sz w:val="21"/>
          <w:szCs w:val="21"/>
        </w:rPr>
        <w:t>,</w:t>
      </w:r>
      <w:r w:rsidRPr="00CC5E3B">
        <w:rPr>
          <w:rFonts w:ascii="Times New Roman" w:hAnsi="Times New Roman" w:cs="Times New Roman"/>
          <w:sz w:val="21"/>
          <w:szCs w:val="21"/>
        </w:rPr>
        <w:t xml:space="preserve"> нарешті, треба звертати увагу на категорію населення: наявне воно чи постійне. </w:t>
      </w:r>
    </w:p>
    <w:p w:rsidR="00B233DE" w:rsidRPr="00CC5E3B"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t xml:space="preserve">Наявне населення – це населення, яке знаходиться на момент перепису на даній території, враховуючи тимчасово проживаючих (не більше 12 місяців). </w:t>
      </w:r>
    </w:p>
    <w:p w:rsidR="00B233DE" w:rsidRPr="00CC5E3B"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t xml:space="preserve">Постійне населення – це населення, яке постійно проживає на момент перепису на даній території, враховуючи тимчасово відсутніх (не більше 12 місяців). </w:t>
      </w:r>
    </w:p>
    <w:p w:rsidR="00B233DE" w:rsidRPr="00CC5E3B"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t>Залежно від цих характеристик чисельність одного і того ж населення в один і той же час на одній і тій же території буде різною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_Ref435781242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6</w:t>
      </w:r>
      <w:r>
        <w:rPr>
          <w:rFonts w:ascii="Times New Roman" w:hAnsi="Times New Roman"/>
          <w:sz w:val="21"/>
          <w:szCs w:val="21"/>
          <w:highlight w:val="yellow"/>
        </w:rPr>
        <w:fldChar w:fldCharType="end"/>
      </w:r>
      <w:r w:rsidRPr="00CC5E3B">
        <w:rPr>
          <w:rFonts w:ascii="Times New Roman" w:hAnsi="Times New Roman" w:cs="Times New Roman"/>
          <w:sz w:val="21"/>
          <w:szCs w:val="21"/>
        </w:rPr>
        <w:t>]. Чисельність постійного та наявного населення Вінницької області зображено на рис. 2.</w:t>
      </w:r>
      <w:r w:rsidRPr="009F3B45">
        <w:rPr>
          <w:rFonts w:ascii="Times New Roman" w:hAnsi="Times New Roman" w:cs="Times New Roman"/>
          <w:sz w:val="21"/>
          <w:szCs w:val="21"/>
          <w:lang w:val="ru-RU"/>
        </w:rPr>
        <w:t>2</w:t>
      </w:r>
      <w:r w:rsidRPr="00CC5E3B">
        <w:rPr>
          <w:rFonts w:ascii="Times New Roman" w:hAnsi="Times New Roman" w:cs="Times New Roman"/>
          <w:sz w:val="21"/>
          <w:szCs w:val="21"/>
        </w:rPr>
        <w:t>.</w:t>
      </w:r>
    </w:p>
    <w:p w:rsidR="00B233DE" w:rsidRPr="00CC5E3B" w:rsidRDefault="00B233DE" w:rsidP="00B233DE">
      <w:pPr>
        <w:ind w:firstLine="709"/>
        <w:jc w:val="both"/>
        <w:rPr>
          <w:rFonts w:ascii="Times New Roman" w:hAnsi="Times New Roman" w:cs="Times New Roman"/>
          <w:sz w:val="21"/>
          <w:szCs w:val="21"/>
        </w:rPr>
      </w:pPr>
    </w:p>
    <w:p w:rsidR="00B233DE" w:rsidRPr="002346E6" w:rsidRDefault="00B233DE" w:rsidP="00B233DE">
      <w:pPr>
        <w:ind w:firstLine="709"/>
        <w:jc w:val="both"/>
        <w:rPr>
          <w:sz w:val="28"/>
          <w:szCs w:val="28"/>
        </w:rPr>
      </w:pPr>
      <w:r>
        <w:rPr>
          <w:noProof/>
          <w:sz w:val="28"/>
          <w:szCs w:val="28"/>
          <w:lang w:val="ru-RU" w:eastAsia="ru-RU"/>
        </w:rPr>
        <w:drawing>
          <wp:inline distT="0" distB="0" distL="0" distR="0" wp14:anchorId="2D9258B9" wp14:editId="6262711E">
            <wp:extent cx="3433763" cy="2008668"/>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38490" cy="2011433"/>
                    </a:xfrm>
                    <a:prstGeom prst="rect">
                      <a:avLst/>
                    </a:prstGeom>
                    <a:noFill/>
                    <a:ln>
                      <a:noFill/>
                    </a:ln>
                  </pic:spPr>
                </pic:pic>
              </a:graphicData>
            </a:graphic>
          </wp:inline>
        </w:drawing>
      </w:r>
    </w:p>
    <w:p w:rsidR="00B233DE" w:rsidRPr="00645490" w:rsidRDefault="00B233DE" w:rsidP="00B233DE">
      <w:pPr>
        <w:ind w:firstLine="709"/>
        <w:jc w:val="center"/>
        <w:rPr>
          <w:rFonts w:ascii="Times New Roman" w:hAnsi="Times New Roman" w:cs="Times New Roman"/>
          <w:b/>
          <w:sz w:val="21"/>
          <w:szCs w:val="21"/>
        </w:rPr>
      </w:pPr>
      <w:r w:rsidRPr="00645490">
        <w:rPr>
          <w:rFonts w:ascii="Times New Roman" w:hAnsi="Times New Roman" w:cs="Times New Roman"/>
          <w:b/>
          <w:sz w:val="21"/>
          <w:szCs w:val="21"/>
        </w:rPr>
        <w:t>Рис. 2.</w:t>
      </w:r>
      <w:r w:rsidRPr="00B757E6">
        <w:rPr>
          <w:rFonts w:ascii="Times New Roman" w:hAnsi="Times New Roman" w:cs="Times New Roman"/>
          <w:b/>
          <w:sz w:val="21"/>
          <w:szCs w:val="21"/>
          <w:lang w:val="ru-RU"/>
        </w:rPr>
        <w:t>2</w:t>
      </w:r>
      <w:r>
        <w:rPr>
          <w:rFonts w:ascii="Times New Roman" w:hAnsi="Times New Roman" w:cs="Times New Roman"/>
          <w:b/>
          <w:sz w:val="21"/>
          <w:szCs w:val="21"/>
        </w:rPr>
        <w:t>.</w:t>
      </w:r>
      <w:r w:rsidRPr="00645490">
        <w:rPr>
          <w:rFonts w:ascii="Times New Roman" w:hAnsi="Times New Roman" w:cs="Times New Roman"/>
          <w:b/>
          <w:sz w:val="21"/>
          <w:szCs w:val="21"/>
        </w:rPr>
        <w:t xml:space="preserve"> Чисельність постійного та наявного населення Вінницької області</w:t>
      </w:r>
    </w:p>
    <w:p w:rsidR="00B233DE" w:rsidRPr="00CC5E3B"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t>Поточні оцінки чисельності населення по області на 1 січня кожного року базується на даних останнього перепису населення, до яких щорічно додаються кількість народжених і прибулих та віднімаються кількість померлих та вибулих.</w:t>
      </w:r>
    </w:p>
    <w:p w:rsidR="00B233DE" w:rsidRPr="00CC5E3B"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t xml:space="preserve">У Вінницькій області з 1995 року по 2010 рік </w:t>
      </w:r>
      <w:r>
        <w:rPr>
          <w:rFonts w:ascii="Times New Roman" w:hAnsi="Times New Roman" w:cs="Times New Roman"/>
          <w:sz w:val="21"/>
          <w:szCs w:val="21"/>
        </w:rPr>
        <w:t>населення весь час скорочується</w:t>
      </w:r>
      <w:r w:rsidRPr="00CC5E3B">
        <w:rPr>
          <w:rFonts w:ascii="Times New Roman" w:hAnsi="Times New Roman" w:cs="Times New Roman"/>
          <w:sz w:val="21"/>
          <w:szCs w:val="21"/>
        </w:rPr>
        <w:t xml:space="preserve"> як постійне</w:t>
      </w:r>
      <w:r>
        <w:rPr>
          <w:rFonts w:ascii="Times New Roman" w:hAnsi="Times New Roman" w:cs="Times New Roman"/>
          <w:sz w:val="21"/>
          <w:szCs w:val="21"/>
        </w:rPr>
        <w:t>,</w:t>
      </w:r>
      <w:r w:rsidRPr="00CC5E3B">
        <w:rPr>
          <w:rFonts w:ascii="Times New Roman" w:hAnsi="Times New Roman" w:cs="Times New Roman"/>
          <w:sz w:val="21"/>
          <w:szCs w:val="21"/>
        </w:rPr>
        <w:t xml:space="preserve"> так і наявне. Та, </w:t>
      </w:r>
      <w:r>
        <w:rPr>
          <w:rFonts w:ascii="Times New Roman" w:hAnsi="Times New Roman" w:cs="Times New Roman"/>
          <w:sz w:val="21"/>
          <w:szCs w:val="21"/>
        </w:rPr>
        <w:t xml:space="preserve">як ми можемо бачити з рисунку </w:t>
      </w:r>
      <w:r w:rsidRPr="00CC5E3B">
        <w:rPr>
          <w:rFonts w:ascii="Times New Roman" w:hAnsi="Times New Roman" w:cs="Times New Roman"/>
          <w:sz w:val="21"/>
          <w:szCs w:val="21"/>
        </w:rPr>
        <w:t>2.1, наявне населення переважає над постійним у 1995</w:t>
      </w:r>
      <w:r>
        <w:rPr>
          <w:rFonts w:ascii="Times New Roman" w:hAnsi="Times New Roman" w:cs="Times New Roman"/>
          <w:sz w:val="21"/>
          <w:szCs w:val="21"/>
        </w:rPr>
        <w:t>–</w:t>
      </w:r>
      <w:r w:rsidRPr="00CC5E3B">
        <w:rPr>
          <w:rFonts w:ascii="Times New Roman" w:hAnsi="Times New Roman" w:cs="Times New Roman"/>
          <w:sz w:val="21"/>
          <w:szCs w:val="21"/>
        </w:rPr>
        <w:t>2000 рр. в середньому на 13930 чоловік, з 2001</w:t>
      </w:r>
      <w:r>
        <w:rPr>
          <w:rFonts w:ascii="Times New Roman" w:hAnsi="Times New Roman" w:cs="Times New Roman"/>
          <w:sz w:val="21"/>
          <w:szCs w:val="21"/>
        </w:rPr>
        <w:t>–</w:t>
      </w:r>
      <w:r w:rsidRPr="00CC5E3B">
        <w:rPr>
          <w:rFonts w:ascii="Times New Roman" w:hAnsi="Times New Roman" w:cs="Times New Roman"/>
          <w:sz w:val="21"/>
          <w:szCs w:val="21"/>
        </w:rPr>
        <w:t xml:space="preserve">2002 рр. – на </w:t>
      </w:r>
      <w:r w:rsidRPr="00CC5E3B">
        <w:rPr>
          <w:rFonts w:ascii="Times New Roman" w:hAnsi="Times New Roman" w:cs="Times New Roman"/>
          <w:sz w:val="21"/>
          <w:szCs w:val="21"/>
        </w:rPr>
        <w:lastRenderedPageBreak/>
        <w:t>9760 чоловік, а з 2003</w:t>
      </w:r>
      <w:r>
        <w:rPr>
          <w:rFonts w:ascii="Times New Roman" w:hAnsi="Times New Roman" w:cs="Times New Roman"/>
          <w:sz w:val="21"/>
          <w:szCs w:val="21"/>
        </w:rPr>
        <w:t>–</w:t>
      </w:r>
      <w:r w:rsidRPr="00CC5E3B">
        <w:rPr>
          <w:rFonts w:ascii="Times New Roman" w:hAnsi="Times New Roman" w:cs="Times New Roman"/>
          <w:sz w:val="21"/>
          <w:szCs w:val="21"/>
        </w:rPr>
        <w:t>2015 рр. наявне населення переважає над постійним тільки на 7100 чоловік. Це пов’язано з виникненням економічної кризи, що охопила весь світ в 2008 році. Навіть в такому промислово розвиненому місті як Вінниця, де представлено більш як 50 великих підприємств, було не можливо знайти роботу навіть постійним жителям, не те щоб приїжджим, тому в наявне населення в основному входять люди які навчаються та відпочивають в Вінниці.</w:t>
      </w:r>
    </w:p>
    <w:p w:rsidR="00B233DE" w:rsidRPr="009F3B45" w:rsidRDefault="00B233DE" w:rsidP="00B233DE">
      <w:pPr>
        <w:ind w:firstLine="709"/>
        <w:jc w:val="both"/>
        <w:rPr>
          <w:rFonts w:ascii="Times New Roman" w:hAnsi="Times New Roman" w:cs="Times New Roman"/>
          <w:spacing w:val="-6"/>
          <w:sz w:val="21"/>
          <w:szCs w:val="21"/>
          <w:lang w:val="ru-RU"/>
        </w:rPr>
      </w:pPr>
      <w:r w:rsidRPr="00CC5E3B">
        <w:rPr>
          <w:rFonts w:ascii="Times New Roman" w:hAnsi="Times New Roman" w:cs="Times New Roman"/>
          <w:sz w:val="21"/>
          <w:szCs w:val="21"/>
        </w:rPr>
        <w:t>На протязі 1995</w:t>
      </w:r>
      <w:r>
        <w:rPr>
          <w:rFonts w:ascii="Times New Roman" w:hAnsi="Times New Roman" w:cs="Times New Roman"/>
          <w:sz w:val="21"/>
          <w:szCs w:val="21"/>
        </w:rPr>
        <w:t>–</w:t>
      </w:r>
      <w:r w:rsidRPr="00CC5E3B">
        <w:rPr>
          <w:rFonts w:ascii="Times New Roman" w:hAnsi="Times New Roman" w:cs="Times New Roman"/>
          <w:sz w:val="21"/>
          <w:szCs w:val="21"/>
        </w:rPr>
        <w:t>2015 рр. відбувається значне скорочення населення, що говорить нам про виникнення депопуляції як в Вінницькій області, так і в країні в цілому. Але в Україні темпи скорочення населення переважають над Вінницькими, так за 20 років населення в Україні скоротилося на 17,1</w:t>
      </w:r>
      <w:r>
        <w:rPr>
          <w:rFonts w:ascii="Times New Roman" w:hAnsi="Times New Roman" w:cs="Times New Roman"/>
          <w:sz w:val="21"/>
          <w:szCs w:val="21"/>
        </w:rPr>
        <w:t xml:space="preserve"> </w:t>
      </w:r>
      <w:r w:rsidRPr="00CC5E3B">
        <w:rPr>
          <w:rFonts w:ascii="Times New Roman" w:hAnsi="Times New Roman" w:cs="Times New Roman"/>
          <w:sz w:val="21"/>
          <w:szCs w:val="21"/>
        </w:rPr>
        <w:t xml:space="preserve">%, а в Вінницькій </w:t>
      </w:r>
      <w:r w:rsidRPr="009B2AAE">
        <w:rPr>
          <w:rFonts w:ascii="Times New Roman" w:hAnsi="Times New Roman" w:cs="Times New Roman"/>
          <w:spacing w:val="-6"/>
          <w:sz w:val="21"/>
          <w:szCs w:val="21"/>
        </w:rPr>
        <w:t>області лише на 14,77 %, тобто на 2,3 % менше ніж по Україні (рис. 2.</w:t>
      </w:r>
      <w:r w:rsidRPr="009F3B45">
        <w:rPr>
          <w:rFonts w:ascii="Times New Roman" w:hAnsi="Times New Roman" w:cs="Times New Roman"/>
          <w:spacing w:val="-6"/>
          <w:sz w:val="21"/>
          <w:szCs w:val="21"/>
          <w:lang w:val="ru-RU"/>
        </w:rPr>
        <w:t>3</w:t>
      </w:r>
      <w:r w:rsidRPr="009B2AAE">
        <w:rPr>
          <w:rFonts w:ascii="Times New Roman" w:hAnsi="Times New Roman" w:cs="Times New Roman"/>
          <w:spacing w:val="-6"/>
          <w:sz w:val="21"/>
          <w:szCs w:val="21"/>
        </w:rPr>
        <w:t>).</w:t>
      </w:r>
    </w:p>
    <w:p w:rsidR="00B233DE" w:rsidRPr="009F3B45" w:rsidRDefault="00B233DE" w:rsidP="00B233DE">
      <w:pPr>
        <w:ind w:firstLine="709"/>
        <w:jc w:val="both"/>
        <w:rPr>
          <w:rFonts w:ascii="Times New Roman" w:hAnsi="Times New Roman" w:cs="Times New Roman"/>
          <w:spacing w:val="-6"/>
          <w:sz w:val="21"/>
          <w:szCs w:val="21"/>
          <w:lang w:val="ru-RU"/>
        </w:rPr>
      </w:pPr>
    </w:p>
    <w:p w:rsidR="00B233DE" w:rsidRPr="00CC5E3B" w:rsidRDefault="00B233DE" w:rsidP="00B233DE">
      <w:pPr>
        <w:jc w:val="both"/>
        <w:rPr>
          <w:rFonts w:ascii="Times New Roman" w:hAnsi="Times New Roman" w:cs="Times New Roman"/>
          <w:sz w:val="21"/>
          <w:szCs w:val="21"/>
        </w:rPr>
      </w:pPr>
      <w:r w:rsidRPr="00CC5E3B">
        <w:rPr>
          <w:rFonts w:ascii="Times New Roman" w:hAnsi="Times New Roman" w:cs="Times New Roman"/>
          <w:noProof/>
          <w:sz w:val="21"/>
          <w:szCs w:val="21"/>
          <w:lang w:val="ru-RU" w:eastAsia="ru-RU"/>
        </w:rPr>
        <w:drawing>
          <wp:inline distT="0" distB="0" distL="0" distR="0" wp14:anchorId="759A89C6" wp14:editId="44A47720">
            <wp:extent cx="3533775" cy="1824038"/>
            <wp:effectExtent l="0" t="0" r="0" b="508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542587" cy="1828587"/>
                    </a:xfrm>
                    <a:prstGeom prst="rect">
                      <a:avLst/>
                    </a:prstGeom>
                    <a:noFill/>
                    <a:ln>
                      <a:noFill/>
                    </a:ln>
                  </pic:spPr>
                </pic:pic>
              </a:graphicData>
            </a:graphic>
          </wp:inline>
        </w:drawing>
      </w:r>
    </w:p>
    <w:p w:rsidR="00B233DE" w:rsidRPr="00645490" w:rsidRDefault="00B233DE" w:rsidP="00B233DE">
      <w:pPr>
        <w:ind w:firstLine="709"/>
        <w:jc w:val="center"/>
        <w:rPr>
          <w:rFonts w:ascii="Times New Roman" w:hAnsi="Times New Roman" w:cs="Times New Roman"/>
          <w:b/>
          <w:sz w:val="21"/>
          <w:szCs w:val="21"/>
        </w:rPr>
      </w:pPr>
      <w:r w:rsidRPr="00645490">
        <w:rPr>
          <w:rFonts w:ascii="Times New Roman" w:hAnsi="Times New Roman" w:cs="Times New Roman"/>
          <w:b/>
          <w:sz w:val="21"/>
          <w:szCs w:val="21"/>
        </w:rPr>
        <w:t>Рис. 2.</w:t>
      </w:r>
      <w:r w:rsidRPr="00B757E6">
        <w:rPr>
          <w:rFonts w:ascii="Times New Roman" w:hAnsi="Times New Roman" w:cs="Times New Roman"/>
          <w:b/>
          <w:sz w:val="21"/>
          <w:szCs w:val="21"/>
          <w:lang w:val="ru-RU"/>
        </w:rPr>
        <w:t>3</w:t>
      </w:r>
      <w:r w:rsidRPr="00645490">
        <w:rPr>
          <w:rFonts w:ascii="Times New Roman" w:hAnsi="Times New Roman" w:cs="Times New Roman"/>
          <w:b/>
          <w:sz w:val="21"/>
          <w:szCs w:val="21"/>
        </w:rPr>
        <w:t>. Чисельність населення Вінницької області та України 1995–2015 років [</w:t>
      </w:r>
      <w:r>
        <w:rPr>
          <w:rFonts w:ascii="Times New Roman" w:hAnsi="Times New Roman" w:cs="Times New Roman"/>
          <w:b/>
          <w:sz w:val="21"/>
          <w:szCs w:val="21"/>
          <w:highlight w:val="yellow"/>
        </w:rPr>
        <w:fldChar w:fldCharType="begin"/>
      </w:r>
      <w:r>
        <w:rPr>
          <w:rFonts w:ascii="Times New Roman" w:hAnsi="Times New Roman" w:cs="Times New Roman"/>
          <w:b/>
          <w:sz w:val="21"/>
          <w:szCs w:val="21"/>
        </w:rPr>
        <w:instrText xml:space="preserve"> REF _Ref435781250 \r \h </w:instrText>
      </w:r>
      <w:r>
        <w:rPr>
          <w:rFonts w:ascii="Times New Roman" w:hAnsi="Times New Roman" w:cs="Times New Roman"/>
          <w:b/>
          <w:sz w:val="21"/>
          <w:szCs w:val="21"/>
          <w:highlight w:val="yellow"/>
        </w:rPr>
      </w:r>
      <w:r>
        <w:rPr>
          <w:rFonts w:ascii="Times New Roman" w:hAnsi="Times New Roman" w:cs="Times New Roman"/>
          <w:b/>
          <w:sz w:val="21"/>
          <w:szCs w:val="21"/>
          <w:highlight w:val="yellow"/>
        </w:rPr>
        <w:fldChar w:fldCharType="separate"/>
      </w:r>
      <w:r>
        <w:rPr>
          <w:rFonts w:ascii="Times New Roman" w:hAnsi="Times New Roman" w:cs="Times New Roman"/>
          <w:b/>
          <w:sz w:val="21"/>
          <w:szCs w:val="21"/>
        </w:rPr>
        <w:t>7</w:t>
      </w:r>
      <w:r>
        <w:rPr>
          <w:rFonts w:ascii="Times New Roman" w:hAnsi="Times New Roman" w:cs="Times New Roman"/>
          <w:b/>
          <w:sz w:val="21"/>
          <w:szCs w:val="21"/>
          <w:highlight w:val="yellow"/>
        </w:rPr>
        <w:fldChar w:fldCharType="end"/>
      </w:r>
      <w:r w:rsidRPr="00645490">
        <w:rPr>
          <w:rFonts w:ascii="Times New Roman" w:hAnsi="Times New Roman" w:cs="Times New Roman"/>
          <w:b/>
          <w:sz w:val="21"/>
          <w:szCs w:val="21"/>
        </w:rPr>
        <w:t>]</w:t>
      </w:r>
    </w:p>
    <w:p w:rsidR="00B233DE" w:rsidRPr="00CC5E3B" w:rsidRDefault="00B233DE" w:rsidP="00B233DE">
      <w:pPr>
        <w:ind w:firstLine="709"/>
        <w:jc w:val="both"/>
        <w:rPr>
          <w:rFonts w:ascii="Times New Roman" w:hAnsi="Times New Roman" w:cs="Times New Roman"/>
          <w:sz w:val="21"/>
          <w:szCs w:val="21"/>
        </w:rPr>
      </w:pPr>
    </w:p>
    <w:p w:rsidR="00B233DE" w:rsidRPr="00CC5E3B"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t>У демографії чисельність населення розглядається як результат взаємодії демографічних подій і складу населення і служить основою для обчислення загальних коефіцієнтів демографії та інших показників.</w:t>
      </w:r>
    </w:p>
    <w:p w:rsidR="00B233DE" w:rsidRPr="009B2AAE" w:rsidRDefault="00B233DE" w:rsidP="00B233DE">
      <w:pPr>
        <w:ind w:firstLine="709"/>
        <w:jc w:val="both"/>
        <w:rPr>
          <w:rFonts w:ascii="Times New Roman" w:hAnsi="Times New Roman" w:cs="Times New Roman"/>
          <w:spacing w:val="-6"/>
          <w:sz w:val="21"/>
          <w:szCs w:val="21"/>
        </w:rPr>
      </w:pPr>
      <w:r w:rsidRPr="00CC5E3B">
        <w:rPr>
          <w:rFonts w:ascii="Times New Roman" w:hAnsi="Times New Roman" w:cs="Times New Roman"/>
          <w:sz w:val="21"/>
          <w:szCs w:val="21"/>
        </w:rPr>
        <w:t xml:space="preserve">Під складом населення зазвичай розуміють розподіл індивідів </w:t>
      </w:r>
      <w:r>
        <w:rPr>
          <w:rFonts w:ascii="Times New Roman" w:hAnsi="Times New Roman" w:cs="Times New Roman"/>
          <w:sz w:val="21"/>
          <w:szCs w:val="21"/>
        </w:rPr>
        <w:t xml:space="preserve">по різних </w:t>
      </w:r>
      <w:r w:rsidRPr="00CC5E3B">
        <w:rPr>
          <w:rFonts w:ascii="Times New Roman" w:hAnsi="Times New Roman" w:cs="Times New Roman"/>
          <w:sz w:val="21"/>
          <w:szCs w:val="21"/>
        </w:rPr>
        <w:t xml:space="preserve">типологічним групам. Оскільки ж підстав для виділення типологічних груп може бути в принципі скільки завгодно і яких завгодно, тому можна побудувати і будь-яке число будь-яких структур населення. Можна говорити, наприклад, про </w:t>
      </w:r>
      <w:r w:rsidRPr="00CC5E3B">
        <w:rPr>
          <w:rFonts w:ascii="Times New Roman" w:hAnsi="Times New Roman" w:cs="Times New Roman"/>
          <w:sz w:val="21"/>
          <w:szCs w:val="21"/>
        </w:rPr>
        <w:lastRenderedPageBreak/>
        <w:t>розподіл населення на чоловіків і жінок, на жителів міст та сільської місцевості, які розлучаються і перебувають у шлюбі, на грамотних і неграмотних, які мають той чи інший рівень освіти, на економічно активних та утриманців, на належних до тієї чи іншої соціальної, етнічної чи конфесійної групи. Цей список не має меж, як не має меж наб</w:t>
      </w:r>
      <w:r>
        <w:rPr>
          <w:rFonts w:ascii="Times New Roman" w:hAnsi="Times New Roman" w:cs="Times New Roman"/>
          <w:sz w:val="21"/>
          <w:szCs w:val="21"/>
        </w:rPr>
        <w:t>ір</w:t>
      </w:r>
      <w:r w:rsidRPr="00CC5E3B">
        <w:rPr>
          <w:rFonts w:ascii="Times New Roman" w:hAnsi="Times New Roman" w:cs="Times New Roman"/>
          <w:sz w:val="21"/>
          <w:szCs w:val="21"/>
        </w:rPr>
        <w:t xml:space="preserve"> найрізноманітніших характеристик індивідів (фізіологічних, психологічних, соціальних, економічних, етно</w:t>
      </w:r>
      <w:r>
        <w:rPr>
          <w:rFonts w:ascii="Times New Roman" w:hAnsi="Times New Roman" w:cs="Times New Roman"/>
          <w:sz w:val="21"/>
          <w:szCs w:val="21"/>
        </w:rPr>
        <w:t>-</w:t>
      </w:r>
      <w:r w:rsidRPr="00CC5E3B">
        <w:rPr>
          <w:rFonts w:ascii="Times New Roman" w:hAnsi="Times New Roman" w:cs="Times New Roman"/>
          <w:sz w:val="21"/>
          <w:szCs w:val="21"/>
        </w:rPr>
        <w:t xml:space="preserve">культурних тощо), які можуть бути покладені в основу </w:t>
      </w:r>
      <w:r w:rsidRPr="009B2AAE">
        <w:rPr>
          <w:rFonts w:ascii="Times New Roman" w:hAnsi="Times New Roman" w:cs="Times New Roman"/>
          <w:spacing w:val="-6"/>
          <w:sz w:val="21"/>
          <w:szCs w:val="21"/>
        </w:rPr>
        <w:t>типологізації та виділення тих чи інших структур населення [</w:t>
      </w:r>
      <w:r>
        <w:rPr>
          <w:rFonts w:ascii="Times New Roman" w:hAnsi="Times New Roman"/>
          <w:sz w:val="21"/>
          <w:szCs w:val="21"/>
          <w:highlight w:val="yellow"/>
        </w:rPr>
        <w:fldChar w:fldCharType="begin"/>
      </w:r>
      <w:r>
        <w:rPr>
          <w:rFonts w:ascii="Times New Roman" w:hAnsi="Times New Roman" w:cs="Times New Roman"/>
          <w:spacing w:val="-6"/>
          <w:sz w:val="21"/>
          <w:szCs w:val="21"/>
        </w:rPr>
        <w:instrText xml:space="preserve"> REF _Ref435781256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pacing w:val="-6"/>
          <w:sz w:val="21"/>
          <w:szCs w:val="21"/>
        </w:rPr>
        <w:t>19</w:t>
      </w:r>
      <w:r>
        <w:rPr>
          <w:rFonts w:ascii="Times New Roman" w:hAnsi="Times New Roman"/>
          <w:sz w:val="21"/>
          <w:szCs w:val="21"/>
          <w:highlight w:val="yellow"/>
        </w:rPr>
        <w:fldChar w:fldCharType="end"/>
      </w:r>
      <w:r w:rsidRPr="009B2AAE">
        <w:rPr>
          <w:rFonts w:ascii="Times New Roman" w:hAnsi="Times New Roman" w:cs="Times New Roman"/>
          <w:spacing w:val="-6"/>
          <w:sz w:val="21"/>
          <w:szCs w:val="21"/>
        </w:rPr>
        <w:t>, с</w:t>
      </w:r>
      <w:r>
        <w:rPr>
          <w:rFonts w:ascii="Times New Roman" w:hAnsi="Times New Roman" w:cs="Times New Roman"/>
          <w:spacing w:val="-6"/>
          <w:sz w:val="21"/>
          <w:szCs w:val="21"/>
        </w:rPr>
        <w:t>. 13</w:t>
      </w:r>
      <w:r w:rsidRPr="009B2AAE">
        <w:rPr>
          <w:rFonts w:ascii="Times New Roman" w:hAnsi="Times New Roman" w:cs="Times New Roman"/>
          <w:spacing w:val="-6"/>
          <w:sz w:val="21"/>
          <w:szCs w:val="21"/>
        </w:rPr>
        <w:t xml:space="preserve">]. </w:t>
      </w:r>
    </w:p>
    <w:p w:rsidR="00B233DE" w:rsidRPr="00CC5E3B"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t xml:space="preserve">Більш детально </w:t>
      </w:r>
      <w:r>
        <w:rPr>
          <w:rFonts w:ascii="Times New Roman" w:hAnsi="Times New Roman" w:cs="Times New Roman"/>
          <w:sz w:val="21"/>
          <w:szCs w:val="21"/>
        </w:rPr>
        <w:t>слід розглянути</w:t>
      </w:r>
      <w:r w:rsidRPr="00CC5E3B">
        <w:rPr>
          <w:rFonts w:ascii="Times New Roman" w:hAnsi="Times New Roman" w:cs="Times New Roman"/>
          <w:sz w:val="21"/>
          <w:szCs w:val="21"/>
        </w:rPr>
        <w:t xml:space="preserve"> віковий, статевий та національний склад населення Вінницької о</w:t>
      </w:r>
      <w:r>
        <w:rPr>
          <w:rFonts w:ascii="Times New Roman" w:hAnsi="Times New Roman" w:cs="Times New Roman"/>
          <w:sz w:val="21"/>
          <w:szCs w:val="21"/>
        </w:rPr>
        <w:t xml:space="preserve">бласті. </w:t>
      </w:r>
      <w:r w:rsidRPr="00CC5E3B">
        <w:rPr>
          <w:rFonts w:ascii="Times New Roman" w:hAnsi="Times New Roman" w:cs="Times New Roman"/>
          <w:sz w:val="21"/>
          <w:szCs w:val="21"/>
        </w:rPr>
        <w:t>Вік людини – період від народження до того чи іншого звітного моменту його життя. Розрізняють:</w:t>
      </w:r>
    </w:p>
    <w:p w:rsidR="00B233DE" w:rsidRPr="00CC5E3B" w:rsidRDefault="00B233DE" w:rsidP="00B233DE">
      <w:pPr>
        <w:numPr>
          <w:ilvl w:val="0"/>
          <w:numId w:val="6"/>
        </w:numPr>
        <w:tabs>
          <w:tab w:val="left" w:pos="851"/>
        </w:tabs>
        <w:jc w:val="both"/>
        <w:rPr>
          <w:rFonts w:ascii="Times New Roman" w:hAnsi="Times New Roman" w:cs="Times New Roman"/>
          <w:sz w:val="21"/>
          <w:szCs w:val="21"/>
        </w:rPr>
      </w:pPr>
      <w:r w:rsidRPr="00CC5E3B">
        <w:rPr>
          <w:rFonts w:ascii="Times New Roman" w:hAnsi="Times New Roman" w:cs="Times New Roman"/>
          <w:sz w:val="21"/>
          <w:szCs w:val="21"/>
        </w:rPr>
        <w:t>біологічний вік, який визначається станом обміну речовин і функцій організму, а так само відповідністю цих процесів віковим нормам людської популяції;</w:t>
      </w:r>
    </w:p>
    <w:p w:rsidR="00B233DE" w:rsidRPr="00CC5E3B" w:rsidRDefault="00B233DE" w:rsidP="00B233DE">
      <w:pPr>
        <w:numPr>
          <w:ilvl w:val="0"/>
          <w:numId w:val="6"/>
        </w:numPr>
        <w:tabs>
          <w:tab w:val="left" w:pos="851"/>
        </w:tabs>
        <w:jc w:val="both"/>
        <w:rPr>
          <w:rFonts w:ascii="Times New Roman" w:hAnsi="Times New Roman" w:cs="Times New Roman"/>
          <w:sz w:val="21"/>
          <w:szCs w:val="21"/>
        </w:rPr>
      </w:pPr>
      <w:r w:rsidRPr="00CC5E3B">
        <w:rPr>
          <w:rFonts w:ascii="Times New Roman" w:hAnsi="Times New Roman" w:cs="Times New Roman"/>
          <w:sz w:val="21"/>
          <w:szCs w:val="21"/>
        </w:rPr>
        <w:t>календарний вік, який вимірюється часом, який минув із моменту народження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_Ref435781262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23</w:t>
      </w:r>
      <w:r>
        <w:rPr>
          <w:rFonts w:ascii="Times New Roman" w:hAnsi="Times New Roman"/>
          <w:sz w:val="21"/>
          <w:szCs w:val="21"/>
          <w:highlight w:val="yellow"/>
        </w:rPr>
        <w:fldChar w:fldCharType="end"/>
      </w:r>
      <w:r w:rsidRPr="00CC5E3B">
        <w:rPr>
          <w:rFonts w:ascii="Times New Roman" w:hAnsi="Times New Roman" w:cs="Times New Roman"/>
          <w:sz w:val="21"/>
          <w:szCs w:val="21"/>
        </w:rPr>
        <w:t>, с. 242].</w:t>
      </w:r>
    </w:p>
    <w:p w:rsidR="00B233DE" w:rsidRPr="00CC5E3B"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t>Знання віку окремих людей на момент спостереження або настання в їхньому житті тих чи інших демографічних подій дає уявлення про вікову структуру населення і про те, в яких вікових групах відбуваються дані демографічні події.</w:t>
      </w:r>
    </w:p>
    <w:p w:rsidR="00B233DE" w:rsidRPr="00CC5E3B"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t>Вікова структура – це розподіл населення за віковими групами і віковими контингентами з метою вивчення демографічних і соціально-е</w:t>
      </w:r>
      <w:r>
        <w:rPr>
          <w:rFonts w:ascii="Times New Roman" w:hAnsi="Times New Roman" w:cs="Times New Roman"/>
          <w:sz w:val="21"/>
          <w:szCs w:val="21"/>
        </w:rPr>
        <w:t>кономічних процесів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_Ref435781262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23</w:t>
      </w:r>
      <w:r>
        <w:rPr>
          <w:rFonts w:ascii="Times New Roman" w:hAnsi="Times New Roman"/>
          <w:sz w:val="21"/>
          <w:szCs w:val="21"/>
          <w:highlight w:val="yellow"/>
        </w:rPr>
        <w:fldChar w:fldCharType="end"/>
      </w:r>
      <w:r>
        <w:rPr>
          <w:rFonts w:ascii="Times New Roman" w:hAnsi="Times New Roman" w:cs="Times New Roman"/>
          <w:sz w:val="21"/>
          <w:szCs w:val="21"/>
        </w:rPr>
        <w:t>, с. 243</w:t>
      </w:r>
      <w:r w:rsidRPr="00CC5E3B">
        <w:rPr>
          <w:rFonts w:ascii="Times New Roman" w:hAnsi="Times New Roman" w:cs="Times New Roman"/>
          <w:sz w:val="21"/>
          <w:szCs w:val="21"/>
        </w:rPr>
        <w:t>]. Вікова структура населення дозволяє дат</w:t>
      </w:r>
      <w:r>
        <w:rPr>
          <w:rFonts w:ascii="Times New Roman" w:hAnsi="Times New Roman" w:cs="Times New Roman"/>
          <w:sz w:val="21"/>
          <w:szCs w:val="21"/>
        </w:rPr>
        <w:t>и порівняльну оцінку у взаємозв’</w:t>
      </w:r>
      <w:r w:rsidRPr="00CC5E3B">
        <w:rPr>
          <w:rFonts w:ascii="Times New Roman" w:hAnsi="Times New Roman" w:cs="Times New Roman"/>
          <w:sz w:val="21"/>
          <w:szCs w:val="21"/>
        </w:rPr>
        <w:t>язку з демографічними, соціальними та економічними характеристиками населення, виділити спільне та особливе в їх розвитку. У віковій структурі населення, як правило, роз</w:t>
      </w:r>
      <w:r>
        <w:rPr>
          <w:rFonts w:ascii="Times New Roman" w:hAnsi="Times New Roman" w:cs="Times New Roman"/>
          <w:sz w:val="21"/>
          <w:szCs w:val="21"/>
        </w:rPr>
        <w:t>поділяється по однорічним або п’</w:t>
      </w:r>
      <w:r w:rsidRPr="00CC5E3B">
        <w:rPr>
          <w:rFonts w:ascii="Times New Roman" w:hAnsi="Times New Roman" w:cs="Times New Roman"/>
          <w:sz w:val="21"/>
          <w:szCs w:val="21"/>
        </w:rPr>
        <w:t>ятирічним віковим групам.</w:t>
      </w:r>
    </w:p>
    <w:p w:rsidR="00B233DE" w:rsidRPr="00CC5E3B"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t>Розподіл людей за однорічним</w:t>
      </w:r>
      <w:r>
        <w:rPr>
          <w:rFonts w:ascii="Times New Roman" w:hAnsi="Times New Roman" w:cs="Times New Roman"/>
          <w:sz w:val="21"/>
          <w:szCs w:val="21"/>
        </w:rPr>
        <w:t>и</w:t>
      </w:r>
      <w:r w:rsidRPr="00CC5E3B">
        <w:rPr>
          <w:rFonts w:ascii="Times New Roman" w:hAnsi="Times New Roman" w:cs="Times New Roman"/>
          <w:sz w:val="21"/>
          <w:szCs w:val="21"/>
        </w:rPr>
        <w:t xml:space="preserve"> віковими групами відкриває найкращі можливості для аналізу стану і змін вікової структури. Проте дані про вікову структуру в однорічній віковій групі схильні до деформуючого впливу вікової акумуляції. Вона спотворює дані про вікову структуру таким чином, що чисельність вікових груп, які закінчують на 0 і 5, виявляється значно вищ</w:t>
      </w:r>
      <w:r>
        <w:rPr>
          <w:rFonts w:ascii="Times New Roman" w:hAnsi="Times New Roman" w:cs="Times New Roman"/>
          <w:sz w:val="21"/>
          <w:szCs w:val="21"/>
        </w:rPr>
        <w:t>ою</w:t>
      </w:r>
      <w:r w:rsidRPr="00CC5E3B">
        <w:rPr>
          <w:rFonts w:ascii="Times New Roman" w:hAnsi="Times New Roman" w:cs="Times New Roman"/>
          <w:sz w:val="21"/>
          <w:szCs w:val="21"/>
        </w:rPr>
        <w:t>, ніж чисельні</w:t>
      </w:r>
      <w:r>
        <w:rPr>
          <w:rFonts w:ascii="Times New Roman" w:hAnsi="Times New Roman" w:cs="Times New Roman"/>
          <w:sz w:val="21"/>
          <w:szCs w:val="21"/>
        </w:rPr>
        <w:t>сть сусідніх вікових груп. У зв’</w:t>
      </w:r>
      <w:r w:rsidRPr="00CC5E3B">
        <w:rPr>
          <w:rFonts w:ascii="Times New Roman" w:hAnsi="Times New Roman" w:cs="Times New Roman"/>
          <w:sz w:val="21"/>
          <w:szCs w:val="21"/>
        </w:rPr>
        <w:t xml:space="preserve">язку з цим у віковій структурі утворюються виступи і западини, яких насправді не існує. Тому, по-перше, під час перепису населення вказують не </w:t>
      </w:r>
      <w:r w:rsidRPr="00CC5E3B">
        <w:rPr>
          <w:rFonts w:ascii="Times New Roman" w:hAnsi="Times New Roman" w:cs="Times New Roman"/>
          <w:sz w:val="21"/>
          <w:szCs w:val="21"/>
        </w:rPr>
        <w:lastRenderedPageBreak/>
        <w:t xml:space="preserve">кількість років, а дату народження, по-друге, застосовуються різні методи вирівнювання штучних виступів і </w:t>
      </w:r>
      <w:r>
        <w:rPr>
          <w:rFonts w:ascii="Times New Roman" w:hAnsi="Times New Roman" w:cs="Times New Roman"/>
          <w:sz w:val="21"/>
          <w:szCs w:val="21"/>
        </w:rPr>
        <w:t>западин на віковій структурі. П’</w:t>
      </w:r>
      <w:r w:rsidRPr="00CC5E3B">
        <w:rPr>
          <w:rFonts w:ascii="Times New Roman" w:hAnsi="Times New Roman" w:cs="Times New Roman"/>
          <w:sz w:val="21"/>
          <w:szCs w:val="21"/>
        </w:rPr>
        <w:t>ятирічна вікова група дає більш компактне представлення вікової структури населення.</w:t>
      </w:r>
    </w:p>
    <w:p w:rsidR="00B233DE"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В</w:t>
      </w:r>
      <w:r w:rsidRPr="00CC5E3B">
        <w:rPr>
          <w:rFonts w:ascii="Times New Roman" w:hAnsi="Times New Roman" w:cs="Times New Roman"/>
          <w:sz w:val="21"/>
          <w:szCs w:val="21"/>
        </w:rPr>
        <w:t>ікова структура постійного населення Вінницького регіону з п’ятирічним інтервалом та в відсотковому відношенні д</w:t>
      </w:r>
      <w:r>
        <w:rPr>
          <w:rFonts w:ascii="Times New Roman" w:hAnsi="Times New Roman" w:cs="Times New Roman"/>
          <w:sz w:val="21"/>
          <w:szCs w:val="21"/>
        </w:rPr>
        <w:t>о загальної кількості населення представлена у табл. 2.6.</w:t>
      </w:r>
    </w:p>
    <w:p w:rsidR="00B233DE" w:rsidRPr="00CC5E3B" w:rsidRDefault="00B233DE" w:rsidP="00B233DE">
      <w:pPr>
        <w:ind w:firstLine="709"/>
        <w:jc w:val="both"/>
        <w:rPr>
          <w:rFonts w:ascii="Times New Roman" w:hAnsi="Times New Roman" w:cs="Times New Roman"/>
          <w:sz w:val="21"/>
          <w:szCs w:val="21"/>
        </w:rPr>
      </w:pPr>
    </w:p>
    <w:p w:rsidR="00B233DE" w:rsidRPr="00CC5E3B" w:rsidRDefault="00B233DE" w:rsidP="00B233DE">
      <w:pPr>
        <w:jc w:val="right"/>
        <w:rPr>
          <w:rFonts w:ascii="Times New Roman" w:hAnsi="Times New Roman" w:cs="Times New Roman"/>
          <w:sz w:val="21"/>
          <w:szCs w:val="21"/>
        </w:rPr>
      </w:pPr>
      <w:r w:rsidRPr="00CC5E3B">
        <w:rPr>
          <w:rFonts w:ascii="Times New Roman" w:hAnsi="Times New Roman" w:cs="Times New Roman"/>
          <w:sz w:val="21"/>
          <w:szCs w:val="21"/>
        </w:rPr>
        <w:t>Таблиця 2.</w:t>
      </w:r>
      <w:r>
        <w:rPr>
          <w:rFonts w:ascii="Times New Roman" w:hAnsi="Times New Roman" w:cs="Times New Roman"/>
          <w:sz w:val="21"/>
          <w:szCs w:val="21"/>
        </w:rPr>
        <w:t>6</w:t>
      </w:r>
    </w:p>
    <w:p w:rsidR="00B233DE" w:rsidRPr="009B0AF4" w:rsidRDefault="00B233DE" w:rsidP="00B233DE">
      <w:pPr>
        <w:jc w:val="center"/>
        <w:rPr>
          <w:rFonts w:ascii="Times New Roman" w:hAnsi="Times New Roman" w:cs="Times New Roman"/>
          <w:b/>
          <w:sz w:val="21"/>
          <w:szCs w:val="21"/>
        </w:rPr>
      </w:pPr>
      <w:r w:rsidRPr="009B0AF4">
        <w:rPr>
          <w:rFonts w:ascii="Times New Roman" w:hAnsi="Times New Roman" w:cs="Times New Roman"/>
          <w:b/>
          <w:sz w:val="21"/>
          <w:szCs w:val="21"/>
        </w:rPr>
        <w:t>Розподіл постійного населення Вінницької області за віковими групами станом на 1 січня 2014 року</w:t>
      </w:r>
      <w:r>
        <w:rPr>
          <w:rFonts w:ascii="Times New Roman" w:hAnsi="Times New Roman" w:cs="Times New Roman"/>
          <w:b/>
          <w:sz w:val="21"/>
          <w:szCs w:val="21"/>
        </w:rPr>
        <w:t>*</w:t>
      </w:r>
      <w:r w:rsidRPr="009B0AF4">
        <w:rPr>
          <w:rFonts w:ascii="Times New Roman" w:hAnsi="Times New Roman" w:cs="Times New Roman"/>
          <w:b/>
          <w:sz w:val="21"/>
          <w:szCs w:val="21"/>
        </w:rPr>
        <w:t xml:space="preserve"> </w:t>
      </w:r>
    </w:p>
    <w:tbl>
      <w:tblPr>
        <w:tblW w:w="616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28" w:type="dxa"/>
          <w:left w:w="28" w:type="dxa"/>
          <w:bottom w:w="28" w:type="dxa"/>
          <w:right w:w="28" w:type="dxa"/>
        </w:tblCellMar>
        <w:tblLook w:val="00A0" w:firstRow="1" w:lastRow="0" w:firstColumn="1" w:lastColumn="0" w:noHBand="0" w:noVBand="0"/>
      </w:tblPr>
      <w:tblGrid>
        <w:gridCol w:w="851"/>
        <w:gridCol w:w="870"/>
        <w:gridCol w:w="993"/>
        <w:gridCol w:w="850"/>
        <w:gridCol w:w="865"/>
        <w:gridCol w:w="836"/>
        <w:gridCol w:w="899"/>
      </w:tblGrid>
      <w:tr w:rsidR="00B233DE" w:rsidRPr="00B34179" w:rsidTr="0023489B">
        <w:trPr>
          <w:trHeight w:val="347"/>
          <w:jc w:val="center"/>
        </w:trPr>
        <w:tc>
          <w:tcPr>
            <w:tcW w:w="851" w:type="dxa"/>
            <w:vMerge w:val="restart"/>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Вікові групи</w:t>
            </w:r>
          </w:p>
        </w:tc>
        <w:tc>
          <w:tcPr>
            <w:tcW w:w="2713" w:type="dxa"/>
            <w:gridSpan w:val="3"/>
            <w:vAlign w:val="center"/>
          </w:tcPr>
          <w:p w:rsidR="00B233DE" w:rsidRPr="00B34179" w:rsidRDefault="00B233DE" w:rsidP="0023489B">
            <w:pPr>
              <w:ind w:left="-88" w:right="-128" w:firstLine="0"/>
              <w:jc w:val="both"/>
              <w:rPr>
                <w:rFonts w:ascii="Times New Roman" w:hAnsi="Times New Roman" w:cs="Times New Roman"/>
                <w:sz w:val="16"/>
                <w:szCs w:val="16"/>
              </w:rPr>
            </w:pPr>
            <w:r w:rsidRPr="00B34179">
              <w:rPr>
                <w:rFonts w:ascii="Times New Roman" w:hAnsi="Times New Roman" w:cs="Times New Roman"/>
                <w:sz w:val="16"/>
                <w:szCs w:val="16"/>
              </w:rPr>
              <w:t>Кількість населення, осіб</w:t>
            </w:r>
          </w:p>
        </w:tc>
        <w:tc>
          <w:tcPr>
            <w:tcW w:w="2600" w:type="dxa"/>
            <w:gridSpan w:val="3"/>
            <w:vAlign w:val="center"/>
          </w:tcPr>
          <w:p w:rsidR="00B233DE" w:rsidRPr="00B34179" w:rsidRDefault="00B233DE" w:rsidP="0023489B">
            <w:pPr>
              <w:tabs>
                <w:tab w:val="left" w:pos="1168"/>
              </w:tabs>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До загальної кількості населення, відсотків</w:t>
            </w:r>
          </w:p>
        </w:tc>
      </w:tr>
      <w:tr w:rsidR="00B233DE" w:rsidRPr="00B34179" w:rsidTr="0023489B">
        <w:trPr>
          <w:trHeight w:val="166"/>
          <w:jc w:val="center"/>
        </w:trPr>
        <w:tc>
          <w:tcPr>
            <w:tcW w:w="851" w:type="dxa"/>
            <w:vMerge/>
            <w:vAlign w:val="center"/>
          </w:tcPr>
          <w:p w:rsidR="00B233DE" w:rsidRPr="00B34179" w:rsidRDefault="00B233DE" w:rsidP="0023489B">
            <w:pPr>
              <w:ind w:left="-88" w:right="-128" w:firstLine="0"/>
              <w:jc w:val="both"/>
              <w:rPr>
                <w:rFonts w:ascii="Times New Roman" w:hAnsi="Times New Roman" w:cs="Times New Roman"/>
                <w:sz w:val="16"/>
                <w:szCs w:val="16"/>
              </w:rPr>
            </w:pPr>
          </w:p>
        </w:tc>
        <w:tc>
          <w:tcPr>
            <w:tcW w:w="87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усього</w:t>
            </w:r>
          </w:p>
        </w:tc>
        <w:tc>
          <w:tcPr>
            <w:tcW w:w="993"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міське</w:t>
            </w:r>
          </w:p>
        </w:tc>
        <w:tc>
          <w:tcPr>
            <w:tcW w:w="85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сільське</w:t>
            </w:r>
          </w:p>
        </w:tc>
        <w:tc>
          <w:tcPr>
            <w:tcW w:w="865"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усього</w:t>
            </w:r>
          </w:p>
        </w:tc>
        <w:tc>
          <w:tcPr>
            <w:tcW w:w="836"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міське</w:t>
            </w:r>
          </w:p>
        </w:tc>
        <w:tc>
          <w:tcPr>
            <w:tcW w:w="899"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сільське</w:t>
            </w:r>
          </w:p>
        </w:tc>
      </w:tr>
      <w:tr w:rsidR="00B233DE" w:rsidRPr="00B34179" w:rsidTr="0023489B">
        <w:trPr>
          <w:trHeight w:val="347"/>
          <w:jc w:val="center"/>
        </w:trPr>
        <w:tc>
          <w:tcPr>
            <w:tcW w:w="851"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усе населення</w:t>
            </w:r>
          </w:p>
        </w:tc>
        <w:tc>
          <w:tcPr>
            <w:tcW w:w="87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1 611 177</w:t>
            </w:r>
          </w:p>
        </w:tc>
        <w:tc>
          <w:tcPr>
            <w:tcW w:w="993"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806 263</w:t>
            </w:r>
          </w:p>
        </w:tc>
        <w:tc>
          <w:tcPr>
            <w:tcW w:w="85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804 914</w:t>
            </w:r>
          </w:p>
        </w:tc>
        <w:tc>
          <w:tcPr>
            <w:tcW w:w="865"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100</w:t>
            </w:r>
          </w:p>
        </w:tc>
        <w:tc>
          <w:tcPr>
            <w:tcW w:w="836"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100</w:t>
            </w:r>
          </w:p>
        </w:tc>
        <w:tc>
          <w:tcPr>
            <w:tcW w:w="899"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100</w:t>
            </w:r>
          </w:p>
        </w:tc>
      </w:tr>
      <w:tr w:rsidR="00B233DE" w:rsidRPr="00B34179" w:rsidTr="0023489B">
        <w:trPr>
          <w:trHeight w:val="160"/>
          <w:jc w:val="center"/>
        </w:trPr>
        <w:tc>
          <w:tcPr>
            <w:tcW w:w="851"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до 1 року</w:t>
            </w:r>
          </w:p>
        </w:tc>
        <w:tc>
          <w:tcPr>
            <w:tcW w:w="87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17 289</w:t>
            </w:r>
          </w:p>
        </w:tc>
        <w:tc>
          <w:tcPr>
            <w:tcW w:w="993"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8 956</w:t>
            </w:r>
          </w:p>
        </w:tc>
        <w:tc>
          <w:tcPr>
            <w:tcW w:w="85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8 333</w:t>
            </w:r>
          </w:p>
        </w:tc>
        <w:tc>
          <w:tcPr>
            <w:tcW w:w="865"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1,1</w:t>
            </w:r>
          </w:p>
        </w:tc>
        <w:tc>
          <w:tcPr>
            <w:tcW w:w="836"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1,1</w:t>
            </w:r>
          </w:p>
        </w:tc>
        <w:tc>
          <w:tcPr>
            <w:tcW w:w="899"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1,0</w:t>
            </w:r>
          </w:p>
        </w:tc>
      </w:tr>
      <w:tr w:rsidR="00B233DE" w:rsidRPr="00B34179" w:rsidTr="0023489B">
        <w:trPr>
          <w:trHeight w:val="121"/>
          <w:jc w:val="center"/>
        </w:trPr>
        <w:tc>
          <w:tcPr>
            <w:tcW w:w="851"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1-4</w:t>
            </w:r>
          </w:p>
        </w:tc>
        <w:tc>
          <w:tcPr>
            <w:tcW w:w="87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70866</w:t>
            </w:r>
          </w:p>
        </w:tc>
        <w:tc>
          <w:tcPr>
            <w:tcW w:w="993"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36767</w:t>
            </w:r>
          </w:p>
        </w:tc>
        <w:tc>
          <w:tcPr>
            <w:tcW w:w="85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34099</w:t>
            </w:r>
          </w:p>
        </w:tc>
        <w:tc>
          <w:tcPr>
            <w:tcW w:w="865"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4,4</w:t>
            </w:r>
          </w:p>
        </w:tc>
        <w:tc>
          <w:tcPr>
            <w:tcW w:w="836"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4,6</w:t>
            </w:r>
          </w:p>
        </w:tc>
        <w:tc>
          <w:tcPr>
            <w:tcW w:w="899"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4,2</w:t>
            </w:r>
          </w:p>
        </w:tc>
      </w:tr>
      <w:tr w:rsidR="00B233DE" w:rsidRPr="00B34179" w:rsidTr="0023489B">
        <w:trPr>
          <w:trHeight w:val="193"/>
          <w:jc w:val="center"/>
        </w:trPr>
        <w:tc>
          <w:tcPr>
            <w:tcW w:w="851"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5-9</w:t>
            </w:r>
          </w:p>
        </w:tc>
        <w:tc>
          <w:tcPr>
            <w:tcW w:w="87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80 490</w:t>
            </w:r>
          </w:p>
        </w:tc>
        <w:tc>
          <w:tcPr>
            <w:tcW w:w="993"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42 578</w:t>
            </w:r>
          </w:p>
        </w:tc>
        <w:tc>
          <w:tcPr>
            <w:tcW w:w="85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37 912</w:t>
            </w:r>
          </w:p>
        </w:tc>
        <w:tc>
          <w:tcPr>
            <w:tcW w:w="865"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5,0</w:t>
            </w:r>
          </w:p>
        </w:tc>
        <w:tc>
          <w:tcPr>
            <w:tcW w:w="836"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5,3</w:t>
            </w:r>
          </w:p>
        </w:tc>
        <w:tc>
          <w:tcPr>
            <w:tcW w:w="899"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4,7</w:t>
            </w:r>
          </w:p>
        </w:tc>
      </w:tr>
      <w:tr w:rsidR="00B233DE" w:rsidRPr="00B34179" w:rsidTr="0023489B">
        <w:trPr>
          <w:trHeight w:val="268"/>
          <w:jc w:val="center"/>
        </w:trPr>
        <w:tc>
          <w:tcPr>
            <w:tcW w:w="851"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10-14</w:t>
            </w:r>
          </w:p>
        </w:tc>
        <w:tc>
          <w:tcPr>
            <w:tcW w:w="87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74 139</w:t>
            </w:r>
          </w:p>
        </w:tc>
        <w:tc>
          <w:tcPr>
            <w:tcW w:w="993"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35 415</w:t>
            </w:r>
          </w:p>
        </w:tc>
        <w:tc>
          <w:tcPr>
            <w:tcW w:w="85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38 724</w:t>
            </w:r>
          </w:p>
        </w:tc>
        <w:tc>
          <w:tcPr>
            <w:tcW w:w="865"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4,6</w:t>
            </w:r>
          </w:p>
        </w:tc>
        <w:tc>
          <w:tcPr>
            <w:tcW w:w="836"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4,4</w:t>
            </w:r>
          </w:p>
        </w:tc>
        <w:tc>
          <w:tcPr>
            <w:tcW w:w="899"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4,8</w:t>
            </w:r>
          </w:p>
        </w:tc>
      </w:tr>
      <w:tr w:rsidR="00B233DE" w:rsidRPr="00B34179" w:rsidTr="0023489B">
        <w:trPr>
          <w:trHeight w:val="143"/>
          <w:jc w:val="center"/>
        </w:trPr>
        <w:tc>
          <w:tcPr>
            <w:tcW w:w="851"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15-19</w:t>
            </w:r>
          </w:p>
        </w:tc>
        <w:tc>
          <w:tcPr>
            <w:tcW w:w="87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88 113</w:t>
            </w:r>
          </w:p>
        </w:tc>
        <w:tc>
          <w:tcPr>
            <w:tcW w:w="993"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43 895</w:t>
            </w:r>
          </w:p>
        </w:tc>
        <w:tc>
          <w:tcPr>
            <w:tcW w:w="85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44 218</w:t>
            </w:r>
          </w:p>
        </w:tc>
        <w:tc>
          <w:tcPr>
            <w:tcW w:w="865"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5,5</w:t>
            </w:r>
          </w:p>
        </w:tc>
        <w:tc>
          <w:tcPr>
            <w:tcW w:w="836"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5,4</w:t>
            </w:r>
          </w:p>
        </w:tc>
        <w:tc>
          <w:tcPr>
            <w:tcW w:w="899"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5,5</w:t>
            </w:r>
          </w:p>
        </w:tc>
      </w:tr>
      <w:tr w:rsidR="00B233DE" w:rsidRPr="00B34179" w:rsidTr="0023489B">
        <w:trPr>
          <w:trHeight w:val="195"/>
          <w:jc w:val="center"/>
        </w:trPr>
        <w:tc>
          <w:tcPr>
            <w:tcW w:w="851"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20-24</w:t>
            </w:r>
          </w:p>
        </w:tc>
        <w:tc>
          <w:tcPr>
            <w:tcW w:w="87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109 021</w:t>
            </w:r>
          </w:p>
        </w:tc>
        <w:tc>
          <w:tcPr>
            <w:tcW w:w="993"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54 750</w:t>
            </w:r>
          </w:p>
        </w:tc>
        <w:tc>
          <w:tcPr>
            <w:tcW w:w="85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54 271</w:t>
            </w:r>
          </w:p>
        </w:tc>
        <w:tc>
          <w:tcPr>
            <w:tcW w:w="865"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6,8</w:t>
            </w:r>
          </w:p>
        </w:tc>
        <w:tc>
          <w:tcPr>
            <w:tcW w:w="836"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6,8</w:t>
            </w:r>
          </w:p>
        </w:tc>
        <w:tc>
          <w:tcPr>
            <w:tcW w:w="899"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6,7</w:t>
            </w:r>
          </w:p>
        </w:tc>
      </w:tr>
      <w:tr w:rsidR="00B233DE" w:rsidRPr="00B34179" w:rsidTr="0023489B">
        <w:trPr>
          <w:trHeight w:val="214"/>
          <w:jc w:val="center"/>
        </w:trPr>
        <w:tc>
          <w:tcPr>
            <w:tcW w:w="851"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25-29</w:t>
            </w:r>
          </w:p>
        </w:tc>
        <w:tc>
          <w:tcPr>
            <w:tcW w:w="87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130 366</w:t>
            </w:r>
          </w:p>
        </w:tc>
        <w:tc>
          <w:tcPr>
            <w:tcW w:w="993"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74 879</w:t>
            </w:r>
          </w:p>
        </w:tc>
        <w:tc>
          <w:tcPr>
            <w:tcW w:w="85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55 487</w:t>
            </w:r>
          </w:p>
        </w:tc>
        <w:tc>
          <w:tcPr>
            <w:tcW w:w="865"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8,1</w:t>
            </w:r>
          </w:p>
        </w:tc>
        <w:tc>
          <w:tcPr>
            <w:tcW w:w="836"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9,3</w:t>
            </w:r>
          </w:p>
        </w:tc>
        <w:tc>
          <w:tcPr>
            <w:tcW w:w="899"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6,9</w:t>
            </w:r>
          </w:p>
        </w:tc>
      </w:tr>
      <w:tr w:rsidR="00B233DE" w:rsidRPr="00B34179" w:rsidTr="0023489B">
        <w:trPr>
          <w:trHeight w:val="75"/>
          <w:jc w:val="center"/>
        </w:trPr>
        <w:tc>
          <w:tcPr>
            <w:tcW w:w="851"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30-34</w:t>
            </w:r>
          </w:p>
        </w:tc>
        <w:tc>
          <w:tcPr>
            <w:tcW w:w="87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111 367</w:t>
            </w:r>
          </w:p>
        </w:tc>
        <w:tc>
          <w:tcPr>
            <w:tcW w:w="993"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65 773</w:t>
            </w:r>
          </w:p>
        </w:tc>
        <w:tc>
          <w:tcPr>
            <w:tcW w:w="85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45 594</w:t>
            </w:r>
          </w:p>
        </w:tc>
        <w:tc>
          <w:tcPr>
            <w:tcW w:w="865"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6,9</w:t>
            </w:r>
          </w:p>
        </w:tc>
        <w:tc>
          <w:tcPr>
            <w:tcW w:w="836"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8,2</w:t>
            </w:r>
          </w:p>
        </w:tc>
        <w:tc>
          <w:tcPr>
            <w:tcW w:w="899"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5,7</w:t>
            </w:r>
          </w:p>
        </w:tc>
      </w:tr>
      <w:tr w:rsidR="00B233DE" w:rsidRPr="00B34179" w:rsidTr="0023489B">
        <w:trPr>
          <w:trHeight w:val="108"/>
          <w:jc w:val="center"/>
        </w:trPr>
        <w:tc>
          <w:tcPr>
            <w:tcW w:w="851"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35-39</w:t>
            </w:r>
          </w:p>
        </w:tc>
        <w:tc>
          <w:tcPr>
            <w:tcW w:w="87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112 121</w:t>
            </w:r>
          </w:p>
        </w:tc>
        <w:tc>
          <w:tcPr>
            <w:tcW w:w="993"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60 132</w:t>
            </w:r>
          </w:p>
        </w:tc>
        <w:tc>
          <w:tcPr>
            <w:tcW w:w="85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51 989</w:t>
            </w:r>
          </w:p>
        </w:tc>
        <w:tc>
          <w:tcPr>
            <w:tcW w:w="865"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7,0</w:t>
            </w:r>
          </w:p>
        </w:tc>
        <w:tc>
          <w:tcPr>
            <w:tcW w:w="836"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7,5</w:t>
            </w:r>
          </w:p>
        </w:tc>
        <w:tc>
          <w:tcPr>
            <w:tcW w:w="899"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6,5</w:t>
            </w:r>
          </w:p>
        </w:tc>
      </w:tr>
      <w:tr w:rsidR="00B233DE" w:rsidRPr="00B34179" w:rsidTr="0023489B">
        <w:trPr>
          <w:trHeight w:val="140"/>
          <w:jc w:val="center"/>
        </w:trPr>
        <w:tc>
          <w:tcPr>
            <w:tcW w:w="851"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40-44</w:t>
            </w:r>
          </w:p>
        </w:tc>
        <w:tc>
          <w:tcPr>
            <w:tcW w:w="87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112 888</w:t>
            </w:r>
          </w:p>
        </w:tc>
        <w:tc>
          <w:tcPr>
            <w:tcW w:w="993"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57 093</w:t>
            </w:r>
          </w:p>
        </w:tc>
        <w:tc>
          <w:tcPr>
            <w:tcW w:w="85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55 795</w:t>
            </w:r>
          </w:p>
        </w:tc>
        <w:tc>
          <w:tcPr>
            <w:tcW w:w="865"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7,0</w:t>
            </w:r>
          </w:p>
        </w:tc>
        <w:tc>
          <w:tcPr>
            <w:tcW w:w="836"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7,1</w:t>
            </w:r>
          </w:p>
        </w:tc>
        <w:tc>
          <w:tcPr>
            <w:tcW w:w="899"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6,9</w:t>
            </w:r>
          </w:p>
        </w:tc>
      </w:tr>
      <w:tr w:rsidR="00B233DE" w:rsidRPr="00B34179" w:rsidTr="0023489B">
        <w:trPr>
          <w:trHeight w:val="44"/>
          <w:jc w:val="center"/>
        </w:trPr>
        <w:tc>
          <w:tcPr>
            <w:tcW w:w="851"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45-49</w:t>
            </w:r>
          </w:p>
        </w:tc>
        <w:tc>
          <w:tcPr>
            <w:tcW w:w="87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109 042</w:t>
            </w:r>
          </w:p>
        </w:tc>
        <w:tc>
          <w:tcPr>
            <w:tcW w:w="993"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54 311</w:t>
            </w:r>
          </w:p>
        </w:tc>
        <w:tc>
          <w:tcPr>
            <w:tcW w:w="85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54 731</w:t>
            </w:r>
          </w:p>
        </w:tc>
        <w:tc>
          <w:tcPr>
            <w:tcW w:w="865"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6,8</w:t>
            </w:r>
          </w:p>
        </w:tc>
        <w:tc>
          <w:tcPr>
            <w:tcW w:w="836"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6,7</w:t>
            </w:r>
          </w:p>
        </w:tc>
        <w:tc>
          <w:tcPr>
            <w:tcW w:w="899"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6,8</w:t>
            </w:r>
          </w:p>
        </w:tc>
      </w:tr>
      <w:tr w:rsidR="00B233DE" w:rsidRPr="00B34179" w:rsidTr="0023489B">
        <w:trPr>
          <w:trHeight w:val="204"/>
          <w:jc w:val="center"/>
        </w:trPr>
        <w:tc>
          <w:tcPr>
            <w:tcW w:w="851"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50-54</w:t>
            </w:r>
          </w:p>
        </w:tc>
        <w:tc>
          <w:tcPr>
            <w:tcW w:w="87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119 075</w:t>
            </w:r>
          </w:p>
        </w:tc>
        <w:tc>
          <w:tcPr>
            <w:tcW w:w="993"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61 676</w:t>
            </w:r>
          </w:p>
        </w:tc>
        <w:tc>
          <w:tcPr>
            <w:tcW w:w="85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57 399</w:t>
            </w:r>
          </w:p>
        </w:tc>
        <w:tc>
          <w:tcPr>
            <w:tcW w:w="865"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7,4</w:t>
            </w:r>
          </w:p>
        </w:tc>
        <w:tc>
          <w:tcPr>
            <w:tcW w:w="836"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7,6</w:t>
            </w:r>
          </w:p>
        </w:tc>
        <w:tc>
          <w:tcPr>
            <w:tcW w:w="899"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7,1</w:t>
            </w:r>
          </w:p>
        </w:tc>
      </w:tr>
      <w:tr w:rsidR="00B233DE" w:rsidRPr="00B34179" w:rsidTr="0023489B">
        <w:trPr>
          <w:trHeight w:val="80"/>
          <w:jc w:val="center"/>
        </w:trPr>
        <w:tc>
          <w:tcPr>
            <w:tcW w:w="851"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55-59</w:t>
            </w:r>
          </w:p>
        </w:tc>
        <w:tc>
          <w:tcPr>
            <w:tcW w:w="87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105 617</w:t>
            </w:r>
          </w:p>
        </w:tc>
        <w:tc>
          <w:tcPr>
            <w:tcW w:w="993"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55 882</w:t>
            </w:r>
          </w:p>
        </w:tc>
        <w:tc>
          <w:tcPr>
            <w:tcW w:w="85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49 735</w:t>
            </w:r>
          </w:p>
        </w:tc>
        <w:tc>
          <w:tcPr>
            <w:tcW w:w="865"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6,6</w:t>
            </w:r>
          </w:p>
        </w:tc>
        <w:tc>
          <w:tcPr>
            <w:tcW w:w="836"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6,9</w:t>
            </w:r>
          </w:p>
        </w:tc>
        <w:tc>
          <w:tcPr>
            <w:tcW w:w="899"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6,2</w:t>
            </w:r>
          </w:p>
        </w:tc>
      </w:tr>
      <w:tr w:rsidR="00B233DE" w:rsidRPr="00B34179" w:rsidTr="0023489B">
        <w:trPr>
          <w:trHeight w:val="112"/>
          <w:jc w:val="center"/>
        </w:trPr>
        <w:tc>
          <w:tcPr>
            <w:tcW w:w="851"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60-64</w:t>
            </w:r>
          </w:p>
        </w:tc>
        <w:tc>
          <w:tcPr>
            <w:tcW w:w="87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98 514</w:t>
            </w:r>
          </w:p>
        </w:tc>
        <w:tc>
          <w:tcPr>
            <w:tcW w:w="993"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51 808</w:t>
            </w:r>
          </w:p>
        </w:tc>
        <w:tc>
          <w:tcPr>
            <w:tcW w:w="85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46 706</w:t>
            </w:r>
          </w:p>
        </w:tc>
        <w:tc>
          <w:tcPr>
            <w:tcW w:w="865"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6,1</w:t>
            </w:r>
          </w:p>
        </w:tc>
        <w:tc>
          <w:tcPr>
            <w:tcW w:w="836"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6,4</w:t>
            </w:r>
          </w:p>
        </w:tc>
        <w:tc>
          <w:tcPr>
            <w:tcW w:w="899"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5,8</w:t>
            </w:r>
          </w:p>
        </w:tc>
      </w:tr>
      <w:tr w:rsidR="00B233DE" w:rsidRPr="00B34179" w:rsidTr="0023489B">
        <w:trPr>
          <w:trHeight w:val="157"/>
          <w:jc w:val="center"/>
        </w:trPr>
        <w:tc>
          <w:tcPr>
            <w:tcW w:w="851"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65-69</w:t>
            </w:r>
          </w:p>
        </w:tc>
        <w:tc>
          <w:tcPr>
            <w:tcW w:w="87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66 280</w:t>
            </w:r>
          </w:p>
        </w:tc>
        <w:tc>
          <w:tcPr>
            <w:tcW w:w="993"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32 464</w:t>
            </w:r>
          </w:p>
        </w:tc>
        <w:tc>
          <w:tcPr>
            <w:tcW w:w="85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33 816</w:t>
            </w:r>
          </w:p>
        </w:tc>
        <w:tc>
          <w:tcPr>
            <w:tcW w:w="865"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4,1</w:t>
            </w:r>
          </w:p>
        </w:tc>
        <w:tc>
          <w:tcPr>
            <w:tcW w:w="836"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4,0</w:t>
            </w:r>
          </w:p>
        </w:tc>
        <w:tc>
          <w:tcPr>
            <w:tcW w:w="899"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4,2</w:t>
            </w:r>
          </w:p>
        </w:tc>
      </w:tr>
      <w:tr w:rsidR="00B233DE" w:rsidRPr="00B34179" w:rsidTr="0023489B">
        <w:trPr>
          <w:trHeight w:val="176"/>
          <w:jc w:val="center"/>
        </w:trPr>
        <w:tc>
          <w:tcPr>
            <w:tcW w:w="851"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70 років</w:t>
            </w:r>
          </w:p>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і старше</w:t>
            </w:r>
          </w:p>
        </w:tc>
        <w:tc>
          <w:tcPr>
            <w:tcW w:w="87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205989</w:t>
            </w:r>
          </w:p>
        </w:tc>
        <w:tc>
          <w:tcPr>
            <w:tcW w:w="993"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69884</w:t>
            </w:r>
          </w:p>
        </w:tc>
        <w:tc>
          <w:tcPr>
            <w:tcW w:w="850"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136105</w:t>
            </w:r>
          </w:p>
        </w:tc>
        <w:tc>
          <w:tcPr>
            <w:tcW w:w="865"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12,8</w:t>
            </w:r>
          </w:p>
        </w:tc>
        <w:tc>
          <w:tcPr>
            <w:tcW w:w="836"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8,7</w:t>
            </w:r>
          </w:p>
        </w:tc>
        <w:tc>
          <w:tcPr>
            <w:tcW w:w="899" w:type="dxa"/>
            <w:vAlign w:val="center"/>
          </w:tcPr>
          <w:p w:rsidR="00B233DE" w:rsidRPr="00B34179" w:rsidRDefault="00B233DE" w:rsidP="0023489B">
            <w:pPr>
              <w:ind w:left="-88" w:right="-128" w:firstLine="0"/>
              <w:jc w:val="center"/>
              <w:rPr>
                <w:rFonts w:ascii="Times New Roman" w:hAnsi="Times New Roman" w:cs="Times New Roman"/>
                <w:sz w:val="16"/>
                <w:szCs w:val="16"/>
              </w:rPr>
            </w:pPr>
            <w:r w:rsidRPr="00B34179">
              <w:rPr>
                <w:rFonts w:ascii="Times New Roman" w:hAnsi="Times New Roman" w:cs="Times New Roman"/>
                <w:sz w:val="16"/>
                <w:szCs w:val="16"/>
              </w:rPr>
              <w:t>16,9</w:t>
            </w:r>
          </w:p>
        </w:tc>
      </w:tr>
    </w:tbl>
    <w:p w:rsidR="00B233DE" w:rsidRPr="00E97FE4" w:rsidRDefault="00B233DE" w:rsidP="00B233DE">
      <w:pPr>
        <w:ind w:firstLine="709"/>
        <w:jc w:val="both"/>
        <w:rPr>
          <w:rFonts w:ascii="Times New Roman" w:hAnsi="Times New Roman" w:cs="Times New Roman"/>
          <w:sz w:val="18"/>
          <w:szCs w:val="18"/>
        </w:rPr>
      </w:pPr>
      <w:r w:rsidRPr="004B50E7">
        <w:rPr>
          <w:rFonts w:ascii="Times New Roman" w:hAnsi="Times New Roman" w:cs="Times New Roman"/>
          <w:sz w:val="18"/>
          <w:szCs w:val="18"/>
        </w:rPr>
        <w:t xml:space="preserve">* - складено автором розділу на основі </w:t>
      </w:r>
      <w:r w:rsidRPr="00E97FE4">
        <w:rPr>
          <w:rFonts w:ascii="Times New Roman" w:hAnsi="Times New Roman" w:cs="Times New Roman"/>
          <w:sz w:val="18"/>
          <w:szCs w:val="18"/>
        </w:rPr>
        <w:t>[</w:t>
      </w:r>
      <w:r>
        <w:rPr>
          <w:rFonts w:ascii="Times New Roman" w:hAnsi="Times New Roman" w:cs="Times New Roman"/>
          <w:sz w:val="18"/>
          <w:szCs w:val="18"/>
        </w:rPr>
        <w:fldChar w:fldCharType="begin"/>
      </w:r>
      <w:r>
        <w:rPr>
          <w:rFonts w:ascii="Times New Roman" w:hAnsi="Times New Roman" w:cs="Times New Roman"/>
          <w:sz w:val="18"/>
          <w:szCs w:val="18"/>
        </w:rPr>
        <w:instrText xml:space="preserve"> REF _Ref435781250 \r \h </w:instrText>
      </w:r>
      <w:r>
        <w:rPr>
          <w:rFonts w:ascii="Times New Roman" w:hAnsi="Times New Roman" w:cs="Times New Roman"/>
          <w:sz w:val="18"/>
          <w:szCs w:val="18"/>
        </w:rPr>
      </w:r>
      <w:r>
        <w:rPr>
          <w:rFonts w:ascii="Times New Roman" w:hAnsi="Times New Roman" w:cs="Times New Roman"/>
          <w:sz w:val="18"/>
          <w:szCs w:val="18"/>
        </w:rPr>
        <w:fldChar w:fldCharType="separate"/>
      </w:r>
      <w:r>
        <w:rPr>
          <w:rFonts w:ascii="Times New Roman" w:hAnsi="Times New Roman" w:cs="Times New Roman"/>
          <w:sz w:val="18"/>
          <w:szCs w:val="18"/>
        </w:rPr>
        <w:t>7</w:t>
      </w:r>
      <w:r>
        <w:rPr>
          <w:rFonts w:ascii="Times New Roman" w:hAnsi="Times New Roman" w:cs="Times New Roman"/>
          <w:sz w:val="18"/>
          <w:szCs w:val="18"/>
        </w:rPr>
        <w:fldChar w:fldCharType="end"/>
      </w:r>
      <w:r w:rsidRPr="00E97FE4">
        <w:rPr>
          <w:rFonts w:ascii="Times New Roman" w:hAnsi="Times New Roman" w:cs="Times New Roman"/>
          <w:sz w:val="18"/>
          <w:szCs w:val="18"/>
        </w:rPr>
        <w:t>]</w:t>
      </w:r>
    </w:p>
    <w:p w:rsidR="00B233DE" w:rsidRDefault="00B233DE" w:rsidP="00B233DE">
      <w:pPr>
        <w:ind w:firstLine="709"/>
        <w:jc w:val="both"/>
        <w:rPr>
          <w:rFonts w:ascii="Times New Roman" w:hAnsi="Times New Roman" w:cs="Times New Roman"/>
          <w:sz w:val="21"/>
          <w:szCs w:val="21"/>
        </w:rPr>
      </w:pPr>
    </w:p>
    <w:p w:rsidR="00B233DE" w:rsidRPr="00CC5E3B"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t>З таблиці 2.</w:t>
      </w:r>
      <w:r>
        <w:rPr>
          <w:rFonts w:ascii="Times New Roman" w:hAnsi="Times New Roman" w:cs="Times New Roman"/>
          <w:sz w:val="21"/>
          <w:szCs w:val="21"/>
        </w:rPr>
        <w:t>6</w:t>
      </w:r>
      <w:r w:rsidRPr="00CC5E3B">
        <w:rPr>
          <w:rFonts w:ascii="Times New Roman" w:hAnsi="Times New Roman" w:cs="Times New Roman"/>
          <w:sz w:val="21"/>
          <w:szCs w:val="21"/>
        </w:rPr>
        <w:t xml:space="preserve"> ми можемо бачити, що в Вінницькому регіоні більшу частину населення складають люди від 20 до 60 років. В сільській місцевості населення від 20 до 45 років на 6,2 % менше в </w:t>
      </w:r>
      <w:r w:rsidRPr="00CC5E3B">
        <w:rPr>
          <w:rFonts w:ascii="Times New Roman" w:hAnsi="Times New Roman" w:cs="Times New Roman"/>
          <w:sz w:val="21"/>
          <w:szCs w:val="21"/>
        </w:rPr>
        <w:lastRenderedPageBreak/>
        <w:t>порівнянні з міським, але з 10 до 20 річного віку та з 65 років і старшого населення на 8,9 % більше</w:t>
      </w:r>
      <w:r>
        <w:rPr>
          <w:rFonts w:ascii="Times New Roman" w:hAnsi="Times New Roman" w:cs="Times New Roman"/>
          <w:sz w:val="21"/>
          <w:szCs w:val="21"/>
        </w:rPr>
        <w:t xml:space="preserve">, </w:t>
      </w:r>
      <w:r w:rsidRPr="00CC5E3B">
        <w:rPr>
          <w:rFonts w:ascii="Times New Roman" w:hAnsi="Times New Roman" w:cs="Times New Roman"/>
          <w:sz w:val="21"/>
          <w:szCs w:val="21"/>
        </w:rPr>
        <w:t>ніж міського.</w:t>
      </w:r>
    </w:p>
    <w:p w:rsidR="00B233DE"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t>Вікова структура населення розподіляється також за віковими контингентами. В економіці розрізняють поділ населення за наступними віковими групами: молодші за працездатний вік, представники працездатного віку, старші за працездатний вік. Населення працездатного віку є основою формування всіх інших категорій населення, пов’язаних з процесом зайнятості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_Ref435781262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23</w:t>
      </w:r>
      <w:r>
        <w:rPr>
          <w:rFonts w:ascii="Times New Roman" w:hAnsi="Times New Roman"/>
          <w:sz w:val="21"/>
          <w:szCs w:val="21"/>
          <w:highlight w:val="yellow"/>
        </w:rPr>
        <w:fldChar w:fldCharType="end"/>
      </w:r>
      <w:r w:rsidRPr="00CC5E3B">
        <w:rPr>
          <w:rFonts w:ascii="Times New Roman" w:hAnsi="Times New Roman" w:cs="Times New Roman"/>
          <w:sz w:val="21"/>
          <w:szCs w:val="21"/>
        </w:rPr>
        <w:t>, с. 85]. На рисунку 2.</w:t>
      </w:r>
      <w:r>
        <w:rPr>
          <w:rFonts w:ascii="Times New Roman" w:hAnsi="Times New Roman" w:cs="Times New Roman"/>
          <w:sz w:val="21"/>
          <w:szCs w:val="21"/>
        </w:rPr>
        <w:t>4</w:t>
      </w:r>
      <w:r w:rsidRPr="00CC5E3B">
        <w:rPr>
          <w:rFonts w:ascii="Times New Roman" w:hAnsi="Times New Roman" w:cs="Times New Roman"/>
          <w:sz w:val="21"/>
          <w:szCs w:val="21"/>
        </w:rPr>
        <w:t xml:space="preserve"> наведено розподіл постійного населення за основними віковими групами в Україні та Вінницькій області в 2010 і 2014 рр. </w:t>
      </w:r>
    </w:p>
    <w:p w:rsidR="00B233DE" w:rsidRPr="00CC5E3B" w:rsidRDefault="00B233DE" w:rsidP="00B233DE">
      <w:pPr>
        <w:ind w:firstLine="709"/>
        <w:jc w:val="both"/>
        <w:rPr>
          <w:rFonts w:ascii="Times New Roman" w:hAnsi="Times New Roman" w:cs="Times New Roman"/>
          <w:sz w:val="21"/>
          <w:szCs w:val="21"/>
        </w:rPr>
      </w:pPr>
    </w:p>
    <w:p w:rsidR="00B233DE" w:rsidRPr="009B2AAE" w:rsidRDefault="00B233DE" w:rsidP="00B233DE">
      <w:pPr>
        <w:spacing w:line="360" w:lineRule="auto"/>
        <w:ind w:firstLine="709"/>
        <w:jc w:val="center"/>
        <w:rPr>
          <w:rFonts w:ascii="Times New Roman" w:hAnsi="Times New Roman" w:cs="Times New Roman"/>
          <w:sz w:val="10"/>
          <w:szCs w:val="10"/>
        </w:rPr>
      </w:pPr>
      <w:r>
        <w:rPr>
          <w:noProof/>
          <w:sz w:val="28"/>
          <w:szCs w:val="28"/>
          <w:lang w:val="ru-RU" w:eastAsia="ru-RU"/>
        </w:rPr>
        <w:drawing>
          <wp:inline distT="0" distB="0" distL="0" distR="0" wp14:anchorId="40642BFB" wp14:editId="5DF8090F">
            <wp:extent cx="2838450" cy="1457325"/>
            <wp:effectExtent l="0" t="0" r="0" b="952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842624" cy="1459468"/>
                    </a:xfrm>
                    <a:prstGeom prst="rect">
                      <a:avLst/>
                    </a:prstGeom>
                    <a:noFill/>
                    <a:ln>
                      <a:noFill/>
                    </a:ln>
                  </pic:spPr>
                </pic:pic>
              </a:graphicData>
            </a:graphic>
          </wp:inline>
        </w:drawing>
      </w:r>
    </w:p>
    <w:p w:rsidR="00B233DE" w:rsidRPr="002346E6" w:rsidRDefault="00B233DE" w:rsidP="00B233DE">
      <w:pPr>
        <w:spacing w:line="360" w:lineRule="auto"/>
        <w:ind w:firstLine="709"/>
        <w:jc w:val="center"/>
        <w:rPr>
          <w:sz w:val="28"/>
          <w:szCs w:val="28"/>
        </w:rPr>
      </w:pPr>
      <w:r w:rsidRPr="009B2AAE">
        <w:rPr>
          <w:rFonts w:ascii="Times New Roman" w:hAnsi="Times New Roman" w:cs="Times New Roman"/>
          <w:noProof/>
          <w:sz w:val="28"/>
          <w:szCs w:val="28"/>
          <w:lang w:val="ru-RU" w:eastAsia="ru-RU"/>
        </w:rPr>
        <w:drawing>
          <wp:inline distT="0" distB="0" distL="0" distR="0" wp14:anchorId="0F806C3A" wp14:editId="4CC4B680">
            <wp:extent cx="2862263" cy="152400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864449" cy="1525164"/>
                    </a:xfrm>
                    <a:prstGeom prst="rect">
                      <a:avLst/>
                    </a:prstGeom>
                    <a:noFill/>
                    <a:ln>
                      <a:noFill/>
                    </a:ln>
                  </pic:spPr>
                </pic:pic>
              </a:graphicData>
            </a:graphic>
          </wp:inline>
        </w:drawing>
      </w:r>
    </w:p>
    <w:p w:rsidR="00B233DE" w:rsidRPr="00645490" w:rsidRDefault="00B233DE" w:rsidP="00B233DE">
      <w:pPr>
        <w:ind w:firstLine="709"/>
        <w:jc w:val="center"/>
        <w:rPr>
          <w:rFonts w:ascii="Times New Roman" w:hAnsi="Times New Roman" w:cs="Times New Roman"/>
          <w:b/>
          <w:sz w:val="21"/>
          <w:szCs w:val="21"/>
        </w:rPr>
      </w:pPr>
      <w:r w:rsidRPr="00645490">
        <w:rPr>
          <w:rFonts w:ascii="Times New Roman" w:hAnsi="Times New Roman" w:cs="Times New Roman"/>
          <w:b/>
          <w:sz w:val="21"/>
          <w:szCs w:val="21"/>
        </w:rPr>
        <w:t>Рис. 2.</w:t>
      </w:r>
      <w:r>
        <w:rPr>
          <w:rFonts w:ascii="Times New Roman" w:hAnsi="Times New Roman" w:cs="Times New Roman"/>
          <w:b/>
          <w:sz w:val="21"/>
          <w:szCs w:val="21"/>
        </w:rPr>
        <w:t>4</w:t>
      </w:r>
      <w:r w:rsidRPr="00645490">
        <w:rPr>
          <w:rFonts w:ascii="Times New Roman" w:hAnsi="Times New Roman" w:cs="Times New Roman"/>
          <w:b/>
          <w:sz w:val="21"/>
          <w:szCs w:val="21"/>
        </w:rPr>
        <w:t xml:space="preserve">. Розподіл постійного населення за основними віковими групами </w:t>
      </w:r>
      <w:r>
        <w:rPr>
          <w:rFonts w:ascii="Times New Roman" w:hAnsi="Times New Roman" w:cs="Times New Roman"/>
          <w:b/>
          <w:sz w:val="21"/>
          <w:szCs w:val="21"/>
        </w:rPr>
        <w:t xml:space="preserve">у Вінницькій області та Україні, %* </w:t>
      </w:r>
    </w:p>
    <w:p w:rsidR="00B233DE" w:rsidRPr="00E97FE4" w:rsidRDefault="00B233DE" w:rsidP="00B233DE">
      <w:pPr>
        <w:ind w:firstLine="709"/>
        <w:jc w:val="both"/>
        <w:rPr>
          <w:rFonts w:ascii="Times New Roman" w:hAnsi="Times New Roman" w:cs="Times New Roman"/>
          <w:sz w:val="18"/>
          <w:szCs w:val="18"/>
        </w:rPr>
      </w:pPr>
      <w:r w:rsidRPr="004B50E7">
        <w:rPr>
          <w:rFonts w:ascii="Times New Roman" w:hAnsi="Times New Roman" w:cs="Times New Roman"/>
          <w:sz w:val="18"/>
          <w:szCs w:val="18"/>
        </w:rPr>
        <w:t xml:space="preserve">* - складено автором розділу на основі </w:t>
      </w:r>
      <w:r w:rsidRPr="00E97FE4">
        <w:rPr>
          <w:rFonts w:ascii="Times New Roman" w:hAnsi="Times New Roman" w:cs="Times New Roman"/>
          <w:sz w:val="18"/>
          <w:szCs w:val="18"/>
        </w:rPr>
        <w:t>[</w:t>
      </w:r>
      <w:r>
        <w:rPr>
          <w:rFonts w:ascii="Times New Roman" w:hAnsi="Times New Roman" w:cs="Times New Roman"/>
          <w:sz w:val="18"/>
          <w:szCs w:val="18"/>
        </w:rPr>
        <w:fldChar w:fldCharType="begin"/>
      </w:r>
      <w:r>
        <w:rPr>
          <w:rFonts w:ascii="Times New Roman" w:hAnsi="Times New Roman" w:cs="Times New Roman"/>
          <w:sz w:val="18"/>
          <w:szCs w:val="18"/>
        </w:rPr>
        <w:instrText xml:space="preserve"> REF _Ref435781250 \r \h </w:instrText>
      </w:r>
      <w:r>
        <w:rPr>
          <w:rFonts w:ascii="Times New Roman" w:hAnsi="Times New Roman" w:cs="Times New Roman"/>
          <w:sz w:val="18"/>
          <w:szCs w:val="18"/>
        </w:rPr>
      </w:r>
      <w:r>
        <w:rPr>
          <w:rFonts w:ascii="Times New Roman" w:hAnsi="Times New Roman" w:cs="Times New Roman"/>
          <w:sz w:val="18"/>
          <w:szCs w:val="18"/>
        </w:rPr>
        <w:fldChar w:fldCharType="separate"/>
      </w:r>
      <w:r>
        <w:rPr>
          <w:rFonts w:ascii="Times New Roman" w:hAnsi="Times New Roman" w:cs="Times New Roman"/>
          <w:sz w:val="18"/>
          <w:szCs w:val="18"/>
        </w:rPr>
        <w:t>7</w:t>
      </w:r>
      <w:r>
        <w:rPr>
          <w:rFonts w:ascii="Times New Roman" w:hAnsi="Times New Roman" w:cs="Times New Roman"/>
          <w:sz w:val="18"/>
          <w:szCs w:val="18"/>
        </w:rPr>
        <w:fldChar w:fldCharType="end"/>
      </w:r>
      <w:r w:rsidRPr="00E97FE4">
        <w:rPr>
          <w:rFonts w:ascii="Times New Roman" w:hAnsi="Times New Roman" w:cs="Times New Roman"/>
          <w:sz w:val="18"/>
          <w:szCs w:val="18"/>
        </w:rPr>
        <w:t>]</w:t>
      </w:r>
    </w:p>
    <w:p w:rsidR="00B233DE" w:rsidRDefault="00B233DE" w:rsidP="00B233DE">
      <w:pPr>
        <w:ind w:firstLine="709"/>
        <w:jc w:val="both"/>
        <w:rPr>
          <w:rFonts w:ascii="Times New Roman" w:hAnsi="Times New Roman" w:cs="Times New Roman"/>
          <w:sz w:val="21"/>
          <w:szCs w:val="21"/>
        </w:rPr>
      </w:pPr>
    </w:p>
    <w:p w:rsidR="00B233DE" w:rsidRPr="00CC5E3B"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t>З рисунку 2.</w:t>
      </w:r>
      <w:r>
        <w:rPr>
          <w:rFonts w:ascii="Times New Roman" w:hAnsi="Times New Roman" w:cs="Times New Roman"/>
          <w:sz w:val="21"/>
          <w:szCs w:val="21"/>
        </w:rPr>
        <w:t>4</w:t>
      </w:r>
      <w:r w:rsidRPr="00CC5E3B">
        <w:rPr>
          <w:rFonts w:ascii="Times New Roman" w:hAnsi="Times New Roman" w:cs="Times New Roman"/>
          <w:sz w:val="21"/>
          <w:szCs w:val="21"/>
        </w:rPr>
        <w:t xml:space="preserve"> видно, що в ці роки характер розподілу постійного населення за даними віковими групами залишається майже незмінним. У складі населення порівняно низька частка осіб, </w:t>
      </w:r>
      <w:r w:rsidRPr="00CC5E3B">
        <w:rPr>
          <w:rFonts w:ascii="Times New Roman" w:hAnsi="Times New Roman" w:cs="Times New Roman"/>
          <w:sz w:val="21"/>
          <w:szCs w:val="21"/>
        </w:rPr>
        <w:lastRenderedPageBreak/>
        <w:t>молодших за працездатний вік, і значно більша тих, хто старший за працездатний вік.</w:t>
      </w:r>
    </w:p>
    <w:p w:rsidR="00B233DE" w:rsidRPr="00CC5E3B"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t>Характерним є те, що у Вінницькій області представників, молодших за працездатний вік, дещо більше</w:t>
      </w:r>
      <w:r>
        <w:rPr>
          <w:rFonts w:ascii="Times New Roman" w:hAnsi="Times New Roman" w:cs="Times New Roman"/>
          <w:sz w:val="21"/>
          <w:szCs w:val="21"/>
        </w:rPr>
        <w:t>,</w:t>
      </w:r>
      <w:r w:rsidRPr="00CC5E3B">
        <w:rPr>
          <w:rFonts w:ascii="Times New Roman" w:hAnsi="Times New Roman" w:cs="Times New Roman"/>
          <w:sz w:val="21"/>
          <w:szCs w:val="21"/>
        </w:rPr>
        <w:t xml:space="preserve"> ніж в середньому по Україні, а осіб, старших за працездатний вік, більше порівняно з середньоукраїнським показником. </w:t>
      </w:r>
    </w:p>
    <w:p w:rsidR="00B233DE" w:rsidRPr="00CC5E3B" w:rsidRDefault="00B233DE" w:rsidP="00B233DE">
      <w:pPr>
        <w:ind w:firstLine="709"/>
        <w:jc w:val="both"/>
        <w:rPr>
          <w:rFonts w:ascii="Times New Roman" w:hAnsi="Times New Roman" w:cs="Times New Roman"/>
          <w:sz w:val="21"/>
          <w:szCs w:val="21"/>
          <w:highlight w:val="yellow"/>
        </w:rPr>
      </w:pPr>
      <w:r w:rsidRPr="00CC5E3B">
        <w:rPr>
          <w:rFonts w:ascii="Times New Roman" w:hAnsi="Times New Roman" w:cs="Times New Roman"/>
          <w:sz w:val="21"/>
          <w:szCs w:val="21"/>
        </w:rPr>
        <w:t>Частка людей працездатног</w:t>
      </w:r>
      <w:r>
        <w:rPr>
          <w:rFonts w:ascii="Times New Roman" w:hAnsi="Times New Roman" w:cs="Times New Roman"/>
          <w:sz w:val="21"/>
          <w:szCs w:val="21"/>
        </w:rPr>
        <w:t>о віку зменшилась по Вінницькій</w:t>
      </w:r>
      <w:r w:rsidRPr="00CC5E3B">
        <w:rPr>
          <w:rFonts w:ascii="Times New Roman" w:hAnsi="Times New Roman" w:cs="Times New Roman"/>
          <w:sz w:val="21"/>
          <w:szCs w:val="21"/>
        </w:rPr>
        <w:t xml:space="preserve"> області та збільшилась по Україні на 2</w:t>
      </w:r>
      <w:r>
        <w:rPr>
          <w:rFonts w:ascii="Times New Roman" w:hAnsi="Times New Roman" w:cs="Times New Roman"/>
          <w:sz w:val="21"/>
          <w:szCs w:val="21"/>
        </w:rPr>
        <w:t xml:space="preserve"> </w:t>
      </w:r>
      <w:r w:rsidRPr="00CC5E3B">
        <w:rPr>
          <w:rFonts w:ascii="Times New Roman" w:hAnsi="Times New Roman" w:cs="Times New Roman"/>
          <w:sz w:val="21"/>
          <w:szCs w:val="21"/>
        </w:rPr>
        <w:t>%. Існує тенденція зменшення серед населення і України і регіону частки осіб працездатного віку і збільшення старших за працездатний вік.</w:t>
      </w:r>
    </w:p>
    <w:p w:rsidR="00B233DE" w:rsidRDefault="00B233DE" w:rsidP="00B233DE">
      <w:pPr>
        <w:ind w:firstLine="709"/>
        <w:jc w:val="both"/>
        <w:rPr>
          <w:rFonts w:ascii="Times New Roman" w:hAnsi="Times New Roman" w:cs="Times New Roman"/>
          <w:sz w:val="21"/>
          <w:szCs w:val="21"/>
        </w:rPr>
      </w:pPr>
      <w:r w:rsidRPr="00CC5E3B">
        <w:rPr>
          <w:rFonts w:ascii="Times New Roman" w:hAnsi="Times New Roman" w:cs="Times New Roman"/>
          <w:sz w:val="21"/>
          <w:szCs w:val="21"/>
        </w:rPr>
        <w:t>Якщо частка молодших вікових груп неухильно скорочується, а частка старших збільшується, то такий феномен називають демографічним старінням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_Ref435781256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19</w:t>
      </w:r>
      <w:r>
        <w:rPr>
          <w:rFonts w:ascii="Times New Roman" w:hAnsi="Times New Roman"/>
          <w:sz w:val="21"/>
          <w:szCs w:val="21"/>
          <w:highlight w:val="yellow"/>
        </w:rPr>
        <w:fldChar w:fldCharType="end"/>
      </w:r>
      <w:r w:rsidRPr="00CC5E3B">
        <w:rPr>
          <w:rFonts w:ascii="Times New Roman" w:hAnsi="Times New Roman" w:cs="Times New Roman"/>
          <w:sz w:val="21"/>
          <w:szCs w:val="21"/>
        </w:rPr>
        <w:t>, с. 25]. Головною причиною цього є зниження народжуваності. Польський демограф Е.</w:t>
      </w:r>
      <w:r>
        <w:rPr>
          <w:rFonts w:ascii="Times New Roman" w:hAnsi="Times New Roman" w:cs="Times New Roman"/>
          <w:sz w:val="21"/>
          <w:szCs w:val="21"/>
        </w:rPr>
        <w:t> </w:t>
      </w:r>
      <w:r w:rsidRPr="00CC5E3B">
        <w:rPr>
          <w:rFonts w:ascii="Times New Roman" w:hAnsi="Times New Roman" w:cs="Times New Roman"/>
          <w:sz w:val="21"/>
          <w:szCs w:val="21"/>
        </w:rPr>
        <w:t>Россет ще раніше передбачав п’яту фазу демографічного переходу, яка характерна перевищенням смертності над народжуваністю. Він відмічає, що довгострокове панування п’ятої фази загрожує загибеллю націям, які уражені цим процесом. Оскільки тенденція старіння населення неминуче виявляється визначальною, то слід враховувати, що це є об’єктивний, історично зумовлений процес і його наслідки не</w:t>
      </w:r>
      <w:r>
        <w:rPr>
          <w:rFonts w:ascii="Times New Roman" w:hAnsi="Times New Roman" w:cs="Times New Roman"/>
          <w:sz w:val="21"/>
          <w:szCs w:val="21"/>
        </w:rPr>
        <w:t>зв</w:t>
      </w:r>
      <w:r w:rsidRPr="00CC5E3B">
        <w:rPr>
          <w:rFonts w:ascii="Times New Roman" w:hAnsi="Times New Roman" w:cs="Times New Roman"/>
          <w:sz w:val="21"/>
          <w:szCs w:val="21"/>
        </w:rPr>
        <w:t>оротні. Необхідно усвідомлювати його неминучість та історичний характер і враховувати це у суспільній практиці.</w:t>
      </w: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Про значне старіння населення свідчить рисунок 2.</w:t>
      </w:r>
      <w:r>
        <w:rPr>
          <w:rFonts w:ascii="Times New Roman" w:hAnsi="Times New Roman" w:cs="Times New Roman"/>
          <w:sz w:val="21"/>
          <w:szCs w:val="21"/>
        </w:rPr>
        <w:t>5</w:t>
      </w:r>
      <w:r w:rsidRPr="002B4100">
        <w:rPr>
          <w:rFonts w:ascii="Times New Roman" w:hAnsi="Times New Roman" w:cs="Times New Roman"/>
          <w:sz w:val="21"/>
          <w:szCs w:val="21"/>
        </w:rPr>
        <w:t>. Як ми можемо побачити</w:t>
      </w:r>
      <w:r>
        <w:rPr>
          <w:rFonts w:ascii="Times New Roman" w:hAnsi="Times New Roman" w:cs="Times New Roman"/>
          <w:sz w:val="21"/>
          <w:szCs w:val="21"/>
        </w:rPr>
        <w:t>,</w:t>
      </w:r>
      <w:r w:rsidRPr="002B4100">
        <w:rPr>
          <w:rFonts w:ascii="Times New Roman" w:hAnsi="Times New Roman" w:cs="Times New Roman"/>
          <w:sz w:val="21"/>
          <w:szCs w:val="21"/>
        </w:rPr>
        <w:t xml:space="preserve"> кількість пенсіонерів в Україні збільшується в 1996</w:t>
      </w:r>
      <w:r>
        <w:rPr>
          <w:rFonts w:ascii="Times New Roman" w:hAnsi="Times New Roman" w:cs="Times New Roman"/>
          <w:sz w:val="21"/>
          <w:szCs w:val="21"/>
        </w:rPr>
        <w:t>–</w:t>
      </w:r>
      <w:r w:rsidRPr="002B4100">
        <w:rPr>
          <w:rFonts w:ascii="Times New Roman" w:hAnsi="Times New Roman" w:cs="Times New Roman"/>
          <w:sz w:val="21"/>
          <w:szCs w:val="21"/>
        </w:rPr>
        <w:t>2012 рр. та у 2013 починає зменшуватися. Що стосується ситуації у Вінницькій області, то вона постійно коливається в межах 1</w:t>
      </w:r>
      <w:r>
        <w:rPr>
          <w:rFonts w:ascii="Times New Roman" w:hAnsi="Times New Roman" w:cs="Times New Roman"/>
          <w:sz w:val="21"/>
          <w:szCs w:val="21"/>
        </w:rPr>
        <w:t xml:space="preserve"> </w:t>
      </w:r>
      <w:r w:rsidRPr="002B4100">
        <w:rPr>
          <w:rFonts w:ascii="Times New Roman" w:hAnsi="Times New Roman" w:cs="Times New Roman"/>
          <w:sz w:val="21"/>
          <w:szCs w:val="21"/>
        </w:rPr>
        <w:t>%. Це при тому, що кількість постійного населення в останні 20 років тільки зменшується, як в регіоні так і в країні в цілому (рис. 2.</w:t>
      </w:r>
      <w:r>
        <w:rPr>
          <w:rFonts w:ascii="Times New Roman" w:hAnsi="Times New Roman" w:cs="Times New Roman"/>
          <w:sz w:val="21"/>
          <w:szCs w:val="21"/>
        </w:rPr>
        <w:t>3</w:t>
      </w:r>
      <w:r w:rsidRPr="002B4100">
        <w:rPr>
          <w:rFonts w:ascii="Times New Roman" w:hAnsi="Times New Roman" w:cs="Times New Roman"/>
          <w:sz w:val="21"/>
          <w:szCs w:val="21"/>
        </w:rPr>
        <w:t>).</w:t>
      </w: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Стать є однією з найважливіших вроджених ознак людини, яка визначає її роль у відтворенні населення, сімейний та соціальний статус.</w:t>
      </w:r>
    </w:p>
    <w:p w:rsidR="00B233DE"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 xml:space="preserve">Нормальне відтворення населення за умов панування моногамної сім’ї потребує рівноваги чоловіків і жінок у населенні. Особливо це важливо у дітородному і працездатному віці. Порушення балансу ускладнює одруження, збільшує ризик розлучень, призводить до появи неповних сімей. Баланс або дисбаланс за статтю має велике значення в організації суспільного </w:t>
      </w:r>
      <w:r w:rsidRPr="002B4100">
        <w:rPr>
          <w:rFonts w:ascii="Times New Roman" w:hAnsi="Times New Roman" w:cs="Times New Roman"/>
          <w:sz w:val="21"/>
          <w:szCs w:val="21"/>
        </w:rPr>
        <w:lastRenderedPageBreak/>
        <w:t>виробництва, управлінні господарством (виникають міста, де переважають незаміжні жінки, чи села, де не вистачає дівчат).</w:t>
      </w:r>
    </w:p>
    <w:p w:rsidR="00B233DE" w:rsidRPr="002B4100" w:rsidRDefault="00B233DE" w:rsidP="00B233DE">
      <w:pPr>
        <w:ind w:firstLine="709"/>
        <w:jc w:val="both"/>
        <w:rPr>
          <w:rFonts w:ascii="Times New Roman" w:hAnsi="Times New Roman" w:cs="Times New Roman"/>
          <w:sz w:val="21"/>
          <w:szCs w:val="21"/>
        </w:rPr>
      </w:pPr>
    </w:p>
    <w:p w:rsidR="00B233DE" w:rsidRPr="002346E6" w:rsidRDefault="00B233DE" w:rsidP="00B233DE">
      <w:pPr>
        <w:spacing w:line="360" w:lineRule="auto"/>
        <w:ind w:firstLine="709"/>
        <w:jc w:val="both"/>
        <w:rPr>
          <w:sz w:val="28"/>
          <w:szCs w:val="28"/>
          <w:highlight w:val="yellow"/>
        </w:rPr>
      </w:pPr>
      <w:r>
        <w:rPr>
          <w:noProof/>
          <w:sz w:val="28"/>
          <w:szCs w:val="28"/>
          <w:lang w:val="ru-RU" w:eastAsia="ru-RU"/>
        </w:rPr>
        <w:drawing>
          <wp:inline distT="0" distB="0" distL="0" distR="0" wp14:anchorId="319A26A4" wp14:editId="01C928C4">
            <wp:extent cx="3290888" cy="1643062"/>
            <wp:effectExtent l="0" t="0" r="508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92619" cy="1643926"/>
                    </a:xfrm>
                    <a:prstGeom prst="rect">
                      <a:avLst/>
                    </a:prstGeom>
                    <a:noFill/>
                    <a:ln>
                      <a:noFill/>
                    </a:ln>
                  </pic:spPr>
                </pic:pic>
              </a:graphicData>
            </a:graphic>
          </wp:inline>
        </w:drawing>
      </w:r>
    </w:p>
    <w:p w:rsidR="00B233DE" w:rsidRPr="00645490" w:rsidRDefault="00B233DE" w:rsidP="00B233DE">
      <w:pPr>
        <w:ind w:firstLine="709"/>
        <w:jc w:val="center"/>
        <w:rPr>
          <w:rFonts w:ascii="Times New Roman" w:hAnsi="Times New Roman" w:cs="Times New Roman"/>
          <w:b/>
          <w:sz w:val="21"/>
          <w:szCs w:val="21"/>
        </w:rPr>
      </w:pPr>
      <w:r w:rsidRPr="00645490">
        <w:rPr>
          <w:rFonts w:ascii="Times New Roman" w:hAnsi="Times New Roman" w:cs="Times New Roman"/>
          <w:b/>
          <w:sz w:val="21"/>
          <w:szCs w:val="21"/>
        </w:rPr>
        <w:t>Рис. 2.</w:t>
      </w:r>
      <w:r>
        <w:rPr>
          <w:rFonts w:ascii="Times New Roman" w:hAnsi="Times New Roman" w:cs="Times New Roman"/>
          <w:b/>
          <w:sz w:val="21"/>
          <w:szCs w:val="21"/>
        </w:rPr>
        <w:t>5</w:t>
      </w:r>
      <w:r w:rsidRPr="00645490">
        <w:rPr>
          <w:rFonts w:ascii="Times New Roman" w:hAnsi="Times New Roman" w:cs="Times New Roman"/>
          <w:b/>
          <w:sz w:val="21"/>
          <w:szCs w:val="21"/>
        </w:rPr>
        <w:t xml:space="preserve">. </w:t>
      </w:r>
      <w:r>
        <w:rPr>
          <w:rFonts w:ascii="Times New Roman" w:hAnsi="Times New Roman" w:cs="Times New Roman"/>
          <w:b/>
          <w:sz w:val="21"/>
          <w:szCs w:val="21"/>
        </w:rPr>
        <w:t>Частка</w:t>
      </w:r>
      <w:r w:rsidRPr="00645490">
        <w:rPr>
          <w:rFonts w:ascii="Times New Roman" w:hAnsi="Times New Roman" w:cs="Times New Roman"/>
          <w:b/>
          <w:sz w:val="21"/>
          <w:szCs w:val="21"/>
        </w:rPr>
        <w:t xml:space="preserve"> пенсіонерів </w:t>
      </w:r>
      <w:r>
        <w:rPr>
          <w:rFonts w:ascii="Times New Roman" w:hAnsi="Times New Roman" w:cs="Times New Roman"/>
          <w:b/>
          <w:sz w:val="21"/>
          <w:szCs w:val="21"/>
        </w:rPr>
        <w:t>у</w:t>
      </w:r>
      <w:r w:rsidRPr="00645490">
        <w:rPr>
          <w:rFonts w:ascii="Times New Roman" w:hAnsi="Times New Roman" w:cs="Times New Roman"/>
          <w:b/>
          <w:sz w:val="21"/>
          <w:szCs w:val="21"/>
        </w:rPr>
        <w:t xml:space="preserve"> Вінницькій області та в Україні у 1996–2014 рр.</w:t>
      </w:r>
      <w:r>
        <w:rPr>
          <w:rFonts w:ascii="Times New Roman" w:hAnsi="Times New Roman" w:cs="Times New Roman"/>
          <w:b/>
          <w:sz w:val="21"/>
          <w:szCs w:val="21"/>
        </w:rPr>
        <w:t xml:space="preserve"> у загальній кількості населення</w:t>
      </w:r>
      <w:r w:rsidRPr="00645490">
        <w:rPr>
          <w:rFonts w:ascii="Times New Roman" w:hAnsi="Times New Roman" w:cs="Times New Roman"/>
          <w:b/>
          <w:sz w:val="21"/>
          <w:szCs w:val="21"/>
        </w:rPr>
        <w:t>, % [</w:t>
      </w:r>
      <w:r>
        <w:rPr>
          <w:rFonts w:ascii="Times New Roman" w:hAnsi="Times New Roman" w:cs="Times New Roman"/>
          <w:b/>
          <w:sz w:val="21"/>
          <w:szCs w:val="21"/>
          <w:highlight w:val="yellow"/>
        </w:rPr>
        <w:fldChar w:fldCharType="begin"/>
      </w:r>
      <w:r>
        <w:rPr>
          <w:rFonts w:ascii="Times New Roman" w:hAnsi="Times New Roman" w:cs="Times New Roman"/>
          <w:b/>
          <w:sz w:val="21"/>
          <w:szCs w:val="21"/>
        </w:rPr>
        <w:instrText xml:space="preserve"> REF _Ref435781250 \r \h </w:instrText>
      </w:r>
      <w:r>
        <w:rPr>
          <w:rFonts w:ascii="Times New Roman" w:hAnsi="Times New Roman" w:cs="Times New Roman"/>
          <w:b/>
          <w:sz w:val="21"/>
          <w:szCs w:val="21"/>
          <w:highlight w:val="yellow"/>
        </w:rPr>
      </w:r>
      <w:r>
        <w:rPr>
          <w:rFonts w:ascii="Times New Roman" w:hAnsi="Times New Roman" w:cs="Times New Roman"/>
          <w:b/>
          <w:sz w:val="21"/>
          <w:szCs w:val="21"/>
          <w:highlight w:val="yellow"/>
        </w:rPr>
        <w:fldChar w:fldCharType="separate"/>
      </w:r>
      <w:r>
        <w:rPr>
          <w:rFonts w:ascii="Times New Roman" w:hAnsi="Times New Roman" w:cs="Times New Roman"/>
          <w:b/>
          <w:sz w:val="21"/>
          <w:szCs w:val="21"/>
        </w:rPr>
        <w:t>7</w:t>
      </w:r>
      <w:r>
        <w:rPr>
          <w:rFonts w:ascii="Times New Roman" w:hAnsi="Times New Roman" w:cs="Times New Roman"/>
          <w:b/>
          <w:sz w:val="21"/>
          <w:szCs w:val="21"/>
          <w:highlight w:val="yellow"/>
        </w:rPr>
        <w:fldChar w:fldCharType="end"/>
      </w:r>
      <w:r w:rsidRPr="00645490">
        <w:rPr>
          <w:rFonts w:ascii="Times New Roman" w:hAnsi="Times New Roman" w:cs="Times New Roman"/>
          <w:b/>
          <w:sz w:val="21"/>
          <w:szCs w:val="21"/>
        </w:rPr>
        <w:t>]</w:t>
      </w:r>
    </w:p>
    <w:p w:rsidR="00B233DE" w:rsidRPr="002B4100" w:rsidRDefault="00B233DE" w:rsidP="00B233DE">
      <w:pPr>
        <w:ind w:firstLine="709"/>
        <w:jc w:val="both"/>
        <w:rPr>
          <w:rFonts w:ascii="Times New Roman" w:hAnsi="Times New Roman" w:cs="Times New Roman"/>
          <w:sz w:val="21"/>
          <w:szCs w:val="21"/>
        </w:rPr>
      </w:pP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Співвідношення чоловіків та жінок в конкретній місцевості має бути об’єктом державної демографічної політики.</w:t>
      </w: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Відомо, що хлопчиків народжується більше</w:t>
      </w:r>
      <w:r>
        <w:rPr>
          <w:rFonts w:ascii="Times New Roman" w:hAnsi="Times New Roman" w:cs="Times New Roman"/>
          <w:sz w:val="21"/>
          <w:szCs w:val="21"/>
        </w:rPr>
        <w:t>,</w:t>
      </w:r>
      <w:r w:rsidRPr="002B4100">
        <w:rPr>
          <w:rFonts w:ascii="Times New Roman" w:hAnsi="Times New Roman" w:cs="Times New Roman"/>
          <w:sz w:val="21"/>
          <w:szCs w:val="21"/>
        </w:rPr>
        <w:t xml:space="preserve"> ніж дівчаток. У науковій літературі це явище описав ще Дж. Граунт. Воно досить стійке і вважається константою, адже діє у вузьких межах. На 100 дівчаток народжується 104</w:t>
      </w:r>
      <w:r>
        <w:rPr>
          <w:rFonts w:ascii="Times New Roman" w:hAnsi="Times New Roman" w:cs="Times New Roman"/>
          <w:sz w:val="21"/>
          <w:szCs w:val="21"/>
        </w:rPr>
        <w:t>–</w:t>
      </w:r>
      <w:r w:rsidRPr="002B4100">
        <w:rPr>
          <w:rFonts w:ascii="Times New Roman" w:hAnsi="Times New Roman" w:cs="Times New Roman"/>
          <w:sz w:val="21"/>
          <w:szCs w:val="21"/>
        </w:rPr>
        <w:t>107 хлопчиків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_Ref435781306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14</w:t>
      </w:r>
      <w:r>
        <w:rPr>
          <w:rFonts w:ascii="Times New Roman" w:hAnsi="Times New Roman"/>
          <w:sz w:val="21"/>
          <w:szCs w:val="21"/>
          <w:highlight w:val="yellow"/>
        </w:rPr>
        <w:fldChar w:fldCharType="end"/>
      </w:r>
      <w:r w:rsidRPr="002B4100">
        <w:rPr>
          <w:rFonts w:ascii="Times New Roman" w:hAnsi="Times New Roman" w:cs="Times New Roman"/>
          <w:sz w:val="21"/>
          <w:szCs w:val="21"/>
        </w:rPr>
        <w:t>, с. 305].</w:t>
      </w: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Природні причини цього явища наукою остаточно не з’ясовані. Серед різних гіпотез є припущення, що це закладено природою, адже через чоловіків відбувається природний відбір, вдосконалення людського роду. Чоловіки гірше пристосовуються до несприятливих екстремальних умов існування, у них нижчий опір захворювання</w:t>
      </w:r>
      <w:r>
        <w:rPr>
          <w:rFonts w:ascii="Times New Roman" w:hAnsi="Times New Roman" w:cs="Times New Roman"/>
          <w:sz w:val="21"/>
          <w:szCs w:val="21"/>
        </w:rPr>
        <w:t>м</w:t>
      </w:r>
      <w:r w:rsidRPr="002B4100">
        <w:rPr>
          <w:rFonts w:ascii="Times New Roman" w:hAnsi="Times New Roman" w:cs="Times New Roman"/>
          <w:sz w:val="21"/>
          <w:szCs w:val="21"/>
        </w:rPr>
        <w:t>, отже, вища смертність. Через жінок відбувається накопичення і збереження стійких для людини як біологічного виду якостей. Природа таким чином створює деякий «лишок» чоловіків при народженні.</w:t>
      </w: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Через вищу смертність чоловіків, що частково спричиняється природними факторами, а частково – суспільними, з часом у певному віці кількість чоловіків і жінок зрівнюється, і в старшому віці виявляється переважання жінок.</w:t>
      </w:r>
    </w:p>
    <w:p w:rsidR="00B233DE"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Вік в якому наступає рівновага, з розвитком люд</w:t>
      </w:r>
      <w:r>
        <w:rPr>
          <w:rFonts w:ascii="Times New Roman" w:hAnsi="Times New Roman" w:cs="Times New Roman"/>
          <w:sz w:val="21"/>
          <w:szCs w:val="21"/>
        </w:rPr>
        <w:t xml:space="preserve">ства зміщується в бік старості. </w:t>
      </w:r>
      <w:r w:rsidRPr="002B4100">
        <w:rPr>
          <w:rFonts w:ascii="Times New Roman" w:hAnsi="Times New Roman" w:cs="Times New Roman"/>
          <w:sz w:val="21"/>
          <w:szCs w:val="21"/>
        </w:rPr>
        <w:t xml:space="preserve">У розвинених країнах, що мають найкращі демографічні показники (Нідерланди, Норвегія, Швеція, </w:t>
      </w:r>
      <w:r w:rsidRPr="002B4100">
        <w:rPr>
          <w:rFonts w:ascii="Times New Roman" w:hAnsi="Times New Roman" w:cs="Times New Roman"/>
          <w:sz w:val="21"/>
          <w:szCs w:val="21"/>
        </w:rPr>
        <w:lastRenderedPageBreak/>
        <w:t xml:space="preserve">Данія) вік балансування (рівноваги) перевищив 50 років (норма балансування), а в Європі він коливається </w:t>
      </w:r>
      <w:r>
        <w:rPr>
          <w:rFonts w:ascii="Times New Roman" w:hAnsi="Times New Roman" w:cs="Times New Roman"/>
          <w:sz w:val="21"/>
          <w:szCs w:val="21"/>
        </w:rPr>
        <w:t>в межах</w:t>
      </w:r>
      <w:r w:rsidRPr="002B4100">
        <w:rPr>
          <w:rFonts w:ascii="Times New Roman" w:hAnsi="Times New Roman" w:cs="Times New Roman"/>
          <w:sz w:val="21"/>
          <w:szCs w:val="21"/>
        </w:rPr>
        <w:t xml:space="preserve"> 44</w:t>
      </w:r>
      <w:r>
        <w:rPr>
          <w:rFonts w:ascii="Times New Roman" w:hAnsi="Times New Roman" w:cs="Times New Roman"/>
          <w:sz w:val="21"/>
          <w:szCs w:val="21"/>
        </w:rPr>
        <w:t>–</w:t>
      </w:r>
      <w:r w:rsidRPr="002B4100">
        <w:rPr>
          <w:rFonts w:ascii="Times New Roman" w:hAnsi="Times New Roman" w:cs="Times New Roman"/>
          <w:sz w:val="21"/>
          <w:szCs w:val="21"/>
        </w:rPr>
        <w:t>49 років.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_Ref435781306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14</w:t>
      </w:r>
      <w:r>
        <w:rPr>
          <w:rFonts w:ascii="Times New Roman" w:hAnsi="Times New Roman"/>
          <w:sz w:val="21"/>
          <w:szCs w:val="21"/>
          <w:highlight w:val="yellow"/>
        </w:rPr>
        <w:fldChar w:fldCharType="end"/>
      </w:r>
      <w:r w:rsidRPr="002B4100">
        <w:rPr>
          <w:rFonts w:ascii="Times New Roman" w:hAnsi="Times New Roman" w:cs="Times New Roman"/>
          <w:sz w:val="21"/>
          <w:szCs w:val="21"/>
        </w:rPr>
        <w:t xml:space="preserve">]. Вважаючи вік 50 років сучасною соціальною нормою балансування, можна розрахувати коефіцієнт демографічного здоров’я </w:t>
      </w:r>
      <w:r>
        <w:rPr>
          <w:rFonts w:ascii="Times New Roman" w:hAnsi="Times New Roman" w:cs="Times New Roman"/>
          <w:sz w:val="21"/>
          <w:szCs w:val="21"/>
        </w:rPr>
        <w:t>у</w:t>
      </w:r>
      <w:r w:rsidRPr="002B4100">
        <w:rPr>
          <w:rFonts w:ascii="Times New Roman" w:hAnsi="Times New Roman" w:cs="Times New Roman"/>
          <w:sz w:val="21"/>
          <w:szCs w:val="21"/>
        </w:rPr>
        <w:t xml:space="preserve"> Вінницькому регіоні </w:t>
      </w:r>
      <w:r>
        <w:rPr>
          <w:rFonts w:ascii="Times New Roman" w:hAnsi="Times New Roman" w:cs="Times New Roman"/>
          <w:sz w:val="21"/>
          <w:szCs w:val="21"/>
        </w:rPr>
        <w:t>станом на 2014 рік за формулою</w:t>
      </w:r>
      <w:r w:rsidRPr="002B4100">
        <w:rPr>
          <w:rFonts w:ascii="Times New Roman" w:hAnsi="Times New Roman" w:cs="Times New Roman"/>
          <w:sz w:val="21"/>
          <w:szCs w:val="21"/>
        </w:rPr>
        <w:t>:</w:t>
      </w:r>
    </w:p>
    <w:p w:rsidR="00B233DE" w:rsidRPr="00F91C2F" w:rsidRDefault="00B233DE" w:rsidP="00B233DE">
      <w:pPr>
        <w:ind w:firstLine="709"/>
        <w:jc w:val="both"/>
        <w:rPr>
          <w:rFonts w:ascii="Times New Roman" w:hAnsi="Times New Roman" w:cs="Times New Roman"/>
          <w:sz w:val="21"/>
          <w:szCs w:val="21"/>
        </w:rPr>
      </w:pPr>
    </w:p>
    <w:p w:rsidR="00B233DE" w:rsidRPr="002B4100" w:rsidRDefault="00B233DE" w:rsidP="00B233DE">
      <w:pPr>
        <w:ind w:firstLine="709"/>
        <w:jc w:val="center"/>
        <w:rPr>
          <w:rFonts w:ascii="Times New Roman" w:hAnsi="Times New Roman" w:cs="Times New Roman"/>
          <w:sz w:val="21"/>
          <w:szCs w:val="21"/>
        </w:rPr>
      </w:pPr>
      <w:r>
        <w:rPr>
          <w:rFonts w:ascii="Times New Roman" w:hAnsi="Times New Roman" w:cs="Times New Roman"/>
          <w:sz w:val="21"/>
          <w:szCs w:val="21"/>
        </w:rPr>
        <w:t xml:space="preserve">                                     </w:t>
      </w:r>
      <w:r w:rsidRPr="002B4100">
        <w:rPr>
          <w:rFonts w:ascii="Times New Roman" w:hAnsi="Times New Roman" w:cs="Times New Roman"/>
          <w:sz w:val="21"/>
          <w:szCs w:val="21"/>
        </w:rPr>
        <w:t>К</w:t>
      </w:r>
      <w:r w:rsidRPr="009B0AF4">
        <w:rPr>
          <w:rFonts w:ascii="Times New Roman" w:hAnsi="Times New Roman" w:cs="Times New Roman"/>
          <w:sz w:val="21"/>
          <w:szCs w:val="21"/>
          <w:vertAlign w:val="subscript"/>
        </w:rPr>
        <w:t>B</w:t>
      </w:r>
      <w:r>
        <w:rPr>
          <w:rFonts w:ascii="Times New Roman" w:hAnsi="Times New Roman" w:cs="Times New Roman"/>
          <w:sz w:val="21"/>
          <w:szCs w:val="21"/>
          <w:vertAlign w:val="subscript"/>
        </w:rPr>
        <w:t xml:space="preserve"> </w:t>
      </w:r>
      <w:r w:rsidRPr="002B4100">
        <w:rPr>
          <w:rFonts w:ascii="Times New Roman" w:hAnsi="Times New Roman" w:cs="Times New Roman"/>
          <w:sz w:val="21"/>
          <w:szCs w:val="21"/>
        </w:rPr>
        <w:t>= Х</w:t>
      </w:r>
      <w:r w:rsidRPr="002B4100">
        <w:rPr>
          <w:rFonts w:ascii="Times New Roman" w:hAnsi="Times New Roman" w:cs="Times New Roman"/>
          <w:sz w:val="21"/>
          <w:szCs w:val="21"/>
          <w:vertAlign w:val="subscript"/>
        </w:rPr>
        <w:t>B</w:t>
      </w:r>
      <w:r w:rsidRPr="002B4100">
        <w:rPr>
          <w:rFonts w:ascii="Times New Roman" w:hAnsi="Times New Roman" w:cs="Times New Roman"/>
          <w:sz w:val="21"/>
          <w:szCs w:val="21"/>
        </w:rPr>
        <w:t xml:space="preserve"> / Ч</w:t>
      </w:r>
      <w:r w:rsidRPr="002B4100">
        <w:rPr>
          <w:rFonts w:ascii="Times New Roman" w:hAnsi="Times New Roman" w:cs="Times New Roman"/>
          <w:sz w:val="21"/>
          <w:szCs w:val="21"/>
          <w:vertAlign w:val="subscript"/>
        </w:rPr>
        <w:t>N</w:t>
      </w:r>
      <w:r w:rsidRPr="002B4100">
        <w:rPr>
          <w:rFonts w:ascii="Times New Roman" w:hAnsi="Times New Roman" w:cs="Times New Roman"/>
          <w:sz w:val="21"/>
          <w:szCs w:val="21"/>
        </w:rPr>
        <w:t xml:space="preserve"> </w:t>
      </w:r>
      <w:r>
        <w:rPr>
          <w:rFonts w:ascii="Times New Roman" w:hAnsi="Times New Roman" w:cs="Times New Roman"/>
          <w:sz w:val="21"/>
          <w:szCs w:val="21"/>
        </w:rPr>
        <w:t xml:space="preserve">                                  </w:t>
      </w:r>
      <w:r w:rsidRPr="002B4100">
        <w:rPr>
          <w:rFonts w:ascii="Times New Roman" w:hAnsi="Times New Roman" w:cs="Times New Roman"/>
          <w:sz w:val="21"/>
          <w:szCs w:val="21"/>
        </w:rPr>
        <w:t>(2.1</w:t>
      </w:r>
      <w:r>
        <w:rPr>
          <w:rFonts w:ascii="Times New Roman" w:hAnsi="Times New Roman" w:cs="Times New Roman"/>
          <w:sz w:val="21"/>
          <w:szCs w:val="21"/>
        </w:rPr>
        <w:t>0</w:t>
      </w:r>
      <w:r w:rsidRPr="002B4100">
        <w:rPr>
          <w:rFonts w:ascii="Times New Roman" w:hAnsi="Times New Roman" w:cs="Times New Roman"/>
          <w:sz w:val="21"/>
          <w:szCs w:val="21"/>
        </w:rPr>
        <w:t>)</w:t>
      </w:r>
      <w:r>
        <w:rPr>
          <w:rFonts w:ascii="Times New Roman" w:hAnsi="Times New Roman" w:cs="Times New Roman"/>
          <w:sz w:val="21"/>
          <w:szCs w:val="21"/>
        </w:rPr>
        <w:t xml:space="preserve"> </w:t>
      </w:r>
    </w:p>
    <w:p w:rsidR="00B233DE" w:rsidRDefault="00B233DE" w:rsidP="00B233DE">
      <w:pPr>
        <w:ind w:firstLine="709"/>
        <w:jc w:val="both"/>
        <w:rPr>
          <w:rFonts w:ascii="Times New Roman" w:hAnsi="Times New Roman" w:cs="Times New Roman"/>
          <w:sz w:val="21"/>
          <w:szCs w:val="21"/>
        </w:rPr>
      </w:pP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де К</w:t>
      </w:r>
      <w:r w:rsidRPr="002B4100">
        <w:rPr>
          <w:rFonts w:ascii="Times New Roman" w:hAnsi="Times New Roman" w:cs="Times New Roman"/>
          <w:sz w:val="21"/>
          <w:szCs w:val="21"/>
          <w:vertAlign w:val="subscript"/>
        </w:rPr>
        <w:t>B</w:t>
      </w:r>
      <w:r w:rsidRPr="002B4100">
        <w:rPr>
          <w:rFonts w:ascii="Times New Roman" w:hAnsi="Times New Roman" w:cs="Times New Roman"/>
          <w:sz w:val="21"/>
          <w:szCs w:val="21"/>
        </w:rPr>
        <w:t xml:space="preserve"> – коефіцієнт демографічного здоров’я;</w:t>
      </w: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Х</w:t>
      </w:r>
      <w:r w:rsidRPr="002B4100">
        <w:rPr>
          <w:rFonts w:ascii="Times New Roman" w:hAnsi="Times New Roman" w:cs="Times New Roman"/>
          <w:sz w:val="21"/>
          <w:szCs w:val="21"/>
          <w:vertAlign w:val="subscript"/>
        </w:rPr>
        <w:t>B</w:t>
      </w:r>
      <w:r>
        <w:rPr>
          <w:rFonts w:ascii="Times New Roman" w:hAnsi="Times New Roman" w:cs="Times New Roman"/>
          <w:sz w:val="21"/>
          <w:szCs w:val="21"/>
          <w:vertAlign w:val="subscript"/>
        </w:rPr>
        <w:t xml:space="preserve"> </w:t>
      </w:r>
      <w:r w:rsidRPr="002B4100">
        <w:rPr>
          <w:rFonts w:ascii="Times New Roman" w:hAnsi="Times New Roman" w:cs="Times New Roman"/>
          <w:sz w:val="21"/>
          <w:szCs w:val="21"/>
        </w:rPr>
        <w:t>– вік населення з найбільшою кількість осіб;</w:t>
      </w:r>
    </w:p>
    <w:p w:rsidR="00B233DE"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Х</w:t>
      </w:r>
      <w:r w:rsidRPr="002B4100">
        <w:rPr>
          <w:rFonts w:ascii="Times New Roman" w:hAnsi="Times New Roman" w:cs="Times New Roman"/>
          <w:sz w:val="21"/>
          <w:szCs w:val="21"/>
          <w:vertAlign w:val="subscript"/>
        </w:rPr>
        <w:t>N</w:t>
      </w:r>
      <w:r w:rsidRPr="002B4100">
        <w:rPr>
          <w:rFonts w:ascii="Times New Roman" w:hAnsi="Times New Roman" w:cs="Times New Roman"/>
          <w:sz w:val="21"/>
          <w:szCs w:val="21"/>
        </w:rPr>
        <w:t xml:space="preserve"> – соціальна норма балансування демографічного здоров’я (50 років).</w:t>
      </w:r>
    </w:p>
    <w:p w:rsidR="00B233DE" w:rsidRPr="002B4100" w:rsidRDefault="00B233DE" w:rsidP="00B233DE">
      <w:pPr>
        <w:ind w:firstLine="709"/>
        <w:jc w:val="both"/>
        <w:rPr>
          <w:rFonts w:ascii="Times New Roman" w:hAnsi="Times New Roman" w:cs="Times New Roman"/>
          <w:sz w:val="21"/>
          <w:szCs w:val="21"/>
        </w:rPr>
      </w:pPr>
    </w:p>
    <w:p w:rsidR="00B233DE" w:rsidRPr="002B4100" w:rsidRDefault="00B233DE" w:rsidP="00B233DE">
      <w:pPr>
        <w:ind w:firstLine="709"/>
        <w:jc w:val="center"/>
        <w:rPr>
          <w:rFonts w:ascii="Times New Roman" w:hAnsi="Times New Roman" w:cs="Times New Roman"/>
          <w:sz w:val="21"/>
          <w:szCs w:val="21"/>
        </w:rPr>
      </w:pPr>
      <w:r w:rsidRPr="002B4100">
        <w:rPr>
          <w:rFonts w:ascii="Times New Roman" w:hAnsi="Times New Roman" w:cs="Times New Roman"/>
          <w:sz w:val="21"/>
          <w:szCs w:val="21"/>
        </w:rPr>
        <w:t>К</w:t>
      </w:r>
      <w:r w:rsidRPr="002B4100">
        <w:rPr>
          <w:rFonts w:ascii="Times New Roman" w:hAnsi="Times New Roman" w:cs="Times New Roman"/>
          <w:sz w:val="21"/>
          <w:szCs w:val="21"/>
          <w:vertAlign w:val="subscript"/>
        </w:rPr>
        <w:t>B</w:t>
      </w:r>
      <w:r w:rsidRPr="002B4100">
        <w:rPr>
          <w:rFonts w:ascii="Times New Roman" w:hAnsi="Times New Roman" w:cs="Times New Roman"/>
          <w:sz w:val="21"/>
          <w:szCs w:val="21"/>
        </w:rPr>
        <w:t>=27</w:t>
      </w:r>
      <w:r>
        <w:rPr>
          <w:rFonts w:ascii="Times New Roman" w:hAnsi="Times New Roman" w:cs="Times New Roman"/>
          <w:sz w:val="21"/>
          <w:szCs w:val="21"/>
        </w:rPr>
        <w:t xml:space="preserve"> </w:t>
      </w:r>
      <w:r w:rsidRPr="002B4100">
        <w:rPr>
          <w:rFonts w:ascii="Times New Roman" w:hAnsi="Times New Roman" w:cs="Times New Roman"/>
          <w:sz w:val="21"/>
          <w:szCs w:val="21"/>
        </w:rPr>
        <w:t>/ 50 = 0,54</w:t>
      </w: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Межа показника прямує до одиниці. Відхилення від неї свідчить про відхилення від соціальних норм. В 2014 році балансування настає вже</w:t>
      </w:r>
      <w:r>
        <w:rPr>
          <w:rFonts w:ascii="Times New Roman" w:hAnsi="Times New Roman" w:cs="Times New Roman"/>
          <w:sz w:val="21"/>
          <w:szCs w:val="21"/>
        </w:rPr>
        <w:t xml:space="preserve"> в 20 років, що свідчить про не</w:t>
      </w:r>
      <w:r w:rsidRPr="002B4100">
        <w:rPr>
          <w:rFonts w:ascii="Times New Roman" w:hAnsi="Times New Roman" w:cs="Times New Roman"/>
          <w:sz w:val="21"/>
          <w:szCs w:val="21"/>
        </w:rPr>
        <w:t>сприятливе демографічне здоров’я в Вінницькому регіоні. Це доводить і динаміка співвідношення чоловіків і жінок у дитячому, дорослому віці та в старості (табл. 2.</w:t>
      </w:r>
      <w:r>
        <w:rPr>
          <w:rFonts w:ascii="Times New Roman" w:hAnsi="Times New Roman" w:cs="Times New Roman"/>
          <w:sz w:val="21"/>
          <w:szCs w:val="21"/>
        </w:rPr>
        <w:t>7</w:t>
      </w:r>
      <w:r w:rsidRPr="002B4100">
        <w:rPr>
          <w:rFonts w:ascii="Times New Roman" w:hAnsi="Times New Roman" w:cs="Times New Roman"/>
          <w:sz w:val="21"/>
          <w:szCs w:val="21"/>
        </w:rPr>
        <w:t>). У 2014 році на 1000 жінок припадало 989 чоловіків.</w:t>
      </w: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Протягом 10 років спостерігається значний «дефіцит» чоловіків у старшому віці. На зміну співвідношення і розбалансування може впливати і міграція, що має статеву спрямованість.</w:t>
      </w:r>
    </w:p>
    <w:p w:rsidR="00B233DE"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У 50-річному віці вже більш як четверть жінок Вінниці живуть без чоловічого захисту. Відставання віку від сучасної норми дорівнює 30 років. Отже, захист життя чоловіків, зниження їх смертності є одним із найважливіших завдань соціально-демографічного розвитку.</w:t>
      </w: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Сучасна Україна – багатонаціональна держава, де проживають понад 130 націй та народностей. Усі вони складають український народ.</w:t>
      </w:r>
    </w:p>
    <w:p w:rsidR="00B233DE"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 xml:space="preserve">Термін «національність» вживають у подвійному значені: по-перше, як належність до певної нації окремої людини і, по-друге, як сукупність людей однієї національної групи. Визначаючи свою національність, людина причисляє себе до певної нації. Нація є стійкою історичною спільністю. Нації утворюються в процесі </w:t>
      </w:r>
      <w:r w:rsidRPr="002B4100">
        <w:rPr>
          <w:rFonts w:ascii="Times New Roman" w:hAnsi="Times New Roman" w:cs="Times New Roman"/>
          <w:sz w:val="21"/>
          <w:szCs w:val="21"/>
        </w:rPr>
        <w:lastRenderedPageBreak/>
        <w:t>тривалого економічного, соціального і культурного розвитку на певній території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_Ref435781256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19</w:t>
      </w:r>
      <w:r>
        <w:rPr>
          <w:rFonts w:ascii="Times New Roman" w:hAnsi="Times New Roman"/>
          <w:sz w:val="21"/>
          <w:szCs w:val="21"/>
          <w:highlight w:val="yellow"/>
        </w:rPr>
        <w:fldChar w:fldCharType="end"/>
      </w:r>
      <w:r w:rsidRPr="002B4100">
        <w:rPr>
          <w:rFonts w:ascii="Times New Roman" w:hAnsi="Times New Roman" w:cs="Times New Roman"/>
          <w:sz w:val="21"/>
          <w:szCs w:val="21"/>
        </w:rPr>
        <w:t>, с. 302].</w:t>
      </w:r>
    </w:p>
    <w:p w:rsidR="00B233DE" w:rsidRPr="002B4100" w:rsidRDefault="00B233DE" w:rsidP="00B233DE">
      <w:pPr>
        <w:ind w:firstLine="709"/>
        <w:jc w:val="both"/>
        <w:rPr>
          <w:rFonts w:ascii="Times New Roman" w:hAnsi="Times New Roman" w:cs="Times New Roman"/>
          <w:sz w:val="21"/>
          <w:szCs w:val="21"/>
        </w:rPr>
      </w:pPr>
    </w:p>
    <w:p w:rsidR="00B233DE" w:rsidRPr="002B4100" w:rsidRDefault="00B233DE" w:rsidP="00B233DE">
      <w:pPr>
        <w:ind w:firstLine="709"/>
        <w:jc w:val="right"/>
        <w:rPr>
          <w:rFonts w:ascii="Times New Roman" w:hAnsi="Times New Roman" w:cs="Times New Roman"/>
          <w:sz w:val="21"/>
          <w:szCs w:val="21"/>
        </w:rPr>
      </w:pPr>
      <w:r w:rsidRPr="002B4100">
        <w:rPr>
          <w:rFonts w:ascii="Times New Roman" w:hAnsi="Times New Roman" w:cs="Times New Roman"/>
          <w:sz w:val="21"/>
          <w:szCs w:val="21"/>
        </w:rPr>
        <w:t>Таблиця 2.</w:t>
      </w:r>
      <w:r>
        <w:rPr>
          <w:rFonts w:ascii="Times New Roman" w:hAnsi="Times New Roman" w:cs="Times New Roman"/>
          <w:sz w:val="21"/>
          <w:szCs w:val="21"/>
        </w:rPr>
        <w:t>7</w:t>
      </w:r>
    </w:p>
    <w:p w:rsidR="00B233DE" w:rsidRPr="009B0AF4" w:rsidRDefault="00B233DE" w:rsidP="00B233DE">
      <w:pPr>
        <w:ind w:firstLine="709"/>
        <w:jc w:val="center"/>
        <w:rPr>
          <w:rFonts w:ascii="Times New Roman" w:hAnsi="Times New Roman" w:cs="Times New Roman"/>
          <w:b/>
          <w:sz w:val="21"/>
          <w:szCs w:val="21"/>
        </w:rPr>
      </w:pPr>
      <w:r w:rsidRPr="009B0AF4">
        <w:rPr>
          <w:rFonts w:ascii="Times New Roman" w:hAnsi="Times New Roman" w:cs="Times New Roman"/>
          <w:b/>
          <w:sz w:val="21"/>
          <w:szCs w:val="21"/>
        </w:rPr>
        <w:t xml:space="preserve">Чисельність чоловіків і жінок </w:t>
      </w:r>
      <w:r>
        <w:rPr>
          <w:rFonts w:ascii="Times New Roman" w:hAnsi="Times New Roman" w:cs="Times New Roman"/>
          <w:b/>
          <w:sz w:val="21"/>
          <w:szCs w:val="21"/>
        </w:rPr>
        <w:t xml:space="preserve">у Вінницькій області, тис. осіб* </w:t>
      </w:r>
    </w:p>
    <w:tbl>
      <w:tblPr>
        <w:tblpPr w:leftFromText="181" w:rightFromText="181" w:vertAnchor="text" w:horzAnchor="margin" w:tblpXSpec="center" w:tblpY="1"/>
        <w:tblOverlap w:val="never"/>
        <w:tblW w:w="6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000" w:firstRow="0" w:lastRow="0" w:firstColumn="0" w:lastColumn="0" w:noHBand="0" w:noVBand="0"/>
      </w:tblPr>
      <w:tblGrid>
        <w:gridCol w:w="1101"/>
        <w:gridCol w:w="1134"/>
        <w:gridCol w:w="992"/>
        <w:gridCol w:w="850"/>
        <w:gridCol w:w="851"/>
        <w:gridCol w:w="1134"/>
      </w:tblGrid>
      <w:tr w:rsidR="00B233DE" w:rsidRPr="00006288" w:rsidTr="0023489B">
        <w:trPr>
          <w:trHeight w:val="502"/>
        </w:trPr>
        <w:tc>
          <w:tcPr>
            <w:tcW w:w="1101" w:type="dxa"/>
            <w:vMerge w:val="restart"/>
            <w:vAlign w:val="center"/>
          </w:tcPr>
          <w:p w:rsidR="00B233DE" w:rsidRPr="00006288" w:rsidRDefault="00B233DE" w:rsidP="0023489B">
            <w:pPr>
              <w:ind w:left="-142" w:right="-75" w:firstLine="142"/>
              <w:jc w:val="center"/>
              <w:rPr>
                <w:rFonts w:ascii="Times New Roman" w:hAnsi="Times New Roman" w:cs="Times New Roman"/>
                <w:sz w:val="18"/>
                <w:szCs w:val="18"/>
              </w:rPr>
            </w:pPr>
            <w:r w:rsidRPr="00006288">
              <w:rPr>
                <w:rFonts w:ascii="Times New Roman" w:hAnsi="Times New Roman" w:cs="Times New Roman"/>
                <w:sz w:val="18"/>
                <w:szCs w:val="18"/>
              </w:rPr>
              <w:t>Рік</w:t>
            </w:r>
          </w:p>
        </w:tc>
        <w:tc>
          <w:tcPr>
            <w:tcW w:w="1134" w:type="dxa"/>
            <w:vMerge w:val="restart"/>
            <w:vAlign w:val="center"/>
          </w:tcPr>
          <w:p w:rsidR="00B233DE" w:rsidRPr="00006288" w:rsidRDefault="00B233DE" w:rsidP="0023489B">
            <w:pPr>
              <w:ind w:left="-142" w:right="-75" w:firstLine="142"/>
              <w:jc w:val="center"/>
              <w:rPr>
                <w:rFonts w:ascii="Times New Roman" w:hAnsi="Times New Roman" w:cs="Times New Roman"/>
                <w:sz w:val="18"/>
                <w:szCs w:val="18"/>
              </w:rPr>
            </w:pPr>
            <w:r w:rsidRPr="00006288">
              <w:rPr>
                <w:rFonts w:ascii="Times New Roman" w:hAnsi="Times New Roman" w:cs="Times New Roman"/>
                <w:sz w:val="18"/>
                <w:szCs w:val="18"/>
              </w:rPr>
              <w:t>Чоловіки, тис. чол.</w:t>
            </w:r>
          </w:p>
        </w:tc>
        <w:tc>
          <w:tcPr>
            <w:tcW w:w="992" w:type="dxa"/>
            <w:vMerge w:val="restart"/>
            <w:vAlign w:val="center"/>
          </w:tcPr>
          <w:p w:rsidR="00B233DE" w:rsidRPr="00006288" w:rsidRDefault="00B233DE" w:rsidP="0023489B">
            <w:pPr>
              <w:ind w:left="-142" w:right="-75" w:firstLine="142"/>
              <w:jc w:val="center"/>
              <w:rPr>
                <w:rFonts w:ascii="Times New Roman" w:hAnsi="Times New Roman" w:cs="Times New Roman"/>
                <w:sz w:val="18"/>
                <w:szCs w:val="18"/>
              </w:rPr>
            </w:pPr>
            <w:r w:rsidRPr="00006288">
              <w:rPr>
                <w:rFonts w:ascii="Times New Roman" w:hAnsi="Times New Roman" w:cs="Times New Roman"/>
                <w:sz w:val="18"/>
                <w:szCs w:val="18"/>
              </w:rPr>
              <w:t>Жінки,</w:t>
            </w:r>
          </w:p>
          <w:p w:rsidR="00B233DE" w:rsidRPr="00006288" w:rsidRDefault="00B233DE" w:rsidP="0023489B">
            <w:pPr>
              <w:ind w:left="-142" w:right="-75" w:firstLine="142"/>
              <w:jc w:val="center"/>
              <w:rPr>
                <w:rFonts w:ascii="Times New Roman" w:hAnsi="Times New Roman" w:cs="Times New Roman"/>
                <w:sz w:val="18"/>
                <w:szCs w:val="18"/>
              </w:rPr>
            </w:pPr>
            <w:r w:rsidRPr="00006288">
              <w:rPr>
                <w:rFonts w:ascii="Times New Roman" w:hAnsi="Times New Roman" w:cs="Times New Roman"/>
                <w:sz w:val="18"/>
                <w:szCs w:val="18"/>
              </w:rPr>
              <w:t>тис. чол.</w:t>
            </w:r>
          </w:p>
        </w:tc>
        <w:tc>
          <w:tcPr>
            <w:tcW w:w="2835" w:type="dxa"/>
            <w:gridSpan w:val="3"/>
            <w:vAlign w:val="center"/>
          </w:tcPr>
          <w:p w:rsidR="00B233DE" w:rsidRPr="00006288" w:rsidRDefault="00B233DE" w:rsidP="0023489B">
            <w:pPr>
              <w:ind w:left="-142" w:right="-75" w:firstLine="142"/>
              <w:jc w:val="center"/>
              <w:rPr>
                <w:rFonts w:ascii="Times New Roman" w:hAnsi="Times New Roman" w:cs="Times New Roman"/>
                <w:sz w:val="18"/>
                <w:szCs w:val="18"/>
              </w:rPr>
            </w:pPr>
            <w:r w:rsidRPr="00006288">
              <w:rPr>
                <w:rFonts w:ascii="Times New Roman" w:hAnsi="Times New Roman" w:cs="Times New Roman"/>
                <w:sz w:val="18"/>
                <w:szCs w:val="18"/>
              </w:rPr>
              <w:t>Чисельність чоловіків на 1000 жінок за віковими групами,</w:t>
            </w:r>
          </w:p>
          <w:p w:rsidR="00B233DE" w:rsidRPr="00006288" w:rsidRDefault="00B233DE" w:rsidP="0023489B">
            <w:pPr>
              <w:ind w:left="-142" w:right="-75" w:firstLine="142"/>
              <w:jc w:val="center"/>
              <w:rPr>
                <w:rFonts w:ascii="Times New Roman" w:hAnsi="Times New Roman" w:cs="Times New Roman"/>
                <w:sz w:val="18"/>
                <w:szCs w:val="18"/>
              </w:rPr>
            </w:pPr>
            <w:r w:rsidRPr="00006288">
              <w:rPr>
                <w:rFonts w:ascii="Times New Roman" w:hAnsi="Times New Roman" w:cs="Times New Roman"/>
                <w:sz w:val="18"/>
                <w:szCs w:val="18"/>
              </w:rPr>
              <w:t>тис. чол.</w:t>
            </w:r>
          </w:p>
        </w:tc>
      </w:tr>
      <w:tr w:rsidR="00B233DE" w:rsidRPr="00006288" w:rsidTr="0023489B">
        <w:trPr>
          <w:trHeight w:val="188"/>
        </w:trPr>
        <w:tc>
          <w:tcPr>
            <w:tcW w:w="1101" w:type="dxa"/>
            <w:vMerge/>
            <w:vAlign w:val="center"/>
          </w:tcPr>
          <w:p w:rsidR="00B233DE" w:rsidRPr="00006288" w:rsidRDefault="00B233DE" w:rsidP="0023489B">
            <w:pPr>
              <w:ind w:left="-142" w:right="-75" w:firstLine="142"/>
              <w:jc w:val="center"/>
              <w:rPr>
                <w:rFonts w:ascii="Times New Roman" w:hAnsi="Times New Roman" w:cs="Times New Roman"/>
                <w:sz w:val="18"/>
                <w:szCs w:val="18"/>
              </w:rPr>
            </w:pPr>
          </w:p>
        </w:tc>
        <w:tc>
          <w:tcPr>
            <w:tcW w:w="1134" w:type="dxa"/>
            <w:vMerge/>
            <w:vAlign w:val="center"/>
          </w:tcPr>
          <w:p w:rsidR="00B233DE" w:rsidRPr="00006288" w:rsidRDefault="00B233DE" w:rsidP="0023489B">
            <w:pPr>
              <w:ind w:left="-142" w:right="-75" w:firstLine="142"/>
              <w:jc w:val="center"/>
              <w:rPr>
                <w:rFonts w:ascii="Times New Roman" w:hAnsi="Times New Roman" w:cs="Times New Roman"/>
                <w:sz w:val="18"/>
                <w:szCs w:val="18"/>
              </w:rPr>
            </w:pPr>
          </w:p>
        </w:tc>
        <w:tc>
          <w:tcPr>
            <w:tcW w:w="992" w:type="dxa"/>
            <w:vMerge/>
            <w:vAlign w:val="center"/>
          </w:tcPr>
          <w:p w:rsidR="00B233DE" w:rsidRPr="00006288" w:rsidRDefault="00B233DE" w:rsidP="0023489B">
            <w:pPr>
              <w:ind w:left="-142" w:right="-75" w:firstLine="142"/>
              <w:jc w:val="center"/>
              <w:rPr>
                <w:rFonts w:ascii="Times New Roman" w:hAnsi="Times New Roman" w:cs="Times New Roman"/>
                <w:sz w:val="18"/>
                <w:szCs w:val="18"/>
              </w:rPr>
            </w:pPr>
          </w:p>
        </w:tc>
        <w:tc>
          <w:tcPr>
            <w:tcW w:w="850" w:type="dxa"/>
            <w:vAlign w:val="center"/>
          </w:tcPr>
          <w:p w:rsidR="00B233DE" w:rsidRPr="00006288" w:rsidRDefault="00B233DE" w:rsidP="0023489B">
            <w:pPr>
              <w:ind w:left="-142" w:right="-75" w:firstLine="142"/>
              <w:jc w:val="center"/>
              <w:rPr>
                <w:rFonts w:ascii="Times New Roman" w:hAnsi="Times New Roman" w:cs="Times New Roman"/>
                <w:sz w:val="18"/>
                <w:szCs w:val="18"/>
              </w:rPr>
            </w:pPr>
            <w:r w:rsidRPr="00006288">
              <w:rPr>
                <w:rFonts w:ascii="Times New Roman" w:hAnsi="Times New Roman" w:cs="Times New Roman"/>
                <w:sz w:val="18"/>
                <w:szCs w:val="18"/>
              </w:rPr>
              <w:t>0-15</w:t>
            </w:r>
          </w:p>
        </w:tc>
        <w:tc>
          <w:tcPr>
            <w:tcW w:w="851" w:type="dxa"/>
            <w:vAlign w:val="center"/>
          </w:tcPr>
          <w:p w:rsidR="00B233DE" w:rsidRPr="00006288" w:rsidRDefault="00B233DE" w:rsidP="0023489B">
            <w:pPr>
              <w:ind w:left="-142" w:right="-75" w:firstLine="142"/>
              <w:jc w:val="center"/>
              <w:rPr>
                <w:rFonts w:ascii="Times New Roman" w:hAnsi="Times New Roman" w:cs="Times New Roman"/>
                <w:sz w:val="18"/>
                <w:szCs w:val="18"/>
              </w:rPr>
            </w:pPr>
            <w:r w:rsidRPr="00006288">
              <w:rPr>
                <w:rFonts w:ascii="Times New Roman" w:hAnsi="Times New Roman" w:cs="Times New Roman"/>
                <w:sz w:val="18"/>
                <w:szCs w:val="18"/>
              </w:rPr>
              <w:t>16-59</w:t>
            </w:r>
          </w:p>
        </w:tc>
        <w:tc>
          <w:tcPr>
            <w:tcW w:w="1134" w:type="dxa"/>
            <w:vAlign w:val="center"/>
          </w:tcPr>
          <w:p w:rsidR="00B233DE" w:rsidRPr="00006288" w:rsidRDefault="00B233DE" w:rsidP="0023489B">
            <w:pPr>
              <w:ind w:left="-142" w:right="-75" w:firstLine="142"/>
              <w:jc w:val="center"/>
              <w:rPr>
                <w:rFonts w:ascii="Times New Roman" w:hAnsi="Times New Roman" w:cs="Times New Roman"/>
                <w:sz w:val="18"/>
                <w:szCs w:val="18"/>
              </w:rPr>
            </w:pPr>
            <w:r w:rsidRPr="00006288">
              <w:rPr>
                <w:rFonts w:ascii="Times New Roman" w:hAnsi="Times New Roman" w:cs="Times New Roman"/>
                <w:sz w:val="18"/>
                <w:szCs w:val="18"/>
              </w:rPr>
              <w:t>60 і старше</w:t>
            </w:r>
          </w:p>
        </w:tc>
      </w:tr>
      <w:tr w:rsidR="00B233DE" w:rsidRPr="00006288" w:rsidTr="0023489B">
        <w:trPr>
          <w:trHeight w:val="135"/>
        </w:trPr>
        <w:tc>
          <w:tcPr>
            <w:tcW w:w="1101"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2005</w:t>
            </w:r>
          </w:p>
        </w:tc>
        <w:tc>
          <w:tcPr>
            <w:tcW w:w="1134"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783,1</w:t>
            </w:r>
          </w:p>
        </w:tc>
        <w:tc>
          <w:tcPr>
            <w:tcW w:w="992"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930,0</w:t>
            </w:r>
          </w:p>
        </w:tc>
        <w:tc>
          <w:tcPr>
            <w:tcW w:w="850"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1058</w:t>
            </w:r>
          </w:p>
        </w:tc>
        <w:tc>
          <w:tcPr>
            <w:tcW w:w="851"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944</w:t>
            </w:r>
          </w:p>
        </w:tc>
        <w:tc>
          <w:tcPr>
            <w:tcW w:w="1134"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525</w:t>
            </w:r>
          </w:p>
        </w:tc>
      </w:tr>
      <w:tr w:rsidR="00B233DE" w:rsidRPr="00006288" w:rsidTr="0023489B">
        <w:trPr>
          <w:trHeight w:val="84"/>
        </w:trPr>
        <w:tc>
          <w:tcPr>
            <w:tcW w:w="1101"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2006</w:t>
            </w:r>
          </w:p>
        </w:tc>
        <w:tc>
          <w:tcPr>
            <w:tcW w:w="1134"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774,4</w:t>
            </w:r>
          </w:p>
        </w:tc>
        <w:tc>
          <w:tcPr>
            <w:tcW w:w="992"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920,1</w:t>
            </w:r>
          </w:p>
        </w:tc>
        <w:tc>
          <w:tcPr>
            <w:tcW w:w="850"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1058</w:t>
            </w:r>
          </w:p>
        </w:tc>
        <w:tc>
          <w:tcPr>
            <w:tcW w:w="851"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941</w:t>
            </w:r>
          </w:p>
        </w:tc>
        <w:tc>
          <w:tcPr>
            <w:tcW w:w="1134"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520</w:t>
            </w:r>
          </w:p>
        </w:tc>
      </w:tr>
      <w:tr w:rsidR="00B233DE" w:rsidRPr="00006288" w:rsidTr="0023489B">
        <w:trPr>
          <w:trHeight w:val="173"/>
        </w:trPr>
        <w:tc>
          <w:tcPr>
            <w:tcW w:w="1101"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2007</w:t>
            </w:r>
          </w:p>
        </w:tc>
        <w:tc>
          <w:tcPr>
            <w:tcW w:w="1134"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804,0</w:t>
            </w:r>
          </w:p>
        </w:tc>
        <w:tc>
          <w:tcPr>
            <w:tcW w:w="992"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875,4</w:t>
            </w:r>
          </w:p>
        </w:tc>
        <w:tc>
          <w:tcPr>
            <w:tcW w:w="850"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1059</w:t>
            </w:r>
          </w:p>
        </w:tc>
        <w:tc>
          <w:tcPr>
            <w:tcW w:w="851"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941</w:t>
            </w:r>
          </w:p>
        </w:tc>
        <w:tc>
          <w:tcPr>
            <w:tcW w:w="1134"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520</w:t>
            </w:r>
          </w:p>
        </w:tc>
      </w:tr>
      <w:tr w:rsidR="00B233DE" w:rsidRPr="00006288" w:rsidTr="0023489B">
        <w:trPr>
          <w:trHeight w:val="135"/>
        </w:trPr>
        <w:tc>
          <w:tcPr>
            <w:tcW w:w="1101"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2008</w:t>
            </w:r>
          </w:p>
        </w:tc>
        <w:tc>
          <w:tcPr>
            <w:tcW w:w="1134"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761,2</w:t>
            </w:r>
          </w:p>
        </w:tc>
        <w:tc>
          <w:tcPr>
            <w:tcW w:w="992"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903,9</w:t>
            </w:r>
          </w:p>
        </w:tc>
        <w:tc>
          <w:tcPr>
            <w:tcW w:w="850"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1058</w:t>
            </w:r>
          </w:p>
        </w:tc>
        <w:tc>
          <w:tcPr>
            <w:tcW w:w="851"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940</w:t>
            </w:r>
          </w:p>
        </w:tc>
        <w:tc>
          <w:tcPr>
            <w:tcW w:w="1134"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520</w:t>
            </w:r>
          </w:p>
        </w:tc>
      </w:tr>
      <w:tr w:rsidR="00B233DE" w:rsidRPr="00006288" w:rsidTr="0023489B">
        <w:trPr>
          <w:trHeight w:val="84"/>
        </w:trPr>
        <w:tc>
          <w:tcPr>
            <w:tcW w:w="1101"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2009</w:t>
            </w:r>
          </w:p>
        </w:tc>
        <w:tc>
          <w:tcPr>
            <w:tcW w:w="1134"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755,9</w:t>
            </w:r>
          </w:p>
        </w:tc>
        <w:tc>
          <w:tcPr>
            <w:tcW w:w="992"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897,0</w:t>
            </w:r>
          </w:p>
        </w:tc>
        <w:tc>
          <w:tcPr>
            <w:tcW w:w="850"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1058</w:t>
            </w:r>
          </w:p>
        </w:tc>
        <w:tc>
          <w:tcPr>
            <w:tcW w:w="851"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940</w:t>
            </w:r>
          </w:p>
        </w:tc>
        <w:tc>
          <w:tcPr>
            <w:tcW w:w="1134"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522</w:t>
            </w:r>
          </w:p>
        </w:tc>
      </w:tr>
      <w:tr w:rsidR="00B233DE" w:rsidRPr="00006288" w:rsidTr="0023489B">
        <w:trPr>
          <w:trHeight w:val="45"/>
        </w:trPr>
        <w:tc>
          <w:tcPr>
            <w:tcW w:w="1101"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2010</w:t>
            </w:r>
          </w:p>
        </w:tc>
        <w:tc>
          <w:tcPr>
            <w:tcW w:w="1134" w:type="dxa"/>
            <w:shd w:val="clear" w:color="auto" w:fill="FFFFFF"/>
            <w:vAlign w:val="center"/>
          </w:tcPr>
          <w:p w:rsidR="00B233DE" w:rsidRPr="00006288" w:rsidRDefault="00B233DE" w:rsidP="0023489B">
            <w:pPr>
              <w:ind w:left="-142" w:right="-75" w:firstLine="0"/>
              <w:jc w:val="center"/>
              <w:rPr>
                <w:rFonts w:ascii="Times New Roman" w:hAnsi="Times New Roman" w:cs="Times New Roman"/>
                <w:color w:val="000000"/>
                <w:sz w:val="18"/>
                <w:szCs w:val="18"/>
              </w:rPr>
            </w:pPr>
            <w:r w:rsidRPr="00006288">
              <w:rPr>
                <w:rFonts w:ascii="Times New Roman" w:hAnsi="Times New Roman" w:cs="Times New Roman"/>
                <w:color w:val="000000"/>
                <w:sz w:val="18"/>
                <w:szCs w:val="18"/>
              </w:rPr>
              <w:t>752,6</w:t>
            </w:r>
          </w:p>
        </w:tc>
        <w:tc>
          <w:tcPr>
            <w:tcW w:w="992" w:type="dxa"/>
            <w:shd w:val="clear" w:color="auto" w:fill="FFFFFF"/>
            <w:vAlign w:val="center"/>
          </w:tcPr>
          <w:p w:rsidR="00B233DE" w:rsidRPr="00006288" w:rsidRDefault="00B233DE" w:rsidP="0023489B">
            <w:pPr>
              <w:ind w:left="-142" w:right="-75" w:firstLine="0"/>
              <w:jc w:val="center"/>
              <w:rPr>
                <w:rFonts w:ascii="Times New Roman" w:hAnsi="Times New Roman" w:cs="Times New Roman"/>
                <w:color w:val="000000"/>
                <w:sz w:val="18"/>
                <w:szCs w:val="18"/>
              </w:rPr>
            </w:pPr>
            <w:r w:rsidRPr="00006288">
              <w:rPr>
                <w:rFonts w:ascii="Times New Roman" w:hAnsi="Times New Roman" w:cs="Times New Roman"/>
                <w:color w:val="000000"/>
                <w:sz w:val="18"/>
                <w:szCs w:val="18"/>
              </w:rPr>
              <w:t>890,9</w:t>
            </w:r>
          </w:p>
        </w:tc>
        <w:tc>
          <w:tcPr>
            <w:tcW w:w="850"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1059</w:t>
            </w:r>
          </w:p>
        </w:tc>
        <w:tc>
          <w:tcPr>
            <w:tcW w:w="851"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942</w:t>
            </w:r>
          </w:p>
        </w:tc>
        <w:tc>
          <w:tcPr>
            <w:tcW w:w="1134"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526</w:t>
            </w:r>
          </w:p>
        </w:tc>
      </w:tr>
      <w:tr w:rsidR="00B233DE" w:rsidRPr="00006288" w:rsidTr="0023489B">
        <w:trPr>
          <w:trHeight w:val="36"/>
        </w:trPr>
        <w:tc>
          <w:tcPr>
            <w:tcW w:w="1101"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2011</w:t>
            </w:r>
          </w:p>
        </w:tc>
        <w:tc>
          <w:tcPr>
            <w:tcW w:w="1134" w:type="dxa"/>
            <w:shd w:val="clear" w:color="auto" w:fill="FFFFFF"/>
            <w:vAlign w:val="center"/>
          </w:tcPr>
          <w:p w:rsidR="00B233DE" w:rsidRPr="00006288" w:rsidRDefault="00B233DE" w:rsidP="0023489B">
            <w:pPr>
              <w:ind w:left="-142" w:right="-75" w:firstLine="0"/>
              <w:jc w:val="center"/>
              <w:rPr>
                <w:rFonts w:ascii="Times New Roman" w:hAnsi="Times New Roman" w:cs="Times New Roman"/>
                <w:color w:val="000000"/>
                <w:sz w:val="18"/>
                <w:szCs w:val="18"/>
              </w:rPr>
            </w:pPr>
            <w:r w:rsidRPr="00006288">
              <w:rPr>
                <w:rFonts w:ascii="Times New Roman" w:hAnsi="Times New Roman" w:cs="Times New Roman"/>
                <w:color w:val="000000"/>
                <w:sz w:val="18"/>
                <w:szCs w:val="18"/>
              </w:rPr>
              <w:t>749,4</w:t>
            </w:r>
          </w:p>
        </w:tc>
        <w:tc>
          <w:tcPr>
            <w:tcW w:w="992" w:type="dxa"/>
            <w:shd w:val="clear" w:color="auto" w:fill="FFFFFF"/>
            <w:vAlign w:val="center"/>
          </w:tcPr>
          <w:p w:rsidR="00B233DE" w:rsidRPr="00006288" w:rsidRDefault="00B233DE" w:rsidP="0023489B">
            <w:pPr>
              <w:ind w:left="-142" w:right="-75" w:firstLine="0"/>
              <w:jc w:val="center"/>
              <w:rPr>
                <w:rFonts w:ascii="Times New Roman" w:hAnsi="Times New Roman" w:cs="Times New Roman"/>
                <w:color w:val="000000"/>
                <w:sz w:val="18"/>
                <w:szCs w:val="18"/>
              </w:rPr>
            </w:pPr>
            <w:r w:rsidRPr="00006288">
              <w:rPr>
                <w:rFonts w:ascii="Times New Roman" w:hAnsi="Times New Roman" w:cs="Times New Roman"/>
                <w:color w:val="000000"/>
                <w:sz w:val="18"/>
                <w:szCs w:val="18"/>
              </w:rPr>
              <w:t>884,7</w:t>
            </w:r>
          </w:p>
        </w:tc>
        <w:tc>
          <w:tcPr>
            <w:tcW w:w="850"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1061</w:t>
            </w:r>
          </w:p>
        </w:tc>
        <w:tc>
          <w:tcPr>
            <w:tcW w:w="851"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944</w:t>
            </w:r>
          </w:p>
        </w:tc>
        <w:tc>
          <w:tcPr>
            <w:tcW w:w="1134"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530</w:t>
            </w:r>
          </w:p>
        </w:tc>
      </w:tr>
      <w:tr w:rsidR="00B233DE" w:rsidRPr="00006288" w:rsidTr="0023489B">
        <w:trPr>
          <w:trHeight w:val="36"/>
        </w:trPr>
        <w:tc>
          <w:tcPr>
            <w:tcW w:w="1101"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2012</w:t>
            </w:r>
          </w:p>
        </w:tc>
        <w:tc>
          <w:tcPr>
            <w:tcW w:w="1134" w:type="dxa"/>
            <w:shd w:val="clear" w:color="auto" w:fill="FFFFFF"/>
            <w:vAlign w:val="center"/>
          </w:tcPr>
          <w:p w:rsidR="00B233DE" w:rsidRPr="00006288" w:rsidRDefault="00B233DE" w:rsidP="0023489B">
            <w:pPr>
              <w:ind w:left="-142" w:right="-75" w:firstLine="0"/>
              <w:jc w:val="center"/>
              <w:rPr>
                <w:rFonts w:ascii="Times New Roman" w:hAnsi="Times New Roman" w:cs="Times New Roman"/>
                <w:color w:val="000000"/>
                <w:sz w:val="18"/>
                <w:szCs w:val="18"/>
              </w:rPr>
            </w:pPr>
            <w:r w:rsidRPr="00006288">
              <w:rPr>
                <w:rFonts w:ascii="Times New Roman" w:hAnsi="Times New Roman" w:cs="Times New Roman"/>
                <w:color w:val="000000"/>
                <w:sz w:val="18"/>
                <w:szCs w:val="18"/>
              </w:rPr>
              <w:t>747,6</w:t>
            </w:r>
          </w:p>
        </w:tc>
        <w:tc>
          <w:tcPr>
            <w:tcW w:w="992" w:type="dxa"/>
            <w:shd w:val="clear" w:color="auto" w:fill="FFFFFF"/>
            <w:vAlign w:val="center"/>
          </w:tcPr>
          <w:p w:rsidR="00B233DE" w:rsidRPr="00006288" w:rsidRDefault="00B233DE" w:rsidP="0023489B">
            <w:pPr>
              <w:ind w:left="-142" w:right="-75" w:firstLine="0"/>
              <w:jc w:val="center"/>
              <w:rPr>
                <w:rFonts w:ascii="Times New Roman" w:hAnsi="Times New Roman" w:cs="Times New Roman"/>
                <w:color w:val="000000"/>
                <w:sz w:val="18"/>
                <w:szCs w:val="18"/>
              </w:rPr>
            </w:pPr>
            <w:r w:rsidRPr="00006288">
              <w:rPr>
                <w:rFonts w:ascii="Times New Roman" w:hAnsi="Times New Roman" w:cs="Times New Roman"/>
                <w:color w:val="000000"/>
                <w:sz w:val="18"/>
                <w:szCs w:val="18"/>
              </w:rPr>
              <w:t>879,5</w:t>
            </w:r>
          </w:p>
        </w:tc>
        <w:tc>
          <w:tcPr>
            <w:tcW w:w="850"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1060</w:t>
            </w:r>
          </w:p>
        </w:tc>
        <w:tc>
          <w:tcPr>
            <w:tcW w:w="851"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948</w:t>
            </w:r>
          </w:p>
        </w:tc>
        <w:tc>
          <w:tcPr>
            <w:tcW w:w="1134"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534</w:t>
            </w:r>
          </w:p>
        </w:tc>
      </w:tr>
      <w:tr w:rsidR="00B233DE" w:rsidRPr="00006288" w:rsidTr="0023489B">
        <w:trPr>
          <w:trHeight w:val="36"/>
        </w:trPr>
        <w:tc>
          <w:tcPr>
            <w:tcW w:w="1101"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2013</w:t>
            </w:r>
          </w:p>
        </w:tc>
        <w:tc>
          <w:tcPr>
            <w:tcW w:w="1134" w:type="dxa"/>
            <w:shd w:val="clear" w:color="auto" w:fill="FFFFFF"/>
            <w:vAlign w:val="center"/>
          </w:tcPr>
          <w:p w:rsidR="00B233DE" w:rsidRPr="00006288" w:rsidRDefault="00B233DE" w:rsidP="0023489B">
            <w:pPr>
              <w:ind w:left="-142" w:right="-75" w:firstLine="0"/>
              <w:jc w:val="center"/>
              <w:rPr>
                <w:rFonts w:ascii="Times New Roman" w:hAnsi="Times New Roman" w:cs="Times New Roman"/>
                <w:color w:val="000000"/>
                <w:sz w:val="18"/>
                <w:szCs w:val="18"/>
              </w:rPr>
            </w:pPr>
            <w:r w:rsidRPr="00006288">
              <w:rPr>
                <w:rFonts w:ascii="Times New Roman" w:hAnsi="Times New Roman" w:cs="Times New Roman"/>
                <w:color w:val="000000"/>
                <w:sz w:val="18"/>
                <w:szCs w:val="18"/>
              </w:rPr>
              <w:t>745,3</w:t>
            </w:r>
          </w:p>
        </w:tc>
        <w:tc>
          <w:tcPr>
            <w:tcW w:w="992" w:type="dxa"/>
            <w:shd w:val="clear" w:color="auto" w:fill="FFFFFF"/>
            <w:vAlign w:val="center"/>
          </w:tcPr>
          <w:p w:rsidR="00B233DE" w:rsidRPr="00006288" w:rsidRDefault="00B233DE" w:rsidP="0023489B">
            <w:pPr>
              <w:ind w:left="-142" w:right="-75" w:firstLine="0"/>
              <w:jc w:val="center"/>
              <w:rPr>
                <w:rFonts w:ascii="Times New Roman" w:hAnsi="Times New Roman" w:cs="Times New Roman"/>
                <w:color w:val="000000"/>
                <w:sz w:val="18"/>
                <w:szCs w:val="18"/>
              </w:rPr>
            </w:pPr>
            <w:r w:rsidRPr="00006288">
              <w:rPr>
                <w:rFonts w:ascii="Times New Roman" w:hAnsi="Times New Roman" w:cs="Times New Roman"/>
                <w:color w:val="000000"/>
                <w:sz w:val="18"/>
                <w:szCs w:val="18"/>
              </w:rPr>
              <w:t>874,6</w:t>
            </w:r>
          </w:p>
        </w:tc>
        <w:tc>
          <w:tcPr>
            <w:tcW w:w="850"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1061</w:t>
            </w:r>
          </w:p>
        </w:tc>
        <w:tc>
          <w:tcPr>
            <w:tcW w:w="851"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951</w:t>
            </w:r>
          </w:p>
        </w:tc>
        <w:tc>
          <w:tcPr>
            <w:tcW w:w="1134"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537</w:t>
            </w:r>
          </w:p>
        </w:tc>
      </w:tr>
      <w:tr w:rsidR="00B233DE" w:rsidRPr="00006288" w:rsidTr="0023489B">
        <w:trPr>
          <w:trHeight w:val="36"/>
        </w:trPr>
        <w:tc>
          <w:tcPr>
            <w:tcW w:w="1101" w:type="dxa"/>
            <w:vAlign w:val="center"/>
          </w:tcPr>
          <w:p w:rsidR="00B233DE" w:rsidRPr="00006288" w:rsidRDefault="00B233DE" w:rsidP="0023489B">
            <w:pPr>
              <w:ind w:left="-142" w:right="-75" w:firstLine="0"/>
              <w:jc w:val="center"/>
              <w:rPr>
                <w:rFonts w:ascii="Times New Roman" w:hAnsi="Times New Roman" w:cs="Times New Roman"/>
                <w:sz w:val="18"/>
                <w:szCs w:val="18"/>
              </w:rPr>
            </w:pPr>
            <w:r w:rsidRPr="00006288">
              <w:rPr>
                <w:rFonts w:ascii="Times New Roman" w:hAnsi="Times New Roman" w:cs="Times New Roman"/>
                <w:sz w:val="18"/>
                <w:szCs w:val="18"/>
              </w:rPr>
              <w:t>2014</w:t>
            </w:r>
          </w:p>
        </w:tc>
        <w:tc>
          <w:tcPr>
            <w:tcW w:w="1134" w:type="dxa"/>
            <w:shd w:val="clear" w:color="auto" w:fill="FFFFFF"/>
            <w:vAlign w:val="center"/>
          </w:tcPr>
          <w:p w:rsidR="00B233DE" w:rsidRPr="00006288" w:rsidRDefault="00B233DE" w:rsidP="0023489B">
            <w:pPr>
              <w:ind w:left="-142" w:right="-75" w:firstLine="0"/>
              <w:jc w:val="center"/>
              <w:rPr>
                <w:rFonts w:ascii="Times New Roman" w:hAnsi="Times New Roman" w:cs="Times New Roman"/>
                <w:color w:val="000000"/>
                <w:sz w:val="18"/>
                <w:szCs w:val="18"/>
              </w:rPr>
            </w:pPr>
            <w:r w:rsidRPr="00006288">
              <w:rPr>
                <w:rFonts w:ascii="Times New Roman" w:hAnsi="Times New Roman" w:cs="Times New Roman"/>
                <w:color w:val="000000"/>
                <w:sz w:val="18"/>
                <w:szCs w:val="18"/>
              </w:rPr>
              <w:t>742,2</w:t>
            </w:r>
          </w:p>
        </w:tc>
        <w:tc>
          <w:tcPr>
            <w:tcW w:w="992" w:type="dxa"/>
            <w:shd w:val="clear" w:color="auto" w:fill="FFFFFF"/>
            <w:vAlign w:val="center"/>
          </w:tcPr>
          <w:p w:rsidR="00B233DE" w:rsidRPr="00006288" w:rsidRDefault="00B233DE" w:rsidP="0023489B">
            <w:pPr>
              <w:ind w:left="-142" w:right="-75" w:firstLine="0"/>
              <w:jc w:val="center"/>
              <w:rPr>
                <w:rFonts w:ascii="Times New Roman" w:hAnsi="Times New Roman" w:cs="Times New Roman"/>
                <w:color w:val="000000"/>
                <w:sz w:val="18"/>
                <w:szCs w:val="18"/>
              </w:rPr>
            </w:pPr>
            <w:r w:rsidRPr="00006288">
              <w:rPr>
                <w:rFonts w:ascii="Times New Roman" w:hAnsi="Times New Roman" w:cs="Times New Roman"/>
                <w:color w:val="000000"/>
                <w:sz w:val="18"/>
                <w:szCs w:val="18"/>
              </w:rPr>
              <w:t>869,0</w:t>
            </w:r>
          </w:p>
        </w:tc>
        <w:tc>
          <w:tcPr>
            <w:tcW w:w="850" w:type="dxa"/>
            <w:vAlign w:val="center"/>
          </w:tcPr>
          <w:p w:rsidR="00B233DE" w:rsidRPr="00006288" w:rsidRDefault="00B233DE" w:rsidP="0023489B">
            <w:pPr>
              <w:ind w:left="-142" w:right="-75" w:firstLine="0"/>
              <w:jc w:val="center"/>
              <w:rPr>
                <w:rFonts w:ascii="Times New Roman" w:hAnsi="Times New Roman" w:cs="Times New Roman"/>
                <w:sz w:val="18"/>
                <w:szCs w:val="18"/>
                <w:highlight w:val="yellow"/>
              </w:rPr>
            </w:pPr>
            <w:r w:rsidRPr="00006288">
              <w:rPr>
                <w:rFonts w:ascii="Times New Roman" w:hAnsi="Times New Roman" w:cs="Times New Roman"/>
                <w:sz w:val="18"/>
                <w:szCs w:val="18"/>
              </w:rPr>
              <w:t>1062</w:t>
            </w:r>
          </w:p>
        </w:tc>
        <w:tc>
          <w:tcPr>
            <w:tcW w:w="851" w:type="dxa"/>
            <w:vAlign w:val="center"/>
          </w:tcPr>
          <w:p w:rsidR="00B233DE" w:rsidRPr="00006288" w:rsidRDefault="00B233DE" w:rsidP="0023489B">
            <w:pPr>
              <w:ind w:left="-142" w:right="-75" w:firstLine="0"/>
              <w:jc w:val="center"/>
              <w:rPr>
                <w:rFonts w:ascii="Times New Roman" w:hAnsi="Times New Roman" w:cs="Times New Roman"/>
                <w:sz w:val="18"/>
                <w:szCs w:val="18"/>
                <w:highlight w:val="yellow"/>
              </w:rPr>
            </w:pPr>
            <w:r w:rsidRPr="00006288">
              <w:rPr>
                <w:rFonts w:ascii="Times New Roman" w:hAnsi="Times New Roman" w:cs="Times New Roman"/>
                <w:sz w:val="18"/>
                <w:szCs w:val="18"/>
              </w:rPr>
              <w:t>989</w:t>
            </w:r>
          </w:p>
        </w:tc>
        <w:tc>
          <w:tcPr>
            <w:tcW w:w="1134" w:type="dxa"/>
            <w:vAlign w:val="center"/>
          </w:tcPr>
          <w:p w:rsidR="00B233DE" w:rsidRPr="00006288" w:rsidRDefault="00B233DE" w:rsidP="0023489B">
            <w:pPr>
              <w:ind w:left="-142" w:right="-75" w:firstLine="0"/>
              <w:jc w:val="center"/>
              <w:rPr>
                <w:rFonts w:ascii="Times New Roman" w:hAnsi="Times New Roman" w:cs="Times New Roman"/>
                <w:sz w:val="18"/>
                <w:szCs w:val="18"/>
                <w:highlight w:val="yellow"/>
              </w:rPr>
            </w:pPr>
            <w:r w:rsidRPr="00006288">
              <w:rPr>
                <w:rFonts w:ascii="Times New Roman" w:hAnsi="Times New Roman" w:cs="Times New Roman"/>
                <w:sz w:val="18"/>
                <w:szCs w:val="18"/>
              </w:rPr>
              <w:t>540</w:t>
            </w:r>
          </w:p>
        </w:tc>
      </w:tr>
    </w:tbl>
    <w:p w:rsidR="00B233DE" w:rsidRPr="00E97FE4" w:rsidRDefault="00B233DE" w:rsidP="00B233DE">
      <w:pPr>
        <w:ind w:firstLine="709"/>
        <w:jc w:val="both"/>
        <w:rPr>
          <w:rFonts w:ascii="Times New Roman" w:hAnsi="Times New Roman" w:cs="Times New Roman"/>
          <w:sz w:val="18"/>
          <w:szCs w:val="18"/>
        </w:rPr>
      </w:pPr>
      <w:r w:rsidRPr="004B50E7">
        <w:rPr>
          <w:rFonts w:ascii="Times New Roman" w:hAnsi="Times New Roman" w:cs="Times New Roman"/>
          <w:sz w:val="18"/>
          <w:szCs w:val="18"/>
        </w:rPr>
        <w:t xml:space="preserve">* - складено автором розділу на основі </w:t>
      </w:r>
      <w:r w:rsidRPr="00E97FE4">
        <w:rPr>
          <w:rFonts w:ascii="Times New Roman" w:hAnsi="Times New Roman" w:cs="Times New Roman"/>
          <w:sz w:val="18"/>
          <w:szCs w:val="18"/>
        </w:rPr>
        <w:t>[</w:t>
      </w:r>
      <w:r>
        <w:rPr>
          <w:rFonts w:ascii="Times New Roman" w:hAnsi="Times New Roman" w:cs="Times New Roman"/>
          <w:sz w:val="18"/>
          <w:szCs w:val="18"/>
        </w:rPr>
        <w:fldChar w:fldCharType="begin"/>
      </w:r>
      <w:r>
        <w:rPr>
          <w:rFonts w:ascii="Times New Roman" w:hAnsi="Times New Roman" w:cs="Times New Roman"/>
          <w:sz w:val="18"/>
          <w:szCs w:val="18"/>
        </w:rPr>
        <w:instrText xml:space="preserve"> REF _Ref435781250 \r \h </w:instrText>
      </w:r>
      <w:r>
        <w:rPr>
          <w:rFonts w:ascii="Times New Roman" w:hAnsi="Times New Roman" w:cs="Times New Roman"/>
          <w:sz w:val="18"/>
          <w:szCs w:val="18"/>
        </w:rPr>
      </w:r>
      <w:r>
        <w:rPr>
          <w:rFonts w:ascii="Times New Roman" w:hAnsi="Times New Roman" w:cs="Times New Roman"/>
          <w:sz w:val="18"/>
          <w:szCs w:val="18"/>
        </w:rPr>
        <w:fldChar w:fldCharType="separate"/>
      </w:r>
      <w:r>
        <w:rPr>
          <w:rFonts w:ascii="Times New Roman" w:hAnsi="Times New Roman" w:cs="Times New Roman"/>
          <w:sz w:val="18"/>
          <w:szCs w:val="18"/>
        </w:rPr>
        <w:t>7</w:t>
      </w:r>
      <w:r>
        <w:rPr>
          <w:rFonts w:ascii="Times New Roman" w:hAnsi="Times New Roman" w:cs="Times New Roman"/>
          <w:sz w:val="18"/>
          <w:szCs w:val="18"/>
        </w:rPr>
        <w:fldChar w:fldCharType="end"/>
      </w:r>
      <w:r w:rsidRPr="00E97FE4">
        <w:rPr>
          <w:rFonts w:ascii="Times New Roman" w:hAnsi="Times New Roman" w:cs="Times New Roman"/>
          <w:sz w:val="18"/>
          <w:szCs w:val="18"/>
        </w:rPr>
        <w:t>]</w:t>
      </w:r>
    </w:p>
    <w:p w:rsidR="00B233DE" w:rsidRPr="004B50E7" w:rsidRDefault="00B233DE" w:rsidP="00B233DE">
      <w:pPr>
        <w:ind w:firstLine="709"/>
        <w:jc w:val="both"/>
        <w:rPr>
          <w:rFonts w:ascii="Times New Roman" w:hAnsi="Times New Roman" w:cs="Times New Roman"/>
          <w:sz w:val="18"/>
          <w:szCs w:val="18"/>
        </w:rPr>
      </w:pP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Поширеною помилкою є генетичний підхід до визначення національності. Дитина народжується без національності й набуває її в колі свого найближчого середовища – передусім сімейного, а та</w:t>
      </w:r>
      <w:r>
        <w:rPr>
          <w:rFonts w:ascii="Times New Roman" w:hAnsi="Times New Roman" w:cs="Times New Roman"/>
          <w:sz w:val="21"/>
          <w:szCs w:val="21"/>
        </w:rPr>
        <w:t>кож соціального. Поширеності не</w:t>
      </w:r>
      <w:r w:rsidRPr="002B4100">
        <w:rPr>
          <w:rFonts w:ascii="Times New Roman" w:hAnsi="Times New Roman" w:cs="Times New Roman"/>
          <w:sz w:val="21"/>
          <w:szCs w:val="21"/>
        </w:rPr>
        <w:t>наукового погляду на національність в Україні сприяла дискримінаційна політика щодо багатьох національних груп в колишньому СРСР, відверта на практиці і заперечувана на словах.</w:t>
      </w: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 xml:space="preserve">За даними Всеукраїнського перепису населення на території області проживали представники понад 133 національностей і народностей.Особливістю національного складу </w:t>
      </w:r>
      <w:r w:rsidRPr="00006288">
        <w:rPr>
          <w:rFonts w:ascii="Times New Roman" w:hAnsi="Times New Roman" w:cs="Times New Roman"/>
          <w:spacing w:val="-4"/>
          <w:sz w:val="21"/>
          <w:szCs w:val="21"/>
        </w:rPr>
        <w:t>населення Вінницької області є його багатонаціональність (табл. 2.</w:t>
      </w:r>
      <w:r>
        <w:rPr>
          <w:rFonts w:ascii="Times New Roman" w:hAnsi="Times New Roman" w:cs="Times New Roman"/>
          <w:spacing w:val="-4"/>
          <w:sz w:val="21"/>
          <w:szCs w:val="21"/>
        </w:rPr>
        <w:t>8</w:t>
      </w:r>
      <w:r w:rsidRPr="00006288">
        <w:rPr>
          <w:rFonts w:ascii="Times New Roman" w:hAnsi="Times New Roman" w:cs="Times New Roman"/>
          <w:spacing w:val="-4"/>
          <w:sz w:val="21"/>
          <w:szCs w:val="21"/>
        </w:rPr>
        <w:t xml:space="preserve">). </w:t>
      </w:r>
    </w:p>
    <w:p w:rsidR="00B233DE" w:rsidRDefault="00B233DE" w:rsidP="00B233DE">
      <w:pPr>
        <w:ind w:firstLine="709"/>
        <w:jc w:val="right"/>
        <w:rPr>
          <w:rFonts w:ascii="Times New Roman" w:hAnsi="Times New Roman" w:cs="Times New Roman"/>
          <w:sz w:val="21"/>
          <w:szCs w:val="21"/>
        </w:rPr>
      </w:pPr>
    </w:p>
    <w:p w:rsidR="00B233DE" w:rsidRDefault="00B233DE" w:rsidP="00B233DE">
      <w:pPr>
        <w:ind w:firstLine="709"/>
        <w:jc w:val="right"/>
        <w:rPr>
          <w:rFonts w:ascii="Times New Roman" w:hAnsi="Times New Roman" w:cs="Times New Roman"/>
          <w:sz w:val="21"/>
          <w:szCs w:val="21"/>
        </w:rPr>
      </w:pPr>
    </w:p>
    <w:p w:rsidR="00B233DE" w:rsidRPr="002B4100" w:rsidRDefault="00B233DE" w:rsidP="00B233DE">
      <w:pPr>
        <w:ind w:firstLine="709"/>
        <w:jc w:val="right"/>
        <w:rPr>
          <w:rFonts w:ascii="Times New Roman" w:hAnsi="Times New Roman" w:cs="Times New Roman"/>
          <w:sz w:val="21"/>
          <w:szCs w:val="21"/>
        </w:rPr>
      </w:pPr>
      <w:r w:rsidRPr="002B4100">
        <w:rPr>
          <w:rFonts w:ascii="Times New Roman" w:hAnsi="Times New Roman" w:cs="Times New Roman"/>
          <w:sz w:val="21"/>
          <w:szCs w:val="21"/>
        </w:rPr>
        <w:lastRenderedPageBreak/>
        <w:t>Таблиця 2.</w:t>
      </w:r>
      <w:r>
        <w:rPr>
          <w:rFonts w:ascii="Times New Roman" w:hAnsi="Times New Roman" w:cs="Times New Roman"/>
          <w:sz w:val="21"/>
          <w:szCs w:val="21"/>
        </w:rPr>
        <w:t>8</w:t>
      </w:r>
      <w:r w:rsidRPr="002B4100">
        <w:rPr>
          <w:rFonts w:ascii="Times New Roman" w:hAnsi="Times New Roman" w:cs="Times New Roman"/>
          <w:sz w:val="21"/>
          <w:szCs w:val="21"/>
        </w:rPr>
        <w:t xml:space="preserve"> </w:t>
      </w:r>
    </w:p>
    <w:p w:rsidR="00B233DE" w:rsidRPr="00006288" w:rsidRDefault="00B233DE" w:rsidP="00B233DE">
      <w:pPr>
        <w:ind w:firstLine="709"/>
        <w:jc w:val="center"/>
        <w:rPr>
          <w:rFonts w:ascii="Times New Roman" w:hAnsi="Times New Roman" w:cs="Times New Roman"/>
          <w:b/>
          <w:sz w:val="21"/>
          <w:szCs w:val="21"/>
        </w:rPr>
      </w:pPr>
      <w:r w:rsidRPr="00006288">
        <w:rPr>
          <w:rFonts w:ascii="Times New Roman" w:hAnsi="Times New Roman" w:cs="Times New Roman"/>
          <w:b/>
          <w:sz w:val="21"/>
          <w:szCs w:val="21"/>
        </w:rPr>
        <w:t xml:space="preserve">Національний склад </w:t>
      </w:r>
      <w:r>
        <w:rPr>
          <w:rFonts w:ascii="Times New Roman" w:hAnsi="Times New Roman" w:cs="Times New Roman"/>
          <w:b/>
          <w:sz w:val="21"/>
          <w:szCs w:val="21"/>
        </w:rPr>
        <w:t>населення Вінницької області*</w:t>
      </w:r>
    </w:p>
    <w:tbl>
      <w:tblPr>
        <w:tblW w:w="629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072"/>
        <w:gridCol w:w="1134"/>
        <w:gridCol w:w="992"/>
        <w:gridCol w:w="851"/>
        <w:gridCol w:w="1248"/>
      </w:tblGrid>
      <w:tr w:rsidR="00B233DE" w:rsidRPr="002B4100" w:rsidTr="0023489B">
        <w:trPr>
          <w:trHeight w:val="498"/>
          <w:jc w:val="center"/>
        </w:trPr>
        <w:tc>
          <w:tcPr>
            <w:tcW w:w="2072" w:type="dxa"/>
            <w:vMerge w:val="restart"/>
            <w:vAlign w:val="center"/>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Національність</w:t>
            </w:r>
          </w:p>
        </w:tc>
        <w:tc>
          <w:tcPr>
            <w:tcW w:w="1134" w:type="dxa"/>
            <w:vMerge w:val="restart"/>
            <w:vAlign w:val="center"/>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Кількість (тис. осіб)</w:t>
            </w:r>
          </w:p>
        </w:tc>
        <w:tc>
          <w:tcPr>
            <w:tcW w:w="1843" w:type="dxa"/>
            <w:gridSpan w:val="2"/>
            <w:vAlign w:val="center"/>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У % до підсумку</w:t>
            </w:r>
          </w:p>
        </w:tc>
        <w:tc>
          <w:tcPr>
            <w:tcW w:w="1248" w:type="dxa"/>
            <w:vMerge w:val="restart"/>
            <w:vAlign w:val="center"/>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2001 рік у відсотках до 1989 року</w:t>
            </w:r>
          </w:p>
        </w:tc>
      </w:tr>
      <w:tr w:rsidR="00B233DE" w:rsidRPr="002B4100" w:rsidTr="0023489B">
        <w:trPr>
          <w:trHeight w:val="538"/>
          <w:jc w:val="center"/>
        </w:trPr>
        <w:tc>
          <w:tcPr>
            <w:tcW w:w="2072" w:type="dxa"/>
            <w:vMerge/>
          </w:tcPr>
          <w:p w:rsidR="00B233DE" w:rsidRPr="002B4100" w:rsidRDefault="00B233DE" w:rsidP="0023489B">
            <w:pPr>
              <w:ind w:left="-29" w:right="-109" w:firstLine="8"/>
              <w:jc w:val="center"/>
              <w:rPr>
                <w:rFonts w:ascii="Times New Roman" w:hAnsi="Times New Roman" w:cs="Times New Roman"/>
                <w:sz w:val="18"/>
                <w:szCs w:val="18"/>
                <w:highlight w:val="yellow"/>
              </w:rPr>
            </w:pPr>
          </w:p>
        </w:tc>
        <w:tc>
          <w:tcPr>
            <w:tcW w:w="1134" w:type="dxa"/>
            <w:vMerge/>
          </w:tcPr>
          <w:p w:rsidR="00B233DE" w:rsidRPr="002B4100" w:rsidRDefault="00B233DE" w:rsidP="0023489B">
            <w:pPr>
              <w:ind w:left="-29" w:right="-109" w:firstLine="8"/>
              <w:jc w:val="center"/>
              <w:rPr>
                <w:rFonts w:ascii="Times New Roman" w:hAnsi="Times New Roman" w:cs="Times New Roman"/>
                <w:sz w:val="18"/>
                <w:szCs w:val="18"/>
                <w:highlight w:val="yellow"/>
              </w:rPr>
            </w:pPr>
          </w:p>
        </w:tc>
        <w:tc>
          <w:tcPr>
            <w:tcW w:w="992" w:type="dxa"/>
            <w:vAlign w:val="center"/>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2001 рік</w:t>
            </w:r>
          </w:p>
        </w:tc>
        <w:tc>
          <w:tcPr>
            <w:tcW w:w="851" w:type="dxa"/>
            <w:vAlign w:val="center"/>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1989 рік</w:t>
            </w:r>
          </w:p>
        </w:tc>
        <w:tc>
          <w:tcPr>
            <w:tcW w:w="1248" w:type="dxa"/>
            <w:vMerge/>
          </w:tcPr>
          <w:p w:rsidR="00B233DE" w:rsidRPr="002B4100" w:rsidRDefault="00B233DE" w:rsidP="0023489B">
            <w:pPr>
              <w:ind w:left="-29" w:right="-109" w:firstLine="8"/>
              <w:jc w:val="center"/>
              <w:rPr>
                <w:rFonts w:ascii="Times New Roman" w:hAnsi="Times New Roman" w:cs="Times New Roman"/>
                <w:sz w:val="18"/>
                <w:szCs w:val="18"/>
              </w:rPr>
            </w:pPr>
          </w:p>
        </w:tc>
      </w:tr>
      <w:tr w:rsidR="00B233DE" w:rsidRPr="002B4100" w:rsidTr="0023489B">
        <w:trPr>
          <w:trHeight w:val="16"/>
          <w:jc w:val="center"/>
        </w:trPr>
        <w:tc>
          <w:tcPr>
            <w:tcW w:w="2072" w:type="dxa"/>
            <w:vAlign w:val="center"/>
          </w:tcPr>
          <w:p w:rsidR="00B233DE" w:rsidRPr="002B4100" w:rsidRDefault="00B233DE" w:rsidP="0023489B">
            <w:pPr>
              <w:ind w:left="-29" w:right="-109" w:firstLine="8"/>
              <w:rPr>
                <w:rFonts w:ascii="Times New Roman" w:hAnsi="Times New Roman" w:cs="Times New Roman"/>
                <w:sz w:val="18"/>
                <w:szCs w:val="18"/>
              </w:rPr>
            </w:pPr>
            <w:r w:rsidRPr="002B4100">
              <w:rPr>
                <w:rFonts w:ascii="Times New Roman" w:hAnsi="Times New Roman" w:cs="Times New Roman"/>
                <w:sz w:val="18"/>
                <w:szCs w:val="18"/>
              </w:rPr>
              <w:t>українці</w:t>
            </w:r>
          </w:p>
        </w:tc>
        <w:tc>
          <w:tcPr>
            <w:tcW w:w="1134" w:type="dxa"/>
            <w:vAlign w:val="center"/>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1674,1</w:t>
            </w:r>
          </w:p>
        </w:tc>
        <w:tc>
          <w:tcPr>
            <w:tcW w:w="992" w:type="dxa"/>
            <w:vAlign w:val="center"/>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94,9</w:t>
            </w:r>
          </w:p>
        </w:tc>
        <w:tc>
          <w:tcPr>
            <w:tcW w:w="851" w:type="dxa"/>
            <w:vAlign w:val="center"/>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91,5</w:t>
            </w:r>
          </w:p>
        </w:tc>
        <w:tc>
          <w:tcPr>
            <w:tcW w:w="1248" w:type="dxa"/>
            <w:vAlign w:val="center"/>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95,2</w:t>
            </w:r>
          </w:p>
        </w:tc>
      </w:tr>
      <w:tr w:rsidR="00B233DE" w:rsidRPr="002B4100" w:rsidTr="0023489B">
        <w:trPr>
          <w:trHeight w:val="16"/>
          <w:jc w:val="center"/>
        </w:trPr>
        <w:tc>
          <w:tcPr>
            <w:tcW w:w="2072" w:type="dxa"/>
          </w:tcPr>
          <w:p w:rsidR="00B233DE" w:rsidRPr="002B4100" w:rsidRDefault="00B233DE" w:rsidP="0023489B">
            <w:pPr>
              <w:ind w:left="-29" w:right="-109" w:firstLine="8"/>
              <w:rPr>
                <w:rFonts w:ascii="Times New Roman" w:hAnsi="Times New Roman" w:cs="Times New Roman"/>
                <w:sz w:val="18"/>
                <w:szCs w:val="18"/>
              </w:rPr>
            </w:pPr>
            <w:r w:rsidRPr="002B4100">
              <w:rPr>
                <w:rFonts w:ascii="Times New Roman" w:hAnsi="Times New Roman" w:cs="Times New Roman"/>
                <w:sz w:val="18"/>
                <w:szCs w:val="18"/>
              </w:rPr>
              <w:t>росіяни</w:t>
            </w:r>
          </w:p>
        </w:tc>
        <w:tc>
          <w:tcPr>
            <w:tcW w:w="1134"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67,5</w:t>
            </w:r>
          </w:p>
        </w:tc>
        <w:tc>
          <w:tcPr>
            <w:tcW w:w="992"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3,8</w:t>
            </w:r>
          </w:p>
        </w:tc>
        <w:tc>
          <w:tcPr>
            <w:tcW w:w="851"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5,9</w:t>
            </w:r>
          </w:p>
        </w:tc>
        <w:tc>
          <w:tcPr>
            <w:tcW w:w="1248"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60,0</w:t>
            </w:r>
          </w:p>
        </w:tc>
      </w:tr>
      <w:tr w:rsidR="00B233DE" w:rsidRPr="002B4100" w:rsidTr="0023489B">
        <w:trPr>
          <w:trHeight w:val="16"/>
          <w:jc w:val="center"/>
        </w:trPr>
        <w:tc>
          <w:tcPr>
            <w:tcW w:w="2072" w:type="dxa"/>
          </w:tcPr>
          <w:p w:rsidR="00B233DE" w:rsidRPr="002B4100" w:rsidRDefault="00B233DE" w:rsidP="0023489B">
            <w:pPr>
              <w:ind w:left="-29" w:right="-109" w:firstLine="8"/>
              <w:rPr>
                <w:rFonts w:ascii="Times New Roman" w:hAnsi="Times New Roman" w:cs="Times New Roman"/>
                <w:sz w:val="18"/>
                <w:szCs w:val="18"/>
              </w:rPr>
            </w:pPr>
            <w:r w:rsidRPr="002B4100">
              <w:rPr>
                <w:rFonts w:ascii="Times New Roman" w:hAnsi="Times New Roman" w:cs="Times New Roman"/>
                <w:sz w:val="18"/>
                <w:szCs w:val="18"/>
              </w:rPr>
              <w:t>поляки</w:t>
            </w:r>
          </w:p>
        </w:tc>
        <w:tc>
          <w:tcPr>
            <w:tcW w:w="1134"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3,7</w:t>
            </w:r>
          </w:p>
        </w:tc>
        <w:tc>
          <w:tcPr>
            <w:tcW w:w="992"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0,2</w:t>
            </w:r>
          </w:p>
        </w:tc>
        <w:tc>
          <w:tcPr>
            <w:tcW w:w="851"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0,4</w:t>
            </w:r>
          </w:p>
        </w:tc>
        <w:tc>
          <w:tcPr>
            <w:tcW w:w="1248"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45,1</w:t>
            </w:r>
          </w:p>
        </w:tc>
      </w:tr>
      <w:tr w:rsidR="00B233DE" w:rsidRPr="002B4100" w:rsidTr="0023489B">
        <w:trPr>
          <w:trHeight w:val="16"/>
          <w:jc w:val="center"/>
        </w:trPr>
        <w:tc>
          <w:tcPr>
            <w:tcW w:w="2072" w:type="dxa"/>
          </w:tcPr>
          <w:p w:rsidR="00B233DE" w:rsidRPr="002B4100" w:rsidRDefault="00B233DE" w:rsidP="0023489B">
            <w:pPr>
              <w:ind w:left="-29" w:right="-109" w:firstLine="8"/>
              <w:rPr>
                <w:rFonts w:ascii="Times New Roman" w:hAnsi="Times New Roman" w:cs="Times New Roman"/>
                <w:sz w:val="18"/>
                <w:szCs w:val="18"/>
              </w:rPr>
            </w:pPr>
            <w:r w:rsidRPr="002B4100">
              <w:rPr>
                <w:rFonts w:ascii="Times New Roman" w:hAnsi="Times New Roman" w:cs="Times New Roman"/>
                <w:sz w:val="18"/>
                <w:szCs w:val="18"/>
              </w:rPr>
              <w:t>білоруси</w:t>
            </w:r>
          </w:p>
        </w:tc>
        <w:tc>
          <w:tcPr>
            <w:tcW w:w="1134"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3,1</w:t>
            </w:r>
          </w:p>
        </w:tc>
        <w:tc>
          <w:tcPr>
            <w:tcW w:w="992"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0,2</w:t>
            </w:r>
          </w:p>
        </w:tc>
        <w:tc>
          <w:tcPr>
            <w:tcW w:w="851"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0,3</w:t>
            </w:r>
          </w:p>
        </w:tc>
        <w:tc>
          <w:tcPr>
            <w:tcW w:w="1248"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61,1</w:t>
            </w:r>
          </w:p>
        </w:tc>
      </w:tr>
      <w:tr w:rsidR="00B233DE" w:rsidRPr="002B4100" w:rsidTr="0023489B">
        <w:trPr>
          <w:trHeight w:val="16"/>
          <w:jc w:val="center"/>
        </w:trPr>
        <w:tc>
          <w:tcPr>
            <w:tcW w:w="2072" w:type="dxa"/>
          </w:tcPr>
          <w:p w:rsidR="00B233DE" w:rsidRPr="002B4100" w:rsidRDefault="00B233DE" w:rsidP="0023489B">
            <w:pPr>
              <w:ind w:left="-29" w:right="-109" w:firstLine="8"/>
              <w:rPr>
                <w:rFonts w:ascii="Times New Roman" w:hAnsi="Times New Roman" w:cs="Times New Roman"/>
                <w:sz w:val="18"/>
                <w:szCs w:val="18"/>
              </w:rPr>
            </w:pPr>
            <w:r w:rsidRPr="002B4100">
              <w:rPr>
                <w:rFonts w:ascii="Times New Roman" w:hAnsi="Times New Roman" w:cs="Times New Roman"/>
                <w:sz w:val="18"/>
                <w:szCs w:val="18"/>
              </w:rPr>
              <w:t>євреї</w:t>
            </w:r>
          </w:p>
        </w:tc>
        <w:tc>
          <w:tcPr>
            <w:tcW w:w="1134"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3,0</w:t>
            </w:r>
          </w:p>
        </w:tc>
        <w:tc>
          <w:tcPr>
            <w:tcW w:w="992"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0,2</w:t>
            </w:r>
          </w:p>
        </w:tc>
        <w:tc>
          <w:tcPr>
            <w:tcW w:w="851"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1,4</w:t>
            </w:r>
          </w:p>
        </w:tc>
        <w:tc>
          <w:tcPr>
            <w:tcW w:w="1248"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11,7</w:t>
            </w:r>
          </w:p>
        </w:tc>
      </w:tr>
      <w:tr w:rsidR="00B233DE" w:rsidRPr="002B4100" w:rsidTr="0023489B">
        <w:trPr>
          <w:trHeight w:val="16"/>
          <w:jc w:val="center"/>
        </w:trPr>
        <w:tc>
          <w:tcPr>
            <w:tcW w:w="2072" w:type="dxa"/>
          </w:tcPr>
          <w:p w:rsidR="00B233DE" w:rsidRPr="002B4100" w:rsidRDefault="00B233DE" w:rsidP="0023489B">
            <w:pPr>
              <w:ind w:left="-29" w:right="-109" w:firstLine="8"/>
              <w:rPr>
                <w:rFonts w:ascii="Times New Roman" w:hAnsi="Times New Roman" w:cs="Times New Roman"/>
                <w:sz w:val="18"/>
                <w:szCs w:val="18"/>
              </w:rPr>
            </w:pPr>
            <w:r w:rsidRPr="002B4100">
              <w:rPr>
                <w:rFonts w:ascii="Times New Roman" w:hAnsi="Times New Roman" w:cs="Times New Roman"/>
                <w:sz w:val="18"/>
                <w:szCs w:val="18"/>
              </w:rPr>
              <w:t>молдавани</w:t>
            </w:r>
          </w:p>
        </w:tc>
        <w:tc>
          <w:tcPr>
            <w:tcW w:w="1134"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2,9</w:t>
            </w:r>
          </w:p>
        </w:tc>
        <w:tc>
          <w:tcPr>
            <w:tcW w:w="992"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0,1</w:t>
            </w:r>
          </w:p>
        </w:tc>
        <w:tc>
          <w:tcPr>
            <w:tcW w:w="851"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0,2</w:t>
            </w:r>
          </w:p>
        </w:tc>
        <w:tc>
          <w:tcPr>
            <w:tcW w:w="1248"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87,2</w:t>
            </w:r>
          </w:p>
        </w:tc>
      </w:tr>
      <w:tr w:rsidR="00B233DE" w:rsidRPr="002B4100" w:rsidTr="0023489B">
        <w:trPr>
          <w:trHeight w:val="16"/>
          <w:jc w:val="center"/>
        </w:trPr>
        <w:tc>
          <w:tcPr>
            <w:tcW w:w="2072" w:type="dxa"/>
          </w:tcPr>
          <w:p w:rsidR="00B233DE" w:rsidRPr="002B4100" w:rsidRDefault="00B233DE" w:rsidP="0023489B">
            <w:pPr>
              <w:ind w:left="-29" w:right="-109" w:firstLine="8"/>
              <w:rPr>
                <w:rFonts w:ascii="Times New Roman" w:hAnsi="Times New Roman" w:cs="Times New Roman"/>
                <w:sz w:val="18"/>
                <w:szCs w:val="18"/>
                <w:highlight w:val="yellow"/>
              </w:rPr>
            </w:pPr>
            <w:r w:rsidRPr="002B4100">
              <w:rPr>
                <w:rFonts w:ascii="Times New Roman" w:hAnsi="Times New Roman" w:cs="Times New Roman"/>
                <w:sz w:val="18"/>
                <w:szCs w:val="18"/>
              </w:rPr>
              <w:t>вірмени</w:t>
            </w:r>
          </w:p>
        </w:tc>
        <w:tc>
          <w:tcPr>
            <w:tcW w:w="1134"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1,1</w:t>
            </w:r>
          </w:p>
        </w:tc>
        <w:tc>
          <w:tcPr>
            <w:tcW w:w="992"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0,1</w:t>
            </w:r>
          </w:p>
        </w:tc>
        <w:tc>
          <w:tcPr>
            <w:tcW w:w="851"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0,0</w:t>
            </w:r>
          </w:p>
        </w:tc>
        <w:tc>
          <w:tcPr>
            <w:tcW w:w="1248"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у 1,8 р.б.</w:t>
            </w:r>
          </w:p>
        </w:tc>
      </w:tr>
      <w:tr w:rsidR="00B233DE" w:rsidRPr="002B4100" w:rsidTr="0023489B">
        <w:trPr>
          <w:trHeight w:val="112"/>
          <w:jc w:val="center"/>
        </w:trPr>
        <w:tc>
          <w:tcPr>
            <w:tcW w:w="2072" w:type="dxa"/>
          </w:tcPr>
          <w:p w:rsidR="00B233DE" w:rsidRPr="002B4100" w:rsidRDefault="00B233DE" w:rsidP="0023489B">
            <w:pPr>
              <w:ind w:left="-29" w:right="-109" w:firstLine="8"/>
              <w:rPr>
                <w:rFonts w:ascii="Times New Roman" w:hAnsi="Times New Roman" w:cs="Times New Roman"/>
                <w:sz w:val="18"/>
                <w:szCs w:val="18"/>
                <w:highlight w:val="yellow"/>
              </w:rPr>
            </w:pPr>
            <w:r w:rsidRPr="002B4100">
              <w:rPr>
                <w:rFonts w:ascii="Times New Roman" w:hAnsi="Times New Roman" w:cs="Times New Roman"/>
                <w:sz w:val="18"/>
                <w:szCs w:val="18"/>
              </w:rPr>
              <w:t>інші національності</w:t>
            </w:r>
          </w:p>
        </w:tc>
        <w:tc>
          <w:tcPr>
            <w:tcW w:w="1134"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6,4</w:t>
            </w:r>
          </w:p>
        </w:tc>
        <w:tc>
          <w:tcPr>
            <w:tcW w:w="992"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0,3</w:t>
            </w:r>
          </w:p>
        </w:tc>
        <w:tc>
          <w:tcPr>
            <w:tcW w:w="851"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0,3</w:t>
            </w:r>
          </w:p>
        </w:tc>
        <w:tc>
          <w:tcPr>
            <w:tcW w:w="1248" w:type="dxa"/>
          </w:tcPr>
          <w:p w:rsidR="00B233DE" w:rsidRPr="002B4100" w:rsidRDefault="00B233DE" w:rsidP="0023489B">
            <w:pPr>
              <w:ind w:left="-29" w:right="-109" w:firstLine="8"/>
              <w:jc w:val="center"/>
              <w:rPr>
                <w:rFonts w:ascii="Times New Roman" w:hAnsi="Times New Roman" w:cs="Times New Roman"/>
                <w:sz w:val="18"/>
                <w:szCs w:val="18"/>
              </w:rPr>
            </w:pPr>
            <w:r w:rsidRPr="002B4100">
              <w:rPr>
                <w:rFonts w:ascii="Times New Roman" w:hAnsi="Times New Roman" w:cs="Times New Roman"/>
                <w:sz w:val="18"/>
                <w:szCs w:val="18"/>
              </w:rPr>
              <w:t>87,9</w:t>
            </w:r>
          </w:p>
        </w:tc>
      </w:tr>
    </w:tbl>
    <w:p w:rsidR="00B233DE" w:rsidRPr="00E97FE4" w:rsidRDefault="00B233DE" w:rsidP="00B233DE">
      <w:pPr>
        <w:ind w:firstLine="709"/>
        <w:jc w:val="both"/>
        <w:rPr>
          <w:rFonts w:ascii="Times New Roman" w:hAnsi="Times New Roman" w:cs="Times New Roman"/>
          <w:sz w:val="18"/>
          <w:szCs w:val="18"/>
        </w:rPr>
      </w:pPr>
      <w:r w:rsidRPr="004B50E7">
        <w:rPr>
          <w:rFonts w:ascii="Times New Roman" w:hAnsi="Times New Roman" w:cs="Times New Roman"/>
          <w:sz w:val="18"/>
          <w:szCs w:val="18"/>
        </w:rPr>
        <w:t xml:space="preserve">* - складено автором розділу на </w:t>
      </w:r>
      <w:r w:rsidRPr="007D49D7">
        <w:rPr>
          <w:rFonts w:ascii="Times New Roman" w:hAnsi="Times New Roman" w:cs="Times New Roman"/>
          <w:sz w:val="18"/>
          <w:szCs w:val="18"/>
        </w:rPr>
        <w:t xml:space="preserve">основі </w:t>
      </w:r>
      <w:r w:rsidRPr="00E97FE4">
        <w:rPr>
          <w:rFonts w:ascii="Times New Roman" w:hAnsi="Times New Roman" w:cs="Times New Roman"/>
          <w:sz w:val="18"/>
          <w:szCs w:val="18"/>
        </w:rPr>
        <w:t>[</w:t>
      </w:r>
      <w:r>
        <w:rPr>
          <w:rFonts w:ascii="Times New Roman" w:hAnsi="Times New Roman" w:cs="Times New Roman"/>
          <w:sz w:val="18"/>
          <w:szCs w:val="18"/>
        </w:rPr>
        <w:fldChar w:fldCharType="begin"/>
      </w:r>
      <w:r>
        <w:rPr>
          <w:rFonts w:ascii="Times New Roman" w:hAnsi="Times New Roman" w:cs="Times New Roman"/>
          <w:sz w:val="18"/>
          <w:szCs w:val="18"/>
        </w:rPr>
        <w:instrText xml:space="preserve"> REF _Ref435781250 \r \h </w:instrText>
      </w:r>
      <w:r>
        <w:rPr>
          <w:rFonts w:ascii="Times New Roman" w:hAnsi="Times New Roman" w:cs="Times New Roman"/>
          <w:sz w:val="18"/>
          <w:szCs w:val="18"/>
        </w:rPr>
      </w:r>
      <w:r>
        <w:rPr>
          <w:rFonts w:ascii="Times New Roman" w:hAnsi="Times New Roman" w:cs="Times New Roman"/>
          <w:sz w:val="18"/>
          <w:szCs w:val="18"/>
        </w:rPr>
        <w:fldChar w:fldCharType="separate"/>
      </w:r>
      <w:r>
        <w:rPr>
          <w:rFonts w:ascii="Times New Roman" w:hAnsi="Times New Roman" w:cs="Times New Roman"/>
          <w:sz w:val="18"/>
          <w:szCs w:val="18"/>
        </w:rPr>
        <w:t>7</w:t>
      </w:r>
      <w:r>
        <w:rPr>
          <w:rFonts w:ascii="Times New Roman" w:hAnsi="Times New Roman" w:cs="Times New Roman"/>
          <w:sz w:val="18"/>
          <w:szCs w:val="18"/>
        </w:rPr>
        <w:fldChar w:fldCharType="end"/>
      </w:r>
      <w:r w:rsidRPr="00E97FE4">
        <w:rPr>
          <w:rFonts w:ascii="Times New Roman" w:hAnsi="Times New Roman" w:cs="Times New Roman"/>
          <w:sz w:val="18"/>
          <w:szCs w:val="18"/>
        </w:rPr>
        <w:t>]</w:t>
      </w: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highlight w:val="yellow"/>
        </w:rPr>
      </w:pPr>
      <w:r w:rsidRPr="002B4100">
        <w:rPr>
          <w:rFonts w:ascii="Times New Roman" w:hAnsi="Times New Roman" w:cs="Times New Roman"/>
          <w:sz w:val="21"/>
          <w:szCs w:val="21"/>
        </w:rPr>
        <w:t>У національному складі населення області переважна більшість українців, чисельність яких становила 1674,1 тис. осіб, або 94,9% від загальної кількості населення (в цілому по Україні – 77,8 %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_Ref435781250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7</w:t>
      </w:r>
      <w:r>
        <w:rPr>
          <w:rFonts w:ascii="Times New Roman" w:hAnsi="Times New Roman" w:cs="Times New Roman"/>
          <w:sz w:val="21"/>
          <w:szCs w:val="21"/>
          <w:highlight w:val="yellow"/>
        </w:rPr>
        <w:fldChar w:fldCharType="end"/>
      </w:r>
      <w:r w:rsidRPr="002B4100">
        <w:rPr>
          <w:rFonts w:ascii="Times New Roman" w:hAnsi="Times New Roman" w:cs="Times New Roman"/>
          <w:sz w:val="21"/>
          <w:szCs w:val="21"/>
        </w:rPr>
        <w:t>]).</w:t>
      </w: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За роки, що минули від перепису населення 1989 року, кількість українців зменшилася на 4,8</w:t>
      </w:r>
      <w:r>
        <w:rPr>
          <w:rFonts w:ascii="Times New Roman" w:hAnsi="Times New Roman" w:cs="Times New Roman"/>
          <w:sz w:val="21"/>
          <w:szCs w:val="21"/>
        </w:rPr>
        <w:t xml:space="preserve"> </w:t>
      </w:r>
      <w:r w:rsidRPr="002B4100">
        <w:rPr>
          <w:rFonts w:ascii="Times New Roman" w:hAnsi="Times New Roman" w:cs="Times New Roman"/>
          <w:sz w:val="21"/>
          <w:szCs w:val="21"/>
        </w:rPr>
        <w:t>%, що пояснюється загальним зменшенням чисельності населення, а їх питома вага серед жителів області зросла на 3,4 відсоткового пункту.</w:t>
      </w:r>
    </w:p>
    <w:p w:rsidR="00B233DE" w:rsidRPr="002B4100" w:rsidRDefault="00B233DE" w:rsidP="00B233DE">
      <w:pPr>
        <w:ind w:firstLine="709"/>
        <w:jc w:val="both"/>
        <w:rPr>
          <w:rFonts w:ascii="Times New Roman" w:hAnsi="Times New Roman" w:cs="Times New Roman"/>
          <w:sz w:val="21"/>
          <w:szCs w:val="21"/>
          <w:highlight w:val="yellow"/>
        </w:rPr>
      </w:pPr>
      <w:r w:rsidRPr="002B4100">
        <w:rPr>
          <w:rFonts w:ascii="Times New Roman" w:hAnsi="Times New Roman" w:cs="Times New Roman"/>
          <w:sz w:val="21"/>
          <w:szCs w:val="21"/>
        </w:rPr>
        <w:t>Друге місце за чисельністю посідали росіяни. Їх кількість порівняно з переписом 1989 року зменшилася на 40,0</w:t>
      </w:r>
      <w:r>
        <w:rPr>
          <w:rFonts w:ascii="Times New Roman" w:hAnsi="Times New Roman" w:cs="Times New Roman"/>
          <w:sz w:val="21"/>
          <w:szCs w:val="21"/>
        </w:rPr>
        <w:t xml:space="preserve"> </w:t>
      </w:r>
      <w:r w:rsidRPr="002B4100">
        <w:rPr>
          <w:rFonts w:ascii="Times New Roman" w:hAnsi="Times New Roman" w:cs="Times New Roman"/>
          <w:sz w:val="21"/>
          <w:szCs w:val="21"/>
        </w:rPr>
        <w:t>% і нараховувала на дату перепису 67,5 тис. осіб, питома вага росіян у загальній кількості населення зменшилася на 2,1 відсоткового пункту і складала 3,8</w:t>
      </w:r>
      <w:r>
        <w:rPr>
          <w:rFonts w:ascii="Times New Roman" w:hAnsi="Times New Roman" w:cs="Times New Roman"/>
          <w:sz w:val="21"/>
          <w:szCs w:val="21"/>
        </w:rPr>
        <w:t xml:space="preserve"> </w:t>
      </w:r>
      <w:r w:rsidRPr="002B4100">
        <w:rPr>
          <w:rFonts w:ascii="Times New Roman" w:hAnsi="Times New Roman" w:cs="Times New Roman"/>
          <w:sz w:val="21"/>
          <w:szCs w:val="21"/>
        </w:rPr>
        <w:t>% (по Україні в цілому – 17,3 %).</w:t>
      </w: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Статистичне вивчення етносів є надзвичайно важливим для долі багатьох народів. Незважаючи на значний розвиток культури народів світу, людство все ще не позбулося расових і національних забобонів, а водночас і різних виявів дискримінації, гноблення національних меншин тощо. Історія розвитку людства свідчить, що саме співпраця, взаємодопомога і дружба націй є рушійною силою розвитку світового господарства і культури.</w:t>
      </w: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 xml:space="preserve">Народжуваність, поряд зі смертністю, є основним демографічним процесом. Саме вона в даний час у нашій країні та інших індустріальних країнах робить вирішальний вплив на характер відтворення населення. Від неї, головним чином, залежить </w:t>
      </w:r>
      <w:r w:rsidRPr="002B4100">
        <w:rPr>
          <w:rFonts w:ascii="Times New Roman" w:hAnsi="Times New Roman" w:cs="Times New Roman"/>
          <w:sz w:val="21"/>
          <w:szCs w:val="21"/>
        </w:rPr>
        <w:lastRenderedPageBreak/>
        <w:t>те, як у суспільстві здійснюється процес заміщення поколінь. Досить сказати, що якщо кількість дітей, народжених у середньому однією жінкою, незалежно від її шлюбного стану, не буде перевищувати приблизно 2,1 або число дітей у середньому в однієї плодовитої (тобто здатної до дітородіння) подружньої пари не буде перевищувати приблизно 2,3</w:t>
      </w:r>
      <w:r>
        <w:rPr>
          <w:rFonts w:ascii="Times New Roman" w:hAnsi="Times New Roman" w:cs="Times New Roman"/>
          <w:sz w:val="21"/>
          <w:szCs w:val="21"/>
        </w:rPr>
        <w:t>–</w:t>
      </w:r>
      <w:r w:rsidRPr="002B4100">
        <w:rPr>
          <w:rFonts w:ascii="Times New Roman" w:hAnsi="Times New Roman" w:cs="Times New Roman"/>
          <w:sz w:val="21"/>
          <w:szCs w:val="21"/>
        </w:rPr>
        <w:t xml:space="preserve">2,4, то наскільки низьким не був би при цьому рівень смертності, заміщення поколінь у суспільстві відбуватися не буде і чисельність населення від покоління до покоління буде скорочуватися (слід, правда мати на увазі, що це скорочення може гальмуватися або відкладатися на деякий час під впливом ситуації, сприятливої вікової структури населення, але тільки на деякий час). </w:t>
      </w:r>
    </w:p>
    <w:p w:rsidR="00B233DE" w:rsidRPr="002B4100" w:rsidRDefault="00B233DE" w:rsidP="00B233DE">
      <w:pPr>
        <w:ind w:firstLine="709"/>
        <w:jc w:val="both"/>
        <w:rPr>
          <w:rFonts w:ascii="Times New Roman" w:hAnsi="Times New Roman" w:cs="Times New Roman"/>
          <w:sz w:val="21"/>
          <w:szCs w:val="21"/>
          <w:highlight w:val="yellow"/>
        </w:rPr>
      </w:pPr>
      <w:r w:rsidRPr="002B4100">
        <w:rPr>
          <w:rFonts w:ascii="Times New Roman" w:hAnsi="Times New Roman" w:cs="Times New Roman"/>
          <w:sz w:val="21"/>
          <w:szCs w:val="21"/>
        </w:rPr>
        <w:t>Про співвідношення впливу народжуваності і смертності на відтворення населення свідчить наступне. При існуючому зараз в Україні рівні смертності для забезпечення простого відтворення населення, тобто щоб від покоління до покоління чисельність населення не скорочувалася, необхідно, щоб у середньому на одну жінку припадало 2,11</w:t>
      </w:r>
      <w:r w:rsidRPr="00D62A2A">
        <w:rPr>
          <w:rFonts w:ascii="Times New Roman" w:hAnsi="Times New Roman" w:cs="Times New Roman"/>
          <w:sz w:val="21"/>
          <w:szCs w:val="21"/>
          <w:lang w:val="ru-RU"/>
        </w:rPr>
        <w:t xml:space="preserve"> </w:t>
      </w:r>
      <w:r w:rsidRPr="002B4100">
        <w:rPr>
          <w:rFonts w:ascii="Times New Roman" w:hAnsi="Times New Roman" w:cs="Times New Roman"/>
          <w:sz w:val="21"/>
          <w:szCs w:val="21"/>
        </w:rPr>
        <w:t>‰ народжених дітей. Якщо ж вдалося б скоротити рівень смертності в 1,5 рази, то цей показник скоротився б всього лише до 2,09</w:t>
      </w:r>
      <w:r w:rsidRPr="00D62A2A">
        <w:rPr>
          <w:rFonts w:ascii="Times New Roman" w:hAnsi="Times New Roman" w:cs="Times New Roman"/>
          <w:sz w:val="21"/>
          <w:szCs w:val="21"/>
          <w:lang w:val="ru-RU"/>
        </w:rPr>
        <w:t xml:space="preserve"> </w:t>
      </w:r>
      <w:r w:rsidRPr="002B4100">
        <w:rPr>
          <w:rFonts w:ascii="Times New Roman" w:hAnsi="Times New Roman" w:cs="Times New Roman"/>
          <w:sz w:val="21"/>
          <w:szCs w:val="21"/>
        </w:rPr>
        <w:t>‰.</w:t>
      </w:r>
    </w:p>
    <w:p w:rsidR="00B233DE" w:rsidRPr="002B4100"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У зв’</w:t>
      </w:r>
      <w:r w:rsidRPr="002B4100">
        <w:rPr>
          <w:rFonts w:ascii="Times New Roman" w:hAnsi="Times New Roman" w:cs="Times New Roman"/>
          <w:sz w:val="21"/>
          <w:szCs w:val="21"/>
        </w:rPr>
        <w:t>язку з цим народжуваності відводиться особливе місце в демографічній політиці. Від того, чи вдасться істотно змінити її рівень і тенденції, вирішальним чином залежать перспективи демографічної динаміки, зміни чисельності населення і його складу, майбутнє нашої країни.</w:t>
      </w:r>
    </w:p>
    <w:p w:rsidR="00B233DE" w:rsidRPr="002B4100" w:rsidRDefault="00B233DE" w:rsidP="00B233DE">
      <w:pPr>
        <w:ind w:firstLine="709"/>
        <w:jc w:val="both"/>
        <w:rPr>
          <w:rFonts w:ascii="Times New Roman" w:hAnsi="Times New Roman" w:cs="Times New Roman"/>
          <w:sz w:val="21"/>
          <w:szCs w:val="21"/>
          <w:highlight w:val="yellow"/>
        </w:rPr>
      </w:pPr>
      <w:r w:rsidRPr="002B4100">
        <w:rPr>
          <w:rFonts w:ascii="Times New Roman" w:hAnsi="Times New Roman" w:cs="Times New Roman"/>
          <w:sz w:val="21"/>
          <w:szCs w:val="21"/>
        </w:rPr>
        <w:t>Для того щоб підвищувалася народжуваність, треба дуже добре уявляти собі, від чого залежить ї</w:t>
      </w:r>
      <w:r>
        <w:rPr>
          <w:rFonts w:ascii="Times New Roman" w:hAnsi="Times New Roman" w:cs="Times New Roman"/>
          <w:sz w:val="21"/>
          <w:szCs w:val="21"/>
        </w:rPr>
        <w:t>ї рівень, кількість дітей в сім’</w:t>
      </w:r>
      <w:r w:rsidRPr="002B4100">
        <w:rPr>
          <w:rFonts w:ascii="Times New Roman" w:hAnsi="Times New Roman" w:cs="Times New Roman"/>
          <w:sz w:val="21"/>
          <w:szCs w:val="21"/>
        </w:rPr>
        <w:t>ях, що визначає та чи інша репродуктивна поведінка. Це, у свою чергу, передбачає всебічний і глибокий аналіз народжуваності та репродуктивної поведінки з використанням різних показників та джерел інформації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_Ref435781262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23</w:t>
      </w:r>
      <w:r>
        <w:rPr>
          <w:rFonts w:ascii="Times New Roman" w:hAnsi="Times New Roman"/>
          <w:sz w:val="21"/>
          <w:szCs w:val="21"/>
          <w:highlight w:val="yellow"/>
        </w:rPr>
        <w:fldChar w:fldCharType="end"/>
      </w:r>
      <w:r w:rsidRPr="002B4100">
        <w:rPr>
          <w:rFonts w:ascii="Times New Roman" w:hAnsi="Times New Roman" w:cs="Times New Roman"/>
          <w:sz w:val="21"/>
          <w:szCs w:val="21"/>
        </w:rPr>
        <w:t xml:space="preserve">, с. 83]. </w:t>
      </w:r>
    </w:p>
    <w:p w:rsidR="00B233DE" w:rsidRPr="002B4100" w:rsidRDefault="00B233DE" w:rsidP="00B233DE">
      <w:pPr>
        <w:ind w:firstLine="709"/>
        <w:jc w:val="both"/>
        <w:rPr>
          <w:rFonts w:ascii="Times New Roman" w:hAnsi="Times New Roman" w:cs="Times New Roman"/>
          <w:sz w:val="21"/>
          <w:szCs w:val="21"/>
          <w:highlight w:val="yellow"/>
        </w:rPr>
      </w:pPr>
      <w:r w:rsidRPr="002B4100">
        <w:rPr>
          <w:rFonts w:ascii="Times New Roman" w:hAnsi="Times New Roman" w:cs="Times New Roman"/>
          <w:sz w:val="21"/>
          <w:szCs w:val="21"/>
        </w:rPr>
        <w:t xml:space="preserve">До загальних показників народжуваності відносяться абсолютне число народжених і загальний коефіцієнт народжуваності. Іноді народжуваність ототожнюють з числом народжених. Наприклад, говорять або пишуть, що підвищився рівень народжуваності або, що </w:t>
      </w:r>
      <w:r>
        <w:rPr>
          <w:rFonts w:ascii="Times New Roman" w:hAnsi="Times New Roman" w:cs="Times New Roman"/>
          <w:sz w:val="21"/>
          <w:szCs w:val="21"/>
        </w:rPr>
        <w:t>на</w:t>
      </w:r>
      <w:r w:rsidRPr="002B4100">
        <w:rPr>
          <w:rFonts w:ascii="Times New Roman" w:hAnsi="Times New Roman" w:cs="Times New Roman"/>
          <w:sz w:val="21"/>
          <w:szCs w:val="21"/>
        </w:rPr>
        <w:t xml:space="preserve"> одній території він вище, ніж в іншій. Для підтвердження цього наводяться абсолютні числа народжених. Насправді цей показник абсолютно не інформативний і сам по собі не придатний для аналізу народжуваності. Зрозуміло, </w:t>
      </w:r>
      <w:r w:rsidRPr="002B4100">
        <w:rPr>
          <w:rFonts w:ascii="Times New Roman" w:hAnsi="Times New Roman" w:cs="Times New Roman"/>
          <w:sz w:val="21"/>
          <w:szCs w:val="21"/>
        </w:rPr>
        <w:lastRenderedPageBreak/>
        <w:t>що чим більша чисельність населення, тим більша, за інших рівних умов, буде і кількість тих чи інших подій в цьому населенні. У більшій сукупності населення буде більше випадків дітонароджень, більше абсолютне число народжених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_Ref435781262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23</w:t>
      </w:r>
      <w:r>
        <w:rPr>
          <w:rFonts w:ascii="Times New Roman" w:hAnsi="Times New Roman"/>
          <w:sz w:val="21"/>
          <w:szCs w:val="21"/>
          <w:highlight w:val="yellow"/>
        </w:rPr>
        <w:fldChar w:fldCharType="end"/>
      </w:r>
      <w:r w:rsidRPr="002B4100">
        <w:rPr>
          <w:rFonts w:ascii="Times New Roman" w:hAnsi="Times New Roman" w:cs="Times New Roman"/>
          <w:sz w:val="21"/>
          <w:szCs w:val="21"/>
        </w:rPr>
        <w:t>, с. 28].</w:t>
      </w: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 xml:space="preserve">Абсолютне число народжених може бути використано лише для розрахунку інших показників народжуваності або для визначення абсолютної величини природного приросту (у цьому випадку з числа народжених віднімається число померлих). </w:t>
      </w: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Для кращого аналізу використовують загальні коефіцієнти народжуваності. Загальні коефіцієнти народжуваності в Вінницькій області та, для порівняння, в Україні представлені на рисунку 2.</w:t>
      </w:r>
      <w:r>
        <w:rPr>
          <w:rFonts w:ascii="Times New Roman" w:hAnsi="Times New Roman" w:cs="Times New Roman"/>
          <w:sz w:val="21"/>
          <w:szCs w:val="21"/>
        </w:rPr>
        <w:t>6</w:t>
      </w:r>
      <w:r w:rsidRPr="002B4100">
        <w:rPr>
          <w:rFonts w:ascii="Times New Roman" w:hAnsi="Times New Roman" w:cs="Times New Roman"/>
          <w:sz w:val="21"/>
          <w:szCs w:val="21"/>
        </w:rPr>
        <w:t>.</w:t>
      </w:r>
    </w:p>
    <w:p w:rsidR="00B233DE" w:rsidRPr="002B4100" w:rsidRDefault="00B233DE" w:rsidP="00B233DE">
      <w:pPr>
        <w:ind w:firstLine="709"/>
        <w:jc w:val="both"/>
        <w:rPr>
          <w:rFonts w:ascii="Times New Roman" w:hAnsi="Times New Roman" w:cs="Times New Roman"/>
          <w:sz w:val="21"/>
          <w:szCs w:val="21"/>
        </w:rPr>
      </w:pPr>
    </w:p>
    <w:p w:rsidR="00B233DE" w:rsidRPr="002346E6" w:rsidRDefault="00B233DE" w:rsidP="00B233DE">
      <w:pPr>
        <w:spacing w:line="360" w:lineRule="auto"/>
        <w:ind w:firstLine="709"/>
        <w:jc w:val="both"/>
        <w:rPr>
          <w:sz w:val="28"/>
          <w:szCs w:val="28"/>
          <w:highlight w:val="yellow"/>
        </w:rPr>
      </w:pPr>
      <w:r>
        <w:rPr>
          <w:noProof/>
          <w:sz w:val="28"/>
          <w:szCs w:val="28"/>
          <w:lang w:val="ru-RU" w:eastAsia="ru-RU"/>
        </w:rPr>
        <w:drawing>
          <wp:inline distT="0" distB="0" distL="0" distR="0" wp14:anchorId="30BD8C10" wp14:editId="72B2FC41">
            <wp:extent cx="3479800" cy="1786466"/>
            <wp:effectExtent l="0" t="0" r="6350" b="444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81599" cy="1787390"/>
                    </a:xfrm>
                    <a:prstGeom prst="rect">
                      <a:avLst/>
                    </a:prstGeom>
                    <a:noFill/>
                    <a:ln>
                      <a:noFill/>
                    </a:ln>
                  </pic:spPr>
                </pic:pic>
              </a:graphicData>
            </a:graphic>
          </wp:inline>
        </w:drawing>
      </w:r>
    </w:p>
    <w:p w:rsidR="00B233DE" w:rsidRPr="00645490" w:rsidRDefault="00B233DE" w:rsidP="00B233DE">
      <w:pPr>
        <w:ind w:firstLine="709"/>
        <w:jc w:val="center"/>
        <w:rPr>
          <w:rFonts w:ascii="Times New Roman" w:hAnsi="Times New Roman" w:cs="Times New Roman"/>
          <w:b/>
          <w:sz w:val="21"/>
          <w:szCs w:val="21"/>
        </w:rPr>
      </w:pPr>
      <w:r w:rsidRPr="00645490">
        <w:rPr>
          <w:rFonts w:ascii="Times New Roman" w:hAnsi="Times New Roman" w:cs="Times New Roman"/>
          <w:b/>
          <w:sz w:val="21"/>
          <w:szCs w:val="21"/>
        </w:rPr>
        <w:t>Рис. 2.</w:t>
      </w:r>
      <w:r>
        <w:rPr>
          <w:rFonts w:ascii="Times New Roman" w:hAnsi="Times New Roman" w:cs="Times New Roman"/>
          <w:b/>
          <w:sz w:val="21"/>
          <w:szCs w:val="21"/>
        </w:rPr>
        <w:t>6</w:t>
      </w:r>
      <w:r w:rsidRPr="00645490">
        <w:rPr>
          <w:rFonts w:ascii="Times New Roman" w:hAnsi="Times New Roman" w:cs="Times New Roman"/>
          <w:b/>
          <w:sz w:val="21"/>
          <w:szCs w:val="21"/>
        </w:rPr>
        <w:t>. Загальні коефіцієнти народжуваності Вінницької області та України</w:t>
      </w:r>
      <w:r>
        <w:rPr>
          <w:rFonts w:ascii="Times New Roman" w:hAnsi="Times New Roman" w:cs="Times New Roman"/>
          <w:b/>
          <w:sz w:val="21"/>
          <w:szCs w:val="21"/>
        </w:rPr>
        <w:t>*</w:t>
      </w:r>
      <w:r w:rsidRPr="00645490">
        <w:rPr>
          <w:rFonts w:ascii="Times New Roman" w:hAnsi="Times New Roman" w:cs="Times New Roman"/>
          <w:b/>
          <w:sz w:val="21"/>
          <w:szCs w:val="21"/>
        </w:rPr>
        <w:t xml:space="preserve"> </w:t>
      </w:r>
    </w:p>
    <w:p w:rsidR="00B233DE" w:rsidRPr="007D49D7" w:rsidRDefault="00B233DE" w:rsidP="00B233DE">
      <w:pPr>
        <w:ind w:firstLine="709"/>
        <w:jc w:val="both"/>
        <w:rPr>
          <w:rFonts w:ascii="Times New Roman" w:hAnsi="Times New Roman" w:cs="Times New Roman"/>
          <w:sz w:val="18"/>
          <w:szCs w:val="18"/>
        </w:rPr>
      </w:pPr>
      <w:r w:rsidRPr="007D49D7">
        <w:rPr>
          <w:rFonts w:ascii="Times New Roman" w:hAnsi="Times New Roman" w:cs="Times New Roman"/>
          <w:sz w:val="18"/>
          <w:szCs w:val="18"/>
        </w:rPr>
        <w:t>* - складено автором розділу на основі [</w:t>
      </w:r>
      <w:r>
        <w:rPr>
          <w:rFonts w:ascii="Times New Roman" w:hAnsi="Times New Roman" w:cs="Times New Roman"/>
          <w:sz w:val="18"/>
          <w:szCs w:val="18"/>
          <w:highlight w:val="yellow"/>
        </w:rPr>
        <w:fldChar w:fldCharType="begin"/>
      </w:r>
      <w:r>
        <w:rPr>
          <w:rFonts w:ascii="Times New Roman" w:hAnsi="Times New Roman" w:cs="Times New Roman"/>
          <w:sz w:val="18"/>
          <w:szCs w:val="18"/>
        </w:rPr>
        <w:instrText xml:space="preserve"> REF _Ref435781250 \r \h </w:instrText>
      </w:r>
      <w:r>
        <w:rPr>
          <w:rFonts w:ascii="Times New Roman" w:hAnsi="Times New Roman" w:cs="Times New Roman"/>
          <w:sz w:val="18"/>
          <w:szCs w:val="18"/>
          <w:highlight w:val="yellow"/>
        </w:rPr>
      </w:r>
      <w:r>
        <w:rPr>
          <w:rFonts w:ascii="Times New Roman" w:hAnsi="Times New Roman" w:cs="Times New Roman"/>
          <w:sz w:val="18"/>
          <w:szCs w:val="18"/>
          <w:highlight w:val="yellow"/>
        </w:rPr>
        <w:fldChar w:fldCharType="separate"/>
      </w:r>
      <w:r>
        <w:rPr>
          <w:rFonts w:ascii="Times New Roman" w:hAnsi="Times New Roman" w:cs="Times New Roman"/>
          <w:sz w:val="18"/>
          <w:szCs w:val="18"/>
        </w:rPr>
        <w:t>7</w:t>
      </w:r>
      <w:r>
        <w:rPr>
          <w:rFonts w:ascii="Times New Roman" w:hAnsi="Times New Roman" w:cs="Times New Roman"/>
          <w:sz w:val="18"/>
          <w:szCs w:val="18"/>
          <w:highlight w:val="yellow"/>
        </w:rPr>
        <w:fldChar w:fldCharType="end"/>
      </w:r>
      <w:r w:rsidRPr="007D49D7">
        <w:rPr>
          <w:rFonts w:ascii="Times New Roman" w:hAnsi="Times New Roman" w:cs="Times New Roman"/>
          <w:sz w:val="18"/>
          <w:szCs w:val="18"/>
        </w:rPr>
        <w:t>]</w:t>
      </w:r>
    </w:p>
    <w:p w:rsidR="00B233DE" w:rsidRDefault="00B233DE" w:rsidP="00B233DE">
      <w:pPr>
        <w:ind w:firstLine="709"/>
        <w:jc w:val="both"/>
        <w:rPr>
          <w:rFonts w:ascii="Times New Roman" w:hAnsi="Times New Roman" w:cs="Times New Roman"/>
          <w:sz w:val="21"/>
          <w:szCs w:val="21"/>
        </w:rPr>
      </w:pP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У 2014 році в Вінницькому регіоні народилося 17547 осіб. Середньорічна чисельність жителів регіону в 2014 році склала 1607,3 тис. осіб. Загальний коефіцієнт народжуваності становив 10,9 ‰ ((17547 /1607300) × 1000).</w:t>
      </w:r>
    </w:p>
    <w:p w:rsidR="00B233DE" w:rsidRPr="002B4100" w:rsidRDefault="00B233DE" w:rsidP="00B233DE">
      <w:pPr>
        <w:ind w:firstLine="709"/>
        <w:jc w:val="both"/>
        <w:rPr>
          <w:rFonts w:ascii="Times New Roman" w:hAnsi="Times New Roman" w:cs="Times New Roman"/>
          <w:sz w:val="21"/>
          <w:szCs w:val="21"/>
          <w:highlight w:val="yellow"/>
        </w:rPr>
      </w:pPr>
      <w:r w:rsidRPr="002B4100">
        <w:rPr>
          <w:rFonts w:ascii="Times New Roman" w:hAnsi="Times New Roman" w:cs="Times New Roman"/>
          <w:sz w:val="21"/>
          <w:szCs w:val="21"/>
        </w:rPr>
        <w:t>Як ми можемо бачити</w:t>
      </w:r>
      <w:r>
        <w:rPr>
          <w:rFonts w:ascii="Times New Roman" w:hAnsi="Times New Roman" w:cs="Times New Roman"/>
          <w:sz w:val="21"/>
          <w:szCs w:val="21"/>
        </w:rPr>
        <w:t>,</w:t>
      </w:r>
      <w:r w:rsidRPr="002B4100">
        <w:rPr>
          <w:rFonts w:ascii="Times New Roman" w:hAnsi="Times New Roman" w:cs="Times New Roman"/>
          <w:sz w:val="21"/>
          <w:szCs w:val="21"/>
        </w:rPr>
        <w:t xml:space="preserve"> народжуваність знаходиться на досить низькому рівні. У 2000 році було значне зменшення народжуваності, з 2005</w:t>
      </w:r>
      <w:r>
        <w:rPr>
          <w:rFonts w:ascii="Times New Roman" w:hAnsi="Times New Roman" w:cs="Times New Roman"/>
          <w:sz w:val="21"/>
          <w:szCs w:val="21"/>
        </w:rPr>
        <w:t>–</w:t>
      </w:r>
      <w:r w:rsidRPr="002B4100">
        <w:rPr>
          <w:rFonts w:ascii="Times New Roman" w:hAnsi="Times New Roman" w:cs="Times New Roman"/>
          <w:sz w:val="21"/>
          <w:szCs w:val="21"/>
        </w:rPr>
        <w:t>2012 рр. народжуваність збільшилась, а з 2013 року знову почала зменшуватись. В Вінницькому регіоні коефіцієнт народжуваності в середньому на 0,8</w:t>
      </w:r>
      <w:r>
        <w:rPr>
          <w:rFonts w:ascii="Times New Roman" w:hAnsi="Times New Roman" w:cs="Times New Roman"/>
          <w:sz w:val="21"/>
          <w:szCs w:val="21"/>
        </w:rPr>
        <w:t xml:space="preserve"> </w:t>
      </w:r>
      <w:r w:rsidRPr="002B4100">
        <w:rPr>
          <w:rFonts w:ascii="Times New Roman" w:hAnsi="Times New Roman" w:cs="Times New Roman"/>
          <w:sz w:val="21"/>
          <w:szCs w:val="21"/>
        </w:rPr>
        <w:t xml:space="preserve">‰ більший в порівнянні з Україною. </w:t>
      </w:r>
    </w:p>
    <w:p w:rsidR="00B233DE"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lastRenderedPageBreak/>
        <w:t>Серед приватних коефіцієнтів народжуваності найваж</w:t>
      </w:r>
      <w:r>
        <w:rPr>
          <w:rFonts w:ascii="Times New Roman" w:hAnsi="Times New Roman" w:cs="Times New Roman"/>
          <w:sz w:val="21"/>
          <w:szCs w:val="21"/>
        </w:rPr>
        <w:t>-</w:t>
      </w:r>
      <w:r w:rsidRPr="002B4100">
        <w:rPr>
          <w:rFonts w:ascii="Times New Roman" w:hAnsi="Times New Roman" w:cs="Times New Roman"/>
          <w:sz w:val="21"/>
          <w:szCs w:val="21"/>
        </w:rPr>
        <w:t>ливіше місце належить віковому коефіцієнту народжуваності, який вимірює чисту інтенсивність народжуваності в конкретній віковій групі жінок. Їх можна розраховувати для однорічн</w:t>
      </w:r>
      <w:r>
        <w:rPr>
          <w:rFonts w:ascii="Times New Roman" w:hAnsi="Times New Roman" w:cs="Times New Roman"/>
          <w:sz w:val="21"/>
          <w:szCs w:val="21"/>
        </w:rPr>
        <w:t>их вікових інтервалів або для п’</w:t>
      </w:r>
      <w:r w:rsidRPr="002B4100">
        <w:rPr>
          <w:rFonts w:ascii="Times New Roman" w:hAnsi="Times New Roman" w:cs="Times New Roman"/>
          <w:sz w:val="21"/>
          <w:szCs w:val="21"/>
        </w:rPr>
        <w:t>ятирічних вікових інтервалів. В останньому випадку вони усереднюються. Вікові коефіцієнти народжуваності розраховуються як відношення числа народжень у жінок певного віку (х років) до їх середньорічної чисельності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_Ref435781262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23</w:t>
      </w:r>
      <w:r>
        <w:rPr>
          <w:rFonts w:ascii="Times New Roman" w:hAnsi="Times New Roman"/>
          <w:sz w:val="21"/>
          <w:szCs w:val="21"/>
          <w:highlight w:val="yellow"/>
        </w:rPr>
        <w:fldChar w:fldCharType="end"/>
      </w:r>
      <w:r w:rsidRPr="002B4100">
        <w:rPr>
          <w:rFonts w:ascii="Times New Roman" w:hAnsi="Times New Roman" w:cs="Times New Roman"/>
          <w:sz w:val="21"/>
          <w:szCs w:val="21"/>
        </w:rPr>
        <w:t>]:</w:t>
      </w:r>
    </w:p>
    <w:p w:rsidR="00B233DE" w:rsidRPr="002B4100" w:rsidRDefault="00B233DE" w:rsidP="00B233DE">
      <w:pPr>
        <w:ind w:firstLine="709"/>
        <w:jc w:val="both"/>
        <w:rPr>
          <w:rFonts w:ascii="Times New Roman" w:hAnsi="Times New Roman" w:cs="Times New Roman"/>
          <w:sz w:val="21"/>
          <w:szCs w:val="21"/>
        </w:rPr>
      </w:pPr>
    </w:p>
    <w:p w:rsidR="00B233DE" w:rsidRPr="002B4100" w:rsidRDefault="00B233DE" w:rsidP="00B233DE">
      <w:pPr>
        <w:ind w:firstLine="709"/>
        <w:jc w:val="center"/>
        <w:rPr>
          <w:rFonts w:ascii="Times New Roman" w:hAnsi="Times New Roman" w:cs="Times New Roman"/>
          <w:sz w:val="21"/>
          <w:szCs w:val="21"/>
        </w:rPr>
      </w:pPr>
      <w:r>
        <w:rPr>
          <w:rFonts w:ascii="Times New Roman" w:hAnsi="Times New Roman" w:cs="Times New Roman"/>
          <w:sz w:val="21"/>
          <w:szCs w:val="21"/>
        </w:rPr>
        <w:t xml:space="preserve">                                            </w:t>
      </w:r>
      <m:oMath>
        <m:sSub>
          <m:sSubPr>
            <m:ctrlPr>
              <w:rPr>
                <w:rFonts w:ascii="Cambria Math" w:hAnsi="Cambria Math" w:cs="Times New Roman"/>
                <w:sz w:val="21"/>
                <w:szCs w:val="21"/>
              </w:rPr>
            </m:ctrlPr>
          </m:sSubPr>
          <m:e>
            <m:r>
              <m:rPr>
                <m:scr m:val="script"/>
                <m:sty m:val="p"/>
              </m:rPr>
              <w:rPr>
                <w:rFonts w:ascii="Cambria Math" w:hAnsi="Cambria Math" w:cs="Times New Roman"/>
                <w:sz w:val="21"/>
                <w:szCs w:val="21"/>
              </w:rPr>
              <m:t>F</m:t>
            </m:r>
          </m:e>
          <m:sub>
            <m:r>
              <m:rPr>
                <m:scr m:val="script"/>
                <m:sty m:val="p"/>
              </m:rPr>
              <w:rPr>
                <w:rFonts w:ascii="Cambria Math" w:hAnsi="Cambria Math" w:cs="Times New Roman"/>
                <w:sz w:val="21"/>
                <w:szCs w:val="21"/>
              </w:rPr>
              <m:t>x</m:t>
            </m:r>
          </m:sub>
        </m:sSub>
        <m:r>
          <m:rPr>
            <m:sty m:val="p"/>
          </m:rPr>
          <w:rPr>
            <w:rFonts w:ascii="Cambria Math" w:hAnsi="Cambria Math" w:cs="Times New Roman"/>
            <w:sz w:val="21"/>
            <w:szCs w:val="21"/>
          </w:rPr>
          <m:t>=</m:t>
        </m:r>
        <m:f>
          <m:fPr>
            <m:ctrlPr>
              <w:rPr>
                <w:rFonts w:ascii="Cambria Math" w:hAnsi="Cambria Math" w:cs="Times New Roman"/>
                <w:sz w:val="21"/>
                <w:szCs w:val="21"/>
              </w:rPr>
            </m:ctrlPr>
          </m:fPr>
          <m:num>
            <m:r>
              <m:rPr>
                <m:scr m:val="script"/>
                <m:sty m:val="p"/>
              </m:rPr>
              <w:rPr>
                <w:rFonts w:ascii="Cambria Math" w:hAnsi="Cambria Math" w:cs="Times New Roman"/>
                <w:sz w:val="21"/>
                <w:szCs w:val="21"/>
              </w:rPr>
              <m:t>Bx</m:t>
            </m:r>
          </m:num>
          <m:den>
            <m:acc>
              <m:accPr>
                <m:chr m:val="̅"/>
                <m:ctrlPr>
                  <w:rPr>
                    <w:rFonts w:ascii="Cambria Math" w:hAnsi="Cambria Math" w:cs="Times New Roman"/>
                    <w:sz w:val="21"/>
                    <w:szCs w:val="21"/>
                  </w:rPr>
                </m:ctrlPr>
              </m:accPr>
              <m:e>
                <m:sSubSup>
                  <m:sSubSupPr>
                    <m:ctrlPr>
                      <w:rPr>
                        <w:rFonts w:ascii="Cambria Math" w:hAnsi="Cambria Math" w:cs="Times New Roman"/>
                        <w:sz w:val="21"/>
                        <w:szCs w:val="21"/>
                      </w:rPr>
                    </m:ctrlPr>
                  </m:sSubSupPr>
                  <m:e>
                    <m:r>
                      <m:rPr>
                        <m:scr m:val="script"/>
                        <m:sty m:val="p"/>
                      </m:rPr>
                      <w:rPr>
                        <w:rFonts w:ascii="Cambria Math" w:hAnsi="Cambria Math" w:cs="Times New Roman"/>
                        <w:sz w:val="21"/>
                        <w:szCs w:val="21"/>
                      </w:rPr>
                      <m:t>S</m:t>
                    </m:r>
                  </m:e>
                  <m:sub>
                    <m:r>
                      <m:rPr>
                        <m:scr m:val="script"/>
                        <m:sty m:val="p"/>
                      </m:rPr>
                      <w:rPr>
                        <w:rFonts w:ascii="Cambria Math" w:hAnsi="Cambria Math" w:cs="Times New Roman"/>
                        <w:sz w:val="21"/>
                        <w:szCs w:val="21"/>
                      </w:rPr>
                      <m:t>x</m:t>
                    </m:r>
                  </m:sub>
                  <m:sup>
                    <m:r>
                      <m:rPr>
                        <m:scr m:val="script"/>
                        <m:sty m:val="p"/>
                      </m:rPr>
                      <w:rPr>
                        <w:rFonts w:ascii="Cambria Math" w:hAnsi="Cambria Math" w:cs="Times New Roman"/>
                        <w:sz w:val="21"/>
                        <w:szCs w:val="21"/>
                      </w:rPr>
                      <m:t>f</m:t>
                    </m:r>
                  </m:sup>
                </m:sSubSup>
              </m:e>
            </m:acc>
          </m:den>
        </m:f>
      </m:oMath>
      <w:r w:rsidRPr="002B4100">
        <w:rPr>
          <w:rFonts w:ascii="Times New Roman" w:hAnsi="Times New Roman" w:cs="Times New Roman"/>
          <w:sz w:val="21"/>
          <w:szCs w:val="21"/>
        </w:rPr>
        <w:t xml:space="preserve">,  </w:t>
      </w:r>
      <w:r>
        <w:rPr>
          <w:rFonts w:ascii="Times New Roman" w:hAnsi="Times New Roman" w:cs="Times New Roman"/>
          <w:sz w:val="21"/>
          <w:szCs w:val="21"/>
        </w:rPr>
        <w:t xml:space="preserve">                               </w:t>
      </w:r>
      <w:r w:rsidRPr="002B4100">
        <w:rPr>
          <w:rFonts w:ascii="Times New Roman" w:hAnsi="Times New Roman" w:cs="Times New Roman"/>
          <w:sz w:val="21"/>
          <w:szCs w:val="21"/>
        </w:rPr>
        <w:t xml:space="preserve">  </w:t>
      </w:r>
      <w:r>
        <w:rPr>
          <w:rFonts w:ascii="Times New Roman" w:hAnsi="Times New Roman" w:cs="Times New Roman"/>
          <w:sz w:val="21"/>
          <w:szCs w:val="21"/>
        </w:rPr>
        <w:t>(2.11</w:t>
      </w:r>
      <w:r w:rsidRPr="002B4100">
        <w:rPr>
          <w:rFonts w:ascii="Times New Roman" w:hAnsi="Times New Roman" w:cs="Times New Roman"/>
          <w:sz w:val="21"/>
          <w:szCs w:val="21"/>
        </w:rPr>
        <w:t>)</w:t>
      </w:r>
    </w:p>
    <w:p w:rsidR="00B233DE" w:rsidRDefault="00B233DE" w:rsidP="00B233DE">
      <w:pPr>
        <w:ind w:firstLine="709"/>
        <w:jc w:val="both"/>
        <w:rPr>
          <w:rFonts w:ascii="Times New Roman" w:hAnsi="Times New Roman" w:cs="Times New Roman"/>
          <w:sz w:val="21"/>
          <w:szCs w:val="21"/>
        </w:rPr>
      </w:pP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 xml:space="preserve">де: </w:t>
      </w:r>
      <m:oMath>
        <m:r>
          <m:rPr>
            <m:scr m:val="script"/>
            <m:sty m:val="p"/>
          </m:rPr>
          <w:rPr>
            <w:rFonts w:ascii="Cambria Math" w:hAnsi="Cambria Math" w:cs="Times New Roman"/>
            <w:sz w:val="21"/>
            <w:szCs w:val="21"/>
          </w:rPr>
          <m:t>Fx</m:t>
        </m:r>
      </m:oMath>
      <w:r w:rsidRPr="002B4100">
        <w:rPr>
          <w:rFonts w:ascii="Times New Roman" w:hAnsi="Times New Roman" w:cs="Times New Roman"/>
          <w:sz w:val="21"/>
          <w:szCs w:val="21"/>
        </w:rPr>
        <w:t xml:space="preserve"> – віковий коефіцієнт народжуваності, ‰;</w:t>
      </w:r>
    </w:p>
    <w:p w:rsidR="00B233DE" w:rsidRPr="002B4100" w:rsidRDefault="00B233DE" w:rsidP="00B233DE">
      <w:pPr>
        <w:ind w:firstLine="709"/>
        <w:jc w:val="both"/>
        <w:rPr>
          <w:rFonts w:ascii="Times New Roman" w:hAnsi="Times New Roman" w:cs="Times New Roman"/>
          <w:sz w:val="21"/>
          <w:szCs w:val="21"/>
        </w:rPr>
      </w:pPr>
      <m:oMath>
        <m:r>
          <m:rPr>
            <m:scr m:val="script"/>
            <m:sty m:val="p"/>
          </m:rPr>
          <w:rPr>
            <w:rFonts w:ascii="Cambria Math" w:hAnsi="Cambria Math" w:cs="Times New Roman"/>
            <w:sz w:val="21"/>
            <w:szCs w:val="21"/>
          </w:rPr>
          <m:t>Bx</m:t>
        </m:r>
      </m:oMath>
      <w:r w:rsidRPr="002B4100">
        <w:rPr>
          <w:rFonts w:ascii="Times New Roman" w:hAnsi="Times New Roman" w:cs="Times New Roman"/>
          <w:sz w:val="21"/>
          <w:szCs w:val="21"/>
        </w:rPr>
        <w:t xml:space="preserve"> – кількість народжених у жінок у віці х років, осіб;</w:t>
      </w:r>
    </w:p>
    <w:p w:rsidR="00B233DE" w:rsidRPr="002B4100" w:rsidRDefault="00EC2A0E" w:rsidP="00B233DE">
      <w:pPr>
        <w:ind w:firstLine="709"/>
        <w:jc w:val="both"/>
        <w:rPr>
          <w:rFonts w:ascii="Times New Roman" w:hAnsi="Times New Roman" w:cs="Times New Roman"/>
          <w:sz w:val="21"/>
          <w:szCs w:val="21"/>
          <w:highlight w:val="yellow"/>
        </w:rPr>
      </w:pPr>
      <m:oMath>
        <m:sSubSup>
          <m:sSubSupPr>
            <m:ctrlPr>
              <w:rPr>
                <w:rFonts w:ascii="Cambria Math" w:hAnsi="Cambria Math" w:cs="Times New Roman"/>
                <w:sz w:val="21"/>
                <w:szCs w:val="21"/>
              </w:rPr>
            </m:ctrlPr>
          </m:sSubSupPr>
          <m:e>
            <m:r>
              <m:rPr>
                <m:scr m:val="script"/>
                <m:sty m:val="p"/>
              </m:rPr>
              <w:rPr>
                <w:rFonts w:ascii="Cambria Math" w:hAnsi="Cambria Math" w:cs="Times New Roman"/>
                <w:sz w:val="21"/>
                <w:szCs w:val="21"/>
              </w:rPr>
              <m:t>S</m:t>
            </m:r>
          </m:e>
          <m:sub>
            <m:r>
              <m:rPr>
                <m:scr m:val="script"/>
                <m:sty m:val="p"/>
              </m:rPr>
              <w:rPr>
                <w:rFonts w:ascii="Cambria Math" w:hAnsi="Cambria Math" w:cs="Times New Roman"/>
                <w:sz w:val="21"/>
                <w:szCs w:val="21"/>
              </w:rPr>
              <m:t>x</m:t>
            </m:r>
          </m:sub>
          <m:sup>
            <m:r>
              <m:rPr>
                <m:scr m:val="script"/>
                <m:sty m:val="p"/>
              </m:rPr>
              <w:rPr>
                <w:rFonts w:ascii="Cambria Math" w:hAnsi="Cambria Math" w:cs="Times New Roman"/>
                <w:sz w:val="21"/>
                <w:szCs w:val="21"/>
              </w:rPr>
              <m:t>f</m:t>
            </m:r>
          </m:sup>
        </m:sSubSup>
      </m:oMath>
      <w:r w:rsidR="00B233DE" w:rsidRPr="002B4100">
        <w:rPr>
          <w:rFonts w:ascii="Times New Roman" w:hAnsi="Times New Roman" w:cs="Times New Roman"/>
          <w:sz w:val="21"/>
          <w:szCs w:val="21"/>
        </w:rPr>
        <w:t xml:space="preserve"> – середньорічна чисельність жінок у віці х років, осіб.</w:t>
      </w:r>
    </w:p>
    <w:p w:rsidR="00B233DE"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Розрахунки всіх вікових коефіцієнтів народжуваності у вікових групах 2012, 2013, 2014 рр. наведені в таблиці 2.</w:t>
      </w:r>
      <w:r>
        <w:rPr>
          <w:rFonts w:ascii="Times New Roman" w:hAnsi="Times New Roman" w:cs="Times New Roman"/>
          <w:sz w:val="21"/>
          <w:szCs w:val="21"/>
        </w:rPr>
        <w:t>9</w:t>
      </w:r>
      <w:r w:rsidRPr="002B4100">
        <w:rPr>
          <w:rFonts w:ascii="Times New Roman" w:hAnsi="Times New Roman" w:cs="Times New Roman"/>
          <w:sz w:val="21"/>
          <w:szCs w:val="21"/>
        </w:rPr>
        <w:t xml:space="preserve">, які розраховані за формулою 2.2. </w:t>
      </w:r>
    </w:p>
    <w:p w:rsidR="00B233DE" w:rsidRPr="002B4100" w:rsidRDefault="00B233DE" w:rsidP="00B233DE">
      <w:pPr>
        <w:ind w:firstLine="709"/>
        <w:jc w:val="both"/>
        <w:rPr>
          <w:rFonts w:ascii="Times New Roman" w:hAnsi="Times New Roman" w:cs="Times New Roman"/>
          <w:sz w:val="21"/>
          <w:szCs w:val="21"/>
          <w:highlight w:val="yellow"/>
        </w:rPr>
      </w:pPr>
      <w:r>
        <w:rPr>
          <w:rFonts w:ascii="Times New Roman" w:hAnsi="Times New Roman" w:cs="Times New Roman"/>
          <w:sz w:val="21"/>
          <w:szCs w:val="21"/>
        </w:rPr>
        <w:t>У</w:t>
      </w:r>
      <w:r w:rsidRPr="002B4100">
        <w:rPr>
          <w:rFonts w:ascii="Times New Roman" w:hAnsi="Times New Roman" w:cs="Times New Roman"/>
          <w:sz w:val="21"/>
          <w:szCs w:val="21"/>
        </w:rPr>
        <w:t xml:space="preserve"> Вінницькому регіоні у 2012, 2013, 2014 рр. найбільший коефіцієнт народжуваності припадає на 20</w:t>
      </w:r>
      <w:r>
        <w:rPr>
          <w:rFonts w:ascii="Times New Roman" w:hAnsi="Times New Roman" w:cs="Times New Roman"/>
          <w:sz w:val="21"/>
          <w:szCs w:val="21"/>
        </w:rPr>
        <w:t>–</w:t>
      </w:r>
      <w:r w:rsidRPr="002B4100">
        <w:rPr>
          <w:rFonts w:ascii="Times New Roman" w:hAnsi="Times New Roman" w:cs="Times New Roman"/>
          <w:sz w:val="21"/>
          <w:szCs w:val="21"/>
        </w:rPr>
        <w:t>24 віковий інтервал. В 2012 році чисельність жінок в 25</w:t>
      </w:r>
      <w:r>
        <w:rPr>
          <w:rFonts w:ascii="Times New Roman" w:hAnsi="Times New Roman" w:cs="Times New Roman"/>
          <w:sz w:val="21"/>
          <w:szCs w:val="21"/>
        </w:rPr>
        <w:t>–</w:t>
      </w:r>
      <w:r w:rsidRPr="002B4100">
        <w:rPr>
          <w:rFonts w:ascii="Times New Roman" w:hAnsi="Times New Roman" w:cs="Times New Roman"/>
          <w:sz w:val="21"/>
          <w:szCs w:val="21"/>
        </w:rPr>
        <w:t>29 віковому інтервалі була найбільшою, але коефіцієнт народжуваності в віковому інтервалі 20</w:t>
      </w:r>
      <w:r>
        <w:rPr>
          <w:rFonts w:ascii="Times New Roman" w:hAnsi="Times New Roman" w:cs="Times New Roman"/>
          <w:sz w:val="21"/>
          <w:szCs w:val="21"/>
        </w:rPr>
        <w:t>–</w:t>
      </w:r>
      <w:r w:rsidRPr="002B4100">
        <w:rPr>
          <w:rFonts w:ascii="Times New Roman" w:hAnsi="Times New Roman" w:cs="Times New Roman"/>
          <w:sz w:val="21"/>
          <w:szCs w:val="21"/>
        </w:rPr>
        <w:t>24 переважав над народжуваністю інших вікових інтервалів. Така ж сама тенденція спостерігається і у 2013 році. Згідно даних у таблиці також видно, що зі збільшенням віку кількість народжених дітей зменшується майже до нуля.</w:t>
      </w: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 xml:space="preserve">Одним з найважливіших показників народжуваності є сумарний коефіцієнт. У порівнянні з досить адекватно характеризуючими рівень народжуваності віковими коефіцієнтами, сумарний коефіцієнт народжуваності володіє, щонайменше, двома </w:t>
      </w:r>
      <w:r>
        <w:rPr>
          <w:rFonts w:ascii="Times New Roman" w:hAnsi="Times New Roman" w:cs="Times New Roman"/>
          <w:sz w:val="21"/>
          <w:szCs w:val="21"/>
        </w:rPr>
        <w:t>перевагами</w:t>
      </w:r>
      <w:r w:rsidRPr="002B4100">
        <w:rPr>
          <w:rFonts w:ascii="Times New Roman" w:hAnsi="Times New Roman" w:cs="Times New Roman"/>
          <w:sz w:val="21"/>
          <w:szCs w:val="21"/>
        </w:rPr>
        <w:t>.</w:t>
      </w: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По-перше, він більш зрозум</w:t>
      </w:r>
      <w:r>
        <w:rPr>
          <w:rFonts w:ascii="Times New Roman" w:hAnsi="Times New Roman" w:cs="Times New Roman"/>
          <w:sz w:val="21"/>
          <w:szCs w:val="21"/>
        </w:rPr>
        <w:t>ілий за змістом, так як показує</w:t>
      </w:r>
      <w:r w:rsidRPr="002B4100">
        <w:rPr>
          <w:rFonts w:ascii="Times New Roman" w:hAnsi="Times New Roman" w:cs="Times New Roman"/>
          <w:sz w:val="21"/>
          <w:szCs w:val="21"/>
        </w:rPr>
        <w:t xml:space="preserve"> не число народжень у розрахунку на 1000 жінок певного віку, а середню кількість дітей народжених однією жінкою.</w:t>
      </w: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По-друге, цей коефіцієнт характеризує не тільки рівень народжуваності, але і відтворення населення.</w:t>
      </w:r>
    </w:p>
    <w:p w:rsidR="00B233DE"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Сумарний коефіцієнт народжуваності показує те число дітей, які були народжені в середньому однією жінкою.</w:t>
      </w:r>
    </w:p>
    <w:p w:rsidR="00B233DE" w:rsidRDefault="00B233DE" w:rsidP="00B233DE">
      <w:pPr>
        <w:ind w:firstLine="709"/>
        <w:jc w:val="right"/>
        <w:rPr>
          <w:rFonts w:ascii="Times New Roman" w:hAnsi="Times New Roman" w:cs="Times New Roman"/>
          <w:sz w:val="21"/>
          <w:szCs w:val="21"/>
        </w:rPr>
      </w:pPr>
    </w:p>
    <w:p w:rsidR="00B233DE" w:rsidRPr="002B4100" w:rsidRDefault="00B233DE" w:rsidP="00B233DE">
      <w:pPr>
        <w:ind w:firstLine="709"/>
        <w:jc w:val="right"/>
        <w:rPr>
          <w:rFonts w:ascii="Times New Roman" w:hAnsi="Times New Roman" w:cs="Times New Roman"/>
          <w:sz w:val="21"/>
          <w:szCs w:val="21"/>
        </w:rPr>
      </w:pPr>
      <w:r w:rsidRPr="002B4100">
        <w:rPr>
          <w:rFonts w:ascii="Times New Roman" w:hAnsi="Times New Roman" w:cs="Times New Roman"/>
          <w:sz w:val="21"/>
          <w:szCs w:val="21"/>
        </w:rPr>
        <w:lastRenderedPageBreak/>
        <w:t>Таблиця 2.</w:t>
      </w:r>
      <w:r>
        <w:rPr>
          <w:rFonts w:ascii="Times New Roman" w:hAnsi="Times New Roman" w:cs="Times New Roman"/>
          <w:sz w:val="21"/>
          <w:szCs w:val="21"/>
        </w:rPr>
        <w:t>9</w:t>
      </w:r>
    </w:p>
    <w:p w:rsidR="00B233DE" w:rsidRPr="00D62A2A" w:rsidRDefault="00B233DE" w:rsidP="00B233DE">
      <w:pPr>
        <w:ind w:firstLine="709"/>
        <w:jc w:val="center"/>
        <w:rPr>
          <w:rFonts w:ascii="Times New Roman" w:hAnsi="Times New Roman" w:cs="Times New Roman"/>
          <w:b/>
          <w:sz w:val="21"/>
          <w:szCs w:val="21"/>
        </w:rPr>
      </w:pPr>
      <w:r w:rsidRPr="00D62A2A">
        <w:rPr>
          <w:rFonts w:ascii="Times New Roman" w:hAnsi="Times New Roman" w:cs="Times New Roman"/>
          <w:b/>
          <w:sz w:val="21"/>
          <w:szCs w:val="21"/>
        </w:rPr>
        <w:t xml:space="preserve">Розрахунок коефіцієнтів народжуваності для всіх вікових </w:t>
      </w:r>
      <w:r>
        <w:rPr>
          <w:rFonts w:ascii="Times New Roman" w:hAnsi="Times New Roman" w:cs="Times New Roman"/>
          <w:b/>
          <w:sz w:val="21"/>
          <w:szCs w:val="21"/>
        </w:rPr>
        <w:t>категорій у</w:t>
      </w:r>
      <w:r w:rsidRPr="00D62A2A">
        <w:rPr>
          <w:rFonts w:ascii="Times New Roman" w:hAnsi="Times New Roman" w:cs="Times New Roman"/>
          <w:b/>
          <w:sz w:val="21"/>
          <w:szCs w:val="21"/>
        </w:rPr>
        <w:t xml:space="preserve"> Вінницьк</w:t>
      </w:r>
      <w:r>
        <w:rPr>
          <w:rFonts w:ascii="Times New Roman" w:hAnsi="Times New Roman" w:cs="Times New Roman"/>
          <w:b/>
          <w:sz w:val="21"/>
          <w:szCs w:val="21"/>
        </w:rPr>
        <w:t>ій</w:t>
      </w:r>
      <w:r w:rsidRPr="00D62A2A">
        <w:rPr>
          <w:rFonts w:ascii="Times New Roman" w:hAnsi="Times New Roman" w:cs="Times New Roman"/>
          <w:b/>
          <w:sz w:val="21"/>
          <w:szCs w:val="21"/>
        </w:rPr>
        <w:t xml:space="preserve"> області</w:t>
      </w:r>
    </w:p>
    <w:tbl>
      <w:tblPr>
        <w:tblW w:w="623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A0" w:firstRow="1" w:lastRow="0" w:firstColumn="1" w:lastColumn="0" w:noHBand="0" w:noVBand="0"/>
      </w:tblPr>
      <w:tblGrid>
        <w:gridCol w:w="851"/>
        <w:gridCol w:w="1276"/>
        <w:gridCol w:w="1275"/>
        <w:gridCol w:w="1134"/>
        <w:gridCol w:w="1701"/>
      </w:tblGrid>
      <w:tr w:rsidR="00B233DE" w:rsidRPr="00B34179" w:rsidTr="0023489B">
        <w:trPr>
          <w:cantSplit/>
          <w:trHeight w:val="960"/>
        </w:trPr>
        <w:tc>
          <w:tcPr>
            <w:tcW w:w="851"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Віковий інтервал,</w:t>
            </w:r>
          </w:p>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в роках</w:t>
            </w:r>
          </w:p>
        </w:tc>
        <w:tc>
          <w:tcPr>
            <w:tcW w:w="1276"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Кількість народжених дітей</w:t>
            </w:r>
          </w:p>
        </w:tc>
        <w:tc>
          <w:tcPr>
            <w:tcW w:w="1275"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Середньорічна чисельність жінок</w:t>
            </w:r>
          </w:p>
        </w:tc>
        <w:tc>
          <w:tcPr>
            <w:tcW w:w="1134"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Віковий коефіцієнт народжува</w:t>
            </w:r>
            <w:r>
              <w:rPr>
                <w:rFonts w:ascii="Times New Roman" w:hAnsi="Times New Roman" w:cs="Times New Roman"/>
                <w:sz w:val="18"/>
                <w:szCs w:val="18"/>
              </w:rPr>
              <w:t>-</w:t>
            </w:r>
            <w:r w:rsidRPr="00B34179">
              <w:rPr>
                <w:rFonts w:ascii="Times New Roman" w:hAnsi="Times New Roman" w:cs="Times New Roman"/>
                <w:sz w:val="18"/>
                <w:szCs w:val="18"/>
              </w:rPr>
              <w:t>ності, ‰</w:t>
            </w:r>
          </w:p>
        </w:tc>
        <w:tc>
          <w:tcPr>
            <w:tcW w:w="1701" w:type="dxa"/>
            <w:tcBorders>
              <w:right w:val="single" w:sz="4" w:space="0" w:color="auto"/>
            </w:tcBorders>
            <w:vAlign w:val="center"/>
          </w:tcPr>
          <w:p w:rsidR="00B233DE"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 xml:space="preserve">Сумарний коефіцієнт народжуваності </w:t>
            </w:r>
          </w:p>
          <w:p w:rsidR="00B233DE"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 xml:space="preserve">в віковому </w:t>
            </w:r>
          </w:p>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інтервалі, ‰</w:t>
            </w:r>
          </w:p>
        </w:tc>
      </w:tr>
      <w:tr w:rsidR="00B233DE" w:rsidRPr="00B34179" w:rsidTr="0023489B">
        <w:trPr>
          <w:trHeight w:val="124"/>
        </w:trPr>
        <w:tc>
          <w:tcPr>
            <w:tcW w:w="6237" w:type="dxa"/>
            <w:gridSpan w:val="5"/>
            <w:tcBorders>
              <w:right w:val="single" w:sz="4" w:space="0" w:color="auto"/>
            </w:tcBorders>
          </w:tcPr>
          <w:p w:rsidR="00B233DE" w:rsidRPr="00B34179" w:rsidRDefault="00B233DE" w:rsidP="0023489B">
            <w:pPr>
              <w:ind w:firstLine="0"/>
              <w:jc w:val="center"/>
              <w:rPr>
                <w:rFonts w:ascii="Times New Roman" w:hAnsi="Times New Roman" w:cs="Times New Roman"/>
                <w:sz w:val="18"/>
                <w:szCs w:val="18"/>
                <w:highlight w:val="yellow"/>
              </w:rPr>
            </w:pPr>
            <w:r w:rsidRPr="00B34179">
              <w:rPr>
                <w:rFonts w:ascii="Times New Roman" w:hAnsi="Times New Roman" w:cs="Times New Roman"/>
                <w:sz w:val="18"/>
                <w:szCs w:val="18"/>
              </w:rPr>
              <w:t>2012 рік</w:t>
            </w:r>
          </w:p>
        </w:tc>
      </w:tr>
      <w:tr w:rsidR="00B233DE" w:rsidRPr="00B34179" w:rsidTr="0023489B">
        <w:trPr>
          <w:trHeight w:val="19"/>
        </w:trPr>
        <w:tc>
          <w:tcPr>
            <w:tcW w:w="85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15-19</w:t>
            </w:r>
          </w:p>
        </w:tc>
        <w:tc>
          <w:tcPr>
            <w:tcW w:w="1276"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1487</w:t>
            </w:r>
          </w:p>
        </w:tc>
        <w:tc>
          <w:tcPr>
            <w:tcW w:w="1275"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45908</w:t>
            </w:r>
          </w:p>
        </w:tc>
        <w:tc>
          <w:tcPr>
            <w:tcW w:w="1134"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32,39</w:t>
            </w:r>
          </w:p>
        </w:tc>
        <w:tc>
          <w:tcPr>
            <w:tcW w:w="170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0,16</w:t>
            </w:r>
          </w:p>
        </w:tc>
      </w:tr>
      <w:tr w:rsidR="00B233DE" w:rsidRPr="00B34179" w:rsidTr="0023489B">
        <w:trPr>
          <w:trHeight w:val="19"/>
        </w:trPr>
        <w:tc>
          <w:tcPr>
            <w:tcW w:w="85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20-24</w:t>
            </w:r>
          </w:p>
        </w:tc>
        <w:tc>
          <w:tcPr>
            <w:tcW w:w="1276"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5991</w:t>
            </w:r>
          </w:p>
        </w:tc>
        <w:tc>
          <w:tcPr>
            <w:tcW w:w="1275"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56827</w:t>
            </w:r>
          </w:p>
        </w:tc>
        <w:tc>
          <w:tcPr>
            <w:tcW w:w="1134"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105,43</w:t>
            </w:r>
          </w:p>
        </w:tc>
        <w:tc>
          <w:tcPr>
            <w:tcW w:w="170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0,53</w:t>
            </w:r>
          </w:p>
        </w:tc>
      </w:tr>
      <w:tr w:rsidR="00B233DE" w:rsidRPr="00B34179" w:rsidTr="0023489B">
        <w:trPr>
          <w:trHeight w:val="19"/>
        </w:trPr>
        <w:tc>
          <w:tcPr>
            <w:tcW w:w="85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25-29</w:t>
            </w:r>
          </w:p>
        </w:tc>
        <w:tc>
          <w:tcPr>
            <w:tcW w:w="1276"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5944</w:t>
            </w:r>
          </w:p>
        </w:tc>
        <w:tc>
          <w:tcPr>
            <w:tcW w:w="1275"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64115</w:t>
            </w:r>
          </w:p>
        </w:tc>
        <w:tc>
          <w:tcPr>
            <w:tcW w:w="1134"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91,28</w:t>
            </w:r>
          </w:p>
        </w:tc>
        <w:tc>
          <w:tcPr>
            <w:tcW w:w="170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0,46</w:t>
            </w:r>
          </w:p>
        </w:tc>
      </w:tr>
      <w:tr w:rsidR="00B233DE" w:rsidRPr="00B34179" w:rsidTr="0023489B">
        <w:trPr>
          <w:trHeight w:val="19"/>
        </w:trPr>
        <w:tc>
          <w:tcPr>
            <w:tcW w:w="85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30-34</w:t>
            </w:r>
          </w:p>
        </w:tc>
        <w:tc>
          <w:tcPr>
            <w:tcW w:w="1276"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3238</w:t>
            </w:r>
          </w:p>
        </w:tc>
        <w:tc>
          <w:tcPr>
            <w:tcW w:w="1275"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55410</w:t>
            </w:r>
          </w:p>
        </w:tc>
        <w:tc>
          <w:tcPr>
            <w:tcW w:w="1134"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58,44</w:t>
            </w:r>
          </w:p>
        </w:tc>
        <w:tc>
          <w:tcPr>
            <w:tcW w:w="170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0,29</w:t>
            </w:r>
          </w:p>
        </w:tc>
      </w:tr>
      <w:tr w:rsidR="00B233DE" w:rsidRPr="00B34179" w:rsidTr="0023489B">
        <w:trPr>
          <w:trHeight w:val="19"/>
        </w:trPr>
        <w:tc>
          <w:tcPr>
            <w:tcW w:w="85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35-39</w:t>
            </w:r>
          </w:p>
        </w:tc>
        <w:tc>
          <w:tcPr>
            <w:tcW w:w="1276"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1376</w:t>
            </w:r>
          </w:p>
        </w:tc>
        <w:tc>
          <w:tcPr>
            <w:tcW w:w="1275"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58612</w:t>
            </w:r>
          </w:p>
        </w:tc>
        <w:tc>
          <w:tcPr>
            <w:tcW w:w="1134"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23,48</w:t>
            </w:r>
          </w:p>
        </w:tc>
        <w:tc>
          <w:tcPr>
            <w:tcW w:w="170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0,12</w:t>
            </w:r>
          </w:p>
        </w:tc>
      </w:tr>
      <w:tr w:rsidR="00B233DE" w:rsidRPr="00B34179" w:rsidTr="0023489B">
        <w:trPr>
          <w:trHeight w:val="19"/>
        </w:trPr>
        <w:tc>
          <w:tcPr>
            <w:tcW w:w="85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40-44</w:t>
            </w:r>
          </w:p>
        </w:tc>
        <w:tc>
          <w:tcPr>
            <w:tcW w:w="1276"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273</w:t>
            </w:r>
          </w:p>
        </w:tc>
        <w:tc>
          <w:tcPr>
            <w:tcW w:w="1275"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57443</w:t>
            </w:r>
          </w:p>
        </w:tc>
        <w:tc>
          <w:tcPr>
            <w:tcW w:w="1134"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4,75</w:t>
            </w:r>
          </w:p>
        </w:tc>
        <w:tc>
          <w:tcPr>
            <w:tcW w:w="170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0,02</w:t>
            </w:r>
          </w:p>
        </w:tc>
      </w:tr>
      <w:tr w:rsidR="00B233DE" w:rsidRPr="00B34179" w:rsidTr="0023489B">
        <w:trPr>
          <w:trHeight w:val="19"/>
        </w:trPr>
        <w:tc>
          <w:tcPr>
            <w:tcW w:w="85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45-49</w:t>
            </w:r>
          </w:p>
        </w:tc>
        <w:tc>
          <w:tcPr>
            <w:tcW w:w="1276"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9</w:t>
            </w:r>
          </w:p>
        </w:tc>
        <w:tc>
          <w:tcPr>
            <w:tcW w:w="1275"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58624</w:t>
            </w:r>
          </w:p>
        </w:tc>
        <w:tc>
          <w:tcPr>
            <w:tcW w:w="1134"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0,15</w:t>
            </w:r>
          </w:p>
        </w:tc>
        <w:tc>
          <w:tcPr>
            <w:tcW w:w="170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0,00</w:t>
            </w:r>
          </w:p>
        </w:tc>
      </w:tr>
      <w:tr w:rsidR="00B233DE" w:rsidRPr="00B34179" w:rsidTr="0023489B">
        <w:trPr>
          <w:trHeight w:val="19"/>
        </w:trPr>
        <w:tc>
          <w:tcPr>
            <w:tcW w:w="6237" w:type="dxa"/>
            <w:gridSpan w:val="5"/>
            <w:tcBorders>
              <w:right w:val="single" w:sz="4" w:space="0" w:color="auto"/>
            </w:tcBorders>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2013 рік</w:t>
            </w:r>
          </w:p>
        </w:tc>
      </w:tr>
      <w:tr w:rsidR="00B233DE" w:rsidRPr="00B34179" w:rsidTr="0023489B">
        <w:trPr>
          <w:trHeight w:val="19"/>
        </w:trPr>
        <w:tc>
          <w:tcPr>
            <w:tcW w:w="85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15-19</w:t>
            </w:r>
          </w:p>
        </w:tc>
        <w:tc>
          <w:tcPr>
            <w:tcW w:w="1276"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1286</w:t>
            </w:r>
          </w:p>
        </w:tc>
        <w:tc>
          <w:tcPr>
            <w:tcW w:w="1275"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43654</w:t>
            </w:r>
          </w:p>
        </w:tc>
        <w:tc>
          <w:tcPr>
            <w:tcW w:w="1134"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29,46</w:t>
            </w:r>
          </w:p>
        </w:tc>
        <w:tc>
          <w:tcPr>
            <w:tcW w:w="170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0,15</w:t>
            </w:r>
          </w:p>
        </w:tc>
      </w:tr>
      <w:tr w:rsidR="00B233DE" w:rsidRPr="00B34179" w:rsidTr="0023489B">
        <w:trPr>
          <w:trHeight w:val="19"/>
        </w:trPr>
        <w:tc>
          <w:tcPr>
            <w:tcW w:w="85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20-24</w:t>
            </w:r>
          </w:p>
        </w:tc>
        <w:tc>
          <w:tcPr>
            <w:tcW w:w="1276"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5491</w:t>
            </w:r>
          </w:p>
        </w:tc>
        <w:tc>
          <w:tcPr>
            <w:tcW w:w="1275"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54677</w:t>
            </w:r>
          </w:p>
        </w:tc>
        <w:tc>
          <w:tcPr>
            <w:tcW w:w="1134"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100,43</w:t>
            </w:r>
          </w:p>
        </w:tc>
        <w:tc>
          <w:tcPr>
            <w:tcW w:w="170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0,50</w:t>
            </w:r>
          </w:p>
        </w:tc>
      </w:tr>
      <w:tr w:rsidR="00B233DE" w:rsidRPr="00B34179" w:rsidTr="0023489B">
        <w:trPr>
          <w:trHeight w:val="19"/>
        </w:trPr>
        <w:tc>
          <w:tcPr>
            <w:tcW w:w="85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25-29</w:t>
            </w:r>
          </w:p>
        </w:tc>
        <w:tc>
          <w:tcPr>
            <w:tcW w:w="1276"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5788</w:t>
            </w:r>
          </w:p>
        </w:tc>
        <w:tc>
          <w:tcPr>
            <w:tcW w:w="1275"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64151</w:t>
            </w:r>
          </w:p>
        </w:tc>
        <w:tc>
          <w:tcPr>
            <w:tcW w:w="1134"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90,22</w:t>
            </w:r>
          </w:p>
        </w:tc>
        <w:tc>
          <w:tcPr>
            <w:tcW w:w="170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0,45</w:t>
            </w:r>
          </w:p>
        </w:tc>
      </w:tr>
      <w:tr w:rsidR="00B233DE" w:rsidRPr="00B34179" w:rsidTr="0023489B">
        <w:trPr>
          <w:trHeight w:val="19"/>
        </w:trPr>
        <w:tc>
          <w:tcPr>
            <w:tcW w:w="85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30-34</w:t>
            </w:r>
          </w:p>
        </w:tc>
        <w:tc>
          <w:tcPr>
            <w:tcW w:w="1276"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3223</w:t>
            </w:r>
          </w:p>
        </w:tc>
        <w:tc>
          <w:tcPr>
            <w:tcW w:w="1275"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56217</w:t>
            </w:r>
          </w:p>
        </w:tc>
        <w:tc>
          <w:tcPr>
            <w:tcW w:w="1134"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57,33</w:t>
            </w:r>
          </w:p>
        </w:tc>
        <w:tc>
          <w:tcPr>
            <w:tcW w:w="1701" w:type="dxa"/>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0,29</w:t>
            </w:r>
          </w:p>
        </w:tc>
      </w:tr>
      <w:tr w:rsidR="00B233DE" w:rsidRPr="00B34179" w:rsidTr="0023489B">
        <w:trPr>
          <w:trHeight w:val="19"/>
        </w:trPr>
        <w:tc>
          <w:tcPr>
            <w:tcW w:w="851"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35-39</w:t>
            </w:r>
          </w:p>
        </w:tc>
        <w:tc>
          <w:tcPr>
            <w:tcW w:w="1276"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1369</w:t>
            </w:r>
          </w:p>
        </w:tc>
        <w:tc>
          <w:tcPr>
            <w:tcW w:w="1275"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57789</w:t>
            </w:r>
          </w:p>
        </w:tc>
        <w:tc>
          <w:tcPr>
            <w:tcW w:w="1134"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23,69</w:t>
            </w:r>
          </w:p>
        </w:tc>
        <w:tc>
          <w:tcPr>
            <w:tcW w:w="1701"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0,12</w:t>
            </w:r>
          </w:p>
        </w:tc>
      </w:tr>
      <w:tr w:rsidR="00B233DE" w:rsidRPr="00B34179" w:rsidTr="0023489B">
        <w:trPr>
          <w:trHeight w:val="19"/>
        </w:trPr>
        <w:tc>
          <w:tcPr>
            <w:tcW w:w="851"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40-44</w:t>
            </w:r>
          </w:p>
        </w:tc>
        <w:tc>
          <w:tcPr>
            <w:tcW w:w="1276"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253</w:t>
            </w:r>
          </w:p>
        </w:tc>
        <w:tc>
          <w:tcPr>
            <w:tcW w:w="1275"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57899</w:t>
            </w:r>
          </w:p>
        </w:tc>
        <w:tc>
          <w:tcPr>
            <w:tcW w:w="1134"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4,37</w:t>
            </w:r>
          </w:p>
        </w:tc>
        <w:tc>
          <w:tcPr>
            <w:tcW w:w="1701"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0,02</w:t>
            </w:r>
          </w:p>
        </w:tc>
      </w:tr>
      <w:tr w:rsidR="00B233DE" w:rsidRPr="00B34179" w:rsidTr="0023489B">
        <w:trPr>
          <w:trHeight w:val="19"/>
        </w:trPr>
        <w:tc>
          <w:tcPr>
            <w:tcW w:w="851"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45-49</w:t>
            </w:r>
          </w:p>
        </w:tc>
        <w:tc>
          <w:tcPr>
            <w:tcW w:w="1276"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11</w:t>
            </w:r>
          </w:p>
        </w:tc>
        <w:tc>
          <w:tcPr>
            <w:tcW w:w="1275"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57059</w:t>
            </w:r>
          </w:p>
        </w:tc>
        <w:tc>
          <w:tcPr>
            <w:tcW w:w="1134"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0,19</w:t>
            </w:r>
          </w:p>
        </w:tc>
        <w:tc>
          <w:tcPr>
            <w:tcW w:w="1701" w:type="dxa"/>
            <w:tcBorders>
              <w:right w:val="single" w:sz="4" w:space="0" w:color="auto"/>
            </w:tcBorders>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0,001</w:t>
            </w:r>
          </w:p>
        </w:tc>
      </w:tr>
      <w:tr w:rsidR="00B233DE" w:rsidRPr="00B34179" w:rsidTr="0023489B">
        <w:trPr>
          <w:trHeight w:val="19"/>
        </w:trPr>
        <w:tc>
          <w:tcPr>
            <w:tcW w:w="6237" w:type="dxa"/>
            <w:gridSpan w:val="5"/>
            <w:tcBorders>
              <w:right w:val="single" w:sz="4" w:space="0" w:color="auto"/>
            </w:tcBorders>
            <w:vAlign w:val="center"/>
          </w:tcPr>
          <w:p w:rsidR="00B233DE" w:rsidRPr="00B34179" w:rsidRDefault="00B233DE" w:rsidP="0023489B">
            <w:pPr>
              <w:ind w:firstLine="0"/>
              <w:jc w:val="center"/>
              <w:rPr>
                <w:rFonts w:ascii="Times New Roman" w:hAnsi="Times New Roman" w:cs="Times New Roman"/>
                <w:sz w:val="18"/>
                <w:szCs w:val="18"/>
                <w:highlight w:val="yellow"/>
              </w:rPr>
            </w:pPr>
            <w:r w:rsidRPr="00B34179">
              <w:rPr>
                <w:rFonts w:ascii="Times New Roman" w:hAnsi="Times New Roman" w:cs="Times New Roman"/>
                <w:sz w:val="18"/>
                <w:szCs w:val="18"/>
              </w:rPr>
              <w:t>2014 рік</w:t>
            </w:r>
          </w:p>
        </w:tc>
      </w:tr>
      <w:tr w:rsidR="00B233DE" w:rsidRPr="00B34179" w:rsidTr="0023489B">
        <w:trPr>
          <w:trHeight w:val="19"/>
        </w:trPr>
        <w:tc>
          <w:tcPr>
            <w:tcW w:w="851"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15-19</w:t>
            </w:r>
          </w:p>
        </w:tc>
        <w:tc>
          <w:tcPr>
            <w:tcW w:w="1276"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1272</w:t>
            </w:r>
          </w:p>
        </w:tc>
        <w:tc>
          <w:tcPr>
            <w:tcW w:w="1275"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41661</w:t>
            </w:r>
          </w:p>
        </w:tc>
        <w:tc>
          <w:tcPr>
            <w:tcW w:w="1134"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30,53</w:t>
            </w:r>
          </w:p>
        </w:tc>
        <w:tc>
          <w:tcPr>
            <w:tcW w:w="1701"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0,15</w:t>
            </w:r>
          </w:p>
        </w:tc>
      </w:tr>
      <w:tr w:rsidR="00B233DE" w:rsidRPr="00B34179" w:rsidTr="0023489B">
        <w:trPr>
          <w:trHeight w:val="19"/>
        </w:trPr>
        <w:tc>
          <w:tcPr>
            <w:tcW w:w="851"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20-24</w:t>
            </w:r>
          </w:p>
        </w:tc>
        <w:tc>
          <w:tcPr>
            <w:tcW w:w="1276"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5292</w:t>
            </w:r>
          </w:p>
        </w:tc>
        <w:tc>
          <w:tcPr>
            <w:tcW w:w="1275"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52285</w:t>
            </w:r>
          </w:p>
        </w:tc>
        <w:tc>
          <w:tcPr>
            <w:tcW w:w="1134"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101,21</w:t>
            </w:r>
          </w:p>
        </w:tc>
        <w:tc>
          <w:tcPr>
            <w:tcW w:w="1701"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0,51</w:t>
            </w:r>
          </w:p>
        </w:tc>
      </w:tr>
      <w:tr w:rsidR="00B233DE" w:rsidRPr="00B34179" w:rsidTr="0023489B">
        <w:trPr>
          <w:trHeight w:val="19"/>
        </w:trPr>
        <w:tc>
          <w:tcPr>
            <w:tcW w:w="851"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25-29</w:t>
            </w:r>
          </w:p>
        </w:tc>
        <w:tc>
          <w:tcPr>
            <w:tcW w:w="1276"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5 675</w:t>
            </w:r>
          </w:p>
        </w:tc>
        <w:tc>
          <w:tcPr>
            <w:tcW w:w="1275"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62995</w:t>
            </w:r>
          </w:p>
        </w:tc>
        <w:tc>
          <w:tcPr>
            <w:tcW w:w="1134"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90,09</w:t>
            </w:r>
          </w:p>
        </w:tc>
        <w:tc>
          <w:tcPr>
            <w:tcW w:w="1701"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0,45</w:t>
            </w:r>
          </w:p>
        </w:tc>
      </w:tr>
      <w:tr w:rsidR="00B233DE" w:rsidRPr="00B34179" w:rsidTr="0023489B">
        <w:trPr>
          <w:trHeight w:val="19"/>
        </w:trPr>
        <w:tc>
          <w:tcPr>
            <w:tcW w:w="851"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30-34</w:t>
            </w:r>
          </w:p>
        </w:tc>
        <w:tc>
          <w:tcPr>
            <w:tcW w:w="1276"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3512</w:t>
            </w:r>
          </w:p>
        </w:tc>
        <w:tc>
          <w:tcPr>
            <w:tcW w:w="1275"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57906</w:t>
            </w:r>
          </w:p>
        </w:tc>
        <w:tc>
          <w:tcPr>
            <w:tcW w:w="1134"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60,65</w:t>
            </w:r>
          </w:p>
        </w:tc>
        <w:tc>
          <w:tcPr>
            <w:tcW w:w="1701"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0,30</w:t>
            </w:r>
          </w:p>
        </w:tc>
      </w:tr>
      <w:tr w:rsidR="00B233DE" w:rsidRPr="00B34179" w:rsidTr="0023489B">
        <w:trPr>
          <w:trHeight w:val="19"/>
        </w:trPr>
        <w:tc>
          <w:tcPr>
            <w:tcW w:w="851"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35-39</w:t>
            </w:r>
          </w:p>
        </w:tc>
        <w:tc>
          <w:tcPr>
            <w:tcW w:w="1276"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1451</w:t>
            </w:r>
          </w:p>
        </w:tc>
        <w:tc>
          <w:tcPr>
            <w:tcW w:w="1275"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57088</w:t>
            </w:r>
          </w:p>
        </w:tc>
        <w:tc>
          <w:tcPr>
            <w:tcW w:w="1134"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25,42</w:t>
            </w:r>
          </w:p>
        </w:tc>
        <w:tc>
          <w:tcPr>
            <w:tcW w:w="1701"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0,13</w:t>
            </w:r>
          </w:p>
        </w:tc>
      </w:tr>
      <w:tr w:rsidR="00B233DE" w:rsidRPr="00B34179" w:rsidTr="0023489B">
        <w:trPr>
          <w:trHeight w:val="19"/>
        </w:trPr>
        <w:tc>
          <w:tcPr>
            <w:tcW w:w="851"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40-44</w:t>
            </w:r>
          </w:p>
        </w:tc>
        <w:tc>
          <w:tcPr>
            <w:tcW w:w="1276"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305</w:t>
            </w:r>
          </w:p>
        </w:tc>
        <w:tc>
          <w:tcPr>
            <w:tcW w:w="1275"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58290</w:t>
            </w:r>
          </w:p>
        </w:tc>
        <w:tc>
          <w:tcPr>
            <w:tcW w:w="1134"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5,23</w:t>
            </w:r>
          </w:p>
        </w:tc>
        <w:tc>
          <w:tcPr>
            <w:tcW w:w="1701"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0,03</w:t>
            </w:r>
          </w:p>
        </w:tc>
      </w:tr>
      <w:tr w:rsidR="00B233DE" w:rsidRPr="00B34179" w:rsidTr="0023489B">
        <w:trPr>
          <w:trHeight w:val="19"/>
        </w:trPr>
        <w:tc>
          <w:tcPr>
            <w:tcW w:w="851"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45-49</w:t>
            </w:r>
          </w:p>
        </w:tc>
        <w:tc>
          <w:tcPr>
            <w:tcW w:w="1276"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13</w:t>
            </w:r>
          </w:p>
        </w:tc>
        <w:tc>
          <w:tcPr>
            <w:tcW w:w="1275"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56042</w:t>
            </w:r>
          </w:p>
        </w:tc>
        <w:tc>
          <w:tcPr>
            <w:tcW w:w="1134"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0,23</w:t>
            </w:r>
          </w:p>
        </w:tc>
        <w:tc>
          <w:tcPr>
            <w:tcW w:w="1701" w:type="dxa"/>
            <w:vAlign w:val="center"/>
          </w:tcPr>
          <w:p w:rsidR="00B233DE" w:rsidRPr="00B34179" w:rsidRDefault="00B233DE" w:rsidP="0023489B">
            <w:pPr>
              <w:ind w:firstLine="0"/>
              <w:jc w:val="center"/>
              <w:rPr>
                <w:rFonts w:ascii="Times New Roman" w:hAnsi="Times New Roman" w:cs="Times New Roman"/>
                <w:sz w:val="18"/>
                <w:szCs w:val="18"/>
              </w:rPr>
            </w:pPr>
            <w:r w:rsidRPr="00B34179">
              <w:rPr>
                <w:rFonts w:ascii="Times New Roman" w:hAnsi="Times New Roman" w:cs="Times New Roman"/>
                <w:sz w:val="18"/>
                <w:szCs w:val="18"/>
              </w:rPr>
              <w:t>0,001</w:t>
            </w:r>
          </w:p>
        </w:tc>
      </w:tr>
    </w:tbl>
    <w:p w:rsidR="00B233DE" w:rsidRDefault="00B233DE" w:rsidP="00B233DE">
      <w:pPr>
        <w:ind w:firstLine="709"/>
        <w:jc w:val="center"/>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Сумарний коефіцієнт розраховується як віковий коефіцієнт народжуваності в даній віковій групі, помножений на 5 (якщо вікові коефіцієнти по 5-річним групам) і поділений на 1000, так як вікові коефіцієнти народжуваності розраховуються на 1000 жінок, а сумарний коефіцієнт – на одну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_Ref435781262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23</w:t>
      </w:r>
      <w:r>
        <w:rPr>
          <w:rFonts w:ascii="Times New Roman" w:hAnsi="Times New Roman"/>
          <w:sz w:val="21"/>
          <w:szCs w:val="21"/>
          <w:highlight w:val="yellow"/>
        </w:rPr>
        <w:fldChar w:fldCharType="end"/>
      </w:r>
      <w:r w:rsidRPr="002B4100">
        <w:rPr>
          <w:rFonts w:ascii="Times New Roman" w:hAnsi="Times New Roman" w:cs="Times New Roman"/>
          <w:sz w:val="21"/>
          <w:szCs w:val="21"/>
        </w:rPr>
        <w:t>]:</w:t>
      </w:r>
    </w:p>
    <w:p w:rsidR="00B233DE" w:rsidRPr="002B4100" w:rsidRDefault="00B233DE" w:rsidP="00B233DE">
      <w:pPr>
        <w:ind w:firstLine="709"/>
        <w:jc w:val="both"/>
        <w:rPr>
          <w:rFonts w:ascii="Times New Roman" w:hAnsi="Times New Roman" w:cs="Times New Roman"/>
          <w:sz w:val="21"/>
          <w:szCs w:val="21"/>
        </w:rPr>
      </w:pPr>
    </w:p>
    <w:p w:rsidR="00B233DE" w:rsidRPr="002B4100" w:rsidRDefault="00B233DE" w:rsidP="00B233DE">
      <w:pPr>
        <w:ind w:firstLine="709"/>
        <w:jc w:val="center"/>
        <w:rPr>
          <w:rFonts w:ascii="Times New Roman" w:hAnsi="Times New Roman" w:cs="Times New Roman"/>
          <w:sz w:val="21"/>
          <w:szCs w:val="21"/>
        </w:rPr>
      </w:pPr>
      <w:r>
        <w:rPr>
          <w:rFonts w:ascii="Times New Roman" w:hAnsi="Times New Roman" w:cs="Times New Roman"/>
          <w:sz w:val="21"/>
          <w:szCs w:val="21"/>
        </w:rPr>
        <w:t xml:space="preserve">                                       </w:t>
      </w:r>
      <m:oMath>
        <m:r>
          <m:rPr>
            <m:scr m:val="script"/>
            <m:sty m:val="p"/>
          </m:rPr>
          <w:rPr>
            <w:rFonts w:ascii="Cambria Math" w:hAnsi="Cambria Math" w:cs="Times New Roman"/>
            <w:sz w:val="21"/>
            <w:szCs w:val="21"/>
          </w:rPr>
          <m:t>TFR=</m:t>
        </m:r>
        <m:f>
          <m:fPr>
            <m:ctrlPr>
              <w:rPr>
                <w:rFonts w:ascii="Cambria Math" w:hAnsi="Cambria Math" w:cs="Times New Roman"/>
                <w:sz w:val="21"/>
                <w:szCs w:val="21"/>
              </w:rPr>
            </m:ctrlPr>
          </m:fPr>
          <m:num>
            <m:nary>
              <m:naryPr>
                <m:chr m:val="∑"/>
                <m:limLoc m:val="undOvr"/>
                <m:subHide m:val="1"/>
                <m:supHide m:val="1"/>
                <m:ctrlPr>
                  <w:rPr>
                    <w:rFonts w:ascii="Cambria Math" w:hAnsi="Cambria Math" w:cs="Times New Roman"/>
                    <w:sz w:val="21"/>
                    <w:szCs w:val="21"/>
                  </w:rPr>
                </m:ctrlPr>
              </m:naryPr>
              <m:sub/>
              <m:sup/>
              <m:e>
                <m:sSub>
                  <m:sSubPr>
                    <m:ctrlPr>
                      <w:rPr>
                        <w:rFonts w:ascii="Cambria Math" w:hAnsi="Cambria Math" w:cs="Times New Roman"/>
                        <w:sz w:val="21"/>
                        <w:szCs w:val="21"/>
                      </w:rPr>
                    </m:ctrlPr>
                  </m:sSubPr>
                  <m:e>
                    <m:r>
                      <m:rPr>
                        <m:scr m:val="script"/>
                        <m:sty m:val="p"/>
                      </m:rPr>
                      <w:rPr>
                        <w:rFonts w:ascii="Cambria Math" w:hAnsi="Cambria Math" w:cs="Times New Roman"/>
                        <w:sz w:val="21"/>
                        <w:szCs w:val="21"/>
                      </w:rPr>
                      <m:t>f</m:t>
                    </m:r>
                  </m:e>
                  <m:sub>
                    <m:r>
                      <m:rPr>
                        <m:scr m:val="script"/>
                        <m:sty m:val="p"/>
                      </m:rPr>
                      <w:rPr>
                        <w:rFonts w:ascii="Cambria Math" w:hAnsi="Cambria Math" w:cs="Times New Roman"/>
                        <w:sz w:val="21"/>
                        <w:szCs w:val="21"/>
                      </w:rPr>
                      <m:t>x∙</m:t>
                    </m:r>
                    <m:sSub>
                      <m:sSubPr>
                        <m:ctrlPr>
                          <w:rPr>
                            <w:rFonts w:ascii="Cambria Math" w:hAnsi="Cambria Math" w:cs="Times New Roman"/>
                            <w:sz w:val="21"/>
                            <w:szCs w:val="21"/>
                          </w:rPr>
                        </m:ctrlPr>
                      </m:sSubPr>
                      <m:e>
                        <m:r>
                          <m:rPr>
                            <m:sty m:val="p"/>
                          </m:rPr>
                          <w:rPr>
                            <w:rFonts w:ascii="Cambria Math" w:hAnsi="Cambria Math" w:cs="Times New Roman"/>
                            <w:sz w:val="21"/>
                            <w:szCs w:val="21"/>
                          </w:rPr>
                          <m:t>h</m:t>
                        </m:r>
                      </m:e>
                      <m:sub>
                        <m:r>
                          <m:rPr>
                            <m:scr m:val="script"/>
                            <m:sty m:val="p"/>
                          </m:rPr>
                          <w:rPr>
                            <w:rFonts w:ascii="Cambria Math" w:hAnsi="Cambria Math" w:cs="Times New Roman"/>
                            <w:sz w:val="21"/>
                            <w:szCs w:val="21"/>
                          </w:rPr>
                          <m:t>x</m:t>
                        </m:r>
                      </m:sub>
                    </m:sSub>
                  </m:sub>
                </m:sSub>
              </m:e>
            </m:nary>
          </m:num>
          <m:den>
            <m:r>
              <m:rPr>
                <m:sty m:val="p"/>
              </m:rPr>
              <w:rPr>
                <w:rFonts w:ascii="Cambria Math" w:hAnsi="Cambria Math" w:cs="Times New Roman"/>
                <w:sz w:val="21"/>
                <w:szCs w:val="21"/>
              </w:rPr>
              <m:t>1000</m:t>
            </m:r>
          </m:den>
        </m:f>
      </m:oMath>
      <w:r w:rsidRPr="002B4100">
        <w:rPr>
          <w:rFonts w:ascii="Times New Roman" w:hAnsi="Times New Roman" w:cs="Times New Roman"/>
          <w:sz w:val="21"/>
          <w:szCs w:val="21"/>
        </w:rPr>
        <w:fldChar w:fldCharType="begin"/>
      </w:r>
      <w:r w:rsidRPr="002B4100">
        <w:rPr>
          <w:rFonts w:ascii="Times New Roman" w:hAnsi="Times New Roman" w:cs="Times New Roman"/>
          <w:sz w:val="21"/>
          <w:szCs w:val="21"/>
        </w:rPr>
        <w:instrText xml:space="preserve"> QUOTE </w:instrText>
      </w:r>
      <w:r w:rsidRPr="002B4100">
        <w:rPr>
          <w:rFonts w:ascii="Times New Roman" w:hAnsi="Times New Roman" w:cs="Times New Roman"/>
          <w:noProof/>
          <w:sz w:val="21"/>
          <w:szCs w:val="21"/>
          <w:lang w:val="ru-RU" w:eastAsia="ru-RU"/>
        </w:rPr>
        <w:drawing>
          <wp:inline distT="0" distB="0" distL="0" distR="0" wp14:anchorId="3FD1931F" wp14:editId="6605E7D2">
            <wp:extent cx="1104900" cy="314325"/>
            <wp:effectExtent l="0" t="0" r="0"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2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104900" cy="314325"/>
                    </a:xfrm>
                    <a:prstGeom prst="rect">
                      <a:avLst/>
                    </a:prstGeom>
                    <a:noFill/>
                    <a:ln>
                      <a:noFill/>
                    </a:ln>
                  </pic:spPr>
                </pic:pic>
              </a:graphicData>
            </a:graphic>
          </wp:inline>
        </w:drawing>
      </w:r>
      <w:r w:rsidRPr="002B4100">
        <w:rPr>
          <w:rFonts w:ascii="Times New Roman" w:hAnsi="Times New Roman" w:cs="Times New Roman"/>
          <w:sz w:val="21"/>
          <w:szCs w:val="21"/>
        </w:rPr>
        <w:instrText xml:space="preserve"> </w:instrText>
      </w:r>
      <w:r w:rsidRPr="002B4100">
        <w:rPr>
          <w:rFonts w:ascii="Times New Roman" w:hAnsi="Times New Roman" w:cs="Times New Roman"/>
          <w:sz w:val="21"/>
          <w:szCs w:val="21"/>
        </w:rPr>
        <w:fldChar w:fldCharType="end"/>
      </w:r>
      <w:r>
        <w:rPr>
          <w:rFonts w:ascii="Times New Roman" w:hAnsi="Times New Roman" w:cs="Times New Roman"/>
          <w:sz w:val="21"/>
          <w:szCs w:val="21"/>
        </w:rPr>
        <w:t>,                              (2.12</w:t>
      </w:r>
      <w:r w:rsidRPr="002B4100">
        <w:rPr>
          <w:rFonts w:ascii="Times New Roman" w:hAnsi="Times New Roman" w:cs="Times New Roman"/>
          <w:sz w:val="21"/>
          <w:szCs w:val="21"/>
        </w:rPr>
        <w:t>)</w:t>
      </w:r>
    </w:p>
    <w:p w:rsidR="00B233DE" w:rsidRPr="002B4100" w:rsidRDefault="00B233DE" w:rsidP="00B233DE">
      <w:pPr>
        <w:ind w:firstLine="709"/>
        <w:jc w:val="both"/>
        <w:rPr>
          <w:rFonts w:ascii="Times New Roman" w:hAnsi="Times New Roman" w:cs="Times New Roman"/>
          <w:sz w:val="21"/>
          <w:szCs w:val="21"/>
        </w:rPr>
      </w:pP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lastRenderedPageBreak/>
        <w:t xml:space="preserve">де: </w:t>
      </w:r>
      <m:oMath>
        <m:r>
          <m:rPr>
            <m:scr m:val="script"/>
            <m:sty m:val="p"/>
          </m:rPr>
          <w:rPr>
            <w:rFonts w:ascii="Cambria Math" w:hAnsi="Cambria Math" w:cs="Times New Roman"/>
            <w:sz w:val="21"/>
            <w:szCs w:val="21"/>
          </w:rPr>
          <m:t>TFR</m:t>
        </m:r>
      </m:oMath>
      <w:r w:rsidRPr="002B4100">
        <w:rPr>
          <w:rFonts w:ascii="Times New Roman" w:hAnsi="Times New Roman" w:cs="Times New Roman"/>
          <w:sz w:val="21"/>
          <w:szCs w:val="21"/>
        </w:rPr>
        <w:t xml:space="preserve"> – сумарний коефіцієнт народжуваності, осіб на 1 жінку; </w:t>
      </w:r>
    </w:p>
    <w:p w:rsidR="00B233DE" w:rsidRPr="002B4100" w:rsidRDefault="00EC2A0E" w:rsidP="00B233DE">
      <w:pPr>
        <w:ind w:firstLine="709"/>
        <w:jc w:val="both"/>
        <w:rPr>
          <w:rFonts w:ascii="Times New Roman" w:hAnsi="Times New Roman" w:cs="Times New Roman"/>
          <w:sz w:val="21"/>
          <w:szCs w:val="21"/>
        </w:rPr>
      </w:pPr>
      <m:oMath>
        <m:sSub>
          <m:sSubPr>
            <m:ctrlPr>
              <w:rPr>
                <w:rFonts w:ascii="Cambria Math" w:hAnsi="Cambria Math" w:cs="Times New Roman"/>
                <w:sz w:val="21"/>
                <w:szCs w:val="21"/>
              </w:rPr>
            </m:ctrlPr>
          </m:sSubPr>
          <m:e>
            <m:r>
              <m:rPr>
                <m:scr m:val="script"/>
                <m:sty m:val="p"/>
              </m:rPr>
              <w:rPr>
                <w:rFonts w:ascii="Cambria Math" w:hAnsi="Cambria Math" w:cs="Times New Roman"/>
                <w:sz w:val="21"/>
                <w:szCs w:val="21"/>
              </w:rPr>
              <m:t>f</m:t>
            </m:r>
          </m:e>
          <m:sub>
            <m:r>
              <m:rPr>
                <m:scr m:val="script"/>
                <m:sty m:val="p"/>
              </m:rPr>
              <w:rPr>
                <w:rFonts w:ascii="Cambria Math" w:hAnsi="Cambria Math" w:cs="Times New Roman"/>
                <w:sz w:val="21"/>
                <w:szCs w:val="21"/>
              </w:rPr>
              <m:t>x</m:t>
            </m:r>
          </m:sub>
        </m:sSub>
      </m:oMath>
      <w:r w:rsidR="00B233DE" w:rsidRPr="002B4100">
        <w:rPr>
          <w:rFonts w:ascii="Times New Roman" w:hAnsi="Times New Roman" w:cs="Times New Roman"/>
          <w:sz w:val="21"/>
          <w:szCs w:val="21"/>
        </w:rPr>
        <w:t xml:space="preserve">– віковий коефіцієнт народжуваності, ‰; </w:t>
      </w:r>
    </w:p>
    <w:p w:rsidR="00B233DE" w:rsidRPr="002B4100" w:rsidRDefault="00EC2A0E" w:rsidP="00B233DE">
      <w:pPr>
        <w:ind w:firstLine="709"/>
        <w:jc w:val="both"/>
        <w:rPr>
          <w:rFonts w:ascii="Times New Roman" w:hAnsi="Times New Roman" w:cs="Times New Roman"/>
          <w:sz w:val="21"/>
          <w:szCs w:val="21"/>
          <w:highlight w:val="yellow"/>
        </w:rPr>
      </w:pPr>
      <m:oMath>
        <m:sSub>
          <m:sSubPr>
            <m:ctrlPr>
              <w:rPr>
                <w:rFonts w:ascii="Cambria Math" w:hAnsi="Cambria Math" w:cs="Times New Roman"/>
                <w:sz w:val="21"/>
                <w:szCs w:val="21"/>
              </w:rPr>
            </m:ctrlPr>
          </m:sSubPr>
          <m:e>
            <m:r>
              <m:rPr>
                <m:sty m:val="p"/>
              </m:rPr>
              <w:rPr>
                <w:rFonts w:ascii="Cambria Math" w:hAnsi="Cambria Math" w:cs="Times New Roman"/>
                <w:sz w:val="21"/>
                <w:szCs w:val="21"/>
              </w:rPr>
              <m:t>h</m:t>
            </m:r>
          </m:e>
          <m:sub>
            <m:r>
              <m:rPr>
                <m:scr m:val="script"/>
                <m:sty m:val="p"/>
              </m:rPr>
              <w:rPr>
                <w:rFonts w:ascii="Cambria Math" w:hAnsi="Cambria Math" w:cs="Times New Roman"/>
                <w:sz w:val="21"/>
                <w:szCs w:val="21"/>
              </w:rPr>
              <m:t>x</m:t>
            </m:r>
          </m:sub>
        </m:sSub>
      </m:oMath>
      <w:r w:rsidR="00B233DE" w:rsidRPr="002B4100">
        <w:rPr>
          <w:rFonts w:ascii="Times New Roman" w:hAnsi="Times New Roman" w:cs="Times New Roman"/>
          <w:sz w:val="21"/>
          <w:szCs w:val="21"/>
        </w:rPr>
        <w:t xml:space="preserve"> – ширина вікового інтервалу, для якого розрахований відповідний віковий коефіцієнт народжуваності </w:t>
      </w:r>
      <m:oMath>
        <m:sSub>
          <m:sSubPr>
            <m:ctrlPr>
              <w:rPr>
                <w:rFonts w:ascii="Cambria Math" w:hAnsi="Cambria Math" w:cs="Times New Roman"/>
                <w:sz w:val="21"/>
                <w:szCs w:val="21"/>
              </w:rPr>
            </m:ctrlPr>
          </m:sSubPr>
          <m:e>
            <m:r>
              <m:rPr>
                <m:scr m:val="script"/>
                <m:sty m:val="p"/>
              </m:rPr>
              <w:rPr>
                <w:rFonts w:ascii="Cambria Math" w:hAnsi="Cambria Math" w:cs="Times New Roman"/>
                <w:sz w:val="21"/>
                <w:szCs w:val="21"/>
              </w:rPr>
              <m:t>f</m:t>
            </m:r>
          </m:e>
          <m:sub>
            <m:r>
              <m:rPr>
                <m:scr m:val="script"/>
                <m:sty m:val="p"/>
              </m:rPr>
              <w:rPr>
                <w:rFonts w:ascii="Cambria Math" w:hAnsi="Cambria Math" w:cs="Times New Roman"/>
                <w:sz w:val="21"/>
                <w:szCs w:val="21"/>
              </w:rPr>
              <m:t>x</m:t>
            </m:r>
          </m:sub>
        </m:sSub>
      </m:oMath>
      <w:r w:rsidR="00B233DE" w:rsidRPr="002B4100">
        <w:rPr>
          <w:rFonts w:ascii="Times New Roman" w:hAnsi="Times New Roman" w:cs="Times New Roman"/>
          <w:sz w:val="21"/>
          <w:szCs w:val="21"/>
        </w:rPr>
        <w:t>, років.</w:t>
      </w:r>
    </w:p>
    <w:p w:rsidR="00B233DE" w:rsidRPr="002B4100" w:rsidRDefault="00B233DE" w:rsidP="00B233DE">
      <w:pPr>
        <w:ind w:firstLine="709"/>
        <w:jc w:val="both"/>
        <w:rPr>
          <w:rFonts w:ascii="Times New Roman" w:hAnsi="Times New Roman" w:cs="Times New Roman"/>
          <w:sz w:val="21"/>
          <w:szCs w:val="21"/>
          <w:highlight w:val="yellow"/>
        </w:rPr>
      </w:pPr>
      <w:r>
        <w:rPr>
          <w:rFonts w:ascii="Times New Roman" w:hAnsi="Times New Roman" w:cs="Times New Roman"/>
          <w:sz w:val="21"/>
          <w:szCs w:val="21"/>
        </w:rPr>
        <w:t xml:space="preserve">У Вінницькому </w:t>
      </w:r>
      <w:r w:rsidRPr="002B4100">
        <w:rPr>
          <w:rFonts w:ascii="Times New Roman" w:hAnsi="Times New Roman" w:cs="Times New Roman"/>
          <w:sz w:val="21"/>
          <w:szCs w:val="21"/>
        </w:rPr>
        <w:t>регіоні сумарний коефіцієнт народжуваності в 2012, 2013, 2014 рр. у всіх вікових інтервалах не досягає навіть 1</w:t>
      </w:r>
      <w:r>
        <w:rPr>
          <w:rFonts w:ascii="Times New Roman" w:hAnsi="Times New Roman" w:cs="Times New Roman"/>
          <w:sz w:val="21"/>
          <w:szCs w:val="21"/>
        </w:rPr>
        <w:t xml:space="preserve"> </w:t>
      </w:r>
      <w:r w:rsidRPr="002B4100">
        <w:rPr>
          <w:rFonts w:ascii="Times New Roman" w:hAnsi="Times New Roman" w:cs="Times New Roman"/>
          <w:sz w:val="21"/>
          <w:szCs w:val="21"/>
        </w:rPr>
        <w:t>‰. В 2012 році він дорівнював від 0</w:t>
      </w:r>
      <w:r>
        <w:rPr>
          <w:rFonts w:ascii="Times New Roman" w:hAnsi="Times New Roman" w:cs="Times New Roman"/>
          <w:sz w:val="21"/>
          <w:szCs w:val="21"/>
        </w:rPr>
        <w:t xml:space="preserve"> </w:t>
      </w:r>
      <w:r w:rsidRPr="002B4100">
        <w:rPr>
          <w:rFonts w:ascii="Times New Roman" w:hAnsi="Times New Roman" w:cs="Times New Roman"/>
          <w:sz w:val="21"/>
          <w:szCs w:val="21"/>
        </w:rPr>
        <w:t>‰ до 0,53</w:t>
      </w:r>
      <w:r>
        <w:rPr>
          <w:rFonts w:ascii="Times New Roman" w:hAnsi="Times New Roman" w:cs="Times New Roman"/>
          <w:sz w:val="21"/>
          <w:szCs w:val="21"/>
        </w:rPr>
        <w:t xml:space="preserve"> </w:t>
      </w:r>
      <w:r w:rsidRPr="002B4100">
        <w:rPr>
          <w:rFonts w:ascii="Times New Roman" w:hAnsi="Times New Roman" w:cs="Times New Roman"/>
          <w:sz w:val="21"/>
          <w:szCs w:val="21"/>
        </w:rPr>
        <w:t>‰ в різних вікових групах. Як ми можемо бачити з таблиці 2.4</w:t>
      </w:r>
      <w:r>
        <w:rPr>
          <w:rFonts w:ascii="Times New Roman" w:hAnsi="Times New Roman" w:cs="Times New Roman"/>
          <w:sz w:val="21"/>
          <w:szCs w:val="21"/>
        </w:rPr>
        <w:t>,</w:t>
      </w:r>
      <w:r w:rsidRPr="002B4100">
        <w:rPr>
          <w:rFonts w:ascii="Times New Roman" w:hAnsi="Times New Roman" w:cs="Times New Roman"/>
          <w:sz w:val="21"/>
          <w:szCs w:val="21"/>
        </w:rPr>
        <w:t xml:space="preserve"> в 2013 році сумарний коефіцієнт народжуваності, в середньому, на 0,13</w:t>
      </w:r>
      <w:r>
        <w:rPr>
          <w:rFonts w:ascii="Times New Roman" w:hAnsi="Times New Roman" w:cs="Times New Roman"/>
          <w:sz w:val="21"/>
          <w:szCs w:val="21"/>
        </w:rPr>
        <w:t xml:space="preserve"> </w:t>
      </w:r>
      <w:r w:rsidRPr="002B4100">
        <w:rPr>
          <w:rFonts w:ascii="Times New Roman" w:hAnsi="Times New Roman" w:cs="Times New Roman"/>
          <w:sz w:val="21"/>
          <w:szCs w:val="21"/>
        </w:rPr>
        <w:t>‰ переважає над сумарним коефіцієнтом народжуваності в 2012 році.</w:t>
      </w:r>
    </w:p>
    <w:p w:rsidR="00B233DE"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При проведенні аналізу народжуваності є важливим порівняти показники народжуваності у зареєстрованому шлюбі і поза ним для різних вікових груп жінок (рис. 2.</w:t>
      </w:r>
      <w:r>
        <w:rPr>
          <w:rFonts w:ascii="Times New Roman" w:hAnsi="Times New Roman" w:cs="Times New Roman"/>
          <w:sz w:val="21"/>
          <w:szCs w:val="21"/>
        </w:rPr>
        <w:t>7</w:t>
      </w:r>
      <w:r w:rsidRPr="002B4100">
        <w:rPr>
          <w:rFonts w:ascii="Times New Roman" w:hAnsi="Times New Roman" w:cs="Times New Roman"/>
          <w:sz w:val="21"/>
          <w:szCs w:val="21"/>
        </w:rPr>
        <w:t xml:space="preserve">). </w:t>
      </w:r>
    </w:p>
    <w:p w:rsidR="00B233DE" w:rsidRPr="002B4100" w:rsidRDefault="00B233DE" w:rsidP="00B233DE">
      <w:pPr>
        <w:ind w:firstLine="709"/>
        <w:jc w:val="both"/>
        <w:rPr>
          <w:rFonts w:ascii="Times New Roman" w:hAnsi="Times New Roman" w:cs="Times New Roman"/>
          <w:sz w:val="21"/>
          <w:szCs w:val="21"/>
        </w:rPr>
      </w:pPr>
    </w:p>
    <w:p w:rsidR="00B233DE" w:rsidRPr="002346E6" w:rsidRDefault="00B233DE" w:rsidP="00B233DE">
      <w:pPr>
        <w:spacing w:line="360" w:lineRule="auto"/>
        <w:ind w:firstLine="709"/>
        <w:jc w:val="both"/>
        <w:rPr>
          <w:sz w:val="28"/>
          <w:szCs w:val="28"/>
          <w:highlight w:val="yellow"/>
        </w:rPr>
      </w:pPr>
      <w:r>
        <w:rPr>
          <w:noProof/>
          <w:sz w:val="28"/>
          <w:szCs w:val="28"/>
          <w:lang w:val="ru-RU" w:eastAsia="ru-RU"/>
        </w:rPr>
        <w:drawing>
          <wp:inline distT="0" distB="0" distL="0" distR="0" wp14:anchorId="0B9B6225" wp14:editId="6310ECC5">
            <wp:extent cx="3370100" cy="1754175"/>
            <wp:effectExtent l="0" t="0" r="190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371880" cy="1755101"/>
                    </a:xfrm>
                    <a:prstGeom prst="rect">
                      <a:avLst/>
                    </a:prstGeom>
                    <a:noFill/>
                    <a:ln>
                      <a:noFill/>
                    </a:ln>
                  </pic:spPr>
                </pic:pic>
              </a:graphicData>
            </a:graphic>
          </wp:inline>
        </w:drawing>
      </w:r>
    </w:p>
    <w:p w:rsidR="00B233DE" w:rsidRPr="00645490" w:rsidRDefault="00B233DE" w:rsidP="00B233DE">
      <w:pPr>
        <w:ind w:firstLine="709"/>
        <w:jc w:val="center"/>
        <w:rPr>
          <w:rFonts w:ascii="Times New Roman" w:hAnsi="Times New Roman" w:cs="Times New Roman"/>
          <w:b/>
          <w:sz w:val="21"/>
          <w:szCs w:val="21"/>
        </w:rPr>
      </w:pPr>
      <w:r w:rsidRPr="00645490">
        <w:rPr>
          <w:rFonts w:ascii="Times New Roman" w:hAnsi="Times New Roman" w:cs="Times New Roman"/>
          <w:b/>
          <w:sz w:val="21"/>
          <w:szCs w:val="21"/>
        </w:rPr>
        <w:t>Рис. 2.</w:t>
      </w:r>
      <w:r>
        <w:rPr>
          <w:rFonts w:ascii="Times New Roman" w:hAnsi="Times New Roman" w:cs="Times New Roman"/>
          <w:b/>
          <w:sz w:val="21"/>
          <w:szCs w:val="21"/>
        </w:rPr>
        <w:t>7</w:t>
      </w:r>
      <w:r w:rsidRPr="00645490">
        <w:rPr>
          <w:rFonts w:ascii="Times New Roman" w:hAnsi="Times New Roman" w:cs="Times New Roman"/>
          <w:b/>
          <w:sz w:val="21"/>
          <w:szCs w:val="21"/>
        </w:rPr>
        <w:t xml:space="preserve">. Показники народжуваності у зареєстрованому шлюбі і поза ним </w:t>
      </w:r>
      <w:r>
        <w:rPr>
          <w:rFonts w:ascii="Times New Roman" w:hAnsi="Times New Roman" w:cs="Times New Roman"/>
          <w:b/>
          <w:sz w:val="21"/>
          <w:szCs w:val="21"/>
        </w:rPr>
        <w:t>у</w:t>
      </w:r>
      <w:r w:rsidRPr="00645490">
        <w:rPr>
          <w:rFonts w:ascii="Times New Roman" w:hAnsi="Times New Roman" w:cs="Times New Roman"/>
          <w:b/>
          <w:sz w:val="21"/>
          <w:szCs w:val="21"/>
        </w:rPr>
        <w:t xml:space="preserve"> Вінницькій області 2014 рік, осіб [</w:t>
      </w:r>
      <w:r>
        <w:rPr>
          <w:rFonts w:ascii="Times New Roman" w:hAnsi="Times New Roman" w:cs="Times New Roman"/>
          <w:b/>
          <w:sz w:val="21"/>
          <w:szCs w:val="21"/>
          <w:highlight w:val="yellow"/>
        </w:rPr>
        <w:fldChar w:fldCharType="begin"/>
      </w:r>
      <w:r>
        <w:rPr>
          <w:rFonts w:ascii="Times New Roman" w:hAnsi="Times New Roman" w:cs="Times New Roman"/>
          <w:b/>
          <w:sz w:val="21"/>
          <w:szCs w:val="21"/>
        </w:rPr>
        <w:instrText xml:space="preserve"> REF _Ref435781250 \r \h </w:instrText>
      </w:r>
      <w:r>
        <w:rPr>
          <w:rFonts w:ascii="Times New Roman" w:hAnsi="Times New Roman" w:cs="Times New Roman"/>
          <w:b/>
          <w:sz w:val="21"/>
          <w:szCs w:val="21"/>
          <w:highlight w:val="yellow"/>
        </w:rPr>
      </w:r>
      <w:r>
        <w:rPr>
          <w:rFonts w:ascii="Times New Roman" w:hAnsi="Times New Roman" w:cs="Times New Roman"/>
          <w:b/>
          <w:sz w:val="21"/>
          <w:szCs w:val="21"/>
          <w:highlight w:val="yellow"/>
        </w:rPr>
        <w:fldChar w:fldCharType="separate"/>
      </w:r>
      <w:r>
        <w:rPr>
          <w:rFonts w:ascii="Times New Roman" w:hAnsi="Times New Roman" w:cs="Times New Roman"/>
          <w:b/>
          <w:sz w:val="21"/>
          <w:szCs w:val="21"/>
        </w:rPr>
        <w:t>7</w:t>
      </w:r>
      <w:r>
        <w:rPr>
          <w:rFonts w:ascii="Times New Roman" w:hAnsi="Times New Roman" w:cs="Times New Roman"/>
          <w:b/>
          <w:sz w:val="21"/>
          <w:szCs w:val="21"/>
          <w:highlight w:val="yellow"/>
        </w:rPr>
        <w:fldChar w:fldCharType="end"/>
      </w:r>
      <w:r w:rsidRPr="00645490">
        <w:rPr>
          <w:rFonts w:ascii="Times New Roman" w:hAnsi="Times New Roman" w:cs="Times New Roman"/>
          <w:b/>
          <w:sz w:val="21"/>
          <w:szCs w:val="21"/>
        </w:rPr>
        <w:t>]</w:t>
      </w:r>
    </w:p>
    <w:p w:rsidR="00B233DE" w:rsidRDefault="00B233DE" w:rsidP="00B233DE">
      <w:pPr>
        <w:ind w:firstLine="709"/>
        <w:jc w:val="both"/>
        <w:rPr>
          <w:rFonts w:ascii="Times New Roman" w:hAnsi="Times New Roman" w:cs="Times New Roman"/>
          <w:sz w:val="21"/>
          <w:szCs w:val="21"/>
        </w:rPr>
      </w:pP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t xml:space="preserve">Зрозуміло, що, чим більша частина </w:t>
      </w:r>
      <w:r>
        <w:rPr>
          <w:rFonts w:ascii="Times New Roman" w:hAnsi="Times New Roman" w:cs="Times New Roman"/>
          <w:sz w:val="21"/>
          <w:szCs w:val="21"/>
        </w:rPr>
        <w:t>жінок репродуктивного віку (особливо у віці</w:t>
      </w:r>
      <w:r w:rsidRPr="002B4100">
        <w:rPr>
          <w:rFonts w:ascii="Times New Roman" w:hAnsi="Times New Roman" w:cs="Times New Roman"/>
          <w:sz w:val="21"/>
          <w:szCs w:val="21"/>
        </w:rPr>
        <w:t xml:space="preserve"> 20</w:t>
      </w:r>
      <w:r>
        <w:rPr>
          <w:rFonts w:ascii="Times New Roman" w:hAnsi="Times New Roman" w:cs="Times New Roman"/>
          <w:sz w:val="21"/>
          <w:szCs w:val="21"/>
        </w:rPr>
        <w:t>–</w:t>
      </w:r>
      <w:r w:rsidRPr="002B4100">
        <w:rPr>
          <w:rFonts w:ascii="Times New Roman" w:hAnsi="Times New Roman" w:cs="Times New Roman"/>
          <w:sz w:val="21"/>
          <w:szCs w:val="21"/>
        </w:rPr>
        <w:t>29 років)</w:t>
      </w:r>
      <w:r>
        <w:rPr>
          <w:rFonts w:ascii="Times New Roman" w:hAnsi="Times New Roman" w:cs="Times New Roman"/>
          <w:sz w:val="21"/>
          <w:szCs w:val="21"/>
        </w:rPr>
        <w:t xml:space="preserve"> </w:t>
      </w:r>
      <w:r w:rsidRPr="002B4100">
        <w:rPr>
          <w:rFonts w:ascii="Times New Roman" w:hAnsi="Times New Roman" w:cs="Times New Roman"/>
          <w:sz w:val="21"/>
          <w:szCs w:val="21"/>
        </w:rPr>
        <w:t>перебуває у шлюбі, тим, за інших рівних умовах, будуть вищі і показники народжуваності. Тому ми в аналізі використали показники народжуваності у зареєстрованому шлюбі і поза ним. Існуюча у нас поточна реєстрація народжень дає можливість розділити їх на народження в зареєстрованому шлюбі та поза ним, а останніх, у свою чергу, на зареєстровані за заявою матері та за спільною заявою батьків.</w:t>
      </w:r>
    </w:p>
    <w:p w:rsidR="00B233DE" w:rsidRPr="002B4100" w:rsidRDefault="00B233DE" w:rsidP="00B233DE">
      <w:pPr>
        <w:ind w:firstLine="709"/>
        <w:jc w:val="both"/>
        <w:rPr>
          <w:rFonts w:ascii="Times New Roman" w:hAnsi="Times New Roman" w:cs="Times New Roman"/>
          <w:sz w:val="21"/>
          <w:szCs w:val="21"/>
        </w:rPr>
      </w:pPr>
      <w:r w:rsidRPr="002B4100">
        <w:rPr>
          <w:rFonts w:ascii="Times New Roman" w:hAnsi="Times New Roman" w:cs="Times New Roman"/>
          <w:sz w:val="21"/>
          <w:szCs w:val="21"/>
        </w:rPr>
        <w:lastRenderedPageBreak/>
        <w:t>В зареєстрованому шлюбі та поза ним свідомо не використовують</w:t>
      </w:r>
      <w:r>
        <w:rPr>
          <w:rFonts w:ascii="Times New Roman" w:hAnsi="Times New Roman" w:cs="Times New Roman"/>
          <w:sz w:val="21"/>
          <w:szCs w:val="21"/>
        </w:rPr>
        <w:t>ся поняття «шлюбна» і «позашлюбна»</w:t>
      </w:r>
      <w:r w:rsidRPr="002B4100">
        <w:rPr>
          <w:rFonts w:ascii="Times New Roman" w:hAnsi="Times New Roman" w:cs="Times New Roman"/>
          <w:sz w:val="21"/>
          <w:szCs w:val="21"/>
        </w:rPr>
        <w:t xml:space="preserve"> народжуваність. Справа в тому, </w:t>
      </w:r>
      <w:r>
        <w:rPr>
          <w:rFonts w:ascii="Times New Roman" w:hAnsi="Times New Roman" w:cs="Times New Roman"/>
          <w:sz w:val="21"/>
          <w:szCs w:val="21"/>
        </w:rPr>
        <w:t>що демографія та соціологія сім’</w:t>
      </w:r>
      <w:r w:rsidRPr="002B4100">
        <w:rPr>
          <w:rFonts w:ascii="Times New Roman" w:hAnsi="Times New Roman" w:cs="Times New Roman"/>
          <w:sz w:val="21"/>
          <w:szCs w:val="21"/>
        </w:rPr>
        <w:t>ї під шлюбом розуміють, як правило, наявність фактичних подружніх відносин незалежно від їх реєстрації. Відсутність же зареєстрованого шлюбу при реєстрації на</w:t>
      </w:r>
      <w:r>
        <w:rPr>
          <w:rFonts w:ascii="Times New Roman" w:hAnsi="Times New Roman" w:cs="Times New Roman"/>
          <w:sz w:val="21"/>
          <w:szCs w:val="21"/>
        </w:rPr>
        <w:t>роджень в органах РАГС не обов’</w:t>
      </w:r>
      <w:r w:rsidRPr="002B4100">
        <w:rPr>
          <w:rFonts w:ascii="Times New Roman" w:hAnsi="Times New Roman" w:cs="Times New Roman"/>
          <w:sz w:val="21"/>
          <w:szCs w:val="21"/>
        </w:rPr>
        <w:t>язково означає відсутність фактичного шлюбу. Тому не можна вважати всі народження поза зареєстрован</w:t>
      </w:r>
      <w:r>
        <w:rPr>
          <w:rFonts w:ascii="Times New Roman" w:hAnsi="Times New Roman" w:cs="Times New Roman"/>
          <w:sz w:val="21"/>
          <w:szCs w:val="21"/>
        </w:rPr>
        <w:t>им</w:t>
      </w:r>
      <w:r w:rsidRPr="002B4100">
        <w:rPr>
          <w:rFonts w:ascii="Times New Roman" w:hAnsi="Times New Roman" w:cs="Times New Roman"/>
          <w:sz w:val="21"/>
          <w:szCs w:val="21"/>
        </w:rPr>
        <w:t xml:space="preserve"> шлюб</w:t>
      </w:r>
      <w:r>
        <w:rPr>
          <w:rFonts w:ascii="Times New Roman" w:hAnsi="Times New Roman" w:cs="Times New Roman"/>
          <w:sz w:val="21"/>
          <w:szCs w:val="21"/>
        </w:rPr>
        <w:t>ом</w:t>
      </w:r>
      <w:r w:rsidRPr="002B4100">
        <w:rPr>
          <w:rFonts w:ascii="Times New Roman" w:hAnsi="Times New Roman" w:cs="Times New Roman"/>
          <w:sz w:val="21"/>
          <w:szCs w:val="21"/>
        </w:rPr>
        <w:t xml:space="preserve"> позашлюбними народженнями. Можна припустити, що наявність або відсутність фактичних подружніх відносин без їх реєстрації, певною мірою впливає на форму реєстрації народження: за спільною заявою батьків та за заявою матері. У цьому випадку серед перших відносно часто можуть зустрічатися шлюбні народження (але в тих шлюбах, які не зареєстровані), а серед других – позашлюбні.</w:t>
      </w:r>
    </w:p>
    <w:p w:rsidR="00B233DE" w:rsidRPr="00C924BC" w:rsidRDefault="00B233DE" w:rsidP="00B233DE">
      <w:pPr>
        <w:ind w:firstLine="709"/>
        <w:jc w:val="both"/>
        <w:rPr>
          <w:rFonts w:ascii="Times New Roman" w:hAnsi="Times New Roman" w:cs="Times New Roman"/>
          <w:sz w:val="21"/>
          <w:szCs w:val="21"/>
          <w:highlight w:val="yellow"/>
        </w:rPr>
      </w:pPr>
      <w:r w:rsidRPr="00C924BC">
        <w:rPr>
          <w:rFonts w:ascii="Times New Roman" w:hAnsi="Times New Roman" w:cs="Times New Roman"/>
          <w:sz w:val="21"/>
          <w:szCs w:val="21"/>
        </w:rPr>
        <w:t>Як у Вінницькому регіоні</w:t>
      </w:r>
      <w:r>
        <w:rPr>
          <w:rFonts w:ascii="Times New Roman" w:hAnsi="Times New Roman" w:cs="Times New Roman"/>
          <w:sz w:val="21"/>
          <w:szCs w:val="21"/>
        </w:rPr>
        <w:t>,</w:t>
      </w:r>
      <w:r w:rsidRPr="00C924BC">
        <w:rPr>
          <w:rFonts w:ascii="Times New Roman" w:hAnsi="Times New Roman" w:cs="Times New Roman"/>
          <w:sz w:val="21"/>
          <w:szCs w:val="21"/>
        </w:rPr>
        <w:t xml:space="preserve"> так і в країні в цілому неухильно зростає частка народжених поза зареєстрован</w:t>
      </w:r>
      <w:r>
        <w:rPr>
          <w:rFonts w:ascii="Times New Roman" w:hAnsi="Times New Roman" w:cs="Times New Roman"/>
          <w:sz w:val="21"/>
          <w:szCs w:val="21"/>
        </w:rPr>
        <w:t>им</w:t>
      </w:r>
      <w:r w:rsidRPr="00C924BC">
        <w:rPr>
          <w:rFonts w:ascii="Times New Roman" w:hAnsi="Times New Roman" w:cs="Times New Roman"/>
          <w:sz w:val="21"/>
          <w:szCs w:val="21"/>
        </w:rPr>
        <w:t xml:space="preserve"> шлюб</w:t>
      </w:r>
      <w:r>
        <w:rPr>
          <w:rFonts w:ascii="Times New Roman" w:hAnsi="Times New Roman" w:cs="Times New Roman"/>
          <w:sz w:val="21"/>
          <w:szCs w:val="21"/>
        </w:rPr>
        <w:t>ом</w:t>
      </w:r>
      <w:r w:rsidRPr="00C924BC">
        <w:rPr>
          <w:rFonts w:ascii="Times New Roman" w:hAnsi="Times New Roman" w:cs="Times New Roman"/>
          <w:sz w:val="21"/>
          <w:szCs w:val="21"/>
        </w:rPr>
        <w:t>. Так</w:t>
      </w:r>
      <w:r>
        <w:rPr>
          <w:rFonts w:ascii="Times New Roman" w:hAnsi="Times New Roman" w:cs="Times New Roman"/>
          <w:sz w:val="21"/>
          <w:szCs w:val="21"/>
        </w:rPr>
        <w:t>,</w:t>
      </w:r>
      <w:r w:rsidRPr="00C924BC">
        <w:rPr>
          <w:rFonts w:ascii="Times New Roman" w:hAnsi="Times New Roman" w:cs="Times New Roman"/>
          <w:sz w:val="21"/>
          <w:szCs w:val="21"/>
        </w:rPr>
        <w:t xml:space="preserve"> </w:t>
      </w:r>
      <w:r>
        <w:rPr>
          <w:rFonts w:ascii="Times New Roman" w:hAnsi="Times New Roman" w:cs="Times New Roman"/>
          <w:sz w:val="21"/>
          <w:szCs w:val="21"/>
        </w:rPr>
        <w:t>у</w:t>
      </w:r>
      <w:r w:rsidRPr="00C924BC">
        <w:rPr>
          <w:rFonts w:ascii="Times New Roman" w:hAnsi="Times New Roman" w:cs="Times New Roman"/>
          <w:sz w:val="21"/>
          <w:szCs w:val="21"/>
        </w:rPr>
        <w:t xml:space="preserve"> Вінницькій області в 1995 р. вона становила 12,8</w:t>
      </w:r>
      <w:r>
        <w:rPr>
          <w:rFonts w:ascii="Times New Roman" w:hAnsi="Times New Roman" w:cs="Times New Roman"/>
          <w:sz w:val="21"/>
          <w:szCs w:val="21"/>
        </w:rPr>
        <w:t xml:space="preserve"> </w:t>
      </w:r>
      <w:r w:rsidRPr="00C924BC">
        <w:rPr>
          <w:rFonts w:ascii="Times New Roman" w:hAnsi="Times New Roman" w:cs="Times New Roman"/>
          <w:sz w:val="21"/>
          <w:szCs w:val="21"/>
        </w:rPr>
        <w:t>%, в 2000 р. – 16,4</w:t>
      </w:r>
      <w:r>
        <w:rPr>
          <w:rFonts w:ascii="Times New Roman" w:hAnsi="Times New Roman" w:cs="Times New Roman"/>
          <w:sz w:val="21"/>
          <w:szCs w:val="21"/>
        </w:rPr>
        <w:t xml:space="preserve"> </w:t>
      </w:r>
      <w:r w:rsidRPr="00C924BC">
        <w:rPr>
          <w:rFonts w:ascii="Times New Roman" w:hAnsi="Times New Roman" w:cs="Times New Roman"/>
          <w:sz w:val="21"/>
          <w:szCs w:val="21"/>
        </w:rPr>
        <w:t>%, в 2005 р. – 19,7</w:t>
      </w:r>
      <w:r>
        <w:rPr>
          <w:rFonts w:ascii="Times New Roman" w:hAnsi="Times New Roman" w:cs="Times New Roman"/>
          <w:sz w:val="21"/>
          <w:szCs w:val="21"/>
        </w:rPr>
        <w:t xml:space="preserve"> </w:t>
      </w:r>
      <w:r w:rsidRPr="00C924BC">
        <w:rPr>
          <w:rFonts w:ascii="Times New Roman" w:hAnsi="Times New Roman" w:cs="Times New Roman"/>
          <w:sz w:val="21"/>
          <w:szCs w:val="21"/>
        </w:rPr>
        <w:t>% , у 2010 р. – 19,8</w:t>
      </w:r>
      <w:r>
        <w:rPr>
          <w:rFonts w:ascii="Times New Roman" w:hAnsi="Times New Roman" w:cs="Times New Roman"/>
          <w:sz w:val="21"/>
          <w:szCs w:val="21"/>
        </w:rPr>
        <w:t xml:space="preserve"> </w:t>
      </w:r>
      <w:r w:rsidRPr="00C924BC">
        <w:rPr>
          <w:rFonts w:ascii="Times New Roman" w:hAnsi="Times New Roman" w:cs="Times New Roman"/>
          <w:sz w:val="21"/>
          <w:szCs w:val="21"/>
        </w:rPr>
        <w:t>%, у 2012 р. – 19,1</w:t>
      </w:r>
      <w:r>
        <w:rPr>
          <w:rFonts w:ascii="Times New Roman" w:hAnsi="Times New Roman" w:cs="Times New Roman"/>
          <w:sz w:val="21"/>
          <w:szCs w:val="21"/>
        </w:rPr>
        <w:t xml:space="preserve"> </w:t>
      </w:r>
      <w:r w:rsidRPr="00C924BC">
        <w:rPr>
          <w:rFonts w:ascii="Times New Roman" w:hAnsi="Times New Roman" w:cs="Times New Roman"/>
          <w:sz w:val="21"/>
          <w:szCs w:val="21"/>
        </w:rPr>
        <w:t>%, у 2013 р. – 20,2</w:t>
      </w:r>
      <w:r>
        <w:rPr>
          <w:rFonts w:ascii="Times New Roman" w:hAnsi="Times New Roman" w:cs="Times New Roman"/>
          <w:sz w:val="21"/>
          <w:szCs w:val="21"/>
        </w:rPr>
        <w:t xml:space="preserve"> </w:t>
      </w:r>
      <w:r w:rsidRPr="00C924BC">
        <w:rPr>
          <w:rFonts w:ascii="Times New Roman" w:hAnsi="Times New Roman" w:cs="Times New Roman"/>
          <w:sz w:val="21"/>
          <w:szCs w:val="21"/>
        </w:rPr>
        <w:t xml:space="preserve">%, у 2014 </w:t>
      </w:r>
      <w:r>
        <w:rPr>
          <w:rFonts w:ascii="Times New Roman" w:hAnsi="Times New Roman" w:cs="Times New Roman"/>
          <w:sz w:val="21"/>
          <w:szCs w:val="21"/>
        </w:rPr>
        <w:t>–</w:t>
      </w:r>
      <w:r w:rsidRPr="00C924BC">
        <w:rPr>
          <w:rFonts w:ascii="Times New Roman" w:hAnsi="Times New Roman" w:cs="Times New Roman"/>
          <w:sz w:val="21"/>
          <w:szCs w:val="21"/>
        </w:rPr>
        <w:t xml:space="preserve"> 19,9</w:t>
      </w:r>
      <w:r>
        <w:rPr>
          <w:rFonts w:ascii="Times New Roman" w:hAnsi="Times New Roman" w:cs="Times New Roman"/>
          <w:sz w:val="21"/>
          <w:szCs w:val="21"/>
        </w:rPr>
        <w:t xml:space="preserve"> %.</w:t>
      </w:r>
      <w:r w:rsidRPr="00C924BC">
        <w:rPr>
          <w:rFonts w:ascii="Times New Roman" w:hAnsi="Times New Roman" w:cs="Times New Roman"/>
          <w:sz w:val="21"/>
          <w:szCs w:val="21"/>
        </w:rPr>
        <w:t xml:space="preserve"> Більш того, починаючи з 1995 р., майже постійно збільшується і абсолютне число цих народжень. </w:t>
      </w:r>
    </w:p>
    <w:p w:rsidR="00B233DE" w:rsidRPr="00C924BC" w:rsidRDefault="00B233DE" w:rsidP="00B233DE">
      <w:pPr>
        <w:ind w:firstLine="709"/>
        <w:jc w:val="both"/>
        <w:rPr>
          <w:rFonts w:ascii="Times New Roman" w:hAnsi="Times New Roman" w:cs="Times New Roman"/>
          <w:sz w:val="21"/>
          <w:szCs w:val="21"/>
          <w:highlight w:val="yellow"/>
        </w:rPr>
      </w:pPr>
      <w:r w:rsidRPr="00C924BC">
        <w:rPr>
          <w:rFonts w:ascii="Times New Roman" w:hAnsi="Times New Roman" w:cs="Times New Roman"/>
          <w:sz w:val="21"/>
          <w:szCs w:val="21"/>
        </w:rPr>
        <w:t>Найчастіше народження поза зареєстрован</w:t>
      </w:r>
      <w:r>
        <w:rPr>
          <w:rFonts w:ascii="Times New Roman" w:hAnsi="Times New Roman" w:cs="Times New Roman"/>
          <w:sz w:val="21"/>
          <w:szCs w:val="21"/>
        </w:rPr>
        <w:t>им</w:t>
      </w:r>
      <w:r w:rsidRPr="00C924BC">
        <w:rPr>
          <w:rFonts w:ascii="Times New Roman" w:hAnsi="Times New Roman" w:cs="Times New Roman"/>
          <w:sz w:val="21"/>
          <w:szCs w:val="21"/>
        </w:rPr>
        <w:t xml:space="preserve"> шлюб</w:t>
      </w:r>
      <w:r>
        <w:rPr>
          <w:rFonts w:ascii="Times New Roman" w:hAnsi="Times New Roman" w:cs="Times New Roman"/>
          <w:sz w:val="21"/>
          <w:szCs w:val="21"/>
        </w:rPr>
        <w:t>ом</w:t>
      </w:r>
      <w:r w:rsidRPr="00C924BC">
        <w:rPr>
          <w:rFonts w:ascii="Times New Roman" w:hAnsi="Times New Roman" w:cs="Times New Roman"/>
          <w:sz w:val="21"/>
          <w:szCs w:val="21"/>
        </w:rPr>
        <w:t xml:space="preserve"> відбуваються у жінок старше 25 років (у 2013 р. – 5,4</w:t>
      </w:r>
      <w:r>
        <w:rPr>
          <w:rFonts w:ascii="Times New Roman" w:hAnsi="Times New Roman" w:cs="Times New Roman"/>
          <w:sz w:val="21"/>
          <w:szCs w:val="21"/>
        </w:rPr>
        <w:t xml:space="preserve"> </w:t>
      </w:r>
      <w:r w:rsidRPr="00C924BC">
        <w:rPr>
          <w:rFonts w:ascii="Times New Roman" w:hAnsi="Times New Roman" w:cs="Times New Roman"/>
          <w:sz w:val="21"/>
          <w:szCs w:val="21"/>
        </w:rPr>
        <w:t>%). Інший пік припадає на: 20</w:t>
      </w:r>
      <w:r>
        <w:rPr>
          <w:rFonts w:ascii="Times New Roman" w:hAnsi="Times New Roman" w:cs="Times New Roman"/>
          <w:sz w:val="21"/>
          <w:szCs w:val="21"/>
        </w:rPr>
        <w:t>–</w:t>
      </w:r>
      <w:r w:rsidRPr="00C924BC">
        <w:rPr>
          <w:rFonts w:ascii="Times New Roman" w:hAnsi="Times New Roman" w:cs="Times New Roman"/>
          <w:sz w:val="21"/>
          <w:szCs w:val="21"/>
        </w:rPr>
        <w:t>24 (5,1</w:t>
      </w:r>
      <w:r>
        <w:rPr>
          <w:rFonts w:ascii="Times New Roman" w:hAnsi="Times New Roman" w:cs="Times New Roman"/>
          <w:sz w:val="21"/>
          <w:szCs w:val="21"/>
        </w:rPr>
        <w:t xml:space="preserve"> </w:t>
      </w:r>
      <w:r w:rsidRPr="00C924BC">
        <w:rPr>
          <w:rFonts w:ascii="Times New Roman" w:hAnsi="Times New Roman" w:cs="Times New Roman"/>
          <w:sz w:val="21"/>
          <w:szCs w:val="21"/>
        </w:rPr>
        <w:t>%), 30</w:t>
      </w:r>
      <w:r>
        <w:rPr>
          <w:rFonts w:ascii="Times New Roman" w:hAnsi="Times New Roman" w:cs="Times New Roman"/>
          <w:sz w:val="21"/>
          <w:szCs w:val="21"/>
        </w:rPr>
        <w:t>–</w:t>
      </w:r>
      <w:r w:rsidRPr="00C924BC">
        <w:rPr>
          <w:rFonts w:ascii="Times New Roman" w:hAnsi="Times New Roman" w:cs="Times New Roman"/>
          <w:sz w:val="21"/>
          <w:szCs w:val="21"/>
        </w:rPr>
        <w:t>34 (3,9</w:t>
      </w:r>
      <w:r>
        <w:rPr>
          <w:rFonts w:ascii="Times New Roman" w:hAnsi="Times New Roman" w:cs="Times New Roman"/>
          <w:sz w:val="21"/>
          <w:szCs w:val="21"/>
        </w:rPr>
        <w:t xml:space="preserve"> </w:t>
      </w:r>
      <w:r w:rsidRPr="00C924BC">
        <w:rPr>
          <w:rFonts w:ascii="Times New Roman" w:hAnsi="Times New Roman" w:cs="Times New Roman"/>
          <w:sz w:val="21"/>
          <w:szCs w:val="21"/>
        </w:rPr>
        <w:t xml:space="preserve">%). На відміну від молодшої вікової групи, більшість цих народжень реєструються за спільною заявою батьків. </w:t>
      </w:r>
    </w:p>
    <w:p w:rsidR="00B233DE" w:rsidRDefault="00B233DE" w:rsidP="00B233DE">
      <w:pPr>
        <w:ind w:firstLine="709"/>
        <w:jc w:val="both"/>
        <w:rPr>
          <w:rFonts w:ascii="Times New Roman" w:hAnsi="Times New Roman" w:cs="Times New Roman"/>
          <w:sz w:val="21"/>
          <w:szCs w:val="21"/>
        </w:rPr>
      </w:pPr>
      <w:r w:rsidRPr="00C924BC">
        <w:rPr>
          <w:rFonts w:ascii="Times New Roman" w:hAnsi="Times New Roman" w:cs="Times New Roman"/>
          <w:sz w:val="21"/>
          <w:szCs w:val="21"/>
        </w:rPr>
        <w:t>Показники шлюбної народжуваності вище, ніж народжуваності поза зареєстрован</w:t>
      </w:r>
      <w:r>
        <w:rPr>
          <w:rFonts w:ascii="Times New Roman" w:hAnsi="Times New Roman" w:cs="Times New Roman"/>
          <w:sz w:val="21"/>
          <w:szCs w:val="21"/>
        </w:rPr>
        <w:t>им</w:t>
      </w:r>
      <w:r w:rsidRPr="00C924BC">
        <w:rPr>
          <w:rFonts w:ascii="Times New Roman" w:hAnsi="Times New Roman" w:cs="Times New Roman"/>
          <w:sz w:val="21"/>
          <w:szCs w:val="21"/>
        </w:rPr>
        <w:t xml:space="preserve"> шлюб</w:t>
      </w:r>
      <w:r>
        <w:rPr>
          <w:rFonts w:ascii="Times New Roman" w:hAnsi="Times New Roman" w:cs="Times New Roman"/>
          <w:sz w:val="21"/>
          <w:szCs w:val="21"/>
        </w:rPr>
        <w:t>ом</w:t>
      </w:r>
      <w:r w:rsidRPr="00C924BC">
        <w:rPr>
          <w:rFonts w:ascii="Times New Roman" w:hAnsi="Times New Roman" w:cs="Times New Roman"/>
          <w:sz w:val="21"/>
          <w:szCs w:val="21"/>
        </w:rPr>
        <w:t xml:space="preserve"> у всіх вікових групах жінок аж до 49 років. Однак при переході до більш старших вікових </w:t>
      </w:r>
      <w:r>
        <w:rPr>
          <w:rFonts w:ascii="Times New Roman" w:hAnsi="Times New Roman" w:cs="Times New Roman"/>
          <w:sz w:val="21"/>
          <w:szCs w:val="21"/>
        </w:rPr>
        <w:t xml:space="preserve">груп </w:t>
      </w:r>
      <w:r w:rsidRPr="00C924BC">
        <w:rPr>
          <w:rFonts w:ascii="Times New Roman" w:hAnsi="Times New Roman" w:cs="Times New Roman"/>
          <w:sz w:val="21"/>
          <w:szCs w:val="21"/>
        </w:rPr>
        <w:t>вони поступово зближуються. Але найближчі показники народжуваності в зареєстрованому шлюбі й поза ним в 15</w:t>
      </w:r>
      <w:r>
        <w:rPr>
          <w:rFonts w:ascii="Times New Roman" w:hAnsi="Times New Roman" w:cs="Times New Roman"/>
          <w:sz w:val="21"/>
          <w:szCs w:val="21"/>
        </w:rPr>
        <w:t>–</w:t>
      </w:r>
      <w:r w:rsidRPr="00C924BC">
        <w:rPr>
          <w:rFonts w:ascii="Times New Roman" w:hAnsi="Times New Roman" w:cs="Times New Roman"/>
          <w:sz w:val="21"/>
          <w:szCs w:val="21"/>
        </w:rPr>
        <w:t>19 віковій групі, рівень шлюбної народжуваності більше, ніж позашлюбної лише у 1,63 рази, у віковій групі 20</w:t>
      </w:r>
      <w:r>
        <w:rPr>
          <w:rFonts w:ascii="Times New Roman" w:hAnsi="Times New Roman" w:cs="Times New Roman"/>
          <w:sz w:val="21"/>
          <w:szCs w:val="21"/>
        </w:rPr>
        <w:t>–</w:t>
      </w:r>
      <w:r w:rsidRPr="00C924BC">
        <w:rPr>
          <w:rFonts w:ascii="Times New Roman" w:hAnsi="Times New Roman" w:cs="Times New Roman"/>
          <w:sz w:val="21"/>
          <w:szCs w:val="21"/>
        </w:rPr>
        <w:t>24 роки – в 5,2 рази, в 25</w:t>
      </w:r>
      <w:r>
        <w:rPr>
          <w:rFonts w:ascii="Times New Roman" w:hAnsi="Times New Roman" w:cs="Times New Roman"/>
          <w:sz w:val="21"/>
          <w:szCs w:val="21"/>
        </w:rPr>
        <w:t>–</w:t>
      </w:r>
      <w:r w:rsidRPr="00C924BC">
        <w:rPr>
          <w:rFonts w:ascii="Times New Roman" w:hAnsi="Times New Roman" w:cs="Times New Roman"/>
          <w:sz w:val="21"/>
          <w:szCs w:val="21"/>
        </w:rPr>
        <w:t>2</w:t>
      </w:r>
      <w:r>
        <w:rPr>
          <w:rFonts w:ascii="Times New Roman" w:hAnsi="Times New Roman" w:cs="Times New Roman"/>
          <w:sz w:val="21"/>
          <w:szCs w:val="21"/>
        </w:rPr>
        <w:t>9 років – в 5,1 раз</w:t>
      </w:r>
      <w:r w:rsidRPr="00C924BC">
        <w:rPr>
          <w:rFonts w:ascii="Times New Roman" w:hAnsi="Times New Roman" w:cs="Times New Roman"/>
          <w:sz w:val="21"/>
          <w:szCs w:val="21"/>
        </w:rPr>
        <w:t>, в 30</w:t>
      </w:r>
      <w:r>
        <w:rPr>
          <w:rFonts w:ascii="Times New Roman" w:hAnsi="Times New Roman" w:cs="Times New Roman"/>
          <w:sz w:val="21"/>
          <w:szCs w:val="21"/>
        </w:rPr>
        <w:t>–</w:t>
      </w:r>
      <w:r w:rsidRPr="00C924BC">
        <w:rPr>
          <w:rFonts w:ascii="Times New Roman" w:hAnsi="Times New Roman" w:cs="Times New Roman"/>
          <w:sz w:val="21"/>
          <w:szCs w:val="21"/>
        </w:rPr>
        <w:t>34 року – в 3,8 рази, в 35</w:t>
      </w:r>
      <w:r>
        <w:rPr>
          <w:rFonts w:ascii="Times New Roman" w:hAnsi="Times New Roman" w:cs="Times New Roman"/>
          <w:sz w:val="21"/>
          <w:szCs w:val="21"/>
        </w:rPr>
        <w:t>–</w:t>
      </w:r>
      <w:r w:rsidRPr="00C924BC">
        <w:rPr>
          <w:rFonts w:ascii="Times New Roman" w:hAnsi="Times New Roman" w:cs="Times New Roman"/>
          <w:sz w:val="21"/>
          <w:szCs w:val="21"/>
        </w:rPr>
        <w:t>39 років – в 2,3 рази. Максимальний рівень шлюбної і позашлюбної народжуваності має місце у віковій групі 25</w:t>
      </w:r>
      <w:r>
        <w:rPr>
          <w:rFonts w:ascii="Times New Roman" w:hAnsi="Times New Roman" w:cs="Times New Roman"/>
          <w:sz w:val="21"/>
          <w:szCs w:val="21"/>
        </w:rPr>
        <w:t>–</w:t>
      </w:r>
      <w:r w:rsidRPr="00C924BC">
        <w:rPr>
          <w:rFonts w:ascii="Times New Roman" w:hAnsi="Times New Roman" w:cs="Times New Roman"/>
          <w:sz w:val="21"/>
          <w:szCs w:val="21"/>
        </w:rPr>
        <w:t>29 років.</w:t>
      </w:r>
    </w:p>
    <w:p w:rsidR="00B233DE" w:rsidRPr="00E97FE4" w:rsidRDefault="00B233DE" w:rsidP="00B233DE">
      <w:pPr>
        <w:ind w:firstLine="709"/>
        <w:jc w:val="both"/>
        <w:rPr>
          <w:rFonts w:ascii="Times New Roman" w:hAnsi="Times New Roman" w:cs="Times New Roman"/>
          <w:sz w:val="21"/>
          <w:szCs w:val="21"/>
          <w:highlight w:val="yellow"/>
        </w:rPr>
      </w:pPr>
      <w:r w:rsidRPr="00E97FE4">
        <w:rPr>
          <w:rFonts w:ascii="Times New Roman" w:hAnsi="Times New Roman" w:cs="Times New Roman"/>
          <w:sz w:val="21"/>
          <w:szCs w:val="21"/>
        </w:rPr>
        <w:t>Смертність – процес вимирання покоління, що складається з безлічі одиничних смертей, що наступають в різному віці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_Ref435781236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17</w:t>
      </w:r>
      <w:r>
        <w:rPr>
          <w:rFonts w:ascii="Times New Roman" w:hAnsi="Times New Roman"/>
          <w:sz w:val="21"/>
          <w:szCs w:val="21"/>
          <w:highlight w:val="yellow"/>
        </w:rPr>
        <w:fldChar w:fldCharType="end"/>
      </w:r>
      <w:r w:rsidRPr="00E97FE4">
        <w:rPr>
          <w:rFonts w:ascii="Times New Roman" w:hAnsi="Times New Roman" w:cs="Times New Roman"/>
          <w:sz w:val="21"/>
          <w:szCs w:val="21"/>
        </w:rPr>
        <w:t xml:space="preserve">]. Сукупність смертей визначає порядок вимирання реального або </w:t>
      </w:r>
      <w:r w:rsidRPr="00E97FE4">
        <w:rPr>
          <w:rFonts w:ascii="Times New Roman" w:hAnsi="Times New Roman" w:cs="Times New Roman"/>
          <w:sz w:val="21"/>
          <w:szCs w:val="21"/>
        </w:rPr>
        <w:lastRenderedPageBreak/>
        <w:t>гіпотетичного покоління. Статистика смертей, як і взагалі аналіз смертності, необхідна і для цілей демографічних досліджень, і для органів охорони здоров’я та соціальної політики.</w:t>
      </w:r>
    </w:p>
    <w:p w:rsidR="00B233DE" w:rsidRPr="00C924BC" w:rsidRDefault="00B233DE" w:rsidP="00B233DE">
      <w:pPr>
        <w:ind w:firstLine="709"/>
        <w:jc w:val="both"/>
        <w:rPr>
          <w:rFonts w:ascii="Times New Roman" w:hAnsi="Times New Roman" w:cs="Times New Roman"/>
          <w:sz w:val="21"/>
          <w:szCs w:val="21"/>
        </w:rPr>
      </w:pPr>
      <w:r w:rsidRPr="00C924BC">
        <w:rPr>
          <w:rFonts w:ascii="Times New Roman" w:hAnsi="Times New Roman" w:cs="Times New Roman"/>
          <w:sz w:val="21"/>
          <w:szCs w:val="21"/>
        </w:rPr>
        <w:t>Для вимірювання рівня смертності використовується система показників. Найпершим з них є абсолютне число смертей. Однак цей показник</w:t>
      </w:r>
      <w:r>
        <w:rPr>
          <w:rFonts w:ascii="Times New Roman" w:hAnsi="Times New Roman" w:cs="Times New Roman"/>
          <w:sz w:val="21"/>
          <w:szCs w:val="21"/>
        </w:rPr>
        <w:t>,</w:t>
      </w:r>
      <w:r w:rsidRPr="00C924BC">
        <w:rPr>
          <w:rFonts w:ascii="Times New Roman" w:hAnsi="Times New Roman" w:cs="Times New Roman"/>
          <w:sz w:val="21"/>
          <w:szCs w:val="21"/>
        </w:rPr>
        <w:t xml:space="preserve"> подібн</w:t>
      </w:r>
      <w:r>
        <w:rPr>
          <w:rFonts w:ascii="Times New Roman" w:hAnsi="Times New Roman" w:cs="Times New Roman"/>
          <w:sz w:val="21"/>
          <w:szCs w:val="21"/>
        </w:rPr>
        <w:t>о до всіх абсолютних демографічних показників</w:t>
      </w:r>
      <w:r w:rsidRPr="00C924BC">
        <w:rPr>
          <w:rFonts w:ascii="Times New Roman" w:hAnsi="Times New Roman" w:cs="Times New Roman"/>
          <w:sz w:val="21"/>
          <w:szCs w:val="21"/>
        </w:rPr>
        <w:t xml:space="preserve"> сильно залежить від загальної чисельності населення, його структури, перш за все віково-статевої.</w:t>
      </w:r>
    </w:p>
    <w:p w:rsidR="00B233DE" w:rsidRDefault="00B233DE" w:rsidP="00B233DE">
      <w:pPr>
        <w:ind w:firstLine="709"/>
        <w:jc w:val="both"/>
        <w:rPr>
          <w:rFonts w:ascii="Times New Roman" w:hAnsi="Times New Roman" w:cs="Times New Roman"/>
          <w:sz w:val="21"/>
          <w:szCs w:val="21"/>
        </w:rPr>
      </w:pPr>
      <w:r w:rsidRPr="00C924BC">
        <w:rPr>
          <w:rFonts w:ascii="Times New Roman" w:hAnsi="Times New Roman" w:cs="Times New Roman"/>
          <w:sz w:val="21"/>
          <w:szCs w:val="21"/>
        </w:rPr>
        <w:t>Першим відносним показником рівня смертності є загальний коефіцієнт смертності. Він дорівнює відношенню числа випадків смерті за період часу до загального числа людино-років, прожитих населенням за цей період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_Ref435781262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23</w:t>
      </w:r>
      <w:r>
        <w:rPr>
          <w:rFonts w:ascii="Times New Roman" w:hAnsi="Times New Roman"/>
          <w:sz w:val="21"/>
          <w:szCs w:val="21"/>
          <w:highlight w:val="yellow"/>
        </w:rPr>
        <w:fldChar w:fldCharType="end"/>
      </w:r>
      <w:r w:rsidRPr="00C924BC">
        <w:rPr>
          <w:rFonts w:ascii="Times New Roman" w:hAnsi="Times New Roman" w:cs="Times New Roman"/>
          <w:sz w:val="21"/>
          <w:szCs w:val="21"/>
        </w:rPr>
        <w:t>, с. 202]:</w:t>
      </w:r>
    </w:p>
    <w:p w:rsidR="00B233DE" w:rsidRPr="00C924BC" w:rsidRDefault="00B233DE" w:rsidP="00B233DE">
      <w:pPr>
        <w:ind w:firstLine="709"/>
        <w:jc w:val="both"/>
        <w:rPr>
          <w:rFonts w:ascii="Times New Roman" w:hAnsi="Times New Roman" w:cs="Times New Roman"/>
          <w:sz w:val="21"/>
          <w:szCs w:val="21"/>
        </w:rPr>
      </w:pPr>
    </w:p>
    <w:p w:rsidR="00B233DE" w:rsidRPr="00C924BC" w:rsidRDefault="00B233DE" w:rsidP="00B233DE">
      <w:pPr>
        <w:ind w:firstLine="709"/>
        <w:jc w:val="center"/>
        <w:rPr>
          <w:rFonts w:ascii="Times New Roman" w:hAnsi="Times New Roman" w:cs="Times New Roman"/>
          <w:sz w:val="21"/>
          <w:szCs w:val="21"/>
        </w:rPr>
      </w:pPr>
      <w:r>
        <w:rPr>
          <w:rFonts w:ascii="Times New Roman" w:hAnsi="Times New Roman" w:cs="Times New Roman"/>
          <w:sz w:val="21"/>
          <w:szCs w:val="21"/>
        </w:rPr>
        <w:t xml:space="preserve">                                      </w:t>
      </w:r>
      <m:oMath>
        <m:r>
          <m:rPr>
            <m:scr m:val="script"/>
            <m:sty m:val="p"/>
          </m:rPr>
          <w:rPr>
            <w:rFonts w:ascii="Cambria Math" w:hAnsi="Cambria Math" w:cs="Times New Roman"/>
            <w:sz w:val="21"/>
            <w:szCs w:val="21"/>
          </w:rPr>
          <m:t xml:space="preserve">m= </m:t>
        </m:r>
        <m:f>
          <m:fPr>
            <m:ctrlPr>
              <w:rPr>
                <w:rFonts w:ascii="Cambria Math" w:hAnsi="Cambria Math" w:cs="Times New Roman"/>
                <w:sz w:val="21"/>
                <w:szCs w:val="21"/>
              </w:rPr>
            </m:ctrlPr>
          </m:fPr>
          <m:num>
            <m:r>
              <m:rPr>
                <m:scr m:val="script"/>
                <m:sty m:val="p"/>
              </m:rPr>
              <w:rPr>
                <w:rFonts w:ascii="Cambria Math" w:hAnsi="Cambria Math" w:cs="Times New Roman"/>
                <w:sz w:val="21"/>
                <w:szCs w:val="21"/>
              </w:rPr>
              <m:t>M</m:t>
            </m:r>
          </m:num>
          <m:den>
            <m:acc>
              <m:accPr>
                <m:chr m:val="̅"/>
                <m:ctrlPr>
                  <w:rPr>
                    <w:rFonts w:ascii="Cambria Math" w:hAnsi="Cambria Math" w:cs="Times New Roman"/>
                    <w:sz w:val="21"/>
                    <w:szCs w:val="21"/>
                  </w:rPr>
                </m:ctrlPr>
              </m:accPr>
              <m:e>
                <m:r>
                  <m:rPr>
                    <m:scr m:val="script"/>
                    <m:sty m:val="p"/>
                  </m:rPr>
                  <w:rPr>
                    <w:rFonts w:ascii="Cambria Math" w:hAnsi="Cambria Math" w:cs="Times New Roman"/>
                    <w:sz w:val="21"/>
                    <w:szCs w:val="21"/>
                  </w:rPr>
                  <m:t>S</m:t>
                </m:r>
              </m:e>
            </m:acc>
          </m:den>
        </m:f>
        <m:r>
          <m:rPr>
            <m:sty m:val="p"/>
          </m:rPr>
          <w:rPr>
            <w:rFonts w:ascii="Cambria Math" w:hAnsi="Cambria Math" w:cs="Times New Roman"/>
            <w:sz w:val="21"/>
            <w:szCs w:val="21"/>
          </w:rPr>
          <m:t>∙1000</m:t>
        </m:r>
      </m:oMath>
      <w:r w:rsidRPr="00C924BC">
        <w:rPr>
          <w:rFonts w:ascii="Times New Roman" w:hAnsi="Times New Roman" w:cs="Times New Roman"/>
          <w:sz w:val="21"/>
          <w:szCs w:val="21"/>
        </w:rPr>
        <w:fldChar w:fldCharType="begin"/>
      </w:r>
      <w:r w:rsidRPr="00C924BC">
        <w:rPr>
          <w:rFonts w:ascii="Times New Roman" w:hAnsi="Times New Roman" w:cs="Times New Roman"/>
          <w:sz w:val="21"/>
          <w:szCs w:val="21"/>
        </w:rPr>
        <w:instrText xml:space="preserve"> QUOTE </w:instrText>
      </w:r>
      <w:r w:rsidRPr="00C924BC">
        <w:rPr>
          <w:rFonts w:ascii="Times New Roman" w:hAnsi="Times New Roman" w:cs="Times New Roman"/>
          <w:noProof/>
          <w:sz w:val="21"/>
          <w:szCs w:val="21"/>
          <w:lang w:val="ru-RU" w:eastAsia="ru-RU"/>
        </w:rPr>
        <w:drawing>
          <wp:inline distT="0" distB="0" distL="0" distR="0" wp14:anchorId="1B583EC6" wp14:editId="236CF96A">
            <wp:extent cx="2305050" cy="80010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3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305050" cy="800100"/>
                    </a:xfrm>
                    <a:prstGeom prst="rect">
                      <a:avLst/>
                    </a:prstGeom>
                    <a:noFill/>
                    <a:ln>
                      <a:noFill/>
                    </a:ln>
                  </pic:spPr>
                </pic:pic>
              </a:graphicData>
            </a:graphic>
          </wp:inline>
        </w:drawing>
      </w:r>
      <w:r w:rsidRPr="00C924BC">
        <w:rPr>
          <w:rFonts w:ascii="Times New Roman" w:hAnsi="Times New Roman" w:cs="Times New Roman"/>
          <w:sz w:val="21"/>
          <w:szCs w:val="21"/>
        </w:rPr>
        <w:instrText xml:space="preserve"> </w:instrText>
      </w:r>
      <w:r w:rsidRPr="00C924BC">
        <w:rPr>
          <w:rFonts w:ascii="Times New Roman" w:hAnsi="Times New Roman" w:cs="Times New Roman"/>
          <w:sz w:val="21"/>
          <w:szCs w:val="21"/>
        </w:rPr>
        <w:fldChar w:fldCharType="end"/>
      </w:r>
      <w:r>
        <w:rPr>
          <w:rFonts w:ascii="Times New Roman" w:hAnsi="Times New Roman" w:cs="Times New Roman"/>
          <w:sz w:val="21"/>
          <w:szCs w:val="21"/>
        </w:rPr>
        <w:t>,                             (2.13</w:t>
      </w:r>
      <w:r w:rsidRPr="00C924BC">
        <w:rPr>
          <w:rFonts w:ascii="Times New Roman" w:hAnsi="Times New Roman" w:cs="Times New Roman"/>
          <w:sz w:val="21"/>
          <w:szCs w:val="21"/>
        </w:rPr>
        <w:t>)</w:t>
      </w:r>
    </w:p>
    <w:p w:rsidR="00B233DE" w:rsidRPr="00C924BC" w:rsidRDefault="00B233DE" w:rsidP="00B233DE">
      <w:pPr>
        <w:ind w:firstLine="709"/>
        <w:jc w:val="both"/>
        <w:rPr>
          <w:rFonts w:ascii="Times New Roman" w:hAnsi="Times New Roman" w:cs="Times New Roman"/>
          <w:sz w:val="21"/>
          <w:szCs w:val="21"/>
          <w:highlight w:val="yellow"/>
        </w:rPr>
      </w:pPr>
    </w:p>
    <w:p w:rsidR="00B233DE" w:rsidRPr="00C924BC" w:rsidRDefault="00B233DE" w:rsidP="00B233DE">
      <w:pPr>
        <w:ind w:firstLine="709"/>
        <w:jc w:val="both"/>
        <w:rPr>
          <w:rFonts w:ascii="Times New Roman" w:hAnsi="Times New Roman" w:cs="Times New Roman"/>
          <w:sz w:val="21"/>
          <w:szCs w:val="21"/>
        </w:rPr>
      </w:pPr>
      <w:r w:rsidRPr="00C924BC">
        <w:rPr>
          <w:rFonts w:ascii="Times New Roman" w:hAnsi="Times New Roman" w:cs="Times New Roman"/>
          <w:sz w:val="21"/>
          <w:szCs w:val="21"/>
        </w:rPr>
        <w:t>де</w:t>
      </w:r>
      <m:oMath>
        <m:r>
          <m:rPr>
            <m:scr m:val="script"/>
            <m:sty m:val="p"/>
          </m:rPr>
          <w:rPr>
            <w:rFonts w:ascii="Cambria Math" w:hAnsi="Cambria Math" w:cs="Times New Roman"/>
            <w:sz w:val="21"/>
            <w:szCs w:val="21"/>
          </w:rPr>
          <m:t>:  m</m:t>
        </m:r>
      </m:oMath>
      <w:r w:rsidRPr="00C924BC">
        <w:rPr>
          <w:rFonts w:ascii="Times New Roman" w:hAnsi="Times New Roman" w:cs="Times New Roman"/>
          <w:sz w:val="21"/>
          <w:szCs w:val="21"/>
        </w:rPr>
        <w:t xml:space="preserve"> – загальний коефіцієнт смертності, ‰;</w:t>
      </w:r>
    </w:p>
    <w:p w:rsidR="00B233DE" w:rsidRPr="00C924BC" w:rsidRDefault="00B233DE" w:rsidP="00B233DE">
      <w:pPr>
        <w:ind w:firstLine="709"/>
        <w:jc w:val="both"/>
        <w:rPr>
          <w:rFonts w:ascii="Times New Roman" w:hAnsi="Times New Roman" w:cs="Times New Roman"/>
          <w:sz w:val="21"/>
          <w:szCs w:val="21"/>
        </w:rPr>
      </w:pPr>
      <m:oMath>
        <m:r>
          <m:rPr>
            <m:scr m:val="script"/>
            <m:sty m:val="p"/>
          </m:rPr>
          <w:rPr>
            <w:rFonts w:ascii="Cambria Math" w:hAnsi="Cambria Math" w:cs="Times New Roman"/>
            <w:sz w:val="21"/>
            <w:szCs w:val="21"/>
          </w:rPr>
          <m:t>M</m:t>
        </m:r>
      </m:oMath>
      <w:r w:rsidRPr="00C924BC">
        <w:rPr>
          <w:rFonts w:ascii="Times New Roman" w:hAnsi="Times New Roman" w:cs="Times New Roman"/>
          <w:sz w:val="21"/>
          <w:szCs w:val="21"/>
        </w:rPr>
        <w:t xml:space="preserve"> – кількість померлих, осіб;</w:t>
      </w:r>
    </w:p>
    <w:p w:rsidR="00B233DE" w:rsidRPr="00C924BC" w:rsidRDefault="00B233DE" w:rsidP="00B233DE">
      <w:pPr>
        <w:ind w:firstLine="709"/>
        <w:jc w:val="both"/>
        <w:rPr>
          <w:rFonts w:ascii="Times New Roman" w:hAnsi="Times New Roman" w:cs="Times New Roman"/>
          <w:sz w:val="21"/>
          <w:szCs w:val="21"/>
        </w:rPr>
      </w:pPr>
      <w:r w:rsidRPr="00C924BC">
        <w:rPr>
          <w:rFonts w:ascii="Times New Roman" w:hAnsi="Times New Roman" w:cs="Times New Roman"/>
          <w:sz w:val="21"/>
          <w:szCs w:val="21"/>
        </w:rPr>
        <w:fldChar w:fldCharType="begin"/>
      </w:r>
      <w:r w:rsidRPr="00C924BC">
        <w:rPr>
          <w:rFonts w:ascii="Times New Roman" w:hAnsi="Times New Roman" w:cs="Times New Roman"/>
          <w:sz w:val="21"/>
          <w:szCs w:val="21"/>
        </w:rPr>
        <w:instrText xml:space="preserve"> QUOTE </w:instrText>
      </w:r>
      <w:r w:rsidRPr="00C924BC">
        <w:rPr>
          <w:rFonts w:ascii="Times New Roman" w:hAnsi="Times New Roman" w:cs="Times New Roman"/>
          <w:noProof/>
          <w:sz w:val="21"/>
          <w:szCs w:val="21"/>
          <w:lang w:val="ru-RU" w:eastAsia="ru-RU"/>
        </w:rPr>
        <w:drawing>
          <wp:inline distT="0" distB="0" distL="0" distR="0" wp14:anchorId="26A915ED" wp14:editId="3FBAE456">
            <wp:extent cx="104775" cy="180975"/>
            <wp:effectExtent l="0" t="0" r="9525" b="952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3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04775" cy="180975"/>
                    </a:xfrm>
                    <a:prstGeom prst="rect">
                      <a:avLst/>
                    </a:prstGeom>
                    <a:noFill/>
                    <a:ln>
                      <a:noFill/>
                    </a:ln>
                  </pic:spPr>
                </pic:pic>
              </a:graphicData>
            </a:graphic>
          </wp:inline>
        </w:drawing>
      </w:r>
      <w:r w:rsidRPr="00C924BC">
        <w:rPr>
          <w:rFonts w:ascii="Times New Roman" w:hAnsi="Times New Roman" w:cs="Times New Roman"/>
          <w:sz w:val="21"/>
          <w:szCs w:val="21"/>
        </w:rPr>
        <w:instrText xml:space="preserve"> </w:instrText>
      </w:r>
      <w:r w:rsidRPr="00C924BC">
        <w:rPr>
          <w:rFonts w:ascii="Times New Roman" w:hAnsi="Times New Roman" w:cs="Times New Roman"/>
          <w:sz w:val="21"/>
          <w:szCs w:val="21"/>
        </w:rPr>
        <w:fldChar w:fldCharType="separate"/>
      </w:r>
      <w:r w:rsidRPr="00C924BC">
        <w:rPr>
          <w:rFonts w:ascii="Times New Roman" w:hAnsi="Times New Roman" w:cs="Times New Roman"/>
          <w:noProof/>
          <w:sz w:val="21"/>
          <w:szCs w:val="21"/>
          <w:lang w:val="ru-RU" w:eastAsia="ru-RU"/>
        </w:rPr>
        <w:drawing>
          <wp:inline distT="0" distB="0" distL="0" distR="0" wp14:anchorId="7FD69CC4" wp14:editId="67491020">
            <wp:extent cx="104775" cy="180975"/>
            <wp:effectExtent l="0" t="0" r="9525" b="9525"/>
            <wp:docPr id="264" name="Рисунок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3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04775" cy="180975"/>
                    </a:xfrm>
                    <a:prstGeom prst="rect">
                      <a:avLst/>
                    </a:prstGeom>
                    <a:noFill/>
                    <a:ln>
                      <a:noFill/>
                    </a:ln>
                  </pic:spPr>
                </pic:pic>
              </a:graphicData>
            </a:graphic>
          </wp:inline>
        </w:drawing>
      </w:r>
      <w:r w:rsidRPr="00C924BC">
        <w:rPr>
          <w:rFonts w:ascii="Times New Roman" w:hAnsi="Times New Roman" w:cs="Times New Roman"/>
          <w:sz w:val="21"/>
          <w:szCs w:val="21"/>
        </w:rPr>
        <w:fldChar w:fldCharType="end"/>
      </w:r>
      <w:r w:rsidRPr="00C924BC">
        <w:rPr>
          <w:rFonts w:ascii="Times New Roman" w:hAnsi="Times New Roman" w:cs="Times New Roman"/>
          <w:sz w:val="21"/>
          <w:szCs w:val="21"/>
        </w:rPr>
        <w:t xml:space="preserve"> – середньорічна чисельність населення.</w:t>
      </w:r>
    </w:p>
    <w:p w:rsidR="00B233DE" w:rsidRPr="00C924BC" w:rsidRDefault="00B233DE" w:rsidP="00B233DE">
      <w:pPr>
        <w:ind w:firstLine="709"/>
        <w:jc w:val="both"/>
        <w:rPr>
          <w:rFonts w:ascii="Times New Roman" w:hAnsi="Times New Roman" w:cs="Times New Roman"/>
          <w:sz w:val="21"/>
          <w:szCs w:val="21"/>
        </w:rPr>
      </w:pPr>
      <w:r w:rsidRPr="00C924BC">
        <w:rPr>
          <w:rFonts w:ascii="Times New Roman" w:hAnsi="Times New Roman" w:cs="Times New Roman"/>
          <w:sz w:val="21"/>
          <w:szCs w:val="21"/>
        </w:rPr>
        <w:t>Загальний коефіцієнт смертності одночасно є і її спеціальним коефіцієнтом, оскільки всі люди смертні. Розрахунок загальних коефіцієнтів смертності 1995</w:t>
      </w:r>
      <w:r>
        <w:rPr>
          <w:rFonts w:ascii="Times New Roman" w:hAnsi="Times New Roman" w:cs="Times New Roman"/>
          <w:sz w:val="21"/>
          <w:szCs w:val="21"/>
        </w:rPr>
        <w:t>–</w:t>
      </w:r>
      <w:r w:rsidRPr="00C924BC">
        <w:rPr>
          <w:rFonts w:ascii="Times New Roman" w:hAnsi="Times New Roman" w:cs="Times New Roman"/>
          <w:sz w:val="21"/>
          <w:szCs w:val="21"/>
        </w:rPr>
        <w:t>2013 рр. наведені на рисунку 2.</w:t>
      </w:r>
      <w:r>
        <w:rPr>
          <w:rFonts w:ascii="Times New Roman" w:hAnsi="Times New Roman" w:cs="Times New Roman"/>
          <w:sz w:val="21"/>
          <w:szCs w:val="21"/>
        </w:rPr>
        <w:t>8</w:t>
      </w:r>
      <w:r w:rsidRPr="00C924BC">
        <w:rPr>
          <w:rFonts w:ascii="Times New Roman" w:hAnsi="Times New Roman" w:cs="Times New Roman"/>
          <w:sz w:val="21"/>
          <w:szCs w:val="21"/>
        </w:rPr>
        <w:t>.</w:t>
      </w:r>
      <w:r>
        <w:rPr>
          <w:rFonts w:ascii="Times New Roman" w:hAnsi="Times New Roman" w:cs="Times New Roman"/>
          <w:sz w:val="21"/>
          <w:szCs w:val="21"/>
        </w:rPr>
        <w:t xml:space="preserve"> </w:t>
      </w:r>
    </w:p>
    <w:p w:rsidR="00B233DE" w:rsidRPr="00C924BC" w:rsidRDefault="00B233DE" w:rsidP="00B233DE">
      <w:pPr>
        <w:ind w:firstLine="709"/>
        <w:jc w:val="both"/>
        <w:rPr>
          <w:rFonts w:ascii="Times New Roman" w:hAnsi="Times New Roman" w:cs="Times New Roman"/>
          <w:sz w:val="21"/>
          <w:szCs w:val="21"/>
        </w:rPr>
      </w:pPr>
    </w:p>
    <w:p w:rsidR="00B233DE" w:rsidRPr="002346E6" w:rsidRDefault="00B233DE" w:rsidP="00B233DE">
      <w:pPr>
        <w:spacing w:line="360" w:lineRule="auto"/>
        <w:ind w:firstLine="709"/>
        <w:jc w:val="both"/>
        <w:rPr>
          <w:sz w:val="28"/>
          <w:szCs w:val="28"/>
          <w:highlight w:val="yellow"/>
        </w:rPr>
      </w:pPr>
      <w:r>
        <w:rPr>
          <w:noProof/>
          <w:sz w:val="28"/>
          <w:szCs w:val="28"/>
          <w:lang w:val="ru-RU" w:eastAsia="ru-RU"/>
        </w:rPr>
        <w:drawing>
          <wp:inline distT="0" distB="0" distL="0" distR="0" wp14:anchorId="78FC7E4D" wp14:editId="098658A5">
            <wp:extent cx="3168204" cy="1727200"/>
            <wp:effectExtent l="0" t="0" r="0" b="635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176335" cy="1731633"/>
                    </a:xfrm>
                    <a:prstGeom prst="rect">
                      <a:avLst/>
                    </a:prstGeom>
                    <a:noFill/>
                    <a:ln>
                      <a:noFill/>
                    </a:ln>
                  </pic:spPr>
                </pic:pic>
              </a:graphicData>
            </a:graphic>
          </wp:inline>
        </w:drawing>
      </w:r>
    </w:p>
    <w:p w:rsidR="00B233DE" w:rsidRPr="003125B0" w:rsidRDefault="00B233DE" w:rsidP="00B233DE">
      <w:pPr>
        <w:ind w:firstLine="709"/>
        <w:jc w:val="center"/>
        <w:rPr>
          <w:rFonts w:ascii="Times New Roman" w:hAnsi="Times New Roman" w:cs="Times New Roman"/>
          <w:b/>
          <w:sz w:val="21"/>
          <w:szCs w:val="21"/>
        </w:rPr>
      </w:pPr>
      <w:r w:rsidRPr="003125B0">
        <w:rPr>
          <w:rFonts w:ascii="Times New Roman" w:hAnsi="Times New Roman" w:cs="Times New Roman"/>
          <w:b/>
          <w:sz w:val="21"/>
          <w:szCs w:val="21"/>
        </w:rPr>
        <w:t>Рис. 2.8. Загальні коефіцієнти смертності населенн</w:t>
      </w:r>
      <w:r>
        <w:rPr>
          <w:rFonts w:ascii="Times New Roman" w:hAnsi="Times New Roman" w:cs="Times New Roman"/>
          <w:b/>
          <w:sz w:val="21"/>
          <w:szCs w:val="21"/>
        </w:rPr>
        <w:t xml:space="preserve">я Вінницької області та України* </w:t>
      </w:r>
    </w:p>
    <w:p w:rsidR="00B233DE" w:rsidRPr="007D49D7" w:rsidRDefault="00B233DE" w:rsidP="00B233DE">
      <w:pPr>
        <w:ind w:firstLine="709"/>
        <w:jc w:val="both"/>
        <w:rPr>
          <w:rFonts w:ascii="Times New Roman" w:hAnsi="Times New Roman" w:cs="Times New Roman"/>
          <w:sz w:val="18"/>
          <w:szCs w:val="18"/>
        </w:rPr>
      </w:pPr>
      <w:r w:rsidRPr="007D49D7">
        <w:rPr>
          <w:rFonts w:ascii="Times New Roman" w:hAnsi="Times New Roman" w:cs="Times New Roman"/>
          <w:sz w:val="18"/>
          <w:szCs w:val="18"/>
        </w:rPr>
        <w:t>* - складено автором розділу на основі [</w:t>
      </w:r>
      <w:r>
        <w:rPr>
          <w:rFonts w:ascii="Times New Roman" w:hAnsi="Times New Roman" w:cs="Times New Roman"/>
          <w:sz w:val="18"/>
          <w:szCs w:val="18"/>
          <w:highlight w:val="yellow"/>
        </w:rPr>
        <w:fldChar w:fldCharType="begin"/>
      </w:r>
      <w:r>
        <w:rPr>
          <w:rFonts w:ascii="Times New Roman" w:hAnsi="Times New Roman" w:cs="Times New Roman"/>
          <w:sz w:val="18"/>
          <w:szCs w:val="18"/>
        </w:rPr>
        <w:instrText xml:space="preserve"> REF _Ref435781250 \r \h </w:instrText>
      </w:r>
      <w:r>
        <w:rPr>
          <w:rFonts w:ascii="Times New Roman" w:hAnsi="Times New Roman" w:cs="Times New Roman"/>
          <w:sz w:val="18"/>
          <w:szCs w:val="18"/>
          <w:highlight w:val="yellow"/>
        </w:rPr>
      </w:r>
      <w:r>
        <w:rPr>
          <w:rFonts w:ascii="Times New Roman" w:hAnsi="Times New Roman" w:cs="Times New Roman"/>
          <w:sz w:val="18"/>
          <w:szCs w:val="18"/>
          <w:highlight w:val="yellow"/>
        </w:rPr>
        <w:fldChar w:fldCharType="separate"/>
      </w:r>
      <w:r>
        <w:rPr>
          <w:rFonts w:ascii="Times New Roman" w:hAnsi="Times New Roman" w:cs="Times New Roman"/>
          <w:sz w:val="18"/>
          <w:szCs w:val="18"/>
        </w:rPr>
        <w:t>7</w:t>
      </w:r>
      <w:r>
        <w:rPr>
          <w:rFonts w:ascii="Times New Roman" w:hAnsi="Times New Roman" w:cs="Times New Roman"/>
          <w:sz w:val="18"/>
          <w:szCs w:val="18"/>
          <w:highlight w:val="yellow"/>
        </w:rPr>
        <w:fldChar w:fldCharType="end"/>
      </w:r>
      <w:r w:rsidRPr="007D49D7">
        <w:rPr>
          <w:rFonts w:ascii="Times New Roman" w:hAnsi="Times New Roman" w:cs="Times New Roman"/>
          <w:sz w:val="18"/>
          <w:szCs w:val="18"/>
        </w:rPr>
        <w:t>]</w:t>
      </w:r>
    </w:p>
    <w:p w:rsidR="00B233DE" w:rsidRPr="00C924BC" w:rsidRDefault="00B233DE" w:rsidP="00B233DE">
      <w:pPr>
        <w:ind w:firstLine="709"/>
        <w:jc w:val="both"/>
        <w:rPr>
          <w:rFonts w:ascii="Times New Roman" w:hAnsi="Times New Roman" w:cs="Times New Roman"/>
          <w:sz w:val="21"/>
          <w:szCs w:val="21"/>
        </w:rPr>
      </w:pPr>
      <w:r w:rsidRPr="00C924BC">
        <w:rPr>
          <w:rFonts w:ascii="Times New Roman" w:hAnsi="Times New Roman" w:cs="Times New Roman"/>
          <w:sz w:val="21"/>
          <w:szCs w:val="21"/>
        </w:rPr>
        <w:lastRenderedPageBreak/>
        <w:t>Динаміка загального коефіцієнта за ряд років дозволяє отримати саме перше уявлення про зміни рівня смертності.</w:t>
      </w:r>
    </w:p>
    <w:p w:rsidR="00B233DE" w:rsidRPr="00C924BC" w:rsidRDefault="00B233DE" w:rsidP="00B233DE">
      <w:pPr>
        <w:ind w:firstLine="709"/>
        <w:jc w:val="both"/>
        <w:rPr>
          <w:rFonts w:ascii="Times New Roman" w:hAnsi="Times New Roman" w:cs="Times New Roman"/>
          <w:sz w:val="21"/>
          <w:szCs w:val="21"/>
          <w:highlight w:val="yellow"/>
        </w:rPr>
      </w:pPr>
      <w:r w:rsidRPr="00C924BC">
        <w:rPr>
          <w:rFonts w:ascii="Times New Roman" w:hAnsi="Times New Roman" w:cs="Times New Roman"/>
          <w:sz w:val="21"/>
          <w:szCs w:val="21"/>
        </w:rPr>
        <w:t>З 1995 року по 2013 рік загальний коефіцієнт смертності по Вінницькій області дещо перевищує показник по країні в цілому. Якщо по Україні загальний коефіцієнт смертності з 2005 року по 2013 рік зменшився на 2</w:t>
      </w:r>
      <w:r>
        <w:rPr>
          <w:rFonts w:ascii="Times New Roman" w:hAnsi="Times New Roman" w:cs="Times New Roman"/>
          <w:sz w:val="21"/>
          <w:szCs w:val="21"/>
        </w:rPr>
        <w:t xml:space="preserve"> </w:t>
      </w:r>
      <w:r w:rsidRPr="00C924BC">
        <w:rPr>
          <w:rFonts w:ascii="Times New Roman" w:hAnsi="Times New Roman" w:cs="Times New Roman"/>
          <w:sz w:val="21"/>
          <w:szCs w:val="21"/>
        </w:rPr>
        <w:t xml:space="preserve">‰, то </w:t>
      </w:r>
      <w:r>
        <w:rPr>
          <w:rFonts w:ascii="Times New Roman" w:hAnsi="Times New Roman" w:cs="Times New Roman"/>
          <w:sz w:val="21"/>
          <w:szCs w:val="21"/>
        </w:rPr>
        <w:t>у</w:t>
      </w:r>
      <w:r w:rsidRPr="00C924BC">
        <w:rPr>
          <w:rFonts w:ascii="Times New Roman" w:hAnsi="Times New Roman" w:cs="Times New Roman"/>
          <w:sz w:val="21"/>
          <w:szCs w:val="21"/>
        </w:rPr>
        <w:t xml:space="preserve"> Вінницькому регіоні в 2005</w:t>
      </w:r>
      <w:r>
        <w:rPr>
          <w:rFonts w:ascii="Times New Roman" w:hAnsi="Times New Roman" w:cs="Times New Roman"/>
          <w:sz w:val="21"/>
          <w:szCs w:val="21"/>
        </w:rPr>
        <w:t>–</w:t>
      </w:r>
      <w:r w:rsidRPr="00C924BC">
        <w:rPr>
          <w:rFonts w:ascii="Times New Roman" w:hAnsi="Times New Roman" w:cs="Times New Roman"/>
          <w:sz w:val="21"/>
          <w:szCs w:val="21"/>
        </w:rPr>
        <w:t>2</w:t>
      </w:r>
      <w:r>
        <w:rPr>
          <w:rFonts w:ascii="Times New Roman" w:hAnsi="Times New Roman" w:cs="Times New Roman"/>
          <w:sz w:val="21"/>
          <w:szCs w:val="21"/>
        </w:rPr>
        <w:t>009 </w:t>
      </w:r>
      <w:r w:rsidRPr="00C924BC">
        <w:rPr>
          <w:rFonts w:ascii="Times New Roman" w:hAnsi="Times New Roman" w:cs="Times New Roman"/>
          <w:sz w:val="21"/>
          <w:szCs w:val="21"/>
        </w:rPr>
        <w:t>рр. зменшився на 2,4</w:t>
      </w:r>
      <w:r>
        <w:rPr>
          <w:rFonts w:ascii="Times New Roman" w:hAnsi="Times New Roman" w:cs="Times New Roman"/>
          <w:sz w:val="21"/>
          <w:szCs w:val="21"/>
        </w:rPr>
        <w:t xml:space="preserve"> </w:t>
      </w:r>
      <w:r w:rsidRPr="00C924BC">
        <w:rPr>
          <w:rFonts w:ascii="Times New Roman" w:hAnsi="Times New Roman" w:cs="Times New Roman"/>
          <w:sz w:val="21"/>
          <w:szCs w:val="21"/>
        </w:rPr>
        <w:t xml:space="preserve">‰. </w:t>
      </w:r>
      <w:r>
        <w:rPr>
          <w:rFonts w:ascii="Times New Roman" w:hAnsi="Times New Roman" w:cs="Times New Roman"/>
          <w:sz w:val="21"/>
          <w:szCs w:val="21"/>
        </w:rPr>
        <w:t>У</w:t>
      </w:r>
      <w:r w:rsidRPr="00C924BC">
        <w:rPr>
          <w:rFonts w:ascii="Times New Roman" w:hAnsi="Times New Roman" w:cs="Times New Roman"/>
          <w:sz w:val="21"/>
          <w:szCs w:val="21"/>
        </w:rPr>
        <w:t xml:space="preserve"> Вінницькій області за звітний період загальний коефіцієнт смертності в середньому переважає на 1</w:t>
      </w:r>
      <w:r>
        <w:rPr>
          <w:rFonts w:ascii="Times New Roman" w:hAnsi="Times New Roman" w:cs="Times New Roman"/>
          <w:sz w:val="21"/>
          <w:szCs w:val="21"/>
        </w:rPr>
        <w:t xml:space="preserve"> </w:t>
      </w:r>
      <w:r w:rsidRPr="00C924BC">
        <w:rPr>
          <w:rFonts w:ascii="Times New Roman" w:hAnsi="Times New Roman" w:cs="Times New Roman"/>
          <w:sz w:val="21"/>
          <w:szCs w:val="21"/>
        </w:rPr>
        <w:t>‰ в порівняння з Україною.</w:t>
      </w:r>
    </w:p>
    <w:p w:rsidR="00B233DE" w:rsidRDefault="00B233DE" w:rsidP="00B233DE">
      <w:pPr>
        <w:ind w:firstLine="709"/>
        <w:jc w:val="both"/>
        <w:rPr>
          <w:rFonts w:ascii="Times New Roman" w:hAnsi="Times New Roman" w:cs="Times New Roman"/>
          <w:sz w:val="21"/>
          <w:szCs w:val="21"/>
        </w:rPr>
      </w:pPr>
      <w:r w:rsidRPr="00C924BC">
        <w:rPr>
          <w:rFonts w:ascii="Times New Roman" w:hAnsi="Times New Roman" w:cs="Times New Roman"/>
          <w:sz w:val="21"/>
          <w:szCs w:val="21"/>
        </w:rPr>
        <w:t>Вікові коефіцієнти смертності, які розраховуються окремо для чоловічої та жіночої статей, є найкращими для аналізу стану і тенденцій рівня смертності. Вони розр</w:t>
      </w:r>
      <w:r>
        <w:rPr>
          <w:rFonts w:ascii="Times New Roman" w:hAnsi="Times New Roman" w:cs="Times New Roman"/>
          <w:sz w:val="21"/>
          <w:szCs w:val="21"/>
        </w:rPr>
        <w:t>аховуються за однорічними або п’</w:t>
      </w:r>
      <w:r w:rsidRPr="00C924BC">
        <w:rPr>
          <w:rFonts w:ascii="Times New Roman" w:hAnsi="Times New Roman" w:cs="Times New Roman"/>
          <w:sz w:val="21"/>
          <w:szCs w:val="21"/>
        </w:rPr>
        <w:t>ятирічними віковими групами. Однорічні коефіцієнти, звичайно, дають найкращі мо</w:t>
      </w:r>
      <w:r>
        <w:rPr>
          <w:rFonts w:ascii="Times New Roman" w:hAnsi="Times New Roman" w:cs="Times New Roman"/>
          <w:sz w:val="21"/>
          <w:szCs w:val="21"/>
        </w:rPr>
        <w:t>жливості для докладного аналізу</w:t>
      </w:r>
      <w:r w:rsidRPr="00C924BC">
        <w:rPr>
          <w:rFonts w:ascii="Times New Roman" w:hAnsi="Times New Roman" w:cs="Times New Roman"/>
          <w:sz w:val="21"/>
          <w:szCs w:val="21"/>
        </w:rPr>
        <w:t xml:space="preserve"> і тому професійні демографи намагаються користуватися саме ними. Ал</w:t>
      </w:r>
      <w:r>
        <w:rPr>
          <w:rFonts w:ascii="Times New Roman" w:hAnsi="Times New Roman" w:cs="Times New Roman"/>
          <w:sz w:val="21"/>
          <w:szCs w:val="21"/>
        </w:rPr>
        <w:t>е</w:t>
      </w:r>
      <w:r w:rsidRPr="00C924BC">
        <w:rPr>
          <w:rFonts w:ascii="Times New Roman" w:hAnsi="Times New Roman" w:cs="Times New Roman"/>
          <w:sz w:val="21"/>
          <w:szCs w:val="21"/>
        </w:rPr>
        <w:t xml:space="preserve"> вони мають декілька недоліків: по-перше, користуватися однорічними показниками смертності важко, тому що їх дуже багато (зазвичай їх обмежують віками до 85 років – це немало). По-друге, при використанні однолітніх коефіцієнтів у справу втручається вікова акумуляція. Тому, ми вирішили скористатися розрахунком п’ятирічних вікових груп. Розраховуються вони за формулою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_Ref435781262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23</w:t>
      </w:r>
      <w:r>
        <w:rPr>
          <w:rFonts w:ascii="Times New Roman" w:hAnsi="Times New Roman"/>
          <w:sz w:val="21"/>
          <w:szCs w:val="21"/>
          <w:highlight w:val="yellow"/>
        </w:rPr>
        <w:fldChar w:fldCharType="end"/>
      </w:r>
      <w:r w:rsidRPr="00C924BC">
        <w:rPr>
          <w:rFonts w:ascii="Times New Roman" w:hAnsi="Times New Roman" w:cs="Times New Roman"/>
          <w:sz w:val="21"/>
          <w:szCs w:val="21"/>
        </w:rPr>
        <w:t>]:</w:t>
      </w:r>
    </w:p>
    <w:p w:rsidR="00B233DE" w:rsidRPr="008E1EBE" w:rsidRDefault="00B233DE" w:rsidP="00B233DE">
      <w:pPr>
        <w:ind w:firstLine="709"/>
        <w:jc w:val="both"/>
        <w:rPr>
          <w:rFonts w:ascii="Times New Roman" w:hAnsi="Times New Roman" w:cs="Times New Roman"/>
          <w:sz w:val="21"/>
          <w:szCs w:val="21"/>
          <w:lang w:val="ru-RU"/>
        </w:rPr>
      </w:pPr>
    </w:p>
    <w:p w:rsidR="00B233DE" w:rsidRPr="008E1EBE" w:rsidRDefault="008E1EBE" w:rsidP="008E1EBE">
      <w:pPr>
        <w:ind w:firstLine="709"/>
        <w:jc w:val="both"/>
        <w:rPr>
          <w:rFonts w:ascii="Times New Roman" w:hAnsi="Times New Roman" w:cs="Times New Roman"/>
          <w:sz w:val="21"/>
          <w:szCs w:val="21"/>
          <w:lang w:val="ru-RU"/>
        </w:rPr>
      </w:pPr>
      <w:r w:rsidRPr="008E1EBE">
        <w:rPr>
          <w:rFonts w:ascii="Times New Roman" w:hAnsi="Times New Roman" w:cs="Times New Roman"/>
          <w:sz w:val="21"/>
          <w:szCs w:val="21"/>
          <w:lang w:val="ru-RU"/>
        </w:rPr>
        <w:t xml:space="preserve">                                  </w:t>
      </w:r>
      <m:oMath>
        <m:sSub>
          <m:sSubPr>
            <m:ctrlPr>
              <w:rPr>
                <w:rFonts w:ascii="Cambria Math" w:hAnsi="Cambria Math" w:cs="Times New Roman"/>
                <w:i/>
                <w:sz w:val="21"/>
                <w:szCs w:val="21"/>
                <w:lang w:val="en-US"/>
              </w:rPr>
            </m:ctrlPr>
          </m:sSubPr>
          <m:e>
            <m:r>
              <w:rPr>
                <w:rFonts w:ascii="Cambria Math" w:hAnsi="Cambria Math" w:cs="Times New Roman"/>
                <w:sz w:val="21"/>
                <w:szCs w:val="21"/>
                <w:lang w:val="en-US"/>
              </w:rPr>
              <m:t>m</m:t>
            </m:r>
          </m:e>
          <m:sub>
            <m:r>
              <w:rPr>
                <w:rFonts w:ascii="Cambria Math" w:hAnsi="Cambria Math" w:cs="Times New Roman"/>
                <w:sz w:val="21"/>
                <w:szCs w:val="21"/>
                <w:lang w:val="en-US"/>
              </w:rPr>
              <m:t>x</m:t>
            </m:r>
          </m:sub>
        </m:sSub>
        <m:r>
          <w:rPr>
            <w:rFonts w:ascii="Cambria Math" w:hAnsi="Cambria Math" w:cs="Times New Roman"/>
            <w:sz w:val="21"/>
            <w:szCs w:val="21"/>
            <w:lang w:val="ru-RU"/>
          </w:rPr>
          <m:t>=</m:t>
        </m:r>
        <m:f>
          <m:fPr>
            <m:ctrlPr>
              <w:rPr>
                <w:rFonts w:ascii="Cambria Math" w:hAnsi="Cambria Math" w:cs="Times New Roman"/>
                <w:i/>
                <w:sz w:val="21"/>
                <w:szCs w:val="21"/>
                <w:lang w:val="en-US"/>
              </w:rPr>
            </m:ctrlPr>
          </m:fPr>
          <m:num>
            <m:sSub>
              <m:sSubPr>
                <m:ctrlPr>
                  <w:rPr>
                    <w:rFonts w:ascii="Cambria Math" w:hAnsi="Cambria Math" w:cs="Times New Roman"/>
                    <w:i/>
                    <w:sz w:val="21"/>
                    <w:szCs w:val="21"/>
                    <w:lang w:val="en-US"/>
                  </w:rPr>
                </m:ctrlPr>
              </m:sSubPr>
              <m:e>
                <m:r>
                  <w:rPr>
                    <w:rFonts w:ascii="Cambria Math" w:hAnsi="Cambria Math" w:cs="Times New Roman"/>
                    <w:sz w:val="21"/>
                    <w:szCs w:val="21"/>
                    <w:lang w:val="en-US"/>
                  </w:rPr>
                  <m:t>M</m:t>
                </m:r>
              </m:e>
              <m:sub>
                <m:r>
                  <w:rPr>
                    <w:rFonts w:ascii="Cambria Math" w:hAnsi="Cambria Math" w:cs="Times New Roman"/>
                    <w:sz w:val="21"/>
                    <w:szCs w:val="21"/>
                    <w:lang w:val="en-US"/>
                  </w:rPr>
                  <m:t>x</m:t>
                </m:r>
              </m:sub>
            </m:sSub>
          </m:num>
          <m:den>
            <m:sSub>
              <m:sSubPr>
                <m:ctrlPr>
                  <w:rPr>
                    <w:rFonts w:ascii="Cambria Math" w:hAnsi="Cambria Math" w:cs="Times New Roman"/>
                    <w:i/>
                    <w:sz w:val="21"/>
                    <w:szCs w:val="21"/>
                    <w:lang w:val="en-US"/>
                  </w:rPr>
                </m:ctrlPr>
              </m:sSubPr>
              <m:e>
                <m:r>
                  <w:rPr>
                    <w:rFonts w:ascii="Cambria Math" w:hAnsi="Cambria Math" w:cs="Times New Roman"/>
                    <w:sz w:val="21"/>
                    <w:szCs w:val="21"/>
                    <w:lang w:val="en-US"/>
                  </w:rPr>
                  <m:t>S</m:t>
                </m:r>
              </m:e>
              <m:sub>
                <m:r>
                  <w:rPr>
                    <w:rFonts w:ascii="Cambria Math" w:hAnsi="Cambria Math" w:cs="Times New Roman"/>
                    <w:sz w:val="21"/>
                    <w:szCs w:val="21"/>
                    <w:lang w:val="en-US"/>
                  </w:rPr>
                  <m:t>x</m:t>
                </m:r>
              </m:sub>
            </m:sSub>
          </m:den>
        </m:f>
        <m:r>
          <w:rPr>
            <w:rFonts w:ascii="Cambria Math" w:hAnsi="Cambria Math" w:cs="Times New Roman"/>
            <w:sz w:val="21"/>
            <w:szCs w:val="21"/>
            <w:lang w:val="ru-RU"/>
          </w:rPr>
          <m:t>×100000</m:t>
        </m:r>
      </m:oMath>
      <w:r w:rsidR="00B233DE" w:rsidRPr="00C924BC">
        <w:rPr>
          <w:rFonts w:ascii="Times New Roman" w:hAnsi="Times New Roman" w:cs="Times New Roman"/>
          <w:sz w:val="21"/>
          <w:szCs w:val="21"/>
        </w:rPr>
        <w:t xml:space="preserve">,    </w:t>
      </w:r>
      <w:r w:rsidR="00B233DE">
        <w:rPr>
          <w:rFonts w:ascii="Times New Roman" w:hAnsi="Times New Roman" w:cs="Times New Roman"/>
          <w:sz w:val="21"/>
          <w:szCs w:val="21"/>
        </w:rPr>
        <w:t xml:space="preserve">                      </w:t>
      </w:r>
      <w:r w:rsidR="00B233DE" w:rsidRPr="00C924BC">
        <w:rPr>
          <w:rFonts w:ascii="Times New Roman" w:hAnsi="Times New Roman" w:cs="Times New Roman"/>
          <w:sz w:val="21"/>
          <w:szCs w:val="21"/>
        </w:rPr>
        <w:t>(2.</w:t>
      </w:r>
      <w:r w:rsidR="00B233DE">
        <w:rPr>
          <w:rFonts w:ascii="Times New Roman" w:hAnsi="Times New Roman" w:cs="Times New Roman"/>
          <w:sz w:val="21"/>
          <w:szCs w:val="21"/>
        </w:rPr>
        <w:t>14</w:t>
      </w:r>
      <w:r w:rsidR="00B233DE" w:rsidRPr="00C924BC">
        <w:rPr>
          <w:rFonts w:ascii="Times New Roman" w:hAnsi="Times New Roman" w:cs="Times New Roman"/>
          <w:sz w:val="21"/>
          <w:szCs w:val="21"/>
        </w:rPr>
        <w:t>)</w:t>
      </w:r>
    </w:p>
    <w:p w:rsidR="00B233DE" w:rsidRDefault="00B233DE" w:rsidP="00B233DE">
      <w:pPr>
        <w:ind w:firstLine="709"/>
        <w:jc w:val="both"/>
        <w:rPr>
          <w:rFonts w:ascii="Times New Roman" w:hAnsi="Times New Roman" w:cs="Times New Roman"/>
          <w:sz w:val="21"/>
          <w:szCs w:val="21"/>
        </w:rPr>
      </w:pPr>
    </w:p>
    <w:p w:rsidR="00B233DE" w:rsidRPr="00C924BC" w:rsidRDefault="00B233DE" w:rsidP="00B233DE">
      <w:pPr>
        <w:ind w:firstLine="709"/>
        <w:jc w:val="both"/>
        <w:rPr>
          <w:rFonts w:ascii="Times New Roman" w:hAnsi="Times New Roman" w:cs="Times New Roman"/>
          <w:sz w:val="21"/>
          <w:szCs w:val="21"/>
        </w:rPr>
      </w:pPr>
      <w:r w:rsidRPr="00C924BC">
        <w:rPr>
          <w:rFonts w:ascii="Times New Roman" w:hAnsi="Times New Roman" w:cs="Times New Roman"/>
          <w:sz w:val="21"/>
          <w:szCs w:val="21"/>
        </w:rPr>
        <w:t>де:</w:t>
      </w:r>
      <w:r w:rsidR="008E1EBE" w:rsidRPr="008E1EBE">
        <w:rPr>
          <w:rFonts w:ascii="Times New Roman" w:hAnsi="Times New Roman" w:cs="Times New Roman"/>
          <w:sz w:val="21"/>
          <w:szCs w:val="21"/>
          <w:lang w:val="ru-RU"/>
        </w:rPr>
        <w:t xml:space="preserve"> </w:t>
      </w:r>
      <w:r w:rsidR="008E1EBE">
        <w:rPr>
          <w:rFonts w:ascii="Times New Roman" w:hAnsi="Times New Roman" w:cs="Times New Roman"/>
          <w:sz w:val="21"/>
          <w:szCs w:val="21"/>
          <w:lang w:val="en-US"/>
        </w:rPr>
        <w:t>m</w:t>
      </w:r>
      <w:r w:rsidR="008E1EBE">
        <w:rPr>
          <w:rFonts w:ascii="Times New Roman" w:hAnsi="Times New Roman" w:cs="Times New Roman"/>
          <w:sz w:val="21"/>
          <w:szCs w:val="21"/>
          <w:vertAlign w:val="subscript"/>
          <w:lang w:val="en-US"/>
        </w:rPr>
        <w:t>x</w:t>
      </w:r>
      <w:r w:rsidR="008E1EBE" w:rsidRPr="008E1EBE">
        <w:rPr>
          <w:rFonts w:ascii="Times New Roman" w:hAnsi="Times New Roman" w:cs="Times New Roman"/>
          <w:sz w:val="21"/>
          <w:szCs w:val="21"/>
          <w:vertAlign w:val="subscript"/>
          <w:lang w:val="ru-RU"/>
        </w:rPr>
        <w:t xml:space="preserve"> </w:t>
      </w:r>
      <w:r w:rsidRPr="00C924BC">
        <w:rPr>
          <w:rFonts w:ascii="Times New Roman" w:hAnsi="Times New Roman" w:cs="Times New Roman"/>
          <w:sz w:val="21"/>
          <w:szCs w:val="21"/>
        </w:rPr>
        <w:t>– віковий коефіцієнт смертності, на 100 000 осіб відповідного віку;</w:t>
      </w:r>
    </w:p>
    <w:p w:rsidR="00B233DE" w:rsidRPr="00C924BC" w:rsidRDefault="008E1EBE" w:rsidP="00B233DE">
      <w:pPr>
        <w:ind w:firstLine="709"/>
        <w:jc w:val="both"/>
        <w:rPr>
          <w:rFonts w:ascii="Times New Roman" w:hAnsi="Times New Roman" w:cs="Times New Roman"/>
          <w:sz w:val="21"/>
          <w:szCs w:val="21"/>
        </w:rPr>
      </w:pPr>
      <w:r>
        <w:rPr>
          <w:rFonts w:ascii="Times New Roman" w:hAnsi="Times New Roman" w:cs="Times New Roman"/>
          <w:sz w:val="21"/>
          <w:szCs w:val="21"/>
          <w:lang w:val="en-US"/>
        </w:rPr>
        <w:t>M</w:t>
      </w:r>
      <w:r>
        <w:rPr>
          <w:rFonts w:ascii="Times New Roman" w:hAnsi="Times New Roman" w:cs="Times New Roman"/>
          <w:sz w:val="21"/>
          <w:szCs w:val="21"/>
          <w:vertAlign w:val="subscript"/>
          <w:lang w:val="en-US"/>
        </w:rPr>
        <w:t>x</w:t>
      </w:r>
      <w:r w:rsidRPr="008E1EBE">
        <w:rPr>
          <w:rFonts w:ascii="Times New Roman" w:hAnsi="Times New Roman" w:cs="Times New Roman"/>
          <w:sz w:val="21"/>
          <w:szCs w:val="21"/>
          <w:lang w:val="ru-RU"/>
        </w:rPr>
        <w:t xml:space="preserve"> </w:t>
      </w:r>
      <w:r w:rsidR="00B233DE" w:rsidRPr="00C924BC">
        <w:rPr>
          <w:rFonts w:ascii="Times New Roman" w:hAnsi="Times New Roman" w:cs="Times New Roman"/>
          <w:sz w:val="21"/>
          <w:szCs w:val="21"/>
        </w:rPr>
        <w:t>– кількість померлих у віці х, осіб;</w:t>
      </w:r>
    </w:p>
    <w:p w:rsidR="00B233DE" w:rsidRPr="008E1EBE" w:rsidRDefault="008E1EBE" w:rsidP="00B233DE">
      <w:pPr>
        <w:ind w:firstLine="709"/>
        <w:jc w:val="both"/>
        <w:rPr>
          <w:rFonts w:ascii="Times New Roman" w:hAnsi="Times New Roman" w:cs="Times New Roman"/>
          <w:spacing w:val="-4"/>
          <w:sz w:val="21"/>
          <w:szCs w:val="21"/>
        </w:rPr>
      </w:pPr>
      <w:r w:rsidRPr="008E1EBE">
        <w:rPr>
          <w:rFonts w:ascii="Times New Roman" w:hAnsi="Times New Roman" w:cs="Times New Roman"/>
          <w:spacing w:val="-4"/>
          <w:sz w:val="21"/>
          <w:szCs w:val="21"/>
          <w:lang w:val="en-US"/>
        </w:rPr>
        <w:t>S</w:t>
      </w:r>
      <w:r w:rsidRPr="008E1EBE">
        <w:rPr>
          <w:rFonts w:ascii="Times New Roman" w:hAnsi="Times New Roman" w:cs="Times New Roman"/>
          <w:spacing w:val="-4"/>
          <w:sz w:val="21"/>
          <w:szCs w:val="21"/>
          <w:vertAlign w:val="subscript"/>
          <w:lang w:val="en-US"/>
        </w:rPr>
        <w:t>x</w:t>
      </w:r>
      <w:r w:rsidRPr="008E1EBE">
        <w:rPr>
          <w:rFonts w:ascii="Times New Roman" w:hAnsi="Times New Roman" w:cs="Times New Roman"/>
          <w:spacing w:val="-4"/>
          <w:sz w:val="21"/>
          <w:szCs w:val="21"/>
          <w:vertAlign w:val="subscript"/>
          <w:lang w:val="ru-RU"/>
        </w:rPr>
        <w:t xml:space="preserve"> </w:t>
      </w:r>
      <w:r w:rsidRPr="008E1EBE">
        <w:rPr>
          <w:rFonts w:ascii="Times New Roman" w:hAnsi="Times New Roman" w:cs="Times New Roman"/>
          <w:spacing w:val="-4"/>
          <w:sz w:val="21"/>
          <w:szCs w:val="21"/>
        </w:rPr>
        <w:t>–</w:t>
      </w:r>
      <w:r w:rsidR="00B233DE" w:rsidRPr="008E1EBE">
        <w:rPr>
          <w:rFonts w:ascii="Times New Roman" w:hAnsi="Times New Roman" w:cs="Times New Roman"/>
          <w:spacing w:val="-4"/>
          <w:sz w:val="21"/>
          <w:szCs w:val="21"/>
        </w:rPr>
        <w:t xml:space="preserve"> середньорічна чисельність населення у віці х років, осіб.</w:t>
      </w:r>
    </w:p>
    <w:p w:rsidR="00B233DE" w:rsidRDefault="00B233DE" w:rsidP="00B233DE">
      <w:pPr>
        <w:ind w:firstLine="709"/>
        <w:jc w:val="both"/>
        <w:rPr>
          <w:rFonts w:ascii="Times New Roman" w:hAnsi="Times New Roman" w:cs="Times New Roman"/>
          <w:sz w:val="21"/>
          <w:szCs w:val="21"/>
        </w:rPr>
      </w:pPr>
      <w:r w:rsidRPr="00C924BC">
        <w:rPr>
          <w:rFonts w:ascii="Times New Roman" w:hAnsi="Times New Roman" w:cs="Times New Roman"/>
          <w:sz w:val="21"/>
          <w:szCs w:val="21"/>
        </w:rPr>
        <w:t>Виражаються вікові коефіцієнти смертності, як і більшість інших демографічних коефіцієнтів, в проміле (‰). Ми розрахували вікові коефіцієнти смертності для чоловіків та жінок в 1995, 2000, 2005,</w:t>
      </w:r>
      <w:r>
        <w:rPr>
          <w:rFonts w:ascii="Times New Roman" w:hAnsi="Times New Roman" w:cs="Times New Roman"/>
          <w:sz w:val="21"/>
          <w:szCs w:val="21"/>
        </w:rPr>
        <w:t xml:space="preserve"> 2010, 2012, 2013 роки в табл.</w:t>
      </w:r>
      <w:r w:rsidRPr="00C924BC">
        <w:rPr>
          <w:rFonts w:ascii="Times New Roman" w:hAnsi="Times New Roman" w:cs="Times New Roman"/>
          <w:sz w:val="21"/>
          <w:szCs w:val="21"/>
        </w:rPr>
        <w:t xml:space="preserve"> 2.</w:t>
      </w:r>
      <w:r>
        <w:rPr>
          <w:rFonts w:ascii="Times New Roman" w:hAnsi="Times New Roman" w:cs="Times New Roman"/>
          <w:sz w:val="21"/>
          <w:szCs w:val="21"/>
        </w:rPr>
        <w:t>10</w:t>
      </w:r>
      <w:r w:rsidRPr="00C924BC">
        <w:rPr>
          <w:rFonts w:ascii="Times New Roman" w:hAnsi="Times New Roman" w:cs="Times New Roman"/>
          <w:sz w:val="21"/>
          <w:szCs w:val="21"/>
        </w:rPr>
        <w:t>.</w:t>
      </w:r>
    </w:p>
    <w:p w:rsidR="00B233DE"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Як в 1995, 2000 так і 2005, 2013 роках віковий коефіцієнт смертності чоловіків переважав над жіночим в усіх вікових групах. В 2013 році спостерігається значне зменшення вікового коефіцієнту майже в усіх вікових групах, як у чоловіків так і в ж</w:t>
      </w:r>
      <w:r>
        <w:rPr>
          <w:rFonts w:ascii="Times New Roman" w:hAnsi="Times New Roman" w:cs="Times New Roman"/>
          <w:sz w:val="21"/>
          <w:szCs w:val="21"/>
        </w:rPr>
        <w:t>інок, в порівнянні з 1995, 2000</w:t>
      </w:r>
      <w:r w:rsidRPr="00CD1C3A">
        <w:rPr>
          <w:rFonts w:ascii="Times New Roman" w:hAnsi="Times New Roman" w:cs="Times New Roman"/>
          <w:sz w:val="21"/>
          <w:szCs w:val="21"/>
        </w:rPr>
        <w:t xml:space="preserve"> та 2005 роком.</w:t>
      </w:r>
    </w:p>
    <w:p w:rsidR="00B233DE" w:rsidRPr="00C924BC" w:rsidRDefault="00B233DE" w:rsidP="00B233DE">
      <w:pPr>
        <w:ind w:firstLine="709"/>
        <w:jc w:val="both"/>
        <w:rPr>
          <w:rFonts w:ascii="Times New Roman" w:hAnsi="Times New Roman" w:cs="Times New Roman"/>
          <w:sz w:val="21"/>
          <w:szCs w:val="21"/>
        </w:rPr>
      </w:pPr>
    </w:p>
    <w:p w:rsidR="00B233DE" w:rsidRPr="00C924BC" w:rsidRDefault="00B233DE" w:rsidP="00B233DE">
      <w:pPr>
        <w:ind w:firstLine="709"/>
        <w:jc w:val="right"/>
        <w:rPr>
          <w:rFonts w:ascii="Times New Roman" w:hAnsi="Times New Roman" w:cs="Times New Roman"/>
          <w:sz w:val="21"/>
          <w:szCs w:val="21"/>
        </w:rPr>
      </w:pPr>
      <w:r w:rsidRPr="00C924BC">
        <w:rPr>
          <w:rFonts w:ascii="Times New Roman" w:hAnsi="Times New Roman" w:cs="Times New Roman"/>
          <w:sz w:val="21"/>
          <w:szCs w:val="21"/>
        </w:rPr>
        <w:lastRenderedPageBreak/>
        <w:t>Таблиця 2.</w:t>
      </w:r>
      <w:r>
        <w:rPr>
          <w:rFonts w:ascii="Times New Roman" w:hAnsi="Times New Roman" w:cs="Times New Roman"/>
          <w:sz w:val="21"/>
          <w:szCs w:val="21"/>
        </w:rPr>
        <w:t>10</w:t>
      </w:r>
    </w:p>
    <w:p w:rsidR="00B233DE" w:rsidRPr="00EB79BC" w:rsidRDefault="00B233DE" w:rsidP="00B233DE">
      <w:pPr>
        <w:ind w:firstLine="709"/>
        <w:jc w:val="center"/>
        <w:rPr>
          <w:rFonts w:ascii="Times New Roman" w:hAnsi="Times New Roman" w:cs="Times New Roman"/>
          <w:b/>
          <w:sz w:val="21"/>
          <w:szCs w:val="21"/>
        </w:rPr>
      </w:pPr>
      <w:r w:rsidRPr="00EB79BC">
        <w:rPr>
          <w:rFonts w:ascii="Times New Roman" w:hAnsi="Times New Roman" w:cs="Times New Roman"/>
          <w:b/>
          <w:sz w:val="21"/>
          <w:szCs w:val="21"/>
        </w:rPr>
        <w:t xml:space="preserve">Вікові коефіцієнти смертності </w:t>
      </w:r>
      <w:r>
        <w:rPr>
          <w:rFonts w:ascii="Times New Roman" w:hAnsi="Times New Roman" w:cs="Times New Roman"/>
          <w:b/>
          <w:sz w:val="21"/>
          <w:szCs w:val="21"/>
        </w:rPr>
        <w:t xml:space="preserve">для чоловіків та жінок </w:t>
      </w:r>
      <w:r w:rsidRPr="00EB79BC">
        <w:rPr>
          <w:rFonts w:ascii="Times New Roman" w:hAnsi="Times New Roman" w:cs="Times New Roman"/>
          <w:b/>
          <w:sz w:val="21"/>
          <w:szCs w:val="21"/>
        </w:rPr>
        <w:t>Вінницької області</w:t>
      </w:r>
    </w:p>
    <w:tbl>
      <w:tblPr>
        <w:tblW w:w="632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firstRow="1" w:lastRow="0" w:firstColumn="1" w:lastColumn="0" w:noHBand="0" w:noVBand="0"/>
      </w:tblPr>
      <w:tblGrid>
        <w:gridCol w:w="754"/>
        <w:gridCol w:w="709"/>
        <w:gridCol w:w="674"/>
        <w:gridCol w:w="709"/>
        <w:gridCol w:w="708"/>
        <w:gridCol w:w="709"/>
        <w:gridCol w:w="709"/>
        <w:gridCol w:w="709"/>
        <w:gridCol w:w="640"/>
      </w:tblGrid>
      <w:tr w:rsidR="00B233DE" w:rsidRPr="00C924BC" w:rsidTr="0023489B">
        <w:trPr>
          <w:trHeight w:val="20"/>
          <w:jc w:val="center"/>
        </w:trPr>
        <w:tc>
          <w:tcPr>
            <w:tcW w:w="6321" w:type="dxa"/>
            <w:gridSpan w:val="9"/>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Вінницька область 1995–2013 роки</w:t>
            </w:r>
          </w:p>
        </w:tc>
      </w:tr>
      <w:tr w:rsidR="00B233DE" w:rsidRPr="00C924BC" w:rsidTr="0023489B">
        <w:trPr>
          <w:trHeight w:val="20"/>
          <w:jc w:val="center"/>
        </w:trPr>
        <w:tc>
          <w:tcPr>
            <w:tcW w:w="754" w:type="dxa"/>
            <w:vMerge w:val="restart"/>
            <w:vAlign w:val="center"/>
          </w:tcPr>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Вікова група</w:t>
            </w:r>
          </w:p>
        </w:tc>
        <w:tc>
          <w:tcPr>
            <w:tcW w:w="1383" w:type="dxa"/>
            <w:gridSpan w:val="2"/>
            <w:vAlign w:val="center"/>
          </w:tcPr>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1995 рік</w:t>
            </w:r>
          </w:p>
        </w:tc>
        <w:tc>
          <w:tcPr>
            <w:tcW w:w="1417" w:type="dxa"/>
            <w:gridSpan w:val="2"/>
            <w:vAlign w:val="center"/>
          </w:tcPr>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2000 рік</w:t>
            </w:r>
          </w:p>
        </w:tc>
        <w:tc>
          <w:tcPr>
            <w:tcW w:w="1418" w:type="dxa"/>
            <w:gridSpan w:val="2"/>
            <w:tcBorders>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2005 рік</w:t>
            </w:r>
          </w:p>
        </w:tc>
        <w:tc>
          <w:tcPr>
            <w:tcW w:w="1349" w:type="dxa"/>
            <w:gridSpan w:val="2"/>
            <w:tcBorders>
              <w:left w:val="single" w:sz="4" w:space="0" w:color="auto"/>
              <w:bottom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2013 рік</w:t>
            </w:r>
          </w:p>
        </w:tc>
      </w:tr>
      <w:tr w:rsidR="00B233DE" w:rsidRPr="00C924BC" w:rsidTr="0023489B">
        <w:trPr>
          <w:cantSplit/>
          <w:trHeight w:val="827"/>
          <w:jc w:val="center"/>
        </w:trPr>
        <w:tc>
          <w:tcPr>
            <w:tcW w:w="754" w:type="dxa"/>
            <w:vMerge/>
            <w:vAlign w:val="center"/>
          </w:tcPr>
          <w:p w:rsidR="00B233DE" w:rsidRPr="00C924BC" w:rsidRDefault="00B233DE" w:rsidP="0023489B">
            <w:pPr>
              <w:ind w:firstLine="0"/>
              <w:jc w:val="center"/>
              <w:rPr>
                <w:rFonts w:ascii="Times New Roman" w:hAnsi="Times New Roman" w:cs="Times New Roman"/>
                <w:sz w:val="16"/>
                <w:szCs w:val="16"/>
              </w:rPr>
            </w:pPr>
          </w:p>
        </w:tc>
        <w:tc>
          <w:tcPr>
            <w:tcW w:w="709" w:type="dxa"/>
            <w:textDirection w:val="btLr"/>
            <w:vAlign w:val="center"/>
          </w:tcPr>
          <w:p w:rsidR="00B233DE"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 xml:space="preserve">Чоловіки, </w:t>
            </w:r>
          </w:p>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w:t>
            </w:r>
          </w:p>
        </w:tc>
        <w:tc>
          <w:tcPr>
            <w:tcW w:w="674" w:type="dxa"/>
            <w:textDirection w:val="btLr"/>
            <w:vAlign w:val="center"/>
          </w:tcPr>
          <w:p w:rsidR="00B233DE"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 xml:space="preserve">Жінки, </w:t>
            </w:r>
          </w:p>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w:t>
            </w:r>
          </w:p>
        </w:tc>
        <w:tc>
          <w:tcPr>
            <w:tcW w:w="709" w:type="dxa"/>
            <w:textDirection w:val="btLr"/>
            <w:vAlign w:val="center"/>
          </w:tcPr>
          <w:p w:rsidR="00B233DE"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 xml:space="preserve">Чоловіки, </w:t>
            </w:r>
          </w:p>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w:t>
            </w:r>
          </w:p>
        </w:tc>
        <w:tc>
          <w:tcPr>
            <w:tcW w:w="708" w:type="dxa"/>
            <w:textDirection w:val="btLr"/>
            <w:vAlign w:val="center"/>
          </w:tcPr>
          <w:p w:rsidR="00B233DE"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 xml:space="preserve">Жінки, </w:t>
            </w:r>
          </w:p>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w:t>
            </w:r>
          </w:p>
        </w:tc>
        <w:tc>
          <w:tcPr>
            <w:tcW w:w="709" w:type="dxa"/>
            <w:textDirection w:val="btLr"/>
            <w:vAlign w:val="center"/>
          </w:tcPr>
          <w:p w:rsidR="00B233DE"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 xml:space="preserve">Чоловіки, </w:t>
            </w:r>
          </w:p>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w:t>
            </w:r>
          </w:p>
        </w:tc>
        <w:tc>
          <w:tcPr>
            <w:tcW w:w="709" w:type="dxa"/>
            <w:tcBorders>
              <w:right w:val="single" w:sz="4" w:space="0" w:color="auto"/>
            </w:tcBorders>
            <w:textDirection w:val="btLr"/>
            <w:vAlign w:val="center"/>
          </w:tcPr>
          <w:p w:rsidR="00B233DE"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 xml:space="preserve">Жінки, </w:t>
            </w:r>
          </w:p>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w:t>
            </w:r>
          </w:p>
        </w:tc>
        <w:tc>
          <w:tcPr>
            <w:tcW w:w="709" w:type="dxa"/>
            <w:tcBorders>
              <w:top w:val="single" w:sz="4" w:space="0" w:color="auto"/>
              <w:left w:val="single" w:sz="4" w:space="0" w:color="auto"/>
              <w:right w:val="single" w:sz="4" w:space="0" w:color="auto"/>
            </w:tcBorders>
            <w:textDirection w:val="btLr"/>
            <w:vAlign w:val="center"/>
          </w:tcPr>
          <w:p w:rsidR="00B233DE"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 xml:space="preserve">Чоловіки, </w:t>
            </w:r>
          </w:p>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w:t>
            </w:r>
          </w:p>
        </w:tc>
        <w:tc>
          <w:tcPr>
            <w:tcW w:w="640" w:type="dxa"/>
            <w:tcBorders>
              <w:top w:val="single" w:sz="4" w:space="0" w:color="auto"/>
              <w:left w:val="single" w:sz="4" w:space="0" w:color="auto"/>
            </w:tcBorders>
            <w:textDirection w:val="btLr"/>
            <w:vAlign w:val="center"/>
          </w:tcPr>
          <w:p w:rsidR="00B233DE"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 xml:space="preserve">Жінки, </w:t>
            </w:r>
          </w:p>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w:t>
            </w:r>
          </w:p>
        </w:tc>
      </w:tr>
      <w:tr w:rsidR="00B233DE" w:rsidRPr="00C924BC" w:rsidTr="0023489B">
        <w:trPr>
          <w:trHeight w:val="20"/>
          <w:jc w:val="center"/>
        </w:trPr>
        <w:tc>
          <w:tcPr>
            <w:tcW w:w="754" w:type="dxa"/>
            <w:vAlign w:val="center"/>
          </w:tcPr>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0-4</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353,7</w:t>
            </w:r>
          </w:p>
        </w:tc>
        <w:tc>
          <w:tcPr>
            <w:tcW w:w="674"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287,1</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309,8</w:t>
            </w:r>
          </w:p>
        </w:tc>
        <w:tc>
          <w:tcPr>
            <w:tcW w:w="708"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206,0</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325,9</w:t>
            </w:r>
          </w:p>
        </w:tc>
        <w:tc>
          <w:tcPr>
            <w:tcW w:w="709" w:type="dxa"/>
            <w:tcBorders>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185,1</w:t>
            </w:r>
          </w:p>
        </w:tc>
        <w:tc>
          <w:tcPr>
            <w:tcW w:w="709" w:type="dxa"/>
            <w:tcBorders>
              <w:left w:val="single" w:sz="4" w:space="0" w:color="auto"/>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18 667,5</w:t>
            </w:r>
          </w:p>
        </w:tc>
        <w:tc>
          <w:tcPr>
            <w:tcW w:w="640" w:type="dxa"/>
            <w:tcBorders>
              <w:lef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142,6</w:t>
            </w:r>
          </w:p>
        </w:tc>
      </w:tr>
      <w:tr w:rsidR="00B233DE" w:rsidRPr="00C924BC" w:rsidTr="0023489B">
        <w:trPr>
          <w:trHeight w:val="20"/>
          <w:jc w:val="center"/>
        </w:trPr>
        <w:tc>
          <w:tcPr>
            <w:tcW w:w="754" w:type="dxa"/>
            <w:vAlign w:val="center"/>
          </w:tcPr>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5-9</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75,1</w:t>
            </w:r>
          </w:p>
        </w:tc>
        <w:tc>
          <w:tcPr>
            <w:tcW w:w="674"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50,3</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28,8</w:t>
            </w:r>
          </w:p>
        </w:tc>
        <w:tc>
          <w:tcPr>
            <w:tcW w:w="708"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28,5</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40,8</w:t>
            </w:r>
          </w:p>
        </w:tc>
        <w:tc>
          <w:tcPr>
            <w:tcW w:w="709" w:type="dxa"/>
            <w:tcBorders>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41,0</w:t>
            </w:r>
          </w:p>
        </w:tc>
        <w:tc>
          <w:tcPr>
            <w:tcW w:w="709" w:type="dxa"/>
            <w:tcBorders>
              <w:left w:val="single" w:sz="4" w:space="0" w:color="auto"/>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32,1</w:t>
            </w:r>
          </w:p>
        </w:tc>
        <w:tc>
          <w:tcPr>
            <w:tcW w:w="640" w:type="dxa"/>
            <w:tcBorders>
              <w:lef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5,2</w:t>
            </w:r>
          </w:p>
        </w:tc>
      </w:tr>
      <w:tr w:rsidR="00B233DE" w:rsidRPr="00C924BC" w:rsidTr="0023489B">
        <w:trPr>
          <w:trHeight w:val="20"/>
          <w:jc w:val="center"/>
        </w:trPr>
        <w:tc>
          <w:tcPr>
            <w:tcW w:w="754" w:type="dxa"/>
            <w:vAlign w:val="center"/>
          </w:tcPr>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10-14</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59,1</w:t>
            </w:r>
          </w:p>
        </w:tc>
        <w:tc>
          <w:tcPr>
            <w:tcW w:w="674"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36,2</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47,5</w:t>
            </w:r>
          </w:p>
        </w:tc>
        <w:tc>
          <w:tcPr>
            <w:tcW w:w="708"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34,4</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38,0</w:t>
            </w:r>
          </w:p>
        </w:tc>
        <w:tc>
          <w:tcPr>
            <w:tcW w:w="709" w:type="dxa"/>
            <w:tcBorders>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17,2</w:t>
            </w:r>
          </w:p>
        </w:tc>
        <w:tc>
          <w:tcPr>
            <w:tcW w:w="709" w:type="dxa"/>
            <w:tcBorders>
              <w:left w:val="single" w:sz="4" w:space="0" w:color="auto"/>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18,1</w:t>
            </w:r>
          </w:p>
        </w:tc>
        <w:tc>
          <w:tcPr>
            <w:tcW w:w="640" w:type="dxa"/>
            <w:tcBorders>
              <w:lef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24,8</w:t>
            </w:r>
          </w:p>
        </w:tc>
      </w:tr>
      <w:tr w:rsidR="00B233DE" w:rsidRPr="00C924BC" w:rsidTr="0023489B">
        <w:trPr>
          <w:trHeight w:val="20"/>
          <w:jc w:val="center"/>
        </w:trPr>
        <w:tc>
          <w:tcPr>
            <w:tcW w:w="754" w:type="dxa"/>
            <w:vAlign w:val="center"/>
          </w:tcPr>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15-19</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149,9</w:t>
            </w:r>
          </w:p>
        </w:tc>
        <w:tc>
          <w:tcPr>
            <w:tcW w:w="674"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57,3</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142,5</w:t>
            </w:r>
          </w:p>
        </w:tc>
        <w:tc>
          <w:tcPr>
            <w:tcW w:w="708"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52,7</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131,1</w:t>
            </w:r>
          </w:p>
        </w:tc>
        <w:tc>
          <w:tcPr>
            <w:tcW w:w="709" w:type="dxa"/>
            <w:tcBorders>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64,2</w:t>
            </w:r>
          </w:p>
        </w:tc>
        <w:tc>
          <w:tcPr>
            <w:tcW w:w="709" w:type="dxa"/>
            <w:tcBorders>
              <w:left w:val="single" w:sz="4" w:space="0" w:color="auto"/>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75,2</w:t>
            </w:r>
          </w:p>
        </w:tc>
        <w:tc>
          <w:tcPr>
            <w:tcW w:w="640" w:type="dxa"/>
            <w:tcBorders>
              <w:lef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36,7</w:t>
            </w:r>
          </w:p>
        </w:tc>
      </w:tr>
      <w:tr w:rsidR="00B233DE" w:rsidRPr="00C924BC" w:rsidTr="0023489B">
        <w:trPr>
          <w:trHeight w:val="20"/>
          <w:jc w:val="center"/>
        </w:trPr>
        <w:tc>
          <w:tcPr>
            <w:tcW w:w="754" w:type="dxa"/>
            <w:vAlign w:val="center"/>
          </w:tcPr>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20-24</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229,9</w:t>
            </w:r>
          </w:p>
        </w:tc>
        <w:tc>
          <w:tcPr>
            <w:tcW w:w="674"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76,5</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250,7</w:t>
            </w:r>
          </w:p>
        </w:tc>
        <w:tc>
          <w:tcPr>
            <w:tcW w:w="708"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82,1</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246,1</w:t>
            </w:r>
          </w:p>
        </w:tc>
        <w:tc>
          <w:tcPr>
            <w:tcW w:w="709" w:type="dxa"/>
            <w:tcBorders>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66,9</w:t>
            </w:r>
          </w:p>
        </w:tc>
        <w:tc>
          <w:tcPr>
            <w:tcW w:w="709" w:type="dxa"/>
            <w:tcBorders>
              <w:left w:val="single" w:sz="4" w:space="0" w:color="auto"/>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182,6</w:t>
            </w:r>
          </w:p>
        </w:tc>
        <w:tc>
          <w:tcPr>
            <w:tcW w:w="640" w:type="dxa"/>
            <w:tcBorders>
              <w:lef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34,7</w:t>
            </w:r>
          </w:p>
        </w:tc>
      </w:tr>
      <w:tr w:rsidR="00B233DE" w:rsidRPr="00C924BC" w:rsidTr="0023489B">
        <w:trPr>
          <w:trHeight w:val="20"/>
          <w:jc w:val="center"/>
        </w:trPr>
        <w:tc>
          <w:tcPr>
            <w:tcW w:w="754" w:type="dxa"/>
            <w:vAlign w:val="center"/>
          </w:tcPr>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25-29</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371,5</w:t>
            </w:r>
          </w:p>
        </w:tc>
        <w:tc>
          <w:tcPr>
            <w:tcW w:w="674"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89,3</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367,5</w:t>
            </w:r>
          </w:p>
        </w:tc>
        <w:tc>
          <w:tcPr>
            <w:tcW w:w="708"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100,2</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386,8</w:t>
            </w:r>
          </w:p>
        </w:tc>
        <w:tc>
          <w:tcPr>
            <w:tcW w:w="709" w:type="dxa"/>
            <w:tcBorders>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90,5</w:t>
            </w:r>
          </w:p>
        </w:tc>
        <w:tc>
          <w:tcPr>
            <w:tcW w:w="709" w:type="dxa"/>
            <w:tcBorders>
              <w:left w:val="single" w:sz="4" w:space="0" w:color="auto"/>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198,0</w:t>
            </w:r>
          </w:p>
        </w:tc>
        <w:tc>
          <w:tcPr>
            <w:tcW w:w="640" w:type="dxa"/>
            <w:tcBorders>
              <w:lef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67,0</w:t>
            </w:r>
          </w:p>
        </w:tc>
      </w:tr>
      <w:tr w:rsidR="00B233DE" w:rsidRPr="00C924BC" w:rsidTr="0023489B">
        <w:trPr>
          <w:trHeight w:val="20"/>
          <w:jc w:val="center"/>
        </w:trPr>
        <w:tc>
          <w:tcPr>
            <w:tcW w:w="754" w:type="dxa"/>
            <w:vAlign w:val="center"/>
          </w:tcPr>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30-34</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511,7</w:t>
            </w:r>
          </w:p>
        </w:tc>
        <w:tc>
          <w:tcPr>
            <w:tcW w:w="674"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124,9</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508,4</w:t>
            </w:r>
          </w:p>
        </w:tc>
        <w:tc>
          <w:tcPr>
            <w:tcW w:w="708"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125,3</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601,2</w:t>
            </w:r>
          </w:p>
        </w:tc>
        <w:tc>
          <w:tcPr>
            <w:tcW w:w="709" w:type="dxa"/>
            <w:tcBorders>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112,0</w:t>
            </w:r>
          </w:p>
        </w:tc>
        <w:tc>
          <w:tcPr>
            <w:tcW w:w="709" w:type="dxa"/>
            <w:tcBorders>
              <w:left w:val="single" w:sz="4" w:space="0" w:color="auto"/>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313,4</w:t>
            </w:r>
          </w:p>
        </w:tc>
        <w:tc>
          <w:tcPr>
            <w:tcW w:w="640" w:type="dxa"/>
            <w:tcBorders>
              <w:lef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124,5</w:t>
            </w:r>
          </w:p>
        </w:tc>
      </w:tr>
      <w:tr w:rsidR="00B233DE" w:rsidRPr="00C924BC" w:rsidTr="0023489B">
        <w:trPr>
          <w:trHeight w:val="20"/>
          <w:jc w:val="center"/>
        </w:trPr>
        <w:tc>
          <w:tcPr>
            <w:tcW w:w="754" w:type="dxa"/>
            <w:vAlign w:val="center"/>
          </w:tcPr>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35-39</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711,7</w:t>
            </w:r>
          </w:p>
        </w:tc>
        <w:tc>
          <w:tcPr>
            <w:tcW w:w="674"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201,0</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623,7</w:t>
            </w:r>
          </w:p>
        </w:tc>
        <w:tc>
          <w:tcPr>
            <w:tcW w:w="708"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173,7</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799,4</w:t>
            </w:r>
          </w:p>
        </w:tc>
        <w:tc>
          <w:tcPr>
            <w:tcW w:w="709" w:type="dxa"/>
            <w:tcBorders>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180,3</w:t>
            </w:r>
          </w:p>
        </w:tc>
        <w:tc>
          <w:tcPr>
            <w:tcW w:w="709" w:type="dxa"/>
            <w:tcBorders>
              <w:left w:val="single" w:sz="4" w:space="0" w:color="auto"/>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533,9</w:t>
            </w:r>
          </w:p>
        </w:tc>
        <w:tc>
          <w:tcPr>
            <w:tcW w:w="640" w:type="dxa"/>
            <w:tcBorders>
              <w:lef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164,4</w:t>
            </w:r>
          </w:p>
        </w:tc>
      </w:tr>
      <w:tr w:rsidR="00B233DE" w:rsidRPr="00C924BC" w:rsidTr="0023489B">
        <w:trPr>
          <w:trHeight w:val="20"/>
          <w:jc w:val="center"/>
        </w:trPr>
        <w:tc>
          <w:tcPr>
            <w:tcW w:w="754" w:type="dxa"/>
            <w:vAlign w:val="center"/>
          </w:tcPr>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40-44</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1 </w:t>
            </w:r>
            <w:r w:rsidRPr="00C924BC">
              <w:rPr>
                <w:rFonts w:ascii="Times New Roman" w:hAnsi="Times New Roman" w:cs="Times New Roman"/>
                <w:sz w:val="16"/>
                <w:szCs w:val="16"/>
              </w:rPr>
              <w:t>141,5</w:t>
            </w:r>
          </w:p>
        </w:tc>
        <w:tc>
          <w:tcPr>
            <w:tcW w:w="674"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295,2</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982,6</w:t>
            </w:r>
          </w:p>
        </w:tc>
        <w:tc>
          <w:tcPr>
            <w:tcW w:w="708"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282,8</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1 090,3</w:t>
            </w:r>
          </w:p>
        </w:tc>
        <w:tc>
          <w:tcPr>
            <w:tcW w:w="709" w:type="dxa"/>
            <w:tcBorders>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316,7</w:t>
            </w:r>
          </w:p>
        </w:tc>
        <w:tc>
          <w:tcPr>
            <w:tcW w:w="709" w:type="dxa"/>
            <w:tcBorders>
              <w:left w:val="single" w:sz="4" w:space="0" w:color="auto"/>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678,8</w:t>
            </w:r>
          </w:p>
        </w:tc>
        <w:tc>
          <w:tcPr>
            <w:tcW w:w="640" w:type="dxa"/>
            <w:tcBorders>
              <w:lef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181,4</w:t>
            </w:r>
          </w:p>
        </w:tc>
      </w:tr>
      <w:tr w:rsidR="00B233DE" w:rsidRPr="00C924BC" w:rsidTr="0023489B">
        <w:trPr>
          <w:trHeight w:val="20"/>
          <w:jc w:val="center"/>
        </w:trPr>
        <w:tc>
          <w:tcPr>
            <w:tcW w:w="754" w:type="dxa"/>
            <w:vAlign w:val="center"/>
          </w:tcPr>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45-49</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1 </w:t>
            </w:r>
            <w:r w:rsidRPr="00C924BC">
              <w:rPr>
                <w:rFonts w:ascii="Times New Roman" w:hAnsi="Times New Roman" w:cs="Times New Roman"/>
                <w:sz w:val="16"/>
                <w:szCs w:val="16"/>
              </w:rPr>
              <w:t>436,3</w:t>
            </w:r>
          </w:p>
        </w:tc>
        <w:tc>
          <w:tcPr>
            <w:tcW w:w="674"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434,2</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1 </w:t>
            </w:r>
            <w:r w:rsidRPr="00C924BC">
              <w:rPr>
                <w:rFonts w:ascii="Times New Roman" w:hAnsi="Times New Roman" w:cs="Times New Roman"/>
                <w:sz w:val="16"/>
                <w:szCs w:val="16"/>
              </w:rPr>
              <w:t>319,6</w:t>
            </w:r>
          </w:p>
        </w:tc>
        <w:tc>
          <w:tcPr>
            <w:tcW w:w="708"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362,6</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1 584,6</w:t>
            </w:r>
          </w:p>
        </w:tc>
        <w:tc>
          <w:tcPr>
            <w:tcW w:w="709" w:type="dxa"/>
            <w:tcBorders>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396,1</w:t>
            </w:r>
          </w:p>
        </w:tc>
        <w:tc>
          <w:tcPr>
            <w:tcW w:w="709" w:type="dxa"/>
            <w:tcBorders>
              <w:left w:val="single" w:sz="4" w:space="0" w:color="auto"/>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940,7</w:t>
            </w:r>
          </w:p>
        </w:tc>
        <w:tc>
          <w:tcPr>
            <w:tcW w:w="640" w:type="dxa"/>
            <w:tcBorders>
              <w:lef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308,5</w:t>
            </w:r>
          </w:p>
        </w:tc>
      </w:tr>
      <w:tr w:rsidR="00B233DE" w:rsidRPr="00C924BC" w:rsidTr="0023489B">
        <w:trPr>
          <w:trHeight w:val="20"/>
          <w:jc w:val="center"/>
        </w:trPr>
        <w:tc>
          <w:tcPr>
            <w:tcW w:w="754" w:type="dxa"/>
            <w:vAlign w:val="center"/>
          </w:tcPr>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50-54</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2 </w:t>
            </w:r>
            <w:r w:rsidRPr="00C924BC">
              <w:rPr>
                <w:rFonts w:ascii="Times New Roman" w:hAnsi="Times New Roman" w:cs="Times New Roman"/>
                <w:sz w:val="16"/>
                <w:szCs w:val="16"/>
              </w:rPr>
              <w:t>120,1</w:t>
            </w:r>
          </w:p>
        </w:tc>
        <w:tc>
          <w:tcPr>
            <w:tcW w:w="674"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719,2</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1 </w:t>
            </w:r>
            <w:r w:rsidRPr="00C924BC">
              <w:rPr>
                <w:rFonts w:ascii="Times New Roman" w:hAnsi="Times New Roman" w:cs="Times New Roman"/>
                <w:sz w:val="16"/>
                <w:szCs w:val="16"/>
              </w:rPr>
              <w:t>878,4</w:t>
            </w:r>
          </w:p>
        </w:tc>
        <w:tc>
          <w:tcPr>
            <w:tcW w:w="708"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626,4</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2 084,8</w:t>
            </w:r>
          </w:p>
        </w:tc>
        <w:tc>
          <w:tcPr>
            <w:tcW w:w="709" w:type="dxa"/>
            <w:tcBorders>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581,1</w:t>
            </w:r>
          </w:p>
        </w:tc>
        <w:tc>
          <w:tcPr>
            <w:tcW w:w="709" w:type="dxa"/>
            <w:tcBorders>
              <w:left w:val="single" w:sz="4" w:space="0" w:color="auto"/>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1 386,7</w:t>
            </w:r>
          </w:p>
        </w:tc>
        <w:tc>
          <w:tcPr>
            <w:tcW w:w="640" w:type="dxa"/>
            <w:tcBorders>
              <w:lef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380,3</w:t>
            </w:r>
          </w:p>
        </w:tc>
      </w:tr>
      <w:tr w:rsidR="00B233DE" w:rsidRPr="00C924BC" w:rsidTr="0023489B">
        <w:trPr>
          <w:trHeight w:val="20"/>
          <w:jc w:val="center"/>
        </w:trPr>
        <w:tc>
          <w:tcPr>
            <w:tcW w:w="754" w:type="dxa"/>
            <w:vAlign w:val="center"/>
          </w:tcPr>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55-59</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2 </w:t>
            </w:r>
            <w:r w:rsidRPr="00C924BC">
              <w:rPr>
                <w:rFonts w:ascii="Times New Roman" w:hAnsi="Times New Roman" w:cs="Times New Roman"/>
                <w:sz w:val="16"/>
                <w:szCs w:val="16"/>
              </w:rPr>
              <w:t>687,9</w:t>
            </w:r>
          </w:p>
        </w:tc>
        <w:tc>
          <w:tcPr>
            <w:tcW w:w="674"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1 </w:t>
            </w:r>
            <w:r w:rsidRPr="00C924BC">
              <w:rPr>
                <w:rFonts w:ascii="Times New Roman" w:hAnsi="Times New Roman" w:cs="Times New Roman"/>
                <w:sz w:val="16"/>
                <w:szCs w:val="16"/>
              </w:rPr>
              <w:t>022,0</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2 </w:t>
            </w:r>
            <w:r w:rsidRPr="00C924BC">
              <w:rPr>
                <w:rFonts w:ascii="Times New Roman" w:hAnsi="Times New Roman" w:cs="Times New Roman"/>
                <w:sz w:val="16"/>
                <w:szCs w:val="16"/>
              </w:rPr>
              <w:t>493,2</w:t>
            </w:r>
          </w:p>
        </w:tc>
        <w:tc>
          <w:tcPr>
            <w:tcW w:w="708"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947,3</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2 707,4</w:t>
            </w:r>
          </w:p>
        </w:tc>
        <w:tc>
          <w:tcPr>
            <w:tcW w:w="709" w:type="dxa"/>
            <w:tcBorders>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1 099,6</w:t>
            </w:r>
          </w:p>
        </w:tc>
        <w:tc>
          <w:tcPr>
            <w:tcW w:w="709" w:type="dxa"/>
            <w:tcBorders>
              <w:left w:val="single" w:sz="4" w:space="0" w:color="auto"/>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2 095,8</w:t>
            </w:r>
          </w:p>
        </w:tc>
        <w:tc>
          <w:tcPr>
            <w:tcW w:w="640" w:type="dxa"/>
            <w:tcBorders>
              <w:lef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750,7</w:t>
            </w:r>
          </w:p>
        </w:tc>
      </w:tr>
      <w:tr w:rsidR="00B233DE" w:rsidRPr="00C924BC" w:rsidTr="0023489B">
        <w:trPr>
          <w:trHeight w:val="20"/>
          <w:jc w:val="center"/>
        </w:trPr>
        <w:tc>
          <w:tcPr>
            <w:tcW w:w="754" w:type="dxa"/>
            <w:vAlign w:val="center"/>
          </w:tcPr>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60-64</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4 </w:t>
            </w:r>
            <w:r w:rsidRPr="00C924BC">
              <w:rPr>
                <w:rFonts w:ascii="Times New Roman" w:hAnsi="Times New Roman" w:cs="Times New Roman"/>
                <w:sz w:val="16"/>
                <w:szCs w:val="16"/>
              </w:rPr>
              <w:t>029,4</w:t>
            </w:r>
          </w:p>
        </w:tc>
        <w:tc>
          <w:tcPr>
            <w:tcW w:w="674"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1 </w:t>
            </w:r>
            <w:r w:rsidRPr="00C924BC">
              <w:rPr>
                <w:rFonts w:ascii="Times New Roman" w:hAnsi="Times New Roman" w:cs="Times New Roman"/>
                <w:sz w:val="16"/>
                <w:szCs w:val="16"/>
              </w:rPr>
              <w:t>661,7</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3 </w:t>
            </w:r>
            <w:r w:rsidRPr="00C924BC">
              <w:rPr>
                <w:rFonts w:ascii="Times New Roman" w:hAnsi="Times New Roman" w:cs="Times New Roman"/>
                <w:sz w:val="16"/>
                <w:szCs w:val="16"/>
              </w:rPr>
              <w:t>694,2</w:t>
            </w:r>
          </w:p>
        </w:tc>
        <w:tc>
          <w:tcPr>
            <w:tcW w:w="708"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1 504,8</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4 310,1</w:t>
            </w:r>
          </w:p>
        </w:tc>
        <w:tc>
          <w:tcPr>
            <w:tcW w:w="709" w:type="dxa"/>
            <w:tcBorders>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1 546,5</w:t>
            </w:r>
          </w:p>
        </w:tc>
        <w:tc>
          <w:tcPr>
            <w:tcW w:w="709" w:type="dxa"/>
            <w:tcBorders>
              <w:left w:val="single" w:sz="4" w:space="0" w:color="auto"/>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3 146,6</w:t>
            </w:r>
          </w:p>
        </w:tc>
        <w:tc>
          <w:tcPr>
            <w:tcW w:w="640" w:type="dxa"/>
            <w:tcBorders>
              <w:lef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sidRPr="00C924BC">
              <w:rPr>
                <w:rFonts w:ascii="Times New Roman" w:hAnsi="Times New Roman" w:cs="Times New Roman"/>
                <w:sz w:val="16"/>
                <w:szCs w:val="16"/>
              </w:rPr>
              <w:t>1 111,8</w:t>
            </w:r>
          </w:p>
        </w:tc>
      </w:tr>
      <w:tr w:rsidR="00B233DE" w:rsidRPr="00C924BC" w:rsidTr="0023489B">
        <w:trPr>
          <w:trHeight w:val="20"/>
          <w:jc w:val="center"/>
        </w:trPr>
        <w:tc>
          <w:tcPr>
            <w:tcW w:w="754" w:type="dxa"/>
            <w:vAlign w:val="center"/>
          </w:tcPr>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65-69</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4 </w:t>
            </w:r>
            <w:r w:rsidRPr="00C924BC">
              <w:rPr>
                <w:rFonts w:ascii="Times New Roman" w:hAnsi="Times New Roman" w:cs="Times New Roman"/>
                <w:sz w:val="16"/>
                <w:szCs w:val="16"/>
              </w:rPr>
              <w:t>960,5</w:t>
            </w:r>
          </w:p>
        </w:tc>
        <w:tc>
          <w:tcPr>
            <w:tcW w:w="674"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2 </w:t>
            </w:r>
            <w:r w:rsidRPr="00C924BC">
              <w:rPr>
                <w:rFonts w:ascii="Times New Roman" w:hAnsi="Times New Roman" w:cs="Times New Roman"/>
                <w:sz w:val="16"/>
                <w:szCs w:val="16"/>
              </w:rPr>
              <w:t>393,4</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4 </w:t>
            </w:r>
            <w:r w:rsidRPr="00C924BC">
              <w:rPr>
                <w:rFonts w:ascii="Times New Roman" w:hAnsi="Times New Roman" w:cs="Times New Roman"/>
                <w:sz w:val="16"/>
                <w:szCs w:val="16"/>
              </w:rPr>
              <w:t>736,2</w:t>
            </w:r>
          </w:p>
        </w:tc>
        <w:tc>
          <w:tcPr>
            <w:tcW w:w="708"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2 </w:t>
            </w:r>
            <w:r w:rsidRPr="00C924BC">
              <w:rPr>
                <w:rFonts w:ascii="Times New Roman" w:hAnsi="Times New Roman" w:cs="Times New Roman"/>
                <w:sz w:val="16"/>
                <w:szCs w:val="16"/>
              </w:rPr>
              <w:t>240,0</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5 </w:t>
            </w:r>
            <w:r w:rsidRPr="00C924BC">
              <w:rPr>
                <w:rFonts w:ascii="Times New Roman" w:hAnsi="Times New Roman" w:cs="Times New Roman"/>
                <w:sz w:val="16"/>
                <w:szCs w:val="16"/>
              </w:rPr>
              <w:t>309,5</w:t>
            </w:r>
          </w:p>
        </w:tc>
        <w:tc>
          <w:tcPr>
            <w:tcW w:w="709" w:type="dxa"/>
            <w:tcBorders>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2 </w:t>
            </w:r>
            <w:r w:rsidRPr="00C924BC">
              <w:rPr>
                <w:rFonts w:ascii="Times New Roman" w:hAnsi="Times New Roman" w:cs="Times New Roman"/>
                <w:sz w:val="16"/>
                <w:szCs w:val="16"/>
              </w:rPr>
              <w:t>343,1</w:t>
            </w:r>
          </w:p>
        </w:tc>
        <w:tc>
          <w:tcPr>
            <w:tcW w:w="709" w:type="dxa"/>
            <w:tcBorders>
              <w:left w:val="single" w:sz="4" w:space="0" w:color="auto"/>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4 </w:t>
            </w:r>
            <w:r w:rsidRPr="00C924BC">
              <w:rPr>
                <w:rFonts w:ascii="Times New Roman" w:hAnsi="Times New Roman" w:cs="Times New Roman"/>
                <w:sz w:val="16"/>
                <w:szCs w:val="16"/>
              </w:rPr>
              <w:t>138,2</w:t>
            </w:r>
          </w:p>
        </w:tc>
        <w:tc>
          <w:tcPr>
            <w:tcW w:w="640" w:type="dxa"/>
            <w:tcBorders>
              <w:lef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1 </w:t>
            </w:r>
            <w:r w:rsidRPr="00C924BC">
              <w:rPr>
                <w:rFonts w:ascii="Times New Roman" w:hAnsi="Times New Roman" w:cs="Times New Roman"/>
                <w:sz w:val="16"/>
                <w:szCs w:val="16"/>
              </w:rPr>
              <w:t>828,1</w:t>
            </w:r>
          </w:p>
        </w:tc>
      </w:tr>
      <w:tr w:rsidR="00B233DE" w:rsidRPr="00C924BC" w:rsidTr="0023489B">
        <w:trPr>
          <w:trHeight w:val="20"/>
          <w:jc w:val="center"/>
        </w:trPr>
        <w:tc>
          <w:tcPr>
            <w:tcW w:w="754" w:type="dxa"/>
            <w:vAlign w:val="center"/>
          </w:tcPr>
          <w:p w:rsidR="00B233DE" w:rsidRPr="00C924BC" w:rsidRDefault="00B233DE" w:rsidP="0023489B">
            <w:pPr>
              <w:ind w:firstLine="0"/>
              <w:jc w:val="center"/>
              <w:rPr>
                <w:rFonts w:ascii="Times New Roman" w:hAnsi="Times New Roman" w:cs="Times New Roman"/>
                <w:sz w:val="16"/>
                <w:szCs w:val="16"/>
              </w:rPr>
            </w:pPr>
            <w:r w:rsidRPr="00C924BC">
              <w:rPr>
                <w:rFonts w:ascii="Times New Roman" w:hAnsi="Times New Roman" w:cs="Times New Roman"/>
                <w:sz w:val="16"/>
                <w:szCs w:val="16"/>
              </w:rPr>
              <w:t xml:space="preserve">70 і </w:t>
            </w:r>
            <w:r>
              <w:rPr>
                <w:rFonts w:ascii="Times New Roman" w:hAnsi="Times New Roman" w:cs="Times New Roman"/>
                <w:sz w:val="16"/>
                <w:szCs w:val="16"/>
              </w:rPr>
              <w:t>старіші</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11 </w:t>
            </w:r>
            <w:r w:rsidRPr="00C924BC">
              <w:rPr>
                <w:rFonts w:ascii="Times New Roman" w:hAnsi="Times New Roman" w:cs="Times New Roman"/>
                <w:sz w:val="16"/>
                <w:szCs w:val="16"/>
              </w:rPr>
              <w:t>049,3</w:t>
            </w:r>
          </w:p>
        </w:tc>
        <w:tc>
          <w:tcPr>
            <w:tcW w:w="674"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8 </w:t>
            </w:r>
            <w:r w:rsidRPr="00C924BC">
              <w:rPr>
                <w:rFonts w:ascii="Times New Roman" w:hAnsi="Times New Roman" w:cs="Times New Roman"/>
                <w:sz w:val="16"/>
                <w:szCs w:val="16"/>
              </w:rPr>
              <w:t>567,4</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10 </w:t>
            </w:r>
            <w:r w:rsidRPr="00C924BC">
              <w:rPr>
                <w:rFonts w:ascii="Times New Roman" w:hAnsi="Times New Roman" w:cs="Times New Roman"/>
                <w:sz w:val="16"/>
                <w:szCs w:val="16"/>
              </w:rPr>
              <w:t>080,4</w:t>
            </w:r>
          </w:p>
        </w:tc>
        <w:tc>
          <w:tcPr>
            <w:tcW w:w="708"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8 </w:t>
            </w:r>
            <w:r w:rsidRPr="00C924BC">
              <w:rPr>
                <w:rFonts w:ascii="Times New Roman" w:hAnsi="Times New Roman" w:cs="Times New Roman"/>
                <w:sz w:val="16"/>
                <w:szCs w:val="16"/>
              </w:rPr>
              <w:t>106,6</w:t>
            </w:r>
          </w:p>
        </w:tc>
        <w:tc>
          <w:tcPr>
            <w:tcW w:w="709" w:type="dxa"/>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10 </w:t>
            </w:r>
            <w:r w:rsidRPr="00C924BC">
              <w:rPr>
                <w:rFonts w:ascii="Times New Roman" w:hAnsi="Times New Roman" w:cs="Times New Roman"/>
                <w:sz w:val="16"/>
                <w:szCs w:val="16"/>
              </w:rPr>
              <w:t>794,0</w:t>
            </w:r>
          </w:p>
        </w:tc>
        <w:tc>
          <w:tcPr>
            <w:tcW w:w="709" w:type="dxa"/>
            <w:tcBorders>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8 </w:t>
            </w:r>
            <w:r w:rsidRPr="00C924BC">
              <w:rPr>
                <w:rFonts w:ascii="Times New Roman" w:hAnsi="Times New Roman" w:cs="Times New Roman"/>
                <w:sz w:val="16"/>
                <w:szCs w:val="16"/>
              </w:rPr>
              <w:t>351,5</w:t>
            </w:r>
          </w:p>
        </w:tc>
        <w:tc>
          <w:tcPr>
            <w:tcW w:w="709" w:type="dxa"/>
            <w:tcBorders>
              <w:left w:val="single" w:sz="4" w:space="0" w:color="auto"/>
              <w:righ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9 </w:t>
            </w:r>
            <w:r w:rsidRPr="00C924BC">
              <w:rPr>
                <w:rFonts w:ascii="Times New Roman" w:hAnsi="Times New Roman" w:cs="Times New Roman"/>
                <w:sz w:val="16"/>
                <w:szCs w:val="16"/>
              </w:rPr>
              <w:t>578,9</w:t>
            </w:r>
          </w:p>
        </w:tc>
        <w:tc>
          <w:tcPr>
            <w:tcW w:w="640" w:type="dxa"/>
            <w:tcBorders>
              <w:left w:val="single" w:sz="4" w:space="0" w:color="auto"/>
            </w:tcBorders>
            <w:vAlign w:val="center"/>
          </w:tcPr>
          <w:p w:rsidR="00B233DE" w:rsidRPr="00C924BC" w:rsidRDefault="00B233DE" w:rsidP="0023489B">
            <w:pPr>
              <w:ind w:firstLine="0"/>
              <w:jc w:val="center"/>
              <w:rPr>
                <w:rFonts w:ascii="Times New Roman" w:hAnsi="Times New Roman" w:cs="Times New Roman"/>
                <w:sz w:val="16"/>
                <w:szCs w:val="16"/>
                <w:highlight w:val="yellow"/>
              </w:rPr>
            </w:pPr>
            <w:r>
              <w:rPr>
                <w:rFonts w:ascii="Times New Roman" w:hAnsi="Times New Roman" w:cs="Times New Roman"/>
                <w:sz w:val="16"/>
                <w:szCs w:val="16"/>
              </w:rPr>
              <w:t xml:space="preserve">7 </w:t>
            </w:r>
            <w:r w:rsidRPr="00C924BC">
              <w:rPr>
                <w:rFonts w:ascii="Times New Roman" w:hAnsi="Times New Roman" w:cs="Times New Roman"/>
                <w:sz w:val="16"/>
                <w:szCs w:val="16"/>
              </w:rPr>
              <w:t>531,8</w:t>
            </w:r>
          </w:p>
        </w:tc>
      </w:tr>
    </w:tbl>
    <w:p w:rsidR="00B233DE" w:rsidRPr="00CD1C3A" w:rsidRDefault="00B233DE" w:rsidP="00B233DE">
      <w:pPr>
        <w:ind w:firstLine="709"/>
        <w:jc w:val="center"/>
        <w:rPr>
          <w:rFonts w:ascii="Times New Roman" w:hAnsi="Times New Roman" w:cs="Times New Roman"/>
          <w:sz w:val="21"/>
          <w:szCs w:val="21"/>
        </w:rPr>
      </w:pPr>
    </w:p>
    <w:p w:rsidR="00B233DE" w:rsidRPr="00CD1C3A" w:rsidRDefault="00B233DE" w:rsidP="00B233DE">
      <w:pPr>
        <w:ind w:firstLine="709"/>
        <w:jc w:val="both"/>
        <w:rPr>
          <w:rFonts w:ascii="Times New Roman" w:hAnsi="Times New Roman" w:cs="Times New Roman"/>
          <w:sz w:val="21"/>
          <w:szCs w:val="21"/>
          <w:highlight w:val="yellow"/>
        </w:rPr>
      </w:pPr>
      <w:r w:rsidRPr="00CD1C3A">
        <w:rPr>
          <w:rFonts w:ascii="Times New Roman" w:hAnsi="Times New Roman" w:cs="Times New Roman"/>
          <w:sz w:val="21"/>
          <w:szCs w:val="21"/>
        </w:rPr>
        <w:t>В 2013 році зафіксовано найвищий коефіцієнт у чоловіків в віковій групі 0</w:t>
      </w:r>
      <w:r>
        <w:rPr>
          <w:rFonts w:ascii="Times New Roman" w:hAnsi="Times New Roman" w:cs="Times New Roman"/>
          <w:sz w:val="21"/>
          <w:szCs w:val="21"/>
        </w:rPr>
        <w:t>–</w:t>
      </w:r>
      <w:r w:rsidRPr="00CD1C3A">
        <w:rPr>
          <w:rFonts w:ascii="Times New Roman" w:hAnsi="Times New Roman" w:cs="Times New Roman"/>
          <w:sz w:val="21"/>
          <w:szCs w:val="21"/>
        </w:rPr>
        <w:t>4, у порівнянні з 2005 роком він збільшився у 57 разів. В 2013 році в чоловіків у вікових групах від 5</w:t>
      </w:r>
      <w:r>
        <w:rPr>
          <w:rFonts w:ascii="Times New Roman" w:hAnsi="Times New Roman" w:cs="Times New Roman"/>
          <w:sz w:val="21"/>
          <w:szCs w:val="21"/>
        </w:rPr>
        <w:t>–</w:t>
      </w:r>
      <w:r w:rsidRPr="00CD1C3A">
        <w:rPr>
          <w:rFonts w:ascii="Times New Roman" w:hAnsi="Times New Roman" w:cs="Times New Roman"/>
          <w:sz w:val="21"/>
          <w:szCs w:val="21"/>
        </w:rPr>
        <w:t>9, 10</w:t>
      </w:r>
      <w:r>
        <w:rPr>
          <w:rFonts w:ascii="Times New Roman" w:hAnsi="Times New Roman" w:cs="Times New Roman"/>
          <w:sz w:val="21"/>
          <w:szCs w:val="21"/>
        </w:rPr>
        <w:t>–</w:t>
      </w:r>
      <w:r w:rsidRPr="00CD1C3A">
        <w:rPr>
          <w:rFonts w:ascii="Times New Roman" w:hAnsi="Times New Roman" w:cs="Times New Roman"/>
          <w:sz w:val="21"/>
          <w:szCs w:val="21"/>
        </w:rPr>
        <w:t>14, 15</w:t>
      </w:r>
      <w:r>
        <w:rPr>
          <w:rFonts w:ascii="Times New Roman" w:hAnsi="Times New Roman" w:cs="Times New Roman"/>
          <w:sz w:val="21"/>
          <w:szCs w:val="21"/>
        </w:rPr>
        <w:t>–</w:t>
      </w:r>
      <w:r w:rsidRPr="00CD1C3A">
        <w:rPr>
          <w:rFonts w:ascii="Times New Roman" w:hAnsi="Times New Roman" w:cs="Times New Roman"/>
          <w:sz w:val="21"/>
          <w:szCs w:val="21"/>
        </w:rPr>
        <w:t xml:space="preserve">19, порівняно з 1995 роком він зменшився майже вдвічі. </w:t>
      </w:r>
    </w:p>
    <w:p w:rsidR="00B233DE" w:rsidRPr="00CD1C3A"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У жінок</w:t>
      </w:r>
      <w:r w:rsidRPr="00CD1C3A">
        <w:rPr>
          <w:rFonts w:ascii="Times New Roman" w:hAnsi="Times New Roman" w:cs="Times New Roman"/>
          <w:sz w:val="21"/>
          <w:szCs w:val="21"/>
        </w:rPr>
        <w:t xml:space="preserve"> </w:t>
      </w:r>
      <w:r>
        <w:rPr>
          <w:rFonts w:ascii="Times New Roman" w:hAnsi="Times New Roman" w:cs="Times New Roman"/>
          <w:sz w:val="21"/>
          <w:szCs w:val="21"/>
        </w:rPr>
        <w:t>у</w:t>
      </w:r>
      <w:r w:rsidRPr="00CD1C3A">
        <w:rPr>
          <w:rFonts w:ascii="Times New Roman" w:hAnsi="Times New Roman" w:cs="Times New Roman"/>
          <w:sz w:val="21"/>
          <w:szCs w:val="21"/>
        </w:rPr>
        <w:t xml:space="preserve"> вікових групах 5</w:t>
      </w:r>
      <w:r>
        <w:rPr>
          <w:rFonts w:ascii="Times New Roman" w:hAnsi="Times New Roman" w:cs="Times New Roman"/>
          <w:sz w:val="21"/>
          <w:szCs w:val="21"/>
        </w:rPr>
        <w:t>–</w:t>
      </w:r>
      <w:r w:rsidRPr="00CD1C3A">
        <w:rPr>
          <w:rFonts w:ascii="Times New Roman" w:hAnsi="Times New Roman" w:cs="Times New Roman"/>
          <w:sz w:val="21"/>
          <w:szCs w:val="21"/>
        </w:rPr>
        <w:t>9 в 2013 році віковий коефіцієнт у порівнянні з 1995 роком зменшився майже у 10 разів. В вікових групах 0</w:t>
      </w:r>
      <w:r>
        <w:rPr>
          <w:rFonts w:ascii="Times New Roman" w:hAnsi="Times New Roman" w:cs="Times New Roman"/>
          <w:sz w:val="21"/>
          <w:szCs w:val="21"/>
        </w:rPr>
        <w:t>–</w:t>
      </w:r>
      <w:r w:rsidRPr="00CD1C3A">
        <w:rPr>
          <w:rFonts w:ascii="Times New Roman" w:hAnsi="Times New Roman" w:cs="Times New Roman"/>
          <w:sz w:val="21"/>
          <w:szCs w:val="21"/>
        </w:rPr>
        <w:t>4, 20</w:t>
      </w:r>
      <w:r>
        <w:rPr>
          <w:rFonts w:ascii="Times New Roman" w:hAnsi="Times New Roman" w:cs="Times New Roman"/>
          <w:sz w:val="21"/>
          <w:szCs w:val="21"/>
        </w:rPr>
        <w:t>–</w:t>
      </w:r>
      <w:r w:rsidRPr="00CD1C3A">
        <w:rPr>
          <w:rFonts w:ascii="Times New Roman" w:hAnsi="Times New Roman" w:cs="Times New Roman"/>
          <w:sz w:val="21"/>
          <w:szCs w:val="21"/>
        </w:rPr>
        <w:t>24, 50-54 зменшився вдвічі. Без значних змін ситуація у жінок вікової групи 30</w:t>
      </w:r>
      <w:r>
        <w:rPr>
          <w:rFonts w:ascii="Times New Roman" w:hAnsi="Times New Roman" w:cs="Times New Roman"/>
          <w:sz w:val="21"/>
          <w:szCs w:val="21"/>
        </w:rPr>
        <w:t>–</w:t>
      </w:r>
      <w:r w:rsidRPr="00CD1C3A">
        <w:rPr>
          <w:rFonts w:ascii="Times New Roman" w:hAnsi="Times New Roman" w:cs="Times New Roman"/>
          <w:sz w:val="21"/>
          <w:szCs w:val="21"/>
        </w:rPr>
        <w:t>34.</w:t>
      </w: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Для повної характеристики як самої смертності, так і загальної соціально-економічної ситуації, умов праці та життя населення, йог</w:t>
      </w:r>
      <w:r>
        <w:rPr>
          <w:rFonts w:ascii="Times New Roman" w:hAnsi="Times New Roman" w:cs="Times New Roman"/>
          <w:sz w:val="21"/>
          <w:szCs w:val="21"/>
        </w:rPr>
        <w:t>о способу життя, поведінки, пов’</w:t>
      </w:r>
      <w:r w:rsidRPr="00CD1C3A">
        <w:rPr>
          <w:rFonts w:ascii="Times New Roman" w:hAnsi="Times New Roman" w:cs="Times New Roman"/>
          <w:sz w:val="21"/>
          <w:szCs w:val="21"/>
        </w:rPr>
        <w:t>язано</w:t>
      </w:r>
      <w:r>
        <w:rPr>
          <w:rFonts w:ascii="Times New Roman" w:hAnsi="Times New Roman" w:cs="Times New Roman"/>
          <w:sz w:val="21"/>
          <w:szCs w:val="21"/>
        </w:rPr>
        <w:t>ї зі здоров’</w:t>
      </w:r>
      <w:r w:rsidRPr="00CD1C3A">
        <w:rPr>
          <w:rFonts w:ascii="Times New Roman" w:hAnsi="Times New Roman" w:cs="Times New Roman"/>
          <w:sz w:val="21"/>
          <w:szCs w:val="21"/>
        </w:rPr>
        <w:t xml:space="preserve">ям і тривалістю життя доречно використовувати якісні показники смертності, що характеризують причини смерті, </w:t>
      </w:r>
      <w:r w:rsidRPr="00CD1C3A">
        <w:rPr>
          <w:rFonts w:ascii="Times New Roman" w:eastAsia="Arial Unicode MS" w:hAnsi="Times New Roman" w:cs="Times New Roman"/>
          <w:sz w:val="21"/>
          <w:szCs w:val="21"/>
        </w:rPr>
        <w:t>‒</w:t>
      </w:r>
      <w:r w:rsidRPr="00CD1C3A">
        <w:rPr>
          <w:rFonts w:ascii="Times New Roman" w:hAnsi="Times New Roman" w:cs="Times New Roman"/>
          <w:sz w:val="21"/>
          <w:szCs w:val="21"/>
        </w:rPr>
        <w:t xml:space="preserve"> те, від чого помирають люди.</w:t>
      </w: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 xml:space="preserve">Важливість цього аспекту аналізу </w:t>
      </w:r>
      <w:r>
        <w:rPr>
          <w:rFonts w:ascii="Times New Roman" w:hAnsi="Times New Roman" w:cs="Times New Roman"/>
          <w:sz w:val="21"/>
          <w:szCs w:val="21"/>
        </w:rPr>
        <w:t>смертності обумовлена тісним зв’</w:t>
      </w:r>
      <w:r w:rsidRPr="00CD1C3A">
        <w:rPr>
          <w:rFonts w:ascii="Times New Roman" w:hAnsi="Times New Roman" w:cs="Times New Roman"/>
          <w:sz w:val="21"/>
          <w:szCs w:val="21"/>
        </w:rPr>
        <w:t>язком причин, від яких помирають люди, з умовами їх життя і праці, з</w:t>
      </w:r>
      <w:r>
        <w:rPr>
          <w:rFonts w:ascii="Times New Roman" w:hAnsi="Times New Roman" w:cs="Times New Roman"/>
          <w:sz w:val="21"/>
          <w:szCs w:val="21"/>
        </w:rPr>
        <w:t xml:space="preserve"> рівнем розвитку охорони здоров’</w:t>
      </w:r>
      <w:r w:rsidRPr="00CD1C3A">
        <w:rPr>
          <w:rFonts w:ascii="Times New Roman" w:hAnsi="Times New Roman" w:cs="Times New Roman"/>
          <w:sz w:val="21"/>
          <w:szCs w:val="21"/>
        </w:rPr>
        <w:t xml:space="preserve">я, із загальним </w:t>
      </w:r>
      <w:r w:rsidRPr="00CD1C3A">
        <w:rPr>
          <w:rFonts w:ascii="Times New Roman" w:hAnsi="Times New Roman" w:cs="Times New Roman"/>
          <w:sz w:val="21"/>
          <w:szCs w:val="21"/>
        </w:rPr>
        <w:lastRenderedPageBreak/>
        <w:t>рівнем соціально-економічного розвитку, нарешті, з поведінкою самих людей, з ї</w:t>
      </w:r>
      <w:r>
        <w:rPr>
          <w:rFonts w:ascii="Times New Roman" w:hAnsi="Times New Roman" w:cs="Times New Roman"/>
          <w:sz w:val="21"/>
          <w:szCs w:val="21"/>
        </w:rPr>
        <w:t>х ставленням до власного здоров’</w:t>
      </w:r>
      <w:r w:rsidRPr="00CD1C3A">
        <w:rPr>
          <w:rFonts w:ascii="Times New Roman" w:hAnsi="Times New Roman" w:cs="Times New Roman"/>
          <w:sz w:val="21"/>
          <w:szCs w:val="21"/>
        </w:rPr>
        <w:t xml:space="preserve">я, до життя і смерті. Як відомо, </w:t>
      </w:r>
      <w:r>
        <w:rPr>
          <w:rFonts w:ascii="Times New Roman" w:hAnsi="Times New Roman" w:cs="Times New Roman"/>
          <w:sz w:val="21"/>
          <w:szCs w:val="21"/>
        </w:rPr>
        <w:t>у Вінницькій області не</w:t>
      </w:r>
      <w:r w:rsidRPr="00CD1C3A">
        <w:rPr>
          <w:rFonts w:ascii="Times New Roman" w:hAnsi="Times New Roman" w:cs="Times New Roman"/>
          <w:sz w:val="21"/>
          <w:szCs w:val="21"/>
        </w:rPr>
        <w:t>сприятлива екологічна ситуація, тому буде доречним проаналізувати смертність населення за причинами. Причини смертності населення Вінницького регіону наведені в таблиці 2.</w:t>
      </w:r>
      <w:r>
        <w:rPr>
          <w:rFonts w:ascii="Times New Roman" w:hAnsi="Times New Roman" w:cs="Times New Roman"/>
          <w:sz w:val="21"/>
          <w:szCs w:val="21"/>
        </w:rPr>
        <w:t>11</w:t>
      </w:r>
      <w:r w:rsidRPr="00CD1C3A">
        <w:rPr>
          <w:rFonts w:ascii="Times New Roman" w:hAnsi="Times New Roman" w:cs="Times New Roman"/>
          <w:sz w:val="21"/>
          <w:szCs w:val="21"/>
        </w:rPr>
        <w:t>.</w:t>
      </w:r>
    </w:p>
    <w:p w:rsidR="00B233DE" w:rsidRDefault="00B233DE" w:rsidP="00B233DE">
      <w:pPr>
        <w:ind w:firstLine="709"/>
        <w:jc w:val="right"/>
        <w:rPr>
          <w:rFonts w:ascii="Times New Roman" w:hAnsi="Times New Roman" w:cs="Times New Roman"/>
          <w:sz w:val="21"/>
          <w:szCs w:val="21"/>
        </w:rPr>
      </w:pPr>
    </w:p>
    <w:p w:rsidR="00B233DE" w:rsidRPr="00CD1C3A" w:rsidRDefault="00B233DE" w:rsidP="00B233DE">
      <w:pPr>
        <w:ind w:firstLine="709"/>
        <w:jc w:val="right"/>
        <w:rPr>
          <w:rFonts w:ascii="Times New Roman" w:hAnsi="Times New Roman" w:cs="Times New Roman"/>
          <w:sz w:val="21"/>
          <w:szCs w:val="21"/>
        </w:rPr>
      </w:pPr>
      <w:r w:rsidRPr="00CD1C3A">
        <w:rPr>
          <w:rFonts w:ascii="Times New Roman" w:hAnsi="Times New Roman" w:cs="Times New Roman"/>
          <w:sz w:val="21"/>
          <w:szCs w:val="21"/>
        </w:rPr>
        <w:t>Таблиця 2.</w:t>
      </w:r>
      <w:r>
        <w:rPr>
          <w:rFonts w:ascii="Times New Roman" w:hAnsi="Times New Roman" w:cs="Times New Roman"/>
          <w:sz w:val="21"/>
          <w:szCs w:val="21"/>
        </w:rPr>
        <w:t>11</w:t>
      </w:r>
      <w:r w:rsidRPr="00CD1C3A">
        <w:rPr>
          <w:rFonts w:ascii="Times New Roman" w:hAnsi="Times New Roman" w:cs="Times New Roman"/>
          <w:sz w:val="21"/>
          <w:szCs w:val="21"/>
        </w:rPr>
        <w:t xml:space="preserve"> </w:t>
      </w:r>
    </w:p>
    <w:p w:rsidR="00B233DE" w:rsidRPr="00EB79BC" w:rsidRDefault="00B233DE" w:rsidP="00B233DE">
      <w:pPr>
        <w:ind w:firstLine="709"/>
        <w:jc w:val="center"/>
        <w:rPr>
          <w:rFonts w:ascii="Times New Roman" w:hAnsi="Times New Roman" w:cs="Times New Roman"/>
          <w:b/>
          <w:sz w:val="21"/>
          <w:szCs w:val="21"/>
        </w:rPr>
      </w:pPr>
      <w:r w:rsidRPr="00EB79BC">
        <w:rPr>
          <w:rFonts w:ascii="Times New Roman" w:hAnsi="Times New Roman" w:cs="Times New Roman"/>
          <w:b/>
          <w:sz w:val="21"/>
          <w:szCs w:val="21"/>
        </w:rPr>
        <w:t>Причини смертності населення Вінницько</w:t>
      </w:r>
      <w:r>
        <w:rPr>
          <w:rFonts w:ascii="Times New Roman" w:hAnsi="Times New Roman" w:cs="Times New Roman"/>
          <w:b/>
          <w:sz w:val="21"/>
          <w:szCs w:val="21"/>
        </w:rPr>
        <w:t>ї</w:t>
      </w:r>
      <w:r w:rsidRPr="00EB79BC">
        <w:rPr>
          <w:rFonts w:ascii="Times New Roman" w:hAnsi="Times New Roman" w:cs="Times New Roman"/>
          <w:b/>
          <w:sz w:val="21"/>
          <w:szCs w:val="21"/>
        </w:rPr>
        <w:t xml:space="preserve"> </w:t>
      </w:r>
      <w:r>
        <w:rPr>
          <w:rFonts w:ascii="Times New Roman" w:hAnsi="Times New Roman" w:cs="Times New Roman"/>
          <w:b/>
          <w:sz w:val="21"/>
          <w:szCs w:val="21"/>
        </w:rPr>
        <w:t>області*</w:t>
      </w:r>
      <w:r w:rsidRPr="00EB79BC">
        <w:rPr>
          <w:rFonts w:ascii="Times New Roman" w:hAnsi="Times New Roman" w:cs="Times New Roman"/>
          <w:b/>
          <w:sz w:val="21"/>
          <w:szCs w:val="21"/>
        </w:rPr>
        <w:t xml:space="preserve"> </w:t>
      </w:r>
    </w:p>
    <w:tbl>
      <w:tblPr>
        <w:tblW w:w="615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A0" w:firstRow="1" w:lastRow="0" w:firstColumn="1" w:lastColumn="0" w:noHBand="0" w:noVBand="0"/>
      </w:tblPr>
      <w:tblGrid>
        <w:gridCol w:w="1293"/>
        <w:gridCol w:w="851"/>
        <w:gridCol w:w="850"/>
        <w:gridCol w:w="709"/>
        <w:gridCol w:w="850"/>
        <w:gridCol w:w="709"/>
        <w:gridCol w:w="895"/>
      </w:tblGrid>
      <w:tr w:rsidR="00B233DE" w:rsidRPr="00FB0D91" w:rsidTr="0023489B">
        <w:trPr>
          <w:gridAfter w:val="4"/>
          <w:wAfter w:w="3163" w:type="dxa"/>
          <w:trHeight w:val="730"/>
          <w:jc w:val="center"/>
        </w:trPr>
        <w:tc>
          <w:tcPr>
            <w:tcW w:w="1293" w:type="dxa"/>
            <w:vMerge w:val="restart"/>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Причини смерті</w:t>
            </w:r>
          </w:p>
        </w:tc>
        <w:tc>
          <w:tcPr>
            <w:tcW w:w="851"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Вінницька область</w:t>
            </w:r>
          </w:p>
        </w:tc>
        <w:tc>
          <w:tcPr>
            <w:tcW w:w="850"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Україна (для порівняння)</w:t>
            </w:r>
          </w:p>
        </w:tc>
      </w:tr>
      <w:tr w:rsidR="00B233DE" w:rsidRPr="00FB0D91" w:rsidTr="0023489B">
        <w:trPr>
          <w:gridAfter w:val="2"/>
          <w:wAfter w:w="1604" w:type="dxa"/>
          <w:trHeight w:val="341"/>
          <w:jc w:val="center"/>
        </w:trPr>
        <w:tc>
          <w:tcPr>
            <w:tcW w:w="1293" w:type="dxa"/>
            <w:vMerge/>
            <w:vAlign w:val="center"/>
          </w:tcPr>
          <w:p w:rsidR="00B233DE" w:rsidRPr="00FB0D91" w:rsidRDefault="00B233DE" w:rsidP="0023489B">
            <w:pPr>
              <w:ind w:firstLine="22"/>
              <w:jc w:val="center"/>
              <w:rPr>
                <w:rFonts w:ascii="Times New Roman" w:hAnsi="Times New Roman" w:cs="Times New Roman"/>
                <w:sz w:val="16"/>
                <w:szCs w:val="16"/>
              </w:rPr>
            </w:pPr>
          </w:p>
        </w:tc>
        <w:tc>
          <w:tcPr>
            <w:tcW w:w="851"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2005 рік</w:t>
            </w:r>
          </w:p>
        </w:tc>
        <w:tc>
          <w:tcPr>
            <w:tcW w:w="850"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2014 рік</w:t>
            </w:r>
          </w:p>
        </w:tc>
        <w:tc>
          <w:tcPr>
            <w:tcW w:w="1559" w:type="dxa"/>
            <w:gridSpan w:val="2"/>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2014 рік</w:t>
            </w:r>
          </w:p>
        </w:tc>
      </w:tr>
      <w:tr w:rsidR="00B233DE" w:rsidRPr="00FB0D91" w:rsidTr="0023489B">
        <w:trPr>
          <w:trHeight w:val="667"/>
          <w:jc w:val="center"/>
        </w:trPr>
        <w:tc>
          <w:tcPr>
            <w:tcW w:w="1293" w:type="dxa"/>
            <w:vMerge/>
            <w:vAlign w:val="center"/>
          </w:tcPr>
          <w:p w:rsidR="00B233DE" w:rsidRPr="00FB0D91" w:rsidRDefault="00B233DE" w:rsidP="0023489B">
            <w:pPr>
              <w:ind w:firstLine="22"/>
              <w:jc w:val="center"/>
              <w:rPr>
                <w:rFonts w:ascii="Times New Roman" w:hAnsi="Times New Roman" w:cs="Times New Roman"/>
                <w:sz w:val="16"/>
                <w:szCs w:val="16"/>
              </w:rPr>
            </w:pPr>
          </w:p>
        </w:tc>
        <w:tc>
          <w:tcPr>
            <w:tcW w:w="851"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осіб</w:t>
            </w:r>
          </w:p>
        </w:tc>
        <w:tc>
          <w:tcPr>
            <w:tcW w:w="850"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у % до підсумку</w:t>
            </w:r>
          </w:p>
        </w:tc>
        <w:tc>
          <w:tcPr>
            <w:tcW w:w="709"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осіб</w:t>
            </w:r>
          </w:p>
        </w:tc>
        <w:tc>
          <w:tcPr>
            <w:tcW w:w="850"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у % до підсумку</w:t>
            </w:r>
          </w:p>
        </w:tc>
        <w:tc>
          <w:tcPr>
            <w:tcW w:w="709"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осіб</w:t>
            </w:r>
          </w:p>
        </w:tc>
        <w:tc>
          <w:tcPr>
            <w:tcW w:w="895"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у % до підсумку</w:t>
            </w:r>
          </w:p>
        </w:tc>
      </w:tr>
      <w:tr w:rsidR="00B233DE" w:rsidRPr="00FB0D91" w:rsidTr="0023489B">
        <w:trPr>
          <w:trHeight w:val="419"/>
          <w:jc w:val="center"/>
        </w:trPr>
        <w:tc>
          <w:tcPr>
            <w:tcW w:w="1293"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всього померлих</w:t>
            </w:r>
          </w:p>
        </w:tc>
        <w:tc>
          <w:tcPr>
            <w:tcW w:w="851"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30957</w:t>
            </w:r>
          </w:p>
        </w:tc>
        <w:tc>
          <w:tcPr>
            <w:tcW w:w="850"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100</w:t>
            </w:r>
          </w:p>
        </w:tc>
        <w:tc>
          <w:tcPr>
            <w:tcW w:w="709"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25567</w:t>
            </w:r>
          </w:p>
        </w:tc>
        <w:tc>
          <w:tcPr>
            <w:tcW w:w="850"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100</w:t>
            </w:r>
          </w:p>
        </w:tc>
        <w:tc>
          <w:tcPr>
            <w:tcW w:w="709"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632300</w:t>
            </w:r>
          </w:p>
        </w:tc>
        <w:tc>
          <w:tcPr>
            <w:tcW w:w="895"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100</w:t>
            </w:r>
          </w:p>
        </w:tc>
      </w:tr>
      <w:tr w:rsidR="00B233DE" w:rsidRPr="00FB0D91" w:rsidTr="0023489B">
        <w:trPr>
          <w:trHeight w:val="732"/>
          <w:jc w:val="center"/>
        </w:trPr>
        <w:tc>
          <w:tcPr>
            <w:tcW w:w="1293"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хвороби системи кровообігу</w:t>
            </w:r>
          </w:p>
        </w:tc>
        <w:tc>
          <w:tcPr>
            <w:tcW w:w="851"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21856</w:t>
            </w:r>
          </w:p>
        </w:tc>
        <w:tc>
          <w:tcPr>
            <w:tcW w:w="850"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70,6</w:t>
            </w:r>
          </w:p>
        </w:tc>
        <w:tc>
          <w:tcPr>
            <w:tcW w:w="709"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18926</w:t>
            </w:r>
          </w:p>
        </w:tc>
        <w:tc>
          <w:tcPr>
            <w:tcW w:w="850"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74,0</w:t>
            </w:r>
          </w:p>
        </w:tc>
        <w:tc>
          <w:tcPr>
            <w:tcW w:w="709"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425600</w:t>
            </w:r>
          </w:p>
        </w:tc>
        <w:tc>
          <w:tcPr>
            <w:tcW w:w="895"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67,3</w:t>
            </w:r>
          </w:p>
        </w:tc>
      </w:tr>
      <w:tr w:rsidR="00B233DE" w:rsidRPr="00FB0D91" w:rsidTr="0023489B">
        <w:trPr>
          <w:trHeight w:val="445"/>
          <w:jc w:val="center"/>
        </w:trPr>
        <w:tc>
          <w:tcPr>
            <w:tcW w:w="1293"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новоутворення</w:t>
            </w:r>
          </w:p>
        </w:tc>
        <w:tc>
          <w:tcPr>
            <w:tcW w:w="851"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3128</w:t>
            </w:r>
          </w:p>
        </w:tc>
        <w:tc>
          <w:tcPr>
            <w:tcW w:w="850"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10,1</w:t>
            </w:r>
          </w:p>
        </w:tc>
        <w:tc>
          <w:tcPr>
            <w:tcW w:w="709"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3058</w:t>
            </w:r>
          </w:p>
        </w:tc>
        <w:tc>
          <w:tcPr>
            <w:tcW w:w="850"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12,0</w:t>
            </w:r>
          </w:p>
        </w:tc>
        <w:tc>
          <w:tcPr>
            <w:tcW w:w="709"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83900</w:t>
            </w:r>
          </w:p>
        </w:tc>
        <w:tc>
          <w:tcPr>
            <w:tcW w:w="895"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13,3</w:t>
            </w:r>
          </w:p>
        </w:tc>
      </w:tr>
      <w:tr w:rsidR="00B233DE" w:rsidRPr="00FB0D91" w:rsidTr="0023489B">
        <w:trPr>
          <w:trHeight w:val="503"/>
          <w:jc w:val="center"/>
        </w:trPr>
        <w:tc>
          <w:tcPr>
            <w:tcW w:w="1293"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зовнішні причини смерті</w:t>
            </w:r>
          </w:p>
        </w:tc>
        <w:tc>
          <w:tcPr>
            <w:tcW w:w="851"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2458</w:t>
            </w:r>
          </w:p>
        </w:tc>
        <w:tc>
          <w:tcPr>
            <w:tcW w:w="850"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7,9</w:t>
            </w:r>
          </w:p>
        </w:tc>
        <w:tc>
          <w:tcPr>
            <w:tcW w:w="709"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1392</w:t>
            </w:r>
          </w:p>
        </w:tc>
        <w:tc>
          <w:tcPr>
            <w:tcW w:w="850"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5,4</w:t>
            </w:r>
          </w:p>
        </w:tc>
        <w:tc>
          <w:tcPr>
            <w:tcW w:w="709"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40100</w:t>
            </w:r>
          </w:p>
        </w:tc>
        <w:tc>
          <w:tcPr>
            <w:tcW w:w="895"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6,3</w:t>
            </w:r>
          </w:p>
        </w:tc>
      </w:tr>
      <w:tr w:rsidR="00B233DE" w:rsidRPr="00FB0D91" w:rsidTr="0023489B">
        <w:trPr>
          <w:trHeight w:val="412"/>
          <w:jc w:val="center"/>
        </w:trPr>
        <w:tc>
          <w:tcPr>
            <w:tcW w:w="1293"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хвороби органів травлення</w:t>
            </w:r>
          </w:p>
        </w:tc>
        <w:tc>
          <w:tcPr>
            <w:tcW w:w="851"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897</w:t>
            </w:r>
          </w:p>
        </w:tc>
        <w:tc>
          <w:tcPr>
            <w:tcW w:w="850"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2,9</w:t>
            </w:r>
          </w:p>
        </w:tc>
        <w:tc>
          <w:tcPr>
            <w:tcW w:w="709"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743</w:t>
            </w:r>
          </w:p>
        </w:tc>
        <w:tc>
          <w:tcPr>
            <w:tcW w:w="850"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3,1</w:t>
            </w:r>
          </w:p>
        </w:tc>
        <w:tc>
          <w:tcPr>
            <w:tcW w:w="709"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25200</w:t>
            </w:r>
          </w:p>
        </w:tc>
        <w:tc>
          <w:tcPr>
            <w:tcW w:w="895"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4,0</w:t>
            </w:r>
          </w:p>
        </w:tc>
      </w:tr>
      <w:tr w:rsidR="00B233DE" w:rsidRPr="00FB0D91" w:rsidTr="0023489B">
        <w:trPr>
          <w:trHeight w:val="460"/>
          <w:jc w:val="center"/>
        </w:trPr>
        <w:tc>
          <w:tcPr>
            <w:tcW w:w="1293"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хвороби органів дихання</w:t>
            </w:r>
          </w:p>
        </w:tc>
        <w:tc>
          <w:tcPr>
            <w:tcW w:w="851"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918</w:t>
            </w:r>
          </w:p>
        </w:tc>
        <w:tc>
          <w:tcPr>
            <w:tcW w:w="850"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3,0</w:t>
            </w:r>
          </w:p>
        </w:tc>
        <w:tc>
          <w:tcPr>
            <w:tcW w:w="709"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389</w:t>
            </w:r>
          </w:p>
        </w:tc>
        <w:tc>
          <w:tcPr>
            <w:tcW w:w="850"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1,5</w:t>
            </w:r>
          </w:p>
        </w:tc>
        <w:tc>
          <w:tcPr>
            <w:tcW w:w="709"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14800</w:t>
            </w:r>
          </w:p>
        </w:tc>
        <w:tc>
          <w:tcPr>
            <w:tcW w:w="895"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2,3</w:t>
            </w:r>
          </w:p>
        </w:tc>
      </w:tr>
      <w:tr w:rsidR="00B233DE" w:rsidRPr="00FB0D91" w:rsidTr="0023489B">
        <w:trPr>
          <w:trHeight w:val="438"/>
          <w:jc w:val="center"/>
        </w:trPr>
        <w:tc>
          <w:tcPr>
            <w:tcW w:w="1293"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деякі інфекційні та паразитарні</w:t>
            </w:r>
          </w:p>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хвороби</w:t>
            </w:r>
          </w:p>
        </w:tc>
        <w:tc>
          <w:tcPr>
            <w:tcW w:w="851"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295</w:t>
            </w:r>
          </w:p>
        </w:tc>
        <w:tc>
          <w:tcPr>
            <w:tcW w:w="850"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1,0</w:t>
            </w:r>
          </w:p>
        </w:tc>
        <w:tc>
          <w:tcPr>
            <w:tcW w:w="709"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196</w:t>
            </w:r>
          </w:p>
        </w:tc>
        <w:tc>
          <w:tcPr>
            <w:tcW w:w="850"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0,8</w:t>
            </w:r>
          </w:p>
        </w:tc>
        <w:tc>
          <w:tcPr>
            <w:tcW w:w="709"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11000</w:t>
            </w:r>
          </w:p>
        </w:tc>
        <w:tc>
          <w:tcPr>
            <w:tcW w:w="895" w:type="dxa"/>
            <w:vAlign w:val="center"/>
          </w:tcPr>
          <w:p w:rsidR="00B233DE" w:rsidRPr="00FB0D91" w:rsidRDefault="00B233DE" w:rsidP="0023489B">
            <w:pPr>
              <w:ind w:firstLine="22"/>
              <w:jc w:val="center"/>
              <w:rPr>
                <w:rFonts w:ascii="Times New Roman" w:hAnsi="Times New Roman" w:cs="Times New Roman"/>
                <w:sz w:val="16"/>
                <w:szCs w:val="16"/>
              </w:rPr>
            </w:pPr>
            <w:r w:rsidRPr="00FB0D91">
              <w:rPr>
                <w:rFonts w:ascii="Times New Roman" w:hAnsi="Times New Roman" w:cs="Times New Roman"/>
                <w:sz w:val="16"/>
                <w:szCs w:val="16"/>
              </w:rPr>
              <w:t>1,7</w:t>
            </w:r>
          </w:p>
        </w:tc>
      </w:tr>
    </w:tbl>
    <w:p w:rsidR="00B233DE" w:rsidRPr="00793063" w:rsidRDefault="00B233DE" w:rsidP="00B233DE">
      <w:pPr>
        <w:ind w:firstLine="709"/>
        <w:jc w:val="both"/>
        <w:rPr>
          <w:rFonts w:ascii="Times New Roman" w:hAnsi="Times New Roman" w:cs="Times New Roman"/>
          <w:sz w:val="18"/>
          <w:szCs w:val="18"/>
        </w:rPr>
      </w:pPr>
      <w:r w:rsidRPr="007D49D7">
        <w:rPr>
          <w:rFonts w:ascii="Times New Roman" w:hAnsi="Times New Roman" w:cs="Times New Roman"/>
          <w:sz w:val="18"/>
          <w:szCs w:val="18"/>
        </w:rPr>
        <w:t xml:space="preserve">* складено автором </w:t>
      </w:r>
      <w:r>
        <w:rPr>
          <w:rFonts w:ascii="Times New Roman" w:hAnsi="Times New Roman" w:cs="Times New Roman"/>
          <w:sz w:val="18"/>
          <w:szCs w:val="18"/>
        </w:rPr>
        <w:t xml:space="preserve">розділу </w:t>
      </w:r>
      <w:r w:rsidRPr="007D49D7">
        <w:rPr>
          <w:rFonts w:ascii="Times New Roman" w:hAnsi="Times New Roman" w:cs="Times New Roman"/>
          <w:sz w:val="18"/>
          <w:szCs w:val="18"/>
        </w:rPr>
        <w:t xml:space="preserve">на основі </w:t>
      </w:r>
      <w:r w:rsidRPr="00793063">
        <w:rPr>
          <w:rFonts w:ascii="Times New Roman" w:hAnsi="Times New Roman" w:cs="Times New Roman"/>
          <w:sz w:val="18"/>
          <w:szCs w:val="18"/>
        </w:rPr>
        <w:t>[</w:t>
      </w:r>
      <w:r>
        <w:rPr>
          <w:rFonts w:ascii="Times New Roman" w:hAnsi="Times New Roman" w:cs="Times New Roman"/>
          <w:sz w:val="18"/>
          <w:szCs w:val="18"/>
        </w:rPr>
        <w:fldChar w:fldCharType="begin"/>
      </w:r>
      <w:r>
        <w:rPr>
          <w:rFonts w:ascii="Times New Roman" w:hAnsi="Times New Roman" w:cs="Times New Roman"/>
          <w:sz w:val="18"/>
          <w:szCs w:val="18"/>
        </w:rPr>
        <w:instrText xml:space="preserve"> REF _Ref435781250 \r \h </w:instrText>
      </w:r>
      <w:r>
        <w:rPr>
          <w:rFonts w:ascii="Times New Roman" w:hAnsi="Times New Roman" w:cs="Times New Roman"/>
          <w:sz w:val="18"/>
          <w:szCs w:val="18"/>
        </w:rPr>
      </w:r>
      <w:r>
        <w:rPr>
          <w:rFonts w:ascii="Times New Roman" w:hAnsi="Times New Roman" w:cs="Times New Roman"/>
          <w:sz w:val="18"/>
          <w:szCs w:val="18"/>
        </w:rPr>
        <w:fldChar w:fldCharType="separate"/>
      </w:r>
      <w:r>
        <w:rPr>
          <w:rFonts w:ascii="Times New Roman" w:hAnsi="Times New Roman" w:cs="Times New Roman"/>
          <w:sz w:val="18"/>
          <w:szCs w:val="18"/>
        </w:rPr>
        <w:t>7</w:t>
      </w:r>
      <w:r>
        <w:rPr>
          <w:rFonts w:ascii="Times New Roman" w:hAnsi="Times New Roman" w:cs="Times New Roman"/>
          <w:sz w:val="18"/>
          <w:szCs w:val="18"/>
        </w:rPr>
        <w:fldChar w:fldCharType="end"/>
      </w:r>
      <w:r w:rsidRPr="00793063">
        <w:rPr>
          <w:rFonts w:ascii="Times New Roman" w:hAnsi="Times New Roman" w:cs="Times New Roman"/>
          <w:sz w:val="18"/>
          <w:szCs w:val="18"/>
        </w:rPr>
        <w:t>]</w:t>
      </w:r>
    </w:p>
    <w:p w:rsidR="00B233DE" w:rsidRDefault="00B233DE" w:rsidP="00B233DE">
      <w:pPr>
        <w:ind w:firstLine="709"/>
        <w:jc w:val="both"/>
        <w:rPr>
          <w:rFonts w:ascii="Times New Roman" w:hAnsi="Times New Roman" w:cs="Times New Roman"/>
          <w:sz w:val="21"/>
          <w:szCs w:val="21"/>
        </w:rPr>
      </w:pPr>
    </w:p>
    <w:p w:rsidR="00B233DE" w:rsidRPr="00CD1C3A" w:rsidRDefault="00B233DE" w:rsidP="00B233DE">
      <w:pPr>
        <w:ind w:firstLine="709"/>
        <w:jc w:val="both"/>
        <w:rPr>
          <w:rFonts w:ascii="Times New Roman" w:hAnsi="Times New Roman" w:cs="Times New Roman"/>
          <w:sz w:val="21"/>
          <w:szCs w:val="21"/>
          <w:highlight w:val="yellow"/>
        </w:rPr>
      </w:pPr>
      <w:r w:rsidRPr="00CD1C3A">
        <w:rPr>
          <w:rFonts w:ascii="Times New Roman" w:hAnsi="Times New Roman" w:cs="Times New Roman"/>
          <w:sz w:val="21"/>
          <w:szCs w:val="21"/>
        </w:rPr>
        <w:t>В 2014 році в порівнянні з 2005 роком збільшилась смертність з таких причин: хвороби системи кровообігу (на 3,4</w:t>
      </w:r>
      <w:r>
        <w:rPr>
          <w:rFonts w:ascii="Times New Roman" w:hAnsi="Times New Roman" w:cs="Times New Roman"/>
          <w:sz w:val="21"/>
          <w:szCs w:val="21"/>
        </w:rPr>
        <w:t xml:space="preserve"> </w:t>
      </w:r>
      <w:r w:rsidRPr="00CD1C3A">
        <w:rPr>
          <w:rFonts w:ascii="Times New Roman" w:hAnsi="Times New Roman" w:cs="Times New Roman"/>
          <w:sz w:val="21"/>
          <w:szCs w:val="21"/>
        </w:rPr>
        <w:t>%), новоутворення (на 1,9</w:t>
      </w:r>
      <w:r>
        <w:rPr>
          <w:rFonts w:ascii="Times New Roman" w:hAnsi="Times New Roman" w:cs="Times New Roman"/>
          <w:sz w:val="21"/>
          <w:szCs w:val="21"/>
        </w:rPr>
        <w:t xml:space="preserve"> </w:t>
      </w:r>
      <w:r w:rsidRPr="00CD1C3A">
        <w:rPr>
          <w:rFonts w:ascii="Times New Roman" w:hAnsi="Times New Roman" w:cs="Times New Roman"/>
          <w:sz w:val="21"/>
          <w:szCs w:val="21"/>
        </w:rPr>
        <w:t>%), хвороби органів травлення (на 0,2</w:t>
      </w:r>
      <w:r>
        <w:rPr>
          <w:rFonts w:ascii="Times New Roman" w:hAnsi="Times New Roman" w:cs="Times New Roman"/>
          <w:sz w:val="21"/>
          <w:szCs w:val="21"/>
        </w:rPr>
        <w:t xml:space="preserve"> </w:t>
      </w:r>
      <w:r w:rsidRPr="00CD1C3A">
        <w:rPr>
          <w:rFonts w:ascii="Times New Roman" w:hAnsi="Times New Roman" w:cs="Times New Roman"/>
          <w:sz w:val="21"/>
          <w:szCs w:val="21"/>
        </w:rPr>
        <w:t>%). По іншим причинам простежується зменшення смертності.</w:t>
      </w:r>
    </w:p>
    <w:p w:rsidR="00B233DE" w:rsidRPr="00CD1C3A" w:rsidRDefault="00B233DE" w:rsidP="00B233DE">
      <w:pPr>
        <w:ind w:firstLine="709"/>
        <w:jc w:val="both"/>
        <w:rPr>
          <w:rFonts w:ascii="Times New Roman" w:hAnsi="Times New Roman" w:cs="Times New Roman"/>
          <w:sz w:val="21"/>
          <w:szCs w:val="21"/>
          <w:highlight w:val="yellow"/>
        </w:rPr>
      </w:pPr>
      <w:r w:rsidRPr="00CD1C3A">
        <w:rPr>
          <w:rFonts w:ascii="Times New Roman" w:hAnsi="Times New Roman" w:cs="Times New Roman"/>
          <w:sz w:val="21"/>
          <w:szCs w:val="21"/>
        </w:rPr>
        <w:t>В Вінницькій області більша смертність ніж в країні в цілому з таких причин: хвороби системи кровообігу (на 6,7</w:t>
      </w:r>
      <w:r>
        <w:rPr>
          <w:rFonts w:ascii="Times New Roman" w:hAnsi="Times New Roman" w:cs="Times New Roman"/>
          <w:sz w:val="21"/>
          <w:szCs w:val="21"/>
        </w:rPr>
        <w:t xml:space="preserve"> </w:t>
      </w:r>
      <w:r w:rsidRPr="00CD1C3A">
        <w:rPr>
          <w:rFonts w:ascii="Times New Roman" w:hAnsi="Times New Roman" w:cs="Times New Roman"/>
          <w:sz w:val="21"/>
          <w:szCs w:val="21"/>
        </w:rPr>
        <w:t xml:space="preserve">%). По </w:t>
      </w:r>
      <w:r w:rsidRPr="00CD1C3A">
        <w:rPr>
          <w:rFonts w:ascii="Times New Roman" w:hAnsi="Times New Roman" w:cs="Times New Roman"/>
          <w:sz w:val="21"/>
          <w:szCs w:val="21"/>
        </w:rPr>
        <w:lastRenderedPageBreak/>
        <w:t>інших показниках смертність, хоч і не на багато, але менша</w:t>
      </w:r>
      <w:r>
        <w:rPr>
          <w:rFonts w:ascii="Times New Roman" w:hAnsi="Times New Roman" w:cs="Times New Roman"/>
          <w:sz w:val="21"/>
          <w:szCs w:val="21"/>
        </w:rPr>
        <w:t>,</w:t>
      </w:r>
      <w:r w:rsidRPr="00CD1C3A">
        <w:rPr>
          <w:rFonts w:ascii="Times New Roman" w:hAnsi="Times New Roman" w:cs="Times New Roman"/>
          <w:sz w:val="21"/>
          <w:szCs w:val="21"/>
        </w:rPr>
        <w:t xml:space="preserve"> ніж по Україні.</w:t>
      </w: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Серед вікових коефіцієнтів смертності особливе місце займає коефіцієнт дитячої смертності, тобто показник, що вимірює смертність дітей у віці до року.</w:t>
      </w: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Смертність у віці до року, з одного боку, різко перевищує смертність в інших віках, крім самих старших. З іншого боку, слугує потужним показник</w:t>
      </w:r>
      <w:r>
        <w:rPr>
          <w:rFonts w:ascii="Times New Roman" w:hAnsi="Times New Roman" w:cs="Times New Roman"/>
          <w:sz w:val="21"/>
          <w:szCs w:val="21"/>
        </w:rPr>
        <w:t>ом</w:t>
      </w:r>
      <w:r w:rsidRPr="00CD1C3A">
        <w:rPr>
          <w:rFonts w:ascii="Times New Roman" w:hAnsi="Times New Roman" w:cs="Times New Roman"/>
          <w:sz w:val="21"/>
          <w:szCs w:val="21"/>
        </w:rPr>
        <w:t xml:space="preserve"> рівня соціально-економічного розвитку країни.</w:t>
      </w:r>
    </w:p>
    <w:p w:rsidR="00B233DE" w:rsidRPr="00FB0D91" w:rsidRDefault="00B233DE" w:rsidP="00B233DE">
      <w:pPr>
        <w:ind w:firstLine="709"/>
        <w:jc w:val="both"/>
        <w:rPr>
          <w:rFonts w:ascii="Times New Roman" w:hAnsi="Times New Roman" w:cs="Times New Roman"/>
          <w:spacing w:val="-6"/>
          <w:sz w:val="21"/>
          <w:szCs w:val="21"/>
        </w:rPr>
      </w:pPr>
      <w:r w:rsidRPr="00CD1C3A">
        <w:rPr>
          <w:rFonts w:ascii="Times New Roman" w:hAnsi="Times New Roman" w:cs="Times New Roman"/>
          <w:sz w:val="21"/>
          <w:szCs w:val="21"/>
        </w:rPr>
        <w:t xml:space="preserve">Коефіцієнт дитячої смертності розраховують не так, як інші вікові коефіцієнти. При його обчисленні число смертей дітей у віці до року ділиться не на їх середньорічну чисельність, а на число народжених, тому що немає даних про середньорічну чисельність. </w:t>
      </w:r>
      <w:r w:rsidRPr="00FB0D91">
        <w:rPr>
          <w:rFonts w:ascii="Times New Roman" w:hAnsi="Times New Roman" w:cs="Times New Roman"/>
          <w:spacing w:val="-6"/>
          <w:sz w:val="21"/>
          <w:szCs w:val="21"/>
        </w:rPr>
        <w:t>Ми вирішили, що буде доцільним порівняти показники дитячої смертності до одного року Вінницької області з Українськими (рис. 2.</w:t>
      </w:r>
      <w:r>
        <w:rPr>
          <w:rFonts w:ascii="Times New Roman" w:hAnsi="Times New Roman" w:cs="Times New Roman"/>
          <w:spacing w:val="-6"/>
          <w:sz w:val="21"/>
          <w:szCs w:val="21"/>
        </w:rPr>
        <w:t>9</w:t>
      </w:r>
      <w:r w:rsidRPr="00FB0D91">
        <w:rPr>
          <w:rFonts w:ascii="Times New Roman" w:hAnsi="Times New Roman" w:cs="Times New Roman"/>
          <w:spacing w:val="-6"/>
          <w:sz w:val="21"/>
          <w:szCs w:val="21"/>
        </w:rPr>
        <w:t xml:space="preserve">). </w:t>
      </w:r>
    </w:p>
    <w:p w:rsidR="00B233DE" w:rsidRPr="00CD1C3A" w:rsidRDefault="00B233DE" w:rsidP="00B233DE">
      <w:pPr>
        <w:ind w:firstLine="709"/>
        <w:jc w:val="both"/>
        <w:rPr>
          <w:rFonts w:ascii="Times New Roman" w:hAnsi="Times New Roman" w:cs="Times New Roman"/>
          <w:sz w:val="21"/>
          <w:szCs w:val="21"/>
          <w:highlight w:val="yellow"/>
        </w:rPr>
      </w:pPr>
    </w:p>
    <w:p w:rsidR="00B233DE" w:rsidRPr="002346E6" w:rsidRDefault="00B233DE" w:rsidP="00B233DE">
      <w:pPr>
        <w:spacing w:line="360" w:lineRule="auto"/>
        <w:ind w:firstLine="709"/>
        <w:jc w:val="both"/>
        <w:rPr>
          <w:sz w:val="28"/>
          <w:szCs w:val="28"/>
          <w:highlight w:val="yellow"/>
        </w:rPr>
      </w:pPr>
      <w:r>
        <w:rPr>
          <w:noProof/>
          <w:lang w:val="ru-RU" w:eastAsia="ru-RU"/>
        </w:rPr>
        <w:drawing>
          <wp:inline distT="0" distB="0" distL="0" distR="0" wp14:anchorId="2190E5E4" wp14:editId="4ED00D5B">
            <wp:extent cx="3162300" cy="1976438"/>
            <wp:effectExtent l="0" t="0" r="19050" b="24130"/>
            <wp:docPr id="20" name="Диаграмма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B233DE" w:rsidRPr="003125B0" w:rsidRDefault="00B233DE" w:rsidP="00B233DE">
      <w:pPr>
        <w:ind w:firstLine="709"/>
        <w:jc w:val="center"/>
        <w:rPr>
          <w:rFonts w:ascii="Times New Roman" w:hAnsi="Times New Roman" w:cs="Times New Roman"/>
          <w:b/>
          <w:sz w:val="21"/>
          <w:szCs w:val="21"/>
        </w:rPr>
      </w:pPr>
      <w:r w:rsidRPr="003125B0">
        <w:rPr>
          <w:rFonts w:ascii="Times New Roman" w:hAnsi="Times New Roman" w:cs="Times New Roman"/>
          <w:b/>
          <w:sz w:val="21"/>
          <w:szCs w:val="21"/>
        </w:rPr>
        <w:t>Рис. 2.9. Показники дитячої смертності до одного року в Вінницькій області та в Україні</w:t>
      </w:r>
      <w:r>
        <w:rPr>
          <w:rFonts w:ascii="Times New Roman" w:hAnsi="Times New Roman" w:cs="Times New Roman"/>
          <w:b/>
          <w:sz w:val="21"/>
          <w:szCs w:val="21"/>
        </w:rPr>
        <w:t>*</w:t>
      </w:r>
      <w:r w:rsidRPr="003125B0">
        <w:rPr>
          <w:rFonts w:ascii="Times New Roman" w:hAnsi="Times New Roman" w:cs="Times New Roman"/>
          <w:b/>
          <w:sz w:val="21"/>
          <w:szCs w:val="21"/>
        </w:rPr>
        <w:t xml:space="preserve"> </w:t>
      </w:r>
    </w:p>
    <w:p w:rsidR="00B233DE" w:rsidRPr="007D49D7" w:rsidRDefault="00B233DE" w:rsidP="00B233DE">
      <w:pPr>
        <w:ind w:firstLine="709"/>
        <w:jc w:val="both"/>
        <w:rPr>
          <w:rFonts w:ascii="Times New Roman" w:hAnsi="Times New Roman" w:cs="Times New Roman"/>
          <w:sz w:val="18"/>
          <w:szCs w:val="18"/>
        </w:rPr>
      </w:pPr>
      <w:r w:rsidRPr="007D49D7">
        <w:rPr>
          <w:rFonts w:ascii="Times New Roman" w:hAnsi="Times New Roman" w:cs="Times New Roman"/>
          <w:sz w:val="18"/>
          <w:szCs w:val="18"/>
        </w:rPr>
        <w:t xml:space="preserve">* складено автором </w:t>
      </w:r>
      <w:r>
        <w:rPr>
          <w:rFonts w:ascii="Times New Roman" w:hAnsi="Times New Roman" w:cs="Times New Roman"/>
          <w:sz w:val="18"/>
          <w:szCs w:val="18"/>
        </w:rPr>
        <w:t xml:space="preserve">розділу </w:t>
      </w:r>
      <w:r w:rsidRPr="007D49D7">
        <w:rPr>
          <w:rFonts w:ascii="Times New Roman" w:hAnsi="Times New Roman" w:cs="Times New Roman"/>
          <w:sz w:val="18"/>
          <w:szCs w:val="18"/>
        </w:rPr>
        <w:t>на основі [</w:t>
      </w:r>
      <w:r>
        <w:rPr>
          <w:rFonts w:ascii="Times New Roman" w:hAnsi="Times New Roman" w:cs="Times New Roman"/>
          <w:sz w:val="18"/>
          <w:szCs w:val="18"/>
          <w:highlight w:val="yellow"/>
        </w:rPr>
        <w:fldChar w:fldCharType="begin"/>
      </w:r>
      <w:r>
        <w:rPr>
          <w:rFonts w:ascii="Times New Roman" w:hAnsi="Times New Roman" w:cs="Times New Roman"/>
          <w:sz w:val="18"/>
          <w:szCs w:val="18"/>
        </w:rPr>
        <w:instrText xml:space="preserve"> REF _Ref435781250 \r \h </w:instrText>
      </w:r>
      <w:r>
        <w:rPr>
          <w:rFonts w:ascii="Times New Roman" w:hAnsi="Times New Roman" w:cs="Times New Roman"/>
          <w:sz w:val="18"/>
          <w:szCs w:val="18"/>
          <w:highlight w:val="yellow"/>
        </w:rPr>
      </w:r>
      <w:r>
        <w:rPr>
          <w:rFonts w:ascii="Times New Roman" w:hAnsi="Times New Roman" w:cs="Times New Roman"/>
          <w:sz w:val="18"/>
          <w:szCs w:val="18"/>
          <w:highlight w:val="yellow"/>
        </w:rPr>
        <w:fldChar w:fldCharType="separate"/>
      </w:r>
      <w:r>
        <w:rPr>
          <w:rFonts w:ascii="Times New Roman" w:hAnsi="Times New Roman" w:cs="Times New Roman"/>
          <w:sz w:val="18"/>
          <w:szCs w:val="18"/>
        </w:rPr>
        <w:t>7</w:t>
      </w:r>
      <w:r>
        <w:rPr>
          <w:rFonts w:ascii="Times New Roman" w:hAnsi="Times New Roman" w:cs="Times New Roman"/>
          <w:sz w:val="18"/>
          <w:szCs w:val="18"/>
          <w:highlight w:val="yellow"/>
        </w:rPr>
        <w:fldChar w:fldCharType="end"/>
      </w:r>
      <w:r w:rsidRPr="007D49D7">
        <w:rPr>
          <w:rFonts w:ascii="Times New Roman" w:hAnsi="Times New Roman" w:cs="Times New Roman"/>
          <w:sz w:val="18"/>
          <w:szCs w:val="18"/>
        </w:rPr>
        <w:t>]</w:t>
      </w:r>
    </w:p>
    <w:p w:rsidR="00B233DE" w:rsidRPr="007D49D7" w:rsidRDefault="00B233DE" w:rsidP="00B233DE">
      <w:pPr>
        <w:ind w:firstLine="709"/>
        <w:jc w:val="both"/>
        <w:rPr>
          <w:rFonts w:ascii="Times New Roman" w:hAnsi="Times New Roman" w:cs="Times New Roman"/>
          <w:sz w:val="18"/>
          <w:szCs w:val="18"/>
        </w:rPr>
      </w:pPr>
    </w:p>
    <w:p w:rsidR="00B233DE"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На протязі двадцяти років, майже у всі роки, смертність дітей до одного року в Вінницькій області була нижчою за загальноукраїнські показники. Виключенням є 2012 рік – в Вінницькій області на 0,7</w:t>
      </w:r>
      <w:r>
        <w:rPr>
          <w:rFonts w:ascii="Times New Roman" w:hAnsi="Times New Roman" w:cs="Times New Roman"/>
          <w:sz w:val="21"/>
          <w:szCs w:val="21"/>
        </w:rPr>
        <w:t xml:space="preserve"> </w:t>
      </w:r>
      <w:r w:rsidRPr="00CD1C3A">
        <w:rPr>
          <w:rFonts w:ascii="Times New Roman" w:hAnsi="Times New Roman" w:cs="Times New Roman"/>
          <w:sz w:val="21"/>
          <w:szCs w:val="21"/>
        </w:rPr>
        <w:t>‰ більша смертність дітей до одного року ніж в Україні, 2013 рік – смертність дітей до одного року в Вінницькій області та Україні знаходиться на одному рівні.</w:t>
      </w: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lastRenderedPageBreak/>
        <w:t>Високі показники смертності – результат низького рівня життя, недостатньо високоефективних лікарських засобів та висококваліфікованої медичної допомоги.</w:t>
      </w: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Найкращу характеристику демографічної ситуації регіону дає аналіз природного приросту населення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_Ref435781262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23</w:t>
      </w:r>
      <w:r>
        <w:rPr>
          <w:rFonts w:ascii="Times New Roman" w:hAnsi="Times New Roman"/>
          <w:sz w:val="21"/>
          <w:szCs w:val="21"/>
          <w:highlight w:val="yellow"/>
        </w:rPr>
        <w:fldChar w:fldCharType="end"/>
      </w:r>
      <w:r w:rsidRPr="00CD1C3A">
        <w:rPr>
          <w:rFonts w:ascii="Times New Roman" w:hAnsi="Times New Roman" w:cs="Times New Roman"/>
          <w:sz w:val="21"/>
          <w:szCs w:val="21"/>
        </w:rPr>
        <w:t>].</w:t>
      </w:r>
    </w:p>
    <w:p w:rsidR="00B233DE"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Природний приріст населення є одним з компонентів динаміки чисельності населення. Він служить результуючим параметром природного руху населення. Статистичні дані, що характеризують природний приріст населення, містяться на рисунку 2.</w:t>
      </w:r>
      <w:r>
        <w:rPr>
          <w:rFonts w:ascii="Times New Roman" w:hAnsi="Times New Roman" w:cs="Times New Roman"/>
          <w:sz w:val="21"/>
          <w:szCs w:val="21"/>
        </w:rPr>
        <w:t>10</w:t>
      </w:r>
      <w:r w:rsidRPr="00CD1C3A">
        <w:rPr>
          <w:rFonts w:ascii="Times New Roman" w:hAnsi="Times New Roman" w:cs="Times New Roman"/>
          <w:sz w:val="21"/>
          <w:szCs w:val="21"/>
        </w:rPr>
        <w:t>.</w:t>
      </w:r>
    </w:p>
    <w:p w:rsidR="00B233DE" w:rsidRPr="00CD1C3A" w:rsidRDefault="00B233DE" w:rsidP="00B233DE">
      <w:pPr>
        <w:ind w:firstLine="709"/>
        <w:jc w:val="both"/>
        <w:rPr>
          <w:rFonts w:ascii="Times New Roman" w:hAnsi="Times New Roman" w:cs="Times New Roman"/>
          <w:sz w:val="21"/>
          <w:szCs w:val="21"/>
        </w:rPr>
      </w:pPr>
    </w:p>
    <w:p w:rsidR="00B233DE" w:rsidRPr="002346E6" w:rsidRDefault="00B233DE" w:rsidP="00B233DE">
      <w:pPr>
        <w:ind w:firstLine="284"/>
        <w:jc w:val="both"/>
        <w:rPr>
          <w:sz w:val="28"/>
          <w:szCs w:val="28"/>
          <w:highlight w:val="yellow"/>
        </w:rPr>
      </w:pPr>
      <w:r>
        <w:rPr>
          <w:noProof/>
          <w:lang w:val="ru-RU" w:eastAsia="ru-RU"/>
        </w:rPr>
        <w:drawing>
          <wp:inline distT="0" distB="0" distL="0" distR="0" wp14:anchorId="1E9D385F" wp14:editId="108865F6">
            <wp:extent cx="3776662" cy="2085975"/>
            <wp:effectExtent l="0" t="0" r="14605" b="9525"/>
            <wp:docPr id="19" name="Диаграмма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B233DE" w:rsidRPr="004C71C2" w:rsidRDefault="00B233DE" w:rsidP="00B233DE">
      <w:pPr>
        <w:ind w:firstLine="709"/>
        <w:jc w:val="center"/>
        <w:rPr>
          <w:rFonts w:ascii="Times New Roman" w:hAnsi="Times New Roman" w:cs="Times New Roman"/>
          <w:b/>
          <w:sz w:val="21"/>
          <w:szCs w:val="21"/>
        </w:rPr>
      </w:pPr>
      <w:r w:rsidRPr="004C71C2">
        <w:rPr>
          <w:rFonts w:ascii="Times New Roman" w:hAnsi="Times New Roman" w:cs="Times New Roman"/>
          <w:b/>
          <w:sz w:val="21"/>
          <w:szCs w:val="21"/>
        </w:rPr>
        <w:t>Рис. 2.10. Природний приріст (скорочення) населення Вінницько</w:t>
      </w:r>
      <w:r>
        <w:rPr>
          <w:rFonts w:ascii="Times New Roman" w:hAnsi="Times New Roman" w:cs="Times New Roman"/>
          <w:b/>
          <w:sz w:val="21"/>
          <w:szCs w:val="21"/>
        </w:rPr>
        <w:t>ї</w:t>
      </w:r>
      <w:r w:rsidRPr="004C71C2">
        <w:rPr>
          <w:rFonts w:ascii="Times New Roman" w:hAnsi="Times New Roman" w:cs="Times New Roman"/>
          <w:b/>
          <w:sz w:val="21"/>
          <w:szCs w:val="21"/>
        </w:rPr>
        <w:t xml:space="preserve"> </w:t>
      </w:r>
      <w:r>
        <w:rPr>
          <w:rFonts w:ascii="Times New Roman" w:hAnsi="Times New Roman" w:cs="Times New Roman"/>
          <w:b/>
          <w:sz w:val="21"/>
          <w:szCs w:val="21"/>
        </w:rPr>
        <w:t>області</w:t>
      </w:r>
      <w:r w:rsidRPr="004C71C2">
        <w:rPr>
          <w:rFonts w:ascii="Times New Roman" w:hAnsi="Times New Roman" w:cs="Times New Roman"/>
          <w:b/>
          <w:sz w:val="21"/>
          <w:szCs w:val="21"/>
        </w:rPr>
        <w:t xml:space="preserve"> та України у 1995–2014 роках</w:t>
      </w:r>
    </w:p>
    <w:p w:rsidR="00B233DE" w:rsidRPr="00CD1C3A" w:rsidRDefault="00B233DE" w:rsidP="00B233DE">
      <w:pPr>
        <w:ind w:firstLine="709"/>
        <w:jc w:val="both"/>
        <w:rPr>
          <w:rFonts w:ascii="Times New Roman" w:hAnsi="Times New Roman" w:cs="Times New Roman"/>
          <w:sz w:val="21"/>
          <w:szCs w:val="21"/>
          <w:highlight w:val="yellow"/>
        </w:rPr>
      </w:pPr>
    </w:p>
    <w:p w:rsidR="00B233DE"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Абсолютна величина природного приросту дозволяє судити лише про масштаби природного приросту або скорочення населення, про те, наскільки чисельність населення збільшується або зменшується за рахунок різниці між числом народжених і померлих. Однак</w:t>
      </w:r>
      <w:r>
        <w:rPr>
          <w:rFonts w:ascii="Times New Roman" w:hAnsi="Times New Roman" w:cs="Times New Roman"/>
          <w:sz w:val="21"/>
          <w:szCs w:val="21"/>
        </w:rPr>
        <w:t>,</w:t>
      </w:r>
      <w:r w:rsidRPr="00CD1C3A">
        <w:rPr>
          <w:rFonts w:ascii="Times New Roman" w:hAnsi="Times New Roman" w:cs="Times New Roman"/>
          <w:sz w:val="21"/>
          <w:szCs w:val="21"/>
        </w:rPr>
        <w:t xml:space="preserve"> цей показник абсолютно непридатний для міжрегіональних зіставлень, тому що він залежить від абсолютної чисельності населення. Через це ми розрахували загальний природний приріст населення (на 1000 постійного населенн</w:t>
      </w:r>
      <w:r>
        <w:rPr>
          <w:rFonts w:ascii="Times New Roman" w:hAnsi="Times New Roman" w:cs="Times New Roman"/>
          <w:sz w:val="21"/>
          <w:szCs w:val="21"/>
        </w:rPr>
        <w:t>я) за формулою 2.15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_Ref435781262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23</w:t>
      </w:r>
      <w:r>
        <w:rPr>
          <w:rFonts w:ascii="Times New Roman" w:hAnsi="Times New Roman"/>
          <w:sz w:val="21"/>
          <w:szCs w:val="21"/>
          <w:highlight w:val="yellow"/>
        </w:rPr>
        <w:fldChar w:fldCharType="end"/>
      </w:r>
      <w:r>
        <w:rPr>
          <w:rFonts w:ascii="Times New Roman" w:hAnsi="Times New Roman" w:cs="Times New Roman"/>
          <w:sz w:val="21"/>
          <w:szCs w:val="21"/>
        </w:rPr>
        <w:t>]:</w:t>
      </w:r>
    </w:p>
    <w:p w:rsidR="00B233DE" w:rsidRPr="00CD1C3A" w:rsidRDefault="00B233DE" w:rsidP="00B233DE">
      <w:pPr>
        <w:ind w:firstLine="709"/>
        <w:jc w:val="both"/>
        <w:rPr>
          <w:rFonts w:ascii="Times New Roman" w:hAnsi="Times New Roman" w:cs="Times New Roman"/>
          <w:sz w:val="21"/>
          <w:szCs w:val="21"/>
        </w:rPr>
      </w:pPr>
    </w:p>
    <w:p w:rsidR="00B233DE" w:rsidRPr="00CD1C3A" w:rsidRDefault="00B233DE" w:rsidP="00B233DE">
      <w:pPr>
        <w:ind w:firstLine="709"/>
        <w:jc w:val="center"/>
        <w:rPr>
          <w:rFonts w:ascii="Times New Roman" w:hAnsi="Times New Roman" w:cs="Times New Roman"/>
          <w:sz w:val="21"/>
          <w:szCs w:val="21"/>
        </w:rPr>
      </w:pPr>
      <w:r>
        <w:rPr>
          <w:rFonts w:ascii="Times New Roman" w:hAnsi="Times New Roman" w:cs="Times New Roman"/>
          <w:sz w:val="21"/>
          <w:szCs w:val="21"/>
        </w:rPr>
        <w:t xml:space="preserve">           </w:t>
      </w:r>
      <w:r w:rsidR="008E1EBE" w:rsidRPr="008E1EBE">
        <w:rPr>
          <w:rFonts w:ascii="Times New Roman" w:hAnsi="Times New Roman" w:cs="Times New Roman"/>
          <w:sz w:val="21"/>
          <w:szCs w:val="21"/>
          <w:lang w:val="ru-RU"/>
        </w:rPr>
        <w:t xml:space="preserve"> </w:t>
      </w:r>
      <w:r>
        <w:rPr>
          <w:rFonts w:ascii="Times New Roman" w:hAnsi="Times New Roman" w:cs="Times New Roman"/>
          <w:sz w:val="21"/>
          <w:szCs w:val="21"/>
        </w:rPr>
        <w:t xml:space="preserve">                  </w:t>
      </w:r>
      <m:oMath>
        <m:sSub>
          <m:sSubPr>
            <m:ctrlPr>
              <w:rPr>
                <w:rFonts w:ascii="Cambria Math" w:hAnsi="Cambria Math" w:cs="Times New Roman"/>
                <w:i/>
                <w:sz w:val="21"/>
                <w:szCs w:val="21"/>
              </w:rPr>
            </m:ctrlPr>
          </m:sSubPr>
          <m:e>
            <m:r>
              <w:rPr>
                <w:rFonts w:ascii="Cambria Math" w:hAnsi="Cambria Math" w:cs="Times New Roman"/>
                <w:sz w:val="21"/>
                <w:szCs w:val="21"/>
              </w:rPr>
              <m:t>П</m:t>
            </m:r>
          </m:e>
          <m:sub>
            <m:r>
              <w:rPr>
                <w:rFonts w:ascii="Cambria Math" w:hAnsi="Cambria Math" w:cs="Times New Roman"/>
                <w:sz w:val="21"/>
                <w:szCs w:val="21"/>
              </w:rPr>
              <m:t>п.н.</m:t>
            </m:r>
          </m:sub>
        </m:sSub>
        <m:r>
          <w:rPr>
            <w:rFonts w:ascii="Cambria Math" w:hAnsi="Cambria Math" w:cs="Times New Roman"/>
            <w:sz w:val="21"/>
            <w:szCs w:val="21"/>
          </w:rPr>
          <m:t>=К-</m:t>
        </m:r>
        <m:r>
          <w:rPr>
            <w:rFonts w:ascii="Cambria Math" w:hAnsi="Cambria Math" w:cs="Times New Roman"/>
            <w:sz w:val="21"/>
            <w:szCs w:val="21"/>
            <w:lang w:val="en-US"/>
          </w:rPr>
          <m:t>m</m:t>
        </m:r>
      </m:oMath>
      <w:r>
        <w:rPr>
          <w:rFonts w:ascii="Times New Roman" w:hAnsi="Times New Roman" w:cs="Times New Roman"/>
          <w:sz w:val="21"/>
          <w:szCs w:val="21"/>
        </w:rPr>
        <w:t xml:space="preserve">      </w:t>
      </w:r>
      <w:r w:rsidR="008E1EBE" w:rsidRPr="008E1EBE">
        <w:rPr>
          <w:rFonts w:ascii="Times New Roman" w:hAnsi="Times New Roman" w:cs="Times New Roman"/>
          <w:sz w:val="21"/>
          <w:szCs w:val="21"/>
          <w:lang w:val="ru-RU"/>
        </w:rPr>
        <w:t xml:space="preserve">                            </w:t>
      </w:r>
      <w:r>
        <w:rPr>
          <w:rFonts w:ascii="Times New Roman" w:hAnsi="Times New Roman" w:cs="Times New Roman"/>
          <w:sz w:val="21"/>
          <w:szCs w:val="21"/>
        </w:rPr>
        <w:t xml:space="preserve">      </w:t>
      </w:r>
      <w:r w:rsidRPr="00CD1C3A">
        <w:rPr>
          <w:rFonts w:ascii="Times New Roman" w:hAnsi="Times New Roman" w:cs="Times New Roman"/>
          <w:sz w:val="21"/>
          <w:szCs w:val="21"/>
        </w:rPr>
        <w:t>(2.</w:t>
      </w:r>
      <w:r>
        <w:rPr>
          <w:rFonts w:ascii="Times New Roman" w:hAnsi="Times New Roman" w:cs="Times New Roman"/>
          <w:sz w:val="21"/>
          <w:szCs w:val="21"/>
        </w:rPr>
        <w:t>15</w:t>
      </w:r>
      <w:r w:rsidRPr="00CD1C3A">
        <w:rPr>
          <w:rFonts w:ascii="Times New Roman" w:hAnsi="Times New Roman" w:cs="Times New Roman"/>
          <w:sz w:val="21"/>
          <w:szCs w:val="21"/>
        </w:rPr>
        <w:t>)</w:t>
      </w:r>
    </w:p>
    <w:p w:rsidR="00B233DE" w:rsidRPr="00CD1C3A"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lastRenderedPageBreak/>
        <w:t>де П</w:t>
      </w:r>
      <w:r w:rsidRPr="00FB0D91">
        <w:rPr>
          <w:rFonts w:ascii="Times New Roman" w:hAnsi="Times New Roman" w:cs="Times New Roman"/>
          <w:sz w:val="21"/>
          <w:szCs w:val="21"/>
          <w:vertAlign w:val="subscript"/>
        </w:rPr>
        <w:t xml:space="preserve">п.н. </w:t>
      </w:r>
      <w:r w:rsidRPr="00CD1C3A">
        <w:rPr>
          <w:rFonts w:ascii="Times New Roman" w:hAnsi="Times New Roman" w:cs="Times New Roman"/>
          <w:sz w:val="21"/>
          <w:szCs w:val="21"/>
        </w:rPr>
        <w:t>– загальний коефіцієнт природного приросту населення;</w:t>
      </w: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К – загальний коефіцієнт народжуваності;</w:t>
      </w: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m – загальний коефіцієнт смертності.</w:t>
      </w:r>
    </w:p>
    <w:p w:rsidR="00B233DE" w:rsidRPr="00CD1C3A" w:rsidRDefault="00B233DE" w:rsidP="00B233DE">
      <w:pPr>
        <w:ind w:firstLine="709"/>
        <w:jc w:val="both"/>
        <w:rPr>
          <w:rFonts w:ascii="Times New Roman" w:hAnsi="Times New Roman" w:cs="Times New Roman"/>
          <w:sz w:val="21"/>
          <w:szCs w:val="21"/>
          <w:highlight w:val="yellow"/>
        </w:rPr>
      </w:pPr>
      <w:r w:rsidRPr="00CD1C3A">
        <w:rPr>
          <w:rFonts w:ascii="Times New Roman" w:hAnsi="Times New Roman" w:cs="Times New Roman"/>
          <w:sz w:val="21"/>
          <w:szCs w:val="21"/>
        </w:rPr>
        <w:t xml:space="preserve">Для найкращого відображення демографічної ситуації використовують показники природного приросту (скорочення) населення. При співставленні даних, що розглядалися вище, можна зробити висновок, що </w:t>
      </w:r>
      <w:r>
        <w:rPr>
          <w:rFonts w:ascii="Times New Roman" w:hAnsi="Times New Roman" w:cs="Times New Roman"/>
          <w:sz w:val="21"/>
          <w:szCs w:val="21"/>
        </w:rPr>
        <w:t>у</w:t>
      </w:r>
      <w:r w:rsidRPr="00CD1C3A">
        <w:rPr>
          <w:rFonts w:ascii="Times New Roman" w:hAnsi="Times New Roman" w:cs="Times New Roman"/>
          <w:sz w:val="21"/>
          <w:szCs w:val="21"/>
        </w:rPr>
        <w:t xml:space="preserve"> Вінницькому регіоні несприятлива демографічна ситуація, але краща</w:t>
      </w:r>
      <w:r>
        <w:rPr>
          <w:rFonts w:ascii="Times New Roman" w:hAnsi="Times New Roman" w:cs="Times New Roman"/>
          <w:sz w:val="21"/>
          <w:szCs w:val="21"/>
        </w:rPr>
        <w:t>,</w:t>
      </w:r>
      <w:r w:rsidRPr="00CD1C3A">
        <w:rPr>
          <w:rFonts w:ascii="Times New Roman" w:hAnsi="Times New Roman" w:cs="Times New Roman"/>
          <w:sz w:val="21"/>
          <w:szCs w:val="21"/>
        </w:rPr>
        <w:t xml:space="preserve"> ніж в країні в цілому. З 1995 року по 2014 рік природний приріст збільшився (</w:t>
      </w:r>
      <w:r>
        <w:rPr>
          <w:rFonts w:ascii="Times New Roman" w:hAnsi="Times New Roman" w:cs="Times New Roman"/>
          <w:sz w:val="21"/>
          <w:szCs w:val="21"/>
        </w:rPr>
        <w:t>у</w:t>
      </w:r>
      <w:r w:rsidRPr="00CD1C3A">
        <w:rPr>
          <w:rFonts w:ascii="Times New Roman" w:hAnsi="Times New Roman" w:cs="Times New Roman"/>
          <w:sz w:val="21"/>
          <w:szCs w:val="21"/>
        </w:rPr>
        <w:t xml:space="preserve"> Вінницькому регіоні на 1,8</w:t>
      </w:r>
      <w:r>
        <w:rPr>
          <w:rFonts w:ascii="Times New Roman" w:hAnsi="Times New Roman" w:cs="Times New Roman"/>
          <w:sz w:val="21"/>
          <w:szCs w:val="21"/>
        </w:rPr>
        <w:t xml:space="preserve"> </w:t>
      </w:r>
      <w:r w:rsidRPr="00CD1C3A">
        <w:rPr>
          <w:rFonts w:ascii="Times New Roman" w:hAnsi="Times New Roman" w:cs="Times New Roman"/>
          <w:sz w:val="21"/>
          <w:szCs w:val="21"/>
        </w:rPr>
        <w:t>‰, в Україні – 1,9</w:t>
      </w:r>
      <w:r>
        <w:rPr>
          <w:rFonts w:ascii="Times New Roman" w:hAnsi="Times New Roman" w:cs="Times New Roman"/>
          <w:sz w:val="21"/>
          <w:szCs w:val="21"/>
        </w:rPr>
        <w:t xml:space="preserve"> </w:t>
      </w:r>
      <w:r w:rsidRPr="00CD1C3A">
        <w:rPr>
          <w:rFonts w:ascii="Times New Roman" w:hAnsi="Times New Roman" w:cs="Times New Roman"/>
          <w:sz w:val="21"/>
          <w:szCs w:val="21"/>
        </w:rPr>
        <w:t>‰), але, на</w:t>
      </w:r>
      <w:r>
        <w:rPr>
          <w:rFonts w:ascii="Times New Roman" w:hAnsi="Times New Roman" w:cs="Times New Roman"/>
          <w:sz w:val="21"/>
          <w:szCs w:val="21"/>
        </w:rPr>
        <w:t xml:space="preserve"> </w:t>
      </w:r>
      <w:r w:rsidRPr="00CD1C3A">
        <w:rPr>
          <w:rFonts w:ascii="Times New Roman" w:hAnsi="Times New Roman" w:cs="Times New Roman"/>
          <w:sz w:val="21"/>
          <w:szCs w:val="21"/>
        </w:rPr>
        <w:t>жаль, ці показники занадто низькі, не те щоб для збільшення населення, а навіть для його відтворення.</w:t>
      </w: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 xml:space="preserve">У Вінницькому регіоні природне скорочення </w:t>
      </w:r>
      <w:r>
        <w:rPr>
          <w:rFonts w:ascii="Times New Roman" w:hAnsi="Times New Roman" w:cs="Times New Roman"/>
          <w:sz w:val="21"/>
          <w:szCs w:val="21"/>
        </w:rPr>
        <w:t xml:space="preserve">населення </w:t>
      </w:r>
      <w:r w:rsidRPr="00CD1C3A">
        <w:rPr>
          <w:rFonts w:ascii="Times New Roman" w:hAnsi="Times New Roman" w:cs="Times New Roman"/>
          <w:sz w:val="21"/>
          <w:szCs w:val="21"/>
        </w:rPr>
        <w:t>на протязі 19 років, в середньому, на 1,14</w:t>
      </w:r>
      <w:r>
        <w:rPr>
          <w:rFonts w:ascii="Times New Roman" w:hAnsi="Times New Roman" w:cs="Times New Roman"/>
          <w:sz w:val="21"/>
          <w:szCs w:val="21"/>
        </w:rPr>
        <w:t xml:space="preserve"> </w:t>
      </w:r>
      <w:r w:rsidRPr="00CD1C3A">
        <w:rPr>
          <w:rFonts w:ascii="Times New Roman" w:hAnsi="Times New Roman" w:cs="Times New Roman"/>
          <w:sz w:val="21"/>
          <w:szCs w:val="21"/>
        </w:rPr>
        <w:t>‰ переважає над показниками по Україні. В регіоні великий коефіцієнт смертності. Це може бути спричинене несприятливою екологічною ситуацією.</w:t>
      </w: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Перехід України до ринкової економіки ознаменований серйозними випробуваннями для основної частини населення. Стрімке падіння рівня життя, інфляція, втрата низки соціальних гарантій і пільг, безробіття, невизначеність у подальшому житті – все це спричинило хаотичний пошук громадянами</w:t>
      </w:r>
      <w:r>
        <w:rPr>
          <w:rFonts w:ascii="Times New Roman" w:hAnsi="Times New Roman" w:cs="Times New Roman"/>
          <w:sz w:val="21"/>
          <w:szCs w:val="21"/>
        </w:rPr>
        <w:t xml:space="preserve"> нових шляхів вирішення життєво </w:t>
      </w:r>
      <w:r w:rsidRPr="00CD1C3A">
        <w:rPr>
          <w:rFonts w:ascii="Times New Roman" w:hAnsi="Times New Roman" w:cs="Times New Roman"/>
          <w:sz w:val="21"/>
          <w:szCs w:val="21"/>
        </w:rPr>
        <w:t xml:space="preserve">важливих проблем, у тому числі за рахунок поїздок за межі України. </w:t>
      </w: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 xml:space="preserve">Вінниччина </w:t>
      </w:r>
      <w:r>
        <w:rPr>
          <w:rFonts w:ascii="Times New Roman" w:hAnsi="Times New Roman" w:cs="Times New Roman"/>
          <w:sz w:val="21"/>
          <w:szCs w:val="21"/>
        </w:rPr>
        <w:t>–</w:t>
      </w:r>
      <w:r w:rsidRPr="00CD1C3A">
        <w:rPr>
          <w:rFonts w:ascii="Times New Roman" w:hAnsi="Times New Roman" w:cs="Times New Roman"/>
          <w:sz w:val="21"/>
          <w:szCs w:val="21"/>
        </w:rPr>
        <w:t xml:space="preserve"> край індустрії і високомеханізованого сільського господарства, з помітною науково-виробничою і мінерально-сировинною базою. У її надрах понад 1100 родовищ і покладів 30 видів різних корисних копалин, десятки родовищ торфу, а також унікальні поклади граніту і каоліну, гранату і флюориту. Розроблено і діють в області ряд цілющих джерел мінеральної, а також радонової води в м. Хмільнику. Маючи такі неоціненні запаси мінеральних ресурсів, Вінниччина може незабаром зайняти провідні позиції </w:t>
      </w:r>
      <w:r>
        <w:rPr>
          <w:rFonts w:ascii="Times New Roman" w:hAnsi="Times New Roman" w:cs="Times New Roman"/>
          <w:sz w:val="21"/>
          <w:szCs w:val="21"/>
        </w:rPr>
        <w:t>щодо їх</w:t>
      </w:r>
      <w:r w:rsidRPr="00CD1C3A">
        <w:rPr>
          <w:rFonts w:ascii="Times New Roman" w:hAnsi="Times New Roman" w:cs="Times New Roman"/>
          <w:sz w:val="21"/>
          <w:szCs w:val="21"/>
        </w:rPr>
        <w:t xml:space="preserve"> експорт</w:t>
      </w:r>
      <w:r>
        <w:rPr>
          <w:rFonts w:ascii="Times New Roman" w:hAnsi="Times New Roman" w:cs="Times New Roman"/>
          <w:sz w:val="21"/>
          <w:szCs w:val="21"/>
        </w:rPr>
        <w:t>у</w:t>
      </w:r>
      <w:r w:rsidRPr="00CD1C3A">
        <w:rPr>
          <w:rFonts w:ascii="Times New Roman" w:hAnsi="Times New Roman" w:cs="Times New Roman"/>
          <w:sz w:val="21"/>
          <w:szCs w:val="21"/>
        </w:rPr>
        <w:t xml:space="preserve"> у країни СНД, а також на світовий ринок.</w:t>
      </w: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На Вінниччину приходиться 12,7</w:t>
      </w:r>
      <w:r>
        <w:rPr>
          <w:rFonts w:ascii="Times New Roman" w:hAnsi="Times New Roman" w:cs="Times New Roman"/>
          <w:sz w:val="21"/>
          <w:szCs w:val="21"/>
        </w:rPr>
        <w:t xml:space="preserve"> </w:t>
      </w:r>
      <w:r w:rsidRPr="00CD1C3A">
        <w:rPr>
          <w:rFonts w:ascii="Times New Roman" w:hAnsi="Times New Roman" w:cs="Times New Roman"/>
          <w:sz w:val="21"/>
          <w:szCs w:val="21"/>
        </w:rPr>
        <w:t>% чисельності промислово-виробничого потенціалу України, 2</w:t>
      </w:r>
      <w:r>
        <w:rPr>
          <w:rFonts w:ascii="Times New Roman" w:hAnsi="Times New Roman" w:cs="Times New Roman"/>
          <w:sz w:val="21"/>
          <w:szCs w:val="21"/>
        </w:rPr>
        <w:t xml:space="preserve"> </w:t>
      </w:r>
      <w:r w:rsidRPr="00CD1C3A">
        <w:rPr>
          <w:rFonts w:ascii="Times New Roman" w:hAnsi="Times New Roman" w:cs="Times New Roman"/>
          <w:sz w:val="21"/>
          <w:szCs w:val="21"/>
        </w:rPr>
        <w:t>% вартості основних виробничих фондів і 2,6</w:t>
      </w:r>
      <w:r>
        <w:rPr>
          <w:rFonts w:ascii="Times New Roman" w:hAnsi="Times New Roman" w:cs="Times New Roman"/>
          <w:sz w:val="21"/>
          <w:szCs w:val="21"/>
        </w:rPr>
        <w:t xml:space="preserve"> </w:t>
      </w:r>
      <w:r w:rsidRPr="00CD1C3A">
        <w:rPr>
          <w:rFonts w:ascii="Times New Roman" w:hAnsi="Times New Roman" w:cs="Times New Roman"/>
          <w:sz w:val="21"/>
          <w:szCs w:val="21"/>
        </w:rPr>
        <w:t>% випуску промислової продукції.</w:t>
      </w: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lastRenderedPageBreak/>
        <w:t>На Вінниччині 39 цукро</w:t>
      </w:r>
      <w:r>
        <w:rPr>
          <w:rFonts w:ascii="Times New Roman" w:hAnsi="Times New Roman" w:cs="Times New Roman"/>
          <w:sz w:val="21"/>
          <w:szCs w:val="21"/>
        </w:rPr>
        <w:t>вих заводів, 13 спиртозаводів, с</w:t>
      </w:r>
      <w:r w:rsidRPr="00CD1C3A">
        <w:rPr>
          <w:rFonts w:ascii="Times New Roman" w:hAnsi="Times New Roman" w:cs="Times New Roman"/>
          <w:sz w:val="21"/>
          <w:szCs w:val="21"/>
        </w:rPr>
        <w:t>творено непогану базу з пе</w:t>
      </w:r>
      <w:r>
        <w:rPr>
          <w:rFonts w:ascii="Times New Roman" w:hAnsi="Times New Roman" w:cs="Times New Roman"/>
          <w:sz w:val="21"/>
          <w:szCs w:val="21"/>
        </w:rPr>
        <w:t>реробки насіння соняшнику, круп’</w:t>
      </w:r>
      <w:r w:rsidRPr="00CD1C3A">
        <w:rPr>
          <w:rFonts w:ascii="Times New Roman" w:hAnsi="Times New Roman" w:cs="Times New Roman"/>
          <w:sz w:val="21"/>
          <w:szCs w:val="21"/>
        </w:rPr>
        <w:t>яних культур. З валового виробництва цукру і зерна Вінниччина займає 1 місце в країні і тому має реальні можливості стати незабаром головним постачальником цієї продукції в країни СНД і далекого зарубіжжя.</w:t>
      </w:r>
    </w:p>
    <w:p w:rsidR="00B233DE"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У Вінницькій області проживає близько 3,6</w:t>
      </w:r>
      <w:r>
        <w:rPr>
          <w:rFonts w:ascii="Times New Roman" w:hAnsi="Times New Roman" w:cs="Times New Roman"/>
          <w:sz w:val="21"/>
          <w:szCs w:val="21"/>
        </w:rPr>
        <w:t xml:space="preserve"> </w:t>
      </w:r>
      <w:r w:rsidRPr="00CD1C3A">
        <w:rPr>
          <w:rFonts w:ascii="Times New Roman" w:hAnsi="Times New Roman" w:cs="Times New Roman"/>
          <w:sz w:val="21"/>
          <w:szCs w:val="21"/>
        </w:rPr>
        <w:t>% населення країни. В останнє десятиліття міграція була важливим компонентом формування чисельності і загального приросту населення області. На підставі даних державної статистики було проведено аналіз д</w:t>
      </w:r>
      <w:r>
        <w:rPr>
          <w:rFonts w:ascii="Times New Roman" w:hAnsi="Times New Roman" w:cs="Times New Roman"/>
          <w:sz w:val="21"/>
          <w:szCs w:val="21"/>
        </w:rPr>
        <w:t>аних по міграції в регіоні, пов’</w:t>
      </w:r>
      <w:r w:rsidRPr="00CD1C3A">
        <w:rPr>
          <w:rFonts w:ascii="Times New Roman" w:hAnsi="Times New Roman" w:cs="Times New Roman"/>
          <w:sz w:val="21"/>
          <w:szCs w:val="21"/>
        </w:rPr>
        <w:t xml:space="preserve">язаної зі зміною постійного місця проживання в порівнянні з Україною. У 2005 році </w:t>
      </w:r>
      <w:r>
        <w:rPr>
          <w:rFonts w:ascii="Times New Roman" w:hAnsi="Times New Roman" w:cs="Times New Roman"/>
          <w:sz w:val="21"/>
          <w:szCs w:val="21"/>
        </w:rPr>
        <w:t>у</w:t>
      </w:r>
      <w:r w:rsidRPr="00CD1C3A">
        <w:rPr>
          <w:rFonts w:ascii="Times New Roman" w:hAnsi="Times New Roman" w:cs="Times New Roman"/>
          <w:sz w:val="21"/>
          <w:szCs w:val="21"/>
        </w:rPr>
        <w:t xml:space="preserve"> Вінницькій області відмічається найбільш від’ємний міграційний приріст 2800 осіб, потім починається його підвищення, яке в 2014 році склало 300 осіб.</w:t>
      </w:r>
    </w:p>
    <w:p w:rsidR="00B233DE"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 xml:space="preserve">Сальдо міграції, чиста міграція, нетто-міграція чи міграційний приріст розраховується як різниця між кількістю прибулих і вибулих мігрантів за період (за звичай за рік) для </w:t>
      </w:r>
      <w:r>
        <w:rPr>
          <w:rFonts w:ascii="Times New Roman" w:hAnsi="Times New Roman" w:cs="Times New Roman"/>
          <w:sz w:val="21"/>
          <w:szCs w:val="21"/>
        </w:rPr>
        <w:t xml:space="preserve">країни, регіону, міста, району. </w:t>
      </w:r>
      <w:r w:rsidRPr="00CD1C3A">
        <w:rPr>
          <w:rFonts w:ascii="Times New Roman" w:hAnsi="Times New Roman" w:cs="Times New Roman"/>
          <w:sz w:val="21"/>
          <w:szCs w:val="21"/>
        </w:rPr>
        <w:t>Формула для розрахунку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_Ref435781262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23</w:t>
      </w:r>
      <w:r>
        <w:rPr>
          <w:rFonts w:ascii="Times New Roman" w:hAnsi="Times New Roman"/>
          <w:sz w:val="21"/>
          <w:szCs w:val="21"/>
          <w:highlight w:val="yellow"/>
        </w:rPr>
        <w:fldChar w:fldCharType="end"/>
      </w:r>
      <w:r w:rsidRPr="00CD1C3A">
        <w:rPr>
          <w:rFonts w:ascii="Times New Roman" w:hAnsi="Times New Roman" w:cs="Times New Roman"/>
          <w:sz w:val="21"/>
          <w:szCs w:val="21"/>
        </w:rPr>
        <w:t>]:</w:t>
      </w:r>
    </w:p>
    <w:p w:rsidR="00B233DE" w:rsidRPr="00CD1C3A" w:rsidRDefault="00B233DE" w:rsidP="00B233DE">
      <w:pPr>
        <w:ind w:firstLine="709"/>
        <w:rPr>
          <w:rFonts w:ascii="Times New Roman" w:hAnsi="Times New Roman" w:cs="Times New Roman"/>
          <w:sz w:val="21"/>
          <w:szCs w:val="21"/>
        </w:rPr>
      </w:pPr>
    </w:p>
    <w:p w:rsidR="00B233DE" w:rsidRPr="00BE40F8" w:rsidRDefault="00B233DE" w:rsidP="008E1EBE">
      <w:pPr>
        <w:ind w:firstLine="709"/>
        <w:jc w:val="center"/>
        <w:rPr>
          <w:rFonts w:ascii="Times New Roman" w:hAnsi="Times New Roman" w:cs="Times New Roman"/>
          <w:sz w:val="21"/>
          <w:szCs w:val="21"/>
          <w:lang w:val="ru-RU"/>
        </w:rPr>
      </w:pPr>
      <w:r>
        <w:rPr>
          <w:rFonts w:ascii="Times New Roman" w:hAnsi="Times New Roman" w:cs="Times New Roman"/>
          <w:sz w:val="21"/>
          <w:szCs w:val="21"/>
        </w:rPr>
        <w:t xml:space="preserve">                   </w:t>
      </w:r>
      <w:r w:rsidR="008E1EBE">
        <w:rPr>
          <w:rFonts w:ascii="Times New Roman" w:hAnsi="Times New Roman" w:cs="Times New Roman"/>
          <w:sz w:val="21"/>
          <w:szCs w:val="21"/>
        </w:rPr>
        <w:t xml:space="preserve">      </w:t>
      </w:r>
      <w:r>
        <w:rPr>
          <w:rFonts w:ascii="Times New Roman" w:hAnsi="Times New Roman" w:cs="Times New Roman"/>
          <w:sz w:val="21"/>
          <w:szCs w:val="21"/>
        </w:rPr>
        <w:t xml:space="preserve">             </w:t>
      </w:r>
      <m:oMath>
        <m:r>
          <w:rPr>
            <w:rFonts w:ascii="Cambria Math" w:hAnsi="Cambria Math" w:cs="Times New Roman"/>
            <w:sz w:val="21"/>
            <w:szCs w:val="21"/>
          </w:rPr>
          <m:t xml:space="preserve">МП </m:t>
        </m:r>
        <m:d>
          <m:dPr>
            <m:ctrlPr>
              <w:rPr>
                <w:rFonts w:ascii="Cambria Math" w:hAnsi="Cambria Math" w:cs="Times New Roman"/>
                <w:i/>
                <w:sz w:val="21"/>
                <w:szCs w:val="21"/>
              </w:rPr>
            </m:ctrlPr>
          </m:dPr>
          <m:e>
            <m:r>
              <w:rPr>
                <w:rFonts w:ascii="Cambria Math" w:hAnsi="Cambria Math" w:cs="Times New Roman"/>
                <w:sz w:val="21"/>
                <w:szCs w:val="21"/>
              </w:rPr>
              <m:t>МУ</m:t>
            </m:r>
          </m:e>
        </m:d>
        <m:r>
          <w:rPr>
            <w:rFonts w:ascii="Cambria Math" w:hAnsi="Cambria Math" w:cs="Times New Roman"/>
            <w:sz w:val="21"/>
            <w:szCs w:val="21"/>
          </w:rPr>
          <m:t>=П-В</m:t>
        </m:r>
      </m:oMath>
      <w:r w:rsidR="008E1EBE">
        <w:rPr>
          <w:rFonts w:ascii="Times New Roman" w:hAnsi="Times New Roman" w:cs="Times New Roman"/>
          <w:sz w:val="21"/>
          <w:szCs w:val="21"/>
        </w:rPr>
        <w:t xml:space="preserve">,                      </w:t>
      </w:r>
      <w:r w:rsidRPr="00CD1C3A">
        <w:rPr>
          <w:rFonts w:ascii="Times New Roman" w:hAnsi="Times New Roman" w:cs="Times New Roman"/>
          <w:sz w:val="21"/>
          <w:szCs w:val="21"/>
        </w:rPr>
        <w:t xml:space="preserve"> (2.</w:t>
      </w:r>
      <w:r>
        <w:rPr>
          <w:rFonts w:ascii="Times New Roman" w:hAnsi="Times New Roman" w:cs="Times New Roman"/>
          <w:sz w:val="21"/>
          <w:szCs w:val="21"/>
        </w:rPr>
        <w:t>16</w:t>
      </w:r>
      <w:r w:rsidRPr="00CD1C3A">
        <w:rPr>
          <w:rFonts w:ascii="Times New Roman" w:hAnsi="Times New Roman" w:cs="Times New Roman"/>
          <w:sz w:val="21"/>
          <w:szCs w:val="21"/>
        </w:rPr>
        <w:t>)</w:t>
      </w:r>
    </w:p>
    <w:p w:rsidR="00B233DE" w:rsidRDefault="00B233DE" w:rsidP="00B233DE">
      <w:pPr>
        <w:ind w:firstLine="709"/>
        <w:jc w:val="both"/>
        <w:rPr>
          <w:rFonts w:ascii="Times New Roman" w:hAnsi="Times New Roman" w:cs="Times New Roman"/>
          <w:sz w:val="21"/>
          <w:szCs w:val="21"/>
        </w:rPr>
      </w:pP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де МП (МУ) – міграційний приріст;</w:t>
      </w: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П – число прибулих;</w:t>
      </w: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В – число вибулих.</w:t>
      </w: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 xml:space="preserve">Якщо показник позитивний використовується термін </w:t>
      </w:r>
      <w:r>
        <w:rPr>
          <w:rFonts w:ascii="Times New Roman" w:hAnsi="Times New Roman" w:cs="Times New Roman"/>
          <w:sz w:val="21"/>
          <w:szCs w:val="21"/>
        </w:rPr>
        <w:t>«міграційний приріст», якщо від’</w:t>
      </w:r>
      <w:r w:rsidRPr="00CD1C3A">
        <w:rPr>
          <w:rFonts w:ascii="Times New Roman" w:hAnsi="Times New Roman" w:cs="Times New Roman"/>
          <w:sz w:val="21"/>
          <w:szCs w:val="21"/>
        </w:rPr>
        <w:t>ємний – «міграційний спад».</w:t>
      </w: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Скорочення міграційного приросту відбувалося на тлі збільш</w:t>
      </w:r>
      <w:r>
        <w:rPr>
          <w:rFonts w:ascii="Times New Roman" w:hAnsi="Times New Roman" w:cs="Times New Roman"/>
          <w:sz w:val="21"/>
          <w:szCs w:val="21"/>
        </w:rPr>
        <w:t>ення природного спаду населення.</w:t>
      </w:r>
      <w:r w:rsidRPr="00CD1C3A">
        <w:rPr>
          <w:rFonts w:ascii="Times New Roman" w:hAnsi="Times New Roman" w:cs="Times New Roman"/>
          <w:sz w:val="21"/>
          <w:szCs w:val="21"/>
        </w:rPr>
        <w:t xml:space="preserve"> </w:t>
      </w:r>
      <w:r>
        <w:rPr>
          <w:rFonts w:ascii="Times New Roman" w:hAnsi="Times New Roman" w:cs="Times New Roman"/>
          <w:sz w:val="21"/>
          <w:szCs w:val="21"/>
        </w:rPr>
        <w:t>Н</w:t>
      </w:r>
      <w:r w:rsidRPr="00CD1C3A">
        <w:rPr>
          <w:rFonts w:ascii="Times New Roman" w:hAnsi="Times New Roman" w:cs="Times New Roman"/>
          <w:sz w:val="21"/>
          <w:szCs w:val="21"/>
        </w:rPr>
        <w:t>а цьому фоні загальний приріст населення у Вінницькій області залишався негативним. Абсолютні показники міграції мають один істотний недолік – вони залежать від абсолютної чисельності населення регіону, тому немає можливості адекватно і коректно порівняти території з різною чисельністю населення. Для того, щоб зіставити інтенсивність міграції в Вінницькій області з іншими територіями (країною) необхідно розраховувати загальні коефіцієнти міграційного приросту. Загальні коефіцієнти міграційного приросту (скорочення) населення в Вінницькій області та Україні у 2005-2014 роках зображено на рисунку 2.1</w:t>
      </w:r>
      <w:r>
        <w:rPr>
          <w:rFonts w:ascii="Times New Roman" w:hAnsi="Times New Roman" w:cs="Times New Roman"/>
          <w:sz w:val="21"/>
          <w:szCs w:val="21"/>
        </w:rPr>
        <w:t>1</w:t>
      </w:r>
      <w:r w:rsidRPr="00CD1C3A">
        <w:rPr>
          <w:rFonts w:ascii="Times New Roman" w:hAnsi="Times New Roman" w:cs="Times New Roman"/>
          <w:sz w:val="21"/>
          <w:szCs w:val="21"/>
        </w:rPr>
        <w:t>.</w:t>
      </w:r>
    </w:p>
    <w:p w:rsidR="00B233DE" w:rsidRPr="00CD1C3A" w:rsidRDefault="00B233DE" w:rsidP="00B233DE">
      <w:pPr>
        <w:ind w:firstLine="709"/>
        <w:jc w:val="both"/>
        <w:rPr>
          <w:rFonts w:ascii="Times New Roman" w:hAnsi="Times New Roman" w:cs="Times New Roman"/>
          <w:sz w:val="21"/>
          <w:szCs w:val="21"/>
          <w:highlight w:val="yellow"/>
        </w:rPr>
      </w:pPr>
    </w:p>
    <w:p w:rsidR="00B233DE" w:rsidRPr="002346E6" w:rsidRDefault="00B233DE" w:rsidP="00B233DE">
      <w:pPr>
        <w:jc w:val="both"/>
        <w:rPr>
          <w:sz w:val="28"/>
          <w:szCs w:val="28"/>
          <w:highlight w:val="yellow"/>
        </w:rPr>
      </w:pPr>
      <w:r>
        <w:rPr>
          <w:noProof/>
          <w:lang w:val="ru-RU" w:eastAsia="ru-RU"/>
        </w:rPr>
        <w:drawing>
          <wp:inline distT="0" distB="0" distL="0" distR="0" wp14:anchorId="5BBC52DA" wp14:editId="62C34FC8">
            <wp:extent cx="3567112" cy="1838325"/>
            <wp:effectExtent l="0" t="0" r="14605" b="9525"/>
            <wp:docPr id="18" name="Диаграмма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B233DE" w:rsidRPr="00E032AB" w:rsidRDefault="00B233DE" w:rsidP="00B233DE">
      <w:pPr>
        <w:ind w:firstLine="709"/>
        <w:jc w:val="center"/>
        <w:rPr>
          <w:rFonts w:ascii="Times New Roman" w:hAnsi="Times New Roman" w:cs="Times New Roman"/>
          <w:b/>
          <w:sz w:val="21"/>
          <w:szCs w:val="21"/>
        </w:rPr>
      </w:pPr>
      <w:r w:rsidRPr="00E032AB">
        <w:rPr>
          <w:rFonts w:ascii="Times New Roman" w:hAnsi="Times New Roman" w:cs="Times New Roman"/>
          <w:b/>
          <w:sz w:val="21"/>
          <w:szCs w:val="21"/>
        </w:rPr>
        <w:t>Рис. 2.1</w:t>
      </w:r>
      <w:r>
        <w:rPr>
          <w:rFonts w:ascii="Times New Roman" w:hAnsi="Times New Roman" w:cs="Times New Roman"/>
          <w:b/>
          <w:sz w:val="21"/>
          <w:szCs w:val="21"/>
        </w:rPr>
        <w:t>1</w:t>
      </w:r>
      <w:r w:rsidRPr="00E032AB">
        <w:rPr>
          <w:rFonts w:ascii="Times New Roman" w:hAnsi="Times New Roman" w:cs="Times New Roman"/>
          <w:b/>
          <w:sz w:val="21"/>
          <w:szCs w:val="21"/>
        </w:rPr>
        <w:t>. Загальні коефіцієнти міграційного приросту</w:t>
      </w:r>
      <w:r w:rsidRPr="007D49D7">
        <w:rPr>
          <w:rFonts w:ascii="Times New Roman" w:hAnsi="Times New Roman" w:cs="Times New Roman"/>
          <w:b/>
          <w:sz w:val="21"/>
          <w:szCs w:val="21"/>
        </w:rPr>
        <w:t xml:space="preserve"> </w:t>
      </w:r>
      <w:r>
        <w:rPr>
          <w:rFonts w:ascii="Times New Roman" w:hAnsi="Times New Roman" w:cs="Times New Roman"/>
          <w:b/>
          <w:sz w:val="21"/>
          <w:szCs w:val="21"/>
        </w:rPr>
        <w:t>у</w:t>
      </w:r>
      <w:r w:rsidRPr="00E032AB">
        <w:rPr>
          <w:rFonts w:ascii="Times New Roman" w:hAnsi="Times New Roman" w:cs="Times New Roman"/>
          <w:b/>
          <w:sz w:val="21"/>
          <w:szCs w:val="21"/>
        </w:rPr>
        <w:t xml:space="preserve"> Вінницькій області та Україні, скорочення (–) населення (на </w:t>
      </w:r>
      <w:r>
        <w:rPr>
          <w:rFonts w:ascii="Times New Roman" w:hAnsi="Times New Roman" w:cs="Times New Roman"/>
          <w:b/>
          <w:sz w:val="21"/>
          <w:szCs w:val="21"/>
        </w:rPr>
        <w:t>10000 осіб наявного населення )</w:t>
      </w:r>
    </w:p>
    <w:p w:rsidR="00B233DE" w:rsidRPr="00CD1C3A" w:rsidRDefault="00B233DE" w:rsidP="00B233DE">
      <w:pPr>
        <w:ind w:firstLine="709"/>
        <w:jc w:val="both"/>
        <w:rPr>
          <w:rFonts w:ascii="Times New Roman" w:hAnsi="Times New Roman" w:cs="Times New Roman"/>
          <w:sz w:val="21"/>
          <w:szCs w:val="21"/>
          <w:highlight w:val="yellow"/>
        </w:rPr>
      </w:pP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Коефіцієнт міграційного приросту розраховується шляхом ділення абсолютного показника міграційного приросту в регіоні (країні) за рік на середньорічну чисельність наявного населення та множиться на 10000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_Ref435781262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23</w:t>
      </w:r>
      <w:r>
        <w:rPr>
          <w:rFonts w:ascii="Times New Roman" w:hAnsi="Times New Roman"/>
          <w:sz w:val="21"/>
          <w:szCs w:val="21"/>
          <w:highlight w:val="yellow"/>
        </w:rPr>
        <w:fldChar w:fldCharType="end"/>
      </w:r>
      <w:r w:rsidRPr="00CD1C3A">
        <w:rPr>
          <w:rFonts w:ascii="Times New Roman" w:hAnsi="Times New Roman" w:cs="Times New Roman"/>
          <w:sz w:val="21"/>
          <w:szCs w:val="21"/>
        </w:rPr>
        <w:t>]:</w:t>
      </w:r>
    </w:p>
    <w:p w:rsidR="00B233DE" w:rsidRPr="008E1EBE" w:rsidRDefault="00B233DE" w:rsidP="00B233DE">
      <w:pPr>
        <w:ind w:firstLine="709"/>
        <w:jc w:val="both"/>
        <w:rPr>
          <w:rFonts w:ascii="Times New Roman" w:hAnsi="Times New Roman" w:cs="Times New Roman"/>
          <w:sz w:val="21"/>
          <w:szCs w:val="21"/>
        </w:rPr>
      </w:pPr>
    </w:p>
    <w:p w:rsidR="00B233DE" w:rsidRPr="00CD1C3A" w:rsidRDefault="008E1EBE" w:rsidP="008E1EBE">
      <w:pPr>
        <w:ind w:firstLine="709"/>
        <w:jc w:val="both"/>
        <w:rPr>
          <w:rFonts w:ascii="Times New Roman" w:hAnsi="Times New Roman" w:cs="Times New Roman"/>
          <w:sz w:val="21"/>
          <w:szCs w:val="21"/>
        </w:rPr>
      </w:pPr>
      <w:r>
        <w:rPr>
          <w:rFonts w:ascii="Times New Roman" w:hAnsi="Times New Roman" w:cs="Times New Roman"/>
          <w:sz w:val="21"/>
          <w:szCs w:val="21"/>
        </w:rPr>
        <w:t xml:space="preserve">                                 </w:t>
      </w:r>
      <m:oMath>
        <m:r>
          <w:rPr>
            <w:rFonts w:ascii="Cambria Math" w:hAnsi="Cambria Math" w:cs="Times New Roman"/>
            <w:sz w:val="21"/>
            <w:szCs w:val="21"/>
          </w:rPr>
          <m:t>К=</m:t>
        </m:r>
        <m:f>
          <m:fPr>
            <m:ctrlPr>
              <w:rPr>
                <w:rFonts w:ascii="Cambria Math" w:hAnsi="Cambria Math" w:cs="Times New Roman"/>
                <w:i/>
                <w:sz w:val="21"/>
                <w:szCs w:val="21"/>
              </w:rPr>
            </m:ctrlPr>
          </m:fPr>
          <m:num>
            <m:r>
              <w:rPr>
                <w:rFonts w:ascii="Cambria Math" w:hAnsi="Cambria Math" w:cs="Times New Roman"/>
                <w:sz w:val="21"/>
                <w:szCs w:val="21"/>
              </w:rPr>
              <m:t>МП</m:t>
            </m:r>
          </m:num>
          <m:den>
            <m:sSub>
              <m:sSubPr>
                <m:ctrlPr>
                  <w:rPr>
                    <w:rFonts w:ascii="Cambria Math" w:hAnsi="Cambria Math" w:cs="Times New Roman"/>
                    <w:i/>
                    <w:sz w:val="21"/>
                    <w:szCs w:val="21"/>
                  </w:rPr>
                </m:ctrlPr>
              </m:sSubPr>
              <m:e>
                <m:r>
                  <w:rPr>
                    <w:rFonts w:ascii="Cambria Math" w:hAnsi="Cambria Math" w:cs="Times New Roman"/>
                    <w:sz w:val="21"/>
                    <w:szCs w:val="21"/>
                  </w:rPr>
                  <m:t>Ч</m:t>
                </m:r>
              </m:e>
              <m:sub>
                <m:r>
                  <w:rPr>
                    <w:rFonts w:ascii="Cambria Math" w:hAnsi="Cambria Math" w:cs="Times New Roman"/>
                    <w:sz w:val="21"/>
                    <w:szCs w:val="21"/>
                  </w:rPr>
                  <m:t>н</m:t>
                </m:r>
              </m:sub>
            </m:sSub>
          </m:den>
        </m:f>
        <m:r>
          <w:rPr>
            <w:rFonts w:ascii="Cambria Math" w:hAnsi="Cambria Math" w:cs="Times New Roman"/>
            <w:sz w:val="21"/>
            <w:szCs w:val="21"/>
          </w:rPr>
          <m:t>×10000</m:t>
        </m:r>
      </m:oMath>
      <w:r>
        <w:rPr>
          <w:rFonts w:ascii="Times New Roman" w:hAnsi="Times New Roman" w:cs="Times New Roman"/>
          <w:sz w:val="21"/>
          <w:szCs w:val="21"/>
        </w:rPr>
        <w:t xml:space="preserve">, </w:t>
      </w:r>
      <w:r w:rsidR="00B233DE" w:rsidRPr="008E1EBE">
        <w:rPr>
          <w:rFonts w:ascii="Times New Roman" w:hAnsi="Times New Roman" w:cs="Times New Roman"/>
          <w:sz w:val="21"/>
          <w:szCs w:val="21"/>
        </w:rPr>
        <w:t xml:space="preserve"> </w:t>
      </w:r>
      <w:r>
        <w:rPr>
          <w:rFonts w:ascii="Times New Roman" w:hAnsi="Times New Roman" w:cs="Times New Roman"/>
          <w:sz w:val="21"/>
          <w:szCs w:val="21"/>
        </w:rPr>
        <w:t xml:space="preserve">                             </w:t>
      </w:r>
      <w:r w:rsidR="00B233DE" w:rsidRPr="008E1EBE">
        <w:rPr>
          <w:rFonts w:ascii="Times New Roman" w:hAnsi="Times New Roman" w:cs="Times New Roman"/>
          <w:sz w:val="21"/>
          <w:szCs w:val="21"/>
        </w:rPr>
        <w:t>(2.17)</w:t>
      </w:r>
    </w:p>
    <w:p w:rsidR="00B233DE" w:rsidRPr="00CD1C3A" w:rsidRDefault="00B233DE" w:rsidP="00B233DE">
      <w:pPr>
        <w:ind w:firstLine="709"/>
        <w:jc w:val="both"/>
        <w:rPr>
          <w:rFonts w:ascii="Times New Roman" w:hAnsi="Times New Roman" w:cs="Times New Roman"/>
          <w:sz w:val="21"/>
          <w:szCs w:val="21"/>
        </w:rPr>
      </w:pP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де К – коефіцієнт міграційного приросту;</w:t>
      </w:r>
    </w:p>
    <w:p w:rsidR="00B233DE" w:rsidRPr="00CD1C3A" w:rsidRDefault="00B233DE" w:rsidP="00B233DE">
      <w:pPr>
        <w:ind w:firstLine="709"/>
        <w:jc w:val="both"/>
        <w:rPr>
          <w:rFonts w:ascii="Times New Roman" w:hAnsi="Times New Roman" w:cs="Times New Roman"/>
          <w:sz w:val="21"/>
          <w:szCs w:val="21"/>
        </w:rPr>
      </w:pPr>
      <w:r w:rsidRPr="00CD1C3A">
        <w:rPr>
          <w:rFonts w:ascii="Times New Roman" w:hAnsi="Times New Roman" w:cs="Times New Roman"/>
          <w:sz w:val="21"/>
          <w:szCs w:val="21"/>
        </w:rPr>
        <w:t>Ч</w:t>
      </w:r>
      <w:r w:rsidRPr="00FE5987">
        <w:rPr>
          <w:rFonts w:ascii="Times New Roman" w:hAnsi="Times New Roman" w:cs="Times New Roman"/>
          <w:sz w:val="21"/>
          <w:szCs w:val="21"/>
          <w:vertAlign w:val="subscript"/>
        </w:rPr>
        <w:t>н</w:t>
      </w:r>
      <w:r w:rsidRPr="00CD1C3A">
        <w:rPr>
          <w:rFonts w:ascii="Times New Roman" w:hAnsi="Times New Roman" w:cs="Times New Roman"/>
          <w:sz w:val="21"/>
          <w:szCs w:val="21"/>
        </w:rPr>
        <w:t xml:space="preserve"> – середньорічна чисельність наявного населення.</w:t>
      </w:r>
    </w:p>
    <w:p w:rsidR="00B233DE" w:rsidRPr="00CD1C3A" w:rsidRDefault="00B233DE" w:rsidP="00B233DE">
      <w:pPr>
        <w:ind w:firstLine="709"/>
        <w:jc w:val="both"/>
        <w:rPr>
          <w:rFonts w:ascii="Times New Roman" w:hAnsi="Times New Roman" w:cs="Times New Roman"/>
          <w:sz w:val="21"/>
          <w:szCs w:val="21"/>
          <w:highlight w:val="yellow"/>
        </w:rPr>
      </w:pPr>
      <w:r w:rsidRPr="00CD1C3A">
        <w:rPr>
          <w:rFonts w:ascii="Times New Roman" w:hAnsi="Times New Roman" w:cs="Times New Roman"/>
          <w:sz w:val="21"/>
          <w:szCs w:val="21"/>
        </w:rPr>
        <w:t>Як показують розрахунки, максимальна інтенсивність міграції в Вінницькій області відзначалася в 2011 році, але на 0,7 коефіцієнта менша</w:t>
      </w:r>
      <w:r>
        <w:rPr>
          <w:rFonts w:ascii="Times New Roman" w:hAnsi="Times New Roman" w:cs="Times New Roman"/>
          <w:sz w:val="21"/>
          <w:szCs w:val="21"/>
        </w:rPr>
        <w:t>,</w:t>
      </w:r>
      <w:r w:rsidRPr="00CD1C3A">
        <w:rPr>
          <w:rFonts w:ascii="Times New Roman" w:hAnsi="Times New Roman" w:cs="Times New Roman"/>
          <w:sz w:val="21"/>
          <w:szCs w:val="21"/>
        </w:rPr>
        <w:t xml:space="preserve"> ніж в Україні. Якщо в Україні міграційний приріст різко збільшився з 2006 року по 2007 рік, а з 2008 року по 2009 рік почав з такою ж інтенсивністю знову зменшуватися, то </w:t>
      </w:r>
      <w:r>
        <w:rPr>
          <w:rFonts w:ascii="Times New Roman" w:hAnsi="Times New Roman" w:cs="Times New Roman"/>
          <w:sz w:val="21"/>
          <w:szCs w:val="21"/>
        </w:rPr>
        <w:t>у</w:t>
      </w:r>
      <w:r w:rsidRPr="00CD1C3A">
        <w:rPr>
          <w:rFonts w:ascii="Times New Roman" w:hAnsi="Times New Roman" w:cs="Times New Roman"/>
          <w:sz w:val="21"/>
          <w:szCs w:val="21"/>
        </w:rPr>
        <w:t xml:space="preserve"> Вінницькій області він хоч й на багато менший</w:t>
      </w:r>
      <w:r>
        <w:rPr>
          <w:rFonts w:ascii="Times New Roman" w:hAnsi="Times New Roman" w:cs="Times New Roman"/>
          <w:sz w:val="21"/>
          <w:szCs w:val="21"/>
        </w:rPr>
        <w:t>,</w:t>
      </w:r>
      <w:r w:rsidRPr="00CD1C3A">
        <w:rPr>
          <w:rFonts w:ascii="Times New Roman" w:hAnsi="Times New Roman" w:cs="Times New Roman"/>
          <w:sz w:val="21"/>
          <w:szCs w:val="21"/>
        </w:rPr>
        <w:t xml:space="preserve"> ніж в Україні, але з 2006 року по 2011 рік повільно, але впевнено збільшувався.</w:t>
      </w:r>
    </w:p>
    <w:p w:rsidR="00B233DE" w:rsidRPr="00CD1C3A" w:rsidRDefault="00B233DE" w:rsidP="00B233DE">
      <w:pPr>
        <w:autoSpaceDE w:val="0"/>
        <w:autoSpaceDN w:val="0"/>
        <w:adjustRightInd w:val="0"/>
        <w:ind w:firstLine="720"/>
        <w:jc w:val="both"/>
        <w:rPr>
          <w:rFonts w:ascii="Times New Roman" w:hAnsi="Times New Roman" w:cs="Times New Roman"/>
          <w:sz w:val="21"/>
          <w:szCs w:val="21"/>
        </w:rPr>
      </w:pPr>
      <w:r w:rsidRPr="00CD1C3A">
        <w:rPr>
          <w:rFonts w:ascii="Times New Roman" w:hAnsi="Times New Roman" w:cs="Times New Roman"/>
          <w:sz w:val="21"/>
          <w:szCs w:val="21"/>
        </w:rPr>
        <w:t>Слід підкреслити, що подолання кризових явищ у відтворенні населення буде тим успішнішим, чим скоріше буде взятий на озброєння науково-обґрунтований підхід до поліпшення умов життя населення, а значить</w:t>
      </w:r>
      <w:r>
        <w:rPr>
          <w:rFonts w:ascii="Times New Roman" w:hAnsi="Times New Roman" w:cs="Times New Roman"/>
          <w:sz w:val="21"/>
          <w:szCs w:val="21"/>
        </w:rPr>
        <w:t xml:space="preserve"> </w:t>
      </w:r>
      <w:r w:rsidRPr="00CD1C3A">
        <w:rPr>
          <w:rFonts w:ascii="Times New Roman" w:hAnsi="Times New Roman" w:cs="Times New Roman"/>
          <w:sz w:val="21"/>
          <w:szCs w:val="21"/>
        </w:rPr>
        <w:t xml:space="preserve">і умов його відтворення. Це поліпшення має бути найважливішою метою побудови суверенної </w:t>
      </w:r>
      <w:r w:rsidRPr="00CD1C3A">
        <w:rPr>
          <w:rFonts w:ascii="Times New Roman" w:hAnsi="Times New Roman" w:cs="Times New Roman"/>
          <w:sz w:val="21"/>
          <w:szCs w:val="21"/>
        </w:rPr>
        <w:lastRenderedPageBreak/>
        <w:t>держави і проведення соціально-економічних реформ. Ігнорування проблем відтворення населення свідчить про недооцінку демографічного фактора в налагодженні ефективної економіки, про нерозуміння того факту, що невирішеність питань відтворення здорового населення взагалі і його працездатної частини, тобто трудових ресурсів зокрема, давно стала економічно невигідною, а сучасна економія на розвитку даної сфери може обернутися великими збитками для суспільства.</w:t>
      </w:r>
    </w:p>
    <w:p w:rsidR="00B233DE" w:rsidRPr="00F9695A" w:rsidRDefault="00B233DE" w:rsidP="00B233DE">
      <w:pPr>
        <w:widowControl w:val="0"/>
        <w:spacing w:line="233" w:lineRule="auto"/>
        <w:ind w:firstLine="709"/>
        <w:contextualSpacing/>
        <w:jc w:val="both"/>
        <w:rPr>
          <w:rFonts w:ascii="Times New Roman" w:hAnsi="Times New Roman" w:cs="Times New Roman"/>
          <w:sz w:val="21"/>
          <w:szCs w:val="21"/>
        </w:rPr>
      </w:pPr>
    </w:p>
    <w:p w:rsidR="00B233DE" w:rsidRPr="00F9695A" w:rsidRDefault="00B233DE" w:rsidP="00B233DE">
      <w:pPr>
        <w:widowControl w:val="0"/>
        <w:spacing w:line="233" w:lineRule="auto"/>
        <w:ind w:firstLine="709"/>
        <w:contextualSpacing/>
        <w:jc w:val="both"/>
        <w:rPr>
          <w:rFonts w:ascii="Times New Roman" w:hAnsi="Times New Roman" w:cs="Times New Roman"/>
          <w:sz w:val="21"/>
          <w:szCs w:val="21"/>
        </w:rPr>
      </w:pPr>
    </w:p>
    <w:p w:rsidR="00B233DE" w:rsidRDefault="00B233DE" w:rsidP="00B233DE">
      <w:pPr>
        <w:widowControl w:val="0"/>
        <w:spacing w:line="233" w:lineRule="auto"/>
        <w:ind w:firstLine="0"/>
        <w:contextualSpacing/>
        <w:jc w:val="center"/>
        <w:rPr>
          <w:rFonts w:ascii="UkrainianPeterburg" w:hAnsi="UkrainianPeterburg"/>
          <w:b/>
          <w:sz w:val="21"/>
          <w:szCs w:val="21"/>
        </w:rPr>
      </w:pPr>
      <w:r w:rsidRPr="00EA63EC">
        <w:rPr>
          <w:rFonts w:ascii="UkrainianPeterburg" w:hAnsi="UkrainianPeterburg"/>
          <w:b/>
          <w:sz w:val="21"/>
          <w:szCs w:val="21"/>
        </w:rPr>
        <w:t>Список використаних джерел</w:t>
      </w:r>
    </w:p>
    <w:p w:rsidR="00B233DE" w:rsidRPr="00793063" w:rsidRDefault="00B233DE" w:rsidP="00B233DE">
      <w:pPr>
        <w:ind w:firstLine="709"/>
        <w:jc w:val="both"/>
        <w:rPr>
          <w:rFonts w:ascii="Times New Roman" w:hAnsi="Times New Roman" w:cs="Times New Roman"/>
          <w:sz w:val="21"/>
          <w:szCs w:val="21"/>
        </w:rPr>
      </w:pPr>
    </w:p>
    <w:p w:rsidR="00B233DE" w:rsidRPr="00793063" w:rsidRDefault="00B233DE" w:rsidP="00B233DE">
      <w:pPr>
        <w:ind w:firstLine="709"/>
        <w:jc w:val="both"/>
        <w:rPr>
          <w:rFonts w:ascii="Times New Roman" w:hAnsi="Times New Roman" w:cs="Times New Roman"/>
          <w:sz w:val="21"/>
          <w:szCs w:val="21"/>
        </w:rPr>
      </w:pPr>
    </w:p>
    <w:p w:rsidR="00B233DE" w:rsidRPr="00240DEF"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bookmarkStart w:id="86" w:name="_Ref433791680"/>
      <w:r w:rsidRPr="00240DEF">
        <w:rPr>
          <w:rFonts w:ascii="Times New Roman" w:hAnsi="Times New Roman" w:cs="Times New Roman"/>
          <w:sz w:val="21"/>
          <w:szCs w:val="21"/>
          <w:lang w:val="ru-RU"/>
        </w:rPr>
        <w:t>Антоновский М. И. Записки Михаила Ивановича Антоновского / М. И. Антоновский // Русский архив. – Кн. 1. – Вып. 2. – 1885. – С. 145–178</w:t>
      </w:r>
      <w:r>
        <w:rPr>
          <w:rFonts w:ascii="Times New Roman" w:hAnsi="Times New Roman" w:cs="Times New Roman"/>
          <w:sz w:val="21"/>
          <w:szCs w:val="21"/>
          <w:lang w:val="ru-RU"/>
        </w:rPr>
        <w:t>.</w:t>
      </w:r>
      <w:bookmarkEnd w:id="86"/>
    </w:p>
    <w:p w:rsidR="00B233DE" w:rsidRPr="00240DEF" w:rsidRDefault="00B233DE" w:rsidP="00B233DE">
      <w:pPr>
        <w:pStyle w:val="ad"/>
        <w:numPr>
          <w:ilvl w:val="0"/>
          <w:numId w:val="10"/>
        </w:numPr>
        <w:tabs>
          <w:tab w:val="left" w:pos="142"/>
          <w:tab w:val="left" w:pos="993"/>
        </w:tabs>
        <w:ind w:left="0" w:firstLine="709"/>
        <w:jc w:val="both"/>
        <w:rPr>
          <w:rFonts w:ascii="Times New Roman" w:hAnsi="Times New Roman" w:cs="Times New Roman"/>
          <w:spacing w:val="-4"/>
          <w:sz w:val="21"/>
          <w:szCs w:val="21"/>
          <w:lang w:val="ru-RU"/>
        </w:rPr>
      </w:pPr>
      <w:bookmarkStart w:id="87" w:name="_Ref433791463"/>
      <w:r w:rsidRPr="00240DEF">
        <w:rPr>
          <w:rFonts w:ascii="Times New Roman" w:hAnsi="Times New Roman" w:cs="Times New Roman"/>
          <w:sz w:val="21"/>
          <w:szCs w:val="21"/>
        </w:rPr>
        <w:t>Аристотель Политика / Аристотель ; пер. с древне</w:t>
      </w:r>
      <w:r w:rsidRPr="00240DEF">
        <w:rPr>
          <w:rFonts w:ascii="Times New Roman" w:hAnsi="Times New Roman" w:cs="Times New Roman"/>
          <w:sz w:val="21"/>
          <w:szCs w:val="21"/>
          <w:lang w:val="ru-RU"/>
        </w:rPr>
        <w:t>-</w:t>
      </w:r>
      <w:r w:rsidRPr="00240DEF">
        <w:rPr>
          <w:rFonts w:ascii="Times New Roman" w:hAnsi="Times New Roman" w:cs="Times New Roman"/>
          <w:sz w:val="21"/>
          <w:szCs w:val="21"/>
        </w:rPr>
        <w:t xml:space="preserve">греческого, предисл. и послеслов. С. А. Жебелева ; примеч. и </w:t>
      </w:r>
      <w:r w:rsidRPr="00240DEF">
        <w:rPr>
          <w:rFonts w:ascii="Times New Roman" w:hAnsi="Times New Roman" w:cs="Times New Roman"/>
          <w:spacing w:val="-4"/>
          <w:sz w:val="21"/>
          <w:szCs w:val="21"/>
        </w:rPr>
        <w:t>коммент. А. И. Доватура. – М. : Академический проект, 2015. – 317 с.</w:t>
      </w:r>
      <w:bookmarkEnd w:id="87"/>
    </w:p>
    <w:p w:rsidR="00B233DE" w:rsidRPr="00240DEF"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bookmarkStart w:id="88" w:name="_Ref433791661"/>
      <w:r w:rsidRPr="00240DEF">
        <w:rPr>
          <w:rFonts w:ascii="Times New Roman" w:hAnsi="Times New Roman" w:cs="Times New Roman"/>
          <w:sz w:val="21"/>
          <w:szCs w:val="21"/>
        </w:rPr>
        <w:t xml:space="preserve">Бекон Ф. </w:t>
      </w:r>
      <w:r>
        <w:rPr>
          <w:rFonts w:ascii="Times New Roman" w:hAnsi="Times New Roman" w:cs="Times New Roman"/>
          <w:sz w:val="21"/>
          <w:szCs w:val="21"/>
          <w:lang w:val="ru-RU"/>
        </w:rPr>
        <w:t>Сочинения в двух томах. – т. 2 / Ф. Бекон. – М. : Мысль, 1978. – 575 с.</w:t>
      </w:r>
      <w:bookmarkEnd w:id="88"/>
    </w:p>
    <w:p w:rsidR="00B233DE" w:rsidRPr="00240DEF"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lang w:val="ru-RU"/>
        </w:rPr>
      </w:pPr>
      <w:bookmarkStart w:id="89" w:name="_Ref433791713"/>
      <w:r w:rsidRPr="00D9605B">
        <w:rPr>
          <w:rFonts w:ascii="Times New Roman" w:hAnsi="Times New Roman" w:cs="Times New Roman"/>
          <w:sz w:val="21"/>
          <w:szCs w:val="21"/>
        </w:rPr>
        <w:t xml:space="preserve">Бунге </w:t>
      </w:r>
      <w:r>
        <w:rPr>
          <w:rFonts w:ascii="Times New Roman" w:hAnsi="Times New Roman" w:cs="Times New Roman"/>
          <w:sz w:val="21"/>
          <w:szCs w:val="21"/>
          <w:lang w:val="ru-RU"/>
        </w:rPr>
        <w:t>Н</w:t>
      </w:r>
      <w:r w:rsidRPr="00D9605B">
        <w:rPr>
          <w:rFonts w:ascii="Times New Roman" w:hAnsi="Times New Roman" w:cs="Times New Roman"/>
          <w:sz w:val="21"/>
          <w:szCs w:val="21"/>
        </w:rPr>
        <w:t xml:space="preserve">. </w:t>
      </w:r>
      <w:r>
        <w:rPr>
          <w:rFonts w:ascii="Times New Roman" w:hAnsi="Times New Roman" w:cs="Times New Roman"/>
          <w:sz w:val="21"/>
          <w:szCs w:val="21"/>
          <w:lang w:val="ru-RU"/>
        </w:rPr>
        <w:t xml:space="preserve">Х. </w:t>
      </w:r>
      <w:r w:rsidRPr="00D9605B">
        <w:rPr>
          <w:rFonts w:ascii="Times New Roman" w:hAnsi="Times New Roman" w:cs="Times New Roman"/>
          <w:sz w:val="21"/>
          <w:szCs w:val="21"/>
        </w:rPr>
        <w:t>Курс статистики</w:t>
      </w:r>
      <w:r>
        <w:rPr>
          <w:rFonts w:ascii="Times New Roman" w:hAnsi="Times New Roman" w:cs="Times New Roman"/>
          <w:sz w:val="21"/>
          <w:szCs w:val="21"/>
          <w:lang w:val="ru-RU"/>
        </w:rPr>
        <w:t>, составленный в первой половине 1876 г. для студентов Императорского университета св. Владимира. – 2-е изд., знач. доп. и испр. / Н. Х. Бунге. – К. : университетская типография И. Завадского, 1876. – 25 с.</w:t>
      </w:r>
      <w:bookmarkEnd w:id="89"/>
    </w:p>
    <w:p w:rsidR="00B233DE" w:rsidRPr="00240DEF"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lang w:val="ru-RU"/>
        </w:rPr>
      </w:pPr>
      <w:bookmarkStart w:id="90" w:name="_Ref433791719"/>
      <w:r w:rsidRPr="00D9605B">
        <w:rPr>
          <w:rFonts w:ascii="Times New Roman" w:hAnsi="Times New Roman" w:cs="Times New Roman"/>
          <w:sz w:val="21"/>
          <w:szCs w:val="21"/>
        </w:rPr>
        <w:t xml:space="preserve">Галаган Г. </w:t>
      </w:r>
      <w:r>
        <w:rPr>
          <w:rFonts w:ascii="Times New Roman" w:hAnsi="Times New Roman" w:cs="Times New Roman"/>
          <w:sz w:val="21"/>
          <w:szCs w:val="21"/>
        </w:rPr>
        <w:t xml:space="preserve">П. </w:t>
      </w:r>
      <w:r w:rsidRPr="00D9605B">
        <w:rPr>
          <w:rFonts w:ascii="Times New Roman" w:hAnsi="Times New Roman" w:cs="Times New Roman"/>
          <w:sz w:val="21"/>
          <w:szCs w:val="21"/>
        </w:rPr>
        <w:t xml:space="preserve">Сборник </w:t>
      </w:r>
      <w:r w:rsidRPr="00D9605B">
        <w:rPr>
          <w:rFonts w:ascii="Times New Roman" w:hAnsi="Times New Roman" w:cs="Times New Roman"/>
          <w:sz w:val="21"/>
          <w:szCs w:val="21"/>
          <w:lang w:val="ru-RU"/>
        </w:rPr>
        <w:t>этнографических материалов, касающихся Малороссии</w:t>
      </w:r>
      <w:r>
        <w:rPr>
          <w:rFonts w:ascii="Times New Roman" w:hAnsi="Times New Roman" w:cs="Times New Roman"/>
          <w:sz w:val="21"/>
          <w:szCs w:val="21"/>
          <w:lang w:val="ru-RU"/>
        </w:rPr>
        <w:t xml:space="preserve"> / Г. П. Галаган. – М., 1869. – 176 с.</w:t>
      </w:r>
      <w:bookmarkEnd w:id="90"/>
    </w:p>
    <w:p w:rsidR="00B233DE" w:rsidRPr="00793063"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lang w:val="ru-RU"/>
        </w:rPr>
      </w:pPr>
      <w:bookmarkStart w:id="91" w:name="_Ref435781242"/>
      <w:bookmarkStart w:id="92" w:name="_Ref433791619"/>
      <w:r w:rsidRPr="00793063">
        <w:rPr>
          <w:rFonts w:ascii="Times New Roman" w:hAnsi="Times New Roman" w:cs="Times New Roman"/>
          <w:sz w:val="21"/>
          <w:szCs w:val="21"/>
        </w:rPr>
        <w:t>Герасименко Г.</w:t>
      </w:r>
      <w:r>
        <w:rPr>
          <w:rFonts w:ascii="Times New Roman" w:hAnsi="Times New Roman" w:cs="Times New Roman"/>
          <w:sz w:val="21"/>
          <w:szCs w:val="21"/>
        </w:rPr>
        <w:t xml:space="preserve"> </w:t>
      </w:r>
      <w:r w:rsidRPr="00793063">
        <w:rPr>
          <w:rFonts w:ascii="Times New Roman" w:hAnsi="Times New Roman" w:cs="Times New Roman"/>
          <w:sz w:val="21"/>
          <w:szCs w:val="21"/>
        </w:rPr>
        <w:t xml:space="preserve">В. Оцінка впливу соціальних програм на динаміку народжуваності в Україні </w:t>
      </w:r>
      <w:r>
        <w:rPr>
          <w:rFonts w:ascii="Times New Roman" w:hAnsi="Times New Roman" w:cs="Times New Roman"/>
          <w:sz w:val="21"/>
          <w:szCs w:val="21"/>
        </w:rPr>
        <w:t xml:space="preserve">/ Г. В. Герасименко </w:t>
      </w:r>
      <w:r w:rsidRPr="00793063">
        <w:rPr>
          <w:rFonts w:ascii="Times New Roman" w:hAnsi="Times New Roman" w:cs="Times New Roman"/>
          <w:sz w:val="21"/>
          <w:szCs w:val="21"/>
        </w:rPr>
        <w:t>// Демографія та соціальна економіка. – 2010. – № 1 (13). – С. 55</w:t>
      </w:r>
      <w:r>
        <w:rPr>
          <w:rFonts w:ascii="Times New Roman" w:hAnsi="Times New Roman" w:cs="Times New Roman"/>
          <w:sz w:val="21"/>
          <w:szCs w:val="21"/>
        </w:rPr>
        <w:t>–</w:t>
      </w:r>
      <w:r w:rsidRPr="00793063">
        <w:rPr>
          <w:rFonts w:ascii="Times New Roman" w:hAnsi="Times New Roman" w:cs="Times New Roman"/>
          <w:sz w:val="21"/>
          <w:szCs w:val="21"/>
        </w:rPr>
        <w:t>62.</w:t>
      </w:r>
      <w:bookmarkEnd w:id="91"/>
    </w:p>
    <w:p w:rsidR="00B233DE" w:rsidRPr="00793063"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lang w:val="ru-RU"/>
        </w:rPr>
      </w:pPr>
      <w:bookmarkStart w:id="93" w:name="_Ref435781250"/>
      <w:r w:rsidRPr="00793063">
        <w:rPr>
          <w:rFonts w:ascii="Times New Roman" w:hAnsi="Times New Roman" w:cs="Times New Roman"/>
          <w:sz w:val="21"/>
          <w:szCs w:val="21"/>
        </w:rPr>
        <w:t>Головне управління статистики у Вінницькій області [Електронний ресурс]. – Режим доступу : http://www.vn.ukrstat.gov.ua/</w:t>
      </w:r>
      <w:bookmarkEnd w:id="93"/>
    </w:p>
    <w:p w:rsidR="00B233DE" w:rsidRPr="00240DEF"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lang w:val="ru-RU"/>
        </w:rPr>
      </w:pPr>
      <w:r w:rsidRPr="00240DEF">
        <w:rPr>
          <w:rFonts w:ascii="Times New Roman" w:hAnsi="Times New Roman" w:cs="Times New Roman"/>
          <w:sz w:val="21"/>
          <w:szCs w:val="21"/>
        </w:rPr>
        <w:t>Гольдбе</w:t>
      </w:r>
      <w:r>
        <w:rPr>
          <w:rFonts w:ascii="Times New Roman" w:hAnsi="Times New Roman" w:cs="Times New Roman"/>
          <w:sz w:val="21"/>
          <w:szCs w:val="21"/>
        </w:rPr>
        <w:t>рг М. Американські просвітителі ; в 3-х т.</w:t>
      </w:r>
      <w:r w:rsidRPr="00240DEF">
        <w:rPr>
          <w:rFonts w:ascii="Times New Roman" w:hAnsi="Times New Roman" w:cs="Times New Roman"/>
          <w:sz w:val="21"/>
          <w:szCs w:val="21"/>
        </w:rPr>
        <w:t xml:space="preserve"> – Т. 1</w:t>
      </w:r>
      <w:r>
        <w:rPr>
          <w:rFonts w:ascii="Times New Roman" w:hAnsi="Times New Roman" w:cs="Times New Roman"/>
          <w:sz w:val="21"/>
          <w:szCs w:val="21"/>
        </w:rPr>
        <w:t xml:space="preserve"> / М. Гольдберг. – К. : Діло</w:t>
      </w:r>
      <w:r w:rsidRPr="00240DEF">
        <w:rPr>
          <w:rFonts w:ascii="Times New Roman" w:hAnsi="Times New Roman" w:cs="Times New Roman"/>
          <w:sz w:val="21"/>
          <w:szCs w:val="21"/>
        </w:rPr>
        <w:t xml:space="preserve">, </w:t>
      </w:r>
      <w:r>
        <w:rPr>
          <w:rFonts w:ascii="Times New Roman" w:hAnsi="Times New Roman" w:cs="Times New Roman"/>
          <w:sz w:val="21"/>
          <w:szCs w:val="21"/>
        </w:rPr>
        <w:t>2010. – 318 с.</w:t>
      </w:r>
      <w:bookmarkEnd w:id="92"/>
    </w:p>
    <w:p w:rsidR="00B233DE" w:rsidRPr="00240DEF"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bookmarkStart w:id="94" w:name="_Ref433791499"/>
      <w:r w:rsidRPr="00240DEF">
        <w:rPr>
          <w:rFonts w:ascii="Times New Roman" w:hAnsi="Times New Roman" w:cs="Times New Roman"/>
          <w:sz w:val="21"/>
          <w:szCs w:val="21"/>
          <w:lang w:val="ru-RU"/>
        </w:rPr>
        <w:t xml:space="preserve">Граунт Дж. Начала статистики населения, медицинской статистики, математики страхового дела / Дж. Граунт, Э. Галлей ; перевод с англ. О. Б. Шейнина. – Берлин : </w:t>
      </w:r>
      <w:r w:rsidRPr="00240DEF">
        <w:rPr>
          <w:rFonts w:ascii="Times New Roman" w:hAnsi="Times New Roman" w:cs="Times New Roman"/>
          <w:sz w:val="21"/>
          <w:szCs w:val="21"/>
          <w:lang w:val="en-US"/>
        </w:rPr>
        <w:t>NG</w:t>
      </w:r>
      <w:r w:rsidRPr="00240DEF">
        <w:rPr>
          <w:rFonts w:ascii="Times New Roman" w:hAnsi="Times New Roman" w:cs="Times New Roman"/>
          <w:sz w:val="21"/>
          <w:szCs w:val="21"/>
          <w:lang w:val="ru-RU"/>
        </w:rPr>
        <w:t xml:space="preserve"> </w:t>
      </w:r>
      <w:r w:rsidRPr="00240DEF">
        <w:rPr>
          <w:rFonts w:ascii="Times New Roman" w:hAnsi="Times New Roman" w:cs="Times New Roman"/>
          <w:sz w:val="21"/>
          <w:szCs w:val="21"/>
          <w:lang w:val="en-US"/>
        </w:rPr>
        <w:t>Vertag</w:t>
      </w:r>
      <w:r w:rsidRPr="00240DEF">
        <w:rPr>
          <w:rFonts w:ascii="Times New Roman" w:hAnsi="Times New Roman" w:cs="Times New Roman"/>
          <w:sz w:val="21"/>
          <w:szCs w:val="21"/>
        </w:rPr>
        <w:t>, 2005. – 134 с.</w:t>
      </w:r>
      <w:bookmarkEnd w:id="94"/>
    </w:p>
    <w:p w:rsidR="00B233DE"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bookmarkStart w:id="95" w:name="_Ref433791478"/>
      <w:r w:rsidRPr="00240DEF">
        <w:rPr>
          <w:rFonts w:ascii="Times New Roman" w:hAnsi="Times New Roman" w:cs="Times New Roman"/>
          <w:sz w:val="21"/>
          <w:szCs w:val="21"/>
        </w:rPr>
        <w:lastRenderedPageBreak/>
        <w:t>Греческая эпиграмма : [сборник] / Архилох, Сапфо, Демодок и др</w:t>
      </w:r>
      <w:r>
        <w:rPr>
          <w:rFonts w:ascii="Times New Roman" w:hAnsi="Times New Roman" w:cs="Times New Roman"/>
          <w:sz w:val="21"/>
          <w:szCs w:val="21"/>
        </w:rPr>
        <w:t xml:space="preserve">. </w:t>
      </w:r>
      <w:r w:rsidRPr="00240DEF">
        <w:rPr>
          <w:rFonts w:ascii="Times New Roman" w:hAnsi="Times New Roman" w:cs="Times New Roman"/>
          <w:sz w:val="21"/>
          <w:szCs w:val="21"/>
        </w:rPr>
        <w:t xml:space="preserve">; </w:t>
      </w:r>
      <w:r>
        <w:rPr>
          <w:rFonts w:ascii="Times New Roman" w:hAnsi="Times New Roman" w:cs="Times New Roman"/>
          <w:sz w:val="21"/>
          <w:szCs w:val="21"/>
        </w:rPr>
        <w:t>и</w:t>
      </w:r>
      <w:r w:rsidRPr="00240DEF">
        <w:rPr>
          <w:rFonts w:ascii="Times New Roman" w:hAnsi="Times New Roman" w:cs="Times New Roman"/>
          <w:sz w:val="21"/>
          <w:szCs w:val="21"/>
        </w:rPr>
        <w:t>зд. подгот. Н. А.Чистякова. – Санкт-Петербург : Наука, 1993. – 448 с.</w:t>
      </w:r>
      <w:bookmarkEnd w:id="95"/>
    </w:p>
    <w:p w:rsidR="00B233DE" w:rsidRPr="00240DEF"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bookmarkStart w:id="96" w:name="_Ref433791838"/>
      <w:r w:rsidRPr="00240DEF">
        <w:rPr>
          <w:rFonts w:ascii="Times New Roman" w:hAnsi="Times New Roman" w:cs="Times New Roman"/>
          <w:sz w:val="21"/>
          <w:szCs w:val="21"/>
        </w:rPr>
        <w:t>Закон України «Про Всеукраїнський перепис населення від 19. 10. 2000 р. № 2058-ІІІ [Електронний ресурс]. – Режим доступу : http://zakon2.rada.gov.ua/laws/show/2058-14</w:t>
      </w:r>
      <w:bookmarkEnd w:id="96"/>
    </w:p>
    <w:p w:rsidR="00B233DE" w:rsidRPr="00240DEF" w:rsidRDefault="00B233DE" w:rsidP="00B233DE">
      <w:pPr>
        <w:pStyle w:val="ad"/>
        <w:numPr>
          <w:ilvl w:val="0"/>
          <w:numId w:val="10"/>
        </w:numPr>
        <w:tabs>
          <w:tab w:val="left" w:pos="142"/>
          <w:tab w:val="left" w:pos="993"/>
        </w:tabs>
        <w:ind w:left="0" w:firstLine="709"/>
        <w:jc w:val="both"/>
        <w:rPr>
          <w:rFonts w:ascii="Times New Roman" w:hAnsi="Times New Roman" w:cs="Times New Roman"/>
        </w:rPr>
      </w:pPr>
      <w:bookmarkStart w:id="97" w:name="_Ref433791627"/>
      <w:r w:rsidRPr="00240DEF">
        <w:rPr>
          <w:rFonts w:ascii="Times New Roman" w:hAnsi="Times New Roman" w:cs="Times New Roman"/>
          <w:sz w:val="21"/>
          <w:szCs w:val="21"/>
        </w:rPr>
        <w:t>Зиновіїв К. Вірші. Приповісті посполиті / К. Зиновіїв ; підг. Тексту І. П. Чепіги. – К. : Наукова думка, 1971. – 392 с.</w:t>
      </w:r>
      <w:bookmarkEnd w:id="97"/>
    </w:p>
    <w:p w:rsidR="00B233DE" w:rsidRPr="00C218CC" w:rsidRDefault="00B233DE" w:rsidP="00B233DE">
      <w:pPr>
        <w:pStyle w:val="ad"/>
        <w:numPr>
          <w:ilvl w:val="0"/>
          <w:numId w:val="10"/>
        </w:numPr>
        <w:tabs>
          <w:tab w:val="left" w:pos="142"/>
          <w:tab w:val="left" w:pos="993"/>
        </w:tabs>
        <w:ind w:left="0" w:firstLine="709"/>
        <w:jc w:val="both"/>
        <w:rPr>
          <w:rFonts w:ascii="Times New Roman" w:hAnsi="Times New Roman" w:cs="Times New Roman"/>
        </w:rPr>
      </w:pPr>
      <w:bookmarkStart w:id="98" w:name="_Ref433791642"/>
      <w:r w:rsidRPr="00C218CC">
        <w:rPr>
          <w:rFonts w:ascii="Times New Roman" w:hAnsi="Times New Roman" w:cs="Times New Roman"/>
          <w:sz w:val="21"/>
          <w:szCs w:val="21"/>
        </w:rPr>
        <w:t>Кирил</w:t>
      </w:r>
      <w:r w:rsidRPr="00C218CC">
        <w:rPr>
          <w:rFonts w:ascii="Times New Roman" w:hAnsi="Times New Roman" w:cs="Times New Roman"/>
          <w:sz w:val="21"/>
          <w:szCs w:val="21"/>
          <w:lang w:val="ru-RU"/>
        </w:rPr>
        <w:t>л</w:t>
      </w:r>
      <w:r w:rsidRPr="00C218CC">
        <w:rPr>
          <w:rFonts w:ascii="Times New Roman" w:hAnsi="Times New Roman" w:cs="Times New Roman"/>
          <w:sz w:val="21"/>
          <w:szCs w:val="21"/>
        </w:rPr>
        <w:t xml:space="preserve">ов </w:t>
      </w:r>
      <w:r w:rsidRPr="00C218CC">
        <w:rPr>
          <w:rFonts w:ascii="Times New Roman" w:hAnsi="Times New Roman" w:cs="Times New Roman"/>
          <w:sz w:val="21"/>
          <w:szCs w:val="21"/>
          <w:lang w:val="ru-RU"/>
        </w:rPr>
        <w:t>И</w:t>
      </w:r>
      <w:r w:rsidRPr="00C218CC">
        <w:rPr>
          <w:rFonts w:ascii="Times New Roman" w:hAnsi="Times New Roman" w:cs="Times New Roman"/>
          <w:sz w:val="21"/>
          <w:szCs w:val="21"/>
        </w:rPr>
        <w:t xml:space="preserve">. </w:t>
      </w:r>
      <w:r w:rsidRPr="00C218CC">
        <w:rPr>
          <w:rFonts w:ascii="Times New Roman" w:hAnsi="Times New Roman" w:cs="Times New Roman"/>
          <w:sz w:val="21"/>
          <w:szCs w:val="21"/>
          <w:lang w:val="ru-RU"/>
        </w:rPr>
        <w:t>Цветущее состояние Всероссийского государства / И. Кириллов. – М.</w:t>
      </w:r>
      <w:r w:rsidRPr="00C218CC">
        <w:rPr>
          <w:rFonts w:ascii="Times New Roman" w:hAnsi="Times New Roman" w:cs="Times New Roman"/>
          <w:sz w:val="21"/>
          <w:szCs w:val="21"/>
        </w:rPr>
        <w:t>, 1</w:t>
      </w:r>
      <w:r w:rsidRPr="00C218CC">
        <w:rPr>
          <w:rFonts w:ascii="Times New Roman" w:hAnsi="Times New Roman" w:cs="Times New Roman"/>
          <w:sz w:val="21"/>
          <w:szCs w:val="21"/>
          <w:lang w:val="ru-RU"/>
        </w:rPr>
        <w:t>977. – 94 с.</w:t>
      </w:r>
      <w:bookmarkEnd w:id="98"/>
    </w:p>
    <w:p w:rsidR="00B233DE" w:rsidRPr="00793063"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bookmarkStart w:id="99" w:name="_Ref435781306"/>
      <w:bookmarkStart w:id="100" w:name="_Ref433791484"/>
      <w:r w:rsidRPr="00793063">
        <w:rPr>
          <w:rFonts w:ascii="Times New Roman" w:hAnsi="Times New Roman" w:cs="Times New Roman"/>
          <w:sz w:val="21"/>
          <w:szCs w:val="21"/>
        </w:rPr>
        <w:t>Комплексний демографічний прогноз У</w:t>
      </w:r>
      <w:r>
        <w:rPr>
          <w:rFonts w:ascii="Times New Roman" w:hAnsi="Times New Roman" w:cs="Times New Roman"/>
          <w:sz w:val="21"/>
          <w:szCs w:val="21"/>
        </w:rPr>
        <w:t>країни на період до 2050 р.</w:t>
      </w:r>
      <w:r w:rsidRPr="00793063">
        <w:rPr>
          <w:rFonts w:ascii="Times New Roman" w:hAnsi="Times New Roman" w:cs="Times New Roman"/>
          <w:sz w:val="21"/>
          <w:szCs w:val="21"/>
        </w:rPr>
        <w:t xml:space="preserve"> / за ред. чл. – кор. НАНУ, д. е. н., проф. Е.</w:t>
      </w:r>
      <w:r>
        <w:rPr>
          <w:rFonts w:ascii="Times New Roman" w:hAnsi="Times New Roman" w:cs="Times New Roman"/>
          <w:sz w:val="21"/>
          <w:szCs w:val="21"/>
        </w:rPr>
        <w:t xml:space="preserve"> </w:t>
      </w:r>
      <w:r w:rsidRPr="00793063">
        <w:rPr>
          <w:rFonts w:ascii="Times New Roman" w:hAnsi="Times New Roman" w:cs="Times New Roman"/>
          <w:sz w:val="21"/>
          <w:szCs w:val="21"/>
        </w:rPr>
        <w:t>М. Лібанової. – К. : Український центр соціальних реформ, 2006. – 138 с.</w:t>
      </w:r>
      <w:bookmarkEnd w:id="99"/>
    </w:p>
    <w:p w:rsidR="00B233DE" w:rsidRPr="00240DEF" w:rsidRDefault="00EC2A0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hyperlink r:id="rId36" w:history="1">
        <w:r w:rsidR="00B233DE" w:rsidRPr="00240DEF">
          <w:rPr>
            <w:rStyle w:val="aff"/>
            <w:rFonts w:ascii="Times New Roman" w:hAnsi="Times New Roman" w:cs="Times New Roman"/>
            <w:color w:val="auto"/>
            <w:sz w:val="21"/>
            <w:szCs w:val="21"/>
            <w:u w:val="none"/>
          </w:rPr>
          <w:t>Конфуцій</w:t>
        </w:r>
      </w:hyperlink>
      <w:r w:rsidR="00B233DE">
        <w:rPr>
          <w:rFonts w:ascii="Times New Roman" w:hAnsi="Times New Roman" w:cs="Times New Roman"/>
          <w:sz w:val="21"/>
          <w:szCs w:val="21"/>
        </w:rPr>
        <w:t xml:space="preserve"> Вислови / Конфуцій ; </w:t>
      </w:r>
      <w:r w:rsidR="00B233DE" w:rsidRPr="00240DEF">
        <w:rPr>
          <w:rFonts w:ascii="Times New Roman" w:hAnsi="Times New Roman" w:cs="Times New Roman"/>
          <w:sz w:val="21"/>
          <w:szCs w:val="21"/>
        </w:rPr>
        <w:t xml:space="preserve">пер. </w:t>
      </w:r>
      <w:r w:rsidR="00B233DE">
        <w:rPr>
          <w:rFonts w:ascii="Times New Roman" w:hAnsi="Times New Roman" w:cs="Times New Roman"/>
          <w:sz w:val="21"/>
          <w:szCs w:val="21"/>
        </w:rPr>
        <w:t>на укр</w:t>
      </w:r>
      <w:r w:rsidR="00B233DE" w:rsidRPr="00240DEF">
        <w:rPr>
          <w:rFonts w:ascii="Times New Roman" w:hAnsi="Times New Roman" w:cs="Times New Roman"/>
          <w:sz w:val="21"/>
          <w:szCs w:val="21"/>
        </w:rPr>
        <w:t>. – Харків : Фоліо, 2014. – 221 с.</w:t>
      </w:r>
      <w:bookmarkEnd w:id="100"/>
    </w:p>
    <w:p w:rsidR="00B233DE" w:rsidRPr="00240DEF"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bookmarkStart w:id="101" w:name="_Ref433791777"/>
      <w:r w:rsidRPr="00D9605B">
        <w:rPr>
          <w:rFonts w:ascii="Times New Roman" w:hAnsi="Times New Roman" w:cs="Times New Roman"/>
          <w:sz w:val="21"/>
          <w:szCs w:val="21"/>
        </w:rPr>
        <w:t>Корчак-Чепуркивский Ю.</w:t>
      </w:r>
      <w:r>
        <w:rPr>
          <w:rFonts w:ascii="Times New Roman" w:hAnsi="Times New Roman" w:cs="Times New Roman"/>
          <w:sz w:val="21"/>
          <w:szCs w:val="21"/>
        </w:rPr>
        <w:t xml:space="preserve"> </w:t>
      </w:r>
      <w:r w:rsidRPr="00D9605B">
        <w:rPr>
          <w:rFonts w:ascii="Times New Roman" w:hAnsi="Times New Roman" w:cs="Times New Roman"/>
          <w:sz w:val="21"/>
          <w:szCs w:val="21"/>
          <w:shd w:val="clear" w:color="auto" w:fill="FFFFFF"/>
        </w:rPr>
        <w:t>Проб</w:t>
      </w:r>
      <w:r>
        <w:rPr>
          <w:rFonts w:ascii="Times New Roman" w:hAnsi="Times New Roman" w:cs="Times New Roman"/>
          <w:sz w:val="21"/>
          <w:szCs w:val="21"/>
          <w:shd w:val="clear" w:color="auto" w:fill="FFFFFF"/>
        </w:rPr>
        <w:t>лемы демографической статистики / Ю. Корчак-Чепуркивский. –</w:t>
      </w:r>
      <w:r w:rsidRPr="00D9605B">
        <w:rPr>
          <w:rFonts w:ascii="Times New Roman" w:hAnsi="Times New Roman" w:cs="Times New Roman"/>
          <w:sz w:val="21"/>
          <w:szCs w:val="21"/>
          <w:shd w:val="clear" w:color="auto" w:fill="FFFFFF"/>
        </w:rPr>
        <w:t xml:space="preserve"> М.</w:t>
      </w:r>
      <w:r>
        <w:rPr>
          <w:rFonts w:ascii="Times New Roman" w:hAnsi="Times New Roman" w:cs="Times New Roman"/>
          <w:sz w:val="21"/>
          <w:szCs w:val="21"/>
          <w:shd w:val="clear" w:color="auto" w:fill="FFFFFF"/>
        </w:rPr>
        <w:t xml:space="preserve"> : Наука, 1966. –</w:t>
      </w:r>
      <w:r w:rsidRPr="00D9605B">
        <w:rPr>
          <w:rFonts w:ascii="Times New Roman" w:hAnsi="Times New Roman" w:cs="Times New Roman"/>
          <w:sz w:val="21"/>
          <w:szCs w:val="21"/>
          <w:shd w:val="clear" w:color="auto" w:fill="FFFFFF"/>
        </w:rPr>
        <w:t xml:space="preserve"> 252 с.</w:t>
      </w:r>
      <w:bookmarkEnd w:id="101"/>
    </w:p>
    <w:p w:rsidR="00B233DE"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bookmarkStart w:id="102" w:name="_Ref435781236"/>
      <w:bookmarkStart w:id="103" w:name="_Ref433791556"/>
      <w:r>
        <w:rPr>
          <w:rFonts w:ascii="Times New Roman" w:hAnsi="Times New Roman" w:cs="Times New Roman"/>
          <w:sz w:val="21"/>
          <w:szCs w:val="21"/>
        </w:rPr>
        <w:t>Лібанова Е. М</w:t>
      </w:r>
      <w:r w:rsidRPr="00793063">
        <w:rPr>
          <w:rFonts w:ascii="Times New Roman" w:hAnsi="Times New Roman" w:cs="Times New Roman"/>
          <w:sz w:val="21"/>
          <w:szCs w:val="21"/>
        </w:rPr>
        <w:t>. Сім’я</w:t>
      </w:r>
      <w:r>
        <w:rPr>
          <w:rFonts w:ascii="Times New Roman" w:hAnsi="Times New Roman" w:cs="Times New Roman"/>
          <w:sz w:val="21"/>
          <w:szCs w:val="21"/>
        </w:rPr>
        <w:t xml:space="preserve"> </w:t>
      </w:r>
      <w:r w:rsidRPr="00793063">
        <w:rPr>
          <w:rFonts w:ascii="Times New Roman" w:hAnsi="Times New Roman" w:cs="Times New Roman"/>
          <w:sz w:val="21"/>
          <w:szCs w:val="21"/>
        </w:rPr>
        <w:t>та сімейні відносини в Україні</w:t>
      </w:r>
      <w:r>
        <w:rPr>
          <w:rFonts w:ascii="Times New Roman" w:hAnsi="Times New Roman" w:cs="Times New Roman"/>
          <w:sz w:val="21"/>
          <w:szCs w:val="21"/>
        </w:rPr>
        <w:t xml:space="preserve"> </w:t>
      </w:r>
      <w:r w:rsidRPr="00793063">
        <w:rPr>
          <w:rFonts w:ascii="Times New Roman" w:hAnsi="Times New Roman" w:cs="Times New Roman"/>
          <w:sz w:val="21"/>
          <w:szCs w:val="21"/>
        </w:rPr>
        <w:t>: сучас</w:t>
      </w:r>
      <w:r>
        <w:rPr>
          <w:rFonts w:ascii="Times New Roman" w:hAnsi="Times New Roman" w:cs="Times New Roman"/>
          <w:sz w:val="21"/>
          <w:szCs w:val="21"/>
        </w:rPr>
        <w:t xml:space="preserve">ний стан і тенденції розвитку / [Е. М. Лібанова, І. О. Курило, С. Ю. Аксьонова, Л. І. Слюсар та ін.] ; </w:t>
      </w:r>
      <w:r w:rsidRPr="00793063">
        <w:rPr>
          <w:rFonts w:ascii="Times New Roman" w:hAnsi="Times New Roman" w:cs="Times New Roman"/>
          <w:sz w:val="21"/>
          <w:szCs w:val="21"/>
        </w:rPr>
        <w:t>Інститут демографії та соц</w:t>
      </w:r>
      <w:r>
        <w:rPr>
          <w:rFonts w:ascii="Times New Roman" w:hAnsi="Times New Roman" w:cs="Times New Roman"/>
          <w:sz w:val="21"/>
          <w:szCs w:val="21"/>
        </w:rPr>
        <w:t xml:space="preserve">іальних досліджень НАН України. </w:t>
      </w:r>
      <w:r w:rsidRPr="00793063">
        <w:rPr>
          <w:rFonts w:ascii="Times New Roman" w:hAnsi="Times New Roman" w:cs="Times New Roman"/>
          <w:sz w:val="21"/>
          <w:szCs w:val="21"/>
        </w:rPr>
        <w:t>– К:</w:t>
      </w:r>
      <w:r>
        <w:rPr>
          <w:rFonts w:ascii="Times New Roman" w:hAnsi="Times New Roman" w:cs="Times New Roman"/>
          <w:sz w:val="21"/>
          <w:szCs w:val="21"/>
        </w:rPr>
        <w:t xml:space="preserve"> . Основа-Принт</w:t>
      </w:r>
      <w:r w:rsidRPr="00793063">
        <w:rPr>
          <w:rFonts w:ascii="Times New Roman" w:hAnsi="Times New Roman" w:cs="Times New Roman"/>
          <w:sz w:val="21"/>
          <w:szCs w:val="21"/>
        </w:rPr>
        <w:t>, 2009. – 248 с.</w:t>
      </w:r>
      <w:bookmarkEnd w:id="102"/>
    </w:p>
    <w:p w:rsidR="00B233DE" w:rsidRPr="00240DEF"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r w:rsidRPr="00240DEF">
        <w:rPr>
          <w:rFonts w:ascii="Times New Roman" w:hAnsi="Times New Roman" w:cs="Times New Roman"/>
          <w:sz w:val="21"/>
          <w:szCs w:val="21"/>
        </w:rPr>
        <w:t>Ломоносов М. В. О сохранении русского народа / М. Ломоносов. – М. : Ин-т русской цивилизации, 2011. – 839 с.</w:t>
      </w:r>
      <w:bookmarkEnd w:id="103"/>
    </w:p>
    <w:p w:rsidR="00B233DE" w:rsidRPr="00793063"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bookmarkStart w:id="104" w:name="_Ref435781256"/>
      <w:bookmarkStart w:id="105" w:name="_Ref433791698"/>
      <w:r w:rsidRPr="00793063">
        <w:rPr>
          <w:rFonts w:ascii="Times New Roman" w:hAnsi="Times New Roman" w:cs="Times New Roman"/>
          <w:sz w:val="21"/>
          <w:szCs w:val="21"/>
        </w:rPr>
        <w:t>Людський розвиток реґіонів України</w:t>
      </w:r>
      <w:r>
        <w:rPr>
          <w:rFonts w:ascii="Times New Roman" w:hAnsi="Times New Roman" w:cs="Times New Roman"/>
          <w:sz w:val="21"/>
          <w:szCs w:val="21"/>
        </w:rPr>
        <w:t xml:space="preserve"> </w:t>
      </w:r>
      <w:r w:rsidRPr="00793063">
        <w:rPr>
          <w:rFonts w:ascii="Times New Roman" w:hAnsi="Times New Roman" w:cs="Times New Roman"/>
          <w:sz w:val="21"/>
          <w:szCs w:val="21"/>
        </w:rPr>
        <w:t>: мет</w:t>
      </w:r>
      <w:r>
        <w:rPr>
          <w:rFonts w:ascii="Times New Roman" w:hAnsi="Times New Roman" w:cs="Times New Roman"/>
          <w:sz w:val="21"/>
          <w:szCs w:val="21"/>
        </w:rPr>
        <w:t>одика оцінки та сучасний стан : м</w:t>
      </w:r>
      <w:r w:rsidRPr="00793063">
        <w:rPr>
          <w:rFonts w:ascii="Times New Roman" w:hAnsi="Times New Roman" w:cs="Times New Roman"/>
          <w:sz w:val="21"/>
          <w:szCs w:val="21"/>
        </w:rPr>
        <w:t>онографія. – К.</w:t>
      </w:r>
      <w:r>
        <w:rPr>
          <w:rFonts w:ascii="Times New Roman" w:hAnsi="Times New Roman" w:cs="Times New Roman"/>
          <w:sz w:val="21"/>
          <w:szCs w:val="21"/>
        </w:rPr>
        <w:t xml:space="preserve"> </w:t>
      </w:r>
      <w:r w:rsidRPr="00793063">
        <w:rPr>
          <w:rFonts w:ascii="Times New Roman" w:hAnsi="Times New Roman" w:cs="Times New Roman"/>
          <w:sz w:val="21"/>
          <w:szCs w:val="21"/>
        </w:rPr>
        <w:t>: Рада з вивчення продуктивних сил України НАНУ, 2002 – 124 с.</w:t>
      </w:r>
      <w:bookmarkEnd w:id="104"/>
    </w:p>
    <w:p w:rsidR="00B233DE" w:rsidRPr="003A773F"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r w:rsidRPr="003A773F">
        <w:rPr>
          <w:rFonts w:ascii="Times New Roman" w:hAnsi="Times New Roman" w:cs="Times New Roman"/>
          <w:sz w:val="21"/>
          <w:szCs w:val="21"/>
          <w:lang w:val="ru-RU"/>
        </w:rPr>
        <w:t>Мальтус Т. Опыт о законе народонаселения / Т. Мальтус. – Петрозаводск : Петроком, 1993. – 136 с.</w:t>
      </w:r>
      <w:bookmarkEnd w:id="105"/>
    </w:p>
    <w:p w:rsidR="00B233DE" w:rsidRPr="00240DEF"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bookmarkStart w:id="106" w:name="_Ref433791687"/>
      <w:r w:rsidRPr="003A773F">
        <w:rPr>
          <w:rFonts w:ascii="Times New Roman" w:hAnsi="Times New Roman" w:cs="Times New Roman"/>
          <w:sz w:val="21"/>
          <w:szCs w:val="21"/>
        </w:rPr>
        <w:t xml:space="preserve">Маркович Я. М. </w:t>
      </w:r>
      <w:r w:rsidRPr="003A773F">
        <w:rPr>
          <w:rFonts w:ascii="Times New Roman" w:hAnsi="Times New Roman" w:cs="Times New Roman"/>
          <w:sz w:val="21"/>
          <w:szCs w:val="21"/>
          <w:lang w:val="ru-RU"/>
        </w:rPr>
        <w:t>Записки о Малороссии, ее</w:t>
      </w:r>
      <w:r w:rsidRPr="00240DEF">
        <w:rPr>
          <w:rFonts w:ascii="Times New Roman" w:hAnsi="Times New Roman" w:cs="Times New Roman"/>
          <w:sz w:val="21"/>
          <w:szCs w:val="21"/>
          <w:lang w:val="ru-RU"/>
        </w:rPr>
        <w:t xml:space="preserve"> жителях и произведениях / Я. М. Маркович. – СПб., 1798. – 98 с.</w:t>
      </w:r>
      <w:bookmarkEnd w:id="106"/>
    </w:p>
    <w:p w:rsidR="00B233DE" w:rsidRPr="003A773F"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bookmarkStart w:id="107" w:name="_Ref433791825"/>
      <w:r w:rsidRPr="003A773F">
        <w:rPr>
          <w:rFonts w:ascii="Times New Roman" w:hAnsi="Times New Roman" w:cs="Times New Roman"/>
          <w:iCs/>
          <w:color w:val="252525"/>
          <w:sz w:val="21"/>
          <w:szCs w:val="21"/>
          <w:shd w:val="clear" w:color="auto" w:fill="FFFFFF"/>
        </w:rPr>
        <w:t>Медков В. М.</w:t>
      </w:r>
      <w:r w:rsidRPr="003A773F">
        <w:rPr>
          <w:rStyle w:val="apple-converted-space"/>
          <w:rFonts w:ascii="Times New Roman" w:hAnsi="Times New Roman" w:cs="Times New Roman"/>
          <w:color w:val="252525"/>
          <w:sz w:val="21"/>
          <w:szCs w:val="21"/>
          <w:shd w:val="clear" w:color="auto" w:fill="FFFFFF"/>
        </w:rPr>
        <w:t xml:space="preserve"> </w:t>
      </w:r>
      <w:r w:rsidRPr="003A773F">
        <w:rPr>
          <w:rFonts w:ascii="Times New Roman" w:hAnsi="Times New Roman" w:cs="Times New Roman"/>
          <w:color w:val="252525"/>
          <w:sz w:val="21"/>
          <w:szCs w:val="21"/>
          <w:shd w:val="clear" w:color="auto" w:fill="FFFFFF"/>
        </w:rPr>
        <w:t>Демография / В. М. Медков. – М. : Инфра-М, 200</w:t>
      </w:r>
      <w:r w:rsidRPr="003A773F">
        <w:rPr>
          <w:rFonts w:ascii="Times New Roman" w:hAnsi="Times New Roman" w:cs="Times New Roman"/>
          <w:color w:val="252525"/>
          <w:sz w:val="21"/>
          <w:szCs w:val="21"/>
          <w:shd w:val="clear" w:color="auto" w:fill="FFFFFF"/>
          <w:lang w:val="ru-RU"/>
        </w:rPr>
        <w:t>8</w:t>
      </w:r>
      <w:r w:rsidRPr="003A773F">
        <w:rPr>
          <w:rFonts w:ascii="Times New Roman" w:hAnsi="Times New Roman" w:cs="Times New Roman"/>
          <w:color w:val="252525"/>
          <w:sz w:val="21"/>
          <w:szCs w:val="21"/>
          <w:shd w:val="clear" w:color="auto" w:fill="FFFFFF"/>
        </w:rPr>
        <w:t xml:space="preserve">. – </w:t>
      </w:r>
      <w:r w:rsidRPr="003A773F">
        <w:rPr>
          <w:rFonts w:ascii="Times New Roman" w:hAnsi="Times New Roman" w:cs="Times New Roman"/>
          <w:color w:val="252525"/>
          <w:sz w:val="21"/>
          <w:szCs w:val="21"/>
          <w:shd w:val="clear" w:color="auto" w:fill="FFFFFF"/>
          <w:lang w:val="ru-RU"/>
        </w:rPr>
        <w:t>448 с.</w:t>
      </w:r>
      <w:bookmarkEnd w:id="107"/>
    </w:p>
    <w:p w:rsidR="00B233DE"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bookmarkStart w:id="108" w:name="_Ref435781262"/>
      <w:bookmarkStart w:id="109" w:name="_Ref433791633"/>
      <w:r w:rsidRPr="00793063">
        <w:rPr>
          <w:rFonts w:ascii="Times New Roman" w:hAnsi="Times New Roman" w:cs="Times New Roman"/>
          <w:sz w:val="21"/>
          <w:szCs w:val="21"/>
        </w:rPr>
        <w:t>Населення України. Соціально-демографічні проблеми українського села. – К.</w:t>
      </w:r>
      <w:r>
        <w:rPr>
          <w:rFonts w:ascii="Times New Roman" w:hAnsi="Times New Roman" w:cs="Times New Roman"/>
          <w:sz w:val="21"/>
          <w:szCs w:val="21"/>
        </w:rPr>
        <w:t xml:space="preserve"> </w:t>
      </w:r>
      <w:r w:rsidRPr="00793063">
        <w:rPr>
          <w:rFonts w:ascii="Times New Roman" w:hAnsi="Times New Roman" w:cs="Times New Roman"/>
          <w:sz w:val="21"/>
          <w:szCs w:val="21"/>
        </w:rPr>
        <w:t>: Ін-т демографії та соціальних досліджень НАН України, 2007. – 468 с.</w:t>
      </w:r>
      <w:bookmarkEnd w:id="108"/>
    </w:p>
    <w:p w:rsidR="00B233DE" w:rsidRPr="00240DEF"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Новиц</w:t>
      </w:r>
      <w:r w:rsidRPr="00240DEF">
        <w:rPr>
          <w:rFonts w:ascii="Times New Roman" w:hAnsi="Times New Roman" w:cs="Times New Roman"/>
          <w:sz w:val="21"/>
          <w:szCs w:val="21"/>
        </w:rPr>
        <w:t xml:space="preserve">кий Г. </w:t>
      </w:r>
      <w:r>
        <w:rPr>
          <w:rFonts w:ascii="Times New Roman" w:hAnsi="Times New Roman" w:cs="Times New Roman"/>
          <w:sz w:val="21"/>
          <w:szCs w:val="21"/>
        </w:rPr>
        <w:t>И</w:t>
      </w:r>
      <w:r w:rsidRPr="00240DEF">
        <w:rPr>
          <w:rFonts w:ascii="Times New Roman" w:hAnsi="Times New Roman" w:cs="Times New Roman"/>
          <w:sz w:val="21"/>
          <w:szCs w:val="21"/>
        </w:rPr>
        <w:t xml:space="preserve">. </w:t>
      </w:r>
      <w:r>
        <w:rPr>
          <w:rFonts w:ascii="Times New Roman" w:hAnsi="Times New Roman" w:cs="Times New Roman"/>
          <w:sz w:val="21"/>
          <w:szCs w:val="21"/>
          <w:lang w:val="ru-RU"/>
        </w:rPr>
        <w:t>Краткое описание о народе остяцком / Г. И. Новицкий ; издал и снабдил примеч. Л. Майков. – М. : РГБ, 2008. – 116 с.</w:t>
      </w:r>
      <w:bookmarkEnd w:id="109"/>
    </w:p>
    <w:p w:rsidR="00B233DE"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lang w:val="ru-RU"/>
        </w:rPr>
      </w:pPr>
      <w:bookmarkStart w:id="110" w:name="_Ref433791455"/>
      <w:r w:rsidRPr="00240DEF">
        <w:rPr>
          <w:rFonts w:ascii="Times New Roman" w:hAnsi="Times New Roman" w:cs="Times New Roman"/>
          <w:sz w:val="21"/>
          <w:szCs w:val="21"/>
        </w:rPr>
        <w:lastRenderedPageBreak/>
        <w:t xml:space="preserve">Платон Диалоги / Платон ; перевод с древнегреческого С. К. : Апт. и др. – М. : </w:t>
      </w:r>
      <w:r w:rsidRPr="00240DEF">
        <w:rPr>
          <w:rFonts w:ascii="Times New Roman" w:hAnsi="Times New Roman" w:cs="Times New Roman"/>
          <w:sz w:val="21"/>
          <w:szCs w:val="21"/>
          <w:lang w:val="ru-RU"/>
        </w:rPr>
        <w:t>Э</w:t>
      </w:r>
      <w:r w:rsidRPr="00240DEF">
        <w:rPr>
          <w:rFonts w:ascii="Times New Roman" w:hAnsi="Times New Roman" w:cs="Times New Roman"/>
          <w:sz w:val="21"/>
          <w:szCs w:val="21"/>
        </w:rPr>
        <w:t>ксмо, 2015. – 766 с.</w:t>
      </w:r>
      <w:bookmarkEnd w:id="110"/>
      <w:r w:rsidRPr="00240DEF">
        <w:rPr>
          <w:rFonts w:ascii="Times New Roman" w:hAnsi="Times New Roman" w:cs="Times New Roman"/>
          <w:sz w:val="21"/>
          <w:szCs w:val="21"/>
        </w:rPr>
        <w:t xml:space="preserve"> </w:t>
      </w:r>
    </w:p>
    <w:p w:rsidR="00B233DE" w:rsidRPr="00364F80"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lang w:val="ru-RU"/>
        </w:rPr>
      </w:pPr>
      <w:bookmarkStart w:id="111" w:name="_Ref433791673"/>
      <w:r>
        <w:rPr>
          <w:rFonts w:ascii="Times New Roman" w:hAnsi="Times New Roman" w:cs="Times New Roman"/>
          <w:color w:val="000000"/>
          <w:sz w:val="21"/>
          <w:szCs w:val="21"/>
          <w:shd w:val="clear" w:color="auto" w:fill="FFFFFF"/>
        </w:rPr>
        <w:t>Полетика В. Оп</w:t>
      </w:r>
      <w:r>
        <w:rPr>
          <w:rFonts w:ascii="Times New Roman" w:hAnsi="Times New Roman" w:cs="Times New Roman"/>
          <w:color w:val="000000"/>
          <w:sz w:val="21"/>
          <w:szCs w:val="21"/>
          <w:shd w:val="clear" w:color="auto" w:fill="FFFFFF"/>
          <w:lang w:val="ru-RU"/>
        </w:rPr>
        <w:t>ы</w:t>
      </w:r>
      <w:r w:rsidRPr="00364F80">
        <w:rPr>
          <w:rFonts w:ascii="Times New Roman" w:hAnsi="Times New Roman" w:cs="Times New Roman"/>
          <w:color w:val="000000"/>
          <w:sz w:val="21"/>
          <w:szCs w:val="21"/>
          <w:shd w:val="clear" w:color="auto" w:fill="FFFFFF"/>
        </w:rPr>
        <w:t xml:space="preserve">т рассуждений о первоначальных делах мира, о древнем Египте, об Ассирианах, о Мидянах </w:t>
      </w:r>
      <w:r>
        <w:rPr>
          <w:rFonts w:ascii="Times New Roman" w:hAnsi="Times New Roman" w:cs="Times New Roman"/>
          <w:color w:val="000000"/>
          <w:sz w:val="21"/>
          <w:szCs w:val="21"/>
          <w:shd w:val="clear" w:color="auto" w:fill="FFFFFF"/>
          <w:lang w:val="ru-RU"/>
        </w:rPr>
        <w:t>и</w:t>
      </w:r>
      <w:r>
        <w:rPr>
          <w:rFonts w:ascii="Times New Roman" w:hAnsi="Times New Roman" w:cs="Times New Roman"/>
          <w:color w:val="000000"/>
          <w:sz w:val="21"/>
          <w:szCs w:val="21"/>
          <w:shd w:val="clear" w:color="auto" w:fill="FFFFFF"/>
        </w:rPr>
        <w:t xml:space="preserve"> о Персах</w:t>
      </w:r>
      <w:r>
        <w:rPr>
          <w:rFonts w:ascii="Times New Roman" w:hAnsi="Times New Roman" w:cs="Times New Roman"/>
          <w:color w:val="000000"/>
          <w:sz w:val="21"/>
          <w:szCs w:val="21"/>
          <w:shd w:val="clear" w:color="auto" w:fill="FFFFFF"/>
          <w:lang w:val="ru-RU"/>
        </w:rPr>
        <w:t xml:space="preserve"> / В. Полетика.</w:t>
      </w:r>
      <w:r w:rsidRPr="00364F80">
        <w:rPr>
          <w:rFonts w:ascii="Times New Roman" w:hAnsi="Times New Roman" w:cs="Times New Roman"/>
          <w:color w:val="000000"/>
          <w:sz w:val="21"/>
          <w:szCs w:val="21"/>
          <w:shd w:val="clear" w:color="auto" w:fill="FFFFFF"/>
        </w:rPr>
        <w:t xml:space="preserve"> </w:t>
      </w:r>
      <w:r>
        <w:rPr>
          <w:rFonts w:ascii="Times New Roman" w:hAnsi="Times New Roman" w:cs="Times New Roman"/>
          <w:color w:val="000000"/>
          <w:sz w:val="21"/>
          <w:szCs w:val="21"/>
          <w:shd w:val="clear" w:color="auto" w:fill="FFFFFF"/>
        </w:rPr>
        <w:t>–</w:t>
      </w:r>
      <w:r w:rsidRPr="00364F80">
        <w:rPr>
          <w:rFonts w:ascii="Times New Roman" w:hAnsi="Times New Roman" w:cs="Times New Roman"/>
          <w:color w:val="000000"/>
          <w:sz w:val="21"/>
          <w:szCs w:val="21"/>
          <w:shd w:val="clear" w:color="auto" w:fill="FFFFFF"/>
        </w:rPr>
        <w:t xml:space="preserve"> СПб., 1788. </w:t>
      </w:r>
      <w:r>
        <w:rPr>
          <w:rFonts w:ascii="Times New Roman" w:hAnsi="Times New Roman" w:cs="Times New Roman"/>
          <w:color w:val="000000"/>
          <w:sz w:val="21"/>
          <w:szCs w:val="21"/>
          <w:shd w:val="clear" w:color="auto" w:fill="FFFFFF"/>
          <w:lang w:val="ru-RU"/>
        </w:rPr>
        <w:t xml:space="preserve">– </w:t>
      </w:r>
      <w:r w:rsidRPr="00364F80">
        <w:rPr>
          <w:rFonts w:ascii="Times New Roman" w:hAnsi="Times New Roman" w:cs="Times New Roman"/>
          <w:color w:val="000000"/>
          <w:sz w:val="21"/>
          <w:szCs w:val="21"/>
          <w:shd w:val="clear" w:color="auto" w:fill="FFFFFF"/>
        </w:rPr>
        <w:t>118</w:t>
      </w:r>
      <w:r>
        <w:rPr>
          <w:rFonts w:ascii="Times New Roman" w:hAnsi="Times New Roman" w:cs="Times New Roman"/>
          <w:color w:val="000000"/>
          <w:sz w:val="21"/>
          <w:szCs w:val="21"/>
          <w:shd w:val="clear" w:color="auto" w:fill="FFFFFF"/>
          <w:lang w:val="ru-RU"/>
        </w:rPr>
        <w:t xml:space="preserve"> </w:t>
      </w:r>
      <w:r w:rsidRPr="00364F80">
        <w:rPr>
          <w:rFonts w:ascii="Times New Roman" w:hAnsi="Times New Roman" w:cs="Times New Roman"/>
          <w:color w:val="000000"/>
          <w:sz w:val="21"/>
          <w:szCs w:val="21"/>
          <w:shd w:val="clear" w:color="auto" w:fill="FFFFFF"/>
        </w:rPr>
        <w:t>с.</w:t>
      </w:r>
      <w:bookmarkEnd w:id="111"/>
    </w:p>
    <w:p w:rsidR="00B233DE" w:rsidRPr="00240DEF"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bookmarkStart w:id="112" w:name="_Ref433791654"/>
      <w:r w:rsidRPr="00240DEF">
        <w:rPr>
          <w:rFonts w:ascii="Times New Roman" w:hAnsi="Times New Roman" w:cs="Times New Roman"/>
          <w:sz w:val="21"/>
          <w:szCs w:val="21"/>
        </w:rPr>
        <w:t>Рігельман О. Літописна оповідь про Малу Росію та її народ і козаків узагалі</w:t>
      </w:r>
      <w:r>
        <w:rPr>
          <w:rFonts w:ascii="Times New Roman" w:hAnsi="Times New Roman" w:cs="Times New Roman"/>
          <w:sz w:val="21"/>
          <w:szCs w:val="21"/>
        </w:rPr>
        <w:t xml:space="preserve"> / О. Рігельман</w:t>
      </w:r>
      <w:r w:rsidRPr="003A773F">
        <w:rPr>
          <w:rFonts w:ascii="Times New Roman" w:hAnsi="Times New Roman" w:cs="Times New Roman"/>
          <w:sz w:val="21"/>
          <w:szCs w:val="21"/>
        </w:rPr>
        <w:t xml:space="preserve"> ; вст. </w:t>
      </w:r>
      <w:r>
        <w:rPr>
          <w:rFonts w:ascii="Times New Roman" w:hAnsi="Times New Roman" w:cs="Times New Roman"/>
          <w:sz w:val="21"/>
          <w:szCs w:val="21"/>
        </w:rPr>
        <w:t>с</w:t>
      </w:r>
      <w:r w:rsidRPr="003A773F">
        <w:rPr>
          <w:rFonts w:ascii="Times New Roman" w:hAnsi="Times New Roman" w:cs="Times New Roman"/>
          <w:sz w:val="21"/>
          <w:szCs w:val="21"/>
        </w:rPr>
        <w:t xml:space="preserve">т., упор. та </w:t>
      </w:r>
      <w:r>
        <w:rPr>
          <w:rFonts w:ascii="Times New Roman" w:hAnsi="Times New Roman" w:cs="Times New Roman"/>
          <w:sz w:val="21"/>
          <w:szCs w:val="21"/>
        </w:rPr>
        <w:t>примі</w:t>
      </w:r>
      <w:r w:rsidRPr="003A773F">
        <w:rPr>
          <w:rFonts w:ascii="Times New Roman" w:hAnsi="Times New Roman" w:cs="Times New Roman"/>
          <w:sz w:val="21"/>
          <w:szCs w:val="21"/>
        </w:rPr>
        <w:t xml:space="preserve">тки </w:t>
      </w:r>
      <w:r>
        <w:rPr>
          <w:rFonts w:ascii="Times New Roman" w:hAnsi="Times New Roman" w:cs="Times New Roman"/>
          <w:sz w:val="21"/>
          <w:szCs w:val="21"/>
        </w:rPr>
        <w:t>П. М. Саса, В. О. Щербака.</w:t>
      </w:r>
      <w:r w:rsidRPr="00240DEF">
        <w:rPr>
          <w:rFonts w:ascii="Times New Roman" w:hAnsi="Times New Roman" w:cs="Times New Roman"/>
          <w:sz w:val="21"/>
          <w:szCs w:val="21"/>
        </w:rPr>
        <w:t xml:space="preserve"> – К : Либідь, 1994</w:t>
      </w:r>
      <w:r w:rsidRPr="003A773F">
        <w:rPr>
          <w:rFonts w:ascii="Times New Roman" w:hAnsi="Times New Roman" w:cs="Times New Roman"/>
          <w:sz w:val="21"/>
          <w:szCs w:val="21"/>
        </w:rPr>
        <w:t xml:space="preserve">. </w:t>
      </w:r>
      <w:r>
        <w:rPr>
          <w:rFonts w:ascii="Times New Roman" w:hAnsi="Times New Roman" w:cs="Times New Roman"/>
          <w:sz w:val="21"/>
          <w:szCs w:val="21"/>
        </w:rPr>
        <w:t>–</w:t>
      </w:r>
      <w:r w:rsidRPr="003A773F">
        <w:rPr>
          <w:rFonts w:ascii="Times New Roman" w:hAnsi="Times New Roman" w:cs="Times New Roman"/>
          <w:sz w:val="21"/>
          <w:szCs w:val="21"/>
        </w:rPr>
        <w:t xml:space="preserve"> </w:t>
      </w:r>
      <w:r>
        <w:rPr>
          <w:rFonts w:ascii="Times New Roman" w:hAnsi="Times New Roman" w:cs="Times New Roman"/>
          <w:sz w:val="21"/>
          <w:szCs w:val="21"/>
        </w:rPr>
        <w:t>768 с.</w:t>
      </w:r>
      <w:bookmarkEnd w:id="112"/>
    </w:p>
    <w:p w:rsidR="00B233DE"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bookmarkStart w:id="113" w:name="_Ref433791705"/>
      <w:r w:rsidRPr="00D9605B">
        <w:rPr>
          <w:rFonts w:ascii="Times New Roman" w:hAnsi="Times New Roman" w:cs="Times New Roman"/>
          <w:sz w:val="21"/>
          <w:szCs w:val="21"/>
        </w:rPr>
        <w:t xml:space="preserve">Смит А. </w:t>
      </w:r>
      <w:r w:rsidRPr="00D9605B">
        <w:rPr>
          <w:rFonts w:ascii="Times New Roman" w:hAnsi="Times New Roman" w:cs="Times New Roman"/>
          <w:sz w:val="21"/>
          <w:szCs w:val="21"/>
          <w:lang w:val="ru-RU"/>
        </w:rPr>
        <w:t>Исследование о природе и причинах богатства народов / А. Смит ; пер. с англ., вводная статья и комментарии Е. М. Майбурда. – М. : Наука, 1993. – 572 с.</w:t>
      </w:r>
      <w:bookmarkEnd w:id="113"/>
    </w:p>
    <w:p w:rsidR="00B233DE"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bookmarkStart w:id="114" w:name="_Ref433791766"/>
      <w:r w:rsidRPr="00D9605B">
        <w:rPr>
          <w:rFonts w:ascii="Times New Roman" w:hAnsi="Times New Roman" w:cs="Times New Roman"/>
          <w:sz w:val="21"/>
          <w:szCs w:val="21"/>
          <w:lang w:val="ru-RU"/>
        </w:rPr>
        <w:t>Сови А. Общая теория населения. – Т. 1 Экономика и рост населения / А. Сови ; сокр. перевод с 3-его франц. изд. Ф. Р. Окуневой ; предисловие А. Б. Боярского. – М. : Прогресс, 1977. – 503 с.</w:t>
      </w:r>
      <w:bookmarkEnd w:id="114"/>
    </w:p>
    <w:p w:rsidR="00B233DE" w:rsidRPr="00240DEF"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bookmarkStart w:id="115" w:name="_Ref433791470"/>
      <w:r w:rsidRPr="00240DEF">
        <w:rPr>
          <w:rFonts w:ascii="Times New Roman" w:hAnsi="Times New Roman" w:cs="Times New Roman"/>
          <w:sz w:val="21"/>
          <w:szCs w:val="21"/>
        </w:rPr>
        <w:t>Сократ ; Платон ; Аристотель ; Сенека ; Бруно / Е. Н. Орлов [и др.]. – СПб. : ЛИО Редактор, 1995. – 326 с.</w:t>
      </w:r>
      <w:bookmarkEnd w:id="115"/>
      <w:r w:rsidRPr="00240DEF">
        <w:rPr>
          <w:rFonts w:ascii="Times New Roman" w:hAnsi="Times New Roman" w:cs="Times New Roman"/>
          <w:sz w:val="21"/>
          <w:szCs w:val="21"/>
        </w:rPr>
        <w:t xml:space="preserve"> </w:t>
      </w:r>
    </w:p>
    <w:p w:rsidR="00B233DE" w:rsidRPr="00240DEF"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bookmarkStart w:id="116" w:name="_Ref433791726"/>
      <w:r w:rsidRPr="00D9605B">
        <w:rPr>
          <w:rFonts w:ascii="Times New Roman" w:hAnsi="Times New Roman" w:cs="Times New Roman"/>
          <w:sz w:val="21"/>
          <w:szCs w:val="21"/>
          <w:lang w:val="ru-RU"/>
        </w:rPr>
        <w:t>Тарновский В. О делимости семейств в Малоросии / В. Тарновский // Труды Комиссии для описания губе</w:t>
      </w:r>
      <w:r>
        <w:rPr>
          <w:rFonts w:ascii="Times New Roman" w:hAnsi="Times New Roman" w:cs="Times New Roman"/>
          <w:sz w:val="21"/>
          <w:szCs w:val="21"/>
          <w:lang w:val="ru-RU"/>
        </w:rPr>
        <w:t xml:space="preserve">рний Киевского учеьного округа. – Т. </w:t>
      </w:r>
      <w:r>
        <w:rPr>
          <w:rFonts w:ascii="Times New Roman" w:hAnsi="Times New Roman" w:cs="Times New Roman"/>
          <w:sz w:val="21"/>
          <w:szCs w:val="21"/>
        </w:rPr>
        <w:t>ІІІ. – С. 1–21.</w:t>
      </w:r>
      <w:bookmarkEnd w:id="116"/>
    </w:p>
    <w:p w:rsidR="00B233DE" w:rsidRPr="00240DEF"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bookmarkStart w:id="117" w:name="_Ref433791784"/>
      <w:r w:rsidRPr="00D9605B">
        <w:rPr>
          <w:rFonts w:ascii="Times New Roman" w:hAnsi="Times New Roman" w:cs="Times New Roman"/>
          <w:sz w:val="21"/>
          <w:szCs w:val="21"/>
        </w:rPr>
        <w:t xml:space="preserve">Томилин С. А. </w:t>
      </w:r>
      <w:r>
        <w:rPr>
          <w:rFonts w:ascii="Times New Roman" w:hAnsi="Times New Roman" w:cs="Times New Roman"/>
          <w:sz w:val="21"/>
          <w:szCs w:val="21"/>
        </w:rPr>
        <w:t>Демография и социальная гигиена / С. А. Томилин.</w:t>
      </w:r>
      <w:r w:rsidRPr="00D9605B">
        <w:rPr>
          <w:rFonts w:ascii="Times New Roman" w:hAnsi="Times New Roman" w:cs="Times New Roman"/>
          <w:sz w:val="21"/>
          <w:szCs w:val="21"/>
        </w:rPr>
        <w:t xml:space="preserve"> – М. : Статистика, 1973. – 312 с.</w:t>
      </w:r>
      <w:bookmarkEnd w:id="117"/>
    </w:p>
    <w:p w:rsidR="00B233DE" w:rsidRPr="00240DEF"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bookmarkStart w:id="118" w:name="_Ref433791575"/>
      <w:r w:rsidRPr="00240DEF">
        <w:rPr>
          <w:rFonts w:ascii="Times New Roman" w:hAnsi="Times New Roman" w:cs="Times New Roman"/>
          <w:color w:val="000000"/>
          <w:sz w:val="21"/>
          <w:szCs w:val="21"/>
          <w:shd w:val="clear" w:color="auto" w:fill="FFFFFF"/>
        </w:rPr>
        <w:t>Уоллес А. Р. Научные и социальные исследования. Т.1: Изучение Земли: Описательная зоология. Распределение растений. Распределение животных. Теория эволюции. Антропология. Специальные проблемы / А. Р.Уоллес</w:t>
      </w:r>
      <w:r>
        <w:rPr>
          <w:rFonts w:ascii="Times New Roman" w:hAnsi="Times New Roman" w:cs="Times New Roman"/>
          <w:color w:val="000000"/>
          <w:sz w:val="21"/>
          <w:szCs w:val="21"/>
          <w:shd w:val="clear" w:color="auto" w:fill="FFFFFF"/>
        </w:rPr>
        <w:t xml:space="preserve"> ; </w:t>
      </w:r>
      <w:r w:rsidRPr="00240DEF">
        <w:rPr>
          <w:rFonts w:ascii="Times New Roman" w:hAnsi="Times New Roman" w:cs="Times New Roman"/>
          <w:color w:val="000000"/>
          <w:sz w:val="21"/>
          <w:szCs w:val="21"/>
          <w:shd w:val="clear" w:color="auto" w:fill="FFFFFF"/>
        </w:rPr>
        <w:t>/ пер. с англ. Л. Лакиера</w:t>
      </w:r>
      <w:r>
        <w:rPr>
          <w:rFonts w:ascii="Times New Roman" w:hAnsi="Times New Roman" w:cs="Times New Roman"/>
          <w:color w:val="000000"/>
          <w:sz w:val="21"/>
          <w:szCs w:val="21"/>
          <w:shd w:val="clear" w:color="auto" w:fill="FFFFFF"/>
        </w:rPr>
        <w:t>.</w:t>
      </w:r>
      <w:r w:rsidRPr="00240DEF">
        <w:rPr>
          <w:rFonts w:ascii="Times New Roman" w:hAnsi="Times New Roman" w:cs="Times New Roman"/>
          <w:color w:val="000000"/>
          <w:sz w:val="21"/>
          <w:szCs w:val="21"/>
          <w:shd w:val="clear" w:color="auto" w:fill="FFFFFF"/>
        </w:rPr>
        <w:t xml:space="preserve"> – СПб. : Ф. Павленков, 1903. – 514 с.</w:t>
      </w:r>
      <w:bookmarkEnd w:id="118"/>
    </w:p>
    <w:p w:rsidR="00B233DE" w:rsidRPr="0054013F" w:rsidRDefault="00B233DE" w:rsidP="00B233DE">
      <w:pPr>
        <w:pStyle w:val="ad"/>
        <w:numPr>
          <w:ilvl w:val="0"/>
          <w:numId w:val="10"/>
        </w:numPr>
        <w:tabs>
          <w:tab w:val="left" w:pos="993"/>
        </w:tabs>
        <w:ind w:left="0" w:firstLine="709"/>
        <w:jc w:val="both"/>
        <w:rPr>
          <w:rFonts w:ascii="Times New Roman" w:hAnsi="Times New Roman" w:cs="Times New Roman"/>
          <w:sz w:val="21"/>
          <w:szCs w:val="21"/>
        </w:rPr>
      </w:pPr>
      <w:bookmarkStart w:id="119" w:name="_Ref433791804"/>
      <w:r w:rsidRPr="00D9605B">
        <w:rPr>
          <w:rFonts w:ascii="Times New Roman" w:hAnsi="Times New Roman" w:cs="Times New Roman"/>
          <w:sz w:val="21"/>
          <w:szCs w:val="21"/>
          <w:lang w:val="ru-RU"/>
        </w:rPr>
        <w:t>Фишер Р. Генетическая теория естественного отбора</w:t>
      </w:r>
      <w:r>
        <w:rPr>
          <w:rFonts w:ascii="Times New Roman" w:hAnsi="Times New Roman" w:cs="Times New Roman"/>
          <w:sz w:val="21"/>
          <w:szCs w:val="21"/>
          <w:lang w:val="ru-RU"/>
        </w:rPr>
        <w:t xml:space="preserve"> / Р. Фишер ; пер. с англ. – Ижевск. Ин-т компьютерных исследований</w:t>
      </w:r>
      <w:r w:rsidRPr="0054013F">
        <w:rPr>
          <w:rFonts w:ascii="Times New Roman" w:hAnsi="Times New Roman" w:cs="Times New Roman"/>
          <w:sz w:val="21"/>
          <w:szCs w:val="21"/>
          <w:lang w:val="ru-RU"/>
        </w:rPr>
        <w:t>, 2011</w:t>
      </w:r>
      <w:r>
        <w:rPr>
          <w:rFonts w:ascii="Times New Roman" w:hAnsi="Times New Roman" w:cs="Times New Roman"/>
          <w:sz w:val="21"/>
          <w:szCs w:val="21"/>
          <w:lang w:val="ru-RU"/>
        </w:rPr>
        <w:t>. – 290 с.</w:t>
      </w:r>
      <w:bookmarkEnd w:id="119"/>
    </w:p>
    <w:p w:rsidR="00B233DE" w:rsidRPr="00240DEF" w:rsidRDefault="00B233DE" w:rsidP="00B233DE">
      <w:pPr>
        <w:pStyle w:val="ad"/>
        <w:numPr>
          <w:ilvl w:val="0"/>
          <w:numId w:val="10"/>
        </w:numPr>
        <w:tabs>
          <w:tab w:val="left" w:pos="993"/>
        </w:tabs>
        <w:ind w:left="0" w:firstLine="709"/>
        <w:jc w:val="both"/>
        <w:rPr>
          <w:rFonts w:ascii="Times New Roman" w:hAnsi="Times New Roman" w:cs="Times New Roman"/>
          <w:sz w:val="21"/>
          <w:szCs w:val="21"/>
        </w:rPr>
      </w:pPr>
      <w:bookmarkStart w:id="120" w:name="_Ref433791667"/>
      <w:r>
        <w:rPr>
          <w:rFonts w:ascii="Times New Roman" w:hAnsi="Times New Roman" w:cs="Times New Roman"/>
          <w:sz w:val="21"/>
          <w:szCs w:val="21"/>
        </w:rPr>
        <w:t>Шафонс</w:t>
      </w:r>
      <w:r w:rsidRPr="00240DEF">
        <w:rPr>
          <w:rFonts w:ascii="Times New Roman" w:hAnsi="Times New Roman" w:cs="Times New Roman"/>
          <w:sz w:val="21"/>
          <w:szCs w:val="21"/>
        </w:rPr>
        <w:t xml:space="preserve">кий </w:t>
      </w:r>
      <w:r>
        <w:rPr>
          <w:rFonts w:ascii="Times New Roman" w:hAnsi="Times New Roman" w:cs="Times New Roman"/>
          <w:sz w:val="21"/>
          <w:szCs w:val="21"/>
          <w:lang w:val="ru-RU"/>
        </w:rPr>
        <w:t>А</w:t>
      </w:r>
      <w:r w:rsidRPr="00240DEF">
        <w:rPr>
          <w:rFonts w:ascii="Times New Roman" w:hAnsi="Times New Roman" w:cs="Times New Roman"/>
          <w:sz w:val="21"/>
          <w:szCs w:val="21"/>
        </w:rPr>
        <w:t>. Черниговского намесничества топографическое описание</w:t>
      </w:r>
      <w:r>
        <w:rPr>
          <w:rFonts w:ascii="Times New Roman" w:hAnsi="Times New Roman" w:cs="Times New Roman"/>
          <w:sz w:val="21"/>
          <w:szCs w:val="21"/>
          <w:lang w:val="ru-RU"/>
        </w:rPr>
        <w:t xml:space="preserve"> с кратким географическим и историческим описанием Малой России / А. Шафонский. – К. : Университетская типография, 1851. – 254 с.</w:t>
      </w:r>
      <w:bookmarkEnd w:id="120"/>
    </w:p>
    <w:p w:rsidR="00B233DE" w:rsidRPr="00240DEF" w:rsidRDefault="00B233DE" w:rsidP="00B233DE">
      <w:pPr>
        <w:pStyle w:val="ad"/>
        <w:numPr>
          <w:ilvl w:val="0"/>
          <w:numId w:val="10"/>
        </w:numPr>
        <w:tabs>
          <w:tab w:val="left" w:pos="993"/>
        </w:tabs>
        <w:ind w:left="0" w:firstLine="709"/>
        <w:jc w:val="both"/>
        <w:rPr>
          <w:rFonts w:ascii="Times New Roman" w:hAnsi="Times New Roman" w:cs="Times New Roman"/>
        </w:rPr>
      </w:pPr>
      <w:bookmarkStart w:id="121" w:name="_Ref433791649"/>
      <w:r w:rsidRPr="00240DEF">
        <w:rPr>
          <w:rFonts w:ascii="Times New Roman" w:hAnsi="Times New Roman" w:cs="Times New Roman"/>
          <w:sz w:val="21"/>
          <w:szCs w:val="21"/>
        </w:rPr>
        <w:t xml:space="preserve">Юнкер Г. </w:t>
      </w:r>
      <w:r>
        <w:rPr>
          <w:rFonts w:ascii="Times New Roman" w:hAnsi="Times New Roman" w:cs="Times New Roman"/>
          <w:sz w:val="21"/>
          <w:szCs w:val="21"/>
          <w:lang w:val="ru-RU"/>
        </w:rPr>
        <w:t>Экстракт об изнеможении слобоских полков / Г. Юнкер. – Харьков, 1898. – 44 с.</w:t>
      </w:r>
      <w:bookmarkEnd w:id="121"/>
    </w:p>
    <w:p w:rsidR="00B233DE" w:rsidRPr="003A773F" w:rsidRDefault="00B233DE" w:rsidP="00B233DE">
      <w:pPr>
        <w:pStyle w:val="ad"/>
        <w:numPr>
          <w:ilvl w:val="0"/>
          <w:numId w:val="10"/>
        </w:numPr>
        <w:tabs>
          <w:tab w:val="left" w:pos="993"/>
        </w:tabs>
        <w:ind w:left="0" w:firstLine="709"/>
        <w:jc w:val="both"/>
        <w:rPr>
          <w:rFonts w:ascii="Times New Roman" w:hAnsi="Times New Roman" w:cs="Times New Roman"/>
          <w:lang w:val="ru-RU"/>
        </w:rPr>
      </w:pPr>
      <w:bookmarkStart w:id="122" w:name="_Ref433791739"/>
      <w:r w:rsidRPr="00D9605B">
        <w:rPr>
          <w:rFonts w:ascii="Times New Roman" w:hAnsi="Times New Roman" w:cs="Times New Roman"/>
          <w:sz w:val="21"/>
          <w:szCs w:val="21"/>
          <w:lang w:val="ru-RU"/>
        </w:rPr>
        <w:t xml:space="preserve">Якобий А. Угасание инородческих племен Севера / А. Якобий. – </w:t>
      </w:r>
      <w:r>
        <w:rPr>
          <w:rFonts w:ascii="Times New Roman" w:hAnsi="Times New Roman" w:cs="Times New Roman"/>
          <w:sz w:val="21"/>
          <w:szCs w:val="21"/>
          <w:lang w:val="ru-RU"/>
        </w:rPr>
        <w:t xml:space="preserve">СПб., </w:t>
      </w:r>
      <w:r w:rsidRPr="00D9605B">
        <w:rPr>
          <w:rFonts w:ascii="Times New Roman" w:hAnsi="Times New Roman" w:cs="Times New Roman"/>
          <w:sz w:val="21"/>
          <w:szCs w:val="21"/>
          <w:lang w:val="ru-RU"/>
        </w:rPr>
        <w:t>1893.</w:t>
      </w:r>
      <w:r>
        <w:rPr>
          <w:rFonts w:ascii="Times New Roman" w:hAnsi="Times New Roman" w:cs="Times New Roman"/>
          <w:sz w:val="21"/>
          <w:szCs w:val="21"/>
          <w:lang w:val="ru-RU"/>
        </w:rPr>
        <w:t xml:space="preserve"> – 73 с.</w:t>
      </w:r>
      <w:bookmarkEnd w:id="122"/>
    </w:p>
    <w:p w:rsidR="00B233DE" w:rsidRPr="003A773F" w:rsidRDefault="00B233DE" w:rsidP="00B233DE">
      <w:pPr>
        <w:pStyle w:val="ad"/>
        <w:numPr>
          <w:ilvl w:val="0"/>
          <w:numId w:val="10"/>
        </w:numPr>
        <w:tabs>
          <w:tab w:val="left" w:pos="993"/>
        </w:tabs>
        <w:ind w:left="0" w:firstLine="709"/>
        <w:jc w:val="both"/>
        <w:rPr>
          <w:rFonts w:ascii="Times New Roman" w:hAnsi="Times New Roman" w:cs="Times New Roman"/>
          <w:lang w:val="en-US"/>
        </w:rPr>
      </w:pPr>
      <w:bookmarkStart w:id="123" w:name="_Ref433791817"/>
      <w:r>
        <w:rPr>
          <w:rFonts w:ascii="Times New Roman" w:hAnsi="Times New Roman" w:cs="Times New Roman"/>
          <w:lang w:val="en-US"/>
        </w:rPr>
        <w:lastRenderedPageBreak/>
        <w:t>Burgdorfer</w:t>
      </w:r>
      <w:r w:rsidRPr="003A773F">
        <w:rPr>
          <w:rFonts w:ascii="Times New Roman" w:hAnsi="Times New Roman" w:cs="Times New Roman"/>
          <w:lang w:val="en-US"/>
        </w:rPr>
        <w:t xml:space="preserve"> </w:t>
      </w:r>
      <w:r>
        <w:rPr>
          <w:rFonts w:ascii="Times New Roman" w:hAnsi="Times New Roman" w:cs="Times New Roman"/>
          <w:lang w:val="en-US"/>
        </w:rPr>
        <w:t>F</w:t>
      </w:r>
      <w:r w:rsidRPr="003A773F">
        <w:rPr>
          <w:rFonts w:ascii="Times New Roman" w:hAnsi="Times New Roman" w:cs="Times New Roman"/>
          <w:lang w:val="en-US"/>
        </w:rPr>
        <w:t xml:space="preserve">. Bevölkerungsdynamik und Bevölkerungsbilanz; Entwicklung der Erdbevölkerung in </w:t>
      </w:r>
      <w:r w:rsidRPr="003A773F">
        <w:rPr>
          <w:rFonts w:ascii="Times New Roman" w:hAnsi="Times New Roman" w:cs="Times New Roman"/>
          <w:spacing w:val="-4"/>
          <w:lang w:val="en-US"/>
        </w:rPr>
        <w:t>Vergangenheit und Zukunft / F. Burgdorfer. – München, 1951. – 116 s.</w:t>
      </w:r>
      <w:bookmarkEnd w:id="123"/>
    </w:p>
    <w:p w:rsidR="00B233DE" w:rsidRPr="00240DEF" w:rsidRDefault="00B233DE" w:rsidP="00B233DE">
      <w:pPr>
        <w:pStyle w:val="ad"/>
        <w:numPr>
          <w:ilvl w:val="0"/>
          <w:numId w:val="10"/>
        </w:numPr>
        <w:tabs>
          <w:tab w:val="left" w:pos="993"/>
        </w:tabs>
        <w:ind w:left="0" w:firstLine="709"/>
        <w:jc w:val="both"/>
        <w:rPr>
          <w:rFonts w:ascii="Times New Roman" w:hAnsi="Times New Roman" w:cs="Times New Roman"/>
          <w:lang w:val="en-US"/>
        </w:rPr>
      </w:pPr>
      <w:bookmarkStart w:id="124" w:name="_Ref433791589"/>
      <w:r>
        <w:rPr>
          <w:rFonts w:ascii="Times New Roman" w:hAnsi="Times New Roman" w:cs="Times New Roman"/>
        </w:rPr>
        <w:t>Cantillon R</w:t>
      </w:r>
      <w:r w:rsidRPr="00F33B72">
        <w:rPr>
          <w:rFonts w:ascii="Times New Roman" w:hAnsi="Times New Roman" w:cs="Times New Roman"/>
          <w:lang w:val="en-US"/>
        </w:rPr>
        <w:t>.</w:t>
      </w:r>
      <w:r w:rsidRPr="00240DEF">
        <w:rPr>
          <w:rFonts w:ascii="Times New Roman" w:hAnsi="Times New Roman" w:cs="Times New Roman"/>
        </w:rPr>
        <w:t xml:space="preserve"> </w:t>
      </w:r>
      <w:hyperlink r:id="rId37" w:history="1">
        <w:r w:rsidRPr="00240DEF">
          <w:rPr>
            <w:rStyle w:val="aff"/>
            <w:rFonts w:ascii="Times New Roman" w:hAnsi="Times New Roman" w:cs="Times New Roman"/>
            <w:color w:val="auto"/>
            <w:sz w:val="21"/>
            <w:szCs w:val="21"/>
            <w:u w:val="none"/>
          </w:rPr>
          <w:t>An Essay on Economic Theory</w:t>
        </w:r>
      </w:hyperlink>
      <w:r w:rsidRPr="00F33B72">
        <w:rPr>
          <w:rStyle w:val="aff"/>
          <w:rFonts w:ascii="Times New Roman" w:hAnsi="Times New Roman" w:cs="Times New Roman"/>
          <w:color w:val="auto"/>
          <w:sz w:val="21"/>
          <w:szCs w:val="21"/>
          <w:u w:val="none"/>
          <w:lang w:val="en-US"/>
        </w:rPr>
        <w:t xml:space="preserve"> / </w:t>
      </w:r>
      <w:r>
        <w:rPr>
          <w:rFonts w:ascii="Times New Roman" w:hAnsi="Times New Roman" w:cs="Times New Roman"/>
        </w:rPr>
        <w:t>R</w:t>
      </w:r>
      <w:r w:rsidRPr="00F33B72">
        <w:rPr>
          <w:rFonts w:ascii="Times New Roman" w:hAnsi="Times New Roman" w:cs="Times New Roman"/>
          <w:lang w:val="en-US"/>
        </w:rPr>
        <w:t xml:space="preserve">. </w:t>
      </w:r>
      <w:r>
        <w:rPr>
          <w:rFonts w:ascii="Times New Roman" w:hAnsi="Times New Roman" w:cs="Times New Roman"/>
        </w:rPr>
        <w:t>Cantillon</w:t>
      </w:r>
      <w:r w:rsidRPr="00F33B72">
        <w:rPr>
          <w:rFonts w:ascii="Times New Roman" w:hAnsi="Times New Roman" w:cs="Times New Roman"/>
          <w:lang w:val="en-US"/>
        </w:rPr>
        <w:t xml:space="preserve">. – </w:t>
      </w:r>
      <w:r>
        <w:rPr>
          <w:rFonts w:ascii="Times New Roman" w:hAnsi="Times New Roman" w:cs="Times New Roman"/>
          <w:lang w:val="en-US"/>
        </w:rPr>
        <w:t>Auburn : Ludwig von Mises Institute, 2010. – 295 p.</w:t>
      </w:r>
      <w:bookmarkEnd w:id="124"/>
    </w:p>
    <w:p w:rsidR="00B233DE" w:rsidRPr="00240DEF" w:rsidRDefault="00B233DE" w:rsidP="00B233DE">
      <w:pPr>
        <w:pStyle w:val="ad"/>
        <w:numPr>
          <w:ilvl w:val="0"/>
          <w:numId w:val="10"/>
        </w:numPr>
        <w:tabs>
          <w:tab w:val="left" w:pos="142"/>
          <w:tab w:val="left" w:pos="993"/>
        </w:tabs>
        <w:ind w:left="0" w:firstLine="709"/>
        <w:jc w:val="both"/>
        <w:rPr>
          <w:rFonts w:ascii="Times New Roman" w:hAnsi="Times New Roman" w:cs="Times New Roman"/>
        </w:rPr>
      </w:pPr>
      <w:bookmarkStart w:id="125" w:name="_Ref433791509"/>
      <w:r w:rsidRPr="00240DEF">
        <w:rPr>
          <w:rFonts w:ascii="Times New Roman" w:hAnsi="Times New Roman" w:cs="Times New Roman"/>
          <w:sz w:val="21"/>
          <w:szCs w:val="21"/>
        </w:rPr>
        <w:t>Graunt J. Natural and political observations made upon bills of mortality / J. Graunt. – Baltimore, 1939. – 98 р.</w:t>
      </w:r>
      <w:bookmarkEnd w:id="125"/>
    </w:p>
    <w:p w:rsidR="00B233DE" w:rsidRPr="00240DEF" w:rsidRDefault="00B233DE" w:rsidP="00B233DE">
      <w:pPr>
        <w:pStyle w:val="ad"/>
        <w:numPr>
          <w:ilvl w:val="0"/>
          <w:numId w:val="10"/>
        </w:numPr>
        <w:tabs>
          <w:tab w:val="left" w:pos="142"/>
          <w:tab w:val="left" w:pos="993"/>
        </w:tabs>
        <w:ind w:left="0" w:firstLine="709"/>
        <w:jc w:val="both"/>
        <w:rPr>
          <w:rFonts w:ascii="Times New Roman" w:hAnsi="Times New Roman" w:cs="Times New Roman"/>
          <w:sz w:val="21"/>
          <w:szCs w:val="21"/>
        </w:rPr>
      </w:pPr>
      <w:bookmarkStart w:id="126" w:name="_Ref433791491"/>
      <w:r w:rsidRPr="00240DEF">
        <w:rPr>
          <w:rFonts w:ascii="Times New Roman" w:hAnsi="Times New Roman" w:cs="Times New Roman"/>
          <w:sz w:val="21"/>
          <w:szCs w:val="21"/>
          <w:lang w:val="en-US"/>
        </w:rPr>
        <w:t>Holinshed</w:t>
      </w:r>
      <w:r w:rsidRPr="00240DEF">
        <w:rPr>
          <w:rFonts w:ascii="Times New Roman" w:hAnsi="Times New Roman" w:cs="Times New Roman"/>
          <w:sz w:val="21"/>
          <w:szCs w:val="21"/>
        </w:rPr>
        <w:t xml:space="preserve"> </w:t>
      </w:r>
      <w:r w:rsidRPr="00240DEF">
        <w:rPr>
          <w:rFonts w:ascii="Times New Roman" w:hAnsi="Times New Roman" w:cs="Times New Roman"/>
          <w:sz w:val="21"/>
          <w:szCs w:val="21"/>
          <w:lang w:val="en-US"/>
        </w:rPr>
        <w:t>R</w:t>
      </w:r>
      <w:r w:rsidRPr="00240DEF">
        <w:rPr>
          <w:rFonts w:ascii="Times New Roman" w:hAnsi="Times New Roman" w:cs="Times New Roman"/>
          <w:sz w:val="21"/>
          <w:szCs w:val="21"/>
        </w:rPr>
        <w:t xml:space="preserve">. </w:t>
      </w:r>
      <w:r w:rsidRPr="00240DEF">
        <w:rPr>
          <w:rFonts w:ascii="Times New Roman" w:hAnsi="Times New Roman" w:cs="Times New Roman"/>
          <w:sz w:val="21"/>
          <w:szCs w:val="21"/>
          <w:lang w:val="en-US"/>
        </w:rPr>
        <w:t>Chronicles</w:t>
      </w:r>
      <w:r w:rsidRPr="00240DEF">
        <w:rPr>
          <w:rFonts w:ascii="Times New Roman" w:hAnsi="Times New Roman" w:cs="Times New Roman"/>
          <w:sz w:val="21"/>
          <w:szCs w:val="21"/>
        </w:rPr>
        <w:t xml:space="preserve"> </w:t>
      </w:r>
      <w:r w:rsidRPr="00240DEF">
        <w:rPr>
          <w:rFonts w:ascii="Times New Roman" w:hAnsi="Times New Roman" w:cs="Times New Roman"/>
          <w:sz w:val="21"/>
          <w:szCs w:val="21"/>
          <w:lang w:val="en-US"/>
        </w:rPr>
        <w:t>of</w:t>
      </w:r>
      <w:r w:rsidRPr="00240DEF">
        <w:rPr>
          <w:rFonts w:ascii="Times New Roman" w:hAnsi="Times New Roman" w:cs="Times New Roman"/>
          <w:sz w:val="21"/>
          <w:szCs w:val="21"/>
        </w:rPr>
        <w:t xml:space="preserve"> </w:t>
      </w:r>
      <w:r w:rsidRPr="00240DEF">
        <w:rPr>
          <w:rFonts w:ascii="Times New Roman" w:hAnsi="Times New Roman" w:cs="Times New Roman"/>
          <w:sz w:val="21"/>
          <w:szCs w:val="21"/>
          <w:lang w:val="en-US"/>
        </w:rPr>
        <w:t>England</w:t>
      </w:r>
      <w:r w:rsidRPr="00240DEF">
        <w:rPr>
          <w:rFonts w:ascii="Times New Roman" w:hAnsi="Times New Roman" w:cs="Times New Roman"/>
          <w:sz w:val="21"/>
          <w:szCs w:val="21"/>
        </w:rPr>
        <w:t xml:space="preserve">, </w:t>
      </w:r>
      <w:r w:rsidRPr="00240DEF">
        <w:rPr>
          <w:rFonts w:ascii="Times New Roman" w:hAnsi="Times New Roman" w:cs="Times New Roman"/>
          <w:sz w:val="21"/>
          <w:szCs w:val="21"/>
          <w:lang w:val="en-US"/>
        </w:rPr>
        <w:t>Scotland</w:t>
      </w:r>
      <w:r w:rsidRPr="00240DEF">
        <w:rPr>
          <w:rFonts w:ascii="Times New Roman" w:hAnsi="Times New Roman" w:cs="Times New Roman"/>
          <w:sz w:val="21"/>
          <w:szCs w:val="21"/>
        </w:rPr>
        <w:t xml:space="preserve"> </w:t>
      </w:r>
      <w:r w:rsidRPr="00240DEF">
        <w:rPr>
          <w:rFonts w:ascii="Times New Roman" w:hAnsi="Times New Roman" w:cs="Times New Roman"/>
          <w:sz w:val="21"/>
          <w:szCs w:val="21"/>
          <w:lang w:val="en-US"/>
        </w:rPr>
        <w:t>and</w:t>
      </w:r>
      <w:r w:rsidRPr="00240DEF">
        <w:rPr>
          <w:rFonts w:ascii="Times New Roman" w:hAnsi="Times New Roman" w:cs="Times New Roman"/>
          <w:sz w:val="21"/>
          <w:szCs w:val="21"/>
        </w:rPr>
        <w:t xml:space="preserve"> </w:t>
      </w:r>
      <w:r w:rsidRPr="00240DEF">
        <w:rPr>
          <w:rFonts w:ascii="Times New Roman" w:hAnsi="Times New Roman" w:cs="Times New Roman"/>
          <w:sz w:val="21"/>
          <w:szCs w:val="21"/>
          <w:lang w:val="en-US"/>
        </w:rPr>
        <w:t>Ireland</w:t>
      </w:r>
      <w:r w:rsidRPr="00240DEF">
        <w:rPr>
          <w:rFonts w:ascii="Times New Roman" w:hAnsi="Times New Roman" w:cs="Times New Roman"/>
          <w:sz w:val="21"/>
          <w:szCs w:val="21"/>
        </w:rPr>
        <w:t xml:space="preserve"> / </w:t>
      </w:r>
      <w:r w:rsidRPr="00240DEF">
        <w:rPr>
          <w:rFonts w:ascii="Times New Roman" w:hAnsi="Times New Roman" w:cs="Times New Roman"/>
          <w:sz w:val="21"/>
          <w:szCs w:val="21"/>
          <w:lang w:val="en-US"/>
        </w:rPr>
        <w:t>R</w:t>
      </w:r>
      <w:r w:rsidRPr="00240DEF">
        <w:rPr>
          <w:rFonts w:ascii="Times New Roman" w:hAnsi="Times New Roman" w:cs="Times New Roman"/>
          <w:sz w:val="21"/>
          <w:szCs w:val="21"/>
        </w:rPr>
        <w:t xml:space="preserve">. </w:t>
      </w:r>
      <w:r w:rsidRPr="00240DEF">
        <w:rPr>
          <w:rFonts w:ascii="Times New Roman" w:hAnsi="Times New Roman" w:cs="Times New Roman"/>
          <w:sz w:val="21"/>
          <w:szCs w:val="21"/>
          <w:lang w:val="en-US"/>
        </w:rPr>
        <w:t>Holinshed</w:t>
      </w:r>
      <w:r w:rsidRPr="00240DEF">
        <w:rPr>
          <w:rFonts w:ascii="Times New Roman" w:hAnsi="Times New Roman" w:cs="Times New Roman"/>
          <w:sz w:val="21"/>
          <w:szCs w:val="21"/>
        </w:rPr>
        <w:t xml:space="preserve">. – </w:t>
      </w:r>
      <w:r w:rsidRPr="00240DEF">
        <w:rPr>
          <w:rFonts w:ascii="Times New Roman" w:hAnsi="Times New Roman" w:cs="Times New Roman"/>
          <w:sz w:val="21"/>
          <w:szCs w:val="21"/>
          <w:lang w:val="en-US"/>
        </w:rPr>
        <w:t>Oxford</w:t>
      </w:r>
      <w:r w:rsidRPr="00240DEF">
        <w:rPr>
          <w:rFonts w:ascii="Times New Roman" w:hAnsi="Times New Roman" w:cs="Times New Roman"/>
          <w:sz w:val="21"/>
          <w:szCs w:val="21"/>
        </w:rPr>
        <w:t xml:space="preserve"> : </w:t>
      </w:r>
      <w:r w:rsidRPr="00240DEF">
        <w:rPr>
          <w:rFonts w:ascii="Times New Roman" w:hAnsi="Times New Roman" w:cs="Times New Roman"/>
          <w:sz w:val="21"/>
          <w:szCs w:val="21"/>
          <w:lang w:val="en-US"/>
        </w:rPr>
        <w:t>Oxford</w:t>
      </w:r>
      <w:r w:rsidRPr="00240DEF">
        <w:rPr>
          <w:rFonts w:ascii="Times New Roman" w:hAnsi="Times New Roman" w:cs="Times New Roman"/>
          <w:sz w:val="21"/>
          <w:szCs w:val="21"/>
        </w:rPr>
        <w:t xml:space="preserve"> </w:t>
      </w:r>
      <w:r w:rsidRPr="00240DEF">
        <w:rPr>
          <w:rFonts w:ascii="Times New Roman" w:hAnsi="Times New Roman" w:cs="Times New Roman"/>
          <w:sz w:val="21"/>
          <w:szCs w:val="21"/>
          <w:lang w:val="en-US"/>
        </w:rPr>
        <w:t>University</w:t>
      </w:r>
      <w:r w:rsidRPr="00240DEF">
        <w:rPr>
          <w:rFonts w:ascii="Times New Roman" w:hAnsi="Times New Roman" w:cs="Times New Roman"/>
          <w:sz w:val="21"/>
          <w:szCs w:val="21"/>
        </w:rPr>
        <w:t xml:space="preserve"> </w:t>
      </w:r>
      <w:r w:rsidRPr="00240DEF">
        <w:rPr>
          <w:rFonts w:ascii="Times New Roman" w:hAnsi="Times New Roman" w:cs="Times New Roman"/>
          <w:sz w:val="21"/>
          <w:szCs w:val="21"/>
          <w:lang w:val="en-US"/>
        </w:rPr>
        <w:t>Press</w:t>
      </w:r>
      <w:r w:rsidRPr="00240DEF">
        <w:rPr>
          <w:rFonts w:ascii="Times New Roman" w:hAnsi="Times New Roman" w:cs="Times New Roman"/>
          <w:sz w:val="21"/>
          <w:szCs w:val="21"/>
        </w:rPr>
        <w:t xml:space="preserve">, 2012. – 316 </w:t>
      </w:r>
      <w:r w:rsidRPr="00240DEF">
        <w:rPr>
          <w:rFonts w:ascii="Times New Roman" w:hAnsi="Times New Roman" w:cs="Times New Roman"/>
          <w:sz w:val="21"/>
          <w:szCs w:val="21"/>
          <w:lang w:val="en-US"/>
        </w:rPr>
        <w:t>p</w:t>
      </w:r>
      <w:r w:rsidRPr="00240DEF">
        <w:rPr>
          <w:rFonts w:ascii="Times New Roman" w:hAnsi="Times New Roman" w:cs="Times New Roman"/>
          <w:sz w:val="21"/>
          <w:szCs w:val="21"/>
        </w:rPr>
        <w:t>.</w:t>
      </w:r>
      <w:bookmarkEnd w:id="126"/>
      <w:r w:rsidRPr="00240DEF">
        <w:rPr>
          <w:rFonts w:ascii="Times New Roman" w:hAnsi="Times New Roman" w:cs="Times New Roman"/>
          <w:sz w:val="21"/>
          <w:szCs w:val="21"/>
        </w:rPr>
        <w:t xml:space="preserve"> </w:t>
      </w:r>
    </w:p>
    <w:p w:rsidR="00B233DE" w:rsidRPr="00F25C50" w:rsidRDefault="00B233DE" w:rsidP="00B233DE">
      <w:pPr>
        <w:pStyle w:val="ad"/>
        <w:numPr>
          <w:ilvl w:val="0"/>
          <w:numId w:val="10"/>
        </w:numPr>
        <w:tabs>
          <w:tab w:val="left" w:pos="993"/>
        </w:tabs>
        <w:ind w:left="0" w:firstLine="709"/>
        <w:jc w:val="both"/>
        <w:rPr>
          <w:rStyle w:val="w"/>
          <w:rFonts w:ascii="Times New Roman" w:eastAsia="Times New Roman" w:hAnsi="Times New Roman" w:cs="Times New Roman"/>
          <w:color w:val="252525"/>
          <w:sz w:val="21"/>
          <w:szCs w:val="21"/>
          <w:lang w:eastAsia="uk-UA"/>
        </w:rPr>
      </w:pPr>
      <w:bookmarkStart w:id="127" w:name="_Ref433791796"/>
      <w:r>
        <w:rPr>
          <w:rFonts w:ascii="Times New Roman" w:hAnsi="Times New Roman" w:cs="Times New Roman"/>
          <w:sz w:val="21"/>
          <w:szCs w:val="21"/>
        </w:rPr>
        <w:t xml:space="preserve">Landry A. La Révolution démographique / А. </w:t>
      </w:r>
      <w:r w:rsidRPr="00F25C50">
        <w:rPr>
          <w:rFonts w:ascii="Times New Roman" w:hAnsi="Times New Roman" w:cs="Times New Roman"/>
          <w:sz w:val="21"/>
          <w:szCs w:val="21"/>
        </w:rPr>
        <w:t>Landry</w:t>
      </w:r>
      <w:r>
        <w:rPr>
          <w:rFonts w:ascii="Times New Roman" w:hAnsi="Times New Roman" w:cs="Times New Roman"/>
          <w:sz w:val="21"/>
          <w:szCs w:val="21"/>
        </w:rPr>
        <w:t>. –</w:t>
      </w:r>
      <w:r w:rsidRPr="00F25C50">
        <w:rPr>
          <w:rFonts w:ascii="Times New Roman" w:hAnsi="Times New Roman" w:cs="Times New Roman"/>
          <w:sz w:val="21"/>
          <w:szCs w:val="21"/>
        </w:rPr>
        <w:t xml:space="preserve"> P</w:t>
      </w:r>
      <w:r>
        <w:rPr>
          <w:rFonts w:ascii="Times New Roman" w:hAnsi="Times New Roman" w:cs="Times New Roman"/>
          <w:sz w:val="21"/>
          <w:szCs w:val="21"/>
        </w:rPr>
        <w:t xml:space="preserve">aris : </w:t>
      </w:r>
      <w:r>
        <w:rPr>
          <w:rFonts w:ascii="Times New Roman" w:hAnsi="Times New Roman" w:cs="Times New Roman"/>
          <w:sz w:val="21"/>
          <w:szCs w:val="21"/>
          <w:lang w:val="en-US"/>
        </w:rPr>
        <w:t>Sirey, 1982. – 118 p.</w:t>
      </w:r>
      <w:bookmarkEnd w:id="127"/>
    </w:p>
    <w:p w:rsidR="00B233DE" w:rsidRPr="006B5E15" w:rsidRDefault="00B233DE" w:rsidP="00B233DE">
      <w:pPr>
        <w:pStyle w:val="ad"/>
        <w:numPr>
          <w:ilvl w:val="0"/>
          <w:numId w:val="10"/>
        </w:numPr>
        <w:tabs>
          <w:tab w:val="left" w:pos="993"/>
        </w:tabs>
        <w:ind w:left="0" w:firstLine="709"/>
        <w:jc w:val="both"/>
        <w:rPr>
          <w:rFonts w:ascii="Times New Roman" w:eastAsia="Times New Roman" w:hAnsi="Times New Roman" w:cs="Times New Roman"/>
          <w:color w:val="252525"/>
          <w:sz w:val="21"/>
          <w:szCs w:val="21"/>
          <w:lang w:eastAsia="uk-UA"/>
        </w:rPr>
      </w:pPr>
      <w:bookmarkStart w:id="128" w:name="_Ref433791747"/>
      <w:r w:rsidRPr="00D9605B">
        <w:rPr>
          <w:rStyle w:val="w"/>
          <w:rFonts w:ascii="Times New Roman" w:hAnsi="Times New Roman" w:cs="Times New Roman"/>
          <w:color w:val="000000"/>
          <w:sz w:val="21"/>
          <w:szCs w:val="21"/>
          <w:shd w:val="clear" w:color="auto" w:fill="FFFFFF"/>
        </w:rPr>
        <w:t>Liebmann</w:t>
      </w:r>
      <w:r>
        <w:rPr>
          <w:rStyle w:val="apple-converted-space"/>
          <w:rFonts w:ascii="Times New Roman" w:hAnsi="Times New Roman" w:cs="Times New Roman"/>
          <w:color w:val="000000"/>
          <w:sz w:val="21"/>
          <w:szCs w:val="21"/>
          <w:shd w:val="clear" w:color="auto" w:fill="FFFFFF"/>
        </w:rPr>
        <w:t xml:space="preserve"> </w:t>
      </w:r>
      <w:r>
        <w:rPr>
          <w:rStyle w:val="w"/>
          <w:rFonts w:ascii="Times New Roman" w:hAnsi="Times New Roman" w:cs="Times New Roman"/>
          <w:color w:val="000000"/>
          <w:sz w:val="21"/>
          <w:szCs w:val="21"/>
          <w:shd w:val="clear" w:color="auto" w:fill="FFFFFF"/>
        </w:rPr>
        <w:t>H.</w:t>
      </w:r>
      <w:r w:rsidRPr="006B5E15">
        <w:rPr>
          <w:rFonts w:ascii="Times New Roman" w:eastAsia="Arial Unicode MS" w:hAnsi="Times New Roman" w:cs="Times New Roman"/>
          <w:color w:val="000000"/>
          <w:sz w:val="21"/>
          <w:szCs w:val="21"/>
          <w:shd w:val="clear" w:color="auto" w:fill="FFFFFF"/>
        </w:rPr>
        <w:t xml:space="preserve"> La population de la Palestine et les perspectives du sionisme</w:t>
      </w:r>
      <w:r w:rsidRPr="006B5E15">
        <w:rPr>
          <w:rFonts w:ascii="Times New Roman" w:hAnsi="Times New Roman" w:cs="Times New Roman"/>
          <w:color w:val="000000"/>
          <w:sz w:val="21"/>
          <w:szCs w:val="21"/>
          <w:shd w:val="clear" w:color="auto" w:fill="FFFFFF"/>
        </w:rPr>
        <w:t xml:space="preserve"> </w:t>
      </w:r>
      <w:r>
        <w:rPr>
          <w:rFonts w:ascii="Times New Roman" w:hAnsi="Times New Roman" w:cs="Times New Roman"/>
          <w:color w:val="000000"/>
          <w:sz w:val="21"/>
          <w:szCs w:val="21"/>
          <w:shd w:val="clear" w:color="auto" w:fill="FFFFFF"/>
        </w:rPr>
        <w:t xml:space="preserve">/ </w:t>
      </w:r>
      <w:r>
        <w:rPr>
          <w:rStyle w:val="w"/>
          <w:rFonts w:ascii="Times New Roman" w:hAnsi="Times New Roman" w:cs="Times New Roman"/>
          <w:color w:val="000000"/>
          <w:sz w:val="21"/>
          <w:szCs w:val="21"/>
          <w:shd w:val="clear" w:color="auto" w:fill="FFFFFF"/>
        </w:rPr>
        <w:t xml:space="preserve">H. </w:t>
      </w:r>
      <w:r w:rsidRPr="00D9605B">
        <w:rPr>
          <w:rStyle w:val="w"/>
          <w:rFonts w:ascii="Times New Roman" w:hAnsi="Times New Roman" w:cs="Times New Roman"/>
          <w:color w:val="000000"/>
          <w:sz w:val="21"/>
          <w:szCs w:val="21"/>
          <w:shd w:val="clear" w:color="auto" w:fill="FFFFFF"/>
        </w:rPr>
        <w:t>Liebmann</w:t>
      </w:r>
      <w:r>
        <w:rPr>
          <w:rStyle w:val="apple-converted-space"/>
          <w:rFonts w:ascii="Times New Roman" w:hAnsi="Times New Roman" w:cs="Times New Roman"/>
          <w:color w:val="000000"/>
          <w:sz w:val="21"/>
          <w:szCs w:val="21"/>
          <w:shd w:val="clear" w:color="auto" w:fill="FFFFFF"/>
        </w:rPr>
        <w:t xml:space="preserve"> </w:t>
      </w:r>
      <w:r>
        <w:rPr>
          <w:rStyle w:val="w"/>
          <w:rFonts w:ascii="Times New Roman" w:hAnsi="Times New Roman" w:cs="Times New Roman"/>
          <w:color w:val="000000"/>
          <w:sz w:val="21"/>
          <w:szCs w:val="21"/>
          <w:shd w:val="clear" w:color="auto" w:fill="FFFFFF"/>
        </w:rPr>
        <w:t xml:space="preserve">// </w:t>
      </w:r>
      <w:r w:rsidRPr="006B5E15">
        <w:rPr>
          <w:rFonts w:ascii="Times New Roman" w:hAnsi="Times New Roman" w:cs="Times New Roman"/>
          <w:sz w:val="21"/>
          <w:szCs w:val="21"/>
        </w:rPr>
        <w:t>Metron</w:t>
      </w:r>
      <w:r>
        <w:rPr>
          <w:rFonts w:ascii="Times New Roman" w:hAnsi="Times New Roman" w:cs="Times New Roman"/>
          <w:sz w:val="21"/>
          <w:szCs w:val="21"/>
        </w:rPr>
        <w:t>. – 1928. – № 7. –</w:t>
      </w:r>
      <w:r w:rsidRPr="006B5E15">
        <w:rPr>
          <w:rFonts w:ascii="Times New Roman" w:hAnsi="Times New Roman" w:cs="Times New Roman"/>
          <w:sz w:val="21"/>
          <w:szCs w:val="21"/>
        </w:rPr>
        <w:t xml:space="preserve"> </w:t>
      </w:r>
      <w:r>
        <w:rPr>
          <w:rFonts w:ascii="Times New Roman" w:hAnsi="Times New Roman" w:cs="Times New Roman"/>
          <w:sz w:val="21"/>
          <w:szCs w:val="21"/>
        </w:rPr>
        <w:t>Р</w:t>
      </w:r>
      <w:r w:rsidRPr="006B5E15">
        <w:rPr>
          <w:rFonts w:ascii="Times New Roman" w:hAnsi="Times New Roman" w:cs="Times New Roman"/>
          <w:sz w:val="21"/>
          <w:szCs w:val="21"/>
        </w:rPr>
        <w:t>. 115</w:t>
      </w:r>
      <w:r>
        <w:rPr>
          <w:rFonts w:ascii="Times New Roman" w:hAnsi="Times New Roman" w:cs="Times New Roman"/>
          <w:sz w:val="21"/>
          <w:szCs w:val="21"/>
        </w:rPr>
        <w:t>–136.</w:t>
      </w:r>
      <w:bookmarkEnd w:id="128"/>
    </w:p>
    <w:p w:rsidR="00B233DE" w:rsidRPr="00240DEF" w:rsidRDefault="00B233DE" w:rsidP="00B233DE">
      <w:pPr>
        <w:pStyle w:val="ad"/>
        <w:numPr>
          <w:ilvl w:val="0"/>
          <w:numId w:val="10"/>
        </w:numPr>
        <w:tabs>
          <w:tab w:val="left" w:pos="993"/>
        </w:tabs>
        <w:ind w:left="0" w:firstLine="709"/>
        <w:jc w:val="both"/>
        <w:rPr>
          <w:rFonts w:ascii="Times New Roman" w:eastAsia="Times New Roman" w:hAnsi="Times New Roman" w:cs="Times New Roman"/>
          <w:color w:val="252525"/>
          <w:sz w:val="21"/>
          <w:szCs w:val="21"/>
          <w:lang w:eastAsia="uk-UA"/>
        </w:rPr>
      </w:pPr>
      <w:bookmarkStart w:id="129" w:name="_Ref433791595"/>
      <w:r w:rsidRPr="00240DEF">
        <w:rPr>
          <w:rFonts w:ascii="Times New Roman" w:hAnsi="Times New Roman" w:cs="Times New Roman"/>
          <w:sz w:val="21"/>
          <w:szCs w:val="21"/>
        </w:rPr>
        <w:t>Mun T. England’s treasure by foreign trade or The balance of our foreign trade is the rule of our treasure. Ch. 2, 3, 4, 7, 8, 10, 15</w:t>
      </w:r>
      <w:bookmarkEnd w:id="129"/>
    </w:p>
    <w:p w:rsidR="00B233DE" w:rsidRPr="00240DEF" w:rsidRDefault="00B233DE" w:rsidP="00B233DE">
      <w:pPr>
        <w:pStyle w:val="ad"/>
        <w:numPr>
          <w:ilvl w:val="0"/>
          <w:numId w:val="10"/>
        </w:numPr>
        <w:tabs>
          <w:tab w:val="left" w:pos="993"/>
        </w:tabs>
        <w:ind w:left="0" w:firstLine="709"/>
        <w:jc w:val="both"/>
        <w:rPr>
          <w:rFonts w:ascii="Times New Roman" w:hAnsi="Times New Roman" w:cs="Times New Roman"/>
          <w:sz w:val="21"/>
          <w:szCs w:val="21"/>
          <w:lang w:val="en-US"/>
        </w:rPr>
      </w:pPr>
      <w:bookmarkStart w:id="130" w:name="_Ref433791541"/>
      <w:r w:rsidRPr="00240DEF">
        <w:rPr>
          <w:rFonts w:ascii="Times New Roman" w:eastAsia="Times New Roman" w:hAnsi="Times New Roman" w:cs="Times New Roman"/>
          <w:color w:val="252525"/>
          <w:sz w:val="21"/>
          <w:szCs w:val="21"/>
          <w:lang w:eastAsia="uk-UA"/>
        </w:rPr>
        <w:t>Neugebauer, Wolfgang: Johann Peter Süßmilch, Geistliches Amt und Wissenschaft im friderizianischen Berlin, in: Berlin in Geschichte und Gegenwart, Jahrbuch des Landesarchivs Berlin, hrsg. von Hans J. Reichhardt, Berlin 1985</w:t>
      </w:r>
      <w:bookmarkEnd w:id="130"/>
      <w:r w:rsidRPr="00240DEF">
        <w:rPr>
          <w:rFonts w:ascii="Times New Roman" w:hAnsi="Times New Roman" w:cs="Times New Roman"/>
          <w:sz w:val="21"/>
          <w:szCs w:val="21"/>
        </w:rPr>
        <w:t xml:space="preserve"> </w:t>
      </w:r>
    </w:p>
    <w:p w:rsidR="00B233DE" w:rsidRPr="00240DEF" w:rsidRDefault="00B233DE" w:rsidP="00B233DE">
      <w:pPr>
        <w:pStyle w:val="ad"/>
        <w:numPr>
          <w:ilvl w:val="0"/>
          <w:numId w:val="10"/>
        </w:numPr>
        <w:tabs>
          <w:tab w:val="left" w:pos="993"/>
        </w:tabs>
        <w:ind w:left="0" w:firstLine="709"/>
        <w:jc w:val="both"/>
        <w:rPr>
          <w:rFonts w:ascii="Times New Roman" w:hAnsi="Times New Roman" w:cs="Times New Roman"/>
          <w:sz w:val="21"/>
          <w:szCs w:val="21"/>
        </w:rPr>
      </w:pPr>
      <w:bookmarkStart w:id="131" w:name="_Ref433791608"/>
      <w:r w:rsidRPr="00240DEF">
        <w:rPr>
          <w:rFonts w:ascii="Times New Roman" w:hAnsi="Times New Roman" w:cs="Times New Roman"/>
          <w:sz w:val="21"/>
          <w:szCs w:val="21"/>
          <w:lang w:val="en-US"/>
        </w:rPr>
        <w:t>Petty</w:t>
      </w:r>
      <w:r w:rsidRPr="00240DEF">
        <w:rPr>
          <w:rFonts w:ascii="Times New Roman" w:hAnsi="Times New Roman" w:cs="Times New Roman"/>
          <w:sz w:val="21"/>
          <w:szCs w:val="21"/>
        </w:rPr>
        <w:t xml:space="preserve"> </w:t>
      </w:r>
      <w:r w:rsidRPr="00240DEF">
        <w:rPr>
          <w:rFonts w:ascii="Times New Roman" w:hAnsi="Times New Roman" w:cs="Times New Roman"/>
          <w:sz w:val="21"/>
          <w:szCs w:val="21"/>
          <w:lang w:val="en-US"/>
        </w:rPr>
        <w:t>W</w:t>
      </w:r>
      <w:r w:rsidRPr="00240DEF">
        <w:rPr>
          <w:rFonts w:ascii="Times New Roman" w:hAnsi="Times New Roman" w:cs="Times New Roman"/>
          <w:sz w:val="21"/>
          <w:szCs w:val="21"/>
        </w:rPr>
        <w:t xml:space="preserve">. </w:t>
      </w:r>
      <w:r w:rsidRPr="00240DEF">
        <w:rPr>
          <w:rFonts w:ascii="Times New Roman" w:hAnsi="Times New Roman" w:cs="Times New Roman"/>
          <w:sz w:val="21"/>
          <w:szCs w:val="21"/>
          <w:lang w:val="en-US"/>
        </w:rPr>
        <w:t>The</w:t>
      </w:r>
      <w:r w:rsidRPr="00240DEF">
        <w:rPr>
          <w:rFonts w:ascii="Times New Roman" w:hAnsi="Times New Roman" w:cs="Times New Roman"/>
          <w:sz w:val="21"/>
          <w:szCs w:val="21"/>
        </w:rPr>
        <w:t xml:space="preserve"> </w:t>
      </w:r>
      <w:r w:rsidRPr="00240DEF">
        <w:rPr>
          <w:rFonts w:ascii="Times New Roman" w:hAnsi="Times New Roman" w:cs="Times New Roman"/>
          <w:sz w:val="21"/>
          <w:szCs w:val="21"/>
          <w:lang w:val="en-US"/>
        </w:rPr>
        <w:t>political</w:t>
      </w:r>
      <w:r w:rsidRPr="00240DEF">
        <w:rPr>
          <w:rFonts w:ascii="Times New Roman" w:hAnsi="Times New Roman" w:cs="Times New Roman"/>
          <w:sz w:val="21"/>
          <w:szCs w:val="21"/>
        </w:rPr>
        <w:t xml:space="preserve"> </w:t>
      </w:r>
      <w:r w:rsidRPr="00240DEF">
        <w:rPr>
          <w:rFonts w:ascii="Times New Roman" w:hAnsi="Times New Roman" w:cs="Times New Roman"/>
          <w:sz w:val="21"/>
          <w:szCs w:val="21"/>
          <w:lang w:val="en-US"/>
        </w:rPr>
        <w:t>anatomy</w:t>
      </w:r>
      <w:r w:rsidRPr="00240DEF">
        <w:rPr>
          <w:rFonts w:ascii="Times New Roman" w:hAnsi="Times New Roman" w:cs="Times New Roman"/>
          <w:sz w:val="21"/>
          <w:szCs w:val="21"/>
        </w:rPr>
        <w:t xml:space="preserve"> </w:t>
      </w:r>
      <w:r w:rsidRPr="00240DEF">
        <w:rPr>
          <w:rFonts w:ascii="Times New Roman" w:hAnsi="Times New Roman" w:cs="Times New Roman"/>
          <w:sz w:val="21"/>
          <w:szCs w:val="21"/>
          <w:lang w:val="en-US"/>
        </w:rPr>
        <w:t>of</w:t>
      </w:r>
      <w:r w:rsidRPr="00240DEF">
        <w:rPr>
          <w:rFonts w:ascii="Times New Roman" w:hAnsi="Times New Roman" w:cs="Times New Roman"/>
          <w:sz w:val="21"/>
          <w:szCs w:val="21"/>
        </w:rPr>
        <w:t xml:space="preserve"> </w:t>
      </w:r>
      <w:r w:rsidRPr="00240DEF">
        <w:rPr>
          <w:rFonts w:ascii="Times New Roman" w:hAnsi="Times New Roman" w:cs="Times New Roman"/>
          <w:sz w:val="21"/>
          <w:szCs w:val="21"/>
          <w:lang w:val="en-US"/>
        </w:rPr>
        <w:t>Ireland</w:t>
      </w:r>
      <w:r>
        <w:rPr>
          <w:rFonts w:ascii="Times New Roman" w:hAnsi="Times New Roman" w:cs="Times New Roman"/>
          <w:sz w:val="21"/>
          <w:szCs w:val="21"/>
        </w:rPr>
        <w:t xml:space="preserve"> / </w:t>
      </w:r>
      <w:r>
        <w:rPr>
          <w:rFonts w:ascii="Times New Roman" w:hAnsi="Times New Roman" w:cs="Times New Roman"/>
          <w:sz w:val="21"/>
          <w:szCs w:val="21"/>
          <w:lang w:val="en-US"/>
        </w:rPr>
        <w:t>W. Petty.</w:t>
      </w:r>
      <w:r w:rsidRPr="00240DEF">
        <w:rPr>
          <w:rFonts w:ascii="Times New Roman" w:hAnsi="Times New Roman" w:cs="Times New Roman"/>
          <w:sz w:val="21"/>
          <w:szCs w:val="21"/>
        </w:rPr>
        <w:t xml:space="preserve"> – </w:t>
      </w:r>
      <w:r w:rsidRPr="00240DEF">
        <w:rPr>
          <w:rFonts w:ascii="Times New Roman" w:hAnsi="Times New Roman" w:cs="Times New Roman"/>
          <w:sz w:val="21"/>
          <w:szCs w:val="21"/>
          <w:lang w:val="en-US"/>
        </w:rPr>
        <w:t>London</w:t>
      </w:r>
      <w:r w:rsidRPr="00240DEF">
        <w:rPr>
          <w:rFonts w:ascii="Times New Roman" w:hAnsi="Times New Roman" w:cs="Times New Roman"/>
          <w:sz w:val="21"/>
          <w:szCs w:val="21"/>
        </w:rPr>
        <w:t xml:space="preserve"> : </w:t>
      </w:r>
      <w:r w:rsidRPr="00240DEF">
        <w:rPr>
          <w:rFonts w:ascii="Times New Roman" w:hAnsi="Times New Roman" w:cs="Times New Roman"/>
          <w:sz w:val="21"/>
          <w:szCs w:val="21"/>
          <w:lang w:val="en-US"/>
        </w:rPr>
        <w:t>D</w:t>
      </w:r>
      <w:r w:rsidRPr="00240DEF">
        <w:rPr>
          <w:rFonts w:ascii="Times New Roman" w:hAnsi="Times New Roman" w:cs="Times New Roman"/>
          <w:sz w:val="21"/>
          <w:szCs w:val="21"/>
        </w:rPr>
        <w:t xml:space="preserve">. </w:t>
      </w:r>
      <w:r w:rsidRPr="00240DEF">
        <w:rPr>
          <w:rFonts w:ascii="Times New Roman" w:hAnsi="Times New Roman" w:cs="Times New Roman"/>
          <w:sz w:val="21"/>
          <w:szCs w:val="21"/>
          <w:lang w:val="en-US"/>
        </w:rPr>
        <w:t>Brown</w:t>
      </w:r>
      <w:r w:rsidRPr="00240DEF">
        <w:rPr>
          <w:rFonts w:ascii="Times New Roman" w:hAnsi="Times New Roman" w:cs="Times New Roman"/>
          <w:sz w:val="21"/>
          <w:szCs w:val="21"/>
        </w:rPr>
        <w:t xml:space="preserve"> </w:t>
      </w:r>
      <w:r w:rsidRPr="00240DEF">
        <w:rPr>
          <w:rFonts w:ascii="Times New Roman" w:hAnsi="Times New Roman" w:cs="Times New Roman"/>
          <w:sz w:val="21"/>
          <w:szCs w:val="21"/>
          <w:lang w:val="en-US"/>
        </w:rPr>
        <w:t>and</w:t>
      </w:r>
      <w:r w:rsidRPr="00240DEF">
        <w:rPr>
          <w:rFonts w:ascii="Times New Roman" w:hAnsi="Times New Roman" w:cs="Times New Roman"/>
          <w:sz w:val="21"/>
          <w:szCs w:val="21"/>
        </w:rPr>
        <w:t xml:space="preserve"> </w:t>
      </w:r>
      <w:r w:rsidRPr="00240DEF">
        <w:rPr>
          <w:rFonts w:ascii="Times New Roman" w:hAnsi="Times New Roman" w:cs="Times New Roman"/>
          <w:sz w:val="21"/>
          <w:szCs w:val="21"/>
          <w:lang w:val="en-US"/>
        </w:rPr>
        <w:t>D</w:t>
      </w:r>
      <w:r w:rsidRPr="00240DEF">
        <w:rPr>
          <w:rFonts w:ascii="Times New Roman" w:hAnsi="Times New Roman" w:cs="Times New Roman"/>
          <w:sz w:val="21"/>
          <w:szCs w:val="21"/>
        </w:rPr>
        <w:t xml:space="preserve">. </w:t>
      </w:r>
      <w:r w:rsidRPr="00240DEF">
        <w:rPr>
          <w:rFonts w:ascii="Times New Roman" w:hAnsi="Times New Roman" w:cs="Times New Roman"/>
          <w:sz w:val="21"/>
          <w:szCs w:val="21"/>
          <w:lang w:val="en-US"/>
        </w:rPr>
        <w:t>Rogers</w:t>
      </w:r>
      <w:r w:rsidRPr="00240DEF">
        <w:rPr>
          <w:rFonts w:ascii="Times New Roman" w:hAnsi="Times New Roman" w:cs="Times New Roman"/>
          <w:sz w:val="21"/>
          <w:szCs w:val="21"/>
        </w:rPr>
        <w:t xml:space="preserve">, 1691. – 203 </w:t>
      </w:r>
      <w:r w:rsidRPr="00240DEF">
        <w:rPr>
          <w:rFonts w:ascii="Times New Roman" w:hAnsi="Times New Roman" w:cs="Times New Roman"/>
          <w:sz w:val="21"/>
          <w:szCs w:val="21"/>
          <w:lang w:val="en-US"/>
        </w:rPr>
        <w:t>p</w:t>
      </w:r>
      <w:r w:rsidRPr="00240DEF">
        <w:rPr>
          <w:rFonts w:ascii="Times New Roman" w:hAnsi="Times New Roman" w:cs="Times New Roman"/>
          <w:sz w:val="21"/>
          <w:szCs w:val="21"/>
        </w:rPr>
        <w:t>.</w:t>
      </w:r>
      <w:bookmarkEnd w:id="131"/>
    </w:p>
    <w:p w:rsidR="00B233DE" w:rsidRDefault="00B233DE" w:rsidP="00B233DE">
      <w:pPr>
        <w:pStyle w:val="ad"/>
        <w:numPr>
          <w:ilvl w:val="0"/>
          <w:numId w:val="10"/>
        </w:numPr>
        <w:tabs>
          <w:tab w:val="left" w:pos="993"/>
        </w:tabs>
        <w:ind w:left="0" w:firstLine="709"/>
        <w:jc w:val="both"/>
        <w:rPr>
          <w:rFonts w:ascii="Times New Roman" w:hAnsi="Times New Roman" w:cs="Times New Roman"/>
          <w:sz w:val="21"/>
          <w:szCs w:val="21"/>
          <w:lang w:val="en-US"/>
        </w:rPr>
      </w:pPr>
      <w:bookmarkStart w:id="132" w:name="_Ref433791583"/>
      <w:r w:rsidRPr="00240DEF">
        <w:rPr>
          <w:rFonts w:ascii="Times New Roman" w:hAnsi="Times New Roman" w:cs="Times New Roman"/>
          <w:sz w:val="21"/>
          <w:szCs w:val="21"/>
        </w:rPr>
        <w:t>Raynal</w:t>
      </w:r>
      <w:r>
        <w:rPr>
          <w:rFonts w:ascii="Times New Roman" w:hAnsi="Times New Roman" w:cs="Times New Roman"/>
          <w:sz w:val="21"/>
          <w:szCs w:val="21"/>
        </w:rPr>
        <w:t xml:space="preserve"> G. Т. Revolution de 1'Amerique</w:t>
      </w:r>
      <w:r>
        <w:rPr>
          <w:rFonts w:ascii="Times New Roman" w:hAnsi="Times New Roman" w:cs="Times New Roman"/>
          <w:sz w:val="21"/>
          <w:szCs w:val="21"/>
          <w:lang w:val="en-US"/>
        </w:rPr>
        <w:t xml:space="preserve"> / G. Raynal.</w:t>
      </w:r>
      <w:r w:rsidRPr="00240DEF">
        <w:rPr>
          <w:rFonts w:ascii="Times New Roman" w:hAnsi="Times New Roman" w:cs="Times New Roman"/>
          <w:sz w:val="21"/>
          <w:szCs w:val="21"/>
        </w:rPr>
        <w:t xml:space="preserve"> – L. : La Haye, 1781.</w:t>
      </w:r>
      <w:r>
        <w:rPr>
          <w:rFonts w:ascii="Times New Roman" w:hAnsi="Times New Roman" w:cs="Times New Roman"/>
          <w:sz w:val="21"/>
          <w:szCs w:val="21"/>
          <w:lang w:val="en-US"/>
        </w:rPr>
        <w:t xml:space="preserve"> – 212 p.</w:t>
      </w:r>
      <w:bookmarkEnd w:id="132"/>
    </w:p>
    <w:p w:rsidR="00B233DE" w:rsidRPr="006B5E15" w:rsidRDefault="00B233DE" w:rsidP="00B233DE">
      <w:pPr>
        <w:pStyle w:val="ad"/>
        <w:numPr>
          <w:ilvl w:val="0"/>
          <w:numId w:val="10"/>
        </w:numPr>
        <w:tabs>
          <w:tab w:val="left" w:pos="993"/>
        </w:tabs>
        <w:ind w:left="0" w:firstLine="709"/>
        <w:jc w:val="both"/>
        <w:rPr>
          <w:rFonts w:ascii="Times New Roman" w:hAnsi="Times New Roman" w:cs="Times New Roman"/>
          <w:sz w:val="21"/>
          <w:szCs w:val="21"/>
          <w:lang w:val="en-US"/>
        </w:rPr>
      </w:pPr>
      <w:bookmarkStart w:id="133" w:name="_Ref433791602"/>
      <w:r w:rsidRPr="006B5E15">
        <w:rPr>
          <w:rFonts w:ascii="Times New Roman" w:hAnsi="Times New Roman" w:cs="Times New Roman"/>
          <w:sz w:val="21"/>
          <w:szCs w:val="21"/>
        </w:rPr>
        <w:t xml:space="preserve">Serra A. A Neglected Herald of the Acquisitive System Theodore A. Sumberg </w:t>
      </w:r>
      <w:r w:rsidRPr="006B5E15">
        <w:rPr>
          <w:rFonts w:ascii="Times New Roman" w:hAnsi="Times New Roman" w:cs="Times New Roman"/>
          <w:sz w:val="21"/>
          <w:szCs w:val="21"/>
          <w:lang w:val="en-US"/>
        </w:rPr>
        <w:t xml:space="preserve">/ A. Serra // </w:t>
      </w:r>
      <w:r w:rsidRPr="006B5E15">
        <w:rPr>
          <w:rFonts w:ascii="Times New Roman" w:hAnsi="Times New Roman" w:cs="Times New Roman"/>
          <w:sz w:val="21"/>
          <w:szCs w:val="21"/>
        </w:rPr>
        <w:t>American Journal of Economics and Sociology</w:t>
      </w:r>
      <w:r w:rsidRPr="006B5E15">
        <w:rPr>
          <w:rFonts w:ascii="Times New Roman" w:hAnsi="Times New Roman" w:cs="Times New Roman"/>
          <w:sz w:val="21"/>
          <w:szCs w:val="21"/>
          <w:lang w:val="en-US"/>
        </w:rPr>
        <w:t xml:space="preserve">. – 1991. </w:t>
      </w:r>
      <w:r>
        <w:rPr>
          <w:rFonts w:ascii="Times New Roman" w:hAnsi="Times New Roman" w:cs="Times New Roman"/>
          <w:sz w:val="21"/>
          <w:szCs w:val="21"/>
          <w:lang w:val="en-US"/>
        </w:rPr>
        <w:t>–</w:t>
      </w:r>
      <w:r w:rsidRPr="006B5E15">
        <w:t xml:space="preserve"> </w:t>
      </w:r>
      <w:r w:rsidRPr="006B5E15">
        <w:rPr>
          <w:rFonts w:ascii="Times New Roman" w:hAnsi="Times New Roman" w:cs="Times New Roman"/>
          <w:sz w:val="21"/>
          <w:szCs w:val="21"/>
          <w:lang w:val="en-US"/>
        </w:rPr>
        <w:t>V</w:t>
      </w:r>
      <w:r>
        <w:rPr>
          <w:rFonts w:ascii="Times New Roman" w:hAnsi="Times New Roman" w:cs="Times New Roman"/>
          <w:sz w:val="21"/>
          <w:szCs w:val="21"/>
          <w:lang w:val="en-US"/>
        </w:rPr>
        <w:t xml:space="preserve">olume 50. – </w:t>
      </w:r>
      <w:r w:rsidRPr="006B5E15">
        <w:rPr>
          <w:rFonts w:ascii="Times New Roman" w:hAnsi="Times New Roman" w:cs="Times New Roman"/>
          <w:sz w:val="21"/>
          <w:szCs w:val="21"/>
          <w:lang w:val="en-US"/>
        </w:rPr>
        <w:t>Issue 3</w:t>
      </w:r>
      <w:r>
        <w:rPr>
          <w:rFonts w:ascii="Times New Roman" w:hAnsi="Times New Roman" w:cs="Times New Roman"/>
          <w:sz w:val="21"/>
          <w:szCs w:val="21"/>
          <w:lang w:val="en-US"/>
        </w:rPr>
        <w:t>. – P.</w:t>
      </w:r>
      <w:r>
        <w:rPr>
          <w:rFonts w:ascii="Times New Roman" w:hAnsi="Times New Roman" w:cs="Times New Roman"/>
          <w:sz w:val="21"/>
          <w:szCs w:val="21"/>
        </w:rPr>
        <w:t xml:space="preserve"> 365–373</w:t>
      </w:r>
      <w:r>
        <w:rPr>
          <w:rFonts w:ascii="Times New Roman" w:hAnsi="Times New Roman" w:cs="Times New Roman"/>
          <w:sz w:val="21"/>
          <w:szCs w:val="21"/>
          <w:lang w:val="en-US"/>
        </w:rPr>
        <w:t>.</w:t>
      </w:r>
      <w:bookmarkEnd w:id="133"/>
    </w:p>
    <w:p w:rsidR="00B233DE" w:rsidRDefault="00B233DE" w:rsidP="00B233DE">
      <w:pPr>
        <w:ind w:firstLine="720"/>
        <w:jc w:val="both"/>
        <w:rPr>
          <w:rFonts w:ascii="Times New Roman" w:hAnsi="Times New Roman" w:cs="Times New Roman"/>
          <w:sz w:val="21"/>
          <w:szCs w:val="21"/>
        </w:rPr>
      </w:pPr>
    </w:p>
    <w:p w:rsidR="00B233DE" w:rsidRDefault="00B233DE" w:rsidP="00B233DE">
      <w:pPr>
        <w:ind w:firstLine="720"/>
        <w:jc w:val="both"/>
        <w:rPr>
          <w:rFonts w:ascii="Times New Roman" w:hAnsi="Times New Roman" w:cs="Times New Roman"/>
          <w:sz w:val="21"/>
          <w:szCs w:val="21"/>
        </w:rPr>
      </w:pPr>
    </w:p>
    <w:p w:rsidR="00B233DE" w:rsidRPr="00BE25C2" w:rsidRDefault="00B233DE" w:rsidP="00B233DE">
      <w:pPr>
        <w:ind w:firstLine="709"/>
        <w:jc w:val="both"/>
        <w:rPr>
          <w:rFonts w:ascii="Times New Roman" w:hAnsi="Times New Roman" w:cs="Times New Roman"/>
          <w:sz w:val="21"/>
          <w:szCs w:val="21"/>
        </w:rPr>
      </w:pPr>
    </w:p>
    <w:p w:rsidR="00B233DE" w:rsidRDefault="00B233DE" w:rsidP="00B233DE">
      <w:pPr>
        <w:ind w:firstLine="720"/>
        <w:jc w:val="both"/>
        <w:rPr>
          <w:rFonts w:ascii="Times New Roman" w:hAnsi="Times New Roman" w:cs="Times New Roman"/>
          <w:sz w:val="21"/>
          <w:szCs w:val="21"/>
        </w:rPr>
      </w:pPr>
    </w:p>
    <w:p w:rsidR="00B233DE" w:rsidRDefault="00B233DE" w:rsidP="00B233DE">
      <w:pPr>
        <w:ind w:firstLine="720"/>
        <w:jc w:val="both"/>
        <w:rPr>
          <w:rFonts w:ascii="Times New Roman" w:hAnsi="Times New Roman" w:cs="Times New Roman"/>
          <w:sz w:val="21"/>
          <w:szCs w:val="21"/>
        </w:rPr>
      </w:pPr>
    </w:p>
    <w:p w:rsidR="00B233DE" w:rsidRPr="00793063" w:rsidRDefault="00B233DE" w:rsidP="00B233DE">
      <w:pPr>
        <w:ind w:firstLine="720"/>
        <w:jc w:val="both"/>
        <w:rPr>
          <w:rFonts w:ascii="Times New Roman" w:hAnsi="Times New Roman" w:cs="Times New Roman"/>
          <w:sz w:val="21"/>
          <w:szCs w:val="21"/>
        </w:rPr>
      </w:pPr>
    </w:p>
    <w:p w:rsidR="00B233DE" w:rsidRPr="00D9605B" w:rsidRDefault="00B233DE" w:rsidP="00B233DE">
      <w:pPr>
        <w:ind w:firstLine="720"/>
        <w:jc w:val="both"/>
        <w:rPr>
          <w:rFonts w:ascii="Times New Roman" w:hAnsi="Times New Roman" w:cs="Times New Roman"/>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rPr>
          <w:rFonts w:ascii="Times New Roman" w:hAnsi="Times New Roman" w:cs="Times New Roman"/>
          <w:sz w:val="21"/>
          <w:szCs w:val="21"/>
        </w:rPr>
      </w:pPr>
      <w:r>
        <w:rPr>
          <w:rFonts w:ascii="Times New Roman" w:hAnsi="Times New Roman" w:cs="Times New Roman"/>
          <w:sz w:val="21"/>
          <w:szCs w:val="21"/>
        </w:rPr>
        <w:br w:type="page"/>
      </w: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Pr="007D49D7" w:rsidRDefault="00B233DE" w:rsidP="00B233DE">
      <w:pPr>
        <w:ind w:firstLine="709"/>
        <w:jc w:val="center"/>
        <w:rPr>
          <w:rFonts w:ascii="Times New Roman" w:hAnsi="Times New Roman" w:cs="Times New Roman"/>
          <w:b/>
          <w:sz w:val="21"/>
          <w:szCs w:val="21"/>
          <w:lang w:val="ru-RU"/>
        </w:rPr>
      </w:pPr>
      <w:r w:rsidRPr="007D49D7">
        <w:rPr>
          <w:rFonts w:ascii="Times New Roman" w:hAnsi="Times New Roman" w:cs="Times New Roman"/>
          <w:b/>
          <w:sz w:val="21"/>
          <w:szCs w:val="21"/>
        </w:rPr>
        <w:t xml:space="preserve">РОЗДІЛ </w:t>
      </w:r>
      <w:r w:rsidRPr="007D49D7">
        <w:rPr>
          <w:rFonts w:ascii="Times New Roman" w:hAnsi="Times New Roman" w:cs="Times New Roman"/>
          <w:b/>
          <w:sz w:val="21"/>
          <w:szCs w:val="21"/>
          <w:lang w:val="ru-RU"/>
        </w:rPr>
        <w:t>3</w:t>
      </w:r>
      <w:r>
        <w:rPr>
          <w:rFonts w:ascii="Times New Roman" w:hAnsi="Times New Roman" w:cs="Times New Roman"/>
          <w:b/>
          <w:sz w:val="21"/>
          <w:szCs w:val="21"/>
          <w:lang w:val="ru-RU"/>
        </w:rPr>
        <w:t xml:space="preserve">. </w:t>
      </w:r>
      <w:r>
        <w:rPr>
          <w:rFonts w:ascii="Times New Roman" w:hAnsi="Times New Roman" w:cs="Times New Roman"/>
          <w:b/>
          <w:sz w:val="21"/>
          <w:szCs w:val="21"/>
        </w:rPr>
        <w:t>РЕАЛІЗАЦІЯ ЛЮДСЬКОГО ПОТЕНЦІАЛУ НА РИНКУ ПРАЦІ УКРАЇНИ</w:t>
      </w:r>
    </w:p>
    <w:p w:rsidR="00B233DE" w:rsidRDefault="00B233DE" w:rsidP="00B233DE">
      <w:pPr>
        <w:ind w:firstLine="709"/>
        <w:jc w:val="center"/>
        <w:rPr>
          <w:rFonts w:ascii="Times New Roman" w:hAnsi="Times New Roman" w:cs="Times New Roman"/>
          <w:b/>
          <w:sz w:val="21"/>
          <w:szCs w:val="21"/>
        </w:rPr>
      </w:pPr>
    </w:p>
    <w:p w:rsidR="00B233DE" w:rsidRDefault="00B233DE" w:rsidP="00B233DE">
      <w:pPr>
        <w:ind w:firstLine="709"/>
        <w:jc w:val="center"/>
        <w:rPr>
          <w:rFonts w:ascii="Times New Roman" w:hAnsi="Times New Roman" w:cs="Times New Roman"/>
          <w:b/>
          <w:sz w:val="21"/>
          <w:szCs w:val="21"/>
        </w:rPr>
      </w:pPr>
    </w:p>
    <w:p w:rsidR="00B233DE" w:rsidRPr="00E20C1F" w:rsidRDefault="00B233DE" w:rsidP="00B233DE">
      <w:pPr>
        <w:pStyle w:val="afb"/>
        <w:shd w:val="clear" w:color="auto" w:fill="auto"/>
        <w:tabs>
          <w:tab w:val="left" w:pos="394"/>
          <w:tab w:val="left" w:pos="426"/>
        </w:tabs>
        <w:spacing w:before="0" w:line="240" w:lineRule="auto"/>
        <w:ind w:right="40" w:firstLine="709"/>
        <w:contextualSpacing/>
        <w:jc w:val="center"/>
        <w:rPr>
          <w:b/>
          <w:sz w:val="21"/>
          <w:szCs w:val="21"/>
        </w:rPr>
      </w:pPr>
      <w:r w:rsidRPr="00E20C1F">
        <w:rPr>
          <w:rFonts w:ascii="UkrainianPeterburg" w:hAnsi="UkrainianPeterburg"/>
          <w:b/>
          <w:sz w:val="21"/>
          <w:szCs w:val="21"/>
        </w:rPr>
        <w:t>3.1. Еволюція формування та розвитку соціально-орієнтованого ринку праці</w:t>
      </w:r>
    </w:p>
    <w:p w:rsidR="00B233DE" w:rsidRPr="00F8667D" w:rsidRDefault="00B233DE" w:rsidP="00B233DE">
      <w:pPr>
        <w:jc w:val="both"/>
        <w:rPr>
          <w:rFonts w:ascii="Times New Roman" w:hAnsi="Times New Roman" w:cs="Times New Roman"/>
          <w:sz w:val="21"/>
          <w:szCs w:val="21"/>
        </w:rPr>
      </w:pPr>
    </w:p>
    <w:p w:rsidR="00B233DE" w:rsidRPr="00F8667D" w:rsidRDefault="00B233DE" w:rsidP="00B233DE">
      <w:pPr>
        <w:jc w:val="both"/>
        <w:rPr>
          <w:rFonts w:ascii="Times New Roman" w:hAnsi="Times New Roman" w:cs="Times New Roman"/>
          <w:sz w:val="21"/>
          <w:szCs w:val="21"/>
        </w:rPr>
      </w:pPr>
    </w:p>
    <w:p w:rsidR="00B233DE" w:rsidRPr="003D4F43" w:rsidRDefault="00B233DE" w:rsidP="00B233DE">
      <w:pPr>
        <w:ind w:firstLine="420"/>
        <w:jc w:val="both"/>
        <w:rPr>
          <w:rFonts w:ascii="Times New Roman" w:hAnsi="Times New Roman" w:cs="Times New Roman"/>
          <w:sz w:val="21"/>
          <w:szCs w:val="21"/>
        </w:rPr>
      </w:pPr>
      <w:r>
        <w:rPr>
          <w:rFonts w:ascii="Times New Roman" w:hAnsi="Times New Roman" w:cs="Times New Roman"/>
          <w:sz w:val="21"/>
          <w:szCs w:val="21"/>
        </w:rPr>
        <w:t>Формування соціально-</w:t>
      </w:r>
      <w:r w:rsidRPr="003D4F43">
        <w:rPr>
          <w:rFonts w:ascii="Times New Roman" w:hAnsi="Times New Roman" w:cs="Times New Roman"/>
          <w:sz w:val="21"/>
          <w:szCs w:val="21"/>
        </w:rPr>
        <w:t xml:space="preserve">орієнтованої ринкової економіки України забезпечує узгодження та врахування інтересів усіх соціальних груп населення у формуванні державної макроекономічної політики. Її сутність полягає </w:t>
      </w:r>
      <w:r>
        <w:rPr>
          <w:rFonts w:ascii="Times New Roman" w:hAnsi="Times New Roman" w:cs="Times New Roman"/>
          <w:sz w:val="21"/>
          <w:szCs w:val="21"/>
        </w:rPr>
        <w:t>у</w:t>
      </w:r>
      <w:r w:rsidRPr="003D4F43">
        <w:rPr>
          <w:rFonts w:ascii="Times New Roman" w:hAnsi="Times New Roman" w:cs="Times New Roman"/>
          <w:sz w:val="21"/>
          <w:szCs w:val="21"/>
        </w:rPr>
        <w:t xml:space="preserve"> забезпеченні економічного зростання шляхом підпорядкування економіки завданням соціального розвитку суспільства. Підвищення доходів і рівня життя, розширення споживчого попиту і високі вимоги до якості товарів та послуг призводять до усунення монополізму, підвищення конкуренції виробників та інших форм активізації господарського життя. Водночас в умовах соціально-орієнтованої ринкової економіки такі соціальні чинники, як сприятливі умови праці, розвинена система стимулювання праці й механізми її оплати, соціальні гарантії і соціальне забезпечення, починають відігравати істотну роль у підйомі виробництва. Усе це потребує додаткових наукових досліджень соціально-орієнтованого ринку праці, зокрема</w:t>
      </w:r>
      <w:r>
        <w:rPr>
          <w:rFonts w:ascii="Times New Roman" w:hAnsi="Times New Roman" w:cs="Times New Roman"/>
          <w:sz w:val="21"/>
          <w:szCs w:val="21"/>
        </w:rPr>
        <w:t>,</w:t>
      </w:r>
      <w:r w:rsidRPr="003D4F43">
        <w:rPr>
          <w:rFonts w:ascii="Times New Roman" w:hAnsi="Times New Roman" w:cs="Times New Roman"/>
          <w:sz w:val="21"/>
          <w:szCs w:val="21"/>
        </w:rPr>
        <w:t xml:space="preserve"> й основних етапів його формування.</w:t>
      </w:r>
    </w:p>
    <w:p w:rsidR="00B233DE" w:rsidRPr="003D4F43" w:rsidRDefault="00B233DE" w:rsidP="00B233DE">
      <w:pPr>
        <w:ind w:firstLine="420"/>
        <w:jc w:val="both"/>
        <w:rPr>
          <w:rFonts w:ascii="Times New Roman" w:hAnsi="Times New Roman" w:cs="Times New Roman"/>
          <w:sz w:val="21"/>
          <w:szCs w:val="21"/>
        </w:rPr>
      </w:pPr>
      <w:r w:rsidRPr="003D4F43">
        <w:rPr>
          <w:rFonts w:ascii="Times New Roman" w:hAnsi="Times New Roman" w:cs="Times New Roman"/>
          <w:sz w:val="21"/>
          <w:szCs w:val="21"/>
        </w:rPr>
        <w:t xml:space="preserve">Визначення соціально-економічної </w:t>
      </w:r>
      <w:r>
        <w:rPr>
          <w:rFonts w:ascii="Times New Roman" w:hAnsi="Times New Roman" w:cs="Times New Roman"/>
          <w:sz w:val="21"/>
          <w:szCs w:val="21"/>
        </w:rPr>
        <w:t>сутності ринку праці потребує з’</w:t>
      </w:r>
      <w:r w:rsidRPr="003D4F43">
        <w:rPr>
          <w:rFonts w:ascii="Times New Roman" w:hAnsi="Times New Roman" w:cs="Times New Roman"/>
          <w:sz w:val="21"/>
          <w:szCs w:val="21"/>
        </w:rPr>
        <w:t>ясуванн</w:t>
      </w:r>
      <w:r>
        <w:rPr>
          <w:rFonts w:ascii="Times New Roman" w:hAnsi="Times New Roman" w:cs="Times New Roman"/>
          <w:sz w:val="21"/>
          <w:szCs w:val="21"/>
        </w:rPr>
        <w:t>я загального поняття категорії «ринок»</w:t>
      </w:r>
      <w:r w:rsidRPr="003D4F43">
        <w:rPr>
          <w:rFonts w:ascii="Times New Roman" w:hAnsi="Times New Roman" w:cs="Times New Roman"/>
          <w:sz w:val="21"/>
          <w:szCs w:val="21"/>
        </w:rPr>
        <w:t>. В класичні</w:t>
      </w:r>
      <w:r>
        <w:rPr>
          <w:rFonts w:ascii="Times New Roman" w:hAnsi="Times New Roman" w:cs="Times New Roman"/>
          <w:sz w:val="21"/>
          <w:szCs w:val="21"/>
        </w:rPr>
        <w:t>й</w:t>
      </w:r>
      <w:r w:rsidRPr="003D4F43">
        <w:rPr>
          <w:rFonts w:ascii="Times New Roman" w:hAnsi="Times New Roman" w:cs="Times New Roman"/>
          <w:sz w:val="21"/>
          <w:szCs w:val="21"/>
        </w:rPr>
        <w:t xml:space="preserve"> політичній економії існує чотири напрями щодо визначення сутності ринку. Так, п</w:t>
      </w:r>
      <w:r>
        <w:rPr>
          <w:rFonts w:ascii="Times New Roman" w:hAnsi="Times New Roman" w:cs="Times New Roman"/>
          <w:sz w:val="21"/>
          <w:szCs w:val="21"/>
        </w:rPr>
        <w:t xml:space="preserve">редставники першого напряму, О. Курно, Дж. </w:t>
      </w:r>
      <w:r w:rsidRPr="003D4F43">
        <w:rPr>
          <w:rFonts w:ascii="Times New Roman" w:hAnsi="Times New Roman" w:cs="Times New Roman"/>
          <w:sz w:val="21"/>
          <w:szCs w:val="21"/>
        </w:rPr>
        <w:t>Кейнс, А.</w:t>
      </w:r>
      <w:r>
        <w:rPr>
          <w:rFonts w:ascii="Times New Roman" w:hAnsi="Times New Roman" w:cs="Times New Roman"/>
          <w:sz w:val="21"/>
          <w:szCs w:val="21"/>
        </w:rPr>
        <w:t xml:space="preserve"> Маршал, визначають ринок як «</w:t>
      </w:r>
      <w:r w:rsidRPr="003D4F43">
        <w:rPr>
          <w:rFonts w:ascii="Times New Roman" w:hAnsi="Times New Roman" w:cs="Times New Roman"/>
          <w:sz w:val="21"/>
          <w:szCs w:val="21"/>
        </w:rPr>
        <w:t>бу</w:t>
      </w:r>
      <w:r>
        <w:rPr>
          <w:rFonts w:ascii="Times New Roman" w:hAnsi="Times New Roman" w:cs="Times New Roman"/>
          <w:sz w:val="21"/>
          <w:szCs w:val="21"/>
        </w:rPr>
        <w:t>дь-який район, де економічні зв’</w:t>
      </w:r>
      <w:r w:rsidRPr="003D4F43">
        <w:rPr>
          <w:rFonts w:ascii="Times New Roman" w:hAnsi="Times New Roman" w:cs="Times New Roman"/>
          <w:sz w:val="21"/>
          <w:szCs w:val="21"/>
        </w:rPr>
        <w:t>язки покупців і продавців до такого рівня вільні, що ціни на однакові товари дос</w:t>
      </w:r>
      <w:r>
        <w:rPr>
          <w:rFonts w:ascii="Times New Roman" w:hAnsi="Times New Roman" w:cs="Times New Roman"/>
          <w:sz w:val="21"/>
          <w:szCs w:val="21"/>
        </w:rPr>
        <w:t>ить легко і швидко вирівнюються»</w:t>
      </w:r>
      <w:r w:rsidRPr="003D4F43">
        <w:rPr>
          <w:rFonts w:ascii="Times New Roman" w:hAnsi="Times New Roman" w:cs="Times New Roman"/>
          <w:sz w:val="21"/>
          <w:szCs w:val="21"/>
        </w:rPr>
        <w:t>. Представники ново</w:t>
      </w:r>
      <w:r>
        <w:rPr>
          <w:rFonts w:ascii="Times New Roman" w:hAnsi="Times New Roman" w:cs="Times New Roman"/>
          <w:sz w:val="21"/>
          <w:szCs w:val="21"/>
        </w:rPr>
        <w:t>австрійської школи, зокрема, Ф. </w:t>
      </w:r>
      <w:r w:rsidRPr="003D4F43">
        <w:rPr>
          <w:rFonts w:ascii="Times New Roman" w:hAnsi="Times New Roman" w:cs="Times New Roman"/>
          <w:sz w:val="21"/>
          <w:szCs w:val="21"/>
        </w:rPr>
        <w:t>Хайек, керуючись положенням А</w:t>
      </w:r>
      <w:r>
        <w:rPr>
          <w:rFonts w:ascii="Times New Roman" w:hAnsi="Times New Roman" w:cs="Times New Roman"/>
          <w:sz w:val="21"/>
          <w:szCs w:val="21"/>
        </w:rPr>
        <w:t>. Сміта, що ринок –</w:t>
      </w:r>
      <w:r w:rsidRPr="003D4F43">
        <w:rPr>
          <w:rFonts w:ascii="Times New Roman" w:hAnsi="Times New Roman" w:cs="Times New Roman"/>
          <w:sz w:val="21"/>
          <w:szCs w:val="21"/>
        </w:rPr>
        <w:t xml:space="preserve"> це </w:t>
      </w:r>
      <w:r w:rsidRPr="003D4F43">
        <w:rPr>
          <w:rFonts w:ascii="Times New Roman" w:hAnsi="Times New Roman" w:cs="Times New Roman"/>
          <w:sz w:val="21"/>
          <w:szCs w:val="21"/>
        </w:rPr>
        <w:lastRenderedPageBreak/>
        <w:t xml:space="preserve">природний процес, породжений діями індивідуумів, які </w:t>
      </w:r>
      <w:r>
        <w:rPr>
          <w:rFonts w:ascii="Times New Roman" w:hAnsi="Times New Roman" w:cs="Times New Roman"/>
          <w:sz w:val="21"/>
          <w:szCs w:val="21"/>
        </w:rPr>
        <w:t>намагаються досягти своєї мети,</w:t>
      </w:r>
      <w:r w:rsidRPr="003D4F43">
        <w:rPr>
          <w:rFonts w:ascii="Times New Roman" w:hAnsi="Times New Roman" w:cs="Times New Roman"/>
          <w:sz w:val="21"/>
          <w:szCs w:val="21"/>
        </w:rPr>
        <w:t xml:space="preserve"> підкреслюють, що ринок ніким не регулюється, функціонує без певної мети, не узгоджено з організаційної точки зору, поєднуючи різні конкуруючі цілі.</w:t>
      </w:r>
    </w:p>
    <w:p w:rsidR="00B233DE" w:rsidRPr="003D4F43" w:rsidRDefault="00B233DE" w:rsidP="00B233DE">
      <w:pPr>
        <w:ind w:firstLine="420"/>
        <w:jc w:val="both"/>
        <w:rPr>
          <w:rFonts w:ascii="Times New Roman" w:hAnsi="Times New Roman" w:cs="Times New Roman"/>
          <w:sz w:val="21"/>
          <w:szCs w:val="21"/>
        </w:rPr>
      </w:pPr>
      <w:r w:rsidRPr="003D4F43">
        <w:rPr>
          <w:rFonts w:ascii="Times New Roman" w:hAnsi="Times New Roman" w:cs="Times New Roman"/>
          <w:sz w:val="21"/>
          <w:szCs w:val="21"/>
        </w:rPr>
        <w:t>Прибічники д</w:t>
      </w:r>
      <w:r>
        <w:rPr>
          <w:rFonts w:ascii="Times New Roman" w:hAnsi="Times New Roman" w:cs="Times New Roman"/>
          <w:sz w:val="21"/>
          <w:szCs w:val="21"/>
        </w:rPr>
        <w:t>ругого напряму ринкової теорії –</w:t>
      </w:r>
      <w:r w:rsidRPr="003D4F43">
        <w:rPr>
          <w:rFonts w:ascii="Times New Roman" w:hAnsi="Times New Roman" w:cs="Times New Roman"/>
          <w:sz w:val="21"/>
          <w:szCs w:val="21"/>
        </w:rPr>
        <w:t xml:space="preserve"> н</w:t>
      </w:r>
      <w:r>
        <w:rPr>
          <w:rFonts w:ascii="Times New Roman" w:hAnsi="Times New Roman" w:cs="Times New Roman"/>
          <w:sz w:val="21"/>
          <w:szCs w:val="21"/>
        </w:rPr>
        <w:t>еокласичного –</w:t>
      </w:r>
      <w:r w:rsidRPr="003D4F43">
        <w:rPr>
          <w:rFonts w:ascii="Times New Roman" w:hAnsi="Times New Roman" w:cs="Times New Roman"/>
          <w:sz w:val="21"/>
          <w:szCs w:val="21"/>
        </w:rPr>
        <w:t xml:space="preserve"> визначають ринок як сукупність продавців і пок</w:t>
      </w:r>
      <w:r>
        <w:rPr>
          <w:rFonts w:ascii="Times New Roman" w:hAnsi="Times New Roman" w:cs="Times New Roman"/>
          <w:sz w:val="21"/>
          <w:szCs w:val="21"/>
        </w:rPr>
        <w:t>упців, у результаті дії яких об’</w:t>
      </w:r>
      <w:r w:rsidRPr="003D4F43">
        <w:rPr>
          <w:rFonts w:ascii="Times New Roman" w:hAnsi="Times New Roman" w:cs="Times New Roman"/>
          <w:sz w:val="21"/>
          <w:szCs w:val="21"/>
        </w:rPr>
        <w:t xml:space="preserve">єкти обміну отримують ціну. Представники третього напряму </w:t>
      </w:r>
      <w:r>
        <w:rPr>
          <w:rFonts w:ascii="Times New Roman" w:hAnsi="Times New Roman" w:cs="Times New Roman"/>
          <w:sz w:val="21"/>
          <w:szCs w:val="21"/>
        </w:rPr>
        <w:t>–</w:t>
      </w:r>
      <w:r w:rsidRPr="003D4F43">
        <w:rPr>
          <w:rFonts w:ascii="Times New Roman" w:hAnsi="Times New Roman" w:cs="Times New Roman"/>
          <w:sz w:val="21"/>
          <w:szCs w:val="21"/>
        </w:rPr>
        <w:t xml:space="preserve"> монетаризм</w:t>
      </w:r>
      <w:r>
        <w:rPr>
          <w:rFonts w:ascii="Times New Roman" w:hAnsi="Times New Roman" w:cs="Times New Roman"/>
          <w:sz w:val="21"/>
          <w:szCs w:val="21"/>
        </w:rPr>
        <w:t>у (М. Фрідмен, Ф. Макхлуп, Л. </w:t>
      </w:r>
      <w:r w:rsidRPr="003D4F43">
        <w:rPr>
          <w:rFonts w:ascii="Times New Roman" w:hAnsi="Times New Roman" w:cs="Times New Roman"/>
          <w:sz w:val="21"/>
          <w:szCs w:val="21"/>
        </w:rPr>
        <w:t>Роббінс) визначають ринок як спосіб координації дій учасників, який забезпечує їм свободу вибору, наділяють ринок рисою цілеспрямованості з елементами ринкової і директивної економічної координації. Різновидом останнього напряму є марксистська теорія, згідно із якою ринок виз</w:t>
      </w:r>
      <w:r>
        <w:rPr>
          <w:rFonts w:ascii="Times New Roman" w:hAnsi="Times New Roman" w:cs="Times New Roman"/>
          <w:sz w:val="21"/>
          <w:szCs w:val="21"/>
        </w:rPr>
        <w:t>начається у вузькому розумінні –</w:t>
      </w:r>
      <w:r w:rsidRPr="003D4F43">
        <w:rPr>
          <w:rFonts w:ascii="Times New Roman" w:hAnsi="Times New Roman" w:cs="Times New Roman"/>
          <w:sz w:val="21"/>
          <w:szCs w:val="21"/>
        </w:rPr>
        <w:t xml:space="preserve"> як відносини між продавцями та покупцями у сфері обігу за властивими йому законами і форм</w:t>
      </w:r>
      <w:r>
        <w:rPr>
          <w:rFonts w:ascii="Times New Roman" w:hAnsi="Times New Roman" w:cs="Times New Roman"/>
          <w:sz w:val="21"/>
          <w:szCs w:val="21"/>
        </w:rPr>
        <w:t>ами організації, та в широкому –</w:t>
      </w:r>
      <w:r w:rsidRPr="003D4F43">
        <w:rPr>
          <w:rFonts w:ascii="Times New Roman" w:hAnsi="Times New Roman" w:cs="Times New Roman"/>
          <w:sz w:val="21"/>
          <w:szCs w:val="21"/>
        </w:rPr>
        <w:t xml:space="preserve"> я</w:t>
      </w:r>
      <w:r>
        <w:rPr>
          <w:rFonts w:ascii="Times New Roman" w:hAnsi="Times New Roman" w:cs="Times New Roman"/>
          <w:sz w:val="21"/>
          <w:szCs w:val="21"/>
        </w:rPr>
        <w:t>к форма зв’</w:t>
      </w:r>
      <w:r w:rsidRPr="003D4F43">
        <w:rPr>
          <w:rFonts w:ascii="Times New Roman" w:hAnsi="Times New Roman" w:cs="Times New Roman"/>
          <w:sz w:val="21"/>
          <w:szCs w:val="21"/>
        </w:rPr>
        <w:t>язку між виробниками та споживачами товарів.</w:t>
      </w:r>
    </w:p>
    <w:p w:rsidR="00B233DE" w:rsidRPr="003D4F43" w:rsidRDefault="00B233DE" w:rsidP="00B233DE">
      <w:pPr>
        <w:ind w:firstLine="720"/>
        <w:jc w:val="both"/>
        <w:rPr>
          <w:rFonts w:ascii="Times New Roman" w:hAnsi="Times New Roman" w:cs="Times New Roman"/>
          <w:sz w:val="21"/>
          <w:szCs w:val="21"/>
        </w:rPr>
      </w:pPr>
      <w:r>
        <w:rPr>
          <w:rFonts w:ascii="Times New Roman" w:hAnsi="Times New Roman" w:cs="Times New Roman"/>
          <w:sz w:val="21"/>
          <w:szCs w:val="21"/>
        </w:rPr>
        <w:t>В прийнятій У</w:t>
      </w:r>
      <w:r w:rsidRPr="003D4F43">
        <w:rPr>
          <w:rFonts w:ascii="Times New Roman" w:hAnsi="Times New Roman" w:cs="Times New Roman"/>
          <w:sz w:val="21"/>
          <w:szCs w:val="21"/>
        </w:rPr>
        <w:t>рядом концепції переходу України до ринкової економіки ринок визначено як систему товарно-грошових відносин з механізмом вільного ціноутворення, з вільним підприємництвом на основі економічної самостійності, рівноправності та конкуренції</w:t>
      </w:r>
      <w:r>
        <w:rPr>
          <w:rFonts w:ascii="Times New Roman" w:hAnsi="Times New Roman" w:cs="Times New Roman"/>
          <w:sz w:val="21"/>
          <w:szCs w:val="21"/>
        </w:rPr>
        <w:t xml:space="preserve"> суб’</w:t>
      </w:r>
      <w:r w:rsidRPr="003D4F43">
        <w:rPr>
          <w:rFonts w:ascii="Times New Roman" w:hAnsi="Times New Roman" w:cs="Times New Roman"/>
          <w:sz w:val="21"/>
          <w:szCs w:val="21"/>
        </w:rPr>
        <w:t>єктів господарювання у боротьбі за споживача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_Ref433976549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54</w:t>
      </w:r>
      <w:r>
        <w:rPr>
          <w:rFonts w:ascii="Times New Roman" w:hAnsi="Times New Roman" w:cs="Times New Roman"/>
          <w:sz w:val="21"/>
          <w:szCs w:val="21"/>
          <w:highlight w:val="yellow"/>
        </w:rPr>
        <w:fldChar w:fldCharType="end"/>
      </w:r>
      <w:r w:rsidRPr="003D4F43">
        <w:rPr>
          <w:rFonts w:ascii="Times New Roman" w:hAnsi="Times New Roman" w:cs="Times New Roman"/>
          <w:sz w:val="21"/>
          <w:szCs w:val="21"/>
        </w:rPr>
        <w:t>].</w:t>
      </w:r>
    </w:p>
    <w:p w:rsidR="00B233DE" w:rsidRDefault="00B233DE" w:rsidP="00B233DE">
      <w:pPr>
        <w:ind w:firstLine="708"/>
        <w:jc w:val="both"/>
        <w:rPr>
          <w:rFonts w:ascii="Times New Roman" w:hAnsi="Times New Roman" w:cs="Times New Roman"/>
          <w:sz w:val="21"/>
          <w:szCs w:val="21"/>
        </w:rPr>
      </w:pPr>
      <w:r>
        <w:rPr>
          <w:rFonts w:ascii="Times New Roman" w:hAnsi="Times New Roman" w:cs="Times New Roman"/>
          <w:sz w:val="21"/>
          <w:szCs w:val="21"/>
        </w:rPr>
        <w:t>Ринок праці –</w:t>
      </w:r>
      <w:r w:rsidRPr="003D4F43">
        <w:rPr>
          <w:rFonts w:ascii="Times New Roman" w:hAnsi="Times New Roman" w:cs="Times New Roman"/>
          <w:sz w:val="21"/>
          <w:szCs w:val="21"/>
        </w:rPr>
        <w:t xml:space="preserve"> найбільш складний і динамічний елемент ринкової економіки. Тут не тільки переплітаються інтереси працівників і роботодавців, але і віддзеркалюються всі соціально-економічні, політичні, демографічні й інші процеси, що відбуваються у суспільстві. У науковій літературі проблемам ринку праці приділяється помітна увага, між спеціалістами немає єдності та існує багато різних думок навіть стосовно п</w:t>
      </w:r>
      <w:r>
        <w:rPr>
          <w:rFonts w:ascii="Times New Roman" w:hAnsi="Times New Roman" w:cs="Times New Roman"/>
          <w:sz w:val="21"/>
          <w:szCs w:val="21"/>
        </w:rPr>
        <w:t>онятійного апарату цього напрям</w:t>
      </w:r>
      <w:r w:rsidRPr="003D4F43">
        <w:rPr>
          <w:rFonts w:ascii="Times New Roman" w:hAnsi="Times New Roman" w:cs="Times New Roman"/>
          <w:sz w:val="21"/>
          <w:szCs w:val="21"/>
        </w:rPr>
        <w:t>у дослідження. Зокрема це стос</w:t>
      </w:r>
      <w:r>
        <w:rPr>
          <w:rFonts w:ascii="Times New Roman" w:hAnsi="Times New Roman" w:cs="Times New Roman"/>
          <w:sz w:val="21"/>
          <w:szCs w:val="21"/>
        </w:rPr>
        <w:t>ується таких базових понять як «ринок праці» та «ринок робочої сили»</w:t>
      </w:r>
      <w:r w:rsidRPr="003D4F43">
        <w:rPr>
          <w:rFonts w:ascii="Times New Roman" w:hAnsi="Times New Roman" w:cs="Times New Roman"/>
          <w:sz w:val="21"/>
          <w:szCs w:val="21"/>
        </w:rPr>
        <w:t xml:space="preserve">. Одні вважають, що це різні і нетотожні поняття, інші вважають їх однаковими і використовують паралельно. </w:t>
      </w:r>
      <w:r w:rsidRPr="003D4F43">
        <w:rPr>
          <w:rFonts w:ascii="Times New Roman" w:hAnsi="Times New Roman" w:cs="Times New Roman"/>
          <w:color w:val="000000"/>
          <w:sz w:val="21"/>
          <w:szCs w:val="21"/>
          <w:shd w:val="clear" w:color="auto" w:fill="FFFFFF"/>
        </w:rPr>
        <w:t>Проблеми становлення, функціонування та регулювання ринку праці розглядалися у наукових роботах багатьох українських вчених та дослідників, зокрема можна виділити Грішнову О. А. [</w:t>
      </w:r>
      <w:r>
        <w:rPr>
          <w:rFonts w:ascii="Times New Roman" w:hAnsi="Times New Roman" w:cs="Times New Roman"/>
          <w:sz w:val="21"/>
          <w:szCs w:val="21"/>
          <w:highlight w:val="yellow"/>
        </w:rPr>
        <w:fldChar w:fldCharType="begin"/>
      </w:r>
      <w:r>
        <w:rPr>
          <w:rFonts w:ascii="Times New Roman" w:hAnsi="Times New Roman" w:cs="Times New Roman"/>
          <w:color w:val="000000"/>
          <w:sz w:val="21"/>
          <w:szCs w:val="21"/>
          <w:shd w:val="clear" w:color="auto" w:fill="FFFFFF"/>
        </w:rPr>
        <w:instrText xml:space="preserve"> REF _Ref433976564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color w:val="000000"/>
          <w:sz w:val="21"/>
          <w:szCs w:val="21"/>
          <w:shd w:val="clear" w:color="auto" w:fill="FFFFFF"/>
        </w:rPr>
        <w:t>26</w:t>
      </w:r>
      <w:r>
        <w:rPr>
          <w:rFonts w:ascii="Times New Roman" w:hAnsi="Times New Roman" w:cs="Times New Roman"/>
          <w:sz w:val="21"/>
          <w:szCs w:val="21"/>
          <w:highlight w:val="yellow"/>
        </w:rPr>
        <w:fldChar w:fldCharType="end"/>
      </w:r>
      <w:r w:rsidRPr="003D4F43">
        <w:rPr>
          <w:rFonts w:ascii="Times New Roman" w:hAnsi="Times New Roman" w:cs="Times New Roman"/>
          <w:color w:val="000000"/>
          <w:sz w:val="21"/>
          <w:szCs w:val="21"/>
          <w:shd w:val="clear" w:color="auto" w:fill="FFFFFF"/>
        </w:rPr>
        <w:t>], Мочерного С. В. [</w:t>
      </w:r>
      <w:r>
        <w:rPr>
          <w:rFonts w:ascii="Times New Roman" w:hAnsi="Times New Roman" w:cs="Times New Roman"/>
          <w:bCs/>
          <w:sz w:val="21"/>
          <w:szCs w:val="21"/>
          <w:highlight w:val="yellow"/>
          <w:shd w:val="clear" w:color="auto" w:fill="FFFFFF"/>
        </w:rPr>
        <w:fldChar w:fldCharType="begin"/>
      </w:r>
      <w:r>
        <w:rPr>
          <w:rFonts w:ascii="Times New Roman" w:hAnsi="Times New Roman" w:cs="Times New Roman"/>
          <w:color w:val="000000"/>
          <w:sz w:val="21"/>
          <w:szCs w:val="21"/>
          <w:shd w:val="clear" w:color="auto" w:fill="FFFFFF"/>
        </w:rPr>
        <w:instrText xml:space="preserve"> REF _Ref433976573 \r \h </w:instrText>
      </w:r>
      <w:r>
        <w:rPr>
          <w:rFonts w:ascii="Times New Roman" w:hAnsi="Times New Roman" w:cs="Times New Roman"/>
          <w:bCs/>
          <w:sz w:val="21"/>
          <w:szCs w:val="21"/>
          <w:highlight w:val="yellow"/>
          <w:shd w:val="clear" w:color="auto" w:fill="FFFFFF"/>
        </w:rPr>
      </w:r>
      <w:r>
        <w:rPr>
          <w:rFonts w:ascii="Times New Roman" w:hAnsi="Times New Roman" w:cs="Times New Roman"/>
          <w:bCs/>
          <w:sz w:val="21"/>
          <w:szCs w:val="21"/>
          <w:highlight w:val="yellow"/>
          <w:shd w:val="clear" w:color="auto" w:fill="FFFFFF"/>
        </w:rPr>
        <w:fldChar w:fldCharType="separate"/>
      </w:r>
      <w:r>
        <w:rPr>
          <w:rFonts w:ascii="Times New Roman" w:hAnsi="Times New Roman" w:cs="Times New Roman"/>
          <w:color w:val="000000"/>
          <w:sz w:val="21"/>
          <w:szCs w:val="21"/>
          <w:shd w:val="clear" w:color="auto" w:fill="FFFFFF"/>
        </w:rPr>
        <w:t>72</w:t>
      </w:r>
      <w:r>
        <w:rPr>
          <w:rFonts w:ascii="Times New Roman" w:hAnsi="Times New Roman" w:cs="Times New Roman"/>
          <w:bCs/>
          <w:sz w:val="21"/>
          <w:szCs w:val="21"/>
          <w:highlight w:val="yellow"/>
          <w:shd w:val="clear" w:color="auto" w:fill="FFFFFF"/>
        </w:rPr>
        <w:fldChar w:fldCharType="end"/>
      </w:r>
      <w:r w:rsidRPr="003D4F43">
        <w:rPr>
          <w:rFonts w:ascii="Times New Roman" w:hAnsi="Times New Roman" w:cs="Times New Roman"/>
          <w:color w:val="000000"/>
          <w:sz w:val="21"/>
          <w:szCs w:val="21"/>
          <w:shd w:val="clear" w:color="auto" w:fill="FFFFFF"/>
        </w:rPr>
        <w:t>], Завіновську Г. Т. [</w:t>
      </w:r>
      <w:r>
        <w:rPr>
          <w:rFonts w:ascii="Times New Roman" w:hAnsi="Times New Roman" w:cs="Times New Roman"/>
          <w:sz w:val="21"/>
          <w:szCs w:val="21"/>
          <w:highlight w:val="yellow"/>
        </w:rPr>
        <w:fldChar w:fldCharType="begin"/>
      </w:r>
      <w:r>
        <w:rPr>
          <w:rFonts w:ascii="Times New Roman" w:hAnsi="Times New Roman" w:cs="Times New Roman"/>
          <w:color w:val="000000"/>
          <w:sz w:val="21"/>
          <w:szCs w:val="21"/>
          <w:shd w:val="clear" w:color="auto" w:fill="FFFFFF"/>
        </w:rPr>
        <w:instrText xml:space="preserve"> REF _Ref433976582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color w:val="000000"/>
          <w:sz w:val="21"/>
          <w:szCs w:val="21"/>
          <w:shd w:val="clear" w:color="auto" w:fill="FFFFFF"/>
        </w:rPr>
        <w:t>41</w:t>
      </w:r>
      <w:r>
        <w:rPr>
          <w:rFonts w:ascii="Times New Roman" w:hAnsi="Times New Roman" w:cs="Times New Roman"/>
          <w:sz w:val="21"/>
          <w:szCs w:val="21"/>
          <w:highlight w:val="yellow"/>
        </w:rPr>
        <w:fldChar w:fldCharType="end"/>
      </w:r>
      <w:r w:rsidRPr="003D4F43">
        <w:rPr>
          <w:rFonts w:ascii="Times New Roman" w:hAnsi="Times New Roman" w:cs="Times New Roman"/>
          <w:color w:val="000000"/>
          <w:sz w:val="21"/>
          <w:szCs w:val="21"/>
          <w:shd w:val="clear" w:color="auto" w:fill="FFFFFF"/>
        </w:rPr>
        <w:t>], Волкову О. В. [</w:t>
      </w:r>
      <w:r>
        <w:rPr>
          <w:rFonts w:ascii="Times New Roman" w:hAnsi="Times New Roman" w:cs="Times New Roman"/>
          <w:sz w:val="21"/>
          <w:szCs w:val="21"/>
          <w:highlight w:val="yellow"/>
          <w:shd w:val="clear" w:color="auto" w:fill="FFFFFF"/>
        </w:rPr>
        <w:fldChar w:fldCharType="begin"/>
      </w:r>
      <w:r>
        <w:rPr>
          <w:rFonts w:ascii="Times New Roman" w:hAnsi="Times New Roman" w:cs="Times New Roman"/>
          <w:color w:val="000000"/>
          <w:sz w:val="21"/>
          <w:szCs w:val="21"/>
          <w:shd w:val="clear" w:color="auto" w:fill="FFFFFF"/>
        </w:rPr>
        <w:instrText xml:space="preserve"> REF _Ref433976596 \r \h </w:instrText>
      </w:r>
      <w:r>
        <w:rPr>
          <w:rFonts w:ascii="Times New Roman" w:hAnsi="Times New Roman" w:cs="Times New Roman"/>
          <w:sz w:val="21"/>
          <w:szCs w:val="21"/>
          <w:highlight w:val="yellow"/>
          <w:shd w:val="clear" w:color="auto" w:fill="FFFFFF"/>
        </w:rPr>
      </w:r>
      <w:r>
        <w:rPr>
          <w:rFonts w:ascii="Times New Roman" w:hAnsi="Times New Roman" w:cs="Times New Roman"/>
          <w:sz w:val="21"/>
          <w:szCs w:val="21"/>
          <w:highlight w:val="yellow"/>
          <w:shd w:val="clear" w:color="auto" w:fill="FFFFFF"/>
        </w:rPr>
        <w:fldChar w:fldCharType="separate"/>
      </w:r>
      <w:r>
        <w:rPr>
          <w:rFonts w:ascii="Times New Roman" w:hAnsi="Times New Roman" w:cs="Times New Roman"/>
          <w:color w:val="000000"/>
          <w:sz w:val="21"/>
          <w:szCs w:val="21"/>
          <w:shd w:val="clear" w:color="auto" w:fill="FFFFFF"/>
        </w:rPr>
        <w:t>20</w:t>
      </w:r>
      <w:r>
        <w:rPr>
          <w:rFonts w:ascii="Times New Roman" w:hAnsi="Times New Roman" w:cs="Times New Roman"/>
          <w:sz w:val="21"/>
          <w:szCs w:val="21"/>
          <w:highlight w:val="yellow"/>
          <w:shd w:val="clear" w:color="auto" w:fill="FFFFFF"/>
        </w:rPr>
        <w:fldChar w:fldCharType="end"/>
      </w:r>
      <w:r w:rsidRPr="003D4F43">
        <w:rPr>
          <w:rFonts w:ascii="Times New Roman" w:hAnsi="Times New Roman" w:cs="Times New Roman"/>
          <w:color w:val="000000"/>
          <w:sz w:val="21"/>
          <w:szCs w:val="21"/>
          <w:shd w:val="clear" w:color="auto" w:fill="FFFFFF"/>
        </w:rPr>
        <w:t>], Лібанову Е. М. [</w:t>
      </w:r>
      <w:r>
        <w:rPr>
          <w:rFonts w:ascii="Times New Roman" w:hAnsi="Times New Roman" w:cs="Times New Roman"/>
          <w:sz w:val="21"/>
          <w:szCs w:val="21"/>
          <w:highlight w:val="yellow"/>
        </w:rPr>
        <w:fldChar w:fldCharType="begin"/>
      </w:r>
      <w:r>
        <w:rPr>
          <w:rFonts w:ascii="Times New Roman" w:hAnsi="Times New Roman" w:cs="Times New Roman"/>
          <w:color w:val="000000"/>
          <w:sz w:val="21"/>
          <w:szCs w:val="21"/>
          <w:shd w:val="clear" w:color="auto" w:fill="FFFFFF"/>
        </w:rPr>
        <w:instrText xml:space="preserve"> REF _Ref433976603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color w:val="000000"/>
          <w:sz w:val="21"/>
          <w:szCs w:val="21"/>
          <w:shd w:val="clear" w:color="auto" w:fill="FFFFFF"/>
        </w:rPr>
        <w:t>58</w:t>
      </w:r>
      <w:r>
        <w:rPr>
          <w:rFonts w:ascii="Times New Roman" w:hAnsi="Times New Roman" w:cs="Times New Roman"/>
          <w:sz w:val="21"/>
          <w:szCs w:val="21"/>
          <w:highlight w:val="yellow"/>
        </w:rPr>
        <w:fldChar w:fldCharType="end"/>
      </w:r>
      <w:r w:rsidRPr="003D4F43">
        <w:rPr>
          <w:rFonts w:ascii="Times New Roman" w:hAnsi="Times New Roman" w:cs="Times New Roman"/>
          <w:color w:val="000000"/>
          <w:sz w:val="21"/>
          <w:szCs w:val="21"/>
          <w:shd w:val="clear" w:color="auto" w:fill="FFFFFF"/>
        </w:rPr>
        <w:t>] та ін.</w:t>
      </w:r>
      <w:r>
        <w:rPr>
          <w:rFonts w:ascii="Times New Roman" w:hAnsi="Times New Roman" w:cs="Times New Roman"/>
          <w:sz w:val="21"/>
          <w:szCs w:val="21"/>
        </w:rPr>
        <w:t xml:space="preserve"> На думку В. Петюха: «</w:t>
      </w:r>
      <w:r w:rsidRPr="003D4F43">
        <w:rPr>
          <w:rFonts w:ascii="Times New Roman" w:hAnsi="Times New Roman" w:cs="Times New Roman"/>
          <w:sz w:val="21"/>
          <w:szCs w:val="21"/>
        </w:rPr>
        <w:t xml:space="preserve">ринок праці – це соціально-економічна </w:t>
      </w:r>
      <w:r w:rsidRPr="003D4F43">
        <w:rPr>
          <w:rFonts w:ascii="Times New Roman" w:hAnsi="Times New Roman" w:cs="Times New Roman"/>
          <w:sz w:val="21"/>
          <w:szCs w:val="21"/>
        </w:rPr>
        <w:lastRenderedPageBreak/>
        <w:t>категорія, яка характеризує відносини людей, що проявляються в процесі найму, оцінки, звільнення працівників та встановлення розмірів компенсації за використану робочу силу залежно від ряду факторів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_Ref433976611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82</w:t>
      </w:r>
      <w:r>
        <w:rPr>
          <w:rFonts w:ascii="Times New Roman" w:hAnsi="Times New Roman" w:cs="Times New Roman"/>
          <w:sz w:val="21"/>
          <w:szCs w:val="21"/>
          <w:highlight w:val="yellow"/>
        </w:rPr>
        <w:fldChar w:fldCharType="end"/>
      </w:r>
      <w:r w:rsidRPr="003D4F43">
        <w:rPr>
          <w:rFonts w:ascii="Times New Roman" w:hAnsi="Times New Roman" w:cs="Times New Roman"/>
          <w:sz w:val="21"/>
          <w:szCs w:val="21"/>
        </w:rPr>
        <w:t>]. Е. Лібанова розглядає ринок робочої сили як інститут взаємодії споживачів робочої сили, тобто роботодавців (юридичних і фізичних осіб з одного боку, та конкретних фізичних осіб, які мають певні фізичні і розумові здібності, певні профес</w:t>
      </w:r>
      <w:r>
        <w:rPr>
          <w:rFonts w:ascii="Times New Roman" w:hAnsi="Times New Roman" w:cs="Times New Roman"/>
          <w:sz w:val="21"/>
          <w:szCs w:val="21"/>
        </w:rPr>
        <w:t>ійні знання, навички та вміння –</w:t>
      </w:r>
      <w:r w:rsidRPr="003D4F43">
        <w:rPr>
          <w:rFonts w:ascii="Times New Roman" w:hAnsi="Times New Roman" w:cs="Times New Roman"/>
          <w:sz w:val="21"/>
          <w:szCs w:val="21"/>
        </w:rPr>
        <w:t xml:space="preserve"> з іншого)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_Ref433976603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58</w:t>
      </w:r>
      <w:r>
        <w:rPr>
          <w:rFonts w:ascii="Times New Roman" w:hAnsi="Times New Roman" w:cs="Times New Roman"/>
          <w:sz w:val="21"/>
          <w:szCs w:val="21"/>
          <w:highlight w:val="yellow"/>
        </w:rPr>
        <w:fldChar w:fldCharType="end"/>
      </w:r>
      <w:r w:rsidRPr="003D4F43">
        <w:rPr>
          <w:rFonts w:ascii="Times New Roman" w:hAnsi="Times New Roman" w:cs="Times New Roman"/>
          <w:sz w:val="21"/>
          <w:szCs w:val="21"/>
        </w:rPr>
        <w:t xml:space="preserve">]. </w:t>
      </w:r>
    </w:p>
    <w:p w:rsidR="00B233DE" w:rsidRPr="00476B6D" w:rsidRDefault="00B233DE" w:rsidP="00B233DE">
      <w:pPr>
        <w:ind w:firstLine="708"/>
        <w:jc w:val="both"/>
        <w:rPr>
          <w:rFonts w:ascii="Times New Roman" w:hAnsi="Times New Roman" w:cs="Times New Roman"/>
          <w:color w:val="000000"/>
          <w:sz w:val="21"/>
          <w:szCs w:val="21"/>
          <w:shd w:val="clear" w:color="auto" w:fill="FFFFFF"/>
        </w:rPr>
      </w:pPr>
      <w:r w:rsidRPr="003D4F43">
        <w:rPr>
          <w:rFonts w:ascii="Times New Roman" w:hAnsi="Times New Roman" w:cs="Times New Roman"/>
          <w:sz w:val="21"/>
          <w:szCs w:val="21"/>
        </w:rPr>
        <w:t>Як стверджує В. Брич</w:t>
      </w:r>
      <w:r>
        <w:rPr>
          <w:rFonts w:ascii="Times New Roman" w:hAnsi="Times New Roman" w:cs="Times New Roman"/>
          <w:sz w:val="21"/>
          <w:szCs w:val="21"/>
        </w:rPr>
        <w:t>: «ринок праці –</w:t>
      </w:r>
      <w:r w:rsidRPr="003D4F43">
        <w:rPr>
          <w:rFonts w:ascii="Times New Roman" w:hAnsi="Times New Roman" w:cs="Times New Roman"/>
          <w:sz w:val="21"/>
          <w:szCs w:val="21"/>
        </w:rPr>
        <w:t xml:space="preserve"> це система трудових відносин, що відбиває рівень соціального розвитку і досягнутий на даний період баланс інтересів між суб’єктами, що беруть участь на ринку праці: роботодавцями, працівниками, державо</w:t>
      </w:r>
      <w:r>
        <w:rPr>
          <w:rFonts w:ascii="Times New Roman" w:hAnsi="Times New Roman" w:cs="Times New Roman"/>
          <w:sz w:val="21"/>
          <w:szCs w:val="21"/>
        </w:rPr>
        <w:t>ю, профспілками і посередниками»</w:t>
      </w:r>
      <w:r w:rsidRPr="003D4F4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_Ref433976629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16</w:t>
      </w:r>
      <w:r>
        <w:rPr>
          <w:rFonts w:ascii="Times New Roman" w:hAnsi="Times New Roman" w:cs="Times New Roman"/>
          <w:sz w:val="21"/>
          <w:szCs w:val="21"/>
          <w:highlight w:val="yellow"/>
        </w:rPr>
        <w:fldChar w:fldCharType="end"/>
      </w:r>
      <w:r w:rsidRPr="003D4F43">
        <w:rPr>
          <w:rFonts w:ascii="Times New Roman" w:hAnsi="Times New Roman" w:cs="Times New Roman"/>
          <w:sz w:val="21"/>
          <w:szCs w:val="21"/>
        </w:rPr>
        <w:t xml:space="preserve">]. </w:t>
      </w:r>
      <w:r w:rsidRPr="003D4F43">
        <w:rPr>
          <w:rFonts w:ascii="Times New Roman" w:hAnsi="Times New Roman" w:cs="Times New Roman"/>
          <w:color w:val="000000"/>
          <w:sz w:val="21"/>
          <w:szCs w:val="21"/>
          <w:shd w:val="clear" w:color="auto" w:fill="FFFFFF"/>
        </w:rPr>
        <w:t xml:space="preserve">Проаналізувавши наукові праці даних дослідників, можна розглядати трактування поняття «ринку праці» з точки зору двох підходів: функціонального та діалектичного. </w:t>
      </w:r>
      <w:r w:rsidRPr="00025976">
        <w:rPr>
          <w:rFonts w:ascii="Times New Roman" w:hAnsi="Times New Roman" w:cs="Times New Roman"/>
          <w:sz w:val="21"/>
          <w:szCs w:val="21"/>
        </w:rPr>
        <w:t>Функціональний підхід поняття ринку праці, за умов</w:t>
      </w:r>
      <w:r w:rsidRPr="00025976">
        <w:rPr>
          <w:rFonts w:ascii="Times New Roman" w:hAnsi="Times New Roman" w:cs="Times New Roman"/>
          <w:b/>
          <w:sz w:val="21"/>
          <w:szCs w:val="21"/>
        </w:rPr>
        <w:t xml:space="preserve"> </w:t>
      </w:r>
      <w:r w:rsidRPr="00025976">
        <w:rPr>
          <w:rFonts w:ascii="Times New Roman" w:hAnsi="Times New Roman" w:cs="Times New Roman"/>
          <w:sz w:val="21"/>
          <w:szCs w:val="21"/>
        </w:rPr>
        <w:t xml:space="preserve">врахування різноманіття існуючих форм праці і специфічності робочої сили, спостерігається в наведеному визначенні В. Дружиніної. Вона зазначає, що ринок праці – це система трудових відносин, що відображають рівень соціального розвитку і досягнутий баланс інтересів між суб’єктами: працедавцями, працівниками, державою, профспілками і посередниками, комплексна поведінка яких розглядається через функції: розподільну, регулятивну, інформаційну, посередницьку, стимулюючу, оздоровчу, головною з яких виділена розподільна </w:t>
      </w:r>
      <w:r w:rsidRPr="008A5156">
        <w:rPr>
          <w:rFonts w:ascii="Times New Roman" w:hAnsi="Times New Roman" w:cs="Times New Roman"/>
          <w:spacing w:val="-4"/>
          <w:sz w:val="21"/>
          <w:szCs w:val="21"/>
        </w:rPr>
        <w:t>функція, яка відображає усі соціально-економічні явища [</w:t>
      </w:r>
      <w:r w:rsidRPr="008A5156">
        <w:rPr>
          <w:rFonts w:ascii="Times New Roman" w:hAnsi="Times New Roman" w:cs="Times New Roman"/>
          <w:spacing w:val="-4"/>
          <w:sz w:val="21"/>
          <w:szCs w:val="21"/>
        </w:rPr>
        <w:fldChar w:fldCharType="begin"/>
      </w:r>
      <w:r w:rsidRPr="008A5156">
        <w:rPr>
          <w:rFonts w:ascii="Times New Roman" w:hAnsi="Times New Roman" w:cs="Times New Roman"/>
          <w:spacing w:val="-4"/>
          <w:sz w:val="21"/>
          <w:szCs w:val="21"/>
        </w:rPr>
        <w:instrText xml:space="preserve"> REF _Ref433976638 \r \h  \* MERGEFORMAT </w:instrText>
      </w:r>
      <w:r w:rsidRPr="008A5156">
        <w:rPr>
          <w:rFonts w:ascii="Times New Roman" w:hAnsi="Times New Roman" w:cs="Times New Roman"/>
          <w:spacing w:val="-4"/>
          <w:sz w:val="21"/>
          <w:szCs w:val="21"/>
        </w:rPr>
      </w:r>
      <w:r w:rsidRPr="008A5156">
        <w:rPr>
          <w:rFonts w:ascii="Times New Roman" w:hAnsi="Times New Roman" w:cs="Times New Roman"/>
          <w:spacing w:val="-4"/>
          <w:sz w:val="21"/>
          <w:szCs w:val="21"/>
        </w:rPr>
        <w:fldChar w:fldCharType="separate"/>
      </w:r>
      <w:r>
        <w:rPr>
          <w:rFonts w:ascii="Times New Roman" w:hAnsi="Times New Roman" w:cs="Times New Roman"/>
          <w:spacing w:val="-4"/>
          <w:sz w:val="21"/>
          <w:szCs w:val="21"/>
        </w:rPr>
        <w:t>34</w:t>
      </w:r>
      <w:r w:rsidRPr="008A5156">
        <w:rPr>
          <w:rFonts w:ascii="Times New Roman" w:hAnsi="Times New Roman" w:cs="Times New Roman"/>
          <w:spacing w:val="-4"/>
          <w:sz w:val="21"/>
          <w:szCs w:val="21"/>
        </w:rPr>
        <w:fldChar w:fldCharType="end"/>
      </w:r>
      <w:r w:rsidRPr="008A5156">
        <w:rPr>
          <w:rFonts w:ascii="Times New Roman" w:hAnsi="Times New Roman" w:cs="Times New Roman"/>
          <w:spacing w:val="-4"/>
          <w:sz w:val="21"/>
          <w:szCs w:val="21"/>
        </w:rPr>
        <w:t>, с. 58–59].</w:t>
      </w:r>
    </w:p>
    <w:p w:rsidR="00B233DE" w:rsidRPr="003D4F43" w:rsidRDefault="00B233DE" w:rsidP="00B233DE">
      <w:pPr>
        <w:ind w:firstLine="708"/>
        <w:jc w:val="both"/>
        <w:rPr>
          <w:rFonts w:ascii="Times New Roman" w:hAnsi="Times New Roman" w:cs="Times New Roman"/>
          <w:color w:val="000000"/>
          <w:sz w:val="21"/>
          <w:szCs w:val="21"/>
          <w:shd w:val="clear" w:color="auto" w:fill="FFFFFF"/>
        </w:rPr>
      </w:pPr>
      <w:r w:rsidRPr="00476B6D">
        <w:rPr>
          <w:rFonts w:ascii="Times New Roman" w:hAnsi="Times New Roman" w:cs="Times New Roman"/>
          <w:color w:val="000000"/>
          <w:sz w:val="21"/>
          <w:szCs w:val="21"/>
          <w:shd w:val="clear" w:color="auto" w:fill="FFFFFF"/>
        </w:rPr>
        <w:t>Функціональний підхід, таким чином, передбачає трактування ринку праці як механізму функціонування певних процесів, які відбуваються на ринку праці, а діалектичний –</w:t>
      </w:r>
      <w:r w:rsidRPr="003D4F43">
        <w:rPr>
          <w:rFonts w:ascii="Times New Roman" w:hAnsi="Times New Roman" w:cs="Times New Roman"/>
          <w:color w:val="000000"/>
          <w:sz w:val="21"/>
          <w:szCs w:val="21"/>
          <w:shd w:val="clear" w:color="auto" w:fill="FFFFFF"/>
        </w:rPr>
        <w:t xml:space="preserve"> як систему економічних відносин між роботодавцем та працівником. Дані визначення наведені у таблиці </w:t>
      </w:r>
      <w:r>
        <w:rPr>
          <w:rFonts w:ascii="Times New Roman" w:hAnsi="Times New Roman" w:cs="Times New Roman"/>
          <w:color w:val="000000"/>
          <w:sz w:val="21"/>
          <w:szCs w:val="21"/>
          <w:shd w:val="clear" w:color="auto" w:fill="FFFFFF"/>
        </w:rPr>
        <w:t>3</w:t>
      </w:r>
      <w:r w:rsidRPr="003D4F43">
        <w:rPr>
          <w:rFonts w:ascii="Times New Roman" w:hAnsi="Times New Roman" w:cs="Times New Roman"/>
          <w:color w:val="000000"/>
          <w:sz w:val="21"/>
          <w:szCs w:val="21"/>
          <w:shd w:val="clear" w:color="auto" w:fill="FFFFFF"/>
        </w:rPr>
        <w:t>.1</w:t>
      </w:r>
      <w:r>
        <w:rPr>
          <w:rFonts w:ascii="Times New Roman" w:hAnsi="Times New Roman" w:cs="Times New Roman"/>
          <w:color w:val="000000"/>
          <w:sz w:val="21"/>
          <w:szCs w:val="21"/>
          <w:shd w:val="clear" w:color="auto" w:fill="FFFFFF"/>
        </w:rPr>
        <w:t>.</w:t>
      </w:r>
    </w:p>
    <w:p w:rsidR="00B233DE" w:rsidRPr="00025976" w:rsidRDefault="00B233DE" w:rsidP="00B233DE">
      <w:pPr>
        <w:ind w:firstLine="709"/>
        <w:jc w:val="both"/>
        <w:rPr>
          <w:rFonts w:ascii="Times New Roman" w:eastAsia="ArialMT" w:hAnsi="Times New Roman" w:cs="Times New Roman"/>
          <w:sz w:val="21"/>
          <w:szCs w:val="21"/>
        </w:rPr>
      </w:pPr>
      <w:r w:rsidRPr="00025976">
        <w:rPr>
          <w:rFonts w:ascii="Times New Roman" w:eastAsia="TimesNewRomanPSMT" w:hAnsi="Times New Roman" w:cs="Times New Roman"/>
          <w:sz w:val="21"/>
          <w:szCs w:val="21"/>
        </w:rPr>
        <w:t>Серед численних наукових підходів</w:t>
      </w:r>
      <w:r w:rsidRPr="00025976">
        <w:rPr>
          <w:rFonts w:ascii="Times New Roman" w:eastAsia="TimesNewRomanPSMT" w:hAnsi="Times New Roman" w:cs="Times New Roman"/>
          <w:i/>
          <w:sz w:val="21"/>
          <w:szCs w:val="21"/>
        </w:rPr>
        <w:t xml:space="preserve"> </w:t>
      </w:r>
      <w:r w:rsidRPr="00025976">
        <w:rPr>
          <w:rFonts w:ascii="Times New Roman" w:eastAsia="TimesNewRomanPSMT" w:hAnsi="Times New Roman" w:cs="Times New Roman"/>
          <w:sz w:val="21"/>
          <w:szCs w:val="21"/>
        </w:rPr>
        <w:t>сучасне</w:t>
      </w:r>
      <w:r w:rsidRPr="00025976">
        <w:rPr>
          <w:rFonts w:ascii="Times New Roman" w:eastAsia="TimesNewRomanPSMT" w:hAnsi="Times New Roman" w:cs="Times New Roman"/>
          <w:i/>
          <w:sz w:val="21"/>
          <w:szCs w:val="21"/>
        </w:rPr>
        <w:t xml:space="preserve"> </w:t>
      </w:r>
      <w:r w:rsidRPr="00025976">
        <w:rPr>
          <w:rFonts w:ascii="Times New Roman" w:eastAsia="TimesNewRomanPSMT" w:hAnsi="Times New Roman" w:cs="Times New Roman"/>
          <w:sz w:val="21"/>
          <w:szCs w:val="21"/>
        </w:rPr>
        <w:t>поняття «ринку праці»</w:t>
      </w:r>
      <w:r w:rsidRPr="00025976">
        <w:rPr>
          <w:rFonts w:ascii="Times New Roman" w:eastAsia="TimesNewRomanPSMT" w:hAnsi="Times New Roman" w:cs="Times New Roman"/>
          <w:i/>
          <w:sz w:val="21"/>
          <w:szCs w:val="21"/>
        </w:rPr>
        <w:t xml:space="preserve"> </w:t>
      </w:r>
      <w:r w:rsidRPr="00025976">
        <w:rPr>
          <w:rFonts w:ascii="Times New Roman" w:eastAsia="TimesNewRomanPSMT" w:hAnsi="Times New Roman" w:cs="Times New Roman"/>
          <w:sz w:val="21"/>
          <w:szCs w:val="21"/>
        </w:rPr>
        <w:t>найбільш узагальнено розкривається А. Колотом, який характеризує його «як найскладніший елемент ринкової економіки» [</w:t>
      </w:r>
      <w:r>
        <w:rPr>
          <w:rFonts w:ascii="Times New Roman" w:hAnsi="Times New Roman" w:cs="Times New Roman"/>
          <w:sz w:val="21"/>
          <w:szCs w:val="21"/>
          <w:highlight w:val="yellow"/>
        </w:rPr>
        <w:fldChar w:fldCharType="begin"/>
      </w:r>
      <w:r>
        <w:rPr>
          <w:rFonts w:ascii="Times New Roman" w:eastAsia="TimesNewRomanPSMT" w:hAnsi="Times New Roman" w:cs="Times New Roman"/>
          <w:sz w:val="21"/>
          <w:szCs w:val="21"/>
        </w:rPr>
        <w:instrText xml:space="preserve"> REF _Ref433976653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eastAsia="TimesNewRomanPSMT" w:hAnsi="Times New Roman" w:cs="Times New Roman"/>
          <w:sz w:val="21"/>
          <w:szCs w:val="21"/>
        </w:rPr>
        <w:t>53</w:t>
      </w:r>
      <w:r>
        <w:rPr>
          <w:rFonts w:ascii="Times New Roman" w:hAnsi="Times New Roman" w:cs="Times New Roman"/>
          <w:sz w:val="21"/>
          <w:szCs w:val="21"/>
          <w:highlight w:val="yellow"/>
        </w:rPr>
        <w:fldChar w:fldCharType="end"/>
      </w:r>
      <w:r w:rsidRPr="00025976">
        <w:rPr>
          <w:rFonts w:ascii="Times New Roman" w:eastAsia="TimesNewRomanPSMT" w:hAnsi="Times New Roman" w:cs="Times New Roman"/>
          <w:sz w:val="21"/>
          <w:szCs w:val="21"/>
        </w:rPr>
        <w:t xml:space="preserve">, с. </w:t>
      </w:r>
      <w:r w:rsidRPr="00025976">
        <w:rPr>
          <w:rFonts w:ascii="Times New Roman" w:eastAsia="TimesNewRomanPSMT" w:hAnsi="Times New Roman" w:cs="Times New Roman"/>
          <w:iCs/>
          <w:sz w:val="21"/>
          <w:szCs w:val="21"/>
        </w:rPr>
        <w:t>184</w:t>
      </w:r>
      <w:r w:rsidRPr="00025976">
        <w:rPr>
          <w:rFonts w:ascii="Times New Roman" w:eastAsia="TimesNewRomanPSMT" w:hAnsi="Times New Roman" w:cs="Times New Roman"/>
          <w:sz w:val="21"/>
          <w:szCs w:val="21"/>
        </w:rPr>
        <w:t>]</w:t>
      </w:r>
      <w:r w:rsidRPr="00025976">
        <w:rPr>
          <w:rFonts w:ascii="Times New Roman" w:hAnsi="Times New Roman" w:cs="Times New Roman"/>
          <w:b/>
          <w:bCs/>
          <w:sz w:val="21"/>
          <w:szCs w:val="21"/>
        </w:rPr>
        <w:t>.</w:t>
      </w:r>
      <w:r w:rsidRPr="00025976">
        <w:rPr>
          <w:rFonts w:ascii="Times New Roman" w:hAnsi="Times New Roman" w:cs="Times New Roman"/>
          <w:sz w:val="21"/>
          <w:szCs w:val="21"/>
        </w:rPr>
        <w:t xml:space="preserve"> </w:t>
      </w:r>
      <w:r>
        <w:rPr>
          <w:rFonts w:ascii="Times New Roman" w:eastAsia="ArialMT" w:hAnsi="Times New Roman" w:cs="Times New Roman"/>
          <w:sz w:val="21"/>
          <w:szCs w:val="21"/>
        </w:rPr>
        <w:t>І. </w:t>
      </w:r>
      <w:r w:rsidRPr="00025976">
        <w:rPr>
          <w:rFonts w:ascii="Times New Roman" w:eastAsia="ArialMT" w:hAnsi="Times New Roman" w:cs="Times New Roman"/>
          <w:sz w:val="21"/>
          <w:szCs w:val="21"/>
        </w:rPr>
        <w:t>Філіпова пропонує сприймати ринок праці «як фундамент національної економіки, а трудові ресурси – як основу, без якої функціонування економіки припиняється, втрачається мета її існування і рушійна сила розвитку» [</w:t>
      </w:r>
      <w:r>
        <w:rPr>
          <w:rFonts w:ascii="Times New Roman" w:hAnsi="Times New Roman" w:cs="Times New Roman"/>
          <w:sz w:val="21"/>
          <w:szCs w:val="21"/>
          <w:highlight w:val="yellow"/>
        </w:rPr>
        <w:fldChar w:fldCharType="begin"/>
      </w:r>
      <w:r>
        <w:rPr>
          <w:rFonts w:ascii="Times New Roman" w:eastAsia="ArialMT" w:hAnsi="Times New Roman" w:cs="Times New Roman"/>
          <w:sz w:val="21"/>
          <w:szCs w:val="21"/>
        </w:rPr>
        <w:instrText xml:space="preserve"> REF _Ref433976675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eastAsia="ArialMT" w:hAnsi="Times New Roman" w:cs="Times New Roman"/>
          <w:sz w:val="21"/>
          <w:szCs w:val="21"/>
        </w:rPr>
        <w:t>107</w:t>
      </w:r>
      <w:r>
        <w:rPr>
          <w:rFonts w:ascii="Times New Roman" w:hAnsi="Times New Roman" w:cs="Times New Roman"/>
          <w:sz w:val="21"/>
          <w:szCs w:val="21"/>
          <w:highlight w:val="yellow"/>
        </w:rPr>
        <w:fldChar w:fldCharType="end"/>
      </w:r>
      <w:r w:rsidRPr="00025976">
        <w:rPr>
          <w:rFonts w:ascii="Times New Roman" w:eastAsia="ArialMT" w:hAnsi="Times New Roman" w:cs="Times New Roman"/>
          <w:sz w:val="21"/>
          <w:szCs w:val="21"/>
        </w:rPr>
        <w:t>].</w:t>
      </w:r>
    </w:p>
    <w:p w:rsidR="00B233DE" w:rsidRPr="00025976" w:rsidRDefault="00B233DE" w:rsidP="00B233DE">
      <w:pPr>
        <w:ind w:firstLine="709"/>
        <w:jc w:val="both"/>
        <w:rPr>
          <w:rFonts w:ascii="Times New Roman" w:hAnsi="Times New Roman" w:cs="Times New Roman"/>
          <w:sz w:val="21"/>
          <w:szCs w:val="21"/>
        </w:rPr>
      </w:pPr>
      <w:r w:rsidRPr="00025976">
        <w:rPr>
          <w:rFonts w:ascii="Times New Roman" w:eastAsia="TimesNewRomanPSMT" w:hAnsi="Times New Roman" w:cs="Times New Roman"/>
          <w:sz w:val="21"/>
          <w:szCs w:val="21"/>
        </w:rPr>
        <w:lastRenderedPageBreak/>
        <w:t>Вчені [</w:t>
      </w:r>
      <w:r>
        <w:rPr>
          <w:rFonts w:ascii="Times New Roman" w:hAnsi="Times New Roman" w:cs="Times New Roman"/>
          <w:sz w:val="21"/>
          <w:szCs w:val="21"/>
        </w:rPr>
        <w:fldChar w:fldCharType="begin"/>
      </w:r>
      <w:r>
        <w:rPr>
          <w:rFonts w:ascii="Times New Roman" w:eastAsia="TimesNewRomanPSMT" w:hAnsi="Times New Roman" w:cs="Times New Roman"/>
          <w:sz w:val="21"/>
          <w:szCs w:val="21"/>
        </w:rPr>
        <w:instrText xml:space="preserve"> REF _Ref433976688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eastAsia="TimesNewRomanPSMT" w:hAnsi="Times New Roman" w:cs="Times New Roman"/>
          <w:sz w:val="21"/>
          <w:szCs w:val="21"/>
        </w:rPr>
        <w:t>14</w:t>
      </w:r>
      <w:r>
        <w:rPr>
          <w:rFonts w:ascii="Times New Roman" w:hAnsi="Times New Roman" w:cs="Times New Roman"/>
          <w:sz w:val="21"/>
          <w:szCs w:val="21"/>
        </w:rPr>
        <w:fldChar w:fldCharType="end"/>
      </w:r>
      <w:r w:rsidRPr="00025976">
        <w:rPr>
          <w:rFonts w:ascii="Times New Roman" w:eastAsia="TimesNewRomanPSMT" w:hAnsi="Times New Roman" w:cs="Times New Roman"/>
          <w:sz w:val="21"/>
          <w:szCs w:val="21"/>
        </w:rPr>
        <w:t xml:space="preserve">, с. </w:t>
      </w:r>
      <w:r w:rsidRPr="00025976">
        <w:rPr>
          <w:rFonts w:ascii="Times New Roman" w:eastAsia="TimesNewRomanPSMT" w:hAnsi="Times New Roman" w:cs="Times New Roman"/>
          <w:iCs/>
          <w:sz w:val="21"/>
          <w:szCs w:val="21"/>
        </w:rPr>
        <w:t>27</w:t>
      </w:r>
      <w:r w:rsidRPr="00025976">
        <w:rPr>
          <w:rFonts w:ascii="Times New Roman" w:eastAsia="TimesNewRomanPSMT" w:hAnsi="Times New Roman" w:cs="Times New Roman"/>
          <w:sz w:val="21"/>
          <w:szCs w:val="21"/>
        </w:rPr>
        <w:t>] схиляються до думки, що ринок праці є складовою частиною структури ринкової економіки, яка функціонує в ній разом з</w:t>
      </w:r>
      <w:r>
        <w:rPr>
          <w:rFonts w:ascii="Times New Roman" w:eastAsia="TimesNewRomanPSMT" w:hAnsi="Times New Roman" w:cs="Times New Roman"/>
          <w:sz w:val="21"/>
          <w:szCs w:val="21"/>
        </w:rPr>
        <w:t xml:space="preserve"> іншими ринками. Натомість В.</w:t>
      </w:r>
      <w:r w:rsidRPr="00025976">
        <w:rPr>
          <w:rFonts w:ascii="Times New Roman" w:eastAsia="TimesNewRomanPSMT" w:hAnsi="Times New Roman" w:cs="Times New Roman"/>
          <w:sz w:val="21"/>
          <w:szCs w:val="21"/>
        </w:rPr>
        <w:t xml:space="preserve"> Герасимчук стверджує, що ринок праці є похідним від ринку товарів і послуг [</w:t>
      </w:r>
      <w:r>
        <w:rPr>
          <w:rFonts w:ascii="Times New Roman" w:hAnsi="Times New Roman" w:cs="Times New Roman"/>
          <w:sz w:val="21"/>
          <w:szCs w:val="21"/>
          <w:highlight w:val="yellow"/>
        </w:rPr>
        <w:fldChar w:fldCharType="begin"/>
      </w:r>
      <w:r>
        <w:rPr>
          <w:rFonts w:ascii="Times New Roman" w:eastAsia="TimesNewRomanPSMT" w:hAnsi="Times New Roman" w:cs="Times New Roman"/>
          <w:sz w:val="21"/>
          <w:szCs w:val="21"/>
        </w:rPr>
        <w:instrText xml:space="preserve"> REF _Ref433976695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eastAsia="TimesNewRomanPSMT" w:hAnsi="Times New Roman" w:cs="Times New Roman"/>
          <w:sz w:val="21"/>
          <w:szCs w:val="21"/>
        </w:rPr>
        <w:t>22</w:t>
      </w:r>
      <w:r>
        <w:rPr>
          <w:rFonts w:ascii="Times New Roman" w:hAnsi="Times New Roman" w:cs="Times New Roman"/>
          <w:sz w:val="21"/>
          <w:szCs w:val="21"/>
          <w:highlight w:val="yellow"/>
        </w:rPr>
        <w:fldChar w:fldCharType="end"/>
      </w:r>
      <w:r w:rsidRPr="00025976">
        <w:rPr>
          <w:rFonts w:ascii="Times New Roman" w:eastAsia="TimesNewRomanPSMT" w:hAnsi="Times New Roman" w:cs="Times New Roman"/>
          <w:sz w:val="21"/>
          <w:szCs w:val="21"/>
        </w:rPr>
        <w:t xml:space="preserve">, с. </w:t>
      </w:r>
      <w:r w:rsidRPr="00025976">
        <w:rPr>
          <w:rFonts w:ascii="Times New Roman" w:eastAsia="TimesNewRomanPSMT" w:hAnsi="Times New Roman" w:cs="Times New Roman"/>
          <w:iCs/>
          <w:sz w:val="21"/>
          <w:szCs w:val="21"/>
        </w:rPr>
        <w:t>9</w:t>
      </w:r>
      <w:r w:rsidRPr="00025976">
        <w:rPr>
          <w:rFonts w:ascii="Times New Roman" w:eastAsia="TimesNewRomanPSMT" w:hAnsi="Times New Roman" w:cs="Times New Roman"/>
          <w:sz w:val="21"/>
          <w:szCs w:val="21"/>
        </w:rPr>
        <w:t>]. Існує думка [</w:t>
      </w:r>
      <w:r>
        <w:rPr>
          <w:rFonts w:ascii="Times New Roman" w:hAnsi="Times New Roman" w:cs="Times New Roman"/>
          <w:sz w:val="21"/>
          <w:szCs w:val="21"/>
          <w:highlight w:val="yellow"/>
        </w:rPr>
        <w:fldChar w:fldCharType="begin"/>
      </w:r>
      <w:r>
        <w:rPr>
          <w:rFonts w:ascii="Times New Roman" w:eastAsia="TimesNewRomanPSMT" w:hAnsi="Times New Roman" w:cs="Times New Roman"/>
          <w:sz w:val="21"/>
          <w:szCs w:val="21"/>
        </w:rPr>
        <w:instrText xml:space="preserve"> REF _Ref433976700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eastAsia="TimesNewRomanPSMT" w:hAnsi="Times New Roman" w:cs="Times New Roman"/>
          <w:sz w:val="21"/>
          <w:szCs w:val="21"/>
        </w:rPr>
        <w:t>8</w:t>
      </w:r>
      <w:r>
        <w:rPr>
          <w:rFonts w:ascii="Times New Roman" w:hAnsi="Times New Roman" w:cs="Times New Roman"/>
          <w:sz w:val="21"/>
          <w:szCs w:val="21"/>
          <w:highlight w:val="yellow"/>
        </w:rPr>
        <w:fldChar w:fldCharType="end"/>
      </w:r>
      <w:r w:rsidRPr="00025976">
        <w:rPr>
          <w:rFonts w:ascii="Times New Roman" w:eastAsia="TimesNewRomanPSMT" w:hAnsi="Times New Roman" w:cs="Times New Roman"/>
          <w:sz w:val="21"/>
          <w:szCs w:val="21"/>
        </w:rPr>
        <w:t xml:space="preserve">, с. 45], що </w:t>
      </w:r>
      <w:r w:rsidRPr="00025976">
        <w:rPr>
          <w:rFonts w:ascii="Times New Roman" w:hAnsi="Times New Roman" w:cs="Times New Roman"/>
          <w:sz w:val="21"/>
          <w:szCs w:val="21"/>
        </w:rPr>
        <w:t xml:space="preserve">ринок праці </w:t>
      </w:r>
      <w:r w:rsidRPr="00025976">
        <w:rPr>
          <w:rFonts w:ascii="Times New Roman" w:eastAsia="TimesNewRomanPSMT" w:hAnsi="Times New Roman" w:cs="Times New Roman"/>
          <w:sz w:val="21"/>
          <w:szCs w:val="21"/>
        </w:rPr>
        <w:t xml:space="preserve">– це </w:t>
      </w:r>
      <w:r w:rsidRPr="00025976">
        <w:rPr>
          <w:rFonts w:ascii="Times New Roman" w:hAnsi="Times New Roman" w:cs="Times New Roman"/>
          <w:sz w:val="21"/>
          <w:szCs w:val="21"/>
        </w:rPr>
        <w:t>«специфічний вид товарного ринку, змістом якого є реалізація (купівля-п</w:t>
      </w:r>
      <w:r>
        <w:rPr>
          <w:rFonts w:ascii="Times New Roman" w:hAnsi="Times New Roman" w:cs="Times New Roman"/>
          <w:sz w:val="21"/>
          <w:szCs w:val="21"/>
        </w:rPr>
        <w:t xml:space="preserve">родаж) товару особливого роду – </w:t>
      </w:r>
      <w:r w:rsidRPr="00025976">
        <w:rPr>
          <w:rFonts w:ascii="Times New Roman" w:hAnsi="Times New Roman" w:cs="Times New Roman"/>
          <w:sz w:val="21"/>
          <w:szCs w:val="21"/>
        </w:rPr>
        <w:t>робочої сили або здатності людини до праці»; як суспільно-економічної форми руху трудових ресурсів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_Ref433976707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117</w:t>
      </w:r>
      <w:r>
        <w:rPr>
          <w:rFonts w:ascii="Times New Roman" w:hAnsi="Times New Roman" w:cs="Times New Roman"/>
          <w:sz w:val="21"/>
          <w:szCs w:val="21"/>
          <w:highlight w:val="yellow"/>
        </w:rPr>
        <w:fldChar w:fldCharType="end"/>
      </w:r>
      <w:r w:rsidRPr="00025976">
        <w:rPr>
          <w:rFonts w:ascii="Times New Roman" w:hAnsi="Times New Roman" w:cs="Times New Roman"/>
          <w:sz w:val="21"/>
          <w:szCs w:val="21"/>
        </w:rPr>
        <w:t xml:space="preserve">, c. 234]. На наш погляд, такий підхід є дещо спрощеним тому, що не розкриває в повному обсязі всі аспекти даної економічної категорії. </w:t>
      </w:r>
    </w:p>
    <w:p w:rsidR="00B233DE" w:rsidRPr="00025976" w:rsidRDefault="00B233DE" w:rsidP="00B233DE">
      <w:pPr>
        <w:ind w:firstLine="709"/>
        <w:jc w:val="both"/>
        <w:rPr>
          <w:rFonts w:ascii="Times New Roman" w:eastAsia="TimesNewRomanPSMT" w:hAnsi="Times New Roman" w:cs="Times New Roman"/>
          <w:sz w:val="21"/>
          <w:szCs w:val="21"/>
        </w:rPr>
      </w:pPr>
      <w:r w:rsidRPr="00025976">
        <w:rPr>
          <w:rFonts w:ascii="Times New Roman" w:hAnsi="Times New Roman" w:cs="Times New Roman"/>
          <w:sz w:val="21"/>
          <w:szCs w:val="21"/>
        </w:rPr>
        <w:t xml:space="preserve">В </w:t>
      </w:r>
      <w:r w:rsidRPr="00025976">
        <w:rPr>
          <w:rFonts w:ascii="Times New Roman" w:eastAsia="TimesNewRomanPSMT" w:hAnsi="Times New Roman" w:cs="Times New Roman"/>
          <w:sz w:val="21"/>
          <w:szCs w:val="21"/>
        </w:rPr>
        <w:t xml:space="preserve">енциклопедичних джерелах </w:t>
      </w:r>
      <w:r w:rsidRPr="00025976">
        <w:rPr>
          <w:rFonts w:ascii="Times New Roman" w:hAnsi="Times New Roman" w:cs="Times New Roman"/>
          <w:sz w:val="21"/>
          <w:szCs w:val="21"/>
        </w:rPr>
        <w:t xml:space="preserve">«ринок праці» трактується як </w:t>
      </w:r>
      <w:r w:rsidRPr="00025976">
        <w:rPr>
          <w:rFonts w:ascii="Times New Roman" w:eastAsia="TimesNewRomanPSMT" w:hAnsi="Times New Roman" w:cs="Times New Roman"/>
          <w:sz w:val="21"/>
          <w:szCs w:val="21"/>
        </w:rPr>
        <w:t>сукупність (підсистема) відносин власності [</w:t>
      </w:r>
      <w:r>
        <w:rPr>
          <w:rFonts w:ascii="Times New Roman" w:hAnsi="Times New Roman" w:cs="Times New Roman"/>
          <w:sz w:val="21"/>
          <w:szCs w:val="21"/>
          <w:highlight w:val="yellow"/>
        </w:rPr>
        <w:fldChar w:fldCharType="begin"/>
      </w:r>
      <w:r>
        <w:rPr>
          <w:rFonts w:ascii="Times New Roman" w:eastAsia="TimesNewRomanPSMT" w:hAnsi="Times New Roman" w:cs="Times New Roman"/>
          <w:sz w:val="21"/>
          <w:szCs w:val="21"/>
        </w:rPr>
        <w:instrText xml:space="preserve"> REF _Ref433976718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eastAsia="TimesNewRomanPSMT" w:hAnsi="Times New Roman" w:cs="Times New Roman"/>
          <w:sz w:val="21"/>
          <w:szCs w:val="21"/>
        </w:rPr>
        <w:t>37</w:t>
      </w:r>
      <w:r>
        <w:rPr>
          <w:rFonts w:ascii="Times New Roman" w:hAnsi="Times New Roman" w:cs="Times New Roman"/>
          <w:sz w:val="21"/>
          <w:szCs w:val="21"/>
          <w:highlight w:val="yellow"/>
        </w:rPr>
        <w:fldChar w:fldCharType="end"/>
      </w:r>
      <w:r w:rsidRPr="00025976">
        <w:rPr>
          <w:rFonts w:ascii="Times New Roman" w:eastAsia="TimesNewRomanPSMT" w:hAnsi="Times New Roman" w:cs="Times New Roman"/>
          <w:sz w:val="21"/>
          <w:szCs w:val="21"/>
        </w:rPr>
        <w:t xml:space="preserve">, с. </w:t>
      </w:r>
      <w:r w:rsidRPr="00025976">
        <w:rPr>
          <w:rFonts w:ascii="Times New Roman" w:eastAsia="TimesNewRomanPSMT" w:hAnsi="Times New Roman" w:cs="Times New Roman"/>
          <w:iCs/>
          <w:sz w:val="21"/>
          <w:szCs w:val="21"/>
        </w:rPr>
        <w:t>247</w:t>
      </w:r>
      <w:r w:rsidRPr="00025976">
        <w:rPr>
          <w:rFonts w:ascii="Times New Roman" w:eastAsia="TimesNewRomanPSMT" w:hAnsi="Times New Roman" w:cs="Times New Roman"/>
          <w:sz w:val="21"/>
          <w:szCs w:val="21"/>
        </w:rPr>
        <w:t xml:space="preserve">]. </w:t>
      </w:r>
      <w:r w:rsidRPr="00025976">
        <w:rPr>
          <w:rFonts w:ascii="Times New Roman" w:hAnsi="Times New Roman" w:cs="Times New Roman"/>
          <w:sz w:val="21"/>
          <w:szCs w:val="21"/>
        </w:rPr>
        <w:t>Згідно Закону України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_Ref433976727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91</w:t>
      </w:r>
      <w:r>
        <w:rPr>
          <w:rFonts w:ascii="Times New Roman" w:hAnsi="Times New Roman" w:cs="Times New Roman"/>
          <w:sz w:val="21"/>
          <w:szCs w:val="21"/>
          <w:highlight w:val="yellow"/>
        </w:rPr>
        <w:fldChar w:fldCharType="end"/>
      </w:r>
      <w:r>
        <w:rPr>
          <w:rFonts w:ascii="Times New Roman" w:hAnsi="Times New Roman" w:cs="Times New Roman"/>
          <w:sz w:val="21"/>
          <w:szCs w:val="21"/>
        </w:rPr>
        <w:t xml:space="preserve">], ринок праці – </w:t>
      </w:r>
      <w:r w:rsidRPr="00025976">
        <w:rPr>
          <w:rFonts w:ascii="Times New Roman" w:hAnsi="Times New Roman" w:cs="Times New Roman"/>
          <w:sz w:val="21"/>
          <w:szCs w:val="21"/>
        </w:rPr>
        <w:t xml:space="preserve">це система правових, соціально-трудових, економічних та організаційних відносин, що виникають між особами, які шукають роботу, працівниками, професійними спілками, роботодавцями та їх організаціями, органами державної влади у сфері задоволення потреби працівників у зайнятості, а роботодавців – у найманні працівників відповідно до законодавства. На наш погляд, дані визначення ринку праці характеризуються хрестоматійним підходом. </w:t>
      </w:r>
    </w:p>
    <w:p w:rsidR="00B233DE" w:rsidRPr="00025976" w:rsidRDefault="00B233DE" w:rsidP="00B233DE">
      <w:pPr>
        <w:ind w:firstLine="709"/>
        <w:jc w:val="both"/>
        <w:rPr>
          <w:rFonts w:ascii="Times New Roman" w:hAnsi="Times New Roman" w:cs="Times New Roman"/>
          <w:sz w:val="21"/>
          <w:szCs w:val="21"/>
        </w:rPr>
      </w:pPr>
      <w:r w:rsidRPr="00025976">
        <w:rPr>
          <w:rFonts w:ascii="Times New Roman" w:hAnsi="Times New Roman" w:cs="Times New Roman"/>
          <w:sz w:val="21"/>
          <w:szCs w:val="21"/>
        </w:rPr>
        <w:t>Інші дослідники стверджують, що ринок праці – це система виробничих відносин між робітниками, підприємцями і державою, по-перше, з приводу обміну індивідуальної здібності до праці на фонд засобів, необхідних для відтворення робочої сили, та, по-друге, з приводу розміщення робітників в системі суспільного розподілу праці у відповідності до законів товарного виробництва та обороту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_Ref433976734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38</w:t>
      </w:r>
      <w:r>
        <w:rPr>
          <w:rFonts w:ascii="Times New Roman" w:hAnsi="Times New Roman" w:cs="Times New Roman"/>
          <w:sz w:val="21"/>
          <w:szCs w:val="21"/>
          <w:highlight w:val="yellow"/>
        </w:rPr>
        <w:fldChar w:fldCharType="end"/>
      </w:r>
      <w:r w:rsidRPr="00025976">
        <w:rPr>
          <w:rFonts w:ascii="Times New Roman" w:hAnsi="Times New Roman" w:cs="Times New Roman"/>
          <w:sz w:val="21"/>
          <w:szCs w:val="21"/>
        </w:rPr>
        <w:t xml:space="preserve">, c. 234]. Вчені </w:t>
      </w:r>
      <w:r w:rsidRPr="00025976">
        <w:rPr>
          <w:rStyle w:val="A00"/>
          <w:rFonts w:ascii="Times New Roman" w:hAnsi="Times New Roman" w:cs="Times New Roman"/>
          <w:color w:val="auto"/>
          <w:sz w:val="21"/>
          <w:szCs w:val="21"/>
        </w:rPr>
        <w:t>[</w:t>
      </w:r>
      <w:r>
        <w:rPr>
          <w:rFonts w:ascii="Times New Roman" w:hAnsi="Times New Roman" w:cs="Times New Roman"/>
          <w:sz w:val="21"/>
          <w:szCs w:val="21"/>
          <w:highlight w:val="yellow"/>
        </w:rPr>
        <w:fldChar w:fldCharType="begin"/>
      </w:r>
      <w:r>
        <w:rPr>
          <w:rStyle w:val="A00"/>
          <w:rFonts w:ascii="Times New Roman" w:hAnsi="Times New Roman" w:cs="Times New Roman"/>
          <w:color w:val="auto"/>
          <w:sz w:val="21"/>
          <w:szCs w:val="21"/>
        </w:rPr>
        <w:instrText xml:space="preserve"> REF _Ref433976742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Style w:val="A00"/>
          <w:rFonts w:ascii="Times New Roman" w:hAnsi="Times New Roman" w:cs="Times New Roman"/>
          <w:color w:val="auto"/>
          <w:sz w:val="21"/>
          <w:szCs w:val="21"/>
        </w:rPr>
        <w:t>7</w:t>
      </w:r>
      <w:r>
        <w:rPr>
          <w:rFonts w:ascii="Times New Roman" w:hAnsi="Times New Roman" w:cs="Times New Roman"/>
          <w:sz w:val="21"/>
          <w:szCs w:val="21"/>
          <w:highlight w:val="yellow"/>
        </w:rPr>
        <w:fldChar w:fldCharType="end"/>
      </w:r>
      <w:r w:rsidRPr="00025976">
        <w:rPr>
          <w:rStyle w:val="A00"/>
          <w:rFonts w:ascii="Times New Roman" w:hAnsi="Times New Roman" w:cs="Times New Roman"/>
          <w:color w:val="auto"/>
          <w:sz w:val="21"/>
          <w:szCs w:val="21"/>
        </w:rPr>
        <w:t>, с. 11]</w:t>
      </w:r>
      <w:r w:rsidRPr="00025976">
        <w:rPr>
          <w:rFonts w:ascii="Times New Roman" w:hAnsi="Times New Roman" w:cs="Times New Roman"/>
          <w:sz w:val="21"/>
          <w:szCs w:val="21"/>
        </w:rPr>
        <w:t xml:space="preserve"> вважають, що </w:t>
      </w:r>
      <w:r w:rsidRPr="00025976">
        <w:rPr>
          <w:rStyle w:val="A00"/>
          <w:rFonts w:ascii="Times New Roman" w:hAnsi="Times New Roman" w:cs="Times New Roman"/>
          <w:color w:val="auto"/>
          <w:sz w:val="21"/>
          <w:szCs w:val="21"/>
        </w:rPr>
        <w:t>ринок праці – це система функціональних відносин його суб’єктів (держави, роботодавців, працівників) з приводу формування, розподілу, обміну, використання, відтворення та розвитку робочої сили (людсь</w:t>
      </w:r>
      <w:r>
        <w:rPr>
          <w:rStyle w:val="A00"/>
          <w:rFonts w:ascii="Times New Roman" w:hAnsi="Times New Roman" w:cs="Times New Roman"/>
          <w:color w:val="auto"/>
          <w:sz w:val="21"/>
          <w:szCs w:val="21"/>
        </w:rPr>
        <w:t>кого капіталу як основи товару «послуги робочої сили»</w:t>
      </w:r>
      <w:r w:rsidRPr="00025976">
        <w:rPr>
          <w:rStyle w:val="A00"/>
          <w:rFonts w:ascii="Times New Roman" w:hAnsi="Times New Roman" w:cs="Times New Roman"/>
          <w:color w:val="auto"/>
          <w:sz w:val="21"/>
          <w:szCs w:val="21"/>
        </w:rPr>
        <w:t>). Ф</w:t>
      </w:r>
      <w:r w:rsidRPr="00025976">
        <w:rPr>
          <w:rFonts w:ascii="Times New Roman" w:hAnsi="Times New Roman" w:cs="Times New Roman"/>
          <w:sz w:val="21"/>
          <w:szCs w:val="21"/>
        </w:rPr>
        <w:t>ункціонування ринку праці розглядається з позицій підприємств – як поля взаємовідносин його співробітників, тобто потенційних або фактичних робітників, які думають про перехід на нове місце роботи в межах фірми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_Ref433976749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39</w:t>
      </w:r>
      <w:r>
        <w:rPr>
          <w:rFonts w:ascii="Times New Roman" w:hAnsi="Times New Roman" w:cs="Times New Roman"/>
          <w:sz w:val="21"/>
          <w:szCs w:val="21"/>
          <w:highlight w:val="yellow"/>
        </w:rPr>
        <w:fldChar w:fldCharType="end"/>
      </w:r>
      <w:r w:rsidRPr="00025976">
        <w:rPr>
          <w:rFonts w:ascii="Times New Roman" w:hAnsi="Times New Roman" w:cs="Times New Roman"/>
          <w:sz w:val="21"/>
          <w:szCs w:val="21"/>
        </w:rPr>
        <w:t>, с. 205]. Отже, згідно функціонального</w:t>
      </w:r>
      <w:r w:rsidRPr="00025976">
        <w:rPr>
          <w:rFonts w:ascii="Times New Roman" w:hAnsi="Times New Roman" w:cs="Times New Roman"/>
          <w:b/>
          <w:sz w:val="21"/>
          <w:szCs w:val="21"/>
        </w:rPr>
        <w:t xml:space="preserve"> </w:t>
      </w:r>
      <w:r w:rsidRPr="00025976">
        <w:rPr>
          <w:rFonts w:ascii="Times New Roman" w:hAnsi="Times New Roman" w:cs="Times New Roman"/>
          <w:sz w:val="21"/>
          <w:szCs w:val="21"/>
        </w:rPr>
        <w:t>підходу ринок праці розглядається як засіб відтворення трудового потенціалу, як форма функціонування особистого фактора виробництва і як форма розвитку людського капіталу.</w:t>
      </w:r>
    </w:p>
    <w:p w:rsidR="00B233DE" w:rsidRPr="00025976" w:rsidRDefault="00B233DE" w:rsidP="00B233DE">
      <w:pPr>
        <w:ind w:firstLine="709"/>
        <w:jc w:val="both"/>
        <w:rPr>
          <w:rFonts w:ascii="Times New Roman" w:eastAsia="TimesNewRoman" w:hAnsi="Times New Roman" w:cs="Times New Roman"/>
          <w:sz w:val="21"/>
          <w:szCs w:val="21"/>
        </w:rPr>
      </w:pPr>
      <w:r w:rsidRPr="00025976">
        <w:rPr>
          <w:rFonts w:ascii="Times New Roman" w:hAnsi="Times New Roman" w:cs="Times New Roman"/>
          <w:sz w:val="21"/>
          <w:szCs w:val="21"/>
        </w:rPr>
        <w:lastRenderedPageBreak/>
        <w:t>На наш погляд, найуніверсальнішим є визначення ринку п</w:t>
      </w:r>
      <w:r>
        <w:rPr>
          <w:rFonts w:ascii="Times New Roman" w:hAnsi="Times New Roman" w:cs="Times New Roman"/>
          <w:sz w:val="21"/>
          <w:szCs w:val="21"/>
        </w:rPr>
        <w:t>раці, яке наводиться вченими У. Садовою та Л. Семів. Так, на їх погляд, «ринок праці»</w:t>
      </w:r>
      <w:r w:rsidRPr="00025976">
        <w:rPr>
          <w:rFonts w:ascii="Times New Roman" w:hAnsi="Times New Roman" w:cs="Times New Roman"/>
          <w:sz w:val="21"/>
          <w:szCs w:val="21"/>
        </w:rPr>
        <w:t xml:space="preserve"> необхід</w:t>
      </w:r>
      <w:r>
        <w:rPr>
          <w:rFonts w:ascii="Times New Roman" w:hAnsi="Times New Roman" w:cs="Times New Roman"/>
          <w:sz w:val="21"/>
          <w:szCs w:val="21"/>
        </w:rPr>
        <w:t>но розглядати «</w:t>
      </w:r>
      <w:r w:rsidRPr="00025976">
        <w:rPr>
          <w:rFonts w:ascii="Times New Roman" w:hAnsi="Times New Roman" w:cs="Times New Roman"/>
          <w:sz w:val="21"/>
          <w:szCs w:val="21"/>
        </w:rPr>
        <w:t>і як форму взаємозв’язку між найманими працівниками і власниками капіталу та засобів виробництва; і як систему економічних відносин, які виникають у процесі відтворення робочої сили; і як сферу формування попиту і пропозиції на робочу силу; і як середо</w:t>
      </w:r>
      <w:r>
        <w:rPr>
          <w:rFonts w:ascii="Times New Roman" w:hAnsi="Times New Roman" w:cs="Times New Roman"/>
          <w:sz w:val="21"/>
          <w:szCs w:val="21"/>
        </w:rPr>
        <w:t>вище накопичення, відтворення, «реновації»</w:t>
      </w:r>
      <w:r w:rsidRPr="00025976">
        <w:rPr>
          <w:rFonts w:ascii="Times New Roman" w:hAnsi="Times New Roman" w:cs="Times New Roman"/>
          <w:sz w:val="21"/>
          <w:szCs w:val="21"/>
        </w:rPr>
        <w:t>, використання людського капіталу; і як багатопланову сферу економічного і соціально-політичного життя суспільства з субординаційними зв’язками з навколишнім світом; і як систему суспільних відносин, пов’язаних з наймом та пропозицією праці; і як механізм, що забезпечує узгодження ціни й умов праці між працедавцями і найманими робітниками; і як механізм чи</w:t>
      </w:r>
      <w:r w:rsidRPr="00025976">
        <w:rPr>
          <w:rFonts w:ascii="Times New Roman" w:hAnsi="Times New Roman" w:cs="Times New Roman"/>
          <w:b/>
          <w:sz w:val="21"/>
          <w:szCs w:val="21"/>
        </w:rPr>
        <w:t xml:space="preserve"> </w:t>
      </w:r>
      <w:r>
        <w:rPr>
          <w:rFonts w:ascii="Times New Roman" w:hAnsi="Times New Roman" w:cs="Times New Roman"/>
          <w:sz w:val="21"/>
          <w:szCs w:val="21"/>
        </w:rPr>
        <w:t>«</w:t>
      </w:r>
      <w:r w:rsidRPr="00025976">
        <w:rPr>
          <w:rFonts w:ascii="Times New Roman" w:hAnsi="Times New Roman" w:cs="Times New Roman"/>
          <w:sz w:val="21"/>
          <w:szCs w:val="21"/>
        </w:rPr>
        <w:t>інститут взаємодії споживачів праці і її постачальників, тобто юридичних або фізичних, з одного боку, і конкретних фізичних осіб, які мають фізичні і розумові здібності, професій</w:t>
      </w:r>
      <w:r>
        <w:rPr>
          <w:rFonts w:ascii="Times New Roman" w:hAnsi="Times New Roman" w:cs="Times New Roman"/>
          <w:sz w:val="21"/>
          <w:szCs w:val="21"/>
        </w:rPr>
        <w:t>ні знання та навички – з іншого»</w:t>
      </w:r>
      <w:r w:rsidRPr="00025976">
        <w:rPr>
          <w:rFonts w:ascii="Times New Roman" w:hAnsi="Times New Roman" w:cs="Times New Roman"/>
          <w:sz w:val="21"/>
          <w:szCs w:val="21"/>
        </w:rPr>
        <w:t xml:space="preserve"> [</w:t>
      </w:r>
      <w:r>
        <w:rPr>
          <w:rFonts w:ascii="Times New Roman" w:hAnsi="Times New Roman" w:cs="Times New Roman"/>
          <w:spacing w:val="-2"/>
          <w:sz w:val="21"/>
          <w:szCs w:val="21"/>
          <w:highlight w:val="yellow"/>
        </w:rPr>
        <w:fldChar w:fldCharType="begin"/>
      </w:r>
      <w:r>
        <w:rPr>
          <w:rFonts w:ascii="Times New Roman" w:hAnsi="Times New Roman" w:cs="Times New Roman"/>
          <w:sz w:val="21"/>
          <w:szCs w:val="21"/>
        </w:rPr>
        <w:instrText xml:space="preserve"> REF _Ref433976757 \r \h </w:instrText>
      </w:r>
      <w:r>
        <w:rPr>
          <w:rFonts w:ascii="Times New Roman" w:hAnsi="Times New Roman" w:cs="Times New Roman"/>
          <w:spacing w:val="-2"/>
          <w:sz w:val="21"/>
          <w:szCs w:val="21"/>
          <w:highlight w:val="yellow"/>
        </w:rPr>
      </w:r>
      <w:r>
        <w:rPr>
          <w:rFonts w:ascii="Times New Roman" w:hAnsi="Times New Roman" w:cs="Times New Roman"/>
          <w:spacing w:val="-2"/>
          <w:sz w:val="21"/>
          <w:szCs w:val="21"/>
          <w:highlight w:val="yellow"/>
        </w:rPr>
        <w:fldChar w:fldCharType="separate"/>
      </w:r>
      <w:r>
        <w:rPr>
          <w:rFonts w:ascii="Times New Roman" w:hAnsi="Times New Roman" w:cs="Times New Roman"/>
          <w:sz w:val="21"/>
          <w:szCs w:val="21"/>
        </w:rPr>
        <w:t>101</w:t>
      </w:r>
      <w:r>
        <w:rPr>
          <w:rFonts w:ascii="Times New Roman" w:hAnsi="Times New Roman" w:cs="Times New Roman"/>
          <w:spacing w:val="-2"/>
          <w:sz w:val="21"/>
          <w:szCs w:val="21"/>
          <w:highlight w:val="yellow"/>
        </w:rPr>
        <w:fldChar w:fldCharType="end"/>
      </w:r>
      <w:r w:rsidRPr="00025976">
        <w:rPr>
          <w:rFonts w:ascii="Times New Roman" w:hAnsi="Times New Roman" w:cs="Times New Roman"/>
          <w:sz w:val="21"/>
          <w:szCs w:val="21"/>
        </w:rPr>
        <w:t xml:space="preserve">, с. 19]. </w:t>
      </w:r>
      <w:r w:rsidRPr="00025976">
        <w:rPr>
          <w:rFonts w:ascii="Times New Roman" w:eastAsia="TimesNewRoman" w:hAnsi="Times New Roman" w:cs="Times New Roman"/>
          <w:sz w:val="21"/>
          <w:szCs w:val="21"/>
        </w:rPr>
        <w:t>Проте в тако</w:t>
      </w:r>
      <w:r>
        <w:rPr>
          <w:rFonts w:ascii="Times New Roman" w:eastAsia="TimesNewRoman" w:hAnsi="Times New Roman" w:cs="Times New Roman"/>
          <w:sz w:val="21"/>
          <w:szCs w:val="21"/>
        </w:rPr>
        <w:t>-</w:t>
      </w:r>
      <w:r w:rsidRPr="00025976">
        <w:rPr>
          <w:rFonts w:ascii="Times New Roman" w:eastAsia="TimesNewRoman" w:hAnsi="Times New Roman" w:cs="Times New Roman"/>
          <w:sz w:val="21"/>
          <w:szCs w:val="21"/>
        </w:rPr>
        <w:t>му трактуванні ринку праці все ж є певні недоліки, оскільки відсут</w:t>
      </w:r>
      <w:r>
        <w:rPr>
          <w:rFonts w:ascii="Times New Roman" w:eastAsia="TimesNewRoman" w:hAnsi="Times New Roman" w:cs="Times New Roman"/>
          <w:sz w:val="21"/>
          <w:szCs w:val="21"/>
        </w:rPr>
        <w:t>-</w:t>
      </w:r>
      <w:r w:rsidRPr="00025976">
        <w:rPr>
          <w:rFonts w:ascii="Times New Roman" w:eastAsia="TimesNewRoman" w:hAnsi="Times New Roman" w:cs="Times New Roman"/>
          <w:sz w:val="21"/>
          <w:szCs w:val="21"/>
        </w:rPr>
        <w:t>нє взаємоузгодження між визначеннями «механізм» та «інститут».</w:t>
      </w:r>
    </w:p>
    <w:p w:rsidR="00B233DE" w:rsidRPr="00025976" w:rsidRDefault="00B233DE" w:rsidP="00B233DE">
      <w:pPr>
        <w:ind w:firstLine="709"/>
        <w:jc w:val="both"/>
        <w:rPr>
          <w:rFonts w:ascii="Times New Roman" w:hAnsi="Times New Roman" w:cs="Times New Roman"/>
          <w:sz w:val="21"/>
          <w:szCs w:val="21"/>
        </w:rPr>
      </w:pPr>
      <w:r w:rsidRPr="00025976">
        <w:rPr>
          <w:rFonts w:ascii="Times New Roman" w:hAnsi="Times New Roman" w:cs="Times New Roman"/>
          <w:sz w:val="21"/>
          <w:szCs w:val="21"/>
        </w:rPr>
        <w:t>Наступним пропонуєтьс</w:t>
      </w:r>
      <w:r>
        <w:rPr>
          <w:rFonts w:ascii="Times New Roman" w:hAnsi="Times New Roman" w:cs="Times New Roman"/>
          <w:sz w:val="21"/>
          <w:szCs w:val="21"/>
        </w:rPr>
        <w:t>я розглядати підхід до поняття «ринку праці»</w:t>
      </w:r>
      <w:r w:rsidRPr="00025976">
        <w:rPr>
          <w:rFonts w:ascii="Times New Roman" w:hAnsi="Times New Roman" w:cs="Times New Roman"/>
          <w:sz w:val="21"/>
          <w:szCs w:val="21"/>
        </w:rPr>
        <w:t xml:space="preserve"> з точки зору сукупності регіональних ринків праці (РРП), який має велике значення для розуміння особливостей його закономірного розвитку в регіональному вимірі. З урахуванням таких обставин, най</w:t>
      </w:r>
      <w:r>
        <w:rPr>
          <w:rFonts w:ascii="Times New Roman" w:hAnsi="Times New Roman" w:cs="Times New Roman"/>
          <w:sz w:val="21"/>
          <w:szCs w:val="21"/>
        </w:rPr>
        <w:t xml:space="preserve">більш вдалим є визначення О. </w:t>
      </w:r>
      <w:r w:rsidRPr="00025976">
        <w:rPr>
          <w:rFonts w:ascii="Times New Roman" w:hAnsi="Times New Roman" w:cs="Times New Roman"/>
          <w:sz w:val="21"/>
          <w:szCs w:val="21"/>
        </w:rPr>
        <w:t>Чернявської, «регіональний ринок праці – це система соціально-економічних відносин на адміністративно-окресленій, територіально цілісній частині, що забезпечують реалізацію трудового потенціалу регіону та його трансформацію в трудовий капітал на основі використання його природного, виробничого, інформаційного та іншого потенціалу»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_Ref433976766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110</w:t>
      </w:r>
      <w:r>
        <w:rPr>
          <w:rFonts w:ascii="Times New Roman" w:hAnsi="Times New Roman" w:cs="Times New Roman"/>
          <w:sz w:val="21"/>
          <w:szCs w:val="21"/>
          <w:highlight w:val="yellow"/>
        </w:rPr>
        <w:fldChar w:fldCharType="end"/>
      </w:r>
      <w:r w:rsidRPr="00025976">
        <w:rPr>
          <w:rFonts w:ascii="Times New Roman" w:hAnsi="Times New Roman" w:cs="Times New Roman"/>
          <w:sz w:val="21"/>
          <w:szCs w:val="21"/>
        </w:rPr>
        <w:t xml:space="preserve">, с. 43]. </w:t>
      </w:r>
    </w:p>
    <w:p w:rsidR="00B233DE" w:rsidRPr="00025976"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 xml:space="preserve">О. </w:t>
      </w:r>
      <w:r w:rsidRPr="00025976">
        <w:rPr>
          <w:rFonts w:ascii="Times New Roman" w:hAnsi="Times New Roman" w:cs="Times New Roman"/>
          <w:sz w:val="21"/>
          <w:szCs w:val="21"/>
        </w:rPr>
        <w:t xml:space="preserve">Фінагіна вбачає сенс дослідити поняття РРП ще більш розширено. У цьому контексті дослідниця виділяє РРП як: поєднання регіональних ринків праці у складі ринку країни; через просторово певну організацію економічного життя населення та економічного потенціалу; специфіку форм прояву універсальних соціально-економічних причинно-наслідкових зв’язків; дію міграцій на економічне зростання; ступінь втручання місцевих органів влади в регулювання соціально-економічних процесів; традиції і особливості регіональної психології, пояснюючі </w:t>
      </w:r>
      <w:r w:rsidRPr="00025976">
        <w:rPr>
          <w:rFonts w:ascii="Times New Roman" w:hAnsi="Times New Roman" w:cs="Times New Roman"/>
          <w:sz w:val="21"/>
          <w:szCs w:val="21"/>
        </w:rPr>
        <w:lastRenderedPageBreak/>
        <w:t>мотивацію і поведінку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_Ref433976772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108</w:t>
      </w:r>
      <w:r>
        <w:rPr>
          <w:rFonts w:ascii="Times New Roman" w:hAnsi="Times New Roman" w:cs="Times New Roman"/>
          <w:sz w:val="21"/>
          <w:szCs w:val="21"/>
          <w:highlight w:val="yellow"/>
        </w:rPr>
        <w:fldChar w:fldCharType="end"/>
      </w:r>
      <w:r>
        <w:rPr>
          <w:rFonts w:ascii="Times New Roman" w:hAnsi="Times New Roman" w:cs="Times New Roman"/>
          <w:sz w:val="21"/>
          <w:szCs w:val="21"/>
        </w:rPr>
        <w:t xml:space="preserve">]. В. </w:t>
      </w:r>
      <w:r w:rsidRPr="00025976">
        <w:rPr>
          <w:rFonts w:ascii="Times New Roman" w:hAnsi="Times New Roman" w:cs="Times New Roman"/>
          <w:sz w:val="21"/>
          <w:szCs w:val="21"/>
        </w:rPr>
        <w:t>Приймак, розкриваючи поняття регіонального ринку праці, виокремлює два різновиди: поточний РРП та сукупний РРП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_Ref433976780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89</w:t>
      </w:r>
      <w:r>
        <w:rPr>
          <w:rFonts w:ascii="Times New Roman" w:hAnsi="Times New Roman" w:cs="Times New Roman"/>
          <w:sz w:val="21"/>
          <w:szCs w:val="21"/>
          <w:highlight w:val="yellow"/>
        </w:rPr>
        <w:fldChar w:fldCharType="end"/>
      </w:r>
      <w:r w:rsidRPr="00025976">
        <w:rPr>
          <w:rFonts w:ascii="Times New Roman" w:hAnsi="Times New Roman" w:cs="Times New Roman"/>
          <w:sz w:val="21"/>
          <w:szCs w:val="21"/>
        </w:rPr>
        <w:t>, с. 9</w:t>
      </w:r>
      <w:r>
        <w:rPr>
          <w:rFonts w:ascii="Times New Roman" w:hAnsi="Times New Roman" w:cs="Times New Roman"/>
          <w:sz w:val="21"/>
          <w:szCs w:val="21"/>
        </w:rPr>
        <w:t>–</w:t>
      </w:r>
      <w:r w:rsidRPr="00025976">
        <w:rPr>
          <w:rFonts w:ascii="Times New Roman" w:hAnsi="Times New Roman" w:cs="Times New Roman"/>
          <w:sz w:val="21"/>
          <w:szCs w:val="21"/>
        </w:rPr>
        <w:t xml:space="preserve">10]. </w:t>
      </w:r>
    </w:p>
    <w:p w:rsidR="00B233DE" w:rsidRPr="00025976" w:rsidRDefault="00B233DE" w:rsidP="00B233DE">
      <w:pPr>
        <w:ind w:firstLine="709"/>
        <w:jc w:val="both"/>
        <w:rPr>
          <w:rFonts w:ascii="Times New Roman" w:hAnsi="Times New Roman" w:cs="Times New Roman"/>
          <w:sz w:val="21"/>
          <w:szCs w:val="21"/>
        </w:rPr>
      </w:pPr>
      <w:r w:rsidRPr="00025976">
        <w:rPr>
          <w:rFonts w:ascii="Times New Roman" w:hAnsi="Times New Roman" w:cs="Times New Roman"/>
          <w:sz w:val="21"/>
          <w:szCs w:val="21"/>
        </w:rPr>
        <w:t>Окремі фахівці застосовують інклюзивний підхід, згідно якого «регіональний ринок праці» за умов євроінтеграції – це система формування та ефективного використання трудового потенціалу, планування та прогнозування довгостроково</w:t>
      </w:r>
      <w:r>
        <w:rPr>
          <w:rFonts w:ascii="Times New Roman" w:hAnsi="Times New Roman" w:cs="Times New Roman"/>
          <w:sz w:val="21"/>
          <w:szCs w:val="21"/>
        </w:rPr>
        <w:t>го розвитку, що спрямований на «людину»</w:t>
      </w:r>
      <w:r w:rsidRPr="00025976">
        <w:rPr>
          <w:rFonts w:ascii="Times New Roman" w:hAnsi="Times New Roman" w:cs="Times New Roman"/>
          <w:sz w:val="21"/>
          <w:szCs w:val="21"/>
        </w:rPr>
        <w:t>, яка бере участь у суспільно-економічному житті не лише свого регіону, а й інших регіонів країни і навіть світу; під час розробки якого постає необхідність врахування переваг міждержавного та міжрегіонального співробітництва, сучасних світових тенденцій модернізації, структурної перебудови регіональної економіки на основі пріоритетності інноваційного оновлення виробництва з урахуванням умов, критеріїв відбору програм та відповідного організаційно-економічного механізму регулювання та розвитку РРП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_Ref435784055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35</w:t>
      </w:r>
      <w:r>
        <w:rPr>
          <w:rFonts w:ascii="Times New Roman" w:hAnsi="Times New Roman" w:cs="Times New Roman"/>
          <w:sz w:val="21"/>
          <w:szCs w:val="21"/>
          <w:highlight w:val="yellow"/>
        </w:rPr>
        <w:fldChar w:fldCharType="end"/>
      </w:r>
      <w:r w:rsidRPr="00306A48">
        <w:rPr>
          <w:rFonts w:ascii="Times New Roman" w:hAnsi="Times New Roman" w:cs="Times New Roman"/>
          <w:sz w:val="21"/>
          <w:szCs w:val="21"/>
        </w:rPr>
        <w:t>, с. 14</w:t>
      </w:r>
      <w:r w:rsidRPr="00025976">
        <w:rPr>
          <w:rFonts w:ascii="Times New Roman" w:hAnsi="Times New Roman" w:cs="Times New Roman"/>
          <w:sz w:val="21"/>
          <w:szCs w:val="21"/>
        </w:rPr>
        <w:t xml:space="preserve">]. </w:t>
      </w:r>
    </w:p>
    <w:p w:rsidR="00B233DE" w:rsidRPr="00025976" w:rsidRDefault="00B233DE" w:rsidP="00B233DE">
      <w:pPr>
        <w:autoSpaceDE w:val="0"/>
        <w:autoSpaceDN w:val="0"/>
        <w:adjustRightInd w:val="0"/>
        <w:ind w:firstLine="709"/>
        <w:jc w:val="both"/>
        <w:rPr>
          <w:rFonts w:ascii="Times New Roman" w:hAnsi="Times New Roman" w:cs="Times New Roman"/>
          <w:sz w:val="21"/>
          <w:szCs w:val="21"/>
        </w:rPr>
      </w:pPr>
      <w:r w:rsidRPr="00025976">
        <w:rPr>
          <w:rFonts w:ascii="Times New Roman" w:hAnsi="Times New Roman" w:cs="Times New Roman"/>
          <w:sz w:val="21"/>
          <w:szCs w:val="21"/>
        </w:rPr>
        <w:t>У межах наступного – системного підходу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_Ref435784076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60</w:t>
      </w:r>
      <w:r>
        <w:rPr>
          <w:rFonts w:ascii="Times New Roman" w:hAnsi="Times New Roman" w:cs="Times New Roman"/>
          <w:sz w:val="21"/>
          <w:szCs w:val="21"/>
          <w:highlight w:val="yellow"/>
        </w:rPr>
        <w:fldChar w:fldCharType="end"/>
      </w:r>
      <w:r w:rsidRPr="00025976">
        <w:rPr>
          <w:rFonts w:ascii="Times New Roman" w:hAnsi="Times New Roman" w:cs="Times New Roman"/>
          <w:sz w:val="21"/>
          <w:szCs w:val="21"/>
        </w:rPr>
        <w:t xml:space="preserve">, с. 95], ринок праці виступає своєрідним індикатором ефективності </w:t>
      </w:r>
      <w:r w:rsidRPr="00025976">
        <w:rPr>
          <w:rFonts w:ascii="Times New Roman" w:hAnsi="Times New Roman" w:cs="Times New Roman"/>
          <w:spacing w:val="-5"/>
          <w:sz w:val="21"/>
          <w:szCs w:val="21"/>
        </w:rPr>
        <w:t xml:space="preserve">функціонування ринкової економіки та її інфраструктури, окремі інститути якої </w:t>
      </w:r>
      <w:r w:rsidRPr="00025976">
        <w:rPr>
          <w:rFonts w:ascii="Times New Roman" w:hAnsi="Times New Roman" w:cs="Times New Roman"/>
          <w:sz w:val="21"/>
          <w:szCs w:val="21"/>
        </w:rPr>
        <w:t xml:space="preserve">різнопланово впливають на функціональні складові ринку праці (попит, </w:t>
      </w:r>
      <w:r w:rsidRPr="00025976">
        <w:rPr>
          <w:rFonts w:ascii="Times New Roman" w:hAnsi="Times New Roman" w:cs="Times New Roman"/>
          <w:spacing w:val="-5"/>
          <w:sz w:val="21"/>
          <w:szCs w:val="21"/>
        </w:rPr>
        <w:t xml:space="preserve">пропозицію та ціну послуг робочої сили). Сила конкуренції, яка безпосередньо </w:t>
      </w:r>
      <w:r w:rsidRPr="00025976">
        <w:rPr>
          <w:rFonts w:ascii="Times New Roman" w:hAnsi="Times New Roman" w:cs="Times New Roman"/>
          <w:spacing w:val="-2"/>
          <w:sz w:val="21"/>
          <w:szCs w:val="21"/>
        </w:rPr>
        <w:t xml:space="preserve">залежить від ступеня взаємодії цих складових, варіюється під впливом </w:t>
      </w:r>
      <w:r w:rsidRPr="00025976">
        <w:rPr>
          <w:rFonts w:ascii="Times New Roman" w:hAnsi="Times New Roman" w:cs="Times New Roman"/>
          <w:spacing w:val="-6"/>
          <w:sz w:val="21"/>
          <w:szCs w:val="21"/>
        </w:rPr>
        <w:t xml:space="preserve">функціонування інститутів ринкової інфраструктури, які, у свою чергу, сприяють </w:t>
      </w:r>
      <w:r w:rsidRPr="00025976">
        <w:rPr>
          <w:rFonts w:ascii="Times New Roman" w:hAnsi="Times New Roman" w:cs="Times New Roman"/>
          <w:spacing w:val="-2"/>
          <w:sz w:val="21"/>
          <w:szCs w:val="21"/>
        </w:rPr>
        <w:t xml:space="preserve">розвитку або, навпаки, гальмують розвиток конкурентних відносин на ринку </w:t>
      </w:r>
      <w:r w:rsidRPr="00025976">
        <w:rPr>
          <w:rFonts w:ascii="Times New Roman" w:hAnsi="Times New Roman" w:cs="Times New Roman"/>
          <w:sz w:val="21"/>
          <w:szCs w:val="21"/>
        </w:rPr>
        <w:t xml:space="preserve">праці. </w:t>
      </w:r>
      <w:r w:rsidRPr="00025976">
        <w:rPr>
          <w:rFonts w:ascii="Times New Roman" w:eastAsia="TimesNewRomanPSMT" w:hAnsi="Times New Roman" w:cs="Times New Roman"/>
          <w:sz w:val="21"/>
          <w:szCs w:val="21"/>
        </w:rPr>
        <w:t>У свою чергу,</w:t>
      </w:r>
      <w:r w:rsidRPr="00025976">
        <w:rPr>
          <w:rFonts w:ascii="Times New Roman" w:eastAsia="TimesNewRomanPSMT" w:hAnsi="Times New Roman" w:cs="Times New Roman"/>
          <w:i/>
          <w:sz w:val="21"/>
          <w:szCs w:val="21"/>
        </w:rPr>
        <w:t xml:space="preserve"> </w:t>
      </w:r>
      <w:r w:rsidRPr="00025976">
        <w:rPr>
          <w:rFonts w:ascii="Times New Roman" w:hAnsi="Times New Roman" w:cs="Times New Roman"/>
          <w:sz w:val="21"/>
          <w:szCs w:val="21"/>
        </w:rPr>
        <w:t>І. Петрова акцентує увагу на визначенні ринку праці як сукупності способів включення, координації та оцінки праці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_Ref433976791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81</w:t>
      </w:r>
      <w:r>
        <w:rPr>
          <w:rFonts w:ascii="Times New Roman" w:hAnsi="Times New Roman" w:cs="Times New Roman"/>
          <w:sz w:val="21"/>
          <w:szCs w:val="21"/>
          <w:highlight w:val="yellow"/>
        </w:rPr>
        <w:fldChar w:fldCharType="end"/>
      </w:r>
      <w:r w:rsidRPr="00025976">
        <w:rPr>
          <w:rFonts w:ascii="Times New Roman" w:hAnsi="Times New Roman" w:cs="Times New Roman"/>
          <w:sz w:val="21"/>
          <w:szCs w:val="21"/>
        </w:rPr>
        <w:t xml:space="preserve">, с. 16]. </w:t>
      </w:r>
    </w:p>
    <w:p w:rsidR="00B233DE" w:rsidRPr="00025976"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 xml:space="preserve">М. </w:t>
      </w:r>
      <w:r w:rsidRPr="00025976">
        <w:rPr>
          <w:rFonts w:ascii="Times New Roman" w:hAnsi="Times New Roman" w:cs="Times New Roman"/>
          <w:sz w:val="21"/>
          <w:szCs w:val="21"/>
        </w:rPr>
        <w:t>Ведерніков</w:t>
      </w:r>
      <w:r w:rsidRPr="00025976">
        <w:rPr>
          <w:rFonts w:ascii="Times New Roman" w:hAnsi="Times New Roman" w:cs="Times New Roman"/>
          <w:b/>
          <w:sz w:val="21"/>
          <w:szCs w:val="21"/>
        </w:rPr>
        <w:t xml:space="preserve"> </w:t>
      </w:r>
      <w:r w:rsidRPr="00025976">
        <w:rPr>
          <w:rFonts w:ascii="Times New Roman" w:hAnsi="Times New Roman" w:cs="Times New Roman"/>
          <w:sz w:val="21"/>
          <w:szCs w:val="21"/>
        </w:rPr>
        <w:t>слушно зазначає, що ринок праці є одним з найсуттєвіших і найдинамічніших ринків. Вчений виділяє ринок праці як систему економічних механізмів, норм та інститутів, що забезпечують відтворення робочої сили і використання праці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_Ref435784082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20</w:t>
      </w:r>
      <w:r>
        <w:rPr>
          <w:rFonts w:ascii="Times New Roman" w:hAnsi="Times New Roman" w:cs="Times New Roman"/>
          <w:sz w:val="21"/>
          <w:szCs w:val="21"/>
          <w:highlight w:val="yellow"/>
        </w:rPr>
        <w:fldChar w:fldCharType="end"/>
      </w:r>
      <w:r w:rsidRPr="00025976">
        <w:rPr>
          <w:rFonts w:ascii="Times New Roman" w:hAnsi="Times New Roman" w:cs="Times New Roman"/>
          <w:sz w:val="21"/>
          <w:szCs w:val="21"/>
        </w:rPr>
        <w:t xml:space="preserve">] </w:t>
      </w:r>
    </w:p>
    <w:p w:rsidR="00B233DE" w:rsidRPr="00025976" w:rsidRDefault="00B233DE" w:rsidP="00B233DE">
      <w:pPr>
        <w:ind w:firstLine="709"/>
        <w:jc w:val="both"/>
        <w:rPr>
          <w:rFonts w:ascii="Times New Roman" w:eastAsia="TimesNewRomanPSMT" w:hAnsi="Times New Roman" w:cs="Times New Roman"/>
          <w:sz w:val="21"/>
          <w:szCs w:val="21"/>
        </w:rPr>
      </w:pPr>
      <w:r>
        <w:rPr>
          <w:rFonts w:ascii="Times New Roman" w:eastAsia="TimesNewRomanPSMT" w:hAnsi="Times New Roman" w:cs="Times New Roman"/>
          <w:sz w:val="21"/>
          <w:szCs w:val="21"/>
        </w:rPr>
        <w:t xml:space="preserve">Д. Богиня та О. </w:t>
      </w:r>
      <w:r w:rsidRPr="00025976">
        <w:rPr>
          <w:rFonts w:ascii="Times New Roman" w:eastAsia="TimesNewRomanPSMT" w:hAnsi="Times New Roman" w:cs="Times New Roman"/>
          <w:sz w:val="21"/>
          <w:szCs w:val="21"/>
        </w:rPr>
        <w:t>Грішнова характеризують ринок праці як «механізм, що забезпечує узгодження ціни та умов праці між роботодавцями і найманими працівниками та регулює попит і пропозицію» [</w:t>
      </w:r>
      <w:r>
        <w:rPr>
          <w:rFonts w:ascii="Times New Roman" w:hAnsi="Times New Roman" w:cs="Times New Roman"/>
          <w:sz w:val="21"/>
          <w:szCs w:val="21"/>
          <w:highlight w:val="yellow"/>
        </w:rPr>
        <w:fldChar w:fldCharType="begin"/>
      </w:r>
      <w:r>
        <w:rPr>
          <w:rFonts w:ascii="Times New Roman" w:eastAsia="TimesNewRomanPSMT" w:hAnsi="Times New Roman" w:cs="Times New Roman"/>
          <w:sz w:val="21"/>
          <w:szCs w:val="21"/>
        </w:rPr>
        <w:instrText xml:space="preserve"> REF _Ref433976801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eastAsia="TimesNewRomanPSMT" w:hAnsi="Times New Roman" w:cs="Times New Roman"/>
          <w:sz w:val="21"/>
          <w:szCs w:val="21"/>
        </w:rPr>
        <w:t>10</w:t>
      </w:r>
      <w:r>
        <w:rPr>
          <w:rFonts w:ascii="Times New Roman" w:hAnsi="Times New Roman" w:cs="Times New Roman"/>
          <w:sz w:val="21"/>
          <w:szCs w:val="21"/>
          <w:highlight w:val="yellow"/>
        </w:rPr>
        <w:fldChar w:fldCharType="end"/>
      </w:r>
      <w:r w:rsidRPr="00025976">
        <w:rPr>
          <w:rFonts w:ascii="Times New Roman" w:eastAsia="TimesNewRomanPSMT" w:hAnsi="Times New Roman" w:cs="Times New Roman"/>
          <w:sz w:val="21"/>
          <w:szCs w:val="21"/>
        </w:rPr>
        <w:t xml:space="preserve">, с. </w:t>
      </w:r>
      <w:r w:rsidRPr="00025976">
        <w:rPr>
          <w:rFonts w:ascii="Times New Roman" w:eastAsia="TimesNewRomanPSMT" w:hAnsi="Times New Roman" w:cs="Times New Roman"/>
          <w:iCs/>
          <w:sz w:val="21"/>
          <w:szCs w:val="21"/>
        </w:rPr>
        <w:t>48</w:t>
      </w:r>
      <w:r w:rsidRPr="00025976">
        <w:rPr>
          <w:rFonts w:ascii="Times New Roman" w:eastAsia="TimesNewRomanPSMT" w:hAnsi="Times New Roman" w:cs="Times New Roman"/>
          <w:sz w:val="21"/>
          <w:szCs w:val="21"/>
        </w:rPr>
        <w:t xml:space="preserve">]. </w:t>
      </w:r>
    </w:p>
    <w:p w:rsidR="00B233DE" w:rsidRPr="00025976" w:rsidRDefault="00B233DE" w:rsidP="00B233DE">
      <w:pPr>
        <w:ind w:firstLine="709"/>
        <w:jc w:val="both"/>
        <w:rPr>
          <w:rStyle w:val="apple-converted-space"/>
          <w:rFonts w:ascii="Times New Roman" w:hAnsi="Times New Roman" w:cs="Times New Roman"/>
          <w:sz w:val="21"/>
          <w:szCs w:val="21"/>
        </w:rPr>
      </w:pPr>
      <w:r w:rsidRPr="00025976">
        <w:rPr>
          <w:rFonts w:ascii="Times New Roman" w:hAnsi="Times New Roman" w:cs="Times New Roman"/>
          <w:sz w:val="21"/>
          <w:szCs w:val="21"/>
        </w:rPr>
        <w:t>Особливість ринкової економіки на</w:t>
      </w:r>
      <w:r>
        <w:rPr>
          <w:rStyle w:val="apple-converted-space"/>
          <w:rFonts w:ascii="Times New Roman" w:hAnsi="Times New Roman" w:cs="Times New Roman"/>
          <w:sz w:val="21"/>
          <w:szCs w:val="21"/>
        </w:rPr>
        <w:t xml:space="preserve"> </w:t>
      </w:r>
      <w:r w:rsidRPr="00025976">
        <w:rPr>
          <w:rFonts w:ascii="Times New Roman" w:hAnsi="Times New Roman" w:cs="Times New Roman"/>
          <w:sz w:val="21"/>
          <w:szCs w:val="21"/>
        </w:rPr>
        <w:t xml:space="preserve">сучасному етапі полягає в тому, що в ній відбуваються радикальні інституціональні </w:t>
      </w:r>
      <w:r w:rsidRPr="00025976">
        <w:rPr>
          <w:rFonts w:ascii="Times New Roman" w:hAnsi="Times New Roman" w:cs="Times New Roman"/>
          <w:sz w:val="21"/>
          <w:szCs w:val="21"/>
        </w:rPr>
        <w:lastRenderedPageBreak/>
        <w:t>зміни в системі правових, політичних,</w:t>
      </w:r>
      <w:r>
        <w:rPr>
          <w:rStyle w:val="apple-converted-space"/>
          <w:rFonts w:ascii="Times New Roman" w:hAnsi="Times New Roman" w:cs="Times New Roman"/>
          <w:sz w:val="21"/>
          <w:szCs w:val="21"/>
        </w:rPr>
        <w:t xml:space="preserve"> </w:t>
      </w:r>
      <w:r w:rsidRPr="00025976">
        <w:rPr>
          <w:rFonts w:ascii="Times New Roman" w:hAnsi="Times New Roman" w:cs="Times New Roman"/>
          <w:sz w:val="21"/>
          <w:szCs w:val="21"/>
        </w:rPr>
        <w:t>економічних і соціальних ві</w:t>
      </w:r>
      <w:r>
        <w:rPr>
          <w:rFonts w:ascii="Times New Roman" w:hAnsi="Times New Roman" w:cs="Times New Roman"/>
          <w:sz w:val="21"/>
          <w:szCs w:val="21"/>
        </w:rPr>
        <w:t xml:space="preserve">дносин. Відповідно цього, Т. </w:t>
      </w:r>
      <w:r w:rsidRPr="00025976">
        <w:rPr>
          <w:rFonts w:ascii="Times New Roman" w:hAnsi="Times New Roman" w:cs="Times New Roman"/>
          <w:sz w:val="21"/>
          <w:szCs w:val="21"/>
        </w:rPr>
        <w:t>Боголіб розглядає ринок праці як динамічне</w:t>
      </w:r>
      <w:r>
        <w:rPr>
          <w:rFonts w:ascii="Times New Roman" w:hAnsi="Times New Roman" w:cs="Times New Roman"/>
          <w:sz w:val="21"/>
          <w:szCs w:val="21"/>
        </w:rPr>
        <w:t>, багатовекторне і протирічливе</w:t>
      </w:r>
      <w:r w:rsidRPr="00025976">
        <w:rPr>
          <w:rFonts w:ascii="Times New Roman" w:hAnsi="Times New Roman" w:cs="Times New Roman"/>
          <w:sz w:val="21"/>
          <w:szCs w:val="21"/>
        </w:rPr>
        <w:t xml:space="preserve"> явище, в якому спостерігається процес інституційних змін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_Ref435784103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12</w:t>
      </w:r>
      <w:r>
        <w:rPr>
          <w:rFonts w:ascii="Times New Roman" w:hAnsi="Times New Roman" w:cs="Times New Roman"/>
          <w:sz w:val="21"/>
          <w:szCs w:val="21"/>
          <w:highlight w:val="yellow"/>
        </w:rPr>
        <w:fldChar w:fldCharType="end"/>
      </w:r>
      <w:r w:rsidRPr="00025976">
        <w:rPr>
          <w:rFonts w:ascii="Times New Roman" w:hAnsi="Times New Roman" w:cs="Times New Roman"/>
          <w:sz w:val="21"/>
          <w:szCs w:val="21"/>
        </w:rPr>
        <w:t xml:space="preserve">]. </w:t>
      </w:r>
    </w:p>
    <w:p w:rsidR="00B233DE" w:rsidRPr="00025976" w:rsidRDefault="00B233DE" w:rsidP="00B233DE">
      <w:pPr>
        <w:autoSpaceDE w:val="0"/>
        <w:autoSpaceDN w:val="0"/>
        <w:adjustRightInd w:val="0"/>
        <w:ind w:firstLine="709"/>
        <w:jc w:val="both"/>
        <w:rPr>
          <w:rFonts w:ascii="Times New Roman" w:hAnsi="Times New Roman" w:cs="Times New Roman"/>
          <w:sz w:val="21"/>
          <w:szCs w:val="21"/>
        </w:rPr>
      </w:pPr>
      <w:r w:rsidRPr="00025976">
        <w:rPr>
          <w:rFonts w:ascii="Times New Roman" w:eastAsia="TimesNewRoman" w:hAnsi="Times New Roman" w:cs="Times New Roman"/>
          <w:sz w:val="21"/>
          <w:szCs w:val="21"/>
        </w:rPr>
        <w:t xml:space="preserve">Поява віртуального ринку праці, зумовила зростання інтересу до його інституціонального аспекту розвитку. </w:t>
      </w:r>
      <w:r>
        <w:rPr>
          <w:rFonts w:ascii="Times New Roman" w:hAnsi="Times New Roman" w:cs="Times New Roman"/>
          <w:sz w:val="21"/>
          <w:szCs w:val="21"/>
        </w:rPr>
        <w:t>О. </w:t>
      </w:r>
      <w:r w:rsidRPr="00025976">
        <w:rPr>
          <w:rFonts w:ascii="Times New Roman" w:hAnsi="Times New Roman" w:cs="Times New Roman"/>
          <w:sz w:val="21"/>
          <w:szCs w:val="21"/>
        </w:rPr>
        <w:t>Сенокосова характеризує інститути віртуального типу ринку праці, як інформаційні мережі Інтернет, що об’єднують багато учасників і встановлюють сукупність правил, які стійко функціонують в результаті процесу їх інституціоналізації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_Ref435784111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103</w:t>
      </w:r>
      <w:r>
        <w:rPr>
          <w:rFonts w:ascii="Times New Roman" w:hAnsi="Times New Roman" w:cs="Times New Roman"/>
          <w:sz w:val="21"/>
          <w:szCs w:val="21"/>
          <w:highlight w:val="yellow"/>
        </w:rPr>
        <w:fldChar w:fldCharType="end"/>
      </w:r>
      <w:r w:rsidRPr="00025976">
        <w:rPr>
          <w:rFonts w:ascii="Times New Roman" w:hAnsi="Times New Roman" w:cs="Times New Roman"/>
          <w:sz w:val="21"/>
          <w:szCs w:val="21"/>
        </w:rPr>
        <w:t xml:space="preserve">, с. 145]. На думку вчених, інформаційне середовище доцільно розглядати як новий інститут ринку праці, що поєднує в собі як ринкові механізми, так і характеристики суб’єктів відносин на ринку праці. </w:t>
      </w:r>
    </w:p>
    <w:p w:rsidR="00B233DE" w:rsidRPr="00025976" w:rsidRDefault="00B233DE" w:rsidP="00B233DE">
      <w:pPr>
        <w:ind w:firstLine="709"/>
        <w:jc w:val="both"/>
        <w:rPr>
          <w:rFonts w:ascii="Times New Roman" w:hAnsi="Times New Roman" w:cs="Times New Roman"/>
          <w:sz w:val="21"/>
          <w:szCs w:val="21"/>
        </w:rPr>
      </w:pPr>
      <w:r w:rsidRPr="00025976">
        <w:rPr>
          <w:rFonts w:ascii="Times New Roman" w:hAnsi="Times New Roman" w:cs="Times New Roman"/>
          <w:sz w:val="21"/>
          <w:szCs w:val="21"/>
        </w:rPr>
        <w:t>Одним із сучасних підходів до</w:t>
      </w:r>
      <w:r>
        <w:rPr>
          <w:rFonts w:ascii="Times New Roman" w:hAnsi="Times New Roman" w:cs="Times New Roman"/>
          <w:sz w:val="21"/>
          <w:szCs w:val="21"/>
        </w:rPr>
        <w:t xml:space="preserve"> дослідження ринку праці вчені </w:t>
      </w:r>
      <w:r w:rsidRPr="00025976">
        <w:rPr>
          <w:rFonts w:ascii="Times New Roman" w:hAnsi="Times New Roman" w:cs="Times New Roman"/>
          <w:sz w:val="21"/>
          <w:szCs w:val="21"/>
        </w:rPr>
        <w:t>вважають інституціональний, об’єктом якого є дослідження інститутів, що дає можливість більш повно та об’єктивно враховувати взаємозв’язок економічних, політичних, соціальних, правових та інших складових системних перетворень.</w:t>
      </w:r>
      <w:r>
        <w:rPr>
          <w:rStyle w:val="apple-converted-space"/>
          <w:rFonts w:ascii="Times New Roman" w:hAnsi="Times New Roman" w:cs="Times New Roman"/>
          <w:color w:val="333333"/>
          <w:sz w:val="21"/>
          <w:szCs w:val="21"/>
        </w:rPr>
        <w:t xml:space="preserve"> </w:t>
      </w:r>
      <w:r w:rsidRPr="00025976">
        <w:rPr>
          <w:rFonts w:ascii="Times New Roman" w:hAnsi="Times New Roman" w:cs="Times New Roman"/>
          <w:sz w:val="21"/>
          <w:szCs w:val="21"/>
        </w:rPr>
        <w:t xml:space="preserve">Згідно досліджень зарубіжних вчених та фахівців, ринок праці зазнає відчутно більшого впливу з боку інституціонального середовища, ніж інші ринки економічної системи, адже трудова діяльність може бути розглянута як у площині економічних </w:t>
      </w:r>
      <w:r w:rsidRPr="00476B6D">
        <w:rPr>
          <w:rFonts w:ascii="Times New Roman" w:hAnsi="Times New Roman" w:cs="Times New Roman"/>
          <w:spacing w:val="-6"/>
          <w:sz w:val="21"/>
          <w:szCs w:val="21"/>
        </w:rPr>
        <w:t xml:space="preserve">відносин, так і в контексті соціальної системи суспільства </w:t>
      </w:r>
      <w:r w:rsidRPr="00590AA0">
        <w:rPr>
          <w:rFonts w:ascii="Times New Roman" w:hAnsi="Times New Roman" w:cs="Times New Roman"/>
          <w:spacing w:val="-6"/>
          <w:sz w:val="21"/>
          <w:szCs w:val="21"/>
        </w:rPr>
        <w:t>[</w:t>
      </w:r>
      <w:r>
        <w:rPr>
          <w:rFonts w:ascii="Times New Roman" w:hAnsi="Times New Roman" w:cs="Times New Roman"/>
          <w:bCs/>
          <w:sz w:val="21"/>
          <w:szCs w:val="21"/>
          <w:highlight w:val="yellow"/>
        </w:rPr>
        <w:fldChar w:fldCharType="begin"/>
      </w:r>
      <w:r>
        <w:rPr>
          <w:rFonts w:ascii="Times New Roman" w:hAnsi="Times New Roman" w:cs="Times New Roman"/>
          <w:spacing w:val="-6"/>
          <w:sz w:val="21"/>
          <w:szCs w:val="21"/>
        </w:rPr>
        <w:instrText xml:space="preserve"> REF _Ref435784119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pacing w:val="-6"/>
          <w:sz w:val="21"/>
          <w:szCs w:val="21"/>
        </w:rPr>
        <w:t>70</w:t>
      </w:r>
      <w:r>
        <w:rPr>
          <w:rFonts w:ascii="Times New Roman" w:hAnsi="Times New Roman" w:cs="Times New Roman"/>
          <w:bCs/>
          <w:sz w:val="21"/>
          <w:szCs w:val="21"/>
          <w:highlight w:val="yellow"/>
        </w:rPr>
        <w:fldChar w:fldCharType="end"/>
      </w:r>
      <w:r w:rsidRPr="00476B6D">
        <w:rPr>
          <w:rFonts w:ascii="Times New Roman" w:hAnsi="Times New Roman" w:cs="Times New Roman"/>
          <w:spacing w:val="-6"/>
          <w:sz w:val="21"/>
          <w:szCs w:val="21"/>
        </w:rPr>
        <w:t>, с. 99].</w:t>
      </w:r>
      <w:r w:rsidRPr="00025976">
        <w:rPr>
          <w:rFonts w:ascii="Times New Roman" w:hAnsi="Times New Roman" w:cs="Times New Roman"/>
          <w:sz w:val="21"/>
          <w:szCs w:val="21"/>
        </w:rPr>
        <w:t xml:space="preserve"> </w:t>
      </w:r>
    </w:p>
    <w:p w:rsidR="00B233DE" w:rsidRPr="003E6E9C" w:rsidRDefault="00B233DE" w:rsidP="00B233DE">
      <w:pPr>
        <w:ind w:firstLine="709"/>
        <w:jc w:val="both"/>
        <w:rPr>
          <w:rFonts w:ascii="Times New Roman" w:hAnsi="Times New Roman" w:cs="Times New Roman"/>
          <w:sz w:val="21"/>
          <w:szCs w:val="21"/>
        </w:rPr>
      </w:pPr>
      <w:r w:rsidRPr="00025976">
        <w:rPr>
          <w:rFonts w:ascii="Times New Roman" w:hAnsi="Times New Roman" w:cs="Times New Roman"/>
          <w:sz w:val="21"/>
          <w:szCs w:val="21"/>
        </w:rPr>
        <w:t>Ринок праці в широкому розумінні розглядається як система суспільних відносин, соціальних норм і інститутів, що забезпечують на основі дотримання загальноприйнятих прав і свобод людини формування, обмін за ціною, або за співвідношенням попиту та пропозиції з використовуванням робочої сили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_Ref433976810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48</w:t>
      </w:r>
      <w:r>
        <w:rPr>
          <w:rFonts w:ascii="Times New Roman" w:hAnsi="Times New Roman" w:cs="Times New Roman"/>
          <w:sz w:val="21"/>
          <w:szCs w:val="21"/>
          <w:highlight w:val="yellow"/>
        </w:rPr>
        <w:fldChar w:fldCharType="end"/>
      </w:r>
      <w:r w:rsidRPr="00025976">
        <w:rPr>
          <w:rFonts w:ascii="Times New Roman" w:hAnsi="Times New Roman" w:cs="Times New Roman"/>
          <w:sz w:val="21"/>
          <w:szCs w:val="21"/>
        </w:rPr>
        <w:t>, с. 18].</w:t>
      </w:r>
      <w:r w:rsidRPr="003E6E9C">
        <w:rPr>
          <w:rFonts w:ascii="Times New Roman" w:hAnsi="Times New Roman" w:cs="Times New Roman"/>
          <w:sz w:val="21"/>
          <w:szCs w:val="21"/>
        </w:rPr>
        <w:t xml:space="preserve"> </w:t>
      </w:r>
    </w:p>
    <w:p w:rsidR="00B233DE" w:rsidRPr="003D4F43"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Узагальнюючи підходи щодо визначення ринку праці, тре</w:t>
      </w:r>
      <w:r>
        <w:rPr>
          <w:rFonts w:ascii="Times New Roman" w:hAnsi="Times New Roman" w:cs="Times New Roman"/>
          <w:sz w:val="21"/>
          <w:szCs w:val="21"/>
        </w:rPr>
        <w:t>-</w:t>
      </w:r>
      <w:r w:rsidRPr="003D4F43">
        <w:rPr>
          <w:rFonts w:ascii="Times New Roman" w:hAnsi="Times New Roman" w:cs="Times New Roman"/>
          <w:sz w:val="21"/>
          <w:szCs w:val="21"/>
        </w:rPr>
        <w:t>ба зазначити, що вони, доповнюючи один одного, зробили важли</w:t>
      </w:r>
      <w:r>
        <w:rPr>
          <w:rFonts w:ascii="Times New Roman" w:hAnsi="Times New Roman" w:cs="Times New Roman"/>
          <w:sz w:val="21"/>
          <w:szCs w:val="21"/>
        </w:rPr>
        <w:t>-</w:t>
      </w:r>
      <w:r w:rsidRPr="003D4F43">
        <w:rPr>
          <w:rFonts w:ascii="Times New Roman" w:hAnsi="Times New Roman" w:cs="Times New Roman"/>
          <w:sz w:val="21"/>
          <w:szCs w:val="21"/>
        </w:rPr>
        <w:t>вий науковий внесок у розвиток уявлень про природу ринку праці</w:t>
      </w:r>
      <w:r w:rsidRPr="00A67C30">
        <w:rPr>
          <w:rFonts w:ascii="Times New Roman" w:hAnsi="Times New Roman" w:cs="Times New Roman"/>
          <w:sz w:val="21"/>
          <w:szCs w:val="21"/>
          <w:lang w:val="ru-RU"/>
        </w:rPr>
        <w:t xml:space="preserve"> (</w:t>
      </w:r>
      <w:r>
        <w:rPr>
          <w:rFonts w:ascii="Times New Roman" w:hAnsi="Times New Roman" w:cs="Times New Roman"/>
          <w:sz w:val="21"/>
          <w:szCs w:val="21"/>
        </w:rPr>
        <w:t>табл. 3.1)</w:t>
      </w:r>
      <w:r w:rsidRPr="003D4F43">
        <w:rPr>
          <w:rFonts w:ascii="Times New Roman" w:hAnsi="Times New Roman" w:cs="Times New Roman"/>
          <w:sz w:val="21"/>
          <w:szCs w:val="21"/>
        </w:rPr>
        <w:t xml:space="preserve">. </w:t>
      </w:r>
    </w:p>
    <w:p w:rsidR="00B233DE" w:rsidRDefault="00B233DE" w:rsidP="00B233DE">
      <w:pPr>
        <w:ind w:firstLine="709"/>
        <w:jc w:val="both"/>
        <w:rPr>
          <w:rFonts w:ascii="Times New Roman" w:hAnsi="Times New Roman" w:cs="Times New Roman"/>
          <w:color w:val="000000"/>
          <w:sz w:val="21"/>
          <w:szCs w:val="21"/>
          <w:shd w:val="clear" w:color="auto" w:fill="FFFFFF"/>
        </w:rPr>
      </w:pPr>
      <w:r w:rsidRPr="003D4F43">
        <w:rPr>
          <w:rFonts w:ascii="Times New Roman" w:hAnsi="Times New Roman" w:cs="Times New Roman"/>
          <w:sz w:val="21"/>
          <w:szCs w:val="21"/>
        </w:rPr>
        <w:t>Отже, на основі аналізу різних підходів можна зробити висновок, що ринок праці можна визначити як особливу, соціально виражену систему ринкових відносин щодо купівлі-продажу робочої сили з метою її поєднання у виробництві з речовинними факторами виробництва.</w:t>
      </w:r>
    </w:p>
    <w:p w:rsidR="00B233DE" w:rsidRPr="003D4F43" w:rsidRDefault="00B233DE" w:rsidP="00B233DE">
      <w:pPr>
        <w:ind w:firstLine="949"/>
        <w:jc w:val="right"/>
        <w:rPr>
          <w:rFonts w:ascii="Times New Roman" w:hAnsi="Times New Roman" w:cs="Times New Roman"/>
          <w:sz w:val="21"/>
          <w:szCs w:val="21"/>
        </w:rPr>
      </w:pPr>
      <w:r w:rsidRPr="003D4F43">
        <w:rPr>
          <w:rFonts w:ascii="Times New Roman" w:hAnsi="Times New Roman" w:cs="Times New Roman"/>
          <w:color w:val="000000"/>
          <w:sz w:val="21"/>
          <w:szCs w:val="21"/>
          <w:shd w:val="clear" w:color="auto" w:fill="FFFFFF"/>
        </w:rPr>
        <w:lastRenderedPageBreak/>
        <w:t xml:space="preserve">Таблиця </w:t>
      </w:r>
      <w:r w:rsidRPr="0011391F">
        <w:rPr>
          <w:rFonts w:ascii="Times New Roman" w:hAnsi="Times New Roman" w:cs="Times New Roman"/>
          <w:color w:val="000000"/>
          <w:sz w:val="21"/>
          <w:szCs w:val="21"/>
          <w:shd w:val="clear" w:color="auto" w:fill="FFFFFF"/>
          <w:lang w:val="ru-RU"/>
        </w:rPr>
        <w:t>3</w:t>
      </w:r>
      <w:r w:rsidRPr="003D4F43">
        <w:rPr>
          <w:rFonts w:ascii="Times New Roman" w:hAnsi="Times New Roman" w:cs="Times New Roman"/>
          <w:color w:val="000000"/>
          <w:sz w:val="21"/>
          <w:szCs w:val="21"/>
          <w:shd w:val="clear" w:color="auto" w:fill="FFFFFF"/>
        </w:rPr>
        <w:t>.1</w:t>
      </w:r>
    </w:p>
    <w:p w:rsidR="00B233DE" w:rsidRPr="004F6653" w:rsidRDefault="00B233DE" w:rsidP="00B233DE">
      <w:pPr>
        <w:ind w:firstLine="949"/>
        <w:jc w:val="center"/>
        <w:rPr>
          <w:rFonts w:ascii="Times New Roman" w:hAnsi="Times New Roman" w:cs="Times New Roman"/>
          <w:b/>
          <w:sz w:val="21"/>
          <w:szCs w:val="21"/>
        </w:rPr>
      </w:pPr>
      <w:r w:rsidRPr="004F6653">
        <w:rPr>
          <w:rFonts w:ascii="Times New Roman" w:hAnsi="Times New Roman" w:cs="Times New Roman"/>
          <w:b/>
          <w:color w:val="000000"/>
          <w:sz w:val="21"/>
          <w:szCs w:val="21"/>
          <w:shd w:val="clear" w:color="auto" w:fill="FFFFFF"/>
        </w:rPr>
        <w:t xml:space="preserve">Визначення поняття «ринок праці» за діалектичним та функціональним </w:t>
      </w:r>
      <w:r>
        <w:rPr>
          <w:rFonts w:ascii="Times New Roman" w:hAnsi="Times New Roman" w:cs="Times New Roman"/>
          <w:b/>
          <w:color w:val="000000"/>
          <w:sz w:val="21"/>
          <w:szCs w:val="21"/>
          <w:shd w:val="clear" w:color="auto" w:fill="FFFFFF"/>
        </w:rPr>
        <w:t>підходами</w:t>
      </w:r>
    </w:p>
    <w:tbl>
      <w:tblPr>
        <w:tblW w:w="0" w:type="auto"/>
        <w:jc w:val="center"/>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242"/>
        <w:gridCol w:w="1789"/>
        <w:gridCol w:w="1191"/>
        <w:gridCol w:w="2294"/>
      </w:tblGrid>
      <w:tr w:rsidR="00B233DE" w:rsidRPr="004F6653" w:rsidTr="0023489B">
        <w:trPr>
          <w:jc w:val="center"/>
        </w:trPr>
        <w:tc>
          <w:tcPr>
            <w:tcW w:w="1242" w:type="dxa"/>
            <w:tcBorders>
              <w:top w:val="single" w:sz="4" w:space="0" w:color="auto"/>
              <w:left w:val="single" w:sz="4" w:space="0" w:color="auto"/>
              <w:bottom w:val="single" w:sz="4" w:space="0" w:color="auto"/>
              <w:right w:val="single" w:sz="4" w:space="0" w:color="auto"/>
            </w:tcBorders>
            <w:vAlign w:val="center"/>
          </w:tcPr>
          <w:p w:rsidR="00B233DE" w:rsidRPr="004F6653" w:rsidRDefault="00B233DE" w:rsidP="0023489B">
            <w:pPr>
              <w:spacing w:before="100" w:beforeAutospacing="1" w:after="100" w:afterAutospacing="1"/>
              <w:ind w:left="-54" w:right="-108" w:firstLine="0"/>
              <w:jc w:val="center"/>
              <w:rPr>
                <w:rFonts w:ascii="Times New Roman" w:hAnsi="Times New Roman" w:cs="Times New Roman"/>
                <w:sz w:val="16"/>
                <w:szCs w:val="16"/>
              </w:rPr>
            </w:pPr>
            <w:r w:rsidRPr="004F6653">
              <w:rPr>
                <w:rFonts w:ascii="Times New Roman" w:hAnsi="Times New Roman" w:cs="Times New Roman"/>
                <w:sz w:val="16"/>
                <w:szCs w:val="16"/>
                <w:shd w:val="clear" w:color="auto" w:fill="FFFFFF"/>
              </w:rPr>
              <w:t>Автор</w:t>
            </w:r>
          </w:p>
        </w:tc>
        <w:tc>
          <w:tcPr>
            <w:tcW w:w="1789" w:type="dxa"/>
            <w:tcBorders>
              <w:top w:val="single" w:sz="4" w:space="0" w:color="auto"/>
              <w:left w:val="single" w:sz="4" w:space="0" w:color="auto"/>
              <w:bottom w:val="single" w:sz="4" w:space="0" w:color="auto"/>
              <w:right w:val="single" w:sz="4" w:space="0" w:color="auto"/>
            </w:tcBorders>
            <w:vAlign w:val="center"/>
          </w:tcPr>
          <w:p w:rsidR="00B233DE" w:rsidRPr="004F6653" w:rsidRDefault="00B233DE" w:rsidP="0023489B">
            <w:pPr>
              <w:spacing w:before="100" w:beforeAutospacing="1" w:after="100" w:afterAutospacing="1"/>
              <w:ind w:left="-54" w:right="-108" w:firstLine="0"/>
              <w:jc w:val="center"/>
              <w:rPr>
                <w:rFonts w:ascii="Times New Roman" w:hAnsi="Times New Roman" w:cs="Times New Roman"/>
                <w:sz w:val="16"/>
                <w:szCs w:val="16"/>
              </w:rPr>
            </w:pPr>
            <w:r w:rsidRPr="004F6653">
              <w:rPr>
                <w:rFonts w:ascii="Times New Roman" w:hAnsi="Times New Roman" w:cs="Times New Roman"/>
                <w:sz w:val="16"/>
                <w:szCs w:val="16"/>
                <w:shd w:val="clear" w:color="auto" w:fill="FFFFFF"/>
              </w:rPr>
              <w:t>Функціональний підхід</w:t>
            </w:r>
          </w:p>
        </w:tc>
        <w:tc>
          <w:tcPr>
            <w:tcW w:w="1191" w:type="dxa"/>
            <w:tcBorders>
              <w:top w:val="single" w:sz="4" w:space="0" w:color="auto"/>
              <w:left w:val="single" w:sz="4" w:space="0" w:color="auto"/>
              <w:bottom w:val="single" w:sz="4" w:space="0" w:color="auto"/>
              <w:right w:val="single" w:sz="4" w:space="0" w:color="auto"/>
            </w:tcBorders>
            <w:vAlign w:val="center"/>
          </w:tcPr>
          <w:p w:rsidR="00B233DE" w:rsidRPr="004F6653" w:rsidRDefault="00B233DE" w:rsidP="0023489B">
            <w:pPr>
              <w:spacing w:before="100" w:beforeAutospacing="1" w:after="100" w:afterAutospacing="1"/>
              <w:ind w:left="-54" w:right="-108" w:firstLine="0"/>
              <w:jc w:val="center"/>
              <w:rPr>
                <w:rFonts w:ascii="Times New Roman" w:hAnsi="Times New Roman" w:cs="Times New Roman"/>
                <w:sz w:val="16"/>
                <w:szCs w:val="16"/>
              </w:rPr>
            </w:pPr>
            <w:r w:rsidRPr="004F6653">
              <w:rPr>
                <w:rFonts w:ascii="Times New Roman" w:hAnsi="Times New Roman" w:cs="Times New Roman"/>
                <w:sz w:val="16"/>
                <w:szCs w:val="16"/>
                <w:shd w:val="clear" w:color="auto" w:fill="FFFFFF"/>
              </w:rPr>
              <w:t>Автор</w:t>
            </w:r>
          </w:p>
        </w:tc>
        <w:tc>
          <w:tcPr>
            <w:tcW w:w="2294" w:type="dxa"/>
            <w:tcBorders>
              <w:top w:val="single" w:sz="4" w:space="0" w:color="auto"/>
              <w:left w:val="single" w:sz="4" w:space="0" w:color="auto"/>
              <w:bottom w:val="single" w:sz="4" w:space="0" w:color="auto"/>
              <w:right w:val="single" w:sz="4" w:space="0" w:color="auto"/>
            </w:tcBorders>
            <w:vAlign w:val="center"/>
          </w:tcPr>
          <w:p w:rsidR="00B233DE" w:rsidRPr="004F6653" w:rsidRDefault="00B233DE" w:rsidP="0023489B">
            <w:pPr>
              <w:spacing w:before="100" w:beforeAutospacing="1" w:after="100" w:afterAutospacing="1"/>
              <w:ind w:left="-54" w:right="-108" w:firstLine="0"/>
              <w:jc w:val="center"/>
              <w:rPr>
                <w:rFonts w:ascii="Times New Roman" w:hAnsi="Times New Roman" w:cs="Times New Roman"/>
                <w:sz w:val="16"/>
                <w:szCs w:val="16"/>
              </w:rPr>
            </w:pPr>
            <w:r w:rsidRPr="004F6653">
              <w:rPr>
                <w:rFonts w:ascii="Times New Roman" w:hAnsi="Times New Roman" w:cs="Times New Roman"/>
                <w:sz w:val="16"/>
                <w:szCs w:val="16"/>
                <w:shd w:val="clear" w:color="auto" w:fill="FFFFFF"/>
              </w:rPr>
              <w:t>Діалектичний підхід</w:t>
            </w:r>
          </w:p>
        </w:tc>
      </w:tr>
      <w:tr w:rsidR="00B233DE" w:rsidRPr="004F6653" w:rsidTr="0023489B">
        <w:trPr>
          <w:trHeight w:val="1349"/>
          <w:jc w:val="center"/>
        </w:trPr>
        <w:tc>
          <w:tcPr>
            <w:tcW w:w="1242" w:type="dxa"/>
            <w:tcBorders>
              <w:top w:val="single" w:sz="4" w:space="0" w:color="auto"/>
              <w:left w:val="single" w:sz="4" w:space="0" w:color="auto"/>
              <w:bottom w:val="single" w:sz="4" w:space="0" w:color="auto"/>
              <w:right w:val="single" w:sz="4" w:space="0" w:color="auto"/>
            </w:tcBorders>
          </w:tcPr>
          <w:p w:rsidR="00B233DE" w:rsidRPr="004F6653" w:rsidRDefault="00B233DE" w:rsidP="0023489B">
            <w:pPr>
              <w:spacing w:before="100" w:beforeAutospacing="1" w:after="100" w:afterAutospacing="1"/>
              <w:ind w:left="-54" w:right="-108" w:firstLine="0"/>
              <w:jc w:val="both"/>
              <w:rPr>
                <w:rFonts w:ascii="Times New Roman" w:hAnsi="Times New Roman" w:cs="Times New Roman"/>
                <w:sz w:val="16"/>
                <w:szCs w:val="16"/>
              </w:rPr>
            </w:pPr>
            <w:r w:rsidRPr="004F6653">
              <w:rPr>
                <w:rFonts w:ascii="Times New Roman" w:hAnsi="Times New Roman" w:cs="Times New Roman"/>
                <w:sz w:val="16"/>
                <w:szCs w:val="16"/>
              </w:rPr>
              <w:t>О. Грішнова</w:t>
            </w:r>
            <w:r>
              <w:rPr>
                <w:rFonts w:ascii="Times New Roman" w:hAnsi="Times New Roman" w:cs="Times New Roman"/>
                <w:sz w:val="16"/>
                <w:szCs w:val="16"/>
              </w:rPr>
              <w:t xml:space="preserve"> </w:t>
            </w:r>
            <w:r w:rsidRPr="004F6653">
              <w:rPr>
                <w:rFonts w:ascii="Times New Roman" w:hAnsi="Times New Roman" w:cs="Times New Roman"/>
                <w:sz w:val="16"/>
                <w:szCs w:val="16"/>
              </w:rPr>
              <w:t>[</w:t>
            </w:r>
            <w:r>
              <w:rPr>
                <w:rFonts w:ascii="Times New Roman" w:hAnsi="Times New Roman" w:cs="Times New Roman"/>
                <w:sz w:val="16"/>
                <w:szCs w:val="16"/>
                <w:highlight w:val="yellow"/>
              </w:rPr>
              <w:fldChar w:fldCharType="begin"/>
            </w:r>
            <w:r>
              <w:rPr>
                <w:rFonts w:ascii="Times New Roman" w:hAnsi="Times New Roman" w:cs="Times New Roman"/>
                <w:sz w:val="16"/>
                <w:szCs w:val="16"/>
              </w:rPr>
              <w:instrText xml:space="preserve"> REF _Ref433976564 \r \h </w:instrText>
            </w:r>
            <w:r>
              <w:rPr>
                <w:rFonts w:ascii="Times New Roman" w:hAnsi="Times New Roman" w:cs="Times New Roman"/>
                <w:sz w:val="16"/>
                <w:szCs w:val="16"/>
                <w:highlight w:val="yellow"/>
              </w:rPr>
            </w:r>
            <w:r>
              <w:rPr>
                <w:rFonts w:ascii="Times New Roman" w:hAnsi="Times New Roman" w:cs="Times New Roman"/>
                <w:sz w:val="16"/>
                <w:szCs w:val="16"/>
                <w:highlight w:val="yellow"/>
              </w:rPr>
              <w:fldChar w:fldCharType="separate"/>
            </w:r>
            <w:r>
              <w:rPr>
                <w:rFonts w:ascii="Times New Roman" w:hAnsi="Times New Roman" w:cs="Times New Roman"/>
                <w:sz w:val="16"/>
                <w:szCs w:val="16"/>
              </w:rPr>
              <w:t>26</w:t>
            </w:r>
            <w:r>
              <w:rPr>
                <w:rFonts w:ascii="Times New Roman" w:hAnsi="Times New Roman" w:cs="Times New Roman"/>
                <w:sz w:val="16"/>
                <w:szCs w:val="16"/>
                <w:highlight w:val="yellow"/>
              </w:rPr>
              <w:fldChar w:fldCharType="end"/>
            </w:r>
            <w:r w:rsidRPr="004F6653">
              <w:rPr>
                <w:rFonts w:ascii="Times New Roman" w:hAnsi="Times New Roman" w:cs="Times New Roman"/>
                <w:sz w:val="16"/>
                <w:szCs w:val="16"/>
              </w:rPr>
              <w:t>, c. 362]</w:t>
            </w:r>
          </w:p>
        </w:tc>
        <w:tc>
          <w:tcPr>
            <w:tcW w:w="1789" w:type="dxa"/>
            <w:tcBorders>
              <w:top w:val="single" w:sz="4" w:space="0" w:color="auto"/>
              <w:left w:val="single" w:sz="4" w:space="0" w:color="auto"/>
              <w:bottom w:val="single" w:sz="4" w:space="0" w:color="auto"/>
              <w:right w:val="single" w:sz="4" w:space="0" w:color="auto"/>
            </w:tcBorders>
          </w:tcPr>
          <w:p w:rsidR="00B233DE" w:rsidRPr="004F6653" w:rsidRDefault="00B233DE" w:rsidP="0023489B">
            <w:pPr>
              <w:spacing w:before="100" w:beforeAutospacing="1" w:after="100" w:afterAutospacing="1"/>
              <w:ind w:left="-54" w:right="-108" w:firstLine="0"/>
              <w:jc w:val="both"/>
              <w:rPr>
                <w:rFonts w:ascii="Times New Roman" w:hAnsi="Times New Roman" w:cs="Times New Roman"/>
                <w:sz w:val="16"/>
                <w:szCs w:val="16"/>
              </w:rPr>
            </w:pPr>
            <w:r>
              <w:rPr>
                <w:rFonts w:ascii="Times New Roman" w:hAnsi="Times New Roman" w:cs="Times New Roman"/>
                <w:sz w:val="16"/>
                <w:szCs w:val="16"/>
              </w:rPr>
              <w:t>Ринок праці – це механізм,</w:t>
            </w:r>
            <w:r w:rsidRPr="004F6653">
              <w:rPr>
                <w:rFonts w:ascii="Times New Roman" w:hAnsi="Times New Roman" w:cs="Times New Roman"/>
                <w:sz w:val="16"/>
                <w:szCs w:val="16"/>
              </w:rPr>
              <w:t xml:space="preserve"> що забезпечує узгодження ціни і умов праці між роботодав</w:t>
            </w:r>
            <w:r>
              <w:rPr>
                <w:rFonts w:ascii="Times New Roman" w:hAnsi="Times New Roman" w:cs="Times New Roman"/>
                <w:sz w:val="16"/>
                <w:szCs w:val="16"/>
              </w:rPr>
              <w:t>-</w:t>
            </w:r>
            <w:r w:rsidRPr="004F6653">
              <w:rPr>
                <w:rFonts w:ascii="Times New Roman" w:hAnsi="Times New Roman" w:cs="Times New Roman"/>
                <w:sz w:val="16"/>
                <w:szCs w:val="16"/>
              </w:rPr>
              <w:t xml:space="preserve">цями і найманими працівниками та регулює її попит та пропозицію </w:t>
            </w:r>
          </w:p>
        </w:tc>
        <w:tc>
          <w:tcPr>
            <w:tcW w:w="1191" w:type="dxa"/>
            <w:tcBorders>
              <w:top w:val="single" w:sz="4" w:space="0" w:color="auto"/>
              <w:left w:val="single" w:sz="4" w:space="0" w:color="auto"/>
              <w:bottom w:val="single" w:sz="4" w:space="0" w:color="auto"/>
              <w:right w:val="single" w:sz="4" w:space="0" w:color="auto"/>
            </w:tcBorders>
          </w:tcPr>
          <w:p w:rsidR="00B233DE" w:rsidRPr="004F6653" w:rsidRDefault="00B233DE" w:rsidP="0023489B">
            <w:pPr>
              <w:spacing w:before="100" w:beforeAutospacing="1" w:after="100" w:afterAutospacing="1"/>
              <w:ind w:left="-54" w:right="-108" w:firstLine="0"/>
              <w:jc w:val="both"/>
              <w:rPr>
                <w:rFonts w:ascii="Times New Roman" w:hAnsi="Times New Roman" w:cs="Times New Roman"/>
                <w:sz w:val="16"/>
                <w:szCs w:val="16"/>
              </w:rPr>
            </w:pPr>
            <w:r w:rsidRPr="004F6653">
              <w:rPr>
                <w:rFonts w:ascii="Times New Roman" w:hAnsi="Times New Roman" w:cs="Times New Roman"/>
                <w:sz w:val="16"/>
                <w:szCs w:val="16"/>
                <w:shd w:val="clear" w:color="auto" w:fill="FFFFFF"/>
              </w:rPr>
              <w:t>Г.</w:t>
            </w:r>
            <w:r>
              <w:rPr>
                <w:rFonts w:ascii="Times New Roman" w:hAnsi="Times New Roman" w:cs="Times New Roman"/>
                <w:sz w:val="16"/>
                <w:szCs w:val="16"/>
                <w:shd w:val="clear" w:color="auto" w:fill="FFFFFF"/>
              </w:rPr>
              <w:t xml:space="preserve"> </w:t>
            </w:r>
            <w:r w:rsidRPr="004F6653">
              <w:rPr>
                <w:rFonts w:ascii="Times New Roman" w:hAnsi="Times New Roman" w:cs="Times New Roman"/>
                <w:sz w:val="16"/>
                <w:szCs w:val="16"/>
              </w:rPr>
              <w:t>Завіновська</w:t>
            </w:r>
            <w:r>
              <w:rPr>
                <w:rFonts w:ascii="Times New Roman" w:hAnsi="Times New Roman" w:cs="Times New Roman"/>
                <w:sz w:val="16"/>
                <w:szCs w:val="16"/>
              </w:rPr>
              <w:t xml:space="preserve"> </w:t>
            </w:r>
            <w:r w:rsidRPr="004F6653">
              <w:rPr>
                <w:rFonts w:ascii="Times New Roman" w:hAnsi="Times New Roman" w:cs="Times New Roman"/>
                <w:sz w:val="16"/>
                <w:szCs w:val="16"/>
              </w:rPr>
              <w:t>[</w:t>
            </w:r>
            <w:r>
              <w:rPr>
                <w:rFonts w:ascii="Times New Roman" w:hAnsi="Times New Roman" w:cs="Times New Roman"/>
                <w:sz w:val="16"/>
                <w:szCs w:val="16"/>
                <w:highlight w:val="yellow"/>
              </w:rPr>
              <w:fldChar w:fldCharType="begin"/>
            </w:r>
            <w:r>
              <w:rPr>
                <w:rFonts w:ascii="Times New Roman" w:hAnsi="Times New Roman" w:cs="Times New Roman"/>
                <w:sz w:val="16"/>
                <w:szCs w:val="16"/>
              </w:rPr>
              <w:instrText xml:space="preserve"> REF _Ref433976582 \r \h </w:instrText>
            </w:r>
            <w:r>
              <w:rPr>
                <w:rFonts w:ascii="Times New Roman" w:hAnsi="Times New Roman" w:cs="Times New Roman"/>
                <w:sz w:val="16"/>
                <w:szCs w:val="16"/>
                <w:highlight w:val="yellow"/>
              </w:rPr>
            </w:r>
            <w:r>
              <w:rPr>
                <w:rFonts w:ascii="Times New Roman" w:hAnsi="Times New Roman" w:cs="Times New Roman"/>
                <w:sz w:val="16"/>
                <w:szCs w:val="16"/>
                <w:highlight w:val="yellow"/>
              </w:rPr>
              <w:fldChar w:fldCharType="separate"/>
            </w:r>
            <w:r>
              <w:rPr>
                <w:rFonts w:ascii="Times New Roman" w:hAnsi="Times New Roman" w:cs="Times New Roman"/>
                <w:sz w:val="16"/>
                <w:szCs w:val="16"/>
              </w:rPr>
              <w:t>41</w:t>
            </w:r>
            <w:r>
              <w:rPr>
                <w:rFonts w:ascii="Times New Roman" w:hAnsi="Times New Roman" w:cs="Times New Roman"/>
                <w:sz w:val="16"/>
                <w:szCs w:val="16"/>
                <w:highlight w:val="yellow"/>
              </w:rPr>
              <w:fldChar w:fldCharType="end"/>
            </w:r>
            <w:r w:rsidRPr="004F6653">
              <w:rPr>
                <w:rFonts w:ascii="Times New Roman" w:hAnsi="Times New Roman" w:cs="Times New Roman"/>
                <w:sz w:val="16"/>
                <w:szCs w:val="16"/>
              </w:rPr>
              <w:t>, c.</w:t>
            </w:r>
            <w:r>
              <w:rPr>
                <w:rFonts w:ascii="Times New Roman" w:hAnsi="Times New Roman" w:cs="Times New Roman"/>
                <w:sz w:val="16"/>
                <w:szCs w:val="16"/>
              </w:rPr>
              <w:t xml:space="preserve"> </w:t>
            </w:r>
            <w:r w:rsidRPr="004F6653">
              <w:rPr>
                <w:rFonts w:ascii="Times New Roman" w:hAnsi="Times New Roman" w:cs="Times New Roman"/>
                <w:sz w:val="16"/>
                <w:szCs w:val="16"/>
              </w:rPr>
              <w:t>36]</w:t>
            </w:r>
          </w:p>
        </w:tc>
        <w:tc>
          <w:tcPr>
            <w:tcW w:w="2294" w:type="dxa"/>
            <w:tcBorders>
              <w:top w:val="single" w:sz="4" w:space="0" w:color="auto"/>
              <w:left w:val="single" w:sz="4" w:space="0" w:color="auto"/>
              <w:bottom w:val="single" w:sz="4" w:space="0" w:color="auto"/>
              <w:right w:val="single" w:sz="4" w:space="0" w:color="auto"/>
            </w:tcBorders>
          </w:tcPr>
          <w:p w:rsidR="00B233DE" w:rsidRPr="004F6653" w:rsidRDefault="00B233DE" w:rsidP="0023489B">
            <w:pPr>
              <w:spacing w:before="100" w:beforeAutospacing="1" w:after="100" w:afterAutospacing="1"/>
              <w:ind w:left="-54" w:right="-108" w:firstLine="0"/>
              <w:jc w:val="both"/>
              <w:rPr>
                <w:rFonts w:ascii="Times New Roman" w:hAnsi="Times New Roman" w:cs="Times New Roman"/>
                <w:sz w:val="16"/>
                <w:szCs w:val="16"/>
              </w:rPr>
            </w:pPr>
            <w:r>
              <w:rPr>
                <w:rFonts w:ascii="Times New Roman" w:hAnsi="Times New Roman" w:cs="Times New Roman"/>
                <w:sz w:val="16"/>
                <w:szCs w:val="16"/>
              </w:rPr>
              <w:t>Ринок праці –</w:t>
            </w:r>
            <w:r w:rsidRPr="004F6653">
              <w:rPr>
                <w:rFonts w:ascii="Times New Roman" w:hAnsi="Times New Roman" w:cs="Times New Roman"/>
                <w:sz w:val="16"/>
                <w:szCs w:val="16"/>
              </w:rPr>
              <w:t xml:space="preserve"> це передусім система суспільних відносин, пов’язаних із купівлею і про</w:t>
            </w:r>
            <w:r>
              <w:rPr>
                <w:rFonts w:ascii="Times New Roman" w:hAnsi="Times New Roman" w:cs="Times New Roman"/>
                <w:sz w:val="16"/>
                <w:szCs w:val="16"/>
              </w:rPr>
              <w:t>-дажем товару «</w:t>
            </w:r>
            <w:r w:rsidRPr="004F6653">
              <w:rPr>
                <w:rFonts w:ascii="Times New Roman" w:hAnsi="Times New Roman" w:cs="Times New Roman"/>
                <w:sz w:val="16"/>
                <w:szCs w:val="16"/>
              </w:rPr>
              <w:t>робоча сила</w:t>
            </w:r>
            <w:r>
              <w:rPr>
                <w:rFonts w:ascii="Times New Roman" w:hAnsi="Times New Roman" w:cs="Times New Roman"/>
                <w:sz w:val="16"/>
                <w:szCs w:val="16"/>
              </w:rPr>
              <w:t>»</w:t>
            </w:r>
            <w:r w:rsidRPr="004F6653">
              <w:rPr>
                <w:rFonts w:ascii="Times New Roman" w:hAnsi="Times New Roman" w:cs="Times New Roman"/>
                <w:sz w:val="16"/>
                <w:szCs w:val="16"/>
              </w:rPr>
              <w:t xml:space="preserve"> </w:t>
            </w:r>
          </w:p>
        </w:tc>
      </w:tr>
      <w:tr w:rsidR="00B233DE" w:rsidRPr="004F6653" w:rsidTr="0023489B">
        <w:trPr>
          <w:jc w:val="center"/>
        </w:trPr>
        <w:tc>
          <w:tcPr>
            <w:tcW w:w="1242" w:type="dxa"/>
            <w:tcBorders>
              <w:top w:val="single" w:sz="4" w:space="0" w:color="auto"/>
              <w:left w:val="single" w:sz="4" w:space="0" w:color="auto"/>
              <w:bottom w:val="single" w:sz="4" w:space="0" w:color="auto"/>
              <w:right w:val="single" w:sz="4" w:space="0" w:color="auto"/>
            </w:tcBorders>
          </w:tcPr>
          <w:p w:rsidR="00B233DE" w:rsidRPr="004F6653" w:rsidRDefault="00B233DE" w:rsidP="0023489B">
            <w:pPr>
              <w:spacing w:before="100" w:beforeAutospacing="1" w:after="100" w:afterAutospacing="1"/>
              <w:ind w:left="-54" w:right="-108" w:firstLine="0"/>
              <w:jc w:val="both"/>
              <w:rPr>
                <w:rFonts w:ascii="Times New Roman" w:hAnsi="Times New Roman" w:cs="Times New Roman"/>
                <w:sz w:val="16"/>
                <w:szCs w:val="16"/>
              </w:rPr>
            </w:pPr>
            <w:r w:rsidRPr="004F6653">
              <w:rPr>
                <w:rFonts w:ascii="Times New Roman" w:hAnsi="Times New Roman" w:cs="Times New Roman"/>
                <w:sz w:val="16"/>
                <w:szCs w:val="16"/>
                <w:shd w:val="clear" w:color="auto" w:fill="FFFFFF"/>
              </w:rPr>
              <w:t>Т.</w:t>
            </w:r>
            <w:r w:rsidRPr="004F6653">
              <w:rPr>
                <w:rFonts w:ascii="Times New Roman" w:hAnsi="Times New Roman" w:cs="Times New Roman"/>
                <w:sz w:val="16"/>
                <w:szCs w:val="16"/>
              </w:rPr>
              <w:t xml:space="preserve"> Заяць </w:t>
            </w:r>
            <w:r>
              <w:rPr>
                <w:rFonts w:ascii="Times New Roman" w:hAnsi="Times New Roman" w:cs="Times New Roman"/>
                <w:sz w:val="16"/>
                <w:szCs w:val="16"/>
              </w:rPr>
              <w:t>[</w:t>
            </w:r>
            <w:r>
              <w:rPr>
                <w:rFonts w:ascii="Times New Roman" w:hAnsi="Times New Roman" w:cs="Times New Roman"/>
                <w:sz w:val="16"/>
                <w:szCs w:val="16"/>
              </w:rPr>
              <w:fldChar w:fldCharType="begin"/>
            </w:r>
            <w:r>
              <w:rPr>
                <w:rFonts w:ascii="Times New Roman" w:hAnsi="Times New Roman" w:cs="Times New Roman"/>
                <w:sz w:val="16"/>
                <w:szCs w:val="16"/>
              </w:rPr>
              <w:instrText xml:space="preserve"> REF _Ref435690151 \r \h </w:instrText>
            </w:r>
            <w:r>
              <w:rPr>
                <w:rFonts w:ascii="Times New Roman" w:hAnsi="Times New Roman" w:cs="Times New Roman"/>
                <w:sz w:val="16"/>
                <w:szCs w:val="16"/>
              </w:rPr>
            </w:r>
            <w:r>
              <w:rPr>
                <w:rFonts w:ascii="Times New Roman" w:hAnsi="Times New Roman" w:cs="Times New Roman"/>
                <w:sz w:val="16"/>
                <w:szCs w:val="16"/>
              </w:rPr>
              <w:fldChar w:fldCharType="separate"/>
            </w:r>
            <w:r>
              <w:rPr>
                <w:rFonts w:ascii="Times New Roman" w:hAnsi="Times New Roman" w:cs="Times New Roman"/>
                <w:sz w:val="16"/>
                <w:szCs w:val="16"/>
              </w:rPr>
              <w:t>42</w:t>
            </w:r>
            <w:r>
              <w:rPr>
                <w:rFonts w:ascii="Times New Roman" w:hAnsi="Times New Roman" w:cs="Times New Roman"/>
                <w:sz w:val="16"/>
                <w:szCs w:val="16"/>
              </w:rPr>
              <w:fldChar w:fldCharType="end"/>
            </w:r>
            <w:r>
              <w:rPr>
                <w:rFonts w:ascii="Times New Roman" w:hAnsi="Times New Roman" w:cs="Times New Roman"/>
                <w:sz w:val="16"/>
                <w:szCs w:val="16"/>
              </w:rPr>
              <w:t>]</w:t>
            </w:r>
          </w:p>
        </w:tc>
        <w:tc>
          <w:tcPr>
            <w:tcW w:w="1789" w:type="dxa"/>
            <w:tcBorders>
              <w:top w:val="nil"/>
              <w:left w:val="single" w:sz="4" w:space="0" w:color="auto"/>
              <w:bottom w:val="single" w:sz="4" w:space="0" w:color="auto"/>
              <w:right w:val="single" w:sz="4" w:space="0" w:color="auto"/>
            </w:tcBorders>
          </w:tcPr>
          <w:p w:rsidR="00B233DE" w:rsidRPr="004F6653" w:rsidRDefault="00B233DE" w:rsidP="0023489B">
            <w:pPr>
              <w:spacing w:before="100" w:beforeAutospacing="1" w:after="100" w:afterAutospacing="1"/>
              <w:ind w:left="-54" w:right="-108" w:firstLine="0"/>
              <w:jc w:val="both"/>
              <w:rPr>
                <w:rFonts w:ascii="Times New Roman" w:hAnsi="Times New Roman" w:cs="Times New Roman"/>
                <w:sz w:val="16"/>
                <w:szCs w:val="16"/>
              </w:rPr>
            </w:pPr>
            <w:r w:rsidRPr="004F6653">
              <w:rPr>
                <w:rFonts w:ascii="Times New Roman" w:hAnsi="Times New Roman" w:cs="Times New Roman"/>
                <w:sz w:val="16"/>
                <w:szCs w:val="16"/>
              </w:rPr>
              <w:t>Ринок праці – механізм саморегуляції попиту на робочу силу та її пропо</w:t>
            </w:r>
            <w:r>
              <w:rPr>
                <w:rFonts w:ascii="Times New Roman" w:hAnsi="Times New Roman" w:cs="Times New Roman"/>
                <w:sz w:val="16"/>
                <w:szCs w:val="16"/>
              </w:rPr>
              <w:t>-</w:t>
            </w:r>
            <w:r w:rsidRPr="004F6653">
              <w:rPr>
                <w:rFonts w:ascii="Times New Roman" w:hAnsi="Times New Roman" w:cs="Times New Roman"/>
                <w:sz w:val="16"/>
                <w:szCs w:val="16"/>
              </w:rPr>
              <w:t xml:space="preserve">зицію через вільний рух зарплати і доходів який </w:t>
            </w:r>
            <w:r w:rsidRPr="004F6653">
              <w:rPr>
                <w:rFonts w:ascii="Times New Roman" w:hAnsi="Times New Roman" w:cs="Times New Roman"/>
                <w:spacing w:val="-6"/>
                <w:sz w:val="16"/>
                <w:szCs w:val="16"/>
              </w:rPr>
              <w:t>безпосередньо не регулює</w:t>
            </w:r>
            <w:r w:rsidRPr="004F6653">
              <w:rPr>
                <w:rFonts w:ascii="Times New Roman" w:hAnsi="Times New Roman" w:cs="Times New Roman"/>
                <w:sz w:val="16"/>
                <w:szCs w:val="16"/>
              </w:rPr>
              <w:t xml:space="preserve"> процес </w:t>
            </w:r>
            <w:r>
              <w:rPr>
                <w:rFonts w:ascii="Times New Roman" w:hAnsi="Times New Roman" w:cs="Times New Roman"/>
                <w:sz w:val="16"/>
                <w:szCs w:val="16"/>
              </w:rPr>
              <w:t>купівлі-продажу робочої сили, а</w:t>
            </w:r>
            <w:r w:rsidRPr="004F6653">
              <w:rPr>
                <w:rFonts w:ascii="Times New Roman" w:hAnsi="Times New Roman" w:cs="Times New Roman"/>
                <w:sz w:val="16"/>
                <w:szCs w:val="16"/>
              </w:rPr>
              <w:t xml:space="preserve"> тільки створює умови задово</w:t>
            </w:r>
            <w:r>
              <w:rPr>
                <w:rFonts w:ascii="Times New Roman" w:hAnsi="Times New Roman" w:cs="Times New Roman"/>
                <w:sz w:val="16"/>
                <w:szCs w:val="16"/>
              </w:rPr>
              <w:t>-</w:t>
            </w:r>
            <w:r w:rsidRPr="004F6653">
              <w:rPr>
                <w:rFonts w:ascii="Times New Roman" w:hAnsi="Times New Roman" w:cs="Times New Roman"/>
                <w:sz w:val="16"/>
                <w:szCs w:val="16"/>
              </w:rPr>
              <w:t>лення попиту і пропози</w:t>
            </w:r>
            <w:r>
              <w:rPr>
                <w:rFonts w:ascii="Times New Roman" w:hAnsi="Times New Roman" w:cs="Times New Roman"/>
                <w:sz w:val="16"/>
                <w:szCs w:val="16"/>
              </w:rPr>
              <w:t xml:space="preserve">-ції, </w:t>
            </w:r>
            <w:r w:rsidRPr="004F6653">
              <w:rPr>
                <w:rFonts w:ascii="Times New Roman" w:hAnsi="Times New Roman" w:cs="Times New Roman"/>
                <w:sz w:val="16"/>
                <w:szCs w:val="16"/>
              </w:rPr>
              <w:t>узгоджуючи потреби роботодавця і бажаю</w:t>
            </w:r>
            <w:r>
              <w:rPr>
                <w:rFonts w:ascii="Times New Roman" w:hAnsi="Times New Roman" w:cs="Times New Roman"/>
                <w:sz w:val="16"/>
                <w:szCs w:val="16"/>
              </w:rPr>
              <w:t>-</w:t>
            </w:r>
            <w:r w:rsidRPr="004F6653">
              <w:rPr>
                <w:rFonts w:ascii="Times New Roman" w:hAnsi="Times New Roman" w:cs="Times New Roman"/>
                <w:spacing w:val="-6"/>
                <w:sz w:val="16"/>
                <w:szCs w:val="16"/>
              </w:rPr>
              <w:t>чого працювати за наймом.</w:t>
            </w:r>
          </w:p>
        </w:tc>
        <w:tc>
          <w:tcPr>
            <w:tcW w:w="1191" w:type="dxa"/>
            <w:tcBorders>
              <w:top w:val="single" w:sz="4" w:space="0" w:color="auto"/>
              <w:left w:val="single" w:sz="4" w:space="0" w:color="auto"/>
              <w:bottom w:val="single" w:sz="4" w:space="0" w:color="auto"/>
              <w:right w:val="single" w:sz="4" w:space="0" w:color="auto"/>
            </w:tcBorders>
          </w:tcPr>
          <w:p w:rsidR="00B233DE" w:rsidRPr="004F6653" w:rsidRDefault="00B233DE" w:rsidP="0023489B">
            <w:pPr>
              <w:spacing w:before="100" w:beforeAutospacing="1" w:after="100" w:afterAutospacing="1"/>
              <w:ind w:left="-54" w:right="-108" w:firstLine="0"/>
              <w:jc w:val="both"/>
              <w:rPr>
                <w:rFonts w:ascii="Times New Roman" w:hAnsi="Times New Roman" w:cs="Times New Roman"/>
                <w:sz w:val="16"/>
                <w:szCs w:val="16"/>
              </w:rPr>
            </w:pPr>
            <w:r>
              <w:rPr>
                <w:rFonts w:ascii="Times New Roman" w:hAnsi="Times New Roman" w:cs="Times New Roman"/>
                <w:sz w:val="16"/>
                <w:szCs w:val="16"/>
              </w:rPr>
              <w:t xml:space="preserve">В. Брич </w:t>
            </w:r>
            <w:r w:rsidRPr="004F6653">
              <w:rPr>
                <w:rFonts w:ascii="Times New Roman" w:hAnsi="Times New Roman" w:cs="Times New Roman"/>
                <w:sz w:val="16"/>
                <w:szCs w:val="16"/>
              </w:rPr>
              <w:t>[</w:t>
            </w:r>
            <w:r>
              <w:rPr>
                <w:rFonts w:ascii="Times New Roman" w:hAnsi="Times New Roman" w:cs="Times New Roman"/>
                <w:sz w:val="16"/>
                <w:szCs w:val="16"/>
                <w:highlight w:val="yellow"/>
              </w:rPr>
              <w:fldChar w:fldCharType="begin"/>
            </w:r>
            <w:r>
              <w:rPr>
                <w:rFonts w:ascii="Times New Roman" w:hAnsi="Times New Roman" w:cs="Times New Roman"/>
                <w:sz w:val="16"/>
                <w:szCs w:val="16"/>
              </w:rPr>
              <w:instrText xml:space="preserve"> REF _Ref433976629 \r \h </w:instrText>
            </w:r>
            <w:r>
              <w:rPr>
                <w:rFonts w:ascii="Times New Roman" w:hAnsi="Times New Roman" w:cs="Times New Roman"/>
                <w:sz w:val="16"/>
                <w:szCs w:val="16"/>
                <w:highlight w:val="yellow"/>
              </w:rPr>
            </w:r>
            <w:r>
              <w:rPr>
                <w:rFonts w:ascii="Times New Roman" w:hAnsi="Times New Roman" w:cs="Times New Roman"/>
                <w:sz w:val="16"/>
                <w:szCs w:val="16"/>
                <w:highlight w:val="yellow"/>
              </w:rPr>
              <w:fldChar w:fldCharType="separate"/>
            </w:r>
            <w:r>
              <w:rPr>
                <w:rFonts w:ascii="Times New Roman" w:hAnsi="Times New Roman" w:cs="Times New Roman"/>
                <w:sz w:val="16"/>
                <w:szCs w:val="16"/>
              </w:rPr>
              <w:t>16</w:t>
            </w:r>
            <w:r>
              <w:rPr>
                <w:rFonts w:ascii="Times New Roman" w:hAnsi="Times New Roman" w:cs="Times New Roman"/>
                <w:sz w:val="16"/>
                <w:szCs w:val="16"/>
                <w:highlight w:val="yellow"/>
              </w:rPr>
              <w:fldChar w:fldCharType="end"/>
            </w:r>
            <w:r>
              <w:rPr>
                <w:rFonts w:ascii="Times New Roman" w:hAnsi="Times New Roman" w:cs="Times New Roman"/>
                <w:sz w:val="16"/>
                <w:szCs w:val="16"/>
              </w:rPr>
              <w:t>]</w:t>
            </w:r>
          </w:p>
        </w:tc>
        <w:tc>
          <w:tcPr>
            <w:tcW w:w="2294" w:type="dxa"/>
            <w:tcBorders>
              <w:top w:val="single" w:sz="4" w:space="0" w:color="auto"/>
              <w:left w:val="single" w:sz="4" w:space="0" w:color="auto"/>
              <w:bottom w:val="single" w:sz="4" w:space="0" w:color="auto"/>
              <w:right w:val="single" w:sz="4" w:space="0" w:color="auto"/>
            </w:tcBorders>
          </w:tcPr>
          <w:p w:rsidR="00B233DE" w:rsidRPr="004F6653" w:rsidRDefault="00B233DE" w:rsidP="0023489B">
            <w:pPr>
              <w:spacing w:before="100" w:beforeAutospacing="1" w:after="100" w:afterAutospacing="1"/>
              <w:ind w:left="-54" w:right="-108" w:firstLine="0"/>
              <w:jc w:val="both"/>
              <w:rPr>
                <w:rFonts w:ascii="Times New Roman" w:hAnsi="Times New Roman" w:cs="Times New Roman"/>
                <w:sz w:val="16"/>
                <w:szCs w:val="16"/>
              </w:rPr>
            </w:pPr>
            <w:r w:rsidRPr="004F6653">
              <w:rPr>
                <w:rFonts w:ascii="Times New Roman" w:hAnsi="Times New Roman" w:cs="Times New Roman"/>
                <w:sz w:val="16"/>
                <w:szCs w:val="16"/>
              </w:rPr>
              <w:t xml:space="preserve">Ринок праці </w:t>
            </w:r>
            <w:r>
              <w:rPr>
                <w:rFonts w:ascii="Times New Roman" w:hAnsi="Times New Roman" w:cs="Times New Roman"/>
                <w:sz w:val="16"/>
                <w:szCs w:val="16"/>
              </w:rPr>
              <w:t>–</w:t>
            </w:r>
            <w:r w:rsidRPr="004F6653">
              <w:rPr>
                <w:rFonts w:ascii="Times New Roman" w:hAnsi="Times New Roman" w:cs="Times New Roman"/>
                <w:sz w:val="16"/>
                <w:szCs w:val="16"/>
              </w:rPr>
              <w:t xml:space="preserve"> це система трудо</w:t>
            </w:r>
            <w:r>
              <w:rPr>
                <w:rFonts w:ascii="Times New Roman" w:hAnsi="Times New Roman" w:cs="Times New Roman"/>
                <w:sz w:val="16"/>
                <w:szCs w:val="16"/>
              </w:rPr>
              <w:t>-</w:t>
            </w:r>
            <w:r w:rsidRPr="00E5151D">
              <w:rPr>
                <w:rFonts w:ascii="Times New Roman" w:hAnsi="Times New Roman" w:cs="Times New Roman"/>
                <w:spacing w:val="-4"/>
                <w:sz w:val="16"/>
                <w:szCs w:val="16"/>
              </w:rPr>
              <w:t>вих відносин, що відбиває рівень</w:t>
            </w:r>
            <w:r w:rsidRPr="004F6653">
              <w:rPr>
                <w:rFonts w:ascii="Times New Roman" w:hAnsi="Times New Roman" w:cs="Times New Roman"/>
                <w:sz w:val="16"/>
                <w:szCs w:val="16"/>
              </w:rPr>
              <w:t xml:space="preserve"> соціального розвитку і досягну</w:t>
            </w:r>
            <w:r>
              <w:rPr>
                <w:rFonts w:ascii="Times New Roman" w:hAnsi="Times New Roman" w:cs="Times New Roman"/>
                <w:sz w:val="16"/>
                <w:szCs w:val="16"/>
              </w:rPr>
              <w:t>-</w:t>
            </w:r>
            <w:r w:rsidRPr="004F6653">
              <w:rPr>
                <w:rFonts w:ascii="Times New Roman" w:hAnsi="Times New Roman" w:cs="Times New Roman"/>
                <w:sz w:val="16"/>
                <w:szCs w:val="16"/>
              </w:rPr>
              <w:t>тий на даний період баланс інтересів між суб’єктами, що беруть участь на ринку праці: роботодавцями, працівниками, державою, профспілками і посе</w:t>
            </w:r>
            <w:r>
              <w:rPr>
                <w:rFonts w:ascii="Times New Roman" w:hAnsi="Times New Roman" w:cs="Times New Roman"/>
                <w:sz w:val="16"/>
                <w:szCs w:val="16"/>
              </w:rPr>
              <w:t>-</w:t>
            </w:r>
            <w:r w:rsidRPr="004F6653">
              <w:rPr>
                <w:rFonts w:ascii="Times New Roman" w:hAnsi="Times New Roman" w:cs="Times New Roman"/>
                <w:sz w:val="16"/>
                <w:szCs w:val="16"/>
              </w:rPr>
              <w:t xml:space="preserve">редниками </w:t>
            </w:r>
          </w:p>
        </w:tc>
      </w:tr>
      <w:tr w:rsidR="00B233DE" w:rsidRPr="004F6653" w:rsidTr="0023489B">
        <w:trPr>
          <w:jc w:val="center"/>
        </w:trPr>
        <w:tc>
          <w:tcPr>
            <w:tcW w:w="1242" w:type="dxa"/>
            <w:tcBorders>
              <w:top w:val="single" w:sz="4" w:space="0" w:color="auto"/>
              <w:left w:val="single" w:sz="4" w:space="0" w:color="auto"/>
              <w:bottom w:val="single" w:sz="4" w:space="0" w:color="auto"/>
              <w:right w:val="single" w:sz="4" w:space="0" w:color="auto"/>
            </w:tcBorders>
          </w:tcPr>
          <w:p w:rsidR="00B233DE" w:rsidRPr="004F6653" w:rsidRDefault="00B233DE" w:rsidP="0023489B">
            <w:pPr>
              <w:spacing w:before="100" w:beforeAutospacing="1" w:after="100" w:afterAutospacing="1"/>
              <w:ind w:left="-54" w:right="-108" w:firstLine="0"/>
              <w:jc w:val="both"/>
              <w:rPr>
                <w:rFonts w:ascii="Times New Roman" w:hAnsi="Times New Roman" w:cs="Times New Roman"/>
                <w:sz w:val="16"/>
                <w:szCs w:val="16"/>
              </w:rPr>
            </w:pPr>
            <w:r w:rsidRPr="004F6653">
              <w:rPr>
                <w:rFonts w:ascii="Times New Roman" w:hAnsi="Times New Roman" w:cs="Times New Roman"/>
                <w:sz w:val="16"/>
                <w:szCs w:val="16"/>
                <w:shd w:val="clear" w:color="auto" w:fill="FFFFFF"/>
              </w:rPr>
              <w:t xml:space="preserve">С. Мочерний </w:t>
            </w:r>
            <w:r w:rsidRPr="004F6653">
              <w:rPr>
                <w:rFonts w:ascii="Times New Roman" w:hAnsi="Times New Roman" w:cs="Times New Roman"/>
                <w:sz w:val="16"/>
                <w:szCs w:val="16"/>
              </w:rPr>
              <w:t>[</w:t>
            </w:r>
            <w:r>
              <w:rPr>
                <w:rFonts w:ascii="Times New Roman" w:hAnsi="Times New Roman" w:cs="Times New Roman"/>
                <w:bCs/>
                <w:sz w:val="16"/>
                <w:szCs w:val="16"/>
                <w:highlight w:val="yellow"/>
                <w:shd w:val="clear" w:color="auto" w:fill="FFFFFF"/>
              </w:rPr>
              <w:fldChar w:fldCharType="begin"/>
            </w:r>
            <w:r>
              <w:rPr>
                <w:rFonts w:ascii="Times New Roman" w:hAnsi="Times New Roman" w:cs="Times New Roman"/>
                <w:sz w:val="16"/>
                <w:szCs w:val="16"/>
              </w:rPr>
              <w:instrText xml:space="preserve"> REF _Ref433976573 \r \h </w:instrText>
            </w:r>
            <w:r>
              <w:rPr>
                <w:rFonts w:ascii="Times New Roman" w:hAnsi="Times New Roman" w:cs="Times New Roman"/>
                <w:bCs/>
                <w:sz w:val="16"/>
                <w:szCs w:val="16"/>
                <w:highlight w:val="yellow"/>
                <w:shd w:val="clear" w:color="auto" w:fill="FFFFFF"/>
              </w:rPr>
            </w:r>
            <w:r>
              <w:rPr>
                <w:rFonts w:ascii="Times New Roman" w:hAnsi="Times New Roman" w:cs="Times New Roman"/>
                <w:bCs/>
                <w:sz w:val="16"/>
                <w:szCs w:val="16"/>
                <w:highlight w:val="yellow"/>
                <w:shd w:val="clear" w:color="auto" w:fill="FFFFFF"/>
              </w:rPr>
              <w:fldChar w:fldCharType="separate"/>
            </w:r>
            <w:r>
              <w:rPr>
                <w:rFonts w:ascii="Times New Roman" w:hAnsi="Times New Roman" w:cs="Times New Roman"/>
                <w:sz w:val="16"/>
                <w:szCs w:val="16"/>
              </w:rPr>
              <w:t>72</w:t>
            </w:r>
            <w:r>
              <w:rPr>
                <w:rFonts w:ascii="Times New Roman" w:hAnsi="Times New Roman" w:cs="Times New Roman"/>
                <w:bCs/>
                <w:sz w:val="16"/>
                <w:szCs w:val="16"/>
                <w:highlight w:val="yellow"/>
                <w:shd w:val="clear" w:color="auto" w:fill="FFFFFF"/>
              </w:rPr>
              <w:fldChar w:fldCharType="end"/>
            </w:r>
            <w:r>
              <w:rPr>
                <w:rFonts w:ascii="Times New Roman" w:hAnsi="Times New Roman" w:cs="Times New Roman"/>
                <w:bCs/>
                <w:sz w:val="16"/>
                <w:szCs w:val="16"/>
                <w:shd w:val="clear" w:color="auto" w:fill="FFFFFF"/>
              </w:rPr>
              <w:t xml:space="preserve">, </w:t>
            </w:r>
            <w:r w:rsidRPr="004F6653">
              <w:rPr>
                <w:rFonts w:ascii="Times New Roman" w:hAnsi="Times New Roman" w:cs="Times New Roman"/>
                <w:sz w:val="16"/>
                <w:szCs w:val="16"/>
              </w:rPr>
              <w:t>c. 367]</w:t>
            </w:r>
          </w:p>
        </w:tc>
        <w:tc>
          <w:tcPr>
            <w:tcW w:w="1789" w:type="dxa"/>
            <w:tcBorders>
              <w:top w:val="single" w:sz="4" w:space="0" w:color="auto"/>
              <w:left w:val="single" w:sz="4" w:space="0" w:color="auto"/>
              <w:bottom w:val="single" w:sz="4" w:space="0" w:color="auto"/>
              <w:right w:val="single" w:sz="4" w:space="0" w:color="auto"/>
            </w:tcBorders>
          </w:tcPr>
          <w:p w:rsidR="00B233DE" w:rsidRPr="004F6653" w:rsidRDefault="00B233DE" w:rsidP="0023489B">
            <w:pPr>
              <w:spacing w:before="100" w:beforeAutospacing="1" w:after="100" w:afterAutospacing="1"/>
              <w:ind w:left="-54" w:right="-108" w:firstLine="0"/>
              <w:jc w:val="both"/>
              <w:rPr>
                <w:rFonts w:ascii="Times New Roman" w:hAnsi="Times New Roman" w:cs="Times New Roman"/>
                <w:sz w:val="16"/>
                <w:szCs w:val="16"/>
              </w:rPr>
            </w:pPr>
            <w:r>
              <w:rPr>
                <w:rFonts w:ascii="Times New Roman" w:hAnsi="Times New Roman" w:cs="Times New Roman"/>
                <w:sz w:val="16"/>
                <w:szCs w:val="16"/>
              </w:rPr>
              <w:t>Ринок праці –</w:t>
            </w:r>
            <w:r w:rsidRPr="004F6653">
              <w:rPr>
                <w:rFonts w:ascii="Times New Roman" w:hAnsi="Times New Roman" w:cs="Times New Roman"/>
                <w:sz w:val="16"/>
                <w:szCs w:val="16"/>
              </w:rPr>
              <w:t xml:space="preserve"> система економічних механізмів, норм та інститутів, які забезпечують відтворен</w:t>
            </w:r>
            <w:r>
              <w:rPr>
                <w:rFonts w:ascii="Times New Roman" w:hAnsi="Times New Roman" w:cs="Times New Roman"/>
                <w:sz w:val="16"/>
                <w:szCs w:val="16"/>
              </w:rPr>
              <w:t>-</w:t>
            </w:r>
            <w:r w:rsidRPr="004F6653">
              <w:rPr>
                <w:rFonts w:ascii="Times New Roman" w:hAnsi="Times New Roman" w:cs="Times New Roman"/>
                <w:sz w:val="16"/>
                <w:szCs w:val="16"/>
              </w:rPr>
              <w:t xml:space="preserve">ня робочої сили та її використання </w:t>
            </w:r>
          </w:p>
        </w:tc>
        <w:tc>
          <w:tcPr>
            <w:tcW w:w="1191" w:type="dxa"/>
            <w:tcBorders>
              <w:top w:val="single" w:sz="4" w:space="0" w:color="auto"/>
              <w:left w:val="single" w:sz="4" w:space="0" w:color="auto"/>
              <w:bottom w:val="single" w:sz="4" w:space="0" w:color="auto"/>
              <w:right w:val="single" w:sz="4" w:space="0" w:color="auto"/>
            </w:tcBorders>
          </w:tcPr>
          <w:p w:rsidR="00B233DE" w:rsidRPr="004F6653" w:rsidRDefault="00B233DE" w:rsidP="0023489B">
            <w:pPr>
              <w:spacing w:before="100" w:beforeAutospacing="1" w:after="100" w:afterAutospacing="1"/>
              <w:ind w:left="-54" w:right="-108" w:firstLine="0"/>
              <w:jc w:val="both"/>
              <w:rPr>
                <w:rFonts w:ascii="Times New Roman" w:hAnsi="Times New Roman" w:cs="Times New Roman"/>
                <w:sz w:val="16"/>
                <w:szCs w:val="16"/>
              </w:rPr>
            </w:pPr>
            <w:r w:rsidRPr="004F6653">
              <w:rPr>
                <w:rFonts w:ascii="Times New Roman" w:hAnsi="Times New Roman" w:cs="Times New Roman"/>
                <w:sz w:val="16"/>
                <w:szCs w:val="16"/>
                <w:shd w:val="clear" w:color="auto" w:fill="FFFFFF"/>
              </w:rPr>
              <w:t>О.</w:t>
            </w:r>
            <w:r w:rsidRPr="004F6653">
              <w:rPr>
                <w:rFonts w:ascii="Times New Roman" w:hAnsi="Times New Roman" w:cs="Times New Roman"/>
                <w:sz w:val="16"/>
                <w:szCs w:val="16"/>
              </w:rPr>
              <w:t xml:space="preserve"> Волкова </w:t>
            </w:r>
            <w:r w:rsidRPr="004F6653">
              <w:rPr>
                <w:rFonts w:ascii="Times New Roman" w:hAnsi="Times New Roman" w:cs="Times New Roman"/>
                <w:color w:val="000000"/>
                <w:sz w:val="16"/>
                <w:szCs w:val="16"/>
                <w:shd w:val="clear" w:color="auto" w:fill="FFFFFF"/>
              </w:rPr>
              <w:t>[</w:t>
            </w:r>
            <w:r>
              <w:rPr>
                <w:rFonts w:ascii="Times New Roman" w:hAnsi="Times New Roman" w:cs="Times New Roman"/>
                <w:sz w:val="16"/>
                <w:szCs w:val="16"/>
                <w:highlight w:val="yellow"/>
                <w:shd w:val="clear" w:color="auto" w:fill="FFFFFF"/>
              </w:rPr>
              <w:fldChar w:fldCharType="begin"/>
            </w:r>
            <w:r>
              <w:rPr>
                <w:rFonts w:ascii="Times New Roman" w:hAnsi="Times New Roman" w:cs="Times New Roman"/>
                <w:color w:val="000000"/>
                <w:sz w:val="16"/>
                <w:szCs w:val="16"/>
                <w:shd w:val="clear" w:color="auto" w:fill="FFFFFF"/>
              </w:rPr>
              <w:instrText xml:space="preserve"> REF _Ref433976596 \r \h </w:instrText>
            </w:r>
            <w:r>
              <w:rPr>
                <w:rFonts w:ascii="Times New Roman" w:hAnsi="Times New Roman" w:cs="Times New Roman"/>
                <w:sz w:val="16"/>
                <w:szCs w:val="16"/>
                <w:highlight w:val="yellow"/>
                <w:shd w:val="clear" w:color="auto" w:fill="FFFFFF"/>
              </w:rPr>
            </w:r>
            <w:r>
              <w:rPr>
                <w:rFonts w:ascii="Times New Roman" w:hAnsi="Times New Roman" w:cs="Times New Roman"/>
                <w:sz w:val="16"/>
                <w:szCs w:val="16"/>
                <w:highlight w:val="yellow"/>
                <w:shd w:val="clear" w:color="auto" w:fill="FFFFFF"/>
              </w:rPr>
              <w:fldChar w:fldCharType="separate"/>
            </w:r>
            <w:r>
              <w:rPr>
                <w:rFonts w:ascii="Times New Roman" w:hAnsi="Times New Roman" w:cs="Times New Roman"/>
                <w:color w:val="000000"/>
                <w:sz w:val="16"/>
                <w:szCs w:val="16"/>
                <w:shd w:val="clear" w:color="auto" w:fill="FFFFFF"/>
              </w:rPr>
              <w:t>20</w:t>
            </w:r>
            <w:r>
              <w:rPr>
                <w:rFonts w:ascii="Times New Roman" w:hAnsi="Times New Roman" w:cs="Times New Roman"/>
                <w:sz w:val="16"/>
                <w:szCs w:val="16"/>
                <w:highlight w:val="yellow"/>
                <w:shd w:val="clear" w:color="auto" w:fill="FFFFFF"/>
              </w:rPr>
              <w:fldChar w:fldCharType="end"/>
            </w:r>
            <w:r w:rsidRPr="004F6653">
              <w:rPr>
                <w:rFonts w:ascii="Times New Roman" w:hAnsi="Times New Roman" w:cs="Times New Roman"/>
                <w:color w:val="000000"/>
                <w:sz w:val="16"/>
                <w:szCs w:val="16"/>
                <w:shd w:val="clear" w:color="auto" w:fill="FFFFFF"/>
              </w:rPr>
              <w:t>, c. 128]</w:t>
            </w:r>
          </w:p>
        </w:tc>
        <w:tc>
          <w:tcPr>
            <w:tcW w:w="2294" w:type="dxa"/>
            <w:tcBorders>
              <w:top w:val="single" w:sz="4" w:space="0" w:color="auto"/>
              <w:left w:val="single" w:sz="4" w:space="0" w:color="auto"/>
              <w:bottom w:val="single" w:sz="4" w:space="0" w:color="auto"/>
              <w:right w:val="single" w:sz="4" w:space="0" w:color="auto"/>
            </w:tcBorders>
          </w:tcPr>
          <w:p w:rsidR="00B233DE" w:rsidRPr="004F6653" w:rsidRDefault="00B233DE" w:rsidP="0023489B">
            <w:pPr>
              <w:spacing w:before="100" w:beforeAutospacing="1" w:after="100" w:afterAutospacing="1"/>
              <w:ind w:left="-54" w:right="-108" w:firstLine="0"/>
              <w:jc w:val="both"/>
              <w:rPr>
                <w:rFonts w:ascii="Times New Roman" w:hAnsi="Times New Roman" w:cs="Times New Roman"/>
                <w:sz w:val="16"/>
                <w:szCs w:val="16"/>
              </w:rPr>
            </w:pPr>
            <w:r w:rsidRPr="004F6653">
              <w:rPr>
                <w:rFonts w:ascii="Times New Roman" w:hAnsi="Times New Roman" w:cs="Times New Roman"/>
                <w:sz w:val="16"/>
                <w:szCs w:val="16"/>
              </w:rPr>
              <w:t xml:space="preserve">Ринок праці </w:t>
            </w:r>
            <w:r>
              <w:rPr>
                <w:rFonts w:ascii="Times New Roman" w:hAnsi="Times New Roman" w:cs="Times New Roman"/>
                <w:sz w:val="16"/>
                <w:szCs w:val="16"/>
              </w:rPr>
              <w:t>–</w:t>
            </w:r>
            <w:r w:rsidRPr="004F6653">
              <w:rPr>
                <w:rFonts w:ascii="Times New Roman" w:hAnsi="Times New Roman" w:cs="Times New Roman"/>
                <w:sz w:val="16"/>
                <w:szCs w:val="16"/>
              </w:rPr>
              <w:t xml:space="preserve"> </w:t>
            </w:r>
            <w:r w:rsidRPr="004F6653">
              <w:rPr>
                <w:rFonts w:ascii="Times New Roman" w:hAnsi="Times New Roman" w:cs="Times New Roman"/>
                <w:color w:val="000000"/>
                <w:sz w:val="16"/>
                <w:szCs w:val="16"/>
                <w:shd w:val="clear" w:color="auto" w:fill="FFFFFF"/>
              </w:rPr>
              <w:t>це система обміну індивідуальних здібностей до праці на фонд життєвих цінно</w:t>
            </w:r>
            <w:r>
              <w:rPr>
                <w:rFonts w:ascii="Times New Roman" w:hAnsi="Times New Roman" w:cs="Times New Roman"/>
                <w:color w:val="000000"/>
                <w:sz w:val="16"/>
                <w:szCs w:val="16"/>
                <w:shd w:val="clear" w:color="auto" w:fill="FFFFFF"/>
              </w:rPr>
              <w:t>-</w:t>
            </w:r>
            <w:r w:rsidRPr="004F6653">
              <w:rPr>
                <w:rFonts w:ascii="Times New Roman" w:hAnsi="Times New Roman" w:cs="Times New Roman"/>
                <w:color w:val="000000"/>
                <w:sz w:val="16"/>
                <w:szCs w:val="16"/>
                <w:shd w:val="clear" w:color="auto" w:fill="FFFFFF"/>
              </w:rPr>
              <w:t>стей, необхідних для відтво</w:t>
            </w:r>
            <w:r>
              <w:rPr>
                <w:rFonts w:ascii="Times New Roman" w:hAnsi="Times New Roman" w:cs="Times New Roman"/>
                <w:color w:val="000000"/>
                <w:sz w:val="16"/>
                <w:szCs w:val="16"/>
                <w:shd w:val="clear" w:color="auto" w:fill="FFFFFF"/>
              </w:rPr>
              <w:t>-</w:t>
            </w:r>
            <w:r w:rsidRPr="004F6653">
              <w:rPr>
                <w:rFonts w:ascii="Times New Roman" w:hAnsi="Times New Roman" w:cs="Times New Roman"/>
                <w:color w:val="000000"/>
                <w:sz w:val="16"/>
                <w:szCs w:val="16"/>
                <w:shd w:val="clear" w:color="auto" w:fill="FFFFFF"/>
              </w:rPr>
              <w:t xml:space="preserve">рення робочої сили </w:t>
            </w:r>
          </w:p>
        </w:tc>
      </w:tr>
      <w:tr w:rsidR="00B233DE" w:rsidRPr="004F6653" w:rsidTr="0023489B">
        <w:trPr>
          <w:jc w:val="center"/>
        </w:trPr>
        <w:tc>
          <w:tcPr>
            <w:tcW w:w="1242" w:type="dxa"/>
            <w:tcBorders>
              <w:top w:val="single" w:sz="4" w:space="0" w:color="auto"/>
              <w:left w:val="single" w:sz="4" w:space="0" w:color="auto"/>
              <w:bottom w:val="single" w:sz="4" w:space="0" w:color="auto"/>
              <w:right w:val="single" w:sz="4" w:space="0" w:color="auto"/>
            </w:tcBorders>
          </w:tcPr>
          <w:p w:rsidR="00B233DE" w:rsidRPr="004F6653" w:rsidRDefault="00B233DE" w:rsidP="0023489B">
            <w:pPr>
              <w:spacing w:before="100" w:beforeAutospacing="1" w:after="100" w:afterAutospacing="1"/>
              <w:ind w:left="-54" w:right="-108" w:firstLine="0"/>
              <w:jc w:val="both"/>
              <w:rPr>
                <w:rFonts w:ascii="Times New Roman" w:hAnsi="Times New Roman" w:cs="Times New Roman"/>
                <w:sz w:val="16"/>
                <w:szCs w:val="16"/>
              </w:rPr>
            </w:pPr>
            <w:r>
              <w:rPr>
                <w:rFonts w:ascii="Times New Roman" w:hAnsi="Times New Roman" w:cs="Times New Roman"/>
                <w:sz w:val="16"/>
                <w:szCs w:val="16"/>
                <w:shd w:val="clear" w:color="auto" w:fill="FFFFFF"/>
              </w:rPr>
              <w:t>А</w:t>
            </w:r>
            <w:r w:rsidRPr="004F6653">
              <w:rPr>
                <w:rFonts w:ascii="Times New Roman" w:hAnsi="Times New Roman" w:cs="Times New Roman"/>
                <w:sz w:val="16"/>
                <w:szCs w:val="16"/>
                <w:shd w:val="clear" w:color="auto" w:fill="FFFFFF"/>
              </w:rPr>
              <w:t xml:space="preserve">. </w:t>
            </w:r>
            <w:r w:rsidRPr="00306A48">
              <w:rPr>
                <w:rFonts w:ascii="Times New Roman" w:hAnsi="Times New Roman" w:cs="Times New Roman"/>
                <w:sz w:val="16"/>
                <w:szCs w:val="16"/>
                <w:shd w:val="clear" w:color="auto" w:fill="FFFFFF"/>
              </w:rPr>
              <w:t>Шахно [</w:t>
            </w:r>
            <w:r w:rsidRPr="00306A48">
              <w:rPr>
                <w:rFonts w:ascii="Times New Roman" w:hAnsi="Times New Roman" w:cs="Times New Roman"/>
                <w:sz w:val="16"/>
                <w:szCs w:val="16"/>
                <w:shd w:val="clear" w:color="auto" w:fill="FFFFFF"/>
              </w:rPr>
              <w:fldChar w:fldCharType="begin"/>
            </w:r>
            <w:r w:rsidRPr="00306A48">
              <w:rPr>
                <w:rFonts w:ascii="Times New Roman" w:hAnsi="Times New Roman" w:cs="Times New Roman"/>
                <w:sz w:val="16"/>
                <w:szCs w:val="16"/>
                <w:shd w:val="clear" w:color="auto" w:fill="FFFFFF"/>
              </w:rPr>
              <w:instrText xml:space="preserve"> REF _Ref435784126 \r \h </w:instrText>
            </w:r>
            <w:r>
              <w:rPr>
                <w:rFonts w:ascii="Times New Roman" w:hAnsi="Times New Roman" w:cs="Times New Roman"/>
                <w:sz w:val="16"/>
                <w:szCs w:val="16"/>
                <w:shd w:val="clear" w:color="auto" w:fill="FFFFFF"/>
              </w:rPr>
              <w:instrText xml:space="preserve"> \* MERGEFORMAT </w:instrText>
            </w:r>
            <w:r w:rsidRPr="00306A48">
              <w:rPr>
                <w:rFonts w:ascii="Times New Roman" w:hAnsi="Times New Roman" w:cs="Times New Roman"/>
                <w:sz w:val="16"/>
                <w:szCs w:val="16"/>
                <w:shd w:val="clear" w:color="auto" w:fill="FFFFFF"/>
              </w:rPr>
            </w:r>
            <w:r w:rsidRPr="00306A48">
              <w:rPr>
                <w:rFonts w:ascii="Times New Roman" w:hAnsi="Times New Roman" w:cs="Times New Roman"/>
                <w:sz w:val="16"/>
                <w:szCs w:val="16"/>
                <w:shd w:val="clear" w:color="auto" w:fill="FFFFFF"/>
              </w:rPr>
              <w:fldChar w:fldCharType="separate"/>
            </w:r>
            <w:r w:rsidRPr="00306A48">
              <w:rPr>
                <w:rFonts w:ascii="Times New Roman" w:hAnsi="Times New Roman" w:cs="Times New Roman"/>
                <w:sz w:val="16"/>
                <w:szCs w:val="16"/>
                <w:shd w:val="clear" w:color="auto" w:fill="FFFFFF"/>
              </w:rPr>
              <w:t>113</w:t>
            </w:r>
            <w:r w:rsidRPr="00306A48">
              <w:rPr>
                <w:rFonts w:ascii="Times New Roman" w:hAnsi="Times New Roman" w:cs="Times New Roman"/>
                <w:sz w:val="16"/>
                <w:szCs w:val="16"/>
                <w:shd w:val="clear" w:color="auto" w:fill="FFFFFF"/>
              </w:rPr>
              <w:fldChar w:fldCharType="end"/>
            </w:r>
            <w:r w:rsidRPr="00306A48">
              <w:rPr>
                <w:rFonts w:ascii="Times New Roman" w:hAnsi="Times New Roman" w:cs="Times New Roman"/>
                <w:sz w:val="16"/>
                <w:szCs w:val="16"/>
                <w:shd w:val="clear" w:color="auto" w:fill="FFFFFF"/>
              </w:rPr>
              <w:t>]</w:t>
            </w:r>
          </w:p>
        </w:tc>
        <w:tc>
          <w:tcPr>
            <w:tcW w:w="1789" w:type="dxa"/>
            <w:tcBorders>
              <w:top w:val="single" w:sz="4" w:space="0" w:color="auto"/>
              <w:left w:val="single" w:sz="4" w:space="0" w:color="auto"/>
              <w:bottom w:val="single" w:sz="4" w:space="0" w:color="auto"/>
              <w:right w:val="single" w:sz="4" w:space="0" w:color="auto"/>
            </w:tcBorders>
          </w:tcPr>
          <w:p w:rsidR="00B233DE" w:rsidRPr="004F6653" w:rsidRDefault="00B233DE" w:rsidP="0023489B">
            <w:pPr>
              <w:spacing w:before="100" w:beforeAutospacing="1" w:after="100" w:afterAutospacing="1"/>
              <w:ind w:left="-54" w:right="-108" w:firstLine="0"/>
              <w:jc w:val="both"/>
              <w:rPr>
                <w:rFonts w:ascii="Times New Roman" w:hAnsi="Times New Roman" w:cs="Times New Roman"/>
                <w:sz w:val="16"/>
                <w:szCs w:val="16"/>
              </w:rPr>
            </w:pPr>
            <w:r w:rsidRPr="004F6653">
              <w:rPr>
                <w:rFonts w:ascii="Times New Roman" w:hAnsi="Times New Roman" w:cs="Times New Roman"/>
                <w:color w:val="000000"/>
                <w:sz w:val="16"/>
                <w:szCs w:val="16"/>
              </w:rPr>
              <w:t>Ринок праці передбачає сукупність механізмів, які забезпечують коор</w:t>
            </w:r>
            <w:r>
              <w:rPr>
                <w:rFonts w:ascii="Times New Roman" w:hAnsi="Times New Roman" w:cs="Times New Roman"/>
                <w:color w:val="000000"/>
                <w:sz w:val="16"/>
                <w:szCs w:val="16"/>
              </w:rPr>
              <w:t>-</w:t>
            </w:r>
            <w:r w:rsidRPr="004F6653">
              <w:rPr>
                <w:rFonts w:ascii="Times New Roman" w:hAnsi="Times New Roman" w:cs="Times New Roman"/>
                <w:color w:val="000000"/>
                <w:sz w:val="16"/>
                <w:szCs w:val="16"/>
              </w:rPr>
              <w:t>динацію попиту і пропо</w:t>
            </w:r>
            <w:r>
              <w:rPr>
                <w:rFonts w:ascii="Times New Roman" w:hAnsi="Times New Roman" w:cs="Times New Roman"/>
                <w:color w:val="000000"/>
                <w:sz w:val="16"/>
                <w:szCs w:val="16"/>
              </w:rPr>
              <w:t xml:space="preserve">-зиції праці, </w:t>
            </w:r>
            <w:r w:rsidRPr="004F6653">
              <w:rPr>
                <w:rFonts w:ascii="Times New Roman" w:hAnsi="Times New Roman" w:cs="Times New Roman"/>
                <w:color w:val="000000"/>
                <w:sz w:val="16"/>
                <w:szCs w:val="16"/>
              </w:rPr>
              <w:t xml:space="preserve">купівлю-продаж робочої сили, визначення її вартості, </w:t>
            </w:r>
            <w:r w:rsidRPr="00947C84">
              <w:rPr>
                <w:rFonts w:ascii="Times New Roman" w:hAnsi="Times New Roman" w:cs="Times New Roman"/>
                <w:color w:val="000000"/>
                <w:spacing w:val="-6"/>
                <w:sz w:val="16"/>
                <w:szCs w:val="16"/>
              </w:rPr>
              <w:t>організацію оплати праці, соціальну опіку через</w:t>
            </w:r>
            <w:r w:rsidRPr="004F6653">
              <w:rPr>
                <w:rFonts w:ascii="Times New Roman" w:hAnsi="Times New Roman" w:cs="Times New Roman"/>
                <w:color w:val="000000"/>
                <w:sz w:val="16"/>
                <w:szCs w:val="16"/>
              </w:rPr>
              <w:t xml:space="preserve"> під</w:t>
            </w:r>
            <w:r>
              <w:rPr>
                <w:rFonts w:ascii="Times New Roman" w:hAnsi="Times New Roman" w:cs="Times New Roman"/>
                <w:color w:val="000000"/>
                <w:sz w:val="16"/>
                <w:szCs w:val="16"/>
              </w:rPr>
              <w:t>-</w:t>
            </w:r>
            <w:r w:rsidRPr="004F6653">
              <w:rPr>
                <w:rFonts w:ascii="Times New Roman" w:hAnsi="Times New Roman" w:cs="Times New Roman"/>
                <w:color w:val="000000"/>
                <w:sz w:val="16"/>
                <w:szCs w:val="16"/>
              </w:rPr>
              <w:t xml:space="preserve">приємницькі структури </w:t>
            </w:r>
          </w:p>
        </w:tc>
        <w:tc>
          <w:tcPr>
            <w:tcW w:w="1191" w:type="dxa"/>
            <w:tcBorders>
              <w:top w:val="single" w:sz="4" w:space="0" w:color="auto"/>
              <w:left w:val="single" w:sz="4" w:space="0" w:color="auto"/>
              <w:bottom w:val="single" w:sz="4" w:space="0" w:color="auto"/>
              <w:right w:val="single" w:sz="4" w:space="0" w:color="auto"/>
            </w:tcBorders>
          </w:tcPr>
          <w:p w:rsidR="00B233DE" w:rsidRPr="004F6653" w:rsidRDefault="00B233DE" w:rsidP="0023489B">
            <w:pPr>
              <w:spacing w:before="100" w:beforeAutospacing="1" w:after="100" w:afterAutospacing="1"/>
              <w:ind w:left="-54" w:right="-108" w:firstLine="0"/>
              <w:jc w:val="both"/>
              <w:rPr>
                <w:rFonts w:ascii="Times New Roman" w:hAnsi="Times New Roman" w:cs="Times New Roman"/>
                <w:sz w:val="16"/>
                <w:szCs w:val="16"/>
              </w:rPr>
            </w:pPr>
            <w:r w:rsidRPr="004F6653">
              <w:rPr>
                <w:rFonts w:ascii="Times New Roman" w:hAnsi="Times New Roman" w:cs="Times New Roman"/>
                <w:sz w:val="16"/>
                <w:szCs w:val="16"/>
                <w:shd w:val="clear" w:color="auto" w:fill="FFFFFF"/>
              </w:rPr>
              <w:t xml:space="preserve">Е. Лібанова </w:t>
            </w:r>
            <w:r>
              <w:rPr>
                <w:rFonts w:ascii="Times New Roman" w:hAnsi="Times New Roman" w:cs="Times New Roman"/>
                <w:sz w:val="16"/>
                <w:szCs w:val="16"/>
              </w:rPr>
              <w:t>[</w:t>
            </w:r>
            <w:r>
              <w:rPr>
                <w:rFonts w:ascii="Times New Roman" w:hAnsi="Times New Roman" w:cs="Times New Roman"/>
                <w:sz w:val="16"/>
                <w:szCs w:val="16"/>
                <w:highlight w:val="yellow"/>
              </w:rPr>
              <w:fldChar w:fldCharType="begin"/>
            </w:r>
            <w:r>
              <w:rPr>
                <w:rFonts w:ascii="Times New Roman" w:hAnsi="Times New Roman" w:cs="Times New Roman"/>
                <w:sz w:val="16"/>
                <w:szCs w:val="16"/>
              </w:rPr>
              <w:instrText xml:space="preserve"> REF _Ref433976603 \r \h </w:instrText>
            </w:r>
            <w:r>
              <w:rPr>
                <w:rFonts w:ascii="Times New Roman" w:hAnsi="Times New Roman" w:cs="Times New Roman"/>
                <w:sz w:val="16"/>
                <w:szCs w:val="16"/>
                <w:highlight w:val="yellow"/>
              </w:rPr>
            </w:r>
            <w:r>
              <w:rPr>
                <w:rFonts w:ascii="Times New Roman" w:hAnsi="Times New Roman" w:cs="Times New Roman"/>
                <w:sz w:val="16"/>
                <w:szCs w:val="16"/>
                <w:highlight w:val="yellow"/>
              </w:rPr>
              <w:fldChar w:fldCharType="separate"/>
            </w:r>
            <w:r>
              <w:rPr>
                <w:rFonts w:ascii="Times New Roman" w:hAnsi="Times New Roman" w:cs="Times New Roman"/>
                <w:sz w:val="16"/>
                <w:szCs w:val="16"/>
              </w:rPr>
              <w:t>58</w:t>
            </w:r>
            <w:r>
              <w:rPr>
                <w:rFonts w:ascii="Times New Roman" w:hAnsi="Times New Roman" w:cs="Times New Roman"/>
                <w:sz w:val="16"/>
                <w:szCs w:val="16"/>
                <w:highlight w:val="yellow"/>
              </w:rPr>
              <w:fldChar w:fldCharType="end"/>
            </w:r>
            <w:r w:rsidRPr="004F6653">
              <w:rPr>
                <w:rFonts w:ascii="Times New Roman" w:hAnsi="Times New Roman" w:cs="Times New Roman"/>
                <w:sz w:val="16"/>
                <w:szCs w:val="16"/>
              </w:rPr>
              <w:t>, c. 87].</w:t>
            </w:r>
          </w:p>
        </w:tc>
        <w:tc>
          <w:tcPr>
            <w:tcW w:w="2294" w:type="dxa"/>
            <w:tcBorders>
              <w:top w:val="single" w:sz="4" w:space="0" w:color="auto"/>
              <w:left w:val="single" w:sz="4" w:space="0" w:color="auto"/>
              <w:bottom w:val="single" w:sz="4" w:space="0" w:color="auto"/>
              <w:right w:val="single" w:sz="4" w:space="0" w:color="auto"/>
            </w:tcBorders>
          </w:tcPr>
          <w:p w:rsidR="00B233DE" w:rsidRPr="004F6653" w:rsidRDefault="00B233DE" w:rsidP="0023489B">
            <w:pPr>
              <w:spacing w:before="100" w:beforeAutospacing="1" w:after="100" w:afterAutospacing="1"/>
              <w:ind w:left="-54" w:right="-108" w:firstLine="0"/>
              <w:jc w:val="both"/>
              <w:rPr>
                <w:rFonts w:ascii="Times New Roman" w:hAnsi="Times New Roman" w:cs="Times New Roman"/>
                <w:sz w:val="16"/>
                <w:szCs w:val="16"/>
              </w:rPr>
            </w:pPr>
            <w:r>
              <w:rPr>
                <w:rFonts w:ascii="Times New Roman" w:hAnsi="Times New Roman" w:cs="Times New Roman"/>
                <w:sz w:val="16"/>
                <w:szCs w:val="16"/>
              </w:rPr>
              <w:t>Ринок праці –</w:t>
            </w:r>
            <w:r w:rsidRPr="004F6653">
              <w:rPr>
                <w:rFonts w:ascii="Times New Roman" w:hAnsi="Times New Roman" w:cs="Times New Roman"/>
                <w:sz w:val="16"/>
                <w:szCs w:val="16"/>
              </w:rPr>
              <w:t xml:space="preserve"> система обміну індивідуальних здібностей до праці на фонд життєвих цін</w:t>
            </w:r>
            <w:r>
              <w:rPr>
                <w:rFonts w:ascii="Times New Roman" w:hAnsi="Times New Roman" w:cs="Times New Roman"/>
                <w:sz w:val="16"/>
                <w:szCs w:val="16"/>
              </w:rPr>
              <w:t>-</w:t>
            </w:r>
            <w:r w:rsidRPr="004F6653">
              <w:rPr>
                <w:rFonts w:ascii="Times New Roman" w:hAnsi="Times New Roman" w:cs="Times New Roman"/>
                <w:sz w:val="16"/>
                <w:szCs w:val="16"/>
              </w:rPr>
              <w:t>ностей, необхідних для від</w:t>
            </w:r>
            <w:r>
              <w:rPr>
                <w:rFonts w:ascii="Times New Roman" w:hAnsi="Times New Roman" w:cs="Times New Roman"/>
                <w:sz w:val="16"/>
                <w:szCs w:val="16"/>
              </w:rPr>
              <w:t xml:space="preserve">-творення робочої сили, </w:t>
            </w:r>
            <w:r w:rsidRPr="004F6653">
              <w:rPr>
                <w:rFonts w:ascii="Times New Roman" w:hAnsi="Times New Roman" w:cs="Times New Roman"/>
                <w:sz w:val="16"/>
                <w:szCs w:val="16"/>
              </w:rPr>
              <w:t xml:space="preserve">що базується на економічних законах попиту і пропозиції, конкуренції, грошового обігу </w:t>
            </w:r>
          </w:p>
        </w:tc>
      </w:tr>
    </w:tbl>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Перші спроби дослідження соціальних проблем ринку праці були зроблені у 1992-1996 рр. колективом науковців (В. С. Васильченко, В. В. Онікієнко, М. В. Шаленко, Б. І. Трубенко) науково-дослідного центру зайнятості і ринку праці АН України та Міністерства праці України.</w:t>
      </w:r>
    </w:p>
    <w:p w:rsidR="00B233DE" w:rsidRPr="003D4F43"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lastRenderedPageBreak/>
        <w:t xml:space="preserve">Тоді </w:t>
      </w:r>
      <w:r>
        <w:rPr>
          <w:rFonts w:ascii="Times New Roman" w:hAnsi="Times New Roman" w:cs="Times New Roman"/>
          <w:sz w:val="21"/>
          <w:szCs w:val="21"/>
        </w:rPr>
        <w:t>в</w:t>
      </w:r>
      <w:r w:rsidRPr="003D4F43">
        <w:rPr>
          <w:rFonts w:ascii="Times New Roman" w:hAnsi="Times New Roman" w:cs="Times New Roman"/>
          <w:sz w:val="21"/>
          <w:szCs w:val="21"/>
        </w:rPr>
        <w:t>перше було введено у науковий обіг термін «соціально-орієнтований ринок праці» та створено методологічні підходи до розробки концепції його становлення. Соціально</w:t>
      </w:r>
      <w:r>
        <w:rPr>
          <w:rFonts w:ascii="Times New Roman" w:hAnsi="Times New Roman" w:cs="Times New Roman"/>
          <w:sz w:val="21"/>
          <w:szCs w:val="21"/>
        </w:rPr>
        <w:t xml:space="preserve">-орієнтований ринок праці слід </w:t>
      </w:r>
      <w:r w:rsidRPr="003D4F43">
        <w:rPr>
          <w:rFonts w:ascii="Times New Roman" w:hAnsi="Times New Roman" w:cs="Times New Roman"/>
          <w:sz w:val="21"/>
          <w:szCs w:val="21"/>
        </w:rPr>
        <w:t>розуміти як систему соціально-економічних відносин, складові якої визначають і регулюють відтворення робочої сили (формування, розподіл, перерозподіл і використання) в умовах сталого економічного розвитку та забезпечують прогресивні стандарти якості життя населення. Це дає можливість визначити сутність поняття соціалізації ринку праці як процес</w:t>
      </w:r>
      <w:r>
        <w:rPr>
          <w:rFonts w:ascii="Times New Roman" w:hAnsi="Times New Roman" w:cs="Times New Roman"/>
          <w:sz w:val="21"/>
          <w:szCs w:val="21"/>
        </w:rPr>
        <w:t>у спрямування державою його суб’</w:t>
      </w:r>
      <w:r w:rsidRPr="003D4F43">
        <w:rPr>
          <w:rFonts w:ascii="Times New Roman" w:hAnsi="Times New Roman" w:cs="Times New Roman"/>
          <w:sz w:val="21"/>
          <w:szCs w:val="21"/>
        </w:rPr>
        <w:t>єктів на забезпечення базових потреб населення за прогресивними стандартами завдяки досягненню високої ефективності економіки.</w:t>
      </w:r>
    </w:p>
    <w:p w:rsidR="00B233DE" w:rsidRPr="003D4F43"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 xml:space="preserve">Теоретичним проблемам ринку праці приділяється постійна увага вітчизняних вчених, які досліджують різноманітні аспекти його функціонування, засоби державного регулювання тощо. Аналіз останніх наукових досліджень та публікацій свідчить, що </w:t>
      </w:r>
      <w:r w:rsidRPr="003D4F43">
        <w:rPr>
          <w:rFonts w:ascii="Times New Roman" w:eastAsia="TimesNewRomanPSMT" w:hAnsi="Times New Roman" w:cs="Times New Roman"/>
          <w:sz w:val="21"/>
          <w:szCs w:val="21"/>
        </w:rPr>
        <w:t>дослідженню ринку праці, присвячені найбільш відомі праці з економіки в авторстві С. Бр</w:t>
      </w:r>
      <w:r>
        <w:rPr>
          <w:rFonts w:ascii="Times New Roman" w:eastAsia="TimesNewRomanPSMT" w:hAnsi="Times New Roman" w:cs="Times New Roman"/>
          <w:sz w:val="21"/>
          <w:szCs w:val="21"/>
        </w:rPr>
        <w:t>ю, Д. Кейнса, Х. Лампертата, К. </w:t>
      </w:r>
      <w:r w:rsidRPr="003D4F43">
        <w:rPr>
          <w:rFonts w:ascii="Times New Roman" w:eastAsia="TimesNewRomanPSMT" w:hAnsi="Times New Roman" w:cs="Times New Roman"/>
          <w:sz w:val="21"/>
          <w:szCs w:val="21"/>
        </w:rPr>
        <w:t xml:space="preserve">Макконелла, Н. Менк’ю, Р. Сміта </w:t>
      </w:r>
      <w:r>
        <w:rPr>
          <w:rFonts w:ascii="Times New Roman" w:eastAsia="TimesNewRomanPSMT" w:hAnsi="Times New Roman" w:cs="Times New Roman"/>
          <w:sz w:val="21"/>
          <w:szCs w:val="21"/>
        </w:rPr>
        <w:t>тощо</w:t>
      </w:r>
      <w:r w:rsidRPr="003D4F43">
        <w:rPr>
          <w:rFonts w:ascii="Times New Roman" w:eastAsia="TimesNewRomanPSMT" w:hAnsi="Times New Roman" w:cs="Times New Roman"/>
          <w:sz w:val="21"/>
          <w:szCs w:val="21"/>
        </w:rPr>
        <w:t xml:space="preserve">. Політично економічні аспекти сучасного ринку праці достатньо широко висвітлено в наукових працях українських і зарубіжних учених: С. Мочерного, Б. Райзберга, Г. Рузавіна, О. Усатенко, С. Фомішина та ін. Вагому роль </w:t>
      </w:r>
      <w:r w:rsidRPr="003D4F43">
        <w:rPr>
          <w:rFonts w:ascii="Times New Roman" w:hAnsi="Times New Roman" w:cs="Times New Roman"/>
          <w:sz w:val="21"/>
          <w:szCs w:val="21"/>
        </w:rPr>
        <w:t>в осмисленні еволюції наукових поглядів на проблеми розвитку ринку праці</w:t>
      </w:r>
      <w:r w:rsidRPr="003D4F43">
        <w:rPr>
          <w:rFonts w:ascii="Times New Roman" w:eastAsia="TimesNewRomanPSMT" w:hAnsi="Times New Roman" w:cs="Times New Roman"/>
          <w:sz w:val="21"/>
          <w:szCs w:val="21"/>
        </w:rPr>
        <w:t>, структури й механізмів функціонування системи ринку праці відіграє доробок украї</w:t>
      </w:r>
      <w:r>
        <w:rPr>
          <w:rFonts w:ascii="Times New Roman" w:eastAsia="TimesNewRomanPSMT" w:hAnsi="Times New Roman" w:cs="Times New Roman"/>
          <w:sz w:val="21"/>
          <w:szCs w:val="21"/>
        </w:rPr>
        <w:t>нських і російських економістів.</w:t>
      </w:r>
      <w:r w:rsidRPr="003D4F43">
        <w:rPr>
          <w:rFonts w:ascii="Times New Roman" w:eastAsia="TimesNewRomanPSMT" w:hAnsi="Times New Roman" w:cs="Times New Roman"/>
          <w:sz w:val="21"/>
          <w:szCs w:val="21"/>
        </w:rPr>
        <w:t xml:space="preserve"> </w:t>
      </w:r>
      <w:r w:rsidRPr="003D4F43">
        <w:rPr>
          <w:rFonts w:ascii="Times New Roman" w:hAnsi="Times New Roman" w:cs="Times New Roman"/>
          <w:sz w:val="21"/>
          <w:szCs w:val="21"/>
        </w:rPr>
        <w:t xml:space="preserve">Вагому роль в осмисленні еволюції наукових поглядів на проблеми розвитку ринку праці відіграють напрацювання </w:t>
      </w:r>
      <w:r>
        <w:rPr>
          <w:rFonts w:ascii="Times New Roman" w:hAnsi="Times New Roman" w:cs="Times New Roman"/>
          <w:sz w:val="21"/>
          <w:szCs w:val="21"/>
        </w:rPr>
        <w:t>вчених-</w:t>
      </w:r>
      <w:r w:rsidRPr="003D4F43">
        <w:rPr>
          <w:rFonts w:ascii="Times New Roman" w:hAnsi="Times New Roman" w:cs="Times New Roman"/>
          <w:sz w:val="21"/>
          <w:szCs w:val="21"/>
        </w:rPr>
        <w:t xml:space="preserve">економістів, зокрема: </w:t>
      </w:r>
      <w:r>
        <w:rPr>
          <w:rFonts w:ascii="Times New Roman" w:hAnsi="Times New Roman" w:cs="Times New Roman"/>
          <w:sz w:val="21"/>
          <w:szCs w:val="21"/>
        </w:rPr>
        <w:t xml:space="preserve">Д. П. Богині, </w:t>
      </w:r>
      <w:r w:rsidRPr="003D4F43">
        <w:rPr>
          <w:rFonts w:ascii="Times New Roman" w:hAnsi="Times New Roman" w:cs="Times New Roman"/>
          <w:sz w:val="21"/>
          <w:szCs w:val="21"/>
        </w:rPr>
        <w:t>О.</w:t>
      </w:r>
      <w:r>
        <w:rPr>
          <w:rFonts w:ascii="Times New Roman" w:hAnsi="Times New Roman" w:cs="Times New Roman"/>
          <w:sz w:val="21"/>
          <w:szCs w:val="21"/>
        </w:rPr>
        <w:t xml:space="preserve"> </w:t>
      </w:r>
      <w:r w:rsidRPr="003D4F43">
        <w:rPr>
          <w:rFonts w:ascii="Times New Roman" w:hAnsi="Times New Roman" w:cs="Times New Roman"/>
          <w:sz w:val="21"/>
          <w:szCs w:val="21"/>
        </w:rPr>
        <w:t>В. Волкової, В.</w:t>
      </w:r>
      <w:r>
        <w:rPr>
          <w:rFonts w:ascii="Times New Roman" w:hAnsi="Times New Roman" w:cs="Times New Roman"/>
          <w:sz w:val="21"/>
          <w:szCs w:val="21"/>
        </w:rPr>
        <w:t> С. </w:t>
      </w:r>
      <w:r w:rsidRPr="003D4F43">
        <w:rPr>
          <w:rFonts w:ascii="Times New Roman" w:hAnsi="Times New Roman" w:cs="Times New Roman"/>
          <w:sz w:val="21"/>
          <w:szCs w:val="21"/>
        </w:rPr>
        <w:t>Васильченко, О.</w:t>
      </w:r>
      <w:r>
        <w:rPr>
          <w:rFonts w:ascii="Times New Roman" w:hAnsi="Times New Roman" w:cs="Times New Roman"/>
          <w:sz w:val="21"/>
          <w:szCs w:val="21"/>
        </w:rPr>
        <w:t xml:space="preserve"> </w:t>
      </w:r>
      <w:r w:rsidRPr="003D4F43">
        <w:rPr>
          <w:rFonts w:ascii="Times New Roman" w:hAnsi="Times New Roman" w:cs="Times New Roman"/>
          <w:sz w:val="21"/>
          <w:szCs w:val="21"/>
        </w:rPr>
        <w:t>А. Грішнової, В.</w:t>
      </w:r>
      <w:r>
        <w:rPr>
          <w:rFonts w:ascii="Times New Roman" w:hAnsi="Times New Roman" w:cs="Times New Roman"/>
          <w:sz w:val="21"/>
          <w:szCs w:val="21"/>
        </w:rPr>
        <w:t xml:space="preserve"> </w:t>
      </w:r>
      <w:r w:rsidRPr="003D4F43">
        <w:rPr>
          <w:rFonts w:ascii="Times New Roman" w:hAnsi="Times New Roman" w:cs="Times New Roman"/>
          <w:sz w:val="21"/>
          <w:szCs w:val="21"/>
        </w:rPr>
        <w:t>І. Герасимчука, С.</w:t>
      </w:r>
      <w:r>
        <w:rPr>
          <w:rFonts w:ascii="Times New Roman" w:hAnsi="Times New Roman" w:cs="Times New Roman"/>
          <w:sz w:val="21"/>
          <w:szCs w:val="21"/>
        </w:rPr>
        <w:t xml:space="preserve"> </w:t>
      </w:r>
      <w:r w:rsidRPr="003D4F43">
        <w:rPr>
          <w:rFonts w:ascii="Times New Roman" w:hAnsi="Times New Roman" w:cs="Times New Roman"/>
          <w:sz w:val="21"/>
          <w:szCs w:val="21"/>
        </w:rPr>
        <w:t>П. Калі</w:t>
      </w:r>
      <w:r>
        <w:rPr>
          <w:rFonts w:ascii="Times New Roman" w:hAnsi="Times New Roman" w:cs="Times New Roman"/>
          <w:sz w:val="21"/>
          <w:szCs w:val="21"/>
        </w:rPr>
        <w:t>-</w:t>
      </w:r>
      <w:r w:rsidRPr="003D4F43">
        <w:rPr>
          <w:rFonts w:ascii="Times New Roman" w:hAnsi="Times New Roman" w:cs="Times New Roman"/>
          <w:sz w:val="21"/>
          <w:szCs w:val="21"/>
        </w:rPr>
        <w:t>ніна, Е.</w:t>
      </w:r>
      <w:r>
        <w:rPr>
          <w:rFonts w:ascii="Times New Roman" w:hAnsi="Times New Roman" w:cs="Times New Roman"/>
          <w:sz w:val="21"/>
          <w:szCs w:val="21"/>
        </w:rPr>
        <w:t xml:space="preserve"> </w:t>
      </w:r>
      <w:r w:rsidRPr="003D4F43">
        <w:rPr>
          <w:rFonts w:ascii="Times New Roman" w:hAnsi="Times New Roman" w:cs="Times New Roman"/>
          <w:sz w:val="21"/>
          <w:szCs w:val="21"/>
        </w:rPr>
        <w:t xml:space="preserve">М. Лібанової, </w:t>
      </w:r>
      <w:r w:rsidRPr="002B333B">
        <w:rPr>
          <w:rFonts w:ascii="Times New Roman" w:hAnsi="Times New Roman" w:cs="Times New Roman"/>
          <w:spacing w:val="-6"/>
          <w:sz w:val="21"/>
          <w:szCs w:val="21"/>
        </w:rPr>
        <w:t>Н.</w:t>
      </w:r>
      <w:r>
        <w:rPr>
          <w:rFonts w:ascii="Times New Roman" w:hAnsi="Times New Roman" w:cs="Times New Roman"/>
          <w:spacing w:val="-6"/>
          <w:sz w:val="21"/>
          <w:szCs w:val="21"/>
        </w:rPr>
        <w:t xml:space="preserve"> </w:t>
      </w:r>
      <w:r w:rsidRPr="002B333B">
        <w:rPr>
          <w:rFonts w:ascii="Times New Roman" w:hAnsi="Times New Roman" w:cs="Times New Roman"/>
          <w:spacing w:val="-6"/>
          <w:sz w:val="21"/>
          <w:szCs w:val="21"/>
        </w:rPr>
        <w:t>Д</w:t>
      </w:r>
      <w:r>
        <w:rPr>
          <w:rFonts w:ascii="Times New Roman" w:hAnsi="Times New Roman" w:cs="Times New Roman"/>
          <w:spacing w:val="-6"/>
          <w:sz w:val="21"/>
          <w:szCs w:val="21"/>
        </w:rPr>
        <w:t xml:space="preserve">. </w:t>
      </w:r>
      <w:r w:rsidRPr="002B333B">
        <w:rPr>
          <w:rFonts w:ascii="Times New Roman" w:hAnsi="Times New Roman" w:cs="Times New Roman"/>
          <w:spacing w:val="-6"/>
          <w:sz w:val="21"/>
          <w:szCs w:val="21"/>
        </w:rPr>
        <w:t xml:space="preserve">Лук’янченко, </w:t>
      </w:r>
      <w:r w:rsidRPr="003D4F43">
        <w:rPr>
          <w:rFonts w:ascii="Times New Roman" w:hAnsi="Times New Roman" w:cs="Times New Roman"/>
          <w:sz w:val="21"/>
          <w:szCs w:val="21"/>
        </w:rPr>
        <w:t>Ю.</w:t>
      </w:r>
      <w:r>
        <w:rPr>
          <w:rFonts w:ascii="Times New Roman" w:hAnsi="Times New Roman" w:cs="Times New Roman"/>
          <w:sz w:val="21"/>
          <w:szCs w:val="21"/>
        </w:rPr>
        <w:t xml:space="preserve"> </w:t>
      </w:r>
      <w:r w:rsidRPr="003D4F43">
        <w:rPr>
          <w:rFonts w:ascii="Times New Roman" w:hAnsi="Times New Roman" w:cs="Times New Roman"/>
          <w:sz w:val="21"/>
          <w:szCs w:val="21"/>
        </w:rPr>
        <w:t xml:space="preserve">М. Маршавіна, </w:t>
      </w:r>
      <w:r>
        <w:rPr>
          <w:rFonts w:ascii="Times New Roman" w:hAnsi="Times New Roman" w:cs="Times New Roman"/>
          <w:sz w:val="21"/>
          <w:szCs w:val="21"/>
        </w:rPr>
        <w:t xml:space="preserve">В. М. Нижника, </w:t>
      </w:r>
      <w:r w:rsidRPr="002B333B">
        <w:rPr>
          <w:rFonts w:ascii="Times New Roman" w:hAnsi="Times New Roman" w:cs="Times New Roman"/>
          <w:spacing w:val="-6"/>
          <w:sz w:val="21"/>
          <w:szCs w:val="21"/>
        </w:rPr>
        <w:t>А. А. Никифорової, В. В.</w:t>
      </w:r>
      <w:r>
        <w:rPr>
          <w:rFonts w:ascii="Times New Roman" w:hAnsi="Times New Roman" w:cs="Times New Roman"/>
          <w:spacing w:val="-6"/>
          <w:sz w:val="21"/>
          <w:szCs w:val="21"/>
        </w:rPr>
        <w:t xml:space="preserve"> </w:t>
      </w:r>
      <w:r w:rsidRPr="002B333B">
        <w:rPr>
          <w:rFonts w:ascii="Times New Roman" w:hAnsi="Times New Roman" w:cs="Times New Roman"/>
          <w:spacing w:val="-6"/>
          <w:sz w:val="21"/>
          <w:szCs w:val="21"/>
        </w:rPr>
        <w:t>Онікієнка, В. М. Петюха,</w:t>
      </w:r>
      <w:r w:rsidRPr="003D4F43">
        <w:rPr>
          <w:rFonts w:ascii="Times New Roman" w:hAnsi="Times New Roman" w:cs="Times New Roman"/>
          <w:sz w:val="21"/>
          <w:szCs w:val="21"/>
        </w:rPr>
        <w:t xml:space="preserve"> Г.</w:t>
      </w:r>
      <w:r>
        <w:rPr>
          <w:rFonts w:ascii="Times New Roman" w:hAnsi="Times New Roman" w:cs="Times New Roman"/>
          <w:sz w:val="21"/>
          <w:szCs w:val="21"/>
        </w:rPr>
        <w:t> </w:t>
      </w:r>
      <w:r w:rsidRPr="003D4F43">
        <w:rPr>
          <w:rFonts w:ascii="Times New Roman" w:hAnsi="Times New Roman" w:cs="Times New Roman"/>
          <w:sz w:val="21"/>
          <w:szCs w:val="21"/>
        </w:rPr>
        <w:t>Е. Слезінгера, Г.</w:t>
      </w:r>
      <w:r>
        <w:rPr>
          <w:rFonts w:ascii="Times New Roman" w:hAnsi="Times New Roman" w:cs="Times New Roman"/>
          <w:sz w:val="21"/>
          <w:szCs w:val="21"/>
        </w:rPr>
        <w:t xml:space="preserve"> </w:t>
      </w:r>
      <w:r w:rsidRPr="003D4F43">
        <w:rPr>
          <w:rFonts w:ascii="Times New Roman" w:hAnsi="Times New Roman" w:cs="Times New Roman"/>
          <w:sz w:val="21"/>
          <w:szCs w:val="21"/>
        </w:rPr>
        <w:t>О. Черниченко, М.</w:t>
      </w:r>
      <w:r>
        <w:rPr>
          <w:rFonts w:ascii="Times New Roman" w:hAnsi="Times New Roman" w:cs="Times New Roman"/>
          <w:sz w:val="21"/>
          <w:szCs w:val="21"/>
        </w:rPr>
        <w:t xml:space="preserve"> </w:t>
      </w:r>
      <w:r w:rsidRPr="003D4F43">
        <w:rPr>
          <w:rFonts w:ascii="Times New Roman" w:hAnsi="Times New Roman" w:cs="Times New Roman"/>
          <w:sz w:val="21"/>
          <w:szCs w:val="21"/>
        </w:rPr>
        <w:t xml:space="preserve">В. Шаленко </w:t>
      </w:r>
      <w:r>
        <w:rPr>
          <w:rFonts w:ascii="Times New Roman" w:hAnsi="Times New Roman" w:cs="Times New Roman"/>
          <w:sz w:val="21"/>
          <w:szCs w:val="21"/>
        </w:rPr>
        <w:t>тощо</w:t>
      </w:r>
      <w:r w:rsidRPr="003D4F43">
        <w:rPr>
          <w:rFonts w:ascii="Times New Roman" w:hAnsi="Times New Roman" w:cs="Times New Roman"/>
          <w:sz w:val="21"/>
          <w:szCs w:val="21"/>
        </w:rPr>
        <w:t>.</w:t>
      </w:r>
    </w:p>
    <w:p w:rsidR="00B233DE" w:rsidRPr="003D4F43"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Розробка стратегії розвитку ринку праці України, прийняття обґрунтованої державної політики зайнятості й створення ефективної системи регулювання ринку праці неможливе без дослідження історичного досвіду та уроків минулого, аналізу протиріч його розвитку в різні періоди вітчизняної історії.</w:t>
      </w:r>
    </w:p>
    <w:p w:rsidR="00B233DE" w:rsidRPr="00476B6D" w:rsidRDefault="00B233DE" w:rsidP="00B233DE">
      <w:pPr>
        <w:ind w:firstLine="708"/>
        <w:jc w:val="both"/>
        <w:rPr>
          <w:rFonts w:ascii="Times New Roman" w:hAnsi="Times New Roman" w:cs="Times New Roman"/>
          <w:sz w:val="21"/>
          <w:szCs w:val="21"/>
        </w:rPr>
      </w:pPr>
      <w:r>
        <w:rPr>
          <w:rFonts w:ascii="Times New Roman" w:hAnsi="Times New Roman" w:cs="Times New Roman"/>
          <w:sz w:val="21"/>
          <w:szCs w:val="21"/>
        </w:rPr>
        <w:lastRenderedPageBreak/>
        <w:t>Термін «ринок праці»</w:t>
      </w:r>
      <w:r w:rsidRPr="003D4F43">
        <w:rPr>
          <w:rFonts w:ascii="Times New Roman" w:hAnsi="Times New Roman" w:cs="Times New Roman"/>
          <w:sz w:val="21"/>
          <w:szCs w:val="21"/>
        </w:rPr>
        <w:t xml:space="preserve"> введений в науковий обіг відносно недавно. Класики і основоположники класичної політичної економії, зокрема А. Сміт і Д. Рікардо, його не використовували, вважали, що товаром на ринку праці є праця, що «праця має свою природну і свою ринкову ціну»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_Ref433976897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46</w:t>
      </w:r>
      <w:r>
        <w:rPr>
          <w:rFonts w:ascii="Times New Roman" w:hAnsi="Times New Roman" w:cs="Times New Roman"/>
          <w:sz w:val="21"/>
          <w:szCs w:val="21"/>
          <w:highlight w:val="yellow"/>
        </w:rPr>
        <w:fldChar w:fldCharType="end"/>
      </w:r>
      <w:r w:rsidRPr="003D4F43">
        <w:rPr>
          <w:rFonts w:ascii="Times New Roman" w:hAnsi="Times New Roman" w:cs="Times New Roman"/>
          <w:sz w:val="21"/>
          <w:szCs w:val="21"/>
        </w:rPr>
        <w:t>]. Історично більш давнім є термін «ринок робочої сили». Його використовували основоположники політичної економії К. Маркс, А. Маршалл, які переконливо довели, що об’єктом купівлі продажу виступає робоча сила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_Ref433976897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46</w:t>
      </w:r>
      <w:r>
        <w:rPr>
          <w:rFonts w:ascii="Times New Roman" w:hAnsi="Times New Roman" w:cs="Times New Roman"/>
          <w:sz w:val="21"/>
          <w:szCs w:val="21"/>
          <w:highlight w:val="yellow"/>
        </w:rPr>
        <w:fldChar w:fldCharType="end"/>
      </w:r>
      <w:r w:rsidRPr="003D4F43">
        <w:rPr>
          <w:rFonts w:ascii="Times New Roman" w:hAnsi="Times New Roman" w:cs="Times New Roman"/>
          <w:sz w:val="21"/>
          <w:szCs w:val="21"/>
        </w:rPr>
        <w:t>]; А. Сміт використовує дуже близьке до нього поняття – «ринок постачання робочої сили». На думку М.</w:t>
      </w:r>
      <w:r>
        <w:rPr>
          <w:rFonts w:ascii="Times New Roman" w:hAnsi="Times New Roman" w:cs="Times New Roman"/>
          <w:sz w:val="21"/>
          <w:szCs w:val="21"/>
        </w:rPr>
        <w:t xml:space="preserve"> </w:t>
      </w:r>
      <w:r w:rsidRPr="003D4F43">
        <w:rPr>
          <w:rFonts w:ascii="Times New Roman" w:hAnsi="Times New Roman" w:cs="Times New Roman"/>
          <w:sz w:val="21"/>
          <w:szCs w:val="21"/>
        </w:rPr>
        <w:t>І.</w:t>
      </w:r>
      <w:r>
        <w:rPr>
          <w:rFonts w:ascii="Times New Roman" w:hAnsi="Times New Roman" w:cs="Times New Roman"/>
          <w:sz w:val="21"/>
          <w:szCs w:val="21"/>
        </w:rPr>
        <w:t xml:space="preserve"> </w:t>
      </w:r>
      <w:r w:rsidRPr="003D4F43">
        <w:rPr>
          <w:rFonts w:ascii="Times New Roman" w:hAnsi="Times New Roman" w:cs="Times New Roman"/>
          <w:sz w:val="21"/>
          <w:szCs w:val="21"/>
        </w:rPr>
        <w:t>Долішнього, ринок праці визначається пропозицією, яка в Україні зростає не тільки внаслідок падіння виробництва, але й в результаті свободи вибору робочого місця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_Ref433976897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46</w:t>
      </w:r>
      <w:r>
        <w:rPr>
          <w:rFonts w:ascii="Times New Roman" w:hAnsi="Times New Roman" w:cs="Times New Roman"/>
          <w:sz w:val="21"/>
          <w:szCs w:val="21"/>
          <w:highlight w:val="yellow"/>
        </w:rPr>
        <w:fldChar w:fldCharType="end"/>
      </w:r>
      <w:r w:rsidRPr="003D4F43">
        <w:rPr>
          <w:rFonts w:ascii="Times New Roman" w:hAnsi="Times New Roman" w:cs="Times New Roman"/>
          <w:sz w:val="21"/>
          <w:szCs w:val="21"/>
        </w:rPr>
        <w:t>]. Р.</w:t>
      </w:r>
      <w:r>
        <w:rPr>
          <w:rFonts w:ascii="Times New Roman" w:hAnsi="Times New Roman" w:cs="Times New Roman"/>
          <w:sz w:val="21"/>
          <w:szCs w:val="21"/>
        </w:rPr>
        <w:t xml:space="preserve"> Еренбергом та Р. </w:t>
      </w:r>
      <w:r w:rsidRPr="003D4F43">
        <w:rPr>
          <w:rFonts w:ascii="Times New Roman" w:hAnsi="Times New Roman" w:cs="Times New Roman"/>
          <w:sz w:val="21"/>
          <w:szCs w:val="21"/>
        </w:rPr>
        <w:t xml:space="preserve">Смітом ринок праці трактується як сегмент національної економіки, який забезпечує людей роботою і координує відносини у сфері праці </w:t>
      </w:r>
      <w:r w:rsidRPr="00476B6D">
        <w:rPr>
          <w:rFonts w:ascii="Times New Roman" w:hAnsi="Times New Roman" w:cs="Times New Roman"/>
          <w:sz w:val="21"/>
          <w:szCs w:val="21"/>
        </w:rPr>
        <w:t>[</w:t>
      </w:r>
      <w:r w:rsidRPr="00476B6D">
        <w:rPr>
          <w:rFonts w:ascii="Times New Roman" w:hAnsi="Times New Roman" w:cs="Times New Roman"/>
          <w:sz w:val="21"/>
          <w:szCs w:val="21"/>
        </w:rPr>
        <w:fldChar w:fldCharType="begin"/>
      </w:r>
      <w:r w:rsidRPr="00476B6D">
        <w:rPr>
          <w:rFonts w:ascii="Times New Roman" w:hAnsi="Times New Roman" w:cs="Times New Roman"/>
          <w:sz w:val="21"/>
          <w:szCs w:val="21"/>
        </w:rPr>
        <w:instrText xml:space="preserve"> REF _Ref433976914 \r \h </w:instrText>
      </w:r>
      <w:r>
        <w:rPr>
          <w:rFonts w:ascii="Times New Roman" w:hAnsi="Times New Roman" w:cs="Times New Roman"/>
          <w:sz w:val="21"/>
          <w:szCs w:val="21"/>
        </w:rPr>
        <w:instrText xml:space="preserve"> \* MERGEFORMAT </w:instrText>
      </w:r>
      <w:r w:rsidRPr="00476B6D">
        <w:rPr>
          <w:rFonts w:ascii="Times New Roman" w:hAnsi="Times New Roman" w:cs="Times New Roman"/>
          <w:sz w:val="21"/>
          <w:szCs w:val="21"/>
        </w:rPr>
      </w:r>
      <w:r w:rsidRPr="00476B6D">
        <w:rPr>
          <w:rFonts w:ascii="Times New Roman" w:hAnsi="Times New Roman" w:cs="Times New Roman"/>
          <w:sz w:val="21"/>
          <w:szCs w:val="21"/>
        </w:rPr>
        <w:fldChar w:fldCharType="separate"/>
      </w:r>
      <w:r>
        <w:rPr>
          <w:rFonts w:ascii="Times New Roman" w:hAnsi="Times New Roman" w:cs="Times New Roman"/>
          <w:sz w:val="21"/>
          <w:szCs w:val="21"/>
        </w:rPr>
        <w:t>33</w:t>
      </w:r>
      <w:r w:rsidRPr="00476B6D">
        <w:rPr>
          <w:rFonts w:ascii="Times New Roman" w:hAnsi="Times New Roman" w:cs="Times New Roman"/>
          <w:sz w:val="21"/>
          <w:szCs w:val="21"/>
        </w:rPr>
        <w:fldChar w:fldCharType="end"/>
      </w:r>
      <w:r w:rsidRPr="00476B6D">
        <w:rPr>
          <w:rFonts w:ascii="Times New Roman" w:hAnsi="Times New Roman" w:cs="Times New Roman"/>
          <w:sz w:val="21"/>
          <w:szCs w:val="21"/>
        </w:rPr>
        <w:t>, с. 33]. П. Буряк, Б. Карпінський та М. Григор’єва відзначають, що ринок праці є невід’ємним елементом ринкової економіки, який складається з ринку робочої сили та ринку робочих місць [</w:t>
      </w:r>
      <w:r w:rsidRPr="00476B6D">
        <w:rPr>
          <w:rFonts w:ascii="Times New Roman" w:hAnsi="Times New Roman" w:cs="Times New Roman"/>
          <w:sz w:val="21"/>
          <w:szCs w:val="21"/>
        </w:rPr>
        <w:fldChar w:fldCharType="begin"/>
      </w:r>
      <w:r w:rsidRPr="00476B6D">
        <w:rPr>
          <w:rFonts w:ascii="Times New Roman" w:hAnsi="Times New Roman" w:cs="Times New Roman"/>
          <w:sz w:val="21"/>
          <w:szCs w:val="21"/>
        </w:rPr>
        <w:instrText xml:space="preserve"> REF _Ref433976925 \r \h </w:instrText>
      </w:r>
      <w:r>
        <w:rPr>
          <w:rFonts w:ascii="Times New Roman" w:hAnsi="Times New Roman" w:cs="Times New Roman"/>
          <w:sz w:val="21"/>
          <w:szCs w:val="21"/>
        </w:rPr>
        <w:instrText xml:space="preserve"> \* MERGEFORMAT </w:instrText>
      </w:r>
      <w:r w:rsidRPr="00476B6D">
        <w:rPr>
          <w:rFonts w:ascii="Times New Roman" w:hAnsi="Times New Roman" w:cs="Times New Roman"/>
          <w:sz w:val="21"/>
          <w:szCs w:val="21"/>
        </w:rPr>
      </w:r>
      <w:r w:rsidRPr="00476B6D">
        <w:rPr>
          <w:rFonts w:ascii="Times New Roman" w:hAnsi="Times New Roman" w:cs="Times New Roman"/>
          <w:sz w:val="21"/>
          <w:szCs w:val="21"/>
        </w:rPr>
        <w:fldChar w:fldCharType="separate"/>
      </w:r>
      <w:r>
        <w:rPr>
          <w:rFonts w:ascii="Times New Roman" w:hAnsi="Times New Roman" w:cs="Times New Roman"/>
          <w:sz w:val="21"/>
          <w:szCs w:val="21"/>
        </w:rPr>
        <w:t>115</w:t>
      </w:r>
      <w:r w:rsidRPr="00476B6D">
        <w:rPr>
          <w:rFonts w:ascii="Times New Roman" w:hAnsi="Times New Roman" w:cs="Times New Roman"/>
          <w:sz w:val="21"/>
          <w:szCs w:val="21"/>
        </w:rPr>
        <w:fldChar w:fldCharType="end"/>
      </w:r>
      <w:r w:rsidRPr="00476B6D">
        <w:rPr>
          <w:rFonts w:ascii="Times New Roman" w:hAnsi="Times New Roman" w:cs="Times New Roman"/>
          <w:sz w:val="21"/>
          <w:szCs w:val="21"/>
        </w:rPr>
        <w:t>, с. 17]. У. Садова та Л. Семів, ринок праці, трактують як: форму взаємозв’язку між найманими робітниками і власниками капіталу та засобів виробництва; систему економічних відносин, які виникають у процесі відтворення робочої сили; сферу формування попиту і пропозиції на робочу силу; систему суспільних відносин,</w:t>
      </w:r>
      <w:r w:rsidRPr="003D4F43">
        <w:rPr>
          <w:rFonts w:ascii="Times New Roman" w:hAnsi="Times New Roman" w:cs="Times New Roman"/>
          <w:sz w:val="21"/>
          <w:szCs w:val="21"/>
        </w:rPr>
        <w:t xml:space="preserve"> пов’язаних з наймом та пропозицією праці, тобто з </w:t>
      </w:r>
      <w:r>
        <w:rPr>
          <w:rFonts w:ascii="Times New Roman" w:hAnsi="Times New Roman" w:cs="Times New Roman"/>
          <w:sz w:val="21"/>
          <w:szCs w:val="21"/>
        </w:rPr>
        <w:t>її</w:t>
      </w:r>
      <w:r w:rsidRPr="003D4F43">
        <w:rPr>
          <w:rFonts w:ascii="Times New Roman" w:hAnsi="Times New Roman" w:cs="Times New Roman"/>
          <w:sz w:val="21"/>
          <w:szCs w:val="21"/>
        </w:rPr>
        <w:t xml:space="preserve"> купівлею та продажем, механізм, що забезпечує узгодження ціни й умов праці між працедавцями і найманими робітниками, механізм чи «інститут взаємодії споживачів праці і її постачальників, тобто юридичних або фізичних, з одного боку, і конкретних фізичних осіб, які мають фізичні і розумові здібності, професійн</w:t>
      </w:r>
      <w:r>
        <w:rPr>
          <w:rFonts w:ascii="Times New Roman" w:hAnsi="Times New Roman" w:cs="Times New Roman"/>
          <w:sz w:val="21"/>
          <w:szCs w:val="21"/>
        </w:rPr>
        <w:t>і знання та навички – з іншого»</w:t>
      </w:r>
      <w:r w:rsidRPr="003D4F4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_Ref433976757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101</w:t>
      </w:r>
      <w:r>
        <w:rPr>
          <w:rFonts w:ascii="Times New Roman" w:hAnsi="Times New Roman" w:cs="Times New Roman"/>
          <w:sz w:val="21"/>
          <w:szCs w:val="21"/>
          <w:highlight w:val="yellow"/>
        </w:rPr>
        <w:fldChar w:fldCharType="end"/>
      </w:r>
      <w:r w:rsidRPr="003D4F43">
        <w:rPr>
          <w:rFonts w:ascii="Times New Roman" w:hAnsi="Times New Roman" w:cs="Times New Roman"/>
          <w:sz w:val="21"/>
          <w:szCs w:val="21"/>
        </w:rPr>
        <w:t xml:space="preserve">]. Отже, аналіз економічної літератури показує, що деякі дослідники визначають «ринок праці» як сферу обміну, місце, «де відбувається купівля-продаж </w:t>
      </w:r>
      <w:r w:rsidRPr="00476B6D">
        <w:rPr>
          <w:rFonts w:ascii="Times New Roman" w:hAnsi="Times New Roman" w:cs="Times New Roman"/>
          <w:sz w:val="21"/>
          <w:szCs w:val="21"/>
        </w:rPr>
        <w:t>робочої сили». На думку інших економістів, ринок праці являє собою «суспільно-економічну форму руху трудового потенціалу» [</w:t>
      </w:r>
      <w:r w:rsidRPr="00476B6D">
        <w:rPr>
          <w:rFonts w:ascii="Times New Roman" w:hAnsi="Times New Roman" w:cs="Times New Roman"/>
          <w:sz w:val="21"/>
          <w:szCs w:val="21"/>
        </w:rPr>
        <w:fldChar w:fldCharType="begin"/>
      </w:r>
      <w:r w:rsidRPr="00476B6D">
        <w:rPr>
          <w:rFonts w:ascii="Times New Roman" w:hAnsi="Times New Roman" w:cs="Times New Roman"/>
          <w:sz w:val="21"/>
          <w:szCs w:val="21"/>
        </w:rPr>
        <w:instrText xml:space="preserve"> REF _Ref433976941 \r \h </w:instrText>
      </w:r>
      <w:r>
        <w:rPr>
          <w:rFonts w:ascii="Times New Roman" w:hAnsi="Times New Roman" w:cs="Times New Roman"/>
          <w:sz w:val="21"/>
          <w:szCs w:val="21"/>
        </w:rPr>
        <w:instrText xml:space="preserve"> \* MERGEFORMAT </w:instrText>
      </w:r>
      <w:r w:rsidRPr="00476B6D">
        <w:rPr>
          <w:rFonts w:ascii="Times New Roman" w:hAnsi="Times New Roman" w:cs="Times New Roman"/>
          <w:sz w:val="21"/>
          <w:szCs w:val="21"/>
        </w:rPr>
      </w:r>
      <w:r w:rsidRPr="00476B6D">
        <w:rPr>
          <w:rFonts w:ascii="Times New Roman" w:hAnsi="Times New Roman" w:cs="Times New Roman"/>
          <w:sz w:val="21"/>
          <w:szCs w:val="21"/>
        </w:rPr>
        <w:fldChar w:fldCharType="separate"/>
      </w:r>
      <w:r>
        <w:rPr>
          <w:rFonts w:ascii="Times New Roman" w:hAnsi="Times New Roman" w:cs="Times New Roman"/>
          <w:sz w:val="21"/>
          <w:szCs w:val="21"/>
        </w:rPr>
        <w:t>18</w:t>
      </w:r>
      <w:r w:rsidRPr="00476B6D">
        <w:rPr>
          <w:rFonts w:ascii="Times New Roman" w:hAnsi="Times New Roman" w:cs="Times New Roman"/>
          <w:sz w:val="21"/>
          <w:szCs w:val="21"/>
        </w:rPr>
        <w:fldChar w:fldCharType="end"/>
      </w:r>
      <w:r w:rsidRPr="00476B6D">
        <w:rPr>
          <w:rFonts w:ascii="Times New Roman" w:hAnsi="Times New Roman" w:cs="Times New Roman"/>
          <w:sz w:val="21"/>
          <w:szCs w:val="21"/>
        </w:rPr>
        <w:t>, с.19].</w:t>
      </w:r>
    </w:p>
    <w:p w:rsidR="00B233DE" w:rsidRPr="00476B6D" w:rsidRDefault="00B233DE" w:rsidP="00B233DE">
      <w:pPr>
        <w:ind w:firstLine="708"/>
        <w:jc w:val="both"/>
        <w:rPr>
          <w:rFonts w:ascii="Times New Roman" w:hAnsi="Times New Roman" w:cs="Times New Roman"/>
          <w:sz w:val="21"/>
          <w:szCs w:val="21"/>
        </w:rPr>
      </w:pPr>
      <w:r w:rsidRPr="00476B6D">
        <w:rPr>
          <w:rFonts w:ascii="Times New Roman" w:hAnsi="Times New Roman" w:cs="Times New Roman"/>
          <w:sz w:val="21"/>
          <w:szCs w:val="21"/>
        </w:rPr>
        <w:t>Також, нами було розглянуто формування наукових поглядів вітчизняних та зарубіжних вчених на</w:t>
      </w:r>
      <w:r w:rsidRPr="003D4F43">
        <w:rPr>
          <w:rFonts w:ascii="Times New Roman" w:hAnsi="Times New Roman" w:cs="Times New Roman"/>
          <w:sz w:val="21"/>
          <w:szCs w:val="21"/>
        </w:rPr>
        <w:t xml:space="preserve"> функціонування ринку праці України, з метою глибшого розуміння причин утворення проблем його розвитку та при</w:t>
      </w:r>
      <w:r>
        <w:rPr>
          <w:rFonts w:ascii="Times New Roman" w:hAnsi="Times New Roman" w:cs="Times New Roman"/>
          <w:sz w:val="21"/>
          <w:szCs w:val="21"/>
        </w:rPr>
        <w:t xml:space="preserve">скорення їх вирішення. Так, У. </w:t>
      </w:r>
      <w:r w:rsidRPr="003D4F43">
        <w:rPr>
          <w:rFonts w:ascii="Times New Roman" w:hAnsi="Times New Roman" w:cs="Times New Roman"/>
          <w:sz w:val="21"/>
          <w:szCs w:val="21"/>
        </w:rPr>
        <w:t xml:space="preserve">Садова, </w:t>
      </w:r>
      <w:r>
        <w:rPr>
          <w:rFonts w:ascii="Times New Roman" w:hAnsi="Times New Roman" w:cs="Times New Roman"/>
          <w:sz w:val="21"/>
          <w:szCs w:val="21"/>
        </w:rPr>
        <w:t xml:space="preserve">Л. </w:t>
      </w:r>
      <w:r w:rsidRPr="003D4F43">
        <w:rPr>
          <w:rFonts w:ascii="Times New Roman" w:hAnsi="Times New Roman" w:cs="Times New Roman"/>
          <w:sz w:val="21"/>
          <w:szCs w:val="21"/>
        </w:rPr>
        <w:t xml:space="preserve">Семів вважають, що формування і розвиток </w:t>
      </w:r>
      <w:r w:rsidRPr="003D4F43">
        <w:rPr>
          <w:rFonts w:ascii="Times New Roman" w:hAnsi="Times New Roman" w:cs="Times New Roman"/>
          <w:sz w:val="21"/>
          <w:szCs w:val="21"/>
        </w:rPr>
        <w:lastRenderedPageBreak/>
        <w:t xml:space="preserve">ринку праці в Україні має правові історичні корені, </w:t>
      </w:r>
      <w:r w:rsidRPr="00476B6D">
        <w:rPr>
          <w:rFonts w:ascii="Times New Roman" w:hAnsi="Times New Roman" w:cs="Times New Roman"/>
          <w:sz w:val="21"/>
          <w:szCs w:val="21"/>
        </w:rPr>
        <w:t>де криється значний і генетичний, і психологічний потенціал розвитку національного, регіональних ринків праці нашої держави [</w:t>
      </w:r>
      <w:r w:rsidRPr="00476B6D">
        <w:rPr>
          <w:rFonts w:ascii="Times New Roman" w:hAnsi="Times New Roman" w:cs="Times New Roman"/>
          <w:sz w:val="21"/>
          <w:szCs w:val="21"/>
        </w:rPr>
        <w:fldChar w:fldCharType="begin"/>
      </w:r>
      <w:r w:rsidRPr="00476B6D">
        <w:rPr>
          <w:rFonts w:ascii="Times New Roman" w:hAnsi="Times New Roman" w:cs="Times New Roman"/>
          <w:sz w:val="21"/>
          <w:szCs w:val="21"/>
        </w:rPr>
        <w:instrText xml:space="preserve"> REF _Ref433976941 \r \h </w:instrText>
      </w:r>
      <w:r>
        <w:rPr>
          <w:rFonts w:ascii="Times New Roman" w:hAnsi="Times New Roman" w:cs="Times New Roman"/>
          <w:sz w:val="21"/>
          <w:szCs w:val="21"/>
        </w:rPr>
        <w:instrText xml:space="preserve"> \* MERGEFORMAT </w:instrText>
      </w:r>
      <w:r w:rsidRPr="00476B6D">
        <w:rPr>
          <w:rFonts w:ascii="Times New Roman" w:hAnsi="Times New Roman" w:cs="Times New Roman"/>
          <w:sz w:val="21"/>
          <w:szCs w:val="21"/>
        </w:rPr>
      </w:r>
      <w:r w:rsidRPr="00476B6D">
        <w:rPr>
          <w:rFonts w:ascii="Times New Roman" w:hAnsi="Times New Roman" w:cs="Times New Roman"/>
          <w:sz w:val="21"/>
          <w:szCs w:val="21"/>
        </w:rPr>
        <w:fldChar w:fldCharType="separate"/>
      </w:r>
      <w:r>
        <w:rPr>
          <w:rFonts w:ascii="Times New Roman" w:hAnsi="Times New Roman" w:cs="Times New Roman"/>
          <w:sz w:val="21"/>
          <w:szCs w:val="21"/>
        </w:rPr>
        <w:t>18</w:t>
      </w:r>
      <w:r w:rsidRPr="00476B6D">
        <w:rPr>
          <w:rFonts w:ascii="Times New Roman" w:hAnsi="Times New Roman" w:cs="Times New Roman"/>
          <w:sz w:val="21"/>
          <w:szCs w:val="21"/>
        </w:rPr>
        <w:fldChar w:fldCharType="end"/>
      </w:r>
      <w:r w:rsidRPr="00476B6D">
        <w:rPr>
          <w:rFonts w:ascii="Times New Roman" w:hAnsi="Times New Roman" w:cs="Times New Roman"/>
          <w:sz w:val="21"/>
          <w:szCs w:val="21"/>
        </w:rPr>
        <w:t>, с. 18]. В. Васильченко теж стверджує, що особливості та етапи форму</w:t>
      </w:r>
      <w:r>
        <w:rPr>
          <w:rFonts w:ascii="Times New Roman" w:hAnsi="Times New Roman" w:cs="Times New Roman"/>
          <w:sz w:val="21"/>
          <w:szCs w:val="21"/>
        </w:rPr>
        <w:t>-</w:t>
      </w:r>
      <w:r w:rsidRPr="00476B6D">
        <w:rPr>
          <w:rFonts w:ascii="Times New Roman" w:hAnsi="Times New Roman" w:cs="Times New Roman"/>
          <w:sz w:val="21"/>
          <w:szCs w:val="21"/>
        </w:rPr>
        <w:t>вання ринку праці в Україні і стан зайнятості й безробіття є наслід</w:t>
      </w:r>
      <w:r>
        <w:rPr>
          <w:rFonts w:ascii="Times New Roman" w:hAnsi="Times New Roman" w:cs="Times New Roman"/>
          <w:sz w:val="21"/>
          <w:szCs w:val="21"/>
        </w:rPr>
        <w:t>-</w:t>
      </w:r>
      <w:r w:rsidRPr="00476B6D">
        <w:rPr>
          <w:rFonts w:ascii="Times New Roman" w:hAnsi="Times New Roman" w:cs="Times New Roman"/>
          <w:sz w:val="21"/>
          <w:szCs w:val="21"/>
        </w:rPr>
        <w:t xml:space="preserve">ком історичних, соціальних та економічних умов у державі, які </w:t>
      </w:r>
      <w:r w:rsidRPr="008A5156">
        <w:rPr>
          <w:rFonts w:ascii="Times New Roman" w:hAnsi="Times New Roman" w:cs="Times New Roman"/>
          <w:spacing w:val="-2"/>
          <w:sz w:val="21"/>
          <w:szCs w:val="21"/>
        </w:rPr>
        <w:t>склалися не лише в останнє десятиріччя, а й значно раніше [</w:t>
      </w:r>
      <w:r w:rsidRPr="008A5156">
        <w:rPr>
          <w:rFonts w:ascii="Times New Roman" w:hAnsi="Times New Roman" w:cs="Times New Roman"/>
          <w:spacing w:val="-2"/>
          <w:sz w:val="21"/>
          <w:szCs w:val="21"/>
        </w:rPr>
        <w:fldChar w:fldCharType="begin"/>
      </w:r>
      <w:r w:rsidRPr="008A5156">
        <w:rPr>
          <w:rFonts w:ascii="Times New Roman" w:hAnsi="Times New Roman" w:cs="Times New Roman"/>
          <w:spacing w:val="-2"/>
          <w:sz w:val="21"/>
          <w:szCs w:val="21"/>
        </w:rPr>
        <w:instrText xml:space="preserve"> REF _Ref433976958 \r \h  \* MERGEFORMAT </w:instrText>
      </w:r>
      <w:r w:rsidRPr="008A5156">
        <w:rPr>
          <w:rFonts w:ascii="Times New Roman" w:hAnsi="Times New Roman" w:cs="Times New Roman"/>
          <w:spacing w:val="-2"/>
          <w:sz w:val="21"/>
          <w:szCs w:val="21"/>
        </w:rPr>
      </w:r>
      <w:r w:rsidRPr="008A5156">
        <w:rPr>
          <w:rFonts w:ascii="Times New Roman" w:hAnsi="Times New Roman" w:cs="Times New Roman"/>
          <w:spacing w:val="-2"/>
          <w:sz w:val="21"/>
          <w:szCs w:val="21"/>
        </w:rPr>
        <w:fldChar w:fldCharType="separate"/>
      </w:r>
      <w:r>
        <w:rPr>
          <w:rFonts w:ascii="Times New Roman" w:hAnsi="Times New Roman" w:cs="Times New Roman"/>
          <w:spacing w:val="-2"/>
          <w:sz w:val="21"/>
          <w:szCs w:val="21"/>
        </w:rPr>
        <w:t>6</w:t>
      </w:r>
      <w:r w:rsidRPr="008A5156">
        <w:rPr>
          <w:rFonts w:ascii="Times New Roman" w:hAnsi="Times New Roman" w:cs="Times New Roman"/>
          <w:spacing w:val="-2"/>
          <w:sz w:val="21"/>
          <w:szCs w:val="21"/>
        </w:rPr>
        <w:fldChar w:fldCharType="end"/>
      </w:r>
      <w:r w:rsidRPr="008A5156">
        <w:rPr>
          <w:rFonts w:ascii="Times New Roman" w:hAnsi="Times New Roman" w:cs="Times New Roman"/>
          <w:spacing w:val="-2"/>
          <w:sz w:val="21"/>
          <w:szCs w:val="21"/>
        </w:rPr>
        <w:t>, с.200].</w:t>
      </w:r>
      <w:r w:rsidRPr="00476B6D">
        <w:rPr>
          <w:rFonts w:ascii="Times New Roman" w:hAnsi="Times New Roman" w:cs="Times New Roman"/>
          <w:sz w:val="21"/>
          <w:szCs w:val="21"/>
        </w:rPr>
        <w:t xml:space="preserve"> </w:t>
      </w:r>
    </w:p>
    <w:p w:rsidR="00B233DE" w:rsidRPr="003D4F43" w:rsidRDefault="00B233DE" w:rsidP="00B233DE">
      <w:pPr>
        <w:ind w:firstLine="708"/>
        <w:jc w:val="both"/>
        <w:rPr>
          <w:rFonts w:ascii="Times New Roman" w:hAnsi="Times New Roman" w:cs="Times New Roman"/>
          <w:sz w:val="21"/>
          <w:szCs w:val="21"/>
        </w:rPr>
      </w:pPr>
      <w:r w:rsidRPr="00476B6D">
        <w:rPr>
          <w:rFonts w:ascii="Times New Roman" w:hAnsi="Times New Roman" w:cs="Times New Roman"/>
          <w:sz w:val="21"/>
          <w:szCs w:val="21"/>
        </w:rPr>
        <w:t>Ринок праці виник на етапі становлення капіталістичного способу виробництва і фактично сам став передумовою переходу</w:t>
      </w:r>
      <w:r w:rsidRPr="003D4F43">
        <w:rPr>
          <w:rFonts w:ascii="Times New Roman" w:hAnsi="Times New Roman" w:cs="Times New Roman"/>
          <w:sz w:val="21"/>
          <w:szCs w:val="21"/>
        </w:rPr>
        <w:t xml:space="preserve"> від простого товарного виробництва, коли власник засобів виробництва сам працює з ними і отримує доход, до капіталі</w:t>
      </w:r>
      <w:r>
        <w:rPr>
          <w:rFonts w:ascii="Times New Roman" w:hAnsi="Times New Roman" w:cs="Times New Roman"/>
          <w:sz w:val="21"/>
          <w:szCs w:val="21"/>
        </w:rPr>
        <w:t>-</w:t>
      </w:r>
      <w:r w:rsidRPr="003D4F43">
        <w:rPr>
          <w:rFonts w:ascii="Times New Roman" w:hAnsi="Times New Roman" w:cs="Times New Roman"/>
          <w:sz w:val="21"/>
          <w:szCs w:val="21"/>
        </w:rPr>
        <w:t>стичної форми товарного виробництва, яка використовує як раз найману працю. На відміну від західних країн зародження ринків праці на українських землях відбувалося не тільки в період первинного накопичення капіталу, а й на етапах простої кооперац</w:t>
      </w:r>
      <w:r>
        <w:rPr>
          <w:rFonts w:ascii="Times New Roman" w:hAnsi="Times New Roman" w:cs="Times New Roman"/>
          <w:sz w:val="21"/>
          <w:szCs w:val="21"/>
        </w:rPr>
        <w:t>ії і мануфактурного виробництва</w:t>
      </w:r>
      <w:r w:rsidRPr="003D4F43">
        <w:rPr>
          <w:rFonts w:ascii="Times New Roman" w:hAnsi="Times New Roman" w:cs="Times New Roman"/>
          <w:sz w:val="21"/>
          <w:szCs w:val="21"/>
        </w:rPr>
        <w:t xml:space="preserve"> на фоні жорстокого кріпацтва в умовах відсутності власної державності. </w:t>
      </w:r>
    </w:p>
    <w:p w:rsidR="00B233DE"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Таким чином, ринок праці набуває розвитку після того, як в умовах систематичних товарно-грошових відносин носії робочої сили набувають можливість вільно</w:t>
      </w:r>
      <w:r>
        <w:rPr>
          <w:rFonts w:ascii="Times New Roman" w:hAnsi="Times New Roman" w:cs="Times New Roman"/>
          <w:sz w:val="21"/>
          <w:szCs w:val="21"/>
        </w:rPr>
        <w:t xml:space="preserve"> пропонувати її власникам засобів</w:t>
      </w:r>
      <w:r w:rsidRPr="003D4F43">
        <w:rPr>
          <w:rFonts w:ascii="Times New Roman" w:hAnsi="Times New Roman" w:cs="Times New Roman"/>
          <w:sz w:val="21"/>
          <w:szCs w:val="21"/>
        </w:rPr>
        <w:t xml:space="preserve"> виробництва, які мають необхідний обсяг обігових коштів і певні особисті якості. Це відбулося після буржуазних революцій у Європі, громадянської війни в США, скасування кріпосного права в </w:t>
      </w:r>
      <w:r w:rsidRPr="00133BE2">
        <w:rPr>
          <w:rFonts w:ascii="Times New Roman" w:hAnsi="Times New Roman" w:cs="Times New Roman"/>
          <w:spacing w:val="-4"/>
          <w:sz w:val="21"/>
          <w:szCs w:val="21"/>
        </w:rPr>
        <w:t>Росії. З цього часу й розпочинається еволюція ринків праці (табл. 3.2).</w:t>
      </w:r>
    </w:p>
    <w:p w:rsidR="00B233DE" w:rsidRPr="00133BE2" w:rsidRDefault="00B233DE" w:rsidP="00B233DE">
      <w:pPr>
        <w:ind w:firstLine="708"/>
        <w:jc w:val="both"/>
        <w:rPr>
          <w:rFonts w:ascii="Times New Roman" w:hAnsi="Times New Roman" w:cs="Times New Roman"/>
          <w:sz w:val="21"/>
          <w:szCs w:val="21"/>
        </w:rPr>
      </w:pPr>
      <w:r w:rsidRPr="00133BE2">
        <w:rPr>
          <w:rFonts w:ascii="Times New Roman" w:hAnsi="Times New Roman" w:cs="Times New Roman"/>
          <w:sz w:val="21"/>
          <w:szCs w:val="21"/>
        </w:rPr>
        <w:t xml:space="preserve">Ми підтримуємо думку науковців, які виокремлюють </w:t>
      </w:r>
      <w:r>
        <w:rPr>
          <w:rStyle w:val="a9"/>
          <w:rFonts w:ascii="Times New Roman" w:eastAsiaTheme="majorEastAsia" w:hAnsi="Times New Roman" w:cs="Times New Roman"/>
          <w:b w:val="0"/>
          <w:sz w:val="21"/>
          <w:szCs w:val="21"/>
        </w:rPr>
        <w:t>п’</w:t>
      </w:r>
      <w:r w:rsidRPr="00133BE2">
        <w:rPr>
          <w:rStyle w:val="a9"/>
          <w:rFonts w:ascii="Times New Roman" w:eastAsiaTheme="majorEastAsia" w:hAnsi="Times New Roman" w:cs="Times New Roman"/>
          <w:b w:val="0"/>
          <w:sz w:val="21"/>
          <w:szCs w:val="21"/>
        </w:rPr>
        <w:t>ятий етап еволюції ринку праці України</w:t>
      </w:r>
      <w:r w:rsidRPr="00133BE2">
        <w:rPr>
          <w:rFonts w:ascii="Times New Roman" w:hAnsi="Times New Roman" w:cs="Times New Roman"/>
          <w:b/>
          <w:sz w:val="21"/>
          <w:szCs w:val="21"/>
        </w:rPr>
        <w:t>,</w:t>
      </w:r>
      <w:r w:rsidRPr="00133BE2">
        <w:rPr>
          <w:rFonts w:ascii="Times New Roman" w:hAnsi="Times New Roman" w:cs="Times New Roman"/>
          <w:sz w:val="21"/>
          <w:szCs w:val="21"/>
        </w:rPr>
        <w:t xml:space="preserve"> який бере свій початок на межі 1980</w:t>
      </w:r>
      <w:r>
        <w:rPr>
          <w:rFonts w:ascii="Times New Roman" w:hAnsi="Times New Roman" w:cs="Times New Roman"/>
          <w:sz w:val="21"/>
          <w:szCs w:val="21"/>
        </w:rPr>
        <w:t>–</w:t>
      </w:r>
      <w:r w:rsidRPr="00133BE2">
        <w:rPr>
          <w:rFonts w:ascii="Times New Roman" w:hAnsi="Times New Roman" w:cs="Times New Roman"/>
          <w:sz w:val="21"/>
          <w:szCs w:val="21"/>
        </w:rPr>
        <w:t>1</w:t>
      </w:r>
      <w:r>
        <w:rPr>
          <w:rFonts w:ascii="Times New Roman" w:hAnsi="Times New Roman" w:cs="Times New Roman"/>
          <w:sz w:val="21"/>
          <w:szCs w:val="21"/>
        </w:rPr>
        <w:t>990-х рр. під час «перебудови»</w:t>
      </w:r>
      <w:r w:rsidRPr="00133BE2">
        <w:rPr>
          <w:rFonts w:ascii="Times New Roman" w:hAnsi="Times New Roman" w:cs="Times New Roman"/>
          <w:sz w:val="21"/>
          <w:szCs w:val="21"/>
        </w:rPr>
        <w:t xml:space="preserve"> і набуття Україною незалежності. В часи незалежності в Україні почалося відновлення ринку праці. До цього, як наголошують </w:t>
      </w:r>
      <w:r>
        <w:rPr>
          <w:rFonts w:ascii="Times New Roman" w:hAnsi="Times New Roman" w:cs="Times New Roman"/>
          <w:sz w:val="21"/>
          <w:szCs w:val="21"/>
        </w:rPr>
        <w:t xml:space="preserve">Ю. </w:t>
      </w:r>
      <w:r w:rsidRPr="00133BE2">
        <w:rPr>
          <w:rFonts w:ascii="Times New Roman" w:hAnsi="Times New Roman" w:cs="Times New Roman"/>
          <w:sz w:val="21"/>
          <w:szCs w:val="21"/>
        </w:rPr>
        <w:t xml:space="preserve">Маршавін, </w:t>
      </w:r>
      <w:r>
        <w:rPr>
          <w:rFonts w:ascii="Times New Roman" w:hAnsi="Times New Roman" w:cs="Times New Roman"/>
          <w:sz w:val="21"/>
          <w:szCs w:val="21"/>
        </w:rPr>
        <w:t>В. </w:t>
      </w:r>
      <w:r w:rsidRPr="00133BE2">
        <w:rPr>
          <w:rFonts w:ascii="Times New Roman" w:hAnsi="Times New Roman" w:cs="Times New Roman"/>
          <w:sz w:val="21"/>
          <w:szCs w:val="21"/>
        </w:rPr>
        <w:t>Васильченко система регулювання заробітної плати не відповідала ринковій економіці та була причиною розвитку прихованого безробіття через втрату заробітною платою своїх стимулюючої, розподільчої та соціальної функцій.</w:t>
      </w:r>
    </w:p>
    <w:p w:rsidR="00B233DE" w:rsidRPr="008A5156" w:rsidRDefault="00B233DE" w:rsidP="00B233DE">
      <w:pPr>
        <w:ind w:firstLine="708"/>
        <w:jc w:val="both"/>
        <w:rPr>
          <w:rFonts w:ascii="Times New Roman" w:hAnsi="Times New Roman" w:cs="Times New Roman"/>
          <w:sz w:val="21"/>
          <w:szCs w:val="21"/>
        </w:rPr>
      </w:pPr>
      <w:r w:rsidRPr="008A5156">
        <w:rPr>
          <w:rStyle w:val="a9"/>
          <w:rFonts w:ascii="Times New Roman" w:eastAsiaTheme="majorEastAsia" w:hAnsi="Times New Roman" w:cs="Times New Roman"/>
          <w:b w:val="0"/>
          <w:sz w:val="21"/>
          <w:szCs w:val="21"/>
        </w:rPr>
        <w:t>Етапність у розвитку ринків праці країн ринкової економіки і ринку праці України</w:t>
      </w:r>
      <w:r w:rsidRPr="008A5156">
        <w:rPr>
          <w:rFonts w:ascii="Times New Roman" w:hAnsi="Times New Roman" w:cs="Times New Roman"/>
          <w:sz w:val="21"/>
          <w:szCs w:val="21"/>
        </w:rPr>
        <w:t xml:space="preserve"> має як загальні риси, так і суттєві відмінності.</w:t>
      </w: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right"/>
        <w:rPr>
          <w:rFonts w:ascii="Times New Roman" w:hAnsi="Times New Roman" w:cs="Times New Roman"/>
          <w:sz w:val="21"/>
          <w:szCs w:val="21"/>
        </w:rPr>
      </w:pPr>
    </w:p>
    <w:p w:rsidR="00B233DE" w:rsidRDefault="00B233DE" w:rsidP="00B233DE">
      <w:pPr>
        <w:ind w:firstLine="708"/>
        <w:jc w:val="right"/>
        <w:rPr>
          <w:rFonts w:ascii="Times New Roman" w:hAnsi="Times New Roman" w:cs="Times New Roman"/>
          <w:sz w:val="21"/>
          <w:szCs w:val="21"/>
        </w:rPr>
      </w:pPr>
    </w:p>
    <w:p w:rsidR="00B233DE" w:rsidRDefault="00B233DE" w:rsidP="00B233DE">
      <w:pPr>
        <w:ind w:firstLine="708"/>
        <w:jc w:val="right"/>
        <w:rPr>
          <w:rFonts w:ascii="Times New Roman" w:hAnsi="Times New Roman" w:cs="Times New Roman"/>
          <w:sz w:val="21"/>
          <w:szCs w:val="21"/>
        </w:rPr>
      </w:pPr>
      <w:r>
        <w:rPr>
          <w:rFonts w:ascii="Times New Roman" w:hAnsi="Times New Roman" w:cs="Times New Roman"/>
          <w:sz w:val="21"/>
          <w:szCs w:val="21"/>
        </w:rPr>
        <w:lastRenderedPageBreak/>
        <w:t>Таблиця 3.2</w:t>
      </w:r>
    </w:p>
    <w:p w:rsidR="00B233DE" w:rsidRPr="00133BE2" w:rsidRDefault="00B233DE" w:rsidP="00B233DE">
      <w:pPr>
        <w:ind w:firstLine="708"/>
        <w:jc w:val="center"/>
        <w:rPr>
          <w:rFonts w:ascii="Times New Roman" w:hAnsi="Times New Roman" w:cs="Times New Roman"/>
          <w:b/>
          <w:sz w:val="21"/>
          <w:szCs w:val="21"/>
        </w:rPr>
      </w:pPr>
      <w:r w:rsidRPr="00133BE2">
        <w:rPr>
          <w:rFonts w:ascii="Times New Roman" w:hAnsi="Times New Roman" w:cs="Times New Roman"/>
          <w:b/>
          <w:sz w:val="21"/>
          <w:szCs w:val="21"/>
        </w:rPr>
        <w:t>Характеристика основних етапів становлення ринку праці в Україні та країнах Заходу</w:t>
      </w:r>
    </w:p>
    <w:tbl>
      <w:tblPr>
        <w:tblStyle w:val="afe"/>
        <w:tblW w:w="0" w:type="auto"/>
        <w:tblLook w:val="01E0" w:firstRow="1" w:lastRow="1" w:firstColumn="1" w:lastColumn="1" w:noHBand="0" w:noVBand="0"/>
      </w:tblPr>
      <w:tblGrid>
        <w:gridCol w:w="1951"/>
        <w:gridCol w:w="4253"/>
      </w:tblGrid>
      <w:tr w:rsidR="00B233DE" w:rsidRPr="00F435D2" w:rsidTr="0023489B">
        <w:tc>
          <w:tcPr>
            <w:tcW w:w="1951" w:type="dxa"/>
            <w:vAlign w:val="center"/>
          </w:tcPr>
          <w:p w:rsidR="00B233DE" w:rsidRDefault="00B233DE" w:rsidP="0023489B">
            <w:pPr>
              <w:ind w:left="-142" w:right="-108"/>
              <w:jc w:val="center"/>
              <w:rPr>
                <w:sz w:val="16"/>
                <w:szCs w:val="16"/>
              </w:rPr>
            </w:pPr>
            <w:r w:rsidRPr="00133BE2">
              <w:rPr>
                <w:sz w:val="16"/>
                <w:szCs w:val="16"/>
              </w:rPr>
              <w:t xml:space="preserve">Характерні особливості становлення ринку праці </w:t>
            </w:r>
          </w:p>
          <w:p w:rsidR="00B233DE" w:rsidRPr="00133BE2" w:rsidRDefault="00B233DE" w:rsidP="0023489B">
            <w:pPr>
              <w:ind w:left="-142" w:right="-108"/>
              <w:jc w:val="center"/>
              <w:rPr>
                <w:sz w:val="16"/>
                <w:szCs w:val="16"/>
              </w:rPr>
            </w:pPr>
            <w:r w:rsidRPr="00133BE2">
              <w:rPr>
                <w:sz w:val="16"/>
                <w:szCs w:val="16"/>
              </w:rPr>
              <w:t xml:space="preserve">в </w:t>
            </w:r>
            <w:r>
              <w:rPr>
                <w:sz w:val="16"/>
                <w:szCs w:val="16"/>
              </w:rPr>
              <w:t>з</w:t>
            </w:r>
            <w:r w:rsidRPr="00133BE2">
              <w:rPr>
                <w:sz w:val="16"/>
                <w:szCs w:val="16"/>
              </w:rPr>
              <w:t>ахідних країнах</w:t>
            </w:r>
          </w:p>
        </w:tc>
        <w:tc>
          <w:tcPr>
            <w:tcW w:w="4253" w:type="dxa"/>
            <w:vAlign w:val="center"/>
          </w:tcPr>
          <w:p w:rsidR="00B233DE" w:rsidRPr="00133BE2" w:rsidRDefault="00B233DE" w:rsidP="0023489B">
            <w:pPr>
              <w:ind w:left="-142" w:right="-108"/>
              <w:jc w:val="center"/>
              <w:rPr>
                <w:sz w:val="16"/>
                <w:szCs w:val="16"/>
              </w:rPr>
            </w:pPr>
            <w:r w:rsidRPr="00133BE2">
              <w:rPr>
                <w:sz w:val="16"/>
                <w:szCs w:val="16"/>
              </w:rPr>
              <w:t>Характерні особливості становлення ринку праці в Україні</w:t>
            </w:r>
          </w:p>
        </w:tc>
      </w:tr>
      <w:tr w:rsidR="00B233DE" w:rsidRPr="00F435D2" w:rsidTr="0023489B">
        <w:tc>
          <w:tcPr>
            <w:tcW w:w="1951" w:type="dxa"/>
            <w:vAlign w:val="center"/>
          </w:tcPr>
          <w:p w:rsidR="00B233DE" w:rsidRPr="00133BE2" w:rsidRDefault="00B233DE" w:rsidP="0023489B">
            <w:pPr>
              <w:ind w:left="-142" w:right="-108"/>
              <w:jc w:val="center"/>
              <w:rPr>
                <w:sz w:val="16"/>
                <w:szCs w:val="16"/>
              </w:rPr>
            </w:pPr>
            <w:r>
              <w:rPr>
                <w:sz w:val="16"/>
                <w:szCs w:val="16"/>
              </w:rPr>
              <w:t>1</w:t>
            </w:r>
          </w:p>
        </w:tc>
        <w:tc>
          <w:tcPr>
            <w:tcW w:w="4253" w:type="dxa"/>
            <w:vAlign w:val="center"/>
          </w:tcPr>
          <w:p w:rsidR="00B233DE" w:rsidRPr="00133BE2" w:rsidRDefault="00B233DE" w:rsidP="0023489B">
            <w:pPr>
              <w:ind w:left="-142" w:right="-108"/>
              <w:jc w:val="center"/>
              <w:rPr>
                <w:sz w:val="16"/>
                <w:szCs w:val="16"/>
              </w:rPr>
            </w:pPr>
            <w:r>
              <w:rPr>
                <w:sz w:val="16"/>
                <w:szCs w:val="16"/>
              </w:rPr>
              <w:t>2</w:t>
            </w:r>
          </w:p>
        </w:tc>
      </w:tr>
      <w:tr w:rsidR="00B233DE" w:rsidRPr="00F435D2" w:rsidTr="0023489B">
        <w:tc>
          <w:tcPr>
            <w:tcW w:w="6204" w:type="dxa"/>
            <w:gridSpan w:val="2"/>
            <w:vAlign w:val="center"/>
          </w:tcPr>
          <w:p w:rsidR="00B233DE" w:rsidRPr="00133BE2" w:rsidRDefault="00B233DE" w:rsidP="0023489B">
            <w:pPr>
              <w:ind w:left="-142" w:right="-108"/>
              <w:jc w:val="center"/>
              <w:rPr>
                <w:sz w:val="16"/>
                <w:szCs w:val="16"/>
              </w:rPr>
            </w:pPr>
            <w:r>
              <w:rPr>
                <w:sz w:val="16"/>
                <w:szCs w:val="16"/>
              </w:rPr>
              <w:t>Перший етап</w:t>
            </w:r>
          </w:p>
        </w:tc>
      </w:tr>
      <w:tr w:rsidR="00B233DE" w:rsidRPr="00F435D2" w:rsidTr="0023489B">
        <w:tc>
          <w:tcPr>
            <w:tcW w:w="1951" w:type="dxa"/>
          </w:tcPr>
          <w:p w:rsidR="00B233DE" w:rsidRPr="00133BE2" w:rsidRDefault="00B233DE" w:rsidP="0023489B">
            <w:pPr>
              <w:jc w:val="both"/>
              <w:rPr>
                <w:sz w:val="16"/>
                <w:szCs w:val="16"/>
              </w:rPr>
            </w:pPr>
            <w:r>
              <w:rPr>
                <w:sz w:val="16"/>
                <w:szCs w:val="16"/>
              </w:rPr>
              <w:t>О</w:t>
            </w:r>
            <w:r w:rsidRPr="00133BE2">
              <w:rPr>
                <w:sz w:val="16"/>
                <w:szCs w:val="16"/>
              </w:rPr>
              <w:t>хоплює два періоди розвитку капіталізму в промисловості (просту кооперацію праці й мануфактуру).</w:t>
            </w:r>
          </w:p>
        </w:tc>
        <w:tc>
          <w:tcPr>
            <w:tcW w:w="4253" w:type="dxa"/>
          </w:tcPr>
          <w:p w:rsidR="00B233DE" w:rsidRPr="00133BE2" w:rsidRDefault="00B233DE" w:rsidP="0023489B">
            <w:pPr>
              <w:ind w:left="-108"/>
              <w:jc w:val="both"/>
              <w:rPr>
                <w:sz w:val="16"/>
                <w:szCs w:val="16"/>
              </w:rPr>
            </w:pPr>
            <w:r w:rsidRPr="00133BE2">
              <w:rPr>
                <w:sz w:val="16"/>
                <w:szCs w:val="16"/>
              </w:rPr>
              <w:t>Починається після реформи 1861 р., яка сприяла інтенсив</w:t>
            </w:r>
            <w:r>
              <w:rPr>
                <w:sz w:val="16"/>
                <w:szCs w:val="16"/>
              </w:rPr>
              <w:t>-</w:t>
            </w:r>
            <w:r w:rsidRPr="00133BE2">
              <w:rPr>
                <w:sz w:val="16"/>
                <w:szCs w:val="16"/>
              </w:rPr>
              <w:t>ному розшаруванню селянства. Вибуховий розвиток проми</w:t>
            </w:r>
            <w:r>
              <w:rPr>
                <w:sz w:val="16"/>
                <w:szCs w:val="16"/>
              </w:rPr>
              <w:t>-</w:t>
            </w:r>
            <w:r w:rsidRPr="00133BE2">
              <w:rPr>
                <w:sz w:val="16"/>
                <w:szCs w:val="16"/>
              </w:rPr>
              <w:t>словості поступово захоплює все більше галузей промис</w:t>
            </w:r>
            <w:r>
              <w:rPr>
                <w:sz w:val="16"/>
                <w:szCs w:val="16"/>
              </w:rPr>
              <w:t>-</w:t>
            </w:r>
            <w:r w:rsidRPr="00133BE2">
              <w:rPr>
                <w:sz w:val="16"/>
                <w:szCs w:val="16"/>
              </w:rPr>
              <w:t>ловості, підприємства фабрично-промисловог</w:t>
            </w:r>
            <w:r>
              <w:rPr>
                <w:sz w:val="16"/>
                <w:szCs w:val="16"/>
              </w:rPr>
              <w:t xml:space="preserve">о типу витіс-няють мануфактуру. </w:t>
            </w:r>
            <w:r w:rsidRPr="00133BE2">
              <w:rPr>
                <w:sz w:val="16"/>
                <w:szCs w:val="16"/>
              </w:rPr>
              <w:t>В останній чверті сторіччя формують</w:t>
            </w:r>
            <w:r>
              <w:rPr>
                <w:sz w:val="16"/>
                <w:szCs w:val="16"/>
              </w:rPr>
              <w:t>-</w:t>
            </w:r>
            <w:r w:rsidRPr="00133BE2">
              <w:rPr>
                <w:sz w:val="16"/>
                <w:szCs w:val="16"/>
              </w:rPr>
              <w:t xml:space="preserve">ся ємні ринки праці </w:t>
            </w:r>
            <w:r>
              <w:rPr>
                <w:sz w:val="16"/>
                <w:szCs w:val="16"/>
              </w:rPr>
              <w:t>у Донецькому і Криворізькому ба</w:t>
            </w:r>
            <w:r w:rsidRPr="00133BE2">
              <w:rPr>
                <w:sz w:val="16"/>
                <w:szCs w:val="16"/>
              </w:rPr>
              <w:t>сей</w:t>
            </w:r>
            <w:r>
              <w:rPr>
                <w:sz w:val="16"/>
                <w:szCs w:val="16"/>
              </w:rPr>
              <w:t>-</w:t>
            </w:r>
            <w:r w:rsidRPr="00133BE2">
              <w:rPr>
                <w:sz w:val="16"/>
                <w:szCs w:val="16"/>
              </w:rPr>
              <w:t xml:space="preserve">нах. Високими темпами поширюється </w:t>
            </w:r>
            <w:r>
              <w:rPr>
                <w:sz w:val="16"/>
                <w:szCs w:val="16"/>
              </w:rPr>
              <w:t>зайнятість у металур-гійній, кам’</w:t>
            </w:r>
            <w:r w:rsidRPr="00133BE2">
              <w:rPr>
                <w:sz w:val="16"/>
                <w:szCs w:val="16"/>
              </w:rPr>
              <w:t>яновугільній, залізорудній, машинобудів</w:t>
            </w:r>
            <w:r>
              <w:rPr>
                <w:sz w:val="16"/>
                <w:szCs w:val="16"/>
              </w:rPr>
              <w:t>-</w:t>
            </w:r>
            <w:r w:rsidRPr="00133BE2">
              <w:rPr>
                <w:sz w:val="16"/>
                <w:szCs w:val="16"/>
              </w:rPr>
              <w:t>ній, цукровій галузях. Столи</w:t>
            </w:r>
            <w:r>
              <w:rPr>
                <w:sz w:val="16"/>
                <w:szCs w:val="16"/>
              </w:rPr>
              <w:t>-пінська аграрна реформа 1906 р.</w:t>
            </w:r>
            <w:r w:rsidRPr="00133BE2">
              <w:rPr>
                <w:sz w:val="16"/>
                <w:szCs w:val="16"/>
              </w:rPr>
              <w:t xml:space="preserve"> надає селянам право виходу з громад (общин), промисло</w:t>
            </w:r>
            <w:r>
              <w:rPr>
                <w:sz w:val="16"/>
                <w:szCs w:val="16"/>
              </w:rPr>
              <w:t>-</w:t>
            </w:r>
            <w:r w:rsidRPr="00413A60">
              <w:rPr>
                <w:spacing w:val="-6"/>
                <w:sz w:val="16"/>
                <w:szCs w:val="16"/>
              </w:rPr>
              <w:t>вості. Процес розшарування селянства співпадає з ростом пот</w:t>
            </w:r>
            <w:r w:rsidRPr="00133BE2">
              <w:rPr>
                <w:sz w:val="16"/>
                <w:szCs w:val="16"/>
              </w:rPr>
              <w:t xml:space="preserve">реб робочої сили у промисловості, що бурхливо розвивалася. </w:t>
            </w:r>
          </w:p>
        </w:tc>
      </w:tr>
      <w:tr w:rsidR="00B233DE" w:rsidRPr="00F435D2" w:rsidTr="0023489B">
        <w:tc>
          <w:tcPr>
            <w:tcW w:w="6204" w:type="dxa"/>
            <w:gridSpan w:val="2"/>
          </w:tcPr>
          <w:p w:rsidR="00B233DE" w:rsidRPr="00133BE2" w:rsidRDefault="00B233DE" w:rsidP="0023489B">
            <w:pPr>
              <w:ind w:left="-108"/>
              <w:jc w:val="center"/>
              <w:rPr>
                <w:sz w:val="16"/>
                <w:szCs w:val="16"/>
              </w:rPr>
            </w:pPr>
            <w:r>
              <w:rPr>
                <w:sz w:val="16"/>
                <w:szCs w:val="16"/>
              </w:rPr>
              <w:t>Другий етап</w:t>
            </w:r>
          </w:p>
        </w:tc>
      </w:tr>
      <w:tr w:rsidR="00B233DE" w:rsidRPr="00F435D2" w:rsidTr="0023489B">
        <w:tc>
          <w:tcPr>
            <w:tcW w:w="1951" w:type="dxa"/>
          </w:tcPr>
          <w:p w:rsidR="00B233DE" w:rsidRPr="00133BE2" w:rsidRDefault="00B233DE" w:rsidP="0023489B">
            <w:pPr>
              <w:jc w:val="both"/>
              <w:rPr>
                <w:sz w:val="16"/>
                <w:szCs w:val="16"/>
              </w:rPr>
            </w:pPr>
            <w:r>
              <w:rPr>
                <w:sz w:val="16"/>
                <w:szCs w:val="16"/>
              </w:rPr>
              <w:t>Б</w:t>
            </w:r>
            <w:r w:rsidRPr="00133BE2">
              <w:rPr>
                <w:sz w:val="16"/>
                <w:szCs w:val="16"/>
              </w:rPr>
              <w:t>ере початок у період першої промислової ре</w:t>
            </w:r>
            <w:r>
              <w:rPr>
                <w:sz w:val="16"/>
                <w:szCs w:val="16"/>
              </w:rPr>
              <w:t>-</w:t>
            </w:r>
            <w:r w:rsidRPr="00133BE2">
              <w:rPr>
                <w:sz w:val="16"/>
                <w:szCs w:val="16"/>
              </w:rPr>
              <w:t xml:space="preserve">волюції </w:t>
            </w:r>
            <w:r>
              <w:rPr>
                <w:sz w:val="16"/>
                <w:szCs w:val="16"/>
              </w:rPr>
              <w:t>–</w:t>
            </w:r>
            <w:r w:rsidRPr="00133BE2">
              <w:rPr>
                <w:sz w:val="16"/>
                <w:szCs w:val="16"/>
              </w:rPr>
              <w:t xml:space="preserve"> переходу від </w:t>
            </w:r>
            <w:r>
              <w:rPr>
                <w:spacing w:val="-6"/>
                <w:sz w:val="16"/>
                <w:szCs w:val="16"/>
              </w:rPr>
              <w:t>мануфактурного до ма-шин</w:t>
            </w:r>
            <w:r w:rsidRPr="00133BE2">
              <w:rPr>
                <w:sz w:val="16"/>
                <w:szCs w:val="16"/>
              </w:rPr>
              <w:t>ного виробництва. 1760-х рр – промисловий пере</w:t>
            </w:r>
            <w:r>
              <w:rPr>
                <w:sz w:val="16"/>
                <w:szCs w:val="16"/>
              </w:rPr>
              <w:t>ворот у Велико-британії,</w:t>
            </w:r>
            <w:r w:rsidRPr="00133BE2">
              <w:rPr>
                <w:sz w:val="16"/>
                <w:szCs w:val="16"/>
              </w:rPr>
              <w:t xml:space="preserve"> </w:t>
            </w:r>
            <w:r>
              <w:rPr>
                <w:sz w:val="16"/>
                <w:szCs w:val="16"/>
              </w:rPr>
              <w:t xml:space="preserve">у </w:t>
            </w:r>
            <w:r w:rsidRPr="00133BE2">
              <w:rPr>
                <w:sz w:val="16"/>
                <w:szCs w:val="16"/>
              </w:rPr>
              <w:t xml:space="preserve">США, Франції, Німеччині, Італії, Японії </w:t>
            </w:r>
            <w:r>
              <w:rPr>
                <w:sz w:val="16"/>
                <w:szCs w:val="16"/>
              </w:rPr>
              <w:t>–</w:t>
            </w:r>
            <w:r w:rsidRPr="00133BE2">
              <w:rPr>
                <w:sz w:val="16"/>
                <w:szCs w:val="16"/>
              </w:rPr>
              <w:t xml:space="preserve"> трохи пізніше. Велике машинне виробництво створює можливість використання праці некваліфікованих пра</w:t>
            </w:r>
            <w:r>
              <w:rPr>
                <w:sz w:val="16"/>
                <w:szCs w:val="16"/>
              </w:rPr>
              <w:t>-</w:t>
            </w:r>
            <w:r w:rsidRPr="00133BE2">
              <w:rPr>
                <w:sz w:val="16"/>
                <w:szCs w:val="16"/>
              </w:rPr>
              <w:t>цівників, жінок і під</w:t>
            </w:r>
            <w:r>
              <w:rPr>
                <w:sz w:val="16"/>
                <w:szCs w:val="16"/>
              </w:rPr>
              <w:t>-</w:t>
            </w:r>
            <w:r w:rsidRPr="00133BE2">
              <w:rPr>
                <w:sz w:val="16"/>
                <w:szCs w:val="16"/>
              </w:rPr>
              <w:t>літків. Розширення мере</w:t>
            </w:r>
            <w:r>
              <w:rPr>
                <w:sz w:val="16"/>
                <w:szCs w:val="16"/>
              </w:rPr>
              <w:t>-</w:t>
            </w:r>
            <w:r w:rsidRPr="00133BE2">
              <w:rPr>
                <w:sz w:val="16"/>
                <w:szCs w:val="16"/>
              </w:rPr>
              <w:t>жі залізниць викликає зростання мобільності осіб найманої праці.</w:t>
            </w:r>
          </w:p>
        </w:tc>
        <w:tc>
          <w:tcPr>
            <w:tcW w:w="4253" w:type="dxa"/>
          </w:tcPr>
          <w:p w:rsidR="00B233DE" w:rsidRPr="00133BE2" w:rsidRDefault="00B233DE" w:rsidP="0023489B">
            <w:pPr>
              <w:ind w:left="-108"/>
              <w:jc w:val="both"/>
              <w:rPr>
                <w:sz w:val="16"/>
                <w:szCs w:val="16"/>
              </w:rPr>
            </w:pPr>
            <w:r w:rsidRPr="0022527E">
              <w:rPr>
                <w:spacing w:val="-4"/>
                <w:sz w:val="16"/>
                <w:szCs w:val="16"/>
              </w:rPr>
              <w:t>Пов’язаний з соціалістичною революцією 1917 р.</w:t>
            </w:r>
            <w:r w:rsidRPr="00133BE2">
              <w:rPr>
                <w:sz w:val="16"/>
                <w:szCs w:val="16"/>
              </w:rPr>
              <w:t xml:space="preserve"> і має два </w:t>
            </w:r>
            <w:r>
              <w:rPr>
                <w:sz w:val="16"/>
                <w:szCs w:val="16"/>
              </w:rPr>
              <w:t>окремих</w:t>
            </w:r>
            <w:r w:rsidRPr="00133BE2">
              <w:rPr>
                <w:sz w:val="16"/>
                <w:szCs w:val="16"/>
              </w:rPr>
              <w:t xml:space="preserve"> періоди: військовий комунізм (торкнувся України лише частково) і нової економічної п</w:t>
            </w:r>
            <w:r>
              <w:rPr>
                <w:sz w:val="16"/>
                <w:szCs w:val="16"/>
              </w:rPr>
              <w:t>олітики (НЕП). У 1918-1920 рр. в</w:t>
            </w:r>
            <w:r w:rsidRPr="00133BE2">
              <w:rPr>
                <w:sz w:val="16"/>
                <w:szCs w:val="16"/>
              </w:rPr>
              <w:t>становлюється загальна трудова повинність всіх громадян у віці 16</w:t>
            </w:r>
            <w:r>
              <w:rPr>
                <w:sz w:val="16"/>
                <w:szCs w:val="16"/>
              </w:rPr>
              <w:t>–</w:t>
            </w:r>
            <w:r w:rsidRPr="00133BE2">
              <w:rPr>
                <w:sz w:val="16"/>
                <w:szCs w:val="16"/>
              </w:rPr>
              <w:t>50 рр., не зайнятих у суспільному виробництві, проводиться трудова мобілізація, використан</w:t>
            </w:r>
            <w:r>
              <w:rPr>
                <w:sz w:val="16"/>
                <w:szCs w:val="16"/>
              </w:rPr>
              <w:t>-</w:t>
            </w:r>
            <w:r w:rsidRPr="00133BE2">
              <w:rPr>
                <w:sz w:val="16"/>
                <w:szCs w:val="16"/>
              </w:rPr>
              <w:t xml:space="preserve">ня репресійних заходів. Реалізація даної моделі організації праці в роки військового комунізму, зокрема, прикріплення працівників до підприємств і обмеження вибору ними місця роботи, зрівняльний підхід до оплати </w:t>
            </w:r>
            <w:r>
              <w:rPr>
                <w:sz w:val="16"/>
                <w:szCs w:val="16"/>
              </w:rPr>
              <w:t>праці, разом з іншими причинами</w:t>
            </w:r>
            <w:r w:rsidRPr="00133BE2">
              <w:rPr>
                <w:sz w:val="16"/>
                <w:szCs w:val="16"/>
              </w:rPr>
              <w:t xml:space="preserve"> призводять до глибокої соціально-економічної кризи. У 1921 р. радянському уряду доводиться перейти до НЕП, стрижнем якої стає хоч і обмежене, але відродження товарно-грошових відносин, приватного підприємництва, що обумовило реформування відносин у сфері праці. Скасо</w:t>
            </w:r>
            <w:r>
              <w:rPr>
                <w:sz w:val="16"/>
                <w:szCs w:val="16"/>
              </w:rPr>
              <w:t>-</w:t>
            </w:r>
            <w:r w:rsidRPr="00133BE2">
              <w:rPr>
                <w:sz w:val="16"/>
                <w:szCs w:val="16"/>
              </w:rPr>
              <w:t>вуються трудові мобілізації і повинності, прикріплення працівників до підприємств, ліквідовуються обмеження на переміщення робітників та службовців. Легалізація безро</w:t>
            </w:r>
            <w:r>
              <w:rPr>
                <w:sz w:val="16"/>
                <w:szCs w:val="16"/>
              </w:rPr>
              <w:t>-</w:t>
            </w:r>
            <w:r w:rsidRPr="00133BE2">
              <w:rPr>
                <w:sz w:val="16"/>
                <w:szCs w:val="16"/>
              </w:rPr>
              <w:t>біття спричинює відродження бірж праці, які перші три ро</w:t>
            </w:r>
            <w:r>
              <w:rPr>
                <w:sz w:val="16"/>
                <w:szCs w:val="16"/>
              </w:rPr>
              <w:t>-</w:t>
            </w:r>
            <w:r w:rsidRPr="00133BE2">
              <w:rPr>
                <w:sz w:val="16"/>
                <w:szCs w:val="16"/>
              </w:rPr>
              <w:t xml:space="preserve">ки НЕП мали монопольне право на трудове посередництво. </w:t>
            </w:r>
          </w:p>
        </w:tc>
      </w:tr>
      <w:tr w:rsidR="00B233DE" w:rsidRPr="00F435D2" w:rsidTr="0023489B">
        <w:tc>
          <w:tcPr>
            <w:tcW w:w="6204" w:type="dxa"/>
            <w:gridSpan w:val="2"/>
          </w:tcPr>
          <w:p w:rsidR="00B233DE" w:rsidRPr="0022527E" w:rsidRDefault="00B233DE" w:rsidP="0023489B">
            <w:pPr>
              <w:jc w:val="center"/>
              <w:rPr>
                <w:spacing w:val="-4"/>
                <w:sz w:val="16"/>
                <w:szCs w:val="16"/>
              </w:rPr>
            </w:pPr>
            <w:r>
              <w:rPr>
                <w:spacing w:val="-4"/>
                <w:sz w:val="16"/>
                <w:szCs w:val="16"/>
              </w:rPr>
              <w:t>Третій етап</w:t>
            </w:r>
          </w:p>
        </w:tc>
      </w:tr>
      <w:tr w:rsidR="00B233DE" w:rsidRPr="00F435D2" w:rsidTr="0023489B">
        <w:tc>
          <w:tcPr>
            <w:tcW w:w="1951" w:type="dxa"/>
          </w:tcPr>
          <w:p w:rsidR="00B233DE" w:rsidRPr="00133BE2" w:rsidRDefault="00B233DE" w:rsidP="0023489B">
            <w:pPr>
              <w:jc w:val="both"/>
              <w:rPr>
                <w:sz w:val="16"/>
                <w:szCs w:val="16"/>
              </w:rPr>
            </w:pPr>
            <w:r>
              <w:rPr>
                <w:sz w:val="16"/>
                <w:szCs w:val="16"/>
              </w:rPr>
              <w:t>Р</w:t>
            </w:r>
            <w:r w:rsidRPr="00133BE2">
              <w:rPr>
                <w:sz w:val="16"/>
                <w:szCs w:val="16"/>
              </w:rPr>
              <w:t>озпочинається після великої економічної деп</w:t>
            </w:r>
            <w:r>
              <w:rPr>
                <w:sz w:val="16"/>
                <w:szCs w:val="16"/>
              </w:rPr>
              <w:t>-</w:t>
            </w:r>
            <w:r w:rsidRPr="00133BE2">
              <w:rPr>
                <w:sz w:val="16"/>
                <w:szCs w:val="16"/>
              </w:rPr>
              <w:t>ресії, триває до початку науково-технічної рево</w:t>
            </w:r>
            <w:r>
              <w:rPr>
                <w:sz w:val="16"/>
                <w:szCs w:val="16"/>
              </w:rPr>
              <w:t>-</w:t>
            </w:r>
            <w:r w:rsidRPr="00133BE2">
              <w:rPr>
                <w:sz w:val="16"/>
                <w:szCs w:val="16"/>
              </w:rPr>
              <w:t xml:space="preserve">люції і характеризується </w:t>
            </w:r>
            <w:r>
              <w:rPr>
                <w:spacing w:val="-4"/>
                <w:sz w:val="16"/>
                <w:szCs w:val="16"/>
              </w:rPr>
              <w:t>зміною ролі держави в еко</w:t>
            </w:r>
            <w:r>
              <w:rPr>
                <w:spacing w:val="-6"/>
                <w:sz w:val="16"/>
                <w:szCs w:val="16"/>
              </w:rPr>
              <w:t>номічному житті капіталістичних країн</w:t>
            </w:r>
          </w:p>
        </w:tc>
        <w:tc>
          <w:tcPr>
            <w:tcW w:w="4253" w:type="dxa"/>
          </w:tcPr>
          <w:p w:rsidR="00B233DE" w:rsidRPr="0022527E" w:rsidRDefault="00B233DE" w:rsidP="0023489B">
            <w:pPr>
              <w:ind w:left="-108"/>
              <w:jc w:val="both"/>
              <w:rPr>
                <w:spacing w:val="-4"/>
                <w:sz w:val="16"/>
                <w:szCs w:val="16"/>
              </w:rPr>
            </w:pPr>
            <w:r w:rsidRPr="00133BE2">
              <w:rPr>
                <w:sz w:val="16"/>
                <w:szCs w:val="16"/>
              </w:rPr>
              <w:t>Починає</w:t>
            </w:r>
            <w:r>
              <w:rPr>
                <w:sz w:val="16"/>
                <w:szCs w:val="16"/>
              </w:rPr>
              <w:t>ться на межі 1920-30-х рр., пов’</w:t>
            </w:r>
            <w:r w:rsidRPr="00133BE2">
              <w:rPr>
                <w:sz w:val="16"/>
                <w:szCs w:val="16"/>
              </w:rPr>
              <w:t>язаний зі згортанням НЕПу, проведенням індустрі</w:t>
            </w:r>
            <w:r>
              <w:rPr>
                <w:sz w:val="16"/>
                <w:szCs w:val="16"/>
              </w:rPr>
              <w:t>-</w:t>
            </w:r>
            <w:r w:rsidRPr="00133BE2">
              <w:rPr>
                <w:sz w:val="16"/>
                <w:szCs w:val="16"/>
              </w:rPr>
              <w:t>алізації та колективізації, зміцненням тоталі</w:t>
            </w:r>
            <w:r>
              <w:rPr>
                <w:sz w:val="16"/>
                <w:szCs w:val="16"/>
              </w:rPr>
              <w:t>-</w:t>
            </w:r>
            <w:r w:rsidRPr="009B1954">
              <w:rPr>
                <w:spacing w:val="-6"/>
                <w:sz w:val="16"/>
                <w:szCs w:val="16"/>
              </w:rPr>
              <w:t>тарної політичної системи. Передумовою реа</w:t>
            </w:r>
            <w:r>
              <w:rPr>
                <w:spacing w:val="-6"/>
                <w:sz w:val="16"/>
                <w:szCs w:val="16"/>
              </w:rPr>
              <w:t>-</w:t>
            </w:r>
            <w:r w:rsidRPr="009B1954">
              <w:rPr>
                <w:spacing w:val="-6"/>
                <w:sz w:val="16"/>
                <w:szCs w:val="16"/>
              </w:rPr>
              <w:t>лі</w:t>
            </w:r>
            <w:r w:rsidRPr="00133BE2">
              <w:rPr>
                <w:sz w:val="16"/>
                <w:szCs w:val="16"/>
              </w:rPr>
              <w:t>зації загального плану будівництва соціалізму стає лікві</w:t>
            </w:r>
            <w:r>
              <w:rPr>
                <w:sz w:val="16"/>
                <w:szCs w:val="16"/>
              </w:rPr>
              <w:t>-</w:t>
            </w:r>
            <w:r w:rsidRPr="00133BE2">
              <w:rPr>
                <w:sz w:val="16"/>
                <w:szCs w:val="16"/>
              </w:rPr>
              <w:t>дація в</w:t>
            </w:r>
            <w:r>
              <w:rPr>
                <w:sz w:val="16"/>
                <w:szCs w:val="16"/>
              </w:rPr>
              <w:t>ільних товаровиробників шляхом «розкуркулювання»</w:t>
            </w:r>
            <w:r w:rsidRPr="00133BE2">
              <w:rPr>
                <w:sz w:val="16"/>
                <w:szCs w:val="16"/>
              </w:rPr>
              <w:t xml:space="preserve"> </w:t>
            </w:r>
            <w:r w:rsidRPr="00D55794">
              <w:rPr>
                <w:spacing w:val="-4"/>
                <w:sz w:val="16"/>
                <w:szCs w:val="16"/>
              </w:rPr>
              <w:t>на селі, націоналізації приватних і змішаних підприємств у міс-</w:t>
            </w:r>
            <w:r w:rsidRPr="00133BE2">
              <w:rPr>
                <w:sz w:val="16"/>
                <w:szCs w:val="16"/>
              </w:rPr>
              <w:t>тах.</w:t>
            </w:r>
            <w:r>
              <w:rPr>
                <w:sz w:val="16"/>
                <w:szCs w:val="16"/>
              </w:rPr>
              <w:t xml:space="preserve"> </w:t>
            </w:r>
            <w:r w:rsidRPr="00133BE2">
              <w:rPr>
                <w:sz w:val="16"/>
                <w:szCs w:val="16"/>
              </w:rPr>
              <w:t>Індустріалізація радянської</w:t>
            </w:r>
            <w:r>
              <w:rPr>
                <w:sz w:val="16"/>
                <w:szCs w:val="16"/>
              </w:rPr>
              <w:t xml:space="preserve"> </w:t>
            </w:r>
            <w:r w:rsidRPr="00133BE2">
              <w:rPr>
                <w:sz w:val="16"/>
                <w:szCs w:val="16"/>
              </w:rPr>
              <w:t>економіки</w:t>
            </w:r>
            <w:r>
              <w:rPr>
                <w:sz w:val="16"/>
                <w:szCs w:val="16"/>
              </w:rPr>
              <w:t xml:space="preserve"> </w:t>
            </w:r>
            <w:r w:rsidRPr="00133BE2">
              <w:rPr>
                <w:sz w:val="16"/>
                <w:szCs w:val="16"/>
              </w:rPr>
              <w:t>супроводжується</w:t>
            </w:r>
          </w:p>
        </w:tc>
      </w:tr>
    </w:tbl>
    <w:p w:rsidR="00B233DE" w:rsidRPr="003D4F43" w:rsidRDefault="00B233DE" w:rsidP="00B233DE">
      <w:pPr>
        <w:ind w:firstLine="708"/>
        <w:jc w:val="right"/>
        <w:rPr>
          <w:rFonts w:ascii="Times New Roman" w:hAnsi="Times New Roman" w:cs="Times New Roman"/>
          <w:sz w:val="21"/>
          <w:szCs w:val="21"/>
        </w:rPr>
      </w:pPr>
      <w:r>
        <w:rPr>
          <w:rFonts w:ascii="Times New Roman" w:hAnsi="Times New Roman" w:cs="Times New Roman"/>
          <w:sz w:val="21"/>
          <w:szCs w:val="21"/>
        </w:rPr>
        <w:lastRenderedPageBreak/>
        <w:t>Продовження таблиці 3.2</w:t>
      </w:r>
    </w:p>
    <w:tbl>
      <w:tblPr>
        <w:tblStyle w:val="afe"/>
        <w:tblW w:w="0" w:type="auto"/>
        <w:tblLook w:val="01E0" w:firstRow="1" w:lastRow="1" w:firstColumn="1" w:lastColumn="1" w:noHBand="0" w:noVBand="0"/>
      </w:tblPr>
      <w:tblGrid>
        <w:gridCol w:w="2093"/>
        <w:gridCol w:w="4111"/>
      </w:tblGrid>
      <w:tr w:rsidR="00B233DE" w:rsidRPr="00133BE2" w:rsidTr="0023489B">
        <w:tc>
          <w:tcPr>
            <w:tcW w:w="2093" w:type="dxa"/>
          </w:tcPr>
          <w:p w:rsidR="00B233DE" w:rsidRDefault="00B233DE" w:rsidP="0023489B">
            <w:pPr>
              <w:ind w:left="-108" w:right="-108"/>
              <w:jc w:val="center"/>
              <w:rPr>
                <w:sz w:val="16"/>
                <w:szCs w:val="16"/>
              </w:rPr>
            </w:pPr>
            <w:r>
              <w:rPr>
                <w:sz w:val="16"/>
                <w:szCs w:val="16"/>
              </w:rPr>
              <w:t>1</w:t>
            </w:r>
          </w:p>
        </w:tc>
        <w:tc>
          <w:tcPr>
            <w:tcW w:w="4111" w:type="dxa"/>
          </w:tcPr>
          <w:p w:rsidR="00B233DE" w:rsidRDefault="00B233DE" w:rsidP="0023489B">
            <w:pPr>
              <w:ind w:left="-108" w:right="-108"/>
              <w:jc w:val="center"/>
              <w:rPr>
                <w:sz w:val="16"/>
                <w:szCs w:val="16"/>
              </w:rPr>
            </w:pPr>
            <w:r>
              <w:rPr>
                <w:sz w:val="16"/>
                <w:szCs w:val="16"/>
              </w:rPr>
              <w:t>2</w:t>
            </w:r>
          </w:p>
        </w:tc>
      </w:tr>
      <w:tr w:rsidR="00B233DE" w:rsidRPr="00133BE2" w:rsidTr="0023489B">
        <w:tc>
          <w:tcPr>
            <w:tcW w:w="6204" w:type="dxa"/>
            <w:gridSpan w:val="2"/>
          </w:tcPr>
          <w:p w:rsidR="00B233DE" w:rsidRPr="00133BE2" w:rsidRDefault="00B233DE" w:rsidP="0023489B">
            <w:pPr>
              <w:ind w:left="-108" w:right="-108"/>
              <w:jc w:val="center"/>
              <w:rPr>
                <w:sz w:val="16"/>
                <w:szCs w:val="16"/>
              </w:rPr>
            </w:pPr>
            <w:r>
              <w:rPr>
                <w:sz w:val="16"/>
                <w:szCs w:val="16"/>
              </w:rPr>
              <w:t>Третій етап</w:t>
            </w:r>
          </w:p>
        </w:tc>
      </w:tr>
      <w:tr w:rsidR="00B233DE" w:rsidRPr="00133BE2" w:rsidTr="0023489B">
        <w:tc>
          <w:tcPr>
            <w:tcW w:w="2093" w:type="dxa"/>
          </w:tcPr>
          <w:p w:rsidR="00B233DE" w:rsidRPr="00133BE2" w:rsidRDefault="00B233DE" w:rsidP="0023489B">
            <w:pPr>
              <w:jc w:val="both"/>
              <w:rPr>
                <w:sz w:val="16"/>
                <w:szCs w:val="16"/>
              </w:rPr>
            </w:pPr>
            <w:r w:rsidRPr="00133BE2">
              <w:rPr>
                <w:sz w:val="16"/>
                <w:szCs w:val="16"/>
              </w:rPr>
              <w:t>Криза 1929-1933 рр. роз</w:t>
            </w:r>
            <w:r>
              <w:rPr>
                <w:sz w:val="16"/>
                <w:szCs w:val="16"/>
              </w:rPr>
              <w:t>-</w:t>
            </w:r>
            <w:r w:rsidRPr="00133BE2">
              <w:rPr>
                <w:sz w:val="16"/>
                <w:szCs w:val="16"/>
              </w:rPr>
              <w:t>віює думку про те, що рин</w:t>
            </w:r>
            <w:r>
              <w:rPr>
                <w:sz w:val="16"/>
                <w:szCs w:val="16"/>
              </w:rPr>
              <w:t>-</w:t>
            </w:r>
            <w:r w:rsidRPr="00133BE2">
              <w:rPr>
                <w:sz w:val="16"/>
                <w:szCs w:val="16"/>
              </w:rPr>
              <w:t>кова економіка через вла</w:t>
            </w:r>
            <w:r>
              <w:rPr>
                <w:sz w:val="16"/>
                <w:szCs w:val="16"/>
              </w:rPr>
              <w:t>-</w:t>
            </w:r>
            <w:r w:rsidRPr="00133BE2">
              <w:rPr>
                <w:sz w:val="16"/>
                <w:szCs w:val="16"/>
              </w:rPr>
              <w:t>стиві їй механізми спро</w:t>
            </w:r>
            <w:r>
              <w:rPr>
                <w:sz w:val="16"/>
                <w:szCs w:val="16"/>
              </w:rPr>
              <w:t>-</w:t>
            </w:r>
            <w:r w:rsidRPr="00133BE2">
              <w:rPr>
                <w:sz w:val="16"/>
                <w:szCs w:val="16"/>
              </w:rPr>
              <w:t>можн</w:t>
            </w:r>
            <w:r>
              <w:rPr>
                <w:sz w:val="16"/>
                <w:szCs w:val="16"/>
              </w:rPr>
              <w:t xml:space="preserve">а до саморегулюван-ня, що </w:t>
            </w:r>
            <w:r w:rsidRPr="0022527E">
              <w:rPr>
                <w:spacing w:val="-6"/>
                <w:sz w:val="16"/>
                <w:szCs w:val="16"/>
              </w:rPr>
              <w:t>ринок «автоматично» забезпечує динамічний роз</w:t>
            </w:r>
            <w:r>
              <w:rPr>
                <w:spacing w:val="-6"/>
                <w:sz w:val="16"/>
                <w:szCs w:val="16"/>
              </w:rPr>
              <w:t>-</w:t>
            </w:r>
            <w:r w:rsidRPr="0022527E">
              <w:rPr>
                <w:spacing w:val="-6"/>
                <w:sz w:val="16"/>
                <w:szCs w:val="16"/>
              </w:rPr>
              <w:t>виток.</w:t>
            </w:r>
            <w:r w:rsidRPr="00133BE2">
              <w:rPr>
                <w:sz w:val="16"/>
                <w:szCs w:val="16"/>
              </w:rPr>
              <w:t xml:space="preserve"> </w:t>
            </w:r>
            <w:r>
              <w:rPr>
                <w:sz w:val="16"/>
                <w:szCs w:val="16"/>
              </w:rPr>
              <w:t>З</w:t>
            </w:r>
            <w:r w:rsidRPr="00133BE2">
              <w:rPr>
                <w:sz w:val="16"/>
                <w:szCs w:val="16"/>
              </w:rPr>
              <w:t xml:space="preserve"> ІІ пол. 1930-х рр. держава усе більше втру</w:t>
            </w:r>
            <w:r>
              <w:rPr>
                <w:sz w:val="16"/>
                <w:szCs w:val="16"/>
              </w:rPr>
              <w:t>-</w:t>
            </w:r>
            <w:r w:rsidRPr="00133BE2">
              <w:rPr>
                <w:sz w:val="16"/>
                <w:szCs w:val="16"/>
              </w:rPr>
              <w:t>чається у функціонування ринків праці. Першо</w:t>
            </w:r>
            <w:r w:rsidRPr="00D55794">
              <w:rPr>
                <w:spacing w:val="-6"/>
                <w:sz w:val="16"/>
                <w:szCs w:val="16"/>
              </w:rPr>
              <w:t>черго</w:t>
            </w:r>
            <w:r>
              <w:rPr>
                <w:spacing w:val="-6"/>
                <w:sz w:val="16"/>
                <w:szCs w:val="16"/>
              </w:rPr>
              <w:t>-</w:t>
            </w:r>
            <w:r w:rsidRPr="00D55794">
              <w:rPr>
                <w:spacing w:val="-6"/>
                <w:sz w:val="16"/>
                <w:szCs w:val="16"/>
              </w:rPr>
              <w:t>ва увага приділяється ін-</w:t>
            </w:r>
            <w:r w:rsidRPr="00D55794">
              <w:rPr>
                <w:spacing w:val="-4"/>
                <w:sz w:val="16"/>
                <w:szCs w:val="16"/>
              </w:rPr>
              <w:t>ституційному забезпеченню.</w:t>
            </w:r>
            <w:r w:rsidRPr="00133BE2">
              <w:rPr>
                <w:sz w:val="16"/>
                <w:szCs w:val="16"/>
              </w:rPr>
              <w:t xml:space="preserve"> </w:t>
            </w:r>
          </w:p>
        </w:tc>
        <w:tc>
          <w:tcPr>
            <w:tcW w:w="4111" w:type="dxa"/>
          </w:tcPr>
          <w:p w:rsidR="00B233DE" w:rsidRPr="00133BE2" w:rsidRDefault="00B233DE" w:rsidP="0023489B">
            <w:pPr>
              <w:ind w:left="-108"/>
              <w:jc w:val="both"/>
              <w:rPr>
                <w:sz w:val="16"/>
                <w:szCs w:val="16"/>
              </w:rPr>
            </w:pPr>
            <w:r w:rsidRPr="00133BE2">
              <w:rPr>
                <w:sz w:val="16"/>
                <w:szCs w:val="16"/>
              </w:rPr>
              <w:t>масштабним промисловим будівництвом і вимагає великої кількості додаткових робочих рук. Скасування госпроз</w:t>
            </w:r>
            <w:r>
              <w:rPr>
                <w:sz w:val="16"/>
                <w:szCs w:val="16"/>
              </w:rPr>
              <w:t>-</w:t>
            </w:r>
            <w:r w:rsidRPr="00133BE2">
              <w:rPr>
                <w:sz w:val="16"/>
                <w:szCs w:val="16"/>
              </w:rPr>
              <w:t>рахунку, зрівняльний розподіл, низька кваліфікація і висока плинність кадрів призводить до дефіциту робочої сили, поверненн</w:t>
            </w:r>
            <w:r>
              <w:rPr>
                <w:sz w:val="16"/>
                <w:szCs w:val="16"/>
              </w:rPr>
              <w:t>я</w:t>
            </w:r>
            <w:r w:rsidRPr="00133BE2">
              <w:rPr>
                <w:sz w:val="16"/>
                <w:szCs w:val="16"/>
              </w:rPr>
              <w:t xml:space="preserve"> до засобів часів військового комунізму, використання примусової праці.</w:t>
            </w:r>
          </w:p>
          <w:p w:rsidR="00B233DE" w:rsidRPr="00133BE2" w:rsidRDefault="00B233DE" w:rsidP="0023489B">
            <w:pPr>
              <w:ind w:left="-108"/>
              <w:jc w:val="both"/>
              <w:rPr>
                <w:sz w:val="16"/>
                <w:szCs w:val="16"/>
              </w:rPr>
            </w:pPr>
            <w:r>
              <w:rPr>
                <w:sz w:val="16"/>
                <w:szCs w:val="16"/>
              </w:rPr>
              <w:t>У 1929 р. розпочався період «</w:t>
            </w:r>
            <w:r w:rsidRPr="00133BE2">
              <w:rPr>
                <w:sz w:val="16"/>
                <w:szCs w:val="16"/>
              </w:rPr>
              <w:t>десятиріччя соц</w:t>
            </w:r>
            <w:r>
              <w:rPr>
                <w:sz w:val="16"/>
                <w:szCs w:val="16"/>
              </w:rPr>
              <w:t>іалістичного закріпачення праці»</w:t>
            </w:r>
            <w:r w:rsidRPr="00133BE2">
              <w:rPr>
                <w:sz w:val="16"/>
                <w:szCs w:val="16"/>
              </w:rPr>
              <w:t xml:space="preserve"> – вводяться товариські суди, адміністрації підприємств надається право самостійного застосування санкцій до порушників трудової дисципліни. Працівники закріплюють</w:t>
            </w:r>
            <w:r>
              <w:rPr>
                <w:sz w:val="16"/>
                <w:szCs w:val="16"/>
              </w:rPr>
              <w:t>ся за підприємствами до кінця п’</w:t>
            </w:r>
            <w:r w:rsidRPr="00133BE2">
              <w:rPr>
                <w:sz w:val="16"/>
                <w:szCs w:val="16"/>
              </w:rPr>
              <w:t xml:space="preserve">ятирічки, за будівельними організаціями </w:t>
            </w:r>
            <w:r>
              <w:rPr>
                <w:sz w:val="16"/>
                <w:szCs w:val="16"/>
              </w:rPr>
              <w:t>–</w:t>
            </w:r>
            <w:r w:rsidRPr="00133BE2">
              <w:rPr>
                <w:sz w:val="16"/>
                <w:szCs w:val="16"/>
              </w:rPr>
              <w:t xml:space="preserve"> до закінчення будівництва. </w:t>
            </w:r>
          </w:p>
        </w:tc>
      </w:tr>
      <w:tr w:rsidR="00B233DE" w:rsidRPr="00133BE2" w:rsidTr="0023489B">
        <w:tc>
          <w:tcPr>
            <w:tcW w:w="6204" w:type="dxa"/>
            <w:gridSpan w:val="2"/>
          </w:tcPr>
          <w:p w:rsidR="00B233DE" w:rsidRPr="00133BE2" w:rsidRDefault="00B233DE" w:rsidP="0023489B">
            <w:pPr>
              <w:jc w:val="center"/>
              <w:rPr>
                <w:sz w:val="16"/>
                <w:szCs w:val="16"/>
              </w:rPr>
            </w:pPr>
            <w:r>
              <w:rPr>
                <w:sz w:val="16"/>
                <w:szCs w:val="16"/>
              </w:rPr>
              <w:t>Четвертий етап</w:t>
            </w:r>
          </w:p>
        </w:tc>
      </w:tr>
      <w:tr w:rsidR="00B233DE" w:rsidRPr="00133BE2" w:rsidTr="0023489B">
        <w:tc>
          <w:tcPr>
            <w:tcW w:w="2093" w:type="dxa"/>
          </w:tcPr>
          <w:p w:rsidR="00B233DE" w:rsidRDefault="00B233DE" w:rsidP="0023489B">
            <w:pPr>
              <w:jc w:val="both"/>
              <w:rPr>
                <w:sz w:val="16"/>
                <w:szCs w:val="16"/>
              </w:rPr>
            </w:pPr>
            <w:r w:rsidRPr="00133BE2">
              <w:rPr>
                <w:sz w:val="16"/>
                <w:szCs w:val="16"/>
              </w:rPr>
              <w:t>По</w:t>
            </w:r>
            <w:r>
              <w:rPr>
                <w:sz w:val="16"/>
                <w:szCs w:val="16"/>
              </w:rPr>
              <w:t>в’</w:t>
            </w:r>
            <w:r w:rsidRPr="00133BE2">
              <w:rPr>
                <w:sz w:val="16"/>
                <w:szCs w:val="16"/>
              </w:rPr>
              <w:t>язаний із науково-тех</w:t>
            </w:r>
            <w:r>
              <w:rPr>
                <w:sz w:val="16"/>
                <w:szCs w:val="16"/>
              </w:rPr>
              <w:t>-</w:t>
            </w:r>
            <w:r w:rsidRPr="00133BE2">
              <w:rPr>
                <w:sz w:val="16"/>
                <w:szCs w:val="16"/>
              </w:rPr>
              <w:t>нічною революцією, яка в ІІ пол. XX ст. озна</w:t>
            </w:r>
            <w:r w:rsidRPr="00D55794">
              <w:rPr>
                <w:spacing w:val="-8"/>
                <w:sz w:val="16"/>
                <w:szCs w:val="16"/>
              </w:rPr>
              <w:t>менува</w:t>
            </w:r>
            <w:r>
              <w:rPr>
                <w:spacing w:val="-8"/>
                <w:sz w:val="16"/>
                <w:szCs w:val="16"/>
              </w:rPr>
              <w:t>-</w:t>
            </w:r>
            <w:r w:rsidRPr="00D55794">
              <w:rPr>
                <w:spacing w:val="-8"/>
                <w:sz w:val="16"/>
                <w:szCs w:val="16"/>
              </w:rPr>
              <w:t>ла новий етап суспіль</w:t>
            </w:r>
            <w:r w:rsidRPr="00D55794">
              <w:rPr>
                <w:spacing w:val="-6"/>
                <w:sz w:val="16"/>
                <w:szCs w:val="16"/>
              </w:rPr>
              <w:t>ного по</w:t>
            </w:r>
            <w:r>
              <w:rPr>
                <w:spacing w:val="-6"/>
                <w:sz w:val="16"/>
                <w:szCs w:val="16"/>
              </w:rPr>
              <w:t>-</w:t>
            </w:r>
            <w:r w:rsidRPr="00413A60">
              <w:rPr>
                <w:spacing w:val="-8"/>
                <w:sz w:val="16"/>
                <w:szCs w:val="16"/>
              </w:rPr>
              <w:t>ділу праці, перерозподілу робочої сили. Головною ознакою</w:t>
            </w:r>
            <w:r>
              <w:rPr>
                <w:sz w:val="16"/>
                <w:szCs w:val="16"/>
              </w:rPr>
              <w:t xml:space="preserve"> </w:t>
            </w:r>
            <w:r w:rsidRPr="00D55794">
              <w:rPr>
                <w:spacing w:val="-6"/>
                <w:sz w:val="16"/>
                <w:szCs w:val="16"/>
              </w:rPr>
              <w:t>«постіндустріаль</w:t>
            </w:r>
            <w:r>
              <w:rPr>
                <w:spacing w:val="-6"/>
                <w:sz w:val="16"/>
                <w:szCs w:val="16"/>
              </w:rPr>
              <w:t>-ного» сус</w:t>
            </w:r>
            <w:r w:rsidRPr="00133BE2">
              <w:rPr>
                <w:sz w:val="16"/>
                <w:szCs w:val="16"/>
              </w:rPr>
              <w:t>пільства стає панування науки, перехід від виробництва товарів до виробництва пос</w:t>
            </w:r>
            <w:r>
              <w:rPr>
                <w:sz w:val="16"/>
                <w:szCs w:val="16"/>
              </w:rPr>
              <w:t>луг, пере-вага серед працівників «</w:t>
            </w:r>
            <w:r w:rsidRPr="00133BE2">
              <w:rPr>
                <w:sz w:val="16"/>
                <w:szCs w:val="16"/>
              </w:rPr>
              <w:t>класу</w:t>
            </w:r>
            <w:r>
              <w:rPr>
                <w:sz w:val="16"/>
                <w:szCs w:val="16"/>
              </w:rPr>
              <w:t>»</w:t>
            </w:r>
            <w:r w:rsidRPr="00133BE2">
              <w:rPr>
                <w:sz w:val="16"/>
                <w:szCs w:val="16"/>
              </w:rPr>
              <w:t xml:space="preserve"> </w:t>
            </w:r>
            <w:r w:rsidRPr="00413A60">
              <w:rPr>
                <w:spacing w:val="-6"/>
                <w:sz w:val="16"/>
                <w:szCs w:val="16"/>
              </w:rPr>
              <w:t>професіоналів. Від</w:t>
            </w:r>
            <w:r>
              <w:rPr>
                <w:spacing w:val="-6"/>
                <w:sz w:val="16"/>
                <w:szCs w:val="16"/>
              </w:rPr>
              <w:t>-</w:t>
            </w:r>
            <w:r w:rsidRPr="00413A60">
              <w:rPr>
                <w:spacing w:val="-6"/>
                <w:sz w:val="16"/>
                <w:szCs w:val="16"/>
              </w:rPr>
              <w:t>буваються</w:t>
            </w:r>
            <w:r w:rsidRPr="00133BE2">
              <w:rPr>
                <w:sz w:val="16"/>
                <w:szCs w:val="16"/>
              </w:rPr>
              <w:t xml:space="preserve"> </w:t>
            </w:r>
            <w:r w:rsidRPr="00413A60">
              <w:rPr>
                <w:spacing w:val="-6"/>
                <w:sz w:val="16"/>
                <w:szCs w:val="16"/>
              </w:rPr>
              <w:t>якісні перетво</w:t>
            </w:r>
            <w:r>
              <w:rPr>
                <w:spacing w:val="-6"/>
                <w:sz w:val="16"/>
                <w:szCs w:val="16"/>
              </w:rPr>
              <w:t>-</w:t>
            </w:r>
            <w:r w:rsidRPr="00413A60">
              <w:rPr>
                <w:spacing w:val="-6"/>
                <w:sz w:val="16"/>
                <w:szCs w:val="16"/>
              </w:rPr>
              <w:t>рення всіх еле</w:t>
            </w:r>
            <w:r w:rsidRPr="00133BE2">
              <w:rPr>
                <w:sz w:val="16"/>
                <w:szCs w:val="16"/>
              </w:rPr>
              <w:t>ментів про</w:t>
            </w:r>
            <w:r>
              <w:rPr>
                <w:sz w:val="16"/>
                <w:szCs w:val="16"/>
              </w:rPr>
              <w:t>-</w:t>
            </w:r>
            <w:r w:rsidRPr="00133BE2">
              <w:rPr>
                <w:sz w:val="16"/>
                <w:szCs w:val="16"/>
              </w:rPr>
              <w:t>дуктивних сил. Змінюється галузева і професійна стру</w:t>
            </w:r>
            <w:r>
              <w:rPr>
                <w:sz w:val="16"/>
                <w:szCs w:val="16"/>
              </w:rPr>
              <w:t>-</w:t>
            </w:r>
            <w:r w:rsidRPr="00133BE2">
              <w:rPr>
                <w:sz w:val="16"/>
                <w:szCs w:val="16"/>
              </w:rPr>
              <w:t>ктура робочої сили на користь радіоелектроніки й електротех</w:t>
            </w:r>
            <w:r w:rsidRPr="00413A60">
              <w:rPr>
                <w:spacing w:val="-6"/>
                <w:sz w:val="16"/>
                <w:szCs w:val="16"/>
              </w:rPr>
              <w:t>ніки, хімії. За 20 років у роз</w:t>
            </w:r>
            <w:r w:rsidRPr="00133BE2">
              <w:rPr>
                <w:sz w:val="16"/>
                <w:szCs w:val="16"/>
              </w:rPr>
              <w:t xml:space="preserve">винених країнах зайнятість </w:t>
            </w:r>
            <w:r w:rsidRPr="00413A60">
              <w:rPr>
                <w:spacing w:val="-6"/>
                <w:sz w:val="16"/>
                <w:szCs w:val="16"/>
              </w:rPr>
              <w:t>у сфері послуг зростає майже</w:t>
            </w:r>
            <w:r w:rsidRPr="00133BE2">
              <w:rPr>
                <w:sz w:val="16"/>
                <w:szCs w:val="16"/>
              </w:rPr>
              <w:t xml:space="preserve"> </w:t>
            </w:r>
            <w:r w:rsidRPr="00413A60">
              <w:rPr>
                <w:spacing w:val="-6"/>
                <w:sz w:val="16"/>
                <w:szCs w:val="16"/>
              </w:rPr>
              <w:t>у 1,5 рази.</w:t>
            </w:r>
            <w:r w:rsidRPr="00133BE2">
              <w:rPr>
                <w:sz w:val="16"/>
                <w:szCs w:val="16"/>
              </w:rPr>
              <w:t xml:space="preserve"> </w:t>
            </w:r>
          </w:p>
          <w:p w:rsidR="00B233DE" w:rsidRPr="00133BE2" w:rsidRDefault="00B233DE" w:rsidP="0023489B">
            <w:pPr>
              <w:jc w:val="both"/>
              <w:rPr>
                <w:sz w:val="16"/>
                <w:szCs w:val="16"/>
              </w:rPr>
            </w:pPr>
            <w:r w:rsidRPr="00133BE2">
              <w:rPr>
                <w:sz w:val="16"/>
                <w:szCs w:val="16"/>
              </w:rPr>
              <w:t>Для даного етапу еволюції ринку праці все більш характерним є удоскона</w:t>
            </w:r>
            <w:r>
              <w:rPr>
                <w:sz w:val="16"/>
                <w:szCs w:val="16"/>
              </w:rPr>
              <w:t>-</w:t>
            </w:r>
            <w:r w:rsidRPr="00133BE2">
              <w:rPr>
                <w:sz w:val="16"/>
                <w:szCs w:val="16"/>
              </w:rPr>
              <w:t>лення його інфраструк</w:t>
            </w:r>
            <w:r>
              <w:rPr>
                <w:sz w:val="16"/>
                <w:szCs w:val="16"/>
              </w:rPr>
              <w:t>-</w:t>
            </w:r>
            <w:r w:rsidRPr="00133BE2">
              <w:rPr>
                <w:sz w:val="16"/>
                <w:szCs w:val="16"/>
              </w:rPr>
              <w:t xml:space="preserve">тури, </w:t>
            </w:r>
            <w:r w:rsidRPr="00413A60">
              <w:rPr>
                <w:spacing w:val="-6"/>
                <w:sz w:val="16"/>
                <w:szCs w:val="16"/>
              </w:rPr>
              <w:t>ускладнення правових норм,</w:t>
            </w:r>
            <w:r w:rsidRPr="00133BE2">
              <w:rPr>
                <w:sz w:val="16"/>
                <w:szCs w:val="16"/>
              </w:rPr>
              <w:t xml:space="preserve"> що регулюють зайня</w:t>
            </w:r>
            <w:r>
              <w:rPr>
                <w:sz w:val="16"/>
                <w:szCs w:val="16"/>
              </w:rPr>
              <w:t>-</w:t>
            </w:r>
            <w:r w:rsidRPr="00133BE2">
              <w:rPr>
                <w:sz w:val="16"/>
                <w:szCs w:val="16"/>
              </w:rPr>
              <w:t>тість. Широка пропозиція кредит</w:t>
            </w:r>
            <w:r w:rsidRPr="00413A60">
              <w:rPr>
                <w:spacing w:val="-6"/>
                <w:sz w:val="16"/>
                <w:szCs w:val="16"/>
              </w:rPr>
              <w:t>них ресурсів створює сприят</w:t>
            </w:r>
            <w:r w:rsidRPr="00133BE2">
              <w:rPr>
                <w:sz w:val="16"/>
                <w:szCs w:val="16"/>
              </w:rPr>
              <w:t>ливі умо</w:t>
            </w:r>
            <w:r>
              <w:rPr>
                <w:sz w:val="16"/>
                <w:szCs w:val="16"/>
              </w:rPr>
              <w:t>ви для розвитку малого бізнесу</w:t>
            </w:r>
            <w:r w:rsidRPr="00133BE2">
              <w:rPr>
                <w:sz w:val="16"/>
                <w:szCs w:val="16"/>
              </w:rPr>
              <w:t xml:space="preserve">. </w:t>
            </w:r>
          </w:p>
        </w:tc>
        <w:tc>
          <w:tcPr>
            <w:tcW w:w="4111" w:type="dxa"/>
          </w:tcPr>
          <w:p w:rsidR="00B233DE" w:rsidRDefault="00B233DE" w:rsidP="0023489B">
            <w:pPr>
              <w:ind w:left="-108" w:firstLine="108"/>
              <w:jc w:val="both"/>
              <w:rPr>
                <w:sz w:val="16"/>
                <w:szCs w:val="16"/>
              </w:rPr>
            </w:pPr>
            <w:r>
              <w:rPr>
                <w:sz w:val="16"/>
                <w:szCs w:val="16"/>
              </w:rPr>
              <w:t>Р</w:t>
            </w:r>
            <w:r w:rsidRPr="00133BE2">
              <w:rPr>
                <w:sz w:val="16"/>
                <w:szCs w:val="16"/>
              </w:rPr>
              <w:t>озпочинається в середині 1950-х рр. і характеризується лібералізацією трудових відносин, формуванням додаткових елементів, притаманних ринку. Найбільш одіозні закони й підзаконні акти, що регулюють трудові відносини і зай</w:t>
            </w:r>
            <w:r>
              <w:rPr>
                <w:sz w:val="16"/>
                <w:szCs w:val="16"/>
              </w:rPr>
              <w:t>-</w:t>
            </w:r>
            <w:r w:rsidRPr="00133BE2">
              <w:rPr>
                <w:sz w:val="16"/>
                <w:szCs w:val="16"/>
              </w:rPr>
              <w:t>нятість скасовуються. З другої половини 1950-х рр. праців</w:t>
            </w:r>
            <w:r>
              <w:rPr>
                <w:sz w:val="16"/>
                <w:szCs w:val="16"/>
              </w:rPr>
              <w:t>-</w:t>
            </w:r>
            <w:r w:rsidRPr="00133BE2">
              <w:rPr>
                <w:sz w:val="16"/>
                <w:szCs w:val="16"/>
              </w:rPr>
              <w:t xml:space="preserve">ники можуть самостійно вибирати місце роботи та змінювати </w:t>
            </w:r>
            <w:r w:rsidRPr="00413A60">
              <w:rPr>
                <w:spacing w:val="-6"/>
                <w:sz w:val="16"/>
                <w:szCs w:val="16"/>
              </w:rPr>
              <w:t>його. У 1956 р. ліквідовується судова відповідальність за прогули</w:t>
            </w:r>
            <w:r w:rsidRPr="00133BE2">
              <w:rPr>
                <w:sz w:val="16"/>
                <w:szCs w:val="16"/>
              </w:rPr>
              <w:t xml:space="preserve"> і самовільне залишення роботи. У 1960 р. Встановлюється 41-годинний робочий тиждень. У 1960-ті рр. розкріпачення колгоспників </w:t>
            </w:r>
            <w:r>
              <w:rPr>
                <w:sz w:val="16"/>
                <w:szCs w:val="16"/>
              </w:rPr>
              <w:t>–</w:t>
            </w:r>
            <w:r w:rsidRPr="00133BE2">
              <w:rPr>
                <w:sz w:val="16"/>
                <w:szCs w:val="16"/>
              </w:rPr>
              <w:t xml:space="preserve"> вони, нарешті, отримали право на паспорти і вільний вибір місця проживання. У 1970-80-х рр. ринок праці України, як і всього СРСР, характеризується поступовим посиленням ролі економічних стимулів. Але не дивлячись на це, він залишається дуже деформованим, що дає підстави багатьом дослідникам спростовувати ідею існування в СРСР ринку праці взагалі. </w:t>
            </w:r>
          </w:p>
          <w:p w:rsidR="00B233DE" w:rsidRPr="00133BE2" w:rsidRDefault="00B233DE" w:rsidP="0023489B">
            <w:pPr>
              <w:ind w:left="-108" w:firstLine="108"/>
              <w:jc w:val="both"/>
              <w:rPr>
                <w:sz w:val="16"/>
                <w:szCs w:val="16"/>
              </w:rPr>
            </w:pPr>
            <w:r w:rsidRPr="00133BE2">
              <w:rPr>
                <w:sz w:val="16"/>
                <w:szCs w:val="16"/>
              </w:rPr>
              <w:t>Деформації радянського ринку праці мали місце також через обмеження права людини вільно розпоряджатися своєю робочою силою. До 1991 р. праця в Україні, як</w:t>
            </w:r>
            <w:r>
              <w:rPr>
                <w:sz w:val="16"/>
                <w:szCs w:val="16"/>
              </w:rPr>
              <w:t xml:space="preserve"> і в цілому в СРСР, носить обов’</w:t>
            </w:r>
            <w:r w:rsidRPr="00133BE2">
              <w:rPr>
                <w:sz w:val="16"/>
                <w:szCs w:val="16"/>
              </w:rPr>
              <w:t>язковий характер. Таким чином, в умовах пізнього радянського соціалізму існував ринок праці, але він був надзвичайно обмеженим і деформованим.</w:t>
            </w:r>
          </w:p>
          <w:p w:rsidR="00B233DE" w:rsidRPr="00133BE2" w:rsidRDefault="00B233DE" w:rsidP="0023489B">
            <w:pPr>
              <w:ind w:left="-108" w:firstLine="108"/>
              <w:jc w:val="both"/>
              <w:rPr>
                <w:sz w:val="16"/>
                <w:szCs w:val="16"/>
              </w:rPr>
            </w:pPr>
            <w:r w:rsidRPr="00133BE2">
              <w:rPr>
                <w:sz w:val="16"/>
                <w:szCs w:val="16"/>
              </w:rPr>
              <w:t xml:space="preserve">Ще наприкінці 1980-х рр. союзні органи влади роблять спробу лібералізації економічних відносин, дозволивши індивідуальну трудову діяльність, оренду державної власності, створення спочатку кооперативів, а потім </w:t>
            </w:r>
            <w:r>
              <w:rPr>
                <w:sz w:val="16"/>
                <w:szCs w:val="16"/>
              </w:rPr>
              <w:t>–</w:t>
            </w:r>
            <w:r w:rsidRPr="00133BE2">
              <w:rPr>
                <w:sz w:val="16"/>
                <w:szCs w:val="16"/>
              </w:rPr>
              <w:t xml:space="preserve"> акціонерних і інших товариств, малих і спільних підприємств. Деяких змін зазнало трудове законодавство, зокрема, були зняті обмеження на суміщення і сумісництво, на працю пенсіонерів.</w:t>
            </w:r>
          </w:p>
        </w:tc>
      </w:tr>
    </w:tbl>
    <w:p w:rsidR="00B233DE" w:rsidRPr="003D4F43" w:rsidRDefault="00B233DE" w:rsidP="00B233DE">
      <w:pPr>
        <w:ind w:firstLine="708"/>
        <w:jc w:val="right"/>
        <w:rPr>
          <w:rFonts w:ascii="Times New Roman" w:hAnsi="Times New Roman" w:cs="Times New Roman"/>
          <w:sz w:val="21"/>
          <w:szCs w:val="21"/>
        </w:rPr>
      </w:pPr>
      <w:r>
        <w:rPr>
          <w:rFonts w:ascii="Times New Roman" w:hAnsi="Times New Roman" w:cs="Times New Roman"/>
          <w:sz w:val="21"/>
          <w:szCs w:val="21"/>
        </w:rPr>
        <w:lastRenderedPageBreak/>
        <w:t>Продовження таблиці 3.2</w:t>
      </w:r>
    </w:p>
    <w:tbl>
      <w:tblPr>
        <w:tblStyle w:val="afe"/>
        <w:tblW w:w="0" w:type="auto"/>
        <w:tblLook w:val="01E0" w:firstRow="1" w:lastRow="1" w:firstColumn="1" w:lastColumn="1" w:noHBand="0" w:noVBand="0"/>
      </w:tblPr>
      <w:tblGrid>
        <w:gridCol w:w="1951"/>
        <w:gridCol w:w="1151"/>
        <w:gridCol w:w="3102"/>
      </w:tblGrid>
      <w:tr w:rsidR="00B233DE" w:rsidRPr="00133BE2" w:rsidTr="0023489B">
        <w:tc>
          <w:tcPr>
            <w:tcW w:w="3102" w:type="dxa"/>
            <w:gridSpan w:val="2"/>
          </w:tcPr>
          <w:p w:rsidR="00B233DE" w:rsidRDefault="00B233DE" w:rsidP="0023489B">
            <w:pPr>
              <w:ind w:left="-108" w:right="-108"/>
              <w:jc w:val="center"/>
              <w:rPr>
                <w:sz w:val="16"/>
                <w:szCs w:val="16"/>
              </w:rPr>
            </w:pPr>
            <w:r>
              <w:rPr>
                <w:sz w:val="16"/>
                <w:szCs w:val="16"/>
              </w:rPr>
              <w:t>1</w:t>
            </w:r>
          </w:p>
        </w:tc>
        <w:tc>
          <w:tcPr>
            <w:tcW w:w="3102" w:type="dxa"/>
          </w:tcPr>
          <w:p w:rsidR="00B233DE" w:rsidRDefault="00B233DE" w:rsidP="0023489B">
            <w:pPr>
              <w:ind w:left="-108" w:right="-108"/>
              <w:jc w:val="center"/>
              <w:rPr>
                <w:sz w:val="16"/>
                <w:szCs w:val="16"/>
              </w:rPr>
            </w:pPr>
            <w:r>
              <w:rPr>
                <w:sz w:val="16"/>
                <w:szCs w:val="16"/>
              </w:rPr>
              <w:t>2</w:t>
            </w:r>
          </w:p>
        </w:tc>
      </w:tr>
      <w:tr w:rsidR="00B233DE" w:rsidRPr="00133BE2" w:rsidTr="0023489B">
        <w:tc>
          <w:tcPr>
            <w:tcW w:w="6204" w:type="dxa"/>
            <w:gridSpan w:val="3"/>
          </w:tcPr>
          <w:p w:rsidR="00B233DE" w:rsidRPr="00133BE2" w:rsidRDefault="00B233DE" w:rsidP="0023489B">
            <w:pPr>
              <w:ind w:left="-108" w:right="-108"/>
              <w:jc w:val="center"/>
              <w:rPr>
                <w:sz w:val="16"/>
                <w:szCs w:val="16"/>
              </w:rPr>
            </w:pPr>
            <w:r>
              <w:rPr>
                <w:sz w:val="16"/>
                <w:szCs w:val="16"/>
              </w:rPr>
              <w:t>П’ятий етап</w:t>
            </w:r>
          </w:p>
        </w:tc>
      </w:tr>
      <w:tr w:rsidR="00B233DE" w:rsidRPr="00133BE2" w:rsidTr="0023489B">
        <w:tc>
          <w:tcPr>
            <w:tcW w:w="1951" w:type="dxa"/>
          </w:tcPr>
          <w:p w:rsidR="00B233DE" w:rsidRPr="00133BE2" w:rsidRDefault="00B233DE" w:rsidP="0023489B">
            <w:pPr>
              <w:ind w:left="-142" w:right="-108"/>
              <w:rPr>
                <w:sz w:val="16"/>
                <w:szCs w:val="16"/>
              </w:rPr>
            </w:pPr>
          </w:p>
        </w:tc>
        <w:tc>
          <w:tcPr>
            <w:tcW w:w="4253" w:type="dxa"/>
            <w:gridSpan w:val="2"/>
          </w:tcPr>
          <w:p w:rsidR="00B233DE" w:rsidRPr="00133BE2" w:rsidRDefault="00B233DE" w:rsidP="0023489B">
            <w:pPr>
              <w:ind w:left="-108" w:firstLine="142"/>
              <w:jc w:val="both"/>
              <w:rPr>
                <w:sz w:val="16"/>
                <w:szCs w:val="16"/>
              </w:rPr>
            </w:pPr>
            <w:r>
              <w:rPr>
                <w:sz w:val="16"/>
                <w:szCs w:val="16"/>
              </w:rPr>
              <w:t>Б</w:t>
            </w:r>
            <w:r w:rsidRPr="00133BE2">
              <w:rPr>
                <w:sz w:val="16"/>
                <w:szCs w:val="16"/>
              </w:rPr>
              <w:t>ере свій початок н</w:t>
            </w:r>
            <w:r>
              <w:rPr>
                <w:sz w:val="16"/>
                <w:szCs w:val="16"/>
              </w:rPr>
              <w:t>а межі 1980-1990-х рр. під час «перебудови»</w:t>
            </w:r>
            <w:r w:rsidRPr="00133BE2">
              <w:rPr>
                <w:sz w:val="16"/>
                <w:szCs w:val="16"/>
              </w:rPr>
              <w:t xml:space="preserve"> і набуття Україною незалежності. Подальшому реформуванню трудових відносин, стимулюванню приватного підприємництва і нових форм господарювання - основи повноцінного ринку праці </w:t>
            </w:r>
            <w:r>
              <w:rPr>
                <w:sz w:val="16"/>
                <w:szCs w:val="16"/>
              </w:rPr>
              <w:t>–</w:t>
            </w:r>
            <w:r w:rsidRPr="00133BE2">
              <w:rPr>
                <w:sz w:val="16"/>
                <w:szCs w:val="16"/>
              </w:rPr>
              <w:t xml:space="preserve"> сприяє прийняття у 1990-91-х рр. Верховною Радою України низки законів, спрямованих на ринкову тр</w:t>
            </w:r>
            <w:r>
              <w:rPr>
                <w:sz w:val="16"/>
                <w:szCs w:val="16"/>
              </w:rPr>
              <w:t>ансформацію економіки, а саме: «Про підприємництво», «</w:t>
            </w:r>
            <w:r w:rsidRPr="00133BE2">
              <w:rPr>
                <w:sz w:val="16"/>
                <w:szCs w:val="16"/>
              </w:rPr>
              <w:t xml:space="preserve">Про </w:t>
            </w:r>
            <w:r>
              <w:rPr>
                <w:sz w:val="16"/>
                <w:szCs w:val="16"/>
              </w:rPr>
              <w:t>власність», «Про підприємства в Україні», «</w:t>
            </w:r>
            <w:r w:rsidRPr="00133BE2">
              <w:rPr>
                <w:sz w:val="16"/>
                <w:szCs w:val="16"/>
              </w:rPr>
              <w:t>Пр</w:t>
            </w:r>
            <w:r>
              <w:rPr>
                <w:sz w:val="16"/>
                <w:szCs w:val="16"/>
              </w:rPr>
              <w:t>о банки і банківську діяльність», «Про господарські товариства», «Про приватизацію»</w:t>
            </w:r>
            <w:r w:rsidRPr="00133BE2">
              <w:rPr>
                <w:sz w:val="16"/>
                <w:szCs w:val="16"/>
              </w:rPr>
              <w:t xml:space="preserve">. На розвиток ринкових відносин у сфері праці були спрямовані зміни і доповнення у </w:t>
            </w:r>
            <w:r>
              <w:rPr>
                <w:sz w:val="16"/>
                <w:szCs w:val="16"/>
              </w:rPr>
              <w:t>КЗпП, прийняття Закону України «</w:t>
            </w:r>
            <w:r w:rsidRPr="00133BE2">
              <w:rPr>
                <w:sz w:val="16"/>
                <w:szCs w:val="16"/>
              </w:rPr>
              <w:t>Про зайнятіст</w:t>
            </w:r>
            <w:r>
              <w:rPr>
                <w:sz w:val="16"/>
                <w:szCs w:val="16"/>
              </w:rPr>
              <w:t>ь населення»</w:t>
            </w:r>
            <w:r w:rsidRPr="00133BE2">
              <w:rPr>
                <w:sz w:val="16"/>
                <w:szCs w:val="16"/>
              </w:rPr>
              <w:t>. Був скасований примус до праці, легалізовано безробіття, розпочато формування інфра</w:t>
            </w:r>
            <w:r>
              <w:rPr>
                <w:sz w:val="16"/>
                <w:szCs w:val="16"/>
              </w:rPr>
              <w:t>-</w:t>
            </w:r>
            <w:r w:rsidRPr="00133BE2">
              <w:rPr>
                <w:sz w:val="16"/>
                <w:szCs w:val="16"/>
              </w:rPr>
              <w:t xml:space="preserve">структури ринку праці </w:t>
            </w:r>
            <w:r>
              <w:rPr>
                <w:sz w:val="16"/>
                <w:szCs w:val="16"/>
              </w:rPr>
              <w:t>–</w:t>
            </w:r>
            <w:r w:rsidRPr="00133BE2">
              <w:rPr>
                <w:sz w:val="16"/>
                <w:szCs w:val="16"/>
              </w:rPr>
              <w:t xml:space="preserve"> державної служби зайнятості і фонду сприяння зайнятості населення.</w:t>
            </w:r>
          </w:p>
        </w:tc>
      </w:tr>
    </w:tbl>
    <w:p w:rsidR="00B233DE" w:rsidRDefault="00B233DE" w:rsidP="00B233DE">
      <w:pPr>
        <w:pStyle w:val="aff5"/>
        <w:spacing w:before="0" w:beforeAutospacing="0" w:after="0" w:afterAutospacing="0"/>
        <w:ind w:firstLine="720"/>
        <w:jc w:val="both"/>
        <w:rPr>
          <w:sz w:val="21"/>
          <w:szCs w:val="21"/>
        </w:rPr>
      </w:pPr>
    </w:p>
    <w:p w:rsidR="00B233DE" w:rsidRPr="003D4F43" w:rsidRDefault="00B233DE" w:rsidP="00B233DE">
      <w:pPr>
        <w:pStyle w:val="aff5"/>
        <w:spacing w:before="0" w:beforeAutospacing="0" w:after="0" w:afterAutospacing="0"/>
        <w:ind w:firstLine="720"/>
        <w:jc w:val="both"/>
        <w:rPr>
          <w:sz w:val="21"/>
          <w:szCs w:val="21"/>
        </w:rPr>
      </w:pPr>
      <w:r w:rsidRPr="003D4F43">
        <w:rPr>
          <w:sz w:val="21"/>
          <w:szCs w:val="21"/>
        </w:rPr>
        <w:t xml:space="preserve">До загальних рис їх формування можна віднести такі як: досить високий рівень розвитку товарно-грошових відносин; наявність двох великих груп людей (класів) </w:t>
      </w:r>
      <w:r>
        <w:rPr>
          <w:sz w:val="21"/>
          <w:szCs w:val="21"/>
        </w:rPr>
        <w:t>–</w:t>
      </w:r>
      <w:r w:rsidRPr="003D4F43">
        <w:rPr>
          <w:sz w:val="21"/>
          <w:szCs w:val="21"/>
        </w:rPr>
        <w:t xml:space="preserve"> тих, хто має засоби виробництва й обігові кошти, властивості до підприємництва, і, тих, хто не має інших джерел існування, крім доходу від продажу своєї робочої сили; можливість носіїв робочої сили вільно розпоряджатися нею, у тому числі й продавати її; інституційне, перш за все правове забезпечення ефективного функціонування ринку праці.</w:t>
      </w:r>
    </w:p>
    <w:p w:rsidR="00B233DE" w:rsidRPr="003D4F43" w:rsidRDefault="00B233DE" w:rsidP="00B233DE">
      <w:pPr>
        <w:pStyle w:val="aff5"/>
        <w:spacing w:before="0" w:beforeAutospacing="0" w:after="0" w:afterAutospacing="0"/>
        <w:ind w:firstLine="720"/>
        <w:jc w:val="both"/>
        <w:rPr>
          <w:sz w:val="21"/>
          <w:szCs w:val="21"/>
        </w:rPr>
      </w:pPr>
      <w:r w:rsidRPr="003D4F43">
        <w:rPr>
          <w:sz w:val="21"/>
          <w:szCs w:val="21"/>
        </w:rPr>
        <w:t xml:space="preserve">До відмінностей у процесі розвитку ринків праці України й західних країн слід віднести наступні: західні ринки праці розвивалися в основному еволюційним шляхом – зміна етапів відбувалася під впливом поступових змін у техніці й технологіях, рівному розвитку продуктивних сил у цілому. Розвиток ринку праці України відбувався під впливом соціально-політичних факторів і подій: 1861 р. </w:t>
      </w:r>
      <w:r>
        <w:rPr>
          <w:sz w:val="21"/>
          <w:szCs w:val="21"/>
        </w:rPr>
        <w:t>–</w:t>
      </w:r>
      <w:r w:rsidRPr="003D4F43">
        <w:rPr>
          <w:sz w:val="21"/>
          <w:szCs w:val="21"/>
        </w:rPr>
        <w:t xml:space="preserve"> відміна кріпосного права; 1917 р. </w:t>
      </w:r>
      <w:r>
        <w:rPr>
          <w:sz w:val="21"/>
          <w:szCs w:val="21"/>
        </w:rPr>
        <w:t>–</w:t>
      </w:r>
      <w:r w:rsidRPr="003D4F43">
        <w:rPr>
          <w:sz w:val="21"/>
          <w:szCs w:val="21"/>
        </w:rPr>
        <w:t xml:space="preserve"> соціалістична революція; 1921 р. </w:t>
      </w:r>
      <w:r>
        <w:rPr>
          <w:sz w:val="21"/>
          <w:szCs w:val="21"/>
        </w:rPr>
        <w:t>–</w:t>
      </w:r>
      <w:r w:rsidRPr="003D4F43">
        <w:rPr>
          <w:sz w:val="21"/>
          <w:szCs w:val="21"/>
        </w:rPr>
        <w:t xml:space="preserve"> початок нової економічної політики; 1929</w:t>
      </w:r>
      <w:r>
        <w:rPr>
          <w:sz w:val="21"/>
          <w:szCs w:val="21"/>
        </w:rPr>
        <w:t>–</w:t>
      </w:r>
      <w:r w:rsidRPr="003D4F43">
        <w:rPr>
          <w:sz w:val="21"/>
          <w:szCs w:val="21"/>
        </w:rPr>
        <w:t xml:space="preserve">1930 рр. </w:t>
      </w:r>
      <w:r>
        <w:rPr>
          <w:sz w:val="21"/>
          <w:szCs w:val="21"/>
        </w:rPr>
        <w:t>–</w:t>
      </w:r>
      <w:r w:rsidRPr="003D4F43">
        <w:rPr>
          <w:sz w:val="21"/>
          <w:szCs w:val="21"/>
        </w:rPr>
        <w:t xml:space="preserve"> встановлення тоталітарного політичного режиму, відміна НЕПу, початок індустріалізації і колективізації; середина 1950-х рр. </w:t>
      </w:r>
      <w:r>
        <w:rPr>
          <w:sz w:val="21"/>
          <w:szCs w:val="21"/>
        </w:rPr>
        <w:t>–</w:t>
      </w:r>
      <w:r w:rsidRPr="003D4F43">
        <w:rPr>
          <w:sz w:val="21"/>
          <w:szCs w:val="21"/>
        </w:rPr>
        <w:t xml:space="preserve"> п</w:t>
      </w:r>
      <w:r>
        <w:rPr>
          <w:sz w:val="21"/>
          <w:szCs w:val="21"/>
        </w:rPr>
        <w:t>олітична «відлига»</w:t>
      </w:r>
      <w:r w:rsidRPr="003D4F43">
        <w:rPr>
          <w:sz w:val="21"/>
          <w:szCs w:val="21"/>
        </w:rPr>
        <w:t>; межа 1980</w:t>
      </w:r>
      <w:r>
        <w:rPr>
          <w:sz w:val="21"/>
          <w:szCs w:val="21"/>
        </w:rPr>
        <w:t>–</w:t>
      </w:r>
      <w:r w:rsidRPr="003D4F43">
        <w:rPr>
          <w:sz w:val="21"/>
          <w:szCs w:val="21"/>
        </w:rPr>
        <w:t>9</w:t>
      </w:r>
      <w:r>
        <w:rPr>
          <w:sz w:val="21"/>
          <w:szCs w:val="21"/>
        </w:rPr>
        <w:t>0-х рр. – «перебудова»</w:t>
      </w:r>
      <w:r w:rsidRPr="003D4F43">
        <w:rPr>
          <w:sz w:val="21"/>
          <w:szCs w:val="21"/>
        </w:rPr>
        <w:t xml:space="preserve">, демократизація, набуття незалежності. </w:t>
      </w:r>
    </w:p>
    <w:p w:rsidR="00B233DE" w:rsidRDefault="00B233DE" w:rsidP="00B233DE">
      <w:pPr>
        <w:shd w:val="clear" w:color="auto" w:fill="FFFFFF"/>
        <w:ind w:firstLine="720"/>
        <w:jc w:val="both"/>
        <w:rPr>
          <w:rFonts w:ascii="Times New Roman" w:hAnsi="Times New Roman" w:cs="Times New Roman"/>
          <w:color w:val="000000"/>
          <w:sz w:val="21"/>
          <w:szCs w:val="21"/>
        </w:rPr>
      </w:pPr>
      <w:r w:rsidRPr="003D4F43">
        <w:rPr>
          <w:rFonts w:ascii="Times New Roman" w:hAnsi="Times New Roman" w:cs="Times New Roman"/>
          <w:sz w:val="21"/>
          <w:szCs w:val="21"/>
        </w:rPr>
        <w:lastRenderedPageBreak/>
        <w:t xml:space="preserve">Не дивлячись на певні, часто принципового характеру, відмінності у змісті еволюції ринків праці в країнах з розвиненими ринковими відносинами і в Україні, все ж таки в них мають місце </w:t>
      </w:r>
      <w:r w:rsidRPr="003D4F43">
        <w:rPr>
          <w:rStyle w:val="a9"/>
          <w:rFonts w:ascii="Times New Roman" w:hAnsi="Times New Roman" w:cs="Times New Roman"/>
          <w:b w:val="0"/>
          <w:sz w:val="21"/>
          <w:szCs w:val="21"/>
        </w:rPr>
        <w:t>характерні риси, що підкреслюють загальність напрямів і ознак розвитку</w:t>
      </w:r>
      <w:r w:rsidRPr="003D4F43">
        <w:rPr>
          <w:rFonts w:ascii="Times New Roman" w:hAnsi="Times New Roman" w:cs="Times New Roman"/>
          <w:sz w:val="21"/>
          <w:szCs w:val="21"/>
        </w:rPr>
        <w:t>. Серед них насамперед слід відмітити такі: паралельність і взаємозалежність розвитку ринку праці з процесами суспільного поділу праці, еволюції засобів виробництва, розвитком носіїв робоч</w:t>
      </w:r>
      <w:r>
        <w:rPr>
          <w:rFonts w:ascii="Times New Roman" w:hAnsi="Times New Roman" w:cs="Times New Roman"/>
          <w:sz w:val="21"/>
          <w:szCs w:val="21"/>
        </w:rPr>
        <w:t>ої сили; наявність жорсткого зв’</w:t>
      </w:r>
      <w:r w:rsidRPr="003D4F43">
        <w:rPr>
          <w:rFonts w:ascii="Times New Roman" w:hAnsi="Times New Roman" w:cs="Times New Roman"/>
          <w:sz w:val="21"/>
          <w:szCs w:val="21"/>
        </w:rPr>
        <w:t xml:space="preserve">язку ринку праці зі всіма іншими підсистемами ринку </w:t>
      </w:r>
      <w:r>
        <w:rPr>
          <w:rFonts w:ascii="Times New Roman" w:hAnsi="Times New Roman" w:cs="Times New Roman"/>
          <w:sz w:val="21"/>
          <w:szCs w:val="21"/>
        </w:rPr>
        <w:t>–</w:t>
      </w:r>
      <w:r w:rsidRPr="003D4F43">
        <w:rPr>
          <w:rFonts w:ascii="Times New Roman" w:hAnsi="Times New Roman" w:cs="Times New Roman"/>
          <w:sz w:val="21"/>
          <w:szCs w:val="21"/>
        </w:rPr>
        <w:t xml:space="preserve"> попитом на товари і послуги, пропозицією факторів виробництва, конкуренцією, ціною, мотивацією до праці тощо. У сучасній економічній вітчизняній літературі поступово стверджується соціально-орієнтований погляд на сутність ринку праці. Суть його полягає в тому, що на підставі економічної основи формування ринку робочої сили в його товарній формі визнається специфічна сутність робочої сили як товару, що надає цьому ринку соціального характеру. </w:t>
      </w:r>
      <w:r>
        <w:rPr>
          <w:rFonts w:ascii="Times New Roman" w:hAnsi="Times New Roman" w:cs="Times New Roman"/>
          <w:color w:val="000000"/>
          <w:sz w:val="21"/>
          <w:szCs w:val="21"/>
        </w:rPr>
        <w:t>Отже, ринок праці</w:t>
      </w:r>
      <w:r w:rsidRPr="003D4F43">
        <w:rPr>
          <w:rFonts w:ascii="Times New Roman" w:hAnsi="Times New Roman" w:cs="Times New Roman"/>
          <w:color w:val="000000"/>
          <w:sz w:val="21"/>
          <w:szCs w:val="21"/>
        </w:rPr>
        <w:t xml:space="preserve"> є самостійною, комплексною системою в ринковій економіці, яка, з одного боку, залежить, від інших ринків, </w:t>
      </w:r>
      <w:r>
        <w:rPr>
          <w:rFonts w:ascii="Times New Roman" w:hAnsi="Times New Roman" w:cs="Times New Roman"/>
          <w:color w:val="000000"/>
          <w:sz w:val="21"/>
          <w:szCs w:val="21"/>
        </w:rPr>
        <w:t>з іншого – сама впливає на них.</w:t>
      </w:r>
    </w:p>
    <w:p w:rsidR="00B233DE" w:rsidRPr="00CB5BAF" w:rsidRDefault="00B233DE" w:rsidP="00B233DE">
      <w:pPr>
        <w:shd w:val="clear" w:color="auto" w:fill="FFFFFF"/>
        <w:ind w:firstLine="720"/>
        <w:jc w:val="both"/>
        <w:rPr>
          <w:rFonts w:ascii="Times New Roman" w:hAnsi="Times New Roman" w:cs="Times New Roman"/>
          <w:color w:val="000000"/>
          <w:sz w:val="21"/>
          <w:szCs w:val="21"/>
        </w:rPr>
      </w:pPr>
      <w:r w:rsidRPr="003D4F43">
        <w:rPr>
          <w:rFonts w:ascii="Times New Roman" w:hAnsi="Times New Roman" w:cs="Times New Roman"/>
          <w:sz w:val="21"/>
          <w:szCs w:val="21"/>
        </w:rPr>
        <w:t xml:space="preserve">Сучасне функціонування вітчизняного ринку праці, елементами якого є: суб’єкти ринку; економічні і юридичні рішення; кон’юнктура, соціальні виплати, інфраструктура, характеризується наявністю суперечностей, яким в Україні та світі приділяють значну увагу тому, що вони стосуються головного суб’єкта ринку праці </w:t>
      </w:r>
      <w:r>
        <w:rPr>
          <w:rFonts w:ascii="Times New Roman" w:hAnsi="Times New Roman" w:cs="Times New Roman"/>
          <w:sz w:val="21"/>
          <w:szCs w:val="21"/>
        </w:rPr>
        <w:t>–</w:t>
      </w:r>
      <w:r w:rsidRPr="003D4F43">
        <w:rPr>
          <w:rFonts w:ascii="Times New Roman" w:hAnsi="Times New Roman" w:cs="Times New Roman"/>
          <w:sz w:val="21"/>
          <w:szCs w:val="21"/>
        </w:rPr>
        <w:t xml:space="preserve"> людини. З допомогою ринку праці суспільство вибирає з усього спектру здібностей людини ті, які необхідні для виконання певної роботи. До проблем національного ринку праці слід віднести: низький середній рівень заробітків; неконтрольовану міграцію робочої сили; необхідність легалізації українських заробітчан; низьку тенденцію створення робочих місць. Гострою проблемою ринку праці є несприятливі демографічні зміни в нашій країні. Так, згідно з дослідженнями міжнародного центру перспективних досліджень, населення України стрімко скорочується: з 1993 до 2012 року – більш як на 10</w:t>
      </w:r>
      <w:r>
        <w:rPr>
          <w:rFonts w:ascii="Times New Roman" w:hAnsi="Times New Roman" w:cs="Times New Roman"/>
          <w:sz w:val="21"/>
          <w:szCs w:val="21"/>
        </w:rPr>
        <w:t> </w:t>
      </w:r>
      <w:r w:rsidRPr="003D4F43">
        <w:rPr>
          <w:rFonts w:ascii="Times New Roman" w:hAnsi="Times New Roman" w:cs="Times New Roman"/>
          <w:sz w:val="21"/>
          <w:szCs w:val="21"/>
        </w:rPr>
        <w:t xml:space="preserve">%. До 2050 року прогнозна чисельність населення України скоротиться більш як на третину: з 46 до 29 мільйонів осіб. Станом на 2025 рік близько чверті населення України буде старше 60 років, тоді як 2050 року – ця чисельність сягне третини. Причинами такої тенденції, є: низька середня тривалість життя в Україні – 66 років, </w:t>
      </w:r>
      <w:r w:rsidRPr="003D4F43">
        <w:rPr>
          <w:rFonts w:ascii="Times New Roman" w:hAnsi="Times New Roman" w:cs="Times New Roman"/>
          <w:sz w:val="21"/>
          <w:szCs w:val="21"/>
        </w:rPr>
        <w:lastRenderedPageBreak/>
        <w:t xml:space="preserve">що на 11 років менше, аніж у країнах Західної Європи; значний рівень дитячої смертності </w:t>
      </w:r>
      <w:r>
        <w:rPr>
          <w:rFonts w:ascii="Times New Roman" w:hAnsi="Times New Roman" w:cs="Times New Roman"/>
          <w:sz w:val="21"/>
          <w:szCs w:val="21"/>
        </w:rPr>
        <w:t>–</w:t>
      </w:r>
      <w:r w:rsidRPr="003D4F43">
        <w:rPr>
          <w:rFonts w:ascii="Times New Roman" w:hAnsi="Times New Roman" w:cs="Times New Roman"/>
          <w:sz w:val="21"/>
          <w:szCs w:val="21"/>
        </w:rPr>
        <w:t xml:space="preserve"> вдвічі вищий за середній в Європі, один з найнижчих рівнів народжуваності у світі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_Ref433976596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20</w:t>
      </w:r>
      <w:r>
        <w:rPr>
          <w:rFonts w:ascii="Times New Roman" w:hAnsi="Times New Roman" w:cs="Times New Roman"/>
          <w:sz w:val="21"/>
          <w:szCs w:val="21"/>
          <w:highlight w:val="yellow"/>
        </w:rPr>
        <w:fldChar w:fldCharType="end"/>
      </w:r>
      <w:r w:rsidRPr="003D4F43">
        <w:rPr>
          <w:rFonts w:ascii="Times New Roman" w:hAnsi="Times New Roman" w:cs="Times New Roman"/>
          <w:sz w:val="21"/>
          <w:szCs w:val="21"/>
        </w:rPr>
        <w:t xml:space="preserve">]. Характерною ознакою сучасного вітчизняного ринку праці стало значне погіршення якості робочої сили, її невідповідність сучасним вимогам, низький рівень професійної підготовки поряд з низькою трудовою та виконавчою дисципліною. </w:t>
      </w:r>
    </w:p>
    <w:p w:rsidR="00B233DE" w:rsidRPr="003D4F43"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 xml:space="preserve">Ми дослідили проблеми сучасного ринку праці, з одного боку, виходячи із загальних закономірностей, властивих ринковим відносинам, а з іншого – української специфіки формування ринкового середовища. </w:t>
      </w:r>
    </w:p>
    <w:p w:rsidR="00B233DE" w:rsidRPr="003D4F43"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Загальною особливістю формування ринку праці в Україні є те, що воно проходить в умовах зростання пропозиції робочої сили і скорочення попиту на неї при деякому збільшенні попиту на висококваліфіковану працю. У 2009</w:t>
      </w:r>
      <w:r>
        <w:rPr>
          <w:rFonts w:ascii="Times New Roman" w:hAnsi="Times New Roman" w:cs="Times New Roman"/>
          <w:sz w:val="21"/>
          <w:szCs w:val="21"/>
        </w:rPr>
        <w:t>–</w:t>
      </w:r>
      <w:r w:rsidRPr="003D4F43">
        <w:rPr>
          <w:rFonts w:ascii="Times New Roman" w:hAnsi="Times New Roman" w:cs="Times New Roman"/>
          <w:sz w:val="21"/>
          <w:szCs w:val="21"/>
        </w:rPr>
        <w:t>2011 рр. ринку праці були притаманні такі тенденції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_Ref433976791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81</w:t>
      </w:r>
      <w:r>
        <w:rPr>
          <w:rFonts w:ascii="Times New Roman" w:hAnsi="Times New Roman" w:cs="Times New Roman"/>
          <w:sz w:val="21"/>
          <w:szCs w:val="21"/>
          <w:highlight w:val="yellow"/>
        </w:rPr>
        <w:fldChar w:fldCharType="end"/>
      </w:r>
      <w:r w:rsidRPr="003D4F43">
        <w:rPr>
          <w:rFonts w:ascii="Times New Roman" w:hAnsi="Times New Roman" w:cs="Times New Roman"/>
          <w:sz w:val="21"/>
          <w:szCs w:val="21"/>
        </w:rPr>
        <w:t>]:</w:t>
      </w:r>
    </w:p>
    <w:p w:rsidR="00B233DE" w:rsidRPr="007C5EB3" w:rsidRDefault="00B233DE" w:rsidP="00B233DE">
      <w:pPr>
        <w:pStyle w:val="ad"/>
        <w:numPr>
          <w:ilvl w:val="0"/>
          <w:numId w:val="11"/>
        </w:numPr>
        <w:tabs>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с</w:t>
      </w:r>
      <w:r w:rsidRPr="007C5EB3">
        <w:rPr>
          <w:rFonts w:ascii="Times New Roman" w:hAnsi="Times New Roman" w:cs="Times New Roman"/>
          <w:sz w:val="21"/>
          <w:szCs w:val="21"/>
        </w:rPr>
        <w:t xml:space="preserve">пад економічної активності населення внаслідок еміграційних процесів і скорочення </w:t>
      </w:r>
      <w:r>
        <w:rPr>
          <w:rFonts w:ascii="Times New Roman" w:hAnsi="Times New Roman" w:cs="Times New Roman"/>
          <w:sz w:val="21"/>
          <w:szCs w:val="21"/>
        </w:rPr>
        <w:t xml:space="preserve">його </w:t>
      </w:r>
      <w:r w:rsidRPr="007C5EB3">
        <w:rPr>
          <w:rFonts w:ascii="Times New Roman" w:hAnsi="Times New Roman" w:cs="Times New Roman"/>
          <w:sz w:val="21"/>
          <w:szCs w:val="21"/>
        </w:rPr>
        <w:t>природного приросту;</w:t>
      </w:r>
    </w:p>
    <w:p w:rsidR="00B233DE" w:rsidRPr="007C5EB3" w:rsidRDefault="00B233DE" w:rsidP="00B233DE">
      <w:pPr>
        <w:pStyle w:val="ad"/>
        <w:numPr>
          <w:ilvl w:val="0"/>
          <w:numId w:val="11"/>
        </w:numPr>
        <w:tabs>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р</w:t>
      </w:r>
      <w:r w:rsidRPr="007C5EB3">
        <w:rPr>
          <w:rFonts w:ascii="Times New Roman" w:hAnsi="Times New Roman" w:cs="Times New Roman"/>
          <w:sz w:val="21"/>
          <w:szCs w:val="21"/>
        </w:rPr>
        <w:t>еструктуризація діяльності підприємств, скорочення державного сектора, зростання сфери послуг;</w:t>
      </w:r>
    </w:p>
    <w:p w:rsidR="00B233DE" w:rsidRPr="007C5EB3" w:rsidRDefault="00B233DE" w:rsidP="00B233DE">
      <w:pPr>
        <w:pStyle w:val="ad"/>
        <w:numPr>
          <w:ilvl w:val="0"/>
          <w:numId w:val="11"/>
        </w:numPr>
        <w:tabs>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р</w:t>
      </w:r>
      <w:r w:rsidRPr="007C5EB3">
        <w:rPr>
          <w:rFonts w:ascii="Times New Roman" w:hAnsi="Times New Roman" w:cs="Times New Roman"/>
          <w:sz w:val="21"/>
          <w:szCs w:val="21"/>
        </w:rPr>
        <w:t>озширення неформальної зайнятості;</w:t>
      </w:r>
    </w:p>
    <w:p w:rsidR="00B233DE" w:rsidRPr="007C5EB3" w:rsidRDefault="00B233DE" w:rsidP="00B233DE">
      <w:pPr>
        <w:pStyle w:val="ad"/>
        <w:numPr>
          <w:ilvl w:val="0"/>
          <w:numId w:val="11"/>
        </w:numPr>
        <w:tabs>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н</w:t>
      </w:r>
      <w:r w:rsidRPr="007C5EB3">
        <w:rPr>
          <w:rFonts w:ascii="Times New Roman" w:hAnsi="Times New Roman" w:cs="Times New Roman"/>
          <w:sz w:val="21"/>
          <w:szCs w:val="21"/>
        </w:rPr>
        <w:t>едостатня інвестиційна активність і застарілість основних засобів виробництва;</w:t>
      </w:r>
    </w:p>
    <w:p w:rsidR="00B233DE" w:rsidRPr="007C5EB3" w:rsidRDefault="00B233DE" w:rsidP="00B233DE">
      <w:pPr>
        <w:pStyle w:val="ad"/>
        <w:numPr>
          <w:ilvl w:val="0"/>
          <w:numId w:val="11"/>
        </w:numPr>
        <w:tabs>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д</w:t>
      </w:r>
      <w:r w:rsidRPr="007C5EB3">
        <w:rPr>
          <w:rFonts w:ascii="Times New Roman" w:hAnsi="Times New Roman" w:cs="Times New Roman"/>
          <w:sz w:val="21"/>
          <w:szCs w:val="21"/>
        </w:rPr>
        <w:t>отаційність праці в більшості галузей економіки;</w:t>
      </w:r>
    </w:p>
    <w:p w:rsidR="00B233DE" w:rsidRPr="007C5EB3" w:rsidRDefault="00B233DE" w:rsidP="00B233DE">
      <w:pPr>
        <w:pStyle w:val="ad"/>
        <w:numPr>
          <w:ilvl w:val="0"/>
          <w:numId w:val="11"/>
        </w:numPr>
        <w:tabs>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з</w:t>
      </w:r>
      <w:r w:rsidRPr="007C5EB3">
        <w:rPr>
          <w:rFonts w:ascii="Times New Roman" w:hAnsi="Times New Roman" w:cs="Times New Roman"/>
          <w:sz w:val="21"/>
          <w:szCs w:val="21"/>
        </w:rPr>
        <w:t>ростання тривалого безробіття;</w:t>
      </w:r>
    </w:p>
    <w:p w:rsidR="00B233DE" w:rsidRPr="007C5EB3" w:rsidRDefault="00B233DE" w:rsidP="00B233DE">
      <w:pPr>
        <w:pStyle w:val="ad"/>
        <w:numPr>
          <w:ilvl w:val="0"/>
          <w:numId w:val="11"/>
        </w:numPr>
        <w:tabs>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в</w:t>
      </w:r>
      <w:r w:rsidRPr="007C5EB3">
        <w:rPr>
          <w:rFonts w:ascii="Times New Roman" w:hAnsi="Times New Roman" w:cs="Times New Roman"/>
          <w:sz w:val="21"/>
          <w:szCs w:val="21"/>
        </w:rPr>
        <w:t>исокий рівень зайнятості в особистому підсобному господарстві, значна частка ручної праці.</w:t>
      </w:r>
    </w:p>
    <w:p w:rsidR="00B233DE" w:rsidRPr="003D4F43"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З виходом із кризи позначилися й позитивні зрушення. Збільшують штати і відкривають нові виробництва з набором персоналу підприємства харчової промисловості, побутової хімії, покращується ситуація у виробництві будівельних матеріалів. Проте залишиться досить складною ситуація на ринку праці в галузях, орієнтованих на експорт: металургійні, машинобудівні, хімічні та нафтопереробні, яким із кризи не дозволяє вийти заборгованість експортерам по ПДВ, що досягла вже 20 млрд. грн.</w:t>
      </w:r>
    </w:p>
    <w:p w:rsidR="00B233DE" w:rsidRPr="003D4F43"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Ключові тенденції, які характеризують зайнятість в українській економіці можна визначити наступним чином:</w:t>
      </w:r>
    </w:p>
    <w:p w:rsidR="00B233DE" w:rsidRPr="003D4F43"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 xml:space="preserve">1) Збільшення фактичного рівня зайнятості населення із значним відставанням її продуктивності порівняно з іншими </w:t>
      </w:r>
      <w:r w:rsidRPr="003D4F43">
        <w:rPr>
          <w:rFonts w:ascii="Times New Roman" w:hAnsi="Times New Roman" w:cs="Times New Roman"/>
          <w:sz w:val="21"/>
          <w:szCs w:val="21"/>
        </w:rPr>
        <w:lastRenderedPageBreak/>
        <w:t>європейськими країнами. В 2012 р. номінальний ВВП України склав 1 трлн 408,889 млрд грн., реальний приріст ВВП склав 0,2</w:t>
      </w:r>
      <w:r>
        <w:rPr>
          <w:rFonts w:ascii="Times New Roman" w:hAnsi="Times New Roman" w:cs="Times New Roman"/>
          <w:sz w:val="21"/>
          <w:szCs w:val="21"/>
        </w:rPr>
        <w:t xml:space="preserve"> </w:t>
      </w:r>
      <w:r w:rsidRPr="003D4F43">
        <w:rPr>
          <w:rFonts w:ascii="Times New Roman" w:hAnsi="Times New Roman" w:cs="Times New Roman"/>
          <w:sz w:val="21"/>
          <w:szCs w:val="21"/>
        </w:rPr>
        <w:t xml:space="preserve">%, дефлятор </w:t>
      </w:r>
      <w:r>
        <w:rPr>
          <w:rFonts w:ascii="Times New Roman" w:hAnsi="Times New Roman" w:cs="Times New Roman"/>
          <w:sz w:val="21"/>
          <w:szCs w:val="21"/>
        </w:rPr>
        <w:t>–</w:t>
      </w:r>
      <w:r w:rsidRPr="003D4F43">
        <w:rPr>
          <w:rFonts w:ascii="Times New Roman" w:hAnsi="Times New Roman" w:cs="Times New Roman"/>
          <w:sz w:val="21"/>
          <w:szCs w:val="21"/>
        </w:rPr>
        <w:t xml:space="preserve"> 8</w:t>
      </w:r>
      <w:r>
        <w:rPr>
          <w:rFonts w:ascii="Times New Roman" w:hAnsi="Times New Roman" w:cs="Times New Roman"/>
          <w:sz w:val="21"/>
          <w:szCs w:val="21"/>
        </w:rPr>
        <w:t xml:space="preserve"> </w:t>
      </w:r>
      <w:r w:rsidRPr="003D4F43">
        <w:rPr>
          <w:rFonts w:ascii="Times New Roman" w:hAnsi="Times New Roman" w:cs="Times New Roman"/>
          <w:sz w:val="21"/>
          <w:szCs w:val="21"/>
        </w:rPr>
        <w:t>%. Найбільшою статтею ВВП, що показала при цьому і найбільше зростання (+3,9</w:t>
      </w:r>
      <w:r>
        <w:rPr>
          <w:rFonts w:ascii="Times New Roman" w:hAnsi="Times New Roman" w:cs="Times New Roman"/>
          <w:sz w:val="21"/>
          <w:szCs w:val="21"/>
        </w:rPr>
        <w:t xml:space="preserve"> </w:t>
      </w:r>
      <w:r w:rsidRPr="003D4F43">
        <w:rPr>
          <w:rFonts w:ascii="Times New Roman" w:hAnsi="Times New Roman" w:cs="Times New Roman"/>
          <w:sz w:val="21"/>
          <w:szCs w:val="21"/>
        </w:rPr>
        <w:t xml:space="preserve">%), залишається торгівля, ремонт автомобілів, побутових виробів та предметів особистого вжитку </w:t>
      </w:r>
      <w:r>
        <w:rPr>
          <w:rFonts w:ascii="Times New Roman" w:hAnsi="Times New Roman" w:cs="Times New Roman"/>
          <w:sz w:val="21"/>
          <w:szCs w:val="21"/>
        </w:rPr>
        <w:t>–</w:t>
      </w:r>
      <w:r w:rsidRPr="003D4F43">
        <w:rPr>
          <w:rFonts w:ascii="Times New Roman" w:hAnsi="Times New Roman" w:cs="Times New Roman"/>
          <w:sz w:val="21"/>
          <w:szCs w:val="21"/>
        </w:rPr>
        <w:t xml:space="preserve"> 219,6 млрд грн. Зростання в 2,5</w:t>
      </w:r>
      <w:r>
        <w:rPr>
          <w:rFonts w:ascii="Times New Roman" w:hAnsi="Times New Roman" w:cs="Times New Roman"/>
          <w:sz w:val="21"/>
          <w:szCs w:val="21"/>
        </w:rPr>
        <w:t xml:space="preserve"> </w:t>
      </w:r>
      <w:r w:rsidRPr="003D4F43">
        <w:rPr>
          <w:rFonts w:ascii="Times New Roman" w:hAnsi="Times New Roman" w:cs="Times New Roman"/>
          <w:sz w:val="21"/>
          <w:szCs w:val="21"/>
        </w:rPr>
        <w:t>% показала видобувна промисловість, у 2,2</w:t>
      </w:r>
      <w:r>
        <w:rPr>
          <w:rFonts w:ascii="Times New Roman" w:hAnsi="Times New Roman" w:cs="Times New Roman"/>
          <w:sz w:val="21"/>
          <w:szCs w:val="21"/>
        </w:rPr>
        <w:t xml:space="preserve"> </w:t>
      </w:r>
      <w:r w:rsidRPr="003D4F43">
        <w:rPr>
          <w:rFonts w:ascii="Times New Roman" w:hAnsi="Times New Roman" w:cs="Times New Roman"/>
          <w:sz w:val="21"/>
          <w:szCs w:val="21"/>
        </w:rPr>
        <w:t xml:space="preserve">% </w:t>
      </w:r>
      <w:r>
        <w:rPr>
          <w:rFonts w:ascii="Times New Roman" w:hAnsi="Times New Roman" w:cs="Times New Roman"/>
          <w:sz w:val="21"/>
          <w:szCs w:val="21"/>
        </w:rPr>
        <w:t>–</w:t>
      </w:r>
      <w:r w:rsidRPr="003D4F43">
        <w:rPr>
          <w:rFonts w:ascii="Times New Roman" w:hAnsi="Times New Roman" w:cs="Times New Roman"/>
          <w:sz w:val="21"/>
          <w:szCs w:val="21"/>
        </w:rPr>
        <w:t xml:space="preserve"> виробництво та розподілення електро</w:t>
      </w:r>
      <w:r>
        <w:rPr>
          <w:rFonts w:ascii="Times New Roman" w:hAnsi="Times New Roman" w:cs="Times New Roman"/>
          <w:sz w:val="21"/>
          <w:szCs w:val="21"/>
        </w:rPr>
        <w:t>-</w:t>
      </w:r>
      <w:r w:rsidRPr="003D4F43">
        <w:rPr>
          <w:rFonts w:ascii="Times New Roman" w:hAnsi="Times New Roman" w:cs="Times New Roman"/>
          <w:sz w:val="21"/>
          <w:szCs w:val="21"/>
        </w:rPr>
        <w:t>енергії, газу та води. Оплата послуг фінансових посередників ско</w:t>
      </w:r>
      <w:r>
        <w:rPr>
          <w:rFonts w:ascii="Times New Roman" w:hAnsi="Times New Roman" w:cs="Times New Roman"/>
          <w:sz w:val="21"/>
          <w:szCs w:val="21"/>
        </w:rPr>
        <w:t>-</w:t>
      </w:r>
      <w:r w:rsidRPr="003D4F43">
        <w:rPr>
          <w:rFonts w:ascii="Times New Roman" w:hAnsi="Times New Roman" w:cs="Times New Roman"/>
          <w:sz w:val="21"/>
          <w:szCs w:val="21"/>
        </w:rPr>
        <w:t>ротилася на 12,8</w:t>
      </w:r>
      <w:r>
        <w:rPr>
          <w:rFonts w:ascii="Times New Roman" w:hAnsi="Times New Roman" w:cs="Times New Roman"/>
          <w:sz w:val="21"/>
          <w:szCs w:val="21"/>
        </w:rPr>
        <w:t xml:space="preserve"> </w:t>
      </w:r>
      <w:r w:rsidRPr="003D4F43">
        <w:rPr>
          <w:rFonts w:ascii="Times New Roman" w:hAnsi="Times New Roman" w:cs="Times New Roman"/>
          <w:sz w:val="21"/>
          <w:szCs w:val="21"/>
        </w:rPr>
        <w:t xml:space="preserve">%, будівництво </w:t>
      </w:r>
      <w:r>
        <w:rPr>
          <w:rFonts w:ascii="Times New Roman" w:hAnsi="Times New Roman" w:cs="Times New Roman"/>
          <w:sz w:val="21"/>
          <w:szCs w:val="21"/>
        </w:rPr>
        <w:t>–</w:t>
      </w:r>
      <w:r w:rsidRPr="003D4F43">
        <w:rPr>
          <w:rFonts w:ascii="Times New Roman" w:hAnsi="Times New Roman" w:cs="Times New Roman"/>
          <w:sz w:val="21"/>
          <w:szCs w:val="21"/>
        </w:rPr>
        <w:t xml:space="preserve"> на 8,8</w:t>
      </w:r>
      <w:r>
        <w:rPr>
          <w:rFonts w:ascii="Times New Roman" w:hAnsi="Times New Roman" w:cs="Times New Roman"/>
          <w:sz w:val="21"/>
          <w:szCs w:val="21"/>
        </w:rPr>
        <w:t xml:space="preserve"> </w:t>
      </w:r>
      <w:r w:rsidRPr="003D4F43">
        <w:rPr>
          <w:rFonts w:ascii="Times New Roman" w:hAnsi="Times New Roman" w:cs="Times New Roman"/>
          <w:sz w:val="21"/>
          <w:szCs w:val="21"/>
        </w:rPr>
        <w:t xml:space="preserve">%, сільське господарство, мисливство, лісове господарство </w:t>
      </w:r>
      <w:r>
        <w:rPr>
          <w:rFonts w:ascii="Times New Roman" w:hAnsi="Times New Roman" w:cs="Times New Roman"/>
          <w:sz w:val="21"/>
          <w:szCs w:val="21"/>
        </w:rPr>
        <w:t>–</w:t>
      </w:r>
      <w:r w:rsidRPr="003D4F43">
        <w:rPr>
          <w:rFonts w:ascii="Times New Roman" w:hAnsi="Times New Roman" w:cs="Times New Roman"/>
          <w:sz w:val="21"/>
          <w:szCs w:val="21"/>
        </w:rPr>
        <w:t xml:space="preserve"> на 4,3</w:t>
      </w:r>
      <w:r>
        <w:rPr>
          <w:rFonts w:ascii="Times New Roman" w:hAnsi="Times New Roman" w:cs="Times New Roman"/>
          <w:sz w:val="21"/>
          <w:szCs w:val="21"/>
        </w:rPr>
        <w:t xml:space="preserve"> %</w:t>
      </w:r>
      <w:r w:rsidRPr="003D4F43">
        <w:rPr>
          <w:rFonts w:ascii="Times New Roman" w:hAnsi="Times New Roman" w:cs="Times New Roman"/>
          <w:sz w:val="21"/>
          <w:szCs w:val="21"/>
        </w:rPr>
        <w:t xml:space="preserve">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_Ref433976999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76</w:t>
      </w:r>
      <w:r>
        <w:rPr>
          <w:rFonts w:ascii="Times New Roman" w:hAnsi="Times New Roman" w:cs="Times New Roman"/>
          <w:sz w:val="21"/>
          <w:szCs w:val="21"/>
        </w:rPr>
        <w:fldChar w:fldCharType="end"/>
      </w:r>
      <w:r w:rsidRPr="003D4F43">
        <w:rPr>
          <w:rFonts w:ascii="Times New Roman" w:hAnsi="Times New Roman" w:cs="Times New Roman"/>
          <w:sz w:val="21"/>
          <w:szCs w:val="21"/>
        </w:rPr>
        <w:t>].</w:t>
      </w:r>
    </w:p>
    <w:p w:rsidR="00B233DE" w:rsidRPr="003D4F43"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Міністерство економічного розвитку і торгівлі також оцінило зростання ВВП за підсумками 2012 р. в 0,2</w:t>
      </w:r>
      <w:r>
        <w:rPr>
          <w:rFonts w:ascii="Times New Roman" w:hAnsi="Times New Roman" w:cs="Times New Roman"/>
          <w:sz w:val="21"/>
          <w:szCs w:val="21"/>
        </w:rPr>
        <w:t xml:space="preserve"> %. Відомство пов’</w:t>
      </w:r>
      <w:r w:rsidRPr="003D4F43">
        <w:rPr>
          <w:rFonts w:ascii="Times New Roman" w:hAnsi="Times New Roman" w:cs="Times New Roman"/>
          <w:sz w:val="21"/>
          <w:szCs w:val="21"/>
        </w:rPr>
        <w:t>язує уповільнення зростання економіки з посиленням дії негативних процесів як зовнішнього, так і внутрішнього характеру. Основними галузями, які сформували погіршення економічної динаміки стали промислове виробництво, будівництво і транспорт, сільське господарство, а збереження низького рівня кредитування стало додатковим негативним фактором.</w:t>
      </w:r>
    </w:p>
    <w:p w:rsidR="00B233DE" w:rsidRPr="003D4F43"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 xml:space="preserve">За індексом продуктивності праці, розрахованим Міжнародним валютним фондом (МВФ) і Міжнародною організацією праці (МОП) для 85 країн, Україна посідає 72-е місце, звертає на себе увагу той факт, що в порівнянні з минулим десятиліттям значення цього показника подвоїлося. </w:t>
      </w:r>
    </w:p>
    <w:p w:rsidR="00B233DE" w:rsidRPr="003D4F43"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2) «Роздержавлення» сфери зайнятості. Порівняно з попередніми періодами у 2012 р. питома вага працюючих у державному секторі в середньообліковій чисельності робітників і службовців у народному господарстві зменшилася з 80,4</w:t>
      </w:r>
      <w:r>
        <w:rPr>
          <w:rFonts w:ascii="Times New Roman" w:hAnsi="Times New Roman" w:cs="Times New Roman"/>
          <w:sz w:val="21"/>
          <w:szCs w:val="21"/>
        </w:rPr>
        <w:t xml:space="preserve"> </w:t>
      </w:r>
      <w:r w:rsidRPr="003D4F43">
        <w:rPr>
          <w:rFonts w:ascii="Times New Roman" w:hAnsi="Times New Roman" w:cs="Times New Roman"/>
          <w:sz w:val="21"/>
          <w:szCs w:val="21"/>
        </w:rPr>
        <w:t>% до 70,2</w:t>
      </w:r>
      <w:r>
        <w:rPr>
          <w:rFonts w:ascii="Times New Roman" w:hAnsi="Times New Roman" w:cs="Times New Roman"/>
          <w:sz w:val="21"/>
          <w:szCs w:val="21"/>
        </w:rPr>
        <w:t xml:space="preserve"> </w:t>
      </w:r>
      <w:r w:rsidRPr="003D4F43">
        <w:rPr>
          <w:rFonts w:ascii="Times New Roman" w:hAnsi="Times New Roman" w:cs="Times New Roman"/>
          <w:sz w:val="21"/>
          <w:szCs w:val="21"/>
        </w:rPr>
        <w:t>%. Найбільша питома вага недержавних секторів склалася в торгівлі, громадському харчуванні, заготівлях і збуті, в будівництві у фінансуванні та кредитуванні.</w:t>
      </w:r>
    </w:p>
    <w:p w:rsidR="00B233DE" w:rsidRPr="003D4F43"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3) Скорочення в сегменті стандартної зайнятості повного робочого часу унаслідок стрімкого розвитку нестандартних форм зайнятості (надомної, віртуальної, дистанційної, тимчасової). Тенденція підтверджується неухильним зменшенням чисельності штатних працівників. Так, у 2011 р. їх було 10556 тис. осіб, в порівнянні з 10526,7 тис. осіб станом на жовтень 2012 року.</w:t>
      </w:r>
    </w:p>
    <w:p w:rsidR="00B233DE" w:rsidRPr="007F603B"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 xml:space="preserve">4) Деформалізація зайнятості. Розвиток недержавного сектора йде не стільки шляхом створення системи малого та середнього бізнесу, скільки за рахунок перерозподілу населення у </w:t>
      </w:r>
      <w:r w:rsidRPr="003D4F43">
        <w:rPr>
          <w:rFonts w:ascii="Times New Roman" w:hAnsi="Times New Roman" w:cs="Times New Roman"/>
          <w:sz w:val="21"/>
          <w:szCs w:val="21"/>
        </w:rPr>
        <w:lastRenderedPageBreak/>
        <w:t>неформальну зайнятість. За оцінками фахівців, населення України одержує близько 35</w:t>
      </w:r>
      <w:r>
        <w:rPr>
          <w:rFonts w:ascii="Times New Roman" w:hAnsi="Times New Roman" w:cs="Times New Roman"/>
          <w:sz w:val="21"/>
          <w:szCs w:val="21"/>
        </w:rPr>
        <w:t xml:space="preserve"> </w:t>
      </w:r>
      <w:r w:rsidRPr="003D4F43">
        <w:rPr>
          <w:rFonts w:ascii="Times New Roman" w:hAnsi="Times New Roman" w:cs="Times New Roman"/>
          <w:sz w:val="21"/>
          <w:szCs w:val="21"/>
        </w:rPr>
        <w:t>% доходів без реєстрації, особливо у будівництві, торгівлі, готельному і ресторанному бізнесі та аграрному секторі, а питома вага неформально зайнятих у цих галузях і секторах економіки коливається від 30 до 60</w:t>
      </w:r>
      <w:r>
        <w:rPr>
          <w:rFonts w:ascii="Times New Roman" w:hAnsi="Times New Roman" w:cs="Times New Roman"/>
          <w:sz w:val="21"/>
          <w:szCs w:val="21"/>
        </w:rPr>
        <w:t xml:space="preserve"> </w:t>
      </w:r>
      <w:r w:rsidRPr="003D4F43">
        <w:rPr>
          <w:rFonts w:ascii="Times New Roman" w:hAnsi="Times New Roman" w:cs="Times New Roman"/>
          <w:sz w:val="21"/>
          <w:szCs w:val="21"/>
        </w:rPr>
        <w:t>%. Частка тіньової економіки досягає майже 60</w:t>
      </w:r>
      <w:r>
        <w:rPr>
          <w:rFonts w:ascii="Times New Roman" w:hAnsi="Times New Roman" w:cs="Times New Roman"/>
          <w:sz w:val="21"/>
          <w:szCs w:val="21"/>
        </w:rPr>
        <w:t xml:space="preserve"> </w:t>
      </w:r>
      <w:r w:rsidRPr="003D4F43">
        <w:rPr>
          <w:rFonts w:ascii="Times New Roman" w:hAnsi="Times New Roman" w:cs="Times New Roman"/>
          <w:sz w:val="21"/>
          <w:szCs w:val="21"/>
        </w:rPr>
        <w:t>% ВВП. За результатами обстежень робочої сили в Україні у 2000 р. частка неформальної зайнятості становила 14,8</w:t>
      </w:r>
      <w:r>
        <w:rPr>
          <w:rFonts w:ascii="Times New Roman" w:hAnsi="Times New Roman" w:cs="Times New Roman"/>
          <w:sz w:val="21"/>
          <w:szCs w:val="21"/>
        </w:rPr>
        <w:t xml:space="preserve"> %, а у 2008 р. – вже </w:t>
      </w:r>
      <w:r w:rsidRPr="003D4F43">
        <w:rPr>
          <w:rFonts w:ascii="Times New Roman" w:hAnsi="Times New Roman" w:cs="Times New Roman"/>
          <w:sz w:val="21"/>
          <w:szCs w:val="21"/>
        </w:rPr>
        <w:t>21,8</w:t>
      </w:r>
      <w:r>
        <w:rPr>
          <w:rFonts w:ascii="Times New Roman" w:hAnsi="Times New Roman" w:cs="Times New Roman"/>
          <w:sz w:val="21"/>
          <w:szCs w:val="21"/>
        </w:rPr>
        <w:t xml:space="preserve"> </w:t>
      </w:r>
      <w:r w:rsidRPr="003D4F43">
        <w:rPr>
          <w:rFonts w:ascii="Times New Roman" w:hAnsi="Times New Roman" w:cs="Times New Roman"/>
          <w:sz w:val="21"/>
          <w:szCs w:val="21"/>
        </w:rPr>
        <w:t>%, а у 2010 р. – 22,9</w:t>
      </w:r>
      <w:r>
        <w:rPr>
          <w:rFonts w:ascii="Times New Roman" w:hAnsi="Times New Roman" w:cs="Times New Roman"/>
          <w:sz w:val="21"/>
          <w:szCs w:val="21"/>
        </w:rPr>
        <w:t xml:space="preserve"> </w:t>
      </w:r>
      <w:r w:rsidRPr="003D4F43">
        <w:rPr>
          <w:rFonts w:ascii="Times New Roman" w:hAnsi="Times New Roman" w:cs="Times New Roman"/>
          <w:sz w:val="21"/>
          <w:szCs w:val="21"/>
        </w:rPr>
        <w:t>%. У 2012 р. обсяг неформально зайнятих дещо зріс до 4704,9 тис. осіб із 4649,2 тис. осіб у 2011 р.</w:t>
      </w:r>
      <w:r>
        <w:rPr>
          <w:rFonts w:ascii="Times New Roman" w:hAnsi="Times New Roman" w:cs="Times New Roman"/>
          <w:sz w:val="21"/>
          <w:szCs w:val="21"/>
        </w:rPr>
        <w:t xml:space="preserve"> У першій половині 2014 р.</w:t>
      </w:r>
      <w:r w:rsidRPr="007F603B">
        <w:rPr>
          <w:rFonts w:ascii="Times New Roman" w:hAnsi="Times New Roman" w:cs="Times New Roman"/>
          <w:sz w:val="21"/>
          <w:szCs w:val="21"/>
        </w:rPr>
        <w:t xml:space="preserve"> чисельність неформально зайнятих становила 4578,7 тис. осіб, або 24,8</w:t>
      </w:r>
      <w:r>
        <w:rPr>
          <w:rFonts w:ascii="Times New Roman" w:hAnsi="Times New Roman" w:cs="Times New Roman"/>
          <w:sz w:val="21"/>
          <w:szCs w:val="21"/>
        </w:rPr>
        <w:t xml:space="preserve"> </w:t>
      </w:r>
      <w:r w:rsidRPr="007F603B">
        <w:rPr>
          <w:rFonts w:ascii="Times New Roman" w:hAnsi="Times New Roman" w:cs="Times New Roman"/>
          <w:sz w:val="21"/>
          <w:szCs w:val="21"/>
        </w:rPr>
        <w:t>% всього зайнятого населення України віком 15</w:t>
      </w:r>
      <w:r>
        <w:rPr>
          <w:rFonts w:ascii="Times New Roman" w:hAnsi="Times New Roman" w:cs="Times New Roman"/>
          <w:sz w:val="21"/>
          <w:szCs w:val="21"/>
        </w:rPr>
        <w:t>–</w:t>
      </w:r>
      <w:r w:rsidRPr="007F603B">
        <w:rPr>
          <w:rFonts w:ascii="Times New Roman" w:hAnsi="Times New Roman" w:cs="Times New Roman"/>
          <w:sz w:val="21"/>
          <w:szCs w:val="21"/>
        </w:rPr>
        <w:t>70 років</w:t>
      </w:r>
    </w:p>
    <w:p w:rsidR="00B233DE" w:rsidRPr="003D4F43"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5) Утримання безробіття на відносно стабільному рі</w:t>
      </w:r>
      <w:r>
        <w:rPr>
          <w:rFonts w:ascii="Times New Roman" w:hAnsi="Times New Roman" w:cs="Times New Roman"/>
          <w:sz w:val="21"/>
          <w:szCs w:val="21"/>
        </w:rPr>
        <w:t>вні та збільшення рівня безробіття у 2012 році</w:t>
      </w:r>
      <w:r w:rsidRPr="003D4F43">
        <w:rPr>
          <w:rFonts w:ascii="Times New Roman" w:hAnsi="Times New Roman" w:cs="Times New Roman"/>
          <w:sz w:val="21"/>
          <w:szCs w:val="21"/>
        </w:rPr>
        <w:t>. У 2009</w:t>
      </w:r>
      <w:r>
        <w:rPr>
          <w:rFonts w:ascii="Times New Roman" w:hAnsi="Times New Roman" w:cs="Times New Roman"/>
          <w:sz w:val="21"/>
          <w:szCs w:val="21"/>
        </w:rPr>
        <w:t>–</w:t>
      </w:r>
      <w:r w:rsidRPr="003D4F43">
        <w:rPr>
          <w:rFonts w:ascii="Times New Roman" w:hAnsi="Times New Roman" w:cs="Times New Roman"/>
          <w:sz w:val="21"/>
          <w:szCs w:val="21"/>
        </w:rPr>
        <w:t>2011 рр. рівень безробіття за цей період скоротився з 8,8 % до 7,9</w:t>
      </w:r>
      <w:r>
        <w:rPr>
          <w:rFonts w:ascii="Times New Roman" w:hAnsi="Times New Roman" w:cs="Times New Roman"/>
          <w:sz w:val="21"/>
          <w:szCs w:val="21"/>
        </w:rPr>
        <w:t xml:space="preserve"> </w:t>
      </w:r>
      <w:r w:rsidRPr="003D4F43">
        <w:rPr>
          <w:rFonts w:ascii="Times New Roman" w:hAnsi="Times New Roman" w:cs="Times New Roman"/>
          <w:sz w:val="21"/>
          <w:szCs w:val="21"/>
        </w:rPr>
        <w:t>% по відношенню до економічно-активного населення, і з 9,6 % до 8,6 % – до працездатного населення. Зареєстроване безробіття у 201</w:t>
      </w:r>
      <w:r>
        <w:rPr>
          <w:rFonts w:ascii="Times New Roman" w:hAnsi="Times New Roman" w:cs="Times New Roman"/>
          <w:sz w:val="21"/>
          <w:szCs w:val="21"/>
        </w:rPr>
        <w:t xml:space="preserve">4 </w:t>
      </w:r>
      <w:r w:rsidRPr="003D4F43">
        <w:rPr>
          <w:rFonts w:ascii="Times New Roman" w:hAnsi="Times New Roman" w:cs="Times New Roman"/>
          <w:sz w:val="21"/>
          <w:szCs w:val="21"/>
        </w:rPr>
        <w:t>р. склало 2,</w:t>
      </w:r>
      <w:r>
        <w:rPr>
          <w:rFonts w:ascii="Times New Roman" w:hAnsi="Times New Roman" w:cs="Times New Roman"/>
          <w:sz w:val="21"/>
          <w:szCs w:val="21"/>
        </w:rPr>
        <w:t>6</w:t>
      </w:r>
      <w:r w:rsidRPr="003D4F43">
        <w:rPr>
          <w:rFonts w:ascii="Times New Roman" w:hAnsi="Times New Roman" w:cs="Times New Roman"/>
          <w:sz w:val="21"/>
          <w:szCs w:val="21"/>
        </w:rPr>
        <w:t xml:space="preserve"> та 1,</w:t>
      </w:r>
      <w:r>
        <w:rPr>
          <w:rFonts w:ascii="Times New Roman" w:hAnsi="Times New Roman" w:cs="Times New Roman"/>
          <w:sz w:val="21"/>
          <w:szCs w:val="21"/>
        </w:rPr>
        <w:t>9</w:t>
      </w:r>
      <w:r w:rsidRPr="003D4F43">
        <w:rPr>
          <w:rFonts w:ascii="Times New Roman" w:hAnsi="Times New Roman" w:cs="Times New Roman"/>
          <w:sz w:val="21"/>
          <w:szCs w:val="21"/>
        </w:rPr>
        <w:t xml:space="preserve"> відсотки відповідно. Найвище безробіття у так званому «суспільному» виробництві, але вище – в особистому підсобному та домашньому господарстві. Позитивною тенденцією є зниження питомої ваги кваліфікованих фахівців серед зареєстрованих безробітних. Однак загрозливими тенденціями залишаються збільшення тривалого безробіття, молодіжного, осіб 50+ та інших соціально вразливих категорій ринку праці. Очевидний приріст зайнятості й доходів відмічається в нових видах економічної діяльності: інформаційно-технологічна сфера, туристичний бізнес, фармацевтичний бізнес і агробізнес. </w:t>
      </w:r>
    </w:p>
    <w:p w:rsidR="00B233DE" w:rsidRPr="003D4F43"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 xml:space="preserve">За повідомленням офіційних джерел, рівень безробіття в Україні відповідно до методології Міжнародної організації праці (МОТ) </w:t>
      </w:r>
      <w:r>
        <w:rPr>
          <w:rFonts w:ascii="Times New Roman" w:hAnsi="Times New Roman" w:cs="Times New Roman"/>
          <w:sz w:val="21"/>
          <w:szCs w:val="21"/>
        </w:rPr>
        <w:t xml:space="preserve">в </w:t>
      </w:r>
      <w:r w:rsidRPr="003D4F43">
        <w:rPr>
          <w:rFonts w:ascii="Times New Roman" w:hAnsi="Times New Roman" w:cs="Times New Roman"/>
          <w:sz w:val="21"/>
          <w:szCs w:val="21"/>
        </w:rPr>
        <w:t>201</w:t>
      </w:r>
      <w:r>
        <w:rPr>
          <w:rFonts w:ascii="Times New Roman" w:hAnsi="Times New Roman" w:cs="Times New Roman"/>
          <w:sz w:val="21"/>
          <w:szCs w:val="21"/>
        </w:rPr>
        <w:t>4 р.</w:t>
      </w:r>
      <w:r w:rsidRPr="003D4F43">
        <w:rPr>
          <w:rFonts w:ascii="Times New Roman" w:hAnsi="Times New Roman" w:cs="Times New Roman"/>
          <w:sz w:val="21"/>
          <w:szCs w:val="21"/>
        </w:rPr>
        <w:t xml:space="preserve"> склав </w:t>
      </w:r>
      <w:r>
        <w:rPr>
          <w:rFonts w:ascii="Times New Roman" w:hAnsi="Times New Roman" w:cs="Times New Roman"/>
          <w:sz w:val="21"/>
          <w:szCs w:val="21"/>
        </w:rPr>
        <w:t>9,3 % по відношенню до економічно активного населення</w:t>
      </w:r>
      <w:r w:rsidRPr="003D4F43">
        <w:rPr>
          <w:rFonts w:ascii="Times New Roman" w:hAnsi="Times New Roman" w:cs="Times New Roman"/>
          <w:sz w:val="21"/>
          <w:szCs w:val="21"/>
        </w:rPr>
        <w:t>. Рівень зареєстрованого безробіття в цілому по країні за листопад збільшився на 0,2 відсоткового пункту на 1 грудня попереднього року становив 1,6</w:t>
      </w:r>
      <w:r>
        <w:rPr>
          <w:rFonts w:ascii="Times New Roman" w:hAnsi="Times New Roman" w:cs="Times New Roman"/>
          <w:sz w:val="21"/>
          <w:szCs w:val="21"/>
        </w:rPr>
        <w:t xml:space="preserve"> </w:t>
      </w:r>
      <w:r w:rsidRPr="003D4F43">
        <w:rPr>
          <w:rFonts w:ascii="Times New Roman" w:hAnsi="Times New Roman" w:cs="Times New Roman"/>
          <w:sz w:val="21"/>
          <w:szCs w:val="21"/>
        </w:rPr>
        <w:t>% населення працездатного віку. За 3</w:t>
      </w:r>
      <w:r>
        <w:rPr>
          <w:rFonts w:ascii="Times New Roman" w:hAnsi="Times New Roman" w:cs="Times New Roman"/>
          <w:sz w:val="21"/>
          <w:szCs w:val="21"/>
        </w:rPr>
        <w:t>–</w:t>
      </w:r>
      <w:r w:rsidRPr="003D4F43">
        <w:rPr>
          <w:rFonts w:ascii="Times New Roman" w:hAnsi="Times New Roman" w:cs="Times New Roman"/>
          <w:sz w:val="21"/>
          <w:szCs w:val="21"/>
        </w:rPr>
        <w:t>5 місяців ця цифра може зрости до 1,5 млн. чоловік.</w:t>
      </w:r>
    </w:p>
    <w:p w:rsidR="00B233DE" w:rsidRPr="003D4F43"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 xml:space="preserve">Ринок праці України трохи інертний і на економічні потрясіння реагує з деяким тимчасовим запізненням. Проте, офіційні цифри безробіття – це лише слабке відбиття реальних проблем у сфері зайнятості. Багато підприємств, як і під час попередньої економічної кризи, працюють за схемою часткової, </w:t>
      </w:r>
      <w:r w:rsidRPr="003D4F43">
        <w:rPr>
          <w:rFonts w:ascii="Times New Roman" w:hAnsi="Times New Roman" w:cs="Times New Roman"/>
          <w:sz w:val="21"/>
          <w:szCs w:val="21"/>
        </w:rPr>
        <w:lastRenderedPageBreak/>
        <w:t>неповної зайнятості. Також слід взяти до уваги, що держава офіційно не враховує в цю кількість фактично безробітних жителів сільської місцевості.</w:t>
      </w:r>
    </w:p>
    <w:p w:rsidR="00B233DE" w:rsidRPr="003D4F43"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При цьому, слід зазначити, що 44</w:t>
      </w:r>
      <w:r>
        <w:rPr>
          <w:rFonts w:ascii="Times New Roman" w:hAnsi="Times New Roman" w:cs="Times New Roman"/>
          <w:sz w:val="21"/>
          <w:szCs w:val="21"/>
        </w:rPr>
        <w:t xml:space="preserve"> </w:t>
      </w:r>
      <w:r w:rsidRPr="003D4F43">
        <w:rPr>
          <w:rFonts w:ascii="Times New Roman" w:hAnsi="Times New Roman" w:cs="Times New Roman"/>
          <w:sz w:val="21"/>
          <w:szCs w:val="21"/>
        </w:rPr>
        <w:t>% незайнятих на ринку праці України – це молоді люди віком до 35 років, хоча більшість вакансій орієнтован</w:t>
      </w:r>
      <w:r>
        <w:rPr>
          <w:rFonts w:ascii="Times New Roman" w:hAnsi="Times New Roman" w:cs="Times New Roman"/>
          <w:sz w:val="21"/>
          <w:szCs w:val="21"/>
        </w:rPr>
        <w:t>а саме на цей вік</w:t>
      </w:r>
      <w:r w:rsidRPr="003D4F43">
        <w:rPr>
          <w:rFonts w:ascii="Times New Roman" w:hAnsi="Times New Roman" w:cs="Times New Roman"/>
          <w:sz w:val="21"/>
          <w:szCs w:val="21"/>
        </w:rPr>
        <w:t>. Це можна пояснити тим, що суттєвою проблемою є невідповідність попиту на працівників і їхньо</w:t>
      </w:r>
      <w:r>
        <w:rPr>
          <w:rFonts w:ascii="Times New Roman" w:hAnsi="Times New Roman" w:cs="Times New Roman"/>
          <w:sz w:val="21"/>
          <w:szCs w:val="21"/>
        </w:rPr>
        <w:t>ї</w:t>
      </w:r>
      <w:r w:rsidRPr="003D4F43">
        <w:rPr>
          <w:rFonts w:ascii="Times New Roman" w:hAnsi="Times New Roman" w:cs="Times New Roman"/>
          <w:sz w:val="21"/>
          <w:szCs w:val="21"/>
        </w:rPr>
        <w:t xml:space="preserve"> професійно</w:t>
      </w:r>
      <w:r>
        <w:rPr>
          <w:rFonts w:ascii="Times New Roman" w:hAnsi="Times New Roman" w:cs="Times New Roman"/>
          <w:sz w:val="21"/>
          <w:szCs w:val="21"/>
        </w:rPr>
        <w:t>ї</w:t>
      </w:r>
      <w:r w:rsidRPr="003D4F43">
        <w:rPr>
          <w:rFonts w:ascii="Times New Roman" w:hAnsi="Times New Roman" w:cs="Times New Roman"/>
          <w:sz w:val="21"/>
          <w:szCs w:val="21"/>
        </w:rPr>
        <w:t xml:space="preserve"> кваліфікаці</w:t>
      </w:r>
      <w:r>
        <w:rPr>
          <w:rFonts w:ascii="Times New Roman" w:hAnsi="Times New Roman" w:cs="Times New Roman"/>
          <w:sz w:val="21"/>
          <w:szCs w:val="21"/>
        </w:rPr>
        <w:t>ї</w:t>
      </w:r>
      <w:r w:rsidRPr="003D4F43">
        <w:rPr>
          <w:rFonts w:ascii="Times New Roman" w:hAnsi="Times New Roman" w:cs="Times New Roman"/>
          <w:sz w:val="21"/>
          <w:szCs w:val="21"/>
        </w:rPr>
        <w:t>. Також, на нашу думку, підбір персоналу і комплектацію вакансій ускладнюють завищені вимоги роботодавців до професійної підготовки здобувачів і їхнього досвіду роботи з одного боку, і з другого боку низький рівень опла</w:t>
      </w:r>
      <w:r>
        <w:rPr>
          <w:rFonts w:ascii="Times New Roman" w:hAnsi="Times New Roman" w:cs="Times New Roman"/>
          <w:sz w:val="21"/>
          <w:szCs w:val="21"/>
        </w:rPr>
        <w:t>-</w:t>
      </w:r>
      <w:r w:rsidRPr="003D4F43">
        <w:rPr>
          <w:rFonts w:ascii="Times New Roman" w:hAnsi="Times New Roman" w:cs="Times New Roman"/>
          <w:sz w:val="21"/>
          <w:szCs w:val="21"/>
        </w:rPr>
        <w:t>ти праці для висококваліфікованих претендентів, який пропонують роботодавці. Для вирішення цієї проблеми на ринку праці України, уряд пропонує введення професійних стандартів, які відмінно заре</w:t>
      </w:r>
      <w:r>
        <w:rPr>
          <w:rFonts w:ascii="Times New Roman" w:hAnsi="Times New Roman" w:cs="Times New Roman"/>
          <w:sz w:val="21"/>
          <w:szCs w:val="21"/>
        </w:rPr>
        <w:t>-</w:t>
      </w:r>
      <w:r w:rsidRPr="003D4F43">
        <w:rPr>
          <w:rFonts w:ascii="Times New Roman" w:hAnsi="Times New Roman" w:cs="Times New Roman"/>
          <w:sz w:val="21"/>
          <w:szCs w:val="21"/>
        </w:rPr>
        <w:t>комендували себе в країнах з розви</w:t>
      </w:r>
      <w:r>
        <w:rPr>
          <w:rFonts w:ascii="Times New Roman" w:hAnsi="Times New Roman" w:cs="Times New Roman"/>
          <w:sz w:val="21"/>
          <w:szCs w:val="21"/>
        </w:rPr>
        <w:t>ну</w:t>
      </w:r>
      <w:r w:rsidRPr="003D4F43">
        <w:rPr>
          <w:rFonts w:ascii="Times New Roman" w:hAnsi="Times New Roman" w:cs="Times New Roman"/>
          <w:sz w:val="21"/>
          <w:szCs w:val="21"/>
        </w:rPr>
        <w:t>тою ринковою економікою.</w:t>
      </w:r>
    </w:p>
    <w:p w:rsidR="00B233DE" w:rsidRPr="003D4F43"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На етапі економічного відновлення в Україні набуває особливої значимості здійснення регулюючих заходів, спрямованих на ліквідацію прихованого безробіття, проведення політики забезпечення повної продуктивної зайнятості. Зусилля органів державної влади і, насамперед</w:t>
      </w:r>
      <w:r>
        <w:rPr>
          <w:rFonts w:ascii="Times New Roman" w:hAnsi="Times New Roman" w:cs="Times New Roman"/>
          <w:sz w:val="21"/>
          <w:szCs w:val="21"/>
        </w:rPr>
        <w:t>,</w:t>
      </w:r>
      <w:r w:rsidRPr="003D4F43">
        <w:rPr>
          <w:rFonts w:ascii="Times New Roman" w:hAnsi="Times New Roman" w:cs="Times New Roman"/>
          <w:sz w:val="21"/>
          <w:szCs w:val="21"/>
        </w:rPr>
        <w:t xml:space="preserve"> уряду, мають концентруватися на запровадженні дієвих стимулів створення нових робочих місць, забезпечення гарантій зайнятості в процесі приватизації та реструктуризації підприємств, на підтримці підприємництва і самозайнятості населення, розширенні практики громадських робіт, підвищенні гнучкості ринку праці. Мета державної політики щодо неформального сектора та натурального господарства полягає в поступовому переведенні зайнятого там населення до більш високого рівня організації шляхом сприяння повній, продуктивній, вільно обраній зайнятості й покращання соціального захисту вразливих верств населення [</w:t>
      </w:r>
      <w:r>
        <w:rPr>
          <w:rFonts w:ascii="Times New Roman" w:hAnsi="Times New Roman" w:cs="Times New Roman"/>
          <w:iCs/>
          <w:sz w:val="21"/>
          <w:szCs w:val="21"/>
          <w:highlight w:val="yellow"/>
        </w:rPr>
        <w:fldChar w:fldCharType="begin"/>
      </w:r>
      <w:r>
        <w:rPr>
          <w:rFonts w:ascii="Times New Roman" w:hAnsi="Times New Roman" w:cs="Times New Roman"/>
          <w:sz w:val="21"/>
          <w:szCs w:val="21"/>
        </w:rPr>
        <w:instrText xml:space="preserve"> REF _Ref433977007 \r \h </w:instrText>
      </w:r>
      <w:r>
        <w:rPr>
          <w:rFonts w:ascii="Times New Roman" w:hAnsi="Times New Roman" w:cs="Times New Roman"/>
          <w:iCs/>
          <w:sz w:val="21"/>
          <w:szCs w:val="21"/>
          <w:highlight w:val="yellow"/>
        </w:rPr>
      </w:r>
      <w:r>
        <w:rPr>
          <w:rFonts w:ascii="Times New Roman" w:hAnsi="Times New Roman" w:cs="Times New Roman"/>
          <w:iCs/>
          <w:sz w:val="21"/>
          <w:szCs w:val="21"/>
          <w:highlight w:val="yellow"/>
        </w:rPr>
        <w:fldChar w:fldCharType="separate"/>
      </w:r>
      <w:r>
        <w:rPr>
          <w:rFonts w:ascii="Times New Roman" w:hAnsi="Times New Roman" w:cs="Times New Roman"/>
          <w:sz w:val="21"/>
          <w:szCs w:val="21"/>
        </w:rPr>
        <w:t>32</w:t>
      </w:r>
      <w:r>
        <w:rPr>
          <w:rFonts w:ascii="Times New Roman" w:hAnsi="Times New Roman" w:cs="Times New Roman"/>
          <w:iCs/>
          <w:sz w:val="21"/>
          <w:szCs w:val="21"/>
          <w:highlight w:val="yellow"/>
        </w:rPr>
        <w:fldChar w:fldCharType="end"/>
      </w:r>
      <w:r w:rsidRPr="003D4F43">
        <w:rPr>
          <w:rFonts w:ascii="Times New Roman" w:hAnsi="Times New Roman" w:cs="Times New Roman"/>
          <w:sz w:val="21"/>
          <w:szCs w:val="21"/>
        </w:rPr>
        <w:t>].</w:t>
      </w:r>
    </w:p>
    <w:p w:rsidR="00B233DE" w:rsidRPr="003D4F43"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 xml:space="preserve">Результативність системи моніторингу стану ринку праці оцінюється системою сформованих у модулі показників, що визначають стан, динаміку розвитку та ефективність використання трудового потенціалу. Функціонування регіональної системи управління ринком праці забезпечується відповідним організаційним та економічним механізмами. Організаційний механізм містить: системний аналіз процесів формування та використання трудового потенціалу, стратегічне прогнозування, програмно-цільове планування його розвитку та підвищення </w:t>
      </w:r>
      <w:r w:rsidRPr="003D4F43">
        <w:rPr>
          <w:rFonts w:ascii="Times New Roman" w:hAnsi="Times New Roman" w:cs="Times New Roman"/>
          <w:sz w:val="21"/>
          <w:szCs w:val="21"/>
        </w:rPr>
        <w:lastRenderedPageBreak/>
        <w:t xml:space="preserve">ефективності використання, підсистему моніторингу та регулювання. Економічний механізм управління ринком праці має засоби та інструменти, що стимулюють розвиток трудового потенціалу через кількісну та якісну складові та найбільш повне його використання. Ці заходи можуть здійснюватися з боку держави, адміністративної території та підприємства, а також поділятися на прямі та побічні. Методи прямого стимулювання впливають безпосередньо на обсяг пропозиції робочої сили та її якісні характеристики. Методи побічного стимулювання впливають на чинники, що сприяють формуванню та раціональному використанню трудового потенціалу. Зокрема, це заходи, що стимулюють приватні та державні </w:t>
      </w:r>
      <w:r>
        <w:rPr>
          <w:rFonts w:ascii="Times New Roman" w:hAnsi="Times New Roman" w:cs="Times New Roman"/>
          <w:sz w:val="21"/>
          <w:szCs w:val="21"/>
        </w:rPr>
        <w:t>інвестиції у сфері нарощування «людського капіталу»</w:t>
      </w:r>
      <w:r w:rsidRPr="003D4F43">
        <w:rPr>
          <w:rFonts w:ascii="Times New Roman" w:hAnsi="Times New Roman" w:cs="Times New Roman"/>
          <w:sz w:val="21"/>
          <w:szCs w:val="21"/>
        </w:rPr>
        <w:t xml:space="preserve">, тимчасові пільги підприємствам, що в умовах роздержавлення та приватизації зберігають робочі місця, залежність доходів робітників від змін у вартості робочої сили, сприяння зайнятості </w:t>
      </w:r>
      <w:r>
        <w:rPr>
          <w:rFonts w:ascii="Times New Roman" w:hAnsi="Times New Roman" w:cs="Times New Roman"/>
          <w:sz w:val="21"/>
          <w:szCs w:val="21"/>
        </w:rPr>
        <w:t>тощо</w:t>
      </w:r>
      <w:r w:rsidRPr="003D4F43">
        <w:rPr>
          <w:rFonts w:ascii="Times New Roman" w:hAnsi="Times New Roman" w:cs="Times New Roman"/>
          <w:sz w:val="21"/>
          <w:szCs w:val="21"/>
        </w:rPr>
        <w:t>.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_Ref435784164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24</w:t>
      </w:r>
      <w:r>
        <w:rPr>
          <w:rFonts w:ascii="Times New Roman" w:hAnsi="Times New Roman" w:cs="Times New Roman"/>
          <w:sz w:val="21"/>
          <w:szCs w:val="21"/>
          <w:highlight w:val="yellow"/>
        </w:rPr>
        <w:fldChar w:fldCharType="end"/>
      </w:r>
      <w:r>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_Ref435784172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76</w:t>
      </w:r>
      <w:r>
        <w:rPr>
          <w:rFonts w:ascii="Times New Roman" w:hAnsi="Times New Roman" w:cs="Times New Roman"/>
          <w:sz w:val="21"/>
          <w:szCs w:val="21"/>
          <w:highlight w:val="yellow"/>
        </w:rPr>
        <w:fldChar w:fldCharType="end"/>
      </w:r>
      <w:r w:rsidRPr="003D4F43">
        <w:rPr>
          <w:rFonts w:ascii="Times New Roman" w:hAnsi="Times New Roman" w:cs="Times New Roman"/>
          <w:sz w:val="21"/>
          <w:szCs w:val="21"/>
        </w:rPr>
        <w:t>]. Таким чином, державне регулювання ринку праці можна визначити як систему правових та організаційно-економічних заходів держави щодо забезпечення ефективної зайнятості, нормальних умов праці та раціонального використання робочої сили. Упровадження запропонованого механізму державного регулювання ринку праці надає можливість:</w:t>
      </w:r>
    </w:p>
    <w:p w:rsidR="00B233DE" w:rsidRPr="003D4F43" w:rsidRDefault="00B233DE" w:rsidP="00B233DE">
      <w:pPr>
        <w:jc w:val="both"/>
        <w:rPr>
          <w:rFonts w:ascii="Times New Roman" w:hAnsi="Times New Roman" w:cs="Times New Roman"/>
          <w:sz w:val="21"/>
          <w:szCs w:val="21"/>
        </w:rPr>
      </w:pPr>
      <w:r w:rsidRPr="003D4F43">
        <w:rPr>
          <w:rFonts w:ascii="Times New Roman" w:hAnsi="Times New Roman" w:cs="Times New Roman"/>
          <w:sz w:val="21"/>
          <w:szCs w:val="21"/>
        </w:rPr>
        <w:t>– використання потенційних можливостей для підвищення ефективності економіки;</w:t>
      </w:r>
    </w:p>
    <w:p w:rsidR="00B233DE" w:rsidRPr="003D4F43" w:rsidRDefault="00B233DE" w:rsidP="00B233DE">
      <w:pPr>
        <w:jc w:val="both"/>
        <w:rPr>
          <w:rFonts w:ascii="Times New Roman" w:hAnsi="Times New Roman" w:cs="Times New Roman"/>
          <w:sz w:val="21"/>
          <w:szCs w:val="21"/>
        </w:rPr>
      </w:pPr>
      <w:r w:rsidRPr="003D4F43">
        <w:rPr>
          <w:rFonts w:ascii="Times New Roman" w:hAnsi="Times New Roman" w:cs="Times New Roman"/>
          <w:sz w:val="21"/>
          <w:szCs w:val="21"/>
        </w:rPr>
        <w:t>– забезпечення працівників доходами, що дає можливість задовольняти їх соціально-економічні потреби та посилює соціальну захищеність;</w:t>
      </w:r>
    </w:p>
    <w:p w:rsidR="00B233DE" w:rsidRPr="003D4F43" w:rsidRDefault="00B233DE" w:rsidP="00B233DE">
      <w:pPr>
        <w:jc w:val="both"/>
        <w:rPr>
          <w:rFonts w:ascii="Times New Roman" w:hAnsi="Times New Roman" w:cs="Times New Roman"/>
          <w:sz w:val="21"/>
          <w:szCs w:val="21"/>
        </w:rPr>
      </w:pPr>
      <w:r w:rsidRPr="003D4F43">
        <w:rPr>
          <w:rFonts w:ascii="Times New Roman" w:hAnsi="Times New Roman" w:cs="Times New Roman"/>
          <w:sz w:val="21"/>
          <w:szCs w:val="21"/>
        </w:rPr>
        <w:t>– зменшення розшарування та соціальної напруги в суспільстві, забезпечення соціально-економічної стабільності.</w:t>
      </w:r>
    </w:p>
    <w:p w:rsidR="00B233DE" w:rsidRPr="003D4F43" w:rsidRDefault="00B233DE" w:rsidP="00B233DE">
      <w:pPr>
        <w:ind w:firstLine="708"/>
        <w:jc w:val="both"/>
        <w:rPr>
          <w:rFonts w:ascii="Times New Roman" w:hAnsi="Times New Roman" w:cs="Times New Roman"/>
          <w:sz w:val="21"/>
          <w:szCs w:val="21"/>
        </w:rPr>
      </w:pPr>
      <w:r w:rsidRPr="003D4F43">
        <w:rPr>
          <w:rFonts w:ascii="Times New Roman" w:hAnsi="Times New Roman" w:cs="Times New Roman"/>
          <w:sz w:val="21"/>
          <w:szCs w:val="21"/>
        </w:rPr>
        <w:t>Основні принци державного монітор</w:t>
      </w:r>
      <w:r>
        <w:rPr>
          <w:rFonts w:ascii="Times New Roman" w:hAnsi="Times New Roman" w:cs="Times New Roman"/>
          <w:sz w:val="21"/>
          <w:szCs w:val="21"/>
        </w:rPr>
        <w:t xml:space="preserve">ингу та регулювання ринку праці </w:t>
      </w:r>
      <w:r w:rsidRPr="003D4F43">
        <w:rPr>
          <w:rFonts w:ascii="Times New Roman" w:hAnsi="Times New Roman" w:cs="Times New Roman"/>
          <w:sz w:val="21"/>
          <w:szCs w:val="21"/>
        </w:rPr>
        <w:t xml:space="preserve">наведено на рис. </w:t>
      </w:r>
      <w:r>
        <w:rPr>
          <w:rFonts w:ascii="Times New Roman" w:hAnsi="Times New Roman" w:cs="Times New Roman"/>
          <w:sz w:val="21"/>
          <w:szCs w:val="21"/>
        </w:rPr>
        <w:t>3.</w:t>
      </w:r>
      <w:r w:rsidRPr="003D4F43">
        <w:rPr>
          <w:rFonts w:ascii="Times New Roman" w:hAnsi="Times New Roman" w:cs="Times New Roman"/>
          <w:sz w:val="21"/>
          <w:szCs w:val="21"/>
        </w:rPr>
        <w:t>1.</w:t>
      </w:r>
    </w:p>
    <w:p w:rsidR="00B233DE" w:rsidRDefault="00B233DE" w:rsidP="00B233DE">
      <w:pPr>
        <w:ind w:firstLine="708"/>
        <w:jc w:val="both"/>
        <w:rPr>
          <w:rFonts w:ascii="Times New Roman" w:hAnsi="Times New Roman" w:cs="Times New Roman"/>
          <w:sz w:val="21"/>
          <w:szCs w:val="21"/>
        </w:rPr>
      </w:pPr>
      <w:r w:rsidRPr="001E021F">
        <w:rPr>
          <w:rFonts w:ascii="Times New Roman" w:hAnsi="Times New Roman" w:cs="Times New Roman"/>
          <w:sz w:val="21"/>
          <w:szCs w:val="21"/>
        </w:rPr>
        <w:t>Об’єктами державного моніторингу та регулювання ринку праці є: зайнятість (регулювання пропозиції робочої сили та робочих місць); соціальні відносини між роботодавцями і працюючими; трудові відносини (оплата праці, охорона праці, умови найму, звільнення); підготовка, перепідготовка, підвищення кваліфікації працівників; розподіл та перерозподіл робочої сили.</w:t>
      </w:r>
    </w:p>
    <w:p w:rsidR="00B233DE" w:rsidRPr="001E021F" w:rsidRDefault="00B233DE" w:rsidP="00B233DE">
      <w:pPr>
        <w:ind w:firstLine="708"/>
        <w:jc w:val="both"/>
        <w:rPr>
          <w:rFonts w:ascii="Times New Roman" w:hAnsi="Times New Roman" w:cs="Times New Roman"/>
          <w:sz w:val="21"/>
          <w:szCs w:val="21"/>
        </w:rPr>
      </w:pPr>
      <w:r w:rsidRPr="001E021F">
        <w:rPr>
          <w:rFonts w:ascii="Times New Roman" w:hAnsi="Times New Roman" w:cs="Times New Roman"/>
          <w:sz w:val="21"/>
          <w:szCs w:val="21"/>
        </w:rPr>
        <w:t>Виходячи із механізму моніторингу та регулювання ринку праці, суб’єктами цього процесу в Україні виступають:</w:t>
      </w:r>
    </w:p>
    <w:p w:rsidR="00B233DE" w:rsidRPr="001E021F" w:rsidRDefault="00B233DE" w:rsidP="00B233DE">
      <w:pPr>
        <w:ind w:firstLine="708"/>
        <w:jc w:val="both"/>
        <w:rPr>
          <w:rFonts w:ascii="Times New Roman" w:hAnsi="Times New Roman" w:cs="Times New Roman"/>
          <w:sz w:val="21"/>
          <w:szCs w:val="21"/>
        </w:rPr>
      </w:pPr>
      <w:r w:rsidRPr="001E021F">
        <w:rPr>
          <w:rFonts w:ascii="Times New Roman" w:hAnsi="Times New Roman" w:cs="Times New Roman"/>
          <w:sz w:val="21"/>
          <w:szCs w:val="21"/>
        </w:rPr>
        <w:t xml:space="preserve">– Міністерство праці та соціальної політики; </w:t>
      </w:r>
    </w:p>
    <w:p w:rsidR="00B233DE" w:rsidRPr="001E021F" w:rsidRDefault="00B233DE" w:rsidP="00B233DE">
      <w:pPr>
        <w:ind w:firstLine="708"/>
        <w:jc w:val="both"/>
        <w:rPr>
          <w:rFonts w:ascii="Times New Roman" w:hAnsi="Times New Roman" w:cs="Times New Roman"/>
          <w:sz w:val="21"/>
          <w:szCs w:val="21"/>
        </w:rPr>
      </w:pPr>
      <w:r w:rsidRPr="001E021F">
        <w:rPr>
          <w:rFonts w:ascii="Times New Roman" w:hAnsi="Times New Roman" w:cs="Times New Roman"/>
          <w:sz w:val="21"/>
          <w:szCs w:val="21"/>
        </w:rPr>
        <w:lastRenderedPageBreak/>
        <w:t>– служби зайнятості (обласні, міські, районні);</w:t>
      </w:r>
    </w:p>
    <w:p w:rsidR="00B233DE" w:rsidRDefault="00B233DE" w:rsidP="00B233DE">
      <w:pPr>
        <w:ind w:firstLine="708"/>
        <w:jc w:val="both"/>
        <w:rPr>
          <w:rFonts w:ascii="Times New Roman" w:hAnsi="Times New Roman" w:cs="Times New Roman"/>
          <w:sz w:val="21"/>
          <w:szCs w:val="21"/>
        </w:rPr>
      </w:pPr>
      <w:r w:rsidRPr="001E021F">
        <w:rPr>
          <w:rFonts w:ascii="Times New Roman" w:hAnsi="Times New Roman" w:cs="Times New Roman"/>
          <w:sz w:val="21"/>
          <w:szCs w:val="21"/>
        </w:rPr>
        <w:t>– відділи та управління з праці та соціальних питань при державних адміністраціях.</w:t>
      </w:r>
    </w:p>
    <w:p w:rsidR="00B233DE" w:rsidRDefault="00B233DE" w:rsidP="00B233DE">
      <w:pPr>
        <w:ind w:firstLine="708"/>
        <w:jc w:val="both"/>
        <w:rPr>
          <w:rFonts w:ascii="Times New Roman" w:hAnsi="Times New Roman" w:cs="Times New Roman"/>
          <w:sz w:val="21"/>
          <w:szCs w:val="21"/>
        </w:rPr>
      </w:pPr>
      <w:r>
        <w:rPr>
          <w:rFonts w:ascii="Times New Roman" w:hAnsi="Times New Roman" w:cs="Times New Roman"/>
          <w:noProof/>
          <w:sz w:val="21"/>
          <w:szCs w:val="21"/>
          <w:lang w:val="ru-RU" w:eastAsia="ru-RU"/>
        </w:rPr>
        <mc:AlternateContent>
          <mc:Choice Requires="wpg">
            <w:drawing>
              <wp:anchor distT="0" distB="0" distL="114300" distR="114300" simplePos="0" relativeHeight="251667456" behindDoc="0" locked="0" layoutInCell="1" allowOverlap="1" wp14:anchorId="178BA7B7" wp14:editId="63ADDA64">
                <wp:simplePos x="0" y="0"/>
                <wp:positionH relativeFrom="column">
                  <wp:posOffset>3810</wp:posOffset>
                </wp:positionH>
                <wp:positionV relativeFrom="paragraph">
                  <wp:posOffset>121920</wp:posOffset>
                </wp:positionV>
                <wp:extent cx="3879850" cy="1466850"/>
                <wp:effectExtent l="0" t="0" r="25400" b="19050"/>
                <wp:wrapNone/>
                <wp:docPr id="14" name="Группа 14"/>
                <wp:cNvGraphicFramePr/>
                <a:graphic xmlns:a="http://schemas.openxmlformats.org/drawingml/2006/main">
                  <a:graphicData uri="http://schemas.microsoft.com/office/word/2010/wordprocessingGroup">
                    <wpg:wgp>
                      <wpg:cNvGrpSpPr/>
                      <wpg:grpSpPr>
                        <a:xfrm>
                          <a:off x="0" y="0"/>
                          <a:ext cx="3879850" cy="1466850"/>
                          <a:chOff x="0" y="0"/>
                          <a:chExt cx="3879850" cy="1657350"/>
                        </a:xfrm>
                      </wpg:grpSpPr>
                      <wps:wsp>
                        <wps:cNvPr id="64" name="Прямоугольник 64"/>
                        <wps:cNvSpPr/>
                        <wps:spPr>
                          <a:xfrm>
                            <a:off x="736600" y="0"/>
                            <a:ext cx="2717800" cy="22225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1E021F"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Принципи державного регулювання ринку праці</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5" name="Прямоугольник 65"/>
                        <wps:cNvSpPr/>
                        <wps:spPr>
                          <a:xfrm>
                            <a:off x="0" y="457200"/>
                            <a:ext cx="1047750" cy="120015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Рівність (правова, економічна, нормативна) сторін </w:t>
                              </w:r>
                            </w:p>
                            <w:p w:rsidR="00BE40F8" w:rsidRPr="001E021F"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у відносинах «роботодавець – працівник»</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6" name="Прямоугольник 66"/>
                        <wps:cNvSpPr/>
                        <wps:spPr>
                          <a:xfrm>
                            <a:off x="1181100" y="457200"/>
                            <a:ext cx="1282700" cy="120015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Держава як посередник у </w:t>
                              </w:r>
                              <w:r w:rsidRPr="005633E9">
                                <w:rPr>
                                  <w:rFonts w:ascii="Times New Roman" w:hAnsi="Times New Roman" w:cs="Times New Roman"/>
                                  <w:color w:val="000000" w:themeColor="text1"/>
                                  <w:spacing w:val="-8"/>
                                  <w:sz w:val="18"/>
                                  <w:szCs w:val="18"/>
                                </w:rPr>
                                <w:t>сфері праці має забезпечити:</w:t>
                              </w:r>
                            </w:p>
                            <w:p w:rsidR="00BE40F8" w:rsidRDefault="00BE40F8" w:rsidP="00B233DE">
                              <w:pPr>
                                <w:pStyle w:val="ad"/>
                                <w:numPr>
                                  <w:ilvl w:val="0"/>
                                  <w:numId w:val="7"/>
                                </w:numPr>
                                <w:tabs>
                                  <w:tab w:val="left" w:pos="284"/>
                                </w:tabs>
                                <w:ind w:left="0" w:firstLine="142"/>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зростання ефектив-ності трудових відносин;</w:t>
                              </w:r>
                            </w:p>
                            <w:p w:rsidR="00BE40F8" w:rsidRPr="001E021F" w:rsidRDefault="00BE40F8" w:rsidP="00B233DE">
                              <w:pPr>
                                <w:pStyle w:val="ad"/>
                                <w:numPr>
                                  <w:ilvl w:val="0"/>
                                  <w:numId w:val="7"/>
                                </w:numPr>
                                <w:tabs>
                                  <w:tab w:val="left" w:pos="284"/>
                                </w:tabs>
                                <w:ind w:left="0" w:firstLine="142"/>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раціональне викори-стання трудових ресурсів</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7" name="Прямоугольник 67"/>
                        <wps:cNvSpPr/>
                        <wps:spPr>
                          <a:xfrm>
                            <a:off x="2565400" y="450850"/>
                            <a:ext cx="1314450" cy="120650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1E021F"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Суспільне визнання унікальної цінності праці (використання людини за її фахом, кваліфікацією та з врахуванням набутого досвіду)</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8" name="Прямая соединительная линия 68"/>
                        <wps:cNvCnPr/>
                        <wps:spPr>
                          <a:xfrm>
                            <a:off x="514350" y="336550"/>
                            <a:ext cx="3060700" cy="0"/>
                          </a:xfrm>
                          <a:prstGeom prst="line">
                            <a:avLst/>
                          </a:prstGeom>
                          <a:ln w="3175"/>
                        </wps:spPr>
                        <wps:style>
                          <a:lnRef idx="1">
                            <a:schemeClr val="dk1"/>
                          </a:lnRef>
                          <a:fillRef idx="0">
                            <a:schemeClr val="dk1"/>
                          </a:fillRef>
                          <a:effectRef idx="0">
                            <a:schemeClr val="dk1"/>
                          </a:effectRef>
                          <a:fontRef idx="minor">
                            <a:schemeClr val="tx1"/>
                          </a:fontRef>
                        </wps:style>
                        <wps:bodyPr/>
                      </wps:wsp>
                      <wps:wsp>
                        <wps:cNvPr id="69" name="Прямая соединительная линия 69"/>
                        <wps:cNvCnPr/>
                        <wps:spPr>
                          <a:xfrm>
                            <a:off x="514350" y="336550"/>
                            <a:ext cx="0" cy="120650"/>
                          </a:xfrm>
                          <a:prstGeom prst="line">
                            <a:avLst/>
                          </a:prstGeom>
                          <a:ln w="3175">
                            <a:tailEnd type="triangle"/>
                          </a:ln>
                        </wps:spPr>
                        <wps:style>
                          <a:lnRef idx="1">
                            <a:schemeClr val="dk1"/>
                          </a:lnRef>
                          <a:fillRef idx="0">
                            <a:schemeClr val="dk1"/>
                          </a:fillRef>
                          <a:effectRef idx="0">
                            <a:schemeClr val="dk1"/>
                          </a:effectRef>
                          <a:fontRef idx="minor">
                            <a:schemeClr val="tx1"/>
                          </a:fontRef>
                        </wps:style>
                        <wps:bodyPr/>
                      </wps:wsp>
                      <wps:wsp>
                        <wps:cNvPr id="70" name="Прямая соединительная линия 70"/>
                        <wps:cNvCnPr/>
                        <wps:spPr>
                          <a:xfrm>
                            <a:off x="1860550" y="222250"/>
                            <a:ext cx="0" cy="234950"/>
                          </a:xfrm>
                          <a:prstGeom prst="line">
                            <a:avLst/>
                          </a:prstGeom>
                          <a:ln w="3175">
                            <a:tailEnd type="triangle"/>
                          </a:ln>
                        </wps:spPr>
                        <wps:style>
                          <a:lnRef idx="1">
                            <a:schemeClr val="dk1"/>
                          </a:lnRef>
                          <a:fillRef idx="0">
                            <a:schemeClr val="dk1"/>
                          </a:fillRef>
                          <a:effectRef idx="0">
                            <a:schemeClr val="dk1"/>
                          </a:effectRef>
                          <a:fontRef idx="minor">
                            <a:schemeClr val="tx1"/>
                          </a:fontRef>
                        </wps:style>
                        <wps:bodyPr/>
                      </wps:wsp>
                      <wps:wsp>
                        <wps:cNvPr id="71" name="Прямая соединительная линия 71"/>
                        <wps:cNvCnPr/>
                        <wps:spPr>
                          <a:xfrm>
                            <a:off x="3575050" y="336550"/>
                            <a:ext cx="0" cy="120650"/>
                          </a:xfrm>
                          <a:prstGeom prst="line">
                            <a:avLst/>
                          </a:prstGeom>
                          <a:ln w="3175">
                            <a:tailEnd type="triangle"/>
                          </a:ln>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178BA7B7" id="Группа 14" o:spid="_x0000_s1110" style="position:absolute;left:0;text-align:left;margin-left:.3pt;margin-top:9.6pt;width:305.5pt;height:115.5pt;z-index:251667456;mso-position-horizontal-relative:text;mso-position-vertical-relative:text;mso-height-relative:margin" coordsize="38798,165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">
                <v:rect id="Прямоугольник 64" o:spid="_x0000_s1111" style="position:absolute;left:7366;width:27178;height:22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" filled="f" strokecolor="black [3213]" strokeweight=".25pt">
                  <v:textbox inset="0,0,0,0">
                    <w:txbxContent>
                      <w:p w:rsidR="00BE40F8" w:rsidRPr="001E021F"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Принципи державного регулювання ринку праці</w:t>
                        </w:r>
                      </w:p>
                    </w:txbxContent>
                  </v:textbox>
                </v:rect>
                <v:rect id="Прямоугольник 65" o:spid="_x0000_s1112" style="position:absolute;top:4572;width:10477;height:12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" filled="f" strokecolor="black [3213]" strokeweight=".25pt">
                  <v:textbox inset="0,0,0,0">
                    <w:txbxContent>
                      <w:p w:rsidR="00BE40F8"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Рівність (правова, економічна, нормативна) сторін </w:t>
                        </w:r>
                      </w:p>
                      <w:p w:rsidR="00BE40F8" w:rsidRPr="001E021F"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у відносинах «роботодавець – працівник»</w:t>
                        </w:r>
                      </w:p>
                    </w:txbxContent>
                  </v:textbox>
                </v:rect>
                <v:rect id="Прямоугольник 66" o:spid="_x0000_s1113" style="position:absolute;left:11811;top:4572;width:12827;height:12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" filled="f" strokecolor="black [3213]" strokeweight=".25pt">
                  <v:textbox inset="0,0,0,0">
                    <w:txbxContent>
                      <w:p w:rsidR="00BE40F8"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Держава як посередник у </w:t>
                        </w:r>
                        <w:r w:rsidRPr="005633E9">
                          <w:rPr>
                            <w:rFonts w:ascii="Times New Roman" w:hAnsi="Times New Roman" w:cs="Times New Roman"/>
                            <w:color w:val="000000" w:themeColor="text1"/>
                            <w:spacing w:val="-8"/>
                            <w:sz w:val="18"/>
                            <w:szCs w:val="18"/>
                          </w:rPr>
                          <w:t>сфері праці має забезпечити:</w:t>
                        </w:r>
                      </w:p>
                      <w:p w:rsidR="00BE40F8" w:rsidRDefault="00BE40F8" w:rsidP="00B233DE">
                        <w:pPr>
                          <w:pStyle w:val="ad"/>
                          <w:numPr>
                            <w:ilvl w:val="0"/>
                            <w:numId w:val="7"/>
                          </w:numPr>
                          <w:tabs>
                            <w:tab w:val="left" w:pos="284"/>
                          </w:tabs>
                          <w:ind w:left="0" w:firstLine="142"/>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зростання ефектив-ності трудових відносин;</w:t>
                        </w:r>
                      </w:p>
                      <w:p w:rsidR="00BE40F8" w:rsidRPr="001E021F" w:rsidRDefault="00BE40F8" w:rsidP="00B233DE">
                        <w:pPr>
                          <w:pStyle w:val="ad"/>
                          <w:numPr>
                            <w:ilvl w:val="0"/>
                            <w:numId w:val="7"/>
                          </w:numPr>
                          <w:tabs>
                            <w:tab w:val="left" w:pos="284"/>
                          </w:tabs>
                          <w:ind w:left="0" w:firstLine="142"/>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раціональне викори-стання трудових ресурсів</w:t>
                        </w:r>
                      </w:p>
                    </w:txbxContent>
                  </v:textbox>
                </v:rect>
                <v:rect id="Прямоугольник 67" o:spid="_x0000_s1114" style="position:absolute;left:25654;top:4508;width:13144;height:120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" filled="f" strokecolor="black [3213]" strokeweight=".25pt">
                  <v:textbox inset="0,0,0,0">
                    <w:txbxContent>
                      <w:p w:rsidR="00BE40F8" w:rsidRPr="001E021F"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Суспільне визнання унікальної цінності праці (використання людини за її фахом, кваліфікацією та з врахуванням набутого досвіду)</w:t>
                        </w:r>
                      </w:p>
                    </w:txbxContent>
                  </v:textbox>
                </v:rect>
                <v:line id="Прямая соединительная линия 68" o:spid="_x0000_s1115" style="position:absolute;visibility:visible;mso-wrap-style:square" from="5143,3365" to="35750,33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" strokecolor="black [3040]" strokeweight=".25pt"/>
                <v:line id="Прямая соединительная линия 69" o:spid="_x0000_s1116" style="position:absolute;visibility:visible;mso-wrap-style:square" from="5143,3365" to="5143,4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" strokecolor="black [3040]" strokeweight=".25pt">
                  <v:stroke endarrow="block"/>
                </v:line>
                <v:line id="Прямая соединительная линия 70" o:spid="_x0000_s1117" style="position:absolute;visibility:visible;mso-wrap-style:square" from="18605,2222" to="18605,4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" strokecolor="black [3040]" strokeweight=".25pt">
                  <v:stroke endarrow="block"/>
                </v:line>
                <v:line id="Прямая соединительная линия 71" o:spid="_x0000_s1118" style="position:absolute;visibility:visible;mso-wrap-style:square" from="35750,3365" to="35750,4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" strokecolor="black [3040]" strokeweight=".25pt">
                  <v:stroke endarrow="block"/>
                </v:line>
              </v:group>
            </w:pict>
          </mc:Fallback>
        </mc:AlternateContent>
      </w: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Pr="005633E9" w:rsidRDefault="00B233DE" w:rsidP="00B233DE">
      <w:pPr>
        <w:ind w:firstLine="708"/>
        <w:jc w:val="center"/>
        <w:rPr>
          <w:rFonts w:ascii="Times New Roman" w:hAnsi="Times New Roman" w:cs="Times New Roman"/>
          <w:b/>
          <w:sz w:val="21"/>
          <w:szCs w:val="21"/>
        </w:rPr>
      </w:pPr>
      <w:r w:rsidRPr="005633E9">
        <w:rPr>
          <w:rFonts w:ascii="Times New Roman" w:hAnsi="Times New Roman" w:cs="Times New Roman"/>
          <w:b/>
          <w:sz w:val="21"/>
          <w:szCs w:val="21"/>
        </w:rPr>
        <w:t>Рис. 3. 1. Основні принци державного моніторингу та регулювання ринку праці</w:t>
      </w:r>
    </w:p>
    <w:p w:rsidR="00B233DE" w:rsidRPr="001E021F" w:rsidRDefault="00B233DE" w:rsidP="00B233DE">
      <w:pPr>
        <w:ind w:firstLine="708"/>
        <w:jc w:val="both"/>
        <w:rPr>
          <w:rFonts w:ascii="Times New Roman" w:hAnsi="Times New Roman" w:cs="Times New Roman"/>
          <w:sz w:val="21"/>
          <w:szCs w:val="21"/>
        </w:rPr>
      </w:pPr>
    </w:p>
    <w:p w:rsidR="00B233DE" w:rsidRPr="001E021F" w:rsidRDefault="00B233DE" w:rsidP="00B233DE">
      <w:pPr>
        <w:ind w:firstLine="708"/>
        <w:jc w:val="both"/>
        <w:rPr>
          <w:rFonts w:ascii="Times New Roman" w:hAnsi="Times New Roman" w:cs="Times New Roman"/>
          <w:sz w:val="21"/>
          <w:szCs w:val="21"/>
        </w:rPr>
      </w:pPr>
      <w:r w:rsidRPr="001E021F">
        <w:rPr>
          <w:rFonts w:ascii="Times New Roman" w:hAnsi="Times New Roman" w:cs="Times New Roman"/>
          <w:sz w:val="21"/>
          <w:szCs w:val="21"/>
        </w:rPr>
        <w:t xml:space="preserve">Особливості державного моніторингу та регулювання ринку праці в сучасних умовах наведено на рис. </w:t>
      </w:r>
      <w:r>
        <w:rPr>
          <w:rFonts w:ascii="Times New Roman" w:hAnsi="Times New Roman" w:cs="Times New Roman"/>
          <w:sz w:val="21"/>
          <w:szCs w:val="21"/>
        </w:rPr>
        <w:t>3.</w:t>
      </w:r>
      <w:r w:rsidRPr="001E021F">
        <w:rPr>
          <w:rFonts w:ascii="Times New Roman" w:hAnsi="Times New Roman" w:cs="Times New Roman"/>
          <w:sz w:val="21"/>
          <w:szCs w:val="21"/>
        </w:rPr>
        <w:t>2</w:t>
      </w:r>
      <w:r>
        <w:rPr>
          <w:rFonts w:ascii="Times New Roman" w:hAnsi="Times New Roman" w:cs="Times New Roman"/>
          <w:sz w:val="21"/>
          <w:szCs w:val="21"/>
        </w:rPr>
        <w:t>.</w:t>
      </w: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r>
        <w:rPr>
          <w:rFonts w:ascii="Times New Roman" w:hAnsi="Times New Roman" w:cs="Times New Roman"/>
          <w:noProof/>
          <w:sz w:val="21"/>
          <w:szCs w:val="21"/>
          <w:lang w:val="ru-RU" w:eastAsia="ru-RU"/>
        </w:rPr>
        <mc:AlternateContent>
          <mc:Choice Requires="wps">
            <w:drawing>
              <wp:anchor distT="0" distB="0" distL="114300" distR="114300" simplePos="0" relativeHeight="251668480" behindDoc="0" locked="0" layoutInCell="1" allowOverlap="1" wp14:anchorId="1FA01009" wp14:editId="5A93FDB6">
                <wp:simplePos x="0" y="0"/>
                <wp:positionH relativeFrom="column">
                  <wp:posOffset>1229360</wp:posOffset>
                </wp:positionH>
                <wp:positionV relativeFrom="paragraph">
                  <wp:posOffset>49530</wp:posOffset>
                </wp:positionV>
                <wp:extent cx="1428750" cy="311150"/>
                <wp:effectExtent l="0" t="0" r="19050" b="12700"/>
                <wp:wrapNone/>
                <wp:docPr id="72" name="Прямоугольник 72"/>
                <wp:cNvGraphicFramePr/>
                <a:graphic xmlns:a="http://schemas.openxmlformats.org/drawingml/2006/main">
                  <a:graphicData uri="http://schemas.microsoft.com/office/word/2010/wordprocessingShape">
                    <wps:wsp>
                      <wps:cNvSpPr/>
                      <wps:spPr>
                        <a:xfrm>
                          <a:off x="0" y="0"/>
                          <a:ext cx="1428750" cy="31115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1E021F"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Напрями державного регулювання ринку праці</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A01009" id="Прямоугольник 72" o:spid="_x0000_s1119" style="position:absolute;left:0;text-align:left;margin-left:96.8pt;margin-top:3.9pt;width:112.5pt;height:2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" filled="f" strokecolor="black [3213]" strokeweight=".25pt">
                <v:textbox inset="0,0,0,0">
                  <w:txbxContent>
                    <w:p w:rsidR="00BE40F8" w:rsidRPr="001E021F"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Напрями державного регулювання ринку праці</w:t>
                      </w:r>
                    </w:p>
                  </w:txbxContent>
                </v:textbox>
              </v:rect>
            </w:pict>
          </mc:Fallback>
        </mc:AlternateContent>
      </w:r>
      <w:r>
        <w:rPr>
          <w:rFonts w:ascii="Times New Roman" w:hAnsi="Times New Roman" w:cs="Times New Roman"/>
          <w:noProof/>
          <w:sz w:val="21"/>
          <w:szCs w:val="21"/>
          <w:lang w:val="ru-RU" w:eastAsia="ru-RU"/>
        </w:rPr>
        <mc:AlternateContent>
          <mc:Choice Requires="wps">
            <w:drawing>
              <wp:anchor distT="0" distB="0" distL="114300" distR="114300" simplePos="0" relativeHeight="251673600" behindDoc="0" locked="0" layoutInCell="1" allowOverlap="1" wp14:anchorId="7A792427" wp14:editId="146CE1BC">
                <wp:simplePos x="0" y="0"/>
                <wp:positionH relativeFrom="column">
                  <wp:posOffset>2804160</wp:posOffset>
                </wp:positionH>
                <wp:positionV relativeFrom="paragraph">
                  <wp:posOffset>49530</wp:posOffset>
                </wp:positionV>
                <wp:extent cx="1079500" cy="660400"/>
                <wp:effectExtent l="0" t="0" r="25400" b="25400"/>
                <wp:wrapNone/>
                <wp:docPr id="77" name="Прямоугольник 77"/>
                <wp:cNvGraphicFramePr/>
                <a:graphic xmlns:a="http://schemas.openxmlformats.org/drawingml/2006/main">
                  <a:graphicData uri="http://schemas.microsoft.com/office/word/2010/wordprocessingShape">
                    <wps:wsp>
                      <wps:cNvSpPr/>
                      <wps:spPr>
                        <a:xfrm>
                          <a:off x="0" y="0"/>
                          <a:ext cx="1079500" cy="66040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1E021F"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Забезпечення збалансованості на ринку праці робочих місць і робочої сили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792427" id="Прямоугольник 77" o:spid="_x0000_s1120" style="position:absolute;left:0;text-align:left;margin-left:220.8pt;margin-top:3.9pt;width:85pt;height:5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" filled="f" strokecolor="black [3213]" strokeweight=".25pt">
                <v:textbox inset="0,0,0,0">
                  <w:txbxContent>
                    <w:p w:rsidR="00BE40F8" w:rsidRPr="001E021F"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Забезпечення збалансованості на ринку праці робочих місць і робочої сили</w:t>
                      </w:r>
                    </w:p>
                  </w:txbxContent>
                </v:textbox>
              </v:rect>
            </w:pict>
          </mc:Fallback>
        </mc:AlternateContent>
      </w:r>
      <w:r>
        <w:rPr>
          <w:rFonts w:ascii="Times New Roman" w:hAnsi="Times New Roman" w:cs="Times New Roman"/>
          <w:noProof/>
          <w:sz w:val="21"/>
          <w:szCs w:val="21"/>
          <w:lang w:val="ru-RU" w:eastAsia="ru-RU"/>
        </w:rPr>
        <mc:AlternateContent>
          <mc:Choice Requires="wps">
            <w:drawing>
              <wp:anchor distT="0" distB="0" distL="114300" distR="114300" simplePos="0" relativeHeight="251669504" behindDoc="0" locked="0" layoutInCell="1" allowOverlap="1" wp14:anchorId="301C9CA0" wp14:editId="54B169DC">
                <wp:simplePos x="0" y="0"/>
                <wp:positionH relativeFrom="column">
                  <wp:posOffset>3810</wp:posOffset>
                </wp:positionH>
                <wp:positionV relativeFrom="paragraph">
                  <wp:posOffset>49530</wp:posOffset>
                </wp:positionV>
                <wp:extent cx="1079500" cy="660400"/>
                <wp:effectExtent l="0" t="0" r="25400" b="25400"/>
                <wp:wrapNone/>
                <wp:docPr id="73" name="Прямоугольник 73"/>
                <wp:cNvGraphicFramePr/>
                <a:graphic xmlns:a="http://schemas.openxmlformats.org/drawingml/2006/main">
                  <a:graphicData uri="http://schemas.microsoft.com/office/word/2010/wordprocessingShape">
                    <wps:wsp>
                      <wps:cNvSpPr/>
                      <wps:spPr>
                        <a:xfrm>
                          <a:off x="0" y="0"/>
                          <a:ext cx="1079500" cy="66040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1E021F"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Активізація проведення структурної перебудови економіки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1C9CA0" id="Прямоугольник 73" o:spid="_x0000_s1121" style="position:absolute;left:0;text-align:left;margin-left:.3pt;margin-top:3.9pt;width:85pt;height:5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" filled="f" strokecolor="black [3213]" strokeweight=".25pt">
                <v:textbox inset="0,0,0,0">
                  <w:txbxContent>
                    <w:p w:rsidR="00BE40F8" w:rsidRPr="001E021F"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Активізація проведення структурної перебудови економіки</w:t>
                      </w:r>
                    </w:p>
                  </w:txbxContent>
                </v:textbox>
              </v:rect>
            </w:pict>
          </mc:Fallback>
        </mc:AlternateContent>
      </w:r>
    </w:p>
    <w:p w:rsidR="00B233DE" w:rsidRDefault="00B233DE" w:rsidP="00B233DE">
      <w:pPr>
        <w:ind w:firstLine="708"/>
        <w:jc w:val="both"/>
        <w:rPr>
          <w:rFonts w:ascii="Times New Roman" w:hAnsi="Times New Roman" w:cs="Times New Roman"/>
          <w:sz w:val="21"/>
          <w:szCs w:val="21"/>
        </w:rPr>
      </w:pPr>
      <w:r>
        <w:rPr>
          <w:rFonts w:ascii="Times New Roman" w:hAnsi="Times New Roman" w:cs="Times New Roman"/>
          <w:noProof/>
          <w:sz w:val="21"/>
          <w:szCs w:val="21"/>
          <w:lang w:val="ru-RU" w:eastAsia="ru-RU"/>
        </w:rPr>
        <mc:AlternateContent>
          <mc:Choice Requires="wps">
            <w:drawing>
              <wp:anchor distT="0" distB="0" distL="114300" distR="114300" simplePos="0" relativeHeight="251675648" behindDoc="0" locked="0" layoutInCell="1" allowOverlap="1" wp14:anchorId="3536FE8E" wp14:editId="19D05B10">
                <wp:simplePos x="0" y="0"/>
                <wp:positionH relativeFrom="column">
                  <wp:posOffset>2664460</wp:posOffset>
                </wp:positionH>
                <wp:positionV relativeFrom="paragraph">
                  <wp:posOffset>36195</wp:posOffset>
                </wp:positionV>
                <wp:extent cx="139700" cy="0"/>
                <wp:effectExtent l="0" t="0" r="12700" b="19050"/>
                <wp:wrapNone/>
                <wp:docPr id="105" name="Прямая соединительная линия 105"/>
                <wp:cNvGraphicFramePr/>
                <a:graphic xmlns:a="http://schemas.openxmlformats.org/drawingml/2006/main">
                  <a:graphicData uri="http://schemas.microsoft.com/office/word/2010/wordprocessingShape">
                    <wps:wsp>
                      <wps:cNvCnPr/>
                      <wps:spPr>
                        <a:xfrm>
                          <a:off x="0" y="0"/>
                          <a:ext cx="139700"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52CB0DB" id="Прямая соединительная линия 105" o:spid="_x0000_s1026"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209.8pt,2.85pt" to="220.8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" strokecolor="black [3040]"/>
            </w:pict>
          </mc:Fallback>
        </mc:AlternateContent>
      </w:r>
      <w:r>
        <w:rPr>
          <w:rFonts w:ascii="Times New Roman" w:hAnsi="Times New Roman" w:cs="Times New Roman"/>
          <w:noProof/>
          <w:sz w:val="21"/>
          <w:szCs w:val="21"/>
          <w:lang w:val="ru-RU" w:eastAsia="ru-RU"/>
        </w:rPr>
        <mc:AlternateContent>
          <mc:Choice Requires="wps">
            <w:drawing>
              <wp:anchor distT="0" distB="0" distL="114300" distR="114300" simplePos="0" relativeHeight="251674624" behindDoc="0" locked="0" layoutInCell="1" allowOverlap="1" wp14:anchorId="6942479B" wp14:editId="2EC1FA7F">
                <wp:simplePos x="0" y="0"/>
                <wp:positionH relativeFrom="column">
                  <wp:posOffset>1083310</wp:posOffset>
                </wp:positionH>
                <wp:positionV relativeFrom="paragraph">
                  <wp:posOffset>36195</wp:posOffset>
                </wp:positionV>
                <wp:extent cx="146050" cy="0"/>
                <wp:effectExtent l="0" t="0" r="25400" b="19050"/>
                <wp:wrapNone/>
                <wp:docPr id="104" name="Прямая соединительная линия 104"/>
                <wp:cNvGraphicFramePr/>
                <a:graphic xmlns:a="http://schemas.openxmlformats.org/drawingml/2006/main">
                  <a:graphicData uri="http://schemas.microsoft.com/office/word/2010/wordprocessingShape">
                    <wps:wsp>
                      <wps:cNvCnPr/>
                      <wps:spPr>
                        <a:xfrm flipH="1">
                          <a:off x="0" y="0"/>
                          <a:ext cx="146050" cy="0"/>
                        </a:xfrm>
                        <a:prstGeom prst="line">
                          <a:avLst/>
                        </a:prstGeom>
                        <a:ln w="3175">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2D726194" id="Прямая соединительная линия 104" o:spid="_x0000_s1026" style="position:absolute;flip:x;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5.3pt,2.85pt" to="96.8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" strokecolor="black [3213]" strokeweight=".25pt"/>
            </w:pict>
          </mc:Fallback>
        </mc:AlternateContent>
      </w:r>
    </w:p>
    <w:p w:rsidR="00B233DE" w:rsidRDefault="00B233DE" w:rsidP="00B233DE">
      <w:pPr>
        <w:ind w:firstLine="708"/>
        <w:jc w:val="both"/>
        <w:rPr>
          <w:rFonts w:ascii="Times New Roman" w:hAnsi="Times New Roman" w:cs="Times New Roman"/>
          <w:sz w:val="21"/>
          <w:szCs w:val="21"/>
        </w:rPr>
      </w:pPr>
      <w:r>
        <w:rPr>
          <w:rFonts w:ascii="Times New Roman" w:hAnsi="Times New Roman" w:cs="Times New Roman"/>
          <w:noProof/>
          <w:sz w:val="21"/>
          <w:szCs w:val="21"/>
          <w:lang w:val="ru-RU" w:eastAsia="ru-RU"/>
        </w:rPr>
        <mc:AlternateContent>
          <mc:Choice Requires="wps">
            <w:drawing>
              <wp:anchor distT="0" distB="0" distL="114300" distR="114300" simplePos="0" relativeHeight="251677696" behindDoc="0" locked="0" layoutInCell="1" allowOverlap="1" wp14:anchorId="62B3B745" wp14:editId="238AC9CE">
                <wp:simplePos x="0" y="0"/>
                <wp:positionH relativeFrom="column">
                  <wp:posOffset>1946910</wp:posOffset>
                </wp:positionH>
                <wp:positionV relativeFrom="paragraph">
                  <wp:posOffset>53975</wp:posOffset>
                </wp:positionV>
                <wp:extent cx="0" cy="552450"/>
                <wp:effectExtent l="0" t="0" r="19050" b="19050"/>
                <wp:wrapNone/>
                <wp:docPr id="107" name="Прямая соединительная линия 107"/>
                <wp:cNvGraphicFramePr/>
                <a:graphic xmlns:a="http://schemas.openxmlformats.org/drawingml/2006/main">
                  <a:graphicData uri="http://schemas.microsoft.com/office/word/2010/wordprocessingShape">
                    <wps:wsp>
                      <wps:cNvCnPr/>
                      <wps:spPr>
                        <a:xfrm>
                          <a:off x="0" y="0"/>
                          <a:ext cx="0" cy="552450"/>
                        </a:xfrm>
                        <a:prstGeom prst="line">
                          <a:avLst/>
                        </a:prstGeom>
                        <a:ln w="3175">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63D675DB" id="Прямая соединительная линия 107" o:spid="_x0000_s1026" style="position:absolute;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53.3pt,4.25pt" to="153.3pt,4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" strokecolor="black [3213]" strokeweight=".25pt"/>
            </w:pict>
          </mc:Fallback>
        </mc:AlternateContent>
      </w:r>
      <w:r>
        <w:rPr>
          <w:rFonts w:ascii="Times New Roman" w:hAnsi="Times New Roman" w:cs="Times New Roman"/>
          <w:noProof/>
          <w:sz w:val="21"/>
          <w:szCs w:val="21"/>
          <w:lang w:val="ru-RU" w:eastAsia="ru-RU"/>
        </w:rPr>
        <mc:AlternateContent>
          <mc:Choice Requires="wps">
            <w:drawing>
              <wp:anchor distT="0" distB="0" distL="114300" distR="114300" simplePos="0" relativeHeight="251678720" behindDoc="0" locked="0" layoutInCell="1" allowOverlap="1" wp14:anchorId="1E6CA15B" wp14:editId="4876D868">
                <wp:simplePos x="0" y="0"/>
                <wp:positionH relativeFrom="column">
                  <wp:posOffset>2378710</wp:posOffset>
                </wp:positionH>
                <wp:positionV relativeFrom="paragraph">
                  <wp:posOffset>53975</wp:posOffset>
                </wp:positionV>
                <wp:extent cx="596900" cy="552450"/>
                <wp:effectExtent l="0" t="0" r="31750" b="19050"/>
                <wp:wrapNone/>
                <wp:docPr id="108" name="Прямая соединительная линия 108"/>
                <wp:cNvGraphicFramePr/>
                <a:graphic xmlns:a="http://schemas.openxmlformats.org/drawingml/2006/main">
                  <a:graphicData uri="http://schemas.microsoft.com/office/word/2010/wordprocessingShape">
                    <wps:wsp>
                      <wps:cNvCnPr/>
                      <wps:spPr>
                        <a:xfrm>
                          <a:off x="0" y="0"/>
                          <a:ext cx="596900" cy="552450"/>
                        </a:xfrm>
                        <a:prstGeom prst="line">
                          <a:avLst/>
                        </a:prstGeom>
                        <a:ln w="3175">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C211784" id="Прямая соединительная линия 108" o:spid="_x0000_s1026" style="position:absolute;z-index:251678720;visibility:visible;mso-wrap-style:square;mso-wrap-distance-left:9pt;mso-wrap-distance-top:0;mso-wrap-distance-right:9pt;mso-wrap-distance-bottom:0;mso-position-horizontal:absolute;mso-position-horizontal-relative:text;mso-position-vertical:absolute;mso-position-vertical-relative:text" from="187.3pt,4.25pt" to="234.3pt,4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" strokecolor="black [3213]" strokeweight=".25pt"/>
            </w:pict>
          </mc:Fallback>
        </mc:AlternateContent>
      </w:r>
      <w:r>
        <w:rPr>
          <w:rFonts w:ascii="Times New Roman" w:hAnsi="Times New Roman" w:cs="Times New Roman"/>
          <w:noProof/>
          <w:sz w:val="21"/>
          <w:szCs w:val="21"/>
          <w:lang w:val="ru-RU" w:eastAsia="ru-RU"/>
        </w:rPr>
        <mc:AlternateContent>
          <mc:Choice Requires="wps">
            <w:drawing>
              <wp:anchor distT="0" distB="0" distL="114300" distR="114300" simplePos="0" relativeHeight="251676672" behindDoc="0" locked="0" layoutInCell="1" allowOverlap="1" wp14:anchorId="1258D80A" wp14:editId="7564AB55">
                <wp:simplePos x="0" y="0"/>
                <wp:positionH relativeFrom="column">
                  <wp:posOffset>1000760</wp:posOffset>
                </wp:positionH>
                <wp:positionV relativeFrom="paragraph">
                  <wp:posOffset>53975</wp:posOffset>
                </wp:positionV>
                <wp:extent cx="450850" cy="552450"/>
                <wp:effectExtent l="0" t="0" r="25400" b="19050"/>
                <wp:wrapNone/>
                <wp:docPr id="106" name="Прямая соединительная линия 106"/>
                <wp:cNvGraphicFramePr/>
                <a:graphic xmlns:a="http://schemas.openxmlformats.org/drawingml/2006/main">
                  <a:graphicData uri="http://schemas.microsoft.com/office/word/2010/wordprocessingShape">
                    <wps:wsp>
                      <wps:cNvCnPr/>
                      <wps:spPr>
                        <a:xfrm flipH="1">
                          <a:off x="0" y="0"/>
                          <a:ext cx="450850" cy="552450"/>
                        </a:xfrm>
                        <a:prstGeom prst="line">
                          <a:avLst/>
                        </a:prstGeom>
                        <a:ln w="3175">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3B6BF6E" id="Прямая соединительная линия 106" o:spid="_x0000_s1026" style="position:absolute;flip:x;z-index:251676672;visibility:visible;mso-wrap-style:square;mso-wrap-distance-left:9pt;mso-wrap-distance-top:0;mso-wrap-distance-right:9pt;mso-wrap-distance-bottom:0;mso-position-horizontal:absolute;mso-position-horizontal-relative:text;mso-position-vertical:absolute;mso-position-vertical-relative:text" from="78.8pt,4.25pt" to="114.3pt,4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" strokecolor="black [3213]" strokeweight=".25pt"/>
            </w:pict>
          </mc:Fallback>
        </mc:AlternateContent>
      </w: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r>
        <w:rPr>
          <w:rFonts w:ascii="Times New Roman" w:hAnsi="Times New Roman" w:cs="Times New Roman"/>
          <w:noProof/>
          <w:sz w:val="21"/>
          <w:szCs w:val="21"/>
          <w:lang w:val="ru-RU" w:eastAsia="ru-RU"/>
        </w:rPr>
        <mc:AlternateContent>
          <mc:Choice Requires="wps">
            <w:drawing>
              <wp:anchor distT="0" distB="0" distL="114300" distR="114300" simplePos="0" relativeHeight="251670528" behindDoc="0" locked="0" layoutInCell="1" allowOverlap="1" wp14:anchorId="320DC275" wp14:editId="54E9CF9B">
                <wp:simplePos x="0" y="0"/>
                <wp:positionH relativeFrom="column">
                  <wp:posOffset>226060</wp:posOffset>
                </wp:positionH>
                <wp:positionV relativeFrom="paragraph">
                  <wp:posOffset>146685</wp:posOffset>
                </wp:positionV>
                <wp:extent cx="1136650" cy="660400"/>
                <wp:effectExtent l="0" t="0" r="25400" b="25400"/>
                <wp:wrapNone/>
                <wp:docPr id="74" name="Прямоугольник 74"/>
                <wp:cNvGraphicFramePr/>
                <a:graphic xmlns:a="http://schemas.openxmlformats.org/drawingml/2006/main">
                  <a:graphicData uri="http://schemas.microsoft.com/office/word/2010/wordprocessingShape">
                    <wps:wsp>
                      <wps:cNvSpPr/>
                      <wps:spPr>
                        <a:xfrm>
                          <a:off x="0" y="0"/>
                          <a:ext cx="1136650" cy="66040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1E021F"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Стимулювання розвитку малого підприємництва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0DC275" id="Прямоугольник 74" o:spid="_x0000_s1122" style="position:absolute;left:0;text-align:left;margin-left:17.8pt;margin-top:11.55pt;width:89.5pt;height:5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" filled="f" strokecolor="black [3213]" strokeweight=".25pt">
                <v:textbox inset="0,0,0,0">
                  <w:txbxContent>
                    <w:p w:rsidR="00BE40F8" w:rsidRPr="001E021F"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Стимулювання розвитку малого підприємництва</w:t>
                      </w:r>
                    </w:p>
                  </w:txbxContent>
                </v:textbox>
              </v:rect>
            </w:pict>
          </mc:Fallback>
        </mc:AlternateContent>
      </w:r>
      <w:r>
        <w:rPr>
          <w:rFonts w:ascii="Times New Roman" w:hAnsi="Times New Roman" w:cs="Times New Roman"/>
          <w:noProof/>
          <w:sz w:val="21"/>
          <w:szCs w:val="21"/>
          <w:lang w:val="ru-RU" w:eastAsia="ru-RU"/>
        </w:rPr>
        <mc:AlternateContent>
          <mc:Choice Requires="wps">
            <w:drawing>
              <wp:anchor distT="0" distB="0" distL="114300" distR="114300" simplePos="0" relativeHeight="251672576" behindDoc="0" locked="0" layoutInCell="1" allowOverlap="1" wp14:anchorId="28CE43A1" wp14:editId="0C05348F">
                <wp:simplePos x="0" y="0"/>
                <wp:positionH relativeFrom="column">
                  <wp:posOffset>2670810</wp:posOffset>
                </wp:positionH>
                <wp:positionV relativeFrom="paragraph">
                  <wp:posOffset>146685</wp:posOffset>
                </wp:positionV>
                <wp:extent cx="1079500" cy="660400"/>
                <wp:effectExtent l="0" t="0" r="25400" b="25400"/>
                <wp:wrapNone/>
                <wp:docPr id="76" name="Прямоугольник 76"/>
                <wp:cNvGraphicFramePr/>
                <a:graphic xmlns:a="http://schemas.openxmlformats.org/drawingml/2006/main">
                  <a:graphicData uri="http://schemas.microsoft.com/office/word/2010/wordprocessingShape">
                    <wps:wsp>
                      <wps:cNvSpPr/>
                      <wps:spPr>
                        <a:xfrm>
                          <a:off x="0" y="0"/>
                          <a:ext cx="1079500" cy="66040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1E021F"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Заохочення підприємницької діяльності, самозайнятості</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CE43A1" id="Прямоугольник 76" o:spid="_x0000_s1123" style="position:absolute;left:0;text-align:left;margin-left:210.3pt;margin-top:11.55pt;width:85pt;height:5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" filled="f" strokecolor="black [3213]" strokeweight=".25pt">
                <v:textbox inset="0,0,0,0">
                  <w:txbxContent>
                    <w:p w:rsidR="00BE40F8" w:rsidRPr="001E021F"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Заохочення підприємницької діяльності, самозайнятості</w:t>
                      </w:r>
                    </w:p>
                  </w:txbxContent>
                </v:textbox>
              </v:rect>
            </w:pict>
          </mc:Fallback>
        </mc:AlternateContent>
      </w:r>
      <w:r>
        <w:rPr>
          <w:rFonts w:ascii="Times New Roman" w:hAnsi="Times New Roman" w:cs="Times New Roman"/>
          <w:noProof/>
          <w:sz w:val="21"/>
          <w:szCs w:val="21"/>
          <w:lang w:val="ru-RU" w:eastAsia="ru-RU"/>
        </w:rPr>
        <mc:AlternateContent>
          <mc:Choice Requires="wps">
            <w:drawing>
              <wp:anchor distT="0" distB="0" distL="114300" distR="114300" simplePos="0" relativeHeight="251671552" behindDoc="0" locked="0" layoutInCell="1" allowOverlap="1" wp14:anchorId="3EBE06D9" wp14:editId="1B1995D1">
                <wp:simplePos x="0" y="0"/>
                <wp:positionH relativeFrom="column">
                  <wp:posOffset>1483360</wp:posOffset>
                </wp:positionH>
                <wp:positionV relativeFrom="paragraph">
                  <wp:posOffset>146685</wp:posOffset>
                </wp:positionV>
                <wp:extent cx="1054100" cy="660400"/>
                <wp:effectExtent l="0" t="0" r="12700" b="25400"/>
                <wp:wrapNone/>
                <wp:docPr id="75" name="Прямоугольник 75"/>
                <wp:cNvGraphicFramePr/>
                <a:graphic xmlns:a="http://schemas.openxmlformats.org/drawingml/2006/main">
                  <a:graphicData uri="http://schemas.microsoft.com/office/word/2010/wordprocessingShape">
                    <wps:wsp>
                      <wps:cNvSpPr/>
                      <wps:spPr>
                        <a:xfrm>
                          <a:off x="0" y="0"/>
                          <a:ext cx="1054100" cy="66040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1E021F"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Ефективний перерозподіл зайнятих між державним і недержавним секторами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BE06D9" id="Прямоугольник 75" o:spid="_x0000_s1124" style="position:absolute;left:0;text-align:left;margin-left:116.8pt;margin-top:11.55pt;width:83pt;height:5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" filled="f" strokecolor="black [3213]" strokeweight=".25pt">
                <v:textbox inset="0,0,0,0">
                  <w:txbxContent>
                    <w:p w:rsidR="00BE40F8" w:rsidRPr="001E021F" w:rsidRDefault="00BE40F8" w:rsidP="00B233DE">
                      <w:pPr>
                        <w:ind w:firstLine="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Ефективний перерозподіл зайнятих між державним і недержавним секторами</w:t>
                      </w:r>
                    </w:p>
                  </w:txbxContent>
                </v:textbox>
              </v:rect>
            </w:pict>
          </mc:Fallback>
        </mc:AlternateContent>
      </w: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Pr="005633E9" w:rsidRDefault="00B233DE" w:rsidP="00B233DE">
      <w:pPr>
        <w:autoSpaceDE w:val="0"/>
        <w:autoSpaceDN w:val="0"/>
        <w:adjustRightInd w:val="0"/>
        <w:jc w:val="center"/>
        <w:rPr>
          <w:rFonts w:ascii="Times New Roman" w:hAnsi="Times New Roman" w:cs="Times New Roman"/>
          <w:b/>
          <w:sz w:val="21"/>
          <w:szCs w:val="21"/>
        </w:rPr>
      </w:pPr>
      <w:r w:rsidRPr="005633E9">
        <w:rPr>
          <w:rFonts w:ascii="Times New Roman" w:hAnsi="Times New Roman" w:cs="Times New Roman"/>
          <w:b/>
          <w:sz w:val="21"/>
          <w:szCs w:val="21"/>
        </w:rPr>
        <w:t>Рис. 3. 2. Особливості державного моніторингу та регулювання ринку праці</w:t>
      </w: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r w:rsidRPr="003E6E9C">
        <w:rPr>
          <w:rFonts w:ascii="Times New Roman" w:hAnsi="Times New Roman" w:cs="Times New Roman"/>
          <w:sz w:val="21"/>
          <w:szCs w:val="21"/>
        </w:rPr>
        <w:t xml:space="preserve">Механізм моніторингу та регулювання ринку праці має на увазі такі захисні заходи держави (рис. </w:t>
      </w:r>
      <w:r>
        <w:rPr>
          <w:rFonts w:ascii="Times New Roman" w:hAnsi="Times New Roman" w:cs="Times New Roman"/>
          <w:sz w:val="21"/>
          <w:szCs w:val="21"/>
        </w:rPr>
        <w:t>3.</w:t>
      </w:r>
      <w:r w:rsidRPr="003E6E9C">
        <w:rPr>
          <w:rFonts w:ascii="Times New Roman" w:hAnsi="Times New Roman" w:cs="Times New Roman"/>
          <w:sz w:val="21"/>
          <w:szCs w:val="21"/>
        </w:rPr>
        <w:t>3):</w:t>
      </w:r>
    </w:p>
    <w:p w:rsidR="00B233DE" w:rsidRPr="003E6E9C" w:rsidRDefault="00B233DE" w:rsidP="00B233DE">
      <w:pPr>
        <w:jc w:val="both"/>
        <w:rPr>
          <w:rFonts w:ascii="Times New Roman" w:hAnsi="Times New Roman" w:cs="Times New Roman"/>
          <w:sz w:val="21"/>
          <w:szCs w:val="21"/>
        </w:rPr>
      </w:pPr>
      <w:r w:rsidRPr="003E6E9C">
        <w:rPr>
          <w:rFonts w:ascii="Times New Roman" w:hAnsi="Times New Roman" w:cs="Times New Roman"/>
          <w:sz w:val="21"/>
          <w:szCs w:val="21"/>
        </w:rPr>
        <w:t>1. Забезпечен</w:t>
      </w:r>
      <w:r>
        <w:rPr>
          <w:rFonts w:ascii="Times New Roman" w:hAnsi="Times New Roman" w:cs="Times New Roman"/>
          <w:sz w:val="21"/>
          <w:szCs w:val="21"/>
        </w:rPr>
        <w:t xml:space="preserve">ня гарантій зайнятості за умов: зміни власника, приватизації, </w:t>
      </w:r>
      <w:r w:rsidRPr="003E6E9C">
        <w:rPr>
          <w:rFonts w:ascii="Times New Roman" w:hAnsi="Times New Roman" w:cs="Times New Roman"/>
          <w:sz w:val="21"/>
          <w:szCs w:val="21"/>
        </w:rPr>
        <w:t>банкрутства (квотуванням робочих місць).</w:t>
      </w:r>
    </w:p>
    <w:p w:rsidR="00B233DE" w:rsidRPr="003E6E9C" w:rsidRDefault="00B233DE" w:rsidP="00B233DE">
      <w:pPr>
        <w:jc w:val="both"/>
        <w:rPr>
          <w:rFonts w:ascii="Times New Roman" w:hAnsi="Times New Roman" w:cs="Times New Roman"/>
          <w:sz w:val="21"/>
          <w:szCs w:val="21"/>
        </w:rPr>
      </w:pPr>
      <w:r w:rsidRPr="003E6E9C">
        <w:rPr>
          <w:rFonts w:ascii="Times New Roman" w:hAnsi="Times New Roman" w:cs="Times New Roman"/>
          <w:sz w:val="21"/>
          <w:szCs w:val="21"/>
        </w:rPr>
        <w:t>2. Організація і проведення громадських робіт.</w:t>
      </w:r>
    </w:p>
    <w:p w:rsidR="00B233DE" w:rsidRDefault="00B233DE" w:rsidP="00B233DE">
      <w:pPr>
        <w:spacing w:line="360" w:lineRule="auto"/>
        <w:rPr>
          <w:rFonts w:ascii="Times New Roman" w:hAnsi="Times New Roman" w:cs="Times New Roman"/>
          <w:sz w:val="18"/>
          <w:szCs w:val="18"/>
        </w:rPr>
      </w:pPr>
      <w:r>
        <w:rPr>
          <w:rFonts w:ascii="Times New Roman" w:hAnsi="Times New Roman" w:cs="Times New Roman"/>
          <w:sz w:val="18"/>
          <w:szCs w:val="18"/>
        </w:rPr>
        <w:lastRenderedPageBreak/>
        <w:t xml:space="preserve">                                          </w:t>
      </w:r>
      <w:r w:rsidRPr="003E6E9C">
        <w:rPr>
          <w:rFonts w:ascii="Times New Roman" w:hAnsi="Times New Roman" w:cs="Times New Roman"/>
          <w:sz w:val="18"/>
          <w:szCs w:val="18"/>
        </w:rPr>
        <w:t>Структура ринку праці</w:t>
      </w:r>
    </w:p>
    <w:p w:rsidR="00B233DE" w:rsidRPr="003E6E9C" w:rsidRDefault="00B233DE" w:rsidP="00B233DE">
      <w:pPr>
        <w:spacing w:line="360" w:lineRule="auto"/>
        <w:rPr>
          <w:rFonts w:ascii="Times New Roman" w:hAnsi="Times New Roman" w:cs="Times New Roman"/>
          <w:sz w:val="18"/>
          <w:szCs w:val="18"/>
        </w:rPr>
      </w:pPr>
      <w:r w:rsidRPr="003E6E9C">
        <w:rPr>
          <w:rFonts w:ascii="Times New Roman" w:hAnsi="Times New Roman" w:cs="Times New Roman"/>
          <w:noProof/>
          <w:sz w:val="18"/>
          <w:szCs w:val="18"/>
          <w:lang w:val="ru-RU" w:eastAsia="ru-RU"/>
        </w:rPr>
        <mc:AlternateContent>
          <mc:Choice Requires="wps">
            <w:drawing>
              <wp:anchor distT="0" distB="0" distL="114300" distR="114300" simplePos="0" relativeHeight="251679744" behindDoc="0" locked="0" layoutInCell="1" allowOverlap="1" wp14:anchorId="3F952461" wp14:editId="57A17295">
                <wp:simplePos x="0" y="0"/>
                <wp:positionH relativeFrom="column">
                  <wp:posOffset>160020</wp:posOffset>
                </wp:positionH>
                <wp:positionV relativeFrom="paragraph">
                  <wp:posOffset>73025</wp:posOffset>
                </wp:positionV>
                <wp:extent cx="3581400" cy="287655"/>
                <wp:effectExtent l="38100" t="0" r="0" b="17145"/>
                <wp:wrapNone/>
                <wp:docPr id="109" name="Стрелка вверх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81400" cy="287655"/>
                        </a:xfrm>
                        <a:prstGeom prst="upArrow">
                          <a:avLst>
                            <a:gd name="adj1" fmla="val 73278"/>
                            <a:gd name="adj2" fmla="val 27083"/>
                          </a:avLst>
                        </a:prstGeom>
                        <a:solidFill>
                          <a:srgbClr val="FFFFFF"/>
                        </a:solidFill>
                        <a:ln w="9525">
                          <a:solidFill>
                            <a:srgbClr val="000000"/>
                          </a:solidFill>
                          <a:miter lim="800000"/>
                          <a:headEnd/>
                          <a:tailEnd/>
                        </a:ln>
                      </wps:spPr>
                      <wps:txbx>
                        <w:txbxContent>
                          <w:p w:rsidR="00BE40F8" w:rsidRPr="003E6E9C" w:rsidRDefault="00BE40F8" w:rsidP="00B233DE">
                            <w:pPr>
                              <w:ind w:firstLine="0"/>
                              <w:jc w:val="center"/>
                              <w:rPr>
                                <w:rFonts w:ascii="TimesNewRomanPSMT" w:hAnsi="TimesNewRomanPSMT" w:cs="TimesNewRomanPSMT"/>
                                <w:sz w:val="18"/>
                                <w:szCs w:val="18"/>
                              </w:rPr>
                            </w:pPr>
                            <w:r w:rsidRPr="003E6E9C">
                              <w:rPr>
                                <w:rFonts w:ascii="TimesNewRomanPSMT" w:hAnsi="TimesNewRomanPSMT" w:cs="TimesNewRomanPSMT"/>
                                <w:sz w:val="18"/>
                                <w:szCs w:val="18"/>
                              </w:rPr>
                              <w:t>Механізм державного регулювання</w:t>
                            </w:r>
                          </w:p>
                          <w:p w:rsidR="00BE40F8" w:rsidRDefault="00BE40F8" w:rsidP="00B233DE">
                            <w:pPr>
                              <w:rPr>
                                <w:rFonts w:ascii="TimesNewRomanPSMT" w:hAnsi="TimesNewRomanPSMT" w:cs="TimesNewRomanPSMT"/>
                              </w:rPr>
                            </w:pPr>
                          </w:p>
                          <w:p w:rsidR="00BE40F8" w:rsidRDefault="00BE40F8" w:rsidP="00B233DE">
                            <w:r>
                              <w:rPr>
                                <w:rFonts w:ascii="TimesNewRomanPSMT" w:hAnsi="TimesNewRomanPSMT" w:cs="TimesNewRomanPSMT"/>
                              </w:rPr>
                              <w:t>регулювання</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952461"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109" o:spid="_x0000_s1125" type="#_x0000_t68" style="position:absolute;left:0;text-align:left;margin-left:12.6pt;margin-top:5.75pt;width:282pt;height:22.6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" adj="5850,2886">
                <v:textbox inset="0,0,0,0">
                  <w:txbxContent>
                    <w:p w:rsidR="00BE40F8" w:rsidRPr="003E6E9C" w:rsidRDefault="00BE40F8" w:rsidP="00B233DE">
                      <w:pPr>
                        <w:ind w:firstLine="0"/>
                        <w:jc w:val="center"/>
                        <w:rPr>
                          <w:rFonts w:ascii="TimesNewRomanPSMT" w:hAnsi="TimesNewRomanPSMT" w:cs="TimesNewRomanPSMT"/>
                          <w:sz w:val="18"/>
                          <w:szCs w:val="18"/>
                        </w:rPr>
                      </w:pPr>
                      <w:r w:rsidRPr="003E6E9C">
                        <w:rPr>
                          <w:rFonts w:ascii="TimesNewRomanPSMT" w:hAnsi="TimesNewRomanPSMT" w:cs="TimesNewRomanPSMT"/>
                          <w:sz w:val="18"/>
                          <w:szCs w:val="18"/>
                        </w:rPr>
                        <w:t>Механізм державного регулювання</w:t>
                      </w:r>
                    </w:p>
                    <w:p w:rsidR="00BE40F8" w:rsidRDefault="00BE40F8" w:rsidP="00B233DE">
                      <w:pPr>
                        <w:rPr>
                          <w:rFonts w:ascii="TimesNewRomanPSMT" w:hAnsi="TimesNewRomanPSMT" w:cs="TimesNewRomanPSMT"/>
                        </w:rPr>
                      </w:pPr>
                    </w:p>
                    <w:p w:rsidR="00BE40F8" w:rsidRDefault="00BE40F8" w:rsidP="00B233DE">
                      <w:r>
                        <w:rPr>
                          <w:rFonts w:ascii="TimesNewRomanPSMT" w:hAnsi="TimesNewRomanPSMT" w:cs="TimesNewRomanPSMT"/>
                        </w:rPr>
                        <w:t>регулювання</w:t>
                      </w:r>
                    </w:p>
                  </w:txbxContent>
                </v:textbox>
              </v:shape>
            </w:pict>
          </mc:Fallback>
        </mc:AlternateContent>
      </w:r>
    </w:p>
    <w:p w:rsidR="00B233DE" w:rsidRPr="003E6E9C" w:rsidRDefault="00B233DE" w:rsidP="00B233DE">
      <w:pPr>
        <w:ind w:firstLine="708"/>
        <w:jc w:val="both"/>
        <w:rPr>
          <w:rFonts w:ascii="Times New Roman" w:hAnsi="Times New Roman" w:cs="Times New Roman"/>
          <w:sz w:val="21"/>
          <w:szCs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32"/>
        <w:gridCol w:w="3188"/>
        <w:gridCol w:w="1276"/>
      </w:tblGrid>
      <w:tr w:rsidR="00B233DE" w:rsidRPr="003E6E9C" w:rsidTr="0023489B">
        <w:trPr>
          <w:trHeight w:val="2398"/>
        </w:trPr>
        <w:tc>
          <w:tcPr>
            <w:tcW w:w="1632" w:type="dxa"/>
          </w:tcPr>
          <w:p w:rsidR="00B233DE" w:rsidRPr="003E6E9C" w:rsidRDefault="00B233DE" w:rsidP="0023489B">
            <w:pPr>
              <w:autoSpaceDE w:val="0"/>
              <w:autoSpaceDN w:val="0"/>
              <w:adjustRightInd w:val="0"/>
              <w:ind w:left="-108" w:right="-36" w:firstLine="0"/>
              <w:jc w:val="both"/>
              <w:rPr>
                <w:rFonts w:ascii="Times New Roman" w:hAnsi="Times New Roman" w:cs="Times New Roman"/>
                <w:sz w:val="18"/>
                <w:szCs w:val="18"/>
              </w:rPr>
            </w:pPr>
            <w:r>
              <w:rPr>
                <w:rFonts w:ascii="Times New Roman" w:hAnsi="Times New Roman" w:cs="Times New Roman"/>
                <w:sz w:val="18"/>
                <w:szCs w:val="18"/>
              </w:rPr>
              <w:t>– с</w:t>
            </w:r>
            <w:r w:rsidRPr="003E6E9C">
              <w:rPr>
                <w:rFonts w:ascii="Times New Roman" w:hAnsi="Times New Roman" w:cs="Times New Roman"/>
                <w:sz w:val="18"/>
                <w:szCs w:val="18"/>
              </w:rPr>
              <w:t>творення</w:t>
            </w:r>
            <w:r>
              <w:rPr>
                <w:rFonts w:ascii="Times New Roman" w:hAnsi="Times New Roman" w:cs="Times New Roman"/>
                <w:sz w:val="18"/>
                <w:szCs w:val="18"/>
              </w:rPr>
              <w:t xml:space="preserve"> м</w:t>
            </w:r>
            <w:r w:rsidRPr="003E6E9C">
              <w:rPr>
                <w:rFonts w:ascii="Times New Roman" w:hAnsi="Times New Roman" w:cs="Times New Roman"/>
                <w:sz w:val="18"/>
                <w:szCs w:val="18"/>
              </w:rPr>
              <w:t>іж</w:t>
            </w:r>
            <w:r>
              <w:rPr>
                <w:rFonts w:ascii="Times New Roman" w:hAnsi="Times New Roman" w:cs="Times New Roman"/>
                <w:sz w:val="18"/>
                <w:szCs w:val="18"/>
              </w:rPr>
              <w:t>-</w:t>
            </w:r>
            <w:r w:rsidRPr="005633E9">
              <w:rPr>
                <w:rFonts w:ascii="Times New Roman" w:hAnsi="Times New Roman" w:cs="Times New Roman"/>
                <w:spacing w:val="-4"/>
                <w:sz w:val="18"/>
                <w:szCs w:val="18"/>
              </w:rPr>
              <w:t>відомчих і регіональ-</w:t>
            </w:r>
            <w:r>
              <w:rPr>
                <w:rFonts w:ascii="Times New Roman" w:hAnsi="Times New Roman" w:cs="Times New Roman"/>
                <w:sz w:val="18"/>
                <w:szCs w:val="18"/>
              </w:rPr>
              <w:t xml:space="preserve">них </w:t>
            </w:r>
            <w:r w:rsidRPr="003E6E9C">
              <w:rPr>
                <w:rFonts w:ascii="Times New Roman" w:hAnsi="Times New Roman" w:cs="Times New Roman"/>
                <w:sz w:val="18"/>
                <w:szCs w:val="18"/>
              </w:rPr>
              <w:t>узгоджуваль</w:t>
            </w:r>
            <w:r>
              <w:rPr>
                <w:rFonts w:ascii="Times New Roman" w:hAnsi="Times New Roman" w:cs="Times New Roman"/>
                <w:sz w:val="18"/>
                <w:szCs w:val="18"/>
              </w:rPr>
              <w:t xml:space="preserve">-них комісій з пи-тань </w:t>
            </w:r>
            <w:r w:rsidRPr="003E6E9C">
              <w:rPr>
                <w:rFonts w:ascii="Times New Roman" w:hAnsi="Times New Roman" w:cs="Times New Roman"/>
                <w:sz w:val="18"/>
                <w:szCs w:val="18"/>
              </w:rPr>
              <w:t>урегулювання</w:t>
            </w:r>
          </w:p>
          <w:p w:rsidR="00B233DE" w:rsidRPr="003E6E9C" w:rsidRDefault="00B233DE" w:rsidP="0023489B">
            <w:pPr>
              <w:autoSpaceDE w:val="0"/>
              <w:autoSpaceDN w:val="0"/>
              <w:adjustRightInd w:val="0"/>
              <w:ind w:left="-108" w:right="-36" w:firstLine="0"/>
              <w:jc w:val="both"/>
              <w:rPr>
                <w:rFonts w:ascii="Times New Roman" w:hAnsi="Times New Roman" w:cs="Times New Roman"/>
                <w:sz w:val="18"/>
                <w:szCs w:val="18"/>
              </w:rPr>
            </w:pPr>
            <w:r>
              <w:rPr>
                <w:rFonts w:ascii="Times New Roman" w:hAnsi="Times New Roman" w:cs="Times New Roman"/>
                <w:sz w:val="18"/>
                <w:szCs w:val="18"/>
              </w:rPr>
              <w:t xml:space="preserve">міжгалузевих та </w:t>
            </w:r>
            <w:r w:rsidRPr="003E6E9C">
              <w:rPr>
                <w:rFonts w:ascii="Times New Roman" w:hAnsi="Times New Roman" w:cs="Times New Roman"/>
                <w:sz w:val="18"/>
                <w:szCs w:val="18"/>
              </w:rPr>
              <w:t>міжгосподарських</w:t>
            </w:r>
          </w:p>
          <w:p w:rsidR="00B233DE" w:rsidRPr="003E6E9C" w:rsidRDefault="00B233DE" w:rsidP="0023489B">
            <w:pPr>
              <w:autoSpaceDE w:val="0"/>
              <w:autoSpaceDN w:val="0"/>
              <w:adjustRightInd w:val="0"/>
              <w:ind w:left="-108" w:right="-36" w:firstLine="0"/>
              <w:jc w:val="both"/>
              <w:rPr>
                <w:rFonts w:ascii="Times New Roman" w:hAnsi="Times New Roman" w:cs="Times New Roman"/>
                <w:sz w:val="18"/>
                <w:szCs w:val="18"/>
              </w:rPr>
            </w:pPr>
            <w:r>
              <w:rPr>
                <w:rFonts w:ascii="Times New Roman" w:hAnsi="Times New Roman" w:cs="Times New Roman"/>
                <w:sz w:val="18"/>
                <w:szCs w:val="18"/>
              </w:rPr>
              <w:t>відносин;</w:t>
            </w:r>
          </w:p>
          <w:p w:rsidR="00B233DE" w:rsidRPr="003E6E9C" w:rsidRDefault="00B233DE" w:rsidP="0023489B">
            <w:pPr>
              <w:autoSpaceDE w:val="0"/>
              <w:autoSpaceDN w:val="0"/>
              <w:adjustRightInd w:val="0"/>
              <w:ind w:left="-108" w:right="-36" w:firstLine="0"/>
              <w:jc w:val="both"/>
              <w:rPr>
                <w:rFonts w:ascii="Times New Roman" w:hAnsi="Times New Roman" w:cs="Times New Roman"/>
                <w:sz w:val="18"/>
                <w:szCs w:val="18"/>
              </w:rPr>
            </w:pPr>
            <w:r>
              <w:rPr>
                <w:rFonts w:ascii="Times New Roman" w:hAnsi="Times New Roman" w:cs="Times New Roman"/>
                <w:sz w:val="18"/>
                <w:szCs w:val="18"/>
              </w:rPr>
              <w:t xml:space="preserve">– моніторинг і прогнозування кон-юнктури ринку </w:t>
            </w:r>
            <w:r w:rsidRPr="003E6E9C">
              <w:rPr>
                <w:rFonts w:ascii="Times New Roman" w:hAnsi="Times New Roman" w:cs="Times New Roman"/>
                <w:sz w:val="18"/>
                <w:szCs w:val="18"/>
              </w:rPr>
              <w:t>праці</w:t>
            </w:r>
            <w:r>
              <w:rPr>
                <w:rFonts w:ascii="Times New Roman" w:hAnsi="Times New Roman" w:cs="Times New Roman"/>
                <w:sz w:val="18"/>
                <w:szCs w:val="18"/>
              </w:rPr>
              <w:t>;</w:t>
            </w:r>
          </w:p>
          <w:p w:rsidR="00B233DE" w:rsidRPr="003E6E9C" w:rsidRDefault="00B233DE" w:rsidP="0023489B">
            <w:pPr>
              <w:autoSpaceDE w:val="0"/>
              <w:autoSpaceDN w:val="0"/>
              <w:adjustRightInd w:val="0"/>
              <w:ind w:left="-108" w:right="-36" w:firstLine="0"/>
              <w:jc w:val="both"/>
              <w:rPr>
                <w:rFonts w:ascii="Times New Roman" w:hAnsi="Times New Roman" w:cs="Times New Roman"/>
                <w:sz w:val="18"/>
                <w:szCs w:val="18"/>
              </w:rPr>
            </w:pPr>
            <w:r>
              <w:rPr>
                <w:rFonts w:ascii="Times New Roman" w:hAnsi="Times New Roman" w:cs="Times New Roman"/>
                <w:sz w:val="18"/>
                <w:szCs w:val="18"/>
              </w:rPr>
              <w:t xml:space="preserve">– </w:t>
            </w:r>
            <w:r w:rsidRPr="000348DC">
              <w:rPr>
                <w:rFonts w:ascii="Times New Roman" w:hAnsi="Times New Roman" w:cs="Times New Roman"/>
                <w:spacing w:val="-8"/>
                <w:sz w:val="18"/>
                <w:szCs w:val="18"/>
              </w:rPr>
              <w:t>контроль за станом</w:t>
            </w:r>
            <w:r>
              <w:rPr>
                <w:rFonts w:ascii="Times New Roman" w:hAnsi="Times New Roman" w:cs="Times New Roman"/>
                <w:sz w:val="18"/>
                <w:szCs w:val="18"/>
              </w:rPr>
              <w:t xml:space="preserve"> соціального за</w:t>
            </w:r>
            <w:r w:rsidRPr="000348DC">
              <w:rPr>
                <w:rFonts w:ascii="Times New Roman" w:hAnsi="Times New Roman" w:cs="Times New Roman"/>
                <w:spacing w:val="-6"/>
                <w:sz w:val="18"/>
                <w:szCs w:val="18"/>
              </w:rPr>
              <w:t>без</w:t>
            </w:r>
            <w:r>
              <w:rPr>
                <w:rFonts w:ascii="Times New Roman" w:hAnsi="Times New Roman" w:cs="Times New Roman"/>
                <w:spacing w:val="-6"/>
                <w:sz w:val="18"/>
                <w:szCs w:val="18"/>
              </w:rPr>
              <w:t>-</w:t>
            </w:r>
            <w:r w:rsidRPr="000348DC">
              <w:rPr>
                <w:rFonts w:ascii="Times New Roman" w:hAnsi="Times New Roman" w:cs="Times New Roman"/>
                <w:spacing w:val="-6"/>
                <w:sz w:val="18"/>
                <w:szCs w:val="18"/>
              </w:rPr>
              <w:t>печення на регіо-</w:t>
            </w:r>
            <w:r>
              <w:rPr>
                <w:rFonts w:ascii="Times New Roman" w:hAnsi="Times New Roman" w:cs="Times New Roman"/>
                <w:sz w:val="18"/>
                <w:szCs w:val="18"/>
              </w:rPr>
              <w:t>нальному ринку праці;</w:t>
            </w:r>
          </w:p>
          <w:p w:rsidR="00B233DE" w:rsidRPr="003E6E9C" w:rsidRDefault="00B233DE" w:rsidP="0023489B">
            <w:pPr>
              <w:autoSpaceDE w:val="0"/>
              <w:autoSpaceDN w:val="0"/>
              <w:adjustRightInd w:val="0"/>
              <w:ind w:left="-108" w:right="-36" w:firstLine="0"/>
              <w:jc w:val="both"/>
              <w:rPr>
                <w:rFonts w:ascii="Times New Roman" w:hAnsi="Times New Roman" w:cs="Times New Roman"/>
                <w:sz w:val="18"/>
                <w:szCs w:val="18"/>
              </w:rPr>
            </w:pPr>
            <w:r>
              <w:rPr>
                <w:rFonts w:ascii="Times New Roman" w:hAnsi="Times New Roman" w:cs="Times New Roman"/>
                <w:sz w:val="18"/>
                <w:szCs w:val="18"/>
              </w:rPr>
              <w:t xml:space="preserve">– здійснення окре-мих </w:t>
            </w:r>
            <w:r w:rsidRPr="003E6E9C">
              <w:rPr>
                <w:rFonts w:ascii="Times New Roman" w:hAnsi="Times New Roman" w:cs="Times New Roman"/>
                <w:sz w:val="18"/>
                <w:szCs w:val="18"/>
              </w:rPr>
              <w:t>регіональн</w:t>
            </w:r>
            <w:r>
              <w:rPr>
                <w:rFonts w:ascii="Times New Roman" w:hAnsi="Times New Roman" w:cs="Times New Roman"/>
                <w:sz w:val="18"/>
                <w:szCs w:val="18"/>
              </w:rPr>
              <w:t xml:space="preserve">і та галузевих програм зайнятості </w:t>
            </w:r>
            <w:r w:rsidRPr="003E6E9C">
              <w:rPr>
                <w:rFonts w:ascii="Times New Roman" w:hAnsi="Times New Roman" w:cs="Times New Roman"/>
                <w:sz w:val="18"/>
                <w:szCs w:val="18"/>
              </w:rPr>
              <w:t>насе</w:t>
            </w:r>
            <w:r>
              <w:rPr>
                <w:rFonts w:ascii="Times New Roman" w:hAnsi="Times New Roman" w:cs="Times New Roman"/>
                <w:sz w:val="18"/>
                <w:szCs w:val="18"/>
              </w:rPr>
              <w:t>-</w:t>
            </w:r>
            <w:r w:rsidRPr="003E6E9C">
              <w:rPr>
                <w:rFonts w:ascii="Times New Roman" w:hAnsi="Times New Roman" w:cs="Times New Roman"/>
                <w:sz w:val="18"/>
                <w:szCs w:val="18"/>
              </w:rPr>
              <w:t>лення.</w:t>
            </w:r>
          </w:p>
        </w:tc>
        <w:tc>
          <w:tcPr>
            <w:tcW w:w="3188" w:type="dxa"/>
          </w:tcPr>
          <w:p w:rsidR="00B233DE" w:rsidRPr="003E6E9C" w:rsidRDefault="00B233DE" w:rsidP="0023489B">
            <w:pPr>
              <w:autoSpaceDE w:val="0"/>
              <w:autoSpaceDN w:val="0"/>
              <w:adjustRightInd w:val="0"/>
              <w:ind w:left="-39" w:right="-108" w:firstLine="0"/>
              <w:jc w:val="both"/>
              <w:rPr>
                <w:rFonts w:ascii="Times New Roman" w:hAnsi="Times New Roman" w:cs="Times New Roman"/>
                <w:sz w:val="18"/>
                <w:szCs w:val="18"/>
              </w:rPr>
            </w:pPr>
            <w:r w:rsidRPr="003E6E9C">
              <w:rPr>
                <w:rFonts w:ascii="Times New Roman" w:hAnsi="Times New Roman" w:cs="Times New Roman"/>
                <w:sz w:val="18"/>
                <w:szCs w:val="18"/>
              </w:rPr>
              <w:t>– Кодекс законів про працю України</w:t>
            </w:r>
            <w:r>
              <w:rPr>
                <w:rFonts w:ascii="Times New Roman" w:hAnsi="Times New Roman" w:cs="Times New Roman"/>
                <w:sz w:val="18"/>
                <w:szCs w:val="18"/>
              </w:rPr>
              <w:t>;</w:t>
            </w:r>
          </w:p>
          <w:p w:rsidR="00B233DE" w:rsidRPr="003E6E9C" w:rsidRDefault="00B233DE" w:rsidP="0023489B">
            <w:pPr>
              <w:autoSpaceDE w:val="0"/>
              <w:autoSpaceDN w:val="0"/>
              <w:adjustRightInd w:val="0"/>
              <w:ind w:left="-39" w:right="-108" w:firstLine="0"/>
              <w:jc w:val="both"/>
              <w:rPr>
                <w:rFonts w:ascii="Times New Roman" w:hAnsi="Times New Roman" w:cs="Times New Roman"/>
                <w:sz w:val="18"/>
                <w:szCs w:val="18"/>
              </w:rPr>
            </w:pPr>
            <w:r>
              <w:rPr>
                <w:rFonts w:ascii="Times New Roman" w:hAnsi="Times New Roman" w:cs="Times New Roman"/>
                <w:sz w:val="18"/>
                <w:szCs w:val="18"/>
              </w:rPr>
              <w:t>– Земельний кодекс України;</w:t>
            </w:r>
          </w:p>
          <w:p w:rsidR="00B233DE" w:rsidRPr="003E6E9C" w:rsidRDefault="00B233DE" w:rsidP="0023489B">
            <w:pPr>
              <w:autoSpaceDE w:val="0"/>
              <w:autoSpaceDN w:val="0"/>
              <w:adjustRightInd w:val="0"/>
              <w:ind w:left="-39" w:right="-108" w:firstLine="0"/>
              <w:jc w:val="both"/>
              <w:rPr>
                <w:rFonts w:ascii="Times New Roman" w:hAnsi="Times New Roman" w:cs="Times New Roman"/>
                <w:sz w:val="18"/>
                <w:szCs w:val="18"/>
              </w:rPr>
            </w:pPr>
            <w:r>
              <w:rPr>
                <w:rFonts w:ascii="Times New Roman" w:hAnsi="Times New Roman" w:cs="Times New Roman"/>
                <w:sz w:val="18"/>
                <w:szCs w:val="18"/>
              </w:rPr>
              <w:t>– Бюджетний кодекс України;</w:t>
            </w:r>
          </w:p>
          <w:p w:rsidR="00B233DE" w:rsidRPr="003E6E9C" w:rsidRDefault="00B233DE" w:rsidP="0023489B">
            <w:pPr>
              <w:autoSpaceDE w:val="0"/>
              <w:autoSpaceDN w:val="0"/>
              <w:adjustRightInd w:val="0"/>
              <w:ind w:left="-39" w:right="-108" w:firstLine="0"/>
              <w:jc w:val="both"/>
              <w:rPr>
                <w:rFonts w:ascii="Times New Roman" w:hAnsi="Times New Roman" w:cs="Times New Roman"/>
                <w:sz w:val="18"/>
                <w:szCs w:val="18"/>
              </w:rPr>
            </w:pPr>
            <w:r>
              <w:rPr>
                <w:rFonts w:ascii="Times New Roman" w:hAnsi="Times New Roman" w:cs="Times New Roman"/>
                <w:sz w:val="18"/>
                <w:szCs w:val="18"/>
              </w:rPr>
              <w:t>– Закони України «Про зайнятість населення», «</w:t>
            </w:r>
            <w:r w:rsidRPr="003E6E9C">
              <w:rPr>
                <w:rFonts w:ascii="Times New Roman" w:hAnsi="Times New Roman" w:cs="Times New Roman"/>
                <w:sz w:val="18"/>
                <w:szCs w:val="18"/>
              </w:rPr>
              <w:t>Про загальнообов’язкове державне соціальне страхування на ви</w:t>
            </w:r>
            <w:r>
              <w:rPr>
                <w:rFonts w:ascii="Times New Roman" w:hAnsi="Times New Roman" w:cs="Times New Roman"/>
                <w:sz w:val="18"/>
                <w:szCs w:val="18"/>
              </w:rPr>
              <w:t>-</w:t>
            </w:r>
            <w:r w:rsidRPr="003E6E9C">
              <w:rPr>
                <w:rFonts w:ascii="Times New Roman" w:hAnsi="Times New Roman" w:cs="Times New Roman"/>
                <w:sz w:val="18"/>
                <w:szCs w:val="18"/>
              </w:rPr>
              <w:t>падок безробі</w:t>
            </w:r>
            <w:r>
              <w:rPr>
                <w:rFonts w:ascii="Times New Roman" w:hAnsi="Times New Roman" w:cs="Times New Roman"/>
                <w:sz w:val="18"/>
                <w:szCs w:val="18"/>
              </w:rPr>
              <w:t xml:space="preserve">ття», «Про підприємства в </w:t>
            </w:r>
            <w:r w:rsidRPr="000348DC">
              <w:rPr>
                <w:rFonts w:ascii="Times New Roman" w:hAnsi="Times New Roman" w:cs="Times New Roman"/>
                <w:spacing w:val="-6"/>
                <w:sz w:val="18"/>
                <w:szCs w:val="18"/>
              </w:rPr>
              <w:t>Україні», «Про оплату праці», «Про про-житковий мінімум», «Про колективні дого-</w:t>
            </w:r>
            <w:r w:rsidRPr="003E6E9C">
              <w:rPr>
                <w:rFonts w:ascii="Times New Roman" w:hAnsi="Times New Roman" w:cs="Times New Roman"/>
                <w:sz w:val="18"/>
                <w:szCs w:val="18"/>
              </w:rPr>
              <w:t>вори і угоди</w:t>
            </w:r>
            <w:r>
              <w:rPr>
                <w:rFonts w:ascii="Times New Roman" w:hAnsi="Times New Roman" w:cs="Times New Roman"/>
                <w:sz w:val="18"/>
                <w:szCs w:val="18"/>
              </w:rPr>
              <w:t>», «</w:t>
            </w:r>
            <w:r w:rsidRPr="003E6E9C">
              <w:rPr>
                <w:rFonts w:ascii="Times New Roman" w:hAnsi="Times New Roman" w:cs="Times New Roman"/>
                <w:sz w:val="18"/>
                <w:szCs w:val="18"/>
              </w:rPr>
              <w:t>Про освіту</w:t>
            </w:r>
            <w:r>
              <w:rPr>
                <w:rFonts w:ascii="Times New Roman" w:hAnsi="Times New Roman" w:cs="Times New Roman"/>
                <w:sz w:val="18"/>
                <w:szCs w:val="18"/>
              </w:rPr>
              <w:t xml:space="preserve">», «Про </w:t>
            </w:r>
            <w:r w:rsidRPr="000348DC">
              <w:rPr>
                <w:rFonts w:ascii="Times New Roman" w:hAnsi="Times New Roman" w:cs="Times New Roman"/>
                <w:spacing w:val="-6"/>
                <w:sz w:val="18"/>
                <w:szCs w:val="18"/>
              </w:rPr>
              <w:t>професійно-технічну освіту», «Про вищу</w:t>
            </w:r>
            <w:r w:rsidRPr="003E6E9C">
              <w:rPr>
                <w:rFonts w:ascii="Times New Roman" w:hAnsi="Times New Roman" w:cs="Times New Roman"/>
                <w:sz w:val="18"/>
                <w:szCs w:val="18"/>
              </w:rPr>
              <w:t xml:space="preserve"> освіту</w:t>
            </w:r>
            <w:r>
              <w:rPr>
                <w:rFonts w:ascii="Times New Roman" w:hAnsi="Times New Roman" w:cs="Times New Roman"/>
                <w:sz w:val="18"/>
                <w:szCs w:val="18"/>
              </w:rPr>
              <w:t>», «</w:t>
            </w:r>
            <w:r w:rsidRPr="003E6E9C">
              <w:rPr>
                <w:rFonts w:ascii="Times New Roman" w:hAnsi="Times New Roman" w:cs="Times New Roman"/>
                <w:sz w:val="18"/>
                <w:szCs w:val="18"/>
              </w:rPr>
              <w:t>Про банкрутство</w:t>
            </w:r>
            <w:r>
              <w:rPr>
                <w:rFonts w:ascii="Times New Roman" w:hAnsi="Times New Roman" w:cs="Times New Roman"/>
                <w:sz w:val="18"/>
                <w:szCs w:val="18"/>
              </w:rPr>
              <w:t>», «Про орен-ду землі», «</w:t>
            </w:r>
            <w:r w:rsidRPr="003E6E9C">
              <w:rPr>
                <w:rFonts w:ascii="Times New Roman" w:hAnsi="Times New Roman" w:cs="Times New Roman"/>
                <w:sz w:val="18"/>
                <w:szCs w:val="18"/>
              </w:rPr>
              <w:t xml:space="preserve">Про сприяння соціальному </w:t>
            </w:r>
            <w:r w:rsidRPr="000348DC">
              <w:rPr>
                <w:rFonts w:ascii="Times New Roman" w:hAnsi="Times New Roman" w:cs="Times New Roman"/>
                <w:spacing w:val="-6"/>
                <w:sz w:val="18"/>
                <w:szCs w:val="18"/>
              </w:rPr>
              <w:t>становленню та розвитку молоді в Укра-</w:t>
            </w:r>
            <w:r>
              <w:rPr>
                <w:rFonts w:ascii="Times New Roman" w:hAnsi="Times New Roman" w:cs="Times New Roman"/>
                <w:sz w:val="18"/>
                <w:szCs w:val="18"/>
              </w:rPr>
              <w:t>їні», «</w:t>
            </w:r>
            <w:r w:rsidRPr="003E6E9C">
              <w:rPr>
                <w:rFonts w:ascii="Times New Roman" w:hAnsi="Times New Roman" w:cs="Times New Roman"/>
                <w:sz w:val="18"/>
                <w:szCs w:val="18"/>
              </w:rPr>
              <w:t xml:space="preserve">Про основи соціальної </w:t>
            </w:r>
            <w:r>
              <w:rPr>
                <w:rFonts w:ascii="Times New Roman" w:hAnsi="Times New Roman" w:cs="Times New Roman"/>
                <w:sz w:val="18"/>
                <w:szCs w:val="18"/>
              </w:rPr>
              <w:t>захище-ності інвалідів в Україні», «</w:t>
            </w:r>
            <w:r w:rsidRPr="003E6E9C">
              <w:rPr>
                <w:rFonts w:ascii="Times New Roman" w:hAnsi="Times New Roman" w:cs="Times New Roman"/>
                <w:sz w:val="18"/>
                <w:szCs w:val="18"/>
              </w:rPr>
              <w:t>Про прива</w:t>
            </w:r>
            <w:r>
              <w:rPr>
                <w:rFonts w:ascii="Times New Roman" w:hAnsi="Times New Roman" w:cs="Times New Roman"/>
                <w:sz w:val="18"/>
                <w:szCs w:val="18"/>
              </w:rPr>
              <w:t>-</w:t>
            </w:r>
            <w:r w:rsidRPr="003E6E9C">
              <w:rPr>
                <w:rFonts w:ascii="Times New Roman" w:hAnsi="Times New Roman" w:cs="Times New Roman"/>
                <w:sz w:val="18"/>
                <w:szCs w:val="18"/>
              </w:rPr>
              <w:t>тизацію державного майна</w:t>
            </w:r>
            <w:r>
              <w:rPr>
                <w:rFonts w:ascii="Times New Roman" w:hAnsi="Times New Roman" w:cs="Times New Roman"/>
                <w:sz w:val="18"/>
                <w:szCs w:val="18"/>
              </w:rPr>
              <w:t>», «</w:t>
            </w:r>
            <w:r w:rsidRPr="003E6E9C">
              <w:rPr>
                <w:rFonts w:ascii="Times New Roman" w:hAnsi="Times New Roman" w:cs="Times New Roman"/>
                <w:sz w:val="18"/>
                <w:szCs w:val="18"/>
              </w:rPr>
              <w:t>Про заку</w:t>
            </w:r>
            <w:r>
              <w:rPr>
                <w:rFonts w:ascii="Times New Roman" w:hAnsi="Times New Roman" w:cs="Times New Roman"/>
                <w:sz w:val="18"/>
                <w:szCs w:val="18"/>
              </w:rPr>
              <w:t>-</w:t>
            </w:r>
            <w:r w:rsidRPr="003E6E9C">
              <w:rPr>
                <w:rFonts w:ascii="Times New Roman" w:hAnsi="Times New Roman" w:cs="Times New Roman"/>
                <w:sz w:val="18"/>
                <w:szCs w:val="18"/>
              </w:rPr>
              <w:t>півлю товарів, робіт і послуг за держав</w:t>
            </w:r>
            <w:r>
              <w:rPr>
                <w:rFonts w:ascii="Times New Roman" w:hAnsi="Times New Roman" w:cs="Times New Roman"/>
                <w:sz w:val="18"/>
                <w:szCs w:val="18"/>
              </w:rPr>
              <w:t>-</w:t>
            </w:r>
            <w:r w:rsidRPr="003E6E9C">
              <w:rPr>
                <w:rFonts w:ascii="Times New Roman" w:hAnsi="Times New Roman" w:cs="Times New Roman"/>
                <w:sz w:val="18"/>
                <w:szCs w:val="18"/>
              </w:rPr>
              <w:t>ні кошти</w:t>
            </w:r>
            <w:r>
              <w:rPr>
                <w:rFonts w:ascii="Times New Roman" w:hAnsi="Times New Roman" w:cs="Times New Roman"/>
                <w:sz w:val="18"/>
                <w:szCs w:val="18"/>
              </w:rPr>
              <w:t>»;</w:t>
            </w:r>
          </w:p>
          <w:p w:rsidR="00B233DE" w:rsidRPr="003E6E9C" w:rsidRDefault="00B233DE" w:rsidP="0023489B">
            <w:pPr>
              <w:autoSpaceDE w:val="0"/>
              <w:autoSpaceDN w:val="0"/>
              <w:adjustRightInd w:val="0"/>
              <w:ind w:left="-39" w:right="-108" w:firstLine="0"/>
              <w:jc w:val="both"/>
              <w:rPr>
                <w:rFonts w:ascii="Times New Roman" w:hAnsi="Times New Roman" w:cs="Times New Roman"/>
                <w:sz w:val="18"/>
                <w:szCs w:val="18"/>
              </w:rPr>
            </w:pPr>
            <w:r>
              <w:rPr>
                <w:rFonts w:ascii="Times New Roman" w:hAnsi="Times New Roman" w:cs="Times New Roman"/>
                <w:sz w:val="18"/>
                <w:szCs w:val="18"/>
              </w:rPr>
              <w:t>– с</w:t>
            </w:r>
            <w:r w:rsidRPr="003E6E9C">
              <w:rPr>
                <w:rFonts w:ascii="Times New Roman" w:hAnsi="Times New Roman" w:cs="Times New Roman"/>
                <w:sz w:val="18"/>
                <w:szCs w:val="18"/>
              </w:rPr>
              <w:t>при</w:t>
            </w:r>
            <w:r>
              <w:rPr>
                <w:rFonts w:ascii="Times New Roman" w:hAnsi="Times New Roman" w:cs="Times New Roman"/>
                <w:sz w:val="18"/>
                <w:szCs w:val="18"/>
              </w:rPr>
              <w:t>янн</w:t>
            </w:r>
            <w:r w:rsidRPr="003E6E9C">
              <w:rPr>
                <w:rFonts w:ascii="Times New Roman" w:hAnsi="Times New Roman" w:cs="Times New Roman"/>
                <w:sz w:val="18"/>
                <w:szCs w:val="18"/>
              </w:rPr>
              <w:t>я посиленню правових засад у сфері зайнятості за допомогою законів: Податковий кодекс України; Трудовий</w:t>
            </w:r>
            <w:r>
              <w:rPr>
                <w:rFonts w:ascii="Times New Roman" w:hAnsi="Times New Roman" w:cs="Times New Roman"/>
                <w:sz w:val="18"/>
                <w:szCs w:val="18"/>
              </w:rPr>
              <w:t xml:space="preserve"> кодекс України; Закон України «</w:t>
            </w:r>
            <w:r w:rsidRPr="003E6E9C">
              <w:rPr>
                <w:rFonts w:ascii="Times New Roman" w:hAnsi="Times New Roman" w:cs="Times New Roman"/>
                <w:sz w:val="18"/>
                <w:szCs w:val="18"/>
              </w:rPr>
              <w:t>Про за</w:t>
            </w:r>
            <w:r>
              <w:rPr>
                <w:rFonts w:ascii="Times New Roman" w:hAnsi="Times New Roman" w:cs="Times New Roman"/>
                <w:sz w:val="18"/>
                <w:szCs w:val="18"/>
              </w:rPr>
              <w:t>-</w:t>
            </w:r>
            <w:r w:rsidRPr="003E6E9C">
              <w:rPr>
                <w:rFonts w:ascii="Times New Roman" w:hAnsi="Times New Roman" w:cs="Times New Roman"/>
                <w:sz w:val="18"/>
                <w:szCs w:val="18"/>
              </w:rPr>
              <w:t>гальнообов’язков</w:t>
            </w:r>
            <w:r>
              <w:rPr>
                <w:rFonts w:ascii="Times New Roman" w:hAnsi="Times New Roman" w:cs="Times New Roman"/>
                <w:sz w:val="18"/>
                <w:szCs w:val="18"/>
              </w:rPr>
              <w:t xml:space="preserve">е державне пенсійне </w:t>
            </w:r>
            <w:r w:rsidRPr="005C7C8C">
              <w:rPr>
                <w:rFonts w:ascii="Times New Roman" w:hAnsi="Times New Roman" w:cs="Times New Roman"/>
                <w:spacing w:val="-6"/>
                <w:sz w:val="18"/>
                <w:szCs w:val="18"/>
              </w:rPr>
              <w:t>страхування». Закон України «Про засади</w:t>
            </w:r>
            <w:r w:rsidRPr="003E6E9C">
              <w:rPr>
                <w:rFonts w:ascii="Times New Roman" w:hAnsi="Times New Roman" w:cs="Times New Roman"/>
                <w:sz w:val="18"/>
                <w:szCs w:val="18"/>
              </w:rPr>
              <w:t xml:space="preserve"> п</w:t>
            </w:r>
            <w:r>
              <w:rPr>
                <w:rFonts w:ascii="Times New Roman" w:hAnsi="Times New Roman" w:cs="Times New Roman"/>
                <w:sz w:val="18"/>
                <w:szCs w:val="18"/>
              </w:rPr>
              <w:t>ідтримки регіонального розвитку»; За-</w:t>
            </w:r>
            <w:r w:rsidRPr="005C7C8C">
              <w:rPr>
                <w:rFonts w:ascii="Times New Roman" w:hAnsi="Times New Roman" w:cs="Times New Roman"/>
                <w:spacing w:val="-6"/>
                <w:sz w:val="18"/>
                <w:szCs w:val="18"/>
              </w:rPr>
              <w:t>кон України «Про засади державної регу-</w:t>
            </w:r>
            <w:r w:rsidRPr="003E6E9C">
              <w:rPr>
                <w:rFonts w:ascii="Times New Roman" w:hAnsi="Times New Roman" w:cs="Times New Roman"/>
                <w:sz w:val="18"/>
                <w:szCs w:val="18"/>
              </w:rPr>
              <w:t>ляторної політики у сфері підприєм</w:t>
            </w:r>
            <w:r>
              <w:rPr>
                <w:rFonts w:ascii="Times New Roman" w:hAnsi="Times New Roman" w:cs="Times New Roman"/>
                <w:sz w:val="18"/>
                <w:szCs w:val="18"/>
              </w:rPr>
              <w:t>-</w:t>
            </w:r>
            <w:r w:rsidRPr="005C7C8C">
              <w:rPr>
                <w:rFonts w:ascii="Times New Roman" w:hAnsi="Times New Roman" w:cs="Times New Roman"/>
                <w:spacing w:val="-6"/>
                <w:sz w:val="18"/>
                <w:szCs w:val="18"/>
              </w:rPr>
              <w:t>ницької діяльності»; Закон України «Про</w:t>
            </w:r>
            <w:r w:rsidRPr="003E6E9C">
              <w:rPr>
                <w:rFonts w:ascii="Times New Roman" w:hAnsi="Times New Roman" w:cs="Times New Roman"/>
                <w:sz w:val="18"/>
                <w:szCs w:val="18"/>
              </w:rPr>
              <w:t xml:space="preserve"> систему державної реєс</w:t>
            </w:r>
            <w:r>
              <w:rPr>
                <w:rFonts w:ascii="Times New Roman" w:hAnsi="Times New Roman" w:cs="Times New Roman"/>
                <w:sz w:val="18"/>
                <w:szCs w:val="18"/>
              </w:rPr>
              <w:t>трації суб’єктів господарювання»; Закон України «</w:t>
            </w:r>
            <w:r w:rsidRPr="003E6E9C">
              <w:rPr>
                <w:rFonts w:ascii="Times New Roman" w:hAnsi="Times New Roman" w:cs="Times New Roman"/>
                <w:sz w:val="18"/>
                <w:szCs w:val="18"/>
              </w:rPr>
              <w:t xml:space="preserve">Про </w:t>
            </w:r>
            <w:r w:rsidRPr="005C7C8C">
              <w:rPr>
                <w:rFonts w:ascii="Times New Roman" w:hAnsi="Times New Roman" w:cs="Times New Roman"/>
                <w:spacing w:val="-6"/>
                <w:sz w:val="18"/>
                <w:szCs w:val="18"/>
              </w:rPr>
              <w:t>особисте селянське господарство»; Закон</w:t>
            </w:r>
            <w:r>
              <w:rPr>
                <w:rFonts w:ascii="Times New Roman" w:hAnsi="Times New Roman" w:cs="Times New Roman"/>
                <w:sz w:val="18"/>
                <w:szCs w:val="18"/>
              </w:rPr>
              <w:t xml:space="preserve"> України «Про зайнятість населення»</w:t>
            </w:r>
          </w:p>
        </w:tc>
        <w:tc>
          <w:tcPr>
            <w:tcW w:w="1276" w:type="dxa"/>
          </w:tcPr>
          <w:p w:rsidR="00B233DE" w:rsidRPr="003E6E9C" w:rsidRDefault="00B233DE" w:rsidP="0023489B">
            <w:pPr>
              <w:autoSpaceDE w:val="0"/>
              <w:autoSpaceDN w:val="0"/>
              <w:adjustRightInd w:val="0"/>
              <w:ind w:left="-108" w:right="-108" w:firstLine="0"/>
              <w:jc w:val="both"/>
              <w:rPr>
                <w:rFonts w:ascii="Times New Roman" w:hAnsi="Times New Roman" w:cs="Times New Roman"/>
                <w:sz w:val="18"/>
                <w:szCs w:val="18"/>
              </w:rPr>
            </w:pPr>
            <w:r>
              <w:rPr>
                <w:rFonts w:ascii="Times New Roman" w:hAnsi="Times New Roman" w:cs="Times New Roman"/>
                <w:sz w:val="18"/>
                <w:szCs w:val="18"/>
              </w:rPr>
              <w:t>– с</w:t>
            </w:r>
            <w:r w:rsidRPr="003E6E9C">
              <w:rPr>
                <w:rFonts w:ascii="Times New Roman" w:hAnsi="Times New Roman" w:cs="Times New Roman"/>
                <w:sz w:val="18"/>
                <w:szCs w:val="18"/>
              </w:rPr>
              <w:t>кладання</w:t>
            </w:r>
          </w:p>
          <w:p w:rsidR="00B233DE" w:rsidRPr="003E6E9C" w:rsidRDefault="00B233DE" w:rsidP="0023489B">
            <w:pPr>
              <w:autoSpaceDE w:val="0"/>
              <w:autoSpaceDN w:val="0"/>
              <w:adjustRightInd w:val="0"/>
              <w:ind w:left="-108" w:right="-108" w:firstLine="0"/>
              <w:jc w:val="both"/>
              <w:rPr>
                <w:rFonts w:ascii="Times New Roman" w:hAnsi="Times New Roman" w:cs="Times New Roman"/>
                <w:sz w:val="18"/>
                <w:szCs w:val="18"/>
              </w:rPr>
            </w:pPr>
            <w:r w:rsidRPr="003E6E9C">
              <w:rPr>
                <w:rFonts w:ascii="Times New Roman" w:hAnsi="Times New Roman" w:cs="Times New Roman"/>
                <w:sz w:val="18"/>
                <w:szCs w:val="18"/>
              </w:rPr>
              <w:t>розрахунков</w:t>
            </w:r>
            <w:r>
              <w:rPr>
                <w:rFonts w:ascii="Times New Roman" w:hAnsi="Times New Roman" w:cs="Times New Roman"/>
                <w:sz w:val="18"/>
                <w:szCs w:val="18"/>
              </w:rPr>
              <w:t>ого</w:t>
            </w:r>
          </w:p>
          <w:p w:rsidR="00B233DE" w:rsidRPr="003E6E9C" w:rsidRDefault="00B233DE" w:rsidP="0023489B">
            <w:pPr>
              <w:autoSpaceDE w:val="0"/>
              <w:autoSpaceDN w:val="0"/>
              <w:adjustRightInd w:val="0"/>
              <w:ind w:left="-108" w:right="-108" w:firstLine="0"/>
              <w:jc w:val="both"/>
              <w:rPr>
                <w:rFonts w:ascii="Times New Roman" w:hAnsi="Times New Roman" w:cs="Times New Roman"/>
                <w:sz w:val="18"/>
                <w:szCs w:val="18"/>
              </w:rPr>
            </w:pPr>
            <w:r w:rsidRPr="003E6E9C">
              <w:rPr>
                <w:rFonts w:ascii="Times New Roman" w:hAnsi="Times New Roman" w:cs="Times New Roman"/>
                <w:sz w:val="18"/>
                <w:szCs w:val="18"/>
              </w:rPr>
              <w:t>баланс</w:t>
            </w:r>
            <w:r>
              <w:rPr>
                <w:rFonts w:ascii="Times New Roman" w:hAnsi="Times New Roman" w:cs="Times New Roman"/>
                <w:sz w:val="18"/>
                <w:szCs w:val="18"/>
              </w:rPr>
              <w:t>у</w:t>
            </w:r>
            <w:r w:rsidRPr="003E6E9C">
              <w:rPr>
                <w:rFonts w:ascii="Times New Roman" w:hAnsi="Times New Roman" w:cs="Times New Roman"/>
                <w:sz w:val="18"/>
                <w:szCs w:val="18"/>
              </w:rPr>
              <w:t xml:space="preserve"> ринку</w:t>
            </w:r>
          </w:p>
          <w:p w:rsidR="00B233DE" w:rsidRPr="003E6E9C" w:rsidRDefault="00B233DE" w:rsidP="0023489B">
            <w:pPr>
              <w:autoSpaceDE w:val="0"/>
              <w:autoSpaceDN w:val="0"/>
              <w:adjustRightInd w:val="0"/>
              <w:ind w:left="-108" w:right="-108" w:firstLine="0"/>
              <w:jc w:val="both"/>
              <w:rPr>
                <w:rFonts w:ascii="Times New Roman" w:hAnsi="Times New Roman" w:cs="Times New Roman"/>
                <w:sz w:val="18"/>
                <w:szCs w:val="18"/>
              </w:rPr>
            </w:pPr>
            <w:r>
              <w:rPr>
                <w:rFonts w:ascii="Times New Roman" w:hAnsi="Times New Roman" w:cs="Times New Roman"/>
                <w:sz w:val="18"/>
                <w:szCs w:val="18"/>
              </w:rPr>
              <w:t>праці;</w:t>
            </w:r>
          </w:p>
          <w:p w:rsidR="00B233DE" w:rsidRPr="003E6E9C" w:rsidRDefault="00B233DE" w:rsidP="0023489B">
            <w:pPr>
              <w:autoSpaceDE w:val="0"/>
              <w:autoSpaceDN w:val="0"/>
              <w:adjustRightInd w:val="0"/>
              <w:ind w:left="-108" w:right="-108" w:firstLine="0"/>
              <w:jc w:val="both"/>
              <w:rPr>
                <w:rFonts w:ascii="Times New Roman" w:hAnsi="Times New Roman" w:cs="Times New Roman"/>
                <w:sz w:val="18"/>
                <w:szCs w:val="18"/>
              </w:rPr>
            </w:pPr>
            <w:r>
              <w:rPr>
                <w:rFonts w:ascii="Times New Roman" w:hAnsi="Times New Roman" w:cs="Times New Roman"/>
                <w:sz w:val="18"/>
                <w:szCs w:val="18"/>
              </w:rPr>
              <w:t>– з</w:t>
            </w:r>
            <w:r w:rsidRPr="003E6E9C">
              <w:rPr>
                <w:rFonts w:ascii="Times New Roman" w:hAnsi="Times New Roman" w:cs="Times New Roman"/>
                <w:sz w:val="18"/>
                <w:szCs w:val="18"/>
              </w:rPr>
              <w:t>береження і</w:t>
            </w:r>
          </w:p>
          <w:p w:rsidR="00B233DE" w:rsidRPr="003E6E9C" w:rsidRDefault="00B233DE" w:rsidP="0023489B">
            <w:pPr>
              <w:autoSpaceDE w:val="0"/>
              <w:autoSpaceDN w:val="0"/>
              <w:adjustRightInd w:val="0"/>
              <w:ind w:left="-108" w:right="-108" w:firstLine="0"/>
              <w:jc w:val="both"/>
              <w:rPr>
                <w:rFonts w:ascii="Times New Roman" w:hAnsi="Times New Roman" w:cs="Times New Roman"/>
                <w:sz w:val="18"/>
                <w:szCs w:val="18"/>
              </w:rPr>
            </w:pPr>
            <w:r w:rsidRPr="000348DC">
              <w:rPr>
                <w:rFonts w:ascii="Times New Roman" w:hAnsi="Times New Roman" w:cs="Times New Roman"/>
                <w:spacing w:val="-6"/>
                <w:sz w:val="18"/>
                <w:szCs w:val="18"/>
              </w:rPr>
              <w:t>Створення робо-</w:t>
            </w:r>
            <w:r>
              <w:rPr>
                <w:rFonts w:ascii="Times New Roman" w:hAnsi="Times New Roman" w:cs="Times New Roman"/>
                <w:sz w:val="18"/>
                <w:szCs w:val="18"/>
              </w:rPr>
              <w:t>чих місць;</w:t>
            </w:r>
          </w:p>
          <w:p w:rsidR="00B233DE" w:rsidRPr="003E6E9C" w:rsidRDefault="00B233DE" w:rsidP="0023489B">
            <w:pPr>
              <w:autoSpaceDE w:val="0"/>
              <w:autoSpaceDN w:val="0"/>
              <w:adjustRightInd w:val="0"/>
              <w:ind w:left="-108" w:right="-108" w:firstLine="0"/>
              <w:jc w:val="both"/>
              <w:rPr>
                <w:rFonts w:ascii="Times New Roman" w:hAnsi="Times New Roman" w:cs="Times New Roman"/>
                <w:sz w:val="18"/>
                <w:szCs w:val="18"/>
              </w:rPr>
            </w:pPr>
            <w:r>
              <w:rPr>
                <w:rFonts w:ascii="Times New Roman" w:hAnsi="Times New Roman" w:cs="Times New Roman"/>
                <w:sz w:val="18"/>
                <w:szCs w:val="18"/>
              </w:rPr>
              <w:t>– с</w:t>
            </w:r>
            <w:r w:rsidRPr="003E6E9C">
              <w:rPr>
                <w:rFonts w:ascii="Times New Roman" w:hAnsi="Times New Roman" w:cs="Times New Roman"/>
                <w:sz w:val="18"/>
                <w:szCs w:val="18"/>
              </w:rPr>
              <w:t>прияння</w:t>
            </w:r>
            <w:r>
              <w:rPr>
                <w:rFonts w:ascii="Times New Roman" w:hAnsi="Times New Roman" w:cs="Times New Roman"/>
                <w:sz w:val="18"/>
                <w:szCs w:val="18"/>
              </w:rPr>
              <w:t xml:space="preserve"> п</w:t>
            </w:r>
            <w:r w:rsidRPr="003E6E9C">
              <w:rPr>
                <w:rFonts w:ascii="Times New Roman" w:hAnsi="Times New Roman" w:cs="Times New Roman"/>
                <w:sz w:val="18"/>
                <w:szCs w:val="18"/>
              </w:rPr>
              <w:t>ід</w:t>
            </w:r>
            <w:r>
              <w:rPr>
                <w:rFonts w:ascii="Times New Roman" w:hAnsi="Times New Roman" w:cs="Times New Roman"/>
                <w:sz w:val="18"/>
                <w:szCs w:val="18"/>
              </w:rPr>
              <w:t>-</w:t>
            </w:r>
            <w:r w:rsidRPr="003E6E9C">
              <w:rPr>
                <w:rFonts w:ascii="Times New Roman" w:hAnsi="Times New Roman" w:cs="Times New Roman"/>
                <w:sz w:val="18"/>
                <w:szCs w:val="18"/>
              </w:rPr>
              <w:t>приємництву</w:t>
            </w:r>
          </w:p>
          <w:p w:rsidR="00B233DE" w:rsidRPr="003E6E9C" w:rsidRDefault="00B233DE" w:rsidP="0023489B">
            <w:pPr>
              <w:autoSpaceDE w:val="0"/>
              <w:autoSpaceDN w:val="0"/>
              <w:adjustRightInd w:val="0"/>
              <w:ind w:left="-108" w:right="-108" w:firstLine="0"/>
              <w:jc w:val="both"/>
              <w:rPr>
                <w:rFonts w:ascii="Times New Roman" w:hAnsi="Times New Roman" w:cs="Times New Roman"/>
                <w:sz w:val="18"/>
                <w:szCs w:val="18"/>
              </w:rPr>
            </w:pPr>
            <w:r>
              <w:rPr>
                <w:rFonts w:ascii="Times New Roman" w:hAnsi="Times New Roman" w:cs="Times New Roman"/>
                <w:sz w:val="18"/>
                <w:szCs w:val="18"/>
              </w:rPr>
              <w:t xml:space="preserve">і самостійній </w:t>
            </w:r>
            <w:r w:rsidRPr="003E6E9C">
              <w:rPr>
                <w:rFonts w:ascii="Times New Roman" w:hAnsi="Times New Roman" w:cs="Times New Roman"/>
                <w:sz w:val="18"/>
                <w:szCs w:val="18"/>
              </w:rPr>
              <w:t>зай</w:t>
            </w:r>
            <w:r>
              <w:rPr>
                <w:rFonts w:ascii="Times New Roman" w:hAnsi="Times New Roman" w:cs="Times New Roman"/>
                <w:sz w:val="18"/>
                <w:szCs w:val="18"/>
              </w:rPr>
              <w:t>нятості на-селення;</w:t>
            </w:r>
          </w:p>
          <w:p w:rsidR="00B233DE" w:rsidRPr="003E6E9C" w:rsidRDefault="00B233DE" w:rsidP="0023489B">
            <w:pPr>
              <w:autoSpaceDE w:val="0"/>
              <w:autoSpaceDN w:val="0"/>
              <w:adjustRightInd w:val="0"/>
              <w:ind w:left="-108" w:right="-108" w:firstLine="0"/>
              <w:jc w:val="both"/>
              <w:rPr>
                <w:rFonts w:ascii="Times New Roman" w:hAnsi="Times New Roman" w:cs="Times New Roman"/>
                <w:sz w:val="18"/>
                <w:szCs w:val="18"/>
              </w:rPr>
            </w:pPr>
            <w:r>
              <w:rPr>
                <w:rFonts w:ascii="Times New Roman" w:hAnsi="Times New Roman" w:cs="Times New Roman"/>
                <w:sz w:val="18"/>
                <w:szCs w:val="18"/>
              </w:rPr>
              <w:t>– створення додаткових га-</w:t>
            </w:r>
            <w:r w:rsidRPr="000348DC">
              <w:rPr>
                <w:rFonts w:ascii="Times New Roman" w:hAnsi="Times New Roman" w:cs="Times New Roman"/>
                <w:spacing w:val="-6"/>
                <w:sz w:val="18"/>
                <w:szCs w:val="18"/>
              </w:rPr>
              <w:t>рантій щодо пра-</w:t>
            </w:r>
            <w:r w:rsidRPr="003E6E9C">
              <w:rPr>
                <w:rFonts w:ascii="Times New Roman" w:hAnsi="Times New Roman" w:cs="Times New Roman"/>
                <w:sz w:val="18"/>
                <w:szCs w:val="18"/>
              </w:rPr>
              <w:t>цевлаштування працездатних</w:t>
            </w:r>
            <w:r>
              <w:rPr>
                <w:rFonts w:ascii="Times New Roman" w:hAnsi="Times New Roman" w:cs="Times New Roman"/>
                <w:sz w:val="18"/>
                <w:szCs w:val="18"/>
              </w:rPr>
              <w:t xml:space="preserve"> громадян </w:t>
            </w:r>
            <w:r w:rsidRPr="003E6E9C">
              <w:rPr>
                <w:rFonts w:ascii="Times New Roman" w:hAnsi="Times New Roman" w:cs="Times New Roman"/>
                <w:sz w:val="18"/>
                <w:szCs w:val="18"/>
              </w:rPr>
              <w:t>праце</w:t>
            </w:r>
            <w:r>
              <w:rPr>
                <w:rFonts w:ascii="Times New Roman" w:hAnsi="Times New Roman" w:cs="Times New Roman"/>
                <w:sz w:val="18"/>
                <w:szCs w:val="18"/>
              </w:rPr>
              <w:t>-здатного віку;</w:t>
            </w:r>
          </w:p>
          <w:p w:rsidR="00B233DE" w:rsidRPr="003E6E9C" w:rsidRDefault="00B233DE" w:rsidP="0023489B">
            <w:pPr>
              <w:autoSpaceDE w:val="0"/>
              <w:autoSpaceDN w:val="0"/>
              <w:adjustRightInd w:val="0"/>
              <w:ind w:left="-108" w:right="-108" w:firstLine="0"/>
              <w:jc w:val="both"/>
              <w:rPr>
                <w:rFonts w:ascii="Times New Roman" w:hAnsi="Times New Roman" w:cs="Times New Roman"/>
                <w:sz w:val="18"/>
                <w:szCs w:val="18"/>
              </w:rPr>
            </w:pPr>
            <w:r>
              <w:rPr>
                <w:rFonts w:ascii="Times New Roman" w:hAnsi="Times New Roman" w:cs="Times New Roman"/>
                <w:sz w:val="18"/>
                <w:szCs w:val="18"/>
              </w:rPr>
              <w:t>– надання соціальних по-</w:t>
            </w:r>
            <w:r w:rsidRPr="000348DC">
              <w:rPr>
                <w:rFonts w:ascii="Times New Roman" w:hAnsi="Times New Roman" w:cs="Times New Roman"/>
                <w:spacing w:val="-8"/>
                <w:sz w:val="18"/>
                <w:szCs w:val="18"/>
              </w:rPr>
              <w:t>слуг зареєстрова-</w:t>
            </w:r>
            <w:r>
              <w:rPr>
                <w:rFonts w:ascii="Times New Roman" w:hAnsi="Times New Roman" w:cs="Times New Roman"/>
                <w:sz w:val="18"/>
                <w:szCs w:val="18"/>
              </w:rPr>
              <w:t xml:space="preserve">ним </w:t>
            </w:r>
            <w:r w:rsidRPr="003E6E9C">
              <w:rPr>
                <w:rFonts w:ascii="Times New Roman" w:hAnsi="Times New Roman" w:cs="Times New Roman"/>
                <w:sz w:val="18"/>
                <w:szCs w:val="18"/>
              </w:rPr>
              <w:t>безробіт</w:t>
            </w:r>
            <w:r>
              <w:rPr>
                <w:rFonts w:ascii="Times New Roman" w:hAnsi="Times New Roman" w:cs="Times New Roman"/>
                <w:sz w:val="18"/>
                <w:szCs w:val="18"/>
              </w:rPr>
              <w:t>-</w:t>
            </w:r>
            <w:r w:rsidRPr="003E6E9C">
              <w:rPr>
                <w:rFonts w:ascii="Times New Roman" w:hAnsi="Times New Roman" w:cs="Times New Roman"/>
                <w:sz w:val="18"/>
                <w:szCs w:val="18"/>
              </w:rPr>
              <w:t>ним</w:t>
            </w:r>
            <w:r>
              <w:rPr>
                <w:rFonts w:ascii="Times New Roman" w:hAnsi="Times New Roman" w:cs="Times New Roman"/>
                <w:sz w:val="18"/>
                <w:szCs w:val="18"/>
              </w:rPr>
              <w:t>;</w:t>
            </w:r>
          </w:p>
          <w:p w:rsidR="00B233DE" w:rsidRPr="003E6E9C" w:rsidRDefault="00B233DE" w:rsidP="0023489B">
            <w:pPr>
              <w:autoSpaceDE w:val="0"/>
              <w:autoSpaceDN w:val="0"/>
              <w:adjustRightInd w:val="0"/>
              <w:ind w:left="-108" w:right="-108" w:firstLine="0"/>
              <w:jc w:val="both"/>
              <w:rPr>
                <w:rFonts w:ascii="Times New Roman" w:hAnsi="Times New Roman" w:cs="Times New Roman"/>
                <w:sz w:val="18"/>
                <w:szCs w:val="18"/>
              </w:rPr>
            </w:pPr>
            <w:r>
              <w:rPr>
                <w:rFonts w:ascii="Times New Roman" w:hAnsi="Times New Roman" w:cs="Times New Roman"/>
                <w:sz w:val="18"/>
                <w:szCs w:val="18"/>
              </w:rPr>
              <w:t>– р</w:t>
            </w:r>
            <w:r w:rsidRPr="003E6E9C">
              <w:rPr>
                <w:rFonts w:ascii="Times New Roman" w:hAnsi="Times New Roman" w:cs="Times New Roman"/>
                <w:sz w:val="18"/>
                <w:szCs w:val="18"/>
              </w:rPr>
              <w:t>егулювання</w:t>
            </w:r>
          </w:p>
          <w:p w:rsidR="00B233DE" w:rsidRPr="003E6E9C" w:rsidRDefault="00B233DE" w:rsidP="0023489B">
            <w:pPr>
              <w:autoSpaceDE w:val="0"/>
              <w:autoSpaceDN w:val="0"/>
              <w:adjustRightInd w:val="0"/>
              <w:ind w:left="-108" w:right="-108" w:firstLine="0"/>
              <w:jc w:val="both"/>
              <w:rPr>
                <w:rFonts w:ascii="Times New Roman" w:hAnsi="Times New Roman" w:cs="Times New Roman"/>
                <w:sz w:val="18"/>
                <w:szCs w:val="18"/>
              </w:rPr>
            </w:pPr>
            <w:r w:rsidRPr="000348DC">
              <w:rPr>
                <w:rFonts w:ascii="Times New Roman" w:hAnsi="Times New Roman" w:cs="Times New Roman"/>
                <w:spacing w:val="-6"/>
                <w:sz w:val="18"/>
                <w:szCs w:val="18"/>
              </w:rPr>
              <w:t>соціально-трудо-</w:t>
            </w:r>
            <w:r>
              <w:rPr>
                <w:rFonts w:ascii="Times New Roman" w:hAnsi="Times New Roman" w:cs="Times New Roman"/>
                <w:sz w:val="18"/>
                <w:szCs w:val="18"/>
              </w:rPr>
              <w:t xml:space="preserve">вих </w:t>
            </w:r>
            <w:r w:rsidRPr="003E6E9C">
              <w:rPr>
                <w:rFonts w:ascii="Times New Roman" w:hAnsi="Times New Roman" w:cs="Times New Roman"/>
                <w:sz w:val="18"/>
                <w:szCs w:val="18"/>
              </w:rPr>
              <w:t>відносин.</w:t>
            </w:r>
          </w:p>
        </w:tc>
      </w:tr>
      <w:tr w:rsidR="00B233DE" w:rsidRPr="003E6E9C" w:rsidTr="0023489B">
        <w:trPr>
          <w:trHeight w:val="373"/>
        </w:trPr>
        <w:tc>
          <w:tcPr>
            <w:tcW w:w="1632" w:type="dxa"/>
            <w:vAlign w:val="center"/>
          </w:tcPr>
          <w:p w:rsidR="00B233DE" w:rsidRPr="003E6E9C" w:rsidRDefault="00B233DE" w:rsidP="0023489B">
            <w:pPr>
              <w:autoSpaceDE w:val="0"/>
              <w:autoSpaceDN w:val="0"/>
              <w:adjustRightInd w:val="0"/>
              <w:ind w:firstLine="0"/>
              <w:jc w:val="center"/>
              <w:rPr>
                <w:rFonts w:ascii="Times New Roman" w:hAnsi="Times New Roman" w:cs="Times New Roman"/>
                <w:sz w:val="18"/>
                <w:szCs w:val="18"/>
              </w:rPr>
            </w:pPr>
            <w:r w:rsidRPr="003E6E9C">
              <w:rPr>
                <w:rFonts w:ascii="Times New Roman" w:hAnsi="Times New Roman" w:cs="Times New Roman"/>
                <w:sz w:val="18"/>
                <w:szCs w:val="18"/>
              </w:rPr>
              <w:t>Організаційно-</w:t>
            </w:r>
          </w:p>
          <w:p w:rsidR="00B233DE" w:rsidRPr="003E6E9C" w:rsidRDefault="00B233DE" w:rsidP="0023489B">
            <w:pPr>
              <w:ind w:firstLine="0"/>
              <w:jc w:val="center"/>
              <w:rPr>
                <w:rFonts w:ascii="Times New Roman" w:hAnsi="Times New Roman" w:cs="Times New Roman"/>
                <w:sz w:val="18"/>
                <w:szCs w:val="18"/>
              </w:rPr>
            </w:pPr>
            <w:r w:rsidRPr="003E6E9C">
              <w:rPr>
                <w:rFonts w:ascii="Times New Roman" w:hAnsi="Times New Roman" w:cs="Times New Roman"/>
                <w:sz w:val="18"/>
                <w:szCs w:val="18"/>
              </w:rPr>
              <w:t>управлінські</w:t>
            </w:r>
          </w:p>
        </w:tc>
        <w:tc>
          <w:tcPr>
            <w:tcW w:w="3188" w:type="dxa"/>
            <w:vAlign w:val="center"/>
          </w:tcPr>
          <w:p w:rsidR="00B233DE" w:rsidRPr="003E6E9C" w:rsidRDefault="00B233DE" w:rsidP="0023489B">
            <w:pPr>
              <w:ind w:left="-39" w:right="-108" w:firstLine="0"/>
              <w:jc w:val="center"/>
              <w:rPr>
                <w:rFonts w:ascii="Times New Roman" w:hAnsi="Times New Roman" w:cs="Times New Roman"/>
                <w:sz w:val="18"/>
                <w:szCs w:val="18"/>
              </w:rPr>
            </w:pPr>
            <w:r w:rsidRPr="003E6E9C">
              <w:rPr>
                <w:rFonts w:ascii="Times New Roman" w:hAnsi="Times New Roman" w:cs="Times New Roman"/>
                <w:sz w:val="18"/>
                <w:szCs w:val="18"/>
              </w:rPr>
              <w:t>Правові</w:t>
            </w:r>
          </w:p>
        </w:tc>
        <w:tc>
          <w:tcPr>
            <w:tcW w:w="1276" w:type="dxa"/>
            <w:vAlign w:val="center"/>
          </w:tcPr>
          <w:p w:rsidR="00B233DE" w:rsidRPr="003E6E9C" w:rsidRDefault="00B233DE" w:rsidP="0023489B">
            <w:pPr>
              <w:ind w:left="-108" w:right="-108" w:firstLine="0"/>
              <w:jc w:val="center"/>
              <w:rPr>
                <w:rFonts w:ascii="Times New Roman" w:hAnsi="Times New Roman" w:cs="Times New Roman"/>
                <w:sz w:val="18"/>
                <w:szCs w:val="18"/>
              </w:rPr>
            </w:pPr>
            <w:r w:rsidRPr="003E6E9C">
              <w:rPr>
                <w:rFonts w:ascii="Times New Roman" w:hAnsi="Times New Roman" w:cs="Times New Roman"/>
                <w:sz w:val="18"/>
                <w:szCs w:val="18"/>
              </w:rPr>
              <w:t>Економічні</w:t>
            </w:r>
          </w:p>
        </w:tc>
      </w:tr>
      <w:tr w:rsidR="00B233DE" w:rsidRPr="003E6E9C" w:rsidTr="0023489B">
        <w:trPr>
          <w:trHeight w:val="272"/>
        </w:trPr>
        <w:tc>
          <w:tcPr>
            <w:tcW w:w="6096" w:type="dxa"/>
            <w:gridSpan w:val="3"/>
          </w:tcPr>
          <w:p w:rsidR="00B233DE" w:rsidRPr="003E6E9C" w:rsidRDefault="00B233DE" w:rsidP="0023489B">
            <w:pPr>
              <w:ind w:firstLine="0"/>
              <w:jc w:val="center"/>
              <w:rPr>
                <w:rFonts w:ascii="Times New Roman" w:hAnsi="Times New Roman" w:cs="Times New Roman"/>
                <w:sz w:val="18"/>
                <w:szCs w:val="18"/>
              </w:rPr>
            </w:pPr>
            <w:r w:rsidRPr="003E6E9C">
              <w:rPr>
                <w:rFonts w:ascii="Times New Roman" w:hAnsi="Times New Roman" w:cs="Times New Roman"/>
                <w:sz w:val="18"/>
                <w:szCs w:val="18"/>
              </w:rPr>
              <w:t>Методи, інструменти та важелі державного регулювання</w:t>
            </w:r>
          </w:p>
        </w:tc>
      </w:tr>
    </w:tbl>
    <w:p w:rsidR="00B233DE" w:rsidRDefault="00B233DE" w:rsidP="00B233DE">
      <w:pPr>
        <w:jc w:val="center"/>
        <w:rPr>
          <w:rFonts w:ascii="Times New Roman" w:hAnsi="Times New Roman" w:cs="Times New Roman"/>
          <w:b/>
          <w:sz w:val="21"/>
          <w:szCs w:val="21"/>
        </w:rPr>
      </w:pPr>
    </w:p>
    <w:p w:rsidR="00B233DE" w:rsidRPr="000348DC" w:rsidRDefault="00B233DE" w:rsidP="00B233DE">
      <w:pPr>
        <w:jc w:val="center"/>
        <w:rPr>
          <w:rFonts w:ascii="Times New Roman" w:hAnsi="Times New Roman" w:cs="Times New Roman"/>
          <w:b/>
          <w:sz w:val="21"/>
          <w:szCs w:val="21"/>
        </w:rPr>
      </w:pPr>
      <w:r w:rsidRPr="000348DC">
        <w:rPr>
          <w:rFonts w:ascii="Times New Roman" w:hAnsi="Times New Roman" w:cs="Times New Roman"/>
          <w:b/>
          <w:sz w:val="21"/>
          <w:szCs w:val="21"/>
        </w:rPr>
        <w:t xml:space="preserve">Рис. 3. 3. Механізм державного регулювання </w:t>
      </w:r>
      <w:r>
        <w:rPr>
          <w:rFonts w:ascii="Times New Roman" w:hAnsi="Times New Roman" w:cs="Times New Roman"/>
          <w:b/>
          <w:sz w:val="21"/>
          <w:szCs w:val="21"/>
        </w:rPr>
        <w:t xml:space="preserve">та </w:t>
      </w:r>
      <w:r w:rsidRPr="000348DC">
        <w:rPr>
          <w:rFonts w:ascii="Times New Roman" w:hAnsi="Times New Roman" w:cs="Times New Roman"/>
          <w:b/>
          <w:sz w:val="21"/>
          <w:szCs w:val="21"/>
        </w:rPr>
        <w:t>моніторингу стану на ринку праці</w:t>
      </w:r>
    </w:p>
    <w:p w:rsidR="00B233DE" w:rsidRDefault="00B233DE" w:rsidP="00B233DE">
      <w:pPr>
        <w:jc w:val="both"/>
        <w:rPr>
          <w:rFonts w:ascii="Times New Roman" w:hAnsi="Times New Roman" w:cs="Times New Roman"/>
          <w:sz w:val="21"/>
          <w:szCs w:val="21"/>
        </w:rPr>
      </w:pPr>
    </w:p>
    <w:p w:rsidR="00B233DE" w:rsidRPr="003E6E9C" w:rsidRDefault="00B233DE" w:rsidP="00B233DE">
      <w:pPr>
        <w:jc w:val="both"/>
        <w:rPr>
          <w:rFonts w:ascii="Times New Roman" w:hAnsi="Times New Roman" w:cs="Times New Roman"/>
          <w:sz w:val="21"/>
          <w:szCs w:val="21"/>
        </w:rPr>
      </w:pPr>
      <w:r w:rsidRPr="003E6E9C">
        <w:rPr>
          <w:rFonts w:ascii="Times New Roman" w:hAnsi="Times New Roman" w:cs="Times New Roman"/>
          <w:sz w:val="21"/>
          <w:szCs w:val="21"/>
        </w:rPr>
        <w:lastRenderedPageBreak/>
        <w:t>3. Договірне регулювання трудової діяльності (внутрішньої і зовнішньої).</w:t>
      </w:r>
    </w:p>
    <w:p w:rsidR="00B233DE" w:rsidRPr="003E6E9C" w:rsidRDefault="00B233DE" w:rsidP="00B233DE">
      <w:pPr>
        <w:jc w:val="both"/>
        <w:rPr>
          <w:rFonts w:ascii="Times New Roman" w:hAnsi="Times New Roman" w:cs="Times New Roman"/>
          <w:sz w:val="21"/>
          <w:szCs w:val="21"/>
        </w:rPr>
      </w:pPr>
      <w:r w:rsidRPr="003E6E9C">
        <w:rPr>
          <w:rFonts w:ascii="Times New Roman" w:hAnsi="Times New Roman" w:cs="Times New Roman"/>
          <w:sz w:val="21"/>
          <w:szCs w:val="21"/>
        </w:rPr>
        <w:t>4. Удосконалення системи виплат і доп</w:t>
      </w:r>
      <w:r>
        <w:rPr>
          <w:rFonts w:ascii="Times New Roman" w:hAnsi="Times New Roman" w:cs="Times New Roman"/>
          <w:sz w:val="21"/>
          <w:szCs w:val="21"/>
        </w:rPr>
        <w:t xml:space="preserve">омоги з безробіття та створення </w:t>
      </w:r>
      <w:r w:rsidRPr="003E6E9C">
        <w:rPr>
          <w:rFonts w:ascii="Times New Roman" w:hAnsi="Times New Roman" w:cs="Times New Roman"/>
          <w:sz w:val="21"/>
          <w:szCs w:val="21"/>
        </w:rPr>
        <w:t>страхових систем.</w:t>
      </w:r>
    </w:p>
    <w:p w:rsidR="00B233DE" w:rsidRPr="003E6E9C" w:rsidRDefault="00B233DE" w:rsidP="00B233DE">
      <w:pPr>
        <w:ind w:firstLine="708"/>
        <w:jc w:val="both"/>
        <w:rPr>
          <w:rFonts w:ascii="Times New Roman" w:hAnsi="Times New Roman" w:cs="Times New Roman"/>
          <w:sz w:val="21"/>
          <w:szCs w:val="21"/>
        </w:rPr>
      </w:pPr>
      <w:r w:rsidRPr="003E6E9C">
        <w:rPr>
          <w:rFonts w:ascii="Times New Roman" w:hAnsi="Times New Roman" w:cs="Times New Roman"/>
          <w:sz w:val="21"/>
          <w:szCs w:val="21"/>
        </w:rPr>
        <w:t>Мікробізнес є дуже нестійким та уразливим видом підприємництва, тому потребує додаткових заходів сприяння на місцевому рівні. З метою заохочення легалізації підприємницької діяльності для підприємств, які реєструються, передбачено:</w:t>
      </w:r>
    </w:p>
    <w:p w:rsidR="00B233DE" w:rsidRPr="003E6E9C" w:rsidRDefault="00B233DE" w:rsidP="00B233DE">
      <w:pPr>
        <w:tabs>
          <w:tab w:val="left" w:pos="993"/>
        </w:tabs>
        <w:ind w:firstLine="708"/>
        <w:jc w:val="both"/>
        <w:rPr>
          <w:rFonts w:ascii="Times New Roman" w:hAnsi="Times New Roman" w:cs="Times New Roman"/>
          <w:sz w:val="21"/>
          <w:szCs w:val="21"/>
        </w:rPr>
      </w:pPr>
      <w:r w:rsidRPr="003E6E9C">
        <w:rPr>
          <w:rFonts w:ascii="Times New Roman" w:hAnsi="Times New Roman" w:cs="Times New Roman"/>
          <w:sz w:val="21"/>
          <w:szCs w:val="21"/>
        </w:rPr>
        <w:t xml:space="preserve">– організацію короткострокових безкоштовних курсів, семінарів з правових основ підприємництва, бухгалтерського та податкового обліку; </w:t>
      </w:r>
    </w:p>
    <w:p w:rsidR="00B233DE" w:rsidRPr="003E6E9C" w:rsidRDefault="00B233DE" w:rsidP="00B233DE">
      <w:pPr>
        <w:numPr>
          <w:ilvl w:val="0"/>
          <w:numId w:val="8"/>
        </w:numPr>
        <w:tabs>
          <w:tab w:val="left" w:pos="993"/>
        </w:tabs>
        <w:ind w:left="0" w:firstLine="708"/>
        <w:jc w:val="both"/>
        <w:rPr>
          <w:rFonts w:ascii="Times New Roman" w:hAnsi="Times New Roman" w:cs="Times New Roman"/>
          <w:sz w:val="21"/>
          <w:szCs w:val="21"/>
        </w:rPr>
      </w:pPr>
      <w:r w:rsidRPr="003E6E9C">
        <w:rPr>
          <w:rFonts w:ascii="Times New Roman" w:hAnsi="Times New Roman" w:cs="Times New Roman"/>
          <w:sz w:val="21"/>
          <w:szCs w:val="21"/>
        </w:rPr>
        <w:t>забезпечення консультаційного, інформаційно-рекламного обслуговування новостворених підприємницьких структур, зокрема включення до місцевих рекламно-інформаційних довідників безкоштовних юридичних консультацій, інформації про державні та громадські установи, які працюють з підприємцями;</w:t>
      </w:r>
    </w:p>
    <w:p w:rsidR="00B233DE" w:rsidRPr="003E6E9C" w:rsidRDefault="00B233DE" w:rsidP="00B233DE">
      <w:pPr>
        <w:numPr>
          <w:ilvl w:val="0"/>
          <w:numId w:val="8"/>
        </w:numPr>
        <w:tabs>
          <w:tab w:val="left" w:pos="993"/>
        </w:tabs>
        <w:ind w:left="0" w:firstLine="708"/>
        <w:jc w:val="both"/>
        <w:rPr>
          <w:rFonts w:ascii="Times New Roman" w:hAnsi="Times New Roman" w:cs="Times New Roman"/>
          <w:sz w:val="21"/>
          <w:szCs w:val="21"/>
        </w:rPr>
      </w:pPr>
      <w:r w:rsidRPr="003E6E9C">
        <w:rPr>
          <w:rFonts w:ascii="Times New Roman" w:hAnsi="Times New Roman" w:cs="Times New Roman"/>
          <w:sz w:val="21"/>
          <w:szCs w:val="21"/>
        </w:rPr>
        <w:t>сприяння об’єднанню підприємців у громадські організації, спілки для захисту своїх інтересів.</w:t>
      </w:r>
    </w:p>
    <w:p w:rsidR="00B233DE" w:rsidRPr="003E6E9C" w:rsidRDefault="00B233DE" w:rsidP="00B233DE">
      <w:pPr>
        <w:tabs>
          <w:tab w:val="left" w:pos="993"/>
        </w:tabs>
        <w:ind w:firstLine="708"/>
        <w:jc w:val="both"/>
        <w:rPr>
          <w:rFonts w:ascii="Times New Roman" w:hAnsi="Times New Roman" w:cs="Times New Roman"/>
          <w:sz w:val="21"/>
          <w:szCs w:val="21"/>
        </w:rPr>
      </w:pPr>
      <w:r w:rsidRPr="003E6E9C">
        <w:rPr>
          <w:rFonts w:ascii="Times New Roman" w:hAnsi="Times New Roman" w:cs="Times New Roman"/>
          <w:sz w:val="21"/>
          <w:szCs w:val="21"/>
        </w:rPr>
        <w:t>Особливої уваги потребує вирішення проблем зайнятості сільського населення. Державна політика зайнятості в сільській місцевості передбачає такі основні напрями:</w:t>
      </w:r>
    </w:p>
    <w:p w:rsidR="00B233DE" w:rsidRPr="003E6E9C" w:rsidRDefault="00B233DE" w:rsidP="00B233DE">
      <w:pPr>
        <w:numPr>
          <w:ilvl w:val="0"/>
          <w:numId w:val="8"/>
        </w:numPr>
        <w:tabs>
          <w:tab w:val="left" w:pos="993"/>
        </w:tabs>
        <w:ind w:left="0" w:firstLine="708"/>
        <w:jc w:val="both"/>
        <w:rPr>
          <w:rFonts w:ascii="Times New Roman" w:hAnsi="Times New Roman" w:cs="Times New Roman"/>
          <w:sz w:val="21"/>
          <w:szCs w:val="21"/>
        </w:rPr>
      </w:pPr>
      <w:r w:rsidRPr="003E6E9C">
        <w:rPr>
          <w:rFonts w:ascii="Times New Roman" w:hAnsi="Times New Roman" w:cs="Times New Roman"/>
          <w:sz w:val="21"/>
          <w:szCs w:val="21"/>
        </w:rPr>
        <w:t>диверсифікація зайнятості сільського населення, розвиток переробної промисловості та інших галузей агропромислового комплексу, соціальної сфери;</w:t>
      </w:r>
    </w:p>
    <w:p w:rsidR="00B233DE" w:rsidRPr="003E6E9C" w:rsidRDefault="00B233DE" w:rsidP="00B233DE">
      <w:pPr>
        <w:numPr>
          <w:ilvl w:val="0"/>
          <w:numId w:val="8"/>
        </w:numPr>
        <w:tabs>
          <w:tab w:val="left" w:pos="993"/>
        </w:tabs>
        <w:ind w:left="0" w:firstLine="708"/>
        <w:jc w:val="both"/>
        <w:rPr>
          <w:rFonts w:ascii="Times New Roman" w:hAnsi="Times New Roman" w:cs="Times New Roman"/>
          <w:sz w:val="21"/>
          <w:szCs w:val="21"/>
        </w:rPr>
      </w:pPr>
      <w:r w:rsidRPr="003E6E9C">
        <w:rPr>
          <w:rFonts w:ascii="Times New Roman" w:hAnsi="Times New Roman" w:cs="Times New Roman"/>
          <w:sz w:val="21"/>
          <w:szCs w:val="21"/>
        </w:rPr>
        <w:t>стимулювання розвитку фермерських господарств та інших підприємств, які займатимуться сільським господарством на професійній основі та з використанням сучасних індустріальних технологій;</w:t>
      </w:r>
    </w:p>
    <w:p w:rsidR="00B233DE" w:rsidRPr="003E6E9C" w:rsidRDefault="00B233DE" w:rsidP="00B233DE">
      <w:pPr>
        <w:numPr>
          <w:ilvl w:val="0"/>
          <w:numId w:val="8"/>
        </w:numPr>
        <w:tabs>
          <w:tab w:val="left" w:pos="993"/>
        </w:tabs>
        <w:ind w:left="0" w:firstLine="708"/>
        <w:jc w:val="both"/>
        <w:rPr>
          <w:rFonts w:ascii="Times New Roman" w:hAnsi="Times New Roman" w:cs="Times New Roman"/>
          <w:sz w:val="21"/>
          <w:szCs w:val="21"/>
        </w:rPr>
      </w:pPr>
      <w:r w:rsidRPr="003E6E9C">
        <w:rPr>
          <w:rFonts w:ascii="Times New Roman" w:hAnsi="Times New Roman" w:cs="Times New Roman"/>
          <w:sz w:val="21"/>
          <w:szCs w:val="21"/>
        </w:rPr>
        <w:t>законодавче врегулювання статусу і діяльності особистих селянських господарств, в основу визначення яких має закладатися не лише розмір, а й переважний напрям використання землі; права домогосподарств на державний соціальний захист і допомогу, у т.ч. допомогу по безробіттю, мають визначатися з урахуванням демографічного складу сім’ї (чисельність працездатних осіб, дітей, людей похилого віку) та об’єктивних можливостей здачі земельної ділянки в оренду (наявність під</w:t>
      </w:r>
      <w:r>
        <w:rPr>
          <w:rFonts w:ascii="Times New Roman" w:hAnsi="Times New Roman" w:cs="Times New Roman"/>
          <w:sz w:val="21"/>
          <w:szCs w:val="21"/>
        </w:rPr>
        <w:t>-</w:t>
      </w:r>
      <w:r w:rsidRPr="003E6E9C">
        <w:rPr>
          <w:rFonts w:ascii="Times New Roman" w:hAnsi="Times New Roman" w:cs="Times New Roman"/>
          <w:sz w:val="21"/>
          <w:szCs w:val="21"/>
        </w:rPr>
        <w:t>приємств, готових взяти землю в оренду, розмір орендної плати).</w:t>
      </w:r>
    </w:p>
    <w:p w:rsidR="00B233DE" w:rsidRPr="003E6E9C" w:rsidRDefault="00B233DE" w:rsidP="00B233DE">
      <w:pPr>
        <w:autoSpaceDE w:val="0"/>
        <w:autoSpaceDN w:val="0"/>
        <w:adjustRightInd w:val="0"/>
        <w:jc w:val="both"/>
        <w:rPr>
          <w:rFonts w:ascii="Times New Roman" w:hAnsi="Times New Roman" w:cs="Times New Roman"/>
          <w:sz w:val="21"/>
          <w:szCs w:val="21"/>
        </w:rPr>
      </w:pPr>
      <w:r w:rsidRPr="003E6E9C">
        <w:rPr>
          <w:rFonts w:ascii="Times New Roman" w:hAnsi="Times New Roman" w:cs="Times New Roman"/>
          <w:sz w:val="21"/>
          <w:szCs w:val="21"/>
        </w:rPr>
        <w:t xml:space="preserve">Поєднання організаційно-управлінських, правових та економічних важелів державного регулювання, застосування </w:t>
      </w:r>
      <w:r w:rsidRPr="003E6E9C">
        <w:rPr>
          <w:rFonts w:ascii="Times New Roman" w:hAnsi="Times New Roman" w:cs="Times New Roman"/>
          <w:sz w:val="21"/>
          <w:szCs w:val="21"/>
        </w:rPr>
        <w:lastRenderedPageBreak/>
        <w:t>механізмів управління співвідношенням між попитом та пропозицією робочої сили сприяє ефективному регулюванню структури ринку праці, який здатний не тільки впевнено впливати на формування, розвиток та функціонування її об’єктів, але й якісно наповнити їх трудовими та фінансовими потоками [</w:t>
      </w:r>
      <w:r>
        <w:rPr>
          <w:rFonts w:ascii="Times New Roman" w:hAnsi="Times New Roman" w:cs="Times New Roman"/>
          <w:iCs/>
          <w:sz w:val="21"/>
          <w:szCs w:val="21"/>
          <w:highlight w:val="yellow"/>
        </w:rPr>
        <w:fldChar w:fldCharType="begin"/>
      </w:r>
      <w:r>
        <w:rPr>
          <w:rFonts w:ascii="Times New Roman" w:hAnsi="Times New Roman" w:cs="Times New Roman"/>
          <w:sz w:val="21"/>
          <w:szCs w:val="21"/>
        </w:rPr>
        <w:instrText xml:space="preserve"> REF _Ref433977007 \r \h </w:instrText>
      </w:r>
      <w:r>
        <w:rPr>
          <w:rFonts w:ascii="Times New Roman" w:hAnsi="Times New Roman" w:cs="Times New Roman"/>
          <w:iCs/>
          <w:sz w:val="21"/>
          <w:szCs w:val="21"/>
          <w:highlight w:val="yellow"/>
        </w:rPr>
      </w:r>
      <w:r>
        <w:rPr>
          <w:rFonts w:ascii="Times New Roman" w:hAnsi="Times New Roman" w:cs="Times New Roman"/>
          <w:iCs/>
          <w:sz w:val="21"/>
          <w:szCs w:val="21"/>
          <w:highlight w:val="yellow"/>
        </w:rPr>
        <w:fldChar w:fldCharType="separate"/>
      </w:r>
      <w:r>
        <w:rPr>
          <w:rFonts w:ascii="Times New Roman" w:hAnsi="Times New Roman" w:cs="Times New Roman"/>
          <w:sz w:val="21"/>
          <w:szCs w:val="21"/>
        </w:rPr>
        <w:t>32</w:t>
      </w:r>
      <w:r>
        <w:rPr>
          <w:rFonts w:ascii="Times New Roman" w:hAnsi="Times New Roman" w:cs="Times New Roman"/>
          <w:iCs/>
          <w:sz w:val="21"/>
          <w:szCs w:val="21"/>
          <w:highlight w:val="yellow"/>
        </w:rPr>
        <w:fldChar w:fldCharType="end"/>
      </w:r>
      <w:r w:rsidRPr="003E6E9C">
        <w:rPr>
          <w:rFonts w:ascii="Times New Roman" w:hAnsi="Times New Roman" w:cs="Times New Roman"/>
          <w:sz w:val="21"/>
          <w:szCs w:val="21"/>
        </w:rPr>
        <w:t>].</w:t>
      </w:r>
    </w:p>
    <w:p w:rsidR="00B233DE" w:rsidRPr="003E6E9C" w:rsidRDefault="00B233DE" w:rsidP="00B233DE">
      <w:pPr>
        <w:jc w:val="both"/>
        <w:rPr>
          <w:rFonts w:ascii="Times New Roman" w:hAnsi="Times New Roman" w:cs="Times New Roman"/>
          <w:sz w:val="21"/>
          <w:szCs w:val="21"/>
        </w:rPr>
      </w:pPr>
      <w:r w:rsidRPr="003E6E9C">
        <w:rPr>
          <w:rFonts w:ascii="Times New Roman" w:hAnsi="Times New Roman" w:cs="Times New Roman"/>
          <w:sz w:val="21"/>
          <w:szCs w:val="21"/>
        </w:rPr>
        <w:t>Фінансування механізму державного регулювання моніторингу структури ринку праці здійснюється за рахунок коштів Державного і місцевих бюджетів, Фонду загальнообов’язкового державного соціального страхування на випадок безробіття в порядку, визначеному законом. Ці заходи реалізуються шляхом розроблення Міністерством праці та соціальної політики України щорічного плану дій, який затверджується Кабінетом Міністрів України. Організаційне супроводження та контроль за реалізацією заходів розробленого механізму повинно здійснювати Міністерство праці та соціальної політики України, Державний центр зайнятості Міністерства праці та соціальної політики України, відповідні структурні підрозділи місцевих державних адміністрацій і центри зайнятості на місцях [</w:t>
      </w:r>
      <w:r>
        <w:rPr>
          <w:rFonts w:ascii="Times New Roman" w:hAnsi="Times New Roman" w:cs="Times New Roman"/>
          <w:iCs/>
          <w:sz w:val="21"/>
          <w:szCs w:val="21"/>
          <w:highlight w:val="yellow"/>
        </w:rPr>
        <w:fldChar w:fldCharType="begin"/>
      </w:r>
      <w:r>
        <w:rPr>
          <w:rFonts w:ascii="Times New Roman" w:hAnsi="Times New Roman" w:cs="Times New Roman"/>
          <w:sz w:val="21"/>
          <w:szCs w:val="21"/>
        </w:rPr>
        <w:instrText xml:space="preserve"> REF _Ref433977007 \r \h </w:instrText>
      </w:r>
      <w:r>
        <w:rPr>
          <w:rFonts w:ascii="Times New Roman" w:hAnsi="Times New Roman" w:cs="Times New Roman"/>
          <w:iCs/>
          <w:sz w:val="21"/>
          <w:szCs w:val="21"/>
          <w:highlight w:val="yellow"/>
        </w:rPr>
      </w:r>
      <w:r>
        <w:rPr>
          <w:rFonts w:ascii="Times New Roman" w:hAnsi="Times New Roman" w:cs="Times New Roman"/>
          <w:iCs/>
          <w:sz w:val="21"/>
          <w:szCs w:val="21"/>
          <w:highlight w:val="yellow"/>
        </w:rPr>
        <w:fldChar w:fldCharType="separate"/>
      </w:r>
      <w:r>
        <w:rPr>
          <w:rFonts w:ascii="Times New Roman" w:hAnsi="Times New Roman" w:cs="Times New Roman"/>
          <w:sz w:val="21"/>
          <w:szCs w:val="21"/>
        </w:rPr>
        <w:t>32</w:t>
      </w:r>
      <w:r>
        <w:rPr>
          <w:rFonts w:ascii="Times New Roman" w:hAnsi="Times New Roman" w:cs="Times New Roman"/>
          <w:iCs/>
          <w:sz w:val="21"/>
          <w:szCs w:val="21"/>
          <w:highlight w:val="yellow"/>
        </w:rPr>
        <w:fldChar w:fldCharType="end"/>
      </w:r>
      <w:r w:rsidRPr="003E6E9C">
        <w:rPr>
          <w:rFonts w:ascii="Times New Roman" w:hAnsi="Times New Roman" w:cs="Times New Roman"/>
          <w:sz w:val="21"/>
          <w:szCs w:val="21"/>
        </w:rPr>
        <w:t>].</w:t>
      </w:r>
    </w:p>
    <w:p w:rsidR="00B233DE" w:rsidRPr="003E6E9C" w:rsidRDefault="00B233DE" w:rsidP="00B233DE">
      <w:pPr>
        <w:ind w:firstLine="708"/>
        <w:jc w:val="both"/>
        <w:rPr>
          <w:rFonts w:ascii="Times New Roman" w:hAnsi="Times New Roman" w:cs="Times New Roman"/>
          <w:sz w:val="21"/>
          <w:szCs w:val="21"/>
        </w:rPr>
      </w:pPr>
      <w:r w:rsidRPr="003E6E9C">
        <w:rPr>
          <w:rFonts w:ascii="Times New Roman" w:hAnsi="Times New Roman" w:cs="Times New Roman"/>
          <w:sz w:val="21"/>
          <w:szCs w:val="21"/>
        </w:rPr>
        <w:t xml:space="preserve">В Україні розроблено потужну законодавчу базу розвитку соціально-трудових відносин та ринку праці. Це Закони України «Про зайнятість населення» (оновлено у 2012 р.), «Про загальнообов’язкове державне страхування на випадок безробіття», «Про оплату праці», «Про колективні договори і угоди», «Про соціальний діалог», «Про професійний розвиток працівників на виробництві» та ін. Завершується реформування Кодексу законів про працю, який об’єднає часткові закони та акти і включатиме нові положення щодо державного та ринкового регулювання у сфері праці. Відповідно до генерального курсу на побудову соціально орієнтованої ринкової економіки в Україні було поставлене завдання сприяти вільно обраній, повній і продуктивній зайнятості. </w:t>
      </w:r>
    </w:p>
    <w:p w:rsidR="00B233DE" w:rsidRPr="003E6E9C" w:rsidRDefault="00B233DE" w:rsidP="00B233DE">
      <w:pPr>
        <w:ind w:firstLine="708"/>
        <w:jc w:val="both"/>
        <w:rPr>
          <w:rFonts w:ascii="Times New Roman" w:hAnsi="Times New Roman" w:cs="Times New Roman"/>
          <w:sz w:val="21"/>
          <w:szCs w:val="21"/>
        </w:rPr>
      </w:pPr>
      <w:r w:rsidRPr="003E6E9C">
        <w:rPr>
          <w:rFonts w:ascii="Times New Roman" w:hAnsi="Times New Roman" w:cs="Times New Roman"/>
          <w:sz w:val="21"/>
          <w:szCs w:val="21"/>
        </w:rPr>
        <w:t>Аналіз змісту еволюції вітчизняного й європейського ринків праці, її рушійних сил показує, що формування дієвої політики зайнятості має полягати в поетапному, послідовному і неконфліктному трансформуванні сучасних форм і методів, регулювання цієї сфери у ринкові механізми саморегуляції через опосередкування товарно-грошовими відносинами процесів обігу робочої сили. Такий підхід</w:t>
      </w:r>
      <w:r>
        <w:rPr>
          <w:rFonts w:ascii="Times New Roman" w:hAnsi="Times New Roman" w:cs="Times New Roman"/>
          <w:sz w:val="21"/>
          <w:szCs w:val="21"/>
        </w:rPr>
        <w:t>,</w:t>
      </w:r>
      <w:r w:rsidRPr="003E6E9C">
        <w:rPr>
          <w:rFonts w:ascii="Times New Roman" w:hAnsi="Times New Roman" w:cs="Times New Roman"/>
          <w:sz w:val="21"/>
          <w:szCs w:val="21"/>
        </w:rPr>
        <w:t xml:space="preserve"> перш за все</w:t>
      </w:r>
      <w:r>
        <w:rPr>
          <w:rFonts w:ascii="Times New Roman" w:hAnsi="Times New Roman" w:cs="Times New Roman"/>
          <w:sz w:val="21"/>
          <w:szCs w:val="21"/>
        </w:rPr>
        <w:t>,</w:t>
      </w:r>
      <w:r w:rsidRPr="003E6E9C">
        <w:rPr>
          <w:rFonts w:ascii="Times New Roman" w:hAnsi="Times New Roman" w:cs="Times New Roman"/>
          <w:sz w:val="21"/>
          <w:szCs w:val="21"/>
        </w:rPr>
        <w:t xml:space="preserve"> означає досягнення еквівалентності в обміні результатів праці на фонд життєвих </w:t>
      </w:r>
      <w:r w:rsidRPr="003E6E9C">
        <w:rPr>
          <w:rFonts w:ascii="Times New Roman" w:hAnsi="Times New Roman" w:cs="Times New Roman"/>
          <w:sz w:val="21"/>
          <w:szCs w:val="21"/>
        </w:rPr>
        <w:lastRenderedPageBreak/>
        <w:t xml:space="preserve">засобів, необхідних людині для нормального відновлення здатності до праці і забезпечення розширеного відтворення робочої сили, шляхом піднесення ціни робочої сили. Це дасть можливість сформувати необхідні передумови для високоефективного функціонування ресурсів праці на паритетних засадах з іншими агентами єдиного суспільного відтворювального процесу. </w:t>
      </w:r>
    </w:p>
    <w:p w:rsidR="00B233DE" w:rsidRPr="003E6E9C" w:rsidRDefault="00B233DE" w:rsidP="00B233DE">
      <w:pPr>
        <w:pStyle w:val="12"/>
        <w:spacing w:before="0" w:beforeAutospacing="0" w:after="0" w:afterAutospacing="0"/>
        <w:ind w:firstLine="720"/>
        <w:jc w:val="both"/>
        <w:rPr>
          <w:sz w:val="21"/>
          <w:szCs w:val="21"/>
          <w:lang w:val="uk-UA"/>
        </w:rPr>
      </w:pPr>
      <w:r w:rsidRPr="003E6E9C">
        <w:rPr>
          <w:sz w:val="21"/>
          <w:szCs w:val="21"/>
          <w:lang w:val="uk-UA"/>
        </w:rPr>
        <w:t>Водночас наукові дослідження та економічна практика переконливо доводять, що подальша еволюція ринкових відносин дедалі більше пов’язується із становленням соціально орієнтованого ринку праці, без якого, у принципі, неможлива побудова соціально орієнтованої ринкової економічної системи. Формування соціально орієнтованого ринку праці є тривалим і складним процесом соціалізації суспільного відтворення в єдності його продуктивних сил і виробничих відносин, що відбувається при взаємодії багатьох чинників і вимагає існування належних умов. Якщо ступінь соціалізації економічної системи визначається рівнем зайнятості і доходів населення, то саме соціально орієнтований ринок праці є найбільш адекватним соціально орієнтованій моделі держави.</w:t>
      </w:r>
    </w:p>
    <w:p w:rsidR="00B233DE" w:rsidRPr="003E6E9C" w:rsidRDefault="00B233DE" w:rsidP="00B233DE">
      <w:pPr>
        <w:ind w:firstLine="708"/>
        <w:jc w:val="both"/>
        <w:rPr>
          <w:rFonts w:ascii="Times New Roman" w:hAnsi="Times New Roman" w:cs="Times New Roman"/>
          <w:sz w:val="21"/>
          <w:szCs w:val="21"/>
        </w:rPr>
      </w:pPr>
      <w:r w:rsidRPr="003E6E9C">
        <w:rPr>
          <w:rFonts w:ascii="Times New Roman" w:hAnsi="Times New Roman" w:cs="Times New Roman"/>
          <w:sz w:val="21"/>
          <w:szCs w:val="21"/>
        </w:rPr>
        <w:t>Міжнародний досвід свідчить, що ринок праці не може існувати поза конкурентною, основаною на приватній власності, економікою і демократичних суспільних інститут</w:t>
      </w:r>
      <w:r>
        <w:rPr>
          <w:rFonts w:ascii="Times New Roman" w:hAnsi="Times New Roman" w:cs="Times New Roman"/>
          <w:sz w:val="21"/>
          <w:szCs w:val="21"/>
        </w:rPr>
        <w:t>ах</w:t>
      </w:r>
      <w:r w:rsidRPr="003E6E9C">
        <w:rPr>
          <w:rFonts w:ascii="Times New Roman" w:hAnsi="Times New Roman" w:cs="Times New Roman"/>
          <w:sz w:val="21"/>
          <w:szCs w:val="21"/>
        </w:rPr>
        <w:t>. Національний ринок праці охо</w:t>
      </w:r>
      <w:r>
        <w:rPr>
          <w:rFonts w:ascii="Times New Roman" w:hAnsi="Times New Roman" w:cs="Times New Roman"/>
          <w:sz w:val="21"/>
          <w:szCs w:val="21"/>
        </w:rPr>
        <w:t>плює все суспільне відтворення –</w:t>
      </w:r>
      <w:r w:rsidRPr="003E6E9C">
        <w:rPr>
          <w:rFonts w:ascii="Times New Roman" w:hAnsi="Times New Roman" w:cs="Times New Roman"/>
          <w:sz w:val="21"/>
          <w:szCs w:val="21"/>
        </w:rPr>
        <w:t xml:space="preserve"> через нього кожна галузь і кожне підприємство одержують необхідну їм кількість кадрів не тільки заданого професіонально-кваліфікаційного складу, але й певних культурних і етичних властивостей, адекватних вимогам цивілізованої і демократичної економіки [</w:t>
      </w:r>
      <w:r>
        <w:rPr>
          <w:rFonts w:ascii="Times New Roman" w:eastAsia="TimesNewRomanPS-BoldMT" w:hAnsi="Times New Roman" w:cs="Times New Roman"/>
          <w:bCs/>
          <w:sz w:val="21"/>
          <w:szCs w:val="21"/>
          <w:highlight w:val="yellow"/>
        </w:rPr>
        <w:fldChar w:fldCharType="begin"/>
      </w:r>
      <w:r>
        <w:rPr>
          <w:rFonts w:ascii="Times New Roman" w:hAnsi="Times New Roman" w:cs="Times New Roman"/>
          <w:sz w:val="21"/>
          <w:szCs w:val="21"/>
        </w:rPr>
        <w:instrText xml:space="preserve"> REF _Ref433977030 \r \h </w:instrText>
      </w:r>
      <w:r>
        <w:rPr>
          <w:rFonts w:ascii="Times New Roman" w:eastAsia="TimesNewRomanPS-BoldMT" w:hAnsi="Times New Roman" w:cs="Times New Roman"/>
          <w:bCs/>
          <w:sz w:val="21"/>
          <w:szCs w:val="21"/>
          <w:highlight w:val="yellow"/>
        </w:rPr>
      </w:r>
      <w:r>
        <w:rPr>
          <w:rFonts w:ascii="Times New Roman" w:eastAsia="TimesNewRomanPS-BoldMT" w:hAnsi="Times New Roman" w:cs="Times New Roman"/>
          <w:bCs/>
          <w:sz w:val="21"/>
          <w:szCs w:val="21"/>
          <w:highlight w:val="yellow"/>
        </w:rPr>
        <w:fldChar w:fldCharType="separate"/>
      </w:r>
      <w:r>
        <w:rPr>
          <w:rFonts w:ascii="Times New Roman" w:hAnsi="Times New Roman" w:cs="Times New Roman"/>
          <w:sz w:val="21"/>
          <w:szCs w:val="21"/>
        </w:rPr>
        <w:t>65</w:t>
      </w:r>
      <w:r>
        <w:rPr>
          <w:rFonts w:ascii="Times New Roman" w:eastAsia="TimesNewRomanPS-BoldMT" w:hAnsi="Times New Roman" w:cs="Times New Roman"/>
          <w:bCs/>
          <w:sz w:val="21"/>
          <w:szCs w:val="21"/>
          <w:highlight w:val="yellow"/>
        </w:rPr>
        <w:fldChar w:fldCharType="end"/>
      </w:r>
      <w:r w:rsidRPr="003E6E9C">
        <w:rPr>
          <w:rFonts w:ascii="Times New Roman" w:hAnsi="Times New Roman" w:cs="Times New Roman"/>
          <w:sz w:val="21"/>
          <w:szCs w:val="21"/>
        </w:rPr>
        <w:t>].</w:t>
      </w:r>
    </w:p>
    <w:p w:rsidR="00B233DE" w:rsidRPr="003E6E9C" w:rsidRDefault="00B233DE" w:rsidP="00B233DE">
      <w:pPr>
        <w:ind w:firstLine="709"/>
        <w:jc w:val="both"/>
        <w:rPr>
          <w:rFonts w:ascii="Times New Roman" w:hAnsi="Times New Roman" w:cs="Times New Roman"/>
          <w:sz w:val="21"/>
          <w:szCs w:val="21"/>
        </w:rPr>
      </w:pPr>
      <w:r w:rsidRPr="003E6E9C">
        <w:rPr>
          <w:rFonts w:ascii="Times New Roman" w:hAnsi="Times New Roman" w:cs="Times New Roman"/>
          <w:sz w:val="21"/>
          <w:szCs w:val="21"/>
        </w:rPr>
        <w:t>Сучасна модель українського ринку праці є парадок</w:t>
      </w:r>
      <w:r>
        <w:rPr>
          <w:rFonts w:ascii="Times New Roman" w:hAnsi="Times New Roman" w:cs="Times New Roman"/>
          <w:sz w:val="21"/>
          <w:szCs w:val="21"/>
        </w:rPr>
        <w:t>-</w:t>
      </w:r>
      <w:r w:rsidRPr="003E6E9C">
        <w:rPr>
          <w:rFonts w:ascii="Times New Roman" w:hAnsi="Times New Roman" w:cs="Times New Roman"/>
          <w:sz w:val="21"/>
          <w:szCs w:val="21"/>
        </w:rPr>
        <w:t xml:space="preserve">сальною і характеризується суперечностями, що перешкоджають його ефективній інтеграції. Політика зайнятості та політика оплати праці не скоординовані, державні та ринкові регулятори не взаємодіють, рішення, що ухвалюються, є реакцією на події, а не є проактивними, ринок праці відірваний від ринків житла, кредитів, інвестицій, товарів та послуг; держава контролює прибутковість роботодавців, а не їх системний розвиток; законодавство розробляється, але порушується й не дотримується. Дослідження показали, що потрібні перетворення на ринку праці співпадають з заходами, необхідними для євроінтеграції економіки України. У </w:t>
      </w:r>
      <w:r w:rsidRPr="003E6E9C">
        <w:rPr>
          <w:rFonts w:ascii="Times New Roman" w:hAnsi="Times New Roman" w:cs="Times New Roman"/>
          <w:sz w:val="21"/>
          <w:szCs w:val="21"/>
        </w:rPr>
        <w:lastRenderedPageBreak/>
        <w:t>разі їх втілення у життя умови функціонування та регулювання ринку праці наблизяться до європейських. У свою чергу, держави Євросоюзу зацікавлені мати Україну як повноцінного партнера, а не проблемну країну на роздоріжжі.</w:t>
      </w:r>
    </w:p>
    <w:p w:rsidR="00B233DE" w:rsidRDefault="00B233DE" w:rsidP="00B233DE">
      <w:pPr>
        <w:ind w:firstLine="709"/>
        <w:jc w:val="both"/>
        <w:rPr>
          <w:rFonts w:ascii="Times New Roman" w:hAnsi="Times New Roman" w:cs="Times New Roman"/>
          <w:sz w:val="21"/>
          <w:szCs w:val="21"/>
        </w:rPr>
      </w:pPr>
    </w:p>
    <w:p w:rsidR="00B233DE" w:rsidRPr="003E6E9C" w:rsidRDefault="00B233DE" w:rsidP="00B233DE">
      <w:pPr>
        <w:ind w:firstLine="709"/>
        <w:jc w:val="both"/>
        <w:rPr>
          <w:rFonts w:ascii="Times New Roman" w:hAnsi="Times New Roman" w:cs="Times New Roman"/>
          <w:sz w:val="21"/>
          <w:szCs w:val="21"/>
        </w:rPr>
      </w:pPr>
    </w:p>
    <w:p w:rsidR="00B233DE" w:rsidRPr="00E20C1F" w:rsidRDefault="00B233DE" w:rsidP="00B233DE">
      <w:pPr>
        <w:pStyle w:val="afb"/>
        <w:shd w:val="clear" w:color="auto" w:fill="auto"/>
        <w:tabs>
          <w:tab w:val="left" w:pos="394"/>
          <w:tab w:val="left" w:pos="426"/>
        </w:tabs>
        <w:spacing w:before="0" w:line="240" w:lineRule="auto"/>
        <w:ind w:right="40" w:firstLine="709"/>
        <w:contextualSpacing/>
        <w:jc w:val="center"/>
        <w:rPr>
          <w:b/>
          <w:sz w:val="21"/>
          <w:szCs w:val="21"/>
        </w:rPr>
      </w:pPr>
      <w:r w:rsidRPr="00E20C1F">
        <w:rPr>
          <w:rFonts w:ascii="UkrainianPeterburg" w:hAnsi="UkrainianPeterburg"/>
          <w:b/>
          <w:sz w:val="21"/>
          <w:szCs w:val="21"/>
        </w:rPr>
        <w:t>3.2 Інституціональні перетворення у становленні ринку праці</w:t>
      </w:r>
    </w:p>
    <w:p w:rsidR="00B233DE" w:rsidRPr="003E6E9C" w:rsidRDefault="00B233DE" w:rsidP="00B233DE">
      <w:pPr>
        <w:ind w:firstLine="709"/>
        <w:jc w:val="both"/>
        <w:rPr>
          <w:rFonts w:ascii="Times New Roman" w:hAnsi="Times New Roman" w:cs="Times New Roman"/>
          <w:sz w:val="21"/>
          <w:szCs w:val="21"/>
        </w:rPr>
      </w:pPr>
    </w:p>
    <w:p w:rsidR="00B233DE" w:rsidRPr="003E6E9C" w:rsidRDefault="00B233DE" w:rsidP="00B233DE">
      <w:pPr>
        <w:ind w:firstLine="709"/>
        <w:jc w:val="both"/>
        <w:rPr>
          <w:rFonts w:ascii="Times New Roman" w:hAnsi="Times New Roman" w:cs="Times New Roman"/>
          <w:sz w:val="21"/>
          <w:szCs w:val="21"/>
        </w:rPr>
      </w:pPr>
    </w:p>
    <w:p w:rsidR="00B233DE" w:rsidRPr="00476B6D" w:rsidRDefault="00B233DE" w:rsidP="00B233DE">
      <w:pPr>
        <w:ind w:firstLine="709"/>
        <w:jc w:val="both"/>
        <w:rPr>
          <w:rFonts w:ascii="Times New Roman" w:eastAsia="TimesNewRoman" w:hAnsi="Times New Roman" w:cs="Times New Roman"/>
          <w:sz w:val="21"/>
          <w:szCs w:val="21"/>
        </w:rPr>
      </w:pPr>
      <w:r w:rsidRPr="003E6E9C">
        <w:rPr>
          <w:rFonts w:ascii="Times New Roman" w:eastAsia="TimesNewRoman" w:hAnsi="Times New Roman" w:cs="Times New Roman"/>
          <w:sz w:val="21"/>
          <w:szCs w:val="21"/>
        </w:rPr>
        <w:t>Людство</w:t>
      </w:r>
      <w:r w:rsidRPr="003E6E9C">
        <w:rPr>
          <w:rFonts w:ascii="Times New Roman" w:eastAsia="TimesNewRoman" w:hAnsi="Times New Roman" w:cs="Times New Roman"/>
          <w:b/>
          <w:sz w:val="21"/>
          <w:szCs w:val="21"/>
        </w:rPr>
        <w:t xml:space="preserve"> </w:t>
      </w:r>
      <w:r w:rsidRPr="003E6E9C">
        <w:rPr>
          <w:rFonts w:ascii="Times New Roman" w:eastAsia="TimesNewRoman" w:hAnsi="Times New Roman" w:cs="Times New Roman"/>
          <w:sz w:val="21"/>
          <w:szCs w:val="21"/>
        </w:rPr>
        <w:t xml:space="preserve">послідовно відходить від моделі світу, в якій національна економіка окремих країн була досить ізольована від глобалізаційних процесів мовними бар’єрами, відстанню, часовими поясами, особливостями національних законодавств, культури й бізнесу. Людство рухається до </w:t>
      </w:r>
      <w:r w:rsidRPr="00476B6D">
        <w:rPr>
          <w:rFonts w:ascii="Times New Roman" w:eastAsia="TimesNewRoman" w:hAnsi="Times New Roman" w:cs="Times New Roman"/>
          <w:sz w:val="21"/>
          <w:szCs w:val="21"/>
        </w:rPr>
        <w:t>такої моделі світу, де економіки окремих країн функціонують у рамках єдиної, взаємозалежної світової економічної системи [</w:t>
      </w:r>
      <w:r w:rsidRPr="00476B6D">
        <w:rPr>
          <w:rFonts w:ascii="Times New Roman" w:hAnsi="Times New Roman" w:cs="Times New Roman"/>
          <w:sz w:val="21"/>
          <w:szCs w:val="21"/>
        </w:rPr>
        <w:fldChar w:fldCharType="begin"/>
      </w:r>
      <w:r w:rsidRPr="00476B6D">
        <w:rPr>
          <w:rFonts w:ascii="Times New Roman" w:eastAsia="TimesNewRoman" w:hAnsi="Times New Roman" w:cs="Times New Roman"/>
          <w:sz w:val="21"/>
          <w:szCs w:val="21"/>
        </w:rPr>
        <w:instrText xml:space="preserve"> REF _Ref433977038 \r \h </w:instrText>
      </w:r>
      <w:r>
        <w:rPr>
          <w:rFonts w:ascii="Times New Roman" w:hAnsi="Times New Roman" w:cs="Times New Roman"/>
          <w:sz w:val="21"/>
          <w:szCs w:val="21"/>
        </w:rPr>
        <w:instrText xml:space="preserve"> \* MERGEFORMAT </w:instrText>
      </w:r>
      <w:r w:rsidRPr="00476B6D">
        <w:rPr>
          <w:rFonts w:ascii="Times New Roman" w:hAnsi="Times New Roman" w:cs="Times New Roman"/>
          <w:sz w:val="21"/>
          <w:szCs w:val="21"/>
        </w:rPr>
      </w:r>
      <w:r w:rsidRPr="00476B6D">
        <w:rPr>
          <w:rFonts w:ascii="Times New Roman" w:hAnsi="Times New Roman" w:cs="Times New Roman"/>
          <w:sz w:val="21"/>
          <w:szCs w:val="21"/>
        </w:rPr>
        <w:fldChar w:fldCharType="separate"/>
      </w:r>
      <w:r>
        <w:rPr>
          <w:rFonts w:ascii="Times New Roman" w:eastAsia="TimesNewRoman" w:hAnsi="Times New Roman" w:cs="Times New Roman"/>
          <w:sz w:val="21"/>
          <w:szCs w:val="21"/>
        </w:rPr>
        <w:t>73</w:t>
      </w:r>
      <w:r w:rsidRPr="00476B6D">
        <w:rPr>
          <w:rFonts w:ascii="Times New Roman" w:hAnsi="Times New Roman" w:cs="Times New Roman"/>
          <w:sz w:val="21"/>
          <w:szCs w:val="21"/>
        </w:rPr>
        <w:fldChar w:fldCharType="end"/>
      </w:r>
      <w:r w:rsidRPr="00476B6D">
        <w:rPr>
          <w:rFonts w:ascii="Times New Roman" w:eastAsia="TimesNewRoman" w:hAnsi="Times New Roman" w:cs="Times New Roman"/>
          <w:sz w:val="21"/>
          <w:szCs w:val="21"/>
        </w:rPr>
        <w:t xml:space="preserve">, с. 53]. </w:t>
      </w:r>
    </w:p>
    <w:p w:rsidR="00B233DE" w:rsidRPr="003E6E9C" w:rsidRDefault="00B233DE" w:rsidP="00B233DE">
      <w:pPr>
        <w:ind w:firstLine="709"/>
        <w:jc w:val="both"/>
        <w:rPr>
          <w:rFonts w:ascii="Times New Roman" w:hAnsi="Times New Roman" w:cs="Times New Roman"/>
          <w:sz w:val="21"/>
          <w:szCs w:val="21"/>
        </w:rPr>
      </w:pPr>
      <w:r w:rsidRPr="00476B6D">
        <w:rPr>
          <w:rFonts w:ascii="Times New Roman" w:hAnsi="Times New Roman" w:cs="Times New Roman"/>
          <w:sz w:val="21"/>
          <w:szCs w:val="21"/>
        </w:rPr>
        <w:t>Інтеграційний вектор руху України у європейське та світове господарство за умов впливу</w:t>
      </w:r>
      <w:r w:rsidRPr="003E6E9C">
        <w:rPr>
          <w:rFonts w:ascii="Times New Roman" w:hAnsi="Times New Roman" w:cs="Times New Roman"/>
          <w:sz w:val="21"/>
          <w:szCs w:val="21"/>
        </w:rPr>
        <w:t xml:space="preserve"> світової фінансово-економічної кризи, додаткового імпульсу новітньої інформаційно-комунікаційної сфери, проникнення інформаційних технологій у всі галузі економічного та суспільного життя, інноваційного напряму орієнтації економіки, інтелектуалізації та розширення галузей прикладання праці обумовлюють перебудову усталеного ринку праці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_Ref433977048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116</w:t>
      </w:r>
      <w:r>
        <w:rPr>
          <w:rFonts w:ascii="Times New Roman" w:hAnsi="Times New Roman" w:cs="Times New Roman"/>
          <w:sz w:val="21"/>
          <w:szCs w:val="21"/>
          <w:highlight w:val="yellow"/>
        </w:rPr>
        <w:fldChar w:fldCharType="end"/>
      </w:r>
      <w:r w:rsidRPr="003E6E9C">
        <w:rPr>
          <w:rFonts w:ascii="Times New Roman" w:hAnsi="Times New Roman" w:cs="Times New Roman"/>
          <w:sz w:val="21"/>
          <w:szCs w:val="21"/>
        </w:rPr>
        <w:t xml:space="preserve">]. </w:t>
      </w:r>
    </w:p>
    <w:p w:rsidR="00B233DE" w:rsidRPr="003E6E9C" w:rsidRDefault="00B233DE" w:rsidP="00B233DE">
      <w:pPr>
        <w:ind w:firstLine="709"/>
        <w:jc w:val="both"/>
        <w:rPr>
          <w:rFonts w:ascii="Times New Roman" w:hAnsi="Times New Roman" w:cs="Times New Roman"/>
          <w:sz w:val="21"/>
          <w:szCs w:val="21"/>
        </w:rPr>
      </w:pPr>
      <w:r w:rsidRPr="003E6E9C">
        <w:rPr>
          <w:rFonts w:ascii="Times New Roman" w:hAnsi="Times New Roman" w:cs="Times New Roman"/>
          <w:sz w:val="21"/>
          <w:szCs w:val="21"/>
        </w:rPr>
        <w:t xml:space="preserve">Ключове місце в розбудові національного ринку праці повинен посідати людський фактор, інтелектуальний та духовний розвиток людини як ефективна умова функціонування сучасної економіки. Кожна людина, як неповторна особистість, за сприятливих умов, реалізуючи свій інтелектуальний та трудовий потенціал, має можливість приносити користь суспільству, розкривши себе у своїй роботі, застосувавши свої знання, практичні навички та вміння; продемонструвавши свої таланти та здібності. Реалізація права на працю громадян України перетворюється на ключовий чинник її економічного розвитку. </w:t>
      </w:r>
    </w:p>
    <w:p w:rsidR="00B233DE" w:rsidRPr="003E6E9C" w:rsidRDefault="00B233DE" w:rsidP="00B233DE">
      <w:pPr>
        <w:ind w:firstLine="709"/>
        <w:jc w:val="both"/>
        <w:rPr>
          <w:rFonts w:ascii="Times New Roman" w:eastAsia="TimesNewRoman" w:hAnsi="Times New Roman" w:cs="Times New Roman"/>
          <w:sz w:val="21"/>
          <w:szCs w:val="21"/>
        </w:rPr>
      </w:pPr>
      <w:r w:rsidRPr="003E6E9C">
        <w:rPr>
          <w:rFonts w:ascii="Times New Roman" w:hAnsi="Times New Roman" w:cs="Times New Roman"/>
          <w:sz w:val="21"/>
          <w:szCs w:val="21"/>
        </w:rPr>
        <w:t xml:space="preserve">На даний час, основною метою нашої країни є ефективне використання людського чинника та </w:t>
      </w:r>
      <w:r w:rsidRPr="003E6E9C">
        <w:rPr>
          <w:rFonts w:ascii="Times New Roman" w:eastAsia="TimesNewRoman" w:hAnsi="Times New Roman" w:cs="Times New Roman"/>
          <w:sz w:val="21"/>
          <w:szCs w:val="21"/>
        </w:rPr>
        <w:t>формування нового типу особистості – «людини знань, людини інформаційної, інституціональної, соціальної» [</w:t>
      </w:r>
      <w:r>
        <w:rPr>
          <w:rFonts w:ascii="Times New Roman" w:hAnsi="Times New Roman" w:cs="Times New Roman"/>
          <w:sz w:val="21"/>
          <w:szCs w:val="21"/>
          <w:highlight w:val="yellow"/>
        </w:rPr>
        <w:fldChar w:fldCharType="begin"/>
      </w:r>
      <w:r>
        <w:rPr>
          <w:rFonts w:ascii="Times New Roman" w:eastAsia="TimesNewRoman" w:hAnsi="Times New Roman" w:cs="Times New Roman"/>
          <w:sz w:val="21"/>
          <w:szCs w:val="21"/>
        </w:rPr>
        <w:instrText xml:space="preserve"> REF _Ref433977055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eastAsia="TimesNewRoman" w:hAnsi="Times New Roman" w:cs="Times New Roman"/>
          <w:sz w:val="21"/>
          <w:szCs w:val="21"/>
        </w:rPr>
        <w:t>51</w:t>
      </w:r>
      <w:r>
        <w:rPr>
          <w:rFonts w:ascii="Times New Roman" w:hAnsi="Times New Roman" w:cs="Times New Roman"/>
          <w:sz w:val="21"/>
          <w:szCs w:val="21"/>
          <w:highlight w:val="yellow"/>
        </w:rPr>
        <w:fldChar w:fldCharType="end"/>
      </w:r>
      <w:r w:rsidRPr="003E6E9C">
        <w:rPr>
          <w:rFonts w:ascii="Times New Roman" w:eastAsia="TimesNewRoman" w:hAnsi="Times New Roman" w:cs="Times New Roman"/>
          <w:sz w:val="21"/>
          <w:szCs w:val="21"/>
        </w:rPr>
        <w:t xml:space="preserve">, с. 46]. </w:t>
      </w:r>
    </w:p>
    <w:p w:rsidR="00B233DE" w:rsidRPr="003E6E9C" w:rsidRDefault="00B233DE" w:rsidP="00B233DE">
      <w:pPr>
        <w:ind w:firstLine="709"/>
        <w:jc w:val="both"/>
        <w:rPr>
          <w:rFonts w:ascii="Times New Roman" w:hAnsi="Times New Roman" w:cs="Times New Roman"/>
          <w:sz w:val="21"/>
          <w:szCs w:val="21"/>
        </w:rPr>
      </w:pPr>
      <w:r w:rsidRPr="003E6E9C">
        <w:rPr>
          <w:rFonts w:ascii="Times New Roman" w:hAnsi="Times New Roman" w:cs="Times New Roman"/>
          <w:sz w:val="21"/>
          <w:szCs w:val="21"/>
        </w:rPr>
        <w:lastRenderedPageBreak/>
        <w:t>Роботодавці чекають на конкурентоспроможну робочу силу, все більше загострюючи боротьбу за таланти та інтелект. З підвищенням наукомісткості сучасного виробництва, працедавці шукатимуть працівників з певним досвідом, унікальними</w:t>
      </w:r>
      <w:r w:rsidRPr="003E6E9C">
        <w:rPr>
          <w:rFonts w:ascii="Times New Roman" w:hAnsi="Times New Roman" w:cs="Times New Roman"/>
          <w:i/>
          <w:sz w:val="21"/>
          <w:szCs w:val="21"/>
        </w:rPr>
        <w:t xml:space="preserve"> </w:t>
      </w:r>
      <w:r w:rsidRPr="003E6E9C">
        <w:rPr>
          <w:rFonts w:ascii="Times New Roman" w:hAnsi="Times New Roman" w:cs="Times New Roman"/>
          <w:sz w:val="21"/>
          <w:szCs w:val="21"/>
        </w:rPr>
        <w:t xml:space="preserve">здібностями, навиками </w:t>
      </w:r>
      <w:r w:rsidRPr="003E6E9C">
        <w:rPr>
          <w:rFonts w:ascii="Times New Roman" w:eastAsia="TimesNewRoman" w:hAnsi="Times New Roman" w:cs="Times New Roman"/>
          <w:sz w:val="21"/>
          <w:szCs w:val="21"/>
        </w:rPr>
        <w:t>самостійно</w:t>
      </w:r>
      <w:r w:rsidRPr="003E6E9C">
        <w:rPr>
          <w:rFonts w:ascii="Times New Roman" w:hAnsi="Times New Roman" w:cs="Times New Roman"/>
          <w:sz w:val="21"/>
          <w:szCs w:val="21"/>
        </w:rPr>
        <w:t xml:space="preserve"> навчатися впродовж всього життя та вмінням їх практичного застосовування у трудовому процесі, навиками ведення дискусії, аналітичного мислення, прогнозування альтернатив розвитку, пропонування креативних бізнес-рішень. Роботодавці стають не байдужими до тих особистостей, для яких на першому плані висувається творча ініціатива, </w:t>
      </w:r>
      <w:r w:rsidRPr="003E6E9C">
        <w:rPr>
          <w:rFonts w:ascii="Times New Roman" w:eastAsia="TimesNewRoman" w:hAnsi="Times New Roman" w:cs="Times New Roman"/>
          <w:sz w:val="21"/>
          <w:szCs w:val="21"/>
        </w:rPr>
        <w:t>здатність генерування нових ідей,</w:t>
      </w:r>
      <w:r w:rsidRPr="003E6E9C">
        <w:rPr>
          <w:rFonts w:ascii="Times New Roman" w:hAnsi="Times New Roman" w:cs="Times New Roman"/>
          <w:sz w:val="21"/>
          <w:szCs w:val="21"/>
        </w:rPr>
        <w:t xml:space="preserve"> спрямованість на активну життєву позицію, розвиток, тверду волю, ефективність у роботі, відносини солідарності та позитивну змагальність з колегами на роботі. </w:t>
      </w:r>
    </w:p>
    <w:p w:rsidR="00B233DE" w:rsidRPr="003E6E9C" w:rsidRDefault="00B233DE" w:rsidP="00B233DE">
      <w:pPr>
        <w:autoSpaceDE w:val="0"/>
        <w:autoSpaceDN w:val="0"/>
        <w:adjustRightInd w:val="0"/>
        <w:ind w:firstLine="709"/>
        <w:jc w:val="both"/>
        <w:rPr>
          <w:rFonts w:ascii="Times New Roman" w:eastAsia="TimesNewRoman" w:hAnsi="Times New Roman" w:cs="Times New Roman"/>
          <w:b/>
          <w:sz w:val="21"/>
          <w:szCs w:val="21"/>
        </w:rPr>
      </w:pPr>
      <w:r w:rsidRPr="003E6E9C">
        <w:rPr>
          <w:rFonts w:ascii="Times New Roman" w:hAnsi="Times New Roman" w:cs="Times New Roman"/>
          <w:sz w:val="21"/>
          <w:szCs w:val="21"/>
        </w:rPr>
        <w:t>Перетворенн</w:t>
      </w:r>
      <w:r>
        <w:rPr>
          <w:rFonts w:ascii="Times New Roman" w:hAnsi="Times New Roman" w:cs="Times New Roman"/>
          <w:sz w:val="21"/>
          <w:szCs w:val="21"/>
        </w:rPr>
        <w:t>я</w:t>
      </w:r>
      <w:r w:rsidRPr="003E6E9C">
        <w:rPr>
          <w:rFonts w:ascii="Times New Roman" w:hAnsi="Times New Roman" w:cs="Times New Roman"/>
          <w:sz w:val="21"/>
          <w:szCs w:val="21"/>
        </w:rPr>
        <w:t xml:space="preserve"> ринку праці спонукає стрімка з</w:t>
      </w:r>
      <w:r w:rsidRPr="003E6E9C">
        <w:rPr>
          <w:rFonts w:ascii="Times New Roman" w:eastAsia="TimesNewRoman" w:hAnsi="Times New Roman" w:cs="Times New Roman"/>
          <w:sz w:val="21"/>
          <w:szCs w:val="21"/>
        </w:rPr>
        <w:t>міна технологій, яка відбувається швидше, ніж зміна людського покоління. Крім цього, г</w:t>
      </w:r>
      <w:r w:rsidRPr="003E6E9C">
        <w:rPr>
          <w:rFonts w:ascii="Times New Roman" w:hAnsi="Times New Roman" w:cs="Times New Roman"/>
          <w:sz w:val="21"/>
          <w:szCs w:val="21"/>
        </w:rPr>
        <w:t>лобалізація вимагає від ринку праці конкурентоспроможної робочої сили, з професійною підготовкою за певними стандартами, що є реакцією на стандартизацію рівня виробничої техніки і продукції, яка випускається у кооперації між підприємствами з різних країн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_Ref433977065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103</w:t>
      </w:r>
      <w:r>
        <w:rPr>
          <w:rFonts w:ascii="Times New Roman" w:hAnsi="Times New Roman" w:cs="Times New Roman"/>
          <w:sz w:val="21"/>
          <w:szCs w:val="21"/>
          <w:highlight w:val="yellow"/>
        </w:rPr>
        <w:fldChar w:fldCharType="end"/>
      </w:r>
      <w:r w:rsidRPr="003E6E9C">
        <w:rPr>
          <w:rFonts w:ascii="Times New Roman" w:hAnsi="Times New Roman" w:cs="Times New Roman"/>
          <w:sz w:val="21"/>
          <w:szCs w:val="21"/>
        </w:rPr>
        <w:t xml:space="preserve"> с. 171]. </w:t>
      </w:r>
      <w:r w:rsidRPr="003E6E9C">
        <w:rPr>
          <w:rFonts w:ascii="Times New Roman" w:eastAsia="TimesNewRoman" w:hAnsi="Times New Roman" w:cs="Times New Roman"/>
          <w:sz w:val="21"/>
          <w:szCs w:val="21"/>
        </w:rPr>
        <w:t>З огляду на це, в Україні, напередодні вступу до ЄС, дуже велика відповідальність лежить на поколінні, яке буде шукати місце держави в умовах глобалізації. Це покоління повинно бути конкурентоспроможним у знаннях, мобільності, мовному середовищі [</w:t>
      </w:r>
      <w:r>
        <w:rPr>
          <w:rFonts w:ascii="Times New Roman" w:hAnsi="Times New Roman" w:cs="Times New Roman"/>
          <w:sz w:val="21"/>
          <w:szCs w:val="21"/>
          <w:highlight w:val="yellow"/>
        </w:rPr>
        <w:fldChar w:fldCharType="begin"/>
      </w:r>
      <w:r>
        <w:rPr>
          <w:rFonts w:ascii="Times New Roman" w:eastAsia="TimesNewRoman" w:hAnsi="Times New Roman" w:cs="Times New Roman"/>
          <w:sz w:val="21"/>
          <w:szCs w:val="21"/>
        </w:rPr>
        <w:instrText xml:space="preserve"> REF _Ref433977073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eastAsia="TimesNewRoman" w:hAnsi="Times New Roman" w:cs="Times New Roman"/>
          <w:sz w:val="21"/>
          <w:szCs w:val="21"/>
        </w:rPr>
        <w:t>67</w:t>
      </w:r>
      <w:r>
        <w:rPr>
          <w:rFonts w:ascii="Times New Roman" w:hAnsi="Times New Roman" w:cs="Times New Roman"/>
          <w:sz w:val="21"/>
          <w:szCs w:val="21"/>
          <w:highlight w:val="yellow"/>
        </w:rPr>
        <w:fldChar w:fldCharType="end"/>
      </w:r>
      <w:r w:rsidRPr="003E6E9C">
        <w:rPr>
          <w:rFonts w:ascii="Times New Roman" w:eastAsia="TimesNewRoman" w:hAnsi="Times New Roman" w:cs="Times New Roman"/>
          <w:b/>
          <w:sz w:val="21"/>
          <w:szCs w:val="21"/>
        </w:rPr>
        <w:t xml:space="preserve">, </w:t>
      </w:r>
      <w:r w:rsidRPr="003E6E9C">
        <w:rPr>
          <w:rFonts w:ascii="Times New Roman" w:eastAsia="TimesNewRoman" w:hAnsi="Times New Roman" w:cs="Times New Roman"/>
          <w:sz w:val="21"/>
          <w:szCs w:val="21"/>
        </w:rPr>
        <w:t>с. 10</w:t>
      </w:r>
      <w:r w:rsidRPr="003E6E9C">
        <w:rPr>
          <w:rFonts w:ascii="Times New Roman" w:eastAsia="TimesNewRoman" w:hAnsi="Times New Roman" w:cs="Times New Roman"/>
          <w:b/>
          <w:sz w:val="21"/>
          <w:szCs w:val="21"/>
        </w:rPr>
        <w:t xml:space="preserve">]. </w:t>
      </w:r>
    </w:p>
    <w:p w:rsidR="00B233DE" w:rsidRPr="003E6E9C" w:rsidRDefault="00B233DE" w:rsidP="00B233DE">
      <w:pPr>
        <w:ind w:firstLine="709"/>
        <w:jc w:val="both"/>
        <w:rPr>
          <w:rFonts w:ascii="Times New Roman" w:hAnsi="Times New Roman" w:cs="Times New Roman"/>
          <w:sz w:val="21"/>
          <w:szCs w:val="21"/>
        </w:rPr>
      </w:pPr>
      <w:r w:rsidRPr="003E6E9C">
        <w:rPr>
          <w:rFonts w:ascii="Times New Roman" w:hAnsi="Times New Roman" w:cs="Times New Roman"/>
          <w:sz w:val="21"/>
          <w:szCs w:val="21"/>
        </w:rPr>
        <w:t>У різних</w:t>
      </w:r>
      <w:r w:rsidRPr="003E6E9C">
        <w:rPr>
          <w:rFonts w:ascii="Times New Roman" w:hAnsi="Times New Roman" w:cs="Times New Roman"/>
          <w:b/>
          <w:sz w:val="21"/>
          <w:szCs w:val="21"/>
        </w:rPr>
        <w:t xml:space="preserve"> </w:t>
      </w:r>
      <w:r w:rsidRPr="003E6E9C">
        <w:rPr>
          <w:rFonts w:ascii="Times New Roman" w:hAnsi="Times New Roman" w:cs="Times New Roman"/>
          <w:sz w:val="21"/>
          <w:szCs w:val="21"/>
        </w:rPr>
        <w:t xml:space="preserve">наукових працях продовжується пошук визначень «ринку праці». Досліджуючи дану економічну категорію, наша мета полягає в тому, щоб на основі вже відомих тлумачень «ринку праці» ширше розкрити його зміст, виокремити сучасні підходи трансформації, виявити теоретичні основи інституціональних змін ринку праці за умов розвитку інтеграційних процесів. </w:t>
      </w:r>
    </w:p>
    <w:p w:rsidR="00B233DE" w:rsidRPr="003E6E9C" w:rsidRDefault="00B233DE" w:rsidP="00B233DE">
      <w:pPr>
        <w:ind w:firstLine="709"/>
        <w:jc w:val="both"/>
        <w:rPr>
          <w:rFonts w:ascii="Times New Roman" w:hAnsi="Times New Roman" w:cs="Times New Roman"/>
          <w:sz w:val="21"/>
          <w:szCs w:val="21"/>
        </w:rPr>
      </w:pPr>
      <w:r>
        <w:rPr>
          <w:rFonts w:ascii="Times New Roman" w:hAnsi="Times New Roman" w:cs="Times New Roman"/>
          <w:color w:val="000000"/>
          <w:sz w:val="21"/>
          <w:szCs w:val="21"/>
        </w:rPr>
        <w:t>На наш погляд, за сучасних умов</w:t>
      </w:r>
      <w:r w:rsidRPr="003E6E9C">
        <w:rPr>
          <w:rFonts w:ascii="Times New Roman" w:hAnsi="Times New Roman" w:cs="Times New Roman"/>
          <w:color w:val="000000"/>
          <w:sz w:val="21"/>
          <w:szCs w:val="21"/>
        </w:rPr>
        <w:t xml:space="preserve"> </w:t>
      </w:r>
      <w:r>
        <w:rPr>
          <w:rFonts w:ascii="Times New Roman" w:hAnsi="Times New Roman" w:cs="Times New Roman"/>
          <w:color w:val="000000"/>
          <w:sz w:val="21"/>
          <w:szCs w:val="21"/>
        </w:rPr>
        <w:t>ви</w:t>
      </w:r>
      <w:r w:rsidRPr="003E6E9C">
        <w:rPr>
          <w:rFonts w:ascii="Times New Roman" w:hAnsi="Times New Roman" w:cs="Times New Roman"/>
          <w:color w:val="000000"/>
          <w:sz w:val="21"/>
          <w:szCs w:val="21"/>
        </w:rPr>
        <w:t>явилася необхі</w:t>
      </w:r>
      <w:r>
        <w:rPr>
          <w:rFonts w:ascii="Times New Roman" w:hAnsi="Times New Roman" w:cs="Times New Roman"/>
          <w:color w:val="000000"/>
          <w:sz w:val="21"/>
          <w:szCs w:val="21"/>
        </w:rPr>
        <w:t>дність сприймати «ринок праці»</w:t>
      </w:r>
      <w:r w:rsidRPr="003E6E9C">
        <w:rPr>
          <w:rFonts w:ascii="Times New Roman" w:hAnsi="Times New Roman" w:cs="Times New Roman"/>
          <w:color w:val="000000"/>
          <w:sz w:val="21"/>
          <w:szCs w:val="21"/>
        </w:rPr>
        <w:t xml:space="preserve"> </w:t>
      </w:r>
      <w:r w:rsidRPr="003E6E9C">
        <w:rPr>
          <w:rFonts w:ascii="Times New Roman" w:hAnsi="Times New Roman" w:cs="Times New Roman"/>
          <w:sz w:val="21"/>
          <w:szCs w:val="21"/>
        </w:rPr>
        <w:t xml:space="preserve">як впорядкований набір взаємодіючих інститутів з якісно новим рівнем їх розвитку та буття, що посилює взаємозв’язки та взаємодію між всіма його складовими, які </w:t>
      </w:r>
      <w:r w:rsidRPr="003E6E9C">
        <w:rPr>
          <w:rFonts w:ascii="Times New Roman" w:eastAsia="TimesNewRoman" w:hAnsi="Times New Roman" w:cs="Times New Roman"/>
          <w:sz w:val="21"/>
          <w:szCs w:val="21"/>
        </w:rPr>
        <w:t>повинні чи покликані регулювати його проблеми, оптимально застосовуючи наукові підходи і конкретні заходи щодо нового змісту</w:t>
      </w:r>
      <w:r w:rsidRPr="003E6E9C">
        <w:rPr>
          <w:rFonts w:ascii="Times New Roman" w:eastAsia="TimesNewRoman" w:hAnsi="Times New Roman" w:cs="Times New Roman"/>
          <w:i/>
          <w:sz w:val="21"/>
          <w:szCs w:val="21"/>
        </w:rPr>
        <w:t xml:space="preserve"> </w:t>
      </w:r>
      <w:r w:rsidRPr="003E6E9C">
        <w:rPr>
          <w:rFonts w:ascii="Times New Roman" w:eastAsia="TimesNewRoman" w:hAnsi="Times New Roman" w:cs="Times New Roman"/>
          <w:sz w:val="21"/>
          <w:szCs w:val="21"/>
        </w:rPr>
        <w:t>праці,</w:t>
      </w:r>
      <w:r w:rsidRPr="003E6E9C">
        <w:rPr>
          <w:rFonts w:ascii="Times New Roman" w:eastAsia="TimesNewRoman" w:hAnsi="Times New Roman" w:cs="Times New Roman"/>
          <w:i/>
          <w:sz w:val="21"/>
          <w:szCs w:val="21"/>
        </w:rPr>
        <w:t xml:space="preserve"> </w:t>
      </w:r>
      <w:r w:rsidRPr="003E6E9C">
        <w:rPr>
          <w:rFonts w:ascii="Times New Roman" w:eastAsia="TimesNewRoman" w:hAnsi="Times New Roman" w:cs="Times New Roman"/>
          <w:sz w:val="21"/>
          <w:szCs w:val="21"/>
        </w:rPr>
        <w:t>стандартних та нестандартних форм зайнятості,</w:t>
      </w:r>
      <w:r w:rsidRPr="003E6E9C">
        <w:rPr>
          <w:rFonts w:ascii="Times New Roman" w:eastAsia="TimesNewRoman" w:hAnsi="Times New Roman" w:cs="Times New Roman"/>
          <w:i/>
          <w:sz w:val="21"/>
          <w:szCs w:val="21"/>
        </w:rPr>
        <w:t xml:space="preserve"> </w:t>
      </w:r>
      <w:r w:rsidRPr="003E6E9C">
        <w:rPr>
          <w:rFonts w:ascii="Times New Roman" w:eastAsia="TimesNewRoman" w:hAnsi="Times New Roman" w:cs="Times New Roman"/>
          <w:sz w:val="21"/>
          <w:szCs w:val="21"/>
        </w:rPr>
        <w:t xml:space="preserve">масштабів безробіття, розширення різновидів мотивації, </w:t>
      </w:r>
      <w:r w:rsidRPr="003E6E9C">
        <w:rPr>
          <w:rFonts w:ascii="Times New Roman" w:eastAsia="TimesNewRoman" w:hAnsi="Times New Roman" w:cs="Times New Roman"/>
          <w:sz w:val="21"/>
          <w:szCs w:val="21"/>
        </w:rPr>
        <w:lastRenderedPageBreak/>
        <w:t xml:space="preserve">ефективного використання робочої сили та її </w:t>
      </w:r>
      <w:r w:rsidRPr="003E6E9C">
        <w:rPr>
          <w:rFonts w:ascii="Times New Roman" w:hAnsi="Times New Roman" w:cs="Times New Roman"/>
          <w:sz w:val="21"/>
          <w:szCs w:val="21"/>
        </w:rPr>
        <w:t>переміщення, відкритого доступу українських громадян до ринків праці країн-членів ЄС та світу,</w:t>
      </w:r>
      <w:r w:rsidRPr="003E6E9C">
        <w:rPr>
          <w:rFonts w:ascii="Times New Roman" w:eastAsia="TimesNewRoman" w:hAnsi="Times New Roman" w:cs="Times New Roman"/>
          <w:sz w:val="21"/>
          <w:szCs w:val="21"/>
        </w:rPr>
        <w:t xml:space="preserve"> </w:t>
      </w:r>
      <w:r w:rsidRPr="003E6E9C">
        <w:rPr>
          <w:rFonts w:ascii="Times New Roman" w:hAnsi="Times New Roman" w:cs="Times New Roman"/>
          <w:sz w:val="21"/>
          <w:szCs w:val="21"/>
        </w:rPr>
        <w:t xml:space="preserve">посилення соціального залучення та захисту населення і трудових мігрантів-громадян України; інноваційний розвиток підприємницької, професійної та соціальної активності громадян України, зростання їхнього добробуту. </w:t>
      </w:r>
    </w:p>
    <w:p w:rsidR="00B233DE" w:rsidRPr="003E6E9C" w:rsidRDefault="00B233DE" w:rsidP="00B233DE">
      <w:pPr>
        <w:ind w:firstLine="709"/>
        <w:jc w:val="both"/>
        <w:rPr>
          <w:rFonts w:ascii="Times New Roman" w:hAnsi="Times New Roman" w:cs="Times New Roman"/>
          <w:sz w:val="21"/>
          <w:szCs w:val="21"/>
        </w:rPr>
      </w:pPr>
      <w:r>
        <w:rPr>
          <w:rFonts w:ascii="Times New Roman" w:hAnsi="Times New Roman" w:cs="Times New Roman"/>
          <w:color w:val="000000"/>
          <w:sz w:val="21"/>
          <w:szCs w:val="21"/>
        </w:rPr>
        <w:t>На сьогодні</w:t>
      </w:r>
      <w:r w:rsidRPr="003E6E9C">
        <w:rPr>
          <w:rFonts w:ascii="Times New Roman" w:hAnsi="Times New Roman" w:cs="Times New Roman"/>
          <w:color w:val="000000"/>
          <w:sz w:val="21"/>
          <w:szCs w:val="21"/>
        </w:rPr>
        <w:t xml:space="preserve"> відбувається трансформація ринку праці як </w:t>
      </w:r>
      <w:r w:rsidRPr="003E6E9C">
        <w:rPr>
          <w:rFonts w:ascii="Times New Roman" w:hAnsi="Times New Roman" w:cs="Times New Roman"/>
          <w:sz w:val="21"/>
          <w:szCs w:val="21"/>
        </w:rPr>
        <w:t xml:space="preserve">результат різноманітних інституціональних змін. Загальновідомо, що інститути виникли завдяки тому, що в суб’єктів ринку праці з’являється потреба в них. Вивчення еволюції існуючих та появи нових інститутів ринку праці, дослідження впливу інституціональних перетворень у формуванні ринку праці є однією з проблем нашого суспільства. </w:t>
      </w:r>
    </w:p>
    <w:p w:rsidR="00B233DE" w:rsidRPr="003E6E9C" w:rsidRDefault="00B233DE" w:rsidP="00B233DE">
      <w:pPr>
        <w:ind w:firstLine="567"/>
        <w:jc w:val="both"/>
        <w:rPr>
          <w:rFonts w:ascii="Times New Roman" w:hAnsi="Times New Roman" w:cs="Times New Roman"/>
          <w:sz w:val="21"/>
          <w:szCs w:val="21"/>
        </w:rPr>
      </w:pPr>
      <w:r w:rsidRPr="003E6E9C">
        <w:rPr>
          <w:rFonts w:ascii="Times New Roman" w:hAnsi="Times New Roman" w:cs="Times New Roman"/>
          <w:sz w:val="21"/>
          <w:szCs w:val="21"/>
        </w:rPr>
        <w:t>Перші практичні кроки такого інституціонального утворення</w:t>
      </w:r>
      <w:r>
        <w:rPr>
          <w:rFonts w:ascii="Times New Roman" w:hAnsi="Times New Roman" w:cs="Times New Roman"/>
          <w:sz w:val="21"/>
          <w:szCs w:val="21"/>
        </w:rPr>
        <w:t>,</w:t>
      </w:r>
      <w:r w:rsidRPr="003E6E9C">
        <w:rPr>
          <w:rFonts w:ascii="Times New Roman" w:hAnsi="Times New Roman" w:cs="Times New Roman"/>
          <w:sz w:val="21"/>
          <w:szCs w:val="21"/>
        </w:rPr>
        <w:t xml:space="preserve"> як український ринок праці</w:t>
      </w:r>
      <w:r>
        <w:rPr>
          <w:rFonts w:ascii="Times New Roman" w:hAnsi="Times New Roman" w:cs="Times New Roman"/>
          <w:sz w:val="21"/>
          <w:szCs w:val="21"/>
        </w:rPr>
        <w:t>,</w:t>
      </w:r>
      <w:r w:rsidRPr="003E6E9C">
        <w:rPr>
          <w:rFonts w:ascii="Times New Roman" w:hAnsi="Times New Roman" w:cs="Times New Roman"/>
          <w:sz w:val="21"/>
          <w:szCs w:val="21"/>
        </w:rPr>
        <w:t xml:space="preserve"> були зроблені ще в 1990 році, тобто під час утворення центрів зайнятості на базі колишніх бюро з працевлаштування, які на той час вже не задовольняли потреби суспільства. Після отримання незалежності України розпочалося формування ринку праці, яке було пов’язане з відтворенням та формуванням ринкових інституцій. Даний процес передбачав створення інститутів ринкової економіки, оскільки в період командно-адміністративної системи вони не просто були відсутні, а й були відсутні передумови </w:t>
      </w:r>
      <w:r>
        <w:rPr>
          <w:rFonts w:ascii="Times New Roman" w:hAnsi="Times New Roman" w:cs="Times New Roman"/>
          <w:sz w:val="21"/>
          <w:szCs w:val="21"/>
        </w:rPr>
        <w:t xml:space="preserve">для </w:t>
      </w:r>
      <w:r w:rsidRPr="003E6E9C">
        <w:rPr>
          <w:rFonts w:ascii="Times New Roman" w:hAnsi="Times New Roman" w:cs="Times New Roman"/>
          <w:sz w:val="21"/>
          <w:szCs w:val="21"/>
        </w:rPr>
        <w:t xml:space="preserve">їх створення. </w:t>
      </w:r>
    </w:p>
    <w:p w:rsidR="00B233DE" w:rsidRPr="003E6E9C" w:rsidRDefault="00B233DE" w:rsidP="00B233DE">
      <w:pPr>
        <w:ind w:firstLine="567"/>
        <w:jc w:val="both"/>
        <w:rPr>
          <w:rFonts w:ascii="Times New Roman" w:hAnsi="Times New Roman" w:cs="Times New Roman"/>
          <w:sz w:val="21"/>
          <w:szCs w:val="21"/>
        </w:rPr>
      </w:pPr>
      <w:r w:rsidRPr="003E6E9C">
        <w:rPr>
          <w:rFonts w:ascii="Times New Roman" w:hAnsi="Times New Roman" w:cs="Times New Roman"/>
          <w:iCs/>
          <w:sz w:val="21"/>
          <w:szCs w:val="21"/>
        </w:rPr>
        <w:t xml:space="preserve">Отже, перший етап </w:t>
      </w:r>
      <w:r w:rsidRPr="003E6E9C">
        <w:rPr>
          <w:rFonts w:ascii="Times New Roman" w:hAnsi="Times New Roman" w:cs="Times New Roman"/>
          <w:sz w:val="21"/>
          <w:szCs w:val="21"/>
        </w:rPr>
        <w:t>інституціональних перетворень у формуванні ринку праці України (1991–1993 рр.) характеризувався прийняттям основоположних нормативно-правових документів та розбудовою інфраструктури національного ринку праці. Основним нормативним документом, що сприяв формуванню ринку праці було прийняття Закону України «Про з</w:t>
      </w:r>
      <w:r>
        <w:rPr>
          <w:rFonts w:ascii="Times New Roman" w:hAnsi="Times New Roman" w:cs="Times New Roman"/>
          <w:sz w:val="21"/>
          <w:szCs w:val="21"/>
        </w:rPr>
        <w:t>айнятість населення» (1991 р.)</w:t>
      </w:r>
      <w:r w:rsidRPr="003E6E9C">
        <w:rPr>
          <w:rFonts w:ascii="Times New Roman" w:hAnsi="Times New Roman" w:cs="Times New Roman"/>
          <w:sz w:val="21"/>
          <w:szCs w:val="21"/>
        </w:rPr>
        <w:t>. На цьому етапі була створена державна служба зайнятості Украї</w:t>
      </w:r>
      <w:r>
        <w:rPr>
          <w:rFonts w:ascii="Times New Roman" w:hAnsi="Times New Roman" w:cs="Times New Roman"/>
          <w:sz w:val="21"/>
          <w:szCs w:val="21"/>
        </w:rPr>
        <w:t xml:space="preserve">ни та інституційно облаштовані </w:t>
      </w:r>
      <w:r w:rsidRPr="003E6E9C">
        <w:rPr>
          <w:rFonts w:ascii="Times New Roman" w:hAnsi="Times New Roman" w:cs="Times New Roman"/>
          <w:sz w:val="21"/>
          <w:szCs w:val="21"/>
        </w:rPr>
        <w:t xml:space="preserve">центри зайнятості населення. </w:t>
      </w:r>
    </w:p>
    <w:p w:rsidR="00B233DE" w:rsidRPr="003E6E9C" w:rsidRDefault="00B233DE" w:rsidP="00B233DE">
      <w:pPr>
        <w:ind w:firstLine="709"/>
        <w:jc w:val="both"/>
        <w:rPr>
          <w:rFonts w:ascii="Times New Roman" w:hAnsi="Times New Roman" w:cs="Times New Roman"/>
          <w:sz w:val="21"/>
          <w:szCs w:val="21"/>
        </w:rPr>
      </w:pPr>
      <w:r w:rsidRPr="003E6E9C">
        <w:rPr>
          <w:rFonts w:ascii="Times New Roman" w:hAnsi="Times New Roman" w:cs="Times New Roman"/>
          <w:sz w:val="21"/>
          <w:szCs w:val="21"/>
        </w:rPr>
        <w:t>Відповідно до ст. 18 Закону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_Ref433976727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91</w:t>
      </w:r>
      <w:r>
        <w:rPr>
          <w:rFonts w:ascii="Times New Roman" w:hAnsi="Times New Roman" w:cs="Times New Roman"/>
          <w:sz w:val="21"/>
          <w:szCs w:val="21"/>
          <w:highlight w:val="yellow"/>
        </w:rPr>
        <w:fldChar w:fldCharType="end"/>
      </w:r>
      <w:r w:rsidRPr="003E6E9C">
        <w:rPr>
          <w:rFonts w:ascii="Times New Roman" w:hAnsi="Times New Roman" w:cs="Times New Roman"/>
          <w:sz w:val="21"/>
          <w:szCs w:val="21"/>
        </w:rPr>
        <w:t xml:space="preserve">] державна служба зайнятості у порядку, визначеному центральним органом влади, що забезпечує формування державної політики у сфері зайнятості та трудової міграції, реалізує заходи щодо сприяння зайнятості та соціального захисту населення від безробіття. Протягом даного періоду було сформовано Державний фонд сприяння зайнятості населення як самостійний фінансовий інститут, кошти якого поповнювалися завдяки обов’язкових відрахувань підприємств, </w:t>
      </w:r>
      <w:r w:rsidRPr="003E6E9C">
        <w:rPr>
          <w:rFonts w:ascii="Times New Roman" w:hAnsi="Times New Roman" w:cs="Times New Roman"/>
          <w:sz w:val="21"/>
          <w:szCs w:val="21"/>
        </w:rPr>
        <w:lastRenderedPageBreak/>
        <w:t xml:space="preserve">установ та організацій. В 1991 році розпочав свою діяльність Інститут підготовки кадрів державної служби зайнятості України. Основними функціями даного навчального закладу були підготовка, перепідготовка і підвищення кваліфікації керівників і спеціалістів центрів зайнятості України. </w:t>
      </w:r>
    </w:p>
    <w:p w:rsidR="00B233DE" w:rsidRPr="003E6E9C" w:rsidRDefault="00B233DE" w:rsidP="00B233DE">
      <w:pPr>
        <w:autoSpaceDE w:val="0"/>
        <w:autoSpaceDN w:val="0"/>
        <w:adjustRightInd w:val="0"/>
        <w:ind w:firstLine="709"/>
        <w:jc w:val="both"/>
        <w:rPr>
          <w:rFonts w:ascii="Times New Roman" w:hAnsi="Times New Roman" w:cs="Times New Roman"/>
          <w:sz w:val="21"/>
          <w:szCs w:val="21"/>
        </w:rPr>
      </w:pPr>
      <w:r w:rsidRPr="003E6E9C">
        <w:rPr>
          <w:rFonts w:ascii="Times New Roman" w:hAnsi="Times New Roman" w:cs="Times New Roman"/>
          <w:sz w:val="21"/>
          <w:szCs w:val="21"/>
        </w:rPr>
        <w:t>Наступною важливою подією у формуванні національного ринку праці було прийняття Законів України «Про підприємства» (1991), «Про основи соціальної захищеності інвалідів в Україні» (1991), «Про охорону праці» (1992), «Про колективні договори та угоди» (1993). У межах системи соціального діалогу з’вилися нові сторони трудових відносин – організації (спілки, асоціації) роботодавців і альтернативні профспілки.</w:t>
      </w:r>
      <w:r w:rsidRPr="003E6E9C">
        <w:rPr>
          <w:rFonts w:ascii="Times New Roman" w:hAnsi="Times New Roman" w:cs="Times New Roman"/>
          <w:i/>
          <w:sz w:val="21"/>
          <w:szCs w:val="21"/>
        </w:rPr>
        <w:t xml:space="preserve"> </w:t>
      </w:r>
      <w:r w:rsidRPr="003E6E9C">
        <w:rPr>
          <w:rFonts w:ascii="Times New Roman" w:hAnsi="Times New Roman" w:cs="Times New Roman"/>
          <w:sz w:val="21"/>
          <w:szCs w:val="21"/>
        </w:rPr>
        <w:t xml:space="preserve">Поряд з цим, відбувалося роздержавлення профспілок та зародження нових представницьких організаційних структур підприємців. Отже, в цей час визначилися головні суб’єкти ринку праці, а саме: наймані працівники, роботодавці та держава, які розпочали освоєння своїх нових соціальних ролей і функцій. Крім цього, </w:t>
      </w:r>
      <w:r w:rsidRPr="003E6E9C">
        <w:rPr>
          <w:rFonts w:ascii="Times New Roman" w:hAnsi="Times New Roman" w:cs="Times New Roman"/>
          <w:color w:val="000000"/>
          <w:sz w:val="21"/>
          <w:szCs w:val="21"/>
        </w:rPr>
        <w:t xml:space="preserve">на ринку праці були введені такі базові інститути, як мінімальна заробітна плата (МЗП), єдина тарифна сітка для оплати праці бюджетників, державні програми щодо забезпечення зайнятості населення, система страхування з безробіття, виникли об’єднання роботодавців, були переформатовані профспілки, запрацювала Тристороння комісія, як вищий орган узгодження інтересів у соціально-трудовій сфері тощо. Було переглянуто трудове законодавство, з метою його адаптації до нових ринкових відносин, а у наступній інституційній розбудові широко використовувались стандартні зразки, рекомендовані міжнародними економічними організаціями (наприклад: </w:t>
      </w:r>
      <w:r w:rsidRPr="003E6E9C">
        <w:rPr>
          <w:rFonts w:ascii="Times New Roman" w:hAnsi="Times New Roman" w:cs="Times New Roman"/>
          <w:sz w:val="21"/>
          <w:szCs w:val="21"/>
        </w:rPr>
        <w:t>Міжнародна організації праці (</w:t>
      </w:r>
      <w:r w:rsidRPr="003E6E9C">
        <w:rPr>
          <w:rFonts w:ascii="Times New Roman" w:hAnsi="Times New Roman" w:cs="Times New Roman"/>
          <w:color w:val="000000"/>
          <w:sz w:val="21"/>
          <w:szCs w:val="21"/>
        </w:rPr>
        <w:t xml:space="preserve">МОП) </w:t>
      </w:r>
      <w:r w:rsidRPr="003E6E9C">
        <w:rPr>
          <w:rFonts w:ascii="Times New Roman" w:hAnsi="Times New Roman" w:cs="Times New Roman"/>
          <w:sz w:val="21"/>
          <w:szCs w:val="21"/>
        </w:rPr>
        <w:t>та Організація економічн</w:t>
      </w:r>
      <w:r>
        <w:rPr>
          <w:rFonts w:ascii="Times New Roman" w:hAnsi="Times New Roman" w:cs="Times New Roman"/>
          <w:sz w:val="21"/>
          <w:szCs w:val="21"/>
        </w:rPr>
        <w:t xml:space="preserve">ого співробітництва та розвитку </w:t>
      </w:r>
      <w:r w:rsidRPr="003E6E9C">
        <w:rPr>
          <w:rFonts w:ascii="Times New Roman" w:hAnsi="Times New Roman" w:cs="Times New Roman"/>
          <w:sz w:val="21"/>
          <w:szCs w:val="21"/>
        </w:rPr>
        <w:t>(ОЕСР)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_Ref435784208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83</w:t>
      </w:r>
      <w:r>
        <w:rPr>
          <w:rFonts w:ascii="Times New Roman" w:hAnsi="Times New Roman" w:cs="Times New Roman"/>
          <w:sz w:val="21"/>
          <w:szCs w:val="21"/>
          <w:highlight w:val="yellow"/>
        </w:rPr>
        <w:fldChar w:fldCharType="end"/>
      </w:r>
      <w:r w:rsidRPr="003E6E9C">
        <w:rPr>
          <w:rFonts w:ascii="Times New Roman" w:hAnsi="Times New Roman" w:cs="Times New Roman"/>
          <w:sz w:val="21"/>
          <w:szCs w:val="21"/>
        </w:rPr>
        <w:t>].</w:t>
      </w:r>
    </w:p>
    <w:p w:rsidR="00B233DE" w:rsidRPr="003E6E9C" w:rsidRDefault="00B233DE" w:rsidP="00B233DE">
      <w:pPr>
        <w:autoSpaceDE w:val="0"/>
        <w:autoSpaceDN w:val="0"/>
        <w:adjustRightInd w:val="0"/>
        <w:ind w:firstLine="709"/>
        <w:jc w:val="both"/>
        <w:rPr>
          <w:rFonts w:ascii="Times New Roman" w:hAnsi="Times New Roman" w:cs="Times New Roman"/>
          <w:sz w:val="21"/>
          <w:szCs w:val="21"/>
        </w:rPr>
      </w:pPr>
      <w:r w:rsidRPr="003E6E9C">
        <w:rPr>
          <w:rFonts w:ascii="Times New Roman" w:hAnsi="Times New Roman" w:cs="Times New Roman"/>
          <w:iCs/>
          <w:sz w:val="21"/>
          <w:szCs w:val="21"/>
        </w:rPr>
        <w:t>Другий етап</w:t>
      </w:r>
      <w:r w:rsidRPr="003E6E9C">
        <w:rPr>
          <w:rFonts w:ascii="Times New Roman" w:hAnsi="Times New Roman" w:cs="Times New Roman"/>
          <w:i/>
          <w:iCs/>
          <w:sz w:val="21"/>
          <w:szCs w:val="21"/>
        </w:rPr>
        <w:t xml:space="preserve"> </w:t>
      </w:r>
      <w:r w:rsidRPr="003E6E9C">
        <w:rPr>
          <w:rFonts w:ascii="Times New Roman" w:hAnsi="Times New Roman" w:cs="Times New Roman"/>
          <w:sz w:val="21"/>
          <w:szCs w:val="21"/>
        </w:rPr>
        <w:t xml:space="preserve">становлення інститутів ринку праці в Україні (1994–1999 рр.) характеризувався освоєнням суб’єктами ринку праці нових способів соціальної взаємодії на основі демократичних принципів міжнародних трудових норм та національного законодавства. За сприяння </w:t>
      </w:r>
      <w:r w:rsidRPr="003E6E9C">
        <w:rPr>
          <w:rFonts w:ascii="Times New Roman" w:hAnsi="Times New Roman" w:cs="Times New Roman"/>
          <w:color w:val="000000"/>
          <w:sz w:val="21"/>
          <w:szCs w:val="21"/>
        </w:rPr>
        <w:t>МОП</w:t>
      </w:r>
      <w:r w:rsidRPr="003E6E9C">
        <w:rPr>
          <w:rFonts w:ascii="Times New Roman" w:hAnsi="Times New Roman" w:cs="Times New Roman"/>
          <w:sz w:val="21"/>
          <w:szCs w:val="21"/>
        </w:rPr>
        <w:t xml:space="preserve"> було ратифіковано конвенцію «Про тристоронні консультації» (1994), прийнято Закони України «Про оплату праці» (1995), «Про відпустки» (1996), «Про порядок вирішення колективних трудових спорів (конфліктів)» (1998), «Основи законодавства України про загальнообов’язкове соціальне </w:t>
      </w:r>
      <w:r w:rsidRPr="003E6E9C">
        <w:rPr>
          <w:rFonts w:ascii="Times New Roman" w:hAnsi="Times New Roman" w:cs="Times New Roman"/>
          <w:sz w:val="21"/>
          <w:szCs w:val="21"/>
        </w:rPr>
        <w:lastRenderedPageBreak/>
        <w:t xml:space="preserve">страхування» (1998), «Про профспілки, їх права та гарантії діяльності» (1999). </w:t>
      </w:r>
    </w:p>
    <w:p w:rsidR="00B233DE" w:rsidRPr="003E6E9C" w:rsidRDefault="00B233DE" w:rsidP="00B233DE">
      <w:pPr>
        <w:autoSpaceDE w:val="0"/>
        <w:autoSpaceDN w:val="0"/>
        <w:adjustRightInd w:val="0"/>
        <w:ind w:firstLine="709"/>
        <w:jc w:val="both"/>
        <w:rPr>
          <w:rFonts w:ascii="Times New Roman" w:hAnsi="Times New Roman" w:cs="Times New Roman"/>
          <w:sz w:val="21"/>
          <w:szCs w:val="21"/>
        </w:rPr>
      </w:pPr>
      <w:r w:rsidRPr="003E6E9C">
        <w:rPr>
          <w:rFonts w:ascii="Times New Roman" w:hAnsi="Times New Roman" w:cs="Times New Roman"/>
          <w:sz w:val="21"/>
          <w:szCs w:val="21"/>
        </w:rPr>
        <w:t>У цей період загострилась боротьба між профспілками за користування фондом соціального страхування та за майно, яке їм дісталося у спадок від радянської системи. Важливою негативною подією інституціональних перетворень формування ринку праці даного періоду стало включення Державного фонду</w:t>
      </w:r>
      <w:r w:rsidRPr="003E6E9C">
        <w:rPr>
          <w:rFonts w:ascii="Times New Roman" w:hAnsi="Times New Roman" w:cs="Times New Roman"/>
          <w:i/>
          <w:sz w:val="21"/>
          <w:szCs w:val="21"/>
        </w:rPr>
        <w:t xml:space="preserve"> </w:t>
      </w:r>
      <w:r w:rsidRPr="003E6E9C">
        <w:rPr>
          <w:rFonts w:ascii="Times New Roman" w:hAnsi="Times New Roman" w:cs="Times New Roman"/>
          <w:sz w:val="21"/>
          <w:szCs w:val="21"/>
        </w:rPr>
        <w:t>сприяння зайнятості населення</w:t>
      </w:r>
      <w:r w:rsidRPr="003E6E9C">
        <w:rPr>
          <w:rFonts w:ascii="Times New Roman" w:hAnsi="Times New Roman" w:cs="Times New Roman"/>
          <w:i/>
          <w:sz w:val="21"/>
          <w:szCs w:val="21"/>
        </w:rPr>
        <w:t xml:space="preserve"> </w:t>
      </w:r>
      <w:r w:rsidRPr="003E6E9C">
        <w:rPr>
          <w:rFonts w:ascii="Times New Roman" w:hAnsi="Times New Roman" w:cs="Times New Roman"/>
          <w:sz w:val="21"/>
          <w:szCs w:val="21"/>
        </w:rPr>
        <w:t>в склад Державного бюджету для фінансування державних потреб, які не пов’язані</w:t>
      </w:r>
      <w:r w:rsidRPr="003E6E9C">
        <w:rPr>
          <w:rFonts w:ascii="Times New Roman" w:hAnsi="Times New Roman" w:cs="Times New Roman"/>
          <w:i/>
          <w:sz w:val="21"/>
          <w:szCs w:val="21"/>
        </w:rPr>
        <w:t xml:space="preserve"> </w:t>
      </w:r>
      <w:r w:rsidRPr="003E6E9C">
        <w:rPr>
          <w:rFonts w:ascii="Times New Roman" w:hAnsi="Times New Roman" w:cs="Times New Roman"/>
          <w:sz w:val="21"/>
          <w:szCs w:val="21"/>
        </w:rPr>
        <w:t>з</w:t>
      </w:r>
      <w:r w:rsidRPr="003E6E9C">
        <w:rPr>
          <w:rFonts w:ascii="Times New Roman" w:hAnsi="Times New Roman" w:cs="Times New Roman"/>
          <w:i/>
          <w:sz w:val="21"/>
          <w:szCs w:val="21"/>
        </w:rPr>
        <w:t xml:space="preserve"> </w:t>
      </w:r>
      <w:r w:rsidRPr="003E6E9C">
        <w:rPr>
          <w:rFonts w:ascii="Times New Roman" w:hAnsi="Times New Roman" w:cs="Times New Roman"/>
          <w:sz w:val="21"/>
          <w:szCs w:val="21"/>
        </w:rPr>
        <w:t xml:space="preserve">реалізацією державної політики зайнятості. Дане рішення негативно вплинуло на виплату допомоги з безробіття для населення та посприяло утворенню багаточисельних черг безробітних в центрах зайнятості. </w:t>
      </w:r>
    </w:p>
    <w:p w:rsidR="00B233DE" w:rsidRPr="003E6E9C" w:rsidRDefault="00B233DE" w:rsidP="00B233DE">
      <w:pPr>
        <w:autoSpaceDE w:val="0"/>
        <w:autoSpaceDN w:val="0"/>
        <w:adjustRightInd w:val="0"/>
        <w:ind w:firstLine="709"/>
        <w:jc w:val="both"/>
        <w:rPr>
          <w:rFonts w:ascii="Times New Roman" w:hAnsi="Times New Roman" w:cs="Times New Roman"/>
          <w:sz w:val="21"/>
          <w:szCs w:val="21"/>
        </w:rPr>
      </w:pPr>
      <w:r w:rsidRPr="003E6E9C">
        <w:rPr>
          <w:rFonts w:ascii="Times New Roman" w:hAnsi="Times New Roman" w:cs="Times New Roman"/>
          <w:iCs/>
          <w:sz w:val="21"/>
          <w:szCs w:val="21"/>
        </w:rPr>
        <w:t>Якщо впродовж другого етапу розвитку національного ринку праці соціально-економічні права населення зростали, то третій етап</w:t>
      </w:r>
      <w:r w:rsidRPr="003E6E9C">
        <w:rPr>
          <w:rFonts w:ascii="Times New Roman" w:hAnsi="Times New Roman" w:cs="Times New Roman"/>
          <w:i/>
          <w:iCs/>
          <w:sz w:val="21"/>
          <w:szCs w:val="21"/>
        </w:rPr>
        <w:t xml:space="preserve"> </w:t>
      </w:r>
      <w:r w:rsidRPr="003E6E9C">
        <w:rPr>
          <w:rFonts w:ascii="Times New Roman" w:hAnsi="Times New Roman" w:cs="Times New Roman"/>
          <w:sz w:val="21"/>
          <w:szCs w:val="21"/>
        </w:rPr>
        <w:t>інституціональних перет</w:t>
      </w:r>
      <w:r>
        <w:rPr>
          <w:rFonts w:ascii="Times New Roman" w:hAnsi="Times New Roman" w:cs="Times New Roman"/>
          <w:sz w:val="21"/>
          <w:szCs w:val="21"/>
        </w:rPr>
        <w:t>ворень у формуванні ринку праці</w:t>
      </w:r>
      <w:r w:rsidRPr="003E6E9C">
        <w:rPr>
          <w:rFonts w:ascii="Times New Roman" w:hAnsi="Times New Roman" w:cs="Times New Roman"/>
          <w:sz w:val="21"/>
          <w:szCs w:val="21"/>
        </w:rPr>
        <w:t xml:space="preserve"> України (з 2000 р. по сьогодні) розпочався деякими ускладненнями в трудових відносинах, а саме: скороченням робочих місць, зменшенням фінансування бюджетних програм, підвищенням віку отримання пенсії та характеризувався усвідомленням його суб’єктами н</w:t>
      </w:r>
      <w:r w:rsidRPr="003E6E9C">
        <w:rPr>
          <w:rFonts w:ascii="Times New Roman" w:hAnsi="Times New Roman" w:cs="Times New Roman"/>
          <w:color w:val="000000"/>
          <w:sz w:val="21"/>
          <w:szCs w:val="21"/>
        </w:rPr>
        <w:t xml:space="preserve">едосконалості інституційної структури національного ринку праці, суперечливості ролі держави в трудовій сфері, подальшого реформування діяльності інститутів ринку праці та </w:t>
      </w:r>
      <w:r w:rsidRPr="003E6E9C">
        <w:rPr>
          <w:rFonts w:ascii="Times New Roman" w:hAnsi="Times New Roman" w:cs="Times New Roman"/>
          <w:sz w:val="21"/>
          <w:szCs w:val="21"/>
        </w:rPr>
        <w:t xml:space="preserve">необхідності взаємодії на основі трипартизму. </w:t>
      </w:r>
    </w:p>
    <w:p w:rsidR="00B233DE" w:rsidRPr="003E6E9C" w:rsidRDefault="00B233DE" w:rsidP="00B233DE">
      <w:pPr>
        <w:autoSpaceDE w:val="0"/>
        <w:autoSpaceDN w:val="0"/>
        <w:adjustRightInd w:val="0"/>
        <w:ind w:firstLine="709"/>
        <w:jc w:val="both"/>
        <w:rPr>
          <w:rFonts w:ascii="Times New Roman" w:hAnsi="Times New Roman" w:cs="Times New Roman"/>
          <w:sz w:val="21"/>
          <w:szCs w:val="21"/>
        </w:rPr>
      </w:pPr>
      <w:r w:rsidRPr="003E6E9C">
        <w:rPr>
          <w:rFonts w:ascii="Times New Roman" w:hAnsi="Times New Roman" w:cs="Times New Roman"/>
          <w:sz w:val="21"/>
          <w:szCs w:val="21"/>
        </w:rPr>
        <w:t>На</w:t>
      </w:r>
      <w:r w:rsidRPr="003E6E9C">
        <w:rPr>
          <w:rFonts w:ascii="Times New Roman" w:hAnsi="Times New Roman" w:cs="Times New Roman"/>
          <w:b/>
          <w:sz w:val="21"/>
          <w:szCs w:val="21"/>
        </w:rPr>
        <w:t xml:space="preserve"> </w:t>
      </w:r>
      <w:r w:rsidRPr="003E6E9C">
        <w:rPr>
          <w:rFonts w:ascii="Times New Roman" w:hAnsi="Times New Roman" w:cs="Times New Roman"/>
          <w:sz w:val="21"/>
          <w:szCs w:val="21"/>
        </w:rPr>
        <w:t>третьому етапі відбулося ініціювання Мін</w:t>
      </w:r>
      <w:r>
        <w:rPr>
          <w:rFonts w:ascii="Times New Roman" w:hAnsi="Times New Roman" w:cs="Times New Roman"/>
          <w:sz w:val="21"/>
          <w:szCs w:val="21"/>
        </w:rPr>
        <w:t xml:space="preserve">істерством праці та соціальної </w:t>
      </w:r>
      <w:r w:rsidRPr="003E6E9C">
        <w:rPr>
          <w:rFonts w:ascii="Times New Roman" w:hAnsi="Times New Roman" w:cs="Times New Roman"/>
          <w:sz w:val="21"/>
          <w:szCs w:val="21"/>
        </w:rPr>
        <w:t>політики сумісно із соціальними партнерами створення Фонду загальнообов’язкового соціального страхування на випадок безробіття. З уведенням 1 січня 2001 року Закону України «Про загальнообов’язкове державне соціальне страхування на випадок безробіття»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_Ref435784220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91</w:t>
      </w:r>
      <w:r>
        <w:rPr>
          <w:rFonts w:ascii="Times New Roman" w:hAnsi="Times New Roman" w:cs="Times New Roman"/>
          <w:sz w:val="21"/>
          <w:szCs w:val="21"/>
          <w:highlight w:val="yellow"/>
        </w:rPr>
        <w:fldChar w:fldCharType="end"/>
      </w:r>
      <w:r w:rsidRPr="003E6E9C">
        <w:rPr>
          <w:rFonts w:ascii="Times New Roman" w:hAnsi="Times New Roman" w:cs="Times New Roman"/>
          <w:sz w:val="21"/>
          <w:szCs w:val="21"/>
        </w:rPr>
        <w:t>] правове становище державної служби зайнятості змінилося. Згідно зі ст. 12 цього закону функції виконавчої дирекції Фонду покладалися на органи Державної служби зайнятості. Однак реалізації цього принципу взаємодії заважали невідпрацьованість законодавчого забезпечення, відсутність транспарентності у фінансуванні державою соціальних програм, використання адміністративно-командних методів управління тощо. Н</w:t>
      </w:r>
      <w:r w:rsidRPr="003E6E9C">
        <w:rPr>
          <w:rFonts w:ascii="Times New Roman" w:hAnsi="Times New Roman" w:cs="Times New Roman"/>
          <w:color w:val="231F20"/>
          <w:sz w:val="21"/>
          <w:szCs w:val="21"/>
        </w:rPr>
        <w:t xml:space="preserve">а думку фахівців, </w:t>
      </w:r>
      <w:r w:rsidRPr="003E6E9C">
        <w:rPr>
          <w:rFonts w:ascii="Times New Roman" w:hAnsi="Times New Roman" w:cs="Times New Roman"/>
          <w:sz w:val="21"/>
          <w:szCs w:val="21"/>
        </w:rPr>
        <w:t>система соціального діалог</w:t>
      </w:r>
      <w:r>
        <w:rPr>
          <w:rFonts w:ascii="Times New Roman" w:hAnsi="Times New Roman" w:cs="Times New Roman"/>
          <w:sz w:val="21"/>
          <w:szCs w:val="21"/>
        </w:rPr>
        <w:t xml:space="preserve">у в Україні поки що функціонує </w:t>
      </w:r>
      <w:r w:rsidRPr="003E6E9C">
        <w:rPr>
          <w:rFonts w:ascii="Times New Roman" w:hAnsi="Times New Roman" w:cs="Times New Roman"/>
          <w:sz w:val="21"/>
          <w:szCs w:val="21"/>
        </w:rPr>
        <w:t xml:space="preserve">малоефективно. </w:t>
      </w:r>
    </w:p>
    <w:p w:rsidR="00B233DE" w:rsidRPr="003E6E9C" w:rsidRDefault="00B233DE" w:rsidP="00B233DE">
      <w:pPr>
        <w:autoSpaceDE w:val="0"/>
        <w:autoSpaceDN w:val="0"/>
        <w:adjustRightInd w:val="0"/>
        <w:ind w:firstLine="709"/>
        <w:jc w:val="both"/>
        <w:rPr>
          <w:rFonts w:ascii="Times New Roman" w:hAnsi="Times New Roman" w:cs="Times New Roman"/>
          <w:sz w:val="21"/>
          <w:szCs w:val="21"/>
        </w:rPr>
      </w:pPr>
      <w:r w:rsidRPr="003E6E9C">
        <w:rPr>
          <w:rFonts w:ascii="Times New Roman" w:hAnsi="Times New Roman" w:cs="Times New Roman"/>
          <w:sz w:val="21"/>
          <w:szCs w:val="21"/>
        </w:rPr>
        <w:t>З 1 січня 2013 року набув чинності Закон України «Про за</w:t>
      </w:r>
      <w:r>
        <w:rPr>
          <w:rFonts w:ascii="Times New Roman" w:hAnsi="Times New Roman" w:cs="Times New Roman"/>
          <w:sz w:val="21"/>
          <w:szCs w:val="21"/>
        </w:rPr>
        <w:t xml:space="preserve">йнятість населення», ухвалений </w:t>
      </w:r>
      <w:r w:rsidRPr="003E6E9C">
        <w:rPr>
          <w:rFonts w:ascii="Times New Roman" w:hAnsi="Times New Roman" w:cs="Times New Roman"/>
          <w:sz w:val="21"/>
          <w:szCs w:val="21"/>
        </w:rPr>
        <w:t xml:space="preserve">Верховною Радою України 5 </w:t>
      </w:r>
      <w:r w:rsidRPr="003E6E9C">
        <w:rPr>
          <w:rFonts w:ascii="Times New Roman" w:hAnsi="Times New Roman" w:cs="Times New Roman"/>
          <w:sz w:val="21"/>
          <w:szCs w:val="21"/>
        </w:rPr>
        <w:lastRenderedPageBreak/>
        <w:t>липня 2012 року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_Ref433976727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91</w:t>
      </w:r>
      <w:r>
        <w:rPr>
          <w:rFonts w:ascii="Times New Roman" w:hAnsi="Times New Roman" w:cs="Times New Roman"/>
          <w:sz w:val="21"/>
          <w:szCs w:val="21"/>
          <w:highlight w:val="yellow"/>
        </w:rPr>
        <w:fldChar w:fldCharType="end"/>
      </w:r>
      <w:r w:rsidRPr="003E6E9C">
        <w:rPr>
          <w:rFonts w:ascii="Times New Roman" w:hAnsi="Times New Roman" w:cs="Times New Roman"/>
          <w:sz w:val="21"/>
          <w:szCs w:val="21"/>
        </w:rPr>
        <w:t>]. З при</w:t>
      </w:r>
      <w:r>
        <w:rPr>
          <w:rFonts w:ascii="Times New Roman" w:hAnsi="Times New Roman" w:cs="Times New Roman"/>
          <w:sz w:val="21"/>
          <w:szCs w:val="21"/>
        </w:rPr>
        <w:t>йняттям нового Закону України</w:t>
      </w:r>
      <w:r w:rsidRPr="003E6E9C">
        <w:rPr>
          <w:rFonts w:ascii="Times New Roman" w:hAnsi="Times New Roman" w:cs="Times New Roman"/>
          <w:sz w:val="21"/>
          <w:szCs w:val="21"/>
        </w:rPr>
        <w:t>, основний інститут ринку праці носит</w:t>
      </w:r>
      <w:r>
        <w:rPr>
          <w:rFonts w:ascii="Times New Roman" w:hAnsi="Times New Roman" w:cs="Times New Roman"/>
          <w:sz w:val="21"/>
          <w:szCs w:val="21"/>
        </w:rPr>
        <w:t>ь</w:t>
      </w:r>
      <w:r w:rsidRPr="003E6E9C">
        <w:rPr>
          <w:rFonts w:ascii="Times New Roman" w:hAnsi="Times New Roman" w:cs="Times New Roman"/>
          <w:sz w:val="21"/>
          <w:szCs w:val="21"/>
        </w:rPr>
        <w:t xml:space="preserve"> назву – Центральний орган виконавчої влади з питань зайнятості та трудової міграції. Крім цього, Закон передбачає ведення Державною службою зайнятості списку приватних агентств зайнятості; заборону діяльності кадрових агентств. Відтепер на українському ринку праці залишається тільки один посередник – рекрутингові компанії. Їх відмінність від кадрових агентств полягає в тому, що за працевлаштування, по-факту, з ними розплачуватимуться роботодавці.</w:t>
      </w:r>
    </w:p>
    <w:p w:rsidR="00B233DE" w:rsidRPr="003E6E9C" w:rsidRDefault="00B233DE" w:rsidP="00B233DE">
      <w:pPr>
        <w:ind w:firstLine="709"/>
        <w:jc w:val="both"/>
        <w:rPr>
          <w:rFonts w:ascii="Times New Roman" w:hAnsi="Times New Roman" w:cs="Times New Roman"/>
          <w:sz w:val="21"/>
          <w:szCs w:val="21"/>
        </w:rPr>
      </w:pPr>
      <w:r w:rsidRPr="003E6E9C">
        <w:rPr>
          <w:rFonts w:ascii="Times New Roman" w:hAnsi="Times New Roman" w:cs="Times New Roman"/>
          <w:sz w:val="21"/>
          <w:szCs w:val="21"/>
        </w:rPr>
        <w:t>Отже, за роки незалежності України, в основному, сформовано базові державні інститути, які забезпечують функціонування ринку праці. Так, в Україні сформовано систем</w:t>
      </w:r>
      <w:r>
        <w:rPr>
          <w:rFonts w:ascii="Times New Roman" w:hAnsi="Times New Roman" w:cs="Times New Roman"/>
          <w:sz w:val="21"/>
          <w:szCs w:val="21"/>
        </w:rPr>
        <w:t>у</w:t>
      </w:r>
      <w:r w:rsidRPr="003E6E9C">
        <w:rPr>
          <w:rFonts w:ascii="Times New Roman" w:hAnsi="Times New Roman" w:cs="Times New Roman"/>
          <w:sz w:val="21"/>
          <w:szCs w:val="21"/>
        </w:rPr>
        <w:t xml:space="preserve"> органів державного управління ринком праці, яка об’єднює органи законодавчої (Верховна Рада України), виконавчої (Кабінет Міністрів України, який формує міністерства, служби, комітети, інспекції, відомства) та судової (Конституційний, Верховний, Господарський, Арбітражний суди, а також Міністерство юстиції України) влади; </w:t>
      </w:r>
      <w:r w:rsidRPr="003E6E9C">
        <w:rPr>
          <w:rFonts w:ascii="Times New Roman" w:hAnsi="Times New Roman" w:cs="Times New Roman"/>
          <w:color w:val="000000"/>
          <w:sz w:val="21"/>
          <w:szCs w:val="21"/>
        </w:rPr>
        <w:t>суттєво змінено законодавство з питань зайнятості, соціальне</w:t>
      </w:r>
      <w:r w:rsidRPr="003E6E9C">
        <w:rPr>
          <w:rFonts w:ascii="Times New Roman" w:hAnsi="Times New Roman" w:cs="Times New Roman"/>
          <w:i/>
          <w:color w:val="000000"/>
          <w:sz w:val="21"/>
          <w:szCs w:val="21"/>
        </w:rPr>
        <w:t xml:space="preserve"> </w:t>
      </w:r>
      <w:r w:rsidRPr="003E6E9C">
        <w:rPr>
          <w:rFonts w:ascii="Times New Roman" w:hAnsi="Times New Roman" w:cs="Times New Roman"/>
          <w:color w:val="000000"/>
          <w:sz w:val="21"/>
          <w:szCs w:val="21"/>
        </w:rPr>
        <w:t>страхування, трудове право</w:t>
      </w:r>
      <w:r w:rsidRPr="003E6E9C">
        <w:rPr>
          <w:rFonts w:ascii="Times New Roman" w:hAnsi="Times New Roman" w:cs="Times New Roman"/>
          <w:sz w:val="21"/>
          <w:szCs w:val="21"/>
        </w:rPr>
        <w:t xml:space="preserve">. Міністерство соціальної політики України (Мінсоцполітики України) є центральним органом виконавчої влади, діяльність якого спрямовується і координується Кабінетом Міністрів України. В Україні функціонують – Державна служба зайнятості України, Державна інспекція з питань праці, НДІ праці й зайнятості (м. Київ), НДІ соціально-трудових відносин (м. Луганськ), Інститут підготовки кадрів державної служби зайнятості та ін. </w:t>
      </w:r>
    </w:p>
    <w:p w:rsidR="00B233DE" w:rsidRPr="003E6E9C" w:rsidRDefault="00B233DE" w:rsidP="00B233DE">
      <w:pPr>
        <w:ind w:firstLine="709"/>
        <w:jc w:val="both"/>
        <w:rPr>
          <w:rFonts w:ascii="Times New Roman" w:hAnsi="Times New Roman" w:cs="Times New Roman"/>
          <w:sz w:val="21"/>
          <w:szCs w:val="21"/>
        </w:rPr>
      </w:pPr>
      <w:r w:rsidRPr="003E6E9C">
        <w:rPr>
          <w:rFonts w:ascii="Times New Roman" w:hAnsi="Times New Roman" w:cs="Times New Roman"/>
          <w:sz w:val="21"/>
          <w:szCs w:val="21"/>
        </w:rPr>
        <w:t xml:space="preserve">Водночас, у забезпеченні функціонування ринку праці значну роль відіграють </w:t>
      </w:r>
      <w:r w:rsidRPr="003E6E9C">
        <w:rPr>
          <w:rFonts w:ascii="Times New Roman" w:hAnsi="Times New Roman" w:cs="Times New Roman"/>
          <w:color w:val="000000"/>
          <w:sz w:val="21"/>
          <w:szCs w:val="21"/>
        </w:rPr>
        <w:t>система соціального партнерства і спілка работодавців; професійні спіл</w:t>
      </w:r>
      <w:r>
        <w:rPr>
          <w:rFonts w:ascii="Times New Roman" w:hAnsi="Times New Roman" w:cs="Times New Roman"/>
          <w:color w:val="000000"/>
          <w:sz w:val="21"/>
          <w:szCs w:val="21"/>
        </w:rPr>
        <w:t xml:space="preserve">ки; система середньої та вищої </w:t>
      </w:r>
      <w:r w:rsidRPr="003E6E9C">
        <w:rPr>
          <w:rFonts w:ascii="Times New Roman" w:hAnsi="Times New Roman" w:cs="Times New Roman"/>
          <w:color w:val="000000"/>
          <w:sz w:val="21"/>
          <w:szCs w:val="21"/>
        </w:rPr>
        <w:t xml:space="preserve">освіти; кадрові агенства; фонд страхування на випадок безробіття; міграційні служби; комунікаційні технології; суспільні та державні фонди для стимулювання економічної активності; традиції і моральні норми. </w:t>
      </w:r>
      <w:r>
        <w:rPr>
          <w:rFonts w:ascii="Times New Roman" w:hAnsi="Times New Roman" w:cs="Times New Roman"/>
          <w:sz w:val="21"/>
          <w:szCs w:val="21"/>
        </w:rPr>
        <w:t>Проте, О.</w:t>
      </w:r>
      <w:r w:rsidRPr="003E6E9C">
        <w:rPr>
          <w:rFonts w:ascii="Times New Roman" w:hAnsi="Times New Roman" w:cs="Times New Roman"/>
          <w:sz w:val="21"/>
          <w:szCs w:val="21"/>
        </w:rPr>
        <w:t xml:space="preserve"> Пищуліна вважає, що загальносвітовий процес інституціалізації ринку праці в Україні має свою специфіку, протікає складно й складно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_Ref435784208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83</w:t>
      </w:r>
      <w:r>
        <w:rPr>
          <w:rFonts w:ascii="Times New Roman" w:hAnsi="Times New Roman" w:cs="Times New Roman"/>
          <w:sz w:val="21"/>
          <w:szCs w:val="21"/>
          <w:highlight w:val="yellow"/>
        </w:rPr>
        <w:fldChar w:fldCharType="end"/>
      </w:r>
      <w:r w:rsidRPr="003E6E9C">
        <w:rPr>
          <w:rFonts w:ascii="Times New Roman" w:hAnsi="Times New Roman" w:cs="Times New Roman"/>
          <w:sz w:val="21"/>
          <w:szCs w:val="21"/>
        </w:rPr>
        <w:t xml:space="preserve">]. </w:t>
      </w:r>
    </w:p>
    <w:p w:rsidR="00B233DE" w:rsidRPr="003E6E9C" w:rsidRDefault="00B233DE" w:rsidP="00B233DE">
      <w:pPr>
        <w:ind w:firstLine="709"/>
        <w:jc w:val="both"/>
        <w:rPr>
          <w:rFonts w:ascii="Times New Roman" w:hAnsi="Times New Roman" w:cs="Times New Roman"/>
          <w:sz w:val="21"/>
          <w:szCs w:val="21"/>
        </w:rPr>
      </w:pPr>
      <w:r w:rsidRPr="003E6E9C">
        <w:rPr>
          <w:rFonts w:ascii="Times New Roman" w:hAnsi="Times New Roman" w:cs="Times New Roman"/>
          <w:sz w:val="21"/>
          <w:szCs w:val="21"/>
        </w:rPr>
        <w:t xml:space="preserve">Існує думка, що в сучасних умовах розвиток ринку праці не забезпечений нормальним інституційним </w:t>
      </w:r>
      <w:r w:rsidRPr="00E87477">
        <w:rPr>
          <w:rFonts w:ascii="Times New Roman" w:hAnsi="Times New Roman" w:cs="Times New Roman"/>
          <w:sz w:val="21"/>
          <w:szCs w:val="21"/>
        </w:rPr>
        <w:t xml:space="preserve">середовищем. </w:t>
      </w:r>
      <w:r w:rsidRPr="00E87477">
        <w:rPr>
          <w:rFonts w:ascii="Times New Roman" w:eastAsia="TimesNewRoman" w:hAnsi="Times New Roman" w:cs="Times New Roman"/>
          <w:sz w:val="21"/>
          <w:szCs w:val="21"/>
        </w:rPr>
        <w:t>Інші в</w:t>
      </w:r>
      <w:r w:rsidRPr="00E87477">
        <w:rPr>
          <w:rFonts w:ascii="Times New Roman" w:hAnsi="Times New Roman" w:cs="Times New Roman"/>
          <w:sz w:val="21"/>
          <w:szCs w:val="21"/>
        </w:rPr>
        <w:t>чені</w:t>
      </w:r>
      <w:r w:rsidRPr="00E87477">
        <w:rPr>
          <w:rFonts w:ascii="Times New Roman" w:hAnsi="Times New Roman" w:cs="Times New Roman"/>
          <w:b/>
          <w:sz w:val="21"/>
          <w:szCs w:val="21"/>
        </w:rPr>
        <w:t xml:space="preserve"> </w:t>
      </w:r>
      <w:r w:rsidRPr="00590AA0">
        <w:rPr>
          <w:rFonts w:ascii="Times New Roman" w:hAnsi="Times New Roman" w:cs="Times New Roman"/>
          <w:sz w:val="21"/>
          <w:szCs w:val="21"/>
        </w:rPr>
        <w:t>[</w:t>
      </w:r>
      <w:r w:rsidRPr="00590AA0">
        <w:rPr>
          <w:rFonts w:ascii="Times New Roman" w:hAnsi="Times New Roman" w:cs="Times New Roman"/>
          <w:sz w:val="21"/>
          <w:szCs w:val="21"/>
          <w:highlight w:val="yellow"/>
        </w:rPr>
        <w:fldChar w:fldCharType="begin"/>
      </w:r>
      <w:r w:rsidRPr="00590AA0">
        <w:rPr>
          <w:rFonts w:ascii="Times New Roman" w:hAnsi="Times New Roman" w:cs="Times New Roman"/>
          <w:sz w:val="21"/>
          <w:szCs w:val="21"/>
        </w:rPr>
        <w:instrText xml:space="preserve"> REF _Ref433976700 \r \h </w:instrText>
      </w:r>
      <w:r>
        <w:rPr>
          <w:rFonts w:ascii="Times New Roman" w:hAnsi="Times New Roman" w:cs="Times New Roman"/>
          <w:sz w:val="21"/>
          <w:szCs w:val="21"/>
          <w:highlight w:val="yellow"/>
        </w:rPr>
        <w:instrText xml:space="preserve"> \* MERGEFORMAT </w:instrText>
      </w:r>
      <w:r w:rsidRPr="00590AA0">
        <w:rPr>
          <w:rFonts w:ascii="Times New Roman" w:hAnsi="Times New Roman" w:cs="Times New Roman"/>
          <w:sz w:val="21"/>
          <w:szCs w:val="21"/>
          <w:highlight w:val="yellow"/>
        </w:rPr>
      </w:r>
      <w:r w:rsidRPr="00590AA0">
        <w:rPr>
          <w:rFonts w:ascii="Times New Roman" w:hAnsi="Times New Roman" w:cs="Times New Roman"/>
          <w:sz w:val="21"/>
          <w:szCs w:val="21"/>
          <w:highlight w:val="yellow"/>
        </w:rPr>
        <w:fldChar w:fldCharType="separate"/>
      </w:r>
      <w:r>
        <w:rPr>
          <w:rFonts w:ascii="Times New Roman" w:hAnsi="Times New Roman" w:cs="Times New Roman"/>
          <w:sz w:val="21"/>
          <w:szCs w:val="21"/>
        </w:rPr>
        <w:t>8</w:t>
      </w:r>
      <w:r w:rsidRPr="00590AA0">
        <w:rPr>
          <w:rFonts w:ascii="Times New Roman" w:hAnsi="Times New Roman" w:cs="Times New Roman"/>
          <w:sz w:val="21"/>
          <w:szCs w:val="21"/>
          <w:highlight w:val="yellow"/>
        </w:rPr>
        <w:fldChar w:fldCharType="end"/>
      </w:r>
      <w:r w:rsidRPr="003E6E9C">
        <w:rPr>
          <w:rFonts w:ascii="Times New Roman" w:hAnsi="Times New Roman" w:cs="Times New Roman"/>
          <w:sz w:val="21"/>
          <w:szCs w:val="21"/>
        </w:rPr>
        <w:t>, с. 185</w:t>
      </w:r>
      <w:r w:rsidRPr="003E6E9C">
        <w:rPr>
          <w:rFonts w:ascii="Times New Roman" w:hAnsi="Times New Roman" w:cs="Times New Roman"/>
          <w:b/>
          <w:sz w:val="21"/>
          <w:szCs w:val="21"/>
        </w:rPr>
        <w:t xml:space="preserve">] </w:t>
      </w:r>
      <w:r w:rsidRPr="003E6E9C">
        <w:rPr>
          <w:rFonts w:ascii="Times New Roman" w:hAnsi="Times New Roman" w:cs="Times New Roman"/>
          <w:sz w:val="21"/>
          <w:szCs w:val="21"/>
        </w:rPr>
        <w:t xml:space="preserve">наголошують на неефективному функціонуванні </w:t>
      </w:r>
      <w:r w:rsidRPr="003E6E9C">
        <w:rPr>
          <w:rFonts w:ascii="Times New Roman" w:hAnsi="Times New Roman" w:cs="Times New Roman"/>
          <w:sz w:val="21"/>
          <w:szCs w:val="21"/>
        </w:rPr>
        <w:lastRenderedPageBreak/>
        <w:t>інститутів ринку праці.</w:t>
      </w:r>
      <w:r w:rsidRPr="003E6E9C">
        <w:rPr>
          <w:rFonts w:ascii="Times New Roman" w:hAnsi="Times New Roman" w:cs="Times New Roman"/>
          <w:b/>
          <w:sz w:val="21"/>
          <w:szCs w:val="21"/>
        </w:rPr>
        <w:t xml:space="preserve"> </w:t>
      </w:r>
      <w:r w:rsidRPr="003E6E9C">
        <w:rPr>
          <w:rFonts w:ascii="Times New Roman" w:hAnsi="Times New Roman" w:cs="Times New Roman"/>
          <w:sz w:val="21"/>
          <w:szCs w:val="21"/>
        </w:rPr>
        <w:t>Невідповідність цілей і результатів соціально-економічних заходів у країні була обумовлена недосконалістю і нерозвиненістю інституційної системи, відсутністю багатьох необхідних її елементів, суперечністю інститутів. Сучасна інституціональна система країни має невизначений характер, складається із таких інститутів, які взаємо виключають чи протиставляють функції один одного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_Ref433976707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117</w:t>
      </w:r>
      <w:r>
        <w:rPr>
          <w:rFonts w:ascii="Times New Roman" w:hAnsi="Times New Roman" w:cs="Times New Roman"/>
          <w:sz w:val="21"/>
          <w:szCs w:val="21"/>
          <w:highlight w:val="yellow"/>
        </w:rPr>
        <w:fldChar w:fldCharType="end"/>
      </w:r>
      <w:r w:rsidRPr="003E6E9C">
        <w:rPr>
          <w:rFonts w:ascii="Times New Roman" w:hAnsi="Times New Roman" w:cs="Times New Roman"/>
          <w:sz w:val="21"/>
          <w:szCs w:val="21"/>
        </w:rPr>
        <w:t xml:space="preserve">, с. 30]. </w:t>
      </w:r>
    </w:p>
    <w:p w:rsidR="00B233DE" w:rsidRPr="003E6E9C" w:rsidRDefault="00B233DE" w:rsidP="00B233DE">
      <w:pPr>
        <w:autoSpaceDE w:val="0"/>
        <w:autoSpaceDN w:val="0"/>
        <w:adjustRightInd w:val="0"/>
        <w:ind w:firstLine="709"/>
        <w:jc w:val="both"/>
        <w:rPr>
          <w:rFonts w:ascii="Times New Roman" w:hAnsi="Times New Roman" w:cs="Times New Roman"/>
          <w:sz w:val="21"/>
          <w:szCs w:val="21"/>
        </w:rPr>
      </w:pPr>
      <w:r w:rsidRPr="003E6E9C">
        <w:rPr>
          <w:rFonts w:ascii="Times New Roman" w:hAnsi="Times New Roman" w:cs="Times New Roman"/>
          <w:sz w:val="21"/>
          <w:szCs w:val="21"/>
        </w:rPr>
        <w:t>С</w:t>
      </w:r>
      <w:r w:rsidRPr="003E6E9C">
        <w:rPr>
          <w:rFonts w:ascii="Times New Roman" w:hAnsi="Times New Roman" w:cs="Times New Roman"/>
          <w:iCs/>
          <w:color w:val="000000"/>
          <w:sz w:val="21"/>
          <w:szCs w:val="21"/>
        </w:rPr>
        <w:t xml:space="preserve">труктурним зрушенням на ринку праці, </w:t>
      </w:r>
      <w:r w:rsidRPr="003E6E9C">
        <w:rPr>
          <w:rFonts w:ascii="Times New Roman" w:hAnsi="Times New Roman" w:cs="Times New Roman"/>
          <w:bCs/>
          <w:sz w:val="21"/>
          <w:szCs w:val="21"/>
        </w:rPr>
        <w:t xml:space="preserve">на думку фахівців </w:t>
      </w:r>
      <w:r w:rsidRPr="003E6E9C">
        <w:rPr>
          <w:rFonts w:ascii="Times New Roman" w:hAnsi="Times New Roman" w:cs="Times New Roman"/>
          <w:iCs/>
          <w:color w:val="000000"/>
          <w:sz w:val="21"/>
          <w:szCs w:val="21"/>
        </w:rPr>
        <w:t>[</w:t>
      </w:r>
      <w:r>
        <w:rPr>
          <w:rFonts w:ascii="Times New Roman" w:hAnsi="Times New Roman" w:cs="Times New Roman"/>
          <w:sz w:val="21"/>
          <w:szCs w:val="21"/>
          <w:highlight w:val="yellow"/>
        </w:rPr>
        <w:fldChar w:fldCharType="begin"/>
      </w:r>
      <w:r>
        <w:rPr>
          <w:rFonts w:ascii="Times New Roman" w:hAnsi="Times New Roman" w:cs="Times New Roman"/>
          <w:iCs/>
          <w:color w:val="000000"/>
          <w:sz w:val="21"/>
          <w:szCs w:val="21"/>
        </w:rPr>
        <w:instrText xml:space="preserve"> REF _Ref433976688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iCs/>
          <w:color w:val="000000"/>
          <w:sz w:val="21"/>
          <w:szCs w:val="21"/>
        </w:rPr>
        <w:t>14</w:t>
      </w:r>
      <w:r>
        <w:rPr>
          <w:rFonts w:ascii="Times New Roman" w:hAnsi="Times New Roman" w:cs="Times New Roman"/>
          <w:sz w:val="21"/>
          <w:szCs w:val="21"/>
          <w:highlight w:val="yellow"/>
        </w:rPr>
        <w:fldChar w:fldCharType="end"/>
      </w:r>
      <w:r w:rsidRPr="003E6E9C">
        <w:rPr>
          <w:rFonts w:ascii="Times New Roman" w:hAnsi="Times New Roman" w:cs="Times New Roman"/>
          <w:iCs/>
          <w:color w:val="000000"/>
          <w:sz w:val="21"/>
          <w:szCs w:val="21"/>
        </w:rPr>
        <w:t>, с. 49]</w:t>
      </w:r>
      <w:r w:rsidRPr="003E6E9C">
        <w:rPr>
          <w:rFonts w:ascii="Times New Roman" w:hAnsi="Times New Roman" w:cs="Times New Roman"/>
          <w:bCs/>
          <w:sz w:val="21"/>
          <w:szCs w:val="21"/>
        </w:rPr>
        <w:t xml:space="preserve">, </w:t>
      </w:r>
      <w:r w:rsidRPr="003E6E9C">
        <w:rPr>
          <w:rFonts w:ascii="Times New Roman" w:hAnsi="Times New Roman" w:cs="Times New Roman"/>
          <w:iCs/>
          <w:color w:val="000000"/>
          <w:sz w:val="21"/>
          <w:szCs w:val="21"/>
        </w:rPr>
        <w:t xml:space="preserve">характерна – нелінійність, асинхронність розвитку, наявність тимчасових лагів між проходженнями окремих етапів життєвого періоду різними зрушеннями в професійно-освітньо-кваліфікаційній структурі людських ресурсів та вартості трудоресурсного капіталу. </w:t>
      </w:r>
      <w:r w:rsidRPr="003E6E9C">
        <w:rPr>
          <w:rFonts w:ascii="Times New Roman" w:hAnsi="Times New Roman" w:cs="Times New Roman"/>
          <w:sz w:val="21"/>
          <w:szCs w:val="21"/>
        </w:rPr>
        <w:t>Вітчизняні економісти відзначають відсутність якісних інституціональних перетворень, необхідних для забезпечення суспільного розвитку і стабільного економічного зростання в Україні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_Ref435784235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22</w:t>
      </w:r>
      <w:r>
        <w:rPr>
          <w:rFonts w:ascii="Times New Roman" w:hAnsi="Times New Roman" w:cs="Times New Roman"/>
          <w:sz w:val="21"/>
          <w:szCs w:val="21"/>
          <w:highlight w:val="yellow"/>
        </w:rPr>
        <w:fldChar w:fldCharType="end"/>
      </w:r>
      <w:r w:rsidRPr="003E6E9C">
        <w:rPr>
          <w:rFonts w:ascii="Times New Roman" w:hAnsi="Times New Roman" w:cs="Times New Roman"/>
          <w:sz w:val="21"/>
          <w:szCs w:val="21"/>
        </w:rPr>
        <w:t xml:space="preserve">]. </w:t>
      </w:r>
    </w:p>
    <w:p w:rsidR="00B233DE" w:rsidRPr="003E6E9C" w:rsidRDefault="00B233DE" w:rsidP="00B233DE">
      <w:pPr>
        <w:ind w:firstLine="709"/>
        <w:jc w:val="both"/>
        <w:rPr>
          <w:rFonts w:ascii="Times New Roman" w:hAnsi="Times New Roman" w:cs="Times New Roman"/>
          <w:sz w:val="21"/>
          <w:szCs w:val="21"/>
        </w:rPr>
      </w:pPr>
      <w:r w:rsidRPr="003E6E9C">
        <w:rPr>
          <w:rFonts w:ascii="Times New Roman" w:eastAsia="TimesNewRoman" w:hAnsi="Times New Roman" w:cs="Times New Roman"/>
          <w:sz w:val="21"/>
          <w:szCs w:val="21"/>
        </w:rPr>
        <w:t>На відміну від європейських країн, в Україні створення атрибутів ринку праці нині відстає від загального поступу економічних перетворень. Це діє як додатковий фактор, що негативно впливає на динаміку зайнятості і безробіття [</w:t>
      </w:r>
      <w:r>
        <w:rPr>
          <w:rFonts w:ascii="Times New Roman" w:hAnsi="Times New Roman" w:cs="Times New Roman"/>
          <w:sz w:val="21"/>
          <w:szCs w:val="21"/>
          <w:highlight w:val="yellow"/>
        </w:rPr>
        <w:fldChar w:fldCharType="begin"/>
      </w:r>
      <w:r>
        <w:rPr>
          <w:rFonts w:ascii="Times New Roman" w:eastAsia="TimesNewRoman" w:hAnsi="Times New Roman" w:cs="Times New Roman"/>
          <w:sz w:val="21"/>
          <w:szCs w:val="21"/>
        </w:rPr>
        <w:instrText xml:space="preserve"> REF _Ref433976653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eastAsia="TimesNewRoman" w:hAnsi="Times New Roman" w:cs="Times New Roman"/>
          <w:sz w:val="21"/>
          <w:szCs w:val="21"/>
        </w:rPr>
        <w:t>53</w:t>
      </w:r>
      <w:r>
        <w:rPr>
          <w:rFonts w:ascii="Times New Roman" w:hAnsi="Times New Roman" w:cs="Times New Roman"/>
          <w:sz w:val="21"/>
          <w:szCs w:val="21"/>
          <w:highlight w:val="yellow"/>
        </w:rPr>
        <w:fldChar w:fldCharType="end"/>
      </w:r>
      <w:r w:rsidRPr="003E6E9C">
        <w:rPr>
          <w:rFonts w:ascii="Times New Roman" w:eastAsia="TimesNewRoman" w:hAnsi="Times New Roman" w:cs="Times New Roman"/>
          <w:sz w:val="21"/>
          <w:szCs w:val="21"/>
        </w:rPr>
        <w:t>, с. 48].</w:t>
      </w:r>
      <w:r w:rsidRPr="003E6E9C">
        <w:rPr>
          <w:rFonts w:ascii="Times New Roman" w:hAnsi="Times New Roman" w:cs="Times New Roman"/>
          <w:sz w:val="21"/>
          <w:szCs w:val="21"/>
        </w:rPr>
        <w:t xml:space="preserve"> </w:t>
      </w:r>
    </w:p>
    <w:p w:rsidR="00B233DE" w:rsidRPr="003E6E9C" w:rsidRDefault="00B233DE" w:rsidP="00B233DE">
      <w:pPr>
        <w:autoSpaceDE w:val="0"/>
        <w:autoSpaceDN w:val="0"/>
        <w:adjustRightInd w:val="0"/>
        <w:ind w:firstLine="709"/>
        <w:jc w:val="both"/>
        <w:rPr>
          <w:rFonts w:ascii="Times New Roman" w:hAnsi="Times New Roman" w:cs="Times New Roman"/>
          <w:sz w:val="21"/>
          <w:szCs w:val="21"/>
        </w:rPr>
      </w:pPr>
      <w:r>
        <w:rPr>
          <w:rFonts w:ascii="Times New Roman" w:hAnsi="Times New Roman" w:cs="Times New Roman"/>
          <w:sz w:val="21"/>
          <w:szCs w:val="21"/>
        </w:rPr>
        <w:t xml:space="preserve">На думку Т. </w:t>
      </w:r>
      <w:r w:rsidRPr="003E6E9C">
        <w:rPr>
          <w:rFonts w:ascii="Times New Roman" w:hAnsi="Times New Roman" w:cs="Times New Roman"/>
          <w:sz w:val="21"/>
          <w:szCs w:val="21"/>
        </w:rPr>
        <w:t>Боголіб, процес інституціоналізації ринку праці в умовах ринкової економіки проходить складно і супроводжується крахом старих неефективних інститутів або наданням їм нових функцій і пристосуванню до нових умов, а також відбувається створення нових р</w:t>
      </w:r>
      <w:r>
        <w:rPr>
          <w:rFonts w:ascii="Times New Roman" w:hAnsi="Times New Roman" w:cs="Times New Roman"/>
          <w:sz w:val="21"/>
          <w:szCs w:val="21"/>
        </w:rPr>
        <w:t>инкових інститутів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_Ref435784103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12</w:t>
      </w:r>
      <w:r>
        <w:rPr>
          <w:rFonts w:ascii="Times New Roman" w:hAnsi="Times New Roman" w:cs="Times New Roman"/>
          <w:sz w:val="21"/>
          <w:szCs w:val="21"/>
          <w:highlight w:val="yellow"/>
        </w:rPr>
        <w:fldChar w:fldCharType="end"/>
      </w:r>
      <w:r w:rsidRPr="003E6E9C">
        <w:rPr>
          <w:rFonts w:ascii="Times New Roman" w:hAnsi="Times New Roman" w:cs="Times New Roman"/>
          <w:sz w:val="21"/>
          <w:szCs w:val="21"/>
        </w:rPr>
        <w:t xml:space="preserve">]. </w:t>
      </w:r>
    </w:p>
    <w:p w:rsidR="00B233DE" w:rsidRPr="003E6E9C" w:rsidRDefault="00B233DE" w:rsidP="00B233DE">
      <w:pPr>
        <w:autoSpaceDE w:val="0"/>
        <w:autoSpaceDN w:val="0"/>
        <w:adjustRightInd w:val="0"/>
        <w:ind w:firstLine="709"/>
        <w:jc w:val="both"/>
        <w:rPr>
          <w:rStyle w:val="apple-converted-space"/>
          <w:rFonts w:ascii="Times New Roman" w:hAnsi="Times New Roman" w:cs="Times New Roman"/>
          <w:color w:val="000000"/>
          <w:sz w:val="21"/>
          <w:szCs w:val="21"/>
        </w:rPr>
      </w:pPr>
      <w:r w:rsidRPr="003E6E9C">
        <w:rPr>
          <w:rFonts w:ascii="Times New Roman" w:hAnsi="Times New Roman" w:cs="Times New Roman"/>
          <w:sz w:val="21"/>
          <w:szCs w:val="21"/>
        </w:rPr>
        <w:t>Загальновідомо, що в теоретичному плані і</w:t>
      </w:r>
      <w:r w:rsidRPr="003E6E9C">
        <w:rPr>
          <w:rStyle w:val="apple-converted-space"/>
          <w:rFonts w:ascii="Times New Roman" w:hAnsi="Times New Roman" w:cs="Times New Roman"/>
          <w:color w:val="000000"/>
          <w:sz w:val="21"/>
          <w:szCs w:val="21"/>
        </w:rPr>
        <w:t>нституційні зміни відбуваються внаслідок невідповідності чинних норм і правил поведінки суспільно-економічних агентів існуючим умовам їх життєдіяльності [</w:t>
      </w:r>
      <w:r>
        <w:rPr>
          <w:rStyle w:val="apple-converted-space"/>
          <w:rFonts w:ascii="Times New Roman" w:hAnsi="Times New Roman" w:cs="Times New Roman"/>
          <w:color w:val="000000"/>
          <w:sz w:val="21"/>
          <w:szCs w:val="21"/>
          <w:highlight w:val="yellow"/>
        </w:rPr>
        <w:fldChar w:fldCharType="begin"/>
      </w:r>
      <w:r>
        <w:rPr>
          <w:rStyle w:val="apple-converted-space"/>
          <w:rFonts w:ascii="Times New Roman" w:hAnsi="Times New Roman" w:cs="Times New Roman"/>
          <w:color w:val="000000"/>
          <w:sz w:val="21"/>
          <w:szCs w:val="21"/>
        </w:rPr>
        <w:instrText xml:space="preserve"> REF _Ref435784119 \r \h </w:instrText>
      </w:r>
      <w:r>
        <w:rPr>
          <w:rStyle w:val="apple-converted-space"/>
          <w:rFonts w:ascii="Times New Roman" w:hAnsi="Times New Roman" w:cs="Times New Roman"/>
          <w:color w:val="000000"/>
          <w:sz w:val="21"/>
          <w:szCs w:val="21"/>
          <w:highlight w:val="yellow"/>
        </w:rPr>
      </w:r>
      <w:r>
        <w:rPr>
          <w:rStyle w:val="apple-converted-space"/>
          <w:rFonts w:ascii="Times New Roman" w:hAnsi="Times New Roman" w:cs="Times New Roman"/>
          <w:color w:val="000000"/>
          <w:sz w:val="21"/>
          <w:szCs w:val="21"/>
          <w:highlight w:val="yellow"/>
        </w:rPr>
        <w:fldChar w:fldCharType="separate"/>
      </w:r>
      <w:r>
        <w:rPr>
          <w:rStyle w:val="apple-converted-space"/>
          <w:rFonts w:ascii="Times New Roman" w:hAnsi="Times New Roman" w:cs="Times New Roman"/>
          <w:color w:val="000000"/>
          <w:sz w:val="21"/>
          <w:szCs w:val="21"/>
        </w:rPr>
        <w:t>70</w:t>
      </w:r>
      <w:r>
        <w:rPr>
          <w:rStyle w:val="apple-converted-space"/>
          <w:rFonts w:ascii="Times New Roman" w:hAnsi="Times New Roman" w:cs="Times New Roman"/>
          <w:color w:val="000000"/>
          <w:sz w:val="21"/>
          <w:szCs w:val="21"/>
          <w:highlight w:val="yellow"/>
        </w:rPr>
        <w:fldChar w:fldCharType="end"/>
      </w:r>
      <w:r>
        <w:rPr>
          <w:rStyle w:val="apple-converted-space"/>
          <w:rFonts w:ascii="Times New Roman" w:hAnsi="Times New Roman" w:cs="Times New Roman"/>
          <w:color w:val="000000"/>
          <w:sz w:val="21"/>
          <w:szCs w:val="21"/>
        </w:rPr>
        <w:t xml:space="preserve">, с. 100]. На переконання Д. </w:t>
      </w:r>
      <w:r w:rsidRPr="003E6E9C">
        <w:rPr>
          <w:rStyle w:val="apple-converted-space"/>
          <w:rFonts w:ascii="Times New Roman" w:hAnsi="Times New Roman" w:cs="Times New Roman"/>
          <w:color w:val="000000"/>
          <w:sz w:val="21"/>
          <w:szCs w:val="21"/>
        </w:rPr>
        <w:t>Норта, інституційні зміни є результатом трансформації поглядів суспільно-економічних агентів на основні категорії соціально-економічних відносин [</w:t>
      </w:r>
      <w:r>
        <w:rPr>
          <w:rStyle w:val="apple-converted-space"/>
          <w:rFonts w:ascii="Times New Roman" w:hAnsi="Times New Roman" w:cs="Times New Roman"/>
          <w:color w:val="000000"/>
          <w:sz w:val="21"/>
          <w:szCs w:val="21"/>
          <w:highlight w:val="yellow"/>
        </w:rPr>
        <w:fldChar w:fldCharType="begin"/>
      </w:r>
      <w:r>
        <w:rPr>
          <w:rStyle w:val="apple-converted-space"/>
          <w:rFonts w:ascii="Times New Roman" w:hAnsi="Times New Roman" w:cs="Times New Roman"/>
          <w:color w:val="000000"/>
          <w:sz w:val="21"/>
          <w:szCs w:val="21"/>
        </w:rPr>
        <w:instrText xml:space="preserve"> REF _Ref435784254 \r \h </w:instrText>
      </w:r>
      <w:r>
        <w:rPr>
          <w:rStyle w:val="apple-converted-space"/>
          <w:rFonts w:ascii="Times New Roman" w:hAnsi="Times New Roman" w:cs="Times New Roman"/>
          <w:color w:val="000000"/>
          <w:sz w:val="21"/>
          <w:szCs w:val="21"/>
          <w:highlight w:val="yellow"/>
        </w:rPr>
      </w:r>
      <w:r>
        <w:rPr>
          <w:rStyle w:val="apple-converted-space"/>
          <w:rFonts w:ascii="Times New Roman" w:hAnsi="Times New Roman" w:cs="Times New Roman"/>
          <w:color w:val="000000"/>
          <w:sz w:val="21"/>
          <w:szCs w:val="21"/>
          <w:highlight w:val="yellow"/>
        </w:rPr>
        <w:fldChar w:fldCharType="separate"/>
      </w:r>
      <w:r>
        <w:rPr>
          <w:rStyle w:val="apple-converted-space"/>
          <w:rFonts w:ascii="Times New Roman" w:hAnsi="Times New Roman" w:cs="Times New Roman"/>
          <w:color w:val="000000"/>
          <w:sz w:val="21"/>
          <w:szCs w:val="21"/>
        </w:rPr>
        <w:t>75</w:t>
      </w:r>
      <w:r>
        <w:rPr>
          <w:rStyle w:val="apple-converted-space"/>
          <w:rFonts w:ascii="Times New Roman" w:hAnsi="Times New Roman" w:cs="Times New Roman"/>
          <w:color w:val="000000"/>
          <w:sz w:val="21"/>
          <w:szCs w:val="21"/>
          <w:highlight w:val="yellow"/>
        </w:rPr>
        <w:fldChar w:fldCharType="end"/>
      </w:r>
      <w:r>
        <w:rPr>
          <w:rStyle w:val="apple-converted-space"/>
          <w:rFonts w:ascii="Times New Roman" w:hAnsi="Times New Roman" w:cs="Times New Roman"/>
          <w:color w:val="000000"/>
          <w:sz w:val="21"/>
          <w:szCs w:val="21"/>
        </w:rPr>
        <w:t>, с. 13</w:t>
      </w:r>
      <w:r w:rsidRPr="003E6E9C">
        <w:rPr>
          <w:rStyle w:val="apple-converted-space"/>
          <w:rFonts w:ascii="Times New Roman" w:hAnsi="Times New Roman" w:cs="Times New Roman"/>
          <w:color w:val="000000"/>
          <w:sz w:val="21"/>
          <w:szCs w:val="21"/>
        </w:rPr>
        <w:t xml:space="preserve">]. </w:t>
      </w:r>
    </w:p>
    <w:p w:rsidR="00B233DE" w:rsidRPr="003E6E9C" w:rsidRDefault="00B233DE" w:rsidP="00B233DE">
      <w:pPr>
        <w:autoSpaceDE w:val="0"/>
        <w:autoSpaceDN w:val="0"/>
        <w:adjustRightInd w:val="0"/>
        <w:ind w:firstLine="709"/>
        <w:jc w:val="both"/>
        <w:rPr>
          <w:rStyle w:val="apple-converted-space"/>
          <w:rFonts w:ascii="Times New Roman" w:hAnsi="Times New Roman" w:cs="Times New Roman"/>
          <w:color w:val="000000"/>
          <w:sz w:val="21"/>
          <w:szCs w:val="21"/>
        </w:rPr>
      </w:pPr>
      <w:r w:rsidRPr="003E6E9C">
        <w:rPr>
          <w:rStyle w:val="apple-converted-space"/>
          <w:rFonts w:ascii="Times New Roman" w:hAnsi="Times New Roman" w:cs="Times New Roman"/>
          <w:color w:val="000000"/>
          <w:sz w:val="21"/>
          <w:szCs w:val="21"/>
        </w:rPr>
        <w:t xml:space="preserve">Вченими пропонується схема інституційних змін, яка має наступну послідовність: зміни у рівні знань обумовлюють появу нових технологій; нові технології впливають на рівень цін на ресурси; новий рівень цін спонукає власників потенційно зростаючих у вартості ресурсів до трансформації прав власності на них; новий рівень цін сприяє виникненню правил, які дають змогу максимізувати цінність використання таких прав; разом з тим </w:t>
      </w:r>
      <w:r w:rsidRPr="003E6E9C">
        <w:rPr>
          <w:rStyle w:val="apple-converted-space"/>
          <w:rFonts w:ascii="Times New Roman" w:hAnsi="Times New Roman" w:cs="Times New Roman"/>
          <w:color w:val="000000"/>
          <w:sz w:val="21"/>
          <w:szCs w:val="21"/>
        </w:rPr>
        <w:lastRenderedPageBreak/>
        <w:t>ненульові трансакційні витрати на політичному ринку пере</w:t>
      </w:r>
      <w:r>
        <w:rPr>
          <w:rStyle w:val="apple-converted-space"/>
          <w:rFonts w:ascii="Times New Roman" w:hAnsi="Times New Roman" w:cs="Times New Roman"/>
          <w:color w:val="000000"/>
          <w:sz w:val="21"/>
          <w:szCs w:val="21"/>
        </w:rPr>
        <w:t>-</w:t>
      </w:r>
      <w:r w:rsidRPr="003E6E9C">
        <w:rPr>
          <w:rStyle w:val="apple-converted-space"/>
          <w:rFonts w:ascii="Times New Roman" w:hAnsi="Times New Roman" w:cs="Times New Roman"/>
          <w:color w:val="000000"/>
          <w:sz w:val="21"/>
          <w:szCs w:val="21"/>
        </w:rPr>
        <w:t>шкоджають тому, щоб реалізовувалися всі корисні для створення вартості потенційно можливі інституційні зміни [</w:t>
      </w:r>
      <w:r>
        <w:rPr>
          <w:rStyle w:val="apple-converted-space"/>
          <w:rFonts w:ascii="Times New Roman" w:hAnsi="Times New Roman" w:cs="Times New Roman"/>
          <w:color w:val="000000"/>
          <w:sz w:val="21"/>
          <w:szCs w:val="21"/>
          <w:highlight w:val="yellow"/>
        </w:rPr>
        <w:fldChar w:fldCharType="begin"/>
      </w:r>
      <w:r>
        <w:rPr>
          <w:rStyle w:val="apple-converted-space"/>
          <w:rFonts w:ascii="Times New Roman" w:hAnsi="Times New Roman" w:cs="Times New Roman"/>
          <w:color w:val="000000"/>
          <w:sz w:val="21"/>
          <w:szCs w:val="21"/>
        </w:rPr>
        <w:instrText xml:space="preserve"> REF _Ref433977142 \r \h </w:instrText>
      </w:r>
      <w:r>
        <w:rPr>
          <w:rStyle w:val="apple-converted-space"/>
          <w:rFonts w:ascii="Times New Roman" w:hAnsi="Times New Roman" w:cs="Times New Roman"/>
          <w:color w:val="000000"/>
          <w:sz w:val="21"/>
          <w:szCs w:val="21"/>
          <w:highlight w:val="yellow"/>
        </w:rPr>
      </w:r>
      <w:r>
        <w:rPr>
          <w:rStyle w:val="apple-converted-space"/>
          <w:rFonts w:ascii="Times New Roman" w:hAnsi="Times New Roman" w:cs="Times New Roman"/>
          <w:color w:val="000000"/>
          <w:sz w:val="21"/>
          <w:szCs w:val="21"/>
          <w:highlight w:val="yellow"/>
        </w:rPr>
        <w:fldChar w:fldCharType="separate"/>
      </w:r>
      <w:r>
        <w:rPr>
          <w:rStyle w:val="apple-converted-space"/>
          <w:rFonts w:ascii="Times New Roman" w:hAnsi="Times New Roman" w:cs="Times New Roman"/>
          <w:color w:val="000000"/>
          <w:sz w:val="21"/>
          <w:szCs w:val="21"/>
        </w:rPr>
        <w:t>43</w:t>
      </w:r>
      <w:r>
        <w:rPr>
          <w:rStyle w:val="apple-converted-space"/>
          <w:rFonts w:ascii="Times New Roman" w:hAnsi="Times New Roman" w:cs="Times New Roman"/>
          <w:color w:val="000000"/>
          <w:sz w:val="21"/>
          <w:szCs w:val="21"/>
          <w:highlight w:val="yellow"/>
        </w:rPr>
        <w:fldChar w:fldCharType="end"/>
      </w:r>
      <w:r w:rsidRPr="003E6E9C">
        <w:rPr>
          <w:rStyle w:val="apple-converted-space"/>
          <w:rFonts w:ascii="Times New Roman" w:hAnsi="Times New Roman" w:cs="Times New Roman"/>
          <w:color w:val="000000"/>
          <w:sz w:val="21"/>
          <w:szCs w:val="21"/>
        </w:rPr>
        <w:t xml:space="preserve">, с. 288]. </w:t>
      </w:r>
    </w:p>
    <w:p w:rsidR="00B233DE" w:rsidRPr="003E6E9C" w:rsidRDefault="00B233DE" w:rsidP="00B233DE">
      <w:pPr>
        <w:ind w:firstLine="709"/>
        <w:jc w:val="both"/>
        <w:rPr>
          <w:rFonts w:ascii="Times New Roman" w:hAnsi="Times New Roman" w:cs="Times New Roman"/>
          <w:color w:val="000000"/>
          <w:sz w:val="21"/>
          <w:szCs w:val="21"/>
        </w:rPr>
      </w:pPr>
      <w:r>
        <w:rPr>
          <w:rFonts w:ascii="Times New Roman" w:hAnsi="Times New Roman" w:cs="Times New Roman"/>
          <w:sz w:val="21"/>
          <w:szCs w:val="21"/>
        </w:rPr>
        <w:t xml:space="preserve">На думку О. </w:t>
      </w:r>
      <w:r w:rsidRPr="00306A48">
        <w:rPr>
          <w:rFonts w:ascii="Times New Roman" w:hAnsi="Times New Roman" w:cs="Times New Roman"/>
          <w:sz w:val="21"/>
          <w:szCs w:val="21"/>
        </w:rPr>
        <w:t xml:space="preserve">Покатаєвої </w:t>
      </w:r>
      <w:r w:rsidRPr="00306A48">
        <w:rPr>
          <w:rFonts w:ascii="Times New Roman" w:hAnsi="Times New Roman" w:cs="Times New Roman"/>
          <w:color w:val="000000"/>
          <w:sz w:val="21"/>
          <w:szCs w:val="21"/>
        </w:rPr>
        <w:t>[</w:t>
      </w:r>
      <w:r w:rsidRPr="00306A48">
        <w:rPr>
          <w:rFonts w:ascii="Times New Roman" w:hAnsi="Times New Roman" w:cs="Times New Roman"/>
          <w:color w:val="000000"/>
          <w:sz w:val="21"/>
          <w:szCs w:val="21"/>
        </w:rPr>
        <w:fldChar w:fldCharType="begin"/>
      </w:r>
      <w:r w:rsidRPr="00306A48">
        <w:rPr>
          <w:rFonts w:ascii="Times New Roman" w:hAnsi="Times New Roman" w:cs="Times New Roman"/>
          <w:color w:val="000000"/>
          <w:sz w:val="21"/>
          <w:szCs w:val="21"/>
        </w:rPr>
        <w:instrText xml:space="preserve"> REF _Ref435784259 \r \h </w:instrText>
      </w:r>
      <w:r>
        <w:rPr>
          <w:rFonts w:ascii="Times New Roman" w:hAnsi="Times New Roman" w:cs="Times New Roman"/>
          <w:color w:val="000000"/>
          <w:sz w:val="21"/>
          <w:szCs w:val="21"/>
        </w:rPr>
        <w:instrText xml:space="preserve"> \* MERGEFORMAT </w:instrText>
      </w:r>
      <w:r w:rsidRPr="00306A48">
        <w:rPr>
          <w:rFonts w:ascii="Times New Roman" w:hAnsi="Times New Roman" w:cs="Times New Roman"/>
          <w:color w:val="000000"/>
          <w:sz w:val="21"/>
          <w:szCs w:val="21"/>
        </w:rPr>
      </w:r>
      <w:r w:rsidRPr="00306A48">
        <w:rPr>
          <w:rFonts w:ascii="Times New Roman" w:hAnsi="Times New Roman" w:cs="Times New Roman"/>
          <w:color w:val="000000"/>
          <w:sz w:val="21"/>
          <w:szCs w:val="21"/>
        </w:rPr>
        <w:fldChar w:fldCharType="separate"/>
      </w:r>
      <w:r w:rsidRPr="00306A48">
        <w:rPr>
          <w:rFonts w:ascii="Times New Roman" w:hAnsi="Times New Roman" w:cs="Times New Roman"/>
          <w:color w:val="000000"/>
          <w:sz w:val="21"/>
          <w:szCs w:val="21"/>
        </w:rPr>
        <w:t>86</w:t>
      </w:r>
      <w:r w:rsidRPr="00306A48">
        <w:rPr>
          <w:rFonts w:ascii="Times New Roman" w:hAnsi="Times New Roman" w:cs="Times New Roman"/>
          <w:color w:val="000000"/>
          <w:sz w:val="21"/>
          <w:szCs w:val="21"/>
        </w:rPr>
        <w:fldChar w:fldCharType="end"/>
      </w:r>
      <w:r w:rsidRPr="00306A48">
        <w:rPr>
          <w:rFonts w:ascii="Times New Roman" w:hAnsi="Times New Roman" w:cs="Times New Roman"/>
          <w:color w:val="000000"/>
          <w:sz w:val="21"/>
          <w:szCs w:val="21"/>
        </w:rPr>
        <w:t>]</w:t>
      </w:r>
      <w:r w:rsidRPr="00306A48">
        <w:rPr>
          <w:rFonts w:ascii="Times New Roman" w:hAnsi="Times New Roman" w:cs="Times New Roman"/>
          <w:sz w:val="21"/>
          <w:szCs w:val="21"/>
        </w:rPr>
        <w:t>,</w:t>
      </w:r>
      <w:r w:rsidRPr="00306A48">
        <w:rPr>
          <w:rFonts w:ascii="Times New Roman" w:hAnsi="Times New Roman" w:cs="Times New Roman"/>
          <w:bCs/>
          <w:color w:val="000000"/>
          <w:spacing w:val="30"/>
          <w:sz w:val="21"/>
          <w:szCs w:val="21"/>
        </w:rPr>
        <w:t xml:space="preserve"> і</w:t>
      </w:r>
      <w:r w:rsidRPr="00306A48">
        <w:rPr>
          <w:rFonts w:ascii="Times New Roman" w:hAnsi="Times New Roman" w:cs="Times New Roman"/>
          <w:color w:val="000000"/>
          <w:sz w:val="21"/>
          <w:szCs w:val="21"/>
        </w:rPr>
        <w:t>снує кілька</w:t>
      </w:r>
      <w:r w:rsidRPr="003E6E9C">
        <w:rPr>
          <w:rFonts w:ascii="Times New Roman" w:hAnsi="Times New Roman" w:cs="Times New Roman"/>
          <w:color w:val="000000"/>
          <w:sz w:val="21"/>
          <w:szCs w:val="21"/>
        </w:rPr>
        <w:t xml:space="preserve"> можливих варіантів здійснення інституціональних перетворень перехідних економік: </w:t>
      </w:r>
    </w:p>
    <w:p w:rsidR="00B233DE" w:rsidRPr="00FB7D6F" w:rsidRDefault="00B233DE" w:rsidP="00B233DE">
      <w:pPr>
        <w:pStyle w:val="ad"/>
        <w:numPr>
          <w:ilvl w:val="0"/>
          <w:numId w:val="12"/>
        </w:numPr>
        <w:tabs>
          <w:tab w:val="left" w:pos="851"/>
        </w:tabs>
        <w:ind w:left="0" w:firstLine="709"/>
        <w:jc w:val="both"/>
        <w:rPr>
          <w:rFonts w:ascii="Times New Roman" w:hAnsi="Times New Roman" w:cs="Times New Roman"/>
          <w:color w:val="000000"/>
          <w:sz w:val="21"/>
          <w:szCs w:val="21"/>
        </w:rPr>
      </w:pPr>
      <w:r w:rsidRPr="00FB7D6F">
        <w:rPr>
          <w:rFonts w:ascii="Times New Roman" w:hAnsi="Times New Roman" w:cs="Times New Roman"/>
          <w:color w:val="000000"/>
          <w:sz w:val="21"/>
          <w:szCs w:val="21"/>
        </w:rPr>
        <w:t xml:space="preserve">екстремальні – пов’язані з переходом до нової інституціональної структури за досить короткий період часу, що породжує нееластичну реакцію господарюючих суб’єктів; </w:t>
      </w:r>
    </w:p>
    <w:p w:rsidR="00B233DE" w:rsidRPr="00FB7D6F" w:rsidRDefault="00B233DE" w:rsidP="00B233DE">
      <w:pPr>
        <w:pStyle w:val="ad"/>
        <w:numPr>
          <w:ilvl w:val="0"/>
          <w:numId w:val="12"/>
        </w:numPr>
        <w:tabs>
          <w:tab w:val="left" w:pos="851"/>
        </w:tabs>
        <w:ind w:left="0" w:firstLine="709"/>
        <w:jc w:val="both"/>
        <w:rPr>
          <w:rFonts w:ascii="Times New Roman" w:hAnsi="Times New Roman" w:cs="Times New Roman"/>
          <w:color w:val="000000"/>
          <w:sz w:val="21"/>
          <w:szCs w:val="21"/>
        </w:rPr>
      </w:pPr>
      <w:r w:rsidRPr="00FB7D6F">
        <w:rPr>
          <w:rFonts w:ascii="Times New Roman" w:hAnsi="Times New Roman" w:cs="Times New Roman"/>
          <w:color w:val="000000"/>
          <w:sz w:val="21"/>
          <w:szCs w:val="21"/>
        </w:rPr>
        <w:t xml:space="preserve">граничні – як певні додаткові трансформації уже існуючих інституціональних структур; </w:t>
      </w:r>
    </w:p>
    <w:p w:rsidR="00B233DE" w:rsidRPr="00FB7D6F" w:rsidRDefault="00B233DE" w:rsidP="00B233DE">
      <w:pPr>
        <w:pStyle w:val="ad"/>
        <w:numPr>
          <w:ilvl w:val="0"/>
          <w:numId w:val="12"/>
        </w:numPr>
        <w:tabs>
          <w:tab w:val="left" w:pos="851"/>
        </w:tabs>
        <w:ind w:left="0" w:firstLine="709"/>
        <w:jc w:val="both"/>
        <w:rPr>
          <w:rFonts w:ascii="Times New Roman" w:hAnsi="Times New Roman" w:cs="Times New Roman"/>
          <w:color w:val="000000"/>
          <w:sz w:val="21"/>
          <w:szCs w:val="21"/>
        </w:rPr>
      </w:pPr>
      <w:r w:rsidRPr="00FB7D6F">
        <w:rPr>
          <w:rFonts w:ascii="Times New Roman" w:hAnsi="Times New Roman" w:cs="Times New Roman"/>
          <w:color w:val="000000"/>
          <w:sz w:val="21"/>
          <w:szCs w:val="21"/>
        </w:rPr>
        <w:t xml:space="preserve">парето-ефективні – спрямовані на покращення інституційного становища одних економічних агентів при незмінному положенні інших; </w:t>
      </w:r>
    </w:p>
    <w:p w:rsidR="00B233DE" w:rsidRPr="00FB7D6F" w:rsidRDefault="00B233DE" w:rsidP="00B233DE">
      <w:pPr>
        <w:pStyle w:val="ad"/>
        <w:numPr>
          <w:ilvl w:val="0"/>
          <w:numId w:val="12"/>
        </w:numPr>
        <w:tabs>
          <w:tab w:val="left" w:pos="851"/>
        </w:tabs>
        <w:ind w:left="0" w:firstLine="709"/>
        <w:jc w:val="both"/>
        <w:rPr>
          <w:rFonts w:ascii="Times New Roman" w:hAnsi="Times New Roman" w:cs="Times New Roman"/>
          <w:color w:val="000000"/>
          <w:sz w:val="21"/>
          <w:szCs w:val="21"/>
        </w:rPr>
      </w:pPr>
      <w:r w:rsidRPr="00FB7D6F">
        <w:rPr>
          <w:rFonts w:ascii="Times New Roman" w:hAnsi="Times New Roman" w:cs="Times New Roman"/>
          <w:color w:val="000000"/>
          <w:sz w:val="21"/>
          <w:szCs w:val="21"/>
        </w:rPr>
        <w:t xml:space="preserve">комбіновані, які припускають багатоплановий вибір альтернатив і враховують конкретні механізми вибору в залежності від перебування соціально-економічної системи на стійкому чи нестійкому етапі розвитку. </w:t>
      </w:r>
    </w:p>
    <w:p w:rsidR="00B233DE" w:rsidRPr="003E6E9C" w:rsidRDefault="00B233DE" w:rsidP="00B233DE">
      <w:pPr>
        <w:ind w:firstLine="709"/>
        <w:jc w:val="both"/>
        <w:rPr>
          <w:rFonts w:ascii="Times New Roman" w:hAnsi="Times New Roman" w:cs="Times New Roman"/>
          <w:color w:val="000000"/>
          <w:spacing w:val="30"/>
          <w:sz w:val="21"/>
          <w:szCs w:val="21"/>
        </w:rPr>
      </w:pPr>
      <w:r w:rsidRPr="003E6E9C">
        <w:rPr>
          <w:rFonts w:ascii="Times New Roman" w:hAnsi="Times New Roman" w:cs="Times New Roman"/>
          <w:color w:val="000000"/>
          <w:sz w:val="21"/>
          <w:szCs w:val="21"/>
        </w:rPr>
        <w:t>Вибір конкретного напряму проведення інституційних змін визначається інтенсивністю взаємодій між організаціями, індивідами і державою, характером і силою флуктуацій (збурень), які виходять із зовнішнього або внутрішнього середовища, мотивацією економічних суб’єктів, рівнем їх інформованості про наявні альтернативи в проведенні інституціональних реформ, а також величиною отримуваних поз</w:t>
      </w:r>
      <w:r>
        <w:rPr>
          <w:rFonts w:ascii="Times New Roman" w:hAnsi="Times New Roman" w:cs="Times New Roman"/>
          <w:color w:val="000000"/>
          <w:sz w:val="21"/>
          <w:szCs w:val="21"/>
        </w:rPr>
        <w:t>итивних синергетичних ефектів</w:t>
      </w:r>
      <w:r w:rsidRPr="003E6E9C">
        <w:rPr>
          <w:rFonts w:ascii="Times New Roman" w:hAnsi="Times New Roman" w:cs="Times New Roman"/>
          <w:color w:val="000000"/>
          <w:sz w:val="21"/>
          <w:szCs w:val="21"/>
        </w:rPr>
        <w:t>.</w:t>
      </w:r>
    </w:p>
    <w:p w:rsidR="00B233DE" w:rsidRDefault="00B233DE" w:rsidP="00B233DE">
      <w:pPr>
        <w:ind w:firstLine="709"/>
        <w:jc w:val="both"/>
        <w:rPr>
          <w:rFonts w:ascii="Times New Roman" w:hAnsi="Times New Roman" w:cs="Times New Roman"/>
          <w:sz w:val="21"/>
          <w:szCs w:val="21"/>
        </w:rPr>
      </w:pPr>
      <w:r w:rsidRPr="003E6E9C">
        <w:rPr>
          <w:rFonts w:ascii="Times New Roman" w:hAnsi="Times New Roman" w:cs="Times New Roman"/>
          <w:sz w:val="21"/>
          <w:szCs w:val="21"/>
        </w:rPr>
        <w:t xml:space="preserve">В сучасній Україні, яка прагне інтеграції у світовий простір, спостерігається </w:t>
      </w:r>
      <w:r w:rsidRPr="003E6E9C">
        <w:rPr>
          <w:rStyle w:val="apple-converted-space"/>
          <w:rFonts w:ascii="Times New Roman" w:hAnsi="Times New Roman" w:cs="Times New Roman"/>
          <w:color w:val="000000"/>
          <w:sz w:val="21"/>
          <w:szCs w:val="21"/>
        </w:rPr>
        <w:t>конфліктна ситуація між діючими та бажаними «правилами гри», що й</w:t>
      </w:r>
      <w:r w:rsidRPr="003E6E9C">
        <w:rPr>
          <w:rStyle w:val="apple-converted-space"/>
          <w:rFonts w:ascii="Times New Roman" w:hAnsi="Times New Roman" w:cs="Times New Roman"/>
          <w:i/>
          <w:color w:val="000000"/>
          <w:sz w:val="21"/>
          <w:szCs w:val="21"/>
        </w:rPr>
        <w:t xml:space="preserve"> </w:t>
      </w:r>
      <w:r w:rsidRPr="003E6E9C">
        <w:rPr>
          <w:rStyle w:val="apple-converted-space"/>
          <w:rFonts w:ascii="Times New Roman" w:hAnsi="Times New Roman" w:cs="Times New Roman"/>
          <w:color w:val="000000"/>
          <w:sz w:val="21"/>
          <w:szCs w:val="21"/>
        </w:rPr>
        <w:t xml:space="preserve">провокує основні чинники інституційних змін. Найбільш типові </w:t>
      </w:r>
      <w:r w:rsidRPr="003E6E9C">
        <w:rPr>
          <w:rFonts w:ascii="Times New Roman" w:hAnsi="Times New Roman" w:cs="Times New Roman"/>
          <w:sz w:val="21"/>
          <w:szCs w:val="21"/>
        </w:rPr>
        <w:t>інституціональні перетво</w:t>
      </w:r>
      <w:r>
        <w:rPr>
          <w:rFonts w:ascii="Times New Roman" w:hAnsi="Times New Roman" w:cs="Times New Roman"/>
          <w:sz w:val="21"/>
          <w:szCs w:val="21"/>
        </w:rPr>
        <w:t>-</w:t>
      </w:r>
      <w:r w:rsidRPr="003E6E9C">
        <w:rPr>
          <w:rFonts w:ascii="Times New Roman" w:hAnsi="Times New Roman" w:cs="Times New Roman"/>
          <w:sz w:val="21"/>
          <w:szCs w:val="21"/>
        </w:rPr>
        <w:t>рення у формуванні</w:t>
      </w:r>
      <w:r w:rsidRPr="003E6E9C">
        <w:rPr>
          <w:rFonts w:ascii="Times New Roman" w:hAnsi="Times New Roman" w:cs="Times New Roman"/>
          <w:b/>
          <w:sz w:val="21"/>
          <w:szCs w:val="21"/>
        </w:rPr>
        <w:t xml:space="preserve"> </w:t>
      </w:r>
      <w:r w:rsidRPr="003E6E9C">
        <w:rPr>
          <w:rFonts w:ascii="Times New Roman" w:hAnsi="Times New Roman" w:cs="Times New Roman"/>
          <w:sz w:val="21"/>
          <w:szCs w:val="21"/>
        </w:rPr>
        <w:t>національного</w:t>
      </w:r>
      <w:r w:rsidRPr="003E6E9C">
        <w:rPr>
          <w:rFonts w:ascii="Times New Roman" w:hAnsi="Times New Roman" w:cs="Times New Roman"/>
          <w:b/>
          <w:sz w:val="21"/>
          <w:szCs w:val="21"/>
        </w:rPr>
        <w:t xml:space="preserve"> </w:t>
      </w:r>
      <w:r w:rsidRPr="003E6E9C">
        <w:rPr>
          <w:rFonts w:ascii="Times New Roman" w:hAnsi="Times New Roman" w:cs="Times New Roman"/>
          <w:sz w:val="21"/>
          <w:szCs w:val="21"/>
        </w:rPr>
        <w:t xml:space="preserve">ринку праці наведені </w:t>
      </w:r>
      <w:r>
        <w:rPr>
          <w:rFonts w:ascii="Times New Roman" w:hAnsi="Times New Roman" w:cs="Times New Roman"/>
          <w:sz w:val="21"/>
          <w:szCs w:val="21"/>
        </w:rPr>
        <w:t>на</w:t>
      </w:r>
      <w:r w:rsidRPr="003E6E9C">
        <w:rPr>
          <w:rFonts w:ascii="Times New Roman" w:hAnsi="Times New Roman" w:cs="Times New Roman"/>
          <w:sz w:val="21"/>
          <w:szCs w:val="21"/>
        </w:rPr>
        <w:t xml:space="preserve"> рис. </w:t>
      </w:r>
      <w:r>
        <w:rPr>
          <w:rFonts w:ascii="Times New Roman" w:hAnsi="Times New Roman" w:cs="Times New Roman"/>
          <w:sz w:val="21"/>
          <w:szCs w:val="21"/>
        </w:rPr>
        <w:t xml:space="preserve">3.4, де </w:t>
      </w:r>
      <w:r w:rsidRPr="00804B83">
        <w:rPr>
          <w:rFonts w:ascii="Times New Roman" w:eastAsia="TimesNewRoman" w:hAnsi="Times New Roman" w:cs="Times New Roman"/>
          <w:sz w:val="21"/>
          <w:szCs w:val="21"/>
        </w:rPr>
        <w:t>а</w:t>
      </w:r>
      <w:r w:rsidRPr="00804B83">
        <w:rPr>
          <w:rFonts w:ascii="Times New Roman" w:hAnsi="Times New Roman" w:cs="Times New Roman"/>
          <w:sz w:val="21"/>
          <w:szCs w:val="21"/>
        </w:rPr>
        <w:t>втором акцентовано увагу на трансформації інституту зайнятості в Україні, в результаті чого</w:t>
      </w:r>
      <w:r w:rsidRPr="00804B83">
        <w:rPr>
          <w:rFonts w:ascii="Times New Roman" w:eastAsia="TimesNewRoman" w:hAnsi="Times New Roman" w:cs="Times New Roman"/>
          <w:sz w:val="21"/>
          <w:szCs w:val="21"/>
        </w:rPr>
        <w:t xml:space="preserve"> суб’єкти національного ринку праці зберігають елементи, властиві як перехідній, так і ринковій економічній системі. </w:t>
      </w:r>
      <w:r w:rsidRPr="00804B83">
        <w:rPr>
          <w:rFonts w:ascii="Times New Roman" w:hAnsi="Times New Roman" w:cs="Times New Roman"/>
          <w:sz w:val="21"/>
          <w:szCs w:val="21"/>
        </w:rPr>
        <w:t>Інституціональні перетворення, що відбуваються у формуванні</w:t>
      </w:r>
      <w:r w:rsidRPr="00804B83">
        <w:rPr>
          <w:rFonts w:ascii="Times New Roman" w:hAnsi="Times New Roman" w:cs="Times New Roman"/>
          <w:b/>
          <w:sz w:val="21"/>
          <w:szCs w:val="21"/>
        </w:rPr>
        <w:t xml:space="preserve"> </w:t>
      </w:r>
      <w:r w:rsidRPr="00804B83">
        <w:rPr>
          <w:rFonts w:ascii="Times New Roman" w:hAnsi="Times New Roman" w:cs="Times New Roman"/>
          <w:sz w:val="21"/>
          <w:szCs w:val="21"/>
        </w:rPr>
        <w:t>ринку праці України, активізували вирішення нагальних проблем соціуму.</w:t>
      </w: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0"/>
        <w:jc w:val="both"/>
        <w:rPr>
          <w:rFonts w:ascii="Times New Roman" w:hAnsi="Times New Roman" w:cs="Times New Roman"/>
          <w:sz w:val="21"/>
          <w:szCs w:val="21"/>
        </w:rPr>
      </w:pPr>
      <w:r>
        <w:rPr>
          <w:noProof/>
          <w:sz w:val="28"/>
          <w:szCs w:val="28"/>
          <w:lang w:val="ru-RU" w:eastAsia="ru-RU"/>
        </w:rPr>
        <w:lastRenderedPageBreak/>
        <mc:AlternateContent>
          <mc:Choice Requires="wpc">
            <w:drawing>
              <wp:inline distT="0" distB="0" distL="0" distR="0" wp14:anchorId="71B6C71B" wp14:editId="0C013A8B">
                <wp:extent cx="3830320" cy="5670550"/>
                <wp:effectExtent l="0" t="0" r="17780" b="25400"/>
                <wp:docPr id="295" name="Полотно 29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w="9525" cap="flat" cmpd="sng" algn="ctr">
                          <a:solidFill>
                            <a:srgbClr val="FFFFFF"/>
                          </a:solidFill>
                          <a:prstDash val="lgDash"/>
                          <a:miter lim="800000"/>
                          <a:headEnd type="none" w="med" len="med"/>
                          <a:tailEnd type="none" w="med" len="med"/>
                        </a:ln>
                      </wpc:whole>
                      <wps:wsp>
                        <wps:cNvPr id="240" name="Rectangle 124"/>
                        <wps:cNvSpPr>
                          <a:spLocks noChangeArrowheads="1"/>
                        </wps:cNvSpPr>
                        <wps:spPr bwMode="auto">
                          <a:xfrm>
                            <a:off x="1927402" y="4483100"/>
                            <a:ext cx="1885836" cy="1187450"/>
                          </a:xfrm>
                          <a:prstGeom prst="rect">
                            <a:avLst/>
                          </a:prstGeom>
                          <a:solidFill>
                            <a:srgbClr val="FFFFFF"/>
                          </a:solidFill>
                          <a:ln w="9525">
                            <a:solidFill>
                              <a:srgbClr val="000000"/>
                            </a:solidFill>
                            <a:miter lim="800000"/>
                            <a:headEnd/>
                            <a:tailEnd/>
                          </a:ln>
                        </wps:spPr>
                        <wps:txbx>
                          <w:txbxContent>
                            <w:p w:rsidR="00BE40F8" w:rsidRPr="00B5443B" w:rsidRDefault="00BE40F8" w:rsidP="00B233DE">
                              <w:pPr>
                                <w:ind w:firstLine="0"/>
                                <w:jc w:val="center"/>
                                <w:rPr>
                                  <w:rFonts w:ascii="Times New Roman" w:hAnsi="Times New Roman" w:cs="Times New Roman"/>
                                  <w:sz w:val="14"/>
                                  <w:szCs w:val="14"/>
                                </w:rPr>
                              </w:pPr>
                              <w:r w:rsidRPr="00B5443B">
                                <w:rPr>
                                  <w:rFonts w:ascii="Times New Roman" w:hAnsi="Times New Roman" w:cs="Times New Roman"/>
                                  <w:sz w:val="14"/>
                                  <w:szCs w:val="14"/>
                                </w:rPr>
                                <w:t xml:space="preserve">Зародження національного віртуального ринку </w:t>
                              </w:r>
                            </w:p>
                            <w:p w:rsidR="00BE40F8" w:rsidRPr="00B5443B" w:rsidRDefault="00BE40F8" w:rsidP="00B233DE">
                              <w:pPr>
                                <w:ind w:firstLine="0"/>
                                <w:jc w:val="center"/>
                                <w:rPr>
                                  <w:rFonts w:ascii="Times New Roman" w:hAnsi="Times New Roman" w:cs="Times New Roman"/>
                                  <w:sz w:val="14"/>
                                  <w:szCs w:val="14"/>
                                </w:rPr>
                              </w:pPr>
                              <w:r>
                                <w:rPr>
                                  <w:rFonts w:ascii="Times New Roman" w:hAnsi="Times New Roman" w:cs="Times New Roman"/>
                                  <w:sz w:val="14"/>
                                  <w:szCs w:val="14"/>
                                </w:rPr>
                                <w:t xml:space="preserve">праці </w:t>
                              </w:r>
                              <w:r w:rsidRPr="00B5443B">
                                <w:rPr>
                                  <w:rFonts w:ascii="Times New Roman" w:hAnsi="Times New Roman" w:cs="Times New Roman"/>
                                  <w:sz w:val="14"/>
                                  <w:szCs w:val="14"/>
                                </w:rPr>
                                <w:t xml:space="preserve">(ВРП) та його інфраструктури: </w:t>
                              </w:r>
                            </w:p>
                            <w:p w:rsidR="00BE40F8" w:rsidRPr="00B5443B" w:rsidRDefault="00BE40F8" w:rsidP="00B233DE">
                              <w:pPr>
                                <w:ind w:firstLine="0"/>
                                <w:jc w:val="both"/>
                                <w:rPr>
                                  <w:rFonts w:ascii="Times New Roman" w:hAnsi="Times New Roman" w:cs="Times New Roman"/>
                                  <w:sz w:val="14"/>
                                  <w:szCs w:val="14"/>
                                </w:rPr>
                              </w:pPr>
                              <w:r w:rsidRPr="00B5443B">
                                <w:rPr>
                                  <w:rFonts w:ascii="Times New Roman" w:hAnsi="Times New Roman" w:cs="Times New Roman"/>
                                  <w:sz w:val="14"/>
                                  <w:szCs w:val="14"/>
                                </w:rPr>
                                <w:t xml:space="preserve">а) мережеві інформаційні інститути ринку праці, </w:t>
                              </w:r>
                              <w:r w:rsidRPr="00054284">
                                <w:rPr>
                                  <w:rFonts w:ascii="Times New Roman" w:hAnsi="Times New Roman" w:cs="Times New Roman"/>
                                  <w:spacing w:val="-8"/>
                                  <w:sz w:val="14"/>
                                  <w:szCs w:val="14"/>
                                </w:rPr>
                                <w:t>які зв’язані між собою пошуковими серверами (біржі</w:t>
                              </w:r>
                              <w:r w:rsidRPr="00B5443B">
                                <w:rPr>
                                  <w:rFonts w:ascii="Times New Roman" w:hAnsi="Times New Roman" w:cs="Times New Roman"/>
                                  <w:sz w:val="14"/>
                                  <w:szCs w:val="14"/>
                                </w:rPr>
                                <w:t xml:space="preserve"> </w:t>
                              </w:r>
                              <w:r w:rsidRPr="00054284">
                                <w:rPr>
                                  <w:rFonts w:ascii="Times New Roman" w:hAnsi="Times New Roman" w:cs="Times New Roman"/>
                                  <w:spacing w:val="-4"/>
                                  <w:sz w:val="14"/>
                                  <w:szCs w:val="14"/>
                                </w:rPr>
                                <w:t>праці для ІТ-фахівці, ресурси для студентів та ви-</w:t>
                              </w:r>
                              <w:r>
                                <w:rPr>
                                  <w:rFonts w:ascii="Times New Roman" w:hAnsi="Times New Roman" w:cs="Times New Roman"/>
                                  <w:sz w:val="14"/>
                                  <w:szCs w:val="14"/>
                                </w:rPr>
                                <w:t xml:space="preserve">пускників, </w:t>
                              </w:r>
                              <w:r w:rsidRPr="00B5443B">
                                <w:rPr>
                                  <w:rFonts w:ascii="Times New Roman" w:hAnsi="Times New Roman" w:cs="Times New Roman"/>
                                  <w:sz w:val="14"/>
                                  <w:szCs w:val="14"/>
                                </w:rPr>
                                <w:t>соціальн</w:t>
                              </w:r>
                              <w:r>
                                <w:rPr>
                                  <w:rFonts w:ascii="Times New Roman" w:hAnsi="Times New Roman" w:cs="Times New Roman"/>
                                  <w:sz w:val="14"/>
                                  <w:szCs w:val="14"/>
                                </w:rPr>
                                <w:t>і</w:t>
                              </w:r>
                              <w:r w:rsidRPr="00B5443B">
                                <w:rPr>
                                  <w:rFonts w:ascii="Times New Roman" w:hAnsi="Times New Roman" w:cs="Times New Roman"/>
                                  <w:sz w:val="14"/>
                                  <w:szCs w:val="14"/>
                                </w:rPr>
                                <w:t xml:space="preserve"> мереж</w:t>
                              </w:r>
                              <w:r>
                                <w:rPr>
                                  <w:rFonts w:ascii="Times New Roman" w:hAnsi="Times New Roman" w:cs="Times New Roman"/>
                                  <w:sz w:val="14"/>
                                  <w:szCs w:val="14"/>
                                </w:rPr>
                                <w:t>і);</w:t>
                              </w:r>
                            </w:p>
                            <w:p w:rsidR="00BE40F8" w:rsidRPr="00B5443B" w:rsidRDefault="00BE40F8" w:rsidP="00B233DE">
                              <w:pPr>
                                <w:ind w:firstLine="0"/>
                                <w:jc w:val="both"/>
                                <w:rPr>
                                  <w:rFonts w:ascii="Times New Roman" w:hAnsi="Times New Roman" w:cs="Times New Roman"/>
                                  <w:sz w:val="14"/>
                                  <w:szCs w:val="14"/>
                                </w:rPr>
                              </w:pPr>
                              <w:r w:rsidRPr="00B5443B">
                                <w:rPr>
                                  <w:rFonts w:ascii="Times New Roman" w:hAnsi="Times New Roman" w:cs="Times New Roman"/>
                                  <w:sz w:val="14"/>
                                  <w:szCs w:val="14"/>
                                </w:rPr>
                                <w:t xml:space="preserve">б) мережеві консультаційні </w:t>
                              </w:r>
                              <w:r>
                                <w:rPr>
                                  <w:rFonts w:ascii="Times New Roman" w:hAnsi="Times New Roman" w:cs="Times New Roman"/>
                                  <w:sz w:val="14"/>
                                  <w:szCs w:val="14"/>
                                </w:rPr>
                                <w:t>/ освітні інститути ринку праці;</w:t>
                              </w:r>
                            </w:p>
                            <w:p w:rsidR="00BE40F8" w:rsidRPr="00B5443B" w:rsidRDefault="00BE40F8" w:rsidP="00B233DE">
                              <w:pPr>
                                <w:ind w:firstLine="0"/>
                                <w:jc w:val="both"/>
                                <w:rPr>
                                  <w:rFonts w:ascii="Times New Roman" w:hAnsi="Times New Roman" w:cs="Times New Roman"/>
                                  <w:sz w:val="14"/>
                                  <w:szCs w:val="14"/>
                                </w:rPr>
                              </w:pPr>
                              <w:r w:rsidRPr="00B5443B">
                                <w:rPr>
                                  <w:rFonts w:ascii="Times New Roman" w:hAnsi="Times New Roman" w:cs="Times New Roman"/>
                                  <w:sz w:val="14"/>
                                  <w:szCs w:val="14"/>
                                </w:rPr>
                                <w:t>в) мережеві формальні інститут</w:t>
                              </w:r>
                              <w:r>
                                <w:rPr>
                                  <w:rFonts w:ascii="Times New Roman" w:hAnsi="Times New Roman" w:cs="Times New Roman"/>
                                  <w:sz w:val="14"/>
                                  <w:szCs w:val="14"/>
                                </w:rPr>
                                <w:t>и ринку праці</w:t>
                              </w:r>
                              <w:r w:rsidRPr="00B5443B">
                                <w:rPr>
                                  <w:rFonts w:ascii="Times New Roman" w:hAnsi="Times New Roman" w:cs="Times New Roman"/>
                                  <w:sz w:val="14"/>
                                  <w:szCs w:val="14"/>
                                </w:rPr>
                                <w:t>;</w:t>
                              </w:r>
                            </w:p>
                            <w:p w:rsidR="00BE40F8" w:rsidRPr="00B5443B" w:rsidRDefault="00BE40F8" w:rsidP="00B233DE">
                              <w:pPr>
                                <w:ind w:firstLine="0"/>
                                <w:jc w:val="both"/>
                                <w:rPr>
                                  <w:rFonts w:ascii="Times New Roman" w:hAnsi="Times New Roman" w:cs="Times New Roman"/>
                                  <w:sz w:val="14"/>
                                  <w:szCs w:val="14"/>
                                </w:rPr>
                              </w:pPr>
                              <w:r w:rsidRPr="00B5443B">
                                <w:rPr>
                                  <w:rFonts w:ascii="Times New Roman" w:hAnsi="Times New Roman" w:cs="Times New Roman"/>
                                  <w:sz w:val="14"/>
                                  <w:szCs w:val="14"/>
                                </w:rPr>
                                <w:t>г) мережеві неф</w:t>
                              </w:r>
                              <w:r>
                                <w:rPr>
                                  <w:rFonts w:ascii="Times New Roman" w:hAnsi="Times New Roman" w:cs="Times New Roman"/>
                                  <w:sz w:val="14"/>
                                  <w:szCs w:val="14"/>
                                </w:rPr>
                                <w:t>ормальні інститути ринку праці</w:t>
                              </w:r>
                            </w:p>
                          </w:txbxContent>
                        </wps:txbx>
                        <wps:bodyPr rot="0" vert="horz" wrap="square" lIns="0" tIns="0" rIns="0" bIns="0" anchor="t" anchorCtr="0" upright="1">
                          <a:noAutofit/>
                        </wps:bodyPr>
                      </wps:wsp>
                      <wps:wsp>
                        <wps:cNvPr id="241" name="AutoShape 125"/>
                        <wps:cNvSpPr>
                          <a:spLocks noChangeArrowheads="1"/>
                        </wps:cNvSpPr>
                        <wps:spPr bwMode="auto">
                          <a:xfrm>
                            <a:off x="1236725" y="508217"/>
                            <a:ext cx="1204766" cy="222031"/>
                          </a:xfrm>
                          <a:prstGeom prst="roundRect">
                            <a:avLst>
                              <a:gd name="adj" fmla="val 16667"/>
                            </a:avLst>
                          </a:prstGeom>
                          <a:solidFill>
                            <a:srgbClr val="FFFFFF"/>
                          </a:solidFill>
                          <a:ln w="9525">
                            <a:solidFill>
                              <a:srgbClr val="000000"/>
                            </a:solidFill>
                            <a:round/>
                            <a:headEnd/>
                            <a:tailEnd/>
                          </a:ln>
                        </wps:spPr>
                        <wps:txbx>
                          <w:txbxContent>
                            <w:p w:rsidR="00BE40F8" w:rsidRPr="001802CC" w:rsidRDefault="00BE40F8" w:rsidP="00B233DE">
                              <w:pPr>
                                <w:spacing w:line="228" w:lineRule="auto"/>
                                <w:ind w:firstLine="0"/>
                                <w:jc w:val="center"/>
                                <w:rPr>
                                  <w:rFonts w:ascii="Times New Roman" w:hAnsi="Times New Roman" w:cs="Times New Roman"/>
                                  <w:sz w:val="14"/>
                                  <w:szCs w:val="14"/>
                                </w:rPr>
                              </w:pPr>
                              <w:r w:rsidRPr="001802CC">
                                <w:rPr>
                                  <w:rFonts w:ascii="Times New Roman" w:hAnsi="Times New Roman" w:cs="Times New Roman"/>
                                  <w:sz w:val="14"/>
                                  <w:szCs w:val="14"/>
                                </w:rPr>
                                <w:t>Трансформація інституту зайнятості</w:t>
                              </w:r>
                            </w:p>
                          </w:txbxContent>
                        </wps:txbx>
                        <wps:bodyPr rot="0" vert="horz" wrap="square" lIns="0" tIns="0" rIns="0" bIns="0" anchor="t" anchorCtr="0" upright="1">
                          <a:noAutofit/>
                        </wps:bodyPr>
                      </wps:wsp>
                      <wps:wsp>
                        <wps:cNvPr id="242" name="Rectangle 126"/>
                        <wps:cNvSpPr>
                          <a:spLocks noChangeArrowheads="1"/>
                        </wps:cNvSpPr>
                        <wps:spPr bwMode="auto">
                          <a:xfrm>
                            <a:off x="2559047" y="60359"/>
                            <a:ext cx="1270003" cy="515325"/>
                          </a:xfrm>
                          <a:prstGeom prst="rect">
                            <a:avLst/>
                          </a:prstGeom>
                          <a:solidFill>
                            <a:srgbClr val="FFFFFF"/>
                          </a:solidFill>
                          <a:ln w="9525">
                            <a:solidFill>
                              <a:srgbClr val="000000"/>
                            </a:solidFill>
                            <a:miter lim="800000"/>
                            <a:headEnd/>
                            <a:tailEnd/>
                          </a:ln>
                        </wps:spPr>
                        <wps:txbx>
                          <w:txbxContent>
                            <w:p w:rsidR="00BE40F8" w:rsidRPr="00B05317" w:rsidRDefault="00BE40F8" w:rsidP="00B233DE">
                              <w:pPr>
                                <w:spacing w:line="233" w:lineRule="auto"/>
                                <w:ind w:firstLine="0"/>
                                <w:jc w:val="center"/>
                                <w:rPr>
                                  <w:rFonts w:ascii="Times New Roman" w:hAnsi="Times New Roman" w:cs="Times New Roman"/>
                                  <w:spacing w:val="-6"/>
                                  <w:sz w:val="14"/>
                                  <w:szCs w:val="14"/>
                                </w:rPr>
                              </w:pPr>
                              <w:r w:rsidRPr="00785435">
                                <w:rPr>
                                  <w:rFonts w:ascii="Times New Roman" w:hAnsi="Times New Roman" w:cs="Times New Roman"/>
                                  <w:spacing w:val="-6"/>
                                  <w:sz w:val="14"/>
                                  <w:szCs w:val="14"/>
                                </w:rPr>
                                <w:t>Зайнятість у соціально-орієн</w:t>
                              </w:r>
                              <w:r w:rsidRPr="00B05317">
                                <w:rPr>
                                  <w:rFonts w:ascii="Times New Roman" w:hAnsi="Times New Roman" w:cs="Times New Roman"/>
                                  <w:spacing w:val="-6"/>
                                  <w:sz w:val="14"/>
                                  <w:szCs w:val="14"/>
                                </w:rPr>
                                <w:t>това</w:t>
                              </w:r>
                              <w:r>
                                <w:rPr>
                                  <w:rFonts w:ascii="Times New Roman" w:hAnsi="Times New Roman" w:cs="Times New Roman"/>
                                  <w:spacing w:val="-6"/>
                                  <w:sz w:val="14"/>
                                  <w:szCs w:val="14"/>
                                </w:rPr>
                                <w:t>-</w:t>
                              </w:r>
                              <w:r w:rsidRPr="00B05317">
                                <w:rPr>
                                  <w:rFonts w:ascii="Times New Roman" w:hAnsi="Times New Roman" w:cs="Times New Roman"/>
                                  <w:spacing w:val="-6"/>
                                  <w:sz w:val="14"/>
                                  <w:szCs w:val="14"/>
                                </w:rPr>
                                <w:t>ній економіці: ефективна,</w:t>
                              </w:r>
                              <w:r w:rsidRPr="00785435">
                                <w:rPr>
                                  <w:rFonts w:ascii="Times New Roman" w:hAnsi="Times New Roman" w:cs="Times New Roman"/>
                                  <w:spacing w:val="-6"/>
                                  <w:sz w:val="14"/>
                                  <w:szCs w:val="14"/>
                                </w:rPr>
                                <w:t xml:space="preserve"> </w:t>
                              </w:r>
                              <w:r w:rsidRPr="00B05317">
                                <w:rPr>
                                  <w:rFonts w:ascii="Times New Roman" w:hAnsi="Times New Roman" w:cs="Times New Roman"/>
                                  <w:spacing w:val="-8"/>
                                  <w:sz w:val="14"/>
                                  <w:szCs w:val="14"/>
                                </w:rPr>
                                <w:t>мобільна, добровільна, регульо</w:t>
                              </w:r>
                              <w:r w:rsidRPr="00B05317">
                                <w:rPr>
                                  <w:rFonts w:ascii="Times New Roman" w:hAnsi="Times New Roman" w:cs="Times New Roman"/>
                                  <w:spacing w:val="-6"/>
                                  <w:sz w:val="14"/>
                                  <w:szCs w:val="14"/>
                                </w:rPr>
                                <w:t>вана державою, відповідна систе</w:t>
                              </w:r>
                              <w:r w:rsidRPr="00B05317">
                                <w:rPr>
                                  <w:rFonts w:ascii="Times New Roman" w:hAnsi="Times New Roman" w:cs="Times New Roman"/>
                                  <w:spacing w:val="-8"/>
                                  <w:sz w:val="14"/>
                                  <w:szCs w:val="14"/>
                                </w:rPr>
                                <w:t>ма найму, специфіка умов і</w:t>
                              </w:r>
                              <w:r w:rsidRPr="00B05317">
                                <w:rPr>
                                  <w:rFonts w:ascii="Times New Roman" w:hAnsi="Times New Roman" w:cs="Times New Roman"/>
                                  <w:spacing w:val="-6"/>
                                  <w:sz w:val="14"/>
                                  <w:szCs w:val="14"/>
                                </w:rPr>
                                <w:t xml:space="preserve"> оплати праці</w:t>
                              </w:r>
                            </w:p>
                          </w:txbxContent>
                        </wps:txbx>
                        <wps:bodyPr rot="0" vert="horz" wrap="square" lIns="0" tIns="0" rIns="0" bIns="0" anchor="t" anchorCtr="0" upright="1">
                          <a:noAutofit/>
                        </wps:bodyPr>
                      </wps:wsp>
                      <wps:wsp>
                        <wps:cNvPr id="243" name="Line 127"/>
                        <wps:cNvCnPr/>
                        <wps:spPr bwMode="auto">
                          <a:xfrm flipV="1">
                            <a:off x="1113167" y="220936"/>
                            <a:ext cx="105338" cy="569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4" name="Line 128"/>
                        <wps:cNvCnPr/>
                        <wps:spPr bwMode="auto">
                          <a:xfrm flipV="1">
                            <a:off x="2454847" y="220935"/>
                            <a:ext cx="104200"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6" name="Rectangle 130"/>
                        <wps:cNvSpPr>
                          <a:spLocks noChangeArrowheads="1"/>
                        </wps:cNvSpPr>
                        <wps:spPr bwMode="auto">
                          <a:xfrm>
                            <a:off x="130391" y="22207"/>
                            <a:ext cx="978790" cy="549492"/>
                          </a:xfrm>
                          <a:prstGeom prst="rect">
                            <a:avLst/>
                          </a:prstGeom>
                          <a:solidFill>
                            <a:srgbClr val="FFFFFF"/>
                          </a:solidFill>
                          <a:ln w="9525">
                            <a:solidFill>
                              <a:srgbClr val="000000"/>
                            </a:solidFill>
                            <a:miter lim="800000"/>
                            <a:headEnd/>
                            <a:tailEnd/>
                          </a:ln>
                        </wps:spPr>
                        <wps:txbx>
                          <w:txbxContent>
                            <w:p w:rsidR="00BE40F8" w:rsidRPr="00785435" w:rsidRDefault="00BE40F8" w:rsidP="00B233DE">
                              <w:pPr>
                                <w:spacing w:line="233" w:lineRule="auto"/>
                                <w:ind w:firstLine="0"/>
                                <w:jc w:val="center"/>
                                <w:rPr>
                                  <w:rFonts w:ascii="Times New Roman" w:hAnsi="Times New Roman" w:cs="Times New Roman"/>
                                  <w:sz w:val="14"/>
                                  <w:szCs w:val="14"/>
                                </w:rPr>
                              </w:pPr>
                              <w:r w:rsidRPr="00785435">
                                <w:rPr>
                                  <w:rFonts w:ascii="Times New Roman" w:hAnsi="Times New Roman" w:cs="Times New Roman"/>
                                  <w:sz w:val="14"/>
                                  <w:szCs w:val="14"/>
                                </w:rPr>
                                <w:t>Зайнятість у командно-адміністративній еконо</w:t>
                              </w:r>
                              <w:r w:rsidRPr="00785435">
                                <w:rPr>
                                  <w:rFonts w:ascii="Times New Roman" w:hAnsi="Times New Roman" w:cs="Times New Roman"/>
                                  <w:sz w:val="14"/>
                                  <w:szCs w:val="14"/>
                                  <w:lang w:val="ru-RU"/>
                                </w:rPr>
                                <w:t>-</w:t>
                              </w:r>
                              <w:r w:rsidRPr="00785435">
                                <w:rPr>
                                  <w:rFonts w:ascii="Times New Roman" w:hAnsi="Times New Roman" w:cs="Times New Roman"/>
                                  <w:sz w:val="14"/>
                                  <w:szCs w:val="14"/>
                                </w:rPr>
                                <w:t>міці:</w:t>
                              </w:r>
                              <w:r w:rsidRPr="00785435">
                                <w:rPr>
                                  <w:rFonts w:ascii="Times New Roman" w:hAnsi="Times New Roman" w:cs="Times New Roman"/>
                                  <w:sz w:val="14"/>
                                  <w:szCs w:val="14"/>
                                  <w:lang w:val="ru-RU"/>
                                </w:rPr>
                                <w:t xml:space="preserve"> </w:t>
                              </w:r>
                              <w:r w:rsidRPr="00785435">
                                <w:rPr>
                                  <w:rFonts w:ascii="Times New Roman" w:hAnsi="Times New Roman" w:cs="Times New Roman"/>
                                  <w:sz w:val="14"/>
                                  <w:szCs w:val="14"/>
                                </w:rPr>
                                <w:t>неефективна, не</w:t>
                              </w:r>
                              <w:r w:rsidRPr="00785435">
                                <w:rPr>
                                  <w:rFonts w:ascii="Times New Roman" w:hAnsi="Times New Roman" w:cs="Times New Roman"/>
                                  <w:sz w:val="14"/>
                                  <w:szCs w:val="14"/>
                                  <w:lang w:val="ru-RU"/>
                                </w:rPr>
                                <w:t>-</w:t>
                              </w:r>
                              <w:r w:rsidRPr="00785435">
                                <w:rPr>
                                  <w:rFonts w:ascii="Times New Roman" w:hAnsi="Times New Roman" w:cs="Times New Roman"/>
                                  <w:spacing w:val="-4"/>
                                  <w:sz w:val="14"/>
                                  <w:szCs w:val="14"/>
                                </w:rPr>
                                <w:t>мобільна, гарантована, за-</w:t>
                              </w:r>
                              <w:r w:rsidRPr="00785435">
                                <w:rPr>
                                  <w:rFonts w:ascii="Times New Roman" w:hAnsi="Times New Roman" w:cs="Times New Roman"/>
                                  <w:spacing w:val="-8"/>
                                  <w:sz w:val="14"/>
                                  <w:szCs w:val="14"/>
                                </w:rPr>
                                <w:t>гальна, рутинна, примусова</w:t>
                              </w:r>
                              <w:r w:rsidRPr="00785435">
                                <w:rPr>
                                  <w:rFonts w:ascii="Times New Roman" w:hAnsi="Times New Roman" w:cs="Times New Roman"/>
                                  <w:sz w:val="14"/>
                                  <w:szCs w:val="14"/>
                                </w:rPr>
                                <w:t xml:space="preserve"> </w:t>
                              </w:r>
                            </w:p>
                          </w:txbxContent>
                        </wps:txbx>
                        <wps:bodyPr rot="0" vert="horz" wrap="square" lIns="0" tIns="0" rIns="0" bIns="0" anchor="t" anchorCtr="0" upright="1">
                          <a:noAutofit/>
                        </wps:bodyPr>
                      </wps:wsp>
                      <wps:wsp>
                        <wps:cNvPr id="247" name="Rectangle 131"/>
                        <wps:cNvSpPr>
                          <a:spLocks noChangeArrowheads="1"/>
                        </wps:cNvSpPr>
                        <wps:spPr bwMode="auto">
                          <a:xfrm>
                            <a:off x="1209321" y="56373"/>
                            <a:ext cx="1232171" cy="416816"/>
                          </a:xfrm>
                          <a:prstGeom prst="rect">
                            <a:avLst/>
                          </a:prstGeom>
                          <a:solidFill>
                            <a:srgbClr val="FFFFFF"/>
                          </a:solidFill>
                          <a:ln w="9525">
                            <a:solidFill>
                              <a:srgbClr val="000000"/>
                            </a:solidFill>
                            <a:miter lim="800000"/>
                            <a:headEnd/>
                            <a:tailEnd/>
                          </a:ln>
                        </wps:spPr>
                        <wps:txbx>
                          <w:txbxContent>
                            <w:p w:rsidR="00BE40F8" w:rsidRPr="00785435" w:rsidRDefault="00BE40F8" w:rsidP="00B233DE">
                              <w:pPr>
                                <w:spacing w:line="233" w:lineRule="auto"/>
                                <w:ind w:firstLine="0"/>
                                <w:jc w:val="center"/>
                                <w:rPr>
                                  <w:rFonts w:ascii="Times New Roman" w:hAnsi="Times New Roman" w:cs="Times New Roman"/>
                                  <w:sz w:val="14"/>
                                  <w:szCs w:val="14"/>
                                </w:rPr>
                              </w:pPr>
                              <w:r w:rsidRPr="00785435">
                                <w:rPr>
                                  <w:rFonts w:ascii="Times New Roman" w:hAnsi="Times New Roman" w:cs="Times New Roman"/>
                                  <w:spacing w:val="-6"/>
                                  <w:sz w:val="14"/>
                                  <w:szCs w:val="14"/>
                                </w:rPr>
                                <w:t>Зайнятість у перехідній економіці:</w:t>
                              </w:r>
                              <w:r w:rsidRPr="00785435">
                                <w:rPr>
                                  <w:rFonts w:ascii="Times New Roman" w:hAnsi="Times New Roman" w:cs="Times New Roman"/>
                                  <w:sz w:val="14"/>
                                  <w:szCs w:val="14"/>
                                </w:rPr>
                                <w:t xml:space="preserve"> </w:t>
                              </w:r>
                              <w:r w:rsidRPr="00785435">
                                <w:rPr>
                                  <w:rFonts w:ascii="Times New Roman" w:hAnsi="Times New Roman" w:cs="Times New Roman"/>
                                  <w:spacing w:val="-8"/>
                                  <w:sz w:val="14"/>
                                  <w:szCs w:val="14"/>
                                </w:rPr>
                                <w:t>неефективна, нераціональна, непов-на, негарантована, економічно вимушена, низька мобільність</w:t>
                              </w:r>
                              <w:r w:rsidRPr="00785435">
                                <w:rPr>
                                  <w:rFonts w:ascii="Times New Roman" w:hAnsi="Times New Roman" w:cs="Times New Roman"/>
                                  <w:sz w:val="14"/>
                                  <w:szCs w:val="14"/>
                                </w:rPr>
                                <w:t xml:space="preserve"> робочої сили, </w:t>
                              </w:r>
                            </w:p>
                            <w:p w:rsidR="00BE40F8" w:rsidRPr="00785435" w:rsidRDefault="00BE40F8" w:rsidP="00B233DE">
                              <w:pPr>
                                <w:ind w:firstLine="0"/>
                                <w:jc w:val="center"/>
                                <w:rPr>
                                  <w:sz w:val="14"/>
                                  <w:szCs w:val="14"/>
                                </w:rPr>
                              </w:pPr>
                              <w:r w:rsidRPr="00785435">
                                <w:rPr>
                                  <w:rFonts w:ascii="Times New Roman" w:hAnsi="Times New Roman" w:cs="Times New Roman"/>
                                  <w:sz w:val="14"/>
                                  <w:szCs w:val="14"/>
                                </w:rPr>
                                <w:t xml:space="preserve">державний розподіл кадрів вищої кваліфікації тощо </w:t>
                              </w:r>
                            </w:p>
                          </w:txbxContent>
                        </wps:txbx>
                        <wps:bodyPr rot="0" vert="horz" wrap="square" lIns="0" tIns="0" rIns="0" bIns="0" anchor="t" anchorCtr="0" upright="1">
                          <a:noAutofit/>
                        </wps:bodyPr>
                      </wps:wsp>
                      <wps:wsp>
                        <wps:cNvPr id="251" name="Rectangle 135"/>
                        <wps:cNvSpPr>
                          <a:spLocks noChangeArrowheads="1"/>
                        </wps:cNvSpPr>
                        <wps:spPr bwMode="auto">
                          <a:xfrm>
                            <a:off x="1250391" y="770630"/>
                            <a:ext cx="1124106" cy="784388"/>
                          </a:xfrm>
                          <a:prstGeom prst="rect">
                            <a:avLst/>
                          </a:prstGeom>
                          <a:solidFill>
                            <a:srgbClr val="FFFFFF"/>
                          </a:solidFill>
                          <a:ln w="9525">
                            <a:solidFill>
                              <a:srgbClr val="000000"/>
                            </a:solidFill>
                            <a:miter lim="800000"/>
                            <a:headEnd/>
                            <a:tailEnd/>
                          </a:ln>
                        </wps:spPr>
                        <wps:txbx>
                          <w:txbxContent>
                            <w:p w:rsidR="00BE40F8" w:rsidRPr="00BE6E15" w:rsidRDefault="00BE40F8" w:rsidP="00B233DE">
                              <w:pPr>
                                <w:spacing w:line="230" w:lineRule="auto"/>
                                <w:ind w:firstLine="0"/>
                                <w:jc w:val="center"/>
                                <w:rPr>
                                  <w:rFonts w:ascii="Times New Roman" w:hAnsi="Times New Roman" w:cs="Times New Roman"/>
                                  <w:sz w:val="14"/>
                                  <w:szCs w:val="14"/>
                                </w:rPr>
                              </w:pPr>
                              <w:r>
                                <w:rPr>
                                  <w:rFonts w:ascii="Times New Roman" w:hAnsi="Times New Roman" w:cs="Times New Roman"/>
                                  <w:sz w:val="14"/>
                                  <w:szCs w:val="14"/>
                                </w:rPr>
                                <w:t>Диверсифікація видів,</w:t>
                              </w:r>
                              <w:r w:rsidRPr="00BE6E15">
                                <w:rPr>
                                  <w:rFonts w:ascii="Times New Roman" w:hAnsi="Times New Roman" w:cs="Times New Roman"/>
                                  <w:sz w:val="14"/>
                                  <w:szCs w:val="14"/>
                                </w:rPr>
                                <w:t xml:space="preserve"> форм</w:t>
                              </w:r>
                            </w:p>
                            <w:p w:rsidR="00BE40F8" w:rsidRPr="00BE6E15" w:rsidRDefault="00BE40F8" w:rsidP="00B233DE">
                              <w:pPr>
                                <w:spacing w:line="230" w:lineRule="auto"/>
                                <w:ind w:firstLine="0"/>
                                <w:jc w:val="center"/>
                                <w:rPr>
                                  <w:rFonts w:ascii="Times New Roman" w:hAnsi="Times New Roman" w:cs="Times New Roman"/>
                                  <w:spacing w:val="-6"/>
                                  <w:sz w:val="14"/>
                                  <w:szCs w:val="14"/>
                                </w:rPr>
                              </w:pPr>
                              <w:r w:rsidRPr="00BE6E15">
                                <w:rPr>
                                  <w:rFonts w:ascii="Times New Roman" w:hAnsi="Times New Roman" w:cs="Times New Roman"/>
                                  <w:spacing w:val="-6"/>
                                  <w:sz w:val="14"/>
                                  <w:szCs w:val="14"/>
                                </w:rPr>
                                <w:t>структури і змісту зайнятості;</w:t>
                              </w:r>
                            </w:p>
                            <w:p w:rsidR="00BE40F8" w:rsidRPr="00BE6E15" w:rsidRDefault="00BE40F8" w:rsidP="00B233DE">
                              <w:pPr>
                                <w:spacing w:line="230" w:lineRule="auto"/>
                                <w:ind w:firstLine="0"/>
                                <w:jc w:val="center"/>
                                <w:rPr>
                                  <w:rFonts w:ascii="Times New Roman" w:hAnsi="Times New Roman" w:cs="Times New Roman"/>
                                  <w:sz w:val="14"/>
                                  <w:szCs w:val="14"/>
                                </w:rPr>
                              </w:pPr>
                              <w:r w:rsidRPr="00BE6E15">
                                <w:rPr>
                                  <w:rFonts w:ascii="Times New Roman" w:hAnsi="Times New Roman" w:cs="Times New Roman"/>
                                  <w:sz w:val="14"/>
                                  <w:szCs w:val="14"/>
                                </w:rPr>
                                <w:t>поєднання в особі якостей</w:t>
                              </w:r>
                            </w:p>
                            <w:p w:rsidR="00BE40F8" w:rsidRPr="00BE6E15" w:rsidRDefault="00BE40F8" w:rsidP="00B233DE">
                              <w:pPr>
                                <w:spacing w:line="230" w:lineRule="auto"/>
                                <w:ind w:firstLine="0"/>
                                <w:jc w:val="center"/>
                                <w:rPr>
                                  <w:rFonts w:ascii="Times New Roman" w:hAnsi="Times New Roman" w:cs="Times New Roman"/>
                                  <w:sz w:val="14"/>
                                  <w:szCs w:val="14"/>
                                </w:rPr>
                              </w:pPr>
                              <w:r w:rsidRPr="001545B9">
                                <w:rPr>
                                  <w:rFonts w:ascii="Times New Roman" w:hAnsi="Times New Roman" w:cs="Times New Roman"/>
                                  <w:spacing w:val="-6"/>
                                  <w:sz w:val="14"/>
                                  <w:szCs w:val="14"/>
                                </w:rPr>
                                <w:t>капіталу та робочої сили; змі</w:t>
                              </w:r>
                              <w:r w:rsidRPr="00BE6E15">
                                <w:rPr>
                                  <w:rFonts w:ascii="Times New Roman" w:hAnsi="Times New Roman" w:cs="Times New Roman"/>
                                  <w:sz w:val="14"/>
                                  <w:szCs w:val="14"/>
                                </w:rPr>
                                <w:t xml:space="preserve">ни в </w:t>
                              </w:r>
                              <w:r>
                                <w:rPr>
                                  <w:rFonts w:ascii="Times New Roman" w:hAnsi="Times New Roman" w:cs="Times New Roman"/>
                                  <w:color w:val="000000"/>
                                  <w:sz w:val="14"/>
                                  <w:szCs w:val="14"/>
                                </w:rPr>
                                <w:t xml:space="preserve">демографічній і </w:t>
                              </w:r>
                              <w:r w:rsidRPr="00BE6E15">
                                <w:rPr>
                                  <w:rFonts w:ascii="Times New Roman" w:hAnsi="Times New Roman" w:cs="Times New Roman"/>
                                  <w:color w:val="000000"/>
                                  <w:sz w:val="14"/>
                                  <w:szCs w:val="14"/>
                                </w:rPr>
                                <w:t xml:space="preserve">етнічній </w:t>
                              </w:r>
                              <w:r w:rsidRPr="001545B9">
                                <w:rPr>
                                  <w:rFonts w:ascii="Times New Roman" w:hAnsi="Times New Roman" w:cs="Times New Roman"/>
                                  <w:color w:val="000000"/>
                                  <w:spacing w:val="-6"/>
                                  <w:sz w:val="14"/>
                                  <w:szCs w:val="14"/>
                                </w:rPr>
                                <w:t>структурі</w:t>
                              </w:r>
                              <w:r w:rsidRPr="001545B9">
                                <w:rPr>
                                  <w:rFonts w:ascii="Times New Roman" w:hAnsi="Times New Roman" w:cs="Times New Roman"/>
                                  <w:spacing w:val="-6"/>
                                  <w:sz w:val="14"/>
                                  <w:szCs w:val="14"/>
                                </w:rPr>
                                <w:t xml:space="preserve"> </w:t>
                              </w:r>
                              <w:r w:rsidRPr="001545B9">
                                <w:rPr>
                                  <w:rFonts w:ascii="Times New Roman" w:hAnsi="Times New Roman" w:cs="Times New Roman"/>
                                  <w:color w:val="000000"/>
                                  <w:spacing w:val="-6"/>
                                  <w:sz w:val="14"/>
                                  <w:szCs w:val="14"/>
                                </w:rPr>
                                <w:t>суспільства; посилен-</w:t>
                              </w:r>
                              <w:r w:rsidRPr="001545B9">
                                <w:rPr>
                                  <w:rFonts w:ascii="Times New Roman" w:hAnsi="Times New Roman" w:cs="Times New Roman"/>
                                  <w:color w:val="000000"/>
                                  <w:spacing w:val="-8"/>
                                  <w:sz w:val="14"/>
                                  <w:szCs w:val="14"/>
                                </w:rPr>
                                <w:t>ня ролі фізичного та психологіч-</w:t>
                              </w:r>
                              <w:r w:rsidRPr="00BE6E15">
                                <w:rPr>
                                  <w:rFonts w:ascii="Times New Roman" w:hAnsi="Times New Roman" w:cs="Times New Roman"/>
                                  <w:color w:val="000000"/>
                                  <w:sz w:val="14"/>
                                  <w:szCs w:val="14"/>
                                </w:rPr>
                                <w:t>ного</w:t>
                              </w:r>
                              <w:r>
                                <w:rPr>
                                  <w:rFonts w:ascii="Times New Roman" w:hAnsi="Times New Roman" w:cs="Times New Roman"/>
                                  <w:color w:val="000000"/>
                                  <w:sz w:val="14"/>
                                  <w:szCs w:val="14"/>
                                </w:rPr>
                                <w:t xml:space="preserve"> </w:t>
                              </w:r>
                              <w:r w:rsidRPr="00BE6E15">
                                <w:rPr>
                                  <w:rFonts w:ascii="Times New Roman" w:hAnsi="Times New Roman" w:cs="Times New Roman"/>
                                  <w:color w:val="000000"/>
                                  <w:sz w:val="14"/>
                                  <w:szCs w:val="14"/>
                                </w:rPr>
                                <w:t>здоров’я зайнятих</w:t>
                              </w:r>
                            </w:p>
                          </w:txbxContent>
                        </wps:txbx>
                        <wps:bodyPr rot="0" vert="horz" wrap="square" lIns="0" tIns="0" rIns="0" bIns="0" anchor="t" anchorCtr="0" upright="1">
                          <a:noAutofit/>
                        </wps:bodyPr>
                      </wps:wsp>
                      <wps:wsp>
                        <wps:cNvPr id="252" name="Rectangle 136"/>
                        <wps:cNvSpPr>
                          <a:spLocks noChangeArrowheads="1"/>
                        </wps:cNvSpPr>
                        <wps:spPr bwMode="auto">
                          <a:xfrm>
                            <a:off x="2441491" y="614406"/>
                            <a:ext cx="1371747" cy="1449344"/>
                          </a:xfrm>
                          <a:prstGeom prst="rect">
                            <a:avLst/>
                          </a:prstGeom>
                          <a:solidFill>
                            <a:srgbClr val="FFFFFF"/>
                          </a:solidFill>
                          <a:ln w="9525">
                            <a:solidFill>
                              <a:srgbClr val="000000"/>
                            </a:solidFill>
                            <a:miter lim="800000"/>
                            <a:headEnd/>
                            <a:tailEnd/>
                          </a:ln>
                        </wps:spPr>
                        <wps:txbx>
                          <w:txbxContent>
                            <w:p w:rsidR="00BE40F8" w:rsidRPr="009F4AC2" w:rsidRDefault="00BE40F8" w:rsidP="00B233DE">
                              <w:pPr>
                                <w:ind w:firstLine="0"/>
                                <w:jc w:val="both"/>
                                <w:rPr>
                                  <w:rFonts w:ascii="Times New Roman" w:hAnsi="Times New Roman" w:cs="Times New Roman"/>
                                  <w:sz w:val="14"/>
                                  <w:szCs w:val="14"/>
                                </w:rPr>
                              </w:pPr>
                              <w:r w:rsidRPr="009F4AC2">
                                <w:rPr>
                                  <w:rFonts w:ascii="Times New Roman" w:hAnsi="Times New Roman" w:cs="Times New Roman"/>
                                  <w:sz w:val="14"/>
                                  <w:szCs w:val="14"/>
                                </w:rPr>
                                <w:t xml:space="preserve">Застосування нестандартних форм </w:t>
                              </w:r>
                              <w:r w:rsidRPr="00D961C6">
                                <w:rPr>
                                  <w:rFonts w:ascii="Times New Roman" w:hAnsi="Times New Roman" w:cs="Times New Roman"/>
                                  <w:spacing w:val="-6"/>
                                  <w:sz w:val="14"/>
                                  <w:szCs w:val="14"/>
                                </w:rPr>
                                <w:t>зайнятості: повна зайнятість за умов</w:t>
                              </w:r>
                              <w:r w:rsidRPr="009F4AC2">
                                <w:rPr>
                                  <w:rFonts w:ascii="Times New Roman" w:hAnsi="Times New Roman" w:cs="Times New Roman"/>
                                  <w:sz w:val="14"/>
                                  <w:szCs w:val="14"/>
                                </w:rPr>
                                <w:t xml:space="preserve"> гнучких форм організації робочого часу; неповна зайнятість; </w:t>
                              </w:r>
                              <w:r>
                                <w:rPr>
                                  <w:rFonts w:ascii="Times New Roman" w:hAnsi="Times New Roman" w:cs="Times New Roman"/>
                                  <w:color w:val="000000"/>
                                  <w:sz w:val="14"/>
                                  <w:szCs w:val="14"/>
                                  <w:shd w:val="clear" w:color="auto" w:fill="FFFFFF"/>
                                </w:rPr>
                                <w:t xml:space="preserve">тимчасовi </w:t>
                              </w:r>
                              <w:r w:rsidRPr="00D961C6">
                                <w:rPr>
                                  <w:rFonts w:ascii="Times New Roman" w:hAnsi="Times New Roman" w:cs="Times New Roman"/>
                                  <w:color w:val="000000"/>
                                  <w:spacing w:val="-6"/>
                                  <w:sz w:val="14"/>
                                  <w:szCs w:val="14"/>
                                  <w:shd w:val="clear" w:color="auto" w:fill="FFFFFF"/>
                                </w:rPr>
                                <w:t xml:space="preserve">працiвники, сумiсники; </w:t>
                              </w:r>
                              <w:r w:rsidRPr="00D961C6">
                                <w:rPr>
                                  <w:rFonts w:ascii="Times New Roman" w:hAnsi="Times New Roman" w:cs="Times New Roman"/>
                                  <w:spacing w:val="-6"/>
                                  <w:sz w:val="14"/>
                                  <w:szCs w:val="14"/>
                                </w:rPr>
                                <w:t>зайнятість на</w:t>
                              </w:r>
                              <w:r w:rsidRPr="009F4AC2">
                                <w:rPr>
                                  <w:rFonts w:ascii="Times New Roman" w:hAnsi="Times New Roman" w:cs="Times New Roman"/>
                                  <w:sz w:val="14"/>
                                  <w:szCs w:val="14"/>
                                </w:rPr>
                                <w:t xml:space="preserve"> основі договорів цивільно-право</w:t>
                              </w:r>
                              <w:r>
                                <w:rPr>
                                  <w:rFonts w:ascii="Times New Roman" w:hAnsi="Times New Roman" w:cs="Times New Roman"/>
                                  <w:sz w:val="14"/>
                                  <w:szCs w:val="14"/>
                                </w:rPr>
                                <w:t>-</w:t>
                              </w:r>
                              <w:r w:rsidRPr="00D961C6">
                                <w:rPr>
                                  <w:rFonts w:ascii="Times New Roman" w:hAnsi="Times New Roman" w:cs="Times New Roman"/>
                                  <w:spacing w:val="-8"/>
                                  <w:sz w:val="14"/>
                                  <w:szCs w:val="14"/>
                                </w:rPr>
                                <w:t>вого характеру; зайнятість за наявно</w:t>
                              </w:r>
                              <w:r w:rsidRPr="009F4AC2">
                                <w:rPr>
                                  <w:rFonts w:ascii="Times New Roman" w:hAnsi="Times New Roman" w:cs="Times New Roman"/>
                                  <w:sz w:val="14"/>
                                  <w:szCs w:val="14"/>
                                </w:rPr>
                                <w:t>сті декількох роботодавців одночасно</w:t>
                              </w:r>
                              <w:r>
                                <w:rPr>
                                  <w:rFonts w:ascii="Times New Roman" w:hAnsi="Times New Roman" w:cs="Times New Roman"/>
                                  <w:sz w:val="14"/>
                                  <w:szCs w:val="14"/>
                                </w:rPr>
                                <w:t xml:space="preserve">; </w:t>
                              </w:r>
                              <w:r w:rsidRPr="00D961C6">
                                <w:rPr>
                                  <w:rFonts w:ascii="Times New Roman" w:hAnsi="Times New Roman" w:cs="Times New Roman"/>
                                  <w:spacing w:val="-6"/>
                                  <w:sz w:val="14"/>
                                  <w:szCs w:val="14"/>
                                </w:rPr>
                                <w:t>надомна праця; робота за викликом;</w:t>
                              </w:r>
                              <w:r>
                                <w:rPr>
                                  <w:rFonts w:ascii="Times New Roman" w:hAnsi="Times New Roman" w:cs="Times New Roman"/>
                                  <w:sz w:val="14"/>
                                  <w:szCs w:val="14"/>
                                </w:rPr>
                                <w:t xml:space="preserve"> дистанційна зайнятість;</w:t>
                              </w:r>
                              <w:r w:rsidRPr="009F4AC2">
                                <w:rPr>
                                  <w:rFonts w:ascii="Times New Roman" w:hAnsi="Times New Roman" w:cs="Times New Roman"/>
                                  <w:sz w:val="14"/>
                                  <w:szCs w:val="14"/>
                                </w:rPr>
                                <w:t xml:space="preserve"> позикова праця</w:t>
                              </w:r>
                              <w:r>
                                <w:rPr>
                                  <w:rFonts w:ascii="Times New Roman" w:hAnsi="Times New Roman" w:cs="Times New Roman"/>
                                  <w:sz w:val="14"/>
                                  <w:szCs w:val="14"/>
                                </w:rPr>
                                <w:t xml:space="preserve">; </w:t>
                              </w:r>
                              <w:r w:rsidRPr="009F4AC2">
                                <w:rPr>
                                  <w:rFonts w:ascii="Times New Roman" w:hAnsi="Times New Roman" w:cs="Times New Roman"/>
                                  <w:sz w:val="14"/>
                                  <w:szCs w:val="14"/>
                                </w:rPr>
                                <w:t>неформальна зайнятість; нереєстрована зайнятість у нефор</w:t>
                              </w:r>
                              <w:r>
                                <w:rPr>
                                  <w:rFonts w:ascii="Times New Roman" w:hAnsi="Times New Roman" w:cs="Times New Roman"/>
                                  <w:sz w:val="14"/>
                                  <w:szCs w:val="14"/>
                                </w:rPr>
                                <w:t>-</w:t>
                              </w:r>
                              <w:r w:rsidRPr="009F4AC2">
                                <w:rPr>
                                  <w:rFonts w:ascii="Times New Roman" w:hAnsi="Times New Roman" w:cs="Times New Roman"/>
                                  <w:sz w:val="14"/>
                                  <w:szCs w:val="14"/>
                                </w:rPr>
                                <w:t>мальному секторі; нестандартний соціальний статус</w:t>
                              </w:r>
                            </w:p>
                          </w:txbxContent>
                        </wps:txbx>
                        <wps:bodyPr rot="0" vert="horz" wrap="square" lIns="0" tIns="0" rIns="0" bIns="0" anchor="t" anchorCtr="0" upright="1">
                          <a:noAutofit/>
                        </wps:bodyPr>
                      </wps:wsp>
                      <wps:wsp>
                        <wps:cNvPr id="253" name="Rectangle 137"/>
                        <wps:cNvSpPr>
                          <a:spLocks noChangeArrowheads="1"/>
                        </wps:cNvSpPr>
                        <wps:spPr bwMode="auto">
                          <a:xfrm>
                            <a:off x="1236725" y="1621167"/>
                            <a:ext cx="1140961" cy="961751"/>
                          </a:xfrm>
                          <a:prstGeom prst="rect">
                            <a:avLst/>
                          </a:prstGeom>
                          <a:solidFill>
                            <a:srgbClr val="FFFFFF"/>
                          </a:solidFill>
                          <a:ln w="9525">
                            <a:solidFill>
                              <a:srgbClr val="000000"/>
                            </a:solidFill>
                            <a:miter lim="800000"/>
                            <a:headEnd/>
                            <a:tailEnd/>
                          </a:ln>
                        </wps:spPr>
                        <wps:txbx>
                          <w:txbxContent>
                            <w:p w:rsidR="00BE40F8" w:rsidRPr="001545B9" w:rsidRDefault="00BE40F8" w:rsidP="00B233DE">
                              <w:pPr>
                                <w:spacing w:line="230" w:lineRule="auto"/>
                                <w:ind w:firstLine="0"/>
                                <w:jc w:val="center"/>
                                <w:rPr>
                                  <w:rFonts w:ascii="Times New Roman" w:hAnsi="Times New Roman" w:cs="Times New Roman"/>
                                  <w:sz w:val="14"/>
                                  <w:szCs w:val="14"/>
                                </w:rPr>
                              </w:pPr>
                              <w:r w:rsidRPr="001545B9">
                                <w:rPr>
                                  <w:rFonts w:ascii="Times New Roman" w:hAnsi="Times New Roman" w:cs="Times New Roman"/>
                                  <w:sz w:val="14"/>
                                  <w:szCs w:val="14"/>
                                </w:rPr>
                                <w:t>Поява</w:t>
                              </w:r>
                              <w:r w:rsidRPr="001545B9">
                                <w:rPr>
                                  <w:rFonts w:ascii="Times New Roman" w:hAnsi="Times New Roman" w:cs="Times New Roman"/>
                                  <w:color w:val="000000"/>
                                  <w:sz w:val="14"/>
                                  <w:szCs w:val="14"/>
                                  <w:shd w:val="clear" w:color="auto" w:fill="FFFFFF"/>
                                </w:rPr>
                                <w:t xml:space="preserve"> нестандартних режи</w:t>
                              </w:r>
                              <w:r>
                                <w:rPr>
                                  <w:rFonts w:ascii="Times New Roman" w:hAnsi="Times New Roman" w:cs="Times New Roman"/>
                                  <w:color w:val="000000"/>
                                  <w:sz w:val="14"/>
                                  <w:szCs w:val="14"/>
                                  <w:shd w:val="clear" w:color="auto" w:fill="FFFFFF"/>
                                </w:rPr>
                                <w:t xml:space="preserve">-мів </w:t>
                              </w:r>
                              <w:r w:rsidRPr="001545B9">
                                <w:rPr>
                                  <w:rFonts w:ascii="Times New Roman" w:hAnsi="Times New Roman" w:cs="Times New Roman"/>
                                  <w:color w:val="000000"/>
                                  <w:sz w:val="14"/>
                                  <w:szCs w:val="14"/>
                                  <w:shd w:val="clear" w:color="auto" w:fill="FFFFFF"/>
                                </w:rPr>
                                <w:t>робочого часу:</w:t>
                              </w:r>
                              <w:r>
                                <w:rPr>
                                  <w:rFonts w:ascii="Times New Roman" w:hAnsi="Times New Roman" w:cs="Times New Roman"/>
                                  <w:color w:val="000000"/>
                                  <w:sz w:val="14"/>
                                  <w:szCs w:val="14"/>
                                  <w:shd w:val="clear" w:color="auto" w:fill="FFFFFF"/>
                                </w:rPr>
                                <w:t xml:space="preserve"> непов</w:t>
                              </w:r>
                              <w:r w:rsidRPr="001545B9">
                                <w:rPr>
                                  <w:rFonts w:ascii="Times New Roman" w:hAnsi="Times New Roman" w:cs="Times New Roman"/>
                                  <w:color w:val="000000"/>
                                  <w:sz w:val="14"/>
                                  <w:szCs w:val="14"/>
                                  <w:shd w:val="clear" w:color="auto" w:fill="FFFFFF"/>
                                </w:rPr>
                                <w:t>ного  робочого часу та його рiзно</w:t>
                              </w:r>
                              <w:r>
                                <w:rPr>
                                  <w:rFonts w:ascii="Times New Roman" w:hAnsi="Times New Roman" w:cs="Times New Roman"/>
                                  <w:color w:val="000000"/>
                                  <w:sz w:val="14"/>
                                  <w:szCs w:val="14"/>
                                  <w:shd w:val="clear" w:color="auto" w:fill="FFFFFF"/>
                                </w:rPr>
                                <w:t>-</w:t>
                              </w:r>
                              <w:r w:rsidRPr="001545B9">
                                <w:rPr>
                                  <w:rFonts w:ascii="Times New Roman" w:hAnsi="Times New Roman" w:cs="Times New Roman"/>
                                  <w:color w:val="000000"/>
                                  <w:sz w:val="14"/>
                                  <w:szCs w:val="14"/>
                                  <w:shd w:val="clear" w:color="auto" w:fill="FFFFFF"/>
                                </w:rPr>
                                <w:t>видів; гнучкий робочий рiк; стиснутий робочий тиждень; графіки гнучкого робочого часу</w:t>
                              </w:r>
                            </w:p>
                          </w:txbxContent>
                        </wps:txbx>
                        <wps:bodyPr rot="0" vert="horz" wrap="square" lIns="0" tIns="0" rIns="0" bIns="0" anchor="t" anchorCtr="0" upright="1">
                          <a:noAutofit/>
                        </wps:bodyPr>
                      </wps:wsp>
                      <wps:wsp>
                        <wps:cNvPr id="254" name="Rectangle 138"/>
                        <wps:cNvSpPr>
                          <a:spLocks noChangeArrowheads="1"/>
                        </wps:cNvSpPr>
                        <wps:spPr bwMode="auto">
                          <a:xfrm>
                            <a:off x="37580" y="614405"/>
                            <a:ext cx="1130818" cy="1042945"/>
                          </a:xfrm>
                          <a:prstGeom prst="rect">
                            <a:avLst/>
                          </a:prstGeom>
                          <a:solidFill>
                            <a:srgbClr val="FFFFFF"/>
                          </a:solidFill>
                          <a:ln w="9525">
                            <a:solidFill>
                              <a:srgbClr val="000000"/>
                            </a:solidFill>
                            <a:miter lim="800000"/>
                            <a:headEnd/>
                            <a:tailEnd/>
                          </a:ln>
                        </wps:spPr>
                        <wps:txbx>
                          <w:txbxContent>
                            <w:p w:rsidR="00BE40F8" w:rsidRPr="00C333D2" w:rsidRDefault="00BE40F8" w:rsidP="00B233DE">
                              <w:pPr>
                                <w:ind w:firstLine="0"/>
                                <w:jc w:val="both"/>
                                <w:rPr>
                                  <w:sz w:val="9"/>
                                  <w:szCs w:val="16"/>
                                </w:rPr>
                              </w:pPr>
                              <w:r w:rsidRPr="00BE6E15">
                                <w:rPr>
                                  <w:rFonts w:ascii="Times New Roman" w:hAnsi="Times New Roman" w:cs="Times New Roman"/>
                                  <w:spacing w:val="-8"/>
                                  <w:sz w:val="14"/>
                                  <w:szCs w:val="14"/>
                                </w:rPr>
                                <w:t>Глобалізаційні інституціональні</w:t>
                              </w:r>
                              <w:r w:rsidRPr="00BE6E15">
                                <w:rPr>
                                  <w:rFonts w:ascii="Times New Roman" w:hAnsi="Times New Roman" w:cs="Times New Roman"/>
                                  <w:sz w:val="14"/>
                                  <w:szCs w:val="14"/>
                                </w:rPr>
                                <w:t xml:space="preserve"> перетворення у формуванні </w:t>
                              </w:r>
                              <w:r w:rsidRPr="00BE6E15">
                                <w:rPr>
                                  <w:rFonts w:ascii="Times New Roman" w:hAnsi="Times New Roman" w:cs="Times New Roman"/>
                                  <w:spacing w:val="-4"/>
                                  <w:sz w:val="14"/>
                                  <w:szCs w:val="14"/>
                                </w:rPr>
                                <w:t>ринку праці: поглиблення між-</w:t>
                              </w:r>
                              <w:r w:rsidRPr="00BE6E15">
                                <w:rPr>
                                  <w:rFonts w:ascii="Times New Roman" w:hAnsi="Times New Roman" w:cs="Times New Roman"/>
                                  <w:spacing w:val="-6"/>
                                  <w:sz w:val="14"/>
                                  <w:szCs w:val="14"/>
                                </w:rPr>
                                <w:t>народного поділу праці; посиле-</w:t>
                              </w:r>
                              <w:r w:rsidRPr="00BE6E15">
                                <w:rPr>
                                  <w:rFonts w:ascii="Times New Roman" w:hAnsi="Times New Roman" w:cs="Times New Roman"/>
                                  <w:spacing w:val="-4"/>
                                  <w:sz w:val="14"/>
                                  <w:szCs w:val="14"/>
                                </w:rPr>
                                <w:t>ння конкурентного тиску за де-</w:t>
                              </w:r>
                              <w:r w:rsidRPr="00BE6E15">
                                <w:rPr>
                                  <w:rFonts w:ascii="Times New Roman" w:hAnsi="Times New Roman" w:cs="Times New Roman"/>
                                  <w:sz w:val="14"/>
                                  <w:szCs w:val="14"/>
                                </w:rPr>
                                <w:t>шеву робочу силу; збільшен</w:t>
                              </w:r>
                              <w:r>
                                <w:rPr>
                                  <w:rFonts w:ascii="Times New Roman" w:hAnsi="Times New Roman" w:cs="Times New Roman"/>
                                  <w:sz w:val="14"/>
                                  <w:szCs w:val="14"/>
                                </w:rPr>
                                <w:t>-</w:t>
                              </w:r>
                              <w:r w:rsidRPr="00BE6E15">
                                <w:rPr>
                                  <w:rFonts w:ascii="Times New Roman" w:hAnsi="Times New Roman" w:cs="Times New Roman"/>
                                  <w:spacing w:val="-6"/>
                                  <w:sz w:val="14"/>
                                  <w:szCs w:val="14"/>
                                </w:rPr>
                                <w:t>ня пропорцій і обсягу безробіт-тя; зміни в кількості композиції</w:t>
                              </w:r>
                              <w:r w:rsidRPr="00BE6E15">
                                <w:rPr>
                                  <w:rFonts w:ascii="Times New Roman" w:hAnsi="Times New Roman" w:cs="Times New Roman"/>
                                  <w:sz w:val="14"/>
                                  <w:szCs w:val="14"/>
                                </w:rPr>
                                <w:t xml:space="preserve"> активної робочої сили, демо</w:t>
                              </w:r>
                              <w:r>
                                <w:rPr>
                                  <w:rFonts w:ascii="Times New Roman" w:hAnsi="Times New Roman" w:cs="Times New Roman"/>
                                  <w:sz w:val="14"/>
                                  <w:szCs w:val="14"/>
                                </w:rPr>
                                <w:t>-</w:t>
                              </w:r>
                              <w:r w:rsidRPr="00BE6E15">
                                <w:rPr>
                                  <w:rFonts w:ascii="Times New Roman" w:hAnsi="Times New Roman" w:cs="Times New Roman"/>
                                  <w:sz w:val="14"/>
                                  <w:szCs w:val="14"/>
                                </w:rPr>
                                <w:t>графі</w:t>
                              </w:r>
                              <w:r>
                                <w:rPr>
                                  <w:rFonts w:ascii="Times New Roman" w:hAnsi="Times New Roman" w:cs="Times New Roman"/>
                                  <w:sz w:val="14"/>
                                  <w:szCs w:val="14"/>
                                </w:rPr>
                                <w:t>чні зміни; міграція</w:t>
                              </w:r>
                            </w:p>
                          </w:txbxContent>
                        </wps:txbx>
                        <wps:bodyPr rot="0" vert="horz" wrap="square" lIns="0" tIns="0" rIns="0" bIns="0" anchor="t" anchorCtr="0" upright="1">
                          <a:noAutofit/>
                        </wps:bodyPr>
                      </wps:wsp>
                      <wps:wsp>
                        <wps:cNvPr id="255" name="Line 139"/>
                        <wps:cNvCnPr/>
                        <wps:spPr bwMode="auto">
                          <a:xfrm>
                            <a:off x="3143060" y="2274266"/>
                            <a:ext cx="569" cy="968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6" name="Rectangle 140"/>
                        <wps:cNvSpPr>
                          <a:spLocks noChangeArrowheads="1"/>
                        </wps:cNvSpPr>
                        <wps:spPr bwMode="auto">
                          <a:xfrm>
                            <a:off x="44982" y="1695449"/>
                            <a:ext cx="1125125" cy="1098551"/>
                          </a:xfrm>
                          <a:prstGeom prst="rect">
                            <a:avLst/>
                          </a:prstGeom>
                          <a:solidFill>
                            <a:srgbClr val="FFFFFF"/>
                          </a:solidFill>
                          <a:ln w="9525">
                            <a:solidFill>
                              <a:srgbClr val="000000"/>
                            </a:solidFill>
                            <a:miter lim="800000"/>
                            <a:headEnd/>
                            <a:tailEnd/>
                          </a:ln>
                        </wps:spPr>
                        <wps:txbx>
                          <w:txbxContent>
                            <w:p w:rsidR="00BE40F8" w:rsidRPr="00D961C6" w:rsidRDefault="00BE40F8" w:rsidP="00B233DE">
                              <w:pPr>
                                <w:spacing w:line="230" w:lineRule="auto"/>
                                <w:ind w:firstLine="0"/>
                                <w:jc w:val="both"/>
                                <w:rPr>
                                  <w:rFonts w:ascii="Times New Roman" w:hAnsi="Times New Roman" w:cs="Times New Roman"/>
                                  <w:sz w:val="14"/>
                                  <w:szCs w:val="14"/>
                                </w:rPr>
                              </w:pPr>
                              <w:r w:rsidRPr="00D961C6">
                                <w:rPr>
                                  <w:rFonts w:ascii="Times New Roman" w:hAnsi="Times New Roman" w:cs="Times New Roman"/>
                                  <w:spacing w:val="-6"/>
                                  <w:sz w:val="14"/>
                                  <w:szCs w:val="14"/>
                                </w:rPr>
                                <w:t>Інституціональні перетворен</w:t>
                              </w:r>
                              <w:r>
                                <w:rPr>
                                  <w:rFonts w:ascii="Times New Roman" w:hAnsi="Times New Roman" w:cs="Times New Roman"/>
                                  <w:sz w:val="14"/>
                                  <w:szCs w:val="14"/>
                                </w:rPr>
                                <w:t xml:space="preserve">ня </w:t>
                              </w:r>
                              <w:r w:rsidRPr="00D961C6">
                                <w:rPr>
                                  <w:rFonts w:ascii="Times New Roman" w:hAnsi="Times New Roman" w:cs="Times New Roman"/>
                                  <w:sz w:val="14"/>
                                  <w:szCs w:val="14"/>
                                </w:rPr>
                                <w:t>політичних інститутів (зміни в уряді, поява нових політич</w:t>
                              </w:r>
                              <w:r>
                                <w:rPr>
                                  <w:rFonts w:ascii="Times New Roman" w:hAnsi="Times New Roman" w:cs="Times New Roman"/>
                                  <w:sz w:val="14"/>
                                  <w:szCs w:val="14"/>
                                </w:rPr>
                                <w:t>-</w:t>
                              </w:r>
                              <w:r w:rsidRPr="00D961C6">
                                <w:rPr>
                                  <w:rFonts w:ascii="Times New Roman" w:hAnsi="Times New Roman" w:cs="Times New Roman"/>
                                  <w:spacing w:val="-8"/>
                                  <w:sz w:val="14"/>
                                  <w:szCs w:val="14"/>
                                </w:rPr>
                                <w:t>них партій, політична підтримка</w:t>
                              </w:r>
                              <w:r w:rsidRPr="00D961C6">
                                <w:rPr>
                                  <w:rFonts w:ascii="Times New Roman" w:hAnsi="Times New Roman" w:cs="Times New Roman"/>
                                  <w:sz w:val="14"/>
                                  <w:szCs w:val="14"/>
                                </w:rPr>
                                <w:t xml:space="preserve"> </w:t>
                              </w:r>
                              <w:r w:rsidRPr="00D961C6">
                                <w:rPr>
                                  <w:rFonts w:ascii="Times New Roman" w:hAnsi="Times New Roman" w:cs="Times New Roman"/>
                                  <w:spacing w:val="-6"/>
                                  <w:sz w:val="14"/>
                                  <w:szCs w:val="14"/>
                                </w:rPr>
                                <w:t>формальних інститутів ринку</w:t>
                              </w:r>
                              <w:r w:rsidRPr="00D961C6">
                                <w:rPr>
                                  <w:rFonts w:ascii="Times New Roman" w:hAnsi="Times New Roman" w:cs="Times New Roman"/>
                                  <w:sz w:val="14"/>
                                  <w:szCs w:val="14"/>
                                </w:rPr>
                                <w:t xml:space="preserve"> </w:t>
                              </w:r>
                              <w:r w:rsidRPr="00D961C6">
                                <w:rPr>
                                  <w:rFonts w:ascii="Times New Roman" w:hAnsi="Times New Roman" w:cs="Times New Roman"/>
                                  <w:spacing w:val="-6"/>
                                  <w:sz w:val="14"/>
                                  <w:szCs w:val="14"/>
                                </w:rPr>
                                <w:t>праці; вибір інноваційної моде-</w:t>
                              </w:r>
                              <w:r w:rsidRPr="00D961C6">
                                <w:rPr>
                                  <w:rFonts w:ascii="Times New Roman" w:hAnsi="Times New Roman" w:cs="Times New Roman"/>
                                  <w:spacing w:val="-4"/>
                                  <w:sz w:val="14"/>
                                  <w:szCs w:val="14"/>
                                </w:rPr>
                                <w:t>лі економічного розвитку, по-</w:t>
                              </w:r>
                              <w:r w:rsidRPr="00D961C6">
                                <w:rPr>
                                  <w:rFonts w:ascii="Times New Roman" w:hAnsi="Times New Roman" w:cs="Times New Roman"/>
                                  <w:spacing w:val="-6"/>
                                  <w:sz w:val="14"/>
                                  <w:szCs w:val="14"/>
                                </w:rPr>
                                <w:t>глиблення державного протек-ціонізму, інвестування в люд-</w:t>
                              </w:r>
                              <w:r w:rsidRPr="00D961C6">
                                <w:rPr>
                                  <w:rFonts w:ascii="Times New Roman" w:hAnsi="Times New Roman" w:cs="Times New Roman"/>
                                  <w:sz w:val="14"/>
                                  <w:szCs w:val="14"/>
                                </w:rPr>
                                <w:t>ський капітал, детінізація та децентралізація економіки)</w:t>
                              </w:r>
                            </w:p>
                          </w:txbxContent>
                        </wps:txbx>
                        <wps:bodyPr rot="0" vert="horz" wrap="square" lIns="0" tIns="0" rIns="0" bIns="0" anchor="t" anchorCtr="0" upright="1">
                          <a:noAutofit/>
                        </wps:bodyPr>
                      </wps:wsp>
                      <wps:wsp>
                        <wps:cNvPr id="257" name="AutoShape 141"/>
                        <wps:cNvSpPr>
                          <a:spLocks noChangeArrowheads="1"/>
                        </wps:cNvSpPr>
                        <wps:spPr bwMode="auto">
                          <a:xfrm>
                            <a:off x="1205409" y="2646667"/>
                            <a:ext cx="914448" cy="605294"/>
                          </a:xfrm>
                          <a:prstGeom prst="roundRect">
                            <a:avLst>
                              <a:gd name="adj" fmla="val 16667"/>
                            </a:avLst>
                          </a:prstGeom>
                          <a:solidFill>
                            <a:srgbClr val="FFFFFF"/>
                          </a:solidFill>
                          <a:ln w="19050">
                            <a:solidFill>
                              <a:srgbClr val="000000"/>
                            </a:solidFill>
                            <a:round/>
                            <a:headEnd/>
                            <a:tailEnd/>
                          </a:ln>
                        </wps:spPr>
                        <wps:txbx>
                          <w:txbxContent>
                            <w:p w:rsidR="00BE40F8" w:rsidRPr="00D961C6" w:rsidRDefault="00BE40F8" w:rsidP="00B233DE">
                              <w:pPr>
                                <w:ind w:firstLine="0"/>
                                <w:jc w:val="center"/>
                                <w:rPr>
                                  <w:rFonts w:ascii="Times New Roman" w:hAnsi="Times New Roman" w:cs="Times New Roman"/>
                                  <w:b/>
                                  <w:sz w:val="14"/>
                                  <w:szCs w:val="14"/>
                                </w:rPr>
                              </w:pPr>
                              <w:r w:rsidRPr="00D961C6">
                                <w:rPr>
                                  <w:rFonts w:ascii="Times New Roman" w:hAnsi="Times New Roman" w:cs="Times New Roman"/>
                                  <w:b/>
                                  <w:sz w:val="14"/>
                                  <w:szCs w:val="14"/>
                                </w:rPr>
                                <w:t xml:space="preserve">Інституціональні перетворення </w:t>
                              </w:r>
                            </w:p>
                            <w:p w:rsidR="00BE40F8" w:rsidRPr="00D961C6" w:rsidRDefault="00BE40F8" w:rsidP="00B233DE">
                              <w:pPr>
                                <w:ind w:firstLine="0"/>
                                <w:jc w:val="center"/>
                                <w:rPr>
                                  <w:rFonts w:ascii="Times New Roman" w:hAnsi="Times New Roman" w:cs="Times New Roman"/>
                                  <w:b/>
                                  <w:sz w:val="14"/>
                                  <w:szCs w:val="14"/>
                                </w:rPr>
                              </w:pPr>
                              <w:r w:rsidRPr="00D961C6">
                                <w:rPr>
                                  <w:rFonts w:ascii="Times New Roman" w:hAnsi="Times New Roman" w:cs="Times New Roman"/>
                                  <w:b/>
                                  <w:sz w:val="14"/>
                                  <w:szCs w:val="14"/>
                                </w:rPr>
                                <w:t xml:space="preserve">у формуванні </w:t>
                              </w:r>
                            </w:p>
                            <w:p w:rsidR="00BE40F8" w:rsidRPr="00D961C6" w:rsidRDefault="00BE40F8" w:rsidP="00B233DE">
                              <w:pPr>
                                <w:ind w:firstLine="0"/>
                                <w:jc w:val="center"/>
                                <w:rPr>
                                  <w:rFonts w:ascii="Times New Roman" w:hAnsi="Times New Roman" w:cs="Times New Roman"/>
                                  <w:sz w:val="14"/>
                                  <w:szCs w:val="14"/>
                                </w:rPr>
                              </w:pPr>
                              <w:r w:rsidRPr="00D961C6">
                                <w:rPr>
                                  <w:rFonts w:ascii="Times New Roman" w:hAnsi="Times New Roman" w:cs="Times New Roman"/>
                                  <w:b/>
                                  <w:sz w:val="14"/>
                                  <w:szCs w:val="14"/>
                                </w:rPr>
                                <w:t>ринку праці</w:t>
                              </w:r>
                            </w:p>
                          </w:txbxContent>
                        </wps:txbx>
                        <wps:bodyPr rot="0" vert="horz" wrap="square" lIns="0" tIns="0" rIns="0" bIns="0" anchor="t" anchorCtr="0" upright="1">
                          <a:noAutofit/>
                        </wps:bodyPr>
                      </wps:wsp>
                      <wps:wsp>
                        <wps:cNvPr id="258" name="Rectangle 142"/>
                        <wps:cNvSpPr>
                          <a:spLocks noChangeArrowheads="1"/>
                        </wps:cNvSpPr>
                        <wps:spPr bwMode="auto">
                          <a:xfrm>
                            <a:off x="2446120" y="2101850"/>
                            <a:ext cx="1367118" cy="1009650"/>
                          </a:xfrm>
                          <a:prstGeom prst="rect">
                            <a:avLst/>
                          </a:prstGeom>
                          <a:solidFill>
                            <a:srgbClr val="FFFFFF"/>
                          </a:solidFill>
                          <a:ln w="9525">
                            <a:solidFill>
                              <a:srgbClr val="000000"/>
                            </a:solidFill>
                            <a:miter lim="800000"/>
                            <a:headEnd/>
                            <a:tailEnd/>
                          </a:ln>
                        </wps:spPr>
                        <wps:txbx>
                          <w:txbxContent>
                            <w:p w:rsidR="00BE40F8" w:rsidRPr="00D961C6" w:rsidRDefault="00BE40F8" w:rsidP="00B233DE">
                              <w:pPr>
                                <w:spacing w:line="230" w:lineRule="auto"/>
                                <w:ind w:firstLine="0"/>
                                <w:jc w:val="both"/>
                                <w:rPr>
                                  <w:rFonts w:ascii="Times New Roman" w:hAnsi="Times New Roman" w:cs="Times New Roman"/>
                                  <w:sz w:val="14"/>
                                  <w:szCs w:val="14"/>
                                </w:rPr>
                              </w:pPr>
                              <w:r w:rsidRPr="00D961C6">
                                <w:rPr>
                                  <w:rFonts w:ascii="Times New Roman" w:hAnsi="Times New Roman" w:cs="Times New Roman"/>
                                  <w:sz w:val="14"/>
                                  <w:szCs w:val="14"/>
                                </w:rPr>
                                <w:t>Зміни у зв’язку з посиленням кон</w:t>
                              </w:r>
                              <w:r>
                                <w:rPr>
                                  <w:rFonts w:ascii="Times New Roman" w:hAnsi="Times New Roman" w:cs="Times New Roman"/>
                                  <w:sz w:val="14"/>
                                  <w:szCs w:val="14"/>
                                </w:rPr>
                                <w:t>-</w:t>
                              </w:r>
                              <w:r w:rsidRPr="00D961C6">
                                <w:rPr>
                                  <w:rFonts w:ascii="Times New Roman" w:hAnsi="Times New Roman" w:cs="Times New Roman"/>
                                  <w:spacing w:val="-6"/>
                                  <w:sz w:val="14"/>
                                  <w:szCs w:val="14"/>
                                </w:rPr>
                                <w:t xml:space="preserve">куренції на ринках праці: </w:t>
                              </w:r>
                              <w:r w:rsidRPr="00D961C6">
                                <w:rPr>
                                  <w:rFonts w:ascii="Times New Roman" w:hAnsi="Times New Roman" w:cs="Times New Roman"/>
                                  <w:color w:val="222222"/>
                                  <w:spacing w:val="-6"/>
                                  <w:sz w:val="14"/>
                                  <w:szCs w:val="14"/>
                                  <w:shd w:val="clear" w:color="auto" w:fill="FFFFFF"/>
                                </w:rPr>
                                <w:t>між робіт-</w:t>
                              </w:r>
                              <w:r w:rsidRPr="00D961C6">
                                <w:rPr>
                                  <w:rFonts w:ascii="Times New Roman" w:hAnsi="Times New Roman" w:cs="Times New Roman"/>
                                  <w:color w:val="222222"/>
                                  <w:sz w:val="14"/>
                                  <w:szCs w:val="14"/>
                                  <w:shd w:val="clear" w:color="auto" w:fill="FFFFFF"/>
                                </w:rPr>
                                <w:t xml:space="preserve">никами </w:t>
                              </w:r>
                              <w:r>
                                <w:rPr>
                                  <w:rFonts w:ascii="Times New Roman" w:hAnsi="Times New Roman" w:cs="Times New Roman"/>
                                  <w:color w:val="222222"/>
                                  <w:sz w:val="14"/>
                                  <w:szCs w:val="14"/>
                                  <w:shd w:val="clear" w:color="auto" w:fill="FFFFFF"/>
                                </w:rPr>
                                <w:t>–</w:t>
                              </w:r>
                              <w:r w:rsidRPr="00D961C6">
                                <w:rPr>
                                  <w:rFonts w:ascii="Times New Roman" w:hAnsi="Times New Roman" w:cs="Times New Roman"/>
                                  <w:color w:val="222222"/>
                                  <w:sz w:val="14"/>
                                  <w:szCs w:val="14"/>
                                  <w:shd w:val="clear" w:color="auto" w:fill="FFFFFF"/>
                                </w:rPr>
                                <w:t xml:space="preserve"> за робочі місця з високою </w:t>
                              </w:r>
                              <w:r w:rsidRPr="009E7095">
                                <w:rPr>
                                  <w:rFonts w:ascii="Times New Roman" w:hAnsi="Times New Roman" w:cs="Times New Roman"/>
                                  <w:color w:val="222222"/>
                                  <w:spacing w:val="-6"/>
                                  <w:sz w:val="14"/>
                                  <w:szCs w:val="14"/>
                                  <w:shd w:val="clear" w:color="auto" w:fill="FFFFFF"/>
                                </w:rPr>
                                <w:t>оплатою, додатковими соціальними га-рантіями, місця престижні і приваб-</w:t>
                              </w:r>
                              <w:r w:rsidRPr="009E7095">
                                <w:rPr>
                                  <w:rFonts w:ascii="Times New Roman" w:hAnsi="Times New Roman" w:cs="Times New Roman"/>
                                  <w:color w:val="222222"/>
                                  <w:spacing w:val="-8"/>
                                  <w:sz w:val="14"/>
                                  <w:szCs w:val="14"/>
                                  <w:shd w:val="clear" w:color="auto" w:fill="FFFFFF"/>
                                </w:rPr>
                                <w:t xml:space="preserve">ливіші; між роботодавцями – за більш </w:t>
                              </w:r>
                              <w:r w:rsidRPr="00D961C6">
                                <w:rPr>
                                  <w:rFonts w:ascii="Times New Roman" w:hAnsi="Times New Roman" w:cs="Times New Roman"/>
                                  <w:color w:val="222222"/>
                                  <w:sz w:val="14"/>
                                  <w:szCs w:val="14"/>
                                  <w:shd w:val="clear" w:color="auto" w:fill="FFFFFF"/>
                                </w:rPr>
                                <w:t>цінні кадри, за працівників високої кваліфікації, з потенційною здатні</w:t>
                              </w:r>
                              <w:r>
                                <w:rPr>
                                  <w:rFonts w:ascii="Times New Roman" w:hAnsi="Times New Roman" w:cs="Times New Roman"/>
                                  <w:color w:val="222222"/>
                                  <w:sz w:val="14"/>
                                  <w:szCs w:val="14"/>
                                  <w:shd w:val="clear" w:color="auto" w:fill="FFFFFF"/>
                                </w:rPr>
                                <w:t>-</w:t>
                              </w:r>
                              <w:r w:rsidRPr="009E7095">
                                <w:rPr>
                                  <w:rFonts w:ascii="Times New Roman" w:hAnsi="Times New Roman" w:cs="Times New Roman"/>
                                  <w:color w:val="222222"/>
                                  <w:spacing w:val="-6"/>
                                  <w:sz w:val="14"/>
                                  <w:szCs w:val="14"/>
                                  <w:shd w:val="clear" w:color="auto" w:fill="FFFFFF"/>
                                </w:rPr>
                                <w:t>стю до новаторської діяльності і до-</w:t>
                              </w:r>
                              <w:r>
                                <w:rPr>
                                  <w:rFonts w:ascii="Times New Roman" w:hAnsi="Times New Roman" w:cs="Times New Roman"/>
                                  <w:color w:val="222222"/>
                                  <w:sz w:val="14"/>
                                  <w:szCs w:val="14"/>
                                  <w:shd w:val="clear" w:color="auto" w:fill="FFFFFF"/>
                                </w:rPr>
                                <w:t>сягнення</w:t>
                              </w:r>
                              <w:r w:rsidRPr="00D961C6">
                                <w:rPr>
                                  <w:rFonts w:ascii="Times New Roman" w:hAnsi="Times New Roman" w:cs="Times New Roman"/>
                                  <w:color w:val="222222"/>
                                  <w:sz w:val="14"/>
                                  <w:szCs w:val="14"/>
                                  <w:shd w:val="clear" w:color="auto" w:fill="FFFFFF"/>
                                </w:rPr>
                                <w:t xml:space="preserve"> найвищих показників</w:t>
                              </w:r>
                            </w:p>
                          </w:txbxContent>
                        </wps:txbx>
                        <wps:bodyPr rot="0" vert="horz" wrap="square" lIns="0" tIns="0" rIns="0" bIns="0" anchor="t" anchorCtr="0" upright="1">
                          <a:noAutofit/>
                        </wps:bodyPr>
                      </wps:wsp>
                      <wps:wsp>
                        <wps:cNvPr id="259" name="Rectangle 143"/>
                        <wps:cNvSpPr>
                          <a:spLocks noChangeArrowheads="1"/>
                        </wps:cNvSpPr>
                        <wps:spPr bwMode="auto">
                          <a:xfrm>
                            <a:off x="44982" y="4155699"/>
                            <a:ext cx="642847" cy="1498996"/>
                          </a:xfrm>
                          <a:prstGeom prst="rect">
                            <a:avLst/>
                          </a:prstGeom>
                          <a:solidFill>
                            <a:srgbClr val="FFFFFF"/>
                          </a:solidFill>
                          <a:ln w="9525">
                            <a:solidFill>
                              <a:srgbClr val="000000"/>
                            </a:solidFill>
                            <a:miter lim="800000"/>
                            <a:headEnd/>
                            <a:tailEnd/>
                          </a:ln>
                        </wps:spPr>
                        <wps:txbx>
                          <w:txbxContent>
                            <w:p w:rsidR="00BE40F8" w:rsidRPr="0088197E" w:rsidRDefault="00BE40F8" w:rsidP="00B233DE">
                              <w:pPr>
                                <w:spacing w:line="230" w:lineRule="auto"/>
                                <w:ind w:firstLine="0"/>
                                <w:jc w:val="center"/>
                                <w:rPr>
                                  <w:rFonts w:ascii="Times New Roman" w:hAnsi="Times New Roman" w:cs="Times New Roman"/>
                                  <w:sz w:val="14"/>
                                  <w:szCs w:val="14"/>
                                </w:rPr>
                              </w:pPr>
                              <w:r w:rsidRPr="0088197E">
                                <w:rPr>
                                  <w:rFonts w:ascii="Times New Roman" w:hAnsi="Times New Roman" w:cs="Times New Roman"/>
                                  <w:sz w:val="14"/>
                                  <w:szCs w:val="14"/>
                                </w:rPr>
                                <w:t>І</w:t>
                              </w:r>
                              <w:r w:rsidRPr="0088197E">
                                <w:rPr>
                                  <w:rFonts w:ascii="Times New Roman" w:hAnsi="Times New Roman" w:cs="Times New Roman"/>
                                  <w:spacing w:val="-4"/>
                                  <w:sz w:val="14"/>
                                  <w:szCs w:val="14"/>
                                </w:rPr>
                                <w:t>нституціональні</w:t>
                              </w:r>
                              <w:r w:rsidRPr="0088197E">
                                <w:rPr>
                                  <w:rFonts w:ascii="Times New Roman" w:hAnsi="Times New Roman" w:cs="Times New Roman"/>
                                  <w:sz w:val="14"/>
                                  <w:szCs w:val="14"/>
                                </w:rPr>
                                <w:t xml:space="preserve"> </w:t>
                              </w:r>
                              <w:r w:rsidRPr="0088197E">
                                <w:rPr>
                                  <w:rFonts w:ascii="Times New Roman" w:hAnsi="Times New Roman" w:cs="Times New Roman"/>
                                  <w:spacing w:val="-8"/>
                                  <w:sz w:val="14"/>
                                  <w:szCs w:val="14"/>
                                </w:rPr>
                                <w:t>перетворення ос</w:t>
                              </w:r>
                              <w:r>
                                <w:rPr>
                                  <w:rFonts w:ascii="Times New Roman" w:hAnsi="Times New Roman" w:cs="Times New Roman"/>
                                  <w:spacing w:val="-8"/>
                                  <w:sz w:val="14"/>
                                  <w:szCs w:val="14"/>
                                </w:rPr>
                                <w:t>-</w:t>
                              </w:r>
                              <w:r w:rsidRPr="0088197E">
                                <w:rPr>
                                  <w:rFonts w:ascii="Times New Roman" w:hAnsi="Times New Roman" w:cs="Times New Roman"/>
                                  <w:spacing w:val="-8"/>
                                  <w:sz w:val="14"/>
                                  <w:szCs w:val="14"/>
                                </w:rPr>
                                <w:t>віт</w:t>
                              </w:r>
                              <w:r w:rsidRPr="0088197E">
                                <w:rPr>
                                  <w:rFonts w:ascii="Times New Roman" w:hAnsi="Times New Roman" w:cs="Times New Roman"/>
                                  <w:sz w:val="14"/>
                                  <w:szCs w:val="14"/>
                                </w:rPr>
                                <w:t>ніх, вікових,</w:t>
                              </w:r>
                              <w:r>
                                <w:rPr>
                                  <w:rFonts w:ascii="Times New Roman" w:hAnsi="Times New Roman" w:cs="Times New Roman"/>
                                  <w:sz w:val="14"/>
                                  <w:szCs w:val="14"/>
                                </w:rPr>
                                <w:t xml:space="preserve"> </w:t>
                              </w:r>
                              <w:r w:rsidRPr="0088197E">
                                <w:rPr>
                                  <w:rFonts w:ascii="Times New Roman" w:hAnsi="Times New Roman" w:cs="Times New Roman"/>
                                  <w:spacing w:val="-8"/>
                                  <w:sz w:val="14"/>
                                  <w:szCs w:val="14"/>
                                </w:rPr>
                                <w:t>гендерних, етніч-</w:t>
                              </w:r>
                              <w:r w:rsidRPr="0088197E">
                                <w:rPr>
                                  <w:rFonts w:ascii="Times New Roman" w:hAnsi="Times New Roman" w:cs="Times New Roman"/>
                                  <w:sz w:val="14"/>
                                  <w:szCs w:val="14"/>
                                </w:rPr>
                                <w:t>них, конфесіо</w:t>
                              </w:r>
                              <w:r>
                                <w:rPr>
                                  <w:rFonts w:ascii="Times New Roman" w:hAnsi="Times New Roman" w:cs="Times New Roman"/>
                                  <w:sz w:val="14"/>
                                  <w:szCs w:val="14"/>
                                </w:rPr>
                                <w:t>-</w:t>
                              </w:r>
                              <w:r w:rsidRPr="0088197E">
                                <w:rPr>
                                  <w:rFonts w:ascii="Times New Roman" w:hAnsi="Times New Roman" w:cs="Times New Roman"/>
                                  <w:sz w:val="14"/>
                                  <w:szCs w:val="14"/>
                                </w:rPr>
                                <w:t>нальних, регіо</w:t>
                              </w:r>
                              <w:r>
                                <w:rPr>
                                  <w:rFonts w:ascii="Times New Roman" w:hAnsi="Times New Roman" w:cs="Times New Roman"/>
                                  <w:sz w:val="14"/>
                                  <w:szCs w:val="14"/>
                                </w:rPr>
                                <w:t>-</w:t>
                              </w:r>
                              <w:r w:rsidRPr="0088197E">
                                <w:rPr>
                                  <w:rFonts w:ascii="Times New Roman" w:hAnsi="Times New Roman" w:cs="Times New Roman"/>
                                  <w:spacing w:val="-8"/>
                                  <w:sz w:val="14"/>
                                  <w:szCs w:val="14"/>
                                </w:rPr>
                                <w:t>нальних соціаль</w:t>
                              </w:r>
                              <w:r>
                                <w:rPr>
                                  <w:rFonts w:ascii="Times New Roman" w:hAnsi="Times New Roman" w:cs="Times New Roman"/>
                                  <w:spacing w:val="-8"/>
                                  <w:sz w:val="14"/>
                                  <w:szCs w:val="14"/>
                                </w:rPr>
                                <w:t>-</w:t>
                              </w:r>
                              <w:r w:rsidRPr="0088197E">
                                <w:rPr>
                                  <w:rFonts w:ascii="Times New Roman" w:hAnsi="Times New Roman" w:cs="Times New Roman"/>
                                  <w:spacing w:val="-8"/>
                                  <w:sz w:val="14"/>
                                  <w:szCs w:val="14"/>
                                </w:rPr>
                                <w:t>них</w:t>
                              </w:r>
                              <w:r>
                                <w:rPr>
                                  <w:rFonts w:ascii="Times New Roman" w:hAnsi="Times New Roman" w:cs="Times New Roman"/>
                                  <w:sz w:val="14"/>
                                  <w:szCs w:val="14"/>
                                </w:rPr>
                                <w:t xml:space="preserve"> </w:t>
                              </w:r>
                              <w:r w:rsidRPr="0088197E">
                                <w:rPr>
                                  <w:rFonts w:ascii="Times New Roman" w:hAnsi="Times New Roman" w:cs="Times New Roman"/>
                                  <w:sz w:val="14"/>
                                  <w:szCs w:val="14"/>
                                </w:rPr>
                                <w:t>сегментацій;</w:t>
                              </w:r>
                            </w:p>
                            <w:p w:rsidR="00BE40F8" w:rsidRPr="0088197E" w:rsidRDefault="00BE40F8" w:rsidP="00B233DE">
                              <w:pPr>
                                <w:spacing w:line="230" w:lineRule="auto"/>
                                <w:ind w:firstLine="0"/>
                                <w:jc w:val="both"/>
                                <w:rPr>
                                  <w:rFonts w:ascii="Times New Roman" w:hAnsi="Times New Roman" w:cs="Times New Roman"/>
                                  <w:sz w:val="14"/>
                                  <w:szCs w:val="14"/>
                                </w:rPr>
                              </w:pPr>
                              <w:r w:rsidRPr="0088197E">
                                <w:rPr>
                                  <w:rFonts w:ascii="Times New Roman" w:hAnsi="Times New Roman" w:cs="Times New Roman"/>
                                  <w:spacing w:val="-6"/>
                                  <w:sz w:val="14"/>
                                  <w:szCs w:val="14"/>
                                </w:rPr>
                                <w:t>зміни в менталь-</w:t>
                              </w:r>
                              <w:r w:rsidRPr="0088197E">
                                <w:rPr>
                                  <w:rFonts w:ascii="Times New Roman" w:hAnsi="Times New Roman" w:cs="Times New Roman"/>
                                  <w:sz w:val="14"/>
                                  <w:szCs w:val="14"/>
                                </w:rPr>
                                <w:t>ності, в нормах соціальної пове</w:t>
                              </w:r>
                              <w:r>
                                <w:rPr>
                                  <w:rFonts w:ascii="Times New Roman" w:hAnsi="Times New Roman" w:cs="Times New Roman"/>
                                  <w:sz w:val="14"/>
                                  <w:szCs w:val="14"/>
                                </w:rPr>
                                <w:t>-</w:t>
                              </w:r>
                              <w:r w:rsidRPr="0088197E">
                                <w:rPr>
                                  <w:rFonts w:ascii="Times New Roman" w:hAnsi="Times New Roman" w:cs="Times New Roman"/>
                                  <w:spacing w:val="-6"/>
                                  <w:sz w:val="14"/>
                                  <w:szCs w:val="14"/>
                                </w:rPr>
                                <w:t>дінки, зміна місця</w:t>
                              </w:r>
                              <w:r w:rsidRPr="0088197E">
                                <w:rPr>
                                  <w:rFonts w:ascii="Times New Roman" w:hAnsi="Times New Roman" w:cs="Times New Roman"/>
                                  <w:sz w:val="14"/>
                                  <w:szCs w:val="14"/>
                                </w:rPr>
                                <w:t xml:space="preserve"> людини в соці</w:t>
                              </w:r>
                              <w:r>
                                <w:rPr>
                                  <w:rFonts w:ascii="Times New Roman" w:hAnsi="Times New Roman" w:cs="Times New Roman"/>
                                  <w:sz w:val="14"/>
                                  <w:szCs w:val="14"/>
                                </w:rPr>
                                <w:t>-</w:t>
                              </w:r>
                              <w:r w:rsidRPr="0088197E">
                                <w:rPr>
                                  <w:rFonts w:ascii="Times New Roman" w:hAnsi="Times New Roman" w:cs="Times New Roman"/>
                                  <w:sz w:val="14"/>
                                  <w:szCs w:val="14"/>
                                </w:rPr>
                                <w:t>умі</w:t>
                              </w:r>
                            </w:p>
                          </w:txbxContent>
                        </wps:txbx>
                        <wps:bodyPr rot="0" vert="horz" wrap="square" lIns="0" tIns="0" rIns="0" bIns="0" anchor="t" anchorCtr="0" upright="1">
                          <a:noAutofit/>
                        </wps:bodyPr>
                      </wps:wsp>
                      <wps:wsp>
                        <wps:cNvPr id="260" name="Rectangle 144"/>
                        <wps:cNvSpPr>
                          <a:spLocks noChangeArrowheads="1"/>
                        </wps:cNvSpPr>
                        <wps:spPr bwMode="auto">
                          <a:xfrm>
                            <a:off x="737366" y="4203699"/>
                            <a:ext cx="1087544" cy="1450995"/>
                          </a:xfrm>
                          <a:prstGeom prst="rect">
                            <a:avLst/>
                          </a:prstGeom>
                          <a:solidFill>
                            <a:srgbClr val="FFFFFF"/>
                          </a:solidFill>
                          <a:ln w="9525">
                            <a:solidFill>
                              <a:srgbClr val="000000"/>
                            </a:solidFill>
                            <a:miter lim="800000"/>
                            <a:headEnd/>
                            <a:tailEnd/>
                          </a:ln>
                        </wps:spPr>
                        <wps:txbx>
                          <w:txbxContent>
                            <w:p w:rsidR="00BE40F8" w:rsidRPr="0088197E" w:rsidRDefault="00BE40F8" w:rsidP="00B233DE">
                              <w:pPr>
                                <w:ind w:firstLine="0"/>
                                <w:jc w:val="center"/>
                                <w:rPr>
                                  <w:rFonts w:ascii="Times New Roman" w:hAnsi="Times New Roman" w:cs="Times New Roman"/>
                                  <w:sz w:val="14"/>
                                  <w:szCs w:val="14"/>
                                </w:rPr>
                              </w:pPr>
                              <w:r w:rsidRPr="0088197E">
                                <w:rPr>
                                  <w:rFonts w:ascii="Times New Roman" w:hAnsi="Times New Roman" w:cs="Times New Roman"/>
                                  <w:sz w:val="14"/>
                                  <w:szCs w:val="14"/>
                                </w:rPr>
                                <w:t>Інституціональні перетво</w:t>
                              </w:r>
                              <w:r>
                                <w:rPr>
                                  <w:rFonts w:ascii="Times New Roman" w:hAnsi="Times New Roman" w:cs="Times New Roman"/>
                                  <w:sz w:val="14"/>
                                  <w:szCs w:val="14"/>
                                </w:rPr>
                                <w:t>-</w:t>
                              </w:r>
                              <w:r w:rsidRPr="0088197E">
                                <w:rPr>
                                  <w:rFonts w:ascii="Times New Roman" w:hAnsi="Times New Roman" w:cs="Times New Roman"/>
                                  <w:sz w:val="14"/>
                                  <w:szCs w:val="14"/>
                                </w:rPr>
                                <w:t>рення, пов’язані з процеса</w:t>
                              </w:r>
                              <w:r>
                                <w:rPr>
                                  <w:rFonts w:ascii="Times New Roman" w:hAnsi="Times New Roman" w:cs="Times New Roman"/>
                                  <w:sz w:val="14"/>
                                  <w:szCs w:val="14"/>
                                </w:rPr>
                                <w:t>-</w:t>
                              </w:r>
                              <w:r w:rsidRPr="0088197E">
                                <w:rPr>
                                  <w:rFonts w:ascii="Times New Roman" w:hAnsi="Times New Roman" w:cs="Times New Roman"/>
                                  <w:spacing w:val="-8"/>
                                  <w:sz w:val="14"/>
                                  <w:szCs w:val="14"/>
                                </w:rPr>
                                <w:t>ми дискримінації робочої сили:</w:t>
                              </w:r>
                            </w:p>
                            <w:p w:rsidR="00BE40F8" w:rsidRDefault="00BE40F8" w:rsidP="00B233DE">
                              <w:pPr>
                                <w:ind w:firstLine="0"/>
                                <w:jc w:val="both"/>
                                <w:rPr>
                                  <w:rFonts w:ascii="Times New Roman" w:hAnsi="Times New Roman" w:cs="Times New Roman"/>
                                  <w:sz w:val="14"/>
                                  <w:szCs w:val="14"/>
                                </w:rPr>
                              </w:pPr>
                              <w:r w:rsidRPr="0088197E">
                                <w:rPr>
                                  <w:rFonts w:ascii="Times New Roman" w:hAnsi="Times New Roman" w:cs="Times New Roman"/>
                                  <w:sz w:val="14"/>
                                  <w:szCs w:val="14"/>
                                </w:rPr>
                                <w:t>найбільш вживані моделі соціально</w:t>
                              </w:r>
                              <w:r>
                                <w:rPr>
                                  <w:rFonts w:ascii="Times New Roman" w:hAnsi="Times New Roman" w:cs="Times New Roman"/>
                                  <w:sz w:val="14"/>
                                  <w:szCs w:val="14"/>
                                </w:rPr>
                                <w:t xml:space="preserve">ї дискримінації на ринку праці: </w:t>
                              </w:r>
                            </w:p>
                            <w:p w:rsidR="00BE40F8" w:rsidRDefault="00BE40F8" w:rsidP="00B233DE">
                              <w:pPr>
                                <w:ind w:firstLine="0"/>
                                <w:jc w:val="both"/>
                                <w:rPr>
                                  <w:rFonts w:ascii="Times New Roman" w:hAnsi="Times New Roman" w:cs="Times New Roman"/>
                                  <w:sz w:val="14"/>
                                  <w:szCs w:val="14"/>
                                </w:rPr>
                              </w:pPr>
                              <w:r>
                                <w:rPr>
                                  <w:rFonts w:ascii="Times New Roman" w:hAnsi="Times New Roman" w:cs="Times New Roman"/>
                                  <w:sz w:val="14"/>
                                  <w:szCs w:val="14"/>
                                </w:rPr>
                                <w:t>-</w:t>
                              </w:r>
                              <w:r w:rsidRPr="0088197E">
                                <w:rPr>
                                  <w:rFonts w:ascii="Times New Roman" w:hAnsi="Times New Roman" w:cs="Times New Roman"/>
                                  <w:sz w:val="14"/>
                                  <w:szCs w:val="14"/>
                                </w:rPr>
                                <w:t>модель «особистих уперед</w:t>
                              </w:r>
                              <w:r>
                                <w:rPr>
                                  <w:rFonts w:ascii="Times New Roman" w:hAnsi="Times New Roman" w:cs="Times New Roman"/>
                                  <w:sz w:val="14"/>
                                  <w:szCs w:val="14"/>
                                </w:rPr>
                                <w:t>-</w:t>
                              </w:r>
                              <w:r w:rsidRPr="0088197E">
                                <w:rPr>
                                  <w:rFonts w:ascii="Times New Roman" w:hAnsi="Times New Roman" w:cs="Times New Roman"/>
                                  <w:sz w:val="14"/>
                                  <w:szCs w:val="14"/>
                                </w:rPr>
                                <w:t>же</w:t>
                              </w:r>
                              <w:r>
                                <w:rPr>
                                  <w:rFonts w:ascii="Times New Roman" w:hAnsi="Times New Roman" w:cs="Times New Roman"/>
                                  <w:sz w:val="14"/>
                                  <w:szCs w:val="14"/>
                                </w:rPr>
                                <w:t xml:space="preserve">нь Г. Беккера»; </w:t>
                              </w:r>
                            </w:p>
                            <w:p w:rsidR="00BE40F8" w:rsidRPr="0088197E" w:rsidRDefault="00BE40F8" w:rsidP="00B233DE">
                              <w:pPr>
                                <w:ind w:firstLine="0"/>
                                <w:jc w:val="both"/>
                                <w:rPr>
                                  <w:rFonts w:ascii="Times New Roman" w:hAnsi="Times New Roman" w:cs="Times New Roman"/>
                                  <w:sz w:val="14"/>
                                  <w:szCs w:val="14"/>
                                </w:rPr>
                              </w:pPr>
                              <w:r>
                                <w:rPr>
                                  <w:rFonts w:ascii="Times New Roman" w:hAnsi="Times New Roman" w:cs="Times New Roman"/>
                                  <w:sz w:val="14"/>
                                  <w:szCs w:val="14"/>
                                </w:rPr>
                                <w:t>-</w:t>
                              </w:r>
                              <w:r w:rsidRPr="0088197E">
                                <w:rPr>
                                  <w:rFonts w:ascii="Times New Roman" w:hAnsi="Times New Roman" w:cs="Times New Roman"/>
                                  <w:sz w:val="14"/>
                                  <w:szCs w:val="14"/>
                                </w:rPr>
                                <w:t>модель професійної сегре</w:t>
                              </w:r>
                              <w:r>
                                <w:rPr>
                                  <w:rFonts w:ascii="Times New Roman" w:hAnsi="Times New Roman" w:cs="Times New Roman"/>
                                  <w:sz w:val="14"/>
                                  <w:szCs w:val="14"/>
                                </w:rPr>
                                <w:t>-</w:t>
                              </w:r>
                              <w:r w:rsidRPr="0088197E">
                                <w:rPr>
                                  <w:rFonts w:ascii="Times New Roman" w:hAnsi="Times New Roman" w:cs="Times New Roman"/>
                                  <w:sz w:val="14"/>
                                  <w:szCs w:val="14"/>
                                </w:rPr>
                                <w:t>гації;</w:t>
                              </w:r>
                            </w:p>
                            <w:p w:rsidR="00BE40F8" w:rsidRPr="0088197E" w:rsidRDefault="00BE40F8" w:rsidP="00B233DE">
                              <w:pPr>
                                <w:ind w:firstLine="0"/>
                                <w:jc w:val="both"/>
                                <w:rPr>
                                  <w:rFonts w:ascii="Times New Roman" w:hAnsi="Times New Roman" w:cs="Times New Roman"/>
                                  <w:sz w:val="14"/>
                                  <w:szCs w:val="14"/>
                                </w:rPr>
                              </w:pPr>
                              <w:r>
                                <w:rPr>
                                  <w:rFonts w:ascii="Times New Roman" w:hAnsi="Times New Roman" w:cs="Times New Roman"/>
                                  <w:sz w:val="14"/>
                                  <w:szCs w:val="14"/>
                                </w:rPr>
                                <w:t>-</w:t>
                              </w:r>
                              <w:r w:rsidRPr="0088197E">
                                <w:rPr>
                                  <w:rFonts w:ascii="Times New Roman" w:hAnsi="Times New Roman" w:cs="Times New Roman"/>
                                  <w:sz w:val="14"/>
                                  <w:szCs w:val="14"/>
                                </w:rPr>
                                <w:t>модель «викривлення ін</w:t>
                              </w:r>
                              <w:r>
                                <w:rPr>
                                  <w:rFonts w:ascii="Times New Roman" w:hAnsi="Times New Roman" w:cs="Times New Roman"/>
                                  <w:sz w:val="14"/>
                                  <w:szCs w:val="14"/>
                                </w:rPr>
                                <w:t>-</w:t>
                              </w:r>
                              <w:r w:rsidRPr="0088197E">
                                <w:rPr>
                                  <w:rFonts w:ascii="Times New Roman" w:hAnsi="Times New Roman" w:cs="Times New Roman"/>
                                  <w:sz w:val="14"/>
                                  <w:szCs w:val="14"/>
                                </w:rPr>
                                <w:t>формації»;</w:t>
                              </w:r>
                            </w:p>
                            <w:p w:rsidR="00BE40F8" w:rsidRPr="0088197E" w:rsidRDefault="00BE40F8" w:rsidP="00B233DE">
                              <w:pPr>
                                <w:ind w:firstLine="0"/>
                                <w:jc w:val="both"/>
                                <w:rPr>
                                  <w:rFonts w:ascii="Times New Roman" w:hAnsi="Times New Roman" w:cs="Times New Roman"/>
                                  <w:sz w:val="14"/>
                                  <w:szCs w:val="14"/>
                                </w:rPr>
                              </w:pPr>
                              <w:r>
                                <w:rPr>
                                  <w:rFonts w:ascii="Times New Roman" w:hAnsi="Times New Roman" w:cs="Times New Roman"/>
                                  <w:sz w:val="14"/>
                                  <w:szCs w:val="14"/>
                                </w:rPr>
                                <w:t>-</w:t>
                              </w:r>
                              <w:r w:rsidRPr="0088197E">
                                <w:rPr>
                                  <w:rFonts w:ascii="Times New Roman" w:hAnsi="Times New Roman" w:cs="Times New Roman"/>
                                  <w:spacing w:val="-4"/>
                                  <w:sz w:val="14"/>
                                  <w:szCs w:val="14"/>
                                </w:rPr>
                                <w:t>модель «монопсонії» на рин-</w:t>
                              </w:r>
                              <w:r w:rsidRPr="0088197E">
                                <w:rPr>
                                  <w:rFonts w:ascii="Times New Roman" w:hAnsi="Times New Roman" w:cs="Times New Roman"/>
                                  <w:sz w:val="14"/>
                                  <w:szCs w:val="14"/>
                                </w:rPr>
                                <w:t>ку праці</w:t>
                              </w:r>
                            </w:p>
                          </w:txbxContent>
                        </wps:txbx>
                        <wps:bodyPr rot="0" vert="horz" wrap="square" lIns="0" tIns="0" rIns="0" bIns="0" anchor="t" anchorCtr="0" upright="1">
                          <a:noAutofit/>
                        </wps:bodyPr>
                      </wps:wsp>
                      <wps:wsp>
                        <wps:cNvPr id="261" name="Rectangle 145"/>
                        <wps:cNvSpPr>
                          <a:spLocks noChangeArrowheads="1"/>
                        </wps:cNvSpPr>
                        <wps:spPr bwMode="auto">
                          <a:xfrm>
                            <a:off x="37580" y="2813050"/>
                            <a:ext cx="1121707" cy="615950"/>
                          </a:xfrm>
                          <a:prstGeom prst="rect">
                            <a:avLst/>
                          </a:prstGeom>
                          <a:solidFill>
                            <a:srgbClr val="FFFFFF"/>
                          </a:solidFill>
                          <a:ln w="9525">
                            <a:solidFill>
                              <a:srgbClr val="000000"/>
                            </a:solidFill>
                            <a:miter lim="800000"/>
                            <a:headEnd/>
                            <a:tailEnd/>
                          </a:ln>
                        </wps:spPr>
                        <wps:txbx>
                          <w:txbxContent>
                            <w:p w:rsidR="00BE40F8" w:rsidRPr="002C3167" w:rsidRDefault="00BE40F8" w:rsidP="00B233DE">
                              <w:pPr>
                                <w:spacing w:line="230" w:lineRule="auto"/>
                                <w:ind w:firstLine="0"/>
                                <w:jc w:val="center"/>
                                <w:rPr>
                                  <w:rFonts w:ascii="Times New Roman" w:hAnsi="Times New Roman" w:cs="Times New Roman"/>
                                  <w:sz w:val="14"/>
                                  <w:szCs w:val="14"/>
                                </w:rPr>
                              </w:pPr>
                              <w:r w:rsidRPr="002C3167">
                                <w:rPr>
                                  <w:rFonts w:ascii="Times New Roman" w:hAnsi="Times New Roman" w:cs="Times New Roman"/>
                                  <w:sz w:val="14"/>
                                  <w:szCs w:val="14"/>
                                </w:rPr>
                                <w:t>Інституціональні перетво</w:t>
                              </w:r>
                              <w:r>
                                <w:rPr>
                                  <w:rFonts w:ascii="Times New Roman" w:hAnsi="Times New Roman" w:cs="Times New Roman"/>
                                  <w:sz w:val="14"/>
                                  <w:szCs w:val="14"/>
                                </w:rPr>
                                <w:t>-</w:t>
                              </w:r>
                              <w:r w:rsidRPr="002C3167">
                                <w:rPr>
                                  <w:rFonts w:ascii="Times New Roman" w:hAnsi="Times New Roman" w:cs="Times New Roman"/>
                                  <w:sz w:val="14"/>
                                  <w:szCs w:val="14"/>
                                </w:rPr>
                                <w:t xml:space="preserve">рення правових інститутів </w:t>
                              </w:r>
                              <w:r w:rsidRPr="002C3167">
                                <w:rPr>
                                  <w:rFonts w:ascii="Times New Roman" w:hAnsi="Times New Roman" w:cs="Times New Roman"/>
                                  <w:spacing w:val="-6"/>
                                  <w:sz w:val="14"/>
                                  <w:szCs w:val="14"/>
                                </w:rPr>
                                <w:t xml:space="preserve">(зміни в Конституції України </w:t>
                              </w:r>
                              <w:r w:rsidRPr="00C35977">
                                <w:rPr>
                                  <w:rFonts w:ascii="Times New Roman" w:hAnsi="Times New Roman" w:cs="Times New Roman"/>
                                  <w:spacing w:val="-6"/>
                                  <w:sz w:val="14"/>
                                  <w:szCs w:val="14"/>
                                </w:rPr>
                                <w:t>та інших нормативно-право-вих актах в сфері праці); рати-</w:t>
                              </w:r>
                              <w:r w:rsidRPr="002C3167">
                                <w:rPr>
                                  <w:rFonts w:ascii="Times New Roman" w:hAnsi="Times New Roman" w:cs="Times New Roman"/>
                                  <w:sz w:val="14"/>
                                  <w:szCs w:val="14"/>
                                </w:rPr>
                                <w:t xml:space="preserve">фікація </w:t>
                              </w:r>
                              <w:r w:rsidRPr="002C3167">
                                <w:rPr>
                                  <w:rFonts w:ascii="Times New Roman" w:hAnsi="Times New Roman" w:cs="Times New Roman"/>
                                  <w:bCs/>
                                  <w:color w:val="000000"/>
                                  <w:sz w:val="14"/>
                                  <w:szCs w:val="14"/>
                                </w:rPr>
                                <w:t xml:space="preserve">Конвенцій МОП </w:t>
                              </w:r>
                            </w:p>
                          </w:txbxContent>
                        </wps:txbx>
                        <wps:bodyPr rot="0" vert="horz" wrap="square" lIns="0" tIns="0" rIns="0" bIns="0" anchor="t" anchorCtr="0" upright="1">
                          <a:noAutofit/>
                        </wps:bodyPr>
                      </wps:wsp>
                      <wps:wsp>
                        <wps:cNvPr id="262" name="Rectangle 146"/>
                        <wps:cNvSpPr>
                          <a:spLocks noChangeArrowheads="1"/>
                        </wps:cNvSpPr>
                        <wps:spPr bwMode="auto">
                          <a:xfrm>
                            <a:off x="2178051" y="3145153"/>
                            <a:ext cx="1650999" cy="626747"/>
                          </a:xfrm>
                          <a:prstGeom prst="rect">
                            <a:avLst/>
                          </a:prstGeom>
                          <a:solidFill>
                            <a:srgbClr val="FFFFFF"/>
                          </a:solidFill>
                          <a:ln w="9525">
                            <a:solidFill>
                              <a:srgbClr val="000000"/>
                            </a:solidFill>
                            <a:miter lim="800000"/>
                            <a:headEnd/>
                            <a:tailEnd/>
                          </a:ln>
                        </wps:spPr>
                        <wps:txbx>
                          <w:txbxContent>
                            <w:p w:rsidR="00BE40F8" w:rsidRPr="009E7095" w:rsidRDefault="00BE40F8" w:rsidP="00B233DE">
                              <w:pPr>
                                <w:spacing w:line="230" w:lineRule="auto"/>
                                <w:ind w:firstLine="0"/>
                                <w:jc w:val="center"/>
                                <w:rPr>
                                  <w:rFonts w:ascii="Times New Roman" w:hAnsi="Times New Roman" w:cs="Times New Roman"/>
                                  <w:sz w:val="14"/>
                                  <w:szCs w:val="14"/>
                                </w:rPr>
                              </w:pPr>
                              <w:r w:rsidRPr="009E7095">
                                <w:rPr>
                                  <w:rFonts w:ascii="Times New Roman" w:hAnsi="Times New Roman" w:cs="Times New Roman"/>
                                  <w:sz w:val="14"/>
                                  <w:szCs w:val="14"/>
                                </w:rPr>
                                <w:t>Інституціональні перетворення інститутів:</w:t>
                              </w:r>
                            </w:p>
                            <w:p w:rsidR="00BE40F8" w:rsidRPr="009E7095" w:rsidRDefault="00BE40F8" w:rsidP="00B233DE">
                              <w:pPr>
                                <w:spacing w:line="230" w:lineRule="auto"/>
                                <w:ind w:firstLine="0"/>
                                <w:jc w:val="both"/>
                                <w:rPr>
                                  <w:rFonts w:ascii="Times New Roman" w:hAnsi="Times New Roman" w:cs="Times New Roman"/>
                                  <w:sz w:val="14"/>
                                  <w:szCs w:val="14"/>
                                </w:rPr>
                              </w:pPr>
                              <w:r w:rsidRPr="009E7095">
                                <w:rPr>
                                  <w:rFonts w:ascii="Times New Roman" w:hAnsi="Times New Roman" w:cs="Times New Roman"/>
                                  <w:sz w:val="14"/>
                                  <w:szCs w:val="14"/>
                                </w:rPr>
                                <w:t>соціальної політики, соціального захисту, страхування, соціального партнерства, со</w:t>
                              </w:r>
                              <w:r>
                                <w:rPr>
                                  <w:rFonts w:ascii="Times New Roman" w:hAnsi="Times New Roman" w:cs="Times New Roman"/>
                                  <w:sz w:val="14"/>
                                  <w:szCs w:val="14"/>
                                </w:rPr>
                                <w:t>-</w:t>
                              </w:r>
                              <w:r w:rsidRPr="009E7095">
                                <w:rPr>
                                  <w:rFonts w:ascii="Times New Roman" w:hAnsi="Times New Roman" w:cs="Times New Roman"/>
                                  <w:sz w:val="14"/>
                                  <w:szCs w:val="14"/>
                                </w:rPr>
                                <w:t xml:space="preserve">ціального підприємництва, соціальної </w:t>
                              </w:r>
                              <w:r>
                                <w:rPr>
                                  <w:rFonts w:ascii="Times New Roman" w:hAnsi="Times New Roman" w:cs="Times New Roman"/>
                                  <w:sz w:val="14"/>
                                  <w:szCs w:val="14"/>
                                </w:rPr>
                                <w:t>звіт-</w:t>
                              </w:r>
                              <w:r w:rsidRPr="002C3167">
                                <w:rPr>
                                  <w:rFonts w:ascii="Times New Roman" w:hAnsi="Times New Roman" w:cs="Times New Roman"/>
                                  <w:spacing w:val="-6"/>
                                  <w:sz w:val="14"/>
                                  <w:szCs w:val="14"/>
                                </w:rPr>
                                <w:t>ності, соціального аудиту; розвиток інститу</w:t>
                              </w:r>
                              <w:r w:rsidRPr="009E7095">
                                <w:rPr>
                                  <w:rFonts w:ascii="Times New Roman" w:hAnsi="Times New Roman" w:cs="Times New Roman"/>
                                  <w:sz w:val="14"/>
                                  <w:szCs w:val="14"/>
                                </w:rPr>
                                <w:t>ту непрофсоюзного представництва</w:t>
                              </w:r>
                            </w:p>
                          </w:txbxContent>
                        </wps:txbx>
                        <wps:bodyPr rot="0" vert="horz" wrap="square" lIns="0" tIns="0" rIns="0" bIns="0" anchor="t" anchorCtr="0" upright="1">
                          <a:noAutofit/>
                        </wps:bodyPr>
                      </wps:wsp>
                      <wps:wsp>
                        <wps:cNvPr id="265" name="Line 149"/>
                        <wps:cNvCnPr/>
                        <wps:spPr bwMode="auto">
                          <a:xfrm flipH="1">
                            <a:off x="1867046" y="3262780"/>
                            <a:ext cx="6833" cy="169174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6" name="Line 150"/>
                        <wps:cNvCnPr/>
                        <wps:spPr bwMode="auto">
                          <a:xfrm>
                            <a:off x="1872740" y="4960793"/>
                            <a:ext cx="706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7" name="Line 151"/>
                        <wps:cNvCnPr/>
                        <wps:spPr bwMode="auto">
                          <a:xfrm flipV="1">
                            <a:off x="1872329" y="3951472"/>
                            <a:ext cx="113879" cy="5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8" name="Line 152"/>
                        <wps:cNvCnPr/>
                        <wps:spPr bwMode="auto">
                          <a:xfrm flipH="1">
                            <a:off x="1699644" y="3587350"/>
                            <a:ext cx="162278" cy="569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9" name="Line 153"/>
                        <wps:cNvCnPr/>
                        <wps:spPr bwMode="auto">
                          <a:xfrm flipV="1">
                            <a:off x="676836" y="4155699"/>
                            <a:ext cx="1210534" cy="45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0" name="Line 154"/>
                        <wps:cNvCnPr/>
                        <wps:spPr bwMode="auto">
                          <a:xfrm flipH="1" flipV="1">
                            <a:off x="1797580" y="4620279"/>
                            <a:ext cx="64342" cy="51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1" name="Line 155"/>
                        <wps:cNvCnPr/>
                        <wps:spPr bwMode="auto">
                          <a:xfrm>
                            <a:off x="1170107" y="2857353"/>
                            <a:ext cx="27331"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2" name="Line 156"/>
                        <wps:cNvCnPr/>
                        <wps:spPr bwMode="auto">
                          <a:xfrm>
                            <a:off x="2119857" y="3151385"/>
                            <a:ext cx="58194" cy="23316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3" name="Line 157"/>
                        <wps:cNvCnPr/>
                        <wps:spPr bwMode="auto">
                          <a:xfrm flipV="1">
                            <a:off x="1645552" y="2588016"/>
                            <a:ext cx="0" cy="5352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5" name="Line 159"/>
                        <wps:cNvCnPr/>
                        <wps:spPr bwMode="auto">
                          <a:xfrm>
                            <a:off x="1170107" y="2467869"/>
                            <a:ext cx="6661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6" name="Line 160"/>
                        <wps:cNvCnPr/>
                        <wps:spPr bwMode="auto">
                          <a:xfrm flipH="1" flipV="1">
                            <a:off x="1201993" y="960043"/>
                            <a:ext cx="10819" cy="149757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7" name="Line 161"/>
                        <wps:cNvCnPr/>
                        <wps:spPr bwMode="auto">
                          <a:xfrm flipH="1">
                            <a:off x="1170107" y="970862"/>
                            <a:ext cx="375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8" name="Line 162"/>
                        <wps:cNvCnPr/>
                        <wps:spPr bwMode="auto">
                          <a:xfrm>
                            <a:off x="1218505" y="1175854"/>
                            <a:ext cx="3188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0" name="Line 164"/>
                        <wps:cNvCnPr/>
                        <wps:spPr bwMode="auto">
                          <a:xfrm flipV="1">
                            <a:off x="2401891" y="1019263"/>
                            <a:ext cx="38149" cy="51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1" name="Line 165"/>
                        <wps:cNvCnPr/>
                        <wps:spPr bwMode="auto">
                          <a:xfrm flipV="1">
                            <a:off x="2367665" y="2258323"/>
                            <a:ext cx="73277" cy="512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8" name="Line 172"/>
                        <wps:cNvCnPr/>
                        <wps:spPr bwMode="auto">
                          <a:xfrm>
                            <a:off x="1159288" y="890004"/>
                            <a:ext cx="9167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9" name="Line 173"/>
                        <wps:cNvCnPr/>
                        <wps:spPr bwMode="auto">
                          <a:xfrm>
                            <a:off x="2367665" y="857548"/>
                            <a:ext cx="80854" cy="51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0" name="Line 174"/>
                        <wps:cNvCnPr/>
                        <wps:spPr bwMode="auto">
                          <a:xfrm>
                            <a:off x="1824910" y="1555018"/>
                            <a:ext cx="2965" cy="6548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1" name="Rectangle 175"/>
                        <wps:cNvSpPr>
                          <a:spLocks noChangeArrowheads="1"/>
                        </wps:cNvSpPr>
                        <wps:spPr bwMode="auto">
                          <a:xfrm>
                            <a:off x="1992313" y="3803650"/>
                            <a:ext cx="1828327" cy="635000"/>
                          </a:xfrm>
                          <a:prstGeom prst="rect">
                            <a:avLst/>
                          </a:prstGeom>
                          <a:solidFill>
                            <a:srgbClr val="FFFFFF"/>
                          </a:solidFill>
                          <a:ln w="9525">
                            <a:solidFill>
                              <a:srgbClr val="000000"/>
                            </a:solidFill>
                            <a:miter lim="800000"/>
                            <a:headEnd/>
                            <a:tailEnd/>
                          </a:ln>
                        </wps:spPr>
                        <wps:txbx>
                          <w:txbxContent>
                            <w:p w:rsidR="00BE40F8" w:rsidRPr="002C3167" w:rsidRDefault="00BE40F8" w:rsidP="00B233DE">
                              <w:pPr>
                                <w:ind w:firstLine="0"/>
                                <w:jc w:val="both"/>
                                <w:rPr>
                                  <w:rFonts w:ascii="Times New Roman" w:hAnsi="Times New Roman" w:cs="Times New Roman"/>
                                  <w:sz w:val="14"/>
                                  <w:szCs w:val="14"/>
                                </w:rPr>
                              </w:pPr>
                              <w:r w:rsidRPr="002C3167">
                                <w:rPr>
                                  <w:rFonts w:ascii="Times New Roman" w:hAnsi="Times New Roman" w:cs="Times New Roman"/>
                                  <w:spacing w:val="-6"/>
                                  <w:sz w:val="14"/>
                                  <w:szCs w:val="14"/>
                                </w:rPr>
                                <w:t>Зміни під впливом НТП: формування світової комп-ютерної мережі як н</w:t>
                              </w:r>
                              <w:r>
                                <w:rPr>
                                  <w:rFonts w:ascii="Times New Roman" w:hAnsi="Times New Roman" w:cs="Times New Roman"/>
                                  <w:spacing w:val="-6"/>
                                  <w:sz w:val="14"/>
                                  <w:szCs w:val="14"/>
                                </w:rPr>
                                <w:t>ового інституту на ринку праці</w:t>
                              </w:r>
                              <w:r w:rsidRPr="002C3167">
                                <w:rPr>
                                  <w:rFonts w:ascii="Times New Roman" w:hAnsi="Times New Roman" w:cs="Times New Roman"/>
                                  <w:sz w:val="14"/>
                                  <w:szCs w:val="14"/>
                                </w:rPr>
                                <w:t>; збільшення зайнятості у сфері інтелектуаль</w:t>
                              </w:r>
                              <w:r>
                                <w:rPr>
                                  <w:rFonts w:ascii="Times New Roman" w:hAnsi="Times New Roman" w:cs="Times New Roman"/>
                                  <w:sz w:val="14"/>
                                  <w:szCs w:val="14"/>
                                </w:rPr>
                                <w:t>-</w:t>
                              </w:r>
                              <w:r w:rsidRPr="002C3167">
                                <w:rPr>
                                  <w:rFonts w:ascii="Times New Roman" w:hAnsi="Times New Roman" w:cs="Times New Roman"/>
                                  <w:sz w:val="14"/>
                                  <w:szCs w:val="14"/>
                                </w:rPr>
                                <w:t>них послуг; зростання попиту на інтелекту</w:t>
                              </w:r>
                              <w:r>
                                <w:rPr>
                                  <w:rFonts w:ascii="Times New Roman" w:hAnsi="Times New Roman" w:cs="Times New Roman"/>
                                  <w:sz w:val="14"/>
                                  <w:szCs w:val="14"/>
                                </w:rPr>
                                <w:t>-</w:t>
                              </w:r>
                              <w:r w:rsidRPr="002C3167">
                                <w:rPr>
                                  <w:rFonts w:ascii="Times New Roman" w:hAnsi="Times New Roman" w:cs="Times New Roman"/>
                                  <w:spacing w:val="-6"/>
                                  <w:sz w:val="14"/>
                                  <w:szCs w:val="14"/>
                                </w:rPr>
                                <w:t>альну працю, нові технологічні процеси; покращен-ня освітньо-кваліфікаційної структури зайнятих</w:t>
                              </w:r>
                            </w:p>
                          </w:txbxContent>
                        </wps:txbx>
                        <wps:bodyPr rot="0" vert="horz" wrap="square" lIns="0" tIns="0" rIns="0" bIns="0" anchor="t" anchorCtr="0" upright="1">
                          <a:noAutofit/>
                        </wps:bodyPr>
                      </wps:wsp>
                      <wps:wsp>
                        <wps:cNvPr id="292" name="Rectangle 176"/>
                        <wps:cNvSpPr>
                          <a:spLocks noChangeArrowheads="1"/>
                        </wps:cNvSpPr>
                        <wps:spPr bwMode="auto">
                          <a:xfrm>
                            <a:off x="37581" y="3467100"/>
                            <a:ext cx="1712170" cy="654050"/>
                          </a:xfrm>
                          <a:prstGeom prst="rect">
                            <a:avLst/>
                          </a:prstGeom>
                          <a:solidFill>
                            <a:srgbClr val="FFFFFF"/>
                          </a:solidFill>
                          <a:ln w="9525">
                            <a:solidFill>
                              <a:srgbClr val="000000"/>
                            </a:solidFill>
                            <a:miter lim="800000"/>
                            <a:headEnd/>
                            <a:tailEnd/>
                          </a:ln>
                        </wps:spPr>
                        <wps:txbx>
                          <w:txbxContent>
                            <w:p w:rsidR="00BE40F8" w:rsidRDefault="00BE40F8" w:rsidP="00B233DE">
                              <w:pPr>
                                <w:ind w:firstLine="0"/>
                                <w:jc w:val="center"/>
                                <w:rPr>
                                  <w:rFonts w:ascii="Times New Roman" w:hAnsi="Times New Roman" w:cs="Times New Roman"/>
                                  <w:sz w:val="14"/>
                                  <w:szCs w:val="14"/>
                                </w:rPr>
                              </w:pPr>
                              <w:r w:rsidRPr="004028F9">
                                <w:rPr>
                                  <w:rFonts w:ascii="Times New Roman" w:hAnsi="Times New Roman" w:cs="Times New Roman"/>
                                  <w:sz w:val="14"/>
                                  <w:szCs w:val="14"/>
                                </w:rPr>
                                <w:t>Зміни в реальному ринку прац</w:t>
                              </w:r>
                              <w:r>
                                <w:rPr>
                                  <w:rFonts w:ascii="Times New Roman" w:hAnsi="Times New Roman" w:cs="Times New Roman"/>
                                  <w:sz w:val="14"/>
                                  <w:szCs w:val="14"/>
                                </w:rPr>
                                <w:t xml:space="preserve">і (РеРП) та </w:t>
                              </w:r>
                              <w:r w:rsidRPr="00214D65">
                                <w:rPr>
                                  <w:rFonts w:ascii="Times New Roman" w:hAnsi="Times New Roman" w:cs="Times New Roman"/>
                                  <w:spacing w:val="-6"/>
                                  <w:sz w:val="14"/>
                                  <w:szCs w:val="14"/>
                                </w:rPr>
                                <w:t>його інфраструктурі: на первинному та вторин-</w:t>
                              </w:r>
                              <w:r>
                                <w:rPr>
                                  <w:rFonts w:ascii="Times New Roman" w:hAnsi="Times New Roman" w:cs="Times New Roman"/>
                                  <w:sz w:val="14"/>
                                  <w:szCs w:val="14"/>
                                </w:rPr>
                                <w:t>ному ринках праці; в розрізі професій в роз-різі територій; в розрізі галузей; на</w:t>
                              </w:r>
                              <w:r w:rsidRPr="004028F9">
                                <w:rPr>
                                  <w:rFonts w:ascii="Times New Roman" w:hAnsi="Times New Roman" w:cs="Times New Roman"/>
                                  <w:sz w:val="14"/>
                                  <w:szCs w:val="14"/>
                                </w:rPr>
                                <w:t xml:space="preserve"> ринку праці наукомістких виробництв; інновації </w:t>
                              </w:r>
                            </w:p>
                            <w:p w:rsidR="00BE40F8" w:rsidRPr="004028F9" w:rsidRDefault="00BE40F8" w:rsidP="00B233DE">
                              <w:pPr>
                                <w:ind w:firstLine="0"/>
                                <w:jc w:val="center"/>
                                <w:rPr>
                                  <w:rFonts w:ascii="Times New Roman" w:hAnsi="Times New Roman" w:cs="Times New Roman"/>
                                  <w:sz w:val="14"/>
                                  <w:szCs w:val="14"/>
                                </w:rPr>
                              </w:pPr>
                              <w:r w:rsidRPr="004028F9">
                                <w:rPr>
                                  <w:rFonts w:ascii="Times New Roman" w:hAnsi="Times New Roman" w:cs="Times New Roman"/>
                                  <w:sz w:val="14"/>
                                  <w:szCs w:val="14"/>
                                </w:rPr>
                                <w:t>в Державній службі зайнятості</w:t>
                              </w:r>
                            </w:p>
                          </w:txbxContent>
                        </wps:txbx>
                        <wps:bodyPr rot="0" vert="horz" wrap="square" lIns="0" tIns="0" rIns="0" bIns="0" anchor="t" anchorCtr="0" upright="1">
                          <a:noAutofit/>
                        </wps:bodyPr>
                      </wps:wsp>
                    </wpc:wpc>
                  </a:graphicData>
                </a:graphic>
              </wp:inline>
            </w:drawing>
          </mc:Choice>
          <mc:Fallback>
            <w:pict>
              <v:group w14:anchorId="71B6C71B" id="Полотно 295" o:spid="_x0000_s1126" editas="canvas" style="width:301.6pt;height:446.5pt;mso-position-horizontal-relative:char;mso-position-vertical-relative:line" coordsize="38303,56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27" type="#_x0000_t75" style="position:absolute;width:38303;height:56705;visibility:visible;mso-wrap-style:square" stroked="t" strokecolor="white">
                  <v:fill o:detectmouseclick="t"/>
                  <v:stroke dashstyle="longDash"/>
                  <v:path o:connecttype="none"/>
                </v:shape>
                <v:rect id="Rectangle 124" o:spid="_x0000_s1128" style="position:absolute;left:19274;top:44831;width:18858;height:1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">
                  <v:textbox inset="0,0,0,0">
                    <w:txbxContent>
                      <w:p w:rsidR="00BE40F8" w:rsidRPr="00B5443B" w:rsidRDefault="00BE40F8" w:rsidP="00B233DE">
                        <w:pPr>
                          <w:ind w:firstLine="0"/>
                          <w:jc w:val="center"/>
                          <w:rPr>
                            <w:rFonts w:ascii="Times New Roman" w:hAnsi="Times New Roman" w:cs="Times New Roman"/>
                            <w:sz w:val="14"/>
                            <w:szCs w:val="14"/>
                          </w:rPr>
                        </w:pPr>
                        <w:r w:rsidRPr="00B5443B">
                          <w:rPr>
                            <w:rFonts w:ascii="Times New Roman" w:hAnsi="Times New Roman" w:cs="Times New Roman"/>
                            <w:sz w:val="14"/>
                            <w:szCs w:val="14"/>
                          </w:rPr>
                          <w:t xml:space="preserve">Зародження національного віртуального ринку </w:t>
                        </w:r>
                      </w:p>
                      <w:p w:rsidR="00BE40F8" w:rsidRPr="00B5443B" w:rsidRDefault="00BE40F8" w:rsidP="00B233DE">
                        <w:pPr>
                          <w:ind w:firstLine="0"/>
                          <w:jc w:val="center"/>
                          <w:rPr>
                            <w:rFonts w:ascii="Times New Roman" w:hAnsi="Times New Roman" w:cs="Times New Roman"/>
                            <w:sz w:val="14"/>
                            <w:szCs w:val="14"/>
                          </w:rPr>
                        </w:pPr>
                        <w:r>
                          <w:rPr>
                            <w:rFonts w:ascii="Times New Roman" w:hAnsi="Times New Roman" w:cs="Times New Roman"/>
                            <w:sz w:val="14"/>
                            <w:szCs w:val="14"/>
                          </w:rPr>
                          <w:t xml:space="preserve">праці </w:t>
                        </w:r>
                        <w:r w:rsidRPr="00B5443B">
                          <w:rPr>
                            <w:rFonts w:ascii="Times New Roman" w:hAnsi="Times New Roman" w:cs="Times New Roman"/>
                            <w:sz w:val="14"/>
                            <w:szCs w:val="14"/>
                          </w:rPr>
                          <w:t xml:space="preserve">(ВРП) та його інфраструктури: </w:t>
                        </w:r>
                      </w:p>
                      <w:p w:rsidR="00BE40F8" w:rsidRPr="00B5443B" w:rsidRDefault="00BE40F8" w:rsidP="00B233DE">
                        <w:pPr>
                          <w:ind w:firstLine="0"/>
                          <w:jc w:val="both"/>
                          <w:rPr>
                            <w:rFonts w:ascii="Times New Roman" w:hAnsi="Times New Roman" w:cs="Times New Roman"/>
                            <w:sz w:val="14"/>
                            <w:szCs w:val="14"/>
                          </w:rPr>
                        </w:pPr>
                        <w:r w:rsidRPr="00B5443B">
                          <w:rPr>
                            <w:rFonts w:ascii="Times New Roman" w:hAnsi="Times New Roman" w:cs="Times New Roman"/>
                            <w:sz w:val="14"/>
                            <w:szCs w:val="14"/>
                          </w:rPr>
                          <w:t xml:space="preserve">а) мережеві інформаційні інститути ринку праці, </w:t>
                        </w:r>
                        <w:r w:rsidRPr="00054284">
                          <w:rPr>
                            <w:rFonts w:ascii="Times New Roman" w:hAnsi="Times New Roman" w:cs="Times New Roman"/>
                            <w:spacing w:val="-8"/>
                            <w:sz w:val="14"/>
                            <w:szCs w:val="14"/>
                          </w:rPr>
                          <w:t>які зв’язані між собою пошуковими серверами (біржі</w:t>
                        </w:r>
                        <w:r w:rsidRPr="00B5443B">
                          <w:rPr>
                            <w:rFonts w:ascii="Times New Roman" w:hAnsi="Times New Roman" w:cs="Times New Roman"/>
                            <w:sz w:val="14"/>
                            <w:szCs w:val="14"/>
                          </w:rPr>
                          <w:t xml:space="preserve"> </w:t>
                        </w:r>
                        <w:r w:rsidRPr="00054284">
                          <w:rPr>
                            <w:rFonts w:ascii="Times New Roman" w:hAnsi="Times New Roman" w:cs="Times New Roman"/>
                            <w:spacing w:val="-4"/>
                            <w:sz w:val="14"/>
                            <w:szCs w:val="14"/>
                          </w:rPr>
                          <w:t>праці для ІТ-фахівці, ресурси для студентів та ви-</w:t>
                        </w:r>
                        <w:r>
                          <w:rPr>
                            <w:rFonts w:ascii="Times New Roman" w:hAnsi="Times New Roman" w:cs="Times New Roman"/>
                            <w:sz w:val="14"/>
                            <w:szCs w:val="14"/>
                          </w:rPr>
                          <w:t xml:space="preserve">пускників, </w:t>
                        </w:r>
                        <w:r w:rsidRPr="00B5443B">
                          <w:rPr>
                            <w:rFonts w:ascii="Times New Roman" w:hAnsi="Times New Roman" w:cs="Times New Roman"/>
                            <w:sz w:val="14"/>
                            <w:szCs w:val="14"/>
                          </w:rPr>
                          <w:t>соціальн</w:t>
                        </w:r>
                        <w:r>
                          <w:rPr>
                            <w:rFonts w:ascii="Times New Roman" w:hAnsi="Times New Roman" w:cs="Times New Roman"/>
                            <w:sz w:val="14"/>
                            <w:szCs w:val="14"/>
                          </w:rPr>
                          <w:t>і</w:t>
                        </w:r>
                        <w:r w:rsidRPr="00B5443B">
                          <w:rPr>
                            <w:rFonts w:ascii="Times New Roman" w:hAnsi="Times New Roman" w:cs="Times New Roman"/>
                            <w:sz w:val="14"/>
                            <w:szCs w:val="14"/>
                          </w:rPr>
                          <w:t xml:space="preserve"> мереж</w:t>
                        </w:r>
                        <w:r>
                          <w:rPr>
                            <w:rFonts w:ascii="Times New Roman" w:hAnsi="Times New Roman" w:cs="Times New Roman"/>
                            <w:sz w:val="14"/>
                            <w:szCs w:val="14"/>
                          </w:rPr>
                          <w:t>і);</w:t>
                        </w:r>
                      </w:p>
                      <w:p w:rsidR="00BE40F8" w:rsidRPr="00B5443B" w:rsidRDefault="00BE40F8" w:rsidP="00B233DE">
                        <w:pPr>
                          <w:ind w:firstLine="0"/>
                          <w:jc w:val="both"/>
                          <w:rPr>
                            <w:rFonts w:ascii="Times New Roman" w:hAnsi="Times New Roman" w:cs="Times New Roman"/>
                            <w:sz w:val="14"/>
                            <w:szCs w:val="14"/>
                          </w:rPr>
                        </w:pPr>
                        <w:r w:rsidRPr="00B5443B">
                          <w:rPr>
                            <w:rFonts w:ascii="Times New Roman" w:hAnsi="Times New Roman" w:cs="Times New Roman"/>
                            <w:sz w:val="14"/>
                            <w:szCs w:val="14"/>
                          </w:rPr>
                          <w:t xml:space="preserve">б) мережеві консультаційні </w:t>
                        </w:r>
                        <w:r>
                          <w:rPr>
                            <w:rFonts w:ascii="Times New Roman" w:hAnsi="Times New Roman" w:cs="Times New Roman"/>
                            <w:sz w:val="14"/>
                            <w:szCs w:val="14"/>
                          </w:rPr>
                          <w:t>/ освітні інститути ринку праці;</w:t>
                        </w:r>
                      </w:p>
                      <w:p w:rsidR="00BE40F8" w:rsidRPr="00B5443B" w:rsidRDefault="00BE40F8" w:rsidP="00B233DE">
                        <w:pPr>
                          <w:ind w:firstLine="0"/>
                          <w:jc w:val="both"/>
                          <w:rPr>
                            <w:rFonts w:ascii="Times New Roman" w:hAnsi="Times New Roman" w:cs="Times New Roman"/>
                            <w:sz w:val="14"/>
                            <w:szCs w:val="14"/>
                          </w:rPr>
                        </w:pPr>
                        <w:r w:rsidRPr="00B5443B">
                          <w:rPr>
                            <w:rFonts w:ascii="Times New Roman" w:hAnsi="Times New Roman" w:cs="Times New Roman"/>
                            <w:sz w:val="14"/>
                            <w:szCs w:val="14"/>
                          </w:rPr>
                          <w:t>в) мережеві формальні інститут</w:t>
                        </w:r>
                        <w:r>
                          <w:rPr>
                            <w:rFonts w:ascii="Times New Roman" w:hAnsi="Times New Roman" w:cs="Times New Roman"/>
                            <w:sz w:val="14"/>
                            <w:szCs w:val="14"/>
                          </w:rPr>
                          <w:t>и ринку праці</w:t>
                        </w:r>
                        <w:r w:rsidRPr="00B5443B">
                          <w:rPr>
                            <w:rFonts w:ascii="Times New Roman" w:hAnsi="Times New Roman" w:cs="Times New Roman"/>
                            <w:sz w:val="14"/>
                            <w:szCs w:val="14"/>
                          </w:rPr>
                          <w:t>;</w:t>
                        </w:r>
                      </w:p>
                      <w:p w:rsidR="00BE40F8" w:rsidRPr="00B5443B" w:rsidRDefault="00BE40F8" w:rsidP="00B233DE">
                        <w:pPr>
                          <w:ind w:firstLine="0"/>
                          <w:jc w:val="both"/>
                          <w:rPr>
                            <w:rFonts w:ascii="Times New Roman" w:hAnsi="Times New Roman" w:cs="Times New Roman"/>
                            <w:sz w:val="14"/>
                            <w:szCs w:val="14"/>
                          </w:rPr>
                        </w:pPr>
                        <w:r w:rsidRPr="00B5443B">
                          <w:rPr>
                            <w:rFonts w:ascii="Times New Roman" w:hAnsi="Times New Roman" w:cs="Times New Roman"/>
                            <w:sz w:val="14"/>
                            <w:szCs w:val="14"/>
                          </w:rPr>
                          <w:t>г) мережеві неф</w:t>
                        </w:r>
                        <w:r>
                          <w:rPr>
                            <w:rFonts w:ascii="Times New Roman" w:hAnsi="Times New Roman" w:cs="Times New Roman"/>
                            <w:sz w:val="14"/>
                            <w:szCs w:val="14"/>
                          </w:rPr>
                          <w:t>ормальні інститути ринку праці</w:t>
                        </w:r>
                      </w:p>
                    </w:txbxContent>
                  </v:textbox>
                </v:rect>
                <v:roundrect id="AutoShape 125" o:spid="_x0000_s1129" style="position:absolute;left:12367;top:5082;width:12047;height:222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">
                  <v:textbox inset="0,0,0,0">
                    <w:txbxContent>
                      <w:p w:rsidR="00BE40F8" w:rsidRPr="001802CC" w:rsidRDefault="00BE40F8" w:rsidP="00B233DE">
                        <w:pPr>
                          <w:spacing w:line="228" w:lineRule="auto"/>
                          <w:ind w:firstLine="0"/>
                          <w:jc w:val="center"/>
                          <w:rPr>
                            <w:rFonts w:ascii="Times New Roman" w:hAnsi="Times New Roman" w:cs="Times New Roman"/>
                            <w:sz w:val="14"/>
                            <w:szCs w:val="14"/>
                          </w:rPr>
                        </w:pPr>
                        <w:r w:rsidRPr="001802CC">
                          <w:rPr>
                            <w:rFonts w:ascii="Times New Roman" w:hAnsi="Times New Roman" w:cs="Times New Roman"/>
                            <w:sz w:val="14"/>
                            <w:szCs w:val="14"/>
                          </w:rPr>
                          <w:t>Трансформація інституту зайнятості</w:t>
                        </w:r>
                      </w:p>
                    </w:txbxContent>
                  </v:textbox>
                </v:roundrect>
                <v:rect id="Rectangle 126" o:spid="_x0000_s1130" style="position:absolute;left:25590;top:603;width:12700;height:5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">
                  <v:textbox inset="0,0,0,0">
                    <w:txbxContent>
                      <w:p w:rsidR="00BE40F8" w:rsidRPr="00B05317" w:rsidRDefault="00BE40F8" w:rsidP="00B233DE">
                        <w:pPr>
                          <w:spacing w:line="233" w:lineRule="auto"/>
                          <w:ind w:firstLine="0"/>
                          <w:jc w:val="center"/>
                          <w:rPr>
                            <w:rFonts w:ascii="Times New Roman" w:hAnsi="Times New Roman" w:cs="Times New Roman"/>
                            <w:spacing w:val="-6"/>
                            <w:sz w:val="14"/>
                            <w:szCs w:val="14"/>
                          </w:rPr>
                        </w:pPr>
                        <w:r w:rsidRPr="00785435">
                          <w:rPr>
                            <w:rFonts w:ascii="Times New Roman" w:hAnsi="Times New Roman" w:cs="Times New Roman"/>
                            <w:spacing w:val="-6"/>
                            <w:sz w:val="14"/>
                            <w:szCs w:val="14"/>
                          </w:rPr>
                          <w:t>Зайнятість у соціально-орієн</w:t>
                        </w:r>
                        <w:r w:rsidRPr="00B05317">
                          <w:rPr>
                            <w:rFonts w:ascii="Times New Roman" w:hAnsi="Times New Roman" w:cs="Times New Roman"/>
                            <w:spacing w:val="-6"/>
                            <w:sz w:val="14"/>
                            <w:szCs w:val="14"/>
                          </w:rPr>
                          <w:t>това</w:t>
                        </w:r>
                        <w:r>
                          <w:rPr>
                            <w:rFonts w:ascii="Times New Roman" w:hAnsi="Times New Roman" w:cs="Times New Roman"/>
                            <w:spacing w:val="-6"/>
                            <w:sz w:val="14"/>
                            <w:szCs w:val="14"/>
                          </w:rPr>
                          <w:t>-</w:t>
                        </w:r>
                        <w:r w:rsidRPr="00B05317">
                          <w:rPr>
                            <w:rFonts w:ascii="Times New Roman" w:hAnsi="Times New Roman" w:cs="Times New Roman"/>
                            <w:spacing w:val="-6"/>
                            <w:sz w:val="14"/>
                            <w:szCs w:val="14"/>
                          </w:rPr>
                          <w:t>ній економіці: ефективна,</w:t>
                        </w:r>
                        <w:r w:rsidRPr="00785435">
                          <w:rPr>
                            <w:rFonts w:ascii="Times New Roman" w:hAnsi="Times New Roman" w:cs="Times New Roman"/>
                            <w:spacing w:val="-6"/>
                            <w:sz w:val="14"/>
                            <w:szCs w:val="14"/>
                          </w:rPr>
                          <w:t xml:space="preserve"> </w:t>
                        </w:r>
                        <w:r w:rsidRPr="00B05317">
                          <w:rPr>
                            <w:rFonts w:ascii="Times New Roman" w:hAnsi="Times New Roman" w:cs="Times New Roman"/>
                            <w:spacing w:val="-8"/>
                            <w:sz w:val="14"/>
                            <w:szCs w:val="14"/>
                          </w:rPr>
                          <w:t>мобільна, добровільна, регульо</w:t>
                        </w:r>
                        <w:r w:rsidRPr="00B05317">
                          <w:rPr>
                            <w:rFonts w:ascii="Times New Roman" w:hAnsi="Times New Roman" w:cs="Times New Roman"/>
                            <w:spacing w:val="-6"/>
                            <w:sz w:val="14"/>
                            <w:szCs w:val="14"/>
                          </w:rPr>
                          <w:t>вана державою, відповідна систе</w:t>
                        </w:r>
                        <w:r w:rsidRPr="00B05317">
                          <w:rPr>
                            <w:rFonts w:ascii="Times New Roman" w:hAnsi="Times New Roman" w:cs="Times New Roman"/>
                            <w:spacing w:val="-8"/>
                            <w:sz w:val="14"/>
                            <w:szCs w:val="14"/>
                          </w:rPr>
                          <w:t>ма найму, специфіка умов і</w:t>
                        </w:r>
                        <w:r w:rsidRPr="00B05317">
                          <w:rPr>
                            <w:rFonts w:ascii="Times New Roman" w:hAnsi="Times New Roman" w:cs="Times New Roman"/>
                            <w:spacing w:val="-6"/>
                            <w:sz w:val="14"/>
                            <w:szCs w:val="14"/>
                          </w:rPr>
                          <w:t xml:space="preserve"> оплати праці</w:t>
                        </w:r>
                      </w:p>
                    </w:txbxContent>
                  </v:textbox>
                </v:rect>
                <v:line id="Line 127" o:spid="_x0000_s1131" style="position:absolute;flip:y;visibility:visible;mso-wrap-style:square" from="11131,2209" to="12185,2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">
                  <v:stroke endarrow="block"/>
                </v:line>
                <v:line id="Line 128" o:spid="_x0000_s1132" style="position:absolute;flip:y;visibility:visible;mso-wrap-style:square" from="24548,2209" to="25590,22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">
                  <v:stroke endarrow="block"/>
                </v:line>
                <v:rect id="Rectangle 130" o:spid="_x0000_s1133" style="position:absolute;left:1303;top:222;width:9788;height:5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">
                  <v:textbox inset="0,0,0,0">
                    <w:txbxContent>
                      <w:p w:rsidR="00BE40F8" w:rsidRPr="00785435" w:rsidRDefault="00BE40F8" w:rsidP="00B233DE">
                        <w:pPr>
                          <w:spacing w:line="233" w:lineRule="auto"/>
                          <w:ind w:firstLine="0"/>
                          <w:jc w:val="center"/>
                          <w:rPr>
                            <w:rFonts w:ascii="Times New Roman" w:hAnsi="Times New Roman" w:cs="Times New Roman"/>
                            <w:sz w:val="14"/>
                            <w:szCs w:val="14"/>
                          </w:rPr>
                        </w:pPr>
                        <w:r w:rsidRPr="00785435">
                          <w:rPr>
                            <w:rFonts w:ascii="Times New Roman" w:hAnsi="Times New Roman" w:cs="Times New Roman"/>
                            <w:sz w:val="14"/>
                            <w:szCs w:val="14"/>
                          </w:rPr>
                          <w:t>Зайнятість у командно-адміністративній еконо</w:t>
                        </w:r>
                        <w:r w:rsidRPr="00785435">
                          <w:rPr>
                            <w:rFonts w:ascii="Times New Roman" w:hAnsi="Times New Roman" w:cs="Times New Roman"/>
                            <w:sz w:val="14"/>
                            <w:szCs w:val="14"/>
                            <w:lang w:val="ru-RU"/>
                          </w:rPr>
                          <w:t>-</w:t>
                        </w:r>
                        <w:r w:rsidRPr="00785435">
                          <w:rPr>
                            <w:rFonts w:ascii="Times New Roman" w:hAnsi="Times New Roman" w:cs="Times New Roman"/>
                            <w:sz w:val="14"/>
                            <w:szCs w:val="14"/>
                          </w:rPr>
                          <w:t>міці:</w:t>
                        </w:r>
                        <w:r w:rsidRPr="00785435">
                          <w:rPr>
                            <w:rFonts w:ascii="Times New Roman" w:hAnsi="Times New Roman" w:cs="Times New Roman"/>
                            <w:sz w:val="14"/>
                            <w:szCs w:val="14"/>
                            <w:lang w:val="ru-RU"/>
                          </w:rPr>
                          <w:t xml:space="preserve"> </w:t>
                        </w:r>
                        <w:r w:rsidRPr="00785435">
                          <w:rPr>
                            <w:rFonts w:ascii="Times New Roman" w:hAnsi="Times New Roman" w:cs="Times New Roman"/>
                            <w:sz w:val="14"/>
                            <w:szCs w:val="14"/>
                          </w:rPr>
                          <w:t>неефективна, не</w:t>
                        </w:r>
                        <w:r w:rsidRPr="00785435">
                          <w:rPr>
                            <w:rFonts w:ascii="Times New Roman" w:hAnsi="Times New Roman" w:cs="Times New Roman"/>
                            <w:sz w:val="14"/>
                            <w:szCs w:val="14"/>
                            <w:lang w:val="ru-RU"/>
                          </w:rPr>
                          <w:t>-</w:t>
                        </w:r>
                        <w:r w:rsidRPr="00785435">
                          <w:rPr>
                            <w:rFonts w:ascii="Times New Roman" w:hAnsi="Times New Roman" w:cs="Times New Roman"/>
                            <w:spacing w:val="-4"/>
                            <w:sz w:val="14"/>
                            <w:szCs w:val="14"/>
                          </w:rPr>
                          <w:t>мобільна, гарантована, за-</w:t>
                        </w:r>
                        <w:r w:rsidRPr="00785435">
                          <w:rPr>
                            <w:rFonts w:ascii="Times New Roman" w:hAnsi="Times New Roman" w:cs="Times New Roman"/>
                            <w:spacing w:val="-8"/>
                            <w:sz w:val="14"/>
                            <w:szCs w:val="14"/>
                          </w:rPr>
                          <w:t>гальна, рутинна, примусова</w:t>
                        </w:r>
                        <w:r w:rsidRPr="00785435">
                          <w:rPr>
                            <w:rFonts w:ascii="Times New Roman" w:hAnsi="Times New Roman" w:cs="Times New Roman"/>
                            <w:sz w:val="14"/>
                            <w:szCs w:val="14"/>
                          </w:rPr>
                          <w:t xml:space="preserve"> </w:t>
                        </w:r>
                      </w:p>
                    </w:txbxContent>
                  </v:textbox>
                </v:rect>
                <v:rect id="Rectangle 131" o:spid="_x0000_s1134" style="position:absolute;left:12093;top:563;width:12321;height:41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">
                  <v:textbox inset="0,0,0,0">
                    <w:txbxContent>
                      <w:p w:rsidR="00BE40F8" w:rsidRPr="00785435" w:rsidRDefault="00BE40F8" w:rsidP="00B233DE">
                        <w:pPr>
                          <w:spacing w:line="233" w:lineRule="auto"/>
                          <w:ind w:firstLine="0"/>
                          <w:jc w:val="center"/>
                          <w:rPr>
                            <w:rFonts w:ascii="Times New Roman" w:hAnsi="Times New Roman" w:cs="Times New Roman"/>
                            <w:sz w:val="14"/>
                            <w:szCs w:val="14"/>
                          </w:rPr>
                        </w:pPr>
                        <w:r w:rsidRPr="00785435">
                          <w:rPr>
                            <w:rFonts w:ascii="Times New Roman" w:hAnsi="Times New Roman" w:cs="Times New Roman"/>
                            <w:spacing w:val="-6"/>
                            <w:sz w:val="14"/>
                            <w:szCs w:val="14"/>
                          </w:rPr>
                          <w:t>Зайнятість у перехідній економіці:</w:t>
                        </w:r>
                        <w:r w:rsidRPr="00785435">
                          <w:rPr>
                            <w:rFonts w:ascii="Times New Roman" w:hAnsi="Times New Roman" w:cs="Times New Roman"/>
                            <w:sz w:val="14"/>
                            <w:szCs w:val="14"/>
                          </w:rPr>
                          <w:t xml:space="preserve"> </w:t>
                        </w:r>
                        <w:r w:rsidRPr="00785435">
                          <w:rPr>
                            <w:rFonts w:ascii="Times New Roman" w:hAnsi="Times New Roman" w:cs="Times New Roman"/>
                            <w:spacing w:val="-8"/>
                            <w:sz w:val="14"/>
                            <w:szCs w:val="14"/>
                          </w:rPr>
                          <w:t>неефективна, нераціональна, непов-на, негарантована, економічно вимушена, низька мобільність</w:t>
                        </w:r>
                        <w:r w:rsidRPr="00785435">
                          <w:rPr>
                            <w:rFonts w:ascii="Times New Roman" w:hAnsi="Times New Roman" w:cs="Times New Roman"/>
                            <w:sz w:val="14"/>
                            <w:szCs w:val="14"/>
                          </w:rPr>
                          <w:t xml:space="preserve"> робочої сили, </w:t>
                        </w:r>
                      </w:p>
                      <w:p w:rsidR="00BE40F8" w:rsidRPr="00785435" w:rsidRDefault="00BE40F8" w:rsidP="00B233DE">
                        <w:pPr>
                          <w:ind w:firstLine="0"/>
                          <w:jc w:val="center"/>
                          <w:rPr>
                            <w:sz w:val="14"/>
                            <w:szCs w:val="14"/>
                          </w:rPr>
                        </w:pPr>
                        <w:r w:rsidRPr="00785435">
                          <w:rPr>
                            <w:rFonts w:ascii="Times New Roman" w:hAnsi="Times New Roman" w:cs="Times New Roman"/>
                            <w:sz w:val="14"/>
                            <w:szCs w:val="14"/>
                          </w:rPr>
                          <w:t xml:space="preserve">державний розподіл кадрів вищої кваліфікації тощо </w:t>
                        </w:r>
                      </w:p>
                    </w:txbxContent>
                  </v:textbox>
                </v:rect>
                <v:rect id="Rectangle 135" o:spid="_x0000_s1135" style="position:absolute;left:12503;top:7706;width:11241;height:7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">
                  <v:textbox inset="0,0,0,0">
                    <w:txbxContent>
                      <w:p w:rsidR="00BE40F8" w:rsidRPr="00BE6E15" w:rsidRDefault="00BE40F8" w:rsidP="00B233DE">
                        <w:pPr>
                          <w:spacing w:line="230" w:lineRule="auto"/>
                          <w:ind w:firstLine="0"/>
                          <w:jc w:val="center"/>
                          <w:rPr>
                            <w:rFonts w:ascii="Times New Roman" w:hAnsi="Times New Roman" w:cs="Times New Roman"/>
                            <w:sz w:val="14"/>
                            <w:szCs w:val="14"/>
                          </w:rPr>
                        </w:pPr>
                        <w:r>
                          <w:rPr>
                            <w:rFonts w:ascii="Times New Roman" w:hAnsi="Times New Roman" w:cs="Times New Roman"/>
                            <w:sz w:val="14"/>
                            <w:szCs w:val="14"/>
                          </w:rPr>
                          <w:t>Диверсифікація видів,</w:t>
                        </w:r>
                        <w:r w:rsidRPr="00BE6E15">
                          <w:rPr>
                            <w:rFonts w:ascii="Times New Roman" w:hAnsi="Times New Roman" w:cs="Times New Roman"/>
                            <w:sz w:val="14"/>
                            <w:szCs w:val="14"/>
                          </w:rPr>
                          <w:t xml:space="preserve"> форм</w:t>
                        </w:r>
                      </w:p>
                      <w:p w:rsidR="00BE40F8" w:rsidRPr="00BE6E15" w:rsidRDefault="00BE40F8" w:rsidP="00B233DE">
                        <w:pPr>
                          <w:spacing w:line="230" w:lineRule="auto"/>
                          <w:ind w:firstLine="0"/>
                          <w:jc w:val="center"/>
                          <w:rPr>
                            <w:rFonts w:ascii="Times New Roman" w:hAnsi="Times New Roman" w:cs="Times New Roman"/>
                            <w:spacing w:val="-6"/>
                            <w:sz w:val="14"/>
                            <w:szCs w:val="14"/>
                          </w:rPr>
                        </w:pPr>
                        <w:r w:rsidRPr="00BE6E15">
                          <w:rPr>
                            <w:rFonts w:ascii="Times New Roman" w:hAnsi="Times New Roman" w:cs="Times New Roman"/>
                            <w:spacing w:val="-6"/>
                            <w:sz w:val="14"/>
                            <w:szCs w:val="14"/>
                          </w:rPr>
                          <w:t>структури і змісту зайнятості;</w:t>
                        </w:r>
                      </w:p>
                      <w:p w:rsidR="00BE40F8" w:rsidRPr="00BE6E15" w:rsidRDefault="00BE40F8" w:rsidP="00B233DE">
                        <w:pPr>
                          <w:spacing w:line="230" w:lineRule="auto"/>
                          <w:ind w:firstLine="0"/>
                          <w:jc w:val="center"/>
                          <w:rPr>
                            <w:rFonts w:ascii="Times New Roman" w:hAnsi="Times New Roman" w:cs="Times New Roman"/>
                            <w:sz w:val="14"/>
                            <w:szCs w:val="14"/>
                          </w:rPr>
                        </w:pPr>
                        <w:r w:rsidRPr="00BE6E15">
                          <w:rPr>
                            <w:rFonts w:ascii="Times New Roman" w:hAnsi="Times New Roman" w:cs="Times New Roman"/>
                            <w:sz w:val="14"/>
                            <w:szCs w:val="14"/>
                          </w:rPr>
                          <w:t>поєднання в особі якостей</w:t>
                        </w:r>
                      </w:p>
                      <w:p w:rsidR="00BE40F8" w:rsidRPr="00BE6E15" w:rsidRDefault="00BE40F8" w:rsidP="00B233DE">
                        <w:pPr>
                          <w:spacing w:line="230" w:lineRule="auto"/>
                          <w:ind w:firstLine="0"/>
                          <w:jc w:val="center"/>
                          <w:rPr>
                            <w:rFonts w:ascii="Times New Roman" w:hAnsi="Times New Roman" w:cs="Times New Roman"/>
                            <w:sz w:val="14"/>
                            <w:szCs w:val="14"/>
                          </w:rPr>
                        </w:pPr>
                        <w:r w:rsidRPr="001545B9">
                          <w:rPr>
                            <w:rFonts w:ascii="Times New Roman" w:hAnsi="Times New Roman" w:cs="Times New Roman"/>
                            <w:spacing w:val="-6"/>
                            <w:sz w:val="14"/>
                            <w:szCs w:val="14"/>
                          </w:rPr>
                          <w:t>капіталу та робочої сили; змі</w:t>
                        </w:r>
                        <w:r w:rsidRPr="00BE6E15">
                          <w:rPr>
                            <w:rFonts w:ascii="Times New Roman" w:hAnsi="Times New Roman" w:cs="Times New Roman"/>
                            <w:sz w:val="14"/>
                            <w:szCs w:val="14"/>
                          </w:rPr>
                          <w:t xml:space="preserve">ни в </w:t>
                        </w:r>
                        <w:r>
                          <w:rPr>
                            <w:rFonts w:ascii="Times New Roman" w:hAnsi="Times New Roman" w:cs="Times New Roman"/>
                            <w:color w:val="000000"/>
                            <w:sz w:val="14"/>
                            <w:szCs w:val="14"/>
                          </w:rPr>
                          <w:t xml:space="preserve">демографічній і </w:t>
                        </w:r>
                        <w:r w:rsidRPr="00BE6E15">
                          <w:rPr>
                            <w:rFonts w:ascii="Times New Roman" w:hAnsi="Times New Roman" w:cs="Times New Roman"/>
                            <w:color w:val="000000"/>
                            <w:sz w:val="14"/>
                            <w:szCs w:val="14"/>
                          </w:rPr>
                          <w:t xml:space="preserve">етнічній </w:t>
                        </w:r>
                        <w:r w:rsidRPr="001545B9">
                          <w:rPr>
                            <w:rFonts w:ascii="Times New Roman" w:hAnsi="Times New Roman" w:cs="Times New Roman"/>
                            <w:color w:val="000000"/>
                            <w:spacing w:val="-6"/>
                            <w:sz w:val="14"/>
                            <w:szCs w:val="14"/>
                          </w:rPr>
                          <w:t>структурі</w:t>
                        </w:r>
                        <w:r w:rsidRPr="001545B9">
                          <w:rPr>
                            <w:rFonts w:ascii="Times New Roman" w:hAnsi="Times New Roman" w:cs="Times New Roman"/>
                            <w:spacing w:val="-6"/>
                            <w:sz w:val="14"/>
                            <w:szCs w:val="14"/>
                          </w:rPr>
                          <w:t xml:space="preserve"> </w:t>
                        </w:r>
                        <w:r w:rsidRPr="001545B9">
                          <w:rPr>
                            <w:rFonts w:ascii="Times New Roman" w:hAnsi="Times New Roman" w:cs="Times New Roman"/>
                            <w:color w:val="000000"/>
                            <w:spacing w:val="-6"/>
                            <w:sz w:val="14"/>
                            <w:szCs w:val="14"/>
                          </w:rPr>
                          <w:t>суспільства; посилен-</w:t>
                        </w:r>
                        <w:r w:rsidRPr="001545B9">
                          <w:rPr>
                            <w:rFonts w:ascii="Times New Roman" w:hAnsi="Times New Roman" w:cs="Times New Roman"/>
                            <w:color w:val="000000"/>
                            <w:spacing w:val="-8"/>
                            <w:sz w:val="14"/>
                            <w:szCs w:val="14"/>
                          </w:rPr>
                          <w:t>ня ролі фізичного та психологіч-</w:t>
                        </w:r>
                        <w:r w:rsidRPr="00BE6E15">
                          <w:rPr>
                            <w:rFonts w:ascii="Times New Roman" w:hAnsi="Times New Roman" w:cs="Times New Roman"/>
                            <w:color w:val="000000"/>
                            <w:sz w:val="14"/>
                            <w:szCs w:val="14"/>
                          </w:rPr>
                          <w:t>ного</w:t>
                        </w:r>
                        <w:r>
                          <w:rPr>
                            <w:rFonts w:ascii="Times New Roman" w:hAnsi="Times New Roman" w:cs="Times New Roman"/>
                            <w:color w:val="000000"/>
                            <w:sz w:val="14"/>
                            <w:szCs w:val="14"/>
                          </w:rPr>
                          <w:t xml:space="preserve"> </w:t>
                        </w:r>
                        <w:r w:rsidRPr="00BE6E15">
                          <w:rPr>
                            <w:rFonts w:ascii="Times New Roman" w:hAnsi="Times New Roman" w:cs="Times New Roman"/>
                            <w:color w:val="000000"/>
                            <w:sz w:val="14"/>
                            <w:szCs w:val="14"/>
                          </w:rPr>
                          <w:t>здоров’я зайнятих</w:t>
                        </w:r>
                      </w:p>
                    </w:txbxContent>
                  </v:textbox>
                </v:rect>
                <v:rect id="Rectangle 136" o:spid="_x0000_s1136" style="position:absolute;left:24414;top:6144;width:13718;height:14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">
                  <v:textbox inset="0,0,0,0">
                    <w:txbxContent>
                      <w:p w:rsidR="00BE40F8" w:rsidRPr="009F4AC2" w:rsidRDefault="00BE40F8" w:rsidP="00B233DE">
                        <w:pPr>
                          <w:ind w:firstLine="0"/>
                          <w:jc w:val="both"/>
                          <w:rPr>
                            <w:rFonts w:ascii="Times New Roman" w:hAnsi="Times New Roman" w:cs="Times New Roman"/>
                            <w:sz w:val="14"/>
                            <w:szCs w:val="14"/>
                          </w:rPr>
                        </w:pPr>
                        <w:r w:rsidRPr="009F4AC2">
                          <w:rPr>
                            <w:rFonts w:ascii="Times New Roman" w:hAnsi="Times New Roman" w:cs="Times New Roman"/>
                            <w:sz w:val="14"/>
                            <w:szCs w:val="14"/>
                          </w:rPr>
                          <w:t xml:space="preserve">Застосування нестандартних форм </w:t>
                        </w:r>
                        <w:r w:rsidRPr="00D961C6">
                          <w:rPr>
                            <w:rFonts w:ascii="Times New Roman" w:hAnsi="Times New Roman" w:cs="Times New Roman"/>
                            <w:spacing w:val="-6"/>
                            <w:sz w:val="14"/>
                            <w:szCs w:val="14"/>
                          </w:rPr>
                          <w:t>зайнятості: повна зайнятість за умов</w:t>
                        </w:r>
                        <w:r w:rsidRPr="009F4AC2">
                          <w:rPr>
                            <w:rFonts w:ascii="Times New Roman" w:hAnsi="Times New Roman" w:cs="Times New Roman"/>
                            <w:sz w:val="14"/>
                            <w:szCs w:val="14"/>
                          </w:rPr>
                          <w:t xml:space="preserve"> гнучких форм організації робочого часу; неповна зайнятість; </w:t>
                        </w:r>
                        <w:r>
                          <w:rPr>
                            <w:rFonts w:ascii="Times New Roman" w:hAnsi="Times New Roman" w:cs="Times New Roman"/>
                            <w:color w:val="000000"/>
                            <w:sz w:val="14"/>
                            <w:szCs w:val="14"/>
                            <w:shd w:val="clear" w:color="auto" w:fill="FFFFFF"/>
                          </w:rPr>
                          <w:t xml:space="preserve">тимчасовi </w:t>
                        </w:r>
                        <w:r w:rsidRPr="00D961C6">
                          <w:rPr>
                            <w:rFonts w:ascii="Times New Roman" w:hAnsi="Times New Roman" w:cs="Times New Roman"/>
                            <w:color w:val="000000"/>
                            <w:spacing w:val="-6"/>
                            <w:sz w:val="14"/>
                            <w:szCs w:val="14"/>
                            <w:shd w:val="clear" w:color="auto" w:fill="FFFFFF"/>
                          </w:rPr>
                          <w:t xml:space="preserve">працiвники, сумiсники; </w:t>
                        </w:r>
                        <w:r w:rsidRPr="00D961C6">
                          <w:rPr>
                            <w:rFonts w:ascii="Times New Roman" w:hAnsi="Times New Roman" w:cs="Times New Roman"/>
                            <w:spacing w:val="-6"/>
                            <w:sz w:val="14"/>
                            <w:szCs w:val="14"/>
                          </w:rPr>
                          <w:t>зайнятість на</w:t>
                        </w:r>
                        <w:r w:rsidRPr="009F4AC2">
                          <w:rPr>
                            <w:rFonts w:ascii="Times New Roman" w:hAnsi="Times New Roman" w:cs="Times New Roman"/>
                            <w:sz w:val="14"/>
                            <w:szCs w:val="14"/>
                          </w:rPr>
                          <w:t xml:space="preserve"> основі договорів цивільно-право</w:t>
                        </w:r>
                        <w:r>
                          <w:rPr>
                            <w:rFonts w:ascii="Times New Roman" w:hAnsi="Times New Roman" w:cs="Times New Roman"/>
                            <w:sz w:val="14"/>
                            <w:szCs w:val="14"/>
                          </w:rPr>
                          <w:t>-</w:t>
                        </w:r>
                        <w:r w:rsidRPr="00D961C6">
                          <w:rPr>
                            <w:rFonts w:ascii="Times New Roman" w:hAnsi="Times New Roman" w:cs="Times New Roman"/>
                            <w:spacing w:val="-8"/>
                            <w:sz w:val="14"/>
                            <w:szCs w:val="14"/>
                          </w:rPr>
                          <w:t>вого характеру; зайнятість за наявно</w:t>
                        </w:r>
                        <w:r w:rsidRPr="009F4AC2">
                          <w:rPr>
                            <w:rFonts w:ascii="Times New Roman" w:hAnsi="Times New Roman" w:cs="Times New Roman"/>
                            <w:sz w:val="14"/>
                            <w:szCs w:val="14"/>
                          </w:rPr>
                          <w:t>сті декількох роботодавців одночасно</w:t>
                        </w:r>
                        <w:r>
                          <w:rPr>
                            <w:rFonts w:ascii="Times New Roman" w:hAnsi="Times New Roman" w:cs="Times New Roman"/>
                            <w:sz w:val="14"/>
                            <w:szCs w:val="14"/>
                          </w:rPr>
                          <w:t xml:space="preserve">; </w:t>
                        </w:r>
                        <w:r w:rsidRPr="00D961C6">
                          <w:rPr>
                            <w:rFonts w:ascii="Times New Roman" w:hAnsi="Times New Roman" w:cs="Times New Roman"/>
                            <w:spacing w:val="-6"/>
                            <w:sz w:val="14"/>
                            <w:szCs w:val="14"/>
                          </w:rPr>
                          <w:t>надомна праця; робота за викликом;</w:t>
                        </w:r>
                        <w:r>
                          <w:rPr>
                            <w:rFonts w:ascii="Times New Roman" w:hAnsi="Times New Roman" w:cs="Times New Roman"/>
                            <w:sz w:val="14"/>
                            <w:szCs w:val="14"/>
                          </w:rPr>
                          <w:t xml:space="preserve"> дистанційна зайнятість;</w:t>
                        </w:r>
                        <w:r w:rsidRPr="009F4AC2">
                          <w:rPr>
                            <w:rFonts w:ascii="Times New Roman" w:hAnsi="Times New Roman" w:cs="Times New Roman"/>
                            <w:sz w:val="14"/>
                            <w:szCs w:val="14"/>
                          </w:rPr>
                          <w:t xml:space="preserve"> позикова праця</w:t>
                        </w:r>
                        <w:r>
                          <w:rPr>
                            <w:rFonts w:ascii="Times New Roman" w:hAnsi="Times New Roman" w:cs="Times New Roman"/>
                            <w:sz w:val="14"/>
                            <w:szCs w:val="14"/>
                          </w:rPr>
                          <w:t xml:space="preserve">; </w:t>
                        </w:r>
                        <w:r w:rsidRPr="009F4AC2">
                          <w:rPr>
                            <w:rFonts w:ascii="Times New Roman" w:hAnsi="Times New Roman" w:cs="Times New Roman"/>
                            <w:sz w:val="14"/>
                            <w:szCs w:val="14"/>
                          </w:rPr>
                          <w:t>неформальна зайнятість; нереєстрована зайнятість у нефор</w:t>
                        </w:r>
                        <w:r>
                          <w:rPr>
                            <w:rFonts w:ascii="Times New Roman" w:hAnsi="Times New Roman" w:cs="Times New Roman"/>
                            <w:sz w:val="14"/>
                            <w:szCs w:val="14"/>
                          </w:rPr>
                          <w:t>-</w:t>
                        </w:r>
                        <w:r w:rsidRPr="009F4AC2">
                          <w:rPr>
                            <w:rFonts w:ascii="Times New Roman" w:hAnsi="Times New Roman" w:cs="Times New Roman"/>
                            <w:sz w:val="14"/>
                            <w:szCs w:val="14"/>
                          </w:rPr>
                          <w:t>мальному секторі; нестандартний соціальний статус</w:t>
                        </w:r>
                      </w:p>
                    </w:txbxContent>
                  </v:textbox>
                </v:rect>
                <v:rect id="Rectangle 137" o:spid="_x0000_s1137" style="position:absolute;left:12367;top:16211;width:11409;height:96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">
                  <v:textbox inset="0,0,0,0">
                    <w:txbxContent>
                      <w:p w:rsidR="00BE40F8" w:rsidRPr="001545B9" w:rsidRDefault="00BE40F8" w:rsidP="00B233DE">
                        <w:pPr>
                          <w:spacing w:line="230" w:lineRule="auto"/>
                          <w:ind w:firstLine="0"/>
                          <w:jc w:val="center"/>
                          <w:rPr>
                            <w:rFonts w:ascii="Times New Roman" w:hAnsi="Times New Roman" w:cs="Times New Roman"/>
                            <w:sz w:val="14"/>
                            <w:szCs w:val="14"/>
                          </w:rPr>
                        </w:pPr>
                        <w:r w:rsidRPr="001545B9">
                          <w:rPr>
                            <w:rFonts w:ascii="Times New Roman" w:hAnsi="Times New Roman" w:cs="Times New Roman"/>
                            <w:sz w:val="14"/>
                            <w:szCs w:val="14"/>
                          </w:rPr>
                          <w:t>Поява</w:t>
                        </w:r>
                        <w:r w:rsidRPr="001545B9">
                          <w:rPr>
                            <w:rFonts w:ascii="Times New Roman" w:hAnsi="Times New Roman" w:cs="Times New Roman"/>
                            <w:color w:val="000000"/>
                            <w:sz w:val="14"/>
                            <w:szCs w:val="14"/>
                            <w:shd w:val="clear" w:color="auto" w:fill="FFFFFF"/>
                          </w:rPr>
                          <w:t xml:space="preserve"> нестандартних режи</w:t>
                        </w:r>
                        <w:r>
                          <w:rPr>
                            <w:rFonts w:ascii="Times New Roman" w:hAnsi="Times New Roman" w:cs="Times New Roman"/>
                            <w:color w:val="000000"/>
                            <w:sz w:val="14"/>
                            <w:szCs w:val="14"/>
                            <w:shd w:val="clear" w:color="auto" w:fill="FFFFFF"/>
                          </w:rPr>
                          <w:t xml:space="preserve">-мів </w:t>
                        </w:r>
                        <w:r w:rsidRPr="001545B9">
                          <w:rPr>
                            <w:rFonts w:ascii="Times New Roman" w:hAnsi="Times New Roman" w:cs="Times New Roman"/>
                            <w:color w:val="000000"/>
                            <w:sz w:val="14"/>
                            <w:szCs w:val="14"/>
                            <w:shd w:val="clear" w:color="auto" w:fill="FFFFFF"/>
                          </w:rPr>
                          <w:t>робочого часу:</w:t>
                        </w:r>
                        <w:r>
                          <w:rPr>
                            <w:rFonts w:ascii="Times New Roman" w:hAnsi="Times New Roman" w:cs="Times New Roman"/>
                            <w:color w:val="000000"/>
                            <w:sz w:val="14"/>
                            <w:szCs w:val="14"/>
                            <w:shd w:val="clear" w:color="auto" w:fill="FFFFFF"/>
                          </w:rPr>
                          <w:t xml:space="preserve"> непов</w:t>
                        </w:r>
                        <w:r w:rsidRPr="001545B9">
                          <w:rPr>
                            <w:rFonts w:ascii="Times New Roman" w:hAnsi="Times New Roman" w:cs="Times New Roman"/>
                            <w:color w:val="000000"/>
                            <w:sz w:val="14"/>
                            <w:szCs w:val="14"/>
                            <w:shd w:val="clear" w:color="auto" w:fill="FFFFFF"/>
                          </w:rPr>
                          <w:t>ного  робочого часу та його рiзно</w:t>
                        </w:r>
                        <w:r>
                          <w:rPr>
                            <w:rFonts w:ascii="Times New Roman" w:hAnsi="Times New Roman" w:cs="Times New Roman"/>
                            <w:color w:val="000000"/>
                            <w:sz w:val="14"/>
                            <w:szCs w:val="14"/>
                            <w:shd w:val="clear" w:color="auto" w:fill="FFFFFF"/>
                          </w:rPr>
                          <w:t>-</w:t>
                        </w:r>
                        <w:r w:rsidRPr="001545B9">
                          <w:rPr>
                            <w:rFonts w:ascii="Times New Roman" w:hAnsi="Times New Roman" w:cs="Times New Roman"/>
                            <w:color w:val="000000"/>
                            <w:sz w:val="14"/>
                            <w:szCs w:val="14"/>
                            <w:shd w:val="clear" w:color="auto" w:fill="FFFFFF"/>
                          </w:rPr>
                          <w:t>видів; гнучкий робочий рiк; стиснутий робочий тиждень; графіки гнучкого робочого часу</w:t>
                        </w:r>
                      </w:p>
                    </w:txbxContent>
                  </v:textbox>
                </v:rect>
                <v:rect id="Rectangle 138" o:spid="_x0000_s1138" style="position:absolute;left:375;top:6144;width:11308;height:10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">
                  <v:textbox inset="0,0,0,0">
                    <w:txbxContent>
                      <w:p w:rsidR="00BE40F8" w:rsidRPr="00C333D2" w:rsidRDefault="00BE40F8" w:rsidP="00B233DE">
                        <w:pPr>
                          <w:ind w:firstLine="0"/>
                          <w:jc w:val="both"/>
                          <w:rPr>
                            <w:sz w:val="9"/>
                            <w:szCs w:val="16"/>
                          </w:rPr>
                        </w:pPr>
                        <w:r w:rsidRPr="00BE6E15">
                          <w:rPr>
                            <w:rFonts w:ascii="Times New Roman" w:hAnsi="Times New Roman" w:cs="Times New Roman"/>
                            <w:spacing w:val="-8"/>
                            <w:sz w:val="14"/>
                            <w:szCs w:val="14"/>
                          </w:rPr>
                          <w:t>Глобалізаційні інституціональні</w:t>
                        </w:r>
                        <w:r w:rsidRPr="00BE6E15">
                          <w:rPr>
                            <w:rFonts w:ascii="Times New Roman" w:hAnsi="Times New Roman" w:cs="Times New Roman"/>
                            <w:sz w:val="14"/>
                            <w:szCs w:val="14"/>
                          </w:rPr>
                          <w:t xml:space="preserve"> перетворення у формуванні </w:t>
                        </w:r>
                        <w:r w:rsidRPr="00BE6E15">
                          <w:rPr>
                            <w:rFonts w:ascii="Times New Roman" w:hAnsi="Times New Roman" w:cs="Times New Roman"/>
                            <w:spacing w:val="-4"/>
                            <w:sz w:val="14"/>
                            <w:szCs w:val="14"/>
                          </w:rPr>
                          <w:t>ринку праці: поглиблення між-</w:t>
                        </w:r>
                        <w:r w:rsidRPr="00BE6E15">
                          <w:rPr>
                            <w:rFonts w:ascii="Times New Roman" w:hAnsi="Times New Roman" w:cs="Times New Roman"/>
                            <w:spacing w:val="-6"/>
                            <w:sz w:val="14"/>
                            <w:szCs w:val="14"/>
                          </w:rPr>
                          <w:t>народного поділу праці; посиле-</w:t>
                        </w:r>
                        <w:r w:rsidRPr="00BE6E15">
                          <w:rPr>
                            <w:rFonts w:ascii="Times New Roman" w:hAnsi="Times New Roman" w:cs="Times New Roman"/>
                            <w:spacing w:val="-4"/>
                            <w:sz w:val="14"/>
                            <w:szCs w:val="14"/>
                          </w:rPr>
                          <w:t>ння конкурентного тиску за де-</w:t>
                        </w:r>
                        <w:r w:rsidRPr="00BE6E15">
                          <w:rPr>
                            <w:rFonts w:ascii="Times New Roman" w:hAnsi="Times New Roman" w:cs="Times New Roman"/>
                            <w:sz w:val="14"/>
                            <w:szCs w:val="14"/>
                          </w:rPr>
                          <w:t>шеву робочу силу; збільшен</w:t>
                        </w:r>
                        <w:r>
                          <w:rPr>
                            <w:rFonts w:ascii="Times New Roman" w:hAnsi="Times New Roman" w:cs="Times New Roman"/>
                            <w:sz w:val="14"/>
                            <w:szCs w:val="14"/>
                          </w:rPr>
                          <w:t>-</w:t>
                        </w:r>
                        <w:r w:rsidRPr="00BE6E15">
                          <w:rPr>
                            <w:rFonts w:ascii="Times New Roman" w:hAnsi="Times New Roman" w:cs="Times New Roman"/>
                            <w:spacing w:val="-6"/>
                            <w:sz w:val="14"/>
                            <w:szCs w:val="14"/>
                          </w:rPr>
                          <w:t>ня пропорцій і обсягу безробіт-тя; зміни в кількості композиції</w:t>
                        </w:r>
                        <w:r w:rsidRPr="00BE6E15">
                          <w:rPr>
                            <w:rFonts w:ascii="Times New Roman" w:hAnsi="Times New Roman" w:cs="Times New Roman"/>
                            <w:sz w:val="14"/>
                            <w:szCs w:val="14"/>
                          </w:rPr>
                          <w:t xml:space="preserve"> активної робочої сили, демо</w:t>
                        </w:r>
                        <w:r>
                          <w:rPr>
                            <w:rFonts w:ascii="Times New Roman" w:hAnsi="Times New Roman" w:cs="Times New Roman"/>
                            <w:sz w:val="14"/>
                            <w:szCs w:val="14"/>
                          </w:rPr>
                          <w:t>-</w:t>
                        </w:r>
                        <w:r w:rsidRPr="00BE6E15">
                          <w:rPr>
                            <w:rFonts w:ascii="Times New Roman" w:hAnsi="Times New Roman" w:cs="Times New Roman"/>
                            <w:sz w:val="14"/>
                            <w:szCs w:val="14"/>
                          </w:rPr>
                          <w:t>графі</w:t>
                        </w:r>
                        <w:r>
                          <w:rPr>
                            <w:rFonts w:ascii="Times New Roman" w:hAnsi="Times New Roman" w:cs="Times New Roman"/>
                            <w:sz w:val="14"/>
                            <w:szCs w:val="14"/>
                          </w:rPr>
                          <w:t>чні зміни; міграція</w:t>
                        </w:r>
                      </w:p>
                    </w:txbxContent>
                  </v:textbox>
                </v:rect>
                <v:line id="Line 139" o:spid="_x0000_s1139" style="position:absolute;visibility:visible;mso-wrap-style:square" from="31430,22742" to="31436,23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"/>
                <v:rect id="Rectangle 140" o:spid="_x0000_s1140" style="position:absolute;left:449;top:16954;width:11252;height:109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">
                  <v:textbox inset="0,0,0,0">
                    <w:txbxContent>
                      <w:p w:rsidR="00BE40F8" w:rsidRPr="00D961C6" w:rsidRDefault="00BE40F8" w:rsidP="00B233DE">
                        <w:pPr>
                          <w:spacing w:line="230" w:lineRule="auto"/>
                          <w:ind w:firstLine="0"/>
                          <w:jc w:val="both"/>
                          <w:rPr>
                            <w:rFonts w:ascii="Times New Roman" w:hAnsi="Times New Roman" w:cs="Times New Roman"/>
                            <w:sz w:val="14"/>
                            <w:szCs w:val="14"/>
                          </w:rPr>
                        </w:pPr>
                        <w:r w:rsidRPr="00D961C6">
                          <w:rPr>
                            <w:rFonts w:ascii="Times New Roman" w:hAnsi="Times New Roman" w:cs="Times New Roman"/>
                            <w:spacing w:val="-6"/>
                            <w:sz w:val="14"/>
                            <w:szCs w:val="14"/>
                          </w:rPr>
                          <w:t>Інституціональні перетворен</w:t>
                        </w:r>
                        <w:r>
                          <w:rPr>
                            <w:rFonts w:ascii="Times New Roman" w:hAnsi="Times New Roman" w:cs="Times New Roman"/>
                            <w:sz w:val="14"/>
                            <w:szCs w:val="14"/>
                          </w:rPr>
                          <w:t xml:space="preserve">ня </w:t>
                        </w:r>
                        <w:r w:rsidRPr="00D961C6">
                          <w:rPr>
                            <w:rFonts w:ascii="Times New Roman" w:hAnsi="Times New Roman" w:cs="Times New Roman"/>
                            <w:sz w:val="14"/>
                            <w:szCs w:val="14"/>
                          </w:rPr>
                          <w:t>політичних інститутів (зміни в уряді, поява нових політич</w:t>
                        </w:r>
                        <w:r>
                          <w:rPr>
                            <w:rFonts w:ascii="Times New Roman" w:hAnsi="Times New Roman" w:cs="Times New Roman"/>
                            <w:sz w:val="14"/>
                            <w:szCs w:val="14"/>
                          </w:rPr>
                          <w:t>-</w:t>
                        </w:r>
                        <w:r w:rsidRPr="00D961C6">
                          <w:rPr>
                            <w:rFonts w:ascii="Times New Roman" w:hAnsi="Times New Roman" w:cs="Times New Roman"/>
                            <w:spacing w:val="-8"/>
                            <w:sz w:val="14"/>
                            <w:szCs w:val="14"/>
                          </w:rPr>
                          <w:t>них партій, політична підтримка</w:t>
                        </w:r>
                        <w:r w:rsidRPr="00D961C6">
                          <w:rPr>
                            <w:rFonts w:ascii="Times New Roman" w:hAnsi="Times New Roman" w:cs="Times New Roman"/>
                            <w:sz w:val="14"/>
                            <w:szCs w:val="14"/>
                          </w:rPr>
                          <w:t xml:space="preserve"> </w:t>
                        </w:r>
                        <w:r w:rsidRPr="00D961C6">
                          <w:rPr>
                            <w:rFonts w:ascii="Times New Roman" w:hAnsi="Times New Roman" w:cs="Times New Roman"/>
                            <w:spacing w:val="-6"/>
                            <w:sz w:val="14"/>
                            <w:szCs w:val="14"/>
                          </w:rPr>
                          <w:t>формальних інститутів ринку</w:t>
                        </w:r>
                        <w:r w:rsidRPr="00D961C6">
                          <w:rPr>
                            <w:rFonts w:ascii="Times New Roman" w:hAnsi="Times New Roman" w:cs="Times New Roman"/>
                            <w:sz w:val="14"/>
                            <w:szCs w:val="14"/>
                          </w:rPr>
                          <w:t xml:space="preserve"> </w:t>
                        </w:r>
                        <w:r w:rsidRPr="00D961C6">
                          <w:rPr>
                            <w:rFonts w:ascii="Times New Roman" w:hAnsi="Times New Roman" w:cs="Times New Roman"/>
                            <w:spacing w:val="-6"/>
                            <w:sz w:val="14"/>
                            <w:szCs w:val="14"/>
                          </w:rPr>
                          <w:t>праці; вибір інноваційної моде-</w:t>
                        </w:r>
                        <w:r w:rsidRPr="00D961C6">
                          <w:rPr>
                            <w:rFonts w:ascii="Times New Roman" w:hAnsi="Times New Roman" w:cs="Times New Roman"/>
                            <w:spacing w:val="-4"/>
                            <w:sz w:val="14"/>
                            <w:szCs w:val="14"/>
                          </w:rPr>
                          <w:t>лі економічного розвитку, по-</w:t>
                        </w:r>
                        <w:r w:rsidRPr="00D961C6">
                          <w:rPr>
                            <w:rFonts w:ascii="Times New Roman" w:hAnsi="Times New Roman" w:cs="Times New Roman"/>
                            <w:spacing w:val="-6"/>
                            <w:sz w:val="14"/>
                            <w:szCs w:val="14"/>
                          </w:rPr>
                          <w:t>глиблення державного протек-ціонізму, інвестування в люд-</w:t>
                        </w:r>
                        <w:r w:rsidRPr="00D961C6">
                          <w:rPr>
                            <w:rFonts w:ascii="Times New Roman" w:hAnsi="Times New Roman" w:cs="Times New Roman"/>
                            <w:sz w:val="14"/>
                            <w:szCs w:val="14"/>
                          </w:rPr>
                          <w:t>ський капітал, детінізація та децентралізація економіки)</w:t>
                        </w:r>
                      </w:p>
                    </w:txbxContent>
                  </v:textbox>
                </v:rect>
                <v:roundrect id="AutoShape 141" o:spid="_x0000_s1141" style="position:absolute;left:12054;top:26466;width:9144;height:605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" strokeweight="1.5pt">
                  <v:textbox inset="0,0,0,0">
                    <w:txbxContent>
                      <w:p w:rsidR="00BE40F8" w:rsidRPr="00D961C6" w:rsidRDefault="00BE40F8" w:rsidP="00B233DE">
                        <w:pPr>
                          <w:ind w:firstLine="0"/>
                          <w:jc w:val="center"/>
                          <w:rPr>
                            <w:rFonts w:ascii="Times New Roman" w:hAnsi="Times New Roman" w:cs="Times New Roman"/>
                            <w:b/>
                            <w:sz w:val="14"/>
                            <w:szCs w:val="14"/>
                          </w:rPr>
                        </w:pPr>
                        <w:r w:rsidRPr="00D961C6">
                          <w:rPr>
                            <w:rFonts w:ascii="Times New Roman" w:hAnsi="Times New Roman" w:cs="Times New Roman"/>
                            <w:b/>
                            <w:sz w:val="14"/>
                            <w:szCs w:val="14"/>
                          </w:rPr>
                          <w:t xml:space="preserve">Інституціональні перетворення </w:t>
                        </w:r>
                      </w:p>
                      <w:p w:rsidR="00BE40F8" w:rsidRPr="00D961C6" w:rsidRDefault="00BE40F8" w:rsidP="00B233DE">
                        <w:pPr>
                          <w:ind w:firstLine="0"/>
                          <w:jc w:val="center"/>
                          <w:rPr>
                            <w:rFonts w:ascii="Times New Roman" w:hAnsi="Times New Roman" w:cs="Times New Roman"/>
                            <w:b/>
                            <w:sz w:val="14"/>
                            <w:szCs w:val="14"/>
                          </w:rPr>
                        </w:pPr>
                        <w:r w:rsidRPr="00D961C6">
                          <w:rPr>
                            <w:rFonts w:ascii="Times New Roman" w:hAnsi="Times New Roman" w:cs="Times New Roman"/>
                            <w:b/>
                            <w:sz w:val="14"/>
                            <w:szCs w:val="14"/>
                          </w:rPr>
                          <w:t xml:space="preserve">у формуванні </w:t>
                        </w:r>
                      </w:p>
                      <w:p w:rsidR="00BE40F8" w:rsidRPr="00D961C6" w:rsidRDefault="00BE40F8" w:rsidP="00B233DE">
                        <w:pPr>
                          <w:ind w:firstLine="0"/>
                          <w:jc w:val="center"/>
                          <w:rPr>
                            <w:rFonts w:ascii="Times New Roman" w:hAnsi="Times New Roman" w:cs="Times New Roman"/>
                            <w:sz w:val="14"/>
                            <w:szCs w:val="14"/>
                          </w:rPr>
                        </w:pPr>
                        <w:r w:rsidRPr="00D961C6">
                          <w:rPr>
                            <w:rFonts w:ascii="Times New Roman" w:hAnsi="Times New Roman" w:cs="Times New Roman"/>
                            <w:b/>
                            <w:sz w:val="14"/>
                            <w:szCs w:val="14"/>
                          </w:rPr>
                          <w:t>ринку праці</w:t>
                        </w:r>
                      </w:p>
                    </w:txbxContent>
                  </v:textbox>
                </v:roundrect>
                <v:rect id="Rectangle 142" o:spid="_x0000_s1142" style="position:absolute;left:24461;top:21018;width:13671;height:10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">
                  <v:textbox inset="0,0,0,0">
                    <w:txbxContent>
                      <w:p w:rsidR="00BE40F8" w:rsidRPr="00D961C6" w:rsidRDefault="00BE40F8" w:rsidP="00B233DE">
                        <w:pPr>
                          <w:spacing w:line="230" w:lineRule="auto"/>
                          <w:ind w:firstLine="0"/>
                          <w:jc w:val="both"/>
                          <w:rPr>
                            <w:rFonts w:ascii="Times New Roman" w:hAnsi="Times New Roman" w:cs="Times New Roman"/>
                            <w:sz w:val="14"/>
                            <w:szCs w:val="14"/>
                          </w:rPr>
                        </w:pPr>
                        <w:r w:rsidRPr="00D961C6">
                          <w:rPr>
                            <w:rFonts w:ascii="Times New Roman" w:hAnsi="Times New Roman" w:cs="Times New Roman"/>
                            <w:sz w:val="14"/>
                            <w:szCs w:val="14"/>
                          </w:rPr>
                          <w:t>Зміни у зв’язку з посиленням кон</w:t>
                        </w:r>
                        <w:r>
                          <w:rPr>
                            <w:rFonts w:ascii="Times New Roman" w:hAnsi="Times New Roman" w:cs="Times New Roman"/>
                            <w:sz w:val="14"/>
                            <w:szCs w:val="14"/>
                          </w:rPr>
                          <w:t>-</w:t>
                        </w:r>
                        <w:r w:rsidRPr="00D961C6">
                          <w:rPr>
                            <w:rFonts w:ascii="Times New Roman" w:hAnsi="Times New Roman" w:cs="Times New Roman"/>
                            <w:spacing w:val="-6"/>
                            <w:sz w:val="14"/>
                            <w:szCs w:val="14"/>
                          </w:rPr>
                          <w:t xml:space="preserve">куренції на ринках праці: </w:t>
                        </w:r>
                        <w:r w:rsidRPr="00D961C6">
                          <w:rPr>
                            <w:rFonts w:ascii="Times New Roman" w:hAnsi="Times New Roman" w:cs="Times New Roman"/>
                            <w:color w:val="222222"/>
                            <w:spacing w:val="-6"/>
                            <w:sz w:val="14"/>
                            <w:szCs w:val="14"/>
                            <w:shd w:val="clear" w:color="auto" w:fill="FFFFFF"/>
                          </w:rPr>
                          <w:t>між робіт-</w:t>
                        </w:r>
                        <w:r w:rsidRPr="00D961C6">
                          <w:rPr>
                            <w:rFonts w:ascii="Times New Roman" w:hAnsi="Times New Roman" w:cs="Times New Roman"/>
                            <w:color w:val="222222"/>
                            <w:sz w:val="14"/>
                            <w:szCs w:val="14"/>
                            <w:shd w:val="clear" w:color="auto" w:fill="FFFFFF"/>
                          </w:rPr>
                          <w:t xml:space="preserve">никами </w:t>
                        </w:r>
                        <w:r>
                          <w:rPr>
                            <w:rFonts w:ascii="Times New Roman" w:hAnsi="Times New Roman" w:cs="Times New Roman"/>
                            <w:color w:val="222222"/>
                            <w:sz w:val="14"/>
                            <w:szCs w:val="14"/>
                            <w:shd w:val="clear" w:color="auto" w:fill="FFFFFF"/>
                          </w:rPr>
                          <w:t>–</w:t>
                        </w:r>
                        <w:r w:rsidRPr="00D961C6">
                          <w:rPr>
                            <w:rFonts w:ascii="Times New Roman" w:hAnsi="Times New Roman" w:cs="Times New Roman"/>
                            <w:color w:val="222222"/>
                            <w:sz w:val="14"/>
                            <w:szCs w:val="14"/>
                            <w:shd w:val="clear" w:color="auto" w:fill="FFFFFF"/>
                          </w:rPr>
                          <w:t xml:space="preserve"> за робочі місця з високою </w:t>
                        </w:r>
                        <w:r w:rsidRPr="009E7095">
                          <w:rPr>
                            <w:rFonts w:ascii="Times New Roman" w:hAnsi="Times New Roman" w:cs="Times New Roman"/>
                            <w:color w:val="222222"/>
                            <w:spacing w:val="-6"/>
                            <w:sz w:val="14"/>
                            <w:szCs w:val="14"/>
                            <w:shd w:val="clear" w:color="auto" w:fill="FFFFFF"/>
                          </w:rPr>
                          <w:t>оплатою, додатковими соціальними га-рантіями, місця престижні і приваб-</w:t>
                        </w:r>
                        <w:r w:rsidRPr="009E7095">
                          <w:rPr>
                            <w:rFonts w:ascii="Times New Roman" w:hAnsi="Times New Roman" w:cs="Times New Roman"/>
                            <w:color w:val="222222"/>
                            <w:spacing w:val="-8"/>
                            <w:sz w:val="14"/>
                            <w:szCs w:val="14"/>
                            <w:shd w:val="clear" w:color="auto" w:fill="FFFFFF"/>
                          </w:rPr>
                          <w:t xml:space="preserve">ливіші; між роботодавцями – за більш </w:t>
                        </w:r>
                        <w:r w:rsidRPr="00D961C6">
                          <w:rPr>
                            <w:rFonts w:ascii="Times New Roman" w:hAnsi="Times New Roman" w:cs="Times New Roman"/>
                            <w:color w:val="222222"/>
                            <w:sz w:val="14"/>
                            <w:szCs w:val="14"/>
                            <w:shd w:val="clear" w:color="auto" w:fill="FFFFFF"/>
                          </w:rPr>
                          <w:t>цінні кадри, за працівників високої кваліфікації, з потенційною здатні</w:t>
                        </w:r>
                        <w:r>
                          <w:rPr>
                            <w:rFonts w:ascii="Times New Roman" w:hAnsi="Times New Roman" w:cs="Times New Roman"/>
                            <w:color w:val="222222"/>
                            <w:sz w:val="14"/>
                            <w:szCs w:val="14"/>
                            <w:shd w:val="clear" w:color="auto" w:fill="FFFFFF"/>
                          </w:rPr>
                          <w:t>-</w:t>
                        </w:r>
                        <w:r w:rsidRPr="009E7095">
                          <w:rPr>
                            <w:rFonts w:ascii="Times New Roman" w:hAnsi="Times New Roman" w:cs="Times New Roman"/>
                            <w:color w:val="222222"/>
                            <w:spacing w:val="-6"/>
                            <w:sz w:val="14"/>
                            <w:szCs w:val="14"/>
                            <w:shd w:val="clear" w:color="auto" w:fill="FFFFFF"/>
                          </w:rPr>
                          <w:t>стю до новаторської діяльності і до-</w:t>
                        </w:r>
                        <w:r>
                          <w:rPr>
                            <w:rFonts w:ascii="Times New Roman" w:hAnsi="Times New Roman" w:cs="Times New Roman"/>
                            <w:color w:val="222222"/>
                            <w:sz w:val="14"/>
                            <w:szCs w:val="14"/>
                            <w:shd w:val="clear" w:color="auto" w:fill="FFFFFF"/>
                          </w:rPr>
                          <w:t>сягнення</w:t>
                        </w:r>
                        <w:r w:rsidRPr="00D961C6">
                          <w:rPr>
                            <w:rFonts w:ascii="Times New Roman" w:hAnsi="Times New Roman" w:cs="Times New Roman"/>
                            <w:color w:val="222222"/>
                            <w:sz w:val="14"/>
                            <w:szCs w:val="14"/>
                            <w:shd w:val="clear" w:color="auto" w:fill="FFFFFF"/>
                          </w:rPr>
                          <w:t xml:space="preserve"> найвищих показників</w:t>
                        </w:r>
                      </w:p>
                    </w:txbxContent>
                  </v:textbox>
                </v:rect>
                <v:rect id="Rectangle 143" o:spid="_x0000_s1143" style="position:absolute;left:449;top:41556;width:6429;height:14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">
                  <v:textbox inset="0,0,0,0">
                    <w:txbxContent>
                      <w:p w:rsidR="00BE40F8" w:rsidRPr="0088197E" w:rsidRDefault="00BE40F8" w:rsidP="00B233DE">
                        <w:pPr>
                          <w:spacing w:line="230" w:lineRule="auto"/>
                          <w:ind w:firstLine="0"/>
                          <w:jc w:val="center"/>
                          <w:rPr>
                            <w:rFonts w:ascii="Times New Roman" w:hAnsi="Times New Roman" w:cs="Times New Roman"/>
                            <w:sz w:val="14"/>
                            <w:szCs w:val="14"/>
                          </w:rPr>
                        </w:pPr>
                        <w:r w:rsidRPr="0088197E">
                          <w:rPr>
                            <w:rFonts w:ascii="Times New Roman" w:hAnsi="Times New Roman" w:cs="Times New Roman"/>
                            <w:sz w:val="14"/>
                            <w:szCs w:val="14"/>
                          </w:rPr>
                          <w:t>І</w:t>
                        </w:r>
                        <w:r w:rsidRPr="0088197E">
                          <w:rPr>
                            <w:rFonts w:ascii="Times New Roman" w:hAnsi="Times New Roman" w:cs="Times New Roman"/>
                            <w:spacing w:val="-4"/>
                            <w:sz w:val="14"/>
                            <w:szCs w:val="14"/>
                          </w:rPr>
                          <w:t>нституціональні</w:t>
                        </w:r>
                        <w:r w:rsidRPr="0088197E">
                          <w:rPr>
                            <w:rFonts w:ascii="Times New Roman" w:hAnsi="Times New Roman" w:cs="Times New Roman"/>
                            <w:sz w:val="14"/>
                            <w:szCs w:val="14"/>
                          </w:rPr>
                          <w:t xml:space="preserve"> </w:t>
                        </w:r>
                        <w:r w:rsidRPr="0088197E">
                          <w:rPr>
                            <w:rFonts w:ascii="Times New Roman" w:hAnsi="Times New Roman" w:cs="Times New Roman"/>
                            <w:spacing w:val="-8"/>
                            <w:sz w:val="14"/>
                            <w:szCs w:val="14"/>
                          </w:rPr>
                          <w:t>перетворення ос</w:t>
                        </w:r>
                        <w:r>
                          <w:rPr>
                            <w:rFonts w:ascii="Times New Roman" w:hAnsi="Times New Roman" w:cs="Times New Roman"/>
                            <w:spacing w:val="-8"/>
                            <w:sz w:val="14"/>
                            <w:szCs w:val="14"/>
                          </w:rPr>
                          <w:t>-</w:t>
                        </w:r>
                        <w:r w:rsidRPr="0088197E">
                          <w:rPr>
                            <w:rFonts w:ascii="Times New Roman" w:hAnsi="Times New Roman" w:cs="Times New Roman"/>
                            <w:spacing w:val="-8"/>
                            <w:sz w:val="14"/>
                            <w:szCs w:val="14"/>
                          </w:rPr>
                          <w:t>віт</w:t>
                        </w:r>
                        <w:r w:rsidRPr="0088197E">
                          <w:rPr>
                            <w:rFonts w:ascii="Times New Roman" w:hAnsi="Times New Roman" w:cs="Times New Roman"/>
                            <w:sz w:val="14"/>
                            <w:szCs w:val="14"/>
                          </w:rPr>
                          <w:t>ніх, вікових,</w:t>
                        </w:r>
                        <w:r>
                          <w:rPr>
                            <w:rFonts w:ascii="Times New Roman" w:hAnsi="Times New Roman" w:cs="Times New Roman"/>
                            <w:sz w:val="14"/>
                            <w:szCs w:val="14"/>
                          </w:rPr>
                          <w:t xml:space="preserve"> </w:t>
                        </w:r>
                        <w:r w:rsidRPr="0088197E">
                          <w:rPr>
                            <w:rFonts w:ascii="Times New Roman" w:hAnsi="Times New Roman" w:cs="Times New Roman"/>
                            <w:spacing w:val="-8"/>
                            <w:sz w:val="14"/>
                            <w:szCs w:val="14"/>
                          </w:rPr>
                          <w:t>гендерних, етніч-</w:t>
                        </w:r>
                        <w:r w:rsidRPr="0088197E">
                          <w:rPr>
                            <w:rFonts w:ascii="Times New Roman" w:hAnsi="Times New Roman" w:cs="Times New Roman"/>
                            <w:sz w:val="14"/>
                            <w:szCs w:val="14"/>
                          </w:rPr>
                          <w:t>них, конфесіо</w:t>
                        </w:r>
                        <w:r>
                          <w:rPr>
                            <w:rFonts w:ascii="Times New Roman" w:hAnsi="Times New Roman" w:cs="Times New Roman"/>
                            <w:sz w:val="14"/>
                            <w:szCs w:val="14"/>
                          </w:rPr>
                          <w:t>-</w:t>
                        </w:r>
                        <w:r w:rsidRPr="0088197E">
                          <w:rPr>
                            <w:rFonts w:ascii="Times New Roman" w:hAnsi="Times New Roman" w:cs="Times New Roman"/>
                            <w:sz w:val="14"/>
                            <w:szCs w:val="14"/>
                          </w:rPr>
                          <w:t>нальних, регіо</w:t>
                        </w:r>
                        <w:r>
                          <w:rPr>
                            <w:rFonts w:ascii="Times New Roman" w:hAnsi="Times New Roman" w:cs="Times New Roman"/>
                            <w:sz w:val="14"/>
                            <w:szCs w:val="14"/>
                          </w:rPr>
                          <w:t>-</w:t>
                        </w:r>
                        <w:r w:rsidRPr="0088197E">
                          <w:rPr>
                            <w:rFonts w:ascii="Times New Roman" w:hAnsi="Times New Roman" w:cs="Times New Roman"/>
                            <w:spacing w:val="-8"/>
                            <w:sz w:val="14"/>
                            <w:szCs w:val="14"/>
                          </w:rPr>
                          <w:t>нальних соціаль</w:t>
                        </w:r>
                        <w:r>
                          <w:rPr>
                            <w:rFonts w:ascii="Times New Roman" w:hAnsi="Times New Roman" w:cs="Times New Roman"/>
                            <w:spacing w:val="-8"/>
                            <w:sz w:val="14"/>
                            <w:szCs w:val="14"/>
                          </w:rPr>
                          <w:t>-</w:t>
                        </w:r>
                        <w:r w:rsidRPr="0088197E">
                          <w:rPr>
                            <w:rFonts w:ascii="Times New Roman" w:hAnsi="Times New Roman" w:cs="Times New Roman"/>
                            <w:spacing w:val="-8"/>
                            <w:sz w:val="14"/>
                            <w:szCs w:val="14"/>
                          </w:rPr>
                          <w:t>них</w:t>
                        </w:r>
                        <w:r>
                          <w:rPr>
                            <w:rFonts w:ascii="Times New Roman" w:hAnsi="Times New Roman" w:cs="Times New Roman"/>
                            <w:sz w:val="14"/>
                            <w:szCs w:val="14"/>
                          </w:rPr>
                          <w:t xml:space="preserve"> </w:t>
                        </w:r>
                        <w:r w:rsidRPr="0088197E">
                          <w:rPr>
                            <w:rFonts w:ascii="Times New Roman" w:hAnsi="Times New Roman" w:cs="Times New Roman"/>
                            <w:sz w:val="14"/>
                            <w:szCs w:val="14"/>
                          </w:rPr>
                          <w:t>сегментацій;</w:t>
                        </w:r>
                      </w:p>
                      <w:p w:rsidR="00BE40F8" w:rsidRPr="0088197E" w:rsidRDefault="00BE40F8" w:rsidP="00B233DE">
                        <w:pPr>
                          <w:spacing w:line="230" w:lineRule="auto"/>
                          <w:ind w:firstLine="0"/>
                          <w:jc w:val="both"/>
                          <w:rPr>
                            <w:rFonts w:ascii="Times New Roman" w:hAnsi="Times New Roman" w:cs="Times New Roman"/>
                            <w:sz w:val="14"/>
                            <w:szCs w:val="14"/>
                          </w:rPr>
                        </w:pPr>
                        <w:r w:rsidRPr="0088197E">
                          <w:rPr>
                            <w:rFonts w:ascii="Times New Roman" w:hAnsi="Times New Roman" w:cs="Times New Roman"/>
                            <w:spacing w:val="-6"/>
                            <w:sz w:val="14"/>
                            <w:szCs w:val="14"/>
                          </w:rPr>
                          <w:t>зміни в менталь-</w:t>
                        </w:r>
                        <w:r w:rsidRPr="0088197E">
                          <w:rPr>
                            <w:rFonts w:ascii="Times New Roman" w:hAnsi="Times New Roman" w:cs="Times New Roman"/>
                            <w:sz w:val="14"/>
                            <w:szCs w:val="14"/>
                          </w:rPr>
                          <w:t>ності, в нормах соціальної пове</w:t>
                        </w:r>
                        <w:r>
                          <w:rPr>
                            <w:rFonts w:ascii="Times New Roman" w:hAnsi="Times New Roman" w:cs="Times New Roman"/>
                            <w:sz w:val="14"/>
                            <w:szCs w:val="14"/>
                          </w:rPr>
                          <w:t>-</w:t>
                        </w:r>
                        <w:r w:rsidRPr="0088197E">
                          <w:rPr>
                            <w:rFonts w:ascii="Times New Roman" w:hAnsi="Times New Roman" w:cs="Times New Roman"/>
                            <w:spacing w:val="-6"/>
                            <w:sz w:val="14"/>
                            <w:szCs w:val="14"/>
                          </w:rPr>
                          <w:t>дінки, зміна місця</w:t>
                        </w:r>
                        <w:r w:rsidRPr="0088197E">
                          <w:rPr>
                            <w:rFonts w:ascii="Times New Roman" w:hAnsi="Times New Roman" w:cs="Times New Roman"/>
                            <w:sz w:val="14"/>
                            <w:szCs w:val="14"/>
                          </w:rPr>
                          <w:t xml:space="preserve"> людини в соці</w:t>
                        </w:r>
                        <w:r>
                          <w:rPr>
                            <w:rFonts w:ascii="Times New Roman" w:hAnsi="Times New Roman" w:cs="Times New Roman"/>
                            <w:sz w:val="14"/>
                            <w:szCs w:val="14"/>
                          </w:rPr>
                          <w:t>-</w:t>
                        </w:r>
                        <w:r w:rsidRPr="0088197E">
                          <w:rPr>
                            <w:rFonts w:ascii="Times New Roman" w:hAnsi="Times New Roman" w:cs="Times New Roman"/>
                            <w:sz w:val="14"/>
                            <w:szCs w:val="14"/>
                          </w:rPr>
                          <w:t>умі</w:t>
                        </w:r>
                      </w:p>
                    </w:txbxContent>
                  </v:textbox>
                </v:rect>
                <v:rect id="Rectangle 144" o:spid="_x0000_s1144" style="position:absolute;left:7373;top:42036;width:10876;height:14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">
                  <v:textbox inset="0,0,0,0">
                    <w:txbxContent>
                      <w:p w:rsidR="00BE40F8" w:rsidRPr="0088197E" w:rsidRDefault="00BE40F8" w:rsidP="00B233DE">
                        <w:pPr>
                          <w:ind w:firstLine="0"/>
                          <w:jc w:val="center"/>
                          <w:rPr>
                            <w:rFonts w:ascii="Times New Roman" w:hAnsi="Times New Roman" w:cs="Times New Roman"/>
                            <w:sz w:val="14"/>
                            <w:szCs w:val="14"/>
                          </w:rPr>
                        </w:pPr>
                        <w:r w:rsidRPr="0088197E">
                          <w:rPr>
                            <w:rFonts w:ascii="Times New Roman" w:hAnsi="Times New Roman" w:cs="Times New Roman"/>
                            <w:sz w:val="14"/>
                            <w:szCs w:val="14"/>
                          </w:rPr>
                          <w:t>Інституціональні перетво</w:t>
                        </w:r>
                        <w:r>
                          <w:rPr>
                            <w:rFonts w:ascii="Times New Roman" w:hAnsi="Times New Roman" w:cs="Times New Roman"/>
                            <w:sz w:val="14"/>
                            <w:szCs w:val="14"/>
                          </w:rPr>
                          <w:t>-</w:t>
                        </w:r>
                        <w:r w:rsidRPr="0088197E">
                          <w:rPr>
                            <w:rFonts w:ascii="Times New Roman" w:hAnsi="Times New Roman" w:cs="Times New Roman"/>
                            <w:sz w:val="14"/>
                            <w:szCs w:val="14"/>
                          </w:rPr>
                          <w:t>рення, пов’язані з процеса</w:t>
                        </w:r>
                        <w:r>
                          <w:rPr>
                            <w:rFonts w:ascii="Times New Roman" w:hAnsi="Times New Roman" w:cs="Times New Roman"/>
                            <w:sz w:val="14"/>
                            <w:szCs w:val="14"/>
                          </w:rPr>
                          <w:t>-</w:t>
                        </w:r>
                        <w:r w:rsidRPr="0088197E">
                          <w:rPr>
                            <w:rFonts w:ascii="Times New Roman" w:hAnsi="Times New Roman" w:cs="Times New Roman"/>
                            <w:spacing w:val="-8"/>
                            <w:sz w:val="14"/>
                            <w:szCs w:val="14"/>
                          </w:rPr>
                          <w:t>ми дискримінації робочої сили:</w:t>
                        </w:r>
                      </w:p>
                      <w:p w:rsidR="00BE40F8" w:rsidRDefault="00BE40F8" w:rsidP="00B233DE">
                        <w:pPr>
                          <w:ind w:firstLine="0"/>
                          <w:jc w:val="both"/>
                          <w:rPr>
                            <w:rFonts w:ascii="Times New Roman" w:hAnsi="Times New Roman" w:cs="Times New Roman"/>
                            <w:sz w:val="14"/>
                            <w:szCs w:val="14"/>
                          </w:rPr>
                        </w:pPr>
                        <w:r w:rsidRPr="0088197E">
                          <w:rPr>
                            <w:rFonts w:ascii="Times New Roman" w:hAnsi="Times New Roman" w:cs="Times New Roman"/>
                            <w:sz w:val="14"/>
                            <w:szCs w:val="14"/>
                          </w:rPr>
                          <w:t>найбільш вживані моделі соціально</w:t>
                        </w:r>
                        <w:r>
                          <w:rPr>
                            <w:rFonts w:ascii="Times New Roman" w:hAnsi="Times New Roman" w:cs="Times New Roman"/>
                            <w:sz w:val="14"/>
                            <w:szCs w:val="14"/>
                          </w:rPr>
                          <w:t xml:space="preserve">ї дискримінації на ринку праці: </w:t>
                        </w:r>
                      </w:p>
                      <w:p w:rsidR="00BE40F8" w:rsidRDefault="00BE40F8" w:rsidP="00B233DE">
                        <w:pPr>
                          <w:ind w:firstLine="0"/>
                          <w:jc w:val="both"/>
                          <w:rPr>
                            <w:rFonts w:ascii="Times New Roman" w:hAnsi="Times New Roman" w:cs="Times New Roman"/>
                            <w:sz w:val="14"/>
                            <w:szCs w:val="14"/>
                          </w:rPr>
                        </w:pPr>
                        <w:r>
                          <w:rPr>
                            <w:rFonts w:ascii="Times New Roman" w:hAnsi="Times New Roman" w:cs="Times New Roman"/>
                            <w:sz w:val="14"/>
                            <w:szCs w:val="14"/>
                          </w:rPr>
                          <w:t>-</w:t>
                        </w:r>
                        <w:r w:rsidRPr="0088197E">
                          <w:rPr>
                            <w:rFonts w:ascii="Times New Roman" w:hAnsi="Times New Roman" w:cs="Times New Roman"/>
                            <w:sz w:val="14"/>
                            <w:szCs w:val="14"/>
                          </w:rPr>
                          <w:t>модель «особистих уперед</w:t>
                        </w:r>
                        <w:r>
                          <w:rPr>
                            <w:rFonts w:ascii="Times New Roman" w:hAnsi="Times New Roman" w:cs="Times New Roman"/>
                            <w:sz w:val="14"/>
                            <w:szCs w:val="14"/>
                          </w:rPr>
                          <w:t>-</w:t>
                        </w:r>
                        <w:r w:rsidRPr="0088197E">
                          <w:rPr>
                            <w:rFonts w:ascii="Times New Roman" w:hAnsi="Times New Roman" w:cs="Times New Roman"/>
                            <w:sz w:val="14"/>
                            <w:szCs w:val="14"/>
                          </w:rPr>
                          <w:t>же</w:t>
                        </w:r>
                        <w:r>
                          <w:rPr>
                            <w:rFonts w:ascii="Times New Roman" w:hAnsi="Times New Roman" w:cs="Times New Roman"/>
                            <w:sz w:val="14"/>
                            <w:szCs w:val="14"/>
                          </w:rPr>
                          <w:t xml:space="preserve">нь Г. Беккера»; </w:t>
                        </w:r>
                      </w:p>
                      <w:p w:rsidR="00BE40F8" w:rsidRPr="0088197E" w:rsidRDefault="00BE40F8" w:rsidP="00B233DE">
                        <w:pPr>
                          <w:ind w:firstLine="0"/>
                          <w:jc w:val="both"/>
                          <w:rPr>
                            <w:rFonts w:ascii="Times New Roman" w:hAnsi="Times New Roman" w:cs="Times New Roman"/>
                            <w:sz w:val="14"/>
                            <w:szCs w:val="14"/>
                          </w:rPr>
                        </w:pPr>
                        <w:r>
                          <w:rPr>
                            <w:rFonts w:ascii="Times New Roman" w:hAnsi="Times New Roman" w:cs="Times New Roman"/>
                            <w:sz w:val="14"/>
                            <w:szCs w:val="14"/>
                          </w:rPr>
                          <w:t>-</w:t>
                        </w:r>
                        <w:r w:rsidRPr="0088197E">
                          <w:rPr>
                            <w:rFonts w:ascii="Times New Roman" w:hAnsi="Times New Roman" w:cs="Times New Roman"/>
                            <w:sz w:val="14"/>
                            <w:szCs w:val="14"/>
                          </w:rPr>
                          <w:t>модель професійної сегре</w:t>
                        </w:r>
                        <w:r>
                          <w:rPr>
                            <w:rFonts w:ascii="Times New Roman" w:hAnsi="Times New Roman" w:cs="Times New Roman"/>
                            <w:sz w:val="14"/>
                            <w:szCs w:val="14"/>
                          </w:rPr>
                          <w:t>-</w:t>
                        </w:r>
                        <w:r w:rsidRPr="0088197E">
                          <w:rPr>
                            <w:rFonts w:ascii="Times New Roman" w:hAnsi="Times New Roman" w:cs="Times New Roman"/>
                            <w:sz w:val="14"/>
                            <w:szCs w:val="14"/>
                          </w:rPr>
                          <w:t>гації;</w:t>
                        </w:r>
                      </w:p>
                      <w:p w:rsidR="00BE40F8" w:rsidRPr="0088197E" w:rsidRDefault="00BE40F8" w:rsidP="00B233DE">
                        <w:pPr>
                          <w:ind w:firstLine="0"/>
                          <w:jc w:val="both"/>
                          <w:rPr>
                            <w:rFonts w:ascii="Times New Roman" w:hAnsi="Times New Roman" w:cs="Times New Roman"/>
                            <w:sz w:val="14"/>
                            <w:szCs w:val="14"/>
                          </w:rPr>
                        </w:pPr>
                        <w:r>
                          <w:rPr>
                            <w:rFonts w:ascii="Times New Roman" w:hAnsi="Times New Roman" w:cs="Times New Roman"/>
                            <w:sz w:val="14"/>
                            <w:szCs w:val="14"/>
                          </w:rPr>
                          <w:t>-</w:t>
                        </w:r>
                        <w:r w:rsidRPr="0088197E">
                          <w:rPr>
                            <w:rFonts w:ascii="Times New Roman" w:hAnsi="Times New Roman" w:cs="Times New Roman"/>
                            <w:sz w:val="14"/>
                            <w:szCs w:val="14"/>
                          </w:rPr>
                          <w:t>модель «викривлення ін</w:t>
                        </w:r>
                        <w:r>
                          <w:rPr>
                            <w:rFonts w:ascii="Times New Roman" w:hAnsi="Times New Roman" w:cs="Times New Roman"/>
                            <w:sz w:val="14"/>
                            <w:szCs w:val="14"/>
                          </w:rPr>
                          <w:t>-</w:t>
                        </w:r>
                        <w:r w:rsidRPr="0088197E">
                          <w:rPr>
                            <w:rFonts w:ascii="Times New Roman" w:hAnsi="Times New Roman" w:cs="Times New Roman"/>
                            <w:sz w:val="14"/>
                            <w:szCs w:val="14"/>
                          </w:rPr>
                          <w:t>формації»;</w:t>
                        </w:r>
                      </w:p>
                      <w:p w:rsidR="00BE40F8" w:rsidRPr="0088197E" w:rsidRDefault="00BE40F8" w:rsidP="00B233DE">
                        <w:pPr>
                          <w:ind w:firstLine="0"/>
                          <w:jc w:val="both"/>
                          <w:rPr>
                            <w:rFonts w:ascii="Times New Roman" w:hAnsi="Times New Roman" w:cs="Times New Roman"/>
                            <w:sz w:val="14"/>
                            <w:szCs w:val="14"/>
                          </w:rPr>
                        </w:pPr>
                        <w:r>
                          <w:rPr>
                            <w:rFonts w:ascii="Times New Roman" w:hAnsi="Times New Roman" w:cs="Times New Roman"/>
                            <w:sz w:val="14"/>
                            <w:szCs w:val="14"/>
                          </w:rPr>
                          <w:t>-</w:t>
                        </w:r>
                        <w:r w:rsidRPr="0088197E">
                          <w:rPr>
                            <w:rFonts w:ascii="Times New Roman" w:hAnsi="Times New Roman" w:cs="Times New Roman"/>
                            <w:spacing w:val="-4"/>
                            <w:sz w:val="14"/>
                            <w:szCs w:val="14"/>
                          </w:rPr>
                          <w:t>модель «монопсонії» на рин-</w:t>
                        </w:r>
                        <w:r w:rsidRPr="0088197E">
                          <w:rPr>
                            <w:rFonts w:ascii="Times New Roman" w:hAnsi="Times New Roman" w:cs="Times New Roman"/>
                            <w:sz w:val="14"/>
                            <w:szCs w:val="14"/>
                          </w:rPr>
                          <w:t>ку праці</w:t>
                        </w:r>
                      </w:p>
                    </w:txbxContent>
                  </v:textbox>
                </v:rect>
                <v:rect id="Rectangle 145" o:spid="_x0000_s1145" style="position:absolute;left:375;top:28130;width:11217;height:6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">
                  <v:textbox inset="0,0,0,0">
                    <w:txbxContent>
                      <w:p w:rsidR="00BE40F8" w:rsidRPr="002C3167" w:rsidRDefault="00BE40F8" w:rsidP="00B233DE">
                        <w:pPr>
                          <w:spacing w:line="230" w:lineRule="auto"/>
                          <w:ind w:firstLine="0"/>
                          <w:jc w:val="center"/>
                          <w:rPr>
                            <w:rFonts w:ascii="Times New Roman" w:hAnsi="Times New Roman" w:cs="Times New Roman"/>
                            <w:sz w:val="14"/>
                            <w:szCs w:val="14"/>
                          </w:rPr>
                        </w:pPr>
                        <w:r w:rsidRPr="002C3167">
                          <w:rPr>
                            <w:rFonts w:ascii="Times New Roman" w:hAnsi="Times New Roman" w:cs="Times New Roman"/>
                            <w:sz w:val="14"/>
                            <w:szCs w:val="14"/>
                          </w:rPr>
                          <w:t>Інституціональні перетво</w:t>
                        </w:r>
                        <w:r>
                          <w:rPr>
                            <w:rFonts w:ascii="Times New Roman" w:hAnsi="Times New Roman" w:cs="Times New Roman"/>
                            <w:sz w:val="14"/>
                            <w:szCs w:val="14"/>
                          </w:rPr>
                          <w:t>-</w:t>
                        </w:r>
                        <w:r w:rsidRPr="002C3167">
                          <w:rPr>
                            <w:rFonts w:ascii="Times New Roman" w:hAnsi="Times New Roman" w:cs="Times New Roman"/>
                            <w:sz w:val="14"/>
                            <w:szCs w:val="14"/>
                          </w:rPr>
                          <w:t xml:space="preserve">рення правових інститутів </w:t>
                        </w:r>
                        <w:r w:rsidRPr="002C3167">
                          <w:rPr>
                            <w:rFonts w:ascii="Times New Roman" w:hAnsi="Times New Roman" w:cs="Times New Roman"/>
                            <w:spacing w:val="-6"/>
                            <w:sz w:val="14"/>
                            <w:szCs w:val="14"/>
                          </w:rPr>
                          <w:t xml:space="preserve">(зміни в Конституції України </w:t>
                        </w:r>
                        <w:r w:rsidRPr="00C35977">
                          <w:rPr>
                            <w:rFonts w:ascii="Times New Roman" w:hAnsi="Times New Roman" w:cs="Times New Roman"/>
                            <w:spacing w:val="-6"/>
                            <w:sz w:val="14"/>
                            <w:szCs w:val="14"/>
                          </w:rPr>
                          <w:t>та інших нормативно-право-вих актах в сфері праці); рати-</w:t>
                        </w:r>
                        <w:r w:rsidRPr="002C3167">
                          <w:rPr>
                            <w:rFonts w:ascii="Times New Roman" w:hAnsi="Times New Roman" w:cs="Times New Roman"/>
                            <w:sz w:val="14"/>
                            <w:szCs w:val="14"/>
                          </w:rPr>
                          <w:t xml:space="preserve">фікація </w:t>
                        </w:r>
                        <w:r w:rsidRPr="002C3167">
                          <w:rPr>
                            <w:rFonts w:ascii="Times New Roman" w:hAnsi="Times New Roman" w:cs="Times New Roman"/>
                            <w:bCs/>
                            <w:color w:val="000000"/>
                            <w:sz w:val="14"/>
                            <w:szCs w:val="14"/>
                          </w:rPr>
                          <w:t xml:space="preserve">Конвенцій МОП </w:t>
                        </w:r>
                      </w:p>
                    </w:txbxContent>
                  </v:textbox>
                </v:rect>
                <v:rect id="Rectangle 146" o:spid="_x0000_s1146" style="position:absolute;left:21780;top:31451;width:16510;height:6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">
                  <v:textbox inset="0,0,0,0">
                    <w:txbxContent>
                      <w:p w:rsidR="00BE40F8" w:rsidRPr="009E7095" w:rsidRDefault="00BE40F8" w:rsidP="00B233DE">
                        <w:pPr>
                          <w:spacing w:line="230" w:lineRule="auto"/>
                          <w:ind w:firstLine="0"/>
                          <w:jc w:val="center"/>
                          <w:rPr>
                            <w:rFonts w:ascii="Times New Roman" w:hAnsi="Times New Roman" w:cs="Times New Roman"/>
                            <w:sz w:val="14"/>
                            <w:szCs w:val="14"/>
                          </w:rPr>
                        </w:pPr>
                        <w:r w:rsidRPr="009E7095">
                          <w:rPr>
                            <w:rFonts w:ascii="Times New Roman" w:hAnsi="Times New Roman" w:cs="Times New Roman"/>
                            <w:sz w:val="14"/>
                            <w:szCs w:val="14"/>
                          </w:rPr>
                          <w:t>Інституціональні перетворення інститутів:</w:t>
                        </w:r>
                      </w:p>
                      <w:p w:rsidR="00BE40F8" w:rsidRPr="009E7095" w:rsidRDefault="00BE40F8" w:rsidP="00B233DE">
                        <w:pPr>
                          <w:spacing w:line="230" w:lineRule="auto"/>
                          <w:ind w:firstLine="0"/>
                          <w:jc w:val="both"/>
                          <w:rPr>
                            <w:rFonts w:ascii="Times New Roman" w:hAnsi="Times New Roman" w:cs="Times New Roman"/>
                            <w:sz w:val="14"/>
                            <w:szCs w:val="14"/>
                          </w:rPr>
                        </w:pPr>
                        <w:r w:rsidRPr="009E7095">
                          <w:rPr>
                            <w:rFonts w:ascii="Times New Roman" w:hAnsi="Times New Roman" w:cs="Times New Roman"/>
                            <w:sz w:val="14"/>
                            <w:szCs w:val="14"/>
                          </w:rPr>
                          <w:t>соціальної політики, соціального захисту, страхування, соціального партнерства, со</w:t>
                        </w:r>
                        <w:r>
                          <w:rPr>
                            <w:rFonts w:ascii="Times New Roman" w:hAnsi="Times New Roman" w:cs="Times New Roman"/>
                            <w:sz w:val="14"/>
                            <w:szCs w:val="14"/>
                          </w:rPr>
                          <w:t>-</w:t>
                        </w:r>
                        <w:r w:rsidRPr="009E7095">
                          <w:rPr>
                            <w:rFonts w:ascii="Times New Roman" w:hAnsi="Times New Roman" w:cs="Times New Roman"/>
                            <w:sz w:val="14"/>
                            <w:szCs w:val="14"/>
                          </w:rPr>
                          <w:t xml:space="preserve">ціального підприємництва, соціальної </w:t>
                        </w:r>
                        <w:r>
                          <w:rPr>
                            <w:rFonts w:ascii="Times New Roman" w:hAnsi="Times New Roman" w:cs="Times New Roman"/>
                            <w:sz w:val="14"/>
                            <w:szCs w:val="14"/>
                          </w:rPr>
                          <w:t>звіт-</w:t>
                        </w:r>
                        <w:r w:rsidRPr="002C3167">
                          <w:rPr>
                            <w:rFonts w:ascii="Times New Roman" w:hAnsi="Times New Roman" w:cs="Times New Roman"/>
                            <w:spacing w:val="-6"/>
                            <w:sz w:val="14"/>
                            <w:szCs w:val="14"/>
                          </w:rPr>
                          <w:t>ності, соціального аудиту; розвиток інститу</w:t>
                        </w:r>
                        <w:r w:rsidRPr="009E7095">
                          <w:rPr>
                            <w:rFonts w:ascii="Times New Roman" w:hAnsi="Times New Roman" w:cs="Times New Roman"/>
                            <w:sz w:val="14"/>
                            <w:szCs w:val="14"/>
                          </w:rPr>
                          <w:t>ту непрофсоюзного представництва</w:t>
                        </w:r>
                      </w:p>
                    </w:txbxContent>
                  </v:textbox>
                </v:rect>
                <v:line id="Line 149" o:spid="_x0000_s1147" style="position:absolute;flip:x;visibility:visible;mso-wrap-style:square" from="18670,32627" to="18738,495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"/>
                <v:line id="Line 150" o:spid="_x0000_s1148" style="position:absolute;visibility:visible;mso-wrap-style:square" from="18727,49607" to="19433,496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"/>
                <v:line id="Line 151" o:spid="_x0000_s1149" style="position:absolute;flip:y;visibility:visible;mso-wrap-style:square" from="18723,39514" to="19862,39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"/>
                <v:line id="Line 152" o:spid="_x0000_s1150" style="position:absolute;flip:x;visibility:visible;mso-wrap-style:square" from="16996,35873" to="18619,359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"/>
                <v:line id="Line 153" o:spid="_x0000_s1151" style="position:absolute;flip:y;visibility:visible;mso-wrap-style:square" from="6768,41556" to="18873,41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"/>
                <v:line id="Line 154" o:spid="_x0000_s1152" style="position:absolute;flip:x y;visibility:visible;mso-wrap-style:square" from="17975,46202" to="18619,46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"/>
                <v:line id="Line 155" o:spid="_x0000_s1153" style="position:absolute;visibility:visible;mso-wrap-style:square" from="11701,28573" to="11974,2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"/>
                <v:line id="Line 156" o:spid="_x0000_s1154" style="position:absolute;visibility:visible;mso-wrap-style:square" from="21198,31513" to="21780,338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"/>
                <v:line id="Line 157" o:spid="_x0000_s1155" style="position:absolute;flip:y;visibility:visible;mso-wrap-style:square" from="16455,25880" to="16455,264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"/>
                <v:line id="Line 159" o:spid="_x0000_s1156" style="position:absolute;visibility:visible;mso-wrap-style:square" from="11701,24678" to="12367,24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"/>
                <v:line id="Line 160" o:spid="_x0000_s1157" style="position:absolute;flip:x y;visibility:visible;mso-wrap-style:square" from="12019,9600" to="12128,24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"/>
                <v:line id="Line 161" o:spid="_x0000_s1158" style="position:absolute;flip:x;visibility:visible;mso-wrap-style:square" from="11701,9708" to="12076,97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"/>
                <v:line id="Line 162" o:spid="_x0000_s1159" style="position:absolute;visibility:visible;mso-wrap-style:square" from="12185,11758" to="12503,11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"/>
                <v:line id="Line 164" o:spid="_x0000_s1160" style="position:absolute;flip:y;visibility:visible;mso-wrap-style:square" from="24018,10192" to="24400,10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"/>
                <v:line id="Line 165" o:spid="_x0000_s1161" style="position:absolute;flip:y;visibility:visible;mso-wrap-style:square" from="23676,22583" to="24409,22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"/>
                <v:line id="Line 172" o:spid="_x0000_s1162" style="position:absolute;visibility:visible;mso-wrap-style:square" from="11592,8900" to="12509,8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">
                  <v:stroke endarrow="block"/>
                </v:line>
                <v:line id="Line 173" o:spid="_x0000_s1163" style="position:absolute;visibility:visible;mso-wrap-style:square" from="23676,8575" to="24485,86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">
                  <v:stroke endarrow="block"/>
                </v:line>
                <v:line id="Line 174" o:spid="_x0000_s1164" style="position:absolute;visibility:visible;mso-wrap-style:square" from="18249,15550" to="18278,162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">
                  <v:stroke endarrow="block"/>
                </v:line>
                <v:rect id="Rectangle 175" o:spid="_x0000_s1165" style="position:absolute;left:19923;top:38036;width:18283;height:6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">
                  <v:textbox inset="0,0,0,0">
                    <w:txbxContent>
                      <w:p w:rsidR="00BE40F8" w:rsidRPr="002C3167" w:rsidRDefault="00BE40F8" w:rsidP="00B233DE">
                        <w:pPr>
                          <w:ind w:firstLine="0"/>
                          <w:jc w:val="both"/>
                          <w:rPr>
                            <w:rFonts w:ascii="Times New Roman" w:hAnsi="Times New Roman" w:cs="Times New Roman"/>
                            <w:sz w:val="14"/>
                            <w:szCs w:val="14"/>
                          </w:rPr>
                        </w:pPr>
                        <w:r w:rsidRPr="002C3167">
                          <w:rPr>
                            <w:rFonts w:ascii="Times New Roman" w:hAnsi="Times New Roman" w:cs="Times New Roman"/>
                            <w:spacing w:val="-6"/>
                            <w:sz w:val="14"/>
                            <w:szCs w:val="14"/>
                          </w:rPr>
                          <w:t>Зміни під впливом НТП: формування світової комп-ютерної мережі як н</w:t>
                        </w:r>
                        <w:r>
                          <w:rPr>
                            <w:rFonts w:ascii="Times New Roman" w:hAnsi="Times New Roman" w:cs="Times New Roman"/>
                            <w:spacing w:val="-6"/>
                            <w:sz w:val="14"/>
                            <w:szCs w:val="14"/>
                          </w:rPr>
                          <w:t>ового інституту на ринку праці</w:t>
                        </w:r>
                        <w:r w:rsidRPr="002C3167">
                          <w:rPr>
                            <w:rFonts w:ascii="Times New Roman" w:hAnsi="Times New Roman" w:cs="Times New Roman"/>
                            <w:sz w:val="14"/>
                            <w:szCs w:val="14"/>
                          </w:rPr>
                          <w:t>; збільшення зайнятості у сфері інтелектуаль</w:t>
                        </w:r>
                        <w:r>
                          <w:rPr>
                            <w:rFonts w:ascii="Times New Roman" w:hAnsi="Times New Roman" w:cs="Times New Roman"/>
                            <w:sz w:val="14"/>
                            <w:szCs w:val="14"/>
                          </w:rPr>
                          <w:t>-</w:t>
                        </w:r>
                        <w:r w:rsidRPr="002C3167">
                          <w:rPr>
                            <w:rFonts w:ascii="Times New Roman" w:hAnsi="Times New Roman" w:cs="Times New Roman"/>
                            <w:sz w:val="14"/>
                            <w:szCs w:val="14"/>
                          </w:rPr>
                          <w:t>них послуг; зростання попиту на інтелекту</w:t>
                        </w:r>
                        <w:r>
                          <w:rPr>
                            <w:rFonts w:ascii="Times New Roman" w:hAnsi="Times New Roman" w:cs="Times New Roman"/>
                            <w:sz w:val="14"/>
                            <w:szCs w:val="14"/>
                          </w:rPr>
                          <w:t>-</w:t>
                        </w:r>
                        <w:r w:rsidRPr="002C3167">
                          <w:rPr>
                            <w:rFonts w:ascii="Times New Roman" w:hAnsi="Times New Roman" w:cs="Times New Roman"/>
                            <w:spacing w:val="-6"/>
                            <w:sz w:val="14"/>
                            <w:szCs w:val="14"/>
                          </w:rPr>
                          <w:t>альну працю, нові технологічні процеси; покращен-ня освітньо-кваліфікаційної структури зайнятих</w:t>
                        </w:r>
                      </w:p>
                    </w:txbxContent>
                  </v:textbox>
                </v:rect>
                <v:rect id="Rectangle 176" o:spid="_x0000_s1166" style="position:absolute;left:375;top:34671;width:17122;height:6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">
                  <v:textbox inset="0,0,0,0">
                    <w:txbxContent>
                      <w:p w:rsidR="00BE40F8" w:rsidRDefault="00BE40F8" w:rsidP="00B233DE">
                        <w:pPr>
                          <w:ind w:firstLine="0"/>
                          <w:jc w:val="center"/>
                          <w:rPr>
                            <w:rFonts w:ascii="Times New Roman" w:hAnsi="Times New Roman" w:cs="Times New Roman"/>
                            <w:sz w:val="14"/>
                            <w:szCs w:val="14"/>
                          </w:rPr>
                        </w:pPr>
                        <w:r w:rsidRPr="004028F9">
                          <w:rPr>
                            <w:rFonts w:ascii="Times New Roman" w:hAnsi="Times New Roman" w:cs="Times New Roman"/>
                            <w:sz w:val="14"/>
                            <w:szCs w:val="14"/>
                          </w:rPr>
                          <w:t>Зміни в реальному ринку прац</w:t>
                        </w:r>
                        <w:r>
                          <w:rPr>
                            <w:rFonts w:ascii="Times New Roman" w:hAnsi="Times New Roman" w:cs="Times New Roman"/>
                            <w:sz w:val="14"/>
                            <w:szCs w:val="14"/>
                          </w:rPr>
                          <w:t xml:space="preserve">і (РеРП) та </w:t>
                        </w:r>
                        <w:r w:rsidRPr="00214D65">
                          <w:rPr>
                            <w:rFonts w:ascii="Times New Roman" w:hAnsi="Times New Roman" w:cs="Times New Roman"/>
                            <w:spacing w:val="-6"/>
                            <w:sz w:val="14"/>
                            <w:szCs w:val="14"/>
                          </w:rPr>
                          <w:t>його інфраструктурі: на первинному та вторин-</w:t>
                        </w:r>
                        <w:r>
                          <w:rPr>
                            <w:rFonts w:ascii="Times New Roman" w:hAnsi="Times New Roman" w:cs="Times New Roman"/>
                            <w:sz w:val="14"/>
                            <w:szCs w:val="14"/>
                          </w:rPr>
                          <w:t>ному ринках праці; в розрізі професій в роз-різі територій; в розрізі галузей; на</w:t>
                        </w:r>
                        <w:r w:rsidRPr="004028F9">
                          <w:rPr>
                            <w:rFonts w:ascii="Times New Roman" w:hAnsi="Times New Roman" w:cs="Times New Roman"/>
                            <w:sz w:val="14"/>
                            <w:szCs w:val="14"/>
                          </w:rPr>
                          <w:t xml:space="preserve"> ринку праці наукомістких виробництв; інновації </w:t>
                        </w:r>
                      </w:p>
                      <w:p w:rsidR="00BE40F8" w:rsidRPr="004028F9" w:rsidRDefault="00BE40F8" w:rsidP="00B233DE">
                        <w:pPr>
                          <w:ind w:firstLine="0"/>
                          <w:jc w:val="center"/>
                          <w:rPr>
                            <w:rFonts w:ascii="Times New Roman" w:hAnsi="Times New Roman" w:cs="Times New Roman"/>
                            <w:sz w:val="14"/>
                            <w:szCs w:val="14"/>
                          </w:rPr>
                        </w:pPr>
                        <w:r w:rsidRPr="004028F9">
                          <w:rPr>
                            <w:rFonts w:ascii="Times New Roman" w:hAnsi="Times New Roman" w:cs="Times New Roman"/>
                            <w:sz w:val="14"/>
                            <w:szCs w:val="14"/>
                          </w:rPr>
                          <w:t>в Державній службі зайнятості</w:t>
                        </w:r>
                      </w:p>
                    </w:txbxContent>
                  </v:textbox>
                </v:rect>
                <w10:anchorlock/>
              </v:group>
            </w:pict>
          </mc:Fallback>
        </mc:AlternateContent>
      </w:r>
    </w:p>
    <w:p w:rsidR="00B233DE" w:rsidRPr="00FB7D6F" w:rsidRDefault="00B233DE" w:rsidP="00B233DE">
      <w:pPr>
        <w:jc w:val="center"/>
        <w:rPr>
          <w:rFonts w:ascii="Times New Roman" w:hAnsi="Times New Roman" w:cs="Times New Roman"/>
          <w:b/>
          <w:sz w:val="21"/>
          <w:szCs w:val="21"/>
        </w:rPr>
      </w:pPr>
      <w:r w:rsidRPr="00FB7D6F">
        <w:rPr>
          <w:rFonts w:ascii="Times New Roman" w:hAnsi="Times New Roman" w:cs="Times New Roman"/>
          <w:b/>
          <w:color w:val="000000"/>
          <w:sz w:val="21"/>
          <w:szCs w:val="21"/>
        </w:rPr>
        <w:t xml:space="preserve">Рис. 3.4. </w:t>
      </w:r>
      <w:r w:rsidRPr="00FB7D6F">
        <w:rPr>
          <w:rFonts w:ascii="Times New Roman" w:hAnsi="Times New Roman" w:cs="Times New Roman"/>
          <w:b/>
          <w:sz w:val="21"/>
          <w:szCs w:val="21"/>
        </w:rPr>
        <w:t>Інституціональні перетворення у формуванні ринку праці України</w:t>
      </w:r>
    </w:p>
    <w:p w:rsidR="00B233DE" w:rsidRDefault="00B233DE" w:rsidP="00B233DE">
      <w:pPr>
        <w:ind w:firstLine="709"/>
        <w:jc w:val="both"/>
        <w:rPr>
          <w:rFonts w:ascii="Times New Roman" w:hAnsi="Times New Roman" w:cs="Times New Roman"/>
          <w:sz w:val="21"/>
          <w:szCs w:val="21"/>
        </w:rPr>
      </w:pPr>
      <w:r w:rsidRPr="00804B83">
        <w:rPr>
          <w:rFonts w:ascii="Times New Roman" w:hAnsi="Times New Roman" w:cs="Times New Roman"/>
          <w:sz w:val="21"/>
          <w:szCs w:val="21"/>
        </w:rPr>
        <w:lastRenderedPageBreak/>
        <w:t xml:space="preserve">Так, згідно даних відео прес-конференції на тему: «Українське суспільство: страхи та надії» </w:t>
      </w:r>
      <w:r w:rsidRPr="00AB5FD8">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_Ref435784281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w:t>
      </w:r>
      <w:r>
        <w:rPr>
          <w:rFonts w:ascii="Times New Roman" w:hAnsi="Times New Roman" w:cs="Times New Roman"/>
          <w:sz w:val="21"/>
          <w:szCs w:val="21"/>
          <w:highlight w:val="yellow"/>
        </w:rPr>
        <w:fldChar w:fldCharType="end"/>
      </w:r>
      <w:r w:rsidRPr="00AB5FD8">
        <w:rPr>
          <w:rFonts w:ascii="Times New Roman" w:hAnsi="Times New Roman" w:cs="Times New Roman"/>
          <w:sz w:val="21"/>
          <w:szCs w:val="21"/>
        </w:rPr>
        <w:t>],</w:t>
      </w:r>
      <w:r w:rsidRPr="00804B83">
        <w:rPr>
          <w:rFonts w:ascii="Times New Roman" w:hAnsi="Times New Roman" w:cs="Times New Roman"/>
          <w:sz w:val="21"/>
          <w:szCs w:val="21"/>
        </w:rPr>
        <w:t xml:space="preserve"> до основних страхів українського суспільства, які пов’язані з соціально-економічними показниками слід віднести: ріст цін – 73</w:t>
      </w:r>
      <w:r>
        <w:rPr>
          <w:rFonts w:ascii="Times New Roman" w:hAnsi="Times New Roman" w:cs="Times New Roman"/>
          <w:sz w:val="21"/>
          <w:szCs w:val="21"/>
        </w:rPr>
        <w:t xml:space="preserve"> </w:t>
      </w:r>
      <w:r w:rsidRPr="00804B83">
        <w:rPr>
          <w:rFonts w:ascii="Times New Roman" w:hAnsi="Times New Roman" w:cs="Times New Roman"/>
          <w:sz w:val="21"/>
          <w:szCs w:val="21"/>
        </w:rPr>
        <w:t>%; невчасна виплата заробітної плати і пенсій – 60</w:t>
      </w:r>
      <w:r>
        <w:rPr>
          <w:rFonts w:ascii="Times New Roman" w:hAnsi="Times New Roman" w:cs="Times New Roman"/>
          <w:sz w:val="21"/>
          <w:szCs w:val="21"/>
        </w:rPr>
        <w:t xml:space="preserve"> </w:t>
      </w:r>
      <w:r w:rsidRPr="00804B83">
        <w:rPr>
          <w:rFonts w:ascii="Times New Roman" w:hAnsi="Times New Roman" w:cs="Times New Roman"/>
          <w:sz w:val="21"/>
          <w:szCs w:val="21"/>
        </w:rPr>
        <w:t>%; безробіття – 60</w:t>
      </w:r>
      <w:r>
        <w:rPr>
          <w:rFonts w:ascii="Times New Roman" w:hAnsi="Times New Roman" w:cs="Times New Roman"/>
          <w:sz w:val="21"/>
          <w:szCs w:val="21"/>
        </w:rPr>
        <w:t xml:space="preserve"> </w:t>
      </w:r>
      <w:r w:rsidRPr="00804B83">
        <w:rPr>
          <w:rFonts w:ascii="Times New Roman" w:hAnsi="Times New Roman" w:cs="Times New Roman"/>
          <w:sz w:val="21"/>
          <w:szCs w:val="21"/>
        </w:rPr>
        <w:t>%; боїться голоду більше 30</w:t>
      </w:r>
      <w:r>
        <w:rPr>
          <w:rFonts w:ascii="Times New Roman" w:hAnsi="Times New Roman" w:cs="Times New Roman"/>
          <w:sz w:val="21"/>
          <w:szCs w:val="21"/>
        </w:rPr>
        <w:t xml:space="preserve"> </w:t>
      </w:r>
      <w:r w:rsidRPr="00804B83">
        <w:rPr>
          <w:rFonts w:ascii="Times New Roman" w:hAnsi="Times New Roman" w:cs="Times New Roman"/>
          <w:sz w:val="21"/>
          <w:szCs w:val="21"/>
        </w:rPr>
        <w:t>% респондентів.</w:t>
      </w:r>
    </w:p>
    <w:p w:rsidR="00B233DE" w:rsidRDefault="00B233DE" w:rsidP="00B233DE">
      <w:pPr>
        <w:ind w:firstLine="709"/>
        <w:jc w:val="both"/>
        <w:rPr>
          <w:rFonts w:ascii="Times New Roman" w:hAnsi="Times New Roman" w:cs="Times New Roman"/>
          <w:sz w:val="21"/>
          <w:szCs w:val="21"/>
        </w:rPr>
      </w:pPr>
      <w:r w:rsidRPr="00804B83">
        <w:rPr>
          <w:rFonts w:ascii="Times New Roman" w:hAnsi="Times New Roman" w:cs="Times New Roman"/>
          <w:sz w:val="21"/>
          <w:szCs w:val="21"/>
        </w:rPr>
        <w:t>В українському суспільстві найбільша недовіра українських громадян відчувається до таких політичних та соціальних інститутів, а саме: політичні партії – 71,9</w:t>
      </w:r>
      <w:r>
        <w:rPr>
          <w:rFonts w:ascii="Times New Roman" w:hAnsi="Times New Roman" w:cs="Times New Roman"/>
          <w:sz w:val="21"/>
          <w:szCs w:val="21"/>
        </w:rPr>
        <w:t xml:space="preserve"> </w:t>
      </w:r>
      <w:r w:rsidRPr="00804B83">
        <w:rPr>
          <w:rFonts w:ascii="Times New Roman" w:hAnsi="Times New Roman" w:cs="Times New Roman"/>
          <w:sz w:val="21"/>
          <w:szCs w:val="21"/>
        </w:rPr>
        <w:t>%; прокуратура – 67,8</w:t>
      </w:r>
      <w:r>
        <w:rPr>
          <w:rFonts w:ascii="Times New Roman" w:hAnsi="Times New Roman" w:cs="Times New Roman"/>
          <w:sz w:val="21"/>
          <w:szCs w:val="21"/>
        </w:rPr>
        <w:t xml:space="preserve"> </w:t>
      </w:r>
      <w:r w:rsidRPr="00804B83">
        <w:rPr>
          <w:rFonts w:ascii="Times New Roman" w:hAnsi="Times New Roman" w:cs="Times New Roman"/>
          <w:sz w:val="21"/>
          <w:szCs w:val="21"/>
        </w:rPr>
        <w:t>%; міліція – 67,7</w:t>
      </w:r>
      <w:r>
        <w:rPr>
          <w:rFonts w:ascii="Times New Roman" w:hAnsi="Times New Roman" w:cs="Times New Roman"/>
          <w:sz w:val="21"/>
          <w:szCs w:val="21"/>
        </w:rPr>
        <w:t xml:space="preserve"> </w:t>
      </w:r>
      <w:r w:rsidRPr="00804B83">
        <w:rPr>
          <w:rFonts w:ascii="Times New Roman" w:hAnsi="Times New Roman" w:cs="Times New Roman"/>
          <w:sz w:val="21"/>
          <w:szCs w:val="21"/>
        </w:rPr>
        <w:t>%; Верховна Рада – 65</w:t>
      </w:r>
      <w:r>
        <w:rPr>
          <w:rFonts w:ascii="Times New Roman" w:hAnsi="Times New Roman" w:cs="Times New Roman"/>
          <w:sz w:val="21"/>
          <w:szCs w:val="21"/>
        </w:rPr>
        <w:t xml:space="preserve"> </w:t>
      </w:r>
      <w:r w:rsidRPr="00804B83">
        <w:rPr>
          <w:rFonts w:ascii="Times New Roman" w:hAnsi="Times New Roman" w:cs="Times New Roman"/>
          <w:sz w:val="21"/>
          <w:szCs w:val="21"/>
        </w:rPr>
        <w:t>%; банки – 61,1</w:t>
      </w:r>
      <w:r>
        <w:rPr>
          <w:rFonts w:ascii="Times New Roman" w:hAnsi="Times New Roman" w:cs="Times New Roman"/>
          <w:sz w:val="21"/>
          <w:szCs w:val="21"/>
        </w:rPr>
        <w:t xml:space="preserve"> </w:t>
      </w:r>
      <w:r w:rsidRPr="00804B83">
        <w:rPr>
          <w:rFonts w:ascii="Times New Roman" w:hAnsi="Times New Roman" w:cs="Times New Roman"/>
          <w:sz w:val="21"/>
          <w:szCs w:val="21"/>
        </w:rPr>
        <w:t>%; місцеві органи влади – 49,4</w:t>
      </w:r>
      <w:r>
        <w:rPr>
          <w:rFonts w:ascii="Times New Roman" w:hAnsi="Times New Roman" w:cs="Times New Roman"/>
          <w:sz w:val="21"/>
          <w:szCs w:val="21"/>
        </w:rPr>
        <w:t xml:space="preserve"> </w:t>
      </w:r>
      <w:r w:rsidRPr="00804B83">
        <w:rPr>
          <w:rFonts w:ascii="Times New Roman" w:hAnsi="Times New Roman" w:cs="Times New Roman"/>
          <w:sz w:val="21"/>
          <w:szCs w:val="21"/>
        </w:rPr>
        <w:t>%; ЗМІ – 45,4</w:t>
      </w:r>
      <w:r>
        <w:rPr>
          <w:rFonts w:ascii="Times New Roman" w:hAnsi="Times New Roman" w:cs="Times New Roman"/>
          <w:sz w:val="21"/>
          <w:szCs w:val="21"/>
        </w:rPr>
        <w:t xml:space="preserve"> </w:t>
      </w:r>
      <w:r w:rsidRPr="00804B83">
        <w:rPr>
          <w:rFonts w:ascii="Times New Roman" w:hAnsi="Times New Roman" w:cs="Times New Roman"/>
          <w:sz w:val="21"/>
          <w:szCs w:val="21"/>
        </w:rPr>
        <w:t>%; профсоюзи – 49,1</w:t>
      </w:r>
      <w:r>
        <w:rPr>
          <w:rFonts w:ascii="Times New Roman" w:hAnsi="Times New Roman" w:cs="Times New Roman"/>
          <w:sz w:val="21"/>
          <w:szCs w:val="21"/>
        </w:rPr>
        <w:t xml:space="preserve"> </w:t>
      </w:r>
      <w:r w:rsidRPr="00804B83">
        <w:rPr>
          <w:rFonts w:ascii="Times New Roman" w:hAnsi="Times New Roman" w:cs="Times New Roman"/>
          <w:sz w:val="21"/>
          <w:szCs w:val="21"/>
        </w:rPr>
        <w:t>%; президент – 34,8</w:t>
      </w:r>
      <w:r>
        <w:rPr>
          <w:rFonts w:ascii="Times New Roman" w:hAnsi="Times New Roman" w:cs="Times New Roman"/>
          <w:sz w:val="21"/>
          <w:szCs w:val="21"/>
        </w:rPr>
        <w:t xml:space="preserve"> </w:t>
      </w:r>
      <w:r w:rsidRPr="00804B83">
        <w:rPr>
          <w:rFonts w:ascii="Times New Roman" w:hAnsi="Times New Roman" w:cs="Times New Roman"/>
          <w:sz w:val="21"/>
          <w:szCs w:val="21"/>
        </w:rPr>
        <w:t xml:space="preserve">%. Отже, при такій значній недовірі суспільства, навіть найкращі рішення будуть піддаватися </w:t>
      </w:r>
      <w:r>
        <w:rPr>
          <w:rFonts w:ascii="Times New Roman" w:hAnsi="Times New Roman" w:cs="Times New Roman"/>
          <w:sz w:val="21"/>
          <w:szCs w:val="21"/>
        </w:rPr>
        <w:t>сумніву. Лише третина опитаних</w:t>
      </w:r>
      <w:r w:rsidRPr="00804B83">
        <w:rPr>
          <w:rFonts w:ascii="Times New Roman" w:hAnsi="Times New Roman" w:cs="Times New Roman"/>
          <w:sz w:val="21"/>
          <w:szCs w:val="21"/>
        </w:rPr>
        <w:t xml:space="preserve"> вважає себе задоволеними життям, а 50</w:t>
      </w:r>
      <w:r>
        <w:rPr>
          <w:rFonts w:ascii="Times New Roman" w:hAnsi="Times New Roman" w:cs="Times New Roman"/>
          <w:sz w:val="21"/>
          <w:szCs w:val="21"/>
        </w:rPr>
        <w:t xml:space="preserve"> </w:t>
      </w:r>
      <w:r w:rsidRPr="00804B83">
        <w:rPr>
          <w:rFonts w:ascii="Times New Roman" w:hAnsi="Times New Roman" w:cs="Times New Roman"/>
          <w:sz w:val="21"/>
          <w:szCs w:val="21"/>
        </w:rPr>
        <w:t>% опитаних респондентів переконані, що за даних умов, необхідним є і ринкове, і державне регулювання економік</w:t>
      </w:r>
      <w:r>
        <w:rPr>
          <w:rFonts w:ascii="Times New Roman" w:hAnsi="Times New Roman" w:cs="Times New Roman"/>
          <w:sz w:val="21"/>
          <w:szCs w:val="21"/>
        </w:rPr>
        <w:t>и</w:t>
      </w:r>
      <w:r w:rsidRPr="00804B83">
        <w:rPr>
          <w:rFonts w:ascii="Times New Roman" w:hAnsi="Times New Roman" w:cs="Times New Roman"/>
          <w:sz w:val="21"/>
          <w:szCs w:val="21"/>
        </w:rPr>
        <w:t>.</w:t>
      </w:r>
    </w:p>
    <w:p w:rsidR="00B233DE" w:rsidRDefault="00B233DE" w:rsidP="00B233DE">
      <w:pPr>
        <w:ind w:firstLine="709"/>
        <w:jc w:val="both"/>
        <w:rPr>
          <w:rFonts w:ascii="Times New Roman" w:hAnsi="Times New Roman" w:cs="Times New Roman"/>
          <w:sz w:val="21"/>
          <w:szCs w:val="21"/>
        </w:rPr>
      </w:pPr>
      <w:r w:rsidRPr="00804B83">
        <w:rPr>
          <w:rFonts w:ascii="Times New Roman" w:hAnsi="Times New Roman" w:cs="Times New Roman"/>
          <w:sz w:val="21"/>
          <w:szCs w:val="21"/>
        </w:rPr>
        <w:t>Експерти вважають, що тенденція постійног</w:t>
      </w:r>
      <w:r>
        <w:rPr>
          <w:rFonts w:ascii="Times New Roman" w:hAnsi="Times New Roman" w:cs="Times New Roman"/>
          <w:sz w:val="21"/>
          <w:szCs w:val="21"/>
        </w:rPr>
        <w:t xml:space="preserve">о погіршення життя українців – це </w:t>
      </w:r>
      <w:r w:rsidRPr="00804B83">
        <w:rPr>
          <w:rFonts w:ascii="Times New Roman" w:hAnsi="Times New Roman" w:cs="Times New Roman"/>
          <w:sz w:val="21"/>
          <w:szCs w:val="21"/>
        </w:rPr>
        <w:t>тенденція всіх років незалежності України. Коли під час соцопитування в українців запитали, чого їм зараз не вистачає, то – 75,9</w:t>
      </w:r>
      <w:r>
        <w:rPr>
          <w:rFonts w:ascii="Times New Roman" w:hAnsi="Times New Roman" w:cs="Times New Roman"/>
          <w:sz w:val="21"/>
          <w:szCs w:val="21"/>
        </w:rPr>
        <w:t xml:space="preserve"> </w:t>
      </w:r>
      <w:r w:rsidRPr="00804B83">
        <w:rPr>
          <w:rFonts w:ascii="Times New Roman" w:hAnsi="Times New Roman" w:cs="Times New Roman"/>
          <w:sz w:val="21"/>
          <w:szCs w:val="21"/>
        </w:rPr>
        <w:t>% респондентів зазначили, що в них немає збережень, які б дозволили підтримати їхнє існування протягом року відсутності роботи; 66,3</w:t>
      </w:r>
      <w:r>
        <w:rPr>
          <w:rFonts w:ascii="Times New Roman" w:hAnsi="Times New Roman" w:cs="Times New Roman"/>
          <w:sz w:val="21"/>
          <w:szCs w:val="21"/>
        </w:rPr>
        <w:t xml:space="preserve"> </w:t>
      </w:r>
      <w:r w:rsidRPr="00804B83">
        <w:rPr>
          <w:rFonts w:ascii="Times New Roman" w:hAnsi="Times New Roman" w:cs="Times New Roman"/>
          <w:sz w:val="21"/>
          <w:szCs w:val="21"/>
        </w:rPr>
        <w:t>% опитаних підкреслюють про відсутність своєї впевненості у майбутньому, 55,3</w:t>
      </w:r>
      <w:r>
        <w:rPr>
          <w:rFonts w:ascii="Times New Roman" w:hAnsi="Times New Roman" w:cs="Times New Roman"/>
          <w:sz w:val="21"/>
          <w:szCs w:val="21"/>
        </w:rPr>
        <w:t xml:space="preserve"> </w:t>
      </w:r>
      <w:r w:rsidRPr="00804B83">
        <w:rPr>
          <w:rFonts w:ascii="Times New Roman" w:hAnsi="Times New Roman" w:cs="Times New Roman"/>
          <w:sz w:val="21"/>
          <w:szCs w:val="21"/>
        </w:rPr>
        <w:t>% українців не мають можливості повноцінно провести відпустку; 47,9</w:t>
      </w:r>
      <w:r>
        <w:rPr>
          <w:rFonts w:ascii="Times New Roman" w:hAnsi="Times New Roman" w:cs="Times New Roman"/>
          <w:sz w:val="21"/>
          <w:szCs w:val="21"/>
        </w:rPr>
        <w:t xml:space="preserve"> </w:t>
      </w:r>
      <w:r w:rsidRPr="00804B83">
        <w:rPr>
          <w:rFonts w:ascii="Times New Roman" w:hAnsi="Times New Roman" w:cs="Times New Roman"/>
          <w:sz w:val="21"/>
          <w:szCs w:val="21"/>
        </w:rPr>
        <w:t>% осіб наголошують про неможливість забезпечити себе необхідною медичною допомогою, а 43,8</w:t>
      </w:r>
      <w:r>
        <w:rPr>
          <w:rFonts w:ascii="Times New Roman" w:hAnsi="Times New Roman" w:cs="Times New Roman"/>
          <w:sz w:val="21"/>
          <w:szCs w:val="21"/>
        </w:rPr>
        <w:t xml:space="preserve"> </w:t>
      </w:r>
      <w:r w:rsidRPr="00804B83">
        <w:rPr>
          <w:rFonts w:ascii="Times New Roman" w:hAnsi="Times New Roman" w:cs="Times New Roman"/>
          <w:sz w:val="21"/>
          <w:szCs w:val="21"/>
        </w:rPr>
        <w:t>% респондентів вважають, що не можуть харчуватися так, як хочуть.</w:t>
      </w:r>
    </w:p>
    <w:p w:rsidR="00B233DE" w:rsidRPr="00804B83" w:rsidRDefault="00B233DE" w:rsidP="00B233DE">
      <w:pPr>
        <w:ind w:firstLine="709"/>
        <w:jc w:val="both"/>
        <w:rPr>
          <w:rFonts w:ascii="Times New Roman" w:hAnsi="Times New Roman" w:cs="Times New Roman"/>
          <w:sz w:val="21"/>
          <w:szCs w:val="21"/>
        </w:rPr>
      </w:pPr>
      <w:r w:rsidRPr="00804B83">
        <w:rPr>
          <w:rFonts w:ascii="Times New Roman" w:hAnsi="Times New Roman" w:cs="Times New Roman"/>
          <w:sz w:val="21"/>
          <w:szCs w:val="21"/>
        </w:rPr>
        <w:t>На запитання вчених, «які види професій є затребуваними в сучасній економіці України?» було отримано відповіді: військових – 46</w:t>
      </w:r>
      <w:r>
        <w:rPr>
          <w:rFonts w:ascii="Times New Roman" w:hAnsi="Times New Roman" w:cs="Times New Roman"/>
          <w:sz w:val="21"/>
          <w:szCs w:val="21"/>
        </w:rPr>
        <w:t xml:space="preserve"> </w:t>
      </w:r>
      <w:r w:rsidRPr="00804B83">
        <w:rPr>
          <w:rFonts w:ascii="Times New Roman" w:hAnsi="Times New Roman" w:cs="Times New Roman"/>
          <w:sz w:val="21"/>
          <w:szCs w:val="21"/>
        </w:rPr>
        <w:t>%; медичних – 33</w:t>
      </w:r>
      <w:r>
        <w:rPr>
          <w:rFonts w:ascii="Times New Roman" w:hAnsi="Times New Roman" w:cs="Times New Roman"/>
          <w:sz w:val="21"/>
          <w:szCs w:val="21"/>
        </w:rPr>
        <w:t xml:space="preserve"> </w:t>
      </w:r>
      <w:r w:rsidRPr="00804B83">
        <w:rPr>
          <w:rFonts w:ascii="Times New Roman" w:hAnsi="Times New Roman" w:cs="Times New Roman"/>
          <w:sz w:val="21"/>
          <w:szCs w:val="21"/>
        </w:rPr>
        <w:t>%; технічних – 20</w:t>
      </w:r>
      <w:r>
        <w:rPr>
          <w:rFonts w:ascii="Times New Roman" w:hAnsi="Times New Roman" w:cs="Times New Roman"/>
          <w:sz w:val="21"/>
          <w:szCs w:val="21"/>
        </w:rPr>
        <w:t xml:space="preserve"> </w:t>
      </w:r>
      <w:r w:rsidRPr="00804B83">
        <w:rPr>
          <w:rFonts w:ascii="Times New Roman" w:hAnsi="Times New Roman" w:cs="Times New Roman"/>
          <w:sz w:val="21"/>
          <w:szCs w:val="21"/>
        </w:rPr>
        <w:t>%, економічних – 16</w:t>
      </w:r>
      <w:r>
        <w:rPr>
          <w:rFonts w:ascii="Times New Roman" w:hAnsi="Times New Roman" w:cs="Times New Roman"/>
          <w:sz w:val="21"/>
          <w:szCs w:val="21"/>
        </w:rPr>
        <w:t xml:space="preserve"> </w:t>
      </w:r>
      <w:r w:rsidRPr="00804B83">
        <w:rPr>
          <w:rFonts w:ascii="Times New Roman" w:hAnsi="Times New Roman" w:cs="Times New Roman"/>
          <w:sz w:val="21"/>
          <w:szCs w:val="21"/>
        </w:rPr>
        <w:t>% та наукових працівників – 6</w:t>
      </w:r>
      <w:r>
        <w:rPr>
          <w:rFonts w:ascii="Times New Roman" w:hAnsi="Times New Roman" w:cs="Times New Roman"/>
          <w:sz w:val="21"/>
          <w:szCs w:val="21"/>
        </w:rPr>
        <w:t xml:space="preserve"> </w:t>
      </w:r>
      <w:r w:rsidRPr="00804B83">
        <w:rPr>
          <w:rFonts w:ascii="Times New Roman" w:hAnsi="Times New Roman" w:cs="Times New Roman"/>
          <w:sz w:val="21"/>
          <w:szCs w:val="21"/>
        </w:rPr>
        <w:t>%. На думку експертів, це ненормальне явище, яке влучно характеризує сучасну нестабільну воєнну, соціально-економічну та політичну ситуацію в Україні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_Ref435784281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w:t>
      </w:r>
      <w:r>
        <w:rPr>
          <w:rFonts w:ascii="Times New Roman" w:hAnsi="Times New Roman" w:cs="Times New Roman"/>
          <w:sz w:val="21"/>
          <w:szCs w:val="21"/>
          <w:highlight w:val="yellow"/>
        </w:rPr>
        <w:fldChar w:fldCharType="end"/>
      </w:r>
      <w:r w:rsidRPr="00804B83">
        <w:rPr>
          <w:rFonts w:ascii="Times New Roman" w:hAnsi="Times New Roman" w:cs="Times New Roman"/>
          <w:sz w:val="21"/>
          <w:szCs w:val="21"/>
        </w:rPr>
        <w:t xml:space="preserve">]. </w:t>
      </w:r>
    </w:p>
    <w:p w:rsidR="00B233DE" w:rsidRPr="00804B83" w:rsidRDefault="00B233DE" w:rsidP="00B233DE">
      <w:pPr>
        <w:ind w:firstLine="709"/>
        <w:jc w:val="both"/>
        <w:rPr>
          <w:rFonts w:ascii="Times New Roman" w:hAnsi="Times New Roman" w:cs="Times New Roman"/>
          <w:sz w:val="21"/>
          <w:szCs w:val="21"/>
        </w:rPr>
      </w:pPr>
      <w:r w:rsidRPr="00804B83">
        <w:rPr>
          <w:rFonts w:ascii="Times New Roman" w:hAnsi="Times New Roman" w:cs="Times New Roman"/>
          <w:sz w:val="21"/>
          <w:szCs w:val="21"/>
        </w:rPr>
        <w:t xml:space="preserve">На наш погляд, цікавим є те, що на питання «від чого Ви відмовилися на даний час?» мешканці м. Києва відповіли наступним чином: від відпочинку та від культурних </w:t>
      </w:r>
      <w:r>
        <w:rPr>
          <w:rFonts w:ascii="Times New Roman" w:hAnsi="Times New Roman" w:cs="Times New Roman"/>
          <w:sz w:val="21"/>
          <w:szCs w:val="21"/>
        </w:rPr>
        <w:t>заходів</w:t>
      </w:r>
      <w:r w:rsidRPr="00804B83">
        <w:rPr>
          <w:rFonts w:ascii="Times New Roman" w:hAnsi="Times New Roman" w:cs="Times New Roman"/>
          <w:sz w:val="21"/>
          <w:szCs w:val="21"/>
        </w:rPr>
        <w:t xml:space="preserve">. Отже, зазначені відповіді підтверджують низький рівень соціального самопочуття; відсутність і бажання, і можливостей займатися повноцінним культурним відтворенням власного трудового та </w:t>
      </w:r>
      <w:r w:rsidRPr="00804B83">
        <w:rPr>
          <w:rFonts w:ascii="Times New Roman" w:hAnsi="Times New Roman" w:cs="Times New Roman"/>
          <w:sz w:val="21"/>
          <w:szCs w:val="21"/>
        </w:rPr>
        <w:lastRenderedPageBreak/>
        <w:t>людського потенціалу, що провокує можливий стан масової депресії індивідів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_Ref435784281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w:t>
      </w:r>
      <w:r>
        <w:rPr>
          <w:rFonts w:ascii="Times New Roman" w:hAnsi="Times New Roman" w:cs="Times New Roman"/>
          <w:sz w:val="21"/>
          <w:szCs w:val="21"/>
          <w:highlight w:val="yellow"/>
        </w:rPr>
        <w:fldChar w:fldCharType="end"/>
      </w:r>
      <w:r w:rsidRPr="00804B83">
        <w:rPr>
          <w:rFonts w:ascii="Times New Roman" w:hAnsi="Times New Roman" w:cs="Times New Roman"/>
          <w:sz w:val="21"/>
          <w:szCs w:val="21"/>
        </w:rPr>
        <w:t>].</w:t>
      </w:r>
    </w:p>
    <w:p w:rsidR="00B233DE" w:rsidRPr="00804B83" w:rsidRDefault="00B233DE" w:rsidP="00B233DE">
      <w:pPr>
        <w:autoSpaceDE w:val="0"/>
        <w:autoSpaceDN w:val="0"/>
        <w:adjustRightInd w:val="0"/>
        <w:ind w:firstLine="709"/>
        <w:jc w:val="both"/>
        <w:rPr>
          <w:rFonts w:ascii="Times New Roman" w:hAnsi="Times New Roman" w:cs="Times New Roman"/>
          <w:sz w:val="21"/>
          <w:szCs w:val="21"/>
        </w:rPr>
      </w:pPr>
      <w:r w:rsidRPr="00804B83">
        <w:rPr>
          <w:rFonts w:ascii="Times New Roman" w:hAnsi="Times New Roman" w:cs="Times New Roman"/>
          <w:sz w:val="21"/>
          <w:szCs w:val="21"/>
        </w:rPr>
        <w:t>Основними світовими тенденціями</w:t>
      </w:r>
      <w:r w:rsidRPr="00804B83">
        <w:rPr>
          <w:rFonts w:ascii="Times New Roman" w:hAnsi="Times New Roman" w:cs="Times New Roman"/>
          <w:color w:val="339966"/>
          <w:sz w:val="21"/>
          <w:szCs w:val="21"/>
        </w:rPr>
        <w:t xml:space="preserve"> </w:t>
      </w:r>
      <w:r w:rsidRPr="00804B83">
        <w:rPr>
          <w:rFonts w:ascii="Times New Roman" w:hAnsi="Times New Roman" w:cs="Times New Roman"/>
          <w:sz w:val="21"/>
          <w:szCs w:val="21"/>
        </w:rPr>
        <w:t>початку XXI ст. є з</w:t>
      </w:r>
      <w:r w:rsidRPr="00804B83">
        <w:rPr>
          <w:rFonts w:ascii="Times New Roman" w:hAnsi="Times New Roman" w:cs="Times New Roman"/>
          <w:bCs/>
          <w:sz w:val="21"/>
          <w:szCs w:val="21"/>
        </w:rPr>
        <w:t xml:space="preserve">ростання безробіття в найближчі роки, яке обумовлене поєднанням декількох факторів у світовій економіці: сповільнення зростання, збільшення нерівності в доходах і зростаючої нестабільності. </w:t>
      </w:r>
      <w:r w:rsidRPr="00804B83">
        <w:rPr>
          <w:rFonts w:ascii="Times New Roman" w:hAnsi="Times New Roman" w:cs="Times New Roman"/>
          <w:sz w:val="21"/>
          <w:szCs w:val="21"/>
        </w:rPr>
        <w:t>Згідно даних прогнозу, які містяться в доповіді Міжнародної організації праці (МОП) «Глобальна зайнятість і соціальна перспектива: тенденції 2015 року» до 2019 року кількість безробітних у світі зросте до 212 млн. осіб. Генеральний директор Міжнародного бюро праці ст</w:t>
      </w:r>
      <w:r>
        <w:rPr>
          <w:rFonts w:ascii="Times New Roman" w:hAnsi="Times New Roman" w:cs="Times New Roman"/>
          <w:sz w:val="21"/>
          <w:szCs w:val="21"/>
        </w:rPr>
        <w:t>верджує, що «більше ніж 61 млн.</w:t>
      </w:r>
      <w:r w:rsidRPr="00804B83">
        <w:rPr>
          <w:rFonts w:ascii="Times New Roman" w:hAnsi="Times New Roman" w:cs="Times New Roman"/>
          <w:sz w:val="21"/>
          <w:szCs w:val="21"/>
        </w:rPr>
        <w:t xml:space="preserve"> робочих місць було втрачено з початку кризи в 2008 році, і, за прогнозом, безробіття продовжить зростати; криза зайнятості далеко не завершена». Крім цього, </w:t>
      </w:r>
      <w:r w:rsidRPr="00804B83">
        <w:rPr>
          <w:rFonts w:ascii="Times New Roman" w:hAnsi="Times New Roman" w:cs="Times New Roman"/>
          <w:bCs/>
          <w:sz w:val="21"/>
          <w:szCs w:val="21"/>
        </w:rPr>
        <w:t>МОП прогнозує збільшення нерівності в доходах. Зараз 10</w:t>
      </w:r>
      <w:r>
        <w:rPr>
          <w:rFonts w:ascii="Times New Roman" w:hAnsi="Times New Roman" w:cs="Times New Roman"/>
          <w:bCs/>
          <w:sz w:val="21"/>
          <w:szCs w:val="21"/>
        </w:rPr>
        <w:t xml:space="preserve"> </w:t>
      </w:r>
      <w:r w:rsidRPr="00804B83">
        <w:rPr>
          <w:rFonts w:ascii="Times New Roman" w:hAnsi="Times New Roman" w:cs="Times New Roman"/>
          <w:bCs/>
          <w:sz w:val="21"/>
          <w:szCs w:val="21"/>
        </w:rPr>
        <w:t>% найбільш заможних людей отримують від 30 до 40</w:t>
      </w:r>
      <w:r>
        <w:rPr>
          <w:rFonts w:ascii="Times New Roman" w:hAnsi="Times New Roman" w:cs="Times New Roman"/>
          <w:bCs/>
          <w:sz w:val="21"/>
          <w:szCs w:val="21"/>
        </w:rPr>
        <w:t xml:space="preserve"> </w:t>
      </w:r>
      <w:r w:rsidRPr="00804B83">
        <w:rPr>
          <w:rFonts w:ascii="Times New Roman" w:hAnsi="Times New Roman" w:cs="Times New Roman"/>
          <w:bCs/>
          <w:sz w:val="21"/>
          <w:szCs w:val="21"/>
        </w:rPr>
        <w:t>% всіх доходів, тоді як 10</w:t>
      </w:r>
      <w:r>
        <w:rPr>
          <w:rFonts w:ascii="Times New Roman" w:hAnsi="Times New Roman" w:cs="Times New Roman"/>
          <w:bCs/>
          <w:sz w:val="21"/>
          <w:szCs w:val="21"/>
        </w:rPr>
        <w:t xml:space="preserve"> </w:t>
      </w:r>
      <w:r w:rsidRPr="00804B83">
        <w:rPr>
          <w:rFonts w:ascii="Times New Roman" w:hAnsi="Times New Roman" w:cs="Times New Roman"/>
          <w:bCs/>
          <w:sz w:val="21"/>
          <w:szCs w:val="21"/>
        </w:rPr>
        <w:t>% найбідніших – від 2 до 7</w:t>
      </w:r>
      <w:r>
        <w:rPr>
          <w:rFonts w:ascii="Times New Roman" w:hAnsi="Times New Roman" w:cs="Times New Roman"/>
          <w:bCs/>
          <w:sz w:val="21"/>
          <w:szCs w:val="21"/>
        </w:rPr>
        <w:t xml:space="preserve"> </w:t>
      </w:r>
      <w:r w:rsidRPr="00804B83">
        <w:rPr>
          <w:rFonts w:ascii="Times New Roman" w:hAnsi="Times New Roman" w:cs="Times New Roman"/>
          <w:bCs/>
          <w:sz w:val="21"/>
          <w:szCs w:val="21"/>
        </w:rPr>
        <w:t xml:space="preserve">%. </w:t>
      </w:r>
      <w:r w:rsidRPr="00804B83">
        <w:rPr>
          <w:rFonts w:ascii="Times New Roman" w:hAnsi="Times New Roman" w:cs="Times New Roman"/>
          <w:sz w:val="21"/>
          <w:szCs w:val="21"/>
        </w:rPr>
        <w:t xml:space="preserve">Експерти підкреслюють, що існуючі тенденції, підірвали віру в уряди і підвищили ризик соціальних заворушень </w:t>
      </w:r>
      <w:r w:rsidRPr="00804B83">
        <w:rPr>
          <w:rFonts w:ascii="Times New Roman" w:hAnsi="Times New Roman" w:cs="Times New Roman"/>
          <w:bCs/>
          <w:sz w:val="21"/>
          <w:szCs w:val="21"/>
        </w:rPr>
        <w:t>[</w:t>
      </w:r>
      <w:r>
        <w:rPr>
          <w:rFonts w:ascii="Times New Roman" w:hAnsi="Times New Roman" w:cs="Times New Roman"/>
          <w:bCs/>
          <w:sz w:val="21"/>
          <w:szCs w:val="21"/>
          <w:highlight w:val="yellow"/>
        </w:rPr>
        <w:fldChar w:fldCharType="begin"/>
      </w:r>
      <w:r>
        <w:rPr>
          <w:rFonts w:ascii="Times New Roman" w:hAnsi="Times New Roman" w:cs="Times New Roman"/>
          <w:bCs/>
          <w:sz w:val="21"/>
          <w:szCs w:val="21"/>
        </w:rPr>
        <w:instrText xml:space="preserve"> REF _Ref435784312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bCs/>
          <w:sz w:val="21"/>
          <w:szCs w:val="21"/>
        </w:rPr>
        <w:t>68</w:t>
      </w:r>
      <w:r>
        <w:rPr>
          <w:rFonts w:ascii="Times New Roman" w:hAnsi="Times New Roman" w:cs="Times New Roman"/>
          <w:bCs/>
          <w:sz w:val="21"/>
          <w:szCs w:val="21"/>
          <w:highlight w:val="yellow"/>
        </w:rPr>
        <w:fldChar w:fldCharType="end"/>
      </w:r>
      <w:r w:rsidRPr="00804B83">
        <w:rPr>
          <w:rFonts w:ascii="Times New Roman" w:hAnsi="Times New Roman" w:cs="Times New Roman"/>
          <w:bCs/>
          <w:sz w:val="21"/>
          <w:szCs w:val="21"/>
        </w:rPr>
        <w:t>]. Експерти та фахівці вважають, що сучасний працівник</w:t>
      </w:r>
      <w:r w:rsidRPr="00804B83">
        <w:rPr>
          <w:rFonts w:ascii="Times New Roman" w:hAnsi="Times New Roman" w:cs="Times New Roman"/>
          <w:sz w:val="21"/>
          <w:szCs w:val="21"/>
        </w:rPr>
        <w:t xml:space="preserve"> безперервно розвиває свої здібності до праці; розширює свої можливості професійної реалізації, легко пересуваючись з однієї країни в іншу; гнучко і швидко пристосовується до зростаючих вимог роботодавців та новітніх технологій; стає комунікабельним в контактах з іншими працівниками; підвищує загальнолюдські норми свого життя; пропогуючи національні культури і традиції. </w:t>
      </w:r>
    </w:p>
    <w:p w:rsidR="00B233DE" w:rsidRPr="00804B83" w:rsidRDefault="00B233DE" w:rsidP="00B233DE">
      <w:pPr>
        <w:ind w:firstLine="709"/>
        <w:jc w:val="both"/>
        <w:rPr>
          <w:rFonts w:ascii="Times New Roman" w:hAnsi="Times New Roman" w:cs="Times New Roman"/>
          <w:sz w:val="21"/>
          <w:szCs w:val="21"/>
        </w:rPr>
      </w:pPr>
      <w:r w:rsidRPr="00804B83">
        <w:rPr>
          <w:rFonts w:ascii="Times New Roman" w:hAnsi="Times New Roman" w:cs="Times New Roman"/>
          <w:sz w:val="21"/>
          <w:szCs w:val="21"/>
        </w:rPr>
        <w:t>Р</w:t>
      </w:r>
      <w:r w:rsidRPr="00804B83">
        <w:rPr>
          <w:rFonts w:ascii="Times New Roman" w:eastAsia="TimesNewRoman" w:hAnsi="Times New Roman" w:cs="Times New Roman"/>
          <w:sz w:val="21"/>
          <w:szCs w:val="21"/>
        </w:rPr>
        <w:t xml:space="preserve">ізноспрямовані </w:t>
      </w:r>
      <w:r w:rsidRPr="00804B83">
        <w:rPr>
          <w:rFonts w:ascii="Times New Roman" w:hAnsi="Times New Roman" w:cs="Times New Roman"/>
          <w:sz w:val="21"/>
          <w:szCs w:val="21"/>
        </w:rPr>
        <w:t>інституційні зміни, що здійснювались упродовж останніх років на ринку праці, призвели до певних соціальних ризиків, до ускладнення змісту праці, до появи</w:t>
      </w:r>
      <w:r w:rsidRPr="00804B83">
        <w:rPr>
          <w:rFonts w:ascii="Times New Roman" w:eastAsia="TimesNewRoman" w:hAnsi="Times New Roman" w:cs="Times New Roman"/>
          <w:sz w:val="21"/>
          <w:szCs w:val="21"/>
        </w:rPr>
        <w:t xml:space="preserve"> нових цінностей та пріоритетів. </w:t>
      </w:r>
      <w:r w:rsidRPr="00804B83">
        <w:rPr>
          <w:rFonts w:ascii="Times New Roman" w:hAnsi="Times New Roman" w:cs="Times New Roman"/>
          <w:sz w:val="21"/>
          <w:szCs w:val="21"/>
        </w:rPr>
        <w:t>Наслідком впливу інституціональних перетворень на ринок праці можна вважати «різку зміну цінностей і норм, пов’язаних з економікою, тобто прийнятих у суспільстві та у його окремих групах стійких уявлень людей про те, яка економічна поведінка для них є переважаючою. Ці цінності багато в чому суперечать особливостям історично сформованого українського менталітету і типу економічного мислення, що викликає деформацію поведінкових установок і очікувань людей, деструктивну економічну поведінку, перешкоджає економічній стабілізації»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_Ref433976695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22</w:t>
      </w:r>
      <w:r>
        <w:rPr>
          <w:rFonts w:ascii="Times New Roman" w:hAnsi="Times New Roman" w:cs="Times New Roman"/>
          <w:sz w:val="21"/>
          <w:szCs w:val="21"/>
          <w:highlight w:val="yellow"/>
        </w:rPr>
        <w:fldChar w:fldCharType="end"/>
      </w:r>
      <w:r w:rsidRPr="00804B83">
        <w:rPr>
          <w:rFonts w:ascii="Times New Roman" w:hAnsi="Times New Roman" w:cs="Times New Roman"/>
          <w:sz w:val="21"/>
          <w:szCs w:val="21"/>
        </w:rPr>
        <w:t>].</w:t>
      </w:r>
    </w:p>
    <w:p w:rsidR="00B233DE" w:rsidRPr="00804B83" w:rsidRDefault="00B233DE" w:rsidP="00B233DE">
      <w:pPr>
        <w:autoSpaceDE w:val="0"/>
        <w:autoSpaceDN w:val="0"/>
        <w:adjustRightInd w:val="0"/>
        <w:ind w:firstLine="709"/>
        <w:jc w:val="both"/>
        <w:rPr>
          <w:rFonts w:ascii="Times New Roman" w:eastAsia="TimesNewRomanPSMT" w:hAnsi="Times New Roman" w:cs="Times New Roman"/>
          <w:sz w:val="21"/>
          <w:szCs w:val="21"/>
        </w:rPr>
      </w:pPr>
      <w:r w:rsidRPr="00804B83">
        <w:rPr>
          <w:rFonts w:ascii="Times New Roman" w:hAnsi="Times New Roman" w:cs="Times New Roman"/>
          <w:sz w:val="21"/>
          <w:szCs w:val="21"/>
        </w:rPr>
        <w:lastRenderedPageBreak/>
        <w:t xml:space="preserve">Отже, шлях розбудови національного ринку праці, спрямованого на євроінтеграцію, має власну специфіку, що продукує появу принципово нових інституціональних перетворень суспільних відносин, які б враховували найбільш суттєві зміни, світові та європейські тенденції у сфері праці за останні роки і забезпечували організацію економічного прориву. </w:t>
      </w:r>
      <w:r w:rsidRPr="00804B83">
        <w:rPr>
          <w:rFonts w:ascii="Times New Roman" w:eastAsia="TimesNewRoman" w:hAnsi="Times New Roman" w:cs="Times New Roman"/>
          <w:sz w:val="21"/>
          <w:szCs w:val="21"/>
        </w:rPr>
        <w:t xml:space="preserve">Це зумовлює створення в Україні такого </w:t>
      </w:r>
      <w:r w:rsidRPr="00804B83">
        <w:rPr>
          <w:rFonts w:ascii="Times New Roman" w:hAnsi="Times New Roman" w:cs="Times New Roman"/>
          <w:sz w:val="21"/>
          <w:szCs w:val="21"/>
        </w:rPr>
        <w:t xml:space="preserve">механізму, який би сприяв ефективному розвитку ринку праці відповідно сучасним реаліям та оптимізував роботу всіх його інститутів. </w:t>
      </w:r>
      <w:r>
        <w:rPr>
          <w:rFonts w:ascii="Times New Roman" w:eastAsia="TimesNewRomanPSMT" w:hAnsi="Times New Roman" w:cs="Times New Roman"/>
          <w:sz w:val="21"/>
          <w:szCs w:val="21"/>
        </w:rPr>
        <w:t>За сучасних умов</w:t>
      </w:r>
      <w:r w:rsidRPr="00804B83">
        <w:rPr>
          <w:rFonts w:ascii="Times New Roman" w:eastAsia="TimesNewRomanPSMT" w:hAnsi="Times New Roman" w:cs="Times New Roman"/>
          <w:sz w:val="21"/>
          <w:szCs w:val="21"/>
        </w:rPr>
        <w:t xml:space="preserve"> </w:t>
      </w:r>
      <w:r w:rsidRPr="00804B83">
        <w:rPr>
          <w:rFonts w:ascii="Times New Roman" w:hAnsi="Times New Roman" w:cs="Times New Roman"/>
          <w:sz w:val="21"/>
          <w:szCs w:val="21"/>
        </w:rPr>
        <w:t>український ринок праці потребує глибокого реформування, що забезпечить його ефективніший розвиток, підвищення рівня конкуренто</w:t>
      </w:r>
      <w:r>
        <w:rPr>
          <w:rFonts w:ascii="Times New Roman" w:hAnsi="Times New Roman" w:cs="Times New Roman"/>
          <w:sz w:val="21"/>
          <w:szCs w:val="21"/>
        </w:rPr>
        <w:t>-</w:t>
      </w:r>
      <w:r w:rsidRPr="00804B83">
        <w:rPr>
          <w:rFonts w:ascii="Times New Roman" w:hAnsi="Times New Roman" w:cs="Times New Roman"/>
          <w:sz w:val="21"/>
          <w:szCs w:val="21"/>
        </w:rPr>
        <w:t xml:space="preserve">спроможності робочої сили та </w:t>
      </w:r>
      <w:r w:rsidRPr="00804B83">
        <w:rPr>
          <w:rFonts w:ascii="Times New Roman" w:eastAsia="TimesNewRomanPSMT" w:hAnsi="Times New Roman" w:cs="Times New Roman"/>
          <w:sz w:val="21"/>
          <w:szCs w:val="21"/>
        </w:rPr>
        <w:t xml:space="preserve">збільшення її внеску в економічне зростання України. </w:t>
      </w:r>
    </w:p>
    <w:p w:rsidR="00B233DE" w:rsidRPr="00804B83" w:rsidRDefault="00B233DE" w:rsidP="00B233DE">
      <w:pPr>
        <w:autoSpaceDE w:val="0"/>
        <w:autoSpaceDN w:val="0"/>
        <w:adjustRightInd w:val="0"/>
        <w:ind w:firstLine="709"/>
        <w:jc w:val="both"/>
        <w:rPr>
          <w:rFonts w:ascii="Times New Roman" w:eastAsia="TimesNewRoman" w:hAnsi="Times New Roman" w:cs="Times New Roman"/>
          <w:sz w:val="21"/>
          <w:szCs w:val="21"/>
        </w:rPr>
      </w:pPr>
      <w:r w:rsidRPr="00804B83">
        <w:rPr>
          <w:rFonts w:ascii="Times New Roman" w:hAnsi="Times New Roman" w:cs="Times New Roman"/>
          <w:sz w:val="21"/>
          <w:szCs w:val="21"/>
        </w:rPr>
        <w:t xml:space="preserve">Таким чином, проведений аналіз наукових підходів дозволяє зробити висновок, що відбувається трансформація ринку праці, як результат різноманітних інституціональних змін. В </w:t>
      </w:r>
      <w:r w:rsidRPr="00804B83">
        <w:rPr>
          <w:rFonts w:ascii="Times New Roman" w:eastAsia="ArialMT" w:hAnsi="Times New Roman" w:cs="Times New Roman"/>
          <w:sz w:val="21"/>
          <w:szCs w:val="21"/>
        </w:rPr>
        <w:t xml:space="preserve">Україні назріла необхідність побудови якісного інституційного оформлення ринку праці, завдяки реформуванню існуючих, </w:t>
      </w:r>
      <w:r w:rsidRPr="00804B83">
        <w:rPr>
          <w:rFonts w:ascii="Times New Roman" w:eastAsia="TimesNewRoman" w:hAnsi="Times New Roman" w:cs="Times New Roman"/>
          <w:sz w:val="21"/>
          <w:szCs w:val="21"/>
        </w:rPr>
        <w:t>прискоренню</w:t>
      </w:r>
      <w:r w:rsidRPr="00804B83">
        <w:rPr>
          <w:rFonts w:ascii="Times New Roman" w:eastAsia="ArialMT" w:hAnsi="Times New Roman" w:cs="Times New Roman"/>
          <w:sz w:val="21"/>
          <w:szCs w:val="21"/>
        </w:rPr>
        <w:t xml:space="preserve"> «приживання» тих інститутів, які </w:t>
      </w:r>
      <w:r w:rsidRPr="00804B83">
        <w:rPr>
          <w:rFonts w:ascii="Times New Roman" w:eastAsia="TimesNewRoman" w:hAnsi="Times New Roman" w:cs="Times New Roman"/>
          <w:sz w:val="21"/>
          <w:szCs w:val="21"/>
        </w:rPr>
        <w:t xml:space="preserve">знаходяться в стадії формування та </w:t>
      </w:r>
      <w:r w:rsidRPr="00804B83">
        <w:rPr>
          <w:rFonts w:ascii="Times New Roman" w:eastAsia="ArialMT" w:hAnsi="Times New Roman" w:cs="Times New Roman"/>
          <w:sz w:val="21"/>
          <w:szCs w:val="21"/>
        </w:rPr>
        <w:t xml:space="preserve">створенню можливості </w:t>
      </w:r>
      <w:r w:rsidRPr="00804B83">
        <w:rPr>
          <w:rFonts w:ascii="Times New Roman" w:eastAsia="TimesNewRoman" w:hAnsi="Times New Roman" w:cs="Times New Roman"/>
          <w:sz w:val="21"/>
          <w:szCs w:val="21"/>
        </w:rPr>
        <w:t xml:space="preserve">появи нових </w:t>
      </w:r>
      <w:r w:rsidRPr="00804B83">
        <w:rPr>
          <w:rFonts w:ascii="Times New Roman" w:eastAsia="ArialMT" w:hAnsi="Times New Roman" w:cs="Times New Roman"/>
          <w:sz w:val="21"/>
          <w:szCs w:val="21"/>
        </w:rPr>
        <w:t>інститутів ринку праці</w:t>
      </w:r>
      <w:r w:rsidRPr="00804B83">
        <w:rPr>
          <w:rFonts w:ascii="Times New Roman" w:eastAsia="TimesNewRoman" w:hAnsi="Times New Roman" w:cs="Times New Roman"/>
          <w:sz w:val="21"/>
          <w:szCs w:val="21"/>
        </w:rPr>
        <w:t xml:space="preserve">. </w:t>
      </w: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Pr="00E20C1F" w:rsidRDefault="00B233DE" w:rsidP="00B233DE">
      <w:pPr>
        <w:pStyle w:val="afb"/>
        <w:shd w:val="clear" w:color="auto" w:fill="auto"/>
        <w:tabs>
          <w:tab w:val="left" w:pos="394"/>
          <w:tab w:val="left" w:pos="426"/>
        </w:tabs>
        <w:spacing w:before="0" w:line="240" w:lineRule="auto"/>
        <w:ind w:right="40" w:firstLine="709"/>
        <w:contextualSpacing/>
        <w:jc w:val="center"/>
        <w:rPr>
          <w:b/>
          <w:sz w:val="21"/>
          <w:szCs w:val="21"/>
        </w:rPr>
      </w:pPr>
      <w:r w:rsidRPr="00E20C1F">
        <w:rPr>
          <w:rFonts w:ascii="UkrainianPeterburg" w:hAnsi="UkrainianPeterburg"/>
          <w:b/>
          <w:sz w:val="21"/>
          <w:szCs w:val="21"/>
        </w:rPr>
        <w:t>3.3 Розвиток інфраструктури ринку праці в регіонах України</w:t>
      </w: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Pr="00804B83" w:rsidRDefault="00B233DE" w:rsidP="00B233DE">
      <w:pPr>
        <w:ind w:firstLine="709"/>
        <w:jc w:val="both"/>
        <w:rPr>
          <w:rFonts w:ascii="Times New Roman" w:hAnsi="Times New Roman" w:cs="Times New Roman"/>
          <w:sz w:val="21"/>
          <w:szCs w:val="21"/>
        </w:rPr>
      </w:pPr>
      <w:r w:rsidRPr="00804B83">
        <w:rPr>
          <w:rFonts w:ascii="Times New Roman" w:hAnsi="Times New Roman" w:cs="Times New Roman"/>
          <w:sz w:val="21"/>
          <w:szCs w:val="21"/>
        </w:rPr>
        <w:t>Ефективність ринкових перетворень в Україні у значній мірі залежить від створення умов становлення і розвитку національного та регіональних ринків праці за наявності комплексності та рівня розвитку відповідної інфраструктури, яка сприяла б ефективному функціонуванню всіх їх підрозділів. Сучасний ізоморфний ринок праці України, на думку вчених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_Ref433977162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11</w:t>
      </w:r>
      <w:r>
        <w:rPr>
          <w:rFonts w:ascii="Times New Roman" w:hAnsi="Times New Roman" w:cs="Times New Roman"/>
          <w:sz w:val="21"/>
          <w:szCs w:val="21"/>
          <w:highlight w:val="yellow"/>
        </w:rPr>
        <w:fldChar w:fldCharType="end"/>
      </w:r>
      <w:r>
        <w:rPr>
          <w:rFonts w:ascii="Times New Roman" w:hAnsi="Times New Roman" w:cs="Times New Roman"/>
          <w:sz w:val="21"/>
          <w:szCs w:val="21"/>
        </w:rPr>
        <w:t xml:space="preserve">, с. 4], сформований </w:t>
      </w:r>
      <w:r w:rsidRPr="00804B83">
        <w:rPr>
          <w:rFonts w:ascii="Times New Roman" w:hAnsi="Times New Roman" w:cs="Times New Roman"/>
          <w:sz w:val="21"/>
          <w:szCs w:val="21"/>
        </w:rPr>
        <w:t xml:space="preserve">на основі інтеграції ринкових і неринкових інститутів, вмонтованих у соціально-трудову сферу країни з перехідною економікою. </w:t>
      </w:r>
    </w:p>
    <w:p w:rsidR="00B233DE" w:rsidRPr="00804B83" w:rsidRDefault="00B233DE" w:rsidP="00B233DE">
      <w:pPr>
        <w:ind w:firstLine="709"/>
        <w:jc w:val="both"/>
        <w:rPr>
          <w:rFonts w:ascii="Times New Roman" w:hAnsi="Times New Roman" w:cs="Times New Roman"/>
          <w:sz w:val="21"/>
          <w:szCs w:val="21"/>
        </w:rPr>
      </w:pPr>
      <w:r w:rsidRPr="00804B83">
        <w:rPr>
          <w:rFonts w:ascii="Times New Roman" w:hAnsi="Times New Roman" w:cs="Times New Roman"/>
          <w:sz w:val="21"/>
          <w:szCs w:val="21"/>
        </w:rPr>
        <w:t>Одночасно існує інша думка – про відсутність єдиної концепції розвитку національного ринку праці та неврегульо</w:t>
      </w:r>
      <w:r>
        <w:rPr>
          <w:rFonts w:ascii="Times New Roman" w:hAnsi="Times New Roman" w:cs="Times New Roman"/>
          <w:sz w:val="21"/>
          <w:szCs w:val="21"/>
        </w:rPr>
        <w:t>-</w:t>
      </w:r>
      <w:r w:rsidRPr="00804B83">
        <w:rPr>
          <w:rFonts w:ascii="Times New Roman" w:hAnsi="Times New Roman" w:cs="Times New Roman"/>
          <w:sz w:val="21"/>
          <w:szCs w:val="21"/>
        </w:rPr>
        <w:t xml:space="preserve">ваність в управлінні ним з боку державних установ, яка спонукає </w:t>
      </w:r>
      <w:r w:rsidRPr="00804B83">
        <w:rPr>
          <w:rFonts w:ascii="Times New Roman" w:hAnsi="Times New Roman" w:cs="Times New Roman"/>
          <w:sz w:val="21"/>
          <w:szCs w:val="21"/>
        </w:rPr>
        <w:lastRenderedPageBreak/>
        <w:t>утворенн</w:t>
      </w:r>
      <w:r>
        <w:rPr>
          <w:rFonts w:ascii="Times New Roman" w:hAnsi="Times New Roman" w:cs="Times New Roman"/>
          <w:sz w:val="21"/>
          <w:szCs w:val="21"/>
        </w:rPr>
        <w:t>я</w:t>
      </w:r>
      <w:r w:rsidRPr="00804B83">
        <w:rPr>
          <w:rFonts w:ascii="Times New Roman" w:hAnsi="Times New Roman" w:cs="Times New Roman"/>
          <w:sz w:val="21"/>
          <w:szCs w:val="21"/>
        </w:rPr>
        <w:t xml:space="preserve"> децентралізованої інфраструктури попиту і пропозиції робочо</w:t>
      </w:r>
      <w:r>
        <w:rPr>
          <w:rFonts w:ascii="Times New Roman" w:hAnsi="Times New Roman" w:cs="Times New Roman"/>
          <w:sz w:val="21"/>
          <w:szCs w:val="21"/>
        </w:rPr>
        <w:t xml:space="preserve">ї сили. Згідно з твердженням Д. </w:t>
      </w:r>
      <w:r w:rsidRPr="00804B83">
        <w:rPr>
          <w:rFonts w:ascii="Times New Roman" w:hAnsi="Times New Roman" w:cs="Times New Roman"/>
          <w:sz w:val="21"/>
          <w:szCs w:val="21"/>
        </w:rPr>
        <w:t>Богині</w:t>
      </w:r>
      <w:r>
        <w:rPr>
          <w:rFonts w:ascii="Times New Roman" w:hAnsi="Times New Roman" w:cs="Times New Roman"/>
          <w:sz w:val="21"/>
          <w:szCs w:val="21"/>
        </w:rPr>
        <w:t>,</w:t>
      </w:r>
      <w:r w:rsidRPr="00804B83">
        <w:rPr>
          <w:rFonts w:ascii="Times New Roman" w:hAnsi="Times New Roman" w:cs="Times New Roman"/>
          <w:sz w:val="21"/>
          <w:szCs w:val="21"/>
        </w:rPr>
        <w:t xml:space="preserve"> в Україні формування ринкових відносин </w:t>
      </w:r>
      <w:r>
        <w:rPr>
          <w:rFonts w:ascii="Times New Roman" w:hAnsi="Times New Roman" w:cs="Times New Roman"/>
          <w:sz w:val="21"/>
          <w:szCs w:val="21"/>
        </w:rPr>
        <w:t>ускладнюється «</w:t>
      </w:r>
      <w:r w:rsidRPr="00804B83">
        <w:rPr>
          <w:rFonts w:ascii="Times New Roman" w:hAnsi="Times New Roman" w:cs="Times New Roman"/>
          <w:sz w:val="21"/>
          <w:szCs w:val="21"/>
        </w:rPr>
        <w:t>недостатньою кон</w:t>
      </w:r>
      <w:r>
        <w:rPr>
          <w:rFonts w:ascii="Times New Roman" w:hAnsi="Times New Roman" w:cs="Times New Roman"/>
          <w:sz w:val="21"/>
          <w:szCs w:val="21"/>
        </w:rPr>
        <w:t>-</w:t>
      </w:r>
      <w:r w:rsidRPr="00804B83">
        <w:rPr>
          <w:rFonts w:ascii="Times New Roman" w:hAnsi="Times New Roman" w:cs="Times New Roman"/>
          <w:sz w:val="21"/>
          <w:szCs w:val="21"/>
        </w:rPr>
        <w:t>цептуальною розробкою інституціональних засад створення націо</w:t>
      </w:r>
      <w:r>
        <w:rPr>
          <w:rFonts w:ascii="Times New Roman" w:hAnsi="Times New Roman" w:cs="Times New Roman"/>
          <w:sz w:val="21"/>
          <w:szCs w:val="21"/>
        </w:rPr>
        <w:t>-</w:t>
      </w:r>
      <w:r w:rsidRPr="00804B83">
        <w:rPr>
          <w:rFonts w:ascii="Times New Roman" w:hAnsi="Times New Roman" w:cs="Times New Roman"/>
          <w:sz w:val="21"/>
          <w:szCs w:val="21"/>
        </w:rPr>
        <w:t xml:space="preserve">нального ринку праці, у тому числі мотивації продуктивної </w:t>
      </w:r>
      <w:r w:rsidRPr="008A5156">
        <w:rPr>
          <w:rFonts w:ascii="Times New Roman" w:hAnsi="Times New Roman" w:cs="Times New Roman"/>
          <w:spacing w:val="-4"/>
          <w:sz w:val="21"/>
          <w:szCs w:val="21"/>
        </w:rPr>
        <w:t>праці, формування конкурентоспроможної робочої сили тощо» [</w:t>
      </w:r>
      <w:r w:rsidRPr="008A5156">
        <w:rPr>
          <w:rFonts w:ascii="Times New Roman" w:hAnsi="Times New Roman" w:cs="Times New Roman"/>
          <w:spacing w:val="-4"/>
          <w:sz w:val="21"/>
          <w:szCs w:val="21"/>
          <w:highlight w:val="yellow"/>
        </w:rPr>
        <w:fldChar w:fldCharType="begin"/>
      </w:r>
      <w:r w:rsidRPr="008A5156">
        <w:rPr>
          <w:rFonts w:ascii="Times New Roman" w:hAnsi="Times New Roman" w:cs="Times New Roman"/>
          <w:spacing w:val="-4"/>
          <w:sz w:val="21"/>
          <w:szCs w:val="21"/>
        </w:rPr>
        <w:instrText xml:space="preserve"> REF _Ref433977162 \r \h </w:instrText>
      </w:r>
      <w:r>
        <w:rPr>
          <w:rFonts w:ascii="Times New Roman" w:hAnsi="Times New Roman" w:cs="Times New Roman"/>
          <w:spacing w:val="-4"/>
          <w:sz w:val="21"/>
          <w:szCs w:val="21"/>
          <w:highlight w:val="yellow"/>
        </w:rPr>
        <w:instrText xml:space="preserve"> \* MERGEFORMAT </w:instrText>
      </w:r>
      <w:r w:rsidRPr="008A5156">
        <w:rPr>
          <w:rFonts w:ascii="Times New Roman" w:hAnsi="Times New Roman" w:cs="Times New Roman"/>
          <w:spacing w:val="-4"/>
          <w:sz w:val="21"/>
          <w:szCs w:val="21"/>
          <w:highlight w:val="yellow"/>
        </w:rPr>
      </w:r>
      <w:r w:rsidRPr="008A5156">
        <w:rPr>
          <w:rFonts w:ascii="Times New Roman" w:hAnsi="Times New Roman" w:cs="Times New Roman"/>
          <w:spacing w:val="-4"/>
          <w:sz w:val="21"/>
          <w:szCs w:val="21"/>
          <w:highlight w:val="yellow"/>
        </w:rPr>
        <w:fldChar w:fldCharType="separate"/>
      </w:r>
      <w:r>
        <w:rPr>
          <w:rFonts w:ascii="Times New Roman" w:hAnsi="Times New Roman" w:cs="Times New Roman"/>
          <w:spacing w:val="-4"/>
          <w:sz w:val="21"/>
          <w:szCs w:val="21"/>
        </w:rPr>
        <w:t>11</w:t>
      </w:r>
      <w:r w:rsidRPr="008A5156">
        <w:rPr>
          <w:rFonts w:ascii="Times New Roman" w:hAnsi="Times New Roman" w:cs="Times New Roman"/>
          <w:spacing w:val="-4"/>
          <w:sz w:val="21"/>
          <w:szCs w:val="21"/>
          <w:highlight w:val="yellow"/>
        </w:rPr>
        <w:fldChar w:fldCharType="end"/>
      </w:r>
      <w:r w:rsidRPr="008A5156">
        <w:rPr>
          <w:rFonts w:ascii="Times New Roman" w:hAnsi="Times New Roman" w:cs="Times New Roman"/>
          <w:spacing w:val="-4"/>
          <w:sz w:val="21"/>
          <w:szCs w:val="21"/>
        </w:rPr>
        <w:t>, с. 7].</w:t>
      </w:r>
      <w:r w:rsidRPr="00804B83">
        <w:rPr>
          <w:rFonts w:ascii="Times New Roman" w:hAnsi="Times New Roman" w:cs="Times New Roman"/>
          <w:sz w:val="21"/>
          <w:szCs w:val="21"/>
        </w:rPr>
        <w:t xml:space="preserve"> </w:t>
      </w:r>
    </w:p>
    <w:p w:rsidR="00B233DE" w:rsidRPr="00804B83" w:rsidRDefault="00B233DE" w:rsidP="00B233DE">
      <w:pPr>
        <w:ind w:firstLine="709"/>
        <w:jc w:val="both"/>
        <w:rPr>
          <w:rFonts w:ascii="Times New Roman" w:hAnsi="Times New Roman" w:cs="Times New Roman"/>
          <w:sz w:val="21"/>
          <w:szCs w:val="21"/>
        </w:rPr>
      </w:pPr>
      <w:r w:rsidRPr="00804B83">
        <w:rPr>
          <w:rFonts w:ascii="Times New Roman" w:hAnsi="Times New Roman" w:cs="Times New Roman"/>
          <w:sz w:val="21"/>
          <w:szCs w:val="21"/>
        </w:rPr>
        <w:t>За оцінкою експертів, загострення проблем соціально-економічних прав в Україні підтверджується 1,77 балами за п’ятибальною системою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_Ref433977173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35</w:t>
      </w:r>
      <w:r>
        <w:rPr>
          <w:rFonts w:ascii="Times New Roman" w:hAnsi="Times New Roman" w:cs="Times New Roman"/>
          <w:sz w:val="21"/>
          <w:szCs w:val="21"/>
          <w:highlight w:val="yellow"/>
        </w:rPr>
        <w:fldChar w:fldCharType="end"/>
      </w:r>
      <w:r w:rsidRPr="00804B83">
        <w:rPr>
          <w:rFonts w:ascii="Times New Roman" w:hAnsi="Times New Roman" w:cs="Times New Roman"/>
          <w:sz w:val="21"/>
          <w:szCs w:val="21"/>
        </w:rPr>
        <w:t>]. Вчені стверджують, що процеси формування ринку праці та його інфраструктурних ланок відбуваються значною мірою стихійно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_Ref433976742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7</w:t>
      </w:r>
      <w:r>
        <w:rPr>
          <w:rFonts w:ascii="Times New Roman" w:hAnsi="Times New Roman" w:cs="Times New Roman"/>
          <w:sz w:val="21"/>
          <w:szCs w:val="21"/>
          <w:highlight w:val="yellow"/>
        </w:rPr>
        <w:fldChar w:fldCharType="end"/>
      </w:r>
      <w:r w:rsidRPr="00804B83">
        <w:rPr>
          <w:rFonts w:ascii="Times New Roman" w:hAnsi="Times New Roman" w:cs="Times New Roman"/>
          <w:sz w:val="21"/>
          <w:szCs w:val="21"/>
        </w:rPr>
        <w:t xml:space="preserve">, с. 6]. </w:t>
      </w:r>
    </w:p>
    <w:p w:rsidR="00B233DE" w:rsidRPr="00804B83" w:rsidRDefault="00B233DE" w:rsidP="00B233DE">
      <w:pPr>
        <w:ind w:firstLine="709"/>
        <w:jc w:val="both"/>
        <w:rPr>
          <w:rFonts w:ascii="Times New Roman" w:hAnsi="Times New Roman" w:cs="Times New Roman"/>
          <w:sz w:val="21"/>
          <w:szCs w:val="21"/>
        </w:rPr>
      </w:pPr>
      <w:r w:rsidRPr="00804B83">
        <w:rPr>
          <w:rFonts w:ascii="Times New Roman" w:hAnsi="Times New Roman" w:cs="Times New Roman"/>
          <w:sz w:val="21"/>
          <w:szCs w:val="21"/>
        </w:rPr>
        <w:t>Поширеними є думки про те, що суб’єкти та інститути українського ринку праці лише нагромаджують досвід роботи в умовах ринкової економіки, потребуючи відповідного концеп</w:t>
      </w:r>
      <w:r>
        <w:rPr>
          <w:rFonts w:ascii="Times New Roman" w:hAnsi="Times New Roman" w:cs="Times New Roman"/>
          <w:sz w:val="21"/>
          <w:szCs w:val="21"/>
        </w:rPr>
        <w:t>-</w:t>
      </w:r>
      <w:r w:rsidRPr="00804B83">
        <w:rPr>
          <w:rFonts w:ascii="Times New Roman" w:hAnsi="Times New Roman" w:cs="Times New Roman"/>
          <w:sz w:val="21"/>
          <w:szCs w:val="21"/>
        </w:rPr>
        <w:t>туального і науково-методичного забезпечення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_Ref433977192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78</w:t>
      </w:r>
      <w:r>
        <w:rPr>
          <w:rFonts w:ascii="Times New Roman" w:hAnsi="Times New Roman" w:cs="Times New Roman"/>
          <w:sz w:val="21"/>
          <w:szCs w:val="21"/>
          <w:highlight w:val="yellow"/>
        </w:rPr>
        <w:fldChar w:fldCharType="end"/>
      </w:r>
      <w:r w:rsidRPr="00804B83">
        <w:rPr>
          <w:rFonts w:ascii="Times New Roman" w:hAnsi="Times New Roman" w:cs="Times New Roman"/>
          <w:sz w:val="21"/>
          <w:szCs w:val="21"/>
        </w:rPr>
        <w:t>, с. 142]; інституційне середовище в Україні характеризується надзвичайною слабкістю, що підтверджується не лише українськими, а й зарубіжними дослідженнями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_Ref433977202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109</w:t>
      </w:r>
      <w:r>
        <w:rPr>
          <w:rFonts w:ascii="Times New Roman" w:hAnsi="Times New Roman" w:cs="Times New Roman"/>
          <w:sz w:val="21"/>
          <w:szCs w:val="21"/>
          <w:highlight w:val="yellow"/>
        </w:rPr>
        <w:fldChar w:fldCharType="end"/>
      </w:r>
      <w:r w:rsidRPr="00804B83">
        <w:rPr>
          <w:rFonts w:ascii="Times New Roman" w:hAnsi="Times New Roman" w:cs="Times New Roman"/>
          <w:sz w:val="21"/>
          <w:szCs w:val="21"/>
        </w:rPr>
        <w:t xml:space="preserve">, с. 198]. </w:t>
      </w:r>
    </w:p>
    <w:p w:rsidR="00B233DE" w:rsidRPr="00804B83" w:rsidRDefault="00B233DE" w:rsidP="00B233DE">
      <w:pPr>
        <w:ind w:firstLine="709"/>
        <w:jc w:val="both"/>
        <w:rPr>
          <w:rFonts w:ascii="Times New Roman" w:hAnsi="Times New Roman" w:cs="Times New Roman"/>
          <w:sz w:val="21"/>
          <w:szCs w:val="21"/>
        </w:rPr>
      </w:pPr>
      <w:r w:rsidRPr="00804B83">
        <w:rPr>
          <w:rFonts w:ascii="Times New Roman" w:hAnsi="Times New Roman" w:cs="Times New Roman"/>
          <w:sz w:val="21"/>
          <w:szCs w:val="21"/>
        </w:rPr>
        <w:t>Отже, інфраструктурі ринку праці України ще й досі властиві хаотичність, нерівномірність, неналагодженість взаємо</w:t>
      </w:r>
      <w:r>
        <w:rPr>
          <w:rFonts w:ascii="Times New Roman" w:hAnsi="Times New Roman" w:cs="Times New Roman"/>
          <w:sz w:val="21"/>
          <w:szCs w:val="21"/>
        </w:rPr>
        <w:t>-</w:t>
      </w:r>
      <w:r w:rsidRPr="00804B83">
        <w:rPr>
          <w:rFonts w:ascii="Times New Roman" w:hAnsi="Times New Roman" w:cs="Times New Roman"/>
          <w:sz w:val="21"/>
          <w:szCs w:val="21"/>
        </w:rPr>
        <w:t>зв’язків між різними її учасниками, організаційна невпоряд</w:t>
      </w:r>
      <w:r>
        <w:rPr>
          <w:rFonts w:ascii="Times New Roman" w:hAnsi="Times New Roman" w:cs="Times New Roman"/>
          <w:sz w:val="21"/>
          <w:szCs w:val="21"/>
        </w:rPr>
        <w:t>-</w:t>
      </w:r>
      <w:r w:rsidRPr="00804B83">
        <w:rPr>
          <w:rFonts w:ascii="Times New Roman" w:hAnsi="Times New Roman" w:cs="Times New Roman"/>
          <w:sz w:val="21"/>
          <w:szCs w:val="21"/>
        </w:rPr>
        <w:t>кованість, слабкість партнерських зв’язків, нерозвиненість держав</w:t>
      </w:r>
      <w:r>
        <w:rPr>
          <w:rFonts w:ascii="Times New Roman" w:hAnsi="Times New Roman" w:cs="Times New Roman"/>
          <w:sz w:val="21"/>
          <w:szCs w:val="21"/>
        </w:rPr>
        <w:t>-</w:t>
      </w:r>
      <w:r w:rsidRPr="00804B83">
        <w:rPr>
          <w:rFonts w:ascii="Times New Roman" w:hAnsi="Times New Roman" w:cs="Times New Roman"/>
          <w:sz w:val="21"/>
          <w:szCs w:val="21"/>
        </w:rPr>
        <w:t xml:space="preserve">них та громадських інститутів, тому її функціонування як єдиного цілого поки що є проблематичним. </w:t>
      </w:r>
    </w:p>
    <w:p w:rsidR="00B233DE" w:rsidRPr="00804B83" w:rsidRDefault="00B233DE" w:rsidP="00B233DE">
      <w:pPr>
        <w:ind w:firstLine="709"/>
        <w:jc w:val="both"/>
        <w:rPr>
          <w:rFonts w:ascii="Times New Roman" w:hAnsi="Times New Roman" w:cs="Times New Roman"/>
          <w:sz w:val="21"/>
          <w:szCs w:val="21"/>
        </w:rPr>
      </w:pPr>
      <w:r w:rsidRPr="00804B83">
        <w:rPr>
          <w:rFonts w:ascii="Times New Roman" w:hAnsi="Times New Roman" w:cs="Times New Roman"/>
          <w:sz w:val="21"/>
          <w:szCs w:val="21"/>
        </w:rPr>
        <w:t>На рівні регіону інфраструктура ринку праці ще більш деформована і слаборозвинена, що посилює протиріччя в управ</w:t>
      </w:r>
      <w:r>
        <w:rPr>
          <w:rFonts w:ascii="Times New Roman" w:hAnsi="Times New Roman" w:cs="Times New Roman"/>
          <w:sz w:val="21"/>
          <w:szCs w:val="21"/>
        </w:rPr>
        <w:t>-</w:t>
      </w:r>
      <w:r w:rsidRPr="00804B83">
        <w:rPr>
          <w:rFonts w:ascii="Times New Roman" w:hAnsi="Times New Roman" w:cs="Times New Roman"/>
          <w:sz w:val="21"/>
          <w:szCs w:val="21"/>
        </w:rPr>
        <w:t>лінні регіональними ринками праці та при відхиленні від бажаного стану – гальмує вибір конкретних напрямів регулювання зайнятості та безробіття на ньому. Адаптація ринку праці до умо</w:t>
      </w:r>
      <w:r>
        <w:rPr>
          <w:rFonts w:ascii="Times New Roman" w:hAnsi="Times New Roman" w:cs="Times New Roman"/>
          <w:sz w:val="21"/>
          <w:szCs w:val="21"/>
        </w:rPr>
        <w:t xml:space="preserve">в глобалізації, євроінтеграції </w:t>
      </w:r>
      <w:r w:rsidRPr="00804B83">
        <w:rPr>
          <w:rFonts w:ascii="Times New Roman" w:hAnsi="Times New Roman" w:cs="Times New Roman"/>
          <w:sz w:val="21"/>
          <w:szCs w:val="21"/>
        </w:rPr>
        <w:t xml:space="preserve">забезпечується теж не належним чином, завдяки відсутності певних елементів інфраструктури. Відсутність </w:t>
      </w:r>
      <w:r w:rsidRPr="000C1A05">
        <w:rPr>
          <w:rFonts w:ascii="Times New Roman" w:hAnsi="Times New Roman" w:cs="Times New Roman"/>
          <w:spacing w:val="-4"/>
          <w:sz w:val="21"/>
          <w:szCs w:val="21"/>
        </w:rPr>
        <w:t>обґрун</w:t>
      </w:r>
      <w:r>
        <w:rPr>
          <w:rFonts w:ascii="Times New Roman" w:hAnsi="Times New Roman" w:cs="Times New Roman"/>
          <w:spacing w:val="-4"/>
          <w:sz w:val="21"/>
          <w:szCs w:val="21"/>
        </w:rPr>
        <w:t>-</w:t>
      </w:r>
      <w:r w:rsidRPr="000C1A05">
        <w:rPr>
          <w:rFonts w:ascii="Times New Roman" w:hAnsi="Times New Roman" w:cs="Times New Roman"/>
          <w:spacing w:val="-4"/>
          <w:sz w:val="21"/>
          <w:szCs w:val="21"/>
        </w:rPr>
        <w:t>тованого, змодельованого, гнучкого механізму розвитку інфра</w:t>
      </w:r>
      <w:r w:rsidRPr="00804B83">
        <w:rPr>
          <w:rFonts w:ascii="Times New Roman" w:hAnsi="Times New Roman" w:cs="Times New Roman"/>
          <w:sz w:val="21"/>
          <w:szCs w:val="21"/>
        </w:rPr>
        <w:t>струк</w:t>
      </w:r>
      <w:r>
        <w:rPr>
          <w:rFonts w:ascii="Times New Roman" w:hAnsi="Times New Roman" w:cs="Times New Roman"/>
          <w:sz w:val="21"/>
          <w:szCs w:val="21"/>
        </w:rPr>
        <w:t>-</w:t>
      </w:r>
      <w:r w:rsidRPr="00804B83">
        <w:rPr>
          <w:rFonts w:ascii="Times New Roman" w:hAnsi="Times New Roman" w:cs="Times New Roman"/>
          <w:sz w:val="21"/>
          <w:szCs w:val="21"/>
        </w:rPr>
        <w:t>тури ринку праці в умовах діалектичного поєднан</w:t>
      </w:r>
      <w:r>
        <w:rPr>
          <w:rFonts w:ascii="Times New Roman" w:hAnsi="Times New Roman" w:cs="Times New Roman"/>
          <w:sz w:val="21"/>
          <w:szCs w:val="21"/>
        </w:rPr>
        <w:t>ня євро-</w:t>
      </w:r>
      <w:r w:rsidRPr="000C1A05">
        <w:rPr>
          <w:rFonts w:ascii="Times New Roman" w:hAnsi="Times New Roman" w:cs="Times New Roman"/>
          <w:spacing w:val="-2"/>
          <w:sz w:val="21"/>
          <w:szCs w:val="21"/>
        </w:rPr>
        <w:t>інтеграції, глобалізації і регіоналізації є перешкодою у пошуку ефек-</w:t>
      </w:r>
      <w:r w:rsidRPr="00804B83">
        <w:rPr>
          <w:rFonts w:ascii="Times New Roman" w:hAnsi="Times New Roman" w:cs="Times New Roman"/>
          <w:sz w:val="21"/>
          <w:szCs w:val="21"/>
        </w:rPr>
        <w:t>тивних комплексних шляхів розв’язання проблеми вибору пріори</w:t>
      </w:r>
      <w:r>
        <w:rPr>
          <w:rFonts w:ascii="Times New Roman" w:hAnsi="Times New Roman" w:cs="Times New Roman"/>
          <w:sz w:val="21"/>
          <w:szCs w:val="21"/>
        </w:rPr>
        <w:t>-</w:t>
      </w:r>
      <w:r w:rsidRPr="00804B83">
        <w:rPr>
          <w:rFonts w:ascii="Times New Roman" w:hAnsi="Times New Roman" w:cs="Times New Roman"/>
          <w:sz w:val="21"/>
          <w:szCs w:val="21"/>
        </w:rPr>
        <w:t xml:space="preserve">тетів розвитку ринку праці, що актуалізує потребу створення нових та вдосконалення діючих інститутів інфраструктури ринку праці. </w:t>
      </w:r>
    </w:p>
    <w:p w:rsidR="00B233DE" w:rsidRPr="00804B83"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Семантика поняття «інфраструктура ринку праці»</w:t>
      </w:r>
      <w:r w:rsidRPr="00804B83">
        <w:rPr>
          <w:rFonts w:ascii="Times New Roman" w:hAnsi="Times New Roman" w:cs="Times New Roman"/>
          <w:sz w:val="21"/>
          <w:szCs w:val="21"/>
        </w:rPr>
        <w:t xml:space="preserve"> є досить розгалуженою у наукових тлумаченнях. Так, відповідно до </w:t>
      </w:r>
      <w:r w:rsidRPr="00804B83">
        <w:rPr>
          <w:rFonts w:ascii="Times New Roman" w:hAnsi="Times New Roman" w:cs="Times New Roman"/>
          <w:sz w:val="21"/>
          <w:szCs w:val="21"/>
        </w:rPr>
        <w:lastRenderedPageBreak/>
        <w:t>визначень учених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_Ref433976564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26</w:t>
      </w:r>
      <w:r>
        <w:rPr>
          <w:rFonts w:ascii="Times New Roman" w:hAnsi="Times New Roman" w:cs="Times New Roman"/>
          <w:sz w:val="21"/>
          <w:szCs w:val="21"/>
          <w:highlight w:val="yellow"/>
        </w:rPr>
        <w:fldChar w:fldCharType="end"/>
      </w:r>
      <w:r w:rsidRPr="00804B8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_Ref433976941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18</w:t>
      </w:r>
      <w:r>
        <w:rPr>
          <w:rFonts w:ascii="Times New Roman" w:hAnsi="Times New Roman" w:cs="Times New Roman"/>
          <w:sz w:val="21"/>
          <w:szCs w:val="21"/>
          <w:highlight w:val="yellow"/>
        </w:rPr>
        <w:fldChar w:fldCharType="end"/>
      </w:r>
      <w:r w:rsidRPr="00804B8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_Ref433977224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47</w:t>
      </w:r>
      <w:r>
        <w:rPr>
          <w:rFonts w:ascii="Times New Roman" w:hAnsi="Times New Roman" w:cs="Times New Roman"/>
          <w:sz w:val="21"/>
          <w:szCs w:val="21"/>
          <w:highlight w:val="yellow"/>
        </w:rPr>
        <w:fldChar w:fldCharType="end"/>
      </w:r>
      <w:r w:rsidRPr="00804B83">
        <w:rPr>
          <w:rFonts w:ascii="Times New Roman" w:hAnsi="Times New Roman" w:cs="Times New Roman"/>
          <w:sz w:val="21"/>
          <w:szCs w:val="21"/>
        </w:rPr>
        <w:t>], інфраструктура ринку праці включає державні і недержавні заклади працевлаштування та сприяння зайнятості, кадрові служби підприємств і фірм, громадські організації і фонди, нормативно-правове середовище, що забезпечують взаємодію мі</w:t>
      </w:r>
      <w:r>
        <w:rPr>
          <w:rFonts w:ascii="Times New Roman" w:hAnsi="Times New Roman" w:cs="Times New Roman"/>
          <w:sz w:val="21"/>
          <w:szCs w:val="21"/>
        </w:rPr>
        <w:t>ж попитом і пропозицією праці. «Інфраструктуру ринку праці»</w:t>
      </w:r>
      <w:r w:rsidRPr="00804B8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_Ref433977236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19</w:t>
      </w:r>
      <w:r>
        <w:rPr>
          <w:rFonts w:ascii="Times New Roman" w:hAnsi="Times New Roman" w:cs="Times New Roman"/>
          <w:sz w:val="21"/>
          <w:szCs w:val="21"/>
          <w:highlight w:val="yellow"/>
        </w:rPr>
        <w:fldChar w:fldCharType="end"/>
      </w:r>
      <w:r w:rsidRPr="00804B83">
        <w:rPr>
          <w:rFonts w:ascii="Times New Roman" w:hAnsi="Times New Roman" w:cs="Times New Roman"/>
          <w:sz w:val="21"/>
          <w:szCs w:val="21"/>
        </w:rPr>
        <w:t xml:space="preserve">, с. 204] розглядають як сукупність суб’єктів, які забезпечують організаційно, економічно, правово і науково-методично, тобто всебічно, функціонування ринку праці. </w:t>
      </w:r>
    </w:p>
    <w:p w:rsidR="00B233DE" w:rsidRPr="00804B83"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Категорія «інфраструктури ринку праці»</w:t>
      </w:r>
      <w:r w:rsidRPr="00804B8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_Ref433977246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105</w:t>
      </w:r>
      <w:r>
        <w:rPr>
          <w:rFonts w:ascii="Times New Roman" w:hAnsi="Times New Roman" w:cs="Times New Roman"/>
          <w:sz w:val="21"/>
          <w:szCs w:val="21"/>
          <w:highlight w:val="yellow"/>
        </w:rPr>
        <w:fldChar w:fldCharType="end"/>
      </w:r>
      <w:r>
        <w:rPr>
          <w:rFonts w:ascii="Times New Roman" w:hAnsi="Times New Roman" w:cs="Times New Roman"/>
          <w:sz w:val="21"/>
          <w:szCs w:val="21"/>
        </w:rPr>
        <w:t>, с. 46] трактується як «</w:t>
      </w:r>
      <w:r w:rsidRPr="00804B83">
        <w:rPr>
          <w:rFonts w:ascii="Times New Roman" w:hAnsi="Times New Roman" w:cs="Times New Roman"/>
          <w:sz w:val="21"/>
          <w:szCs w:val="21"/>
        </w:rPr>
        <w:t>система спеціалізованих організацій, установ, які об’єднують та обслуговують відокремлені суб’єкти господарської діяльності, а також об’єднують функціонування окремих ринків</w:t>
      </w:r>
      <w:r>
        <w:rPr>
          <w:rFonts w:ascii="Times New Roman" w:hAnsi="Times New Roman" w:cs="Times New Roman"/>
          <w:sz w:val="21"/>
          <w:szCs w:val="21"/>
        </w:rPr>
        <w:t>»</w:t>
      </w:r>
      <w:r w:rsidRPr="00804B83">
        <w:rPr>
          <w:rFonts w:ascii="Times New Roman" w:hAnsi="Times New Roman" w:cs="Times New Roman"/>
          <w:sz w:val="21"/>
          <w:szCs w:val="21"/>
        </w:rPr>
        <w:t>. Під інфраструктурою ринку праці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_Ref433977255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62</w:t>
      </w:r>
      <w:r>
        <w:rPr>
          <w:rFonts w:ascii="Times New Roman" w:hAnsi="Times New Roman" w:cs="Times New Roman"/>
          <w:sz w:val="21"/>
          <w:szCs w:val="21"/>
          <w:highlight w:val="yellow"/>
        </w:rPr>
        <w:fldChar w:fldCharType="end"/>
      </w:r>
      <w:r w:rsidRPr="00804B83">
        <w:rPr>
          <w:rFonts w:ascii="Times New Roman" w:hAnsi="Times New Roman" w:cs="Times New Roman"/>
          <w:sz w:val="21"/>
          <w:szCs w:val="21"/>
        </w:rPr>
        <w:t>, с. 158] розуміється система взаємопов’язаних елементів, складові ланки яких є представниками інтересів суб’єктів ринку праці на всіх рівнях та носіями функцій по забезпеченню їх діяльності в довільних соціально-економічних умовах, що є актуальними на певний період часу, зокрема в умовах міжнародної інтеграції тощо.</w:t>
      </w:r>
    </w:p>
    <w:p w:rsidR="00B233DE" w:rsidRPr="00804B83" w:rsidRDefault="00B233DE" w:rsidP="00B233DE">
      <w:pPr>
        <w:ind w:firstLine="709"/>
        <w:jc w:val="both"/>
        <w:rPr>
          <w:rFonts w:ascii="Times New Roman" w:hAnsi="Times New Roman" w:cs="Times New Roman"/>
          <w:sz w:val="21"/>
          <w:szCs w:val="21"/>
        </w:rPr>
      </w:pPr>
      <w:r w:rsidRPr="00804B83">
        <w:rPr>
          <w:rFonts w:ascii="Times New Roman" w:hAnsi="Times New Roman" w:cs="Times New Roman"/>
          <w:sz w:val="21"/>
          <w:szCs w:val="21"/>
        </w:rPr>
        <w:t>Інфраструктура ринку праці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_Ref433976596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20</w:t>
      </w:r>
      <w:r>
        <w:rPr>
          <w:rFonts w:ascii="Times New Roman" w:hAnsi="Times New Roman" w:cs="Times New Roman"/>
          <w:sz w:val="21"/>
          <w:szCs w:val="21"/>
          <w:highlight w:val="yellow"/>
        </w:rPr>
        <w:fldChar w:fldCharType="end"/>
      </w:r>
      <w:r w:rsidRPr="00804B83">
        <w:rPr>
          <w:rFonts w:ascii="Times New Roman" w:hAnsi="Times New Roman" w:cs="Times New Roman"/>
          <w:sz w:val="21"/>
          <w:szCs w:val="21"/>
        </w:rPr>
        <w:t>, с. 64] визначається як сукупність об’єктів, що забезпечують його функціонування, сприяють ефективній зайнятості, регулюють відносини між роботодавцями і працівниками з приводу оплати праці, вирішення трудових конфліктів, управління міграційними процесами в країні. Під інфраструктурою ринку праці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_Ref433977268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28</w:t>
      </w:r>
      <w:r>
        <w:rPr>
          <w:rFonts w:ascii="Times New Roman" w:hAnsi="Times New Roman" w:cs="Times New Roman"/>
          <w:sz w:val="21"/>
          <w:szCs w:val="21"/>
          <w:highlight w:val="yellow"/>
        </w:rPr>
        <w:fldChar w:fldCharType="end"/>
      </w:r>
      <w:r w:rsidRPr="00804B83">
        <w:rPr>
          <w:rFonts w:ascii="Times New Roman" w:hAnsi="Times New Roman" w:cs="Times New Roman"/>
          <w:sz w:val="21"/>
          <w:szCs w:val="21"/>
        </w:rPr>
        <w:t>] пропонується розуміти сукупність елементів, що забезпечують і регулюють безперебійне багаторівневе ф</w:t>
      </w:r>
      <w:r>
        <w:rPr>
          <w:rFonts w:ascii="Times New Roman" w:hAnsi="Times New Roman" w:cs="Times New Roman"/>
          <w:sz w:val="21"/>
          <w:szCs w:val="21"/>
        </w:rPr>
        <w:t>ункціонування трудових взаємозв’язків та взаємодію суб’</w:t>
      </w:r>
      <w:r w:rsidRPr="00804B83">
        <w:rPr>
          <w:rFonts w:ascii="Times New Roman" w:hAnsi="Times New Roman" w:cs="Times New Roman"/>
          <w:sz w:val="21"/>
          <w:szCs w:val="21"/>
        </w:rPr>
        <w:t xml:space="preserve">єктів ринку праці. </w:t>
      </w:r>
    </w:p>
    <w:p w:rsidR="00B233DE" w:rsidRPr="00804B83" w:rsidRDefault="00B233DE" w:rsidP="00B233DE">
      <w:pPr>
        <w:ind w:firstLine="709"/>
        <w:jc w:val="both"/>
        <w:rPr>
          <w:rFonts w:ascii="Times New Roman" w:hAnsi="Times New Roman" w:cs="Times New Roman"/>
          <w:sz w:val="21"/>
          <w:szCs w:val="21"/>
        </w:rPr>
      </w:pPr>
      <w:r w:rsidRPr="00804B83">
        <w:rPr>
          <w:rFonts w:ascii="Times New Roman" w:hAnsi="Times New Roman" w:cs="Times New Roman"/>
          <w:sz w:val="21"/>
          <w:szCs w:val="21"/>
        </w:rPr>
        <w:t>Інфраструктуру ринку праці П. Мазурок розглядає двояко: як всі інститути, які регулюються ринковою кон’юнктурою, систе</w:t>
      </w:r>
      <w:r>
        <w:rPr>
          <w:rFonts w:ascii="Times New Roman" w:hAnsi="Times New Roman" w:cs="Times New Roman"/>
          <w:sz w:val="21"/>
          <w:szCs w:val="21"/>
        </w:rPr>
        <w:t>-</w:t>
      </w:r>
      <w:r w:rsidRPr="00804B83">
        <w:rPr>
          <w:rFonts w:ascii="Times New Roman" w:hAnsi="Times New Roman" w:cs="Times New Roman"/>
          <w:sz w:val="21"/>
          <w:szCs w:val="21"/>
        </w:rPr>
        <w:t>мою соціального партнерства, юридичними, правовими, морально-етичними нормами та національними традиціями; як сукупність соціальних інститутів, які здійснюють посередницькі функції між працівниками і роботодавцями, збирають і надають інформацію про наявність вакансій, сприяють підготовці й професійному навчанню кадрів, створенню робочих місць, забезпеченню ефектив</w:t>
      </w:r>
      <w:r>
        <w:rPr>
          <w:rFonts w:ascii="Times New Roman" w:hAnsi="Times New Roman" w:cs="Times New Roman"/>
          <w:sz w:val="21"/>
          <w:szCs w:val="21"/>
        </w:rPr>
        <w:t>-</w:t>
      </w:r>
      <w:r w:rsidRPr="00804B83">
        <w:rPr>
          <w:rFonts w:ascii="Times New Roman" w:hAnsi="Times New Roman" w:cs="Times New Roman"/>
          <w:sz w:val="21"/>
          <w:szCs w:val="21"/>
        </w:rPr>
        <w:t>ної зайнятості працездатного населення та їх соціального захисту у визначеному реальному інституціональному середовищі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_Ref433977275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63</w:t>
      </w:r>
      <w:r>
        <w:rPr>
          <w:rFonts w:ascii="Times New Roman" w:hAnsi="Times New Roman" w:cs="Times New Roman"/>
          <w:sz w:val="21"/>
          <w:szCs w:val="21"/>
          <w:highlight w:val="yellow"/>
        </w:rPr>
        <w:fldChar w:fldCharType="end"/>
      </w:r>
      <w:r w:rsidRPr="00804B83">
        <w:rPr>
          <w:rFonts w:ascii="Times New Roman" w:hAnsi="Times New Roman" w:cs="Times New Roman"/>
          <w:sz w:val="21"/>
          <w:szCs w:val="21"/>
        </w:rPr>
        <w:t xml:space="preserve">, с. 20]. </w:t>
      </w:r>
    </w:p>
    <w:p w:rsidR="00B233DE" w:rsidRPr="00804B83" w:rsidRDefault="00B233DE" w:rsidP="00B233DE">
      <w:pPr>
        <w:ind w:firstLine="709"/>
        <w:jc w:val="both"/>
        <w:rPr>
          <w:rFonts w:ascii="Times New Roman" w:hAnsi="Times New Roman" w:cs="Times New Roman"/>
          <w:sz w:val="21"/>
          <w:szCs w:val="21"/>
        </w:rPr>
      </w:pPr>
      <w:r w:rsidRPr="00804B83">
        <w:rPr>
          <w:rFonts w:ascii="Times New Roman" w:hAnsi="Times New Roman" w:cs="Times New Roman"/>
          <w:sz w:val="21"/>
          <w:szCs w:val="21"/>
        </w:rPr>
        <w:lastRenderedPageBreak/>
        <w:t xml:space="preserve">Отже, наведені вище визначення інфраструктури ринку праці свідчать про відсутність єдиних підходів до розуміння цього питання та характеризуються різновекторністю. </w:t>
      </w:r>
    </w:p>
    <w:p w:rsidR="00B233DE" w:rsidRPr="00804B83" w:rsidRDefault="00B233DE" w:rsidP="00B233DE">
      <w:pPr>
        <w:ind w:firstLine="709"/>
        <w:jc w:val="both"/>
        <w:rPr>
          <w:rFonts w:ascii="Times New Roman" w:hAnsi="Times New Roman" w:cs="Times New Roman"/>
          <w:sz w:val="21"/>
          <w:szCs w:val="21"/>
        </w:rPr>
      </w:pPr>
      <w:r w:rsidRPr="00804B83">
        <w:rPr>
          <w:rFonts w:ascii="Times New Roman" w:hAnsi="Times New Roman" w:cs="Times New Roman"/>
          <w:sz w:val="21"/>
          <w:szCs w:val="21"/>
        </w:rPr>
        <w:t>На думку автора, за сучасних умов впливу євроі</w:t>
      </w:r>
      <w:r>
        <w:rPr>
          <w:rFonts w:ascii="Times New Roman" w:hAnsi="Times New Roman" w:cs="Times New Roman"/>
          <w:sz w:val="21"/>
          <w:szCs w:val="21"/>
        </w:rPr>
        <w:t>-</w:t>
      </w:r>
      <w:r w:rsidRPr="00804B83">
        <w:rPr>
          <w:rFonts w:ascii="Times New Roman" w:hAnsi="Times New Roman" w:cs="Times New Roman"/>
          <w:sz w:val="21"/>
          <w:szCs w:val="21"/>
        </w:rPr>
        <w:t>нтеграційних процесів на функціонування і розвиток вітчизняного та регіонального ринків праці, інфраструктура регіонального ринку праці – це динамічно відкрита система елементів (державних і недержавних закладів сприяння зайнятості, кадрових служб підприємств і фірм, громадських організацій і фондів, європей</w:t>
      </w:r>
      <w:r>
        <w:rPr>
          <w:rFonts w:ascii="Times New Roman" w:hAnsi="Times New Roman" w:cs="Times New Roman"/>
          <w:sz w:val="21"/>
          <w:szCs w:val="21"/>
        </w:rPr>
        <w:t>-</w:t>
      </w:r>
      <w:r w:rsidRPr="00804B83">
        <w:rPr>
          <w:rFonts w:ascii="Times New Roman" w:hAnsi="Times New Roman" w:cs="Times New Roman"/>
          <w:sz w:val="21"/>
          <w:szCs w:val="21"/>
        </w:rPr>
        <w:t xml:space="preserve">ських і міжнародних інститутів тощо) та комплекс вітчизняних, </w:t>
      </w:r>
      <w:r w:rsidRPr="000C1A05">
        <w:rPr>
          <w:rFonts w:ascii="Times New Roman" w:hAnsi="Times New Roman" w:cs="Times New Roman"/>
          <w:spacing w:val="-2"/>
          <w:sz w:val="21"/>
          <w:szCs w:val="21"/>
        </w:rPr>
        <w:t>європейських та міжнародних нормативно-правових актів, що спіль-</w:t>
      </w:r>
      <w:r w:rsidRPr="00804B83">
        <w:rPr>
          <w:rFonts w:ascii="Times New Roman" w:hAnsi="Times New Roman" w:cs="Times New Roman"/>
          <w:sz w:val="21"/>
          <w:szCs w:val="21"/>
        </w:rPr>
        <w:t>ними цілеспрямованими ді</w:t>
      </w:r>
      <w:r>
        <w:rPr>
          <w:rFonts w:ascii="Times New Roman" w:hAnsi="Times New Roman" w:cs="Times New Roman"/>
          <w:sz w:val="21"/>
          <w:szCs w:val="21"/>
        </w:rPr>
        <w:t>ями загальнодержавного масштабу</w:t>
      </w:r>
      <w:r w:rsidRPr="00804B83">
        <w:rPr>
          <w:rFonts w:ascii="Times New Roman" w:hAnsi="Times New Roman" w:cs="Times New Roman"/>
          <w:sz w:val="21"/>
          <w:szCs w:val="21"/>
        </w:rPr>
        <w:t xml:space="preserve"> регу</w:t>
      </w:r>
      <w:r>
        <w:rPr>
          <w:rFonts w:ascii="Times New Roman" w:hAnsi="Times New Roman" w:cs="Times New Roman"/>
          <w:sz w:val="21"/>
          <w:szCs w:val="21"/>
        </w:rPr>
        <w:t>-</w:t>
      </w:r>
      <w:r w:rsidRPr="00804B83">
        <w:rPr>
          <w:rFonts w:ascii="Times New Roman" w:hAnsi="Times New Roman" w:cs="Times New Roman"/>
          <w:sz w:val="21"/>
          <w:szCs w:val="21"/>
        </w:rPr>
        <w:t>лює питання між роботодавцем і працівником з приводу ціни робо</w:t>
      </w:r>
      <w:r>
        <w:rPr>
          <w:rFonts w:ascii="Times New Roman" w:hAnsi="Times New Roman" w:cs="Times New Roman"/>
          <w:sz w:val="21"/>
          <w:szCs w:val="21"/>
        </w:rPr>
        <w:t>-</w:t>
      </w:r>
      <w:r w:rsidRPr="000C1A05">
        <w:rPr>
          <w:rFonts w:ascii="Times New Roman" w:hAnsi="Times New Roman" w:cs="Times New Roman"/>
          <w:spacing w:val="-6"/>
          <w:sz w:val="21"/>
          <w:szCs w:val="21"/>
        </w:rPr>
        <w:t>чої сили, умов праці, підготовки і перепідготовки працівників, а також</w:t>
      </w:r>
      <w:r w:rsidRPr="00804B83">
        <w:rPr>
          <w:rFonts w:ascii="Times New Roman" w:hAnsi="Times New Roman" w:cs="Times New Roman"/>
          <w:sz w:val="21"/>
          <w:szCs w:val="21"/>
        </w:rPr>
        <w:t xml:space="preserve"> організації і сприяння процесів захисту прав найманих працівників і роботодавців на ринку праці, використовуючи різні організаційні методи й форми з метою ефективного функціону</w:t>
      </w:r>
      <w:r>
        <w:rPr>
          <w:rFonts w:ascii="Times New Roman" w:hAnsi="Times New Roman" w:cs="Times New Roman"/>
          <w:sz w:val="21"/>
          <w:szCs w:val="21"/>
        </w:rPr>
        <w:t>-</w:t>
      </w:r>
      <w:r w:rsidRPr="00804B83">
        <w:rPr>
          <w:rFonts w:ascii="Times New Roman" w:hAnsi="Times New Roman" w:cs="Times New Roman"/>
          <w:sz w:val="21"/>
          <w:szCs w:val="21"/>
        </w:rPr>
        <w:t>вання ринку праці, за</w:t>
      </w:r>
      <w:r>
        <w:rPr>
          <w:rFonts w:ascii="Times New Roman" w:hAnsi="Times New Roman" w:cs="Times New Roman"/>
          <w:sz w:val="21"/>
          <w:szCs w:val="21"/>
        </w:rPr>
        <w:t>безпечує продуктивну зайнятість</w:t>
      </w:r>
      <w:r w:rsidRPr="00804B83">
        <w:rPr>
          <w:rFonts w:ascii="Times New Roman" w:hAnsi="Times New Roman" w:cs="Times New Roman"/>
          <w:sz w:val="21"/>
          <w:szCs w:val="21"/>
        </w:rPr>
        <w:t xml:space="preserve"> населення й соціальний захист, які є основними критеріями його якісної характеристики. </w:t>
      </w:r>
    </w:p>
    <w:p w:rsidR="00B233DE" w:rsidRDefault="00B233DE" w:rsidP="00B233DE">
      <w:pPr>
        <w:ind w:firstLine="709"/>
        <w:jc w:val="both"/>
        <w:rPr>
          <w:rFonts w:ascii="Times New Roman" w:hAnsi="Times New Roman" w:cs="Times New Roman"/>
          <w:sz w:val="21"/>
          <w:szCs w:val="21"/>
        </w:rPr>
      </w:pPr>
      <w:r w:rsidRPr="00804B83">
        <w:rPr>
          <w:rFonts w:ascii="Times New Roman" w:hAnsi="Times New Roman" w:cs="Times New Roman"/>
          <w:sz w:val="21"/>
          <w:szCs w:val="21"/>
        </w:rPr>
        <w:t xml:space="preserve">Для характеристики основних інститутів ринку праці </w:t>
      </w:r>
      <w:r>
        <w:rPr>
          <w:rFonts w:ascii="Times New Roman" w:hAnsi="Times New Roman" w:cs="Times New Roman"/>
          <w:sz w:val="21"/>
          <w:szCs w:val="21"/>
        </w:rPr>
        <w:t>варто скористатись рис. 3.5</w:t>
      </w:r>
      <w:r w:rsidRPr="00804B83">
        <w:rPr>
          <w:rFonts w:ascii="Times New Roman" w:hAnsi="Times New Roman" w:cs="Times New Roman"/>
          <w:sz w:val="21"/>
          <w:szCs w:val="21"/>
        </w:rPr>
        <w:t>, використавши ієрархіч</w:t>
      </w:r>
      <w:r>
        <w:rPr>
          <w:rFonts w:ascii="Times New Roman" w:hAnsi="Times New Roman" w:cs="Times New Roman"/>
          <w:sz w:val="21"/>
          <w:szCs w:val="21"/>
        </w:rPr>
        <w:t>ну компліментарність, під якою «</w:t>
      </w:r>
      <w:r w:rsidRPr="00804B83">
        <w:rPr>
          <w:rFonts w:ascii="Times New Roman" w:hAnsi="Times New Roman" w:cs="Times New Roman"/>
          <w:sz w:val="21"/>
          <w:szCs w:val="21"/>
        </w:rPr>
        <w:t>розумітимемо певну цілісність, в якій складові виявляються підпорядкованими цілому, окремі інститути – інституці</w:t>
      </w:r>
      <w:r>
        <w:rPr>
          <w:rFonts w:ascii="Times New Roman" w:hAnsi="Times New Roman" w:cs="Times New Roman"/>
          <w:sz w:val="21"/>
          <w:szCs w:val="21"/>
        </w:rPr>
        <w:t>ональній системі суспільства»</w:t>
      </w:r>
      <w:r w:rsidRPr="00804B8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_Ref435784323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58</w:t>
      </w:r>
      <w:r>
        <w:rPr>
          <w:rFonts w:ascii="Times New Roman" w:hAnsi="Times New Roman" w:cs="Times New Roman"/>
          <w:sz w:val="21"/>
          <w:szCs w:val="21"/>
          <w:highlight w:val="yellow"/>
        </w:rPr>
        <w:fldChar w:fldCharType="end"/>
      </w:r>
      <w:r>
        <w:rPr>
          <w:rFonts w:ascii="Times New Roman" w:hAnsi="Times New Roman" w:cs="Times New Roman"/>
          <w:sz w:val="21"/>
          <w:szCs w:val="21"/>
        </w:rPr>
        <w:t xml:space="preserve">, с. 82–83], та зосередити </w:t>
      </w:r>
      <w:r w:rsidRPr="00804B83">
        <w:rPr>
          <w:rFonts w:ascii="Times New Roman" w:hAnsi="Times New Roman" w:cs="Times New Roman"/>
          <w:sz w:val="21"/>
          <w:szCs w:val="21"/>
        </w:rPr>
        <w:t>увагу на зв’язку між окрем</w:t>
      </w:r>
      <w:r>
        <w:rPr>
          <w:rFonts w:ascii="Times New Roman" w:hAnsi="Times New Roman" w:cs="Times New Roman"/>
          <w:sz w:val="21"/>
          <w:szCs w:val="21"/>
        </w:rPr>
        <w:t xml:space="preserve">ими рівнями структури основних </w:t>
      </w:r>
      <w:r w:rsidRPr="00804B83">
        <w:rPr>
          <w:rFonts w:ascii="Times New Roman" w:hAnsi="Times New Roman" w:cs="Times New Roman"/>
          <w:sz w:val="21"/>
          <w:szCs w:val="21"/>
        </w:rPr>
        <w:t>інститутів ринку праці.</w:t>
      </w:r>
    </w:p>
    <w:p w:rsidR="00B233DE" w:rsidRDefault="00B233DE" w:rsidP="00B233DE">
      <w:pPr>
        <w:ind w:firstLine="709"/>
        <w:jc w:val="both"/>
        <w:rPr>
          <w:sz w:val="28"/>
          <w:szCs w:val="28"/>
        </w:rPr>
      </w:pPr>
      <w:r>
        <w:rPr>
          <w:noProof/>
          <w:lang w:val="ru-RU" w:eastAsia="ru-RU"/>
        </w:rPr>
        <mc:AlternateContent>
          <mc:Choice Requires="wpg">
            <w:drawing>
              <wp:anchor distT="0" distB="0" distL="114300" distR="114300" simplePos="0" relativeHeight="251681792" behindDoc="0" locked="0" layoutInCell="1" allowOverlap="1" wp14:anchorId="262F90FB" wp14:editId="09D9C6A7">
                <wp:simplePos x="0" y="0"/>
                <wp:positionH relativeFrom="column">
                  <wp:posOffset>-46990</wp:posOffset>
                </wp:positionH>
                <wp:positionV relativeFrom="paragraph">
                  <wp:posOffset>156210</wp:posOffset>
                </wp:positionV>
                <wp:extent cx="4133723" cy="1478280"/>
                <wp:effectExtent l="19050" t="19050" r="19685" b="26670"/>
                <wp:wrapNone/>
                <wp:docPr id="315" name="Группа 3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3723" cy="1478280"/>
                          <a:chOff x="1701" y="7412"/>
                          <a:chExt cx="9539" cy="1981"/>
                        </a:xfrm>
                      </wpg:grpSpPr>
                      <wps:wsp>
                        <wps:cNvPr id="316" name="Oval 201"/>
                        <wps:cNvSpPr>
                          <a:spLocks noChangeArrowheads="1"/>
                        </wps:cNvSpPr>
                        <wps:spPr bwMode="auto">
                          <a:xfrm>
                            <a:off x="1701" y="7412"/>
                            <a:ext cx="9539" cy="1981"/>
                          </a:xfrm>
                          <a:prstGeom prst="ellipse">
                            <a:avLst/>
                          </a:prstGeom>
                          <a:solidFill>
                            <a:srgbClr val="FFFFFF"/>
                          </a:solidFill>
                          <a:ln w="28575">
                            <a:solidFill>
                              <a:srgbClr val="000000"/>
                            </a:solidFill>
                            <a:round/>
                            <a:headEnd/>
                            <a:tailEnd/>
                          </a:ln>
                        </wps:spPr>
                        <wps:txbx>
                          <w:txbxContent>
                            <w:p w:rsidR="00BE40F8" w:rsidRDefault="00BE40F8" w:rsidP="00B233DE">
                              <w:pPr>
                                <w:spacing w:after="200" w:line="276" w:lineRule="auto"/>
                                <w:rPr>
                                  <w:rFonts w:ascii="Times New Roman" w:hAnsi="Times New Roman" w:cs="Times New Roman"/>
                                  <w:sz w:val="18"/>
                                  <w:szCs w:val="18"/>
                                </w:rPr>
                              </w:pPr>
                              <w:r>
                                <w:rPr>
                                  <w:rFonts w:ascii="Times New Roman" w:hAnsi="Times New Roman" w:cs="Times New Roman"/>
                                  <w:sz w:val="18"/>
                                  <w:szCs w:val="18"/>
                                </w:rPr>
                                <w:t xml:space="preserve">                                        </w:t>
                              </w:r>
                            </w:p>
                            <w:p w:rsidR="00BE40F8" w:rsidRDefault="00BE40F8" w:rsidP="00B233DE">
                              <w:pPr>
                                <w:spacing w:after="200" w:line="276" w:lineRule="auto"/>
                                <w:rPr>
                                  <w:rFonts w:ascii="Times New Roman" w:hAnsi="Times New Roman" w:cs="Times New Roman"/>
                                  <w:sz w:val="18"/>
                                  <w:szCs w:val="18"/>
                                </w:rPr>
                              </w:pPr>
                            </w:p>
                            <w:p w:rsidR="00BE40F8" w:rsidRPr="0057780D" w:rsidRDefault="00BE40F8" w:rsidP="00B233DE">
                              <w:pPr>
                                <w:spacing w:after="200" w:line="276" w:lineRule="auto"/>
                              </w:pPr>
                              <w:r>
                                <w:rPr>
                                  <w:rFonts w:ascii="Times New Roman" w:hAnsi="Times New Roman" w:cs="Times New Roman"/>
                                  <w:sz w:val="18"/>
                                  <w:szCs w:val="18"/>
                                </w:rPr>
                                <w:t xml:space="preserve">                                                             </w:t>
                              </w:r>
                              <w:r w:rsidRPr="002C43FF">
                                <w:rPr>
                                  <w:rFonts w:ascii="Times New Roman" w:hAnsi="Times New Roman" w:cs="Times New Roman"/>
                                  <w:sz w:val="16"/>
                                  <w:szCs w:val="18"/>
                                </w:rPr>
                                <w:t>Формальні</w:t>
                              </w:r>
                              <w:r>
                                <w:rPr>
                                  <w:rFonts w:ascii="Times New Roman" w:hAnsi="Times New Roman" w:cs="Times New Roman"/>
                                  <w:sz w:val="16"/>
                                  <w:szCs w:val="18"/>
                                </w:rPr>
                                <w:t xml:space="preserve"> ін</w:t>
                              </w:r>
                              <w:r w:rsidRPr="002C43FF">
                                <w:rPr>
                                  <w:rFonts w:ascii="Times New Roman" w:hAnsi="Times New Roman" w:cs="Times New Roman"/>
                                  <w:sz w:val="16"/>
                                  <w:szCs w:val="18"/>
                                </w:rPr>
                                <w:t>ститути</w:t>
                              </w:r>
                            </w:p>
                            <w:p w:rsidR="00BE40F8" w:rsidRDefault="00BE40F8" w:rsidP="00B233DE">
                              <w:pPr>
                                <w:spacing w:after="200" w:line="276" w:lineRule="auto"/>
                                <w:rPr>
                                  <w:rFonts w:ascii="Calibri" w:hAnsi="Calibri" w:cs="Calibri"/>
                                  <w:b/>
                                  <w:bCs/>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txbxContent>
                        </wps:txbx>
                        <wps:bodyPr rot="0" vert="horz" wrap="square" lIns="0" tIns="0" rIns="0" bIns="0" anchor="t" anchorCtr="0" upright="1">
                          <a:noAutofit/>
                        </wps:bodyPr>
                      </wps:wsp>
                      <wps:wsp>
                        <wps:cNvPr id="317" name="Oval 202"/>
                        <wps:cNvSpPr>
                          <a:spLocks noChangeArrowheads="1"/>
                        </wps:cNvSpPr>
                        <wps:spPr bwMode="auto">
                          <a:xfrm>
                            <a:off x="1701" y="7719"/>
                            <a:ext cx="5993" cy="1441"/>
                          </a:xfrm>
                          <a:prstGeom prst="ellipse">
                            <a:avLst/>
                          </a:prstGeom>
                          <a:solidFill>
                            <a:srgbClr val="FFFFFF"/>
                          </a:solidFill>
                          <a:ln w="28575">
                            <a:solidFill>
                              <a:srgbClr val="000000"/>
                            </a:solidFill>
                            <a:round/>
                            <a:headEnd/>
                            <a:tailEnd/>
                          </a:ln>
                        </wps:spPr>
                        <wps:txbx>
                          <w:txbxContent>
                            <w:p w:rsidR="00BE40F8" w:rsidRPr="004402A3" w:rsidRDefault="00BE40F8" w:rsidP="00B233DE">
                              <w:pPr>
                                <w:rPr>
                                  <w:rFonts w:ascii="Times New Roman" w:hAnsi="Times New Roman" w:cs="Times New Roman"/>
                                  <w:sz w:val="32"/>
                                  <w:szCs w:val="32"/>
                                </w:rPr>
                              </w:pPr>
                              <w:r w:rsidRPr="004402A3">
                                <w:rPr>
                                  <w:rFonts w:ascii="Times New Roman" w:hAnsi="Times New Roman" w:cs="Times New Roman"/>
                                  <w:sz w:val="18"/>
                                  <w:szCs w:val="18"/>
                                </w:rPr>
                                <w:t xml:space="preserve">                                           </w:t>
                              </w:r>
                            </w:p>
                            <w:p w:rsidR="00BE40F8" w:rsidRPr="002C43FF" w:rsidRDefault="00BE40F8" w:rsidP="00B233DE">
                              <w:pPr>
                                <w:ind w:right="-319"/>
                                <w:rPr>
                                  <w:rFonts w:ascii="Times New Roman" w:hAnsi="Times New Roman" w:cs="Times New Roman"/>
                                  <w:sz w:val="16"/>
                                  <w:szCs w:val="18"/>
                                </w:rPr>
                              </w:pPr>
                              <w:r>
                                <w:rPr>
                                  <w:rFonts w:ascii="Times New Roman" w:hAnsi="Times New Roman" w:cs="Times New Roman"/>
                                  <w:sz w:val="18"/>
                                  <w:szCs w:val="18"/>
                                </w:rPr>
                                <w:t xml:space="preserve">                                   </w:t>
                              </w:r>
                              <w:r w:rsidRPr="002C43FF">
                                <w:rPr>
                                  <w:rFonts w:ascii="Times New Roman" w:hAnsi="Times New Roman" w:cs="Times New Roman"/>
                                  <w:sz w:val="16"/>
                                  <w:szCs w:val="18"/>
                                </w:rPr>
                                <w:t xml:space="preserve">Неформальні           </w:t>
                              </w:r>
                            </w:p>
                            <w:p w:rsidR="00BE40F8" w:rsidRPr="002C43FF" w:rsidRDefault="00BE40F8" w:rsidP="00B233DE">
                              <w:pPr>
                                <w:rPr>
                                  <w:rFonts w:ascii="Times New Roman" w:hAnsi="Times New Roman" w:cs="Times New Roman"/>
                                  <w:sz w:val="16"/>
                                  <w:szCs w:val="18"/>
                                </w:rPr>
                              </w:pPr>
                              <w:r w:rsidRPr="002C43FF">
                                <w:rPr>
                                  <w:rFonts w:ascii="Times New Roman" w:hAnsi="Times New Roman" w:cs="Times New Roman"/>
                                  <w:sz w:val="16"/>
                                  <w:szCs w:val="18"/>
                                </w:rPr>
                                <w:t xml:space="preserve">                                     І</w:t>
                              </w:r>
                              <w:r>
                                <w:rPr>
                                  <w:rFonts w:ascii="Times New Roman" w:hAnsi="Times New Roman" w:cs="Times New Roman"/>
                                  <w:sz w:val="16"/>
                                  <w:szCs w:val="18"/>
                                </w:rPr>
                                <w:t xml:space="preserve">      і</w:t>
                              </w:r>
                              <w:r w:rsidRPr="002C43FF">
                                <w:rPr>
                                  <w:rFonts w:ascii="Times New Roman" w:hAnsi="Times New Roman" w:cs="Times New Roman"/>
                                  <w:sz w:val="16"/>
                                  <w:szCs w:val="18"/>
                                </w:rPr>
                                <w:t>нститути</w:t>
                              </w:r>
                            </w:p>
                            <w:p w:rsidR="00BE40F8" w:rsidRPr="002C43FF" w:rsidRDefault="00BE40F8" w:rsidP="00B233DE">
                              <w:pPr>
                                <w:spacing w:after="200" w:line="276" w:lineRule="auto"/>
                                <w:rPr>
                                  <w:rFonts w:ascii="Calibri" w:hAnsi="Calibri" w:cs="Calibri"/>
                                  <w:sz w:val="20"/>
                                </w:rPr>
                              </w:pPr>
                              <w:r w:rsidRPr="002C43FF">
                                <w:rPr>
                                  <w:rFonts w:ascii="Calibri" w:hAnsi="Calibri" w:cs="Calibri"/>
                                  <w:sz w:val="20"/>
                                </w:rPr>
                                <w:t xml:space="preserve">                                                                                                                                           </w:t>
                              </w: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r>
                                <w:rPr>
                                  <w:rFonts w:ascii="Calibri" w:hAnsi="Calibri" w:cs="Calibri"/>
                                </w:rPr>
                                <w:t xml:space="preserve">   </w:t>
                              </w: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b/>
                                  <w:bCs/>
                                </w:rPr>
                              </w:pPr>
                              <w:r>
                                <w:rPr>
                                  <w:rFonts w:ascii="Calibri" w:hAnsi="Calibri" w:cs="Calibri"/>
                                  <w:b/>
                                  <w:bCs/>
                                </w:rPr>
                                <w:t xml:space="preserve">Формальні                                                  </w:t>
                              </w:r>
                            </w:p>
                            <w:p w:rsidR="00BE40F8" w:rsidRDefault="00BE40F8" w:rsidP="00B233DE">
                              <w:pPr>
                                <w:spacing w:after="200" w:line="276" w:lineRule="auto"/>
                                <w:rPr>
                                  <w:rFonts w:ascii="Calibri" w:hAnsi="Calibri" w:cs="Calibri"/>
                                  <w:b/>
                                  <w:bCs/>
                                </w:rPr>
                              </w:pPr>
                              <w:r>
                                <w:rPr>
                                  <w:rFonts w:ascii="Calibri" w:hAnsi="Calibri" w:cs="Calibri"/>
                                </w:rPr>
                                <w:t xml:space="preserve">                                                                                          </w:t>
                              </w:r>
                              <w:r>
                                <w:rPr>
                                  <w:rFonts w:ascii="Calibri" w:hAnsi="Calibri" w:cs="Calibri"/>
                                  <w:b/>
                                  <w:bCs/>
                                </w:rPr>
                                <w:t xml:space="preserve"> інститути</w:t>
                              </w:r>
                            </w:p>
                          </w:txbxContent>
                        </wps:txbx>
                        <wps:bodyPr rot="0" vert="horz" wrap="square" lIns="0" tIns="0" rIns="0" bIns="0" anchor="t" anchorCtr="0" upright="1">
                          <a:noAutofit/>
                        </wps:bodyPr>
                      </wps:wsp>
                      <wps:wsp>
                        <wps:cNvPr id="318" name="Oval 203"/>
                        <wps:cNvSpPr>
                          <a:spLocks noChangeArrowheads="1"/>
                        </wps:cNvSpPr>
                        <wps:spPr bwMode="auto">
                          <a:xfrm>
                            <a:off x="1701" y="7994"/>
                            <a:ext cx="3737" cy="901"/>
                          </a:xfrm>
                          <a:prstGeom prst="ellipse">
                            <a:avLst/>
                          </a:prstGeom>
                          <a:solidFill>
                            <a:srgbClr val="FFFFFF"/>
                          </a:solidFill>
                          <a:ln w="28575">
                            <a:solidFill>
                              <a:srgbClr val="000000"/>
                            </a:solidFill>
                            <a:round/>
                            <a:headEnd/>
                            <a:tailEnd/>
                          </a:ln>
                        </wps:spPr>
                        <wps:txbx>
                          <w:txbxContent>
                            <w:p w:rsidR="00BE40F8" w:rsidRPr="004402A3" w:rsidRDefault="00BE40F8" w:rsidP="00B233DE">
                              <w:pPr>
                                <w:spacing w:after="200"/>
                                <w:ind w:right="49" w:firstLine="0"/>
                                <w:rPr>
                                  <w:rFonts w:ascii="Times New Roman" w:hAnsi="Times New Roman" w:cs="Times New Roman"/>
                                  <w:sz w:val="2"/>
                                  <w:szCs w:val="2"/>
                                </w:rPr>
                              </w:pPr>
                              <w:r w:rsidRPr="004402A3">
                                <w:rPr>
                                  <w:rFonts w:ascii="Times New Roman" w:hAnsi="Times New Roman" w:cs="Times New Roman"/>
                                  <w:sz w:val="2"/>
                                  <w:szCs w:val="2"/>
                                </w:rPr>
                                <w:t xml:space="preserve">                 </w:t>
                              </w:r>
                            </w:p>
                            <w:p w:rsidR="00BE40F8" w:rsidRPr="002C43FF" w:rsidRDefault="00BE40F8" w:rsidP="00B233DE">
                              <w:pPr>
                                <w:spacing w:after="200"/>
                                <w:ind w:right="49" w:firstLine="0"/>
                                <w:rPr>
                                  <w:rFonts w:ascii="Times New Roman" w:hAnsi="Times New Roman" w:cs="Times New Roman"/>
                                  <w:sz w:val="16"/>
                                  <w:szCs w:val="18"/>
                                </w:rPr>
                              </w:pPr>
                              <w:r>
                                <w:rPr>
                                  <w:rFonts w:ascii="Times New Roman" w:hAnsi="Times New Roman" w:cs="Times New Roman"/>
                                  <w:sz w:val="18"/>
                                  <w:szCs w:val="18"/>
                                </w:rPr>
                                <w:t xml:space="preserve">                  </w:t>
                              </w:r>
                              <w:r w:rsidRPr="002C43FF">
                                <w:rPr>
                                  <w:rFonts w:ascii="Times New Roman" w:hAnsi="Times New Roman" w:cs="Times New Roman"/>
                                  <w:sz w:val="16"/>
                                  <w:szCs w:val="18"/>
                                </w:rPr>
                                <w:t>Рутини</w:t>
                              </w:r>
                            </w:p>
                          </w:txbxContent>
                        </wps:txbx>
                        <wps:bodyPr rot="0" vert="horz" wrap="square" lIns="0" tIns="0" rIns="0" bIns="0" anchor="t" anchorCtr="0" upright="1">
                          <a:noAutofit/>
                        </wps:bodyPr>
                      </wps:wsp>
                      <wps:wsp>
                        <wps:cNvPr id="319" name="Oval 204"/>
                        <wps:cNvSpPr>
                          <a:spLocks noChangeArrowheads="1"/>
                        </wps:cNvSpPr>
                        <wps:spPr bwMode="auto">
                          <a:xfrm>
                            <a:off x="1701" y="8132"/>
                            <a:ext cx="1627" cy="540"/>
                          </a:xfrm>
                          <a:prstGeom prst="ellipse">
                            <a:avLst/>
                          </a:prstGeom>
                          <a:solidFill>
                            <a:srgbClr val="FFFFFF"/>
                          </a:solidFill>
                          <a:ln w="28575">
                            <a:solidFill>
                              <a:srgbClr val="000000"/>
                            </a:solidFill>
                            <a:round/>
                            <a:headEnd/>
                            <a:tailEnd/>
                          </a:ln>
                        </wps:spPr>
                        <wps:txbx>
                          <w:txbxContent>
                            <w:p w:rsidR="00BE40F8" w:rsidRPr="002C43FF" w:rsidRDefault="00BE40F8" w:rsidP="00B233DE">
                              <w:pPr>
                                <w:spacing w:after="200"/>
                                <w:ind w:firstLine="0"/>
                                <w:jc w:val="center"/>
                                <w:rPr>
                                  <w:rFonts w:ascii="Times New Roman" w:hAnsi="Times New Roman" w:cs="Times New Roman"/>
                                  <w:sz w:val="16"/>
                                  <w:szCs w:val="18"/>
                                </w:rPr>
                              </w:pPr>
                              <w:r w:rsidRPr="002C43FF">
                                <w:rPr>
                                  <w:rFonts w:ascii="Times New Roman" w:hAnsi="Times New Roman" w:cs="Times New Roman"/>
                                  <w:sz w:val="16"/>
                                  <w:szCs w:val="18"/>
                                </w:rPr>
                                <w:t>Цінності</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2F90FB" id="Группа 315" o:spid="_x0000_s1167" style="position:absolute;left:0;text-align:left;margin-left:-3.7pt;margin-top:12.3pt;width:325.5pt;height:116.4pt;z-index:251681792;mso-position-horizontal-relative:text;mso-position-vertical-relative:text" coordorigin="1701,7412" coordsize="9539,1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">
                <v:oval id="Oval 201" o:spid="_x0000_s1168" style="position:absolute;left:1701;top:7412;width:9539;height:1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" strokeweight="2.25pt">
                  <v:textbox inset="0,0,0,0">
                    <w:txbxContent>
                      <w:p w:rsidR="00BE40F8" w:rsidRDefault="00BE40F8" w:rsidP="00B233DE">
                        <w:pPr>
                          <w:spacing w:after="200" w:line="276" w:lineRule="auto"/>
                          <w:rPr>
                            <w:rFonts w:ascii="Times New Roman" w:hAnsi="Times New Roman" w:cs="Times New Roman"/>
                            <w:sz w:val="18"/>
                            <w:szCs w:val="18"/>
                          </w:rPr>
                        </w:pPr>
                        <w:r>
                          <w:rPr>
                            <w:rFonts w:ascii="Times New Roman" w:hAnsi="Times New Roman" w:cs="Times New Roman"/>
                            <w:sz w:val="18"/>
                            <w:szCs w:val="18"/>
                          </w:rPr>
                          <w:t xml:space="preserve">                                        </w:t>
                        </w:r>
                      </w:p>
                      <w:p w:rsidR="00BE40F8" w:rsidRDefault="00BE40F8" w:rsidP="00B233DE">
                        <w:pPr>
                          <w:spacing w:after="200" w:line="276" w:lineRule="auto"/>
                          <w:rPr>
                            <w:rFonts w:ascii="Times New Roman" w:hAnsi="Times New Roman" w:cs="Times New Roman"/>
                            <w:sz w:val="18"/>
                            <w:szCs w:val="18"/>
                          </w:rPr>
                        </w:pPr>
                      </w:p>
                      <w:p w:rsidR="00BE40F8" w:rsidRPr="0057780D" w:rsidRDefault="00BE40F8" w:rsidP="00B233DE">
                        <w:pPr>
                          <w:spacing w:after="200" w:line="276" w:lineRule="auto"/>
                        </w:pPr>
                        <w:r>
                          <w:rPr>
                            <w:rFonts w:ascii="Times New Roman" w:hAnsi="Times New Roman" w:cs="Times New Roman"/>
                            <w:sz w:val="18"/>
                            <w:szCs w:val="18"/>
                          </w:rPr>
                          <w:t xml:space="preserve">                                                             </w:t>
                        </w:r>
                        <w:r w:rsidRPr="002C43FF">
                          <w:rPr>
                            <w:rFonts w:ascii="Times New Roman" w:hAnsi="Times New Roman" w:cs="Times New Roman"/>
                            <w:sz w:val="16"/>
                            <w:szCs w:val="18"/>
                          </w:rPr>
                          <w:t>Формальні</w:t>
                        </w:r>
                        <w:r>
                          <w:rPr>
                            <w:rFonts w:ascii="Times New Roman" w:hAnsi="Times New Roman" w:cs="Times New Roman"/>
                            <w:sz w:val="16"/>
                            <w:szCs w:val="18"/>
                          </w:rPr>
                          <w:t xml:space="preserve"> ін</w:t>
                        </w:r>
                        <w:r w:rsidRPr="002C43FF">
                          <w:rPr>
                            <w:rFonts w:ascii="Times New Roman" w:hAnsi="Times New Roman" w:cs="Times New Roman"/>
                            <w:sz w:val="16"/>
                            <w:szCs w:val="18"/>
                          </w:rPr>
                          <w:t>ститути</w:t>
                        </w:r>
                      </w:p>
                      <w:p w:rsidR="00BE40F8" w:rsidRDefault="00BE40F8" w:rsidP="00B233DE">
                        <w:pPr>
                          <w:spacing w:after="200" w:line="276" w:lineRule="auto"/>
                          <w:rPr>
                            <w:rFonts w:ascii="Calibri" w:hAnsi="Calibri" w:cs="Calibri"/>
                            <w:b/>
                            <w:bCs/>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txbxContent>
                  </v:textbox>
                </v:oval>
                <v:oval id="Oval 202" o:spid="_x0000_s1169" style="position:absolute;left:1701;top:7719;width:5993;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" strokeweight="2.25pt">
                  <v:textbox inset="0,0,0,0">
                    <w:txbxContent>
                      <w:p w:rsidR="00BE40F8" w:rsidRPr="004402A3" w:rsidRDefault="00BE40F8" w:rsidP="00B233DE">
                        <w:pPr>
                          <w:rPr>
                            <w:rFonts w:ascii="Times New Roman" w:hAnsi="Times New Roman" w:cs="Times New Roman"/>
                            <w:sz w:val="32"/>
                            <w:szCs w:val="32"/>
                          </w:rPr>
                        </w:pPr>
                        <w:r w:rsidRPr="004402A3">
                          <w:rPr>
                            <w:rFonts w:ascii="Times New Roman" w:hAnsi="Times New Roman" w:cs="Times New Roman"/>
                            <w:sz w:val="18"/>
                            <w:szCs w:val="18"/>
                          </w:rPr>
                          <w:t xml:space="preserve">                                           </w:t>
                        </w:r>
                      </w:p>
                      <w:p w:rsidR="00BE40F8" w:rsidRPr="002C43FF" w:rsidRDefault="00BE40F8" w:rsidP="00B233DE">
                        <w:pPr>
                          <w:ind w:right="-319"/>
                          <w:rPr>
                            <w:rFonts w:ascii="Times New Roman" w:hAnsi="Times New Roman" w:cs="Times New Roman"/>
                            <w:sz w:val="16"/>
                            <w:szCs w:val="18"/>
                          </w:rPr>
                        </w:pPr>
                        <w:r>
                          <w:rPr>
                            <w:rFonts w:ascii="Times New Roman" w:hAnsi="Times New Roman" w:cs="Times New Roman"/>
                            <w:sz w:val="18"/>
                            <w:szCs w:val="18"/>
                          </w:rPr>
                          <w:t xml:space="preserve">                                   </w:t>
                        </w:r>
                        <w:r w:rsidRPr="002C43FF">
                          <w:rPr>
                            <w:rFonts w:ascii="Times New Roman" w:hAnsi="Times New Roman" w:cs="Times New Roman"/>
                            <w:sz w:val="16"/>
                            <w:szCs w:val="18"/>
                          </w:rPr>
                          <w:t xml:space="preserve">Неформальні           </w:t>
                        </w:r>
                      </w:p>
                      <w:p w:rsidR="00BE40F8" w:rsidRPr="002C43FF" w:rsidRDefault="00BE40F8" w:rsidP="00B233DE">
                        <w:pPr>
                          <w:rPr>
                            <w:rFonts w:ascii="Times New Roman" w:hAnsi="Times New Roman" w:cs="Times New Roman"/>
                            <w:sz w:val="16"/>
                            <w:szCs w:val="18"/>
                          </w:rPr>
                        </w:pPr>
                        <w:r w:rsidRPr="002C43FF">
                          <w:rPr>
                            <w:rFonts w:ascii="Times New Roman" w:hAnsi="Times New Roman" w:cs="Times New Roman"/>
                            <w:sz w:val="16"/>
                            <w:szCs w:val="18"/>
                          </w:rPr>
                          <w:t xml:space="preserve">                                     І</w:t>
                        </w:r>
                        <w:r>
                          <w:rPr>
                            <w:rFonts w:ascii="Times New Roman" w:hAnsi="Times New Roman" w:cs="Times New Roman"/>
                            <w:sz w:val="16"/>
                            <w:szCs w:val="18"/>
                          </w:rPr>
                          <w:t xml:space="preserve">      і</w:t>
                        </w:r>
                        <w:r w:rsidRPr="002C43FF">
                          <w:rPr>
                            <w:rFonts w:ascii="Times New Roman" w:hAnsi="Times New Roman" w:cs="Times New Roman"/>
                            <w:sz w:val="16"/>
                            <w:szCs w:val="18"/>
                          </w:rPr>
                          <w:t>нститути</w:t>
                        </w:r>
                      </w:p>
                      <w:p w:rsidR="00BE40F8" w:rsidRPr="002C43FF" w:rsidRDefault="00BE40F8" w:rsidP="00B233DE">
                        <w:pPr>
                          <w:spacing w:after="200" w:line="276" w:lineRule="auto"/>
                          <w:rPr>
                            <w:rFonts w:ascii="Calibri" w:hAnsi="Calibri" w:cs="Calibri"/>
                            <w:sz w:val="20"/>
                          </w:rPr>
                        </w:pPr>
                        <w:r w:rsidRPr="002C43FF">
                          <w:rPr>
                            <w:rFonts w:ascii="Calibri" w:hAnsi="Calibri" w:cs="Calibri"/>
                            <w:sz w:val="20"/>
                          </w:rPr>
                          <w:t xml:space="preserve">                                                                                                                                           </w:t>
                        </w: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r>
                          <w:rPr>
                            <w:rFonts w:ascii="Calibri" w:hAnsi="Calibri" w:cs="Calibri"/>
                          </w:rPr>
                          <w:t xml:space="preserve">   </w:t>
                        </w: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rPr>
                        </w:pPr>
                      </w:p>
                      <w:p w:rsidR="00BE40F8" w:rsidRDefault="00BE40F8" w:rsidP="00B233DE">
                        <w:pPr>
                          <w:spacing w:after="200" w:line="276" w:lineRule="auto"/>
                          <w:rPr>
                            <w:rFonts w:ascii="Calibri" w:hAnsi="Calibri" w:cs="Calibri"/>
                            <w:b/>
                            <w:bCs/>
                          </w:rPr>
                        </w:pPr>
                        <w:r>
                          <w:rPr>
                            <w:rFonts w:ascii="Calibri" w:hAnsi="Calibri" w:cs="Calibri"/>
                            <w:b/>
                            <w:bCs/>
                          </w:rPr>
                          <w:t xml:space="preserve">Формальні                                                  </w:t>
                        </w:r>
                      </w:p>
                      <w:p w:rsidR="00BE40F8" w:rsidRDefault="00BE40F8" w:rsidP="00B233DE">
                        <w:pPr>
                          <w:spacing w:after="200" w:line="276" w:lineRule="auto"/>
                          <w:rPr>
                            <w:rFonts w:ascii="Calibri" w:hAnsi="Calibri" w:cs="Calibri"/>
                            <w:b/>
                            <w:bCs/>
                          </w:rPr>
                        </w:pPr>
                        <w:r>
                          <w:rPr>
                            <w:rFonts w:ascii="Calibri" w:hAnsi="Calibri" w:cs="Calibri"/>
                          </w:rPr>
                          <w:t xml:space="preserve">                                                                                          </w:t>
                        </w:r>
                        <w:r>
                          <w:rPr>
                            <w:rFonts w:ascii="Calibri" w:hAnsi="Calibri" w:cs="Calibri"/>
                            <w:b/>
                            <w:bCs/>
                          </w:rPr>
                          <w:t xml:space="preserve"> інститути</w:t>
                        </w:r>
                      </w:p>
                    </w:txbxContent>
                  </v:textbox>
                </v:oval>
                <v:oval id="Oval 203" o:spid="_x0000_s1170" style="position:absolute;left:1701;top:7994;width:3737;height:9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" strokeweight="2.25pt">
                  <v:textbox inset="0,0,0,0">
                    <w:txbxContent>
                      <w:p w:rsidR="00BE40F8" w:rsidRPr="004402A3" w:rsidRDefault="00BE40F8" w:rsidP="00B233DE">
                        <w:pPr>
                          <w:spacing w:after="200"/>
                          <w:ind w:right="49" w:firstLine="0"/>
                          <w:rPr>
                            <w:rFonts w:ascii="Times New Roman" w:hAnsi="Times New Roman" w:cs="Times New Roman"/>
                            <w:sz w:val="2"/>
                            <w:szCs w:val="2"/>
                          </w:rPr>
                        </w:pPr>
                        <w:r w:rsidRPr="004402A3">
                          <w:rPr>
                            <w:rFonts w:ascii="Times New Roman" w:hAnsi="Times New Roman" w:cs="Times New Roman"/>
                            <w:sz w:val="2"/>
                            <w:szCs w:val="2"/>
                          </w:rPr>
                          <w:t xml:space="preserve">                 </w:t>
                        </w:r>
                      </w:p>
                      <w:p w:rsidR="00BE40F8" w:rsidRPr="002C43FF" w:rsidRDefault="00BE40F8" w:rsidP="00B233DE">
                        <w:pPr>
                          <w:spacing w:after="200"/>
                          <w:ind w:right="49" w:firstLine="0"/>
                          <w:rPr>
                            <w:rFonts w:ascii="Times New Roman" w:hAnsi="Times New Roman" w:cs="Times New Roman"/>
                            <w:sz w:val="16"/>
                            <w:szCs w:val="18"/>
                          </w:rPr>
                        </w:pPr>
                        <w:r>
                          <w:rPr>
                            <w:rFonts w:ascii="Times New Roman" w:hAnsi="Times New Roman" w:cs="Times New Roman"/>
                            <w:sz w:val="18"/>
                            <w:szCs w:val="18"/>
                          </w:rPr>
                          <w:t xml:space="preserve">                  </w:t>
                        </w:r>
                        <w:r w:rsidRPr="002C43FF">
                          <w:rPr>
                            <w:rFonts w:ascii="Times New Roman" w:hAnsi="Times New Roman" w:cs="Times New Roman"/>
                            <w:sz w:val="16"/>
                            <w:szCs w:val="18"/>
                          </w:rPr>
                          <w:t>Рутини</w:t>
                        </w:r>
                      </w:p>
                    </w:txbxContent>
                  </v:textbox>
                </v:oval>
                <v:oval id="Oval 204" o:spid="_x0000_s1171" style="position:absolute;left:1701;top:8132;width:1627;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" strokeweight="2.25pt">
                  <v:textbox inset="0,0,0,0">
                    <w:txbxContent>
                      <w:p w:rsidR="00BE40F8" w:rsidRPr="002C43FF" w:rsidRDefault="00BE40F8" w:rsidP="00B233DE">
                        <w:pPr>
                          <w:spacing w:after="200"/>
                          <w:ind w:firstLine="0"/>
                          <w:jc w:val="center"/>
                          <w:rPr>
                            <w:rFonts w:ascii="Times New Roman" w:hAnsi="Times New Roman" w:cs="Times New Roman"/>
                            <w:sz w:val="16"/>
                            <w:szCs w:val="18"/>
                          </w:rPr>
                        </w:pPr>
                        <w:r w:rsidRPr="002C43FF">
                          <w:rPr>
                            <w:rFonts w:ascii="Times New Roman" w:hAnsi="Times New Roman" w:cs="Times New Roman"/>
                            <w:sz w:val="16"/>
                            <w:szCs w:val="18"/>
                          </w:rPr>
                          <w:t>Цінності</w:t>
                        </w:r>
                      </w:p>
                    </w:txbxContent>
                  </v:textbox>
                </v:oval>
              </v:group>
            </w:pict>
          </mc:Fallback>
        </mc:AlternateContent>
      </w:r>
      <w:r>
        <w:rPr>
          <w:noProof/>
          <w:lang w:val="ru-RU" w:eastAsia="ru-RU"/>
        </w:rPr>
        <mc:AlternateContent>
          <mc:Choice Requires="wpc">
            <w:drawing>
              <wp:anchor distT="0" distB="0" distL="114300" distR="114300" simplePos="0" relativeHeight="251680768" behindDoc="0" locked="0" layoutInCell="1" allowOverlap="1" wp14:anchorId="02A6A381" wp14:editId="4DDB2D22">
                <wp:simplePos x="0" y="0"/>
                <wp:positionH relativeFrom="character">
                  <wp:posOffset>-565150</wp:posOffset>
                </wp:positionH>
                <wp:positionV relativeFrom="line">
                  <wp:posOffset>159385</wp:posOffset>
                </wp:positionV>
                <wp:extent cx="6400800" cy="1554480"/>
                <wp:effectExtent l="0" t="0" r="0" b="0"/>
                <wp:wrapNone/>
                <wp:docPr id="314" name="Полотно 31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c:wpc>
                  </a:graphicData>
                </a:graphic>
                <wp14:sizeRelH relativeFrom="page">
                  <wp14:pctWidth>0</wp14:pctWidth>
                </wp14:sizeRelH>
                <wp14:sizeRelV relativeFrom="page">
                  <wp14:pctHeight>0</wp14:pctHeight>
                </wp14:sizeRelV>
              </wp:anchor>
            </w:drawing>
          </mc:Choice>
          <mc:Fallback>
            <w:pict>
              <v:group w14:anchorId="42359A49" id="Полотно 314" o:spid="_x0000_s1026" editas="canvas" style="position:absolute;margin-left:-44.5pt;margin-top:12.55pt;width:7in;height:122.4pt;z-index:251680768;mso-position-horizontal-relative:char;mso-position-vertical-relative:line" coordsize="64008,155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">
                <v:shape id="_x0000_s1027" type="#_x0000_t75" style="position:absolute;width:64008;height:15544;visibility:visible;mso-wrap-style:square">
                  <v:fill o:detectmouseclick="t"/>
                  <v:path o:connecttype="none"/>
                </v:shape>
                <w10:wrap anchory="line"/>
              </v:group>
            </w:pict>
          </mc:Fallback>
        </mc:AlternateContent>
      </w:r>
    </w:p>
    <w:p w:rsidR="00B233DE" w:rsidRPr="004402A3" w:rsidRDefault="00B233DE" w:rsidP="00B233DE">
      <w:pPr>
        <w:ind w:firstLine="709"/>
        <w:jc w:val="both"/>
        <w:rPr>
          <w:rFonts w:ascii="Times New Roman" w:hAnsi="Times New Roman" w:cs="Times New Roman"/>
          <w:sz w:val="21"/>
          <w:szCs w:val="21"/>
        </w:rPr>
      </w:pPr>
      <w:r>
        <w:rPr>
          <w:noProof/>
          <w:lang w:val="ru-RU" w:eastAsia="ru-RU"/>
        </w:rPr>
        <mc:AlternateContent>
          <mc:Choice Requires="wps">
            <w:drawing>
              <wp:inline distT="0" distB="0" distL="0" distR="0" wp14:anchorId="6C5F3DB4" wp14:editId="1CCF16C2">
                <wp:extent cx="6400800" cy="1250950"/>
                <wp:effectExtent l="0" t="0" r="0" b="0"/>
                <wp:docPr id="313" name="Прямоугольник 31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400800" cy="1250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619E352" id="Прямоугольник 313" o:spid="_x0000_s1026" style="width:7in;height:9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" filled="f" stroked="f">
                <o:lock v:ext="edit" aspectratio="t"/>
                <w10:anchorlock/>
              </v:rect>
            </w:pict>
          </mc:Fallback>
        </mc:AlternateContent>
      </w:r>
    </w:p>
    <w:p w:rsidR="00B233DE" w:rsidRPr="000926BD" w:rsidRDefault="00B233DE" w:rsidP="00B233DE">
      <w:pPr>
        <w:spacing w:line="360" w:lineRule="auto"/>
        <w:ind w:firstLine="709"/>
        <w:jc w:val="center"/>
        <w:rPr>
          <w:b/>
          <w:bCs/>
          <w:sz w:val="28"/>
          <w:szCs w:val="28"/>
        </w:rPr>
      </w:pPr>
    </w:p>
    <w:p w:rsidR="00B233DE" w:rsidRPr="009514C6" w:rsidRDefault="00B233DE" w:rsidP="00B233DE">
      <w:pPr>
        <w:ind w:firstLine="709"/>
        <w:jc w:val="center"/>
        <w:rPr>
          <w:rFonts w:ascii="Times New Roman" w:hAnsi="Times New Roman" w:cs="Times New Roman"/>
          <w:b/>
          <w:sz w:val="21"/>
          <w:szCs w:val="21"/>
        </w:rPr>
      </w:pPr>
      <w:r w:rsidRPr="009514C6">
        <w:rPr>
          <w:rFonts w:ascii="Times New Roman" w:hAnsi="Times New Roman" w:cs="Times New Roman"/>
          <w:b/>
          <w:sz w:val="21"/>
          <w:szCs w:val="21"/>
        </w:rPr>
        <w:t>Рис. 3.5. Архітектоніка ринку праці</w:t>
      </w:r>
    </w:p>
    <w:p w:rsidR="00B233DE" w:rsidRPr="00287DA9" w:rsidRDefault="00B233DE" w:rsidP="00B233DE">
      <w:pPr>
        <w:ind w:firstLine="709"/>
        <w:jc w:val="both"/>
        <w:rPr>
          <w:rFonts w:ascii="Times New Roman" w:hAnsi="Times New Roman" w:cs="Times New Roman"/>
          <w:sz w:val="21"/>
          <w:szCs w:val="21"/>
        </w:rPr>
      </w:pPr>
      <w:r w:rsidRPr="000C1A05">
        <w:rPr>
          <w:rFonts w:ascii="Times New Roman" w:hAnsi="Times New Roman" w:cs="Times New Roman"/>
          <w:spacing w:val="-4"/>
          <w:sz w:val="21"/>
          <w:szCs w:val="21"/>
        </w:rPr>
        <w:lastRenderedPageBreak/>
        <w:t>Вихідну основу даної структури формують цінності – суб’єк-</w:t>
      </w:r>
      <w:r w:rsidRPr="000C1A05">
        <w:rPr>
          <w:rFonts w:ascii="Times New Roman" w:hAnsi="Times New Roman" w:cs="Times New Roman"/>
          <w:spacing w:val="-2"/>
          <w:sz w:val="21"/>
          <w:szCs w:val="21"/>
        </w:rPr>
        <w:t>тивні відношення особистості до світу праці, які визначають спрямо-</w:t>
      </w:r>
      <w:r w:rsidRPr="00287DA9">
        <w:rPr>
          <w:rFonts w:ascii="Times New Roman" w:hAnsi="Times New Roman" w:cs="Times New Roman"/>
          <w:sz w:val="21"/>
          <w:szCs w:val="21"/>
        </w:rPr>
        <w:t xml:space="preserve">ваність та інтенсивність її діяльності, панівні суспільні цінності. </w:t>
      </w:r>
    </w:p>
    <w:p w:rsidR="00B233DE" w:rsidRPr="00287DA9"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Можна виділяти групи цінностей за характером ї</w:t>
      </w:r>
      <w:r>
        <w:rPr>
          <w:rFonts w:ascii="Times New Roman" w:hAnsi="Times New Roman" w:cs="Times New Roman"/>
          <w:sz w:val="21"/>
          <w:szCs w:val="21"/>
        </w:rPr>
        <w:t>х соціальної спрямованості: «</w:t>
      </w:r>
      <w:r w:rsidRPr="00287DA9">
        <w:rPr>
          <w:rFonts w:ascii="Times New Roman" w:hAnsi="Times New Roman" w:cs="Times New Roman"/>
          <w:sz w:val="21"/>
          <w:szCs w:val="21"/>
        </w:rPr>
        <w:t>індивідуалізм</w:t>
      </w:r>
      <w:r>
        <w:rPr>
          <w:rFonts w:ascii="Times New Roman" w:hAnsi="Times New Roman" w:cs="Times New Roman"/>
          <w:sz w:val="21"/>
          <w:szCs w:val="21"/>
        </w:rPr>
        <w:t xml:space="preserve"> </w:t>
      </w:r>
      <w:r w:rsidRPr="00287DA9">
        <w:rPr>
          <w:rFonts w:ascii="Times New Roman" w:hAnsi="Times New Roman" w:cs="Times New Roman"/>
          <w:sz w:val="21"/>
          <w:szCs w:val="21"/>
        </w:rPr>
        <w:t>/</w:t>
      </w:r>
      <w:r>
        <w:rPr>
          <w:rFonts w:ascii="Times New Roman" w:hAnsi="Times New Roman" w:cs="Times New Roman"/>
          <w:sz w:val="21"/>
          <w:szCs w:val="21"/>
        </w:rPr>
        <w:t xml:space="preserve"> </w:t>
      </w:r>
      <w:r w:rsidRPr="00287DA9">
        <w:rPr>
          <w:rFonts w:ascii="Times New Roman" w:hAnsi="Times New Roman" w:cs="Times New Roman"/>
          <w:sz w:val="21"/>
          <w:szCs w:val="21"/>
        </w:rPr>
        <w:t>колективізм, гармонія</w:t>
      </w:r>
      <w:r>
        <w:rPr>
          <w:rFonts w:ascii="Times New Roman" w:hAnsi="Times New Roman" w:cs="Times New Roman"/>
          <w:sz w:val="21"/>
          <w:szCs w:val="21"/>
        </w:rPr>
        <w:t xml:space="preserve"> </w:t>
      </w:r>
      <w:r w:rsidRPr="00287DA9">
        <w:rPr>
          <w:rFonts w:ascii="Times New Roman" w:hAnsi="Times New Roman" w:cs="Times New Roman"/>
          <w:sz w:val="21"/>
          <w:szCs w:val="21"/>
        </w:rPr>
        <w:t>/</w:t>
      </w:r>
      <w:r>
        <w:rPr>
          <w:rFonts w:ascii="Times New Roman" w:hAnsi="Times New Roman" w:cs="Times New Roman"/>
          <w:sz w:val="21"/>
          <w:szCs w:val="21"/>
        </w:rPr>
        <w:t xml:space="preserve"> </w:t>
      </w:r>
      <w:r w:rsidRPr="00287DA9">
        <w:rPr>
          <w:rFonts w:ascii="Times New Roman" w:hAnsi="Times New Roman" w:cs="Times New Roman"/>
          <w:sz w:val="21"/>
          <w:szCs w:val="21"/>
        </w:rPr>
        <w:t>майстерність, виживання</w:t>
      </w:r>
      <w:r>
        <w:rPr>
          <w:rFonts w:ascii="Times New Roman" w:hAnsi="Times New Roman" w:cs="Times New Roman"/>
          <w:sz w:val="21"/>
          <w:szCs w:val="21"/>
        </w:rPr>
        <w:t xml:space="preserve"> </w:t>
      </w:r>
      <w:r w:rsidRPr="00287DA9">
        <w:rPr>
          <w:rFonts w:ascii="Times New Roman" w:hAnsi="Times New Roman" w:cs="Times New Roman"/>
          <w:sz w:val="21"/>
          <w:szCs w:val="21"/>
        </w:rPr>
        <w:t>/</w:t>
      </w:r>
      <w:r>
        <w:rPr>
          <w:rFonts w:ascii="Times New Roman" w:hAnsi="Times New Roman" w:cs="Times New Roman"/>
          <w:sz w:val="21"/>
          <w:szCs w:val="21"/>
        </w:rPr>
        <w:t xml:space="preserve"> </w:t>
      </w:r>
      <w:r w:rsidRPr="00287DA9">
        <w:rPr>
          <w:rFonts w:ascii="Times New Roman" w:hAnsi="Times New Roman" w:cs="Times New Roman"/>
          <w:sz w:val="21"/>
          <w:szCs w:val="21"/>
        </w:rPr>
        <w:t>самовираз, традиційне</w:t>
      </w:r>
      <w:r>
        <w:rPr>
          <w:rFonts w:ascii="Times New Roman" w:hAnsi="Times New Roman" w:cs="Times New Roman"/>
          <w:sz w:val="21"/>
          <w:szCs w:val="21"/>
        </w:rPr>
        <w:t xml:space="preserve"> </w:t>
      </w:r>
      <w:r w:rsidRPr="00287DA9">
        <w:rPr>
          <w:rFonts w:ascii="Times New Roman" w:hAnsi="Times New Roman" w:cs="Times New Roman"/>
          <w:sz w:val="21"/>
          <w:szCs w:val="21"/>
        </w:rPr>
        <w:t>/</w:t>
      </w:r>
      <w:r>
        <w:rPr>
          <w:rFonts w:ascii="Times New Roman" w:hAnsi="Times New Roman" w:cs="Times New Roman"/>
          <w:sz w:val="21"/>
          <w:szCs w:val="21"/>
        </w:rPr>
        <w:t xml:space="preserve"> </w:t>
      </w:r>
      <w:r w:rsidRPr="00287DA9">
        <w:rPr>
          <w:rFonts w:ascii="Times New Roman" w:hAnsi="Times New Roman" w:cs="Times New Roman"/>
          <w:sz w:val="21"/>
          <w:szCs w:val="21"/>
        </w:rPr>
        <w:t>раціонально-правове, дистанція відносно влади, відношення до невизначеності, часові горизонти</w:t>
      </w:r>
      <w:r>
        <w:rPr>
          <w:rFonts w:ascii="Times New Roman" w:hAnsi="Times New Roman" w:cs="Times New Roman"/>
          <w:sz w:val="21"/>
          <w:szCs w:val="21"/>
        </w:rPr>
        <w:t>»</w:t>
      </w:r>
      <w:r w:rsidRPr="00287DA9">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_Ref435784323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58</w:t>
      </w:r>
      <w:r>
        <w:rPr>
          <w:rFonts w:ascii="Times New Roman" w:hAnsi="Times New Roman" w:cs="Times New Roman"/>
          <w:sz w:val="21"/>
          <w:szCs w:val="21"/>
          <w:highlight w:val="yellow"/>
        </w:rPr>
        <w:fldChar w:fldCharType="end"/>
      </w:r>
      <w:r w:rsidRPr="00287DA9">
        <w:rPr>
          <w:rFonts w:ascii="Times New Roman" w:hAnsi="Times New Roman" w:cs="Times New Roman"/>
          <w:sz w:val="21"/>
          <w:szCs w:val="21"/>
        </w:rPr>
        <w:t xml:space="preserve">, с. 83]. </w:t>
      </w:r>
    </w:p>
    <w:p w:rsidR="00B233DE" w:rsidRPr="00287DA9"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 xml:space="preserve">Другий рівень належить організаційним рутинам, тобто нормам соціальної взаємодії та етичним нормам, які застосовуються в межах окремих організацій, формуючи поведінку найманих працівників та роботодавців, беручи початок від сім’ї. </w:t>
      </w:r>
    </w:p>
    <w:p w:rsidR="00B233DE" w:rsidRPr="00287DA9"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Наступн</w:t>
      </w:r>
      <w:r>
        <w:rPr>
          <w:rFonts w:ascii="Times New Roman" w:hAnsi="Times New Roman" w:cs="Times New Roman"/>
          <w:sz w:val="21"/>
          <w:szCs w:val="21"/>
        </w:rPr>
        <w:t>ий рівень посідають неформальні</w:t>
      </w:r>
      <w:r w:rsidRPr="00287DA9">
        <w:rPr>
          <w:rFonts w:ascii="Times New Roman" w:hAnsi="Times New Roman" w:cs="Times New Roman"/>
          <w:sz w:val="21"/>
          <w:szCs w:val="21"/>
        </w:rPr>
        <w:t xml:space="preserve"> інститути – обряди, традиції, звичаї, кодекси, норми поведінки, правила, які засвоюються здебільшого мимовільно в процесі соціалізаці</w:t>
      </w:r>
      <w:r>
        <w:rPr>
          <w:rFonts w:ascii="Times New Roman" w:hAnsi="Times New Roman" w:cs="Times New Roman"/>
          <w:sz w:val="21"/>
          <w:szCs w:val="21"/>
        </w:rPr>
        <w:t>ї особистості й відносяться до «неявного, мовчазного знання»</w:t>
      </w:r>
      <w:r w:rsidRPr="00287DA9">
        <w:rPr>
          <w:rFonts w:ascii="Times New Roman" w:hAnsi="Times New Roman" w:cs="Times New Roman"/>
          <w:sz w:val="21"/>
          <w:szCs w:val="21"/>
        </w:rPr>
        <w:t xml:space="preserve">, визначаючи трудову поведінку, практику укладання і зміст трудових контрактів. </w:t>
      </w:r>
    </w:p>
    <w:p w:rsidR="00B233DE" w:rsidRPr="00287DA9"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Формальні інститути – закони, норми, правила, законодавчі акти і нормативно-правові документи, що регулюють сферу соціально-т</w:t>
      </w:r>
      <w:r>
        <w:rPr>
          <w:rFonts w:ascii="Times New Roman" w:hAnsi="Times New Roman" w:cs="Times New Roman"/>
          <w:sz w:val="21"/>
          <w:szCs w:val="21"/>
        </w:rPr>
        <w:t>рудових відносин, визначаючи та</w:t>
      </w:r>
      <w:r w:rsidRPr="00287DA9">
        <w:rPr>
          <w:rFonts w:ascii="Times New Roman" w:hAnsi="Times New Roman" w:cs="Times New Roman"/>
          <w:sz w:val="21"/>
          <w:szCs w:val="21"/>
        </w:rPr>
        <w:t xml:space="preserve"> перерозподіляючи права власності на працю, складають останній рівень інституціо</w:t>
      </w:r>
      <w:r>
        <w:rPr>
          <w:rFonts w:ascii="Times New Roman" w:hAnsi="Times New Roman" w:cs="Times New Roman"/>
          <w:sz w:val="21"/>
          <w:szCs w:val="21"/>
        </w:rPr>
        <w:t>-</w:t>
      </w:r>
      <w:r w:rsidRPr="00287DA9">
        <w:rPr>
          <w:rFonts w:ascii="Times New Roman" w:hAnsi="Times New Roman" w:cs="Times New Roman"/>
          <w:sz w:val="21"/>
          <w:szCs w:val="21"/>
        </w:rPr>
        <w:t xml:space="preserve">нальної системи ринку праці. </w:t>
      </w:r>
    </w:p>
    <w:p w:rsidR="00B233DE" w:rsidRPr="00287DA9"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 xml:space="preserve">Сутність інфраструктури ринку праці, на </w:t>
      </w:r>
      <w:r>
        <w:rPr>
          <w:rFonts w:ascii="Times New Roman" w:hAnsi="Times New Roman" w:cs="Times New Roman"/>
          <w:sz w:val="21"/>
          <w:szCs w:val="21"/>
        </w:rPr>
        <w:t>нашу думку</w:t>
      </w:r>
      <w:r w:rsidRPr="00287DA9">
        <w:rPr>
          <w:rFonts w:ascii="Times New Roman" w:hAnsi="Times New Roman" w:cs="Times New Roman"/>
          <w:sz w:val="21"/>
          <w:szCs w:val="21"/>
        </w:rPr>
        <w:t>, пов</w:t>
      </w:r>
      <w:r>
        <w:rPr>
          <w:rFonts w:ascii="Times New Roman" w:hAnsi="Times New Roman" w:cs="Times New Roman"/>
          <w:sz w:val="21"/>
          <w:szCs w:val="21"/>
        </w:rPr>
        <w:t>-</w:t>
      </w:r>
      <w:r w:rsidRPr="000C1A05">
        <w:rPr>
          <w:rFonts w:ascii="Times New Roman" w:hAnsi="Times New Roman" w:cs="Times New Roman"/>
          <w:spacing w:val="-2"/>
          <w:sz w:val="21"/>
          <w:szCs w:val="21"/>
        </w:rPr>
        <w:t>ніше буде реалізовуватись через функції, основними з яких є: органі-</w:t>
      </w:r>
      <w:r>
        <w:rPr>
          <w:rFonts w:ascii="Times New Roman" w:hAnsi="Times New Roman" w:cs="Times New Roman"/>
          <w:sz w:val="21"/>
          <w:szCs w:val="21"/>
        </w:rPr>
        <w:t>заційна; інформаційна; посередницька; координаційна; консульта-</w:t>
      </w:r>
      <w:r w:rsidRPr="000C1A05">
        <w:rPr>
          <w:rFonts w:ascii="Times New Roman" w:hAnsi="Times New Roman" w:cs="Times New Roman"/>
          <w:spacing w:val="-6"/>
          <w:sz w:val="21"/>
          <w:szCs w:val="21"/>
        </w:rPr>
        <w:t>тивна; стимулююча; алокативна та дистрибутивна технічна; регулююча;</w:t>
      </w:r>
      <w:r w:rsidRPr="00287DA9">
        <w:rPr>
          <w:rFonts w:ascii="Times New Roman" w:hAnsi="Times New Roman" w:cs="Times New Roman"/>
          <w:sz w:val="21"/>
          <w:szCs w:val="21"/>
        </w:rPr>
        <w:t xml:space="preserve"> контролююча; селективна; розміщення; розподільча; діагностична. </w:t>
      </w:r>
    </w:p>
    <w:p w:rsidR="00B233DE" w:rsidRPr="00287DA9"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О. Карпіщенко виділяє функцію «</w:t>
      </w:r>
      <w:r w:rsidRPr="00287DA9">
        <w:rPr>
          <w:rFonts w:ascii="Times New Roman" w:hAnsi="Times New Roman" w:cs="Times New Roman"/>
          <w:sz w:val="21"/>
          <w:szCs w:val="21"/>
        </w:rPr>
        <w:t>захисту колективних інтересів працівників та роботодавців</w:t>
      </w:r>
      <w:r>
        <w:rPr>
          <w:rFonts w:ascii="Times New Roman" w:hAnsi="Times New Roman" w:cs="Times New Roman"/>
          <w:sz w:val="21"/>
          <w:szCs w:val="21"/>
        </w:rPr>
        <w:t>»</w:t>
      </w:r>
      <w:r w:rsidRPr="00287DA9">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_Ref433977224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47</w:t>
      </w:r>
      <w:r>
        <w:rPr>
          <w:rFonts w:ascii="Times New Roman" w:hAnsi="Times New Roman" w:cs="Times New Roman"/>
          <w:sz w:val="21"/>
          <w:szCs w:val="21"/>
          <w:highlight w:val="yellow"/>
        </w:rPr>
        <w:fldChar w:fldCharType="end"/>
      </w:r>
      <w:r w:rsidRPr="00287DA9">
        <w:rPr>
          <w:rFonts w:ascii="Times New Roman" w:hAnsi="Times New Roman" w:cs="Times New Roman"/>
          <w:sz w:val="21"/>
          <w:szCs w:val="21"/>
        </w:rPr>
        <w:t xml:space="preserve">]. </w:t>
      </w:r>
    </w:p>
    <w:p w:rsidR="00B233DE" w:rsidRPr="00287DA9"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П. Мазурок наголошує на притаманних інфраструктурі ринку праці функціях: здійснення заходів щодо зміцнення міжнародного співробітництва у сфері соціально-трудових прав громадян, налагодження постійних зв’язків з Міжнародно</w:t>
      </w:r>
      <w:r>
        <w:rPr>
          <w:rFonts w:ascii="Times New Roman" w:hAnsi="Times New Roman" w:cs="Times New Roman"/>
          <w:sz w:val="21"/>
          <w:szCs w:val="21"/>
        </w:rPr>
        <w:t>ю</w:t>
      </w:r>
      <w:r w:rsidRPr="00287DA9">
        <w:rPr>
          <w:rFonts w:ascii="Times New Roman" w:hAnsi="Times New Roman" w:cs="Times New Roman"/>
          <w:sz w:val="21"/>
          <w:szCs w:val="21"/>
        </w:rPr>
        <w:t xml:space="preserve"> організаці</w:t>
      </w:r>
      <w:r>
        <w:rPr>
          <w:rFonts w:ascii="Times New Roman" w:hAnsi="Times New Roman" w:cs="Times New Roman"/>
          <w:sz w:val="21"/>
          <w:szCs w:val="21"/>
        </w:rPr>
        <w:t>єю</w:t>
      </w:r>
      <w:r w:rsidRPr="00287DA9">
        <w:rPr>
          <w:rFonts w:ascii="Times New Roman" w:hAnsi="Times New Roman" w:cs="Times New Roman"/>
          <w:sz w:val="21"/>
          <w:szCs w:val="21"/>
        </w:rPr>
        <w:t xml:space="preserve"> праці, вивчення та узагальнення міжнародного досвіду регулювання трудових відносин і зайнятості населе</w:t>
      </w:r>
      <w:r>
        <w:rPr>
          <w:rFonts w:ascii="Times New Roman" w:hAnsi="Times New Roman" w:cs="Times New Roman"/>
          <w:sz w:val="21"/>
          <w:szCs w:val="21"/>
        </w:rPr>
        <w:t>ння, його соціально</w:t>
      </w:r>
      <w:r w:rsidRPr="00287DA9">
        <w:rPr>
          <w:rFonts w:ascii="Times New Roman" w:hAnsi="Times New Roman" w:cs="Times New Roman"/>
          <w:sz w:val="21"/>
          <w:szCs w:val="21"/>
        </w:rPr>
        <w:t>го за</w:t>
      </w:r>
      <w:r>
        <w:rPr>
          <w:rFonts w:ascii="Times New Roman" w:hAnsi="Times New Roman" w:cs="Times New Roman"/>
          <w:sz w:val="21"/>
          <w:szCs w:val="21"/>
        </w:rPr>
        <w:t>хисту та поліпшення умов праці;</w:t>
      </w:r>
      <w:r w:rsidRPr="00287DA9">
        <w:rPr>
          <w:rFonts w:ascii="Times New Roman" w:hAnsi="Times New Roman" w:cs="Times New Roman"/>
          <w:sz w:val="21"/>
          <w:szCs w:val="21"/>
        </w:rPr>
        <w:t xml:space="preserve"> участь у підготовці та р</w:t>
      </w:r>
      <w:r>
        <w:rPr>
          <w:rFonts w:ascii="Times New Roman" w:hAnsi="Times New Roman" w:cs="Times New Roman"/>
          <w:sz w:val="21"/>
          <w:szCs w:val="21"/>
        </w:rPr>
        <w:t>еалізації міжнародних угод, пов’</w:t>
      </w:r>
      <w:r w:rsidRPr="00287DA9">
        <w:rPr>
          <w:rFonts w:ascii="Times New Roman" w:hAnsi="Times New Roman" w:cs="Times New Roman"/>
          <w:sz w:val="21"/>
          <w:szCs w:val="21"/>
        </w:rPr>
        <w:t>язаних з трудовою міграцією, захистом прав працівників-мігрантів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_Ref433977275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63</w:t>
      </w:r>
      <w:r>
        <w:rPr>
          <w:rFonts w:ascii="Times New Roman" w:hAnsi="Times New Roman" w:cs="Times New Roman"/>
          <w:sz w:val="21"/>
          <w:szCs w:val="21"/>
          <w:highlight w:val="yellow"/>
        </w:rPr>
        <w:fldChar w:fldCharType="end"/>
      </w:r>
      <w:r w:rsidRPr="00287DA9">
        <w:rPr>
          <w:rFonts w:ascii="Times New Roman" w:hAnsi="Times New Roman" w:cs="Times New Roman"/>
          <w:sz w:val="21"/>
          <w:szCs w:val="21"/>
        </w:rPr>
        <w:t xml:space="preserve">, с. 20]. </w:t>
      </w:r>
    </w:p>
    <w:p w:rsidR="00B233DE" w:rsidRPr="00287DA9"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lastRenderedPageBreak/>
        <w:t>Реалізація функцій здійснюється через різні інститути інфраструктури ринку праці, які розглядаються як упорядкована в підсистеми сукупність взаємопов’язаних і функціонально взаємо</w:t>
      </w:r>
      <w:r>
        <w:rPr>
          <w:rFonts w:ascii="Times New Roman" w:hAnsi="Times New Roman" w:cs="Times New Roman"/>
          <w:sz w:val="21"/>
          <w:szCs w:val="21"/>
        </w:rPr>
        <w:t>-</w:t>
      </w:r>
      <w:r w:rsidRPr="00287DA9">
        <w:rPr>
          <w:rFonts w:ascii="Times New Roman" w:hAnsi="Times New Roman" w:cs="Times New Roman"/>
          <w:sz w:val="21"/>
          <w:szCs w:val="21"/>
        </w:rPr>
        <w:t>діючих елементів. Вчені наголошують як на опосередкованому впливі основних елементів ринкової інфраструктури на ринок праці та його окремі складові, так і на зворотному зв’язку між ринком праці та елементами ринкової інфраструктури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_Ref433977275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63</w:t>
      </w:r>
      <w:r>
        <w:rPr>
          <w:rFonts w:ascii="Times New Roman" w:hAnsi="Times New Roman" w:cs="Times New Roman"/>
          <w:sz w:val="21"/>
          <w:szCs w:val="21"/>
          <w:highlight w:val="yellow"/>
        </w:rPr>
        <w:fldChar w:fldCharType="end"/>
      </w:r>
      <w:r w:rsidRPr="00287DA9">
        <w:rPr>
          <w:rFonts w:ascii="Times New Roman" w:hAnsi="Times New Roman" w:cs="Times New Roman"/>
          <w:sz w:val="21"/>
          <w:szCs w:val="21"/>
        </w:rPr>
        <w:t>, с. 19].</w:t>
      </w:r>
    </w:p>
    <w:p w:rsidR="00B233DE" w:rsidRPr="00082B5F"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Схематично інститути інфраструктури ринку праці за функціональним</w:t>
      </w:r>
      <w:r w:rsidRPr="00082B5F">
        <w:rPr>
          <w:rFonts w:ascii="Times New Roman" w:hAnsi="Times New Roman" w:cs="Times New Roman"/>
          <w:sz w:val="21"/>
          <w:szCs w:val="21"/>
        </w:rPr>
        <w:t xml:space="preserve"> </w:t>
      </w:r>
      <w:r>
        <w:rPr>
          <w:rFonts w:ascii="Times New Roman" w:hAnsi="Times New Roman" w:cs="Times New Roman"/>
          <w:sz w:val="21"/>
          <w:szCs w:val="21"/>
        </w:rPr>
        <w:t>призначенням можна представити на рис. 3.6.</w:t>
      </w:r>
    </w:p>
    <w:p w:rsidR="00B233DE" w:rsidRPr="00287DA9"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Відповідно до системн</w:t>
      </w:r>
      <w:r>
        <w:rPr>
          <w:rFonts w:ascii="Times New Roman" w:hAnsi="Times New Roman" w:cs="Times New Roman"/>
          <w:sz w:val="21"/>
          <w:szCs w:val="21"/>
        </w:rPr>
        <w:t>ого підходу, вчені розглядають «інфраструктуру</w:t>
      </w:r>
      <w:r w:rsidRPr="00287DA9">
        <w:rPr>
          <w:rFonts w:ascii="Times New Roman" w:hAnsi="Times New Roman" w:cs="Times New Roman"/>
          <w:sz w:val="21"/>
          <w:szCs w:val="21"/>
        </w:rPr>
        <w:t xml:space="preserve"> національного ринку праці як елемент інфраструктури світового ринку праці, інфраструктури РРП як елементів інфраструктурної системи національного ринку праці, інфраструктуру регіонального ринку праці як цілісну си</w:t>
      </w:r>
      <w:r>
        <w:rPr>
          <w:rFonts w:ascii="Times New Roman" w:hAnsi="Times New Roman" w:cs="Times New Roman"/>
          <w:sz w:val="21"/>
          <w:szCs w:val="21"/>
        </w:rPr>
        <w:t>стему взаємозв’язаних елементів»</w:t>
      </w:r>
      <w:r w:rsidRPr="00287DA9">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_Ref433976742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7</w:t>
      </w:r>
      <w:r>
        <w:rPr>
          <w:rFonts w:ascii="Times New Roman" w:hAnsi="Times New Roman" w:cs="Times New Roman"/>
          <w:sz w:val="21"/>
          <w:szCs w:val="21"/>
          <w:highlight w:val="yellow"/>
        </w:rPr>
        <w:fldChar w:fldCharType="end"/>
      </w:r>
      <w:r w:rsidRPr="00287DA9">
        <w:rPr>
          <w:rFonts w:ascii="Times New Roman" w:hAnsi="Times New Roman" w:cs="Times New Roman"/>
          <w:sz w:val="21"/>
          <w:szCs w:val="21"/>
        </w:rPr>
        <w:t>, с. 12].</w:t>
      </w:r>
    </w:p>
    <w:p w:rsidR="00B233DE"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Для всіх інституцій характерною є їхня нестабільність. Інституційна зміна – це складний процес, наростання змін може бути наслідком зміни правил, неофіційних обмежень, характеру й ефективності дотримання правил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_Ref433977275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63</w:t>
      </w:r>
      <w:r>
        <w:rPr>
          <w:rFonts w:ascii="Times New Roman" w:hAnsi="Times New Roman" w:cs="Times New Roman"/>
          <w:sz w:val="21"/>
          <w:szCs w:val="21"/>
          <w:highlight w:val="yellow"/>
        </w:rPr>
        <w:fldChar w:fldCharType="end"/>
      </w:r>
      <w:r w:rsidRPr="00287DA9">
        <w:rPr>
          <w:rFonts w:ascii="Times New Roman" w:hAnsi="Times New Roman" w:cs="Times New Roman"/>
          <w:sz w:val="21"/>
          <w:szCs w:val="21"/>
        </w:rPr>
        <w:t>, с. 64].</w:t>
      </w:r>
    </w:p>
    <w:p w:rsidR="00B233DE" w:rsidRPr="003E6E9C" w:rsidRDefault="00B233DE" w:rsidP="00B233DE">
      <w:pPr>
        <w:ind w:firstLine="709"/>
        <w:jc w:val="both"/>
        <w:rPr>
          <w:rFonts w:ascii="Times New Roman" w:hAnsi="Times New Roman" w:cs="Times New Roman"/>
          <w:sz w:val="21"/>
          <w:szCs w:val="21"/>
        </w:rPr>
      </w:pPr>
      <w:r>
        <w:rPr>
          <w:rFonts w:ascii="Times New Roman" w:hAnsi="Times New Roman" w:cs="Times New Roman"/>
          <w:noProof/>
          <w:sz w:val="21"/>
          <w:szCs w:val="21"/>
          <w:lang w:val="ru-RU" w:eastAsia="ru-RU"/>
        </w:rPr>
        <mc:AlternateContent>
          <mc:Choice Requires="wpc">
            <w:drawing>
              <wp:anchor distT="0" distB="0" distL="114300" distR="114300" simplePos="0" relativeHeight="251682816" behindDoc="0" locked="0" layoutInCell="1" allowOverlap="1" wp14:anchorId="4FA8C766" wp14:editId="18F6735E">
                <wp:simplePos x="0" y="0"/>
                <wp:positionH relativeFrom="character">
                  <wp:posOffset>-319405</wp:posOffset>
                </wp:positionH>
                <wp:positionV relativeFrom="line">
                  <wp:posOffset>104775</wp:posOffset>
                </wp:positionV>
                <wp:extent cx="3891915" cy="2105660"/>
                <wp:effectExtent l="0" t="0" r="0" b="0"/>
                <wp:wrapNone/>
                <wp:docPr id="395" name="Полотно 39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14:sizeRelH relativeFrom="page">
                  <wp14:pctWidth>0</wp14:pctWidth>
                </wp14:sizeRelH>
                <wp14:sizeRelV relativeFrom="page">
                  <wp14:pctHeight>0</wp14:pctHeight>
                </wp14:sizeRelV>
              </wp:anchor>
            </w:drawing>
          </mc:Choice>
          <mc:Fallback>
            <w:pict>
              <v:group w14:anchorId="5242DEC4" id="Полотно 395" o:spid="_x0000_s1026" editas="canvas" style="position:absolute;margin-left:-25.15pt;margin-top:8.25pt;width:306.45pt;height:165.8pt;z-index:251682816;mso-position-horizontal-relative:char;mso-position-vertical-relative:line" coordsize="38919,210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">
                <v:shape id="_x0000_s1027" type="#_x0000_t75" style="position:absolute;width:38919;height:21056;visibility:visible;mso-wrap-style:square">
                  <v:fill o:detectmouseclick="t"/>
                  <v:path o:connecttype="none"/>
                </v:shape>
                <w10:wrap anchory="line"/>
              </v:group>
            </w:pict>
          </mc:Fallback>
        </mc:AlternateContent>
      </w:r>
    </w:p>
    <w:p w:rsidR="00B233DE" w:rsidRDefault="00B233DE" w:rsidP="00B233DE">
      <w:pPr>
        <w:ind w:firstLine="0"/>
        <w:jc w:val="both"/>
        <w:rPr>
          <w:rFonts w:ascii="Times New Roman" w:hAnsi="Times New Roman" w:cs="Times New Roman"/>
          <w:sz w:val="21"/>
          <w:szCs w:val="21"/>
        </w:rPr>
      </w:pPr>
      <w:r>
        <w:rPr>
          <w:noProof/>
          <w:lang w:val="ru-RU" w:eastAsia="ru-RU"/>
        </w:rPr>
        <mc:AlternateContent>
          <mc:Choice Requires="wpg">
            <w:drawing>
              <wp:anchor distT="0" distB="0" distL="114300" distR="114300" simplePos="0" relativeHeight="251687936" behindDoc="0" locked="0" layoutInCell="1" allowOverlap="1" wp14:anchorId="41B4926C" wp14:editId="476218B1">
                <wp:simplePos x="0" y="0"/>
                <wp:positionH relativeFrom="column">
                  <wp:posOffset>48260</wp:posOffset>
                </wp:positionH>
                <wp:positionV relativeFrom="paragraph">
                  <wp:posOffset>35560</wp:posOffset>
                </wp:positionV>
                <wp:extent cx="3891915" cy="2108200"/>
                <wp:effectExtent l="19050" t="19050" r="13335" b="25400"/>
                <wp:wrapNone/>
                <wp:docPr id="61" name="Group 2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91915" cy="2108200"/>
                          <a:chOff x="2419" y="-2169"/>
                          <a:chExt cx="7624" cy="3477"/>
                        </a:xfrm>
                      </wpg:grpSpPr>
                      <wps:wsp>
                        <wps:cNvPr id="62" name="AutoShape 268"/>
                        <wps:cNvSpPr>
                          <a:spLocks noChangeArrowheads="1"/>
                        </wps:cNvSpPr>
                        <wps:spPr bwMode="auto">
                          <a:xfrm>
                            <a:off x="4960" y="-915"/>
                            <a:ext cx="2119" cy="976"/>
                          </a:xfrm>
                          <a:prstGeom prst="roundRect">
                            <a:avLst>
                              <a:gd name="adj" fmla="val 16667"/>
                            </a:avLst>
                          </a:prstGeom>
                          <a:solidFill>
                            <a:srgbClr val="FFFFFF"/>
                          </a:solidFill>
                          <a:ln w="38100">
                            <a:solidFill>
                              <a:srgbClr val="000000"/>
                            </a:solidFill>
                            <a:round/>
                            <a:headEnd/>
                            <a:tailEnd/>
                          </a:ln>
                          <a:effectLst/>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rsidR="00BE40F8" w:rsidRPr="009514C6" w:rsidRDefault="00BE40F8" w:rsidP="00B233DE">
                              <w:pPr>
                                <w:ind w:firstLine="0"/>
                                <w:jc w:val="center"/>
                                <w:rPr>
                                  <w:rFonts w:ascii="Times New Roman" w:hAnsi="Times New Roman" w:cs="Times New Roman"/>
                                  <w:bCs/>
                                  <w:sz w:val="18"/>
                                  <w:szCs w:val="28"/>
                                </w:rPr>
                              </w:pPr>
                              <w:r w:rsidRPr="009514C6">
                                <w:rPr>
                                  <w:rFonts w:ascii="Times New Roman" w:hAnsi="Times New Roman" w:cs="Times New Roman"/>
                                  <w:bCs/>
                                  <w:sz w:val="18"/>
                                  <w:szCs w:val="28"/>
                                </w:rPr>
                                <w:t>Інститути</w:t>
                              </w:r>
                            </w:p>
                            <w:p w:rsidR="00BE40F8" w:rsidRPr="009514C6" w:rsidRDefault="00BE40F8" w:rsidP="00B233DE">
                              <w:pPr>
                                <w:ind w:firstLine="0"/>
                                <w:jc w:val="center"/>
                                <w:rPr>
                                  <w:rFonts w:ascii="Times New Roman" w:hAnsi="Times New Roman" w:cs="Times New Roman"/>
                                  <w:sz w:val="14"/>
                                </w:rPr>
                              </w:pPr>
                              <w:r w:rsidRPr="009514C6">
                                <w:rPr>
                                  <w:rFonts w:ascii="Times New Roman" w:hAnsi="Times New Roman" w:cs="Times New Roman"/>
                                  <w:bCs/>
                                  <w:sz w:val="18"/>
                                  <w:szCs w:val="28"/>
                                </w:rPr>
                                <w:t>ринку праці</w:t>
                              </w:r>
                            </w:p>
                          </w:txbxContent>
                        </wps:txbx>
                        <wps:bodyPr rot="0" vert="horz" wrap="square" lIns="57622" tIns="28812" rIns="57622" bIns="28812" anchor="t" anchorCtr="0" upright="1">
                          <a:noAutofit/>
                        </wps:bodyPr>
                      </wps:wsp>
                      <wps:wsp>
                        <wps:cNvPr id="63" name="AutoShape 269"/>
                        <wps:cNvSpPr>
                          <a:spLocks noChangeArrowheads="1"/>
                        </wps:cNvSpPr>
                        <wps:spPr bwMode="auto">
                          <a:xfrm>
                            <a:off x="4819" y="340"/>
                            <a:ext cx="2400" cy="836"/>
                          </a:xfrm>
                          <a:prstGeom prst="roundRect">
                            <a:avLst>
                              <a:gd name="adj" fmla="val 16667"/>
                            </a:avLst>
                          </a:prstGeom>
                          <a:solidFill>
                            <a:srgbClr val="FFFFFF"/>
                          </a:solidFill>
                          <a:ln w="28575">
                            <a:solidFill>
                              <a:srgbClr val="000000"/>
                            </a:solidFill>
                            <a:round/>
                            <a:headEnd/>
                            <a:tailEnd/>
                          </a:ln>
                        </wps:spPr>
                        <wps:txbx>
                          <w:txbxContent>
                            <w:p w:rsidR="00BE40F8" w:rsidRPr="009514C6" w:rsidRDefault="00BE40F8" w:rsidP="00B233DE">
                              <w:pPr>
                                <w:spacing w:after="200" w:line="276" w:lineRule="auto"/>
                                <w:ind w:firstLine="0"/>
                                <w:jc w:val="center"/>
                                <w:rPr>
                                  <w:rFonts w:ascii="Times New Roman" w:hAnsi="Times New Roman" w:cs="Times New Roman"/>
                                  <w:bCs/>
                                  <w:sz w:val="15"/>
                                </w:rPr>
                              </w:pPr>
                              <w:r w:rsidRPr="009514C6">
                                <w:rPr>
                                  <w:rFonts w:ascii="Times New Roman" w:hAnsi="Times New Roman" w:cs="Times New Roman"/>
                                  <w:bCs/>
                                  <w:sz w:val="15"/>
                                </w:rPr>
                                <w:t>Інститути контролю за дотриманням контрактів, захисту</w:t>
                              </w:r>
                              <w:r w:rsidRPr="009514C6">
                                <w:rPr>
                                  <w:rFonts w:ascii="Times New Roman" w:hAnsi="Times New Roman" w:cs="Times New Roman"/>
                                  <w:sz w:val="15"/>
                                </w:rPr>
                                <w:t xml:space="preserve"> </w:t>
                              </w:r>
                              <w:r w:rsidRPr="009514C6">
                                <w:rPr>
                                  <w:rFonts w:ascii="Times New Roman" w:hAnsi="Times New Roman" w:cs="Times New Roman"/>
                                  <w:bCs/>
                                  <w:sz w:val="15"/>
                                </w:rPr>
                                <w:t>і прав</w:t>
                              </w:r>
                              <w:r w:rsidRPr="009514C6">
                                <w:rPr>
                                  <w:rFonts w:ascii="Times New Roman" w:hAnsi="Times New Roman" w:cs="Times New Roman"/>
                                  <w:bCs/>
                                  <w:sz w:val="14"/>
                                </w:rPr>
                                <w:t xml:space="preserve"> </w:t>
                              </w:r>
                              <w:r w:rsidRPr="009514C6">
                                <w:rPr>
                                  <w:rFonts w:ascii="Times New Roman" w:hAnsi="Times New Roman" w:cs="Times New Roman"/>
                                  <w:bCs/>
                                  <w:sz w:val="15"/>
                                </w:rPr>
                                <w:t>власності</w:t>
                              </w:r>
                            </w:p>
                            <w:p w:rsidR="00BE40F8" w:rsidRPr="003F23FE" w:rsidRDefault="00BE40F8" w:rsidP="00B233DE">
                              <w:pPr>
                                <w:spacing w:after="200" w:line="276" w:lineRule="auto"/>
                                <w:rPr>
                                  <w:rFonts w:ascii="Calibri" w:hAnsi="Calibri" w:cs="Calibri"/>
                                  <w:sz w:val="14"/>
                                </w:rPr>
                              </w:pPr>
                            </w:p>
                          </w:txbxContent>
                        </wps:txbx>
                        <wps:bodyPr rot="0" vert="horz" wrap="square" lIns="57622" tIns="28812" rIns="57622" bIns="28812" anchor="t" anchorCtr="0" upright="1">
                          <a:noAutofit/>
                        </wps:bodyPr>
                      </wps:wsp>
                      <wps:wsp>
                        <wps:cNvPr id="110" name="AutoShape 270"/>
                        <wps:cNvSpPr>
                          <a:spLocks noChangeArrowheads="1"/>
                        </wps:cNvSpPr>
                        <wps:spPr bwMode="auto">
                          <a:xfrm>
                            <a:off x="4678" y="-2169"/>
                            <a:ext cx="2682" cy="976"/>
                          </a:xfrm>
                          <a:prstGeom prst="roundRect">
                            <a:avLst>
                              <a:gd name="adj" fmla="val 16667"/>
                            </a:avLst>
                          </a:prstGeom>
                          <a:solidFill>
                            <a:srgbClr val="FFFFFF"/>
                          </a:solidFill>
                          <a:ln w="28575">
                            <a:solidFill>
                              <a:srgbClr val="000000"/>
                            </a:solidFill>
                            <a:round/>
                            <a:headEnd/>
                            <a:tailEnd/>
                          </a:ln>
                        </wps:spPr>
                        <wps:txbx>
                          <w:txbxContent>
                            <w:p w:rsidR="00BE40F8" w:rsidRPr="009514C6" w:rsidRDefault="00BE40F8" w:rsidP="00B233DE">
                              <w:pPr>
                                <w:ind w:firstLine="0"/>
                                <w:jc w:val="center"/>
                                <w:rPr>
                                  <w:rFonts w:ascii="Times New Roman" w:hAnsi="Times New Roman" w:cs="Times New Roman"/>
                                  <w:bCs/>
                                  <w:sz w:val="15"/>
                                </w:rPr>
                              </w:pPr>
                              <w:r w:rsidRPr="009514C6">
                                <w:rPr>
                                  <w:rFonts w:ascii="Times New Roman" w:hAnsi="Times New Roman" w:cs="Times New Roman"/>
                                  <w:bCs/>
                                  <w:sz w:val="15"/>
                                </w:rPr>
                                <w:t>Основні інститути: цінності,</w:t>
                              </w:r>
                            </w:p>
                            <w:p w:rsidR="00BE40F8" w:rsidRPr="009514C6" w:rsidRDefault="00BE40F8" w:rsidP="00B233DE">
                              <w:pPr>
                                <w:ind w:firstLine="0"/>
                                <w:jc w:val="center"/>
                                <w:rPr>
                                  <w:rFonts w:ascii="Times New Roman" w:hAnsi="Times New Roman" w:cs="Times New Roman"/>
                                  <w:bCs/>
                                  <w:sz w:val="15"/>
                                </w:rPr>
                              </w:pPr>
                              <w:r w:rsidRPr="009514C6">
                                <w:rPr>
                                  <w:rFonts w:ascii="Times New Roman" w:hAnsi="Times New Roman" w:cs="Times New Roman"/>
                                  <w:bCs/>
                                  <w:sz w:val="15"/>
                                </w:rPr>
                                <w:t>організаційні рутини,</w:t>
                              </w:r>
                            </w:p>
                            <w:p w:rsidR="00BE40F8" w:rsidRPr="003F23FE" w:rsidRDefault="00BE40F8" w:rsidP="00B233DE">
                              <w:pPr>
                                <w:ind w:firstLine="0"/>
                                <w:jc w:val="center"/>
                                <w:rPr>
                                  <w:bCs/>
                                  <w:sz w:val="15"/>
                                </w:rPr>
                              </w:pPr>
                              <w:r w:rsidRPr="009514C6">
                                <w:rPr>
                                  <w:rFonts w:ascii="Times New Roman" w:hAnsi="Times New Roman" w:cs="Times New Roman"/>
                                  <w:bCs/>
                                  <w:sz w:val="15"/>
                                </w:rPr>
                                <w:t>формальні й неформальні інститути</w:t>
                              </w:r>
                            </w:p>
                            <w:p w:rsidR="00BE40F8" w:rsidRPr="003F23FE" w:rsidRDefault="00BE40F8" w:rsidP="00B233DE">
                              <w:pPr>
                                <w:spacing w:after="200" w:line="276" w:lineRule="auto"/>
                                <w:rPr>
                                  <w:rFonts w:ascii="Calibri" w:hAnsi="Calibri" w:cs="Calibri"/>
                                  <w:sz w:val="14"/>
                                </w:rPr>
                              </w:pPr>
                            </w:p>
                          </w:txbxContent>
                        </wps:txbx>
                        <wps:bodyPr rot="0" vert="horz" wrap="square" lIns="57622" tIns="28812" rIns="57622" bIns="28812" anchor="t" anchorCtr="0" upright="1">
                          <a:noAutofit/>
                        </wps:bodyPr>
                      </wps:wsp>
                      <wps:wsp>
                        <wps:cNvPr id="111" name="AutoShape 271"/>
                        <wps:cNvSpPr>
                          <a:spLocks noChangeArrowheads="1"/>
                        </wps:cNvSpPr>
                        <wps:spPr bwMode="auto">
                          <a:xfrm>
                            <a:off x="2419" y="200"/>
                            <a:ext cx="1977" cy="1108"/>
                          </a:xfrm>
                          <a:prstGeom prst="roundRect">
                            <a:avLst>
                              <a:gd name="adj" fmla="val 16667"/>
                            </a:avLst>
                          </a:prstGeom>
                          <a:solidFill>
                            <a:srgbClr val="FFFFFF"/>
                          </a:solidFill>
                          <a:ln w="28575">
                            <a:solidFill>
                              <a:srgbClr val="000000"/>
                            </a:solidFill>
                            <a:round/>
                            <a:headEnd/>
                            <a:tailEnd/>
                          </a:ln>
                        </wps:spPr>
                        <wps:txbx>
                          <w:txbxContent>
                            <w:p w:rsidR="00BE40F8" w:rsidRPr="003F23FE" w:rsidRDefault="00BE40F8" w:rsidP="00B233DE">
                              <w:pPr>
                                <w:ind w:firstLine="0"/>
                                <w:jc w:val="center"/>
                                <w:rPr>
                                  <w:rFonts w:ascii="Calibri" w:hAnsi="Calibri" w:cs="Calibri"/>
                                  <w:sz w:val="14"/>
                                </w:rPr>
                              </w:pPr>
                              <w:r w:rsidRPr="009514C6">
                                <w:rPr>
                                  <w:rFonts w:ascii="Times New Roman" w:hAnsi="Times New Roman" w:cs="Times New Roman"/>
                                  <w:bCs/>
                                  <w:sz w:val="15"/>
                                </w:rPr>
                                <w:t>Інститути, які визначають мобільність суб'єктів і трансакційні</w:t>
                              </w:r>
                              <w:r w:rsidRPr="009514C6">
                                <w:rPr>
                                  <w:rFonts w:ascii="Times New Roman" w:hAnsi="Times New Roman" w:cs="Times New Roman"/>
                                  <w:bCs/>
                                  <w:sz w:val="14"/>
                                </w:rPr>
                                <w:t xml:space="preserve"> </w:t>
                              </w:r>
                              <w:r w:rsidRPr="009514C6">
                                <w:rPr>
                                  <w:rFonts w:ascii="Times New Roman" w:hAnsi="Times New Roman" w:cs="Times New Roman"/>
                                  <w:bCs/>
                                  <w:sz w:val="15"/>
                                </w:rPr>
                                <w:t>бар'єри на ринку</w:t>
                              </w:r>
                              <w:r w:rsidRPr="009514C6">
                                <w:rPr>
                                  <w:rFonts w:ascii="Times New Roman" w:hAnsi="Times New Roman" w:cs="Times New Roman"/>
                                  <w:bCs/>
                                  <w:sz w:val="14"/>
                                </w:rPr>
                                <w:t xml:space="preserve"> </w:t>
                              </w:r>
                              <w:r w:rsidRPr="009514C6">
                                <w:rPr>
                                  <w:rFonts w:ascii="Times New Roman" w:hAnsi="Times New Roman" w:cs="Times New Roman"/>
                                  <w:bCs/>
                                  <w:sz w:val="15"/>
                                </w:rPr>
                                <w:t>праці</w:t>
                              </w:r>
                            </w:p>
                          </w:txbxContent>
                        </wps:txbx>
                        <wps:bodyPr rot="0" vert="horz" wrap="square" lIns="0" tIns="0" rIns="0" bIns="0" anchor="t" anchorCtr="0" upright="1">
                          <a:noAutofit/>
                        </wps:bodyPr>
                      </wps:wsp>
                      <wps:wsp>
                        <wps:cNvPr id="112" name="AutoShape 272"/>
                        <wps:cNvSpPr>
                          <a:spLocks noChangeArrowheads="1"/>
                        </wps:cNvSpPr>
                        <wps:spPr bwMode="auto">
                          <a:xfrm>
                            <a:off x="2419" y="-1193"/>
                            <a:ext cx="1977" cy="1255"/>
                          </a:xfrm>
                          <a:prstGeom prst="roundRect">
                            <a:avLst>
                              <a:gd name="adj" fmla="val 16667"/>
                            </a:avLst>
                          </a:prstGeom>
                          <a:solidFill>
                            <a:srgbClr val="FFFFFF"/>
                          </a:solidFill>
                          <a:ln w="28575">
                            <a:solidFill>
                              <a:srgbClr val="000000"/>
                            </a:solidFill>
                            <a:round/>
                            <a:headEnd/>
                            <a:tailEnd/>
                          </a:ln>
                        </wps:spPr>
                        <wps:txbx>
                          <w:txbxContent>
                            <w:p w:rsidR="00BE40F8" w:rsidRPr="009514C6" w:rsidRDefault="00BE40F8" w:rsidP="00B233DE">
                              <w:pPr>
                                <w:spacing w:after="200" w:line="276" w:lineRule="auto"/>
                                <w:ind w:firstLine="0"/>
                                <w:jc w:val="center"/>
                                <w:rPr>
                                  <w:rFonts w:ascii="Times New Roman" w:hAnsi="Times New Roman" w:cs="Times New Roman"/>
                                  <w:bCs/>
                                  <w:sz w:val="15"/>
                                </w:rPr>
                              </w:pPr>
                              <w:r w:rsidRPr="009514C6">
                                <w:rPr>
                                  <w:rFonts w:ascii="Times New Roman" w:hAnsi="Times New Roman" w:cs="Times New Roman"/>
                                  <w:bCs/>
                                  <w:sz w:val="15"/>
                                </w:rPr>
                                <w:t>Інститути адміністративного розподілу ресурсів</w:t>
                              </w:r>
                              <w:r w:rsidRPr="009514C6">
                                <w:rPr>
                                  <w:rFonts w:ascii="Times New Roman" w:hAnsi="Times New Roman" w:cs="Times New Roman"/>
                                  <w:bCs/>
                                  <w:sz w:val="14"/>
                                </w:rPr>
                                <w:t xml:space="preserve"> </w:t>
                              </w:r>
                              <w:r w:rsidRPr="009514C6">
                                <w:rPr>
                                  <w:rFonts w:ascii="Times New Roman" w:hAnsi="Times New Roman" w:cs="Times New Roman"/>
                                  <w:bCs/>
                                  <w:sz w:val="15"/>
                                </w:rPr>
                                <w:t>усередині підприємства</w:t>
                              </w:r>
                            </w:p>
                            <w:p w:rsidR="00BE40F8" w:rsidRPr="003F23FE" w:rsidRDefault="00BE40F8" w:rsidP="00B233DE">
                              <w:pPr>
                                <w:spacing w:after="200" w:line="276" w:lineRule="auto"/>
                                <w:rPr>
                                  <w:rFonts w:ascii="Calibri" w:hAnsi="Calibri" w:cs="Calibri"/>
                                  <w:sz w:val="14"/>
                                </w:rPr>
                              </w:pPr>
                            </w:p>
                          </w:txbxContent>
                        </wps:txbx>
                        <wps:bodyPr rot="0" vert="horz" wrap="square" lIns="57622" tIns="28812" rIns="57622" bIns="28812" anchor="t" anchorCtr="0" upright="1">
                          <a:noAutofit/>
                        </wps:bodyPr>
                      </wps:wsp>
                      <wps:wsp>
                        <wps:cNvPr id="113" name="AutoShape 273"/>
                        <wps:cNvSpPr>
                          <a:spLocks noChangeArrowheads="1"/>
                        </wps:cNvSpPr>
                        <wps:spPr bwMode="auto">
                          <a:xfrm>
                            <a:off x="2419" y="-2169"/>
                            <a:ext cx="2118" cy="836"/>
                          </a:xfrm>
                          <a:prstGeom prst="roundRect">
                            <a:avLst>
                              <a:gd name="adj" fmla="val 16667"/>
                            </a:avLst>
                          </a:prstGeom>
                          <a:solidFill>
                            <a:srgbClr val="FFFFFF"/>
                          </a:solidFill>
                          <a:ln w="28575">
                            <a:solidFill>
                              <a:srgbClr val="000000"/>
                            </a:solidFill>
                            <a:round/>
                            <a:headEnd/>
                            <a:tailEnd/>
                          </a:ln>
                        </wps:spPr>
                        <wps:txbx>
                          <w:txbxContent>
                            <w:p w:rsidR="00BE40F8" w:rsidRPr="009514C6" w:rsidRDefault="00BE40F8" w:rsidP="00B233DE">
                              <w:pPr>
                                <w:spacing w:after="200" w:line="276" w:lineRule="auto"/>
                                <w:ind w:firstLine="0"/>
                                <w:jc w:val="center"/>
                                <w:rPr>
                                  <w:rFonts w:ascii="Times New Roman" w:hAnsi="Times New Roman" w:cs="Times New Roman"/>
                                  <w:bCs/>
                                  <w:sz w:val="15"/>
                                </w:rPr>
                              </w:pPr>
                              <w:r>
                                <w:rPr>
                                  <w:rFonts w:ascii="Times New Roman" w:hAnsi="Times New Roman" w:cs="Times New Roman"/>
                                  <w:bCs/>
                                  <w:sz w:val="15"/>
                                </w:rPr>
                                <w:t>Ін</w:t>
                              </w:r>
                              <w:r w:rsidRPr="009514C6">
                                <w:rPr>
                                  <w:rFonts w:ascii="Times New Roman" w:hAnsi="Times New Roman" w:cs="Times New Roman"/>
                                  <w:bCs/>
                                  <w:sz w:val="15"/>
                                </w:rPr>
                                <w:t>ститути державного регулювання ринку праці</w:t>
                              </w:r>
                            </w:p>
                            <w:p w:rsidR="00BE40F8" w:rsidRPr="003F23FE" w:rsidRDefault="00BE40F8" w:rsidP="00B233DE">
                              <w:pPr>
                                <w:spacing w:after="200" w:line="276" w:lineRule="auto"/>
                                <w:rPr>
                                  <w:rFonts w:ascii="Calibri" w:hAnsi="Calibri" w:cs="Calibri"/>
                                  <w:sz w:val="14"/>
                                </w:rPr>
                              </w:pPr>
                            </w:p>
                          </w:txbxContent>
                        </wps:txbx>
                        <wps:bodyPr rot="0" vert="horz" wrap="square" lIns="57622" tIns="28812" rIns="57622" bIns="28812" anchor="t" anchorCtr="0" upright="1">
                          <a:noAutofit/>
                        </wps:bodyPr>
                      </wps:wsp>
                      <wps:wsp>
                        <wps:cNvPr id="114" name="AutoShape 274"/>
                        <wps:cNvSpPr>
                          <a:spLocks noChangeArrowheads="1"/>
                        </wps:cNvSpPr>
                        <wps:spPr bwMode="auto">
                          <a:xfrm>
                            <a:off x="7925" y="61"/>
                            <a:ext cx="2118" cy="975"/>
                          </a:xfrm>
                          <a:prstGeom prst="roundRect">
                            <a:avLst>
                              <a:gd name="adj" fmla="val 16667"/>
                            </a:avLst>
                          </a:prstGeom>
                          <a:solidFill>
                            <a:srgbClr val="FFFFFF"/>
                          </a:solidFill>
                          <a:ln w="28575">
                            <a:solidFill>
                              <a:srgbClr val="000000"/>
                            </a:solidFill>
                            <a:round/>
                            <a:headEnd/>
                            <a:tailEnd/>
                          </a:ln>
                        </wps:spPr>
                        <wps:txbx>
                          <w:txbxContent>
                            <w:p w:rsidR="00BE40F8" w:rsidRPr="009514C6" w:rsidRDefault="00BE40F8" w:rsidP="00B233DE">
                              <w:pPr>
                                <w:spacing w:after="200" w:line="276" w:lineRule="auto"/>
                                <w:ind w:firstLine="0"/>
                                <w:jc w:val="center"/>
                                <w:rPr>
                                  <w:rFonts w:ascii="Times New Roman" w:hAnsi="Times New Roman" w:cs="Times New Roman"/>
                                  <w:bCs/>
                                  <w:sz w:val="15"/>
                                </w:rPr>
                              </w:pPr>
                              <w:r w:rsidRPr="009514C6">
                                <w:rPr>
                                  <w:rFonts w:ascii="Times New Roman" w:hAnsi="Times New Roman" w:cs="Times New Roman"/>
                                  <w:bCs/>
                                  <w:sz w:val="15"/>
                                </w:rPr>
                                <w:t>Інститути укладання контракту, ведення переговорів</w:t>
                              </w:r>
                            </w:p>
                            <w:p w:rsidR="00BE40F8" w:rsidRPr="003F23FE" w:rsidRDefault="00BE40F8" w:rsidP="00B233DE">
                              <w:pPr>
                                <w:spacing w:after="200" w:line="276" w:lineRule="auto"/>
                                <w:rPr>
                                  <w:rFonts w:ascii="Calibri" w:hAnsi="Calibri" w:cs="Calibri"/>
                                  <w:sz w:val="14"/>
                                </w:rPr>
                              </w:pPr>
                            </w:p>
                          </w:txbxContent>
                        </wps:txbx>
                        <wps:bodyPr rot="0" vert="horz" wrap="square" lIns="57622" tIns="28812" rIns="57622" bIns="28812" anchor="t" anchorCtr="0" upright="1">
                          <a:noAutofit/>
                        </wps:bodyPr>
                      </wps:wsp>
                      <wps:wsp>
                        <wps:cNvPr id="115" name="AutoShape 275"/>
                        <wps:cNvSpPr>
                          <a:spLocks noChangeArrowheads="1"/>
                        </wps:cNvSpPr>
                        <wps:spPr bwMode="auto">
                          <a:xfrm>
                            <a:off x="7925" y="-1193"/>
                            <a:ext cx="1977" cy="1118"/>
                          </a:xfrm>
                          <a:prstGeom prst="roundRect">
                            <a:avLst>
                              <a:gd name="adj" fmla="val 16667"/>
                            </a:avLst>
                          </a:prstGeom>
                          <a:solidFill>
                            <a:srgbClr val="FFFFFF"/>
                          </a:solidFill>
                          <a:ln w="28575">
                            <a:solidFill>
                              <a:srgbClr val="000000"/>
                            </a:solidFill>
                            <a:round/>
                            <a:headEnd/>
                            <a:tailEnd/>
                          </a:ln>
                        </wps:spPr>
                        <wps:txbx>
                          <w:txbxContent>
                            <w:p w:rsidR="00BE40F8" w:rsidRPr="003F23FE" w:rsidRDefault="00BE40F8" w:rsidP="00B233DE">
                              <w:pPr>
                                <w:spacing w:after="200" w:line="276" w:lineRule="auto"/>
                                <w:ind w:firstLine="0"/>
                                <w:jc w:val="center"/>
                                <w:rPr>
                                  <w:rFonts w:ascii="Calibri" w:hAnsi="Calibri" w:cs="Calibri"/>
                                  <w:sz w:val="14"/>
                                </w:rPr>
                              </w:pPr>
                              <w:r w:rsidRPr="009514C6">
                                <w:rPr>
                                  <w:rFonts w:ascii="Times New Roman" w:hAnsi="Times New Roman" w:cs="Times New Roman"/>
                                  <w:bCs/>
                                  <w:sz w:val="15"/>
                                </w:rPr>
                                <w:t>Інститути збору та відбору інформації</w:t>
                              </w:r>
                              <w:r w:rsidRPr="009514C6">
                                <w:rPr>
                                  <w:rFonts w:ascii="Times New Roman" w:hAnsi="Times New Roman" w:cs="Times New Roman"/>
                                  <w:sz w:val="15"/>
                                </w:rPr>
                                <w:t xml:space="preserve"> </w:t>
                              </w:r>
                            </w:p>
                          </w:txbxContent>
                        </wps:txbx>
                        <wps:bodyPr rot="0" vert="horz" wrap="square" lIns="57622" tIns="28812" rIns="57622" bIns="28812" anchor="t" anchorCtr="0" upright="1">
                          <a:noAutofit/>
                        </wps:bodyPr>
                      </wps:wsp>
                      <wps:wsp>
                        <wps:cNvPr id="116" name="AutoShape 276"/>
                        <wps:cNvSpPr>
                          <a:spLocks noChangeArrowheads="1"/>
                        </wps:cNvSpPr>
                        <wps:spPr bwMode="auto">
                          <a:xfrm>
                            <a:off x="7784" y="-2030"/>
                            <a:ext cx="2118" cy="697"/>
                          </a:xfrm>
                          <a:prstGeom prst="roundRect">
                            <a:avLst>
                              <a:gd name="adj" fmla="val 16667"/>
                            </a:avLst>
                          </a:prstGeom>
                          <a:solidFill>
                            <a:srgbClr val="FFFFFF"/>
                          </a:solidFill>
                          <a:ln w="28575">
                            <a:solidFill>
                              <a:srgbClr val="000000"/>
                            </a:solidFill>
                            <a:round/>
                            <a:headEnd/>
                            <a:tailEnd/>
                          </a:ln>
                        </wps:spPr>
                        <wps:txbx>
                          <w:txbxContent>
                            <w:p w:rsidR="00BE40F8" w:rsidRPr="009514C6" w:rsidRDefault="00BE40F8" w:rsidP="00B233DE">
                              <w:pPr>
                                <w:ind w:firstLine="0"/>
                                <w:jc w:val="center"/>
                                <w:rPr>
                                  <w:rFonts w:ascii="Times New Roman" w:hAnsi="Times New Roman" w:cs="Times New Roman"/>
                                  <w:bCs/>
                                  <w:sz w:val="15"/>
                                </w:rPr>
                              </w:pPr>
                              <w:r w:rsidRPr="009514C6">
                                <w:rPr>
                                  <w:rFonts w:ascii="Times New Roman" w:hAnsi="Times New Roman" w:cs="Times New Roman"/>
                                  <w:bCs/>
                                  <w:sz w:val="15"/>
                                </w:rPr>
                                <w:t>Інститути</w:t>
                              </w:r>
                            </w:p>
                            <w:p w:rsidR="00BE40F8" w:rsidRPr="003F23FE" w:rsidRDefault="00BE40F8" w:rsidP="00B233DE">
                              <w:pPr>
                                <w:ind w:firstLine="0"/>
                                <w:jc w:val="center"/>
                                <w:rPr>
                                  <w:rFonts w:ascii="Calibri" w:hAnsi="Calibri" w:cs="Calibri"/>
                                  <w:sz w:val="14"/>
                                </w:rPr>
                              </w:pPr>
                              <w:r w:rsidRPr="009514C6">
                                <w:rPr>
                                  <w:rFonts w:ascii="Times New Roman" w:hAnsi="Times New Roman" w:cs="Times New Roman"/>
                                  <w:bCs/>
                                  <w:sz w:val="15"/>
                                </w:rPr>
                                <w:t>пошуку контрагента</w:t>
                              </w:r>
                            </w:p>
                          </w:txbxContent>
                        </wps:txbx>
                        <wps:bodyPr rot="0" vert="horz" wrap="square" lIns="57622" tIns="28812" rIns="57622" bIns="28812" anchor="t" anchorCtr="0" upright="1">
                          <a:noAutofit/>
                        </wps:bodyPr>
                      </wps:wsp>
                      <wps:wsp>
                        <wps:cNvPr id="117" name="Line 277"/>
                        <wps:cNvCnPr/>
                        <wps:spPr bwMode="auto">
                          <a:xfrm>
                            <a:off x="5949" y="61"/>
                            <a:ext cx="1" cy="279"/>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8" name="Line 278"/>
                        <wps:cNvCnPr/>
                        <wps:spPr bwMode="auto">
                          <a:xfrm flipV="1">
                            <a:off x="5949" y="-1193"/>
                            <a:ext cx="1" cy="278"/>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9" name="Line 279"/>
                        <wps:cNvCnPr/>
                        <wps:spPr bwMode="auto">
                          <a:xfrm flipH="1" flipV="1">
                            <a:off x="4255" y="-1333"/>
                            <a:ext cx="705" cy="697"/>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0" name="Line 280"/>
                        <wps:cNvCnPr/>
                        <wps:spPr bwMode="auto">
                          <a:xfrm flipH="1">
                            <a:off x="4396" y="-79"/>
                            <a:ext cx="564" cy="837"/>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1" name="Line 281"/>
                        <wps:cNvCnPr/>
                        <wps:spPr bwMode="auto">
                          <a:xfrm flipH="1">
                            <a:off x="4396" y="-357"/>
                            <a:ext cx="564" cy="1"/>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9" name="Line 282"/>
                        <wps:cNvCnPr/>
                        <wps:spPr bwMode="auto">
                          <a:xfrm flipV="1">
                            <a:off x="7078" y="-497"/>
                            <a:ext cx="847" cy="2"/>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 name="Line 283"/>
                        <wps:cNvCnPr/>
                        <wps:spPr bwMode="auto">
                          <a:xfrm flipV="1">
                            <a:off x="7078" y="-1612"/>
                            <a:ext cx="706" cy="976"/>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1" name="Line 284"/>
                        <wps:cNvCnPr/>
                        <wps:spPr bwMode="auto">
                          <a:xfrm>
                            <a:off x="7078" y="-357"/>
                            <a:ext cx="847" cy="837"/>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anchor>
            </w:drawing>
          </mc:Choice>
          <mc:Fallback>
            <w:pict>
              <v:group w14:anchorId="41B4926C" id="Group 267" o:spid="_x0000_s1172" style="position:absolute;left:0;text-align:left;margin-left:3.8pt;margin-top:2.8pt;width:306.45pt;height:166pt;z-index:251687936;mso-position-horizontal-relative:text;mso-position-vertical-relative:text" coordorigin="2419,-2169" coordsize="7624,3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">
                <v:roundrect id="AutoShape 268" o:spid="_x0000_s1173" style="position:absolute;left:4960;top:-915;width:2119;height:97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" strokeweight="3pt">
                  <v:shadow opacity=".5" offset="6pt,-6pt"/>
                  <v:textbox inset="1.60061mm,.80033mm,1.60061mm,.80033mm">
                    <w:txbxContent>
                      <w:p w:rsidR="00BE40F8" w:rsidRPr="009514C6" w:rsidRDefault="00BE40F8" w:rsidP="00B233DE">
                        <w:pPr>
                          <w:ind w:firstLine="0"/>
                          <w:jc w:val="center"/>
                          <w:rPr>
                            <w:rFonts w:ascii="Times New Roman" w:hAnsi="Times New Roman" w:cs="Times New Roman"/>
                            <w:bCs/>
                            <w:sz w:val="18"/>
                            <w:szCs w:val="28"/>
                          </w:rPr>
                        </w:pPr>
                        <w:r w:rsidRPr="009514C6">
                          <w:rPr>
                            <w:rFonts w:ascii="Times New Roman" w:hAnsi="Times New Roman" w:cs="Times New Roman"/>
                            <w:bCs/>
                            <w:sz w:val="18"/>
                            <w:szCs w:val="28"/>
                          </w:rPr>
                          <w:t>Інститути</w:t>
                        </w:r>
                      </w:p>
                      <w:p w:rsidR="00BE40F8" w:rsidRPr="009514C6" w:rsidRDefault="00BE40F8" w:rsidP="00B233DE">
                        <w:pPr>
                          <w:ind w:firstLine="0"/>
                          <w:jc w:val="center"/>
                          <w:rPr>
                            <w:rFonts w:ascii="Times New Roman" w:hAnsi="Times New Roman" w:cs="Times New Roman"/>
                            <w:sz w:val="14"/>
                          </w:rPr>
                        </w:pPr>
                        <w:r w:rsidRPr="009514C6">
                          <w:rPr>
                            <w:rFonts w:ascii="Times New Roman" w:hAnsi="Times New Roman" w:cs="Times New Roman"/>
                            <w:bCs/>
                            <w:sz w:val="18"/>
                            <w:szCs w:val="28"/>
                          </w:rPr>
                          <w:t>ринку праці</w:t>
                        </w:r>
                      </w:p>
                    </w:txbxContent>
                  </v:textbox>
                </v:roundrect>
                <v:roundrect id="AutoShape 269" o:spid="_x0000_s1174" style="position:absolute;left:4819;top:340;width:2400;height:83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" strokeweight="2.25pt">
                  <v:textbox inset="1.60061mm,.80033mm,1.60061mm,.80033mm">
                    <w:txbxContent>
                      <w:p w:rsidR="00BE40F8" w:rsidRPr="009514C6" w:rsidRDefault="00BE40F8" w:rsidP="00B233DE">
                        <w:pPr>
                          <w:spacing w:after="200" w:line="276" w:lineRule="auto"/>
                          <w:ind w:firstLine="0"/>
                          <w:jc w:val="center"/>
                          <w:rPr>
                            <w:rFonts w:ascii="Times New Roman" w:hAnsi="Times New Roman" w:cs="Times New Roman"/>
                            <w:bCs/>
                            <w:sz w:val="15"/>
                          </w:rPr>
                        </w:pPr>
                        <w:r w:rsidRPr="009514C6">
                          <w:rPr>
                            <w:rFonts w:ascii="Times New Roman" w:hAnsi="Times New Roman" w:cs="Times New Roman"/>
                            <w:bCs/>
                            <w:sz w:val="15"/>
                          </w:rPr>
                          <w:t>Інститути контролю за дотриманням контрактів, захисту</w:t>
                        </w:r>
                        <w:r w:rsidRPr="009514C6">
                          <w:rPr>
                            <w:rFonts w:ascii="Times New Roman" w:hAnsi="Times New Roman" w:cs="Times New Roman"/>
                            <w:sz w:val="15"/>
                          </w:rPr>
                          <w:t xml:space="preserve"> </w:t>
                        </w:r>
                        <w:r w:rsidRPr="009514C6">
                          <w:rPr>
                            <w:rFonts w:ascii="Times New Roman" w:hAnsi="Times New Roman" w:cs="Times New Roman"/>
                            <w:bCs/>
                            <w:sz w:val="15"/>
                          </w:rPr>
                          <w:t>і прав</w:t>
                        </w:r>
                        <w:r w:rsidRPr="009514C6">
                          <w:rPr>
                            <w:rFonts w:ascii="Times New Roman" w:hAnsi="Times New Roman" w:cs="Times New Roman"/>
                            <w:bCs/>
                            <w:sz w:val="14"/>
                          </w:rPr>
                          <w:t xml:space="preserve"> </w:t>
                        </w:r>
                        <w:r w:rsidRPr="009514C6">
                          <w:rPr>
                            <w:rFonts w:ascii="Times New Roman" w:hAnsi="Times New Roman" w:cs="Times New Roman"/>
                            <w:bCs/>
                            <w:sz w:val="15"/>
                          </w:rPr>
                          <w:t>власності</w:t>
                        </w:r>
                      </w:p>
                      <w:p w:rsidR="00BE40F8" w:rsidRPr="003F23FE" w:rsidRDefault="00BE40F8" w:rsidP="00B233DE">
                        <w:pPr>
                          <w:spacing w:after="200" w:line="276" w:lineRule="auto"/>
                          <w:rPr>
                            <w:rFonts w:ascii="Calibri" w:hAnsi="Calibri" w:cs="Calibri"/>
                            <w:sz w:val="14"/>
                          </w:rPr>
                        </w:pPr>
                      </w:p>
                    </w:txbxContent>
                  </v:textbox>
                </v:roundrect>
                <v:roundrect id="AutoShape 270" o:spid="_x0000_s1175" style="position:absolute;left:4678;top:-2169;width:2682;height:97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" strokeweight="2.25pt">
                  <v:textbox inset="1.60061mm,.80033mm,1.60061mm,.80033mm">
                    <w:txbxContent>
                      <w:p w:rsidR="00BE40F8" w:rsidRPr="009514C6" w:rsidRDefault="00BE40F8" w:rsidP="00B233DE">
                        <w:pPr>
                          <w:ind w:firstLine="0"/>
                          <w:jc w:val="center"/>
                          <w:rPr>
                            <w:rFonts w:ascii="Times New Roman" w:hAnsi="Times New Roman" w:cs="Times New Roman"/>
                            <w:bCs/>
                            <w:sz w:val="15"/>
                          </w:rPr>
                        </w:pPr>
                        <w:r w:rsidRPr="009514C6">
                          <w:rPr>
                            <w:rFonts w:ascii="Times New Roman" w:hAnsi="Times New Roman" w:cs="Times New Roman"/>
                            <w:bCs/>
                            <w:sz w:val="15"/>
                          </w:rPr>
                          <w:t>Основні інститути: цінності,</w:t>
                        </w:r>
                      </w:p>
                      <w:p w:rsidR="00BE40F8" w:rsidRPr="009514C6" w:rsidRDefault="00BE40F8" w:rsidP="00B233DE">
                        <w:pPr>
                          <w:ind w:firstLine="0"/>
                          <w:jc w:val="center"/>
                          <w:rPr>
                            <w:rFonts w:ascii="Times New Roman" w:hAnsi="Times New Roman" w:cs="Times New Roman"/>
                            <w:bCs/>
                            <w:sz w:val="15"/>
                          </w:rPr>
                        </w:pPr>
                        <w:r w:rsidRPr="009514C6">
                          <w:rPr>
                            <w:rFonts w:ascii="Times New Roman" w:hAnsi="Times New Roman" w:cs="Times New Roman"/>
                            <w:bCs/>
                            <w:sz w:val="15"/>
                          </w:rPr>
                          <w:t>організаційні рутини,</w:t>
                        </w:r>
                      </w:p>
                      <w:p w:rsidR="00BE40F8" w:rsidRPr="003F23FE" w:rsidRDefault="00BE40F8" w:rsidP="00B233DE">
                        <w:pPr>
                          <w:ind w:firstLine="0"/>
                          <w:jc w:val="center"/>
                          <w:rPr>
                            <w:bCs/>
                            <w:sz w:val="15"/>
                          </w:rPr>
                        </w:pPr>
                        <w:r w:rsidRPr="009514C6">
                          <w:rPr>
                            <w:rFonts w:ascii="Times New Roman" w:hAnsi="Times New Roman" w:cs="Times New Roman"/>
                            <w:bCs/>
                            <w:sz w:val="15"/>
                          </w:rPr>
                          <w:t>формальні й неформальні інститути</w:t>
                        </w:r>
                      </w:p>
                      <w:p w:rsidR="00BE40F8" w:rsidRPr="003F23FE" w:rsidRDefault="00BE40F8" w:rsidP="00B233DE">
                        <w:pPr>
                          <w:spacing w:after="200" w:line="276" w:lineRule="auto"/>
                          <w:rPr>
                            <w:rFonts w:ascii="Calibri" w:hAnsi="Calibri" w:cs="Calibri"/>
                            <w:sz w:val="14"/>
                          </w:rPr>
                        </w:pPr>
                      </w:p>
                    </w:txbxContent>
                  </v:textbox>
                </v:roundrect>
                <v:roundrect id="AutoShape 271" o:spid="_x0000_s1176" style="position:absolute;left:2419;top:200;width:1977;height:110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" strokeweight="2.25pt">
                  <v:textbox inset="0,0,0,0">
                    <w:txbxContent>
                      <w:p w:rsidR="00BE40F8" w:rsidRPr="003F23FE" w:rsidRDefault="00BE40F8" w:rsidP="00B233DE">
                        <w:pPr>
                          <w:ind w:firstLine="0"/>
                          <w:jc w:val="center"/>
                          <w:rPr>
                            <w:rFonts w:ascii="Calibri" w:hAnsi="Calibri" w:cs="Calibri"/>
                            <w:sz w:val="14"/>
                          </w:rPr>
                        </w:pPr>
                        <w:r w:rsidRPr="009514C6">
                          <w:rPr>
                            <w:rFonts w:ascii="Times New Roman" w:hAnsi="Times New Roman" w:cs="Times New Roman"/>
                            <w:bCs/>
                            <w:sz w:val="15"/>
                          </w:rPr>
                          <w:t>Інститути, які визначають мобільність суб'єктів і трансакційні</w:t>
                        </w:r>
                        <w:r w:rsidRPr="009514C6">
                          <w:rPr>
                            <w:rFonts w:ascii="Times New Roman" w:hAnsi="Times New Roman" w:cs="Times New Roman"/>
                            <w:bCs/>
                            <w:sz w:val="14"/>
                          </w:rPr>
                          <w:t xml:space="preserve"> </w:t>
                        </w:r>
                        <w:r w:rsidRPr="009514C6">
                          <w:rPr>
                            <w:rFonts w:ascii="Times New Roman" w:hAnsi="Times New Roman" w:cs="Times New Roman"/>
                            <w:bCs/>
                            <w:sz w:val="15"/>
                          </w:rPr>
                          <w:t>бар'єри на ринку</w:t>
                        </w:r>
                        <w:r w:rsidRPr="009514C6">
                          <w:rPr>
                            <w:rFonts w:ascii="Times New Roman" w:hAnsi="Times New Roman" w:cs="Times New Roman"/>
                            <w:bCs/>
                            <w:sz w:val="14"/>
                          </w:rPr>
                          <w:t xml:space="preserve"> </w:t>
                        </w:r>
                        <w:r w:rsidRPr="009514C6">
                          <w:rPr>
                            <w:rFonts w:ascii="Times New Roman" w:hAnsi="Times New Roman" w:cs="Times New Roman"/>
                            <w:bCs/>
                            <w:sz w:val="15"/>
                          </w:rPr>
                          <w:t>праці</w:t>
                        </w:r>
                      </w:p>
                    </w:txbxContent>
                  </v:textbox>
                </v:roundrect>
                <v:roundrect id="AutoShape 272" o:spid="_x0000_s1177" style="position:absolute;left:2419;top:-1193;width:1977;height:125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" strokeweight="2.25pt">
                  <v:textbox inset="1.60061mm,.80033mm,1.60061mm,.80033mm">
                    <w:txbxContent>
                      <w:p w:rsidR="00BE40F8" w:rsidRPr="009514C6" w:rsidRDefault="00BE40F8" w:rsidP="00B233DE">
                        <w:pPr>
                          <w:spacing w:after="200" w:line="276" w:lineRule="auto"/>
                          <w:ind w:firstLine="0"/>
                          <w:jc w:val="center"/>
                          <w:rPr>
                            <w:rFonts w:ascii="Times New Roman" w:hAnsi="Times New Roman" w:cs="Times New Roman"/>
                            <w:bCs/>
                            <w:sz w:val="15"/>
                          </w:rPr>
                        </w:pPr>
                        <w:r w:rsidRPr="009514C6">
                          <w:rPr>
                            <w:rFonts w:ascii="Times New Roman" w:hAnsi="Times New Roman" w:cs="Times New Roman"/>
                            <w:bCs/>
                            <w:sz w:val="15"/>
                          </w:rPr>
                          <w:t>Інститути адміністративного розподілу ресурсів</w:t>
                        </w:r>
                        <w:r w:rsidRPr="009514C6">
                          <w:rPr>
                            <w:rFonts w:ascii="Times New Roman" w:hAnsi="Times New Roman" w:cs="Times New Roman"/>
                            <w:bCs/>
                            <w:sz w:val="14"/>
                          </w:rPr>
                          <w:t xml:space="preserve"> </w:t>
                        </w:r>
                        <w:r w:rsidRPr="009514C6">
                          <w:rPr>
                            <w:rFonts w:ascii="Times New Roman" w:hAnsi="Times New Roman" w:cs="Times New Roman"/>
                            <w:bCs/>
                            <w:sz w:val="15"/>
                          </w:rPr>
                          <w:t>усередині підприємства</w:t>
                        </w:r>
                      </w:p>
                      <w:p w:rsidR="00BE40F8" w:rsidRPr="003F23FE" w:rsidRDefault="00BE40F8" w:rsidP="00B233DE">
                        <w:pPr>
                          <w:spacing w:after="200" w:line="276" w:lineRule="auto"/>
                          <w:rPr>
                            <w:rFonts w:ascii="Calibri" w:hAnsi="Calibri" w:cs="Calibri"/>
                            <w:sz w:val="14"/>
                          </w:rPr>
                        </w:pPr>
                      </w:p>
                    </w:txbxContent>
                  </v:textbox>
                </v:roundrect>
                <v:roundrect id="AutoShape 273" o:spid="_x0000_s1178" style="position:absolute;left:2419;top:-2169;width:2118;height:83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" strokeweight="2.25pt">
                  <v:textbox inset="1.60061mm,.80033mm,1.60061mm,.80033mm">
                    <w:txbxContent>
                      <w:p w:rsidR="00BE40F8" w:rsidRPr="009514C6" w:rsidRDefault="00BE40F8" w:rsidP="00B233DE">
                        <w:pPr>
                          <w:spacing w:after="200" w:line="276" w:lineRule="auto"/>
                          <w:ind w:firstLine="0"/>
                          <w:jc w:val="center"/>
                          <w:rPr>
                            <w:rFonts w:ascii="Times New Roman" w:hAnsi="Times New Roman" w:cs="Times New Roman"/>
                            <w:bCs/>
                            <w:sz w:val="15"/>
                          </w:rPr>
                        </w:pPr>
                        <w:r>
                          <w:rPr>
                            <w:rFonts w:ascii="Times New Roman" w:hAnsi="Times New Roman" w:cs="Times New Roman"/>
                            <w:bCs/>
                            <w:sz w:val="15"/>
                          </w:rPr>
                          <w:t>Ін</w:t>
                        </w:r>
                        <w:r w:rsidRPr="009514C6">
                          <w:rPr>
                            <w:rFonts w:ascii="Times New Roman" w:hAnsi="Times New Roman" w:cs="Times New Roman"/>
                            <w:bCs/>
                            <w:sz w:val="15"/>
                          </w:rPr>
                          <w:t>ститути державного регулювання ринку праці</w:t>
                        </w:r>
                      </w:p>
                      <w:p w:rsidR="00BE40F8" w:rsidRPr="003F23FE" w:rsidRDefault="00BE40F8" w:rsidP="00B233DE">
                        <w:pPr>
                          <w:spacing w:after="200" w:line="276" w:lineRule="auto"/>
                          <w:rPr>
                            <w:rFonts w:ascii="Calibri" w:hAnsi="Calibri" w:cs="Calibri"/>
                            <w:sz w:val="14"/>
                          </w:rPr>
                        </w:pPr>
                      </w:p>
                    </w:txbxContent>
                  </v:textbox>
                </v:roundrect>
                <v:roundrect id="AutoShape 274" o:spid="_x0000_s1179" style="position:absolute;left:7925;top:61;width:2118;height:9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" strokeweight="2.25pt">
                  <v:textbox inset="1.60061mm,.80033mm,1.60061mm,.80033mm">
                    <w:txbxContent>
                      <w:p w:rsidR="00BE40F8" w:rsidRPr="009514C6" w:rsidRDefault="00BE40F8" w:rsidP="00B233DE">
                        <w:pPr>
                          <w:spacing w:after="200" w:line="276" w:lineRule="auto"/>
                          <w:ind w:firstLine="0"/>
                          <w:jc w:val="center"/>
                          <w:rPr>
                            <w:rFonts w:ascii="Times New Roman" w:hAnsi="Times New Roman" w:cs="Times New Roman"/>
                            <w:bCs/>
                            <w:sz w:val="15"/>
                          </w:rPr>
                        </w:pPr>
                        <w:r w:rsidRPr="009514C6">
                          <w:rPr>
                            <w:rFonts w:ascii="Times New Roman" w:hAnsi="Times New Roman" w:cs="Times New Roman"/>
                            <w:bCs/>
                            <w:sz w:val="15"/>
                          </w:rPr>
                          <w:t>Інститути укладання контракту, ведення переговорів</w:t>
                        </w:r>
                      </w:p>
                      <w:p w:rsidR="00BE40F8" w:rsidRPr="003F23FE" w:rsidRDefault="00BE40F8" w:rsidP="00B233DE">
                        <w:pPr>
                          <w:spacing w:after="200" w:line="276" w:lineRule="auto"/>
                          <w:rPr>
                            <w:rFonts w:ascii="Calibri" w:hAnsi="Calibri" w:cs="Calibri"/>
                            <w:sz w:val="14"/>
                          </w:rPr>
                        </w:pPr>
                      </w:p>
                    </w:txbxContent>
                  </v:textbox>
                </v:roundrect>
                <v:roundrect id="AutoShape 275" o:spid="_x0000_s1180" style="position:absolute;left:7925;top:-1193;width:1977;height:111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" strokeweight="2.25pt">
                  <v:textbox inset="1.60061mm,.80033mm,1.60061mm,.80033mm">
                    <w:txbxContent>
                      <w:p w:rsidR="00BE40F8" w:rsidRPr="003F23FE" w:rsidRDefault="00BE40F8" w:rsidP="00B233DE">
                        <w:pPr>
                          <w:spacing w:after="200" w:line="276" w:lineRule="auto"/>
                          <w:ind w:firstLine="0"/>
                          <w:jc w:val="center"/>
                          <w:rPr>
                            <w:rFonts w:ascii="Calibri" w:hAnsi="Calibri" w:cs="Calibri"/>
                            <w:sz w:val="14"/>
                          </w:rPr>
                        </w:pPr>
                        <w:r w:rsidRPr="009514C6">
                          <w:rPr>
                            <w:rFonts w:ascii="Times New Roman" w:hAnsi="Times New Roman" w:cs="Times New Roman"/>
                            <w:bCs/>
                            <w:sz w:val="15"/>
                          </w:rPr>
                          <w:t>Інститути збору та відбору інформації</w:t>
                        </w:r>
                        <w:r w:rsidRPr="009514C6">
                          <w:rPr>
                            <w:rFonts w:ascii="Times New Roman" w:hAnsi="Times New Roman" w:cs="Times New Roman"/>
                            <w:sz w:val="15"/>
                          </w:rPr>
                          <w:t xml:space="preserve"> </w:t>
                        </w:r>
                      </w:p>
                    </w:txbxContent>
                  </v:textbox>
                </v:roundrect>
                <v:roundrect id="AutoShape 276" o:spid="_x0000_s1181" style="position:absolute;left:7784;top:-2030;width:2118;height:69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" strokeweight="2.25pt">
                  <v:textbox inset="1.60061mm,.80033mm,1.60061mm,.80033mm">
                    <w:txbxContent>
                      <w:p w:rsidR="00BE40F8" w:rsidRPr="009514C6" w:rsidRDefault="00BE40F8" w:rsidP="00B233DE">
                        <w:pPr>
                          <w:ind w:firstLine="0"/>
                          <w:jc w:val="center"/>
                          <w:rPr>
                            <w:rFonts w:ascii="Times New Roman" w:hAnsi="Times New Roman" w:cs="Times New Roman"/>
                            <w:bCs/>
                            <w:sz w:val="15"/>
                          </w:rPr>
                        </w:pPr>
                        <w:r w:rsidRPr="009514C6">
                          <w:rPr>
                            <w:rFonts w:ascii="Times New Roman" w:hAnsi="Times New Roman" w:cs="Times New Roman"/>
                            <w:bCs/>
                            <w:sz w:val="15"/>
                          </w:rPr>
                          <w:t>Інститути</w:t>
                        </w:r>
                      </w:p>
                      <w:p w:rsidR="00BE40F8" w:rsidRPr="003F23FE" w:rsidRDefault="00BE40F8" w:rsidP="00B233DE">
                        <w:pPr>
                          <w:ind w:firstLine="0"/>
                          <w:jc w:val="center"/>
                          <w:rPr>
                            <w:rFonts w:ascii="Calibri" w:hAnsi="Calibri" w:cs="Calibri"/>
                            <w:sz w:val="14"/>
                          </w:rPr>
                        </w:pPr>
                        <w:r w:rsidRPr="009514C6">
                          <w:rPr>
                            <w:rFonts w:ascii="Times New Roman" w:hAnsi="Times New Roman" w:cs="Times New Roman"/>
                            <w:bCs/>
                            <w:sz w:val="15"/>
                          </w:rPr>
                          <w:t>пошуку контрагента</w:t>
                        </w:r>
                      </w:p>
                    </w:txbxContent>
                  </v:textbox>
                </v:roundrect>
                <v:line id="Line 277" o:spid="_x0000_s1182" style="position:absolute;visibility:visible;mso-wrap-style:square" from="5949,61" to="5950,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" strokeweight="2.25pt">
                  <v:stroke endarrow="block"/>
                </v:line>
                <v:line id="Line 278" o:spid="_x0000_s1183" style="position:absolute;flip:y;visibility:visible;mso-wrap-style:square" from="5949,-1193" to="5950,-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" strokeweight="2.25pt">
                  <v:stroke endarrow="block"/>
                </v:line>
                <v:line id="Line 279" o:spid="_x0000_s1184" style="position:absolute;flip:x y;visibility:visible;mso-wrap-style:square" from="4255,-1333" to="4960,-6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" strokeweight="2.25pt">
                  <v:stroke endarrow="block"/>
                </v:line>
                <v:line id="Line 280" o:spid="_x0000_s1185" style="position:absolute;flip:x;visibility:visible;mso-wrap-style:square" from="4396,-79" to="4960,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" strokeweight="2.25pt">
                  <v:stroke endarrow="block"/>
                </v:line>
                <v:line id="Line 281" o:spid="_x0000_s1186" style="position:absolute;flip:x;visibility:visible;mso-wrap-style:square" from="4396,-357" to="4960,-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" strokeweight="2.25pt">
                  <v:stroke endarrow="block"/>
                </v:line>
                <v:line id="Line 282" o:spid="_x0000_s1187" style="position:absolute;flip:y;visibility:visible;mso-wrap-style:square" from="7078,-497" to="7925,-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" strokeweight="2.25pt">
                  <v:stroke endarrow="block"/>
                </v:line>
                <v:line id="Line 283" o:spid="_x0000_s1188" style="position:absolute;flip:y;visibility:visible;mso-wrap-style:square" from="7078,-1612" to="7784,-6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" strokeweight="2.25pt">
                  <v:stroke endarrow="block"/>
                </v:line>
                <v:line id="Line 284" o:spid="_x0000_s1189" style="position:absolute;visibility:visible;mso-wrap-style:square" from="7078,-357" to="7925,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" strokeweight="2.25pt">
                  <v:stroke endarrow="block"/>
                </v:line>
              </v:group>
            </w:pict>
          </mc:Fallback>
        </mc:AlternateContent>
      </w: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Pr="00082B5F" w:rsidRDefault="00B233DE" w:rsidP="00B233DE">
      <w:pPr>
        <w:ind w:firstLine="709"/>
        <w:jc w:val="center"/>
        <w:rPr>
          <w:rFonts w:ascii="Times New Roman" w:hAnsi="Times New Roman" w:cs="Times New Roman"/>
          <w:b/>
          <w:sz w:val="21"/>
          <w:szCs w:val="21"/>
        </w:rPr>
      </w:pPr>
      <w:r w:rsidRPr="00082B5F">
        <w:rPr>
          <w:rFonts w:ascii="Times New Roman" w:hAnsi="Times New Roman" w:cs="Times New Roman"/>
          <w:b/>
          <w:sz w:val="21"/>
          <w:szCs w:val="21"/>
        </w:rPr>
        <w:t>Рис. 3.6. Інститути ринку праці*</w:t>
      </w:r>
    </w:p>
    <w:p w:rsidR="00B233DE" w:rsidRPr="00082B5F" w:rsidRDefault="00B233DE" w:rsidP="00B233DE">
      <w:pPr>
        <w:ind w:firstLine="709"/>
        <w:jc w:val="both"/>
        <w:rPr>
          <w:rFonts w:ascii="Times New Roman" w:hAnsi="Times New Roman" w:cs="Times New Roman"/>
          <w:sz w:val="18"/>
          <w:szCs w:val="18"/>
        </w:rPr>
      </w:pPr>
      <w:r w:rsidRPr="00082B5F">
        <w:rPr>
          <w:rFonts w:ascii="Times New Roman" w:hAnsi="Times New Roman" w:cs="Times New Roman"/>
          <w:sz w:val="18"/>
          <w:szCs w:val="18"/>
        </w:rPr>
        <w:t>* - розроблено автором на основі даних [</w:t>
      </w:r>
      <w:r>
        <w:rPr>
          <w:rFonts w:ascii="Times New Roman" w:hAnsi="Times New Roman" w:cs="Times New Roman"/>
          <w:sz w:val="18"/>
          <w:szCs w:val="18"/>
          <w:highlight w:val="yellow"/>
        </w:rPr>
        <w:fldChar w:fldCharType="begin"/>
      </w:r>
      <w:r>
        <w:rPr>
          <w:rFonts w:ascii="Times New Roman" w:hAnsi="Times New Roman" w:cs="Times New Roman"/>
          <w:sz w:val="18"/>
          <w:szCs w:val="18"/>
        </w:rPr>
        <w:instrText xml:space="preserve"> REF _Ref435784338 \r \h </w:instrText>
      </w:r>
      <w:r>
        <w:rPr>
          <w:rFonts w:ascii="Times New Roman" w:hAnsi="Times New Roman" w:cs="Times New Roman"/>
          <w:sz w:val="18"/>
          <w:szCs w:val="18"/>
          <w:highlight w:val="yellow"/>
        </w:rPr>
      </w:r>
      <w:r>
        <w:rPr>
          <w:rFonts w:ascii="Times New Roman" w:hAnsi="Times New Roman" w:cs="Times New Roman"/>
          <w:sz w:val="18"/>
          <w:szCs w:val="18"/>
          <w:highlight w:val="yellow"/>
        </w:rPr>
        <w:fldChar w:fldCharType="separate"/>
      </w:r>
      <w:r>
        <w:rPr>
          <w:rFonts w:ascii="Times New Roman" w:hAnsi="Times New Roman" w:cs="Times New Roman"/>
          <w:sz w:val="18"/>
          <w:szCs w:val="18"/>
        </w:rPr>
        <w:t>5</w:t>
      </w:r>
      <w:r>
        <w:rPr>
          <w:rFonts w:ascii="Times New Roman" w:hAnsi="Times New Roman" w:cs="Times New Roman"/>
          <w:sz w:val="18"/>
          <w:szCs w:val="18"/>
          <w:highlight w:val="yellow"/>
        </w:rPr>
        <w:fldChar w:fldCharType="end"/>
      </w:r>
      <w:r w:rsidRPr="00082B5F">
        <w:rPr>
          <w:rFonts w:ascii="Times New Roman" w:hAnsi="Times New Roman" w:cs="Times New Roman"/>
          <w:sz w:val="18"/>
          <w:szCs w:val="18"/>
        </w:rPr>
        <w:t>, с. 27]</w:t>
      </w:r>
    </w:p>
    <w:p w:rsidR="00B233DE" w:rsidRPr="00287DA9"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lastRenderedPageBreak/>
        <w:t xml:space="preserve">З огляду на це, на часі дня постає розв’язання великого спектру проблем зайнятості й ринку праці щодо закріплення норм і звичаїв у законах, посилення організації соціального захисту, сприяння економічному прогресу. </w:t>
      </w:r>
    </w:p>
    <w:p w:rsidR="00B233DE" w:rsidRPr="00287DA9"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При дослідженні ринку праці аналізую</w:t>
      </w:r>
      <w:r>
        <w:rPr>
          <w:rFonts w:ascii="Times New Roman" w:hAnsi="Times New Roman" w:cs="Times New Roman"/>
          <w:sz w:val="21"/>
          <w:szCs w:val="21"/>
        </w:rPr>
        <w:t xml:space="preserve">ться попит і пропозиція праці. </w:t>
      </w:r>
      <w:r w:rsidRPr="00287DA9">
        <w:rPr>
          <w:rFonts w:ascii="Times New Roman" w:hAnsi="Times New Roman" w:cs="Times New Roman"/>
          <w:sz w:val="21"/>
          <w:szCs w:val="21"/>
        </w:rPr>
        <w:t xml:space="preserve">Під попитом на робочу силу на зареєстрованому ринку праці розуміють величину тих вакантних посад або вільних робочих місць, про які державну службу зайнятості повідомили підприємства, установи та організації. </w:t>
      </w:r>
    </w:p>
    <w:p w:rsidR="00B233DE" w:rsidRPr="00287DA9"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Пропозиція на ринку працi виступає у виглядi iндивiдуальної робочої сили. Під робочою силою розуміють: і фактор виробництва, тобто здатність людини до праці; і облікову категорію населення – економічно активне в даний момент, сто</w:t>
      </w:r>
      <w:r>
        <w:rPr>
          <w:rFonts w:ascii="Times New Roman" w:hAnsi="Times New Roman" w:cs="Times New Roman"/>
          <w:sz w:val="21"/>
          <w:szCs w:val="21"/>
        </w:rPr>
        <w:t>-</w:t>
      </w:r>
      <w:r w:rsidRPr="00287DA9">
        <w:rPr>
          <w:rFonts w:ascii="Times New Roman" w:hAnsi="Times New Roman" w:cs="Times New Roman"/>
          <w:sz w:val="21"/>
          <w:szCs w:val="21"/>
        </w:rPr>
        <w:t>совно короткого звітного періоду. Регулююча роль попиту і пропо</w:t>
      </w:r>
      <w:r>
        <w:rPr>
          <w:rFonts w:ascii="Times New Roman" w:hAnsi="Times New Roman" w:cs="Times New Roman"/>
          <w:sz w:val="21"/>
          <w:szCs w:val="21"/>
        </w:rPr>
        <w:t>-</w:t>
      </w:r>
      <w:r w:rsidRPr="00287DA9">
        <w:rPr>
          <w:rFonts w:ascii="Times New Roman" w:hAnsi="Times New Roman" w:cs="Times New Roman"/>
          <w:sz w:val="21"/>
          <w:szCs w:val="21"/>
        </w:rPr>
        <w:t>зиції робочої сили на конкурентному ринку праці – це результат впливу як об’єктивних законів і закономірностей, так і суб’єктив</w:t>
      </w:r>
      <w:r>
        <w:rPr>
          <w:rFonts w:ascii="Times New Roman" w:hAnsi="Times New Roman" w:cs="Times New Roman"/>
          <w:sz w:val="21"/>
          <w:szCs w:val="21"/>
        </w:rPr>
        <w:t>-</w:t>
      </w:r>
      <w:r w:rsidRPr="00287DA9">
        <w:rPr>
          <w:rFonts w:ascii="Times New Roman" w:hAnsi="Times New Roman" w:cs="Times New Roman"/>
          <w:sz w:val="21"/>
          <w:szCs w:val="21"/>
        </w:rPr>
        <w:t xml:space="preserve">них процесів, що виникають в результаті діяльності людини. </w:t>
      </w:r>
    </w:p>
    <w:p w:rsidR="00B233DE" w:rsidRPr="00287DA9"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Якщо розглядати економічні закони як стійкі, регулярно повторювані об’єктивні зв’язки та взаємозалежності, що є характерними для економічних явищ і соціально-трудових процесів, то закономірності формування РРП – це об’єктивні відношення, що не залежать від волі окремих людей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_Ref433977347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74</w:t>
      </w:r>
      <w:r>
        <w:rPr>
          <w:rFonts w:ascii="Times New Roman" w:hAnsi="Times New Roman" w:cs="Times New Roman"/>
          <w:sz w:val="21"/>
          <w:szCs w:val="21"/>
          <w:highlight w:val="yellow"/>
        </w:rPr>
        <w:fldChar w:fldCharType="end"/>
      </w:r>
      <w:r w:rsidRPr="00287DA9">
        <w:rPr>
          <w:rFonts w:ascii="Times New Roman" w:hAnsi="Times New Roman" w:cs="Times New Roman"/>
          <w:sz w:val="21"/>
          <w:szCs w:val="21"/>
        </w:rPr>
        <w:t xml:space="preserve">, с. 9]. Відповідно до законів ринку спостерігається зворотна залежність – між ціною праці та обсягом попиту на неї, і пряма – між ціною праці та її пропозицією. </w:t>
      </w:r>
    </w:p>
    <w:p w:rsidR="00B233DE" w:rsidRPr="00287DA9"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Наявність тісної взаємодії між попитом, пропозицією та ціною праці під впливом об’єктивних і суб’єктивних факторів становить механізм саморегулювання ринку праці. Важливим показником при оцінці попиту на працю виступає його еластичність – здатність попиту реагувати на зміну рівня заробітної плати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_Ref433976596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20</w:t>
      </w:r>
      <w:r>
        <w:rPr>
          <w:rFonts w:ascii="Times New Roman" w:hAnsi="Times New Roman" w:cs="Times New Roman"/>
          <w:sz w:val="21"/>
          <w:szCs w:val="21"/>
          <w:highlight w:val="yellow"/>
        </w:rPr>
        <w:fldChar w:fldCharType="end"/>
      </w:r>
      <w:r>
        <w:rPr>
          <w:rFonts w:ascii="Times New Roman" w:hAnsi="Times New Roman" w:cs="Times New Roman"/>
          <w:sz w:val="21"/>
          <w:szCs w:val="21"/>
        </w:rPr>
        <w:t>, с. 51].</w:t>
      </w:r>
      <w:r w:rsidRPr="00287DA9">
        <w:rPr>
          <w:rFonts w:ascii="Times New Roman" w:hAnsi="Times New Roman" w:cs="Times New Roman"/>
          <w:sz w:val="21"/>
          <w:szCs w:val="21"/>
        </w:rPr>
        <w:t xml:space="preserve"> Врахування прямої еластич</w:t>
      </w:r>
      <w:r>
        <w:rPr>
          <w:rFonts w:ascii="Times New Roman" w:hAnsi="Times New Roman" w:cs="Times New Roman"/>
          <w:sz w:val="21"/>
          <w:szCs w:val="21"/>
        </w:rPr>
        <w:t>ності попиту для прий-няття прак</w:t>
      </w:r>
      <w:r w:rsidRPr="00287DA9">
        <w:rPr>
          <w:rFonts w:ascii="Times New Roman" w:hAnsi="Times New Roman" w:cs="Times New Roman"/>
          <w:sz w:val="21"/>
          <w:szCs w:val="21"/>
        </w:rPr>
        <w:t>тичних рішень потребує визначення законо</w:t>
      </w:r>
      <w:r>
        <w:rPr>
          <w:rFonts w:ascii="Times New Roman" w:hAnsi="Times New Roman" w:cs="Times New Roman"/>
          <w:sz w:val="21"/>
          <w:szCs w:val="21"/>
        </w:rPr>
        <w:t>-</w:t>
      </w:r>
      <w:r w:rsidRPr="00287DA9">
        <w:rPr>
          <w:rFonts w:ascii="Times New Roman" w:hAnsi="Times New Roman" w:cs="Times New Roman"/>
          <w:sz w:val="21"/>
          <w:szCs w:val="21"/>
        </w:rPr>
        <w:t>мірностей, яким вона підпорядковується. Ці закономірності враховують тісний взаємозв’язок ринку праці з ринком капіталу та ринком товарів і послуг. Їх називають законами похідного попиту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_Ref433977359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31</w:t>
      </w:r>
      <w:r>
        <w:rPr>
          <w:rFonts w:ascii="Times New Roman" w:hAnsi="Times New Roman" w:cs="Times New Roman"/>
          <w:sz w:val="21"/>
          <w:szCs w:val="21"/>
          <w:highlight w:val="yellow"/>
        </w:rPr>
        <w:fldChar w:fldCharType="end"/>
      </w:r>
      <w:r w:rsidRPr="00287DA9">
        <w:rPr>
          <w:rFonts w:ascii="Times New Roman" w:hAnsi="Times New Roman" w:cs="Times New Roman"/>
          <w:sz w:val="21"/>
          <w:szCs w:val="21"/>
        </w:rPr>
        <w:t>, с. 41</w:t>
      </w:r>
      <w:r>
        <w:rPr>
          <w:rFonts w:ascii="Times New Roman" w:hAnsi="Times New Roman" w:cs="Times New Roman"/>
          <w:sz w:val="21"/>
          <w:szCs w:val="21"/>
        </w:rPr>
        <w:t>–</w:t>
      </w:r>
      <w:r w:rsidRPr="00287DA9">
        <w:rPr>
          <w:rFonts w:ascii="Times New Roman" w:hAnsi="Times New Roman" w:cs="Times New Roman"/>
          <w:sz w:val="21"/>
          <w:szCs w:val="21"/>
        </w:rPr>
        <w:t xml:space="preserve">42]. </w:t>
      </w:r>
    </w:p>
    <w:p w:rsidR="00B233DE" w:rsidRPr="00287DA9"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Дія закону вартості в ринкових умовах спричиняє набуття робочою силою форми товару з усіма позитивними та негативними його рисами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_Ref433977364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70</w:t>
      </w:r>
      <w:r>
        <w:rPr>
          <w:rFonts w:ascii="Times New Roman" w:hAnsi="Times New Roman" w:cs="Times New Roman"/>
          <w:sz w:val="21"/>
          <w:szCs w:val="21"/>
          <w:highlight w:val="yellow"/>
        </w:rPr>
        <w:fldChar w:fldCharType="end"/>
      </w:r>
      <w:r w:rsidRPr="00287DA9">
        <w:rPr>
          <w:rFonts w:ascii="Times New Roman" w:hAnsi="Times New Roman" w:cs="Times New Roman"/>
          <w:sz w:val="21"/>
          <w:szCs w:val="21"/>
        </w:rPr>
        <w:t>]. Повною мірою загострюється протиріччя між працею та капіталом, об’єктивно посилюючи необхідність держав</w:t>
      </w:r>
      <w:r>
        <w:rPr>
          <w:rFonts w:ascii="Times New Roman" w:hAnsi="Times New Roman" w:cs="Times New Roman"/>
          <w:sz w:val="21"/>
          <w:szCs w:val="21"/>
        </w:rPr>
        <w:t>-</w:t>
      </w:r>
      <w:r w:rsidRPr="00287DA9">
        <w:rPr>
          <w:rFonts w:ascii="Times New Roman" w:hAnsi="Times New Roman" w:cs="Times New Roman"/>
          <w:sz w:val="21"/>
          <w:szCs w:val="21"/>
        </w:rPr>
        <w:lastRenderedPageBreak/>
        <w:t xml:space="preserve">ного регулювання відтворювальними процесами робочої сили. Це </w:t>
      </w:r>
      <w:r w:rsidRPr="000C1A05">
        <w:rPr>
          <w:rFonts w:ascii="Times New Roman" w:hAnsi="Times New Roman" w:cs="Times New Roman"/>
          <w:spacing w:val="-6"/>
          <w:sz w:val="21"/>
          <w:szCs w:val="21"/>
        </w:rPr>
        <w:t>накладає свій відбиток на закономірності й умови розвитку ринку праці.</w:t>
      </w:r>
      <w:r w:rsidRPr="00287DA9">
        <w:rPr>
          <w:rFonts w:ascii="Times New Roman" w:hAnsi="Times New Roman" w:cs="Times New Roman"/>
          <w:sz w:val="21"/>
          <w:szCs w:val="21"/>
        </w:rPr>
        <w:t xml:space="preserve"> </w:t>
      </w:r>
    </w:p>
    <w:p w:rsidR="00B233DE" w:rsidRPr="00287DA9"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 xml:space="preserve">В різних сферах господарської діяльності на загальноекономічні закономірності категорії зайнятості робочої сили суттєво впливає специфіка галузей економіки. Так, встановлено, що кон’юнктура ринку робочої сили формується під впливом рівня розвитку продуктивних сил, суспільного поділу праці, форм виробничих відносин, характеру взаємодії людини і природи в процесі виробництва матеріальних благ. Саме вони визначають ціну робочої сили як товару та ємність ринку праці. </w:t>
      </w:r>
    </w:p>
    <w:p w:rsidR="00B233DE" w:rsidRPr="00287DA9"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Раніше дія об’єктивних економічних законів відбувалася стихійно завдяки конкуренції. Сьогодні дія ринкових законів посилюється через їх св</w:t>
      </w:r>
      <w:r>
        <w:rPr>
          <w:rFonts w:ascii="Times New Roman" w:hAnsi="Times New Roman" w:cs="Times New Roman"/>
          <w:sz w:val="21"/>
          <w:szCs w:val="21"/>
        </w:rPr>
        <w:t>ідоме використання завдяки меха</w:t>
      </w:r>
      <w:r w:rsidRPr="00287DA9">
        <w:rPr>
          <w:rFonts w:ascii="Times New Roman" w:hAnsi="Times New Roman" w:cs="Times New Roman"/>
          <w:sz w:val="21"/>
          <w:szCs w:val="21"/>
        </w:rPr>
        <w:t xml:space="preserve">нізму державного регулювання ринкових економічних відносин, яке забезпечує економічний і соціальний розвиток регіону. Отже, економічні закони не залежать від свідомості людей, а залежать від їх свідомої діяльності. Саме в цьому і полягає механізм державного регулювання РРП – через різні державні інституції. </w:t>
      </w:r>
    </w:p>
    <w:p w:rsidR="00B233DE"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Нами досліджувалась система основних закономірностей РРП, які класифікуються за сферами застосування та за пріори</w:t>
      </w:r>
      <w:r>
        <w:rPr>
          <w:rFonts w:ascii="Times New Roman" w:hAnsi="Times New Roman" w:cs="Times New Roman"/>
          <w:sz w:val="21"/>
          <w:szCs w:val="21"/>
        </w:rPr>
        <w:t>-</w:t>
      </w:r>
      <w:r w:rsidRPr="00287DA9">
        <w:rPr>
          <w:rFonts w:ascii="Times New Roman" w:hAnsi="Times New Roman" w:cs="Times New Roman"/>
          <w:sz w:val="21"/>
          <w:szCs w:val="21"/>
        </w:rPr>
        <w:t>тетністю провідних процесів</w:t>
      </w:r>
      <w:r>
        <w:rPr>
          <w:rFonts w:ascii="Times New Roman" w:hAnsi="Times New Roman" w:cs="Times New Roman"/>
          <w:sz w:val="21"/>
          <w:szCs w:val="21"/>
        </w:rPr>
        <w:t xml:space="preserve"> (рис. 3.7)</w:t>
      </w:r>
      <w:r w:rsidRPr="00287DA9">
        <w:rPr>
          <w:rFonts w:ascii="Times New Roman" w:hAnsi="Times New Roman" w:cs="Times New Roman"/>
          <w:sz w:val="21"/>
          <w:szCs w:val="21"/>
        </w:rPr>
        <w:t xml:space="preserve">. </w:t>
      </w:r>
    </w:p>
    <w:p w:rsidR="00B233DE" w:rsidRPr="00287DA9"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 xml:space="preserve">Отже, пізнання і практичне використання закономірностей формування РРП дають найкращі варіанти використання трудового потенціалу. </w:t>
      </w:r>
    </w:p>
    <w:p w:rsidR="00B233DE"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 xml:space="preserve">Найчастіше зі змісту конкретних закономірностей випливає формування принципів </w:t>
      </w:r>
      <w:r w:rsidRPr="00287DA9">
        <w:rPr>
          <w:rFonts w:ascii="Times New Roman" w:hAnsi="Times New Roman" w:cs="Times New Roman"/>
          <w:bCs/>
          <w:sz w:val="21"/>
          <w:szCs w:val="21"/>
        </w:rPr>
        <w:t>РРП як</w:t>
      </w:r>
      <w:r w:rsidRPr="00287DA9">
        <w:rPr>
          <w:rFonts w:ascii="Times New Roman" w:hAnsi="Times New Roman" w:cs="Times New Roman"/>
          <w:sz w:val="21"/>
          <w:szCs w:val="21"/>
        </w:rPr>
        <w:t xml:space="preserve"> керівних правил, що відбивають зміст законів і закономірностей та мають бути закріплені в нормативно-правових документах, використовуючись в науковій та практичній діяльності фахівців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_Ref433977382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40</w:t>
      </w:r>
      <w:r>
        <w:rPr>
          <w:rFonts w:ascii="Times New Roman" w:hAnsi="Times New Roman" w:cs="Times New Roman"/>
          <w:sz w:val="21"/>
          <w:szCs w:val="21"/>
          <w:highlight w:val="yellow"/>
        </w:rPr>
        <w:fldChar w:fldCharType="end"/>
      </w:r>
      <w:r w:rsidRPr="00287DA9">
        <w:rPr>
          <w:rFonts w:ascii="Times New Roman" w:hAnsi="Times New Roman" w:cs="Times New Roman"/>
          <w:sz w:val="21"/>
          <w:szCs w:val="21"/>
        </w:rPr>
        <w:t>]. Специфіка взаємодії регіонів України з ринком праці краї</w:t>
      </w:r>
      <w:r>
        <w:rPr>
          <w:rFonts w:ascii="Times New Roman" w:hAnsi="Times New Roman" w:cs="Times New Roman"/>
          <w:sz w:val="21"/>
          <w:szCs w:val="21"/>
        </w:rPr>
        <w:t>н ЄС</w:t>
      </w:r>
      <w:r w:rsidRPr="00287DA9">
        <w:rPr>
          <w:rFonts w:ascii="Times New Roman" w:hAnsi="Times New Roman" w:cs="Times New Roman"/>
          <w:sz w:val="21"/>
          <w:szCs w:val="21"/>
        </w:rPr>
        <w:t xml:space="preserve"> ви</w:t>
      </w:r>
      <w:r>
        <w:rPr>
          <w:rFonts w:ascii="Times New Roman" w:hAnsi="Times New Roman" w:cs="Times New Roman"/>
          <w:sz w:val="21"/>
          <w:szCs w:val="21"/>
        </w:rPr>
        <w:t>суває нові вимоги до формування</w:t>
      </w:r>
      <w:r w:rsidRPr="00287DA9">
        <w:rPr>
          <w:rFonts w:ascii="Times New Roman" w:hAnsi="Times New Roman" w:cs="Times New Roman"/>
          <w:sz w:val="21"/>
          <w:szCs w:val="21"/>
        </w:rPr>
        <w:t xml:space="preserve"> інфраструктури ринку праці.</w:t>
      </w:r>
      <w:r>
        <w:rPr>
          <w:rFonts w:ascii="Times New Roman" w:hAnsi="Times New Roman" w:cs="Times New Roman"/>
          <w:sz w:val="21"/>
          <w:szCs w:val="21"/>
        </w:rPr>
        <w:t xml:space="preserve"> </w:t>
      </w:r>
      <w:r w:rsidRPr="00287DA9">
        <w:rPr>
          <w:rFonts w:ascii="Times New Roman" w:hAnsi="Times New Roman" w:cs="Times New Roman"/>
          <w:sz w:val="21"/>
          <w:szCs w:val="21"/>
        </w:rPr>
        <w:t>Проведення реформ з удосконалення існуючого механізму функціонування інфраструк</w:t>
      </w:r>
      <w:r>
        <w:rPr>
          <w:rFonts w:ascii="Times New Roman" w:hAnsi="Times New Roman" w:cs="Times New Roman"/>
          <w:sz w:val="21"/>
          <w:szCs w:val="21"/>
        </w:rPr>
        <w:t>-</w:t>
      </w:r>
      <w:r w:rsidRPr="00A04C9C">
        <w:rPr>
          <w:rFonts w:ascii="Times New Roman" w:hAnsi="Times New Roman" w:cs="Times New Roman"/>
          <w:spacing w:val="-4"/>
          <w:sz w:val="21"/>
          <w:szCs w:val="21"/>
        </w:rPr>
        <w:t>тури ринку праці базується на обраній місії, визначених цілях і стра-</w:t>
      </w:r>
      <w:r w:rsidRPr="00287DA9">
        <w:rPr>
          <w:rFonts w:ascii="Times New Roman" w:hAnsi="Times New Roman" w:cs="Times New Roman"/>
          <w:sz w:val="21"/>
          <w:szCs w:val="21"/>
        </w:rPr>
        <w:t>тегічних завданнях в контексті задекларованого курсу страте</w:t>
      </w:r>
      <w:r>
        <w:rPr>
          <w:rFonts w:ascii="Times New Roman" w:hAnsi="Times New Roman" w:cs="Times New Roman"/>
          <w:sz w:val="21"/>
          <w:szCs w:val="21"/>
        </w:rPr>
        <w:t>-</w:t>
      </w:r>
      <w:r w:rsidRPr="00287DA9">
        <w:rPr>
          <w:rFonts w:ascii="Times New Roman" w:hAnsi="Times New Roman" w:cs="Times New Roman"/>
          <w:sz w:val="21"/>
          <w:szCs w:val="21"/>
        </w:rPr>
        <w:t>гічного розвитку України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_Ref433977392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88</w:t>
      </w:r>
      <w:r>
        <w:rPr>
          <w:rFonts w:ascii="Times New Roman" w:hAnsi="Times New Roman" w:cs="Times New Roman"/>
          <w:sz w:val="21"/>
          <w:szCs w:val="21"/>
          <w:highlight w:val="yellow"/>
        </w:rPr>
        <w:fldChar w:fldCharType="end"/>
      </w:r>
      <w:r w:rsidRPr="00287DA9">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_Ref433977399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90</w:t>
      </w:r>
      <w:r>
        <w:rPr>
          <w:rFonts w:ascii="Times New Roman" w:hAnsi="Times New Roman" w:cs="Times New Roman"/>
          <w:sz w:val="21"/>
          <w:szCs w:val="21"/>
          <w:highlight w:val="yellow"/>
        </w:rPr>
        <w:fldChar w:fldCharType="end"/>
      </w:r>
      <w:r w:rsidRPr="00287DA9">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_Ref433977404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93</w:t>
      </w:r>
      <w:r>
        <w:rPr>
          <w:rFonts w:ascii="Times New Roman" w:hAnsi="Times New Roman" w:cs="Times New Roman"/>
          <w:sz w:val="21"/>
          <w:szCs w:val="21"/>
          <w:highlight w:val="yellow"/>
        </w:rPr>
        <w:fldChar w:fldCharType="end"/>
      </w:r>
      <w:r w:rsidRPr="00287DA9">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_Ref433977420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97</w:t>
      </w:r>
      <w:r>
        <w:rPr>
          <w:rFonts w:ascii="Times New Roman" w:hAnsi="Times New Roman" w:cs="Times New Roman"/>
          <w:sz w:val="21"/>
          <w:szCs w:val="21"/>
          <w:highlight w:val="yellow"/>
        </w:rPr>
        <w:fldChar w:fldCharType="end"/>
      </w:r>
      <w:r w:rsidRPr="00287DA9">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_Ref433977426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96</w:t>
      </w:r>
      <w:r>
        <w:rPr>
          <w:rFonts w:ascii="Times New Roman" w:hAnsi="Times New Roman" w:cs="Times New Roman"/>
          <w:sz w:val="21"/>
          <w:szCs w:val="21"/>
          <w:highlight w:val="yellow"/>
        </w:rPr>
        <w:fldChar w:fldCharType="end"/>
      </w:r>
      <w:r w:rsidRPr="00287DA9">
        <w:rPr>
          <w:rFonts w:ascii="Times New Roman" w:hAnsi="Times New Roman" w:cs="Times New Roman"/>
          <w:sz w:val="21"/>
          <w:szCs w:val="21"/>
        </w:rPr>
        <w:t>].</w:t>
      </w:r>
      <w:r>
        <w:rPr>
          <w:rFonts w:ascii="Times New Roman" w:hAnsi="Times New Roman" w:cs="Times New Roman"/>
          <w:sz w:val="21"/>
          <w:szCs w:val="21"/>
        </w:rPr>
        <w:t xml:space="preserve"> </w:t>
      </w:r>
      <w:r w:rsidRPr="00287DA9">
        <w:rPr>
          <w:rFonts w:ascii="Times New Roman" w:hAnsi="Times New Roman" w:cs="Times New Roman"/>
          <w:sz w:val="21"/>
          <w:szCs w:val="21"/>
        </w:rPr>
        <w:t>Європейське спрямування державного управління в Україні потребує: а) систематичного виокремлення нових всезростаючих вимог до інфраструктури ринку праці, таких як відповідність умовам</w:t>
      </w:r>
      <w:r>
        <w:rPr>
          <w:rFonts w:ascii="Times New Roman" w:hAnsi="Times New Roman" w:cs="Times New Roman"/>
          <w:sz w:val="21"/>
          <w:szCs w:val="21"/>
        </w:rPr>
        <w:t xml:space="preserve"> глобалізації та регіоналізації; стратегічності; </w:t>
      </w:r>
      <w:r w:rsidRPr="00287DA9">
        <w:rPr>
          <w:rFonts w:ascii="Times New Roman" w:hAnsi="Times New Roman" w:cs="Times New Roman"/>
          <w:sz w:val="21"/>
          <w:szCs w:val="21"/>
        </w:rPr>
        <w:t xml:space="preserve">відповідність </w:t>
      </w:r>
      <w:r w:rsidRPr="00287DA9">
        <w:rPr>
          <w:rFonts w:ascii="Times New Roman" w:hAnsi="Times New Roman" w:cs="Times New Roman"/>
          <w:sz w:val="21"/>
          <w:szCs w:val="21"/>
        </w:rPr>
        <w:lastRenderedPageBreak/>
        <w:t>ринковим умовам функціонування та вимогам ЄС до країн-претендентів на євроінтеграцію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_Ref433976742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7</w:t>
      </w:r>
      <w:r>
        <w:rPr>
          <w:rFonts w:ascii="Times New Roman" w:hAnsi="Times New Roman" w:cs="Times New Roman"/>
          <w:sz w:val="21"/>
          <w:szCs w:val="21"/>
          <w:highlight w:val="yellow"/>
        </w:rPr>
        <w:fldChar w:fldCharType="end"/>
      </w:r>
      <w:r>
        <w:rPr>
          <w:rFonts w:ascii="Times New Roman" w:hAnsi="Times New Roman" w:cs="Times New Roman"/>
          <w:sz w:val="21"/>
          <w:szCs w:val="21"/>
        </w:rPr>
        <w:t>, с. 111]; б)</w:t>
      </w:r>
      <w:r w:rsidRPr="00287DA9">
        <w:rPr>
          <w:rFonts w:ascii="Times New Roman" w:hAnsi="Times New Roman" w:cs="Times New Roman"/>
          <w:sz w:val="21"/>
          <w:szCs w:val="21"/>
        </w:rPr>
        <w:t xml:space="preserve"> передбачає застосування європейських підходів до впровадження принципів.</w:t>
      </w:r>
    </w:p>
    <w:p w:rsidR="00B233DE" w:rsidRDefault="00B233DE" w:rsidP="00B233DE">
      <w:pPr>
        <w:ind w:firstLine="709"/>
        <w:jc w:val="both"/>
        <w:rPr>
          <w:rFonts w:ascii="Times New Roman" w:hAnsi="Times New Roman" w:cs="Times New Roman"/>
          <w:sz w:val="21"/>
          <w:szCs w:val="21"/>
        </w:rPr>
      </w:pPr>
      <w:r>
        <w:rPr>
          <w:rFonts w:ascii="Times New Roman" w:hAnsi="Times New Roman" w:cs="Times New Roman"/>
          <w:noProof/>
          <w:sz w:val="21"/>
          <w:szCs w:val="21"/>
          <w:lang w:val="ru-RU" w:eastAsia="ru-RU"/>
        </w:rPr>
        <mc:AlternateContent>
          <mc:Choice Requires="wpg">
            <w:drawing>
              <wp:anchor distT="0" distB="0" distL="114300" distR="114300" simplePos="0" relativeHeight="251683840" behindDoc="0" locked="0" layoutInCell="1" allowOverlap="1" wp14:anchorId="195A27E1" wp14:editId="32B89398">
                <wp:simplePos x="0" y="0"/>
                <wp:positionH relativeFrom="column">
                  <wp:posOffset>210820</wp:posOffset>
                </wp:positionH>
                <wp:positionV relativeFrom="paragraph">
                  <wp:posOffset>132080</wp:posOffset>
                </wp:positionV>
                <wp:extent cx="3869690" cy="4164965"/>
                <wp:effectExtent l="19050" t="0" r="0" b="26035"/>
                <wp:wrapNone/>
                <wp:docPr id="396" name="Группа 3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69690" cy="4164965"/>
                          <a:chOff x="1803" y="1393"/>
                          <a:chExt cx="6094" cy="4344"/>
                        </a:xfrm>
                      </wpg:grpSpPr>
                      <wpg:grpSp>
                        <wpg:cNvPr id="397" name="Canvas 286"/>
                        <wpg:cNvGrpSpPr>
                          <a:grpSpLocks noChangeAspect="1"/>
                        </wpg:cNvGrpSpPr>
                        <wpg:grpSpPr bwMode="auto">
                          <a:xfrm>
                            <a:off x="1803" y="1393"/>
                            <a:ext cx="6094" cy="4344"/>
                            <a:chOff x="2278" y="429"/>
                            <a:chExt cx="7535" cy="5301"/>
                          </a:xfrm>
                        </wpg:grpSpPr>
                        <wps:wsp>
                          <wps:cNvPr id="398" name="AutoShape 287"/>
                          <wps:cNvSpPr>
                            <a:spLocks noChangeAspect="1" noChangeArrowheads="1" noTextEdit="1"/>
                          </wps:cNvSpPr>
                          <wps:spPr bwMode="auto">
                            <a:xfrm>
                              <a:off x="2278" y="429"/>
                              <a:ext cx="7535" cy="5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9" name="Rectangle 288"/>
                          <wps:cNvSpPr>
                            <a:spLocks noChangeArrowheads="1"/>
                          </wps:cNvSpPr>
                          <wps:spPr bwMode="auto">
                            <a:xfrm>
                              <a:off x="3841" y="2493"/>
                              <a:ext cx="5074" cy="722"/>
                            </a:xfrm>
                            <a:prstGeom prst="rect">
                              <a:avLst/>
                            </a:prstGeom>
                            <a:solidFill>
                              <a:srgbClr val="FFFFFF"/>
                            </a:solidFill>
                            <a:ln w="38100">
                              <a:solidFill>
                                <a:srgbClr val="000000"/>
                              </a:solidFill>
                              <a:miter lim="800000"/>
                              <a:headEnd/>
                              <a:tailEnd/>
                            </a:ln>
                          </wps:spPr>
                          <wps:txbx>
                            <w:txbxContent>
                              <w:p w:rsidR="00BE40F8" w:rsidRPr="00761F82" w:rsidRDefault="00BE40F8" w:rsidP="00B233DE">
                                <w:pPr>
                                  <w:ind w:firstLine="0"/>
                                  <w:jc w:val="center"/>
                                  <w:rPr>
                                    <w:rFonts w:ascii="Times New Roman" w:hAnsi="Times New Roman" w:cs="Times New Roman"/>
                                    <w:b/>
                                    <w:bCs/>
                                    <w:sz w:val="14"/>
                                    <w:szCs w:val="14"/>
                                  </w:rPr>
                                </w:pPr>
                              </w:p>
                              <w:p w:rsidR="00BE40F8" w:rsidRPr="00F528A4" w:rsidRDefault="00BE40F8" w:rsidP="00B233DE">
                                <w:pPr>
                                  <w:ind w:firstLine="0"/>
                                  <w:jc w:val="center"/>
                                  <w:rPr>
                                    <w:rFonts w:ascii="Times New Roman" w:hAnsi="Times New Roman" w:cs="Times New Roman"/>
                                    <w:b/>
                                    <w:bCs/>
                                    <w:sz w:val="16"/>
                                    <w:szCs w:val="16"/>
                                  </w:rPr>
                                </w:pPr>
                                <w:r w:rsidRPr="00F528A4">
                                  <w:rPr>
                                    <w:rFonts w:ascii="Times New Roman" w:hAnsi="Times New Roman" w:cs="Times New Roman"/>
                                    <w:b/>
                                    <w:bCs/>
                                    <w:sz w:val="16"/>
                                    <w:szCs w:val="16"/>
                                  </w:rPr>
                                  <w:t>Основні закономірності регіонального ринку праці</w:t>
                                </w:r>
                              </w:p>
                              <w:p w:rsidR="00BE40F8" w:rsidRPr="00F528A4" w:rsidRDefault="00BE40F8" w:rsidP="00B233DE">
                                <w:pPr>
                                  <w:ind w:left="360" w:firstLine="0"/>
                                  <w:jc w:val="center"/>
                                  <w:rPr>
                                    <w:rFonts w:ascii="Times New Roman" w:hAnsi="Times New Roman" w:cs="Times New Roman"/>
                                    <w:sz w:val="16"/>
                                    <w:szCs w:val="16"/>
                                  </w:rPr>
                                </w:pPr>
                                <w:r w:rsidRPr="00F528A4">
                                  <w:rPr>
                                    <w:rFonts w:ascii="Times New Roman" w:hAnsi="Times New Roman" w:cs="Times New Roman"/>
                                    <w:b/>
                                    <w:bCs/>
                                    <w:sz w:val="16"/>
                                    <w:szCs w:val="16"/>
                                  </w:rPr>
                                  <w:t>за сферами застосування</w:t>
                                </w:r>
                              </w:p>
                            </w:txbxContent>
                          </wps:txbx>
                          <wps:bodyPr rot="0" vert="horz" wrap="square" lIns="57607" tIns="28804" rIns="57607" bIns="28804" anchor="t" anchorCtr="0" upright="1">
                            <a:noAutofit/>
                          </wps:bodyPr>
                        </wps:wsp>
                        <wps:wsp>
                          <wps:cNvPr id="400" name="AutoShape 289"/>
                          <wps:cNvSpPr>
                            <a:spLocks noChangeArrowheads="1"/>
                          </wps:cNvSpPr>
                          <wps:spPr bwMode="auto">
                            <a:xfrm>
                              <a:off x="6806" y="4330"/>
                              <a:ext cx="2817" cy="1400"/>
                            </a:xfrm>
                            <a:prstGeom prst="roundRect">
                              <a:avLst>
                                <a:gd name="adj" fmla="val 16667"/>
                              </a:avLst>
                            </a:prstGeom>
                            <a:solidFill>
                              <a:srgbClr val="FFFFFF"/>
                            </a:solidFill>
                            <a:ln w="19050">
                              <a:solidFill>
                                <a:srgbClr val="000000"/>
                              </a:solidFill>
                              <a:round/>
                              <a:headEnd/>
                              <a:tailEnd/>
                            </a:ln>
                          </wps:spPr>
                          <wps:txbx>
                            <w:txbxContent>
                              <w:p w:rsidR="00BE40F8" w:rsidRPr="00761F82" w:rsidRDefault="00BE40F8" w:rsidP="00B233DE">
                                <w:pPr>
                                  <w:ind w:firstLine="0"/>
                                  <w:jc w:val="both"/>
                                  <w:rPr>
                                    <w:rFonts w:ascii="Times New Roman" w:hAnsi="Times New Roman" w:cs="Times New Roman"/>
                                    <w:sz w:val="16"/>
                                    <w:szCs w:val="16"/>
                                  </w:rPr>
                                </w:pPr>
                                <w:r w:rsidRPr="00761F82">
                                  <w:rPr>
                                    <w:rFonts w:ascii="Times New Roman" w:hAnsi="Times New Roman" w:cs="Times New Roman"/>
                                    <w:bCs/>
                                    <w:sz w:val="16"/>
                                    <w:szCs w:val="16"/>
                                  </w:rPr>
                                  <w:t>Пропорційноісті керуючої та керованої підсистеми управ</w:t>
                                </w:r>
                                <w:r>
                                  <w:rPr>
                                    <w:rFonts w:ascii="Times New Roman" w:hAnsi="Times New Roman" w:cs="Times New Roman"/>
                                    <w:bCs/>
                                    <w:sz w:val="16"/>
                                    <w:szCs w:val="16"/>
                                  </w:rPr>
                                  <w:t>-</w:t>
                                </w:r>
                                <w:r w:rsidRPr="00761F82">
                                  <w:rPr>
                                    <w:rFonts w:ascii="Times New Roman" w:hAnsi="Times New Roman" w:cs="Times New Roman"/>
                                    <w:bCs/>
                                    <w:sz w:val="16"/>
                                    <w:szCs w:val="16"/>
                                  </w:rPr>
                                  <w:t>ління регіональним ринком праці; оптимального співвід</w:t>
                                </w:r>
                                <w:r>
                                  <w:rPr>
                                    <w:rFonts w:ascii="Times New Roman" w:hAnsi="Times New Roman" w:cs="Times New Roman"/>
                                    <w:bCs/>
                                    <w:sz w:val="16"/>
                                    <w:szCs w:val="16"/>
                                  </w:rPr>
                                  <w:t>-</w:t>
                                </w:r>
                                <w:r w:rsidRPr="00761F82">
                                  <w:rPr>
                                    <w:rFonts w:ascii="Times New Roman" w:hAnsi="Times New Roman" w:cs="Times New Roman"/>
                                    <w:bCs/>
                                    <w:sz w:val="16"/>
                                    <w:szCs w:val="16"/>
                                  </w:rPr>
                                  <w:t>ношення централізації та диференціації функцій управ</w:t>
                                </w:r>
                                <w:r>
                                  <w:rPr>
                                    <w:rFonts w:ascii="Times New Roman" w:hAnsi="Times New Roman" w:cs="Times New Roman"/>
                                    <w:bCs/>
                                    <w:sz w:val="16"/>
                                    <w:szCs w:val="16"/>
                                  </w:rPr>
                                  <w:t>-</w:t>
                                </w:r>
                                <w:r w:rsidRPr="00761F82">
                                  <w:rPr>
                                    <w:rFonts w:ascii="Times New Roman" w:hAnsi="Times New Roman" w:cs="Times New Roman"/>
                                    <w:bCs/>
                                    <w:sz w:val="16"/>
                                    <w:szCs w:val="16"/>
                                  </w:rPr>
                                  <w:t>ління сферою праці</w:t>
                                </w:r>
                              </w:p>
                            </w:txbxContent>
                          </wps:txbx>
                          <wps:bodyPr rot="0" vert="horz" wrap="square" lIns="0" tIns="0" rIns="0" bIns="0" anchor="ctr" anchorCtr="0" upright="1">
                            <a:noAutofit/>
                          </wps:bodyPr>
                        </wps:wsp>
                        <wps:wsp>
                          <wps:cNvPr id="401" name="AutoShape 290"/>
                          <wps:cNvSpPr>
                            <a:spLocks noChangeArrowheads="1"/>
                          </wps:cNvSpPr>
                          <wps:spPr bwMode="auto">
                            <a:xfrm>
                              <a:off x="2288" y="3533"/>
                              <a:ext cx="4376" cy="2197"/>
                            </a:xfrm>
                            <a:prstGeom prst="roundRect">
                              <a:avLst>
                                <a:gd name="adj" fmla="val 16667"/>
                              </a:avLst>
                            </a:prstGeom>
                            <a:solidFill>
                              <a:srgbClr val="FFFFFF"/>
                            </a:solidFill>
                            <a:ln w="19050">
                              <a:solidFill>
                                <a:srgbClr val="000000"/>
                              </a:solidFill>
                              <a:round/>
                              <a:headEnd/>
                              <a:tailEnd/>
                            </a:ln>
                          </wps:spPr>
                          <wps:txbx>
                            <w:txbxContent>
                              <w:p w:rsidR="00BE40F8" w:rsidRPr="00F528A4" w:rsidRDefault="00BE40F8" w:rsidP="00B233DE">
                                <w:pPr>
                                  <w:spacing w:after="200" w:line="230" w:lineRule="auto"/>
                                  <w:ind w:firstLine="0"/>
                                  <w:jc w:val="both"/>
                                  <w:rPr>
                                    <w:rFonts w:ascii="Times New Roman" w:hAnsi="Times New Roman" w:cs="Times New Roman"/>
                                    <w:bCs/>
                                    <w:sz w:val="16"/>
                                    <w:szCs w:val="16"/>
                                  </w:rPr>
                                </w:pPr>
                                <w:r w:rsidRPr="00F528A4">
                                  <w:rPr>
                                    <w:rFonts w:ascii="Times New Roman" w:hAnsi="Times New Roman" w:cs="Times New Roman"/>
                                    <w:bCs/>
                                    <w:sz w:val="16"/>
                                    <w:szCs w:val="16"/>
                                  </w:rPr>
                                  <w:t>Адекватність рівня безробіття рівню розвитку соціально-трансформаційних відносин; оптимі</w:t>
                                </w:r>
                                <w:r>
                                  <w:rPr>
                                    <w:rFonts w:ascii="Times New Roman" w:hAnsi="Times New Roman" w:cs="Times New Roman"/>
                                    <w:bCs/>
                                    <w:sz w:val="16"/>
                                    <w:szCs w:val="16"/>
                                  </w:rPr>
                                  <w:t>-</w:t>
                                </w:r>
                                <w:r w:rsidRPr="00F528A4">
                                  <w:rPr>
                                    <w:rFonts w:ascii="Times New Roman" w:hAnsi="Times New Roman" w:cs="Times New Roman"/>
                                    <w:bCs/>
                                    <w:sz w:val="16"/>
                                    <w:szCs w:val="16"/>
                                  </w:rPr>
                                  <w:t>зація структури зайнятості згідно із досягнутим рівнем структурних змін економіки; обумов</w:t>
                                </w:r>
                                <w:r>
                                  <w:rPr>
                                    <w:rFonts w:ascii="Times New Roman" w:hAnsi="Times New Roman" w:cs="Times New Roman"/>
                                    <w:bCs/>
                                    <w:sz w:val="16"/>
                                    <w:szCs w:val="16"/>
                                  </w:rPr>
                                  <w:t>-</w:t>
                                </w:r>
                                <w:r w:rsidRPr="00F528A4">
                                  <w:rPr>
                                    <w:rFonts w:ascii="Times New Roman" w:hAnsi="Times New Roman" w:cs="Times New Roman"/>
                                    <w:bCs/>
                                    <w:sz w:val="16"/>
                                    <w:szCs w:val="16"/>
                                  </w:rPr>
                                  <w:t xml:space="preserve">леність посилення конкуренції робочої сили </w:t>
                                </w:r>
                                <w:r w:rsidRPr="00761F82">
                                  <w:rPr>
                                    <w:rFonts w:ascii="Times New Roman" w:hAnsi="Times New Roman" w:cs="Times New Roman"/>
                                    <w:bCs/>
                                    <w:spacing w:val="-4"/>
                                    <w:sz w:val="16"/>
                                    <w:szCs w:val="16"/>
                                  </w:rPr>
                                  <w:t>процесом розвитку ринку праці; підвищення рівня</w:t>
                                </w:r>
                                <w:r w:rsidRPr="00F528A4">
                                  <w:rPr>
                                    <w:rFonts w:ascii="Times New Roman" w:hAnsi="Times New Roman" w:cs="Times New Roman"/>
                                    <w:bCs/>
                                    <w:sz w:val="16"/>
                                    <w:szCs w:val="16"/>
                                  </w:rPr>
                                  <w:t xml:space="preserve"> продуктивності праці в ході інноваційного розвитку; забезпечення відповідності отримано</w:t>
                                </w:r>
                                <w:r>
                                  <w:rPr>
                                    <w:rFonts w:ascii="Times New Roman" w:hAnsi="Times New Roman" w:cs="Times New Roman"/>
                                    <w:bCs/>
                                    <w:sz w:val="16"/>
                                    <w:szCs w:val="16"/>
                                  </w:rPr>
                                  <w:t>-</w:t>
                                </w:r>
                                <w:r w:rsidRPr="00F528A4">
                                  <w:rPr>
                                    <w:rFonts w:ascii="Times New Roman" w:hAnsi="Times New Roman" w:cs="Times New Roman"/>
                                    <w:bCs/>
                                    <w:sz w:val="16"/>
                                    <w:szCs w:val="16"/>
                                  </w:rPr>
                                  <w:t xml:space="preserve">го працівником доходу результатам його праці та потребам його відтворення; відмирання позаекономічного примусу до праці </w:t>
                                </w:r>
                                <w:r>
                                  <w:rPr>
                                    <w:rFonts w:ascii="Times New Roman" w:hAnsi="Times New Roman" w:cs="Times New Roman"/>
                                    <w:bCs/>
                                    <w:sz w:val="16"/>
                                    <w:szCs w:val="16"/>
                                  </w:rPr>
                                  <w:t>в ході  трансформаційного проце</w:t>
                                </w:r>
                                <w:r w:rsidRPr="00F528A4">
                                  <w:rPr>
                                    <w:rFonts w:ascii="Times New Roman" w:hAnsi="Times New Roman" w:cs="Times New Roman"/>
                                    <w:bCs/>
                                    <w:sz w:val="16"/>
                                    <w:szCs w:val="16"/>
                                  </w:rPr>
                                  <w:t>су</w:t>
                                </w:r>
                              </w:p>
                            </w:txbxContent>
                          </wps:txbx>
                          <wps:bodyPr rot="0" vert="horz" wrap="square" lIns="0" tIns="0" rIns="0" bIns="0" anchor="t" anchorCtr="0" upright="1">
                            <a:noAutofit/>
                          </wps:bodyPr>
                        </wps:wsp>
                        <wps:wsp>
                          <wps:cNvPr id="402" name="Line 291"/>
                          <wps:cNvCnPr/>
                          <wps:spPr bwMode="auto">
                            <a:xfrm>
                              <a:off x="6241" y="3215"/>
                              <a:ext cx="1553" cy="558"/>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3" name="Line 292"/>
                          <wps:cNvCnPr/>
                          <wps:spPr bwMode="auto">
                            <a:xfrm flipH="1">
                              <a:off x="3559" y="2937"/>
                              <a:ext cx="282" cy="1"/>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4" name="Line 293"/>
                          <wps:cNvCnPr/>
                          <wps:spPr bwMode="auto">
                            <a:xfrm flipH="1" flipV="1">
                              <a:off x="3980" y="1404"/>
                              <a:ext cx="2" cy="836"/>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5" name="Rectangle 294"/>
                          <wps:cNvSpPr>
                            <a:spLocks noChangeArrowheads="1"/>
                          </wps:cNvSpPr>
                          <wps:spPr bwMode="auto">
                            <a:xfrm>
                              <a:off x="2851" y="847"/>
                              <a:ext cx="1278" cy="531"/>
                            </a:xfrm>
                            <a:prstGeom prst="rect">
                              <a:avLst/>
                            </a:prstGeom>
                            <a:solidFill>
                              <a:srgbClr val="FFFFFF"/>
                            </a:solidFill>
                            <a:ln w="28575">
                              <a:solidFill>
                                <a:srgbClr val="000000"/>
                              </a:solidFill>
                              <a:miter lim="800000"/>
                              <a:headEnd/>
                              <a:tailEnd/>
                            </a:ln>
                          </wps:spPr>
                          <wps:txbx>
                            <w:txbxContent>
                              <w:p w:rsidR="00BE40F8" w:rsidRPr="00761F82" w:rsidRDefault="00BE40F8" w:rsidP="00B233DE">
                                <w:pPr>
                                  <w:ind w:firstLine="0"/>
                                  <w:jc w:val="center"/>
                                  <w:rPr>
                                    <w:rFonts w:ascii="Times New Roman" w:hAnsi="Times New Roman" w:cs="Times New Roman"/>
                                    <w:sz w:val="10"/>
                                    <w:szCs w:val="10"/>
                                  </w:rPr>
                                </w:pPr>
                              </w:p>
                              <w:p w:rsidR="00BE40F8" w:rsidRPr="00761F82" w:rsidRDefault="00BE40F8" w:rsidP="00B233DE">
                                <w:pPr>
                                  <w:ind w:firstLine="0"/>
                                  <w:jc w:val="center"/>
                                  <w:rPr>
                                    <w:rFonts w:ascii="Times New Roman" w:hAnsi="Times New Roman" w:cs="Times New Roman"/>
                                    <w:sz w:val="16"/>
                                    <w:szCs w:val="16"/>
                                  </w:rPr>
                                </w:pPr>
                                <w:r w:rsidRPr="00761F82">
                                  <w:rPr>
                                    <w:rFonts w:ascii="Times New Roman" w:hAnsi="Times New Roman" w:cs="Times New Roman"/>
                                    <w:sz w:val="16"/>
                                    <w:szCs w:val="16"/>
                                  </w:rPr>
                                  <w:t>Соціального характеру</w:t>
                                </w:r>
                              </w:p>
                            </w:txbxContent>
                          </wps:txbx>
                          <wps:bodyPr rot="0" vert="horz" wrap="square" lIns="0" tIns="0" rIns="0" bIns="0" anchor="t" anchorCtr="0" upright="1">
                            <a:noAutofit/>
                          </wps:bodyPr>
                        </wps:wsp>
                        <wps:wsp>
                          <wps:cNvPr id="406" name="Line 295"/>
                          <wps:cNvCnPr/>
                          <wps:spPr bwMode="auto">
                            <a:xfrm>
                              <a:off x="4121" y="1265"/>
                              <a:ext cx="424"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7" name="Rectangle 296"/>
                          <wps:cNvSpPr>
                            <a:spLocks noChangeArrowheads="1"/>
                          </wps:cNvSpPr>
                          <wps:spPr bwMode="auto">
                            <a:xfrm>
                              <a:off x="7794" y="3355"/>
                              <a:ext cx="1553" cy="696"/>
                            </a:xfrm>
                            <a:prstGeom prst="rect">
                              <a:avLst/>
                            </a:prstGeom>
                            <a:solidFill>
                              <a:srgbClr val="FFFFFF"/>
                            </a:solidFill>
                            <a:ln w="28575">
                              <a:solidFill>
                                <a:srgbClr val="000000"/>
                              </a:solidFill>
                              <a:miter lim="800000"/>
                              <a:headEnd/>
                              <a:tailEnd/>
                            </a:ln>
                          </wps:spPr>
                          <wps:txbx>
                            <w:txbxContent>
                              <w:p w:rsidR="00BE40F8" w:rsidRPr="00761F82" w:rsidRDefault="00BE40F8" w:rsidP="00B233DE">
                                <w:pPr>
                                  <w:ind w:firstLine="0"/>
                                  <w:jc w:val="center"/>
                                  <w:rPr>
                                    <w:rFonts w:ascii="Times New Roman" w:hAnsi="Times New Roman" w:cs="Times New Roman"/>
                                    <w:sz w:val="18"/>
                                    <w:szCs w:val="18"/>
                                  </w:rPr>
                                </w:pPr>
                              </w:p>
                              <w:p w:rsidR="00BE40F8" w:rsidRPr="00F528A4" w:rsidRDefault="00BE40F8" w:rsidP="00B233DE">
                                <w:pPr>
                                  <w:ind w:firstLine="0"/>
                                  <w:jc w:val="center"/>
                                  <w:rPr>
                                    <w:rFonts w:ascii="Times New Roman" w:hAnsi="Times New Roman" w:cs="Times New Roman"/>
                                    <w:sz w:val="16"/>
                                    <w:szCs w:val="16"/>
                                  </w:rPr>
                                </w:pPr>
                                <w:r w:rsidRPr="00F528A4">
                                  <w:rPr>
                                    <w:rFonts w:ascii="Times New Roman" w:hAnsi="Times New Roman" w:cs="Times New Roman"/>
                                    <w:sz w:val="16"/>
                                    <w:szCs w:val="16"/>
                                  </w:rPr>
                                  <w:t>Управлінського характеру</w:t>
                                </w:r>
                              </w:p>
                            </w:txbxContent>
                          </wps:txbx>
                          <wps:bodyPr rot="0" vert="horz" wrap="square" lIns="0" tIns="0" rIns="0" bIns="0" anchor="t" anchorCtr="0" upright="1">
                            <a:noAutofit/>
                          </wps:bodyPr>
                        </wps:wsp>
                        <wps:wsp>
                          <wps:cNvPr id="408" name="Line 297"/>
                          <wps:cNvCnPr/>
                          <wps:spPr bwMode="auto">
                            <a:xfrm>
                              <a:off x="8500" y="4051"/>
                              <a:ext cx="1" cy="2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9" name="Rectangle 298"/>
                          <wps:cNvSpPr>
                            <a:spLocks noChangeArrowheads="1"/>
                          </wps:cNvSpPr>
                          <wps:spPr bwMode="auto">
                            <a:xfrm>
                              <a:off x="2288" y="2797"/>
                              <a:ext cx="1272" cy="557"/>
                            </a:xfrm>
                            <a:prstGeom prst="rect">
                              <a:avLst/>
                            </a:prstGeom>
                            <a:solidFill>
                              <a:srgbClr val="FFFFFF"/>
                            </a:solidFill>
                            <a:ln w="28575">
                              <a:solidFill>
                                <a:srgbClr val="000000"/>
                              </a:solidFill>
                              <a:miter lim="800000"/>
                              <a:headEnd/>
                              <a:tailEnd/>
                            </a:ln>
                          </wps:spPr>
                          <wps:txbx>
                            <w:txbxContent>
                              <w:p w:rsidR="00BE40F8" w:rsidRPr="00761F82" w:rsidRDefault="00BE40F8" w:rsidP="00B233DE">
                                <w:pPr>
                                  <w:ind w:firstLine="0"/>
                                  <w:jc w:val="center"/>
                                  <w:rPr>
                                    <w:rFonts w:ascii="Times New Roman" w:hAnsi="Times New Roman" w:cs="Times New Roman"/>
                                    <w:sz w:val="10"/>
                                    <w:szCs w:val="10"/>
                                  </w:rPr>
                                </w:pPr>
                              </w:p>
                              <w:p w:rsidR="00BE40F8" w:rsidRPr="00761F82" w:rsidRDefault="00BE40F8" w:rsidP="00B233DE">
                                <w:pPr>
                                  <w:ind w:firstLine="0"/>
                                  <w:jc w:val="center"/>
                                  <w:rPr>
                                    <w:rFonts w:ascii="Times New Roman" w:hAnsi="Times New Roman" w:cs="Times New Roman"/>
                                    <w:sz w:val="16"/>
                                    <w:szCs w:val="16"/>
                                  </w:rPr>
                                </w:pPr>
                                <w:r w:rsidRPr="00761F82">
                                  <w:rPr>
                                    <w:rFonts w:ascii="Times New Roman" w:hAnsi="Times New Roman" w:cs="Times New Roman"/>
                                    <w:sz w:val="16"/>
                                    <w:szCs w:val="16"/>
                                  </w:rPr>
                                  <w:t>Економічного характеру</w:t>
                                </w:r>
                              </w:p>
                            </w:txbxContent>
                          </wps:txbx>
                          <wps:bodyPr rot="0" vert="horz" wrap="square" lIns="0" tIns="0" rIns="0" bIns="0" anchor="t" anchorCtr="0" upright="1">
                            <a:noAutofit/>
                          </wps:bodyPr>
                        </wps:wsp>
                        <wps:wsp>
                          <wps:cNvPr id="410" name="Line 299"/>
                          <wps:cNvCnPr/>
                          <wps:spPr bwMode="auto">
                            <a:xfrm>
                              <a:off x="2994" y="3355"/>
                              <a:ext cx="1" cy="1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411" name="AutoShape 300"/>
                        <wps:cNvSpPr>
                          <a:spLocks noChangeArrowheads="1"/>
                        </wps:cNvSpPr>
                        <wps:spPr bwMode="auto">
                          <a:xfrm>
                            <a:off x="3636" y="1393"/>
                            <a:ext cx="4177" cy="1584"/>
                          </a:xfrm>
                          <a:prstGeom prst="roundRect">
                            <a:avLst>
                              <a:gd name="adj" fmla="val 16667"/>
                            </a:avLst>
                          </a:prstGeom>
                          <a:solidFill>
                            <a:srgbClr val="FFFFFF"/>
                          </a:solidFill>
                          <a:ln w="19050">
                            <a:solidFill>
                              <a:srgbClr val="000000"/>
                            </a:solidFill>
                            <a:round/>
                            <a:headEnd/>
                            <a:tailEnd/>
                          </a:ln>
                        </wps:spPr>
                        <wps:txbx>
                          <w:txbxContent>
                            <w:p w:rsidR="00BE40F8" w:rsidRPr="00761F82" w:rsidRDefault="00BE40F8" w:rsidP="00B233DE">
                              <w:pPr>
                                <w:spacing w:line="230" w:lineRule="auto"/>
                                <w:ind w:firstLine="0"/>
                                <w:jc w:val="both"/>
                                <w:rPr>
                                  <w:rFonts w:ascii="Times New Roman" w:hAnsi="Times New Roman" w:cs="Times New Roman"/>
                                  <w:sz w:val="16"/>
                                  <w:szCs w:val="16"/>
                                </w:rPr>
                              </w:pPr>
                              <w:r w:rsidRPr="00761F82">
                                <w:rPr>
                                  <w:rFonts w:ascii="Times New Roman" w:hAnsi="Times New Roman" w:cs="Times New Roman"/>
                                  <w:sz w:val="16"/>
                                  <w:szCs w:val="16"/>
                                </w:rPr>
                                <w:t>Взаємозалежність ступеню диференціації суспільства та рівня розвиненості РРП; відповідність якості людського капіталу вимогам економічної модернізації; зростання життєвого рівня населення в результаті соціально-економічної трансформації ринку праці; самореалізація якісних характеристик</w:t>
                              </w:r>
                              <w:r w:rsidRPr="00761F82">
                                <w:rPr>
                                  <w:sz w:val="18"/>
                                  <w:szCs w:val="18"/>
                                </w:rPr>
                                <w:t xml:space="preserve"> </w:t>
                              </w:r>
                              <w:r w:rsidRPr="00761F82">
                                <w:rPr>
                                  <w:rFonts w:ascii="Times New Roman" w:hAnsi="Times New Roman" w:cs="Times New Roman"/>
                                  <w:sz w:val="16"/>
                                  <w:szCs w:val="16"/>
                                </w:rPr>
                                <w:t>робочої сили в умовах посилення конкуренції на ринку</w:t>
                              </w:r>
                              <w:r w:rsidRPr="00761F82">
                                <w:rPr>
                                  <w:sz w:val="20"/>
                                  <w:szCs w:val="18"/>
                                </w:rPr>
                                <w:t xml:space="preserve"> </w:t>
                              </w:r>
                              <w:r w:rsidRPr="00761F82">
                                <w:rPr>
                                  <w:rFonts w:ascii="Times New Roman" w:hAnsi="Times New Roman" w:cs="Times New Roman"/>
                                  <w:sz w:val="16"/>
                                  <w:szCs w:val="16"/>
                                </w:rPr>
                                <w:t>праці;</w:t>
                              </w:r>
                              <w:r w:rsidRPr="00761F82">
                                <w:rPr>
                                  <w:sz w:val="18"/>
                                  <w:szCs w:val="18"/>
                                </w:rPr>
                                <w:t xml:space="preserve"> </w:t>
                              </w:r>
                              <w:r w:rsidRPr="00761F82">
                                <w:rPr>
                                  <w:rFonts w:ascii="Times New Roman" w:hAnsi="Times New Roman" w:cs="Times New Roman"/>
                                  <w:sz w:val="16"/>
                                  <w:szCs w:val="16"/>
                                </w:rPr>
                                <w:t>взаємозв’язок між соціальною стабільністю суспільства та ідеологією соціального партнерства в умовах соціально-орієнтованої економіки;</w:t>
                              </w:r>
                            </w:p>
                          </w:txbxContent>
                        </wps:txbx>
                        <wps:bodyPr rot="0" vert="horz" wrap="square" lIns="0" tIns="0" rIns="0" bIns="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95A27E1" id="Группа 396" o:spid="_x0000_s1190" style="position:absolute;left:0;text-align:left;margin-left:16.6pt;margin-top:10.4pt;width:304.7pt;height:327.95pt;z-index:251683840;mso-position-horizontal-relative:text;mso-position-vertical-relative:text" coordorigin="1803,1393" coordsize="6094,43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">
                <v:group id="Canvas 286" o:spid="_x0000_s1191" style="position:absolute;left:1803;top:1393;width:6094;height:4344" coordorigin="2278,429" coordsize="7535,53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">
                  <o:lock v:ext="edit" aspectratio="t"/>
                  <v:rect id="AutoShape 287" o:spid="_x0000_s1192" style="position:absolute;left:2278;top:429;width:7535;height:5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" filled="f" stroked="f">
                    <o:lock v:ext="edit" aspectratio="t" text="t"/>
                  </v:rect>
                  <v:rect id="Rectangle 288" o:spid="_x0000_s1193" style="position:absolute;left:3841;top:2493;width:5074;height: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" strokeweight="3pt">
                    <v:textbox inset="1.60019mm,.80011mm,1.60019mm,.80011mm">
                      <w:txbxContent>
                        <w:p w:rsidR="00BE40F8" w:rsidRPr="00761F82" w:rsidRDefault="00BE40F8" w:rsidP="00B233DE">
                          <w:pPr>
                            <w:ind w:firstLine="0"/>
                            <w:jc w:val="center"/>
                            <w:rPr>
                              <w:rFonts w:ascii="Times New Roman" w:hAnsi="Times New Roman" w:cs="Times New Roman"/>
                              <w:b/>
                              <w:bCs/>
                              <w:sz w:val="14"/>
                              <w:szCs w:val="14"/>
                            </w:rPr>
                          </w:pPr>
                        </w:p>
                        <w:p w:rsidR="00BE40F8" w:rsidRPr="00F528A4" w:rsidRDefault="00BE40F8" w:rsidP="00B233DE">
                          <w:pPr>
                            <w:ind w:firstLine="0"/>
                            <w:jc w:val="center"/>
                            <w:rPr>
                              <w:rFonts w:ascii="Times New Roman" w:hAnsi="Times New Roman" w:cs="Times New Roman"/>
                              <w:b/>
                              <w:bCs/>
                              <w:sz w:val="16"/>
                              <w:szCs w:val="16"/>
                            </w:rPr>
                          </w:pPr>
                          <w:r w:rsidRPr="00F528A4">
                            <w:rPr>
                              <w:rFonts w:ascii="Times New Roman" w:hAnsi="Times New Roman" w:cs="Times New Roman"/>
                              <w:b/>
                              <w:bCs/>
                              <w:sz w:val="16"/>
                              <w:szCs w:val="16"/>
                            </w:rPr>
                            <w:t>Основні закономірності регіонального ринку праці</w:t>
                          </w:r>
                        </w:p>
                        <w:p w:rsidR="00BE40F8" w:rsidRPr="00F528A4" w:rsidRDefault="00BE40F8" w:rsidP="00B233DE">
                          <w:pPr>
                            <w:ind w:left="360" w:firstLine="0"/>
                            <w:jc w:val="center"/>
                            <w:rPr>
                              <w:rFonts w:ascii="Times New Roman" w:hAnsi="Times New Roman" w:cs="Times New Roman"/>
                              <w:sz w:val="16"/>
                              <w:szCs w:val="16"/>
                            </w:rPr>
                          </w:pPr>
                          <w:r w:rsidRPr="00F528A4">
                            <w:rPr>
                              <w:rFonts w:ascii="Times New Roman" w:hAnsi="Times New Roman" w:cs="Times New Roman"/>
                              <w:b/>
                              <w:bCs/>
                              <w:sz w:val="16"/>
                              <w:szCs w:val="16"/>
                            </w:rPr>
                            <w:t>за сферами застосування</w:t>
                          </w:r>
                        </w:p>
                      </w:txbxContent>
                    </v:textbox>
                  </v:rect>
                  <v:roundrect id="AutoShape 289" o:spid="_x0000_s1194" style="position:absolute;left:6806;top:4330;width:2817;height:14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" strokeweight="1.5pt">
                    <v:textbox inset="0,0,0,0">
                      <w:txbxContent>
                        <w:p w:rsidR="00BE40F8" w:rsidRPr="00761F82" w:rsidRDefault="00BE40F8" w:rsidP="00B233DE">
                          <w:pPr>
                            <w:ind w:firstLine="0"/>
                            <w:jc w:val="both"/>
                            <w:rPr>
                              <w:rFonts w:ascii="Times New Roman" w:hAnsi="Times New Roman" w:cs="Times New Roman"/>
                              <w:sz w:val="16"/>
                              <w:szCs w:val="16"/>
                            </w:rPr>
                          </w:pPr>
                          <w:r w:rsidRPr="00761F82">
                            <w:rPr>
                              <w:rFonts w:ascii="Times New Roman" w:hAnsi="Times New Roman" w:cs="Times New Roman"/>
                              <w:bCs/>
                              <w:sz w:val="16"/>
                              <w:szCs w:val="16"/>
                            </w:rPr>
                            <w:t>Пропорційноісті керуючої та керованої підсистеми управ</w:t>
                          </w:r>
                          <w:r>
                            <w:rPr>
                              <w:rFonts w:ascii="Times New Roman" w:hAnsi="Times New Roman" w:cs="Times New Roman"/>
                              <w:bCs/>
                              <w:sz w:val="16"/>
                              <w:szCs w:val="16"/>
                            </w:rPr>
                            <w:t>-</w:t>
                          </w:r>
                          <w:r w:rsidRPr="00761F82">
                            <w:rPr>
                              <w:rFonts w:ascii="Times New Roman" w:hAnsi="Times New Roman" w:cs="Times New Roman"/>
                              <w:bCs/>
                              <w:sz w:val="16"/>
                              <w:szCs w:val="16"/>
                            </w:rPr>
                            <w:t>ління регіональним ринком праці; оптимального співвід</w:t>
                          </w:r>
                          <w:r>
                            <w:rPr>
                              <w:rFonts w:ascii="Times New Roman" w:hAnsi="Times New Roman" w:cs="Times New Roman"/>
                              <w:bCs/>
                              <w:sz w:val="16"/>
                              <w:szCs w:val="16"/>
                            </w:rPr>
                            <w:t>-</w:t>
                          </w:r>
                          <w:r w:rsidRPr="00761F82">
                            <w:rPr>
                              <w:rFonts w:ascii="Times New Roman" w:hAnsi="Times New Roman" w:cs="Times New Roman"/>
                              <w:bCs/>
                              <w:sz w:val="16"/>
                              <w:szCs w:val="16"/>
                            </w:rPr>
                            <w:t>ношення централізації та диференціації функцій управ</w:t>
                          </w:r>
                          <w:r>
                            <w:rPr>
                              <w:rFonts w:ascii="Times New Roman" w:hAnsi="Times New Roman" w:cs="Times New Roman"/>
                              <w:bCs/>
                              <w:sz w:val="16"/>
                              <w:szCs w:val="16"/>
                            </w:rPr>
                            <w:t>-</w:t>
                          </w:r>
                          <w:r w:rsidRPr="00761F82">
                            <w:rPr>
                              <w:rFonts w:ascii="Times New Roman" w:hAnsi="Times New Roman" w:cs="Times New Roman"/>
                              <w:bCs/>
                              <w:sz w:val="16"/>
                              <w:szCs w:val="16"/>
                            </w:rPr>
                            <w:t>ління сферою праці</w:t>
                          </w:r>
                        </w:p>
                      </w:txbxContent>
                    </v:textbox>
                  </v:roundrect>
                  <v:roundrect id="AutoShape 290" o:spid="_x0000_s1195" style="position:absolute;left:2288;top:3533;width:4376;height:219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" strokeweight="1.5pt">
                    <v:textbox inset="0,0,0,0">
                      <w:txbxContent>
                        <w:p w:rsidR="00BE40F8" w:rsidRPr="00F528A4" w:rsidRDefault="00BE40F8" w:rsidP="00B233DE">
                          <w:pPr>
                            <w:spacing w:after="200" w:line="230" w:lineRule="auto"/>
                            <w:ind w:firstLine="0"/>
                            <w:jc w:val="both"/>
                            <w:rPr>
                              <w:rFonts w:ascii="Times New Roman" w:hAnsi="Times New Roman" w:cs="Times New Roman"/>
                              <w:bCs/>
                              <w:sz w:val="16"/>
                              <w:szCs w:val="16"/>
                            </w:rPr>
                          </w:pPr>
                          <w:r w:rsidRPr="00F528A4">
                            <w:rPr>
                              <w:rFonts w:ascii="Times New Roman" w:hAnsi="Times New Roman" w:cs="Times New Roman"/>
                              <w:bCs/>
                              <w:sz w:val="16"/>
                              <w:szCs w:val="16"/>
                            </w:rPr>
                            <w:t>Адекватність рівня безробіття рівню розвитку соціально-трансформаційних відносин; оптимі</w:t>
                          </w:r>
                          <w:r>
                            <w:rPr>
                              <w:rFonts w:ascii="Times New Roman" w:hAnsi="Times New Roman" w:cs="Times New Roman"/>
                              <w:bCs/>
                              <w:sz w:val="16"/>
                              <w:szCs w:val="16"/>
                            </w:rPr>
                            <w:t>-</w:t>
                          </w:r>
                          <w:r w:rsidRPr="00F528A4">
                            <w:rPr>
                              <w:rFonts w:ascii="Times New Roman" w:hAnsi="Times New Roman" w:cs="Times New Roman"/>
                              <w:bCs/>
                              <w:sz w:val="16"/>
                              <w:szCs w:val="16"/>
                            </w:rPr>
                            <w:t>зація структури зайнятості згідно із досягнутим рівнем структурних змін економіки; обумов</w:t>
                          </w:r>
                          <w:r>
                            <w:rPr>
                              <w:rFonts w:ascii="Times New Roman" w:hAnsi="Times New Roman" w:cs="Times New Roman"/>
                              <w:bCs/>
                              <w:sz w:val="16"/>
                              <w:szCs w:val="16"/>
                            </w:rPr>
                            <w:t>-</w:t>
                          </w:r>
                          <w:r w:rsidRPr="00F528A4">
                            <w:rPr>
                              <w:rFonts w:ascii="Times New Roman" w:hAnsi="Times New Roman" w:cs="Times New Roman"/>
                              <w:bCs/>
                              <w:sz w:val="16"/>
                              <w:szCs w:val="16"/>
                            </w:rPr>
                            <w:t xml:space="preserve">леність посилення конкуренції робочої сили </w:t>
                          </w:r>
                          <w:r w:rsidRPr="00761F82">
                            <w:rPr>
                              <w:rFonts w:ascii="Times New Roman" w:hAnsi="Times New Roman" w:cs="Times New Roman"/>
                              <w:bCs/>
                              <w:spacing w:val="-4"/>
                              <w:sz w:val="16"/>
                              <w:szCs w:val="16"/>
                            </w:rPr>
                            <w:t>процесом розвитку ринку праці; підвищення рівня</w:t>
                          </w:r>
                          <w:r w:rsidRPr="00F528A4">
                            <w:rPr>
                              <w:rFonts w:ascii="Times New Roman" w:hAnsi="Times New Roman" w:cs="Times New Roman"/>
                              <w:bCs/>
                              <w:sz w:val="16"/>
                              <w:szCs w:val="16"/>
                            </w:rPr>
                            <w:t xml:space="preserve"> продуктивності праці в ході інноваційного розвитку; забезпечення відповідності отримано</w:t>
                          </w:r>
                          <w:r>
                            <w:rPr>
                              <w:rFonts w:ascii="Times New Roman" w:hAnsi="Times New Roman" w:cs="Times New Roman"/>
                              <w:bCs/>
                              <w:sz w:val="16"/>
                              <w:szCs w:val="16"/>
                            </w:rPr>
                            <w:t>-</w:t>
                          </w:r>
                          <w:r w:rsidRPr="00F528A4">
                            <w:rPr>
                              <w:rFonts w:ascii="Times New Roman" w:hAnsi="Times New Roman" w:cs="Times New Roman"/>
                              <w:bCs/>
                              <w:sz w:val="16"/>
                              <w:szCs w:val="16"/>
                            </w:rPr>
                            <w:t xml:space="preserve">го працівником доходу результатам його праці та потребам його відтворення; відмирання позаекономічного примусу до праці </w:t>
                          </w:r>
                          <w:r>
                            <w:rPr>
                              <w:rFonts w:ascii="Times New Roman" w:hAnsi="Times New Roman" w:cs="Times New Roman"/>
                              <w:bCs/>
                              <w:sz w:val="16"/>
                              <w:szCs w:val="16"/>
                            </w:rPr>
                            <w:t>в ході  трансформаційного проце</w:t>
                          </w:r>
                          <w:r w:rsidRPr="00F528A4">
                            <w:rPr>
                              <w:rFonts w:ascii="Times New Roman" w:hAnsi="Times New Roman" w:cs="Times New Roman"/>
                              <w:bCs/>
                              <w:sz w:val="16"/>
                              <w:szCs w:val="16"/>
                            </w:rPr>
                            <w:t>су</w:t>
                          </w:r>
                        </w:p>
                      </w:txbxContent>
                    </v:textbox>
                  </v:roundrect>
                  <v:line id="Line 291" o:spid="_x0000_s1196" style="position:absolute;visibility:visible;mso-wrap-style:square" from="6241,3215" to="7794,37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" strokeweight="2.25pt">
                    <v:stroke endarrow="block"/>
                  </v:line>
                  <v:line id="Line 292" o:spid="_x0000_s1197" style="position:absolute;flip:x;visibility:visible;mso-wrap-style:square" from="3559,2937" to="3841,29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" strokeweight="2.25pt">
                    <v:stroke endarrow="block"/>
                  </v:line>
                  <v:line id="Line 293" o:spid="_x0000_s1198" style="position:absolute;flip:x y;visibility:visible;mso-wrap-style:square" from="3980,1404" to="3982,22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" strokeweight="2.25pt">
                    <v:stroke endarrow="block"/>
                  </v:line>
                  <v:rect id="Rectangle 294" o:spid="_x0000_s1199" style="position:absolute;left:2851;top:847;width:1278;height: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" strokeweight="2.25pt">
                    <v:textbox inset="0,0,0,0">
                      <w:txbxContent>
                        <w:p w:rsidR="00BE40F8" w:rsidRPr="00761F82" w:rsidRDefault="00BE40F8" w:rsidP="00B233DE">
                          <w:pPr>
                            <w:ind w:firstLine="0"/>
                            <w:jc w:val="center"/>
                            <w:rPr>
                              <w:rFonts w:ascii="Times New Roman" w:hAnsi="Times New Roman" w:cs="Times New Roman"/>
                              <w:sz w:val="10"/>
                              <w:szCs w:val="10"/>
                            </w:rPr>
                          </w:pPr>
                        </w:p>
                        <w:p w:rsidR="00BE40F8" w:rsidRPr="00761F82" w:rsidRDefault="00BE40F8" w:rsidP="00B233DE">
                          <w:pPr>
                            <w:ind w:firstLine="0"/>
                            <w:jc w:val="center"/>
                            <w:rPr>
                              <w:rFonts w:ascii="Times New Roman" w:hAnsi="Times New Roman" w:cs="Times New Roman"/>
                              <w:sz w:val="16"/>
                              <w:szCs w:val="16"/>
                            </w:rPr>
                          </w:pPr>
                          <w:r w:rsidRPr="00761F82">
                            <w:rPr>
                              <w:rFonts w:ascii="Times New Roman" w:hAnsi="Times New Roman" w:cs="Times New Roman"/>
                              <w:sz w:val="16"/>
                              <w:szCs w:val="16"/>
                            </w:rPr>
                            <w:t>Соціального характеру</w:t>
                          </w:r>
                        </w:p>
                      </w:txbxContent>
                    </v:textbox>
                  </v:rect>
                  <v:line id="Line 295" o:spid="_x0000_s1200" style="position:absolute;visibility:visible;mso-wrap-style:square" from="4121,1265" to="4545,1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">
                    <v:stroke endarrow="block"/>
                  </v:line>
                  <v:rect id="Rectangle 296" o:spid="_x0000_s1201" style="position:absolute;left:7794;top:3355;width:1553;height: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" strokeweight="2.25pt">
                    <v:textbox inset="0,0,0,0">
                      <w:txbxContent>
                        <w:p w:rsidR="00BE40F8" w:rsidRPr="00761F82" w:rsidRDefault="00BE40F8" w:rsidP="00B233DE">
                          <w:pPr>
                            <w:ind w:firstLine="0"/>
                            <w:jc w:val="center"/>
                            <w:rPr>
                              <w:rFonts w:ascii="Times New Roman" w:hAnsi="Times New Roman" w:cs="Times New Roman"/>
                              <w:sz w:val="18"/>
                              <w:szCs w:val="18"/>
                            </w:rPr>
                          </w:pPr>
                        </w:p>
                        <w:p w:rsidR="00BE40F8" w:rsidRPr="00F528A4" w:rsidRDefault="00BE40F8" w:rsidP="00B233DE">
                          <w:pPr>
                            <w:ind w:firstLine="0"/>
                            <w:jc w:val="center"/>
                            <w:rPr>
                              <w:rFonts w:ascii="Times New Roman" w:hAnsi="Times New Roman" w:cs="Times New Roman"/>
                              <w:sz w:val="16"/>
                              <w:szCs w:val="16"/>
                            </w:rPr>
                          </w:pPr>
                          <w:r w:rsidRPr="00F528A4">
                            <w:rPr>
                              <w:rFonts w:ascii="Times New Roman" w:hAnsi="Times New Roman" w:cs="Times New Roman"/>
                              <w:sz w:val="16"/>
                              <w:szCs w:val="16"/>
                            </w:rPr>
                            <w:t>Управлінського характеру</w:t>
                          </w:r>
                        </w:p>
                      </w:txbxContent>
                    </v:textbox>
                  </v:rect>
                  <v:line id="Line 297" o:spid="_x0000_s1202" style="position:absolute;visibility:visible;mso-wrap-style:square" from="8500,4051" to="8501,43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">
                    <v:stroke endarrow="block"/>
                  </v:line>
                  <v:rect id="Rectangle 298" o:spid="_x0000_s1203" style="position:absolute;left:2288;top:2797;width:1272;height: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" strokeweight="2.25pt">
                    <v:textbox inset="0,0,0,0">
                      <w:txbxContent>
                        <w:p w:rsidR="00BE40F8" w:rsidRPr="00761F82" w:rsidRDefault="00BE40F8" w:rsidP="00B233DE">
                          <w:pPr>
                            <w:ind w:firstLine="0"/>
                            <w:jc w:val="center"/>
                            <w:rPr>
                              <w:rFonts w:ascii="Times New Roman" w:hAnsi="Times New Roman" w:cs="Times New Roman"/>
                              <w:sz w:val="10"/>
                              <w:szCs w:val="10"/>
                            </w:rPr>
                          </w:pPr>
                        </w:p>
                        <w:p w:rsidR="00BE40F8" w:rsidRPr="00761F82" w:rsidRDefault="00BE40F8" w:rsidP="00B233DE">
                          <w:pPr>
                            <w:ind w:firstLine="0"/>
                            <w:jc w:val="center"/>
                            <w:rPr>
                              <w:rFonts w:ascii="Times New Roman" w:hAnsi="Times New Roman" w:cs="Times New Roman"/>
                              <w:sz w:val="16"/>
                              <w:szCs w:val="16"/>
                            </w:rPr>
                          </w:pPr>
                          <w:r w:rsidRPr="00761F82">
                            <w:rPr>
                              <w:rFonts w:ascii="Times New Roman" w:hAnsi="Times New Roman" w:cs="Times New Roman"/>
                              <w:sz w:val="16"/>
                              <w:szCs w:val="16"/>
                            </w:rPr>
                            <w:t>Економічного характеру</w:t>
                          </w:r>
                        </w:p>
                      </w:txbxContent>
                    </v:textbox>
                  </v:rect>
                  <v:line id="Line 299" o:spid="_x0000_s1204" style="position:absolute;visibility:visible;mso-wrap-style:square" from="2994,3355" to="2995,35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">
                    <v:stroke endarrow="block"/>
                  </v:line>
                </v:group>
                <v:roundrect id="AutoShape 300" o:spid="_x0000_s1205" style="position:absolute;left:3636;top:1393;width:4177;height:158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" strokeweight="1.5pt">
                  <v:textbox inset="0,0,0,0">
                    <w:txbxContent>
                      <w:p w:rsidR="00BE40F8" w:rsidRPr="00761F82" w:rsidRDefault="00BE40F8" w:rsidP="00B233DE">
                        <w:pPr>
                          <w:spacing w:line="230" w:lineRule="auto"/>
                          <w:ind w:firstLine="0"/>
                          <w:jc w:val="both"/>
                          <w:rPr>
                            <w:rFonts w:ascii="Times New Roman" w:hAnsi="Times New Roman" w:cs="Times New Roman"/>
                            <w:sz w:val="16"/>
                            <w:szCs w:val="16"/>
                          </w:rPr>
                        </w:pPr>
                        <w:r w:rsidRPr="00761F82">
                          <w:rPr>
                            <w:rFonts w:ascii="Times New Roman" w:hAnsi="Times New Roman" w:cs="Times New Roman"/>
                            <w:sz w:val="16"/>
                            <w:szCs w:val="16"/>
                          </w:rPr>
                          <w:t>Взаємозалежність ступеню диференціації суспільства та рівня розвиненості РРП; відповідність якості людського капіталу вимогам економічної модернізації; зростання життєвого рівня населення в результаті соціально-економічної трансформації ринку праці; самореалізація якісних характеристик</w:t>
                        </w:r>
                        <w:r w:rsidRPr="00761F82">
                          <w:rPr>
                            <w:sz w:val="18"/>
                            <w:szCs w:val="18"/>
                          </w:rPr>
                          <w:t xml:space="preserve"> </w:t>
                        </w:r>
                        <w:r w:rsidRPr="00761F82">
                          <w:rPr>
                            <w:rFonts w:ascii="Times New Roman" w:hAnsi="Times New Roman" w:cs="Times New Roman"/>
                            <w:sz w:val="16"/>
                            <w:szCs w:val="16"/>
                          </w:rPr>
                          <w:t>робочої сили в умовах посилення конкуренції на ринку</w:t>
                        </w:r>
                        <w:r w:rsidRPr="00761F82">
                          <w:rPr>
                            <w:sz w:val="20"/>
                            <w:szCs w:val="18"/>
                          </w:rPr>
                          <w:t xml:space="preserve"> </w:t>
                        </w:r>
                        <w:r w:rsidRPr="00761F82">
                          <w:rPr>
                            <w:rFonts w:ascii="Times New Roman" w:hAnsi="Times New Roman" w:cs="Times New Roman"/>
                            <w:sz w:val="16"/>
                            <w:szCs w:val="16"/>
                          </w:rPr>
                          <w:t>праці;</w:t>
                        </w:r>
                        <w:r w:rsidRPr="00761F82">
                          <w:rPr>
                            <w:sz w:val="18"/>
                            <w:szCs w:val="18"/>
                          </w:rPr>
                          <w:t xml:space="preserve"> </w:t>
                        </w:r>
                        <w:r w:rsidRPr="00761F82">
                          <w:rPr>
                            <w:rFonts w:ascii="Times New Roman" w:hAnsi="Times New Roman" w:cs="Times New Roman"/>
                            <w:sz w:val="16"/>
                            <w:szCs w:val="16"/>
                          </w:rPr>
                          <w:t>взаємозв’язок між соціальною стабільністю суспільства та ідеологією соціального партнерства в умовах соціально-орієнтованої економіки;</w:t>
                        </w:r>
                      </w:p>
                    </w:txbxContent>
                  </v:textbox>
                </v:roundrect>
              </v:group>
            </w:pict>
          </mc:Fallback>
        </mc:AlternateContent>
      </w: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center"/>
        <w:rPr>
          <w:rFonts w:ascii="Times New Roman" w:hAnsi="Times New Roman" w:cs="Times New Roman"/>
          <w:b/>
          <w:bCs/>
          <w:sz w:val="21"/>
          <w:szCs w:val="21"/>
        </w:rPr>
      </w:pPr>
    </w:p>
    <w:p w:rsidR="00B233DE" w:rsidRDefault="00B233DE" w:rsidP="00B233DE">
      <w:pPr>
        <w:ind w:firstLine="709"/>
        <w:jc w:val="center"/>
        <w:rPr>
          <w:rFonts w:ascii="Times New Roman" w:hAnsi="Times New Roman" w:cs="Times New Roman"/>
          <w:b/>
          <w:bCs/>
          <w:sz w:val="21"/>
          <w:szCs w:val="21"/>
        </w:rPr>
      </w:pPr>
    </w:p>
    <w:p w:rsidR="00B233DE" w:rsidRDefault="00B233DE" w:rsidP="00B233DE">
      <w:pPr>
        <w:ind w:firstLine="709"/>
        <w:jc w:val="center"/>
        <w:rPr>
          <w:rFonts w:ascii="Times New Roman" w:hAnsi="Times New Roman" w:cs="Times New Roman"/>
          <w:b/>
          <w:bCs/>
          <w:sz w:val="21"/>
          <w:szCs w:val="21"/>
        </w:rPr>
      </w:pPr>
    </w:p>
    <w:p w:rsidR="00B233DE" w:rsidRDefault="00B233DE" w:rsidP="00B233DE">
      <w:pPr>
        <w:ind w:firstLine="709"/>
        <w:jc w:val="center"/>
        <w:rPr>
          <w:rFonts w:ascii="Times New Roman" w:hAnsi="Times New Roman" w:cs="Times New Roman"/>
          <w:b/>
          <w:bCs/>
          <w:sz w:val="21"/>
          <w:szCs w:val="21"/>
        </w:rPr>
      </w:pPr>
    </w:p>
    <w:p w:rsidR="00B233DE" w:rsidRDefault="00B233DE" w:rsidP="00B233DE">
      <w:pPr>
        <w:ind w:firstLine="709"/>
        <w:jc w:val="center"/>
        <w:rPr>
          <w:rFonts w:ascii="Times New Roman" w:hAnsi="Times New Roman" w:cs="Times New Roman"/>
          <w:b/>
          <w:bCs/>
          <w:sz w:val="21"/>
          <w:szCs w:val="21"/>
        </w:rPr>
      </w:pPr>
    </w:p>
    <w:p w:rsidR="00B233DE" w:rsidRDefault="00B233DE" w:rsidP="00B233DE">
      <w:pPr>
        <w:ind w:firstLine="709"/>
        <w:jc w:val="center"/>
        <w:rPr>
          <w:rFonts w:ascii="Times New Roman" w:hAnsi="Times New Roman" w:cs="Times New Roman"/>
          <w:b/>
          <w:bCs/>
          <w:sz w:val="21"/>
          <w:szCs w:val="21"/>
        </w:rPr>
      </w:pPr>
    </w:p>
    <w:p w:rsidR="00B233DE" w:rsidRDefault="00B233DE" w:rsidP="00B233DE">
      <w:pPr>
        <w:ind w:firstLine="709"/>
        <w:jc w:val="center"/>
        <w:rPr>
          <w:rFonts w:ascii="Times New Roman" w:hAnsi="Times New Roman" w:cs="Times New Roman"/>
          <w:b/>
          <w:bCs/>
          <w:sz w:val="21"/>
          <w:szCs w:val="21"/>
        </w:rPr>
      </w:pPr>
    </w:p>
    <w:p w:rsidR="00B233DE" w:rsidRDefault="00B233DE" w:rsidP="00B233DE">
      <w:pPr>
        <w:ind w:firstLine="709"/>
        <w:jc w:val="center"/>
        <w:rPr>
          <w:rFonts w:ascii="Times New Roman" w:hAnsi="Times New Roman" w:cs="Times New Roman"/>
          <w:b/>
          <w:bCs/>
          <w:sz w:val="21"/>
          <w:szCs w:val="21"/>
        </w:rPr>
      </w:pPr>
    </w:p>
    <w:p w:rsidR="00B233DE" w:rsidRDefault="00B233DE" w:rsidP="00B233DE">
      <w:pPr>
        <w:ind w:firstLine="709"/>
        <w:jc w:val="center"/>
        <w:rPr>
          <w:rFonts w:ascii="Times New Roman" w:hAnsi="Times New Roman" w:cs="Times New Roman"/>
          <w:b/>
          <w:bCs/>
          <w:sz w:val="21"/>
          <w:szCs w:val="21"/>
        </w:rPr>
      </w:pPr>
    </w:p>
    <w:p w:rsidR="00B233DE" w:rsidRDefault="00B233DE" w:rsidP="00B233DE">
      <w:pPr>
        <w:ind w:firstLine="709"/>
        <w:jc w:val="center"/>
        <w:rPr>
          <w:rFonts w:ascii="Times New Roman" w:hAnsi="Times New Roman" w:cs="Times New Roman"/>
          <w:b/>
          <w:bCs/>
          <w:sz w:val="21"/>
          <w:szCs w:val="21"/>
        </w:rPr>
      </w:pPr>
    </w:p>
    <w:p w:rsidR="00B233DE" w:rsidRDefault="00B233DE" w:rsidP="00B233DE">
      <w:pPr>
        <w:ind w:firstLine="709"/>
        <w:jc w:val="center"/>
        <w:rPr>
          <w:rFonts w:ascii="Times New Roman" w:hAnsi="Times New Roman" w:cs="Times New Roman"/>
          <w:b/>
          <w:bCs/>
          <w:sz w:val="21"/>
          <w:szCs w:val="21"/>
        </w:rPr>
      </w:pPr>
    </w:p>
    <w:p w:rsidR="00B233DE" w:rsidRDefault="00B233DE" w:rsidP="00B233DE">
      <w:pPr>
        <w:ind w:firstLine="709"/>
        <w:jc w:val="center"/>
        <w:rPr>
          <w:rFonts w:ascii="Times New Roman" w:hAnsi="Times New Roman" w:cs="Times New Roman"/>
          <w:b/>
          <w:bCs/>
          <w:sz w:val="21"/>
          <w:szCs w:val="21"/>
        </w:rPr>
      </w:pPr>
    </w:p>
    <w:p w:rsidR="00B233DE" w:rsidRDefault="00B233DE" w:rsidP="00B233DE">
      <w:pPr>
        <w:ind w:firstLine="709"/>
        <w:jc w:val="center"/>
        <w:rPr>
          <w:rFonts w:ascii="Times New Roman" w:hAnsi="Times New Roman" w:cs="Times New Roman"/>
          <w:b/>
          <w:bCs/>
          <w:sz w:val="21"/>
          <w:szCs w:val="21"/>
        </w:rPr>
      </w:pPr>
    </w:p>
    <w:p w:rsidR="00B233DE" w:rsidRDefault="00B233DE" w:rsidP="00B233DE">
      <w:pPr>
        <w:ind w:firstLine="709"/>
        <w:jc w:val="center"/>
        <w:rPr>
          <w:rFonts w:ascii="Times New Roman" w:hAnsi="Times New Roman" w:cs="Times New Roman"/>
          <w:b/>
          <w:bCs/>
          <w:sz w:val="21"/>
          <w:szCs w:val="21"/>
        </w:rPr>
      </w:pPr>
    </w:p>
    <w:p w:rsidR="00B233DE" w:rsidRDefault="00B233DE" w:rsidP="00B233DE">
      <w:pPr>
        <w:ind w:firstLine="709"/>
        <w:jc w:val="center"/>
        <w:rPr>
          <w:rFonts w:ascii="Times New Roman" w:hAnsi="Times New Roman" w:cs="Times New Roman"/>
          <w:b/>
          <w:bCs/>
          <w:sz w:val="21"/>
          <w:szCs w:val="21"/>
        </w:rPr>
      </w:pPr>
    </w:p>
    <w:p w:rsidR="00B233DE" w:rsidRPr="00A87F27" w:rsidRDefault="00B233DE" w:rsidP="00B233DE">
      <w:pPr>
        <w:ind w:firstLine="709"/>
        <w:jc w:val="center"/>
        <w:rPr>
          <w:rFonts w:ascii="Times New Roman" w:hAnsi="Times New Roman" w:cs="Times New Roman"/>
          <w:b/>
          <w:bCs/>
          <w:sz w:val="21"/>
          <w:szCs w:val="21"/>
        </w:rPr>
      </w:pPr>
      <w:r w:rsidRPr="00A87F27">
        <w:rPr>
          <w:rFonts w:ascii="Times New Roman" w:hAnsi="Times New Roman" w:cs="Times New Roman"/>
          <w:b/>
          <w:bCs/>
          <w:sz w:val="21"/>
          <w:szCs w:val="21"/>
        </w:rPr>
        <w:t>Рис. 3.7. Класифікація та зміст закономірн</w:t>
      </w:r>
      <w:r>
        <w:rPr>
          <w:rFonts w:ascii="Times New Roman" w:hAnsi="Times New Roman" w:cs="Times New Roman"/>
          <w:b/>
          <w:bCs/>
          <w:sz w:val="21"/>
          <w:szCs w:val="21"/>
        </w:rPr>
        <w:t>остей регіонального ринку праці*</w:t>
      </w:r>
    </w:p>
    <w:p w:rsidR="00B233DE" w:rsidRPr="00A87F27" w:rsidRDefault="00B233DE" w:rsidP="00B233DE">
      <w:pPr>
        <w:ind w:firstLine="709"/>
        <w:jc w:val="both"/>
        <w:rPr>
          <w:rFonts w:ascii="Times New Roman" w:hAnsi="Times New Roman" w:cs="Times New Roman"/>
          <w:bCs/>
          <w:sz w:val="18"/>
          <w:szCs w:val="18"/>
        </w:rPr>
      </w:pPr>
      <w:r w:rsidRPr="00A87F27">
        <w:rPr>
          <w:rFonts w:ascii="Times New Roman" w:hAnsi="Times New Roman" w:cs="Times New Roman"/>
          <w:bCs/>
          <w:sz w:val="18"/>
          <w:szCs w:val="18"/>
        </w:rPr>
        <w:t xml:space="preserve">* - розроблено автором на основі матеріалів </w:t>
      </w:r>
      <w:r w:rsidRPr="00A87F27">
        <w:rPr>
          <w:rFonts w:ascii="Times New Roman" w:hAnsi="Times New Roman" w:cs="Times New Roman"/>
          <w:sz w:val="18"/>
          <w:szCs w:val="18"/>
        </w:rPr>
        <w:t>[</w:t>
      </w:r>
      <w:r>
        <w:rPr>
          <w:rFonts w:ascii="Times New Roman" w:hAnsi="Times New Roman" w:cs="Times New Roman"/>
          <w:sz w:val="18"/>
          <w:szCs w:val="18"/>
          <w:highlight w:val="yellow"/>
        </w:rPr>
        <w:fldChar w:fldCharType="begin"/>
      </w:r>
      <w:r>
        <w:rPr>
          <w:rFonts w:ascii="Times New Roman" w:hAnsi="Times New Roman" w:cs="Times New Roman"/>
          <w:sz w:val="18"/>
          <w:szCs w:val="18"/>
        </w:rPr>
        <w:instrText xml:space="preserve"> REF _Ref433977374 \r \h </w:instrText>
      </w:r>
      <w:r>
        <w:rPr>
          <w:rFonts w:ascii="Times New Roman" w:hAnsi="Times New Roman" w:cs="Times New Roman"/>
          <w:sz w:val="18"/>
          <w:szCs w:val="18"/>
          <w:highlight w:val="yellow"/>
        </w:rPr>
      </w:r>
      <w:r>
        <w:rPr>
          <w:rFonts w:ascii="Times New Roman" w:hAnsi="Times New Roman" w:cs="Times New Roman"/>
          <w:sz w:val="18"/>
          <w:szCs w:val="18"/>
          <w:highlight w:val="yellow"/>
        </w:rPr>
        <w:fldChar w:fldCharType="separate"/>
      </w:r>
      <w:r>
        <w:rPr>
          <w:rFonts w:ascii="Times New Roman" w:hAnsi="Times New Roman" w:cs="Times New Roman"/>
          <w:sz w:val="18"/>
          <w:szCs w:val="18"/>
        </w:rPr>
        <w:t>17</w:t>
      </w:r>
      <w:r>
        <w:rPr>
          <w:rFonts w:ascii="Times New Roman" w:hAnsi="Times New Roman" w:cs="Times New Roman"/>
          <w:sz w:val="18"/>
          <w:szCs w:val="18"/>
          <w:highlight w:val="yellow"/>
        </w:rPr>
        <w:fldChar w:fldCharType="end"/>
      </w:r>
      <w:r w:rsidRPr="00A87F27">
        <w:rPr>
          <w:rFonts w:ascii="Times New Roman" w:hAnsi="Times New Roman" w:cs="Times New Roman"/>
          <w:sz w:val="18"/>
          <w:szCs w:val="18"/>
        </w:rPr>
        <w:t>, с. 81–84]</w:t>
      </w:r>
    </w:p>
    <w:p w:rsidR="00B233DE" w:rsidRPr="00287DA9" w:rsidRDefault="00B233DE" w:rsidP="00B233DE">
      <w:pPr>
        <w:ind w:firstLine="709"/>
        <w:jc w:val="both"/>
        <w:rPr>
          <w:rFonts w:ascii="Times New Roman" w:hAnsi="Times New Roman" w:cs="Times New Roman"/>
          <w:bCs/>
          <w:sz w:val="21"/>
          <w:szCs w:val="21"/>
        </w:rPr>
      </w:pPr>
    </w:p>
    <w:p w:rsidR="00B233DE"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 xml:space="preserve">При розгляді забезпечення попиту і пропозиції робочої сили, на </w:t>
      </w:r>
      <w:r>
        <w:rPr>
          <w:rFonts w:ascii="Times New Roman" w:hAnsi="Times New Roman" w:cs="Times New Roman"/>
          <w:sz w:val="21"/>
          <w:szCs w:val="21"/>
        </w:rPr>
        <w:t>нашу думку</w:t>
      </w:r>
      <w:r w:rsidRPr="00287DA9">
        <w:rPr>
          <w:rFonts w:ascii="Times New Roman" w:hAnsi="Times New Roman" w:cs="Times New Roman"/>
          <w:sz w:val="21"/>
          <w:szCs w:val="21"/>
        </w:rPr>
        <w:t xml:space="preserve">, необхідно виокремити й надалі спиратися на принципи, які наведені в табл. </w:t>
      </w:r>
      <w:r>
        <w:rPr>
          <w:rFonts w:ascii="Times New Roman" w:hAnsi="Times New Roman" w:cs="Times New Roman"/>
          <w:sz w:val="21"/>
          <w:szCs w:val="21"/>
        </w:rPr>
        <w:t>3</w:t>
      </w:r>
      <w:r w:rsidRPr="00287DA9">
        <w:rPr>
          <w:rFonts w:ascii="Times New Roman" w:hAnsi="Times New Roman" w:cs="Times New Roman"/>
          <w:sz w:val="21"/>
          <w:szCs w:val="21"/>
        </w:rPr>
        <w:t>.</w:t>
      </w:r>
      <w:r>
        <w:rPr>
          <w:rFonts w:ascii="Times New Roman" w:hAnsi="Times New Roman" w:cs="Times New Roman"/>
          <w:sz w:val="21"/>
          <w:szCs w:val="21"/>
        </w:rPr>
        <w:t>3</w:t>
      </w:r>
      <w:r w:rsidRPr="00287DA9">
        <w:rPr>
          <w:rFonts w:ascii="Times New Roman" w:hAnsi="Times New Roman" w:cs="Times New Roman"/>
          <w:sz w:val="21"/>
          <w:szCs w:val="21"/>
        </w:rPr>
        <w:t>.</w:t>
      </w:r>
    </w:p>
    <w:p w:rsidR="00B233DE" w:rsidRPr="00287DA9" w:rsidRDefault="00B233DE" w:rsidP="00B233DE">
      <w:pPr>
        <w:ind w:firstLine="709"/>
        <w:jc w:val="right"/>
        <w:rPr>
          <w:rFonts w:ascii="Times New Roman" w:hAnsi="Times New Roman" w:cs="Times New Roman"/>
          <w:sz w:val="21"/>
          <w:szCs w:val="21"/>
        </w:rPr>
      </w:pPr>
      <w:r w:rsidRPr="00287DA9">
        <w:rPr>
          <w:rFonts w:ascii="Times New Roman" w:hAnsi="Times New Roman" w:cs="Times New Roman"/>
          <w:sz w:val="21"/>
          <w:szCs w:val="21"/>
        </w:rPr>
        <w:lastRenderedPageBreak/>
        <w:t xml:space="preserve">Таблиця </w:t>
      </w:r>
      <w:r>
        <w:rPr>
          <w:rFonts w:ascii="Times New Roman" w:hAnsi="Times New Roman" w:cs="Times New Roman"/>
          <w:sz w:val="21"/>
          <w:szCs w:val="21"/>
        </w:rPr>
        <w:t>3</w:t>
      </w:r>
      <w:r w:rsidRPr="00287DA9">
        <w:rPr>
          <w:rFonts w:ascii="Times New Roman" w:hAnsi="Times New Roman" w:cs="Times New Roman"/>
          <w:sz w:val="21"/>
          <w:szCs w:val="21"/>
        </w:rPr>
        <w:t xml:space="preserve">. </w:t>
      </w:r>
      <w:r>
        <w:rPr>
          <w:rFonts w:ascii="Times New Roman" w:hAnsi="Times New Roman" w:cs="Times New Roman"/>
          <w:sz w:val="21"/>
          <w:szCs w:val="21"/>
        </w:rPr>
        <w:t>3</w:t>
      </w:r>
    </w:p>
    <w:p w:rsidR="00B233DE" w:rsidRPr="00761F82" w:rsidRDefault="00B233DE" w:rsidP="00B233DE">
      <w:pPr>
        <w:ind w:firstLine="709"/>
        <w:jc w:val="center"/>
        <w:rPr>
          <w:rFonts w:ascii="Times New Roman" w:hAnsi="Times New Roman" w:cs="Times New Roman"/>
          <w:b/>
          <w:sz w:val="21"/>
          <w:szCs w:val="21"/>
        </w:rPr>
      </w:pPr>
      <w:r w:rsidRPr="00761F82">
        <w:rPr>
          <w:rFonts w:ascii="Times New Roman" w:hAnsi="Times New Roman" w:cs="Times New Roman"/>
          <w:b/>
          <w:sz w:val="21"/>
          <w:szCs w:val="21"/>
        </w:rPr>
        <w:t>Принципи формування інфраструктури ринку праці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141"/>
        <w:gridCol w:w="4395"/>
      </w:tblGrid>
      <w:tr w:rsidR="00B233DE" w:rsidRPr="00862FA1" w:rsidTr="0023489B">
        <w:trPr>
          <w:trHeight w:val="200"/>
        </w:trPr>
        <w:tc>
          <w:tcPr>
            <w:tcW w:w="1701"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center"/>
              <w:rPr>
                <w:rFonts w:ascii="Times New Roman" w:hAnsi="Times New Roman" w:cs="Times New Roman"/>
                <w:sz w:val="16"/>
                <w:szCs w:val="16"/>
              </w:rPr>
            </w:pPr>
            <w:r w:rsidRPr="00862FA1">
              <w:rPr>
                <w:rFonts w:ascii="Times New Roman" w:hAnsi="Times New Roman" w:cs="Times New Roman"/>
                <w:sz w:val="16"/>
                <w:szCs w:val="16"/>
              </w:rPr>
              <w:t>Назва принципу</w:t>
            </w:r>
          </w:p>
        </w:tc>
        <w:tc>
          <w:tcPr>
            <w:tcW w:w="4395"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center"/>
              <w:rPr>
                <w:rFonts w:ascii="Times New Roman" w:hAnsi="Times New Roman" w:cs="Times New Roman"/>
                <w:sz w:val="16"/>
                <w:szCs w:val="16"/>
              </w:rPr>
            </w:pPr>
            <w:r w:rsidRPr="00862FA1">
              <w:rPr>
                <w:rFonts w:ascii="Times New Roman" w:hAnsi="Times New Roman" w:cs="Times New Roman"/>
                <w:sz w:val="16"/>
                <w:szCs w:val="16"/>
              </w:rPr>
              <w:t>Зміст принципу</w:t>
            </w:r>
          </w:p>
        </w:tc>
      </w:tr>
      <w:tr w:rsidR="00B233DE" w:rsidRPr="00862FA1" w:rsidTr="0023489B">
        <w:trPr>
          <w:trHeight w:val="70"/>
        </w:trPr>
        <w:tc>
          <w:tcPr>
            <w:tcW w:w="6096" w:type="dxa"/>
            <w:gridSpan w:val="3"/>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center"/>
              <w:rPr>
                <w:rFonts w:ascii="Times New Roman" w:hAnsi="Times New Roman" w:cs="Times New Roman"/>
                <w:sz w:val="16"/>
                <w:szCs w:val="16"/>
              </w:rPr>
            </w:pPr>
            <w:r w:rsidRPr="00862FA1">
              <w:rPr>
                <w:rFonts w:ascii="Times New Roman" w:hAnsi="Times New Roman" w:cs="Times New Roman"/>
                <w:sz w:val="16"/>
                <w:szCs w:val="16"/>
              </w:rPr>
              <w:t>Загальні принципи</w:t>
            </w:r>
          </w:p>
        </w:tc>
      </w:tr>
      <w:tr w:rsidR="00B233DE" w:rsidRPr="00862FA1" w:rsidTr="0023489B">
        <w:trPr>
          <w:trHeight w:val="405"/>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 xml:space="preserve">Випереджуючий </w:t>
            </w:r>
            <w:r>
              <w:rPr>
                <w:rFonts w:ascii="Times New Roman" w:hAnsi="Times New Roman" w:cs="Times New Roman"/>
                <w:sz w:val="16"/>
                <w:szCs w:val="16"/>
              </w:rPr>
              <w:t>д</w:t>
            </w:r>
            <w:r w:rsidRPr="00862FA1">
              <w:rPr>
                <w:rFonts w:ascii="Times New Roman" w:hAnsi="Times New Roman" w:cs="Times New Roman"/>
                <w:sz w:val="16"/>
                <w:szCs w:val="16"/>
              </w:rPr>
              <w:t>іа</w:t>
            </w:r>
            <w:r>
              <w:rPr>
                <w:rFonts w:ascii="Times New Roman" w:hAnsi="Times New Roman" w:cs="Times New Roman"/>
                <w:sz w:val="16"/>
                <w:szCs w:val="16"/>
              </w:rPr>
              <w:t>-</w:t>
            </w:r>
            <w:r w:rsidRPr="00862FA1">
              <w:rPr>
                <w:rFonts w:ascii="Times New Roman" w:hAnsi="Times New Roman" w:cs="Times New Roman"/>
                <w:sz w:val="16"/>
                <w:szCs w:val="16"/>
              </w:rPr>
              <w:t>лектичний розвиток інфраструктури</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both"/>
              <w:rPr>
                <w:rFonts w:ascii="Times New Roman" w:hAnsi="Times New Roman" w:cs="Times New Roman"/>
                <w:sz w:val="16"/>
                <w:szCs w:val="16"/>
              </w:rPr>
            </w:pPr>
            <w:r>
              <w:rPr>
                <w:rFonts w:ascii="Times New Roman" w:hAnsi="Times New Roman" w:cs="Times New Roman"/>
                <w:sz w:val="16"/>
                <w:szCs w:val="16"/>
              </w:rPr>
              <w:t xml:space="preserve">передбачає таку тенденцію, згідно з якою </w:t>
            </w:r>
            <w:r w:rsidRPr="00862FA1">
              <w:rPr>
                <w:rFonts w:ascii="Times New Roman" w:hAnsi="Times New Roman" w:cs="Times New Roman"/>
                <w:sz w:val="16"/>
                <w:szCs w:val="16"/>
              </w:rPr>
              <w:t>її рівень розвитку випереджат</w:t>
            </w:r>
            <w:r>
              <w:rPr>
                <w:rFonts w:ascii="Times New Roman" w:hAnsi="Times New Roman" w:cs="Times New Roman"/>
                <w:sz w:val="16"/>
                <w:szCs w:val="16"/>
              </w:rPr>
              <w:t>име розвиток самого ринку праці</w:t>
            </w:r>
          </w:p>
        </w:tc>
      </w:tr>
      <w:tr w:rsidR="00B233DE" w:rsidRPr="00862FA1" w:rsidTr="0023489B">
        <w:trPr>
          <w:trHeight w:val="405"/>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Узгодженість</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both"/>
              <w:rPr>
                <w:rFonts w:ascii="Times New Roman" w:hAnsi="Times New Roman" w:cs="Times New Roman"/>
                <w:sz w:val="16"/>
                <w:szCs w:val="16"/>
              </w:rPr>
            </w:pPr>
            <w:r w:rsidRPr="00862FA1">
              <w:rPr>
                <w:rFonts w:ascii="Times New Roman" w:hAnsi="Times New Roman" w:cs="Times New Roman"/>
                <w:sz w:val="16"/>
                <w:szCs w:val="16"/>
              </w:rPr>
              <w:t>відтворює взаємозалежність і не суперечливість одне одному рішень і дій елементів</w:t>
            </w:r>
            <w:r>
              <w:rPr>
                <w:rFonts w:ascii="Times New Roman" w:hAnsi="Times New Roman" w:cs="Times New Roman"/>
                <w:sz w:val="16"/>
                <w:szCs w:val="16"/>
              </w:rPr>
              <w:t xml:space="preserve"> інфраструктури ринку праці</w:t>
            </w:r>
          </w:p>
        </w:tc>
      </w:tr>
      <w:tr w:rsidR="00B233DE" w:rsidRPr="00862FA1" w:rsidTr="0023489B">
        <w:trPr>
          <w:trHeight w:val="409"/>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Послідовність</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both"/>
              <w:rPr>
                <w:rFonts w:ascii="Times New Roman" w:hAnsi="Times New Roman" w:cs="Times New Roman"/>
                <w:sz w:val="16"/>
                <w:szCs w:val="16"/>
              </w:rPr>
            </w:pPr>
            <w:r w:rsidRPr="00862FA1">
              <w:rPr>
                <w:rFonts w:ascii="Times New Roman" w:hAnsi="Times New Roman" w:cs="Times New Roman"/>
                <w:spacing w:val="-6"/>
                <w:sz w:val="16"/>
                <w:szCs w:val="16"/>
              </w:rPr>
              <w:t>означає, що політика та дії органів, що включені в інфраструк</w:t>
            </w:r>
            <w:r w:rsidRPr="00862FA1">
              <w:rPr>
                <w:rFonts w:ascii="Times New Roman" w:hAnsi="Times New Roman" w:cs="Times New Roman"/>
                <w:sz w:val="16"/>
                <w:szCs w:val="16"/>
              </w:rPr>
              <w:t xml:space="preserve">туру ринку праці повинні </w:t>
            </w:r>
            <w:r>
              <w:rPr>
                <w:rFonts w:ascii="Times New Roman" w:hAnsi="Times New Roman" w:cs="Times New Roman"/>
                <w:sz w:val="16"/>
                <w:szCs w:val="16"/>
              </w:rPr>
              <w:t>бути послідовними і зрозумілими</w:t>
            </w:r>
          </w:p>
        </w:tc>
      </w:tr>
      <w:tr w:rsidR="00B233DE" w:rsidRPr="00862FA1" w:rsidTr="0023489B">
        <w:trPr>
          <w:trHeight w:val="416"/>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Когерентність</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both"/>
              <w:rPr>
                <w:rFonts w:ascii="Times New Roman" w:hAnsi="Times New Roman" w:cs="Times New Roman"/>
                <w:sz w:val="16"/>
                <w:szCs w:val="16"/>
              </w:rPr>
            </w:pPr>
            <w:r w:rsidRPr="00862FA1">
              <w:rPr>
                <w:rFonts w:ascii="Times New Roman" w:hAnsi="Times New Roman" w:cs="Times New Roman"/>
                <w:sz w:val="16"/>
                <w:szCs w:val="16"/>
              </w:rPr>
              <w:t>це відповідність умовам зовнішнього та внутрішнього середо</w:t>
            </w:r>
            <w:r>
              <w:rPr>
                <w:rFonts w:ascii="Times New Roman" w:hAnsi="Times New Roman" w:cs="Times New Roman"/>
                <w:sz w:val="16"/>
                <w:szCs w:val="16"/>
              </w:rPr>
              <w:t>-</w:t>
            </w:r>
            <w:r w:rsidRPr="00862FA1">
              <w:rPr>
                <w:rFonts w:ascii="Times New Roman" w:hAnsi="Times New Roman" w:cs="Times New Roman"/>
                <w:sz w:val="16"/>
                <w:szCs w:val="16"/>
              </w:rPr>
              <w:t>вища, у яке по</w:t>
            </w:r>
            <w:r>
              <w:rPr>
                <w:rFonts w:ascii="Times New Roman" w:hAnsi="Times New Roman" w:cs="Times New Roman"/>
                <w:sz w:val="16"/>
                <w:szCs w:val="16"/>
              </w:rPr>
              <w:t>трібно «вписуватись» або протидіяти йому</w:t>
            </w:r>
          </w:p>
        </w:tc>
      </w:tr>
      <w:tr w:rsidR="00B233DE" w:rsidRPr="00862FA1" w:rsidTr="0023489B">
        <w:trPr>
          <w:trHeight w:val="169"/>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Ефективність</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both"/>
              <w:rPr>
                <w:rFonts w:ascii="Times New Roman" w:hAnsi="Times New Roman" w:cs="Times New Roman"/>
                <w:sz w:val="16"/>
                <w:szCs w:val="16"/>
              </w:rPr>
            </w:pPr>
            <w:r w:rsidRPr="009F70C2">
              <w:rPr>
                <w:rFonts w:ascii="Times New Roman" w:hAnsi="Times New Roman" w:cs="Times New Roman"/>
                <w:spacing w:val="-6"/>
                <w:sz w:val="16"/>
                <w:szCs w:val="16"/>
              </w:rPr>
              <w:t>спрямованість своєчасного прийняття рішень на всіх рівнях інфра-структури ринку праці, які ґрунтуються на чітко визначених цілях</w:t>
            </w:r>
            <w:r>
              <w:rPr>
                <w:rFonts w:ascii="Times New Roman" w:hAnsi="Times New Roman" w:cs="Times New Roman"/>
                <w:sz w:val="16"/>
                <w:szCs w:val="16"/>
              </w:rPr>
              <w:t xml:space="preserve"> та</w:t>
            </w:r>
            <w:r w:rsidRPr="00862FA1">
              <w:rPr>
                <w:rFonts w:ascii="Times New Roman" w:hAnsi="Times New Roman" w:cs="Times New Roman"/>
                <w:sz w:val="16"/>
                <w:szCs w:val="16"/>
              </w:rPr>
              <w:t xml:space="preserve"> опираються на оцінку можливих нас</w:t>
            </w:r>
            <w:r>
              <w:rPr>
                <w:rFonts w:ascii="Times New Roman" w:hAnsi="Times New Roman" w:cs="Times New Roman"/>
                <w:sz w:val="16"/>
                <w:szCs w:val="16"/>
              </w:rPr>
              <w:t>лідків або на досвід</w:t>
            </w:r>
          </w:p>
        </w:tc>
      </w:tr>
      <w:tr w:rsidR="00B233DE" w:rsidRPr="00862FA1" w:rsidTr="0023489B">
        <w:trPr>
          <w:trHeight w:val="170"/>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Пропорційність</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both"/>
              <w:rPr>
                <w:rFonts w:ascii="Times New Roman" w:hAnsi="Times New Roman" w:cs="Times New Roman"/>
                <w:sz w:val="16"/>
                <w:szCs w:val="16"/>
              </w:rPr>
            </w:pPr>
            <w:r w:rsidRPr="00862FA1">
              <w:rPr>
                <w:rFonts w:ascii="Times New Roman" w:hAnsi="Times New Roman" w:cs="Times New Roman"/>
                <w:sz w:val="16"/>
                <w:szCs w:val="16"/>
              </w:rPr>
              <w:t xml:space="preserve">адекватність та рівномірність дій інституцій ринку праці, які на практиці мають бути скоординовані таким чином, щоб не </w:t>
            </w:r>
            <w:r w:rsidRPr="009F70C2">
              <w:rPr>
                <w:rFonts w:ascii="Times New Roman" w:hAnsi="Times New Roman" w:cs="Times New Roman"/>
                <w:spacing w:val="-4"/>
                <w:sz w:val="16"/>
                <w:szCs w:val="16"/>
              </w:rPr>
              <w:t>вимагати від громадян більше, ніж потрібно для досягнення мети</w:t>
            </w:r>
          </w:p>
        </w:tc>
      </w:tr>
      <w:tr w:rsidR="00B233DE" w:rsidRPr="00862FA1" w:rsidTr="0023489B">
        <w:trPr>
          <w:trHeight w:val="555"/>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Прогресивна модер</w:t>
            </w:r>
            <w:r>
              <w:rPr>
                <w:rFonts w:ascii="Times New Roman" w:hAnsi="Times New Roman" w:cs="Times New Roman"/>
                <w:sz w:val="16"/>
                <w:szCs w:val="16"/>
              </w:rPr>
              <w:t>-</w:t>
            </w:r>
            <w:r w:rsidRPr="00862FA1">
              <w:rPr>
                <w:rFonts w:ascii="Times New Roman" w:hAnsi="Times New Roman" w:cs="Times New Roman"/>
                <w:sz w:val="16"/>
                <w:szCs w:val="16"/>
              </w:rPr>
              <w:t>нізаційна спрямова</w:t>
            </w:r>
            <w:r>
              <w:rPr>
                <w:rFonts w:ascii="Times New Roman" w:hAnsi="Times New Roman" w:cs="Times New Roman"/>
                <w:sz w:val="16"/>
                <w:szCs w:val="16"/>
              </w:rPr>
              <w:t>-</w:t>
            </w:r>
            <w:r w:rsidRPr="00862FA1">
              <w:rPr>
                <w:rFonts w:ascii="Times New Roman" w:hAnsi="Times New Roman" w:cs="Times New Roman"/>
                <w:sz w:val="16"/>
                <w:szCs w:val="16"/>
              </w:rPr>
              <w:t>ність розвитку</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both"/>
              <w:rPr>
                <w:rFonts w:ascii="Times New Roman" w:hAnsi="Times New Roman" w:cs="Times New Roman"/>
                <w:sz w:val="16"/>
                <w:szCs w:val="16"/>
              </w:rPr>
            </w:pPr>
            <w:r w:rsidRPr="00862FA1">
              <w:rPr>
                <w:rFonts w:ascii="Times New Roman" w:hAnsi="Times New Roman" w:cs="Times New Roman"/>
                <w:sz w:val="16"/>
                <w:szCs w:val="16"/>
              </w:rPr>
              <w:t>це рухливість до удосконалення інфраструкту</w:t>
            </w:r>
            <w:r>
              <w:rPr>
                <w:rFonts w:ascii="Times New Roman" w:hAnsi="Times New Roman" w:cs="Times New Roman"/>
                <w:sz w:val="16"/>
                <w:szCs w:val="16"/>
              </w:rPr>
              <w:t>ри ринку праці з метою її відпо</w:t>
            </w:r>
            <w:r w:rsidRPr="00862FA1">
              <w:rPr>
                <w:rFonts w:ascii="Times New Roman" w:hAnsi="Times New Roman" w:cs="Times New Roman"/>
                <w:sz w:val="16"/>
                <w:szCs w:val="16"/>
              </w:rPr>
              <w:t>відності сучасним та майбутнім ринковим п</w:t>
            </w:r>
            <w:r>
              <w:rPr>
                <w:rFonts w:ascii="Times New Roman" w:hAnsi="Times New Roman" w:cs="Times New Roman"/>
                <w:sz w:val="16"/>
                <w:szCs w:val="16"/>
              </w:rPr>
              <w:t>роцесам та світовим тенденціям</w:t>
            </w:r>
          </w:p>
        </w:tc>
      </w:tr>
      <w:tr w:rsidR="00B233DE" w:rsidRPr="00862FA1" w:rsidTr="0023489B">
        <w:trPr>
          <w:trHeight w:val="555"/>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Конкуренто</w:t>
            </w:r>
            <w:r>
              <w:rPr>
                <w:rFonts w:ascii="Times New Roman" w:hAnsi="Times New Roman" w:cs="Times New Roman"/>
                <w:sz w:val="16"/>
                <w:szCs w:val="16"/>
              </w:rPr>
              <w:t>-</w:t>
            </w:r>
            <w:r w:rsidRPr="00862FA1">
              <w:rPr>
                <w:rFonts w:ascii="Times New Roman" w:hAnsi="Times New Roman" w:cs="Times New Roman"/>
                <w:sz w:val="16"/>
                <w:szCs w:val="16"/>
              </w:rPr>
              <w:t>спроможність</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both"/>
              <w:rPr>
                <w:rFonts w:ascii="Times New Roman" w:hAnsi="Times New Roman" w:cs="Times New Roman"/>
                <w:sz w:val="16"/>
                <w:szCs w:val="16"/>
              </w:rPr>
            </w:pPr>
            <w:r w:rsidRPr="009F70C2">
              <w:rPr>
                <w:rFonts w:ascii="Times New Roman" w:hAnsi="Times New Roman" w:cs="Times New Roman"/>
                <w:spacing w:val="-6"/>
                <w:sz w:val="16"/>
                <w:szCs w:val="16"/>
              </w:rPr>
              <w:t>забезпечується ефективністю використання сукупності потенціа</w:t>
            </w:r>
            <w:r w:rsidRPr="00862FA1">
              <w:rPr>
                <w:rFonts w:ascii="Times New Roman" w:hAnsi="Times New Roman" w:cs="Times New Roman"/>
                <w:sz w:val="16"/>
                <w:szCs w:val="16"/>
              </w:rPr>
              <w:t xml:space="preserve">лів </w:t>
            </w:r>
            <w:r w:rsidRPr="009F70C2">
              <w:rPr>
                <w:rFonts w:ascii="Times New Roman" w:hAnsi="Times New Roman" w:cs="Times New Roman"/>
                <w:spacing w:val="-6"/>
                <w:sz w:val="16"/>
                <w:szCs w:val="16"/>
              </w:rPr>
              <w:t>як елементів інфраструктури ринку праці, так і елементів інфраструк-тури ринку, для підвищення конкурентоспроможності робочої сили</w:t>
            </w:r>
          </w:p>
        </w:tc>
      </w:tr>
      <w:tr w:rsidR="00B233DE" w:rsidRPr="00862FA1" w:rsidTr="0023489B">
        <w:trPr>
          <w:trHeight w:val="555"/>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Субсидіарність</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вимагає</w:t>
            </w:r>
            <w:r w:rsidRPr="00862FA1">
              <w:rPr>
                <w:rFonts w:ascii="Times New Roman" w:eastAsia="MS Mincho" w:hAnsi="Times New Roman" w:cs="Times New Roman"/>
                <w:sz w:val="16"/>
                <w:szCs w:val="16"/>
              </w:rPr>
              <w:t xml:space="preserve"> розподілу повноважень і компетенцій на різних рівнях</w:t>
            </w:r>
            <w:r w:rsidRPr="00862FA1">
              <w:rPr>
                <w:rFonts w:ascii="Times New Roman" w:hAnsi="Times New Roman" w:cs="Times New Roman"/>
                <w:sz w:val="16"/>
                <w:szCs w:val="16"/>
              </w:rPr>
              <w:t xml:space="preserve"> функціонування та розвитку інфраструк</w:t>
            </w:r>
            <w:r>
              <w:rPr>
                <w:rFonts w:ascii="Times New Roman" w:hAnsi="Times New Roman" w:cs="Times New Roman"/>
                <w:sz w:val="16"/>
                <w:szCs w:val="16"/>
              </w:rPr>
              <w:t>тури ринку праці</w:t>
            </w:r>
          </w:p>
        </w:tc>
      </w:tr>
      <w:tr w:rsidR="00B233DE" w:rsidRPr="00862FA1" w:rsidTr="0023489B">
        <w:trPr>
          <w:trHeight w:val="555"/>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Відкритість</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213D72" w:rsidRDefault="00B233DE" w:rsidP="0023489B">
            <w:pPr>
              <w:ind w:right="-108" w:firstLine="0"/>
              <w:jc w:val="both"/>
              <w:rPr>
                <w:rFonts w:ascii="Times New Roman" w:hAnsi="Times New Roman" w:cs="Times New Roman"/>
                <w:spacing w:val="-6"/>
                <w:sz w:val="16"/>
                <w:szCs w:val="16"/>
              </w:rPr>
            </w:pPr>
            <w:r w:rsidRPr="00213D72">
              <w:rPr>
                <w:rFonts w:ascii="Times New Roman" w:hAnsi="Times New Roman" w:cs="Times New Roman"/>
                <w:spacing w:val="-6"/>
                <w:sz w:val="16"/>
                <w:szCs w:val="16"/>
              </w:rPr>
              <w:t>означає, що всі елементи інфраструктури повинні налагоджувати конструктивні стосунки із державними чи громадським інституціями, працюючи в більш відкритому режимі, налагоджуючи командну роботу між працівниками на основі поваги, довіри, надійності, відсутності упередженості й дискримінації за віковими чи ген</w:t>
            </w:r>
            <w:r>
              <w:rPr>
                <w:rFonts w:ascii="Times New Roman" w:hAnsi="Times New Roman" w:cs="Times New Roman"/>
                <w:spacing w:val="-6"/>
                <w:sz w:val="16"/>
                <w:szCs w:val="16"/>
              </w:rPr>
              <w:t>-</w:t>
            </w:r>
            <w:r w:rsidRPr="00213D72">
              <w:rPr>
                <w:rFonts w:ascii="Times New Roman" w:hAnsi="Times New Roman" w:cs="Times New Roman"/>
                <w:spacing w:val="-6"/>
                <w:sz w:val="16"/>
                <w:szCs w:val="16"/>
              </w:rPr>
              <w:t>дерними ознаками, за віросповідуванням, культурними відмін</w:t>
            </w:r>
            <w:r>
              <w:rPr>
                <w:rFonts w:ascii="Times New Roman" w:hAnsi="Times New Roman" w:cs="Times New Roman"/>
                <w:spacing w:val="-6"/>
                <w:sz w:val="16"/>
                <w:szCs w:val="16"/>
              </w:rPr>
              <w:t>-</w:t>
            </w:r>
            <w:r w:rsidRPr="00213D72">
              <w:rPr>
                <w:rFonts w:ascii="Times New Roman" w:hAnsi="Times New Roman" w:cs="Times New Roman"/>
                <w:spacing w:val="-6"/>
                <w:sz w:val="16"/>
                <w:szCs w:val="16"/>
              </w:rPr>
              <w:t>ностями чи фізичними вадами, отримуючи користь від знань і досвіду інших людей та оприлюднюючи зміст рішень, які приймаються</w:t>
            </w:r>
          </w:p>
        </w:tc>
      </w:tr>
      <w:tr w:rsidR="00B233DE" w:rsidRPr="00862FA1" w:rsidTr="0023489B">
        <w:trPr>
          <w:trHeight w:val="555"/>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Підзвітність</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both"/>
              <w:rPr>
                <w:rFonts w:ascii="Times New Roman" w:hAnsi="Times New Roman" w:cs="Times New Roman"/>
                <w:sz w:val="16"/>
                <w:szCs w:val="16"/>
              </w:rPr>
            </w:pPr>
            <w:r w:rsidRPr="00862FA1">
              <w:rPr>
                <w:rFonts w:ascii="Times New Roman" w:hAnsi="Times New Roman" w:cs="Times New Roman"/>
                <w:sz w:val="16"/>
                <w:szCs w:val="16"/>
              </w:rPr>
              <w:t>означає визначення чіткості дій, згідно прийнятих високо</w:t>
            </w:r>
            <w:r>
              <w:rPr>
                <w:rFonts w:ascii="Times New Roman" w:hAnsi="Times New Roman" w:cs="Times New Roman"/>
                <w:sz w:val="16"/>
                <w:szCs w:val="16"/>
              </w:rPr>
              <w:t>-</w:t>
            </w:r>
            <w:r w:rsidRPr="00213D72">
              <w:rPr>
                <w:rFonts w:ascii="Times New Roman" w:hAnsi="Times New Roman" w:cs="Times New Roman"/>
                <w:spacing w:val="-4"/>
                <w:sz w:val="16"/>
                <w:szCs w:val="16"/>
              </w:rPr>
              <w:t>якісних інструкцій, у функціях різних органів у виконавчому про-</w:t>
            </w:r>
            <w:r w:rsidRPr="00862FA1">
              <w:rPr>
                <w:rFonts w:ascii="Times New Roman" w:hAnsi="Times New Roman" w:cs="Times New Roman"/>
                <w:sz w:val="16"/>
                <w:szCs w:val="16"/>
              </w:rPr>
              <w:t>цесі та покладанні за це суворішої адміністративної відпові</w:t>
            </w:r>
            <w:r>
              <w:rPr>
                <w:rFonts w:ascii="Times New Roman" w:hAnsi="Times New Roman" w:cs="Times New Roman"/>
                <w:sz w:val="16"/>
                <w:szCs w:val="16"/>
              </w:rPr>
              <w:t>-</w:t>
            </w:r>
            <w:r w:rsidRPr="00862FA1">
              <w:rPr>
                <w:rFonts w:ascii="Times New Roman" w:hAnsi="Times New Roman" w:cs="Times New Roman"/>
                <w:sz w:val="16"/>
                <w:szCs w:val="16"/>
              </w:rPr>
              <w:t>дальності з метою оперативнішого і більш якіснішого реагува</w:t>
            </w:r>
            <w:r>
              <w:rPr>
                <w:rFonts w:ascii="Times New Roman" w:hAnsi="Times New Roman" w:cs="Times New Roman"/>
                <w:sz w:val="16"/>
                <w:szCs w:val="16"/>
              </w:rPr>
              <w:t>н-ня влади на потреби громадян</w:t>
            </w:r>
          </w:p>
        </w:tc>
      </w:tr>
      <w:tr w:rsidR="00B233DE" w:rsidRPr="00862FA1" w:rsidTr="0023489B">
        <w:trPr>
          <w:trHeight w:val="555"/>
        </w:trPr>
        <w:tc>
          <w:tcPr>
            <w:tcW w:w="1560" w:type="dxa"/>
            <w:tcBorders>
              <w:top w:val="single" w:sz="4" w:space="0" w:color="auto"/>
              <w:left w:val="single" w:sz="4" w:space="0" w:color="auto"/>
              <w:bottom w:val="single" w:sz="4" w:space="0" w:color="auto"/>
              <w:right w:val="single" w:sz="4" w:space="0" w:color="auto"/>
            </w:tcBorders>
          </w:tcPr>
          <w:p w:rsidR="00B233DE" w:rsidRDefault="00B233DE" w:rsidP="0023489B">
            <w:pPr>
              <w:ind w:right="-108" w:firstLine="0"/>
              <w:rPr>
                <w:rFonts w:ascii="Times New Roman" w:hAnsi="Times New Roman" w:cs="Times New Roman"/>
                <w:sz w:val="16"/>
                <w:szCs w:val="16"/>
              </w:rPr>
            </w:pPr>
            <w:r w:rsidRPr="009F70C2">
              <w:rPr>
                <w:rFonts w:ascii="Times New Roman" w:hAnsi="Times New Roman" w:cs="Times New Roman"/>
                <w:spacing w:val="-4"/>
                <w:sz w:val="16"/>
                <w:szCs w:val="16"/>
              </w:rPr>
              <w:t>Міжінституціональне</w:t>
            </w:r>
            <w:r w:rsidRPr="00862FA1">
              <w:rPr>
                <w:rFonts w:ascii="Times New Roman" w:hAnsi="Times New Roman" w:cs="Times New Roman"/>
                <w:sz w:val="16"/>
                <w:szCs w:val="16"/>
              </w:rPr>
              <w:t xml:space="preserve"> партнерство </w:t>
            </w:r>
          </w:p>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та участь</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both"/>
              <w:rPr>
                <w:rFonts w:ascii="Times New Roman" w:hAnsi="Times New Roman" w:cs="Times New Roman"/>
                <w:sz w:val="16"/>
                <w:szCs w:val="16"/>
              </w:rPr>
            </w:pPr>
            <w:r w:rsidRPr="00862FA1">
              <w:rPr>
                <w:rFonts w:ascii="Times New Roman" w:hAnsi="Times New Roman" w:cs="Times New Roman"/>
                <w:sz w:val="16"/>
                <w:szCs w:val="16"/>
              </w:rPr>
              <w:t>передбачає залучення все більшої кількості неурядових органі</w:t>
            </w:r>
            <w:r>
              <w:rPr>
                <w:rFonts w:ascii="Times New Roman" w:hAnsi="Times New Roman" w:cs="Times New Roman"/>
                <w:sz w:val="16"/>
                <w:szCs w:val="16"/>
              </w:rPr>
              <w:t>-</w:t>
            </w:r>
            <w:r w:rsidRPr="00B707E1">
              <w:rPr>
                <w:rFonts w:ascii="Times New Roman" w:hAnsi="Times New Roman" w:cs="Times New Roman"/>
                <w:spacing w:val="-8"/>
                <w:sz w:val="16"/>
                <w:szCs w:val="16"/>
              </w:rPr>
              <w:t>зацій, соціальних партнерів, громадян і інших зацікавлених сторін з ме-</w:t>
            </w:r>
            <w:r w:rsidRPr="00B707E1">
              <w:rPr>
                <w:rFonts w:ascii="Times New Roman" w:hAnsi="Times New Roman" w:cs="Times New Roman"/>
                <w:spacing w:val="-6"/>
                <w:sz w:val="16"/>
                <w:szCs w:val="16"/>
              </w:rPr>
              <w:t>тою посилення співпраці в проведенні політики зайнятості населення</w:t>
            </w:r>
          </w:p>
        </w:tc>
      </w:tr>
      <w:tr w:rsidR="00B233DE" w:rsidRPr="00862FA1" w:rsidTr="0023489B">
        <w:trPr>
          <w:trHeight w:val="555"/>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Підпорядкованість</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both"/>
              <w:rPr>
                <w:rFonts w:ascii="Times New Roman" w:hAnsi="Times New Roman" w:cs="Times New Roman"/>
                <w:sz w:val="16"/>
                <w:szCs w:val="16"/>
              </w:rPr>
            </w:pPr>
            <w:r w:rsidRPr="00862FA1">
              <w:rPr>
                <w:rFonts w:ascii="Times New Roman" w:hAnsi="Times New Roman" w:cs="Times New Roman"/>
                <w:sz w:val="16"/>
                <w:szCs w:val="16"/>
              </w:rPr>
              <w:t>передбачає наявність у національної інфраструктури ринку праці переважної більшості важелів керуючого впливу порівня</w:t>
            </w:r>
            <w:r>
              <w:rPr>
                <w:rFonts w:ascii="Times New Roman" w:hAnsi="Times New Roman" w:cs="Times New Roman"/>
                <w:sz w:val="16"/>
                <w:szCs w:val="16"/>
              </w:rPr>
              <w:t>-</w:t>
            </w:r>
            <w:r w:rsidRPr="00862FA1">
              <w:rPr>
                <w:rFonts w:ascii="Times New Roman" w:hAnsi="Times New Roman" w:cs="Times New Roman"/>
                <w:sz w:val="16"/>
                <w:szCs w:val="16"/>
              </w:rPr>
              <w:t>но з інфраструктурами нижчого рівня, з пріоритетом соціально-економічного розвитку країни та соціуму;</w:t>
            </w:r>
          </w:p>
        </w:tc>
      </w:tr>
      <w:tr w:rsidR="00B233DE" w:rsidRPr="009F70C2" w:rsidTr="0023489B">
        <w:trPr>
          <w:trHeight w:val="359"/>
        </w:trPr>
        <w:tc>
          <w:tcPr>
            <w:tcW w:w="6096" w:type="dxa"/>
            <w:gridSpan w:val="3"/>
            <w:tcBorders>
              <w:top w:val="nil"/>
              <w:left w:val="nil"/>
              <w:bottom w:val="nil"/>
              <w:right w:val="nil"/>
            </w:tcBorders>
          </w:tcPr>
          <w:p w:rsidR="00B233DE" w:rsidRDefault="00B233DE" w:rsidP="0023489B">
            <w:pPr>
              <w:ind w:firstLine="743"/>
              <w:jc w:val="right"/>
              <w:rPr>
                <w:rFonts w:ascii="Times New Roman" w:hAnsi="Times New Roman" w:cs="Times New Roman"/>
                <w:sz w:val="21"/>
                <w:szCs w:val="21"/>
              </w:rPr>
            </w:pPr>
          </w:p>
          <w:p w:rsidR="00B233DE" w:rsidRPr="009F70C2" w:rsidRDefault="00B233DE" w:rsidP="0023489B">
            <w:pPr>
              <w:ind w:firstLine="743"/>
              <w:jc w:val="right"/>
              <w:rPr>
                <w:rFonts w:ascii="Times New Roman" w:hAnsi="Times New Roman" w:cs="Times New Roman"/>
                <w:sz w:val="21"/>
                <w:szCs w:val="21"/>
              </w:rPr>
            </w:pPr>
            <w:r w:rsidRPr="009F70C2">
              <w:rPr>
                <w:rFonts w:ascii="Times New Roman" w:hAnsi="Times New Roman" w:cs="Times New Roman"/>
                <w:sz w:val="21"/>
                <w:szCs w:val="21"/>
              </w:rPr>
              <w:t>Продовж</w:t>
            </w:r>
            <w:r>
              <w:rPr>
                <w:rFonts w:ascii="Times New Roman" w:hAnsi="Times New Roman" w:cs="Times New Roman"/>
                <w:sz w:val="21"/>
                <w:szCs w:val="21"/>
              </w:rPr>
              <w:t>ення</w:t>
            </w:r>
            <w:r w:rsidRPr="009F70C2">
              <w:rPr>
                <w:rFonts w:ascii="Times New Roman" w:hAnsi="Times New Roman" w:cs="Times New Roman"/>
                <w:sz w:val="21"/>
                <w:szCs w:val="21"/>
              </w:rPr>
              <w:t xml:space="preserve"> табл. </w:t>
            </w:r>
            <w:r>
              <w:rPr>
                <w:rFonts w:ascii="Times New Roman" w:hAnsi="Times New Roman" w:cs="Times New Roman"/>
                <w:sz w:val="21"/>
                <w:szCs w:val="21"/>
              </w:rPr>
              <w:t>3</w:t>
            </w:r>
            <w:r w:rsidRPr="009F70C2">
              <w:rPr>
                <w:rFonts w:ascii="Times New Roman" w:hAnsi="Times New Roman" w:cs="Times New Roman"/>
                <w:sz w:val="21"/>
                <w:szCs w:val="21"/>
              </w:rPr>
              <w:t>.</w:t>
            </w:r>
            <w:r>
              <w:rPr>
                <w:rFonts w:ascii="Times New Roman" w:hAnsi="Times New Roman" w:cs="Times New Roman"/>
                <w:sz w:val="21"/>
                <w:szCs w:val="21"/>
              </w:rPr>
              <w:t>3</w:t>
            </w:r>
          </w:p>
        </w:tc>
      </w:tr>
      <w:tr w:rsidR="00B233DE" w:rsidRPr="00862FA1" w:rsidTr="0023489B">
        <w:trPr>
          <w:trHeight w:val="222"/>
        </w:trPr>
        <w:tc>
          <w:tcPr>
            <w:tcW w:w="1560" w:type="dxa"/>
            <w:tcBorders>
              <w:top w:val="single" w:sz="4" w:space="0" w:color="auto"/>
              <w:left w:val="single" w:sz="4" w:space="0" w:color="auto"/>
              <w:bottom w:val="single" w:sz="4" w:space="0" w:color="auto"/>
              <w:right w:val="single" w:sz="4" w:space="0" w:color="auto"/>
            </w:tcBorders>
            <w:vAlign w:val="center"/>
          </w:tcPr>
          <w:p w:rsidR="00B233DE" w:rsidRPr="00862FA1" w:rsidRDefault="00B233DE" w:rsidP="0023489B">
            <w:pPr>
              <w:ind w:right="-108" w:firstLine="0"/>
              <w:jc w:val="center"/>
              <w:rPr>
                <w:rFonts w:ascii="Times New Roman" w:hAnsi="Times New Roman" w:cs="Times New Roman"/>
                <w:sz w:val="16"/>
                <w:szCs w:val="16"/>
              </w:rPr>
            </w:pPr>
            <w:r>
              <w:rPr>
                <w:rFonts w:ascii="Times New Roman" w:hAnsi="Times New Roman" w:cs="Times New Roman"/>
                <w:sz w:val="16"/>
                <w:szCs w:val="16"/>
              </w:rPr>
              <w:t>1</w:t>
            </w:r>
          </w:p>
        </w:tc>
        <w:tc>
          <w:tcPr>
            <w:tcW w:w="4536" w:type="dxa"/>
            <w:gridSpan w:val="2"/>
            <w:tcBorders>
              <w:top w:val="single" w:sz="4" w:space="0" w:color="auto"/>
              <w:left w:val="single" w:sz="4" w:space="0" w:color="auto"/>
              <w:bottom w:val="single" w:sz="4" w:space="0" w:color="auto"/>
              <w:right w:val="single" w:sz="4" w:space="0" w:color="auto"/>
            </w:tcBorders>
            <w:vAlign w:val="center"/>
          </w:tcPr>
          <w:p w:rsidR="00B233DE" w:rsidRPr="00862FA1" w:rsidRDefault="00B233DE" w:rsidP="0023489B">
            <w:pPr>
              <w:ind w:right="-108" w:firstLine="0"/>
              <w:jc w:val="center"/>
              <w:rPr>
                <w:rFonts w:ascii="Times New Roman" w:hAnsi="Times New Roman" w:cs="Times New Roman"/>
                <w:sz w:val="16"/>
                <w:szCs w:val="16"/>
              </w:rPr>
            </w:pPr>
            <w:r>
              <w:rPr>
                <w:rFonts w:ascii="Times New Roman" w:hAnsi="Times New Roman" w:cs="Times New Roman"/>
                <w:sz w:val="16"/>
                <w:szCs w:val="16"/>
              </w:rPr>
              <w:t>2</w:t>
            </w:r>
          </w:p>
        </w:tc>
      </w:tr>
      <w:tr w:rsidR="00B233DE" w:rsidRPr="00862FA1" w:rsidTr="0023489B">
        <w:trPr>
          <w:trHeight w:val="177"/>
        </w:trPr>
        <w:tc>
          <w:tcPr>
            <w:tcW w:w="6096" w:type="dxa"/>
            <w:gridSpan w:val="3"/>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center"/>
              <w:rPr>
                <w:rFonts w:ascii="Times New Roman" w:hAnsi="Times New Roman" w:cs="Times New Roman"/>
                <w:sz w:val="16"/>
                <w:szCs w:val="16"/>
              </w:rPr>
            </w:pPr>
            <w:r w:rsidRPr="00862FA1">
              <w:rPr>
                <w:rFonts w:ascii="Times New Roman" w:hAnsi="Times New Roman" w:cs="Times New Roman"/>
                <w:sz w:val="16"/>
                <w:szCs w:val="16"/>
              </w:rPr>
              <w:t>Специфічні принципи</w:t>
            </w:r>
          </w:p>
        </w:tc>
      </w:tr>
      <w:tr w:rsidR="00B233DE" w:rsidRPr="00862FA1" w:rsidTr="0023489B">
        <w:trPr>
          <w:trHeight w:val="401"/>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 xml:space="preserve">Інтегративність </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both"/>
              <w:rPr>
                <w:rFonts w:ascii="Times New Roman" w:hAnsi="Times New Roman" w:cs="Times New Roman"/>
                <w:sz w:val="16"/>
                <w:szCs w:val="16"/>
              </w:rPr>
            </w:pPr>
            <w:r w:rsidRPr="00B707E1">
              <w:rPr>
                <w:rFonts w:ascii="Times New Roman" w:hAnsi="Times New Roman" w:cs="Times New Roman"/>
                <w:spacing w:val="-8"/>
                <w:sz w:val="16"/>
                <w:szCs w:val="16"/>
              </w:rPr>
              <w:t>означає процес об’єднання складових елементів інфраструктури в єди-</w:t>
            </w:r>
            <w:r w:rsidRPr="00B707E1">
              <w:rPr>
                <w:rFonts w:ascii="Times New Roman" w:hAnsi="Times New Roman" w:cs="Times New Roman"/>
                <w:spacing w:val="-6"/>
                <w:sz w:val="16"/>
                <w:szCs w:val="16"/>
              </w:rPr>
              <w:t>не</w:t>
            </w:r>
            <w:r w:rsidRPr="00B707E1">
              <w:rPr>
                <w:rFonts w:ascii="Times New Roman" w:hAnsi="Times New Roman" w:cs="Times New Roman"/>
                <w:spacing w:val="-8"/>
                <w:sz w:val="16"/>
                <w:szCs w:val="16"/>
              </w:rPr>
              <w:t xml:space="preserve"> ціле, з метою кращого забезпечення життєдіяльності ринку праці</w:t>
            </w:r>
          </w:p>
        </w:tc>
      </w:tr>
      <w:tr w:rsidR="00B233DE" w:rsidRPr="00862FA1" w:rsidTr="0023489B">
        <w:trPr>
          <w:trHeight w:val="345"/>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 xml:space="preserve">Інклюзивність </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both"/>
              <w:rPr>
                <w:rFonts w:ascii="Times New Roman" w:hAnsi="Times New Roman" w:cs="Times New Roman"/>
                <w:sz w:val="16"/>
                <w:szCs w:val="16"/>
              </w:rPr>
            </w:pPr>
            <w:r w:rsidRPr="00B707E1">
              <w:rPr>
                <w:rFonts w:ascii="Times New Roman" w:hAnsi="Times New Roman" w:cs="Times New Roman"/>
                <w:spacing w:val="-6"/>
                <w:sz w:val="16"/>
                <w:szCs w:val="16"/>
              </w:rPr>
              <w:t>передбачає залучення до активної діяльності тих верств населен</w:t>
            </w:r>
            <w:r w:rsidRPr="00862FA1">
              <w:rPr>
                <w:rFonts w:ascii="Times New Roman" w:hAnsi="Times New Roman" w:cs="Times New Roman"/>
                <w:sz w:val="16"/>
                <w:szCs w:val="16"/>
              </w:rPr>
              <w:t>ня, які чер</w:t>
            </w:r>
            <w:r>
              <w:rPr>
                <w:rFonts w:ascii="Times New Roman" w:hAnsi="Times New Roman" w:cs="Times New Roman"/>
                <w:sz w:val="16"/>
                <w:szCs w:val="16"/>
              </w:rPr>
              <w:t xml:space="preserve">ез фізичні обмеження, хвороби і проживання у </w:t>
            </w:r>
            <w:r w:rsidRPr="00862FA1">
              <w:rPr>
                <w:rFonts w:ascii="Times New Roman" w:hAnsi="Times New Roman" w:cs="Times New Roman"/>
                <w:sz w:val="16"/>
                <w:szCs w:val="16"/>
              </w:rPr>
              <w:t>депре</w:t>
            </w:r>
            <w:r>
              <w:rPr>
                <w:rFonts w:ascii="Times New Roman" w:hAnsi="Times New Roman" w:cs="Times New Roman"/>
                <w:sz w:val="16"/>
                <w:szCs w:val="16"/>
              </w:rPr>
              <w:t xml:space="preserve">-сивних регіонах країни не інтегруються до </w:t>
            </w:r>
            <w:r w:rsidRPr="00862FA1">
              <w:rPr>
                <w:rFonts w:ascii="Times New Roman" w:hAnsi="Times New Roman" w:cs="Times New Roman"/>
                <w:sz w:val="16"/>
                <w:szCs w:val="16"/>
              </w:rPr>
              <w:t>суспільно корисно</w:t>
            </w:r>
            <w:r>
              <w:rPr>
                <w:rFonts w:ascii="Times New Roman" w:hAnsi="Times New Roman" w:cs="Times New Roman"/>
                <w:sz w:val="16"/>
                <w:szCs w:val="16"/>
              </w:rPr>
              <w:t xml:space="preserve">ї діяльності, фактично існуючи </w:t>
            </w:r>
            <w:r w:rsidRPr="00862FA1">
              <w:rPr>
                <w:rFonts w:ascii="Times New Roman" w:hAnsi="Times New Roman" w:cs="Times New Roman"/>
                <w:sz w:val="16"/>
                <w:szCs w:val="16"/>
              </w:rPr>
              <w:t>поза суспільством</w:t>
            </w:r>
          </w:p>
        </w:tc>
      </w:tr>
      <w:tr w:rsidR="00B233DE" w:rsidRPr="00862FA1" w:rsidTr="0023489B">
        <w:trPr>
          <w:trHeight w:val="390"/>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Науковість</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both"/>
              <w:rPr>
                <w:rFonts w:ascii="Times New Roman" w:hAnsi="Times New Roman" w:cs="Times New Roman"/>
                <w:sz w:val="16"/>
                <w:szCs w:val="16"/>
              </w:rPr>
            </w:pPr>
            <w:r w:rsidRPr="0072576F">
              <w:rPr>
                <w:rFonts w:ascii="Times New Roman" w:hAnsi="Times New Roman" w:cs="Times New Roman"/>
                <w:spacing w:val="-4"/>
                <w:sz w:val="16"/>
                <w:szCs w:val="16"/>
              </w:rPr>
              <w:t>передбачає об’єктивне розкриття причинно-наслідкових зв’язків</w:t>
            </w:r>
            <w:r w:rsidRPr="00862FA1">
              <w:rPr>
                <w:rFonts w:ascii="Times New Roman" w:hAnsi="Times New Roman" w:cs="Times New Roman"/>
                <w:sz w:val="16"/>
                <w:szCs w:val="16"/>
              </w:rPr>
              <w:t xml:space="preserve"> </w:t>
            </w:r>
            <w:r w:rsidRPr="0072576F">
              <w:rPr>
                <w:rFonts w:ascii="Times New Roman" w:hAnsi="Times New Roman" w:cs="Times New Roman"/>
                <w:spacing w:val="-8"/>
                <w:sz w:val="16"/>
                <w:szCs w:val="16"/>
              </w:rPr>
              <w:t>соціаль</w:t>
            </w:r>
            <w:r w:rsidRPr="00862FA1">
              <w:rPr>
                <w:rFonts w:ascii="Times New Roman" w:hAnsi="Times New Roman" w:cs="Times New Roman"/>
                <w:sz w:val="16"/>
                <w:szCs w:val="16"/>
              </w:rPr>
              <w:t>но-еко</w:t>
            </w:r>
            <w:r>
              <w:rPr>
                <w:rFonts w:ascii="Times New Roman" w:hAnsi="Times New Roman" w:cs="Times New Roman"/>
                <w:sz w:val="16"/>
                <w:szCs w:val="16"/>
              </w:rPr>
              <w:t xml:space="preserve">номічних явищ, процесів, подій </w:t>
            </w:r>
            <w:r w:rsidRPr="00862FA1">
              <w:rPr>
                <w:rFonts w:ascii="Times New Roman" w:hAnsi="Times New Roman" w:cs="Times New Roman"/>
                <w:sz w:val="16"/>
                <w:szCs w:val="16"/>
              </w:rPr>
              <w:t>на ринку праці зав</w:t>
            </w:r>
            <w:r>
              <w:rPr>
                <w:rFonts w:ascii="Times New Roman" w:hAnsi="Times New Roman" w:cs="Times New Roman"/>
                <w:sz w:val="16"/>
                <w:szCs w:val="16"/>
              </w:rPr>
              <w:t>-</w:t>
            </w:r>
            <w:r w:rsidRPr="00862FA1">
              <w:rPr>
                <w:rFonts w:ascii="Times New Roman" w:hAnsi="Times New Roman" w:cs="Times New Roman"/>
                <w:sz w:val="16"/>
                <w:szCs w:val="16"/>
              </w:rPr>
              <w:t xml:space="preserve">дяки використання науково перевірених знань з використанням </w:t>
            </w:r>
            <w:r w:rsidRPr="0072576F">
              <w:rPr>
                <w:rFonts w:ascii="Times New Roman" w:hAnsi="Times New Roman" w:cs="Times New Roman"/>
                <w:spacing w:val="-4"/>
                <w:sz w:val="16"/>
                <w:szCs w:val="16"/>
              </w:rPr>
              <w:t>форм та методів, які відповідають сучасному рівню розвитку науки</w:t>
            </w:r>
          </w:p>
        </w:tc>
      </w:tr>
      <w:tr w:rsidR="00B233DE" w:rsidRPr="00862FA1" w:rsidTr="0023489B">
        <w:trPr>
          <w:trHeight w:val="405"/>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Солідарність</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both"/>
              <w:rPr>
                <w:rFonts w:ascii="Times New Roman" w:hAnsi="Times New Roman" w:cs="Times New Roman"/>
                <w:sz w:val="16"/>
                <w:szCs w:val="16"/>
              </w:rPr>
            </w:pPr>
            <w:r w:rsidRPr="0072576F">
              <w:rPr>
                <w:rFonts w:ascii="Times New Roman" w:hAnsi="Times New Roman" w:cs="Times New Roman"/>
                <w:spacing w:val="-8"/>
                <w:sz w:val="16"/>
                <w:szCs w:val="16"/>
              </w:rPr>
              <w:t>забезпечується сумісними діями держави, політичних еліт, робото-давців, підприємців, робітників, домогосподарств, ЗМІ, простих грома-</w:t>
            </w:r>
            <w:r w:rsidRPr="00862FA1">
              <w:rPr>
                <w:rFonts w:ascii="Times New Roman" w:hAnsi="Times New Roman" w:cs="Times New Roman"/>
                <w:sz w:val="16"/>
                <w:szCs w:val="16"/>
              </w:rPr>
              <w:t>дян внесенням посильного вкладу в процес подолання безробіт</w:t>
            </w:r>
            <w:r>
              <w:rPr>
                <w:rFonts w:ascii="Times New Roman" w:hAnsi="Times New Roman" w:cs="Times New Roman"/>
                <w:sz w:val="16"/>
                <w:szCs w:val="16"/>
              </w:rPr>
              <w:t>-</w:t>
            </w:r>
            <w:r w:rsidRPr="00862FA1">
              <w:rPr>
                <w:rFonts w:ascii="Times New Roman" w:hAnsi="Times New Roman" w:cs="Times New Roman"/>
                <w:sz w:val="16"/>
                <w:szCs w:val="16"/>
              </w:rPr>
              <w:t>тя, бідності та інших соціальних негараздів</w:t>
            </w:r>
          </w:p>
        </w:tc>
      </w:tr>
      <w:tr w:rsidR="00B233DE" w:rsidRPr="00862FA1" w:rsidTr="0023489B">
        <w:trPr>
          <w:trHeight w:val="435"/>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Об’єктивність</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both"/>
              <w:rPr>
                <w:rFonts w:ascii="Times New Roman" w:hAnsi="Times New Roman" w:cs="Times New Roman"/>
                <w:sz w:val="16"/>
                <w:szCs w:val="16"/>
              </w:rPr>
            </w:pPr>
            <w:r w:rsidRPr="00862FA1">
              <w:rPr>
                <w:rFonts w:ascii="Times New Roman" w:hAnsi="Times New Roman" w:cs="Times New Roman"/>
                <w:sz w:val="16"/>
                <w:szCs w:val="16"/>
              </w:rPr>
              <w:t>зумовлює необхідність врахування у діяльності інфрас</w:t>
            </w:r>
            <w:r>
              <w:rPr>
                <w:rFonts w:ascii="Times New Roman" w:hAnsi="Times New Roman" w:cs="Times New Roman"/>
                <w:sz w:val="16"/>
                <w:szCs w:val="16"/>
              </w:rPr>
              <w:t>труктури об’</w:t>
            </w:r>
            <w:r w:rsidRPr="00862FA1">
              <w:rPr>
                <w:rFonts w:ascii="Times New Roman" w:hAnsi="Times New Roman" w:cs="Times New Roman"/>
                <w:sz w:val="16"/>
                <w:szCs w:val="16"/>
              </w:rPr>
              <w:t>єктивних закономірностей, які визначають соціально-еконо</w:t>
            </w:r>
            <w:r>
              <w:rPr>
                <w:rFonts w:ascii="Times New Roman" w:hAnsi="Times New Roman" w:cs="Times New Roman"/>
                <w:sz w:val="16"/>
                <w:szCs w:val="16"/>
              </w:rPr>
              <w:t>-</w:t>
            </w:r>
            <w:r w:rsidRPr="00862FA1">
              <w:rPr>
                <w:rFonts w:ascii="Times New Roman" w:hAnsi="Times New Roman" w:cs="Times New Roman"/>
                <w:sz w:val="16"/>
                <w:szCs w:val="16"/>
              </w:rPr>
              <w:t>мічні процеси, що відбуваються на ринку праці, сприймаючи історичну реальність суспільних сил з усіма протиріччями</w:t>
            </w:r>
          </w:p>
        </w:tc>
      </w:tr>
      <w:tr w:rsidR="00B233DE" w:rsidRPr="00862FA1" w:rsidTr="0023489B">
        <w:trPr>
          <w:trHeight w:val="465"/>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Системність</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both"/>
              <w:rPr>
                <w:rFonts w:ascii="Times New Roman" w:hAnsi="Times New Roman" w:cs="Times New Roman"/>
                <w:sz w:val="16"/>
                <w:szCs w:val="16"/>
              </w:rPr>
            </w:pPr>
            <w:r w:rsidRPr="00862FA1">
              <w:rPr>
                <w:rFonts w:ascii="Times New Roman" w:hAnsi="Times New Roman" w:cs="Times New Roman"/>
                <w:sz w:val="16"/>
                <w:szCs w:val="16"/>
              </w:rPr>
              <w:t>забезпечує формування цілісного комплексного підходу інфра</w:t>
            </w:r>
            <w:r>
              <w:rPr>
                <w:rFonts w:ascii="Times New Roman" w:hAnsi="Times New Roman" w:cs="Times New Roman"/>
                <w:sz w:val="16"/>
                <w:szCs w:val="16"/>
              </w:rPr>
              <w:t>-</w:t>
            </w:r>
            <w:r w:rsidRPr="00862FA1">
              <w:rPr>
                <w:rFonts w:ascii="Times New Roman" w:hAnsi="Times New Roman" w:cs="Times New Roman"/>
                <w:sz w:val="16"/>
                <w:szCs w:val="16"/>
              </w:rPr>
              <w:t>структурними ланками рин</w:t>
            </w:r>
            <w:r>
              <w:rPr>
                <w:rFonts w:ascii="Times New Roman" w:hAnsi="Times New Roman" w:cs="Times New Roman"/>
                <w:sz w:val="16"/>
                <w:szCs w:val="16"/>
              </w:rPr>
              <w:t>ку праці різного рівня до розв’</w:t>
            </w:r>
            <w:r w:rsidRPr="00862FA1">
              <w:rPr>
                <w:rFonts w:ascii="Times New Roman" w:hAnsi="Times New Roman" w:cs="Times New Roman"/>
                <w:sz w:val="16"/>
                <w:szCs w:val="16"/>
              </w:rPr>
              <w:t>язан</w:t>
            </w:r>
            <w:r>
              <w:rPr>
                <w:rFonts w:ascii="Times New Roman" w:hAnsi="Times New Roman" w:cs="Times New Roman"/>
                <w:sz w:val="16"/>
                <w:szCs w:val="16"/>
              </w:rPr>
              <w:t>-</w:t>
            </w:r>
            <w:r w:rsidRPr="00862FA1">
              <w:rPr>
                <w:rFonts w:ascii="Times New Roman" w:hAnsi="Times New Roman" w:cs="Times New Roman"/>
                <w:sz w:val="16"/>
                <w:szCs w:val="16"/>
              </w:rPr>
              <w:t>ня проблем у тісній взаємодії та зв’язку</w:t>
            </w:r>
          </w:p>
        </w:tc>
      </w:tr>
      <w:tr w:rsidR="00B233DE" w:rsidRPr="00862FA1" w:rsidTr="0023489B">
        <w:trPr>
          <w:trHeight w:val="315"/>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Особливість</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both"/>
              <w:rPr>
                <w:rFonts w:ascii="Times New Roman" w:hAnsi="Times New Roman" w:cs="Times New Roman"/>
                <w:sz w:val="16"/>
                <w:szCs w:val="16"/>
              </w:rPr>
            </w:pPr>
            <w:r w:rsidRPr="0072576F">
              <w:rPr>
                <w:rFonts w:ascii="Times New Roman" w:hAnsi="Times New Roman" w:cs="Times New Roman"/>
                <w:spacing w:val="-6"/>
                <w:sz w:val="16"/>
                <w:szCs w:val="16"/>
              </w:rPr>
              <w:t>визначає врахування історичної, ментальної, географічної специфі</w:t>
            </w:r>
            <w:r w:rsidRPr="00862FA1">
              <w:rPr>
                <w:rFonts w:ascii="Times New Roman" w:hAnsi="Times New Roman" w:cs="Times New Roman"/>
                <w:sz w:val="16"/>
                <w:szCs w:val="16"/>
              </w:rPr>
              <w:t>ки у розвитку інфраструктури національного та регіональних рин</w:t>
            </w:r>
            <w:r>
              <w:rPr>
                <w:rFonts w:ascii="Times New Roman" w:hAnsi="Times New Roman" w:cs="Times New Roman"/>
                <w:sz w:val="16"/>
                <w:szCs w:val="16"/>
              </w:rPr>
              <w:t>-</w:t>
            </w:r>
            <w:r w:rsidRPr="0072576F">
              <w:rPr>
                <w:rFonts w:ascii="Times New Roman" w:hAnsi="Times New Roman" w:cs="Times New Roman"/>
                <w:spacing w:val="-6"/>
                <w:sz w:val="16"/>
                <w:szCs w:val="16"/>
              </w:rPr>
              <w:t>ків праці та здійсненні її реформування в умовах відродження еко-</w:t>
            </w:r>
            <w:r>
              <w:rPr>
                <w:rFonts w:ascii="Times New Roman" w:hAnsi="Times New Roman" w:cs="Times New Roman"/>
                <w:sz w:val="16"/>
                <w:szCs w:val="16"/>
              </w:rPr>
              <w:t xml:space="preserve">номіки України </w:t>
            </w:r>
            <w:r w:rsidRPr="00862FA1">
              <w:rPr>
                <w:rFonts w:ascii="Times New Roman" w:hAnsi="Times New Roman" w:cs="Times New Roman"/>
                <w:sz w:val="16"/>
                <w:szCs w:val="16"/>
              </w:rPr>
              <w:t>та впливу європейських та світових тенденцій</w:t>
            </w:r>
          </w:p>
        </w:tc>
      </w:tr>
      <w:tr w:rsidR="00B233DE" w:rsidRPr="00862FA1" w:rsidTr="0023489B">
        <w:trPr>
          <w:trHeight w:val="345"/>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Демократичність</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both"/>
              <w:rPr>
                <w:rFonts w:ascii="Times New Roman" w:hAnsi="Times New Roman" w:cs="Times New Roman"/>
                <w:sz w:val="16"/>
                <w:szCs w:val="16"/>
              </w:rPr>
            </w:pPr>
            <w:r>
              <w:rPr>
                <w:rFonts w:ascii="Times New Roman" w:hAnsi="Times New Roman" w:cs="Times New Roman"/>
                <w:sz w:val="16"/>
                <w:szCs w:val="16"/>
              </w:rPr>
              <w:t>підкреслює не</w:t>
            </w:r>
            <w:r w:rsidRPr="00862FA1">
              <w:rPr>
                <w:rFonts w:ascii="Times New Roman" w:hAnsi="Times New Roman" w:cs="Times New Roman"/>
                <w:sz w:val="16"/>
                <w:szCs w:val="16"/>
              </w:rPr>
              <w:t>відповідності розвитку інфраструктури ринку праці інтересам усіх або переважної більшості громадян</w:t>
            </w:r>
          </w:p>
        </w:tc>
      </w:tr>
      <w:tr w:rsidR="00B233DE" w:rsidRPr="00862FA1" w:rsidTr="0023489B">
        <w:trPr>
          <w:trHeight w:val="360"/>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Мобільність</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jc w:val="both"/>
              <w:rPr>
                <w:rFonts w:ascii="Times New Roman" w:hAnsi="Times New Roman" w:cs="Times New Roman"/>
                <w:sz w:val="16"/>
                <w:szCs w:val="16"/>
              </w:rPr>
            </w:pPr>
            <w:r>
              <w:rPr>
                <w:rFonts w:ascii="Times New Roman" w:hAnsi="Times New Roman" w:cs="Times New Roman"/>
                <w:sz w:val="16"/>
                <w:szCs w:val="16"/>
              </w:rPr>
              <w:t>сприяє заміні</w:t>
            </w:r>
            <w:r w:rsidRPr="00862FA1">
              <w:rPr>
                <w:rFonts w:ascii="Times New Roman" w:hAnsi="Times New Roman" w:cs="Times New Roman"/>
                <w:sz w:val="16"/>
                <w:szCs w:val="16"/>
              </w:rPr>
              <w:t xml:space="preserve"> традиційних ланок інфраструктури ринку праці на нові, добре адаптовані з точки зору зв’язків в економіці знань</w:t>
            </w:r>
          </w:p>
        </w:tc>
      </w:tr>
      <w:tr w:rsidR="00B233DE" w:rsidRPr="00862FA1" w:rsidTr="0023489B">
        <w:trPr>
          <w:trHeight w:val="202"/>
        </w:trPr>
        <w:tc>
          <w:tcPr>
            <w:tcW w:w="1560" w:type="dxa"/>
            <w:tcBorders>
              <w:top w:val="single" w:sz="4" w:space="0" w:color="auto"/>
              <w:left w:val="single" w:sz="4" w:space="0" w:color="auto"/>
              <w:bottom w:val="single" w:sz="4" w:space="0" w:color="auto"/>
              <w:right w:val="single" w:sz="4" w:space="0" w:color="auto"/>
            </w:tcBorders>
          </w:tcPr>
          <w:p w:rsidR="00B233DE" w:rsidRPr="00862FA1" w:rsidRDefault="00B233DE" w:rsidP="0023489B">
            <w:pPr>
              <w:ind w:right="-108" w:firstLine="0"/>
              <w:rPr>
                <w:rFonts w:ascii="Times New Roman" w:hAnsi="Times New Roman" w:cs="Times New Roman"/>
                <w:sz w:val="16"/>
                <w:szCs w:val="16"/>
              </w:rPr>
            </w:pPr>
            <w:r w:rsidRPr="00862FA1">
              <w:rPr>
                <w:rFonts w:ascii="Times New Roman" w:hAnsi="Times New Roman" w:cs="Times New Roman"/>
                <w:sz w:val="16"/>
                <w:szCs w:val="16"/>
              </w:rPr>
              <w:t>Релевантність</w:t>
            </w:r>
          </w:p>
        </w:tc>
        <w:tc>
          <w:tcPr>
            <w:tcW w:w="4536" w:type="dxa"/>
            <w:gridSpan w:val="2"/>
            <w:tcBorders>
              <w:top w:val="single" w:sz="4" w:space="0" w:color="auto"/>
              <w:left w:val="single" w:sz="4" w:space="0" w:color="auto"/>
              <w:bottom w:val="single" w:sz="4" w:space="0" w:color="auto"/>
              <w:right w:val="single" w:sz="4" w:space="0" w:color="auto"/>
            </w:tcBorders>
          </w:tcPr>
          <w:p w:rsidR="00B233DE" w:rsidRPr="0072576F" w:rsidRDefault="00B233DE" w:rsidP="0023489B">
            <w:pPr>
              <w:ind w:right="-108" w:firstLine="0"/>
              <w:jc w:val="both"/>
              <w:rPr>
                <w:rFonts w:ascii="Times New Roman" w:hAnsi="Times New Roman" w:cs="Times New Roman"/>
                <w:spacing w:val="-6"/>
                <w:sz w:val="16"/>
                <w:szCs w:val="16"/>
              </w:rPr>
            </w:pPr>
            <w:r w:rsidRPr="0072576F">
              <w:rPr>
                <w:rFonts w:ascii="Times New Roman" w:hAnsi="Times New Roman" w:cs="Times New Roman"/>
                <w:spacing w:val="-6"/>
                <w:sz w:val="16"/>
                <w:szCs w:val="16"/>
              </w:rPr>
              <w:t>наголошує на мірі відповідності отримуваного результату бажаному</w:t>
            </w:r>
          </w:p>
        </w:tc>
      </w:tr>
    </w:tbl>
    <w:p w:rsidR="00B233DE" w:rsidRPr="00287DA9" w:rsidRDefault="00B233DE" w:rsidP="00B233DE">
      <w:pPr>
        <w:ind w:firstLine="709"/>
        <w:jc w:val="both"/>
        <w:rPr>
          <w:rFonts w:ascii="Times New Roman" w:hAnsi="Times New Roman" w:cs="Times New Roman"/>
          <w:sz w:val="21"/>
          <w:szCs w:val="21"/>
        </w:rPr>
      </w:pPr>
    </w:p>
    <w:p w:rsidR="00B233DE" w:rsidRPr="00287DA9"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t xml:space="preserve">Вітчизняний та </w:t>
      </w:r>
      <w:r>
        <w:rPr>
          <w:rFonts w:ascii="Times New Roman" w:hAnsi="Times New Roman" w:cs="Times New Roman"/>
          <w:sz w:val="21"/>
          <w:szCs w:val="21"/>
        </w:rPr>
        <w:t>регіональний ринок праці</w:t>
      </w:r>
      <w:r w:rsidRPr="00287DA9">
        <w:rPr>
          <w:rFonts w:ascii="Times New Roman" w:hAnsi="Times New Roman" w:cs="Times New Roman"/>
          <w:sz w:val="21"/>
          <w:szCs w:val="21"/>
        </w:rPr>
        <w:t>, поки що, не стали ефективними механізмами регулювання зайнятості і безробіття, не виконують або неналежно виконують притаманні їм функції, що спонукає їх до інфраст</w:t>
      </w:r>
      <w:r>
        <w:rPr>
          <w:rFonts w:ascii="Times New Roman" w:hAnsi="Times New Roman" w:cs="Times New Roman"/>
          <w:sz w:val="21"/>
          <w:szCs w:val="21"/>
        </w:rPr>
        <w:t xml:space="preserve">руктурного оновлення. Розвиток </w:t>
      </w:r>
      <w:r w:rsidRPr="00287DA9">
        <w:rPr>
          <w:rFonts w:ascii="Times New Roman" w:hAnsi="Times New Roman" w:cs="Times New Roman"/>
          <w:sz w:val="21"/>
          <w:szCs w:val="21"/>
        </w:rPr>
        <w:t>конкурентних відносин у сфері праці; постіндустріальні засади, які покликані новими тенденціями, що відбуваються в Україні та світі щодо зміни ефективності використання робочої сили, її конкуренто</w:t>
      </w:r>
      <w:r>
        <w:rPr>
          <w:rFonts w:ascii="Times New Roman" w:hAnsi="Times New Roman" w:cs="Times New Roman"/>
          <w:sz w:val="21"/>
          <w:szCs w:val="21"/>
        </w:rPr>
        <w:t>-</w:t>
      </w:r>
      <w:r w:rsidRPr="00287DA9">
        <w:rPr>
          <w:rFonts w:ascii="Times New Roman" w:hAnsi="Times New Roman" w:cs="Times New Roman"/>
          <w:sz w:val="21"/>
          <w:szCs w:val="21"/>
        </w:rPr>
        <w:t>спроможності актив</w:t>
      </w:r>
      <w:r>
        <w:rPr>
          <w:rFonts w:ascii="Times New Roman" w:hAnsi="Times New Roman" w:cs="Times New Roman"/>
          <w:sz w:val="21"/>
          <w:szCs w:val="21"/>
        </w:rPr>
        <w:t xml:space="preserve">но впливають на інфраструктуру </w:t>
      </w:r>
      <w:r w:rsidRPr="00287DA9">
        <w:rPr>
          <w:rFonts w:ascii="Times New Roman" w:hAnsi="Times New Roman" w:cs="Times New Roman"/>
          <w:sz w:val="21"/>
          <w:szCs w:val="21"/>
        </w:rPr>
        <w:t>вітчизняного ринку праці та її інститути, сприяючи її удосконаленню та оптимізації взає</w:t>
      </w:r>
      <w:r>
        <w:rPr>
          <w:rFonts w:ascii="Times New Roman" w:hAnsi="Times New Roman" w:cs="Times New Roman"/>
          <w:sz w:val="21"/>
          <w:szCs w:val="21"/>
        </w:rPr>
        <w:t>модії</w:t>
      </w:r>
      <w:r w:rsidRPr="00287DA9">
        <w:rPr>
          <w:rFonts w:ascii="Times New Roman" w:hAnsi="Times New Roman" w:cs="Times New Roman"/>
          <w:sz w:val="21"/>
          <w:szCs w:val="21"/>
        </w:rPr>
        <w:t xml:space="preserve"> взаємозв’язаних об’єктів і суб’єктів. </w:t>
      </w:r>
    </w:p>
    <w:p w:rsidR="00B233DE" w:rsidRPr="00287DA9" w:rsidRDefault="00B233DE" w:rsidP="00B233DE">
      <w:pPr>
        <w:ind w:firstLine="709"/>
        <w:jc w:val="both"/>
        <w:rPr>
          <w:rFonts w:ascii="Times New Roman" w:hAnsi="Times New Roman" w:cs="Times New Roman"/>
          <w:sz w:val="21"/>
          <w:szCs w:val="21"/>
        </w:rPr>
      </w:pPr>
      <w:r w:rsidRPr="00287DA9">
        <w:rPr>
          <w:rFonts w:ascii="Times New Roman" w:hAnsi="Times New Roman" w:cs="Times New Roman"/>
          <w:sz w:val="21"/>
          <w:szCs w:val="21"/>
        </w:rPr>
        <w:lastRenderedPageBreak/>
        <w:t xml:space="preserve">Тому, відповідно до цілей, необхідно модифікувати методи інфраструктурного забезпечення попиту і пропозиції робочої сили (рис. </w:t>
      </w:r>
      <w:r>
        <w:rPr>
          <w:rFonts w:ascii="Times New Roman" w:hAnsi="Times New Roman" w:cs="Times New Roman"/>
          <w:sz w:val="21"/>
          <w:szCs w:val="21"/>
        </w:rPr>
        <w:t>3</w:t>
      </w:r>
      <w:r w:rsidRPr="00287DA9">
        <w:rPr>
          <w:rFonts w:ascii="Times New Roman" w:hAnsi="Times New Roman" w:cs="Times New Roman"/>
          <w:sz w:val="21"/>
          <w:szCs w:val="21"/>
        </w:rPr>
        <w:t>.</w:t>
      </w:r>
      <w:r>
        <w:rPr>
          <w:rFonts w:ascii="Times New Roman" w:hAnsi="Times New Roman" w:cs="Times New Roman"/>
          <w:sz w:val="21"/>
          <w:szCs w:val="21"/>
        </w:rPr>
        <w:t>8</w:t>
      </w:r>
      <w:r w:rsidRPr="00287DA9">
        <w:rPr>
          <w:rFonts w:ascii="Times New Roman" w:hAnsi="Times New Roman" w:cs="Times New Roman"/>
          <w:sz w:val="21"/>
          <w:szCs w:val="21"/>
        </w:rPr>
        <w:t>).</w:t>
      </w:r>
    </w:p>
    <w:p w:rsidR="00B233DE" w:rsidRPr="003728E5"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r>
        <w:rPr>
          <w:rFonts w:ascii="Times New Roman" w:hAnsi="Times New Roman" w:cs="Times New Roman"/>
          <w:noProof/>
          <w:sz w:val="21"/>
          <w:szCs w:val="21"/>
          <w:lang w:val="ru-RU" w:eastAsia="ru-RU"/>
        </w:rPr>
        <mc:AlternateContent>
          <mc:Choice Requires="wpg">
            <w:drawing>
              <wp:anchor distT="0" distB="0" distL="114300" distR="114300" simplePos="0" relativeHeight="251684864" behindDoc="0" locked="0" layoutInCell="1" allowOverlap="1" wp14:anchorId="330C807A" wp14:editId="01A99367">
                <wp:simplePos x="0" y="0"/>
                <wp:positionH relativeFrom="column">
                  <wp:posOffset>86360</wp:posOffset>
                </wp:positionH>
                <wp:positionV relativeFrom="paragraph">
                  <wp:posOffset>-415290</wp:posOffset>
                </wp:positionV>
                <wp:extent cx="3806777" cy="4705350"/>
                <wp:effectExtent l="0" t="0" r="22860" b="19050"/>
                <wp:wrapNone/>
                <wp:docPr id="412" name="Группа 4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06777" cy="4705350"/>
                          <a:chOff x="2204" y="1127"/>
                          <a:chExt cx="7331" cy="4707"/>
                        </a:xfrm>
                      </wpg:grpSpPr>
                      <wps:wsp>
                        <wps:cNvPr id="413" name="AutoShape 302"/>
                        <wps:cNvSpPr>
                          <a:spLocks noChangeArrowheads="1"/>
                        </wps:cNvSpPr>
                        <wps:spPr bwMode="auto">
                          <a:xfrm>
                            <a:off x="4299" y="2305"/>
                            <a:ext cx="2748" cy="784"/>
                          </a:xfrm>
                          <a:prstGeom prst="plaque">
                            <a:avLst>
                              <a:gd name="adj" fmla="val 16667"/>
                            </a:avLst>
                          </a:prstGeom>
                          <a:solidFill>
                            <a:srgbClr val="FFFFFF"/>
                          </a:solidFill>
                          <a:ln w="28575">
                            <a:solidFill>
                              <a:srgbClr val="000000"/>
                            </a:solidFill>
                            <a:miter lim="800000"/>
                            <a:headEnd/>
                            <a:tailEnd/>
                          </a:ln>
                        </wps:spPr>
                        <wps:txbx>
                          <w:txbxContent>
                            <w:p w:rsidR="00BE40F8" w:rsidRPr="00955E72" w:rsidRDefault="00BE40F8" w:rsidP="00B233DE">
                              <w:pPr>
                                <w:ind w:firstLine="0"/>
                                <w:jc w:val="center"/>
                                <w:rPr>
                                  <w:rFonts w:ascii="Times New Roman" w:hAnsi="Times New Roman" w:cs="Times New Roman"/>
                                  <w:sz w:val="16"/>
                                  <w:szCs w:val="16"/>
                                </w:rPr>
                              </w:pPr>
                              <w:r w:rsidRPr="00955E72">
                                <w:rPr>
                                  <w:rFonts w:ascii="Times New Roman" w:hAnsi="Times New Roman" w:cs="Times New Roman"/>
                                  <w:b/>
                                  <w:bCs/>
                                  <w:sz w:val="16"/>
                                  <w:szCs w:val="16"/>
                                </w:rPr>
                                <w:t>Методи забезпечення ринкової інфраструктури попиту і пропозиції</w:t>
                              </w:r>
                              <w:r w:rsidRPr="00955E72">
                                <w:rPr>
                                  <w:rFonts w:ascii="Times New Roman" w:hAnsi="Times New Roman" w:cs="Times New Roman"/>
                                  <w:sz w:val="16"/>
                                  <w:szCs w:val="16"/>
                                </w:rPr>
                                <w:t xml:space="preserve"> </w:t>
                              </w:r>
                              <w:r w:rsidRPr="00955E72">
                                <w:rPr>
                                  <w:rFonts w:ascii="Times New Roman" w:hAnsi="Times New Roman" w:cs="Times New Roman"/>
                                  <w:b/>
                                  <w:bCs/>
                                  <w:sz w:val="16"/>
                                  <w:szCs w:val="16"/>
                                </w:rPr>
                                <w:t>робочої сили</w:t>
                              </w:r>
                            </w:p>
                          </w:txbxContent>
                        </wps:txbx>
                        <wps:bodyPr rot="0" vert="horz" wrap="square" lIns="0" tIns="0" rIns="0" bIns="0" anchor="ctr" anchorCtr="0" upright="1">
                          <a:noAutofit/>
                        </wps:bodyPr>
                      </wps:wsp>
                      <wps:wsp>
                        <wps:cNvPr id="414" name="AutoShape 303"/>
                        <wps:cNvSpPr>
                          <a:spLocks noChangeArrowheads="1"/>
                        </wps:cNvSpPr>
                        <wps:spPr bwMode="auto">
                          <a:xfrm>
                            <a:off x="4953" y="1127"/>
                            <a:ext cx="1309" cy="916"/>
                          </a:xfrm>
                          <a:prstGeom prst="roundRect">
                            <a:avLst>
                              <a:gd name="adj" fmla="val 16667"/>
                            </a:avLst>
                          </a:prstGeom>
                          <a:solidFill>
                            <a:srgbClr val="FFFFFF"/>
                          </a:solidFill>
                          <a:ln w="19050">
                            <a:solidFill>
                              <a:srgbClr val="000000"/>
                            </a:solidFill>
                            <a:round/>
                            <a:headEnd/>
                            <a:tailEnd/>
                          </a:ln>
                        </wps:spPr>
                        <wps:txbx>
                          <w:txbxContent>
                            <w:p w:rsidR="00BE40F8" w:rsidRPr="00955E72" w:rsidRDefault="00BE40F8" w:rsidP="00B233DE">
                              <w:pPr>
                                <w:ind w:firstLine="0"/>
                                <w:jc w:val="center"/>
                                <w:rPr>
                                  <w:rFonts w:ascii="Times New Roman" w:hAnsi="Times New Roman" w:cs="Times New Roman"/>
                                  <w:sz w:val="16"/>
                                  <w:szCs w:val="16"/>
                                </w:rPr>
                              </w:pPr>
                              <w:r w:rsidRPr="00955E72">
                                <w:rPr>
                                  <w:rFonts w:ascii="Times New Roman" w:hAnsi="Times New Roman" w:cs="Times New Roman"/>
                                  <w:spacing w:val="-3"/>
                                  <w:sz w:val="16"/>
                                  <w:szCs w:val="16"/>
                                </w:rPr>
                                <w:t xml:space="preserve">За напрямом впливу на </w:t>
                              </w:r>
                              <w:r w:rsidRPr="00955E72">
                                <w:rPr>
                                  <w:rFonts w:ascii="Times New Roman" w:hAnsi="Times New Roman" w:cs="Times New Roman"/>
                                  <w:spacing w:val="-2"/>
                                  <w:sz w:val="16"/>
                                  <w:szCs w:val="16"/>
                                </w:rPr>
                                <w:t>по</w:t>
                              </w:r>
                              <w:r>
                                <w:rPr>
                                  <w:rFonts w:ascii="Times New Roman" w:hAnsi="Times New Roman" w:cs="Times New Roman"/>
                                  <w:spacing w:val="-2"/>
                                  <w:sz w:val="16"/>
                                  <w:szCs w:val="16"/>
                                </w:rPr>
                                <w:t>-</w:t>
                              </w:r>
                              <w:r w:rsidRPr="00955E72">
                                <w:rPr>
                                  <w:rFonts w:ascii="Times New Roman" w:hAnsi="Times New Roman" w:cs="Times New Roman"/>
                                  <w:spacing w:val="-2"/>
                                  <w:sz w:val="16"/>
                                  <w:szCs w:val="16"/>
                                </w:rPr>
                                <w:t>пит та про</w:t>
                              </w:r>
                              <w:r>
                                <w:rPr>
                                  <w:rFonts w:ascii="Times New Roman" w:hAnsi="Times New Roman" w:cs="Times New Roman"/>
                                  <w:spacing w:val="-2"/>
                                  <w:sz w:val="16"/>
                                  <w:szCs w:val="16"/>
                                </w:rPr>
                                <w:t>-</w:t>
                              </w:r>
                              <w:r w:rsidRPr="00955E72">
                                <w:rPr>
                                  <w:rFonts w:ascii="Times New Roman" w:hAnsi="Times New Roman" w:cs="Times New Roman"/>
                                  <w:spacing w:val="-2"/>
                                  <w:sz w:val="16"/>
                                  <w:szCs w:val="16"/>
                                </w:rPr>
                                <w:t>позицію робочої сили</w:t>
                              </w:r>
                            </w:p>
                          </w:txbxContent>
                        </wps:txbx>
                        <wps:bodyPr rot="0" vert="horz" wrap="square" lIns="0" tIns="0" rIns="0" bIns="0" anchor="ctr" anchorCtr="0" upright="1">
                          <a:noAutofit/>
                        </wps:bodyPr>
                      </wps:wsp>
                      <wps:wsp>
                        <wps:cNvPr id="415" name="AutoShape 304"/>
                        <wps:cNvSpPr>
                          <a:spLocks noChangeArrowheads="1"/>
                        </wps:cNvSpPr>
                        <wps:spPr bwMode="auto">
                          <a:xfrm>
                            <a:off x="2204" y="4007"/>
                            <a:ext cx="2225" cy="1827"/>
                          </a:xfrm>
                          <a:prstGeom prst="roundRect">
                            <a:avLst>
                              <a:gd name="adj" fmla="val 16667"/>
                            </a:avLst>
                          </a:prstGeom>
                          <a:solidFill>
                            <a:srgbClr val="FFFFFF"/>
                          </a:solidFill>
                          <a:ln w="19050">
                            <a:solidFill>
                              <a:srgbClr val="000000"/>
                            </a:solidFill>
                            <a:round/>
                            <a:headEnd/>
                            <a:tailEnd/>
                          </a:ln>
                        </wps:spPr>
                        <wps:txbx>
                          <w:txbxContent>
                            <w:p w:rsidR="00BE40F8" w:rsidRPr="008675A1" w:rsidRDefault="00BE40F8" w:rsidP="00B233DE">
                              <w:pPr>
                                <w:shd w:val="clear" w:color="auto" w:fill="FFFFFF"/>
                                <w:tabs>
                                  <w:tab w:val="left" w:pos="245"/>
                                </w:tabs>
                                <w:ind w:firstLine="0"/>
                                <w:jc w:val="center"/>
                                <w:rPr>
                                  <w:rFonts w:ascii="Calibri" w:hAnsi="Calibri" w:cs="Calibri"/>
                                </w:rPr>
                              </w:pPr>
                              <w:r w:rsidRPr="00FE5E40">
                                <w:rPr>
                                  <w:rFonts w:ascii="Times New Roman" w:hAnsi="Times New Roman" w:cs="Times New Roman"/>
                                  <w:b/>
                                  <w:bCs/>
                                  <w:spacing w:val="-1"/>
                                  <w:sz w:val="16"/>
                                  <w:szCs w:val="16"/>
                                </w:rPr>
                                <w:t>Економічні,</w:t>
                              </w:r>
                              <w:r w:rsidRPr="00FE5E40">
                                <w:rPr>
                                  <w:rFonts w:ascii="Times New Roman" w:hAnsi="Times New Roman" w:cs="Times New Roman"/>
                                  <w:spacing w:val="-1"/>
                                  <w:sz w:val="16"/>
                                  <w:szCs w:val="16"/>
                                </w:rPr>
                                <w:t xml:space="preserve"> обумов</w:t>
                              </w:r>
                              <w:r>
                                <w:rPr>
                                  <w:rFonts w:ascii="Times New Roman" w:hAnsi="Times New Roman" w:cs="Times New Roman"/>
                                  <w:spacing w:val="-1"/>
                                  <w:sz w:val="16"/>
                                  <w:szCs w:val="16"/>
                                </w:rPr>
                                <w:t>-</w:t>
                              </w:r>
                              <w:r w:rsidRPr="00FE5E40">
                                <w:rPr>
                                  <w:rFonts w:ascii="Times New Roman" w:hAnsi="Times New Roman" w:cs="Times New Roman"/>
                                  <w:spacing w:val="-1"/>
                                  <w:sz w:val="16"/>
                                  <w:szCs w:val="16"/>
                                </w:rPr>
                                <w:t>лені різноманітними економічними чинни</w:t>
                              </w:r>
                              <w:r>
                                <w:rPr>
                                  <w:rFonts w:ascii="Times New Roman" w:hAnsi="Times New Roman" w:cs="Times New Roman"/>
                                  <w:spacing w:val="-1"/>
                                  <w:sz w:val="16"/>
                                  <w:szCs w:val="16"/>
                                </w:rPr>
                                <w:t>-</w:t>
                              </w:r>
                              <w:r w:rsidRPr="00FE5E40">
                                <w:rPr>
                                  <w:rFonts w:ascii="Times New Roman" w:hAnsi="Times New Roman" w:cs="Times New Roman"/>
                                  <w:spacing w:val="-1"/>
                                  <w:sz w:val="16"/>
                                  <w:szCs w:val="16"/>
                                </w:rPr>
                                <w:t>ками, за допомогою яких досягнеться ко</w:t>
                              </w:r>
                              <w:r>
                                <w:rPr>
                                  <w:rFonts w:ascii="Times New Roman" w:hAnsi="Times New Roman" w:cs="Times New Roman"/>
                                  <w:spacing w:val="-1"/>
                                  <w:sz w:val="16"/>
                                  <w:szCs w:val="16"/>
                                </w:rPr>
                                <w:t>-</w:t>
                              </w:r>
                              <w:r w:rsidRPr="00FE5E40">
                                <w:rPr>
                                  <w:rFonts w:ascii="Times New Roman" w:hAnsi="Times New Roman" w:cs="Times New Roman"/>
                                  <w:spacing w:val="-1"/>
                                  <w:sz w:val="16"/>
                                  <w:szCs w:val="16"/>
                                </w:rPr>
                                <w:t>лективне та індиві</w:t>
                              </w:r>
                              <w:r>
                                <w:rPr>
                                  <w:rFonts w:ascii="Times New Roman" w:hAnsi="Times New Roman" w:cs="Times New Roman"/>
                                  <w:spacing w:val="-1"/>
                                  <w:sz w:val="16"/>
                                  <w:szCs w:val="16"/>
                                </w:rPr>
                                <w:t>-</w:t>
                              </w:r>
                              <w:r w:rsidRPr="00FE5E40">
                                <w:rPr>
                                  <w:rFonts w:ascii="Times New Roman" w:hAnsi="Times New Roman" w:cs="Times New Roman"/>
                                  <w:spacing w:val="-1"/>
                                  <w:sz w:val="16"/>
                                  <w:szCs w:val="16"/>
                                </w:rPr>
                                <w:t>дуальне задоволення потреб на всіх рівнях інфраструктури; діють на керований об’єкт не прямо, а опосеред</w:t>
                              </w:r>
                              <w:r>
                                <w:rPr>
                                  <w:rFonts w:ascii="Times New Roman" w:hAnsi="Times New Roman" w:cs="Times New Roman"/>
                                  <w:spacing w:val="-1"/>
                                  <w:sz w:val="16"/>
                                  <w:szCs w:val="16"/>
                                </w:rPr>
                                <w:t>-</w:t>
                              </w:r>
                              <w:r w:rsidRPr="00FE5E40">
                                <w:rPr>
                                  <w:rFonts w:ascii="Times New Roman" w:hAnsi="Times New Roman" w:cs="Times New Roman"/>
                                  <w:spacing w:val="-1"/>
                                  <w:sz w:val="16"/>
                                  <w:szCs w:val="16"/>
                                </w:rPr>
                                <w:t>ковано (</w:t>
                              </w:r>
                              <w:r w:rsidRPr="00FE5E40">
                                <w:rPr>
                                  <w:rFonts w:ascii="Times New Roman" w:hAnsi="Times New Roman" w:cs="Times New Roman"/>
                                  <w:spacing w:val="-2"/>
                                  <w:sz w:val="16"/>
                                  <w:szCs w:val="16"/>
                                </w:rPr>
                                <w:t xml:space="preserve">економічні </w:t>
                              </w:r>
                              <w:r>
                                <w:rPr>
                                  <w:rFonts w:ascii="Times New Roman" w:hAnsi="Times New Roman" w:cs="Times New Roman"/>
                                  <w:sz w:val="16"/>
                                  <w:szCs w:val="16"/>
                                </w:rPr>
                                <w:t>плани та економічні стимули)</w:t>
                              </w:r>
                            </w:p>
                          </w:txbxContent>
                        </wps:txbx>
                        <wps:bodyPr rot="0" vert="horz" wrap="square" lIns="0" tIns="0" rIns="0" bIns="0" anchor="ctr" anchorCtr="0" upright="1">
                          <a:noAutofit/>
                        </wps:bodyPr>
                      </wps:wsp>
                      <wps:wsp>
                        <wps:cNvPr id="416" name="Line 305"/>
                        <wps:cNvCnPr/>
                        <wps:spPr bwMode="auto">
                          <a:xfrm flipH="1">
                            <a:off x="4691" y="1651"/>
                            <a:ext cx="262"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7" name="Line 306"/>
                        <wps:cNvCnPr/>
                        <wps:spPr bwMode="auto">
                          <a:xfrm flipV="1">
                            <a:off x="5608" y="2043"/>
                            <a:ext cx="1" cy="2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8" name="Line 307"/>
                        <wps:cNvCnPr/>
                        <wps:spPr bwMode="auto">
                          <a:xfrm>
                            <a:off x="6262" y="1651"/>
                            <a:ext cx="26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9" name="AutoShape 308"/>
                        <wps:cNvSpPr>
                          <a:spLocks noChangeArrowheads="1"/>
                        </wps:cNvSpPr>
                        <wps:spPr bwMode="auto">
                          <a:xfrm>
                            <a:off x="7048" y="3739"/>
                            <a:ext cx="2487" cy="2095"/>
                          </a:xfrm>
                          <a:prstGeom prst="roundRect">
                            <a:avLst>
                              <a:gd name="adj" fmla="val 16667"/>
                            </a:avLst>
                          </a:prstGeom>
                          <a:solidFill>
                            <a:srgbClr val="FFFFFF"/>
                          </a:solidFill>
                          <a:ln w="19050">
                            <a:solidFill>
                              <a:srgbClr val="000000"/>
                            </a:solidFill>
                            <a:round/>
                            <a:headEnd/>
                            <a:tailEnd/>
                          </a:ln>
                        </wps:spPr>
                        <wps:txbx>
                          <w:txbxContent>
                            <w:p w:rsidR="00BE40F8" w:rsidRPr="00FE5E40" w:rsidRDefault="00BE40F8" w:rsidP="00B233DE">
                              <w:pPr>
                                <w:ind w:firstLine="0"/>
                                <w:jc w:val="center"/>
                                <w:rPr>
                                  <w:rFonts w:ascii="Times New Roman" w:hAnsi="Times New Roman" w:cs="Times New Roman"/>
                                  <w:sz w:val="16"/>
                                  <w:szCs w:val="16"/>
                                </w:rPr>
                              </w:pPr>
                              <w:r w:rsidRPr="00FE5E40">
                                <w:rPr>
                                  <w:rFonts w:ascii="Times New Roman" w:hAnsi="Times New Roman" w:cs="Times New Roman"/>
                                  <w:b/>
                                  <w:bCs/>
                                  <w:spacing w:val="-2"/>
                                  <w:sz w:val="16"/>
                                  <w:szCs w:val="16"/>
                                </w:rPr>
                                <w:t>Технологічні,</w:t>
                              </w:r>
                              <w:r w:rsidRPr="00FE5E40">
                                <w:rPr>
                                  <w:rFonts w:ascii="Times New Roman" w:hAnsi="Times New Roman" w:cs="Times New Roman"/>
                                  <w:spacing w:val="-2"/>
                                  <w:sz w:val="16"/>
                                  <w:szCs w:val="16"/>
                                </w:rPr>
                                <w:t xml:space="preserve"> що передбачають вплив на працівників через документи, які </w:t>
                              </w:r>
                              <w:r w:rsidRPr="00FE5E40">
                                <w:rPr>
                                  <w:rFonts w:ascii="Times New Roman" w:hAnsi="Times New Roman" w:cs="Times New Roman"/>
                                  <w:spacing w:val="-1"/>
                                  <w:sz w:val="16"/>
                                  <w:szCs w:val="16"/>
                                </w:rPr>
                                <w:t>визначають техн</w:t>
                              </w:r>
                              <w:r>
                                <w:rPr>
                                  <w:rFonts w:ascii="Times New Roman" w:hAnsi="Times New Roman" w:cs="Times New Roman"/>
                                  <w:spacing w:val="-1"/>
                                  <w:sz w:val="16"/>
                                  <w:szCs w:val="16"/>
                                </w:rPr>
                                <w:t xml:space="preserve">ологію процесів </w:t>
                              </w:r>
                              <w:r w:rsidRPr="00FE5E40">
                                <w:rPr>
                                  <w:rFonts w:ascii="Times New Roman" w:hAnsi="Times New Roman" w:cs="Times New Roman"/>
                                  <w:spacing w:val="-1"/>
                                  <w:sz w:val="16"/>
                                  <w:szCs w:val="16"/>
                                </w:rPr>
                                <w:t>(технологічні документи: інструкції, схеми, які визначають методи, прийоми, режими роб</w:t>
                              </w:r>
                              <w:r>
                                <w:rPr>
                                  <w:rFonts w:ascii="Times New Roman" w:hAnsi="Times New Roman" w:cs="Times New Roman"/>
                                  <w:spacing w:val="-1"/>
                                  <w:sz w:val="16"/>
                                  <w:szCs w:val="16"/>
                                </w:rPr>
                                <w:t>оти; конструкторські документи:</w:t>
                              </w:r>
                              <w:r w:rsidRPr="00FE5E40">
                                <w:rPr>
                                  <w:rFonts w:ascii="Times New Roman" w:hAnsi="Times New Roman" w:cs="Times New Roman"/>
                                  <w:spacing w:val="-1"/>
                                  <w:sz w:val="16"/>
                                  <w:szCs w:val="16"/>
                                </w:rPr>
                                <w:t xml:space="preserve"> креслення, конст</w:t>
                              </w:r>
                              <w:r>
                                <w:rPr>
                                  <w:rFonts w:ascii="Times New Roman" w:hAnsi="Times New Roman" w:cs="Times New Roman"/>
                                  <w:spacing w:val="-1"/>
                                  <w:sz w:val="16"/>
                                  <w:szCs w:val="16"/>
                                </w:rPr>
                                <w:t>рукторські схеми приладів, комп’</w:t>
                              </w:r>
                              <w:r w:rsidRPr="00FE5E40">
                                <w:rPr>
                                  <w:rFonts w:ascii="Times New Roman" w:hAnsi="Times New Roman" w:cs="Times New Roman"/>
                                  <w:spacing w:val="-1"/>
                                  <w:sz w:val="16"/>
                                  <w:szCs w:val="16"/>
                                </w:rPr>
                                <w:t>ютерів,</w:t>
                              </w:r>
                              <w:r w:rsidRPr="00FE5E40">
                                <w:rPr>
                                  <w:rFonts w:ascii="Times New Roman" w:hAnsi="Times New Roman" w:cs="Times New Roman"/>
                                  <w:spacing w:val="-1"/>
                                  <w:sz w:val="16"/>
                                  <w:szCs w:val="16"/>
                                </w:rPr>
                                <w:br/>
                              </w:r>
                              <w:r w:rsidRPr="00FE5E40">
                                <w:rPr>
                                  <w:rFonts w:ascii="Times New Roman" w:hAnsi="Times New Roman" w:cs="Times New Roman"/>
                                  <w:sz w:val="16"/>
                                  <w:szCs w:val="16"/>
                                </w:rPr>
                                <w:t>топологічні схеми</w:t>
                              </w:r>
                              <w:r w:rsidRPr="00910549">
                                <w:rPr>
                                  <w:sz w:val="20"/>
                                  <w:szCs w:val="20"/>
                                </w:rPr>
                                <w:t xml:space="preserve"> </w:t>
                              </w:r>
                              <w:r>
                                <w:rPr>
                                  <w:rFonts w:ascii="Times New Roman" w:hAnsi="Times New Roman" w:cs="Times New Roman"/>
                                  <w:sz w:val="16"/>
                                  <w:szCs w:val="16"/>
                                </w:rPr>
                                <w:t>інформаційних мереж)</w:t>
                              </w:r>
                            </w:p>
                          </w:txbxContent>
                        </wps:txbx>
                        <wps:bodyPr rot="0" vert="horz" wrap="square" lIns="0" tIns="0" rIns="0" bIns="0" anchor="ctr" anchorCtr="0" upright="1">
                          <a:noAutofit/>
                        </wps:bodyPr>
                      </wps:wsp>
                      <wps:wsp>
                        <wps:cNvPr id="420" name="Rectangle 309"/>
                        <wps:cNvSpPr>
                          <a:spLocks noChangeArrowheads="1"/>
                        </wps:cNvSpPr>
                        <wps:spPr bwMode="auto">
                          <a:xfrm>
                            <a:off x="4953" y="3221"/>
                            <a:ext cx="1702" cy="393"/>
                          </a:xfrm>
                          <a:prstGeom prst="rect">
                            <a:avLst/>
                          </a:prstGeom>
                          <a:solidFill>
                            <a:srgbClr val="FFFFFF"/>
                          </a:solidFill>
                          <a:ln w="19050">
                            <a:solidFill>
                              <a:srgbClr val="000000"/>
                            </a:solidFill>
                            <a:miter lim="800000"/>
                            <a:headEnd/>
                            <a:tailEnd/>
                          </a:ln>
                        </wps:spPr>
                        <wps:txbx>
                          <w:txbxContent>
                            <w:p w:rsidR="00BE40F8" w:rsidRPr="00FE5E40" w:rsidRDefault="00BE40F8" w:rsidP="00B233DE">
                              <w:pPr>
                                <w:ind w:left="360" w:firstLine="0"/>
                                <w:rPr>
                                  <w:rFonts w:ascii="Times New Roman" w:hAnsi="Times New Roman" w:cs="Times New Roman"/>
                                  <w:sz w:val="10"/>
                                  <w:szCs w:val="10"/>
                                </w:rPr>
                              </w:pPr>
                            </w:p>
                            <w:p w:rsidR="00BE40F8" w:rsidRPr="00FE5E40" w:rsidRDefault="00BE40F8" w:rsidP="00B233DE">
                              <w:pPr>
                                <w:ind w:firstLine="0"/>
                                <w:jc w:val="center"/>
                                <w:rPr>
                                  <w:rFonts w:ascii="Times New Roman" w:hAnsi="Times New Roman" w:cs="Times New Roman"/>
                                  <w:sz w:val="16"/>
                                  <w:szCs w:val="16"/>
                                </w:rPr>
                              </w:pPr>
                              <w:r w:rsidRPr="00FE5E40">
                                <w:rPr>
                                  <w:rFonts w:ascii="Times New Roman" w:hAnsi="Times New Roman" w:cs="Times New Roman"/>
                                  <w:sz w:val="16"/>
                                  <w:szCs w:val="16"/>
                                </w:rPr>
                                <w:t>За характером впливу</w:t>
                              </w:r>
                            </w:p>
                            <w:p w:rsidR="00BE40F8" w:rsidRDefault="00BE40F8" w:rsidP="00B233DE">
                              <w:pPr>
                                <w:spacing w:after="200" w:line="276" w:lineRule="auto"/>
                                <w:rPr>
                                  <w:rFonts w:ascii="Calibri" w:hAnsi="Calibri" w:cs="Calibri"/>
                                </w:rPr>
                              </w:pPr>
                            </w:p>
                          </w:txbxContent>
                        </wps:txbx>
                        <wps:bodyPr rot="0" vert="horz" wrap="square" lIns="0" tIns="0" rIns="0" bIns="0" anchor="ctr" anchorCtr="0" upright="1">
                          <a:noAutofit/>
                        </wps:bodyPr>
                      </wps:wsp>
                      <wps:wsp>
                        <wps:cNvPr id="421" name="AutoShape 310"/>
                        <wps:cNvSpPr>
                          <a:spLocks noChangeArrowheads="1"/>
                        </wps:cNvSpPr>
                        <wps:spPr bwMode="auto">
                          <a:xfrm>
                            <a:off x="4560" y="3876"/>
                            <a:ext cx="2357" cy="1958"/>
                          </a:xfrm>
                          <a:prstGeom prst="roundRect">
                            <a:avLst>
                              <a:gd name="adj" fmla="val 16667"/>
                            </a:avLst>
                          </a:prstGeom>
                          <a:solidFill>
                            <a:srgbClr val="FFFFFF"/>
                          </a:solidFill>
                          <a:ln w="19050">
                            <a:solidFill>
                              <a:srgbClr val="000000"/>
                            </a:solidFill>
                            <a:round/>
                            <a:headEnd/>
                            <a:tailEnd/>
                          </a:ln>
                        </wps:spPr>
                        <wps:txbx>
                          <w:txbxContent>
                            <w:p w:rsidR="00BE40F8" w:rsidRPr="00FE5E40" w:rsidRDefault="00BE40F8" w:rsidP="00B233DE">
                              <w:pPr>
                                <w:shd w:val="clear" w:color="auto" w:fill="FFFFFF"/>
                                <w:tabs>
                                  <w:tab w:val="left" w:pos="245"/>
                                </w:tabs>
                                <w:ind w:firstLine="0"/>
                                <w:jc w:val="center"/>
                                <w:rPr>
                                  <w:rFonts w:ascii="Times New Roman" w:hAnsi="Times New Roman" w:cs="Times New Roman"/>
                                  <w:sz w:val="16"/>
                                  <w:szCs w:val="16"/>
                                </w:rPr>
                              </w:pPr>
                              <w:r w:rsidRPr="00FE5E40">
                                <w:rPr>
                                  <w:rFonts w:ascii="Times New Roman" w:hAnsi="Times New Roman" w:cs="Times New Roman"/>
                                  <w:b/>
                                  <w:bCs/>
                                  <w:spacing w:val="-2"/>
                                  <w:sz w:val="16"/>
                                  <w:szCs w:val="16"/>
                                </w:rPr>
                                <w:t>Соціально-психологіч</w:t>
                              </w:r>
                              <w:r>
                                <w:rPr>
                                  <w:rFonts w:ascii="Times New Roman" w:hAnsi="Times New Roman" w:cs="Times New Roman"/>
                                  <w:b/>
                                  <w:bCs/>
                                  <w:spacing w:val="-2"/>
                                  <w:sz w:val="16"/>
                                  <w:szCs w:val="16"/>
                                </w:rPr>
                                <w:t>-</w:t>
                              </w:r>
                              <w:r w:rsidRPr="00FE5E40">
                                <w:rPr>
                                  <w:rFonts w:ascii="Times New Roman" w:hAnsi="Times New Roman" w:cs="Times New Roman"/>
                                  <w:b/>
                                  <w:bCs/>
                                  <w:spacing w:val="-2"/>
                                  <w:sz w:val="16"/>
                                  <w:szCs w:val="16"/>
                                </w:rPr>
                                <w:t>ні</w:t>
                              </w:r>
                              <w:r w:rsidRPr="00FE5E40">
                                <w:rPr>
                                  <w:rFonts w:ascii="Times New Roman" w:hAnsi="Times New Roman" w:cs="Times New Roman"/>
                                  <w:spacing w:val="-2"/>
                                  <w:sz w:val="16"/>
                                  <w:szCs w:val="16"/>
                                </w:rPr>
                                <w:t xml:space="preserve">, як сукупність специфічних способів виливу на </w:t>
                              </w:r>
                              <w:r w:rsidRPr="00FE5E40">
                                <w:rPr>
                                  <w:rFonts w:ascii="Times New Roman" w:hAnsi="Times New Roman" w:cs="Times New Roman"/>
                                  <w:spacing w:val="-1"/>
                                  <w:sz w:val="16"/>
                                  <w:szCs w:val="16"/>
                                </w:rPr>
                                <w:t>міжособис</w:t>
                              </w:r>
                              <w:r>
                                <w:rPr>
                                  <w:rFonts w:ascii="Times New Roman" w:hAnsi="Times New Roman" w:cs="Times New Roman"/>
                                  <w:spacing w:val="-1"/>
                                  <w:sz w:val="16"/>
                                  <w:szCs w:val="16"/>
                                </w:rPr>
                                <w:t>-тісні стосунки і зв’</w:t>
                              </w:r>
                              <w:r w:rsidRPr="00FE5E40">
                                <w:rPr>
                                  <w:rFonts w:ascii="Times New Roman" w:hAnsi="Times New Roman" w:cs="Times New Roman"/>
                                  <w:spacing w:val="-1"/>
                                  <w:sz w:val="16"/>
                                  <w:szCs w:val="16"/>
                                </w:rPr>
                                <w:t xml:space="preserve">язки, соціальні процеси, що виникають в трудових колективах (соціальні плани, моральні стимули і методи формування колективів і соціально-психологічного </w:t>
                              </w:r>
                              <w:r w:rsidRPr="00FE5E40">
                                <w:rPr>
                                  <w:rFonts w:ascii="Times New Roman" w:hAnsi="Times New Roman" w:cs="Times New Roman"/>
                                  <w:sz w:val="16"/>
                                  <w:szCs w:val="16"/>
                                </w:rPr>
                                <w:t>клім</w:t>
                              </w:r>
                              <w:r>
                                <w:rPr>
                                  <w:rFonts w:ascii="Times New Roman" w:hAnsi="Times New Roman" w:cs="Times New Roman"/>
                                  <w:sz w:val="16"/>
                                  <w:szCs w:val="16"/>
                                </w:rPr>
                                <w:t>ату в них)</w:t>
                              </w:r>
                            </w:p>
                          </w:txbxContent>
                        </wps:txbx>
                        <wps:bodyPr rot="0" vert="horz" wrap="square" lIns="0" tIns="0" rIns="0" bIns="0" anchor="ctr" anchorCtr="0" upright="1">
                          <a:noAutofit/>
                        </wps:bodyPr>
                      </wps:wsp>
                      <wps:wsp>
                        <wps:cNvPr id="422" name="AutoShape 311"/>
                        <wps:cNvSpPr>
                          <a:spLocks noChangeArrowheads="1"/>
                        </wps:cNvSpPr>
                        <wps:spPr bwMode="auto">
                          <a:xfrm>
                            <a:off x="2335" y="2305"/>
                            <a:ext cx="1440" cy="1309"/>
                          </a:xfrm>
                          <a:prstGeom prst="roundRect">
                            <a:avLst>
                              <a:gd name="adj" fmla="val 16667"/>
                            </a:avLst>
                          </a:prstGeom>
                          <a:solidFill>
                            <a:srgbClr val="FFFFFF"/>
                          </a:solidFill>
                          <a:ln w="19050">
                            <a:solidFill>
                              <a:srgbClr val="000000"/>
                            </a:solidFill>
                            <a:round/>
                            <a:headEnd/>
                            <a:tailEnd/>
                          </a:ln>
                        </wps:spPr>
                        <wps:txbx>
                          <w:txbxContent>
                            <w:p w:rsidR="00BE40F8" w:rsidRPr="00955E72" w:rsidRDefault="00BE40F8" w:rsidP="00B233DE">
                              <w:pPr>
                                <w:ind w:firstLine="0"/>
                                <w:jc w:val="center"/>
                                <w:rPr>
                                  <w:rFonts w:ascii="Times New Roman" w:hAnsi="Times New Roman" w:cs="Times New Roman"/>
                                  <w:sz w:val="16"/>
                                  <w:szCs w:val="16"/>
                                </w:rPr>
                              </w:pPr>
                              <w:r w:rsidRPr="00955E72">
                                <w:rPr>
                                  <w:rFonts w:ascii="Times New Roman" w:hAnsi="Times New Roman" w:cs="Times New Roman"/>
                                  <w:spacing w:val="-2"/>
                                  <w:sz w:val="16"/>
                                  <w:szCs w:val="16"/>
                                </w:rPr>
                                <w:t>Адміністратив</w:t>
                              </w:r>
                              <w:r>
                                <w:rPr>
                                  <w:rFonts w:ascii="Times New Roman" w:hAnsi="Times New Roman" w:cs="Times New Roman"/>
                                  <w:spacing w:val="-2"/>
                                  <w:sz w:val="16"/>
                                  <w:szCs w:val="16"/>
                                </w:rPr>
                                <w:t>-</w:t>
                              </w:r>
                              <w:r w:rsidRPr="00955E72">
                                <w:rPr>
                                  <w:rFonts w:ascii="Times New Roman" w:hAnsi="Times New Roman" w:cs="Times New Roman"/>
                                  <w:spacing w:val="-2"/>
                                  <w:sz w:val="16"/>
                                  <w:szCs w:val="16"/>
                                </w:rPr>
                                <w:t>ні – охоплю</w:t>
                              </w:r>
                              <w:r>
                                <w:rPr>
                                  <w:rFonts w:ascii="Times New Roman" w:hAnsi="Times New Roman" w:cs="Times New Roman"/>
                                  <w:spacing w:val="-2"/>
                                  <w:sz w:val="16"/>
                                  <w:szCs w:val="16"/>
                                </w:rPr>
                                <w:t>-</w:t>
                              </w:r>
                              <w:r w:rsidRPr="00955E72">
                                <w:rPr>
                                  <w:rFonts w:ascii="Times New Roman" w:hAnsi="Times New Roman" w:cs="Times New Roman"/>
                                  <w:spacing w:val="-2"/>
                                  <w:sz w:val="16"/>
                                  <w:szCs w:val="16"/>
                                </w:rPr>
                                <w:t>ють такі спо</w:t>
                              </w:r>
                              <w:r>
                                <w:rPr>
                                  <w:rFonts w:ascii="Times New Roman" w:hAnsi="Times New Roman" w:cs="Times New Roman"/>
                                  <w:spacing w:val="-2"/>
                                  <w:sz w:val="16"/>
                                  <w:szCs w:val="16"/>
                                </w:rPr>
                                <w:t>-</w:t>
                              </w:r>
                              <w:r w:rsidRPr="00955E72">
                                <w:rPr>
                                  <w:rFonts w:ascii="Times New Roman" w:hAnsi="Times New Roman" w:cs="Times New Roman"/>
                                  <w:spacing w:val="-2"/>
                                  <w:sz w:val="16"/>
                                  <w:szCs w:val="16"/>
                                </w:rPr>
                                <w:t>соби впливу, як: організа</w:t>
                              </w:r>
                              <w:r>
                                <w:rPr>
                                  <w:rFonts w:ascii="Times New Roman" w:hAnsi="Times New Roman" w:cs="Times New Roman"/>
                                  <w:spacing w:val="-2"/>
                                  <w:sz w:val="16"/>
                                  <w:szCs w:val="16"/>
                                </w:rPr>
                                <w:t>-</w:t>
                              </w:r>
                              <w:r w:rsidRPr="00955E72">
                                <w:rPr>
                                  <w:rFonts w:ascii="Times New Roman" w:hAnsi="Times New Roman" w:cs="Times New Roman"/>
                                  <w:spacing w:val="-2"/>
                                  <w:sz w:val="16"/>
                                  <w:szCs w:val="16"/>
                                </w:rPr>
                                <w:t xml:space="preserve">ційні, </w:t>
                              </w:r>
                              <w:r w:rsidRPr="00955E72">
                                <w:rPr>
                                  <w:rFonts w:ascii="Times New Roman" w:hAnsi="Times New Roman" w:cs="Times New Roman"/>
                                  <w:sz w:val="16"/>
                                  <w:szCs w:val="16"/>
                                </w:rPr>
                                <w:t>розпо</w:t>
                              </w:r>
                              <w:r>
                                <w:rPr>
                                  <w:rFonts w:ascii="Times New Roman" w:hAnsi="Times New Roman" w:cs="Times New Roman"/>
                                  <w:sz w:val="16"/>
                                  <w:szCs w:val="16"/>
                                </w:rPr>
                                <w:t>-</w:t>
                              </w:r>
                              <w:r w:rsidRPr="00955E72">
                                <w:rPr>
                                  <w:rFonts w:ascii="Times New Roman" w:hAnsi="Times New Roman" w:cs="Times New Roman"/>
                                  <w:sz w:val="16"/>
                                  <w:szCs w:val="16"/>
                                </w:rPr>
                                <w:t>рядчі та дис</w:t>
                              </w:r>
                              <w:r>
                                <w:rPr>
                                  <w:rFonts w:ascii="Times New Roman" w:hAnsi="Times New Roman" w:cs="Times New Roman"/>
                                  <w:sz w:val="16"/>
                                  <w:szCs w:val="16"/>
                                </w:rPr>
                                <w:t>-</w:t>
                              </w:r>
                              <w:r w:rsidRPr="00955E72">
                                <w:rPr>
                                  <w:rFonts w:ascii="Times New Roman" w:hAnsi="Times New Roman" w:cs="Times New Roman"/>
                                  <w:sz w:val="16"/>
                                  <w:szCs w:val="16"/>
                                </w:rPr>
                                <w:t>циплінарні</w:t>
                              </w:r>
                            </w:p>
                          </w:txbxContent>
                        </wps:txbx>
                        <wps:bodyPr rot="0" vert="horz" wrap="square" lIns="0" tIns="0" rIns="0" bIns="0" anchor="ctr" anchorCtr="0" upright="1">
                          <a:noAutofit/>
                        </wps:bodyPr>
                      </wps:wsp>
                      <wps:wsp>
                        <wps:cNvPr id="423" name="Line 312"/>
                        <wps:cNvCnPr/>
                        <wps:spPr bwMode="auto">
                          <a:xfrm flipH="1">
                            <a:off x="5739" y="3615"/>
                            <a:ext cx="1" cy="26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4" name="Line 313"/>
                        <wps:cNvCnPr/>
                        <wps:spPr bwMode="auto">
                          <a:xfrm flipH="1">
                            <a:off x="3251" y="3484"/>
                            <a:ext cx="1702" cy="52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5" name="Line 314"/>
                        <wps:cNvCnPr/>
                        <wps:spPr bwMode="auto">
                          <a:xfrm>
                            <a:off x="6655" y="3477"/>
                            <a:ext cx="1571" cy="26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6" name="Line 315"/>
                        <wps:cNvCnPr/>
                        <wps:spPr bwMode="auto">
                          <a:xfrm>
                            <a:off x="5739" y="3091"/>
                            <a:ext cx="0" cy="13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7" name="Line 316"/>
                        <wps:cNvCnPr/>
                        <wps:spPr bwMode="auto">
                          <a:xfrm flipH="1" flipV="1">
                            <a:off x="3775" y="3091"/>
                            <a:ext cx="1178" cy="39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8" name="Rectangle 317"/>
                        <wps:cNvSpPr>
                          <a:spLocks noChangeArrowheads="1"/>
                        </wps:cNvSpPr>
                        <wps:spPr bwMode="auto">
                          <a:xfrm>
                            <a:off x="7309" y="2174"/>
                            <a:ext cx="2095" cy="1310"/>
                          </a:xfrm>
                          <a:prstGeom prst="rect">
                            <a:avLst/>
                          </a:prstGeom>
                          <a:solidFill>
                            <a:srgbClr val="FFFFFF"/>
                          </a:solidFill>
                          <a:ln w="19050">
                            <a:solidFill>
                              <a:srgbClr val="000000"/>
                            </a:solidFill>
                            <a:miter lim="800000"/>
                            <a:headEnd/>
                            <a:tailEnd/>
                          </a:ln>
                        </wps:spPr>
                        <wps:txbx>
                          <w:txbxContent>
                            <w:p w:rsidR="00BE40F8" w:rsidRPr="00FE5E40" w:rsidRDefault="00BE40F8" w:rsidP="00B233DE">
                              <w:pPr>
                                <w:ind w:firstLine="0"/>
                                <w:jc w:val="center"/>
                                <w:rPr>
                                  <w:rFonts w:ascii="Times New Roman" w:hAnsi="Times New Roman" w:cs="Times New Roman"/>
                                  <w:spacing w:val="-2"/>
                                  <w:sz w:val="16"/>
                                  <w:szCs w:val="16"/>
                                </w:rPr>
                              </w:pPr>
                              <w:r w:rsidRPr="00FE5E40">
                                <w:rPr>
                                  <w:rFonts w:ascii="Times New Roman" w:hAnsi="Times New Roman" w:cs="Times New Roman"/>
                                  <w:spacing w:val="-3"/>
                                  <w:sz w:val="16"/>
                                  <w:szCs w:val="16"/>
                                </w:rPr>
                                <w:t xml:space="preserve">За способом врахування інтересів </w:t>
                              </w:r>
                              <w:r w:rsidRPr="00FE5E40">
                                <w:rPr>
                                  <w:rFonts w:ascii="Times New Roman" w:hAnsi="Times New Roman" w:cs="Times New Roman"/>
                                  <w:spacing w:val="-2"/>
                                  <w:sz w:val="16"/>
                                  <w:szCs w:val="16"/>
                                </w:rPr>
                                <w:t>працівників сфери інфраструктури ринку праці:</w:t>
                              </w:r>
                            </w:p>
                            <w:p w:rsidR="00BE40F8" w:rsidRPr="00FE5E40" w:rsidRDefault="00BE40F8" w:rsidP="00B233DE">
                              <w:pPr>
                                <w:ind w:firstLine="0"/>
                                <w:jc w:val="center"/>
                                <w:rPr>
                                  <w:rFonts w:ascii="Times New Roman" w:hAnsi="Times New Roman" w:cs="Times New Roman"/>
                                  <w:spacing w:val="-2"/>
                                  <w:sz w:val="16"/>
                                  <w:szCs w:val="16"/>
                                </w:rPr>
                              </w:pPr>
                              <w:r w:rsidRPr="00FE5E40">
                                <w:rPr>
                                  <w:rFonts w:ascii="Times New Roman" w:hAnsi="Times New Roman" w:cs="Times New Roman"/>
                                  <w:spacing w:val="-2"/>
                                  <w:sz w:val="16"/>
                                  <w:szCs w:val="16"/>
                                </w:rPr>
                                <w:t xml:space="preserve">матеріальні та </w:t>
                              </w:r>
                              <w:r w:rsidRPr="00FE5E40">
                                <w:rPr>
                                  <w:rFonts w:ascii="Times New Roman" w:hAnsi="Times New Roman" w:cs="Times New Roman"/>
                                  <w:spacing w:val="-1"/>
                                  <w:sz w:val="16"/>
                                  <w:szCs w:val="16"/>
                                </w:rPr>
                                <w:t>моральні методи виливу,</w:t>
                              </w:r>
                              <w:r w:rsidRPr="00FE5E40">
                                <w:rPr>
                                  <w:rFonts w:ascii="Times New Roman" w:hAnsi="Times New Roman" w:cs="Times New Roman"/>
                                  <w:spacing w:val="-2"/>
                                  <w:sz w:val="16"/>
                                  <w:szCs w:val="16"/>
                                </w:rPr>
                                <w:t xml:space="preserve"> методи впливу влади</w:t>
                              </w:r>
                            </w:p>
                            <w:p w:rsidR="00BE40F8" w:rsidRPr="00FE5E40" w:rsidRDefault="00BE40F8" w:rsidP="00B233DE">
                              <w:pPr>
                                <w:jc w:val="center"/>
                                <w:rPr>
                                  <w:rFonts w:ascii="Times New Roman" w:hAnsi="Times New Roman" w:cs="Times New Roman"/>
                                  <w:sz w:val="16"/>
                                  <w:szCs w:val="16"/>
                                </w:rPr>
                              </w:pPr>
                              <w:r w:rsidRPr="00FE5E40">
                                <w:rPr>
                                  <w:rFonts w:ascii="Times New Roman" w:hAnsi="Times New Roman" w:cs="Times New Roman"/>
                                  <w:spacing w:val="-2"/>
                                  <w:sz w:val="16"/>
                                  <w:szCs w:val="16"/>
                                </w:rPr>
                                <w:t xml:space="preserve">(штатні розписи, </w:t>
                              </w:r>
                              <w:r w:rsidRPr="00FE5E40">
                                <w:rPr>
                                  <w:rFonts w:ascii="Times New Roman" w:hAnsi="Times New Roman" w:cs="Times New Roman"/>
                                  <w:sz w:val="16"/>
                                  <w:szCs w:val="16"/>
                                </w:rPr>
                                <w:t>договори, накази, догани</w:t>
                              </w:r>
                              <w:r w:rsidRPr="00FE5E40">
                                <w:rPr>
                                  <w:rFonts w:ascii="Times New Roman" w:hAnsi="Times New Roman" w:cs="Times New Roman"/>
                                  <w:spacing w:val="-2"/>
                                  <w:sz w:val="16"/>
                                  <w:szCs w:val="16"/>
                                </w:rPr>
                                <w:t>)</w:t>
                              </w:r>
                            </w:p>
                          </w:txbxContent>
                        </wps:txbx>
                        <wps:bodyPr rot="0" vert="horz" wrap="square" lIns="0" tIns="0" rIns="0" bIns="0" anchor="ctr" anchorCtr="0" upright="1">
                          <a:noAutofit/>
                        </wps:bodyPr>
                      </wps:wsp>
                      <wps:wsp>
                        <wps:cNvPr id="429" name="Line 318"/>
                        <wps:cNvCnPr/>
                        <wps:spPr bwMode="auto">
                          <a:xfrm>
                            <a:off x="7048" y="2698"/>
                            <a:ext cx="261"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0" name="Rectangle 319"/>
                        <wps:cNvSpPr>
                          <a:spLocks noChangeArrowheads="1"/>
                        </wps:cNvSpPr>
                        <wps:spPr bwMode="auto">
                          <a:xfrm>
                            <a:off x="6523" y="1258"/>
                            <a:ext cx="2541" cy="786"/>
                          </a:xfrm>
                          <a:prstGeom prst="rect">
                            <a:avLst/>
                          </a:prstGeom>
                          <a:solidFill>
                            <a:srgbClr val="FFFFFF"/>
                          </a:solidFill>
                          <a:ln w="19050">
                            <a:solidFill>
                              <a:srgbClr val="000000"/>
                            </a:solidFill>
                            <a:miter lim="800000"/>
                            <a:headEnd/>
                            <a:tailEnd/>
                          </a:ln>
                        </wps:spPr>
                        <wps:txbx>
                          <w:txbxContent>
                            <w:p w:rsidR="00BE40F8" w:rsidRPr="006E6D90" w:rsidRDefault="00BE40F8" w:rsidP="00B233DE">
                              <w:pPr>
                                <w:ind w:firstLine="0"/>
                                <w:jc w:val="center"/>
                                <w:rPr>
                                  <w:sz w:val="18"/>
                                  <w:szCs w:val="18"/>
                                </w:rPr>
                              </w:pPr>
                              <w:r w:rsidRPr="00955E72">
                                <w:rPr>
                                  <w:rFonts w:ascii="Times New Roman" w:hAnsi="Times New Roman" w:cs="Times New Roman"/>
                                  <w:spacing w:val="-2"/>
                                  <w:sz w:val="16"/>
                                  <w:szCs w:val="16"/>
                                </w:rPr>
                                <w:t>Методи непрямого виливу (</w:t>
                              </w:r>
                              <w:r w:rsidRPr="00955E72">
                                <w:rPr>
                                  <w:rFonts w:ascii="Times New Roman" w:hAnsi="Times New Roman" w:cs="Times New Roman"/>
                                  <w:spacing w:val="-1"/>
                                  <w:sz w:val="16"/>
                                  <w:szCs w:val="16"/>
                                </w:rPr>
                                <w:t xml:space="preserve">підбір команди за різними </w:t>
                              </w:r>
                              <w:r w:rsidRPr="00955E72">
                                <w:rPr>
                                  <w:rFonts w:ascii="Times New Roman" w:hAnsi="Times New Roman" w:cs="Times New Roman"/>
                                  <w:sz w:val="16"/>
                                  <w:szCs w:val="16"/>
                                </w:rPr>
                                <w:t>ознаками, формування технологічного, психологічного клімату)</w:t>
                              </w:r>
                            </w:p>
                          </w:txbxContent>
                        </wps:txbx>
                        <wps:bodyPr rot="0" vert="horz" wrap="square" lIns="0" tIns="0" rIns="0" bIns="0" anchor="ctr" anchorCtr="0" upright="1">
                          <a:noAutofit/>
                        </wps:bodyPr>
                      </wps:wsp>
                      <wps:wsp>
                        <wps:cNvPr id="431" name="Rectangle 320"/>
                        <wps:cNvSpPr>
                          <a:spLocks noChangeArrowheads="1"/>
                        </wps:cNvSpPr>
                        <wps:spPr bwMode="auto">
                          <a:xfrm>
                            <a:off x="2989" y="1258"/>
                            <a:ext cx="1702" cy="785"/>
                          </a:xfrm>
                          <a:prstGeom prst="rect">
                            <a:avLst/>
                          </a:prstGeom>
                          <a:solidFill>
                            <a:srgbClr val="FFFFFF"/>
                          </a:solidFill>
                          <a:ln w="19050">
                            <a:solidFill>
                              <a:srgbClr val="000000"/>
                            </a:solidFill>
                            <a:miter lim="800000"/>
                            <a:headEnd/>
                            <a:tailEnd/>
                          </a:ln>
                        </wps:spPr>
                        <wps:txbx>
                          <w:txbxContent>
                            <w:p w:rsidR="00BE40F8" w:rsidRPr="00FE0551" w:rsidRDefault="00BE40F8" w:rsidP="00B233DE">
                              <w:pPr>
                                <w:shd w:val="clear" w:color="auto" w:fill="FFFFFF"/>
                                <w:tabs>
                                  <w:tab w:val="left" w:pos="226"/>
                                </w:tabs>
                                <w:ind w:firstLine="0"/>
                                <w:jc w:val="center"/>
                                <w:rPr>
                                  <w:sz w:val="18"/>
                                  <w:szCs w:val="18"/>
                                </w:rPr>
                              </w:pPr>
                              <w:r w:rsidRPr="00955E72">
                                <w:rPr>
                                  <w:rFonts w:ascii="Times New Roman" w:hAnsi="Times New Roman" w:cs="Times New Roman"/>
                                  <w:spacing w:val="-2"/>
                                  <w:sz w:val="16"/>
                                  <w:szCs w:val="16"/>
                                </w:rPr>
                                <w:t>Методи прямого впливу (</w:t>
                              </w:r>
                              <w:r w:rsidRPr="00955E72">
                                <w:rPr>
                                  <w:rFonts w:ascii="Times New Roman" w:hAnsi="Times New Roman" w:cs="Times New Roman"/>
                                  <w:spacing w:val="-1"/>
                                  <w:sz w:val="16"/>
                                  <w:szCs w:val="16"/>
                                </w:rPr>
                                <w:t>накази, розпор</w:t>
                              </w:r>
                              <w:r>
                                <w:rPr>
                                  <w:rFonts w:ascii="Times New Roman" w:hAnsi="Times New Roman" w:cs="Times New Roman"/>
                                  <w:spacing w:val="-1"/>
                                  <w:sz w:val="16"/>
                                  <w:szCs w:val="16"/>
                                </w:rPr>
                                <w:t>ядження, інструкції, положення)</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0C807A" id="Группа 412" o:spid="_x0000_s1206" style="position:absolute;left:0;text-align:left;margin-left:6.8pt;margin-top:-32.7pt;width:299.75pt;height:370.5pt;z-index:251684864;mso-position-horizontal-relative:text;mso-position-vertical-relative:text" coordorigin="2204,1127" coordsize="7331,47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">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AutoShape 302" o:spid="_x0000_s1207" type="#_x0000_t21" style="position:absolute;left:4299;top:2305;width:2748;height:7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" strokeweight="2.25pt">
                  <v:textbox inset="0,0,0,0">
                    <w:txbxContent>
                      <w:p w:rsidR="00BE40F8" w:rsidRPr="00955E72" w:rsidRDefault="00BE40F8" w:rsidP="00B233DE">
                        <w:pPr>
                          <w:ind w:firstLine="0"/>
                          <w:jc w:val="center"/>
                          <w:rPr>
                            <w:rFonts w:ascii="Times New Roman" w:hAnsi="Times New Roman" w:cs="Times New Roman"/>
                            <w:sz w:val="16"/>
                            <w:szCs w:val="16"/>
                          </w:rPr>
                        </w:pPr>
                        <w:r w:rsidRPr="00955E72">
                          <w:rPr>
                            <w:rFonts w:ascii="Times New Roman" w:hAnsi="Times New Roman" w:cs="Times New Roman"/>
                            <w:b/>
                            <w:bCs/>
                            <w:sz w:val="16"/>
                            <w:szCs w:val="16"/>
                          </w:rPr>
                          <w:t>Методи забезпечення ринкової інфраструктури попиту і пропозиції</w:t>
                        </w:r>
                        <w:r w:rsidRPr="00955E72">
                          <w:rPr>
                            <w:rFonts w:ascii="Times New Roman" w:hAnsi="Times New Roman" w:cs="Times New Roman"/>
                            <w:sz w:val="16"/>
                            <w:szCs w:val="16"/>
                          </w:rPr>
                          <w:t xml:space="preserve"> </w:t>
                        </w:r>
                        <w:r w:rsidRPr="00955E72">
                          <w:rPr>
                            <w:rFonts w:ascii="Times New Roman" w:hAnsi="Times New Roman" w:cs="Times New Roman"/>
                            <w:b/>
                            <w:bCs/>
                            <w:sz w:val="16"/>
                            <w:szCs w:val="16"/>
                          </w:rPr>
                          <w:t>робочої сили</w:t>
                        </w:r>
                      </w:p>
                    </w:txbxContent>
                  </v:textbox>
                </v:shape>
                <v:roundrect id="AutoShape 303" o:spid="_x0000_s1208" style="position:absolute;left:4953;top:1127;width:1309;height:91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" strokeweight="1.5pt">
                  <v:textbox inset="0,0,0,0">
                    <w:txbxContent>
                      <w:p w:rsidR="00BE40F8" w:rsidRPr="00955E72" w:rsidRDefault="00BE40F8" w:rsidP="00B233DE">
                        <w:pPr>
                          <w:ind w:firstLine="0"/>
                          <w:jc w:val="center"/>
                          <w:rPr>
                            <w:rFonts w:ascii="Times New Roman" w:hAnsi="Times New Roman" w:cs="Times New Roman"/>
                            <w:sz w:val="16"/>
                            <w:szCs w:val="16"/>
                          </w:rPr>
                        </w:pPr>
                        <w:r w:rsidRPr="00955E72">
                          <w:rPr>
                            <w:rFonts w:ascii="Times New Roman" w:hAnsi="Times New Roman" w:cs="Times New Roman"/>
                            <w:spacing w:val="-3"/>
                            <w:sz w:val="16"/>
                            <w:szCs w:val="16"/>
                          </w:rPr>
                          <w:t xml:space="preserve">За напрямом впливу на </w:t>
                        </w:r>
                        <w:r w:rsidRPr="00955E72">
                          <w:rPr>
                            <w:rFonts w:ascii="Times New Roman" w:hAnsi="Times New Roman" w:cs="Times New Roman"/>
                            <w:spacing w:val="-2"/>
                            <w:sz w:val="16"/>
                            <w:szCs w:val="16"/>
                          </w:rPr>
                          <w:t>по</w:t>
                        </w:r>
                        <w:r>
                          <w:rPr>
                            <w:rFonts w:ascii="Times New Roman" w:hAnsi="Times New Roman" w:cs="Times New Roman"/>
                            <w:spacing w:val="-2"/>
                            <w:sz w:val="16"/>
                            <w:szCs w:val="16"/>
                          </w:rPr>
                          <w:t>-</w:t>
                        </w:r>
                        <w:r w:rsidRPr="00955E72">
                          <w:rPr>
                            <w:rFonts w:ascii="Times New Roman" w:hAnsi="Times New Roman" w:cs="Times New Roman"/>
                            <w:spacing w:val="-2"/>
                            <w:sz w:val="16"/>
                            <w:szCs w:val="16"/>
                          </w:rPr>
                          <w:t>пит та про</w:t>
                        </w:r>
                        <w:r>
                          <w:rPr>
                            <w:rFonts w:ascii="Times New Roman" w:hAnsi="Times New Roman" w:cs="Times New Roman"/>
                            <w:spacing w:val="-2"/>
                            <w:sz w:val="16"/>
                            <w:szCs w:val="16"/>
                          </w:rPr>
                          <w:t>-</w:t>
                        </w:r>
                        <w:r w:rsidRPr="00955E72">
                          <w:rPr>
                            <w:rFonts w:ascii="Times New Roman" w:hAnsi="Times New Roman" w:cs="Times New Roman"/>
                            <w:spacing w:val="-2"/>
                            <w:sz w:val="16"/>
                            <w:szCs w:val="16"/>
                          </w:rPr>
                          <w:t>позицію робочої сили</w:t>
                        </w:r>
                      </w:p>
                    </w:txbxContent>
                  </v:textbox>
                </v:roundrect>
                <v:roundrect id="AutoShape 304" o:spid="_x0000_s1209" style="position:absolute;left:2204;top:4007;width:2225;height:182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" strokeweight="1.5pt">
                  <v:textbox inset="0,0,0,0">
                    <w:txbxContent>
                      <w:p w:rsidR="00BE40F8" w:rsidRPr="008675A1" w:rsidRDefault="00BE40F8" w:rsidP="00B233DE">
                        <w:pPr>
                          <w:shd w:val="clear" w:color="auto" w:fill="FFFFFF"/>
                          <w:tabs>
                            <w:tab w:val="left" w:pos="245"/>
                          </w:tabs>
                          <w:ind w:firstLine="0"/>
                          <w:jc w:val="center"/>
                          <w:rPr>
                            <w:rFonts w:ascii="Calibri" w:hAnsi="Calibri" w:cs="Calibri"/>
                          </w:rPr>
                        </w:pPr>
                        <w:r w:rsidRPr="00FE5E40">
                          <w:rPr>
                            <w:rFonts w:ascii="Times New Roman" w:hAnsi="Times New Roman" w:cs="Times New Roman"/>
                            <w:b/>
                            <w:bCs/>
                            <w:spacing w:val="-1"/>
                            <w:sz w:val="16"/>
                            <w:szCs w:val="16"/>
                          </w:rPr>
                          <w:t>Економічні,</w:t>
                        </w:r>
                        <w:r w:rsidRPr="00FE5E40">
                          <w:rPr>
                            <w:rFonts w:ascii="Times New Roman" w:hAnsi="Times New Roman" w:cs="Times New Roman"/>
                            <w:spacing w:val="-1"/>
                            <w:sz w:val="16"/>
                            <w:szCs w:val="16"/>
                          </w:rPr>
                          <w:t xml:space="preserve"> обумов</w:t>
                        </w:r>
                        <w:r>
                          <w:rPr>
                            <w:rFonts w:ascii="Times New Roman" w:hAnsi="Times New Roman" w:cs="Times New Roman"/>
                            <w:spacing w:val="-1"/>
                            <w:sz w:val="16"/>
                            <w:szCs w:val="16"/>
                          </w:rPr>
                          <w:t>-</w:t>
                        </w:r>
                        <w:r w:rsidRPr="00FE5E40">
                          <w:rPr>
                            <w:rFonts w:ascii="Times New Roman" w:hAnsi="Times New Roman" w:cs="Times New Roman"/>
                            <w:spacing w:val="-1"/>
                            <w:sz w:val="16"/>
                            <w:szCs w:val="16"/>
                          </w:rPr>
                          <w:t>лені різноманітними економічними чинни</w:t>
                        </w:r>
                        <w:r>
                          <w:rPr>
                            <w:rFonts w:ascii="Times New Roman" w:hAnsi="Times New Roman" w:cs="Times New Roman"/>
                            <w:spacing w:val="-1"/>
                            <w:sz w:val="16"/>
                            <w:szCs w:val="16"/>
                          </w:rPr>
                          <w:t>-</w:t>
                        </w:r>
                        <w:r w:rsidRPr="00FE5E40">
                          <w:rPr>
                            <w:rFonts w:ascii="Times New Roman" w:hAnsi="Times New Roman" w:cs="Times New Roman"/>
                            <w:spacing w:val="-1"/>
                            <w:sz w:val="16"/>
                            <w:szCs w:val="16"/>
                          </w:rPr>
                          <w:t>ками, за допомогою яких досягнеться ко</w:t>
                        </w:r>
                        <w:r>
                          <w:rPr>
                            <w:rFonts w:ascii="Times New Roman" w:hAnsi="Times New Roman" w:cs="Times New Roman"/>
                            <w:spacing w:val="-1"/>
                            <w:sz w:val="16"/>
                            <w:szCs w:val="16"/>
                          </w:rPr>
                          <w:t>-</w:t>
                        </w:r>
                        <w:r w:rsidRPr="00FE5E40">
                          <w:rPr>
                            <w:rFonts w:ascii="Times New Roman" w:hAnsi="Times New Roman" w:cs="Times New Roman"/>
                            <w:spacing w:val="-1"/>
                            <w:sz w:val="16"/>
                            <w:szCs w:val="16"/>
                          </w:rPr>
                          <w:t>лективне та індиві</w:t>
                        </w:r>
                        <w:r>
                          <w:rPr>
                            <w:rFonts w:ascii="Times New Roman" w:hAnsi="Times New Roman" w:cs="Times New Roman"/>
                            <w:spacing w:val="-1"/>
                            <w:sz w:val="16"/>
                            <w:szCs w:val="16"/>
                          </w:rPr>
                          <w:t>-</w:t>
                        </w:r>
                        <w:r w:rsidRPr="00FE5E40">
                          <w:rPr>
                            <w:rFonts w:ascii="Times New Roman" w:hAnsi="Times New Roman" w:cs="Times New Roman"/>
                            <w:spacing w:val="-1"/>
                            <w:sz w:val="16"/>
                            <w:szCs w:val="16"/>
                          </w:rPr>
                          <w:t>дуальне задоволення потреб на всіх рівнях інфраструктури; діють на керований об’єкт не прямо, а опосеред</w:t>
                        </w:r>
                        <w:r>
                          <w:rPr>
                            <w:rFonts w:ascii="Times New Roman" w:hAnsi="Times New Roman" w:cs="Times New Roman"/>
                            <w:spacing w:val="-1"/>
                            <w:sz w:val="16"/>
                            <w:szCs w:val="16"/>
                          </w:rPr>
                          <w:t>-</w:t>
                        </w:r>
                        <w:r w:rsidRPr="00FE5E40">
                          <w:rPr>
                            <w:rFonts w:ascii="Times New Roman" w:hAnsi="Times New Roman" w:cs="Times New Roman"/>
                            <w:spacing w:val="-1"/>
                            <w:sz w:val="16"/>
                            <w:szCs w:val="16"/>
                          </w:rPr>
                          <w:t>ковано (</w:t>
                        </w:r>
                        <w:r w:rsidRPr="00FE5E40">
                          <w:rPr>
                            <w:rFonts w:ascii="Times New Roman" w:hAnsi="Times New Roman" w:cs="Times New Roman"/>
                            <w:spacing w:val="-2"/>
                            <w:sz w:val="16"/>
                            <w:szCs w:val="16"/>
                          </w:rPr>
                          <w:t xml:space="preserve">економічні </w:t>
                        </w:r>
                        <w:r>
                          <w:rPr>
                            <w:rFonts w:ascii="Times New Roman" w:hAnsi="Times New Roman" w:cs="Times New Roman"/>
                            <w:sz w:val="16"/>
                            <w:szCs w:val="16"/>
                          </w:rPr>
                          <w:t>плани та економічні стимули)</w:t>
                        </w:r>
                      </w:p>
                    </w:txbxContent>
                  </v:textbox>
                </v:roundrect>
                <v:line id="Line 305" o:spid="_x0000_s1210" style="position:absolute;flip:x;visibility:visible;mso-wrap-style:square" from="4691,1651" to="4953,16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">
                  <v:stroke endarrow="block"/>
                </v:line>
                <v:line id="Line 306" o:spid="_x0000_s1211" style="position:absolute;flip:y;visibility:visible;mso-wrap-style:square" from="5608,2043" to="5609,2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">
                  <v:stroke endarrow="block"/>
                </v:line>
                <v:line id="Line 307" o:spid="_x0000_s1212" style="position:absolute;visibility:visible;mso-wrap-style:square" from="6262,1651" to="6524,16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">
                  <v:stroke endarrow="block"/>
                </v:line>
                <v:roundrect id="AutoShape 308" o:spid="_x0000_s1213" style="position:absolute;left:7048;top:3739;width:2487;height:209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" strokeweight="1.5pt">
                  <v:textbox inset="0,0,0,0">
                    <w:txbxContent>
                      <w:p w:rsidR="00BE40F8" w:rsidRPr="00FE5E40" w:rsidRDefault="00BE40F8" w:rsidP="00B233DE">
                        <w:pPr>
                          <w:ind w:firstLine="0"/>
                          <w:jc w:val="center"/>
                          <w:rPr>
                            <w:rFonts w:ascii="Times New Roman" w:hAnsi="Times New Roman" w:cs="Times New Roman"/>
                            <w:sz w:val="16"/>
                            <w:szCs w:val="16"/>
                          </w:rPr>
                        </w:pPr>
                        <w:r w:rsidRPr="00FE5E40">
                          <w:rPr>
                            <w:rFonts w:ascii="Times New Roman" w:hAnsi="Times New Roman" w:cs="Times New Roman"/>
                            <w:b/>
                            <w:bCs/>
                            <w:spacing w:val="-2"/>
                            <w:sz w:val="16"/>
                            <w:szCs w:val="16"/>
                          </w:rPr>
                          <w:t>Технологічні,</w:t>
                        </w:r>
                        <w:r w:rsidRPr="00FE5E40">
                          <w:rPr>
                            <w:rFonts w:ascii="Times New Roman" w:hAnsi="Times New Roman" w:cs="Times New Roman"/>
                            <w:spacing w:val="-2"/>
                            <w:sz w:val="16"/>
                            <w:szCs w:val="16"/>
                          </w:rPr>
                          <w:t xml:space="preserve"> що передбачають вплив на працівників через документи, які </w:t>
                        </w:r>
                        <w:r w:rsidRPr="00FE5E40">
                          <w:rPr>
                            <w:rFonts w:ascii="Times New Roman" w:hAnsi="Times New Roman" w:cs="Times New Roman"/>
                            <w:spacing w:val="-1"/>
                            <w:sz w:val="16"/>
                            <w:szCs w:val="16"/>
                          </w:rPr>
                          <w:t>визначають техн</w:t>
                        </w:r>
                        <w:r>
                          <w:rPr>
                            <w:rFonts w:ascii="Times New Roman" w:hAnsi="Times New Roman" w:cs="Times New Roman"/>
                            <w:spacing w:val="-1"/>
                            <w:sz w:val="16"/>
                            <w:szCs w:val="16"/>
                          </w:rPr>
                          <w:t xml:space="preserve">ологію процесів </w:t>
                        </w:r>
                        <w:r w:rsidRPr="00FE5E40">
                          <w:rPr>
                            <w:rFonts w:ascii="Times New Roman" w:hAnsi="Times New Roman" w:cs="Times New Roman"/>
                            <w:spacing w:val="-1"/>
                            <w:sz w:val="16"/>
                            <w:szCs w:val="16"/>
                          </w:rPr>
                          <w:t>(технологічні документи: інструкції, схеми, які визначають методи, прийоми, режими роб</w:t>
                        </w:r>
                        <w:r>
                          <w:rPr>
                            <w:rFonts w:ascii="Times New Roman" w:hAnsi="Times New Roman" w:cs="Times New Roman"/>
                            <w:spacing w:val="-1"/>
                            <w:sz w:val="16"/>
                            <w:szCs w:val="16"/>
                          </w:rPr>
                          <w:t>оти; конструкторські документи:</w:t>
                        </w:r>
                        <w:r w:rsidRPr="00FE5E40">
                          <w:rPr>
                            <w:rFonts w:ascii="Times New Roman" w:hAnsi="Times New Roman" w:cs="Times New Roman"/>
                            <w:spacing w:val="-1"/>
                            <w:sz w:val="16"/>
                            <w:szCs w:val="16"/>
                          </w:rPr>
                          <w:t xml:space="preserve"> креслення, конст</w:t>
                        </w:r>
                        <w:r>
                          <w:rPr>
                            <w:rFonts w:ascii="Times New Roman" w:hAnsi="Times New Roman" w:cs="Times New Roman"/>
                            <w:spacing w:val="-1"/>
                            <w:sz w:val="16"/>
                            <w:szCs w:val="16"/>
                          </w:rPr>
                          <w:t>рукторські схеми приладів, комп’</w:t>
                        </w:r>
                        <w:r w:rsidRPr="00FE5E40">
                          <w:rPr>
                            <w:rFonts w:ascii="Times New Roman" w:hAnsi="Times New Roman" w:cs="Times New Roman"/>
                            <w:spacing w:val="-1"/>
                            <w:sz w:val="16"/>
                            <w:szCs w:val="16"/>
                          </w:rPr>
                          <w:t>ютерів,</w:t>
                        </w:r>
                        <w:r w:rsidRPr="00FE5E40">
                          <w:rPr>
                            <w:rFonts w:ascii="Times New Roman" w:hAnsi="Times New Roman" w:cs="Times New Roman"/>
                            <w:spacing w:val="-1"/>
                            <w:sz w:val="16"/>
                            <w:szCs w:val="16"/>
                          </w:rPr>
                          <w:br/>
                        </w:r>
                        <w:r w:rsidRPr="00FE5E40">
                          <w:rPr>
                            <w:rFonts w:ascii="Times New Roman" w:hAnsi="Times New Roman" w:cs="Times New Roman"/>
                            <w:sz w:val="16"/>
                            <w:szCs w:val="16"/>
                          </w:rPr>
                          <w:t>топологічні схеми</w:t>
                        </w:r>
                        <w:r w:rsidRPr="00910549">
                          <w:rPr>
                            <w:sz w:val="20"/>
                            <w:szCs w:val="20"/>
                          </w:rPr>
                          <w:t xml:space="preserve"> </w:t>
                        </w:r>
                        <w:r>
                          <w:rPr>
                            <w:rFonts w:ascii="Times New Roman" w:hAnsi="Times New Roman" w:cs="Times New Roman"/>
                            <w:sz w:val="16"/>
                            <w:szCs w:val="16"/>
                          </w:rPr>
                          <w:t>інформаційних мереж)</w:t>
                        </w:r>
                      </w:p>
                    </w:txbxContent>
                  </v:textbox>
                </v:roundrect>
                <v:rect id="Rectangle 309" o:spid="_x0000_s1214" style="position:absolute;left:4953;top:3221;width:1702;height:3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" strokeweight="1.5pt">
                  <v:textbox inset="0,0,0,0">
                    <w:txbxContent>
                      <w:p w:rsidR="00BE40F8" w:rsidRPr="00FE5E40" w:rsidRDefault="00BE40F8" w:rsidP="00B233DE">
                        <w:pPr>
                          <w:ind w:left="360" w:firstLine="0"/>
                          <w:rPr>
                            <w:rFonts w:ascii="Times New Roman" w:hAnsi="Times New Roman" w:cs="Times New Roman"/>
                            <w:sz w:val="10"/>
                            <w:szCs w:val="10"/>
                          </w:rPr>
                        </w:pPr>
                      </w:p>
                      <w:p w:rsidR="00BE40F8" w:rsidRPr="00FE5E40" w:rsidRDefault="00BE40F8" w:rsidP="00B233DE">
                        <w:pPr>
                          <w:ind w:firstLine="0"/>
                          <w:jc w:val="center"/>
                          <w:rPr>
                            <w:rFonts w:ascii="Times New Roman" w:hAnsi="Times New Roman" w:cs="Times New Roman"/>
                            <w:sz w:val="16"/>
                            <w:szCs w:val="16"/>
                          </w:rPr>
                        </w:pPr>
                        <w:r w:rsidRPr="00FE5E40">
                          <w:rPr>
                            <w:rFonts w:ascii="Times New Roman" w:hAnsi="Times New Roman" w:cs="Times New Roman"/>
                            <w:sz w:val="16"/>
                            <w:szCs w:val="16"/>
                          </w:rPr>
                          <w:t>За характером впливу</w:t>
                        </w:r>
                      </w:p>
                      <w:p w:rsidR="00BE40F8" w:rsidRDefault="00BE40F8" w:rsidP="00B233DE">
                        <w:pPr>
                          <w:spacing w:after="200" w:line="276" w:lineRule="auto"/>
                          <w:rPr>
                            <w:rFonts w:ascii="Calibri" w:hAnsi="Calibri" w:cs="Calibri"/>
                          </w:rPr>
                        </w:pPr>
                      </w:p>
                    </w:txbxContent>
                  </v:textbox>
                </v:rect>
                <v:roundrect id="AutoShape 310" o:spid="_x0000_s1215" style="position:absolute;left:4560;top:3876;width:2357;height:19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" strokeweight="1.5pt">
                  <v:textbox inset="0,0,0,0">
                    <w:txbxContent>
                      <w:p w:rsidR="00BE40F8" w:rsidRPr="00FE5E40" w:rsidRDefault="00BE40F8" w:rsidP="00B233DE">
                        <w:pPr>
                          <w:shd w:val="clear" w:color="auto" w:fill="FFFFFF"/>
                          <w:tabs>
                            <w:tab w:val="left" w:pos="245"/>
                          </w:tabs>
                          <w:ind w:firstLine="0"/>
                          <w:jc w:val="center"/>
                          <w:rPr>
                            <w:rFonts w:ascii="Times New Roman" w:hAnsi="Times New Roman" w:cs="Times New Roman"/>
                            <w:sz w:val="16"/>
                            <w:szCs w:val="16"/>
                          </w:rPr>
                        </w:pPr>
                        <w:r w:rsidRPr="00FE5E40">
                          <w:rPr>
                            <w:rFonts w:ascii="Times New Roman" w:hAnsi="Times New Roman" w:cs="Times New Roman"/>
                            <w:b/>
                            <w:bCs/>
                            <w:spacing w:val="-2"/>
                            <w:sz w:val="16"/>
                            <w:szCs w:val="16"/>
                          </w:rPr>
                          <w:t>Соціально-психологіч</w:t>
                        </w:r>
                        <w:r>
                          <w:rPr>
                            <w:rFonts w:ascii="Times New Roman" w:hAnsi="Times New Roman" w:cs="Times New Roman"/>
                            <w:b/>
                            <w:bCs/>
                            <w:spacing w:val="-2"/>
                            <w:sz w:val="16"/>
                            <w:szCs w:val="16"/>
                          </w:rPr>
                          <w:t>-</w:t>
                        </w:r>
                        <w:r w:rsidRPr="00FE5E40">
                          <w:rPr>
                            <w:rFonts w:ascii="Times New Roman" w:hAnsi="Times New Roman" w:cs="Times New Roman"/>
                            <w:b/>
                            <w:bCs/>
                            <w:spacing w:val="-2"/>
                            <w:sz w:val="16"/>
                            <w:szCs w:val="16"/>
                          </w:rPr>
                          <w:t>ні</w:t>
                        </w:r>
                        <w:r w:rsidRPr="00FE5E40">
                          <w:rPr>
                            <w:rFonts w:ascii="Times New Roman" w:hAnsi="Times New Roman" w:cs="Times New Roman"/>
                            <w:spacing w:val="-2"/>
                            <w:sz w:val="16"/>
                            <w:szCs w:val="16"/>
                          </w:rPr>
                          <w:t xml:space="preserve">, як сукупність специфічних способів виливу на </w:t>
                        </w:r>
                        <w:r w:rsidRPr="00FE5E40">
                          <w:rPr>
                            <w:rFonts w:ascii="Times New Roman" w:hAnsi="Times New Roman" w:cs="Times New Roman"/>
                            <w:spacing w:val="-1"/>
                            <w:sz w:val="16"/>
                            <w:szCs w:val="16"/>
                          </w:rPr>
                          <w:t>міжособис</w:t>
                        </w:r>
                        <w:r>
                          <w:rPr>
                            <w:rFonts w:ascii="Times New Roman" w:hAnsi="Times New Roman" w:cs="Times New Roman"/>
                            <w:spacing w:val="-1"/>
                            <w:sz w:val="16"/>
                            <w:szCs w:val="16"/>
                          </w:rPr>
                          <w:t>-тісні стосунки і зв’</w:t>
                        </w:r>
                        <w:r w:rsidRPr="00FE5E40">
                          <w:rPr>
                            <w:rFonts w:ascii="Times New Roman" w:hAnsi="Times New Roman" w:cs="Times New Roman"/>
                            <w:spacing w:val="-1"/>
                            <w:sz w:val="16"/>
                            <w:szCs w:val="16"/>
                          </w:rPr>
                          <w:t xml:space="preserve">язки, соціальні процеси, що виникають в трудових колективах (соціальні плани, моральні стимули і методи формування колективів і соціально-психологічного </w:t>
                        </w:r>
                        <w:r w:rsidRPr="00FE5E40">
                          <w:rPr>
                            <w:rFonts w:ascii="Times New Roman" w:hAnsi="Times New Roman" w:cs="Times New Roman"/>
                            <w:sz w:val="16"/>
                            <w:szCs w:val="16"/>
                          </w:rPr>
                          <w:t>клім</w:t>
                        </w:r>
                        <w:r>
                          <w:rPr>
                            <w:rFonts w:ascii="Times New Roman" w:hAnsi="Times New Roman" w:cs="Times New Roman"/>
                            <w:sz w:val="16"/>
                            <w:szCs w:val="16"/>
                          </w:rPr>
                          <w:t>ату в них)</w:t>
                        </w:r>
                      </w:p>
                    </w:txbxContent>
                  </v:textbox>
                </v:roundrect>
                <v:roundrect id="AutoShape 311" o:spid="_x0000_s1216" style="position:absolute;left:2335;top:2305;width:1440;height:130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" strokeweight="1.5pt">
                  <v:textbox inset="0,0,0,0">
                    <w:txbxContent>
                      <w:p w:rsidR="00BE40F8" w:rsidRPr="00955E72" w:rsidRDefault="00BE40F8" w:rsidP="00B233DE">
                        <w:pPr>
                          <w:ind w:firstLine="0"/>
                          <w:jc w:val="center"/>
                          <w:rPr>
                            <w:rFonts w:ascii="Times New Roman" w:hAnsi="Times New Roman" w:cs="Times New Roman"/>
                            <w:sz w:val="16"/>
                            <w:szCs w:val="16"/>
                          </w:rPr>
                        </w:pPr>
                        <w:r w:rsidRPr="00955E72">
                          <w:rPr>
                            <w:rFonts w:ascii="Times New Roman" w:hAnsi="Times New Roman" w:cs="Times New Roman"/>
                            <w:spacing w:val="-2"/>
                            <w:sz w:val="16"/>
                            <w:szCs w:val="16"/>
                          </w:rPr>
                          <w:t>Адміністратив</w:t>
                        </w:r>
                        <w:r>
                          <w:rPr>
                            <w:rFonts w:ascii="Times New Roman" w:hAnsi="Times New Roman" w:cs="Times New Roman"/>
                            <w:spacing w:val="-2"/>
                            <w:sz w:val="16"/>
                            <w:szCs w:val="16"/>
                          </w:rPr>
                          <w:t>-</w:t>
                        </w:r>
                        <w:r w:rsidRPr="00955E72">
                          <w:rPr>
                            <w:rFonts w:ascii="Times New Roman" w:hAnsi="Times New Roman" w:cs="Times New Roman"/>
                            <w:spacing w:val="-2"/>
                            <w:sz w:val="16"/>
                            <w:szCs w:val="16"/>
                          </w:rPr>
                          <w:t>ні – охоплю</w:t>
                        </w:r>
                        <w:r>
                          <w:rPr>
                            <w:rFonts w:ascii="Times New Roman" w:hAnsi="Times New Roman" w:cs="Times New Roman"/>
                            <w:spacing w:val="-2"/>
                            <w:sz w:val="16"/>
                            <w:szCs w:val="16"/>
                          </w:rPr>
                          <w:t>-</w:t>
                        </w:r>
                        <w:r w:rsidRPr="00955E72">
                          <w:rPr>
                            <w:rFonts w:ascii="Times New Roman" w:hAnsi="Times New Roman" w:cs="Times New Roman"/>
                            <w:spacing w:val="-2"/>
                            <w:sz w:val="16"/>
                            <w:szCs w:val="16"/>
                          </w:rPr>
                          <w:t>ють такі спо</w:t>
                        </w:r>
                        <w:r>
                          <w:rPr>
                            <w:rFonts w:ascii="Times New Roman" w:hAnsi="Times New Roman" w:cs="Times New Roman"/>
                            <w:spacing w:val="-2"/>
                            <w:sz w:val="16"/>
                            <w:szCs w:val="16"/>
                          </w:rPr>
                          <w:t>-</w:t>
                        </w:r>
                        <w:r w:rsidRPr="00955E72">
                          <w:rPr>
                            <w:rFonts w:ascii="Times New Roman" w:hAnsi="Times New Roman" w:cs="Times New Roman"/>
                            <w:spacing w:val="-2"/>
                            <w:sz w:val="16"/>
                            <w:szCs w:val="16"/>
                          </w:rPr>
                          <w:t>соби впливу, як: організа</w:t>
                        </w:r>
                        <w:r>
                          <w:rPr>
                            <w:rFonts w:ascii="Times New Roman" w:hAnsi="Times New Roman" w:cs="Times New Roman"/>
                            <w:spacing w:val="-2"/>
                            <w:sz w:val="16"/>
                            <w:szCs w:val="16"/>
                          </w:rPr>
                          <w:t>-</w:t>
                        </w:r>
                        <w:r w:rsidRPr="00955E72">
                          <w:rPr>
                            <w:rFonts w:ascii="Times New Roman" w:hAnsi="Times New Roman" w:cs="Times New Roman"/>
                            <w:spacing w:val="-2"/>
                            <w:sz w:val="16"/>
                            <w:szCs w:val="16"/>
                          </w:rPr>
                          <w:t xml:space="preserve">ційні, </w:t>
                        </w:r>
                        <w:r w:rsidRPr="00955E72">
                          <w:rPr>
                            <w:rFonts w:ascii="Times New Roman" w:hAnsi="Times New Roman" w:cs="Times New Roman"/>
                            <w:sz w:val="16"/>
                            <w:szCs w:val="16"/>
                          </w:rPr>
                          <w:t>розпо</w:t>
                        </w:r>
                        <w:r>
                          <w:rPr>
                            <w:rFonts w:ascii="Times New Roman" w:hAnsi="Times New Roman" w:cs="Times New Roman"/>
                            <w:sz w:val="16"/>
                            <w:szCs w:val="16"/>
                          </w:rPr>
                          <w:t>-</w:t>
                        </w:r>
                        <w:r w:rsidRPr="00955E72">
                          <w:rPr>
                            <w:rFonts w:ascii="Times New Roman" w:hAnsi="Times New Roman" w:cs="Times New Roman"/>
                            <w:sz w:val="16"/>
                            <w:szCs w:val="16"/>
                          </w:rPr>
                          <w:t>рядчі та дис</w:t>
                        </w:r>
                        <w:r>
                          <w:rPr>
                            <w:rFonts w:ascii="Times New Roman" w:hAnsi="Times New Roman" w:cs="Times New Roman"/>
                            <w:sz w:val="16"/>
                            <w:szCs w:val="16"/>
                          </w:rPr>
                          <w:t>-</w:t>
                        </w:r>
                        <w:r w:rsidRPr="00955E72">
                          <w:rPr>
                            <w:rFonts w:ascii="Times New Roman" w:hAnsi="Times New Roman" w:cs="Times New Roman"/>
                            <w:sz w:val="16"/>
                            <w:szCs w:val="16"/>
                          </w:rPr>
                          <w:t>циплінарні</w:t>
                        </w:r>
                      </w:p>
                    </w:txbxContent>
                  </v:textbox>
                </v:roundrect>
                <v:line id="Line 312" o:spid="_x0000_s1217" style="position:absolute;flip:x;visibility:visible;mso-wrap-style:square" from="5739,3615" to="5740,38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">
                  <v:stroke endarrow="block"/>
                </v:line>
                <v:line id="Line 313" o:spid="_x0000_s1218" style="position:absolute;flip:x;visibility:visible;mso-wrap-style:square" from="3251,3484" to="4953,4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">
                  <v:stroke endarrow="block"/>
                </v:line>
                <v:line id="Line 314" o:spid="_x0000_s1219" style="position:absolute;visibility:visible;mso-wrap-style:square" from="6655,3477" to="8226,37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">
                  <v:stroke endarrow="block"/>
                </v:line>
                <v:line id="Line 315" o:spid="_x0000_s1220" style="position:absolute;visibility:visible;mso-wrap-style:square" from="5739,3091" to="5739,32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">
                  <v:stroke endarrow="block"/>
                </v:line>
                <v:line id="Line 316" o:spid="_x0000_s1221" style="position:absolute;flip:x y;visibility:visible;mso-wrap-style:square" from="3775,3091" to="4953,3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">
                  <v:stroke endarrow="block"/>
                </v:line>
                <v:rect id="Rectangle 317" o:spid="_x0000_s1222" style="position:absolute;left:7309;top:2174;width:2095;height:13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" strokeweight="1.5pt">
                  <v:textbox inset="0,0,0,0">
                    <w:txbxContent>
                      <w:p w:rsidR="00BE40F8" w:rsidRPr="00FE5E40" w:rsidRDefault="00BE40F8" w:rsidP="00B233DE">
                        <w:pPr>
                          <w:ind w:firstLine="0"/>
                          <w:jc w:val="center"/>
                          <w:rPr>
                            <w:rFonts w:ascii="Times New Roman" w:hAnsi="Times New Roman" w:cs="Times New Roman"/>
                            <w:spacing w:val="-2"/>
                            <w:sz w:val="16"/>
                            <w:szCs w:val="16"/>
                          </w:rPr>
                        </w:pPr>
                        <w:r w:rsidRPr="00FE5E40">
                          <w:rPr>
                            <w:rFonts w:ascii="Times New Roman" w:hAnsi="Times New Roman" w:cs="Times New Roman"/>
                            <w:spacing w:val="-3"/>
                            <w:sz w:val="16"/>
                            <w:szCs w:val="16"/>
                          </w:rPr>
                          <w:t xml:space="preserve">За способом врахування інтересів </w:t>
                        </w:r>
                        <w:r w:rsidRPr="00FE5E40">
                          <w:rPr>
                            <w:rFonts w:ascii="Times New Roman" w:hAnsi="Times New Roman" w:cs="Times New Roman"/>
                            <w:spacing w:val="-2"/>
                            <w:sz w:val="16"/>
                            <w:szCs w:val="16"/>
                          </w:rPr>
                          <w:t>працівників сфери інфраструктури ринку праці:</w:t>
                        </w:r>
                      </w:p>
                      <w:p w:rsidR="00BE40F8" w:rsidRPr="00FE5E40" w:rsidRDefault="00BE40F8" w:rsidP="00B233DE">
                        <w:pPr>
                          <w:ind w:firstLine="0"/>
                          <w:jc w:val="center"/>
                          <w:rPr>
                            <w:rFonts w:ascii="Times New Roman" w:hAnsi="Times New Roman" w:cs="Times New Roman"/>
                            <w:spacing w:val="-2"/>
                            <w:sz w:val="16"/>
                            <w:szCs w:val="16"/>
                          </w:rPr>
                        </w:pPr>
                        <w:r w:rsidRPr="00FE5E40">
                          <w:rPr>
                            <w:rFonts w:ascii="Times New Roman" w:hAnsi="Times New Roman" w:cs="Times New Roman"/>
                            <w:spacing w:val="-2"/>
                            <w:sz w:val="16"/>
                            <w:szCs w:val="16"/>
                          </w:rPr>
                          <w:t xml:space="preserve">матеріальні та </w:t>
                        </w:r>
                        <w:r w:rsidRPr="00FE5E40">
                          <w:rPr>
                            <w:rFonts w:ascii="Times New Roman" w:hAnsi="Times New Roman" w:cs="Times New Roman"/>
                            <w:spacing w:val="-1"/>
                            <w:sz w:val="16"/>
                            <w:szCs w:val="16"/>
                          </w:rPr>
                          <w:t>моральні методи виливу,</w:t>
                        </w:r>
                        <w:r w:rsidRPr="00FE5E40">
                          <w:rPr>
                            <w:rFonts w:ascii="Times New Roman" w:hAnsi="Times New Roman" w:cs="Times New Roman"/>
                            <w:spacing w:val="-2"/>
                            <w:sz w:val="16"/>
                            <w:szCs w:val="16"/>
                          </w:rPr>
                          <w:t xml:space="preserve"> методи впливу влади</w:t>
                        </w:r>
                      </w:p>
                      <w:p w:rsidR="00BE40F8" w:rsidRPr="00FE5E40" w:rsidRDefault="00BE40F8" w:rsidP="00B233DE">
                        <w:pPr>
                          <w:jc w:val="center"/>
                          <w:rPr>
                            <w:rFonts w:ascii="Times New Roman" w:hAnsi="Times New Roman" w:cs="Times New Roman"/>
                            <w:sz w:val="16"/>
                            <w:szCs w:val="16"/>
                          </w:rPr>
                        </w:pPr>
                        <w:r w:rsidRPr="00FE5E40">
                          <w:rPr>
                            <w:rFonts w:ascii="Times New Roman" w:hAnsi="Times New Roman" w:cs="Times New Roman"/>
                            <w:spacing w:val="-2"/>
                            <w:sz w:val="16"/>
                            <w:szCs w:val="16"/>
                          </w:rPr>
                          <w:t xml:space="preserve">(штатні розписи, </w:t>
                        </w:r>
                        <w:r w:rsidRPr="00FE5E40">
                          <w:rPr>
                            <w:rFonts w:ascii="Times New Roman" w:hAnsi="Times New Roman" w:cs="Times New Roman"/>
                            <w:sz w:val="16"/>
                            <w:szCs w:val="16"/>
                          </w:rPr>
                          <w:t>договори, накази, догани</w:t>
                        </w:r>
                        <w:r w:rsidRPr="00FE5E40">
                          <w:rPr>
                            <w:rFonts w:ascii="Times New Roman" w:hAnsi="Times New Roman" w:cs="Times New Roman"/>
                            <w:spacing w:val="-2"/>
                            <w:sz w:val="16"/>
                            <w:szCs w:val="16"/>
                          </w:rPr>
                          <w:t>)</w:t>
                        </w:r>
                      </w:p>
                    </w:txbxContent>
                  </v:textbox>
                </v:rect>
                <v:line id="Line 318" o:spid="_x0000_s1223" style="position:absolute;visibility:visible;mso-wrap-style:square" from="7048,2698" to="7309,2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">
                  <v:stroke endarrow="block"/>
                </v:line>
                <v:rect id="Rectangle 319" o:spid="_x0000_s1224" style="position:absolute;left:6523;top:1258;width:2541;height:7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" strokeweight="1.5pt">
                  <v:textbox inset="0,0,0,0">
                    <w:txbxContent>
                      <w:p w:rsidR="00BE40F8" w:rsidRPr="006E6D90" w:rsidRDefault="00BE40F8" w:rsidP="00B233DE">
                        <w:pPr>
                          <w:ind w:firstLine="0"/>
                          <w:jc w:val="center"/>
                          <w:rPr>
                            <w:sz w:val="18"/>
                            <w:szCs w:val="18"/>
                          </w:rPr>
                        </w:pPr>
                        <w:r w:rsidRPr="00955E72">
                          <w:rPr>
                            <w:rFonts w:ascii="Times New Roman" w:hAnsi="Times New Roman" w:cs="Times New Roman"/>
                            <w:spacing w:val="-2"/>
                            <w:sz w:val="16"/>
                            <w:szCs w:val="16"/>
                          </w:rPr>
                          <w:t>Методи непрямого виливу (</w:t>
                        </w:r>
                        <w:r w:rsidRPr="00955E72">
                          <w:rPr>
                            <w:rFonts w:ascii="Times New Roman" w:hAnsi="Times New Roman" w:cs="Times New Roman"/>
                            <w:spacing w:val="-1"/>
                            <w:sz w:val="16"/>
                            <w:szCs w:val="16"/>
                          </w:rPr>
                          <w:t xml:space="preserve">підбір команди за різними </w:t>
                        </w:r>
                        <w:r w:rsidRPr="00955E72">
                          <w:rPr>
                            <w:rFonts w:ascii="Times New Roman" w:hAnsi="Times New Roman" w:cs="Times New Roman"/>
                            <w:sz w:val="16"/>
                            <w:szCs w:val="16"/>
                          </w:rPr>
                          <w:t>ознаками, формування технологічного, психологічного клімату)</w:t>
                        </w:r>
                      </w:p>
                    </w:txbxContent>
                  </v:textbox>
                </v:rect>
                <v:rect id="Rectangle 320" o:spid="_x0000_s1225" style="position:absolute;left:2989;top:1258;width:1702;height: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" strokeweight="1.5pt">
                  <v:textbox inset="0,0,0,0">
                    <w:txbxContent>
                      <w:p w:rsidR="00BE40F8" w:rsidRPr="00FE0551" w:rsidRDefault="00BE40F8" w:rsidP="00B233DE">
                        <w:pPr>
                          <w:shd w:val="clear" w:color="auto" w:fill="FFFFFF"/>
                          <w:tabs>
                            <w:tab w:val="left" w:pos="226"/>
                          </w:tabs>
                          <w:ind w:firstLine="0"/>
                          <w:jc w:val="center"/>
                          <w:rPr>
                            <w:sz w:val="18"/>
                            <w:szCs w:val="18"/>
                          </w:rPr>
                        </w:pPr>
                        <w:r w:rsidRPr="00955E72">
                          <w:rPr>
                            <w:rFonts w:ascii="Times New Roman" w:hAnsi="Times New Roman" w:cs="Times New Roman"/>
                            <w:spacing w:val="-2"/>
                            <w:sz w:val="16"/>
                            <w:szCs w:val="16"/>
                          </w:rPr>
                          <w:t>Методи прямого впливу (</w:t>
                        </w:r>
                        <w:r w:rsidRPr="00955E72">
                          <w:rPr>
                            <w:rFonts w:ascii="Times New Roman" w:hAnsi="Times New Roman" w:cs="Times New Roman"/>
                            <w:spacing w:val="-1"/>
                            <w:sz w:val="16"/>
                            <w:szCs w:val="16"/>
                          </w:rPr>
                          <w:t>накази, розпор</w:t>
                        </w:r>
                        <w:r>
                          <w:rPr>
                            <w:rFonts w:ascii="Times New Roman" w:hAnsi="Times New Roman" w:cs="Times New Roman"/>
                            <w:spacing w:val="-1"/>
                            <w:sz w:val="16"/>
                            <w:szCs w:val="16"/>
                          </w:rPr>
                          <w:t>ядження, інструкції, положення)</w:t>
                        </w:r>
                      </w:p>
                    </w:txbxContent>
                  </v:textbox>
                </v:rect>
              </v:group>
            </w:pict>
          </mc:Fallback>
        </mc:AlternateContent>
      </w: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Pr="00FE5E40" w:rsidRDefault="00B233DE" w:rsidP="00B233DE">
      <w:pPr>
        <w:ind w:firstLine="709"/>
        <w:jc w:val="center"/>
        <w:rPr>
          <w:rFonts w:ascii="Times New Roman" w:hAnsi="Times New Roman" w:cs="Times New Roman"/>
          <w:b/>
          <w:sz w:val="21"/>
          <w:szCs w:val="21"/>
        </w:rPr>
      </w:pPr>
      <w:r w:rsidRPr="00FE5E40">
        <w:rPr>
          <w:rFonts w:ascii="Times New Roman" w:hAnsi="Times New Roman" w:cs="Times New Roman"/>
          <w:b/>
          <w:sz w:val="21"/>
          <w:szCs w:val="21"/>
        </w:rPr>
        <w:t xml:space="preserve">Рис. </w:t>
      </w:r>
      <w:r>
        <w:rPr>
          <w:rFonts w:ascii="Times New Roman" w:hAnsi="Times New Roman" w:cs="Times New Roman"/>
          <w:b/>
          <w:sz w:val="21"/>
          <w:szCs w:val="21"/>
        </w:rPr>
        <w:t>3</w:t>
      </w:r>
      <w:r w:rsidRPr="00FE5E40">
        <w:rPr>
          <w:rFonts w:ascii="Times New Roman" w:hAnsi="Times New Roman" w:cs="Times New Roman"/>
          <w:b/>
          <w:sz w:val="21"/>
          <w:szCs w:val="21"/>
        </w:rPr>
        <w:t>.</w:t>
      </w:r>
      <w:r>
        <w:rPr>
          <w:rFonts w:ascii="Times New Roman" w:hAnsi="Times New Roman" w:cs="Times New Roman"/>
          <w:b/>
          <w:sz w:val="21"/>
          <w:szCs w:val="21"/>
        </w:rPr>
        <w:t>8</w:t>
      </w:r>
      <w:r w:rsidRPr="00FE5E40">
        <w:rPr>
          <w:rFonts w:ascii="Times New Roman" w:hAnsi="Times New Roman" w:cs="Times New Roman"/>
          <w:b/>
          <w:sz w:val="21"/>
          <w:szCs w:val="21"/>
        </w:rPr>
        <w:t>. Методи забезпечення ринкової інфраструктури п</w:t>
      </w:r>
      <w:r>
        <w:rPr>
          <w:rFonts w:ascii="Times New Roman" w:hAnsi="Times New Roman" w:cs="Times New Roman"/>
          <w:b/>
          <w:sz w:val="21"/>
          <w:szCs w:val="21"/>
        </w:rPr>
        <w:t>опиту і пропозиції робочої сили*</w:t>
      </w:r>
    </w:p>
    <w:p w:rsidR="00B233DE" w:rsidRPr="00FE5E40" w:rsidRDefault="00B233DE" w:rsidP="00B233DE">
      <w:pPr>
        <w:ind w:firstLine="709"/>
        <w:jc w:val="both"/>
        <w:rPr>
          <w:rFonts w:ascii="Times New Roman" w:hAnsi="Times New Roman" w:cs="Times New Roman"/>
          <w:sz w:val="18"/>
          <w:szCs w:val="18"/>
        </w:rPr>
      </w:pPr>
      <w:r w:rsidRPr="00FE5E40">
        <w:rPr>
          <w:rFonts w:ascii="Times New Roman" w:hAnsi="Times New Roman" w:cs="Times New Roman"/>
          <w:sz w:val="18"/>
          <w:szCs w:val="18"/>
        </w:rPr>
        <w:t xml:space="preserve">* - розроблено автором </w:t>
      </w:r>
      <w:r>
        <w:rPr>
          <w:rFonts w:ascii="Times New Roman" w:hAnsi="Times New Roman" w:cs="Times New Roman"/>
          <w:sz w:val="18"/>
          <w:szCs w:val="18"/>
        </w:rPr>
        <w:t>розділу</w:t>
      </w:r>
    </w:p>
    <w:p w:rsidR="00B233DE" w:rsidRDefault="00B233DE" w:rsidP="00B233DE">
      <w:pPr>
        <w:ind w:firstLine="709"/>
        <w:jc w:val="both"/>
        <w:rPr>
          <w:rFonts w:ascii="Times New Roman" w:hAnsi="Times New Roman" w:cs="Times New Roman"/>
          <w:sz w:val="21"/>
          <w:szCs w:val="21"/>
        </w:rPr>
      </w:pPr>
      <w:r w:rsidRPr="003728E5">
        <w:rPr>
          <w:rFonts w:ascii="Times New Roman" w:hAnsi="Times New Roman" w:cs="Times New Roman"/>
          <w:sz w:val="21"/>
          <w:szCs w:val="21"/>
        </w:rPr>
        <w:lastRenderedPageBreak/>
        <w:t>Цілями оновленої інфраструктури ринку праці, на наш погляд, є: створення базових передумов розвитку ринку праці, завдяки об’єднанню зусиль та збалансованості роботи всіх її структурних елементів на основі використання системних методів формування та реалізації політики в галузі соціально-трудових відносин, яка сприятиме повній, продуктивній та вільно обраній зайнятості населення, спрямованій на підвищення рівня його життя та максимальне використання трудового потенціалу; сприяння проведенню рішучих структурних реформ у сфері зайнятості в тісній взаємозалежності з економічними реформами з метою запобігання масовому безробіттю, створення і збереження сучасних робочих місць, кількісної і якісної збалансованості ринку праці, забезпечення високої конкурентоспроможності вітчизняної робочої сили; надання соціальної та матеріальної підтримки громадянам, що потребують соціального захисту; симбіоз всіх компонентів інфраструктури в регулюванні та</w:t>
      </w:r>
      <w:r>
        <w:rPr>
          <w:rFonts w:ascii="Times New Roman" w:hAnsi="Times New Roman" w:cs="Times New Roman"/>
          <w:sz w:val="21"/>
          <w:szCs w:val="21"/>
        </w:rPr>
        <w:t xml:space="preserve"> координації їх взаємодії щодо «детінізації»</w:t>
      </w:r>
      <w:r w:rsidRPr="003728E5">
        <w:rPr>
          <w:rFonts w:ascii="Times New Roman" w:hAnsi="Times New Roman" w:cs="Times New Roman"/>
          <w:sz w:val="21"/>
          <w:szCs w:val="21"/>
        </w:rPr>
        <w:t xml:space="preserve"> ринку праці; модернізація інфраструктурних ланок ринку праці з урахуванням європейського досвіду.</w:t>
      </w:r>
    </w:p>
    <w:p w:rsidR="00B233DE" w:rsidRPr="003728E5" w:rsidRDefault="00B233DE" w:rsidP="00B233DE">
      <w:pPr>
        <w:ind w:firstLine="709"/>
        <w:jc w:val="both"/>
        <w:rPr>
          <w:rFonts w:ascii="Times New Roman" w:hAnsi="Times New Roman" w:cs="Times New Roman"/>
          <w:sz w:val="21"/>
          <w:szCs w:val="21"/>
        </w:rPr>
      </w:pPr>
      <w:r w:rsidRPr="003728E5">
        <w:rPr>
          <w:rFonts w:ascii="Times New Roman" w:hAnsi="Times New Roman" w:cs="Times New Roman"/>
          <w:sz w:val="21"/>
          <w:szCs w:val="21"/>
        </w:rPr>
        <w:t>Основними завданнями інфраструктури ринку праці є: забезпечення гарантованих Конституцією України прав на пра</w:t>
      </w:r>
      <w:r>
        <w:rPr>
          <w:rFonts w:ascii="Times New Roman" w:hAnsi="Times New Roman" w:cs="Times New Roman"/>
          <w:sz w:val="21"/>
          <w:szCs w:val="21"/>
        </w:rPr>
        <w:t>цю, свобод громадян,</w:t>
      </w:r>
      <w:r w:rsidRPr="003728E5">
        <w:rPr>
          <w:rFonts w:ascii="Times New Roman" w:hAnsi="Times New Roman" w:cs="Times New Roman"/>
          <w:sz w:val="21"/>
          <w:szCs w:val="21"/>
        </w:rPr>
        <w:t xml:space="preserve"> гідної якості життя з урахуванням сталого розвитку на основі впровадження європейських стандартів соціального захисту, підвищення якості соціальних послуг; створення найсприятливіших умов для розвитку людини та реалізації її людського потенціалу; формування системи довготривалого, цілеспрямованого і постійного впливу на людину, її свідомість, яка обійматиме сім’ю, дошкільні заклади, школи, професійно-технічні й вищі навчальні заклади, відповідні підрозділи збройних сил, центри зайнятості, кадрові служби фірм і підрозділів тощо, з метою формування у громадян, особливо молоді та безробітних, відповідального ставлення до праці, підвищення мотивації до праці; удосконалення організації і структури держслужби зайнятості, методів її роботи, у тому числі з активного сприяння зайнятості; розвиток соціального партнерства на ринку праці; удосконалення правового механізму сприяння зайнятості населення; підвищення конкурентоспроможності шукачів роботи через навчання протягом всього життя та підвищення компетентності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_Ref433977449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44</w:t>
      </w:r>
      <w:r>
        <w:rPr>
          <w:rFonts w:ascii="Times New Roman" w:hAnsi="Times New Roman" w:cs="Times New Roman"/>
          <w:sz w:val="21"/>
          <w:szCs w:val="21"/>
          <w:highlight w:val="yellow"/>
        </w:rPr>
        <w:fldChar w:fldCharType="end"/>
      </w:r>
      <w:r w:rsidRPr="003728E5">
        <w:rPr>
          <w:rFonts w:ascii="Times New Roman" w:hAnsi="Times New Roman" w:cs="Times New Roman"/>
          <w:sz w:val="21"/>
          <w:szCs w:val="21"/>
        </w:rPr>
        <w:t xml:space="preserve">]; сприяння молоді в реалізації творчих можливостей та ініціатив, залучення її до активної участі в </w:t>
      </w:r>
      <w:r w:rsidRPr="003728E5">
        <w:rPr>
          <w:rFonts w:ascii="Times New Roman" w:hAnsi="Times New Roman" w:cs="Times New Roman"/>
          <w:sz w:val="21"/>
          <w:szCs w:val="21"/>
        </w:rPr>
        <w:lastRenderedPageBreak/>
        <w:t xml:space="preserve">соціальному, економічному та гуманітарному розвитку держави; розповсюдження інформації до суб’єктів ринку праці та удосконалення засобів її донесення, за умови скорочення </w:t>
      </w:r>
      <w:r>
        <w:rPr>
          <w:rFonts w:ascii="Times New Roman" w:hAnsi="Times New Roman" w:cs="Times New Roman"/>
          <w:sz w:val="21"/>
          <w:szCs w:val="21"/>
        </w:rPr>
        <w:t xml:space="preserve">часу пошуку: вакантних робочих </w:t>
      </w:r>
      <w:r w:rsidRPr="003728E5">
        <w:rPr>
          <w:rFonts w:ascii="Times New Roman" w:hAnsi="Times New Roman" w:cs="Times New Roman"/>
          <w:sz w:val="21"/>
          <w:szCs w:val="21"/>
        </w:rPr>
        <w:t>місць і осіб, які шукають роботу, рівня оплати праці, співвідношення попиту і пропозиції на різні види праці, тенд</w:t>
      </w:r>
      <w:r>
        <w:rPr>
          <w:rFonts w:ascii="Times New Roman" w:hAnsi="Times New Roman" w:cs="Times New Roman"/>
          <w:sz w:val="21"/>
          <w:szCs w:val="21"/>
        </w:rPr>
        <w:t>енцій і перспектив їх розвитку;</w:t>
      </w:r>
      <w:r w:rsidRPr="003728E5">
        <w:rPr>
          <w:rFonts w:ascii="Times New Roman" w:hAnsi="Times New Roman" w:cs="Times New Roman"/>
          <w:sz w:val="21"/>
          <w:szCs w:val="21"/>
        </w:rPr>
        <w:t xml:space="preserve"> врахування в інформаційній інфраструктурі організації взаємодії інформаційних потоків на основі процесних моделей служби зайнятості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_Ref433977456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102</w:t>
      </w:r>
      <w:r>
        <w:rPr>
          <w:rFonts w:ascii="Times New Roman" w:hAnsi="Times New Roman" w:cs="Times New Roman"/>
          <w:sz w:val="21"/>
          <w:szCs w:val="21"/>
          <w:highlight w:val="yellow"/>
        </w:rPr>
        <w:fldChar w:fldCharType="end"/>
      </w:r>
      <w:r w:rsidRPr="003728E5">
        <w:rPr>
          <w:rFonts w:ascii="Times New Roman" w:hAnsi="Times New Roman" w:cs="Times New Roman"/>
          <w:sz w:val="21"/>
          <w:szCs w:val="21"/>
        </w:rPr>
        <w:t>]; проведення моніторингу, аналізу і прогнозування стану ринку праці й зайнятості населення, здійснення обстежень домогосподарств з питань економічної активності (за методологією МОП), виокремлення дослідження базового рівня (міст, району) і професійно-кваліфікаційного аспекту складу зайня</w:t>
      </w:r>
      <w:r>
        <w:rPr>
          <w:rFonts w:ascii="Times New Roman" w:hAnsi="Times New Roman" w:cs="Times New Roman"/>
          <w:sz w:val="21"/>
          <w:szCs w:val="21"/>
        </w:rPr>
        <w:t xml:space="preserve">того і безробітного населення; </w:t>
      </w:r>
      <w:r w:rsidRPr="003728E5">
        <w:rPr>
          <w:rFonts w:ascii="Times New Roman" w:hAnsi="Times New Roman" w:cs="Times New Roman"/>
          <w:sz w:val="21"/>
          <w:szCs w:val="21"/>
        </w:rPr>
        <w:t>розробка організаційних заходів щодо розвитку соціального діалогу за участю держави, роботодавців та профспілок на національному та регіональних ринках праці та контролю за реалізацією прийнятих угод; вдосконалення моніторингу та оцінювання не лише стану ринку праці і зайнятості населення, а й ступеня його інформаційного та організаційного забезпечен</w:t>
      </w:r>
      <w:r>
        <w:rPr>
          <w:rFonts w:ascii="Times New Roman" w:hAnsi="Times New Roman" w:cs="Times New Roman"/>
          <w:sz w:val="21"/>
          <w:szCs w:val="21"/>
        </w:rPr>
        <w:t>ня, завдяки впровадженню «</w:t>
      </w:r>
      <w:r w:rsidRPr="003728E5">
        <w:rPr>
          <w:rFonts w:ascii="Times New Roman" w:hAnsi="Times New Roman" w:cs="Times New Roman"/>
          <w:sz w:val="21"/>
          <w:szCs w:val="21"/>
        </w:rPr>
        <w:t>аналітичних блоків у рамках автоматизованих інформаційних систем</w:t>
      </w:r>
      <w:r>
        <w:rPr>
          <w:rFonts w:ascii="Times New Roman" w:hAnsi="Times New Roman" w:cs="Times New Roman"/>
          <w:sz w:val="21"/>
          <w:szCs w:val="21"/>
        </w:rPr>
        <w:t>» та «</w:t>
      </w:r>
      <w:r w:rsidRPr="003728E5">
        <w:rPr>
          <w:rFonts w:ascii="Times New Roman" w:hAnsi="Times New Roman" w:cs="Times New Roman"/>
          <w:sz w:val="21"/>
          <w:szCs w:val="21"/>
        </w:rPr>
        <w:t>включення в процес працевлаштуванн</w:t>
      </w:r>
      <w:r>
        <w:rPr>
          <w:rFonts w:ascii="Times New Roman" w:hAnsi="Times New Roman" w:cs="Times New Roman"/>
          <w:sz w:val="21"/>
          <w:szCs w:val="21"/>
        </w:rPr>
        <w:t>я віртуальних кадрових агентств»</w:t>
      </w:r>
      <w:r w:rsidRPr="003728E5">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_Ref433977456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102</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sidRPr="003728E5">
        <w:rPr>
          <w:rFonts w:ascii="Times New Roman" w:hAnsi="Times New Roman" w:cs="Times New Roman"/>
          <w:sz w:val="21"/>
          <w:szCs w:val="21"/>
        </w:rPr>
        <w:t xml:space="preserve"> піднесення активності в пошуку роботи безробітних, удосконалення технологічних засад сприяння працевлаштуванню громадян залежно від їх статі, віку, тривалості безробіття, професійно-кваліфікаційного рівня, особистих якостей тощо; наукове обґрунтування та здійснення заходів державної політики зайнятості населення та контролю за їх реалізацією; квотування робочих місць, організація і сприяння розширенню сфери докладання праці; запобігання масовим звільненням і зростанню безробіття. </w:t>
      </w:r>
    </w:p>
    <w:p w:rsidR="00B233DE" w:rsidRPr="003728E5" w:rsidRDefault="00B233DE" w:rsidP="00B233DE">
      <w:pPr>
        <w:ind w:firstLine="709"/>
        <w:jc w:val="both"/>
        <w:rPr>
          <w:rFonts w:ascii="Times New Roman" w:hAnsi="Times New Roman" w:cs="Times New Roman"/>
          <w:sz w:val="21"/>
          <w:szCs w:val="21"/>
        </w:rPr>
      </w:pPr>
      <w:r w:rsidRPr="003728E5">
        <w:rPr>
          <w:rFonts w:ascii="Times New Roman" w:hAnsi="Times New Roman" w:cs="Times New Roman"/>
          <w:sz w:val="21"/>
          <w:szCs w:val="21"/>
        </w:rPr>
        <w:t xml:space="preserve">Виходячи з пріоритетних національних інтересів і завдань соціально-економічної політики, фокусування розвитку інфраструктури ринку праці необхідно проводити в розрізі стратегічних орієнтирів, основними з яких є: регіональний, економічний, соціальний, демографічний, інформаційний, політичний, правовий, фінансовий, управлінський, інноваційний, організаційний. </w:t>
      </w:r>
    </w:p>
    <w:p w:rsidR="00B233DE" w:rsidRPr="003728E5" w:rsidRDefault="00B233DE" w:rsidP="00B233DE">
      <w:pPr>
        <w:ind w:firstLine="709"/>
        <w:jc w:val="both"/>
        <w:rPr>
          <w:rFonts w:ascii="Times New Roman" w:hAnsi="Times New Roman" w:cs="Times New Roman"/>
          <w:sz w:val="21"/>
          <w:szCs w:val="21"/>
        </w:rPr>
      </w:pPr>
      <w:r w:rsidRPr="003728E5">
        <w:rPr>
          <w:rFonts w:ascii="Times New Roman" w:hAnsi="Times New Roman" w:cs="Times New Roman"/>
          <w:sz w:val="21"/>
          <w:szCs w:val="21"/>
        </w:rPr>
        <w:lastRenderedPageBreak/>
        <w:t>Результатом проведення реформ в Україні, які пов’язані як з</w:t>
      </w:r>
      <w:r>
        <w:rPr>
          <w:rFonts w:ascii="Times New Roman" w:hAnsi="Times New Roman" w:cs="Times New Roman"/>
          <w:sz w:val="21"/>
          <w:szCs w:val="21"/>
        </w:rPr>
        <w:t xml:space="preserve"> інфраструктурним забезпеченням ринку праці,</w:t>
      </w:r>
      <w:r w:rsidRPr="003728E5">
        <w:rPr>
          <w:rFonts w:ascii="Times New Roman" w:hAnsi="Times New Roman" w:cs="Times New Roman"/>
          <w:sz w:val="21"/>
          <w:szCs w:val="21"/>
        </w:rPr>
        <w:t xml:space="preserve"> так і з інфраструктурою ринку має стати серйозний аналіз наслідків реформ, що проводились; фіксування керівних принципів для всіх ланок інфраструктури різних рівнів в поєднанні з конкретними графіками досягнення цілей, визначених на коротко-, середньо- та довгострокову перспективу; встановлення, де це потрібно, кількісних та якісних індикаторів; регулярний моніторинг, оцінка та експертний огляд, котрий організований</w:t>
      </w:r>
      <w:r>
        <w:rPr>
          <w:rFonts w:ascii="Times New Roman" w:hAnsi="Times New Roman" w:cs="Times New Roman"/>
          <w:sz w:val="21"/>
          <w:szCs w:val="21"/>
        </w:rPr>
        <w:t xml:space="preserve"> як процес взаємного навчання; </w:t>
      </w:r>
      <w:r w:rsidRPr="003728E5">
        <w:rPr>
          <w:rFonts w:ascii="Times New Roman" w:hAnsi="Times New Roman" w:cs="Times New Roman"/>
          <w:sz w:val="21"/>
          <w:szCs w:val="21"/>
        </w:rPr>
        <w:t>чітка звітність відповідальних осіб за реалізацію цілей інфраструктури ринку праці; послідовн</w:t>
      </w:r>
      <w:r>
        <w:rPr>
          <w:rFonts w:ascii="Times New Roman" w:hAnsi="Times New Roman" w:cs="Times New Roman"/>
          <w:sz w:val="21"/>
          <w:szCs w:val="21"/>
        </w:rPr>
        <w:t>ий поступ в напрямку входження «</w:t>
      </w:r>
      <w:r w:rsidRPr="003728E5">
        <w:rPr>
          <w:rFonts w:ascii="Times New Roman" w:hAnsi="Times New Roman" w:cs="Times New Roman"/>
          <w:sz w:val="21"/>
          <w:szCs w:val="21"/>
        </w:rPr>
        <w:t>до 30-ки країн в світі по розвитку людського капіталу</w:t>
      </w:r>
      <w:r>
        <w:rPr>
          <w:rFonts w:ascii="Times New Roman" w:hAnsi="Times New Roman" w:cs="Times New Roman"/>
          <w:sz w:val="21"/>
          <w:szCs w:val="21"/>
        </w:rPr>
        <w:t>»</w:t>
      </w:r>
      <w:r w:rsidRPr="003728E5">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_Ref433977468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86</w:t>
      </w:r>
      <w:r>
        <w:rPr>
          <w:rFonts w:ascii="Times New Roman" w:hAnsi="Times New Roman" w:cs="Times New Roman"/>
          <w:sz w:val="21"/>
          <w:szCs w:val="21"/>
          <w:highlight w:val="yellow"/>
        </w:rPr>
        <w:fldChar w:fldCharType="end"/>
      </w:r>
      <w:r w:rsidRPr="003728E5">
        <w:rPr>
          <w:rFonts w:ascii="Times New Roman" w:hAnsi="Times New Roman" w:cs="Times New Roman"/>
          <w:sz w:val="21"/>
          <w:szCs w:val="21"/>
        </w:rPr>
        <w:t>]; створення відлагодженого та інституціально закріпленого відповідними економічними і правовими нормами організаційно-економічного механізму регулювання і розвитку гнучкого РРП, який би максимально спр</w:t>
      </w:r>
      <w:r>
        <w:rPr>
          <w:rFonts w:ascii="Times New Roman" w:hAnsi="Times New Roman" w:cs="Times New Roman"/>
          <w:sz w:val="21"/>
          <w:szCs w:val="21"/>
        </w:rPr>
        <w:t>ияв досягненню рівності сторін «</w:t>
      </w:r>
      <w:r w:rsidRPr="003728E5">
        <w:rPr>
          <w:rFonts w:ascii="Times New Roman" w:hAnsi="Times New Roman" w:cs="Times New Roman"/>
          <w:sz w:val="21"/>
          <w:szCs w:val="21"/>
        </w:rPr>
        <w:t>працівник-роботодавець</w:t>
      </w:r>
      <w:r>
        <w:rPr>
          <w:rFonts w:ascii="Times New Roman" w:hAnsi="Times New Roman" w:cs="Times New Roman"/>
          <w:sz w:val="21"/>
          <w:szCs w:val="21"/>
        </w:rPr>
        <w:t>»</w:t>
      </w:r>
      <w:r w:rsidRPr="003728E5">
        <w:rPr>
          <w:rFonts w:ascii="Times New Roman" w:hAnsi="Times New Roman" w:cs="Times New Roman"/>
          <w:sz w:val="21"/>
          <w:szCs w:val="21"/>
        </w:rPr>
        <w:t xml:space="preserve"> та забезпечував умови для безперервного розвитку відповідних партнерських відносин; переорієнтація в діяльності держави з функцій роботодавця на функцію регулювання відносин у сфері оплати праці, тривалості робочого дня і тижня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_Ref433977475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29</w:t>
      </w:r>
      <w:r>
        <w:rPr>
          <w:rFonts w:ascii="Times New Roman" w:hAnsi="Times New Roman" w:cs="Times New Roman"/>
          <w:sz w:val="21"/>
          <w:szCs w:val="21"/>
          <w:highlight w:val="yellow"/>
        </w:rPr>
        <w:fldChar w:fldCharType="end"/>
      </w:r>
      <w:r w:rsidRPr="003728E5">
        <w:rPr>
          <w:rFonts w:ascii="Times New Roman" w:hAnsi="Times New Roman" w:cs="Times New Roman"/>
          <w:sz w:val="21"/>
          <w:szCs w:val="21"/>
        </w:rPr>
        <w:t xml:space="preserve">, с. 48]; підтримка підприємництва; економічної самодіяльності, соціальної творчості, гарантій забезпечення можливості праці за здібностями, соціального захисту, формування культури та позитивного ставлення до підприємництва та прийняття ризиків. </w:t>
      </w:r>
    </w:p>
    <w:p w:rsidR="00B233DE" w:rsidRDefault="00B233DE" w:rsidP="00B233DE">
      <w:pPr>
        <w:ind w:firstLine="709"/>
        <w:jc w:val="both"/>
        <w:rPr>
          <w:rFonts w:ascii="Times New Roman" w:hAnsi="Times New Roman" w:cs="Times New Roman"/>
          <w:sz w:val="21"/>
          <w:szCs w:val="21"/>
        </w:rPr>
      </w:pPr>
      <w:r w:rsidRPr="003728E5">
        <w:rPr>
          <w:rFonts w:ascii="Times New Roman" w:hAnsi="Times New Roman" w:cs="Times New Roman"/>
          <w:sz w:val="21"/>
          <w:szCs w:val="21"/>
        </w:rPr>
        <w:t>Отже, реальністю сьогодення є спотворена реалізація принципів та напрямів розвитку інфраструктури ринку праці. Сучасна інфраструктура ринку праці не повністю відповідає вимогам стратегічного розвитку країни, стандартам світового ринку праці, що, певним чином, гальмує входження України у світову спільноту. Підвищена увага до виконання функцій кожної складової може забезпечити реалізацію завдань інфраструктури ринку праці в цілому. Умовою ефективного функціонування ринку праці та миттєвого вирішення пріоритетів має стати забезпечення гармонійної взаємодії всіх ланок його інфраструктури в унісон з розвитк</w:t>
      </w:r>
      <w:r>
        <w:rPr>
          <w:rFonts w:ascii="Times New Roman" w:hAnsi="Times New Roman" w:cs="Times New Roman"/>
          <w:sz w:val="21"/>
          <w:szCs w:val="21"/>
        </w:rPr>
        <w:t>ом інфраструктури всього ринку.</w:t>
      </w:r>
    </w:p>
    <w:p w:rsidR="00B233DE" w:rsidRPr="003728E5" w:rsidRDefault="00B233DE" w:rsidP="00B233DE">
      <w:pPr>
        <w:ind w:firstLine="709"/>
        <w:jc w:val="both"/>
        <w:rPr>
          <w:rFonts w:ascii="Times New Roman" w:hAnsi="Times New Roman" w:cs="Times New Roman"/>
          <w:sz w:val="21"/>
          <w:szCs w:val="21"/>
        </w:rPr>
      </w:pPr>
      <w:r w:rsidRPr="003728E5">
        <w:rPr>
          <w:rFonts w:ascii="Times New Roman" w:hAnsi="Times New Roman" w:cs="Times New Roman"/>
          <w:sz w:val="21"/>
          <w:szCs w:val="21"/>
        </w:rPr>
        <w:t xml:space="preserve">Разом з тим, підписання </w:t>
      </w:r>
      <w:hyperlink r:id="rId38" w:tgtFrame="_top" w:history="1">
        <w:r w:rsidRPr="00740409">
          <w:rPr>
            <w:rStyle w:val="aff"/>
            <w:rFonts w:ascii="Times New Roman" w:hAnsi="Times New Roman" w:cs="Times New Roman"/>
            <w:color w:val="auto"/>
            <w:sz w:val="21"/>
            <w:szCs w:val="21"/>
            <w:u w:val="none"/>
          </w:rPr>
          <w:t>Угоди про асоціацію між Україною та Європейським Союзом</w:t>
        </w:r>
      </w:hyperlink>
      <w:r w:rsidRPr="00740409">
        <w:rPr>
          <w:rFonts w:ascii="Times New Roman" w:hAnsi="Times New Roman" w:cs="Times New Roman"/>
          <w:sz w:val="21"/>
          <w:szCs w:val="21"/>
        </w:rPr>
        <w:t>, обрання нового вектору розвитку «Україна – 2020» та продовж</w:t>
      </w:r>
      <w:r w:rsidRPr="003728E5">
        <w:rPr>
          <w:rFonts w:ascii="Times New Roman" w:hAnsi="Times New Roman" w:cs="Times New Roman"/>
          <w:sz w:val="21"/>
          <w:szCs w:val="21"/>
        </w:rPr>
        <w:t xml:space="preserve">ення попередніх реформ «в </w:t>
      </w:r>
      <w:r w:rsidRPr="003728E5">
        <w:rPr>
          <w:rFonts w:ascii="Times New Roman" w:hAnsi="Times New Roman" w:cs="Times New Roman"/>
          <w:sz w:val="21"/>
          <w:szCs w:val="21"/>
        </w:rPr>
        <w:lastRenderedPageBreak/>
        <w:t>контексті формування конкурентоспроможної економіки»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_Ref433977481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100</w:t>
      </w:r>
      <w:r>
        <w:rPr>
          <w:rFonts w:ascii="Times New Roman" w:hAnsi="Times New Roman" w:cs="Times New Roman"/>
          <w:sz w:val="21"/>
          <w:szCs w:val="21"/>
          <w:highlight w:val="yellow"/>
        </w:rPr>
        <w:fldChar w:fldCharType="end"/>
      </w:r>
      <w:r w:rsidRPr="003728E5">
        <w:rPr>
          <w:rFonts w:ascii="Times New Roman" w:hAnsi="Times New Roman" w:cs="Times New Roman"/>
          <w:sz w:val="21"/>
          <w:szCs w:val="21"/>
        </w:rPr>
        <w:t xml:space="preserve">], які були проголошені раніше, однак успішно реалізувати не вдалось, Україна отримала інструмент та дороговказ на шляху економічного прориву та побудові сильної продуктивної економіки з передовими </w:t>
      </w:r>
      <w:r>
        <w:rPr>
          <w:rFonts w:ascii="Times New Roman" w:hAnsi="Times New Roman" w:cs="Times New Roman"/>
          <w:sz w:val="21"/>
          <w:szCs w:val="21"/>
        </w:rPr>
        <w:t xml:space="preserve">інноваціями, </w:t>
      </w:r>
      <w:r w:rsidRPr="003728E5">
        <w:rPr>
          <w:rFonts w:ascii="Times New Roman" w:hAnsi="Times New Roman" w:cs="Times New Roman"/>
          <w:sz w:val="21"/>
          <w:szCs w:val="21"/>
        </w:rPr>
        <w:t xml:space="preserve">збільшенні ВВП та досягненні європейських стандартів життя населення. Проте, вплив світової фінансово-економічної кризи, анексія АРК, воєнні дії на сході України, посилення внутрішньої міграції населення та призупинення роботи деяких підприємств – перетворилися на серйозні фактори впливу на функціонування вітчизняного ринку праці та його інфраструктури. </w:t>
      </w:r>
    </w:p>
    <w:p w:rsidR="00B233DE" w:rsidRPr="003728E5" w:rsidRDefault="00B233DE" w:rsidP="00B233DE">
      <w:pPr>
        <w:ind w:firstLine="709"/>
        <w:jc w:val="both"/>
        <w:rPr>
          <w:rFonts w:ascii="Times New Roman" w:hAnsi="Times New Roman" w:cs="Times New Roman"/>
          <w:sz w:val="21"/>
          <w:szCs w:val="21"/>
        </w:rPr>
      </w:pPr>
      <w:r w:rsidRPr="003728E5">
        <w:rPr>
          <w:rFonts w:ascii="Times New Roman" w:hAnsi="Times New Roman" w:cs="Times New Roman"/>
          <w:sz w:val="21"/>
          <w:szCs w:val="21"/>
        </w:rPr>
        <w:t>Вчені вважають, що сучасний стан керованості процесів на ринку праці та зайнятості, збереження таких негативних тенденцій, як високий рівень неформальної зайнятості, нелегальної трудової міграції, а також недоліки у працевлаштуванні незайнятих громадян державною службою зайнятості, свідчать про те, що в Україні ще не існує ефективного механізму державного управління зайнятістю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_Ref433977486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98</w:t>
      </w:r>
      <w:r>
        <w:rPr>
          <w:rFonts w:ascii="Times New Roman" w:hAnsi="Times New Roman" w:cs="Times New Roman"/>
          <w:sz w:val="21"/>
          <w:szCs w:val="21"/>
          <w:highlight w:val="yellow"/>
        </w:rPr>
        <w:fldChar w:fldCharType="end"/>
      </w:r>
      <w:r w:rsidRPr="003728E5">
        <w:rPr>
          <w:rFonts w:ascii="Times New Roman" w:hAnsi="Times New Roman" w:cs="Times New Roman"/>
          <w:sz w:val="21"/>
          <w:szCs w:val="21"/>
        </w:rPr>
        <w:t>, с. 138]. Відповід</w:t>
      </w:r>
      <w:r>
        <w:rPr>
          <w:rFonts w:ascii="Times New Roman" w:hAnsi="Times New Roman" w:cs="Times New Roman"/>
          <w:sz w:val="21"/>
          <w:szCs w:val="21"/>
        </w:rPr>
        <w:t xml:space="preserve">но цього, загострюється криза </w:t>
      </w:r>
      <w:r w:rsidRPr="003728E5">
        <w:rPr>
          <w:rFonts w:ascii="Times New Roman" w:hAnsi="Times New Roman" w:cs="Times New Roman"/>
          <w:sz w:val="21"/>
          <w:szCs w:val="21"/>
        </w:rPr>
        <w:t xml:space="preserve">зайнятості, робоча сила та інтелектуальний потенціал використовуються неефективно, що знижує продуктивність праці, посилює соціальне відторгнення безробітних, тим самим збільшуючи втрати людського потенціалу в регіонах України. </w:t>
      </w:r>
    </w:p>
    <w:p w:rsidR="00B233DE" w:rsidRPr="003728E5" w:rsidRDefault="00B233DE" w:rsidP="00B233DE">
      <w:pPr>
        <w:ind w:firstLine="709"/>
        <w:jc w:val="both"/>
        <w:rPr>
          <w:rFonts w:ascii="Times New Roman" w:hAnsi="Times New Roman" w:cs="Times New Roman"/>
          <w:sz w:val="21"/>
          <w:szCs w:val="21"/>
        </w:rPr>
      </w:pPr>
      <w:r w:rsidRPr="003728E5">
        <w:rPr>
          <w:rFonts w:ascii="Times New Roman" w:hAnsi="Times New Roman" w:cs="Times New Roman"/>
          <w:sz w:val="21"/>
          <w:szCs w:val="21"/>
        </w:rPr>
        <w:t>Безперечною умовою ефективного функціонування та розвитку ринку праці є його розвинена інфраструктура. У зв’язку з цим виникає необхідність ініціювання інституціональних змін у системі інфраструктури ринку праці,</w:t>
      </w:r>
      <w:r w:rsidRPr="003728E5">
        <w:rPr>
          <w:rFonts w:ascii="Times New Roman" w:hAnsi="Times New Roman" w:cs="Times New Roman"/>
          <w:color w:val="FF0000"/>
          <w:sz w:val="21"/>
          <w:szCs w:val="21"/>
        </w:rPr>
        <w:t xml:space="preserve"> </w:t>
      </w:r>
      <w:r w:rsidRPr="003728E5">
        <w:rPr>
          <w:rFonts w:ascii="Times New Roman" w:hAnsi="Times New Roman" w:cs="Times New Roman"/>
          <w:sz w:val="21"/>
          <w:szCs w:val="21"/>
        </w:rPr>
        <w:t xml:space="preserve">пошуку напрямів її удосконалення з урахуванням зовнішніх та внутрішніх чинників. </w:t>
      </w:r>
    </w:p>
    <w:p w:rsidR="00B233DE" w:rsidRPr="003728E5" w:rsidRDefault="00B233DE" w:rsidP="00B233DE">
      <w:pPr>
        <w:ind w:firstLine="709"/>
        <w:jc w:val="both"/>
        <w:rPr>
          <w:rFonts w:ascii="Times New Roman" w:hAnsi="Times New Roman" w:cs="Times New Roman"/>
          <w:sz w:val="21"/>
          <w:szCs w:val="21"/>
        </w:rPr>
      </w:pPr>
      <w:r w:rsidRPr="003728E5">
        <w:rPr>
          <w:rFonts w:ascii="Times New Roman" w:hAnsi="Times New Roman" w:cs="Times New Roman"/>
          <w:sz w:val="21"/>
          <w:szCs w:val="21"/>
        </w:rPr>
        <w:t>Дослідження підтверджують, що немає єдиного поняття до розуміння інфраструктури ринку праці. За сучасних умов впливу євроінтеграційних пр</w:t>
      </w:r>
      <w:r>
        <w:rPr>
          <w:rFonts w:ascii="Times New Roman" w:hAnsi="Times New Roman" w:cs="Times New Roman"/>
          <w:sz w:val="21"/>
          <w:szCs w:val="21"/>
        </w:rPr>
        <w:t>оцесів на</w:t>
      </w:r>
      <w:r w:rsidRPr="003728E5">
        <w:rPr>
          <w:rFonts w:ascii="Times New Roman" w:hAnsi="Times New Roman" w:cs="Times New Roman"/>
          <w:sz w:val="21"/>
          <w:szCs w:val="21"/>
        </w:rPr>
        <w:t xml:space="preserve"> функціонування і розвиток вітчизняного та регіонального ринків праці, інфраструктура регіонального ринку праці – це динамічно відкрита система елементів (державних і недержавних закладів сприяння зайнятості, кадрових служб підприємств і фірм, громадських організацій і фондів, європейських і міжнародних інститутів тощо) та комплекс вітчизняних, європейських та міжнародних нормативно-правових актів, що спільними цілеспрямованими дія</w:t>
      </w:r>
      <w:r>
        <w:rPr>
          <w:rFonts w:ascii="Times New Roman" w:hAnsi="Times New Roman" w:cs="Times New Roman"/>
          <w:sz w:val="21"/>
          <w:szCs w:val="21"/>
        </w:rPr>
        <w:t xml:space="preserve">ми загальнодержавного масштабу </w:t>
      </w:r>
      <w:r w:rsidRPr="003728E5">
        <w:rPr>
          <w:rFonts w:ascii="Times New Roman" w:hAnsi="Times New Roman" w:cs="Times New Roman"/>
          <w:sz w:val="21"/>
          <w:szCs w:val="21"/>
        </w:rPr>
        <w:t xml:space="preserve">регулює питання між роботодавцем і працівником з приводу ціни робочої сили, умов праці, підготовки і перепідготовки </w:t>
      </w:r>
      <w:r w:rsidRPr="003728E5">
        <w:rPr>
          <w:rFonts w:ascii="Times New Roman" w:hAnsi="Times New Roman" w:cs="Times New Roman"/>
          <w:sz w:val="21"/>
          <w:szCs w:val="21"/>
        </w:rPr>
        <w:lastRenderedPageBreak/>
        <w:t xml:space="preserve">працівників, а також організації і сприяння процесів захисту прав найманих працівників і роботодавців на ринку праці, використовуючи різні організаційні методи й форми з метою ефективного функціонування ринку праці, забезпечує продуктивну </w:t>
      </w:r>
      <w:r>
        <w:rPr>
          <w:rFonts w:ascii="Times New Roman" w:hAnsi="Times New Roman" w:cs="Times New Roman"/>
          <w:sz w:val="21"/>
          <w:szCs w:val="21"/>
        </w:rPr>
        <w:t>зайнятість</w:t>
      </w:r>
      <w:r w:rsidRPr="003728E5">
        <w:rPr>
          <w:rFonts w:ascii="Times New Roman" w:hAnsi="Times New Roman" w:cs="Times New Roman"/>
          <w:sz w:val="21"/>
          <w:szCs w:val="21"/>
        </w:rPr>
        <w:t xml:space="preserve"> населення й соціальний захист, які є основними критеріями його якісної характеристики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_Ref433977495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45</w:t>
      </w:r>
      <w:r>
        <w:rPr>
          <w:rFonts w:ascii="Times New Roman" w:hAnsi="Times New Roman" w:cs="Times New Roman"/>
          <w:sz w:val="21"/>
          <w:szCs w:val="21"/>
          <w:highlight w:val="yellow"/>
        </w:rPr>
        <w:fldChar w:fldCharType="end"/>
      </w:r>
      <w:r w:rsidRPr="003728E5">
        <w:rPr>
          <w:rFonts w:ascii="Times New Roman" w:hAnsi="Times New Roman" w:cs="Times New Roman"/>
          <w:sz w:val="21"/>
          <w:szCs w:val="21"/>
        </w:rPr>
        <w:t>, с. 50</w:t>
      </w:r>
      <w:r>
        <w:rPr>
          <w:rFonts w:ascii="Times New Roman" w:hAnsi="Times New Roman" w:cs="Times New Roman"/>
          <w:sz w:val="21"/>
          <w:szCs w:val="21"/>
        </w:rPr>
        <w:t>–</w:t>
      </w:r>
      <w:r w:rsidRPr="003728E5">
        <w:rPr>
          <w:rFonts w:ascii="Times New Roman" w:hAnsi="Times New Roman" w:cs="Times New Roman"/>
          <w:sz w:val="21"/>
          <w:szCs w:val="21"/>
        </w:rPr>
        <w:t xml:space="preserve">51]. </w:t>
      </w:r>
    </w:p>
    <w:p w:rsidR="00B233DE" w:rsidRPr="003728E5" w:rsidRDefault="00B233DE" w:rsidP="00B233DE">
      <w:pPr>
        <w:ind w:firstLine="709"/>
        <w:jc w:val="both"/>
        <w:rPr>
          <w:rFonts w:ascii="Times New Roman" w:hAnsi="Times New Roman" w:cs="Times New Roman"/>
          <w:sz w:val="21"/>
          <w:szCs w:val="21"/>
        </w:rPr>
      </w:pPr>
      <w:r w:rsidRPr="003728E5">
        <w:rPr>
          <w:rFonts w:ascii="Times New Roman" w:hAnsi="Times New Roman" w:cs="Times New Roman"/>
          <w:sz w:val="21"/>
          <w:szCs w:val="21"/>
        </w:rPr>
        <w:t>Оцінюючи стан сучасного ринку праці України, у тому числі й Хмельницької області, слід відмітити тенденцію до збільшення обсягу безробітних, що обумовлене дисгармонією пропозиції робочої сили в порівнянні з попитом на неї, а отже, підтверджує неврівноважений характер даного ринку. Так, кількість зареєстрованих безробітних в Україні станом на 1 квітня 2015 року становила 506,8 тис. осіб (станом на 1 квітня 2014 р. – 492,3 тис. осіб), з них отримували допомогу по безробіттю 402,5 тис. осіб. Рівень безробіття по Україні у І кварталі 2015 року сягнув – 9,6%, в Хмельницькій області – 11,3%, в Вінницькій області – 10,6%, в Тернопільській області – 12,4 %. Найвищий рівень безробіття простежувався в Луганській – 15,3% та Донецькій областях – 14,4%. Найбільша кількість зареєстрованих безробітних сконцентрована у Дніпропетровській, Полтавській, Запорізькій та Харківській областях, а найменша – у Луганській, Чернівецькій та Закарпатській областях. У загальній кількості зареєстрованих безробітних чоловіки становили 41,5%, жінки – 58,5%. Серед регіонів, питома вага жінок коливалась від 51,3% у Вінницькій області до 70,3% у Закарпатській області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_Ref433976999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76</w:t>
      </w:r>
      <w:r>
        <w:rPr>
          <w:rFonts w:ascii="Times New Roman" w:hAnsi="Times New Roman" w:cs="Times New Roman"/>
          <w:sz w:val="21"/>
          <w:szCs w:val="21"/>
          <w:highlight w:val="yellow"/>
        </w:rPr>
        <w:fldChar w:fldCharType="end"/>
      </w:r>
      <w:r w:rsidRPr="003728E5">
        <w:rPr>
          <w:rFonts w:ascii="Times New Roman" w:hAnsi="Times New Roman" w:cs="Times New Roman"/>
          <w:sz w:val="21"/>
          <w:szCs w:val="21"/>
        </w:rPr>
        <w:t>].</w:t>
      </w:r>
    </w:p>
    <w:p w:rsidR="00B233DE" w:rsidRPr="003728E5" w:rsidRDefault="00B233DE" w:rsidP="00B233DE">
      <w:pPr>
        <w:pStyle w:val="Default"/>
        <w:ind w:firstLine="709"/>
        <w:jc w:val="both"/>
        <w:rPr>
          <w:color w:val="auto"/>
          <w:sz w:val="21"/>
          <w:szCs w:val="21"/>
          <w:lang w:val="uk-UA"/>
        </w:rPr>
      </w:pPr>
      <w:r w:rsidRPr="003728E5">
        <w:rPr>
          <w:color w:val="auto"/>
          <w:sz w:val="21"/>
          <w:szCs w:val="21"/>
        </w:rPr>
        <w:t>В цілому по Україні серед зареєстрованих безробітних 40</w:t>
      </w:r>
      <w:r>
        <w:rPr>
          <w:color w:val="auto"/>
          <w:sz w:val="21"/>
          <w:szCs w:val="21"/>
          <w:lang w:val="uk-UA"/>
        </w:rPr>
        <w:t xml:space="preserve"> </w:t>
      </w:r>
      <w:r w:rsidRPr="003728E5">
        <w:rPr>
          <w:color w:val="auto"/>
          <w:sz w:val="21"/>
          <w:szCs w:val="21"/>
        </w:rPr>
        <w:t>% становлять мешканці сільської місцевості</w:t>
      </w:r>
      <w:r w:rsidRPr="003728E5">
        <w:rPr>
          <w:color w:val="auto"/>
          <w:sz w:val="21"/>
          <w:szCs w:val="21"/>
          <w:lang w:val="uk-UA"/>
        </w:rPr>
        <w:t>. Серед зареєстрованих безробітних кожен чет</w:t>
      </w:r>
      <w:r>
        <w:rPr>
          <w:color w:val="auto"/>
          <w:sz w:val="21"/>
          <w:szCs w:val="21"/>
          <w:lang w:val="uk-UA"/>
        </w:rPr>
        <w:t>вертий мав вищу освіту, кожен п’</w:t>
      </w:r>
      <w:r w:rsidRPr="003728E5">
        <w:rPr>
          <w:color w:val="auto"/>
          <w:sz w:val="21"/>
          <w:szCs w:val="21"/>
          <w:lang w:val="uk-UA"/>
        </w:rPr>
        <w:t>ятий – базову та неповну вищу освіту, третина осіб закінчили професійно-технічні навчальні заклади, середню освіту мали 20</w:t>
      </w:r>
      <w:r>
        <w:rPr>
          <w:color w:val="auto"/>
          <w:sz w:val="21"/>
          <w:szCs w:val="21"/>
          <w:lang w:val="uk-UA"/>
        </w:rPr>
        <w:t xml:space="preserve"> </w:t>
      </w:r>
      <w:r w:rsidRPr="003728E5">
        <w:rPr>
          <w:color w:val="auto"/>
          <w:sz w:val="21"/>
          <w:szCs w:val="21"/>
          <w:lang w:val="uk-UA"/>
        </w:rPr>
        <w:t>% шукачів роботи. Порівняно з попередніми роками, збільшилась питома вага осіб з вищою освітою та зменшилась питома вага осіб з повною, а також базовою загальною середньою освітою.</w:t>
      </w:r>
    </w:p>
    <w:p w:rsidR="00B233DE" w:rsidRPr="003728E5" w:rsidRDefault="00B233DE" w:rsidP="00B233DE">
      <w:pPr>
        <w:pStyle w:val="Default"/>
        <w:ind w:firstLine="709"/>
        <w:jc w:val="both"/>
        <w:rPr>
          <w:color w:val="auto"/>
          <w:sz w:val="21"/>
          <w:szCs w:val="21"/>
          <w:lang w:val="uk-UA"/>
        </w:rPr>
      </w:pPr>
      <w:r w:rsidRPr="003728E5">
        <w:rPr>
          <w:color w:val="auto"/>
          <w:sz w:val="21"/>
          <w:szCs w:val="21"/>
        </w:rPr>
        <w:t>Станом на 1 квітня 2015 року на одну вакансію в середньому по Україні претендувало 9 безробітних (станом на 1 квітня 2014 року – 8 осіб). Найбільше претендентів на одне вільне робоче місце спостерігалось у фінансовій та страховій діяльності (29 осіб), в інформації та телекомунікації (25 осіб), а найменше – у мистецтві, спорті, розвагах та в</w:t>
      </w:r>
      <w:r>
        <w:rPr>
          <w:color w:val="auto"/>
          <w:sz w:val="21"/>
          <w:szCs w:val="21"/>
        </w:rPr>
        <w:t>ідпочинку; сфері охорони здоров</w:t>
      </w:r>
      <w:r>
        <w:rPr>
          <w:color w:val="auto"/>
          <w:sz w:val="21"/>
          <w:szCs w:val="21"/>
          <w:lang w:val="uk-UA"/>
        </w:rPr>
        <w:t>’</w:t>
      </w:r>
      <w:r w:rsidRPr="003728E5">
        <w:rPr>
          <w:color w:val="auto"/>
          <w:sz w:val="21"/>
          <w:szCs w:val="21"/>
        </w:rPr>
        <w:t xml:space="preserve">я; </w:t>
      </w:r>
      <w:r w:rsidRPr="003728E5">
        <w:rPr>
          <w:color w:val="auto"/>
          <w:sz w:val="21"/>
          <w:szCs w:val="21"/>
        </w:rPr>
        <w:lastRenderedPageBreak/>
        <w:t>на транспорті, складськом</w:t>
      </w:r>
      <w:r>
        <w:rPr>
          <w:color w:val="auto"/>
          <w:sz w:val="21"/>
          <w:szCs w:val="21"/>
        </w:rPr>
        <w:t>у господарстві, поштовій та кур</w:t>
      </w:r>
      <w:r>
        <w:rPr>
          <w:color w:val="auto"/>
          <w:sz w:val="21"/>
          <w:szCs w:val="21"/>
          <w:lang w:val="uk-UA"/>
        </w:rPr>
        <w:t>’</w:t>
      </w:r>
      <w:r w:rsidRPr="003728E5">
        <w:rPr>
          <w:color w:val="auto"/>
          <w:sz w:val="21"/>
          <w:szCs w:val="21"/>
        </w:rPr>
        <w:t>єрській діяльності (по 4 особи), в освіті (5 осіб).</w:t>
      </w:r>
    </w:p>
    <w:p w:rsidR="00B233DE" w:rsidRPr="003728E5" w:rsidRDefault="00B233DE" w:rsidP="00B233DE">
      <w:pPr>
        <w:ind w:firstLine="709"/>
        <w:jc w:val="both"/>
        <w:rPr>
          <w:rFonts w:ascii="Times New Roman" w:hAnsi="Times New Roman" w:cs="Times New Roman"/>
          <w:sz w:val="21"/>
          <w:szCs w:val="21"/>
        </w:rPr>
      </w:pPr>
      <w:r w:rsidRPr="003728E5">
        <w:rPr>
          <w:rFonts w:ascii="Times New Roman" w:hAnsi="Times New Roman" w:cs="Times New Roman"/>
          <w:sz w:val="21"/>
          <w:szCs w:val="21"/>
        </w:rPr>
        <w:t>Україна протягом 2014 року зіткнулася з ризиками, до яких держава та органи влади не були готові. «У мирний час, – як наголошував Міністр соціальної політики України, – ми не сподівалися, що будемо мати справу з майже мільйоном внутрішньо переміщених осіб, які в середині країни будуть шукати соціальний захист, житло, роботу тощо»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_Ref433977512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w:t>
      </w:r>
      <w:r>
        <w:rPr>
          <w:rFonts w:ascii="Times New Roman" w:hAnsi="Times New Roman" w:cs="Times New Roman"/>
          <w:sz w:val="21"/>
          <w:szCs w:val="21"/>
          <w:highlight w:val="yellow"/>
        </w:rPr>
        <w:fldChar w:fldCharType="end"/>
      </w:r>
      <w:r w:rsidRPr="003728E5">
        <w:rPr>
          <w:rFonts w:ascii="Times New Roman" w:hAnsi="Times New Roman" w:cs="Times New Roman"/>
          <w:sz w:val="21"/>
          <w:szCs w:val="21"/>
        </w:rPr>
        <w:t xml:space="preserve">, с. 3]. </w:t>
      </w:r>
    </w:p>
    <w:p w:rsidR="00B233DE" w:rsidRPr="003728E5" w:rsidRDefault="00B233DE" w:rsidP="00B233DE">
      <w:pPr>
        <w:ind w:firstLine="709"/>
        <w:jc w:val="both"/>
        <w:rPr>
          <w:rFonts w:ascii="Times New Roman" w:hAnsi="Times New Roman" w:cs="Times New Roman"/>
          <w:sz w:val="21"/>
          <w:szCs w:val="21"/>
        </w:rPr>
      </w:pPr>
      <w:r w:rsidRPr="003728E5">
        <w:rPr>
          <w:rFonts w:ascii="Times New Roman" w:hAnsi="Times New Roman" w:cs="Times New Roman"/>
          <w:sz w:val="21"/>
          <w:szCs w:val="21"/>
        </w:rPr>
        <w:t>Станом на 17 серпня 2015 року, за даними структурних підрозділів соціального захисту населення обласних та Київської міської державни</w:t>
      </w:r>
      <w:r>
        <w:rPr>
          <w:rFonts w:ascii="Times New Roman" w:hAnsi="Times New Roman" w:cs="Times New Roman"/>
          <w:sz w:val="21"/>
          <w:szCs w:val="21"/>
        </w:rPr>
        <w:t xml:space="preserve">х адміністрацій, взято на облік 1 437 967 </w:t>
      </w:r>
      <w:r w:rsidRPr="003728E5">
        <w:rPr>
          <w:rFonts w:ascii="Times New Roman" w:hAnsi="Times New Roman" w:cs="Times New Roman"/>
          <w:sz w:val="21"/>
          <w:szCs w:val="21"/>
        </w:rPr>
        <w:t>п</w:t>
      </w:r>
      <w:r>
        <w:rPr>
          <w:rFonts w:ascii="Times New Roman" w:hAnsi="Times New Roman" w:cs="Times New Roman"/>
          <w:sz w:val="21"/>
          <w:szCs w:val="21"/>
        </w:rPr>
        <w:t xml:space="preserve">ереселенців або 1 126 </w:t>
      </w:r>
      <w:r w:rsidRPr="003728E5">
        <w:rPr>
          <w:rFonts w:ascii="Times New Roman" w:hAnsi="Times New Roman" w:cs="Times New Roman"/>
          <w:sz w:val="21"/>
          <w:szCs w:val="21"/>
        </w:rPr>
        <w:t>5</w:t>
      </w:r>
      <w:r>
        <w:rPr>
          <w:rFonts w:ascii="Times New Roman" w:hAnsi="Times New Roman" w:cs="Times New Roman"/>
          <w:sz w:val="21"/>
          <w:szCs w:val="21"/>
        </w:rPr>
        <w:t xml:space="preserve">08 родин з Донбасу і Криму. 482 </w:t>
      </w:r>
      <w:r w:rsidRPr="003728E5">
        <w:rPr>
          <w:rFonts w:ascii="Times New Roman" w:hAnsi="Times New Roman" w:cs="Times New Roman"/>
          <w:sz w:val="21"/>
          <w:szCs w:val="21"/>
        </w:rPr>
        <w:t>611 сімей звернулися за призначенням грошової допомоги, 455 566 з них так</w:t>
      </w:r>
      <w:r>
        <w:rPr>
          <w:rFonts w:ascii="Times New Roman" w:hAnsi="Times New Roman" w:cs="Times New Roman"/>
          <w:sz w:val="21"/>
          <w:szCs w:val="21"/>
        </w:rPr>
        <w:t xml:space="preserve">у допомогу призначено. Всього ж отримувачам перераховано 1,9 млрд </w:t>
      </w:r>
      <w:r w:rsidRPr="003728E5">
        <w:rPr>
          <w:rFonts w:ascii="Times New Roman" w:hAnsi="Times New Roman" w:cs="Times New Roman"/>
          <w:sz w:val="21"/>
          <w:szCs w:val="21"/>
        </w:rPr>
        <w:t>гривень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_Ref433976999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76</w:t>
      </w:r>
      <w:r>
        <w:rPr>
          <w:rFonts w:ascii="Times New Roman" w:hAnsi="Times New Roman" w:cs="Times New Roman"/>
          <w:sz w:val="21"/>
          <w:szCs w:val="21"/>
          <w:highlight w:val="yellow"/>
        </w:rPr>
        <w:fldChar w:fldCharType="end"/>
      </w:r>
      <w:r w:rsidRPr="003728E5">
        <w:rPr>
          <w:rFonts w:ascii="Times New Roman" w:hAnsi="Times New Roman" w:cs="Times New Roman"/>
          <w:sz w:val="21"/>
          <w:szCs w:val="21"/>
        </w:rPr>
        <w:t xml:space="preserve">]. «Відповідно до звернень громадян, – як стверджує Міністр </w:t>
      </w:r>
      <w:r>
        <w:rPr>
          <w:rFonts w:ascii="Times New Roman" w:hAnsi="Times New Roman" w:cs="Times New Roman"/>
          <w:bCs/>
          <w:color w:val="000000"/>
          <w:sz w:val="21"/>
          <w:szCs w:val="21"/>
        </w:rPr>
        <w:t>Мінсоцполітики</w:t>
      </w:r>
      <w:r w:rsidRPr="003728E5">
        <w:rPr>
          <w:rFonts w:ascii="Times New Roman" w:hAnsi="Times New Roman" w:cs="Times New Roman"/>
          <w:bCs/>
          <w:color w:val="000000"/>
          <w:sz w:val="21"/>
          <w:szCs w:val="21"/>
        </w:rPr>
        <w:t xml:space="preserve"> України</w:t>
      </w:r>
      <w:r w:rsidRPr="003728E5">
        <w:rPr>
          <w:rFonts w:ascii="Times New Roman" w:hAnsi="Times New Roman" w:cs="Times New Roman"/>
          <w:sz w:val="21"/>
          <w:szCs w:val="21"/>
        </w:rPr>
        <w:t>, робота Державної служби зайнятості є незадовільною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_Ref433977512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w:t>
      </w:r>
      <w:r>
        <w:rPr>
          <w:rFonts w:ascii="Times New Roman" w:hAnsi="Times New Roman" w:cs="Times New Roman"/>
          <w:sz w:val="21"/>
          <w:szCs w:val="21"/>
          <w:highlight w:val="yellow"/>
        </w:rPr>
        <w:fldChar w:fldCharType="end"/>
      </w:r>
      <w:r w:rsidRPr="003728E5">
        <w:rPr>
          <w:rFonts w:ascii="Times New Roman" w:hAnsi="Times New Roman" w:cs="Times New Roman"/>
          <w:sz w:val="21"/>
          <w:szCs w:val="21"/>
        </w:rPr>
        <w:t xml:space="preserve">, с. 3]. </w:t>
      </w:r>
    </w:p>
    <w:p w:rsidR="00B233DE" w:rsidRPr="003728E5" w:rsidRDefault="00B233DE" w:rsidP="00B233DE">
      <w:pPr>
        <w:ind w:firstLine="709"/>
        <w:jc w:val="both"/>
        <w:rPr>
          <w:rFonts w:ascii="Times New Roman" w:hAnsi="Times New Roman" w:cs="Times New Roman"/>
          <w:sz w:val="21"/>
          <w:szCs w:val="21"/>
        </w:rPr>
      </w:pPr>
      <w:r w:rsidRPr="003728E5">
        <w:rPr>
          <w:rFonts w:ascii="Times New Roman" w:hAnsi="Times New Roman" w:cs="Times New Roman"/>
          <w:sz w:val="21"/>
          <w:szCs w:val="21"/>
        </w:rPr>
        <w:t xml:space="preserve">Враховуючи основні принципи формування та розвитку системи інфраструктури регіональних ринків праці, таких як: </w:t>
      </w:r>
      <w:r w:rsidRPr="003728E5">
        <w:rPr>
          <w:rFonts w:ascii="Times New Roman" w:hAnsi="Times New Roman" w:cs="Times New Roman"/>
          <w:color w:val="000000"/>
          <w:sz w:val="21"/>
          <w:szCs w:val="21"/>
        </w:rPr>
        <w:t xml:space="preserve">пріоритетності забезпечення повної, продуктивної та вільно обраної зайнятості в процесі реалізації активної соціально-економічної політики держави; </w:t>
      </w:r>
      <w:r w:rsidRPr="003728E5">
        <w:rPr>
          <w:rFonts w:ascii="Times New Roman" w:hAnsi="Times New Roman" w:cs="Times New Roman"/>
          <w:sz w:val="21"/>
          <w:szCs w:val="21"/>
        </w:rPr>
        <w:t>випереджуючого діалектичного розвитку інфраструктури ринку праці в порівнянні з інфраструктурою інших ринків; узгодженості дій різних елементів інфраструктури ринку праці; прогресивної модернізаційної спрямованості розвитку, як рухливості до удосконалення інфраструкту</w:t>
      </w:r>
      <w:r>
        <w:rPr>
          <w:rFonts w:ascii="Times New Roman" w:hAnsi="Times New Roman" w:cs="Times New Roman"/>
          <w:sz w:val="21"/>
          <w:szCs w:val="21"/>
        </w:rPr>
        <w:t>ри ринку праці з метою її відпо</w:t>
      </w:r>
      <w:r w:rsidRPr="003728E5">
        <w:rPr>
          <w:rFonts w:ascii="Times New Roman" w:hAnsi="Times New Roman" w:cs="Times New Roman"/>
          <w:sz w:val="21"/>
          <w:szCs w:val="21"/>
        </w:rPr>
        <w:t xml:space="preserve">відності сучасним та майбутнім ринковим процесам та світовим тенденціям, </w:t>
      </w:r>
      <w:r w:rsidRPr="003728E5">
        <w:rPr>
          <w:rFonts w:ascii="Times New Roman" w:hAnsi="Times New Roman" w:cs="Times New Roman"/>
          <w:color w:val="000000"/>
          <w:sz w:val="21"/>
          <w:szCs w:val="21"/>
        </w:rPr>
        <w:t xml:space="preserve">забезпеченню рівних можливостей населення у реалізації конституційного права на працю; адаптивності, тобто швидкому реагуванню на зміни оточуючого середовища та відповідність очікуванню суспільства; сприяння ефективному використанню трудового потенціалу та забезпечення соціального захисту населення від безробіття </w:t>
      </w:r>
      <w:r w:rsidRPr="003728E5">
        <w:rPr>
          <w:rFonts w:ascii="Times New Roman" w:hAnsi="Times New Roman" w:cs="Times New Roman"/>
          <w:sz w:val="21"/>
          <w:szCs w:val="21"/>
        </w:rPr>
        <w:t xml:space="preserve">можна стверджувати, що інфраструктуру ринку праці в регіонах України не можна оцінити як розвинену. </w:t>
      </w:r>
    </w:p>
    <w:p w:rsidR="00B233DE" w:rsidRPr="003728E5" w:rsidRDefault="00B233DE" w:rsidP="00B233DE">
      <w:pPr>
        <w:spacing w:line="230" w:lineRule="auto"/>
        <w:ind w:firstLine="709"/>
        <w:jc w:val="both"/>
        <w:rPr>
          <w:rFonts w:ascii="Times New Roman" w:hAnsi="Times New Roman" w:cs="Times New Roman"/>
          <w:sz w:val="21"/>
          <w:szCs w:val="21"/>
        </w:rPr>
      </w:pPr>
      <w:r w:rsidRPr="003728E5">
        <w:rPr>
          <w:rFonts w:ascii="Times New Roman" w:hAnsi="Times New Roman" w:cs="Times New Roman"/>
          <w:sz w:val="21"/>
          <w:szCs w:val="21"/>
        </w:rPr>
        <w:t>Спираючись на думку науковців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_Ref433977537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112</w:t>
      </w:r>
      <w:r>
        <w:rPr>
          <w:rFonts w:ascii="Times New Roman" w:hAnsi="Times New Roman" w:cs="Times New Roman"/>
          <w:sz w:val="21"/>
          <w:szCs w:val="21"/>
          <w:highlight w:val="yellow"/>
        </w:rPr>
        <w:fldChar w:fldCharType="end"/>
      </w:r>
      <w:r w:rsidRPr="003728E5">
        <w:rPr>
          <w:rFonts w:ascii="Times New Roman" w:hAnsi="Times New Roman" w:cs="Times New Roman"/>
          <w:sz w:val="21"/>
          <w:szCs w:val="21"/>
        </w:rPr>
        <w:t xml:space="preserve">], власні теоретичні та практичні дослідження, до основних рис сучасної незавершеної інфраструктури ринку праці регіонів України слід віднести: невідповідність національного трудового законодавства сучасним </w:t>
      </w:r>
      <w:r w:rsidRPr="003728E5">
        <w:rPr>
          <w:rFonts w:ascii="Times New Roman" w:hAnsi="Times New Roman" w:cs="Times New Roman"/>
          <w:sz w:val="21"/>
          <w:szCs w:val="21"/>
        </w:rPr>
        <w:lastRenderedPageBreak/>
        <w:t>вимогам; хаотичність та нерівномірність розвитку окремих складових інфраструктури ринку праці; невідпрацьованість принципів побудови інфраструктури ринку праці на території; сл</w:t>
      </w:r>
      <w:r>
        <w:rPr>
          <w:rFonts w:ascii="Times New Roman" w:hAnsi="Times New Roman" w:cs="Times New Roman"/>
          <w:sz w:val="21"/>
          <w:szCs w:val="21"/>
        </w:rPr>
        <w:t>абку інституційну взаємодію або</w:t>
      </w:r>
      <w:r w:rsidRPr="003728E5">
        <w:rPr>
          <w:rFonts w:ascii="Times New Roman" w:hAnsi="Times New Roman" w:cs="Times New Roman"/>
          <w:sz w:val="21"/>
          <w:szCs w:val="21"/>
        </w:rPr>
        <w:t xml:space="preserve"> неналагодженість взаємо</w:t>
      </w:r>
      <w:r>
        <w:rPr>
          <w:rFonts w:ascii="Times New Roman" w:hAnsi="Times New Roman" w:cs="Times New Roman"/>
          <w:sz w:val="21"/>
          <w:szCs w:val="21"/>
        </w:rPr>
        <w:t>-</w:t>
      </w:r>
      <w:r w:rsidRPr="003728E5">
        <w:rPr>
          <w:rFonts w:ascii="Times New Roman" w:hAnsi="Times New Roman" w:cs="Times New Roman"/>
          <w:sz w:val="21"/>
          <w:szCs w:val="21"/>
        </w:rPr>
        <w:t xml:space="preserve">зв’язків між різними учасниками інфраструктури ринку праці; неповноту елементів системи інфраструктури ринку праці; організаційну невпорядкованість, відсутність каналів найму та складність пошуку інформації на віртуальному ринку праці. </w:t>
      </w:r>
    </w:p>
    <w:p w:rsidR="00B233DE" w:rsidRPr="003728E5" w:rsidRDefault="00B233DE" w:rsidP="00B233DE">
      <w:pPr>
        <w:spacing w:line="230" w:lineRule="auto"/>
        <w:ind w:firstLine="709"/>
        <w:jc w:val="both"/>
        <w:rPr>
          <w:rFonts w:ascii="Times New Roman" w:hAnsi="Times New Roman" w:cs="Times New Roman"/>
          <w:sz w:val="21"/>
          <w:szCs w:val="21"/>
        </w:rPr>
      </w:pPr>
      <w:r w:rsidRPr="003728E5">
        <w:rPr>
          <w:rFonts w:ascii="Times New Roman" w:hAnsi="Times New Roman" w:cs="Times New Roman"/>
          <w:sz w:val="21"/>
          <w:szCs w:val="21"/>
        </w:rPr>
        <w:t xml:space="preserve">Основними напрямами вдосконалення та розбудови інфраструктури ринку праці в регіонах України є: </w:t>
      </w:r>
    </w:p>
    <w:p w:rsidR="00B233DE" w:rsidRPr="003728E5" w:rsidRDefault="00B233DE" w:rsidP="00B233DE">
      <w:pPr>
        <w:spacing w:line="230" w:lineRule="auto"/>
        <w:ind w:firstLine="709"/>
        <w:jc w:val="both"/>
        <w:rPr>
          <w:rFonts w:ascii="Times New Roman" w:hAnsi="Times New Roman" w:cs="Times New Roman"/>
          <w:sz w:val="21"/>
          <w:szCs w:val="21"/>
        </w:rPr>
      </w:pPr>
      <w:r w:rsidRPr="003728E5">
        <w:rPr>
          <w:rFonts w:ascii="Times New Roman" w:hAnsi="Times New Roman" w:cs="Times New Roman"/>
          <w:sz w:val="21"/>
          <w:szCs w:val="21"/>
        </w:rPr>
        <w:t>– модернізація інфраструктури ринку праці з урахуванням національної ментальності, регіональних особливостей; впливу економічної та політичної глобалізації,</w:t>
      </w:r>
      <w:r>
        <w:rPr>
          <w:rFonts w:ascii="Times New Roman" w:hAnsi="Times New Roman" w:cs="Times New Roman"/>
          <w:sz w:val="21"/>
          <w:szCs w:val="21"/>
        </w:rPr>
        <w:t xml:space="preserve"> передового світового дос-віду, </w:t>
      </w:r>
      <w:r w:rsidRPr="003728E5">
        <w:rPr>
          <w:rFonts w:ascii="Times New Roman" w:hAnsi="Times New Roman" w:cs="Times New Roman"/>
          <w:sz w:val="21"/>
          <w:szCs w:val="21"/>
        </w:rPr>
        <w:t xml:space="preserve">стандартних вимог та рекомендацій таких відомих інститутів, як Міжнародна організація праці, Європейський Союз, комісія Ради Європи, Європейського Банку реконструкції та розвитку, інших впливових організацій; </w:t>
      </w:r>
    </w:p>
    <w:p w:rsidR="00B233DE" w:rsidRPr="003728E5" w:rsidRDefault="00B233DE" w:rsidP="00B233DE">
      <w:pPr>
        <w:spacing w:line="230" w:lineRule="auto"/>
        <w:ind w:firstLine="709"/>
        <w:jc w:val="both"/>
        <w:rPr>
          <w:rFonts w:ascii="Times New Roman" w:hAnsi="Times New Roman" w:cs="Times New Roman"/>
          <w:sz w:val="21"/>
          <w:szCs w:val="21"/>
        </w:rPr>
      </w:pPr>
      <w:r>
        <w:rPr>
          <w:rFonts w:ascii="Times New Roman" w:hAnsi="Times New Roman" w:cs="Times New Roman"/>
          <w:sz w:val="21"/>
          <w:szCs w:val="21"/>
        </w:rPr>
        <w:t xml:space="preserve">– </w:t>
      </w:r>
      <w:r w:rsidRPr="003728E5">
        <w:rPr>
          <w:rFonts w:ascii="Times New Roman" w:hAnsi="Times New Roman" w:cs="Times New Roman"/>
          <w:sz w:val="21"/>
          <w:szCs w:val="21"/>
        </w:rPr>
        <w:t>покращення взаємодії між інфраструктурами реального та віртуального ринків праці;</w:t>
      </w:r>
    </w:p>
    <w:p w:rsidR="00B233DE" w:rsidRPr="003728E5" w:rsidRDefault="00B233DE" w:rsidP="00B233DE">
      <w:pPr>
        <w:spacing w:line="230" w:lineRule="auto"/>
        <w:ind w:firstLine="709"/>
        <w:jc w:val="both"/>
        <w:rPr>
          <w:rFonts w:ascii="Times New Roman" w:hAnsi="Times New Roman" w:cs="Times New Roman"/>
          <w:sz w:val="21"/>
          <w:szCs w:val="21"/>
        </w:rPr>
      </w:pPr>
      <w:r w:rsidRPr="003728E5">
        <w:rPr>
          <w:rFonts w:ascii="Times New Roman" w:hAnsi="Times New Roman" w:cs="Times New Roman"/>
          <w:sz w:val="21"/>
          <w:szCs w:val="21"/>
        </w:rPr>
        <w:t>– формування електронного каталогу професій в регіонах України;</w:t>
      </w:r>
    </w:p>
    <w:p w:rsidR="00B233DE" w:rsidRPr="003728E5" w:rsidRDefault="00B233DE" w:rsidP="00B233DE">
      <w:pPr>
        <w:spacing w:line="230" w:lineRule="auto"/>
        <w:ind w:firstLine="709"/>
        <w:jc w:val="both"/>
        <w:rPr>
          <w:rFonts w:ascii="Times New Roman" w:hAnsi="Times New Roman" w:cs="Times New Roman"/>
          <w:sz w:val="21"/>
          <w:szCs w:val="21"/>
        </w:rPr>
      </w:pPr>
      <w:r w:rsidRPr="003728E5">
        <w:rPr>
          <w:rFonts w:ascii="Times New Roman" w:hAnsi="Times New Roman" w:cs="Times New Roman"/>
          <w:sz w:val="21"/>
          <w:szCs w:val="21"/>
        </w:rPr>
        <w:t>– створення наукових парків в регіонах України з питань ефективного використання вітчизняної робочої сили, збереження та залучення талантів для відновлення економічного зростання та підвищення стандартів життя населення.</w:t>
      </w:r>
    </w:p>
    <w:p w:rsidR="00B233DE" w:rsidRDefault="00B233DE" w:rsidP="00B233DE">
      <w:pPr>
        <w:spacing w:line="230" w:lineRule="auto"/>
        <w:ind w:firstLine="709"/>
        <w:jc w:val="both"/>
        <w:rPr>
          <w:rFonts w:ascii="Times New Roman" w:hAnsi="Times New Roman" w:cs="Times New Roman"/>
          <w:sz w:val="21"/>
          <w:szCs w:val="21"/>
        </w:rPr>
      </w:pPr>
      <w:r w:rsidRPr="003728E5">
        <w:rPr>
          <w:rFonts w:ascii="Times New Roman" w:hAnsi="Times New Roman" w:cs="Times New Roman"/>
          <w:sz w:val="21"/>
          <w:szCs w:val="21"/>
        </w:rPr>
        <w:t>Таким чином, відволікання в питаннях вдосконалення, модернізації та розбудови інфраструктури як національного ринку праці, так і регіональних ринків праці в умовах євроінтеграції гальмуватиме успішне регулювання проблем зайнятості та безробіття на них.</w:t>
      </w:r>
    </w:p>
    <w:p w:rsidR="00B233DE" w:rsidRDefault="00B233DE" w:rsidP="00B233DE">
      <w:pPr>
        <w:ind w:firstLine="709"/>
        <w:jc w:val="both"/>
        <w:rPr>
          <w:rFonts w:ascii="Times New Roman" w:hAnsi="Times New Roman" w:cs="Times New Roman"/>
          <w:sz w:val="21"/>
          <w:szCs w:val="21"/>
        </w:rPr>
      </w:pPr>
    </w:p>
    <w:p w:rsidR="00B233DE" w:rsidRPr="003728E5" w:rsidRDefault="00B233DE" w:rsidP="00B233DE">
      <w:pPr>
        <w:ind w:firstLine="709"/>
        <w:jc w:val="both"/>
        <w:rPr>
          <w:rFonts w:ascii="Times New Roman" w:hAnsi="Times New Roman" w:cs="Times New Roman"/>
          <w:sz w:val="21"/>
          <w:szCs w:val="21"/>
        </w:rPr>
      </w:pPr>
    </w:p>
    <w:p w:rsidR="00B233DE" w:rsidRPr="00E20C1F" w:rsidRDefault="00B233DE" w:rsidP="00B233DE">
      <w:pPr>
        <w:pStyle w:val="afb"/>
        <w:shd w:val="clear" w:color="auto" w:fill="auto"/>
        <w:tabs>
          <w:tab w:val="left" w:pos="394"/>
          <w:tab w:val="left" w:pos="426"/>
        </w:tabs>
        <w:spacing w:before="0" w:line="240" w:lineRule="auto"/>
        <w:ind w:right="40" w:firstLine="709"/>
        <w:contextualSpacing/>
        <w:jc w:val="center"/>
        <w:rPr>
          <w:rFonts w:ascii="UkrainianPeterburg" w:hAnsi="UkrainianPeterburg"/>
          <w:b/>
          <w:sz w:val="21"/>
          <w:szCs w:val="21"/>
        </w:rPr>
      </w:pPr>
      <w:r w:rsidRPr="00E20C1F">
        <w:rPr>
          <w:rFonts w:ascii="UkrainianPeterburg" w:hAnsi="UkrainianPeterburg"/>
          <w:b/>
          <w:sz w:val="21"/>
          <w:szCs w:val="21"/>
        </w:rPr>
        <w:t>3.4. Формування людського капіталу як реалізованого людського потенціалу та забез-печення його конкурентоспроможності на ринку праці</w:t>
      </w: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Pr="008417EA" w:rsidRDefault="00B233DE" w:rsidP="00B233DE">
      <w:pPr>
        <w:ind w:firstLine="709"/>
        <w:jc w:val="both"/>
        <w:rPr>
          <w:rFonts w:ascii="Times New Roman" w:hAnsi="Times New Roman" w:cs="Times New Roman"/>
          <w:sz w:val="21"/>
          <w:szCs w:val="21"/>
        </w:rPr>
      </w:pPr>
      <w:r w:rsidRPr="008417EA">
        <w:rPr>
          <w:rFonts w:ascii="Times New Roman" w:hAnsi="Times New Roman" w:cs="Times New Roman"/>
          <w:sz w:val="21"/>
          <w:szCs w:val="21"/>
        </w:rPr>
        <w:t xml:space="preserve">Людський капітал – це актив, що характеризується накопиченим запасом вмінь, приносить дохід завдяки інвестиціям і </w:t>
      </w:r>
      <w:r w:rsidRPr="008417EA">
        <w:rPr>
          <w:rFonts w:ascii="Times New Roman" w:hAnsi="Times New Roman" w:cs="Times New Roman"/>
          <w:sz w:val="21"/>
          <w:szCs w:val="21"/>
        </w:rPr>
        <w:lastRenderedPageBreak/>
        <w:t>вказує на існування взаємозв’язку між рівнем освіти, здоров’я, якістю навчання, обсягом виробничого досвіду та заробітною платою. Людський капітал має здатність перетворювати інформацію на знання і стає вирішальним чинником становлення інформаційної е</w:t>
      </w:r>
      <w:r>
        <w:rPr>
          <w:rFonts w:ascii="Times New Roman" w:hAnsi="Times New Roman" w:cs="Times New Roman"/>
          <w:sz w:val="21"/>
          <w:szCs w:val="21"/>
        </w:rPr>
        <w:t xml:space="preserve">кономіки, яка за визначенням М. </w:t>
      </w:r>
      <w:r w:rsidRPr="008417EA">
        <w:rPr>
          <w:rFonts w:ascii="Times New Roman" w:hAnsi="Times New Roman" w:cs="Times New Roman"/>
          <w:sz w:val="21"/>
          <w:szCs w:val="21"/>
        </w:rPr>
        <w:t>Крітського заснована на відтворенні людського капіталу, а головним джерелом її розвитку виступають інвестиції в цей капітал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_Ref433977546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56</w:t>
      </w:r>
      <w:r>
        <w:rPr>
          <w:rFonts w:ascii="Times New Roman" w:hAnsi="Times New Roman" w:cs="Times New Roman"/>
          <w:sz w:val="21"/>
          <w:szCs w:val="21"/>
          <w:highlight w:val="yellow"/>
        </w:rPr>
        <w:fldChar w:fldCharType="end"/>
      </w:r>
      <w:r>
        <w:rPr>
          <w:rFonts w:ascii="Times New Roman" w:hAnsi="Times New Roman" w:cs="Times New Roman"/>
          <w:sz w:val="21"/>
          <w:szCs w:val="21"/>
        </w:rPr>
        <w:t xml:space="preserve">, с. </w:t>
      </w:r>
      <w:r w:rsidRPr="008417EA">
        <w:rPr>
          <w:rFonts w:ascii="Times New Roman" w:hAnsi="Times New Roman" w:cs="Times New Roman"/>
          <w:sz w:val="21"/>
          <w:szCs w:val="21"/>
        </w:rPr>
        <w:t>6]. Усвідомлення ролі людини як домінуючого фактора виробництва визначає необхідність інвестування в людський капітал. Під інвестиціями в людський капітал розуміють капіталовкладення, що сприяють підвищенню професійної кваліфікації, виробничих здібностей людини, приводять до підвищення продуктивності праці та доходу.</w:t>
      </w:r>
    </w:p>
    <w:p w:rsidR="00B233DE" w:rsidRPr="008417EA" w:rsidRDefault="00B233DE" w:rsidP="00B233DE">
      <w:pPr>
        <w:spacing w:before="30"/>
        <w:ind w:firstLine="709"/>
        <w:jc w:val="both"/>
        <w:rPr>
          <w:rFonts w:ascii="Times New Roman" w:hAnsi="Times New Roman" w:cs="Times New Roman"/>
          <w:sz w:val="21"/>
          <w:szCs w:val="21"/>
        </w:rPr>
      </w:pPr>
      <w:r>
        <w:rPr>
          <w:rFonts w:ascii="Times New Roman" w:hAnsi="Times New Roman" w:cs="Times New Roman"/>
          <w:sz w:val="21"/>
          <w:szCs w:val="21"/>
        </w:rPr>
        <w:t>Інвестування –</w:t>
      </w:r>
      <w:r w:rsidRPr="008417EA">
        <w:rPr>
          <w:rFonts w:ascii="Times New Roman" w:hAnsi="Times New Roman" w:cs="Times New Roman"/>
          <w:sz w:val="21"/>
          <w:szCs w:val="21"/>
        </w:rPr>
        <w:t xml:space="preserve"> це важлива передумова продукування, накопичення, розвитку людського капіталу у процесі людської діяльності, в якій майбутній власник цього капіталу майже завжди виступає об’єктом, суб’єктом і результатом впливу одночасно. Особливістю людського капіталу є його створення у суспільному секторі (наприклад, у сфері освіти, охорони здоров’я) за рахунок державних і приватних інвестицій з однієї сторони, та на особистісному рівні з іншої. Майбутньому власнику людського капіталу необхідні певні витрати часу, праці та волі для саморозвитку й самовдосконалення, для нарощення свого капіталу. Інвестиції в людський капітал забезпечують розвиток та примноження продуктивних здібностей людини, характеризуються двоякою структурою, оскільки розглядаються як вкладення коштів, ресурсів і водночас як затрати праці, сил та часу. Зважаючи на те, що суб’єктом та носієм такого капіталу є людина, яка приймає рішення, виділяє кошти на отримання нових знань, вмінь, навичок, їх оновлення, поповнення, інвестує у</w:t>
      </w:r>
      <w:r>
        <w:rPr>
          <w:rFonts w:ascii="Times New Roman" w:hAnsi="Times New Roman" w:cs="Times New Roman"/>
          <w:sz w:val="21"/>
          <w:szCs w:val="21"/>
        </w:rPr>
        <w:t xml:space="preserve"> здатність примножувати дохід, п</w:t>
      </w:r>
      <w:r w:rsidRPr="008417EA">
        <w:rPr>
          <w:rFonts w:ascii="Times New Roman" w:hAnsi="Times New Roman" w:cs="Times New Roman"/>
          <w:sz w:val="21"/>
          <w:szCs w:val="21"/>
        </w:rPr>
        <w:t>роцес інвестування у людський капітал спрямований на перетворення набутого потенціалу в трудовий і, за наявності в особи мотивації, часу і праці – створення людського капіталу.</w:t>
      </w:r>
    </w:p>
    <w:p w:rsidR="00B233DE" w:rsidRPr="008417EA" w:rsidRDefault="00B233DE" w:rsidP="00B233DE">
      <w:pPr>
        <w:autoSpaceDE w:val="0"/>
        <w:autoSpaceDN w:val="0"/>
        <w:adjustRightInd w:val="0"/>
        <w:ind w:firstLine="709"/>
        <w:jc w:val="both"/>
        <w:rPr>
          <w:rFonts w:ascii="Times New Roman" w:hAnsi="Times New Roman" w:cs="Times New Roman"/>
          <w:sz w:val="21"/>
          <w:szCs w:val="21"/>
        </w:rPr>
      </w:pPr>
      <w:r w:rsidRPr="008417EA">
        <w:rPr>
          <w:rFonts w:ascii="Times New Roman" w:hAnsi="Times New Roman" w:cs="Times New Roman"/>
          <w:sz w:val="21"/>
          <w:szCs w:val="21"/>
        </w:rPr>
        <w:t>Розділяючи думки провідних вчених досліджуваної категорії, погоджуємося, що формування людського капіталу є безперервним процесом, що характеризується різною інтенсивністю у різні періоди життєвого циклу окремої особи.</w:t>
      </w:r>
    </w:p>
    <w:p w:rsidR="00B233DE" w:rsidRPr="008417EA" w:rsidRDefault="00B233DE" w:rsidP="00B233DE">
      <w:pPr>
        <w:autoSpaceDE w:val="0"/>
        <w:autoSpaceDN w:val="0"/>
        <w:adjustRightInd w:val="0"/>
        <w:ind w:firstLine="709"/>
        <w:jc w:val="both"/>
        <w:rPr>
          <w:rFonts w:ascii="Times New Roman" w:hAnsi="Times New Roman" w:cs="Times New Roman"/>
          <w:sz w:val="21"/>
          <w:szCs w:val="21"/>
        </w:rPr>
      </w:pPr>
      <w:r w:rsidRPr="008417EA">
        <w:rPr>
          <w:rFonts w:ascii="Times New Roman" w:hAnsi="Times New Roman" w:cs="Times New Roman"/>
          <w:sz w:val="21"/>
          <w:szCs w:val="21"/>
        </w:rPr>
        <w:t xml:space="preserve">Вітчизняні та зарубіжні науковці до визначення сутності інвестицій в людський капітал підходять по-різному. </w:t>
      </w:r>
      <w:r w:rsidRPr="008417EA">
        <w:rPr>
          <w:rFonts w:ascii="Times New Roman" w:hAnsi="Times New Roman" w:cs="Times New Roman"/>
          <w:sz w:val="21"/>
          <w:szCs w:val="21"/>
        </w:rPr>
        <w:lastRenderedPageBreak/>
        <w:t>Основоположниками концепції «інвестицій в людський капітал» як неокейнсіанської теорії відтворення робочої сили були західні економісти Л. Туроу, Б. Вейсборд, С. Боулз,</w:t>
      </w:r>
      <w:r>
        <w:rPr>
          <w:rFonts w:ascii="Times New Roman" w:hAnsi="Times New Roman" w:cs="Times New Roman"/>
          <w:sz w:val="21"/>
          <w:szCs w:val="21"/>
        </w:rPr>
        <w:t xml:space="preserve"> М. </w:t>
      </w:r>
      <w:r w:rsidRPr="008417EA">
        <w:rPr>
          <w:rFonts w:ascii="Times New Roman" w:hAnsi="Times New Roman" w:cs="Times New Roman"/>
          <w:sz w:val="21"/>
          <w:szCs w:val="21"/>
        </w:rPr>
        <w:t>Блауг та інші. Зазначені науковці дотримувалися розширеного підходу до визначення інвестицій в людський капітал, включаючи до них не лише витрати на формування здатності виробляти товари та послуги, а й широкий спектр витрат на забезпечення світоглядних, психофізичних та культурних якостей. На нашу думку, таке розширене визначення є помилковим, оскільки частина зазначених витрат не може вважатися інвестиціями, так як не приводить до одержання корисного економічного результату (ефекту).</w:t>
      </w:r>
    </w:p>
    <w:p w:rsidR="00B233DE" w:rsidRPr="008417EA" w:rsidRDefault="00B233DE" w:rsidP="00B233DE">
      <w:pPr>
        <w:autoSpaceDE w:val="0"/>
        <w:autoSpaceDN w:val="0"/>
        <w:adjustRightInd w:val="0"/>
        <w:ind w:firstLine="709"/>
        <w:jc w:val="both"/>
        <w:rPr>
          <w:rFonts w:ascii="Times New Roman" w:hAnsi="Times New Roman" w:cs="Times New Roman"/>
          <w:sz w:val="21"/>
          <w:szCs w:val="21"/>
        </w:rPr>
      </w:pPr>
      <w:r w:rsidRPr="008417EA">
        <w:rPr>
          <w:rFonts w:ascii="Times New Roman" w:eastAsia="TimesNewRomanPSMT" w:hAnsi="Times New Roman" w:cs="Times New Roman"/>
          <w:sz w:val="21"/>
          <w:szCs w:val="21"/>
        </w:rPr>
        <w:t>За визначенням К.</w:t>
      </w:r>
      <w:r>
        <w:rPr>
          <w:rFonts w:ascii="Times New Roman" w:eastAsia="TimesNewRomanPSMT" w:hAnsi="Times New Roman" w:cs="Times New Roman"/>
          <w:sz w:val="21"/>
          <w:szCs w:val="21"/>
        </w:rPr>
        <w:t xml:space="preserve"> Макконелла та С. </w:t>
      </w:r>
      <w:r w:rsidRPr="008417EA">
        <w:rPr>
          <w:rFonts w:ascii="Times New Roman" w:eastAsia="TimesNewRomanPSMT" w:hAnsi="Times New Roman" w:cs="Times New Roman"/>
          <w:sz w:val="21"/>
          <w:szCs w:val="21"/>
        </w:rPr>
        <w:t>Брю</w:t>
      </w:r>
      <w:r w:rsidRPr="008417EA">
        <w:rPr>
          <w:rFonts w:ascii="Times New Roman" w:hAnsi="Times New Roman" w:cs="Times New Roman"/>
          <w:sz w:val="21"/>
          <w:szCs w:val="21"/>
        </w:rPr>
        <w:t>, до інвестицій відноситься будь-яка дія, що сприяє підвищенню кваліфікації та здібностей, що в свою чергу приводить до зростання продуктивності праці, такі витрати носять інвестиційний характер, оскільки здійснюються з метою багаторазової компенсації у майбутньому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_Ref433977551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64</w:t>
      </w:r>
      <w:r>
        <w:rPr>
          <w:rFonts w:ascii="Times New Roman" w:hAnsi="Times New Roman" w:cs="Times New Roman"/>
          <w:sz w:val="21"/>
          <w:szCs w:val="21"/>
          <w:highlight w:val="yellow"/>
        </w:rPr>
        <w:fldChar w:fldCharType="end"/>
      </w:r>
      <w:r>
        <w:rPr>
          <w:rFonts w:ascii="Times New Roman" w:hAnsi="Times New Roman" w:cs="Times New Roman"/>
          <w:sz w:val="21"/>
          <w:szCs w:val="21"/>
        </w:rPr>
        <w:t>, c. 556]. Я. Фі</w:t>
      </w:r>
      <w:r w:rsidRPr="008417EA">
        <w:rPr>
          <w:rFonts w:ascii="Times New Roman" w:hAnsi="Times New Roman" w:cs="Times New Roman"/>
          <w:sz w:val="21"/>
          <w:szCs w:val="21"/>
        </w:rPr>
        <w:t>тц-енц визначив внесок людського капіталу в створення додаткової вартості та відніс до інвестицій в людський капітал витрати на освітні та кваліфікаційні програми, а також програми розвитку персоналу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_Ref433977558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106</w:t>
      </w:r>
      <w:r>
        <w:rPr>
          <w:rFonts w:ascii="Times New Roman" w:hAnsi="Times New Roman" w:cs="Times New Roman"/>
          <w:sz w:val="21"/>
          <w:szCs w:val="21"/>
          <w:highlight w:val="yellow"/>
        </w:rPr>
        <w:fldChar w:fldCharType="end"/>
      </w:r>
      <w:r>
        <w:rPr>
          <w:rFonts w:ascii="Times New Roman" w:hAnsi="Times New Roman" w:cs="Times New Roman"/>
          <w:sz w:val="21"/>
          <w:szCs w:val="21"/>
        </w:rPr>
        <w:t xml:space="preserve">, с. 51]. Подібне визначення дає В. </w:t>
      </w:r>
      <w:r w:rsidRPr="008417EA">
        <w:rPr>
          <w:rFonts w:ascii="Times New Roman" w:hAnsi="Times New Roman" w:cs="Times New Roman"/>
          <w:sz w:val="21"/>
          <w:szCs w:val="21"/>
        </w:rPr>
        <w:t>Антонюк, яка розуміє під інвестиціями в людський капітал «витрати, що здійснені з метою збільшення продуктивних здібностей працівника та майбутніх доходів»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_Ref433977568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w:t>
      </w:r>
      <w:r>
        <w:rPr>
          <w:rFonts w:ascii="Times New Roman" w:hAnsi="Times New Roman" w:cs="Times New Roman"/>
          <w:sz w:val="21"/>
          <w:szCs w:val="21"/>
          <w:highlight w:val="yellow"/>
        </w:rPr>
        <w:fldChar w:fldCharType="end"/>
      </w:r>
      <w:r w:rsidRPr="008417EA">
        <w:rPr>
          <w:rFonts w:ascii="Times New Roman" w:hAnsi="Times New Roman" w:cs="Times New Roman"/>
          <w:sz w:val="21"/>
          <w:szCs w:val="21"/>
        </w:rPr>
        <w:t>, с. 74]. О. Грішнова до інвестицій в людський капітал відносить «всі види витрат, які можна оцінити в грошовій або іншій формі і які сприяють зростанню в майбутньому продуктивності та заробітків працівника»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_Ref433977574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27</w:t>
      </w:r>
      <w:r>
        <w:rPr>
          <w:rFonts w:ascii="Times New Roman" w:hAnsi="Times New Roman" w:cs="Times New Roman"/>
          <w:sz w:val="21"/>
          <w:szCs w:val="21"/>
          <w:highlight w:val="yellow"/>
        </w:rPr>
        <w:fldChar w:fldCharType="end"/>
      </w:r>
      <w:r w:rsidRPr="008417EA">
        <w:rPr>
          <w:rFonts w:ascii="Times New Roman" w:hAnsi="Times New Roman" w:cs="Times New Roman"/>
          <w:sz w:val="21"/>
          <w:szCs w:val="21"/>
        </w:rPr>
        <w:t>, с. 59]. О. Бородіна під інвестиціями в людський капітал розглядає не лише вкладення коштів у фахову підготовку та перепідготовку кадрів, але й в освіту та здоров’я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_Ref433977580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15</w:t>
      </w:r>
      <w:r>
        <w:rPr>
          <w:rFonts w:ascii="Times New Roman" w:hAnsi="Times New Roman" w:cs="Times New Roman"/>
          <w:sz w:val="21"/>
          <w:szCs w:val="21"/>
          <w:highlight w:val="yellow"/>
        </w:rPr>
        <w:fldChar w:fldCharType="end"/>
      </w:r>
      <w:r>
        <w:rPr>
          <w:rFonts w:ascii="Times New Roman" w:hAnsi="Times New Roman" w:cs="Times New Roman"/>
          <w:sz w:val="21"/>
          <w:szCs w:val="21"/>
        </w:rPr>
        <w:t xml:space="preserve">]. О. </w:t>
      </w:r>
      <w:r w:rsidRPr="008417EA">
        <w:rPr>
          <w:rFonts w:ascii="Times New Roman" w:hAnsi="Times New Roman" w:cs="Times New Roman"/>
          <w:sz w:val="21"/>
          <w:szCs w:val="21"/>
        </w:rPr>
        <w:t>Левчук надає розширене трактування інвестицій в людський капітал, під якими розуміє витрати, спрямовані на покращання якісних і кількісних характеристик людських ресурсів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_Ref433977586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57</w:t>
      </w:r>
      <w:r>
        <w:rPr>
          <w:rFonts w:ascii="Times New Roman" w:hAnsi="Times New Roman" w:cs="Times New Roman"/>
          <w:sz w:val="21"/>
          <w:szCs w:val="21"/>
          <w:highlight w:val="yellow"/>
        </w:rPr>
        <w:fldChar w:fldCharType="end"/>
      </w:r>
      <w:r w:rsidRPr="008417EA">
        <w:rPr>
          <w:rFonts w:ascii="Times New Roman" w:hAnsi="Times New Roman" w:cs="Times New Roman"/>
          <w:sz w:val="21"/>
          <w:szCs w:val="21"/>
        </w:rPr>
        <w:t xml:space="preserve">, с. 36]. Не можна погодитись із заявленим підходом, оскільки людський капітал – це окрема економічна категорія, що характеризується обов’язковою умовою отримання додаткового прибутку за рахунок поточних вкладень, а витрати на стимулювання кількісних характеристик людських ресурсів необов’язково приводять до отримання ефекту і являються чинником екстенсивного демографічного відтворення, водночас, витрати, пов’язані із зростанням якісних характеристик </w:t>
      </w:r>
      <w:r w:rsidRPr="008417EA">
        <w:rPr>
          <w:rFonts w:ascii="Times New Roman" w:hAnsi="Times New Roman" w:cs="Times New Roman"/>
          <w:sz w:val="21"/>
          <w:szCs w:val="21"/>
        </w:rPr>
        <w:lastRenderedPageBreak/>
        <w:t>людс</w:t>
      </w:r>
      <w:r>
        <w:rPr>
          <w:rFonts w:ascii="Times New Roman" w:hAnsi="Times New Roman" w:cs="Times New Roman"/>
          <w:sz w:val="21"/>
          <w:szCs w:val="21"/>
        </w:rPr>
        <w:t>ький ресурсів можемо трактувати</w:t>
      </w:r>
      <w:r w:rsidRPr="008417EA">
        <w:rPr>
          <w:rFonts w:ascii="Times New Roman" w:hAnsi="Times New Roman" w:cs="Times New Roman"/>
          <w:sz w:val="21"/>
          <w:szCs w:val="21"/>
        </w:rPr>
        <w:t xml:space="preserve"> як інтенсивне відтворення та зростання соціальної мобільності. </w:t>
      </w:r>
    </w:p>
    <w:p w:rsidR="00B233DE" w:rsidRPr="008417EA" w:rsidRDefault="00B233DE" w:rsidP="00B233DE">
      <w:pPr>
        <w:autoSpaceDE w:val="0"/>
        <w:autoSpaceDN w:val="0"/>
        <w:adjustRightInd w:val="0"/>
        <w:ind w:firstLine="709"/>
        <w:jc w:val="both"/>
        <w:rPr>
          <w:rFonts w:ascii="Times New Roman" w:hAnsi="Times New Roman" w:cs="Times New Roman"/>
          <w:sz w:val="21"/>
          <w:szCs w:val="21"/>
        </w:rPr>
      </w:pPr>
      <w:r w:rsidRPr="008417EA">
        <w:rPr>
          <w:rFonts w:ascii="Times New Roman" w:hAnsi="Times New Roman" w:cs="Times New Roman"/>
          <w:sz w:val="21"/>
          <w:szCs w:val="21"/>
        </w:rPr>
        <w:t xml:space="preserve">Таким чином, теоретики людського капіталу стверджують, що витрати на збільшення виробничих здібностей та характеристик </w:t>
      </w:r>
      <w:r w:rsidRPr="00A04C9C">
        <w:rPr>
          <w:rFonts w:ascii="Times New Roman" w:hAnsi="Times New Roman" w:cs="Times New Roman"/>
          <w:spacing w:val="-4"/>
          <w:sz w:val="21"/>
          <w:szCs w:val="21"/>
        </w:rPr>
        <w:t>індивіда є інвестиціями, оскільки здійснюються з розрахунку багато-</w:t>
      </w:r>
      <w:r w:rsidRPr="008417EA">
        <w:rPr>
          <w:rFonts w:ascii="Times New Roman" w:hAnsi="Times New Roman" w:cs="Times New Roman"/>
          <w:sz w:val="21"/>
          <w:szCs w:val="21"/>
        </w:rPr>
        <w:t>разової компенсації потоком доходів у майбутньому. Водночас, не</w:t>
      </w:r>
      <w:r>
        <w:rPr>
          <w:rFonts w:ascii="Times New Roman" w:hAnsi="Times New Roman" w:cs="Times New Roman"/>
          <w:sz w:val="21"/>
          <w:szCs w:val="21"/>
        </w:rPr>
        <w:t>-</w:t>
      </w:r>
      <w:r w:rsidRPr="008417EA">
        <w:rPr>
          <w:rFonts w:ascii="Times New Roman" w:hAnsi="Times New Roman" w:cs="Times New Roman"/>
          <w:sz w:val="21"/>
          <w:szCs w:val="21"/>
        </w:rPr>
        <w:t>обхідно здійснити розмежування між витратами та інвестиціями, оскільки більшість витрат на персонал пов’язана із викори</w:t>
      </w:r>
      <w:r>
        <w:rPr>
          <w:rFonts w:ascii="Times New Roman" w:hAnsi="Times New Roman" w:cs="Times New Roman"/>
          <w:sz w:val="21"/>
          <w:szCs w:val="21"/>
        </w:rPr>
        <w:t>-</w:t>
      </w:r>
      <w:r w:rsidRPr="008417EA">
        <w:rPr>
          <w:rFonts w:ascii="Times New Roman" w:hAnsi="Times New Roman" w:cs="Times New Roman"/>
          <w:sz w:val="21"/>
          <w:szCs w:val="21"/>
        </w:rPr>
        <w:t xml:space="preserve">станням людського капіталу і лише незначна частина науковців доповнює їх витратами на відтворення. Серед дослідників немає єдності у визначеннях понять «витрати на персонал», «витрати на </w:t>
      </w:r>
      <w:r w:rsidRPr="00A04C9C">
        <w:rPr>
          <w:rFonts w:ascii="Times New Roman" w:hAnsi="Times New Roman" w:cs="Times New Roman"/>
          <w:spacing w:val="-6"/>
          <w:sz w:val="21"/>
          <w:szCs w:val="21"/>
        </w:rPr>
        <w:t xml:space="preserve">підготовку </w:t>
      </w:r>
      <w:r w:rsidRPr="00A04C9C">
        <w:rPr>
          <w:rFonts w:ascii="Times New Roman" w:hAnsi="Times New Roman" w:cs="Times New Roman"/>
          <w:sz w:val="21"/>
          <w:szCs w:val="21"/>
        </w:rPr>
        <w:t>і перепідготовку кадрів», «витрати на робочу силу» (табл. 3.4).</w:t>
      </w:r>
    </w:p>
    <w:p w:rsidR="00B233DE" w:rsidRDefault="00B233DE" w:rsidP="00B233DE">
      <w:pPr>
        <w:autoSpaceDE w:val="0"/>
        <w:autoSpaceDN w:val="0"/>
        <w:adjustRightInd w:val="0"/>
        <w:ind w:firstLine="709"/>
        <w:jc w:val="both"/>
        <w:rPr>
          <w:rFonts w:ascii="Times New Roman" w:hAnsi="Times New Roman" w:cs="Times New Roman"/>
          <w:sz w:val="21"/>
          <w:szCs w:val="21"/>
        </w:rPr>
      </w:pPr>
      <w:r>
        <w:rPr>
          <w:rFonts w:ascii="Times New Roman" w:hAnsi="Times New Roman" w:cs="Times New Roman"/>
          <w:sz w:val="21"/>
          <w:szCs w:val="21"/>
        </w:rPr>
        <w:t>Отже</w:t>
      </w:r>
      <w:r w:rsidRPr="008417EA">
        <w:rPr>
          <w:rFonts w:ascii="Times New Roman" w:hAnsi="Times New Roman" w:cs="Times New Roman"/>
          <w:sz w:val="21"/>
          <w:szCs w:val="21"/>
        </w:rPr>
        <w:t xml:space="preserve">, аналіз поняття «витрати на персонал» засвідчив відсутність єдиного погляду серед дослідників, зокрема, А. Кібанов трактує витрати на персонал як інтегральний показник, що включає перелік заходів з організації та покращання умов праці; В. Данюк розуміє під витратами на персонал всі сукупні витрати підприємства на виробничий фактор «праця». Дане визначення, на </w:t>
      </w:r>
      <w:r w:rsidRPr="00A04C9C">
        <w:rPr>
          <w:rFonts w:ascii="Times New Roman" w:hAnsi="Times New Roman" w:cs="Times New Roman"/>
          <w:spacing w:val="-4"/>
          <w:sz w:val="21"/>
          <w:szCs w:val="21"/>
        </w:rPr>
        <w:t>наш погляд, носить загальний характер і не враховує можливість наяв-</w:t>
      </w:r>
      <w:r w:rsidRPr="008417EA">
        <w:rPr>
          <w:rFonts w:ascii="Times New Roman" w:hAnsi="Times New Roman" w:cs="Times New Roman"/>
          <w:sz w:val="21"/>
          <w:szCs w:val="21"/>
        </w:rPr>
        <w:t>ності інвестиційних вкладень та отримання економічних ефектів.</w:t>
      </w:r>
    </w:p>
    <w:p w:rsidR="00B233DE" w:rsidRDefault="00B233DE" w:rsidP="00B233DE">
      <w:pPr>
        <w:autoSpaceDE w:val="0"/>
        <w:autoSpaceDN w:val="0"/>
        <w:adjustRightInd w:val="0"/>
        <w:ind w:firstLine="709"/>
        <w:jc w:val="both"/>
        <w:rPr>
          <w:rFonts w:ascii="Times New Roman" w:hAnsi="Times New Roman" w:cs="Times New Roman"/>
          <w:spacing w:val="-2"/>
          <w:sz w:val="21"/>
          <w:szCs w:val="21"/>
        </w:rPr>
      </w:pPr>
      <w:r w:rsidRPr="008417EA">
        <w:rPr>
          <w:rFonts w:ascii="Times New Roman" w:hAnsi="Times New Roman" w:cs="Times New Roman"/>
          <w:spacing w:val="-2"/>
          <w:sz w:val="21"/>
          <w:szCs w:val="21"/>
        </w:rPr>
        <w:t>Загалом витрати на персонал, робочу силу, на підготовку та перепідготовку кадрів визначаються як витрати за використання робочої сили та виробничі цілі. Водночас, частина цих витрат може бути віднесена до витрат на відтворення людського капіталу і має зв’язок із категорією інвестицій. Термін інвестиції прирівнюється до витрат на формування якісно нової робочої сили, а отже такі витрати вже не є споживчими, а розглядаються як виробничі, де вкладення в людину приносять значний довготривалий економічний ефект.</w:t>
      </w:r>
    </w:p>
    <w:p w:rsidR="00B233DE" w:rsidRDefault="00B233DE" w:rsidP="00B233DE">
      <w:pPr>
        <w:autoSpaceDE w:val="0"/>
        <w:autoSpaceDN w:val="0"/>
        <w:adjustRightInd w:val="0"/>
        <w:ind w:firstLine="709"/>
        <w:jc w:val="both"/>
        <w:rPr>
          <w:rFonts w:ascii="Times New Roman" w:hAnsi="Times New Roman" w:cs="Times New Roman"/>
          <w:spacing w:val="-2"/>
          <w:sz w:val="21"/>
          <w:szCs w:val="21"/>
        </w:rPr>
      </w:pPr>
      <w:r w:rsidRPr="008417EA">
        <w:rPr>
          <w:rFonts w:ascii="Times New Roman" w:hAnsi="Times New Roman" w:cs="Times New Roman"/>
          <w:spacing w:val="-2"/>
          <w:sz w:val="21"/>
          <w:szCs w:val="21"/>
        </w:rPr>
        <w:t>Під інвестиціями прийнято розуміти всі види майнових та інтелектуальних цінностей, що вкладаються в об’єкти підприємницької та інших видів діяльності, в результаті якої створюється прибуток (дохід) або досягається соціальний ефект [</w:t>
      </w:r>
      <w:r>
        <w:rPr>
          <w:rFonts w:ascii="Times New Roman" w:hAnsi="Times New Roman" w:cs="Times New Roman"/>
          <w:spacing w:val="-2"/>
          <w:sz w:val="21"/>
          <w:szCs w:val="21"/>
          <w:highlight w:val="yellow"/>
        </w:rPr>
        <w:fldChar w:fldCharType="begin"/>
      </w:r>
      <w:r>
        <w:rPr>
          <w:rFonts w:ascii="Times New Roman" w:hAnsi="Times New Roman" w:cs="Times New Roman"/>
          <w:spacing w:val="-2"/>
          <w:sz w:val="21"/>
          <w:szCs w:val="21"/>
        </w:rPr>
        <w:instrText xml:space="preserve"> REF _Ref433977651 \r \h </w:instrText>
      </w:r>
      <w:r>
        <w:rPr>
          <w:rFonts w:ascii="Times New Roman" w:hAnsi="Times New Roman" w:cs="Times New Roman"/>
          <w:spacing w:val="-2"/>
          <w:sz w:val="21"/>
          <w:szCs w:val="21"/>
          <w:highlight w:val="yellow"/>
        </w:rPr>
      </w:r>
      <w:r>
        <w:rPr>
          <w:rFonts w:ascii="Times New Roman" w:hAnsi="Times New Roman" w:cs="Times New Roman"/>
          <w:spacing w:val="-2"/>
          <w:sz w:val="21"/>
          <w:szCs w:val="21"/>
          <w:highlight w:val="yellow"/>
        </w:rPr>
        <w:fldChar w:fldCharType="separate"/>
      </w:r>
      <w:r>
        <w:rPr>
          <w:rFonts w:ascii="Times New Roman" w:hAnsi="Times New Roman" w:cs="Times New Roman"/>
          <w:spacing w:val="-2"/>
          <w:sz w:val="21"/>
          <w:szCs w:val="21"/>
        </w:rPr>
        <w:t>95</w:t>
      </w:r>
      <w:r>
        <w:rPr>
          <w:rFonts w:ascii="Times New Roman" w:hAnsi="Times New Roman" w:cs="Times New Roman"/>
          <w:spacing w:val="-2"/>
          <w:sz w:val="21"/>
          <w:szCs w:val="21"/>
          <w:highlight w:val="yellow"/>
        </w:rPr>
        <w:fldChar w:fldCharType="end"/>
      </w:r>
      <w:r w:rsidRPr="008417EA">
        <w:rPr>
          <w:rFonts w:ascii="Times New Roman" w:hAnsi="Times New Roman" w:cs="Times New Roman"/>
          <w:spacing w:val="-2"/>
          <w:sz w:val="21"/>
          <w:szCs w:val="21"/>
        </w:rPr>
        <w:t>]. Інвестиції здійснюються не лише у формі грошових засобів, а й в інших формах – рухомого і нерухомого майна (капітальні товари), фінансових інструментів (цінні папери), нематеріальних активів [</w:t>
      </w:r>
      <w:r>
        <w:rPr>
          <w:rFonts w:ascii="Times New Roman" w:hAnsi="Times New Roman" w:cs="Times New Roman"/>
          <w:spacing w:val="-2"/>
          <w:sz w:val="21"/>
          <w:szCs w:val="21"/>
          <w:highlight w:val="yellow"/>
        </w:rPr>
        <w:fldChar w:fldCharType="begin"/>
      </w:r>
      <w:r>
        <w:rPr>
          <w:rFonts w:ascii="Times New Roman" w:hAnsi="Times New Roman" w:cs="Times New Roman"/>
          <w:spacing w:val="-2"/>
          <w:sz w:val="21"/>
          <w:szCs w:val="21"/>
        </w:rPr>
        <w:instrText xml:space="preserve"> REF _Ref433977659 \r \h </w:instrText>
      </w:r>
      <w:r>
        <w:rPr>
          <w:rFonts w:ascii="Times New Roman" w:hAnsi="Times New Roman" w:cs="Times New Roman"/>
          <w:spacing w:val="-2"/>
          <w:sz w:val="21"/>
          <w:szCs w:val="21"/>
          <w:highlight w:val="yellow"/>
        </w:rPr>
      </w:r>
      <w:r>
        <w:rPr>
          <w:rFonts w:ascii="Times New Roman" w:hAnsi="Times New Roman" w:cs="Times New Roman"/>
          <w:spacing w:val="-2"/>
          <w:sz w:val="21"/>
          <w:szCs w:val="21"/>
          <w:highlight w:val="yellow"/>
        </w:rPr>
        <w:fldChar w:fldCharType="separate"/>
      </w:r>
      <w:r>
        <w:rPr>
          <w:rFonts w:ascii="Times New Roman" w:hAnsi="Times New Roman" w:cs="Times New Roman"/>
          <w:spacing w:val="-2"/>
          <w:sz w:val="21"/>
          <w:szCs w:val="21"/>
        </w:rPr>
        <w:t>9</w:t>
      </w:r>
      <w:r>
        <w:rPr>
          <w:rFonts w:ascii="Times New Roman" w:hAnsi="Times New Roman" w:cs="Times New Roman"/>
          <w:spacing w:val="-2"/>
          <w:sz w:val="21"/>
          <w:szCs w:val="21"/>
          <w:highlight w:val="yellow"/>
        </w:rPr>
        <w:fldChar w:fldCharType="end"/>
      </w:r>
      <w:r w:rsidRPr="008417EA">
        <w:rPr>
          <w:rFonts w:ascii="Times New Roman" w:hAnsi="Times New Roman" w:cs="Times New Roman"/>
          <w:spacing w:val="-2"/>
          <w:sz w:val="21"/>
          <w:szCs w:val="21"/>
        </w:rPr>
        <w:t>, с. 10].</w:t>
      </w:r>
    </w:p>
    <w:p w:rsidR="00B233DE" w:rsidRDefault="00B233DE" w:rsidP="00B233DE">
      <w:pPr>
        <w:autoSpaceDE w:val="0"/>
        <w:autoSpaceDN w:val="0"/>
        <w:adjustRightInd w:val="0"/>
        <w:ind w:firstLine="709"/>
        <w:jc w:val="both"/>
        <w:rPr>
          <w:rFonts w:ascii="Times New Roman" w:hAnsi="Times New Roman" w:cs="Times New Roman"/>
          <w:sz w:val="21"/>
          <w:szCs w:val="21"/>
        </w:rPr>
      </w:pPr>
      <w:r w:rsidRPr="008417EA">
        <w:rPr>
          <w:rFonts w:ascii="Times New Roman" w:hAnsi="Times New Roman" w:cs="Times New Roman"/>
          <w:spacing w:val="-2"/>
          <w:sz w:val="21"/>
          <w:szCs w:val="21"/>
        </w:rPr>
        <w:t>Л. Гончаренко відносить до інвестиційних ресурсів людський капітал та інтелектуальні активи [</w:t>
      </w:r>
      <w:r>
        <w:rPr>
          <w:rFonts w:ascii="Times New Roman" w:hAnsi="Times New Roman" w:cs="Times New Roman"/>
          <w:spacing w:val="-2"/>
          <w:sz w:val="21"/>
          <w:szCs w:val="21"/>
          <w:highlight w:val="yellow"/>
        </w:rPr>
        <w:fldChar w:fldCharType="begin"/>
      </w:r>
      <w:r>
        <w:rPr>
          <w:rFonts w:ascii="Times New Roman" w:hAnsi="Times New Roman" w:cs="Times New Roman"/>
          <w:spacing w:val="-2"/>
          <w:sz w:val="21"/>
          <w:szCs w:val="21"/>
        </w:rPr>
        <w:instrText xml:space="preserve"> REF _Ref433977664 \r \h </w:instrText>
      </w:r>
      <w:r>
        <w:rPr>
          <w:rFonts w:ascii="Times New Roman" w:hAnsi="Times New Roman" w:cs="Times New Roman"/>
          <w:spacing w:val="-2"/>
          <w:sz w:val="21"/>
          <w:szCs w:val="21"/>
          <w:highlight w:val="yellow"/>
        </w:rPr>
      </w:r>
      <w:r>
        <w:rPr>
          <w:rFonts w:ascii="Times New Roman" w:hAnsi="Times New Roman" w:cs="Times New Roman"/>
          <w:spacing w:val="-2"/>
          <w:sz w:val="21"/>
          <w:szCs w:val="21"/>
          <w:highlight w:val="yellow"/>
        </w:rPr>
        <w:fldChar w:fldCharType="separate"/>
      </w:r>
      <w:r>
        <w:rPr>
          <w:rFonts w:ascii="Times New Roman" w:hAnsi="Times New Roman" w:cs="Times New Roman"/>
          <w:spacing w:val="-2"/>
          <w:sz w:val="21"/>
          <w:szCs w:val="21"/>
        </w:rPr>
        <w:t>24</w:t>
      </w:r>
      <w:r>
        <w:rPr>
          <w:rFonts w:ascii="Times New Roman" w:hAnsi="Times New Roman" w:cs="Times New Roman"/>
          <w:spacing w:val="-2"/>
          <w:sz w:val="21"/>
          <w:szCs w:val="21"/>
          <w:highlight w:val="yellow"/>
        </w:rPr>
        <w:fldChar w:fldCharType="end"/>
      </w:r>
      <w:r>
        <w:rPr>
          <w:rFonts w:ascii="Times New Roman" w:hAnsi="Times New Roman" w:cs="Times New Roman"/>
          <w:spacing w:val="-2"/>
          <w:sz w:val="21"/>
          <w:szCs w:val="21"/>
        </w:rPr>
        <w:t>, с. 9].</w:t>
      </w:r>
    </w:p>
    <w:p w:rsidR="00B233DE" w:rsidRPr="008417EA" w:rsidRDefault="00B233DE" w:rsidP="00B233DE">
      <w:pPr>
        <w:autoSpaceDE w:val="0"/>
        <w:autoSpaceDN w:val="0"/>
        <w:adjustRightInd w:val="0"/>
        <w:ind w:firstLine="709"/>
        <w:jc w:val="both"/>
        <w:rPr>
          <w:rFonts w:ascii="Times New Roman" w:hAnsi="Times New Roman" w:cs="Times New Roman"/>
          <w:sz w:val="21"/>
          <w:szCs w:val="21"/>
        </w:rPr>
      </w:pPr>
    </w:p>
    <w:p w:rsidR="00B233DE" w:rsidRPr="008417EA" w:rsidRDefault="00B233DE" w:rsidP="00B233DE">
      <w:pPr>
        <w:autoSpaceDE w:val="0"/>
        <w:autoSpaceDN w:val="0"/>
        <w:adjustRightInd w:val="0"/>
        <w:ind w:firstLine="709"/>
        <w:jc w:val="right"/>
        <w:rPr>
          <w:rFonts w:ascii="Times New Roman" w:hAnsi="Times New Roman" w:cs="Times New Roman"/>
          <w:sz w:val="21"/>
          <w:szCs w:val="21"/>
        </w:rPr>
      </w:pPr>
      <w:r w:rsidRPr="008417EA">
        <w:rPr>
          <w:rFonts w:ascii="Times New Roman" w:hAnsi="Times New Roman" w:cs="Times New Roman"/>
          <w:sz w:val="21"/>
          <w:szCs w:val="21"/>
        </w:rPr>
        <w:lastRenderedPageBreak/>
        <w:t xml:space="preserve">Таблиця </w:t>
      </w:r>
      <w:r>
        <w:rPr>
          <w:rFonts w:ascii="Times New Roman" w:hAnsi="Times New Roman" w:cs="Times New Roman"/>
          <w:sz w:val="21"/>
          <w:szCs w:val="21"/>
        </w:rPr>
        <w:t>3.4</w:t>
      </w:r>
    </w:p>
    <w:p w:rsidR="00B233DE" w:rsidRPr="00AD71CF" w:rsidRDefault="00B233DE" w:rsidP="00B233DE">
      <w:pPr>
        <w:autoSpaceDE w:val="0"/>
        <w:autoSpaceDN w:val="0"/>
        <w:adjustRightInd w:val="0"/>
        <w:ind w:firstLine="709"/>
        <w:jc w:val="center"/>
        <w:rPr>
          <w:rFonts w:ascii="Times New Roman" w:hAnsi="Times New Roman" w:cs="Times New Roman"/>
          <w:b/>
          <w:sz w:val="21"/>
          <w:szCs w:val="21"/>
        </w:rPr>
      </w:pPr>
      <w:r w:rsidRPr="00AD71CF">
        <w:rPr>
          <w:rFonts w:ascii="Times New Roman" w:hAnsi="Times New Roman" w:cs="Times New Roman"/>
          <w:b/>
          <w:sz w:val="21"/>
          <w:szCs w:val="21"/>
        </w:rPr>
        <w:t>Трактування понять «витрати на персонал», «витрати на підготовку і перепідготовку кадрів», «витрати на робочу силу»</w:t>
      </w: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20"/>
        <w:gridCol w:w="1276"/>
      </w:tblGrid>
      <w:tr w:rsidR="00B233DE" w:rsidRPr="005314AE" w:rsidTr="0023489B">
        <w:trPr>
          <w:trHeight w:val="216"/>
        </w:trPr>
        <w:tc>
          <w:tcPr>
            <w:tcW w:w="4820" w:type="dxa"/>
            <w:tcBorders>
              <w:top w:val="single" w:sz="4" w:space="0" w:color="auto"/>
              <w:left w:val="single" w:sz="4" w:space="0" w:color="auto"/>
              <w:bottom w:val="single" w:sz="4" w:space="0" w:color="auto"/>
              <w:right w:val="single" w:sz="4" w:space="0" w:color="auto"/>
            </w:tcBorders>
          </w:tcPr>
          <w:p w:rsidR="00B233DE" w:rsidRPr="009F59F7" w:rsidRDefault="00B233DE" w:rsidP="0023489B">
            <w:pPr>
              <w:ind w:left="-108" w:right="-108" w:firstLine="0"/>
              <w:jc w:val="center"/>
              <w:rPr>
                <w:rFonts w:ascii="Times New Roman" w:eastAsia="Calibri" w:hAnsi="Times New Roman" w:cs="Times New Roman"/>
                <w:spacing w:val="-6"/>
                <w:sz w:val="18"/>
                <w:szCs w:val="18"/>
              </w:rPr>
            </w:pPr>
            <w:r w:rsidRPr="009F59F7">
              <w:rPr>
                <w:rFonts w:ascii="Times New Roman" w:hAnsi="Times New Roman" w:cs="Times New Roman"/>
                <w:spacing w:val="-6"/>
                <w:sz w:val="18"/>
                <w:szCs w:val="18"/>
              </w:rPr>
              <w:t>Визначення понять</w:t>
            </w:r>
          </w:p>
        </w:tc>
        <w:tc>
          <w:tcPr>
            <w:tcW w:w="1276" w:type="dxa"/>
            <w:tcBorders>
              <w:top w:val="single" w:sz="4" w:space="0" w:color="auto"/>
              <w:left w:val="single" w:sz="4" w:space="0" w:color="auto"/>
              <w:bottom w:val="single" w:sz="4" w:space="0" w:color="auto"/>
              <w:right w:val="single" w:sz="4" w:space="0" w:color="auto"/>
            </w:tcBorders>
          </w:tcPr>
          <w:p w:rsidR="00B233DE" w:rsidRPr="009F59F7" w:rsidRDefault="00B233DE" w:rsidP="0023489B">
            <w:pPr>
              <w:ind w:left="-108" w:right="-108" w:firstLine="0"/>
              <w:jc w:val="center"/>
              <w:rPr>
                <w:rFonts w:ascii="Times New Roman" w:eastAsia="Calibri" w:hAnsi="Times New Roman" w:cs="Times New Roman"/>
                <w:spacing w:val="-6"/>
                <w:sz w:val="18"/>
                <w:szCs w:val="18"/>
              </w:rPr>
            </w:pPr>
            <w:r w:rsidRPr="009F59F7">
              <w:rPr>
                <w:rFonts w:ascii="Times New Roman" w:hAnsi="Times New Roman" w:cs="Times New Roman"/>
                <w:spacing w:val="-6"/>
                <w:sz w:val="18"/>
                <w:szCs w:val="18"/>
              </w:rPr>
              <w:t>Автор</w:t>
            </w:r>
          </w:p>
        </w:tc>
      </w:tr>
      <w:tr w:rsidR="00B233DE" w:rsidRPr="005314AE" w:rsidTr="0023489B">
        <w:trPr>
          <w:trHeight w:val="293"/>
        </w:trPr>
        <w:tc>
          <w:tcPr>
            <w:tcW w:w="4820" w:type="dxa"/>
            <w:tcBorders>
              <w:top w:val="single" w:sz="4" w:space="0" w:color="auto"/>
              <w:left w:val="single" w:sz="4" w:space="0" w:color="auto"/>
              <w:bottom w:val="single" w:sz="4" w:space="0" w:color="auto"/>
              <w:right w:val="single" w:sz="4" w:space="0" w:color="auto"/>
            </w:tcBorders>
            <w:vAlign w:val="center"/>
          </w:tcPr>
          <w:p w:rsidR="00B233DE" w:rsidRPr="009F59F7" w:rsidRDefault="00B233DE" w:rsidP="0023489B">
            <w:pPr>
              <w:ind w:left="-108" w:right="-108" w:firstLine="0"/>
              <w:jc w:val="both"/>
              <w:rPr>
                <w:rFonts w:ascii="Times New Roman" w:eastAsia="Calibri" w:hAnsi="Times New Roman" w:cs="Times New Roman"/>
                <w:spacing w:val="-6"/>
                <w:sz w:val="18"/>
                <w:szCs w:val="18"/>
              </w:rPr>
            </w:pPr>
            <w:r>
              <w:rPr>
                <w:rFonts w:ascii="Times New Roman" w:hAnsi="Times New Roman" w:cs="Times New Roman"/>
                <w:spacing w:val="-6"/>
                <w:sz w:val="18"/>
                <w:szCs w:val="18"/>
              </w:rPr>
              <w:t>Витрати на персонал – загально</w:t>
            </w:r>
            <w:r w:rsidRPr="009F59F7">
              <w:rPr>
                <w:rFonts w:ascii="Times New Roman" w:hAnsi="Times New Roman" w:cs="Times New Roman"/>
                <w:spacing w:val="-6"/>
                <w:sz w:val="18"/>
                <w:szCs w:val="18"/>
              </w:rPr>
              <w:t>визнаний для країн з ринковою економікою інтегральний показник, що включає сукупність витрат, пов’язаних із залученням, винагородою, використанням, стимулюванням, соціальним забезпеченням, організацією праці, покращанням умов праці, звільненням персоналу</w:t>
            </w:r>
          </w:p>
        </w:tc>
        <w:tc>
          <w:tcPr>
            <w:tcW w:w="1276" w:type="dxa"/>
            <w:tcBorders>
              <w:top w:val="single" w:sz="4" w:space="0" w:color="auto"/>
              <w:left w:val="single" w:sz="4" w:space="0" w:color="auto"/>
              <w:bottom w:val="single" w:sz="4" w:space="0" w:color="auto"/>
              <w:right w:val="single" w:sz="4" w:space="0" w:color="auto"/>
            </w:tcBorders>
            <w:vAlign w:val="center"/>
          </w:tcPr>
          <w:p w:rsidR="00B233DE" w:rsidRDefault="00B233DE" w:rsidP="0023489B">
            <w:pPr>
              <w:ind w:left="-108" w:right="-108" w:firstLine="0"/>
              <w:jc w:val="center"/>
              <w:rPr>
                <w:rFonts w:ascii="Times New Roman" w:hAnsi="Times New Roman" w:cs="Times New Roman"/>
                <w:spacing w:val="-6"/>
                <w:sz w:val="18"/>
                <w:szCs w:val="18"/>
              </w:rPr>
            </w:pPr>
            <w:r w:rsidRPr="009F59F7">
              <w:rPr>
                <w:rFonts w:ascii="Times New Roman" w:hAnsi="Times New Roman" w:cs="Times New Roman"/>
                <w:spacing w:val="-6"/>
                <w:sz w:val="18"/>
                <w:szCs w:val="18"/>
              </w:rPr>
              <w:t xml:space="preserve">А. Кібанов </w:t>
            </w:r>
          </w:p>
          <w:p w:rsidR="00B233DE" w:rsidRPr="009F59F7" w:rsidRDefault="00B233DE" w:rsidP="0023489B">
            <w:pPr>
              <w:ind w:left="-108" w:right="-108" w:firstLine="0"/>
              <w:jc w:val="center"/>
              <w:rPr>
                <w:rFonts w:ascii="Times New Roman" w:eastAsia="Calibri" w:hAnsi="Times New Roman" w:cs="Times New Roman"/>
                <w:spacing w:val="-6"/>
                <w:sz w:val="18"/>
                <w:szCs w:val="18"/>
              </w:rPr>
            </w:pPr>
            <w:r w:rsidRPr="009F59F7">
              <w:rPr>
                <w:rFonts w:ascii="Times New Roman" w:hAnsi="Times New Roman" w:cs="Times New Roman"/>
                <w:spacing w:val="-6"/>
                <w:sz w:val="18"/>
                <w:szCs w:val="18"/>
              </w:rPr>
              <w:t>[</w:t>
            </w:r>
            <w:r>
              <w:rPr>
                <w:rFonts w:ascii="Times New Roman" w:hAnsi="Times New Roman" w:cs="Times New Roman"/>
                <w:spacing w:val="-6"/>
                <w:sz w:val="18"/>
                <w:szCs w:val="18"/>
              </w:rPr>
              <w:fldChar w:fldCharType="begin"/>
            </w:r>
            <w:r>
              <w:rPr>
                <w:rFonts w:ascii="Times New Roman" w:hAnsi="Times New Roman" w:cs="Times New Roman"/>
                <w:spacing w:val="-6"/>
                <w:sz w:val="18"/>
                <w:szCs w:val="18"/>
              </w:rPr>
              <w:instrText xml:space="preserve"> REF _Ref433977597 \r \h </w:instrText>
            </w:r>
            <w:r>
              <w:rPr>
                <w:rFonts w:ascii="Times New Roman" w:hAnsi="Times New Roman" w:cs="Times New Roman"/>
                <w:spacing w:val="-6"/>
                <w:sz w:val="18"/>
                <w:szCs w:val="18"/>
              </w:rPr>
            </w:r>
            <w:r>
              <w:rPr>
                <w:rFonts w:ascii="Times New Roman" w:hAnsi="Times New Roman" w:cs="Times New Roman"/>
                <w:spacing w:val="-6"/>
                <w:sz w:val="18"/>
                <w:szCs w:val="18"/>
              </w:rPr>
              <w:fldChar w:fldCharType="separate"/>
            </w:r>
            <w:r>
              <w:rPr>
                <w:rFonts w:ascii="Times New Roman" w:hAnsi="Times New Roman" w:cs="Times New Roman"/>
                <w:spacing w:val="-6"/>
                <w:sz w:val="18"/>
                <w:szCs w:val="18"/>
              </w:rPr>
              <w:t>49</w:t>
            </w:r>
            <w:r>
              <w:rPr>
                <w:rFonts w:ascii="Times New Roman" w:hAnsi="Times New Roman" w:cs="Times New Roman"/>
                <w:spacing w:val="-6"/>
                <w:sz w:val="18"/>
                <w:szCs w:val="18"/>
              </w:rPr>
              <w:fldChar w:fldCharType="end"/>
            </w:r>
            <w:r w:rsidRPr="009F59F7">
              <w:rPr>
                <w:rFonts w:ascii="Times New Roman" w:hAnsi="Times New Roman" w:cs="Times New Roman"/>
                <w:spacing w:val="-6"/>
                <w:sz w:val="18"/>
                <w:szCs w:val="18"/>
              </w:rPr>
              <w:t>, с. 507]</w:t>
            </w:r>
          </w:p>
        </w:tc>
      </w:tr>
      <w:tr w:rsidR="00B233DE" w:rsidRPr="005314AE" w:rsidTr="0023489B">
        <w:trPr>
          <w:trHeight w:val="305"/>
        </w:trPr>
        <w:tc>
          <w:tcPr>
            <w:tcW w:w="4820" w:type="dxa"/>
            <w:tcBorders>
              <w:top w:val="single" w:sz="4" w:space="0" w:color="auto"/>
              <w:left w:val="single" w:sz="4" w:space="0" w:color="auto"/>
              <w:bottom w:val="single" w:sz="4" w:space="0" w:color="auto"/>
              <w:right w:val="single" w:sz="4" w:space="0" w:color="auto"/>
            </w:tcBorders>
            <w:vAlign w:val="center"/>
          </w:tcPr>
          <w:p w:rsidR="00B233DE" w:rsidRPr="009F59F7" w:rsidRDefault="00B233DE" w:rsidP="0023489B">
            <w:pPr>
              <w:ind w:left="-108" w:right="-108" w:firstLine="0"/>
              <w:jc w:val="both"/>
              <w:rPr>
                <w:rFonts w:ascii="Times New Roman" w:eastAsia="Calibri" w:hAnsi="Times New Roman" w:cs="Times New Roman"/>
                <w:spacing w:val="-6"/>
                <w:sz w:val="18"/>
                <w:szCs w:val="18"/>
              </w:rPr>
            </w:pPr>
            <w:r w:rsidRPr="009F59F7">
              <w:rPr>
                <w:rFonts w:ascii="Times New Roman" w:hAnsi="Times New Roman" w:cs="Times New Roman"/>
                <w:spacing w:val="-6"/>
                <w:sz w:val="18"/>
                <w:szCs w:val="18"/>
              </w:rPr>
              <w:t>Витрати на персонал – це відносини з приводу створення та розподілу фонду засобів, що направляються підприємством на здійснення заходів, пов’язаних із функціонуванням системи управління персоналом</w:t>
            </w:r>
          </w:p>
        </w:tc>
        <w:tc>
          <w:tcPr>
            <w:tcW w:w="1276" w:type="dxa"/>
            <w:tcBorders>
              <w:top w:val="single" w:sz="4" w:space="0" w:color="auto"/>
              <w:left w:val="single" w:sz="4" w:space="0" w:color="auto"/>
              <w:bottom w:val="single" w:sz="4" w:space="0" w:color="auto"/>
              <w:right w:val="single" w:sz="4" w:space="0" w:color="auto"/>
            </w:tcBorders>
            <w:vAlign w:val="center"/>
          </w:tcPr>
          <w:p w:rsidR="00B233DE" w:rsidRDefault="00B233DE" w:rsidP="0023489B">
            <w:pPr>
              <w:ind w:left="-108" w:right="-108" w:firstLine="0"/>
              <w:jc w:val="center"/>
              <w:rPr>
                <w:rFonts w:ascii="Times New Roman" w:hAnsi="Times New Roman" w:cs="Times New Roman"/>
                <w:spacing w:val="-6"/>
                <w:sz w:val="18"/>
                <w:szCs w:val="18"/>
              </w:rPr>
            </w:pPr>
            <w:r w:rsidRPr="009F59F7">
              <w:rPr>
                <w:rFonts w:ascii="Times New Roman" w:hAnsi="Times New Roman" w:cs="Times New Roman"/>
                <w:spacing w:val="-6"/>
                <w:sz w:val="18"/>
                <w:szCs w:val="18"/>
              </w:rPr>
              <w:t xml:space="preserve">А. Лисков </w:t>
            </w:r>
          </w:p>
          <w:p w:rsidR="00B233DE" w:rsidRPr="009F59F7" w:rsidRDefault="00B233DE" w:rsidP="0023489B">
            <w:pPr>
              <w:ind w:left="-108" w:right="-108" w:firstLine="0"/>
              <w:jc w:val="center"/>
              <w:rPr>
                <w:rFonts w:ascii="Times New Roman" w:eastAsia="Calibri" w:hAnsi="Times New Roman" w:cs="Times New Roman"/>
                <w:spacing w:val="-6"/>
                <w:sz w:val="18"/>
                <w:szCs w:val="18"/>
              </w:rPr>
            </w:pPr>
            <w:r w:rsidRPr="009F59F7">
              <w:rPr>
                <w:rFonts w:ascii="Times New Roman" w:hAnsi="Times New Roman" w:cs="Times New Roman"/>
                <w:spacing w:val="-6"/>
                <w:sz w:val="18"/>
                <w:szCs w:val="18"/>
              </w:rPr>
              <w:t>[</w:t>
            </w:r>
            <w:r>
              <w:rPr>
                <w:rFonts w:ascii="Times New Roman" w:hAnsi="Times New Roman" w:cs="Times New Roman"/>
                <w:spacing w:val="-6"/>
                <w:sz w:val="18"/>
                <w:szCs w:val="18"/>
                <w:highlight w:val="yellow"/>
              </w:rPr>
              <w:fldChar w:fldCharType="begin"/>
            </w:r>
            <w:r>
              <w:rPr>
                <w:rFonts w:ascii="Times New Roman" w:hAnsi="Times New Roman" w:cs="Times New Roman"/>
                <w:spacing w:val="-6"/>
                <w:sz w:val="18"/>
                <w:szCs w:val="18"/>
              </w:rPr>
              <w:instrText xml:space="preserve"> REF _Ref433977605 \r \h </w:instrText>
            </w:r>
            <w:r>
              <w:rPr>
                <w:rFonts w:ascii="Times New Roman" w:hAnsi="Times New Roman" w:cs="Times New Roman"/>
                <w:spacing w:val="-6"/>
                <w:sz w:val="18"/>
                <w:szCs w:val="18"/>
                <w:highlight w:val="yellow"/>
              </w:rPr>
            </w:r>
            <w:r>
              <w:rPr>
                <w:rFonts w:ascii="Times New Roman" w:hAnsi="Times New Roman" w:cs="Times New Roman"/>
                <w:spacing w:val="-6"/>
                <w:sz w:val="18"/>
                <w:szCs w:val="18"/>
                <w:highlight w:val="yellow"/>
              </w:rPr>
              <w:fldChar w:fldCharType="separate"/>
            </w:r>
            <w:r>
              <w:rPr>
                <w:rFonts w:ascii="Times New Roman" w:hAnsi="Times New Roman" w:cs="Times New Roman"/>
                <w:spacing w:val="-6"/>
                <w:sz w:val="18"/>
                <w:szCs w:val="18"/>
              </w:rPr>
              <w:t>60</w:t>
            </w:r>
            <w:r>
              <w:rPr>
                <w:rFonts w:ascii="Times New Roman" w:hAnsi="Times New Roman" w:cs="Times New Roman"/>
                <w:spacing w:val="-6"/>
                <w:sz w:val="18"/>
                <w:szCs w:val="18"/>
                <w:highlight w:val="yellow"/>
              </w:rPr>
              <w:fldChar w:fldCharType="end"/>
            </w:r>
            <w:r w:rsidRPr="009F59F7">
              <w:rPr>
                <w:rFonts w:ascii="Times New Roman" w:hAnsi="Times New Roman" w:cs="Times New Roman"/>
                <w:spacing w:val="-6"/>
                <w:sz w:val="18"/>
                <w:szCs w:val="18"/>
              </w:rPr>
              <w:t>]</w:t>
            </w:r>
          </w:p>
        </w:tc>
      </w:tr>
      <w:tr w:rsidR="00B233DE" w:rsidRPr="005314AE" w:rsidTr="0023489B">
        <w:trPr>
          <w:trHeight w:val="485"/>
        </w:trPr>
        <w:tc>
          <w:tcPr>
            <w:tcW w:w="4820" w:type="dxa"/>
            <w:tcBorders>
              <w:top w:val="single" w:sz="4" w:space="0" w:color="auto"/>
              <w:left w:val="single" w:sz="4" w:space="0" w:color="auto"/>
              <w:bottom w:val="single" w:sz="4" w:space="0" w:color="auto"/>
              <w:right w:val="single" w:sz="4" w:space="0" w:color="auto"/>
            </w:tcBorders>
            <w:vAlign w:val="center"/>
          </w:tcPr>
          <w:p w:rsidR="00B233DE" w:rsidRPr="009F59F7" w:rsidRDefault="00B233DE" w:rsidP="0023489B">
            <w:pPr>
              <w:pStyle w:val="33"/>
              <w:ind w:left="-108" w:right="-108" w:firstLine="0"/>
              <w:rPr>
                <w:rFonts w:ascii="Times New Roman" w:hAnsi="Times New Roman" w:cs="Times New Roman"/>
                <w:b/>
                <w:spacing w:val="-6"/>
                <w:sz w:val="18"/>
                <w:szCs w:val="18"/>
              </w:rPr>
            </w:pPr>
            <w:r w:rsidRPr="009F59F7">
              <w:rPr>
                <w:rFonts w:ascii="Times New Roman" w:hAnsi="Times New Roman" w:cs="Times New Roman"/>
                <w:spacing w:val="-6"/>
                <w:sz w:val="18"/>
                <w:szCs w:val="18"/>
              </w:rPr>
              <w:t>Під витратами на персонал слід розуміти сукупні витрати організації на виробничий фактор «праця»</w:t>
            </w:r>
          </w:p>
        </w:tc>
        <w:tc>
          <w:tcPr>
            <w:tcW w:w="1276" w:type="dxa"/>
            <w:tcBorders>
              <w:top w:val="single" w:sz="4" w:space="0" w:color="auto"/>
              <w:left w:val="single" w:sz="4" w:space="0" w:color="auto"/>
              <w:bottom w:val="single" w:sz="4" w:space="0" w:color="auto"/>
              <w:right w:val="single" w:sz="4" w:space="0" w:color="auto"/>
            </w:tcBorders>
            <w:vAlign w:val="center"/>
          </w:tcPr>
          <w:p w:rsidR="00B233DE" w:rsidRDefault="00B233DE" w:rsidP="0023489B">
            <w:pPr>
              <w:ind w:left="-108" w:right="-108" w:firstLine="0"/>
              <w:jc w:val="center"/>
              <w:rPr>
                <w:rFonts w:ascii="Times New Roman" w:hAnsi="Times New Roman" w:cs="Times New Roman"/>
                <w:spacing w:val="-6"/>
                <w:sz w:val="18"/>
                <w:szCs w:val="18"/>
              </w:rPr>
            </w:pPr>
            <w:r w:rsidRPr="009F59F7">
              <w:rPr>
                <w:rFonts w:ascii="Times New Roman" w:hAnsi="Times New Roman" w:cs="Times New Roman"/>
                <w:spacing w:val="-6"/>
                <w:sz w:val="18"/>
                <w:szCs w:val="18"/>
              </w:rPr>
              <w:t xml:space="preserve">В. Данюк </w:t>
            </w:r>
          </w:p>
          <w:p w:rsidR="00B233DE" w:rsidRPr="009F59F7" w:rsidRDefault="00B233DE" w:rsidP="0023489B">
            <w:pPr>
              <w:ind w:left="-108" w:right="-108" w:firstLine="0"/>
              <w:jc w:val="center"/>
              <w:rPr>
                <w:rFonts w:ascii="Times New Roman" w:eastAsia="Calibri" w:hAnsi="Times New Roman" w:cs="Times New Roman"/>
                <w:spacing w:val="-6"/>
                <w:sz w:val="18"/>
                <w:szCs w:val="18"/>
              </w:rPr>
            </w:pPr>
            <w:r>
              <w:rPr>
                <w:rFonts w:ascii="Times New Roman" w:hAnsi="Times New Roman" w:cs="Times New Roman"/>
                <w:spacing w:val="-6"/>
                <w:sz w:val="18"/>
                <w:szCs w:val="18"/>
              </w:rPr>
              <w:t>[</w:t>
            </w:r>
            <w:r>
              <w:rPr>
                <w:rFonts w:ascii="Times New Roman" w:hAnsi="Times New Roman" w:cs="Times New Roman"/>
                <w:spacing w:val="-6"/>
                <w:sz w:val="18"/>
                <w:szCs w:val="18"/>
                <w:highlight w:val="yellow"/>
              </w:rPr>
              <w:fldChar w:fldCharType="begin"/>
            </w:r>
            <w:r>
              <w:rPr>
                <w:rFonts w:ascii="Times New Roman" w:hAnsi="Times New Roman" w:cs="Times New Roman"/>
                <w:spacing w:val="-6"/>
                <w:sz w:val="18"/>
                <w:szCs w:val="18"/>
              </w:rPr>
              <w:instrText xml:space="preserve"> REF _Ref433977611 \r \h </w:instrText>
            </w:r>
            <w:r>
              <w:rPr>
                <w:rFonts w:ascii="Times New Roman" w:hAnsi="Times New Roman" w:cs="Times New Roman"/>
                <w:spacing w:val="-6"/>
                <w:sz w:val="18"/>
                <w:szCs w:val="18"/>
                <w:highlight w:val="yellow"/>
              </w:rPr>
            </w:r>
            <w:r>
              <w:rPr>
                <w:rFonts w:ascii="Times New Roman" w:hAnsi="Times New Roman" w:cs="Times New Roman"/>
                <w:spacing w:val="-6"/>
                <w:sz w:val="18"/>
                <w:szCs w:val="18"/>
                <w:highlight w:val="yellow"/>
              </w:rPr>
              <w:fldChar w:fldCharType="separate"/>
            </w:r>
            <w:r>
              <w:rPr>
                <w:rFonts w:ascii="Times New Roman" w:hAnsi="Times New Roman" w:cs="Times New Roman"/>
                <w:spacing w:val="-6"/>
                <w:sz w:val="18"/>
                <w:szCs w:val="18"/>
              </w:rPr>
              <w:t>30</w:t>
            </w:r>
            <w:r>
              <w:rPr>
                <w:rFonts w:ascii="Times New Roman" w:hAnsi="Times New Roman" w:cs="Times New Roman"/>
                <w:spacing w:val="-6"/>
                <w:sz w:val="18"/>
                <w:szCs w:val="18"/>
                <w:highlight w:val="yellow"/>
              </w:rPr>
              <w:fldChar w:fldCharType="end"/>
            </w:r>
            <w:r>
              <w:rPr>
                <w:rFonts w:ascii="Times New Roman" w:hAnsi="Times New Roman" w:cs="Times New Roman"/>
                <w:spacing w:val="-6"/>
                <w:sz w:val="18"/>
                <w:szCs w:val="18"/>
              </w:rPr>
              <w:t xml:space="preserve">, с. </w:t>
            </w:r>
            <w:r w:rsidRPr="009F59F7">
              <w:rPr>
                <w:rFonts w:ascii="Times New Roman" w:hAnsi="Times New Roman" w:cs="Times New Roman"/>
                <w:spacing w:val="-6"/>
                <w:sz w:val="18"/>
                <w:szCs w:val="18"/>
              </w:rPr>
              <w:t>383]</w:t>
            </w:r>
          </w:p>
        </w:tc>
      </w:tr>
      <w:tr w:rsidR="00B233DE" w:rsidRPr="005314AE" w:rsidTr="0023489B">
        <w:trPr>
          <w:trHeight w:val="2361"/>
        </w:trPr>
        <w:tc>
          <w:tcPr>
            <w:tcW w:w="4820" w:type="dxa"/>
            <w:tcBorders>
              <w:top w:val="single" w:sz="4" w:space="0" w:color="auto"/>
              <w:left w:val="single" w:sz="4" w:space="0" w:color="auto"/>
              <w:bottom w:val="single" w:sz="4" w:space="0" w:color="auto"/>
              <w:right w:val="single" w:sz="4" w:space="0" w:color="auto"/>
            </w:tcBorders>
            <w:vAlign w:val="center"/>
          </w:tcPr>
          <w:p w:rsidR="00B233DE" w:rsidRPr="009F59F7" w:rsidRDefault="00B233DE" w:rsidP="0023489B">
            <w:pPr>
              <w:ind w:left="-108" w:right="-108" w:firstLine="0"/>
              <w:jc w:val="both"/>
              <w:rPr>
                <w:rFonts w:ascii="Times New Roman" w:eastAsia="Calibri" w:hAnsi="Times New Roman" w:cs="Times New Roman"/>
                <w:spacing w:val="-6"/>
                <w:sz w:val="18"/>
                <w:szCs w:val="18"/>
              </w:rPr>
            </w:pPr>
            <w:r w:rsidRPr="009F59F7">
              <w:rPr>
                <w:rFonts w:ascii="Times New Roman" w:hAnsi="Times New Roman" w:cs="Times New Roman"/>
                <w:spacing w:val="-6"/>
                <w:sz w:val="18"/>
                <w:szCs w:val="18"/>
              </w:rPr>
              <w:t>Витрати підприємств (роботодавців) на робочу силу – сума винагород за виконану роботу і додаткових витрат підприємств і організацій (роботодавців) на користь працівників; включають оплату за відпрацьований і невідпрацьований час: заохочувальні виплати і подарунки; витрати як обов’язкові, встановлені законодавством, так і добровільні, пов’язані із наданням працівникам житла, оплатою харчування, транспорту, оздоровчими і культурно просвітницькими заходами; вартість фірмового і спеціального одягу, взуття; витрати на відрядження; страхові внески підприємств в соціальні фонди, а також податки, пов’язані із використанням найманої робочої сили</w:t>
            </w:r>
          </w:p>
        </w:tc>
        <w:tc>
          <w:tcPr>
            <w:tcW w:w="1276" w:type="dxa"/>
            <w:vMerge w:val="restart"/>
            <w:tcBorders>
              <w:top w:val="single" w:sz="4" w:space="0" w:color="auto"/>
              <w:left w:val="single" w:sz="4" w:space="0" w:color="auto"/>
              <w:bottom w:val="single" w:sz="4" w:space="0" w:color="auto"/>
              <w:right w:val="single" w:sz="4" w:space="0" w:color="auto"/>
            </w:tcBorders>
            <w:vAlign w:val="center"/>
          </w:tcPr>
          <w:p w:rsidR="00B233DE" w:rsidRDefault="00B233DE" w:rsidP="0023489B">
            <w:pPr>
              <w:ind w:left="-108" w:right="-108" w:firstLine="0"/>
              <w:jc w:val="center"/>
              <w:rPr>
                <w:rFonts w:ascii="Times New Roman" w:hAnsi="Times New Roman" w:cs="Times New Roman"/>
                <w:spacing w:val="-6"/>
                <w:sz w:val="18"/>
                <w:szCs w:val="18"/>
              </w:rPr>
            </w:pPr>
            <w:r w:rsidRPr="009F59F7">
              <w:rPr>
                <w:rFonts w:ascii="Times New Roman" w:hAnsi="Times New Roman" w:cs="Times New Roman"/>
                <w:spacing w:val="-6"/>
                <w:sz w:val="18"/>
                <w:szCs w:val="18"/>
              </w:rPr>
              <w:t xml:space="preserve">А. Азріліян </w:t>
            </w:r>
          </w:p>
          <w:p w:rsidR="00B233DE" w:rsidRPr="009F59F7" w:rsidRDefault="00B233DE" w:rsidP="0023489B">
            <w:pPr>
              <w:ind w:left="-108" w:right="-108" w:firstLine="0"/>
              <w:jc w:val="center"/>
              <w:rPr>
                <w:rFonts w:ascii="Times New Roman" w:eastAsia="Calibri" w:hAnsi="Times New Roman" w:cs="Times New Roman"/>
                <w:spacing w:val="-6"/>
                <w:sz w:val="18"/>
                <w:szCs w:val="18"/>
              </w:rPr>
            </w:pPr>
            <w:r w:rsidRPr="009F59F7">
              <w:rPr>
                <w:rFonts w:ascii="Times New Roman" w:hAnsi="Times New Roman" w:cs="Times New Roman"/>
                <w:spacing w:val="-6"/>
                <w:sz w:val="18"/>
                <w:szCs w:val="18"/>
              </w:rPr>
              <w:t>[</w:t>
            </w:r>
            <w:r>
              <w:rPr>
                <w:rFonts w:ascii="Times New Roman" w:hAnsi="Times New Roman" w:cs="Times New Roman"/>
                <w:spacing w:val="-6"/>
                <w:sz w:val="18"/>
                <w:szCs w:val="18"/>
                <w:highlight w:val="yellow"/>
              </w:rPr>
              <w:fldChar w:fldCharType="begin"/>
            </w:r>
            <w:r>
              <w:rPr>
                <w:rFonts w:ascii="Times New Roman" w:hAnsi="Times New Roman" w:cs="Times New Roman"/>
                <w:spacing w:val="-6"/>
                <w:sz w:val="18"/>
                <w:szCs w:val="18"/>
              </w:rPr>
              <w:instrText xml:space="preserve"> REF _Ref433977618 \r \h </w:instrText>
            </w:r>
            <w:r>
              <w:rPr>
                <w:rFonts w:ascii="Times New Roman" w:hAnsi="Times New Roman" w:cs="Times New Roman"/>
                <w:spacing w:val="-6"/>
                <w:sz w:val="18"/>
                <w:szCs w:val="18"/>
                <w:highlight w:val="yellow"/>
              </w:rPr>
            </w:r>
            <w:r>
              <w:rPr>
                <w:rFonts w:ascii="Times New Roman" w:hAnsi="Times New Roman" w:cs="Times New Roman"/>
                <w:spacing w:val="-6"/>
                <w:sz w:val="18"/>
                <w:szCs w:val="18"/>
                <w:highlight w:val="yellow"/>
              </w:rPr>
              <w:fldChar w:fldCharType="separate"/>
            </w:r>
            <w:r>
              <w:rPr>
                <w:rFonts w:ascii="Times New Roman" w:hAnsi="Times New Roman" w:cs="Times New Roman"/>
                <w:spacing w:val="-6"/>
                <w:sz w:val="18"/>
                <w:szCs w:val="18"/>
              </w:rPr>
              <w:t>1</w:t>
            </w:r>
            <w:r>
              <w:rPr>
                <w:rFonts w:ascii="Times New Roman" w:hAnsi="Times New Roman" w:cs="Times New Roman"/>
                <w:spacing w:val="-6"/>
                <w:sz w:val="18"/>
                <w:szCs w:val="18"/>
                <w:highlight w:val="yellow"/>
              </w:rPr>
              <w:fldChar w:fldCharType="end"/>
            </w:r>
            <w:r>
              <w:rPr>
                <w:rFonts w:ascii="Times New Roman" w:hAnsi="Times New Roman" w:cs="Times New Roman"/>
                <w:spacing w:val="-6"/>
                <w:sz w:val="18"/>
                <w:szCs w:val="18"/>
              </w:rPr>
              <w:t xml:space="preserve">, с. </w:t>
            </w:r>
            <w:r w:rsidRPr="009F59F7">
              <w:rPr>
                <w:rFonts w:ascii="Times New Roman" w:hAnsi="Times New Roman" w:cs="Times New Roman"/>
                <w:spacing w:val="-6"/>
                <w:sz w:val="18"/>
                <w:szCs w:val="18"/>
              </w:rPr>
              <w:t>129, с. 379]</w:t>
            </w:r>
          </w:p>
        </w:tc>
      </w:tr>
      <w:tr w:rsidR="00B233DE" w:rsidRPr="005314AE" w:rsidTr="0023489B">
        <w:trPr>
          <w:trHeight w:val="405"/>
        </w:trPr>
        <w:tc>
          <w:tcPr>
            <w:tcW w:w="4820" w:type="dxa"/>
            <w:tcBorders>
              <w:top w:val="single" w:sz="4" w:space="0" w:color="auto"/>
              <w:left w:val="single" w:sz="4" w:space="0" w:color="auto"/>
              <w:bottom w:val="single" w:sz="4" w:space="0" w:color="auto"/>
              <w:right w:val="single" w:sz="4" w:space="0" w:color="auto"/>
            </w:tcBorders>
            <w:vAlign w:val="center"/>
          </w:tcPr>
          <w:p w:rsidR="00B233DE" w:rsidRPr="009F59F7" w:rsidRDefault="00B233DE" w:rsidP="0023489B">
            <w:pPr>
              <w:ind w:left="-108" w:right="-108" w:firstLine="0"/>
              <w:jc w:val="both"/>
              <w:rPr>
                <w:rFonts w:ascii="Times New Roman" w:eastAsia="Calibri" w:hAnsi="Times New Roman" w:cs="Times New Roman"/>
                <w:spacing w:val="-6"/>
                <w:sz w:val="18"/>
                <w:szCs w:val="18"/>
              </w:rPr>
            </w:pPr>
            <w:r w:rsidRPr="009F59F7">
              <w:rPr>
                <w:rFonts w:ascii="Times New Roman" w:hAnsi="Times New Roman" w:cs="Times New Roman"/>
                <w:spacing w:val="-6"/>
                <w:sz w:val="18"/>
                <w:szCs w:val="18"/>
              </w:rPr>
              <w:t>Витрати на підготовку і перепідготовку кадрів – витрати підприємства на навчання персоналу</w:t>
            </w:r>
          </w:p>
        </w:tc>
        <w:tc>
          <w:tcPr>
            <w:tcW w:w="1276" w:type="dxa"/>
            <w:vMerge/>
            <w:tcBorders>
              <w:top w:val="single" w:sz="4" w:space="0" w:color="auto"/>
              <w:left w:val="single" w:sz="4" w:space="0" w:color="auto"/>
              <w:bottom w:val="single" w:sz="4" w:space="0" w:color="auto"/>
              <w:right w:val="single" w:sz="4" w:space="0" w:color="auto"/>
            </w:tcBorders>
            <w:vAlign w:val="center"/>
          </w:tcPr>
          <w:p w:rsidR="00B233DE" w:rsidRPr="009F59F7" w:rsidRDefault="00B233DE" w:rsidP="0023489B">
            <w:pPr>
              <w:ind w:left="-108" w:right="-108" w:firstLine="0"/>
              <w:jc w:val="center"/>
              <w:rPr>
                <w:rFonts w:ascii="Times New Roman" w:eastAsia="Calibri" w:hAnsi="Times New Roman" w:cs="Times New Roman"/>
                <w:spacing w:val="-6"/>
                <w:sz w:val="18"/>
                <w:szCs w:val="18"/>
              </w:rPr>
            </w:pPr>
          </w:p>
        </w:tc>
      </w:tr>
      <w:tr w:rsidR="00B233DE" w:rsidRPr="005314AE" w:rsidTr="0023489B">
        <w:trPr>
          <w:trHeight w:val="305"/>
        </w:trPr>
        <w:tc>
          <w:tcPr>
            <w:tcW w:w="4820" w:type="dxa"/>
            <w:tcBorders>
              <w:top w:val="single" w:sz="4" w:space="0" w:color="auto"/>
              <w:left w:val="single" w:sz="4" w:space="0" w:color="auto"/>
              <w:bottom w:val="single" w:sz="4" w:space="0" w:color="auto"/>
              <w:right w:val="single" w:sz="4" w:space="0" w:color="auto"/>
            </w:tcBorders>
            <w:vAlign w:val="center"/>
          </w:tcPr>
          <w:p w:rsidR="00B233DE" w:rsidRPr="009F59F7" w:rsidRDefault="00B233DE" w:rsidP="0023489B">
            <w:pPr>
              <w:ind w:left="-108" w:right="-108" w:firstLine="0"/>
              <w:jc w:val="both"/>
              <w:rPr>
                <w:rFonts w:ascii="Times New Roman" w:eastAsia="Calibri" w:hAnsi="Times New Roman" w:cs="Times New Roman"/>
                <w:spacing w:val="-6"/>
                <w:sz w:val="18"/>
                <w:szCs w:val="18"/>
              </w:rPr>
            </w:pPr>
            <w:r w:rsidRPr="009F59F7">
              <w:rPr>
                <w:rFonts w:ascii="Times New Roman" w:hAnsi="Times New Roman" w:cs="Times New Roman"/>
                <w:spacing w:val="-6"/>
                <w:sz w:val="18"/>
                <w:szCs w:val="18"/>
              </w:rPr>
              <w:t>Витрати на робочу силу – це видатки на відтворення робочої сили, які здійснюються протягом усього життєвого циклу працівників і забезпечують нормальну життєдіяльність як їх самих, так і членів їх сімей</w:t>
            </w:r>
          </w:p>
        </w:tc>
        <w:tc>
          <w:tcPr>
            <w:tcW w:w="1276" w:type="dxa"/>
            <w:tcBorders>
              <w:top w:val="single" w:sz="4" w:space="0" w:color="auto"/>
              <w:left w:val="single" w:sz="4" w:space="0" w:color="auto"/>
              <w:bottom w:val="single" w:sz="4" w:space="0" w:color="auto"/>
              <w:right w:val="single" w:sz="4" w:space="0" w:color="auto"/>
            </w:tcBorders>
            <w:vAlign w:val="center"/>
          </w:tcPr>
          <w:p w:rsidR="00B233DE" w:rsidRPr="009F59F7" w:rsidRDefault="00B233DE" w:rsidP="0023489B">
            <w:pPr>
              <w:ind w:left="-108" w:right="-108" w:firstLine="0"/>
              <w:jc w:val="center"/>
              <w:rPr>
                <w:rFonts w:ascii="Times New Roman" w:eastAsia="Calibri" w:hAnsi="Times New Roman" w:cs="Times New Roman"/>
                <w:spacing w:val="-6"/>
                <w:sz w:val="18"/>
                <w:szCs w:val="18"/>
              </w:rPr>
            </w:pPr>
            <w:r w:rsidRPr="009F59F7">
              <w:rPr>
                <w:rFonts w:ascii="Times New Roman" w:hAnsi="Times New Roman" w:cs="Times New Roman"/>
                <w:spacing w:val="-6"/>
                <w:sz w:val="18"/>
                <w:szCs w:val="18"/>
              </w:rPr>
              <w:t>А. Колот [</w:t>
            </w:r>
            <w:r>
              <w:rPr>
                <w:rFonts w:ascii="Times New Roman" w:hAnsi="Times New Roman" w:cs="Times New Roman"/>
                <w:spacing w:val="-6"/>
                <w:sz w:val="18"/>
                <w:szCs w:val="18"/>
                <w:highlight w:val="yellow"/>
              </w:rPr>
              <w:fldChar w:fldCharType="begin"/>
            </w:r>
            <w:r>
              <w:rPr>
                <w:rFonts w:ascii="Times New Roman" w:hAnsi="Times New Roman" w:cs="Times New Roman"/>
                <w:spacing w:val="-6"/>
                <w:sz w:val="18"/>
                <w:szCs w:val="18"/>
              </w:rPr>
              <w:instrText xml:space="preserve"> REF _Ref433977628 \r \h </w:instrText>
            </w:r>
            <w:r>
              <w:rPr>
                <w:rFonts w:ascii="Times New Roman" w:hAnsi="Times New Roman" w:cs="Times New Roman"/>
                <w:spacing w:val="-6"/>
                <w:sz w:val="18"/>
                <w:szCs w:val="18"/>
                <w:highlight w:val="yellow"/>
              </w:rPr>
            </w:r>
            <w:r>
              <w:rPr>
                <w:rFonts w:ascii="Times New Roman" w:hAnsi="Times New Roman" w:cs="Times New Roman"/>
                <w:spacing w:val="-6"/>
                <w:sz w:val="18"/>
                <w:szCs w:val="18"/>
                <w:highlight w:val="yellow"/>
              </w:rPr>
              <w:fldChar w:fldCharType="separate"/>
            </w:r>
            <w:r>
              <w:rPr>
                <w:rFonts w:ascii="Times New Roman" w:hAnsi="Times New Roman" w:cs="Times New Roman"/>
                <w:spacing w:val="-6"/>
                <w:sz w:val="18"/>
                <w:szCs w:val="18"/>
              </w:rPr>
              <w:t>52</w:t>
            </w:r>
            <w:r>
              <w:rPr>
                <w:rFonts w:ascii="Times New Roman" w:hAnsi="Times New Roman" w:cs="Times New Roman"/>
                <w:spacing w:val="-6"/>
                <w:sz w:val="18"/>
                <w:szCs w:val="18"/>
                <w:highlight w:val="yellow"/>
              </w:rPr>
              <w:fldChar w:fldCharType="end"/>
            </w:r>
            <w:r w:rsidRPr="009F59F7">
              <w:rPr>
                <w:rFonts w:ascii="Times New Roman" w:hAnsi="Times New Roman" w:cs="Times New Roman"/>
                <w:spacing w:val="-6"/>
                <w:sz w:val="18"/>
                <w:szCs w:val="18"/>
              </w:rPr>
              <w:t>]</w:t>
            </w:r>
          </w:p>
        </w:tc>
      </w:tr>
      <w:tr w:rsidR="00B233DE" w:rsidRPr="005314AE" w:rsidTr="0023489B">
        <w:trPr>
          <w:trHeight w:val="305"/>
        </w:trPr>
        <w:tc>
          <w:tcPr>
            <w:tcW w:w="4820" w:type="dxa"/>
            <w:tcBorders>
              <w:top w:val="single" w:sz="4" w:space="0" w:color="auto"/>
              <w:left w:val="single" w:sz="4" w:space="0" w:color="auto"/>
              <w:bottom w:val="single" w:sz="4" w:space="0" w:color="auto"/>
              <w:right w:val="single" w:sz="4" w:space="0" w:color="auto"/>
            </w:tcBorders>
            <w:vAlign w:val="center"/>
          </w:tcPr>
          <w:p w:rsidR="00B233DE" w:rsidRPr="009F59F7" w:rsidRDefault="00B233DE" w:rsidP="0023489B">
            <w:pPr>
              <w:ind w:left="-108" w:right="-108" w:firstLine="0"/>
              <w:jc w:val="both"/>
              <w:rPr>
                <w:rFonts w:ascii="Times New Roman" w:eastAsia="Calibri" w:hAnsi="Times New Roman" w:cs="Times New Roman"/>
                <w:spacing w:val="-6"/>
                <w:sz w:val="18"/>
                <w:szCs w:val="18"/>
              </w:rPr>
            </w:pPr>
            <w:r w:rsidRPr="009F59F7">
              <w:rPr>
                <w:rFonts w:ascii="Times New Roman" w:hAnsi="Times New Roman" w:cs="Times New Roman"/>
                <w:spacing w:val="-6"/>
                <w:sz w:val="18"/>
                <w:szCs w:val="18"/>
              </w:rPr>
              <w:t>Витрати на підготовку і перепідготовку кадрів на договірній основі – передбачена договором плата підприємством за надання навчальними закладами в процесі підготовки спеціалістів послуг з перепідготовки і підвищення кваліфікації, що передбачені затвердженими навчальними планами і програмами</w:t>
            </w:r>
          </w:p>
        </w:tc>
        <w:tc>
          <w:tcPr>
            <w:tcW w:w="1276" w:type="dxa"/>
            <w:tcBorders>
              <w:top w:val="single" w:sz="4" w:space="0" w:color="auto"/>
              <w:left w:val="single" w:sz="4" w:space="0" w:color="auto"/>
              <w:bottom w:val="single" w:sz="4" w:space="0" w:color="auto"/>
              <w:right w:val="single" w:sz="4" w:space="0" w:color="auto"/>
            </w:tcBorders>
            <w:vAlign w:val="center"/>
          </w:tcPr>
          <w:p w:rsidR="00B233DE" w:rsidRPr="009F59F7" w:rsidRDefault="00B233DE" w:rsidP="0023489B">
            <w:pPr>
              <w:ind w:left="-108" w:right="-108" w:firstLine="0"/>
              <w:jc w:val="center"/>
              <w:rPr>
                <w:rFonts w:ascii="Times New Roman" w:eastAsia="Calibri" w:hAnsi="Times New Roman" w:cs="Times New Roman"/>
                <w:spacing w:val="-6"/>
                <w:sz w:val="18"/>
                <w:szCs w:val="18"/>
              </w:rPr>
            </w:pPr>
            <w:r w:rsidRPr="009F59F7">
              <w:rPr>
                <w:rFonts w:ascii="Times New Roman" w:hAnsi="Times New Roman" w:cs="Times New Roman"/>
                <w:spacing w:val="-6"/>
                <w:sz w:val="18"/>
                <w:szCs w:val="18"/>
              </w:rPr>
              <w:t>Б. Райзберг, Л. Лозовский, Е. Стародубцева [</w:t>
            </w:r>
            <w:r>
              <w:rPr>
                <w:rFonts w:ascii="Times New Roman" w:hAnsi="Times New Roman" w:cs="Times New Roman"/>
                <w:spacing w:val="-6"/>
                <w:sz w:val="18"/>
                <w:szCs w:val="18"/>
              </w:rPr>
              <w:t>Райзберг Б. А. Современ</w:t>
            </w:r>
            <w:r w:rsidRPr="009F59F7">
              <w:rPr>
                <w:rFonts w:ascii="Times New Roman" w:hAnsi="Times New Roman" w:cs="Times New Roman"/>
                <w:spacing w:val="-6"/>
                <w:sz w:val="18"/>
                <w:szCs w:val="18"/>
              </w:rPr>
              <w:t>]</w:t>
            </w:r>
          </w:p>
        </w:tc>
      </w:tr>
      <w:tr w:rsidR="00B233DE" w:rsidRPr="005314AE" w:rsidTr="0023489B">
        <w:trPr>
          <w:trHeight w:val="305"/>
        </w:trPr>
        <w:tc>
          <w:tcPr>
            <w:tcW w:w="4820" w:type="dxa"/>
            <w:tcBorders>
              <w:top w:val="single" w:sz="4" w:space="0" w:color="auto"/>
              <w:left w:val="single" w:sz="4" w:space="0" w:color="auto"/>
              <w:bottom w:val="single" w:sz="4" w:space="0" w:color="auto"/>
              <w:right w:val="single" w:sz="4" w:space="0" w:color="auto"/>
            </w:tcBorders>
            <w:vAlign w:val="center"/>
          </w:tcPr>
          <w:p w:rsidR="00B233DE" w:rsidRPr="009F59F7" w:rsidRDefault="00B233DE" w:rsidP="0023489B">
            <w:pPr>
              <w:ind w:left="-108" w:right="-108" w:firstLine="0"/>
              <w:jc w:val="both"/>
              <w:rPr>
                <w:rFonts w:ascii="Times New Roman" w:eastAsia="Calibri" w:hAnsi="Times New Roman" w:cs="Times New Roman"/>
                <w:spacing w:val="-6"/>
                <w:sz w:val="18"/>
                <w:szCs w:val="18"/>
              </w:rPr>
            </w:pPr>
            <w:r w:rsidRPr="009F59F7">
              <w:rPr>
                <w:rFonts w:ascii="Times New Roman" w:hAnsi="Times New Roman" w:cs="Times New Roman"/>
                <w:spacing w:val="-6"/>
                <w:sz w:val="18"/>
                <w:szCs w:val="18"/>
              </w:rPr>
              <w:t>Витрати підприємства, пов’язані з професійною підготовкою, перепідготовкою або підвищенням кваліфікації працівників за профілем діяльності такого підприємства, є витратами на виробничі цілі, що пов’язані з господарською діяльністю підприємства і не вважаються особистими доходами (додатковим благом) працівників</w:t>
            </w:r>
          </w:p>
        </w:tc>
        <w:tc>
          <w:tcPr>
            <w:tcW w:w="1276" w:type="dxa"/>
            <w:tcBorders>
              <w:top w:val="single" w:sz="4" w:space="0" w:color="auto"/>
              <w:left w:val="single" w:sz="4" w:space="0" w:color="auto"/>
              <w:bottom w:val="single" w:sz="4" w:space="0" w:color="auto"/>
              <w:right w:val="single" w:sz="4" w:space="0" w:color="auto"/>
            </w:tcBorders>
            <w:vAlign w:val="center"/>
          </w:tcPr>
          <w:p w:rsidR="00B233DE" w:rsidRPr="009F59F7" w:rsidRDefault="00B233DE" w:rsidP="0023489B">
            <w:pPr>
              <w:ind w:left="-108" w:right="-108" w:firstLine="0"/>
              <w:jc w:val="center"/>
              <w:rPr>
                <w:rFonts w:ascii="Times New Roman" w:eastAsia="Calibri" w:hAnsi="Times New Roman" w:cs="Times New Roman"/>
                <w:spacing w:val="-6"/>
                <w:sz w:val="18"/>
                <w:szCs w:val="18"/>
              </w:rPr>
            </w:pPr>
            <w:r w:rsidRPr="009F59F7">
              <w:rPr>
                <w:rFonts w:ascii="Times New Roman" w:hAnsi="Times New Roman" w:cs="Times New Roman"/>
                <w:spacing w:val="-6"/>
                <w:sz w:val="18"/>
                <w:szCs w:val="18"/>
              </w:rPr>
              <w:t>Державна податкова адміністрація України</w:t>
            </w:r>
          </w:p>
          <w:p w:rsidR="00B233DE" w:rsidRPr="009F59F7" w:rsidRDefault="00B233DE" w:rsidP="0023489B">
            <w:pPr>
              <w:ind w:left="-108" w:right="-108" w:firstLine="0"/>
              <w:jc w:val="center"/>
              <w:rPr>
                <w:rFonts w:ascii="Times New Roman" w:eastAsia="Calibri" w:hAnsi="Times New Roman" w:cs="Times New Roman"/>
                <w:spacing w:val="-6"/>
                <w:sz w:val="18"/>
                <w:szCs w:val="18"/>
              </w:rPr>
            </w:pPr>
            <w:r w:rsidRPr="009F59F7">
              <w:rPr>
                <w:rFonts w:ascii="Times New Roman" w:hAnsi="Times New Roman" w:cs="Times New Roman"/>
                <w:spacing w:val="-6"/>
                <w:sz w:val="18"/>
                <w:szCs w:val="18"/>
              </w:rPr>
              <w:t>[</w:t>
            </w:r>
            <w:r>
              <w:rPr>
                <w:rFonts w:ascii="Times New Roman" w:hAnsi="Times New Roman" w:cs="Times New Roman"/>
                <w:spacing w:val="-6"/>
                <w:sz w:val="18"/>
                <w:szCs w:val="18"/>
              </w:rPr>
              <w:fldChar w:fldCharType="begin"/>
            </w:r>
            <w:r>
              <w:rPr>
                <w:rFonts w:ascii="Times New Roman" w:hAnsi="Times New Roman" w:cs="Times New Roman"/>
                <w:spacing w:val="-6"/>
                <w:sz w:val="18"/>
                <w:szCs w:val="18"/>
              </w:rPr>
              <w:instrText xml:space="preserve"> REF _Ref433977644 \r \h </w:instrText>
            </w:r>
            <w:r>
              <w:rPr>
                <w:rFonts w:ascii="Times New Roman" w:hAnsi="Times New Roman" w:cs="Times New Roman"/>
                <w:spacing w:val="-6"/>
                <w:sz w:val="18"/>
                <w:szCs w:val="18"/>
              </w:rPr>
            </w:r>
            <w:r>
              <w:rPr>
                <w:rFonts w:ascii="Times New Roman" w:hAnsi="Times New Roman" w:cs="Times New Roman"/>
                <w:spacing w:val="-6"/>
                <w:sz w:val="18"/>
                <w:szCs w:val="18"/>
              </w:rPr>
              <w:fldChar w:fldCharType="separate"/>
            </w:r>
            <w:r>
              <w:rPr>
                <w:rFonts w:ascii="Times New Roman" w:hAnsi="Times New Roman" w:cs="Times New Roman"/>
                <w:spacing w:val="-6"/>
                <w:sz w:val="18"/>
                <w:szCs w:val="18"/>
              </w:rPr>
              <w:t>113</w:t>
            </w:r>
            <w:r>
              <w:rPr>
                <w:rFonts w:ascii="Times New Roman" w:hAnsi="Times New Roman" w:cs="Times New Roman"/>
                <w:spacing w:val="-6"/>
                <w:sz w:val="18"/>
                <w:szCs w:val="18"/>
              </w:rPr>
              <w:fldChar w:fldCharType="end"/>
            </w:r>
            <w:r w:rsidRPr="009F59F7">
              <w:rPr>
                <w:rFonts w:ascii="Times New Roman" w:hAnsi="Times New Roman" w:cs="Times New Roman"/>
                <w:spacing w:val="-6"/>
                <w:sz w:val="18"/>
                <w:szCs w:val="18"/>
              </w:rPr>
              <w:t>]</w:t>
            </w:r>
          </w:p>
        </w:tc>
      </w:tr>
    </w:tbl>
    <w:p w:rsidR="00B233DE" w:rsidRPr="008417EA" w:rsidRDefault="00B233DE" w:rsidP="00B233DE">
      <w:pPr>
        <w:autoSpaceDE w:val="0"/>
        <w:autoSpaceDN w:val="0"/>
        <w:adjustRightInd w:val="0"/>
        <w:ind w:firstLine="708"/>
        <w:jc w:val="both"/>
        <w:rPr>
          <w:rFonts w:ascii="Times New Roman" w:hAnsi="Times New Roman" w:cs="Times New Roman"/>
          <w:spacing w:val="-2"/>
          <w:sz w:val="21"/>
          <w:szCs w:val="21"/>
        </w:rPr>
      </w:pPr>
      <w:r>
        <w:rPr>
          <w:rFonts w:ascii="Times New Roman" w:hAnsi="Times New Roman" w:cs="Times New Roman"/>
          <w:spacing w:val="-2"/>
          <w:sz w:val="21"/>
          <w:szCs w:val="21"/>
        </w:rPr>
        <w:lastRenderedPageBreak/>
        <w:t xml:space="preserve">А. </w:t>
      </w:r>
      <w:r w:rsidRPr="008417EA">
        <w:rPr>
          <w:rFonts w:ascii="Times New Roman" w:hAnsi="Times New Roman" w:cs="Times New Roman"/>
          <w:spacing w:val="-2"/>
          <w:sz w:val="21"/>
          <w:szCs w:val="21"/>
        </w:rPr>
        <w:t>Пересада також розглядає вкладення в людський капіт</w:t>
      </w:r>
      <w:r>
        <w:rPr>
          <w:rFonts w:ascii="Times New Roman" w:hAnsi="Times New Roman" w:cs="Times New Roman"/>
          <w:spacing w:val="-2"/>
          <w:sz w:val="21"/>
          <w:szCs w:val="21"/>
        </w:rPr>
        <w:t>ал як інтелектуальні інвестиції [</w:t>
      </w:r>
      <w:r>
        <w:rPr>
          <w:rFonts w:ascii="Times New Roman" w:hAnsi="Times New Roman" w:cs="Times New Roman"/>
          <w:spacing w:val="-2"/>
          <w:sz w:val="21"/>
          <w:szCs w:val="21"/>
          <w:highlight w:val="yellow"/>
        </w:rPr>
        <w:fldChar w:fldCharType="begin"/>
      </w:r>
      <w:r>
        <w:rPr>
          <w:rFonts w:ascii="Times New Roman" w:hAnsi="Times New Roman" w:cs="Times New Roman"/>
          <w:spacing w:val="-2"/>
          <w:sz w:val="21"/>
          <w:szCs w:val="21"/>
        </w:rPr>
        <w:instrText xml:space="preserve"> REF _Ref433977672 \r \h </w:instrText>
      </w:r>
      <w:r>
        <w:rPr>
          <w:rFonts w:ascii="Times New Roman" w:hAnsi="Times New Roman" w:cs="Times New Roman"/>
          <w:spacing w:val="-2"/>
          <w:sz w:val="21"/>
          <w:szCs w:val="21"/>
          <w:highlight w:val="yellow"/>
        </w:rPr>
      </w:r>
      <w:r>
        <w:rPr>
          <w:rFonts w:ascii="Times New Roman" w:hAnsi="Times New Roman" w:cs="Times New Roman"/>
          <w:spacing w:val="-2"/>
          <w:sz w:val="21"/>
          <w:szCs w:val="21"/>
          <w:highlight w:val="yellow"/>
        </w:rPr>
        <w:fldChar w:fldCharType="separate"/>
      </w:r>
      <w:r>
        <w:rPr>
          <w:rFonts w:ascii="Times New Roman" w:hAnsi="Times New Roman" w:cs="Times New Roman"/>
          <w:spacing w:val="-2"/>
          <w:sz w:val="21"/>
          <w:szCs w:val="21"/>
        </w:rPr>
        <w:t>79</w:t>
      </w:r>
      <w:r>
        <w:rPr>
          <w:rFonts w:ascii="Times New Roman" w:hAnsi="Times New Roman" w:cs="Times New Roman"/>
          <w:spacing w:val="-2"/>
          <w:sz w:val="21"/>
          <w:szCs w:val="21"/>
          <w:highlight w:val="yellow"/>
        </w:rPr>
        <w:fldChar w:fldCharType="end"/>
      </w:r>
      <w:r>
        <w:rPr>
          <w:rFonts w:ascii="Times New Roman" w:hAnsi="Times New Roman" w:cs="Times New Roman"/>
          <w:spacing w:val="-2"/>
          <w:sz w:val="21"/>
          <w:szCs w:val="21"/>
        </w:rPr>
        <w:t xml:space="preserve">, с. </w:t>
      </w:r>
      <w:r w:rsidRPr="008417EA">
        <w:rPr>
          <w:rFonts w:ascii="Times New Roman" w:hAnsi="Times New Roman" w:cs="Times New Roman"/>
          <w:spacing w:val="-2"/>
          <w:sz w:val="21"/>
          <w:szCs w:val="21"/>
        </w:rPr>
        <w:t xml:space="preserve">22]. Посилення необхідності визначення інтелектуальних інвестицій та інвестицій в людських капітал вимагає дослідити ці поняття та визначити мету і наслідки їх здійснення (табл. </w:t>
      </w:r>
      <w:r>
        <w:rPr>
          <w:rFonts w:ascii="Times New Roman" w:hAnsi="Times New Roman" w:cs="Times New Roman"/>
          <w:spacing w:val="-2"/>
          <w:sz w:val="21"/>
          <w:szCs w:val="21"/>
        </w:rPr>
        <w:t>3.5</w:t>
      </w:r>
      <w:r w:rsidRPr="008417EA">
        <w:rPr>
          <w:rFonts w:ascii="Times New Roman" w:hAnsi="Times New Roman" w:cs="Times New Roman"/>
          <w:spacing w:val="-2"/>
          <w:sz w:val="21"/>
          <w:szCs w:val="21"/>
        </w:rPr>
        <w:t>).</w:t>
      </w:r>
    </w:p>
    <w:p w:rsidR="00B233DE" w:rsidRDefault="00B233DE" w:rsidP="00B233DE">
      <w:pPr>
        <w:autoSpaceDE w:val="0"/>
        <w:autoSpaceDN w:val="0"/>
        <w:adjustRightInd w:val="0"/>
        <w:jc w:val="right"/>
        <w:rPr>
          <w:rFonts w:ascii="Times New Roman" w:hAnsi="Times New Roman" w:cs="Times New Roman"/>
          <w:sz w:val="21"/>
          <w:szCs w:val="21"/>
        </w:rPr>
      </w:pPr>
    </w:p>
    <w:p w:rsidR="00B233DE" w:rsidRPr="008417EA" w:rsidRDefault="00B233DE" w:rsidP="00B233DE">
      <w:pPr>
        <w:autoSpaceDE w:val="0"/>
        <w:autoSpaceDN w:val="0"/>
        <w:adjustRightInd w:val="0"/>
        <w:jc w:val="right"/>
        <w:rPr>
          <w:rFonts w:ascii="Times New Roman" w:hAnsi="Times New Roman" w:cs="Times New Roman"/>
          <w:sz w:val="21"/>
          <w:szCs w:val="21"/>
        </w:rPr>
      </w:pPr>
      <w:r w:rsidRPr="008417EA">
        <w:rPr>
          <w:rFonts w:ascii="Times New Roman" w:hAnsi="Times New Roman" w:cs="Times New Roman"/>
          <w:sz w:val="21"/>
          <w:szCs w:val="21"/>
        </w:rPr>
        <w:t xml:space="preserve">Таблиця </w:t>
      </w:r>
      <w:r>
        <w:rPr>
          <w:rFonts w:ascii="Times New Roman" w:hAnsi="Times New Roman" w:cs="Times New Roman"/>
          <w:sz w:val="21"/>
          <w:szCs w:val="21"/>
        </w:rPr>
        <w:t>3.5</w:t>
      </w:r>
    </w:p>
    <w:p w:rsidR="00B233DE" w:rsidRPr="009F59F7" w:rsidRDefault="00B233DE" w:rsidP="00B233DE">
      <w:pPr>
        <w:autoSpaceDE w:val="0"/>
        <w:autoSpaceDN w:val="0"/>
        <w:adjustRightInd w:val="0"/>
        <w:jc w:val="center"/>
        <w:rPr>
          <w:rFonts w:ascii="Times New Roman" w:hAnsi="Times New Roman" w:cs="Times New Roman"/>
          <w:b/>
          <w:sz w:val="21"/>
          <w:szCs w:val="21"/>
        </w:rPr>
      </w:pPr>
      <w:r w:rsidRPr="009F59F7">
        <w:rPr>
          <w:rFonts w:ascii="Times New Roman" w:hAnsi="Times New Roman" w:cs="Times New Roman"/>
          <w:b/>
          <w:sz w:val="21"/>
          <w:szCs w:val="21"/>
        </w:rPr>
        <w:t>Підходи науковців до визначення понять «інвестиції в людський капітал» та «інтелектуальні інвестиції»</w:t>
      </w:r>
    </w:p>
    <w:tbl>
      <w:tblPr>
        <w:tblW w:w="6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644"/>
        <w:gridCol w:w="1560"/>
      </w:tblGrid>
      <w:tr w:rsidR="00B233DE" w:rsidRPr="005314AE" w:rsidTr="0023489B">
        <w:tc>
          <w:tcPr>
            <w:tcW w:w="4644"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center"/>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Визначення понять</w:t>
            </w:r>
          </w:p>
        </w:tc>
        <w:tc>
          <w:tcPr>
            <w:tcW w:w="1560"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center"/>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Автор</w:t>
            </w:r>
          </w:p>
        </w:tc>
      </w:tr>
      <w:tr w:rsidR="00B233DE" w:rsidRPr="005314AE" w:rsidTr="0023489B">
        <w:tc>
          <w:tcPr>
            <w:tcW w:w="4644"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center"/>
              <w:rPr>
                <w:rFonts w:ascii="Times New Roman" w:eastAsia="Calibri" w:hAnsi="Times New Roman" w:cs="Times New Roman"/>
                <w:spacing w:val="-6"/>
                <w:sz w:val="18"/>
                <w:szCs w:val="18"/>
              </w:rPr>
            </w:pPr>
            <w:r>
              <w:rPr>
                <w:rFonts w:ascii="Times New Roman" w:hAnsi="Times New Roman" w:cs="Times New Roman"/>
                <w:spacing w:val="-6"/>
                <w:sz w:val="18"/>
                <w:szCs w:val="18"/>
              </w:rPr>
              <w:t>1</w:t>
            </w:r>
          </w:p>
        </w:tc>
        <w:tc>
          <w:tcPr>
            <w:tcW w:w="1560"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center"/>
              <w:rPr>
                <w:rFonts w:ascii="Times New Roman" w:eastAsia="Calibri" w:hAnsi="Times New Roman" w:cs="Times New Roman"/>
                <w:spacing w:val="-6"/>
                <w:sz w:val="18"/>
                <w:szCs w:val="18"/>
              </w:rPr>
            </w:pPr>
            <w:r>
              <w:rPr>
                <w:rFonts w:ascii="Times New Roman" w:hAnsi="Times New Roman" w:cs="Times New Roman"/>
                <w:spacing w:val="-6"/>
                <w:sz w:val="18"/>
                <w:szCs w:val="18"/>
              </w:rPr>
              <w:t>2</w:t>
            </w:r>
          </w:p>
        </w:tc>
      </w:tr>
      <w:tr w:rsidR="00B233DE" w:rsidRPr="005314AE" w:rsidTr="0023489B">
        <w:trPr>
          <w:trHeight w:val="737"/>
        </w:trPr>
        <w:tc>
          <w:tcPr>
            <w:tcW w:w="4644"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 xml:space="preserve">Інвестиції, інтелектуальні – вкладення засобів у підготовку спеціалістів на курсах, передачу досвіду, ліцензій, ноу-хау, спільних наукових розробок і т. п. </w:t>
            </w:r>
          </w:p>
        </w:tc>
        <w:tc>
          <w:tcPr>
            <w:tcW w:w="1560"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А. Азріліян [</w:t>
            </w:r>
            <w:r>
              <w:rPr>
                <w:rFonts w:ascii="Times New Roman" w:hAnsi="Times New Roman" w:cs="Times New Roman"/>
                <w:spacing w:val="-6"/>
                <w:sz w:val="18"/>
                <w:szCs w:val="18"/>
                <w:highlight w:val="yellow"/>
              </w:rPr>
              <w:fldChar w:fldCharType="begin"/>
            </w:r>
            <w:r>
              <w:rPr>
                <w:rFonts w:ascii="Times New Roman" w:hAnsi="Times New Roman" w:cs="Times New Roman"/>
                <w:spacing w:val="-6"/>
                <w:sz w:val="18"/>
                <w:szCs w:val="18"/>
              </w:rPr>
              <w:instrText xml:space="preserve"> REF _Ref433977618 \r \h </w:instrText>
            </w:r>
            <w:r>
              <w:rPr>
                <w:rFonts w:ascii="Times New Roman" w:hAnsi="Times New Roman" w:cs="Times New Roman"/>
                <w:spacing w:val="-6"/>
                <w:sz w:val="18"/>
                <w:szCs w:val="18"/>
                <w:highlight w:val="yellow"/>
              </w:rPr>
              <w:instrText xml:space="preserve"> \* MERGEFORMAT </w:instrText>
            </w:r>
            <w:r>
              <w:rPr>
                <w:rFonts w:ascii="Times New Roman" w:hAnsi="Times New Roman" w:cs="Times New Roman"/>
                <w:spacing w:val="-6"/>
                <w:sz w:val="18"/>
                <w:szCs w:val="18"/>
                <w:highlight w:val="yellow"/>
              </w:rPr>
            </w:r>
            <w:r>
              <w:rPr>
                <w:rFonts w:ascii="Times New Roman" w:hAnsi="Times New Roman" w:cs="Times New Roman"/>
                <w:spacing w:val="-6"/>
                <w:sz w:val="18"/>
                <w:szCs w:val="18"/>
                <w:highlight w:val="yellow"/>
              </w:rPr>
              <w:fldChar w:fldCharType="separate"/>
            </w:r>
            <w:r>
              <w:rPr>
                <w:rFonts w:ascii="Times New Roman" w:hAnsi="Times New Roman" w:cs="Times New Roman"/>
                <w:spacing w:val="-6"/>
                <w:sz w:val="18"/>
                <w:szCs w:val="18"/>
              </w:rPr>
              <w:t>1</w:t>
            </w:r>
            <w:r>
              <w:rPr>
                <w:rFonts w:ascii="Times New Roman" w:hAnsi="Times New Roman" w:cs="Times New Roman"/>
                <w:spacing w:val="-6"/>
                <w:sz w:val="18"/>
                <w:szCs w:val="18"/>
                <w:highlight w:val="yellow"/>
              </w:rPr>
              <w:fldChar w:fldCharType="end"/>
            </w:r>
            <w:r w:rsidRPr="00E85ABF">
              <w:rPr>
                <w:rFonts w:ascii="Times New Roman" w:hAnsi="Times New Roman" w:cs="Times New Roman"/>
                <w:spacing w:val="-6"/>
                <w:sz w:val="18"/>
                <w:szCs w:val="18"/>
              </w:rPr>
              <w:t>, с. 150]</w:t>
            </w:r>
          </w:p>
        </w:tc>
      </w:tr>
      <w:tr w:rsidR="00B233DE" w:rsidRPr="005314AE" w:rsidTr="0023489B">
        <w:tc>
          <w:tcPr>
            <w:tcW w:w="4644"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 xml:space="preserve">Вкладення в інтелектуальну власність називаються інтелектуальними інвестиціями </w:t>
            </w:r>
          </w:p>
        </w:tc>
        <w:tc>
          <w:tcPr>
            <w:tcW w:w="1560"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І. Мойсеєнко [</w:t>
            </w:r>
            <w:r>
              <w:rPr>
                <w:rFonts w:ascii="Times New Roman" w:hAnsi="Times New Roman" w:cs="Times New Roman"/>
                <w:spacing w:val="-6"/>
                <w:sz w:val="18"/>
                <w:szCs w:val="18"/>
                <w:highlight w:val="yellow"/>
              </w:rPr>
              <w:fldChar w:fldCharType="begin"/>
            </w:r>
            <w:r>
              <w:rPr>
                <w:rFonts w:ascii="Times New Roman" w:hAnsi="Times New Roman" w:cs="Times New Roman"/>
                <w:spacing w:val="-6"/>
                <w:sz w:val="18"/>
                <w:szCs w:val="18"/>
              </w:rPr>
              <w:instrText xml:space="preserve"> REF _Ref433977687 \r \h </w:instrText>
            </w:r>
            <w:r>
              <w:rPr>
                <w:rFonts w:ascii="Times New Roman" w:hAnsi="Times New Roman" w:cs="Times New Roman"/>
                <w:spacing w:val="-6"/>
                <w:sz w:val="18"/>
                <w:szCs w:val="18"/>
                <w:highlight w:val="yellow"/>
              </w:rPr>
              <w:instrText xml:space="preserve"> \* MERGEFORMAT </w:instrText>
            </w:r>
            <w:r>
              <w:rPr>
                <w:rFonts w:ascii="Times New Roman" w:hAnsi="Times New Roman" w:cs="Times New Roman"/>
                <w:spacing w:val="-6"/>
                <w:sz w:val="18"/>
                <w:szCs w:val="18"/>
                <w:highlight w:val="yellow"/>
              </w:rPr>
            </w:r>
            <w:r>
              <w:rPr>
                <w:rFonts w:ascii="Times New Roman" w:hAnsi="Times New Roman" w:cs="Times New Roman"/>
                <w:spacing w:val="-6"/>
                <w:sz w:val="18"/>
                <w:szCs w:val="18"/>
                <w:highlight w:val="yellow"/>
              </w:rPr>
              <w:fldChar w:fldCharType="separate"/>
            </w:r>
            <w:r>
              <w:rPr>
                <w:rFonts w:ascii="Times New Roman" w:hAnsi="Times New Roman" w:cs="Times New Roman"/>
                <w:spacing w:val="-6"/>
                <w:sz w:val="18"/>
                <w:szCs w:val="18"/>
              </w:rPr>
              <w:t>68</w:t>
            </w:r>
            <w:r>
              <w:rPr>
                <w:rFonts w:ascii="Times New Roman" w:hAnsi="Times New Roman" w:cs="Times New Roman"/>
                <w:spacing w:val="-6"/>
                <w:sz w:val="18"/>
                <w:szCs w:val="18"/>
                <w:highlight w:val="yellow"/>
              </w:rPr>
              <w:fldChar w:fldCharType="end"/>
            </w:r>
            <w:r w:rsidRPr="00E85ABF">
              <w:rPr>
                <w:rFonts w:ascii="Times New Roman" w:hAnsi="Times New Roman" w:cs="Times New Roman"/>
                <w:spacing w:val="-6"/>
                <w:sz w:val="18"/>
                <w:szCs w:val="18"/>
              </w:rPr>
              <w:t>]</w:t>
            </w:r>
          </w:p>
        </w:tc>
      </w:tr>
      <w:tr w:rsidR="00B233DE" w:rsidRPr="005314AE" w:rsidTr="0023489B">
        <w:tc>
          <w:tcPr>
            <w:tcW w:w="4644"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Інтелектуальні інвестиції – вкладення коштів у об’єкти інтелектуальної власності</w:t>
            </w:r>
          </w:p>
        </w:tc>
        <w:tc>
          <w:tcPr>
            <w:tcW w:w="1560"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А. Поддєрьогін [</w:t>
            </w:r>
            <w:r>
              <w:rPr>
                <w:rFonts w:ascii="Times New Roman" w:hAnsi="Times New Roman" w:cs="Times New Roman"/>
                <w:spacing w:val="-6"/>
                <w:sz w:val="18"/>
                <w:szCs w:val="18"/>
                <w:highlight w:val="yellow"/>
              </w:rPr>
              <w:fldChar w:fldCharType="begin"/>
            </w:r>
            <w:r>
              <w:rPr>
                <w:rFonts w:ascii="Times New Roman" w:hAnsi="Times New Roman" w:cs="Times New Roman"/>
                <w:spacing w:val="-6"/>
                <w:sz w:val="18"/>
                <w:szCs w:val="18"/>
              </w:rPr>
              <w:instrText xml:space="preserve"> REF _Ref433977693 \r \h </w:instrText>
            </w:r>
            <w:r>
              <w:rPr>
                <w:rFonts w:ascii="Times New Roman" w:hAnsi="Times New Roman" w:cs="Times New Roman"/>
                <w:spacing w:val="-6"/>
                <w:sz w:val="18"/>
                <w:szCs w:val="18"/>
                <w:highlight w:val="yellow"/>
              </w:rPr>
              <w:instrText xml:space="preserve"> \* MERGEFORMAT </w:instrText>
            </w:r>
            <w:r>
              <w:rPr>
                <w:rFonts w:ascii="Times New Roman" w:hAnsi="Times New Roman" w:cs="Times New Roman"/>
                <w:spacing w:val="-6"/>
                <w:sz w:val="18"/>
                <w:szCs w:val="18"/>
                <w:highlight w:val="yellow"/>
              </w:rPr>
            </w:r>
            <w:r>
              <w:rPr>
                <w:rFonts w:ascii="Times New Roman" w:hAnsi="Times New Roman" w:cs="Times New Roman"/>
                <w:spacing w:val="-6"/>
                <w:sz w:val="18"/>
                <w:szCs w:val="18"/>
                <w:highlight w:val="yellow"/>
              </w:rPr>
              <w:fldChar w:fldCharType="separate"/>
            </w:r>
            <w:r>
              <w:rPr>
                <w:rFonts w:ascii="Times New Roman" w:hAnsi="Times New Roman" w:cs="Times New Roman"/>
                <w:spacing w:val="-6"/>
                <w:sz w:val="18"/>
                <w:szCs w:val="18"/>
              </w:rPr>
              <w:t>83</w:t>
            </w:r>
            <w:r>
              <w:rPr>
                <w:rFonts w:ascii="Times New Roman" w:hAnsi="Times New Roman" w:cs="Times New Roman"/>
                <w:spacing w:val="-6"/>
                <w:sz w:val="18"/>
                <w:szCs w:val="18"/>
                <w:highlight w:val="yellow"/>
              </w:rPr>
              <w:fldChar w:fldCharType="end"/>
            </w:r>
            <w:r w:rsidRPr="00E85ABF">
              <w:rPr>
                <w:rFonts w:ascii="Times New Roman" w:hAnsi="Times New Roman" w:cs="Times New Roman"/>
                <w:spacing w:val="-6"/>
                <w:sz w:val="18"/>
                <w:szCs w:val="18"/>
              </w:rPr>
              <w:t>]</w:t>
            </w:r>
          </w:p>
        </w:tc>
      </w:tr>
      <w:tr w:rsidR="00B233DE" w:rsidRPr="005314AE" w:rsidTr="0023489B">
        <w:tc>
          <w:tcPr>
            <w:tcW w:w="4644"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 xml:space="preserve">Інтелектуальні інвестиції – вкладення капіталу в наукові розробки, підготовку спеціалістів, передачу ноу-хау і т. п. </w:t>
            </w:r>
          </w:p>
        </w:tc>
        <w:tc>
          <w:tcPr>
            <w:tcW w:w="1560"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А. Борисов [</w:t>
            </w:r>
            <w:r>
              <w:rPr>
                <w:rFonts w:ascii="Times New Roman" w:hAnsi="Times New Roman" w:cs="Times New Roman"/>
                <w:spacing w:val="-6"/>
                <w:sz w:val="18"/>
                <w:szCs w:val="18"/>
                <w:highlight w:val="yellow"/>
              </w:rPr>
              <w:fldChar w:fldCharType="begin"/>
            </w:r>
            <w:r>
              <w:rPr>
                <w:rFonts w:ascii="Times New Roman" w:hAnsi="Times New Roman" w:cs="Times New Roman"/>
                <w:spacing w:val="-6"/>
                <w:sz w:val="18"/>
                <w:szCs w:val="18"/>
              </w:rPr>
              <w:instrText xml:space="preserve"> REF _Ref433977701 \r \h </w:instrText>
            </w:r>
            <w:r>
              <w:rPr>
                <w:rFonts w:ascii="Times New Roman" w:hAnsi="Times New Roman" w:cs="Times New Roman"/>
                <w:spacing w:val="-6"/>
                <w:sz w:val="18"/>
                <w:szCs w:val="18"/>
                <w:highlight w:val="yellow"/>
              </w:rPr>
              <w:instrText xml:space="preserve"> \* MERGEFORMAT </w:instrText>
            </w:r>
            <w:r>
              <w:rPr>
                <w:rFonts w:ascii="Times New Roman" w:hAnsi="Times New Roman" w:cs="Times New Roman"/>
                <w:spacing w:val="-6"/>
                <w:sz w:val="18"/>
                <w:szCs w:val="18"/>
                <w:highlight w:val="yellow"/>
              </w:rPr>
            </w:r>
            <w:r>
              <w:rPr>
                <w:rFonts w:ascii="Times New Roman" w:hAnsi="Times New Roman" w:cs="Times New Roman"/>
                <w:spacing w:val="-6"/>
                <w:sz w:val="18"/>
                <w:szCs w:val="18"/>
                <w:highlight w:val="yellow"/>
              </w:rPr>
              <w:fldChar w:fldCharType="separate"/>
            </w:r>
            <w:r>
              <w:rPr>
                <w:rFonts w:ascii="Times New Roman" w:hAnsi="Times New Roman" w:cs="Times New Roman"/>
                <w:spacing w:val="-6"/>
                <w:sz w:val="18"/>
                <w:szCs w:val="18"/>
              </w:rPr>
              <w:t>12</w:t>
            </w:r>
            <w:r>
              <w:rPr>
                <w:rFonts w:ascii="Times New Roman" w:hAnsi="Times New Roman" w:cs="Times New Roman"/>
                <w:spacing w:val="-6"/>
                <w:sz w:val="18"/>
                <w:szCs w:val="18"/>
                <w:highlight w:val="yellow"/>
              </w:rPr>
              <w:fldChar w:fldCharType="end"/>
            </w:r>
            <w:r w:rsidRPr="00E85ABF">
              <w:rPr>
                <w:rFonts w:ascii="Times New Roman" w:hAnsi="Times New Roman" w:cs="Times New Roman"/>
                <w:spacing w:val="-6"/>
                <w:sz w:val="18"/>
                <w:szCs w:val="18"/>
              </w:rPr>
              <w:t>, с. 275]</w:t>
            </w:r>
          </w:p>
        </w:tc>
      </w:tr>
      <w:tr w:rsidR="00B233DE" w:rsidRPr="005314AE" w:rsidTr="0023489B">
        <w:tc>
          <w:tcPr>
            <w:tcW w:w="4644"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both"/>
              <w:rPr>
                <w:rFonts w:ascii="Times New Roman" w:eastAsia="Calibri" w:hAnsi="Times New Roman" w:cs="Times New Roman"/>
                <w:spacing w:val="-6"/>
                <w:sz w:val="18"/>
                <w:szCs w:val="18"/>
              </w:rPr>
            </w:pPr>
            <w:r w:rsidRPr="00E85ABF">
              <w:rPr>
                <w:rFonts w:ascii="Times New Roman" w:hAnsi="Times New Roman" w:cs="Times New Roman"/>
                <w:snapToGrid w:val="0"/>
                <w:spacing w:val="-6"/>
                <w:sz w:val="18"/>
                <w:szCs w:val="18"/>
              </w:rPr>
              <w:t>Інтелектуальні інвестиції – це вкладення в інтелектуальну власність у вигляді придбання виключних прав користування, придбання інформаційних послуг, придбання науково-технічної продукції, вкладень у людський капітал</w:t>
            </w:r>
          </w:p>
        </w:tc>
        <w:tc>
          <w:tcPr>
            <w:tcW w:w="1560"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А. Пересада, О. Смірнова, С. Онікієнко, О. Ляхова</w:t>
            </w:r>
            <w:r w:rsidRPr="00E85ABF">
              <w:rPr>
                <w:rFonts w:ascii="Times New Roman" w:hAnsi="Times New Roman" w:cs="Times New Roman"/>
                <w:snapToGrid w:val="0"/>
                <w:spacing w:val="-6"/>
                <w:sz w:val="18"/>
                <w:szCs w:val="18"/>
              </w:rPr>
              <w:t xml:space="preserve"> [</w:t>
            </w:r>
            <w:r>
              <w:rPr>
                <w:rFonts w:ascii="Times New Roman" w:hAnsi="Times New Roman" w:cs="Times New Roman"/>
                <w:snapToGrid w:val="0"/>
                <w:spacing w:val="-6"/>
                <w:sz w:val="18"/>
                <w:szCs w:val="18"/>
                <w:highlight w:val="yellow"/>
              </w:rPr>
              <w:fldChar w:fldCharType="begin"/>
            </w:r>
            <w:r>
              <w:rPr>
                <w:rFonts w:ascii="Times New Roman" w:hAnsi="Times New Roman" w:cs="Times New Roman"/>
                <w:snapToGrid w:val="0"/>
                <w:spacing w:val="-6"/>
                <w:sz w:val="18"/>
                <w:szCs w:val="18"/>
              </w:rPr>
              <w:instrText xml:space="preserve"> REF _Ref433977672 \r \h </w:instrText>
            </w:r>
            <w:r>
              <w:rPr>
                <w:rFonts w:ascii="Times New Roman" w:hAnsi="Times New Roman" w:cs="Times New Roman"/>
                <w:snapToGrid w:val="0"/>
                <w:spacing w:val="-6"/>
                <w:sz w:val="18"/>
                <w:szCs w:val="18"/>
                <w:highlight w:val="yellow"/>
              </w:rPr>
              <w:instrText xml:space="preserve"> \* MERGEFORMAT </w:instrText>
            </w:r>
            <w:r>
              <w:rPr>
                <w:rFonts w:ascii="Times New Roman" w:hAnsi="Times New Roman" w:cs="Times New Roman"/>
                <w:snapToGrid w:val="0"/>
                <w:spacing w:val="-6"/>
                <w:sz w:val="18"/>
                <w:szCs w:val="18"/>
                <w:highlight w:val="yellow"/>
              </w:rPr>
            </w:r>
            <w:r>
              <w:rPr>
                <w:rFonts w:ascii="Times New Roman" w:hAnsi="Times New Roman" w:cs="Times New Roman"/>
                <w:snapToGrid w:val="0"/>
                <w:spacing w:val="-6"/>
                <w:sz w:val="18"/>
                <w:szCs w:val="18"/>
                <w:highlight w:val="yellow"/>
              </w:rPr>
              <w:fldChar w:fldCharType="separate"/>
            </w:r>
            <w:r>
              <w:rPr>
                <w:rFonts w:ascii="Times New Roman" w:hAnsi="Times New Roman" w:cs="Times New Roman"/>
                <w:snapToGrid w:val="0"/>
                <w:spacing w:val="-6"/>
                <w:sz w:val="18"/>
                <w:szCs w:val="18"/>
              </w:rPr>
              <w:t>79</w:t>
            </w:r>
            <w:r>
              <w:rPr>
                <w:rFonts w:ascii="Times New Roman" w:hAnsi="Times New Roman" w:cs="Times New Roman"/>
                <w:snapToGrid w:val="0"/>
                <w:spacing w:val="-6"/>
                <w:sz w:val="18"/>
                <w:szCs w:val="18"/>
                <w:highlight w:val="yellow"/>
              </w:rPr>
              <w:fldChar w:fldCharType="end"/>
            </w:r>
            <w:r w:rsidRPr="00E85ABF">
              <w:rPr>
                <w:rFonts w:ascii="Times New Roman" w:hAnsi="Times New Roman" w:cs="Times New Roman"/>
                <w:snapToGrid w:val="0"/>
                <w:spacing w:val="-6"/>
                <w:sz w:val="18"/>
                <w:szCs w:val="18"/>
              </w:rPr>
              <w:t>, с. 22]</w:t>
            </w:r>
          </w:p>
        </w:tc>
      </w:tr>
      <w:tr w:rsidR="00B233DE" w:rsidRPr="005314AE" w:rsidTr="0023489B">
        <w:tc>
          <w:tcPr>
            <w:tcW w:w="4644"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 xml:space="preserve">Інвестиції в ЛК являють собою будь-які дії, які підвищують професійну кваліфікацію і продуктивні здібності людини і, тим самим, продуктивність праці працівників </w:t>
            </w:r>
          </w:p>
        </w:tc>
        <w:tc>
          <w:tcPr>
            <w:tcW w:w="1560"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tabs>
                <w:tab w:val="left" w:pos="868"/>
              </w:tabs>
              <w:ind w:right="-108" w:firstLine="0"/>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 xml:space="preserve">О. Грішнова </w:t>
            </w:r>
          </w:p>
          <w:p w:rsidR="00B233DE" w:rsidRPr="00E85ABF" w:rsidRDefault="00B233DE" w:rsidP="0023489B">
            <w:pPr>
              <w:ind w:right="-108"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w:t>
            </w:r>
            <w:r>
              <w:rPr>
                <w:rFonts w:ascii="Times New Roman" w:hAnsi="Times New Roman" w:cs="Times New Roman"/>
                <w:spacing w:val="-6"/>
                <w:sz w:val="18"/>
                <w:szCs w:val="18"/>
                <w:highlight w:val="yellow"/>
              </w:rPr>
              <w:fldChar w:fldCharType="begin"/>
            </w:r>
            <w:r>
              <w:rPr>
                <w:rFonts w:ascii="Times New Roman" w:hAnsi="Times New Roman" w:cs="Times New Roman"/>
                <w:spacing w:val="-6"/>
                <w:sz w:val="18"/>
                <w:szCs w:val="18"/>
              </w:rPr>
              <w:instrText xml:space="preserve"> REF _Ref433977574 \r \h </w:instrText>
            </w:r>
            <w:r>
              <w:rPr>
                <w:rFonts w:ascii="Times New Roman" w:hAnsi="Times New Roman" w:cs="Times New Roman"/>
                <w:spacing w:val="-6"/>
                <w:sz w:val="18"/>
                <w:szCs w:val="18"/>
                <w:highlight w:val="yellow"/>
              </w:rPr>
              <w:instrText xml:space="preserve"> \* MERGEFORMAT </w:instrText>
            </w:r>
            <w:r>
              <w:rPr>
                <w:rFonts w:ascii="Times New Roman" w:hAnsi="Times New Roman" w:cs="Times New Roman"/>
                <w:spacing w:val="-6"/>
                <w:sz w:val="18"/>
                <w:szCs w:val="18"/>
                <w:highlight w:val="yellow"/>
              </w:rPr>
            </w:r>
            <w:r>
              <w:rPr>
                <w:rFonts w:ascii="Times New Roman" w:hAnsi="Times New Roman" w:cs="Times New Roman"/>
                <w:spacing w:val="-6"/>
                <w:sz w:val="18"/>
                <w:szCs w:val="18"/>
                <w:highlight w:val="yellow"/>
              </w:rPr>
              <w:fldChar w:fldCharType="separate"/>
            </w:r>
            <w:r>
              <w:rPr>
                <w:rFonts w:ascii="Times New Roman" w:hAnsi="Times New Roman" w:cs="Times New Roman"/>
                <w:spacing w:val="-6"/>
                <w:sz w:val="18"/>
                <w:szCs w:val="18"/>
              </w:rPr>
              <w:t>27</w:t>
            </w:r>
            <w:r>
              <w:rPr>
                <w:rFonts w:ascii="Times New Roman" w:hAnsi="Times New Roman" w:cs="Times New Roman"/>
                <w:spacing w:val="-6"/>
                <w:sz w:val="18"/>
                <w:szCs w:val="18"/>
                <w:highlight w:val="yellow"/>
              </w:rPr>
              <w:fldChar w:fldCharType="end"/>
            </w:r>
            <w:r w:rsidRPr="00E85ABF">
              <w:rPr>
                <w:rFonts w:ascii="Times New Roman" w:hAnsi="Times New Roman" w:cs="Times New Roman"/>
                <w:spacing w:val="-6"/>
                <w:sz w:val="18"/>
                <w:szCs w:val="18"/>
              </w:rPr>
              <w:t>, с. 58]</w:t>
            </w:r>
          </w:p>
        </w:tc>
      </w:tr>
      <w:tr w:rsidR="00B233DE" w:rsidRPr="005314AE" w:rsidTr="0023489B">
        <w:tc>
          <w:tcPr>
            <w:tcW w:w="4644"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both"/>
              <w:rPr>
                <w:rFonts w:ascii="Times New Roman" w:hAnsi="Times New Roman" w:cs="Times New Roman"/>
                <w:spacing w:val="-6"/>
                <w:sz w:val="18"/>
                <w:szCs w:val="18"/>
              </w:rPr>
            </w:pPr>
            <w:r w:rsidRPr="00E85ABF">
              <w:rPr>
                <w:rFonts w:ascii="Times New Roman" w:hAnsi="Times New Roman" w:cs="Times New Roman"/>
                <w:spacing w:val="-6"/>
                <w:sz w:val="18"/>
                <w:szCs w:val="18"/>
              </w:rPr>
              <w:t xml:space="preserve">Інвестування в ЛК – вкладення індивідів, фірм, держави, громадських організацій в основні активи людського капіталу (освіту, науку, здоров’я, виховання дітей, міграцію, мотивацію праці, пошук економічно важливої інформації тощо) задля досягнення певного економічного результату (вищого доходу чи прибутку, зростання національного багатства та ін.) </w:t>
            </w:r>
          </w:p>
        </w:tc>
        <w:tc>
          <w:tcPr>
            <w:tcW w:w="1560"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О. Чечель [</w:t>
            </w:r>
            <w:r>
              <w:rPr>
                <w:rFonts w:ascii="Times New Roman" w:hAnsi="Times New Roman" w:cs="Times New Roman"/>
                <w:sz w:val="18"/>
                <w:szCs w:val="18"/>
                <w:highlight w:val="yellow"/>
              </w:rPr>
              <w:fldChar w:fldCharType="begin"/>
            </w:r>
            <w:r>
              <w:rPr>
                <w:rFonts w:ascii="Times New Roman" w:hAnsi="Times New Roman" w:cs="Times New Roman"/>
                <w:spacing w:val="-6"/>
                <w:sz w:val="18"/>
                <w:szCs w:val="18"/>
              </w:rPr>
              <w:instrText xml:space="preserve"> REF _Ref433977730 \r \h </w:instrText>
            </w:r>
            <w:r>
              <w:rPr>
                <w:rFonts w:ascii="Times New Roman" w:hAnsi="Times New Roman" w:cs="Times New Roman"/>
                <w:sz w:val="18"/>
                <w:szCs w:val="18"/>
                <w:highlight w:val="yellow"/>
              </w:rPr>
              <w:instrText xml:space="preserve"> \* MERGEFORMAT </w:instrText>
            </w:r>
            <w:r>
              <w:rPr>
                <w:rFonts w:ascii="Times New Roman" w:hAnsi="Times New Roman" w:cs="Times New Roman"/>
                <w:sz w:val="18"/>
                <w:szCs w:val="18"/>
                <w:highlight w:val="yellow"/>
              </w:rPr>
            </w:r>
            <w:r>
              <w:rPr>
                <w:rFonts w:ascii="Times New Roman" w:hAnsi="Times New Roman" w:cs="Times New Roman"/>
                <w:sz w:val="18"/>
                <w:szCs w:val="18"/>
                <w:highlight w:val="yellow"/>
              </w:rPr>
              <w:fldChar w:fldCharType="separate"/>
            </w:r>
            <w:r>
              <w:rPr>
                <w:rFonts w:ascii="Times New Roman" w:hAnsi="Times New Roman" w:cs="Times New Roman"/>
                <w:spacing w:val="-6"/>
                <w:sz w:val="18"/>
                <w:szCs w:val="18"/>
              </w:rPr>
              <w:t>111</w:t>
            </w:r>
            <w:r>
              <w:rPr>
                <w:rFonts w:ascii="Times New Roman" w:hAnsi="Times New Roman" w:cs="Times New Roman"/>
                <w:sz w:val="18"/>
                <w:szCs w:val="18"/>
                <w:highlight w:val="yellow"/>
              </w:rPr>
              <w:fldChar w:fldCharType="end"/>
            </w:r>
            <w:r w:rsidRPr="00E85ABF">
              <w:rPr>
                <w:rFonts w:ascii="Times New Roman" w:hAnsi="Times New Roman" w:cs="Times New Roman"/>
                <w:spacing w:val="-6"/>
                <w:sz w:val="18"/>
                <w:szCs w:val="18"/>
              </w:rPr>
              <w:t>]</w:t>
            </w:r>
          </w:p>
        </w:tc>
      </w:tr>
      <w:tr w:rsidR="00B233DE" w:rsidRPr="005314AE" w:rsidTr="0023489B">
        <w:tc>
          <w:tcPr>
            <w:tcW w:w="4644"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Інвестиції в ЛК– вкладення грошових засобів та інших видів ресурсів в освіту, виховання, культуру в цілому і молодого, підростаючого покоління зокрема, обумовлене піклуванням про долю майбутніх поколінь, про ріст інтелектуального по</w:t>
            </w:r>
            <w:r>
              <w:rPr>
                <w:rFonts w:ascii="Times New Roman" w:hAnsi="Times New Roman" w:cs="Times New Roman"/>
                <w:spacing w:val="-6"/>
                <w:sz w:val="18"/>
                <w:szCs w:val="18"/>
              </w:rPr>
              <w:t>-</w:t>
            </w:r>
            <w:r w:rsidRPr="00E85ABF">
              <w:rPr>
                <w:rFonts w:ascii="Times New Roman" w:hAnsi="Times New Roman" w:cs="Times New Roman"/>
                <w:spacing w:val="-6"/>
                <w:sz w:val="18"/>
                <w:szCs w:val="18"/>
              </w:rPr>
              <w:t xml:space="preserve">тенціалу країни і прагнення отримати доходи, вигоди шляхом вдосконалення людей, підвищення рівня їх професіоналізму. </w:t>
            </w:r>
          </w:p>
        </w:tc>
        <w:tc>
          <w:tcPr>
            <w:tcW w:w="1560"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Б. Райзберг, Л. Лозовский, Е.Стародубцева [</w:t>
            </w:r>
            <w:r>
              <w:rPr>
                <w:rFonts w:ascii="Times New Roman" w:hAnsi="Times New Roman" w:cs="Times New Roman"/>
                <w:spacing w:val="-6"/>
                <w:sz w:val="18"/>
                <w:szCs w:val="18"/>
                <w:highlight w:val="yellow"/>
              </w:rPr>
              <w:fldChar w:fldCharType="begin"/>
            </w:r>
            <w:r>
              <w:rPr>
                <w:rFonts w:ascii="Times New Roman" w:hAnsi="Times New Roman" w:cs="Times New Roman"/>
                <w:spacing w:val="-6"/>
                <w:sz w:val="18"/>
                <w:szCs w:val="18"/>
              </w:rPr>
              <w:instrText xml:space="preserve"> REF _Ref433977736 \r \h </w:instrText>
            </w:r>
            <w:r>
              <w:rPr>
                <w:rFonts w:ascii="Times New Roman" w:hAnsi="Times New Roman" w:cs="Times New Roman"/>
                <w:spacing w:val="-6"/>
                <w:sz w:val="18"/>
                <w:szCs w:val="18"/>
                <w:highlight w:val="yellow"/>
              </w:rPr>
              <w:instrText xml:space="preserve"> \* MERGEFORMAT </w:instrText>
            </w:r>
            <w:r>
              <w:rPr>
                <w:rFonts w:ascii="Times New Roman" w:hAnsi="Times New Roman" w:cs="Times New Roman"/>
                <w:spacing w:val="-6"/>
                <w:sz w:val="18"/>
                <w:szCs w:val="18"/>
                <w:highlight w:val="yellow"/>
              </w:rPr>
            </w:r>
            <w:r>
              <w:rPr>
                <w:rFonts w:ascii="Times New Roman" w:hAnsi="Times New Roman" w:cs="Times New Roman"/>
                <w:spacing w:val="-6"/>
                <w:sz w:val="18"/>
                <w:szCs w:val="18"/>
                <w:highlight w:val="yellow"/>
              </w:rPr>
              <w:fldChar w:fldCharType="separate"/>
            </w:r>
            <w:r>
              <w:rPr>
                <w:rFonts w:ascii="Times New Roman" w:hAnsi="Times New Roman" w:cs="Times New Roman"/>
                <w:spacing w:val="-6"/>
                <w:sz w:val="18"/>
                <w:szCs w:val="18"/>
              </w:rPr>
              <w:t>99</w:t>
            </w:r>
            <w:r>
              <w:rPr>
                <w:rFonts w:ascii="Times New Roman" w:hAnsi="Times New Roman" w:cs="Times New Roman"/>
                <w:spacing w:val="-6"/>
                <w:sz w:val="18"/>
                <w:szCs w:val="18"/>
                <w:highlight w:val="yellow"/>
              </w:rPr>
              <w:fldChar w:fldCharType="end"/>
            </w:r>
            <w:r w:rsidRPr="00E85ABF">
              <w:rPr>
                <w:rFonts w:ascii="Times New Roman" w:hAnsi="Times New Roman" w:cs="Times New Roman"/>
                <w:spacing w:val="-6"/>
                <w:sz w:val="18"/>
                <w:szCs w:val="18"/>
              </w:rPr>
              <w:t xml:space="preserve">]  </w:t>
            </w:r>
          </w:p>
        </w:tc>
      </w:tr>
      <w:tr w:rsidR="00B233DE" w:rsidRPr="005314AE" w:rsidTr="0023489B">
        <w:tc>
          <w:tcPr>
            <w:tcW w:w="4644"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 xml:space="preserve">Інвестиції в ЛК можуть бути здійсненні у формі витрат на шкільні приналежності, книги, одяг чи час, витрачений на читання чи навчання дітей, відвідування театрів та музеїв </w:t>
            </w:r>
          </w:p>
        </w:tc>
        <w:tc>
          <w:tcPr>
            <w:tcW w:w="1560"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Р. Гінья [</w:t>
            </w:r>
            <w:r>
              <w:rPr>
                <w:rFonts w:ascii="Times New Roman" w:hAnsi="Times New Roman" w:cs="Times New Roman"/>
                <w:spacing w:val="-8"/>
                <w:sz w:val="18"/>
                <w:szCs w:val="18"/>
                <w:highlight w:val="yellow"/>
              </w:rPr>
              <w:fldChar w:fldCharType="begin"/>
            </w:r>
            <w:r>
              <w:rPr>
                <w:rFonts w:ascii="Times New Roman" w:hAnsi="Times New Roman" w:cs="Times New Roman"/>
                <w:spacing w:val="-6"/>
                <w:sz w:val="18"/>
                <w:szCs w:val="18"/>
              </w:rPr>
              <w:instrText xml:space="preserve"> REF _Ref433977742 \r \h </w:instrText>
            </w:r>
            <w:r>
              <w:rPr>
                <w:rFonts w:ascii="Times New Roman" w:hAnsi="Times New Roman" w:cs="Times New Roman"/>
                <w:spacing w:val="-8"/>
                <w:sz w:val="18"/>
                <w:szCs w:val="18"/>
                <w:highlight w:val="yellow"/>
              </w:rPr>
              <w:instrText xml:space="preserve"> \* MERGEFORMAT </w:instrText>
            </w:r>
            <w:r>
              <w:rPr>
                <w:rFonts w:ascii="Times New Roman" w:hAnsi="Times New Roman" w:cs="Times New Roman"/>
                <w:spacing w:val="-8"/>
                <w:sz w:val="18"/>
                <w:szCs w:val="18"/>
                <w:highlight w:val="yellow"/>
              </w:rPr>
            </w:r>
            <w:r>
              <w:rPr>
                <w:rFonts w:ascii="Times New Roman" w:hAnsi="Times New Roman" w:cs="Times New Roman"/>
                <w:spacing w:val="-8"/>
                <w:sz w:val="18"/>
                <w:szCs w:val="18"/>
                <w:highlight w:val="yellow"/>
              </w:rPr>
              <w:fldChar w:fldCharType="separate"/>
            </w:r>
            <w:r>
              <w:rPr>
                <w:rFonts w:ascii="Times New Roman" w:hAnsi="Times New Roman" w:cs="Times New Roman"/>
                <w:spacing w:val="-6"/>
                <w:sz w:val="18"/>
                <w:szCs w:val="18"/>
              </w:rPr>
              <w:t>119</w:t>
            </w:r>
            <w:r>
              <w:rPr>
                <w:rFonts w:ascii="Times New Roman" w:hAnsi="Times New Roman" w:cs="Times New Roman"/>
                <w:spacing w:val="-8"/>
                <w:sz w:val="18"/>
                <w:szCs w:val="18"/>
                <w:highlight w:val="yellow"/>
              </w:rPr>
              <w:fldChar w:fldCharType="end"/>
            </w:r>
            <w:r w:rsidRPr="00E85ABF">
              <w:rPr>
                <w:rFonts w:ascii="Times New Roman" w:hAnsi="Times New Roman" w:cs="Times New Roman"/>
                <w:spacing w:val="-6"/>
                <w:sz w:val="18"/>
                <w:szCs w:val="18"/>
              </w:rPr>
              <w:t>, с. 2]</w:t>
            </w:r>
          </w:p>
        </w:tc>
      </w:tr>
    </w:tbl>
    <w:p w:rsidR="00B233DE" w:rsidRDefault="00B233DE" w:rsidP="00B233DE">
      <w:pPr>
        <w:autoSpaceDE w:val="0"/>
        <w:autoSpaceDN w:val="0"/>
        <w:adjustRightInd w:val="0"/>
        <w:jc w:val="right"/>
        <w:rPr>
          <w:rFonts w:ascii="Times New Roman" w:hAnsi="Times New Roman" w:cs="Times New Roman"/>
          <w:spacing w:val="-6"/>
          <w:sz w:val="21"/>
          <w:szCs w:val="21"/>
        </w:rPr>
      </w:pPr>
    </w:p>
    <w:p w:rsidR="00B233DE" w:rsidRPr="00E85ABF" w:rsidRDefault="00B233DE" w:rsidP="00B233DE">
      <w:pPr>
        <w:autoSpaceDE w:val="0"/>
        <w:autoSpaceDN w:val="0"/>
        <w:adjustRightInd w:val="0"/>
        <w:jc w:val="right"/>
        <w:rPr>
          <w:rFonts w:ascii="Times New Roman" w:hAnsi="Times New Roman" w:cs="Times New Roman"/>
          <w:spacing w:val="-6"/>
          <w:sz w:val="21"/>
          <w:szCs w:val="21"/>
        </w:rPr>
      </w:pPr>
      <w:r>
        <w:rPr>
          <w:rFonts w:ascii="Times New Roman" w:hAnsi="Times New Roman" w:cs="Times New Roman"/>
          <w:spacing w:val="-6"/>
          <w:sz w:val="21"/>
          <w:szCs w:val="21"/>
        </w:rPr>
        <w:lastRenderedPageBreak/>
        <w:t>Продовження табл. 3.5</w:t>
      </w:r>
    </w:p>
    <w:tbl>
      <w:tblPr>
        <w:tblW w:w="6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644"/>
        <w:gridCol w:w="1560"/>
      </w:tblGrid>
      <w:tr w:rsidR="00B233DE" w:rsidRPr="005314AE" w:rsidTr="0023489B">
        <w:tc>
          <w:tcPr>
            <w:tcW w:w="4644"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center"/>
              <w:rPr>
                <w:rFonts w:ascii="Times New Roman" w:eastAsia="Calibri" w:hAnsi="Times New Roman" w:cs="Times New Roman"/>
                <w:spacing w:val="-6"/>
                <w:sz w:val="18"/>
                <w:szCs w:val="18"/>
              </w:rPr>
            </w:pPr>
            <w:r>
              <w:rPr>
                <w:rFonts w:ascii="Times New Roman" w:hAnsi="Times New Roman" w:cs="Times New Roman"/>
                <w:spacing w:val="-6"/>
                <w:sz w:val="18"/>
                <w:szCs w:val="18"/>
              </w:rPr>
              <w:t>1</w:t>
            </w:r>
          </w:p>
        </w:tc>
        <w:tc>
          <w:tcPr>
            <w:tcW w:w="1560"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center"/>
              <w:rPr>
                <w:rFonts w:ascii="Times New Roman" w:eastAsia="Calibri" w:hAnsi="Times New Roman" w:cs="Times New Roman"/>
                <w:spacing w:val="-6"/>
                <w:sz w:val="18"/>
                <w:szCs w:val="18"/>
              </w:rPr>
            </w:pPr>
            <w:r>
              <w:rPr>
                <w:rFonts w:ascii="Times New Roman" w:hAnsi="Times New Roman" w:cs="Times New Roman"/>
                <w:spacing w:val="-6"/>
                <w:sz w:val="18"/>
                <w:szCs w:val="18"/>
              </w:rPr>
              <w:t>2</w:t>
            </w:r>
          </w:p>
        </w:tc>
      </w:tr>
      <w:tr w:rsidR="00B233DE" w:rsidRPr="005314AE" w:rsidTr="0023489B">
        <w:tc>
          <w:tcPr>
            <w:tcW w:w="4644"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 xml:space="preserve">Інвестиції в ЛК включають поточні витрати: плата за навчання, упущені заробітки під час навчання, скорочення заробітної плати та продуктивності під час періоду навчання, які індивід чи фірма прагне компенсувати у майбутньому за рахунок отримання вищих заробітків чи підвищення продуктивності праці </w:t>
            </w:r>
          </w:p>
        </w:tc>
        <w:tc>
          <w:tcPr>
            <w:tcW w:w="1560"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Р. Блундель, Л. Діарден, К. Мехір, Б. Сінс [</w:t>
            </w:r>
            <w:r>
              <w:rPr>
                <w:rFonts w:ascii="Times New Roman" w:hAnsi="Times New Roman" w:cs="Times New Roman"/>
                <w:spacing w:val="-8"/>
                <w:sz w:val="18"/>
                <w:szCs w:val="18"/>
                <w:highlight w:val="yellow"/>
              </w:rPr>
              <w:fldChar w:fldCharType="begin"/>
            </w:r>
            <w:r>
              <w:rPr>
                <w:rFonts w:ascii="Times New Roman" w:hAnsi="Times New Roman" w:cs="Times New Roman"/>
                <w:spacing w:val="-6"/>
                <w:sz w:val="18"/>
                <w:szCs w:val="18"/>
              </w:rPr>
              <w:instrText xml:space="preserve"> REF _Ref433977746 \r \h </w:instrText>
            </w:r>
            <w:r>
              <w:rPr>
                <w:rFonts w:ascii="Times New Roman" w:hAnsi="Times New Roman" w:cs="Times New Roman"/>
                <w:spacing w:val="-8"/>
                <w:sz w:val="18"/>
                <w:szCs w:val="18"/>
                <w:highlight w:val="yellow"/>
              </w:rPr>
              <w:instrText xml:space="preserve"> \* MERGEFORMAT </w:instrText>
            </w:r>
            <w:r>
              <w:rPr>
                <w:rFonts w:ascii="Times New Roman" w:hAnsi="Times New Roman" w:cs="Times New Roman"/>
                <w:spacing w:val="-8"/>
                <w:sz w:val="18"/>
                <w:szCs w:val="18"/>
                <w:highlight w:val="yellow"/>
              </w:rPr>
            </w:r>
            <w:r>
              <w:rPr>
                <w:rFonts w:ascii="Times New Roman" w:hAnsi="Times New Roman" w:cs="Times New Roman"/>
                <w:spacing w:val="-8"/>
                <w:sz w:val="18"/>
                <w:szCs w:val="18"/>
                <w:highlight w:val="yellow"/>
              </w:rPr>
              <w:fldChar w:fldCharType="separate"/>
            </w:r>
            <w:r>
              <w:rPr>
                <w:rFonts w:ascii="Times New Roman" w:hAnsi="Times New Roman" w:cs="Times New Roman"/>
                <w:spacing w:val="-6"/>
                <w:sz w:val="18"/>
                <w:szCs w:val="18"/>
              </w:rPr>
              <w:t>118</w:t>
            </w:r>
            <w:r>
              <w:rPr>
                <w:rFonts w:ascii="Times New Roman" w:hAnsi="Times New Roman" w:cs="Times New Roman"/>
                <w:spacing w:val="-8"/>
                <w:sz w:val="18"/>
                <w:szCs w:val="18"/>
                <w:highlight w:val="yellow"/>
              </w:rPr>
              <w:fldChar w:fldCharType="end"/>
            </w:r>
            <w:r w:rsidRPr="00E85ABF">
              <w:rPr>
                <w:rFonts w:ascii="Times New Roman" w:hAnsi="Times New Roman" w:cs="Times New Roman"/>
                <w:spacing w:val="-6"/>
                <w:sz w:val="18"/>
                <w:szCs w:val="18"/>
              </w:rPr>
              <w:t xml:space="preserve">] </w:t>
            </w:r>
          </w:p>
        </w:tc>
      </w:tr>
      <w:tr w:rsidR="00B233DE" w:rsidRPr="005314AE" w:rsidTr="0023489B">
        <w:tc>
          <w:tcPr>
            <w:tcW w:w="4644"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 xml:space="preserve">Інвестиції в ЛК – це будь-які дії, які підвищують кваліфікацію, здібності і тим самим продуктивність праці працівників. Такі витрати здійснюються з метою багаторазової компенсації зростаючим потоком доходів у майбутньому </w:t>
            </w:r>
          </w:p>
        </w:tc>
        <w:tc>
          <w:tcPr>
            <w:tcW w:w="1560"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08" w:firstLine="0"/>
              <w:rPr>
                <w:rFonts w:ascii="Times New Roman" w:hAnsi="Times New Roman" w:cs="Times New Roman"/>
                <w:spacing w:val="-6"/>
                <w:sz w:val="18"/>
                <w:szCs w:val="18"/>
              </w:rPr>
            </w:pPr>
            <w:r w:rsidRPr="00E85ABF">
              <w:rPr>
                <w:rFonts w:ascii="Times New Roman" w:hAnsi="Times New Roman" w:cs="Times New Roman"/>
                <w:iCs/>
                <w:spacing w:val="-6"/>
                <w:sz w:val="18"/>
                <w:szCs w:val="18"/>
              </w:rPr>
              <w:t xml:space="preserve">К. Макконнелл, С. Брю </w:t>
            </w:r>
            <w:r w:rsidRPr="00E85ABF">
              <w:rPr>
                <w:rFonts w:ascii="Times New Roman" w:hAnsi="Times New Roman" w:cs="Times New Roman"/>
                <w:spacing w:val="-6"/>
                <w:sz w:val="18"/>
                <w:szCs w:val="18"/>
              </w:rPr>
              <w:t>[</w:t>
            </w:r>
            <w:r>
              <w:rPr>
                <w:rFonts w:ascii="Times New Roman" w:hAnsi="Times New Roman" w:cs="Times New Roman"/>
                <w:spacing w:val="-6"/>
                <w:sz w:val="18"/>
                <w:szCs w:val="18"/>
                <w:highlight w:val="yellow"/>
              </w:rPr>
              <w:fldChar w:fldCharType="begin"/>
            </w:r>
            <w:r>
              <w:rPr>
                <w:rFonts w:ascii="Times New Roman" w:hAnsi="Times New Roman" w:cs="Times New Roman"/>
                <w:spacing w:val="-6"/>
                <w:sz w:val="18"/>
                <w:szCs w:val="18"/>
              </w:rPr>
              <w:instrText xml:space="preserve"> REF _Ref433977551 \r \h </w:instrText>
            </w:r>
            <w:r>
              <w:rPr>
                <w:rFonts w:ascii="Times New Roman" w:hAnsi="Times New Roman" w:cs="Times New Roman"/>
                <w:spacing w:val="-6"/>
                <w:sz w:val="18"/>
                <w:szCs w:val="18"/>
                <w:highlight w:val="yellow"/>
              </w:rPr>
              <w:instrText xml:space="preserve"> \* MERGEFORMAT </w:instrText>
            </w:r>
            <w:r>
              <w:rPr>
                <w:rFonts w:ascii="Times New Roman" w:hAnsi="Times New Roman" w:cs="Times New Roman"/>
                <w:spacing w:val="-6"/>
                <w:sz w:val="18"/>
                <w:szCs w:val="18"/>
                <w:highlight w:val="yellow"/>
              </w:rPr>
            </w:r>
            <w:r>
              <w:rPr>
                <w:rFonts w:ascii="Times New Roman" w:hAnsi="Times New Roman" w:cs="Times New Roman"/>
                <w:spacing w:val="-6"/>
                <w:sz w:val="18"/>
                <w:szCs w:val="18"/>
                <w:highlight w:val="yellow"/>
              </w:rPr>
              <w:fldChar w:fldCharType="separate"/>
            </w:r>
            <w:r>
              <w:rPr>
                <w:rFonts w:ascii="Times New Roman" w:hAnsi="Times New Roman" w:cs="Times New Roman"/>
                <w:spacing w:val="-6"/>
                <w:sz w:val="18"/>
                <w:szCs w:val="18"/>
              </w:rPr>
              <w:t>64</w:t>
            </w:r>
            <w:r>
              <w:rPr>
                <w:rFonts w:ascii="Times New Roman" w:hAnsi="Times New Roman" w:cs="Times New Roman"/>
                <w:spacing w:val="-6"/>
                <w:sz w:val="18"/>
                <w:szCs w:val="18"/>
                <w:highlight w:val="yellow"/>
              </w:rPr>
              <w:fldChar w:fldCharType="end"/>
            </w:r>
            <w:r w:rsidRPr="00E85ABF">
              <w:rPr>
                <w:rFonts w:ascii="Times New Roman" w:hAnsi="Times New Roman" w:cs="Times New Roman"/>
                <w:spacing w:val="-6"/>
                <w:sz w:val="18"/>
                <w:szCs w:val="18"/>
              </w:rPr>
              <w:t>, с. 171]</w:t>
            </w:r>
          </w:p>
        </w:tc>
      </w:tr>
      <w:tr w:rsidR="00B233DE" w:rsidRPr="005314AE" w:rsidTr="0023489B">
        <w:tc>
          <w:tcPr>
            <w:tcW w:w="4644" w:type="dxa"/>
            <w:tcBorders>
              <w:top w:val="single" w:sz="4" w:space="0" w:color="auto"/>
              <w:left w:val="single" w:sz="4" w:space="0" w:color="auto"/>
              <w:bottom w:val="single" w:sz="4" w:space="0" w:color="auto"/>
              <w:right w:val="single" w:sz="4" w:space="0" w:color="auto"/>
            </w:tcBorders>
          </w:tcPr>
          <w:p w:rsidR="00B233DE" w:rsidRPr="00476B6D" w:rsidRDefault="00B233DE" w:rsidP="0023489B">
            <w:pPr>
              <w:ind w:right="-108" w:firstLine="0"/>
              <w:jc w:val="both"/>
              <w:rPr>
                <w:rFonts w:ascii="Times New Roman" w:eastAsia="Calibri" w:hAnsi="Times New Roman" w:cs="Times New Roman"/>
                <w:spacing w:val="-6"/>
                <w:sz w:val="18"/>
                <w:szCs w:val="18"/>
              </w:rPr>
            </w:pPr>
            <w:r w:rsidRPr="00476B6D">
              <w:rPr>
                <w:rFonts w:ascii="Times New Roman" w:hAnsi="Times New Roman" w:cs="Times New Roman"/>
                <w:spacing w:val="-6"/>
                <w:sz w:val="18"/>
                <w:szCs w:val="18"/>
              </w:rPr>
              <w:t xml:space="preserve">Інвестиції в ЛК - це матеріальні та нематеріальні вкладення, що сприяють набуттю, примноженню, розвитку та збереженню основних активів-компонентів людського капіталу, тобто необхідних знань, вмінь, навичок, професіоналізму, досвіду, здоров’я, інформаційної, територіальної, освітньої, інноваційної мобільності, сприяють зростанню продуктивності праці, ефективному використанню основного капіталу та обумовлюють можливість досягнення матеріальних та статусних вигід, зростання прибутку підприємства та підвищення соціально-економічного розвитку держави. </w:t>
            </w:r>
          </w:p>
        </w:tc>
        <w:tc>
          <w:tcPr>
            <w:tcW w:w="1560" w:type="dxa"/>
            <w:tcBorders>
              <w:top w:val="single" w:sz="4" w:space="0" w:color="auto"/>
              <w:left w:val="single" w:sz="4" w:space="0" w:color="auto"/>
              <w:bottom w:val="single" w:sz="4" w:space="0" w:color="auto"/>
              <w:right w:val="single" w:sz="4" w:space="0" w:color="auto"/>
            </w:tcBorders>
          </w:tcPr>
          <w:p w:rsidR="00B233DE" w:rsidRPr="00476B6D" w:rsidRDefault="00B233DE" w:rsidP="0023489B">
            <w:pPr>
              <w:ind w:right="-108" w:firstLine="0"/>
              <w:rPr>
                <w:rFonts w:ascii="Times New Roman" w:eastAsia="Calibri" w:hAnsi="Times New Roman" w:cs="Times New Roman"/>
                <w:iCs/>
                <w:spacing w:val="-6"/>
                <w:sz w:val="18"/>
                <w:szCs w:val="18"/>
              </w:rPr>
            </w:pPr>
            <w:r w:rsidRPr="00476B6D">
              <w:rPr>
                <w:rFonts w:ascii="Times New Roman" w:hAnsi="Times New Roman" w:cs="Times New Roman"/>
                <w:iCs/>
                <w:spacing w:val="-6"/>
                <w:sz w:val="18"/>
                <w:szCs w:val="18"/>
              </w:rPr>
              <w:t>О. Подра [</w:t>
            </w:r>
            <w:r w:rsidRPr="00476B6D">
              <w:rPr>
                <w:rFonts w:ascii="Times New Roman" w:hAnsi="Times New Roman" w:cs="Times New Roman"/>
                <w:iCs/>
                <w:spacing w:val="-6"/>
                <w:sz w:val="18"/>
                <w:szCs w:val="18"/>
              </w:rPr>
              <w:fldChar w:fldCharType="begin"/>
            </w:r>
            <w:r w:rsidRPr="00476B6D">
              <w:rPr>
                <w:rFonts w:ascii="Times New Roman" w:hAnsi="Times New Roman" w:cs="Times New Roman"/>
                <w:iCs/>
                <w:spacing w:val="-6"/>
                <w:sz w:val="18"/>
                <w:szCs w:val="18"/>
              </w:rPr>
              <w:instrText xml:space="preserve"> REF _Ref433977759 \r \h </w:instrText>
            </w:r>
            <w:r>
              <w:rPr>
                <w:rFonts w:ascii="Times New Roman" w:hAnsi="Times New Roman" w:cs="Times New Roman"/>
                <w:iCs/>
                <w:spacing w:val="-6"/>
                <w:sz w:val="18"/>
                <w:szCs w:val="18"/>
              </w:rPr>
              <w:instrText xml:space="preserve"> \* MERGEFORMAT </w:instrText>
            </w:r>
            <w:r w:rsidRPr="00476B6D">
              <w:rPr>
                <w:rFonts w:ascii="Times New Roman" w:hAnsi="Times New Roman" w:cs="Times New Roman"/>
                <w:iCs/>
                <w:spacing w:val="-6"/>
                <w:sz w:val="18"/>
                <w:szCs w:val="18"/>
              </w:rPr>
            </w:r>
            <w:r w:rsidRPr="00476B6D">
              <w:rPr>
                <w:rFonts w:ascii="Times New Roman" w:hAnsi="Times New Roman" w:cs="Times New Roman"/>
                <w:iCs/>
                <w:spacing w:val="-6"/>
                <w:sz w:val="18"/>
                <w:szCs w:val="18"/>
              </w:rPr>
              <w:fldChar w:fldCharType="separate"/>
            </w:r>
            <w:r>
              <w:rPr>
                <w:rFonts w:ascii="Times New Roman" w:hAnsi="Times New Roman" w:cs="Times New Roman"/>
                <w:iCs/>
                <w:spacing w:val="-6"/>
                <w:sz w:val="18"/>
                <w:szCs w:val="18"/>
              </w:rPr>
              <w:t>85</w:t>
            </w:r>
            <w:r w:rsidRPr="00476B6D">
              <w:rPr>
                <w:rFonts w:ascii="Times New Roman" w:hAnsi="Times New Roman" w:cs="Times New Roman"/>
                <w:iCs/>
                <w:spacing w:val="-6"/>
                <w:sz w:val="18"/>
                <w:szCs w:val="18"/>
              </w:rPr>
              <w:fldChar w:fldCharType="end"/>
            </w:r>
            <w:r w:rsidRPr="00476B6D">
              <w:rPr>
                <w:rFonts w:ascii="Times New Roman" w:hAnsi="Times New Roman" w:cs="Times New Roman"/>
                <w:iCs/>
                <w:spacing w:val="-6"/>
                <w:sz w:val="18"/>
                <w:szCs w:val="18"/>
              </w:rPr>
              <w:t>]</w:t>
            </w:r>
          </w:p>
        </w:tc>
      </w:tr>
    </w:tbl>
    <w:p w:rsidR="00B233DE" w:rsidRPr="008417EA" w:rsidRDefault="00B233DE" w:rsidP="00B233DE">
      <w:pPr>
        <w:autoSpaceDE w:val="0"/>
        <w:autoSpaceDN w:val="0"/>
        <w:adjustRightInd w:val="0"/>
        <w:ind w:firstLine="708"/>
        <w:jc w:val="both"/>
        <w:rPr>
          <w:rFonts w:ascii="Times New Roman" w:eastAsia="Calibri" w:hAnsi="Times New Roman" w:cs="Times New Roman"/>
          <w:spacing w:val="-6"/>
          <w:sz w:val="21"/>
          <w:szCs w:val="21"/>
        </w:rPr>
      </w:pPr>
    </w:p>
    <w:p w:rsidR="00B233DE" w:rsidRPr="008417EA" w:rsidRDefault="00B233DE" w:rsidP="00B233DE">
      <w:pPr>
        <w:autoSpaceDE w:val="0"/>
        <w:autoSpaceDN w:val="0"/>
        <w:adjustRightInd w:val="0"/>
        <w:ind w:firstLine="708"/>
        <w:jc w:val="both"/>
        <w:rPr>
          <w:rFonts w:ascii="Times New Roman" w:hAnsi="Times New Roman" w:cs="Times New Roman"/>
          <w:sz w:val="21"/>
          <w:szCs w:val="21"/>
        </w:rPr>
      </w:pPr>
      <w:r w:rsidRPr="008417EA">
        <w:rPr>
          <w:rFonts w:ascii="Times New Roman" w:hAnsi="Times New Roman" w:cs="Times New Roman"/>
          <w:sz w:val="21"/>
          <w:szCs w:val="21"/>
        </w:rPr>
        <w:t>Таким чином, частина дослідників розглядає поняття «інтелектуальні інвестиції» як вкладення грошових засобів в освіту та перепідготовку, передання досвіду та ноу-хау, створення інтелектуального продукту, які з точки зору теорії людського капіталу трактуються як інвестиції в йог</w:t>
      </w:r>
      <w:r>
        <w:rPr>
          <w:rFonts w:ascii="Times New Roman" w:hAnsi="Times New Roman" w:cs="Times New Roman"/>
          <w:sz w:val="21"/>
          <w:szCs w:val="21"/>
        </w:rPr>
        <w:t xml:space="preserve">о розвиток та нагромадження. К. Макконелл, С. </w:t>
      </w:r>
      <w:r w:rsidRPr="008417EA">
        <w:rPr>
          <w:rFonts w:ascii="Times New Roman" w:hAnsi="Times New Roman" w:cs="Times New Roman"/>
          <w:sz w:val="21"/>
          <w:szCs w:val="21"/>
        </w:rPr>
        <w:t>Брю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_Ref433977551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64</w:t>
      </w:r>
      <w:r>
        <w:rPr>
          <w:rFonts w:ascii="Times New Roman" w:hAnsi="Times New Roman" w:cs="Times New Roman"/>
          <w:sz w:val="21"/>
          <w:szCs w:val="21"/>
          <w:highlight w:val="yellow"/>
        </w:rPr>
        <w:fldChar w:fldCharType="end"/>
      </w:r>
      <w:r w:rsidRPr="008417EA">
        <w:rPr>
          <w:rFonts w:ascii="Times New Roman" w:hAnsi="Times New Roman" w:cs="Times New Roman"/>
          <w:sz w:val="21"/>
          <w:szCs w:val="21"/>
        </w:rPr>
        <w:t>], О. Чечель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_Ref433977730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111</w:t>
      </w:r>
      <w:r>
        <w:rPr>
          <w:rFonts w:ascii="Times New Roman" w:hAnsi="Times New Roman" w:cs="Times New Roman"/>
          <w:sz w:val="21"/>
          <w:szCs w:val="21"/>
          <w:highlight w:val="yellow"/>
        </w:rPr>
        <w:fldChar w:fldCharType="end"/>
      </w:r>
      <w:r w:rsidRPr="008417EA">
        <w:rPr>
          <w:rFonts w:ascii="Times New Roman" w:hAnsi="Times New Roman" w:cs="Times New Roman"/>
          <w:sz w:val="21"/>
          <w:szCs w:val="21"/>
        </w:rPr>
        <w:t>] розглядають інвестиції в людський капітал як інструмент досягнення економічних ефектів та зростання економічного багатства.</w:t>
      </w:r>
    </w:p>
    <w:p w:rsidR="00B233DE" w:rsidRPr="008417EA" w:rsidRDefault="00B233DE" w:rsidP="00B233DE">
      <w:pPr>
        <w:autoSpaceDE w:val="0"/>
        <w:autoSpaceDN w:val="0"/>
        <w:adjustRightInd w:val="0"/>
        <w:ind w:firstLine="708"/>
        <w:jc w:val="both"/>
        <w:rPr>
          <w:rFonts w:ascii="Times New Roman" w:hAnsi="Times New Roman" w:cs="Times New Roman"/>
          <w:sz w:val="21"/>
          <w:szCs w:val="21"/>
        </w:rPr>
      </w:pPr>
      <w:r w:rsidRPr="008417EA">
        <w:rPr>
          <w:rFonts w:ascii="Times New Roman" w:hAnsi="Times New Roman" w:cs="Times New Roman"/>
          <w:sz w:val="21"/>
          <w:szCs w:val="21"/>
        </w:rPr>
        <w:t xml:space="preserve">З огляду на проведений аналіз наукових підходів та необхідність теоретичного обґрунтування інвестиційного відтворення людського капіталу, дотримуємося думки, що інвестиції в людський капітал – це матеріальні та нематеріальні вкладення, що сприяють набуттю, примноженню, розвитку та збереженню основних активів-компонентів людського капіталу, тобто необхідних знань, вмінь, навичок, професіоналізму, досвіду, здоров’я, інформаційної, територіальної, освітньої, інноваційної мобільності, сприяють зростанню продуктивності праці, </w:t>
      </w:r>
      <w:r w:rsidRPr="008417EA">
        <w:rPr>
          <w:rFonts w:ascii="Times New Roman" w:hAnsi="Times New Roman" w:cs="Times New Roman"/>
          <w:sz w:val="21"/>
          <w:szCs w:val="21"/>
        </w:rPr>
        <w:lastRenderedPageBreak/>
        <w:t xml:space="preserve">ефективному використанню основного капіталу та обумовлюють можливість досягнення матеріальних та статусних вигід, зростання прибутку суб’єкта господарювання та підвищення соціально-економічного розвитку держави. </w:t>
      </w:r>
    </w:p>
    <w:p w:rsidR="00B233DE" w:rsidRPr="008417EA" w:rsidRDefault="00B233DE" w:rsidP="00B233DE">
      <w:pPr>
        <w:ind w:firstLine="540"/>
        <w:jc w:val="both"/>
        <w:rPr>
          <w:rFonts w:ascii="Times New Roman" w:hAnsi="Times New Roman" w:cs="Times New Roman"/>
          <w:spacing w:val="-6"/>
          <w:sz w:val="21"/>
          <w:szCs w:val="21"/>
        </w:rPr>
      </w:pPr>
      <w:r w:rsidRPr="008417EA">
        <w:rPr>
          <w:rFonts w:ascii="Times New Roman" w:hAnsi="Times New Roman" w:cs="Times New Roman"/>
          <w:spacing w:val="-6"/>
          <w:sz w:val="21"/>
          <w:szCs w:val="21"/>
        </w:rPr>
        <w:t xml:space="preserve">У зв’язку з різним розумінням інвестицій в людський капітал, пропонуємо здійснити узагальнення понять </w:t>
      </w:r>
      <w:r>
        <w:rPr>
          <w:rFonts w:ascii="Times New Roman" w:hAnsi="Times New Roman" w:cs="Times New Roman"/>
          <w:spacing w:val="-6"/>
          <w:sz w:val="21"/>
          <w:szCs w:val="21"/>
        </w:rPr>
        <w:t>«</w:t>
      </w:r>
      <w:r w:rsidRPr="008417EA">
        <w:rPr>
          <w:rFonts w:ascii="Times New Roman" w:hAnsi="Times New Roman" w:cs="Times New Roman"/>
          <w:spacing w:val="-6"/>
          <w:sz w:val="21"/>
          <w:szCs w:val="21"/>
        </w:rPr>
        <w:t>інвестиції в людський капітал</w:t>
      </w:r>
      <w:r>
        <w:rPr>
          <w:rFonts w:ascii="Times New Roman" w:hAnsi="Times New Roman" w:cs="Times New Roman"/>
          <w:spacing w:val="-6"/>
          <w:sz w:val="21"/>
          <w:szCs w:val="21"/>
        </w:rPr>
        <w:t>»</w:t>
      </w:r>
      <w:r w:rsidRPr="008417EA">
        <w:rPr>
          <w:rFonts w:ascii="Times New Roman" w:hAnsi="Times New Roman" w:cs="Times New Roman"/>
          <w:spacing w:val="-6"/>
          <w:sz w:val="21"/>
          <w:szCs w:val="21"/>
        </w:rPr>
        <w:t xml:space="preserve">, </w:t>
      </w:r>
      <w:r>
        <w:rPr>
          <w:rFonts w:ascii="Times New Roman" w:hAnsi="Times New Roman" w:cs="Times New Roman"/>
          <w:spacing w:val="-6"/>
          <w:sz w:val="21"/>
          <w:szCs w:val="21"/>
        </w:rPr>
        <w:t>«</w:t>
      </w:r>
      <w:r w:rsidRPr="008417EA">
        <w:rPr>
          <w:rFonts w:ascii="Times New Roman" w:hAnsi="Times New Roman" w:cs="Times New Roman"/>
          <w:spacing w:val="-6"/>
          <w:sz w:val="21"/>
          <w:szCs w:val="21"/>
        </w:rPr>
        <w:t>витрати на людський капітал</w:t>
      </w:r>
      <w:r>
        <w:rPr>
          <w:rFonts w:ascii="Times New Roman" w:hAnsi="Times New Roman" w:cs="Times New Roman"/>
          <w:spacing w:val="-6"/>
          <w:sz w:val="21"/>
          <w:szCs w:val="21"/>
        </w:rPr>
        <w:t>»</w:t>
      </w:r>
      <w:r w:rsidRPr="008417EA">
        <w:rPr>
          <w:rFonts w:ascii="Times New Roman" w:hAnsi="Times New Roman" w:cs="Times New Roman"/>
          <w:spacing w:val="-6"/>
          <w:sz w:val="21"/>
          <w:szCs w:val="21"/>
        </w:rPr>
        <w:t xml:space="preserve"> та </w:t>
      </w:r>
      <w:r>
        <w:rPr>
          <w:rFonts w:ascii="Times New Roman" w:hAnsi="Times New Roman" w:cs="Times New Roman"/>
          <w:spacing w:val="-6"/>
          <w:sz w:val="21"/>
          <w:szCs w:val="21"/>
        </w:rPr>
        <w:t>«</w:t>
      </w:r>
      <w:r w:rsidRPr="008417EA">
        <w:rPr>
          <w:rFonts w:ascii="Times New Roman" w:hAnsi="Times New Roman" w:cs="Times New Roman"/>
          <w:spacing w:val="-6"/>
          <w:sz w:val="21"/>
          <w:szCs w:val="21"/>
        </w:rPr>
        <w:t>ресурси людського капіталу</w:t>
      </w:r>
      <w:r>
        <w:rPr>
          <w:rFonts w:ascii="Times New Roman" w:hAnsi="Times New Roman" w:cs="Times New Roman"/>
          <w:spacing w:val="-6"/>
          <w:sz w:val="21"/>
          <w:szCs w:val="21"/>
        </w:rPr>
        <w:t>»</w:t>
      </w:r>
      <w:r w:rsidRPr="008417EA">
        <w:rPr>
          <w:rFonts w:ascii="Times New Roman" w:hAnsi="Times New Roman" w:cs="Times New Roman"/>
          <w:spacing w:val="-6"/>
          <w:sz w:val="21"/>
          <w:szCs w:val="21"/>
        </w:rPr>
        <w:t xml:space="preserve"> (табл. 3</w:t>
      </w:r>
      <w:r>
        <w:rPr>
          <w:rFonts w:ascii="Times New Roman" w:hAnsi="Times New Roman" w:cs="Times New Roman"/>
          <w:spacing w:val="-6"/>
          <w:sz w:val="21"/>
          <w:szCs w:val="21"/>
        </w:rPr>
        <w:t>.6</w:t>
      </w:r>
      <w:r w:rsidRPr="008417EA">
        <w:rPr>
          <w:rFonts w:ascii="Times New Roman" w:hAnsi="Times New Roman" w:cs="Times New Roman"/>
          <w:spacing w:val="-6"/>
          <w:sz w:val="21"/>
          <w:szCs w:val="21"/>
        </w:rPr>
        <w:t xml:space="preserve">). </w:t>
      </w:r>
    </w:p>
    <w:p w:rsidR="00B233DE" w:rsidRDefault="00B233DE" w:rsidP="00B233DE">
      <w:pPr>
        <w:jc w:val="right"/>
        <w:rPr>
          <w:rFonts w:ascii="Times New Roman" w:hAnsi="Times New Roman" w:cs="Times New Roman"/>
          <w:spacing w:val="-6"/>
          <w:sz w:val="21"/>
          <w:szCs w:val="21"/>
        </w:rPr>
      </w:pPr>
    </w:p>
    <w:p w:rsidR="00B233DE" w:rsidRPr="008417EA" w:rsidRDefault="00B233DE" w:rsidP="00B233DE">
      <w:pPr>
        <w:jc w:val="right"/>
        <w:rPr>
          <w:rFonts w:ascii="Times New Roman" w:hAnsi="Times New Roman" w:cs="Times New Roman"/>
          <w:spacing w:val="-6"/>
          <w:sz w:val="21"/>
          <w:szCs w:val="21"/>
        </w:rPr>
      </w:pPr>
      <w:r w:rsidRPr="008417EA">
        <w:rPr>
          <w:rFonts w:ascii="Times New Roman" w:hAnsi="Times New Roman" w:cs="Times New Roman"/>
          <w:spacing w:val="-6"/>
          <w:sz w:val="21"/>
          <w:szCs w:val="21"/>
        </w:rPr>
        <w:t>Таблиця 3</w:t>
      </w:r>
      <w:r>
        <w:rPr>
          <w:rFonts w:ascii="Times New Roman" w:hAnsi="Times New Roman" w:cs="Times New Roman"/>
          <w:spacing w:val="-6"/>
          <w:sz w:val="21"/>
          <w:szCs w:val="21"/>
        </w:rPr>
        <w:t>.6</w:t>
      </w:r>
    </w:p>
    <w:p w:rsidR="00B233DE" w:rsidRDefault="00B233DE" w:rsidP="00B233DE">
      <w:pPr>
        <w:jc w:val="center"/>
        <w:rPr>
          <w:rFonts w:ascii="Times New Roman" w:hAnsi="Times New Roman" w:cs="Times New Roman"/>
          <w:sz w:val="21"/>
          <w:szCs w:val="21"/>
        </w:rPr>
      </w:pPr>
      <w:r w:rsidRPr="00E85ABF">
        <w:rPr>
          <w:rFonts w:ascii="Times New Roman" w:hAnsi="Times New Roman" w:cs="Times New Roman"/>
          <w:b/>
          <w:spacing w:val="-6"/>
          <w:sz w:val="21"/>
          <w:szCs w:val="21"/>
        </w:rPr>
        <w:t>Характеристика категорій «інвестиції в людський капітал», «витрати на людський капітал» та «ресурси людського капіталу»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8"/>
        <w:gridCol w:w="2031"/>
        <w:gridCol w:w="3113"/>
      </w:tblGrid>
      <w:tr w:rsidR="00B233DE" w:rsidRPr="005314AE" w:rsidTr="0023489B">
        <w:tc>
          <w:tcPr>
            <w:tcW w:w="1088"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55" w:firstLine="0"/>
              <w:jc w:val="center"/>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Категорія</w:t>
            </w:r>
          </w:p>
        </w:tc>
        <w:tc>
          <w:tcPr>
            <w:tcW w:w="2031"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autoSpaceDE w:val="0"/>
              <w:autoSpaceDN w:val="0"/>
              <w:adjustRightInd w:val="0"/>
              <w:ind w:right="-155" w:firstLine="0"/>
              <w:jc w:val="center"/>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Характеристика</w:t>
            </w:r>
          </w:p>
        </w:tc>
        <w:tc>
          <w:tcPr>
            <w:tcW w:w="3113" w:type="dxa"/>
            <w:tcBorders>
              <w:top w:val="single" w:sz="4" w:space="0" w:color="auto"/>
              <w:left w:val="single" w:sz="4" w:space="0" w:color="auto"/>
              <w:bottom w:val="single" w:sz="4" w:space="0" w:color="auto"/>
              <w:right w:val="single" w:sz="4" w:space="0" w:color="auto"/>
            </w:tcBorders>
          </w:tcPr>
          <w:p w:rsidR="00B233DE" w:rsidRPr="00E85ABF" w:rsidRDefault="00B233DE" w:rsidP="0023489B">
            <w:pPr>
              <w:ind w:right="-155" w:firstLine="0"/>
              <w:jc w:val="center"/>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Види</w:t>
            </w:r>
          </w:p>
        </w:tc>
      </w:tr>
      <w:tr w:rsidR="00B233DE" w:rsidRPr="005314AE" w:rsidTr="0023489B">
        <w:tc>
          <w:tcPr>
            <w:tcW w:w="1088" w:type="dxa"/>
            <w:tcBorders>
              <w:top w:val="single" w:sz="4" w:space="0" w:color="auto"/>
              <w:left w:val="single" w:sz="4" w:space="0" w:color="auto"/>
              <w:bottom w:val="single" w:sz="4" w:space="0" w:color="auto"/>
              <w:right w:val="single" w:sz="4" w:space="0" w:color="auto"/>
            </w:tcBorders>
            <w:vAlign w:val="center"/>
          </w:tcPr>
          <w:p w:rsidR="00B233DE" w:rsidRPr="00E85ABF" w:rsidRDefault="00B233DE" w:rsidP="0023489B">
            <w:pPr>
              <w:ind w:right="-155" w:firstLine="0"/>
              <w:jc w:val="center"/>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Інвестиції в ЛК</w:t>
            </w:r>
          </w:p>
        </w:tc>
        <w:tc>
          <w:tcPr>
            <w:tcW w:w="2031" w:type="dxa"/>
            <w:tcBorders>
              <w:top w:val="single" w:sz="4" w:space="0" w:color="auto"/>
              <w:left w:val="single" w:sz="4" w:space="0" w:color="auto"/>
              <w:bottom w:val="single" w:sz="4" w:space="0" w:color="auto"/>
              <w:right w:val="single" w:sz="4" w:space="0" w:color="auto"/>
            </w:tcBorders>
            <w:vAlign w:val="center"/>
          </w:tcPr>
          <w:p w:rsidR="00B233DE" w:rsidRPr="00E85ABF" w:rsidRDefault="00B233DE" w:rsidP="0023489B">
            <w:pPr>
              <w:autoSpaceDE w:val="0"/>
              <w:autoSpaceDN w:val="0"/>
              <w:adjustRightInd w:val="0"/>
              <w:ind w:right="-155"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Передбачають вкладення коштів (капіталу) з метою їх подальшого збільшення, тобто мають економічну ефективність, що проявляється у співвідношенні між величиною корисного результату і витратами на отримання ефекту</w:t>
            </w:r>
          </w:p>
        </w:tc>
        <w:tc>
          <w:tcPr>
            <w:tcW w:w="3113" w:type="dxa"/>
            <w:tcBorders>
              <w:top w:val="single" w:sz="4" w:space="0" w:color="auto"/>
              <w:left w:val="single" w:sz="4" w:space="0" w:color="auto"/>
              <w:bottom w:val="single" w:sz="4" w:space="0" w:color="auto"/>
              <w:right w:val="single" w:sz="4" w:space="0" w:color="auto"/>
            </w:tcBorders>
            <w:vAlign w:val="center"/>
          </w:tcPr>
          <w:p w:rsidR="00B233DE" w:rsidRPr="00E85ABF" w:rsidRDefault="00B233DE" w:rsidP="0023489B">
            <w:pPr>
              <w:ind w:right="-155"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Інвестиції у виховання, освіту, професійну підготовку, підвищення кваліфікації, перекваліфікацію, адаптацію, підтримку і зміцнення здоров’я, науку, інформацію, фізичну культуру, спорт, культурний та духовний розвиток. Всі вкладення, які пов’язані з формуванням якісних рис людини і працівника необхідні для реалізації в економічній діяльності</w:t>
            </w:r>
          </w:p>
        </w:tc>
      </w:tr>
      <w:tr w:rsidR="00B233DE" w:rsidRPr="005314AE" w:rsidTr="0023489B">
        <w:tc>
          <w:tcPr>
            <w:tcW w:w="1088" w:type="dxa"/>
            <w:tcBorders>
              <w:top w:val="single" w:sz="4" w:space="0" w:color="auto"/>
              <w:left w:val="single" w:sz="4" w:space="0" w:color="auto"/>
              <w:bottom w:val="single" w:sz="4" w:space="0" w:color="auto"/>
              <w:right w:val="single" w:sz="4" w:space="0" w:color="auto"/>
            </w:tcBorders>
            <w:vAlign w:val="center"/>
          </w:tcPr>
          <w:p w:rsidR="00B233DE" w:rsidRPr="00E85ABF" w:rsidRDefault="00B233DE" w:rsidP="0023489B">
            <w:pPr>
              <w:ind w:right="-155" w:firstLine="0"/>
              <w:jc w:val="center"/>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Витрати на ЛК</w:t>
            </w:r>
          </w:p>
        </w:tc>
        <w:tc>
          <w:tcPr>
            <w:tcW w:w="2031" w:type="dxa"/>
            <w:tcBorders>
              <w:top w:val="single" w:sz="4" w:space="0" w:color="auto"/>
              <w:left w:val="single" w:sz="4" w:space="0" w:color="auto"/>
              <w:bottom w:val="single" w:sz="4" w:space="0" w:color="auto"/>
              <w:right w:val="single" w:sz="4" w:space="0" w:color="auto"/>
            </w:tcBorders>
            <w:vAlign w:val="center"/>
          </w:tcPr>
          <w:p w:rsidR="00B233DE" w:rsidRPr="00E85ABF" w:rsidRDefault="00B233DE" w:rsidP="0023489B">
            <w:pPr>
              <w:ind w:right="-155"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Передбачають зменшення обсягу матеріальних цінностей, різних видів ресурсів (праця, гроші, час, послуги), які відбуваються в процесі свідомої людської діяльності, з метою отримання певного блага</w:t>
            </w:r>
          </w:p>
        </w:tc>
        <w:tc>
          <w:tcPr>
            <w:tcW w:w="3113" w:type="dxa"/>
            <w:tcBorders>
              <w:top w:val="single" w:sz="4" w:space="0" w:color="auto"/>
              <w:left w:val="single" w:sz="4" w:space="0" w:color="auto"/>
              <w:bottom w:val="single" w:sz="4" w:space="0" w:color="auto"/>
              <w:right w:val="single" w:sz="4" w:space="0" w:color="auto"/>
            </w:tcBorders>
            <w:vAlign w:val="center"/>
          </w:tcPr>
          <w:p w:rsidR="00B233DE" w:rsidRPr="00E85ABF" w:rsidRDefault="00B233DE" w:rsidP="0023489B">
            <w:pPr>
              <w:ind w:right="-155"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Поточні витрати на харчування, одяг, житло, задоволення потреб, які пов’язані з забезпеченням існування людини</w:t>
            </w:r>
          </w:p>
        </w:tc>
      </w:tr>
      <w:tr w:rsidR="00B233DE" w:rsidRPr="005314AE" w:rsidTr="0023489B">
        <w:tc>
          <w:tcPr>
            <w:tcW w:w="1088" w:type="dxa"/>
            <w:tcBorders>
              <w:top w:val="single" w:sz="4" w:space="0" w:color="auto"/>
              <w:left w:val="single" w:sz="4" w:space="0" w:color="auto"/>
              <w:bottom w:val="single" w:sz="4" w:space="0" w:color="auto"/>
              <w:right w:val="single" w:sz="4" w:space="0" w:color="auto"/>
            </w:tcBorders>
            <w:vAlign w:val="center"/>
          </w:tcPr>
          <w:p w:rsidR="00B233DE" w:rsidRPr="00E85ABF" w:rsidRDefault="00B233DE" w:rsidP="0023489B">
            <w:pPr>
              <w:ind w:right="-155" w:firstLine="0"/>
              <w:jc w:val="center"/>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Ресурси ЛК</w:t>
            </w:r>
          </w:p>
        </w:tc>
        <w:tc>
          <w:tcPr>
            <w:tcW w:w="2031" w:type="dxa"/>
            <w:tcBorders>
              <w:top w:val="single" w:sz="4" w:space="0" w:color="auto"/>
              <w:left w:val="single" w:sz="4" w:space="0" w:color="auto"/>
              <w:bottom w:val="single" w:sz="4" w:space="0" w:color="auto"/>
              <w:right w:val="single" w:sz="4" w:space="0" w:color="auto"/>
            </w:tcBorders>
            <w:vAlign w:val="center"/>
          </w:tcPr>
          <w:p w:rsidR="00B233DE" w:rsidRPr="00E85ABF" w:rsidRDefault="00B233DE" w:rsidP="0023489B">
            <w:pPr>
              <w:ind w:right="-155"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Обсяг запасів, які можна використати в разі потреби</w:t>
            </w:r>
          </w:p>
        </w:tc>
        <w:tc>
          <w:tcPr>
            <w:tcW w:w="3113" w:type="dxa"/>
            <w:tcBorders>
              <w:top w:val="single" w:sz="4" w:space="0" w:color="auto"/>
              <w:left w:val="single" w:sz="4" w:space="0" w:color="auto"/>
              <w:bottom w:val="single" w:sz="4" w:space="0" w:color="auto"/>
              <w:right w:val="single" w:sz="4" w:space="0" w:color="auto"/>
            </w:tcBorders>
            <w:vAlign w:val="center"/>
          </w:tcPr>
          <w:p w:rsidR="00B233DE" w:rsidRPr="00E85ABF" w:rsidRDefault="00B233DE" w:rsidP="0023489B">
            <w:pPr>
              <w:ind w:right="-155" w:firstLine="0"/>
              <w:jc w:val="both"/>
              <w:rPr>
                <w:rFonts w:ascii="Times New Roman" w:eastAsia="Calibri" w:hAnsi="Times New Roman" w:cs="Times New Roman"/>
                <w:spacing w:val="-6"/>
                <w:sz w:val="18"/>
                <w:szCs w:val="18"/>
              </w:rPr>
            </w:pPr>
            <w:r w:rsidRPr="00E85ABF">
              <w:rPr>
                <w:rFonts w:ascii="Times New Roman" w:hAnsi="Times New Roman" w:cs="Times New Roman"/>
                <w:spacing w:val="-6"/>
                <w:sz w:val="18"/>
                <w:szCs w:val="18"/>
              </w:rPr>
              <w:t>Час, бажання, особиста мотивація, сили</w:t>
            </w:r>
          </w:p>
        </w:tc>
      </w:tr>
    </w:tbl>
    <w:p w:rsidR="00B233DE" w:rsidRPr="008417EA" w:rsidRDefault="00B233DE" w:rsidP="00B233DE">
      <w:pPr>
        <w:ind w:firstLine="708"/>
        <w:jc w:val="both"/>
        <w:rPr>
          <w:rFonts w:ascii="Times New Roman" w:hAnsi="Times New Roman" w:cs="Times New Roman"/>
          <w:sz w:val="21"/>
          <w:szCs w:val="21"/>
        </w:rPr>
      </w:pPr>
    </w:p>
    <w:p w:rsidR="00B233DE" w:rsidRDefault="00B233DE" w:rsidP="00B233DE">
      <w:pPr>
        <w:ind w:firstLine="720"/>
        <w:jc w:val="both"/>
        <w:rPr>
          <w:rFonts w:ascii="Times New Roman" w:hAnsi="Times New Roman" w:cs="Times New Roman"/>
          <w:spacing w:val="-6"/>
          <w:sz w:val="21"/>
          <w:szCs w:val="21"/>
        </w:rPr>
      </w:pPr>
      <w:r w:rsidRPr="008417EA">
        <w:rPr>
          <w:rFonts w:ascii="Times New Roman" w:hAnsi="Times New Roman" w:cs="Times New Roman"/>
          <w:spacing w:val="-6"/>
          <w:sz w:val="21"/>
          <w:szCs w:val="21"/>
        </w:rPr>
        <w:t>Отже, всі вкладення в людину слід розділити на три основні складові:</w:t>
      </w:r>
    </w:p>
    <w:p w:rsidR="00B233DE" w:rsidRDefault="00B233DE" w:rsidP="00B233DE">
      <w:pPr>
        <w:ind w:firstLine="720"/>
        <w:jc w:val="both"/>
        <w:rPr>
          <w:rFonts w:ascii="Times New Roman" w:eastAsia="Calibri" w:hAnsi="Times New Roman" w:cs="Times New Roman"/>
          <w:spacing w:val="-6"/>
          <w:sz w:val="21"/>
          <w:szCs w:val="21"/>
        </w:rPr>
      </w:pPr>
      <w:r w:rsidRPr="00E85ABF">
        <w:rPr>
          <w:rFonts w:ascii="Times New Roman" w:hAnsi="Times New Roman" w:cs="Times New Roman"/>
          <w:spacing w:val="-6"/>
          <w:sz w:val="21"/>
          <w:szCs w:val="21"/>
        </w:rPr>
        <w:t xml:space="preserve">1. Інвестиції, які передбачають вкладення грошових коштів у розвиток особистості, формування її якісних характеристик, які у майбутньому забезпечать включення до економічної діяльності та отримання економічного ефекту у вигляді заробітної плати, прибутку підприємства, підвищення продуктивності та якості продукції, </w:t>
      </w:r>
      <w:r w:rsidRPr="00E85ABF">
        <w:rPr>
          <w:rFonts w:ascii="Times New Roman" w:hAnsi="Times New Roman" w:cs="Times New Roman"/>
          <w:spacing w:val="-6"/>
          <w:sz w:val="21"/>
          <w:szCs w:val="21"/>
        </w:rPr>
        <w:lastRenderedPageBreak/>
        <w:t>розширення споживчого попиту та збільшення об’ємів виробництва. Під інвестиціями в людський капітал слід розуміти саме вкладення капіталу з метою його подальшого збільшення, зокрема пов’язані з фінансуванням освіти, виховання, здоров’я, науки, культури, що впливають на збільшення індивідуального людського капіталу, примноження його якісних характеристик.</w:t>
      </w:r>
    </w:p>
    <w:p w:rsidR="00B233DE" w:rsidRDefault="00B233DE" w:rsidP="00B233DE">
      <w:pPr>
        <w:ind w:firstLine="720"/>
        <w:jc w:val="both"/>
        <w:rPr>
          <w:rFonts w:ascii="Times New Roman" w:eastAsia="Calibri" w:hAnsi="Times New Roman" w:cs="Times New Roman"/>
          <w:spacing w:val="-6"/>
          <w:sz w:val="21"/>
          <w:szCs w:val="21"/>
        </w:rPr>
      </w:pPr>
      <w:r>
        <w:rPr>
          <w:rFonts w:ascii="Times New Roman" w:eastAsia="Calibri" w:hAnsi="Times New Roman" w:cs="Times New Roman"/>
          <w:spacing w:val="-6"/>
          <w:sz w:val="21"/>
          <w:szCs w:val="21"/>
        </w:rPr>
        <w:t xml:space="preserve">2. </w:t>
      </w:r>
      <w:r w:rsidRPr="00E85ABF">
        <w:rPr>
          <w:rFonts w:ascii="Times New Roman" w:hAnsi="Times New Roman" w:cs="Times New Roman"/>
          <w:spacing w:val="-6"/>
          <w:sz w:val="21"/>
          <w:szCs w:val="21"/>
        </w:rPr>
        <w:t>Витрати передбачають зменшення обсягу</w:t>
      </w:r>
      <w:r w:rsidRPr="008417EA">
        <w:rPr>
          <w:rFonts w:ascii="Times New Roman" w:hAnsi="Times New Roman" w:cs="Times New Roman"/>
          <w:spacing w:val="-6"/>
          <w:sz w:val="21"/>
          <w:szCs w:val="21"/>
        </w:rPr>
        <w:t xml:space="preserve"> матеріальних цінностей та ресурсів. Вони не пов’язані з отриманням додаткової вартості при власному збільшенні. Так, наприклад, витрати пов’язані з забезпеченням фізіологічного відтворення людини, тобто витрати на харчування, одяг, засоби особистої гігієни та інші фізіологічні потреби не можуть класифікуватися як інвестиції в людський капітал, оскільки не приносять додаткового заробітку, а лише забезпечують задоволення поточних фізіологічних потреб.</w:t>
      </w:r>
    </w:p>
    <w:p w:rsidR="00B233DE" w:rsidRPr="00E85ABF" w:rsidRDefault="00B233DE" w:rsidP="00B233DE">
      <w:pPr>
        <w:ind w:firstLine="720"/>
        <w:jc w:val="both"/>
        <w:rPr>
          <w:rFonts w:ascii="Times New Roman" w:eastAsia="Calibri" w:hAnsi="Times New Roman" w:cs="Times New Roman"/>
          <w:spacing w:val="-6"/>
          <w:sz w:val="21"/>
          <w:szCs w:val="21"/>
        </w:rPr>
      </w:pPr>
      <w:r>
        <w:rPr>
          <w:rFonts w:ascii="Times New Roman" w:eastAsia="Calibri" w:hAnsi="Times New Roman" w:cs="Times New Roman"/>
          <w:spacing w:val="-6"/>
          <w:sz w:val="21"/>
          <w:szCs w:val="21"/>
        </w:rPr>
        <w:t xml:space="preserve">3. </w:t>
      </w:r>
      <w:r w:rsidRPr="008417EA">
        <w:rPr>
          <w:rFonts w:ascii="Times New Roman" w:hAnsi="Times New Roman" w:cs="Times New Roman"/>
          <w:sz w:val="21"/>
          <w:szCs w:val="21"/>
        </w:rPr>
        <w:t>Ресурси – це певний обсяг запасів, які може використати індивід у разі потреби. До основних ресурсів людини можемо  віднести час, бажання, особисту мотивацію. В цьому контексті Л. Туроу, С. Боулс, А. Аулен розглядають формування людського капіталу в тісному взаємозв’язку з людським часом, який розглядається як головний актив, що дозволяє отримувати інші активи [</w:t>
      </w:r>
      <w:r>
        <w:rPr>
          <w:rFonts w:ascii="Times New Roman" w:hAnsi="Times New Roman" w:cs="Times New Roman"/>
          <w:spacing w:val="-8"/>
          <w:sz w:val="21"/>
          <w:szCs w:val="21"/>
          <w:highlight w:val="yellow"/>
        </w:rPr>
        <w:fldChar w:fldCharType="begin"/>
      </w:r>
      <w:r>
        <w:rPr>
          <w:rFonts w:ascii="Times New Roman" w:hAnsi="Times New Roman" w:cs="Times New Roman"/>
          <w:sz w:val="21"/>
          <w:szCs w:val="21"/>
        </w:rPr>
        <w:instrText xml:space="preserve"> REF _Ref433977780 \r \h </w:instrText>
      </w:r>
      <w:r>
        <w:rPr>
          <w:rFonts w:ascii="Times New Roman" w:hAnsi="Times New Roman" w:cs="Times New Roman"/>
          <w:spacing w:val="-8"/>
          <w:sz w:val="21"/>
          <w:szCs w:val="21"/>
          <w:highlight w:val="yellow"/>
        </w:rPr>
      </w:r>
      <w:r>
        <w:rPr>
          <w:rFonts w:ascii="Times New Roman" w:hAnsi="Times New Roman" w:cs="Times New Roman"/>
          <w:spacing w:val="-8"/>
          <w:sz w:val="21"/>
          <w:szCs w:val="21"/>
          <w:highlight w:val="yellow"/>
        </w:rPr>
        <w:fldChar w:fldCharType="separate"/>
      </w:r>
      <w:r>
        <w:rPr>
          <w:rFonts w:ascii="Times New Roman" w:hAnsi="Times New Roman" w:cs="Times New Roman"/>
          <w:sz w:val="21"/>
          <w:szCs w:val="21"/>
        </w:rPr>
        <w:t>120</w:t>
      </w:r>
      <w:r>
        <w:rPr>
          <w:rFonts w:ascii="Times New Roman" w:hAnsi="Times New Roman" w:cs="Times New Roman"/>
          <w:spacing w:val="-8"/>
          <w:sz w:val="21"/>
          <w:szCs w:val="21"/>
          <w:highlight w:val="yellow"/>
        </w:rPr>
        <w:fldChar w:fldCharType="end"/>
      </w:r>
      <w:r w:rsidRPr="008417EA">
        <w:rPr>
          <w:rFonts w:ascii="Times New Roman" w:hAnsi="Times New Roman" w:cs="Times New Roman"/>
          <w:sz w:val="21"/>
          <w:szCs w:val="21"/>
        </w:rPr>
        <w:t xml:space="preserve">]. Однак, дотримуємося думки, що такі ресурси як час, бажання, мотивація, власні сили не можуть розглядатися як інвестиції, оскільки не забезпечують отримання додаткової вартості і не можуть примножуватися чи накопичуватись, водночас, без наявності цих ресурсів формування, розвиток, відтворення та нагромадження людського капіталу неможливе, вони є передумовою отримання ефекту від інвестування. </w:t>
      </w:r>
    </w:p>
    <w:p w:rsidR="00B233DE" w:rsidRPr="008417EA" w:rsidRDefault="00B233DE" w:rsidP="00B233DE">
      <w:pPr>
        <w:ind w:firstLine="709"/>
        <w:jc w:val="both"/>
        <w:rPr>
          <w:rFonts w:ascii="Times New Roman" w:eastAsia="Calibri" w:hAnsi="Times New Roman" w:cs="Times New Roman"/>
          <w:spacing w:val="-6"/>
          <w:sz w:val="21"/>
          <w:szCs w:val="21"/>
        </w:rPr>
      </w:pPr>
      <w:r w:rsidRPr="008417EA">
        <w:rPr>
          <w:rFonts w:ascii="Times New Roman" w:hAnsi="Times New Roman" w:cs="Times New Roman"/>
          <w:spacing w:val="-6"/>
          <w:sz w:val="21"/>
          <w:szCs w:val="21"/>
        </w:rPr>
        <w:t>Деякі українські науковці розглядають усі затрати на розвиток людини до досягнення нею працездатного віку та вступу у сферу виробничої чи невиробничої діяльності як потенційні інвестиції в людський капітал, оскільки існує ймовірність не включення до трудової діяльності [</w:t>
      </w:r>
      <w:r>
        <w:rPr>
          <w:rFonts w:ascii="Times New Roman" w:hAnsi="Times New Roman" w:cs="Times New Roman"/>
          <w:spacing w:val="-6"/>
          <w:sz w:val="21"/>
          <w:szCs w:val="21"/>
          <w:highlight w:val="yellow"/>
        </w:rPr>
        <w:fldChar w:fldCharType="begin"/>
      </w:r>
      <w:r>
        <w:rPr>
          <w:rFonts w:ascii="Times New Roman" w:hAnsi="Times New Roman" w:cs="Times New Roman"/>
          <w:spacing w:val="-6"/>
          <w:sz w:val="21"/>
          <w:szCs w:val="21"/>
        </w:rPr>
        <w:instrText xml:space="preserve"> REF _Ref433977568 \r \h </w:instrText>
      </w:r>
      <w:r>
        <w:rPr>
          <w:rFonts w:ascii="Times New Roman" w:hAnsi="Times New Roman" w:cs="Times New Roman"/>
          <w:spacing w:val="-6"/>
          <w:sz w:val="21"/>
          <w:szCs w:val="21"/>
          <w:highlight w:val="yellow"/>
        </w:rPr>
      </w:r>
      <w:r>
        <w:rPr>
          <w:rFonts w:ascii="Times New Roman" w:hAnsi="Times New Roman" w:cs="Times New Roman"/>
          <w:spacing w:val="-6"/>
          <w:sz w:val="21"/>
          <w:szCs w:val="21"/>
          <w:highlight w:val="yellow"/>
        </w:rPr>
        <w:fldChar w:fldCharType="separate"/>
      </w:r>
      <w:r>
        <w:rPr>
          <w:rFonts w:ascii="Times New Roman" w:hAnsi="Times New Roman" w:cs="Times New Roman"/>
          <w:spacing w:val="-6"/>
          <w:sz w:val="21"/>
          <w:szCs w:val="21"/>
        </w:rPr>
        <w:t>3</w:t>
      </w:r>
      <w:r>
        <w:rPr>
          <w:rFonts w:ascii="Times New Roman" w:hAnsi="Times New Roman" w:cs="Times New Roman"/>
          <w:spacing w:val="-6"/>
          <w:sz w:val="21"/>
          <w:szCs w:val="21"/>
          <w:highlight w:val="yellow"/>
        </w:rPr>
        <w:fldChar w:fldCharType="end"/>
      </w:r>
      <w:r w:rsidRPr="008417EA">
        <w:rPr>
          <w:rFonts w:ascii="Times New Roman" w:hAnsi="Times New Roman" w:cs="Times New Roman"/>
          <w:spacing w:val="-6"/>
          <w:sz w:val="21"/>
          <w:szCs w:val="21"/>
        </w:rPr>
        <w:t>]. На нашу думку, всі вкладення, які здійснені з метою подальшого зростання, визначені та перелічені вище, слід вважати інвестиціями, а можливе настання несприятливих ситуацій, наприклад не досягнення працездатного віку та економічної активності об’єкта інвестування, варто розглядати як можливі ризики при здійсненні інвестицій в людський капітал, які в результаті настання ведуть до зменшення ефектів від інвестування.</w:t>
      </w:r>
    </w:p>
    <w:p w:rsidR="00B233DE" w:rsidRPr="008417EA" w:rsidRDefault="00B233DE" w:rsidP="00B233DE">
      <w:pPr>
        <w:ind w:firstLine="708"/>
        <w:jc w:val="both"/>
        <w:rPr>
          <w:rFonts w:ascii="Times New Roman" w:hAnsi="Times New Roman" w:cs="Times New Roman"/>
          <w:sz w:val="21"/>
          <w:szCs w:val="21"/>
        </w:rPr>
      </w:pPr>
      <w:r w:rsidRPr="008417EA">
        <w:rPr>
          <w:rFonts w:ascii="Times New Roman" w:hAnsi="Times New Roman" w:cs="Times New Roman"/>
          <w:spacing w:val="-6"/>
          <w:sz w:val="21"/>
          <w:szCs w:val="21"/>
        </w:rPr>
        <w:lastRenderedPageBreak/>
        <w:t xml:space="preserve">Поряд із існуючими та відомими інструментами інвестування освіти на бюджетній основі з метою забезпечення більшого доступу громадян до освіти, доцільним виступає формування інвестиційного сектору розвитку людського капіталу на основі розширення інституційних інвесторів та розширення джерел інвестування в людський капітал. Формування ринку освітніх послуг та інвестиційного сектору розвитку людського капіталу приводить до переходу від витратної моделі його розвитку до інвестиційної. Водночас, трансформація інституційної системи розвитку людського капіталу інформаційного суспільства можлива виключно на основі існування регуляторно-нормативної бази, що сприятиме розширенню інструментів інвестування людського капіталу на основі пенсійного, накопичувального та приватного страхування, освітніх облігацій, векселів та кредитів, продажу активу людський капітал, лізингу, аутсорсингу, рекрутингу людського капіталу, договорів на підготовку спеціалістів від організацій (рис. </w:t>
      </w:r>
      <w:r>
        <w:rPr>
          <w:rFonts w:ascii="Times New Roman" w:hAnsi="Times New Roman" w:cs="Times New Roman"/>
          <w:spacing w:val="-6"/>
          <w:sz w:val="21"/>
          <w:szCs w:val="21"/>
        </w:rPr>
        <w:t>3.9</w:t>
      </w:r>
      <w:r w:rsidRPr="008417EA">
        <w:rPr>
          <w:rFonts w:ascii="Times New Roman" w:hAnsi="Times New Roman" w:cs="Times New Roman"/>
          <w:spacing w:val="-6"/>
          <w:sz w:val="21"/>
          <w:szCs w:val="21"/>
        </w:rPr>
        <w:t>).</w:t>
      </w:r>
    </w:p>
    <w:p w:rsidR="00B233DE" w:rsidRDefault="00B233DE" w:rsidP="00B233DE">
      <w:pPr>
        <w:ind w:firstLine="708"/>
        <w:jc w:val="both"/>
        <w:rPr>
          <w:rFonts w:ascii="Times New Roman" w:hAnsi="Times New Roman" w:cs="Times New Roman"/>
          <w:sz w:val="21"/>
          <w:szCs w:val="21"/>
        </w:rPr>
      </w:pPr>
      <w:r w:rsidRPr="008417EA">
        <w:rPr>
          <w:rFonts w:ascii="Times New Roman" w:hAnsi="Times New Roman" w:cs="Times New Roman"/>
          <w:sz w:val="21"/>
          <w:szCs w:val="21"/>
        </w:rPr>
        <w:t>Слід зазначити, що застосування особами таких інструментів з метою отримання вищої чи професійної освіти і подальшого розвитку є особливо важливим в умовах економічної кризи, недостатнього матеріального забезпечення носіїв людського капіталу.</w:t>
      </w:r>
    </w:p>
    <w:p w:rsidR="00B233DE" w:rsidRDefault="00B233DE" w:rsidP="00B233DE">
      <w:pPr>
        <w:ind w:firstLine="708"/>
        <w:jc w:val="both"/>
        <w:rPr>
          <w:rFonts w:ascii="Times New Roman" w:hAnsi="Times New Roman" w:cs="Times New Roman"/>
          <w:sz w:val="21"/>
          <w:szCs w:val="21"/>
        </w:rPr>
      </w:pPr>
      <w:r w:rsidRPr="008417EA">
        <w:rPr>
          <w:rFonts w:ascii="Times New Roman" w:hAnsi="Times New Roman" w:cs="Times New Roman"/>
          <w:sz w:val="21"/>
          <w:szCs w:val="21"/>
        </w:rPr>
        <w:t>Тому, на цьому етапі дослідження доцільно обґрунтувати необхідність застосування таких інвестиційних інструментів розвитку людського капіталу</w:t>
      </w:r>
      <w:r>
        <w:rPr>
          <w:rFonts w:ascii="Times New Roman" w:hAnsi="Times New Roman" w:cs="Times New Roman"/>
          <w:sz w:val="21"/>
          <w:szCs w:val="21"/>
        </w:rPr>
        <w:t>,</w:t>
      </w:r>
      <w:r w:rsidRPr="008417EA">
        <w:rPr>
          <w:rFonts w:ascii="Times New Roman" w:hAnsi="Times New Roman" w:cs="Times New Roman"/>
          <w:sz w:val="21"/>
          <w:szCs w:val="21"/>
        </w:rPr>
        <w:t xml:space="preserve"> як освітня облігація, освітній кредит та освітній вексель, які розширюють можливості доступу населення до вищої чи професійної освіти.</w:t>
      </w:r>
      <w:r>
        <w:rPr>
          <w:rFonts w:ascii="Times New Roman" w:hAnsi="Times New Roman" w:cs="Times New Roman"/>
          <w:sz w:val="21"/>
          <w:szCs w:val="21"/>
        </w:rPr>
        <w:t xml:space="preserve"> </w:t>
      </w:r>
      <w:r w:rsidRPr="008417EA">
        <w:rPr>
          <w:rFonts w:ascii="Times New Roman" w:hAnsi="Times New Roman" w:cs="Times New Roman"/>
          <w:sz w:val="21"/>
          <w:szCs w:val="21"/>
        </w:rPr>
        <w:t>Водночас, зазначені інвестиційні інструменти сприятимуть реформуванню системи освіти на основі залучення коштів з позабюджетних джерел.</w:t>
      </w:r>
    </w:p>
    <w:p w:rsidR="00B233DE" w:rsidRDefault="00B233DE" w:rsidP="00B233DE">
      <w:pPr>
        <w:ind w:firstLine="708"/>
        <w:jc w:val="both"/>
        <w:rPr>
          <w:rFonts w:ascii="Times New Roman" w:hAnsi="Times New Roman" w:cs="Times New Roman"/>
          <w:sz w:val="21"/>
          <w:szCs w:val="21"/>
        </w:rPr>
      </w:pPr>
      <w:r w:rsidRPr="008417EA">
        <w:rPr>
          <w:rFonts w:ascii="Times New Roman" w:hAnsi="Times New Roman" w:cs="Times New Roman"/>
          <w:sz w:val="21"/>
          <w:szCs w:val="21"/>
        </w:rPr>
        <w:t>На нашу думку, під освітньою облігацією слід розуміти цінний папір на пред’явника, що може бути придбаний фізичними чи юридичними особами і погашається шляхом надання навчальних послуг в освітньому закладі.</w:t>
      </w:r>
    </w:p>
    <w:p w:rsidR="00B233DE" w:rsidRDefault="00B233DE" w:rsidP="00B233DE">
      <w:pPr>
        <w:ind w:firstLine="708"/>
        <w:jc w:val="both"/>
        <w:rPr>
          <w:rFonts w:ascii="Times New Roman" w:hAnsi="Times New Roman" w:cs="Times New Roman"/>
          <w:sz w:val="21"/>
          <w:szCs w:val="21"/>
        </w:rPr>
      </w:pPr>
      <w:r>
        <w:rPr>
          <w:rFonts w:ascii="Times New Roman" w:hAnsi="Times New Roman" w:cs="Times New Roman"/>
          <w:sz w:val="21"/>
          <w:szCs w:val="21"/>
        </w:rPr>
        <w:t>О</w:t>
      </w:r>
      <w:r w:rsidRPr="008417EA">
        <w:rPr>
          <w:rFonts w:ascii="Times New Roman" w:hAnsi="Times New Roman" w:cs="Times New Roman"/>
          <w:sz w:val="21"/>
          <w:szCs w:val="21"/>
        </w:rPr>
        <w:t>світні облігації є вигідним та привабливим інструментом інвестування людського капіталу оскільки надають змогу на ранніх етапах спланувати та оплатити навчання за цінною нижчою, ніж через кілька років.</w:t>
      </w:r>
    </w:p>
    <w:p w:rsidR="00B233DE" w:rsidRPr="008417EA" w:rsidRDefault="00B233DE" w:rsidP="00B233DE">
      <w:pPr>
        <w:ind w:firstLine="709"/>
        <w:jc w:val="both"/>
        <w:rPr>
          <w:rFonts w:ascii="Times New Roman" w:hAnsi="Times New Roman" w:cs="Times New Roman"/>
          <w:sz w:val="21"/>
          <w:szCs w:val="21"/>
        </w:rPr>
      </w:pPr>
      <w:r w:rsidRPr="008417EA">
        <w:rPr>
          <w:rFonts w:ascii="Times New Roman" w:hAnsi="Times New Roman" w:cs="Times New Roman"/>
          <w:sz w:val="21"/>
          <w:szCs w:val="21"/>
        </w:rPr>
        <w:t>Такий інструмент інвестування вищої освіти широко використовується за</w:t>
      </w:r>
      <w:r>
        <w:rPr>
          <w:rFonts w:ascii="Times New Roman" w:hAnsi="Times New Roman" w:cs="Times New Roman"/>
          <w:sz w:val="21"/>
          <w:szCs w:val="21"/>
        </w:rPr>
        <w:t xml:space="preserve"> </w:t>
      </w:r>
      <w:r w:rsidRPr="008417EA">
        <w:rPr>
          <w:rFonts w:ascii="Times New Roman" w:hAnsi="Times New Roman" w:cs="Times New Roman"/>
          <w:sz w:val="21"/>
          <w:szCs w:val="21"/>
        </w:rPr>
        <w:t>кордоном як спосіб накопичення коштів і має ряд переваг:</w:t>
      </w:r>
    </w:p>
    <w:p w:rsidR="00B233DE" w:rsidRDefault="00B233DE" w:rsidP="00B233DE">
      <w:pPr>
        <w:pStyle w:val="41"/>
        <w:numPr>
          <w:ilvl w:val="0"/>
          <w:numId w:val="9"/>
        </w:numPr>
        <w:tabs>
          <w:tab w:val="left" w:pos="851"/>
        </w:tabs>
        <w:ind w:left="0" w:firstLine="680"/>
        <w:jc w:val="both"/>
        <w:rPr>
          <w:sz w:val="21"/>
          <w:szCs w:val="21"/>
          <w:lang w:val="uk-UA"/>
        </w:rPr>
      </w:pPr>
      <w:r w:rsidRPr="008417EA">
        <w:rPr>
          <w:sz w:val="21"/>
          <w:szCs w:val="21"/>
          <w:lang w:val="uk-UA"/>
        </w:rPr>
        <w:lastRenderedPageBreak/>
        <w:t xml:space="preserve">по-перше, освітня облігація купується з метою покриття вартості навчання за освітньо-кваліфікаційним рівнем бакалавр чи </w:t>
      </w:r>
      <w:r>
        <w:rPr>
          <w:sz w:val="21"/>
          <w:szCs w:val="21"/>
          <w:lang w:val="uk-UA"/>
        </w:rPr>
        <w:t>магістр</w:t>
      </w:r>
      <w:r w:rsidRPr="008417EA">
        <w:rPr>
          <w:sz w:val="21"/>
          <w:szCs w:val="21"/>
          <w:lang w:val="uk-UA"/>
        </w:rPr>
        <w:t xml:space="preserve"> денної форми навчання строком від одного до п’яти років;</w:t>
      </w:r>
    </w:p>
    <w:p w:rsidR="00B233DE" w:rsidRPr="00DE0E1D" w:rsidRDefault="00B233DE" w:rsidP="00B233DE">
      <w:pPr>
        <w:pStyle w:val="41"/>
        <w:numPr>
          <w:ilvl w:val="0"/>
          <w:numId w:val="9"/>
        </w:numPr>
        <w:tabs>
          <w:tab w:val="left" w:pos="851"/>
        </w:tabs>
        <w:ind w:left="0" w:firstLine="680"/>
        <w:jc w:val="both"/>
        <w:rPr>
          <w:sz w:val="21"/>
          <w:szCs w:val="21"/>
          <w:lang w:val="uk-UA"/>
        </w:rPr>
      </w:pPr>
      <w:r w:rsidRPr="00DE0E1D">
        <w:rPr>
          <w:sz w:val="21"/>
          <w:szCs w:val="21"/>
        </w:rPr>
        <w:t>по-друге, оскільки облігація на пред’явника, то передбачає можливість передачі, продажу чи заповіту без її переоформлення;</w:t>
      </w: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r>
        <w:rPr>
          <w:rFonts w:ascii="Times New Roman" w:hAnsi="Times New Roman" w:cs="Times New Roman"/>
          <w:noProof/>
          <w:sz w:val="21"/>
          <w:szCs w:val="21"/>
          <w:lang w:val="ru-RU" w:eastAsia="ru-RU"/>
        </w:rPr>
        <mc:AlternateContent>
          <mc:Choice Requires="wpg">
            <w:drawing>
              <wp:anchor distT="0" distB="0" distL="114300" distR="114300" simplePos="0" relativeHeight="251685888" behindDoc="0" locked="0" layoutInCell="1" allowOverlap="1" wp14:anchorId="0CAECD92" wp14:editId="29110892">
                <wp:simplePos x="0" y="0"/>
                <wp:positionH relativeFrom="column">
                  <wp:posOffset>151765</wp:posOffset>
                </wp:positionH>
                <wp:positionV relativeFrom="paragraph">
                  <wp:posOffset>14605</wp:posOffset>
                </wp:positionV>
                <wp:extent cx="3932555" cy="4051300"/>
                <wp:effectExtent l="0" t="0" r="10795" b="25400"/>
                <wp:wrapNone/>
                <wp:docPr id="432" name="Группа 4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32555" cy="4051300"/>
                          <a:chOff x="1592" y="7252"/>
                          <a:chExt cx="9879" cy="7099"/>
                        </a:xfrm>
                      </wpg:grpSpPr>
                      <wps:wsp>
                        <wps:cNvPr id="433" name="Rectangle 322"/>
                        <wps:cNvSpPr>
                          <a:spLocks noChangeArrowheads="1"/>
                        </wps:cNvSpPr>
                        <wps:spPr bwMode="auto">
                          <a:xfrm>
                            <a:off x="3389" y="12898"/>
                            <a:ext cx="1788" cy="792"/>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Акцепт освітніх векселів </w:t>
                              </w:r>
                            </w:p>
                          </w:txbxContent>
                        </wps:txbx>
                        <wps:bodyPr rot="0" vert="horz" wrap="square" lIns="0" tIns="0" rIns="0" bIns="0" anchor="ctr" anchorCtr="0" upright="1">
                          <a:noAutofit/>
                        </wps:bodyPr>
                      </wps:wsp>
                      <wps:wsp>
                        <wps:cNvPr id="434" name="AutoShape 323"/>
                        <wps:cNvCnPr>
                          <a:cxnSpLocks noChangeShapeType="1"/>
                        </wps:cNvCnPr>
                        <wps:spPr bwMode="auto">
                          <a:xfrm>
                            <a:off x="4884" y="12763"/>
                            <a:ext cx="0" cy="1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5" name="Rectangle 324"/>
                        <wps:cNvSpPr>
                          <a:spLocks noChangeArrowheads="1"/>
                        </wps:cNvSpPr>
                        <wps:spPr bwMode="auto">
                          <a:xfrm>
                            <a:off x="4451" y="12034"/>
                            <a:ext cx="4167" cy="611"/>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Вищі та професійно-технічні навчальні заклади </w:t>
                              </w:r>
                            </w:p>
                          </w:txbxContent>
                        </wps:txbx>
                        <wps:bodyPr rot="0" vert="horz" wrap="square" lIns="0" tIns="0" rIns="0" bIns="0" anchor="t" anchorCtr="0" upright="1">
                          <a:noAutofit/>
                        </wps:bodyPr>
                      </wps:wsp>
                      <wps:wsp>
                        <wps:cNvPr id="436" name="Rectangle 325"/>
                        <wps:cNvSpPr>
                          <a:spLocks noChangeArrowheads="1"/>
                        </wps:cNvSpPr>
                        <wps:spPr bwMode="auto">
                          <a:xfrm>
                            <a:off x="5346" y="12902"/>
                            <a:ext cx="1522" cy="820"/>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Навчання на платній основі </w:t>
                              </w:r>
                            </w:p>
                          </w:txbxContent>
                        </wps:txbx>
                        <wps:bodyPr rot="0" vert="horz" wrap="square" lIns="0" tIns="0" rIns="0" bIns="0" anchor="t" anchorCtr="0" upright="1">
                          <a:noAutofit/>
                        </wps:bodyPr>
                      </wps:wsp>
                      <wps:wsp>
                        <wps:cNvPr id="437" name="Rectangle 326"/>
                        <wps:cNvSpPr>
                          <a:spLocks noChangeArrowheads="1"/>
                        </wps:cNvSpPr>
                        <wps:spPr bwMode="auto">
                          <a:xfrm>
                            <a:off x="1592" y="12915"/>
                            <a:ext cx="1725" cy="769"/>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Випуск освітніх облігацій </w:t>
                              </w:r>
                            </w:p>
                          </w:txbxContent>
                        </wps:txbx>
                        <wps:bodyPr rot="0" vert="horz" wrap="square" lIns="0" tIns="0" rIns="0" bIns="0" anchor="t" anchorCtr="0" upright="1">
                          <a:noAutofit/>
                        </wps:bodyPr>
                      </wps:wsp>
                      <wps:wsp>
                        <wps:cNvPr id="438" name="Rectangle 327"/>
                        <wps:cNvSpPr>
                          <a:spLocks noChangeArrowheads="1"/>
                        </wps:cNvSpPr>
                        <wps:spPr bwMode="auto">
                          <a:xfrm>
                            <a:off x="6967" y="12902"/>
                            <a:ext cx="1893" cy="813"/>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Навчання за державними грантами</w:t>
                              </w:r>
                            </w:p>
                          </w:txbxContent>
                        </wps:txbx>
                        <wps:bodyPr rot="0" vert="horz" wrap="square" lIns="0" tIns="0" rIns="0" bIns="0" anchor="t" anchorCtr="0" upright="1">
                          <a:noAutofit/>
                        </wps:bodyPr>
                      </wps:wsp>
                      <wps:wsp>
                        <wps:cNvPr id="439" name="Rectangle 328"/>
                        <wps:cNvSpPr>
                          <a:spLocks noChangeArrowheads="1"/>
                        </wps:cNvSpPr>
                        <wps:spPr bwMode="auto">
                          <a:xfrm>
                            <a:off x="3158" y="14039"/>
                            <a:ext cx="6420" cy="312"/>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Формування високорозвиненого людського капіталу</w:t>
                              </w:r>
                            </w:p>
                          </w:txbxContent>
                        </wps:txbx>
                        <wps:bodyPr rot="0" vert="horz" wrap="square" lIns="0" tIns="0" rIns="0" bIns="0" anchor="t" anchorCtr="0" upright="1">
                          <a:noAutofit/>
                        </wps:bodyPr>
                      </wps:wsp>
                      <wps:wsp>
                        <wps:cNvPr id="440" name="AutoShape 329"/>
                        <wps:cNvCnPr>
                          <a:cxnSpLocks noChangeShapeType="1"/>
                        </wps:cNvCnPr>
                        <wps:spPr bwMode="auto">
                          <a:xfrm>
                            <a:off x="6627" y="12677"/>
                            <a:ext cx="0" cy="22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1" name="AutoShape 330"/>
                        <wps:cNvCnPr>
                          <a:cxnSpLocks noChangeShapeType="1"/>
                        </wps:cNvCnPr>
                        <wps:spPr bwMode="auto">
                          <a:xfrm>
                            <a:off x="2879" y="12747"/>
                            <a:ext cx="6544"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2" name="AutoShape 331"/>
                        <wps:cNvCnPr>
                          <a:cxnSpLocks noChangeShapeType="1"/>
                        </wps:cNvCnPr>
                        <wps:spPr bwMode="auto">
                          <a:xfrm>
                            <a:off x="2896" y="12762"/>
                            <a:ext cx="0" cy="15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3" name="AutoShape 332"/>
                        <wps:cNvCnPr>
                          <a:cxnSpLocks noChangeShapeType="1"/>
                        </wps:cNvCnPr>
                        <wps:spPr bwMode="auto">
                          <a:xfrm>
                            <a:off x="9423" y="12762"/>
                            <a:ext cx="0" cy="15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4" name="AutoShape 333"/>
                        <wps:cNvCnPr>
                          <a:cxnSpLocks noChangeShapeType="1"/>
                        </wps:cNvCnPr>
                        <wps:spPr bwMode="auto">
                          <a:xfrm>
                            <a:off x="6193" y="13724"/>
                            <a:ext cx="18" cy="3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5" name="AutoShape 334"/>
                        <wps:cNvCnPr>
                          <a:cxnSpLocks noChangeShapeType="1"/>
                        </wps:cNvCnPr>
                        <wps:spPr bwMode="auto">
                          <a:xfrm>
                            <a:off x="2407" y="13832"/>
                            <a:ext cx="7688"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6" name="AutoShape 335"/>
                        <wps:cNvCnPr>
                          <a:cxnSpLocks noChangeShapeType="1"/>
                        </wps:cNvCnPr>
                        <wps:spPr bwMode="auto">
                          <a:xfrm>
                            <a:off x="2420" y="13720"/>
                            <a:ext cx="0" cy="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7" name="AutoShape 336"/>
                        <wps:cNvCnPr>
                          <a:cxnSpLocks noChangeShapeType="1"/>
                        </wps:cNvCnPr>
                        <wps:spPr bwMode="auto">
                          <a:xfrm>
                            <a:off x="10083" y="13745"/>
                            <a:ext cx="0" cy="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8" name="Rectangle 337"/>
                        <wps:cNvSpPr>
                          <a:spLocks noChangeArrowheads="1"/>
                        </wps:cNvSpPr>
                        <wps:spPr bwMode="auto">
                          <a:xfrm>
                            <a:off x="9033" y="12893"/>
                            <a:ext cx="2050" cy="835"/>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Навчання на основі договорів про підготовку </w:t>
                              </w:r>
                            </w:p>
                          </w:txbxContent>
                        </wps:txbx>
                        <wps:bodyPr rot="0" vert="horz" wrap="square" lIns="0" tIns="0" rIns="0" bIns="0" anchor="t" anchorCtr="0" upright="1">
                          <a:noAutofit/>
                        </wps:bodyPr>
                      </wps:wsp>
                      <wps:wsp>
                        <wps:cNvPr id="449" name="AutoShape 338"/>
                        <wps:cNvCnPr>
                          <a:cxnSpLocks noChangeShapeType="1"/>
                        </wps:cNvCnPr>
                        <wps:spPr bwMode="auto">
                          <a:xfrm>
                            <a:off x="4302" y="13707"/>
                            <a:ext cx="0" cy="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0" name="AutoShape 339"/>
                        <wps:cNvCnPr>
                          <a:cxnSpLocks noChangeShapeType="1"/>
                        </wps:cNvCnPr>
                        <wps:spPr bwMode="auto">
                          <a:xfrm>
                            <a:off x="7901" y="13741"/>
                            <a:ext cx="0" cy="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1" name="AutoShape 340"/>
                        <wps:cNvCnPr>
                          <a:cxnSpLocks noChangeShapeType="1"/>
                        </wps:cNvCnPr>
                        <wps:spPr bwMode="auto">
                          <a:xfrm>
                            <a:off x="7887" y="12769"/>
                            <a:ext cx="0" cy="1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2" name="Rectangle 341"/>
                        <wps:cNvSpPr>
                          <a:spLocks noChangeArrowheads="1"/>
                        </wps:cNvSpPr>
                        <wps:spPr bwMode="auto">
                          <a:xfrm flipV="1">
                            <a:off x="1659" y="9290"/>
                            <a:ext cx="9812" cy="1999"/>
                          </a:xfrm>
                          <a:prstGeom prst="rect">
                            <a:avLst/>
                          </a:prstGeom>
                          <a:solidFill>
                            <a:srgbClr val="FFFFFF"/>
                          </a:solidFill>
                          <a:ln w="9525">
                            <a:solidFill>
                              <a:srgbClr val="000000"/>
                            </a:solidFill>
                            <a:miter lim="800000"/>
                            <a:headEnd/>
                            <a:tailEnd/>
                          </a:ln>
                        </wps:spPr>
                        <wps:txbx>
                          <w:txbxContent>
                            <w:p w:rsidR="00BE40F8" w:rsidRDefault="00BE40F8" w:rsidP="00B233DE"/>
                          </w:txbxContent>
                        </wps:txbx>
                        <wps:bodyPr rot="0" vert="horz" wrap="square" lIns="0" tIns="0" rIns="0" bIns="0" anchor="t" anchorCtr="0" upright="1">
                          <a:noAutofit/>
                        </wps:bodyPr>
                      </wps:wsp>
                      <wps:wsp>
                        <wps:cNvPr id="453" name="Rectangle 342"/>
                        <wps:cNvSpPr>
                          <a:spLocks noChangeArrowheads="1"/>
                        </wps:cNvSpPr>
                        <wps:spPr bwMode="auto">
                          <a:xfrm>
                            <a:off x="9584" y="9383"/>
                            <a:ext cx="1749" cy="601"/>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Страхові компанії</w:t>
                              </w:r>
                            </w:p>
                          </w:txbxContent>
                        </wps:txbx>
                        <wps:bodyPr rot="0" vert="horz" wrap="square" lIns="0" tIns="0" rIns="0" bIns="0" anchor="t" anchorCtr="0" upright="1">
                          <a:noAutofit/>
                        </wps:bodyPr>
                      </wps:wsp>
                      <wps:wsp>
                        <wps:cNvPr id="454" name="AutoShape 343"/>
                        <wps:cNvCnPr>
                          <a:cxnSpLocks noChangeShapeType="1"/>
                        </wps:cNvCnPr>
                        <wps:spPr bwMode="auto">
                          <a:xfrm>
                            <a:off x="9584" y="9984"/>
                            <a:ext cx="0" cy="3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5" name="AutoShape 344"/>
                        <wps:cNvCnPr>
                          <a:cxnSpLocks noChangeShapeType="1"/>
                        </wps:cNvCnPr>
                        <wps:spPr bwMode="auto">
                          <a:xfrm>
                            <a:off x="9598" y="10340"/>
                            <a:ext cx="13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6" name="Rectangle 345"/>
                        <wps:cNvSpPr>
                          <a:spLocks noChangeArrowheads="1"/>
                        </wps:cNvSpPr>
                        <wps:spPr bwMode="auto">
                          <a:xfrm>
                            <a:off x="9703" y="10153"/>
                            <a:ext cx="1630" cy="618"/>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страхові поліси</w:t>
                              </w:r>
                            </w:p>
                          </w:txbxContent>
                        </wps:txbx>
                        <wps:bodyPr rot="0" vert="horz" wrap="square" lIns="0" tIns="0" rIns="0" bIns="0" anchor="t" anchorCtr="0" upright="1">
                          <a:noAutofit/>
                        </wps:bodyPr>
                      </wps:wsp>
                      <wps:wsp>
                        <wps:cNvPr id="457" name="Rectangle 346"/>
                        <wps:cNvSpPr>
                          <a:spLocks noChangeArrowheads="1"/>
                        </wps:cNvSpPr>
                        <wps:spPr bwMode="auto">
                          <a:xfrm>
                            <a:off x="1659" y="7863"/>
                            <a:ext cx="9674" cy="749"/>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Джерела формування ресурсів інвестицій в людський капітал</w:t>
                              </w:r>
                            </w:p>
                          </w:txbxContent>
                        </wps:txbx>
                        <wps:bodyPr rot="0" vert="horz" wrap="square" lIns="0" tIns="0" rIns="0" bIns="0" anchor="t" anchorCtr="0" upright="1">
                          <a:noAutofit/>
                        </wps:bodyPr>
                      </wps:wsp>
                      <wps:wsp>
                        <wps:cNvPr id="458" name="Rectangle 347"/>
                        <wps:cNvSpPr>
                          <a:spLocks noChangeArrowheads="1"/>
                        </wps:cNvSpPr>
                        <wps:spPr bwMode="auto">
                          <a:xfrm>
                            <a:off x="5160" y="7252"/>
                            <a:ext cx="3133" cy="417"/>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Особа, домогосподарство </w:t>
                              </w:r>
                            </w:p>
                          </w:txbxContent>
                        </wps:txbx>
                        <wps:bodyPr rot="0" vert="horz" wrap="square" lIns="0" tIns="0" rIns="0" bIns="0" anchor="t" anchorCtr="0" upright="1">
                          <a:noAutofit/>
                        </wps:bodyPr>
                      </wps:wsp>
                      <wps:wsp>
                        <wps:cNvPr id="459" name="Rectangle 348"/>
                        <wps:cNvSpPr>
                          <a:spLocks noChangeArrowheads="1"/>
                        </wps:cNvSpPr>
                        <wps:spPr bwMode="auto">
                          <a:xfrm>
                            <a:off x="1808" y="8213"/>
                            <a:ext cx="2367" cy="305"/>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Заробітна плата </w:t>
                              </w:r>
                            </w:p>
                          </w:txbxContent>
                        </wps:txbx>
                        <wps:bodyPr rot="0" vert="horz" wrap="square" lIns="0" tIns="0" rIns="0" bIns="0" anchor="t" anchorCtr="0" upright="1">
                          <a:noAutofit/>
                        </wps:bodyPr>
                      </wps:wsp>
                      <wps:wsp>
                        <wps:cNvPr id="460" name="Rectangle 349"/>
                        <wps:cNvSpPr>
                          <a:spLocks noChangeArrowheads="1"/>
                        </wps:cNvSpPr>
                        <wps:spPr bwMode="auto">
                          <a:xfrm>
                            <a:off x="4292" y="8213"/>
                            <a:ext cx="2681" cy="305"/>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Доходи від власності </w:t>
                              </w:r>
                            </w:p>
                          </w:txbxContent>
                        </wps:txbx>
                        <wps:bodyPr rot="0" vert="horz" wrap="square" lIns="0" tIns="0" rIns="0" bIns="0" anchor="t" anchorCtr="0" upright="1">
                          <a:noAutofit/>
                        </wps:bodyPr>
                      </wps:wsp>
                      <wps:wsp>
                        <wps:cNvPr id="461" name="Rectangle 350"/>
                        <wps:cNvSpPr>
                          <a:spLocks noChangeArrowheads="1"/>
                        </wps:cNvSpPr>
                        <wps:spPr bwMode="auto">
                          <a:xfrm>
                            <a:off x="7091" y="8213"/>
                            <a:ext cx="3980" cy="305"/>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Соціальна допомога та трансферти </w:t>
                              </w:r>
                            </w:p>
                          </w:txbxContent>
                        </wps:txbx>
                        <wps:bodyPr rot="0" vert="horz" wrap="square" lIns="0" tIns="0" rIns="0" bIns="0" anchor="t" anchorCtr="0" upright="1">
                          <a:noAutofit/>
                        </wps:bodyPr>
                      </wps:wsp>
                      <wps:wsp>
                        <wps:cNvPr id="462" name="Rectangle 351"/>
                        <wps:cNvSpPr>
                          <a:spLocks noChangeArrowheads="1"/>
                        </wps:cNvSpPr>
                        <wps:spPr bwMode="auto">
                          <a:xfrm>
                            <a:off x="2968" y="8802"/>
                            <a:ext cx="7137" cy="360"/>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Розподіл коштів за інститутами з метою нагромадження </w:t>
                              </w:r>
                            </w:p>
                          </w:txbxContent>
                        </wps:txbx>
                        <wps:bodyPr rot="0" vert="horz" wrap="square" lIns="0" tIns="0" rIns="0" bIns="0" anchor="t" anchorCtr="0" upright="1">
                          <a:noAutofit/>
                        </wps:bodyPr>
                      </wps:wsp>
                      <wps:wsp>
                        <wps:cNvPr id="463" name="Rectangle 352"/>
                        <wps:cNvSpPr>
                          <a:spLocks noChangeArrowheads="1"/>
                        </wps:cNvSpPr>
                        <wps:spPr bwMode="auto">
                          <a:xfrm>
                            <a:off x="1808" y="9383"/>
                            <a:ext cx="2367" cy="601"/>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Фінансово-кредитні установи </w:t>
                              </w:r>
                            </w:p>
                          </w:txbxContent>
                        </wps:txbx>
                        <wps:bodyPr rot="0" vert="horz" wrap="square" lIns="0" tIns="0" rIns="0" bIns="0" anchor="t" anchorCtr="0" upright="1">
                          <a:noAutofit/>
                        </wps:bodyPr>
                      </wps:wsp>
                      <wps:wsp>
                        <wps:cNvPr id="464" name="Rectangle 353"/>
                        <wps:cNvSpPr>
                          <a:spLocks noChangeArrowheads="1"/>
                        </wps:cNvSpPr>
                        <wps:spPr bwMode="auto">
                          <a:xfrm>
                            <a:off x="4306" y="9383"/>
                            <a:ext cx="2460" cy="601"/>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Недержавні пенсійні фонди </w:t>
                              </w:r>
                            </w:p>
                          </w:txbxContent>
                        </wps:txbx>
                        <wps:bodyPr rot="0" vert="horz" wrap="square" lIns="0" tIns="0" rIns="0" bIns="0" anchor="t" anchorCtr="0" upright="1">
                          <a:noAutofit/>
                        </wps:bodyPr>
                      </wps:wsp>
                      <wps:wsp>
                        <wps:cNvPr id="465" name="Rectangle 354"/>
                        <wps:cNvSpPr>
                          <a:spLocks noChangeArrowheads="1"/>
                        </wps:cNvSpPr>
                        <wps:spPr bwMode="auto">
                          <a:xfrm>
                            <a:off x="6937" y="9383"/>
                            <a:ext cx="2452" cy="601"/>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Накопичувальні фонди </w:t>
                              </w:r>
                            </w:p>
                          </w:txbxContent>
                        </wps:txbx>
                        <wps:bodyPr rot="0" vert="horz" wrap="square" lIns="0" tIns="0" rIns="0" bIns="0" anchor="t" anchorCtr="0" upright="1">
                          <a:noAutofit/>
                        </wps:bodyPr>
                      </wps:wsp>
                      <wps:wsp>
                        <wps:cNvPr id="466" name="Rectangle 355"/>
                        <wps:cNvSpPr>
                          <a:spLocks noChangeArrowheads="1"/>
                        </wps:cNvSpPr>
                        <wps:spPr bwMode="auto">
                          <a:xfrm>
                            <a:off x="1962" y="10153"/>
                            <a:ext cx="2123" cy="323"/>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депозитні рахунки </w:t>
                              </w:r>
                            </w:p>
                          </w:txbxContent>
                        </wps:txbx>
                        <wps:bodyPr rot="0" vert="horz" wrap="square" lIns="0" tIns="0" rIns="0" bIns="0" anchor="t" anchorCtr="0" upright="1">
                          <a:noAutofit/>
                        </wps:bodyPr>
                      </wps:wsp>
                      <wps:wsp>
                        <wps:cNvPr id="467" name="Rectangle 356"/>
                        <wps:cNvSpPr>
                          <a:spLocks noChangeArrowheads="1"/>
                        </wps:cNvSpPr>
                        <wps:spPr bwMode="auto">
                          <a:xfrm>
                            <a:off x="1962" y="10476"/>
                            <a:ext cx="2123" cy="322"/>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кредити </w:t>
                              </w:r>
                            </w:p>
                          </w:txbxContent>
                        </wps:txbx>
                        <wps:bodyPr rot="0" vert="horz" wrap="square" lIns="0" tIns="0" rIns="0" bIns="0" anchor="t" anchorCtr="0" upright="1">
                          <a:noAutofit/>
                        </wps:bodyPr>
                      </wps:wsp>
                      <wps:wsp>
                        <wps:cNvPr id="468" name="Rectangle 357"/>
                        <wps:cNvSpPr>
                          <a:spLocks noChangeArrowheads="1"/>
                        </wps:cNvSpPr>
                        <wps:spPr bwMode="auto">
                          <a:xfrm>
                            <a:off x="1962" y="10798"/>
                            <a:ext cx="2123" cy="323"/>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трастові угоди</w:t>
                              </w:r>
                            </w:p>
                          </w:txbxContent>
                        </wps:txbx>
                        <wps:bodyPr rot="0" vert="horz" wrap="square" lIns="0" tIns="0" rIns="0" bIns="0" anchor="t" anchorCtr="0" upright="1">
                          <a:noAutofit/>
                        </wps:bodyPr>
                      </wps:wsp>
                      <wps:wsp>
                        <wps:cNvPr id="469" name="Rectangle 358"/>
                        <wps:cNvSpPr>
                          <a:spLocks noChangeArrowheads="1"/>
                        </wps:cNvSpPr>
                        <wps:spPr bwMode="auto">
                          <a:xfrm>
                            <a:off x="4525" y="10153"/>
                            <a:ext cx="2311" cy="645"/>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накопичувальні пенсійні рахунки  </w:t>
                              </w:r>
                            </w:p>
                          </w:txbxContent>
                        </wps:txbx>
                        <wps:bodyPr rot="0" vert="horz" wrap="square" lIns="0" tIns="0" rIns="0" bIns="0" anchor="t" anchorCtr="0" upright="1">
                          <a:noAutofit/>
                        </wps:bodyPr>
                      </wps:wsp>
                      <wps:wsp>
                        <wps:cNvPr id="470" name="Rectangle 359"/>
                        <wps:cNvSpPr>
                          <a:spLocks noChangeArrowheads="1"/>
                        </wps:cNvSpPr>
                        <wps:spPr bwMode="auto">
                          <a:xfrm>
                            <a:off x="7080" y="10153"/>
                            <a:ext cx="2313" cy="645"/>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Pr>
                                  <w:rFonts w:ascii="Times New Roman" w:hAnsi="Times New Roman" w:cs="Times New Roman"/>
                                  <w:sz w:val="16"/>
                                  <w:szCs w:val="16"/>
                                </w:rPr>
                                <w:t>накопичувальні</w:t>
                              </w:r>
                              <w:r w:rsidRPr="00CC0149">
                                <w:rPr>
                                  <w:rFonts w:ascii="Times New Roman" w:hAnsi="Times New Roman" w:cs="Times New Roman"/>
                                  <w:sz w:val="16"/>
                                  <w:szCs w:val="16"/>
                                </w:rPr>
                                <w:t xml:space="preserve"> рахунки  </w:t>
                              </w:r>
                            </w:p>
                          </w:txbxContent>
                        </wps:txbx>
                        <wps:bodyPr rot="0" vert="horz" wrap="square" lIns="0" tIns="0" rIns="0" bIns="0" anchor="t" anchorCtr="0" upright="1">
                          <a:noAutofit/>
                        </wps:bodyPr>
                      </wps:wsp>
                      <wps:wsp>
                        <wps:cNvPr id="471" name="Rectangle 360"/>
                        <wps:cNvSpPr>
                          <a:spLocks noChangeArrowheads="1"/>
                        </wps:cNvSpPr>
                        <wps:spPr bwMode="auto">
                          <a:xfrm>
                            <a:off x="3710" y="11441"/>
                            <a:ext cx="6271" cy="424"/>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Інвестування коштів з метою отримання освіти  </w:t>
                              </w:r>
                            </w:p>
                          </w:txbxContent>
                        </wps:txbx>
                        <wps:bodyPr rot="0" vert="horz" wrap="square" lIns="0" tIns="0" rIns="0" bIns="0" anchor="t" anchorCtr="0" upright="1">
                          <a:noAutofit/>
                        </wps:bodyPr>
                      </wps:wsp>
                      <wps:wsp>
                        <wps:cNvPr id="472" name="Rectangle 361"/>
                        <wps:cNvSpPr>
                          <a:spLocks noChangeArrowheads="1"/>
                        </wps:cNvSpPr>
                        <wps:spPr bwMode="auto">
                          <a:xfrm>
                            <a:off x="4525" y="10798"/>
                            <a:ext cx="2311" cy="323"/>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інвестиційний дохід</w:t>
                              </w:r>
                            </w:p>
                          </w:txbxContent>
                        </wps:txbx>
                        <wps:bodyPr rot="0" vert="horz" wrap="square" lIns="0" tIns="0" rIns="0" bIns="0" anchor="t" anchorCtr="0" upright="1">
                          <a:noAutofit/>
                        </wps:bodyPr>
                      </wps:wsp>
                      <wps:wsp>
                        <wps:cNvPr id="473" name="Rectangle 362"/>
                        <wps:cNvSpPr>
                          <a:spLocks noChangeArrowheads="1"/>
                        </wps:cNvSpPr>
                        <wps:spPr bwMode="auto">
                          <a:xfrm>
                            <a:off x="7082" y="10798"/>
                            <a:ext cx="2311" cy="325"/>
                          </a:xfrm>
                          <a:prstGeom prst="rect">
                            <a:avLst/>
                          </a:prstGeom>
                          <a:solidFill>
                            <a:srgbClr val="FFFFFF"/>
                          </a:solidFill>
                          <a:ln w="9525">
                            <a:solidFill>
                              <a:srgbClr val="000000"/>
                            </a:solidFill>
                            <a:miter lim="800000"/>
                            <a:headEnd/>
                            <a:tailEnd/>
                          </a:ln>
                        </wps:spPr>
                        <wps:txbx>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інвестиційний дохід</w:t>
                              </w:r>
                            </w:p>
                          </w:txbxContent>
                        </wps:txbx>
                        <wps:bodyPr rot="0" vert="horz" wrap="square" lIns="0" tIns="0" rIns="0" bIns="0" anchor="t" anchorCtr="0" upright="1">
                          <a:noAutofit/>
                        </wps:bodyPr>
                      </wps:wsp>
                      <wps:wsp>
                        <wps:cNvPr id="474" name="AutoShape 363"/>
                        <wps:cNvCnPr>
                          <a:cxnSpLocks noChangeShapeType="1"/>
                        </wps:cNvCnPr>
                        <wps:spPr bwMode="auto">
                          <a:xfrm>
                            <a:off x="6664" y="7692"/>
                            <a:ext cx="0" cy="15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5" name="AutoShape 364"/>
                        <wps:cNvCnPr>
                          <a:cxnSpLocks noChangeShapeType="1"/>
                        </wps:cNvCnPr>
                        <wps:spPr bwMode="auto">
                          <a:xfrm>
                            <a:off x="6627" y="8612"/>
                            <a:ext cx="0" cy="1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6" name="AutoShape 365"/>
                        <wps:cNvCnPr>
                          <a:cxnSpLocks noChangeShapeType="1"/>
                        </wps:cNvCnPr>
                        <wps:spPr bwMode="auto">
                          <a:xfrm>
                            <a:off x="6621" y="9162"/>
                            <a:ext cx="0" cy="1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7" name="AutoShape 366"/>
                        <wps:cNvCnPr>
                          <a:cxnSpLocks noChangeShapeType="1"/>
                        </wps:cNvCnPr>
                        <wps:spPr bwMode="auto">
                          <a:xfrm>
                            <a:off x="6615" y="11289"/>
                            <a:ext cx="1" cy="1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8" name="AutoShape 367"/>
                        <wps:cNvCnPr>
                          <a:cxnSpLocks noChangeShapeType="1"/>
                        </wps:cNvCnPr>
                        <wps:spPr bwMode="auto">
                          <a:xfrm>
                            <a:off x="6615" y="11865"/>
                            <a:ext cx="0" cy="16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9" name="AutoShape 368"/>
                        <wps:cNvCnPr>
                          <a:cxnSpLocks noChangeShapeType="1"/>
                        </wps:cNvCnPr>
                        <wps:spPr bwMode="auto">
                          <a:xfrm>
                            <a:off x="1808" y="9983"/>
                            <a:ext cx="0" cy="96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0" name="AutoShape 369"/>
                        <wps:cNvCnPr>
                          <a:cxnSpLocks noChangeShapeType="1"/>
                        </wps:cNvCnPr>
                        <wps:spPr bwMode="auto">
                          <a:xfrm>
                            <a:off x="1817" y="10950"/>
                            <a:ext cx="12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1" name="AutoShape 370"/>
                        <wps:cNvCnPr>
                          <a:cxnSpLocks noChangeShapeType="1"/>
                        </wps:cNvCnPr>
                        <wps:spPr bwMode="auto">
                          <a:xfrm>
                            <a:off x="1817" y="10611"/>
                            <a:ext cx="12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2" name="AutoShape 371"/>
                        <wps:cNvCnPr>
                          <a:cxnSpLocks noChangeShapeType="1"/>
                        </wps:cNvCnPr>
                        <wps:spPr bwMode="auto">
                          <a:xfrm>
                            <a:off x="1835" y="10340"/>
                            <a:ext cx="12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3" name="AutoShape 372"/>
                        <wps:cNvCnPr>
                          <a:cxnSpLocks noChangeShapeType="1"/>
                        </wps:cNvCnPr>
                        <wps:spPr bwMode="auto">
                          <a:xfrm>
                            <a:off x="4295" y="9984"/>
                            <a:ext cx="0" cy="96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4" name="AutoShape 373"/>
                        <wps:cNvCnPr>
                          <a:cxnSpLocks noChangeShapeType="1"/>
                        </wps:cNvCnPr>
                        <wps:spPr bwMode="auto">
                          <a:xfrm>
                            <a:off x="4306" y="10950"/>
                            <a:ext cx="21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5" name="AutoShape 374"/>
                        <wps:cNvCnPr>
                          <a:cxnSpLocks noChangeShapeType="1"/>
                        </wps:cNvCnPr>
                        <wps:spPr bwMode="auto">
                          <a:xfrm>
                            <a:off x="4299" y="10476"/>
                            <a:ext cx="21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6" name="AutoShape 375"/>
                        <wps:cNvCnPr>
                          <a:cxnSpLocks noChangeShapeType="1"/>
                        </wps:cNvCnPr>
                        <wps:spPr bwMode="auto">
                          <a:xfrm>
                            <a:off x="6937" y="9983"/>
                            <a:ext cx="0" cy="96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7" name="AutoShape 376"/>
                        <wps:cNvCnPr>
                          <a:cxnSpLocks noChangeShapeType="1"/>
                        </wps:cNvCnPr>
                        <wps:spPr bwMode="auto">
                          <a:xfrm>
                            <a:off x="6935" y="10949"/>
                            <a:ext cx="145"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8" name="AutoShape 377"/>
                        <wps:cNvCnPr>
                          <a:cxnSpLocks noChangeShapeType="1"/>
                        </wps:cNvCnPr>
                        <wps:spPr bwMode="auto">
                          <a:xfrm>
                            <a:off x="6937" y="10476"/>
                            <a:ext cx="1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CAECD92" id="Группа 432" o:spid="_x0000_s1226" style="position:absolute;left:0;text-align:left;margin-left:11.95pt;margin-top:1.15pt;width:309.65pt;height:319pt;z-index:251685888;mso-position-horizontal-relative:text;mso-position-vertical-relative:text" coordorigin="1592,7252" coordsize="9879,70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">
                <v:rect id="Rectangle 322" o:spid="_x0000_s1227" style="position:absolute;left:3389;top:12898;width:1788;height: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Акцепт освітніх векселів </w:t>
                        </w:r>
                      </w:p>
                    </w:txbxContent>
                  </v:textbox>
                </v:rect>
                <v:shapetype id="_x0000_t32" coordsize="21600,21600" o:spt="32" o:oned="t" path="m,l21600,21600e" filled="f">
                  <v:path arrowok="t" fillok="f" o:connecttype="none"/>
                  <o:lock v:ext="edit" shapetype="t"/>
                </v:shapetype>
                <v:shape id="AutoShape 323" o:spid="_x0000_s1228" type="#_x0000_t32" style="position:absolute;left:4884;top:12763;width:0;height:1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">
                  <v:stroke endarrow="block"/>
                </v:shape>
                <v:rect id="Rectangle 324" o:spid="_x0000_s1229" style="position:absolute;left:4451;top:12034;width:4167;height:6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Вищі та професійно-технічні навчальні заклади </w:t>
                        </w:r>
                      </w:p>
                    </w:txbxContent>
                  </v:textbox>
                </v:rect>
                <v:rect id="Rectangle 325" o:spid="_x0000_s1230" style="position:absolute;left:5346;top:12902;width:1522;height: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Навчання на платній основі </w:t>
                        </w:r>
                      </w:p>
                    </w:txbxContent>
                  </v:textbox>
                </v:rect>
                <v:rect id="Rectangle 326" o:spid="_x0000_s1231" style="position:absolute;left:1592;top:12915;width:1725;height: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Випуск освітніх облігацій </w:t>
                        </w:r>
                      </w:p>
                    </w:txbxContent>
                  </v:textbox>
                </v:rect>
                <v:rect id="Rectangle 327" o:spid="_x0000_s1232" style="position:absolute;left:6967;top:12902;width:1893;height:8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Навчання за державними грантами</w:t>
                        </w:r>
                      </w:p>
                    </w:txbxContent>
                  </v:textbox>
                </v:rect>
                <v:rect id="Rectangle 328" o:spid="_x0000_s1233" style="position:absolute;left:3158;top:14039;width:6420;height: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Формування високорозвиненого людського капіталу</w:t>
                        </w:r>
                      </w:p>
                    </w:txbxContent>
                  </v:textbox>
                </v:rect>
                <v:shape id="AutoShape 329" o:spid="_x0000_s1234" type="#_x0000_t32" style="position:absolute;left:6627;top:12677;width:0;height:2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">
                  <v:stroke endarrow="block"/>
                </v:shape>
                <v:shape id="AutoShape 330" o:spid="_x0000_s1235" type="#_x0000_t32" style="position:absolute;left:2879;top:12747;width:6544;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"/>
                <v:shape id="AutoShape 331" o:spid="_x0000_s1236" type="#_x0000_t32" style="position:absolute;left:2896;top:12762;width:0;height:1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">
                  <v:stroke endarrow="block"/>
                </v:shape>
                <v:shape id="AutoShape 332" o:spid="_x0000_s1237" type="#_x0000_t32" style="position:absolute;left:9423;top:12762;width:0;height:1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">
                  <v:stroke endarrow="block"/>
                </v:shape>
                <v:shape id="AutoShape 333" o:spid="_x0000_s1238" type="#_x0000_t32" style="position:absolute;left:6193;top:13724;width:18;height:3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">
                  <v:stroke endarrow="block"/>
                </v:shape>
                <v:shape id="AutoShape 334" o:spid="_x0000_s1239" type="#_x0000_t32" style="position:absolute;left:2407;top:13832;width:7688;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"/>
                <v:shape id="AutoShape 335" o:spid="_x0000_s1240" type="#_x0000_t32" style="position:absolute;left:2420;top:13720;width:0;height:1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"/>
                <v:shape id="AutoShape 336" o:spid="_x0000_s1241" type="#_x0000_t32" style="position:absolute;left:10083;top:13745;width:0;height:1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"/>
                <v:rect id="Rectangle 337" o:spid="_x0000_s1242" style="position:absolute;left:9033;top:12893;width:2050;height:8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Навчання на основі договорів про підготовку </w:t>
                        </w:r>
                      </w:p>
                    </w:txbxContent>
                  </v:textbox>
                </v:rect>
                <v:shape id="AutoShape 338" o:spid="_x0000_s1243" type="#_x0000_t32" style="position:absolute;left:4302;top:13707;width:0;height:1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"/>
                <v:shape id="AutoShape 339" o:spid="_x0000_s1244" type="#_x0000_t32" style="position:absolute;left:7901;top:13741;width:0;height:1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"/>
                <v:shape id="AutoShape 340" o:spid="_x0000_s1245" type="#_x0000_t32" style="position:absolute;left:7887;top:12769;width:0;height:1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">
                  <v:stroke endarrow="block"/>
                </v:shape>
                <v:rect id="Rectangle 341" o:spid="_x0000_s1246" style="position:absolute;left:1659;top:9290;width:9812;height:199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">
                  <v:textbox inset="0,0,0,0">
                    <w:txbxContent>
                      <w:p w:rsidR="00BE40F8" w:rsidRDefault="00BE40F8" w:rsidP="00B233DE"/>
                    </w:txbxContent>
                  </v:textbox>
                </v:rect>
                <v:rect id="Rectangle 342" o:spid="_x0000_s1247" style="position:absolute;left:9584;top:9383;width:1749;height: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Страхові компанії</w:t>
                        </w:r>
                      </w:p>
                    </w:txbxContent>
                  </v:textbox>
                </v:rect>
                <v:shape id="AutoShape 343" o:spid="_x0000_s1248" type="#_x0000_t32" style="position:absolute;left:9584;top:9984;width:0;height:3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"/>
                <v:shape id="AutoShape 344" o:spid="_x0000_s1249" type="#_x0000_t32" style="position:absolute;left:9598;top:10340;width:1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"/>
                <v:rect id="Rectangle 345" o:spid="_x0000_s1250" style="position:absolute;left:9703;top:10153;width:1630;height:6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страхові поліси</w:t>
                        </w:r>
                      </w:p>
                    </w:txbxContent>
                  </v:textbox>
                </v:rect>
                <v:rect id="Rectangle 346" o:spid="_x0000_s1251" style="position:absolute;left:1659;top:7863;width:9674;height:7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Джерела формування ресурсів інвестицій в людський капітал</w:t>
                        </w:r>
                      </w:p>
                    </w:txbxContent>
                  </v:textbox>
                </v:rect>
                <v:rect id="Rectangle 347" o:spid="_x0000_s1252" style="position:absolute;left:5160;top:7252;width:3133;height: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Особа, домогосподарство </w:t>
                        </w:r>
                      </w:p>
                    </w:txbxContent>
                  </v:textbox>
                </v:rect>
                <v:rect id="Rectangle 348" o:spid="_x0000_s1253" style="position:absolute;left:1808;top:8213;width:2367;height: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Заробітна плата </w:t>
                        </w:r>
                      </w:p>
                    </w:txbxContent>
                  </v:textbox>
                </v:rect>
                <v:rect id="Rectangle 349" o:spid="_x0000_s1254" style="position:absolute;left:4292;top:8213;width:2681;height: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Доходи від власності </w:t>
                        </w:r>
                      </w:p>
                    </w:txbxContent>
                  </v:textbox>
                </v:rect>
                <v:rect id="Rectangle 350" o:spid="_x0000_s1255" style="position:absolute;left:7091;top:8213;width:3980;height: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Соціальна допомога та трансферти </w:t>
                        </w:r>
                      </w:p>
                    </w:txbxContent>
                  </v:textbox>
                </v:rect>
                <v:rect id="Rectangle 351" o:spid="_x0000_s1256" style="position:absolute;left:2968;top:8802;width:7137;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Розподіл коштів за інститутами з метою нагромадження </w:t>
                        </w:r>
                      </w:p>
                    </w:txbxContent>
                  </v:textbox>
                </v:rect>
                <v:rect id="Rectangle 352" o:spid="_x0000_s1257" style="position:absolute;left:1808;top:9383;width:2367;height: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Фінансово-кредитні установи </w:t>
                        </w:r>
                      </w:p>
                    </w:txbxContent>
                  </v:textbox>
                </v:rect>
                <v:rect id="Rectangle 353" o:spid="_x0000_s1258" style="position:absolute;left:4306;top:9383;width:2460;height: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Недержавні пенсійні фонди </w:t>
                        </w:r>
                      </w:p>
                    </w:txbxContent>
                  </v:textbox>
                </v:rect>
                <v:rect id="Rectangle 354" o:spid="_x0000_s1259" style="position:absolute;left:6937;top:9383;width:2452;height: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Накопичувальні фонди </w:t>
                        </w:r>
                      </w:p>
                    </w:txbxContent>
                  </v:textbox>
                </v:rect>
                <v:rect id="Rectangle 355" o:spid="_x0000_s1260" style="position:absolute;left:1962;top:10153;width:2123;height:3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депозитні рахунки </w:t>
                        </w:r>
                      </w:p>
                    </w:txbxContent>
                  </v:textbox>
                </v:rect>
                <v:rect id="Rectangle 356" o:spid="_x0000_s1261" style="position:absolute;left:1962;top:10476;width:2123;height:3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кредити </w:t>
                        </w:r>
                      </w:p>
                    </w:txbxContent>
                  </v:textbox>
                </v:rect>
                <v:rect id="Rectangle 357" o:spid="_x0000_s1262" style="position:absolute;left:1962;top:10798;width:2123;height:3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трастові угоди</w:t>
                        </w:r>
                      </w:p>
                    </w:txbxContent>
                  </v:textbox>
                </v:rect>
                <v:rect id="Rectangle 358" o:spid="_x0000_s1263" style="position:absolute;left:4525;top:10153;width:2311;height: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накопичувальні пенсійні рахунки  </w:t>
                        </w:r>
                      </w:p>
                    </w:txbxContent>
                  </v:textbox>
                </v:rect>
                <v:rect id="Rectangle 359" o:spid="_x0000_s1264" style="position:absolute;left:7080;top:10153;width:2313;height: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">
                  <v:textbox inset="0,0,0,0">
                    <w:txbxContent>
                      <w:p w:rsidR="00BE40F8" w:rsidRPr="00CC0149" w:rsidRDefault="00BE40F8" w:rsidP="00B233DE">
                        <w:pPr>
                          <w:ind w:firstLine="0"/>
                          <w:jc w:val="center"/>
                          <w:rPr>
                            <w:rFonts w:ascii="Times New Roman" w:hAnsi="Times New Roman" w:cs="Times New Roman"/>
                            <w:sz w:val="16"/>
                            <w:szCs w:val="16"/>
                          </w:rPr>
                        </w:pPr>
                        <w:r>
                          <w:rPr>
                            <w:rFonts w:ascii="Times New Roman" w:hAnsi="Times New Roman" w:cs="Times New Roman"/>
                            <w:sz w:val="16"/>
                            <w:szCs w:val="16"/>
                          </w:rPr>
                          <w:t>накопичувальні</w:t>
                        </w:r>
                        <w:r w:rsidRPr="00CC0149">
                          <w:rPr>
                            <w:rFonts w:ascii="Times New Roman" w:hAnsi="Times New Roman" w:cs="Times New Roman"/>
                            <w:sz w:val="16"/>
                            <w:szCs w:val="16"/>
                          </w:rPr>
                          <w:t xml:space="preserve"> рахунки  </w:t>
                        </w:r>
                      </w:p>
                    </w:txbxContent>
                  </v:textbox>
                </v:rect>
                <v:rect id="Rectangle 360" o:spid="_x0000_s1265" style="position:absolute;left:3710;top:11441;width:6271;height: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 xml:space="preserve">Інвестування коштів з метою отримання освіти  </w:t>
                        </w:r>
                      </w:p>
                    </w:txbxContent>
                  </v:textbox>
                </v:rect>
                <v:rect id="Rectangle 361" o:spid="_x0000_s1266" style="position:absolute;left:4525;top:10798;width:2311;height:3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інвестиційний дохід</w:t>
                        </w:r>
                      </w:p>
                    </w:txbxContent>
                  </v:textbox>
                </v:rect>
                <v:rect id="Rectangle 362" o:spid="_x0000_s1267" style="position:absolute;left:7082;top:10798;width:2311;height: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">
                  <v:textbox inset="0,0,0,0">
                    <w:txbxContent>
                      <w:p w:rsidR="00BE40F8" w:rsidRPr="00CC0149" w:rsidRDefault="00BE40F8" w:rsidP="00B233DE">
                        <w:pPr>
                          <w:ind w:firstLine="0"/>
                          <w:jc w:val="center"/>
                          <w:rPr>
                            <w:rFonts w:ascii="Times New Roman" w:hAnsi="Times New Roman" w:cs="Times New Roman"/>
                            <w:sz w:val="16"/>
                            <w:szCs w:val="16"/>
                          </w:rPr>
                        </w:pPr>
                        <w:r w:rsidRPr="00CC0149">
                          <w:rPr>
                            <w:rFonts w:ascii="Times New Roman" w:hAnsi="Times New Roman" w:cs="Times New Roman"/>
                            <w:sz w:val="16"/>
                            <w:szCs w:val="16"/>
                          </w:rPr>
                          <w:t>інвестиційний дохід</w:t>
                        </w:r>
                      </w:p>
                    </w:txbxContent>
                  </v:textbox>
                </v:rect>
                <v:shape id="AutoShape 363" o:spid="_x0000_s1268" type="#_x0000_t32" style="position:absolute;left:6664;top:7692;width:0;height:1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">
                  <v:stroke endarrow="block"/>
                </v:shape>
                <v:shape id="AutoShape 364" o:spid="_x0000_s1269" type="#_x0000_t32" style="position:absolute;left:6627;top:8612;width:0;height: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">
                  <v:stroke endarrow="block"/>
                </v:shape>
                <v:shape id="AutoShape 365" o:spid="_x0000_s1270" type="#_x0000_t32" style="position:absolute;left:6621;top:9162;width:0;height:1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">
                  <v:stroke endarrow="block"/>
                </v:shape>
                <v:shape id="AutoShape 366" o:spid="_x0000_s1271" type="#_x0000_t32" style="position:absolute;left:6615;top:11289;width:1;height:1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">
                  <v:stroke endarrow="block"/>
                </v:shape>
                <v:shape id="AutoShape 367" o:spid="_x0000_s1272" type="#_x0000_t32" style="position:absolute;left:6615;top:11865;width:0;height:1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">
                  <v:stroke endarrow="block"/>
                </v:shape>
                <v:shape id="AutoShape 368" o:spid="_x0000_s1273" type="#_x0000_t32" style="position:absolute;left:1808;top:9983;width:0;height:9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"/>
                <v:shape id="AutoShape 369" o:spid="_x0000_s1274" type="#_x0000_t32" style="position:absolute;left:1817;top:10950;width:12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"/>
                <v:shape id="AutoShape 370" o:spid="_x0000_s1275" type="#_x0000_t32" style="position:absolute;left:1817;top:10611;width:12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"/>
                <v:shape id="AutoShape 371" o:spid="_x0000_s1276" type="#_x0000_t32" style="position:absolute;left:1835;top:10340;width:12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"/>
                <v:shape id="AutoShape 372" o:spid="_x0000_s1277" type="#_x0000_t32" style="position:absolute;left:4295;top:9984;width:0;height:9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"/>
                <v:shape id="AutoShape 373" o:spid="_x0000_s1278" type="#_x0000_t32" style="position:absolute;left:4306;top:10950;width:21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"/>
                <v:shape id="AutoShape 374" o:spid="_x0000_s1279" type="#_x0000_t32" style="position:absolute;left:4299;top:10476;width:21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"/>
                <v:shape id="AutoShape 375" o:spid="_x0000_s1280" type="#_x0000_t32" style="position:absolute;left:6937;top:9983;width:0;height:9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"/>
                <v:shape id="AutoShape 376" o:spid="_x0000_s1281" type="#_x0000_t32" style="position:absolute;left:6935;top:10949;width:145;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"/>
                <v:shape id="AutoShape 377" o:spid="_x0000_s1282" type="#_x0000_t32" style="position:absolute;left:6937;top:10476;width:14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"/>
              </v:group>
            </w:pict>
          </mc:Fallback>
        </mc:AlternateContent>
      </w: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Pr="008417EA" w:rsidRDefault="00B233DE" w:rsidP="00B233DE">
      <w:pPr>
        <w:jc w:val="center"/>
        <w:rPr>
          <w:rFonts w:ascii="Times New Roman" w:hAnsi="Times New Roman" w:cs="Times New Roman"/>
          <w:spacing w:val="-6"/>
          <w:sz w:val="21"/>
          <w:szCs w:val="21"/>
        </w:rPr>
      </w:pPr>
      <w:r w:rsidRPr="00E85ABF">
        <w:rPr>
          <w:rFonts w:ascii="Times New Roman" w:hAnsi="Times New Roman" w:cs="Times New Roman"/>
          <w:b/>
          <w:spacing w:val="-6"/>
          <w:sz w:val="21"/>
          <w:szCs w:val="21"/>
        </w:rPr>
        <w:t>Рис. 3.9. Процес</w:t>
      </w:r>
      <w:r>
        <w:rPr>
          <w:rFonts w:ascii="Times New Roman" w:hAnsi="Times New Roman" w:cs="Times New Roman"/>
          <w:b/>
          <w:spacing w:val="-6"/>
          <w:sz w:val="21"/>
          <w:szCs w:val="21"/>
        </w:rPr>
        <w:t>и</w:t>
      </w:r>
      <w:r w:rsidRPr="00E85ABF">
        <w:rPr>
          <w:rFonts w:ascii="Times New Roman" w:hAnsi="Times New Roman" w:cs="Times New Roman"/>
          <w:b/>
          <w:spacing w:val="-6"/>
          <w:sz w:val="21"/>
          <w:szCs w:val="21"/>
        </w:rPr>
        <w:t xml:space="preserve"> формування людського капіталу за участю суб’єктів ринкової інфраструктури</w:t>
      </w:r>
    </w:p>
    <w:p w:rsidR="00B233DE" w:rsidRPr="008417EA" w:rsidRDefault="00B233DE" w:rsidP="00B233DE">
      <w:pPr>
        <w:autoSpaceDE w:val="0"/>
        <w:autoSpaceDN w:val="0"/>
        <w:adjustRightInd w:val="0"/>
        <w:ind w:firstLine="709"/>
        <w:jc w:val="both"/>
        <w:rPr>
          <w:rFonts w:ascii="Times New Roman" w:hAnsi="Times New Roman" w:cs="Times New Roman"/>
          <w:sz w:val="21"/>
          <w:szCs w:val="21"/>
        </w:rPr>
      </w:pPr>
    </w:p>
    <w:p w:rsidR="00B233DE" w:rsidRPr="008417EA" w:rsidRDefault="00B233DE" w:rsidP="00B233DE">
      <w:pPr>
        <w:numPr>
          <w:ilvl w:val="0"/>
          <w:numId w:val="9"/>
        </w:numPr>
        <w:tabs>
          <w:tab w:val="left" w:pos="851"/>
        </w:tabs>
        <w:spacing w:before="100" w:beforeAutospacing="1" w:after="100" w:afterAutospacing="1"/>
        <w:ind w:left="0" w:firstLine="680"/>
        <w:contextualSpacing/>
        <w:jc w:val="both"/>
        <w:rPr>
          <w:rFonts w:ascii="Times New Roman" w:hAnsi="Times New Roman" w:cs="Times New Roman"/>
          <w:sz w:val="21"/>
          <w:szCs w:val="21"/>
        </w:rPr>
      </w:pPr>
      <w:r w:rsidRPr="008417EA">
        <w:rPr>
          <w:rFonts w:ascii="Times New Roman" w:hAnsi="Times New Roman" w:cs="Times New Roman"/>
          <w:sz w:val="21"/>
          <w:szCs w:val="21"/>
        </w:rPr>
        <w:t xml:space="preserve">по-третє, купівля облігації в період первинного розміщення відбувається за номінальною ціною в національній </w:t>
      </w:r>
      <w:r w:rsidRPr="008417EA">
        <w:rPr>
          <w:rFonts w:ascii="Times New Roman" w:hAnsi="Times New Roman" w:cs="Times New Roman"/>
          <w:sz w:val="21"/>
          <w:szCs w:val="21"/>
        </w:rPr>
        <w:lastRenderedPageBreak/>
        <w:t>валюті, а її погашення відбувається незалежно від вартості навчання в момент пред’явлення;</w:t>
      </w:r>
    </w:p>
    <w:p w:rsidR="00B233DE" w:rsidRPr="008417EA" w:rsidRDefault="00B233DE" w:rsidP="00B233DE">
      <w:pPr>
        <w:numPr>
          <w:ilvl w:val="0"/>
          <w:numId w:val="9"/>
        </w:numPr>
        <w:tabs>
          <w:tab w:val="left" w:pos="851"/>
        </w:tabs>
        <w:spacing w:before="100" w:beforeAutospacing="1" w:after="100" w:afterAutospacing="1"/>
        <w:ind w:left="0" w:firstLine="680"/>
        <w:contextualSpacing/>
        <w:jc w:val="both"/>
        <w:rPr>
          <w:rFonts w:ascii="Times New Roman" w:hAnsi="Times New Roman" w:cs="Times New Roman"/>
          <w:sz w:val="21"/>
          <w:szCs w:val="21"/>
        </w:rPr>
      </w:pPr>
      <w:r w:rsidRPr="008417EA">
        <w:rPr>
          <w:rFonts w:ascii="Times New Roman" w:hAnsi="Times New Roman" w:cs="Times New Roman"/>
          <w:sz w:val="21"/>
          <w:szCs w:val="21"/>
        </w:rPr>
        <w:t>по-четверте, оплата за навчання у формі облігацій дає змогу зекономити значні кошти, оскільки його вартість не залежить від рівня інфляції та курсових коливань;</w:t>
      </w:r>
    </w:p>
    <w:p w:rsidR="00B233DE" w:rsidRPr="008417EA" w:rsidRDefault="00B233DE" w:rsidP="00B233DE">
      <w:pPr>
        <w:numPr>
          <w:ilvl w:val="0"/>
          <w:numId w:val="9"/>
        </w:numPr>
        <w:tabs>
          <w:tab w:val="left" w:pos="851"/>
        </w:tabs>
        <w:spacing w:before="100" w:beforeAutospacing="1" w:after="100" w:afterAutospacing="1"/>
        <w:ind w:left="0" w:firstLine="680"/>
        <w:contextualSpacing/>
        <w:jc w:val="both"/>
        <w:rPr>
          <w:rFonts w:ascii="Times New Roman" w:hAnsi="Times New Roman" w:cs="Times New Roman"/>
          <w:sz w:val="21"/>
          <w:szCs w:val="21"/>
        </w:rPr>
      </w:pPr>
      <w:r w:rsidRPr="008417EA">
        <w:rPr>
          <w:rFonts w:ascii="Times New Roman" w:hAnsi="Times New Roman" w:cs="Times New Roman"/>
          <w:sz w:val="21"/>
          <w:szCs w:val="21"/>
        </w:rPr>
        <w:t>по-п’яте, пред’явник облігації має перевагу при вступі;</w:t>
      </w:r>
    </w:p>
    <w:p w:rsidR="00B233DE" w:rsidRPr="008417EA" w:rsidRDefault="00B233DE" w:rsidP="00B233DE">
      <w:pPr>
        <w:numPr>
          <w:ilvl w:val="0"/>
          <w:numId w:val="9"/>
        </w:numPr>
        <w:tabs>
          <w:tab w:val="left" w:pos="851"/>
        </w:tabs>
        <w:spacing w:before="100" w:beforeAutospacing="1" w:after="100" w:afterAutospacing="1"/>
        <w:ind w:left="0" w:firstLine="680"/>
        <w:contextualSpacing/>
        <w:jc w:val="both"/>
        <w:rPr>
          <w:rFonts w:ascii="Times New Roman" w:hAnsi="Times New Roman" w:cs="Times New Roman"/>
          <w:sz w:val="21"/>
          <w:szCs w:val="21"/>
        </w:rPr>
      </w:pPr>
      <w:r w:rsidRPr="008417EA">
        <w:rPr>
          <w:rFonts w:ascii="Times New Roman" w:hAnsi="Times New Roman" w:cs="Times New Roman"/>
          <w:sz w:val="21"/>
          <w:szCs w:val="21"/>
        </w:rPr>
        <w:t>по-шосте, освітні облігації повинні мати фіксований строк погашення (до 5 років).</w:t>
      </w:r>
    </w:p>
    <w:p w:rsidR="00B233DE" w:rsidRPr="008417EA" w:rsidRDefault="00B233DE" w:rsidP="00B233DE">
      <w:pPr>
        <w:ind w:firstLine="708"/>
        <w:jc w:val="both"/>
        <w:rPr>
          <w:rFonts w:ascii="Times New Roman" w:eastAsia="Calibri" w:hAnsi="Times New Roman" w:cs="Times New Roman"/>
          <w:sz w:val="21"/>
          <w:szCs w:val="21"/>
        </w:rPr>
      </w:pPr>
      <w:r w:rsidRPr="008417EA">
        <w:rPr>
          <w:rFonts w:ascii="Times New Roman" w:hAnsi="Times New Roman" w:cs="Times New Roman"/>
          <w:sz w:val="21"/>
          <w:szCs w:val="21"/>
        </w:rPr>
        <w:t xml:space="preserve">Незважаючи на переваги, зазначений інвестиційний інструмент майже не використовується в Україні. </w:t>
      </w:r>
    </w:p>
    <w:p w:rsidR="00B233DE" w:rsidRPr="008417EA" w:rsidRDefault="00B233DE" w:rsidP="00B233DE">
      <w:pPr>
        <w:ind w:firstLine="708"/>
        <w:jc w:val="both"/>
        <w:rPr>
          <w:rFonts w:ascii="Times New Roman" w:hAnsi="Times New Roman" w:cs="Times New Roman"/>
          <w:sz w:val="21"/>
          <w:szCs w:val="21"/>
        </w:rPr>
      </w:pPr>
      <w:r w:rsidRPr="008417EA">
        <w:rPr>
          <w:rFonts w:ascii="Times New Roman" w:hAnsi="Times New Roman" w:cs="Times New Roman"/>
          <w:sz w:val="21"/>
          <w:szCs w:val="21"/>
        </w:rPr>
        <w:t xml:space="preserve">Подібний за своєю суттю до освітньої облігації є освітній вексель – цінний папір, безумовне боргове зобов’язання, що дає право її власнику (абітурієнту) вимагати сплати зазначеної суми у вигляді послуг на навчання від навчального закладу. У даному випадку необхідно скористатися фінансовим переказним векселем за участю інвестиційних компаній чи фінансово-кредитних установ. Перевагами освітнього векселя є те, що абітурієнт оплачує навчання за ціною, що діяла на момент покупки векселя, а в разі вступу на державну форму пред’являє вексель інвестиційній компанії чи фінансово-кредитній установі, яка повертає кошти з нарахованими відсотками. </w:t>
      </w:r>
    </w:p>
    <w:p w:rsidR="00B233DE" w:rsidRPr="008417EA" w:rsidRDefault="00B233DE" w:rsidP="00B233DE">
      <w:pPr>
        <w:ind w:firstLine="708"/>
        <w:jc w:val="both"/>
        <w:rPr>
          <w:rFonts w:ascii="Times New Roman" w:hAnsi="Times New Roman" w:cs="Times New Roman"/>
          <w:sz w:val="21"/>
          <w:szCs w:val="21"/>
        </w:rPr>
      </w:pPr>
      <w:r w:rsidRPr="008417EA">
        <w:rPr>
          <w:rFonts w:ascii="Times New Roman" w:hAnsi="Times New Roman" w:cs="Times New Roman"/>
          <w:sz w:val="21"/>
          <w:szCs w:val="21"/>
        </w:rPr>
        <w:t>Освітній кредит – інструмент інвестування людського капіталу, в Україні існує у двох формах: державне пільгове кредитування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_Ref433977796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94</w:t>
      </w:r>
      <w:r>
        <w:rPr>
          <w:rFonts w:ascii="Times New Roman" w:hAnsi="Times New Roman" w:cs="Times New Roman"/>
          <w:sz w:val="21"/>
          <w:szCs w:val="21"/>
          <w:highlight w:val="yellow"/>
        </w:rPr>
        <w:fldChar w:fldCharType="end"/>
      </w:r>
      <w:r w:rsidRPr="008417EA">
        <w:rPr>
          <w:rFonts w:ascii="Times New Roman" w:hAnsi="Times New Roman" w:cs="Times New Roman"/>
          <w:sz w:val="21"/>
          <w:szCs w:val="21"/>
        </w:rPr>
        <w:t xml:space="preserve">] та банківське кредитування освіти комерційними банками, остання не набула популярності у зв’язку із високими ризиками повернення вкладів, низькими відсотками та довготерміновістю до 15 років. У зв’язку з цим вважаємо, що з метою стимулювання кредитування освіти комерційним банками, необхідністю формування якісного людського капіталу в умовах становлення інформаційного суспільства, держава повинна розробити програму пільгового кредитування освіти на основі укладання угоди між МОНМС та комерційними банками з приводу видачі пільгових освітніх кредитів, за умови, що поручителем та компенсатором відсоткової ставки виступає держава. В разі неповернення кредиту держава зобов’язана виплатити банку компенсацію у вигляді відсотка від вкладу. Такі умови є значно вигіднішими порівняно із звичайним споживчим кредитуванням як для боржника, що отримує інвестиційні засоби для примноження якісних характеристик, реалізація яких забезпечить високу віддачу </w:t>
      </w:r>
      <w:r w:rsidRPr="008417EA">
        <w:rPr>
          <w:rFonts w:ascii="Times New Roman" w:hAnsi="Times New Roman" w:cs="Times New Roman"/>
          <w:sz w:val="21"/>
          <w:szCs w:val="21"/>
        </w:rPr>
        <w:lastRenderedPageBreak/>
        <w:t xml:space="preserve">у майбутньому, так і для кредитора, якому надані державні гарантії. </w:t>
      </w:r>
    </w:p>
    <w:p w:rsidR="00B233DE" w:rsidRPr="008417EA" w:rsidRDefault="00B233DE" w:rsidP="00B233DE">
      <w:pPr>
        <w:ind w:firstLine="708"/>
        <w:jc w:val="both"/>
        <w:rPr>
          <w:rFonts w:ascii="Times New Roman" w:hAnsi="Times New Roman" w:cs="Times New Roman"/>
          <w:sz w:val="21"/>
          <w:szCs w:val="21"/>
        </w:rPr>
      </w:pPr>
      <w:r w:rsidRPr="008417EA">
        <w:rPr>
          <w:rFonts w:ascii="Times New Roman" w:hAnsi="Times New Roman" w:cs="Times New Roman"/>
          <w:sz w:val="21"/>
          <w:szCs w:val="21"/>
        </w:rPr>
        <w:t xml:space="preserve">Формування механізму інвестування в людський капітал з використанням освітніх облігацій, кредитів та векселів залежить від рівня доходів населення та від функціонування накопичувальних, інвестиційних, недержавних пенсійних фондів, фінансово-кредитних установ, страхових компаній, які забезпечують отримання додаткових фінансових ресурсів. </w:t>
      </w:r>
    </w:p>
    <w:p w:rsidR="00B233DE" w:rsidRPr="008417EA" w:rsidRDefault="00B233DE" w:rsidP="00B233DE">
      <w:pPr>
        <w:ind w:firstLine="708"/>
        <w:jc w:val="both"/>
        <w:rPr>
          <w:rFonts w:ascii="Times New Roman" w:hAnsi="Times New Roman" w:cs="Times New Roman"/>
          <w:sz w:val="21"/>
          <w:szCs w:val="21"/>
        </w:rPr>
      </w:pPr>
      <w:r w:rsidRPr="008417EA">
        <w:rPr>
          <w:rFonts w:ascii="Times New Roman" w:hAnsi="Times New Roman" w:cs="Times New Roman"/>
          <w:sz w:val="21"/>
          <w:szCs w:val="21"/>
        </w:rPr>
        <w:t xml:space="preserve">Використання вище зазначених інструментів інвестування людського капіталу може здійснюватися за власні кошти особи чи домогосподарства виключно на основі вдосконалення нормативно-правової бази та стимулювання розвитку суб’єктів ринкової інфраструктури. Таке інвестування забезпечує здатність вільно розпоряджатись людським капіталом, вибираючи місце працевлаштування самостійно. </w:t>
      </w:r>
    </w:p>
    <w:p w:rsidR="00B233DE" w:rsidRPr="008417EA" w:rsidRDefault="00B233DE" w:rsidP="00B233DE">
      <w:pPr>
        <w:ind w:firstLine="708"/>
        <w:jc w:val="both"/>
        <w:rPr>
          <w:rFonts w:ascii="Times New Roman" w:hAnsi="Times New Roman" w:cs="Times New Roman"/>
          <w:sz w:val="21"/>
          <w:szCs w:val="21"/>
        </w:rPr>
      </w:pPr>
      <w:r w:rsidRPr="008417EA">
        <w:rPr>
          <w:rFonts w:ascii="Times New Roman" w:hAnsi="Times New Roman" w:cs="Times New Roman"/>
          <w:sz w:val="21"/>
          <w:szCs w:val="21"/>
        </w:rPr>
        <w:t xml:space="preserve">Однак, в умовах нестачі індивідуальних ресурсів для здійснення інвестицій, особа може відмовитись від купівлі освітніх послуг і втратити можливість конвертувати наявний потенціал в капітал або використати інвестиційні ресурси основних суб’єктів інвесторів ринкової інфраструктури за часткової втрати самостійного вибору працевлаштування, компенсацією чого є забезпечення зайнятості в результаті вмотивованості суб’єктів отримати віддачу на інвестовані кошти (рис. </w:t>
      </w:r>
      <w:r>
        <w:rPr>
          <w:rFonts w:ascii="Times New Roman" w:hAnsi="Times New Roman" w:cs="Times New Roman"/>
          <w:sz w:val="21"/>
          <w:szCs w:val="21"/>
        </w:rPr>
        <w:t>3.10</w:t>
      </w:r>
      <w:r w:rsidRPr="008417EA">
        <w:rPr>
          <w:rFonts w:ascii="Times New Roman" w:hAnsi="Times New Roman" w:cs="Times New Roman"/>
          <w:sz w:val="21"/>
          <w:szCs w:val="21"/>
        </w:rPr>
        <w:t>).</w:t>
      </w:r>
    </w:p>
    <w:p w:rsidR="00B233DE" w:rsidRDefault="00B233DE" w:rsidP="00B233DE">
      <w:pPr>
        <w:ind w:firstLine="708"/>
        <w:jc w:val="both"/>
        <w:rPr>
          <w:rFonts w:ascii="Times New Roman" w:hAnsi="Times New Roman" w:cs="Times New Roman"/>
          <w:sz w:val="21"/>
          <w:szCs w:val="21"/>
        </w:rPr>
      </w:pPr>
      <w:r w:rsidRPr="008417EA">
        <w:rPr>
          <w:rFonts w:ascii="Times New Roman" w:hAnsi="Times New Roman" w:cs="Times New Roman"/>
          <w:sz w:val="21"/>
          <w:szCs w:val="21"/>
        </w:rPr>
        <w:t>Таким чином, запропонована схема має гіпотетичну структуру, оскільки не зустрічається у вітчизняній практиці, однак використовується в країнах зрілого розвитку інформаційного суспільства, у якому трудові ресурси та персонал розглядаються виключно з позицій людського капіталу, для формування високої якост</w:t>
      </w:r>
      <w:r>
        <w:rPr>
          <w:rFonts w:ascii="Times New Roman" w:hAnsi="Times New Roman" w:cs="Times New Roman"/>
          <w:sz w:val="21"/>
          <w:szCs w:val="21"/>
        </w:rPr>
        <w:t>і якого можуть бути використані</w:t>
      </w:r>
      <w:r w:rsidRPr="008417EA">
        <w:rPr>
          <w:rFonts w:ascii="Times New Roman" w:hAnsi="Times New Roman" w:cs="Times New Roman"/>
          <w:sz w:val="21"/>
          <w:szCs w:val="21"/>
        </w:rPr>
        <w:t xml:space="preserve"> інвестиційні ресурси лізингових, рекрутингових, аутсорсингових та венчурних компаній.</w:t>
      </w:r>
    </w:p>
    <w:p w:rsidR="00B233DE" w:rsidRDefault="00B233DE" w:rsidP="00B233DE">
      <w:pPr>
        <w:ind w:firstLine="708"/>
        <w:jc w:val="both"/>
        <w:rPr>
          <w:rFonts w:ascii="Times New Roman" w:hAnsi="Times New Roman" w:cs="Times New Roman"/>
          <w:sz w:val="21"/>
          <w:szCs w:val="21"/>
        </w:rPr>
      </w:pPr>
      <w:r w:rsidRPr="008417EA">
        <w:rPr>
          <w:rFonts w:ascii="Times New Roman" w:hAnsi="Times New Roman" w:cs="Times New Roman"/>
          <w:sz w:val="21"/>
          <w:szCs w:val="21"/>
        </w:rPr>
        <w:t>Мотивом венчурних компаній є вкладання коштів у формування інтелектуального потенціалу людського капіталу, результатом діяльності якого є новостворене знання, інноваційний продукт, що забезпечує отримання високих фінансових ефектів на основі використання авторських та суміжних прав; лізингових, аутсорсингових та рекрутингових компаній – досягнення комерційного ефекту на основі забезпечення реалізації високо конкурентоспроможного людського капіталу на ринку праці.</w:t>
      </w:r>
    </w:p>
    <w:p w:rsidR="00B233DE" w:rsidRDefault="00B233DE" w:rsidP="00B233DE">
      <w:pPr>
        <w:spacing w:line="360" w:lineRule="auto"/>
        <w:ind w:firstLine="708"/>
        <w:jc w:val="both"/>
        <w:rPr>
          <w:spacing w:val="-6"/>
          <w:sz w:val="28"/>
          <w:szCs w:val="28"/>
        </w:rPr>
      </w:pPr>
    </w:p>
    <w:p w:rsidR="00B233DE" w:rsidRDefault="00B233DE" w:rsidP="00B233DE">
      <w:pPr>
        <w:spacing w:line="360" w:lineRule="auto"/>
        <w:ind w:firstLine="708"/>
        <w:jc w:val="both"/>
        <w:rPr>
          <w:spacing w:val="-6"/>
          <w:sz w:val="28"/>
          <w:szCs w:val="28"/>
        </w:rPr>
      </w:pPr>
      <w:r>
        <w:rPr>
          <w:noProof/>
          <w:lang w:val="ru-RU" w:eastAsia="ru-RU"/>
        </w:rPr>
        <w:lastRenderedPageBreak/>
        <mc:AlternateContent>
          <mc:Choice Requires="wpg">
            <w:drawing>
              <wp:anchor distT="0" distB="0" distL="114300" distR="114300" simplePos="0" relativeHeight="251686912" behindDoc="0" locked="0" layoutInCell="1" allowOverlap="1" wp14:anchorId="0D829B2A" wp14:editId="668750BB">
                <wp:simplePos x="0" y="0"/>
                <wp:positionH relativeFrom="column">
                  <wp:posOffset>29210</wp:posOffset>
                </wp:positionH>
                <wp:positionV relativeFrom="paragraph">
                  <wp:posOffset>198755</wp:posOffset>
                </wp:positionV>
                <wp:extent cx="3892550" cy="2686685"/>
                <wp:effectExtent l="0" t="0" r="12700" b="18415"/>
                <wp:wrapNone/>
                <wp:docPr id="576" name="Группа 5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92550" cy="2686685"/>
                          <a:chOff x="2259" y="7696"/>
                          <a:chExt cx="8875" cy="5101"/>
                        </a:xfrm>
                      </wpg:grpSpPr>
                      <wps:wsp>
                        <wps:cNvPr id="577" name="Rectangle 466"/>
                        <wps:cNvSpPr>
                          <a:spLocks noChangeArrowheads="1"/>
                        </wps:cNvSpPr>
                        <wps:spPr bwMode="auto">
                          <a:xfrm>
                            <a:off x="3869" y="7696"/>
                            <a:ext cx="5038" cy="586"/>
                          </a:xfrm>
                          <a:prstGeom prst="rect">
                            <a:avLst/>
                          </a:prstGeom>
                          <a:solidFill>
                            <a:srgbClr val="FFFFFF"/>
                          </a:solidFill>
                          <a:ln w="9525">
                            <a:solidFill>
                              <a:srgbClr val="000000"/>
                            </a:solidFill>
                            <a:miter lim="800000"/>
                            <a:headEnd/>
                            <a:tailEnd/>
                          </a:ln>
                        </wps:spPr>
                        <wps:txbx>
                          <w:txbxContent>
                            <w:p w:rsidR="00BE40F8" w:rsidRPr="009078BF" w:rsidRDefault="00BE40F8" w:rsidP="00B233DE">
                              <w:pPr>
                                <w:ind w:firstLine="0"/>
                                <w:jc w:val="center"/>
                                <w:rPr>
                                  <w:rFonts w:ascii="Times New Roman" w:hAnsi="Times New Roman" w:cs="Times New Roman"/>
                                  <w:sz w:val="16"/>
                                  <w:szCs w:val="16"/>
                                </w:rPr>
                              </w:pPr>
                              <w:r w:rsidRPr="009078BF">
                                <w:rPr>
                                  <w:rFonts w:ascii="Times New Roman" w:hAnsi="Times New Roman" w:cs="Times New Roman"/>
                                  <w:sz w:val="16"/>
                                  <w:szCs w:val="16"/>
                                </w:rPr>
                                <w:t>Лізингові, рекрутингові, аутсорсингові, венчурні компанії</w:t>
                              </w:r>
                            </w:p>
                          </w:txbxContent>
                        </wps:txbx>
                        <wps:bodyPr rot="0" vert="horz" wrap="square" lIns="0" tIns="0" rIns="0" bIns="0" anchor="ctr" anchorCtr="0" upright="1">
                          <a:noAutofit/>
                        </wps:bodyPr>
                      </wps:wsp>
                      <wps:wsp>
                        <wps:cNvPr id="578" name="Rectangle 467"/>
                        <wps:cNvSpPr>
                          <a:spLocks noChangeArrowheads="1"/>
                        </wps:cNvSpPr>
                        <wps:spPr bwMode="auto">
                          <a:xfrm>
                            <a:off x="2259" y="8622"/>
                            <a:ext cx="8875" cy="1446"/>
                          </a:xfrm>
                          <a:prstGeom prst="rect">
                            <a:avLst/>
                          </a:prstGeom>
                          <a:solidFill>
                            <a:srgbClr val="FFFFFF"/>
                          </a:solidFill>
                          <a:ln w="9525">
                            <a:solidFill>
                              <a:srgbClr val="000000"/>
                            </a:solidFill>
                            <a:miter lim="800000"/>
                            <a:headEnd/>
                            <a:tailEnd/>
                          </a:ln>
                        </wps:spPr>
                        <wps:txbx>
                          <w:txbxContent>
                            <w:p w:rsidR="00BE40F8" w:rsidRPr="009078BF" w:rsidRDefault="00BE40F8" w:rsidP="00B233DE">
                              <w:pPr>
                                <w:ind w:firstLine="0"/>
                                <w:jc w:val="center"/>
                                <w:rPr>
                                  <w:rFonts w:ascii="Times New Roman" w:hAnsi="Times New Roman" w:cs="Times New Roman"/>
                                  <w:sz w:val="16"/>
                                  <w:szCs w:val="16"/>
                                </w:rPr>
                              </w:pPr>
                              <w:r w:rsidRPr="009078BF">
                                <w:rPr>
                                  <w:rFonts w:ascii="Times New Roman" w:hAnsi="Times New Roman" w:cs="Times New Roman"/>
                                  <w:sz w:val="16"/>
                                  <w:szCs w:val="16"/>
                                </w:rPr>
                                <w:t>Інвестиційні інструменти</w:t>
                              </w:r>
                            </w:p>
                          </w:txbxContent>
                        </wps:txbx>
                        <wps:bodyPr rot="0" vert="horz" wrap="square" lIns="0" tIns="0" rIns="0" bIns="0" anchor="t" anchorCtr="0" upright="1">
                          <a:noAutofit/>
                        </wps:bodyPr>
                      </wps:wsp>
                      <wps:wsp>
                        <wps:cNvPr id="579" name="Rectangle 468"/>
                        <wps:cNvSpPr>
                          <a:spLocks noChangeArrowheads="1"/>
                        </wps:cNvSpPr>
                        <wps:spPr bwMode="auto">
                          <a:xfrm>
                            <a:off x="2435" y="8999"/>
                            <a:ext cx="2354" cy="838"/>
                          </a:xfrm>
                          <a:prstGeom prst="rect">
                            <a:avLst/>
                          </a:prstGeom>
                          <a:solidFill>
                            <a:srgbClr val="FFFFFF"/>
                          </a:solidFill>
                          <a:ln w="9525">
                            <a:solidFill>
                              <a:srgbClr val="000000"/>
                            </a:solidFill>
                            <a:miter lim="800000"/>
                            <a:headEnd/>
                            <a:tailEnd/>
                          </a:ln>
                        </wps:spPr>
                        <wps:txbx>
                          <w:txbxContent>
                            <w:p w:rsidR="00BE40F8" w:rsidRPr="009078BF" w:rsidRDefault="00BE40F8" w:rsidP="00B233DE">
                              <w:pPr>
                                <w:ind w:firstLine="0"/>
                                <w:jc w:val="center"/>
                                <w:rPr>
                                  <w:rFonts w:ascii="Times New Roman" w:hAnsi="Times New Roman" w:cs="Times New Roman"/>
                                  <w:sz w:val="16"/>
                                  <w:szCs w:val="16"/>
                                </w:rPr>
                              </w:pPr>
                              <w:r w:rsidRPr="009078BF">
                                <w:rPr>
                                  <w:rFonts w:ascii="Times New Roman" w:hAnsi="Times New Roman" w:cs="Times New Roman"/>
                                  <w:sz w:val="16"/>
                                  <w:szCs w:val="16"/>
                                </w:rPr>
                                <w:t>Купівля прав на несформований ЛК</w:t>
                              </w:r>
                            </w:p>
                          </w:txbxContent>
                        </wps:txbx>
                        <wps:bodyPr rot="0" vert="horz" wrap="square" lIns="0" tIns="0" rIns="0" bIns="0" anchor="ctr" anchorCtr="0" upright="1">
                          <a:noAutofit/>
                        </wps:bodyPr>
                      </wps:wsp>
                      <wps:wsp>
                        <wps:cNvPr id="580" name="Rectangle 469"/>
                        <wps:cNvSpPr>
                          <a:spLocks noChangeArrowheads="1"/>
                        </wps:cNvSpPr>
                        <wps:spPr bwMode="auto">
                          <a:xfrm>
                            <a:off x="5000" y="9011"/>
                            <a:ext cx="3445" cy="817"/>
                          </a:xfrm>
                          <a:prstGeom prst="rect">
                            <a:avLst/>
                          </a:prstGeom>
                          <a:solidFill>
                            <a:srgbClr val="FFFFFF"/>
                          </a:solidFill>
                          <a:ln w="9525">
                            <a:solidFill>
                              <a:srgbClr val="000000"/>
                            </a:solidFill>
                            <a:miter lim="800000"/>
                            <a:headEnd/>
                            <a:tailEnd/>
                          </a:ln>
                        </wps:spPr>
                        <wps:txbx>
                          <w:txbxContent>
                            <w:p w:rsidR="00BE40F8" w:rsidRPr="009078BF" w:rsidRDefault="00BE40F8" w:rsidP="00B233DE">
                              <w:pPr>
                                <w:ind w:firstLine="0"/>
                                <w:jc w:val="center"/>
                                <w:rPr>
                                  <w:rFonts w:ascii="Times New Roman" w:hAnsi="Times New Roman" w:cs="Times New Roman"/>
                                  <w:sz w:val="16"/>
                                  <w:szCs w:val="16"/>
                                </w:rPr>
                              </w:pPr>
                              <w:r w:rsidRPr="009078BF">
                                <w:rPr>
                                  <w:rFonts w:ascii="Times New Roman" w:hAnsi="Times New Roman" w:cs="Times New Roman"/>
                                  <w:sz w:val="16"/>
                                  <w:szCs w:val="16"/>
                                </w:rPr>
                                <w:t>Купівля боргових зобов’язань в ФКУ, інвестиційних фондів, освітніх закладів</w:t>
                              </w:r>
                            </w:p>
                          </w:txbxContent>
                        </wps:txbx>
                        <wps:bodyPr rot="0" vert="horz" wrap="square" lIns="0" tIns="0" rIns="0" bIns="0" anchor="ctr" anchorCtr="0" upright="1">
                          <a:noAutofit/>
                        </wps:bodyPr>
                      </wps:wsp>
                      <wps:wsp>
                        <wps:cNvPr id="581" name="Rectangle 470"/>
                        <wps:cNvSpPr>
                          <a:spLocks noChangeArrowheads="1"/>
                        </wps:cNvSpPr>
                        <wps:spPr bwMode="auto">
                          <a:xfrm>
                            <a:off x="8555" y="9010"/>
                            <a:ext cx="2354" cy="817"/>
                          </a:xfrm>
                          <a:prstGeom prst="rect">
                            <a:avLst/>
                          </a:prstGeom>
                          <a:solidFill>
                            <a:srgbClr val="FFFFFF"/>
                          </a:solidFill>
                          <a:ln w="9525">
                            <a:solidFill>
                              <a:srgbClr val="000000"/>
                            </a:solidFill>
                            <a:miter lim="800000"/>
                            <a:headEnd/>
                            <a:tailEnd/>
                          </a:ln>
                        </wps:spPr>
                        <wps:txbx>
                          <w:txbxContent>
                            <w:p w:rsidR="00BE40F8" w:rsidRPr="009078BF" w:rsidRDefault="00BE40F8" w:rsidP="00B233DE">
                              <w:pPr>
                                <w:ind w:firstLine="0"/>
                                <w:jc w:val="center"/>
                                <w:rPr>
                                  <w:rFonts w:ascii="Times New Roman" w:hAnsi="Times New Roman" w:cs="Times New Roman"/>
                                  <w:sz w:val="16"/>
                                  <w:szCs w:val="16"/>
                                </w:rPr>
                              </w:pPr>
                              <w:r w:rsidRPr="009078BF">
                                <w:rPr>
                                  <w:rFonts w:ascii="Times New Roman" w:hAnsi="Times New Roman" w:cs="Times New Roman"/>
                                  <w:sz w:val="16"/>
                                  <w:szCs w:val="16"/>
                                </w:rPr>
                                <w:t>Купівля активу ЛК – прав на сформований ЛК</w:t>
                              </w:r>
                            </w:p>
                          </w:txbxContent>
                        </wps:txbx>
                        <wps:bodyPr rot="0" vert="horz" wrap="square" lIns="0" tIns="0" rIns="0" bIns="0" anchor="ctr" anchorCtr="0" upright="1">
                          <a:noAutofit/>
                        </wps:bodyPr>
                      </wps:wsp>
                      <wps:wsp>
                        <wps:cNvPr id="582" name="Rectangle 471"/>
                        <wps:cNvSpPr>
                          <a:spLocks noChangeArrowheads="1"/>
                        </wps:cNvSpPr>
                        <wps:spPr bwMode="auto">
                          <a:xfrm>
                            <a:off x="3936" y="10247"/>
                            <a:ext cx="5244" cy="355"/>
                          </a:xfrm>
                          <a:prstGeom prst="rect">
                            <a:avLst/>
                          </a:prstGeom>
                          <a:solidFill>
                            <a:srgbClr val="FFFFFF"/>
                          </a:solidFill>
                          <a:ln w="9525">
                            <a:solidFill>
                              <a:srgbClr val="000000"/>
                            </a:solidFill>
                            <a:miter lim="800000"/>
                            <a:headEnd/>
                            <a:tailEnd/>
                          </a:ln>
                        </wps:spPr>
                        <wps:txbx>
                          <w:txbxContent>
                            <w:p w:rsidR="00BE40F8" w:rsidRPr="009078BF" w:rsidRDefault="00BE40F8" w:rsidP="00B233DE">
                              <w:pPr>
                                <w:ind w:firstLine="0"/>
                                <w:jc w:val="center"/>
                                <w:rPr>
                                  <w:rFonts w:ascii="Times New Roman" w:hAnsi="Times New Roman" w:cs="Times New Roman"/>
                                  <w:sz w:val="16"/>
                                  <w:szCs w:val="16"/>
                                </w:rPr>
                              </w:pPr>
                              <w:r w:rsidRPr="009078BF">
                                <w:rPr>
                                  <w:rFonts w:ascii="Times New Roman" w:hAnsi="Times New Roman" w:cs="Times New Roman"/>
                                  <w:sz w:val="16"/>
                                  <w:szCs w:val="16"/>
                                </w:rPr>
                                <w:t>Інвестування у професійний розвиток носія ЛК</w:t>
                              </w:r>
                            </w:p>
                          </w:txbxContent>
                        </wps:txbx>
                        <wps:bodyPr rot="0" vert="horz" wrap="square" lIns="0" tIns="0" rIns="0" bIns="0" anchor="ctr" anchorCtr="0" upright="1">
                          <a:noAutofit/>
                        </wps:bodyPr>
                      </wps:wsp>
                      <wps:wsp>
                        <wps:cNvPr id="583" name="Rectangle 472"/>
                        <wps:cNvSpPr>
                          <a:spLocks noChangeArrowheads="1"/>
                        </wps:cNvSpPr>
                        <wps:spPr bwMode="auto">
                          <a:xfrm>
                            <a:off x="2764" y="11014"/>
                            <a:ext cx="7872" cy="945"/>
                          </a:xfrm>
                          <a:prstGeom prst="rect">
                            <a:avLst/>
                          </a:prstGeom>
                          <a:solidFill>
                            <a:srgbClr val="FFFFFF"/>
                          </a:solidFill>
                          <a:ln w="9525">
                            <a:solidFill>
                              <a:srgbClr val="000000"/>
                            </a:solidFill>
                            <a:miter lim="800000"/>
                            <a:headEnd/>
                            <a:tailEnd/>
                          </a:ln>
                        </wps:spPr>
                        <wps:txbx>
                          <w:txbxContent>
                            <w:p w:rsidR="00BE40F8" w:rsidRPr="009078BF" w:rsidRDefault="00BE40F8" w:rsidP="00B233DE">
                              <w:pPr>
                                <w:jc w:val="center"/>
                                <w:rPr>
                                  <w:rFonts w:ascii="Times New Roman" w:hAnsi="Times New Roman" w:cs="Times New Roman"/>
                                  <w:sz w:val="16"/>
                                  <w:szCs w:val="16"/>
                                </w:rPr>
                              </w:pPr>
                              <w:r w:rsidRPr="009078BF">
                                <w:rPr>
                                  <w:rFonts w:ascii="Times New Roman" w:hAnsi="Times New Roman" w:cs="Times New Roman"/>
                                  <w:sz w:val="16"/>
                                  <w:szCs w:val="16"/>
                                </w:rPr>
                                <w:t>Реалізація ЛК</w:t>
                              </w:r>
                            </w:p>
                          </w:txbxContent>
                        </wps:txbx>
                        <wps:bodyPr rot="0" vert="horz" wrap="square" lIns="0" tIns="0" rIns="0" bIns="0" anchor="t" anchorCtr="0" upright="1">
                          <a:noAutofit/>
                        </wps:bodyPr>
                      </wps:wsp>
                      <wps:wsp>
                        <wps:cNvPr id="584" name="Rectangle 473"/>
                        <wps:cNvSpPr>
                          <a:spLocks noChangeArrowheads="1"/>
                        </wps:cNvSpPr>
                        <wps:spPr bwMode="auto">
                          <a:xfrm>
                            <a:off x="3354" y="11371"/>
                            <a:ext cx="1635" cy="335"/>
                          </a:xfrm>
                          <a:prstGeom prst="rect">
                            <a:avLst/>
                          </a:prstGeom>
                          <a:solidFill>
                            <a:srgbClr val="FFFFFF"/>
                          </a:solidFill>
                          <a:ln w="9525">
                            <a:solidFill>
                              <a:srgbClr val="000000"/>
                            </a:solidFill>
                            <a:miter lim="800000"/>
                            <a:headEnd/>
                            <a:tailEnd/>
                          </a:ln>
                        </wps:spPr>
                        <wps:txbx>
                          <w:txbxContent>
                            <w:p w:rsidR="00BE40F8" w:rsidRPr="009078BF" w:rsidRDefault="00BE40F8" w:rsidP="00B233DE">
                              <w:pPr>
                                <w:ind w:firstLine="0"/>
                                <w:jc w:val="center"/>
                                <w:rPr>
                                  <w:rFonts w:ascii="Times New Roman" w:hAnsi="Times New Roman" w:cs="Times New Roman"/>
                                  <w:sz w:val="16"/>
                                  <w:szCs w:val="16"/>
                                </w:rPr>
                              </w:pPr>
                              <w:r w:rsidRPr="009078BF">
                                <w:rPr>
                                  <w:rFonts w:ascii="Times New Roman" w:hAnsi="Times New Roman" w:cs="Times New Roman"/>
                                  <w:sz w:val="16"/>
                                  <w:szCs w:val="16"/>
                                </w:rPr>
                                <w:t>Продаж ЛК</w:t>
                              </w:r>
                            </w:p>
                          </w:txbxContent>
                        </wps:txbx>
                        <wps:bodyPr rot="0" vert="horz" wrap="square" lIns="0" tIns="0" rIns="0" bIns="0" anchor="ctr" anchorCtr="0" upright="1">
                          <a:noAutofit/>
                        </wps:bodyPr>
                      </wps:wsp>
                      <wps:wsp>
                        <wps:cNvPr id="585" name="Rectangle 474"/>
                        <wps:cNvSpPr>
                          <a:spLocks noChangeArrowheads="1"/>
                        </wps:cNvSpPr>
                        <wps:spPr bwMode="auto">
                          <a:xfrm>
                            <a:off x="5294" y="11371"/>
                            <a:ext cx="2354" cy="335"/>
                          </a:xfrm>
                          <a:prstGeom prst="rect">
                            <a:avLst/>
                          </a:prstGeom>
                          <a:solidFill>
                            <a:srgbClr val="FFFFFF"/>
                          </a:solidFill>
                          <a:ln w="9525">
                            <a:solidFill>
                              <a:srgbClr val="000000"/>
                            </a:solidFill>
                            <a:miter lim="800000"/>
                            <a:headEnd/>
                            <a:tailEnd/>
                          </a:ln>
                        </wps:spPr>
                        <wps:txbx>
                          <w:txbxContent>
                            <w:p w:rsidR="00BE40F8" w:rsidRPr="009078BF" w:rsidRDefault="00BE40F8" w:rsidP="00B233DE">
                              <w:pPr>
                                <w:ind w:firstLine="0"/>
                                <w:jc w:val="center"/>
                                <w:rPr>
                                  <w:rFonts w:ascii="Times New Roman" w:hAnsi="Times New Roman" w:cs="Times New Roman"/>
                                  <w:sz w:val="16"/>
                                  <w:szCs w:val="16"/>
                                </w:rPr>
                              </w:pPr>
                              <w:r w:rsidRPr="009078BF">
                                <w:rPr>
                                  <w:rFonts w:ascii="Times New Roman" w:hAnsi="Times New Roman" w:cs="Times New Roman"/>
                                  <w:sz w:val="16"/>
                                  <w:szCs w:val="16"/>
                                </w:rPr>
                                <w:t>Лізинг ЛК</w:t>
                              </w:r>
                            </w:p>
                          </w:txbxContent>
                        </wps:txbx>
                        <wps:bodyPr rot="0" vert="horz" wrap="square" lIns="0" tIns="0" rIns="0" bIns="0" anchor="ctr" anchorCtr="0" upright="1">
                          <a:noAutofit/>
                        </wps:bodyPr>
                      </wps:wsp>
                      <wps:wsp>
                        <wps:cNvPr id="586" name="Rectangle 475"/>
                        <wps:cNvSpPr>
                          <a:spLocks noChangeArrowheads="1"/>
                        </wps:cNvSpPr>
                        <wps:spPr bwMode="auto">
                          <a:xfrm>
                            <a:off x="7965" y="11378"/>
                            <a:ext cx="2354" cy="334"/>
                          </a:xfrm>
                          <a:prstGeom prst="rect">
                            <a:avLst/>
                          </a:prstGeom>
                          <a:solidFill>
                            <a:srgbClr val="FFFFFF"/>
                          </a:solidFill>
                          <a:ln w="9525">
                            <a:solidFill>
                              <a:srgbClr val="000000"/>
                            </a:solidFill>
                            <a:miter lim="800000"/>
                            <a:headEnd/>
                            <a:tailEnd/>
                          </a:ln>
                        </wps:spPr>
                        <wps:txbx>
                          <w:txbxContent>
                            <w:p w:rsidR="00BE40F8" w:rsidRPr="009078BF" w:rsidRDefault="00BE40F8" w:rsidP="00B233DE">
                              <w:pPr>
                                <w:ind w:firstLine="0"/>
                                <w:jc w:val="center"/>
                                <w:rPr>
                                  <w:rFonts w:ascii="Times New Roman" w:hAnsi="Times New Roman" w:cs="Times New Roman"/>
                                  <w:sz w:val="16"/>
                                  <w:szCs w:val="16"/>
                                </w:rPr>
                              </w:pPr>
                              <w:r w:rsidRPr="009078BF">
                                <w:rPr>
                                  <w:rFonts w:ascii="Times New Roman" w:hAnsi="Times New Roman" w:cs="Times New Roman"/>
                                  <w:sz w:val="16"/>
                                  <w:szCs w:val="16"/>
                                </w:rPr>
                                <w:t>Аутсорсинг ЛК</w:t>
                              </w:r>
                            </w:p>
                          </w:txbxContent>
                        </wps:txbx>
                        <wps:bodyPr rot="0" vert="horz" wrap="square" lIns="0" tIns="0" rIns="0" bIns="0" anchor="ctr" anchorCtr="0" upright="1">
                          <a:noAutofit/>
                        </wps:bodyPr>
                      </wps:wsp>
                      <wps:wsp>
                        <wps:cNvPr id="587" name="Rectangle 476"/>
                        <wps:cNvSpPr>
                          <a:spLocks noChangeArrowheads="1"/>
                        </wps:cNvSpPr>
                        <wps:spPr bwMode="auto">
                          <a:xfrm>
                            <a:off x="6671" y="12148"/>
                            <a:ext cx="2813" cy="649"/>
                          </a:xfrm>
                          <a:prstGeom prst="rect">
                            <a:avLst/>
                          </a:prstGeom>
                          <a:solidFill>
                            <a:srgbClr val="FFFFFF"/>
                          </a:solidFill>
                          <a:ln w="9525">
                            <a:solidFill>
                              <a:srgbClr val="000000"/>
                            </a:solidFill>
                            <a:miter lim="800000"/>
                            <a:headEnd/>
                            <a:tailEnd/>
                          </a:ln>
                        </wps:spPr>
                        <wps:txbx>
                          <w:txbxContent>
                            <w:p w:rsidR="00BE40F8" w:rsidRPr="009078BF" w:rsidRDefault="00BE40F8" w:rsidP="00B233DE">
                              <w:pPr>
                                <w:ind w:firstLine="0"/>
                                <w:jc w:val="center"/>
                                <w:rPr>
                                  <w:rFonts w:ascii="Times New Roman" w:hAnsi="Times New Roman" w:cs="Times New Roman"/>
                                  <w:sz w:val="16"/>
                                  <w:szCs w:val="16"/>
                                </w:rPr>
                              </w:pPr>
                              <w:r w:rsidRPr="009078BF">
                                <w:rPr>
                                  <w:rFonts w:ascii="Times New Roman" w:hAnsi="Times New Roman" w:cs="Times New Roman"/>
                                  <w:sz w:val="16"/>
                                  <w:szCs w:val="16"/>
                                </w:rPr>
                                <w:t>Зниження вартості ЛК, моральне старіння</w:t>
                              </w:r>
                            </w:p>
                          </w:txbxContent>
                        </wps:txbx>
                        <wps:bodyPr rot="0" vert="horz" wrap="square" lIns="0" tIns="0" rIns="0" bIns="0" anchor="ctr" anchorCtr="0" upright="1">
                          <a:noAutofit/>
                        </wps:bodyPr>
                      </wps:wsp>
                      <wps:wsp>
                        <wps:cNvPr id="588" name="AutoShape 477"/>
                        <wps:cNvCnPr>
                          <a:cxnSpLocks noChangeShapeType="1"/>
                        </wps:cNvCnPr>
                        <wps:spPr bwMode="auto">
                          <a:xfrm flipH="1">
                            <a:off x="6374" y="8282"/>
                            <a:ext cx="8" cy="23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9" name="AutoShape 478"/>
                        <wps:cNvCnPr>
                          <a:cxnSpLocks noChangeShapeType="1"/>
                        </wps:cNvCnPr>
                        <wps:spPr bwMode="auto">
                          <a:xfrm>
                            <a:off x="9721" y="8487"/>
                            <a:ext cx="16" cy="49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0" name="AutoShape 479"/>
                        <wps:cNvCnPr>
                          <a:cxnSpLocks noChangeShapeType="1"/>
                        </wps:cNvCnPr>
                        <wps:spPr bwMode="auto">
                          <a:xfrm>
                            <a:off x="8108" y="8502"/>
                            <a:ext cx="15" cy="49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1" name="AutoShape 480"/>
                        <wps:cNvCnPr>
                          <a:cxnSpLocks noChangeShapeType="1"/>
                        </wps:cNvCnPr>
                        <wps:spPr bwMode="auto">
                          <a:xfrm>
                            <a:off x="3557" y="8516"/>
                            <a:ext cx="15" cy="49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2" name="AutoShape 481"/>
                        <wps:cNvCnPr>
                          <a:cxnSpLocks noChangeShapeType="1"/>
                        </wps:cNvCnPr>
                        <wps:spPr bwMode="auto">
                          <a:xfrm>
                            <a:off x="6495" y="9833"/>
                            <a:ext cx="15" cy="42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3" name="AutoShape 482"/>
                        <wps:cNvCnPr>
                          <a:cxnSpLocks noChangeShapeType="1"/>
                        </wps:cNvCnPr>
                        <wps:spPr bwMode="auto">
                          <a:xfrm>
                            <a:off x="9617" y="9823"/>
                            <a:ext cx="7" cy="15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4" name="AutoShape 483"/>
                        <wps:cNvCnPr>
                          <a:cxnSpLocks noChangeShapeType="1"/>
                        </wps:cNvCnPr>
                        <wps:spPr bwMode="auto">
                          <a:xfrm flipH="1">
                            <a:off x="3452" y="9831"/>
                            <a:ext cx="8" cy="15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5" name="AutoShape 484"/>
                        <wps:cNvCnPr>
                          <a:cxnSpLocks noChangeShapeType="1"/>
                        </wps:cNvCnPr>
                        <wps:spPr bwMode="auto">
                          <a:xfrm>
                            <a:off x="3450" y="9979"/>
                            <a:ext cx="61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6" name="AutoShape 485"/>
                        <wps:cNvCnPr>
                          <a:cxnSpLocks noChangeShapeType="1"/>
                        </wps:cNvCnPr>
                        <wps:spPr bwMode="auto">
                          <a:xfrm>
                            <a:off x="3542" y="8502"/>
                            <a:ext cx="616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7" name="AutoShape 486"/>
                        <wps:cNvCnPr>
                          <a:cxnSpLocks noChangeShapeType="1"/>
                        </wps:cNvCnPr>
                        <wps:spPr bwMode="auto">
                          <a:xfrm>
                            <a:off x="6495" y="10594"/>
                            <a:ext cx="15" cy="42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8" name="AutoShape 487"/>
                        <wps:cNvCnPr>
                          <a:cxnSpLocks noChangeShapeType="1"/>
                        </wps:cNvCnPr>
                        <wps:spPr bwMode="auto">
                          <a:xfrm flipH="1">
                            <a:off x="6466" y="11704"/>
                            <a:ext cx="8" cy="15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9" name="AutoShape 488"/>
                        <wps:cNvCnPr>
                          <a:cxnSpLocks noChangeShapeType="1"/>
                        </wps:cNvCnPr>
                        <wps:spPr bwMode="auto">
                          <a:xfrm flipH="1">
                            <a:off x="9221" y="11704"/>
                            <a:ext cx="8" cy="15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0" name="AutoShape 489"/>
                        <wps:cNvCnPr>
                          <a:cxnSpLocks noChangeShapeType="1"/>
                        </wps:cNvCnPr>
                        <wps:spPr bwMode="auto">
                          <a:xfrm>
                            <a:off x="6464" y="11867"/>
                            <a:ext cx="2770"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1" name="AutoShape 490"/>
                        <wps:cNvCnPr>
                          <a:cxnSpLocks noChangeShapeType="1"/>
                        </wps:cNvCnPr>
                        <wps:spPr bwMode="auto">
                          <a:xfrm>
                            <a:off x="7880" y="11881"/>
                            <a:ext cx="15" cy="2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2" name="AutoShape 491"/>
                        <wps:cNvCnPr>
                          <a:cxnSpLocks noChangeShapeType="1"/>
                        </wps:cNvCnPr>
                        <wps:spPr bwMode="auto">
                          <a:xfrm>
                            <a:off x="9508" y="12452"/>
                            <a:ext cx="1446"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3" name="AutoShape 492"/>
                        <wps:cNvCnPr>
                          <a:cxnSpLocks noChangeShapeType="1"/>
                        </wps:cNvCnPr>
                        <wps:spPr bwMode="auto">
                          <a:xfrm>
                            <a:off x="10909" y="10389"/>
                            <a:ext cx="30" cy="207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4" name="AutoShape 493"/>
                        <wps:cNvCnPr>
                          <a:cxnSpLocks noChangeShapeType="1"/>
                        </wps:cNvCnPr>
                        <wps:spPr bwMode="auto">
                          <a:xfrm flipH="1">
                            <a:off x="9174" y="10404"/>
                            <a:ext cx="1720"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D829B2A" id="Группа 576" o:spid="_x0000_s1283" style="position:absolute;left:0;text-align:left;margin-left:2.3pt;margin-top:15.65pt;width:306.5pt;height:211.55pt;z-index:251686912;mso-position-horizontal-relative:text;mso-position-vertical-relative:text" coordorigin="2259,7696" coordsize="8875,5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">
                <v:rect id="Rectangle 466" o:spid="_x0000_s1284" style="position:absolute;left:3869;top:7696;width:5038;height:5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">
                  <v:textbox inset="0,0,0,0">
                    <w:txbxContent>
                      <w:p w:rsidR="00BE40F8" w:rsidRPr="009078BF" w:rsidRDefault="00BE40F8" w:rsidP="00B233DE">
                        <w:pPr>
                          <w:ind w:firstLine="0"/>
                          <w:jc w:val="center"/>
                          <w:rPr>
                            <w:rFonts w:ascii="Times New Roman" w:hAnsi="Times New Roman" w:cs="Times New Roman"/>
                            <w:sz w:val="16"/>
                            <w:szCs w:val="16"/>
                          </w:rPr>
                        </w:pPr>
                        <w:r w:rsidRPr="009078BF">
                          <w:rPr>
                            <w:rFonts w:ascii="Times New Roman" w:hAnsi="Times New Roman" w:cs="Times New Roman"/>
                            <w:sz w:val="16"/>
                            <w:szCs w:val="16"/>
                          </w:rPr>
                          <w:t>Лізингові, рекрутингові, аутсорсингові, венчурні компанії</w:t>
                        </w:r>
                      </w:p>
                    </w:txbxContent>
                  </v:textbox>
                </v:rect>
                <v:rect id="Rectangle 467" o:spid="_x0000_s1285" style="position:absolute;left:2259;top:8622;width:8875;height:14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">
                  <v:textbox inset="0,0,0,0">
                    <w:txbxContent>
                      <w:p w:rsidR="00BE40F8" w:rsidRPr="009078BF" w:rsidRDefault="00BE40F8" w:rsidP="00B233DE">
                        <w:pPr>
                          <w:ind w:firstLine="0"/>
                          <w:jc w:val="center"/>
                          <w:rPr>
                            <w:rFonts w:ascii="Times New Roman" w:hAnsi="Times New Roman" w:cs="Times New Roman"/>
                            <w:sz w:val="16"/>
                            <w:szCs w:val="16"/>
                          </w:rPr>
                        </w:pPr>
                        <w:r w:rsidRPr="009078BF">
                          <w:rPr>
                            <w:rFonts w:ascii="Times New Roman" w:hAnsi="Times New Roman" w:cs="Times New Roman"/>
                            <w:sz w:val="16"/>
                            <w:szCs w:val="16"/>
                          </w:rPr>
                          <w:t>Інвестиційні інструменти</w:t>
                        </w:r>
                      </w:p>
                    </w:txbxContent>
                  </v:textbox>
                </v:rect>
                <v:rect id="Rectangle 468" o:spid="_x0000_s1286" style="position:absolute;left:2435;top:8999;width:2354;height:8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">
                  <v:textbox inset="0,0,0,0">
                    <w:txbxContent>
                      <w:p w:rsidR="00BE40F8" w:rsidRPr="009078BF" w:rsidRDefault="00BE40F8" w:rsidP="00B233DE">
                        <w:pPr>
                          <w:ind w:firstLine="0"/>
                          <w:jc w:val="center"/>
                          <w:rPr>
                            <w:rFonts w:ascii="Times New Roman" w:hAnsi="Times New Roman" w:cs="Times New Roman"/>
                            <w:sz w:val="16"/>
                            <w:szCs w:val="16"/>
                          </w:rPr>
                        </w:pPr>
                        <w:r w:rsidRPr="009078BF">
                          <w:rPr>
                            <w:rFonts w:ascii="Times New Roman" w:hAnsi="Times New Roman" w:cs="Times New Roman"/>
                            <w:sz w:val="16"/>
                            <w:szCs w:val="16"/>
                          </w:rPr>
                          <w:t>Купівля прав на несформований ЛК</w:t>
                        </w:r>
                      </w:p>
                    </w:txbxContent>
                  </v:textbox>
                </v:rect>
                <v:rect id="Rectangle 469" o:spid="_x0000_s1287" style="position:absolute;left:5000;top:9011;width:3445;height:8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">
                  <v:textbox inset="0,0,0,0">
                    <w:txbxContent>
                      <w:p w:rsidR="00BE40F8" w:rsidRPr="009078BF" w:rsidRDefault="00BE40F8" w:rsidP="00B233DE">
                        <w:pPr>
                          <w:ind w:firstLine="0"/>
                          <w:jc w:val="center"/>
                          <w:rPr>
                            <w:rFonts w:ascii="Times New Roman" w:hAnsi="Times New Roman" w:cs="Times New Roman"/>
                            <w:sz w:val="16"/>
                            <w:szCs w:val="16"/>
                          </w:rPr>
                        </w:pPr>
                        <w:r w:rsidRPr="009078BF">
                          <w:rPr>
                            <w:rFonts w:ascii="Times New Roman" w:hAnsi="Times New Roman" w:cs="Times New Roman"/>
                            <w:sz w:val="16"/>
                            <w:szCs w:val="16"/>
                          </w:rPr>
                          <w:t>Купівля боргових зобов’язань в ФКУ, інвестиційних фондів, освітніх закладів</w:t>
                        </w:r>
                      </w:p>
                    </w:txbxContent>
                  </v:textbox>
                </v:rect>
                <v:rect id="Rectangle 470" o:spid="_x0000_s1288" style="position:absolute;left:8555;top:9010;width:2354;height:8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">
                  <v:textbox inset="0,0,0,0">
                    <w:txbxContent>
                      <w:p w:rsidR="00BE40F8" w:rsidRPr="009078BF" w:rsidRDefault="00BE40F8" w:rsidP="00B233DE">
                        <w:pPr>
                          <w:ind w:firstLine="0"/>
                          <w:jc w:val="center"/>
                          <w:rPr>
                            <w:rFonts w:ascii="Times New Roman" w:hAnsi="Times New Roman" w:cs="Times New Roman"/>
                            <w:sz w:val="16"/>
                            <w:szCs w:val="16"/>
                          </w:rPr>
                        </w:pPr>
                        <w:r w:rsidRPr="009078BF">
                          <w:rPr>
                            <w:rFonts w:ascii="Times New Roman" w:hAnsi="Times New Roman" w:cs="Times New Roman"/>
                            <w:sz w:val="16"/>
                            <w:szCs w:val="16"/>
                          </w:rPr>
                          <w:t>Купівля активу ЛК – прав на сформований ЛК</w:t>
                        </w:r>
                      </w:p>
                    </w:txbxContent>
                  </v:textbox>
                </v:rect>
                <v:rect id="Rectangle 471" o:spid="_x0000_s1289" style="position:absolute;left:3936;top:10247;width:5244;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">
                  <v:textbox inset="0,0,0,0">
                    <w:txbxContent>
                      <w:p w:rsidR="00BE40F8" w:rsidRPr="009078BF" w:rsidRDefault="00BE40F8" w:rsidP="00B233DE">
                        <w:pPr>
                          <w:ind w:firstLine="0"/>
                          <w:jc w:val="center"/>
                          <w:rPr>
                            <w:rFonts w:ascii="Times New Roman" w:hAnsi="Times New Roman" w:cs="Times New Roman"/>
                            <w:sz w:val="16"/>
                            <w:szCs w:val="16"/>
                          </w:rPr>
                        </w:pPr>
                        <w:r w:rsidRPr="009078BF">
                          <w:rPr>
                            <w:rFonts w:ascii="Times New Roman" w:hAnsi="Times New Roman" w:cs="Times New Roman"/>
                            <w:sz w:val="16"/>
                            <w:szCs w:val="16"/>
                          </w:rPr>
                          <w:t>Інвестування у професійний розвиток носія ЛК</w:t>
                        </w:r>
                      </w:p>
                    </w:txbxContent>
                  </v:textbox>
                </v:rect>
                <v:rect id="Rectangle 472" o:spid="_x0000_s1290" style="position:absolute;left:2764;top:11014;width:7872;height:9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">
                  <v:textbox inset="0,0,0,0">
                    <w:txbxContent>
                      <w:p w:rsidR="00BE40F8" w:rsidRPr="009078BF" w:rsidRDefault="00BE40F8" w:rsidP="00B233DE">
                        <w:pPr>
                          <w:jc w:val="center"/>
                          <w:rPr>
                            <w:rFonts w:ascii="Times New Roman" w:hAnsi="Times New Roman" w:cs="Times New Roman"/>
                            <w:sz w:val="16"/>
                            <w:szCs w:val="16"/>
                          </w:rPr>
                        </w:pPr>
                        <w:r w:rsidRPr="009078BF">
                          <w:rPr>
                            <w:rFonts w:ascii="Times New Roman" w:hAnsi="Times New Roman" w:cs="Times New Roman"/>
                            <w:sz w:val="16"/>
                            <w:szCs w:val="16"/>
                          </w:rPr>
                          <w:t>Реалізація ЛК</w:t>
                        </w:r>
                      </w:p>
                    </w:txbxContent>
                  </v:textbox>
                </v:rect>
                <v:rect id="Rectangle 473" o:spid="_x0000_s1291" style="position:absolute;left:3354;top:11371;width:1635;height:3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">
                  <v:textbox inset="0,0,0,0">
                    <w:txbxContent>
                      <w:p w:rsidR="00BE40F8" w:rsidRPr="009078BF" w:rsidRDefault="00BE40F8" w:rsidP="00B233DE">
                        <w:pPr>
                          <w:ind w:firstLine="0"/>
                          <w:jc w:val="center"/>
                          <w:rPr>
                            <w:rFonts w:ascii="Times New Roman" w:hAnsi="Times New Roman" w:cs="Times New Roman"/>
                            <w:sz w:val="16"/>
                            <w:szCs w:val="16"/>
                          </w:rPr>
                        </w:pPr>
                        <w:r w:rsidRPr="009078BF">
                          <w:rPr>
                            <w:rFonts w:ascii="Times New Roman" w:hAnsi="Times New Roman" w:cs="Times New Roman"/>
                            <w:sz w:val="16"/>
                            <w:szCs w:val="16"/>
                          </w:rPr>
                          <w:t>Продаж ЛК</w:t>
                        </w:r>
                      </w:p>
                    </w:txbxContent>
                  </v:textbox>
                </v:rect>
                <v:rect id="Rectangle 474" o:spid="_x0000_s1292" style="position:absolute;left:5294;top:11371;width:2354;height:3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">
                  <v:textbox inset="0,0,0,0">
                    <w:txbxContent>
                      <w:p w:rsidR="00BE40F8" w:rsidRPr="009078BF" w:rsidRDefault="00BE40F8" w:rsidP="00B233DE">
                        <w:pPr>
                          <w:ind w:firstLine="0"/>
                          <w:jc w:val="center"/>
                          <w:rPr>
                            <w:rFonts w:ascii="Times New Roman" w:hAnsi="Times New Roman" w:cs="Times New Roman"/>
                            <w:sz w:val="16"/>
                            <w:szCs w:val="16"/>
                          </w:rPr>
                        </w:pPr>
                        <w:r w:rsidRPr="009078BF">
                          <w:rPr>
                            <w:rFonts w:ascii="Times New Roman" w:hAnsi="Times New Roman" w:cs="Times New Roman"/>
                            <w:sz w:val="16"/>
                            <w:szCs w:val="16"/>
                          </w:rPr>
                          <w:t>Лізинг ЛК</w:t>
                        </w:r>
                      </w:p>
                    </w:txbxContent>
                  </v:textbox>
                </v:rect>
                <v:rect id="Rectangle 475" o:spid="_x0000_s1293" style="position:absolute;left:7965;top:11378;width:2354;height: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">
                  <v:textbox inset="0,0,0,0">
                    <w:txbxContent>
                      <w:p w:rsidR="00BE40F8" w:rsidRPr="009078BF" w:rsidRDefault="00BE40F8" w:rsidP="00B233DE">
                        <w:pPr>
                          <w:ind w:firstLine="0"/>
                          <w:jc w:val="center"/>
                          <w:rPr>
                            <w:rFonts w:ascii="Times New Roman" w:hAnsi="Times New Roman" w:cs="Times New Roman"/>
                            <w:sz w:val="16"/>
                            <w:szCs w:val="16"/>
                          </w:rPr>
                        </w:pPr>
                        <w:r w:rsidRPr="009078BF">
                          <w:rPr>
                            <w:rFonts w:ascii="Times New Roman" w:hAnsi="Times New Roman" w:cs="Times New Roman"/>
                            <w:sz w:val="16"/>
                            <w:szCs w:val="16"/>
                          </w:rPr>
                          <w:t>Аутсорсинг ЛК</w:t>
                        </w:r>
                      </w:p>
                    </w:txbxContent>
                  </v:textbox>
                </v:rect>
                <v:rect id="Rectangle 476" o:spid="_x0000_s1294" style="position:absolute;left:6671;top:12148;width:2813;height:6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">
                  <v:textbox inset="0,0,0,0">
                    <w:txbxContent>
                      <w:p w:rsidR="00BE40F8" w:rsidRPr="009078BF" w:rsidRDefault="00BE40F8" w:rsidP="00B233DE">
                        <w:pPr>
                          <w:ind w:firstLine="0"/>
                          <w:jc w:val="center"/>
                          <w:rPr>
                            <w:rFonts w:ascii="Times New Roman" w:hAnsi="Times New Roman" w:cs="Times New Roman"/>
                            <w:sz w:val="16"/>
                            <w:szCs w:val="16"/>
                          </w:rPr>
                        </w:pPr>
                        <w:r w:rsidRPr="009078BF">
                          <w:rPr>
                            <w:rFonts w:ascii="Times New Roman" w:hAnsi="Times New Roman" w:cs="Times New Roman"/>
                            <w:sz w:val="16"/>
                            <w:szCs w:val="16"/>
                          </w:rPr>
                          <w:t>Зниження вартості ЛК, моральне старіння</w:t>
                        </w:r>
                      </w:p>
                    </w:txbxContent>
                  </v:textbox>
                </v:rect>
                <v:shape id="AutoShape 477" o:spid="_x0000_s1295" type="#_x0000_t32" style="position:absolute;left:6374;top:8282;width:8;height:23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"/>
                <v:shape id="AutoShape 478" o:spid="_x0000_s1296" type="#_x0000_t32" style="position:absolute;left:9721;top:8487;width:16;height:4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">
                  <v:stroke endarrow="block"/>
                </v:shape>
                <v:shape id="AutoShape 479" o:spid="_x0000_s1297" type="#_x0000_t32" style="position:absolute;left:8108;top:8502;width:15;height:4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">
                  <v:stroke endarrow="block"/>
                </v:shape>
                <v:shape id="AutoShape 480" o:spid="_x0000_s1298" type="#_x0000_t32" style="position:absolute;left:3557;top:8516;width:15;height:4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">
                  <v:stroke endarrow="block"/>
                </v:shape>
                <v:shape id="AutoShape 481" o:spid="_x0000_s1299" type="#_x0000_t32" style="position:absolute;left:6495;top:9833;width:15;height:4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">
                  <v:stroke endarrow="block"/>
                </v:shape>
                <v:shape id="AutoShape 482" o:spid="_x0000_s1300" type="#_x0000_t32" style="position:absolute;left:9617;top:9823;width:7;height:1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"/>
                <v:shape id="AutoShape 483" o:spid="_x0000_s1301" type="#_x0000_t32" style="position:absolute;left:3452;top:9831;width:8;height:1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"/>
                <v:shape id="AutoShape 484" o:spid="_x0000_s1302" type="#_x0000_t32" style="position:absolute;left:3450;top:9979;width:616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"/>
                <v:shape id="AutoShape 485" o:spid="_x0000_s1303" type="#_x0000_t32" style="position:absolute;left:3542;top:8502;width:616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"/>
                <v:shape id="AutoShape 486" o:spid="_x0000_s1304" type="#_x0000_t32" style="position:absolute;left:6495;top:10594;width:15;height:4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">
                  <v:stroke endarrow="block"/>
                </v:shape>
                <v:shape id="AutoShape 487" o:spid="_x0000_s1305" type="#_x0000_t32" style="position:absolute;left:6466;top:11704;width:8;height:1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"/>
                <v:shape id="AutoShape 488" o:spid="_x0000_s1306" type="#_x0000_t32" style="position:absolute;left:9221;top:11704;width:8;height:1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"/>
                <v:shape id="AutoShape 489" o:spid="_x0000_s1307" type="#_x0000_t32" style="position:absolute;left:6464;top:11867;width:2770;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"/>
                <v:shape id="AutoShape 490" o:spid="_x0000_s1308" type="#_x0000_t32" style="position:absolute;left:7880;top:11881;width:15;height:2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">
                  <v:stroke endarrow="block"/>
                </v:shape>
                <v:shape id="AutoShape 491" o:spid="_x0000_s1309" type="#_x0000_t32" style="position:absolute;left:9508;top:12452;width:1446;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"/>
                <v:shape id="AutoShape 492" o:spid="_x0000_s1310" type="#_x0000_t32" style="position:absolute;left:10909;top:10389;width:30;height:20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"/>
                <v:shape id="AutoShape 493" o:spid="_x0000_s1311" type="#_x0000_t32" style="position:absolute;left:9174;top:10404;width:1720;height: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">
                  <v:stroke endarrow="block"/>
                </v:shape>
              </v:group>
            </w:pict>
          </mc:Fallback>
        </mc:AlternateContent>
      </w:r>
    </w:p>
    <w:p w:rsidR="00B233DE" w:rsidRDefault="00B233DE" w:rsidP="00B233DE">
      <w:pPr>
        <w:spacing w:line="360" w:lineRule="auto"/>
        <w:ind w:firstLine="708"/>
        <w:jc w:val="both"/>
        <w:rPr>
          <w:spacing w:val="-6"/>
          <w:sz w:val="28"/>
          <w:szCs w:val="28"/>
        </w:rPr>
      </w:pPr>
    </w:p>
    <w:p w:rsidR="00B233DE" w:rsidRDefault="00B233DE" w:rsidP="00B233DE">
      <w:pPr>
        <w:spacing w:line="360" w:lineRule="auto"/>
        <w:ind w:firstLine="708"/>
        <w:jc w:val="both"/>
        <w:rPr>
          <w:spacing w:val="-6"/>
          <w:sz w:val="28"/>
          <w:szCs w:val="28"/>
        </w:rPr>
      </w:pPr>
    </w:p>
    <w:p w:rsidR="00B233DE" w:rsidRDefault="00B233DE" w:rsidP="00B233DE">
      <w:pPr>
        <w:spacing w:line="360" w:lineRule="auto"/>
        <w:ind w:firstLine="708"/>
        <w:jc w:val="both"/>
        <w:rPr>
          <w:spacing w:val="-6"/>
          <w:sz w:val="28"/>
          <w:szCs w:val="28"/>
        </w:rPr>
      </w:pPr>
    </w:p>
    <w:p w:rsidR="00B233DE" w:rsidRDefault="00B233DE" w:rsidP="00B233DE">
      <w:pPr>
        <w:spacing w:line="360" w:lineRule="auto"/>
        <w:ind w:firstLine="708"/>
        <w:jc w:val="both"/>
        <w:rPr>
          <w:spacing w:val="-6"/>
          <w:sz w:val="28"/>
          <w:szCs w:val="28"/>
        </w:rPr>
      </w:pPr>
    </w:p>
    <w:p w:rsidR="00B233DE" w:rsidRDefault="00B233DE" w:rsidP="00B233DE">
      <w:pPr>
        <w:spacing w:line="360" w:lineRule="auto"/>
        <w:ind w:firstLine="708"/>
        <w:jc w:val="both"/>
        <w:rPr>
          <w:spacing w:val="-6"/>
          <w:sz w:val="28"/>
          <w:szCs w:val="28"/>
        </w:rPr>
      </w:pPr>
    </w:p>
    <w:p w:rsidR="00B233DE" w:rsidRDefault="00B233DE" w:rsidP="00B233DE">
      <w:pPr>
        <w:spacing w:line="360" w:lineRule="auto"/>
        <w:ind w:firstLine="708"/>
        <w:jc w:val="both"/>
        <w:rPr>
          <w:spacing w:val="-6"/>
          <w:sz w:val="28"/>
          <w:szCs w:val="28"/>
        </w:rPr>
      </w:pPr>
    </w:p>
    <w:p w:rsidR="00B233DE" w:rsidRDefault="00B233DE" w:rsidP="00B233DE">
      <w:pPr>
        <w:spacing w:line="360" w:lineRule="auto"/>
        <w:ind w:firstLine="708"/>
        <w:jc w:val="both"/>
        <w:rPr>
          <w:spacing w:val="-6"/>
          <w:sz w:val="28"/>
          <w:szCs w:val="28"/>
        </w:rPr>
      </w:pPr>
    </w:p>
    <w:p w:rsidR="00B233DE" w:rsidRPr="00CC0149" w:rsidRDefault="00B233DE" w:rsidP="00B233DE">
      <w:pPr>
        <w:spacing w:line="360" w:lineRule="auto"/>
        <w:ind w:firstLine="708"/>
        <w:jc w:val="both"/>
        <w:rPr>
          <w:rFonts w:ascii="Times New Roman" w:hAnsi="Times New Roman" w:cs="Times New Roman"/>
          <w:spacing w:val="-6"/>
          <w:sz w:val="21"/>
          <w:szCs w:val="21"/>
        </w:rPr>
      </w:pPr>
    </w:p>
    <w:p w:rsidR="00B233DE" w:rsidRPr="00CC0149" w:rsidRDefault="00B233DE" w:rsidP="00B233DE">
      <w:pPr>
        <w:spacing w:line="360" w:lineRule="auto"/>
        <w:ind w:firstLine="708"/>
        <w:jc w:val="both"/>
        <w:rPr>
          <w:rFonts w:ascii="Times New Roman" w:hAnsi="Times New Roman" w:cs="Times New Roman"/>
          <w:spacing w:val="-6"/>
          <w:sz w:val="21"/>
          <w:szCs w:val="21"/>
        </w:rPr>
      </w:pPr>
    </w:p>
    <w:p w:rsidR="00B233DE" w:rsidRPr="00CC0149" w:rsidRDefault="00B233DE" w:rsidP="00B233DE">
      <w:pPr>
        <w:ind w:firstLine="708"/>
        <w:jc w:val="center"/>
        <w:rPr>
          <w:rFonts w:ascii="Times New Roman" w:hAnsi="Times New Roman" w:cs="Times New Roman"/>
          <w:b/>
          <w:spacing w:val="-6"/>
          <w:sz w:val="21"/>
          <w:szCs w:val="21"/>
        </w:rPr>
      </w:pPr>
      <w:r w:rsidRPr="00CC0149">
        <w:rPr>
          <w:rFonts w:ascii="Times New Roman" w:hAnsi="Times New Roman" w:cs="Times New Roman"/>
          <w:b/>
          <w:spacing w:val="-6"/>
          <w:sz w:val="21"/>
          <w:szCs w:val="21"/>
        </w:rPr>
        <w:t>Рис. 3.10. Інвестування та управління людським капіталом на основі лізингових, рекрутингових, аутсорсингових та венчурних операцій</w:t>
      </w:r>
    </w:p>
    <w:p w:rsidR="00B233DE" w:rsidRPr="008417EA" w:rsidRDefault="00B233DE" w:rsidP="00B233DE">
      <w:pPr>
        <w:ind w:firstLine="708"/>
        <w:jc w:val="center"/>
        <w:rPr>
          <w:rFonts w:ascii="Times New Roman" w:hAnsi="Times New Roman" w:cs="Times New Roman"/>
          <w:spacing w:val="-6"/>
          <w:sz w:val="21"/>
          <w:szCs w:val="21"/>
        </w:rPr>
      </w:pPr>
    </w:p>
    <w:p w:rsidR="00B233DE" w:rsidRPr="008417EA" w:rsidRDefault="00B233DE" w:rsidP="00B233DE">
      <w:pPr>
        <w:autoSpaceDE w:val="0"/>
        <w:autoSpaceDN w:val="0"/>
        <w:adjustRightInd w:val="0"/>
        <w:ind w:firstLine="709"/>
        <w:jc w:val="both"/>
        <w:rPr>
          <w:rFonts w:ascii="Times New Roman" w:hAnsi="Times New Roman" w:cs="Times New Roman"/>
          <w:sz w:val="21"/>
          <w:szCs w:val="21"/>
        </w:rPr>
      </w:pPr>
      <w:r w:rsidRPr="008417EA">
        <w:rPr>
          <w:rFonts w:ascii="Times New Roman" w:hAnsi="Times New Roman" w:cs="Times New Roman"/>
          <w:sz w:val="21"/>
          <w:szCs w:val="21"/>
        </w:rPr>
        <w:t xml:space="preserve">Перехід від витратної моделі до управління механізмом інвестування в людський капітал передбачає реалізацію другого етапу – розбудову інфраструктури інвестиційного відтворення людського капіталу відповідно до заходів та вимог інституційної системи. Формування інфраструктури розвитку людського капіталу передбачає розбудову інформаційного суспільства на основі розвитку та поширення доступу до Інтернет як приватного сектору, так і суб’єктів господарювання і органів державної влади; розвитку та впровадження інформаційно-комунікаційних технологій в усі сфери суспільного життя та економічної діяльності з метою досягнення соціально-економічних ефектів; розвиток національної інформаційної інфраструктури на основі розвитку високотехнологічних секторів економіки, освіти та людського капіталу, нормативно-правової бази з метою підвищення конкурентоспроможності національної економіки та якості життя </w:t>
      </w:r>
      <w:r w:rsidRPr="008417EA">
        <w:rPr>
          <w:rFonts w:ascii="Times New Roman" w:hAnsi="Times New Roman" w:cs="Times New Roman"/>
          <w:sz w:val="21"/>
          <w:szCs w:val="21"/>
        </w:rPr>
        <w:lastRenderedPageBreak/>
        <w:t>населення; забезпечення інформаційної та комп’ютерної грамотності населення з метою формування конкуренто</w:t>
      </w:r>
      <w:r>
        <w:rPr>
          <w:rFonts w:ascii="Times New Roman" w:hAnsi="Times New Roman" w:cs="Times New Roman"/>
          <w:sz w:val="21"/>
          <w:szCs w:val="21"/>
        </w:rPr>
        <w:t>-</w:t>
      </w:r>
      <w:r w:rsidRPr="008417EA">
        <w:rPr>
          <w:rFonts w:ascii="Times New Roman" w:hAnsi="Times New Roman" w:cs="Times New Roman"/>
          <w:sz w:val="21"/>
          <w:szCs w:val="21"/>
        </w:rPr>
        <w:t>спроможного високорозвиненого людського капіталу на основі ефективної системи освіти</w:t>
      </w:r>
      <w:r>
        <w:rPr>
          <w:rFonts w:ascii="Times New Roman" w:hAnsi="Times New Roman" w:cs="Times New Roman"/>
          <w:sz w:val="21"/>
          <w:szCs w:val="21"/>
        </w:rPr>
        <w:t>,</w:t>
      </w:r>
      <w:r w:rsidRPr="008417EA">
        <w:rPr>
          <w:rFonts w:ascii="Times New Roman" w:hAnsi="Times New Roman" w:cs="Times New Roman"/>
          <w:sz w:val="21"/>
          <w:szCs w:val="21"/>
        </w:rPr>
        <w:t xml:space="preserve"> орієнтованої на використання ІКТ. З метою забезпечення конкурентних переваг та прибутковості суб’єкти господарювання переходять від стандартних рішень до технологічних інновацій на основі створення та розвитку науково-дослідних інститутів (НДІ) та венчурних фондів, що сприяє диверсифікації у бік високотехнологічних сегментів ринку, що швидко розвиваються в умовах інформаційного суспільства, активній патентно-ліцензійній політиці, посиленню ролі людського капіталу і особливого його інтелектуальної складової, необхідності законодавчого врегулювання та посилення захисту інтелектуальної власності, авторських та суміжних прав.</w:t>
      </w:r>
    </w:p>
    <w:p w:rsidR="00B233DE" w:rsidRPr="008417EA" w:rsidRDefault="00B233DE" w:rsidP="00B233DE">
      <w:pPr>
        <w:autoSpaceDE w:val="0"/>
        <w:autoSpaceDN w:val="0"/>
        <w:adjustRightInd w:val="0"/>
        <w:ind w:firstLine="709"/>
        <w:jc w:val="both"/>
        <w:rPr>
          <w:rFonts w:ascii="Times New Roman" w:hAnsi="Times New Roman" w:cs="Times New Roman"/>
          <w:sz w:val="21"/>
          <w:szCs w:val="21"/>
        </w:rPr>
      </w:pPr>
      <w:r w:rsidRPr="008417EA">
        <w:rPr>
          <w:rFonts w:ascii="Times New Roman" w:hAnsi="Times New Roman" w:cs="Times New Roman"/>
          <w:sz w:val="21"/>
          <w:szCs w:val="21"/>
        </w:rPr>
        <w:t>Наступним елементом формування інфраструктури розвитку людського капіталу виступає впровадження трирівненої системи фінансування медицини на основі внесків за непрацююче населення (пенсіонерів, неповнолітніх, непрацюючих) державою у вигляді відрахувань з бюджету та внесків суб’єктів господарювання за своїх працівників, приватних підприємців за себе та найманих працівників до фонду загальнообов’язкового державного соціального медичного страхування; добровільного приватного страхування. Реформування охорони здоров’я передбачає розмежування первинного, вторинного та третинного рівнів надання медичної допомоги, розвитку на їх основі сімейної медицини та високоспеціалізованої медичної допомоги, що забезпечить орієнтацію на профілактику, а не на лікування, а отже сприятиме ефективнішому використанню людського капіталу.</w:t>
      </w:r>
    </w:p>
    <w:p w:rsidR="00B233DE" w:rsidRPr="008417EA" w:rsidRDefault="00B233DE" w:rsidP="00B233DE">
      <w:pPr>
        <w:autoSpaceDE w:val="0"/>
        <w:autoSpaceDN w:val="0"/>
        <w:adjustRightInd w:val="0"/>
        <w:ind w:firstLine="709"/>
        <w:jc w:val="both"/>
        <w:rPr>
          <w:rFonts w:ascii="Times New Roman" w:hAnsi="Times New Roman" w:cs="Times New Roman"/>
          <w:sz w:val="21"/>
          <w:szCs w:val="21"/>
        </w:rPr>
      </w:pPr>
      <w:r w:rsidRPr="008417EA">
        <w:rPr>
          <w:rFonts w:ascii="Times New Roman" w:hAnsi="Times New Roman" w:cs="Times New Roman"/>
          <w:sz w:val="21"/>
          <w:szCs w:val="21"/>
        </w:rPr>
        <w:t xml:space="preserve">Трансформація інституційної системи та розбудова інфраструктури інвестиційного відтворення людського капіталу приводить до третього етапу – реалізації регуляторно-управлінських заходів та інструментів інвестування людського капіталу на основі системи формування людського капіталу інформаційного суспільства на інвестиційній основі, основними складовими елементами якої є джерела, інструменти та об’єкти інвестицій, важелі регулювання. Джерелами інвестицій формування людського капіталу інформаційного суспільства виступають фінансові ресурси держави, суб’єктів господарювання, домогосподарств, накопичувальних, недержавних пенсійних, </w:t>
      </w:r>
      <w:r w:rsidRPr="008417EA">
        <w:rPr>
          <w:rFonts w:ascii="Times New Roman" w:hAnsi="Times New Roman" w:cs="Times New Roman"/>
          <w:sz w:val="21"/>
          <w:szCs w:val="21"/>
        </w:rPr>
        <w:lastRenderedPageBreak/>
        <w:t>венчурних фондів, страхових організацій, фінансово-кредитних установ, ректурингових, лізингових та аутсорсингових компаній. Інвестиційними інструментами нагромадження та відтворення людського капіталу в умовах інформаційного суспільства повинні стати державні гранти та іменні фінансові зобов’язання, освітні векселі, облігації, кредити, страхові поліси, договори на підготовку спеціалістів від організацій, накопичувальні рахунки, лізинг, аутсорсинг, рекрутинг людського капіталу, продаж активу «людський капітал». Розширення бази інвестиційних інструментів забезпечить доступ населення до фінансових засобів і їх використання для розвитку і примноження індивідуального людського капіталу, суб’єктам господарювання – можливість отримати високоосвічений, креативний, інформаційно-мобільний людський актив, державі – зростання соціальної мобільності, економічного розвитку та підвищення конкурентоспроможності. Очевидно, що об’єктами інвестування повинні бути складові, які забезпечують створення високої вартості людського капіталу, тобто, виховання, освіта, професійна підготовка, охорона здоров’я, мотивація, мобільність, наукові дослідження, винахідництво та раціоналізаторство, гуманітарний та культурний розвиток. Важелі системи формування людського капіталу інформаційного суспільства на інвестиційний основі включають форми і засоби, що регулюють рух інвестиційних ресурсів, зокрема умови здійснення інвестиційної діяльності визначають коло суб’єктів, що можуть здійснювати діяльність з надання необхідних коштів з метою розвитку, нагромадження та відтворення людського капіталу; важіль нормативи держфінансування передбачає обсяги державних інвестицій у систему відтворення людського капіталу; важіль умови оподаткування передбачає створення податкових стимулів з метою забезпечення розвитку інвестиційного відтворення людського капіталу; важіль інфраструктурні вимоги означає необхідність їх відповідності викликам інформаційного суспільства, що вимагає зростання інвестицій у створення відповідної інфраструктури системи відтворення та розвитку людського капіталу; важіль маркетингові заходи передбачає проведення суб’єктами ринкової інфраструктури та суб’єктами системи відтворення людського капіталу агітаційної та інформаційної політики з метою популяризації власних послуг та залучення більшої кількості інвестиційних ресурсів.</w:t>
      </w:r>
    </w:p>
    <w:p w:rsidR="00B233DE" w:rsidRPr="008417EA" w:rsidRDefault="00B233DE" w:rsidP="00B233DE">
      <w:pPr>
        <w:autoSpaceDE w:val="0"/>
        <w:autoSpaceDN w:val="0"/>
        <w:adjustRightInd w:val="0"/>
        <w:ind w:firstLine="709"/>
        <w:jc w:val="both"/>
        <w:rPr>
          <w:rFonts w:ascii="Times New Roman" w:hAnsi="Times New Roman" w:cs="Times New Roman"/>
          <w:sz w:val="21"/>
          <w:szCs w:val="21"/>
        </w:rPr>
      </w:pPr>
      <w:r w:rsidRPr="008417EA">
        <w:rPr>
          <w:rFonts w:ascii="Times New Roman" w:hAnsi="Times New Roman" w:cs="Times New Roman"/>
          <w:sz w:val="21"/>
          <w:szCs w:val="21"/>
        </w:rPr>
        <w:lastRenderedPageBreak/>
        <w:t xml:space="preserve">Необхідно зазначити, що система формування людського капіталу інформаційного суспільства на інвестиційній основі повинна враховувати та дотримуватись ключових етапів інвестиційного процесу та здійснювати управління ризиками. Результатом ефективної реалізації та впровадження елементів підсистем механізму є досягнення результату – створення високорозвиненого людського капіталу інформаційного суспільства. </w:t>
      </w:r>
    </w:p>
    <w:p w:rsidR="00B233DE" w:rsidRPr="008417EA" w:rsidRDefault="00B233DE" w:rsidP="00B233DE">
      <w:pPr>
        <w:autoSpaceDE w:val="0"/>
        <w:autoSpaceDN w:val="0"/>
        <w:adjustRightInd w:val="0"/>
        <w:ind w:firstLine="709"/>
        <w:jc w:val="both"/>
        <w:rPr>
          <w:rFonts w:ascii="Times New Roman" w:hAnsi="Times New Roman" w:cs="Times New Roman"/>
          <w:sz w:val="21"/>
          <w:szCs w:val="21"/>
        </w:rPr>
      </w:pPr>
      <w:r w:rsidRPr="008417EA">
        <w:rPr>
          <w:rFonts w:ascii="Times New Roman" w:hAnsi="Times New Roman" w:cs="Times New Roman"/>
          <w:sz w:val="21"/>
          <w:szCs w:val="21"/>
        </w:rPr>
        <w:t>Формування інвестиційного сектору розвитку людського капіталу забезпечує відхід від рудиментарний понять трудових ресурсів та персоналу, в результаті обґрунтування інвестиційної основи його формування та ключової ролі у інформаційному суспільстві. Водночас, з метою забезпечення ефективності управління необхідно здійснити обґрунтування основних регуляторних інструментів інвестиційного управління людським капіталом з врахуванням чинників розвитку інформаційного суспільства.</w:t>
      </w:r>
    </w:p>
    <w:p w:rsidR="00B233DE" w:rsidRPr="00F9695A" w:rsidRDefault="00B233DE" w:rsidP="00B233DE">
      <w:pPr>
        <w:widowControl w:val="0"/>
        <w:spacing w:line="233" w:lineRule="auto"/>
        <w:contextualSpacing/>
        <w:jc w:val="both"/>
        <w:rPr>
          <w:rFonts w:ascii="Times New Roman" w:hAnsi="Times New Roman" w:cs="Times New Roman"/>
          <w:sz w:val="21"/>
          <w:szCs w:val="21"/>
        </w:rPr>
      </w:pPr>
    </w:p>
    <w:p w:rsidR="00B233DE" w:rsidRPr="00F9695A" w:rsidRDefault="00B233DE" w:rsidP="00B233DE">
      <w:pPr>
        <w:widowControl w:val="0"/>
        <w:spacing w:line="233" w:lineRule="auto"/>
        <w:contextualSpacing/>
        <w:jc w:val="both"/>
        <w:rPr>
          <w:rFonts w:ascii="Times New Roman" w:hAnsi="Times New Roman" w:cs="Times New Roman"/>
          <w:sz w:val="21"/>
          <w:szCs w:val="21"/>
        </w:rPr>
      </w:pPr>
    </w:p>
    <w:p w:rsidR="00B233DE" w:rsidRDefault="00B233DE" w:rsidP="00B233DE">
      <w:pPr>
        <w:widowControl w:val="0"/>
        <w:spacing w:line="233" w:lineRule="auto"/>
        <w:ind w:firstLine="0"/>
        <w:contextualSpacing/>
        <w:jc w:val="center"/>
        <w:rPr>
          <w:rFonts w:ascii="UkrainianPeterburg" w:hAnsi="UkrainianPeterburg"/>
          <w:b/>
          <w:sz w:val="21"/>
          <w:szCs w:val="21"/>
        </w:rPr>
      </w:pPr>
      <w:r w:rsidRPr="00EA63EC">
        <w:rPr>
          <w:rFonts w:ascii="UkrainianPeterburg" w:hAnsi="UkrainianPeterburg"/>
          <w:b/>
          <w:sz w:val="21"/>
          <w:szCs w:val="21"/>
        </w:rPr>
        <w:t>Список використаних джерел</w:t>
      </w: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34" w:name="_Ref433977618"/>
      <w:r w:rsidRPr="005A2094">
        <w:rPr>
          <w:rFonts w:ascii="Times New Roman" w:hAnsi="Times New Roman" w:cs="Times New Roman"/>
          <w:spacing w:val="-6"/>
          <w:sz w:val="21"/>
          <w:szCs w:val="21"/>
        </w:rPr>
        <w:t>Азрилиян А. Н. Большой бухгалтерский словарь / А.</w:t>
      </w:r>
      <w:r>
        <w:rPr>
          <w:rFonts w:ascii="Times New Roman" w:hAnsi="Times New Roman" w:cs="Times New Roman"/>
          <w:spacing w:val="-6"/>
          <w:sz w:val="21"/>
          <w:szCs w:val="21"/>
        </w:rPr>
        <w:t> Н. </w:t>
      </w:r>
      <w:r w:rsidRPr="005A2094">
        <w:rPr>
          <w:rFonts w:ascii="Times New Roman" w:hAnsi="Times New Roman" w:cs="Times New Roman"/>
          <w:spacing w:val="-6"/>
          <w:sz w:val="21"/>
          <w:szCs w:val="21"/>
        </w:rPr>
        <w:t>Азрилиян. – М. : Институт новой экономики. – 1999. – 574 с.</w:t>
      </w:r>
      <w:bookmarkEnd w:id="134"/>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35" w:name="_Ref433977512"/>
      <w:r w:rsidRPr="005A2094">
        <w:rPr>
          <w:rFonts w:ascii="Times New Roman" w:hAnsi="Times New Roman" w:cs="Times New Roman"/>
          <w:sz w:val="21"/>
          <w:szCs w:val="21"/>
        </w:rPr>
        <w:t>Активна</w:t>
      </w:r>
      <w:r w:rsidRPr="005A2094">
        <w:rPr>
          <w:rFonts w:ascii="Times New Roman" w:hAnsi="Times New Roman" w:cs="Times New Roman"/>
          <w:b/>
          <w:sz w:val="21"/>
          <w:szCs w:val="21"/>
        </w:rPr>
        <w:t xml:space="preserve"> </w:t>
      </w:r>
      <w:r w:rsidRPr="005A2094">
        <w:rPr>
          <w:rFonts w:ascii="Times New Roman" w:hAnsi="Times New Roman" w:cs="Times New Roman"/>
          <w:sz w:val="21"/>
          <w:szCs w:val="21"/>
        </w:rPr>
        <w:t>політика зайнятості : сучасні виклики та шляхи їх подолання // Ринок праці та зайнятість населення. – 2015. –</w:t>
      </w:r>
      <w:r>
        <w:rPr>
          <w:rFonts w:ascii="Times New Roman" w:hAnsi="Times New Roman" w:cs="Times New Roman"/>
          <w:sz w:val="21"/>
          <w:szCs w:val="21"/>
        </w:rPr>
        <w:t xml:space="preserve"> </w:t>
      </w:r>
      <w:r w:rsidRPr="005A2094">
        <w:rPr>
          <w:rFonts w:ascii="Times New Roman" w:hAnsi="Times New Roman" w:cs="Times New Roman"/>
          <w:sz w:val="21"/>
          <w:szCs w:val="21"/>
        </w:rPr>
        <w:t>№ 1</w:t>
      </w:r>
      <w:r>
        <w:rPr>
          <w:rFonts w:ascii="Times New Roman" w:hAnsi="Times New Roman" w:cs="Times New Roman"/>
          <w:sz w:val="21"/>
          <w:szCs w:val="21"/>
        </w:rPr>
        <w:t xml:space="preserve"> </w:t>
      </w:r>
      <w:r w:rsidRPr="005A2094">
        <w:rPr>
          <w:rFonts w:ascii="Times New Roman" w:hAnsi="Times New Roman" w:cs="Times New Roman"/>
          <w:sz w:val="21"/>
          <w:szCs w:val="21"/>
        </w:rPr>
        <w:t>(42). – С. 3.</w:t>
      </w:r>
      <w:bookmarkEnd w:id="135"/>
    </w:p>
    <w:p w:rsidR="00B233DE" w:rsidRPr="00306BD7"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36" w:name="_Ref433977568"/>
      <w:r w:rsidRPr="005A2094">
        <w:rPr>
          <w:rFonts w:ascii="Times New Roman" w:hAnsi="Times New Roman" w:cs="Times New Roman"/>
          <w:spacing w:val="-6"/>
          <w:sz w:val="21"/>
          <w:szCs w:val="21"/>
        </w:rPr>
        <w:t>Антонюк В. П. Формування та використання людського капіталу в Україні</w:t>
      </w:r>
      <w:r>
        <w:rPr>
          <w:rFonts w:ascii="Times New Roman" w:hAnsi="Times New Roman" w:cs="Times New Roman"/>
          <w:spacing w:val="-6"/>
          <w:sz w:val="21"/>
          <w:szCs w:val="21"/>
        </w:rPr>
        <w:t xml:space="preserve"> </w:t>
      </w:r>
      <w:r w:rsidRPr="005A2094">
        <w:rPr>
          <w:rFonts w:ascii="Times New Roman" w:hAnsi="Times New Roman" w:cs="Times New Roman"/>
          <w:spacing w:val="-6"/>
          <w:sz w:val="21"/>
          <w:szCs w:val="21"/>
        </w:rPr>
        <w:t xml:space="preserve">: соціально-економічна оцінка та забезпечення розвитку / В. П. Антонюк. – Донецьк : </w:t>
      </w:r>
      <w:r w:rsidRPr="005A2094">
        <w:rPr>
          <w:rFonts w:ascii="Times New Roman" w:hAnsi="Times New Roman" w:cs="Times New Roman"/>
          <w:color w:val="333333"/>
          <w:sz w:val="21"/>
          <w:szCs w:val="21"/>
          <w:shd w:val="clear" w:color="auto" w:fill="FFFFFF"/>
        </w:rPr>
        <w:t>ІЕП,</w:t>
      </w:r>
      <w:r w:rsidRPr="005A2094">
        <w:rPr>
          <w:rFonts w:ascii="Times New Roman" w:hAnsi="Times New Roman" w:cs="Times New Roman"/>
          <w:spacing w:val="-6"/>
          <w:sz w:val="21"/>
          <w:szCs w:val="21"/>
        </w:rPr>
        <w:t xml:space="preserve"> 2007. – 348 с.</w:t>
      </w:r>
      <w:bookmarkEnd w:id="136"/>
    </w:p>
    <w:p w:rsidR="00B233DE" w:rsidRPr="007B704A"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37" w:name="_Ref435784281"/>
      <w:r>
        <w:rPr>
          <w:rFonts w:ascii="Times New Roman" w:hAnsi="Times New Roman" w:cs="Times New Roman"/>
          <w:sz w:val="21"/>
          <w:szCs w:val="21"/>
        </w:rPr>
        <w:t xml:space="preserve">Арсеенко А. Г. </w:t>
      </w:r>
      <w:r w:rsidRPr="00AB5FD8">
        <w:rPr>
          <w:rFonts w:ascii="Times New Roman" w:hAnsi="Times New Roman" w:cs="Times New Roman"/>
          <w:sz w:val="21"/>
          <w:szCs w:val="21"/>
        </w:rPr>
        <w:t>Украинское общество</w:t>
      </w:r>
      <w:r>
        <w:rPr>
          <w:rFonts w:ascii="Times New Roman" w:hAnsi="Times New Roman" w:cs="Times New Roman"/>
          <w:sz w:val="21"/>
          <w:szCs w:val="21"/>
        </w:rPr>
        <w:t xml:space="preserve"> </w:t>
      </w:r>
      <w:r w:rsidRPr="00AB5FD8">
        <w:rPr>
          <w:rFonts w:ascii="Times New Roman" w:hAnsi="Times New Roman" w:cs="Times New Roman"/>
          <w:sz w:val="21"/>
          <w:szCs w:val="21"/>
        </w:rPr>
        <w:t>: страх</w:t>
      </w:r>
      <w:r>
        <w:rPr>
          <w:rFonts w:ascii="Times New Roman" w:hAnsi="Times New Roman" w:cs="Times New Roman"/>
          <w:sz w:val="21"/>
          <w:szCs w:val="21"/>
        </w:rPr>
        <w:t>и и надежды : м</w:t>
      </w:r>
      <w:r w:rsidRPr="00AB5FD8">
        <w:rPr>
          <w:rFonts w:ascii="Times New Roman" w:hAnsi="Times New Roman" w:cs="Times New Roman"/>
          <w:sz w:val="21"/>
          <w:szCs w:val="21"/>
        </w:rPr>
        <w:t>ате</w:t>
      </w:r>
      <w:r>
        <w:rPr>
          <w:rFonts w:ascii="Times New Roman" w:hAnsi="Times New Roman" w:cs="Times New Roman"/>
          <w:sz w:val="21"/>
          <w:szCs w:val="21"/>
        </w:rPr>
        <w:t xml:space="preserve">ріали відео прес-конференції [Електронний ресурс] / А. Г. Арсеенко, В. А. </w:t>
      </w:r>
      <w:r w:rsidRPr="00AB5FD8">
        <w:rPr>
          <w:rFonts w:ascii="Times New Roman" w:hAnsi="Times New Roman" w:cs="Times New Roman"/>
          <w:sz w:val="21"/>
          <w:szCs w:val="21"/>
        </w:rPr>
        <w:t>Буткалюк (18.09.2014)</w:t>
      </w:r>
      <w:r>
        <w:rPr>
          <w:rFonts w:ascii="Times New Roman" w:hAnsi="Times New Roman" w:cs="Times New Roman"/>
          <w:sz w:val="21"/>
          <w:szCs w:val="21"/>
        </w:rPr>
        <w:t xml:space="preserve">. – Режим доступу : </w:t>
      </w:r>
      <w:r w:rsidRPr="00AB5FD8">
        <w:rPr>
          <w:rFonts w:ascii="Times New Roman" w:hAnsi="Times New Roman" w:cs="Times New Roman"/>
          <w:sz w:val="21"/>
          <w:szCs w:val="21"/>
        </w:rPr>
        <w:t>i-soc.com.ua.</w:t>
      </w:r>
      <w:bookmarkEnd w:id="137"/>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38" w:name="_Ref435784338"/>
      <w:r w:rsidRPr="00AB5FD8">
        <w:rPr>
          <w:rFonts w:ascii="Times New Roman" w:hAnsi="Times New Roman" w:cs="Times New Roman"/>
          <w:sz w:val="21"/>
          <w:szCs w:val="21"/>
        </w:rPr>
        <w:t>Баланда А. Л. Неформальна зайнятість як новітній фактор розвитку національного ринку праці України / А. Л. Баланда ; НАН України, Рада по вивч. продукт. сил України. – К., 2001. – 112 с.</w:t>
      </w:r>
      <w:bookmarkEnd w:id="138"/>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39" w:name="_Ref433976958"/>
      <w:r w:rsidRPr="005A2094">
        <w:rPr>
          <w:rFonts w:ascii="Times New Roman" w:hAnsi="Times New Roman" w:cs="Times New Roman"/>
          <w:sz w:val="21"/>
          <w:szCs w:val="21"/>
        </w:rPr>
        <w:lastRenderedPageBreak/>
        <w:t>Бараник З. П. Функціонування ринку праці : статистична оцінка : монографія / З. П. Бараник. – К. : КНЕУ, 2007. – 392 с.</w:t>
      </w:r>
      <w:bookmarkEnd w:id="139"/>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40" w:name="_Ref433976742"/>
      <w:r w:rsidRPr="005A2094">
        <w:rPr>
          <w:rFonts w:ascii="Times New Roman" w:hAnsi="Times New Roman" w:cs="Times New Roman"/>
          <w:sz w:val="21"/>
          <w:szCs w:val="21"/>
        </w:rPr>
        <w:t>Бєлєнький П. Ю. Інфраструктура ринку праці (глобалізаційні та регіональні ас</w:t>
      </w:r>
      <w:r>
        <w:rPr>
          <w:rFonts w:ascii="Times New Roman" w:hAnsi="Times New Roman" w:cs="Times New Roman"/>
          <w:sz w:val="21"/>
          <w:szCs w:val="21"/>
        </w:rPr>
        <w:t>пекти) / П. Ю. Бєлєнький, В. Б. Люткевич</w:t>
      </w:r>
      <w:r w:rsidRPr="005A2094">
        <w:rPr>
          <w:rFonts w:ascii="Times New Roman" w:hAnsi="Times New Roman" w:cs="Times New Roman"/>
          <w:sz w:val="21"/>
          <w:szCs w:val="21"/>
        </w:rPr>
        <w:t>. – Л., 2004. – 121 с.</w:t>
      </w:r>
      <w:bookmarkEnd w:id="140"/>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41" w:name="_Ref433976700"/>
      <w:r w:rsidRPr="005A2094">
        <w:rPr>
          <w:rFonts w:ascii="Times New Roman" w:hAnsi="Times New Roman" w:cs="Times New Roman"/>
          <w:sz w:val="21"/>
          <w:szCs w:val="21"/>
        </w:rPr>
        <w:t xml:space="preserve">Біляцький С. Соціальне партнерство у розв’язанні проблем зайнятості (приклад ЄС для України) / </w:t>
      </w:r>
      <w:r>
        <w:rPr>
          <w:rFonts w:ascii="Times New Roman" w:hAnsi="Times New Roman" w:cs="Times New Roman"/>
          <w:sz w:val="21"/>
          <w:szCs w:val="21"/>
        </w:rPr>
        <w:t>С. Біляцький</w:t>
      </w:r>
      <w:r w:rsidRPr="005A2094">
        <w:rPr>
          <w:rFonts w:ascii="Times New Roman" w:hAnsi="Times New Roman" w:cs="Times New Roman"/>
          <w:sz w:val="21"/>
          <w:szCs w:val="21"/>
        </w:rPr>
        <w:t xml:space="preserve">, </w:t>
      </w:r>
      <w:r>
        <w:rPr>
          <w:rFonts w:ascii="Times New Roman" w:hAnsi="Times New Roman" w:cs="Times New Roman"/>
          <w:sz w:val="21"/>
          <w:szCs w:val="21"/>
        </w:rPr>
        <w:t>А. Хахлюк</w:t>
      </w:r>
      <w:r w:rsidRPr="005A2094">
        <w:rPr>
          <w:rFonts w:ascii="Times New Roman" w:hAnsi="Times New Roman" w:cs="Times New Roman"/>
          <w:sz w:val="21"/>
          <w:szCs w:val="21"/>
        </w:rPr>
        <w:t xml:space="preserve">, </w:t>
      </w:r>
      <w:r>
        <w:rPr>
          <w:rFonts w:ascii="Times New Roman" w:hAnsi="Times New Roman" w:cs="Times New Roman"/>
          <w:sz w:val="21"/>
          <w:szCs w:val="21"/>
        </w:rPr>
        <w:t xml:space="preserve">Т. Мірошниченко </w:t>
      </w:r>
      <w:r w:rsidRPr="005A2094">
        <w:rPr>
          <w:rFonts w:ascii="Times New Roman" w:hAnsi="Times New Roman" w:cs="Times New Roman"/>
          <w:sz w:val="21"/>
          <w:szCs w:val="21"/>
        </w:rPr>
        <w:t xml:space="preserve">// </w:t>
      </w:r>
      <w:r>
        <w:rPr>
          <w:rFonts w:ascii="Times New Roman" w:hAnsi="Times New Roman" w:cs="Times New Roman"/>
          <w:sz w:val="21"/>
          <w:szCs w:val="21"/>
        </w:rPr>
        <w:t xml:space="preserve">Україна </w:t>
      </w:r>
      <w:r w:rsidRPr="005A2094">
        <w:rPr>
          <w:rFonts w:ascii="Times New Roman" w:hAnsi="Times New Roman" w:cs="Times New Roman"/>
          <w:sz w:val="21"/>
          <w:szCs w:val="21"/>
        </w:rPr>
        <w:t>: аспекти праці.</w:t>
      </w:r>
      <w:r>
        <w:rPr>
          <w:rFonts w:ascii="Times New Roman" w:hAnsi="Times New Roman" w:cs="Times New Roman"/>
          <w:sz w:val="21"/>
          <w:szCs w:val="21"/>
        </w:rPr>
        <w:t xml:space="preserve"> –</w:t>
      </w:r>
      <w:r w:rsidRPr="005A2094">
        <w:rPr>
          <w:rFonts w:ascii="Times New Roman" w:hAnsi="Times New Roman" w:cs="Times New Roman"/>
          <w:sz w:val="21"/>
          <w:szCs w:val="21"/>
        </w:rPr>
        <w:t xml:space="preserve"> 2003. – № 3. – С. 44</w:t>
      </w:r>
      <w:r>
        <w:rPr>
          <w:rFonts w:ascii="Times New Roman" w:hAnsi="Times New Roman" w:cs="Times New Roman"/>
          <w:sz w:val="21"/>
          <w:szCs w:val="21"/>
        </w:rPr>
        <w:t>–</w:t>
      </w:r>
      <w:r w:rsidRPr="005A2094">
        <w:rPr>
          <w:rFonts w:ascii="Times New Roman" w:hAnsi="Times New Roman" w:cs="Times New Roman"/>
          <w:sz w:val="21"/>
          <w:szCs w:val="21"/>
        </w:rPr>
        <w:t>49.</w:t>
      </w:r>
      <w:bookmarkEnd w:id="141"/>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42" w:name="_Ref433977659"/>
      <w:r w:rsidRPr="005A2094">
        <w:rPr>
          <w:rFonts w:ascii="Times New Roman" w:hAnsi="Times New Roman" w:cs="Times New Roman"/>
          <w:spacing w:val="-6"/>
          <w:sz w:val="21"/>
          <w:szCs w:val="21"/>
        </w:rPr>
        <w:t>Бланк И. А. Инвестиционный ме</w:t>
      </w:r>
      <w:r>
        <w:rPr>
          <w:rFonts w:ascii="Times New Roman" w:hAnsi="Times New Roman" w:cs="Times New Roman"/>
          <w:spacing w:val="-6"/>
          <w:sz w:val="21"/>
          <w:szCs w:val="21"/>
        </w:rPr>
        <w:t xml:space="preserve">неджмент : учебный курс / И. А. </w:t>
      </w:r>
      <w:r w:rsidRPr="005A2094">
        <w:rPr>
          <w:rFonts w:ascii="Times New Roman" w:hAnsi="Times New Roman" w:cs="Times New Roman"/>
          <w:spacing w:val="-6"/>
          <w:sz w:val="21"/>
          <w:szCs w:val="21"/>
        </w:rPr>
        <w:t>Бланк. – К. : Эльга-Н, Ника-Центр, 2001. – 448 с.</w:t>
      </w:r>
      <w:bookmarkEnd w:id="142"/>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43" w:name="_Ref433976801"/>
      <w:r w:rsidRPr="005A2094">
        <w:rPr>
          <w:rFonts w:ascii="Times New Roman" w:hAnsi="Times New Roman" w:cs="Times New Roman"/>
          <w:sz w:val="21"/>
          <w:szCs w:val="21"/>
        </w:rPr>
        <w:t>Богиня Д.</w:t>
      </w:r>
      <w:r>
        <w:rPr>
          <w:rFonts w:ascii="Times New Roman" w:hAnsi="Times New Roman" w:cs="Times New Roman"/>
          <w:sz w:val="21"/>
          <w:szCs w:val="21"/>
        </w:rPr>
        <w:t xml:space="preserve"> П</w:t>
      </w:r>
      <w:r w:rsidRPr="005A2094">
        <w:rPr>
          <w:rFonts w:ascii="Times New Roman" w:hAnsi="Times New Roman" w:cs="Times New Roman"/>
          <w:sz w:val="21"/>
          <w:szCs w:val="21"/>
        </w:rPr>
        <w:t>. Основи економіки праці</w:t>
      </w:r>
      <w:r>
        <w:rPr>
          <w:rFonts w:ascii="Times New Roman" w:hAnsi="Times New Roman" w:cs="Times New Roman"/>
          <w:sz w:val="21"/>
          <w:szCs w:val="21"/>
        </w:rPr>
        <w:t xml:space="preserve"> : н</w:t>
      </w:r>
      <w:r w:rsidRPr="005A2094">
        <w:rPr>
          <w:rFonts w:ascii="Times New Roman" w:hAnsi="Times New Roman" w:cs="Times New Roman"/>
          <w:sz w:val="21"/>
          <w:szCs w:val="21"/>
        </w:rPr>
        <w:t>авч. посібник</w:t>
      </w:r>
      <w:r>
        <w:rPr>
          <w:rFonts w:ascii="Times New Roman" w:hAnsi="Times New Roman" w:cs="Times New Roman"/>
          <w:sz w:val="21"/>
          <w:szCs w:val="21"/>
        </w:rPr>
        <w:t xml:space="preserve"> / Д. П. Богиня, О. А. Грішнова</w:t>
      </w:r>
      <w:r w:rsidRPr="005A2094">
        <w:rPr>
          <w:rFonts w:ascii="Times New Roman" w:hAnsi="Times New Roman" w:cs="Times New Roman"/>
          <w:sz w:val="21"/>
          <w:szCs w:val="21"/>
        </w:rPr>
        <w:t>. – 2-ге вид. – К.</w:t>
      </w:r>
      <w:r>
        <w:rPr>
          <w:rFonts w:ascii="Times New Roman" w:hAnsi="Times New Roman" w:cs="Times New Roman"/>
          <w:sz w:val="21"/>
          <w:szCs w:val="21"/>
        </w:rPr>
        <w:t xml:space="preserve"> </w:t>
      </w:r>
      <w:r w:rsidRPr="005A2094">
        <w:rPr>
          <w:rFonts w:ascii="Times New Roman" w:hAnsi="Times New Roman" w:cs="Times New Roman"/>
          <w:sz w:val="21"/>
          <w:szCs w:val="21"/>
        </w:rPr>
        <w:t>: Знання-Прес, 2001. – 313 с.</w:t>
      </w:r>
      <w:bookmarkEnd w:id="143"/>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44" w:name="_Ref433977162"/>
      <w:r w:rsidRPr="005A2094">
        <w:rPr>
          <w:rFonts w:ascii="Times New Roman" w:hAnsi="Times New Roman" w:cs="Times New Roman"/>
          <w:spacing w:val="-4"/>
          <w:sz w:val="21"/>
          <w:szCs w:val="21"/>
        </w:rPr>
        <w:t>Богиня Д. П. Трансформаційні процеси в системі формування національного</w:t>
      </w:r>
      <w:r w:rsidRPr="005A2094">
        <w:rPr>
          <w:rFonts w:ascii="Times New Roman" w:hAnsi="Times New Roman" w:cs="Times New Roman"/>
          <w:sz w:val="21"/>
          <w:szCs w:val="21"/>
        </w:rPr>
        <w:t xml:space="preserve"> ринку праці</w:t>
      </w:r>
      <w:r>
        <w:rPr>
          <w:rFonts w:ascii="Times New Roman" w:hAnsi="Times New Roman" w:cs="Times New Roman"/>
          <w:sz w:val="21"/>
          <w:szCs w:val="21"/>
        </w:rPr>
        <w:t xml:space="preserve"> : інституційний аспект / Д. </w:t>
      </w:r>
      <w:r w:rsidRPr="005A2094">
        <w:rPr>
          <w:rFonts w:ascii="Times New Roman" w:hAnsi="Times New Roman" w:cs="Times New Roman"/>
          <w:sz w:val="21"/>
          <w:szCs w:val="21"/>
        </w:rPr>
        <w:t xml:space="preserve">П. Богиня // </w:t>
      </w:r>
      <w:r>
        <w:rPr>
          <w:rFonts w:ascii="Times New Roman" w:hAnsi="Times New Roman" w:cs="Times New Roman"/>
          <w:sz w:val="21"/>
          <w:szCs w:val="21"/>
        </w:rPr>
        <w:t xml:space="preserve">Україна </w:t>
      </w:r>
      <w:r w:rsidRPr="005A2094">
        <w:rPr>
          <w:rFonts w:ascii="Times New Roman" w:hAnsi="Times New Roman" w:cs="Times New Roman"/>
          <w:sz w:val="21"/>
          <w:szCs w:val="21"/>
        </w:rPr>
        <w:t>: аспекти праці. – 2005. – № 1. – С. 3–9.</w:t>
      </w:r>
      <w:bookmarkEnd w:id="144"/>
    </w:p>
    <w:p w:rsidR="00B233DE" w:rsidRPr="00306BD7"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45" w:name="_Ref435784103"/>
      <w:bookmarkStart w:id="146" w:name="_Ref433977701"/>
      <w:r w:rsidRPr="00AB5FD8">
        <w:rPr>
          <w:rFonts w:ascii="Times New Roman" w:hAnsi="Times New Roman" w:cs="Times New Roman"/>
          <w:sz w:val="21"/>
          <w:szCs w:val="21"/>
        </w:rPr>
        <w:t xml:space="preserve">Боголиб Т. М. </w:t>
      </w:r>
      <w:r>
        <w:rPr>
          <w:rFonts w:ascii="Times New Roman" w:hAnsi="Times New Roman" w:cs="Times New Roman"/>
          <w:sz w:val="21"/>
          <w:szCs w:val="21"/>
        </w:rPr>
        <w:t>М</w:t>
      </w:r>
      <w:r w:rsidRPr="00AB5FD8">
        <w:rPr>
          <w:rFonts w:ascii="Times New Roman" w:hAnsi="Times New Roman" w:cs="Times New Roman"/>
          <w:sz w:val="21"/>
          <w:szCs w:val="21"/>
        </w:rPr>
        <w:t>еханизм государственного регулирования институциональ</w:t>
      </w:r>
      <w:r>
        <w:rPr>
          <w:rFonts w:ascii="Times New Roman" w:hAnsi="Times New Roman" w:cs="Times New Roman"/>
          <w:sz w:val="21"/>
          <w:szCs w:val="21"/>
        </w:rPr>
        <w:t>ных изменений на рынке труда в У</w:t>
      </w:r>
      <w:r w:rsidRPr="00AB5FD8">
        <w:rPr>
          <w:rFonts w:ascii="Times New Roman" w:hAnsi="Times New Roman" w:cs="Times New Roman"/>
          <w:sz w:val="21"/>
          <w:szCs w:val="21"/>
        </w:rPr>
        <w:t xml:space="preserve">краине </w:t>
      </w:r>
      <w:r>
        <w:rPr>
          <w:rFonts w:ascii="Times New Roman" w:hAnsi="Times New Roman" w:cs="Times New Roman"/>
          <w:sz w:val="21"/>
          <w:szCs w:val="21"/>
        </w:rPr>
        <w:t>/ Т. М. Боголиб // Современн</w:t>
      </w:r>
      <w:r>
        <w:rPr>
          <w:rFonts w:ascii="Times New Roman" w:hAnsi="Times New Roman" w:cs="Times New Roman"/>
          <w:sz w:val="21"/>
          <w:szCs w:val="21"/>
          <w:lang w:val="ru-RU"/>
        </w:rPr>
        <w:t>ые исследования социальных проблем</w:t>
      </w:r>
      <w:r>
        <w:rPr>
          <w:rFonts w:ascii="Times New Roman" w:hAnsi="Times New Roman" w:cs="Times New Roman"/>
          <w:sz w:val="21"/>
          <w:szCs w:val="21"/>
        </w:rPr>
        <w:t xml:space="preserve">. – 2012. – </w:t>
      </w:r>
      <w:r w:rsidRPr="00AB5FD8">
        <w:rPr>
          <w:rFonts w:ascii="Times New Roman" w:hAnsi="Times New Roman" w:cs="Times New Roman"/>
          <w:sz w:val="21"/>
          <w:szCs w:val="21"/>
        </w:rPr>
        <w:t>Выпуск</w:t>
      </w:r>
      <w:r>
        <w:rPr>
          <w:rFonts w:ascii="Times New Roman" w:hAnsi="Times New Roman" w:cs="Times New Roman"/>
          <w:sz w:val="21"/>
          <w:szCs w:val="21"/>
        </w:rPr>
        <w:t xml:space="preserve"> № 9 (17). – С. 39–45.</w:t>
      </w:r>
      <w:bookmarkEnd w:id="145"/>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r w:rsidRPr="005A2094">
        <w:rPr>
          <w:rFonts w:ascii="Times New Roman" w:hAnsi="Times New Roman" w:cs="Times New Roman"/>
          <w:spacing w:val="-6"/>
          <w:sz w:val="21"/>
          <w:szCs w:val="21"/>
        </w:rPr>
        <w:t>Борисов А. Б Большой</w:t>
      </w:r>
      <w:r>
        <w:rPr>
          <w:rFonts w:ascii="Times New Roman" w:hAnsi="Times New Roman" w:cs="Times New Roman"/>
          <w:spacing w:val="-6"/>
          <w:sz w:val="21"/>
          <w:szCs w:val="21"/>
        </w:rPr>
        <w:t xml:space="preserve"> экономический словарь. / А. Б. </w:t>
      </w:r>
      <w:r w:rsidRPr="005A2094">
        <w:rPr>
          <w:rFonts w:ascii="Times New Roman" w:hAnsi="Times New Roman" w:cs="Times New Roman"/>
          <w:spacing w:val="-6"/>
          <w:sz w:val="21"/>
          <w:szCs w:val="21"/>
        </w:rPr>
        <w:t>Борисов. – М. : Книжный мир, 2003. – 895 с.</w:t>
      </w:r>
      <w:bookmarkEnd w:id="146"/>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47" w:name="_Ref433976688"/>
      <w:r w:rsidRPr="005A2094">
        <w:rPr>
          <w:rFonts w:ascii="Times New Roman" w:hAnsi="Times New Roman" w:cs="Times New Roman"/>
          <w:sz w:val="21"/>
          <w:szCs w:val="21"/>
        </w:rPr>
        <w:t>Боровик В. Системный кризис в области занятост</w:t>
      </w:r>
      <w:r>
        <w:rPr>
          <w:rFonts w:ascii="Times New Roman" w:hAnsi="Times New Roman" w:cs="Times New Roman"/>
          <w:sz w:val="21"/>
          <w:szCs w:val="21"/>
        </w:rPr>
        <w:t>и</w:t>
      </w:r>
      <w:r w:rsidRPr="005A2094">
        <w:rPr>
          <w:rFonts w:ascii="Times New Roman" w:hAnsi="Times New Roman" w:cs="Times New Roman"/>
          <w:sz w:val="21"/>
          <w:szCs w:val="21"/>
        </w:rPr>
        <w:t xml:space="preserve"> / </w:t>
      </w:r>
      <w:r>
        <w:rPr>
          <w:rFonts w:ascii="Times New Roman" w:hAnsi="Times New Roman" w:cs="Times New Roman"/>
          <w:sz w:val="21"/>
          <w:szCs w:val="21"/>
        </w:rPr>
        <w:t>В. Боровик</w:t>
      </w:r>
      <w:r w:rsidRPr="005A2094">
        <w:rPr>
          <w:rFonts w:ascii="Times New Roman" w:hAnsi="Times New Roman" w:cs="Times New Roman"/>
          <w:sz w:val="21"/>
          <w:szCs w:val="21"/>
        </w:rPr>
        <w:t xml:space="preserve">, </w:t>
      </w:r>
      <w:r>
        <w:rPr>
          <w:rFonts w:ascii="Times New Roman" w:hAnsi="Times New Roman" w:cs="Times New Roman"/>
          <w:sz w:val="21"/>
          <w:szCs w:val="21"/>
        </w:rPr>
        <w:t>Е. Ермакова</w:t>
      </w:r>
      <w:r w:rsidRPr="005A2094">
        <w:rPr>
          <w:rFonts w:ascii="Times New Roman" w:hAnsi="Times New Roman" w:cs="Times New Roman"/>
          <w:sz w:val="21"/>
          <w:szCs w:val="21"/>
        </w:rPr>
        <w:t xml:space="preserve">, </w:t>
      </w:r>
      <w:r>
        <w:rPr>
          <w:rFonts w:ascii="Times New Roman" w:hAnsi="Times New Roman" w:cs="Times New Roman"/>
          <w:sz w:val="21"/>
          <w:szCs w:val="21"/>
        </w:rPr>
        <w:t>В. Похвощев</w:t>
      </w:r>
      <w:r w:rsidRPr="005A2094">
        <w:rPr>
          <w:rFonts w:ascii="Times New Roman" w:hAnsi="Times New Roman" w:cs="Times New Roman"/>
          <w:sz w:val="21"/>
          <w:szCs w:val="21"/>
        </w:rPr>
        <w:t xml:space="preserve"> // Федерализм. – 2002. – № 1. – С. 25</w:t>
      </w:r>
      <w:r>
        <w:rPr>
          <w:rFonts w:ascii="Times New Roman" w:hAnsi="Times New Roman" w:cs="Times New Roman"/>
          <w:sz w:val="21"/>
          <w:szCs w:val="21"/>
        </w:rPr>
        <w:t>–</w:t>
      </w:r>
      <w:r w:rsidRPr="005A2094">
        <w:rPr>
          <w:rFonts w:ascii="Times New Roman" w:hAnsi="Times New Roman" w:cs="Times New Roman"/>
          <w:sz w:val="21"/>
          <w:szCs w:val="21"/>
        </w:rPr>
        <w:t>46.</w:t>
      </w:r>
      <w:bookmarkEnd w:id="147"/>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48" w:name="_Ref433977580"/>
      <w:r w:rsidRPr="005A2094">
        <w:rPr>
          <w:rFonts w:ascii="Times New Roman" w:eastAsia="Arial-ItalicMT" w:hAnsi="Times New Roman" w:cs="Times New Roman"/>
          <w:iCs/>
          <w:spacing w:val="-6"/>
          <w:sz w:val="21"/>
          <w:szCs w:val="21"/>
        </w:rPr>
        <w:t>Бородіна О</w:t>
      </w:r>
      <w:r w:rsidRPr="005A2094">
        <w:rPr>
          <w:rFonts w:ascii="Times New Roman" w:eastAsia="Arial-ItalicMT" w:hAnsi="Times New Roman" w:cs="Times New Roman"/>
          <w:spacing w:val="-6"/>
          <w:sz w:val="21"/>
          <w:szCs w:val="21"/>
        </w:rPr>
        <w:t>. Людський капітал як основне джерело економічного зростання / О. Бородіна // Економіка України. – 2003. – № 7. – С. 48</w:t>
      </w:r>
      <w:r>
        <w:rPr>
          <w:rFonts w:ascii="Times New Roman" w:eastAsia="Arial-ItalicMT" w:hAnsi="Times New Roman" w:cs="Times New Roman"/>
          <w:spacing w:val="-6"/>
          <w:sz w:val="21"/>
          <w:szCs w:val="21"/>
        </w:rPr>
        <w:t>–</w:t>
      </w:r>
      <w:r w:rsidRPr="005A2094">
        <w:rPr>
          <w:rFonts w:ascii="Times New Roman" w:eastAsia="Arial-ItalicMT" w:hAnsi="Times New Roman" w:cs="Times New Roman"/>
          <w:spacing w:val="-6"/>
          <w:sz w:val="21"/>
          <w:szCs w:val="21"/>
        </w:rPr>
        <w:t>53.</w:t>
      </w:r>
      <w:bookmarkEnd w:id="148"/>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49" w:name="_Ref433976629"/>
      <w:r w:rsidRPr="005A2094">
        <w:rPr>
          <w:rFonts w:ascii="Times New Roman" w:hAnsi="Times New Roman" w:cs="Times New Roman"/>
          <w:sz w:val="21"/>
          <w:szCs w:val="21"/>
        </w:rPr>
        <w:t>Брич В.</w:t>
      </w:r>
      <w:r>
        <w:rPr>
          <w:rFonts w:ascii="Times New Roman" w:hAnsi="Times New Roman" w:cs="Times New Roman"/>
          <w:sz w:val="21"/>
          <w:szCs w:val="21"/>
        </w:rPr>
        <w:t xml:space="preserve"> </w:t>
      </w:r>
      <w:r w:rsidRPr="005A2094">
        <w:rPr>
          <w:rFonts w:ascii="Times New Roman" w:hAnsi="Times New Roman" w:cs="Times New Roman"/>
          <w:sz w:val="21"/>
          <w:szCs w:val="21"/>
        </w:rPr>
        <w:t>Я. Економіка праці та соціально-трудові відносини / В. Я. Брич, О. П. Дяків – К</w:t>
      </w:r>
      <w:r>
        <w:rPr>
          <w:rFonts w:ascii="Times New Roman" w:hAnsi="Times New Roman" w:cs="Times New Roman"/>
          <w:sz w:val="21"/>
          <w:szCs w:val="21"/>
        </w:rPr>
        <w:t xml:space="preserve">. </w:t>
      </w:r>
      <w:r w:rsidRPr="005A2094">
        <w:rPr>
          <w:rFonts w:ascii="Times New Roman" w:hAnsi="Times New Roman" w:cs="Times New Roman"/>
          <w:sz w:val="21"/>
          <w:szCs w:val="21"/>
        </w:rPr>
        <w:t>: Знання, 2006. – 560 с.</w:t>
      </w:r>
      <w:bookmarkEnd w:id="149"/>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shd w:val="clear" w:color="auto" w:fill="FFFFFF"/>
        </w:rPr>
      </w:pPr>
      <w:bookmarkStart w:id="150" w:name="_Ref433977374"/>
      <w:r w:rsidRPr="005A2094">
        <w:rPr>
          <w:rFonts w:ascii="Times New Roman" w:hAnsi="Times New Roman" w:cs="Times New Roman"/>
          <w:sz w:val="21"/>
          <w:szCs w:val="21"/>
        </w:rPr>
        <w:t>Брич В. Я. Трансформація ринку праці та її вплив на життєвий рівень населення (теорія, методологія, тенденції розвитку)</w:t>
      </w:r>
      <w:r>
        <w:rPr>
          <w:rFonts w:ascii="Times New Roman" w:hAnsi="Times New Roman" w:cs="Times New Roman"/>
          <w:sz w:val="21"/>
          <w:szCs w:val="21"/>
        </w:rPr>
        <w:t xml:space="preserve"> </w:t>
      </w:r>
      <w:r w:rsidRPr="005A2094">
        <w:rPr>
          <w:rFonts w:ascii="Times New Roman" w:hAnsi="Times New Roman" w:cs="Times New Roman"/>
          <w:sz w:val="21"/>
          <w:szCs w:val="21"/>
        </w:rPr>
        <w:t>: Автореф. дис… д-ра екон. наук</w:t>
      </w:r>
      <w:r>
        <w:rPr>
          <w:rFonts w:ascii="Times New Roman" w:hAnsi="Times New Roman" w:cs="Times New Roman"/>
          <w:sz w:val="21"/>
          <w:szCs w:val="21"/>
        </w:rPr>
        <w:t xml:space="preserve"> </w:t>
      </w:r>
      <w:r w:rsidRPr="005A2094">
        <w:rPr>
          <w:rFonts w:ascii="Times New Roman" w:hAnsi="Times New Roman" w:cs="Times New Roman"/>
          <w:sz w:val="21"/>
          <w:szCs w:val="21"/>
        </w:rPr>
        <w:t>: 08.09.2001 / Інститут регіональних досліджень НАН України. – Львів, 2004. – 36 с.</w:t>
      </w:r>
      <w:bookmarkEnd w:id="150"/>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shd w:val="clear" w:color="auto" w:fill="FFFFFF"/>
        </w:rPr>
      </w:pPr>
      <w:bookmarkStart w:id="151" w:name="_Ref433976941"/>
      <w:r w:rsidRPr="005A2094">
        <w:rPr>
          <w:rFonts w:ascii="Times New Roman" w:hAnsi="Times New Roman" w:cs="Times New Roman"/>
          <w:sz w:val="21"/>
          <w:szCs w:val="21"/>
        </w:rPr>
        <w:t>Буряк П. Ю. Економіка праці й соціально-економічні відносини</w:t>
      </w:r>
      <w:r>
        <w:rPr>
          <w:rFonts w:ascii="Times New Roman" w:hAnsi="Times New Roman" w:cs="Times New Roman"/>
          <w:sz w:val="21"/>
          <w:szCs w:val="21"/>
        </w:rPr>
        <w:t xml:space="preserve"> : н</w:t>
      </w:r>
      <w:r w:rsidRPr="005A2094">
        <w:rPr>
          <w:rFonts w:ascii="Times New Roman" w:hAnsi="Times New Roman" w:cs="Times New Roman"/>
          <w:sz w:val="21"/>
          <w:szCs w:val="21"/>
        </w:rPr>
        <w:t xml:space="preserve">авч. посібник / П. Ю. </w:t>
      </w:r>
      <w:r>
        <w:rPr>
          <w:rFonts w:ascii="Times New Roman" w:hAnsi="Times New Roman" w:cs="Times New Roman"/>
          <w:sz w:val="21"/>
          <w:szCs w:val="21"/>
        </w:rPr>
        <w:t>Буряк, Б. А. Карпінський, М. І. </w:t>
      </w:r>
      <w:r w:rsidRPr="005A2094">
        <w:rPr>
          <w:rFonts w:ascii="Times New Roman" w:hAnsi="Times New Roman" w:cs="Times New Roman"/>
          <w:sz w:val="21"/>
          <w:szCs w:val="21"/>
        </w:rPr>
        <w:t>Григор’єва. – К.</w:t>
      </w:r>
      <w:r>
        <w:rPr>
          <w:rFonts w:ascii="Times New Roman" w:hAnsi="Times New Roman" w:cs="Times New Roman"/>
          <w:sz w:val="21"/>
          <w:szCs w:val="21"/>
        </w:rPr>
        <w:t xml:space="preserve"> </w:t>
      </w:r>
      <w:r w:rsidRPr="005A2094">
        <w:rPr>
          <w:rFonts w:ascii="Times New Roman" w:hAnsi="Times New Roman" w:cs="Times New Roman"/>
          <w:sz w:val="21"/>
          <w:szCs w:val="21"/>
        </w:rPr>
        <w:t>: Центр навчальної літератури, 2004. – 440 с.</w:t>
      </w:r>
      <w:bookmarkEnd w:id="151"/>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shd w:val="clear" w:color="auto" w:fill="FFFFFF"/>
        </w:rPr>
      </w:pPr>
      <w:bookmarkStart w:id="152" w:name="_Ref433977236"/>
      <w:r w:rsidRPr="005A2094">
        <w:rPr>
          <w:rFonts w:ascii="Times New Roman" w:hAnsi="Times New Roman" w:cs="Times New Roman"/>
          <w:sz w:val="21"/>
          <w:szCs w:val="21"/>
        </w:rPr>
        <w:lastRenderedPageBreak/>
        <w:t>Васильченко В. С. Ринок праці</w:t>
      </w:r>
      <w:r>
        <w:rPr>
          <w:rFonts w:ascii="Times New Roman" w:hAnsi="Times New Roman" w:cs="Times New Roman"/>
          <w:sz w:val="21"/>
          <w:szCs w:val="21"/>
        </w:rPr>
        <w:t xml:space="preserve"> та зайнятість : навч. посібник</w:t>
      </w:r>
      <w:r w:rsidRPr="005A2094">
        <w:rPr>
          <w:rFonts w:ascii="Times New Roman" w:hAnsi="Times New Roman" w:cs="Times New Roman"/>
          <w:sz w:val="21"/>
          <w:szCs w:val="21"/>
        </w:rPr>
        <w:t xml:space="preserve"> / В. С. Васильченко, П. М. Василенко.</w:t>
      </w:r>
      <w:r w:rsidRPr="00F078D1">
        <w:rPr>
          <w:rFonts w:ascii="Times New Roman" w:hAnsi="Times New Roman" w:cs="Times New Roman"/>
          <w:sz w:val="21"/>
          <w:szCs w:val="21"/>
        </w:rPr>
        <w:t xml:space="preserve"> </w:t>
      </w:r>
      <w:r>
        <w:rPr>
          <w:rFonts w:ascii="Times New Roman" w:hAnsi="Times New Roman" w:cs="Times New Roman"/>
          <w:sz w:val="21"/>
          <w:szCs w:val="21"/>
        </w:rPr>
        <w:t xml:space="preserve">– </w:t>
      </w:r>
      <w:r w:rsidRPr="005A2094">
        <w:rPr>
          <w:rFonts w:ascii="Times New Roman" w:hAnsi="Times New Roman" w:cs="Times New Roman"/>
          <w:sz w:val="21"/>
          <w:szCs w:val="21"/>
        </w:rPr>
        <w:t>У 2 ч.</w:t>
      </w:r>
      <w:r>
        <w:rPr>
          <w:rFonts w:ascii="Times New Roman" w:hAnsi="Times New Roman" w:cs="Times New Roman"/>
          <w:sz w:val="21"/>
          <w:szCs w:val="21"/>
        </w:rPr>
        <w:t>,</w:t>
      </w:r>
      <w:r w:rsidRPr="005A2094">
        <w:rPr>
          <w:rFonts w:ascii="Times New Roman" w:hAnsi="Times New Roman" w:cs="Times New Roman"/>
          <w:sz w:val="21"/>
          <w:szCs w:val="21"/>
        </w:rPr>
        <w:t xml:space="preserve"> </w:t>
      </w:r>
      <w:r>
        <w:rPr>
          <w:rFonts w:ascii="Times New Roman" w:hAnsi="Times New Roman" w:cs="Times New Roman"/>
          <w:sz w:val="21"/>
          <w:szCs w:val="21"/>
        </w:rPr>
        <w:t>ч. 1.</w:t>
      </w:r>
      <w:r w:rsidRPr="005A2094">
        <w:rPr>
          <w:rFonts w:ascii="Times New Roman" w:hAnsi="Times New Roman" w:cs="Times New Roman"/>
          <w:sz w:val="21"/>
          <w:szCs w:val="21"/>
        </w:rPr>
        <w:t xml:space="preserve"> – К. : ІПК ДСЗУ, 2005. – 246 с.</w:t>
      </w:r>
      <w:bookmarkEnd w:id="152"/>
    </w:p>
    <w:p w:rsidR="00B233DE" w:rsidRPr="007B704A"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53" w:name="_Ref435784082"/>
      <w:bookmarkStart w:id="154" w:name="_Ref433976596"/>
      <w:r w:rsidRPr="00AB5FD8">
        <w:rPr>
          <w:rFonts w:ascii="Times New Roman" w:hAnsi="Times New Roman" w:cs="Times New Roman"/>
          <w:sz w:val="21"/>
          <w:szCs w:val="21"/>
        </w:rPr>
        <w:t xml:space="preserve">Ведерніков М. Д. </w:t>
      </w:r>
      <w:r>
        <w:rPr>
          <w:rFonts w:ascii="Times New Roman" w:hAnsi="Times New Roman" w:cs="Times New Roman"/>
          <w:sz w:val="21"/>
          <w:szCs w:val="21"/>
        </w:rPr>
        <w:t>Ринок праці У</w:t>
      </w:r>
      <w:r w:rsidRPr="00AB5FD8">
        <w:rPr>
          <w:rFonts w:ascii="Times New Roman" w:hAnsi="Times New Roman" w:cs="Times New Roman"/>
          <w:sz w:val="21"/>
          <w:szCs w:val="21"/>
        </w:rPr>
        <w:t>країни</w:t>
      </w:r>
      <w:r>
        <w:rPr>
          <w:rFonts w:ascii="Times New Roman" w:hAnsi="Times New Roman" w:cs="Times New Roman"/>
          <w:sz w:val="21"/>
          <w:szCs w:val="21"/>
        </w:rPr>
        <w:t xml:space="preserve"> </w:t>
      </w:r>
      <w:r w:rsidRPr="00AB5FD8">
        <w:rPr>
          <w:rFonts w:ascii="Times New Roman" w:hAnsi="Times New Roman" w:cs="Times New Roman"/>
          <w:sz w:val="21"/>
          <w:szCs w:val="21"/>
        </w:rPr>
        <w:t>: особливості // М. Д. Ведерников // Вісник Хмельницького національного університету</w:t>
      </w:r>
      <w:r>
        <w:rPr>
          <w:rFonts w:ascii="Times New Roman" w:hAnsi="Times New Roman" w:cs="Times New Roman"/>
          <w:sz w:val="21"/>
          <w:szCs w:val="21"/>
        </w:rPr>
        <w:t>. Серія Економіка. –</w:t>
      </w:r>
      <w:r w:rsidRPr="00AB5FD8">
        <w:rPr>
          <w:rFonts w:ascii="Times New Roman" w:hAnsi="Times New Roman" w:cs="Times New Roman"/>
          <w:sz w:val="21"/>
          <w:szCs w:val="21"/>
        </w:rPr>
        <w:t xml:space="preserve"> 2</w:t>
      </w:r>
      <w:r>
        <w:rPr>
          <w:rFonts w:ascii="Times New Roman" w:hAnsi="Times New Roman" w:cs="Times New Roman"/>
          <w:sz w:val="21"/>
          <w:szCs w:val="21"/>
        </w:rPr>
        <w:t>010. – № 5, т</w:t>
      </w:r>
      <w:r w:rsidRPr="00AB5FD8">
        <w:rPr>
          <w:rFonts w:ascii="Times New Roman" w:hAnsi="Times New Roman" w:cs="Times New Roman"/>
          <w:sz w:val="21"/>
          <w:szCs w:val="21"/>
        </w:rPr>
        <w:t>. 4</w:t>
      </w:r>
      <w:r>
        <w:rPr>
          <w:rFonts w:ascii="Times New Roman" w:hAnsi="Times New Roman" w:cs="Times New Roman"/>
          <w:sz w:val="21"/>
          <w:szCs w:val="21"/>
        </w:rPr>
        <w:t>. – С</w:t>
      </w:r>
      <w:r w:rsidRPr="00AB5FD8">
        <w:rPr>
          <w:rFonts w:ascii="Times New Roman" w:hAnsi="Times New Roman" w:cs="Times New Roman"/>
          <w:sz w:val="21"/>
          <w:szCs w:val="21"/>
        </w:rPr>
        <w:t>. 195</w:t>
      </w:r>
      <w:r>
        <w:rPr>
          <w:rFonts w:ascii="Times New Roman" w:hAnsi="Times New Roman" w:cs="Times New Roman"/>
          <w:sz w:val="21"/>
          <w:szCs w:val="21"/>
        </w:rPr>
        <w:t>–</w:t>
      </w:r>
      <w:r w:rsidRPr="00AB5FD8">
        <w:rPr>
          <w:rFonts w:ascii="Times New Roman" w:hAnsi="Times New Roman" w:cs="Times New Roman"/>
          <w:sz w:val="21"/>
          <w:szCs w:val="21"/>
        </w:rPr>
        <w:t>197.</w:t>
      </w:r>
      <w:bookmarkEnd w:id="153"/>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r w:rsidRPr="005A2094">
        <w:rPr>
          <w:rFonts w:ascii="Times New Roman" w:hAnsi="Times New Roman" w:cs="Times New Roman"/>
          <w:sz w:val="21"/>
          <w:szCs w:val="21"/>
          <w:shd w:val="clear" w:color="auto" w:fill="FFFFFF"/>
        </w:rPr>
        <w:t>Волкова О.</w:t>
      </w:r>
      <w:r>
        <w:rPr>
          <w:rFonts w:ascii="Times New Roman" w:hAnsi="Times New Roman" w:cs="Times New Roman"/>
          <w:sz w:val="21"/>
          <w:szCs w:val="21"/>
          <w:shd w:val="clear" w:color="auto" w:fill="FFFFFF"/>
        </w:rPr>
        <w:t xml:space="preserve"> </w:t>
      </w:r>
      <w:r w:rsidRPr="005A2094">
        <w:rPr>
          <w:rFonts w:ascii="Times New Roman" w:hAnsi="Times New Roman" w:cs="Times New Roman"/>
          <w:sz w:val="21"/>
          <w:szCs w:val="21"/>
          <w:shd w:val="clear" w:color="auto" w:fill="FFFFFF"/>
        </w:rPr>
        <w:t>В. Ринок праці</w:t>
      </w:r>
      <w:r>
        <w:rPr>
          <w:rFonts w:ascii="Times New Roman" w:hAnsi="Times New Roman" w:cs="Times New Roman"/>
          <w:sz w:val="21"/>
          <w:szCs w:val="21"/>
          <w:shd w:val="clear" w:color="auto" w:fill="FFFFFF"/>
        </w:rPr>
        <w:t xml:space="preserve"> </w:t>
      </w:r>
      <w:r w:rsidRPr="005A2094">
        <w:rPr>
          <w:rFonts w:ascii="Times New Roman" w:hAnsi="Times New Roman" w:cs="Times New Roman"/>
          <w:sz w:val="21"/>
          <w:szCs w:val="21"/>
          <w:shd w:val="clear" w:color="auto" w:fill="FFFFFF"/>
        </w:rPr>
        <w:t>: навч. посібник</w:t>
      </w:r>
      <w:r>
        <w:rPr>
          <w:rFonts w:ascii="Times New Roman" w:hAnsi="Times New Roman" w:cs="Times New Roman"/>
          <w:sz w:val="21"/>
          <w:szCs w:val="21"/>
          <w:shd w:val="clear" w:color="auto" w:fill="FFFFFF"/>
        </w:rPr>
        <w:t xml:space="preserve"> / О. В. </w:t>
      </w:r>
      <w:r w:rsidRPr="005A2094">
        <w:rPr>
          <w:rFonts w:ascii="Times New Roman" w:hAnsi="Times New Roman" w:cs="Times New Roman"/>
          <w:sz w:val="21"/>
          <w:szCs w:val="21"/>
          <w:shd w:val="clear" w:color="auto" w:fill="FFFFFF"/>
        </w:rPr>
        <w:t xml:space="preserve">Волкова </w:t>
      </w:r>
      <w:r w:rsidRPr="005A2094">
        <w:rPr>
          <w:rFonts w:ascii="Times New Roman" w:hAnsi="Times New Roman" w:cs="Times New Roman"/>
          <w:sz w:val="21"/>
          <w:szCs w:val="21"/>
        </w:rPr>
        <w:t xml:space="preserve">– </w:t>
      </w:r>
      <w:r w:rsidRPr="005A2094">
        <w:rPr>
          <w:rFonts w:ascii="Times New Roman" w:hAnsi="Times New Roman" w:cs="Times New Roman"/>
          <w:sz w:val="21"/>
          <w:szCs w:val="21"/>
          <w:shd w:val="clear" w:color="auto" w:fill="FFFFFF"/>
        </w:rPr>
        <w:t>К.</w:t>
      </w:r>
      <w:r>
        <w:rPr>
          <w:rFonts w:ascii="Times New Roman" w:hAnsi="Times New Roman" w:cs="Times New Roman"/>
          <w:sz w:val="21"/>
          <w:szCs w:val="21"/>
          <w:shd w:val="clear" w:color="auto" w:fill="FFFFFF"/>
        </w:rPr>
        <w:t xml:space="preserve"> </w:t>
      </w:r>
      <w:r w:rsidRPr="005A2094">
        <w:rPr>
          <w:rFonts w:ascii="Times New Roman" w:hAnsi="Times New Roman" w:cs="Times New Roman"/>
          <w:sz w:val="21"/>
          <w:szCs w:val="21"/>
          <w:shd w:val="clear" w:color="auto" w:fill="FFFFFF"/>
        </w:rPr>
        <w:t>: Центр учбової літератури, 2007. – 624</w:t>
      </w:r>
      <w:r>
        <w:rPr>
          <w:rFonts w:ascii="Times New Roman" w:hAnsi="Times New Roman" w:cs="Times New Roman"/>
          <w:sz w:val="21"/>
          <w:szCs w:val="21"/>
          <w:shd w:val="clear" w:color="auto" w:fill="FFFFFF"/>
        </w:rPr>
        <w:t xml:space="preserve"> </w:t>
      </w:r>
      <w:r w:rsidRPr="005A2094">
        <w:rPr>
          <w:rFonts w:ascii="Times New Roman" w:hAnsi="Times New Roman" w:cs="Times New Roman"/>
          <w:sz w:val="21"/>
          <w:szCs w:val="21"/>
          <w:shd w:val="clear" w:color="auto" w:fill="FFFFFF"/>
        </w:rPr>
        <w:t>с.</w:t>
      </w:r>
      <w:bookmarkEnd w:id="154"/>
    </w:p>
    <w:p w:rsidR="00B233DE"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55" w:name="_Ref435784235"/>
      <w:bookmarkStart w:id="156" w:name="_Ref433976695"/>
      <w:r w:rsidRPr="00AB5FD8">
        <w:rPr>
          <w:rFonts w:ascii="Times New Roman" w:hAnsi="Times New Roman" w:cs="Times New Roman"/>
          <w:sz w:val="21"/>
          <w:szCs w:val="21"/>
        </w:rPr>
        <w:t>Геєць В.</w:t>
      </w:r>
      <w:r>
        <w:rPr>
          <w:rFonts w:ascii="Times New Roman" w:hAnsi="Times New Roman" w:cs="Times New Roman"/>
          <w:sz w:val="21"/>
          <w:szCs w:val="21"/>
        </w:rPr>
        <w:t xml:space="preserve"> </w:t>
      </w:r>
      <w:r w:rsidRPr="00AB5FD8">
        <w:rPr>
          <w:rFonts w:ascii="Times New Roman" w:hAnsi="Times New Roman" w:cs="Times New Roman"/>
          <w:sz w:val="21"/>
          <w:szCs w:val="21"/>
        </w:rPr>
        <w:t>М. Інституційні перетворення і суспільний розвиток / В.</w:t>
      </w:r>
      <w:r>
        <w:rPr>
          <w:rFonts w:ascii="Times New Roman" w:hAnsi="Times New Roman" w:cs="Times New Roman"/>
          <w:sz w:val="21"/>
          <w:szCs w:val="21"/>
        </w:rPr>
        <w:t xml:space="preserve"> </w:t>
      </w:r>
      <w:r w:rsidRPr="00AB5FD8">
        <w:rPr>
          <w:rFonts w:ascii="Times New Roman" w:hAnsi="Times New Roman" w:cs="Times New Roman"/>
          <w:sz w:val="21"/>
          <w:szCs w:val="21"/>
        </w:rPr>
        <w:t>М. Геєць</w:t>
      </w:r>
      <w:r>
        <w:rPr>
          <w:rFonts w:ascii="Times New Roman" w:hAnsi="Times New Roman" w:cs="Times New Roman"/>
          <w:sz w:val="21"/>
          <w:szCs w:val="21"/>
        </w:rPr>
        <w:t xml:space="preserve"> // Економіка і прогнозування. –</w:t>
      </w:r>
      <w:r w:rsidRPr="00AB5FD8">
        <w:rPr>
          <w:rFonts w:ascii="Times New Roman" w:hAnsi="Times New Roman" w:cs="Times New Roman"/>
          <w:sz w:val="21"/>
          <w:szCs w:val="21"/>
        </w:rPr>
        <w:t xml:space="preserve"> 2</w:t>
      </w:r>
      <w:r>
        <w:rPr>
          <w:rFonts w:ascii="Times New Roman" w:hAnsi="Times New Roman" w:cs="Times New Roman"/>
          <w:sz w:val="21"/>
          <w:szCs w:val="21"/>
        </w:rPr>
        <w:t>005. –</w:t>
      </w:r>
      <w:r w:rsidRPr="00AB5FD8">
        <w:rPr>
          <w:rFonts w:ascii="Times New Roman" w:hAnsi="Times New Roman" w:cs="Times New Roman"/>
          <w:sz w:val="21"/>
          <w:szCs w:val="21"/>
        </w:rPr>
        <w:t xml:space="preserve"> </w:t>
      </w:r>
      <w:r>
        <w:rPr>
          <w:rFonts w:ascii="Times New Roman" w:hAnsi="Times New Roman" w:cs="Times New Roman"/>
          <w:sz w:val="21"/>
          <w:szCs w:val="21"/>
        </w:rPr>
        <w:t>№ 2. –</w:t>
      </w:r>
      <w:r w:rsidRPr="00AB5FD8">
        <w:rPr>
          <w:rFonts w:ascii="Times New Roman" w:hAnsi="Times New Roman" w:cs="Times New Roman"/>
          <w:sz w:val="21"/>
          <w:szCs w:val="21"/>
        </w:rPr>
        <w:t xml:space="preserve"> С. 9–36.</w:t>
      </w:r>
      <w:bookmarkEnd w:id="155"/>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r w:rsidRPr="005A2094">
        <w:rPr>
          <w:rFonts w:ascii="Times New Roman" w:hAnsi="Times New Roman" w:cs="Times New Roman"/>
          <w:sz w:val="21"/>
          <w:szCs w:val="21"/>
        </w:rPr>
        <w:t>Герасимчук З. В. Теоретичні основи інституційного забезпечення стимулювання сталого розвитку</w:t>
      </w:r>
      <w:r>
        <w:rPr>
          <w:rFonts w:ascii="Times New Roman" w:hAnsi="Times New Roman" w:cs="Times New Roman"/>
          <w:sz w:val="21"/>
          <w:szCs w:val="21"/>
        </w:rPr>
        <w:t xml:space="preserve"> регіону / З. В. Герасимчук, В. Г. Поліщук // Регіональна економіка. – 2011. – № 4.</w:t>
      </w:r>
      <w:r w:rsidRPr="005A2094">
        <w:rPr>
          <w:rFonts w:ascii="Times New Roman" w:hAnsi="Times New Roman" w:cs="Times New Roman"/>
          <w:sz w:val="21"/>
          <w:szCs w:val="21"/>
        </w:rPr>
        <w:t xml:space="preserve"> – С. 30</w:t>
      </w:r>
      <w:r>
        <w:rPr>
          <w:rFonts w:ascii="Times New Roman" w:hAnsi="Times New Roman" w:cs="Times New Roman"/>
          <w:sz w:val="21"/>
          <w:szCs w:val="21"/>
        </w:rPr>
        <w:t>–</w:t>
      </w:r>
      <w:r w:rsidRPr="005A2094">
        <w:rPr>
          <w:rFonts w:ascii="Times New Roman" w:hAnsi="Times New Roman" w:cs="Times New Roman"/>
          <w:sz w:val="21"/>
          <w:szCs w:val="21"/>
        </w:rPr>
        <w:t>47.</w:t>
      </w:r>
      <w:bookmarkEnd w:id="156"/>
    </w:p>
    <w:p w:rsidR="00B233DE" w:rsidRPr="007B704A"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57" w:name="_Ref435784164"/>
      <w:bookmarkStart w:id="158" w:name="_Ref433977664"/>
      <w:r w:rsidRPr="00AB5FD8">
        <w:rPr>
          <w:rFonts w:ascii="Times New Roman" w:hAnsi="Times New Roman" w:cs="Times New Roman"/>
          <w:sz w:val="21"/>
          <w:szCs w:val="21"/>
        </w:rPr>
        <w:t>Гірман А. Зарубіжний досвід регулювання ринку праці в реалізації євроінтеграційної стратегії України / А. Гірман // Україна : аспекти праці. – 2012. – №</w:t>
      </w:r>
      <w:r>
        <w:rPr>
          <w:rFonts w:ascii="Times New Roman" w:hAnsi="Times New Roman" w:cs="Times New Roman"/>
          <w:sz w:val="21"/>
          <w:szCs w:val="21"/>
        </w:rPr>
        <w:t xml:space="preserve"> </w:t>
      </w:r>
      <w:r w:rsidRPr="00AB5FD8">
        <w:rPr>
          <w:rFonts w:ascii="Times New Roman" w:hAnsi="Times New Roman" w:cs="Times New Roman"/>
          <w:sz w:val="21"/>
          <w:szCs w:val="21"/>
        </w:rPr>
        <w:t>8. – С. 45–49.</w:t>
      </w:r>
      <w:bookmarkEnd w:id="157"/>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r w:rsidRPr="005A2094">
        <w:rPr>
          <w:rFonts w:ascii="Times New Roman" w:hAnsi="Times New Roman" w:cs="Times New Roman"/>
          <w:spacing w:val="-6"/>
          <w:sz w:val="21"/>
          <w:szCs w:val="21"/>
        </w:rPr>
        <w:t>Гончаренко Л. П. Инвестиционный ме</w:t>
      </w:r>
      <w:r>
        <w:rPr>
          <w:rFonts w:ascii="Times New Roman" w:hAnsi="Times New Roman" w:cs="Times New Roman"/>
          <w:spacing w:val="-6"/>
          <w:sz w:val="21"/>
          <w:szCs w:val="21"/>
        </w:rPr>
        <w:t xml:space="preserve">неджмент : учебное пособие / Л. П. </w:t>
      </w:r>
      <w:r w:rsidRPr="005A2094">
        <w:rPr>
          <w:rFonts w:ascii="Times New Roman" w:hAnsi="Times New Roman" w:cs="Times New Roman"/>
          <w:spacing w:val="-6"/>
          <w:sz w:val="21"/>
          <w:szCs w:val="21"/>
        </w:rPr>
        <w:t>Гончаренко. – М. : КНОРУС, 2005. – 296 с.</w:t>
      </w:r>
      <w:bookmarkEnd w:id="158"/>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59" w:name="_Ref433976564"/>
      <w:r w:rsidRPr="005A2094">
        <w:rPr>
          <w:rFonts w:ascii="Times New Roman" w:hAnsi="Times New Roman" w:cs="Times New Roman"/>
          <w:sz w:val="21"/>
          <w:szCs w:val="21"/>
        </w:rPr>
        <w:t>Грішнова О. А. Економіка праці та соціально-трудові відносини</w:t>
      </w:r>
      <w:r>
        <w:rPr>
          <w:rFonts w:ascii="Times New Roman" w:hAnsi="Times New Roman" w:cs="Times New Roman"/>
          <w:sz w:val="21"/>
          <w:szCs w:val="21"/>
        </w:rPr>
        <w:t xml:space="preserve"> </w:t>
      </w:r>
      <w:r w:rsidRPr="005A2094">
        <w:rPr>
          <w:rFonts w:ascii="Times New Roman" w:hAnsi="Times New Roman" w:cs="Times New Roman"/>
          <w:sz w:val="21"/>
          <w:szCs w:val="21"/>
        </w:rPr>
        <w:t xml:space="preserve">: </w:t>
      </w:r>
      <w:r>
        <w:rPr>
          <w:rFonts w:ascii="Times New Roman" w:hAnsi="Times New Roman" w:cs="Times New Roman"/>
          <w:sz w:val="21"/>
          <w:szCs w:val="21"/>
        </w:rPr>
        <w:t>п</w:t>
      </w:r>
      <w:r w:rsidRPr="005A2094">
        <w:rPr>
          <w:rFonts w:ascii="Times New Roman" w:hAnsi="Times New Roman" w:cs="Times New Roman"/>
          <w:sz w:val="21"/>
          <w:szCs w:val="21"/>
        </w:rPr>
        <w:t>ідручник</w:t>
      </w:r>
      <w:r>
        <w:rPr>
          <w:rFonts w:ascii="Times New Roman" w:hAnsi="Times New Roman" w:cs="Times New Roman"/>
          <w:sz w:val="21"/>
          <w:szCs w:val="21"/>
        </w:rPr>
        <w:t xml:space="preserve"> </w:t>
      </w:r>
      <w:r w:rsidRPr="005A2094">
        <w:rPr>
          <w:rFonts w:ascii="Times New Roman" w:hAnsi="Times New Roman" w:cs="Times New Roman"/>
          <w:sz w:val="21"/>
          <w:szCs w:val="21"/>
        </w:rPr>
        <w:t>/ О. А. Грішнова. – 3-тє видання</w:t>
      </w:r>
      <w:r>
        <w:rPr>
          <w:rFonts w:ascii="Times New Roman" w:hAnsi="Times New Roman" w:cs="Times New Roman"/>
          <w:sz w:val="21"/>
          <w:szCs w:val="21"/>
        </w:rPr>
        <w:t>.</w:t>
      </w:r>
      <w:r w:rsidRPr="005A2094">
        <w:rPr>
          <w:rFonts w:ascii="Times New Roman" w:hAnsi="Times New Roman" w:cs="Times New Roman"/>
          <w:sz w:val="21"/>
          <w:szCs w:val="21"/>
        </w:rPr>
        <w:t xml:space="preserve"> – К. : Знання, 2007. – 559 с.</w:t>
      </w:r>
      <w:bookmarkEnd w:id="159"/>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60" w:name="_Ref433977574"/>
      <w:r w:rsidRPr="005A2094">
        <w:rPr>
          <w:rFonts w:ascii="Times New Roman" w:hAnsi="Times New Roman" w:cs="Times New Roman"/>
          <w:spacing w:val="-6"/>
          <w:sz w:val="21"/>
          <w:szCs w:val="21"/>
        </w:rPr>
        <w:t>Грішнова О. А. Людський капітал</w:t>
      </w:r>
      <w:r>
        <w:rPr>
          <w:rFonts w:ascii="Times New Roman" w:hAnsi="Times New Roman" w:cs="Times New Roman"/>
          <w:spacing w:val="-6"/>
          <w:sz w:val="21"/>
          <w:szCs w:val="21"/>
        </w:rPr>
        <w:t xml:space="preserve"> </w:t>
      </w:r>
      <w:r w:rsidRPr="005A2094">
        <w:rPr>
          <w:rFonts w:ascii="Times New Roman" w:hAnsi="Times New Roman" w:cs="Times New Roman"/>
          <w:spacing w:val="-6"/>
          <w:sz w:val="21"/>
          <w:szCs w:val="21"/>
        </w:rPr>
        <w:t>: формування в системі освіти і</w:t>
      </w:r>
      <w:r>
        <w:rPr>
          <w:rFonts w:ascii="Times New Roman" w:hAnsi="Times New Roman" w:cs="Times New Roman"/>
          <w:spacing w:val="-6"/>
          <w:sz w:val="21"/>
          <w:szCs w:val="21"/>
        </w:rPr>
        <w:t xml:space="preserve"> професійної підготовки / О. А. Грішнова. – К. : Знання</w:t>
      </w:r>
      <w:r w:rsidRPr="005A2094">
        <w:rPr>
          <w:rFonts w:ascii="Times New Roman" w:hAnsi="Times New Roman" w:cs="Times New Roman"/>
          <w:spacing w:val="-6"/>
          <w:sz w:val="21"/>
          <w:szCs w:val="21"/>
        </w:rPr>
        <w:t>, 2001. – 254 с.</w:t>
      </w:r>
      <w:bookmarkEnd w:id="160"/>
    </w:p>
    <w:p w:rsidR="00B233DE" w:rsidRPr="00AD29B7" w:rsidRDefault="00B233DE" w:rsidP="00B233DE">
      <w:pPr>
        <w:pStyle w:val="ad"/>
        <w:numPr>
          <w:ilvl w:val="0"/>
          <w:numId w:val="13"/>
        </w:numPr>
        <w:tabs>
          <w:tab w:val="left" w:pos="1134"/>
        </w:tabs>
        <w:ind w:left="0" w:firstLine="709"/>
        <w:jc w:val="both"/>
        <w:rPr>
          <w:rFonts w:ascii="Times New Roman" w:hAnsi="Times New Roman" w:cs="Times New Roman"/>
          <w:iCs/>
          <w:sz w:val="21"/>
          <w:szCs w:val="21"/>
        </w:rPr>
      </w:pPr>
      <w:bookmarkStart w:id="161" w:name="_Ref433977268"/>
      <w:r w:rsidRPr="00AD29B7">
        <w:rPr>
          <w:rFonts w:ascii="Times New Roman" w:hAnsi="Times New Roman" w:cs="Times New Roman"/>
          <w:sz w:val="21"/>
          <w:szCs w:val="21"/>
        </w:rPr>
        <w:t>Гук Н. А. Інфраструктурні аспекти функціонування ринку праці та особливості трансформацій у системі цінностей його учасників в умовах побудови інформаційного суспільства / Н. А. Гук // Науковий вісник НЛТУ України : зб. наук.-техн. праць. –2010. – Вип. 20.6. – С. 191–197.</w:t>
      </w:r>
      <w:bookmarkEnd w:id="161"/>
      <w:r w:rsidRPr="00AD29B7">
        <w:rPr>
          <w:rFonts w:ascii="Times New Roman" w:hAnsi="Times New Roman" w:cs="Times New Roman"/>
          <w:sz w:val="21"/>
          <w:szCs w:val="21"/>
        </w:rPr>
        <w:t xml:space="preserve"> </w:t>
      </w:r>
    </w:p>
    <w:p w:rsidR="00B233DE" w:rsidRPr="00AD29B7" w:rsidRDefault="00B233DE" w:rsidP="00B233DE">
      <w:pPr>
        <w:pStyle w:val="ad"/>
        <w:numPr>
          <w:ilvl w:val="0"/>
          <w:numId w:val="13"/>
        </w:numPr>
        <w:tabs>
          <w:tab w:val="left" w:pos="1134"/>
        </w:tabs>
        <w:ind w:left="0" w:firstLine="709"/>
        <w:jc w:val="both"/>
        <w:rPr>
          <w:rFonts w:ascii="Times New Roman" w:hAnsi="Times New Roman" w:cs="Times New Roman"/>
          <w:iCs/>
          <w:sz w:val="21"/>
          <w:szCs w:val="21"/>
        </w:rPr>
      </w:pPr>
      <w:bookmarkStart w:id="162" w:name="_Ref433977475"/>
      <w:r w:rsidRPr="00AD29B7">
        <w:rPr>
          <w:rFonts w:ascii="Times New Roman" w:hAnsi="Times New Roman" w:cs="Times New Roman"/>
          <w:sz w:val="21"/>
          <w:szCs w:val="21"/>
        </w:rPr>
        <w:t>Давидова І. Інституціональні основи зайн</w:t>
      </w:r>
      <w:r>
        <w:rPr>
          <w:rFonts w:ascii="Times New Roman" w:hAnsi="Times New Roman" w:cs="Times New Roman"/>
          <w:sz w:val="21"/>
          <w:szCs w:val="21"/>
        </w:rPr>
        <w:t xml:space="preserve">ятості в перехідний період / І. </w:t>
      </w:r>
      <w:r w:rsidRPr="00AD29B7">
        <w:rPr>
          <w:rFonts w:ascii="Times New Roman" w:hAnsi="Times New Roman" w:cs="Times New Roman"/>
          <w:sz w:val="21"/>
          <w:szCs w:val="21"/>
        </w:rPr>
        <w:t>Давидова, М. Кім // Економіка України. – 1998. – № 4. – С. 44–49.</w:t>
      </w:r>
      <w:bookmarkEnd w:id="162"/>
    </w:p>
    <w:p w:rsidR="00B233DE" w:rsidRPr="00AD29B7"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63" w:name="_Ref433977611"/>
      <w:r w:rsidRPr="005A2094">
        <w:rPr>
          <w:rFonts w:ascii="Times New Roman" w:hAnsi="Times New Roman" w:cs="Times New Roman"/>
          <w:spacing w:val="-6"/>
          <w:sz w:val="21"/>
          <w:szCs w:val="21"/>
        </w:rPr>
        <w:t>Данюк В. М. Менеджмент п</w:t>
      </w:r>
      <w:r>
        <w:rPr>
          <w:rFonts w:ascii="Times New Roman" w:hAnsi="Times New Roman" w:cs="Times New Roman"/>
          <w:spacing w:val="-6"/>
          <w:sz w:val="21"/>
          <w:szCs w:val="21"/>
        </w:rPr>
        <w:t>ерсоналу : навч. посіб. / [В. М. </w:t>
      </w:r>
      <w:r w:rsidRPr="005A2094">
        <w:rPr>
          <w:rFonts w:ascii="Times New Roman" w:hAnsi="Times New Roman" w:cs="Times New Roman"/>
          <w:spacing w:val="-6"/>
          <w:sz w:val="21"/>
          <w:szCs w:val="21"/>
        </w:rPr>
        <w:t>Данюк, В.</w:t>
      </w:r>
      <w:r>
        <w:rPr>
          <w:rFonts w:ascii="Times New Roman" w:hAnsi="Times New Roman" w:cs="Times New Roman"/>
          <w:spacing w:val="-6"/>
          <w:sz w:val="21"/>
          <w:szCs w:val="21"/>
        </w:rPr>
        <w:t xml:space="preserve"> М. Петюх, С. О. Цимбалюк та ін.].</w:t>
      </w:r>
      <w:r w:rsidRPr="005A2094">
        <w:rPr>
          <w:rFonts w:ascii="Times New Roman" w:hAnsi="Times New Roman" w:cs="Times New Roman"/>
          <w:spacing w:val="-6"/>
          <w:sz w:val="21"/>
          <w:szCs w:val="21"/>
        </w:rPr>
        <w:t xml:space="preserve"> – К. : КНЕУ, 2004. – 398 с.</w:t>
      </w:r>
      <w:bookmarkEnd w:id="163"/>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iCs/>
          <w:sz w:val="21"/>
          <w:szCs w:val="21"/>
        </w:rPr>
      </w:pPr>
      <w:bookmarkStart w:id="164" w:name="_Ref433977359"/>
      <w:r w:rsidRPr="005A2094">
        <w:rPr>
          <w:rFonts w:ascii="Times New Roman" w:hAnsi="Times New Roman" w:cs="Times New Roman"/>
          <w:sz w:val="21"/>
          <w:szCs w:val="21"/>
        </w:rPr>
        <w:lastRenderedPageBreak/>
        <w:t>Джагарян Г. Г. Становление и раз</w:t>
      </w:r>
      <w:r>
        <w:rPr>
          <w:rFonts w:ascii="Times New Roman" w:hAnsi="Times New Roman" w:cs="Times New Roman"/>
          <w:sz w:val="21"/>
          <w:szCs w:val="21"/>
        </w:rPr>
        <w:t xml:space="preserve">витие рынка труда в России / Г. Г. </w:t>
      </w:r>
      <w:r w:rsidRPr="005A2094">
        <w:rPr>
          <w:rFonts w:ascii="Times New Roman" w:hAnsi="Times New Roman" w:cs="Times New Roman"/>
          <w:sz w:val="21"/>
          <w:szCs w:val="21"/>
        </w:rPr>
        <w:t>Джа</w:t>
      </w:r>
      <w:r>
        <w:rPr>
          <w:rFonts w:ascii="Times New Roman" w:hAnsi="Times New Roman" w:cs="Times New Roman"/>
          <w:sz w:val="21"/>
          <w:szCs w:val="21"/>
        </w:rPr>
        <w:t>гарян ; под. ред. В. Г. Былова.</w:t>
      </w:r>
      <w:r w:rsidRPr="005A2094">
        <w:rPr>
          <w:rFonts w:ascii="Times New Roman" w:hAnsi="Times New Roman" w:cs="Times New Roman"/>
          <w:sz w:val="21"/>
          <w:szCs w:val="21"/>
        </w:rPr>
        <w:t xml:space="preserve"> – М.</w:t>
      </w:r>
      <w:r>
        <w:rPr>
          <w:rFonts w:ascii="Times New Roman" w:hAnsi="Times New Roman" w:cs="Times New Roman"/>
          <w:sz w:val="21"/>
          <w:szCs w:val="21"/>
        </w:rPr>
        <w:t xml:space="preserve"> : </w:t>
      </w:r>
      <w:r w:rsidRPr="005A2094">
        <w:rPr>
          <w:rFonts w:ascii="Times New Roman" w:hAnsi="Times New Roman" w:cs="Times New Roman"/>
          <w:sz w:val="21"/>
          <w:szCs w:val="21"/>
        </w:rPr>
        <w:t>Ин-т науч. информ. по обществ. наукам, Рос. акад. наук., 1995. – 360 с.</w:t>
      </w:r>
      <w:bookmarkEnd w:id="164"/>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65" w:name="_Ref433977007"/>
      <w:r w:rsidRPr="005A2094">
        <w:rPr>
          <w:rFonts w:ascii="Times New Roman" w:hAnsi="Times New Roman" w:cs="Times New Roman"/>
          <w:iCs/>
          <w:sz w:val="21"/>
          <w:szCs w:val="21"/>
        </w:rPr>
        <w:t>Дідківська Л.</w:t>
      </w:r>
      <w:r>
        <w:rPr>
          <w:rFonts w:ascii="Times New Roman" w:hAnsi="Times New Roman" w:cs="Times New Roman"/>
          <w:iCs/>
          <w:sz w:val="21"/>
          <w:szCs w:val="21"/>
        </w:rPr>
        <w:t xml:space="preserve"> І</w:t>
      </w:r>
      <w:r w:rsidRPr="005A2094">
        <w:rPr>
          <w:rFonts w:ascii="Times New Roman" w:hAnsi="Times New Roman" w:cs="Times New Roman"/>
          <w:iCs/>
          <w:sz w:val="21"/>
          <w:szCs w:val="21"/>
        </w:rPr>
        <w:t xml:space="preserve">. </w:t>
      </w:r>
      <w:r>
        <w:rPr>
          <w:rFonts w:ascii="Times New Roman" w:hAnsi="Times New Roman" w:cs="Times New Roman"/>
          <w:sz w:val="21"/>
          <w:szCs w:val="21"/>
        </w:rPr>
        <w:t>Державне регулювання економіки / Л. І. Дідківська, Л. С. Головко.</w:t>
      </w:r>
      <w:r w:rsidRPr="005A2094">
        <w:rPr>
          <w:rFonts w:ascii="Times New Roman" w:hAnsi="Times New Roman" w:cs="Times New Roman"/>
          <w:sz w:val="21"/>
          <w:szCs w:val="21"/>
        </w:rPr>
        <w:t xml:space="preserve"> – К.</w:t>
      </w:r>
      <w:r>
        <w:rPr>
          <w:rFonts w:ascii="Times New Roman" w:hAnsi="Times New Roman" w:cs="Times New Roman"/>
          <w:sz w:val="21"/>
          <w:szCs w:val="21"/>
        </w:rPr>
        <w:t xml:space="preserve"> </w:t>
      </w:r>
      <w:r w:rsidRPr="005A2094">
        <w:rPr>
          <w:rFonts w:ascii="Times New Roman" w:hAnsi="Times New Roman" w:cs="Times New Roman"/>
          <w:sz w:val="21"/>
          <w:szCs w:val="21"/>
        </w:rPr>
        <w:t>: Знання,</w:t>
      </w:r>
      <w:r>
        <w:rPr>
          <w:rFonts w:ascii="Times New Roman" w:hAnsi="Times New Roman" w:cs="Times New Roman"/>
          <w:sz w:val="21"/>
          <w:szCs w:val="21"/>
        </w:rPr>
        <w:t xml:space="preserve"> </w:t>
      </w:r>
      <w:r w:rsidRPr="005A2094">
        <w:rPr>
          <w:rFonts w:ascii="Times New Roman" w:hAnsi="Times New Roman" w:cs="Times New Roman"/>
          <w:sz w:val="21"/>
          <w:szCs w:val="21"/>
        </w:rPr>
        <w:t>2004. – 213</w:t>
      </w:r>
      <w:r>
        <w:rPr>
          <w:rFonts w:ascii="Times New Roman" w:hAnsi="Times New Roman" w:cs="Times New Roman"/>
          <w:sz w:val="21"/>
          <w:szCs w:val="21"/>
        </w:rPr>
        <w:t xml:space="preserve"> </w:t>
      </w:r>
      <w:r w:rsidRPr="005A2094">
        <w:rPr>
          <w:rFonts w:ascii="Times New Roman" w:hAnsi="Times New Roman" w:cs="Times New Roman"/>
          <w:sz w:val="21"/>
          <w:szCs w:val="21"/>
        </w:rPr>
        <w:t>с.</w:t>
      </w:r>
      <w:bookmarkEnd w:id="165"/>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66" w:name="_Ref433976914"/>
      <w:r w:rsidRPr="005A2094">
        <w:rPr>
          <w:rFonts w:ascii="Times New Roman" w:hAnsi="Times New Roman" w:cs="Times New Roman"/>
          <w:sz w:val="21"/>
          <w:szCs w:val="21"/>
        </w:rPr>
        <w:t>Долішній М.</w:t>
      </w:r>
      <w:r>
        <w:rPr>
          <w:rFonts w:ascii="Times New Roman" w:hAnsi="Times New Roman" w:cs="Times New Roman"/>
          <w:sz w:val="21"/>
          <w:szCs w:val="21"/>
        </w:rPr>
        <w:t xml:space="preserve"> І. </w:t>
      </w:r>
      <w:r w:rsidRPr="005A2094">
        <w:rPr>
          <w:rFonts w:ascii="Times New Roman" w:hAnsi="Times New Roman" w:cs="Times New Roman"/>
          <w:sz w:val="21"/>
          <w:szCs w:val="21"/>
        </w:rPr>
        <w:t>Проблеми ринку праці</w:t>
      </w:r>
      <w:r>
        <w:rPr>
          <w:rFonts w:ascii="Times New Roman" w:hAnsi="Times New Roman" w:cs="Times New Roman"/>
          <w:sz w:val="21"/>
          <w:szCs w:val="21"/>
        </w:rPr>
        <w:t xml:space="preserve"> </w:t>
      </w:r>
      <w:r w:rsidRPr="005A2094">
        <w:rPr>
          <w:rFonts w:ascii="Times New Roman" w:hAnsi="Times New Roman" w:cs="Times New Roman"/>
          <w:sz w:val="21"/>
          <w:szCs w:val="21"/>
        </w:rPr>
        <w:t xml:space="preserve">: потенціал науки в регіональних інтересах управління </w:t>
      </w:r>
      <w:r>
        <w:rPr>
          <w:rFonts w:ascii="Times New Roman" w:hAnsi="Times New Roman" w:cs="Times New Roman"/>
          <w:sz w:val="21"/>
          <w:szCs w:val="21"/>
        </w:rPr>
        <w:t xml:space="preserve">/ М. І. Долішній, У. Я. Садова, Л. К. Семів </w:t>
      </w:r>
      <w:r w:rsidRPr="005A2094">
        <w:rPr>
          <w:rFonts w:ascii="Times New Roman" w:hAnsi="Times New Roman" w:cs="Times New Roman"/>
          <w:sz w:val="21"/>
          <w:szCs w:val="21"/>
        </w:rPr>
        <w:t xml:space="preserve">// Регіональна економіка. </w:t>
      </w:r>
      <w:r>
        <w:rPr>
          <w:rFonts w:ascii="Times New Roman" w:hAnsi="Times New Roman" w:cs="Times New Roman"/>
          <w:sz w:val="21"/>
          <w:szCs w:val="21"/>
        </w:rPr>
        <w:t>–</w:t>
      </w:r>
      <w:r w:rsidRPr="005A2094">
        <w:rPr>
          <w:rFonts w:ascii="Times New Roman" w:hAnsi="Times New Roman" w:cs="Times New Roman"/>
          <w:sz w:val="21"/>
          <w:szCs w:val="21"/>
        </w:rPr>
        <w:t xml:space="preserve"> 2000. </w:t>
      </w:r>
      <w:r>
        <w:rPr>
          <w:rFonts w:ascii="Times New Roman" w:hAnsi="Times New Roman" w:cs="Times New Roman"/>
          <w:sz w:val="21"/>
          <w:szCs w:val="21"/>
        </w:rPr>
        <w:t>–</w:t>
      </w:r>
      <w:r w:rsidRPr="005A2094">
        <w:rPr>
          <w:rFonts w:ascii="Times New Roman" w:hAnsi="Times New Roman" w:cs="Times New Roman"/>
          <w:sz w:val="21"/>
          <w:szCs w:val="21"/>
        </w:rPr>
        <w:t xml:space="preserve"> №</w:t>
      </w:r>
      <w:r>
        <w:rPr>
          <w:rFonts w:ascii="Times New Roman" w:hAnsi="Times New Roman" w:cs="Times New Roman"/>
          <w:sz w:val="21"/>
          <w:szCs w:val="21"/>
        </w:rPr>
        <w:t xml:space="preserve"> 1. – С</w:t>
      </w:r>
      <w:r w:rsidRPr="005A2094">
        <w:rPr>
          <w:rFonts w:ascii="Times New Roman" w:hAnsi="Times New Roman" w:cs="Times New Roman"/>
          <w:sz w:val="21"/>
          <w:szCs w:val="21"/>
        </w:rPr>
        <w:t>.76</w:t>
      </w:r>
      <w:r>
        <w:rPr>
          <w:rFonts w:ascii="Times New Roman" w:hAnsi="Times New Roman" w:cs="Times New Roman"/>
          <w:sz w:val="21"/>
          <w:szCs w:val="21"/>
        </w:rPr>
        <w:t>–</w:t>
      </w:r>
      <w:r w:rsidRPr="005A2094">
        <w:rPr>
          <w:rFonts w:ascii="Times New Roman" w:hAnsi="Times New Roman" w:cs="Times New Roman"/>
          <w:sz w:val="21"/>
          <w:szCs w:val="21"/>
        </w:rPr>
        <w:t>8</w:t>
      </w:r>
      <w:r>
        <w:rPr>
          <w:rFonts w:ascii="Times New Roman" w:hAnsi="Times New Roman" w:cs="Times New Roman"/>
          <w:sz w:val="21"/>
          <w:szCs w:val="21"/>
        </w:rPr>
        <w:t>3.</w:t>
      </w:r>
      <w:bookmarkEnd w:id="166"/>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67" w:name="_Ref433976638"/>
      <w:r>
        <w:rPr>
          <w:rFonts w:ascii="Times New Roman" w:hAnsi="Times New Roman" w:cs="Times New Roman"/>
          <w:sz w:val="21"/>
          <w:szCs w:val="21"/>
        </w:rPr>
        <w:t xml:space="preserve">Дружиніна В. В. </w:t>
      </w:r>
      <w:r w:rsidRPr="005A2094">
        <w:rPr>
          <w:rFonts w:ascii="Times New Roman" w:hAnsi="Times New Roman" w:cs="Times New Roman"/>
          <w:sz w:val="21"/>
          <w:szCs w:val="21"/>
        </w:rPr>
        <w:t>Визначення особливостей</w:t>
      </w:r>
      <w:r>
        <w:rPr>
          <w:rFonts w:ascii="Times New Roman" w:hAnsi="Times New Roman" w:cs="Times New Roman"/>
          <w:sz w:val="21"/>
          <w:szCs w:val="21"/>
        </w:rPr>
        <w:t xml:space="preserve"> ринку праці в будівництві / В. В. Дружиніна, О. М. </w:t>
      </w:r>
      <w:r w:rsidRPr="005A2094">
        <w:rPr>
          <w:rFonts w:ascii="Times New Roman" w:hAnsi="Times New Roman" w:cs="Times New Roman"/>
          <w:sz w:val="21"/>
          <w:szCs w:val="21"/>
        </w:rPr>
        <w:t>Залуніна // Вісник Хмельницького національного</w:t>
      </w:r>
      <w:r>
        <w:rPr>
          <w:rFonts w:ascii="Times New Roman" w:hAnsi="Times New Roman" w:cs="Times New Roman"/>
          <w:sz w:val="21"/>
          <w:szCs w:val="21"/>
        </w:rPr>
        <w:t xml:space="preserve"> університету. Економічні науки. – 2012. – №5, т</w:t>
      </w:r>
      <w:r w:rsidRPr="005A2094">
        <w:rPr>
          <w:rFonts w:ascii="Times New Roman" w:hAnsi="Times New Roman" w:cs="Times New Roman"/>
          <w:sz w:val="21"/>
          <w:szCs w:val="21"/>
        </w:rPr>
        <w:t>. 2. – С. 58</w:t>
      </w:r>
      <w:r>
        <w:rPr>
          <w:rFonts w:ascii="Times New Roman" w:hAnsi="Times New Roman" w:cs="Times New Roman"/>
          <w:sz w:val="21"/>
          <w:szCs w:val="21"/>
        </w:rPr>
        <w:t>–</w:t>
      </w:r>
      <w:r w:rsidRPr="005A2094">
        <w:rPr>
          <w:rFonts w:ascii="Times New Roman" w:hAnsi="Times New Roman" w:cs="Times New Roman"/>
          <w:sz w:val="21"/>
          <w:szCs w:val="21"/>
        </w:rPr>
        <w:t>63.</w:t>
      </w:r>
      <w:bookmarkEnd w:id="167"/>
    </w:p>
    <w:p w:rsidR="00B233DE"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68" w:name="_Ref435784055"/>
      <w:bookmarkStart w:id="169" w:name="_Ref433977173"/>
      <w:r w:rsidRPr="00AB5FD8">
        <w:rPr>
          <w:rFonts w:ascii="Times New Roman" w:hAnsi="Times New Roman" w:cs="Times New Roman"/>
          <w:sz w:val="21"/>
          <w:szCs w:val="21"/>
        </w:rPr>
        <w:t>Зуб М. Я. Організаційно-економічний механізм регулю</w:t>
      </w:r>
      <w:r>
        <w:rPr>
          <w:rFonts w:ascii="Times New Roman" w:hAnsi="Times New Roman" w:cs="Times New Roman"/>
          <w:sz w:val="21"/>
          <w:szCs w:val="21"/>
        </w:rPr>
        <w:t>-</w:t>
      </w:r>
      <w:r w:rsidRPr="00AB5FD8">
        <w:rPr>
          <w:rFonts w:ascii="Times New Roman" w:hAnsi="Times New Roman" w:cs="Times New Roman"/>
          <w:sz w:val="21"/>
          <w:szCs w:val="21"/>
        </w:rPr>
        <w:t>вання і розвитку регіонального ринку праці за умов євроінтеграції : дис... канд. екон. наук, Хмельн. Нац. Уні-т. – Хмельницький, 2013. – 260 с.</w:t>
      </w:r>
      <w:bookmarkEnd w:id="168"/>
    </w:p>
    <w:p w:rsidR="00B233DE" w:rsidRPr="004F5499"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r w:rsidRPr="004F5499">
        <w:rPr>
          <w:rFonts w:ascii="Times New Roman" w:hAnsi="Times New Roman" w:cs="Times New Roman"/>
          <w:sz w:val="21"/>
          <w:szCs w:val="21"/>
        </w:rPr>
        <w:t xml:space="preserve">Експертні оцінки дотримання прав людини в Україні [Електронний ресурс]. – Режим доступу: </w:t>
      </w:r>
      <w:hyperlink r:id="rId39" w:history="1">
        <w:r w:rsidRPr="004F5499">
          <w:rPr>
            <w:rStyle w:val="aff"/>
            <w:rFonts w:ascii="Times New Roman" w:hAnsi="Times New Roman" w:cs="Times New Roman"/>
            <w:color w:val="auto"/>
            <w:sz w:val="21"/>
            <w:szCs w:val="21"/>
            <w:u w:val="none"/>
          </w:rPr>
          <w:t>http://2008.dif.org.ua/ua/press/uhihojpj</w:t>
        </w:r>
      </w:hyperlink>
      <w:bookmarkEnd w:id="169"/>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70" w:name="_Ref433976718"/>
      <w:r w:rsidRPr="005A2094">
        <w:rPr>
          <w:rFonts w:ascii="Times New Roman" w:hAnsi="Times New Roman" w:cs="Times New Roman"/>
          <w:sz w:val="21"/>
          <w:szCs w:val="21"/>
        </w:rPr>
        <w:t>Економічна енциклопедія</w:t>
      </w:r>
      <w:r>
        <w:rPr>
          <w:rFonts w:ascii="Times New Roman" w:hAnsi="Times New Roman" w:cs="Times New Roman"/>
          <w:sz w:val="21"/>
          <w:szCs w:val="21"/>
        </w:rPr>
        <w:t xml:space="preserve"> </w:t>
      </w:r>
      <w:r w:rsidRPr="005A2094">
        <w:rPr>
          <w:rFonts w:ascii="Times New Roman" w:hAnsi="Times New Roman" w:cs="Times New Roman"/>
          <w:sz w:val="21"/>
          <w:szCs w:val="21"/>
        </w:rPr>
        <w:t xml:space="preserve">: </w:t>
      </w:r>
      <w:r>
        <w:rPr>
          <w:rFonts w:ascii="Times New Roman" w:hAnsi="Times New Roman" w:cs="Times New Roman"/>
          <w:sz w:val="21"/>
          <w:szCs w:val="21"/>
        </w:rPr>
        <w:t>у</w:t>
      </w:r>
      <w:r w:rsidRPr="005A2094">
        <w:rPr>
          <w:rFonts w:ascii="Times New Roman" w:hAnsi="Times New Roman" w:cs="Times New Roman"/>
          <w:sz w:val="21"/>
          <w:szCs w:val="21"/>
        </w:rPr>
        <w:t xml:space="preserve"> трьох томах. </w:t>
      </w:r>
      <w:r>
        <w:rPr>
          <w:rFonts w:ascii="Times New Roman" w:hAnsi="Times New Roman" w:cs="Times New Roman"/>
          <w:sz w:val="21"/>
          <w:szCs w:val="21"/>
        </w:rPr>
        <w:t xml:space="preserve">– </w:t>
      </w:r>
      <w:r w:rsidRPr="005A2094">
        <w:rPr>
          <w:rFonts w:ascii="Times New Roman" w:hAnsi="Times New Roman" w:cs="Times New Roman"/>
          <w:sz w:val="21"/>
          <w:szCs w:val="21"/>
        </w:rPr>
        <w:t>Т. 3 / Редкол.</w:t>
      </w:r>
      <w:r>
        <w:rPr>
          <w:rFonts w:ascii="Times New Roman" w:hAnsi="Times New Roman" w:cs="Times New Roman"/>
          <w:sz w:val="21"/>
          <w:szCs w:val="21"/>
        </w:rPr>
        <w:t xml:space="preserve"> </w:t>
      </w:r>
      <w:r w:rsidRPr="005A2094">
        <w:rPr>
          <w:rFonts w:ascii="Times New Roman" w:hAnsi="Times New Roman" w:cs="Times New Roman"/>
          <w:sz w:val="21"/>
          <w:szCs w:val="21"/>
        </w:rPr>
        <w:t>: С.</w:t>
      </w:r>
      <w:r>
        <w:rPr>
          <w:rFonts w:ascii="Times New Roman" w:hAnsi="Times New Roman" w:cs="Times New Roman"/>
          <w:sz w:val="21"/>
          <w:szCs w:val="21"/>
        </w:rPr>
        <w:t xml:space="preserve"> В. Мочер</w:t>
      </w:r>
      <w:r w:rsidRPr="005A2094">
        <w:rPr>
          <w:rFonts w:ascii="Times New Roman" w:hAnsi="Times New Roman" w:cs="Times New Roman"/>
          <w:sz w:val="21"/>
          <w:szCs w:val="21"/>
        </w:rPr>
        <w:t>ний (відп.</w:t>
      </w:r>
      <w:r>
        <w:rPr>
          <w:rFonts w:ascii="Times New Roman" w:hAnsi="Times New Roman" w:cs="Times New Roman"/>
          <w:sz w:val="21"/>
          <w:szCs w:val="21"/>
        </w:rPr>
        <w:t xml:space="preserve"> </w:t>
      </w:r>
      <w:r w:rsidRPr="005A2094">
        <w:rPr>
          <w:rFonts w:ascii="Times New Roman" w:hAnsi="Times New Roman" w:cs="Times New Roman"/>
          <w:sz w:val="21"/>
          <w:szCs w:val="21"/>
        </w:rPr>
        <w:t>ред.) та ін. – К.</w:t>
      </w:r>
      <w:r>
        <w:rPr>
          <w:rFonts w:ascii="Times New Roman" w:hAnsi="Times New Roman" w:cs="Times New Roman"/>
          <w:sz w:val="21"/>
          <w:szCs w:val="21"/>
        </w:rPr>
        <w:t xml:space="preserve"> </w:t>
      </w:r>
      <w:r w:rsidRPr="005A2094">
        <w:rPr>
          <w:rFonts w:ascii="Times New Roman" w:hAnsi="Times New Roman" w:cs="Times New Roman"/>
          <w:sz w:val="21"/>
          <w:szCs w:val="21"/>
        </w:rPr>
        <w:t>: Академія, 2002. – 952 с.</w:t>
      </w:r>
      <w:bookmarkEnd w:id="170"/>
    </w:p>
    <w:p w:rsidR="00B233DE" w:rsidRPr="004F5499"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71" w:name="_Ref433976734"/>
      <w:r w:rsidRPr="005A2094">
        <w:rPr>
          <w:rFonts w:ascii="Times New Roman" w:hAnsi="Times New Roman" w:cs="Times New Roman"/>
          <w:sz w:val="21"/>
          <w:szCs w:val="21"/>
        </w:rPr>
        <w:t>Ермишин П. Г. Основы экономической теории / П. Г. Ермишин.</w:t>
      </w:r>
      <w:r>
        <w:rPr>
          <w:rFonts w:ascii="Times New Roman" w:hAnsi="Times New Roman" w:cs="Times New Roman"/>
          <w:sz w:val="21"/>
          <w:szCs w:val="21"/>
        </w:rPr>
        <w:t xml:space="preserve"> –</w:t>
      </w:r>
      <w:r w:rsidRPr="005A2094">
        <w:rPr>
          <w:rFonts w:ascii="Times New Roman" w:hAnsi="Times New Roman" w:cs="Times New Roman"/>
          <w:sz w:val="21"/>
          <w:szCs w:val="21"/>
        </w:rPr>
        <w:t xml:space="preserve"> [Електронний ресурс] – Режим доступу : </w:t>
      </w:r>
      <w:hyperlink r:id="rId40" w:history="1">
        <w:r w:rsidRPr="004F5499">
          <w:rPr>
            <w:rStyle w:val="aff"/>
            <w:rFonts w:ascii="Times New Roman" w:hAnsi="Times New Roman" w:cs="Times New Roman"/>
            <w:color w:val="auto"/>
            <w:sz w:val="21"/>
            <w:szCs w:val="21"/>
            <w:u w:val="none"/>
          </w:rPr>
          <w:t>http://www.aup.ni/books/m63/8.htm</w:t>
        </w:r>
      </w:hyperlink>
      <w:r w:rsidRPr="004F5499">
        <w:rPr>
          <w:rFonts w:ascii="Times New Roman" w:hAnsi="Times New Roman" w:cs="Times New Roman"/>
          <w:sz w:val="21"/>
          <w:szCs w:val="21"/>
        </w:rPr>
        <w:t>.</w:t>
      </w:r>
      <w:bookmarkEnd w:id="171"/>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72" w:name="_Ref433976749"/>
      <w:r w:rsidRPr="005A2094">
        <w:rPr>
          <w:rFonts w:ascii="Times New Roman" w:hAnsi="Times New Roman" w:cs="Times New Roman"/>
          <w:sz w:val="21"/>
          <w:szCs w:val="21"/>
        </w:rPr>
        <w:t xml:space="preserve">Есинова Н. И. Экономика труда и социально-трудовые </w:t>
      </w:r>
      <w:r w:rsidRPr="004F5499">
        <w:rPr>
          <w:rFonts w:ascii="Times New Roman" w:hAnsi="Times New Roman" w:cs="Times New Roman"/>
          <w:spacing w:val="-4"/>
          <w:sz w:val="21"/>
          <w:szCs w:val="21"/>
        </w:rPr>
        <w:t>отношении : учеб. пособ. / Н. И. Есинова. – К. : Кондор, 2003. – 462 с.</w:t>
      </w:r>
      <w:bookmarkEnd w:id="172"/>
    </w:p>
    <w:p w:rsidR="00B233DE" w:rsidRDefault="00B233DE" w:rsidP="00B233DE">
      <w:pPr>
        <w:pStyle w:val="ad"/>
        <w:numPr>
          <w:ilvl w:val="0"/>
          <w:numId w:val="13"/>
        </w:numPr>
        <w:tabs>
          <w:tab w:val="left" w:pos="1134"/>
        </w:tabs>
        <w:ind w:left="0" w:firstLine="709"/>
        <w:jc w:val="both"/>
        <w:rPr>
          <w:rStyle w:val="issue"/>
          <w:rFonts w:ascii="Times New Roman" w:hAnsi="Times New Roman" w:cs="Times New Roman"/>
          <w:sz w:val="21"/>
          <w:szCs w:val="21"/>
        </w:rPr>
      </w:pPr>
      <w:bookmarkStart w:id="173" w:name="_Ref433977382"/>
      <w:r w:rsidRPr="004F5499">
        <w:rPr>
          <w:rFonts w:ascii="Times New Roman" w:hAnsi="Times New Roman" w:cs="Times New Roman"/>
          <w:spacing w:val="-6"/>
          <w:sz w:val="21"/>
          <w:szCs w:val="21"/>
        </w:rPr>
        <w:t xml:space="preserve">Єделєв Р. С. Принципи ефективного врядування в ЄС / </w:t>
      </w:r>
      <w:r>
        <w:rPr>
          <w:rFonts w:ascii="Times New Roman" w:hAnsi="Times New Roman" w:cs="Times New Roman"/>
          <w:sz w:val="21"/>
          <w:szCs w:val="21"/>
        </w:rPr>
        <w:t>Р. С. </w:t>
      </w:r>
      <w:r w:rsidRPr="004F5499">
        <w:rPr>
          <w:rFonts w:ascii="Times New Roman" w:hAnsi="Times New Roman" w:cs="Times New Roman"/>
          <w:sz w:val="21"/>
          <w:szCs w:val="21"/>
        </w:rPr>
        <w:t>Єделєв // Теорія та практика державного управління. – 2010. – № 2. – С. 1–6.</w:t>
      </w:r>
      <w:bookmarkEnd w:id="173"/>
      <w:r w:rsidRPr="004F5499">
        <w:rPr>
          <w:rStyle w:val="issue"/>
          <w:rFonts w:ascii="Times New Roman" w:hAnsi="Times New Roman" w:cs="Times New Roman"/>
          <w:sz w:val="21"/>
          <w:szCs w:val="21"/>
        </w:rPr>
        <w:t xml:space="preserve"> </w:t>
      </w:r>
    </w:p>
    <w:p w:rsidR="00B233DE" w:rsidRPr="004F5499"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74" w:name="_Ref433976582"/>
      <w:r w:rsidRPr="004F5499">
        <w:rPr>
          <w:rFonts w:ascii="Times New Roman" w:hAnsi="Times New Roman" w:cs="Times New Roman"/>
          <w:sz w:val="21"/>
          <w:szCs w:val="21"/>
        </w:rPr>
        <w:t>Завіновська Г. Т. Економіка праці</w:t>
      </w:r>
      <w:r>
        <w:rPr>
          <w:rFonts w:ascii="Times New Roman" w:hAnsi="Times New Roman" w:cs="Times New Roman"/>
          <w:sz w:val="21"/>
          <w:szCs w:val="21"/>
        </w:rPr>
        <w:t xml:space="preserve"> </w:t>
      </w:r>
      <w:r w:rsidRPr="004F5499">
        <w:rPr>
          <w:rFonts w:ascii="Times New Roman" w:hAnsi="Times New Roman" w:cs="Times New Roman"/>
          <w:sz w:val="21"/>
          <w:szCs w:val="21"/>
        </w:rPr>
        <w:t>: навч. посібник/</w:t>
      </w:r>
      <w:r>
        <w:rPr>
          <w:rFonts w:ascii="Times New Roman" w:hAnsi="Times New Roman" w:cs="Times New Roman"/>
          <w:sz w:val="21"/>
          <w:szCs w:val="21"/>
        </w:rPr>
        <w:t xml:space="preserve"> Г. Т. </w:t>
      </w:r>
      <w:r w:rsidRPr="004F5499">
        <w:rPr>
          <w:rFonts w:ascii="Times New Roman" w:hAnsi="Times New Roman" w:cs="Times New Roman"/>
          <w:sz w:val="21"/>
          <w:szCs w:val="21"/>
        </w:rPr>
        <w:t>Завіновська</w:t>
      </w:r>
      <w:r>
        <w:rPr>
          <w:rFonts w:ascii="Times New Roman" w:hAnsi="Times New Roman" w:cs="Times New Roman"/>
          <w:sz w:val="21"/>
          <w:szCs w:val="21"/>
        </w:rPr>
        <w:t>.</w:t>
      </w:r>
      <w:r w:rsidRPr="004F5499">
        <w:rPr>
          <w:rFonts w:ascii="Times New Roman" w:hAnsi="Times New Roman" w:cs="Times New Roman"/>
          <w:sz w:val="21"/>
          <w:szCs w:val="21"/>
        </w:rPr>
        <w:t xml:space="preserve"> – К.</w:t>
      </w:r>
      <w:r>
        <w:rPr>
          <w:rFonts w:ascii="Times New Roman" w:hAnsi="Times New Roman" w:cs="Times New Roman"/>
          <w:sz w:val="21"/>
          <w:szCs w:val="21"/>
        </w:rPr>
        <w:t xml:space="preserve"> : КНЕУ, 2000. – </w:t>
      </w:r>
      <w:r w:rsidRPr="004F5499">
        <w:rPr>
          <w:rFonts w:ascii="Times New Roman" w:hAnsi="Times New Roman" w:cs="Times New Roman"/>
          <w:sz w:val="21"/>
          <w:szCs w:val="21"/>
        </w:rPr>
        <w:t>355 с.</w:t>
      </w:r>
      <w:bookmarkEnd w:id="174"/>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75" w:name="_Ref435690151"/>
      <w:r w:rsidRPr="005A2094">
        <w:rPr>
          <w:rFonts w:ascii="Times New Roman" w:hAnsi="Times New Roman" w:cs="Times New Roman"/>
          <w:sz w:val="21"/>
          <w:szCs w:val="21"/>
        </w:rPr>
        <w:t xml:space="preserve">Заяць Т. А. </w:t>
      </w:r>
      <w:r w:rsidRPr="005A2094">
        <w:rPr>
          <w:rStyle w:val="title1"/>
          <w:rFonts w:ascii="Times New Roman" w:hAnsi="Times New Roman" w:cs="Times New Roman"/>
          <w:b w:val="0"/>
        </w:rPr>
        <w:t>Економічне регулювання сфери відтворення робочої сили</w:t>
      </w:r>
      <w:r>
        <w:rPr>
          <w:rFonts w:ascii="Times New Roman" w:hAnsi="Times New Roman" w:cs="Times New Roman"/>
          <w:sz w:val="21"/>
          <w:szCs w:val="21"/>
        </w:rPr>
        <w:t xml:space="preserve"> / Т. А. Заяць</w:t>
      </w:r>
      <w:r w:rsidRPr="005A2094">
        <w:rPr>
          <w:rFonts w:ascii="Times New Roman" w:hAnsi="Times New Roman" w:cs="Times New Roman"/>
          <w:sz w:val="21"/>
          <w:szCs w:val="21"/>
        </w:rPr>
        <w:t>. – К. : Ленвіт, 1997. – 151 с.</w:t>
      </w:r>
      <w:bookmarkEnd w:id="175"/>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76" w:name="_Ref433977142"/>
      <w:r w:rsidRPr="005A2094">
        <w:rPr>
          <w:rFonts w:ascii="Times New Roman" w:hAnsi="Times New Roman" w:cs="Times New Roman"/>
          <w:bCs/>
          <w:sz w:val="21"/>
          <w:szCs w:val="21"/>
        </w:rPr>
        <w:t>Злупко</w:t>
      </w:r>
      <w:r w:rsidRPr="005A2094">
        <w:rPr>
          <w:rFonts w:ascii="Times New Roman" w:hAnsi="Times New Roman" w:cs="Times New Roman"/>
          <w:b/>
          <w:bCs/>
          <w:sz w:val="21"/>
          <w:szCs w:val="21"/>
        </w:rPr>
        <w:t xml:space="preserve"> </w:t>
      </w:r>
      <w:r w:rsidRPr="005A2094">
        <w:rPr>
          <w:rFonts w:ascii="Times New Roman" w:hAnsi="Times New Roman" w:cs="Times New Roman"/>
          <w:bCs/>
          <w:sz w:val="21"/>
          <w:szCs w:val="21"/>
        </w:rPr>
        <w:t>С. М. Історія екон</w:t>
      </w:r>
      <w:r>
        <w:rPr>
          <w:rFonts w:ascii="Times New Roman" w:hAnsi="Times New Roman" w:cs="Times New Roman"/>
          <w:bCs/>
          <w:sz w:val="21"/>
          <w:szCs w:val="21"/>
        </w:rPr>
        <w:t>омічної теорії : підручник / С. М. Злупко</w:t>
      </w:r>
      <w:r w:rsidRPr="005A2094">
        <w:rPr>
          <w:rFonts w:ascii="Times New Roman" w:hAnsi="Times New Roman" w:cs="Times New Roman"/>
          <w:bCs/>
          <w:sz w:val="21"/>
          <w:szCs w:val="21"/>
        </w:rPr>
        <w:t xml:space="preserve">. </w:t>
      </w:r>
      <w:r w:rsidRPr="005A2094">
        <w:rPr>
          <w:rFonts w:ascii="Times New Roman" w:hAnsi="Times New Roman" w:cs="Times New Roman"/>
          <w:sz w:val="21"/>
          <w:szCs w:val="21"/>
        </w:rPr>
        <w:t>–</w:t>
      </w:r>
      <w:r w:rsidRPr="005A2094">
        <w:rPr>
          <w:rFonts w:ascii="Times New Roman" w:hAnsi="Times New Roman" w:cs="Times New Roman"/>
          <w:bCs/>
          <w:sz w:val="21"/>
          <w:szCs w:val="21"/>
        </w:rPr>
        <w:t xml:space="preserve"> 2-ге вид., випр. і допов. </w:t>
      </w:r>
      <w:r w:rsidRPr="005A2094">
        <w:rPr>
          <w:rFonts w:ascii="Times New Roman" w:hAnsi="Times New Roman" w:cs="Times New Roman"/>
          <w:sz w:val="21"/>
          <w:szCs w:val="21"/>
        </w:rPr>
        <w:t>–</w:t>
      </w:r>
      <w:r w:rsidRPr="005A2094">
        <w:rPr>
          <w:rFonts w:ascii="Times New Roman" w:hAnsi="Times New Roman" w:cs="Times New Roman"/>
          <w:bCs/>
          <w:sz w:val="21"/>
          <w:szCs w:val="21"/>
        </w:rPr>
        <w:t xml:space="preserve"> К. : Знання, 2005. </w:t>
      </w:r>
      <w:r w:rsidRPr="005A2094">
        <w:rPr>
          <w:rFonts w:ascii="Times New Roman" w:hAnsi="Times New Roman" w:cs="Times New Roman"/>
          <w:sz w:val="21"/>
          <w:szCs w:val="21"/>
        </w:rPr>
        <w:t>–</w:t>
      </w:r>
      <w:r w:rsidRPr="005A2094">
        <w:rPr>
          <w:rFonts w:ascii="Times New Roman" w:hAnsi="Times New Roman" w:cs="Times New Roman"/>
          <w:bCs/>
          <w:sz w:val="21"/>
          <w:szCs w:val="21"/>
        </w:rPr>
        <w:t xml:space="preserve"> 719 с.</w:t>
      </w:r>
      <w:bookmarkEnd w:id="176"/>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77" w:name="_Ref433977449"/>
      <w:r w:rsidRPr="005A2094">
        <w:rPr>
          <w:rFonts w:ascii="Times New Roman" w:hAnsi="Times New Roman" w:cs="Times New Roman"/>
          <w:sz w:val="21"/>
          <w:szCs w:val="21"/>
        </w:rPr>
        <w:t xml:space="preserve">Зуб М. Я. Закономірності, принципи, методи забезпечення ринкової інфраструктури попиту і пропозиції робочої </w:t>
      </w:r>
      <w:r w:rsidRPr="005A2094">
        <w:rPr>
          <w:rFonts w:ascii="Times New Roman" w:hAnsi="Times New Roman" w:cs="Times New Roman"/>
          <w:sz w:val="21"/>
          <w:szCs w:val="21"/>
        </w:rPr>
        <w:lastRenderedPageBreak/>
        <w:t>сили / М. Я. Зуб // Галицький економічний вісник. – 2011. – № 2. – С. 38–44.</w:t>
      </w:r>
      <w:bookmarkEnd w:id="177"/>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78" w:name="_Ref433977495"/>
      <w:r w:rsidRPr="005A2094">
        <w:rPr>
          <w:rFonts w:ascii="Times New Roman" w:hAnsi="Times New Roman" w:cs="Times New Roman"/>
          <w:sz w:val="21"/>
          <w:szCs w:val="21"/>
        </w:rPr>
        <w:t>Зуб М. Я. Організаційно-економічний механізм регулювання і розвитку регіонального ринку праці за умов євроінтеграції : дис... ка</w:t>
      </w:r>
      <w:r>
        <w:rPr>
          <w:rFonts w:ascii="Times New Roman" w:hAnsi="Times New Roman" w:cs="Times New Roman"/>
          <w:sz w:val="21"/>
          <w:szCs w:val="21"/>
        </w:rPr>
        <w:t>нд. екон. наук, Хмельн. Нац. Ун</w:t>
      </w:r>
      <w:r w:rsidRPr="005A2094">
        <w:rPr>
          <w:rFonts w:ascii="Times New Roman" w:hAnsi="Times New Roman" w:cs="Times New Roman"/>
          <w:sz w:val="21"/>
          <w:szCs w:val="21"/>
        </w:rPr>
        <w:t>-т. – Хмельницький, 2013. – 260 с.</w:t>
      </w:r>
      <w:bookmarkEnd w:id="178"/>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79" w:name="_Ref433976897"/>
      <w:r w:rsidRPr="005A2094">
        <w:rPr>
          <w:rFonts w:ascii="Times New Roman" w:hAnsi="Times New Roman" w:cs="Times New Roman"/>
          <w:sz w:val="21"/>
          <w:szCs w:val="21"/>
        </w:rPr>
        <w:t>Історія економічних учень</w:t>
      </w:r>
      <w:r>
        <w:rPr>
          <w:rFonts w:ascii="Times New Roman" w:hAnsi="Times New Roman" w:cs="Times New Roman"/>
          <w:sz w:val="21"/>
          <w:szCs w:val="21"/>
        </w:rPr>
        <w:t xml:space="preserve"> : п</w:t>
      </w:r>
      <w:r w:rsidRPr="005A2094">
        <w:rPr>
          <w:rFonts w:ascii="Times New Roman" w:hAnsi="Times New Roman" w:cs="Times New Roman"/>
          <w:sz w:val="21"/>
          <w:szCs w:val="21"/>
        </w:rPr>
        <w:t>ідручник / За ред. В.</w:t>
      </w:r>
      <w:r>
        <w:rPr>
          <w:rFonts w:ascii="Times New Roman" w:hAnsi="Times New Roman" w:cs="Times New Roman"/>
          <w:sz w:val="21"/>
          <w:szCs w:val="21"/>
        </w:rPr>
        <w:t> Д. </w:t>
      </w:r>
      <w:r w:rsidRPr="005A2094">
        <w:rPr>
          <w:rFonts w:ascii="Times New Roman" w:hAnsi="Times New Roman" w:cs="Times New Roman"/>
          <w:sz w:val="21"/>
          <w:szCs w:val="21"/>
        </w:rPr>
        <w:t>Базилевича. – К.</w:t>
      </w:r>
      <w:r>
        <w:rPr>
          <w:rFonts w:ascii="Times New Roman" w:hAnsi="Times New Roman" w:cs="Times New Roman"/>
          <w:sz w:val="21"/>
          <w:szCs w:val="21"/>
        </w:rPr>
        <w:t xml:space="preserve"> </w:t>
      </w:r>
      <w:r w:rsidRPr="005A2094">
        <w:rPr>
          <w:rFonts w:ascii="Times New Roman" w:hAnsi="Times New Roman" w:cs="Times New Roman"/>
          <w:sz w:val="21"/>
          <w:szCs w:val="21"/>
        </w:rPr>
        <w:t>: Знання, 2004. – 1300 с.</w:t>
      </w:r>
      <w:bookmarkEnd w:id="179"/>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80" w:name="_Ref433977224"/>
      <w:r w:rsidRPr="005A2094">
        <w:rPr>
          <w:rFonts w:ascii="Times New Roman" w:hAnsi="Times New Roman" w:cs="Times New Roman"/>
          <w:sz w:val="21"/>
          <w:szCs w:val="21"/>
        </w:rPr>
        <w:t xml:space="preserve">Карпіщенко О. І. Економіка праці та соціально-трудові відносини : навч. </w:t>
      </w:r>
      <w:r w:rsidRPr="005A2094">
        <w:rPr>
          <w:rFonts w:ascii="Times New Roman" w:hAnsi="Times New Roman" w:cs="Times New Roman"/>
          <w:spacing w:val="-4"/>
          <w:sz w:val="21"/>
          <w:szCs w:val="21"/>
        </w:rPr>
        <w:t>посіб. для студ. ВНЗ / О. І. Карпіщенко. – Суми : Університетська книга, 2006. – 264 с.</w:t>
      </w:r>
      <w:bookmarkEnd w:id="180"/>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81" w:name="_Ref433976810"/>
      <w:r w:rsidRPr="005A2094">
        <w:rPr>
          <w:rFonts w:ascii="Times New Roman" w:hAnsi="Times New Roman" w:cs="Times New Roman"/>
          <w:sz w:val="21"/>
          <w:szCs w:val="21"/>
        </w:rPr>
        <w:t>Кашепов А. В. Рынок труда</w:t>
      </w:r>
      <w:r>
        <w:rPr>
          <w:rFonts w:ascii="Times New Roman" w:hAnsi="Times New Roman" w:cs="Times New Roman"/>
          <w:sz w:val="21"/>
          <w:szCs w:val="21"/>
        </w:rPr>
        <w:t xml:space="preserve"> </w:t>
      </w:r>
      <w:r w:rsidRPr="005A2094">
        <w:rPr>
          <w:rFonts w:ascii="Times New Roman" w:hAnsi="Times New Roman" w:cs="Times New Roman"/>
          <w:sz w:val="21"/>
          <w:szCs w:val="21"/>
        </w:rPr>
        <w:t>: п</w:t>
      </w:r>
      <w:r>
        <w:rPr>
          <w:rFonts w:ascii="Times New Roman" w:hAnsi="Times New Roman" w:cs="Times New Roman"/>
          <w:sz w:val="21"/>
          <w:szCs w:val="21"/>
        </w:rPr>
        <w:t>роблемы и решения : монография</w:t>
      </w:r>
      <w:r w:rsidRPr="005A2094">
        <w:rPr>
          <w:rFonts w:ascii="Times New Roman" w:hAnsi="Times New Roman" w:cs="Times New Roman"/>
          <w:sz w:val="21"/>
          <w:szCs w:val="21"/>
        </w:rPr>
        <w:t xml:space="preserve"> / А. В. Кашепов, С. С. Сулашкин, А. С. Малчинов. – М. : Научный эксперт, 2008. – 232 с.</w:t>
      </w:r>
      <w:bookmarkEnd w:id="181"/>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82" w:name="_Ref433977597"/>
      <w:r w:rsidRPr="005A2094">
        <w:rPr>
          <w:rFonts w:ascii="Times New Roman" w:hAnsi="Times New Roman" w:cs="Times New Roman"/>
          <w:spacing w:val="-8"/>
          <w:sz w:val="21"/>
          <w:szCs w:val="21"/>
        </w:rPr>
        <w:t>Кибанов А.</w:t>
      </w:r>
      <w:r>
        <w:rPr>
          <w:rFonts w:ascii="Times New Roman" w:hAnsi="Times New Roman" w:cs="Times New Roman"/>
          <w:spacing w:val="-8"/>
          <w:sz w:val="21"/>
          <w:szCs w:val="21"/>
        </w:rPr>
        <w:t xml:space="preserve"> </w:t>
      </w:r>
      <w:r w:rsidRPr="005A2094">
        <w:rPr>
          <w:rFonts w:ascii="Times New Roman" w:hAnsi="Times New Roman" w:cs="Times New Roman"/>
          <w:spacing w:val="-8"/>
          <w:sz w:val="21"/>
          <w:szCs w:val="21"/>
        </w:rPr>
        <w:t>Я. Упр</w:t>
      </w:r>
      <w:r>
        <w:rPr>
          <w:rFonts w:ascii="Times New Roman" w:hAnsi="Times New Roman" w:cs="Times New Roman"/>
          <w:spacing w:val="-8"/>
          <w:sz w:val="21"/>
          <w:szCs w:val="21"/>
        </w:rPr>
        <w:t>авление персоналом организации / А. Я. Кибанов. –</w:t>
      </w:r>
      <w:r w:rsidRPr="005A2094">
        <w:rPr>
          <w:rFonts w:ascii="Times New Roman" w:hAnsi="Times New Roman" w:cs="Times New Roman"/>
          <w:spacing w:val="-8"/>
          <w:sz w:val="21"/>
          <w:szCs w:val="21"/>
        </w:rPr>
        <w:t xml:space="preserve"> 2-е изд., д</w:t>
      </w:r>
      <w:r>
        <w:rPr>
          <w:rFonts w:ascii="Times New Roman" w:hAnsi="Times New Roman" w:cs="Times New Roman"/>
          <w:spacing w:val="-8"/>
          <w:sz w:val="21"/>
          <w:szCs w:val="21"/>
        </w:rPr>
        <w:t>оп. и перераб</w:t>
      </w:r>
      <w:r w:rsidRPr="005A2094">
        <w:rPr>
          <w:rFonts w:ascii="Times New Roman" w:hAnsi="Times New Roman" w:cs="Times New Roman"/>
          <w:spacing w:val="-8"/>
          <w:sz w:val="21"/>
          <w:szCs w:val="21"/>
        </w:rPr>
        <w:t>. – М. : ИНФРА-М, 2002. – 638 с.</w:t>
      </w:r>
      <w:bookmarkEnd w:id="182"/>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r w:rsidRPr="005A2094">
        <w:rPr>
          <w:rFonts w:ascii="Times New Roman" w:hAnsi="Times New Roman" w:cs="Times New Roman"/>
          <w:sz w:val="21"/>
          <w:szCs w:val="21"/>
        </w:rPr>
        <w:t>Коваленко Н. С. Соціальний аспект функціонування інституційної структури ринку праці України в умовах посилення впливу глобалізаційних процесів / Н. С. Коваленко // Зб. наук. пр. Кіровоград. нац. тех</w:t>
      </w:r>
      <w:r>
        <w:rPr>
          <w:rFonts w:ascii="Times New Roman" w:hAnsi="Times New Roman" w:cs="Times New Roman"/>
          <w:sz w:val="21"/>
          <w:szCs w:val="21"/>
        </w:rPr>
        <w:t>н. ун-ту. – 2009. – Вип. 16, ч</w:t>
      </w:r>
      <w:r w:rsidRPr="005A2094">
        <w:rPr>
          <w:rFonts w:ascii="Times New Roman" w:hAnsi="Times New Roman" w:cs="Times New Roman"/>
          <w:sz w:val="21"/>
          <w:szCs w:val="21"/>
        </w:rPr>
        <w:t>. 1 – С. 89</w:t>
      </w:r>
      <w:r>
        <w:rPr>
          <w:rFonts w:ascii="Times New Roman" w:hAnsi="Times New Roman" w:cs="Times New Roman"/>
          <w:sz w:val="21"/>
          <w:szCs w:val="21"/>
        </w:rPr>
        <w:t>–</w:t>
      </w:r>
      <w:r w:rsidRPr="005A2094">
        <w:rPr>
          <w:rFonts w:ascii="Times New Roman" w:hAnsi="Times New Roman" w:cs="Times New Roman"/>
          <w:sz w:val="21"/>
          <w:szCs w:val="21"/>
        </w:rPr>
        <w:t>93.</w:t>
      </w:r>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83" w:name="_Ref433977055"/>
      <w:r>
        <w:rPr>
          <w:rFonts w:ascii="Times New Roman" w:hAnsi="Times New Roman" w:cs="Times New Roman"/>
          <w:sz w:val="21"/>
          <w:szCs w:val="21"/>
        </w:rPr>
        <w:t xml:space="preserve">Колот А. </w:t>
      </w:r>
      <w:r w:rsidRPr="005A2094">
        <w:rPr>
          <w:rFonts w:ascii="Times New Roman" w:hAnsi="Times New Roman" w:cs="Times New Roman"/>
          <w:sz w:val="21"/>
          <w:szCs w:val="21"/>
        </w:rPr>
        <w:t>М. Наука про працю – теорети</w:t>
      </w:r>
      <w:r>
        <w:rPr>
          <w:rFonts w:ascii="Times New Roman" w:hAnsi="Times New Roman" w:cs="Times New Roman"/>
          <w:sz w:val="21"/>
          <w:szCs w:val="21"/>
        </w:rPr>
        <w:t xml:space="preserve">ко-методологічне оновлення / А. М. </w:t>
      </w:r>
      <w:r w:rsidRPr="005A2094">
        <w:rPr>
          <w:rFonts w:ascii="Times New Roman" w:hAnsi="Times New Roman" w:cs="Times New Roman"/>
          <w:sz w:val="21"/>
          <w:szCs w:val="21"/>
        </w:rPr>
        <w:t xml:space="preserve">Колот // </w:t>
      </w:r>
      <w:r>
        <w:rPr>
          <w:rFonts w:ascii="Times New Roman" w:hAnsi="Times New Roman" w:cs="Times New Roman"/>
          <w:sz w:val="21"/>
          <w:szCs w:val="21"/>
        </w:rPr>
        <w:t xml:space="preserve">Україна </w:t>
      </w:r>
      <w:r w:rsidRPr="005A2094">
        <w:rPr>
          <w:rFonts w:ascii="Times New Roman" w:hAnsi="Times New Roman" w:cs="Times New Roman"/>
          <w:sz w:val="21"/>
          <w:szCs w:val="21"/>
        </w:rPr>
        <w:t>: аспекти праці. – 2013. – №</w:t>
      </w:r>
      <w:r>
        <w:rPr>
          <w:rFonts w:ascii="Times New Roman" w:hAnsi="Times New Roman" w:cs="Times New Roman"/>
          <w:sz w:val="21"/>
          <w:szCs w:val="21"/>
        </w:rPr>
        <w:t xml:space="preserve"> </w:t>
      </w:r>
      <w:r w:rsidRPr="005A2094">
        <w:rPr>
          <w:rFonts w:ascii="Times New Roman" w:hAnsi="Times New Roman" w:cs="Times New Roman"/>
          <w:sz w:val="21"/>
          <w:szCs w:val="21"/>
        </w:rPr>
        <w:t>1. – С. 45</w:t>
      </w:r>
      <w:r>
        <w:rPr>
          <w:rFonts w:ascii="Times New Roman" w:hAnsi="Times New Roman" w:cs="Times New Roman"/>
          <w:sz w:val="21"/>
          <w:szCs w:val="21"/>
        </w:rPr>
        <w:t>–</w:t>
      </w:r>
      <w:r w:rsidRPr="005A2094">
        <w:rPr>
          <w:rFonts w:ascii="Times New Roman" w:hAnsi="Times New Roman" w:cs="Times New Roman"/>
          <w:sz w:val="21"/>
          <w:szCs w:val="21"/>
        </w:rPr>
        <w:t>49.</w:t>
      </w:r>
      <w:bookmarkEnd w:id="183"/>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84" w:name="_Ref433977628"/>
      <w:r w:rsidRPr="005A2094">
        <w:rPr>
          <w:rFonts w:ascii="Times New Roman" w:hAnsi="Times New Roman" w:cs="Times New Roman"/>
          <w:spacing w:val="-8"/>
          <w:sz w:val="21"/>
          <w:szCs w:val="21"/>
        </w:rPr>
        <w:t>Колот А.</w:t>
      </w:r>
      <w:r>
        <w:rPr>
          <w:rFonts w:ascii="Times New Roman" w:hAnsi="Times New Roman" w:cs="Times New Roman"/>
          <w:spacing w:val="-8"/>
          <w:sz w:val="21"/>
          <w:szCs w:val="21"/>
        </w:rPr>
        <w:t xml:space="preserve"> </w:t>
      </w:r>
      <w:r w:rsidRPr="005A2094">
        <w:rPr>
          <w:rFonts w:ascii="Times New Roman" w:hAnsi="Times New Roman" w:cs="Times New Roman"/>
          <w:spacing w:val="-8"/>
          <w:sz w:val="21"/>
          <w:szCs w:val="21"/>
        </w:rPr>
        <w:t>М. Оплата праці на підприємстві</w:t>
      </w:r>
      <w:r>
        <w:rPr>
          <w:rFonts w:ascii="Times New Roman" w:hAnsi="Times New Roman" w:cs="Times New Roman"/>
          <w:spacing w:val="-8"/>
          <w:sz w:val="21"/>
          <w:szCs w:val="21"/>
        </w:rPr>
        <w:t xml:space="preserve"> </w:t>
      </w:r>
      <w:r w:rsidRPr="005A2094">
        <w:rPr>
          <w:rFonts w:ascii="Times New Roman" w:hAnsi="Times New Roman" w:cs="Times New Roman"/>
          <w:spacing w:val="-8"/>
          <w:sz w:val="21"/>
          <w:szCs w:val="21"/>
        </w:rPr>
        <w:t>: організація та вдосконалення / А.</w:t>
      </w:r>
      <w:r>
        <w:rPr>
          <w:rFonts w:ascii="Times New Roman" w:hAnsi="Times New Roman" w:cs="Times New Roman"/>
          <w:spacing w:val="-8"/>
          <w:sz w:val="21"/>
          <w:szCs w:val="21"/>
        </w:rPr>
        <w:t xml:space="preserve"> </w:t>
      </w:r>
      <w:r w:rsidRPr="005A2094">
        <w:rPr>
          <w:rFonts w:ascii="Times New Roman" w:hAnsi="Times New Roman" w:cs="Times New Roman"/>
          <w:spacing w:val="-8"/>
          <w:sz w:val="21"/>
          <w:szCs w:val="21"/>
        </w:rPr>
        <w:t xml:space="preserve">М. Колот. – К. : Праця, 1997. </w:t>
      </w:r>
      <w:r>
        <w:rPr>
          <w:rFonts w:ascii="Times New Roman" w:hAnsi="Times New Roman" w:cs="Times New Roman"/>
          <w:spacing w:val="-8"/>
          <w:sz w:val="21"/>
          <w:szCs w:val="21"/>
        </w:rPr>
        <w:t>–</w:t>
      </w:r>
      <w:r w:rsidRPr="005A2094">
        <w:rPr>
          <w:rFonts w:ascii="Times New Roman" w:hAnsi="Times New Roman" w:cs="Times New Roman"/>
          <w:spacing w:val="-8"/>
          <w:sz w:val="21"/>
          <w:szCs w:val="21"/>
        </w:rPr>
        <w:t xml:space="preserve"> 217 с.</w:t>
      </w:r>
      <w:bookmarkEnd w:id="184"/>
    </w:p>
    <w:p w:rsidR="00B233DE"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85" w:name="_Ref433976653"/>
      <w:r w:rsidRPr="005A2094">
        <w:rPr>
          <w:rFonts w:ascii="Times New Roman" w:hAnsi="Times New Roman" w:cs="Times New Roman"/>
          <w:sz w:val="21"/>
          <w:szCs w:val="21"/>
        </w:rPr>
        <w:t>Колот А.</w:t>
      </w:r>
      <w:r>
        <w:rPr>
          <w:rFonts w:ascii="Times New Roman" w:hAnsi="Times New Roman" w:cs="Times New Roman"/>
          <w:sz w:val="21"/>
          <w:szCs w:val="21"/>
        </w:rPr>
        <w:t xml:space="preserve"> </w:t>
      </w:r>
      <w:r w:rsidRPr="005A2094">
        <w:rPr>
          <w:rFonts w:ascii="Times New Roman" w:hAnsi="Times New Roman" w:cs="Times New Roman"/>
          <w:sz w:val="21"/>
          <w:szCs w:val="21"/>
        </w:rPr>
        <w:t>М. Соціально-трудові відносини</w:t>
      </w:r>
      <w:r>
        <w:rPr>
          <w:rFonts w:ascii="Times New Roman" w:hAnsi="Times New Roman" w:cs="Times New Roman"/>
          <w:sz w:val="21"/>
          <w:szCs w:val="21"/>
        </w:rPr>
        <w:t xml:space="preserve"> </w:t>
      </w:r>
      <w:r w:rsidRPr="005A2094">
        <w:rPr>
          <w:rFonts w:ascii="Times New Roman" w:hAnsi="Times New Roman" w:cs="Times New Roman"/>
          <w:sz w:val="21"/>
          <w:szCs w:val="21"/>
        </w:rPr>
        <w:t>: теорія і практика регулювання</w:t>
      </w:r>
      <w:r>
        <w:rPr>
          <w:rFonts w:ascii="Times New Roman" w:hAnsi="Times New Roman" w:cs="Times New Roman"/>
          <w:sz w:val="21"/>
          <w:szCs w:val="21"/>
        </w:rPr>
        <w:t xml:space="preserve"> </w:t>
      </w:r>
      <w:r w:rsidRPr="005A2094">
        <w:rPr>
          <w:rFonts w:ascii="Times New Roman" w:hAnsi="Times New Roman" w:cs="Times New Roman"/>
          <w:sz w:val="21"/>
          <w:szCs w:val="21"/>
        </w:rPr>
        <w:t xml:space="preserve">: </w:t>
      </w:r>
      <w:r>
        <w:rPr>
          <w:rFonts w:ascii="Times New Roman" w:hAnsi="Times New Roman" w:cs="Times New Roman"/>
          <w:sz w:val="21"/>
          <w:szCs w:val="21"/>
        </w:rPr>
        <w:t>монографія / А. М. Колот.</w:t>
      </w:r>
      <w:r w:rsidRPr="005A2094">
        <w:rPr>
          <w:rFonts w:ascii="Times New Roman" w:hAnsi="Times New Roman" w:cs="Times New Roman"/>
          <w:sz w:val="21"/>
          <w:szCs w:val="21"/>
        </w:rPr>
        <w:t xml:space="preserve"> – К. : КНЕУ, 2005. – 230 с.</w:t>
      </w:r>
      <w:bookmarkEnd w:id="185"/>
    </w:p>
    <w:p w:rsidR="00B233DE"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86" w:name="_Ref433976549"/>
      <w:r w:rsidRPr="00AB5FD8">
        <w:rPr>
          <w:rFonts w:ascii="Times New Roman" w:hAnsi="Times New Roman" w:cs="Times New Roman"/>
          <w:sz w:val="21"/>
          <w:szCs w:val="21"/>
        </w:rPr>
        <w:t>Конвенція МОП 1948 р. №</w:t>
      </w:r>
      <w:r>
        <w:rPr>
          <w:rFonts w:ascii="Times New Roman" w:hAnsi="Times New Roman" w:cs="Times New Roman"/>
          <w:sz w:val="21"/>
          <w:szCs w:val="21"/>
        </w:rPr>
        <w:t xml:space="preserve"> </w:t>
      </w:r>
      <w:r w:rsidRPr="00AB5FD8">
        <w:rPr>
          <w:rFonts w:ascii="Times New Roman" w:hAnsi="Times New Roman" w:cs="Times New Roman"/>
          <w:sz w:val="21"/>
          <w:szCs w:val="21"/>
        </w:rPr>
        <w:t>88 «Про організації служби зайнятості» // Конвенции и рекомендаци</w:t>
      </w:r>
      <w:r>
        <w:rPr>
          <w:rFonts w:ascii="Times New Roman" w:hAnsi="Times New Roman" w:cs="Times New Roman"/>
          <w:sz w:val="21"/>
          <w:szCs w:val="21"/>
        </w:rPr>
        <w:t>и</w:t>
      </w:r>
      <w:r w:rsidRPr="00AB5FD8">
        <w:rPr>
          <w:rFonts w:ascii="Times New Roman" w:hAnsi="Times New Roman" w:cs="Times New Roman"/>
          <w:sz w:val="21"/>
          <w:szCs w:val="21"/>
        </w:rPr>
        <w:t>, приняты</w:t>
      </w:r>
      <w:r>
        <w:rPr>
          <w:rFonts w:ascii="Times New Roman" w:hAnsi="Times New Roman" w:cs="Times New Roman"/>
          <w:sz w:val="21"/>
          <w:szCs w:val="21"/>
        </w:rPr>
        <w:t>е</w:t>
      </w:r>
      <w:r w:rsidRPr="00AB5FD8">
        <w:rPr>
          <w:rFonts w:ascii="Times New Roman" w:hAnsi="Times New Roman" w:cs="Times New Roman"/>
          <w:sz w:val="21"/>
          <w:szCs w:val="21"/>
        </w:rPr>
        <w:t xml:space="preserve"> Международной организацией труда. 1965</w:t>
      </w:r>
      <w:r>
        <w:rPr>
          <w:rFonts w:ascii="Times New Roman" w:hAnsi="Times New Roman" w:cs="Times New Roman"/>
          <w:sz w:val="21"/>
          <w:szCs w:val="21"/>
        </w:rPr>
        <w:t>–</w:t>
      </w:r>
      <w:r w:rsidRPr="00AB5FD8">
        <w:rPr>
          <w:rFonts w:ascii="Times New Roman" w:hAnsi="Times New Roman" w:cs="Times New Roman"/>
          <w:sz w:val="21"/>
          <w:szCs w:val="21"/>
        </w:rPr>
        <w:t xml:space="preserve">1999. – Т. І. </w:t>
      </w:r>
      <w:r>
        <w:rPr>
          <w:rFonts w:ascii="Times New Roman" w:hAnsi="Times New Roman" w:cs="Times New Roman"/>
          <w:sz w:val="21"/>
          <w:szCs w:val="21"/>
        </w:rPr>
        <w:t xml:space="preserve">– </w:t>
      </w:r>
      <w:r w:rsidRPr="00AB5FD8">
        <w:rPr>
          <w:rFonts w:ascii="Times New Roman" w:hAnsi="Times New Roman" w:cs="Times New Roman"/>
          <w:sz w:val="21"/>
          <w:szCs w:val="21"/>
        </w:rPr>
        <w:t xml:space="preserve">Женева. </w:t>
      </w:r>
      <w:r>
        <w:rPr>
          <w:rFonts w:ascii="Times New Roman" w:hAnsi="Times New Roman" w:cs="Times New Roman"/>
          <w:sz w:val="21"/>
          <w:szCs w:val="21"/>
        </w:rPr>
        <w:t>– 518 с.</w:t>
      </w:r>
    </w:p>
    <w:p w:rsidR="00B233DE" w:rsidRPr="00670B8F"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r w:rsidRPr="00670B8F">
        <w:rPr>
          <w:rFonts w:ascii="Times New Roman" w:hAnsi="Times New Roman" w:cs="Times New Roman"/>
          <w:sz w:val="21"/>
          <w:szCs w:val="21"/>
        </w:rPr>
        <w:t>Концепція переходу Української РСР до ринкової економіки, прийнята Верховною Радою України 01. 11. 1990 р. [Електронний ресурс]. – Режим доступу : http://zakon0.rada.gov.ua/laws/show/n0001460-90</w:t>
      </w:r>
      <w:bookmarkEnd w:id="186"/>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87" w:name="_Ref433977546"/>
      <w:r w:rsidRPr="005A2094">
        <w:rPr>
          <w:rFonts w:ascii="Times New Roman" w:hAnsi="Times New Roman" w:cs="Times New Roman"/>
          <w:spacing w:val="-8"/>
          <w:sz w:val="21"/>
          <w:szCs w:val="21"/>
        </w:rPr>
        <w:t>Критский М.</w:t>
      </w:r>
      <w:r>
        <w:rPr>
          <w:rFonts w:ascii="Times New Roman" w:hAnsi="Times New Roman" w:cs="Times New Roman"/>
          <w:spacing w:val="-8"/>
          <w:sz w:val="21"/>
          <w:szCs w:val="21"/>
        </w:rPr>
        <w:t xml:space="preserve"> </w:t>
      </w:r>
      <w:r w:rsidRPr="005A2094">
        <w:rPr>
          <w:rFonts w:ascii="Times New Roman" w:hAnsi="Times New Roman" w:cs="Times New Roman"/>
          <w:spacing w:val="-8"/>
          <w:sz w:val="21"/>
          <w:szCs w:val="21"/>
        </w:rPr>
        <w:t>М. Человеческий капитал / М.</w:t>
      </w:r>
      <w:r>
        <w:rPr>
          <w:rFonts w:ascii="Times New Roman" w:hAnsi="Times New Roman" w:cs="Times New Roman"/>
          <w:spacing w:val="-8"/>
          <w:sz w:val="21"/>
          <w:szCs w:val="21"/>
        </w:rPr>
        <w:t xml:space="preserve"> </w:t>
      </w:r>
      <w:r w:rsidRPr="005A2094">
        <w:rPr>
          <w:rFonts w:ascii="Times New Roman" w:hAnsi="Times New Roman" w:cs="Times New Roman"/>
          <w:spacing w:val="-8"/>
          <w:sz w:val="21"/>
          <w:szCs w:val="21"/>
        </w:rPr>
        <w:t>М. Критский. – Ленинград : Ленинградский университет, 1991. – 120 с.</w:t>
      </w:r>
      <w:bookmarkEnd w:id="187"/>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88" w:name="_Ref433977586"/>
      <w:r w:rsidRPr="00670B8F">
        <w:rPr>
          <w:rFonts w:ascii="Times New Roman" w:hAnsi="Times New Roman" w:cs="Times New Roman"/>
          <w:sz w:val="21"/>
          <w:szCs w:val="21"/>
        </w:rPr>
        <w:lastRenderedPageBreak/>
        <w:t xml:space="preserve">Левчук О. В. Управління інвестиціями у людський капітал : </w:t>
      </w:r>
      <w:r w:rsidRPr="00670B8F">
        <w:rPr>
          <w:rFonts w:ascii="Times New Roman" w:hAnsi="Times New Roman" w:cs="Times New Roman"/>
          <w:iCs/>
          <w:sz w:val="21"/>
          <w:szCs w:val="21"/>
        </w:rPr>
        <w:t>автореф. дис. канд. наук : спец.</w:t>
      </w:r>
      <w:r w:rsidRPr="00670B8F">
        <w:rPr>
          <w:rFonts w:ascii="Times New Roman" w:hAnsi="Times New Roman" w:cs="Times New Roman"/>
          <w:sz w:val="21"/>
          <w:szCs w:val="21"/>
        </w:rPr>
        <w:t xml:space="preserve"> 08.01.03 / О. В. Левчук. – Київ, 2008. – 20 с.</w:t>
      </w:r>
      <w:bookmarkEnd w:id="188"/>
    </w:p>
    <w:p w:rsidR="00B233DE" w:rsidRPr="007B704A" w:rsidRDefault="00B233DE" w:rsidP="00B233DE">
      <w:pPr>
        <w:pStyle w:val="ad"/>
        <w:numPr>
          <w:ilvl w:val="0"/>
          <w:numId w:val="13"/>
        </w:numPr>
        <w:tabs>
          <w:tab w:val="left" w:pos="1134"/>
        </w:tabs>
        <w:ind w:left="0" w:firstLine="709"/>
        <w:jc w:val="both"/>
        <w:rPr>
          <w:rFonts w:ascii="Times New Roman" w:hAnsi="Times New Roman" w:cs="Times New Roman"/>
          <w:bCs/>
          <w:sz w:val="21"/>
          <w:szCs w:val="21"/>
          <w:shd w:val="clear" w:color="auto" w:fill="FFFFFF"/>
        </w:rPr>
      </w:pPr>
      <w:bookmarkStart w:id="189" w:name="_Ref435784323"/>
      <w:bookmarkStart w:id="190" w:name="_Ref433976603"/>
      <w:r w:rsidRPr="00AB5FD8">
        <w:rPr>
          <w:rFonts w:ascii="Times New Roman" w:hAnsi="Times New Roman" w:cs="Times New Roman"/>
          <w:sz w:val="21"/>
          <w:szCs w:val="21"/>
        </w:rPr>
        <w:t>Липов В. В. Визначення моделі інноваційного розвитку України</w:t>
      </w:r>
      <w:r>
        <w:rPr>
          <w:rFonts w:ascii="Times New Roman" w:hAnsi="Times New Roman" w:cs="Times New Roman"/>
          <w:sz w:val="21"/>
          <w:szCs w:val="21"/>
        </w:rPr>
        <w:t xml:space="preserve"> </w:t>
      </w:r>
      <w:r w:rsidRPr="00AB5FD8">
        <w:rPr>
          <w:rFonts w:ascii="Times New Roman" w:hAnsi="Times New Roman" w:cs="Times New Roman"/>
          <w:sz w:val="21"/>
          <w:szCs w:val="21"/>
        </w:rPr>
        <w:t>: чинник інституціона</w:t>
      </w:r>
      <w:r>
        <w:rPr>
          <w:rFonts w:ascii="Times New Roman" w:hAnsi="Times New Roman" w:cs="Times New Roman"/>
          <w:sz w:val="21"/>
          <w:szCs w:val="21"/>
        </w:rPr>
        <w:t xml:space="preserve">льної комплементарності / В. В. </w:t>
      </w:r>
      <w:r w:rsidRPr="00AB5FD8">
        <w:rPr>
          <w:rFonts w:ascii="Times New Roman" w:hAnsi="Times New Roman" w:cs="Times New Roman"/>
          <w:sz w:val="21"/>
          <w:szCs w:val="21"/>
        </w:rPr>
        <w:t>Ли</w:t>
      </w:r>
      <w:r>
        <w:rPr>
          <w:rFonts w:ascii="Times New Roman" w:hAnsi="Times New Roman" w:cs="Times New Roman"/>
          <w:sz w:val="21"/>
          <w:szCs w:val="21"/>
        </w:rPr>
        <w:t>-</w:t>
      </w:r>
      <w:r w:rsidRPr="00AB5FD8">
        <w:rPr>
          <w:rFonts w:ascii="Times New Roman" w:hAnsi="Times New Roman" w:cs="Times New Roman"/>
          <w:sz w:val="21"/>
          <w:szCs w:val="21"/>
        </w:rPr>
        <w:t>пов // Вісник Хмельницького національного університету. Економічні науки. – 2009. – № 5, т. 1. – С. 81–86.</w:t>
      </w:r>
      <w:bookmarkEnd w:id="189"/>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bCs/>
          <w:sz w:val="21"/>
          <w:szCs w:val="21"/>
          <w:shd w:val="clear" w:color="auto" w:fill="FFFFFF"/>
        </w:rPr>
      </w:pPr>
      <w:r w:rsidRPr="005A2094">
        <w:rPr>
          <w:rFonts w:ascii="Times New Roman" w:hAnsi="Times New Roman" w:cs="Times New Roman"/>
          <w:sz w:val="21"/>
          <w:szCs w:val="21"/>
        </w:rPr>
        <w:t>Лібанова Е. М. Ринок праці</w:t>
      </w:r>
      <w:r>
        <w:rPr>
          <w:rFonts w:ascii="Times New Roman" w:hAnsi="Times New Roman" w:cs="Times New Roman"/>
          <w:sz w:val="21"/>
          <w:szCs w:val="21"/>
        </w:rPr>
        <w:t xml:space="preserve"> : навч. посібник/ Е. М. </w:t>
      </w:r>
      <w:r w:rsidRPr="005A2094">
        <w:rPr>
          <w:rFonts w:ascii="Times New Roman" w:hAnsi="Times New Roman" w:cs="Times New Roman"/>
          <w:sz w:val="21"/>
          <w:szCs w:val="21"/>
        </w:rPr>
        <w:t>Лібанова – К.</w:t>
      </w:r>
      <w:r>
        <w:rPr>
          <w:rFonts w:ascii="Times New Roman" w:hAnsi="Times New Roman" w:cs="Times New Roman"/>
          <w:sz w:val="21"/>
          <w:szCs w:val="21"/>
        </w:rPr>
        <w:t xml:space="preserve"> </w:t>
      </w:r>
      <w:r w:rsidRPr="005A2094">
        <w:rPr>
          <w:rFonts w:ascii="Times New Roman" w:hAnsi="Times New Roman" w:cs="Times New Roman"/>
          <w:sz w:val="21"/>
          <w:szCs w:val="21"/>
        </w:rPr>
        <w:t>: Центр навчальної літератури, 2003. – 224 с.</w:t>
      </w:r>
      <w:bookmarkEnd w:id="190"/>
    </w:p>
    <w:p w:rsidR="00B233DE" w:rsidRPr="007B704A"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191" w:name="_Ref435784076"/>
      <w:bookmarkStart w:id="192" w:name="_Ref433977605"/>
      <w:r>
        <w:rPr>
          <w:rFonts w:ascii="Times New Roman" w:hAnsi="Times New Roman" w:cs="Times New Roman"/>
          <w:sz w:val="21"/>
          <w:szCs w:val="21"/>
        </w:rPr>
        <w:t xml:space="preserve">Лісогор Л. </w:t>
      </w:r>
      <w:r w:rsidRPr="00AB5FD8">
        <w:rPr>
          <w:rFonts w:ascii="Times New Roman" w:hAnsi="Times New Roman" w:cs="Times New Roman"/>
          <w:sz w:val="21"/>
          <w:szCs w:val="21"/>
        </w:rPr>
        <w:t>С. Поліпшення якості трудового життя як напрям удосконалення процесу управління людськими ресурсами / Л. С. Лісогор // Вісник Донецького націо</w:t>
      </w:r>
      <w:r>
        <w:rPr>
          <w:rFonts w:ascii="Times New Roman" w:hAnsi="Times New Roman" w:cs="Times New Roman"/>
          <w:sz w:val="21"/>
          <w:szCs w:val="21"/>
        </w:rPr>
        <w:t>нального університету. Серія «</w:t>
      </w:r>
      <w:r w:rsidRPr="00AB5FD8">
        <w:rPr>
          <w:rFonts w:ascii="Times New Roman" w:hAnsi="Times New Roman" w:cs="Times New Roman"/>
          <w:sz w:val="21"/>
          <w:szCs w:val="21"/>
        </w:rPr>
        <w:t>Економіка і право</w:t>
      </w:r>
      <w:r>
        <w:rPr>
          <w:rFonts w:ascii="Times New Roman" w:hAnsi="Times New Roman" w:cs="Times New Roman"/>
          <w:sz w:val="21"/>
          <w:szCs w:val="21"/>
        </w:rPr>
        <w:t xml:space="preserve">». – </w:t>
      </w:r>
      <w:r w:rsidRPr="00AB5FD8">
        <w:rPr>
          <w:rFonts w:ascii="Times New Roman" w:hAnsi="Times New Roman" w:cs="Times New Roman"/>
          <w:sz w:val="21"/>
          <w:szCs w:val="21"/>
        </w:rPr>
        <w:t>2011. – Т.1. – С. 229</w:t>
      </w:r>
      <w:r>
        <w:rPr>
          <w:rFonts w:ascii="Times New Roman" w:hAnsi="Times New Roman" w:cs="Times New Roman"/>
          <w:sz w:val="21"/>
          <w:szCs w:val="21"/>
        </w:rPr>
        <w:t>–</w:t>
      </w:r>
      <w:r w:rsidRPr="00AB5FD8">
        <w:rPr>
          <w:rFonts w:ascii="Times New Roman" w:hAnsi="Times New Roman" w:cs="Times New Roman"/>
          <w:sz w:val="21"/>
          <w:szCs w:val="21"/>
        </w:rPr>
        <w:t>232.</w:t>
      </w:r>
      <w:bookmarkEnd w:id="191"/>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r w:rsidRPr="005A2094">
        <w:rPr>
          <w:rFonts w:ascii="Times New Roman" w:hAnsi="Times New Roman" w:cs="Times New Roman"/>
          <w:spacing w:val="-8"/>
          <w:sz w:val="21"/>
          <w:szCs w:val="21"/>
        </w:rPr>
        <w:t>Лысков А.</w:t>
      </w:r>
      <w:r>
        <w:rPr>
          <w:rFonts w:ascii="Times New Roman" w:hAnsi="Times New Roman" w:cs="Times New Roman"/>
          <w:spacing w:val="-8"/>
          <w:sz w:val="21"/>
          <w:szCs w:val="21"/>
        </w:rPr>
        <w:t xml:space="preserve"> </w:t>
      </w:r>
      <w:r w:rsidRPr="005A2094">
        <w:rPr>
          <w:rFonts w:ascii="Times New Roman" w:hAnsi="Times New Roman" w:cs="Times New Roman"/>
          <w:spacing w:val="-8"/>
          <w:sz w:val="21"/>
          <w:szCs w:val="21"/>
        </w:rPr>
        <w:t>Ф. О понятии эффективности затрат на персонал и ее оценки [Електронний ресурс] / А.</w:t>
      </w:r>
      <w:r>
        <w:rPr>
          <w:rFonts w:ascii="Times New Roman" w:hAnsi="Times New Roman" w:cs="Times New Roman"/>
          <w:spacing w:val="-8"/>
          <w:sz w:val="21"/>
          <w:szCs w:val="21"/>
        </w:rPr>
        <w:t xml:space="preserve"> </w:t>
      </w:r>
      <w:r w:rsidRPr="005A2094">
        <w:rPr>
          <w:rFonts w:ascii="Times New Roman" w:hAnsi="Times New Roman" w:cs="Times New Roman"/>
          <w:spacing w:val="-8"/>
          <w:sz w:val="21"/>
          <w:szCs w:val="21"/>
        </w:rPr>
        <w:t>Ф. Лысков // Кадры предприятия. – 2003. – №10. – Режим доступу</w:t>
      </w:r>
      <w:r>
        <w:rPr>
          <w:rFonts w:ascii="Times New Roman" w:hAnsi="Times New Roman" w:cs="Times New Roman"/>
          <w:spacing w:val="-8"/>
          <w:sz w:val="21"/>
          <w:szCs w:val="21"/>
        </w:rPr>
        <w:t xml:space="preserve"> </w:t>
      </w:r>
      <w:r w:rsidRPr="005A2094">
        <w:rPr>
          <w:rFonts w:ascii="Times New Roman" w:hAnsi="Times New Roman" w:cs="Times New Roman"/>
          <w:spacing w:val="-8"/>
          <w:sz w:val="21"/>
          <w:szCs w:val="21"/>
        </w:rPr>
        <w:t>:</w:t>
      </w:r>
      <w:r>
        <w:rPr>
          <w:rFonts w:ascii="Times New Roman" w:hAnsi="Times New Roman" w:cs="Times New Roman"/>
          <w:spacing w:val="-8"/>
          <w:sz w:val="21"/>
          <w:szCs w:val="21"/>
        </w:rPr>
        <w:t xml:space="preserve"> </w:t>
      </w:r>
      <w:hyperlink r:id="rId41" w:history="1">
        <w:r w:rsidRPr="00670B8F">
          <w:rPr>
            <w:rStyle w:val="aff"/>
            <w:rFonts w:ascii="Times New Roman" w:hAnsi="Times New Roman" w:cs="Times New Roman"/>
            <w:color w:val="auto"/>
            <w:spacing w:val="-8"/>
            <w:sz w:val="21"/>
            <w:szCs w:val="21"/>
            <w:u w:val="none"/>
          </w:rPr>
          <w:t>http://www.kapr.ru/articles/2003/10</w:t>
        </w:r>
      </w:hyperlink>
      <w:r w:rsidRPr="00670B8F">
        <w:rPr>
          <w:rFonts w:ascii="Times New Roman" w:hAnsi="Times New Roman" w:cs="Times New Roman"/>
          <w:spacing w:val="-8"/>
          <w:sz w:val="21"/>
          <w:szCs w:val="21"/>
        </w:rPr>
        <w:t xml:space="preserve"> </w:t>
      </w:r>
      <w:r w:rsidRPr="005A2094">
        <w:rPr>
          <w:rFonts w:ascii="Times New Roman" w:hAnsi="Times New Roman" w:cs="Times New Roman"/>
          <w:spacing w:val="-8"/>
          <w:sz w:val="21"/>
          <w:szCs w:val="21"/>
        </w:rPr>
        <w:t>/3036.html</w:t>
      </w:r>
      <w:r w:rsidRPr="005A2094">
        <w:rPr>
          <w:rFonts w:ascii="Times New Roman" w:hAnsi="Times New Roman" w:cs="Times New Roman"/>
          <w:iCs/>
          <w:spacing w:val="-8"/>
          <w:sz w:val="21"/>
          <w:szCs w:val="21"/>
        </w:rPr>
        <w:t>.</w:t>
      </w:r>
      <w:bookmarkEnd w:id="192"/>
    </w:p>
    <w:p w:rsidR="00B233DE" w:rsidRPr="005A2094" w:rsidRDefault="00B233DE" w:rsidP="00B233DE">
      <w:pPr>
        <w:pStyle w:val="ad"/>
        <w:numPr>
          <w:ilvl w:val="0"/>
          <w:numId w:val="13"/>
        </w:numPr>
        <w:tabs>
          <w:tab w:val="left" w:pos="1134"/>
        </w:tabs>
        <w:ind w:left="0" w:firstLine="709"/>
        <w:jc w:val="both"/>
        <w:rPr>
          <w:rFonts w:ascii="Times New Roman" w:eastAsia="TimesNewRomanPS-BoldMT" w:hAnsi="Times New Roman" w:cs="Times New Roman"/>
          <w:bCs/>
          <w:sz w:val="21"/>
          <w:szCs w:val="21"/>
        </w:rPr>
      </w:pPr>
      <w:bookmarkStart w:id="193" w:name="_Ref433977255"/>
      <w:r>
        <w:rPr>
          <w:rFonts w:ascii="Times New Roman" w:hAnsi="Times New Roman" w:cs="Times New Roman"/>
          <w:sz w:val="21"/>
          <w:szCs w:val="21"/>
        </w:rPr>
        <w:t xml:space="preserve">Людкевич В. Б. </w:t>
      </w:r>
      <w:r w:rsidRPr="005A2094">
        <w:rPr>
          <w:rFonts w:ascii="Times New Roman" w:hAnsi="Times New Roman" w:cs="Times New Roman"/>
          <w:sz w:val="21"/>
          <w:szCs w:val="21"/>
        </w:rPr>
        <w:t>Принципи та пріоритети розвитку інфраструктури ринку праці в Україні / В. Б. Людкевич // Соціально-економічні дослідження в перехідний період. Структурна трансформація територіальних суспільних систем : зб. наук. праць. –</w:t>
      </w:r>
      <w:r>
        <w:rPr>
          <w:rFonts w:ascii="Times New Roman" w:hAnsi="Times New Roman" w:cs="Times New Roman"/>
          <w:sz w:val="21"/>
          <w:szCs w:val="21"/>
        </w:rPr>
        <w:t xml:space="preserve"> </w:t>
      </w:r>
      <w:r w:rsidRPr="005A2094">
        <w:rPr>
          <w:rFonts w:ascii="Times New Roman" w:hAnsi="Times New Roman" w:cs="Times New Roman"/>
          <w:sz w:val="21"/>
          <w:szCs w:val="21"/>
        </w:rPr>
        <w:t>2007. – Вип. 5. – С. 157–166.</w:t>
      </w:r>
      <w:bookmarkEnd w:id="193"/>
    </w:p>
    <w:p w:rsidR="00B233DE" w:rsidRPr="005A2094" w:rsidRDefault="00B233DE" w:rsidP="00B233DE">
      <w:pPr>
        <w:pStyle w:val="ad"/>
        <w:numPr>
          <w:ilvl w:val="0"/>
          <w:numId w:val="13"/>
        </w:numPr>
        <w:tabs>
          <w:tab w:val="left" w:pos="1134"/>
        </w:tabs>
        <w:ind w:left="0" w:firstLine="709"/>
        <w:jc w:val="both"/>
        <w:rPr>
          <w:rFonts w:ascii="Times New Roman" w:eastAsia="TimesNewRomanPS-BoldMT" w:hAnsi="Times New Roman" w:cs="Times New Roman"/>
          <w:bCs/>
          <w:sz w:val="21"/>
          <w:szCs w:val="21"/>
        </w:rPr>
      </w:pPr>
      <w:bookmarkStart w:id="194" w:name="_Ref433977275"/>
      <w:r w:rsidRPr="005A2094">
        <w:rPr>
          <w:rFonts w:ascii="Times New Roman" w:hAnsi="Times New Roman" w:cs="Times New Roman"/>
          <w:sz w:val="21"/>
          <w:szCs w:val="21"/>
        </w:rPr>
        <w:t xml:space="preserve">Мазурок П. Методологічні та інституціональні основи визначення </w:t>
      </w:r>
      <w:r w:rsidRPr="005A2094">
        <w:rPr>
          <w:rFonts w:ascii="Times New Roman" w:hAnsi="Times New Roman" w:cs="Times New Roman"/>
          <w:spacing w:val="-2"/>
          <w:sz w:val="21"/>
          <w:szCs w:val="21"/>
        </w:rPr>
        <w:t xml:space="preserve">інфраструктури ринку праці України / П. Мазурок // </w:t>
      </w:r>
      <w:r>
        <w:rPr>
          <w:rFonts w:ascii="Times New Roman" w:hAnsi="Times New Roman" w:cs="Times New Roman"/>
          <w:spacing w:val="-2"/>
          <w:sz w:val="21"/>
          <w:szCs w:val="21"/>
        </w:rPr>
        <w:t xml:space="preserve">Україна </w:t>
      </w:r>
      <w:r w:rsidRPr="005A2094">
        <w:rPr>
          <w:rFonts w:ascii="Times New Roman" w:hAnsi="Times New Roman" w:cs="Times New Roman"/>
          <w:spacing w:val="-2"/>
          <w:sz w:val="21"/>
          <w:szCs w:val="21"/>
        </w:rPr>
        <w:t>: аспекти праці. – 2005. –</w:t>
      </w:r>
      <w:r w:rsidRPr="005A2094">
        <w:rPr>
          <w:rFonts w:ascii="Times New Roman" w:hAnsi="Times New Roman" w:cs="Times New Roman"/>
          <w:sz w:val="21"/>
          <w:szCs w:val="21"/>
        </w:rPr>
        <w:t xml:space="preserve"> № 1. – С. 17–22.</w:t>
      </w:r>
      <w:bookmarkEnd w:id="194"/>
    </w:p>
    <w:p w:rsidR="00B233DE" w:rsidRPr="005A2094" w:rsidRDefault="00B233DE" w:rsidP="00B233DE">
      <w:pPr>
        <w:pStyle w:val="ad"/>
        <w:numPr>
          <w:ilvl w:val="0"/>
          <w:numId w:val="13"/>
        </w:numPr>
        <w:tabs>
          <w:tab w:val="left" w:pos="1134"/>
        </w:tabs>
        <w:ind w:left="0" w:firstLine="709"/>
        <w:jc w:val="both"/>
        <w:rPr>
          <w:rFonts w:ascii="Times New Roman" w:eastAsia="TimesNewRomanPS-BoldMT" w:hAnsi="Times New Roman" w:cs="Times New Roman"/>
          <w:bCs/>
          <w:sz w:val="21"/>
          <w:szCs w:val="21"/>
        </w:rPr>
      </w:pPr>
      <w:bookmarkStart w:id="195" w:name="_Ref433977551"/>
      <w:r w:rsidRPr="005A2094">
        <w:rPr>
          <w:rFonts w:ascii="Times New Roman" w:eastAsia="TimesNewRomanPSMT" w:hAnsi="Times New Roman" w:cs="Times New Roman"/>
          <w:spacing w:val="-8"/>
          <w:sz w:val="21"/>
          <w:szCs w:val="21"/>
        </w:rPr>
        <w:t>Макконелл К.</w:t>
      </w:r>
      <w:r>
        <w:rPr>
          <w:rFonts w:ascii="Times New Roman" w:eastAsia="TimesNewRomanPSMT" w:hAnsi="Times New Roman" w:cs="Times New Roman"/>
          <w:spacing w:val="-8"/>
          <w:sz w:val="21"/>
          <w:szCs w:val="21"/>
        </w:rPr>
        <w:t xml:space="preserve"> </w:t>
      </w:r>
      <w:r w:rsidRPr="005A2094">
        <w:rPr>
          <w:rFonts w:ascii="Times New Roman" w:eastAsia="TimesNewRomanPSMT" w:hAnsi="Times New Roman" w:cs="Times New Roman"/>
          <w:spacing w:val="-8"/>
          <w:sz w:val="21"/>
          <w:szCs w:val="21"/>
        </w:rPr>
        <w:t>Р. Экономикс</w:t>
      </w:r>
      <w:r>
        <w:rPr>
          <w:rFonts w:ascii="Times New Roman" w:eastAsia="TimesNewRomanPSMT" w:hAnsi="Times New Roman" w:cs="Times New Roman"/>
          <w:spacing w:val="-8"/>
          <w:sz w:val="21"/>
          <w:szCs w:val="21"/>
        </w:rPr>
        <w:t xml:space="preserve"> </w:t>
      </w:r>
      <w:r w:rsidRPr="005A2094">
        <w:rPr>
          <w:rFonts w:ascii="Times New Roman" w:eastAsia="TimesNewRomanPSMT" w:hAnsi="Times New Roman" w:cs="Times New Roman"/>
          <w:spacing w:val="-8"/>
          <w:sz w:val="21"/>
          <w:szCs w:val="21"/>
        </w:rPr>
        <w:t>: принципы, проблемы и политика / К.</w:t>
      </w:r>
      <w:r>
        <w:rPr>
          <w:rFonts w:ascii="Times New Roman" w:eastAsia="TimesNewRomanPSMT" w:hAnsi="Times New Roman" w:cs="Times New Roman"/>
          <w:spacing w:val="-8"/>
          <w:sz w:val="21"/>
          <w:szCs w:val="21"/>
        </w:rPr>
        <w:t xml:space="preserve"> </w:t>
      </w:r>
      <w:r w:rsidRPr="005A2094">
        <w:rPr>
          <w:rFonts w:ascii="Times New Roman" w:eastAsia="TimesNewRomanPSMT" w:hAnsi="Times New Roman" w:cs="Times New Roman"/>
          <w:spacing w:val="-8"/>
          <w:sz w:val="21"/>
          <w:szCs w:val="21"/>
        </w:rPr>
        <w:t>Р. Макконелл, С.</w:t>
      </w:r>
      <w:r>
        <w:rPr>
          <w:rFonts w:ascii="Times New Roman" w:eastAsia="TimesNewRomanPSMT" w:hAnsi="Times New Roman" w:cs="Times New Roman"/>
          <w:spacing w:val="-8"/>
          <w:sz w:val="21"/>
          <w:szCs w:val="21"/>
        </w:rPr>
        <w:t xml:space="preserve"> </w:t>
      </w:r>
      <w:r w:rsidRPr="005A2094">
        <w:rPr>
          <w:rFonts w:ascii="Times New Roman" w:eastAsia="TimesNewRomanPSMT" w:hAnsi="Times New Roman" w:cs="Times New Roman"/>
          <w:spacing w:val="-8"/>
          <w:sz w:val="21"/>
          <w:szCs w:val="21"/>
        </w:rPr>
        <w:t>Л. Б</w:t>
      </w:r>
      <w:r>
        <w:rPr>
          <w:rFonts w:ascii="Times New Roman" w:eastAsia="TimesNewRomanPSMT" w:hAnsi="Times New Roman" w:cs="Times New Roman"/>
          <w:spacing w:val="-8"/>
          <w:sz w:val="21"/>
          <w:szCs w:val="21"/>
        </w:rPr>
        <w:t xml:space="preserve">рю ; </w:t>
      </w:r>
      <w:r w:rsidRPr="005A2094">
        <w:rPr>
          <w:rFonts w:ascii="Times New Roman" w:eastAsia="TimesNewRomanPSMT" w:hAnsi="Times New Roman" w:cs="Times New Roman"/>
          <w:spacing w:val="-8"/>
          <w:sz w:val="21"/>
          <w:szCs w:val="21"/>
        </w:rPr>
        <w:t>пер. с англ. – К. : Хагар-Демос, 1993. – 785 с.</w:t>
      </w:r>
      <w:bookmarkEnd w:id="195"/>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iCs/>
          <w:sz w:val="21"/>
          <w:szCs w:val="21"/>
        </w:rPr>
      </w:pPr>
      <w:bookmarkStart w:id="196" w:name="_Ref433977030"/>
      <w:r w:rsidRPr="005A2094">
        <w:rPr>
          <w:rFonts w:ascii="Times New Roman" w:eastAsia="TimesNewRomanPS-BoldMT" w:hAnsi="Times New Roman" w:cs="Times New Roman"/>
          <w:bCs/>
          <w:sz w:val="21"/>
          <w:szCs w:val="21"/>
        </w:rPr>
        <w:t xml:space="preserve">Маршавін Ю. М. </w:t>
      </w:r>
      <w:r w:rsidRPr="005A2094">
        <w:rPr>
          <w:rFonts w:ascii="Times New Roman" w:eastAsia="TimesNewRomanPS-BoldMT" w:hAnsi="Times New Roman" w:cs="Times New Roman"/>
          <w:sz w:val="21"/>
          <w:szCs w:val="21"/>
        </w:rPr>
        <w:t>Регулювання ринку праці України</w:t>
      </w:r>
      <w:r>
        <w:rPr>
          <w:rFonts w:ascii="Times New Roman" w:eastAsia="TimesNewRomanPS-BoldMT" w:hAnsi="Times New Roman" w:cs="Times New Roman"/>
          <w:sz w:val="21"/>
          <w:szCs w:val="21"/>
        </w:rPr>
        <w:t xml:space="preserve"> </w:t>
      </w:r>
      <w:r w:rsidRPr="005A2094">
        <w:rPr>
          <w:rFonts w:ascii="Times New Roman" w:eastAsia="TimesNewRomanPS-BoldMT" w:hAnsi="Times New Roman" w:cs="Times New Roman"/>
          <w:sz w:val="21"/>
          <w:szCs w:val="21"/>
        </w:rPr>
        <w:t>: теорія і практика системного</w:t>
      </w:r>
      <w:r w:rsidRPr="005A2094">
        <w:rPr>
          <w:rFonts w:ascii="Times New Roman" w:eastAsia="TimesNewRomanPS-BoldMT" w:hAnsi="Times New Roman" w:cs="Times New Roman"/>
          <w:bCs/>
          <w:sz w:val="21"/>
          <w:szCs w:val="21"/>
        </w:rPr>
        <w:t xml:space="preserve"> </w:t>
      </w:r>
      <w:r>
        <w:rPr>
          <w:rFonts w:ascii="Times New Roman" w:eastAsia="TimesNewRomanPS-BoldMT" w:hAnsi="Times New Roman" w:cs="Times New Roman"/>
          <w:sz w:val="21"/>
          <w:szCs w:val="21"/>
        </w:rPr>
        <w:t>підходу : монографія / Ю. М. Маршавін.</w:t>
      </w:r>
      <w:r w:rsidRPr="005A2094">
        <w:rPr>
          <w:rFonts w:ascii="Times New Roman" w:eastAsia="TimesNewRomanPS-BoldMT" w:hAnsi="Times New Roman" w:cs="Times New Roman"/>
          <w:sz w:val="21"/>
          <w:szCs w:val="21"/>
        </w:rPr>
        <w:t xml:space="preserve"> – К.</w:t>
      </w:r>
      <w:r>
        <w:rPr>
          <w:rFonts w:ascii="Times New Roman" w:eastAsia="TimesNewRomanPS-BoldMT" w:hAnsi="Times New Roman" w:cs="Times New Roman"/>
          <w:sz w:val="21"/>
          <w:szCs w:val="21"/>
        </w:rPr>
        <w:t xml:space="preserve"> </w:t>
      </w:r>
      <w:r w:rsidRPr="005A2094">
        <w:rPr>
          <w:rFonts w:ascii="Times New Roman" w:eastAsia="TimesNewRomanPS-BoldMT" w:hAnsi="Times New Roman" w:cs="Times New Roman"/>
          <w:sz w:val="21"/>
          <w:szCs w:val="21"/>
        </w:rPr>
        <w:t>: Альтерпрес, 2011. – 396 с.</w:t>
      </w:r>
      <w:bookmarkEnd w:id="196"/>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bCs/>
          <w:sz w:val="21"/>
          <w:szCs w:val="21"/>
          <w:shd w:val="clear" w:color="auto" w:fill="FFFFFF"/>
        </w:rPr>
      </w:pPr>
      <w:r w:rsidRPr="005A2094">
        <w:rPr>
          <w:rFonts w:ascii="Times New Roman" w:hAnsi="Times New Roman" w:cs="Times New Roman"/>
          <w:iCs/>
          <w:sz w:val="21"/>
          <w:szCs w:val="21"/>
        </w:rPr>
        <w:t xml:space="preserve">Мельник А. Ф. </w:t>
      </w:r>
      <w:r w:rsidRPr="005A2094">
        <w:rPr>
          <w:rFonts w:ascii="Times New Roman" w:hAnsi="Times New Roman" w:cs="Times New Roman"/>
          <w:sz w:val="21"/>
          <w:szCs w:val="21"/>
        </w:rPr>
        <w:t>Державне регулювання економіки</w:t>
      </w:r>
      <w:r>
        <w:rPr>
          <w:rFonts w:ascii="Times New Roman" w:hAnsi="Times New Roman" w:cs="Times New Roman"/>
          <w:sz w:val="21"/>
          <w:szCs w:val="21"/>
        </w:rPr>
        <w:t xml:space="preserve"> / А. Ф. Мельник.</w:t>
      </w:r>
      <w:r w:rsidRPr="005A2094">
        <w:rPr>
          <w:rFonts w:ascii="Times New Roman" w:hAnsi="Times New Roman" w:cs="Times New Roman"/>
          <w:sz w:val="21"/>
          <w:szCs w:val="21"/>
        </w:rPr>
        <w:t xml:space="preserve"> – К.</w:t>
      </w:r>
      <w:r>
        <w:rPr>
          <w:rFonts w:ascii="Times New Roman" w:hAnsi="Times New Roman" w:cs="Times New Roman"/>
          <w:sz w:val="21"/>
          <w:szCs w:val="21"/>
        </w:rPr>
        <w:t xml:space="preserve"> </w:t>
      </w:r>
      <w:r w:rsidRPr="005A2094">
        <w:rPr>
          <w:rFonts w:ascii="Times New Roman" w:hAnsi="Times New Roman" w:cs="Times New Roman"/>
          <w:sz w:val="21"/>
          <w:szCs w:val="21"/>
        </w:rPr>
        <w:t>: Знання, 2004. – 358 с.</w:t>
      </w:r>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bCs/>
          <w:sz w:val="21"/>
          <w:szCs w:val="21"/>
          <w:shd w:val="clear" w:color="auto" w:fill="FFFFFF"/>
        </w:rPr>
      </w:pPr>
      <w:bookmarkStart w:id="197" w:name="_Ref433977073"/>
      <w:r w:rsidRPr="005A2094">
        <w:rPr>
          <w:rFonts w:ascii="Times New Roman" w:hAnsi="Times New Roman" w:cs="Times New Roman"/>
          <w:sz w:val="21"/>
          <w:szCs w:val="21"/>
        </w:rPr>
        <w:t>Михасюк І. Р. Глобалізація і регіоналізація</w:t>
      </w:r>
      <w:r>
        <w:rPr>
          <w:rFonts w:ascii="Times New Roman" w:hAnsi="Times New Roman" w:cs="Times New Roman"/>
          <w:sz w:val="21"/>
          <w:szCs w:val="21"/>
        </w:rPr>
        <w:t xml:space="preserve"> </w:t>
      </w:r>
      <w:r w:rsidRPr="005A2094">
        <w:rPr>
          <w:rFonts w:ascii="Times New Roman" w:hAnsi="Times New Roman" w:cs="Times New Roman"/>
          <w:sz w:val="21"/>
          <w:szCs w:val="21"/>
        </w:rPr>
        <w:t>: міс</w:t>
      </w:r>
      <w:r>
        <w:rPr>
          <w:rFonts w:ascii="Times New Roman" w:hAnsi="Times New Roman" w:cs="Times New Roman"/>
          <w:sz w:val="21"/>
          <w:szCs w:val="21"/>
        </w:rPr>
        <w:t xml:space="preserve">це України / І. Р. Михасюк // </w:t>
      </w:r>
      <w:r w:rsidRPr="005A2094">
        <w:rPr>
          <w:rFonts w:ascii="Times New Roman" w:hAnsi="Times New Roman" w:cs="Times New Roman"/>
          <w:sz w:val="21"/>
          <w:szCs w:val="21"/>
        </w:rPr>
        <w:t>Регіональна економіка. Економічні науки. – 2011. – №</w:t>
      </w:r>
      <w:r>
        <w:rPr>
          <w:rFonts w:ascii="Times New Roman" w:hAnsi="Times New Roman" w:cs="Times New Roman"/>
          <w:sz w:val="21"/>
          <w:szCs w:val="21"/>
        </w:rPr>
        <w:t xml:space="preserve"> </w:t>
      </w:r>
      <w:r w:rsidRPr="005A2094">
        <w:rPr>
          <w:rFonts w:ascii="Times New Roman" w:hAnsi="Times New Roman" w:cs="Times New Roman"/>
          <w:sz w:val="21"/>
          <w:szCs w:val="21"/>
        </w:rPr>
        <w:t>4. – С. 7</w:t>
      </w:r>
      <w:r>
        <w:rPr>
          <w:rFonts w:ascii="Times New Roman" w:hAnsi="Times New Roman" w:cs="Times New Roman"/>
          <w:sz w:val="21"/>
          <w:szCs w:val="21"/>
        </w:rPr>
        <w:t>–</w:t>
      </w:r>
      <w:r w:rsidRPr="005A2094">
        <w:rPr>
          <w:rFonts w:ascii="Times New Roman" w:hAnsi="Times New Roman" w:cs="Times New Roman"/>
          <w:sz w:val="21"/>
          <w:szCs w:val="21"/>
        </w:rPr>
        <w:t>13</w:t>
      </w:r>
      <w:r>
        <w:rPr>
          <w:rFonts w:ascii="Times New Roman" w:hAnsi="Times New Roman" w:cs="Times New Roman"/>
          <w:sz w:val="21"/>
          <w:szCs w:val="21"/>
        </w:rPr>
        <w:t>.</w:t>
      </w:r>
      <w:bookmarkEnd w:id="197"/>
    </w:p>
    <w:p w:rsidR="00B233DE" w:rsidRPr="00306BD7" w:rsidRDefault="00B233DE" w:rsidP="00B233DE">
      <w:pPr>
        <w:pStyle w:val="ad"/>
        <w:numPr>
          <w:ilvl w:val="0"/>
          <w:numId w:val="13"/>
        </w:numPr>
        <w:tabs>
          <w:tab w:val="left" w:pos="1134"/>
        </w:tabs>
        <w:ind w:left="0" w:firstLine="709"/>
        <w:jc w:val="both"/>
        <w:rPr>
          <w:rFonts w:ascii="Times New Roman" w:hAnsi="Times New Roman" w:cs="Times New Roman"/>
          <w:bCs/>
          <w:sz w:val="21"/>
          <w:szCs w:val="21"/>
          <w:shd w:val="clear" w:color="auto" w:fill="FFFFFF"/>
        </w:rPr>
      </w:pPr>
      <w:bookmarkStart w:id="198" w:name="_Ref435784312"/>
      <w:bookmarkStart w:id="199" w:name="_Ref433977687"/>
      <w:r>
        <w:rPr>
          <w:rFonts w:ascii="Times New Roman" w:hAnsi="Times New Roman" w:cs="Times New Roman"/>
          <w:sz w:val="21"/>
          <w:szCs w:val="21"/>
        </w:rPr>
        <w:t xml:space="preserve">Міжнародна організація праці : офіційний сайт [Електронний ресурс]. – Режим доступу : </w:t>
      </w:r>
      <w:hyperlink r:id="rId42" w:history="1">
        <w:r w:rsidRPr="007B704A">
          <w:rPr>
            <w:rStyle w:val="aff"/>
            <w:rFonts w:ascii="Times New Roman" w:hAnsi="Times New Roman" w:cs="Times New Roman"/>
            <w:color w:val="auto"/>
            <w:sz w:val="21"/>
            <w:szCs w:val="21"/>
            <w:u w:val="none"/>
          </w:rPr>
          <w:t>http://pon.org.ua</w:t>
        </w:r>
      </w:hyperlink>
      <w:r w:rsidRPr="007B704A">
        <w:rPr>
          <w:rFonts w:ascii="Times New Roman" w:hAnsi="Times New Roman" w:cs="Times New Roman"/>
          <w:sz w:val="21"/>
          <w:szCs w:val="21"/>
        </w:rPr>
        <w:t>.</w:t>
      </w:r>
      <w:bookmarkEnd w:id="198"/>
    </w:p>
    <w:p w:rsidR="00B233DE" w:rsidRPr="00670B8F" w:rsidRDefault="00B233DE" w:rsidP="00B233DE">
      <w:pPr>
        <w:pStyle w:val="ad"/>
        <w:numPr>
          <w:ilvl w:val="0"/>
          <w:numId w:val="13"/>
        </w:numPr>
        <w:tabs>
          <w:tab w:val="left" w:pos="1134"/>
        </w:tabs>
        <w:ind w:left="0" w:firstLine="709"/>
        <w:jc w:val="both"/>
        <w:rPr>
          <w:rFonts w:ascii="Times New Roman" w:hAnsi="Times New Roman" w:cs="Times New Roman"/>
          <w:bCs/>
          <w:sz w:val="21"/>
          <w:szCs w:val="21"/>
          <w:shd w:val="clear" w:color="auto" w:fill="FFFFFF"/>
        </w:rPr>
      </w:pPr>
      <w:r w:rsidRPr="00670B8F">
        <w:rPr>
          <w:rFonts w:ascii="Times New Roman" w:hAnsi="Times New Roman" w:cs="Times New Roman"/>
          <w:spacing w:val="-8"/>
          <w:sz w:val="21"/>
          <w:szCs w:val="21"/>
        </w:rPr>
        <w:lastRenderedPageBreak/>
        <w:t>Мойсеєнко І. П. Інвестування : навч. посіб. / І. П. Мойсеєнко. – К. : Знання, 2006. – 490 с.</w:t>
      </w:r>
      <w:bookmarkEnd w:id="199"/>
      <w:r w:rsidRPr="00670B8F">
        <w:rPr>
          <w:rFonts w:ascii="Times New Roman" w:hAnsi="Times New Roman" w:cs="Times New Roman"/>
          <w:spacing w:val="-8"/>
          <w:sz w:val="21"/>
          <w:szCs w:val="21"/>
        </w:rPr>
        <w:t xml:space="preserve"> </w:t>
      </w:r>
    </w:p>
    <w:p w:rsidR="00B233DE" w:rsidRPr="00306BD7" w:rsidRDefault="00B233DE" w:rsidP="00B233DE">
      <w:pPr>
        <w:pStyle w:val="ad"/>
        <w:numPr>
          <w:ilvl w:val="0"/>
          <w:numId w:val="13"/>
        </w:numPr>
        <w:tabs>
          <w:tab w:val="left" w:pos="1134"/>
        </w:tabs>
        <w:ind w:left="0" w:firstLine="709"/>
        <w:jc w:val="both"/>
        <w:rPr>
          <w:rFonts w:ascii="Times New Roman" w:hAnsi="Times New Roman" w:cs="Times New Roman"/>
          <w:bCs/>
          <w:sz w:val="21"/>
          <w:szCs w:val="21"/>
          <w:shd w:val="clear" w:color="auto" w:fill="FFFFFF"/>
        </w:rPr>
      </w:pPr>
      <w:bookmarkStart w:id="200" w:name="_Ref435784119"/>
      <w:bookmarkStart w:id="201" w:name="_Ref433977364"/>
      <w:r>
        <w:rPr>
          <w:rFonts w:ascii="Times New Roman" w:hAnsi="Times New Roman" w:cs="Times New Roman"/>
          <w:sz w:val="21"/>
          <w:szCs w:val="21"/>
        </w:rPr>
        <w:t>Мороз В. Інститути ринку праці як об’</w:t>
      </w:r>
      <w:r w:rsidRPr="00AB5FD8">
        <w:rPr>
          <w:rFonts w:ascii="Times New Roman" w:hAnsi="Times New Roman" w:cs="Times New Roman"/>
          <w:sz w:val="21"/>
          <w:szCs w:val="21"/>
        </w:rPr>
        <w:t>єкт державно-управлінського впливу на т</w:t>
      </w:r>
      <w:r>
        <w:rPr>
          <w:rFonts w:ascii="Times New Roman" w:hAnsi="Times New Roman" w:cs="Times New Roman"/>
          <w:sz w:val="21"/>
          <w:szCs w:val="21"/>
        </w:rPr>
        <w:t>рудовий потенціал країни</w:t>
      </w:r>
      <w:r w:rsidRPr="00AB5FD8">
        <w:rPr>
          <w:rFonts w:ascii="Times New Roman" w:hAnsi="Times New Roman" w:cs="Times New Roman"/>
          <w:sz w:val="21"/>
          <w:szCs w:val="21"/>
        </w:rPr>
        <w:t xml:space="preserve"> /</w:t>
      </w:r>
      <w:r>
        <w:rPr>
          <w:rFonts w:ascii="Times New Roman" w:hAnsi="Times New Roman" w:cs="Times New Roman"/>
          <w:sz w:val="21"/>
          <w:szCs w:val="21"/>
        </w:rPr>
        <w:t xml:space="preserve"> В. Мороз /</w:t>
      </w:r>
      <w:r w:rsidRPr="00AB5FD8">
        <w:rPr>
          <w:rFonts w:ascii="Times New Roman" w:hAnsi="Times New Roman" w:cs="Times New Roman"/>
          <w:sz w:val="21"/>
          <w:szCs w:val="21"/>
        </w:rPr>
        <w:t>/ Вісник Національної академії державного управління при Президентові України. – 2013. – № 2. – С. 98─107.</w:t>
      </w:r>
      <w:bookmarkEnd w:id="200"/>
    </w:p>
    <w:p w:rsidR="00B233DE" w:rsidRPr="00670B8F" w:rsidRDefault="00B233DE" w:rsidP="00B233DE">
      <w:pPr>
        <w:pStyle w:val="ad"/>
        <w:numPr>
          <w:ilvl w:val="0"/>
          <w:numId w:val="13"/>
        </w:numPr>
        <w:tabs>
          <w:tab w:val="left" w:pos="1134"/>
        </w:tabs>
        <w:ind w:left="0" w:firstLine="709"/>
        <w:jc w:val="both"/>
        <w:rPr>
          <w:rFonts w:ascii="Times New Roman" w:hAnsi="Times New Roman" w:cs="Times New Roman"/>
          <w:bCs/>
          <w:sz w:val="21"/>
          <w:szCs w:val="21"/>
          <w:shd w:val="clear" w:color="auto" w:fill="FFFFFF"/>
        </w:rPr>
      </w:pPr>
      <w:r>
        <w:rPr>
          <w:rFonts w:ascii="Times New Roman" w:hAnsi="Times New Roman" w:cs="Times New Roman"/>
          <w:sz w:val="21"/>
          <w:szCs w:val="21"/>
        </w:rPr>
        <w:t xml:space="preserve">Мосіюк І. П. </w:t>
      </w:r>
      <w:hyperlink r:id="rId43" w:history="1"/>
      <w:r w:rsidRPr="00670B8F">
        <w:rPr>
          <w:rFonts w:ascii="Times New Roman" w:hAnsi="Times New Roman" w:cs="Times New Roman"/>
          <w:sz w:val="21"/>
          <w:szCs w:val="21"/>
        </w:rPr>
        <w:t>Соціально-економічні аспекти зайнятості робочої сили в аграрному секторі економіки : дис. ... канд. екон. наук : 08.09.01 / Мосіюк Ігор Пилипович ; Ін-т аграр. економіки УААН. – К., 1999. – 165 с.</w:t>
      </w:r>
      <w:bookmarkEnd w:id="201"/>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bCs/>
          <w:sz w:val="21"/>
          <w:szCs w:val="21"/>
          <w:shd w:val="clear" w:color="auto" w:fill="FFFFFF"/>
        </w:rPr>
      </w:pPr>
      <w:bookmarkStart w:id="202" w:name="_Ref433976573"/>
      <w:r w:rsidRPr="005A2094">
        <w:rPr>
          <w:rFonts w:ascii="Times New Roman" w:hAnsi="Times New Roman" w:cs="Times New Roman"/>
          <w:bCs/>
          <w:sz w:val="21"/>
          <w:szCs w:val="21"/>
          <w:shd w:val="clear" w:color="auto" w:fill="FFFFFF"/>
        </w:rPr>
        <w:t>Мочерний С. В. Економічн</w:t>
      </w:r>
      <w:r>
        <w:rPr>
          <w:rFonts w:ascii="Times New Roman" w:hAnsi="Times New Roman" w:cs="Times New Roman"/>
          <w:bCs/>
          <w:sz w:val="21"/>
          <w:szCs w:val="21"/>
          <w:shd w:val="clear" w:color="auto" w:fill="FFFFFF"/>
        </w:rPr>
        <w:t xml:space="preserve">а теорія : навч. посіб. / </w:t>
      </w:r>
      <w:r w:rsidRPr="00670B8F">
        <w:rPr>
          <w:rFonts w:ascii="Times New Roman" w:hAnsi="Times New Roman" w:cs="Times New Roman"/>
          <w:bCs/>
          <w:spacing w:val="-2"/>
          <w:sz w:val="21"/>
          <w:szCs w:val="21"/>
          <w:shd w:val="clear" w:color="auto" w:fill="FFFFFF"/>
        </w:rPr>
        <w:t xml:space="preserve">С. В. Мочерний. </w:t>
      </w:r>
      <w:r w:rsidRPr="00670B8F">
        <w:rPr>
          <w:rFonts w:ascii="Times New Roman" w:hAnsi="Times New Roman" w:cs="Times New Roman"/>
          <w:spacing w:val="-2"/>
          <w:sz w:val="21"/>
          <w:szCs w:val="21"/>
        </w:rPr>
        <w:t>–</w:t>
      </w:r>
      <w:r w:rsidRPr="00670B8F">
        <w:rPr>
          <w:rFonts w:ascii="Times New Roman" w:hAnsi="Times New Roman" w:cs="Times New Roman"/>
          <w:bCs/>
          <w:spacing w:val="-2"/>
          <w:sz w:val="21"/>
          <w:szCs w:val="21"/>
          <w:shd w:val="clear" w:color="auto" w:fill="FFFFFF"/>
        </w:rPr>
        <w:t xml:space="preserve"> 4-те вид., стереотип. </w:t>
      </w:r>
      <w:r w:rsidRPr="00670B8F">
        <w:rPr>
          <w:rFonts w:ascii="Times New Roman" w:hAnsi="Times New Roman" w:cs="Times New Roman"/>
          <w:spacing w:val="-2"/>
          <w:sz w:val="21"/>
          <w:szCs w:val="21"/>
        </w:rPr>
        <w:t>–</w:t>
      </w:r>
      <w:r w:rsidRPr="00670B8F">
        <w:rPr>
          <w:rFonts w:ascii="Times New Roman" w:hAnsi="Times New Roman" w:cs="Times New Roman"/>
          <w:bCs/>
          <w:spacing w:val="-2"/>
          <w:sz w:val="21"/>
          <w:szCs w:val="21"/>
          <w:shd w:val="clear" w:color="auto" w:fill="FFFFFF"/>
        </w:rPr>
        <w:t xml:space="preserve"> К. : Академія, 2009. </w:t>
      </w:r>
      <w:r w:rsidRPr="00670B8F">
        <w:rPr>
          <w:rFonts w:ascii="Times New Roman" w:hAnsi="Times New Roman" w:cs="Times New Roman"/>
          <w:spacing w:val="-2"/>
          <w:sz w:val="21"/>
          <w:szCs w:val="21"/>
        </w:rPr>
        <w:t>–</w:t>
      </w:r>
      <w:r w:rsidRPr="00670B8F">
        <w:rPr>
          <w:rFonts w:ascii="Times New Roman" w:hAnsi="Times New Roman" w:cs="Times New Roman"/>
          <w:bCs/>
          <w:spacing w:val="-2"/>
          <w:sz w:val="21"/>
          <w:szCs w:val="21"/>
          <w:shd w:val="clear" w:color="auto" w:fill="FFFFFF"/>
        </w:rPr>
        <w:t xml:space="preserve"> 640 с.</w:t>
      </w:r>
      <w:bookmarkEnd w:id="202"/>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03" w:name="_Ref433977038"/>
      <w:r w:rsidRPr="005A2094">
        <w:rPr>
          <w:rFonts w:ascii="Times New Roman" w:hAnsi="Times New Roman" w:cs="Times New Roman"/>
          <w:sz w:val="21"/>
          <w:szCs w:val="21"/>
        </w:rPr>
        <w:t>Нижник В. М. Концептуальні основи глобалізації ринків та їх вплив на формування глобального маркетингу / В. М. Нижник // Вісн</w:t>
      </w:r>
      <w:r>
        <w:rPr>
          <w:rFonts w:ascii="Times New Roman" w:hAnsi="Times New Roman" w:cs="Times New Roman"/>
          <w:sz w:val="21"/>
          <w:szCs w:val="21"/>
        </w:rPr>
        <w:t xml:space="preserve">ик Хмельницького національного </w:t>
      </w:r>
      <w:r w:rsidRPr="005A2094">
        <w:rPr>
          <w:rFonts w:ascii="Times New Roman" w:hAnsi="Times New Roman" w:cs="Times New Roman"/>
          <w:sz w:val="21"/>
          <w:szCs w:val="21"/>
        </w:rPr>
        <w:t xml:space="preserve">університету. Економічні науки. </w:t>
      </w:r>
      <w:r>
        <w:rPr>
          <w:rFonts w:ascii="Times New Roman" w:hAnsi="Times New Roman" w:cs="Times New Roman"/>
          <w:sz w:val="21"/>
          <w:szCs w:val="21"/>
        </w:rPr>
        <w:t>– 2012. – № 2, т.</w:t>
      </w:r>
      <w:r w:rsidRPr="005A2094">
        <w:rPr>
          <w:rFonts w:ascii="Times New Roman" w:hAnsi="Times New Roman" w:cs="Times New Roman"/>
          <w:sz w:val="21"/>
          <w:szCs w:val="21"/>
        </w:rPr>
        <w:t xml:space="preserve"> 3. </w:t>
      </w:r>
      <w:r>
        <w:rPr>
          <w:rFonts w:ascii="Times New Roman" w:hAnsi="Times New Roman" w:cs="Times New Roman"/>
          <w:sz w:val="21"/>
          <w:szCs w:val="21"/>
        </w:rPr>
        <w:t xml:space="preserve">– </w:t>
      </w:r>
      <w:r w:rsidRPr="005A2094">
        <w:rPr>
          <w:rFonts w:ascii="Times New Roman" w:hAnsi="Times New Roman" w:cs="Times New Roman"/>
          <w:sz w:val="21"/>
          <w:szCs w:val="21"/>
        </w:rPr>
        <w:t>С. 52</w:t>
      </w:r>
      <w:r>
        <w:rPr>
          <w:rFonts w:ascii="Times New Roman" w:hAnsi="Times New Roman" w:cs="Times New Roman"/>
          <w:sz w:val="21"/>
          <w:szCs w:val="21"/>
        </w:rPr>
        <w:t>–</w:t>
      </w:r>
      <w:r w:rsidRPr="005A2094">
        <w:rPr>
          <w:rFonts w:ascii="Times New Roman" w:hAnsi="Times New Roman" w:cs="Times New Roman"/>
          <w:sz w:val="21"/>
          <w:szCs w:val="21"/>
        </w:rPr>
        <w:t>53.</w:t>
      </w:r>
      <w:bookmarkEnd w:id="203"/>
    </w:p>
    <w:p w:rsidR="00B233DE"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04" w:name="_Ref433977347"/>
      <w:r w:rsidRPr="005A2094">
        <w:rPr>
          <w:rFonts w:ascii="Times New Roman" w:hAnsi="Times New Roman" w:cs="Times New Roman"/>
          <w:sz w:val="21"/>
          <w:szCs w:val="21"/>
        </w:rPr>
        <w:t xml:space="preserve">Нижник В. М. </w:t>
      </w:r>
      <w:r w:rsidRPr="005A2094">
        <w:rPr>
          <w:rFonts w:ascii="Times New Roman" w:hAnsi="Times New Roman" w:cs="Times New Roman"/>
          <w:bCs/>
          <w:sz w:val="21"/>
          <w:szCs w:val="21"/>
        </w:rPr>
        <w:t>Розміщення продуктивних сил і регіональна економіка</w:t>
      </w:r>
      <w:r w:rsidRPr="005A2094">
        <w:rPr>
          <w:rFonts w:ascii="Times New Roman" w:hAnsi="Times New Roman" w:cs="Times New Roman"/>
          <w:sz w:val="21"/>
          <w:szCs w:val="21"/>
        </w:rPr>
        <w:t xml:space="preserve"> : навч. посіб. для </w:t>
      </w:r>
      <w:r>
        <w:rPr>
          <w:rFonts w:ascii="Times New Roman" w:hAnsi="Times New Roman" w:cs="Times New Roman"/>
          <w:sz w:val="21"/>
          <w:szCs w:val="21"/>
        </w:rPr>
        <w:t>студ. ВНЗ / В. М. Нижник.</w:t>
      </w:r>
      <w:r w:rsidRPr="005A2094">
        <w:rPr>
          <w:rFonts w:ascii="Times New Roman" w:hAnsi="Times New Roman" w:cs="Times New Roman"/>
          <w:sz w:val="21"/>
          <w:szCs w:val="21"/>
        </w:rPr>
        <w:t xml:space="preserve"> – Хмельницький : ХНУ, 2006. – 321 с.</w:t>
      </w:r>
      <w:bookmarkEnd w:id="204"/>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05" w:name="_Ref435784254"/>
      <w:r w:rsidRPr="00AB5FD8">
        <w:rPr>
          <w:rFonts w:ascii="Times New Roman" w:hAnsi="Times New Roman" w:cs="Times New Roman"/>
          <w:sz w:val="21"/>
          <w:szCs w:val="21"/>
        </w:rPr>
        <w:t xml:space="preserve">Норт Д. Інституції, інституційна зміна та функціонування економіки </w:t>
      </w:r>
      <w:r>
        <w:rPr>
          <w:rFonts w:ascii="Times New Roman" w:hAnsi="Times New Roman" w:cs="Times New Roman"/>
          <w:sz w:val="21"/>
          <w:szCs w:val="21"/>
        </w:rPr>
        <w:t>/ Д. Норт ; пер з англ. І.</w:t>
      </w:r>
      <w:r w:rsidRPr="00AB5FD8">
        <w:rPr>
          <w:rFonts w:ascii="Times New Roman" w:hAnsi="Times New Roman" w:cs="Times New Roman"/>
          <w:sz w:val="21"/>
          <w:szCs w:val="21"/>
        </w:rPr>
        <w:t xml:space="preserve"> Дзюбка. </w:t>
      </w:r>
      <w:r>
        <w:rPr>
          <w:rFonts w:ascii="Times New Roman" w:hAnsi="Times New Roman" w:cs="Times New Roman"/>
          <w:sz w:val="21"/>
          <w:szCs w:val="21"/>
        </w:rPr>
        <w:t>–</w:t>
      </w:r>
      <w:r w:rsidRPr="00AB5FD8">
        <w:rPr>
          <w:rFonts w:ascii="Times New Roman" w:hAnsi="Times New Roman" w:cs="Times New Roman"/>
          <w:sz w:val="21"/>
          <w:szCs w:val="21"/>
        </w:rPr>
        <w:t xml:space="preserve"> К.</w:t>
      </w:r>
      <w:r>
        <w:rPr>
          <w:rFonts w:ascii="Times New Roman" w:hAnsi="Times New Roman" w:cs="Times New Roman"/>
          <w:sz w:val="21"/>
          <w:szCs w:val="21"/>
        </w:rPr>
        <w:t xml:space="preserve"> </w:t>
      </w:r>
      <w:r w:rsidRPr="00AB5FD8">
        <w:rPr>
          <w:rFonts w:ascii="Times New Roman" w:hAnsi="Times New Roman" w:cs="Times New Roman"/>
          <w:sz w:val="21"/>
          <w:szCs w:val="21"/>
        </w:rPr>
        <w:t xml:space="preserve">: Основи, 2000. </w:t>
      </w:r>
      <w:r>
        <w:rPr>
          <w:rFonts w:ascii="Times New Roman" w:hAnsi="Times New Roman" w:cs="Times New Roman"/>
          <w:sz w:val="21"/>
          <w:szCs w:val="21"/>
        </w:rPr>
        <w:t>–</w:t>
      </w:r>
      <w:r w:rsidRPr="00AB5FD8">
        <w:rPr>
          <w:rFonts w:ascii="Times New Roman" w:hAnsi="Times New Roman" w:cs="Times New Roman"/>
          <w:sz w:val="21"/>
          <w:szCs w:val="21"/>
        </w:rPr>
        <w:t xml:space="preserve"> 1</w:t>
      </w:r>
      <w:r>
        <w:rPr>
          <w:rFonts w:ascii="Times New Roman" w:hAnsi="Times New Roman" w:cs="Times New Roman"/>
          <w:sz w:val="21"/>
          <w:szCs w:val="21"/>
        </w:rPr>
        <w:t>98 с.</w:t>
      </w:r>
      <w:bookmarkEnd w:id="205"/>
    </w:p>
    <w:p w:rsidR="00B233DE"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06" w:name="_Ref435784172"/>
      <w:bookmarkStart w:id="207" w:name="_Ref433976999"/>
      <w:r w:rsidRPr="00AB5FD8">
        <w:rPr>
          <w:rFonts w:ascii="Times New Roman" w:hAnsi="Times New Roman" w:cs="Times New Roman"/>
          <w:sz w:val="21"/>
          <w:szCs w:val="21"/>
        </w:rPr>
        <w:t xml:space="preserve">Онікієнко </w:t>
      </w:r>
      <w:r>
        <w:rPr>
          <w:rFonts w:ascii="Times New Roman" w:hAnsi="Times New Roman" w:cs="Times New Roman"/>
          <w:sz w:val="21"/>
          <w:szCs w:val="21"/>
        </w:rPr>
        <w:t>В.</w:t>
      </w:r>
      <w:r w:rsidRPr="00AB5FD8">
        <w:rPr>
          <w:rFonts w:ascii="Times New Roman" w:hAnsi="Times New Roman" w:cs="Times New Roman"/>
          <w:sz w:val="21"/>
          <w:szCs w:val="21"/>
        </w:rPr>
        <w:t xml:space="preserve"> Розвиток ринку праці України : тенденції та перспективи / за ред. В</w:t>
      </w:r>
      <w:r>
        <w:rPr>
          <w:rFonts w:ascii="Times New Roman" w:hAnsi="Times New Roman" w:cs="Times New Roman"/>
          <w:sz w:val="21"/>
          <w:szCs w:val="21"/>
        </w:rPr>
        <w:t xml:space="preserve">. </w:t>
      </w:r>
      <w:r w:rsidRPr="00AB5FD8">
        <w:rPr>
          <w:rFonts w:ascii="Times New Roman" w:hAnsi="Times New Roman" w:cs="Times New Roman"/>
          <w:sz w:val="21"/>
          <w:szCs w:val="21"/>
        </w:rPr>
        <w:t>В</w:t>
      </w:r>
      <w:r>
        <w:rPr>
          <w:rFonts w:ascii="Times New Roman" w:hAnsi="Times New Roman" w:cs="Times New Roman"/>
          <w:sz w:val="21"/>
          <w:szCs w:val="21"/>
        </w:rPr>
        <w:t>.</w:t>
      </w:r>
      <w:r w:rsidRPr="00AB5FD8">
        <w:rPr>
          <w:rFonts w:ascii="Times New Roman" w:hAnsi="Times New Roman" w:cs="Times New Roman"/>
          <w:sz w:val="21"/>
          <w:szCs w:val="21"/>
        </w:rPr>
        <w:t xml:space="preserve"> Онікієнка. – К.</w:t>
      </w:r>
      <w:r>
        <w:rPr>
          <w:rFonts w:ascii="Times New Roman" w:hAnsi="Times New Roman" w:cs="Times New Roman"/>
          <w:sz w:val="21"/>
          <w:szCs w:val="21"/>
        </w:rPr>
        <w:t xml:space="preserve"> </w:t>
      </w:r>
      <w:r w:rsidRPr="00AB5FD8">
        <w:rPr>
          <w:rFonts w:ascii="Times New Roman" w:hAnsi="Times New Roman" w:cs="Times New Roman"/>
          <w:sz w:val="21"/>
          <w:szCs w:val="21"/>
        </w:rPr>
        <w:t>: Рада по вивченню прод сил України НАН України, 2007. – 286 с.</w:t>
      </w:r>
      <w:bookmarkEnd w:id="206"/>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r w:rsidRPr="005A2094">
        <w:rPr>
          <w:rFonts w:ascii="Times New Roman" w:hAnsi="Times New Roman" w:cs="Times New Roman"/>
          <w:sz w:val="21"/>
          <w:szCs w:val="21"/>
        </w:rPr>
        <w:t xml:space="preserve">Офіційна сторінка Державної служби статистики України [Електронний ресурс]. – Режим доступу: http: // </w:t>
      </w:r>
      <w:hyperlink r:id="rId44" w:history="1">
        <w:r w:rsidRPr="00A04C9C">
          <w:rPr>
            <w:rStyle w:val="aff"/>
            <w:rFonts w:ascii="Times New Roman" w:hAnsi="Times New Roman" w:cs="Times New Roman"/>
            <w:color w:val="auto"/>
            <w:sz w:val="21"/>
            <w:szCs w:val="21"/>
            <w:u w:val="none"/>
          </w:rPr>
          <w:t>www.ukrstat.gov.ua</w:t>
        </w:r>
      </w:hyperlink>
      <w:r w:rsidRPr="00A04C9C">
        <w:rPr>
          <w:rFonts w:ascii="Times New Roman" w:hAnsi="Times New Roman" w:cs="Times New Roman"/>
          <w:sz w:val="21"/>
          <w:szCs w:val="21"/>
        </w:rPr>
        <w:t>.</w:t>
      </w:r>
      <w:bookmarkEnd w:id="207"/>
    </w:p>
    <w:p w:rsidR="00B233DE" w:rsidRPr="00670B8F"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08" w:name="_Ref433977192"/>
      <w:r w:rsidRPr="005A2094">
        <w:rPr>
          <w:rFonts w:ascii="Times New Roman" w:hAnsi="Times New Roman" w:cs="Times New Roman"/>
          <w:sz w:val="21"/>
          <w:szCs w:val="21"/>
        </w:rPr>
        <w:t xml:space="preserve">Перерва П. Г. Ринок праці в сучасній економічній системі </w:t>
      </w:r>
      <w:r w:rsidRPr="00670B8F">
        <w:rPr>
          <w:rFonts w:ascii="Times New Roman" w:hAnsi="Times New Roman" w:cs="Times New Roman"/>
          <w:sz w:val="21"/>
          <w:szCs w:val="21"/>
        </w:rPr>
        <w:t>/ П. Г. Перерва // Вісник Націона</w:t>
      </w:r>
      <w:r>
        <w:rPr>
          <w:rFonts w:ascii="Times New Roman" w:hAnsi="Times New Roman" w:cs="Times New Roman"/>
          <w:sz w:val="21"/>
          <w:szCs w:val="21"/>
        </w:rPr>
        <w:t>льного технічного університету «ХПІ»</w:t>
      </w:r>
      <w:r w:rsidRPr="00670B8F">
        <w:rPr>
          <w:rFonts w:ascii="Times New Roman" w:hAnsi="Times New Roman" w:cs="Times New Roman"/>
          <w:sz w:val="21"/>
          <w:szCs w:val="21"/>
        </w:rPr>
        <w:t xml:space="preserve"> : зб. наук. праць. –</w:t>
      </w:r>
      <w:r>
        <w:rPr>
          <w:rFonts w:ascii="Times New Roman" w:hAnsi="Times New Roman" w:cs="Times New Roman"/>
          <w:sz w:val="21"/>
          <w:szCs w:val="21"/>
        </w:rPr>
        <w:t>2009. – № 6</w:t>
      </w:r>
      <w:r w:rsidRPr="00670B8F">
        <w:rPr>
          <w:rFonts w:ascii="Times New Roman" w:hAnsi="Times New Roman" w:cs="Times New Roman"/>
          <w:sz w:val="21"/>
          <w:szCs w:val="21"/>
        </w:rPr>
        <w:t>. –</w:t>
      </w:r>
      <w:r>
        <w:rPr>
          <w:rFonts w:ascii="Times New Roman" w:hAnsi="Times New Roman" w:cs="Times New Roman"/>
          <w:sz w:val="21"/>
          <w:szCs w:val="21"/>
        </w:rPr>
        <w:t xml:space="preserve"> С. 140–145.</w:t>
      </w:r>
      <w:bookmarkEnd w:id="208"/>
      <w:r>
        <w:rPr>
          <w:rFonts w:ascii="Times New Roman" w:hAnsi="Times New Roman" w:cs="Times New Roman"/>
          <w:sz w:val="21"/>
          <w:szCs w:val="21"/>
        </w:rPr>
        <w:t xml:space="preserve"> </w:t>
      </w:r>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09" w:name="_Ref433977672"/>
      <w:r>
        <w:rPr>
          <w:rFonts w:ascii="Times New Roman" w:hAnsi="Times New Roman" w:cs="Times New Roman"/>
          <w:spacing w:val="-8"/>
          <w:sz w:val="21"/>
          <w:szCs w:val="21"/>
        </w:rPr>
        <w:t xml:space="preserve">Пересада </w:t>
      </w:r>
      <w:r w:rsidRPr="005A2094">
        <w:rPr>
          <w:rFonts w:ascii="Times New Roman" w:hAnsi="Times New Roman" w:cs="Times New Roman"/>
          <w:spacing w:val="-8"/>
          <w:sz w:val="21"/>
          <w:szCs w:val="21"/>
        </w:rPr>
        <w:t>А. А. Інвестування : навч.-метод. посібник для самост. вивч. дисц. / А. А. Пересада, О. О</w:t>
      </w:r>
      <w:r>
        <w:rPr>
          <w:rFonts w:ascii="Times New Roman" w:hAnsi="Times New Roman" w:cs="Times New Roman"/>
          <w:spacing w:val="-8"/>
          <w:sz w:val="21"/>
          <w:szCs w:val="21"/>
        </w:rPr>
        <w:t xml:space="preserve">. Смірнова, С. В. Онікієнко, О. О. Ляхова. – </w:t>
      </w:r>
      <w:r w:rsidRPr="005A2094">
        <w:rPr>
          <w:rFonts w:ascii="Times New Roman" w:hAnsi="Times New Roman" w:cs="Times New Roman"/>
          <w:spacing w:val="-8"/>
          <w:sz w:val="21"/>
          <w:szCs w:val="21"/>
        </w:rPr>
        <w:t>К. : КНЕУ, 2001. – 251 с.</w:t>
      </w:r>
      <w:bookmarkEnd w:id="209"/>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r w:rsidRPr="005A2094">
        <w:rPr>
          <w:rFonts w:ascii="Times New Roman" w:hAnsi="Times New Roman" w:cs="Times New Roman"/>
          <w:sz w:val="21"/>
          <w:szCs w:val="21"/>
        </w:rPr>
        <w:t>Петрова І. П. Сегментація ринку праці</w:t>
      </w:r>
      <w:r>
        <w:rPr>
          <w:rFonts w:ascii="Times New Roman" w:hAnsi="Times New Roman" w:cs="Times New Roman"/>
          <w:sz w:val="21"/>
          <w:szCs w:val="21"/>
        </w:rPr>
        <w:t xml:space="preserve"> </w:t>
      </w:r>
      <w:r w:rsidRPr="005A2094">
        <w:rPr>
          <w:rFonts w:ascii="Times New Roman" w:hAnsi="Times New Roman" w:cs="Times New Roman"/>
          <w:sz w:val="21"/>
          <w:szCs w:val="21"/>
        </w:rPr>
        <w:t>: теорія і практика</w:t>
      </w:r>
      <w:r>
        <w:rPr>
          <w:rFonts w:ascii="Times New Roman" w:hAnsi="Times New Roman" w:cs="Times New Roman"/>
          <w:sz w:val="21"/>
          <w:szCs w:val="21"/>
        </w:rPr>
        <w:t xml:space="preserve"> регулювання / І. П. Петрова. – </w:t>
      </w:r>
      <w:r w:rsidRPr="005A2094">
        <w:rPr>
          <w:rFonts w:ascii="Times New Roman" w:hAnsi="Times New Roman" w:cs="Times New Roman"/>
          <w:sz w:val="21"/>
          <w:szCs w:val="21"/>
        </w:rPr>
        <w:t>К.</w:t>
      </w:r>
      <w:r>
        <w:rPr>
          <w:rFonts w:ascii="Times New Roman" w:hAnsi="Times New Roman" w:cs="Times New Roman"/>
          <w:sz w:val="21"/>
          <w:szCs w:val="21"/>
        </w:rPr>
        <w:t xml:space="preserve"> </w:t>
      </w:r>
      <w:r w:rsidRPr="005A2094">
        <w:rPr>
          <w:rFonts w:ascii="Times New Roman" w:hAnsi="Times New Roman" w:cs="Times New Roman"/>
          <w:sz w:val="21"/>
          <w:szCs w:val="21"/>
        </w:rPr>
        <w:t>: Таксон, 1997. – 296 с.</w:t>
      </w:r>
    </w:p>
    <w:p w:rsidR="00B233DE"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10" w:name="_Ref433976791"/>
      <w:r>
        <w:rPr>
          <w:rFonts w:ascii="Times New Roman" w:hAnsi="Times New Roman" w:cs="Times New Roman"/>
          <w:sz w:val="21"/>
          <w:szCs w:val="21"/>
        </w:rPr>
        <w:t xml:space="preserve">Петрова І. </w:t>
      </w:r>
      <w:r w:rsidRPr="005A2094">
        <w:rPr>
          <w:rFonts w:ascii="Times New Roman" w:hAnsi="Times New Roman" w:cs="Times New Roman"/>
          <w:sz w:val="21"/>
          <w:szCs w:val="21"/>
        </w:rPr>
        <w:t xml:space="preserve">Соціальні наслідки євро інтеграції України. Ринок праці. [Електронний ресурс] </w:t>
      </w:r>
      <w:r>
        <w:rPr>
          <w:rFonts w:ascii="Times New Roman" w:hAnsi="Times New Roman" w:cs="Times New Roman"/>
          <w:sz w:val="21"/>
          <w:szCs w:val="21"/>
        </w:rPr>
        <w:t xml:space="preserve">/ І. Петрова. </w:t>
      </w:r>
      <w:r w:rsidRPr="005A2094">
        <w:rPr>
          <w:rFonts w:ascii="Times New Roman" w:hAnsi="Times New Roman" w:cs="Times New Roman"/>
          <w:sz w:val="21"/>
          <w:szCs w:val="21"/>
        </w:rPr>
        <w:t>– 2012. – Режим дост</w:t>
      </w:r>
      <w:r w:rsidRPr="00A04C9C">
        <w:rPr>
          <w:rFonts w:ascii="Times New Roman" w:hAnsi="Times New Roman" w:cs="Times New Roman"/>
          <w:sz w:val="21"/>
          <w:szCs w:val="21"/>
        </w:rPr>
        <w:t xml:space="preserve">упу: </w:t>
      </w:r>
      <w:hyperlink r:id="rId45" w:history="1">
        <w:r w:rsidRPr="00A04C9C">
          <w:rPr>
            <w:rStyle w:val="aff"/>
            <w:rFonts w:ascii="Times New Roman" w:hAnsi="Times New Roman" w:cs="Times New Roman"/>
            <w:color w:val="auto"/>
            <w:sz w:val="21"/>
            <w:szCs w:val="21"/>
            <w:u w:val="none"/>
          </w:rPr>
          <w:t>http://www.fes.kiev.ua</w:t>
        </w:r>
      </w:hyperlink>
      <w:bookmarkEnd w:id="210"/>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11" w:name="_Ref433976611"/>
      <w:r w:rsidRPr="005A2094">
        <w:rPr>
          <w:rFonts w:ascii="Times New Roman" w:hAnsi="Times New Roman" w:cs="Times New Roman"/>
          <w:sz w:val="21"/>
          <w:szCs w:val="21"/>
        </w:rPr>
        <w:lastRenderedPageBreak/>
        <w:t>Петюх В.</w:t>
      </w:r>
      <w:r>
        <w:rPr>
          <w:rFonts w:ascii="Times New Roman" w:hAnsi="Times New Roman" w:cs="Times New Roman"/>
          <w:sz w:val="21"/>
          <w:szCs w:val="21"/>
        </w:rPr>
        <w:t xml:space="preserve"> </w:t>
      </w:r>
      <w:r w:rsidRPr="005A2094">
        <w:rPr>
          <w:rFonts w:ascii="Times New Roman" w:hAnsi="Times New Roman" w:cs="Times New Roman"/>
          <w:sz w:val="21"/>
          <w:szCs w:val="21"/>
        </w:rPr>
        <w:t>М. Ринок праці</w:t>
      </w:r>
      <w:r>
        <w:rPr>
          <w:rFonts w:ascii="Times New Roman" w:hAnsi="Times New Roman" w:cs="Times New Roman"/>
          <w:sz w:val="21"/>
          <w:szCs w:val="21"/>
        </w:rPr>
        <w:t xml:space="preserve"> </w:t>
      </w:r>
      <w:r w:rsidRPr="005A2094">
        <w:rPr>
          <w:rFonts w:ascii="Times New Roman" w:hAnsi="Times New Roman" w:cs="Times New Roman"/>
          <w:sz w:val="21"/>
          <w:szCs w:val="21"/>
        </w:rPr>
        <w:t xml:space="preserve">: </w:t>
      </w:r>
      <w:r>
        <w:rPr>
          <w:rFonts w:ascii="Times New Roman" w:hAnsi="Times New Roman" w:cs="Times New Roman"/>
          <w:sz w:val="21"/>
          <w:szCs w:val="21"/>
        </w:rPr>
        <w:t>н</w:t>
      </w:r>
      <w:r w:rsidRPr="005A2094">
        <w:rPr>
          <w:rFonts w:ascii="Times New Roman" w:hAnsi="Times New Roman" w:cs="Times New Roman"/>
          <w:sz w:val="21"/>
          <w:szCs w:val="21"/>
        </w:rPr>
        <w:t>авч.-метод. по</w:t>
      </w:r>
      <w:r>
        <w:rPr>
          <w:rFonts w:ascii="Times New Roman" w:hAnsi="Times New Roman" w:cs="Times New Roman"/>
          <w:sz w:val="21"/>
          <w:szCs w:val="21"/>
        </w:rPr>
        <w:t>сібник для самост. вивч. дисц. / В. М. Петюх. –</w:t>
      </w:r>
      <w:r w:rsidRPr="005A2094">
        <w:rPr>
          <w:rFonts w:ascii="Times New Roman" w:hAnsi="Times New Roman" w:cs="Times New Roman"/>
          <w:sz w:val="21"/>
          <w:szCs w:val="21"/>
        </w:rPr>
        <w:t xml:space="preserve"> К.</w:t>
      </w:r>
      <w:r>
        <w:rPr>
          <w:rFonts w:ascii="Times New Roman" w:hAnsi="Times New Roman" w:cs="Times New Roman"/>
          <w:sz w:val="21"/>
          <w:szCs w:val="21"/>
        </w:rPr>
        <w:t xml:space="preserve"> : КНЕУ, 2000. –</w:t>
      </w:r>
      <w:r w:rsidRPr="005A2094">
        <w:rPr>
          <w:rFonts w:ascii="Times New Roman" w:hAnsi="Times New Roman" w:cs="Times New Roman"/>
          <w:sz w:val="21"/>
          <w:szCs w:val="21"/>
        </w:rPr>
        <w:t xml:space="preserve"> 128 с.</w:t>
      </w:r>
      <w:bookmarkEnd w:id="211"/>
    </w:p>
    <w:p w:rsidR="00B233DE" w:rsidRPr="00306BD7"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12" w:name="_Ref435784208"/>
      <w:bookmarkStart w:id="213" w:name="_Ref433977693"/>
      <w:r>
        <w:rPr>
          <w:rFonts w:ascii="Times New Roman" w:hAnsi="Times New Roman" w:cs="Times New Roman"/>
          <w:sz w:val="21"/>
          <w:szCs w:val="21"/>
        </w:rPr>
        <w:t>Пищуліна О. М. Інституціональні пастки</w:t>
      </w:r>
      <w:r w:rsidRPr="00AB5FD8">
        <w:rPr>
          <w:rFonts w:ascii="Times New Roman" w:hAnsi="Times New Roman" w:cs="Times New Roman"/>
          <w:sz w:val="21"/>
          <w:szCs w:val="21"/>
        </w:rPr>
        <w:t xml:space="preserve"> функціонування ринку праці в Україні </w:t>
      </w:r>
      <w:r>
        <w:rPr>
          <w:rFonts w:ascii="Times New Roman" w:hAnsi="Times New Roman" w:cs="Times New Roman"/>
          <w:sz w:val="21"/>
          <w:szCs w:val="21"/>
        </w:rPr>
        <w:t xml:space="preserve">/ О. М. Пищуліна </w:t>
      </w:r>
      <w:r w:rsidRPr="00AB5FD8">
        <w:rPr>
          <w:rFonts w:ascii="Times New Roman" w:hAnsi="Times New Roman" w:cs="Times New Roman"/>
          <w:sz w:val="21"/>
          <w:szCs w:val="21"/>
        </w:rPr>
        <w:t>// Стратегічні пріоритети.-2009.</w:t>
      </w:r>
      <w:r>
        <w:rPr>
          <w:rFonts w:ascii="Times New Roman" w:hAnsi="Times New Roman" w:cs="Times New Roman"/>
          <w:sz w:val="21"/>
          <w:szCs w:val="21"/>
        </w:rPr>
        <w:t xml:space="preserve"> – </w:t>
      </w:r>
      <w:r w:rsidRPr="00AB5FD8">
        <w:rPr>
          <w:rFonts w:ascii="Times New Roman" w:hAnsi="Times New Roman" w:cs="Times New Roman"/>
          <w:sz w:val="21"/>
          <w:szCs w:val="21"/>
        </w:rPr>
        <w:t>№</w:t>
      </w:r>
      <w:r>
        <w:rPr>
          <w:rFonts w:ascii="Times New Roman" w:hAnsi="Times New Roman" w:cs="Times New Roman"/>
          <w:sz w:val="21"/>
          <w:szCs w:val="21"/>
        </w:rPr>
        <w:t xml:space="preserve"> </w:t>
      </w:r>
      <w:r w:rsidRPr="00AB5FD8">
        <w:rPr>
          <w:rFonts w:ascii="Times New Roman" w:hAnsi="Times New Roman" w:cs="Times New Roman"/>
          <w:sz w:val="21"/>
          <w:szCs w:val="21"/>
        </w:rPr>
        <w:t>4</w:t>
      </w:r>
      <w:r>
        <w:rPr>
          <w:rFonts w:ascii="Times New Roman" w:hAnsi="Times New Roman" w:cs="Times New Roman"/>
          <w:sz w:val="21"/>
          <w:szCs w:val="21"/>
        </w:rPr>
        <w:t xml:space="preserve"> </w:t>
      </w:r>
      <w:r w:rsidRPr="00AB5FD8">
        <w:rPr>
          <w:rFonts w:ascii="Times New Roman" w:hAnsi="Times New Roman" w:cs="Times New Roman"/>
          <w:sz w:val="21"/>
          <w:szCs w:val="21"/>
        </w:rPr>
        <w:t>(13).</w:t>
      </w:r>
      <w:r>
        <w:rPr>
          <w:rFonts w:ascii="Times New Roman" w:hAnsi="Times New Roman" w:cs="Times New Roman"/>
          <w:sz w:val="21"/>
          <w:szCs w:val="21"/>
        </w:rPr>
        <w:t xml:space="preserve"> – С.</w:t>
      </w:r>
      <w:r w:rsidRPr="00AB5FD8">
        <w:rPr>
          <w:rFonts w:ascii="Times New Roman" w:hAnsi="Times New Roman" w:cs="Times New Roman"/>
          <w:sz w:val="21"/>
          <w:szCs w:val="21"/>
        </w:rPr>
        <w:t xml:space="preserve"> 140</w:t>
      </w:r>
      <w:r>
        <w:rPr>
          <w:rFonts w:ascii="Times New Roman" w:hAnsi="Times New Roman" w:cs="Times New Roman"/>
          <w:sz w:val="21"/>
          <w:szCs w:val="21"/>
        </w:rPr>
        <w:t>–</w:t>
      </w:r>
      <w:r w:rsidRPr="00AB5FD8">
        <w:rPr>
          <w:rFonts w:ascii="Times New Roman" w:hAnsi="Times New Roman" w:cs="Times New Roman"/>
          <w:sz w:val="21"/>
          <w:szCs w:val="21"/>
        </w:rPr>
        <w:t>1</w:t>
      </w:r>
      <w:r>
        <w:rPr>
          <w:rFonts w:ascii="Times New Roman" w:hAnsi="Times New Roman" w:cs="Times New Roman"/>
          <w:sz w:val="21"/>
          <w:szCs w:val="21"/>
        </w:rPr>
        <w:t>48</w:t>
      </w:r>
      <w:r w:rsidRPr="00AB5FD8">
        <w:rPr>
          <w:rFonts w:ascii="Times New Roman" w:hAnsi="Times New Roman" w:cs="Times New Roman"/>
          <w:sz w:val="21"/>
          <w:szCs w:val="21"/>
        </w:rPr>
        <w:t>.</w:t>
      </w:r>
      <w:bookmarkEnd w:id="212"/>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r w:rsidRPr="005A2094">
        <w:rPr>
          <w:rFonts w:ascii="Times New Roman" w:hAnsi="Times New Roman" w:cs="Times New Roman"/>
          <w:spacing w:val="-8"/>
          <w:sz w:val="21"/>
          <w:szCs w:val="21"/>
        </w:rPr>
        <w:t>Поддєрьогін А.</w:t>
      </w:r>
      <w:r>
        <w:rPr>
          <w:rFonts w:ascii="Times New Roman" w:hAnsi="Times New Roman" w:cs="Times New Roman"/>
          <w:spacing w:val="-8"/>
          <w:sz w:val="21"/>
          <w:szCs w:val="21"/>
        </w:rPr>
        <w:t xml:space="preserve"> </w:t>
      </w:r>
      <w:r w:rsidRPr="005A2094">
        <w:rPr>
          <w:rFonts w:ascii="Times New Roman" w:hAnsi="Times New Roman" w:cs="Times New Roman"/>
          <w:spacing w:val="-8"/>
          <w:sz w:val="21"/>
          <w:szCs w:val="21"/>
        </w:rPr>
        <w:t xml:space="preserve">М. Фінансовий менеджмент : конспект лекцій </w:t>
      </w:r>
      <w:r w:rsidRPr="005A2094">
        <w:rPr>
          <w:rFonts w:ascii="Times New Roman" w:hAnsi="Times New Roman" w:cs="Times New Roman"/>
          <w:iCs/>
          <w:spacing w:val="-8"/>
          <w:sz w:val="21"/>
          <w:szCs w:val="21"/>
        </w:rPr>
        <w:t>[Електрон. pесурс] / А.</w:t>
      </w:r>
      <w:r>
        <w:rPr>
          <w:rFonts w:ascii="Times New Roman" w:hAnsi="Times New Roman" w:cs="Times New Roman"/>
          <w:iCs/>
          <w:spacing w:val="-8"/>
          <w:sz w:val="21"/>
          <w:szCs w:val="21"/>
        </w:rPr>
        <w:t xml:space="preserve"> М. </w:t>
      </w:r>
      <w:r w:rsidRPr="005A2094">
        <w:rPr>
          <w:rFonts w:ascii="Times New Roman" w:hAnsi="Times New Roman" w:cs="Times New Roman"/>
          <w:spacing w:val="-8"/>
          <w:sz w:val="21"/>
          <w:szCs w:val="21"/>
        </w:rPr>
        <w:t>Поддєрьогін</w:t>
      </w:r>
      <w:r w:rsidRPr="005A2094">
        <w:rPr>
          <w:rFonts w:ascii="Times New Roman" w:hAnsi="Times New Roman" w:cs="Times New Roman"/>
          <w:iCs/>
          <w:spacing w:val="-8"/>
          <w:sz w:val="21"/>
          <w:szCs w:val="21"/>
        </w:rPr>
        <w:t xml:space="preserve">. – Режим доступу: </w:t>
      </w:r>
      <w:r w:rsidRPr="005A2094">
        <w:rPr>
          <w:rFonts w:ascii="Times New Roman" w:hAnsi="Times New Roman" w:cs="Times New Roman"/>
          <w:spacing w:val="-8"/>
          <w:sz w:val="21"/>
          <w:szCs w:val="21"/>
        </w:rPr>
        <w:t>http://www.vuzlib.net/fm_P/8-2.htm</w:t>
      </w:r>
      <w:bookmarkEnd w:id="213"/>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14" w:name="_Ref433977759"/>
      <w:r w:rsidRPr="005A2094">
        <w:rPr>
          <w:rFonts w:ascii="Times New Roman" w:hAnsi="Times New Roman" w:cs="Times New Roman"/>
          <w:spacing w:val="-8"/>
          <w:sz w:val="21"/>
          <w:szCs w:val="21"/>
        </w:rPr>
        <w:t>Подра О.</w:t>
      </w:r>
      <w:r>
        <w:rPr>
          <w:rFonts w:ascii="Times New Roman" w:hAnsi="Times New Roman" w:cs="Times New Roman"/>
          <w:spacing w:val="-8"/>
          <w:sz w:val="21"/>
          <w:szCs w:val="21"/>
        </w:rPr>
        <w:t xml:space="preserve"> </w:t>
      </w:r>
      <w:r w:rsidRPr="005A2094">
        <w:rPr>
          <w:rFonts w:ascii="Times New Roman" w:hAnsi="Times New Roman" w:cs="Times New Roman"/>
          <w:spacing w:val="-8"/>
          <w:sz w:val="21"/>
          <w:szCs w:val="21"/>
        </w:rPr>
        <w:t>П. Інвестиції в п</w:t>
      </w:r>
      <w:r w:rsidRPr="005A2094">
        <w:rPr>
          <w:rFonts w:ascii="Times New Roman" w:hAnsi="Times New Roman" w:cs="Times New Roman"/>
          <w:bCs/>
          <w:spacing w:val="-8"/>
          <w:sz w:val="21"/>
          <w:szCs w:val="21"/>
        </w:rPr>
        <w:t>рофесійне навчання як інструмент накопичення специфічного людського капіталу / О.</w:t>
      </w:r>
      <w:r>
        <w:rPr>
          <w:rFonts w:ascii="Times New Roman" w:hAnsi="Times New Roman" w:cs="Times New Roman"/>
          <w:bCs/>
          <w:spacing w:val="-8"/>
          <w:sz w:val="21"/>
          <w:szCs w:val="21"/>
        </w:rPr>
        <w:t xml:space="preserve"> </w:t>
      </w:r>
      <w:r w:rsidRPr="005A2094">
        <w:rPr>
          <w:rFonts w:ascii="Times New Roman" w:hAnsi="Times New Roman" w:cs="Times New Roman"/>
          <w:bCs/>
          <w:spacing w:val="-8"/>
          <w:sz w:val="21"/>
          <w:szCs w:val="21"/>
        </w:rPr>
        <w:t>П. Подра //</w:t>
      </w:r>
      <w:r w:rsidRPr="005A2094">
        <w:rPr>
          <w:rFonts w:ascii="Times New Roman" w:hAnsi="Times New Roman" w:cs="Times New Roman"/>
          <w:spacing w:val="-8"/>
          <w:sz w:val="21"/>
          <w:szCs w:val="21"/>
        </w:rPr>
        <w:t xml:space="preserve"> </w:t>
      </w:r>
      <w:r w:rsidRPr="005A2094">
        <w:rPr>
          <w:rFonts w:ascii="Times New Roman" w:hAnsi="Times New Roman" w:cs="Times New Roman"/>
          <w:sz w:val="21"/>
          <w:szCs w:val="21"/>
        </w:rPr>
        <w:t>Вісник Дніпропетровського національного університету. Серія</w:t>
      </w:r>
      <w:r>
        <w:rPr>
          <w:rFonts w:ascii="Times New Roman" w:hAnsi="Times New Roman" w:cs="Times New Roman"/>
          <w:sz w:val="21"/>
          <w:szCs w:val="21"/>
        </w:rPr>
        <w:t xml:space="preserve"> </w:t>
      </w:r>
      <w:r w:rsidRPr="005A2094">
        <w:rPr>
          <w:rFonts w:ascii="Times New Roman" w:hAnsi="Times New Roman" w:cs="Times New Roman"/>
          <w:sz w:val="21"/>
          <w:szCs w:val="21"/>
        </w:rPr>
        <w:t>: економіка. – 2011. – Вип. 5 (2). – С. 126–132</w:t>
      </w:r>
      <w:r w:rsidRPr="005A2094">
        <w:rPr>
          <w:rFonts w:ascii="Times New Roman" w:hAnsi="Times New Roman" w:cs="Times New Roman"/>
          <w:spacing w:val="-8"/>
          <w:sz w:val="21"/>
          <w:szCs w:val="21"/>
        </w:rPr>
        <w:t>.</w:t>
      </w:r>
      <w:bookmarkEnd w:id="214"/>
    </w:p>
    <w:p w:rsidR="00B233DE"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15" w:name="_Ref435784259"/>
      <w:bookmarkStart w:id="216" w:name="_Ref433977468"/>
      <w:r w:rsidRPr="00AB5FD8">
        <w:rPr>
          <w:rFonts w:ascii="Times New Roman" w:hAnsi="Times New Roman" w:cs="Times New Roman"/>
          <w:sz w:val="21"/>
          <w:szCs w:val="21"/>
        </w:rPr>
        <w:t xml:space="preserve">Покатаєва О. В. Інституціональні перетворення у національній економіці </w:t>
      </w:r>
      <w:r>
        <w:rPr>
          <w:rFonts w:ascii="Times New Roman" w:hAnsi="Times New Roman" w:cs="Times New Roman"/>
          <w:sz w:val="21"/>
          <w:szCs w:val="21"/>
        </w:rPr>
        <w:t xml:space="preserve">[Електронний ресурс] / О. В. Пищуліна. – Режим доступу : </w:t>
      </w:r>
      <w:r w:rsidRPr="00AB5FD8">
        <w:rPr>
          <w:rFonts w:ascii="Times New Roman" w:hAnsi="Times New Roman" w:cs="Times New Roman"/>
          <w:sz w:val="21"/>
          <w:szCs w:val="21"/>
        </w:rPr>
        <w:t>http://nauka.kushnir.mk.ua/?p=25859.</w:t>
      </w:r>
      <w:bookmarkEnd w:id="215"/>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r w:rsidRPr="005A2094">
        <w:rPr>
          <w:rFonts w:ascii="Times New Roman" w:hAnsi="Times New Roman" w:cs="Times New Roman"/>
          <w:sz w:val="21"/>
          <w:szCs w:val="21"/>
        </w:rPr>
        <w:t xml:space="preserve">Послання Президента України Віктора Януковича до Українського народу </w:t>
      </w:r>
      <w:r w:rsidRPr="005A2094">
        <w:rPr>
          <w:rFonts w:ascii="Times New Roman" w:eastAsia="TimesNewRomanPS-BoldItalicMT" w:hAnsi="Times New Roman" w:cs="Times New Roman"/>
          <w:bCs/>
          <w:iCs/>
          <w:sz w:val="21"/>
          <w:szCs w:val="21"/>
        </w:rPr>
        <w:t>[</w:t>
      </w:r>
      <w:r w:rsidRPr="005A2094">
        <w:rPr>
          <w:rFonts w:ascii="Times New Roman" w:eastAsia="TimesNewRomanPS-BoldItalicMT" w:hAnsi="Times New Roman" w:cs="Times New Roman"/>
          <w:bCs/>
          <w:iCs/>
          <w:spacing w:val="-4"/>
          <w:sz w:val="21"/>
          <w:szCs w:val="21"/>
        </w:rPr>
        <w:t xml:space="preserve">Електронний ресурс]. </w:t>
      </w:r>
      <w:r w:rsidRPr="005A2094">
        <w:rPr>
          <w:rFonts w:ascii="Times New Roman" w:hAnsi="Times New Roman" w:cs="Times New Roman"/>
          <w:spacing w:val="-4"/>
          <w:sz w:val="21"/>
          <w:szCs w:val="21"/>
        </w:rPr>
        <w:t>– Режим доступу</w:t>
      </w:r>
      <w:r>
        <w:rPr>
          <w:rFonts w:ascii="Times New Roman" w:hAnsi="Times New Roman" w:cs="Times New Roman"/>
          <w:spacing w:val="-4"/>
          <w:sz w:val="21"/>
          <w:szCs w:val="21"/>
        </w:rPr>
        <w:t xml:space="preserve"> </w:t>
      </w:r>
      <w:r w:rsidRPr="005A2094">
        <w:rPr>
          <w:rFonts w:ascii="Times New Roman" w:hAnsi="Times New Roman" w:cs="Times New Roman"/>
          <w:spacing w:val="-4"/>
          <w:sz w:val="21"/>
          <w:szCs w:val="21"/>
        </w:rPr>
        <w:t xml:space="preserve">: </w:t>
      </w:r>
      <w:hyperlink r:id="rId46" w:history="1">
        <w:r w:rsidRPr="00670B8F">
          <w:rPr>
            <w:rStyle w:val="aff"/>
            <w:rFonts w:ascii="Times New Roman" w:hAnsi="Times New Roman" w:cs="Times New Roman"/>
            <w:color w:val="auto"/>
            <w:spacing w:val="-4"/>
            <w:sz w:val="21"/>
            <w:szCs w:val="21"/>
            <w:u w:val="none"/>
          </w:rPr>
          <w:t>http://www.president.gov.ua/news/17307.html</w:t>
        </w:r>
      </w:hyperlink>
      <w:r w:rsidRPr="00670B8F">
        <w:rPr>
          <w:rFonts w:ascii="Times New Roman" w:hAnsi="Times New Roman" w:cs="Times New Roman"/>
          <w:spacing w:val="-4"/>
          <w:sz w:val="21"/>
          <w:szCs w:val="21"/>
        </w:rPr>
        <w:t>.</w:t>
      </w:r>
      <w:bookmarkEnd w:id="216"/>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17" w:name="_Ref433977392"/>
      <w:r w:rsidRPr="005A2094">
        <w:rPr>
          <w:rFonts w:ascii="Times New Roman" w:hAnsi="Times New Roman" w:cs="Times New Roman"/>
          <w:sz w:val="21"/>
          <w:szCs w:val="21"/>
        </w:rPr>
        <w:t>Послання Президента України до Верховної Ради України</w:t>
      </w:r>
      <w:r>
        <w:rPr>
          <w:rFonts w:ascii="Times New Roman" w:hAnsi="Times New Roman" w:cs="Times New Roman"/>
          <w:sz w:val="21"/>
          <w:szCs w:val="21"/>
        </w:rPr>
        <w:t xml:space="preserve"> </w:t>
      </w:r>
      <w:r w:rsidRPr="005A2094">
        <w:rPr>
          <w:rFonts w:ascii="Times New Roman" w:hAnsi="Times New Roman" w:cs="Times New Roman"/>
          <w:sz w:val="21"/>
          <w:szCs w:val="21"/>
        </w:rPr>
        <w:t>: Європейський вибір. Концептуальні засади стратегії економічного та соціального розвитку України на 2002–2011 роки від 30.04.2002 р. [Електронний ресурс]. – Режим доступу: http://zakon1.rada.gov.ua/laws/show/n0001100-02.</w:t>
      </w:r>
      <w:bookmarkEnd w:id="217"/>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18" w:name="_Ref433976780"/>
      <w:r w:rsidRPr="005A2094">
        <w:rPr>
          <w:rFonts w:ascii="Times New Roman" w:hAnsi="Times New Roman" w:cs="Times New Roman"/>
          <w:sz w:val="21"/>
          <w:szCs w:val="21"/>
        </w:rPr>
        <w:t>Приймак В. І. Регіональні ринки праці України</w:t>
      </w:r>
      <w:r>
        <w:rPr>
          <w:rFonts w:ascii="Times New Roman" w:hAnsi="Times New Roman" w:cs="Times New Roman"/>
          <w:sz w:val="21"/>
          <w:szCs w:val="21"/>
        </w:rPr>
        <w:t xml:space="preserve"> </w:t>
      </w:r>
      <w:r w:rsidRPr="005A2094">
        <w:rPr>
          <w:rFonts w:ascii="Times New Roman" w:hAnsi="Times New Roman" w:cs="Times New Roman"/>
          <w:sz w:val="21"/>
          <w:szCs w:val="21"/>
        </w:rPr>
        <w:t>: трансформація та механізми регулюванн</w:t>
      </w:r>
      <w:r>
        <w:rPr>
          <w:rFonts w:ascii="Times New Roman" w:hAnsi="Times New Roman" w:cs="Times New Roman"/>
          <w:sz w:val="21"/>
          <w:szCs w:val="21"/>
        </w:rPr>
        <w:t>я : монографія / В. І. Приймак</w:t>
      </w:r>
      <w:r w:rsidRPr="005A2094">
        <w:rPr>
          <w:rFonts w:ascii="Times New Roman" w:hAnsi="Times New Roman" w:cs="Times New Roman"/>
          <w:sz w:val="21"/>
          <w:szCs w:val="21"/>
        </w:rPr>
        <w:t>. – Л. : Вид. центр ЛНУ ім. І. Франка, 2003. – 255 с.</w:t>
      </w:r>
      <w:bookmarkEnd w:id="218"/>
    </w:p>
    <w:p w:rsidR="00B233DE" w:rsidRPr="00670B8F"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19" w:name="_Ref433977399"/>
      <w:r w:rsidRPr="005A2094">
        <w:rPr>
          <w:rFonts w:ascii="Times New Roman" w:eastAsia="Calibri" w:hAnsi="Times New Roman" w:cs="Times New Roman"/>
          <w:sz w:val="21"/>
          <w:szCs w:val="21"/>
        </w:rPr>
        <w:t xml:space="preserve">Про громадянство України </w:t>
      </w:r>
      <w:r w:rsidRPr="005A2094">
        <w:rPr>
          <w:rFonts w:ascii="Times New Roman" w:hAnsi="Times New Roman" w:cs="Times New Roman"/>
          <w:sz w:val="21"/>
          <w:szCs w:val="21"/>
        </w:rPr>
        <w:t>[Електронний ресурс] :</w:t>
      </w:r>
      <w:r w:rsidRPr="005A2094">
        <w:rPr>
          <w:rFonts w:ascii="Times New Roman" w:eastAsia="Calibri" w:hAnsi="Times New Roman" w:cs="Times New Roman"/>
          <w:sz w:val="21"/>
          <w:szCs w:val="21"/>
        </w:rPr>
        <w:t xml:space="preserve"> закон </w:t>
      </w:r>
      <w:r w:rsidRPr="005A2094">
        <w:rPr>
          <w:rFonts w:ascii="Times New Roman" w:hAnsi="Times New Roman" w:cs="Times New Roman"/>
          <w:sz w:val="21"/>
          <w:szCs w:val="21"/>
        </w:rPr>
        <w:t>України</w:t>
      </w:r>
      <w:r w:rsidRPr="005A2094">
        <w:rPr>
          <w:rFonts w:ascii="Times New Roman" w:eastAsia="Calibri" w:hAnsi="Times New Roman" w:cs="Times New Roman"/>
          <w:sz w:val="21"/>
          <w:szCs w:val="21"/>
        </w:rPr>
        <w:t xml:space="preserve"> вiд </w:t>
      </w:r>
      <w:r w:rsidRPr="005A2094">
        <w:rPr>
          <w:rFonts w:ascii="Times New Roman" w:eastAsia="Calibri" w:hAnsi="Times New Roman" w:cs="Times New Roman"/>
          <w:spacing w:val="-4"/>
          <w:sz w:val="21"/>
          <w:szCs w:val="21"/>
        </w:rPr>
        <w:t>18.01.2001 р. № 2235–III</w:t>
      </w:r>
      <w:r w:rsidRPr="005A2094">
        <w:rPr>
          <w:rFonts w:ascii="Times New Roman" w:hAnsi="Times New Roman" w:cs="Times New Roman"/>
          <w:spacing w:val="-4"/>
          <w:sz w:val="21"/>
          <w:szCs w:val="21"/>
        </w:rPr>
        <w:t>.</w:t>
      </w:r>
      <w:r w:rsidRPr="005A2094">
        <w:rPr>
          <w:rFonts w:ascii="Times New Roman" w:hAnsi="Times New Roman" w:cs="Times New Roman"/>
          <w:bCs/>
          <w:spacing w:val="-4"/>
          <w:sz w:val="21"/>
          <w:szCs w:val="21"/>
        </w:rPr>
        <w:t xml:space="preserve"> </w:t>
      </w:r>
      <w:r w:rsidRPr="005A2094">
        <w:rPr>
          <w:rFonts w:ascii="Times New Roman" w:hAnsi="Times New Roman" w:cs="Times New Roman"/>
          <w:spacing w:val="-4"/>
          <w:sz w:val="21"/>
          <w:szCs w:val="21"/>
        </w:rPr>
        <w:t xml:space="preserve">– Режим доступу: </w:t>
      </w:r>
      <w:hyperlink r:id="rId47" w:history="1">
        <w:r w:rsidRPr="00670B8F">
          <w:rPr>
            <w:rStyle w:val="aff"/>
            <w:rFonts w:ascii="Times New Roman" w:hAnsi="Times New Roman" w:cs="Times New Roman"/>
            <w:color w:val="auto"/>
            <w:spacing w:val="-4"/>
            <w:sz w:val="21"/>
            <w:szCs w:val="21"/>
            <w:u w:val="none"/>
          </w:rPr>
          <w:t>http://zakon2.rada.gov.ua/laws/show/2235-14</w:t>
        </w:r>
      </w:hyperlink>
      <w:r w:rsidRPr="00670B8F">
        <w:rPr>
          <w:rFonts w:ascii="Times New Roman" w:hAnsi="Times New Roman" w:cs="Times New Roman"/>
          <w:spacing w:val="-4"/>
          <w:sz w:val="21"/>
          <w:szCs w:val="21"/>
        </w:rPr>
        <w:t>.</w:t>
      </w:r>
      <w:bookmarkEnd w:id="219"/>
    </w:p>
    <w:p w:rsidR="00B233DE"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20" w:name="_Ref435784220"/>
      <w:bookmarkStart w:id="221" w:name="_Ref433976727"/>
      <w:r w:rsidRPr="00AB5FD8">
        <w:rPr>
          <w:rFonts w:ascii="Times New Roman" w:hAnsi="Times New Roman" w:cs="Times New Roman"/>
          <w:sz w:val="21"/>
          <w:szCs w:val="21"/>
        </w:rPr>
        <w:t xml:space="preserve">Про загальнообов’язкове державне соціальне страхування на випадок безробіття [Електронний ресурс] : закон України від 2.03.2000 р. № 1533–III. – Режим доступу: </w:t>
      </w:r>
      <w:hyperlink w:history="1">
        <w:r w:rsidRPr="007B704A">
          <w:rPr>
            <w:rStyle w:val="aff"/>
            <w:rFonts w:ascii="Times New Roman" w:hAnsi="Times New Roman" w:cs="Times New Roman"/>
            <w:color w:val="auto"/>
            <w:sz w:val="21"/>
            <w:szCs w:val="21"/>
            <w:u w:val="none"/>
          </w:rPr>
          <w:t>http://zakon1.rada.gov.ua /laws/show/1533-14</w:t>
        </w:r>
      </w:hyperlink>
      <w:r w:rsidRPr="007B704A">
        <w:rPr>
          <w:rFonts w:ascii="Times New Roman" w:hAnsi="Times New Roman" w:cs="Times New Roman"/>
          <w:sz w:val="21"/>
          <w:szCs w:val="21"/>
        </w:rPr>
        <w:t>.</w:t>
      </w:r>
      <w:bookmarkEnd w:id="220"/>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r w:rsidRPr="005A2094">
        <w:rPr>
          <w:rFonts w:ascii="Times New Roman" w:hAnsi="Times New Roman" w:cs="Times New Roman"/>
          <w:sz w:val="21"/>
          <w:szCs w:val="21"/>
        </w:rPr>
        <w:t>Про зайнятість населення [Електронний ресурс] : закон України від 5.07.2012 р. № 5067–VІ. – Режим доступу: http://zakon.rada.gov.ua.</w:t>
      </w:r>
      <w:bookmarkEnd w:id="221"/>
    </w:p>
    <w:p w:rsidR="00B233DE" w:rsidRPr="00670B8F"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22" w:name="_Ref433977404"/>
      <w:r w:rsidRPr="005A2094">
        <w:rPr>
          <w:rFonts w:ascii="Times New Roman" w:hAnsi="Times New Roman" w:cs="Times New Roman"/>
          <w:bCs/>
          <w:sz w:val="21"/>
          <w:szCs w:val="21"/>
        </w:rPr>
        <w:t xml:space="preserve">Про затвердження </w:t>
      </w:r>
      <w:r w:rsidRPr="005A2094">
        <w:rPr>
          <w:rFonts w:ascii="Times New Roman" w:hAnsi="Times New Roman" w:cs="Times New Roman"/>
          <w:sz w:val="21"/>
          <w:szCs w:val="21"/>
        </w:rPr>
        <w:t xml:space="preserve">Державної стратегії регіонального розвитку на період </w:t>
      </w:r>
      <w:r w:rsidRPr="005A2094">
        <w:rPr>
          <w:rFonts w:ascii="Times New Roman" w:hAnsi="Times New Roman" w:cs="Times New Roman"/>
          <w:spacing w:val="-8"/>
          <w:sz w:val="21"/>
          <w:szCs w:val="21"/>
        </w:rPr>
        <w:t xml:space="preserve">до </w:t>
      </w:r>
      <w:r w:rsidRPr="005A2094">
        <w:rPr>
          <w:rFonts w:ascii="Times New Roman" w:hAnsi="Times New Roman" w:cs="Times New Roman"/>
          <w:sz w:val="21"/>
          <w:szCs w:val="21"/>
        </w:rPr>
        <w:t xml:space="preserve">2015 року [Електронний ресурс] : постанова </w:t>
      </w:r>
      <w:r w:rsidRPr="005A2094">
        <w:rPr>
          <w:rFonts w:ascii="Times New Roman" w:hAnsi="Times New Roman" w:cs="Times New Roman"/>
          <w:sz w:val="21"/>
          <w:szCs w:val="21"/>
        </w:rPr>
        <w:lastRenderedPageBreak/>
        <w:t xml:space="preserve">КМУ від 21.07.2006 р. № 1001. – Режим доступу: </w:t>
      </w:r>
      <w:hyperlink r:id="rId48" w:history="1">
        <w:r w:rsidRPr="00670B8F">
          <w:rPr>
            <w:rStyle w:val="aff"/>
            <w:rFonts w:ascii="Times New Roman" w:hAnsi="Times New Roman" w:cs="Times New Roman"/>
            <w:color w:val="auto"/>
            <w:sz w:val="21"/>
            <w:szCs w:val="21"/>
            <w:u w:val="none"/>
          </w:rPr>
          <w:t>http://zakon3.rada.gov.ua/laws/show/1001-2006-%D0%BF</w:t>
        </w:r>
      </w:hyperlink>
      <w:r w:rsidRPr="00670B8F">
        <w:rPr>
          <w:rFonts w:ascii="Times New Roman" w:hAnsi="Times New Roman" w:cs="Times New Roman"/>
          <w:sz w:val="21"/>
          <w:szCs w:val="21"/>
        </w:rPr>
        <w:t>.</w:t>
      </w:r>
      <w:bookmarkEnd w:id="222"/>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pacing w:val="-6"/>
          <w:sz w:val="21"/>
          <w:szCs w:val="21"/>
        </w:rPr>
      </w:pPr>
      <w:bookmarkStart w:id="223" w:name="_Ref433977796"/>
      <w:r w:rsidRPr="005A2094">
        <w:rPr>
          <w:rFonts w:ascii="Times New Roman" w:hAnsi="Times New Roman" w:cs="Times New Roman"/>
          <w:spacing w:val="-8"/>
          <w:sz w:val="21"/>
          <w:szCs w:val="21"/>
        </w:rPr>
        <w:t xml:space="preserve">Про затвердження переліку платних послуг, які можуть надаватися навчальними закладами та іншими установами та закладами системи освіти, що не належать до державної і комунальної форм власності </w:t>
      </w:r>
      <w:r w:rsidRPr="005A2094">
        <w:rPr>
          <w:rFonts w:ascii="Times New Roman" w:hAnsi="Times New Roman" w:cs="Times New Roman"/>
          <w:sz w:val="21"/>
          <w:szCs w:val="21"/>
        </w:rPr>
        <w:t>[Електронний ресурс]</w:t>
      </w:r>
      <w:r>
        <w:rPr>
          <w:rFonts w:ascii="Times New Roman" w:hAnsi="Times New Roman" w:cs="Times New Roman"/>
          <w:sz w:val="21"/>
          <w:szCs w:val="21"/>
        </w:rPr>
        <w:t xml:space="preserve"> : п</w:t>
      </w:r>
      <w:r w:rsidRPr="005A2094">
        <w:rPr>
          <w:rFonts w:ascii="Times New Roman" w:hAnsi="Times New Roman" w:cs="Times New Roman"/>
          <w:spacing w:val="-8"/>
          <w:sz w:val="21"/>
          <w:szCs w:val="21"/>
        </w:rPr>
        <w:t xml:space="preserve">останова КМУ № 769 від 27 серпня 2010 року. – Режим доступу: </w:t>
      </w:r>
      <w:hyperlink r:id="rId49" w:history="1">
        <w:r w:rsidRPr="00670B8F">
          <w:rPr>
            <w:rStyle w:val="aff"/>
            <w:rFonts w:ascii="Times New Roman" w:hAnsi="Times New Roman" w:cs="Times New Roman"/>
            <w:color w:val="auto"/>
            <w:spacing w:val="-8"/>
            <w:sz w:val="21"/>
            <w:szCs w:val="21"/>
            <w:u w:val="none"/>
          </w:rPr>
          <w:t>http://osvita.ua/legislation/other/8906</w:t>
        </w:r>
      </w:hyperlink>
      <w:bookmarkEnd w:id="223"/>
    </w:p>
    <w:p w:rsidR="00B233DE" w:rsidRPr="00670B8F" w:rsidRDefault="00B233DE" w:rsidP="00B233DE">
      <w:pPr>
        <w:pStyle w:val="ad"/>
        <w:numPr>
          <w:ilvl w:val="0"/>
          <w:numId w:val="13"/>
        </w:numPr>
        <w:tabs>
          <w:tab w:val="left" w:pos="1134"/>
        </w:tabs>
        <w:ind w:left="0" w:firstLine="709"/>
        <w:jc w:val="both"/>
        <w:rPr>
          <w:rFonts w:ascii="Times New Roman" w:hAnsi="Times New Roman" w:cs="Times New Roman"/>
          <w:spacing w:val="-4"/>
          <w:sz w:val="21"/>
          <w:szCs w:val="21"/>
        </w:rPr>
      </w:pPr>
      <w:bookmarkStart w:id="224" w:name="_Ref433977651"/>
      <w:r>
        <w:rPr>
          <w:rFonts w:ascii="Times New Roman" w:hAnsi="Times New Roman" w:cs="Times New Roman"/>
          <w:spacing w:val="-6"/>
          <w:sz w:val="21"/>
          <w:szCs w:val="21"/>
        </w:rPr>
        <w:t xml:space="preserve">Про інвестиційну діяльність [Електронний ресурс] : Закон України від 18. 09. 1991 р. № 1560-ХІІ. – </w:t>
      </w:r>
      <w:r w:rsidRPr="005A2094">
        <w:rPr>
          <w:rFonts w:ascii="Times New Roman" w:hAnsi="Times New Roman" w:cs="Times New Roman"/>
          <w:spacing w:val="-6"/>
          <w:sz w:val="21"/>
          <w:szCs w:val="21"/>
        </w:rPr>
        <w:t>Режим доступу</w:t>
      </w:r>
      <w:r>
        <w:rPr>
          <w:rFonts w:ascii="Times New Roman" w:hAnsi="Times New Roman" w:cs="Times New Roman"/>
          <w:spacing w:val="-6"/>
          <w:sz w:val="21"/>
          <w:szCs w:val="21"/>
        </w:rPr>
        <w:t xml:space="preserve"> </w:t>
      </w:r>
      <w:r w:rsidRPr="005A2094">
        <w:rPr>
          <w:rFonts w:ascii="Times New Roman" w:hAnsi="Times New Roman" w:cs="Times New Roman"/>
          <w:spacing w:val="-6"/>
          <w:sz w:val="21"/>
          <w:szCs w:val="21"/>
        </w:rPr>
        <w:t xml:space="preserve">: </w:t>
      </w:r>
      <w:hyperlink r:id="rId50" w:history="1">
        <w:r w:rsidRPr="00670B8F">
          <w:rPr>
            <w:rStyle w:val="aff"/>
            <w:rFonts w:ascii="Times New Roman" w:hAnsi="Times New Roman" w:cs="Times New Roman"/>
            <w:color w:val="auto"/>
            <w:spacing w:val="-6"/>
            <w:sz w:val="21"/>
            <w:szCs w:val="21"/>
            <w:u w:val="none"/>
          </w:rPr>
          <w:t>http://zakon2.rada.gov.ua/laws/show/1560-12</w:t>
        </w:r>
      </w:hyperlink>
      <w:r w:rsidRPr="00670B8F">
        <w:rPr>
          <w:rFonts w:ascii="Times New Roman" w:hAnsi="Times New Roman" w:cs="Times New Roman"/>
          <w:iCs/>
          <w:spacing w:val="-6"/>
          <w:sz w:val="21"/>
          <w:szCs w:val="21"/>
        </w:rPr>
        <w:t>.</w:t>
      </w:r>
      <w:bookmarkEnd w:id="224"/>
    </w:p>
    <w:p w:rsidR="00B233DE" w:rsidRPr="00670B8F"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25" w:name="_Ref433977426"/>
      <w:r w:rsidRPr="005A2094">
        <w:rPr>
          <w:rFonts w:ascii="Times New Roman" w:hAnsi="Times New Roman" w:cs="Times New Roman"/>
          <w:spacing w:val="-4"/>
          <w:sz w:val="21"/>
          <w:szCs w:val="21"/>
        </w:rPr>
        <w:t>Про Конце</w:t>
      </w:r>
      <w:r>
        <w:rPr>
          <w:rFonts w:ascii="Times New Roman" w:hAnsi="Times New Roman" w:cs="Times New Roman"/>
          <w:spacing w:val="-4"/>
          <w:sz w:val="21"/>
          <w:szCs w:val="21"/>
        </w:rPr>
        <w:t>пцію соціальної держави України</w:t>
      </w:r>
      <w:r w:rsidRPr="005A2094">
        <w:rPr>
          <w:rFonts w:ascii="Times New Roman" w:hAnsi="Times New Roman" w:cs="Times New Roman"/>
          <w:spacing w:val="-4"/>
          <w:sz w:val="21"/>
          <w:szCs w:val="21"/>
        </w:rPr>
        <w:t xml:space="preserve"> </w:t>
      </w:r>
      <w:r w:rsidRPr="005A2094">
        <w:rPr>
          <w:rFonts w:ascii="Times New Roman" w:hAnsi="Times New Roman" w:cs="Times New Roman"/>
          <w:sz w:val="21"/>
          <w:szCs w:val="21"/>
        </w:rPr>
        <w:t xml:space="preserve">[Електронний ресурс] : </w:t>
      </w:r>
      <w:r w:rsidRPr="005A2094">
        <w:rPr>
          <w:rFonts w:ascii="Times New Roman" w:hAnsi="Times New Roman" w:cs="Times New Roman"/>
          <w:spacing w:val="-4"/>
          <w:sz w:val="21"/>
          <w:szCs w:val="21"/>
        </w:rPr>
        <w:t>проект закону</w:t>
      </w:r>
      <w:r>
        <w:rPr>
          <w:rFonts w:ascii="Times New Roman" w:hAnsi="Times New Roman" w:cs="Times New Roman"/>
          <w:spacing w:val="-4"/>
          <w:sz w:val="21"/>
          <w:szCs w:val="21"/>
        </w:rPr>
        <w:t xml:space="preserve"> </w:t>
      </w:r>
      <w:r w:rsidRPr="005A2094">
        <w:rPr>
          <w:rFonts w:ascii="Times New Roman" w:hAnsi="Times New Roman" w:cs="Times New Roman"/>
          <w:bCs/>
          <w:spacing w:val="-4"/>
          <w:sz w:val="21"/>
          <w:szCs w:val="21"/>
        </w:rPr>
        <w:t>від 2.04.2008 р.</w:t>
      </w:r>
      <w:r w:rsidRPr="005A2094">
        <w:rPr>
          <w:rFonts w:ascii="Times New Roman" w:hAnsi="Times New Roman" w:cs="Times New Roman"/>
          <w:bCs/>
          <w:sz w:val="21"/>
          <w:szCs w:val="21"/>
        </w:rPr>
        <w:t xml:space="preserve"> № 2312</w:t>
      </w:r>
      <w:r w:rsidRPr="005A2094">
        <w:rPr>
          <w:rFonts w:ascii="Times New Roman" w:hAnsi="Times New Roman" w:cs="Times New Roman"/>
          <w:spacing w:val="-4"/>
          <w:sz w:val="21"/>
          <w:szCs w:val="21"/>
        </w:rPr>
        <w:t xml:space="preserve">. </w:t>
      </w:r>
      <w:r w:rsidRPr="005A2094">
        <w:rPr>
          <w:rFonts w:ascii="Times New Roman" w:hAnsi="Times New Roman" w:cs="Times New Roman"/>
          <w:sz w:val="21"/>
          <w:szCs w:val="21"/>
        </w:rPr>
        <w:t>– Режим доступу</w:t>
      </w:r>
      <w:r>
        <w:rPr>
          <w:rFonts w:ascii="Times New Roman" w:hAnsi="Times New Roman" w:cs="Times New Roman"/>
          <w:sz w:val="21"/>
          <w:szCs w:val="21"/>
        </w:rPr>
        <w:t xml:space="preserve"> </w:t>
      </w:r>
      <w:r w:rsidRPr="005A2094">
        <w:rPr>
          <w:rFonts w:ascii="Times New Roman" w:hAnsi="Times New Roman" w:cs="Times New Roman"/>
          <w:sz w:val="21"/>
          <w:szCs w:val="21"/>
        </w:rPr>
        <w:t xml:space="preserve">: </w:t>
      </w:r>
      <w:hyperlink r:id="rId51" w:history="1">
        <w:r w:rsidRPr="00670B8F">
          <w:rPr>
            <w:rStyle w:val="aff"/>
            <w:rFonts w:ascii="Times New Roman" w:eastAsiaTheme="majorEastAsia" w:hAnsi="Times New Roman" w:cs="Times New Roman"/>
            <w:color w:val="auto"/>
            <w:sz w:val="21"/>
            <w:szCs w:val="21"/>
            <w:u w:val="none"/>
          </w:rPr>
          <w:t>http://w1.c1.rada.gov.ua/pls/zweb_n/ webproc4_1?pf3511=32175</w:t>
        </w:r>
      </w:hyperlink>
      <w:bookmarkEnd w:id="225"/>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26" w:name="_Ref433977420"/>
      <w:r w:rsidRPr="005A2094">
        <w:rPr>
          <w:rFonts w:ascii="Times New Roman" w:hAnsi="Times New Roman" w:cs="Times New Roman"/>
          <w:sz w:val="21"/>
          <w:szCs w:val="21"/>
        </w:rPr>
        <w:t>Про основи національної безпеки [Електронний ресурс] : закон України</w:t>
      </w:r>
      <w:r w:rsidRPr="005A2094">
        <w:rPr>
          <w:rFonts w:ascii="Times New Roman" w:eastAsia="Calibri" w:hAnsi="Times New Roman" w:cs="Times New Roman"/>
          <w:sz w:val="21"/>
          <w:szCs w:val="21"/>
        </w:rPr>
        <w:t xml:space="preserve"> від </w:t>
      </w:r>
      <w:r w:rsidRPr="005A2094">
        <w:rPr>
          <w:rFonts w:ascii="Times New Roman" w:hAnsi="Times New Roman" w:cs="Times New Roman"/>
          <w:bCs/>
          <w:sz w:val="21"/>
          <w:szCs w:val="21"/>
        </w:rPr>
        <w:t>19.</w:t>
      </w:r>
      <w:r>
        <w:rPr>
          <w:rFonts w:ascii="Times New Roman" w:hAnsi="Times New Roman" w:cs="Times New Roman"/>
          <w:bCs/>
          <w:sz w:val="21"/>
          <w:szCs w:val="21"/>
        </w:rPr>
        <w:t xml:space="preserve"> </w:t>
      </w:r>
      <w:r w:rsidRPr="005A2094">
        <w:rPr>
          <w:rFonts w:ascii="Times New Roman" w:hAnsi="Times New Roman" w:cs="Times New Roman"/>
          <w:bCs/>
          <w:sz w:val="21"/>
          <w:szCs w:val="21"/>
        </w:rPr>
        <w:t>06.</w:t>
      </w:r>
      <w:r>
        <w:rPr>
          <w:rFonts w:ascii="Times New Roman" w:hAnsi="Times New Roman" w:cs="Times New Roman"/>
          <w:bCs/>
          <w:sz w:val="21"/>
          <w:szCs w:val="21"/>
        </w:rPr>
        <w:t xml:space="preserve"> </w:t>
      </w:r>
      <w:r w:rsidRPr="005A2094">
        <w:rPr>
          <w:rFonts w:ascii="Times New Roman" w:hAnsi="Times New Roman" w:cs="Times New Roman"/>
          <w:bCs/>
          <w:sz w:val="21"/>
          <w:szCs w:val="21"/>
        </w:rPr>
        <w:t>2003 р. № 964–IV</w:t>
      </w:r>
      <w:r w:rsidRPr="005A2094">
        <w:rPr>
          <w:rFonts w:ascii="Times New Roman" w:hAnsi="Times New Roman" w:cs="Times New Roman"/>
          <w:sz w:val="21"/>
          <w:szCs w:val="21"/>
        </w:rPr>
        <w:t>. – Режим доступу</w:t>
      </w:r>
      <w:r>
        <w:rPr>
          <w:rFonts w:ascii="Times New Roman" w:hAnsi="Times New Roman" w:cs="Times New Roman"/>
          <w:sz w:val="21"/>
          <w:szCs w:val="21"/>
        </w:rPr>
        <w:t xml:space="preserve"> </w:t>
      </w:r>
      <w:r w:rsidRPr="005A2094">
        <w:rPr>
          <w:rFonts w:ascii="Times New Roman" w:hAnsi="Times New Roman" w:cs="Times New Roman"/>
          <w:sz w:val="21"/>
          <w:szCs w:val="21"/>
        </w:rPr>
        <w:t xml:space="preserve">: </w:t>
      </w:r>
      <w:hyperlink r:id="rId52" w:history="1">
        <w:r w:rsidRPr="00670B8F">
          <w:rPr>
            <w:rStyle w:val="aff"/>
            <w:rFonts w:ascii="Times New Roman" w:hAnsi="Times New Roman" w:cs="Times New Roman"/>
            <w:color w:val="auto"/>
            <w:sz w:val="21"/>
            <w:szCs w:val="21"/>
            <w:u w:val="none"/>
          </w:rPr>
          <w:t>http://zakon2.rada.gov.ua/laws/ show/964-15</w:t>
        </w:r>
      </w:hyperlink>
      <w:r w:rsidRPr="00670B8F">
        <w:rPr>
          <w:rFonts w:ascii="Times New Roman" w:hAnsi="Times New Roman" w:cs="Times New Roman"/>
          <w:sz w:val="21"/>
          <w:szCs w:val="21"/>
        </w:rPr>
        <w:t>.</w:t>
      </w:r>
      <w:bookmarkEnd w:id="226"/>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27" w:name="_Ref433977486"/>
      <w:r w:rsidRPr="005A2094">
        <w:rPr>
          <w:rFonts w:ascii="Times New Roman" w:hAnsi="Times New Roman" w:cs="Times New Roman"/>
          <w:sz w:val="21"/>
          <w:szCs w:val="21"/>
        </w:rPr>
        <w:t>Проскуряков К. І. Забезпечення зайнятості працездатних громадян та соціальний захис</w:t>
      </w:r>
      <w:r>
        <w:rPr>
          <w:rFonts w:ascii="Times New Roman" w:hAnsi="Times New Roman" w:cs="Times New Roman"/>
          <w:sz w:val="21"/>
          <w:szCs w:val="21"/>
        </w:rPr>
        <w:t>т незайнятого населення / К. І. </w:t>
      </w:r>
      <w:r w:rsidRPr="005A2094">
        <w:rPr>
          <w:rFonts w:ascii="Times New Roman" w:hAnsi="Times New Roman" w:cs="Times New Roman"/>
          <w:sz w:val="21"/>
          <w:szCs w:val="21"/>
        </w:rPr>
        <w:t xml:space="preserve">Проскуряков, К. Тодчук </w:t>
      </w:r>
      <w:r>
        <w:rPr>
          <w:rFonts w:ascii="Times New Roman" w:hAnsi="Times New Roman" w:cs="Times New Roman"/>
          <w:sz w:val="21"/>
          <w:szCs w:val="21"/>
        </w:rPr>
        <w:t>//</w:t>
      </w:r>
      <w:r w:rsidRPr="005A2094">
        <w:rPr>
          <w:rFonts w:ascii="Times New Roman" w:hAnsi="Times New Roman" w:cs="Times New Roman"/>
          <w:sz w:val="21"/>
          <w:szCs w:val="21"/>
        </w:rPr>
        <w:t xml:space="preserve"> </w:t>
      </w:r>
      <w:r>
        <w:rPr>
          <w:rFonts w:ascii="Times New Roman" w:hAnsi="Times New Roman" w:cs="Times New Roman"/>
          <w:sz w:val="21"/>
          <w:szCs w:val="21"/>
        </w:rPr>
        <w:t>Зб. наук. праць ВНАУ.</w:t>
      </w:r>
      <w:r w:rsidRPr="005A2094">
        <w:rPr>
          <w:rFonts w:ascii="Times New Roman" w:hAnsi="Times New Roman" w:cs="Times New Roman"/>
          <w:sz w:val="21"/>
          <w:szCs w:val="21"/>
        </w:rPr>
        <w:t xml:space="preserve"> Серія : Економічні науки. – 2012. –№ 4 (70). – С. 138</w:t>
      </w:r>
      <w:r>
        <w:rPr>
          <w:rFonts w:ascii="Times New Roman" w:hAnsi="Times New Roman" w:cs="Times New Roman"/>
          <w:sz w:val="21"/>
          <w:szCs w:val="21"/>
        </w:rPr>
        <w:t>–</w:t>
      </w:r>
      <w:r w:rsidRPr="005A2094">
        <w:rPr>
          <w:rFonts w:ascii="Times New Roman" w:hAnsi="Times New Roman" w:cs="Times New Roman"/>
          <w:sz w:val="21"/>
          <w:szCs w:val="21"/>
        </w:rPr>
        <w:t>146.</w:t>
      </w:r>
      <w:bookmarkEnd w:id="227"/>
    </w:p>
    <w:p w:rsidR="00B233DE" w:rsidRPr="00246688"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28" w:name="_Ref433977736"/>
      <w:r w:rsidRPr="00246688">
        <w:rPr>
          <w:rFonts w:ascii="Times New Roman" w:hAnsi="Times New Roman" w:cs="Times New Roman"/>
          <w:spacing w:val="-8"/>
          <w:sz w:val="21"/>
          <w:szCs w:val="21"/>
        </w:rPr>
        <w:t>Райзберг Б. А. Современный экономический словарь : 5-е изд., перераб. и доп.</w:t>
      </w:r>
      <w:r w:rsidRPr="00246688">
        <w:rPr>
          <w:rFonts w:ascii="Times New Roman" w:hAnsi="Times New Roman" w:cs="Times New Roman"/>
          <w:iCs/>
          <w:spacing w:val="-8"/>
          <w:sz w:val="21"/>
          <w:szCs w:val="21"/>
        </w:rPr>
        <w:t xml:space="preserve"> </w:t>
      </w:r>
      <w:r w:rsidRPr="00246688">
        <w:rPr>
          <w:rFonts w:ascii="Times New Roman" w:hAnsi="Times New Roman" w:cs="Times New Roman"/>
          <w:spacing w:val="-8"/>
          <w:sz w:val="21"/>
          <w:szCs w:val="21"/>
        </w:rPr>
        <w:t>/ Б. А. Райзберг, Л. Ш. Лозовский, Е. Б. Стародубцева. – М. : ИНФРА-М, 2007. – 495 с.</w:t>
      </w:r>
      <w:bookmarkEnd w:id="228"/>
      <w:r w:rsidRPr="00246688">
        <w:rPr>
          <w:rFonts w:ascii="Times New Roman" w:hAnsi="Times New Roman" w:cs="Times New Roman"/>
          <w:iCs/>
          <w:spacing w:val="-8"/>
          <w:sz w:val="21"/>
          <w:szCs w:val="21"/>
        </w:rPr>
        <w:t xml:space="preserve"> </w:t>
      </w:r>
    </w:p>
    <w:p w:rsidR="00B233DE" w:rsidRPr="00246688"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29" w:name="_Ref433977481"/>
      <w:r w:rsidRPr="00246688">
        <w:rPr>
          <w:rFonts w:ascii="Times New Roman" w:hAnsi="Times New Roman" w:cs="Times New Roman"/>
          <w:sz w:val="21"/>
          <w:szCs w:val="21"/>
        </w:rPr>
        <w:t>Розбудова ефективної національної інноваційної системи України</w:t>
      </w:r>
      <w:r>
        <w:rPr>
          <w:rFonts w:ascii="Times New Roman" w:hAnsi="Times New Roman" w:cs="Times New Roman"/>
          <w:sz w:val="21"/>
          <w:szCs w:val="21"/>
        </w:rPr>
        <w:t xml:space="preserve"> </w:t>
      </w:r>
      <w:r w:rsidRPr="00246688">
        <w:rPr>
          <w:rFonts w:ascii="Times New Roman" w:hAnsi="Times New Roman" w:cs="Times New Roman"/>
          <w:sz w:val="21"/>
          <w:szCs w:val="21"/>
        </w:rPr>
        <w:t>: концептуальні основи стратегії та першочергові задачі державної політики в контексті формування конкурентоспроможної економіки</w:t>
      </w:r>
      <w:r>
        <w:rPr>
          <w:rFonts w:ascii="Times New Roman" w:hAnsi="Times New Roman" w:cs="Times New Roman"/>
          <w:sz w:val="21"/>
          <w:szCs w:val="21"/>
        </w:rPr>
        <w:t xml:space="preserve"> : н</w:t>
      </w:r>
      <w:r w:rsidRPr="00246688">
        <w:rPr>
          <w:rFonts w:ascii="Times New Roman" w:hAnsi="Times New Roman" w:cs="Times New Roman"/>
          <w:sz w:val="21"/>
          <w:szCs w:val="21"/>
        </w:rPr>
        <w:t>ауково-аналітична записка</w:t>
      </w:r>
      <w:r>
        <w:rPr>
          <w:rFonts w:ascii="Times New Roman" w:hAnsi="Times New Roman" w:cs="Times New Roman"/>
          <w:sz w:val="21"/>
          <w:szCs w:val="21"/>
        </w:rPr>
        <w:t xml:space="preserve"> </w:t>
      </w:r>
      <w:r w:rsidRPr="00246688">
        <w:rPr>
          <w:rFonts w:ascii="Times New Roman" w:hAnsi="Times New Roman" w:cs="Times New Roman"/>
          <w:sz w:val="21"/>
          <w:szCs w:val="21"/>
        </w:rPr>
        <w:t>/ І. С. Кузнєцова та інші</w:t>
      </w:r>
      <w:r>
        <w:rPr>
          <w:rFonts w:ascii="Times New Roman" w:hAnsi="Times New Roman" w:cs="Times New Roman"/>
          <w:sz w:val="21"/>
          <w:szCs w:val="21"/>
        </w:rPr>
        <w:t>.</w:t>
      </w:r>
      <w:r w:rsidRPr="00246688">
        <w:rPr>
          <w:rFonts w:ascii="Times New Roman" w:hAnsi="Times New Roman" w:cs="Times New Roman"/>
          <w:sz w:val="21"/>
          <w:szCs w:val="21"/>
        </w:rPr>
        <w:t xml:space="preserve"> </w:t>
      </w:r>
      <w:r>
        <w:rPr>
          <w:rFonts w:ascii="Times New Roman" w:hAnsi="Times New Roman" w:cs="Times New Roman"/>
          <w:sz w:val="21"/>
          <w:szCs w:val="21"/>
        </w:rPr>
        <w:t>– К</w:t>
      </w:r>
      <w:r w:rsidRPr="00246688">
        <w:rPr>
          <w:rFonts w:ascii="Times New Roman" w:hAnsi="Times New Roman" w:cs="Times New Roman"/>
          <w:sz w:val="21"/>
          <w:szCs w:val="21"/>
        </w:rPr>
        <w:t xml:space="preserve">. </w:t>
      </w:r>
      <w:r>
        <w:rPr>
          <w:rFonts w:ascii="Times New Roman" w:hAnsi="Times New Roman" w:cs="Times New Roman"/>
          <w:sz w:val="21"/>
          <w:szCs w:val="21"/>
        </w:rPr>
        <w:t xml:space="preserve">: </w:t>
      </w:r>
      <w:r w:rsidRPr="00246688">
        <w:rPr>
          <w:rFonts w:ascii="Times New Roman" w:hAnsi="Times New Roman" w:cs="Times New Roman"/>
          <w:sz w:val="21"/>
          <w:szCs w:val="21"/>
        </w:rPr>
        <w:t>Інститут економіки та прогнозування НАН України</w:t>
      </w:r>
      <w:r>
        <w:rPr>
          <w:rFonts w:ascii="Times New Roman" w:hAnsi="Times New Roman" w:cs="Times New Roman"/>
          <w:sz w:val="21"/>
          <w:szCs w:val="21"/>
        </w:rPr>
        <w:t>,</w:t>
      </w:r>
      <w:r w:rsidRPr="00246688">
        <w:rPr>
          <w:rFonts w:ascii="Times New Roman" w:hAnsi="Times New Roman" w:cs="Times New Roman"/>
          <w:sz w:val="21"/>
          <w:szCs w:val="21"/>
        </w:rPr>
        <w:t xml:space="preserve"> 2008. – 14 с.</w:t>
      </w:r>
      <w:bookmarkEnd w:id="229"/>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30" w:name="_Ref433976757"/>
      <w:r w:rsidRPr="005A2094">
        <w:rPr>
          <w:rFonts w:ascii="Times New Roman" w:hAnsi="Times New Roman" w:cs="Times New Roman"/>
          <w:sz w:val="21"/>
          <w:szCs w:val="21"/>
        </w:rPr>
        <w:t>Садова У. Регіональні ринки праці</w:t>
      </w:r>
      <w:r>
        <w:rPr>
          <w:rFonts w:ascii="Times New Roman" w:hAnsi="Times New Roman" w:cs="Times New Roman"/>
          <w:sz w:val="21"/>
          <w:szCs w:val="21"/>
        </w:rPr>
        <w:t xml:space="preserve"> </w:t>
      </w:r>
      <w:r w:rsidRPr="005A2094">
        <w:rPr>
          <w:rFonts w:ascii="Times New Roman" w:hAnsi="Times New Roman" w:cs="Times New Roman"/>
          <w:sz w:val="21"/>
          <w:szCs w:val="21"/>
        </w:rPr>
        <w:t>: аналіз та прогноз / У. Садова, Л. Семів. – Л.</w:t>
      </w:r>
      <w:r>
        <w:rPr>
          <w:rFonts w:ascii="Times New Roman" w:hAnsi="Times New Roman" w:cs="Times New Roman"/>
          <w:sz w:val="21"/>
          <w:szCs w:val="21"/>
        </w:rPr>
        <w:t xml:space="preserve"> : </w:t>
      </w:r>
      <w:r w:rsidRPr="005A2094">
        <w:rPr>
          <w:rFonts w:ascii="Times New Roman" w:hAnsi="Times New Roman" w:cs="Times New Roman"/>
          <w:sz w:val="21"/>
          <w:szCs w:val="21"/>
        </w:rPr>
        <w:t>НАН України, Ін-т регін. досліджень, 2000. – 264 с.</w:t>
      </w:r>
      <w:bookmarkEnd w:id="230"/>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31" w:name="_Ref433977456"/>
      <w:r w:rsidRPr="005A2094">
        <w:rPr>
          <w:rFonts w:ascii="Times New Roman" w:hAnsi="Times New Roman" w:cs="Times New Roman"/>
          <w:bCs/>
          <w:sz w:val="21"/>
          <w:szCs w:val="21"/>
        </w:rPr>
        <w:t xml:space="preserve">Сай І. А. </w:t>
      </w:r>
      <w:r w:rsidRPr="005A2094">
        <w:rPr>
          <w:rFonts w:ascii="Times New Roman" w:hAnsi="Times New Roman" w:cs="Times New Roman"/>
          <w:sz w:val="21"/>
          <w:szCs w:val="21"/>
        </w:rPr>
        <w:t>Розвиток інф</w:t>
      </w:r>
      <w:r>
        <w:rPr>
          <w:rFonts w:ascii="Times New Roman" w:hAnsi="Times New Roman" w:cs="Times New Roman"/>
          <w:sz w:val="21"/>
          <w:szCs w:val="21"/>
        </w:rPr>
        <w:t>раструктури ринку праці / І. А. </w:t>
      </w:r>
      <w:r w:rsidRPr="005A2094">
        <w:rPr>
          <w:rFonts w:ascii="Times New Roman" w:hAnsi="Times New Roman" w:cs="Times New Roman"/>
          <w:sz w:val="21"/>
          <w:szCs w:val="21"/>
        </w:rPr>
        <w:t>Сай // Формування управлінського потенціалу суспільного розвитку України в умовах євроінтеграції : матеріали міжнар. наук.-практ. конференції. – Запоріжжя, 2006. – Т. 2. – С. 48–50.</w:t>
      </w:r>
      <w:bookmarkEnd w:id="231"/>
    </w:p>
    <w:p w:rsidR="00B233DE"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32" w:name="_Ref435784111"/>
      <w:bookmarkStart w:id="233" w:name="_Ref433977065"/>
      <w:r>
        <w:rPr>
          <w:rFonts w:ascii="Times New Roman" w:hAnsi="Times New Roman" w:cs="Times New Roman"/>
          <w:sz w:val="21"/>
          <w:szCs w:val="21"/>
        </w:rPr>
        <w:t xml:space="preserve">Сенокосова О. В. </w:t>
      </w:r>
      <w:r w:rsidRPr="00AB5FD8">
        <w:rPr>
          <w:rFonts w:ascii="Times New Roman" w:hAnsi="Times New Roman" w:cs="Times New Roman"/>
          <w:sz w:val="21"/>
          <w:szCs w:val="21"/>
        </w:rPr>
        <w:t>Сетевы</w:t>
      </w:r>
      <w:r>
        <w:rPr>
          <w:rFonts w:ascii="Times New Roman" w:hAnsi="Times New Roman" w:cs="Times New Roman"/>
          <w:sz w:val="21"/>
          <w:szCs w:val="21"/>
        </w:rPr>
        <w:t>е институты рынка труда / О. В. </w:t>
      </w:r>
      <w:r w:rsidRPr="00AB5FD8">
        <w:rPr>
          <w:rFonts w:ascii="Times New Roman" w:hAnsi="Times New Roman" w:cs="Times New Roman"/>
          <w:sz w:val="21"/>
          <w:szCs w:val="21"/>
        </w:rPr>
        <w:t xml:space="preserve">Сенокосова // Известия Саратовского университета. Серия </w:t>
      </w:r>
      <w:r w:rsidRPr="00AB5FD8">
        <w:rPr>
          <w:rFonts w:ascii="Times New Roman" w:hAnsi="Times New Roman" w:cs="Times New Roman"/>
          <w:sz w:val="21"/>
          <w:szCs w:val="21"/>
        </w:rPr>
        <w:lastRenderedPageBreak/>
        <w:t>«Экономика. Управление. Право». – 2014. – Вып. 1, ч. 2. – Т. 14. – С. 142–146.</w:t>
      </w:r>
      <w:bookmarkEnd w:id="232"/>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r w:rsidRPr="005A2094">
        <w:rPr>
          <w:rFonts w:ascii="Times New Roman" w:hAnsi="Times New Roman" w:cs="Times New Roman"/>
          <w:sz w:val="21"/>
          <w:szCs w:val="21"/>
        </w:rPr>
        <w:t xml:space="preserve">Ткаченко В. Орієнтири вибору професії у період </w:t>
      </w:r>
      <w:r>
        <w:rPr>
          <w:rFonts w:ascii="Times New Roman" w:hAnsi="Times New Roman" w:cs="Times New Roman"/>
          <w:sz w:val="21"/>
          <w:szCs w:val="21"/>
        </w:rPr>
        <w:t>економічної кризи / В. Ткаченко</w:t>
      </w:r>
      <w:r w:rsidRPr="005A2094">
        <w:rPr>
          <w:rFonts w:ascii="Times New Roman" w:hAnsi="Times New Roman" w:cs="Times New Roman"/>
          <w:sz w:val="21"/>
          <w:szCs w:val="21"/>
        </w:rPr>
        <w:t xml:space="preserve"> // Зайнятість та ринок праці : міжвідомчий науковий збірник НАН України і Міністерства праці та соціальної політики України. </w:t>
      </w:r>
      <w:r>
        <w:rPr>
          <w:rFonts w:ascii="Times New Roman" w:hAnsi="Times New Roman" w:cs="Times New Roman"/>
          <w:sz w:val="21"/>
          <w:szCs w:val="21"/>
        </w:rPr>
        <w:t xml:space="preserve">– </w:t>
      </w:r>
      <w:r w:rsidRPr="005A2094">
        <w:rPr>
          <w:rFonts w:ascii="Times New Roman" w:hAnsi="Times New Roman" w:cs="Times New Roman"/>
          <w:sz w:val="21"/>
          <w:szCs w:val="21"/>
        </w:rPr>
        <w:t>2009. – Вип. 21–22. – С. 158</w:t>
      </w:r>
      <w:r>
        <w:rPr>
          <w:rFonts w:ascii="Times New Roman" w:hAnsi="Times New Roman" w:cs="Times New Roman"/>
          <w:sz w:val="21"/>
          <w:szCs w:val="21"/>
        </w:rPr>
        <w:t>–</w:t>
      </w:r>
      <w:r w:rsidRPr="005A2094">
        <w:rPr>
          <w:rFonts w:ascii="Times New Roman" w:hAnsi="Times New Roman" w:cs="Times New Roman"/>
          <w:sz w:val="21"/>
          <w:szCs w:val="21"/>
        </w:rPr>
        <w:t>173.</w:t>
      </w:r>
      <w:bookmarkEnd w:id="233"/>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34" w:name="_Ref433977246"/>
      <w:r w:rsidRPr="005A2094">
        <w:rPr>
          <w:rFonts w:ascii="Times New Roman" w:eastAsia="TimesNewRomanPSMT" w:hAnsi="Times New Roman" w:cs="Times New Roman"/>
          <w:sz w:val="21"/>
          <w:szCs w:val="21"/>
        </w:rPr>
        <w:t xml:space="preserve">Тумакова С. В. Социально-экономические проблемы </w:t>
      </w:r>
      <w:r w:rsidRPr="00A04C9C">
        <w:rPr>
          <w:rFonts w:ascii="Times New Roman" w:eastAsia="TimesNewRomanPSMT" w:hAnsi="Times New Roman" w:cs="Times New Roman"/>
          <w:spacing w:val="-4"/>
          <w:sz w:val="21"/>
          <w:szCs w:val="21"/>
        </w:rPr>
        <w:t>рынка рабочей силы : теория, практика : монография / С. В. Тумакова</w:t>
      </w:r>
      <w:r w:rsidRPr="005A2094">
        <w:rPr>
          <w:rFonts w:ascii="Times New Roman" w:eastAsia="TimesNewRomanPSMT" w:hAnsi="Times New Roman" w:cs="Times New Roman"/>
          <w:sz w:val="21"/>
          <w:szCs w:val="21"/>
        </w:rPr>
        <w:t>. – Донецк</w:t>
      </w:r>
      <w:r>
        <w:rPr>
          <w:rFonts w:ascii="Times New Roman" w:eastAsia="TimesNewRomanPSMT" w:hAnsi="Times New Roman" w:cs="Times New Roman"/>
          <w:sz w:val="21"/>
          <w:szCs w:val="21"/>
        </w:rPr>
        <w:t xml:space="preserve"> : </w:t>
      </w:r>
      <w:r w:rsidRPr="005A2094">
        <w:rPr>
          <w:rFonts w:ascii="Times New Roman" w:hAnsi="Times New Roman" w:cs="Times New Roman"/>
          <w:sz w:val="21"/>
          <w:szCs w:val="21"/>
        </w:rPr>
        <w:t>Ин-т экономики промышленности</w:t>
      </w:r>
      <w:r w:rsidRPr="005A2094">
        <w:rPr>
          <w:rFonts w:ascii="Times New Roman" w:eastAsia="TimesNewRomanPSMT" w:hAnsi="Times New Roman" w:cs="Times New Roman"/>
          <w:sz w:val="21"/>
          <w:szCs w:val="21"/>
        </w:rPr>
        <w:t>, 2005. – 436 с.</w:t>
      </w:r>
      <w:bookmarkEnd w:id="234"/>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35" w:name="_Ref433977558"/>
      <w:r w:rsidRPr="005A2094">
        <w:rPr>
          <w:rFonts w:ascii="Times New Roman" w:eastAsia="TimesNewRomanPSMT" w:hAnsi="Times New Roman" w:cs="Times New Roman"/>
          <w:spacing w:val="-8"/>
          <w:sz w:val="21"/>
          <w:szCs w:val="21"/>
        </w:rPr>
        <w:t xml:space="preserve">Фитц-енц </w:t>
      </w:r>
      <w:r>
        <w:rPr>
          <w:rFonts w:ascii="Times New Roman" w:eastAsia="TimesNewRomanPSMT" w:hAnsi="Times New Roman" w:cs="Times New Roman"/>
          <w:spacing w:val="-8"/>
          <w:sz w:val="21"/>
          <w:szCs w:val="21"/>
        </w:rPr>
        <w:t xml:space="preserve">Я. </w:t>
      </w:r>
      <w:r w:rsidRPr="005A2094">
        <w:rPr>
          <w:rFonts w:ascii="Times New Roman" w:eastAsia="TimesNewRomanPSMT" w:hAnsi="Times New Roman" w:cs="Times New Roman"/>
          <w:spacing w:val="-8"/>
          <w:sz w:val="21"/>
          <w:szCs w:val="21"/>
        </w:rPr>
        <w:t>Рентабельность инвестиций в персонал</w:t>
      </w:r>
      <w:r>
        <w:rPr>
          <w:rFonts w:ascii="Times New Roman" w:eastAsia="TimesNewRomanPSMT" w:hAnsi="Times New Roman" w:cs="Times New Roman"/>
          <w:spacing w:val="-8"/>
          <w:sz w:val="21"/>
          <w:szCs w:val="21"/>
        </w:rPr>
        <w:t xml:space="preserve"> </w:t>
      </w:r>
      <w:r w:rsidRPr="005A2094">
        <w:rPr>
          <w:rFonts w:ascii="Times New Roman" w:eastAsia="TimesNewRomanPSMT" w:hAnsi="Times New Roman" w:cs="Times New Roman"/>
          <w:spacing w:val="-8"/>
          <w:sz w:val="21"/>
          <w:szCs w:val="21"/>
        </w:rPr>
        <w:t>: измерение эконо</w:t>
      </w:r>
      <w:r>
        <w:rPr>
          <w:rFonts w:ascii="Times New Roman" w:eastAsia="TimesNewRomanPSMT" w:hAnsi="Times New Roman" w:cs="Times New Roman"/>
          <w:spacing w:val="-8"/>
          <w:sz w:val="21"/>
          <w:szCs w:val="21"/>
        </w:rPr>
        <w:t>мической ценности персонала / Я.</w:t>
      </w:r>
      <w:r w:rsidRPr="005A2094">
        <w:rPr>
          <w:rFonts w:ascii="Times New Roman" w:eastAsia="TimesNewRomanPSMT" w:hAnsi="Times New Roman" w:cs="Times New Roman"/>
          <w:spacing w:val="-8"/>
          <w:sz w:val="21"/>
          <w:szCs w:val="21"/>
        </w:rPr>
        <w:t xml:space="preserve"> Фитц-енц</w:t>
      </w:r>
      <w:r>
        <w:rPr>
          <w:rFonts w:ascii="Times New Roman" w:eastAsia="TimesNewRomanPSMT" w:hAnsi="Times New Roman" w:cs="Times New Roman"/>
          <w:spacing w:val="-8"/>
          <w:sz w:val="21"/>
          <w:szCs w:val="21"/>
        </w:rPr>
        <w:t xml:space="preserve"> </w:t>
      </w:r>
      <w:r w:rsidRPr="005A2094">
        <w:rPr>
          <w:rFonts w:ascii="Times New Roman" w:eastAsia="TimesNewRomanPSMT" w:hAnsi="Times New Roman" w:cs="Times New Roman"/>
          <w:spacing w:val="-8"/>
          <w:sz w:val="21"/>
          <w:szCs w:val="21"/>
        </w:rPr>
        <w:t>; пер. с англ.</w:t>
      </w:r>
      <w:r>
        <w:rPr>
          <w:rFonts w:ascii="Times New Roman" w:eastAsia="TimesNewRomanPSMT" w:hAnsi="Times New Roman" w:cs="Times New Roman"/>
          <w:spacing w:val="-8"/>
          <w:sz w:val="21"/>
          <w:szCs w:val="21"/>
        </w:rPr>
        <w:t xml:space="preserve"> </w:t>
      </w:r>
      <w:r w:rsidRPr="005A2094">
        <w:rPr>
          <w:rFonts w:ascii="Times New Roman" w:eastAsia="TimesNewRomanPSMT" w:hAnsi="Times New Roman" w:cs="Times New Roman"/>
          <w:spacing w:val="-8"/>
          <w:sz w:val="21"/>
          <w:szCs w:val="21"/>
        </w:rPr>
        <w:t xml:space="preserve">: </w:t>
      </w:r>
      <w:r>
        <w:rPr>
          <w:rFonts w:ascii="Times New Roman" w:eastAsia="TimesNewRomanPSMT" w:hAnsi="Times New Roman" w:cs="Times New Roman"/>
          <w:spacing w:val="-8"/>
          <w:sz w:val="21"/>
          <w:szCs w:val="21"/>
        </w:rPr>
        <w:t>М. С. Меньшикова</w:t>
      </w:r>
      <w:r w:rsidRPr="005A2094">
        <w:rPr>
          <w:rFonts w:ascii="Times New Roman" w:eastAsia="TimesNewRomanPSMT" w:hAnsi="Times New Roman" w:cs="Times New Roman"/>
          <w:spacing w:val="-8"/>
          <w:sz w:val="21"/>
          <w:szCs w:val="21"/>
        </w:rPr>
        <w:t xml:space="preserve">, </w:t>
      </w:r>
      <w:r>
        <w:rPr>
          <w:rFonts w:ascii="Times New Roman" w:eastAsia="TimesNewRomanPSMT" w:hAnsi="Times New Roman" w:cs="Times New Roman"/>
          <w:spacing w:val="-8"/>
          <w:sz w:val="21"/>
          <w:szCs w:val="21"/>
        </w:rPr>
        <w:t xml:space="preserve">Ю. П. Леонова </w:t>
      </w:r>
      <w:r w:rsidRPr="005A2094">
        <w:rPr>
          <w:rFonts w:ascii="Times New Roman" w:eastAsia="TimesNewRomanPSMT" w:hAnsi="Times New Roman" w:cs="Times New Roman"/>
          <w:spacing w:val="-8"/>
          <w:sz w:val="21"/>
          <w:szCs w:val="21"/>
        </w:rPr>
        <w:t>; под общ. ред. В.</w:t>
      </w:r>
      <w:r>
        <w:rPr>
          <w:rFonts w:ascii="Times New Roman" w:eastAsia="TimesNewRomanPSMT" w:hAnsi="Times New Roman" w:cs="Times New Roman"/>
          <w:spacing w:val="-8"/>
          <w:sz w:val="21"/>
          <w:szCs w:val="21"/>
        </w:rPr>
        <w:t xml:space="preserve"> </w:t>
      </w:r>
      <w:r w:rsidRPr="005A2094">
        <w:rPr>
          <w:rFonts w:ascii="Times New Roman" w:eastAsia="TimesNewRomanPSMT" w:hAnsi="Times New Roman" w:cs="Times New Roman"/>
          <w:spacing w:val="-8"/>
          <w:sz w:val="21"/>
          <w:szCs w:val="21"/>
        </w:rPr>
        <w:t>И. Ярных. – М. : Вершина, 2006. – 320 с.</w:t>
      </w:r>
      <w:bookmarkEnd w:id="235"/>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36" w:name="_Ref433976675"/>
      <w:r w:rsidRPr="005A2094">
        <w:rPr>
          <w:rFonts w:ascii="Times New Roman" w:hAnsi="Times New Roman" w:cs="Times New Roman"/>
          <w:sz w:val="21"/>
          <w:szCs w:val="21"/>
        </w:rPr>
        <w:t xml:space="preserve">Філіппова І. «Порочне коло» інфляційних процесів в Україні / </w:t>
      </w:r>
      <w:r>
        <w:rPr>
          <w:rFonts w:ascii="Times New Roman" w:hAnsi="Times New Roman" w:cs="Times New Roman"/>
          <w:sz w:val="21"/>
          <w:szCs w:val="21"/>
        </w:rPr>
        <w:t xml:space="preserve">І. Філіпова // </w:t>
      </w:r>
      <w:r w:rsidRPr="005A2094">
        <w:rPr>
          <w:rFonts w:ascii="Times New Roman" w:hAnsi="Times New Roman" w:cs="Times New Roman"/>
          <w:sz w:val="21"/>
          <w:szCs w:val="21"/>
        </w:rPr>
        <w:t xml:space="preserve">Вісник СНУ ім. В. Даля. – </w:t>
      </w:r>
      <w:r>
        <w:rPr>
          <w:rFonts w:ascii="Times New Roman" w:hAnsi="Times New Roman" w:cs="Times New Roman"/>
          <w:sz w:val="21"/>
          <w:szCs w:val="21"/>
        </w:rPr>
        <w:t>2011. – № 16 (170)</w:t>
      </w:r>
      <w:r w:rsidRPr="005A2094">
        <w:rPr>
          <w:rFonts w:ascii="Times New Roman" w:hAnsi="Times New Roman" w:cs="Times New Roman"/>
          <w:sz w:val="21"/>
          <w:szCs w:val="21"/>
        </w:rPr>
        <w:t>. – С. 172–178.</w:t>
      </w:r>
      <w:bookmarkEnd w:id="236"/>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37" w:name="_Ref433976772"/>
      <w:r w:rsidRPr="005A2094">
        <w:rPr>
          <w:rFonts w:ascii="Times New Roman" w:hAnsi="Times New Roman" w:cs="Times New Roman"/>
          <w:sz w:val="21"/>
          <w:szCs w:val="21"/>
        </w:rPr>
        <w:t>Фінагіна О. В. Регіональні особливості формування та розвитку моделей ринку праці / О. В. Фінагіна // Економіка і держава. – 2006. – № 4. – С. 95–96.</w:t>
      </w:r>
      <w:bookmarkEnd w:id="237"/>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38" w:name="_Ref433977202"/>
      <w:r w:rsidRPr="005A2094">
        <w:rPr>
          <w:rFonts w:ascii="Times New Roman" w:hAnsi="Times New Roman" w:cs="Times New Roman"/>
          <w:sz w:val="21"/>
          <w:szCs w:val="21"/>
        </w:rPr>
        <w:t xml:space="preserve">Царенко О. В. Методологічні основи створення інституційного середовища щодо формування конкурентних переваг регіонального ринку праці </w:t>
      </w:r>
      <w:r w:rsidRPr="005A2094">
        <w:rPr>
          <w:rFonts w:ascii="Times New Roman" w:hAnsi="Times New Roman" w:cs="Times New Roman"/>
          <w:spacing w:val="-2"/>
          <w:sz w:val="21"/>
          <w:szCs w:val="21"/>
        </w:rPr>
        <w:t>України / О. В. Царенко // Держава та регіони. Серія</w:t>
      </w:r>
      <w:r>
        <w:rPr>
          <w:rFonts w:ascii="Times New Roman" w:hAnsi="Times New Roman" w:cs="Times New Roman"/>
          <w:spacing w:val="-2"/>
          <w:sz w:val="21"/>
          <w:szCs w:val="21"/>
        </w:rPr>
        <w:t xml:space="preserve"> </w:t>
      </w:r>
      <w:r w:rsidRPr="005A2094">
        <w:rPr>
          <w:rFonts w:ascii="Times New Roman" w:hAnsi="Times New Roman" w:cs="Times New Roman"/>
          <w:spacing w:val="-2"/>
          <w:sz w:val="21"/>
          <w:szCs w:val="21"/>
        </w:rPr>
        <w:t>: Економіка та підприємництво. –</w:t>
      </w:r>
      <w:r w:rsidRPr="005A2094">
        <w:rPr>
          <w:rFonts w:ascii="Times New Roman" w:hAnsi="Times New Roman" w:cs="Times New Roman"/>
          <w:sz w:val="21"/>
          <w:szCs w:val="21"/>
        </w:rPr>
        <w:t xml:space="preserve"> 2009. – № 4. – С. 194–200.</w:t>
      </w:r>
      <w:bookmarkEnd w:id="238"/>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39" w:name="_Ref433976766"/>
      <w:r w:rsidRPr="005A2094">
        <w:rPr>
          <w:rFonts w:ascii="Times New Roman" w:hAnsi="Times New Roman" w:cs="Times New Roman"/>
          <w:sz w:val="21"/>
          <w:szCs w:val="21"/>
        </w:rPr>
        <w:t>Чернявська О. В. Регіональні аспекти аналізу та регулювання ринку праці Україн</w:t>
      </w:r>
      <w:r>
        <w:rPr>
          <w:rFonts w:ascii="Times New Roman" w:hAnsi="Times New Roman" w:cs="Times New Roman"/>
          <w:sz w:val="21"/>
          <w:szCs w:val="21"/>
        </w:rPr>
        <w:t>и : монографія : у 2 ч. / О. В. </w:t>
      </w:r>
      <w:r w:rsidRPr="005A2094">
        <w:rPr>
          <w:rFonts w:ascii="Times New Roman" w:hAnsi="Times New Roman" w:cs="Times New Roman"/>
          <w:sz w:val="21"/>
          <w:szCs w:val="21"/>
        </w:rPr>
        <w:t>Чернявська. – По</w:t>
      </w:r>
      <w:r>
        <w:rPr>
          <w:rFonts w:ascii="Times New Roman" w:hAnsi="Times New Roman" w:cs="Times New Roman"/>
          <w:sz w:val="21"/>
          <w:szCs w:val="21"/>
        </w:rPr>
        <w:t>лтава : РВВ ПУЕТ, 2011 – 222 с</w:t>
      </w:r>
      <w:r w:rsidRPr="005A2094">
        <w:rPr>
          <w:rFonts w:ascii="Times New Roman" w:hAnsi="Times New Roman" w:cs="Times New Roman"/>
          <w:sz w:val="21"/>
          <w:szCs w:val="21"/>
        </w:rPr>
        <w:t>.</w:t>
      </w:r>
      <w:bookmarkEnd w:id="239"/>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40" w:name="_Ref433977730"/>
      <w:r w:rsidRPr="005A2094">
        <w:rPr>
          <w:rFonts w:ascii="Times New Roman" w:hAnsi="Times New Roman" w:cs="Times New Roman"/>
          <w:spacing w:val="-8"/>
          <w:sz w:val="21"/>
          <w:szCs w:val="21"/>
        </w:rPr>
        <w:t>Чечель О.</w:t>
      </w:r>
      <w:r>
        <w:rPr>
          <w:rFonts w:ascii="Times New Roman" w:hAnsi="Times New Roman" w:cs="Times New Roman"/>
          <w:spacing w:val="-8"/>
          <w:sz w:val="21"/>
          <w:szCs w:val="21"/>
        </w:rPr>
        <w:t xml:space="preserve"> </w:t>
      </w:r>
      <w:r w:rsidRPr="005A2094">
        <w:rPr>
          <w:rFonts w:ascii="Times New Roman" w:hAnsi="Times New Roman" w:cs="Times New Roman"/>
          <w:spacing w:val="-8"/>
          <w:sz w:val="21"/>
          <w:szCs w:val="21"/>
        </w:rPr>
        <w:t>М. Інвестування у розвиток людини як пріоритетний напрям формування людського капіталу / О.</w:t>
      </w:r>
      <w:r>
        <w:rPr>
          <w:rFonts w:ascii="Times New Roman" w:hAnsi="Times New Roman" w:cs="Times New Roman"/>
          <w:spacing w:val="-8"/>
          <w:sz w:val="21"/>
          <w:szCs w:val="21"/>
        </w:rPr>
        <w:t xml:space="preserve"> </w:t>
      </w:r>
      <w:r w:rsidRPr="005A2094">
        <w:rPr>
          <w:rFonts w:ascii="Times New Roman" w:hAnsi="Times New Roman" w:cs="Times New Roman"/>
          <w:spacing w:val="-8"/>
          <w:sz w:val="21"/>
          <w:szCs w:val="21"/>
        </w:rPr>
        <w:t>М. Чечель // Економіка та держава. – 2010.</w:t>
      </w:r>
      <w:r>
        <w:rPr>
          <w:rFonts w:ascii="Times New Roman" w:hAnsi="Times New Roman" w:cs="Times New Roman"/>
          <w:spacing w:val="-8"/>
          <w:sz w:val="21"/>
          <w:szCs w:val="21"/>
        </w:rPr>
        <w:t xml:space="preserve"> </w:t>
      </w:r>
      <w:r w:rsidRPr="005A2094">
        <w:rPr>
          <w:rFonts w:ascii="Times New Roman" w:hAnsi="Times New Roman" w:cs="Times New Roman"/>
          <w:spacing w:val="-8"/>
          <w:sz w:val="21"/>
          <w:szCs w:val="21"/>
        </w:rPr>
        <w:t>– № 3. – С. 86</w:t>
      </w:r>
      <w:r>
        <w:rPr>
          <w:rFonts w:ascii="Times New Roman" w:hAnsi="Times New Roman" w:cs="Times New Roman"/>
          <w:spacing w:val="-8"/>
          <w:sz w:val="21"/>
          <w:szCs w:val="21"/>
        </w:rPr>
        <w:t>–</w:t>
      </w:r>
      <w:r w:rsidRPr="005A2094">
        <w:rPr>
          <w:rFonts w:ascii="Times New Roman" w:hAnsi="Times New Roman" w:cs="Times New Roman"/>
          <w:spacing w:val="-8"/>
          <w:sz w:val="21"/>
          <w:szCs w:val="21"/>
        </w:rPr>
        <w:t>88.</w:t>
      </w:r>
      <w:bookmarkEnd w:id="240"/>
    </w:p>
    <w:p w:rsidR="00B233DE"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41" w:name="_Ref433977537"/>
      <w:r w:rsidRPr="005A2094">
        <w:rPr>
          <w:rFonts w:ascii="Times New Roman" w:hAnsi="Times New Roman" w:cs="Times New Roman"/>
          <w:sz w:val="21"/>
          <w:szCs w:val="21"/>
        </w:rPr>
        <w:t xml:space="preserve">Шапоренко Д. Е. Механізми регулювання </w:t>
      </w:r>
      <w:r>
        <w:rPr>
          <w:rFonts w:ascii="Times New Roman" w:hAnsi="Times New Roman" w:cs="Times New Roman"/>
          <w:sz w:val="21"/>
          <w:szCs w:val="21"/>
        </w:rPr>
        <w:t xml:space="preserve">інфраструктури ринку праці </w:t>
      </w:r>
      <w:r w:rsidRPr="005A2094">
        <w:rPr>
          <w:rFonts w:ascii="Times New Roman" w:hAnsi="Times New Roman" w:cs="Times New Roman"/>
          <w:sz w:val="21"/>
          <w:szCs w:val="21"/>
        </w:rPr>
        <w:t>[Електронний ресурс]</w:t>
      </w:r>
      <w:r>
        <w:rPr>
          <w:rFonts w:ascii="Times New Roman" w:hAnsi="Times New Roman" w:cs="Times New Roman"/>
          <w:sz w:val="21"/>
          <w:szCs w:val="21"/>
        </w:rPr>
        <w:t xml:space="preserve"> / Д. </w:t>
      </w:r>
      <w:r w:rsidRPr="005A2094">
        <w:rPr>
          <w:rFonts w:ascii="Times New Roman" w:hAnsi="Times New Roman" w:cs="Times New Roman"/>
          <w:sz w:val="21"/>
          <w:szCs w:val="21"/>
        </w:rPr>
        <w:t>Е. Шапоренко // Теорія та практика державного управління. – Режим доступу : http://archive.nbuv.gov.ua.</w:t>
      </w:r>
      <w:bookmarkEnd w:id="241"/>
    </w:p>
    <w:p w:rsidR="00B233DE" w:rsidRPr="00306BD7"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42" w:name="_Ref435784126"/>
      <w:bookmarkStart w:id="243" w:name="_Ref433977644"/>
      <w:r>
        <w:rPr>
          <w:rFonts w:ascii="Times New Roman" w:hAnsi="Times New Roman" w:cs="Times New Roman"/>
          <w:sz w:val="21"/>
          <w:szCs w:val="21"/>
        </w:rPr>
        <w:t xml:space="preserve">Шахно А. Ю. </w:t>
      </w:r>
      <w:r w:rsidRPr="00AB5FD8">
        <w:rPr>
          <w:rFonts w:ascii="Times New Roman" w:hAnsi="Times New Roman" w:cs="Times New Roman"/>
          <w:sz w:val="21"/>
          <w:szCs w:val="21"/>
        </w:rPr>
        <w:t>Державне регулювання інституціональних змін на ринку праці в Україні : авто</w:t>
      </w:r>
      <w:r>
        <w:rPr>
          <w:rFonts w:ascii="Times New Roman" w:hAnsi="Times New Roman" w:cs="Times New Roman"/>
          <w:sz w:val="21"/>
          <w:szCs w:val="21"/>
        </w:rPr>
        <w:t>реф. дис. канд. екон. наук / А. Ю. Шахно. – Запоріжжя, 2012. – 20 с.</w:t>
      </w:r>
      <w:bookmarkEnd w:id="242"/>
    </w:p>
    <w:p w:rsidR="00B233DE" w:rsidRPr="00246688"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r>
        <w:rPr>
          <w:rFonts w:ascii="Times New Roman" w:hAnsi="Times New Roman" w:cs="Times New Roman"/>
          <w:spacing w:val="-6"/>
          <w:sz w:val="21"/>
          <w:szCs w:val="21"/>
        </w:rPr>
        <w:t>Щ</w:t>
      </w:r>
      <w:r w:rsidRPr="005A2094">
        <w:rPr>
          <w:rFonts w:ascii="Times New Roman" w:hAnsi="Times New Roman" w:cs="Times New Roman"/>
          <w:spacing w:val="-6"/>
          <w:sz w:val="21"/>
          <w:szCs w:val="21"/>
        </w:rPr>
        <w:t xml:space="preserve">одо витрат підприємства на професійну підготовку, перепідготовку або підвищення кваліфікації своїх працівників </w:t>
      </w:r>
      <w:r>
        <w:rPr>
          <w:rFonts w:ascii="Times New Roman" w:hAnsi="Times New Roman" w:cs="Times New Roman"/>
          <w:spacing w:val="-6"/>
          <w:sz w:val="21"/>
          <w:szCs w:val="21"/>
        </w:rPr>
        <w:t xml:space="preserve">: лист </w:t>
      </w:r>
      <w:r>
        <w:rPr>
          <w:rFonts w:ascii="Times New Roman" w:hAnsi="Times New Roman" w:cs="Times New Roman"/>
          <w:spacing w:val="-6"/>
          <w:sz w:val="21"/>
          <w:szCs w:val="21"/>
        </w:rPr>
        <w:lastRenderedPageBreak/>
        <w:t>Державної податкової адміністрації України від 21. 04. 2004 р. №</w:t>
      </w:r>
      <w:r w:rsidRPr="005A2094">
        <w:rPr>
          <w:rFonts w:ascii="Times New Roman" w:hAnsi="Times New Roman" w:cs="Times New Roman"/>
          <w:spacing w:val="-6"/>
          <w:sz w:val="21"/>
          <w:szCs w:val="21"/>
        </w:rPr>
        <w:t xml:space="preserve"> 7040/7/17-3117 </w:t>
      </w:r>
      <w:r w:rsidRPr="005A2094">
        <w:rPr>
          <w:rFonts w:ascii="Times New Roman" w:hAnsi="Times New Roman" w:cs="Times New Roman"/>
          <w:iCs/>
          <w:spacing w:val="-6"/>
          <w:sz w:val="21"/>
          <w:szCs w:val="21"/>
        </w:rPr>
        <w:t xml:space="preserve">[Електрон. ресурс]. – Режим </w:t>
      </w:r>
      <w:r>
        <w:rPr>
          <w:rFonts w:ascii="Times New Roman" w:hAnsi="Times New Roman" w:cs="Times New Roman"/>
          <w:iCs/>
          <w:spacing w:val="-6"/>
          <w:sz w:val="21"/>
          <w:szCs w:val="21"/>
        </w:rPr>
        <w:t xml:space="preserve">доступу : </w:t>
      </w:r>
      <w:hyperlink r:id="rId53" w:history="1">
        <w:r w:rsidRPr="00246688">
          <w:rPr>
            <w:rStyle w:val="aff"/>
            <w:rFonts w:ascii="Times New Roman" w:hAnsi="Times New Roman" w:cs="Times New Roman"/>
            <w:color w:val="auto"/>
            <w:spacing w:val="-6"/>
            <w:sz w:val="21"/>
            <w:szCs w:val="21"/>
            <w:u w:val="none"/>
          </w:rPr>
          <w:t>http://zakon.nau.ua/doc/?uid=1008.6381.0</w:t>
        </w:r>
      </w:hyperlink>
      <w:bookmarkEnd w:id="243"/>
    </w:p>
    <w:p w:rsidR="00B233DE"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44" w:name="_Ref433976925"/>
      <w:r w:rsidRPr="00246688">
        <w:rPr>
          <w:rFonts w:ascii="Times New Roman" w:hAnsi="Times New Roman" w:cs="Times New Roman"/>
          <w:sz w:val="21"/>
          <w:szCs w:val="21"/>
        </w:rPr>
        <w:t xml:space="preserve">Эренберг Р. Современная экономика труда : теория и государственная политика / Р. Дж. </w:t>
      </w:r>
      <w:r w:rsidRPr="00246688">
        <w:rPr>
          <w:rFonts w:ascii="Times New Roman" w:hAnsi="Times New Roman" w:cs="Times New Roman"/>
          <w:sz w:val="21"/>
          <w:szCs w:val="21"/>
          <w:lang w:val="ru-RU"/>
        </w:rPr>
        <w:t>Эренберг, Р. С. Смит.</w:t>
      </w:r>
      <w:r w:rsidRPr="00246688">
        <w:rPr>
          <w:rFonts w:ascii="Times New Roman" w:hAnsi="Times New Roman" w:cs="Times New Roman"/>
          <w:sz w:val="21"/>
          <w:szCs w:val="21"/>
        </w:rPr>
        <w:t xml:space="preserve"> – М. : Из</w:t>
      </w:r>
      <w:r>
        <w:rPr>
          <w:rFonts w:ascii="Times New Roman" w:hAnsi="Times New Roman" w:cs="Times New Roman"/>
          <w:sz w:val="21"/>
          <w:szCs w:val="21"/>
        </w:rPr>
        <w:t>д-во МГУ, 1996. – 800 с.</w:t>
      </w:r>
      <w:bookmarkEnd w:id="244"/>
    </w:p>
    <w:p w:rsidR="00B233DE" w:rsidRPr="00246688"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45" w:name="_Ref433977048"/>
      <w:r w:rsidRPr="00246688">
        <w:rPr>
          <w:rFonts w:ascii="Times New Roman" w:hAnsi="Times New Roman" w:cs="Times New Roman"/>
          <w:sz w:val="21"/>
          <w:szCs w:val="21"/>
        </w:rPr>
        <w:t>Юрчик І. Б. Формування сучасного ринку праці як результат інституціональних перетворень / Соціально-економічні наслідки участі постсоціалістичних країн у процесах європейської інтеграції</w:t>
      </w:r>
      <w:r>
        <w:rPr>
          <w:rFonts w:ascii="Times New Roman" w:hAnsi="Times New Roman" w:cs="Times New Roman"/>
          <w:sz w:val="21"/>
          <w:szCs w:val="21"/>
        </w:rPr>
        <w:t xml:space="preserve"> </w:t>
      </w:r>
      <w:r w:rsidRPr="00246688">
        <w:rPr>
          <w:rFonts w:ascii="Times New Roman" w:hAnsi="Times New Roman" w:cs="Times New Roman"/>
          <w:sz w:val="21"/>
          <w:szCs w:val="21"/>
        </w:rPr>
        <w:t xml:space="preserve">: </w:t>
      </w:r>
      <w:r>
        <w:rPr>
          <w:rFonts w:ascii="Times New Roman" w:hAnsi="Times New Roman" w:cs="Times New Roman"/>
          <w:sz w:val="21"/>
          <w:szCs w:val="21"/>
        </w:rPr>
        <w:t>з</w:t>
      </w:r>
      <w:r w:rsidRPr="00246688">
        <w:rPr>
          <w:rFonts w:ascii="Times New Roman" w:hAnsi="Times New Roman" w:cs="Times New Roman"/>
          <w:sz w:val="21"/>
          <w:szCs w:val="21"/>
        </w:rPr>
        <w:t>бірник наукових праць І Міжнародної наукової конференції, Черкаси. – 2015. – С.</w:t>
      </w:r>
      <w:r>
        <w:rPr>
          <w:rFonts w:ascii="Times New Roman" w:hAnsi="Times New Roman" w:cs="Times New Roman"/>
          <w:sz w:val="21"/>
          <w:szCs w:val="21"/>
        </w:rPr>
        <w:t xml:space="preserve"> 68–69.</w:t>
      </w:r>
      <w:bookmarkEnd w:id="245"/>
    </w:p>
    <w:p w:rsidR="00B233DE" w:rsidRPr="005A2094" w:rsidRDefault="00B233DE" w:rsidP="00B233DE">
      <w:pPr>
        <w:pStyle w:val="ad"/>
        <w:numPr>
          <w:ilvl w:val="0"/>
          <w:numId w:val="13"/>
        </w:numPr>
        <w:tabs>
          <w:tab w:val="left" w:pos="1134"/>
        </w:tabs>
        <w:ind w:left="0" w:firstLine="709"/>
        <w:jc w:val="both"/>
        <w:rPr>
          <w:rFonts w:ascii="Times New Roman" w:hAnsi="Times New Roman" w:cs="Times New Roman"/>
          <w:sz w:val="21"/>
          <w:szCs w:val="21"/>
        </w:rPr>
      </w:pPr>
      <w:bookmarkStart w:id="246" w:name="_Ref433976707"/>
      <w:r w:rsidRPr="005A2094">
        <w:rPr>
          <w:rFonts w:ascii="Times New Roman" w:hAnsi="Times New Roman" w:cs="Times New Roman"/>
          <w:sz w:val="21"/>
          <w:szCs w:val="21"/>
        </w:rPr>
        <w:t>Яковенко Р.</w:t>
      </w:r>
      <w:r>
        <w:rPr>
          <w:rFonts w:ascii="Times New Roman" w:hAnsi="Times New Roman" w:cs="Times New Roman"/>
          <w:sz w:val="21"/>
          <w:szCs w:val="21"/>
        </w:rPr>
        <w:t xml:space="preserve"> </w:t>
      </w:r>
      <w:r w:rsidRPr="005A2094">
        <w:rPr>
          <w:rFonts w:ascii="Times New Roman" w:hAnsi="Times New Roman" w:cs="Times New Roman"/>
          <w:sz w:val="21"/>
          <w:szCs w:val="21"/>
        </w:rPr>
        <w:t>В. Прикладні проблеми ринку праці України / Р.</w:t>
      </w:r>
      <w:r>
        <w:rPr>
          <w:rFonts w:ascii="Times New Roman" w:hAnsi="Times New Roman" w:cs="Times New Roman"/>
          <w:sz w:val="21"/>
          <w:szCs w:val="21"/>
        </w:rPr>
        <w:t xml:space="preserve"> </w:t>
      </w:r>
      <w:r w:rsidRPr="005A2094">
        <w:rPr>
          <w:rFonts w:ascii="Times New Roman" w:hAnsi="Times New Roman" w:cs="Times New Roman"/>
          <w:sz w:val="21"/>
          <w:szCs w:val="21"/>
        </w:rPr>
        <w:t>В. Яковенко, А.</w:t>
      </w:r>
      <w:r>
        <w:rPr>
          <w:rFonts w:ascii="Times New Roman" w:hAnsi="Times New Roman" w:cs="Times New Roman"/>
          <w:sz w:val="21"/>
          <w:szCs w:val="21"/>
        </w:rPr>
        <w:t xml:space="preserve"> </w:t>
      </w:r>
      <w:r w:rsidRPr="005A2094">
        <w:rPr>
          <w:rFonts w:ascii="Times New Roman" w:hAnsi="Times New Roman" w:cs="Times New Roman"/>
          <w:sz w:val="21"/>
          <w:szCs w:val="21"/>
        </w:rPr>
        <w:t>С. Пугаченко // Наукові праці КНТУ. Економічні науки</w:t>
      </w:r>
      <w:r>
        <w:rPr>
          <w:rFonts w:ascii="Times New Roman" w:hAnsi="Times New Roman" w:cs="Times New Roman"/>
          <w:sz w:val="21"/>
          <w:szCs w:val="21"/>
        </w:rPr>
        <w:t>. – 2010. – В</w:t>
      </w:r>
      <w:r w:rsidRPr="005A2094">
        <w:rPr>
          <w:rFonts w:ascii="Times New Roman" w:hAnsi="Times New Roman" w:cs="Times New Roman"/>
          <w:sz w:val="21"/>
          <w:szCs w:val="21"/>
        </w:rPr>
        <w:t>ип. 17</w:t>
      </w:r>
      <w:r>
        <w:rPr>
          <w:rFonts w:ascii="Times New Roman" w:hAnsi="Times New Roman" w:cs="Times New Roman"/>
          <w:sz w:val="21"/>
          <w:szCs w:val="21"/>
        </w:rPr>
        <w:t xml:space="preserve">. </w:t>
      </w:r>
      <w:r w:rsidRPr="005A2094">
        <w:rPr>
          <w:rFonts w:ascii="Times New Roman" w:hAnsi="Times New Roman" w:cs="Times New Roman"/>
          <w:sz w:val="21"/>
          <w:szCs w:val="21"/>
        </w:rPr>
        <w:t>– С. 234</w:t>
      </w:r>
      <w:r>
        <w:rPr>
          <w:rFonts w:ascii="Times New Roman" w:hAnsi="Times New Roman" w:cs="Times New Roman"/>
          <w:sz w:val="21"/>
          <w:szCs w:val="21"/>
        </w:rPr>
        <w:t>–2</w:t>
      </w:r>
      <w:r w:rsidRPr="005A2094">
        <w:rPr>
          <w:rFonts w:ascii="Times New Roman" w:hAnsi="Times New Roman" w:cs="Times New Roman"/>
          <w:sz w:val="21"/>
          <w:szCs w:val="21"/>
        </w:rPr>
        <w:t>39.</w:t>
      </w:r>
      <w:bookmarkEnd w:id="246"/>
    </w:p>
    <w:p w:rsidR="00B233DE" w:rsidRDefault="00B233DE" w:rsidP="00B233DE">
      <w:pPr>
        <w:pStyle w:val="ad"/>
        <w:numPr>
          <w:ilvl w:val="0"/>
          <w:numId w:val="13"/>
        </w:numPr>
        <w:tabs>
          <w:tab w:val="left" w:pos="1134"/>
        </w:tabs>
        <w:ind w:left="0" w:firstLine="709"/>
        <w:jc w:val="both"/>
        <w:rPr>
          <w:rFonts w:ascii="Times New Roman" w:hAnsi="Times New Roman" w:cs="Times New Roman"/>
          <w:spacing w:val="-8"/>
          <w:sz w:val="21"/>
          <w:szCs w:val="21"/>
        </w:rPr>
      </w:pPr>
      <w:bookmarkStart w:id="247" w:name="_Ref433977746"/>
      <w:r w:rsidRPr="005A2094">
        <w:rPr>
          <w:rFonts w:ascii="Times New Roman" w:hAnsi="Times New Roman" w:cs="Times New Roman"/>
          <w:spacing w:val="-8"/>
          <w:sz w:val="21"/>
          <w:szCs w:val="21"/>
        </w:rPr>
        <w:t xml:space="preserve">Blundell R. </w:t>
      </w:r>
      <w:r w:rsidRPr="005A2094">
        <w:rPr>
          <w:rFonts w:ascii="Times New Roman" w:hAnsi="Times New Roman" w:cs="Times New Roman"/>
          <w:bCs/>
          <w:iCs/>
          <w:spacing w:val="-8"/>
          <w:sz w:val="21"/>
          <w:szCs w:val="21"/>
        </w:rPr>
        <w:t>Human Capital Investment</w:t>
      </w:r>
      <w:r>
        <w:rPr>
          <w:rFonts w:ascii="Times New Roman" w:hAnsi="Times New Roman" w:cs="Times New Roman"/>
          <w:bCs/>
          <w:iCs/>
          <w:spacing w:val="-8"/>
          <w:sz w:val="21"/>
          <w:szCs w:val="21"/>
        </w:rPr>
        <w:t xml:space="preserve"> </w:t>
      </w:r>
      <w:r w:rsidRPr="005A2094">
        <w:rPr>
          <w:rFonts w:ascii="Times New Roman" w:hAnsi="Times New Roman" w:cs="Times New Roman"/>
          <w:bCs/>
          <w:iCs/>
          <w:spacing w:val="-8"/>
          <w:sz w:val="21"/>
          <w:szCs w:val="21"/>
        </w:rPr>
        <w:t xml:space="preserve">: The Returns from Education and Training to the Individual, the Firm and the Economy / </w:t>
      </w:r>
      <w:r>
        <w:rPr>
          <w:rFonts w:ascii="Times New Roman" w:hAnsi="Times New Roman" w:cs="Times New Roman"/>
          <w:spacing w:val="-8"/>
          <w:sz w:val="21"/>
          <w:szCs w:val="21"/>
        </w:rPr>
        <w:t>R. </w:t>
      </w:r>
      <w:r w:rsidRPr="005A2094">
        <w:rPr>
          <w:rFonts w:ascii="Times New Roman" w:hAnsi="Times New Roman" w:cs="Times New Roman"/>
          <w:spacing w:val="-8"/>
          <w:sz w:val="21"/>
          <w:szCs w:val="21"/>
        </w:rPr>
        <w:t xml:space="preserve">Blundell, L. Dearden, C. Meghir, B. Sianesi. – Institute for Fiscal Studies. – </w:t>
      </w:r>
      <w:r w:rsidRPr="005A2094">
        <w:rPr>
          <w:rFonts w:ascii="Times New Roman" w:hAnsi="Times New Roman" w:cs="Times New Roman"/>
          <w:iCs/>
          <w:spacing w:val="-8"/>
          <w:sz w:val="21"/>
          <w:szCs w:val="21"/>
        </w:rPr>
        <w:t xml:space="preserve"> </w:t>
      </w:r>
      <w:r>
        <w:rPr>
          <w:rFonts w:ascii="Times New Roman" w:hAnsi="Times New Roman" w:cs="Times New Roman"/>
          <w:spacing w:val="-8"/>
          <w:sz w:val="21"/>
          <w:szCs w:val="21"/>
        </w:rPr>
        <w:t xml:space="preserve">1999. – vol. 20 (no. 1). </w:t>
      </w:r>
      <w:r w:rsidRPr="005A2094">
        <w:rPr>
          <w:rFonts w:ascii="Times New Roman" w:hAnsi="Times New Roman" w:cs="Times New Roman"/>
          <w:spacing w:val="-8"/>
          <w:sz w:val="21"/>
          <w:szCs w:val="21"/>
        </w:rPr>
        <w:t>– 23 p.</w:t>
      </w:r>
      <w:bookmarkEnd w:id="247"/>
    </w:p>
    <w:p w:rsidR="00B233DE" w:rsidRDefault="00B233DE" w:rsidP="00B233DE">
      <w:pPr>
        <w:pStyle w:val="ad"/>
        <w:numPr>
          <w:ilvl w:val="0"/>
          <w:numId w:val="13"/>
        </w:numPr>
        <w:tabs>
          <w:tab w:val="left" w:pos="1134"/>
        </w:tabs>
        <w:ind w:left="0" w:firstLine="709"/>
        <w:jc w:val="both"/>
        <w:rPr>
          <w:rStyle w:val="aff"/>
          <w:rFonts w:ascii="Times New Roman" w:hAnsi="Times New Roman" w:cs="Times New Roman"/>
          <w:color w:val="auto"/>
          <w:spacing w:val="-8"/>
          <w:sz w:val="21"/>
          <w:szCs w:val="21"/>
          <w:u w:val="none"/>
        </w:rPr>
      </w:pPr>
      <w:bookmarkStart w:id="248" w:name="_Ref433977742"/>
      <w:r w:rsidRPr="00246688">
        <w:rPr>
          <w:rFonts w:ascii="Times New Roman" w:hAnsi="Times New Roman" w:cs="Times New Roman"/>
          <w:spacing w:val="-8"/>
          <w:sz w:val="21"/>
          <w:szCs w:val="21"/>
        </w:rPr>
        <w:t>Ginja R.</w:t>
      </w:r>
      <w:r>
        <w:rPr>
          <w:rFonts w:ascii="Times New Roman" w:hAnsi="Times New Roman" w:cs="Times New Roman"/>
          <w:spacing w:val="-8"/>
          <w:sz w:val="21"/>
          <w:szCs w:val="21"/>
        </w:rPr>
        <w:t xml:space="preserve"> </w:t>
      </w:r>
      <w:r w:rsidRPr="00246688">
        <w:rPr>
          <w:rFonts w:ascii="Times New Roman" w:hAnsi="Times New Roman" w:cs="Times New Roman"/>
          <w:spacing w:val="-8"/>
          <w:sz w:val="21"/>
          <w:szCs w:val="21"/>
        </w:rPr>
        <w:t xml:space="preserve">Income Shocks and Investments in Human Capital (Job Market Paper) </w:t>
      </w:r>
      <w:r w:rsidRPr="00246688">
        <w:rPr>
          <w:rFonts w:ascii="Times New Roman" w:hAnsi="Times New Roman" w:cs="Times New Roman"/>
          <w:iCs/>
          <w:spacing w:val="-8"/>
          <w:sz w:val="21"/>
          <w:szCs w:val="21"/>
        </w:rPr>
        <w:t xml:space="preserve">[Електрон. pесурс] </w:t>
      </w:r>
      <w:r w:rsidRPr="00246688">
        <w:rPr>
          <w:rFonts w:ascii="Times New Roman" w:hAnsi="Times New Roman" w:cs="Times New Roman"/>
          <w:spacing w:val="-8"/>
          <w:sz w:val="21"/>
          <w:szCs w:val="21"/>
        </w:rPr>
        <w:t>/ R.Ginja // University College London January. – 2010. –  80 p.</w:t>
      </w:r>
      <w:r w:rsidRPr="00246688">
        <w:rPr>
          <w:rFonts w:ascii="Times New Roman" w:hAnsi="Times New Roman" w:cs="Times New Roman"/>
          <w:iCs/>
          <w:spacing w:val="-8"/>
          <w:sz w:val="21"/>
          <w:szCs w:val="21"/>
        </w:rPr>
        <w:t xml:space="preserve">– Режим доступу: </w:t>
      </w:r>
      <w:r w:rsidRPr="00246688">
        <w:rPr>
          <w:rFonts w:ascii="Times New Roman" w:hAnsi="Times New Roman" w:cs="Times New Roman"/>
          <w:spacing w:val="-8"/>
          <w:sz w:val="21"/>
          <w:szCs w:val="21"/>
        </w:rPr>
        <w:t xml:space="preserve"> </w:t>
      </w:r>
      <w:hyperlink r:id="rId54" w:history="1">
        <w:r w:rsidRPr="00246688">
          <w:rPr>
            <w:rStyle w:val="aff"/>
            <w:rFonts w:ascii="Times New Roman" w:hAnsi="Times New Roman" w:cs="Times New Roman"/>
            <w:color w:val="auto"/>
            <w:spacing w:val="-8"/>
            <w:sz w:val="21"/>
            <w:szCs w:val="21"/>
            <w:u w:val="none"/>
            <w:lang w:val="en-US"/>
          </w:rPr>
          <w:t>http://www.ucl.ac.uk/~uctprcp/jmp.pdf</w:t>
        </w:r>
      </w:hyperlink>
      <w:bookmarkEnd w:id="248"/>
    </w:p>
    <w:p w:rsidR="00B233DE" w:rsidRPr="00246688" w:rsidRDefault="00B233DE" w:rsidP="00B233DE">
      <w:pPr>
        <w:pStyle w:val="ad"/>
        <w:numPr>
          <w:ilvl w:val="0"/>
          <w:numId w:val="13"/>
        </w:numPr>
        <w:tabs>
          <w:tab w:val="left" w:pos="1134"/>
        </w:tabs>
        <w:ind w:left="0" w:firstLine="709"/>
        <w:jc w:val="both"/>
        <w:rPr>
          <w:rFonts w:ascii="Times New Roman" w:hAnsi="Times New Roman" w:cs="Times New Roman"/>
          <w:spacing w:val="-8"/>
          <w:sz w:val="21"/>
          <w:szCs w:val="21"/>
        </w:rPr>
      </w:pPr>
      <w:bookmarkStart w:id="249" w:name="_Ref433977780"/>
      <w:r w:rsidRPr="00246688">
        <w:rPr>
          <w:rFonts w:ascii="Times New Roman" w:hAnsi="Times New Roman" w:cs="Times New Roman"/>
          <w:spacing w:val="-8"/>
          <w:sz w:val="21"/>
          <w:szCs w:val="21"/>
        </w:rPr>
        <w:t>Thurow L.</w:t>
      </w:r>
      <w:r>
        <w:rPr>
          <w:rFonts w:ascii="Times New Roman" w:hAnsi="Times New Roman" w:cs="Times New Roman"/>
          <w:spacing w:val="-8"/>
          <w:sz w:val="21"/>
          <w:szCs w:val="21"/>
        </w:rPr>
        <w:t xml:space="preserve"> </w:t>
      </w:r>
      <w:r w:rsidRPr="00246688">
        <w:rPr>
          <w:rFonts w:ascii="Times New Roman" w:hAnsi="Times New Roman" w:cs="Times New Roman"/>
          <w:spacing w:val="-8"/>
          <w:sz w:val="21"/>
          <w:szCs w:val="21"/>
        </w:rPr>
        <w:t>Investment in Learning / L. Thurow. – San Francisco, 1978. – 325 р.</w:t>
      </w:r>
      <w:bookmarkEnd w:id="249"/>
    </w:p>
    <w:p w:rsidR="00B233DE" w:rsidRPr="00AB5FD8" w:rsidRDefault="00B233DE" w:rsidP="00B233DE">
      <w:pPr>
        <w:ind w:firstLine="709"/>
        <w:jc w:val="both"/>
        <w:rPr>
          <w:rFonts w:ascii="Times New Roman" w:hAnsi="Times New Roman" w:cs="Times New Roman"/>
          <w:sz w:val="21"/>
          <w:szCs w:val="21"/>
        </w:rPr>
      </w:pPr>
    </w:p>
    <w:p w:rsidR="00B233DE" w:rsidRPr="007B704A"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Pr="00AB5FD8" w:rsidRDefault="00B233DE" w:rsidP="00B233DE">
      <w:pPr>
        <w:ind w:firstLine="709"/>
        <w:jc w:val="both"/>
        <w:rPr>
          <w:rFonts w:ascii="Times New Roman" w:hAnsi="Times New Roman" w:cs="Times New Roman"/>
          <w:sz w:val="21"/>
          <w:szCs w:val="21"/>
        </w:rPr>
      </w:pPr>
    </w:p>
    <w:p w:rsidR="00B233DE" w:rsidRPr="00AB5FD8" w:rsidRDefault="00B233DE" w:rsidP="00B233DE">
      <w:pPr>
        <w:ind w:firstLine="709"/>
        <w:rPr>
          <w:rFonts w:ascii="Times New Roman" w:hAnsi="Times New Roman" w:cs="Times New Roman"/>
          <w:sz w:val="21"/>
          <w:szCs w:val="21"/>
        </w:rPr>
      </w:pPr>
    </w:p>
    <w:p w:rsidR="00B233DE" w:rsidRPr="00306A48" w:rsidRDefault="00B233DE" w:rsidP="00B233DE">
      <w:pPr>
        <w:ind w:firstLine="709"/>
        <w:rPr>
          <w:rFonts w:ascii="Times New Roman" w:hAnsi="Times New Roman" w:cs="Times New Roman"/>
          <w:sz w:val="21"/>
          <w:szCs w:val="21"/>
          <w:lang w:val="en-US"/>
        </w:rPr>
      </w:pPr>
    </w:p>
    <w:p w:rsidR="00B233DE" w:rsidRPr="00306A48" w:rsidRDefault="00B233DE" w:rsidP="00B233DE">
      <w:pPr>
        <w:ind w:firstLine="709"/>
        <w:rPr>
          <w:rFonts w:ascii="Times New Roman" w:hAnsi="Times New Roman" w:cs="Times New Roman"/>
          <w:sz w:val="21"/>
          <w:szCs w:val="21"/>
          <w:lang w:val="en-US"/>
        </w:rPr>
      </w:pPr>
    </w:p>
    <w:p w:rsidR="00B233DE" w:rsidRDefault="00B233DE" w:rsidP="00B233DE">
      <w:pPr>
        <w:rPr>
          <w:rFonts w:ascii="Times New Roman" w:hAnsi="Times New Roman" w:cs="Times New Roman"/>
          <w:sz w:val="21"/>
          <w:szCs w:val="21"/>
        </w:rPr>
      </w:pPr>
      <w:r>
        <w:rPr>
          <w:rFonts w:ascii="Times New Roman" w:hAnsi="Times New Roman" w:cs="Times New Roman"/>
          <w:sz w:val="21"/>
          <w:szCs w:val="21"/>
        </w:rPr>
        <w:br w:type="page"/>
      </w: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Pr="00306A48" w:rsidRDefault="00B233DE" w:rsidP="00B233DE">
      <w:pPr>
        <w:ind w:firstLine="709"/>
        <w:rPr>
          <w:rFonts w:ascii="Times New Roman" w:hAnsi="Times New Roman" w:cs="Times New Roman"/>
          <w:sz w:val="21"/>
          <w:szCs w:val="21"/>
          <w:lang w:val="en-US"/>
        </w:rPr>
      </w:pPr>
    </w:p>
    <w:p w:rsidR="00B233DE" w:rsidRPr="00306A48" w:rsidRDefault="00B233DE" w:rsidP="00B233DE">
      <w:pPr>
        <w:ind w:firstLine="709"/>
        <w:rPr>
          <w:rFonts w:ascii="Times New Roman" w:hAnsi="Times New Roman" w:cs="Times New Roman"/>
          <w:sz w:val="21"/>
          <w:szCs w:val="21"/>
          <w:lang w:val="en-US"/>
        </w:rPr>
      </w:pPr>
    </w:p>
    <w:p w:rsidR="00B233DE" w:rsidRPr="00306A48" w:rsidRDefault="00B233DE" w:rsidP="00B233DE">
      <w:pPr>
        <w:ind w:firstLine="709"/>
        <w:rPr>
          <w:rFonts w:ascii="Times New Roman" w:hAnsi="Times New Roman" w:cs="Times New Roman"/>
          <w:sz w:val="21"/>
          <w:szCs w:val="21"/>
          <w:lang w:val="en-US"/>
        </w:rPr>
      </w:pPr>
    </w:p>
    <w:p w:rsidR="00B233DE" w:rsidRDefault="00B233DE" w:rsidP="00B233DE">
      <w:pPr>
        <w:ind w:firstLine="709"/>
        <w:jc w:val="right"/>
        <w:rPr>
          <w:rFonts w:ascii="Times New Roman" w:hAnsi="Times New Roman" w:cs="Times New Roman"/>
          <w:b/>
          <w:sz w:val="21"/>
          <w:szCs w:val="21"/>
        </w:rPr>
      </w:pPr>
      <w:r w:rsidRPr="006135E8">
        <w:rPr>
          <w:rFonts w:ascii="Times New Roman" w:hAnsi="Times New Roman" w:cs="Times New Roman"/>
          <w:b/>
          <w:sz w:val="21"/>
          <w:szCs w:val="21"/>
        </w:rPr>
        <w:t>РОЗДІЛ 4</w:t>
      </w:r>
      <w:r>
        <w:rPr>
          <w:rFonts w:ascii="Times New Roman" w:hAnsi="Times New Roman" w:cs="Times New Roman"/>
          <w:b/>
          <w:sz w:val="21"/>
          <w:szCs w:val="21"/>
        </w:rPr>
        <w:t>. ОЦІНКА МІГРАЦІЙНОЇ СКЛАДОВОЇ ФОРМУВАННЯ ЛЮДСЬКОГО ПОТЕНЦІАЛУ</w:t>
      </w:r>
    </w:p>
    <w:p w:rsidR="00B233DE" w:rsidRDefault="00B233DE" w:rsidP="00B233DE">
      <w:pPr>
        <w:ind w:firstLine="709"/>
        <w:jc w:val="center"/>
        <w:rPr>
          <w:rFonts w:ascii="Times New Roman" w:hAnsi="Times New Roman" w:cs="Times New Roman"/>
          <w:b/>
          <w:sz w:val="21"/>
          <w:szCs w:val="21"/>
        </w:rPr>
      </w:pPr>
    </w:p>
    <w:p w:rsidR="00B233DE" w:rsidRDefault="00B233DE" w:rsidP="00B233DE">
      <w:pPr>
        <w:ind w:firstLine="709"/>
        <w:jc w:val="center"/>
        <w:rPr>
          <w:rFonts w:ascii="Times New Roman" w:hAnsi="Times New Roman" w:cs="Times New Roman"/>
          <w:b/>
          <w:sz w:val="21"/>
          <w:szCs w:val="21"/>
        </w:rPr>
      </w:pPr>
    </w:p>
    <w:p w:rsidR="00B233DE" w:rsidRPr="00073EA1" w:rsidRDefault="00B233DE" w:rsidP="00B233DE">
      <w:pPr>
        <w:pStyle w:val="afb"/>
        <w:shd w:val="clear" w:color="auto" w:fill="auto"/>
        <w:tabs>
          <w:tab w:val="left" w:pos="394"/>
          <w:tab w:val="left" w:pos="426"/>
        </w:tabs>
        <w:spacing w:before="0" w:line="240" w:lineRule="auto"/>
        <w:ind w:right="40" w:firstLine="709"/>
        <w:contextualSpacing/>
        <w:jc w:val="center"/>
        <w:rPr>
          <w:b/>
          <w:sz w:val="21"/>
          <w:szCs w:val="21"/>
        </w:rPr>
      </w:pPr>
      <w:r w:rsidRPr="00073EA1">
        <w:rPr>
          <w:rFonts w:ascii="UkrainianPeterburg" w:hAnsi="UkrainianPeterburg"/>
          <w:b/>
          <w:sz w:val="21"/>
          <w:szCs w:val="21"/>
        </w:rPr>
        <w:t>4.1. Аналіз міграційних тенденцій та формування людського потенціалу України</w:t>
      </w:r>
    </w:p>
    <w:p w:rsidR="00B233DE" w:rsidRPr="00F8667D" w:rsidRDefault="00B233DE" w:rsidP="00B233DE">
      <w:pPr>
        <w:jc w:val="both"/>
        <w:rPr>
          <w:rFonts w:ascii="Times New Roman" w:hAnsi="Times New Roman" w:cs="Times New Roman"/>
          <w:sz w:val="21"/>
          <w:szCs w:val="21"/>
        </w:rPr>
      </w:pPr>
    </w:p>
    <w:p w:rsidR="00B233DE" w:rsidRPr="00E20C1F" w:rsidRDefault="00B233DE" w:rsidP="00B233DE">
      <w:pPr>
        <w:ind w:firstLine="708"/>
        <w:jc w:val="both"/>
        <w:rPr>
          <w:rFonts w:ascii="Times New Roman" w:hAnsi="Times New Roman" w:cs="Times New Roman"/>
          <w:sz w:val="21"/>
          <w:szCs w:val="21"/>
        </w:rPr>
      </w:pPr>
    </w:p>
    <w:p w:rsidR="00B233DE" w:rsidRPr="00C4343A" w:rsidRDefault="00B233DE" w:rsidP="00B233DE">
      <w:pPr>
        <w:tabs>
          <w:tab w:val="left" w:pos="2880"/>
        </w:tabs>
        <w:ind w:firstLine="709"/>
        <w:jc w:val="both"/>
        <w:rPr>
          <w:rFonts w:ascii="Times New Roman" w:hAnsi="Times New Roman" w:cs="Times New Roman"/>
          <w:sz w:val="21"/>
          <w:szCs w:val="21"/>
        </w:rPr>
      </w:pPr>
      <w:r w:rsidRPr="00C4343A">
        <w:rPr>
          <w:rFonts w:ascii="Times New Roman" w:hAnsi="Times New Roman" w:cs="Times New Roman"/>
          <w:spacing w:val="-2"/>
          <w:sz w:val="21"/>
          <w:szCs w:val="21"/>
        </w:rPr>
        <w:t>Історично міграції, як процес перерозподілу населення по регіонах світу, пов’язані з різницею у рівні розвитку та наявністю вільних ресурсів. Відкриття нових джерел економічного зростання у певних країнах світу викликало переміщення туди мільйонів мігрантів. Різні регіони ставали центрами тяжіння робочої сили у визначені історичні періоди завдяки циклічності економічного розвитку. На цьому етапі слід звернутись до теорії хвилеподібного розвитку, як результа</w:t>
      </w:r>
      <w:r>
        <w:rPr>
          <w:rFonts w:ascii="Times New Roman" w:hAnsi="Times New Roman" w:cs="Times New Roman"/>
          <w:spacing w:val="-2"/>
          <w:sz w:val="21"/>
          <w:szCs w:val="21"/>
        </w:rPr>
        <w:t xml:space="preserve">ту нововведень та інновацій М. </w:t>
      </w:r>
      <w:r w:rsidRPr="00C4343A">
        <w:rPr>
          <w:rFonts w:ascii="Times New Roman" w:hAnsi="Times New Roman" w:cs="Times New Roman"/>
          <w:spacing w:val="-2"/>
          <w:sz w:val="21"/>
          <w:szCs w:val="21"/>
        </w:rPr>
        <w:t>Кондратьєва. Тут інновацією вважаються винаходи нових способів виробництва, товарів, відкриття нових ринків, джерел сировини і форм ділової організації [</w:t>
      </w:r>
      <w:r>
        <w:rPr>
          <w:rFonts w:ascii="Times New Roman" w:hAnsi="Times New Roman" w:cs="Times New Roman"/>
          <w:spacing w:val="-2"/>
          <w:sz w:val="21"/>
          <w:szCs w:val="21"/>
          <w:highlight w:val="yellow"/>
        </w:rPr>
        <w:fldChar w:fldCharType="begin"/>
      </w:r>
      <w:r>
        <w:rPr>
          <w:rFonts w:ascii="Times New Roman" w:hAnsi="Times New Roman" w:cs="Times New Roman"/>
          <w:spacing w:val="-2"/>
          <w:sz w:val="21"/>
          <w:szCs w:val="21"/>
        </w:rPr>
        <w:instrText xml:space="preserve"> REF _Ref435181971 \r \h </w:instrText>
      </w:r>
      <w:r>
        <w:rPr>
          <w:rFonts w:ascii="Times New Roman" w:hAnsi="Times New Roman" w:cs="Times New Roman"/>
          <w:spacing w:val="-2"/>
          <w:sz w:val="21"/>
          <w:szCs w:val="21"/>
          <w:highlight w:val="yellow"/>
        </w:rPr>
      </w:r>
      <w:r>
        <w:rPr>
          <w:rFonts w:ascii="Times New Roman" w:hAnsi="Times New Roman" w:cs="Times New Roman"/>
          <w:spacing w:val="-2"/>
          <w:sz w:val="21"/>
          <w:szCs w:val="21"/>
          <w:highlight w:val="yellow"/>
        </w:rPr>
        <w:fldChar w:fldCharType="separate"/>
      </w:r>
      <w:r>
        <w:rPr>
          <w:rFonts w:ascii="Times New Roman" w:hAnsi="Times New Roman" w:cs="Times New Roman"/>
          <w:spacing w:val="-2"/>
          <w:sz w:val="21"/>
          <w:szCs w:val="21"/>
        </w:rPr>
        <w:t>21</w:t>
      </w:r>
      <w:r>
        <w:rPr>
          <w:rFonts w:ascii="Times New Roman" w:hAnsi="Times New Roman" w:cs="Times New Roman"/>
          <w:spacing w:val="-2"/>
          <w:sz w:val="21"/>
          <w:szCs w:val="21"/>
          <w:highlight w:val="yellow"/>
        </w:rPr>
        <w:fldChar w:fldCharType="end"/>
      </w:r>
      <w:r w:rsidRPr="00C4343A">
        <w:rPr>
          <w:rFonts w:ascii="Times New Roman" w:hAnsi="Times New Roman" w:cs="Times New Roman"/>
          <w:spacing w:val="-2"/>
          <w:sz w:val="21"/>
          <w:szCs w:val="21"/>
        </w:rPr>
        <w:t xml:space="preserve">, </w:t>
      </w:r>
      <w:r w:rsidRPr="00C4343A">
        <w:rPr>
          <w:rFonts w:ascii="Times New Roman" w:hAnsi="Times New Roman" w:cs="Times New Roman"/>
          <w:spacing w:val="-2"/>
          <w:sz w:val="21"/>
          <w:szCs w:val="21"/>
          <w:lang w:val="en-US"/>
        </w:rPr>
        <w:t>c</w:t>
      </w:r>
      <w:r w:rsidRPr="00C4343A">
        <w:rPr>
          <w:rFonts w:ascii="Times New Roman" w:hAnsi="Times New Roman" w:cs="Times New Roman"/>
          <w:spacing w:val="-2"/>
          <w:sz w:val="21"/>
          <w:szCs w:val="21"/>
        </w:rPr>
        <w:t>. 717</w:t>
      </w:r>
      <w:r>
        <w:rPr>
          <w:rFonts w:ascii="Times New Roman" w:hAnsi="Times New Roman" w:cs="Times New Roman"/>
          <w:spacing w:val="-2"/>
          <w:sz w:val="21"/>
          <w:szCs w:val="21"/>
        </w:rPr>
        <w:t>–</w:t>
      </w:r>
      <w:r w:rsidRPr="00C4343A">
        <w:rPr>
          <w:rFonts w:ascii="Times New Roman" w:hAnsi="Times New Roman" w:cs="Times New Roman"/>
          <w:spacing w:val="-2"/>
          <w:sz w:val="21"/>
          <w:szCs w:val="21"/>
        </w:rPr>
        <w:t>718]. Значення інновацій для економічного розвитку підтверджується виділенням С. Кузнецем епохальних нововведень, що є основним джерелом довгострокового економіч</w:t>
      </w:r>
      <w:r>
        <w:rPr>
          <w:rFonts w:ascii="Times New Roman" w:hAnsi="Times New Roman" w:cs="Times New Roman"/>
          <w:spacing w:val="-2"/>
          <w:sz w:val="21"/>
          <w:szCs w:val="21"/>
        </w:rPr>
        <w:t>-</w:t>
      </w:r>
      <w:r w:rsidRPr="00C4343A">
        <w:rPr>
          <w:rFonts w:ascii="Times New Roman" w:hAnsi="Times New Roman" w:cs="Times New Roman"/>
          <w:spacing w:val="-2"/>
          <w:sz w:val="21"/>
          <w:szCs w:val="21"/>
        </w:rPr>
        <w:t>ного зростання. Відповідно до цього, економічна історія поділяється на епохи, кожна з яких визначається епохальним нововведенням з притаманним</w:t>
      </w:r>
      <w:r>
        <w:rPr>
          <w:rFonts w:ascii="Times New Roman" w:hAnsi="Times New Roman" w:cs="Times New Roman"/>
          <w:spacing w:val="-2"/>
          <w:sz w:val="21"/>
          <w:szCs w:val="21"/>
        </w:rPr>
        <w:t xml:space="preserve">и їй характеристиками зростання </w:t>
      </w:r>
      <w:r w:rsidRPr="00C4343A">
        <w:rPr>
          <w:rFonts w:ascii="Times New Roman" w:hAnsi="Times New Roman" w:cs="Times New Roman"/>
          <w:spacing w:val="-2"/>
          <w:sz w:val="21"/>
          <w:szCs w:val="21"/>
        </w:rPr>
        <w:t>[</w:t>
      </w:r>
      <w:r>
        <w:rPr>
          <w:rFonts w:ascii="Times New Roman" w:hAnsi="Times New Roman" w:cs="Times New Roman"/>
          <w:spacing w:val="-2"/>
          <w:sz w:val="21"/>
          <w:szCs w:val="21"/>
          <w:highlight w:val="yellow"/>
        </w:rPr>
        <w:fldChar w:fldCharType="begin"/>
      </w:r>
      <w:r>
        <w:rPr>
          <w:rFonts w:ascii="Times New Roman" w:hAnsi="Times New Roman" w:cs="Times New Roman"/>
          <w:spacing w:val="-2"/>
          <w:sz w:val="21"/>
          <w:szCs w:val="21"/>
        </w:rPr>
        <w:instrText xml:space="preserve"> REF _Ref435181978 \r \h </w:instrText>
      </w:r>
      <w:r>
        <w:rPr>
          <w:rFonts w:ascii="Times New Roman" w:hAnsi="Times New Roman" w:cs="Times New Roman"/>
          <w:spacing w:val="-2"/>
          <w:sz w:val="21"/>
          <w:szCs w:val="21"/>
          <w:highlight w:val="yellow"/>
        </w:rPr>
      </w:r>
      <w:r>
        <w:rPr>
          <w:rFonts w:ascii="Times New Roman" w:hAnsi="Times New Roman" w:cs="Times New Roman"/>
          <w:spacing w:val="-2"/>
          <w:sz w:val="21"/>
          <w:szCs w:val="21"/>
          <w:highlight w:val="yellow"/>
        </w:rPr>
        <w:fldChar w:fldCharType="separate"/>
      </w:r>
      <w:r>
        <w:rPr>
          <w:rFonts w:ascii="Times New Roman" w:hAnsi="Times New Roman" w:cs="Times New Roman"/>
          <w:spacing w:val="-2"/>
          <w:sz w:val="21"/>
          <w:szCs w:val="21"/>
        </w:rPr>
        <w:t>43</w:t>
      </w:r>
      <w:r>
        <w:rPr>
          <w:rFonts w:ascii="Times New Roman" w:hAnsi="Times New Roman" w:cs="Times New Roman"/>
          <w:spacing w:val="-2"/>
          <w:sz w:val="21"/>
          <w:szCs w:val="21"/>
          <w:highlight w:val="yellow"/>
        </w:rPr>
        <w:fldChar w:fldCharType="end"/>
      </w:r>
      <w:r w:rsidRPr="00C4343A">
        <w:rPr>
          <w:rFonts w:ascii="Times New Roman" w:hAnsi="Times New Roman" w:cs="Times New Roman"/>
          <w:spacing w:val="-2"/>
          <w:sz w:val="21"/>
          <w:szCs w:val="21"/>
        </w:rPr>
        <w:t xml:space="preserve">, </w:t>
      </w:r>
      <w:r w:rsidRPr="00C4343A">
        <w:rPr>
          <w:rFonts w:ascii="Times New Roman" w:hAnsi="Times New Roman" w:cs="Times New Roman"/>
          <w:spacing w:val="-2"/>
          <w:sz w:val="21"/>
          <w:szCs w:val="21"/>
          <w:lang w:val="en-US"/>
        </w:rPr>
        <w:t>c</w:t>
      </w:r>
      <w:r w:rsidRPr="00C4343A">
        <w:rPr>
          <w:rFonts w:ascii="Times New Roman" w:hAnsi="Times New Roman" w:cs="Times New Roman"/>
          <w:spacing w:val="-2"/>
          <w:sz w:val="21"/>
          <w:szCs w:val="21"/>
        </w:rPr>
        <w:t xml:space="preserve">. 647]. Погляди С. Кузнеця підтверджують нашу думку про те, що інновації з’являються у відносно невеликих географічних ареалах та активізують процеси зростання, що є стимулом до міграції. Будь-яка введена в дію інновація породжує мультиплікативні ефекти та сприяє переходу від одного технологічного укладу до іншого (табл. </w:t>
      </w:r>
      <w:r>
        <w:rPr>
          <w:rFonts w:ascii="Times New Roman" w:hAnsi="Times New Roman" w:cs="Times New Roman"/>
          <w:spacing w:val="-2"/>
          <w:sz w:val="21"/>
          <w:szCs w:val="21"/>
        </w:rPr>
        <w:t>4.1</w:t>
      </w:r>
      <w:r w:rsidRPr="00C4343A">
        <w:rPr>
          <w:rFonts w:ascii="Times New Roman" w:hAnsi="Times New Roman" w:cs="Times New Roman"/>
          <w:spacing w:val="-2"/>
          <w:sz w:val="21"/>
          <w:szCs w:val="21"/>
        </w:rPr>
        <w:t>) [</w:t>
      </w:r>
      <w:r>
        <w:rPr>
          <w:rFonts w:ascii="Times New Roman" w:hAnsi="Times New Roman" w:cs="Times New Roman"/>
          <w:spacing w:val="-2"/>
          <w:sz w:val="21"/>
          <w:szCs w:val="21"/>
          <w:highlight w:val="yellow"/>
        </w:rPr>
        <w:fldChar w:fldCharType="begin"/>
      </w:r>
      <w:r>
        <w:rPr>
          <w:rFonts w:ascii="Times New Roman" w:hAnsi="Times New Roman" w:cs="Times New Roman"/>
          <w:spacing w:val="-2"/>
          <w:sz w:val="21"/>
          <w:szCs w:val="21"/>
        </w:rPr>
        <w:instrText xml:space="preserve"> REF _Ref435181984 \r \h </w:instrText>
      </w:r>
      <w:r>
        <w:rPr>
          <w:rFonts w:ascii="Times New Roman" w:hAnsi="Times New Roman" w:cs="Times New Roman"/>
          <w:spacing w:val="-2"/>
          <w:sz w:val="21"/>
          <w:szCs w:val="21"/>
          <w:highlight w:val="yellow"/>
        </w:rPr>
      </w:r>
      <w:r>
        <w:rPr>
          <w:rFonts w:ascii="Times New Roman" w:hAnsi="Times New Roman" w:cs="Times New Roman"/>
          <w:spacing w:val="-2"/>
          <w:sz w:val="21"/>
          <w:szCs w:val="21"/>
          <w:highlight w:val="yellow"/>
        </w:rPr>
        <w:fldChar w:fldCharType="separate"/>
      </w:r>
      <w:r>
        <w:rPr>
          <w:rFonts w:ascii="Times New Roman" w:hAnsi="Times New Roman" w:cs="Times New Roman"/>
          <w:spacing w:val="-2"/>
          <w:sz w:val="21"/>
          <w:szCs w:val="21"/>
        </w:rPr>
        <w:t>23</w:t>
      </w:r>
      <w:r>
        <w:rPr>
          <w:rFonts w:ascii="Times New Roman" w:hAnsi="Times New Roman" w:cs="Times New Roman"/>
          <w:spacing w:val="-2"/>
          <w:sz w:val="21"/>
          <w:szCs w:val="21"/>
          <w:highlight w:val="yellow"/>
        </w:rPr>
        <w:fldChar w:fldCharType="end"/>
      </w:r>
      <w:r w:rsidRPr="00C4343A">
        <w:rPr>
          <w:rFonts w:ascii="Times New Roman" w:hAnsi="Times New Roman" w:cs="Times New Roman"/>
          <w:spacing w:val="-2"/>
          <w:sz w:val="21"/>
          <w:szCs w:val="21"/>
        </w:rPr>
        <w:t xml:space="preserve">, </w:t>
      </w:r>
      <w:r w:rsidRPr="00C4343A">
        <w:rPr>
          <w:rFonts w:ascii="Times New Roman" w:hAnsi="Times New Roman" w:cs="Times New Roman"/>
          <w:spacing w:val="-2"/>
          <w:sz w:val="21"/>
          <w:szCs w:val="21"/>
          <w:lang w:val="en-US"/>
        </w:rPr>
        <w:t>c</w:t>
      </w:r>
      <w:r w:rsidRPr="00C4343A">
        <w:rPr>
          <w:rFonts w:ascii="Times New Roman" w:hAnsi="Times New Roman" w:cs="Times New Roman"/>
          <w:spacing w:val="-2"/>
          <w:sz w:val="21"/>
          <w:szCs w:val="21"/>
        </w:rPr>
        <w:t xml:space="preserve">. 18, </w:t>
      </w:r>
      <w:r>
        <w:rPr>
          <w:rFonts w:ascii="Times New Roman" w:hAnsi="Times New Roman" w:cs="Times New Roman"/>
          <w:spacing w:val="-2"/>
          <w:sz w:val="21"/>
          <w:szCs w:val="21"/>
          <w:highlight w:val="yellow"/>
        </w:rPr>
        <w:fldChar w:fldCharType="begin"/>
      </w:r>
      <w:r>
        <w:rPr>
          <w:rFonts w:ascii="Times New Roman" w:hAnsi="Times New Roman" w:cs="Times New Roman"/>
          <w:spacing w:val="-2"/>
          <w:sz w:val="21"/>
          <w:szCs w:val="21"/>
        </w:rPr>
        <w:instrText xml:space="preserve"> REF _Ref435182087 \r \h </w:instrText>
      </w:r>
      <w:r>
        <w:rPr>
          <w:rFonts w:ascii="Times New Roman" w:hAnsi="Times New Roman" w:cs="Times New Roman"/>
          <w:spacing w:val="-2"/>
          <w:sz w:val="21"/>
          <w:szCs w:val="21"/>
          <w:highlight w:val="yellow"/>
        </w:rPr>
      </w:r>
      <w:r>
        <w:rPr>
          <w:rFonts w:ascii="Times New Roman" w:hAnsi="Times New Roman" w:cs="Times New Roman"/>
          <w:spacing w:val="-2"/>
          <w:sz w:val="21"/>
          <w:szCs w:val="21"/>
          <w:highlight w:val="yellow"/>
        </w:rPr>
        <w:fldChar w:fldCharType="separate"/>
      </w:r>
      <w:r>
        <w:rPr>
          <w:rFonts w:ascii="Times New Roman" w:hAnsi="Times New Roman" w:cs="Times New Roman"/>
          <w:spacing w:val="-2"/>
          <w:sz w:val="21"/>
          <w:szCs w:val="21"/>
        </w:rPr>
        <w:t>46</w:t>
      </w:r>
      <w:r>
        <w:rPr>
          <w:rFonts w:ascii="Times New Roman" w:hAnsi="Times New Roman" w:cs="Times New Roman"/>
          <w:spacing w:val="-2"/>
          <w:sz w:val="21"/>
          <w:szCs w:val="21"/>
          <w:highlight w:val="yellow"/>
        </w:rPr>
        <w:fldChar w:fldCharType="end"/>
      </w:r>
      <w:r w:rsidRPr="00C4343A">
        <w:rPr>
          <w:rFonts w:ascii="Times New Roman" w:hAnsi="Times New Roman" w:cs="Times New Roman"/>
          <w:spacing w:val="-2"/>
          <w:sz w:val="21"/>
          <w:szCs w:val="21"/>
        </w:rPr>
        <w:t xml:space="preserve">]. </w:t>
      </w:r>
    </w:p>
    <w:p w:rsidR="00B233DE" w:rsidRDefault="00B233DE" w:rsidP="00B233DE">
      <w:pPr>
        <w:tabs>
          <w:tab w:val="left" w:pos="2880"/>
        </w:tabs>
        <w:ind w:firstLine="720"/>
        <w:jc w:val="both"/>
        <w:rPr>
          <w:rFonts w:ascii="Times New Roman" w:hAnsi="Times New Roman" w:cs="Times New Roman"/>
          <w:sz w:val="19"/>
          <w:szCs w:val="19"/>
        </w:rPr>
      </w:pPr>
    </w:p>
    <w:p w:rsidR="00B233DE" w:rsidRDefault="00B233DE" w:rsidP="00B233DE">
      <w:pPr>
        <w:tabs>
          <w:tab w:val="left" w:pos="2880"/>
        </w:tabs>
        <w:ind w:firstLine="720"/>
        <w:jc w:val="both"/>
        <w:rPr>
          <w:rFonts w:ascii="Times New Roman" w:hAnsi="Times New Roman" w:cs="Times New Roman"/>
          <w:sz w:val="19"/>
          <w:szCs w:val="19"/>
        </w:rPr>
      </w:pPr>
    </w:p>
    <w:p w:rsidR="00B233DE" w:rsidRPr="00C4343A" w:rsidRDefault="00B233DE" w:rsidP="00B233DE">
      <w:pPr>
        <w:tabs>
          <w:tab w:val="left" w:pos="2880"/>
        </w:tabs>
        <w:ind w:firstLine="720"/>
        <w:jc w:val="right"/>
        <w:rPr>
          <w:rFonts w:ascii="Times New Roman" w:hAnsi="Times New Roman" w:cs="Times New Roman"/>
          <w:sz w:val="19"/>
          <w:szCs w:val="19"/>
        </w:rPr>
      </w:pPr>
      <w:r w:rsidRPr="00C4343A">
        <w:rPr>
          <w:rFonts w:ascii="Times New Roman" w:hAnsi="Times New Roman" w:cs="Times New Roman"/>
          <w:sz w:val="19"/>
          <w:szCs w:val="19"/>
        </w:rPr>
        <w:lastRenderedPageBreak/>
        <w:t xml:space="preserve">Таблиця </w:t>
      </w:r>
      <w:r>
        <w:rPr>
          <w:rFonts w:ascii="Times New Roman" w:hAnsi="Times New Roman" w:cs="Times New Roman"/>
          <w:sz w:val="19"/>
          <w:szCs w:val="19"/>
        </w:rPr>
        <w:t>4.1</w:t>
      </w:r>
    </w:p>
    <w:p w:rsidR="00B233DE" w:rsidRPr="00C4343A" w:rsidRDefault="00B233DE" w:rsidP="00B233DE">
      <w:pPr>
        <w:tabs>
          <w:tab w:val="left" w:pos="2880"/>
        </w:tabs>
        <w:jc w:val="center"/>
        <w:rPr>
          <w:rFonts w:ascii="Times New Roman" w:hAnsi="Times New Roman" w:cs="Times New Roman"/>
          <w:b/>
          <w:sz w:val="19"/>
          <w:szCs w:val="19"/>
        </w:rPr>
      </w:pPr>
      <w:r w:rsidRPr="00C4343A">
        <w:rPr>
          <w:rFonts w:ascii="Times New Roman" w:hAnsi="Times New Roman" w:cs="Times New Roman"/>
          <w:b/>
          <w:sz w:val="19"/>
          <w:szCs w:val="19"/>
        </w:rPr>
        <w:t>К-цикли, технологічні уклади та центри тяжіння міжнародних мігрантів*</w:t>
      </w:r>
    </w:p>
    <w:tbl>
      <w:tblPr>
        <w:tblW w:w="60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0"/>
        <w:gridCol w:w="667"/>
        <w:gridCol w:w="904"/>
        <w:gridCol w:w="1511"/>
        <w:gridCol w:w="1135"/>
        <w:gridCol w:w="1307"/>
      </w:tblGrid>
      <w:tr w:rsidR="00B233DE" w:rsidRPr="00C4343A" w:rsidTr="0023489B">
        <w:trPr>
          <w:trHeight w:val="813"/>
          <w:jc w:val="center"/>
        </w:trPr>
        <w:tc>
          <w:tcPr>
            <w:tcW w:w="542" w:type="dxa"/>
            <w:vAlign w:val="center"/>
          </w:tcPr>
          <w:p w:rsidR="00B233DE" w:rsidRPr="00C4343A" w:rsidRDefault="00B233DE" w:rsidP="0023489B">
            <w:pPr>
              <w:tabs>
                <w:tab w:val="left" w:pos="2880"/>
              </w:tabs>
              <w:ind w:left="-59" w:right="-118" w:firstLine="0"/>
              <w:jc w:val="center"/>
              <w:rPr>
                <w:rFonts w:ascii="Times New Roman" w:hAnsi="Times New Roman" w:cs="Times New Roman"/>
                <w:sz w:val="16"/>
                <w:szCs w:val="16"/>
              </w:rPr>
            </w:pPr>
            <w:r w:rsidRPr="00C4343A">
              <w:rPr>
                <w:rFonts w:ascii="Times New Roman" w:hAnsi="Times New Roman" w:cs="Times New Roman"/>
                <w:sz w:val="16"/>
                <w:szCs w:val="16"/>
              </w:rPr>
              <w:t>К-цикли</w:t>
            </w:r>
          </w:p>
        </w:tc>
        <w:tc>
          <w:tcPr>
            <w:tcW w:w="0" w:type="auto"/>
            <w:vAlign w:val="center"/>
          </w:tcPr>
          <w:p w:rsidR="00B233DE" w:rsidRPr="00C4343A" w:rsidRDefault="00B233DE" w:rsidP="0023489B">
            <w:pPr>
              <w:tabs>
                <w:tab w:val="left" w:pos="2880"/>
              </w:tabs>
              <w:ind w:left="-59" w:right="-118" w:firstLine="0"/>
              <w:jc w:val="center"/>
              <w:rPr>
                <w:rFonts w:ascii="Times New Roman" w:hAnsi="Times New Roman" w:cs="Times New Roman"/>
                <w:sz w:val="16"/>
                <w:szCs w:val="16"/>
              </w:rPr>
            </w:pPr>
            <w:r w:rsidRPr="00C4343A">
              <w:rPr>
                <w:rFonts w:ascii="Times New Roman" w:hAnsi="Times New Roman" w:cs="Times New Roman"/>
                <w:sz w:val="16"/>
                <w:szCs w:val="16"/>
              </w:rPr>
              <w:t>Техноло</w:t>
            </w:r>
            <w:r w:rsidRPr="00C4343A">
              <w:rPr>
                <w:rFonts w:ascii="Times New Roman" w:hAnsi="Times New Roman" w:cs="Times New Roman"/>
                <w:sz w:val="16"/>
                <w:szCs w:val="16"/>
              </w:rPr>
              <w:softHyphen/>
              <w:t>гічні уклади</w:t>
            </w:r>
          </w:p>
        </w:tc>
        <w:tc>
          <w:tcPr>
            <w:tcW w:w="0" w:type="auto"/>
            <w:vAlign w:val="center"/>
          </w:tcPr>
          <w:p w:rsidR="00B233DE" w:rsidRPr="00C4343A" w:rsidRDefault="00B233DE" w:rsidP="0023489B">
            <w:pPr>
              <w:tabs>
                <w:tab w:val="left" w:pos="2880"/>
              </w:tabs>
              <w:ind w:left="-59" w:right="-118" w:firstLine="0"/>
              <w:jc w:val="center"/>
              <w:rPr>
                <w:rFonts w:ascii="Times New Roman" w:hAnsi="Times New Roman" w:cs="Times New Roman"/>
                <w:sz w:val="16"/>
                <w:szCs w:val="16"/>
              </w:rPr>
            </w:pPr>
            <w:r w:rsidRPr="00C4343A">
              <w:rPr>
                <w:rFonts w:ascii="Times New Roman" w:hAnsi="Times New Roman" w:cs="Times New Roman"/>
                <w:sz w:val="16"/>
                <w:szCs w:val="16"/>
              </w:rPr>
              <w:t>Період домінування</w:t>
            </w:r>
          </w:p>
          <w:p w:rsidR="00B233DE" w:rsidRPr="00C4343A" w:rsidRDefault="00B233DE" w:rsidP="0023489B">
            <w:pPr>
              <w:tabs>
                <w:tab w:val="left" w:pos="2880"/>
              </w:tabs>
              <w:ind w:left="-59" w:right="-118" w:firstLine="0"/>
              <w:jc w:val="center"/>
              <w:rPr>
                <w:rFonts w:ascii="Times New Roman" w:hAnsi="Times New Roman" w:cs="Times New Roman"/>
                <w:sz w:val="16"/>
                <w:szCs w:val="16"/>
              </w:rPr>
            </w:pPr>
            <w:r w:rsidRPr="00C4343A">
              <w:rPr>
                <w:rFonts w:ascii="Times New Roman" w:hAnsi="Times New Roman" w:cs="Times New Roman"/>
                <w:sz w:val="16"/>
                <w:szCs w:val="16"/>
              </w:rPr>
              <w:t>укладу</w:t>
            </w:r>
          </w:p>
        </w:tc>
        <w:tc>
          <w:tcPr>
            <w:tcW w:w="0" w:type="auto"/>
            <w:vAlign w:val="center"/>
          </w:tcPr>
          <w:p w:rsidR="00B233DE" w:rsidRPr="00C4343A" w:rsidRDefault="00B233DE" w:rsidP="0023489B">
            <w:pPr>
              <w:tabs>
                <w:tab w:val="left" w:pos="2880"/>
              </w:tabs>
              <w:ind w:left="-59" w:right="-118" w:firstLine="0"/>
              <w:jc w:val="center"/>
              <w:rPr>
                <w:rFonts w:ascii="Times New Roman" w:hAnsi="Times New Roman" w:cs="Times New Roman"/>
                <w:sz w:val="16"/>
                <w:szCs w:val="16"/>
              </w:rPr>
            </w:pPr>
            <w:r w:rsidRPr="00C4343A">
              <w:rPr>
                <w:rFonts w:ascii="Times New Roman" w:hAnsi="Times New Roman" w:cs="Times New Roman"/>
                <w:sz w:val="16"/>
                <w:szCs w:val="16"/>
              </w:rPr>
              <w:t>Переважаючі технології</w:t>
            </w:r>
          </w:p>
        </w:tc>
        <w:tc>
          <w:tcPr>
            <w:tcW w:w="0" w:type="auto"/>
            <w:vAlign w:val="center"/>
          </w:tcPr>
          <w:p w:rsidR="00B233DE" w:rsidRPr="00C4343A" w:rsidRDefault="00B233DE" w:rsidP="0023489B">
            <w:pPr>
              <w:tabs>
                <w:tab w:val="left" w:pos="2880"/>
              </w:tabs>
              <w:ind w:left="-59" w:right="-118" w:firstLine="0"/>
              <w:jc w:val="center"/>
              <w:rPr>
                <w:rFonts w:ascii="Times New Roman" w:hAnsi="Times New Roman" w:cs="Times New Roman"/>
                <w:sz w:val="16"/>
                <w:szCs w:val="16"/>
              </w:rPr>
            </w:pPr>
            <w:r w:rsidRPr="00C4343A">
              <w:rPr>
                <w:rFonts w:ascii="Times New Roman" w:hAnsi="Times New Roman" w:cs="Times New Roman"/>
                <w:sz w:val="16"/>
                <w:szCs w:val="16"/>
              </w:rPr>
              <w:t>Країни-лідери</w:t>
            </w:r>
          </w:p>
        </w:tc>
        <w:tc>
          <w:tcPr>
            <w:tcW w:w="1335" w:type="dxa"/>
            <w:vAlign w:val="center"/>
          </w:tcPr>
          <w:p w:rsidR="00B233DE" w:rsidRPr="00C4343A" w:rsidRDefault="00B233DE" w:rsidP="0023489B">
            <w:pPr>
              <w:tabs>
                <w:tab w:val="left" w:pos="2880"/>
              </w:tabs>
              <w:ind w:left="-59" w:right="-118" w:firstLine="0"/>
              <w:jc w:val="center"/>
              <w:rPr>
                <w:rFonts w:ascii="Times New Roman" w:hAnsi="Times New Roman" w:cs="Times New Roman"/>
                <w:sz w:val="16"/>
                <w:szCs w:val="16"/>
              </w:rPr>
            </w:pPr>
            <w:r w:rsidRPr="00C4343A">
              <w:rPr>
                <w:rFonts w:ascii="Times New Roman" w:hAnsi="Times New Roman" w:cs="Times New Roman"/>
                <w:sz w:val="16"/>
                <w:szCs w:val="16"/>
              </w:rPr>
              <w:t>Центри тяжіння міжнародних мігрантів</w:t>
            </w:r>
          </w:p>
        </w:tc>
      </w:tr>
      <w:tr w:rsidR="00B233DE" w:rsidRPr="00C4343A" w:rsidTr="0023489B">
        <w:trPr>
          <w:jc w:val="center"/>
        </w:trPr>
        <w:tc>
          <w:tcPr>
            <w:tcW w:w="542" w:type="dxa"/>
            <w:vAlign w:val="center"/>
          </w:tcPr>
          <w:p w:rsidR="00B233DE" w:rsidRPr="001D6086" w:rsidRDefault="00B233DE" w:rsidP="0023489B">
            <w:pPr>
              <w:tabs>
                <w:tab w:val="left" w:pos="2880"/>
              </w:tabs>
              <w:ind w:left="-59" w:right="-118" w:firstLine="0"/>
              <w:jc w:val="center"/>
              <w:rPr>
                <w:rFonts w:ascii="Times New Roman" w:hAnsi="Times New Roman" w:cs="Times New Roman"/>
                <w:sz w:val="16"/>
                <w:szCs w:val="16"/>
              </w:rPr>
            </w:pPr>
            <w:r w:rsidRPr="001D6086">
              <w:rPr>
                <w:rFonts w:ascii="Times New Roman" w:hAnsi="Times New Roman" w:cs="Times New Roman"/>
                <w:sz w:val="16"/>
                <w:szCs w:val="16"/>
              </w:rPr>
              <w:t>1779 - 184</w:t>
            </w:r>
            <w:r>
              <w:rPr>
                <w:rFonts w:ascii="Times New Roman" w:hAnsi="Times New Roman" w:cs="Times New Roman"/>
                <w:sz w:val="16"/>
                <w:szCs w:val="16"/>
              </w:rPr>
              <w:t>3 р</w:t>
            </w:r>
            <w:r w:rsidRPr="001D6086">
              <w:rPr>
                <w:rFonts w:ascii="Times New Roman" w:hAnsi="Times New Roman" w:cs="Times New Roman"/>
                <w:sz w:val="16"/>
                <w:szCs w:val="16"/>
              </w:rPr>
              <w:t>р.</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І</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 xml:space="preserve">1770-1830 </w:t>
            </w:r>
            <w:r>
              <w:rPr>
                <w:rFonts w:ascii="Times New Roman" w:hAnsi="Times New Roman" w:cs="Times New Roman"/>
                <w:sz w:val="16"/>
                <w:szCs w:val="16"/>
              </w:rPr>
              <w:t>р</w:t>
            </w:r>
            <w:r w:rsidRPr="00C4343A">
              <w:rPr>
                <w:rFonts w:ascii="Times New Roman" w:hAnsi="Times New Roman" w:cs="Times New Roman"/>
                <w:sz w:val="16"/>
                <w:szCs w:val="16"/>
              </w:rPr>
              <w:t>р.</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Водяний двигун, тек</w:t>
            </w:r>
            <w:r>
              <w:rPr>
                <w:rFonts w:ascii="Times New Roman" w:hAnsi="Times New Roman" w:cs="Times New Roman"/>
                <w:sz w:val="16"/>
                <w:szCs w:val="16"/>
              </w:rPr>
              <w:t>-</w:t>
            </w:r>
            <w:r w:rsidRPr="00C4343A">
              <w:rPr>
                <w:rFonts w:ascii="Times New Roman" w:hAnsi="Times New Roman" w:cs="Times New Roman"/>
                <w:sz w:val="16"/>
                <w:szCs w:val="16"/>
              </w:rPr>
              <w:t>стильна промисло</w:t>
            </w:r>
            <w:r>
              <w:rPr>
                <w:rFonts w:ascii="Times New Roman" w:hAnsi="Times New Roman" w:cs="Times New Roman"/>
                <w:sz w:val="16"/>
                <w:szCs w:val="16"/>
              </w:rPr>
              <w:t>-</w:t>
            </w:r>
            <w:r w:rsidRPr="00C4343A">
              <w:rPr>
                <w:rFonts w:ascii="Times New Roman" w:hAnsi="Times New Roman" w:cs="Times New Roman"/>
                <w:sz w:val="16"/>
                <w:szCs w:val="16"/>
              </w:rPr>
              <w:t>вість, виплавка чаву</w:t>
            </w:r>
            <w:r>
              <w:rPr>
                <w:rFonts w:ascii="Times New Roman" w:hAnsi="Times New Roman" w:cs="Times New Roman"/>
                <w:sz w:val="16"/>
                <w:szCs w:val="16"/>
              </w:rPr>
              <w:t>-</w:t>
            </w:r>
            <w:r w:rsidRPr="00C4343A">
              <w:rPr>
                <w:rFonts w:ascii="Times New Roman" w:hAnsi="Times New Roman" w:cs="Times New Roman"/>
                <w:sz w:val="16"/>
                <w:szCs w:val="16"/>
              </w:rPr>
              <w:t>ну й обробка заліза, будівництво каналів</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1D6086">
              <w:rPr>
                <w:rFonts w:ascii="Times New Roman" w:hAnsi="Times New Roman" w:cs="Times New Roman"/>
                <w:sz w:val="16"/>
                <w:szCs w:val="16"/>
              </w:rPr>
              <w:t>Великобританія</w:t>
            </w:r>
            <w:r w:rsidRPr="00C4343A">
              <w:rPr>
                <w:rFonts w:ascii="Times New Roman" w:hAnsi="Times New Roman" w:cs="Times New Roman"/>
                <w:spacing w:val="-22"/>
                <w:sz w:val="16"/>
                <w:szCs w:val="16"/>
              </w:rPr>
              <w:t xml:space="preserve"> </w:t>
            </w:r>
            <w:r w:rsidRPr="00C4343A">
              <w:rPr>
                <w:rFonts w:ascii="Times New Roman" w:hAnsi="Times New Roman" w:cs="Times New Roman"/>
                <w:sz w:val="16"/>
                <w:szCs w:val="16"/>
              </w:rPr>
              <w:t>Німеччина, Франція</w:t>
            </w:r>
          </w:p>
        </w:tc>
        <w:tc>
          <w:tcPr>
            <w:tcW w:w="1335" w:type="dxa"/>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США, Австралія, Латинська Америка, ПАР</w:t>
            </w:r>
          </w:p>
        </w:tc>
      </w:tr>
      <w:tr w:rsidR="00B233DE" w:rsidRPr="00C4343A" w:rsidTr="0023489B">
        <w:trPr>
          <w:jc w:val="center"/>
        </w:trPr>
        <w:tc>
          <w:tcPr>
            <w:tcW w:w="542" w:type="dxa"/>
            <w:vAlign w:val="center"/>
          </w:tcPr>
          <w:p w:rsidR="00B233DE" w:rsidRPr="001D6086" w:rsidRDefault="00B233DE" w:rsidP="0023489B">
            <w:pPr>
              <w:tabs>
                <w:tab w:val="left" w:pos="2880"/>
              </w:tabs>
              <w:ind w:left="-59" w:right="-118" w:firstLine="0"/>
              <w:jc w:val="center"/>
              <w:rPr>
                <w:rFonts w:ascii="Times New Roman" w:hAnsi="Times New Roman" w:cs="Times New Roman"/>
                <w:sz w:val="16"/>
                <w:szCs w:val="16"/>
              </w:rPr>
            </w:pPr>
            <w:r>
              <w:rPr>
                <w:rFonts w:ascii="Times New Roman" w:hAnsi="Times New Roman" w:cs="Times New Roman"/>
                <w:sz w:val="16"/>
                <w:szCs w:val="16"/>
              </w:rPr>
              <w:t>1844-51 – 1890-96 р</w:t>
            </w:r>
            <w:r w:rsidRPr="001D6086">
              <w:rPr>
                <w:rFonts w:ascii="Times New Roman" w:hAnsi="Times New Roman" w:cs="Times New Roman"/>
                <w:sz w:val="16"/>
                <w:szCs w:val="16"/>
              </w:rPr>
              <w:t>р.</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ІІ</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Pr>
                <w:rFonts w:ascii="Times New Roman" w:hAnsi="Times New Roman" w:cs="Times New Roman"/>
                <w:sz w:val="16"/>
                <w:szCs w:val="16"/>
              </w:rPr>
              <w:t>1831-1880 р</w:t>
            </w:r>
            <w:r w:rsidRPr="00C4343A">
              <w:rPr>
                <w:rFonts w:ascii="Times New Roman" w:hAnsi="Times New Roman" w:cs="Times New Roman"/>
                <w:sz w:val="16"/>
                <w:szCs w:val="16"/>
              </w:rPr>
              <w:t>р.</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Паровий двигун, вугільна промис</w:t>
            </w:r>
            <w:r>
              <w:rPr>
                <w:rFonts w:ascii="Times New Roman" w:hAnsi="Times New Roman" w:cs="Times New Roman"/>
                <w:sz w:val="16"/>
                <w:szCs w:val="16"/>
              </w:rPr>
              <w:t>-</w:t>
            </w:r>
            <w:r w:rsidRPr="00C4343A">
              <w:rPr>
                <w:rFonts w:ascii="Times New Roman" w:hAnsi="Times New Roman" w:cs="Times New Roman"/>
                <w:sz w:val="16"/>
                <w:szCs w:val="16"/>
              </w:rPr>
              <w:t>ловість, машинобу</w:t>
            </w:r>
            <w:r>
              <w:rPr>
                <w:rFonts w:ascii="Times New Roman" w:hAnsi="Times New Roman" w:cs="Times New Roman"/>
                <w:sz w:val="16"/>
                <w:szCs w:val="16"/>
              </w:rPr>
              <w:t>-</w:t>
            </w:r>
            <w:r w:rsidRPr="00C4343A">
              <w:rPr>
                <w:rFonts w:ascii="Times New Roman" w:hAnsi="Times New Roman" w:cs="Times New Roman"/>
                <w:sz w:val="16"/>
                <w:szCs w:val="16"/>
              </w:rPr>
              <w:t>дування, чорна мета</w:t>
            </w:r>
            <w:r>
              <w:rPr>
                <w:rFonts w:ascii="Times New Roman" w:hAnsi="Times New Roman" w:cs="Times New Roman"/>
                <w:sz w:val="16"/>
                <w:szCs w:val="16"/>
              </w:rPr>
              <w:t>-</w:t>
            </w:r>
            <w:r w:rsidRPr="00C4343A">
              <w:rPr>
                <w:rFonts w:ascii="Times New Roman" w:hAnsi="Times New Roman" w:cs="Times New Roman"/>
                <w:sz w:val="16"/>
                <w:szCs w:val="16"/>
              </w:rPr>
              <w:t>лургія, верстатобуду</w:t>
            </w:r>
            <w:r>
              <w:rPr>
                <w:rFonts w:ascii="Times New Roman" w:hAnsi="Times New Roman" w:cs="Times New Roman"/>
                <w:sz w:val="16"/>
                <w:szCs w:val="16"/>
              </w:rPr>
              <w:t>-</w:t>
            </w:r>
            <w:r w:rsidRPr="00C4343A">
              <w:rPr>
                <w:rFonts w:ascii="Times New Roman" w:hAnsi="Times New Roman" w:cs="Times New Roman"/>
                <w:sz w:val="16"/>
                <w:szCs w:val="16"/>
              </w:rPr>
              <w:t xml:space="preserve">вання, залізничний та </w:t>
            </w:r>
            <w:r w:rsidRPr="001D6086">
              <w:rPr>
                <w:rFonts w:ascii="Times New Roman" w:hAnsi="Times New Roman" w:cs="Times New Roman"/>
                <w:spacing w:val="-6"/>
                <w:sz w:val="16"/>
                <w:szCs w:val="16"/>
              </w:rPr>
              <w:t>пароплавний транспорт</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Pr>
                <w:rFonts w:ascii="Times New Roman" w:hAnsi="Times New Roman" w:cs="Times New Roman"/>
                <w:sz w:val="16"/>
                <w:szCs w:val="16"/>
              </w:rPr>
              <w:t>Великобрита</w:t>
            </w:r>
            <w:r w:rsidRPr="00C4343A">
              <w:rPr>
                <w:rFonts w:ascii="Times New Roman" w:hAnsi="Times New Roman" w:cs="Times New Roman"/>
                <w:sz w:val="16"/>
                <w:szCs w:val="16"/>
              </w:rPr>
              <w:t>нія, Франція, США, Німеччина</w:t>
            </w:r>
          </w:p>
        </w:tc>
        <w:tc>
          <w:tcPr>
            <w:tcW w:w="1335" w:type="dxa"/>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США, Великобританія, Латинська Америка, ПАР</w:t>
            </w:r>
          </w:p>
        </w:tc>
      </w:tr>
      <w:tr w:rsidR="00B233DE" w:rsidRPr="00C4343A" w:rsidTr="0023489B">
        <w:trPr>
          <w:jc w:val="center"/>
        </w:trPr>
        <w:tc>
          <w:tcPr>
            <w:tcW w:w="542" w:type="dxa"/>
            <w:vAlign w:val="center"/>
          </w:tcPr>
          <w:p w:rsidR="00B233DE" w:rsidRPr="001D6086" w:rsidRDefault="00B233DE" w:rsidP="0023489B">
            <w:pPr>
              <w:tabs>
                <w:tab w:val="left" w:pos="2880"/>
              </w:tabs>
              <w:ind w:left="-59" w:right="-118" w:firstLine="0"/>
              <w:jc w:val="center"/>
              <w:rPr>
                <w:rFonts w:ascii="Times New Roman" w:hAnsi="Times New Roman" w:cs="Times New Roman"/>
                <w:sz w:val="16"/>
                <w:szCs w:val="16"/>
              </w:rPr>
            </w:pPr>
            <w:r>
              <w:rPr>
                <w:rFonts w:ascii="Times New Roman" w:hAnsi="Times New Roman" w:cs="Times New Roman"/>
                <w:sz w:val="16"/>
                <w:szCs w:val="16"/>
              </w:rPr>
              <w:t>1891-96 – 1929-33 р</w:t>
            </w:r>
            <w:r w:rsidRPr="001D6086">
              <w:rPr>
                <w:rFonts w:ascii="Times New Roman" w:hAnsi="Times New Roman" w:cs="Times New Roman"/>
                <w:sz w:val="16"/>
                <w:szCs w:val="16"/>
              </w:rPr>
              <w:t>р.</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ІІІ</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Pr>
                <w:rFonts w:ascii="Times New Roman" w:hAnsi="Times New Roman" w:cs="Times New Roman"/>
                <w:sz w:val="16"/>
                <w:szCs w:val="16"/>
              </w:rPr>
              <w:t>1881-1930 р</w:t>
            </w:r>
            <w:r w:rsidRPr="00C4343A">
              <w:rPr>
                <w:rFonts w:ascii="Times New Roman" w:hAnsi="Times New Roman" w:cs="Times New Roman"/>
                <w:sz w:val="16"/>
                <w:szCs w:val="16"/>
              </w:rPr>
              <w:t>р.</w:t>
            </w:r>
          </w:p>
        </w:tc>
        <w:tc>
          <w:tcPr>
            <w:tcW w:w="0" w:type="auto"/>
            <w:vAlign w:val="center"/>
          </w:tcPr>
          <w:p w:rsidR="00B233DE"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 xml:space="preserve">Електротехнічне </w:t>
            </w:r>
          </w:p>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та важке машино</w:t>
            </w:r>
            <w:r>
              <w:rPr>
                <w:rFonts w:ascii="Times New Roman" w:hAnsi="Times New Roman" w:cs="Times New Roman"/>
                <w:sz w:val="16"/>
                <w:szCs w:val="16"/>
              </w:rPr>
              <w:t>-</w:t>
            </w:r>
            <w:r w:rsidRPr="00C4343A">
              <w:rPr>
                <w:rFonts w:ascii="Times New Roman" w:hAnsi="Times New Roman" w:cs="Times New Roman"/>
                <w:sz w:val="16"/>
                <w:szCs w:val="16"/>
              </w:rPr>
              <w:t>будування, виробництво сталі, неорганічна хімія, суднобудування, лінії електропередач, стандартизація</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Pr>
                <w:rFonts w:ascii="Times New Roman" w:hAnsi="Times New Roman" w:cs="Times New Roman"/>
                <w:sz w:val="16"/>
                <w:szCs w:val="16"/>
              </w:rPr>
              <w:t>Великобрита</w:t>
            </w:r>
            <w:r w:rsidRPr="00C4343A">
              <w:rPr>
                <w:rFonts w:ascii="Times New Roman" w:hAnsi="Times New Roman" w:cs="Times New Roman"/>
                <w:sz w:val="16"/>
                <w:szCs w:val="16"/>
              </w:rPr>
              <w:t>нія, Франція, США, Німеччина</w:t>
            </w:r>
          </w:p>
        </w:tc>
        <w:tc>
          <w:tcPr>
            <w:tcW w:w="1335" w:type="dxa"/>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Латинська Америка, США, Канада, Австралія</w:t>
            </w:r>
          </w:p>
        </w:tc>
      </w:tr>
      <w:tr w:rsidR="00B233DE" w:rsidRPr="00C4343A" w:rsidTr="0023489B">
        <w:trPr>
          <w:jc w:val="center"/>
        </w:trPr>
        <w:tc>
          <w:tcPr>
            <w:tcW w:w="542" w:type="dxa"/>
            <w:vAlign w:val="center"/>
          </w:tcPr>
          <w:p w:rsidR="00B233DE" w:rsidRPr="001D6086" w:rsidRDefault="00B233DE" w:rsidP="0023489B">
            <w:pPr>
              <w:tabs>
                <w:tab w:val="left" w:pos="2880"/>
              </w:tabs>
              <w:ind w:left="-59" w:right="-118" w:firstLine="0"/>
              <w:jc w:val="center"/>
              <w:rPr>
                <w:rFonts w:ascii="Times New Roman" w:hAnsi="Times New Roman" w:cs="Times New Roman"/>
                <w:sz w:val="16"/>
                <w:szCs w:val="16"/>
              </w:rPr>
            </w:pPr>
            <w:r>
              <w:rPr>
                <w:rFonts w:ascii="Times New Roman" w:hAnsi="Times New Roman" w:cs="Times New Roman"/>
                <w:sz w:val="16"/>
                <w:szCs w:val="16"/>
              </w:rPr>
              <w:t>1929-33 – 1973-75 р</w:t>
            </w:r>
            <w:r w:rsidRPr="001D6086">
              <w:rPr>
                <w:rFonts w:ascii="Times New Roman" w:hAnsi="Times New Roman" w:cs="Times New Roman"/>
                <w:sz w:val="16"/>
                <w:szCs w:val="16"/>
              </w:rPr>
              <w:t>р.</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lang w:val="en-US"/>
              </w:rPr>
            </w:pPr>
            <w:r w:rsidRPr="00C4343A">
              <w:rPr>
                <w:rFonts w:ascii="Times New Roman" w:hAnsi="Times New Roman" w:cs="Times New Roman"/>
                <w:sz w:val="16"/>
                <w:szCs w:val="16"/>
              </w:rPr>
              <w:t>І</w:t>
            </w:r>
            <w:r w:rsidRPr="00C4343A">
              <w:rPr>
                <w:rFonts w:ascii="Times New Roman" w:hAnsi="Times New Roman" w:cs="Times New Roman"/>
                <w:sz w:val="16"/>
                <w:szCs w:val="16"/>
                <w:lang w:val="en-US"/>
              </w:rPr>
              <w:t>V</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Pr>
                <w:rFonts w:ascii="Times New Roman" w:hAnsi="Times New Roman" w:cs="Times New Roman"/>
                <w:sz w:val="16"/>
                <w:szCs w:val="16"/>
              </w:rPr>
              <w:t>1931-1980 р</w:t>
            </w:r>
            <w:r w:rsidRPr="00C4343A">
              <w:rPr>
                <w:rFonts w:ascii="Times New Roman" w:hAnsi="Times New Roman" w:cs="Times New Roman"/>
                <w:sz w:val="16"/>
                <w:szCs w:val="16"/>
              </w:rPr>
              <w:t>р.</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Синтетичні матеріали, органічна хімія, кольорова металургія, електронна промисловість, автомобілебудування, атомна енергетика</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Країни Європи, США, СРСР, Австралія, Японія</w:t>
            </w:r>
          </w:p>
        </w:tc>
        <w:tc>
          <w:tcPr>
            <w:tcW w:w="1335" w:type="dxa"/>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Країни Європи, США, Канада, Південно-Східна Азія, Близький Схід</w:t>
            </w:r>
          </w:p>
        </w:tc>
      </w:tr>
      <w:tr w:rsidR="00B233DE" w:rsidRPr="00C4343A" w:rsidTr="0023489B">
        <w:trPr>
          <w:jc w:val="center"/>
        </w:trPr>
        <w:tc>
          <w:tcPr>
            <w:tcW w:w="542" w:type="dxa"/>
            <w:vAlign w:val="center"/>
          </w:tcPr>
          <w:p w:rsidR="00B233DE" w:rsidRPr="001D6086" w:rsidRDefault="00B233DE" w:rsidP="0023489B">
            <w:pPr>
              <w:tabs>
                <w:tab w:val="left" w:pos="2880"/>
              </w:tabs>
              <w:ind w:left="-59" w:right="-118" w:firstLine="0"/>
              <w:jc w:val="center"/>
              <w:rPr>
                <w:rFonts w:ascii="Times New Roman" w:hAnsi="Times New Roman" w:cs="Times New Roman"/>
                <w:sz w:val="16"/>
                <w:szCs w:val="16"/>
              </w:rPr>
            </w:pPr>
            <w:r>
              <w:rPr>
                <w:rFonts w:ascii="Times New Roman" w:hAnsi="Times New Roman" w:cs="Times New Roman"/>
                <w:sz w:val="16"/>
                <w:szCs w:val="16"/>
              </w:rPr>
              <w:br w:type="page"/>
              <w:t>1973-75 – 2010-15 р</w:t>
            </w:r>
            <w:r w:rsidRPr="001D6086">
              <w:rPr>
                <w:rFonts w:ascii="Times New Roman" w:hAnsi="Times New Roman" w:cs="Times New Roman"/>
                <w:sz w:val="16"/>
                <w:szCs w:val="16"/>
              </w:rPr>
              <w:t>р.</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lang w:val="en-US"/>
              </w:rPr>
            </w:pPr>
            <w:r w:rsidRPr="00C4343A">
              <w:rPr>
                <w:rFonts w:ascii="Times New Roman" w:hAnsi="Times New Roman" w:cs="Times New Roman"/>
                <w:sz w:val="16"/>
                <w:szCs w:val="16"/>
                <w:lang w:val="en-US"/>
              </w:rPr>
              <w:t>V</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Pr>
                <w:rFonts w:ascii="Times New Roman" w:hAnsi="Times New Roman" w:cs="Times New Roman"/>
                <w:sz w:val="16"/>
                <w:szCs w:val="16"/>
              </w:rPr>
              <w:t>1990-2015 р</w:t>
            </w:r>
            <w:r w:rsidRPr="00C4343A">
              <w:rPr>
                <w:rFonts w:ascii="Times New Roman" w:hAnsi="Times New Roman" w:cs="Times New Roman"/>
                <w:sz w:val="16"/>
                <w:szCs w:val="16"/>
              </w:rPr>
              <w:t>р.</w:t>
            </w:r>
          </w:p>
          <w:p w:rsidR="00B233DE" w:rsidRPr="00C4343A" w:rsidRDefault="00B233DE" w:rsidP="0023489B">
            <w:pPr>
              <w:tabs>
                <w:tab w:val="left" w:pos="2880"/>
              </w:tabs>
              <w:ind w:left="-96" w:right="-118" w:firstLine="0"/>
              <w:jc w:val="center"/>
              <w:rPr>
                <w:rFonts w:ascii="Times New Roman" w:hAnsi="Times New Roman" w:cs="Times New Roman"/>
                <w:sz w:val="16"/>
                <w:szCs w:val="16"/>
              </w:rPr>
            </w:pP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Обчислювальна техніка, програмне забезпечення, телекомунікації, роботобудування, мікро- та оптично</w:t>
            </w:r>
            <w:r>
              <w:rPr>
                <w:rFonts w:ascii="Times New Roman" w:hAnsi="Times New Roman" w:cs="Times New Roman"/>
                <w:sz w:val="16"/>
                <w:szCs w:val="16"/>
              </w:rPr>
              <w:t>-</w:t>
            </w:r>
            <w:r w:rsidRPr="00C4343A">
              <w:rPr>
                <w:rFonts w:ascii="Times New Roman" w:hAnsi="Times New Roman" w:cs="Times New Roman"/>
                <w:sz w:val="16"/>
                <w:szCs w:val="16"/>
              </w:rPr>
              <w:t>волоконні технології</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Країни ЄС, Південно-Східної Азії, США</w:t>
            </w:r>
          </w:p>
        </w:tc>
        <w:tc>
          <w:tcPr>
            <w:tcW w:w="1335" w:type="dxa"/>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Країни ЄС, Південно-Східної Азії, США, Росія</w:t>
            </w:r>
          </w:p>
        </w:tc>
      </w:tr>
      <w:tr w:rsidR="00B233DE" w:rsidRPr="00C4343A" w:rsidTr="0023489B">
        <w:trPr>
          <w:jc w:val="center"/>
        </w:trPr>
        <w:tc>
          <w:tcPr>
            <w:tcW w:w="542" w:type="dxa"/>
            <w:vAlign w:val="center"/>
          </w:tcPr>
          <w:p w:rsidR="00B233DE" w:rsidRPr="001D6086" w:rsidRDefault="00B233DE" w:rsidP="0023489B">
            <w:pPr>
              <w:tabs>
                <w:tab w:val="left" w:pos="2880"/>
              </w:tabs>
              <w:ind w:left="-59" w:right="-118" w:firstLine="0"/>
              <w:jc w:val="center"/>
              <w:rPr>
                <w:rFonts w:ascii="Times New Roman" w:hAnsi="Times New Roman" w:cs="Times New Roman"/>
                <w:sz w:val="16"/>
                <w:szCs w:val="16"/>
              </w:rPr>
            </w:pPr>
            <w:r w:rsidRPr="001D6086">
              <w:rPr>
                <w:rFonts w:ascii="Times New Roman" w:hAnsi="Times New Roman" w:cs="Times New Roman"/>
                <w:sz w:val="16"/>
                <w:szCs w:val="16"/>
              </w:rPr>
              <w:t>1995-…</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lang w:val="en-US"/>
              </w:rPr>
              <w:t>VI</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1995-…</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Штучний інтелект, біотехнології, нанотехнології, оптоелектроніка, аерокосмічна промисловість</w:t>
            </w:r>
          </w:p>
        </w:tc>
        <w:tc>
          <w:tcPr>
            <w:tcW w:w="0" w:type="auto"/>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Країни ЄС, Південно-Східної Азії, США</w:t>
            </w:r>
          </w:p>
        </w:tc>
        <w:tc>
          <w:tcPr>
            <w:tcW w:w="1335" w:type="dxa"/>
            <w:vAlign w:val="center"/>
          </w:tcPr>
          <w:p w:rsidR="00B233DE" w:rsidRPr="00C4343A" w:rsidRDefault="00B233DE" w:rsidP="0023489B">
            <w:pPr>
              <w:tabs>
                <w:tab w:val="left" w:pos="2880"/>
              </w:tabs>
              <w:ind w:left="-96" w:right="-118" w:firstLine="0"/>
              <w:jc w:val="center"/>
              <w:rPr>
                <w:rFonts w:ascii="Times New Roman" w:hAnsi="Times New Roman" w:cs="Times New Roman"/>
                <w:sz w:val="16"/>
                <w:szCs w:val="16"/>
              </w:rPr>
            </w:pPr>
            <w:r w:rsidRPr="00C4343A">
              <w:rPr>
                <w:rFonts w:ascii="Times New Roman" w:hAnsi="Times New Roman" w:cs="Times New Roman"/>
                <w:sz w:val="16"/>
                <w:szCs w:val="16"/>
              </w:rPr>
              <w:t>Країни ЄС, Південно-Східної Азії, США, Росія</w:t>
            </w:r>
          </w:p>
        </w:tc>
      </w:tr>
    </w:tbl>
    <w:p w:rsidR="00B233DE" w:rsidRPr="00FC0D15" w:rsidRDefault="00B233DE" w:rsidP="00B233DE">
      <w:pPr>
        <w:tabs>
          <w:tab w:val="left" w:pos="2880"/>
        </w:tabs>
        <w:spacing w:line="360" w:lineRule="auto"/>
        <w:ind w:firstLine="720"/>
        <w:jc w:val="both"/>
        <w:rPr>
          <w:rFonts w:ascii="Times New Roman" w:hAnsi="Times New Roman" w:cs="Times New Roman"/>
          <w:spacing w:val="-10"/>
          <w:sz w:val="18"/>
          <w:szCs w:val="18"/>
        </w:rPr>
      </w:pPr>
      <w:r w:rsidRPr="00FC0D15">
        <w:rPr>
          <w:rFonts w:ascii="Times New Roman" w:hAnsi="Times New Roman" w:cs="Times New Roman"/>
          <w:sz w:val="18"/>
          <w:szCs w:val="18"/>
        </w:rPr>
        <w:t xml:space="preserve">* - складено автором </w:t>
      </w:r>
      <w:r>
        <w:rPr>
          <w:rFonts w:ascii="Times New Roman" w:hAnsi="Times New Roman" w:cs="Times New Roman"/>
          <w:sz w:val="18"/>
          <w:szCs w:val="18"/>
        </w:rPr>
        <w:t xml:space="preserve">розділом </w:t>
      </w:r>
      <w:r w:rsidRPr="00FC0D15">
        <w:rPr>
          <w:rFonts w:ascii="Times New Roman" w:hAnsi="Times New Roman" w:cs="Times New Roman"/>
          <w:sz w:val="18"/>
          <w:szCs w:val="18"/>
        </w:rPr>
        <w:t xml:space="preserve">на основі аналізу </w:t>
      </w:r>
      <w:r w:rsidRPr="00FC0D15">
        <w:rPr>
          <w:rFonts w:ascii="Times New Roman" w:hAnsi="Times New Roman" w:cs="Times New Roman"/>
          <w:spacing w:val="-10"/>
          <w:sz w:val="18"/>
          <w:szCs w:val="18"/>
        </w:rPr>
        <w:t>[</w:t>
      </w:r>
      <w:r>
        <w:rPr>
          <w:rFonts w:ascii="Times New Roman" w:hAnsi="Times New Roman" w:cs="Times New Roman"/>
          <w:spacing w:val="-10"/>
          <w:sz w:val="18"/>
          <w:szCs w:val="18"/>
          <w:highlight w:val="yellow"/>
        </w:rPr>
        <w:fldChar w:fldCharType="begin"/>
      </w:r>
      <w:r>
        <w:rPr>
          <w:rFonts w:ascii="Times New Roman" w:hAnsi="Times New Roman" w:cs="Times New Roman"/>
          <w:spacing w:val="-10"/>
          <w:sz w:val="18"/>
          <w:szCs w:val="18"/>
        </w:rPr>
        <w:instrText xml:space="preserve"> REF _Ref435181984 \r \h </w:instrText>
      </w:r>
      <w:r>
        <w:rPr>
          <w:rFonts w:ascii="Times New Roman" w:hAnsi="Times New Roman" w:cs="Times New Roman"/>
          <w:spacing w:val="-10"/>
          <w:sz w:val="18"/>
          <w:szCs w:val="18"/>
          <w:highlight w:val="yellow"/>
        </w:rPr>
      </w:r>
      <w:r>
        <w:rPr>
          <w:rFonts w:ascii="Times New Roman" w:hAnsi="Times New Roman" w:cs="Times New Roman"/>
          <w:spacing w:val="-10"/>
          <w:sz w:val="18"/>
          <w:szCs w:val="18"/>
          <w:highlight w:val="yellow"/>
        </w:rPr>
        <w:fldChar w:fldCharType="separate"/>
      </w:r>
      <w:r>
        <w:rPr>
          <w:rFonts w:ascii="Times New Roman" w:hAnsi="Times New Roman" w:cs="Times New Roman"/>
          <w:spacing w:val="-10"/>
          <w:sz w:val="18"/>
          <w:szCs w:val="18"/>
        </w:rPr>
        <w:t>23</w:t>
      </w:r>
      <w:r>
        <w:rPr>
          <w:rFonts w:ascii="Times New Roman" w:hAnsi="Times New Roman" w:cs="Times New Roman"/>
          <w:spacing w:val="-10"/>
          <w:sz w:val="18"/>
          <w:szCs w:val="18"/>
          <w:highlight w:val="yellow"/>
        </w:rPr>
        <w:fldChar w:fldCharType="end"/>
      </w:r>
      <w:r w:rsidRPr="00FC0D15">
        <w:rPr>
          <w:rFonts w:ascii="Times New Roman" w:hAnsi="Times New Roman" w:cs="Times New Roman"/>
          <w:spacing w:val="-10"/>
          <w:sz w:val="18"/>
          <w:szCs w:val="18"/>
        </w:rPr>
        <w:t xml:space="preserve">, </w:t>
      </w:r>
      <w:r>
        <w:rPr>
          <w:rFonts w:ascii="Times New Roman" w:hAnsi="Times New Roman" w:cs="Times New Roman"/>
          <w:spacing w:val="-10"/>
          <w:sz w:val="18"/>
          <w:szCs w:val="18"/>
          <w:highlight w:val="yellow"/>
        </w:rPr>
        <w:fldChar w:fldCharType="begin"/>
      </w:r>
      <w:r>
        <w:rPr>
          <w:rFonts w:ascii="Times New Roman" w:hAnsi="Times New Roman" w:cs="Times New Roman"/>
          <w:spacing w:val="-10"/>
          <w:sz w:val="18"/>
          <w:szCs w:val="18"/>
        </w:rPr>
        <w:instrText xml:space="preserve"> REF _Ref435182106 \r \h </w:instrText>
      </w:r>
      <w:r>
        <w:rPr>
          <w:rFonts w:ascii="Times New Roman" w:hAnsi="Times New Roman" w:cs="Times New Roman"/>
          <w:spacing w:val="-10"/>
          <w:sz w:val="18"/>
          <w:szCs w:val="18"/>
          <w:highlight w:val="yellow"/>
        </w:rPr>
      </w:r>
      <w:r>
        <w:rPr>
          <w:rFonts w:ascii="Times New Roman" w:hAnsi="Times New Roman" w:cs="Times New Roman"/>
          <w:spacing w:val="-10"/>
          <w:sz w:val="18"/>
          <w:szCs w:val="18"/>
          <w:highlight w:val="yellow"/>
        </w:rPr>
        <w:fldChar w:fldCharType="separate"/>
      </w:r>
      <w:r>
        <w:rPr>
          <w:rFonts w:ascii="Times New Roman" w:hAnsi="Times New Roman" w:cs="Times New Roman"/>
          <w:spacing w:val="-10"/>
          <w:sz w:val="18"/>
          <w:szCs w:val="18"/>
        </w:rPr>
        <w:t>48</w:t>
      </w:r>
      <w:r>
        <w:rPr>
          <w:rFonts w:ascii="Times New Roman" w:hAnsi="Times New Roman" w:cs="Times New Roman"/>
          <w:spacing w:val="-10"/>
          <w:sz w:val="18"/>
          <w:szCs w:val="18"/>
          <w:highlight w:val="yellow"/>
        </w:rPr>
        <w:fldChar w:fldCharType="end"/>
      </w:r>
      <w:r w:rsidRPr="00FC0D15">
        <w:rPr>
          <w:rFonts w:ascii="Times New Roman" w:hAnsi="Times New Roman" w:cs="Times New Roman"/>
          <w:spacing w:val="-10"/>
          <w:sz w:val="18"/>
          <w:szCs w:val="18"/>
        </w:rPr>
        <w:t xml:space="preserve">, </w:t>
      </w:r>
      <w:r>
        <w:rPr>
          <w:rFonts w:ascii="Times New Roman" w:hAnsi="Times New Roman" w:cs="Times New Roman"/>
          <w:spacing w:val="-10"/>
          <w:sz w:val="18"/>
          <w:szCs w:val="18"/>
          <w:highlight w:val="yellow"/>
        </w:rPr>
        <w:fldChar w:fldCharType="begin"/>
      </w:r>
      <w:r>
        <w:rPr>
          <w:rFonts w:ascii="Times New Roman" w:hAnsi="Times New Roman" w:cs="Times New Roman"/>
          <w:spacing w:val="-10"/>
          <w:sz w:val="18"/>
          <w:szCs w:val="18"/>
        </w:rPr>
        <w:instrText xml:space="preserve"> REF _Ref435182114 \r \h </w:instrText>
      </w:r>
      <w:r>
        <w:rPr>
          <w:rFonts w:ascii="Times New Roman" w:hAnsi="Times New Roman" w:cs="Times New Roman"/>
          <w:spacing w:val="-10"/>
          <w:sz w:val="18"/>
          <w:szCs w:val="18"/>
          <w:highlight w:val="yellow"/>
        </w:rPr>
      </w:r>
      <w:r>
        <w:rPr>
          <w:rFonts w:ascii="Times New Roman" w:hAnsi="Times New Roman" w:cs="Times New Roman"/>
          <w:spacing w:val="-10"/>
          <w:sz w:val="18"/>
          <w:szCs w:val="18"/>
          <w:highlight w:val="yellow"/>
        </w:rPr>
        <w:fldChar w:fldCharType="separate"/>
      </w:r>
      <w:r>
        <w:rPr>
          <w:rFonts w:ascii="Times New Roman" w:hAnsi="Times New Roman" w:cs="Times New Roman"/>
          <w:spacing w:val="-10"/>
          <w:sz w:val="18"/>
          <w:szCs w:val="18"/>
        </w:rPr>
        <w:t>4</w:t>
      </w:r>
      <w:r>
        <w:rPr>
          <w:rFonts w:ascii="Times New Roman" w:hAnsi="Times New Roman" w:cs="Times New Roman"/>
          <w:spacing w:val="-10"/>
          <w:sz w:val="18"/>
          <w:szCs w:val="18"/>
          <w:highlight w:val="yellow"/>
        </w:rPr>
        <w:fldChar w:fldCharType="end"/>
      </w:r>
      <w:r w:rsidRPr="00FC0D15">
        <w:rPr>
          <w:rFonts w:ascii="Times New Roman" w:hAnsi="Times New Roman" w:cs="Times New Roman"/>
          <w:spacing w:val="-10"/>
          <w:sz w:val="18"/>
          <w:szCs w:val="18"/>
        </w:rPr>
        <w:t xml:space="preserve">, </w:t>
      </w:r>
      <w:r>
        <w:rPr>
          <w:rFonts w:ascii="Times New Roman" w:hAnsi="Times New Roman" w:cs="Times New Roman"/>
          <w:spacing w:val="-8"/>
          <w:sz w:val="18"/>
          <w:szCs w:val="18"/>
          <w:highlight w:val="yellow"/>
          <w:lang w:val="en-GB"/>
        </w:rPr>
        <w:fldChar w:fldCharType="begin"/>
      </w:r>
      <w:r>
        <w:rPr>
          <w:rFonts w:ascii="Times New Roman" w:hAnsi="Times New Roman" w:cs="Times New Roman"/>
          <w:spacing w:val="-10"/>
          <w:sz w:val="18"/>
          <w:szCs w:val="18"/>
        </w:rPr>
        <w:instrText xml:space="preserve"> REF _Ref435182124 \r \h </w:instrText>
      </w:r>
      <w:r>
        <w:rPr>
          <w:rFonts w:ascii="Times New Roman" w:hAnsi="Times New Roman" w:cs="Times New Roman"/>
          <w:spacing w:val="-8"/>
          <w:sz w:val="18"/>
          <w:szCs w:val="18"/>
          <w:highlight w:val="yellow"/>
          <w:lang w:val="en-GB"/>
        </w:rPr>
      </w:r>
      <w:r>
        <w:rPr>
          <w:rFonts w:ascii="Times New Roman" w:hAnsi="Times New Roman" w:cs="Times New Roman"/>
          <w:spacing w:val="-8"/>
          <w:sz w:val="18"/>
          <w:szCs w:val="18"/>
          <w:highlight w:val="yellow"/>
          <w:lang w:val="en-GB"/>
        </w:rPr>
        <w:fldChar w:fldCharType="separate"/>
      </w:r>
      <w:r>
        <w:rPr>
          <w:rFonts w:ascii="Times New Roman" w:hAnsi="Times New Roman" w:cs="Times New Roman"/>
          <w:spacing w:val="-10"/>
          <w:sz w:val="18"/>
          <w:szCs w:val="18"/>
        </w:rPr>
        <w:t>82</w:t>
      </w:r>
      <w:r>
        <w:rPr>
          <w:rFonts w:ascii="Times New Roman" w:hAnsi="Times New Roman" w:cs="Times New Roman"/>
          <w:spacing w:val="-8"/>
          <w:sz w:val="18"/>
          <w:szCs w:val="18"/>
          <w:highlight w:val="yellow"/>
          <w:lang w:val="en-GB"/>
        </w:rPr>
        <w:fldChar w:fldCharType="end"/>
      </w:r>
      <w:r w:rsidRPr="00FC0D15">
        <w:rPr>
          <w:rFonts w:ascii="Times New Roman" w:hAnsi="Times New Roman" w:cs="Times New Roman"/>
          <w:spacing w:val="-10"/>
          <w:sz w:val="18"/>
          <w:szCs w:val="18"/>
        </w:rPr>
        <w:t>]</w:t>
      </w:r>
    </w:p>
    <w:p w:rsidR="00B233DE" w:rsidRPr="00C4343A" w:rsidRDefault="00B233DE" w:rsidP="00B233DE">
      <w:pPr>
        <w:tabs>
          <w:tab w:val="left" w:pos="2880"/>
        </w:tabs>
        <w:ind w:firstLine="709"/>
        <w:jc w:val="both"/>
        <w:rPr>
          <w:rFonts w:ascii="Times New Roman" w:hAnsi="Times New Roman" w:cs="Times New Roman"/>
          <w:spacing w:val="-2"/>
          <w:sz w:val="21"/>
          <w:szCs w:val="21"/>
        </w:rPr>
      </w:pPr>
      <w:r w:rsidRPr="00C4343A">
        <w:rPr>
          <w:rFonts w:ascii="Times New Roman" w:hAnsi="Times New Roman" w:cs="Times New Roman"/>
          <w:spacing w:val="-2"/>
          <w:sz w:val="21"/>
          <w:szCs w:val="21"/>
        </w:rPr>
        <w:lastRenderedPageBreak/>
        <w:t xml:space="preserve">Під технологічним укладом розуміють загальний рівень технологій, що визначально впливає на сталість </w:t>
      </w:r>
      <w:hyperlink r:id="rId55" w:tooltip="Економіка (діяльність)" w:history="1">
        <w:r w:rsidRPr="00C4343A">
          <w:rPr>
            <w:rStyle w:val="aff"/>
            <w:rFonts w:ascii="Times New Roman" w:hAnsi="Times New Roman" w:cs="Times New Roman"/>
            <w:color w:val="auto"/>
            <w:spacing w:val="-2"/>
            <w:sz w:val="21"/>
            <w:szCs w:val="21"/>
            <w:u w:val="none"/>
          </w:rPr>
          <w:t>економіки</w:t>
        </w:r>
      </w:hyperlink>
      <w:r w:rsidRPr="00C4343A">
        <w:rPr>
          <w:rFonts w:ascii="Times New Roman" w:hAnsi="Times New Roman" w:cs="Times New Roman"/>
          <w:spacing w:val="-2"/>
          <w:sz w:val="21"/>
          <w:szCs w:val="21"/>
        </w:rPr>
        <w:t>, та є основною ознакою етапів розвитку цивілізації. Кожен технологічний уклад характеризується життєвим циклом, що водночас передує економічному циклу та спричинює його.</w:t>
      </w:r>
    </w:p>
    <w:p w:rsidR="00B233DE" w:rsidRDefault="00B233DE" w:rsidP="00B233DE">
      <w:pPr>
        <w:tabs>
          <w:tab w:val="left" w:pos="2880"/>
        </w:tabs>
        <w:ind w:firstLine="709"/>
        <w:jc w:val="both"/>
        <w:rPr>
          <w:rFonts w:ascii="Times New Roman" w:hAnsi="Times New Roman" w:cs="Times New Roman"/>
          <w:spacing w:val="-2"/>
          <w:sz w:val="21"/>
          <w:szCs w:val="21"/>
        </w:rPr>
      </w:pPr>
      <w:r w:rsidRPr="00C4343A">
        <w:rPr>
          <w:rFonts w:ascii="Times New Roman" w:hAnsi="Times New Roman" w:cs="Times New Roman"/>
          <w:spacing w:val="-2"/>
          <w:sz w:val="21"/>
          <w:szCs w:val="21"/>
        </w:rPr>
        <w:t>Періодичними циклами сучасної світової економіки є К-цикли тривалістю 40</w:t>
      </w:r>
      <w:r>
        <w:rPr>
          <w:rFonts w:ascii="Times New Roman" w:hAnsi="Times New Roman" w:cs="Times New Roman"/>
          <w:spacing w:val="-2"/>
          <w:sz w:val="21"/>
          <w:szCs w:val="21"/>
        </w:rPr>
        <w:t>–</w:t>
      </w:r>
      <w:r w:rsidRPr="00C4343A">
        <w:rPr>
          <w:rFonts w:ascii="Times New Roman" w:hAnsi="Times New Roman" w:cs="Times New Roman"/>
          <w:spacing w:val="-2"/>
          <w:sz w:val="21"/>
          <w:szCs w:val="21"/>
        </w:rPr>
        <w:t xml:space="preserve">60 років, що складаються з почергових фаз відносно високих та відносно низьких темпів економічного зростання. Найбільший вплив на розвиток соціально-економічних процесів мають середні (базові) цикли, що складаються з почергових фаз спаду (кризи), депресії, пожвавлення та підйому. На нашу думку, можна прослідкувати взаємозв’язок між базовим циклом економічних процесів і міграційним циклом Л. Кацелі (рис. </w:t>
      </w:r>
      <w:r>
        <w:rPr>
          <w:rFonts w:ascii="Times New Roman" w:hAnsi="Times New Roman" w:cs="Times New Roman"/>
          <w:spacing w:val="-2"/>
          <w:sz w:val="21"/>
          <w:szCs w:val="21"/>
        </w:rPr>
        <w:t>4.1</w:t>
      </w:r>
      <w:r w:rsidRPr="00C4343A">
        <w:rPr>
          <w:rFonts w:ascii="Times New Roman" w:hAnsi="Times New Roman" w:cs="Times New Roman"/>
          <w:spacing w:val="-2"/>
          <w:sz w:val="21"/>
          <w:szCs w:val="21"/>
        </w:rPr>
        <w:t xml:space="preserve">). </w:t>
      </w:r>
    </w:p>
    <w:p w:rsidR="00B233DE" w:rsidRDefault="00B233DE" w:rsidP="00B233DE">
      <w:pPr>
        <w:spacing w:line="360" w:lineRule="auto"/>
        <w:ind w:firstLine="0"/>
        <w:jc w:val="both"/>
        <w:rPr>
          <w:rFonts w:ascii="Times New Roman" w:hAnsi="Times New Roman" w:cs="Times New Roman"/>
          <w:sz w:val="21"/>
          <w:szCs w:val="21"/>
        </w:rPr>
      </w:pPr>
    </w:p>
    <w:p w:rsidR="00B233DE" w:rsidRPr="00C4343A" w:rsidRDefault="00EC2A0E" w:rsidP="00B233DE">
      <w:pPr>
        <w:spacing w:line="360" w:lineRule="auto"/>
        <w:ind w:firstLine="0"/>
        <w:jc w:val="both"/>
        <w:rPr>
          <w:rFonts w:ascii="Times New Roman" w:hAnsi="Times New Roman" w:cs="Times New Roman"/>
          <w:sz w:val="21"/>
          <w:szCs w:val="21"/>
        </w:rPr>
      </w:pPr>
      <w:r>
        <w:rPr>
          <w:rFonts w:ascii="Times New Roman" w:hAnsi="Times New Roman" w:cs="Times New Roman"/>
          <w:sz w:val="21"/>
          <w:szCs w:val="21"/>
        </w:rPr>
      </w:r>
      <w:r>
        <w:rPr>
          <w:rFonts w:ascii="Times New Roman" w:hAnsi="Times New Roman" w:cs="Times New Roman"/>
          <w:sz w:val="21"/>
          <w:szCs w:val="21"/>
        </w:rPr>
        <w:pict>
          <v:group id="_x0000_s1026" editas="canvas" style="width:314.25pt;height:168.9pt;mso-position-horizontal-relative:char;mso-position-vertical-relative:line" coordorigin="2563,4993" coordsize="6634,3519">
            <o:lock v:ext="edit" aspectratio="t"/>
            <v:shape id="_x0000_s1027" type="#_x0000_t75" style="position:absolute;left:2563;top:4993;width:6634;height:3519" o:preferrelative="f">
              <v:fill o:detectmouseclick="t"/>
              <v:path o:extrusionok="t" o:connecttype="none"/>
              <o:lock v:ext="edit" text="t"/>
            </v:shape>
            <v:group id="_x0000_s1028" style="position:absolute;left:2563;top:5132;width:6353;height:2659" coordorigin="2422,4993" coordsize="6494,2798">
              <v:shape id="_x0000_s1029" style="position:absolute;left:2422;top:5132;width:2965;height:2601" coordsize="4320,3360" path="m,c345,1620,690,3240,1080,3240,1470,3240,1920,,2340,v420,,930,3120,1260,3240c3930,3360,4125,2040,4320,720e" filled="f" strokeweight="1.25pt">
                <v:path arrowok="t"/>
              </v:shape>
              <v:shape id="_x0000_s1030" style="position:absolute;left:5952;top:5132;width:2964;height:2601" coordsize="4320,3360" path="m,c345,1620,690,3240,1080,3240,1470,3240,1920,,2340,v420,,930,3120,1260,3240c3930,3360,4125,2040,4320,720e" filled="f" strokeweight="1.25pt">
                <v:path arrowok="t"/>
              </v:shape>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s1031" type="#_x0000_t175" style="position:absolute;left:2846;top:7641;width:682;height:139" adj="7200" fillcolor="black">
                <v:shadow color="#868686"/>
                <v:textpath style="font-family:&quot;Times New Roman&quot;;font-size:9pt;v-text-kern:t" trim="t" fitpath="t" string="ДЕПРЕСІЯ"/>
              </v:shape>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s1032" type="#_x0000_t172" style="position:absolute;left:2525;top:5998;width:360;height:283;rotation:6580700fd" fillcolor="black">
                <v:shadow color="#868686"/>
                <v:textpath style="font-family:&quot;Times New Roman&quot;;font-size:8pt;v-text-kern:t" trim="t" fitpath="t" string="СПАД"/>
              </v:shape>
              <v:shape id="_x0000_s1033" type="#_x0000_t172" style="position:absolute;left:3303;top:6187;width:987;height:193;rotation:-4484609fd" fillcolor="black">
                <v:shadow color="#868686"/>
                <v:textpath style="font-family:&quot;Times New Roman&quot;;font-size:8pt;v-text-kern:t" trim="t" fitpath="t" string="ПОЖВАВЛЕННЯ"/>
              </v:shape>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034" type="#_x0000_t144" style="position:absolute;left:3834;top:4993;width:423;height:139" fillcolor="black">
                <v:shadow color="#868686"/>
                <v:textpath style="font-family:&quot;Times New Roman&quot;;font-size:8pt" fitshape="t" trim="t" string="ПІДЙОМ"/>
              </v:shape>
              <v:shape id="_x0000_s1035" type="#_x0000_t172" style="position:absolute;left:6054;top:6007;width:360;height:282;rotation:6580700fd" fillcolor="black">
                <v:shadow color="#868686"/>
                <v:textpath style="font-family:&quot;Times New Roman&quot;;font-size:8pt;v-text-kern:t" trim="t" fitpath="t" string="ВИЇЗД"/>
              </v:shape>
              <v:shape id="_x0000_s1036" type="#_x0000_t172" style="position:absolute;left:5837;top:7201;width:987;height:193;rotation:5294056fd" fillcolor="black">
                <v:shadow color="#868686"/>
                <v:textpath style="font-family:&quot;Times New Roman&quot;;font-size:8pt;v-text-kern:t" trim="t" fitpath="t" string="ПРИСТОСУВАННЯ"/>
              </v:shape>
              <v:shape id="_x0000_s1037" type="#_x0000_t172" style="position:absolute;left:6543;top:7201;width:987;height:193;rotation:-51504180fd" fillcolor="black">
                <v:shadow color="#868686"/>
                <v:textpath style="font-family:&quot;Times New Roman&quot;;font-size:8pt;v-text-kern:t" trim="t" fitpath="t" string="КОНСОЛІДАЦІЯ"/>
              </v:shape>
              <v:shape id="_x0000_s1038" type="#_x0000_t172" style="position:absolute;left:6826;top:6086;width:985;height:193;rotation:-51929740fd" fillcolor="black">
                <v:shadow color="#868686"/>
                <v:textpath style="font-family:&quot;Times New Roman&quot;;font-size:8pt;v-text-kern:t" trim="t" fitpath="t" string="ВЗАЄМОЗВ'ЯЗОК"/>
              </v:shape>
              <v:shape id="_x0000_s1039" type="#_x0000_t144" style="position:absolute;left:7222;top:4993;width:706;height:139" fillcolor="black">
                <v:shadow color="#868686"/>
                <v:textpath style="font-family:&quot;Times New Roman&quot;;font-size:8pt" fitshape="t" trim="t" string="РЕЕМІГРАЦІЯ"/>
              </v:shape>
            </v:group>
            <w10:wrap type="none"/>
            <w10:anchorlock/>
          </v:group>
        </w:pict>
      </w:r>
    </w:p>
    <w:p w:rsidR="00B233DE" w:rsidRPr="001D6086" w:rsidRDefault="00B233DE" w:rsidP="00B233DE">
      <w:pPr>
        <w:tabs>
          <w:tab w:val="left" w:pos="2880"/>
        </w:tabs>
        <w:ind w:firstLine="709"/>
        <w:jc w:val="center"/>
        <w:rPr>
          <w:rFonts w:ascii="Times New Roman" w:hAnsi="Times New Roman" w:cs="Times New Roman"/>
          <w:b/>
          <w:sz w:val="21"/>
          <w:szCs w:val="21"/>
        </w:rPr>
      </w:pPr>
      <w:r w:rsidRPr="001D6086">
        <w:rPr>
          <w:rFonts w:ascii="Times New Roman" w:hAnsi="Times New Roman" w:cs="Times New Roman"/>
          <w:b/>
          <w:sz w:val="21"/>
          <w:szCs w:val="21"/>
        </w:rPr>
        <w:t>Рис. 4.1. Фази базового циклу економічного розвитку</w:t>
      </w:r>
    </w:p>
    <w:p w:rsidR="00B233DE" w:rsidRPr="001D6086" w:rsidRDefault="00B233DE" w:rsidP="00B233DE">
      <w:pPr>
        <w:tabs>
          <w:tab w:val="left" w:pos="2880"/>
        </w:tabs>
        <w:ind w:firstLine="709"/>
        <w:jc w:val="center"/>
        <w:rPr>
          <w:rFonts w:ascii="Times New Roman" w:hAnsi="Times New Roman" w:cs="Times New Roman"/>
          <w:b/>
          <w:sz w:val="21"/>
          <w:szCs w:val="21"/>
        </w:rPr>
      </w:pPr>
      <w:r w:rsidRPr="001D6086">
        <w:rPr>
          <w:rFonts w:ascii="Times New Roman" w:hAnsi="Times New Roman" w:cs="Times New Roman"/>
          <w:b/>
          <w:sz w:val="21"/>
          <w:szCs w:val="21"/>
        </w:rPr>
        <w:t>та міграційного циклу*</w:t>
      </w:r>
    </w:p>
    <w:p w:rsidR="00B233DE" w:rsidRPr="001D6086" w:rsidRDefault="00B233DE" w:rsidP="00B233DE">
      <w:pPr>
        <w:shd w:val="clear" w:color="auto" w:fill="FFFFFF"/>
        <w:autoSpaceDE w:val="0"/>
        <w:autoSpaceDN w:val="0"/>
        <w:adjustRightInd w:val="0"/>
        <w:ind w:firstLine="709"/>
        <w:jc w:val="both"/>
        <w:rPr>
          <w:rFonts w:ascii="Times New Roman" w:hAnsi="Times New Roman" w:cs="Times New Roman"/>
          <w:sz w:val="18"/>
          <w:szCs w:val="18"/>
        </w:rPr>
      </w:pPr>
      <w:r>
        <w:rPr>
          <w:rFonts w:ascii="Times New Roman" w:hAnsi="Times New Roman" w:cs="Times New Roman"/>
          <w:sz w:val="18"/>
          <w:szCs w:val="18"/>
        </w:rPr>
        <w:t xml:space="preserve">* - </w:t>
      </w:r>
      <w:r w:rsidRPr="001D6086">
        <w:rPr>
          <w:rFonts w:ascii="Times New Roman" w:hAnsi="Times New Roman" w:cs="Times New Roman"/>
          <w:sz w:val="18"/>
          <w:szCs w:val="18"/>
        </w:rPr>
        <w:t>складено автором на</w:t>
      </w:r>
      <w:r>
        <w:rPr>
          <w:rFonts w:ascii="Times New Roman" w:hAnsi="Times New Roman" w:cs="Times New Roman"/>
          <w:sz w:val="18"/>
          <w:szCs w:val="18"/>
        </w:rPr>
        <w:t xml:space="preserve"> основі аналізу [</w:t>
      </w:r>
      <w:r>
        <w:rPr>
          <w:rFonts w:ascii="Times New Roman" w:hAnsi="Times New Roman" w:cs="Times New Roman"/>
          <w:sz w:val="21"/>
          <w:szCs w:val="21"/>
          <w:highlight w:val="yellow"/>
          <w:lang w:val="en-GB"/>
        </w:rPr>
        <w:fldChar w:fldCharType="begin"/>
      </w:r>
      <w:r>
        <w:rPr>
          <w:rFonts w:ascii="Times New Roman" w:hAnsi="Times New Roman" w:cs="Times New Roman"/>
          <w:sz w:val="18"/>
          <w:szCs w:val="18"/>
        </w:rPr>
        <w:instrText xml:space="preserve"> REF _Ref435182137 \r \h </w:instrText>
      </w:r>
      <w:r>
        <w:rPr>
          <w:rFonts w:ascii="Times New Roman" w:hAnsi="Times New Roman" w:cs="Times New Roman"/>
          <w:sz w:val="21"/>
          <w:szCs w:val="21"/>
          <w:highlight w:val="yellow"/>
          <w:lang w:val="en-GB"/>
        </w:rPr>
      </w:r>
      <w:r>
        <w:rPr>
          <w:rFonts w:ascii="Times New Roman" w:hAnsi="Times New Roman" w:cs="Times New Roman"/>
          <w:sz w:val="21"/>
          <w:szCs w:val="21"/>
          <w:highlight w:val="yellow"/>
          <w:lang w:val="en-GB"/>
        </w:rPr>
        <w:fldChar w:fldCharType="separate"/>
      </w:r>
      <w:r>
        <w:rPr>
          <w:rFonts w:ascii="Times New Roman" w:hAnsi="Times New Roman" w:cs="Times New Roman"/>
          <w:sz w:val="18"/>
          <w:szCs w:val="18"/>
        </w:rPr>
        <w:t>82</w:t>
      </w:r>
      <w:r>
        <w:rPr>
          <w:rFonts w:ascii="Times New Roman" w:hAnsi="Times New Roman" w:cs="Times New Roman"/>
          <w:sz w:val="21"/>
          <w:szCs w:val="21"/>
          <w:highlight w:val="yellow"/>
          <w:lang w:val="en-GB"/>
        </w:rPr>
        <w:fldChar w:fldCharType="end"/>
      </w:r>
      <w:r>
        <w:rPr>
          <w:rFonts w:ascii="Times New Roman" w:hAnsi="Times New Roman" w:cs="Times New Roman"/>
          <w:sz w:val="18"/>
          <w:szCs w:val="18"/>
        </w:rPr>
        <w:t xml:space="preserve">, </w:t>
      </w:r>
      <w:r>
        <w:rPr>
          <w:rFonts w:ascii="Times New Roman" w:hAnsi="Times New Roman" w:cs="Times New Roman"/>
          <w:sz w:val="18"/>
          <w:szCs w:val="18"/>
        </w:rPr>
        <w:fldChar w:fldCharType="begin"/>
      </w:r>
      <w:r>
        <w:rPr>
          <w:rFonts w:ascii="Times New Roman" w:hAnsi="Times New Roman" w:cs="Times New Roman"/>
          <w:sz w:val="18"/>
          <w:szCs w:val="18"/>
        </w:rPr>
        <w:instrText xml:space="preserve"> REF _Ref435181971 \r \h </w:instrText>
      </w:r>
      <w:r>
        <w:rPr>
          <w:rFonts w:ascii="Times New Roman" w:hAnsi="Times New Roman" w:cs="Times New Roman"/>
          <w:sz w:val="18"/>
          <w:szCs w:val="18"/>
        </w:rPr>
      </w:r>
      <w:r>
        <w:rPr>
          <w:rFonts w:ascii="Times New Roman" w:hAnsi="Times New Roman" w:cs="Times New Roman"/>
          <w:sz w:val="18"/>
          <w:szCs w:val="18"/>
        </w:rPr>
        <w:fldChar w:fldCharType="separate"/>
      </w:r>
      <w:r>
        <w:rPr>
          <w:rFonts w:ascii="Times New Roman" w:hAnsi="Times New Roman" w:cs="Times New Roman"/>
          <w:sz w:val="18"/>
          <w:szCs w:val="18"/>
        </w:rPr>
        <w:t>21</w:t>
      </w:r>
      <w:r>
        <w:rPr>
          <w:rFonts w:ascii="Times New Roman" w:hAnsi="Times New Roman" w:cs="Times New Roman"/>
          <w:sz w:val="18"/>
          <w:szCs w:val="18"/>
        </w:rPr>
        <w:fldChar w:fldCharType="end"/>
      </w:r>
      <w:r>
        <w:rPr>
          <w:rFonts w:ascii="Times New Roman" w:hAnsi="Times New Roman" w:cs="Times New Roman"/>
          <w:sz w:val="18"/>
          <w:szCs w:val="18"/>
        </w:rPr>
        <w:t xml:space="preserve">, </w:t>
      </w:r>
      <w:r>
        <w:rPr>
          <w:rFonts w:ascii="Times New Roman" w:hAnsi="Times New Roman" w:cs="Times New Roman"/>
          <w:sz w:val="18"/>
          <w:szCs w:val="18"/>
        </w:rPr>
        <w:fldChar w:fldCharType="begin"/>
      </w:r>
      <w:r>
        <w:rPr>
          <w:rFonts w:ascii="Times New Roman" w:hAnsi="Times New Roman" w:cs="Times New Roman"/>
          <w:sz w:val="18"/>
          <w:szCs w:val="18"/>
        </w:rPr>
        <w:instrText xml:space="preserve"> REF _Ref435182155 \r \h </w:instrText>
      </w:r>
      <w:r>
        <w:rPr>
          <w:rFonts w:ascii="Times New Roman" w:hAnsi="Times New Roman" w:cs="Times New Roman"/>
          <w:sz w:val="18"/>
          <w:szCs w:val="18"/>
        </w:rPr>
      </w:r>
      <w:r>
        <w:rPr>
          <w:rFonts w:ascii="Times New Roman" w:hAnsi="Times New Roman" w:cs="Times New Roman"/>
          <w:sz w:val="18"/>
          <w:szCs w:val="18"/>
        </w:rPr>
        <w:fldChar w:fldCharType="separate"/>
      </w:r>
      <w:r>
        <w:rPr>
          <w:rFonts w:ascii="Times New Roman" w:hAnsi="Times New Roman" w:cs="Times New Roman"/>
          <w:sz w:val="18"/>
          <w:szCs w:val="18"/>
        </w:rPr>
        <w:t>25</w:t>
      </w:r>
      <w:r>
        <w:rPr>
          <w:rFonts w:ascii="Times New Roman" w:hAnsi="Times New Roman" w:cs="Times New Roman"/>
          <w:sz w:val="18"/>
          <w:szCs w:val="18"/>
        </w:rPr>
        <w:fldChar w:fldCharType="end"/>
      </w:r>
      <w:r>
        <w:rPr>
          <w:rFonts w:ascii="Times New Roman" w:hAnsi="Times New Roman" w:cs="Times New Roman"/>
          <w:sz w:val="18"/>
          <w:szCs w:val="18"/>
        </w:rPr>
        <w:t>]</w:t>
      </w:r>
    </w:p>
    <w:p w:rsidR="00B233DE" w:rsidRPr="00C4343A" w:rsidRDefault="00B233DE" w:rsidP="00B233DE">
      <w:pPr>
        <w:shd w:val="clear" w:color="auto" w:fill="FFFFFF"/>
        <w:autoSpaceDE w:val="0"/>
        <w:autoSpaceDN w:val="0"/>
        <w:adjustRightInd w:val="0"/>
        <w:ind w:firstLine="709"/>
        <w:jc w:val="both"/>
        <w:rPr>
          <w:rFonts w:ascii="Times New Roman" w:hAnsi="Times New Roman" w:cs="Times New Roman"/>
          <w:sz w:val="21"/>
          <w:szCs w:val="21"/>
        </w:rPr>
      </w:pPr>
    </w:p>
    <w:p w:rsidR="00B233DE" w:rsidRPr="00C4343A" w:rsidRDefault="00B233DE" w:rsidP="00B233DE">
      <w:pPr>
        <w:tabs>
          <w:tab w:val="left" w:pos="2880"/>
        </w:tabs>
        <w:ind w:firstLine="709"/>
        <w:jc w:val="both"/>
        <w:rPr>
          <w:rFonts w:ascii="Times New Roman" w:hAnsi="Times New Roman" w:cs="Times New Roman"/>
          <w:spacing w:val="-2"/>
          <w:sz w:val="21"/>
          <w:szCs w:val="21"/>
        </w:rPr>
      </w:pPr>
      <w:r w:rsidRPr="00C4343A">
        <w:rPr>
          <w:rFonts w:ascii="Times New Roman" w:hAnsi="Times New Roman" w:cs="Times New Roman"/>
          <w:spacing w:val="-2"/>
          <w:sz w:val="21"/>
          <w:szCs w:val="21"/>
        </w:rPr>
        <w:t xml:space="preserve">Під час фази спаду у країні походження відбувається відтік людського потенціалу у вигляді еміграції населення в пошуках кращих умов життя і працевлаштування. В той час як країна походження переживає стадії депресії і часткового пожвавлення, емігранти проходять етапи пристосування і консолідації в країні призначення, сприяючи покращенню ситуації у рідній країні </w:t>
      </w:r>
      <w:r w:rsidRPr="00C4343A">
        <w:rPr>
          <w:rFonts w:ascii="Times New Roman" w:hAnsi="Times New Roman" w:cs="Times New Roman"/>
          <w:spacing w:val="-2"/>
          <w:sz w:val="21"/>
          <w:szCs w:val="21"/>
        </w:rPr>
        <w:lastRenderedPageBreak/>
        <w:t>надходженнями грошових переказів. На стадії взаємозв’язку емігранти ознайомлюються з новими можливостями працевлаш</w:t>
      </w:r>
      <w:r>
        <w:rPr>
          <w:rFonts w:ascii="Times New Roman" w:hAnsi="Times New Roman" w:cs="Times New Roman"/>
          <w:spacing w:val="-2"/>
          <w:sz w:val="21"/>
          <w:szCs w:val="21"/>
        </w:rPr>
        <w:t>-</w:t>
      </w:r>
      <w:r w:rsidRPr="00C4343A">
        <w:rPr>
          <w:rFonts w:ascii="Times New Roman" w:hAnsi="Times New Roman" w:cs="Times New Roman"/>
          <w:spacing w:val="-2"/>
          <w:sz w:val="21"/>
          <w:szCs w:val="21"/>
        </w:rPr>
        <w:t>тування і прожиття, що виникли в умовах пожвавлення у країні походження, та приймають рішення щодо рееміграції, що співпадає зі стадією підйому.</w:t>
      </w:r>
    </w:p>
    <w:p w:rsidR="00B233DE" w:rsidRPr="00C4343A" w:rsidRDefault="00B233DE" w:rsidP="00B233DE">
      <w:pPr>
        <w:tabs>
          <w:tab w:val="left" w:pos="2880"/>
        </w:tabs>
        <w:ind w:firstLine="709"/>
        <w:jc w:val="both"/>
        <w:rPr>
          <w:rFonts w:ascii="Times New Roman" w:hAnsi="Times New Roman" w:cs="Times New Roman"/>
          <w:sz w:val="21"/>
          <w:szCs w:val="21"/>
        </w:rPr>
      </w:pPr>
      <w:r w:rsidRPr="00C4343A">
        <w:rPr>
          <w:rFonts w:ascii="Times New Roman" w:hAnsi="Times New Roman" w:cs="Times New Roman"/>
          <w:spacing w:val="-2"/>
          <w:sz w:val="21"/>
          <w:szCs w:val="21"/>
        </w:rPr>
        <w:t>Наше бачення циклічності соціально-економічного розвитку та міграційних процесів узгоджується з дослідженням С. Пирожкова, який підкреслює, що під час довгої хвилі відбувається зміна технологічного способу виробництва, що визначає якісні зміни в освітньо-кваліфікаційній складовій людського потенціалу.</w:t>
      </w:r>
    </w:p>
    <w:p w:rsidR="00B233DE" w:rsidRPr="00C4343A" w:rsidRDefault="00B233DE" w:rsidP="00B233DE">
      <w:pPr>
        <w:shd w:val="clear" w:color="auto" w:fill="FFFFFF"/>
        <w:autoSpaceDE w:val="0"/>
        <w:autoSpaceDN w:val="0"/>
        <w:adjustRightInd w:val="0"/>
        <w:ind w:firstLine="709"/>
        <w:jc w:val="both"/>
        <w:rPr>
          <w:rFonts w:ascii="Times New Roman" w:hAnsi="Times New Roman" w:cs="Times New Roman"/>
          <w:sz w:val="21"/>
          <w:szCs w:val="21"/>
        </w:rPr>
      </w:pPr>
      <w:r w:rsidRPr="00C4343A">
        <w:rPr>
          <w:rFonts w:ascii="Times New Roman" w:hAnsi="Times New Roman" w:cs="Times New Roman"/>
          <w:sz w:val="21"/>
          <w:szCs w:val="21"/>
        </w:rPr>
        <w:t>Вирішальним джерелом змін кількісної основи людського потенціалу в межах довгої хвилі стає режим відтворення населення, який формує тип вікової структури і викликає її хвилеподібні коливання з часовим лагом в 17</w:t>
      </w:r>
      <w:r>
        <w:rPr>
          <w:rFonts w:ascii="Times New Roman" w:hAnsi="Times New Roman" w:cs="Times New Roman"/>
          <w:sz w:val="21"/>
          <w:szCs w:val="21"/>
        </w:rPr>
        <w:t>–2</w:t>
      </w:r>
      <w:r w:rsidRPr="00C4343A">
        <w:rPr>
          <w:rFonts w:ascii="Times New Roman" w:hAnsi="Times New Roman" w:cs="Times New Roman"/>
          <w:sz w:val="21"/>
          <w:szCs w:val="21"/>
        </w:rPr>
        <w:t xml:space="preserve">4 роки (періодом вступу нових поколінь до складу робочої сили та реалізацією людського потенціалу). З огляду на те, що країни світу знаходяться на різних етапах демографічного переходу (зміни </w:t>
      </w:r>
      <w:r>
        <w:rPr>
          <w:rFonts w:ascii="Times New Roman" w:hAnsi="Times New Roman" w:cs="Times New Roman"/>
          <w:sz w:val="21"/>
          <w:szCs w:val="21"/>
        </w:rPr>
        <w:t>зростання</w:t>
      </w:r>
      <w:r w:rsidRPr="00C4343A">
        <w:rPr>
          <w:rFonts w:ascii="Times New Roman" w:hAnsi="Times New Roman" w:cs="Times New Roman"/>
          <w:sz w:val="21"/>
          <w:szCs w:val="21"/>
        </w:rPr>
        <w:t xml:space="preserve"> на режим стабілізації </w:t>
      </w:r>
      <w:r>
        <w:rPr>
          <w:rFonts w:ascii="Times New Roman" w:hAnsi="Times New Roman" w:cs="Times New Roman"/>
          <w:sz w:val="21"/>
          <w:szCs w:val="21"/>
        </w:rPr>
        <w:t>чисельності</w:t>
      </w:r>
      <w:r w:rsidRPr="00C4343A">
        <w:rPr>
          <w:rFonts w:ascii="Times New Roman" w:hAnsi="Times New Roman" w:cs="Times New Roman"/>
          <w:sz w:val="21"/>
          <w:szCs w:val="21"/>
        </w:rPr>
        <w:t xml:space="preserve"> населення), одні з них відчувають нестачу людського потенціалу внаслідок кількісного скорочення населення, а інші – неможливість ефективного формування і реалізації людського потенціалу через значні обсяги зростання населення. Напруга у формуванні людського потенціалу в результаті несприятливого режиму відтворення населення для конкретної країни може бути компенсована його міграційним перерозподілом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_Ref435182164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47</w:t>
      </w:r>
      <w:r>
        <w:rPr>
          <w:rFonts w:ascii="Times New Roman" w:hAnsi="Times New Roman" w:cs="Times New Roman"/>
          <w:sz w:val="21"/>
          <w:szCs w:val="21"/>
          <w:highlight w:val="yellow"/>
        </w:rPr>
        <w:fldChar w:fldCharType="end"/>
      </w:r>
      <w:r w:rsidRPr="00C4343A">
        <w:rPr>
          <w:rFonts w:ascii="Times New Roman" w:hAnsi="Times New Roman" w:cs="Times New Roman"/>
          <w:sz w:val="21"/>
          <w:szCs w:val="21"/>
        </w:rPr>
        <w:t xml:space="preserve">, с. 431]. </w:t>
      </w:r>
    </w:p>
    <w:p w:rsidR="00B233DE" w:rsidRDefault="00B233DE" w:rsidP="00B233DE">
      <w:pPr>
        <w:tabs>
          <w:tab w:val="left" w:pos="2880"/>
        </w:tabs>
        <w:ind w:firstLine="709"/>
        <w:jc w:val="both"/>
        <w:rPr>
          <w:rFonts w:ascii="Times New Roman" w:hAnsi="Times New Roman" w:cs="Times New Roman"/>
          <w:sz w:val="21"/>
          <w:szCs w:val="21"/>
        </w:rPr>
      </w:pPr>
      <w:r w:rsidRPr="00C4343A">
        <w:rPr>
          <w:rFonts w:ascii="Times New Roman" w:hAnsi="Times New Roman" w:cs="Times New Roman"/>
          <w:sz w:val="21"/>
          <w:szCs w:val="21"/>
        </w:rPr>
        <w:t>На протязі історичного розвитку країни-лідери в технологічних досягненнях та країни з наявними вільними природ</w:t>
      </w:r>
      <w:r>
        <w:rPr>
          <w:rFonts w:ascii="Times New Roman" w:hAnsi="Times New Roman" w:cs="Times New Roman"/>
          <w:sz w:val="21"/>
          <w:szCs w:val="21"/>
        </w:rPr>
        <w:t>-</w:t>
      </w:r>
      <w:r w:rsidRPr="00C4343A">
        <w:rPr>
          <w:rFonts w:ascii="Times New Roman" w:hAnsi="Times New Roman" w:cs="Times New Roman"/>
          <w:sz w:val="21"/>
          <w:szCs w:val="21"/>
        </w:rPr>
        <w:t>ними ресурсами стають основними реципієнтами іноземного насе</w:t>
      </w:r>
      <w:r>
        <w:rPr>
          <w:rFonts w:ascii="Times New Roman" w:hAnsi="Times New Roman" w:cs="Times New Roman"/>
          <w:sz w:val="21"/>
          <w:szCs w:val="21"/>
        </w:rPr>
        <w:t>-</w:t>
      </w:r>
      <w:r w:rsidRPr="00C4343A">
        <w:rPr>
          <w:rFonts w:ascii="Times New Roman" w:hAnsi="Times New Roman" w:cs="Times New Roman"/>
          <w:sz w:val="21"/>
          <w:szCs w:val="21"/>
        </w:rPr>
        <w:t>лення. Міграційні потоки збільшувались з кожним роком до появи обмежувальної політики країн призначення (особливо США та Австралії) у 20-х роках ХХ століття, що пов’язано зі світовою еко</w:t>
      </w:r>
      <w:r>
        <w:rPr>
          <w:rFonts w:ascii="Times New Roman" w:hAnsi="Times New Roman" w:cs="Times New Roman"/>
          <w:sz w:val="21"/>
          <w:szCs w:val="21"/>
        </w:rPr>
        <w:t>-</w:t>
      </w:r>
      <w:r w:rsidRPr="00C4343A">
        <w:rPr>
          <w:rFonts w:ascii="Times New Roman" w:hAnsi="Times New Roman" w:cs="Times New Roman"/>
          <w:sz w:val="21"/>
          <w:szCs w:val="21"/>
        </w:rPr>
        <w:t>номічною кризою та значним безробіттям в національних еконо</w:t>
      </w:r>
      <w:r>
        <w:rPr>
          <w:rFonts w:ascii="Times New Roman" w:hAnsi="Times New Roman" w:cs="Times New Roman"/>
          <w:sz w:val="21"/>
          <w:szCs w:val="21"/>
        </w:rPr>
        <w:t>-</w:t>
      </w:r>
      <w:r w:rsidRPr="00C4343A">
        <w:rPr>
          <w:rFonts w:ascii="Times New Roman" w:hAnsi="Times New Roman" w:cs="Times New Roman"/>
          <w:sz w:val="21"/>
          <w:szCs w:val="21"/>
        </w:rPr>
        <w:t>міках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_Ref435182114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w:t>
      </w:r>
      <w:r>
        <w:rPr>
          <w:rFonts w:ascii="Times New Roman" w:hAnsi="Times New Roman" w:cs="Times New Roman"/>
          <w:sz w:val="21"/>
          <w:szCs w:val="21"/>
          <w:highlight w:val="yellow"/>
        </w:rPr>
        <w:fldChar w:fldCharType="end"/>
      </w:r>
      <w:r w:rsidRPr="00C4343A">
        <w:rPr>
          <w:rFonts w:ascii="Times New Roman" w:hAnsi="Times New Roman" w:cs="Times New Roman"/>
          <w:sz w:val="21"/>
          <w:szCs w:val="21"/>
        </w:rPr>
        <w:t>]. З початком Другої світової війни, післявоєнного бурх</w:t>
      </w:r>
      <w:r>
        <w:rPr>
          <w:rFonts w:ascii="Times New Roman" w:hAnsi="Times New Roman" w:cs="Times New Roman"/>
          <w:sz w:val="21"/>
          <w:szCs w:val="21"/>
        </w:rPr>
        <w:t>-</w:t>
      </w:r>
      <w:r w:rsidRPr="00C4343A">
        <w:rPr>
          <w:rFonts w:ascii="Times New Roman" w:hAnsi="Times New Roman" w:cs="Times New Roman"/>
          <w:sz w:val="21"/>
          <w:szCs w:val="21"/>
        </w:rPr>
        <w:t xml:space="preserve">ливого розвитку економіки та зміною 4-го та 5-го технологічного укладів світова міграційна хвиля поступово зростала, сягнувши 214 мільйонів чоловік на 2010 рік (рис. </w:t>
      </w:r>
      <w:r>
        <w:rPr>
          <w:rFonts w:ascii="Times New Roman" w:hAnsi="Times New Roman" w:cs="Times New Roman"/>
          <w:sz w:val="21"/>
          <w:szCs w:val="21"/>
        </w:rPr>
        <w:t>4.2</w:t>
      </w:r>
      <w:r w:rsidRPr="00C4343A">
        <w:rPr>
          <w:rFonts w:ascii="Times New Roman" w:hAnsi="Times New Roman" w:cs="Times New Roman"/>
          <w:sz w:val="21"/>
          <w:szCs w:val="21"/>
        </w:rPr>
        <w:t>) [</w:t>
      </w:r>
      <w:r>
        <w:rPr>
          <w:rFonts w:ascii="Times New Roman" w:hAnsi="Times New Roman" w:cs="Times New Roman"/>
          <w:spacing w:val="-8"/>
          <w:sz w:val="21"/>
          <w:szCs w:val="21"/>
          <w:highlight w:val="yellow"/>
          <w:lang w:val="en-GB"/>
        </w:rPr>
        <w:fldChar w:fldCharType="begin"/>
      </w:r>
      <w:r>
        <w:rPr>
          <w:rFonts w:ascii="Times New Roman" w:hAnsi="Times New Roman" w:cs="Times New Roman"/>
          <w:sz w:val="21"/>
          <w:szCs w:val="21"/>
        </w:rPr>
        <w:instrText xml:space="preserve"> REF _Ref435182124 \r \h </w:instrText>
      </w:r>
      <w:r>
        <w:rPr>
          <w:rFonts w:ascii="Times New Roman" w:hAnsi="Times New Roman" w:cs="Times New Roman"/>
          <w:spacing w:val="-8"/>
          <w:sz w:val="21"/>
          <w:szCs w:val="21"/>
          <w:highlight w:val="yellow"/>
          <w:lang w:val="en-GB"/>
        </w:rPr>
      </w:r>
      <w:r>
        <w:rPr>
          <w:rFonts w:ascii="Times New Roman" w:hAnsi="Times New Roman" w:cs="Times New Roman"/>
          <w:spacing w:val="-8"/>
          <w:sz w:val="21"/>
          <w:szCs w:val="21"/>
          <w:highlight w:val="yellow"/>
          <w:lang w:val="en-GB"/>
        </w:rPr>
        <w:fldChar w:fldCharType="separate"/>
      </w:r>
      <w:r>
        <w:rPr>
          <w:rFonts w:ascii="Times New Roman" w:hAnsi="Times New Roman" w:cs="Times New Roman"/>
          <w:sz w:val="21"/>
          <w:szCs w:val="21"/>
        </w:rPr>
        <w:t>82</w:t>
      </w:r>
      <w:r>
        <w:rPr>
          <w:rFonts w:ascii="Times New Roman" w:hAnsi="Times New Roman" w:cs="Times New Roman"/>
          <w:spacing w:val="-8"/>
          <w:sz w:val="21"/>
          <w:szCs w:val="21"/>
          <w:highlight w:val="yellow"/>
          <w:lang w:val="en-GB"/>
        </w:rPr>
        <w:fldChar w:fldCharType="end"/>
      </w:r>
      <w:r w:rsidRPr="00C4343A">
        <w:rPr>
          <w:rFonts w:ascii="Times New Roman" w:hAnsi="Times New Roman" w:cs="Times New Roman"/>
          <w:sz w:val="21"/>
          <w:szCs w:val="21"/>
        </w:rPr>
        <w:t>].</w:t>
      </w:r>
    </w:p>
    <w:p w:rsidR="00B233DE" w:rsidRDefault="00B233DE" w:rsidP="00B233DE">
      <w:pPr>
        <w:tabs>
          <w:tab w:val="left" w:pos="2880"/>
        </w:tabs>
        <w:ind w:firstLine="709"/>
        <w:jc w:val="both"/>
        <w:rPr>
          <w:rFonts w:ascii="Times New Roman" w:hAnsi="Times New Roman" w:cs="Times New Roman"/>
          <w:sz w:val="21"/>
          <w:szCs w:val="21"/>
        </w:rPr>
      </w:pPr>
      <w:r w:rsidRPr="00C4343A">
        <w:rPr>
          <w:rFonts w:ascii="Times New Roman" w:hAnsi="Times New Roman" w:cs="Times New Roman"/>
          <w:sz w:val="21"/>
          <w:szCs w:val="21"/>
        </w:rPr>
        <w:t xml:space="preserve">У 5-му технологічному укладі побудова інноваційної економіки обумовила утворення основних інноваційних регіонів: Європейського Союзу, США і Азіатського регіону, що, завдяки </w:t>
      </w:r>
      <w:r w:rsidRPr="00C4343A">
        <w:rPr>
          <w:rFonts w:ascii="Times New Roman" w:hAnsi="Times New Roman" w:cs="Times New Roman"/>
          <w:sz w:val="21"/>
          <w:szCs w:val="21"/>
        </w:rPr>
        <w:lastRenderedPageBreak/>
        <w:t xml:space="preserve">бурхливому розвитку, одночасно виступають центрами </w:t>
      </w:r>
      <w:r>
        <w:rPr>
          <w:rFonts w:ascii="Times New Roman" w:hAnsi="Times New Roman" w:cs="Times New Roman"/>
          <w:sz w:val="21"/>
          <w:szCs w:val="21"/>
        </w:rPr>
        <w:t>міжнародних міграцій</w:t>
      </w:r>
      <w:r w:rsidRPr="00C4343A">
        <w:rPr>
          <w:rFonts w:ascii="Times New Roman" w:hAnsi="Times New Roman" w:cs="Times New Roman"/>
          <w:sz w:val="21"/>
          <w:szCs w:val="21"/>
        </w:rPr>
        <w:t>.</w:t>
      </w:r>
    </w:p>
    <w:p w:rsidR="00B233DE" w:rsidRPr="00C4343A" w:rsidRDefault="00B233DE" w:rsidP="00B233DE">
      <w:pPr>
        <w:tabs>
          <w:tab w:val="left" w:pos="2880"/>
        </w:tabs>
        <w:ind w:firstLine="709"/>
        <w:jc w:val="both"/>
        <w:rPr>
          <w:rFonts w:ascii="Times New Roman" w:hAnsi="Times New Roman" w:cs="Times New Roman"/>
          <w:sz w:val="21"/>
          <w:szCs w:val="21"/>
        </w:rPr>
      </w:pPr>
    </w:p>
    <w:p w:rsidR="00B233DE" w:rsidRPr="00C4343A" w:rsidRDefault="00B233DE" w:rsidP="00B233DE">
      <w:pPr>
        <w:tabs>
          <w:tab w:val="left" w:pos="2880"/>
        </w:tabs>
        <w:spacing w:line="360" w:lineRule="auto"/>
        <w:ind w:firstLine="0"/>
        <w:jc w:val="both"/>
        <w:rPr>
          <w:rFonts w:ascii="Times New Roman" w:hAnsi="Times New Roman" w:cs="Times New Roman"/>
          <w:sz w:val="21"/>
          <w:szCs w:val="21"/>
        </w:rPr>
      </w:pPr>
      <w:r w:rsidRPr="00C4343A">
        <w:rPr>
          <w:rFonts w:ascii="Times New Roman" w:hAnsi="Times New Roman" w:cs="Times New Roman"/>
          <w:noProof/>
          <w:sz w:val="21"/>
          <w:szCs w:val="21"/>
          <w:lang w:val="ru-RU" w:eastAsia="ru-RU"/>
        </w:rPr>
        <mc:AlternateContent>
          <mc:Choice Requires="wpg">
            <w:drawing>
              <wp:inline distT="0" distB="0" distL="0" distR="0" wp14:anchorId="2E5AB616" wp14:editId="69082A34">
                <wp:extent cx="3865791" cy="3489960"/>
                <wp:effectExtent l="0" t="0" r="0" b="0"/>
                <wp:docPr id="765" name="Группа 7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65791" cy="3489960"/>
                          <a:chOff x="2221" y="1431"/>
                          <a:chExt cx="5814" cy="4555"/>
                        </a:xfrm>
                      </wpg:grpSpPr>
                      <wps:wsp>
                        <wps:cNvPr id="766" name="Text Box 114"/>
                        <wps:cNvSpPr txBox="1">
                          <a:spLocks noChangeArrowheads="1"/>
                        </wps:cNvSpPr>
                        <wps:spPr bwMode="auto">
                          <a:xfrm>
                            <a:off x="2535" y="2403"/>
                            <a:ext cx="5500" cy="276"/>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40F8" w:rsidRPr="007D3DAE" w:rsidRDefault="00BE40F8" w:rsidP="00B233DE">
                              <w:pPr>
                                <w:rPr>
                                  <w:rFonts w:ascii="Calibri" w:hAnsi="Calibri"/>
                                  <w:sz w:val="16"/>
                                  <w:szCs w:val="16"/>
                                </w:rPr>
                              </w:pPr>
                              <w:r w:rsidRPr="007D3DAE">
                                <w:rPr>
                                  <w:rFonts w:ascii="Calibri" w:hAnsi="Calibri"/>
                                  <w:sz w:val="16"/>
                                  <w:szCs w:val="16"/>
                                </w:rPr>
                                <w:t>1-ий К-цикл      2-ий К-цикл       3-ій К-цикл 4-ий К-цикл 5-ий К-цикл 6-ий Кцикл(прогноз)</w:t>
                              </w:r>
                            </w:p>
                          </w:txbxContent>
                        </wps:txbx>
                        <wps:bodyPr rot="0" vert="horz" wrap="square" lIns="91440" tIns="45720" rIns="91440" bIns="45720" anchor="t" anchorCtr="0" upright="1">
                          <a:noAutofit/>
                        </wps:bodyPr>
                      </wps:wsp>
                      <wpg:grpSp>
                        <wpg:cNvPr id="767" name="Group 115"/>
                        <wpg:cNvGrpSpPr>
                          <a:grpSpLocks/>
                        </wpg:cNvGrpSpPr>
                        <wpg:grpSpPr bwMode="auto">
                          <a:xfrm>
                            <a:off x="2221" y="1431"/>
                            <a:ext cx="5655" cy="4555"/>
                            <a:chOff x="2221" y="1431"/>
                            <a:chExt cx="5655" cy="4858"/>
                          </a:xfrm>
                        </wpg:grpSpPr>
                        <wps:wsp>
                          <wps:cNvPr id="768" name="Line 116"/>
                          <wps:cNvCnPr/>
                          <wps:spPr bwMode="auto">
                            <a:xfrm flipH="1" flipV="1">
                              <a:off x="2535" y="2126"/>
                              <a:ext cx="2" cy="388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69" name="Line 117"/>
                          <wps:cNvCnPr/>
                          <wps:spPr bwMode="auto">
                            <a:xfrm>
                              <a:off x="2535" y="6012"/>
                              <a:ext cx="5027"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0" name="Line 118"/>
                          <wps:cNvCnPr/>
                          <wps:spPr bwMode="auto">
                            <a:xfrm>
                              <a:off x="3006" y="6012"/>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1" name="Line 119"/>
                          <wps:cNvCnPr/>
                          <wps:spPr bwMode="auto">
                            <a:xfrm>
                              <a:off x="3006" y="5873"/>
                              <a:ext cx="1"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2" name="Line 120"/>
                          <wps:cNvCnPr/>
                          <wps:spPr bwMode="auto">
                            <a:xfrm>
                              <a:off x="3477" y="5873"/>
                              <a:ext cx="1"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3" name="Line 121"/>
                          <wps:cNvCnPr/>
                          <wps:spPr bwMode="auto">
                            <a:xfrm>
                              <a:off x="3949" y="5873"/>
                              <a:ext cx="2"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4" name="Line 122"/>
                          <wps:cNvCnPr/>
                          <wps:spPr bwMode="auto">
                            <a:xfrm>
                              <a:off x="4420" y="5873"/>
                              <a:ext cx="2"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5" name="Line 123"/>
                          <wps:cNvCnPr/>
                          <wps:spPr bwMode="auto">
                            <a:xfrm>
                              <a:off x="4891" y="5873"/>
                              <a:ext cx="3"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6" name="Line 124"/>
                          <wps:cNvCnPr/>
                          <wps:spPr bwMode="auto">
                            <a:xfrm>
                              <a:off x="5615" y="5873"/>
                              <a:ext cx="6"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7" name="Line 125"/>
                          <wps:cNvCnPr/>
                          <wps:spPr bwMode="auto">
                            <a:xfrm>
                              <a:off x="5940" y="5873"/>
                              <a:ext cx="4"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8" name="Line 126"/>
                          <wps:cNvCnPr/>
                          <wps:spPr bwMode="auto">
                            <a:xfrm>
                              <a:off x="6148" y="5873"/>
                              <a:ext cx="7"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9" name="Line 127"/>
                          <wps:cNvCnPr/>
                          <wps:spPr bwMode="auto">
                            <a:xfrm>
                              <a:off x="6620" y="5873"/>
                              <a:ext cx="6"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0" name="Text Box 128"/>
                          <wps:cNvSpPr txBox="1">
                            <a:spLocks noChangeArrowheads="1"/>
                          </wps:cNvSpPr>
                          <wps:spPr bwMode="auto">
                            <a:xfrm>
                              <a:off x="2221" y="6012"/>
                              <a:ext cx="5341" cy="277"/>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40F8" w:rsidRPr="007D3DAE" w:rsidRDefault="00BE40F8" w:rsidP="00B233DE">
                                <w:pPr>
                                  <w:rPr>
                                    <w:rFonts w:ascii="Calibri" w:hAnsi="Calibri"/>
                                    <w:b/>
                                    <w:sz w:val="18"/>
                                    <w:szCs w:val="18"/>
                                  </w:rPr>
                                </w:pPr>
                                <w:r w:rsidRPr="007D3DAE">
                                  <w:rPr>
                                    <w:rFonts w:ascii="Calibri" w:hAnsi="Calibri"/>
                                    <w:b/>
                                    <w:sz w:val="18"/>
                                    <w:szCs w:val="18"/>
                                  </w:rPr>
                                  <w:t>1780          1810      1840        1870        1900       1930     1955  1975   1995 2010       2040     2070</w:t>
                                </w:r>
                              </w:p>
                            </w:txbxContent>
                          </wps:txbx>
                          <wps:bodyPr rot="0" vert="horz" wrap="square" lIns="91440" tIns="45720" rIns="91440" bIns="45720" anchor="t" anchorCtr="0" upright="1">
                            <a:noAutofit/>
                          </wps:bodyPr>
                        </wps:wsp>
                        <wps:wsp>
                          <wps:cNvPr id="781" name="Line 129"/>
                          <wps:cNvCnPr/>
                          <wps:spPr bwMode="auto">
                            <a:xfrm>
                              <a:off x="7091" y="5873"/>
                              <a:ext cx="6"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2" name="Freeform 130"/>
                          <wps:cNvSpPr>
                            <a:spLocks/>
                          </wps:cNvSpPr>
                          <wps:spPr bwMode="auto">
                            <a:xfrm>
                              <a:off x="2535" y="2681"/>
                              <a:ext cx="4556" cy="3340"/>
                            </a:xfrm>
                            <a:custGeom>
                              <a:avLst/>
                              <a:gdLst>
                                <a:gd name="T0" fmla="*/ 0 w 5249"/>
                                <a:gd name="T1" fmla="*/ 4344 h 4356"/>
                                <a:gd name="T2" fmla="*/ 543 w 5249"/>
                                <a:gd name="T3" fmla="*/ 0 h 4356"/>
                                <a:gd name="T4" fmla="*/ 1086 w 5249"/>
                                <a:gd name="T5" fmla="*/ 4344 h 4356"/>
                                <a:gd name="T6" fmla="*/ 1629 w 5249"/>
                                <a:gd name="T7" fmla="*/ 0 h 4356"/>
                                <a:gd name="T8" fmla="*/ 2172 w 5249"/>
                                <a:gd name="T9" fmla="*/ 4344 h 4356"/>
                                <a:gd name="T10" fmla="*/ 2461 w 5249"/>
                                <a:gd name="T11" fmla="*/ 18 h 4356"/>
                                <a:gd name="T12" fmla="*/ 2715 w 5249"/>
                                <a:gd name="T13" fmla="*/ 4344 h 4356"/>
                                <a:gd name="T14" fmla="*/ 3166 w 5249"/>
                                <a:gd name="T15" fmla="*/ 3 h 4356"/>
                                <a:gd name="T16" fmla="*/ 3556 w 5249"/>
                                <a:gd name="T17" fmla="*/ 4354 h 4356"/>
                                <a:gd name="T18" fmla="*/ 3901 w 5249"/>
                                <a:gd name="T19" fmla="*/ 18 h 4356"/>
                                <a:gd name="T20" fmla="*/ 4163 w 5249"/>
                                <a:gd name="T21" fmla="*/ 4344 h 4356"/>
                                <a:gd name="T22" fmla="*/ 4706 w 5249"/>
                                <a:gd name="T23" fmla="*/ 0 h 4356"/>
                                <a:gd name="T24" fmla="*/ 5249 w 5249"/>
                                <a:gd name="T25" fmla="*/ 4344 h 43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5249" h="4356">
                                  <a:moveTo>
                                    <a:pt x="0" y="4344"/>
                                  </a:moveTo>
                                  <a:cubicBezTo>
                                    <a:pt x="181" y="2172"/>
                                    <a:pt x="362" y="0"/>
                                    <a:pt x="543" y="0"/>
                                  </a:cubicBezTo>
                                  <a:cubicBezTo>
                                    <a:pt x="724" y="0"/>
                                    <a:pt x="905" y="4344"/>
                                    <a:pt x="1086" y="4344"/>
                                  </a:cubicBezTo>
                                  <a:cubicBezTo>
                                    <a:pt x="1267" y="4344"/>
                                    <a:pt x="1448" y="0"/>
                                    <a:pt x="1629" y="0"/>
                                  </a:cubicBezTo>
                                  <a:cubicBezTo>
                                    <a:pt x="1810" y="0"/>
                                    <a:pt x="2033" y="4341"/>
                                    <a:pt x="2172" y="4344"/>
                                  </a:cubicBezTo>
                                  <a:cubicBezTo>
                                    <a:pt x="2311" y="4347"/>
                                    <a:pt x="2371" y="18"/>
                                    <a:pt x="2461" y="18"/>
                                  </a:cubicBezTo>
                                  <a:cubicBezTo>
                                    <a:pt x="2551" y="18"/>
                                    <a:pt x="2598" y="4346"/>
                                    <a:pt x="2715" y="4344"/>
                                  </a:cubicBezTo>
                                  <a:cubicBezTo>
                                    <a:pt x="2832" y="4342"/>
                                    <a:pt x="3026" y="1"/>
                                    <a:pt x="3166" y="3"/>
                                  </a:cubicBezTo>
                                  <a:cubicBezTo>
                                    <a:pt x="3306" y="5"/>
                                    <a:pt x="3434" y="4352"/>
                                    <a:pt x="3556" y="4354"/>
                                  </a:cubicBezTo>
                                  <a:cubicBezTo>
                                    <a:pt x="3678" y="4356"/>
                                    <a:pt x="3800" y="20"/>
                                    <a:pt x="3901" y="18"/>
                                  </a:cubicBezTo>
                                  <a:cubicBezTo>
                                    <a:pt x="4002" y="16"/>
                                    <a:pt x="4029" y="4347"/>
                                    <a:pt x="4163" y="4344"/>
                                  </a:cubicBezTo>
                                  <a:cubicBezTo>
                                    <a:pt x="4297" y="4341"/>
                                    <a:pt x="4525" y="0"/>
                                    <a:pt x="4706" y="0"/>
                                  </a:cubicBezTo>
                                  <a:cubicBezTo>
                                    <a:pt x="4887" y="0"/>
                                    <a:pt x="5068" y="2172"/>
                                    <a:pt x="5249" y="4344"/>
                                  </a:cubicBezTo>
                                </a:path>
                              </a:pathLst>
                            </a:cu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3" name="Line 131"/>
                          <wps:cNvCnPr/>
                          <wps:spPr bwMode="auto">
                            <a:xfrm>
                              <a:off x="5306" y="5873"/>
                              <a:ext cx="4"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784" name="Group 132"/>
                          <wpg:cNvGrpSpPr>
                            <a:grpSpLocks/>
                          </wpg:cNvGrpSpPr>
                          <wpg:grpSpPr bwMode="auto">
                            <a:xfrm>
                              <a:off x="2535" y="2681"/>
                              <a:ext cx="4556" cy="1"/>
                              <a:chOff x="2637" y="2681"/>
                              <a:chExt cx="4014" cy="1"/>
                            </a:xfrm>
                          </wpg:grpSpPr>
                          <wps:wsp>
                            <wps:cNvPr id="785" name="Line 133"/>
                            <wps:cNvCnPr/>
                            <wps:spPr bwMode="auto">
                              <a:xfrm>
                                <a:off x="2637" y="2681"/>
                                <a:ext cx="830" cy="0"/>
                              </a:xfrm>
                              <a:prstGeom prst="line">
                                <a:avLst/>
                              </a:prstGeom>
                              <a:noFill/>
                              <a:ln w="3175">
                                <a:solidFill>
                                  <a:srgbClr val="000000"/>
                                </a:solidFill>
                                <a:prstDash val="sysDot"/>
                                <a:round/>
                                <a:headEnd type="triangle" w="sm" len="sm"/>
                                <a:tailEnd type="triangle" w="sm" len="sm"/>
                              </a:ln>
                              <a:extLst>
                                <a:ext uri="{909E8E84-426E-40DD-AFC4-6F175D3DCCD1}">
                                  <a14:hiddenFill xmlns:a14="http://schemas.microsoft.com/office/drawing/2010/main">
                                    <a:noFill/>
                                  </a14:hiddenFill>
                                </a:ext>
                              </a:extLst>
                            </wps:spPr>
                            <wps:bodyPr/>
                          </wps:wsp>
                          <wps:wsp>
                            <wps:cNvPr id="786" name="Line 134"/>
                            <wps:cNvCnPr/>
                            <wps:spPr bwMode="auto">
                              <a:xfrm>
                                <a:off x="3467" y="2681"/>
                                <a:ext cx="831" cy="1"/>
                              </a:xfrm>
                              <a:prstGeom prst="line">
                                <a:avLst/>
                              </a:prstGeom>
                              <a:noFill/>
                              <a:ln w="3175">
                                <a:solidFill>
                                  <a:srgbClr val="000000"/>
                                </a:solidFill>
                                <a:prstDash val="sysDot"/>
                                <a:round/>
                                <a:headEnd type="triangle" w="sm" len="sm"/>
                                <a:tailEnd type="triangle" w="sm" len="sm"/>
                              </a:ln>
                              <a:extLst>
                                <a:ext uri="{909E8E84-426E-40DD-AFC4-6F175D3DCCD1}">
                                  <a14:hiddenFill xmlns:a14="http://schemas.microsoft.com/office/drawing/2010/main">
                                    <a:noFill/>
                                  </a14:hiddenFill>
                                </a:ext>
                              </a:extLst>
                            </wps:spPr>
                            <wps:bodyPr/>
                          </wps:wsp>
                          <wps:wsp>
                            <wps:cNvPr id="787" name="Line 135"/>
                            <wps:cNvCnPr/>
                            <wps:spPr bwMode="auto">
                              <a:xfrm>
                                <a:off x="4298" y="2681"/>
                                <a:ext cx="415" cy="0"/>
                              </a:xfrm>
                              <a:prstGeom prst="line">
                                <a:avLst/>
                              </a:prstGeom>
                              <a:noFill/>
                              <a:ln w="3175">
                                <a:solidFill>
                                  <a:srgbClr val="000000"/>
                                </a:solidFill>
                                <a:prstDash val="sysDot"/>
                                <a:round/>
                                <a:headEnd type="triangle" w="sm" len="sm"/>
                                <a:tailEnd type="triangle" w="sm" len="sm"/>
                              </a:ln>
                              <a:extLst>
                                <a:ext uri="{909E8E84-426E-40DD-AFC4-6F175D3DCCD1}">
                                  <a14:hiddenFill xmlns:a14="http://schemas.microsoft.com/office/drawing/2010/main">
                                    <a:noFill/>
                                  </a14:hiddenFill>
                                </a:ext>
                              </a:extLst>
                            </wps:spPr>
                            <wps:bodyPr/>
                          </wps:wsp>
                          <wps:wsp>
                            <wps:cNvPr id="788" name="Line 136"/>
                            <wps:cNvCnPr/>
                            <wps:spPr bwMode="auto">
                              <a:xfrm>
                                <a:off x="4713" y="2681"/>
                                <a:ext cx="692" cy="1"/>
                              </a:xfrm>
                              <a:prstGeom prst="line">
                                <a:avLst/>
                              </a:prstGeom>
                              <a:noFill/>
                              <a:ln w="3175">
                                <a:solidFill>
                                  <a:srgbClr val="000000"/>
                                </a:solidFill>
                                <a:prstDash val="sysDot"/>
                                <a:round/>
                                <a:headEnd type="triangle" w="sm" len="sm"/>
                                <a:tailEnd type="triangle" w="sm" len="sm"/>
                              </a:ln>
                              <a:extLst>
                                <a:ext uri="{909E8E84-426E-40DD-AFC4-6F175D3DCCD1}">
                                  <a14:hiddenFill xmlns:a14="http://schemas.microsoft.com/office/drawing/2010/main">
                                    <a:noFill/>
                                  </a14:hiddenFill>
                                </a:ext>
                              </a:extLst>
                            </wps:spPr>
                            <wps:bodyPr/>
                          </wps:wsp>
                          <wps:wsp>
                            <wps:cNvPr id="789" name="Line 137"/>
                            <wps:cNvCnPr/>
                            <wps:spPr bwMode="auto">
                              <a:xfrm>
                                <a:off x="5405" y="2681"/>
                                <a:ext cx="415" cy="1"/>
                              </a:xfrm>
                              <a:prstGeom prst="line">
                                <a:avLst/>
                              </a:prstGeom>
                              <a:noFill/>
                              <a:ln w="3175">
                                <a:solidFill>
                                  <a:srgbClr val="000000"/>
                                </a:solidFill>
                                <a:prstDash val="sysDot"/>
                                <a:round/>
                                <a:headEnd type="triangle" w="sm" len="sm"/>
                                <a:tailEnd type="triangle" w="sm" len="sm"/>
                              </a:ln>
                              <a:extLst>
                                <a:ext uri="{909E8E84-426E-40DD-AFC4-6F175D3DCCD1}">
                                  <a14:hiddenFill xmlns:a14="http://schemas.microsoft.com/office/drawing/2010/main">
                                    <a:noFill/>
                                  </a14:hiddenFill>
                                </a:ext>
                              </a:extLst>
                            </wps:spPr>
                            <wps:bodyPr/>
                          </wps:wsp>
                          <wps:wsp>
                            <wps:cNvPr id="790" name="Line 138"/>
                            <wps:cNvCnPr/>
                            <wps:spPr bwMode="auto">
                              <a:xfrm>
                                <a:off x="5820" y="2681"/>
                                <a:ext cx="831" cy="1"/>
                              </a:xfrm>
                              <a:prstGeom prst="line">
                                <a:avLst/>
                              </a:prstGeom>
                              <a:noFill/>
                              <a:ln w="3175">
                                <a:solidFill>
                                  <a:srgbClr val="000000"/>
                                </a:solidFill>
                                <a:prstDash val="sysDot"/>
                                <a:round/>
                                <a:headEnd type="triangle" w="sm" len="sm"/>
                                <a:tailEnd type="triangle" w="sm" len="sm"/>
                              </a:ln>
                              <a:extLst>
                                <a:ext uri="{909E8E84-426E-40DD-AFC4-6F175D3DCCD1}">
                                  <a14:hiddenFill xmlns:a14="http://schemas.microsoft.com/office/drawing/2010/main">
                                    <a:noFill/>
                                  </a14:hiddenFill>
                                </a:ext>
                              </a:extLst>
                            </wps:spPr>
                            <wps:bodyPr/>
                          </wps:wsp>
                        </wpg:grpSp>
                        <wps:wsp>
                          <wps:cNvPr id="791" name="Freeform 139"/>
                          <wps:cNvSpPr>
                            <a:spLocks/>
                          </wps:cNvSpPr>
                          <wps:spPr bwMode="auto">
                            <a:xfrm>
                              <a:off x="2535" y="3613"/>
                              <a:ext cx="4712" cy="2403"/>
                            </a:xfrm>
                            <a:custGeom>
                              <a:avLst/>
                              <a:gdLst>
                                <a:gd name="T0" fmla="*/ 0 w 5430"/>
                                <a:gd name="T1" fmla="*/ 3128 h 3133"/>
                                <a:gd name="T2" fmla="*/ 466 w 5430"/>
                                <a:gd name="T3" fmla="*/ 43 h 3133"/>
                                <a:gd name="T4" fmla="*/ 905 w 5430"/>
                                <a:gd name="T5" fmla="*/ 3128 h 3133"/>
                                <a:gd name="T6" fmla="*/ 1366 w 5430"/>
                                <a:gd name="T7" fmla="*/ 28 h 3133"/>
                                <a:gd name="T8" fmla="*/ 1810 w 5430"/>
                                <a:gd name="T9" fmla="*/ 3128 h 3133"/>
                                <a:gd name="T10" fmla="*/ 2281 w 5430"/>
                                <a:gd name="T11" fmla="*/ 44 h 3133"/>
                                <a:gd name="T12" fmla="*/ 2715 w 5430"/>
                                <a:gd name="T13" fmla="*/ 3128 h 3133"/>
                                <a:gd name="T14" fmla="*/ 3166 w 5430"/>
                                <a:gd name="T15" fmla="*/ 44 h 3133"/>
                                <a:gd name="T16" fmla="*/ 3620 w 5430"/>
                                <a:gd name="T17" fmla="*/ 3128 h 3133"/>
                                <a:gd name="T18" fmla="*/ 3901 w 5430"/>
                                <a:gd name="T19" fmla="*/ 29 h 3133"/>
                                <a:gd name="T20" fmla="*/ 4525 w 5430"/>
                                <a:gd name="T21" fmla="*/ 3128 h 3133"/>
                                <a:gd name="T22" fmla="*/ 4951 w 5430"/>
                                <a:gd name="T23" fmla="*/ 0 h 3133"/>
                                <a:gd name="T24" fmla="*/ 5430 w 5430"/>
                                <a:gd name="T25" fmla="*/ 3128 h 31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5430" h="3133">
                                  <a:moveTo>
                                    <a:pt x="0" y="3128"/>
                                  </a:moveTo>
                                  <a:cubicBezTo>
                                    <a:pt x="78" y="2614"/>
                                    <a:pt x="315" y="43"/>
                                    <a:pt x="466" y="43"/>
                                  </a:cubicBezTo>
                                  <a:cubicBezTo>
                                    <a:pt x="617" y="43"/>
                                    <a:pt x="755" y="3131"/>
                                    <a:pt x="905" y="3128"/>
                                  </a:cubicBezTo>
                                  <a:cubicBezTo>
                                    <a:pt x="1055" y="3125"/>
                                    <a:pt x="1215" y="28"/>
                                    <a:pt x="1366" y="28"/>
                                  </a:cubicBezTo>
                                  <a:cubicBezTo>
                                    <a:pt x="1517" y="28"/>
                                    <a:pt x="1658" y="3125"/>
                                    <a:pt x="1810" y="3128"/>
                                  </a:cubicBezTo>
                                  <a:cubicBezTo>
                                    <a:pt x="1962" y="3131"/>
                                    <a:pt x="2130" y="44"/>
                                    <a:pt x="2281" y="44"/>
                                  </a:cubicBezTo>
                                  <a:cubicBezTo>
                                    <a:pt x="2432" y="44"/>
                                    <a:pt x="2568" y="3128"/>
                                    <a:pt x="2715" y="3128"/>
                                  </a:cubicBezTo>
                                  <a:cubicBezTo>
                                    <a:pt x="2862" y="3128"/>
                                    <a:pt x="3015" y="44"/>
                                    <a:pt x="3166" y="44"/>
                                  </a:cubicBezTo>
                                  <a:cubicBezTo>
                                    <a:pt x="3317" y="44"/>
                                    <a:pt x="3498" y="3130"/>
                                    <a:pt x="3620" y="3128"/>
                                  </a:cubicBezTo>
                                  <a:cubicBezTo>
                                    <a:pt x="3742" y="3126"/>
                                    <a:pt x="3750" y="29"/>
                                    <a:pt x="3901" y="29"/>
                                  </a:cubicBezTo>
                                  <a:cubicBezTo>
                                    <a:pt x="4052" y="29"/>
                                    <a:pt x="4350" y="3133"/>
                                    <a:pt x="4525" y="3128"/>
                                  </a:cubicBezTo>
                                  <a:cubicBezTo>
                                    <a:pt x="4700" y="3123"/>
                                    <a:pt x="4800" y="0"/>
                                    <a:pt x="4951" y="0"/>
                                  </a:cubicBezTo>
                                  <a:cubicBezTo>
                                    <a:pt x="5102" y="0"/>
                                    <a:pt x="5330" y="2476"/>
                                    <a:pt x="5430" y="3128"/>
                                  </a:cubicBezTo>
                                </a:path>
                              </a:pathLst>
                            </a:custGeom>
                            <a:noFill/>
                            <a:ln w="15875">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2" name="Freeform 140"/>
                          <wps:cNvSpPr>
                            <a:spLocks/>
                          </wps:cNvSpPr>
                          <wps:spPr bwMode="auto">
                            <a:xfrm>
                              <a:off x="2518" y="4476"/>
                              <a:ext cx="5044" cy="1535"/>
                            </a:xfrm>
                            <a:custGeom>
                              <a:avLst/>
                              <a:gdLst>
                                <a:gd name="T0" fmla="*/ 0 w 5812"/>
                                <a:gd name="T1" fmla="*/ 195 h 2002"/>
                                <a:gd name="T2" fmla="*/ 2474 w 5812"/>
                                <a:gd name="T3" fmla="*/ 1995 h 2002"/>
                                <a:gd name="T4" fmla="*/ 4559 w 5812"/>
                                <a:gd name="T5" fmla="*/ 240 h 2002"/>
                                <a:gd name="T6" fmla="*/ 5812 w 5812"/>
                                <a:gd name="T7" fmla="*/ 555 h 2002"/>
                              </a:gdLst>
                              <a:ahLst/>
                              <a:cxnLst>
                                <a:cxn ang="0">
                                  <a:pos x="T0" y="T1"/>
                                </a:cxn>
                                <a:cxn ang="0">
                                  <a:pos x="T2" y="T3"/>
                                </a:cxn>
                                <a:cxn ang="0">
                                  <a:pos x="T4" y="T5"/>
                                </a:cxn>
                                <a:cxn ang="0">
                                  <a:pos x="T6" y="T7"/>
                                </a:cxn>
                              </a:cxnLst>
                              <a:rect l="0" t="0" r="r" b="b"/>
                              <a:pathLst>
                                <a:path w="5812" h="2002">
                                  <a:moveTo>
                                    <a:pt x="0" y="195"/>
                                  </a:moveTo>
                                  <a:cubicBezTo>
                                    <a:pt x="412" y="495"/>
                                    <a:pt x="1714" y="1988"/>
                                    <a:pt x="2474" y="1995"/>
                                  </a:cubicBezTo>
                                  <a:cubicBezTo>
                                    <a:pt x="3234" y="2002"/>
                                    <a:pt x="4003" y="480"/>
                                    <a:pt x="4559" y="240"/>
                                  </a:cubicBezTo>
                                  <a:cubicBezTo>
                                    <a:pt x="5115" y="0"/>
                                    <a:pt x="5551" y="490"/>
                                    <a:pt x="5812" y="555"/>
                                  </a:cubicBezTo>
                                </a:path>
                              </a:pathLst>
                            </a:custGeom>
                            <a:noFill/>
                            <a:ln w="222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3" name="Text Box 141"/>
                          <wps:cNvSpPr txBox="1">
                            <a:spLocks noChangeArrowheads="1"/>
                          </wps:cNvSpPr>
                          <wps:spPr bwMode="auto">
                            <a:xfrm>
                              <a:off x="3321" y="1431"/>
                              <a:ext cx="4555" cy="613"/>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40F8" w:rsidRPr="00D41BA3" w:rsidRDefault="00BE40F8" w:rsidP="00B233DE">
                                <w:pPr>
                                  <w:ind w:firstLine="0"/>
                                  <w:rPr>
                                    <w:rFonts w:ascii="Times New Roman" w:hAnsi="Times New Roman" w:cs="Times New Roman"/>
                                    <w:sz w:val="16"/>
                                    <w:szCs w:val="16"/>
                                  </w:rPr>
                                </w:pPr>
                                <w:r w:rsidRPr="00D41BA3">
                                  <w:rPr>
                                    <w:rFonts w:ascii="Times New Roman" w:hAnsi="Times New Roman" w:cs="Times New Roman"/>
                                    <w:sz w:val="16"/>
                                    <w:szCs w:val="16"/>
                                  </w:rPr>
                                  <w:t>Рівень економічного розвитку (довгі хвилі Кондратьєва)</w:t>
                                </w:r>
                              </w:p>
                              <w:p w:rsidR="00BE40F8" w:rsidRPr="00D41BA3" w:rsidRDefault="00BE40F8" w:rsidP="00B233DE">
                                <w:pPr>
                                  <w:ind w:firstLine="0"/>
                                  <w:rPr>
                                    <w:rFonts w:ascii="Times New Roman" w:hAnsi="Times New Roman" w:cs="Times New Roman"/>
                                    <w:sz w:val="16"/>
                                    <w:szCs w:val="16"/>
                                  </w:rPr>
                                </w:pPr>
                                <w:r w:rsidRPr="00D41BA3">
                                  <w:rPr>
                                    <w:rFonts w:ascii="Times New Roman" w:hAnsi="Times New Roman" w:cs="Times New Roman"/>
                                    <w:sz w:val="16"/>
                                    <w:szCs w:val="16"/>
                                  </w:rPr>
                                  <w:t>Рівень інноваційних досягнень (зміна технологічних укладів)</w:t>
                                </w:r>
                              </w:p>
                              <w:p w:rsidR="00BE40F8" w:rsidRPr="00D41BA3" w:rsidRDefault="00BE40F8" w:rsidP="00B233DE">
                                <w:pPr>
                                  <w:ind w:firstLine="0"/>
                                  <w:rPr>
                                    <w:rFonts w:ascii="Times New Roman" w:hAnsi="Times New Roman" w:cs="Times New Roman"/>
                                    <w:sz w:val="16"/>
                                    <w:szCs w:val="16"/>
                                  </w:rPr>
                                </w:pPr>
                                <w:r w:rsidRPr="00D41BA3">
                                  <w:rPr>
                                    <w:rFonts w:ascii="Times New Roman" w:hAnsi="Times New Roman" w:cs="Times New Roman"/>
                                    <w:sz w:val="16"/>
                                    <w:szCs w:val="16"/>
                                  </w:rPr>
                                  <w:t>Рівень міграції в країн</w:t>
                                </w:r>
                                <w:r>
                                  <w:rPr>
                                    <w:rFonts w:ascii="Times New Roman" w:hAnsi="Times New Roman" w:cs="Times New Roman"/>
                                    <w:sz w:val="16"/>
                                    <w:szCs w:val="16"/>
                                  </w:rPr>
                                  <w:t>ах-лідерах</w:t>
                                </w:r>
                              </w:p>
                            </w:txbxContent>
                          </wps:txbx>
                          <wps:bodyPr rot="0" vert="horz" wrap="square" lIns="91440" tIns="45720" rIns="91440" bIns="45720" anchor="t" anchorCtr="0" upright="1">
                            <a:noAutofit/>
                          </wps:bodyPr>
                        </wps:wsp>
                        <wps:wsp>
                          <wps:cNvPr id="794" name="Line 142"/>
                          <wps:cNvCnPr/>
                          <wps:spPr bwMode="auto">
                            <a:xfrm>
                              <a:off x="2535" y="1570"/>
                              <a:ext cx="628"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795" name="Line 143"/>
                          <wps:cNvCnPr/>
                          <wps:spPr bwMode="auto">
                            <a:xfrm>
                              <a:off x="2535" y="1708"/>
                              <a:ext cx="628" cy="0"/>
                            </a:xfrm>
                            <a:prstGeom prst="line">
                              <a:avLst/>
                            </a:prstGeom>
                            <a:noFill/>
                            <a:ln w="1587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796" name="Line 144"/>
                          <wps:cNvCnPr/>
                          <wps:spPr bwMode="auto">
                            <a:xfrm>
                              <a:off x="2535" y="1847"/>
                              <a:ext cx="628"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g:grpSp>
                    </wpg:wgp>
                  </a:graphicData>
                </a:graphic>
              </wp:inline>
            </w:drawing>
          </mc:Choice>
          <mc:Fallback>
            <w:pict>
              <v:group w14:anchorId="2E5AB616" id="Группа 765" o:spid="_x0000_s1312" style="width:304.4pt;height:274.8pt;mso-position-horizontal-relative:char;mso-position-vertical-relative:line" coordorigin="2221,1431" coordsize="5814,45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">
                <v:shape id="Text Box 114" o:spid="_x0000_s1313" type="#_x0000_t202" style="position:absolute;left:2535;top:2403;width:5500;height: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" stroked="f">
                  <v:fill opacity="0"/>
                  <v:textbox>
                    <w:txbxContent>
                      <w:p w:rsidR="00BE40F8" w:rsidRPr="007D3DAE" w:rsidRDefault="00BE40F8" w:rsidP="00B233DE">
                        <w:pPr>
                          <w:rPr>
                            <w:rFonts w:ascii="Calibri" w:hAnsi="Calibri"/>
                            <w:sz w:val="16"/>
                            <w:szCs w:val="16"/>
                          </w:rPr>
                        </w:pPr>
                        <w:r w:rsidRPr="007D3DAE">
                          <w:rPr>
                            <w:rFonts w:ascii="Calibri" w:hAnsi="Calibri"/>
                            <w:sz w:val="16"/>
                            <w:szCs w:val="16"/>
                          </w:rPr>
                          <w:t>1-ий К-цикл      2-ий К-цикл       3-ій К-цикл 4-ий К-цикл 5-ий К-цикл 6-ий Кцикл(прогноз)</w:t>
                        </w:r>
                      </w:p>
                    </w:txbxContent>
                  </v:textbox>
                </v:shape>
                <v:group id="Group 115" o:spid="_x0000_s1314" style="position:absolute;left:2221;top:1431;width:5655;height:4555" coordorigin="2221,1431" coordsize="5655,4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">
                  <v:line id="Line 116" o:spid="_x0000_s1315" style="position:absolute;flip:x y;visibility:visible;mso-wrap-style:square" from="2535,2126" to="2537,6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">
                    <v:stroke endarrow="block"/>
                  </v:line>
                  <v:line id="Line 117" o:spid="_x0000_s1316" style="position:absolute;visibility:visible;mso-wrap-style:square" from="2535,6012" to="7562,6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">
                    <v:stroke endarrow="block"/>
                  </v:line>
                  <v:line id="Line 118" o:spid="_x0000_s1317" style="position:absolute;visibility:visible;mso-wrap-style:square" from="3006,6012" to="3006,6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"/>
                  <v:line id="Line 119" o:spid="_x0000_s1318" style="position:absolute;visibility:visible;mso-wrap-style:square" from="3006,5873" to="3007,6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"/>
                  <v:line id="Line 120" o:spid="_x0000_s1319" style="position:absolute;visibility:visible;mso-wrap-style:square" from="3477,5873" to="3478,6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"/>
                  <v:line id="Line 121" o:spid="_x0000_s1320" style="position:absolute;visibility:visible;mso-wrap-style:square" from="3949,5873" to="3951,6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"/>
                  <v:line id="Line 122" o:spid="_x0000_s1321" style="position:absolute;visibility:visible;mso-wrap-style:square" from="4420,5873" to="4422,6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"/>
                  <v:line id="Line 123" o:spid="_x0000_s1322" style="position:absolute;visibility:visible;mso-wrap-style:square" from="4891,5873" to="4894,6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"/>
                  <v:line id="Line 124" o:spid="_x0000_s1323" style="position:absolute;visibility:visible;mso-wrap-style:square" from="5615,5873" to="5621,6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"/>
                  <v:line id="Line 125" o:spid="_x0000_s1324" style="position:absolute;visibility:visible;mso-wrap-style:square" from="5940,5873" to="5944,6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"/>
                  <v:line id="Line 126" o:spid="_x0000_s1325" style="position:absolute;visibility:visible;mso-wrap-style:square" from="6148,5873" to="6155,6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"/>
                  <v:line id="Line 127" o:spid="_x0000_s1326" style="position:absolute;visibility:visible;mso-wrap-style:square" from="6620,5873" to="6626,6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"/>
                  <v:shape id="Text Box 128" o:spid="_x0000_s1327" type="#_x0000_t202" style="position:absolute;left:2221;top:6012;width:5341;height: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" stroked="f">
                    <v:fill opacity="0"/>
                    <v:textbox>
                      <w:txbxContent>
                        <w:p w:rsidR="00BE40F8" w:rsidRPr="007D3DAE" w:rsidRDefault="00BE40F8" w:rsidP="00B233DE">
                          <w:pPr>
                            <w:rPr>
                              <w:rFonts w:ascii="Calibri" w:hAnsi="Calibri"/>
                              <w:b/>
                              <w:sz w:val="18"/>
                              <w:szCs w:val="18"/>
                            </w:rPr>
                          </w:pPr>
                          <w:r w:rsidRPr="007D3DAE">
                            <w:rPr>
                              <w:rFonts w:ascii="Calibri" w:hAnsi="Calibri"/>
                              <w:b/>
                              <w:sz w:val="18"/>
                              <w:szCs w:val="18"/>
                            </w:rPr>
                            <w:t>1780          1810      1840        1870        1900       1930     1955  1975   1995 2010       2040     2070</w:t>
                          </w:r>
                        </w:p>
                      </w:txbxContent>
                    </v:textbox>
                  </v:shape>
                  <v:line id="Line 129" o:spid="_x0000_s1328" style="position:absolute;visibility:visible;mso-wrap-style:square" from="7091,5873" to="7097,6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"/>
                  <v:shape id="Freeform 130" o:spid="_x0000_s1329" style="position:absolute;left:2535;top:2681;width:4556;height:3340;visibility:visible;mso-wrap-style:square;v-text-anchor:top" coordsize="5249,4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" path="m,4344c181,2172,362,,543,v181,,362,4344,543,4344c1267,4344,1448,,1629,v181,,404,4341,543,4344c2311,4347,2371,18,2461,18v90,,137,4328,254,4326c2832,4342,3026,1,3166,3v140,2,268,4349,390,4351c3678,4356,3800,20,3901,18v101,-2,128,4329,262,4326c4297,4341,4525,,4706,v181,,362,2172,543,4344e" filled="f" strokeweight="1.25pt">
                    <v:path arrowok="t" o:connecttype="custom" o:connectlocs="0,3331;471,0;943,3331;1414,0;1885,3331;2136,14;2357,3331;2748,2;3087,3338;3386,14;3613,3331;4085,0;4556,3331" o:connectangles="0,0,0,0,0,0,0,0,0,0,0,0,0"/>
                  </v:shape>
                  <v:line id="Line 131" o:spid="_x0000_s1330" style="position:absolute;visibility:visible;mso-wrap-style:square" from="5306,5873" to="5310,6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"/>
                  <v:group id="Group 132" o:spid="_x0000_s1331" style="position:absolute;left:2535;top:2681;width:4556;height:1" coordorigin="2637,2681" coordsize="401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">
                    <v:line id="Line 133" o:spid="_x0000_s1332" style="position:absolute;visibility:visible;mso-wrap-style:square" from="2637,2681" to="3467,2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" strokeweight=".25pt">
                      <v:stroke dashstyle="1 1" startarrow="block" startarrowwidth="narrow" startarrowlength="short" endarrow="block" endarrowwidth="narrow" endarrowlength="short"/>
                    </v:line>
                    <v:line id="Line 134" o:spid="_x0000_s1333" style="position:absolute;visibility:visible;mso-wrap-style:square" from="3467,2681" to="4298,26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" strokeweight=".25pt">
                      <v:stroke dashstyle="1 1" startarrow="block" startarrowwidth="narrow" startarrowlength="short" endarrow="block" endarrowwidth="narrow" endarrowlength="short"/>
                    </v:line>
                    <v:line id="Line 135" o:spid="_x0000_s1334" style="position:absolute;visibility:visible;mso-wrap-style:square" from="4298,2681" to="4713,2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" strokeweight=".25pt">
                      <v:stroke dashstyle="1 1" startarrow="block" startarrowwidth="narrow" startarrowlength="short" endarrow="block" endarrowwidth="narrow" endarrowlength="short"/>
                    </v:line>
                    <v:line id="Line 136" o:spid="_x0000_s1335" style="position:absolute;visibility:visible;mso-wrap-style:square" from="4713,2681" to="5405,26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" strokeweight=".25pt">
                      <v:stroke dashstyle="1 1" startarrow="block" startarrowwidth="narrow" startarrowlength="short" endarrow="block" endarrowwidth="narrow" endarrowlength="short"/>
                    </v:line>
                    <v:line id="Line 137" o:spid="_x0000_s1336" style="position:absolute;visibility:visible;mso-wrap-style:square" from="5405,2681" to="5820,26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" strokeweight=".25pt">
                      <v:stroke dashstyle="1 1" startarrow="block" startarrowwidth="narrow" startarrowlength="short" endarrow="block" endarrowwidth="narrow" endarrowlength="short"/>
                    </v:line>
                    <v:line id="Line 138" o:spid="_x0000_s1337" style="position:absolute;visibility:visible;mso-wrap-style:square" from="5820,2681" to="6651,26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" strokeweight=".25pt">
                      <v:stroke dashstyle="1 1" startarrow="block" startarrowwidth="narrow" startarrowlength="short" endarrow="block" endarrowwidth="narrow" endarrowlength="short"/>
                    </v:line>
                  </v:group>
                  <v:shape id="Freeform 139" o:spid="_x0000_s1338" style="position:absolute;left:2535;top:3613;width:4712;height:2403;visibility:visible;mso-wrap-style:square;v-text-anchor:top" coordsize="5430,31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" path="m,3128c78,2614,315,43,466,43v151,,289,3088,439,3085c1055,3125,1215,28,1366,28v151,,292,3097,444,3100c1962,3131,2130,44,2281,44v151,,287,3084,434,3084c2862,3128,3015,44,3166,44v151,,332,3086,454,3084c3742,3126,3750,29,3901,29v151,,449,3104,624,3099c4700,3123,4800,,4951,v151,,379,2476,479,3128e" filled="f" strokeweight="1.25pt">
                    <v:stroke dashstyle="1 1"/>
                    <v:path arrowok="t" o:connecttype="custom" o:connectlocs="0,2399;404,33;785,2399;1185,21;1571,2399;1979,34;2356,2399;2747,34;3141,2399;3385,22;3927,2399;4296,0;4712,2399" o:connectangles="0,0,0,0,0,0,0,0,0,0,0,0,0"/>
                  </v:shape>
                  <v:shape id="Freeform 140" o:spid="_x0000_s1339" style="position:absolute;left:2518;top:4476;width:5044;height:1535;visibility:visible;mso-wrap-style:square;v-text-anchor:top" coordsize="5812,2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" path="m,195c412,495,1714,1988,2474,1995,3234,2002,4003,480,4559,240,5115,,5551,490,5812,555e" filled="f" strokeweight="1.75pt">
                    <v:path arrowok="t" o:connecttype="custom" o:connectlocs="0,150;2147,1530;3957,184;5044,426" o:connectangles="0,0,0,0"/>
                  </v:shape>
                  <v:shape id="Text Box 141" o:spid="_x0000_s1340" type="#_x0000_t202" style="position:absolute;left:3321;top:1431;width:4555;height:6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" stroked="f">
                    <v:fill opacity="0"/>
                    <v:textbox>
                      <w:txbxContent>
                        <w:p w:rsidR="00BE40F8" w:rsidRPr="00D41BA3" w:rsidRDefault="00BE40F8" w:rsidP="00B233DE">
                          <w:pPr>
                            <w:ind w:firstLine="0"/>
                            <w:rPr>
                              <w:rFonts w:ascii="Times New Roman" w:hAnsi="Times New Roman" w:cs="Times New Roman"/>
                              <w:sz w:val="16"/>
                              <w:szCs w:val="16"/>
                            </w:rPr>
                          </w:pPr>
                          <w:r w:rsidRPr="00D41BA3">
                            <w:rPr>
                              <w:rFonts w:ascii="Times New Roman" w:hAnsi="Times New Roman" w:cs="Times New Roman"/>
                              <w:sz w:val="16"/>
                              <w:szCs w:val="16"/>
                            </w:rPr>
                            <w:t>Рівень економічного розвитку (довгі хвилі Кондратьєва)</w:t>
                          </w:r>
                        </w:p>
                        <w:p w:rsidR="00BE40F8" w:rsidRPr="00D41BA3" w:rsidRDefault="00BE40F8" w:rsidP="00B233DE">
                          <w:pPr>
                            <w:ind w:firstLine="0"/>
                            <w:rPr>
                              <w:rFonts w:ascii="Times New Roman" w:hAnsi="Times New Roman" w:cs="Times New Roman"/>
                              <w:sz w:val="16"/>
                              <w:szCs w:val="16"/>
                            </w:rPr>
                          </w:pPr>
                          <w:r w:rsidRPr="00D41BA3">
                            <w:rPr>
                              <w:rFonts w:ascii="Times New Roman" w:hAnsi="Times New Roman" w:cs="Times New Roman"/>
                              <w:sz w:val="16"/>
                              <w:szCs w:val="16"/>
                            </w:rPr>
                            <w:t>Рівень інноваційних досягнень (зміна технологічних укладів)</w:t>
                          </w:r>
                        </w:p>
                        <w:p w:rsidR="00BE40F8" w:rsidRPr="00D41BA3" w:rsidRDefault="00BE40F8" w:rsidP="00B233DE">
                          <w:pPr>
                            <w:ind w:firstLine="0"/>
                            <w:rPr>
                              <w:rFonts w:ascii="Times New Roman" w:hAnsi="Times New Roman" w:cs="Times New Roman"/>
                              <w:sz w:val="16"/>
                              <w:szCs w:val="16"/>
                            </w:rPr>
                          </w:pPr>
                          <w:r w:rsidRPr="00D41BA3">
                            <w:rPr>
                              <w:rFonts w:ascii="Times New Roman" w:hAnsi="Times New Roman" w:cs="Times New Roman"/>
                              <w:sz w:val="16"/>
                              <w:szCs w:val="16"/>
                            </w:rPr>
                            <w:t>Рівень міграції в країн</w:t>
                          </w:r>
                          <w:r>
                            <w:rPr>
                              <w:rFonts w:ascii="Times New Roman" w:hAnsi="Times New Roman" w:cs="Times New Roman"/>
                              <w:sz w:val="16"/>
                              <w:szCs w:val="16"/>
                            </w:rPr>
                            <w:t>ах-лідерах</w:t>
                          </w:r>
                        </w:p>
                      </w:txbxContent>
                    </v:textbox>
                  </v:shape>
                  <v:line id="Line 142" o:spid="_x0000_s1341" style="position:absolute;visibility:visible;mso-wrap-style:square" from="2535,1570" to="3163,15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" strokeweight="1.25pt"/>
                  <v:line id="Line 143" o:spid="_x0000_s1342" style="position:absolute;visibility:visible;mso-wrap-style:square" from="2535,1708" to="3163,17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" strokeweight="1.25pt">
                    <v:stroke dashstyle="1 1"/>
                  </v:line>
                  <v:line id="Line 144" o:spid="_x0000_s1343" style="position:absolute;visibility:visible;mso-wrap-style:square" from="2535,1847" to="3163,18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" strokeweight="1.75pt"/>
                </v:group>
                <w10:anchorlock/>
              </v:group>
            </w:pict>
          </mc:Fallback>
        </mc:AlternateContent>
      </w:r>
    </w:p>
    <w:p w:rsidR="00B233DE" w:rsidRPr="00D41BA3" w:rsidRDefault="00B233DE" w:rsidP="00B233DE">
      <w:pPr>
        <w:tabs>
          <w:tab w:val="left" w:pos="2880"/>
        </w:tabs>
        <w:jc w:val="center"/>
        <w:rPr>
          <w:rFonts w:ascii="Times New Roman" w:hAnsi="Times New Roman" w:cs="Times New Roman"/>
          <w:b/>
          <w:sz w:val="21"/>
          <w:szCs w:val="21"/>
        </w:rPr>
      </w:pPr>
      <w:r w:rsidRPr="00D41BA3">
        <w:rPr>
          <w:rFonts w:ascii="Times New Roman" w:hAnsi="Times New Roman" w:cs="Times New Roman"/>
          <w:b/>
          <w:sz w:val="21"/>
          <w:szCs w:val="21"/>
        </w:rPr>
        <w:t>Рис. 4.2. Історичні зміни технологічних укладів, циклічного розвитку та міграційної активності (включаючи гіпотетичний прогноз)*</w:t>
      </w:r>
    </w:p>
    <w:p w:rsidR="00B233DE" w:rsidRPr="00D41BA3" w:rsidRDefault="00B233DE" w:rsidP="00B233DE">
      <w:pPr>
        <w:shd w:val="clear" w:color="auto" w:fill="FFFFFF"/>
        <w:autoSpaceDE w:val="0"/>
        <w:autoSpaceDN w:val="0"/>
        <w:adjustRightInd w:val="0"/>
        <w:jc w:val="both"/>
        <w:rPr>
          <w:rFonts w:ascii="Times New Roman" w:hAnsi="Times New Roman" w:cs="Times New Roman"/>
          <w:sz w:val="18"/>
          <w:szCs w:val="18"/>
        </w:rPr>
      </w:pPr>
      <w:r>
        <w:rPr>
          <w:rFonts w:ascii="Times New Roman" w:hAnsi="Times New Roman" w:cs="Times New Roman"/>
          <w:sz w:val="18"/>
          <w:szCs w:val="18"/>
        </w:rPr>
        <w:t xml:space="preserve">* - </w:t>
      </w:r>
      <w:r w:rsidRPr="00D41BA3">
        <w:rPr>
          <w:rFonts w:ascii="Times New Roman" w:hAnsi="Times New Roman" w:cs="Times New Roman"/>
          <w:sz w:val="18"/>
          <w:szCs w:val="18"/>
        </w:rPr>
        <w:t>складено автор</w:t>
      </w:r>
      <w:r>
        <w:rPr>
          <w:rFonts w:ascii="Times New Roman" w:hAnsi="Times New Roman" w:cs="Times New Roman"/>
          <w:sz w:val="18"/>
          <w:szCs w:val="18"/>
        </w:rPr>
        <w:t>ом на основі аналізу [</w:t>
      </w:r>
      <w:r>
        <w:rPr>
          <w:rFonts w:ascii="Times New Roman" w:hAnsi="Times New Roman" w:cs="Times New Roman"/>
          <w:sz w:val="18"/>
          <w:szCs w:val="18"/>
          <w:highlight w:val="yellow"/>
        </w:rPr>
        <w:fldChar w:fldCharType="begin"/>
      </w:r>
      <w:r>
        <w:rPr>
          <w:rFonts w:ascii="Times New Roman" w:hAnsi="Times New Roman" w:cs="Times New Roman"/>
          <w:sz w:val="18"/>
          <w:szCs w:val="18"/>
        </w:rPr>
        <w:instrText xml:space="preserve"> REF _Ref435182114 \r \h </w:instrText>
      </w:r>
      <w:r>
        <w:rPr>
          <w:rFonts w:ascii="Times New Roman" w:hAnsi="Times New Roman" w:cs="Times New Roman"/>
          <w:sz w:val="18"/>
          <w:szCs w:val="18"/>
          <w:highlight w:val="yellow"/>
        </w:rPr>
      </w:r>
      <w:r>
        <w:rPr>
          <w:rFonts w:ascii="Times New Roman" w:hAnsi="Times New Roman" w:cs="Times New Roman"/>
          <w:sz w:val="18"/>
          <w:szCs w:val="18"/>
          <w:highlight w:val="yellow"/>
        </w:rPr>
        <w:fldChar w:fldCharType="separate"/>
      </w:r>
      <w:r>
        <w:rPr>
          <w:rFonts w:ascii="Times New Roman" w:hAnsi="Times New Roman" w:cs="Times New Roman"/>
          <w:sz w:val="18"/>
          <w:szCs w:val="18"/>
        </w:rPr>
        <w:t>4</w:t>
      </w:r>
      <w:r>
        <w:rPr>
          <w:rFonts w:ascii="Times New Roman" w:hAnsi="Times New Roman" w:cs="Times New Roman"/>
          <w:sz w:val="18"/>
          <w:szCs w:val="18"/>
          <w:highlight w:val="yellow"/>
        </w:rPr>
        <w:fldChar w:fldCharType="end"/>
      </w:r>
      <w:r>
        <w:rPr>
          <w:rFonts w:ascii="Times New Roman" w:hAnsi="Times New Roman" w:cs="Times New Roman"/>
          <w:sz w:val="18"/>
          <w:szCs w:val="18"/>
        </w:rPr>
        <w:t xml:space="preserve">, </w:t>
      </w:r>
      <w:r>
        <w:rPr>
          <w:rFonts w:ascii="Times New Roman" w:hAnsi="Times New Roman" w:cs="Times New Roman"/>
          <w:sz w:val="18"/>
          <w:szCs w:val="18"/>
          <w:highlight w:val="yellow"/>
        </w:rPr>
        <w:fldChar w:fldCharType="begin"/>
      </w:r>
      <w:r>
        <w:rPr>
          <w:rFonts w:ascii="Times New Roman" w:hAnsi="Times New Roman" w:cs="Times New Roman"/>
          <w:sz w:val="18"/>
          <w:szCs w:val="18"/>
        </w:rPr>
        <w:instrText xml:space="preserve"> REF _Ref435182155 \r \h </w:instrText>
      </w:r>
      <w:r>
        <w:rPr>
          <w:rFonts w:ascii="Times New Roman" w:hAnsi="Times New Roman" w:cs="Times New Roman"/>
          <w:sz w:val="18"/>
          <w:szCs w:val="18"/>
          <w:highlight w:val="yellow"/>
        </w:rPr>
      </w:r>
      <w:r>
        <w:rPr>
          <w:rFonts w:ascii="Times New Roman" w:hAnsi="Times New Roman" w:cs="Times New Roman"/>
          <w:sz w:val="18"/>
          <w:szCs w:val="18"/>
          <w:highlight w:val="yellow"/>
        </w:rPr>
        <w:fldChar w:fldCharType="separate"/>
      </w:r>
      <w:r>
        <w:rPr>
          <w:rFonts w:ascii="Times New Roman" w:hAnsi="Times New Roman" w:cs="Times New Roman"/>
          <w:sz w:val="18"/>
          <w:szCs w:val="18"/>
        </w:rPr>
        <w:t>25</w:t>
      </w:r>
      <w:r>
        <w:rPr>
          <w:rFonts w:ascii="Times New Roman" w:hAnsi="Times New Roman" w:cs="Times New Roman"/>
          <w:sz w:val="18"/>
          <w:szCs w:val="18"/>
          <w:highlight w:val="yellow"/>
        </w:rPr>
        <w:fldChar w:fldCharType="end"/>
      </w:r>
      <w:r>
        <w:rPr>
          <w:rFonts w:ascii="Times New Roman" w:hAnsi="Times New Roman" w:cs="Times New Roman"/>
          <w:sz w:val="18"/>
          <w:szCs w:val="18"/>
        </w:rPr>
        <w:t>]</w:t>
      </w:r>
    </w:p>
    <w:p w:rsidR="00B233DE" w:rsidRPr="00C4343A" w:rsidRDefault="00B233DE" w:rsidP="00B233DE">
      <w:pPr>
        <w:tabs>
          <w:tab w:val="left" w:pos="2880"/>
        </w:tabs>
        <w:ind w:firstLine="720"/>
        <w:jc w:val="both"/>
        <w:rPr>
          <w:rFonts w:ascii="Times New Roman" w:hAnsi="Times New Roman" w:cs="Times New Roman"/>
          <w:sz w:val="21"/>
          <w:szCs w:val="21"/>
        </w:rPr>
      </w:pPr>
    </w:p>
    <w:p w:rsidR="00B233DE" w:rsidRPr="00C4343A" w:rsidRDefault="00B233DE" w:rsidP="00B233DE">
      <w:pPr>
        <w:tabs>
          <w:tab w:val="left" w:pos="2880"/>
        </w:tabs>
        <w:ind w:firstLine="720"/>
        <w:jc w:val="both"/>
        <w:rPr>
          <w:rFonts w:ascii="Times New Roman" w:hAnsi="Times New Roman" w:cs="Times New Roman"/>
          <w:sz w:val="21"/>
          <w:szCs w:val="21"/>
        </w:rPr>
      </w:pPr>
      <w:r w:rsidRPr="00C4343A">
        <w:rPr>
          <w:rFonts w:ascii="Times New Roman" w:hAnsi="Times New Roman" w:cs="Times New Roman"/>
          <w:sz w:val="21"/>
          <w:szCs w:val="21"/>
        </w:rPr>
        <w:t>6-ий Кондратьєвський цикл, за прогнозами вчених, характеризуватиметься появою новітніх інформаційних систем, що дозволить мільйонам людей працювати, не виходячи з дому, покращувати свої побутові умови і раціоналізувати використання вільного часу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_Ref435182155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25</w:t>
      </w:r>
      <w:r>
        <w:rPr>
          <w:rFonts w:ascii="Times New Roman" w:hAnsi="Times New Roman" w:cs="Times New Roman"/>
          <w:sz w:val="21"/>
          <w:szCs w:val="21"/>
          <w:highlight w:val="yellow"/>
        </w:rPr>
        <w:fldChar w:fldCharType="end"/>
      </w:r>
      <w:r w:rsidRPr="00C4343A">
        <w:rPr>
          <w:rFonts w:ascii="Times New Roman" w:hAnsi="Times New Roman" w:cs="Times New Roman"/>
          <w:sz w:val="21"/>
          <w:szCs w:val="21"/>
        </w:rPr>
        <w:t>,</w:t>
      </w:r>
      <w:r>
        <w:rPr>
          <w:rFonts w:ascii="Times New Roman" w:hAnsi="Times New Roman" w:cs="Times New Roman"/>
          <w:sz w:val="21"/>
          <w:szCs w:val="21"/>
        </w:rPr>
        <w:t xml:space="preserve"> </w:t>
      </w:r>
      <w:r w:rsidRPr="00C4343A">
        <w:rPr>
          <w:rFonts w:ascii="Times New Roman" w:hAnsi="Times New Roman" w:cs="Times New Roman"/>
          <w:sz w:val="21"/>
          <w:szCs w:val="21"/>
          <w:lang w:val="en-US"/>
        </w:rPr>
        <w:t>c</w:t>
      </w:r>
      <w:r w:rsidRPr="00C4343A">
        <w:rPr>
          <w:rFonts w:ascii="Times New Roman" w:hAnsi="Times New Roman" w:cs="Times New Roman"/>
          <w:sz w:val="21"/>
          <w:szCs w:val="21"/>
        </w:rPr>
        <w:t>.</w:t>
      </w:r>
      <w:r>
        <w:rPr>
          <w:rFonts w:ascii="Times New Roman" w:hAnsi="Times New Roman" w:cs="Times New Roman"/>
          <w:sz w:val="21"/>
          <w:szCs w:val="21"/>
        </w:rPr>
        <w:t xml:space="preserve"> </w:t>
      </w:r>
      <w:r w:rsidRPr="00C4343A">
        <w:rPr>
          <w:rFonts w:ascii="Times New Roman" w:hAnsi="Times New Roman" w:cs="Times New Roman"/>
          <w:sz w:val="21"/>
          <w:szCs w:val="21"/>
        </w:rPr>
        <w:t>321</w:t>
      </w:r>
      <w:r>
        <w:rPr>
          <w:rFonts w:ascii="Times New Roman" w:hAnsi="Times New Roman" w:cs="Times New Roman"/>
          <w:sz w:val="21"/>
          <w:szCs w:val="21"/>
        </w:rPr>
        <w:t>–</w:t>
      </w:r>
      <w:r w:rsidRPr="00C4343A">
        <w:rPr>
          <w:rFonts w:ascii="Times New Roman" w:hAnsi="Times New Roman" w:cs="Times New Roman"/>
          <w:sz w:val="21"/>
          <w:szCs w:val="21"/>
        </w:rPr>
        <w:t xml:space="preserve">326]. Такі тенденції потенційно можуть зменшити міграції населення країн, що переходять до інформаційного суспільства та економіки знань. Тобто гіпотетично може зникнути необхідність у перерозподілі інтелектуального </w:t>
      </w:r>
      <w:r w:rsidRPr="00C4343A">
        <w:rPr>
          <w:rFonts w:ascii="Times New Roman" w:hAnsi="Times New Roman" w:cs="Times New Roman"/>
          <w:sz w:val="21"/>
          <w:szCs w:val="21"/>
        </w:rPr>
        <w:lastRenderedPageBreak/>
        <w:t>потенціалу міграційним шляхом. Цьому сприяє розвиток новітніх технологій, за допомогою яких роботодавець та працівник зможуть співпрацювати, знаходячись у різних країнах та регіонах світу. Передусім це стосується висококваліфікованої частини населення – інтелектуального людського потенціалу країн, яка виступає джерелом інноваційного розвитку та рушійною силою економічного зростання в постіндустріальну епоху. За приведеними С. Пирожковим даними Світового банку, обстеження 192 країн показало, що лише 16</w:t>
      </w:r>
      <w:r>
        <w:rPr>
          <w:rFonts w:ascii="Times New Roman" w:hAnsi="Times New Roman" w:cs="Times New Roman"/>
          <w:sz w:val="21"/>
          <w:szCs w:val="21"/>
        </w:rPr>
        <w:t xml:space="preserve"> </w:t>
      </w:r>
      <w:r w:rsidRPr="00C4343A">
        <w:rPr>
          <w:rFonts w:ascii="Times New Roman" w:hAnsi="Times New Roman" w:cs="Times New Roman"/>
          <w:sz w:val="21"/>
          <w:szCs w:val="21"/>
        </w:rPr>
        <w:t xml:space="preserve">% економічного </w:t>
      </w:r>
      <w:r>
        <w:rPr>
          <w:rFonts w:ascii="Times New Roman" w:hAnsi="Times New Roman" w:cs="Times New Roman"/>
          <w:sz w:val="21"/>
          <w:szCs w:val="21"/>
        </w:rPr>
        <w:t>зростання</w:t>
      </w:r>
      <w:r w:rsidRPr="00C4343A">
        <w:rPr>
          <w:rFonts w:ascii="Times New Roman" w:hAnsi="Times New Roman" w:cs="Times New Roman"/>
          <w:sz w:val="21"/>
          <w:szCs w:val="21"/>
        </w:rPr>
        <w:t xml:space="preserve"> в країнах з ринком, що формується і країн, що розвиваються зумовлені виробничим потенціалом, 20</w:t>
      </w:r>
      <w:r>
        <w:rPr>
          <w:rFonts w:ascii="Times New Roman" w:hAnsi="Times New Roman" w:cs="Times New Roman"/>
          <w:sz w:val="21"/>
          <w:szCs w:val="21"/>
        </w:rPr>
        <w:t xml:space="preserve"> </w:t>
      </w:r>
      <w:r w:rsidRPr="00C4343A">
        <w:rPr>
          <w:rFonts w:ascii="Times New Roman" w:hAnsi="Times New Roman" w:cs="Times New Roman"/>
          <w:sz w:val="21"/>
          <w:szCs w:val="21"/>
        </w:rPr>
        <w:t>% - природними ресурсами, а решта 64</w:t>
      </w:r>
      <w:r>
        <w:rPr>
          <w:rFonts w:ascii="Times New Roman" w:hAnsi="Times New Roman" w:cs="Times New Roman"/>
          <w:sz w:val="21"/>
          <w:szCs w:val="21"/>
        </w:rPr>
        <w:t xml:space="preserve"> </w:t>
      </w:r>
      <w:r w:rsidRPr="00C4343A">
        <w:rPr>
          <w:rFonts w:ascii="Times New Roman" w:hAnsi="Times New Roman" w:cs="Times New Roman"/>
          <w:sz w:val="21"/>
          <w:szCs w:val="21"/>
        </w:rPr>
        <w:t>% - пов’язані з людським і соціальним капіталом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_Ref435182164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47</w:t>
      </w:r>
      <w:r>
        <w:rPr>
          <w:rFonts w:ascii="Times New Roman" w:hAnsi="Times New Roman" w:cs="Times New Roman"/>
          <w:sz w:val="21"/>
          <w:szCs w:val="21"/>
          <w:highlight w:val="yellow"/>
        </w:rPr>
        <w:fldChar w:fldCharType="end"/>
      </w:r>
      <w:r w:rsidRPr="00C4343A">
        <w:rPr>
          <w:rFonts w:ascii="Times New Roman" w:hAnsi="Times New Roman" w:cs="Times New Roman"/>
          <w:sz w:val="21"/>
          <w:szCs w:val="21"/>
        </w:rPr>
        <w:t>]. Виникає економіка нового типу, яка використовує розумові здібності людини і базується на знаннях, що безпосередньо беруть участь у виробництві і є потенціалом розвитку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_Ref435182218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35</w:t>
      </w:r>
      <w:r>
        <w:rPr>
          <w:rFonts w:ascii="Times New Roman" w:hAnsi="Times New Roman" w:cs="Times New Roman"/>
          <w:sz w:val="21"/>
          <w:szCs w:val="21"/>
          <w:highlight w:val="yellow"/>
        </w:rPr>
        <w:fldChar w:fldCharType="end"/>
      </w:r>
      <w:r w:rsidRPr="00C4343A">
        <w:rPr>
          <w:rFonts w:ascii="Times New Roman" w:hAnsi="Times New Roman" w:cs="Times New Roman"/>
          <w:sz w:val="21"/>
          <w:szCs w:val="21"/>
        </w:rPr>
        <w:t xml:space="preserve">, </w:t>
      </w:r>
      <w:r w:rsidRPr="00C4343A">
        <w:rPr>
          <w:rFonts w:ascii="Times New Roman" w:hAnsi="Times New Roman" w:cs="Times New Roman"/>
          <w:sz w:val="21"/>
          <w:szCs w:val="21"/>
          <w:lang w:val="en-US"/>
        </w:rPr>
        <w:t>c</w:t>
      </w:r>
      <w:r w:rsidRPr="00C4343A">
        <w:rPr>
          <w:rFonts w:ascii="Times New Roman" w:hAnsi="Times New Roman" w:cs="Times New Roman"/>
          <w:sz w:val="21"/>
          <w:szCs w:val="21"/>
        </w:rPr>
        <w:t>. 73]. На зростання інформаційного сектору економіки звертає увагу і Д. Белл, підтверджуючи наше припущення про підвищення у суспільстві ролі працівників, зайнятих у знаннємістких галузях економіки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_Ref435182227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w:t>
      </w:r>
      <w:r>
        <w:rPr>
          <w:rFonts w:ascii="Times New Roman" w:hAnsi="Times New Roman" w:cs="Times New Roman"/>
          <w:sz w:val="21"/>
          <w:szCs w:val="21"/>
          <w:highlight w:val="yellow"/>
        </w:rPr>
        <w:fldChar w:fldCharType="end"/>
      </w:r>
      <w:r w:rsidRPr="00C4343A">
        <w:rPr>
          <w:rFonts w:ascii="Times New Roman" w:hAnsi="Times New Roman" w:cs="Times New Roman"/>
          <w:sz w:val="21"/>
          <w:szCs w:val="21"/>
        </w:rPr>
        <w:t xml:space="preserve">, </w:t>
      </w:r>
      <w:r w:rsidRPr="00C4343A">
        <w:rPr>
          <w:rFonts w:ascii="Times New Roman" w:hAnsi="Times New Roman" w:cs="Times New Roman"/>
          <w:sz w:val="21"/>
          <w:szCs w:val="21"/>
          <w:lang w:val="en-US"/>
        </w:rPr>
        <w:t>c</w:t>
      </w:r>
      <w:r w:rsidRPr="00C4343A">
        <w:rPr>
          <w:rFonts w:ascii="Times New Roman" w:hAnsi="Times New Roman" w:cs="Times New Roman"/>
          <w:sz w:val="21"/>
          <w:szCs w:val="21"/>
        </w:rPr>
        <w:t>. 168].</w:t>
      </w:r>
    </w:p>
    <w:p w:rsidR="00B233DE" w:rsidRPr="00C4343A" w:rsidRDefault="00B233DE" w:rsidP="00B233DE">
      <w:pPr>
        <w:tabs>
          <w:tab w:val="left" w:pos="1080"/>
        </w:tabs>
        <w:ind w:firstLine="720"/>
        <w:jc w:val="both"/>
        <w:rPr>
          <w:rFonts w:ascii="Times New Roman" w:hAnsi="Times New Roman" w:cs="Times New Roman"/>
          <w:sz w:val="21"/>
          <w:szCs w:val="21"/>
        </w:rPr>
      </w:pPr>
      <w:r w:rsidRPr="00C4343A">
        <w:rPr>
          <w:rFonts w:ascii="Times New Roman" w:hAnsi="Times New Roman" w:cs="Times New Roman"/>
          <w:sz w:val="21"/>
          <w:szCs w:val="21"/>
        </w:rPr>
        <w:t>Зважаючи на вищезазначене, слід констатувати, що сучасна практика міграційних відносин характеризується стійким попитом країн світу на висококваліфікованих спеціалістів. Залучення людського потенціалу шляхом міграції відображає її інноваційну сутність.</w:t>
      </w:r>
    </w:p>
    <w:p w:rsidR="00B233DE" w:rsidRDefault="00B233DE" w:rsidP="00B233DE">
      <w:pPr>
        <w:ind w:firstLine="720"/>
        <w:jc w:val="both"/>
        <w:rPr>
          <w:rFonts w:ascii="Times New Roman" w:hAnsi="Times New Roman" w:cs="Times New Roman"/>
          <w:sz w:val="21"/>
          <w:szCs w:val="21"/>
        </w:rPr>
      </w:pPr>
      <w:r w:rsidRPr="00C4343A">
        <w:rPr>
          <w:rFonts w:ascii="Times New Roman" w:hAnsi="Times New Roman" w:cs="Times New Roman"/>
          <w:sz w:val="21"/>
          <w:szCs w:val="21"/>
        </w:rPr>
        <w:t xml:space="preserve">Стимулами до міжнародної міграції на сучасному етапі, на нашу думку, є нереалізовані складові людського потенціалу </w:t>
      </w:r>
      <w:r>
        <w:rPr>
          <w:rFonts w:ascii="Times New Roman" w:hAnsi="Times New Roman" w:cs="Times New Roman"/>
          <w:sz w:val="21"/>
          <w:szCs w:val="21"/>
        </w:rPr>
        <w:t xml:space="preserve">(ЛП) </w:t>
      </w:r>
      <w:r w:rsidRPr="00C4343A">
        <w:rPr>
          <w:rFonts w:ascii="Times New Roman" w:hAnsi="Times New Roman" w:cs="Times New Roman"/>
          <w:sz w:val="21"/>
          <w:szCs w:val="21"/>
        </w:rPr>
        <w:t xml:space="preserve">в національних економіках (рис. </w:t>
      </w:r>
      <w:r>
        <w:rPr>
          <w:rFonts w:ascii="Times New Roman" w:hAnsi="Times New Roman" w:cs="Times New Roman"/>
          <w:sz w:val="21"/>
          <w:szCs w:val="21"/>
        </w:rPr>
        <w:t>4</w:t>
      </w:r>
      <w:r w:rsidRPr="00C4343A">
        <w:rPr>
          <w:rFonts w:ascii="Times New Roman" w:hAnsi="Times New Roman" w:cs="Times New Roman"/>
          <w:sz w:val="21"/>
          <w:szCs w:val="21"/>
        </w:rPr>
        <w:t>.</w:t>
      </w:r>
      <w:r>
        <w:rPr>
          <w:rFonts w:ascii="Times New Roman" w:hAnsi="Times New Roman" w:cs="Times New Roman"/>
          <w:sz w:val="21"/>
          <w:szCs w:val="21"/>
        </w:rPr>
        <w:t>3</w:t>
      </w:r>
      <w:r w:rsidRPr="00C4343A">
        <w:rPr>
          <w:rFonts w:ascii="Times New Roman" w:hAnsi="Times New Roman" w:cs="Times New Roman"/>
          <w:sz w:val="21"/>
          <w:szCs w:val="21"/>
        </w:rPr>
        <w:t>). Неможливість реалізації окремих складових ЛП зумовлюється низьким рівнем оплати праці (трудової), високим рівнем бідності (життєвої), невідповідності виконуваної роботи профілю кваліфікації (освітньо-кваліфікаційної), необхідністю реалізації знань і здібностей (інтелектуальної), низьким рівнем та якістю життя (соціальної) та іншими.</w:t>
      </w:r>
    </w:p>
    <w:p w:rsidR="00B233DE" w:rsidRPr="00C4343A" w:rsidRDefault="00B233DE" w:rsidP="00B233DE">
      <w:pPr>
        <w:ind w:firstLine="720"/>
        <w:jc w:val="both"/>
        <w:rPr>
          <w:rFonts w:ascii="Times New Roman" w:hAnsi="Times New Roman" w:cs="Times New Roman"/>
          <w:sz w:val="21"/>
          <w:szCs w:val="21"/>
        </w:rPr>
      </w:pPr>
      <w:r w:rsidRPr="00C4343A">
        <w:rPr>
          <w:rFonts w:ascii="Times New Roman" w:hAnsi="Times New Roman" w:cs="Times New Roman"/>
          <w:sz w:val="21"/>
          <w:szCs w:val="21"/>
        </w:rPr>
        <w:t>Узагальнення передумов міграції дає змогу виділити економічні, інтелектуально-професійні, соціальні, політичні, економічні чинники міграції.</w:t>
      </w:r>
    </w:p>
    <w:p w:rsidR="00B233DE" w:rsidRPr="0038452D" w:rsidRDefault="00B233DE" w:rsidP="00B233DE">
      <w:pPr>
        <w:ind w:firstLine="0"/>
        <w:jc w:val="both"/>
        <w:rPr>
          <w:rFonts w:ascii="Times New Roman" w:hAnsi="Times New Roman" w:cs="Times New Roman"/>
          <w:sz w:val="10"/>
          <w:szCs w:val="10"/>
        </w:rPr>
      </w:pPr>
      <w:r w:rsidRPr="0038452D">
        <w:rPr>
          <w:rFonts w:ascii="Times New Roman" w:hAnsi="Times New Roman" w:cs="Times New Roman"/>
          <w:noProof/>
          <w:sz w:val="10"/>
          <w:szCs w:val="10"/>
          <w:lang w:val="ru-RU" w:eastAsia="ru-RU"/>
        </w:rPr>
        <w:lastRenderedPageBreak/>
        <mc:AlternateContent>
          <mc:Choice Requires="wpg">
            <w:drawing>
              <wp:anchor distT="0" distB="0" distL="114300" distR="114300" simplePos="0" relativeHeight="251689984" behindDoc="0" locked="0" layoutInCell="1" allowOverlap="1" wp14:anchorId="79480047" wp14:editId="5A3F9981">
                <wp:simplePos x="0" y="0"/>
                <wp:positionH relativeFrom="column">
                  <wp:posOffset>134620</wp:posOffset>
                </wp:positionH>
                <wp:positionV relativeFrom="paragraph">
                  <wp:posOffset>16510</wp:posOffset>
                </wp:positionV>
                <wp:extent cx="3771900" cy="5401310"/>
                <wp:effectExtent l="0" t="0" r="19050" b="27940"/>
                <wp:wrapTopAndBottom/>
                <wp:docPr id="695" name="Группа 6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71900" cy="5401310"/>
                          <a:chOff x="2281" y="1890"/>
                          <a:chExt cx="7200" cy="4307"/>
                        </a:xfrm>
                      </wpg:grpSpPr>
                      <wps:wsp>
                        <wps:cNvPr id="696" name="Text Box 230"/>
                        <wps:cNvSpPr txBox="1">
                          <a:spLocks noChangeArrowheads="1"/>
                        </wps:cNvSpPr>
                        <wps:spPr bwMode="auto">
                          <a:xfrm>
                            <a:off x="4258" y="2295"/>
                            <a:ext cx="1694" cy="3902"/>
                          </a:xfrm>
                          <a:prstGeom prst="rect">
                            <a:avLst/>
                          </a:prstGeom>
                          <a:solidFill>
                            <a:srgbClr val="FFFFFF">
                              <a:alpha val="0"/>
                            </a:srgbClr>
                          </a:solidFill>
                          <a:ln w="9525">
                            <a:solidFill>
                              <a:srgbClr val="000000"/>
                            </a:solidFill>
                            <a:prstDash val="dash"/>
                            <a:miter lim="800000"/>
                            <a:headEnd/>
                            <a:tailEnd/>
                          </a:ln>
                        </wps:spPr>
                        <wps:txbx>
                          <w:txbxContent>
                            <w:p w:rsidR="00BE40F8" w:rsidRPr="00BF1188" w:rsidRDefault="00BE40F8" w:rsidP="00B233DE">
                              <w:pPr>
                                <w:ind w:firstLine="0"/>
                                <w:rPr>
                                  <w:rFonts w:ascii="Calibri" w:hAnsi="Calibri"/>
                                  <w:sz w:val="16"/>
                                  <w:szCs w:val="16"/>
                                </w:rPr>
                              </w:pPr>
                            </w:p>
                          </w:txbxContent>
                        </wps:txbx>
                        <wps:bodyPr rot="0" vert="horz" wrap="square" lIns="91440" tIns="45720" rIns="91440" bIns="45720" anchor="t" anchorCtr="0" upright="1">
                          <a:noAutofit/>
                        </wps:bodyPr>
                      </wps:wsp>
                      <wps:wsp>
                        <wps:cNvPr id="697" name="Text Box 231"/>
                        <wps:cNvSpPr txBox="1">
                          <a:spLocks noChangeArrowheads="1"/>
                        </wps:cNvSpPr>
                        <wps:spPr bwMode="auto">
                          <a:xfrm>
                            <a:off x="2281" y="2295"/>
                            <a:ext cx="1835" cy="3902"/>
                          </a:xfrm>
                          <a:prstGeom prst="rect">
                            <a:avLst/>
                          </a:prstGeom>
                          <a:solidFill>
                            <a:srgbClr val="FFFFFF">
                              <a:alpha val="0"/>
                            </a:srgbClr>
                          </a:solidFill>
                          <a:ln w="9525">
                            <a:solidFill>
                              <a:srgbClr val="000000"/>
                            </a:solidFill>
                            <a:prstDash val="dash"/>
                            <a:miter lim="800000"/>
                            <a:headEnd/>
                            <a:tailEnd/>
                          </a:ln>
                        </wps:spPr>
                        <wps:txbx>
                          <w:txbxContent>
                            <w:p w:rsidR="00BE40F8" w:rsidRPr="00BF1188" w:rsidRDefault="00BE40F8" w:rsidP="00B233DE">
                              <w:pPr>
                                <w:rPr>
                                  <w:rFonts w:ascii="Calibri" w:hAnsi="Calibri"/>
                                  <w:sz w:val="16"/>
                                  <w:szCs w:val="16"/>
                                </w:rPr>
                              </w:pPr>
                            </w:p>
                          </w:txbxContent>
                        </wps:txbx>
                        <wps:bodyPr rot="0" vert="horz" wrap="square" lIns="91440" tIns="45720" rIns="91440" bIns="45720" anchor="t" anchorCtr="0" upright="1">
                          <a:noAutofit/>
                        </wps:bodyPr>
                      </wps:wsp>
                      <wps:wsp>
                        <wps:cNvPr id="698" name="Text Box 232"/>
                        <wps:cNvSpPr txBox="1">
                          <a:spLocks noChangeArrowheads="1"/>
                        </wps:cNvSpPr>
                        <wps:spPr bwMode="auto">
                          <a:xfrm>
                            <a:off x="6093" y="2295"/>
                            <a:ext cx="1412" cy="3902"/>
                          </a:xfrm>
                          <a:prstGeom prst="rect">
                            <a:avLst/>
                          </a:prstGeom>
                          <a:solidFill>
                            <a:srgbClr val="FFFFFF">
                              <a:alpha val="0"/>
                            </a:srgbClr>
                          </a:solidFill>
                          <a:ln w="9525">
                            <a:solidFill>
                              <a:srgbClr val="000000"/>
                            </a:solidFill>
                            <a:prstDash val="dash"/>
                            <a:miter lim="800000"/>
                            <a:headEnd/>
                            <a:tailEnd/>
                          </a:ln>
                        </wps:spPr>
                        <wps:txbx>
                          <w:txbxContent>
                            <w:p w:rsidR="00BE40F8" w:rsidRPr="00BF1188" w:rsidRDefault="00BE40F8" w:rsidP="00B233DE">
                              <w:pPr>
                                <w:jc w:val="center"/>
                                <w:rPr>
                                  <w:rFonts w:ascii="Calibri" w:hAnsi="Calibri"/>
                                  <w:sz w:val="16"/>
                                  <w:szCs w:val="16"/>
                                </w:rPr>
                              </w:pPr>
                            </w:p>
                          </w:txbxContent>
                        </wps:txbx>
                        <wps:bodyPr rot="0" vert="horz" wrap="square" lIns="91440" tIns="45720" rIns="91440" bIns="45720" anchor="t" anchorCtr="0" upright="1">
                          <a:noAutofit/>
                        </wps:bodyPr>
                      </wps:wsp>
                      <wps:wsp>
                        <wps:cNvPr id="699" name="Text Box 233"/>
                        <wps:cNvSpPr txBox="1">
                          <a:spLocks noChangeArrowheads="1"/>
                        </wps:cNvSpPr>
                        <wps:spPr bwMode="auto">
                          <a:xfrm>
                            <a:off x="6093" y="1890"/>
                            <a:ext cx="1412" cy="310"/>
                          </a:xfrm>
                          <a:prstGeom prst="rect">
                            <a:avLst/>
                          </a:prstGeom>
                          <a:solidFill>
                            <a:srgbClr val="FFFFFF"/>
                          </a:solidFill>
                          <a:ln w="9525">
                            <a:solidFill>
                              <a:srgbClr val="000000"/>
                            </a:solidFill>
                            <a:miter lim="800000"/>
                            <a:headEnd/>
                            <a:tailEnd/>
                          </a:ln>
                        </wps:spPr>
                        <wps:txbx>
                          <w:txbxContent>
                            <w:p w:rsidR="00BE40F8" w:rsidRPr="00416C03" w:rsidRDefault="00BE40F8" w:rsidP="00B233DE">
                              <w:pPr>
                                <w:ind w:firstLine="0"/>
                                <w:jc w:val="center"/>
                                <w:rPr>
                                  <w:rFonts w:ascii="Times New Roman" w:hAnsi="Times New Roman" w:cs="Times New Roman"/>
                                  <w:sz w:val="16"/>
                                  <w:szCs w:val="16"/>
                                </w:rPr>
                              </w:pPr>
                              <w:r w:rsidRPr="00416C03">
                                <w:rPr>
                                  <w:rFonts w:ascii="Times New Roman" w:hAnsi="Times New Roman" w:cs="Times New Roman"/>
                                  <w:sz w:val="16"/>
                                  <w:szCs w:val="16"/>
                                </w:rPr>
                                <w:t>Чинники міграції</w:t>
                              </w:r>
                            </w:p>
                          </w:txbxContent>
                        </wps:txbx>
                        <wps:bodyPr rot="0" vert="horz" wrap="square" lIns="91440" tIns="45720" rIns="91440" bIns="45720" anchor="t" anchorCtr="0" upright="1">
                          <a:noAutofit/>
                        </wps:bodyPr>
                      </wps:wsp>
                      <wps:wsp>
                        <wps:cNvPr id="700" name="Text Box 234"/>
                        <wps:cNvSpPr txBox="1">
                          <a:spLocks noChangeArrowheads="1"/>
                        </wps:cNvSpPr>
                        <wps:spPr bwMode="auto">
                          <a:xfrm>
                            <a:off x="4258" y="1890"/>
                            <a:ext cx="1694" cy="310"/>
                          </a:xfrm>
                          <a:prstGeom prst="rect">
                            <a:avLst/>
                          </a:prstGeom>
                          <a:solidFill>
                            <a:srgbClr val="FFFFFF"/>
                          </a:solidFill>
                          <a:ln w="9525">
                            <a:solidFill>
                              <a:srgbClr val="000000"/>
                            </a:solidFill>
                            <a:miter lim="800000"/>
                            <a:headEnd/>
                            <a:tailEnd/>
                          </a:ln>
                        </wps:spPr>
                        <wps:txbx>
                          <w:txbxContent>
                            <w:p w:rsidR="00BE40F8" w:rsidRPr="00416C03" w:rsidRDefault="00BE40F8" w:rsidP="00B233DE">
                              <w:pPr>
                                <w:ind w:firstLine="0"/>
                                <w:jc w:val="center"/>
                                <w:rPr>
                                  <w:rFonts w:ascii="Times New Roman" w:hAnsi="Times New Roman" w:cs="Times New Roman"/>
                                  <w:sz w:val="16"/>
                                  <w:szCs w:val="16"/>
                                </w:rPr>
                              </w:pPr>
                              <w:r w:rsidRPr="00416C03">
                                <w:rPr>
                                  <w:rFonts w:ascii="Times New Roman" w:hAnsi="Times New Roman" w:cs="Times New Roman"/>
                                  <w:sz w:val="16"/>
                                  <w:szCs w:val="16"/>
                                </w:rPr>
                                <w:t>Передумови міграції</w:t>
                              </w:r>
                            </w:p>
                          </w:txbxContent>
                        </wps:txbx>
                        <wps:bodyPr rot="0" vert="horz" wrap="square" lIns="91440" tIns="45720" rIns="91440" bIns="45720" anchor="t" anchorCtr="0" upright="1">
                          <a:noAutofit/>
                        </wps:bodyPr>
                      </wps:wsp>
                      <wps:wsp>
                        <wps:cNvPr id="701" name="Text Box 235"/>
                        <wps:cNvSpPr txBox="1">
                          <a:spLocks noChangeArrowheads="1"/>
                        </wps:cNvSpPr>
                        <wps:spPr bwMode="auto">
                          <a:xfrm>
                            <a:off x="2281" y="1890"/>
                            <a:ext cx="1836" cy="310"/>
                          </a:xfrm>
                          <a:prstGeom prst="rect">
                            <a:avLst/>
                          </a:prstGeom>
                          <a:solidFill>
                            <a:srgbClr val="FFFFFF"/>
                          </a:solidFill>
                          <a:ln w="9525">
                            <a:solidFill>
                              <a:srgbClr val="000000"/>
                            </a:solidFill>
                            <a:miter lim="800000"/>
                            <a:headEnd/>
                            <a:tailEnd/>
                          </a:ln>
                        </wps:spPr>
                        <wps:txbx>
                          <w:txbxContent>
                            <w:p w:rsidR="00BE40F8" w:rsidRPr="00416C03" w:rsidRDefault="00BE40F8" w:rsidP="00B233DE">
                              <w:pPr>
                                <w:ind w:firstLine="0"/>
                                <w:jc w:val="center"/>
                                <w:rPr>
                                  <w:rFonts w:ascii="Times New Roman" w:hAnsi="Times New Roman" w:cs="Times New Roman"/>
                                  <w:sz w:val="16"/>
                                  <w:szCs w:val="16"/>
                                </w:rPr>
                              </w:pPr>
                              <w:r w:rsidRPr="00416C03">
                                <w:rPr>
                                  <w:rFonts w:ascii="Times New Roman" w:hAnsi="Times New Roman" w:cs="Times New Roman"/>
                                  <w:sz w:val="16"/>
                                  <w:szCs w:val="16"/>
                                </w:rPr>
                                <w:t xml:space="preserve">Стимули </w:t>
                              </w:r>
                              <w:r>
                                <w:rPr>
                                  <w:rFonts w:ascii="Times New Roman" w:hAnsi="Times New Roman" w:cs="Times New Roman"/>
                                  <w:sz w:val="16"/>
                                  <w:szCs w:val="16"/>
                                </w:rPr>
                                <w:t>–</w:t>
                              </w:r>
                              <w:r w:rsidRPr="00416C03">
                                <w:rPr>
                                  <w:rFonts w:ascii="Times New Roman" w:hAnsi="Times New Roman" w:cs="Times New Roman"/>
                                  <w:sz w:val="16"/>
                                  <w:szCs w:val="16"/>
                                </w:rPr>
                                <w:t xml:space="preserve"> нереалізо</w:t>
                              </w:r>
                              <w:r>
                                <w:rPr>
                                  <w:rFonts w:ascii="Times New Roman" w:hAnsi="Times New Roman" w:cs="Times New Roman"/>
                                  <w:sz w:val="16"/>
                                  <w:szCs w:val="16"/>
                                </w:rPr>
                                <w:t>-</w:t>
                              </w:r>
                              <w:r w:rsidRPr="00416C03">
                                <w:rPr>
                                  <w:rFonts w:ascii="Times New Roman" w:hAnsi="Times New Roman" w:cs="Times New Roman"/>
                                  <w:sz w:val="16"/>
                                  <w:szCs w:val="16"/>
                                </w:rPr>
                                <w:t>вані складові людсь</w:t>
                              </w:r>
                              <w:r>
                                <w:rPr>
                                  <w:rFonts w:ascii="Times New Roman" w:hAnsi="Times New Roman" w:cs="Times New Roman"/>
                                  <w:sz w:val="16"/>
                                  <w:szCs w:val="16"/>
                                </w:rPr>
                                <w:t>-</w:t>
                              </w:r>
                              <w:r w:rsidRPr="00416C03">
                                <w:rPr>
                                  <w:rFonts w:ascii="Times New Roman" w:hAnsi="Times New Roman" w:cs="Times New Roman"/>
                                  <w:sz w:val="16"/>
                                  <w:szCs w:val="16"/>
                                </w:rPr>
                                <w:t>кого потенціалу</w:t>
                              </w:r>
                            </w:p>
                          </w:txbxContent>
                        </wps:txbx>
                        <wps:bodyPr rot="0" vert="horz" wrap="square" lIns="0" tIns="0" rIns="0" bIns="0" anchor="t" anchorCtr="0" upright="1">
                          <a:noAutofit/>
                        </wps:bodyPr>
                      </wps:wsp>
                      <wps:wsp>
                        <wps:cNvPr id="702" name="Text Box 236"/>
                        <wps:cNvSpPr txBox="1">
                          <a:spLocks noChangeArrowheads="1"/>
                        </wps:cNvSpPr>
                        <wps:spPr bwMode="auto">
                          <a:xfrm>
                            <a:off x="2422" y="2434"/>
                            <a:ext cx="1553" cy="206"/>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трудова</w:t>
                              </w:r>
                            </w:p>
                          </w:txbxContent>
                        </wps:txbx>
                        <wps:bodyPr rot="0" vert="horz" wrap="square" lIns="0" tIns="0" rIns="0" bIns="0" anchor="t" anchorCtr="0" upright="1">
                          <a:noAutofit/>
                        </wps:bodyPr>
                      </wps:wsp>
                      <wps:wsp>
                        <wps:cNvPr id="703" name="Text Box 237"/>
                        <wps:cNvSpPr txBox="1">
                          <a:spLocks noChangeArrowheads="1"/>
                        </wps:cNvSpPr>
                        <wps:spPr bwMode="auto">
                          <a:xfrm>
                            <a:off x="2422" y="2713"/>
                            <a:ext cx="1553" cy="209"/>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життєва</w:t>
                              </w:r>
                            </w:p>
                          </w:txbxContent>
                        </wps:txbx>
                        <wps:bodyPr rot="0" vert="horz" wrap="square" lIns="0" tIns="0" rIns="0" bIns="0" anchor="t" anchorCtr="0" upright="1">
                          <a:noAutofit/>
                        </wps:bodyPr>
                      </wps:wsp>
                      <wps:wsp>
                        <wps:cNvPr id="704" name="Text Box 238"/>
                        <wps:cNvSpPr txBox="1">
                          <a:spLocks noChangeArrowheads="1"/>
                        </wps:cNvSpPr>
                        <wps:spPr bwMode="auto">
                          <a:xfrm>
                            <a:off x="2422" y="3131"/>
                            <a:ext cx="1553" cy="418"/>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освітньо-кваліфікаційна</w:t>
                              </w:r>
                            </w:p>
                          </w:txbxContent>
                        </wps:txbx>
                        <wps:bodyPr rot="0" vert="horz" wrap="square" lIns="0" tIns="0" rIns="0" bIns="0" anchor="t" anchorCtr="0" upright="1">
                          <a:noAutofit/>
                        </wps:bodyPr>
                      </wps:wsp>
                      <wps:wsp>
                        <wps:cNvPr id="705" name="Text Box 239"/>
                        <wps:cNvSpPr txBox="1">
                          <a:spLocks noChangeArrowheads="1"/>
                        </wps:cNvSpPr>
                        <wps:spPr bwMode="auto">
                          <a:xfrm>
                            <a:off x="2422" y="3689"/>
                            <a:ext cx="1553" cy="206"/>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інтелектуальна</w:t>
                              </w:r>
                            </w:p>
                          </w:txbxContent>
                        </wps:txbx>
                        <wps:bodyPr rot="0" vert="horz" wrap="square" lIns="0" tIns="0" rIns="0" bIns="0" anchor="t" anchorCtr="0" upright="1">
                          <a:noAutofit/>
                        </wps:bodyPr>
                      </wps:wsp>
                      <wps:wsp>
                        <wps:cNvPr id="706" name="Text Box 240"/>
                        <wps:cNvSpPr txBox="1">
                          <a:spLocks noChangeArrowheads="1"/>
                        </wps:cNvSpPr>
                        <wps:spPr bwMode="auto">
                          <a:xfrm>
                            <a:off x="2422" y="4385"/>
                            <a:ext cx="1553" cy="210"/>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соціальна</w:t>
                              </w:r>
                            </w:p>
                          </w:txbxContent>
                        </wps:txbx>
                        <wps:bodyPr rot="0" vert="horz" wrap="square" lIns="0" tIns="0" rIns="0" bIns="0" anchor="t" anchorCtr="0" upright="1">
                          <a:noAutofit/>
                        </wps:bodyPr>
                      </wps:wsp>
                      <wps:wsp>
                        <wps:cNvPr id="707" name="Text Box 241"/>
                        <wps:cNvSpPr txBox="1">
                          <a:spLocks noChangeArrowheads="1"/>
                        </wps:cNvSpPr>
                        <wps:spPr bwMode="auto">
                          <a:xfrm>
                            <a:off x="2422" y="5500"/>
                            <a:ext cx="1553" cy="418"/>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громадянсько-політична</w:t>
                              </w:r>
                            </w:p>
                          </w:txbxContent>
                        </wps:txbx>
                        <wps:bodyPr rot="0" vert="horz" wrap="square" lIns="0" tIns="0" rIns="0" bIns="0" anchor="t" anchorCtr="0" upright="1">
                          <a:noAutofit/>
                        </wps:bodyPr>
                      </wps:wsp>
                      <wps:wsp>
                        <wps:cNvPr id="708" name="Text Box 242"/>
                        <wps:cNvSpPr txBox="1">
                          <a:spLocks noChangeArrowheads="1"/>
                        </wps:cNvSpPr>
                        <wps:spPr bwMode="auto">
                          <a:xfrm>
                            <a:off x="2422" y="4804"/>
                            <a:ext cx="1553" cy="206"/>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здоров’я</w:t>
                              </w:r>
                            </w:p>
                          </w:txbxContent>
                        </wps:txbx>
                        <wps:bodyPr rot="0" vert="horz" wrap="square" lIns="0" tIns="0" rIns="0" bIns="0" anchor="t" anchorCtr="0" upright="1">
                          <a:noAutofit/>
                        </wps:bodyPr>
                      </wps:wsp>
                      <wps:wsp>
                        <wps:cNvPr id="709" name="Text Box 243"/>
                        <wps:cNvSpPr txBox="1">
                          <a:spLocks noChangeArrowheads="1"/>
                        </wps:cNvSpPr>
                        <wps:spPr bwMode="auto">
                          <a:xfrm>
                            <a:off x="4399" y="2434"/>
                            <a:ext cx="1413" cy="208"/>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Низький рівень оплати праці</w:t>
                              </w:r>
                            </w:p>
                          </w:txbxContent>
                        </wps:txbx>
                        <wps:bodyPr rot="0" vert="horz" wrap="square" lIns="0" tIns="0" rIns="0" bIns="0" anchor="t" anchorCtr="0" upright="1">
                          <a:noAutofit/>
                        </wps:bodyPr>
                      </wps:wsp>
                      <wps:wsp>
                        <wps:cNvPr id="710" name="Text Box 244"/>
                        <wps:cNvSpPr txBox="1">
                          <a:spLocks noChangeArrowheads="1"/>
                        </wps:cNvSpPr>
                        <wps:spPr bwMode="auto">
                          <a:xfrm>
                            <a:off x="4399" y="2626"/>
                            <a:ext cx="1412" cy="208"/>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Високий рівень безробіття</w:t>
                              </w:r>
                            </w:p>
                          </w:txbxContent>
                        </wps:txbx>
                        <wps:bodyPr rot="0" vert="horz" wrap="square" lIns="0" tIns="0" rIns="0" bIns="0" anchor="t" anchorCtr="0" upright="1">
                          <a:noAutofit/>
                        </wps:bodyPr>
                      </wps:wsp>
                      <wps:wsp>
                        <wps:cNvPr id="711" name="Text Box 245"/>
                        <wps:cNvSpPr txBox="1">
                          <a:spLocks noChangeArrowheads="1"/>
                        </wps:cNvSpPr>
                        <wps:spPr bwMode="auto">
                          <a:xfrm>
                            <a:off x="4399" y="2815"/>
                            <a:ext cx="1412" cy="208"/>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Високий рівень бідності</w:t>
                              </w:r>
                            </w:p>
                          </w:txbxContent>
                        </wps:txbx>
                        <wps:bodyPr rot="0" vert="horz" wrap="square" lIns="0" tIns="0" rIns="0" bIns="0" anchor="t" anchorCtr="0" upright="1">
                          <a:noAutofit/>
                        </wps:bodyPr>
                      </wps:wsp>
                      <wps:wsp>
                        <wps:cNvPr id="712" name="Text Box 246"/>
                        <wps:cNvSpPr txBox="1">
                          <a:spLocks noChangeArrowheads="1"/>
                        </wps:cNvSpPr>
                        <wps:spPr bwMode="auto">
                          <a:xfrm>
                            <a:off x="4388" y="3085"/>
                            <a:ext cx="1413" cy="340"/>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pacing w:val="-6"/>
                                  <w:sz w:val="16"/>
                                  <w:szCs w:val="16"/>
                                </w:rPr>
                              </w:pPr>
                              <w:r w:rsidRPr="003C0CFB">
                                <w:rPr>
                                  <w:rFonts w:ascii="Times New Roman" w:hAnsi="Times New Roman" w:cs="Times New Roman"/>
                                  <w:sz w:val="16"/>
                                  <w:szCs w:val="16"/>
                                </w:rPr>
                                <w:t>Незадоволення умовами профе</w:t>
                              </w:r>
                              <w:r>
                                <w:rPr>
                                  <w:rFonts w:ascii="Times New Roman" w:hAnsi="Times New Roman" w:cs="Times New Roman"/>
                                  <w:sz w:val="16"/>
                                  <w:szCs w:val="16"/>
                                </w:rPr>
                                <w:t>-</w:t>
                              </w:r>
                              <w:r w:rsidRPr="003C0CFB">
                                <w:rPr>
                                  <w:rFonts w:ascii="Times New Roman" w:hAnsi="Times New Roman" w:cs="Times New Roman"/>
                                  <w:spacing w:val="-6"/>
                                  <w:sz w:val="16"/>
                                  <w:szCs w:val="16"/>
                                </w:rPr>
                                <w:t>сійної діяльності</w:t>
                              </w:r>
                            </w:p>
                          </w:txbxContent>
                        </wps:txbx>
                        <wps:bodyPr rot="0" vert="horz" wrap="square" lIns="0" tIns="0" rIns="0" bIns="0" anchor="t" anchorCtr="0" upright="1">
                          <a:noAutofit/>
                        </wps:bodyPr>
                      </wps:wsp>
                      <wps:wsp>
                        <wps:cNvPr id="713" name="Text Box 247"/>
                        <wps:cNvSpPr txBox="1">
                          <a:spLocks noChangeArrowheads="1"/>
                        </wps:cNvSpPr>
                        <wps:spPr bwMode="auto">
                          <a:xfrm>
                            <a:off x="4388" y="3410"/>
                            <a:ext cx="1412" cy="278"/>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Невідповідність виконуваної роботи профілю кваліфікації</w:t>
                              </w:r>
                            </w:p>
                          </w:txbxContent>
                        </wps:txbx>
                        <wps:bodyPr rot="0" vert="horz" wrap="square" lIns="0" tIns="0" rIns="0" bIns="0" anchor="t" anchorCtr="0" upright="1">
                          <a:noAutofit/>
                        </wps:bodyPr>
                      </wps:wsp>
                      <wps:wsp>
                        <wps:cNvPr id="714" name="Text Box 248"/>
                        <wps:cNvSpPr txBox="1">
                          <a:spLocks noChangeArrowheads="1"/>
                        </wps:cNvSpPr>
                        <wps:spPr bwMode="auto">
                          <a:xfrm>
                            <a:off x="4388" y="3689"/>
                            <a:ext cx="1412" cy="277"/>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2"/>
                                </w:rPr>
                              </w:pPr>
                              <w:r w:rsidRPr="003C0CFB">
                                <w:rPr>
                                  <w:rFonts w:ascii="Times New Roman" w:hAnsi="Times New Roman" w:cs="Times New Roman"/>
                                  <w:sz w:val="16"/>
                                  <w:szCs w:val="12"/>
                                </w:rPr>
                                <w:t>Прагнення до професійного зростання</w:t>
                              </w:r>
                            </w:p>
                          </w:txbxContent>
                        </wps:txbx>
                        <wps:bodyPr rot="0" vert="horz" wrap="square" lIns="0" tIns="0" rIns="0" bIns="0" anchor="t" anchorCtr="0" upright="1">
                          <a:noAutofit/>
                        </wps:bodyPr>
                      </wps:wsp>
                      <wps:wsp>
                        <wps:cNvPr id="715" name="Text Box 249"/>
                        <wps:cNvSpPr txBox="1">
                          <a:spLocks noChangeArrowheads="1"/>
                        </wps:cNvSpPr>
                        <wps:spPr bwMode="auto">
                          <a:xfrm>
                            <a:off x="4388" y="3967"/>
                            <a:ext cx="1412" cy="278"/>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2"/>
                                </w:rPr>
                              </w:pPr>
                              <w:r w:rsidRPr="003C0CFB">
                                <w:rPr>
                                  <w:rFonts w:ascii="Times New Roman" w:hAnsi="Times New Roman" w:cs="Times New Roman"/>
                                  <w:sz w:val="16"/>
                                  <w:szCs w:val="12"/>
                                </w:rPr>
                                <w:t>Неможливість реалізації знань та здібностей</w:t>
                              </w:r>
                            </w:p>
                          </w:txbxContent>
                        </wps:txbx>
                        <wps:bodyPr rot="0" vert="horz" wrap="square" lIns="0" tIns="0" rIns="0" bIns="0" anchor="t" anchorCtr="0" upright="1">
                          <a:noAutofit/>
                        </wps:bodyPr>
                      </wps:wsp>
                      <wps:wsp>
                        <wps:cNvPr id="716" name="Text Box 250"/>
                        <wps:cNvSpPr txBox="1">
                          <a:spLocks noChangeArrowheads="1"/>
                        </wps:cNvSpPr>
                        <wps:spPr bwMode="auto">
                          <a:xfrm>
                            <a:off x="4399" y="4385"/>
                            <a:ext cx="1412" cy="275"/>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Низький рівень соціальної захищеності</w:t>
                              </w:r>
                            </w:p>
                          </w:txbxContent>
                        </wps:txbx>
                        <wps:bodyPr rot="0" vert="horz" wrap="square" lIns="0" tIns="0" rIns="0" bIns="0" anchor="t" anchorCtr="0" upright="1">
                          <a:noAutofit/>
                        </wps:bodyPr>
                      </wps:wsp>
                      <wps:wsp>
                        <wps:cNvPr id="717" name="Text Box 251"/>
                        <wps:cNvSpPr txBox="1">
                          <a:spLocks noChangeArrowheads="1"/>
                        </wps:cNvSpPr>
                        <wps:spPr bwMode="auto">
                          <a:xfrm>
                            <a:off x="4399" y="4664"/>
                            <a:ext cx="1412" cy="277"/>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Низький рівень та якість життя</w:t>
                              </w:r>
                            </w:p>
                          </w:txbxContent>
                        </wps:txbx>
                        <wps:bodyPr rot="0" vert="horz" wrap="square" lIns="0" tIns="0" rIns="0" bIns="0" anchor="t" anchorCtr="0" upright="1">
                          <a:noAutofit/>
                        </wps:bodyPr>
                      </wps:wsp>
                      <wps:wsp>
                        <wps:cNvPr id="718" name="Text Box 252"/>
                        <wps:cNvSpPr txBox="1">
                          <a:spLocks noChangeArrowheads="1"/>
                        </wps:cNvSpPr>
                        <wps:spPr bwMode="auto">
                          <a:xfrm>
                            <a:off x="4399" y="4943"/>
                            <a:ext cx="1412" cy="418"/>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4"/>
                                  <w:szCs w:val="14"/>
                                </w:rPr>
                              </w:pPr>
                              <w:r w:rsidRPr="003C0CFB">
                                <w:rPr>
                                  <w:rFonts w:ascii="Times New Roman" w:hAnsi="Times New Roman" w:cs="Times New Roman"/>
                                  <w:sz w:val="14"/>
                                  <w:szCs w:val="14"/>
                                </w:rPr>
                                <w:t>Низький рівень розвитку галузей освіти та охорони здоров’я</w:t>
                              </w:r>
                            </w:p>
                          </w:txbxContent>
                        </wps:txbx>
                        <wps:bodyPr rot="0" vert="horz" wrap="square" lIns="0" tIns="0" rIns="0" bIns="0" anchor="t" anchorCtr="0" upright="1">
                          <a:noAutofit/>
                        </wps:bodyPr>
                      </wps:wsp>
                      <wps:wsp>
                        <wps:cNvPr id="719" name="Text Box 253"/>
                        <wps:cNvSpPr txBox="1">
                          <a:spLocks noChangeArrowheads="1"/>
                        </wps:cNvSpPr>
                        <wps:spPr bwMode="auto">
                          <a:xfrm>
                            <a:off x="4399" y="5500"/>
                            <a:ext cx="1412" cy="279"/>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Невизначена (напружена) політична ситуація в державі</w:t>
                              </w:r>
                            </w:p>
                          </w:txbxContent>
                        </wps:txbx>
                        <wps:bodyPr rot="0" vert="horz" wrap="square" lIns="0" tIns="0" rIns="0" bIns="0" anchor="t" anchorCtr="0" upright="1">
                          <a:noAutofit/>
                        </wps:bodyPr>
                      </wps:wsp>
                      <wps:wsp>
                        <wps:cNvPr id="720" name="Text Box 254"/>
                        <wps:cNvSpPr txBox="1">
                          <a:spLocks noChangeArrowheads="1"/>
                        </wps:cNvSpPr>
                        <wps:spPr bwMode="auto">
                          <a:xfrm>
                            <a:off x="4399" y="5779"/>
                            <a:ext cx="1412" cy="277"/>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Відсутність довіри до політичних інститутів</w:t>
                              </w:r>
                            </w:p>
                          </w:txbxContent>
                        </wps:txbx>
                        <wps:bodyPr rot="0" vert="horz" wrap="square" lIns="0" tIns="0" rIns="0" bIns="0" anchor="t" anchorCtr="0" upright="1">
                          <a:noAutofit/>
                        </wps:bodyPr>
                      </wps:wsp>
                      <wps:wsp>
                        <wps:cNvPr id="721" name="Text Box 255"/>
                        <wps:cNvSpPr txBox="1">
                          <a:spLocks noChangeArrowheads="1"/>
                        </wps:cNvSpPr>
                        <wps:spPr bwMode="auto">
                          <a:xfrm>
                            <a:off x="6234" y="2434"/>
                            <a:ext cx="1130" cy="278"/>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Економічні</w:t>
                              </w:r>
                            </w:p>
                          </w:txbxContent>
                        </wps:txbx>
                        <wps:bodyPr rot="0" vert="horz" wrap="square" lIns="0" tIns="0" rIns="0" bIns="0" anchor="t" anchorCtr="0" upright="1">
                          <a:noAutofit/>
                        </wps:bodyPr>
                      </wps:wsp>
                      <wps:wsp>
                        <wps:cNvPr id="722" name="Text Box 256"/>
                        <wps:cNvSpPr txBox="1">
                          <a:spLocks noChangeArrowheads="1"/>
                        </wps:cNvSpPr>
                        <wps:spPr bwMode="auto">
                          <a:xfrm>
                            <a:off x="6234" y="3271"/>
                            <a:ext cx="1129" cy="480"/>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Інтелектуально-профе</w:t>
                              </w:r>
                              <w:r>
                                <w:rPr>
                                  <w:rFonts w:ascii="Times New Roman" w:hAnsi="Times New Roman" w:cs="Times New Roman"/>
                                  <w:sz w:val="16"/>
                                  <w:szCs w:val="16"/>
                                </w:rPr>
                                <w:t>-</w:t>
                              </w:r>
                              <w:r w:rsidRPr="003C0CFB">
                                <w:rPr>
                                  <w:rFonts w:ascii="Times New Roman" w:hAnsi="Times New Roman" w:cs="Times New Roman"/>
                                  <w:sz w:val="16"/>
                                  <w:szCs w:val="16"/>
                                </w:rPr>
                                <w:t>сійні</w:t>
                              </w:r>
                            </w:p>
                          </w:txbxContent>
                        </wps:txbx>
                        <wps:bodyPr rot="0" vert="horz" wrap="square" lIns="0" tIns="0" rIns="0" bIns="0" anchor="t" anchorCtr="0" upright="1">
                          <a:noAutofit/>
                        </wps:bodyPr>
                      </wps:wsp>
                      <wps:wsp>
                        <wps:cNvPr id="723" name="Text Box 257"/>
                        <wps:cNvSpPr txBox="1">
                          <a:spLocks noChangeArrowheads="1"/>
                        </wps:cNvSpPr>
                        <wps:spPr bwMode="auto">
                          <a:xfrm>
                            <a:off x="6234" y="4664"/>
                            <a:ext cx="1129" cy="278"/>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Соціальні</w:t>
                              </w:r>
                            </w:p>
                          </w:txbxContent>
                        </wps:txbx>
                        <wps:bodyPr rot="0" vert="horz" wrap="square" lIns="0" tIns="0" rIns="0" bIns="0" anchor="t" anchorCtr="0" upright="1">
                          <a:noAutofit/>
                        </wps:bodyPr>
                      </wps:wsp>
                      <wps:wsp>
                        <wps:cNvPr id="724" name="Text Box 258"/>
                        <wps:cNvSpPr txBox="1">
                          <a:spLocks noChangeArrowheads="1"/>
                        </wps:cNvSpPr>
                        <wps:spPr bwMode="auto">
                          <a:xfrm>
                            <a:off x="6234" y="5686"/>
                            <a:ext cx="1130" cy="277"/>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Політичні</w:t>
                              </w:r>
                            </w:p>
                          </w:txbxContent>
                        </wps:txbx>
                        <wps:bodyPr rot="0" vert="horz" wrap="square" lIns="0" tIns="0" rIns="0" bIns="0" anchor="t" anchorCtr="0" upright="1">
                          <a:noAutofit/>
                        </wps:bodyPr>
                      </wps:wsp>
                      <wps:wsp>
                        <wps:cNvPr id="725" name="Line 259"/>
                        <wps:cNvCnPr/>
                        <wps:spPr bwMode="auto">
                          <a:xfrm>
                            <a:off x="3975" y="5779"/>
                            <a:ext cx="424"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6" name="Line 260"/>
                        <wps:cNvCnPr/>
                        <wps:spPr bwMode="auto">
                          <a:xfrm>
                            <a:off x="3975" y="3410"/>
                            <a:ext cx="424" cy="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7" name="Line 261"/>
                        <wps:cNvCnPr/>
                        <wps:spPr bwMode="auto">
                          <a:xfrm flipV="1">
                            <a:off x="3975" y="2853"/>
                            <a:ext cx="424"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8" name="Line 262"/>
                        <wps:cNvCnPr/>
                        <wps:spPr bwMode="auto">
                          <a:xfrm>
                            <a:off x="3975" y="3828"/>
                            <a:ext cx="424"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9" name="Line 263"/>
                        <wps:cNvCnPr/>
                        <wps:spPr bwMode="auto">
                          <a:xfrm>
                            <a:off x="3975" y="4525"/>
                            <a:ext cx="424"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0" name="Line 264"/>
                        <wps:cNvCnPr/>
                        <wps:spPr bwMode="auto">
                          <a:xfrm>
                            <a:off x="3975" y="4943"/>
                            <a:ext cx="424"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1" name="Line 265"/>
                        <wps:cNvCnPr/>
                        <wps:spPr bwMode="auto">
                          <a:xfrm>
                            <a:off x="3975" y="2574"/>
                            <a:ext cx="424"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2" name="Line 266"/>
                        <wps:cNvCnPr/>
                        <wps:spPr bwMode="auto">
                          <a:xfrm flipV="1">
                            <a:off x="5810" y="2574"/>
                            <a:ext cx="424"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3" name="Line 267"/>
                        <wps:cNvCnPr/>
                        <wps:spPr bwMode="auto">
                          <a:xfrm>
                            <a:off x="5810" y="3410"/>
                            <a:ext cx="424"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4" name="Line 268"/>
                        <wps:cNvCnPr/>
                        <wps:spPr bwMode="auto">
                          <a:xfrm>
                            <a:off x="5810" y="4804"/>
                            <a:ext cx="424"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5" name="Line 269"/>
                        <wps:cNvCnPr/>
                        <wps:spPr bwMode="auto">
                          <a:xfrm>
                            <a:off x="5810" y="5779"/>
                            <a:ext cx="425"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6" name="Text Box 270"/>
                        <wps:cNvSpPr txBox="1">
                          <a:spLocks noChangeArrowheads="1"/>
                        </wps:cNvSpPr>
                        <wps:spPr bwMode="auto">
                          <a:xfrm>
                            <a:off x="7646" y="1890"/>
                            <a:ext cx="1835" cy="311"/>
                          </a:xfrm>
                          <a:prstGeom prst="rect">
                            <a:avLst/>
                          </a:prstGeom>
                          <a:solidFill>
                            <a:srgbClr val="FFFFFF"/>
                          </a:solidFill>
                          <a:ln w="9525">
                            <a:solidFill>
                              <a:srgbClr val="000000"/>
                            </a:solidFill>
                            <a:miter lim="800000"/>
                            <a:headEnd/>
                            <a:tailEnd/>
                          </a:ln>
                        </wps:spPr>
                        <wps:txbx>
                          <w:txbxContent>
                            <w:p w:rsidR="00BE40F8" w:rsidRPr="00416C03" w:rsidRDefault="00BE40F8" w:rsidP="00B233DE">
                              <w:pPr>
                                <w:ind w:firstLine="0"/>
                                <w:jc w:val="center"/>
                                <w:rPr>
                                  <w:rFonts w:ascii="Times New Roman" w:hAnsi="Times New Roman" w:cs="Times New Roman"/>
                                  <w:sz w:val="16"/>
                                  <w:szCs w:val="16"/>
                                </w:rPr>
                              </w:pPr>
                              <w:r w:rsidRPr="00416C03">
                                <w:rPr>
                                  <w:rFonts w:ascii="Times New Roman" w:hAnsi="Times New Roman" w:cs="Times New Roman"/>
                                  <w:sz w:val="16"/>
                                  <w:szCs w:val="16"/>
                                </w:rPr>
                                <w:t>Важелі міграційного перерозподілу ЛП</w:t>
                              </w:r>
                            </w:p>
                          </w:txbxContent>
                        </wps:txbx>
                        <wps:bodyPr rot="0" vert="horz" wrap="square" lIns="0" tIns="0" rIns="0" bIns="0" anchor="t" anchorCtr="0" upright="1">
                          <a:noAutofit/>
                        </wps:bodyPr>
                      </wps:wsp>
                      <wps:wsp>
                        <wps:cNvPr id="737" name="Text Box 271"/>
                        <wps:cNvSpPr txBox="1">
                          <a:spLocks noChangeArrowheads="1"/>
                        </wps:cNvSpPr>
                        <wps:spPr bwMode="auto">
                          <a:xfrm>
                            <a:off x="7646" y="2295"/>
                            <a:ext cx="1835" cy="3902"/>
                          </a:xfrm>
                          <a:prstGeom prst="rect">
                            <a:avLst/>
                          </a:prstGeom>
                          <a:solidFill>
                            <a:srgbClr val="FFFFFF">
                              <a:alpha val="0"/>
                            </a:srgbClr>
                          </a:solidFill>
                          <a:ln w="9525">
                            <a:solidFill>
                              <a:srgbClr val="000000"/>
                            </a:solidFill>
                            <a:prstDash val="dash"/>
                            <a:miter lim="800000"/>
                            <a:headEnd/>
                            <a:tailEnd/>
                          </a:ln>
                        </wps:spPr>
                        <wps:txbx>
                          <w:txbxContent>
                            <w:p w:rsidR="00BE40F8" w:rsidRPr="00BF1188" w:rsidRDefault="00BE40F8" w:rsidP="00B233DE">
                              <w:pPr>
                                <w:rPr>
                                  <w:rFonts w:ascii="Calibri" w:hAnsi="Calibri"/>
                                  <w:sz w:val="16"/>
                                  <w:szCs w:val="16"/>
                                </w:rPr>
                              </w:pPr>
                            </w:p>
                          </w:txbxContent>
                        </wps:txbx>
                        <wps:bodyPr rot="0" vert="horz" wrap="square" lIns="91440" tIns="45720" rIns="91440" bIns="45720" anchor="t" anchorCtr="0" upright="1">
                          <a:noAutofit/>
                        </wps:bodyPr>
                      </wps:wsp>
                      <wps:wsp>
                        <wps:cNvPr id="738" name="Text Box 272"/>
                        <wps:cNvSpPr txBox="1">
                          <a:spLocks noChangeArrowheads="1"/>
                        </wps:cNvSpPr>
                        <wps:spPr bwMode="auto">
                          <a:xfrm>
                            <a:off x="7787" y="2434"/>
                            <a:ext cx="1553" cy="208"/>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Рівень доходів населення</w:t>
                              </w:r>
                            </w:p>
                          </w:txbxContent>
                        </wps:txbx>
                        <wps:bodyPr rot="0" vert="horz" wrap="square" lIns="0" tIns="0" rIns="0" bIns="0" anchor="t" anchorCtr="0" upright="1">
                          <a:noAutofit/>
                        </wps:bodyPr>
                      </wps:wsp>
                      <wps:wsp>
                        <wps:cNvPr id="739" name="Text Box 273"/>
                        <wps:cNvSpPr txBox="1">
                          <a:spLocks noChangeArrowheads="1"/>
                        </wps:cNvSpPr>
                        <wps:spPr bwMode="auto">
                          <a:xfrm>
                            <a:off x="7787" y="2713"/>
                            <a:ext cx="1553" cy="208"/>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Рівень зайнятості населення</w:t>
                              </w:r>
                            </w:p>
                          </w:txbxContent>
                        </wps:txbx>
                        <wps:bodyPr rot="0" vert="horz" wrap="square" lIns="0" tIns="0" rIns="0" bIns="0" anchor="t" anchorCtr="0" upright="1">
                          <a:noAutofit/>
                        </wps:bodyPr>
                      </wps:wsp>
                      <wps:wsp>
                        <wps:cNvPr id="740" name="Text Box 274"/>
                        <wps:cNvSpPr txBox="1">
                          <a:spLocks noChangeArrowheads="1"/>
                        </wps:cNvSpPr>
                        <wps:spPr bwMode="auto">
                          <a:xfrm>
                            <a:off x="7787" y="3368"/>
                            <a:ext cx="1553" cy="373"/>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Умови здійснення підприємницької діяльності</w:t>
                              </w:r>
                            </w:p>
                          </w:txbxContent>
                        </wps:txbx>
                        <wps:bodyPr rot="0" vert="horz" wrap="square" lIns="0" tIns="0" rIns="0" bIns="0" anchor="t" anchorCtr="0" upright="1">
                          <a:noAutofit/>
                        </wps:bodyPr>
                      </wps:wsp>
                      <wps:wsp>
                        <wps:cNvPr id="741" name="Text Box 275"/>
                        <wps:cNvSpPr txBox="1">
                          <a:spLocks noChangeArrowheads="1"/>
                        </wps:cNvSpPr>
                        <wps:spPr bwMode="auto">
                          <a:xfrm>
                            <a:off x="7787" y="3785"/>
                            <a:ext cx="1553" cy="207"/>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Умови оподаткування</w:t>
                              </w:r>
                            </w:p>
                          </w:txbxContent>
                        </wps:txbx>
                        <wps:bodyPr rot="0" vert="horz" wrap="square" lIns="0" tIns="0" rIns="0" bIns="0" anchor="t" anchorCtr="0" upright="1">
                          <a:noAutofit/>
                        </wps:bodyPr>
                      </wps:wsp>
                      <wps:wsp>
                        <wps:cNvPr id="742" name="Text Box 276"/>
                        <wps:cNvSpPr txBox="1">
                          <a:spLocks noChangeArrowheads="1"/>
                        </wps:cNvSpPr>
                        <wps:spPr bwMode="auto">
                          <a:xfrm>
                            <a:off x="7787" y="4107"/>
                            <a:ext cx="1553" cy="208"/>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Умови здобуття освіти</w:t>
                              </w:r>
                            </w:p>
                          </w:txbxContent>
                        </wps:txbx>
                        <wps:bodyPr rot="0" vert="horz" wrap="square" lIns="0" tIns="0" rIns="0" bIns="0" anchor="t" anchorCtr="0" upright="1">
                          <a:noAutofit/>
                        </wps:bodyPr>
                      </wps:wsp>
                      <wps:wsp>
                        <wps:cNvPr id="743" name="Text Box 277"/>
                        <wps:cNvSpPr txBox="1">
                          <a:spLocks noChangeArrowheads="1"/>
                        </wps:cNvSpPr>
                        <wps:spPr bwMode="auto">
                          <a:xfrm>
                            <a:off x="7787" y="4385"/>
                            <a:ext cx="1553" cy="210"/>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Умови розвитку науки</w:t>
                              </w:r>
                            </w:p>
                          </w:txbxContent>
                        </wps:txbx>
                        <wps:bodyPr rot="0" vert="horz" wrap="square" lIns="0" tIns="0" rIns="0" bIns="0" anchor="t" anchorCtr="0" upright="1">
                          <a:noAutofit/>
                        </wps:bodyPr>
                      </wps:wsp>
                      <wps:wsp>
                        <wps:cNvPr id="744" name="Text Box 278"/>
                        <wps:cNvSpPr txBox="1">
                          <a:spLocks noChangeArrowheads="1"/>
                        </wps:cNvSpPr>
                        <wps:spPr bwMode="auto">
                          <a:xfrm>
                            <a:off x="7787" y="2992"/>
                            <a:ext cx="1553" cy="325"/>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Умови міграційного регулювання</w:t>
                              </w:r>
                            </w:p>
                          </w:txbxContent>
                        </wps:txbx>
                        <wps:bodyPr rot="0" vert="horz" wrap="square" lIns="0" tIns="0" rIns="0" bIns="0" anchor="t" anchorCtr="0" upright="1">
                          <a:noAutofit/>
                        </wps:bodyPr>
                      </wps:wsp>
                      <wps:wsp>
                        <wps:cNvPr id="745" name="Text Box 279"/>
                        <wps:cNvSpPr txBox="1">
                          <a:spLocks noChangeArrowheads="1"/>
                        </wps:cNvSpPr>
                        <wps:spPr bwMode="auto">
                          <a:xfrm>
                            <a:off x="7787" y="4664"/>
                            <a:ext cx="1553" cy="279"/>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Умови інноваційної діяльності</w:t>
                              </w:r>
                            </w:p>
                          </w:txbxContent>
                        </wps:txbx>
                        <wps:bodyPr rot="0" vert="horz" wrap="square" lIns="0" tIns="0" rIns="0" bIns="0" anchor="t" anchorCtr="0" upright="1">
                          <a:noAutofit/>
                        </wps:bodyPr>
                      </wps:wsp>
                      <wps:wsp>
                        <wps:cNvPr id="746" name="Text Box 280"/>
                        <wps:cNvSpPr txBox="1">
                          <a:spLocks noChangeArrowheads="1"/>
                        </wps:cNvSpPr>
                        <wps:spPr bwMode="auto">
                          <a:xfrm>
                            <a:off x="7787" y="5082"/>
                            <a:ext cx="1553" cy="279"/>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Умови соціального захисту населення</w:t>
                              </w:r>
                            </w:p>
                          </w:txbxContent>
                        </wps:txbx>
                        <wps:bodyPr rot="0" vert="horz" wrap="square" lIns="0" tIns="0" rIns="0" bIns="0" anchor="t" anchorCtr="0" upright="1">
                          <a:noAutofit/>
                        </wps:bodyPr>
                      </wps:wsp>
                      <wps:wsp>
                        <wps:cNvPr id="747" name="Text Box 281"/>
                        <wps:cNvSpPr txBox="1">
                          <a:spLocks noChangeArrowheads="1"/>
                        </wps:cNvSpPr>
                        <wps:spPr bwMode="auto">
                          <a:xfrm>
                            <a:off x="7787" y="5414"/>
                            <a:ext cx="1553" cy="373"/>
                          </a:xfrm>
                          <a:prstGeom prst="rect">
                            <a:avLst/>
                          </a:prstGeom>
                          <a:solidFill>
                            <a:srgbClr val="FFFFFF"/>
                          </a:solidFill>
                          <a:ln w="9525">
                            <a:solidFill>
                              <a:srgbClr val="000000"/>
                            </a:solidFill>
                            <a:miter lim="800000"/>
                            <a:headEnd/>
                            <a:tailEnd/>
                          </a:ln>
                        </wps:spPr>
                        <wps:txbx>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Умови забезпечення охорони здоров’я населення</w:t>
                              </w:r>
                            </w:p>
                          </w:txbxContent>
                        </wps:txbx>
                        <wps:bodyPr rot="0" vert="horz" wrap="square" lIns="0" tIns="0" rIns="0" bIns="0" anchor="t" anchorCtr="0" upright="1">
                          <a:noAutofit/>
                        </wps:bodyPr>
                      </wps:wsp>
                      <wpg:grpSp>
                        <wpg:cNvPr id="748" name="Group 282"/>
                        <wpg:cNvGrpSpPr>
                          <a:grpSpLocks/>
                        </wpg:cNvGrpSpPr>
                        <wpg:grpSpPr bwMode="auto">
                          <a:xfrm>
                            <a:off x="7363" y="2574"/>
                            <a:ext cx="424" cy="1315"/>
                            <a:chOff x="7363" y="2574"/>
                            <a:chExt cx="424" cy="1315"/>
                          </a:xfrm>
                        </wpg:grpSpPr>
                        <wps:wsp>
                          <wps:cNvPr id="749" name="Line 283"/>
                          <wps:cNvCnPr/>
                          <wps:spPr bwMode="auto">
                            <a:xfrm>
                              <a:off x="7363" y="2574"/>
                              <a:ext cx="424"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0" name="AutoShape 284"/>
                          <wps:cNvCnPr/>
                          <wps:spPr bwMode="auto">
                            <a:xfrm rot="5400000" flipV="1">
                              <a:off x="7453" y="2484"/>
                              <a:ext cx="243" cy="424"/>
                            </a:xfrm>
                            <a:prstGeom prst="bentConnector4">
                              <a:avLst>
                                <a:gd name="adj1" fmla="val 0"/>
                                <a:gd name="adj2" fmla="val 4703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751" name="AutoShape 285"/>
                          <wps:cNvCnPr/>
                          <wps:spPr bwMode="auto">
                            <a:xfrm rot="5400000" flipV="1">
                              <a:off x="7284" y="2653"/>
                              <a:ext cx="581" cy="424"/>
                            </a:xfrm>
                            <a:prstGeom prst="bentConnector4">
                              <a:avLst>
                                <a:gd name="adj1" fmla="val 0"/>
                                <a:gd name="adj2" fmla="val 4629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752" name="AutoShape 286"/>
                          <wps:cNvCnPr/>
                          <wps:spPr bwMode="auto">
                            <a:xfrm rot="5400000" flipV="1">
                              <a:off x="7084" y="2853"/>
                              <a:ext cx="981" cy="424"/>
                            </a:xfrm>
                            <a:prstGeom prst="bentConnector4">
                              <a:avLst>
                                <a:gd name="adj1" fmla="val -949"/>
                                <a:gd name="adj2" fmla="val 47778"/>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753" name="AutoShape 287"/>
                          <wps:cNvCnPr/>
                          <wps:spPr bwMode="auto">
                            <a:xfrm rot="5400000" flipV="1">
                              <a:off x="6917" y="3020"/>
                              <a:ext cx="1315" cy="424"/>
                            </a:xfrm>
                            <a:prstGeom prst="bentConnector4">
                              <a:avLst>
                                <a:gd name="adj1" fmla="val -769"/>
                                <a:gd name="adj2" fmla="val 47778"/>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grpSp>
                        <wpg:cNvPr id="754" name="Group 288"/>
                        <wpg:cNvGrpSpPr>
                          <a:grpSpLocks/>
                        </wpg:cNvGrpSpPr>
                        <wpg:grpSpPr bwMode="auto">
                          <a:xfrm>
                            <a:off x="7363" y="3511"/>
                            <a:ext cx="424" cy="1293"/>
                            <a:chOff x="7363" y="3511"/>
                            <a:chExt cx="424" cy="1293"/>
                          </a:xfrm>
                        </wpg:grpSpPr>
                        <wps:wsp>
                          <wps:cNvPr id="755" name="AutoShape 289"/>
                          <wps:cNvCnPr/>
                          <wps:spPr bwMode="auto">
                            <a:xfrm>
                              <a:off x="7363" y="3511"/>
                              <a:ext cx="424" cy="700"/>
                            </a:xfrm>
                            <a:prstGeom prst="bentConnector3">
                              <a:avLst>
                                <a:gd name="adj1" fmla="val 1833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756" name="AutoShape 290"/>
                          <wps:cNvCnPr/>
                          <wps:spPr bwMode="auto">
                            <a:xfrm>
                              <a:off x="7363" y="3511"/>
                              <a:ext cx="424" cy="979"/>
                            </a:xfrm>
                            <a:prstGeom prst="bentConnector3">
                              <a:avLst>
                                <a:gd name="adj1" fmla="val 1833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757" name="AutoShape 291"/>
                          <wps:cNvCnPr/>
                          <wps:spPr bwMode="auto">
                            <a:xfrm>
                              <a:off x="7363" y="3511"/>
                              <a:ext cx="424" cy="1293"/>
                            </a:xfrm>
                            <a:prstGeom prst="bentConnector3">
                              <a:avLst>
                                <a:gd name="adj1" fmla="val 19815"/>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758" name="AutoShape 292"/>
                        <wps:cNvCnPr/>
                        <wps:spPr bwMode="auto">
                          <a:xfrm rot="16200000" flipH="1">
                            <a:off x="7153" y="4588"/>
                            <a:ext cx="280" cy="988"/>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759" name="AutoShape 293"/>
                        <wps:cNvCnPr/>
                        <wps:spPr bwMode="auto">
                          <a:xfrm rot="16200000" flipH="1">
                            <a:off x="6964" y="4777"/>
                            <a:ext cx="658" cy="988"/>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760" name="Line 294"/>
                        <wps:cNvCnPr/>
                        <wps:spPr bwMode="auto">
                          <a:xfrm>
                            <a:off x="3128" y="2201"/>
                            <a:ext cx="1" cy="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1" name="Line 295"/>
                        <wps:cNvCnPr/>
                        <wps:spPr bwMode="auto">
                          <a:xfrm>
                            <a:off x="7363" y="5779"/>
                            <a:ext cx="28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62" name="Line 296"/>
                        <wps:cNvCnPr>
                          <a:stCxn id="700" idx="2"/>
                        </wps:cNvCnPr>
                        <wps:spPr bwMode="auto">
                          <a:xfrm>
                            <a:off x="5105" y="2200"/>
                            <a:ext cx="0" cy="9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3" name="Line 297"/>
                        <wps:cNvCnPr>
                          <a:stCxn id="699" idx="2"/>
                        </wps:cNvCnPr>
                        <wps:spPr bwMode="auto">
                          <a:xfrm>
                            <a:off x="6799" y="2200"/>
                            <a:ext cx="1" cy="9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4" name="Line 298"/>
                        <wps:cNvCnPr>
                          <a:stCxn id="736" idx="2"/>
                          <a:endCxn id="737" idx="0"/>
                        </wps:cNvCnPr>
                        <wps:spPr bwMode="auto">
                          <a:xfrm>
                            <a:off x="8564" y="2201"/>
                            <a:ext cx="0" cy="9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9480047" id="Группа 695" o:spid="_x0000_s1344" style="position:absolute;left:0;text-align:left;margin-left:10.6pt;margin-top:1.3pt;width:297pt;height:425.3pt;z-index:251689984;mso-position-horizontal-relative:text;mso-position-vertical-relative:text" coordorigin="2281,1890" coordsize="7200,43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">
                <v:shape id="Text Box 230" o:spid="_x0000_s1345" type="#_x0000_t202" style="position:absolute;left:4258;top:2295;width:1694;height:3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">
                  <v:fill opacity="0"/>
                  <v:stroke dashstyle="dash"/>
                  <v:textbox>
                    <w:txbxContent>
                      <w:p w:rsidR="00BE40F8" w:rsidRPr="00BF1188" w:rsidRDefault="00BE40F8" w:rsidP="00B233DE">
                        <w:pPr>
                          <w:ind w:firstLine="0"/>
                          <w:rPr>
                            <w:rFonts w:ascii="Calibri" w:hAnsi="Calibri"/>
                            <w:sz w:val="16"/>
                            <w:szCs w:val="16"/>
                          </w:rPr>
                        </w:pPr>
                      </w:p>
                    </w:txbxContent>
                  </v:textbox>
                </v:shape>
                <v:shape id="Text Box 231" o:spid="_x0000_s1346" type="#_x0000_t202" style="position:absolute;left:2281;top:2295;width:1835;height:3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">
                  <v:fill opacity="0"/>
                  <v:stroke dashstyle="dash"/>
                  <v:textbox>
                    <w:txbxContent>
                      <w:p w:rsidR="00BE40F8" w:rsidRPr="00BF1188" w:rsidRDefault="00BE40F8" w:rsidP="00B233DE">
                        <w:pPr>
                          <w:rPr>
                            <w:rFonts w:ascii="Calibri" w:hAnsi="Calibri"/>
                            <w:sz w:val="16"/>
                            <w:szCs w:val="16"/>
                          </w:rPr>
                        </w:pPr>
                      </w:p>
                    </w:txbxContent>
                  </v:textbox>
                </v:shape>
                <v:shape id="Text Box 232" o:spid="_x0000_s1347" type="#_x0000_t202" style="position:absolute;left:6093;top:2295;width:1412;height:3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">
                  <v:fill opacity="0"/>
                  <v:stroke dashstyle="dash"/>
                  <v:textbox>
                    <w:txbxContent>
                      <w:p w:rsidR="00BE40F8" w:rsidRPr="00BF1188" w:rsidRDefault="00BE40F8" w:rsidP="00B233DE">
                        <w:pPr>
                          <w:jc w:val="center"/>
                          <w:rPr>
                            <w:rFonts w:ascii="Calibri" w:hAnsi="Calibri"/>
                            <w:sz w:val="16"/>
                            <w:szCs w:val="16"/>
                          </w:rPr>
                        </w:pPr>
                      </w:p>
                    </w:txbxContent>
                  </v:textbox>
                </v:shape>
                <v:shape id="Text Box 233" o:spid="_x0000_s1348" type="#_x0000_t202" style="position:absolute;left:6093;top:1890;width:1412;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">
                  <v:textbox>
                    <w:txbxContent>
                      <w:p w:rsidR="00BE40F8" w:rsidRPr="00416C03" w:rsidRDefault="00BE40F8" w:rsidP="00B233DE">
                        <w:pPr>
                          <w:ind w:firstLine="0"/>
                          <w:jc w:val="center"/>
                          <w:rPr>
                            <w:rFonts w:ascii="Times New Roman" w:hAnsi="Times New Roman" w:cs="Times New Roman"/>
                            <w:sz w:val="16"/>
                            <w:szCs w:val="16"/>
                          </w:rPr>
                        </w:pPr>
                        <w:r w:rsidRPr="00416C03">
                          <w:rPr>
                            <w:rFonts w:ascii="Times New Roman" w:hAnsi="Times New Roman" w:cs="Times New Roman"/>
                            <w:sz w:val="16"/>
                            <w:szCs w:val="16"/>
                          </w:rPr>
                          <w:t>Чинники міграції</w:t>
                        </w:r>
                      </w:p>
                    </w:txbxContent>
                  </v:textbox>
                </v:shape>
                <v:shape id="Text Box 234" o:spid="_x0000_s1349" type="#_x0000_t202" style="position:absolute;left:4258;top:1890;width:1694;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">
                  <v:textbox>
                    <w:txbxContent>
                      <w:p w:rsidR="00BE40F8" w:rsidRPr="00416C03" w:rsidRDefault="00BE40F8" w:rsidP="00B233DE">
                        <w:pPr>
                          <w:ind w:firstLine="0"/>
                          <w:jc w:val="center"/>
                          <w:rPr>
                            <w:rFonts w:ascii="Times New Roman" w:hAnsi="Times New Roman" w:cs="Times New Roman"/>
                            <w:sz w:val="16"/>
                            <w:szCs w:val="16"/>
                          </w:rPr>
                        </w:pPr>
                        <w:r w:rsidRPr="00416C03">
                          <w:rPr>
                            <w:rFonts w:ascii="Times New Roman" w:hAnsi="Times New Roman" w:cs="Times New Roman"/>
                            <w:sz w:val="16"/>
                            <w:szCs w:val="16"/>
                          </w:rPr>
                          <w:t>Передумови міграції</w:t>
                        </w:r>
                      </w:p>
                    </w:txbxContent>
                  </v:textbox>
                </v:shape>
                <v:shape id="Text Box 235" o:spid="_x0000_s1350" type="#_x0000_t202" style="position:absolute;left:2281;top:1890;width:1836;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">
                  <v:textbox inset="0,0,0,0">
                    <w:txbxContent>
                      <w:p w:rsidR="00BE40F8" w:rsidRPr="00416C03" w:rsidRDefault="00BE40F8" w:rsidP="00B233DE">
                        <w:pPr>
                          <w:ind w:firstLine="0"/>
                          <w:jc w:val="center"/>
                          <w:rPr>
                            <w:rFonts w:ascii="Times New Roman" w:hAnsi="Times New Roman" w:cs="Times New Roman"/>
                            <w:sz w:val="16"/>
                            <w:szCs w:val="16"/>
                          </w:rPr>
                        </w:pPr>
                        <w:r w:rsidRPr="00416C03">
                          <w:rPr>
                            <w:rFonts w:ascii="Times New Roman" w:hAnsi="Times New Roman" w:cs="Times New Roman"/>
                            <w:sz w:val="16"/>
                            <w:szCs w:val="16"/>
                          </w:rPr>
                          <w:t xml:space="preserve">Стимули </w:t>
                        </w:r>
                        <w:r>
                          <w:rPr>
                            <w:rFonts w:ascii="Times New Roman" w:hAnsi="Times New Roman" w:cs="Times New Roman"/>
                            <w:sz w:val="16"/>
                            <w:szCs w:val="16"/>
                          </w:rPr>
                          <w:t>–</w:t>
                        </w:r>
                        <w:r w:rsidRPr="00416C03">
                          <w:rPr>
                            <w:rFonts w:ascii="Times New Roman" w:hAnsi="Times New Roman" w:cs="Times New Roman"/>
                            <w:sz w:val="16"/>
                            <w:szCs w:val="16"/>
                          </w:rPr>
                          <w:t xml:space="preserve"> нереалізо</w:t>
                        </w:r>
                        <w:r>
                          <w:rPr>
                            <w:rFonts w:ascii="Times New Roman" w:hAnsi="Times New Roman" w:cs="Times New Roman"/>
                            <w:sz w:val="16"/>
                            <w:szCs w:val="16"/>
                          </w:rPr>
                          <w:t>-</w:t>
                        </w:r>
                        <w:r w:rsidRPr="00416C03">
                          <w:rPr>
                            <w:rFonts w:ascii="Times New Roman" w:hAnsi="Times New Roman" w:cs="Times New Roman"/>
                            <w:sz w:val="16"/>
                            <w:szCs w:val="16"/>
                          </w:rPr>
                          <w:t>вані складові людсь</w:t>
                        </w:r>
                        <w:r>
                          <w:rPr>
                            <w:rFonts w:ascii="Times New Roman" w:hAnsi="Times New Roman" w:cs="Times New Roman"/>
                            <w:sz w:val="16"/>
                            <w:szCs w:val="16"/>
                          </w:rPr>
                          <w:t>-</w:t>
                        </w:r>
                        <w:r w:rsidRPr="00416C03">
                          <w:rPr>
                            <w:rFonts w:ascii="Times New Roman" w:hAnsi="Times New Roman" w:cs="Times New Roman"/>
                            <w:sz w:val="16"/>
                            <w:szCs w:val="16"/>
                          </w:rPr>
                          <w:t>кого потенціалу</w:t>
                        </w:r>
                      </w:p>
                    </w:txbxContent>
                  </v:textbox>
                </v:shape>
                <v:shape id="Text Box 236" o:spid="_x0000_s1351" type="#_x0000_t202" style="position:absolute;left:2422;top:2434;width:1553;height:2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трудова</w:t>
                        </w:r>
                      </w:p>
                    </w:txbxContent>
                  </v:textbox>
                </v:shape>
                <v:shape id="Text Box 237" o:spid="_x0000_s1352" type="#_x0000_t202" style="position:absolute;left:2422;top:2713;width:1553;height: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життєва</w:t>
                        </w:r>
                      </w:p>
                    </w:txbxContent>
                  </v:textbox>
                </v:shape>
                <v:shape id="Text Box 238" o:spid="_x0000_s1353" type="#_x0000_t202" style="position:absolute;left:2422;top:3131;width:1553;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освітньо-кваліфікаційна</w:t>
                        </w:r>
                      </w:p>
                    </w:txbxContent>
                  </v:textbox>
                </v:shape>
                <v:shape id="Text Box 239" o:spid="_x0000_s1354" type="#_x0000_t202" style="position:absolute;left:2422;top:3689;width:1553;height:2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інтелектуальна</w:t>
                        </w:r>
                      </w:p>
                    </w:txbxContent>
                  </v:textbox>
                </v:shape>
                <v:shape id="Text Box 240" o:spid="_x0000_s1355" type="#_x0000_t202" style="position:absolute;left:2422;top:4385;width:1553;height:2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соціальна</w:t>
                        </w:r>
                      </w:p>
                    </w:txbxContent>
                  </v:textbox>
                </v:shape>
                <v:shape id="Text Box 241" o:spid="_x0000_s1356" type="#_x0000_t202" style="position:absolute;left:2422;top:5500;width:1553;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громадянсько-політична</w:t>
                        </w:r>
                      </w:p>
                    </w:txbxContent>
                  </v:textbox>
                </v:shape>
                <v:shape id="Text Box 242" o:spid="_x0000_s1357" type="#_x0000_t202" style="position:absolute;left:2422;top:4804;width:1553;height:2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здоров’я</w:t>
                        </w:r>
                      </w:p>
                    </w:txbxContent>
                  </v:textbox>
                </v:shape>
                <v:shape id="Text Box 243" o:spid="_x0000_s1358" type="#_x0000_t202" style="position:absolute;left:4399;top:2434;width:1413;height:2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Низький рівень оплати праці</w:t>
                        </w:r>
                      </w:p>
                    </w:txbxContent>
                  </v:textbox>
                </v:shape>
                <v:shape id="Text Box 244" o:spid="_x0000_s1359" type="#_x0000_t202" style="position:absolute;left:4399;top:2626;width:1412;height:2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Високий рівень безробіття</w:t>
                        </w:r>
                      </w:p>
                    </w:txbxContent>
                  </v:textbox>
                </v:shape>
                <v:shape id="Text Box 245" o:spid="_x0000_s1360" type="#_x0000_t202" style="position:absolute;left:4399;top:2815;width:1412;height:2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Високий рівень бідності</w:t>
                        </w:r>
                      </w:p>
                    </w:txbxContent>
                  </v:textbox>
                </v:shape>
                <v:shape id="Text Box 246" o:spid="_x0000_s1361" type="#_x0000_t202" style="position:absolute;left:4388;top:3085;width:1413;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pacing w:val="-6"/>
                            <w:sz w:val="16"/>
                            <w:szCs w:val="16"/>
                          </w:rPr>
                        </w:pPr>
                        <w:r w:rsidRPr="003C0CFB">
                          <w:rPr>
                            <w:rFonts w:ascii="Times New Roman" w:hAnsi="Times New Roman" w:cs="Times New Roman"/>
                            <w:sz w:val="16"/>
                            <w:szCs w:val="16"/>
                          </w:rPr>
                          <w:t>Незадоволення умовами профе</w:t>
                        </w:r>
                        <w:r>
                          <w:rPr>
                            <w:rFonts w:ascii="Times New Roman" w:hAnsi="Times New Roman" w:cs="Times New Roman"/>
                            <w:sz w:val="16"/>
                            <w:szCs w:val="16"/>
                          </w:rPr>
                          <w:t>-</w:t>
                        </w:r>
                        <w:r w:rsidRPr="003C0CFB">
                          <w:rPr>
                            <w:rFonts w:ascii="Times New Roman" w:hAnsi="Times New Roman" w:cs="Times New Roman"/>
                            <w:spacing w:val="-6"/>
                            <w:sz w:val="16"/>
                            <w:szCs w:val="16"/>
                          </w:rPr>
                          <w:t>сійної діяльності</w:t>
                        </w:r>
                      </w:p>
                    </w:txbxContent>
                  </v:textbox>
                </v:shape>
                <v:shape id="Text Box 247" o:spid="_x0000_s1362" type="#_x0000_t202" style="position:absolute;left:4388;top:3410;width:1412;height: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Невідповідність виконуваної роботи профілю кваліфікації</w:t>
                        </w:r>
                      </w:p>
                    </w:txbxContent>
                  </v:textbox>
                </v:shape>
                <v:shape id="Text Box 248" o:spid="_x0000_s1363" type="#_x0000_t202" style="position:absolute;left:4388;top:3689;width:1412;height: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2"/>
                          </w:rPr>
                        </w:pPr>
                        <w:r w:rsidRPr="003C0CFB">
                          <w:rPr>
                            <w:rFonts w:ascii="Times New Roman" w:hAnsi="Times New Roman" w:cs="Times New Roman"/>
                            <w:sz w:val="16"/>
                            <w:szCs w:val="12"/>
                          </w:rPr>
                          <w:t>Прагнення до професійного зростання</w:t>
                        </w:r>
                      </w:p>
                    </w:txbxContent>
                  </v:textbox>
                </v:shape>
                <v:shape id="Text Box 249" o:spid="_x0000_s1364" type="#_x0000_t202" style="position:absolute;left:4388;top:3967;width:1412;height: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2"/>
                          </w:rPr>
                        </w:pPr>
                        <w:r w:rsidRPr="003C0CFB">
                          <w:rPr>
                            <w:rFonts w:ascii="Times New Roman" w:hAnsi="Times New Roman" w:cs="Times New Roman"/>
                            <w:sz w:val="16"/>
                            <w:szCs w:val="12"/>
                          </w:rPr>
                          <w:t>Неможливість реалізації знань та здібностей</w:t>
                        </w:r>
                      </w:p>
                    </w:txbxContent>
                  </v:textbox>
                </v:shape>
                <v:shape id="Text Box 250" o:spid="_x0000_s1365" type="#_x0000_t202" style="position:absolute;left:4399;top:4385;width:1412;height: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Низький рівень соціальної захищеності</w:t>
                        </w:r>
                      </w:p>
                    </w:txbxContent>
                  </v:textbox>
                </v:shape>
                <v:shape id="Text Box 251" o:spid="_x0000_s1366" type="#_x0000_t202" style="position:absolute;left:4399;top:4664;width:1412;height: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Низький рівень та якість життя</w:t>
                        </w:r>
                      </w:p>
                    </w:txbxContent>
                  </v:textbox>
                </v:shape>
                <v:shape id="Text Box 252" o:spid="_x0000_s1367" type="#_x0000_t202" style="position:absolute;left:4399;top:4943;width:1412;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">
                  <v:textbox inset="0,0,0,0">
                    <w:txbxContent>
                      <w:p w:rsidR="00BE40F8" w:rsidRPr="003C0CFB" w:rsidRDefault="00BE40F8" w:rsidP="00B233DE">
                        <w:pPr>
                          <w:ind w:firstLine="0"/>
                          <w:jc w:val="center"/>
                          <w:rPr>
                            <w:rFonts w:ascii="Times New Roman" w:hAnsi="Times New Roman" w:cs="Times New Roman"/>
                            <w:sz w:val="14"/>
                            <w:szCs w:val="14"/>
                          </w:rPr>
                        </w:pPr>
                        <w:r w:rsidRPr="003C0CFB">
                          <w:rPr>
                            <w:rFonts w:ascii="Times New Roman" w:hAnsi="Times New Roman" w:cs="Times New Roman"/>
                            <w:sz w:val="14"/>
                            <w:szCs w:val="14"/>
                          </w:rPr>
                          <w:t>Низький рівень розвитку галузей освіти та охорони здоров’я</w:t>
                        </w:r>
                      </w:p>
                    </w:txbxContent>
                  </v:textbox>
                </v:shape>
                <v:shape id="Text Box 253" o:spid="_x0000_s1368" type="#_x0000_t202" style="position:absolute;left:4399;top:5500;width:1412;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Невизначена (напружена) політична ситуація в державі</w:t>
                        </w:r>
                      </w:p>
                    </w:txbxContent>
                  </v:textbox>
                </v:shape>
                <v:shape id="Text Box 254" o:spid="_x0000_s1369" type="#_x0000_t202" style="position:absolute;left:4399;top:5779;width:1412;height: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Відсутність довіри до політичних інститутів</w:t>
                        </w:r>
                      </w:p>
                    </w:txbxContent>
                  </v:textbox>
                </v:shape>
                <v:shape id="Text Box 255" o:spid="_x0000_s1370" type="#_x0000_t202" style="position:absolute;left:6234;top:2434;width:1130;height: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Економічні</w:t>
                        </w:r>
                      </w:p>
                    </w:txbxContent>
                  </v:textbox>
                </v:shape>
                <v:shape id="Text Box 256" o:spid="_x0000_s1371" type="#_x0000_t202" style="position:absolute;left:6234;top:3271;width:1129;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Інтелектуально-профе</w:t>
                        </w:r>
                        <w:r>
                          <w:rPr>
                            <w:rFonts w:ascii="Times New Roman" w:hAnsi="Times New Roman" w:cs="Times New Roman"/>
                            <w:sz w:val="16"/>
                            <w:szCs w:val="16"/>
                          </w:rPr>
                          <w:t>-</w:t>
                        </w:r>
                        <w:r w:rsidRPr="003C0CFB">
                          <w:rPr>
                            <w:rFonts w:ascii="Times New Roman" w:hAnsi="Times New Roman" w:cs="Times New Roman"/>
                            <w:sz w:val="16"/>
                            <w:szCs w:val="16"/>
                          </w:rPr>
                          <w:t>сійні</w:t>
                        </w:r>
                      </w:p>
                    </w:txbxContent>
                  </v:textbox>
                </v:shape>
                <v:shape id="Text Box 257" o:spid="_x0000_s1372" type="#_x0000_t202" style="position:absolute;left:6234;top:4664;width:1129;height: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Соціальні</w:t>
                        </w:r>
                      </w:p>
                    </w:txbxContent>
                  </v:textbox>
                </v:shape>
                <v:shape id="Text Box 258" o:spid="_x0000_s1373" type="#_x0000_t202" style="position:absolute;left:6234;top:5686;width:1130;height: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Політичні</w:t>
                        </w:r>
                      </w:p>
                    </w:txbxContent>
                  </v:textbox>
                </v:shape>
                <v:line id="Line 259" o:spid="_x0000_s1374" style="position:absolute;visibility:visible;mso-wrap-style:square" from="3975,5779" to="4399,57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">
                  <v:stroke endarrow="block"/>
                </v:line>
                <v:line id="Line 260" o:spid="_x0000_s1375" style="position:absolute;visibility:visible;mso-wrap-style:square" from="3975,3410" to="4399,34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">
                  <v:stroke endarrow="block"/>
                </v:line>
                <v:line id="Line 261" o:spid="_x0000_s1376" style="position:absolute;flip:y;visibility:visible;mso-wrap-style:square" from="3975,2853" to="4399,2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">
                  <v:stroke endarrow="block"/>
                </v:line>
                <v:line id="Line 262" o:spid="_x0000_s1377" style="position:absolute;visibility:visible;mso-wrap-style:square" from="3975,3828" to="4399,3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">
                  <v:stroke endarrow="block"/>
                </v:line>
                <v:line id="Line 263" o:spid="_x0000_s1378" style="position:absolute;visibility:visible;mso-wrap-style:square" from="3975,4525" to="4399,4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">
                  <v:stroke endarrow="block"/>
                </v:line>
                <v:line id="Line 264" o:spid="_x0000_s1379" style="position:absolute;visibility:visible;mso-wrap-style:square" from="3975,4943" to="4399,4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">
                  <v:stroke endarrow="block"/>
                </v:line>
                <v:line id="Line 265" o:spid="_x0000_s1380" style="position:absolute;visibility:visible;mso-wrap-style:square" from="3975,2574" to="4399,2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">
                  <v:stroke endarrow="block"/>
                </v:line>
                <v:line id="Line 266" o:spid="_x0000_s1381" style="position:absolute;flip:y;visibility:visible;mso-wrap-style:square" from="5810,2574" to="6234,2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">
                  <v:stroke endarrow="block"/>
                </v:line>
                <v:line id="Line 267" o:spid="_x0000_s1382" style="position:absolute;visibility:visible;mso-wrap-style:square" from="5810,3410" to="6234,34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">
                  <v:stroke endarrow="block"/>
                </v:line>
                <v:line id="Line 268" o:spid="_x0000_s1383" style="position:absolute;visibility:visible;mso-wrap-style:square" from="5810,4804" to="6234,48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">
                  <v:stroke endarrow="block"/>
                </v:line>
                <v:line id="Line 269" o:spid="_x0000_s1384" style="position:absolute;visibility:visible;mso-wrap-style:square" from="5810,5779" to="6235,57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">
                  <v:stroke endarrow="block"/>
                </v:line>
                <v:shape id="Text Box 270" o:spid="_x0000_s1385" type="#_x0000_t202" style="position:absolute;left:7646;top:1890;width:1835;height: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">
                  <v:textbox inset="0,0,0,0">
                    <w:txbxContent>
                      <w:p w:rsidR="00BE40F8" w:rsidRPr="00416C03" w:rsidRDefault="00BE40F8" w:rsidP="00B233DE">
                        <w:pPr>
                          <w:ind w:firstLine="0"/>
                          <w:jc w:val="center"/>
                          <w:rPr>
                            <w:rFonts w:ascii="Times New Roman" w:hAnsi="Times New Roman" w:cs="Times New Roman"/>
                            <w:sz w:val="16"/>
                            <w:szCs w:val="16"/>
                          </w:rPr>
                        </w:pPr>
                        <w:r w:rsidRPr="00416C03">
                          <w:rPr>
                            <w:rFonts w:ascii="Times New Roman" w:hAnsi="Times New Roman" w:cs="Times New Roman"/>
                            <w:sz w:val="16"/>
                            <w:szCs w:val="16"/>
                          </w:rPr>
                          <w:t>Важелі міграційного перерозподілу ЛП</w:t>
                        </w:r>
                      </w:p>
                    </w:txbxContent>
                  </v:textbox>
                </v:shape>
                <v:shape id="Text Box 271" o:spid="_x0000_s1386" type="#_x0000_t202" style="position:absolute;left:7646;top:2295;width:1835;height:3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">
                  <v:fill opacity="0"/>
                  <v:stroke dashstyle="dash"/>
                  <v:textbox>
                    <w:txbxContent>
                      <w:p w:rsidR="00BE40F8" w:rsidRPr="00BF1188" w:rsidRDefault="00BE40F8" w:rsidP="00B233DE">
                        <w:pPr>
                          <w:rPr>
                            <w:rFonts w:ascii="Calibri" w:hAnsi="Calibri"/>
                            <w:sz w:val="16"/>
                            <w:szCs w:val="16"/>
                          </w:rPr>
                        </w:pPr>
                      </w:p>
                    </w:txbxContent>
                  </v:textbox>
                </v:shape>
                <v:shape id="Text Box 272" o:spid="_x0000_s1387" type="#_x0000_t202" style="position:absolute;left:7787;top:2434;width:1553;height:2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Рівень доходів населення</w:t>
                        </w:r>
                      </w:p>
                    </w:txbxContent>
                  </v:textbox>
                </v:shape>
                <v:shape id="Text Box 273" o:spid="_x0000_s1388" type="#_x0000_t202" style="position:absolute;left:7787;top:2713;width:1553;height:2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Рівень зайнятості населення</w:t>
                        </w:r>
                      </w:p>
                    </w:txbxContent>
                  </v:textbox>
                </v:shape>
                <v:shape id="Text Box 274" o:spid="_x0000_s1389" type="#_x0000_t202" style="position:absolute;left:7787;top:3368;width:1553;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Умови здійснення підприємницької діяльності</w:t>
                        </w:r>
                      </w:p>
                    </w:txbxContent>
                  </v:textbox>
                </v:shape>
                <v:shape id="Text Box 275" o:spid="_x0000_s1390" type="#_x0000_t202" style="position:absolute;left:7787;top:3785;width:1553;height: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Умови оподаткування</w:t>
                        </w:r>
                      </w:p>
                    </w:txbxContent>
                  </v:textbox>
                </v:shape>
                <v:shape id="Text Box 276" o:spid="_x0000_s1391" type="#_x0000_t202" style="position:absolute;left:7787;top:4107;width:1553;height:2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Умови здобуття освіти</w:t>
                        </w:r>
                      </w:p>
                    </w:txbxContent>
                  </v:textbox>
                </v:shape>
                <v:shape id="Text Box 277" o:spid="_x0000_s1392" type="#_x0000_t202" style="position:absolute;left:7787;top:4385;width:1553;height:2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Умови розвитку науки</w:t>
                        </w:r>
                      </w:p>
                    </w:txbxContent>
                  </v:textbox>
                </v:shape>
                <v:shape id="Text Box 278" o:spid="_x0000_s1393" type="#_x0000_t202" style="position:absolute;left:7787;top:2992;width:1553;height: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Умови міграційного регулювання</w:t>
                        </w:r>
                      </w:p>
                    </w:txbxContent>
                  </v:textbox>
                </v:shape>
                <v:shape id="Text Box 279" o:spid="_x0000_s1394" type="#_x0000_t202" style="position:absolute;left:7787;top:4664;width:1553;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Умови інноваційної діяльності</w:t>
                        </w:r>
                      </w:p>
                    </w:txbxContent>
                  </v:textbox>
                </v:shape>
                <v:shape id="Text Box 280" o:spid="_x0000_s1395" type="#_x0000_t202" style="position:absolute;left:7787;top:5082;width:1553;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Умови соціального захисту населення</w:t>
                        </w:r>
                      </w:p>
                    </w:txbxContent>
                  </v:textbox>
                </v:shape>
                <v:shape id="Text Box 281" o:spid="_x0000_s1396" type="#_x0000_t202" style="position:absolute;left:7787;top:5414;width:1553;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">
                  <v:textbox inset="0,0,0,0">
                    <w:txbxContent>
                      <w:p w:rsidR="00BE40F8" w:rsidRPr="003C0CFB" w:rsidRDefault="00BE40F8" w:rsidP="00B233DE">
                        <w:pPr>
                          <w:ind w:firstLine="0"/>
                          <w:jc w:val="center"/>
                          <w:rPr>
                            <w:rFonts w:ascii="Times New Roman" w:hAnsi="Times New Roman" w:cs="Times New Roman"/>
                            <w:sz w:val="16"/>
                            <w:szCs w:val="16"/>
                          </w:rPr>
                        </w:pPr>
                        <w:r w:rsidRPr="003C0CFB">
                          <w:rPr>
                            <w:rFonts w:ascii="Times New Roman" w:hAnsi="Times New Roman" w:cs="Times New Roman"/>
                            <w:sz w:val="16"/>
                            <w:szCs w:val="16"/>
                          </w:rPr>
                          <w:t>Умови забезпечення охорони здоров’я населення</w:t>
                        </w:r>
                      </w:p>
                    </w:txbxContent>
                  </v:textbox>
                </v:shape>
                <v:group id="Group 282" o:spid="_x0000_s1397" style="position:absolute;left:7363;top:2574;width:424;height:1315" coordorigin="7363,2574" coordsize="424,1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">
                  <v:line id="Line 283" o:spid="_x0000_s1398" style="position:absolute;visibility:visible;mso-wrap-style:square" from="7363,2574" to="7787,25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">
                    <v:stroke endarrow="block"/>
                  </v:lin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AutoShape 284" o:spid="_x0000_s1399" type="#_x0000_t35" style="position:absolute;left:7453;top:2484;width:243;height:424;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" adj="0,10159">
                    <v:stroke endarrow="block"/>
                  </v:shape>
                  <v:shape id="AutoShape 285" o:spid="_x0000_s1400" type="#_x0000_t35" style="position:absolute;left:7284;top:2653;width:581;height:424;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" adj="0,10000">
                    <v:stroke endarrow="block"/>
                  </v:shape>
                  <v:shape id="AutoShape 286" o:spid="_x0000_s1401" type="#_x0000_t35" style="position:absolute;left:7084;top:2853;width:981;height:424;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" adj="-205,10320">
                    <v:stroke endarrow="block"/>
                  </v:shape>
                  <v:shape id="AutoShape 287" o:spid="_x0000_s1402" type="#_x0000_t35" style="position:absolute;left:6917;top:3020;width:1315;height:424;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" adj="-166,10320">
                    <v:stroke endarrow="block"/>
                  </v:shape>
                </v:group>
                <v:group id="Group 288" o:spid="_x0000_s1403" style="position:absolute;left:7363;top:3511;width:424;height:1293" coordorigin="7363,3511" coordsize="424,12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89" o:spid="_x0000_s1404" type="#_x0000_t34" style="position:absolute;left:7363;top:3511;width:424;height:70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" adj="3960">
                    <v:stroke endarrow="block"/>
                  </v:shape>
                  <v:shape id="AutoShape 290" o:spid="_x0000_s1405" type="#_x0000_t34" style="position:absolute;left:7363;top:3511;width:424;height:97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" adj="3960">
                    <v:stroke endarrow="block"/>
                  </v:shape>
                  <v:shape id="AutoShape 291" o:spid="_x0000_s1406" type="#_x0000_t34" style="position:absolute;left:7363;top:3511;width:424;height:129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" adj="4280">
                    <v:stroke endarrow="block"/>
                  </v:shape>
                </v:group>
                <v:shape id="AutoShape 292" o:spid="_x0000_s1407" type="#_x0000_t33" style="position:absolute;left:7153;top:4588;width:280;height:988;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">
                  <v:stroke endarrow="block"/>
                </v:shape>
                <v:shape id="AutoShape 293" o:spid="_x0000_s1408" type="#_x0000_t33" style="position:absolute;left:6964;top:4777;width:658;height:988;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">
                  <v:stroke endarrow="block"/>
                </v:shape>
                <v:line id="Line 294" o:spid="_x0000_s1409" style="position:absolute;visibility:visible;mso-wrap-style:square" from="3128,2201" to="3129,22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"/>
                <v:line id="Line 295" o:spid="_x0000_s1410" style="position:absolute;visibility:visible;mso-wrap-style:square" from="7363,5779" to="7646,5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">
                  <v:stroke endarrow="block"/>
                </v:line>
                <v:line id="Line 296" o:spid="_x0000_s1411" style="position:absolute;visibility:visible;mso-wrap-style:square" from="5105,2200" to="5105,2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"/>
                <v:line id="Line 297" o:spid="_x0000_s1412" style="position:absolute;visibility:visible;mso-wrap-style:square" from="6799,2200" to="6800,2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"/>
                <v:line id="Line 298" o:spid="_x0000_s1413" style="position:absolute;visibility:visible;mso-wrap-style:square" from="8564,2201" to="8564,2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"/>
                <w10:wrap type="topAndBottom"/>
              </v:group>
            </w:pict>
          </mc:Fallback>
        </mc:AlternateContent>
      </w:r>
    </w:p>
    <w:p w:rsidR="00B233DE" w:rsidRPr="003363B6" w:rsidRDefault="00B233DE" w:rsidP="00B233DE">
      <w:pPr>
        <w:tabs>
          <w:tab w:val="left" w:pos="2880"/>
        </w:tabs>
        <w:ind w:firstLine="709"/>
        <w:jc w:val="center"/>
        <w:rPr>
          <w:rFonts w:ascii="Times New Roman" w:hAnsi="Times New Roman" w:cs="Times New Roman"/>
          <w:b/>
          <w:sz w:val="21"/>
          <w:szCs w:val="21"/>
        </w:rPr>
      </w:pPr>
      <w:r>
        <w:rPr>
          <w:rFonts w:ascii="Times New Roman" w:hAnsi="Times New Roman" w:cs="Times New Roman"/>
          <w:b/>
          <w:sz w:val="21"/>
          <w:szCs w:val="21"/>
        </w:rPr>
        <w:t>Рис.4.3.</w:t>
      </w:r>
      <w:r w:rsidRPr="003363B6">
        <w:rPr>
          <w:rFonts w:ascii="Times New Roman" w:hAnsi="Times New Roman" w:cs="Times New Roman"/>
          <w:b/>
          <w:sz w:val="21"/>
          <w:szCs w:val="21"/>
        </w:rPr>
        <w:t xml:space="preserve"> Стимули та чинники міграційного перерозподілу людського потенціалу*</w:t>
      </w:r>
    </w:p>
    <w:p w:rsidR="00B233DE" w:rsidRPr="003363B6" w:rsidRDefault="00B233DE" w:rsidP="00B233DE">
      <w:pPr>
        <w:ind w:firstLine="709"/>
        <w:jc w:val="both"/>
        <w:rPr>
          <w:rFonts w:ascii="Times New Roman" w:hAnsi="Times New Roman" w:cs="Times New Roman"/>
          <w:sz w:val="18"/>
          <w:szCs w:val="18"/>
        </w:rPr>
      </w:pPr>
      <w:r>
        <w:rPr>
          <w:rFonts w:ascii="Times New Roman" w:hAnsi="Times New Roman" w:cs="Times New Roman"/>
          <w:sz w:val="18"/>
          <w:szCs w:val="18"/>
        </w:rPr>
        <w:t>* - запропоновано автором розділу</w:t>
      </w:r>
    </w:p>
    <w:p w:rsidR="00B233DE" w:rsidRPr="00C4343A" w:rsidRDefault="00B233DE" w:rsidP="00B233DE">
      <w:pPr>
        <w:tabs>
          <w:tab w:val="left" w:pos="2880"/>
        </w:tabs>
        <w:ind w:firstLine="709"/>
        <w:jc w:val="both"/>
        <w:rPr>
          <w:rFonts w:ascii="Times New Roman" w:hAnsi="Times New Roman" w:cs="Times New Roman"/>
          <w:sz w:val="21"/>
          <w:szCs w:val="21"/>
        </w:rPr>
      </w:pPr>
      <w:r w:rsidRPr="00C4343A">
        <w:rPr>
          <w:rFonts w:ascii="Times New Roman" w:hAnsi="Times New Roman" w:cs="Times New Roman"/>
          <w:sz w:val="21"/>
          <w:szCs w:val="21"/>
        </w:rPr>
        <w:lastRenderedPageBreak/>
        <w:t xml:space="preserve">Кожен із видів чинників характеризується відповідним проявом та мотиваційним значенням для окремих груп мігрантів (табл. </w:t>
      </w:r>
      <w:r>
        <w:rPr>
          <w:rFonts w:ascii="Times New Roman" w:hAnsi="Times New Roman" w:cs="Times New Roman"/>
          <w:sz w:val="21"/>
          <w:szCs w:val="21"/>
        </w:rPr>
        <w:t>4</w:t>
      </w:r>
      <w:r w:rsidRPr="00C4343A">
        <w:rPr>
          <w:rFonts w:ascii="Times New Roman" w:hAnsi="Times New Roman" w:cs="Times New Roman"/>
          <w:sz w:val="21"/>
          <w:szCs w:val="21"/>
        </w:rPr>
        <w:t>.</w:t>
      </w:r>
      <w:r>
        <w:rPr>
          <w:rFonts w:ascii="Times New Roman" w:hAnsi="Times New Roman" w:cs="Times New Roman"/>
          <w:sz w:val="21"/>
          <w:szCs w:val="21"/>
        </w:rPr>
        <w:t>2)</w:t>
      </w:r>
      <w:r w:rsidRPr="00C4343A">
        <w:rPr>
          <w:rFonts w:ascii="Times New Roman" w:hAnsi="Times New Roman" w:cs="Times New Roman"/>
          <w:sz w:val="21"/>
          <w:szCs w:val="21"/>
        </w:rPr>
        <w:t xml:space="preserve">. </w:t>
      </w:r>
    </w:p>
    <w:p w:rsidR="00B233DE" w:rsidRDefault="00B233DE" w:rsidP="00B233DE">
      <w:pPr>
        <w:tabs>
          <w:tab w:val="left" w:pos="2880"/>
        </w:tabs>
        <w:ind w:firstLine="720"/>
        <w:jc w:val="both"/>
        <w:rPr>
          <w:rFonts w:ascii="Times New Roman" w:hAnsi="Times New Roman" w:cs="Times New Roman"/>
          <w:sz w:val="21"/>
          <w:szCs w:val="21"/>
        </w:rPr>
      </w:pPr>
    </w:p>
    <w:p w:rsidR="00B233DE" w:rsidRPr="00C4343A" w:rsidRDefault="00B233DE" w:rsidP="00B233DE">
      <w:pPr>
        <w:tabs>
          <w:tab w:val="left" w:pos="2880"/>
        </w:tabs>
        <w:ind w:firstLine="720"/>
        <w:jc w:val="right"/>
        <w:rPr>
          <w:rFonts w:ascii="Times New Roman" w:hAnsi="Times New Roman" w:cs="Times New Roman"/>
          <w:sz w:val="21"/>
          <w:szCs w:val="21"/>
        </w:rPr>
      </w:pPr>
      <w:r w:rsidRPr="00C4343A">
        <w:rPr>
          <w:rFonts w:ascii="Times New Roman" w:hAnsi="Times New Roman" w:cs="Times New Roman"/>
          <w:sz w:val="21"/>
          <w:szCs w:val="21"/>
        </w:rPr>
        <w:t xml:space="preserve">Таблиця </w:t>
      </w:r>
      <w:r>
        <w:rPr>
          <w:rFonts w:ascii="Times New Roman" w:hAnsi="Times New Roman" w:cs="Times New Roman"/>
          <w:sz w:val="21"/>
          <w:szCs w:val="21"/>
        </w:rPr>
        <w:t>4</w:t>
      </w:r>
      <w:r w:rsidRPr="00C4343A">
        <w:rPr>
          <w:rFonts w:ascii="Times New Roman" w:hAnsi="Times New Roman" w:cs="Times New Roman"/>
          <w:sz w:val="21"/>
          <w:szCs w:val="21"/>
        </w:rPr>
        <w:t>.</w:t>
      </w:r>
      <w:r>
        <w:rPr>
          <w:rFonts w:ascii="Times New Roman" w:hAnsi="Times New Roman" w:cs="Times New Roman"/>
          <w:sz w:val="21"/>
          <w:szCs w:val="21"/>
        </w:rPr>
        <w:t>2</w:t>
      </w:r>
    </w:p>
    <w:p w:rsidR="00B233DE" w:rsidRPr="006D3283" w:rsidRDefault="00B233DE" w:rsidP="00B233DE">
      <w:pPr>
        <w:tabs>
          <w:tab w:val="left" w:pos="2880"/>
        </w:tabs>
        <w:ind w:firstLine="720"/>
        <w:jc w:val="center"/>
        <w:rPr>
          <w:rFonts w:ascii="Times New Roman" w:hAnsi="Times New Roman" w:cs="Times New Roman"/>
          <w:b/>
          <w:sz w:val="21"/>
          <w:szCs w:val="21"/>
        </w:rPr>
      </w:pPr>
      <w:r w:rsidRPr="006D3283">
        <w:rPr>
          <w:rFonts w:ascii="Times New Roman" w:hAnsi="Times New Roman" w:cs="Times New Roman"/>
          <w:b/>
          <w:sz w:val="21"/>
          <w:szCs w:val="21"/>
        </w:rPr>
        <w:t>Чинники міграційного перерозподілу людського потенціалу*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1"/>
        <w:gridCol w:w="4389"/>
      </w:tblGrid>
      <w:tr w:rsidR="00B233DE" w:rsidRPr="00C4343A" w:rsidTr="0023489B">
        <w:tc>
          <w:tcPr>
            <w:tcW w:w="1951" w:type="dxa"/>
          </w:tcPr>
          <w:p w:rsidR="00B233DE" w:rsidRPr="00C4343A" w:rsidRDefault="00B233DE" w:rsidP="0023489B">
            <w:pPr>
              <w:tabs>
                <w:tab w:val="left" w:pos="2880"/>
              </w:tabs>
              <w:ind w:firstLine="0"/>
              <w:jc w:val="center"/>
              <w:rPr>
                <w:rFonts w:ascii="Times New Roman" w:hAnsi="Times New Roman" w:cs="Times New Roman"/>
                <w:sz w:val="16"/>
                <w:szCs w:val="16"/>
              </w:rPr>
            </w:pPr>
            <w:r w:rsidRPr="00C4343A">
              <w:rPr>
                <w:rFonts w:ascii="Times New Roman" w:hAnsi="Times New Roman" w:cs="Times New Roman"/>
                <w:sz w:val="16"/>
                <w:szCs w:val="16"/>
              </w:rPr>
              <w:t>Чинник</w:t>
            </w:r>
          </w:p>
        </w:tc>
        <w:tc>
          <w:tcPr>
            <w:tcW w:w="4389" w:type="dxa"/>
          </w:tcPr>
          <w:p w:rsidR="00B233DE" w:rsidRPr="00C4343A" w:rsidRDefault="00B233DE" w:rsidP="0023489B">
            <w:pPr>
              <w:tabs>
                <w:tab w:val="left" w:pos="2880"/>
              </w:tabs>
              <w:ind w:firstLine="0"/>
              <w:jc w:val="center"/>
              <w:rPr>
                <w:rFonts w:ascii="Times New Roman" w:hAnsi="Times New Roman" w:cs="Times New Roman"/>
                <w:sz w:val="16"/>
                <w:szCs w:val="16"/>
              </w:rPr>
            </w:pPr>
            <w:r w:rsidRPr="00C4343A">
              <w:rPr>
                <w:rFonts w:ascii="Times New Roman" w:hAnsi="Times New Roman" w:cs="Times New Roman"/>
                <w:sz w:val="16"/>
                <w:szCs w:val="16"/>
              </w:rPr>
              <w:t>Прояв</w:t>
            </w:r>
          </w:p>
        </w:tc>
      </w:tr>
      <w:tr w:rsidR="00B233DE" w:rsidRPr="00C4343A" w:rsidTr="0023489B">
        <w:tc>
          <w:tcPr>
            <w:tcW w:w="1951" w:type="dxa"/>
          </w:tcPr>
          <w:p w:rsidR="00B233DE" w:rsidRDefault="00B233DE" w:rsidP="0023489B">
            <w:pPr>
              <w:tabs>
                <w:tab w:val="left" w:pos="2880"/>
              </w:tabs>
              <w:ind w:firstLine="0"/>
              <w:jc w:val="both"/>
              <w:rPr>
                <w:rFonts w:ascii="Times New Roman" w:hAnsi="Times New Roman" w:cs="Times New Roman"/>
                <w:sz w:val="16"/>
                <w:szCs w:val="16"/>
              </w:rPr>
            </w:pPr>
            <w:r w:rsidRPr="00C4343A">
              <w:rPr>
                <w:rFonts w:ascii="Times New Roman" w:hAnsi="Times New Roman" w:cs="Times New Roman"/>
                <w:sz w:val="16"/>
                <w:szCs w:val="16"/>
              </w:rPr>
              <w:t xml:space="preserve">Економічний (різниця </w:t>
            </w:r>
          </w:p>
          <w:p w:rsidR="00B233DE" w:rsidRPr="00C4343A" w:rsidRDefault="00B233DE" w:rsidP="0023489B">
            <w:pPr>
              <w:tabs>
                <w:tab w:val="left" w:pos="2880"/>
              </w:tabs>
              <w:ind w:firstLine="0"/>
              <w:jc w:val="both"/>
              <w:rPr>
                <w:rFonts w:ascii="Times New Roman" w:hAnsi="Times New Roman" w:cs="Times New Roman"/>
                <w:sz w:val="16"/>
                <w:szCs w:val="16"/>
              </w:rPr>
            </w:pPr>
            <w:r w:rsidRPr="00C4343A">
              <w:rPr>
                <w:rFonts w:ascii="Times New Roman" w:hAnsi="Times New Roman" w:cs="Times New Roman"/>
                <w:sz w:val="16"/>
                <w:szCs w:val="16"/>
              </w:rPr>
              <w:t>у рівні заробітної плати)</w:t>
            </w:r>
          </w:p>
        </w:tc>
        <w:tc>
          <w:tcPr>
            <w:tcW w:w="4389" w:type="dxa"/>
          </w:tcPr>
          <w:p w:rsidR="00B233DE" w:rsidRPr="00C4343A" w:rsidRDefault="00B233DE" w:rsidP="0023489B">
            <w:pPr>
              <w:tabs>
                <w:tab w:val="left" w:pos="2880"/>
              </w:tabs>
              <w:ind w:firstLine="0"/>
              <w:jc w:val="both"/>
              <w:rPr>
                <w:rFonts w:ascii="Times New Roman" w:hAnsi="Times New Roman" w:cs="Times New Roman"/>
                <w:sz w:val="16"/>
                <w:szCs w:val="16"/>
              </w:rPr>
            </w:pPr>
            <w:r w:rsidRPr="00C4343A">
              <w:rPr>
                <w:rFonts w:ascii="Times New Roman" w:hAnsi="Times New Roman" w:cs="Times New Roman"/>
                <w:sz w:val="16"/>
                <w:szCs w:val="16"/>
              </w:rPr>
              <w:t>Згідно економічних теорій міграції, є ключовим її чинником. Найбільше мотиваційне значення має для окремих професій, де знання та навики є універсальними для всіх регіонів світу (медичні працівники, інженери, спеціалісти з програмного забезпечення)</w:t>
            </w:r>
          </w:p>
        </w:tc>
      </w:tr>
      <w:tr w:rsidR="00B233DE" w:rsidRPr="00C4343A" w:rsidTr="0023489B">
        <w:tc>
          <w:tcPr>
            <w:tcW w:w="1951" w:type="dxa"/>
          </w:tcPr>
          <w:p w:rsidR="00B233DE" w:rsidRPr="00C4343A" w:rsidRDefault="00B233DE" w:rsidP="0023489B">
            <w:pPr>
              <w:tabs>
                <w:tab w:val="left" w:pos="2880"/>
              </w:tabs>
              <w:ind w:firstLine="0"/>
              <w:jc w:val="both"/>
              <w:rPr>
                <w:rFonts w:ascii="Times New Roman" w:hAnsi="Times New Roman" w:cs="Times New Roman"/>
                <w:sz w:val="16"/>
                <w:szCs w:val="16"/>
              </w:rPr>
            </w:pPr>
            <w:r w:rsidRPr="00C4343A">
              <w:rPr>
                <w:rFonts w:ascii="Times New Roman" w:hAnsi="Times New Roman" w:cs="Times New Roman"/>
                <w:sz w:val="16"/>
                <w:szCs w:val="16"/>
              </w:rPr>
              <w:t>Трудовий (можливість працевлаштування)</w:t>
            </w:r>
          </w:p>
        </w:tc>
        <w:tc>
          <w:tcPr>
            <w:tcW w:w="4389" w:type="dxa"/>
          </w:tcPr>
          <w:p w:rsidR="00B233DE" w:rsidRPr="00C4343A" w:rsidRDefault="00B233DE" w:rsidP="0023489B">
            <w:pPr>
              <w:tabs>
                <w:tab w:val="left" w:pos="2880"/>
              </w:tabs>
              <w:ind w:firstLine="0"/>
              <w:jc w:val="both"/>
              <w:rPr>
                <w:rFonts w:ascii="Times New Roman" w:hAnsi="Times New Roman" w:cs="Times New Roman"/>
                <w:sz w:val="16"/>
                <w:szCs w:val="16"/>
              </w:rPr>
            </w:pPr>
            <w:r w:rsidRPr="00C4343A">
              <w:rPr>
                <w:rFonts w:ascii="Times New Roman" w:hAnsi="Times New Roman" w:cs="Times New Roman"/>
                <w:sz w:val="16"/>
                <w:szCs w:val="16"/>
              </w:rPr>
              <w:t>Мотиваційне значення залежить від того, на якому етапі в професійному розвитку знаходиться потенційний мігрант. Найбільший прояв має серед студентів, які ще не визначились з працевлаштуванням, та осіб, що втратили роботу</w:t>
            </w:r>
          </w:p>
        </w:tc>
      </w:tr>
      <w:tr w:rsidR="00B233DE" w:rsidRPr="00C4343A" w:rsidTr="0023489B">
        <w:tc>
          <w:tcPr>
            <w:tcW w:w="1951" w:type="dxa"/>
          </w:tcPr>
          <w:p w:rsidR="00B233DE" w:rsidRPr="00C4343A" w:rsidRDefault="00B233DE" w:rsidP="0023489B">
            <w:pPr>
              <w:tabs>
                <w:tab w:val="left" w:pos="2880"/>
              </w:tabs>
              <w:ind w:firstLine="0"/>
              <w:jc w:val="both"/>
              <w:rPr>
                <w:rFonts w:ascii="Times New Roman" w:hAnsi="Times New Roman" w:cs="Times New Roman"/>
                <w:sz w:val="16"/>
                <w:szCs w:val="16"/>
              </w:rPr>
            </w:pPr>
            <w:r w:rsidRPr="00C4343A">
              <w:rPr>
                <w:rFonts w:ascii="Times New Roman" w:hAnsi="Times New Roman" w:cs="Times New Roman"/>
                <w:sz w:val="16"/>
                <w:szCs w:val="16"/>
              </w:rPr>
              <w:t>Освітньо-кваліфікаційний (професійний розвиток)</w:t>
            </w:r>
          </w:p>
        </w:tc>
        <w:tc>
          <w:tcPr>
            <w:tcW w:w="4389" w:type="dxa"/>
          </w:tcPr>
          <w:p w:rsidR="00B233DE" w:rsidRPr="00C4343A" w:rsidRDefault="00B233DE" w:rsidP="0023489B">
            <w:pPr>
              <w:tabs>
                <w:tab w:val="left" w:pos="2880"/>
              </w:tabs>
              <w:ind w:firstLine="0"/>
              <w:jc w:val="both"/>
              <w:rPr>
                <w:rFonts w:ascii="Times New Roman" w:hAnsi="Times New Roman" w:cs="Times New Roman"/>
                <w:sz w:val="16"/>
                <w:szCs w:val="16"/>
              </w:rPr>
            </w:pPr>
            <w:r w:rsidRPr="00C4343A">
              <w:rPr>
                <w:rFonts w:ascii="Times New Roman" w:hAnsi="Times New Roman" w:cs="Times New Roman"/>
                <w:sz w:val="16"/>
                <w:szCs w:val="16"/>
              </w:rPr>
              <w:t>Найчастіше виступає причиною міграції високо</w:t>
            </w:r>
            <w:r>
              <w:rPr>
                <w:rFonts w:ascii="Times New Roman" w:hAnsi="Times New Roman" w:cs="Times New Roman"/>
                <w:sz w:val="16"/>
                <w:szCs w:val="16"/>
              </w:rPr>
              <w:t>-</w:t>
            </w:r>
            <w:r w:rsidRPr="00C4343A">
              <w:rPr>
                <w:rFonts w:ascii="Times New Roman" w:hAnsi="Times New Roman" w:cs="Times New Roman"/>
                <w:sz w:val="16"/>
                <w:szCs w:val="16"/>
              </w:rPr>
              <w:t>кваліфікованих працівників, яких заохочує можливість підвищити кваліфікацію та набути необхідний досвід</w:t>
            </w:r>
          </w:p>
        </w:tc>
      </w:tr>
      <w:tr w:rsidR="00B233DE" w:rsidRPr="00C4343A" w:rsidTr="0023489B">
        <w:tc>
          <w:tcPr>
            <w:tcW w:w="1951" w:type="dxa"/>
          </w:tcPr>
          <w:p w:rsidR="00B233DE" w:rsidRDefault="00B233DE" w:rsidP="0023489B">
            <w:pPr>
              <w:tabs>
                <w:tab w:val="left" w:pos="2880"/>
              </w:tabs>
              <w:ind w:firstLine="0"/>
              <w:jc w:val="both"/>
              <w:rPr>
                <w:rFonts w:ascii="Times New Roman" w:hAnsi="Times New Roman" w:cs="Times New Roman"/>
                <w:sz w:val="16"/>
                <w:szCs w:val="16"/>
              </w:rPr>
            </w:pPr>
            <w:r w:rsidRPr="00C4343A">
              <w:rPr>
                <w:rFonts w:ascii="Times New Roman" w:hAnsi="Times New Roman" w:cs="Times New Roman"/>
                <w:sz w:val="16"/>
                <w:szCs w:val="16"/>
              </w:rPr>
              <w:t>Соціальний (професійні</w:t>
            </w:r>
          </w:p>
          <w:p w:rsidR="00B233DE" w:rsidRPr="00C4343A" w:rsidRDefault="00B233DE" w:rsidP="0023489B">
            <w:pPr>
              <w:tabs>
                <w:tab w:val="left" w:pos="2880"/>
              </w:tabs>
              <w:ind w:firstLine="0"/>
              <w:jc w:val="both"/>
              <w:rPr>
                <w:rFonts w:ascii="Times New Roman" w:hAnsi="Times New Roman" w:cs="Times New Roman"/>
                <w:sz w:val="16"/>
                <w:szCs w:val="16"/>
              </w:rPr>
            </w:pPr>
            <w:r w:rsidRPr="00C4343A">
              <w:rPr>
                <w:rFonts w:ascii="Times New Roman" w:hAnsi="Times New Roman" w:cs="Times New Roman"/>
                <w:sz w:val="16"/>
                <w:szCs w:val="16"/>
              </w:rPr>
              <w:t xml:space="preserve"> та соціальні мережі)</w:t>
            </w:r>
          </w:p>
        </w:tc>
        <w:tc>
          <w:tcPr>
            <w:tcW w:w="4389" w:type="dxa"/>
          </w:tcPr>
          <w:p w:rsidR="00B233DE" w:rsidRPr="00C4343A" w:rsidRDefault="00B233DE" w:rsidP="0023489B">
            <w:pPr>
              <w:tabs>
                <w:tab w:val="left" w:pos="2880"/>
              </w:tabs>
              <w:ind w:firstLine="0"/>
              <w:jc w:val="both"/>
              <w:rPr>
                <w:rFonts w:ascii="Times New Roman" w:hAnsi="Times New Roman" w:cs="Times New Roman"/>
                <w:sz w:val="16"/>
                <w:szCs w:val="16"/>
              </w:rPr>
            </w:pPr>
            <w:r w:rsidRPr="00C4343A">
              <w:rPr>
                <w:rFonts w:ascii="Times New Roman" w:hAnsi="Times New Roman" w:cs="Times New Roman"/>
                <w:sz w:val="16"/>
                <w:szCs w:val="16"/>
              </w:rPr>
              <w:t>Виявляються вагомою причиною еміграції та рееміграції через возз’єднання сімей, наявність друзів, близьких родичів та колег за кордоном</w:t>
            </w:r>
          </w:p>
        </w:tc>
      </w:tr>
      <w:tr w:rsidR="00B233DE" w:rsidRPr="00C4343A" w:rsidTr="0023489B">
        <w:tc>
          <w:tcPr>
            <w:tcW w:w="1951" w:type="dxa"/>
          </w:tcPr>
          <w:p w:rsidR="00B233DE" w:rsidRDefault="00B233DE" w:rsidP="0023489B">
            <w:pPr>
              <w:tabs>
                <w:tab w:val="left" w:pos="2880"/>
              </w:tabs>
              <w:ind w:firstLine="0"/>
              <w:jc w:val="both"/>
              <w:rPr>
                <w:rFonts w:ascii="Times New Roman" w:hAnsi="Times New Roman" w:cs="Times New Roman"/>
                <w:sz w:val="16"/>
                <w:szCs w:val="16"/>
              </w:rPr>
            </w:pPr>
            <w:r w:rsidRPr="00C4343A">
              <w:rPr>
                <w:rFonts w:ascii="Times New Roman" w:hAnsi="Times New Roman" w:cs="Times New Roman"/>
                <w:sz w:val="16"/>
                <w:szCs w:val="16"/>
              </w:rPr>
              <w:t xml:space="preserve">Політичний (соціоекономічні </w:t>
            </w:r>
          </w:p>
          <w:p w:rsidR="00B233DE" w:rsidRPr="00C4343A" w:rsidRDefault="00B233DE" w:rsidP="0023489B">
            <w:pPr>
              <w:tabs>
                <w:tab w:val="left" w:pos="2880"/>
              </w:tabs>
              <w:ind w:firstLine="0"/>
              <w:jc w:val="both"/>
              <w:rPr>
                <w:rFonts w:ascii="Times New Roman" w:hAnsi="Times New Roman" w:cs="Times New Roman"/>
                <w:sz w:val="16"/>
                <w:szCs w:val="16"/>
              </w:rPr>
            </w:pPr>
            <w:r w:rsidRPr="00C4343A">
              <w:rPr>
                <w:rFonts w:ascii="Times New Roman" w:hAnsi="Times New Roman" w:cs="Times New Roman"/>
                <w:sz w:val="16"/>
                <w:szCs w:val="16"/>
              </w:rPr>
              <w:t>і політичні умови)</w:t>
            </w:r>
          </w:p>
        </w:tc>
        <w:tc>
          <w:tcPr>
            <w:tcW w:w="4389" w:type="dxa"/>
          </w:tcPr>
          <w:p w:rsidR="00B233DE" w:rsidRPr="00C4343A" w:rsidRDefault="00B233DE" w:rsidP="0023489B">
            <w:pPr>
              <w:tabs>
                <w:tab w:val="left" w:pos="2880"/>
              </w:tabs>
              <w:ind w:firstLine="0"/>
              <w:jc w:val="both"/>
              <w:rPr>
                <w:rFonts w:ascii="Times New Roman" w:hAnsi="Times New Roman" w:cs="Times New Roman"/>
                <w:sz w:val="16"/>
                <w:szCs w:val="16"/>
              </w:rPr>
            </w:pPr>
            <w:r w:rsidRPr="00C4343A">
              <w:rPr>
                <w:rFonts w:ascii="Times New Roman" w:hAnsi="Times New Roman" w:cs="Times New Roman"/>
                <w:sz w:val="16"/>
                <w:szCs w:val="16"/>
              </w:rPr>
              <w:t>В багатьох опитуваннях, проведених в країнах з нестабільною політичною ситуацією, даний чинник виступає основним мотивом міграції, особливо для студентів, викладачів та дослідників</w:t>
            </w:r>
          </w:p>
        </w:tc>
      </w:tr>
    </w:tbl>
    <w:p w:rsidR="00B233DE" w:rsidRPr="006D3283" w:rsidRDefault="00B233DE" w:rsidP="00B233DE">
      <w:pPr>
        <w:tabs>
          <w:tab w:val="left" w:pos="2880"/>
        </w:tabs>
        <w:ind w:firstLine="720"/>
        <w:jc w:val="both"/>
        <w:rPr>
          <w:rFonts w:ascii="Times New Roman" w:hAnsi="Times New Roman" w:cs="Times New Roman"/>
          <w:sz w:val="18"/>
          <w:szCs w:val="18"/>
        </w:rPr>
      </w:pPr>
      <w:r>
        <w:rPr>
          <w:rFonts w:ascii="Times New Roman" w:hAnsi="Times New Roman" w:cs="Times New Roman"/>
          <w:sz w:val="18"/>
          <w:szCs w:val="18"/>
        </w:rPr>
        <w:t xml:space="preserve">* - </w:t>
      </w:r>
      <w:r w:rsidRPr="006D3283">
        <w:rPr>
          <w:rFonts w:ascii="Times New Roman" w:hAnsi="Times New Roman" w:cs="Times New Roman"/>
          <w:sz w:val="18"/>
          <w:szCs w:val="18"/>
        </w:rPr>
        <w:t>с</w:t>
      </w:r>
      <w:r>
        <w:rPr>
          <w:rFonts w:ascii="Times New Roman" w:hAnsi="Times New Roman" w:cs="Times New Roman"/>
          <w:sz w:val="18"/>
          <w:szCs w:val="18"/>
        </w:rPr>
        <w:t>кладено автором на основі [</w:t>
      </w:r>
      <w:r>
        <w:rPr>
          <w:rFonts w:ascii="Times New Roman" w:hAnsi="Times New Roman" w:cs="Times New Roman"/>
          <w:sz w:val="21"/>
          <w:szCs w:val="21"/>
          <w:highlight w:val="yellow"/>
          <w:lang w:val="en-GB"/>
        </w:rPr>
        <w:fldChar w:fldCharType="begin"/>
      </w:r>
      <w:r>
        <w:rPr>
          <w:rFonts w:ascii="Times New Roman" w:hAnsi="Times New Roman" w:cs="Times New Roman"/>
          <w:sz w:val="18"/>
          <w:szCs w:val="18"/>
        </w:rPr>
        <w:instrText xml:space="preserve"> REF _Ref435182249 \r \h </w:instrText>
      </w:r>
      <w:r>
        <w:rPr>
          <w:rFonts w:ascii="Times New Roman" w:hAnsi="Times New Roman" w:cs="Times New Roman"/>
          <w:sz w:val="21"/>
          <w:szCs w:val="21"/>
          <w:highlight w:val="yellow"/>
          <w:lang w:val="en-GB"/>
        </w:rPr>
      </w:r>
      <w:r>
        <w:rPr>
          <w:rFonts w:ascii="Times New Roman" w:hAnsi="Times New Roman" w:cs="Times New Roman"/>
          <w:sz w:val="21"/>
          <w:szCs w:val="21"/>
          <w:highlight w:val="yellow"/>
          <w:lang w:val="en-GB"/>
        </w:rPr>
        <w:fldChar w:fldCharType="separate"/>
      </w:r>
      <w:r>
        <w:rPr>
          <w:rFonts w:ascii="Times New Roman" w:hAnsi="Times New Roman" w:cs="Times New Roman"/>
          <w:sz w:val="18"/>
          <w:szCs w:val="18"/>
        </w:rPr>
        <w:t>69</w:t>
      </w:r>
      <w:r>
        <w:rPr>
          <w:rFonts w:ascii="Times New Roman" w:hAnsi="Times New Roman" w:cs="Times New Roman"/>
          <w:sz w:val="21"/>
          <w:szCs w:val="21"/>
          <w:highlight w:val="yellow"/>
          <w:lang w:val="en-GB"/>
        </w:rPr>
        <w:fldChar w:fldCharType="end"/>
      </w:r>
      <w:r>
        <w:rPr>
          <w:rFonts w:ascii="Times New Roman" w:hAnsi="Times New Roman" w:cs="Times New Roman"/>
          <w:sz w:val="18"/>
          <w:szCs w:val="18"/>
        </w:rPr>
        <w:t>]</w:t>
      </w:r>
    </w:p>
    <w:p w:rsidR="00B233DE" w:rsidRPr="00C4343A" w:rsidRDefault="00B233DE" w:rsidP="00B233DE">
      <w:pPr>
        <w:tabs>
          <w:tab w:val="left" w:pos="2880"/>
        </w:tabs>
        <w:ind w:firstLine="720"/>
        <w:jc w:val="both"/>
        <w:rPr>
          <w:rFonts w:ascii="Times New Roman" w:hAnsi="Times New Roman" w:cs="Times New Roman"/>
          <w:sz w:val="21"/>
          <w:szCs w:val="21"/>
        </w:rPr>
      </w:pPr>
    </w:p>
    <w:p w:rsidR="00B233DE" w:rsidRDefault="00B233DE" w:rsidP="00B233DE">
      <w:pPr>
        <w:pStyle w:val="aff0"/>
        <w:ind w:right="-1" w:firstLine="709"/>
        <w:jc w:val="both"/>
        <w:rPr>
          <w:sz w:val="21"/>
          <w:szCs w:val="21"/>
          <w:lang w:val="uk-UA"/>
        </w:rPr>
      </w:pPr>
      <w:r w:rsidRPr="00C4343A">
        <w:rPr>
          <w:sz w:val="21"/>
          <w:szCs w:val="21"/>
          <w:lang w:val="uk-UA" w:eastAsia="en-US"/>
        </w:rPr>
        <w:t>Стимули, передумови та чинники міграції дозволяють виділити основні важелі міграційного перерозподілу</w:t>
      </w:r>
      <w:r>
        <w:rPr>
          <w:sz w:val="21"/>
          <w:szCs w:val="21"/>
          <w:lang w:val="uk-UA" w:eastAsia="en-US"/>
        </w:rPr>
        <w:t xml:space="preserve"> людського потенціалу</w:t>
      </w:r>
      <w:r w:rsidRPr="00C4343A">
        <w:rPr>
          <w:sz w:val="21"/>
          <w:szCs w:val="21"/>
          <w:lang w:val="uk-UA" w:eastAsia="en-US"/>
        </w:rPr>
        <w:t>, за допомогою впливу яких можна регулювати процес формування людського потенціалу та можливості його реалізації, визначаючи таким чином необхідність міграційного перерозподілу. Зазначені важелі є невід’ємною складовою подальшої розробки механізму перерозподілу людського потенціалу шляхом міжнародної міграції.</w:t>
      </w:r>
    </w:p>
    <w:p w:rsidR="00B233DE" w:rsidRPr="00C4343A" w:rsidRDefault="00B233DE" w:rsidP="00B233DE">
      <w:pPr>
        <w:pStyle w:val="aff0"/>
        <w:ind w:right="-1" w:firstLine="709"/>
        <w:jc w:val="both"/>
        <w:rPr>
          <w:sz w:val="21"/>
          <w:szCs w:val="21"/>
          <w:lang w:val="uk-UA"/>
        </w:rPr>
      </w:pPr>
      <w:r w:rsidRPr="00C4343A">
        <w:rPr>
          <w:sz w:val="21"/>
          <w:szCs w:val="21"/>
          <w:lang w:val="uk-UA"/>
        </w:rPr>
        <w:t>На даному етапі дослідження варто вр</w:t>
      </w:r>
      <w:r>
        <w:rPr>
          <w:sz w:val="21"/>
          <w:szCs w:val="21"/>
          <w:lang w:val="uk-UA"/>
        </w:rPr>
        <w:t>аховувати, що за сучасних умов</w:t>
      </w:r>
      <w:r w:rsidRPr="00C4343A">
        <w:rPr>
          <w:sz w:val="21"/>
          <w:szCs w:val="21"/>
          <w:lang w:val="uk-UA"/>
        </w:rPr>
        <w:t xml:space="preserve"> в розвинутих країнах, особливо в країнах ЄС, відбувається процес старіння населення. За середнім варіантом прогнозу ООН до середини ХХІ ст. депопуляція загрожує 62 країнам. При середньорічних темпах приросту населення по світу 0,38 % в менш розвинутих регіонах прогноз </w:t>
      </w:r>
      <w:r>
        <w:rPr>
          <w:sz w:val="21"/>
          <w:szCs w:val="21"/>
          <w:lang w:val="uk-UA"/>
        </w:rPr>
        <w:t>–</w:t>
      </w:r>
      <w:r w:rsidRPr="00C4343A">
        <w:rPr>
          <w:sz w:val="21"/>
          <w:szCs w:val="21"/>
          <w:lang w:val="uk-UA"/>
        </w:rPr>
        <w:t xml:space="preserve"> 0,45 %, в більш </w:t>
      </w:r>
      <w:r w:rsidRPr="00C4343A">
        <w:rPr>
          <w:sz w:val="21"/>
          <w:szCs w:val="21"/>
          <w:lang w:val="uk-UA"/>
        </w:rPr>
        <w:lastRenderedPageBreak/>
        <w:t>ро</w:t>
      </w:r>
      <w:r>
        <w:rPr>
          <w:sz w:val="21"/>
          <w:szCs w:val="21"/>
          <w:lang w:val="uk-UA"/>
        </w:rPr>
        <w:t>звинутих – -</w:t>
      </w:r>
      <w:r w:rsidRPr="00C4343A">
        <w:rPr>
          <w:sz w:val="21"/>
          <w:szCs w:val="21"/>
          <w:lang w:val="uk-UA"/>
        </w:rPr>
        <w:t>10 %. Високі темпи приросту передбачено в Африці (1,21 %), Латинській Америці (0,22 %), в той час як в інших країнах вони від’ємні: в Росії (-0,59 %), Японії (-0,49 %), Західній Європі (-0,15 %), Україні (-0,14 %) [</w:t>
      </w:r>
      <w:r>
        <w:rPr>
          <w:sz w:val="21"/>
          <w:szCs w:val="21"/>
          <w:highlight w:val="yellow"/>
        </w:rPr>
        <w:fldChar w:fldCharType="begin"/>
      </w:r>
      <w:r>
        <w:rPr>
          <w:sz w:val="21"/>
          <w:szCs w:val="21"/>
          <w:lang w:val="uk-UA"/>
        </w:rPr>
        <w:instrText xml:space="preserve"> REF _Ref435182267 \r \h </w:instrText>
      </w:r>
      <w:r>
        <w:rPr>
          <w:sz w:val="21"/>
          <w:szCs w:val="21"/>
          <w:highlight w:val="yellow"/>
        </w:rPr>
      </w:r>
      <w:r>
        <w:rPr>
          <w:sz w:val="21"/>
          <w:szCs w:val="21"/>
          <w:highlight w:val="yellow"/>
        </w:rPr>
        <w:fldChar w:fldCharType="separate"/>
      </w:r>
      <w:r>
        <w:rPr>
          <w:sz w:val="21"/>
          <w:szCs w:val="21"/>
          <w:lang w:val="uk-UA"/>
        </w:rPr>
        <w:t>111</w:t>
      </w:r>
      <w:r>
        <w:rPr>
          <w:sz w:val="21"/>
          <w:szCs w:val="21"/>
          <w:highlight w:val="yellow"/>
        </w:rPr>
        <w:fldChar w:fldCharType="end"/>
      </w:r>
      <w:r w:rsidRPr="00C4343A">
        <w:rPr>
          <w:sz w:val="21"/>
          <w:szCs w:val="21"/>
          <w:lang w:val="uk-UA"/>
        </w:rPr>
        <w:t xml:space="preserve">, </w:t>
      </w:r>
      <w:r w:rsidRPr="00C4343A">
        <w:rPr>
          <w:sz w:val="21"/>
          <w:szCs w:val="21"/>
          <w:lang w:val="en-US"/>
        </w:rPr>
        <w:t>c</w:t>
      </w:r>
      <w:r w:rsidRPr="00C4343A">
        <w:rPr>
          <w:sz w:val="21"/>
          <w:szCs w:val="21"/>
          <w:lang w:val="uk-UA"/>
        </w:rPr>
        <w:t>. 8]. Зменшення рівня народжу</w:t>
      </w:r>
      <w:r>
        <w:rPr>
          <w:sz w:val="21"/>
          <w:szCs w:val="21"/>
          <w:lang w:val="uk-UA"/>
        </w:rPr>
        <w:t>-</w:t>
      </w:r>
      <w:r w:rsidRPr="00C4343A">
        <w:rPr>
          <w:sz w:val="21"/>
          <w:szCs w:val="21"/>
          <w:lang w:val="uk-UA"/>
        </w:rPr>
        <w:t xml:space="preserve">ваності та одночасне підвищення середньої тривалості життя призводить до зростання старших вікових груп у структурі населення. Наслідком цього є загальне зменшення працездатного населення та внутрішній тиск на державну соціальну сферу. </w:t>
      </w:r>
    </w:p>
    <w:p w:rsidR="00B233DE" w:rsidRPr="00C4343A" w:rsidRDefault="00B233DE" w:rsidP="00B233DE">
      <w:pPr>
        <w:pStyle w:val="aff0"/>
        <w:ind w:right="-1" w:firstLine="709"/>
        <w:jc w:val="both"/>
        <w:rPr>
          <w:spacing w:val="-2"/>
          <w:sz w:val="21"/>
          <w:szCs w:val="21"/>
          <w:lang w:val="uk-UA"/>
        </w:rPr>
      </w:pPr>
      <w:r w:rsidRPr="00C4343A">
        <w:rPr>
          <w:spacing w:val="-2"/>
          <w:sz w:val="21"/>
          <w:szCs w:val="21"/>
          <w:lang w:val="uk-UA"/>
        </w:rPr>
        <w:t>За таких умов, підтримання народжуваності та чисельності працездатного населення «старіючих націй» постає одним із чинників необхідності світового пере</w:t>
      </w:r>
      <w:r>
        <w:rPr>
          <w:spacing w:val="-2"/>
          <w:sz w:val="21"/>
          <w:szCs w:val="21"/>
          <w:lang w:val="uk-UA"/>
        </w:rPr>
        <w:t>розподілу людського потенціалу</w:t>
      </w:r>
      <w:r w:rsidRPr="00FC0D15">
        <w:rPr>
          <w:spacing w:val="-2"/>
          <w:sz w:val="21"/>
          <w:szCs w:val="21"/>
          <w:lang w:val="uk-UA"/>
        </w:rPr>
        <w:t>.</w:t>
      </w:r>
      <w:r w:rsidRPr="00C4343A">
        <w:rPr>
          <w:spacing w:val="-2"/>
          <w:sz w:val="21"/>
          <w:szCs w:val="21"/>
          <w:lang w:val="uk-UA"/>
        </w:rPr>
        <w:t xml:space="preserve"> </w:t>
      </w:r>
      <w:r w:rsidRPr="00F4102D">
        <w:rPr>
          <w:spacing w:val="-2"/>
          <w:sz w:val="21"/>
          <w:szCs w:val="21"/>
          <w:lang w:val="uk-UA"/>
        </w:rPr>
        <w:t>Вирішенням складної демографічної ситуації на даному етапі світового розвитку народонаселення, на наш погляд, є кількісний перерозподіл людського потенціалу по регіонах світу в процесі міжнародної міграції. Наше бачення узгоджується з положенням Резолюції Генеральної Асамблеї ООН «Глобальний порядок денний для діалогу між цивілізаціями» про те, що на основі глибокого аналізу демографічних і міграційних процесів необхідно виробити довгострокову, глобальну, диференційовану демографічну політику, яка сприяла б подоланню кризи перенаселення і депопуляції, впорядкуванню міграційних міжцивілізаційних і міждержавних потоків [</w:t>
      </w:r>
      <w:r>
        <w:rPr>
          <w:sz w:val="21"/>
          <w:szCs w:val="21"/>
          <w:highlight w:val="yellow"/>
        </w:rPr>
        <w:fldChar w:fldCharType="begin"/>
      </w:r>
      <w:r>
        <w:rPr>
          <w:spacing w:val="-2"/>
          <w:sz w:val="21"/>
          <w:szCs w:val="21"/>
          <w:lang w:val="uk-UA"/>
        </w:rPr>
        <w:instrText xml:space="preserve"> REF _Ref435182274 \r \h </w:instrText>
      </w:r>
      <w:r>
        <w:rPr>
          <w:sz w:val="21"/>
          <w:szCs w:val="21"/>
          <w:highlight w:val="yellow"/>
        </w:rPr>
      </w:r>
      <w:r>
        <w:rPr>
          <w:sz w:val="21"/>
          <w:szCs w:val="21"/>
          <w:highlight w:val="yellow"/>
        </w:rPr>
        <w:fldChar w:fldCharType="separate"/>
      </w:r>
      <w:r>
        <w:rPr>
          <w:spacing w:val="-2"/>
          <w:sz w:val="21"/>
          <w:szCs w:val="21"/>
          <w:lang w:val="uk-UA"/>
        </w:rPr>
        <w:t>102</w:t>
      </w:r>
      <w:r>
        <w:rPr>
          <w:sz w:val="21"/>
          <w:szCs w:val="21"/>
          <w:highlight w:val="yellow"/>
        </w:rPr>
        <w:fldChar w:fldCharType="end"/>
      </w:r>
      <w:r w:rsidRPr="00F4102D">
        <w:rPr>
          <w:spacing w:val="-2"/>
          <w:sz w:val="21"/>
          <w:szCs w:val="21"/>
          <w:lang w:val="uk-UA"/>
        </w:rPr>
        <w:t>]. Міжнародна організація з міграції в свою чергу наголошує, що міжнародна міграція є невід’ємною частиною та наслідком глобалізації, тому необхідно подолати протекціонізм у людській мобільності, оскільки вона є не проблемою, а шляхом вирішення світових протиріч економічного розвитку [</w:t>
      </w:r>
      <w:r>
        <w:rPr>
          <w:sz w:val="21"/>
          <w:szCs w:val="21"/>
          <w:highlight w:val="yellow"/>
        </w:rPr>
        <w:fldChar w:fldCharType="begin"/>
      </w:r>
      <w:r>
        <w:rPr>
          <w:spacing w:val="-2"/>
          <w:sz w:val="21"/>
          <w:szCs w:val="21"/>
          <w:lang w:val="uk-UA"/>
        </w:rPr>
        <w:instrText xml:space="preserve"> REF _Ref435182274 \r \h </w:instrText>
      </w:r>
      <w:r>
        <w:rPr>
          <w:sz w:val="21"/>
          <w:szCs w:val="21"/>
          <w:highlight w:val="yellow"/>
        </w:rPr>
      </w:r>
      <w:r>
        <w:rPr>
          <w:sz w:val="21"/>
          <w:szCs w:val="21"/>
          <w:highlight w:val="yellow"/>
        </w:rPr>
        <w:fldChar w:fldCharType="separate"/>
      </w:r>
      <w:r>
        <w:rPr>
          <w:spacing w:val="-2"/>
          <w:sz w:val="21"/>
          <w:szCs w:val="21"/>
          <w:lang w:val="uk-UA"/>
        </w:rPr>
        <w:t>102</w:t>
      </w:r>
      <w:r>
        <w:rPr>
          <w:sz w:val="21"/>
          <w:szCs w:val="21"/>
          <w:highlight w:val="yellow"/>
        </w:rPr>
        <w:fldChar w:fldCharType="end"/>
      </w:r>
      <w:r w:rsidRPr="00F4102D">
        <w:rPr>
          <w:spacing w:val="-2"/>
          <w:sz w:val="21"/>
          <w:szCs w:val="21"/>
          <w:lang w:val="uk-UA"/>
        </w:rPr>
        <w:t>, с. 1–3].</w:t>
      </w:r>
    </w:p>
    <w:p w:rsidR="00B233DE" w:rsidRPr="00C4343A" w:rsidRDefault="00B233DE" w:rsidP="00B233DE">
      <w:pPr>
        <w:tabs>
          <w:tab w:val="left" w:pos="2880"/>
        </w:tabs>
        <w:ind w:firstLine="709"/>
        <w:jc w:val="both"/>
        <w:rPr>
          <w:rFonts w:ascii="Times New Roman" w:hAnsi="Times New Roman" w:cs="Times New Roman"/>
          <w:sz w:val="21"/>
          <w:szCs w:val="21"/>
        </w:rPr>
      </w:pPr>
      <w:r w:rsidRPr="00C4343A">
        <w:rPr>
          <w:rFonts w:ascii="Times New Roman" w:hAnsi="Times New Roman" w:cs="Times New Roman"/>
          <w:sz w:val="21"/>
          <w:szCs w:val="21"/>
        </w:rPr>
        <w:t>Отже, на сьогодні світовою спільнотою визнано, що регульована міграція може створювати значні переваги не тільки для мігрантів, але і для країн їх походження та призначення. Однією з основних переваг, на наше переконання, є залучення людського потенціалу, що виступає основним чинником економічного зростання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_Ref435182297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24</w:t>
      </w:r>
      <w:r>
        <w:rPr>
          <w:rFonts w:ascii="Times New Roman" w:hAnsi="Times New Roman" w:cs="Times New Roman"/>
          <w:sz w:val="21"/>
          <w:szCs w:val="21"/>
          <w:highlight w:val="yellow"/>
        </w:rPr>
        <w:fldChar w:fldCharType="end"/>
      </w:r>
      <w:r w:rsidRPr="00C4343A">
        <w:rPr>
          <w:rFonts w:ascii="Times New Roman" w:hAnsi="Times New Roman" w:cs="Times New Roman"/>
          <w:sz w:val="21"/>
          <w:szCs w:val="21"/>
        </w:rPr>
        <w:t>]. Зростаюче значення міжнародної міграції для країн світу зумовлене наступними тенденціями:</w:t>
      </w:r>
    </w:p>
    <w:p w:rsidR="00B233DE" w:rsidRPr="00C4343A" w:rsidRDefault="00B233DE" w:rsidP="00B233DE">
      <w:pPr>
        <w:numPr>
          <w:ilvl w:val="0"/>
          <w:numId w:val="14"/>
        </w:numPr>
        <w:tabs>
          <w:tab w:val="clear" w:pos="1440"/>
          <w:tab w:val="num" w:pos="993"/>
          <w:tab w:val="left" w:pos="2880"/>
        </w:tabs>
        <w:ind w:left="0" w:firstLine="709"/>
        <w:jc w:val="both"/>
        <w:rPr>
          <w:rFonts w:ascii="Times New Roman" w:hAnsi="Times New Roman" w:cs="Times New Roman"/>
          <w:sz w:val="21"/>
          <w:szCs w:val="21"/>
        </w:rPr>
      </w:pPr>
      <w:r w:rsidRPr="00C4343A">
        <w:rPr>
          <w:rFonts w:ascii="Times New Roman" w:hAnsi="Times New Roman" w:cs="Times New Roman"/>
          <w:sz w:val="21"/>
          <w:szCs w:val="21"/>
        </w:rPr>
        <w:t>зростання втрат бюджетів розвинутих країн внаслідок підвищення витрат на пенсійне і соціальне забезпечення через збільшення тривалості життя та зменшення народжуваності;</w:t>
      </w:r>
    </w:p>
    <w:p w:rsidR="00B233DE" w:rsidRPr="00C4343A" w:rsidRDefault="00B233DE" w:rsidP="00B233DE">
      <w:pPr>
        <w:numPr>
          <w:ilvl w:val="0"/>
          <w:numId w:val="14"/>
        </w:numPr>
        <w:tabs>
          <w:tab w:val="clear" w:pos="1440"/>
          <w:tab w:val="num" w:pos="993"/>
          <w:tab w:val="left" w:pos="2880"/>
        </w:tabs>
        <w:ind w:left="0" w:firstLine="709"/>
        <w:jc w:val="both"/>
        <w:rPr>
          <w:rFonts w:ascii="Times New Roman" w:hAnsi="Times New Roman" w:cs="Times New Roman"/>
          <w:sz w:val="21"/>
          <w:szCs w:val="21"/>
        </w:rPr>
      </w:pPr>
      <w:r w:rsidRPr="00C4343A">
        <w:rPr>
          <w:rFonts w:ascii="Times New Roman" w:hAnsi="Times New Roman" w:cs="Times New Roman"/>
          <w:sz w:val="21"/>
          <w:szCs w:val="21"/>
        </w:rPr>
        <w:t>економія часу і коштів для підготовки кваліфікованих трудових ресурсів шляхом їх імпорту;</w:t>
      </w:r>
    </w:p>
    <w:p w:rsidR="00B233DE" w:rsidRPr="00C4343A" w:rsidRDefault="00B233DE" w:rsidP="00B233DE">
      <w:pPr>
        <w:numPr>
          <w:ilvl w:val="0"/>
          <w:numId w:val="14"/>
        </w:numPr>
        <w:tabs>
          <w:tab w:val="clear" w:pos="1440"/>
          <w:tab w:val="num" w:pos="993"/>
          <w:tab w:val="left" w:pos="2880"/>
        </w:tabs>
        <w:ind w:left="0" w:firstLine="709"/>
        <w:jc w:val="both"/>
        <w:rPr>
          <w:rFonts w:ascii="Times New Roman" w:hAnsi="Times New Roman" w:cs="Times New Roman"/>
          <w:sz w:val="21"/>
          <w:szCs w:val="21"/>
        </w:rPr>
      </w:pPr>
      <w:r w:rsidRPr="00C4343A">
        <w:rPr>
          <w:rFonts w:ascii="Times New Roman" w:hAnsi="Times New Roman" w:cs="Times New Roman"/>
          <w:sz w:val="21"/>
          <w:szCs w:val="21"/>
        </w:rPr>
        <w:lastRenderedPageBreak/>
        <w:t>дефіцит працівників високої кваліфікації внаслідок технологічних змін, що здійснюються в контексті підвищення національної конкурентоспроможності [</w:t>
      </w:r>
      <w:r>
        <w:rPr>
          <w:rFonts w:ascii="Times New Roman" w:hAnsi="Times New Roman" w:cs="Times New Roman"/>
          <w:bCs/>
          <w:sz w:val="21"/>
          <w:szCs w:val="21"/>
          <w:highlight w:val="yellow"/>
        </w:rPr>
        <w:fldChar w:fldCharType="begin"/>
      </w:r>
      <w:r>
        <w:rPr>
          <w:rFonts w:ascii="Times New Roman" w:hAnsi="Times New Roman" w:cs="Times New Roman"/>
          <w:sz w:val="21"/>
          <w:szCs w:val="21"/>
        </w:rPr>
        <w:instrText xml:space="preserve"> REF _Ref435182339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z w:val="21"/>
          <w:szCs w:val="21"/>
        </w:rPr>
        <w:t>52</w:t>
      </w:r>
      <w:r>
        <w:rPr>
          <w:rFonts w:ascii="Times New Roman" w:hAnsi="Times New Roman" w:cs="Times New Roman"/>
          <w:bCs/>
          <w:sz w:val="21"/>
          <w:szCs w:val="21"/>
          <w:highlight w:val="yellow"/>
        </w:rPr>
        <w:fldChar w:fldCharType="end"/>
      </w:r>
      <w:r w:rsidRPr="00C4343A">
        <w:rPr>
          <w:rFonts w:ascii="Times New Roman" w:hAnsi="Times New Roman" w:cs="Times New Roman"/>
          <w:sz w:val="21"/>
          <w:szCs w:val="21"/>
        </w:rPr>
        <w:t xml:space="preserve">, </w:t>
      </w:r>
      <w:r w:rsidRPr="00C4343A">
        <w:rPr>
          <w:rFonts w:ascii="Times New Roman" w:hAnsi="Times New Roman" w:cs="Times New Roman"/>
          <w:sz w:val="21"/>
          <w:szCs w:val="21"/>
          <w:lang w:val="en-US"/>
        </w:rPr>
        <w:t>c</w:t>
      </w:r>
      <w:r w:rsidRPr="00C4343A">
        <w:rPr>
          <w:rFonts w:ascii="Times New Roman" w:hAnsi="Times New Roman" w:cs="Times New Roman"/>
          <w:sz w:val="21"/>
          <w:szCs w:val="21"/>
        </w:rPr>
        <w:t>. 153].</w:t>
      </w:r>
    </w:p>
    <w:p w:rsidR="00B233DE" w:rsidRPr="00C4343A" w:rsidRDefault="00B233DE" w:rsidP="00B233DE">
      <w:pPr>
        <w:tabs>
          <w:tab w:val="left" w:pos="2880"/>
        </w:tabs>
        <w:ind w:firstLine="709"/>
        <w:jc w:val="both"/>
        <w:rPr>
          <w:rFonts w:ascii="Times New Roman" w:hAnsi="Times New Roman" w:cs="Times New Roman"/>
          <w:sz w:val="21"/>
          <w:szCs w:val="21"/>
        </w:rPr>
      </w:pPr>
      <w:r w:rsidRPr="00C4343A">
        <w:rPr>
          <w:rFonts w:ascii="Times New Roman" w:hAnsi="Times New Roman" w:cs="Times New Roman"/>
          <w:sz w:val="21"/>
          <w:szCs w:val="21"/>
        </w:rPr>
        <w:t>Використання переваг міжнародної міграції здійснюється у двох основних напрямах в залежності від сторони процесу: імміграції та еміграції. Найбільшою країною імміграції на протязі століть залишається США, щорічно залучаючи 1,5 млн мігрантів [</w:t>
      </w:r>
      <w:r>
        <w:rPr>
          <w:rFonts w:ascii="Times New Roman" w:hAnsi="Times New Roman" w:cs="Times New Roman"/>
          <w:bCs/>
          <w:sz w:val="21"/>
          <w:szCs w:val="21"/>
          <w:highlight w:val="yellow"/>
          <w:lang w:val="en-GB"/>
        </w:rPr>
        <w:fldChar w:fldCharType="begin"/>
      </w:r>
      <w:r>
        <w:rPr>
          <w:rFonts w:ascii="Times New Roman" w:hAnsi="Times New Roman" w:cs="Times New Roman"/>
          <w:sz w:val="21"/>
          <w:szCs w:val="21"/>
        </w:rPr>
        <w:instrText xml:space="preserve"> REF _Ref435182354 \r \h </w:instrText>
      </w:r>
      <w:r>
        <w:rPr>
          <w:rFonts w:ascii="Times New Roman" w:hAnsi="Times New Roman" w:cs="Times New Roman"/>
          <w:bCs/>
          <w:sz w:val="21"/>
          <w:szCs w:val="21"/>
          <w:highlight w:val="yellow"/>
          <w:lang w:val="en-GB"/>
        </w:rPr>
      </w:r>
      <w:r>
        <w:rPr>
          <w:rFonts w:ascii="Times New Roman" w:hAnsi="Times New Roman" w:cs="Times New Roman"/>
          <w:bCs/>
          <w:sz w:val="21"/>
          <w:szCs w:val="21"/>
          <w:highlight w:val="yellow"/>
          <w:lang w:val="en-GB"/>
        </w:rPr>
        <w:fldChar w:fldCharType="separate"/>
      </w:r>
      <w:r>
        <w:rPr>
          <w:rFonts w:ascii="Times New Roman" w:hAnsi="Times New Roman" w:cs="Times New Roman"/>
          <w:sz w:val="21"/>
          <w:szCs w:val="21"/>
        </w:rPr>
        <w:t>81</w:t>
      </w:r>
      <w:r>
        <w:rPr>
          <w:rFonts w:ascii="Times New Roman" w:hAnsi="Times New Roman" w:cs="Times New Roman"/>
          <w:bCs/>
          <w:sz w:val="21"/>
          <w:szCs w:val="21"/>
          <w:highlight w:val="yellow"/>
          <w:lang w:val="en-GB"/>
        </w:rPr>
        <w:fldChar w:fldCharType="end"/>
      </w:r>
      <w:r w:rsidRPr="00C4343A">
        <w:rPr>
          <w:rFonts w:ascii="Times New Roman" w:hAnsi="Times New Roman" w:cs="Times New Roman"/>
          <w:sz w:val="21"/>
          <w:szCs w:val="21"/>
        </w:rPr>
        <w:t>]. На основі економіки США можна відстежити переваги від перерозподілу людського потенціалу шляхом міграції, що проявляються у стимулюванні економічного зростання та демографічного розвитку і є загалом справедливими і для світової економіки. Транснаціоналізм мігрантів зумовлює отримання переваг від еміграції: участі у політиці країн походження, грошових переказів, підприємництва, передачі знань, активного споживання мігрантами послуг багатьох секторів економіки країн походження: будівництва, туризму, засобів масової інформації [</w:t>
      </w:r>
      <w:r>
        <w:rPr>
          <w:rFonts w:ascii="Times New Roman" w:hAnsi="Times New Roman" w:cs="Times New Roman"/>
          <w:bCs/>
          <w:sz w:val="21"/>
          <w:szCs w:val="21"/>
          <w:highlight w:val="yellow"/>
        </w:rPr>
        <w:fldChar w:fldCharType="begin"/>
      </w:r>
      <w:r>
        <w:rPr>
          <w:rFonts w:ascii="Times New Roman" w:hAnsi="Times New Roman" w:cs="Times New Roman"/>
          <w:sz w:val="21"/>
          <w:szCs w:val="21"/>
        </w:rPr>
        <w:instrText xml:space="preserve"> REF _Ref435182370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z w:val="21"/>
          <w:szCs w:val="21"/>
        </w:rPr>
        <w:t>7</w:t>
      </w:r>
      <w:r>
        <w:rPr>
          <w:rFonts w:ascii="Times New Roman" w:hAnsi="Times New Roman" w:cs="Times New Roman"/>
          <w:bCs/>
          <w:sz w:val="21"/>
          <w:szCs w:val="21"/>
          <w:highlight w:val="yellow"/>
        </w:rPr>
        <w:fldChar w:fldCharType="end"/>
      </w:r>
      <w:r w:rsidRPr="00C4343A">
        <w:rPr>
          <w:rFonts w:ascii="Times New Roman" w:hAnsi="Times New Roman" w:cs="Times New Roman"/>
          <w:sz w:val="21"/>
          <w:szCs w:val="21"/>
        </w:rPr>
        <w:t xml:space="preserve">, </w:t>
      </w:r>
      <w:r w:rsidRPr="00C4343A">
        <w:rPr>
          <w:rFonts w:ascii="Times New Roman" w:hAnsi="Times New Roman" w:cs="Times New Roman"/>
          <w:sz w:val="21"/>
          <w:szCs w:val="21"/>
          <w:lang w:val="en-US"/>
        </w:rPr>
        <w:t>c</w:t>
      </w:r>
      <w:r w:rsidRPr="00C4343A">
        <w:rPr>
          <w:rFonts w:ascii="Times New Roman" w:hAnsi="Times New Roman" w:cs="Times New Roman"/>
          <w:sz w:val="21"/>
          <w:szCs w:val="21"/>
        </w:rPr>
        <w:t>. 53].</w:t>
      </w:r>
    </w:p>
    <w:p w:rsidR="00B233DE" w:rsidRPr="00C4343A" w:rsidRDefault="00B233DE" w:rsidP="00B233DE">
      <w:pPr>
        <w:tabs>
          <w:tab w:val="left" w:pos="2880"/>
        </w:tabs>
        <w:ind w:firstLine="709"/>
        <w:jc w:val="both"/>
        <w:rPr>
          <w:rFonts w:ascii="Times New Roman" w:hAnsi="Times New Roman" w:cs="Times New Roman"/>
          <w:spacing w:val="-2"/>
          <w:sz w:val="21"/>
          <w:szCs w:val="21"/>
        </w:rPr>
      </w:pPr>
      <w:r w:rsidRPr="00C4343A">
        <w:rPr>
          <w:rFonts w:ascii="Times New Roman" w:hAnsi="Times New Roman" w:cs="Times New Roman"/>
          <w:spacing w:val="-2"/>
          <w:sz w:val="21"/>
          <w:szCs w:val="21"/>
        </w:rPr>
        <w:t>Варто підкреслити також т</w:t>
      </w:r>
      <w:r>
        <w:rPr>
          <w:rFonts w:ascii="Times New Roman" w:hAnsi="Times New Roman" w:cs="Times New Roman"/>
          <w:spacing w:val="-2"/>
          <w:sz w:val="21"/>
          <w:szCs w:val="21"/>
        </w:rPr>
        <w:t>ой факт, що, за дослідженням С. </w:t>
      </w:r>
      <w:r w:rsidRPr="00C4343A">
        <w:rPr>
          <w:rFonts w:ascii="Times New Roman" w:hAnsi="Times New Roman" w:cs="Times New Roman"/>
          <w:spacing w:val="-2"/>
          <w:sz w:val="21"/>
          <w:szCs w:val="21"/>
        </w:rPr>
        <w:t>Пирожкова, якщо в умовах розширеного відтворення населення кожне наступне покоління безперервно розширює межі трудового потенціалу, то при уповільненому або нульовому демографічному зростанні зміни в людському потенціалі визначаються його якісними елементами, розвиток яких дозволяє збільшувати людський потенціал в умовах стабілізації і скорочення чисельності населення (депопуляції) [</w:t>
      </w:r>
      <w:r>
        <w:rPr>
          <w:rFonts w:ascii="Times New Roman" w:hAnsi="Times New Roman" w:cs="Times New Roman"/>
          <w:bCs/>
          <w:sz w:val="21"/>
          <w:szCs w:val="21"/>
          <w:highlight w:val="yellow"/>
        </w:rPr>
        <w:fldChar w:fldCharType="begin"/>
      </w:r>
      <w:r>
        <w:rPr>
          <w:rFonts w:ascii="Times New Roman" w:hAnsi="Times New Roman" w:cs="Times New Roman"/>
          <w:spacing w:val="-2"/>
          <w:sz w:val="21"/>
          <w:szCs w:val="21"/>
        </w:rPr>
        <w:instrText xml:space="preserve"> REF _Ref435182164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pacing w:val="-2"/>
          <w:sz w:val="21"/>
          <w:szCs w:val="21"/>
        </w:rPr>
        <w:t>47</w:t>
      </w:r>
      <w:r>
        <w:rPr>
          <w:rFonts w:ascii="Times New Roman" w:hAnsi="Times New Roman" w:cs="Times New Roman"/>
          <w:bCs/>
          <w:sz w:val="21"/>
          <w:szCs w:val="21"/>
          <w:highlight w:val="yellow"/>
        </w:rPr>
        <w:fldChar w:fldCharType="end"/>
      </w:r>
      <w:r w:rsidRPr="00C4343A">
        <w:rPr>
          <w:rFonts w:ascii="Times New Roman" w:hAnsi="Times New Roman" w:cs="Times New Roman"/>
          <w:spacing w:val="-2"/>
          <w:sz w:val="21"/>
          <w:szCs w:val="21"/>
        </w:rPr>
        <w:t>]. Основним критерієм якісної сторони перерозподілу людського потенціалу є рівень кваліфікації міжнародних мігрантів, що визначає утворення глобального ринку праці [</w:t>
      </w:r>
      <w:r>
        <w:rPr>
          <w:rFonts w:ascii="Times New Roman" w:hAnsi="Times New Roman" w:cs="Times New Roman"/>
          <w:sz w:val="21"/>
          <w:szCs w:val="21"/>
          <w:highlight w:val="yellow"/>
        </w:rPr>
        <w:fldChar w:fldCharType="begin"/>
      </w:r>
      <w:r>
        <w:rPr>
          <w:rFonts w:ascii="Times New Roman" w:hAnsi="Times New Roman" w:cs="Times New Roman"/>
          <w:spacing w:val="-2"/>
          <w:sz w:val="21"/>
          <w:szCs w:val="21"/>
        </w:rPr>
        <w:instrText xml:space="preserve"> REF _Ref435182384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pacing w:val="-2"/>
          <w:sz w:val="21"/>
          <w:szCs w:val="21"/>
        </w:rPr>
        <w:t>28</w:t>
      </w:r>
      <w:r>
        <w:rPr>
          <w:rFonts w:ascii="Times New Roman" w:hAnsi="Times New Roman" w:cs="Times New Roman"/>
          <w:sz w:val="21"/>
          <w:szCs w:val="21"/>
          <w:highlight w:val="yellow"/>
        </w:rPr>
        <w:fldChar w:fldCharType="end"/>
      </w:r>
      <w:r w:rsidRPr="00C4343A">
        <w:rPr>
          <w:rFonts w:ascii="Times New Roman" w:hAnsi="Times New Roman" w:cs="Times New Roman"/>
          <w:spacing w:val="-2"/>
          <w:sz w:val="21"/>
          <w:szCs w:val="21"/>
        </w:rPr>
        <w:t xml:space="preserve">, </w:t>
      </w:r>
      <w:r w:rsidRPr="00C4343A">
        <w:rPr>
          <w:rFonts w:ascii="Times New Roman" w:hAnsi="Times New Roman" w:cs="Times New Roman"/>
          <w:spacing w:val="-2"/>
          <w:sz w:val="21"/>
          <w:szCs w:val="21"/>
          <w:lang w:val="en-US"/>
        </w:rPr>
        <w:t>c</w:t>
      </w:r>
      <w:r w:rsidRPr="00C4343A">
        <w:rPr>
          <w:rFonts w:ascii="Times New Roman" w:hAnsi="Times New Roman" w:cs="Times New Roman"/>
          <w:spacing w:val="-2"/>
          <w:sz w:val="21"/>
          <w:szCs w:val="21"/>
        </w:rPr>
        <w:t>. 121].</w:t>
      </w:r>
    </w:p>
    <w:p w:rsidR="00B233DE" w:rsidRPr="00C4343A" w:rsidRDefault="00B233DE" w:rsidP="00B233DE">
      <w:pPr>
        <w:tabs>
          <w:tab w:val="left" w:pos="2880"/>
        </w:tabs>
        <w:ind w:firstLine="709"/>
        <w:jc w:val="both"/>
        <w:rPr>
          <w:rFonts w:ascii="Times New Roman" w:hAnsi="Times New Roman" w:cs="Times New Roman"/>
          <w:sz w:val="21"/>
          <w:szCs w:val="21"/>
        </w:rPr>
      </w:pPr>
      <w:r w:rsidRPr="00C4343A">
        <w:rPr>
          <w:rFonts w:ascii="Times New Roman" w:hAnsi="Times New Roman" w:cs="Times New Roman"/>
          <w:sz w:val="21"/>
          <w:szCs w:val="21"/>
        </w:rPr>
        <w:t xml:space="preserve">Функціонування глобального ринку праці сприяє реалізації людського потенціалу в тих національних економіках, де для цього існують відповідні можливості в оплаті праці, набутті і оновленні знань, професійному зростанні, рівні соціальної захищеності і якості життя. Мігранти отримують безпосередні переваги, маючи доступ до вищої заробітної плати і кращих умов життя з послідуючою передачею цих переваг своїм сім’ям в національних економіках шляхом грошових переказів, світовий обсяг </w:t>
      </w:r>
      <w:r>
        <w:rPr>
          <w:rFonts w:ascii="Times New Roman" w:hAnsi="Times New Roman" w:cs="Times New Roman"/>
          <w:sz w:val="21"/>
          <w:szCs w:val="21"/>
        </w:rPr>
        <w:t>яких у 2012 </w:t>
      </w:r>
      <w:r w:rsidRPr="00C4343A">
        <w:rPr>
          <w:rFonts w:ascii="Times New Roman" w:hAnsi="Times New Roman" w:cs="Times New Roman"/>
          <w:sz w:val="21"/>
          <w:szCs w:val="21"/>
        </w:rPr>
        <w:t>р. склав 478,5 мільярдів доларів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_Ref435182396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104</w:t>
      </w:r>
      <w:r>
        <w:rPr>
          <w:rFonts w:ascii="Times New Roman" w:hAnsi="Times New Roman" w:cs="Times New Roman"/>
          <w:sz w:val="21"/>
          <w:szCs w:val="21"/>
          <w:highlight w:val="yellow"/>
        </w:rPr>
        <w:fldChar w:fldCharType="end"/>
      </w:r>
      <w:r w:rsidRPr="00C4343A">
        <w:rPr>
          <w:rFonts w:ascii="Times New Roman" w:hAnsi="Times New Roman" w:cs="Times New Roman"/>
          <w:sz w:val="21"/>
          <w:szCs w:val="21"/>
        </w:rPr>
        <w:t xml:space="preserve">] (рис. </w:t>
      </w:r>
      <w:r>
        <w:rPr>
          <w:rFonts w:ascii="Times New Roman" w:hAnsi="Times New Roman" w:cs="Times New Roman"/>
          <w:sz w:val="21"/>
          <w:szCs w:val="21"/>
        </w:rPr>
        <w:t>4.4</w:t>
      </w:r>
      <w:r w:rsidRPr="00C4343A">
        <w:rPr>
          <w:rFonts w:ascii="Times New Roman" w:hAnsi="Times New Roman" w:cs="Times New Roman"/>
          <w:sz w:val="21"/>
          <w:szCs w:val="21"/>
        </w:rPr>
        <w:t>).</w:t>
      </w:r>
    </w:p>
    <w:p w:rsidR="00B233DE" w:rsidRPr="00C4343A" w:rsidRDefault="00B233DE" w:rsidP="00B233DE">
      <w:pPr>
        <w:tabs>
          <w:tab w:val="left" w:pos="2880"/>
        </w:tabs>
        <w:ind w:firstLine="709"/>
        <w:jc w:val="both"/>
        <w:rPr>
          <w:rFonts w:ascii="Times New Roman" w:hAnsi="Times New Roman" w:cs="Times New Roman"/>
          <w:sz w:val="21"/>
          <w:szCs w:val="21"/>
        </w:rPr>
      </w:pPr>
      <w:r w:rsidRPr="00C4343A">
        <w:rPr>
          <w:rFonts w:ascii="Times New Roman" w:hAnsi="Times New Roman" w:cs="Times New Roman"/>
          <w:sz w:val="21"/>
          <w:szCs w:val="21"/>
        </w:rPr>
        <w:t xml:space="preserve">Інші довгострокові переваги для країн походження виникають внаслідок встановлення зв’язків з діаспорами. За </w:t>
      </w:r>
      <w:r w:rsidRPr="00C4343A">
        <w:rPr>
          <w:rFonts w:ascii="Times New Roman" w:hAnsi="Times New Roman" w:cs="Times New Roman"/>
          <w:sz w:val="21"/>
          <w:szCs w:val="21"/>
        </w:rPr>
        <w:lastRenderedPageBreak/>
        <w:t>відповідних умов такі зв’язки сприяють створенню соціальних, культурних та наукових мереж, передачі технологій та ноу-хау.</w:t>
      </w:r>
    </w:p>
    <w:p w:rsidR="00B233DE" w:rsidRPr="00C4343A" w:rsidRDefault="00B233DE" w:rsidP="00B233DE">
      <w:pPr>
        <w:tabs>
          <w:tab w:val="left" w:pos="2880"/>
        </w:tabs>
        <w:ind w:firstLine="720"/>
        <w:jc w:val="both"/>
        <w:rPr>
          <w:rFonts w:ascii="Times New Roman" w:hAnsi="Times New Roman" w:cs="Times New Roman"/>
          <w:sz w:val="21"/>
          <w:szCs w:val="21"/>
        </w:rPr>
      </w:pPr>
    </w:p>
    <w:p w:rsidR="00B233DE" w:rsidRPr="00C4343A" w:rsidRDefault="00B233DE" w:rsidP="00B233DE">
      <w:pPr>
        <w:tabs>
          <w:tab w:val="left" w:pos="2880"/>
        </w:tabs>
        <w:spacing w:line="360" w:lineRule="auto"/>
        <w:ind w:firstLine="0"/>
        <w:jc w:val="both"/>
        <w:rPr>
          <w:rFonts w:ascii="Times New Roman" w:hAnsi="Times New Roman" w:cs="Times New Roman"/>
          <w:sz w:val="21"/>
          <w:szCs w:val="21"/>
        </w:rPr>
      </w:pPr>
      <w:r w:rsidRPr="00C4343A">
        <w:rPr>
          <w:rFonts w:ascii="Times New Roman" w:hAnsi="Times New Roman" w:cs="Times New Roman"/>
          <w:noProof/>
          <w:sz w:val="21"/>
          <w:szCs w:val="21"/>
          <w:lang w:val="ru-RU" w:eastAsia="ru-RU"/>
        </w:rPr>
        <mc:AlternateContent>
          <mc:Choice Requires="wpg">
            <w:drawing>
              <wp:inline distT="0" distB="0" distL="0" distR="0" wp14:anchorId="2504E862" wp14:editId="4853B771">
                <wp:extent cx="3766820" cy="3373755"/>
                <wp:effectExtent l="13335" t="8255" r="10795" b="8890"/>
                <wp:docPr id="663" name="Группа 6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66820" cy="3373755"/>
                          <a:chOff x="2422" y="1877"/>
                          <a:chExt cx="6918" cy="3530"/>
                        </a:xfrm>
                      </wpg:grpSpPr>
                      <wps:wsp>
                        <wps:cNvPr id="664" name="Text Box 82"/>
                        <wps:cNvSpPr txBox="1">
                          <a:spLocks noChangeArrowheads="1"/>
                        </wps:cNvSpPr>
                        <wps:spPr bwMode="auto">
                          <a:xfrm>
                            <a:off x="4540" y="1877"/>
                            <a:ext cx="2400" cy="418"/>
                          </a:xfrm>
                          <a:prstGeom prst="rect">
                            <a:avLst/>
                          </a:prstGeom>
                          <a:solidFill>
                            <a:srgbClr val="FFFFFF"/>
                          </a:solidFill>
                          <a:ln w="9525">
                            <a:solidFill>
                              <a:srgbClr val="000000"/>
                            </a:solidFill>
                            <a:miter lim="800000"/>
                            <a:headEnd/>
                            <a:tailEnd/>
                          </a:ln>
                        </wps:spPr>
                        <wps:txbx>
                          <w:txbxContent>
                            <w:p w:rsidR="00BE40F8" w:rsidRPr="006034A3" w:rsidRDefault="00BE40F8" w:rsidP="00B233DE">
                              <w:pPr>
                                <w:ind w:firstLine="0"/>
                                <w:jc w:val="center"/>
                                <w:rPr>
                                  <w:rFonts w:ascii="Times New Roman" w:hAnsi="Times New Roman" w:cs="Times New Roman"/>
                                  <w:sz w:val="18"/>
                                  <w:szCs w:val="18"/>
                                </w:rPr>
                              </w:pPr>
                              <w:r w:rsidRPr="006034A3">
                                <w:rPr>
                                  <w:rFonts w:ascii="Times New Roman" w:hAnsi="Times New Roman" w:cs="Times New Roman"/>
                                  <w:sz w:val="18"/>
                                  <w:szCs w:val="18"/>
                                </w:rPr>
                                <w:t>Глобальний ринок праці</w:t>
                              </w:r>
                            </w:p>
                          </w:txbxContent>
                        </wps:txbx>
                        <wps:bodyPr rot="0" vert="horz" wrap="square" lIns="91440" tIns="45720" rIns="91440" bIns="45720" anchor="t" anchorCtr="0" upright="1">
                          <a:noAutofit/>
                        </wps:bodyPr>
                      </wps:wsp>
                      <wps:wsp>
                        <wps:cNvPr id="665" name="Text Box 83"/>
                        <wps:cNvSpPr txBox="1">
                          <a:spLocks noChangeArrowheads="1"/>
                        </wps:cNvSpPr>
                        <wps:spPr bwMode="auto">
                          <a:xfrm>
                            <a:off x="2422" y="2435"/>
                            <a:ext cx="1977" cy="418"/>
                          </a:xfrm>
                          <a:prstGeom prst="rect">
                            <a:avLst/>
                          </a:prstGeom>
                          <a:solidFill>
                            <a:srgbClr val="FFFFFF"/>
                          </a:solidFill>
                          <a:ln w="9525">
                            <a:solidFill>
                              <a:srgbClr val="000000"/>
                            </a:solidFill>
                            <a:miter lim="800000"/>
                            <a:headEnd/>
                            <a:tailEnd/>
                          </a:ln>
                        </wps:spPr>
                        <wps:txb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Рівень кваліфікації</w:t>
                              </w:r>
                            </w:p>
                          </w:txbxContent>
                        </wps:txbx>
                        <wps:bodyPr rot="0" vert="horz" wrap="square" lIns="91440" tIns="45720" rIns="91440" bIns="45720" anchor="t" anchorCtr="0" upright="1">
                          <a:noAutofit/>
                        </wps:bodyPr>
                      </wps:wsp>
                      <wps:wsp>
                        <wps:cNvPr id="666" name="Text Box 84"/>
                        <wps:cNvSpPr txBox="1">
                          <a:spLocks noChangeArrowheads="1"/>
                        </wps:cNvSpPr>
                        <wps:spPr bwMode="auto">
                          <a:xfrm>
                            <a:off x="4540" y="2435"/>
                            <a:ext cx="2400" cy="418"/>
                          </a:xfrm>
                          <a:prstGeom prst="rect">
                            <a:avLst/>
                          </a:prstGeom>
                          <a:solidFill>
                            <a:srgbClr val="FFFFFF"/>
                          </a:solidFill>
                          <a:ln w="9525">
                            <a:solidFill>
                              <a:srgbClr val="000000"/>
                            </a:solidFill>
                            <a:miter lim="800000"/>
                            <a:headEnd/>
                            <a:tailEnd/>
                          </a:ln>
                        </wps:spPr>
                        <wps:txb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Реалізація людського потенціалу</w:t>
                              </w:r>
                            </w:p>
                          </w:txbxContent>
                        </wps:txbx>
                        <wps:bodyPr rot="0" vert="horz" wrap="square" lIns="91440" tIns="45720" rIns="91440" bIns="45720" anchor="t" anchorCtr="0" upright="1">
                          <a:noAutofit/>
                        </wps:bodyPr>
                      </wps:wsp>
                      <wps:wsp>
                        <wps:cNvPr id="667" name="Text Box 85"/>
                        <wps:cNvSpPr txBox="1">
                          <a:spLocks noChangeArrowheads="1"/>
                        </wps:cNvSpPr>
                        <wps:spPr bwMode="auto">
                          <a:xfrm>
                            <a:off x="7081" y="2435"/>
                            <a:ext cx="2259" cy="418"/>
                          </a:xfrm>
                          <a:prstGeom prst="rect">
                            <a:avLst/>
                          </a:prstGeom>
                          <a:solidFill>
                            <a:srgbClr val="FFFFFF"/>
                          </a:solidFill>
                          <a:ln w="9525">
                            <a:solidFill>
                              <a:srgbClr val="000000"/>
                            </a:solidFill>
                            <a:miter lim="800000"/>
                            <a:headEnd/>
                            <a:tailEnd/>
                          </a:ln>
                        </wps:spPr>
                        <wps:txb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Можливості людського розвитку</w:t>
                              </w:r>
                            </w:p>
                          </w:txbxContent>
                        </wps:txbx>
                        <wps:bodyPr rot="0" vert="horz" wrap="square" lIns="91440" tIns="45720" rIns="91440" bIns="45720" anchor="t" anchorCtr="0" upright="1">
                          <a:noAutofit/>
                        </wps:bodyPr>
                      </wps:wsp>
                      <wps:wsp>
                        <wps:cNvPr id="668" name="Text Box 86"/>
                        <wps:cNvSpPr txBox="1">
                          <a:spLocks noChangeArrowheads="1"/>
                        </wps:cNvSpPr>
                        <wps:spPr bwMode="auto">
                          <a:xfrm>
                            <a:off x="2563" y="2992"/>
                            <a:ext cx="1694" cy="558"/>
                          </a:xfrm>
                          <a:prstGeom prst="rect">
                            <a:avLst/>
                          </a:prstGeom>
                          <a:solidFill>
                            <a:srgbClr val="FFFFFF"/>
                          </a:solidFill>
                          <a:ln w="9525">
                            <a:solidFill>
                              <a:srgbClr val="000000"/>
                            </a:solidFill>
                            <a:miter lim="800000"/>
                            <a:headEnd/>
                            <a:tailEnd/>
                          </a:ln>
                        </wps:spPr>
                        <wps:txb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Висококваліфі</w:t>
                              </w:r>
                              <w:r>
                                <w:rPr>
                                  <w:rFonts w:ascii="Times New Roman" w:hAnsi="Times New Roman" w:cs="Times New Roman"/>
                                  <w:sz w:val="16"/>
                                  <w:szCs w:val="16"/>
                                </w:rPr>
                                <w:t>-</w:t>
                              </w:r>
                              <w:r w:rsidRPr="006034A3">
                                <w:rPr>
                                  <w:rFonts w:ascii="Times New Roman" w:hAnsi="Times New Roman" w:cs="Times New Roman"/>
                                  <w:sz w:val="16"/>
                                  <w:szCs w:val="16"/>
                                </w:rPr>
                                <w:t>ковані спеціалісти</w:t>
                              </w:r>
                            </w:p>
                          </w:txbxContent>
                        </wps:txbx>
                        <wps:bodyPr rot="0" vert="horz" wrap="square" lIns="91440" tIns="45720" rIns="91440" bIns="45720" anchor="t" anchorCtr="0" upright="1">
                          <a:noAutofit/>
                        </wps:bodyPr>
                      </wps:wsp>
                      <wps:wsp>
                        <wps:cNvPr id="669" name="Text Box 87"/>
                        <wps:cNvSpPr txBox="1">
                          <a:spLocks noChangeArrowheads="1"/>
                        </wps:cNvSpPr>
                        <wps:spPr bwMode="auto">
                          <a:xfrm>
                            <a:off x="2563" y="4107"/>
                            <a:ext cx="1694" cy="559"/>
                          </a:xfrm>
                          <a:prstGeom prst="rect">
                            <a:avLst/>
                          </a:prstGeom>
                          <a:solidFill>
                            <a:srgbClr val="FFFFFF"/>
                          </a:solidFill>
                          <a:ln w="9525">
                            <a:solidFill>
                              <a:srgbClr val="000000"/>
                            </a:solidFill>
                            <a:miter lim="800000"/>
                            <a:headEnd/>
                            <a:tailEnd/>
                          </a:ln>
                        </wps:spPr>
                        <wps:txb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Працівники середньої кваліфікації</w:t>
                              </w:r>
                            </w:p>
                          </w:txbxContent>
                        </wps:txbx>
                        <wps:bodyPr rot="0" vert="horz" wrap="square" lIns="91440" tIns="45720" rIns="91440" bIns="45720" anchor="t" anchorCtr="0" upright="1">
                          <a:noAutofit/>
                        </wps:bodyPr>
                      </wps:wsp>
                      <wps:wsp>
                        <wps:cNvPr id="670" name="Text Box 88"/>
                        <wps:cNvSpPr txBox="1">
                          <a:spLocks noChangeArrowheads="1"/>
                        </wps:cNvSpPr>
                        <wps:spPr bwMode="auto">
                          <a:xfrm>
                            <a:off x="2563" y="4804"/>
                            <a:ext cx="1694" cy="559"/>
                          </a:xfrm>
                          <a:prstGeom prst="rect">
                            <a:avLst/>
                          </a:prstGeom>
                          <a:solidFill>
                            <a:srgbClr val="FFFFFF"/>
                          </a:solidFill>
                          <a:ln w="9525">
                            <a:solidFill>
                              <a:srgbClr val="000000"/>
                            </a:solidFill>
                            <a:miter lim="800000"/>
                            <a:headEnd/>
                            <a:tailEnd/>
                          </a:ln>
                        </wps:spPr>
                        <wps:txb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Низькокваліфіковані працівники</w:t>
                              </w:r>
                            </w:p>
                          </w:txbxContent>
                        </wps:txbx>
                        <wps:bodyPr rot="0" vert="horz" wrap="square" lIns="91440" tIns="45720" rIns="91440" bIns="45720" anchor="t" anchorCtr="0" upright="1">
                          <a:noAutofit/>
                        </wps:bodyPr>
                      </wps:wsp>
                      <wps:wsp>
                        <wps:cNvPr id="671" name="Text Box 89"/>
                        <wps:cNvSpPr txBox="1">
                          <a:spLocks noChangeArrowheads="1"/>
                        </wps:cNvSpPr>
                        <wps:spPr bwMode="auto">
                          <a:xfrm>
                            <a:off x="4540" y="2992"/>
                            <a:ext cx="2400" cy="279"/>
                          </a:xfrm>
                          <a:prstGeom prst="rect">
                            <a:avLst/>
                          </a:prstGeom>
                          <a:solidFill>
                            <a:srgbClr val="FFFFFF"/>
                          </a:solidFill>
                          <a:ln w="9525">
                            <a:solidFill>
                              <a:srgbClr val="000000"/>
                            </a:solidFill>
                            <a:miter lim="800000"/>
                            <a:headEnd/>
                            <a:tailEnd/>
                          </a:ln>
                        </wps:spPr>
                        <wps:txb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Професійна самореалізація</w:t>
                              </w:r>
                            </w:p>
                          </w:txbxContent>
                        </wps:txbx>
                        <wps:bodyPr rot="0" vert="horz" wrap="square" lIns="91440" tIns="0" rIns="91440" bIns="0" anchor="t" anchorCtr="0" upright="1">
                          <a:noAutofit/>
                        </wps:bodyPr>
                      </wps:wsp>
                      <wps:wsp>
                        <wps:cNvPr id="672" name="Text Box 90"/>
                        <wps:cNvSpPr txBox="1">
                          <a:spLocks noChangeArrowheads="1"/>
                        </wps:cNvSpPr>
                        <wps:spPr bwMode="auto">
                          <a:xfrm>
                            <a:off x="4540" y="3410"/>
                            <a:ext cx="2400" cy="279"/>
                          </a:xfrm>
                          <a:prstGeom prst="rect">
                            <a:avLst/>
                          </a:prstGeom>
                          <a:solidFill>
                            <a:srgbClr val="FFFFFF"/>
                          </a:solidFill>
                          <a:ln w="9525">
                            <a:solidFill>
                              <a:srgbClr val="000000"/>
                            </a:solidFill>
                            <a:miter lim="800000"/>
                            <a:headEnd/>
                            <a:tailEnd/>
                          </a:ln>
                        </wps:spPr>
                        <wps:txb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Професійне зростання</w:t>
                              </w:r>
                            </w:p>
                          </w:txbxContent>
                        </wps:txbx>
                        <wps:bodyPr rot="0" vert="horz" wrap="square" lIns="91440" tIns="0" rIns="91440" bIns="0" anchor="t" anchorCtr="0" upright="1">
                          <a:noAutofit/>
                        </wps:bodyPr>
                      </wps:wsp>
                      <wps:wsp>
                        <wps:cNvPr id="673" name="Text Box 91"/>
                        <wps:cNvSpPr txBox="1">
                          <a:spLocks noChangeArrowheads="1"/>
                        </wps:cNvSpPr>
                        <wps:spPr bwMode="auto">
                          <a:xfrm>
                            <a:off x="4540" y="3828"/>
                            <a:ext cx="2400" cy="279"/>
                          </a:xfrm>
                          <a:prstGeom prst="rect">
                            <a:avLst/>
                          </a:prstGeom>
                          <a:solidFill>
                            <a:srgbClr val="FFFFFF"/>
                          </a:solidFill>
                          <a:ln w="9525">
                            <a:solidFill>
                              <a:srgbClr val="000000"/>
                            </a:solidFill>
                            <a:miter lim="800000"/>
                            <a:headEnd/>
                            <a:tailEnd/>
                          </a:ln>
                        </wps:spPr>
                        <wps:txb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Набуття і оновлення знань</w:t>
                              </w:r>
                            </w:p>
                          </w:txbxContent>
                        </wps:txbx>
                        <wps:bodyPr rot="0" vert="horz" wrap="square" lIns="91440" tIns="0" rIns="91440" bIns="0" anchor="t" anchorCtr="0" upright="1">
                          <a:noAutofit/>
                        </wps:bodyPr>
                      </wps:wsp>
                      <wps:wsp>
                        <wps:cNvPr id="674" name="Text Box 92"/>
                        <wps:cNvSpPr txBox="1">
                          <a:spLocks noChangeArrowheads="1"/>
                        </wps:cNvSpPr>
                        <wps:spPr bwMode="auto">
                          <a:xfrm>
                            <a:off x="4540" y="4386"/>
                            <a:ext cx="2400" cy="278"/>
                          </a:xfrm>
                          <a:prstGeom prst="rect">
                            <a:avLst/>
                          </a:prstGeom>
                          <a:solidFill>
                            <a:srgbClr val="FFFFFF"/>
                          </a:solidFill>
                          <a:ln w="9525">
                            <a:solidFill>
                              <a:srgbClr val="000000"/>
                            </a:solidFill>
                            <a:miter lim="800000"/>
                            <a:headEnd/>
                            <a:tailEnd/>
                          </a:ln>
                        </wps:spPr>
                        <wps:txb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Високий рівень оплати праці</w:t>
                              </w:r>
                            </w:p>
                          </w:txbxContent>
                        </wps:txbx>
                        <wps:bodyPr rot="0" vert="horz" wrap="square" lIns="91440" tIns="0" rIns="91440" bIns="0" anchor="t" anchorCtr="0" upright="1">
                          <a:noAutofit/>
                        </wps:bodyPr>
                      </wps:wsp>
                      <wps:wsp>
                        <wps:cNvPr id="675" name="Text Box 93"/>
                        <wps:cNvSpPr txBox="1">
                          <a:spLocks noChangeArrowheads="1"/>
                        </wps:cNvSpPr>
                        <wps:spPr bwMode="auto">
                          <a:xfrm>
                            <a:off x="7081" y="2992"/>
                            <a:ext cx="2259" cy="418"/>
                          </a:xfrm>
                          <a:prstGeom prst="rect">
                            <a:avLst/>
                          </a:prstGeom>
                          <a:solidFill>
                            <a:srgbClr val="FFFFFF"/>
                          </a:solidFill>
                          <a:ln w="9525">
                            <a:solidFill>
                              <a:srgbClr val="000000"/>
                            </a:solidFill>
                            <a:miter lim="800000"/>
                            <a:headEnd/>
                            <a:tailEnd/>
                          </a:ln>
                        </wps:spPr>
                        <wps:txb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Рівень соціально-економічного розвитку</w:t>
                              </w:r>
                            </w:p>
                          </w:txbxContent>
                        </wps:txbx>
                        <wps:bodyPr rot="0" vert="horz" wrap="square" lIns="0" tIns="0" rIns="0" bIns="0" anchor="t" anchorCtr="0" upright="1">
                          <a:noAutofit/>
                        </wps:bodyPr>
                      </wps:wsp>
                      <wps:wsp>
                        <wps:cNvPr id="676" name="Text Box 94"/>
                        <wps:cNvSpPr txBox="1">
                          <a:spLocks noChangeArrowheads="1"/>
                        </wps:cNvSpPr>
                        <wps:spPr bwMode="auto">
                          <a:xfrm>
                            <a:off x="7081" y="3410"/>
                            <a:ext cx="2259" cy="418"/>
                          </a:xfrm>
                          <a:prstGeom prst="rect">
                            <a:avLst/>
                          </a:prstGeom>
                          <a:solidFill>
                            <a:srgbClr val="FFFFFF"/>
                          </a:solidFill>
                          <a:ln w="9525">
                            <a:solidFill>
                              <a:srgbClr val="000000"/>
                            </a:solidFill>
                            <a:miter lim="800000"/>
                            <a:headEnd/>
                            <a:tailEnd/>
                          </a:ln>
                        </wps:spPr>
                        <wps:txb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Рівень розвитку соціальної інфраструктури</w:t>
                              </w:r>
                            </w:p>
                          </w:txbxContent>
                        </wps:txbx>
                        <wps:bodyPr rot="0" vert="horz" wrap="square" lIns="0" tIns="0" rIns="0" bIns="0" anchor="t" anchorCtr="0" upright="1">
                          <a:noAutofit/>
                        </wps:bodyPr>
                      </wps:wsp>
                      <wps:wsp>
                        <wps:cNvPr id="677" name="Text Box 95"/>
                        <wps:cNvSpPr txBox="1">
                          <a:spLocks noChangeArrowheads="1"/>
                        </wps:cNvSpPr>
                        <wps:spPr bwMode="auto">
                          <a:xfrm>
                            <a:off x="7081" y="3828"/>
                            <a:ext cx="2259" cy="279"/>
                          </a:xfrm>
                          <a:prstGeom prst="rect">
                            <a:avLst/>
                          </a:prstGeom>
                          <a:solidFill>
                            <a:srgbClr val="FFFFFF"/>
                          </a:solidFill>
                          <a:ln w="9525">
                            <a:solidFill>
                              <a:srgbClr val="000000"/>
                            </a:solidFill>
                            <a:miter lim="800000"/>
                            <a:headEnd/>
                            <a:tailEnd/>
                          </a:ln>
                        </wps:spPr>
                        <wps:txb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Охорона праці</w:t>
                              </w:r>
                            </w:p>
                          </w:txbxContent>
                        </wps:txbx>
                        <wps:bodyPr rot="0" vert="horz" wrap="square" lIns="91440" tIns="45720" rIns="91440" bIns="45720" anchor="t" anchorCtr="0" upright="1">
                          <a:noAutofit/>
                        </wps:bodyPr>
                      </wps:wsp>
                      <wps:wsp>
                        <wps:cNvPr id="678" name="Text Box 96"/>
                        <wps:cNvSpPr txBox="1">
                          <a:spLocks noChangeArrowheads="1"/>
                        </wps:cNvSpPr>
                        <wps:spPr bwMode="auto">
                          <a:xfrm>
                            <a:off x="7081" y="4107"/>
                            <a:ext cx="2259" cy="279"/>
                          </a:xfrm>
                          <a:prstGeom prst="rect">
                            <a:avLst/>
                          </a:prstGeom>
                          <a:solidFill>
                            <a:srgbClr val="FFFFFF"/>
                          </a:solidFill>
                          <a:ln w="9525">
                            <a:solidFill>
                              <a:srgbClr val="000000"/>
                            </a:solidFill>
                            <a:miter lim="800000"/>
                            <a:headEnd/>
                            <a:tailEnd/>
                          </a:ln>
                        </wps:spPr>
                        <wps:txb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Екологічна безпека</w:t>
                              </w:r>
                            </w:p>
                          </w:txbxContent>
                        </wps:txbx>
                        <wps:bodyPr rot="0" vert="horz" wrap="square" lIns="91440" tIns="45720" rIns="91440" bIns="45720" anchor="t" anchorCtr="0" upright="1">
                          <a:noAutofit/>
                        </wps:bodyPr>
                      </wps:wsp>
                      <wps:wsp>
                        <wps:cNvPr id="679" name="Text Box 97"/>
                        <wps:cNvSpPr txBox="1">
                          <a:spLocks noChangeArrowheads="1"/>
                        </wps:cNvSpPr>
                        <wps:spPr bwMode="auto">
                          <a:xfrm>
                            <a:off x="7081" y="4386"/>
                            <a:ext cx="2259" cy="418"/>
                          </a:xfrm>
                          <a:prstGeom prst="rect">
                            <a:avLst/>
                          </a:prstGeom>
                          <a:solidFill>
                            <a:srgbClr val="FFFFFF"/>
                          </a:solidFill>
                          <a:ln w="9525">
                            <a:solidFill>
                              <a:srgbClr val="000000"/>
                            </a:solidFill>
                            <a:miter lim="800000"/>
                            <a:headEnd/>
                            <a:tailEnd/>
                          </a:ln>
                        </wps:spPr>
                        <wps:txb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Соціально-економічна захищеність</w:t>
                              </w:r>
                            </w:p>
                          </w:txbxContent>
                        </wps:txbx>
                        <wps:bodyPr rot="0" vert="horz" wrap="square" lIns="0" tIns="0" rIns="0" bIns="0" anchor="t" anchorCtr="0" upright="1">
                          <a:noAutofit/>
                        </wps:bodyPr>
                      </wps:wsp>
                      <wps:wsp>
                        <wps:cNvPr id="680" name="Text Box 98"/>
                        <wps:cNvSpPr txBox="1">
                          <a:spLocks noChangeArrowheads="1"/>
                        </wps:cNvSpPr>
                        <wps:spPr bwMode="auto">
                          <a:xfrm>
                            <a:off x="7081" y="4804"/>
                            <a:ext cx="2259" cy="557"/>
                          </a:xfrm>
                          <a:prstGeom prst="rect">
                            <a:avLst/>
                          </a:prstGeom>
                          <a:solidFill>
                            <a:srgbClr val="FFFFFF"/>
                          </a:solidFill>
                          <a:ln w="9525">
                            <a:solidFill>
                              <a:srgbClr val="000000"/>
                            </a:solidFill>
                            <a:miter lim="800000"/>
                            <a:headEnd/>
                            <a:tailEnd/>
                          </a:ln>
                        </wps:spPr>
                        <wps:txb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Фінансування людського розвитку – можливості набуття освіти та під</w:t>
                              </w:r>
                              <w:r>
                                <w:rPr>
                                  <w:rFonts w:ascii="Times New Roman" w:hAnsi="Times New Roman" w:cs="Times New Roman"/>
                                  <w:sz w:val="16"/>
                                  <w:szCs w:val="16"/>
                                </w:rPr>
                                <w:t>-</w:t>
                              </w:r>
                              <w:r w:rsidRPr="006034A3">
                                <w:rPr>
                                  <w:rFonts w:ascii="Times New Roman" w:hAnsi="Times New Roman" w:cs="Times New Roman"/>
                                  <w:sz w:val="16"/>
                                  <w:szCs w:val="16"/>
                                </w:rPr>
                                <w:t>вищення кваліфікації</w:t>
                              </w:r>
                            </w:p>
                          </w:txbxContent>
                        </wps:txbx>
                        <wps:bodyPr rot="0" vert="horz" wrap="square" lIns="0" tIns="0" rIns="0" bIns="0" anchor="t" anchorCtr="0" upright="1">
                          <a:noAutofit/>
                        </wps:bodyPr>
                      </wps:wsp>
                      <wps:wsp>
                        <wps:cNvPr id="681" name="Text Box 99"/>
                        <wps:cNvSpPr txBox="1">
                          <a:spLocks noChangeArrowheads="1"/>
                        </wps:cNvSpPr>
                        <wps:spPr bwMode="auto">
                          <a:xfrm>
                            <a:off x="4540" y="4804"/>
                            <a:ext cx="2400" cy="557"/>
                          </a:xfrm>
                          <a:prstGeom prst="rect">
                            <a:avLst/>
                          </a:prstGeom>
                          <a:solidFill>
                            <a:srgbClr val="FFFFFF"/>
                          </a:solidFill>
                          <a:ln w="9525">
                            <a:solidFill>
                              <a:srgbClr val="000000"/>
                            </a:solidFill>
                            <a:miter lim="800000"/>
                            <a:headEnd/>
                            <a:tailEnd/>
                          </a:ln>
                        </wps:spPr>
                        <wps:txb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Високий рівень соціальної захищеності та якості життя</w:t>
                              </w:r>
                            </w:p>
                          </w:txbxContent>
                        </wps:txbx>
                        <wps:bodyPr rot="0" vert="horz" wrap="square" lIns="91440" tIns="45720" rIns="91440" bIns="45720" anchor="t" anchorCtr="0" upright="1">
                          <a:noAutofit/>
                        </wps:bodyPr>
                      </wps:wsp>
                      <wps:wsp>
                        <wps:cNvPr id="682" name="AutoShape 100"/>
                        <wps:cNvCnPr/>
                        <wps:spPr bwMode="auto">
                          <a:xfrm rot="10800000" flipV="1">
                            <a:off x="3410" y="2086"/>
                            <a:ext cx="1130" cy="349"/>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83" name="AutoShape 101"/>
                        <wps:cNvCnPr/>
                        <wps:spPr bwMode="auto">
                          <a:xfrm>
                            <a:off x="5740" y="2295"/>
                            <a:ext cx="1" cy="1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4" name="AutoShape 102"/>
                        <wps:cNvCnPr/>
                        <wps:spPr bwMode="auto">
                          <a:xfrm>
                            <a:off x="6940" y="2086"/>
                            <a:ext cx="1270" cy="349"/>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85" name="AutoShape 103"/>
                        <wps:cNvCnPr/>
                        <wps:spPr bwMode="auto">
                          <a:xfrm flipV="1">
                            <a:off x="4257" y="3132"/>
                            <a:ext cx="283" cy="140"/>
                          </a:xfrm>
                          <a:prstGeom prst="bentConnector3">
                            <a:avLst>
                              <a:gd name="adj1" fmla="val 4986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86" name="AutoShape 104"/>
                        <wps:cNvCnPr/>
                        <wps:spPr bwMode="auto">
                          <a:xfrm>
                            <a:off x="4257" y="3272"/>
                            <a:ext cx="283" cy="278"/>
                          </a:xfrm>
                          <a:prstGeom prst="bentConnector3">
                            <a:avLst>
                              <a:gd name="adj1" fmla="val 4986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87" name="AutoShape 105"/>
                        <wps:cNvCnPr/>
                        <wps:spPr bwMode="auto">
                          <a:xfrm>
                            <a:off x="4257" y="3272"/>
                            <a:ext cx="283" cy="696"/>
                          </a:xfrm>
                          <a:prstGeom prst="bentConnector3">
                            <a:avLst>
                              <a:gd name="adj1" fmla="val 4986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88" name="AutoShape 106"/>
                        <wps:cNvCnPr/>
                        <wps:spPr bwMode="auto">
                          <a:xfrm>
                            <a:off x="4257" y="3272"/>
                            <a:ext cx="283" cy="1253"/>
                          </a:xfrm>
                          <a:prstGeom prst="bentConnector3">
                            <a:avLst>
                              <a:gd name="adj1" fmla="val 4986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89" name="AutoShape 107"/>
                        <wps:cNvCnPr/>
                        <wps:spPr bwMode="auto">
                          <a:xfrm>
                            <a:off x="4257" y="3272"/>
                            <a:ext cx="283" cy="1811"/>
                          </a:xfrm>
                          <a:prstGeom prst="bentConnector3">
                            <a:avLst>
                              <a:gd name="adj1" fmla="val 4986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90" name="AutoShape 108"/>
                        <wps:cNvCnPr/>
                        <wps:spPr bwMode="auto">
                          <a:xfrm>
                            <a:off x="4257" y="4387"/>
                            <a:ext cx="283" cy="138"/>
                          </a:xfrm>
                          <a:prstGeom prst="bentConnector3">
                            <a:avLst>
                              <a:gd name="adj1" fmla="val 4986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91" name="AutoShape 109"/>
                        <wps:cNvCnPr/>
                        <wps:spPr bwMode="auto">
                          <a:xfrm>
                            <a:off x="4257" y="4387"/>
                            <a:ext cx="283" cy="696"/>
                          </a:xfrm>
                          <a:prstGeom prst="bentConnector3">
                            <a:avLst>
                              <a:gd name="adj1" fmla="val 4986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92" name="AutoShape 110"/>
                        <wps:cNvCnPr/>
                        <wps:spPr bwMode="auto">
                          <a:xfrm flipV="1">
                            <a:off x="4257" y="5083"/>
                            <a:ext cx="283" cy="1"/>
                          </a:xfrm>
                          <a:prstGeom prst="bentConnector3">
                            <a:avLst>
                              <a:gd name="adj1" fmla="val 4986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93" name="Rectangle 111"/>
                        <wps:cNvSpPr>
                          <a:spLocks noChangeArrowheads="1"/>
                        </wps:cNvSpPr>
                        <wps:spPr bwMode="auto">
                          <a:xfrm>
                            <a:off x="4495" y="2949"/>
                            <a:ext cx="2490" cy="2458"/>
                          </a:xfrm>
                          <a:prstGeom prst="rect">
                            <a:avLst/>
                          </a:prstGeom>
                          <a:solidFill>
                            <a:srgbClr val="FFFFFF">
                              <a:alpha val="0"/>
                            </a:srgbClr>
                          </a:solidFill>
                          <a:ln w="9525">
                            <a:solidFill>
                              <a:srgbClr val="000000"/>
                            </a:solidFill>
                            <a:prstDash val="dash"/>
                            <a:miter lim="800000"/>
                            <a:headEnd/>
                            <a:tailEnd/>
                          </a:ln>
                        </wps:spPr>
                        <wps:bodyPr rot="0" vert="horz" wrap="square" lIns="91440" tIns="45720" rIns="91440" bIns="45720" anchor="t" anchorCtr="0" upright="1">
                          <a:noAutofit/>
                        </wps:bodyPr>
                      </wps:wsp>
                      <wps:wsp>
                        <wps:cNvPr id="694" name="Line 112"/>
                        <wps:cNvCnPr/>
                        <wps:spPr bwMode="auto">
                          <a:xfrm>
                            <a:off x="6940" y="3968"/>
                            <a:ext cx="14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2504E862" id="Группа 663" o:spid="_x0000_s1414" style="width:296.6pt;height:265.65pt;mso-position-horizontal-relative:char;mso-position-vertical-relative:line" coordorigin="2422,1877" coordsize="6918,3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">
                <v:shape id="Text Box 82" o:spid="_x0000_s1415" type="#_x0000_t202" style="position:absolute;left:4540;top:1877;width:2400;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">
                  <v:textbox>
                    <w:txbxContent>
                      <w:p w:rsidR="00BE40F8" w:rsidRPr="006034A3" w:rsidRDefault="00BE40F8" w:rsidP="00B233DE">
                        <w:pPr>
                          <w:ind w:firstLine="0"/>
                          <w:jc w:val="center"/>
                          <w:rPr>
                            <w:rFonts w:ascii="Times New Roman" w:hAnsi="Times New Roman" w:cs="Times New Roman"/>
                            <w:sz w:val="18"/>
                            <w:szCs w:val="18"/>
                          </w:rPr>
                        </w:pPr>
                        <w:r w:rsidRPr="006034A3">
                          <w:rPr>
                            <w:rFonts w:ascii="Times New Roman" w:hAnsi="Times New Roman" w:cs="Times New Roman"/>
                            <w:sz w:val="18"/>
                            <w:szCs w:val="18"/>
                          </w:rPr>
                          <w:t>Глобальний ринок праці</w:t>
                        </w:r>
                      </w:p>
                    </w:txbxContent>
                  </v:textbox>
                </v:shape>
                <v:shape id="Text Box 83" o:spid="_x0000_s1416" type="#_x0000_t202" style="position:absolute;left:2422;top:2435;width:1977;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">
                  <v:textbo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Рівень кваліфікації</w:t>
                        </w:r>
                      </w:p>
                    </w:txbxContent>
                  </v:textbox>
                </v:shape>
                <v:shape id="Text Box 84" o:spid="_x0000_s1417" type="#_x0000_t202" style="position:absolute;left:4540;top:2435;width:2400;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">
                  <v:textbo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Реалізація людського потенціалу</w:t>
                        </w:r>
                      </w:p>
                    </w:txbxContent>
                  </v:textbox>
                </v:shape>
                <v:shape id="Text Box 85" o:spid="_x0000_s1418" type="#_x0000_t202" style="position:absolute;left:7081;top:2435;width:2259;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">
                  <v:textbo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Можливості людського розвитку</w:t>
                        </w:r>
                      </w:p>
                    </w:txbxContent>
                  </v:textbox>
                </v:shape>
                <v:shape id="Text Box 86" o:spid="_x0000_s1419" type="#_x0000_t202" style="position:absolute;left:2563;top:2992;width:1694;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">
                  <v:textbo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Висококваліфі</w:t>
                        </w:r>
                        <w:r>
                          <w:rPr>
                            <w:rFonts w:ascii="Times New Roman" w:hAnsi="Times New Roman" w:cs="Times New Roman"/>
                            <w:sz w:val="16"/>
                            <w:szCs w:val="16"/>
                          </w:rPr>
                          <w:t>-</w:t>
                        </w:r>
                        <w:r w:rsidRPr="006034A3">
                          <w:rPr>
                            <w:rFonts w:ascii="Times New Roman" w:hAnsi="Times New Roman" w:cs="Times New Roman"/>
                            <w:sz w:val="16"/>
                            <w:szCs w:val="16"/>
                          </w:rPr>
                          <w:t>ковані спеціалісти</w:t>
                        </w:r>
                      </w:p>
                    </w:txbxContent>
                  </v:textbox>
                </v:shape>
                <v:shape id="Text Box 87" o:spid="_x0000_s1420" type="#_x0000_t202" style="position:absolute;left:2563;top:4107;width:1694;height: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">
                  <v:textbo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Працівники середньої кваліфікації</w:t>
                        </w:r>
                      </w:p>
                    </w:txbxContent>
                  </v:textbox>
                </v:shape>
                <v:shape id="Text Box 88" o:spid="_x0000_s1421" type="#_x0000_t202" style="position:absolute;left:2563;top:4804;width:1694;height: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">
                  <v:textbo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Низькокваліфіковані працівники</w:t>
                        </w:r>
                      </w:p>
                    </w:txbxContent>
                  </v:textbox>
                </v:shape>
                <v:shape id="Text Box 89" o:spid="_x0000_s1422" type="#_x0000_t202" style="position:absolute;left:4540;top:2992;width:2400;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">
                  <v:textbox inset=",0,,0">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Професійна самореалізація</w:t>
                        </w:r>
                      </w:p>
                    </w:txbxContent>
                  </v:textbox>
                </v:shape>
                <v:shape id="Text Box 90" o:spid="_x0000_s1423" type="#_x0000_t202" style="position:absolute;left:4540;top:3410;width:2400;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">
                  <v:textbox inset=",0,,0">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Професійне зростання</w:t>
                        </w:r>
                      </w:p>
                    </w:txbxContent>
                  </v:textbox>
                </v:shape>
                <v:shape id="Text Box 91" o:spid="_x0000_s1424" type="#_x0000_t202" style="position:absolute;left:4540;top:3828;width:2400;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">
                  <v:textbox inset=",0,,0">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Набуття і оновлення знань</w:t>
                        </w:r>
                      </w:p>
                    </w:txbxContent>
                  </v:textbox>
                </v:shape>
                <v:shape id="Text Box 92" o:spid="_x0000_s1425" type="#_x0000_t202" style="position:absolute;left:4540;top:4386;width:2400;height: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">
                  <v:textbox inset=",0,,0">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Високий рівень оплати праці</w:t>
                        </w:r>
                      </w:p>
                    </w:txbxContent>
                  </v:textbox>
                </v:shape>
                <v:shape id="Text Box 93" o:spid="_x0000_s1426" type="#_x0000_t202" style="position:absolute;left:7081;top:2992;width:2259;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">
                  <v:textbox inset="0,0,0,0">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Рівень соціально-економічного розвитку</w:t>
                        </w:r>
                      </w:p>
                    </w:txbxContent>
                  </v:textbox>
                </v:shape>
                <v:shape id="Text Box 94" o:spid="_x0000_s1427" type="#_x0000_t202" style="position:absolute;left:7081;top:3410;width:2259;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">
                  <v:textbox inset="0,0,0,0">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Рівень розвитку соціальної інфраструктури</w:t>
                        </w:r>
                      </w:p>
                    </w:txbxContent>
                  </v:textbox>
                </v:shape>
                <v:shape id="Text Box 95" o:spid="_x0000_s1428" type="#_x0000_t202" style="position:absolute;left:7081;top:3828;width:2259;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">
                  <v:textbo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Охорона праці</w:t>
                        </w:r>
                      </w:p>
                    </w:txbxContent>
                  </v:textbox>
                </v:shape>
                <v:shape id="Text Box 96" o:spid="_x0000_s1429" type="#_x0000_t202" style="position:absolute;left:7081;top:4107;width:2259;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">
                  <v:textbo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Екологічна безпека</w:t>
                        </w:r>
                      </w:p>
                    </w:txbxContent>
                  </v:textbox>
                </v:shape>
                <v:shape id="Text Box 97" o:spid="_x0000_s1430" type="#_x0000_t202" style="position:absolute;left:7081;top:4386;width:2259;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">
                  <v:textbox inset="0,0,0,0">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Соціально-економічна захищеність</w:t>
                        </w:r>
                      </w:p>
                    </w:txbxContent>
                  </v:textbox>
                </v:shape>
                <v:shape id="Text Box 98" o:spid="_x0000_s1431" type="#_x0000_t202" style="position:absolute;left:7081;top:4804;width:2259;height: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">
                  <v:textbox inset="0,0,0,0">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Фінансування людського розвитку – можливості набуття освіти та під</w:t>
                        </w:r>
                        <w:r>
                          <w:rPr>
                            <w:rFonts w:ascii="Times New Roman" w:hAnsi="Times New Roman" w:cs="Times New Roman"/>
                            <w:sz w:val="16"/>
                            <w:szCs w:val="16"/>
                          </w:rPr>
                          <w:t>-</w:t>
                        </w:r>
                        <w:r w:rsidRPr="006034A3">
                          <w:rPr>
                            <w:rFonts w:ascii="Times New Roman" w:hAnsi="Times New Roman" w:cs="Times New Roman"/>
                            <w:sz w:val="16"/>
                            <w:szCs w:val="16"/>
                          </w:rPr>
                          <w:t>вищення кваліфікації</w:t>
                        </w:r>
                      </w:p>
                    </w:txbxContent>
                  </v:textbox>
                </v:shape>
                <v:shape id="Text Box 99" o:spid="_x0000_s1432" type="#_x0000_t202" style="position:absolute;left:4540;top:4804;width:2400;height: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">
                  <v:textbox>
                    <w:txbxContent>
                      <w:p w:rsidR="00BE40F8" w:rsidRPr="006034A3" w:rsidRDefault="00BE40F8" w:rsidP="00B233DE">
                        <w:pPr>
                          <w:ind w:firstLine="0"/>
                          <w:jc w:val="center"/>
                          <w:rPr>
                            <w:rFonts w:ascii="Times New Roman" w:hAnsi="Times New Roman" w:cs="Times New Roman"/>
                            <w:sz w:val="16"/>
                            <w:szCs w:val="16"/>
                          </w:rPr>
                        </w:pPr>
                        <w:r w:rsidRPr="006034A3">
                          <w:rPr>
                            <w:rFonts w:ascii="Times New Roman" w:hAnsi="Times New Roman" w:cs="Times New Roman"/>
                            <w:sz w:val="16"/>
                            <w:szCs w:val="16"/>
                          </w:rPr>
                          <w:t>Високий рівень соціальної захищеності та якості життя</w:t>
                        </w:r>
                      </w:p>
                    </w:txbxContent>
                  </v:textbox>
                </v:shape>
                <v:shape id="AutoShape 100" o:spid="_x0000_s1433" type="#_x0000_t33" style="position:absolute;left:3410;top:2086;width:1130;height:349;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">
                  <v:stroke endarrow="block"/>
                </v:shape>
                <v:shape id="AutoShape 101" o:spid="_x0000_s1434" type="#_x0000_t32" style="position:absolute;left:5740;top:2295;width:1;height:1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">
                  <v:stroke endarrow="block"/>
                </v:shape>
                <v:shape id="AutoShape 102" o:spid="_x0000_s1435" type="#_x0000_t33" style="position:absolute;left:6940;top:2086;width:1270;height:34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">
                  <v:stroke endarrow="block"/>
                </v:shape>
                <v:shape id="AutoShape 103" o:spid="_x0000_s1436" type="#_x0000_t34" style="position:absolute;left:4257;top:3132;width:283;height:14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" adj="10770">
                  <v:stroke endarrow="block"/>
                </v:shape>
                <v:shape id="AutoShape 104" o:spid="_x0000_s1437" type="#_x0000_t34" style="position:absolute;left:4257;top:3272;width:283;height:27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" adj="10770">
                  <v:stroke endarrow="block"/>
                </v:shape>
                <v:shape id="AutoShape 105" o:spid="_x0000_s1438" type="#_x0000_t34" style="position:absolute;left:4257;top:3272;width:283;height:69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" adj="10770">
                  <v:stroke endarrow="block"/>
                </v:shape>
                <v:shape id="AutoShape 106" o:spid="_x0000_s1439" type="#_x0000_t34" style="position:absolute;left:4257;top:3272;width:283;height:125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" adj="10770">
                  <v:stroke endarrow="block"/>
                </v:shape>
                <v:shape id="AutoShape 107" o:spid="_x0000_s1440" type="#_x0000_t34" style="position:absolute;left:4257;top:3272;width:283;height:181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" adj="10770">
                  <v:stroke endarrow="block"/>
                </v:shape>
                <v:shape id="AutoShape 108" o:spid="_x0000_s1441" type="#_x0000_t34" style="position:absolute;left:4257;top:4387;width:283;height:13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" adj="10770">
                  <v:stroke endarrow="block"/>
                </v:shape>
                <v:shape id="AutoShape 109" o:spid="_x0000_s1442" type="#_x0000_t34" style="position:absolute;left:4257;top:4387;width:283;height:69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" adj="10770">
                  <v:stroke endarrow="block"/>
                </v:shape>
                <v:shape id="AutoShape 110" o:spid="_x0000_s1443" type="#_x0000_t34" style="position:absolute;left:4257;top:5083;width:283;height: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" adj="10770">
                  <v:stroke endarrow="block"/>
                </v:shape>
                <v:rect id="Rectangle 111" o:spid="_x0000_s1444" style="position:absolute;left:4495;top:2949;width:2490;height:2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">
                  <v:fill opacity="0"/>
                  <v:stroke dashstyle="dash"/>
                </v:rect>
                <v:line id="Line 112" o:spid="_x0000_s1445" style="position:absolute;visibility:visible;mso-wrap-style:square" from="6940,3968" to="7081,39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">
                  <v:stroke endarrow="block"/>
                </v:line>
                <w10:anchorlock/>
              </v:group>
            </w:pict>
          </mc:Fallback>
        </mc:AlternateContent>
      </w:r>
    </w:p>
    <w:p w:rsidR="00B233DE" w:rsidRPr="006034A3" w:rsidRDefault="00B233DE" w:rsidP="00B233DE">
      <w:pPr>
        <w:tabs>
          <w:tab w:val="left" w:pos="2880"/>
        </w:tabs>
        <w:ind w:firstLine="709"/>
        <w:jc w:val="center"/>
        <w:rPr>
          <w:rFonts w:ascii="Times New Roman" w:hAnsi="Times New Roman" w:cs="Times New Roman"/>
          <w:b/>
          <w:sz w:val="21"/>
          <w:szCs w:val="21"/>
        </w:rPr>
      </w:pPr>
      <w:r w:rsidRPr="006034A3">
        <w:rPr>
          <w:rFonts w:ascii="Times New Roman" w:hAnsi="Times New Roman" w:cs="Times New Roman"/>
          <w:b/>
          <w:sz w:val="21"/>
          <w:szCs w:val="21"/>
        </w:rPr>
        <w:t xml:space="preserve">Рис. 4.4. Реалізація людського потенціалу </w:t>
      </w:r>
      <w:r>
        <w:rPr>
          <w:rFonts w:ascii="Times New Roman" w:hAnsi="Times New Roman" w:cs="Times New Roman"/>
          <w:b/>
          <w:sz w:val="21"/>
          <w:szCs w:val="21"/>
        </w:rPr>
        <w:t>на</w:t>
      </w:r>
      <w:r w:rsidRPr="006034A3">
        <w:rPr>
          <w:rFonts w:ascii="Times New Roman" w:hAnsi="Times New Roman" w:cs="Times New Roman"/>
          <w:b/>
          <w:sz w:val="21"/>
          <w:szCs w:val="21"/>
        </w:rPr>
        <w:t xml:space="preserve"> глобальному ринку праці*</w:t>
      </w:r>
    </w:p>
    <w:p w:rsidR="00B233DE" w:rsidRPr="006034A3" w:rsidRDefault="00B233DE" w:rsidP="00B233DE">
      <w:pPr>
        <w:tabs>
          <w:tab w:val="left" w:pos="2880"/>
        </w:tabs>
        <w:ind w:firstLine="709"/>
        <w:jc w:val="both"/>
        <w:rPr>
          <w:rFonts w:ascii="Times New Roman" w:hAnsi="Times New Roman" w:cs="Times New Roman"/>
          <w:sz w:val="18"/>
          <w:szCs w:val="18"/>
        </w:rPr>
      </w:pPr>
      <w:r>
        <w:rPr>
          <w:rFonts w:ascii="Times New Roman" w:hAnsi="Times New Roman" w:cs="Times New Roman"/>
          <w:sz w:val="18"/>
          <w:szCs w:val="18"/>
        </w:rPr>
        <w:t xml:space="preserve">* - </w:t>
      </w:r>
      <w:r w:rsidRPr="006034A3">
        <w:rPr>
          <w:rFonts w:ascii="Times New Roman" w:hAnsi="Times New Roman" w:cs="Times New Roman"/>
          <w:sz w:val="18"/>
          <w:szCs w:val="18"/>
        </w:rPr>
        <w:t>сформовано автором на основі [</w:t>
      </w:r>
      <w:r>
        <w:rPr>
          <w:rFonts w:ascii="Times New Roman" w:hAnsi="Times New Roman" w:cs="Times New Roman"/>
          <w:sz w:val="21"/>
          <w:szCs w:val="21"/>
          <w:highlight w:val="yellow"/>
        </w:rPr>
        <w:fldChar w:fldCharType="begin"/>
      </w:r>
      <w:r>
        <w:rPr>
          <w:rFonts w:ascii="Times New Roman" w:hAnsi="Times New Roman" w:cs="Times New Roman"/>
          <w:sz w:val="18"/>
          <w:szCs w:val="18"/>
        </w:rPr>
        <w:instrText xml:space="preserve"> REF _Ref435182384 \r \h </w:instrText>
      </w:r>
      <w:r>
        <w:rPr>
          <w:rFonts w:ascii="Times New Roman" w:hAnsi="Times New Roman" w:cs="Times New Roman"/>
          <w:sz w:val="21"/>
          <w:szCs w:val="21"/>
          <w:highlight w:val="yellow"/>
        </w:rPr>
        <w:instrText xml:space="preserve"> \* MERGEFORMAT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18"/>
          <w:szCs w:val="18"/>
        </w:rPr>
        <w:t>28</w:t>
      </w:r>
      <w:r>
        <w:rPr>
          <w:rFonts w:ascii="Times New Roman" w:hAnsi="Times New Roman" w:cs="Times New Roman"/>
          <w:sz w:val="21"/>
          <w:szCs w:val="21"/>
          <w:highlight w:val="yellow"/>
        </w:rPr>
        <w:fldChar w:fldCharType="end"/>
      </w:r>
      <w:r w:rsidRPr="006034A3">
        <w:rPr>
          <w:rFonts w:ascii="Times New Roman" w:hAnsi="Times New Roman" w:cs="Times New Roman"/>
          <w:sz w:val="18"/>
          <w:szCs w:val="18"/>
        </w:rPr>
        <w:t xml:space="preserve">, </w:t>
      </w:r>
      <w:r w:rsidRPr="006034A3">
        <w:rPr>
          <w:rFonts w:ascii="Times New Roman" w:hAnsi="Times New Roman" w:cs="Times New Roman"/>
          <w:sz w:val="18"/>
          <w:szCs w:val="18"/>
          <w:lang w:val="en-US"/>
        </w:rPr>
        <w:t>c</w:t>
      </w:r>
      <w:r>
        <w:rPr>
          <w:rFonts w:ascii="Times New Roman" w:hAnsi="Times New Roman" w:cs="Times New Roman"/>
          <w:sz w:val="18"/>
          <w:szCs w:val="18"/>
        </w:rPr>
        <w:t xml:space="preserve">. 121, </w:t>
      </w:r>
      <w:r>
        <w:rPr>
          <w:rFonts w:ascii="Times New Roman" w:hAnsi="Times New Roman" w:cs="Times New Roman"/>
          <w:spacing w:val="-9"/>
          <w:sz w:val="21"/>
          <w:szCs w:val="21"/>
          <w:highlight w:val="yellow"/>
        </w:rPr>
        <w:fldChar w:fldCharType="begin"/>
      </w:r>
      <w:r>
        <w:rPr>
          <w:rFonts w:ascii="Times New Roman" w:hAnsi="Times New Roman" w:cs="Times New Roman"/>
          <w:sz w:val="18"/>
          <w:szCs w:val="18"/>
        </w:rPr>
        <w:instrText xml:space="preserve"> REF _Ref435182417 \r \h </w:instrText>
      </w:r>
      <w:r>
        <w:rPr>
          <w:rFonts w:ascii="Times New Roman" w:hAnsi="Times New Roman" w:cs="Times New Roman"/>
          <w:spacing w:val="-9"/>
          <w:sz w:val="21"/>
          <w:szCs w:val="21"/>
          <w:highlight w:val="yellow"/>
        </w:rPr>
        <w:instrText xml:space="preserve"> \* MERGEFORMAT </w:instrText>
      </w:r>
      <w:r>
        <w:rPr>
          <w:rFonts w:ascii="Times New Roman" w:hAnsi="Times New Roman" w:cs="Times New Roman"/>
          <w:spacing w:val="-9"/>
          <w:sz w:val="21"/>
          <w:szCs w:val="21"/>
          <w:highlight w:val="yellow"/>
        </w:rPr>
      </w:r>
      <w:r>
        <w:rPr>
          <w:rFonts w:ascii="Times New Roman" w:hAnsi="Times New Roman" w:cs="Times New Roman"/>
          <w:spacing w:val="-9"/>
          <w:sz w:val="21"/>
          <w:szCs w:val="21"/>
          <w:highlight w:val="yellow"/>
        </w:rPr>
        <w:fldChar w:fldCharType="separate"/>
      </w:r>
      <w:r>
        <w:rPr>
          <w:rFonts w:ascii="Times New Roman" w:hAnsi="Times New Roman" w:cs="Times New Roman"/>
          <w:sz w:val="18"/>
          <w:szCs w:val="18"/>
        </w:rPr>
        <w:t>63</w:t>
      </w:r>
      <w:r>
        <w:rPr>
          <w:rFonts w:ascii="Times New Roman" w:hAnsi="Times New Roman" w:cs="Times New Roman"/>
          <w:spacing w:val="-9"/>
          <w:sz w:val="21"/>
          <w:szCs w:val="21"/>
          <w:highlight w:val="yellow"/>
        </w:rPr>
        <w:fldChar w:fldCharType="end"/>
      </w:r>
      <w:r>
        <w:rPr>
          <w:rFonts w:ascii="Times New Roman" w:hAnsi="Times New Roman" w:cs="Times New Roman"/>
          <w:sz w:val="18"/>
          <w:szCs w:val="18"/>
        </w:rPr>
        <w:t>]</w:t>
      </w:r>
    </w:p>
    <w:p w:rsidR="00B233DE" w:rsidRPr="00C4343A" w:rsidRDefault="00B233DE" w:rsidP="00B233DE">
      <w:pPr>
        <w:tabs>
          <w:tab w:val="left" w:pos="2880"/>
        </w:tabs>
        <w:ind w:firstLine="720"/>
        <w:jc w:val="both"/>
        <w:rPr>
          <w:rFonts w:ascii="Times New Roman" w:hAnsi="Times New Roman" w:cs="Times New Roman"/>
          <w:sz w:val="21"/>
          <w:szCs w:val="21"/>
        </w:rPr>
      </w:pPr>
    </w:p>
    <w:p w:rsidR="00B233DE" w:rsidRPr="00C4343A" w:rsidRDefault="00B233DE" w:rsidP="00B233DE">
      <w:pPr>
        <w:tabs>
          <w:tab w:val="left" w:pos="2880"/>
        </w:tabs>
        <w:ind w:firstLine="709"/>
        <w:jc w:val="both"/>
        <w:rPr>
          <w:rFonts w:ascii="Times New Roman" w:hAnsi="Times New Roman" w:cs="Times New Roman"/>
          <w:sz w:val="21"/>
          <w:szCs w:val="21"/>
        </w:rPr>
      </w:pPr>
      <w:r w:rsidRPr="00C4343A">
        <w:rPr>
          <w:rFonts w:ascii="Times New Roman" w:hAnsi="Times New Roman" w:cs="Times New Roman"/>
          <w:sz w:val="21"/>
          <w:szCs w:val="21"/>
        </w:rPr>
        <w:t>Відповідно до видів міграції за МОМ (п. 1.1) перерозподіл освітньо-кваліфікаційного ЛП відбувається на рівні висококвалі</w:t>
      </w:r>
      <w:r>
        <w:rPr>
          <w:rFonts w:ascii="Times New Roman" w:hAnsi="Times New Roman" w:cs="Times New Roman"/>
          <w:sz w:val="21"/>
          <w:szCs w:val="21"/>
        </w:rPr>
        <w:t>-</w:t>
      </w:r>
      <w:r w:rsidRPr="00C4343A">
        <w:rPr>
          <w:rFonts w:ascii="Times New Roman" w:hAnsi="Times New Roman" w:cs="Times New Roman"/>
          <w:sz w:val="21"/>
          <w:szCs w:val="21"/>
        </w:rPr>
        <w:t xml:space="preserve">фікованих, низькокваліфікованих мігрантів та мігрантів середньої кваліфікації (рис. </w:t>
      </w:r>
      <w:r>
        <w:rPr>
          <w:rFonts w:ascii="Times New Roman" w:hAnsi="Times New Roman" w:cs="Times New Roman"/>
          <w:sz w:val="21"/>
          <w:szCs w:val="21"/>
        </w:rPr>
        <w:t>4.5</w:t>
      </w:r>
      <w:r w:rsidRPr="00C4343A">
        <w:rPr>
          <w:rFonts w:ascii="Times New Roman" w:hAnsi="Times New Roman" w:cs="Times New Roman"/>
          <w:sz w:val="21"/>
          <w:szCs w:val="21"/>
        </w:rPr>
        <w:t>). На етапі становлення економіки знань для розвинутих країн, що є осередками світових інновацій, найбільшого значення набуває залучення людського потенціалу у вигляді висококваліфікованих мігрантів та іноземних студентів [</w:t>
      </w:r>
      <w:r>
        <w:rPr>
          <w:rFonts w:ascii="Times New Roman" w:hAnsi="Times New Roman" w:cs="Times New Roman"/>
          <w:bCs/>
          <w:sz w:val="21"/>
          <w:szCs w:val="21"/>
          <w:highlight w:val="yellow"/>
        </w:rPr>
        <w:fldChar w:fldCharType="begin"/>
      </w:r>
      <w:r>
        <w:rPr>
          <w:rFonts w:ascii="Times New Roman" w:hAnsi="Times New Roman" w:cs="Times New Roman"/>
          <w:sz w:val="21"/>
          <w:szCs w:val="21"/>
        </w:rPr>
        <w:instrText xml:space="preserve"> REF _Ref435182425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z w:val="21"/>
          <w:szCs w:val="21"/>
        </w:rPr>
        <w:t>29</w:t>
      </w:r>
      <w:r>
        <w:rPr>
          <w:rFonts w:ascii="Times New Roman" w:hAnsi="Times New Roman" w:cs="Times New Roman"/>
          <w:bCs/>
          <w:sz w:val="21"/>
          <w:szCs w:val="21"/>
          <w:highlight w:val="yellow"/>
        </w:rPr>
        <w:fldChar w:fldCharType="end"/>
      </w:r>
      <w:r w:rsidRPr="00C4343A">
        <w:rPr>
          <w:rFonts w:ascii="Times New Roman" w:hAnsi="Times New Roman" w:cs="Times New Roman"/>
          <w:sz w:val="21"/>
          <w:szCs w:val="21"/>
        </w:rPr>
        <w:t xml:space="preserve">, </w:t>
      </w:r>
      <w:r w:rsidRPr="00C4343A">
        <w:rPr>
          <w:rFonts w:ascii="Times New Roman" w:hAnsi="Times New Roman" w:cs="Times New Roman"/>
          <w:sz w:val="21"/>
          <w:szCs w:val="21"/>
          <w:lang w:val="en-US"/>
        </w:rPr>
        <w:t>c</w:t>
      </w:r>
      <w:r w:rsidRPr="00C4343A">
        <w:rPr>
          <w:rFonts w:ascii="Times New Roman" w:hAnsi="Times New Roman" w:cs="Times New Roman"/>
          <w:sz w:val="21"/>
          <w:szCs w:val="21"/>
        </w:rPr>
        <w:t xml:space="preserve">. 29]. </w:t>
      </w:r>
    </w:p>
    <w:p w:rsidR="00B233DE" w:rsidRPr="00C4343A" w:rsidRDefault="00B233DE" w:rsidP="00B233DE">
      <w:pPr>
        <w:tabs>
          <w:tab w:val="left" w:pos="2880"/>
        </w:tabs>
        <w:spacing w:line="360" w:lineRule="auto"/>
        <w:ind w:firstLine="0"/>
        <w:jc w:val="both"/>
        <w:rPr>
          <w:rFonts w:ascii="Times New Roman" w:hAnsi="Times New Roman" w:cs="Times New Roman"/>
          <w:color w:val="3366FF"/>
          <w:sz w:val="21"/>
          <w:szCs w:val="21"/>
        </w:rPr>
      </w:pPr>
      <w:r w:rsidRPr="00C4343A">
        <w:rPr>
          <w:rFonts w:ascii="Times New Roman" w:hAnsi="Times New Roman" w:cs="Times New Roman"/>
          <w:noProof/>
          <w:color w:val="3366FF"/>
          <w:sz w:val="21"/>
          <w:szCs w:val="21"/>
          <w:lang w:val="ru-RU" w:eastAsia="ru-RU"/>
        </w:rPr>
        <w:lastRenderedPageBreak/>
        <mc:AlternateContent>
          <mc:Choice Requires="wpg">
            <w:drawing>
              <wp:inline distT="0" distB="0" distL="0" distR="0" wp14:anchorId="4EB13A99" wp14:editId="0021E38A">
                <wp:extent cx="3881120" cy="5399745"/>
                <wp:effectExtent l="0" t="0" r="24130" b="10795"/>
                <wp:docPr id="491" name="Группа 4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81120" cy="5399745"/>
                          <a:chOff x="3628" y="1801"/>
                          <a:chExt cx="5400" cy="3870"/>
                        </a:xfrm>
                      </wpg:grpSpPr>
                      <wps:wsp>
                        <wps:cNvPr id="492" name="Text Box 3"/>
                        <wps:cNvSpPr txBox="1">
                          <a:spLocks noChangeArrowheads="1"/>
                        </wps:cNvSpPr>
                        <wps:spPr bwMode="auto">
                          <a:xfrm>
                            <a:off x="6418" y="2251"/>
                            <a:ext cx="1170" cy="3420"/>
                          </a:xfrm>
                          <a:prstGeom prst="rect">
                            <a:avLst/>
                          </a:prstGeom>
                          <a:solidFill>
                            <a:srgbClr val="FFFFFF">
                              <a:alpha val="0"/>
                            </a:srgbClr>
                          </a:solidFill>
                          <a:ln w="9525">
                            <a:solidFill>
                              <a:srgbClr val="000000"/>
                            </a:solidFill>
                            <a:prstDash val="dash"/>
                            <a:miter lim="800000"/>
                            <a:headEnd/>
                            <a:tailEnd/>
                          </a:ln>
                        </wps:spPr>
                        <wps:txbx>
                          <w:txbxContent>
                            <w:p w:rsidR="00BE40F8" w:rsidRPr="00BF1188" w:rsidRDefault="00BE40F8" w:rsidP="00B233DE">
                              <w:pPr>
                                <w:rPr>
                                  <w:rFonts w:ascii="Calibri" w:hAnsi="Calibri"/>
                                  <w:sz w:val="16"/>
                                  <w:szCs w:val="16"/>
                                </w:rPr>
                              </w:pPr>
                            </w:p>
                          </w:txbxContent>
                        </wps:txbx>
                        <wps:bodyPr rot="0" vert="horz" wrap="square" lIns="91440" tIns="45720" rIns="91440" bIns="45720" anchor="t" anchorCtr="0" upright="1">
                          <a:noAutofit/>
                        </wps:bodyPr>
                      </wps:wsp>
                      <wps:wsp>
                        <wps:cNvPr id="493" name="Freeform 4"/>
                        <wps:cNvSpPr>
                          <a:spLocks/>
                        </wps:cNvSpPr>
                        <wps:spPr bwMode="auto">
                          <a:xfrm>
                            <a:off x="3628" y="2431"/>
                            <a:ext cx="270" cy="540"/>
                          </a:xfrm>
                          <a:custGeom>
                            <a:avLst/>
                            <a:gdLst>
                              <a:gd name="T0" fmla="*/ 180 w 540"/>
                              <a:gd name="T1" fmla="*/ 0 h 1080"/>
                              <a:gd name="T2" fmla="*/ 0 w 540"/>
                              <a:gd name="T3" fmla="*/ 0 h 1080"/>
                              <a:gd name="T4" fmla="*/ 0 w 540"/>
                              <a:gd name="T5" fmla="*/ 1080 h 1080"/>
                              <a:gd name="T6" fmla="*/ 540 w 540"/>
                              <a:gd name="T7" fmla="*/ 1080 h 1080"/>
                            </a:gdLst>
                            <a:ahLst/>
                            <a:cxnLst>
                              <a:cxn ang="0">
                                <a:pos x="T0" y="T1"/>
                              </a:cxn>
                              <a:cxn ang="0">
                                <a:pos x="T2" y="T3"/>
                              </a:cxn>
                              <a:cxn ang="0">
                                <a:pos x="T4" y="T5"/>
                              </a:cxn>
                              <a:cxn ang="0">
                                <a:pos x="T6" y="T7"/>
                              </a:cxn>
                            </a:cxnLst>
                            <a:rect l="0" t="0" r="r" b="b"/>
                            <a:pathLst>
                              <a:path w="540" h="1080">
                                <a:moveTo>
                                  <a:pt x="180" y="0"/>
                                </a:moveTo>
                                <a:lnTo>
                                  <a:pt x="0" y="0"/>
                                </a:lnTo>
                                <a:lnTo>
                                  <a:pt x="0" y="1080"/>
                                </a:lnTo>
                                <a:lnTo>
                                  <a:pt x="540" y="10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4" name="Freeform 5"/>
                        <wps:cNvSpPr>
                          <a:spLocks/>
                        </wps:cNvSpPr>
                        <wps:spPr bwMode="auto">
                          <a:xfrm>
                            <a:off x="3628" y="2971"/>
                            <a:ext cx="270" cy="540"/>
                          </a:xfrm>
                          <a:custGeom>
                            <a:avLst/>
                            <a:gdLst>
                              <a:gd name="T0" fmla="*/ 0 w 540"/>
                              <a:gd name="T1" fmla="*/ 0 h 1080"/>
                              <a:gd name="T2" fmla="*/ 0 w 540"/>
                              <a:gd name="T3" fmla="*/ 1080 h 1080"/>
                              <a:gd name="T4" fmla="*/ 540 w 540"/>
                              <a:gd name="T5" fmla="*/ 1080 h 1080"/>
                            </a:gdLst>
                            <a:ahLst/>
                            <a:cxnLst>
                              <a:cxn ang="0">
                                <a:pos x="T0" y="T1"/>
                              </a:cxn>
                              <a:cxn ang="0">
                                <a:pos x="T2" y="T3"/>
                              </a:cxn>
                              <a:cxn ang="0">
                                <a:pos x="T4" y="T5"/>
                              </a:cxn>
                            </a:cxnLst>
                            <a:rect l="0" t="0" r="r" b="b"/>
                            <a:pathLst>
                              <a:path w="540" h="1080">
                                <a:moveTo>
                                  <a:pt x="0" y="0"/>
                                </a:moveTo>
                                <a:lnTo>
                                  <a:pt x="0" y="1080"/>
                                </a:lnTo>
                                <a:lnTo>
                                  <a:pt x="540" y="10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5" name="Freeform 6"/>
                        <wps:cNvSpPr>
                          <a:spLocks/>
                        </wps:cNvSpPr>
                        <wps:spPr bwMode="auto">
                          <a:xfrm>
                            <a:off x="3628" y="4051"/>
                            <a:ext cx="270" cy="450"/>
                          </a:xfrm>
                          <a:custGeom>
                            <a:avLst/>
                            <a:gdLst>
                              <a:gd name="T0" fmla="*/ 180 w 540"/>
                              <a:gd name="T1" fmla="*/ 0 h 900"/>
                              <a:gd name="T2" fmla="*/ 0 w 540"/>
                              <a:gd name="T3" fmla="*/ 0 h 900"/>
                              <a:gd name="T4" fmla="*/ 0 w 540"/>
                              <a:gd name="T5" fmla="*/ 900 h 900"/>
                              <a:gd name="T6" fmla="*/ 540 w 540"/>
                              <a:gd name="T7" fmla="*/ 900 h 900"/>
                            </a:gdLst>
                            <a:ahLst/>
                            <a:cxnLst>
                              <a:cxn ang="0">
                                <a:pos x="T0" y="T1"/>
                              </a:cxn>
                              <a:cxn ang="0">
                                <a:pos x="T2" y="T3"/>
                              </a:cxn>
                              <a:cxn ang="0">
                                <a:pos x="T4" y="T5"/>
                              </a:cxn>
                              <a:cxn ang="0">
                                <a:pos x="T6" y="T7"/>
                              </a:cxn>
                            </a:cxnLst>
                            <a:rect l="0" t="0" r="r" b="b"/>
                            <a:pathLst>
                              <a:path w="540" h="900">
                                <a:moveTo>
                                  <a:pt x="180" y="0"/>
                                </a:moveTo>
                                <a:lnTo>
                                  <a:pt x="0" y="0"/>
                                </a:lnTo>
                                <a:lnTo>
                                  <a:pt x="0" y="900"/>
                                </a:lnTo>
                                <a:lnTo>
                                  <a:pt x="540" y="90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6" name="Freeform 7"/>
                        <wps:cNvSpPr>
                          <a:spLocks/>
                        </wps:cNvSpPr>
                        <wps:spPr bwMode="auto">
                          <a:xfrm>
                            <a:off x="3628" y="4951"/>
                            <a:ext cx="270" cy="450"/>
                          </a:xfrm>
                          <a:custGeom>
                            <a:avLst/>
                            <a:gdLst>
                              <a:gd name="T0" fmla="*/ 180 w 540"/>
                              <a:gd name="T1" fmla="*/ 0 h 900"/>
                              <a:gd name="T2" fmla="*/ 0 w 540"/>
                              <a:gd name="T3" fmla="*/ 0 h 900"/>
                              <a:gd name="T4" fmla="*/ 0 w 540"/>
                              <a:gd name="T5" fmla="*/ 900 h 900"/>
                              <a:gd name="T6" fmla="*/ 540 w 540"/>
                              <a:gd name="T7" fmla="*/ 900 h 900"/>
                            </a:gdLst>
                            <a:ahLst/>
                            <a:cxnLst>
                              <a:cxn ang="0">
                                <a:pos x="T0" y="T1"/>
                              </a:cxn>
                              <a:cxn ang="0">
                                <a:pos x="T2" y="T3"/>
                              </a:cxn>
                              <a:cxn ang="0">
                                <a:pos x="T4" y="T5"/>
                              </a:cxn>
                              <a:cxn ang="0">
                                <a:pos x="T6" y="T7"/>
                              </a:cxn>
                            </a:cxnLst>
                            <a:rect l="0" t="0" r="r" b="b"/>
                            <a:pathLst>
                              <a:path w="540" h="900">
                                <a:moveTo>
                                  <a:pt x="180" y="0"/>
                                </a:moveTo>
                                <a:lnTo>
                                  <a:pt x="0" y="0"/>
                                </a:lnTo>
                                <a:lnTo>
                                  <a:pt x="0" y="900"/>
                                </a:lnTo>
                                <a:lnTo>
                                  <a:pt x="540" y="90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7" name="Text Box 8"/>
                        <wps:cNvSpPr txBox="1">
                          <a:spLocks noChangeArrowheads="1"/>
                        </wps:cNvSpPr>
                        <wps:spPr bwMode="auto">
                          <a:xfrm>
                            <a:off x="3718" y="1801"/>
                            <a:ext cx="1170" cy="36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Перерозподіл освітньо-кваліфікаційного ЛП</w:t>
                              </w:r>
                            </w:p>
                          </w:txbxContent>
                        </wps:txbx>
                        <wps:bodyPr rot="0" vert="horz" wrap="square" lIns="0" tIns="0" rIns="0" bIns="0" anchor="t" anchorCtr="0" upright="1">
                          <a:noAutofit/>
                        </wps:bodyPr>
                      </wps:wsp>
                      <wps:wsp>
                        <wps:cNvPr id="498" name="Text Box 9"/>
                        <wps:cNvSpPr txBox="1">
                          <a:spLocks noChangeArrowheads="1"/>
                        </wps:cNvSpPr>
                        <wps:spPr bwMode="auto">
                          <a:xfrm>
                            <a:off x="5068" y="1801"/>
                            <a:ext cx="1260" cy="36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Сфери впливу</w:t>
                              </w:r>
                            </w:p>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(для країн призначення)</w:t>
                              </w:r>
                            </w:p>
                          </w:txbxContent>
                        </wps:txbx>
                        <wps:bodyPr rot="0" vert="horz" wrap="square" lIns="0" tIns="0" rIns="0" bIns="0" anchor="t" anchorCtr="0" upright="1">
                          <a:noAutofit/>
                        </wps:bodyPr>
                      </wps:wsp>
                      <wps:wsp>
                        <wps:cNvPr id="499" name="Text Box 10"/>
                        <wps:cNvSpPr txBox="1">
                          <a:spLocks noChangeArrowheads="1"/>
                        </wps:cNvSpPr>
                        <wps:spPr bwMode="auto">
                          <a:xfrm>
                            <a:off x="6418" y="1801"/>
                            <a:ext cx="1170" cy="36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Сторони процесу</w:t>
                              </w:r>
                            </w:p>
                          </w:txbxContent>
                        </wps:txbx>
                        <wps:bodyPr rot="0" vert="horz" wrap="square" lIns="91440" tIns="45720" rIns="91440" bIns="45720" anchor="t" anchorCtr="0" upright="1">
                          <a:noAutofit/>
                        </wps:bodyPr>
                      </wps:wsp>
                      <wps:wsp>
                        <wps:cNvPr id="500" name="Text Box 11"/>
                        <wps:cNvSpPr txBox="1">
                          <a:spLocks noChangeArrowheads="1"/>
                        </wps:cNvSpPr>
                        <wps:spPr bwMode="auto">
                          <a:xfrm>
                            <a:off x="7768" y="1801"/>
                            <a:ext cx="1260" cy="36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Можливі ефекти (для країн походження)</w:t>
                              </w:r>
                            </w:p>
                          </w:txbxContent>
                        </wps:txbx>
                        <wps:bodyPr rot="0" vert="horz" wrap="square" lIns="0" tIns="0" rIns="0" bIns="0" anchor="ctr" anchorCtr="0" upright="1">
                          <a:noAutofit/>
                        </wps:bodyPr>
                      </wps:wsp>
                      <wps:wsp>
                        <wps:cNvPr id="501" name="Text Box 12"/>
                        <wps:cNvSpPr txBox="1">
                          <a:spLocks noChangeArrowheads="1"/>
                        </wps:cNvSpPr>
                        <wps:spPr bwMode="auto">
                          <a:xfrm>
                            <a:off x="3718" y="2251"/>
                            <a:ext cx="1170" cy="45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Перерозподіл висококваліфікованих мігрантів</w:t>
                              </w:r>
                            </w:p>
                          </w:txbxContent>
                        </wps:txbx>
                        <wps:bodyPr rot="0" vert="horz" wrap="square" lIns="0" tIns="0" rIns="0" bIns="0" anchor="ctr" anchorCtr="0" upright="1">
                          <a:noAutofit/>
                        </wps:bodyPr>
                      </wps:wsp>
                      <wps:wsp>
                        <wps:cNvPr id="502" name="Text Box 13"/>
                        <wps:cNvSpPr txBox="1">
                          <a:spLocks noChangeArrowheads="1"/>
                        </wps:cNvSpPr>
                        <wps:spPr bwMode="auto">
                          <a:xfrm>
                            <a:off x="3898" y="3331"/>
                            <a:ext cx="1170" cy="36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i/>
                                  <w:sz w:val="16"/>
                                  <w:szCs w:val="16"/>
                                </w:rPr>
                              </w:pPr>
                              <w:r w:rsidRPr="005013E8">
                                <w:rPr>
                                  <w:rFonts w:ascii="Times New Roman" w:hAnsi="Times New Roman" w:cs="Times New Roman"/>
                                  <w:i/>
                                  <w:sz w:val="16"/>
                                  <w:szCs w:val="16"/>
                                </w:rPr>
                                <w:t>Висококваліфіковані іммігранти</w:t>
                              </w:r>
                            </w:p>
                          </w:txbxContent>
                        </wps:txbx>
                        <wps:bodyPr rot="0" vert="horz" wrap="square" lIns="91440" tIns="45720" rIns="91440" bIns="45720" anchor="t" anchorCtr="0" upright="1">
                          <a:noAutofit/>
                        </wps:bodyPr>
                      </wps:wsp>
                      <wps:wsp>
                        <wps:cNvPr id="503" name="Text Box 14"/>
                        <wps:cNvSpPr txBox="1">
                          <a:spLocks noChangeArrowheads="1"/>
                        </wps:cNvSpPr>
                        <wps:spPr bwMode="auto">
                          <a:xfrm>
                            <a:off x="5158" y="3691"/>
                            <a:ext cx="1080" cy="27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Сфера управління</w:t>
                              </w:r>
                            </w:p>
                          </w:txbxContent>
                        </wps:txbx>
                        <wps:bodyPr rot="0" vert="horz" wrap="square" lIns="91440" tIns="45720" rIns="91440" bIns="45720" anchor="t" anchorCtr="0" upright="1">
                          <a:noAutofit/>
                        </wps:bodyPr>
                      </wps:wsp>
                      <wps:wsp>
                        <wps:cNvPr id="504" name="Text Box 15"/>
                        <wps:cNvSpPr txBox="1">
                          <a:spLocks noChangeArrowheads="1"/>
                        </wps:cNvSpPr>
                        <wps:spPr bwMode="auto">
                          <a:xfrm>
                            <a:off x="3718" y="3871"/>
                            <a:ext cx="1170" cy="36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Перерозподіл мігрантів середньої кваліфікації</w:t>
                              </w:r>
                            </w:p>
                          </w:txbxContent>
                        </wps:txbx>
                        <wps:bodyPr rot="0" vert="horz" wrap="square" lIns="0" tIns="0" rIns="0" bIns="0" anchor="t" anchorCtr="0" upright="1">
                          <a:noAutofit/>
                        </wps:bodyPr>
                      </wps:wsp>
                      <wps:wsp>
                        <wps:cNvPr id="505" name="Text Box 16"/>
                        <wps:cNvSpPr txBox="1">
                          <a:spLocks noChangeArrowheads="1"/>
                        </wps:cNvSpPr>
                        <wps:spPr bwMode="auto">
                          <a:xfrm>
                            <a:off x="3898" y="4321"/>
                            <a:ext cx="1170" cy="36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i/>
                                  <w:sz w:val="16"/>
                                  <w:szCs w:val="16"/>
                                </w:rPr>
                              </w:pPr>
                              <w:r w:rsidRPr="005013E8">
                                <w:rPr>
                                  <w:rFonts w:ascii="Times New Roman" w:hAnsi="Times New Roman" w:cs="Times New Roman"/>
                                  <w:i/>
                                  <w:sz w:val="16"/>
                                  <w:szCs w:val="16"/>
                                </w:rPr>
                                <w:t>Іммігранти середньої кваліфікації</w:t>
                              </w:r>
                            </w:p>
                          </w:txbxContent>
                        </wps:txbx>
                        <wps:bodyPr rot="0" vert="horz" wrap="square" lIns="18000" tIns="0" rIns="18000" bIns="0" anchor="t" anchorCtr="0" upright="1">
                          <a:noAutofit/>
                        </wps:bodyPr>
                      </wps:wsp>
                      <wps:wsp>
                        <wps:cNvPr id="506" name="Text Box 17"/>
                        <wps:cNvSpPr txBox="1">
                          <a:spLocks noChangeArrowheads="1"/>
                        </wps:cNvSpPr>
                        <wps:spPr bwMode="auto">
                          <a:xfrm>
                            <a:off x="3718" y="4771"/>
                            <a:ext cx="1170" cy="36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Перерозподіл мігрантів низької кваліфікації</w:t>
                              </w:r>
                            </w:p>
                          </w:txbxContent>
                        </wps:txbx>
                        <wps:bodyPr rot="0" vert="horz" wrap="square" lIns="91440" tIns="0" rIns="91440" bIns="0" anchor="t" anchorCtr="0" upright="1">
                          <a:noAutofit/>
                        </wps:bodyPr>
                      </wps:wsp>
                      <wps:wsp>
                        <wps:cNvPr id="507" name="Text Box 18"/>
                        <wps:cNvSpPr txBox="1">
                          <a:spLocks noChangeArrowheads="1"/>
                        </wps:cNvSpPr>
                        <wps:spPr bwMode="auto">
                          <a:xfrm>
                            <a:off x="3898" y="5221"/>
                            <a:ext cx="1170" cy="36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rPr>
                                  <w:rFonts w:ascii="Times New Roman" w:hAnsi="Times New Roman" w:cs="Times New Roman"/>
                                  <w:i/>
                                  <w:sz w:val="16"/>
                                  <w:szCs w:val="16"/>
                                </w:rPr>
                              </w:pPr>
                              <w:r w:rsidRPr="005013E8">
                                <w:rPr>
                                  <w:rFonts w:ascii="Times New Roman" w:hAnsi="Times New Roman" w:cs="Times New Roman"/>
                                  <w:i/>
                                  <w:sz w:val="16"/>
                                  <w:szCs w:val="16"/>
                                </w:rPr>
                                <w:t>Іммігранти низької кваліфікації</w:t>
                              </w:r>
                            </w:p>
                          </w:txbxContent>
                        </wps:txbx>
                        <wps:bodyPr rot="0" vert="horz" wrap="square" lIns="91440" tIns="45720" rIns="91440" bIns="45720" anchor="t" anchorCtr="0" upright="1">
                          <a:noAutofit/>
                        </wps:bodyPr>
                      </wps:wsp>
                      <wps:wsp>
                        <wps:cNvPr id="508" name="Text Box 19"/>
                        <wps:cNvSpPr txBox="1">
                          <a:spLocks noChangeArrowheads="1"/>
                        </wps:cNvSpPr>
                        <wps:spPr bwMode="auto">
                          <a:xfrm>
                            <a:off x="5158" y="4321"/>
                            <a:ext cx="720" cy="36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Промисло</w:t>
                              </w:r>
                              <w:r>
                                <w:rPr>
                                  <w:rFonts w:ascii="Times New Roman" w:hAnsi="Times New Roman" w:cs="Times New Roman"/>
                                  <w:sz w:val="16"/>
                                  <w:szCs w:val="16"/>
                                </w:rPr>
                                <w:t>-</w:t>
                              </w:r>
                              <w:r w:rsidRPr="005013E8">
                                <w:rPr>
                                  <w:rFonts w:ascii="Times New Roman" w:hAnsi="Times New Roman" w:cs="Times New Roman"/>
                                  <w:sz w:val="16"/>
                                  <w:szCs w:val="16"/>
                                </w:rPr>
                                <w:t>ве вироб</w:t>
                              </w:r>
                              <w:r>
                                <w:rPr>
                                  <w:rFonts w:ascii="Times New Roman" w:hAnsi="Times New Roman" w:cs="Times New Roman"/>
                                  <w:sz w:val="16"/>
                                  <w:szCs w:val="16"/>
                                </w:rPr>
                                <w:t>-</w:t>
                              </w:r>
                              <w:r w:rsidRPr="005013E8">
                                <w:rPr>
                                  <w:rFonts w:ascii="Times New Roman" w:hAnsi="Times New Roman" w:cs="Times New Roman"/>
                                  <w:sz w:val="16"/>
                                  <w:szCs w:val="16"/>
                                </w:rPr>
                                <w:t>ництво</w:t>
                              </w:r>
                            </w:p>
                          </w:txbxContent>
                        </wps:txbx>
                        <wps:bodyPr rot="0" vert="horz" wrap="square" lIns="0" tIns="0" rIns="0" bIns="0" anchor="ctr" anchorCtr="0" upright="1">
                          <a:noAutofit/>
                        </wps:bodyPr>
                      </wps:wsp>
                      <wps:wsp>
                        <wps:cNvPr id="509" name="Text Box 20"/>
                        <wps:cNvSpPr txBox="1">
                          <a:spLocks noChangeArrowheads="1"/>
                        </wps:cNvSpPr>
                        <wps:spPr bwMode="auto">
                          <a:xfrm>
                            <a:off x="5095" y="4780"/>
                            <a:ext cx="873" cy="36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Сільське господарство</w:t>
                              </w:r>
                            </w:p>
                          </w:txbxContent>
                        </wps:txbx>
                        <wps:bodyPr rot="0" vert="horz" wrap="square" lIns="91440" tIns="45720" rIns="91440" bIns="45720" anchor="t" anchorCtr="0" upright="1">
                          <a:noAutofit/>
                        </wps:bodyPr>
                      </wps:wsp>
                      <wps:wsp>
                        <wps:cNvPr id="510" name="Text Box 21"/>
                        <wps:cNvSpPr txBox="1">
                          <a:spLocks noChangeArrowheads="1"/>
                        </wps:cNvSpPr>
                        <wps:spPr bwMode="auto">
                          <a:xfrm>
                            <a:off x="5158" y="5221"/>
                            <a:ext cx="1080" cy="36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Домашнє господарство</w:t>
                              </w:r>
                            </w:p>
                          </w:txbxContent>
                        </wps:txbx>
                        <wps:bodyPr rot="0" vert="horz" wrap="square" lIns="91440" tIns="45720" rIns="91440" bIns="45720" anchor="t" anchorCtr="0" upright="1">
                          <a:noAutofit/>
                        </wps:bodyPr>
                      </wps:wsp>
                      <wps:wsp>
                        <wps:cNvPr id="511" name="Text Box 22"/>
                        <wps:cNvSpPr txBox="1">
                          <a:spLocks noChangeArrowheads="1"/>
                        </wps:cNvSpPr>
                        <wps:spPr bwMode="auto">
                          <a:xfrm>
                            <a:off x="3898" y="2791"/>
                            <a:ext cx="1170" cy="36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i/>
                                  <w:sz w:val="16"/>
                                  <w:szCs w:val="16"/>
                                </w:rPr>
                              </w:pPr>
                              <w:r w:rsidRPr="005013E8">
                                <w:rPr>
                                  <w:rFonts w:ascii="Times New Roman" w:hAnsi="Times New Roman" w:cs="Times New Roman"/>
                                  <w:i/>
                                  <w:sz w:val="16"/>
                                  <w:szCs w:val="16"/>
                                </w:rPr>
                                <w:t>Освітня міграція</w:t>
                              </w:r>
                            </w:p>
                          </w:txbxContent>
                        </wps:txbx>
                        <wps:bodyPr rot="0" vert="horz" wrap="square" lIns="91440" tIns="45720" rIns="91440" bIns="45720" anchor="t" anchorCtr="0" upright="1">
                          <a:noAutofit/>
                        </wps:bodyPr>
                      </wps:wsp>
                      <wps:wsp>
                        <wps:cNvPr id="605" name="Text Box 23"/>
                        <wps:cNvSpPr txBox="1">
                          <a:spLocks noChangeArrowheads="1"/>
                        </wps:cNvSpPr>
                        <wps:spPr bwMode="auto">
                          <a:xfrm>
                            <a:off x="5158" y="2611"/>
                            <a:ext cx="1080" cy="27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Освіта</w:t>
                              </w:r>
                            </w:p>
                          </w:txbxContent>
                        </wps:txbx>
                        <wps:bodyPr rot="0" vert="horz" wrap="square" lIns="91440" tIns="45720" rIns="91440" bIns="45720" anchor="t" anchorCtr="0" upright="1">
                          <a:noAutofit/>
                        </wps:bodyPr>
                      </wps:wsp>
                      <wps:wsp>
                        <wps:cNvPr id="606" name="Text Box 24"/>
                        <wps:cNvSpPr txBox="1">
                          <a:spLocks noChangeArrowheads="1"/>
                        </wps:cNvSpPr>
                        <wps:spPr bwMode="auto">
                          <a:xfrm>
                            <a:off x="5158" y="2971"/>
                            <a:ext cx="1080" cy="27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Виробництво знань</w:t>
                              </w:r>
                            </w:p>
                          </w:txbxContent>
                        </wps:txbx>
                        <wps:bodyPr rot="0" vert="horz" wrap="square" lIns="91440" tIns="45720" rIns="91440" bIns="45720" anchor="t" anchorCtr="0" upright="1">
                          <a:noAutofit/>
                        </wps:bodyPr>
                      </wps:wsp>
                      <wps:wsp>
                        <wps:cNvPr id="607" name="Text Box 25"/>
                        <wps:cNvSpPr txBox="1">
                          <a:spLocks noChangeArrowheads="1"/>
                        </wps:cNvSpPr>
                        <wps:spPr bwMode="auto">
                          <a:xfrm>
                            <a:off x="5158" y="3331"/>
                            <a:ext cx="1080" cy="27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Сфера послуг</w:t>
                              </w:r>
                            </w:p>
                          </w:txbxContent>
                        </wps:txbx>
                        <wps:bodyPr rot="0" vert="horz" wrap="square" lIns="91440" tIns="45720" rIns="91440" bIns="45720" anchor="t" anchorCtr="0" upright="1">
                          <a:noAutofit/>
                        </wps:bodyPr>
                      </wps:wsp>
                      <wps:wsp>
                        <wps:cNvPr id="608" name="Line 26"/>
                        <wps:cNvCnPr/>
                        <wps:spPr bwMode="auto">
                          <a:xfrm flipV="1">
                            <a:off x="5068" y="2701"/>
                            <a:ext cx="90" cy="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9" name="Line 27"/>
                        <wps:cNvCnPr/>
                        <wps:spPr bwMode="auto">
                          <a:xfrm>
                            <a:off x="5068" y="3061"/>
                            <a:ext cx="90" cy="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0" name="Line 28"/>
                        <wps:cNvCnPr/>
                        <wps:spPr bwMode="auto">
                          <a:xfrm flipV="1">
                            <a:off x="5068" y="3151"/>
                            <a:ext cx="9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1" name="Line 29"/>
                        <wps:cNvCnPr/>
                        <wps:spPr bwMode="auto">
                          <a:xfrm>
                            <a:off x="5068" y="3421"/>
                            <a:ext cx="90"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2" name="Line 30"/>
                        <wps:cNvCnPr/>
                        <wps:spPr bwMode="auto">
                          <a:xfrm>
                            <a:off x="5068" y="3691"/>
                            <a:ext cx="90" cy="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3" name="Line 31"/>
                        <wps:cNvCnPr/>
                        <wps:spPr bwMode="auto">
                          <a:xfrm>
                            <a:off x="5068" y="4501"/>
                            <a:ext cx="9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4" name="Line 32"/>
                        <wps:cNvCnPr/>
                        <wps:spPr bwMode="auto">
                          <a:xfrm>
                            <a:off x="5068" y="5401"/>
                            <a:ext cx="9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5" name="Line 33"/>
                        <wps:cNvCnPr>
                          <a:endCxn id="509" idx="1"/>
                        </wps:cNvCnPr>
                        <wps:spPr bwMode="auto">
                          <a:xfrm flipV="1">
                            <a:off x="5068" y="4960"/>
                            <a:ext cx="27" cy="26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6" name="Line 34"/>
                        <wps:cNvCnPr/>
                        <wps:spPr bwMode="auto">
                          <a:xfrm flipV="1">
                            <a:off x="5788" y="3961"/>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7" name="Line 35"/>
                        <wps:cNvCnPr/>
                        <wps:spPr bwMode="auto">
                          <a:xfrm flipV="1">
                            <a:off x="5968" y="3961"/>
                            <a:ext cx="0" cy="81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8" name="Line 36"/>
                        <wps:cNvCnPr/>
                        <wps:spPr bwMode="auto">
                          <a:xfrm flipV="1">
                            <a:off x="6148" y="3961"/>
                            <a:ext cx="0" cy="12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9" name="Line 37"/>
                        <wps:cNvCnPr/>
                        <wps:spPr bwMode="auto">
                          <a:xfrm flipV="1">
                            <a:off x="6148" y="3601"/>
                            <a:ext cx="0" cy="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0" name="Line 38"/>
                        <wps:cNvCnPr/>
                        <wps:spPr bwMode="auto">
                          <a:xfrm flipV="1">
                            <a:off x="5968" y="3601"/>
                            <a:ext cx="0" cy="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1" name="Line 39"/>
                        <wps:cNvCnPr/>
                        <wps:spPr bwMode="auto">
                          <a:xfrm flipV="1">
                            <a:off x="5788" y="3601"/>
                            <a:ext cx="0" cy="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2" name="Line 40"/>
                        <wps:cNvCnPr/>
                        <wps:spPr bwMode="auto">
                          <a:xfrm flipV="1">
                            <a:off x="6148" y="3241"/>
                            <a:ext cx="0" cy="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3" name="Line 41"/>
                        <wps:cNvCnPr/>
                        <wps:spPr bwMode="auto">
                          <a:xfrm flipV="1">
                            <a:off x="5968" y="3241"/>
                            <a:ext cx="0" cy="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4" name="Line 42"/>
                        <wps:cNvCnPr/>
                        <wps:spPr bwMode="auto">
                          <a:xfrm flipV="1">
                            <a:off x="5788" y="3241"/>
                            <a:ext cx="0" cy="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5" name="Text Box 43"/>
                        <wps:cNvSpPr txBox="1">
                          <a:spLocks noChangeArrowheads="1"/>
                        </wps:cNvSpPr>
                        <wps:spPr bwMode="auto">
                          <a:xfrm>
                            <a:off x="5968" y="4051"/>
                            <a:ext cx="360" cy="108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40F8" w:rsidRPr="005013E8" w:rsidRDefault="00BE40F8" w:rsidP="00B233DE">
                              <w:pPr>
                                <w:jc w:val="center"/>
                                <w:rPr>
                                  <w:rFonts w:ascii="Times New Roman" w:hAnsi="Times New Roman" w:cs="Times New Roman"/>
                                  <w:sz w:val="16"/>
                                  <w:szCs w:val="16"/>
                                </w:rPr>
                              </w:pPr>
                              <w:r w:rsidRPr="005013E8">
                                <w:rPr>
                                  <w:rFonts w:ascii="Times New Roman" w:hAnsi="Times New Roman" w:cs="Times New Roman"/>
                                  <w:sz w:val="16"/>
                                  <w:szCs w:val="16"/>
                                </w:rPr>
                                <w:t>Витіснення національного людського потенціалу</w:t>
                              </w:r>
                            </w:p>
                          </w:txbxContent>
                        </wps:txbx>
                        <wps:bodyPr rot="0" vert="vert270" wrap="square" lIns="0" tIns="0" rIns="0" bIns="0" anchor="ctr" anchorCtr="0" upright="1">
                          <a:noAutofit/>
                        </wps:bodyPr>
                      </wps:wsp>
                      <wps:wsp>
                        <wps:cNvPr id="626" name="Line 44"/>
                        <wps:cNvCnPr/>
                        <wps:spPr bwMode="auto">
                          <a:xfrm>
                            <a:off x="4258" y="2161"/>
                            <a:ext cx="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7" name="Line 45"/>
                        <wps:cNvCnPr/>
                        <wps:spPr bwMode="auto">
                          <a:xfrm>
                            <a:off x="4258" y="3691"/>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8" name="Line 46"/>
                        <wps:cNvCnPr/>
                        <wps:spPr bwMode="auto">
                          <a:xfrm>
                            <a:off x="4258" y="4681"/>
                            <a:ext cx="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9" name="Line 47"/>
                        <wps:cNvCnPr/>
                        <wps:spPr bwMode="auto">
                          <a:xfrm>
                            <a:off x="4258" y="5131"/>
                            <a:ext cx="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0" name="Line 48"/>
                        <wps:cNvCnPr/>
                        <wps:spPr bwMode="auto">
                          <a:xfrm>
                            <a:off x="5698" y="2161"/>
                            <a:ext cx="0" cy="4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631" name="Group 49"/>
                        <wpg:cNvGrpSpPr>
                          <a:grpSpLocks/>
                        </wpg:cNvGrpSpPr>
                        <wpg:grpSpPr bwMode="auto">
                          <a:xfrm>
                            <a:off x="6688" y="2431"/>
                            <a:ext cx="720" cy="1620"/>
                            <a:chOff x="8038" y="2521"/>
                            <a:chExt cx="720" cy="1710"/>
                          </a:xfrm>
                        </wpg:grpSpPr>
                        <wps:wsp>
                          <wps:cNvPr id="632" name="Text Box 50"/>
                          <wps:cNvSpPr txBox="1">
                            <a:spLocks noChangeArrowheads="1"/>
                          </wps:cNvSpPr>
                          <wps:spPr bwMode="auto">
                            <a:xfrm>
                              <a:off x="8038" y="2521"/>
                              <a:ext cx="270" cy="1710"/>
                            </a:xfrm>
                            <a:prstGeom prst="rect">
                              <a:avLst/>
                            </a:prstGeom>
                            <a:solidFill>
                              <a:srgbClr val="FFFFFF"/>
                            </a:solidFill>
                            <a:ln w="9525">
                              <a:solidFill>
                                <a:srgbClr val="000000"/>
                              </a:solidFill>
                              <a:miter lim="800000"/>
                              <a:headEnd/>
                              <a:tailEnd/>
                            </a:ln>
                          </wps:spPr>
                          <wps:txbx>
                            <w:txbxContent>
                              <w:p w:rsidR="00BE40F8" w:rsidRPr="00BF1188" w:rsidRDefault="00BE40F8" w:rsidP="00B233DE">
                                <w:pPr>
                                  <w:jc w:val="center"/>
                                  <w:rPr>
                                    <w:rFonts w:ascii="Calibri" w:hAnsi="Calibri"/>
                                    <w:sz w:val="16"/>
                                    <w:szCs w:val="16"/>
                                  </w:rPr>
                                </w:pPr>
                                <w:r w:rsidRPr="005013E8">
                                  <w:rPr>
                                    <w:rFonts w:ascii="Times New Roman" w:hAnsi="Times New Roman" w:cs="Times New Roman"/>
                                    <w:i/>
                                    <w:sz w:val="16"/>
                                    <w:szCs w:val="16"/>
                                  </w:rPr>
                                  <w:t>Для країн походження</w:t>
                                </w:r>
                              </w:p>
                            </w:txbxContent>
                          </wps:txbx>
                          <wps:bodyPr rot="0" vert="vert270" wrap="square" lIns="0" tIns="0" rIns="0" bIns="0" anchor="t" anchorCtr="0" upright="1">
                            <a:noAutofit/>
                          </wps:bodyPr>
                        </wps:wsp>
                        <wps:wsp>
                          <wps:cNvPr id="633" name="Text Box 51"/>
                          <wps:cNvSpPr txBox="1">
                            <a:spLocks noChangeArrowheads="1"/>
                          </wps:cNvSpPr>
                          <wps:spPr bwMode="auto">
                            <a:xfrm>
                              <a:off x="8308" y="2521"/>
                              <a:ext cx="450" cy="171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Циклічна міграція (еміграція+рееміграція)</w:t>
                                </w:r>
                              </w:p>
                              <w:p w:rsidR="00BE40F8" w:rsidRPr="00BF1188" w:rsidRDefault="00BE40F8" w:rsidP="00B233DE">
                                <w:pPr>
                                  <w:rPr>
                                    <w:rFonts w:ascii="Calibri" w:hAnsi="Calibri"/>
                                    <w:sz w:val="16"/>
                                    <w:szCs w:val="16"/>
                                  </w:rPr>
                                </w:pPr>
                              </w:p>
                            </w:txbxContent>
                          </wps:txbx>
                          <wps:bodyPr rot="0" vert="vert270" wrap="square" lIns="91440" tIns="45720" rIns="91440" bIns="45720" anchor="t" anchorCtr="0" upright="1">
                            <a:noAutofit/>
                          </wps:bodyPr>
                        </wps:wsp>
                      </wpg:grpSp>
                      <wps:wsp>
                        <wps:cNvPr id="634" name="Text Box 52"/>
                        <wps:cNvSpPr txBox="1">
                          <a:spLocks noChangeArrowheads="1"/>
                        </wps:cNvSpPr>
                        <wps:spPr bwMode="auto">
                          <a:xfrm>
                            <a:off x="6688" y="4141"/>
                            <a:ext cx="450" cy="144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i/>
                                  <w:sz w:val="16"/>
                                  <w:szCs w:val="16"/>
                                </w:rPr>
                              </w:pPr>
                              <w:r w:rsidRPr="005013E8">
                                <w:rPr>
                                  <w:rFonts w:ascii="Times New Roman" w:hAnsi="Times New Roman" w:cs="Times New Roman"/>
                                  <w:i/>
                                  <w:sz w:val="16"/>
                                  <w:szCs w:val="16"/>
                                </w:rPr>
                                <w:t>Для країн призначення</w:t>
                              </w:r>
                            </w:p>
                            <w:p w:rsidR="00BE40F8" w:rsidRPr="00BF1188" w:rsidRDefault="00BE40F8" w:rsidP="00B233DE">
                              <w:pPr>
                                <w:rPr>
                                  <w:rFonts w:ascii="Calibri" w:hAnsi="Calibri"/>
                                  <w:sz w:val="16"/>
                                  <w:szCs w:val="16"/>
                                </w:rPr>
                              </w:pPr>
                            </w:p>
                          </w:txbxContent>
                        </wps:txbx>
                        <wps:bodyPr rot="0" vert="vert270" wrap="square" lIns="0" tIns="0" rIns="0" bIns="0" anchor="t" anchorCtr="0" upright="1">
                          <a:noAutofit/>
                        </wps:bodyPr>
                      </wps:wsp>
                      <wps:wsp>
                        <wps:cNvPr id="635" name="Text Box 53"/>
                        <wps:cNvSpPr txBox="1">
                          <a:spLocks noChangeArrowheads="1"/>
                        </wps:cNvSpPr>
                        <wps:spPr bwMode="auto">
                          <a:xfrm>
                            <a:off x="6958" y="4141"/>
                            <a:ext cx="450" cy="144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Селективна імміграція</w:t>
                              </w:r>
                            </w:p>
                            <w:p w:rsidR="00BE40F8" w:rsidRPr="00BF1188" w:rsidRDefault="00BE40F8" w:rsidP="00B233DE">
                              <w:pPr>
                                <w:rPr>
                                  <w:rFonts w:ascii="Calibri" w:hAnsi="Calibri"/>
                                  <w:sz w:val="16"/>
                                  <w:szCs w:val="16"/>
                                </w:rPr>
                              </w:pPr>
                            </w:p>
                          </w:txbxContent>
                        </wps:txbx>
                        <wps:bodyPr rot="0" vert="vert270" wrap="square" lIns="91440" tIns="45720" rIns="91440" bIns="45720" anchor="t" anchorCtr="0" upright="1">
                          <a:noAutofit/>
                        </wps:bodyPr>
                      </wps:wsp>
                      <wps:wsp>
                        <wps:cNvPr id="636" name="AutoShape 54"/>
                        <wps:cNvCnPr/>
                        <wps:spPr bwMode="auto">
                          <a:xfrm rot="5400000">
                            <a:off x="6306" y="2543"/>
                            <a:ext cx="1080" cy="315"/>
                          </a:xfrm>
                          <a:prstGeom prst="bentConnector4">
                            <a:avLst>
                              <a:gd name="adj1" fmla="val 12500"/>
                              <a:gd name="adj2" fmla="val 157144"/>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637" name="AutoShape 55"/>
                        <wps:cNvCnPr/>
                        <wps:spPr bwMode="auto">
                          <a:xfrm rot="16200000" flipH="1">
                            <a:off x="5788" y="3961"/>
                            <a:ext cx="1620" cy="180"/>
                          </a:xfrm>
                          <a:prstGeom prst="bentConnector2">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638" name="Line 56"/>
                        <wps:cNvCnPr/>
                        <wps:spPr bwMode="auto">
                          <a:xfrm>
                            <a:off x="4888" y="1981"/>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9" name="Line 57"/>
                        <wps:cNvCnPr/>
                        <wps:spPr bwMode="auto">
                          <a:xfrm>
                            <a:off x="6328" y="1981"/>
                            <a:ext cx="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0" name="Line 58"/>
                        <wps:cNvCnPr/>
                        <wps:spPr bwMode="auto">
                          <a:xfrm>
                            <a:off x="7588" y="1981"/>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1" name="Text Box 59"/>
                        <wps:cNvSpPr txBox="1">
                          <a:spLocks noChangeArrowheads="1"/>
                        </wps:cNvSpPr>
                        <wps:spPr bwMode="auto">
                          <a:xfrm>
                            <a:off x="7768" y="2251"/>
                            <a:ext cx="1260" cy="63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Повернення студентів (накопичення знань і людського потенціалу в країні походження)</w:t>
                              </w:r>
                            </w:p>
                          </w:txbxContent>
                        </wps:txbx>
                        <wps:bodyPr rot="0" vert="horz" wrap="square" lIns="0" tIns="0" rIns="0" bIns="0" anchor="ctr" anchorCtr="0" upright="1">
                          <a:noAutofit/>
                        </wps:bodyPr>
                      </wps:wsp>
                      <wps:wsp>
                        <wps:cNvPr id="642" name="Text Box 60"/>
                        <wps:cNvSpPr txBox="1">
                          <a:spLocks noChangeArrowheads="1"/>
                        </wps:cNvSpPr>
                        <wps:spPr bwMode="auto">
                          <a:xfrm>
                            <a:off x="7768" y="2971"/>
                            <a:ext cx="1260" cy="72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Створення освітніх, дослідницьких та наукових мереж (трансфер знань та ноу-хау)</w:t>
                              </w:r>
                            </w:p>
                          </w:txbxContent>
                        </wps:txbx>
                        <wps:bodyPr rot="0" vert="horz" wrap="square" lIns="91440" tIns="45720" rIns="91440" bIns="45720" anchor="t" anchorCtr="0" upright="1">
                          <a:noAutofit/>
                        </wps:bodyPr>
                      </wps:wsp>
                      <wps:wsp>
                        <wps:cNvPr id="643" name="Text Box 61"/>
                        <wps:cNvSpPr txBox="1">
                          <a:spLocks noChangeArrowheads="1"/>
                        </wps:cNvSpPr>
                        <wps:spPr bwMode="auto">
                          <a:xfrm>
                            <a:off x="7768" y="3781"/>
                            <a:ext cx="1260" cy="54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Рееміграція висококваліфікованих спеціалістів (поштовх до інноваційного розвитку)</w:t>
                              </w:r>
                            </w:p>
                          </w:txbxContent>
                        </wps:txbx>
                        <wps:bodyPr rot="0" vert="horz" wrap="square" lIns="0" tIns="0" rIns="0" bIns="0" anchor="ctr" anchorCtr="0" upright="1">
                          <a:noAutofit/>
                        </wps:bodyPr>
                      </wps:wsp>
                      <wps:wsp>
                        <wps:cNvPr id="644" name="Text Box 62"/>
                        <wps:cNvSpPr txBox="1">
                          <a:spLocks noChangeArrowheads="1"/>
                        </wps:cNvSpPr>
                        <wps:spPr bwMode="auto">
                          <a:xfrm>
                            <a:off x="7768" y="4411"/>
                            <a:ext cx="1260" cy="63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Самозайнятість реемігрантів (організація бізнесу, інвестування в національну економіку)</w:t>
                              </w:r>
                            </w:p>
                          </w:txbxContent>
                        </wps:txbx>
                        <wps:bodyPr rot="0" vert="horz" wrap="square" lIns="0" tIns="0" rIns="0" bIns="0" anchor="ctr" anchorCtr="0" upright="1">
                          <a:noAutofit/>
                        </wps:bodyPr>
                      </wps:wsp>
                      <wps:wsp>
                        <wps:cNvPr id="645" name="Text Box 63"/>
                        <wps:cNvSpPr txBox="1">
                          <a:spLocks noChangeArrowheads="1"/>
                        </wps:cNvSpPr>
                        <wps:spPr bwMode="auto">
                          <a:xfrm>
                            <a:off x="7768" y="5131"/>
                            <a:ext cx="1260" cy="540"/>
                          </a:xfrm>
                          <a:prstGeom prst="rect">
                            <a:avLst/>
                          </a:prstGeom>
                          <a:solidFill>
                            <a:srgbClr val="FFFFFF"/>
                          </a:solidFill>
                          <a:ln w="9525">
                            <a:solidFill>
                              <a:srgbClr val="000000"/>
                            </a:solidFill>
                            <a:miter lim="800000"/>
                            <a:headEnd/>
                            <a:tailEnd/>
                          </a:ln>
                        </wps:spPr>
                        <wps:txb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Грошові перекази як джерело доходу і внутрішнього фінансування</w:t>
                              </w:r>
                            </w:p>
                          </w:txbxContent>
                        </wps:txbx>
                        <wps:bodyPr rot="0" vert="horz" wrap="square" lIns="91440" tIns="45720" rIns="91440" bIns="45720" anchor="t" anchorCtr="0" upright="1">
                          <a:noAutofit/>
                        </wps:bodyPr>
                      </wps:wsp>
                      <wps:wsp>
                        <wps:cNvPr id="646" name="Line 64"/>
                        <wps:cNvCnPr/>
                        <wps:spPr bwMode="auto">
                          <a:xfrm>
                            <a:off x="8398" y="2161"/>
                            <a:ext cx="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7" name="Line 65"/>
                        <wps:cNvCnPr/>
                        <wps:spPr bwMode="auto">
                          <a:xfrm>
                            <a:off x="8398" y="2881"/>
                            <a:ext cx="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8" name="Line 66"/>
                        <wps:cNvCnPr/>
                        <wps:spPr bwMode="auto">
                          <a:xfrm>
                            <a:off x="8398" y="3691"/>
                            <a:ext cx="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9" name="Line 67"/>
                        <wps:cNvCnPr/>
                        <wps:spPr bwMode="auto">
                          <a:xfrm>
                            <a:off x="8398" y="4321"/>
                            <a:ext cx="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0" name="Line 68"/>
                        <wps:cNvCnPr/>
                        <wps:spPr bwMode="auto">
                          <a:xfrm>
                            <a:off x="8398" y="5041"/>
                            <a:ext cx="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1" name="Line 69"/>
                        <wps:cNvCnPr/>
                        <wps:spPr bwMode="auto">
                          <a:xfrm>
                            <a:off x="6238" y="2701"/>
                            <a:ext cx="1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2" name="Line 70"/>
                        <wps:cNvCnPr/>
                        <wps:spPr bwMode="auto">
                          <a:xfrm>
                            <a:off x="6238" y="3151"/>
                            <a:ext cx="180"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3" name="Line 71"/>
                        <wps:cNvCnPr/>
                        <wps:spPr bwMode="auto">
                          <a:xfrm>
                            <a:off x="6238" y="3511"/>
                            <a:ext cx="180"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4" name="Line 72"/>
                        <wps:cNvCnPr/>
                        <wps:spPr bwMode="auto">
                          <a:xfrm>
                            <a:off x="6238" y="3871"/>
                            <a:ext cx="180"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5" name="Line 73"/>
                        <wps:cNvCnPr/>
                        <wps:spPr bwMode="auto">
                          <a:xfrm>
                            <a:off x="5878" y="4501"/>
                            <a:ext cx="540" cy="1"/>
                          </a:xfrm>
                          <a:prstGeom prst="line">
                            <a:avLst/>
                          </a:prstGeom>
                          <a:noFill/>
                          <a:ln w="9525">
                            <a:solidFill>
                              <a:srgbClr val="000000"/>
                            </a:solidFill>
                            <a:prstDash val="lgDash"/>
                            <a:round/>
                            <a:headEnd/>
                            <a:tailEnd type="triangle" w="med" len="med"/>
                          </a:ln>
                          <a:extLst>
                            <a:ext uri="{909E8E84-426E-40DD-AFC4-6F175D3DCCD1}">
                              <a14:hiddenFill xmlns:a14="http://schemas.microsoft.com/office/drawing/2010/main">
                                <a:noFill/>
                              </a14:hiddenFill>
                            </a:ext>
                          </a:extLst>
                        </wps:spPr>
                        <wps:bodyPr/>
                      </wps:wsp>
                      <wps:wsp>
                        <wps:cNvPr id="656" name="Line 74"/>
                        <wps:cNvCnPr/>
                        <wps:spPr bwMode="auto">
                          <a:xfrm>
                            <a:off x="6058" y="4951"/>
                            <a:ext cx="360" cy="1"/>
                          </a:xfrm>
                          <a:prstGeom prst="line">
                            <a:avLst/>
                          </a:prstGeom>
                          <a:noFill/>
                          <a:ln w="9525">
                            <a:solidFill>
                              <a:srgbClr val="000000"/>
                            </a:solidFill>
                            <a:prstDash val="lgDash"/>
                            <a:round/>
                            <a:headEnd/>
                            <a:tailEnd type="triangle" w="med" len="med"/>
                          </a:ln>
                          <a:extLst>
                            <a:ext uri="{909E8E84-426E-40DD-AFC4-6F175D3DCCD1}">
                              <a14:hiddenFill xmlns:a14="http://schemas.microsoft.com/office/drawing/2010/main">
                                <a:noFill/>
                              </a14:hiddenFill>
                            </a:ext>
                          </a:extLst>
                        </wps:spPr>
                        <wps:bodyPr/>
                      </wps:wsp>
                      <wps:wsp>
                        <wps:cNvPr id="657" name="Line 75"/>
                        <wps:cNvCnPr/>
                        <wps:spPr bwMode="auto">
                          <a:xfrm>
                            <a:off x="6238" y="5401"/>
                            <a:ext cx="180"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8" name="Line 76"/>
                        <wps:cNvCnPr/>
                        <wps:spPr bwMode="auto">
                          <a:xfrm>
                            <a:off x="7588" y="2701"/>
                            <a:ext cx="180"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9" name="Line 77"/>
                        <wps:cNvCnPr/>
                        <wps:spPr bwMode="auto">
                          <a:xfrm>
                            <a:off x="7588" y="3331"/>
                            <a:ext cx="180"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0" name="Line 78"/>
                        <wps:cNvCnPr/>
                        <wps:spPr bwMode="auto">
                          <a:xfrm>
                            <a:off x="7588" y="3961"/>
                            <a:ext cx="180"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1" name="Line 79"/>
                        <wps:cNvCnPr/>
                        <wps:spPr bwMode="auto">
                          <a:xfrm>
                            <a:off x="7588" y="4681"/>
                            <a:ext cx="180"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2" name="Line 80"/>
                        <wps:cNvCnPr/>
                        <wps:spPr bwMode="auto">
                          <a:xfrm>
                            <a:off x="7588" y="5401"/>
                            <a:ext cx="180"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4EB13A99" id="Группа 491" o:spid="_x0000_s1446" style="width:305.6pt;height:425.2pt;mso-position-horizontal-relative:char;mso-position-vertical-relative:line" coordorigin="3628,1801" coordsize="5400,38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">
                <v:shape id="Text Box 3" o:spid="_x0000_s1447" type="#_x0000_t202" style="position:absolute;left:6418;top:2251;width:1170;height:3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">
                  <v:fill opacity="0"/>
                  <v:stroke dashstyle="dash"/>
                  <v:textbox>
                    <w:txbxContent>
                      <w:p w:rsidR="00BE40F8" w:rsidRPr="00BF1188" w:rsidRDefault="00BE40F8" w:rsidP="00B233DE">
                        <w:pPr>
                          <w:rPr>
                            <w:rFonts w:ascii="Calibri" w:hAnsi="Calibri"/>
                            <w:sz w:val="16"/>
                            <w:szCs w:val="16"/>
                          </w:rPr>
                        </w:pPr>
                      </w:p>
                    </w:txbxContent>
                  </v:textbox>
                </v:shape>
                <v:shape id="Freeform 4" o:spid="_x0000_s1448" style="position:absolute;left:3628;top:2431;width:270;height:540;visibility:visible;mso-wrap-style:square;v-text-anchor:top" coordsize="54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" path="m180,l,,,1080r540,e" filled="f">
                  <v:path arrowok="t" o:connecttype="custom" o:connectlocs="90,0;0,0;0,540;270,540" o:connectangles="0,0,0,0"/>
                </v:shape>
                <v:shape id="Freeform 5" o:spid="_x0000_s1449" style="position:absolute;left:3628;top:2971;width:270;height:540;visibility:visible;mso-wrap-style:square;v-text-anchor:top" coordsize="54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" path="m,l,1080r540,e" filled="f">
                  <v:path arrowok="t" o:connecttype="custom" o:connectlocs="0,0;0,540;270,540" o:connectangles="0,0,0"/>
                </v:shape>
                <v:shape id="Freeform 6" o:spid="_x0000_s1450" style="position:absolute;left:3628;top:4051;width:270;height:450;visibility:visible;mso-wrap-style:square;v-text-anchor:top" coordsize="54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" path="m180,l,,,900r540,e" filled="f">
                  <v:path arrowok="t" o:connecttype="custom" o:connectlocs="90,0;0,0;0,450;270,450" o:connectangles="0,0,0,0"/>
                </v:shape>
                <v:shape id="Freeform 7" o:spid="_x0000_s1451" style="position:absolute;left:3628;top:4951;width:270;height:450;visibility:visible;mso-wrap-style:square;v-text-anchor:top" coordsize="54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" path="m180,l,,,900r540,e" filled="f">
                  <v:path arrowok="t" o:connecttype="custom" o:connectlocs="90,0;0,0;0,450;270,450" o:connectangles="0,0,0,0"/>
                </v:shape>
                <v:shape id="Text Box 8" o:spid="_x0000_s1452" type="#_x0000_t202" style="position:absolute;left:3718;top:1801;width:117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">
                  <v:textbox inset="0,0,0,0">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Перерозподіл освітньо-кваліфікаційного ЛП</w:t>
                        </w:r>
                      </w:p>
                    </w:txbxContent>
                  </v:textbox>
                </v:shape>
                <v:shape id="Text Box 9" o:spid="_x0000_s1453" type="#_x0000_t202" style="position:absolute;left:5068;top:1801;width:12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">
                  <v:textbox inset="0,0,0,0">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Сфери впливу</w:t>
                        </w:r>
                      </w:p>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(для країн призначення)</w:t>
                        </w:r>
                      </w:p>
                    </w:txbxContent>
                  </v:textbox>
                </v:shape>
                <v:shape id="Text Box 10" o:spid="_x0000_s1454" type="#_x0000_t202" style="position:absolute;left:6418;top:1801;width:117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">
                  <v:textbo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Сторони процесу</w:t>
                        </w:r>
                      </w:p>
                    </w:txbxContent>
                  </v:textbox>
                </v:shape>
                <v:shape id="Text Box 11" o:spid="_x0000_s1455" type="#_x0000_t202" style="position:absolute;left:7768;top:1801;width:1260;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">
                  <v:textbox inset="0,0,0,0">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Можливі ефекти (для країн походження)</w:t>
                        </w:r>
                      </w:p>
                    </w:txbxContent>
                  </v:textbox>
                </v:shape>
                <v:shape id="Text Box 12" o:spid="_x0000_s1456" type="#_x0000_t202" style="position:absolute;left:3718;top:2251;width:1170;height: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">
                  <v:textbox inset="0,0,0,0">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Перерозподіл висококваліфікованих мігрантів</w:t>
                        </w:r>
                      </w:p>
                    </w:txbxContent>
                  </v:textbox>
                </v:shape>
                <v:shape id="Text Box 13" o:spid="_x0000_s1457" type="#_x0000_t202" style="position:absolute;left:3898;top:3331;width:117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">
                  <v:textbox>
                    <w:txbxContent>
                      <w:p w:rsidR="00BE40F8" w:rsidRPr="005013E8" w:rsidRDefault="00BE40F8" w:rsidP="00B233DE">
                        <w:pPr>
                          <w:ind w:firstLine="0"/>
                          <w:jc w:val="center"/>
                          <w:rPr>
                            <w:rFonts w:ascii="Times New Roman" w:hAnsi="Times New Roman" w:cs="Times New Roman"/>
                            <w:i/>
                            <w:sz w:val="16"/>
                            <w:szCs w:val="16"/>
                          </w:rPr>
                        </w:pPr>
                        <w:r w:rsidRPr="005013E8">
                          <w:rPr>
                            <w:rFonts w:ascii="Times New Roman" w:hAnsi="Times New Roman" w:cs="Times New Roman"/>
                            <w:i/>
                            <w:sz w:val="16"/>
                            <w:szCs w:val="16"/>
                          </w:rPr>
                          <w:t>Висококваліфіковані іммігранти</w:t>
                        </w:r>
                      </w:p>
                    </w:txbxContent>
                  </v:textbox>
                </v:shape>
                <v:shape id="Text Box 14" o:spid="_x0000_s1458" type="#_x0000_t202" style="position:absolute;left:5158;top:3691;width:1080;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">
                  <v:textbo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Сфера управління</w:t>
                        </w:r>
                      </w:p>
                    </w:txbxContent>
                  </v:textbox>
                </v:shape>
                <v:shape id="Text Box 15" o:spid="_x0000_s1459" type="#_x0000_t202" style="position:absolute;left:3718;top:3871;width:117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">
                  <v:textbox inset="0,0,0,0">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Перерозподіл мігрантів середньої кваліфікації</w:t>
                        </w:r>
                      </w:p>
                    </w:txbxContent>
                  </v:textbox>
                </v:shape>
                <v:shape id="Text Box 16" o:spid="_x0000_s1460" type="#_x0000_t202" style="position:absolute;left:3898;top:4321;width:117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">
                  <v:textbox inset=".5mm,0,.5mm,0">
                    <w:txbxContent>
                      <w:p w:rsidR="00BE40F8" w:rsidRPr="005013E8" w:rsidRDefault="00BE40F8" w:rsidP="00B233DE">
                        <w:pPr>
                          <w:ind w:firstLine="0"/>
                          <w:jc w:val="center"/>
                          <w:rPr>
                            <w:rFonts w:ascii="Times New Roman" w:hAnsi="Times New Roman" w:cs="Times New Roman"/>
                            <w:i/>
                            <w:sz w:val="16"/>
                            <w:szCs w:val="16"/>
                          </w:rPr>
                        </w:pPr>
                        <w:r w:rsidRPr="005013E8">
                          <w:rPr>
                            <w:rFonts w:ascii="Times New Roman" w:hAnsi="Times New Roman" w:cs="Times New Roman"/>
                            <w:i/>
                            <w:sz w:val="16"/>
                            <w:szCs w:val="16"/>
                          </w:rPr>
                          <w:t>Іммігранти середньої кваліфікації</w:t>
                        </w:r>
                      </w:p>
                    </w:txbxContent>
                  </v:textbox>
                </v:shape>
                <v:shape id="Text Box 17" o:spid="_x0000_s1461" type="#_x0000_t202" style="position:absolute;left:3718;top:4771;width:117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">
                  <v:textbox inset=",0,,0">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Перерозподіл мігрантів низької кваліфікації</w:t>
                        </w:r>
                      </w:p>
                    </w:txbxContent>
                  </v:textbox>
                </v:shape>
                <v:shape id="Text Box 18" o:spid="_x0000_s1462" type="#_x0000_t202" style="position:absolute;left:3898;top:5221;width:117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">
                  <v:textbox>
                    <w:txbxContent>
                      <w:p w:rsidR="00BE40F8" w:rsidRPr="005013E8" w:rsidRDefault="00BE40F8" w:rsidP="00B233DE">
                        <w:pPr>
                          <w:ind w:firstLine="0"/>
                          <w:rPr>
                            <w:rFonts w:ascii="Times New Roman" w:hAnsi="Times New Roman" w:cs="Times New Roman"/>
                            <w:i/>
                            <w:sz w:val="16"/>
                            <w:szCs w:val="16"/>
                          </w:rPr>
                        </w:pPr>
                        <w:r w:rsidRPr="005013E8">
                          <w:rPr>
                            <w:rFonts w:ascii="Times New Roman" w:hAnsi="Times New Roman" w:cs="Times New Roman"/>
                            <w:i/>
                            <w:sz w:val="16"/>
                            <w:szCs w:val="16"/>
                          </w:rPr>
                          <w:t>Іммігранти низької кваліфікації</w:t>
                        </w:r>
                      </w:p>
                    </w:txbxContent>
                  </v:textbox>
                </v:shape>
                <v:shape id="Text Box 19" o:spid="_x0000_s1463" type="#_x0000_t202" style="position:absolute;left:5158;top:4321;width:720;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">
                  <v:textbox inset="0,0,0,0">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Промисло</w:t>
                        </w:r>
                        <w:r>
                          <w:rPr>
                            <w:rFonts w:ascii="Times New Roman" w:hAnsi="Times New Roman" w:cs="Times New Roman"/>
                            <w:sz w:val="16"/>
                            <w:szCs w:val="16"/>
                          </w:rPr>
                          <w:t>-</w:t>
                        </w:r>
                        <w:r w:rsidRPr="005013E8">
                          <w:rPr>
                            <w:rFonts w:ascii="Times New Roman" w:hAnsi="Times New Roman" w:cs="Times New Roman"/>
                            <w:sz w:val="16"/>
                            <w:szCs w:val="16"/>
                          </w:rPr>
                          <w:t>ве вироб</w:t>
                        </w:r>
                        <w:r>
                          <w:rPr>
                            <w:rFonts w:ascii="Times New Roman" w:hAnsi="Times New Roman" w:cs="Times New Roman"/>
                            <w:sz w:val="16"/>
                            <w:szCs w:val="16"/>
                          </w:rPr>
                          <w:t>-</w:t>
                        </w:r>
                        <w:r w:rsidRPr="005013E8">
                          <w:rPr>
                            <w:rFonts w:ascii="Times New Roman" w:hAnsi="Times New Roman" w:cs="Times New Roman"/>
                            <w:sz w:val="16"/>
                            <w:szCs w:val="16"/>
                          </w:rPr>
                          <w:t>ництво</w:t>
                        </w:r>
                      </w:p>
                    </w:txbxContent>
                  </v:textbox>
                </v:shape>
                <v:shape id="Text Box 20" o:spid="_x0000_s1464" type="#_x0000_t202" style="position:absolute;left:5095;top:4780;width:873;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">
                  <v:textbo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Сільське господарство</w:t>
                        </w:r>
                      </w:p>
                    </w:txbxContent>
                  </v:textbox>
                </v:shape>
                <v:shape id="Text Box 21" o:spid="_x0000_s1465" type="#_x0000_t202" style="position:absolute;left:5158;top:5221;width:108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">
                  <v:textbo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Домашнє господарство</w:t>
                        </w:r>
                      </w:p>
                    </w:txbxContent>
                  </v:textbox>
                </v:shape>
                <v:shape id="Text Box 22" o:spid="_x0000_s1466" type="#_x0000_t202" style="position:absolute;left:3898;top:2791;width:117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">
                  <v:textbox>
                    <w:txbxContent>
                      <w:p w:rsidR="00BE40F8" w:rsidRPr="005013E8" w:rsidRDefault="00BE40F8" w:rsidP="00B233DE">
                        <w:pPr>
                          <w:ind w:firstLine="0"/>
                          <w:jc w:val="center"/>
                          <w:rPr>
                            <w:rFonts w:ascii="Times New Roman" w:hAnsi="Times New Roman" w:cs="Times New Roman"/>
                            <w:i/>
                            <w:sz w:val="16"/>
                            <w:szCs w:val="16"/>
                          </w:rPr>
                        </w:pPr>
                        <w:r w:rsidRPr="005013E8">
                          <w:rPr>
                            <w:rFonts w:ascii="Times New Roman" w:hAnsi="Times New Roman" w:cs="Times New Roman"/>
                            <w:i/>
                            <w:sz w:val="16"/>
                            <w:szCs w:val="16"/>
                          </w:rPr>
                          <w:t>Освітня міграція</w:t>
                        </w:r>
                      </w:p>
                    </w:txbxContent>
                  </v:textbox>
                </v:shape>
                <v:shape id="Text Box 23" o:spid="_x0000_s1467" type="#_x0000_t202" style="position:absolute;left:5158;top:2611;width:1080;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">
                  <v:textbo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Освіта</w:t>
                        </w:r>
                      </w:p>
                    </w:txbxContent>
                  </v:textbox>
                </v:shape>
                <v:shape id="Text Box 24" o:spid="_x0000_s1468" type="#_x0000_t202" style="position:absolute;left:5158;top:2971;width:1080;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">
                  <v:textbo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Виробництво знань</w:t>
                        </w:r>
                      </w:p>
                    </w:txbxContent>
                  </v:textbox>
                </v:shape>
                <v:shape id="Text Box 25" o:spid="_x0000_s1469" type="#_x0000_t202" style="position:absolute;left:5158;top:3331;width:1080;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">
                  <v:textbo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Сфера послуг</w:t>
                        </w:r>
                      </w:p>
                    </w:txbxContent>
                  </v:textbox>
                </v:shape>
                <v:line id="Line 26" o:spid="_x0000_s1470" style="position:absolute;flip:y;visibility:visible;mso-wrap-style:square" from="5068,2701" to="5158,27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">
                  <v:stroke endarrow="block"/>
                </v:line>
                <v:line id="Line 27" o:spid="_x0000_s1471" style="position:absolute;visibility:visible;mso-wrap-style:square" from="5068,3061" to="5158,31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">
                  <v:stroke endarrow="block"/>
                </v:line>
                <v:line id="Line 28" o:spid="_x0000_s1472" style="position:absolute;flip:y;visibility:visible;mso-wrap-style:square" from="5068,3151" to="5158,3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">
                  <v:stroke endarrow="block"/>
                </v:line>
                <v:line id="Line 29" o:spid="_x0000_s1473" style="position:absolute;visibility:visible;mso-wrap-style:square" from="5068,3421" to="5158,34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">
                  <v:stroke endarrow="block"/>
                </v:line>
                <v:line id="Line 30" o:spid="_x0000_s1474" style="position:absolute;visibility:visible;mso-wrap-style:square" from="5068,3691" to="5158,3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">
                  <v:stroke endarrow="block"/>
                </v:line>
                <v:line id="Line 31" o:spid="_x0000_s1475" style="position:absolute;visibility:visible;mso-wrap-style:square" from="5068,4501" to="5158,45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">
                  <v:stroke endarrow="block"/>
                </v:line>
                <v:line id="Line 32" o:spid="_x0000_s1476" style="position:absolute;visibility:visible;mso-wrap-style:square" from="5068,5401" to="5158,54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">
                  <v:stroke endarrow="block"/>
                </v:line>
                <v:line id="Line 33" o:spid="_x0000_s1477" style="position:absolute;flip:y;visibility:visible;mso-wrap-style:square" from="5068,4960" to="5095,5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">
                  <v:stroke endarrow="block"/>
                </v:line>
                <v:line id="Line 34" o:spid="_x0000_s1478" style="position:absolute;flip:y;visibility:visible;mso-wrap-style:square" from="5788,3961" to="5788,4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">
                  <v:stroke endarrow="block"/>
                </v:line>
                <v:line id="Line 35" o:spid="_x0000_s1479" style="position:absolute;flip:y;visibility:visible;mso-wrap-style:square" from="5968,3961" to="5968,47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">
                  <v:stroke endarrow="block"/>
                </v:line>
                <v:line id="Line 36" o:spid="_x0000_s1480" style="position:absolute;flip:y;visibility:visible;mso-wrap-style:square" from="6148,3961" to="6148,5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">
                  <v:stroke endarrow="block"/>
                </v:line>
                <v:line id="Line 37" o:spid="_x0000_s1481" style="position:absolute;flip:y;visibility:visible;mso-wrap-style:square" from="6148,3601" to="6148,3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">
                  <v:stroke endarrow="block"/>
                </v:line>
                <v:line id="Line 38" o:spid="_x0000_s1482" style="position:absolute;flip:y;visibility:visible;mso-wrap-style:square" from="5968,3601" to="5968,3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">
                  <v:stroke endarrow="block"/>
                </v:line>
                <v:line id="Line 39" o:spid="_x0000_s1483" style="position:absolute;flip:y;visibility:visible;mso-wrap-style:square" from="5788,3601" to="5788,3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">
                  <v:stroke endarrow="block"/>
                </v:line>
                <v:line id="Line 40" o:spid="_x0000_s1484" style="position:absolute;flip:y;visibility:visible;mso-wrap-style:square" from="6148,3241" to="6148,3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">
                  <v:stroke endarrow="block"/>
                </v:line>
                <v:line id="Line 41" o:spid="_x0000_s1485" style="position:absolute;flip:y;visibility:visible;mso-wrap-style:square" from="5968,3241" to="5968,3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">
                  <v:stroke endarrow="block"/>
                </v:line>
                <v:line id="Line 42" o:spid="_x0000_s1486" style="position:absolute;flip:y;visibility:visible;mso-wrap-style:square" from="5788,3241" to="5788,3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">
                  <v:stroke endarrow="block"/>
                </v:line>
                <v:shape id="Text Box 43" o:spid="_x0000_s1487" type="#_x0000_t202" style="position:absolute;left:5968;top:4051;width:360;height:1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" stroked="f">
                  <v:fill opacity="0"/>
                  <v:textbox style="layout-flow:vertical;mso-layout-flow-alt:bottom-to-top" inset="0,0,0,0">
                    <w:txbxContent>
                      <w:p w:rsidR="00BE40F8" w:rsidRPr="005013E8" w:rsidRDefault="00BE40F8" w:rsidP="00B233DE">
                        <w:pPr>
                          <w:jc w:val="center"/>
                          <w:rPr>
                            <w:rFonts w:ascii="Times New Roman" w:hAnsi="Times New Roman" w:cs="Times New Roman"/>
                            <w:sz w:val="16"/>
                            <w:szCs w:val="16"/>
                          </w:rPr>
                        </w:pPr>
                        <w:r w:rsidRPr="005013E8">
                          <w:rPr>
                            <w:rFonts w:ascii="Times New Roman" w:hAnsi="Times New Roman" w:cs="Times New Roman"/>
                            <w:sz w:val="16"/>
                            <w:szCs w:val="16"/>
                          </w:rPr>
                          <w:t>Витіснення національного людського потенціалу</w:t>
                        </w:r>
                      </w:p>
                    </w:txbxContent>
                  </v:textbox>
                </v:shape>
                <v:line id="Line 44" o:spid="_x0000_s1488" style="position:absolute;visibility:visible;mso-wrap-style:square" from="4258,2161" to="4258,2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"/>
                <v:line id="Line 45" o:spid="_x0000_s1489" style="position:absolute;visibility:visible;mso-wrap-style:square" from="4258,3691" to="4258,3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"/>
                <v:line id="Line 46" o:spid="_x0000_s1490" style="position:absolute;visibility:visible;mso-wrap-style:square" from="4258,4681" to="4258,47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"/>
                <v:line id="Line 47" o:spid="_x0000_s1491" style="position:absolute;visibility:visible;mso-wrap-style:square" from="4258,5131" to="4258,5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"/>
                <v:line id="Line 48" o:spid="_x0000_s1492" style="position:absolute;visibility:visible;mso-wrap-style:square" from="5698,2161" to="5698,2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"/>
                <v:group id="Group 49" o:spid="_x0000_s1493" style="position:absolute;left:6688;top:2431;width:720;height:1620" coordorigin="8038,2521" coordsize="720,1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">
                  <v:shape id="Text Box 50" o:spid="_x0000_s1494" type="#_x0000_t202" style="position:absolute;left:8038;top:2521;width:270;height:17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">
                    <v:textbox style="layout-flow:vertical;mso-layout-flow-alt:bottom-to-top" inset="0,0,0,0">
                      <w:txbxContent>
                        <w:p w:rsidR="00BE40F8" w:rsidRPr="00BF1188" w:rsidRDefault="00BE40F8" w:rsidP="00B233DE">
                          <w:pPr>
                            <w:jc w:val="center"/>
                            <w:rPr>
                              <w:rFonts w:ascii="Calibri" w:hAnsi="Calibri"/>
                              <w:sz w:val="16"/>
                              <w:szCs w:val="16"/>
                            </w:rPr>
                          </w:pPr>
                          <w:r w:rsidRPr="005013E8">
                            <w:rPr>
                              <w:rFonts w:ascii="Times New Roman" w:hAnsi="Times New Roman" w:cs="Times New Roman"/>
                              <w:i/>
                              <w:sz w:val="16"/>
                              <w:szCs w:val="16"/>
                            </w:rPr>
                            <w:t>Для країн походження</w:t>
                          </w:r>
                        </w:p>
                      </w:txbxContent>
                    </v:textbox>
                  </v:shape>
                  <v:shape id="Text Box 51" o:spid="_x0000_s1495" type="#_x0000_t202" style="position:absolute;left:8308;top:2521;width:450;height:17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">
                    <v:textbox style="layout-flow:vertical;mso-layout-flow-alt:bottom-to-top">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Циклічна міграція (еміграція+рееміграція)</w:t>
                          </w:r>
                        </w:p>
                        <w:p w:rsidR="00BE40F8" w:rsidRPr="00BF1188" w:rsidRDefault="00BE40F8" w:rsidP="00B233DE">
                          <w:pPr>
                            <w:rPr>
                              <w:rFonts w:ascii="Calibri" w:hAnsi="Calibri"/>
                              <w:sz w:val="16"/>
                              <w:szCs w:val="16"/>
                            </w:rPr>
                          </w:pPr>
                        </w:p>
                      </w:txbxContent>
                    </v:textbox>
                  </v:shape>
                </v:group>
                <v:shape id="Text Box 52" o:spid="_x0000_s1496" type="#_x0000_t202" style="position:absolute;left:6688;top:4141;width:45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">
                  <v:textbox style="layout-flow:vertical;mso-layout-flow-alt:bottom-to-top" inset="0,0,0,0">
                    <w:txbxContent>
                      <w:p w:rsidR="00BE40F8" w:rsidRPr="005013E8" w:rsidRDefault="00BE40F8" w:rsidP="00B233DE">
                        <w:pPr>
                          <w:ind w:firstLine="0"/>
                          <w:jc w:val="center"/>
                          <w:rPr>
                            <w:rFonts w:ascii="Times New Roman" w:hAnsi="Times New Roman" w:cs="Times New Roman"/>
                            <w:i/>
                            <w:sz w:val="16"/>
                            <w:szCs w:val="16"/>
                          </w:rPr>
                        </w:pPr>
                        <w:r w:rsidRPr="005013E8">
                          <w:rPr>
                            <w:rFonts w:ascii="Times New Roman" w:hAnsi="Times New Roman" w:cs="Times New Roman"/>
                            <w:i/>
                            <w:sz w:val="16"/>
                            <w:szCs w:val="16"/>
                          </w:rPr>
                          <w:t>Для країн призначення</w:t>
                        </w:r>
                      </w:p>
                      <w:p w:rsidR="00BE40F8" w:rsidRPr="00BF1188" w:rsidRDefault="00BE40F8" w:rsidP="00B233DE">
                        <w:pPr>
                          <w:rPr>
                            <w:rFonts w:ascii="Calibri" w:hAnsi="Calibri"/>
                            <w:sz w:val="16"/>
                            <w:szCs w:val="16"/>
                          </w:rPr>
                        </w:pPr>
                      </w:p>
                    </w:txbxContent>
                  </v:textbox>
                </v:shape>
                <v:shape id="Text Box 53" o:spid="_x0000_s1497" type="#_x0000_t202" style="position:absolute;left:6958;top:4141;width:45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">
                  <v:textbox style="layout-flow:vertical;mso-layout-flow-alt:bottom-to-top">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Селективна імміграція</w:t>
                        </w:r>
                      </w:p>
                      <w:p w:rsidR="00BE40F8" w:rsidRPr="00BF1188" w:rsidRDefault="00BE40F8" w:rsidP="00B233DE">
                        <w:pPr>
                          <w:rPr>
                            <w:rFonts w:ascii="Calibri" w:hAnsi="Calibri"/>
                            <w:sz w:val="16"/>
                            <w:szCs w:val="16"/>
                          </w:rPr>
                        </w:pPr>
                      </w:p>
                    </w:txbxContent>
                  </v:textbox>
                </v:shape>
                <v:shape id="AutoShape 54" o:spid="_x0000_s1498" type="#_x0000_t35" style="position:absolute;left:6306;top:2543;width:1080;height:31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" adj="2700,33943"/>
                <v:shape id="AutoShape 55" o:spid="_x0000_s1499" type="#_x0000_t33" style="position:absolute;left:5788;top:3961;width:1620;height:18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"/>
                <v:line id="Line 56" o:spid="_x0000_s1500" style="position:absolute;visibility:visible;mso-wrap-style:square" from="4888,1981" to="5068,1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"/>
                <v:line id="Line 57" o:spid="_x0000_s1501" style="position:absolute;visibility:visible;mso-wrap-style:square" from="6328,1981" to="6418,1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"/>
                <v:line id="Line 58" o:spid="_x0000_s1502" style="position:absolute;visibility:visible;mso-wrap-style:square" from="7588,1981" to="7768,1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"/>
                <v:shape id="Text Box 59" o:spid="_x0000_s1503" type="#_x0000_t202" style="position:absolute;left:7768;top:2251;width:1260;height:6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">
                  <v:textbox inset="0,0,0,0">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Повернення студентів (накопичення знань і людського потенціалу в країні походження)</w:t>
                        </w:r>
                      </w:p>
                    </w:txbxContent>
                  </v:textbox>
                </v:shape>
                <v:shape id="Text Box 60" o:spid="_x0000_s1504" type="#_x0000_t202" style="position:absolute;left:7768;top:2971;width:126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">
                  <v:textbo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Створення освітніх, дослідницьких та наукових мереж (трансфер знань та ноу-хау)</w:t>
                        </w:r>
                      </w:p>
                    </w:txbxContent>
                  </v:textbox>
                </v:shape>
                <v:shape id="Text Box 61" o:spid="_x0000_s1505" type="#_x0000_t202" style="position:absolute;left:7768;top:3781;width:1260;height:5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">
                  <v:textbox inset="0,0,0,0">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Рееміграція висококваліфікованих спеціалістів (поштовх до інноваційного розвитку)</w:t>
                        </w:r>
                      </w:p>
                    </w:txbxContent>
                  </v:textbox>
                </v:shape>
                <v:shape id="Text Box 62" o:spid="_x0000_s1506" type="#_x0000_t202" style="position:absolute;left:7768;top:4411;width:1260;height:6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">
                  <v:textbox inset="0,0,0,0">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Самозайнятість реемігрантів (організація бізнесу, інвестування в національну економіку)</w:t>
                        </w:r>
                      </w:p>
                    </w:txbxContent>
                  </v:textbox>
                </v:shape>
                <v:shape id="Text Box 63" o:spid="_x0000_s1507" type="#_x0000_t202" style="position:absolute;left:7768;top:5131;width:12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">
                  <v:textbox>
                    <w:txbxContent>
                      <w:p w:rsidR="00BE40F8" w:rsidRPr="005013E8" w:rsidRDefault="00BE40F8" w:rsidP="00B233DE">
                        <w:pPr>
                          <w:ind w:firstLine="0"/>
                          <w:jc w:val="center"/>
                          <w:rPr>
                            <w:rFonts w:ascii="Times New Roman" w:hAnsi="Times New Roman" w:cs="Times New Roman"/>
                            <w:sz w:val="16"/>
                            <w:szCs w:val="16"/>
                          </w:rPr>
                        </w:pPr>
                        <w:r w:rsidRPr="005013E8">
                          <w:rPr>
                            <w:rFonts w:ascii="Times New Roman" w:hAnsi="Times New Roman" w:cs="Times New Roman"/>
                            <w:sz w:val="16"/>
                            <w:szCs w:val="16"/>
                          </w:rPr>
                          <w:t>Грошові перекази як джерело доходу і внутрішнього фінансування</w:t>
                        </w:r>
                      </w:p>
                    </w:txbxContent>
                  </v:textbox>
                </v:shape>
                <v:line id="Line 64" o:spid="_x0000_s1508" style="position:absolute;visibility:visible;mso-wrap-style:square" from="8398,2161" to="8398,2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"/>
                <v:line id="Line 65" o:spid="_x0000_s1509" style="position:absolute;visibility:visible;mso-wrap-style:square" from="8398,2881" to="8398,2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"/>
                <v:line id="Line 66" o:spid="_x0000_s1510" style="position:absolute;visibility:visible;mso-wrap-style:square" from="8398,3691" to="8398,3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"/>
                <v:line id="Line 67" o:spid="_x0000_s1511" style="position:absolute;visibility:visible;mso-wrap-style:square" from="8398,4321" to="8398,44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"/>
                <v:line id="Line 68" o:spid="_x0000_s1512" style="position:absolute;visibility:visible;mso-wrap-style:square" from="8398,5041" to="8398,5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"/>
                <v:line id="Line 69" o:spid="_x0000_s1513" style="position:absolute;visibility:visible;mso-wrap-style:square" from="6238,2701" to="6418,27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">
                  <v:stroke endarrow="block"/>
                </v:line>
                <v:line id="Line 70" o:spid="_x0000_s1514" style="position:absolute;visibility:visible;mso-wrap-style:square" from="6238,3151" to="6418,31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">
                  <v:stroke endarrow="block"/>
                </v:line>
                <v:line id="Line 71" o:spid="_x0000_s1515" style="position:absolute;visibility:visible;mso-wrap-style:square" from="6238,3511" to="6418,35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">
                  <v:stroke endarrow="block"/>
                </v:line>
                <v:line id="Line 72" o:spid="_x0000_s1516" style="position:absolute;visibility:visible;mso-wrap-style:square" from="6238,3871" to="6418,3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">
                  <v:stroke endarrow="block"/>
                </v:line>
                <v:line id="Line 73" o:spid="_x0000_s1517" style="position:absolute;visibility:visible;mso-wrap-style:square" from="5878,4501" to="6418,45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">
                  <v:stroke dashstyle="longDash" endarrow="block"/>
                </v:line>
                <v:line id="Line 74" o:spid="_x0000_s1518" style="position:absolute;visibility:visible;mso-wrap-style:square" from="6058,4951" to="6418,4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">
                  <v:stroke dashstyle="longDash" endarrow="block"/>
                </v:line>
                <v:line id="Line 75" o:spid="_x0000_s1519" style="position:absolute;visibility:visible;mso-wrap-style:square" from="6238,5401" to="6418,54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">
                  <v:stroke endarrow="block"/>
                </v:line>
                <v:line id="Line 76" o:spid="_x0000_s1520" style="position:absolute;visibility:visible;mso-wrap-style:square" from="7588,2701" to="7768,27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">
                  <v:stroke endarrow="block"/>
                </v:line>
                <v:line id="Line 77" o:spid="_x0000_s1521" style="position:absolute;visibility:visible;mso-wrap-style:square" from="7588,3331" to="7768,33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">
                  <v:stroke endarrow="block"/>
                </v:line>
                <v:line id="Line 78" o:spid="_x0000_s1522" style="position:absolute;visibility:visible;mso-wrap-style:square" from="7588,3961" to="7768,39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">
                  <v:stroke endarrow="block"/>
                </v:line>
                <v:line id="Line 79" o:spid="_x0000_s1523" style="position:absolute;visibility:visible;mso-wrap-style:square" from="7588,4681" to="7768,46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">
                  <v:stroke endarrow="block"/>
                </v:line>
                <v:line id="Line 80" o:spid="_x0000_s1524" style="position:absolute;visibility:visible;mso-wrap-style:square" from="7588,5401" to="7768,54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">
                  <v:stroke endarrow="block"/>
                </v:line>
                <w10:anchorlock/>
              </v:group>
            </w:pict>
          </mc:Fallback>
        </mc:AlternateContent>
      </w:r>
    </w:p>
    <w:p w:rsidR="00B233DE" w:rsidRPr="006034A3" w:rsidRDefault="00B233DE" w:rsidP="00B233DE">
      <w:pPr>
        <w:tabs>
          <w:tab w:val="left" w:pos="2880"/>
        </w:tabs>
        <w:ind w:firstLine="709"/>
        <w:jc w:val="center"/>
        <w:rPr>
          <w:rFonts w:ascii="Times New Roman" w:hAnsi="Times New Roman" w:cs="Times New Roman"/>
          <w:b/>
          <w:sz w:val="21"/>
          <w:szCs w:val="21"/>
        </w:rPr>
      </w:pPr>
      <w:r w:rsidRPr="006034A3">
        <w:rPr>
          <w:rFonts w:ascii="Times New Roman" w:hAnsi="Times New Roman" w:cs="Times New Roman"/>
          <w:b/>
          <w:sz w:val="21"/>
          <w:szCs w:val="21"/>
        </w:rPr>
        <w:t>Рис. 4.5. Перерозподіл освітньо-кваліфікаційної складової ЛП в системі сучасних міграційних відносин*</w:t>
      </w:r>
    </w:p>
    <w:p w:rsidR="00B233DE" w:rsidRPr="006034A3" w:rsidRDefault="00B233DE" w:rsidP="00B233DE">
      <w:pPr>
        <w:ind w:firstLine="709"/>
        <w:jc w:val="both"/>
        <w:rPr>
          <w:rFonts w:ascii="Times New Roman" w:hAnsi="Times New Roman" w:cs="Times New Roman"/>
          <w:sz w:val="18"/>
          <w:szCs w:val="18"/>
        </w:rPr>
      </w:pPr>
      <w:r>
        <w:rPr>
          <w:rFonts w:ascii="Times New Roman" w:hAnsi="Times New Roman" w:cs="Times New Roman"/>
          <w:sz w:val="18"/>
          <w:szCs w:val="18"/>
        </w:rPr>
        <w:t xml:space="preserve">* - </w:t>
      </w:r>
      <w:r w:rsidRPr="006034A3">
        <w:rPr>
          <w:rFonts w:ascii="Times New Roman" w:hAnsi="Times New Roman" w:cs="Times New Roman"/>
          <w:sz w:val="18"/>
          <w:szCs w:val="18"/>
        </w:rPr>
        <w:t>сформовано</w:t>
      </w:r>
      <w:r>
        <w:rPr>
          <w:rFonts w:ascii="Times New Roman" w:hAnsi="Times New Roman" w:cs="Times New Roman"/>
          <w:sz w:val="18"/>
          <w:szCs w:val="18"/>
        </w:rPr>
        <w:t xml:space="preserve"> автором розділу на основі [</w:t>
      </w:r>
      <w:r>
        <w:rPr>
          <w:rFonts w:ascii="Times New Roman" w:hAnsi="Times New Roman" w:cs="Times New Roman"/>
          <w:bCs/>
          <w:sz w:val="21"/>
          <w:szCs w:val="21"/>
          <w:highlight w:val="yellow"/>
        </w:rPr>
        <w:fldChar w:fldCharType="begin"/>
      </w:r>
      <w:r>
        <w:rPr>
          <w:rFonts w:ascii="Times New Roman" w:hAnsi="Times New Roman" w:cs="Times New Roman"/>
          <w:sz w:val="18"/>
          <w:szCs w:val="18"/>
        </w:rPr>
        <w:instrText xml:space="preserve"> REF _Ref435182431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z w:val="18"/>
          <w:szCs w:val="18"/>
        </w:rPr>
        <w:t>32</w:t>
      </w:r>
      <w:r>
        <w:rPr>
          <w:rFonts w:ascii="Times New Roman" w:hAnsi="Times New Roman" w:cs="Times New Roman"/>
          <w:bCs/>
          <w:sz w:val="21"/>
          <w:szCs w:val="21"/>
          <w:highlight w:val="yellow"/>
        </w:rPr>
        <w:fldChar w:fldCharType="end"/>
      </w:r>
      <w:r>
        <w:rPr>
          <w:rFonts w:ascii="Times New Roman" w:hAnsi="Times New Roman" w:cs="Times New Roman"/>
          <w:sz w:val="18"/>
          <w:szCs w:val="18"/>
        </w:rPr>
        <w:t xml:space="preserve">, </w:t>
      </w:r>
      <w:r>
        <w:rPr>
          <w:rFonts w:ascii="Times New Roman" w:hAnsi="Times New Roman" w:cs="Times New Roman"/>
          <w:sz w:val="21"/>
          <w:szCs w:val="21"/>
          <w:highlight w:val="yellow"/>
        </w:rPr>
        <w:fldChar w:fldCharType="begin"/>
      </w:r>
      <w:r>
        <w:rPr>
          <w:rFonts w:ascii="Times New Roman" w:hAnsi="Times New Roman" w:cs="Times New Roman"/>
          <w:sz w:val="18"/>
          <w:szCs w:val="18"/>
        </w:rPr>
        <w:instrText xml:space="preserve"> REF _Ref435182218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18"/>
          <w:szCs w:val="18"/>
        </w:rPr>
        <w:t>35</w:t>
      </w:r>
      <w:r>
        <w:rPr>
          <w:rFonts w:ascii="Times New Roman" w:hAnsi="Times New Roman" w:cs="Times New Roman"/>
          <w:sz w:val="21"/>
          <w:szCs w:val="21"/>
          <w:highlight w:val="yellow"/>
        </w:rPr>
        <w:fldChar w:fldCharType="end"/>
      </w:r>
      <w:r>
        <w:rPr>
          <w:rFonts w:ascii="Times New Roman" w:hAnsi="Times New Roman" w:cs="Times New Roman"/>
          <w:sz w:val="18"/>
          <w:szCs w:val="18"/>
        </w:rPr>
        <w:t xml:space="preserve">, </w:t>
      </w:r>
      <w:r>
        <w:rPr>
          <w:rFonts w:ascii="Times New Roman" w:hAnsi="Times New Roman" w:cs="Times New Roman"/>
          <w:sz w:val="21"/>
          <w:szCs w:val="21"/>
          <w:highlight w:val="yellow"/>
        </w:rPr>
        <w:fldChar w:fldCharType="begin"/>
      </w:r>
      <w:r>
        <w:rPr>
          <w:rFonts w:ascii="Times New Roman" w:hAnsi="Times New Roman" w:cs="Times New Roman"/>
          <w:sz w:val="18"/>
          <w:szCs w:val="18"/>
        </w:rPr>
        <w:instrText xml:space="preserve"> REF _Ref435182449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18"/>
          <w:szCs w:val="18"/>
        </w:rPr>
        <w:t>37</w:t>
      </w:r>
      <w:r>
        <w:rPr>
          <w:rFonts w:ascii="Times New Roman" w:hAnsi="Times New Roman" w:cs="Times New Roman"/>
          <w:sz w:val="21"/>
          <w:szCs w:val="21"/>
          <w:highlight w:val="yellow"/>
        </w:rPr>
        <w:fldChar w:fldCharType="end"/>
      </w:r>
      <w:r>
        <w:rPr>
          <w:rFonts w:ascii="Times New Roman" w:hAnsi="Times New Roman" w:cs="Times New Roman"/>
          <w:sz w:val="18"/>
          <w:szCs w:val="18"/>
        </w:rPr>
        <w:t>]</w:t>
      </w:r>
    </w:p>
    <w:p w:rsidR="00B233DE" w:rsidRPr="00C4343A" w:rsidRDefault="00B233DE" w:rsidP="00B233DE">
      <w:pPr>
        <w:tabs>
          <w:tab w:val="left" w:pos="2880"/>
        </w:tabs>
        <w:ind w:firstLine="709"/>
        <w:jc w:val="both"/>
        <w:rPr>
          <w:rFonts w:ascii="Times New Roman" w:hAnsi="Times New Roman" w:cs="Times New Roman"/>
          <w:sz w:val="21"/>
          <w:szCs w:val="21"/>
        </w:rPr>
      </w:pPr>
      <w:r w:rsidRPr="00C4343A">
        <w:rPr>
          <w:rFonts w:ascii="Times New Roman" w:hAnsi="Times New Roman" w:cs="Times New Roman"/>
          <w:sz w:val="21"/>
          <w:szCs w:val="21"/>
        </w:rPr>
        <w:lastRenderedPageBreak/>
        <w:t>Це спричинено постійним зростанням сфери послуг в структурі національних економік. У США вона складає близько 80</w:t>
      </w:r>
      <w:r>
        <w:rPr>
          <w:rFonts w:ascii="Times New Roman" w:hAnsi="Times New Roman" w:cs="Times New Roman"/>
          <w:sz w:val="21"/>
          <w:szCs w:val="21"/>
        </w:rPr>
        <w:t> </w:t>
      </w:r>
      <w:r w:rsidRPr="00C4343A">
        <w:rPr>
          <w:rFonts w:ascii="Times New Roman" w:hAnsi="Times New Roman" w:cs="Times New Roman"/>
          <w:sz w:val="21"/>
          <w:szCs w:val="21"/>
        </w:rPr>
        <w:t>% ВВП та залучає 77</w:t>
      </w:r>
      <w:r>
        <w:rPr>
          <w:rFonts w:ascii="Times New Roman" w:hAnsi="Times New Roman" w:cs="Times New Roman"/>
          <w:sz w:val="21"/>
          <w:szCs w:val="21"/>
        </w:rPr>
        <w:t xml:space="preserve"> </w:t>
      </w:r>
      <w:r w:rsidRPr="00C4343A">
        <w:rPr>
          <w:rFonts w:ascii="Times New Roman" w:hAnsi="Times New Roman" w:cs="Times New Roman"/>
          <w:sz w:val="21"/>
          <w:szCs w:val="21"/>
        </w:rPr>
        <w:t>% трудового потенціалу, у Великобританії відповідно 75</w:t>
      </w:r>
      <w:r>
        <w:rPr>
          <w:rFonts w:ascii="Times New Roman" w:hAnsi="Times New Roman" w:cs="Times New Roman"/>
          <w:sz w:val="21"/>
          <w:szCs w:val="21"/>
        </w:rPr>
        <w:t xml:space="preserve"> </w:t>
      </w:r>
      <w:r w:rsidRPr="00C4343A">
        <w:rPr>
          <w:rFonts w:ascii="Times New Roman" w:hAnsi="Times New Roman" w:cs="Times New Roman"/>
          <w:sz w:val="21"/>
          <w:szCs w:val="21"/>
        </w:rPr>
        <w:t>% та 80</w:t>
      </w:r>
      <w:r>
        <w:rPr>
          <w:rFonts w:ascii="Times New Roman" w:hAnsi="Times New Roman" w:cs="Times New Roman"/>
          <w:sz w:val="21"/>
          <w:szCs w:val="21"/>
        </w:rPr>
        <w:t xml:space="preserve"> %, Японії</w:t>
      </w:r>
      <w:r w:rsidRPr="00C4343A">
        <w:rPr>
          <w:rFonts w:ascii="Times New Roman" w:hAnsi="Times New Roman" w:cs="Times New Roman"/>
          <w:sz w:val="21"/>
          <w:szCs w:val="21"/>
        </w:rPr>
        <w:t xml:space="preserve"> 75</w:t>
      </w:r>
      <w:r>
        <w:rPr>
          <w:rFonts w:ascii="Times New Roman" w:hAnsi="Times New Roman" w:cs="Times New Roman"/>
          <w:sz w:val="21"/>
          <w:szCs w:val="21"/>
        </w:rPr>
        <w:t xml:space="preserve"> </w:t>
      </w:r>
      <w:r w:rsidRPr="00C4343A">
        <w:rPr>
          <w:rFonts w:ascii="Times New Roman" w:hAnsi="Times New Roman" w:cs="Times New Roman"/>
          <w:sz w:val="21"/>
          <w:szCs w:val="21"/>
        </w:rPr>
        <w:t>% і 68</w:t>
      </w:r>
      <w:r>
        <w:rPr>
          <w:rFonts w:ascii="Times New Roman" w:hAnsi="Times New Roman" w:cs="Times New Roman"/>
          <w:sz w:val="21"/>
          <w:szCs w:val="21"/>
        </w:rPr>
        <w:t xml:space="preserve"> </w:t>
      </w:r>
      <w:r w:rsidRPr="00C4343A">
        <w:rPr>
          <w:rFonts w:ascii="Times New Roman" w:hAnsi="Times New Roman" w:cs="Times New Roman"/>
          <w:sz w:val="21"/>
          <w:szCs w:val="21"/>
        </w:rPr>
        <w:t>% [</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_Ref435182462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105</w:t>
      </w:r>
      <w:r>
        <w:rPr>
          <w:rFonts w:ascii="Times New Roman" w:hAnsi="Times New Roman" w:cs="Times New Roman"/>
          <w:sz w:val="21"/>
          <w:szCs w:val="21"/>
          <w:highlight w:val="yellow"/>
          <w:lang w:val="en-US"/>
        </w:rPr>
        <w:fldChar w:fldCharType="end"/>
      </w:r>
      <w:r w:rsidRPr="00C4343A">
        <w:rPr>
          <w:rFonts w:ascii="Times New Roman" w:hAnsi="Times New Roman" w:cs="Times New Roman"/>
          <w:sz w:val="21"/>
          <w:szCs w:val="21"/>
        </w:rPr>
        <w:t>]. За вказаних тенденцій економічного розвитку, високого рівня освіти і умов праці у провідному секторі, відбувається витіснення національних трудових ресурсів зі сфер промислового виробництва, сільського та домашнього господарств, що утворюють сектор робочих місць, непривабливий для місцевого населення через відносно низький рівень оплати праці та високу трудомісткість.</w:t>
      </w:r>
    </w:p>
    <w:p w:rsidR="00B233DE" w:rsidRDefault="00B233DE" w:rsidP="00B233DE">
      <w:pPr>
        <w:ind w:firstLine="709"/>
        <w:jc w:val="both"/>
        <w:rPr>
          <w:rFonts w:ascii="Times New Roman" w:hAnsi="Times New Roman" w:cs="Times New Roman"/>
          <w:sz w:val="21"/>
          <w:szCs w:val="21"/>
        </w:rPr>
      </w:pPr>
      <w:r w:rsidRPr="00C4343A">
        <w:rPr>
          <w:rFonts w:ascii="Times New Roman" w:hAnsi="Times New Roman" w:cs="Times New Roman"/>
          <w:sz w:val="21"/>
          <w:szCs w:val="21"/>
        </w:rPr>
        <w:t>Попит на робочу силу в даних сферах сприяє потокам мігрантів середньої та низької кваліфікації, що займають вільні робочі місця.</w:t>
      </w:r>
    </w:p>
    <w:p w:rsidR="00B233DE" w:rsidRPr="00C4343A" w:rsidRDefault="00B233DE" w:rsidP="00B233DE">
      <w:pPr>
        <w:ind w:firstLine="709"/>
        <w:jc w:val="both"/>
        <w:rPr>
          <w:rFonts w:ascii="Times New Roman" w:hAnsi="Times New Roman" w:cs="Times New Roman"/>
          <w:sz w:val="21"/>
          <w:szCs w:val="21"/>
        </w:rPr>
      </w:pPr>
      <w:r w:rsidRPr="00C4343A">
        <w:rPr>
          <w:rFonts w:ascii="Times New Roman" w:hAnsi="Times New Roman" w:cs="Times New Roman"/>
          <w:sz w:val="21"/>
          <w:szCs w:val="21"/>
        </w:rPr>
        <w:t>Як наслідок, розвинуті країни застосовують політику селективної імміграції, встановлюючи квоти за переліком відповідних професій та кваліфікацій, в яких існує дефіцит на вітчизняному ринку праці. Селективна імміграція сприяє підвищенню підприємницької активності, збільшенню місткості споживчого ринку та зниження безробіття в країні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_Ref435182425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29</w:t>
      </w:r>
      <w:r>
        <w:rPr>
          <w:rFonts w:ascii="Times New Roman" w:hAnsi="Times New Roman" w:cs="Times New Roman"/>
          <w:sz w:val="21"/>
          <w:szCs w:val="21"/>
          <w:highlight w:val="yellow"/>
        </w:rPr>
        <w:fldChar w:fldCharType="end"/>
      </w:r>
      <w:r w:rsidRPr="00C4343A">
        <w:rPr>
          <w:rFonts w:ascii="Times New Roman" w:hAnsi="Times New Roman" w:cs="Times New Roman"/>
          <w:sz w:val="21"/>
          <w:szCs w:val="21"/>
        </w:rPr>
        <w:t>, с. 127].</w:t>
      </w:r>
    </w:p>
    <w:p w:rsidR="00B233DE" w:rsidRPr="00C4343A" w:rsidRDefault="00B233DE" w:rsidP="00B233DE">
      <w:pPr>
        <w:tabs>
          <w:tab w:val="left" w:pos="2880"/>
        </w:tabs>
        <w:ind w:firstLine="709"/>
        <w:jc w:val="both"/>
        <w:rPr>
          <w:rFonts w:ascii="Times New Roman" w:hAnsi="Times New Roman" w:cs="Times New Roman"/>
          <w:sz w:val="21"/>
          <w:szCs w:val="21"/>
        </w:rPr>
      </w:pPr>
      <w:r w:rsidRPr="00C4343A">
        <w:rPr>
          <w:rFonts w:ascii="Times New Roman" w:hAnsi="Times New Roman" w:cs="Times New Roman"/>
          <w:sz w:val="21"/>
          <w:szCs w:val="21"/>
        </w:rPr>
        <w:t xml:space="preserve">Імміграція підтримує задоволення потреби ринку праці країн призначення на двох рівнях: віковому та професійно-кваліфікаційному. Вікова нестача економічно активного населення компенсується за допомогою вікового відбору іммігрантів та народженню дітей іммігрантами в середині країни. Задоволення професійно-кваліфікаційної потреби ринку праці здійснюється шляхом навчання, адаптації мігрантів, залучення працівників необхідної кваліфікації (рис. </w:t>
      </w:r>
      <w:r>
        <w:rPr>
          <w:rFonts w:ascii="Times New Roman" w:hAnsi="Times New Roman" w:cs="Times New Roman"/>
          <w:sz w:val="21"/>
          <w:szCs w:val="21"/>
        </w:rPr>
        <w:t>4.6</w:t>
      </w:r>
      <w:r w:rsidRPr="00C4343A">
        <w:rPr>
          <w:rFonts w:ascii="Times New Roman" w:hAnsi="Times New Roman" w:cs="Times New Roman"/>
          <w:sz w:val="21"/>
          <w:szCs w:val="21"/>
        </w:rPr>
        <w:t>).</w:t>
      </w:r>
    </w:p>
    <w:p w:rsidR="00B233DE" w:rsidRPr="00C4343A" w:rsidRDefault="00B233DE" w:rsidP="00B233DE">
      <w:pPr>
        <w:tabs>
          <w:tab w:val="left" w:pos="2880"/>
        </w:tabs>
        <w:ind w:firstLine="709"/>
        <w:jc w:val="both"/>
        <w:rPr>
          <w:rFonts w:ascii="Times New Roman" w:hAnsi="Times New Roman" w:cs="Times New Roman"/>
          <w:sz w:val="21"/>
          <w:szCs w:val="21"/>
          <w:lang w:val="ru-RU"/>
        </w:rPr>
      </w:pPr>
      <w:r w:rsidRPr="00C4343A">
        <w:rPr>
          <w:rFonts w:ascii="Times New Roman" w:hAnsi="Times New Roman" w:cs="Times New Roman"/>
          <w:sz w:val="21"/>
          <w:szCs w:val="21"/>
        </w:rPr>
        <w:t>Еміграція сприяє якісному та кількісному відтворенню людського потенціалу завдяки двом основним ефектам: грошовим переказам та подальшій рееміграції. Дослідження світового банку економік країн із значною часткою грошових переказів у ВВП (Таджикистан 45,5</w:t>
      </w:r>
      <w:r>
        <w:rPr>
          <w:rFonts w:ascii="Times New Roman" w:hAnsi="Times New Roman" w:cs="Times New Roman"/>
          <w:sz w:val="21"/>
          <w:szCs w:val="21"/>
        </w:rPr>
        <w:t xml:space="preserve"> </w:t>
      </w:r>
      <w:r w:rsidRPr="00C4343A">
        <w:rPr>
          <w:rFonts w:ascii="Times New Roman" w:hAnsi="Times New Roman" w:cs="Times New Roman"/>
          <w:sz w:val="21"/>
          <w:szCs w:val="21"/>
        </w:rPr>
        <w:t>%, Молдова 38,3</w:t>
      </w:r>
      <w:r>
        <w:rPr>
          <w:rFonts w:ascii="Times New Roman" w:hAnsi="Times New Roman" w:cs="Times New Roman"/>
          <w:sz w:val="21"/>
          <w:szCs w:val="21"/>
        </w:rPr>
        <w:t xml:space="preserve"> </w:t>
      </w:r>
      <w:r w:rsidRPr="00C4343A">
        <w:rPr>
          <w:rFonts w:ascii="Times New Roman" w:hAnsi="Times New Roman" w:cs="Times New Roman"/>
          <w:sz w:val="21"/>
          <w:szCs w:val="21"/>
        </w:rPr>
        <w:t>%, Ліван 24,4</w:t>
      </w:r>
      <w:r>
        <w:rPr>
          <w:rFonts w:ascii="Times New Roman" w:hAnsi="Times New Roman" w:cs="Times New Roman"/>
          <w:sz w:val="21"/>
          <w:szCs w:val="21"/>
        </w:rPr>
        <w:t xml:space="preserve"> </w:t>
      </w:r>
      <w:r w:rsidRPr="00C4343A">
        <w:rPr>
          <w:rFonts w:ascii="Times New Roman" w:hAnsi="Times New Roman" w:cs="Times New Roman"/>
          <w:sz w:val="21"/>
          <w:szCs w:val="21"/>
        </w:rPr>
        <w:t>%, Філіппіни 11,6</w:t>
      </w:r>
      <w:r>
        <w:rPr>
          <w:rFonts w:ascii="Times New Roman" w:hAnsi="Times New Roman" w:cs="Times New Roman"/>
          <w:sz w:val="21"/>
          <w:szCs w:val="21"/>
        </w:rPr>
        <w:t xml:space="preserve"> </w:t>
      </w:r>
      <w:r w:rsidRPr="00C4343A">
        <w:rPr>
          <w:rFonts w:ascii="Times New Roman" w:hAnsi="Times New Roman" w:cs="Times New Roman"/>
          <w:sz w:val="21"/>
          <w:szCs w:val="21"/>
        </w:rPr>
        <w:t>%, Албанія 10,1</w:t>
      </w:r>
      <w:r>
        <w:rPr>
          <w:rFonts w:ascii="Times New Roman" w:hAnsi="Times New Roman" w:cs="Times New Roman"/>
          <w:sz w:val="21"/>
          <w:szCs w:val="21"/>
        </w:rPr>
        <w:t xml:space="preserve"> </w:t>
      </w:r>
      <w:r w:rsidRPr="00C4343A">
        <w:rPr>
          <w:rFonts w:ascii="Times New Roman" w:hAnsi="Times New Roman" w:cs="Times New Roman"/>
          <w:sz w:val="21"/>
          <w:szCs w:val="21"/>
        </w:rPr>
        <w:t>%) підтверджують позитивний вплив грошових переказів на економічне зростання, а отже й на фінансування розвитку людського потенціалу в середині країни [</w:t>
      </w:r>
      <w:r>
        <w:rPr>
          <w:rFonts w:ascii="Times New Roman" w:hAnsi="Times New Roman" w:cs="Times New Roman"/>
          <w:sz w:val="21"/>
          <w:szCs w:val="21"/>
          <w:highlight w:val="yellow"/>
          <w:lang w:val="en-GB"/>
        </w:rPr>
        <w:fldChar w:fldCharType="begin"/>
      </w:r>
      <w:r>
        <w:rPr>
          <w:rFonts w:ascii="Times New Roman" w:hAnsi="Times New Roman" w:cs="Times New Roman"/>
          <w:sz w:val="21"/>
          <w:szCs w:val="21"/>
        </w:rPr>
        <w:instrText xml:space="preserve"> REF _Ref435182515 \r \h </w:instrText>
      </w:r>
      <w:r>
        <w:rPr>
          <w:rFonts w:ascii="Times New Roman" w:hAnsi="Times New Roman" w:cs="Times New Roman"/>
          <w:sz w:val="21"/>
          <w:szCs w:val="21"/>
          <w:highlight w:val="yellow"/>
          <w:lang w:val="en-GB"/>
        </w:rPr>
      </w:r>
      <w:r>
        <w:rPr>
          <w:rFonts w:ascii="Times New Roman" w:hAnsi="Times New Roman" w:cs="Times New Roman"/>
          <w:sz w:val="21"/>
          <w:szCs w:val="21"/>
          <w:highlight w:val="yellow"/>
          <w:lang w:val="en-GB"/>
        </w:rPr>
        <w:fldChar w:fldCharType="separate"/>
      </w:r>
      <w:r>
        <w:rPr>
          <w:rFonts w:ascii="Times New Roman" w:hAnsi="Times New Roman" w:cs="Times New Roman"/>
          <w:sz w:val="21"/>
          <w:szCs w:val="21"/>
        </w:rPr>
        <w:t>78</w:t>
      </w:r>
      <w:r>
        <w:rPr>
          <w:rFonts w:ascii="Times New Roman" w:hAnsi="Times New Roman" w:cs="Times New Roman"/>
          <w:sz w:val="21"/>
          <w:szCs w:val="21"/>
          <w:highlight w:val="yellow"/>
          <w:lang w:val="en-GB"/>
        </w:rPr>
        <w:fldChar w:fldCharType="end"/>
      </w:r>
      <w:r w:rsidRPr="00C4343A">
        <w:rPr>
          <w:rFonts w:ascii="Times New Roman" w:hAnsi="Times New Roman" w:cs="Times New Roman"/>
          <w:sz w:val="21"/>
          <w:szCs w:val="21"/>
        </w:rPr>
        <w:t xml:space="preserve">, </w:t>
      </w:r>
      <w:r w:rsidRPr="00C4343A">
        <w:rPr>
          <w:rFonts w:ascii="Times New Roman" w:hAnsi="Times New Roman" w:cs="Times New Roman"/>
          <w:sz w:val="21"/>
          <w:szCs w:val="21"/>
          <w:lang w:val="en-US"/>
        </w:rPr>
        <w:t>c</w:t>
      </w:r>
      <w:r w:rsidRPr="00C4343A">
        <w:rPr>
          <w:rFonts w:ascii="Times New Roman" w:hAnsi="Times New Roman" w:cs="Times New Roman"/>
          <w:sz w:val="21"/>
          <w:szCs w:val="21"/>
        </w:rPr>
        <w:t xml:space="preserve">. 75]. Це можливо за підвищення доходів домогосподарств, що зумовлює збільшення витрат на освіту, охорону здоров’я, загального рівня життя. </w:t>
      </w:r>
    </w:p>
    <w:p w:rsidR="00B233DE" w:rsidRPr="004350FA" w:rsidRDefault="00B233DE" w:rsidP="00B233DE">
      <w:pPr>
        <w:tabs>
          <w:tab w:val="left" w:pos="2880"/>
        </w:tabs>
        <w:ind w:firstLine="709"/>
        <w:rPr>
          <w:sz w:val="21"/>
          <w:szCs w:val="21"/>
          <w:lang w:val="ru-RU"/>
        </w:rPr>
      </w:pPr>
    </w:p>
    <w:p w:rsidR="00B233DE" w:rsidRPr="00935976" w:rsidRDefault="00B233DE" w:rsidP="00B233DE">
      <w:pPr>
        <w:tabs>
          <w:tab w:val="left" w:pos="2880"/>
        </w:tabs>
        <w:ind w:firstLine="0"/>
        <w:jc w:val="center"/>
        <w:rPr>
          <w:rFonts w:ascii="Times New Roman" w:hAnsi="Times New Roman" w:cs="Times New Roman"/>
          <w:b/>
          <w:sz w:val="21"/>
          <w:szCs w:val="21"/>
        </w:rPr>
      </w:pPr>
      <w:r>
        <w:rPr>
          <w:noProof/>
          <w:sz w:val="24"/>
          <w:szCs w:val="20"/>
          <w:lang w:val="ru-RU" w:eastAsia="ru-RU"/>
        </w:rPr>
        <w:lastRenderedPageBreak/>
        <mc:AlternateContent>
          <mc:Choice Requires="wpg">
            <w:drawing>
              <wp:anchor distT="0" distB="0" distL="114300" distR="114300" simplePos="0" relativeHeight="251688960" behindDoc="0" locked="0" layoutInCell="1" allowOverlap="1" wp14:anchorId="2F22E473" wp14:editId="68A2D5E9">
                <wp:simplePos x="0" y="0"/>
                <wp:positionH relativeFrom="column">
                  <wp:posOffset>-17780</wp:posOffset>
                </wp:positionH>
                <wp:positionV relativeFrom="paragraph">
                  <wp:posOffset>-170180</wp:posOffset>
                </wp:positionV>
                <wp:extent cx="3842385" cy="5774055"/>
                <wp:effectExtent l="0" t="0" r="24765" b="17145"/>
                <wp:wrapTopAndBottom/>
                <wp:docPr id="142" name="Группа 1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42385" cy="5774055"/>
                          <a:chOff x="1521" y="594"/>
                          <a:chExt cx="9540" cy="13491"/>
                        </a:xfrm>
                      </wpg:grpSpPr>
                      <wpg:grpSp>
                        <wpg:cNvPr id="143" name="Group 160"/>
                        <wpg:cNvGrpSpPr>
                          <a:grpSpLocks/>
                        </wpg:cNvGrpSpPr>
                        <wpg:grpSpPr bwMode="auto">
                          <a:xfrm>
                            <a:off x="1521" y="594"/>
                            <a:ext cx="9540" cy="13491"/>
                            <a:chOff x="1521" y="9"/>
                            <a:chExt cx="9900" cy="12963"/>
                          </a:xfrm>
                        </wpg:grpSpPr>
                        <wpg:grpSp>
                          <wpg:cNvPr id="144" name="Group 161"/>
                          <wpg:cNvGrpSpPr>
                            <a:grpSpLocks/>
                          </wpg:cNvGrpSpPr>
                          <wpg:grpSpPr bwMode="auto">
                            <a:xfrm>
                              <a:off x="1521" y="9"/>
                              <a:ext cx="9900" cy="12963"/>
                              <a:chOff x="1161" y="594"/>
                              <a:chExt cx="9900" cy="12963"/>
                            </a:xfrm>
                          </wpg:grpSpPr>
                          <wpg:grpSp>
                            <wpg:cNvPr id="145" name="Group 162"/>
                            <wpg:cNvGrpSpPr>
                              <a:grpSpLocks/>
                            </wpg:cNvGrpSpPr>
                            <wpg:grpSpPr bwMode="auto">
                              <a:xfrm>
                                <a:off x="1161" y="594"/>
                                <a:ext cx="9900" cy="12963"/>
                                <a:chOff x="1161" y="594"/>
                                <a:chExt cx="9900" cy="12963"/>
                              </a:xfrm>
                            </wpg:grpSpPr>
                            <wpg:grpSp>
                              <wpg:cNvPr id="146" name="Group 163"/>
                              <wpg:cNvGrpSpPr>
                                <a:grpSpLocks/>
                              </wpg:cNvGrpSpPr>
                              <wpg:grpSpPr bwMode="auto">
                                <a:xfrm>
                                  <a:off x="1161" y="10314"/>
                                  <a:ext cx="9900" cy="3243"/>
                                  <a:chOff x="1161" y="954"/>
                                  <a:chExt cx="9900" cy="3243"/>
                                </a:xfrm>
                              </wpg:grpSpPr>
                              <wpg:grpSp>
                                <wpg:cNvPr id="147" name="Group 164"/>
                                <wpg:cNvGrpSpPr>
                                  <a:grpSpLocks/>
                                </wpg:cNvGrpSpPr>
                                <wpg:grpSpPr bwMode="auto">
                                  <a:xfrm>
                                    <a:off x="1161" y="1134"/>
                                    <a:ext cx="8100" cy="3060"/>
                                    <a:chOff x="1341" y="10038"/>
                                    <a:chExt cx="8100" cy="3060"/>
                                  </a:xfrm>
                                </wpg:grpSpPr>
                                <wps:wsp>
                                  <wps:cNvPr id="148" name="Rectangle 165"/>
                                  <wps:cNvSpPr>
                                    <a:spLocks noChangeArrowheads="1"/>
                                  </wps:cNvSpPr>
                                  <wps:spPr bwMode="auto">
                                    <a:xfrm>
                                      <a:off x="3681" y="10038"/>
                                      <a:ext cx="3240" cy="540"/>
                                    </a:xfrm>
                                    <a:prstGeom prst="rect">
                                      <a:avLst/>
                                    </a:prstGeom>
                                    <a:solidFill>
                                      <a:srgbClr val="FFFFFF"/>
                                    </a:solidFill>
                                    <a:ln w="19050">
                                      <a:solidFill>
                                        <a:srgbClr val="000000"/>
                                      </a:solidFill>
                                      <a:miter lim="800000"/>
                                      <a:headEnd/>
                                      <a:tailEnd/>
                                    </a:ln>
                                  </wps:spPr>
                                  <wps:txb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Грошові перекази</w:t>
                                        </w:r>
                                      </w:p>
                                      <w:p w:rsidR="00BE40F8" w:rsidRPr="00BF1188" w:rsidRDefault="00BE40F8" w:rsidP="00B233DE">
                                        <w:pPr>
                                          <w:jc w:val="center"/>
                                          <w:rPr>
                                            <w:rFonts w:ascii="Calibri" w:hAnsi="Calibri"/>
                                            <w:sz w:val="16"/>
                                            <w:szCs w:val="16"/>
                                          </w:rPr>
                                        </w:pPr>
                                      </w:p>
                                    </w:txbxContent>
                                  </wps:txbx>
                                  <wps:bodyPr rot="0" vert="horz" wrap="square" lIns="91440" tIns="45720" rIns="91440" bIns="45720" anchor="t" anchorCtr="0" upright="1">
                                    <a:noAutofit/>
                                  </wps:bodyPr>
                                </wps:wsp>
                                <wpg:grpSp>
                                  <wpg:cNvPr id="149" name="Group 166"/>
                                  <wpg:cNvGrpSpPr>
                                    <a:grpSpLocks/>
                                  </wpg:cNvGrpSpPr>
                                  <wpg:grpSpPr bwMode="auto">
                                    <a:xfrm>
                                      <a:off x="1341" y="10938"/>
                                      <a:ext cx="8100" cy="2160"/>
                                      <a:chOff x="8343" y="2982"/>
                                      <a:chExt cx="3240" cy="3600"/>
                                    </a:xfrm>
                                  </wpg:grpSpPr>
                                  <wps:wsp>
                                    <wps:cNvPr id="150" name="Rectangle 167"/>
                                    <wps:cNvSpPr>
                                      <a:spLocks noChangeArrowheads="1"/>
                                    </wps:cNvSpPr>
                                    <wps:spPr bwMode="auto">
                                      <a:xfrm>
                                        <a:off x="8343" y="2982"/>
                                        <a:ext cx="1440" cy="1080"/>
                                      </a:xfrm>
                                      <a:prstGeom prst="rect">
                                        <a:avLst/>
                                      </a:prstGeom>
                                      <a:solidFill>
                                        <a:srgbClr val="FFFFFF"/>
                                      </a:solidFill>
                                      <a:ln w="9525">
                                        <a:solidFill>
                                          <a:srgbClr val="000000"/>
                                        </a:solidFill>
                                        <a:miter lim="800000"/>
                                        <a:headEnd/>
                                        <a:tailEnd/>
                                      </a:ln>
                                    </wps:spPr>
                                    <wps:txb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Витрати на освіту та охорону здоров’я</w:t>
                                          </w:r>
                                        </w:p>
                                      </w:txbxContent>
                                    </wps:txbx>
                                    <wps:bodyPr rot="0" vert="horz" wrap="square" lIns="0" tIns="0" rIns="0" bIns="0" anchor="ctr" anchorCtr="0" upright="1">
                                      <a:noAutofit/>
                                    </wps:bodyPr>
                                  </wps:wsp>
                                  <wps:wsp>
                                    <wps:cNvPr id="151" name="Rectangle 168"/>
                                    <wps:cNvSpPr>
                                      <a:spLocks noChangeArrowheads="1"/>
                                    </wps:cNvSpPr>
                                    <wps:spPr bwMode="auto">
                                      <a:xfrm>
                                        <a:off x="8343" y="4422"/>
                                        <a:ext cx="1440" cy="1080"/>
                                      </a:xfrm>
                                      <a:prstGeom prst="rect">
                                        <a:avLst/>
                                      </a:prstGeom>
                                      <a:solidFill>
                                        <a:srgbClr val="FFFFFF"/>
                                      </a:solidFill>
                                      <a:ln w="9525">
                                        <a:solidFill>
                                          <a:srgbClr val="000000"/>
                                        </a:solidFill>
                                        <a:miter lim="800000"/>
                                        <a:headEnd/>
                                        <a:tailEnd/>
                                      </a:ln>
                                    </wps:spPr>
                                    <wps:txb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Покращення рівня життя сімей емігрантів</w:t>
                                          </w:r>
                                        </w:p>
                                      </w:txbxContent>
                                    </wps:txbx>
                                    <wps:bodyPr rot="0" vert="horz" wrap="square" lIns="0" tIns="0" rIns="0" bIns="0" anchor="ctr" anchorCtr="0" upright="1">
                                      <a:noAutofit/>
                                    </wps:bodyPr>
                                  </wps:wsp>
                                  <wps:wsp>
                                    <wps:cNvPr id="152" name="Line 169"/>
                                    <wps:cNvCnPr/>
                                    <wps:spPr bwMode="auto">
                                      <a:xfrm>
                                        <a:off x="8883" y="4062"/>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3" name="Rectangle 170"/>
                                    <wps:cNvSpPr>
                                      <a:spLocks noChangeArrowheads="1"/>
                                    </wps:cNvSpPr>
                                    <wps:spPr bwMode="auto">
                                      <a:xfrm>
                                        <a:off x="10143" y="2982"/>
                                        <a:ext cx="1440" cy="1080"/>
                                      </a:xfrm>
                                      <a:prstGeom prst="rect">
                                        <a:avLst/>
                                      </a:prstGeom>
                                      <a:solidFill>
                                        <a:srgbClr val="FFFFFF"/>
                                      </a:solidFill>
                                      <a:ln w="9525">
                                        <a:solidFill>
                                          <a:srgbClr val="000000"/>
                                        </a:solidFill>
                                        <a:miter lim="800000"/>
                                        <a:headEnd/>
                                        <a:tailEnd/>
                                      </a:ln>
                                    </wps:spPr>
                                    <wps:txb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Мультиплікативний ефект</w:t>
                                          </w:r>
                                        </w:p>
                                      </w:txbxContent>
                                    </wps:txbx>
                                    <wps:bodyPr rot="0" vert="horz" wrap="square" lIns="91440" tIns="45720" rIns="91440" bIns="45720" anchor="t" anchorCtr="0" upright="1">
                                      <a:noAutofit/>
                                    </wps:bodyPr>
                                  </wps:wsp>
                                  <wps:wsp>
                                    <wps:cNvPr id="154" name="Rectangle 171"/>
                                    <wps:cNvSpPr>
                                      <a:spLocks noChangeArrowheads="1"/>
                                    </wps:cNvSpPr>
                                    <wps:spPr bwMode="auto">
                                      <a:xfrm>
                                        <a:off x="10143" y="4422"/>
                                        <a:ext cx="1440" cy="1080"/>
                                      </a:xfrm>
                                      <a:prstGeom prst="rect">
                                        <a:avLst/>
                                      </a:prstGeom>
                                      <a:solidFill>
                                        <a:srgbClr val="FFFFFF"/>
                                      </a:solidFill>
                                      <a:ln w="9525">
                                        <a:solidFill>
                                          <a:srgbClr val="000000"/>
                                        </a:solidFill>
                                        <a:miter lim="800000"/>
                                        <a:headEnd/>
                                        <a:tailEnd/>
                                      </a:ln>
                                    </wps:spPr>
                                    <wps:txb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Збільшення ВВП на душу населення</w:t>
                                          </w:r>
                                        </w:p>
                                      </w:txbxContent>
                                    </wps:txbx>
                                    <wps:bodyPr rot="0" vert="horz" wrap="square" lIns="0" tIns="0" rIns="0" bIns="0" anchor="ctr" anchorCtr="0" upright="1">
                                      <a:noAutofit/>
                                    </wps:bodyPr>
                                  </wps:wsp>
                                  <wps:wsp>
                                    <wps:cNvPr id="155" name="Rectangle 172"/>
                                    <wps:cNvSpPr>
                                      <a:spLocks noChangeArrowheads="1"/>
                                    </wps:cNvSpPr>
                                    <wps:spPr bwMode="auto">
                                      <a:xfrm>
                                        <a:off x="8343" y="5862"/>
                                        <a:ext cx="3240" cy="720"/>
                                      </a:xfrm>
                                      <a:prstGeom prst="rect">
                                        <a:avLst/>
                                      </a:prstGeom>
                                      <a:solidFill>
                                        <a:srgbClr val="FFFFFF"/>
                                      </a:solidFill>
                                      <a:ln w="9525">
                                        <a:solidFill>
                                          <a:srgbClr val="000000"/>
                                        </a:solidFill>
                                        <a:miter lim="800000"/>
                                        <a:headEnd/>
                                        <a:tailEnd/>
                                      </a:ln>
                                    </wps:spPr>
                                    <wps:txb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Загальне фінансування людського потенціалу країни</w:t>
                                          </w:r>
                                        </w:p>
                                      </w:txbxContent>
                                    </wps:txbx>
                                    <wps:bodyPr rot="0" vert="horz" wrap="square" lIns="0" tIns="0" rIns="0" bIns="0" anchor="ctr" anchorCtr="0" upright="1">
                                      <a:noAutofit/>
                                    </wps:bodyPr>
                                  </wps:wsp>
                                  <wps:wsp>
                                    <wps:cNvPr id="156" name="Line 173"/>
                                    <wps:cNvCnPr/>
                                    <wps:spPr bwMode="auto">
                                      <a:xfrm>
                                        <a:off x="10863" y="4062"/>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7" name="Line 174"/>
                                    <wps:cNvCnPr/>
                                    <wps:spPr bwMode="auto">
                                      <a:xfrm>
                                        <a:off x="8883" y="5502"/>
                                        <a:ext cx="108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8" name="Line 175"/>
                                    <wps:cNvCnPr/>
                                    <wps:spPr bwMode="auto">
                                      <a:xfrm flipH="1">
                                        <a:off x="9963" y="5502"/>
                                        <a:ext cx="90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159" name="Line 176"/>
                                  <wps:cNvCnPr/>
                                  <wps:spPr bwMode="auto">
                                    <a:xfrm flipH="1">
                                      <a:off x="2781" y="10494"/>
                                      <a:ext cx="90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4" name="Line 177"/>
                                  <wps:cNvCnPr/>
                                  <wps:spPr bwMode="auto">
                                    <a:xfrm>
                                      <a:off x="6921" y="10494"/>
                                      <a:ext cx="72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225" name="Rectangle 178"/>
                                <wps:cNvSpPr>
                                  <a:spLocks noChangeArrowheads="1"/>
                                </wps:cNvSpPr>
                                <wps:spPr bwMode="auto">
                                  <a:xfrm>
                                    <a:off x="10161" y="954"/>
                                    <a:ext cx="900" cy="3243"/>
                                  </a:xfrm>
                                  <a:prstGeom prst="rect">
                                    <a:avLst/>
                                  </a:prstGeom>
                                  <a:solidFill>
                                    <a:srgbClr val="FFFFFF"/>
                                  </a:solidFill>
                                  <a:ln w="9525">
                                    <a:solidFill>
                                      <a:srgbClr val="000000"/>
                                    </a:solidFill>
                                    <a:miter lim="800000"/>
                                    <a:headEnd/>
                                    <a:tailEnd/>
                                  </a:ln>
                                </wps:spPr>
                                <wps:txb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якісне відтворення людського потенціалу</w:t>
                                      </w:r>
                                    </w:p>
                                  </w:txbxContent>
                                </wps:txbx>
                                <wps:bodyPr rot="0" vert="vert270" wrap="square" lIns="18000" tIns="10800" rIns="18000" bIns="10800" anchor="t" anchorCtr="0" upright="1">
                                  <a:noAutofit/>
                                </wps:bodyPr>
                              </wps:wsp>
                              <wps:wsp>
                                <wps:cNvPr id="226" name="Line 179"/>
                                <wps:cNvCnPr/>
                                <wps:spPr bwMode="auto">
                                  <a:xfrm>
                                    <a:off x="9261" y="3114"/>
                                    <a:ext cx="900"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g:grpSp>
                            <wpg:grpSp>
                              <wpg:cNvPr id="227" name="Group 180"/>
                              <wpg:cNvGrpSpPr>
                                <a:grpSpLocks/>
                              </wpg:cNvGrpSpPr>
                              <wpg:grpSpPr bwMode="auto">
                                <a:xfrm>
                                  <a:off x="1161" y="594"/>
                                  <a:ext cx="9900" cy="9485"/>
                                  <a:chOff x="1161" y="4554"/>
                                  <a:chExt cx="9900" cy="9485"/>
                                </a:xfrm>
                              </wpg:grpSpPr>
                              <wpg:grpSp>
                                <wpg:cNvPr id="228" name="Group 181"/>
                                <wpg:cNvGrpSpPr>
                                  <a:grpSpLocks/>
                                </wpg:cNvGrpSpPr>
                                <wpg:grpSpPr bwMode="auto">
                                  <a:xfrm>
                                    <a:off x="1227" y="12114"/>
                                    <a:ext cx="8214" cy="1925"/>
                                    <a:chOff x="1227" y="7614"/>
                                    <a:chExt cx="8214" cy="1925"/>
                                  </a:xfrm>
                                </wpg:grpSpPr>
                                <wps:wsp>
                                  <wps:cNvPr id="229" name="Rectangle 182"/>
                                  <wps:cNvSpPr>
                                    <a:spLocks noChangeArrowheads="1"/>
                                  </wps:cNvSpPr>
                                  <wps:spPr bwMode="auto">
                                    <a:xfrm>
                                      <a:off x="3681" y="7614"/>
                                      <a:ext cx="3240" cy="540"/>
                                    </a:xfrm>
                                    <a:prstGeom prst="rect">
                                      <a:avLst/>
                                    </a:prstGeom>
                                    <a:solidFill>
                                      <a:srgbClr val="FFFFFF"/>
                                    </a:solidFill>
                                    <a:ln w="19050">
                                      <a:solidFill>
                                        <a:srgbClr val="000000"/>
                                      </a:solidFill>
                                      <a:miter lim="800000"/>
                                      <a:headEnd/>
                                      <a:tailEnd/>
                                    </a:ln>
                                  </wps:spPr>
                                  <wps:txb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Рееміграція</w:t>
                                        </w:r>
                                      </w:p>
                                      <w:p w:rsidR="00BE40F8" w:rsidRPr="00BF1188" w:rsidRDefault="00BE40F8" w:rsidP="00B233DE">
                                        <w:pPr>
                                          <w:jc w:val="center"/>
                                          <w:rPr>
                                            <w:rFonts w:ascii="Calibri" w:hAnsi="Calibri"/>
                                            <w:sz w:val="16"/>
                                            <w:szCs w:val="16"/>
                                          </w:rPr>
                                        </w:pPr>
                                      </w:p>
                                    </w:txbxContent>
                                  </wps:txbx>
                                  <wps:bodyPr rot="0" vert="horz" wrap="square" lIns="91440" tIns="45720" rIns="91440" bIns="45720" anchor="t" anchorCtr="0" upright="1">
                                    <a:noAutofit/>
                                  </wps:bodyPr>
                                </wps:wsp>
                                <wps:wsp>
                                  <wps:cNvPr id="230" name="Rectangle 183"/>
                                  <wps:cNvSpPr>
                                    <a:spLocks noChangeArrowheads="1"/>
                                  </wps:cNvSpPr>
                                  <wps:spPr bwMode="auto">
                                    <a:xfrm>
                                      <a:off x="1227" y="8418"/>
                                      <a:ext cx="2814" cy="1121"/>
                                    </a:xfrm>
                                    <a:prstGeom prst="rect">
                                      <a:avLst/>
                                    </a:prstGeom>
                                    <a:solidFill>
                                      <a:srgbClr val="FFFFFF"/>
                                    </a:solidFill>
                                    <a:ln w="9525">
                                      <a:solidFill>
                                        <a:srgbClr val="000000"/>
                                      </a:solidFill>
                                      <a:miter lim="800000"/>
                                      <a:headEnd/>
                                      <a:tailEnd/>
                                    </a:ln>
                                  </wps:spPr>
                                  <wps:txb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Пристосування новоздобутих навичок до місцевого середовища</w:t>
                                        </w:r>
                                      </w:p>
                                    </w:txbxContent>
                                  </wps:txbx>
                                  <wps:bodyPr rot="0" vert="horz" wrap="square" lIns="0" tIns="0" rIns="0" bIns="0" anchor="t" anchorCtr="0" upright="1">
                                    <a:noAutofit/>
                                  </wps:bodyPr>
                                </wps:wsp>
                                <wps:wsp>
                                  <wps:cNvPr id="231" name="Rectangle 184"/>
                                  <wps:cNvSpPr>
                                    <a:spLocks noChangeArrowheads="1"/>
                                  </wps:cNvSpPr>
                                  <wps:spPr bwMode="auto">
                                    <a:xfrm>
                                      <a:off x="4221" y="8418"/>
                                      <a:ext cx="2160" cy="1121"/>
                                    </a:xfrm>
                                    <a:prstGeom prst="rect">
                                      <a:avLst/>
                                    </a:prstGeom>
                                    <a:solidFill>
                                      <a:srgbClr val="FFFFFF"/>
                                    </a:solidFill>
                                    <a:ln w="9525">
                                      <a:solidFill>
                                        <a:srgbClr val="000000"/>
                                      </a:solidFill>
                                      <a:miter lim="800000"/>
                                      <a:headEnd/>
                                      <a:tailEnd/>
                                    </a:ln>
                                  </wps:spPr>
                                  <wps:txb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Трансфер знань і технологій</w:t>
                                        </w:r>
                                      </w:p>
                                    </w:txbxContent>
                                  </wps:txbx>
                                  <wps:bodyPr rot="0" vert="horz" wrap="square" lIns="91440" tIns="45720" rIns="91440" bIns="45720" anchor="t" anchorCtr="0" upright="1">
                                    <a:noAutofit/>
                                  </wps:bodyPr>
                                </wps:wsp>
                                <wps:wsp>
                                  <wps:cNvPr id="232" name="Rectangle 185"/>
                                  <wps:cNvSpPr>
                                    <a:spLocks noChangeArrowheads="1"/>
                                  </wps:cNvSpPr>
                                  <wps:spPr bwMode="auto">
                                    <a:xfrm>
                                      <a:off x="6561" y="8418"/>
                                      <a:ext cx="2880" cy="1121"/>
                                    </a:xfrm>
                                    <a:prstGeom prst="rect">
                                      <a:avLst/>
                                    </a:prstGeom>
                                    <a:solidFill>
                                      <a:srgbClr val="FFFFFF"/>
                                    </a:solidFill>
                                    <a:ln w="9525">
                                      <a:solidFill>
                                        <a:srgbClr val="000000"/>
                                      </a:solidFill>
                                      <a:miter lim="800000"/>
                                      <a:headEnd/>
                                      <a:tailEnd/>
                                    </a:ln>
                                  </wps:spPr>
                                  <wps:txb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Сприяння організації бізнесу реемігрантами</w:t>
                                        </w:r>
                                      </w:p>
                                    </w:txbxContent>
                                  </wps:txbx>
                                  <wps:bodyPr rot="0" vert="horz" wrap="square" lIns="91440" tIns="45720" rIns="91440" bIns="45720" anchor="t" anchorCtr="0" upright="1">
                                    <a:noAutofit/>
                                  </wps:bodyPr>
                                </wps:wsp>
                                <wps:wsp>
                                  <wps:cNvPr id="233" name="Line 186"/>
                                  <wps:cNvCnPr/>
                                  <wps:spPr bwMode="auto">
                                    <a:xfrm flipH="1">
                                      <a:off x="2961" y="8154"/>
                                      <a:ext cx="72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4" name="Line 187"/>
                                  <wps:cNvCnPr/>
                                  <wps:spPr bwMode="auto">
                                    <a:xfrm>
                                      <a:off x="5301" y="8154"/>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5" name="Line 188"/>
                                  <wps:cNvCnPr/>
                                  <wps:spPr bwMode="auto">
                                    <a:xfrm>
                                      <a:off x="6921" y="8154"/>
                                      <a:ext cx="90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cNvPr id="236" name="Group 189"/>
                                <wpg:cNvGrpSpPr>
                                  <a:grpSpLocks/>
                                </wpg:cNvGrpSpPr>
                                <wpg:grpSpPr bwMode="auto">
                                  <a:xfrm>
                                    <a:off x="1161" y="4554"/>
                                    <a:ext cx="9900" cy="9180"/>
                                    <a:chOff x="1161" y="4554"/>
                                    <a:chExt cx="9900" cy="9180"/>
                                  </a:xfrm>
                                </wpg:grpSpPr>
                                <wpg:grpSp>
                                  <wpg:cNvPr id="237" name="Group 190"/>
                                  <wpg:cNvGrpSpPr>
                                    <a:grpSpLocks/>
                                  </wpg:cNvGrpSpPr>
                                  <wpg:grpSpPr bwMode="auto">
                                    <a:xfrm>
                                      <a:off x="1161" y="4734"/>
                                      <a:ext cx="8460" cy="7271"/>
                                      <a:chOff x="981" y="594"/>
                                      <a:chExt cx="8640" cy="7271"/>
                                    </a:xfrm>
                                  </wpg:grpSpPr>
                                  <wps:wsp>
                                    <wps:cNvPr id="238" name="Rectangle 191"/>
                                    <wps:cNvSpPr>
                                      <a:spLocks noChangeArrowheads="1"/>
                                    </wps:cNvSpPr>
                                    <wps:spPr bwMode="auto">
                                      <a:xfrm>
                                        <a:off x="3141" y="594"/>
                                        <a:ext cx="3240" cy="540"/>
                                      </a:xfrm>
                                      <a:prstGeom prst="rect">
                                        <a:avLst/>
                                      </a:prstGeom>
                                      <a:solidFill>
                                        <a:srgbClr val="FFFFFF"/>
                                      </a:solidFill>
                                      <a:ln w="19050">
                                        <a:solidFill>
                                          <a:srgbClr val="000000"/>
                                        </a:solidFill>
                                        <a:miter lim="800000"/>
                                        <a:headEnd/>
                                        <a:tailEnd/>
                                      </a:ln>
                                    </wps:spPr>
                                    <wps:txbx>
                                      <w:txbxContent>
                                        <w:p w:rsidR="00BE40F8" w:rsidRPr="00935976" w:rsidRDefault="00BE40F8" w:rsidP="00B233DE">
                                          <w:pPr>
                                            <w:ind w:firstLine="0"/>
                                            <w:jc w:val="center"/>
                                            <w:rPr>
                                              <w:rFonts w:ascii="Times New Roman" w:hAnsi="Times New Roman" w:cs="Times New Roman"/>
                                              <w:sz w:val="16"/>
                                              <w:szCs w:val="16"/>
                                            </w:rPr>
                                          </w:pPr>
                                          <w:r w:rsidRPr="00935976">
                                            <w:rPr>
                                              <w:rFonts w:ascii="Times New Roman" w:hAnsi="Times New Roman" w:cs="Times New Roman"/>
                                              <w:sz w:val="16"/>
                                              <w:szCs w:val="16"/>
                                            </w:rPr>
                                            <w:t>Імміграція</w:t>
                                          </w:r>
                                        </w:p>
                                        <w:p w:rsidR="00BE40F8" w:rsidRPr="00BF1188" w:rsidRDefault="00BE40F8" w:rsidP="00B233DE">
                                          <w:pPr>
                                            <w:jc w:val="center"/>
                                            <w:rPr>
                                              <w:rFonts w:ascii="Calibri" w:hAnsi="Calibri"/>
                                              <w:sz w:val="16"/>
                                              <w:szCs w:val="16"/>
                                            </w:rPr>
                                          </w:pPr>
                                        </w:p>
                                      </w:txbxContent>
                                    </wps:txbx>
                                    <wps:bodyPr rot="0" vert="horz" wrap="square" lIns="91440" tIns="45720" rIns="91440" bIns="45720" anchor="t" anchorCtr="0" upright="1">
                                      <a:noAutofit/>
                                    </wps:bodyPr>
                                  </wps:wsp>
                                  <wps:wsp>
                                    <wps:cNvPr id="239" name="Rectangle 192"/>
                                    <wps:cNvSpPr>
                                      <a:spLocks noChangeArrowheads="1"/>
                                    </wps:cNvSpPr>
                                    <wps:spPr bwMode="auto">
                                      <a:xfrm>
                                        <a:off x="2421" y="1314"/>
                                        <a:ext cx="5051" cy="540"/>
                                      </a:xfrm>
                                      <a:prstGeom prst="rect">
                                        <a:avLst/>
                                      </a:prstGeom>
                                      <a:solidFill>
                                        <a:srgbClr val="FFFFFF"/>
                                      </a:solidFill>
                                      <a:ln w="9525">
                                        <a:solidFill>
                                          <a:srgbClr val="000000"/>
                                        </a:solidFill>
                                        <a:miter lim="800000"/>
                                        <a:headEnd/>
                                        <a:tailEnd/>
                                      </a:ln>
                                    </wps:spPr>
                                    <wps:txbx>
                                      <w:txbxContent>
                                        <w:p w:rsidR="00BE40F8" w:rsidRPr="00935976" w:rsidRDefault="00BE40F8" w:rsidP="00B233DE">
                                          <w:pPr>
                                            <w:ind w:firstLine="0"/>
                                            <w:jc w:val="center"/>
                                            <w:rPr>
                                              <w:rFonts w:ascii="Times New Roman" w:hAnsi="Times New Roman" w:cs="Times New Roman"/>
                                              <w:sz w:val="16"/>
                                              <w:szCs w:val="16"/>
                                            </w:rPr>
                                          </w:pPr>
                                          <w:r w:rsidRPr="00935976">
                                            <w:rPr>
                                              <w:rFonts w:ascii="Times New Roman" w:hAnsi="Times New Roman" w:cs="Times New Roman"/>
                                              <w:sz w:val="16"/>
                                              <w:szCs w:val="16"/>
                                            </w:rPr>
                                            <w:t>задоволення потреби ринку праці</w:t>
                                          </w:r>
                                        </w:p>
                                        <w:p w:rsidR="00BE40F8" w:rsidRPr="00BF1188" w:rsidRDefault="00BE40F8" w:rsidP="00B233DE">
                                          <w:pPr>
                                            <w:jc w:val="center"/>
                                            <w:rPr>
                                              <w:rFonts w:ascii="Calibri" w:hAnsi="Calibri"/>
                                              <w:sz w:val="16"/>
                                              <w:szCs w:val="16"/>
                                            </w:rPr>
                                          </w:pPr>
                                        </w:p>
                                      </w:txbxContent>
                                    </wps:txbx>
                                    <wps:bodyPr rot="0" vert="horz" wrap="square" lIns="91440" tIns="45720" rIns="91440" bIns="45720" anchor="t" anchorCtr="0" upright="1">
                                      <a:noAutofit/>
                                    </wps:bodyPr>
                                  </wps:wsp>
                                  <wps:wsp>
                                    <wps:cNvPr id="248" name="Line 193"/>
                                    <wps:cNvCnPr/>
                                    <wps:spPr bwMode="auto">
                                      <a:xfrm>
                                        <a:off x="4761" y="1134"/>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0" name="Rectangle 194"/>
                                    <wps:cNvSpPr>
                                      <a:spLocks noChangeArrowheads="1"/>
                                    </wps:cNvSpPr>
                                    <wps:spPr bwMode="auto">
                                      <a:xfrm>
                                        <a:off x="981" y="2214"/>
                                        <a:ext cx="8640" cy="5651"/>
                                      </a:xfrm>
                                      <a:prstGeom prst="rect">
                                        <a:avLst/>
                                      </a:prstGeom>
                                      <a:solidFill>
                                        <a:srgbClr val="FFFFFF">
                                          <a:alpha val="0"/>
                                        </a:srgbClr>
                                      </a:solidFill>
                                      <a:ln w="9525">
                                        <a:solidFill>
                                          <a:srgbClr val="000000"/>
                                        </a:solidFill>
                                        <a:prstDash val="dash"/>
                                        <a:miter lim="800000"/>
                                        <a:headEnd/>
                                        <a:tailEnd/>
                                      </a:ln>
                                    </wps:spPr>
                                    <wps:bodyPr rot="0" vert="horz" wrap="square" lIns="91440" tIns="45720" rIns="91440" bIns="45720" anchor="t" anchorCtr="0" upright="1">
                                      <a:noAutofit/>
                                    </wps:bodyPr>
                                  </wps:wsp>
                                  <wps:wsp>
                                    <wps:cNvPr id="274" name="Line 195"/>
                                    <wps:cNvCnPr/>
                                    <wps:spPr bwMode="auto">
                                      <a:xfrm>
                                        <a:off x="4761" y="1854"/>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279" name="Rectangle 196"/>
                                  <wps:cNvSpPr>
                                    <a:spLocks noChangeArrowheads="1"/>
                                  </wps:cNvSpPr>
                                  <wps:spPr bwMode="auto">
                                    <a:xfrm>
                                      <a:off x="10161" y="4554"/>
                                      <a:ext cx="900" cy="9180"/>
                                    </a:xfrm>
                                    <a:prstGeom prst="rect">
                                      <a:avLst/>
                                    </a:prstGeom>
                                    <a:solidFill>
                                      <a:srgbClr val="FFFFFF"/>
                                    </a:solidFill>
                                    <a:ln w="9525">
                                      <a:solidFill>
                                        <a:srgbClr val="000000"/>
                                      </a:solidFill>
                                      <a:miter lim="800000"/>
                                      <a:headEnd/>
                                      <a:tailEnd/>
                                    </a:ln>
                                  </wps:spPr>
                                  <wps:txbx>
                                    <w:txbxContent>
                                      <w:p w:rsidR="00BE40F8" w:rsidRPr="00935976" w:rsidRDefault="00BE40F8" w:rsidP="00B233DE">
                                        <w:pPr>
                                          <w:jc w:val="center"/>
                                          <w:rPr>
                                            <w:rFonts w:ascii="Times New Roman" w:hAnsi="Times New Roman" w:cs="Times New Roman"/>
                                            <w:sz w:val="16"/>
                                            <w:szCs w:val="16"/>
                                          </w:rPr>
                                        </w:pPr>
                                        <w:r w:rsidRPr="00935976">
                                          <w:rPr>
                                            <w:rFonts w:ascii="Times New Roman" w:hAnsi="Times New Roman" w:cs="Times New Roman"/>
                                            <w:sz w:val="16"/>
                                            <w:szCs w:val="16"/>
                                          </w:rPr>
                                          <w:t>кількісне та якісне відтворення людського потенціалу</w:t>
                                        </w:r>
                                      </w:p>
                                    </w:txbxContent>
                                  </wps:txbx>
                                  <wps:bodyPr rot="0" vert="vert270" wrap="square" lIns="91440" tIns="45720" rIns="91440" bIns="45720" anchor="t" anchorCtr="0" upright="1">
                                    <a:noAutofit/>
                                  </wps:bodyPr>
                                </wps:wsp>
                                <wps:wsp>
                                  <wps:cNvPr id="282" name="Line 197"/>
                                  <wps:cNvCnPr/>
                                  <wps:spPr bwMode="auto">
                                    <a:xfrm>
                                      <a:off x="9621" y="7791"/>
                                      <a:ext cx="540"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g:grpSp>
                              <wps:wsp>
                                <wps:cNvPr id="283" name="Line 198"/>
                                <wps:cNvCnPr/>
                                <wps:spPr bwMode="auto">
                                  <a:xfrm>
                                    <a:off x="9441" y="13374"/>
                                    <a:ext cx="720"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g:grpSp>
                          </wpg:grpSp>
                          <wpg:grpSp>
                            <wpg:cNvPr id="296" name="Group 199"/>
                            <wpg:cNvGrpSpPr>
                              <a:grpSpLocks/>
                            </wpg:cNvGrpSpPr>
                            <wpg:grpSpPr bwMode="auto">
                              <a:xfrm>
                                <a:off x="1227" y="2489"/>
                                <a:ext cx="8394" cy="5125"/>
                                <a:chOff x="1227" y="2489"/>
                                <a:chExt cx="8394" cy="5125"/>
                              </a:xfrm>
                            </wpg:grpSpPr>
                            <wps:wsp>
                              <wps:cNvPr id="297" name="Rectangle 200"/>
                              <wps:cNvSpPr>
                                <a:spLocks noChangeArrowheads="1"/>
                              </wps:cNvSpPr>
                              <wps:spPr bwMode="auto">
                                <a:xfrm>
                                  <a:off x="6381" y="2574"/>
                                  <a:ext cx="3240" cy="521"/>
                                </a:xfrm>
                                <a:prstGeom prst="rect">
                                  <a:avLst/>
                                </a:prstGeom>
                                <a:solidFill>
                                  <a:srgbClr val="FFFFFF"/>
                                </a:solidFill>
                                <a:ln w="9525">
                                  <a:solidFill>
                                    <a:srgbClr val="000000"/>
                                  </a:solidFill>
                                  <a:miter lim="800000"/>
                                  <a:headEnd/>
                                  <a:tailEnd/>
                                </a:ln>
                              </wps:spPr>
                              <wps:txbx>
                                <w:txbxContent>
                                  <w:p w:rsidR="00BE40F8" w:rsidRPr="00935976" w:rsidRDefault="00BE40F8" w:rsidP="00B233DE">
                                    <w:pPr>
                                      <w:ind w:firstLine="0"/>
                                      <w:jc w:val="center"/>
                                      <w:rPr>
                                        <w:rFonts w:ascii="Times New Roman" w:hAnsi="Times New Roman" w:cs="Times New Roman"/>
                                        <w:sz w:val="16"/>
                                        <w:szCs w:val="16"/>
                                      </w:rPr>
                                    </w:pPr>
                                    <w:r w:rsidRPr="00935976">
                                      <w:rPr>
                                        <w:rFonts w:ascii="Times New Roman" w:hAnsi="Times New Roman" w:cs="Times New Roman"/>
                                        <w:sz w:val="16"/>
                                        <w:szCs w:val="16"/>
                                      </w:rPr>
                                      <w:t>професійно-кваліфікаційна потреба ринку праці</w:t>
                                    </w:r>
                                  </w:p>
                                </w:txbxContent>
                              </wps:txbx>
                              <wps:bodyPr rot="0" vert="horz" wrap="square" lIns="0" tIns="0" rIns="0" bIns="0" anchor="ctr" anchorCtr="0" upright="1">
                                <a:noAutofit/>
                              </wps:bodyPr>
                            </wps:wsp>
                            <wps:wsp>
                              <wps:cNvPr id="298" name="Rectangle 201"/>
                              <wps:cNvSpPr>
                                <a:spLocks noChangeArrowheads="1"/>
                              </wps:cNvSpPr>
                              <wps:spPr bwMode="auto">
                                <a:xfrm>
                                  <a:off x="7636" y="3400"/>
                                  <a:ext cx="1805" cy="1345"/>
                                </a:xfrm>
                                <a:prstGeom prst="rect">
                                  <a:avLst/>
                                </a:prstGeom>
                                <a:solidFill>
                                  <a:srgbClr val="FFFFFF"/>
                                </a:solidFill>
                                <a:ln w="9525">
                                  <a:solidFill>
                                    <a:srgbClr val="000000"/>
                                  </a:solidFill>
                                  <a:miter lim="800000"/>
                                  <a:headEnd/>
                                  <a:tailEnd/>
                                </a:ln>
                              </wps:spPr>
                              <wps:txbx>
                                <w:txbxContent>
                                  <w:p w:rsidR="00BE40F8" w:rsidRPr="00935976" w:rsidRDefault="00BE40F8" w:rsidP="00B233DE">
                                    <w:pPr>
                                      <w:ind w:firstLine="0"/>
                                      <w:jc w:val="center"/>
                                      <w:rPr>
                                        <w:rFonts w:ascii="Times New Roman" w:hAnsi="Times New Roman" w:cs="Times New Roman"/>
                                        <w:sz w:val="16"/>
                                        <w:szCs w:val="16"/>
                                      </w:rPr>
                                    </w:pPr>
                                    <w:r w:rsidRPr="00935976">
                                      <w:rPr>
                                        <w:rFonts w:ascii="Times New Roman" w:hAnsi="Times New Roman" w:cs="Times New Roman"/>
                                        <w:sz w:val="16"/>
                                        <w:szCs w:val="16"/>
                                      </w:rPr>
                                      <w:t>задоволення професійно-кваліфікаційної потреби ринку праці</w:t>
                                    </w:r>
                                  </w:p>
                                </w:txbxContent>
                              </wps:txbx>
                              <wps:bodyPr rot="0" vert="horz" wrap="square" lIns="0" tIns="0" rIns="0" bIns="0" anchor="ctr" anchorCtr="0" upright="1">
                                <a:noAutofit/>
                              </wps:bodyPr>
                            </wps:wsp>
                            <wps:wsp>
                              <wps:cNvPr id="299" name="Rectangle 202"/>
                              <wps:cNvSpPr>
                                <a:spLocks noChangeArrowheads="1"/>
                              </wps:cNvSpPr>
                              <wps:spPr bwMode="auto">
                                <a:xfrm>
                                  <a:off x="1521" y="3284"/>
                                  <a:ext cx="5760" cy="547"/>
                                </a:xfrm>
                                <a:prstGeom prst="rect">
                                  <a:avLst/>
                                </a:prstGeom>
                                <a:solidFill>
                                  <a:srgbClr val="FFFFFF"/>
                                </a:solidFill>
                                <a:ln w="9525">
                                  <a:solidFill>
                                    <a:srgbClr val="000000"/>
                                  </a:solidFill>
                                  <a:miter lim="800000"/>
                                  <a:headEnd/>
                                  <a:tailEnd/>
                                </a:ln>
                              </wps:spPr>
                              <wps:txbx>
                                <w:txbxContent>
                                  <w:p w:rsidR="00BE40F8" w:rsidRPr="00935976" w:rsidRDefault="00BE40F8" w:rsidP="00B233DE">
                                    <w:pPr>
                                      <w:ind w:firstLine="0"/>
                                      <w:rPr>
                                        <w:rFonts w:ascii="Times New Roman" w:hAnsi="Times New Roman" w:cs="Times New Roman"/>
                                        <w:sz w:val="16"/>
                                        <w:szCs w:val="16"/>
                                      </w:rPr>
                                    </w:pPr>
                                    <w:r w:rsidRPr="00935976">
                                      <w:rPr>
                                        <w:rFonts w:ascii="Times New Roman" w:hAnsi="Times New Roman" w:cs="Times New Roman"/>
                                        <w:sz w:val="16"/>
                                        <w:szCs w:val="16"/>
                                      </w:rPr>
                                      <w:t>висококваліфіковані працівники (вища освіта), що працюють по спеціальності</w:t>
                                    </w:r>
                                  </w:p>
                                </w:txbxContent>
                              </wps:txbx>
                              <wps:bodyPr rot="0" vert="horz" wrap="square" lIns="0" tIns="0" rIns="0" bIns="0" anchor="ctr" anchorCtr="0" upright="1">
                                <a:noAutofit/>
                              </wps:bodyPr>
                            </wps:wsp>
                            <wps:wsp>
                              <wps:cNvPr id="300" name="Rectangle 203"/>
                              <wps:cNvSpPr>
                                <a:spLocks noChangeArrowheads="1"/>
                              </wps:cNvSpPr>
                              <wps:spPr bwMode="auto">
                                <a:xfrm>
                                  <a:off x="1521" y="3891"/>
                                  <a:ext cx="5760" cy="488"/>
                                </a:xfrm>
                                <a:prstGeom prst="rect">
                                  <a:avLst/>
                                </a:prstGeom>
                                <a:solidFill>
                                  <a:srgbClr val="FFFFFF"/>
                                </a:solidFill>
                                <a:ln w="9525">
                                  <a:solidFill>
                                    <a:srgbClr val="000000"/>
                                  </a:solidFill>
                                  <a:miter lim="800000"/>
                                  <a:headEnd/>
                                  <a:tailEnd/>
                                </a:ln>
                              </wps:spPr>
                              <wps:txbx>
                                <w:txbxContent>
                                  <w:p w:rsidR="00BE40F8" w:rsidRPr="00935976" w:rsidRDefault="00BE40F8" w:rsidP="00B233DE">
                                    <w:pPr>
                                      <w:ind w:firstLine="0"/>
                                      <w:rPr>
                                        <w:rFonts w:ascii="Times New Roman" w:hAnsi="Times New Roman" w:cs="Times New Roman"/>
                                        <w:sz w:val="16"/>
                                        <w:szCs w:val="16"/>
                                      </w:rPr>
                                    </w:pPr>
                                    <w:r w:rsidRPr="00935976">
                                      <w:rPr>
                                        <w:rFonts w:ascii="Times New Roman" w:hAnsi="Times New Roman" w:cs="Times New Roman"/>
                                        <w:sz w:val="16"/>
                                        <w:szCs w:val="16"/>
                                      </w:rPr>
                                      <w:t>працівники середньої кваліфікації (професійно-технічна освіта), що працюють по спеціальності</w:t>
                                    </w:r>
                                  </w:p>
                                </w:txbxContent>
                              </wps:txbx>
                              <wps:bodyPr rot="0" vert="horz" wrap="square" lIns="0" tIns="0" rIns="0" bIns="0" anchor="ctr" anchorCtr="0" upright="1">
                                <a:noAutofit/>
                              </wps:bodyPr>
                            </wps:wsp>
                            <wps:wsp>
                              <wps:cNvPr id="301" name="Rectangle 204"/>
                              <wps:cNvSpPr>
                                <a:spLocks noChangeArrowheads="1"/>
                              </wps:cNvSpPr>
                              <wps:spPr bwMode="auto">
                                <a:xfrm>
                                  <a:off x="1521" y="4457"/>
                                  <a:ext cx="5760" cy="588"/>
                                </a:xfrm>
                                <a:prstGeom prst="rect">
                                  <a:avLst/>
                                </a:prstGeom>
                                <a:solidFill>
                                  <a:srgbClr val="FFFFFF"/>
                                </a:solidFill>
                                <a:ln w="9525">
                                  <a:solidFill>
                                    <a:srgbClr val="000000"/>
                                  </a:solidFill>
                                  <a:miter lim="800000"/>
                                  <a:headEnd/>
                                  <a:tailEnd/>
                                </a:ln>
                              </wps:spPr>
                              <wps:txbx>
                                <w:txbxContent>
                                  <w:p w:rsidR="00BE40F8" w:rsidRPr="00935976" w:rsidRDefault="00BE40F8" w:rsidP="00B233DE">
                                    <w:pPr>
                                      <w:ind w:firstLine="0"/>
                                      <w:rPr>
                                        <w:rFonts w:ascii="Times New Roman" w:hAnsi="Times New Roman" w:cs="Times New Roman"/>
                                        <w:sz w:val="16"/>
                                        <w:szCs w:val="16"/>
                                      </w:rPr>
                                    </w:pPr>
                                    <w:r w:rsidRPr="00935976">
                                      <w:rPr>
                                        <w:rFonts w:ascii="Times New Roman" w:hAnsi="Times New Roman" w:cs="Times New Roman"/>
                                        <w:sz w:val="16"/>
                                        <w:szCs w:val="16"/>
                                      </w:rPr>
                                      <w:t>низькокваліфіковані працівники (відсутні</w:t>
                                    </w:r>
                                    <w:r>
                                      <w:rPr>
                                        <w:rFonts w:ascii="Times New Roman" w:hAnsi="Times New Roman" w:cs="Times New Roman"/>
                                        <w:sz w:val="16"/>
                                        <w:szCs w:val="16"/>
                                      </w:rPr>
                                      <w:t>сть вищої чи професійної освіти)</w:t>
                                    </w:r>
                                  </w:p>
                                </w:txbxContent>
                              </wps:txbx>
                              <wps:bodyPr rot="0" vert="horz" wrap="square" lIns="0" tIns="0" rIns="0" bIns="0" anchor="t" anchorCtr="0" upright="1">
                                <a:noAutofit/>
                              </wps:bodyPr>
                            </wps:wsp>
                            <wps:wsp>
                              <wps:cNvPr id="302" name="Rectangle 205"/>
                              <wps:cNvSpPr>
                                <a:spLocks noChangeArrowheads="1"/>
                              </wps:cNvSpPr>
                              <wps:spPr bwMode="auto">
                                <a:xfrm>
                                  <a:off x="4941" y="5702"/>
                                  <a:ext cx="2525" cy="469"/>
                                </a:xfrm>
                                <a:prstGeom prst="rect">
                                  <a:avLst/>
                                </a:prstGeom>
                                <a:solidFill>
                                  <a:srgbClr val="FFFFFF"/>
                                </a:solidFill>
                                <a:ln w="9525">
                                  <a:solidFill>
                                    <a:srgbClr val="000000"/>
                                  </a:solidFill>
                                  <a:miter lim="800000"/>
                                  <a:headEnd/>
                                  <a:tailEnd/>
                                </a:ln>
                              </wps:spPr>
                              <wps:txb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вікова потреба ринку праці</w:t>
                                    </w:r>
                                  </w:p>
                                </w:txbxContent>
                              </wps:txbx>
                              <wps:bodyPr rot="0" vert="horz" wrap="square" lIns="91440" tIns="45720" rIns="91440" bIns="45720" anchor="t" anchorCtr="0" upright="1">
                                <a:noAutofit/>
                              </wps:bodyPr>
                            </wps:wsp>
                            <wps:wsp>
                              <wps:cNvPr id="303" name="Rectangle 206"/>
                              <wps:cNvSpPr>
                                <a:spLocks noChangeArrowheads="1"/>
                              </wps:cNvSpPr>
                              <wps:spPr bwMode="auto">
                                <a:xfrm>
                                  <a:off x="7641" y="5702"/>
                                  <a:ext cx="1800" cy="1043"/>
                                </a:xfrm>
                                <a:prstGeom prst="rect">
                                  <a:avLst/>
                                </a:prstGeom>
                                <a:solidFill>
                                  <a:srgbClr val="FFFFFF"/>
                                </a:solidFill>
                                <a:ln w="9525">
                                  <a:solidFill>
                                    <a:srgbClr val="000000"/>
                                  </a:solidFill>
                                  <a:miter lim="800000"/>
                                  <a:headEnd/>
                                  <a:tailEnd/>
                                </a:ln>
                              </wps:spPr>
                              <wps:txb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задоволення вікової потреби</w:t>
                                    </w:r>
                                    <w:r w:rsidRPr="00BF1188">
                                      <w:rPr>
                                        <w:rFonts w:ascii="Calibri" w:hAnsi="Calibri"/>
                                        <w:sz w:val="16"/>
                                        <w:szCs w:val="16"/>
                                      </w:rPr>
                                      <w:t xml:space="preserve"> </w:t>
                                    </w:r>
                                    <w:r w:rsidRPr="00EB52A2">
                                      <w:rPr>
                                        <w:rFonts w:ascii="Times New Roman" w:hAnsi="Times New Roman" w:cs="Times New Roman"/>
                                        <w:sz w:val="16"/>
                                        <w:szCs w:val="16"/>
                                      </w:rPr>
                                      <w:t>ринку праці</w:t>
                                    </w:r>
                                  </w:p>
                                </w:txbxContent>
                              </wps:txbx>
                              <wps:bodyPr rot="0" vert="horz" wrap="square" lIns="0" tIns="0" rIns="0" bIns="0" anchor="ctr" anchorCtr="0" upright="1">
                                <a:noAutofit/>
                              </wps:bodyPr>
                            </wps:wsp>
                            <wps:wsp>
                              <wps:cNvPr id="304" name="Rectangle 207"/>
                              <wps:cNvSpPr>
                                <a:spLocks noChangeArrowheads="1"/>
                              </wps:cNvSpPr>
                              <wps:spPr bwMode="auto">
                                <a:xfrm>
                                  <a:off x="4941" y="6397"/>
                                  <a:ext cx="2525" cy="469"/>
                                </a:xfrm>
                                <a:prstGeom prst="rect">
                                  <a:avLst/>
                                </a:prstGeom>
                                <a:solidFill>
                                  <a:srgbClr val="FFFFFF"/>
                                </a:solidFill>
                                <a:ln w="9525">
                                  <a:solidFill>
                                    <a:srgbClr val="000000"/>
                                  </a:solidFill>
                                  <a:miter lim="800000"/>
                                  <a:headEnd/>
                                  <a:tailEnd/>
                                </a:ln>
                              </wps:spPr>
                              <wps:txb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віковий відбір іммігрантів</w:t>
                                    </w:r>
                                  </w:p>
                                </w:txbxContent>
                              </wps:txbx>
                              <wps:bodyPr rot="0" vert="horz" wrap="square" lIns="91440" tIns="45720" rIns="91440" bIns="45720" anchor="t" anchorCtr="0" upright="1">
                                <a:noAutofit/>
                              </wps:bodyPr>
                            </wps:wsp>
                            <wps:wsp>
                              <wps:cNvPr id="305" name="Rectangle 208"/>
                              <wps:cNvSpPr>
                                <a:spLocks noChangeArrowheads="1"/>
                              </wps:cNvSpPr>
                              <wps:spPr bwMode="auto">
                                <a:xfrm>
                                  <a:off x="4941" y="7093"/>
                                  <a:ext cx="2520" cy="521"/>
                                </a:xfrm>
                                <a:prstGeom prst="rect">
                                  <a:avLst/>
                                </a:prstGeom>
                                <a:solidFill>
                                  <a:srgbClr val="FFFFFF"/>
                                </a:solidFill>
                                <a:ln w="9525">
                                  <a:solidFill>
                                    <a:srgbClr val="000000"/>
                                  </a:solidFill>
                                  <a:miter lim="800000"/>
                                  <a:headEnd/>
                                  <a:tailEnd/>
                                </a:ln>
                              </wps:spPr>
                              <wps:txb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народження дітей іммігрантами в середині країни</w:t>
                                    </w:r>
                                  </w:p>
                                </w:txbxContent>
                              </wps:txbx>
                              <wps:bodyPr rot="0" vert="horz" wrap="square" lIns="91440" tIns="45720" rIns="91440" bIns="45720" anchor="t" anchorCtr="0" upright="1">
                                <a:noAutofit/>
                              </wps:bodyPr>
                            </wps:wsp>
                            <wps:wsp>
                              <wps:cNvPr id="306" name="Rectangle 209"/>
                              <wps:cNvSpPr>
                                <a:spLocks noChangeArrowheads="1"/>
                              </wps:cNvSpPr>
                              <wps:spPr bwMode="auto">
                                <a:xfrm>
                                  <a:off x="5661" y="5121"/>
                                  <a:ext cx="3060" cy="521"/>
                                </a:xfrm>
                                <a:prstGeom prst="rect">
                                  <a:avLst/>
                                </a:prstGeom>
                                <a:solidFill>
                                  <a:srgbClr val="FFFFFF"/>
                                </a:solidFill>
                                <a:ln w="9525">
                                  <a:solidFill>
                                    <a:srgbClr val="000000"/>
                                  </a:solidFill>
                                  <a:miter lim="800000"/>
                                  <a:headEnd/>
                                  <a:tailEnd/>
                                </a:ln>
                              </wps:spPr>
                              <wps:txb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навчання та адаптація іммігрантів</w:t>
                                    </w:r>
                                  </w:p>
                                </w:txbxContent>
                              </wps:txbx>
                              <wps:bodyPr rot="0" vert="horz" wrap="square" lIns="91440" tIns="45720" rIns="91440" bIns="45720" anchor="t" anchorCtr="0" upright="1">
                                <a:noAutofit/>
                              </wps:bodyPr>
                            </wps:wsp>
                            <wps:wsp>
                              <wps:cNvPr id="307" name="Rectangle 210"/>
                              <wps:cNvSpPr>
                                <a:spLocks noChangeArrowheads="1"/>
                              </wps:cNvSpPr>
                              <wps:spPr bwMode="auto">
                                <a:xfrm>
                                  <a:off x="1227" y="2489"/>
                                  <a:ext cx="4680" cy="701"/>
                                </a:xfrm>
                                <a:prstGeom prst="rect">
                                  <a:avLst/>
                                </a:prstGeom>
                                <a:solidFill>
                                  <a:srgbClr val="FFFFFF"/>
                                </a:solidFill>
                                <a:ln w="9525">
                                  <a:solidFill>
                                    <a:srgbClr val="000000"/>
                                  </a:solidFill>
                                  <a:miter lim="800000"/>
                                  <a:headEnd/>
                                  <a:tailEnd/>
                                </a:ln>
                              </wps:spPr>
                              <wps:txbx>
                                <w:txbxContent>
                                  <w:p w:rsidR="00BE40F8" w:rsidRPr="00935976" w:rsidRDefault="00BE40F8" w:rsidP="00B233DE">
                                    <w:pPr>
                                      <w:ind w:firstLine="0"/>
                                      <w:jc w:val="center"/>
                                      <w:rPr>
                                        <w:rFonts w:ascii="Times New Roman" w:hAnsi="Times New Roman" w:cs="Times New Roman"/>
                                        <w:sz w:val="16"/>
                                        <w:szCs w:val="16"/>
                                      </w:rPr>
                                    </w:pPr>
                                    <w:r w:rsidRPr="00935976">
                                      <w:rPr>
                                        <w:rFonts w:ascii="Times New Roman" w:hAnsi="Times New Roman" w:cs="Times New Roman"/>
                                        <w:spacing w:val="-4"/>
                                        <w:sz w:val="16"/>
                                        <w:szCs w:val="16"/>
                                      </w:rPr>
                                      <w:t>дефіцит трудових ресурсів за видами еко-</w:t>
                                    </w:r>
                                    <w:r w:rsidRPr="00935976">
                                      <w:rPr>
                                        <w:rFonts w:ascii="Times New Roman" w:hAnsi="Times New Roman" w:cs="Times New Roman"/>
                                        <w:sz w:val="16"/>
                                        <w:szCs w:val="16"/>
                                      </w:rPr>
                                      <w:t>номічної діяльності за рахунок еміграції</w:t>
                                    </w:r>
                                  </w:p>
                                </w:txbxContent>
                              </wps:txbx>
                              <wps:bodyPr rot="0" vert="horz" wrap="square" lIns="0" tIns="0" rIns="0" bIns="0" anchor="ctr" anchorCtr="0" upright="1">
                                <a:noAutofit/>
                              </wps:bodyPr>
                            </wps:wsp>
                            <wps:wsp>
                              <wps:cNvPr id="308" name="Rectangle 211"/>
                              <wps:cNvSpPr>
                                <a:spLocks noChangeArrowheads="1"/>
                              </wps:cNvSpPr>
                              <wps:spPr bwMode="auto">
                                <a:xfrm>
                                  <a:off x="1227" y="5083"/>
                                  <a:ext cx="3714" cy="521"/>
                                </a:xfrm>
                                <a:prstGeom prst="rect">
                                  <a:avLst/>
                                </a:prstGeom>
                                <a:solidFill>
                                  <a:srgbClr val="FFFFFF"/>
                                </a:solidFill>
                                <a:ln w="9525">
                                  <a:solidFill>
                                    <a:srgbClr val="000000"/>
                                  </a:solidFill>
                                  <a:miter lim="800000"/>
                                  <a:headEnd/>
                                  <a:tailEnd/>
                                </a:ln>
                              </wps:spPr>
                              <wps:txb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можливий приріст за рахунок імміграції</w:t>
                                    </w:r>
                                  </w:p>
                                  <w:p w:rsidR="00BE40F8" w:rsidRPr="00BF1188" w:rsidRDefault="00BE40F8" w:rsidP="00B233DE">
                                    <w:pPr>
                                      <w:rPr>
                                        <w:rFonts w:ascii="Calibri" w:hAnsi="Calibri"/>
                                        <w:sz w:val="16"/>
                                        <w:szCs w:val="16"/>
                                      </w:rPr>
                                    </w:pPr>
                                  </w:p>
                                </w:txbxContent>
                              </wps:txbx>
                              <wps:bodyPr rot="0" vert="horz" wrap="square" lIns="0" tIns="0" rIns="0" bIns="0" anchor="t" anchorCtr="0" upright="1">
                                <a:noAutofit/>
                              </wps:bodyPr>
                            </wps:wsp>
                            <wps:wsp>
                              <wps:cNvPr id="309" name="Rectangle 212"/>
                              <wps:cNvSpPr>
                                <a:spLocks noChangeArrowheads="1"/>
                              </wps:cNvSpPr>
                              <wps:spPr bwMode="auto">
                                <a:xfrm>
                                  <a:off x="1521" y="5702"/>
                                  <a:ext cx="3240" cy="522"/>
                                </a:xfrm>
                                <a:prstGeom prst="rect">
                                  <a:avLst/>
                                </a:prstGeom>
                                <a:solidFill>
                                  <a:srgbClr val="FFFFFF"/>
                                </a:solidFill>
                                <a:ln w="9525">
                                  <a:solidFill>
                                    <a:srgbClr val="000000"/>
                                  </a:solidFill>
                                  <a:miter lim="800000"/>
                                  <a:headEnd/>
                                  <a:tailEnd/>
                                </a:ln>
                              </wps:spPr>
                              <wps:txb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дефіцит осіб працездатного віку за рахунок еміграції</w:t>
                                    </w:r>
                                  </w:p>
                                </w:txbxContent>
                              </wps:txbx>
                              <wps:bodyPr rot="0" vert="horz" wrap="square" lIns="0" tIns="0" rIns="0" bIns="0" anchor="t" anchorCtr="0" upright="1">
                                <a:noAutofit/>
                              </wps:bodyPr>
                            </wps:wsp>
                            <wps:wsp>
                              <wps:cNvPr id="310" name="Rectangle 213"/>
                              <wps:cNvSpPr>
                                <a:spLocks noChangeArrowheads="1"/>
                              </wps:cNvSpPr>
                              <wps:spPr bwMode="auto">
                                <a:xfrm>
                                  <a:off x="1521" y="6397"/>
                                  <a:ext cx="3240" cy="696"/>
                                </a:xfrm>
                                <a:prstGeom prst="rect">
                                  <a:avLst/>
                                </a:prstGeom>
                                <a:solidFill>
                                  <a:srgbClr val="FFFFFF"/>
                                </a:solidFill>
                                <a:ln w="9525">
                                  <a:solidFill>
                                    <a:srgbClr val="000000"/>
                                  </a:solidFill>
                                  <a:miter lim="800000"/>
                                  <a:headEnd/>
                                  <a:tailEnd/>
                                </a:ln>
                              </wps:spPr>
                              <wps:txb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можливий приріст за рахунок імміграції</w:t>
                                    </w:r>
                                  </w:p>
                                </w:txbxContent>
                              </wps:txbx>
                              <wps:bodyPr rot="0" vert="horz" wrap="square" lIns="0" tIns="0" rIns="0" bIns="0" anchor="ctr" anchorCtr="0" upright="1">
                                <a:noAutofit/>
                              </wps:bodyPr>
                            </wps:wsp>
                            <wps:wsp>
                              <wps:cNvPr id="311" name="Line 214"/>
                              <wps:cNvCnPr/>
                              <wps:spPr bwMode="auto">
                                <a:xfrm>
                                  <a:off x="5907" y="2754"/>
                                  <a:ext cx="474"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2" name="Line 215"/>
                              <wps:cNvCnPr/>
                              <wps:spPr bwMode="auto">
                                <a:xfrm flipV="1">
                                  <a:off x="8181" y="3095"/>
                                  <a:ext cx="0" cy="34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4" name="Line 216"/>
                              <wps:cNvCnPr/>
                              <wps:spPr bwMode="auto">
                                <a:xfrm>
                                  <a:off x="8541" y="3095"/>
                                  <a:ext cx="0" cy="34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5" name="Line 217"/>
                              <wps:cNvCnPr/>
                              <wps:spPr bwMode="auto">
                                <a:xfrm flipH="1" flipV="1">
                                  <a:off x="7281" y="3964"/>
                                  <a:ext cx="360" cy="104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6" name="Line 218"/>
                              <wps:cNvCnPr>
                                <a:endCxn id="298" idx="2"/>
                              </wps:cNvCnPr>
                              <wps:spPr bwMode="auto">
                                <a:xfrm flipH="1" flipV="1">
                                  <a:off x="8539" y="4745"/>
                                  <a:ext cx="2" cy="2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7" name="Line 219"/>
                              <wps:cNvCnPr/>
                              <wps:spPr bwMode="auto">
                                <a:xfrm>
                                  <a:off x="1374" y="3190"/>
                                  <a:ext cx="0" cy="189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8" name="Line 220"/>
                              <wps:cNvCnPr/>
                              <wps:spPr bwMode="auto">
                                <a:xfrm>
                                  <a:off x="4941" y="5181"/>
                                  <a:ext cx="7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9" name="Line 221"/>
                              <wps:cNvCnPr/>
                              <wps:spPr bwMode="auto">
                                <a:xfrm>
                                  <a:off x="4761" y="5876"/>
                                  <a:ext cx="1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0" name="Line 222"/>
                              <wps:cNvCnPr/>
                              <wps:spPr bwMode="auto">
                                <a:xfrm>
                                  <a:off x="4761" y="6571"/>
                                  <a:ext cx="1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1" name="Line 223"/>
                              <wps:cNvCnPr/>
                              <wps:spPr bwMode="auto">
                                <a:xfrm>
                                  <a:off x="4761" y="7093"/>
                                  <a:ext cx="180" cy="17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2" name="Line 224"/>
                              <wps:cNvCnPr/>
                              <wps:spPr bwMode="auto">
                                <a:xfrm flipH="1">
                                  <a:off x="7461" y="6050"/>
                                  <a:ext cx="1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3" name="Line 225"/>
                              <wps:cNvCnPr/>
                              <wps:spPr bwMode="auto">
                                <a:xfrm>
                                  <a:off x="7461" y="5876"/>
                                  <a:ext cx="1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4" name="Line 226"/>
                              <wps:cNvCnPr/>
                              <wps:spPr bwMode="auto">
                                <a:xfrm>
                                  <a:off x="7461" y="6571"/>
                                  <a:ext cx="1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s:wsp>
                          <wps:cNvPr id="489" name="Line 227"/>
                          <wps:cNvCnPr/>
                          <wps:spPr bwMode="auto">
                            <a:xfrm flipH="1" flipV="1">
                              <a:off x="7641" y="2934"/>
                              <a:ext cx="180"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490" name="Line 228"/>
                        <wps:cNvCnPr/>
                        <wps:spPr bwMode="auto">
                          <a:xfrm flipH="1" flipV="1">
                            <a:off x="7461" y="4914"/>
                            <a:ext cx="18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F22E473" id="Группа 142" o:spid="_x0000_s1525" style="position:absolute;left:0;text-align:left;margin-left:-1.4pt;margin-top:-13.4pt;width:302.55pt;height:454.65pt;z-index:251688960;mso-position-horizontal-relative:text;mso-position-vertical-relative:text" coordorigin="1521,594" coordsize="9540,134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">
                <v:group id="Group 160" o:spid="_x0000_s1526" style="position:absolute;left:1521;top:594;width:9540;height:13491" coordorigin="1521,9" coordsize="9900,129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">
                  <v:group id="Group 161" o:spid="_x0000_s1527" style="position:absolute;left:1521;top:9;width:9900;height:12963" coordorigin="1161,594" coordsize="9900,129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">
                    <v:group id="Group 162" o:spid="_x0000_s1528" style="position:absolute;left:1161;top:594;width:9900;height:12963" coordorigin="1161,594" coordsize="9900,129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">
                      <v:group id="Group 163" o:spid="_x0000_s1529" style="position:absolute;left:1161;top:10314;width:9900;height:3243" coordorigin="1161,954" coordsize="9900,32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">
                        <v:group id="Group 164" o:spid="_x0000_s1530" style="position:absolute;left:1161;top:1134;width:8100;height:3060" coordorigin="1341,10038" coordsize="8100,3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">
                          <v:rect id="Rectangle 165" o:spid="_x0000_s1531" style="position:absolute;left:3681;top:10038;width:32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" strokeweight="1.5pt">
                            <v:textbo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Грошові перекази</w:t>
                                  </w:r>
                                </w:p>
                                <w:p w:rsidR="00BE40F8" w:rsidRPr="00BF1188" w:rsidRDefault="00BE40F8" w:rsidP="00B233DE">
                                  <w:pPr>
                                    <w:jc w:val="center"/>
                                    <w:rPr>
                                      <w:rFonts w:ascii="Calibri" w:hAnsi="Calibri"/>
                                      <w:sz w:val="16"/>
                                      <w:szCs w:val="16"/>
                                    </w:rPr>
                                  </w:pPr>
                                </w:p>
                              </w:txbxContent>
                            </v:textbox>
                          </v:rect>
                          <v:group id="Group 166" o:spid="_x0000_s1532" style="position:absolute;left:1341;top:10938;width:8100;height:2160" coordorigin="8343,2982" coordsize="3240,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">
                            <v:rect id="Rectangle 167" o:spid="_x0000_s1533" style="position:absolute;left:8343;top:2982;width:1440;height:1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">
                              <v:textbox inset="0,0,0,0">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Витрати на освіту та охорону здоров’я</w:t>
                                    </w:r>
                                  </w:p>
                                </w:txbxContent>
                              </v:textbox>
                            </v:rect>
                            <v:rect id="Rectangle 168" o:spid="_x0000_s1534" style="position:absolute;left:8343;top:4422;width:1440;height:1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">
                              <v:textbox inset="0,0,0,0">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Покращення рівня життя сімей емігрантів</w:t>
                                    </w:r>
                                  </w:p>
                                </w:txbxContent>
                              </v:textbox>
                            </v:rect>
                            <v:line id="Line 169" o:spid="_x0000_s1535" style="position:absolute;visibility:visible;mso-wrap-style:square" from="8883,4062" to="8883,44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">
                              <v:stroke endarrow="block"/>
                            </v:line>
                            <v:rect id="Rectangle 170" o:spid="_x0000_s1536" style="position:absolute;left:10143;top:2982;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">
                              <v:textbo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Мультиплікативний ефект</w:t>
                                    </w:r>
                                  </w:p>
                                </w:txbxContent>
                              </v:textbox>
                            </v:rect>
                            <v:rect id="Rectangle 171" o:spid="_x0000_s1537" style="position:absolute;left:10143;top:4422;width:1440;height:1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">
                              <v:textbox inset="0,0,0,0">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Збільшення ВВП на душу населення</w:t>
                                    </w:r>
                                  </w:p>
                                </w:txbxContent>
                              </v:textbox>
                            </v:rect>
                            <v:rect id="Rectangle 172" o:spid="_x0000_s1538" style="position:absolute;left:8343;top:5862;width:3240;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">
                              <v:textbox inset="0,0,0,0">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Загальне фінансування людського потенціалу країни</w:t>
                                    </w:r>
                                  </w:p>
                                </w:txbxContent>
                              </v:textbox>
                            </v:rect>
                            <v:line id="Line 173" o:spid="_x0000_s1539" style="position:absolute;visibility:visible;mso-wrap-style:square" from="10863,4062" to="10863,44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">
                              <v:stroke endarrow="block"/>
                            </v:line>
                            <v:line id="Line 174" o:spid="_x0000_s1540" style="position:absolute;visibility:visible;mso-wrap-style:square" from="8883,5502" to="9963,58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">
                              <v:stroke endarrow="block"/>
                            </v:line>
                            <v:line id="Line 175" o:spid="_x0000_s1541" style="position:absolute;flip:x;visibility:visible;mso-wrap-style:square" from="9963,5502" to="10863,58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">
                              <v:stroke endarrow="block"/>
                            </v:line>
                          </v:group>
                          <v:line id="Line 176" o:spid="_x0000_s1542" style="position:absolute;flip:x;visibility:visible;mso-wrap-style:square" from="2781,10494" to="3681,10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">
                            <v:stroke endarrow="block"/>
                          </v:line>
                          <v:line id="Line 177" o:spid="_x0000_s1543" style="position:absolute;visibility:visible;mso-wrap-style:square" from="6921,10494" to="7641,10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">
                            <v:stroke endarrow="block"/>
                          </v:line>
                        </v:group>
                        <v:rect id="Rectangle 178" o:spid="_x0000_s1544" style="position:absolute;left:10161;top:954;width:900;height:3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">
                          <v:textbox style="layout-flow:vertical;mso-layout-flow-alt:bottom-to-top" inset=".5mm,.3mm,.5mm,.3mm">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якісне відтворення людського потенціалу</w:t>
                                </w:r>
                              </w:p>
                            </w:txbxContent>
                          </v:textbox>
                        </v:rect>
                        <v:line id="Line 179" o:spid="_x0000_s1545" style="position:absolute;visibility:visible;mso-wrap-style:square" from="9261,3114" to="10161,31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">
                          <v:stroke dashstyle="dash" endarrow="block"/>
                        </v:line>
                      </v:group>
                      <v:group id="Group 180" o:spid="_x0000_s1546" style="position:absolute;left:1161;top:594;width:9900;height:9485" coordorigin="1161,4554" coordsize="9900,9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">
                        <v:group id="Group 181" o:spid="_x0000_s1547" style="position:absolute;left:1227;top:12114;width:8214;height:1925" coordorigin="1227,7614" coordsize="8214,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">
                          <v:rect id="Rectangle 182" o:spid="_x0000_s1548" style="position:absolute;left:3681;top:7614;width:32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" strokeweight="1.5pt">
                            <v:textbo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Рееміграція</w:t>
                                  </w:r>
                                </w:p>
                                <w:p w:rsidR="00BE40F8" w:rsidRPr="00BF1188" w:rsidRDefault="00BE40F8" w:rsidP="00B233DE">
                                  <w:pPr>
                                    <w:jc w:val="center"/>
                                    <w:rPr>
                                      <w:rFonts w:ascii="Calibri" w:hAnsi="Calibri"/>
                                      <w:sz w:val="16"/>
                                      <w:szCs w:val="16"/>
                                    </w:rPr>
                                  </w:pPr>
                                </w:p>
                              </w:txbxContent>
                            </v:textbox>
                          </v:rect>
                          <v:rect id="Rectangle 183" o:spid="_x0000_s1549" style="position:absolute;left:1227;top:8418;width:2814;height:1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">
                            <v:textbox inset="0,0,0,0">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Пристосування новоздобутих навичок до місцевого середовища</w:t>
                                  </w:r>
                                </w:p>
                              </w:txbxContent>
                            </v:textbox>
                          </v:rect>
                          <v:rect id="Rectangle 184" o:spid="_x0000_s1550" style="position:absolute;left:4221;top:8418;width:2160;height:1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">
                            <v:textbo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Трансфер знань і технологій</w:t>
                                  </w:r>
                                </w:p>
                              </w:txbxContent>
                            </v:textbox>
                          </v:rect>
                          <v:rect id="Rectangle 185" o:spid="_x0000_s1551" style="position:absolute;left:6561;top:8418;width:2880;height:1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">
                            <v:textbo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Сприяння організації бізнесу реемігрантами</w:t>
                                  </w:r>
                                </w:p>
                              </w:txbxContent>
                            </v:textbox>
                          </v:rect>
                          <v:line id="Line 186" o:spid="_x0000_s1552" style="position:absolute;flip:x;visibility:visible;mso-wrap-style:square" from="2961,8154" to="3681,8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">
                            <v:stroke endarrow="block"/>
                          </v:line>
                          <v:line id="Line 187" o:spid="_x0000_s1553" style="position:absolute;visibility:visible;mso-wrap-style:square" from="5301,8154" to="5301,8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">
                            <v:stroke endarrow="block"/>
                          </v:line>
                          <v:line id="Line 188" o:spid="_x0000_s1554" style="position:absolute;visibility:visible;mso-wrap-style:square" from="6921,8154" to="7821,8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">
                            <v:stroke endarrow="block"/>
                          </v:line>
                        </v:group>
                        <v:group id="Group 189" o:spid="_x0000_s1555" style="position:absolute;left:1161;top:4554;width:9900;height:9180" coordorigin="1161,4554" coordsize="9900,9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">
                          <v:group id="Group 190" o:spid="_x0000_s1556" style="position:absolute;left:1161;top:4734;width:8460;height:7271" coordorigin="981,594" coordsize="8640,7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Knp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JX+HvTDgCcv0LAAD//wMAUEsBAi0AFAAGAAgAAAAhANvh9svuAAAAhQEAABMAAAAAAAAA&#10;AAAAAAAAAAAAAFtDb250ZW50X1R5cGVzXS54bWxQSwECLQAUAAYACAAAACEAWvQsW78AAAAVAQAA&#10;CwAAAAAAAAAAAAAAAAAfAQAAX3JlbHMvLnJlbHNQSwECLQAUAAYACAAAACEA0WSp6cYAAADcAAAA&#10;DwAAAAAAAAAAAAAAAAAHAgAAZHJzL2Rvd25yZXYueG1sUEsFBgAAAAADAAMAtwAAAPoCAAAAAA==&#10;">
                            <v:rect id="Rectangle 191" o:spid="_x0000_s1557" style="position:absolute;left:3141;top:594;width:32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" strokeweight="1.5pt">
                              <v:textbox>
                                <w:txbxContent>
                                  <w:p w:rsidR="00BE40F8" w:rsidRPr="00935976" w:rsidRDefault="00BE40F8" w:rsidP="00B233DE">
                                    <w:pPr>
                                      <w:ind w:firstLine="0"/>
                                      <w:jc w:val="center"/>
                                      <w:rPr>
                                        <w:rFonts w:ascii="Times New Roman" w:hAnsi="Times New Roman" w:cs="Times New Roman"/>
                                        <w:sz w:val="16"/>
                                        <w:szCs w:val="16"/>
                                      </w:rPr>
                                    </w:pPr>
                                    <w:r w:rsidRPr="00935976">
                                      <w:rPr>
                                        <w:rFonts w:ascii="Times New Roman" w:hAnsi="Times New Roman" w:cs="Times New Roman"/>
                                        <w:sz w:val="16"/>
                                        <w:szCs w:val="16"/>
                                      </w:rPr>
                                      <w:t>Імміграція</w:t>
                                    </w:r>
                                  </w:p>
                                  <w:p w:rsidR="00BE40F8" w:rsidRPr="00BF1188" w:rsidRDefault="00BE40F8" w:rsidP="00B233DE">
                                    <w:pPr>
                                      <w:jc w:val="center"/>
                                      <w:rPr>
                                        <w:rFonts w:ascii="Calibri" w:hAnsi="Calibri"/>
                                        <w:sz w:val="16"/>
                                        <w:szCs w:val="16"/>
                                      </w:rPr>
                                    </w:pPr>
                                  </w:p>
                                </w:txbxContent>
                              </v:textbox>
                            </v:rect>
                            <v:rect id="Rectangle 192" o:spid="_x0000_s1558" style="position:absolute;left:2421;top:1314;width:5051;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">
                              <v:textbox>
                                <w:txbxContent>
                                  <w:p w:rsidR="00BE40F8" w:rsidRPr="00935976" w:rsidRDefault="00BE40F8" w:rsidP="00B233DE">
                                    <w:pPr>
                                      <w:ind w:firstLine="0"/>
                                      <w:jc w:val="center"/>
                                      <w:rPr>
                                        <w:rFonts w:ascii="Times New Roman" w:hAnsi="Times New Roman" w:cs="Times New Roman"/>
                                        <w:sz w:val="16"/>
                                        <w:szCs w:val="16"/>
                                      </w:rPr>
                                    </w:pPr>
                                    <w:r w:rsidRPr="00935976">
                                      <w:rPr>
                                        <w:rFonts w:ascii="Times New Roman" w:hAnsi="Times New Roman" w:cs="Times New Roman"/>
                                        <w:sz w:val="16"/>
                                        <w:szCs w:val="16"/>
                                      </w:rPr>
                                      <w:t>задоволення потреби ринку праці</w:t>
                                    </w:r>
                                  </w:p>
                                  <w:p w:rsidR="00BE40F8" w:rsidRPr="00BF1188" w:rsidRDefault="00BE40F8" w:rsidP="00B233DE">
                                    <w:pPr>
                                      <w:jc w:val="center"/>
                                      <w:rPr>
                                        <w:rFonts w:ascii="Calibri" w:hAnsi="Calibri"/>
                                        <w:sz w:val="16"/>
                                        <w:szCs w:val="16"/>
                                      </w:rPr>
                                    </w:pPr>
                                  </w:p>
                                </w:txbxContent>
                              </v:textbox>
                            </v:rect>
                            <v:line id="Line 193" o:spid="_x0000_s1559" style="position:absolute;visibility:visible;mso-wrap-style:square" from="4761,1134" to="4761,13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">
                              <v:stroke endarrow="block"/>
                            </v:line>
                            <v:rect id="Rectangle 194" o:spid="_x0000_s1560" style="position:absolute;left:981;top:2214;width:8640;height:5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">
                              <v:fill opacity="0"/>
                              <v:stroke dashstyle="dash"/>
                            </v:rect>
                            <v:line id="Line 195" o:spid="_x0000_s1561" style="position:absolute;visibility:visible;mso-wrap-style:square" from="4761,1854" to="4761,22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">
                              <v:stroke endarrow="block"/>
                            </v:line>
                          </v:group>
                          <v:rect id="Rectangle 196" o:spid="_x0000_s1562" style="position:absolute;left:10161;top:4554;width:900;height:9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">
                            <v:textbox style="layout-flow:vertical;mso-layout-flow-alt:bottom-to-top">
                              <w:txbxContent>
                                <w:p w:rsidR="00BE40F8" w:rsidRPr="00935976" w:rsidRDefault="00BE40F8" w:rsidP="00B233DE">
                                  <w:pPr>
                                    <w:jc w:val="center"/>
                                    <w:rPr>
                                      <w:rFonts w:ascii="Times New Roman" w:hAnsi="Times New Roman" w:cs="Times New Roman"/>
                                      <w:sz w:val="16"/>
                                      <w:szCs w:val="16"/>
                                    </w:rPr>
                                  </w:pPr>
                                  <w:r w:rsidRPr="00935976">
                                    <w:rPr>
                                      <w:rFonts w:ascii="Times New Roman" w:hAnsi="Times New Roman" w:cs="Times New Roman"/>
                                      <w:sz w:val="16"/>
                                      <w:szCs w:val="16"/>
                                    </w:rPr>
                                    <w:t>кількісне та якісне відтворення людського потенціалу</w:t>
                                  </w:r>
                                </w:p>
                              </w:txbxContent>
                            </v:textbox>
                          </v:rect>
                          <v:line id="Line 197" o:spid="_x0000_s1563" style="position:absolute;visibility:visible;mso-wrap-style:square" from="9621,7791" to="10161,77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">
                            <v:stroke dashstyle="dash" endarrow="block"/>
                          </v:line>
                        </v:group>
                        <v:line id="Line 198" o:spid="_x0000_s1564" style="position:absolute;visibility:visible;mso-wrap-style:square" from="9441,13374" to="10161,133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">
                          <v:stroke dashstyle="dash" endarrow="block"/>
                        </v:line>
                      </v:group>
                    </v:group>
                    <v:group id="Group 199" o:spid="_x0000_s1565" style="position:absolute;left:1227;top:2489;width:8394;height:5125" coordorigin="1227,2489" coordsize="8394,5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">
                      <v:rect id="Rectangle 200" o:spid="_x0000_s1566" style="position:absolute;left:6381;top:2574;width:3240;height: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">
                        <v:textbox inset="0,0,0,0">
                          <w:txbxContent>
                            <w:p w:rsidR="00BE40F8" w:rsidRPr="00935976" w:rsidRDefault="00BE40F8" w:rsidP="00B233DE">
                              <w:pPr>
                                <w:ind w:firstLine="0"/>
                                <w:jc w:val="center"/>
                                <w:rPr>
                                  <w:rFonts w:ascii="Times New Roman" w:hAnsi="Times New Roman" w:cs="Times New Roman"/>
                                  <w:sz w:val="16"/>
                                  <w:szCs w:val="16"/>
                                </w:rPr>
                              </w:pPr>
                              <w:r w:rsidRPr="00935976">
                                <w:rPr>
                                  <w:rFonts w:ascii="Times New Roman" w:hAnsi="Times New Roman" w:cs="Times New Roman"/>
                                  <w:sz w:val="16"/>
                                  <w:szCs w:val="16"/>
                                </w:rPr>
                                <w:t>професійно-кваліфікаційна потреба ринку праці</w:t>
                              </w:r>
                            </w:p>
                          </w:txbxContent>
                        </v:textbox>
                      </v:rect>
                      <v:rect id="Rectangle 201" o:spid="_x0000_s1567" style="position:absolute;left:7636;top:3400;width:1805;height:13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">
                        <v:textbox inset="0,0,0,0">
                          <w:txbxContent>
                            <w:p w:rsidR="00BE40F8" w:rsidRPr="00935976" w:rsidRDefault="00BE40F8" w:rsidP="00B233DE">
                              <w:pPr>
                                <w:ind w:firstLine="0"/>
                                <w:jc w:val="center"/>
                                <w:rPr>
                                  <w:rFonts w:ascii="Times New Roman" w:hAnsi="Times New Roman" w:cs="Times New Roman"/>
                                  <w:sz w:val="16"/>
                                  <w:szCs w:val="16"/>
                                </w:rPr>
                              </w:pPr>
                              <w:r w:rsidRPr="00935976">
                                <w:rPr>
                                  <w:rFonts w:ascii="Times New Roman" w:hAnsi="Times New Roman" w:cs="Times New Roman"/>
                                  <w:sz w:val="16"/>
                                  <w:szCs w:val="16"/>
                                </w:rPr>
                                <w:t>задоволення професійно-кваліфікаційної потреби ринку праці</w:t>
                              </w:r>
                            </w:p>
                          </w:txbxContent>
                        </v:textbox>
                      </v:rect>
                      <v:rect id="Rectangle 202" o:spid="_x0000_s1568" style="position:absolute;left:1521;top:3284;width:5760;height:5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">
                        <v:textbox inset="0,0,0,0">
                          <w:txbxContent>
                            <w:p w:rsidR="00BE40F8" w:rsidRPr="00935976" w:rsidRDefault="00BE40F8" w:rsidP="00B233DE">
                              <w:pPr>
                                <w:ind w:firstLine="0"/>
                                <w:rPr>
                                  <w:rFonts w:ascii="Times New Roman" w:hAnsi="Times New Roman" w:cs="Times New Roman"/>
                                  <w:sz w:val="16"/>
                                  <w:szCs w:val="16"/>
                                </w:rPr>
                              </w:pPr>
                              <w:r w:rsidRPr="00935976">
                                <w:rPr>
                                  <w:rFonts w:ascii="Times New Roman" w:hAnsi="Times New Roman" w:cs="Times New Roman"/>
                                  <w:sz w:val="16"/>
                                  <w:szCs w:val="16"/>
                                </w:rPr>
                                <w:t>висококваліфіковані працівники (вища освіта), що працюють по спеціальності</w:t>
                              </w:r>
                            </w:p>
                          </w:txbxContent>
                        </v:textbox>
                      </v:rect>
                      <v:rect id="Rectangle 203" o:spid="_x0000_s1569" style="position:absolute;left:1521;top:3891;width:5760;height:4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">
                        <v:textbox inset="0,0,0,0">
                          <w:txbxContent>
                            <w:p w:rsidR="00BE40F8" w:rsidRPr="00935976" w:rsidRDefault="00BE40F8" w:rsidP="00B233DE">
                              <w:pPr>
                                <w:ind w:firstLine="0"/>
                                <w:rPr>
                                  <w:rFonts w:ascii="Times New Roman" w:hAnsi="Times New Roman" w:cs="Times New Roman"/>
                                  <w:sz w:val="16"/>
                                  <w:szCs w:val="16"/>
                                </w:rPr>
                              </w:pPr>
                              <w:r w:rsidRPr="00935976">
                                <w:rPr>
                                  <w:rFonts w:ascii="Times New Roman" w:hAnsi="Times New Roman" w:cs="Times New Roman"/>
                                  <w:sz w:val="16"/>
                                  <w:szCs w:val="16"/>
                                </w:rPr>
                                <w:t>працівники середньої кваліфікації (професійно-технічна освіта), що працюють по спеціальності</w:t>
                              </w:r>
                            </w:p>
                          </w:txbxContent>
                        </v:textbox>
                      </v:rect>
                      <v:rect id="Rectangle 204" o:spid="_x0000_s1570" style="position:absolute;left:1521;top:4457;width:5760;height: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">
                        <v:textbox inset="0,0,0,0">
                          <w:txbxContent>
                            <w:p w:rsidR="00BE40F8" w:rsidRPr="00935976" w:rsidRDefault="00BE40F8" w:rsidP="00B233DE">
                              <w:pPr>
                                <w:ind w:firstLine="0"/>
                                <w:rPr>
                                  <w:rFonts w:ascii="Times New Roman" w:hAnsi="Times New Roman" w:cs="Times New Roman"/>
                                  <w:sz w:val="16"/>
                                  <w:szCs w:val="16"/>
                                </w:rPr>
                              </w:pPr>
                              <w:r w:rsidRPr="00935976">
                                <w:rPr>
                                  <w:rFonts w:ascii="Times New Roman" w:hAnsi="Times New Roman" w:cs="Times New Roman"/>
                                  <w:sz w:val="16"/>
                                  <w:szCs w:val="16"/>
                                </w:rPr>
                                <w:t>низькокваліфіковані працівники (відсутні</w:t>
                              </w:r>
                              <w:r>
                                <w:rPr>
                                  <w:rFonts w:ascii="Times New Roman" w:hAnsi="Times New Roman" w:cs="Times New Roman"/>
                                  <w:sz w:val="16"/>
                                  <w:szCs w:val="16"/>
                                </w:rPr>
                                <w:t>сть вищої чи професійної освіти)</w:t>
                              </w:r>
                            </w:p>
                          </w:txbxContent>
                        </v:textbox>
                      </v:rect>
                      <v:rect id="Rectangle 205" o:spid="_x0000_s1571" style="position:absolute;left:4941;top:5702;width:2525;height:4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">
                        <v:textbo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вікова потреба ринку праці</w:t>
                              </w:r>
                            </w:p>
                          </w:txbxContent>
                        </v:textbox>
                      </v:rect>
                      <v:rect id="Rectangle 206" o:spid="_x0000_s1572" style="position:absolute;left:7641;top:5702;width:1800;height:10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">
                        <v:textbox inset="0,0,0,0">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задоволення вікової потреби</w:t>
                              </w:r>
                              <w:r w:rsidRPr="00BF1188">
                                <w:rPr>
                                  <w:rFonts w:ascii="Calibri" w:hAnsi="Calibri"/>
                                  <w:sz w:val="16"/>
                                  <w:szCs w:val="16"/>
                                </w:rPr>
                                <w:t xml:space="preserve"> </w:t>
                              </w:r>
                              <w:r w:rsidRPr="00EB52A2">
                                <w:rPr>
                                  <w:rFonts w:ascii="Times New Roman" w:hAnsi="Times New Roman" w:cs="Times New Roman"/>
                                  <w:sz w:val="16"/>
                                  <w:szCs w:val="16"/>
                                </w:rPr>
                                <w:t>ринку праці</w:t>
                              </w:r>
                            </w:p>
                          </w:txbxContent>
                        </v:textbox>
                      </v:rect>
                      <v:rect id="Rectangle 207" o:spid="_x0000_s1573" style="position:absolute;left:4941;top:6397;width:2525;height:4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">
                        <v:textbo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віковий відбір іммігрантів</w:t>
                              </w:r>
                            </w:p>
                          </w:txbxContent>
                        </v:textbox>
                      </v:rect>
                      <v:rect id="Rectangle 208" o:spid="_x0000_s1574" style="position:absolute;left:4941;top:7093;width:2520;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">
                        <v:textbo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народження дітей іммігрантами в середині країни</w:t>
                              </w:r>
                            </w:p>
                          </w:txbxContent>
                        </v:textbox>
                      </v:rect>
                      <v:rect id="Rectangle 209" o:spid="_x0000_s1575" style="position:absolute;left:5661;top:5121;width:3060;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">
                        <v:textbox>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навчання та адаптація іммігрантів</w:t>
                              </w:r>
                            </w:p>
                          </w:txbxContent>
                        </v:textbox>
                      </v:rect>
                      <v:rect id="Rectangle 210" o:spid="_x0000_s1576" style="position:absolute;left:1227;top:2489;width:4680;height:7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">
                        <v:textbox inset="0,0,0,0">
                          <w:txbxContent>
                            <w:p w:rsidR="00BE40F8" w:rsidRPr="00935976" w:rsidRDefault="00BE40F8" w:rsidP="00B233DE">
                              <w:pPr>
                                <w:ind w:firstLine="0"/>
                                <w:jc w:val="center"/>
                                <w:rPr>
                                  <w:rFonts w:ascii="Times New Roman" w:hAnsi="Times New Roman" w:cs="Times New Roman"/>
                                  <w:sz w:val="16"/>
                                  <w:szCs w:val="16"/>
                                </w:rPr>
                              </w:pPr>
                              <w:r w:rsidRPr="00935976">
                                <w:rPr>
                                  <w:rFonts w:ascii="Times New Roman" w:hAnsi="Times New Roman" w:cs="Times New Roman"/>
                                  <w:spacing w:val="-4"/>
                                  <w:sz w:val="16"/>
                                  <w:szCs w:val="16"/>
                                </w:rPr>
                                <w:t>дефіцит трудових ресурсів за видами еко-</w:t>
                              </w:r>
                              <w:r w:rsidRPr="00935976">
                                <w:rPr>
                                  <w:rFonts w:ascii="Times New Roman" w:hAnsi="Times New Roman" w:cs="Times New Roman"/>
                                  <w:sz w:val="16"/>
                                  <w:szCs w:val="16"/>
                                </w:rPr>
                                <w:t>номічної діяльності за рахунок еміграції</w:t>
                              </w:r>
                            </w:p>
                          </w:txbxContent>
                        </v:textbox>
                      </v:rect>
                      <v:rect id="Rectangle 211" o:spid="_x0000_s1577" style="position:absolute;left:1227;top:5083;width:3714;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">
                        <v:textbox inset="0,0,0,0">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можливий приріст за рахунок імміграції</w:t>
                              </w:r>
                            </w:p>
                            <w:p w:rsidR="00BE40F8" w:rsidRPr="00BF1188" w:rsidRDefault="00BE40F8" w:rsidP="00B233DE">
                              <w:pPr>
                                <w:rPr>
                                  <w:rFonts w:ascii="Calibri" w:hAnsi="Calibri"/>
                                  <w:sz w:val="16"/>
                                  <w:szCs w:val="16"/>
                                </w:rPr>
                              </w:pPr>
                            </w:p>
                          </w:txbxContent>
                        </v:textbox>
                      </v:rect>
                      <v:rect id="Rectangle 212" o:spid="_x0000_s1578" style="position:absolute;left:1521;top:5702;width:3240;height: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">
                        <v:textbox inset="0,0,0,0">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дефіцит осіб працездатного віку за рахунок еміграції</w:t>
                              </w:r>
                            </w:p>
                          </w:txbxContent>
                        </v:textbox>
                      </v:rect>
                      <v:rect id="Rectangle 213" o:spid="_x0000_s1579" style="position:absolute;left:1521;top:6397;width:3240;height:6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">
                        <v:textbox inset="0,0,0,0">
                          <w:txbxContent>
                            <w:p w:rsidR="00BE40F8" w:rsidRPr="00EB52A2" w:rsidRDefault="00BE40F8" w:rsidP="00B233DE">
                              <w:pPr>
                                <w:ind w:firstLine="0"/>
                                <w:jc w:val="center"/>
                                <w:rPr>
                                  <w:rFonts w:ascii="Times New Roman" w:hAnsi="Times New Roman" w:cs="Times New Roman"/>
                                  <w:sz w:val="16"/>
                                  <w:szCs w:val="16"/>
                                </w:rPr>
                              </w:pPr>
                              <w:r w:rsidRPr="00EB52A2">
                                <w:rPr>
                                  <w:rFonts w:ascii="Times New Roman" w:hAnsi="Times New Roman" w:cs="Times New Roman"/>
                                  <w:sz w:val="16"/>
                                  <w:szCs w:val="16"/>
                                </w:rPr>
                                <w:t>можливий приріст за рахунок імміграції</w:t>
                              </w:r>
                            </w:p>
                          </w:txbxContent>
                        </v:textbox>
                      </v:rect>
                      <v:line id="Line 214" o:spid="_x0000_s1580" style="position:absolute;visibility:visible;mso-wrap-style:square" from="5907,2754" to="6381,2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">
                        <v:stroke endarrow="block"/>
                      </v:line>
                      <v:line id="Line 215" o:spid="_x0000_s1581" style="position:absolute;flip:y;visibility:visible;mso-wrap-style:square" from="8181,3095" to="8181,3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">
                        <v:stroke endarrow="block"/>
                      </v:line>
                      <v:line id="Line 216" o:spid="_x0000_s1582" style="position:absolute;visibility:visible;mso-wrap-style:square" from="8541,3095" to="8541,3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">
                        <v:stroke endarrow="block"/>
                      </v:line>
                      <v:line id="Line 217" o:spid="_x0000_s1583" style="position:absolute;flip:x y;visibility:visible;mso-wrap-style:square" from="7281,3964" to="7641,5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">
                        <v:stroke endarrow="block"/>
                      </v:line>
                      <v:line id="Line 218" o:spid="_x0000_s1584" style="position:absolute;flip:x y;visibility:visible;mso-wrap-style:square" from="8539,4745" to="8541,5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">
                        <v:stroke endarrow="block"/>
                      </v:line>
                      <v:line id="Line 219" o:spid="_x0000_s1585" style="position:absolute;visibility:visible;mso-wrap-style:square" from="1374,3190" to="1374,50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">
                        <v:stroke endarrow="block"/>
                      </v:line>
                      <v:line id="Line 220" o:spid="_x0000_s1586" style="position:absolute;visibility:visible;mso-wrap-style:square" from="4941,5181" to="5661,5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">
                        <v:stroke endarrow="block"/>
                      </v:line>
                      <v:line id="Line 221" o:spid="_x0000_s1587" style="position:absolute;visibility:visible;mso-wrap-style:square" from="4761,5876" to="4941,58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">
                        <v:stroke endarrow="block"/>
                      </v:line>
                      <v:line id="Line 222" o:spid="_x0000_s1588" style="position:absolute;visibility:visible;mso-wrap-style:square" from="4761,6571" to="4941,65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">
                        <v:stroke endarrow="block"/>
                      </v:line>
                      <v:line id="Line 223" o:spid="_x0000_s1589" style="position:absolute;visibility:visible;mso-wrap-style:square" from="4761,7093" to="4941,7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">
                        <v:stroke endarrow="block"/>
                      </v:line>
                      <v:line id="Line 224" o:spid="_x0000_s1590" style="position:absolute;flip:x;visibility:visible;mso-wrap-style:square" from="7461,6050" to="7641,6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">
                        <v:stroke endarrow="block"/>
                      </v:line>
                      <v:line id="Line 225" o:spid="_x0000_s1591" style="position:absolute;visibility:visible;mso-wrap-style:square" from="7461,5876" to="7641,58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">
                        <v:stroke endarrow="block"/>
                      </v:line>
                      <v:line id="Line 226" o:spid="_x0000_s1592" style="position:absolute;visibility:visible;mso-wrap-style:square" from="7461,6571" to="7641,65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">
                        <v:stroke endarrow="block"/>
                      </v:line>
                    </v:group>
                  </v:group>
                  <v:line id="Line 227" o:spid="_x0000_s1593" style="position:absolute;flip:x y;visibility:visible;mso-wrap-style:square" from="7641,2934" to="7821,38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">
                    <v:stroke endarrow="block"/>
                  </v:line>
                </v:group>
                <v:line id="Line 228" o:spid="_x0000_s1594" style="position:absolute;flip:x y;visibility:visible;mso-wrap-style:square" from="7461,4914" to="7641,50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">
                  <v:stroke endarrow="block"/>
                </v:line>
                <w10:wrap type="topAndBottom"/>
              </v:group>
            </w:pict>
          </mc:Fallback>
        </mc:AlternateContent>
      </w:r>
      <w:r>
        <w:rPr>
          <w:rFonts w:ascii="Times New Roman" w:hAnsi="Times New Roman" w:cs="Times New Roman"/>
          <w:b/>
          <w:sz w:val="21"/>
          <w:szCs w:val="21"/>
        </w:rPr>
        <w:t xml:space="preserve">Рис. 4.6. </w:t>
      </w:r>
      <w:r w:rsidRPr="00935976">
        <w:rPr>
          <w:rFonts w:ascii="Times New Roman" w:hAnsi="Times New Roman" w:cs="Times New Roman"/>
          <w:b/>
          <w:sz w:val="21"/>
          <w:szCs w:val="21"/>
        </w:rPr>
        <w:t>Ефекти від перерозподілу людського потенціалу для країн походження та призначення</w:t>
      </w:r>
    </w:p>
    <w:p w:rsidR="00B233DE" w:rsidRPr="00C4343A" w:rsidRDefault="00B233DE" w:rsidP="00B233DE">
      <w:pPr>
        <w:tabs>
          <w:tab w:val="left" w:pos="2880"/>
        </w:tabs>
        <w:ind w:firstLine="709"/>
        <w:jc w:val="both"/>
        <w:rPr>
          <w:rFonts w:ascii="Times New Roman" w:hAnsi="Times New Roman" w:cs="Times New Roman"/>
          <w:sz w:val="21"/>
          <w:szCs w:val="21"/>
        </w:rPr>
      </w:pPr>
      <w:r w:rsidRPr="00C4343A">
        <w:rPr>
          <w:rFonts w:ascii="Times New Roman" w:hAnsi="Times New Roman" w:cs="Times New Roman"/>
          <w:sz w:val="21"/>
          <w:szCs w:val="21"/>
        </w:rPr>
        <w:lastRenderedPageBreak/>
        <w:t>Інвестування грошових переказів та розширення споживання генерує мультиплікативний ефект, сприяючи збільшенню В</w:t>
      </w:r>
      <w:r>
        <w:rPr>
          <w:rFonts w:ascii="Times New Roman" w:hAnsi="Times New Roman" w:cs="Times New Roman"/>
          <w:sz w:val="21"/>
          <w:szCs w:val="21"/>
        </w:rPr>
        <w:t>ВП на душу населення</w:t>
      </w:r>
      <w:r w:rsidRPr="00C4343A">
        <w:rPr>
          <w:rFonts w:ascii="Times New Roman" w:hAnsi="Times New Roman" w:cs="Times New Roman"/>
          <w:sz w:val="21"/>
          <w:szCs w:val="21"/>
        </w:rPr>
        <w:t>. Дані потоки капіталу не підлягають ризику вилучення на відміну від іноземних інвестицій і є стабільним джерелом доходу для країн [</w:t>
      </w:r>
      <w:r>
        <w:rPr>
          <w:rFonts w:ascii="Times New Roman" w:hAnsi="Times New Roman" w:cs="Times New Roman"/>
          <w:bCs/>
          <w:sz w:val="21"/>
          <w:szCs w:val="21"/>
          <w:highlight w:val="yellow"/>
        </w:rPr>
        <w:fldChar w:fldCharType="begin"/>
      </w:r>
      <w:r>
        <w:rPr>
          <w:rFonts w:ascii="Times New Roman" w:hAnsi="Times New Roman" w:cs="Times New Roman"/>
          <w:sz w:val="21"/>
          <w:szCs w:val="21"/>
        </w:rPr>
        <w:instrText xml:space="preserve"> REF _Ref435182370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z w:val="21"/>
          <w:szCs w:val="21"/>
        </w:rPr>
        <w:t>7</w:t>
      </w:r>
      <w:r>
        <w:rPr>
          <w:rFonts w:ascii="Times New Roman" w:hAnsi="Times New Roman" w:cs="Times New Roman"/>
          <w:bCs/>
          <w:sz w:val="21"/>
          <w:szCs w:val="21"/>
          <w:highlight w:val="yellow"/>
        </w:rPr>
        <w:fldChar w:fldCharType="end"/>
      </w:r>
      <w:r w:rsidRPr="00C4343A">
        <w:rPr>
          <w:rFonts w:ascii="Times New Roman" w:hAnsi="Times New Roman" w:cs="Times New Roman"/>
          <w:sz w:val="21"/>
          <w:szCs w:val="21"/>
        </w:rPr>
        <w:t xml:space="preserve">, </w:t>
      </w:r>
      <w:r w:rsidRPr="00C4343A">
        <w:rPr>
          <w:rFonts w:ascii="Times New Roman" w:hAnsi="Times New Roman" w:cs="Times New Roman"/>
          <w:sz w:val="21"/>
          <w:szCs w:val="21"/>
          <w:lang w:val="en-US"/>
        </w:rPr>
        <w:t>c</w:t>
      </w:r>
      <w:r w:rsidRPr="00C4343A">
        <w:rPr>
          <w:rFonts w:ascii="Times New Roman" w:hAnsi="Times New Roman" w:cs="Times New Roman"/>
          <w:sz w:val="21"/>
          <w:szCs w:val="21"/>
        </w:rPr>
        <w:t>. 135]. Таким чином, грошові перекази можуть бути використані для якісного відтворення людського потенціалу, що є позитивним ефектом його перерозподілу.</w:t>
      </w:r>
    </w:p>
    <w:p w:rsidR="00B233DE" w:rsidRPr="000318B2" w:rsidRDefault="00B233DE" w:rsidP="00B233DE">
      <w:pPr>
        <w:tabs>
          <w:tab w:val="left" w:pos="2880"/>
        </w:tabs>
        <w:ind w:firstLine="709"/>
        <w:jc w:val="both"/>
        <w:rPr>
          <w:rFonts w:ascii="Times New Roman" w:hAnsi="Times New Roman" w:cs="Times New Roman"/>
          <w:spacing w:val="-4"/>
          <w:sz w:val="21"/>
          <w:szCs w:val="21"/>
        </w:rPr>
      </w:pPr>
      <w:r w:rsidRPr="000318B2">
        <w:rPr>
          <w:rFonts w:ascii="Times New Roman" w:hAnsi="Times New Roman" w:cs="Times New Roman"/>
          <w:sz w:val="21"/>
          <w:szCs w:val="21"/>
        </w:rPr>
        <w:t>Підвищення рівня життя у країні походження мігрантів зумовлює зворотні міграційні процеси.</w:t>
      </w:r>
      <w:r w:rsidRPr="000318B2">
        <w:rPr>
          <w:rFonts w:ascii="Times New Roman" w:hAnsi="Times New Roman" w:cs="Times New Roman"/>
          <w:spacing w:val="-4"/>
          <w:sz w:val="21"/>
          <w:szCs w:val="21"/>
        </w:rPr>
        <w:t xml:space="preserve"> Такий сценарій міграції підтверджується історією країн Південної Європи та Ірландії, де підвищення рівня життя з кінця 70-х років ХХ століття посприяло активній рееміграції і зміну їх ролі з країн походження на країни призначення мігрантів [</w:t>
      </w:r>
      <w:r>
        <w:rPr>
          <w:rFonts w:ascii="Times New Roman" w:hAnsi="Times New Roman" w:cs="Times New Roman"/>
          <w:sz w:val="21"/>
          <w:szCs w:val="21"/>
          <w:highlight w:val="yellow"/>
          <w:lang w:val="en-US"/>
        </w:rPr>
        <w:fldChar w:fldCharType="begin"/>
      </w:r>
      <w:r>
        <w:rPr>
          <w:rFonts w:ascii="Times New Roman" w:hAnsi="Times New Roman" w:cs="Times New Roman"/>
          <w:spacing w:val="-4"/>
          <w:sz w:val="21"/>
          <w:szCs w:val="21"/>
        </w:rPr>
        <w:instrText xml:space="preserve"> REF _Ref435182536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pacing w:val="-4"/>
          <w:sz w:val="21"/>
          <w:szCs w:val="21"/>
        </w:rPr>
        <w:t>66</w:t>
      </w:r>
      <w:r>
        <w:rPr>
          <w:rFonts w:ascii="Times New Roman" w:hAnsi="Times New Roman" w:cs="Times New Roman"/>
          <w:sz w:val="21"/>
          <w:szCs w:val="21"/>
          <w:highlight w:val="yellow"/>
          <w:lang w:val="en-US"/>
        </w:rPr>
        <w:fldChar w:fldCharType="end"/>
      </w:r>
      <w:r w:rsidRPr="000318B2">
        <w:rPr>
          <w:rFonts w:ascii="Times New Roman" w:hAnsi="Times New Roman" w:cs="Times New Roman"/>
          <w:spacing w:val="-4"/>
          <w:sz w:val="21"/>
          <w:szCs w:val="21"/>
        </w:rPr>
        <w:t xml:space="preserve">, </w:t>
      </w:r>
      <w:r w:rsidRPr="000318B2">
        <w:rPr>
          <w:rFonts w:ascii="Times New Roman" w:hAnsi="Times New Roman" w:cs="Times New Roman"/>
          <w:spacing w:val="-4"/>
          <w:sz w:val="21"/>
          <w:szCs w:val="21"/>
          <w:lang w:val="en-US"/>
        </w:rPr>
        <w:t>c</w:t>
      </w:r>
      <w:r w:rsidRPr="000318B2">
        <w:rPr>
          <w:rFonts w:ascii="Times New Roman" w:hAnsi="Times New Roman" w:cs="Times New Roman"/>
          <w:spacing w:val="-4"/>
          <w:sz w:val="21"/>
          <w:szCs w:val="21"/>
        </w:rPr>
        <w:t>. 86</w:t>
      </w:r>
      <w:r>
        <w:rPr>
          <w:rFonts w:ascii="Times New Roman" w:hAnsi="Times New Roman" w:cs="Times New Roman"/>
          <w:spacing w:val="-4"/>
          <w:sz w:val="21"/>
          <w:szCs w:val="21"/>
        </w:rPr>
        <w:t>–</w:t>
      </w:r>
      <w:r w:rsidRPr="000318B2">
        <w:rPr>
          <w:rFonts w:ascii="Times New Roman" w:hAnsi="Times New Roman" w:cs="Times New Roman"/>
          <w:spacing w:val="-4"/>
          <w:sz w:val="21"/>
          <w:szCs w:val="21"/>
        </w:rPr>
        <w:t xml:space="preserve">92]. Підсумовуючи історичний досвід зворотних міграційних переміщень населення, можемо визначити основні чинники циклічної міграції висококваліфікованих працівників (табл. </w:t>
      </w:r>
      <w:r>
        <w:rPr>
          <w:rFonts w:ascii="Times New Roman" w:hAnsi="Times New Roman" w:cs="Times New Roman"/>
          <w:spacing w:val="-4"/>
          <w:sz w:val="21"/>
          <w:szCs w:val="21"/>
        </w:rPr>
        <w:t>4.3</w:t>
      </w:r>
      <w:r w:rsidRPr="000318B2">
        <w:rPr>
          <w:rFonts w:ascii="Times New Roman" w:hAnsi="Times New Roman" w:cs="Times New Roman"/>
          <w:spacing w:val="-4"/>
          <w:sz w:val="21"/>
          <w:szCs w:val="21"/>
        </w:rPr>
        <w:t>) [</w:t>
      </w:r>
      <w:r>
        <w:rPr>
          <w:rFonts w:ascii="Times New Roman" w:hAnsi="Times New Roman" w:cs="Times New Roman"/>
          <w:sz w:val="21"/>
          <w:szCs w:val="21"/>
          <w:highlight w:val="yellow"/>
          <w:lang w:val="en-GB"/>
        </w:rPr>
        <w:fldChar w:fldCharType="begin"/>
      </w:r>
      <w:r>
        <w:rPr>
          <w:rFonts w:ascii="Times New Roman" w:hAnsi="Times New Roman" w:cs="Times New Roman"/>
          <w:spacing w:val="-4"/>
          <w:sz w:val="21"/>
          <w:szCs w:val="21"/>
        </w:rPr>
        <w:instrText xml:space="preserve"> REF _Ref435182249 \r \h </w:instrText>
      </w:r>
      <w:r>
        <w:rPr>
          <w:rFonts w:ascii="Times New Roman" w:hAnsi="Times New Roman" w:cs="Times New Roman"/>
          <w:sz w:val="21"/>
          <w:szCs w:val="21"/>
          <w:highlight w:val="yellow"/>
          <w:lang w:val="en-GB"/>
        </w:rPr>
      </w:r>
      <w:r>
        <w:rPr>
          <w:rFonts w:ascii="Times New Roman" w:hAnsi="Times New Roman" w:cs="Times New Roman"/>
          <w:sz w:val="21"/>
          <w:szCs w:val="21"/>
          <w:highlight w:val="yellow"/>
          <w:lang w:val="en-GB"/>
        </w:rPr>
        <w:fldChar w:fldCharType="separate"/>
      </w:r>
      <w:r>
        <w:rPr>
          <w:rFonts w:ascii="Times New Roman" w:hAnsi="Times New Roman" w:cs="Times New Roman"/>
          <w:spacing w:val="-4"/>
          <w:sz w:val="21"/>
          <w:szCs w:val="21"/>
        </w:rPr>
        <w:t>69</w:t>
      </w:r>
      <w:r>
        <w:rPr>
          <w:rFonts w:ascii="Times New Roman" w:hAnsi="Times New Roman" w:cs="Times New Roman"/>
          <w:sz w:val="21"/>
          <w:szCs w:val="21"/>
          <w:highlight w:val="yellow"/>
          <w:lang w:val="en-GB"/>
        </w:rPr>
        <w:fldChar w:fldCharType="end"/>
      </w:r>
      <w:r w:rsidRPr="000318B2">
        <w:rPr>
          <w:rFonts w:ascii="Times New Roman" w:hAnsi="Times New Roman" w:cs="Times New Roman"/>
          <w:spacing w:val="-4"/>
          <w:sz w:val="21"/>
          <w:szCs w:val="21"/>
        </w:rPr>
        <w:t>].</w:t>
      </w:r>
    </w:p>
    <w:p w:rsidR="00B233DE" w:rsidRDefault="00B233DE" w:rsidP="00B233DE">
      <w:pPr>
        <w:tabs>
          <w:tab w:val="left" w:pos="2880"/>
        </w:tabs>
        <w:ind w:firstLine="709"/>
        <w:jc w:val="both"/>
        <w:rPr>
          <w:rFonts w:ascii="Times New Roman" w:hAnsi="Times New Roman" w:cs="Times New Roman"/>
          <w:sz w:val="21"/>
          <w:szCs w:val="21"/>
        </w:rPr>
      </w:pPr>
    </w:p>
    <w:p w:rsidR="00B233DE" w:rsidRPr="000318B2" w:rsidRDefault="00B233DE" w:rsidP="00B233DE">
      <w:pPr>
        <w:tabs>
          <w:tab w:val="left" w:pos="2880"/>
        </w:tabs>
        <w:ind w:firstLine="709"/>
        <w:jc w:val="right"/>
        <w:rPr>
          <w:rFonts w:ascii="Times New Roman" w:hAnsi="Times New Roman" w:cs="Times New Roman"/>
          <w:sz w:val="21"/>
          <w:szCs w:val="21"/>
        </w:rPr>
      </w:pPr>
      <w:r w:rsidRPr="000318B2">
        <w:rPr>
          <w:rFonts w:ascii="Times New Roman" w:hAnsi="Times New Roman" w:cs="Times New Roman"/>
          <w:sz w:val="21"/>
          <w:szCs w:val="21"/>
        </w:rPr>
        <w:t xml:space="preserve">Таблиця </w:t>
      </w:r>
      <w:r>
        <w:rPr>
          <w:rFonts w:ascii="Times New Roman" w:hAnsi="Times New Roman" w:cs="Times New Roman"/>
          <w:sz w:val="21"/>
          <w:szCs w:val="21"/>
        </w:rPr>
        <w:t>4.3</w:t>
      </w:r>
    </w:p>
    <w:p w:rsidR="00B233DE" w:rsidRPr="000318B2" w:rsidRDefault="00B233DE" w:rsidP="00B233DE">
      <w:pPr>
        <w:tabs>
          <w:tab w:val="left" w:pos="2880"/>
        </w:tabs>
        <w:ind w:firstLine="709"/>
        <w:jc w:val="center"/>
        <w:rPr>
          <w:rFonts w:ascii="Times New Roman" w:hAnsi="Times New Roman" w:cs="Times New Roman"/>
          <w:b/>
          <w:sz w:val="21"/>
          <w:szCs w:val="21"/>
        </w:rPr>
      </w:pPr>
      <w:r w:rsidRPr="000318B2">
        <w:rPr>
          <w:rFonts w:ascii="Times New Roman" w:hAnsi="Times New Roman" w:cs="Times New Roman"/>
          <w:b/>
          <w:sz w:val="21"/>
          <w:szCs w:val="21"/>
        </w:rPr>
        <w:t>Мотиваційні чинники міграції висококваліфікованих працівників [</w:t>
      </w:r>
      <w:r>
        <w:rPr>
          <w:rFonts w:ascii="Times New Roman" w:hAnsi="Times New Roman" w:cs="Times New Roman"/>
          <w:sz w:val="21"/>
          <w:szCs w:val="21"/>
          <w:highlight w:val="yellow"/>
          <w:lang w:val="en-GB"/>
        </w:rPr>
        <w:fldChar w:fldCharType="begin"/>
      </w:r>
      <w:r>
        <w:rPr>
          <w:rFonts w:ascii="Times New Roman" w:hAnsi="Times New Roman" w:cs="Times New Roman"/>
          <w:b/>
          <w:sz w:val="21"/>
          <w:szCs w:val="21"/>
        </w:rPr>
        <w:instrText xml:space="preserve"> REF _Ref435182249 \r \h </w:instrText>
      </w:r>
      <w:r>
        <w:rPr>
          <w:rFonts w:ascii="Times New Roman" w:hAnsi="Times New Roman" w:cs="Times New Roman"/>
          <w:sz w:val="21"/>
          <w:szCs w:val="21"/>
          <w:highlight w:val="yellow"/>
          <w:lang w:val="en-GB"/>
        </w:rPr>
      </w:r>
      <w:r>
        <w:rPr>
          <w:rFonts w:ascii="Times New Roman" w:hAnsi="Times New Roman" w:cs="Times New Roman"/>
          <w:sz w:val="21"/>
          <w:szCs w:val="21"/>
          <w:highlight w:val="yellow"/>
          <w:lang w:val="en-GB"/>
        </w:rPr>
        <w:fldChar w:fldCharType="separate"/>
      </w:r>
      <w:r>
        <w:rPr>
          <w:rFonts w:ascii="Times New Roman" w:hAnsi="Times New Roman" w:cs="Times New Roman"/>
          <w:b/>
          <w:sz w:val="21"/>
          <w:szCs w:val="21"/>
        </w:rPr>
        <w:t>69</w:t>
      </w:r>
      <w:r>
        <w:rPr>
          <w:rFonts w:ascii="Times New Roman" w:hAnsi="Times New Roman" w:cs="Times New Roman"/>
          <w:sz w:val="21"/>
          <w:szCs w:val="21"/>
          <w:highlight w:val="yellow"/>
          <w:lang w:val="en-GB"/>
        </w:rPr>
        <w:fldChar w:fldCharType="end"/>
      </w:r>
      <w:r w:rsidRPr="000318B2">
        <w:rPr>
          <w:rFonts w:ascii="Times New Roman" w:hAnsi="Times New Roman" w:cs="Times New Roman"/>
          <w:b/>
          <w:sz w:val="21"/>
          <w:szCs w:val="21"/>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4"/>
        <w:gridCol w:w="3176"/>
      </w:tblGrid>
      <w:tr w:rsidR="00B233DE" w:rsidRPr="000318B2" w:rsidTr="0023489B">
        <w:tc>
          <w:tcPr>
            <w:tcW w:w="4785" w:type="dxa"/>
          </w:tcPr>
          <w:p w:rsidR="00B233DE" w:rsidRPr="000318B2" w:rsidRDefault="00B233DE" w:rsidP="0023489B">
            <w:pPr>
              <w:tabs>
                <w:tab w:val="left" w:pos="2880"/>
              </w:tabs>
              <w:ind w:firstLine="0"/>
              <w:jc w:val="center"/>
              <w:rPr>
                <w:rFonts w:ascii="Times New Roman" w:hAnsi="Times New Roman" w:cs="Times New Roman"/>
                <w:sz w:val="19"/>
                <w:szCs w:val="19"/>
              </w:rPr>
            </w:pPr>
            <w:r w:rsidRPr="000318B2">
              <w:rPr>
                <w:rFonts w:ascii="Times New Roman" w:hAnsi="Times New Roman" w:cs="Times New Roman"/>
                <w:sz w:val="19"/>
                <w:szCs w:val="19"/>
              </w:rPr>
              <w:t>Еміграція</w:t>
            </w:r>
          </w:p>
        </w:tc>
        <w:tc>
          <w:tcPr>
            <w:tcW w:w="4785" w:type="dxa"/>
          </w:tcPr>
          <w:p w:rsidR="00B233DE" w:rsidRPr="000318B2" w:rsidRDefault="00B233DE" w:rsidP="0023489B">
            <w:pPr>
              <w:tabs>
                <w:tab w:val="left" w:pos="2880"/>
              </w:tabs>
              <w:ind w:firstLine="0"/>
              <w:jc w:val="center"/>
              <w:rPr>
                <w:rFonts w:ascii="Times New Roman" w:hAnsi="Times New Roman" w:cs="Times New Roman"/>
                <w:sz w:val="19"/>
                <w:szCs w:val="19"/>
              </w:rPr>
            </w:pPr>
            <w:r w:rsidRPr="000318B2">
              <w:rPr>
                <w:rFonts w:ascii="Times New Roman" w:hAnsi="Times New Roman" w:cs="Times New Roman"/>
                <w:sz w:val="19"/>
                <w:szCs w:val="19"/>
              </w:rPr>
              <w:t>Рееміграція</w:t>
            </w:r>
          </w:p>
        </w:tc>
      </w:tr>
      <w:tr w:rsidR="00B233DE" w:rsidRPr="000318B2" w:rsidTr="0023489B">
        <w:tc>
          <w:tcPr>
            <w:tcW w:w="4785" w:type="dxa"/>
          </w:tcPr>
          <w:p w:rsidR="00B233DE" w:rsidRPr="000318B2" w:rsidRDefault="00B233DE" w:rsidP="0023489B">
            <w:pPr>
              <w:tabs>
                <w:tab w:val="left" w:pos="2880"/>
              </w:tabs>
              <w:ind w:firstLine="0"/>
              <w:jc w:val="both"/>
              <w:rPr>
                <w:rFonts w:ascii="Times New Roman" w:hAnsi="Times New Roman" w:cs="Times New Roman"/>
                <w:sz w:val="19"/>
                <w:szCs w:val="19"/>
              </w:rPr>
            </w:pPr>
            <w:r w:rsidRPr="000318B2">
              <w:rPr>
                <w:rFonts w:ascii="Times New Roman" w:hAnsi="Times New Roman" w:cs="Times New Roman"/>
                <w:sz w:val="19"/>
                <w:szCs w:val="19"/>
              </w:rPr>
              <w:t>1. Збільшення доходів від вищої заробітної плати в країні призначення</w:t>
            </w:r>
          </w:p>
        </w:tc>
        <w:tc>
          <w:tcPr>
            <w:tcW w:w="4785" w:type="dxa"/>
          </w:tcPr>
          <w:p w:rsidR="00B233DE" w:rsidRPr="000318B2" w:rsidRDefault="00B233DE" w:rsidP="0023489B">
            <w:pPr>
              <w:tabs>
                <w:tab w:val="left" w:pos="2880"/>
              </w:tabs>
              <w:ind w:firstLine="0"/>
              <w:jc w:val="both"/>
              <w:rPr>
                <w:rFonts w:ascii="Times New Roman" w:hAnsi="Times New Roman" w:cs="Times New Roman"/>
                <w:sz w:val="19"/>
                <w:szCs w:val="19"/>
              </w:rPr>
            </w:pPr>
            <w:r w:rsidRPr="000318B2">
              <w:rPr>
                <w:rFonts w:ascii="Times New Roman" w:hAnsi="Times New Roman" w:cs="Times New Roman"/>
                <w:sz w:val="19"/>
                <w:szCs w:val="19"/>
              </w:rPr>
              <w:t>1. Загальне покращ</w:t>
            </w:r>
            <w:r>
              <w:rPr>
                <w:rFonts w:ascii="Times New Roman" w:hAnsi="Times New Roman" w:cs="Times New Roman"/>
                <w:sz w:val="19"/>
                <w:szCs w:val="19"/>
              </w:rPr>
              <w:t>а</w:t>
            </w:r>
            <w:r w:rsidRPr="000318B2">
              <w:rPr>
                <w:rFonts w:ascii="Times New Roman" w:hAnsi="Times New Roman" w:cs="Times New Roman"/>
                <w:sz w:val="19"/>
                <w:szCs w:val="19"/>
              </w:rPr>
              <w:t>ння економічної та політичної ситуації в країні походження (чинник, що зумовив еміграцію, втратив свою важливість)</w:t>
            </w:r>
          </w:p>
        </w:tc>
      </w:tr>
      <w:tr w:rsidR="00B233DE" w:rsidRPr="000318B2" w:rsidTr="0023489B">
        <w:tc>
          <w:tcPr>
            <w:tcW w:w="4785" w:type="dxa"/>
          </w:tcPr>
          <w:p w:rsidR="00B233DE" w:rsidRPr="000318B2" w:rsidRDefault="00B233DE" w:rsidP="0023489B">
            <w:pPr>
              <w:tabs>
                <w:tab w:val="left" w:pos="2880"/>
              </w:tabs>
              <w:ind w:firstLine="0"/>
              <w:jc w:val="both"/>
              <w:rPr>
                <w:rFonts w:ascii="Times New Roman" w:hAnsi="Times New Roman" w:cs="Times New Roman"/>
                <w:sz w:val="19"/>
                <w:szCs w:val="19"/>
              </w:rPr>
            </w:pPr>
            <w:r w:rsidRPr="000318B2">
              <w:rPr>
                <w:rFonts w:ascii="Times New Roman" w:hAnsi="Times New Roman" w:cs="Times New Roman"/>
                <w:sz w:val="19"/>
                <w:szCs w:val="19"/>
              </w:rPr>
              <w:t>2. Забезпечення стабільної зайнятості в країні призначення</w:t>
            </w:r>
          </w:p>
        </w:tc>
        <w:tc>
          <w:tcPr>
            <w:tcW w:w="4785" w:type="dxa"/>
          </w:tcPr>
          <w:p w:rsidR="00B233DE" w:rsidRPr="000318B2" w:rsidRDefault="00B233DE" w:rsidP="0023489B">
            <w:pPr>
              <w:tabs>
                <w:tab w:val="left" w:pos="2880"/>
              </w:tabs>
              <w:ind w:firstLine="0"/>
              <w:jc w:val="both"/>
              <w:rPr>
                <w:rFonts w:ascii="Times New Roman" w:hAnsi="Times New Roman" w:cs="Times New Roman"/>
                <w:sz w:val="19"/>
                <w:szCs w:val="19"/>
              </w:rPr>
            </w:pPr>
            <w:r w:rsidRPr="000318B2">
              <w:rPr>
                <w:rFonts w:ascii="Times New Roman" w:hAnsi="Times New Roman" w:cs="Times New Roman"/>
                <w:sz w:val="19"/>
                <w:szCs w:val="19"/>
              </w:rPr>
              <w:t>2. Почуття приналежнсті до культури та суспільства країни походження, прагнення сприяти її розвитку</w:t>
            </w:r>
          </w:p>
        </w:tc>
      </w:tr>
      <w:tr w:rsidR="00B233DE" w:rsidRPr="000318B2" w:rsidTr="0023489B">
        <w:tc>
          <w:tcPr>
            <w:tcW w:w="4785" w:type="dxa"/>
          </w:tcPr>
          <w:p w:rsidR="00B233DE" w:rsidRPr="000318B2" w:rsidRDefault="00B233DE" w:rsidP="0023489B">
            <w:pPr>
              <w:tabs>
                <w:tab w:val="left" w:pos="2880"/>
              </w:tabs>
              <w:ind w:firstLine="0"/>
              <w:jc w:val="both"/>
              <w:rPr>
                <w:rFonts w:ascii="Times New Roman" w:hAnsi="Times New Roman" w:cs="Times New Roman"/>
                <w:sz w:val="19"/>
                <w:szCs w:val="19"/>
              </w:rPr>
            </w:pPr>
            <w:r w:rsidRPr="000318B2">
              <w:rPr>
                <w:rFonts w:ascii="Times New Roman" w:hAnsi="Times New Roman" w:cs="Times New Roman"/>
                <w:sz w:val="19"/>
                <w:szCs w:val="19"/>
              </w:rPr>
              <w:t>3. Професійний розвиток шляхом здобуття досвіду, навичок, доступу до обладнання та технологій</w:t>
            </w:r>
          </w:p>
        </w:tc>
        <w:tc>
          <w:tcPr>
            <w:tcW w:w="4785" w:type="dxa"/>
          </w:tcPr>
          <w:p w:rsidR="00B233DE" w:rsidRPr="000318B2" w:rsidRDefault="00B233DE" w:rsidP="0023489B">
            <w:pPr>
              <w:tabs>
                <w:tab w:val="left" w:pos="2880"/>
              </w:tabs>
              <w:ind w:firstLine="0"/>
              <w:jc w:val="both"/>
              <w:rPr>
                <w:rFonts w:ascii="Times New Roman" w:hAnsi="Times New Roman" w:cs="Times New Roman"/>
                <w:sz w:val="19"/>
                <w:szCs w:val="19"/>
              </w:rPr>
            </w:pPr>
            <w:r w:rsidRPr="000318B2">
              <w:rPr>
                <w:rFonts w:ascii="Times New Roman" w:hAnsi="Times New Roman" w:cs="Times New Roman"/>
                <w:sz w:val="19"/>
                <w:szCs w:val="19"/>
              </w:rPr>
              <w:t>3. Прагнення до повернення після реалізації конкретної цілі у країні призначення (навчання, підвищення кваліфікації, роботи за контрактом)</w:t>
            </w:r>
          </w:p>
        </w:tc>
      </w:tr>
    </w:tbl>
    <w:p w:rsidR="00B233DE" w:rsidRDefault="00B233DE" w:rsidP="00B233DE">
      <w:pPr>
        <w:tabs>
          <w:tab w:val="left" w:pos="2880"/>
        </w:tabs>
        <w:ind w:firstLine="720"/>
        <w:jc w:val="both"/>
        <w:rPr>
          <w:rFonts w:ascii="Times New Roman" w:hAnsi="Times New Roman" w:cs="Times New Roman"/>
          <w:sz w:val="21"/>
          <w:szCs w:val="21"/>
        </w:rPr>
      </w:pPr>
    </w:p>
    <w:p w:rsidR="00B233DE" w:rsidRDefault="00B233DE" w:rsidP="00B233DE">
      <w:pPr>
        <w:tabs>
          <w:tab w:val="left" w:pos="2880"/>
        </w:tabs>
        <w:ind w:firstLine="709"/>
        <w:jc w:val="both"/>
        <w:rPr>
          <w:rFonts w:ascii="Times New Roman" w:hAnsi="Times New Roman" w:cs="Times New Roman"/>
          <w:sz w:val="21"/>
          <w:szCs w:val="21"/>
        </w:rPr>
      </w:pPr>
      <w:r w:rsidRPr="000318B2">
        <w:rPr>
          <w:rFonts w:ascii="Times New Roman" w:hAnsi="Times New Roman" w:cs="Times New Roman"/>
          <w:sz w:val="21"/>
          <w:szCs w:val="21"/>
        </w:rPr>
        <w:t>На цьому етапі дослідження необхідно зазначити, що циклічна міграція спеціалістів сприяє тому, що на зміну односторонньому потоку технологій та капіталу з розвинутих країн до країн, що розвиваються, приход</w:t>
      </w:r>
      <w:r>
        <w:rPr>
          <w:rFonts w:ascii="Times New Roman" w:hAnsi="Times New Roman" w:cs="Times New Roman"/>
          <w:sz w:val="21"/>
          <w:szCs w:val="21"/>
        </w:rPr>
        <w:t>ят</w:t>
      </w:r>
      <w:r w:rsidRPr="000318B2">
        <w:rPr>
          <w:rFonts w:ascii="Times New Roman" w:hAnsi="Times New Roman" w:cs="Times New Roman"/>
          <w:sz w:val="21"/>
          <w:szCs w:val="21"/>
        </w:rPr>
        <w:t xml:space="preserve">ь більш комплексні та </w:t>
      </w:r>
      <w:r w:rsidRPr="000318B2">
        <w:rPr>
          <w:rFonts w:ascii="Times New Roman" w:hAnsi="Times New Roman" w:cs="Times New Roman"/>
          <w:sz w:val="21"/>
          <w:szCs w:val="21"/>
        </w:rPr>
        <w:lastRenderedPageBreak/>
        <w:t>децентралізовані двосторонні потоки знань, навиків, капіталу та технологій між регіональними економіками різної спеціалізації, як, наприклад, між США, Тайванем та Китаєм. Низка найбільш перспективних підприємств з розвитку технологій у Китаї засновані тайванськими підприємцями-реемігрантами з США. Ці підприємства можуть, наприклад, мати науково-дослідні центри в США та підрозділи з про</w:t>
      </w:r>
      <w:r>
        <w:rPr>
          <w:rFonts w:ascii="Times New Roman" w:hAnsi="Times New Roman" w:cs="Times New Roman"/>
          <w:sz w:val="21"/>
          <w:szCs w:val="21"/>
        </w:rPr>
        <w:t xml:space="preserve">ектування і логістики у Тайвані </w:t>
      </w:r>
      <w:r w:rsidRPr="000318B2">
        <w:rPr>
          <w:rFonts w:ascii="Times New Roman" w:hAnsi="Times New Roman" w:cs="Times New Roman"/>
          <w:sz w:val="21"/>
          <w:szCs w:val="21"/>
        </w:rPr>
        <w:t>[</w:t>
      </w:r>
      <w:r>
        <w:rPr>
          <w:rFonts w:ascii="Times New Roman" w:hAnsi="Times New Roman" w:cs="Times New Roman"/>
          <w:spacing w:val="-8"/>
          <w:sz w:val="21"/>
          <w:szCs w:val="21"/>
          <w:highlight w:val="yellow"/>
          <w:lang w:val="en-GB"/>
        </w:rPr>
        <w:fldChar w:fldCharType="begin"/>
      </w:r>
      <w:r>
        <w:rPr>
          <w:rFonts w:ascii="Times New Roman" w:hAnsi="Times New Roman" w:cs="Times New Roman"/>
          <w:sz w:val="21"/>
          <w:szCs w:val="21"/>
        </w:rPr>
        <w:instrText xml:space="preserve"> REF _Ref435182570 \r \h </w:instrText>
      </w:r>
      <w:r>
        <w:rPr>
          <w:rFonts w:ascii="Times New Roman" w:hAnsi="Times New Roman" w:cs="Times New Roman"/>
          <w:spacing w:val="-8"/>
          <w:sz w:val="21"/>
          <w:szCs w:val="21"/>
          <w:highlight w:val="yellow"/>
          <w:lang w:val="en-GB"/>
        </w:rPr>
      </w:r>
      <w:r>
        <w:rPr>
          <w:rFonts w:ascii="Times New Roman" w:hAnsi="Times New Roman" w:cs="Times New Roman"/>
          <w:spacing w:val="-8"/>
          <w:sz w:val="21"/>
          <w:szCs w:val="21"/>
          <w:highlight w:val="yellow"/>
          <w:lang w:val="en-GB"/>
        </w:rPr>
        <w:fldChar w:fldCharType="separate"/>
      </w:r>
      <w:r>
        <w:rPr>
          <w:rFonts w:ascii="Times New Roman" w:hAnsi="Times New Roman" w:cs="Times New Roman"/>
          <w:sz w:val="21"/>
          <w:szCs w:val="21"/>
        </w:rPr>
        <w:t>85</w:t>
      </w:r>
      <w:r>
        <w:rPr>
          <w:rFonts w:ascii="Times New Roman" w:hAnsi="Times New Roman" w:cs="Times New Roman"/>
          <w:spacing w:val="-8"/>
          <w:sz w:val="21"/>
          <w:szCs w:val="21"/>
          <w:highlight w:val="yellow"/>
          <w:lang w:val="en-GB"/>
        </w:rPr>
        <w:fldChar w:fldCharType="end"/>
      </w:r>
      <w:r>
        <w:rPr>
          <w:rFonts w:ascii="Times New Roman" w:hAnsi="Times New Roman" w:cs="Times New Roman"/>
          <w:sz w:val="21"/>
          <w:szCs w:val="21"/>
        </w:rPr>
        <w:t>].</w:t>
      </w:r>
    </w:p>
    <w:p w:rsidR="00B233DE" w:rsidRDefault="00B233DE" w:rsidP="00B233DE">
      <w:pPr>
        <w:tabs>
          <w:tab w:val="left" w:pos="2880"/>
        </w:tabs>
        <w:ind w:firstLine="709"/>
        <w:jc w:val="both"/>
        <w:rPr>
          <w:rFonts w:ascii="Times New Roman" w:hAnsi="Times New Roman" w:cs="Times New Roman"/>
          <w:sz w:val="21"/>
          <w:szCs w:val="21"/>
        </w:rPr>
      </w:pPr>
      <w:r w:rsidRPr="000318B2">
        <w:rPr>
          <w:rFonts w:ascii="Times New Roman" w:hAnsi="Times New Roman" w:cs="Times New Roman"/>
          <w:sz w:val="21"/>
          <w:szCs w:val="21"/>
        </w:rPr>
        <w:t>Рееміграція підготовлених спеціалістів, викладачів та науковців в країну походження сприяє накопиченню знань та вдосконаленого людського потенціалу завдяки наступним тенденціям:</w:t>
      </w:r>
    </w:p>
    <w:p w:rsidR="00B233DE" w:rsidRDefault="00B233DE" w:rsidP="00B233DE">
      <w:pPr>
        <w:tabs>
          <w:tab w:val="left" w:pos="2880"/>
        </w:tabs>
        <w:ind w:firstLine="709"/>
        <w:jc w:val="both"/>
        <w:rPr>
          <w:rFonts w:ascii="Times New Roman" w:hAnsi="Times New Roman" w:cs="Times New Roman"/>
          <w:sz w:val="21"/>
          <w:szCs w:val="21"/>
        </w:rPr>
      </w:pPr>
      <w:r>
        <w:rPr>
          <w:rFonts w:ascii="Times New Roman" w:hAnsi="Times New Roman" w:cs="Times New Roman"/>
          <w:sz w:val="21"/>
          <w:szCs w:val="21"/>
        </w:rPr>
        <w:t xml:space="preserve">1. </w:t>
      </w:r>
      <w:r w:rsidRPr="000318B2">
        <w:rPr>
          <w:rFonts w:ascii="Times New Roman" w:hAnsi="Times New Roman" w:cs="Times New Roman"/>
          <w:sz w:val="21"/>
          <w:szCs w:val="21"/>
        </w:rPr>
        <w:t>Передачі технологій, що здійснюється через неосяжні форми, виходячи за рамки національних кордонів: спілкування через електронні мережі, а також навчання, технічну допомогу, наукові конференції, зустрічі, наукові обміни, консультації, лекції. При цьому до «технологій» все частіше відносять знання, навички, кваліфікацію, організаційний і управлінський досвід. Реемігранти сприяють також зворотнім інвестиціям. Для прикладу, джерелом біля 70</w:t>
      </w:r>
      <w:r>
        <w:rPr>
          <w:rFonts w:ascii="Times New Roman" w:hAnsi="Times New Roman" w:cs="Times New Roman"/>
          <w:sz w:val="21"/>
          <w:szCs w:val="21"/>
        </w:rPr>
        <w:t xml:space="preserve"> </w:t>
      </w:r>
      <w:r w:rsidRPr="000318B2">
        <w:rPr>
          <w:rFonts w:ascii="Times New Roman" w:hAnsi="Times New Roman" w:cs="Times New Roman"/>
          <w:sz w:val="21"/>
          <w:szCs w:val="21"/>
        </w:rPr>
        <w:t>% обсягу прямих інвестицій в Китай є китайські спільноти за кордоном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_Ref435182581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19</w:t>
      </w:r>
      <w:r>
        <w:rPr>
          <w:rFonts w:ascii="Times New Roman" w:hAnsi="Times New Roman" w:cs="Times New Roman"/>
          <w:sz w:val="21"/>
          <w:szCs w:val="21"/>
          <w:highlight w:val="yellow"/>
        </w:rPr>
        <w:fldChar w:fldCharType="end"/>
      </w:r>
      <w:r w:rsidRPr="000318B2">
        <w:rPr>
          <w:rFonts w:ascii="Times New Roman" w:hAnsi="Times New Roman" w:cs="Times New Roman"/>
          <w:sz w:val="21"/>
          <w:szCs w:val="21"/>
        </w:rPr>
        <w:t xml:space="preserve">, </w:t>
      </w:r>
      <w:r w:rsidRPr="000318B2">
        <w:rPr>
          <w:rFonts w:ascii="Times New Roman" w:hAnsi="Times New Roman" w:cs="Times New Roman"/>
          <w:sz w:val="21"/>
          <w:szCs w:val="21"/>
          <w:lang w:val="en-US"/>
        </w:rPr>
        <w:t>c</w:t>
      </w:r>
      <w:r>
        <w:rPr>
          <w:rFonts w:ascii="Times New Roman" w:hAnsi="Times New Roman" w:cs="Times New Roman"/>
          <w:sz w:val="21"/>
          <w:szCs w:val="21"/>
        </w:rPr>
        <w:t>. 5].</w:t>
      </w:r>
    </w:p>
    <w:p w:rsidR="00B233DE" w:rsidRPr="000318B2" w:rsidRDefault="00B233DE" w:rsidP="00B233DE">
      <w:pPr>
        <w:tabs>
          <w:tab w:val="left" w:pos="2880"/>
        </w:tabs>
        <w:ind w:firstLine="709"/>
        <w:jc w:val="both"/>
        <w:rPr>
          <w:rFonts w:ascii="Times New Roman" w:hAnsi="Times New Roman" w:cs="Times New Roman"/>
          <w:sz w:val="21"/>
          <w:szCs w:val="21"/>
        </w:rPr>
      </w:pPr>
      <w:r>
        <w:rPr>
          <w:rFonts w:ascii="Times New Roman" w:hAnsi="Times New Roman" w:cs="Times New Roman"/>
          <w:sz w:val="21"/>
          <w:szCs w:val="21"/>
        </w:rPr>
        <w:t xml:space="preserve">2. </w:t>
      </w:r>
      <w:r w:rsidRPr="000318B2">
        <w:rPr>
          <w:rFonts w:ascii="Times New Roman" w:hAnsi="Times New Roman" w:cs="Times New Roman"/>
          <w:spacing w:val="-4"/>
          <w:sz w:val="21"/>
          <w:szCs w:val="21"/>
        </w:rPr>
        <w:t>Міжнародним науково-технічним взаємозв’язкам, що налагоджуються при рееміграції науковців, вчених і висококваліфікованих спеціалістів та зумовлюють розширення спільної наукової діяльності з зарубіжними колегами, трансфер знань та ноу-хау. В країнах ЄС частка публікацій в міжнародному співавторстві перевищила 50</w:t>
      </w:r>
      <w:r>
        <w:rPr>
          <w:rFonts w:ascii="Times New Roman" w:hAnsi="Times New Roman" w:cs="Times New Roman"/>
          <w:spacing w:val="-4"/>
          <w:sz w:val="21"/>
          <w:szCs w:val="21"/>
        </w:rPr>
        <w:t xml:space="preserve"> </w:t>
      </w:r>
      <w:r w:rsidRPr="000318B2">
        <w:rPr>
          <w:rFonts w:ascii="Times New Roman" w:hAnsi="Times New Roman" w:cs="Times New Roman"/>
          <w:spacing w:val="-4"/>
          <w:sz w:val="21"/>
          <w:szCs w:val="21"/>
        </w:rPr>
        <w:t>%, вчені із 192 країн мають публікації в міжнародному співавторстві, що свідчить про високу ступінь їх інтегрованості в світове наукове співтовариство [</w:t>
      </w:r>
      <w:r>
        <w:rPr>
          <w:rFonts w:ascii="Times New Roman" w:hAnsi="Times New Roman" w:cs="Times New Roman"/>
          <w:sz w:val="21"/>
          <w:szCs w:val="21"/>
          <w:highlight w:val="yellow"/>
        </w:rPr>
        <w:fldChar w:fldCharType="begin"/>
      </w:r>
      <w:r>
        <w:rPr>
          <w:rFonts w:ascii="Times New Roman" w:hAnsi="Times New Roman" w:cs="Times New Roman"/>
          <w:spacing w:val="-4"/>
          <w:sz w:val="21"/>
          <w:szCs w:val="21"/>
        </w:rPr>
        <w:instrText xml:space="preserve"> REF _Ref435182581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pacing w:val="-4"/>
          <w:sz w:val="21"/>
          <w:szCs w:val="21"/>
        </w:rPr>
        <w:t>19</w:t>
      </w:r>
      <w:r>
        <w:rPr>
          <w:rFonts w:ascii="Times New Roman" w:hAnsi="Times New Roman" w:cs="Times New Roman"/>
          <w:sz w:val="21"/>
          <w:szCs w:val="21"/>
          <w:highlight w:val="yellow"/>
        </w:rPr>
        <w:fldChar w:fldCharType="end"/>
      </w:r>
      <w:r w:rsidRPr="000318B2">
        <w:rPr>
          <w:rFonts w:ascii="Times New Roman" w:hAnsi="Times New Roman" w:cs="Times New Roman"/>
          <w:spacing w:val="-4"/>
          <w:sz w:val="21"/>
          <w:szCs w:val="21"/>
        </w:rPr>
        <w:t xml:space="preserve">, </w:t>
      </w:r>
      <w:r w:rsidRPr="000318B2">
        <w:rPr>
          <w:rFonts w:ascii="Times New Roman" w:hAnsi="Times New Roman" w:cs="Times New Roman"/>
          <w:spacing w:val="-4"/>
          <w:sz w:val="21"/>
          <w:szCs w:val="21"/>
          <w:lang w:val="en-US"/>
        </w:rPr>
        <w:t>c</w:t>
      </w:r>
      <w:r w:rsidRPr="000318B2">
        <w:rPr>
          <w:rFonts w:ascii="Times New Roman" w:hAnsi="Times New Roman" w:cs="Times New Roman"/>
          <w:spacing w:val="-4"/>
          <w:sz w:val="21"/>
          <w:szCs w:val="21"/>
        </w:rPr>
        <w:t>. 8</w:t>
      </w:r>
      <w:r>
        <w:rPr>
          <w:rFonts w:ascii="Times New Roman" w:hAnsi="Times New Roman" w:cs="Times New Roman"/>
          <w:spacing w:val="-4"/>
          <w:sz w:val="21"/>
          <w:szCs w:val="21"/>
        </w:rPr>
        <w:t>–</w:t>
      </w:r>
      <w:r w:rsidRPr="000318B2">
        <w:rPr>
          <w:rFonts w:ascii="Times New Roman" w:hAnsi="Times New Roman" w:cs="Times New Roman"/>
          <w:spacing w:val="-4"/>
          <w:sz w:val="21"/>
          <w:szCs w:val="21"/>
        </w:rPr>
        <w:t xml:space="preserve">9, </w:t>
      </w:r>
      <w:r>
        <w:rPr>
          <w:rFonts w:ascii="Times New Roman" w:hAnsi="Times New Roman" w:cs="Times New Roman"/>
          <w:spacing w:val="-4"/>
          <w:sz w:val="21"/>
          <w:szCs w:val="21"/>
          <w:highlight w:val="yellow"/>
        </w:rPr>
        <w:fldChar w:fldCharType="begin"/>
      </w:r>
      <w:r>
        <w:rPr>
          <w:rFonts w:ascii="Times New Roman" w:hAnsi="Times New Roman" w:cs="Times New Roman"/>
          <w:spacing w:val="-4"/>
          <w:sz w:val="21"/>
          <w:szCs w:val="21"/>
        </w:rPr>
        <w:instrText xml:space="preserve"> REF _Ref435182607 \r \h </w:instrText>
      </w:r>
      <w:r>
        <w:rPr>
          <w:rFonts w:ascii="Times New Roman" w:hAnsi="Times New Roman" w:cs="Times New Roman"/>
          <w:spacing w:val="-4"/>
          <w:sz w:val="21"/>
          <w:szCs w:val="21"/>
          <w:highlight w:val="yellow"/>
        </w:rPr>
      </w:r>
      <w:r>
        <w:rPr>
          <w:rFonts w:ascii="Times New Roman" w:hAnsi="Times New Roman" w:cs="Times New Roman"/>
          <w:spacing w:val="-4"/>
          <w:sz w:val="21"/>
          <w:szCs w:val="21"/>
          <w:highlight w:val="yellow"/>
        </w:rPr>
        <w:fldChar w:fldCharType="separate"/>
      </w:r>
      <w:r>
        <w:rPr>
          <w:rFonts w:ascii="Times New Roman" w:hAnsi="Times New Roman" w:cs="Times New Roman"/>
          <w:spacing w:val="-4"/>
          <w:sz w:val="21"/>
          <w:szCs w:val="21"/>
        </w:rPr>
        <w:t>58</w:t>
      </w:r>
      <w:r>
        <w:rPr>
          <w:rFonts w:ascii="Times New Roman" w:hAnsi="Times New Roman" w:cs="Times New Roman"/>
          <w:spacing w:val="-4"/>
          <w:sz w:val="21"/>
          <w:szCs w:val="21"/>
          <w:highlight w:val="yellow"/>
        </w:rPr>
        <w:fldChar w:fldCharType="end"/>
      </w:r>
      <w:r w:rsidRPr="000318B2">
        <w:rPr>
          <w:rFonts w:ascii="Times New Roman" w:hAnsi="Times New Roman" w:cs="Times New Roman"/>
          <w:spacing w:val="-4"/>
          <w:sz w:val="21"/>
          <w:szCs w:val="21"/>
        </w:rPr>
        <w:t xml:space="preserve">]. Циркуляції професіоналів сприяють програми міжнародних організацій – ООН, Міжародної організації з міграції (МОМ) та інших. Такими програмами є </w:t>
      </w:r>
      <w:r w:rsidRPr="000318B2">
        <w:rPr>
          <w:rFonts w:ascii="Times New Roman" w:hAnsi="Times New Roman" w:cs="Times New Roman"/>
          <w:spacing w:val="-4"/>
          <w:sz w:val="21"/>
          <w:szCs w:val="21"/>
          <w:lang w:val="en-US"/>
        </w:rPr>
        <w:t>TOKTEN</w:t>
      </w:r>
      <w:r w:rsidRPr="000318B2">
        <w:rPr>
          <w:rFonts w:ascii="Times New Roman" w:hAnsi="Times New Roman" w:cs="Times New Roman"/>
          <w:spacing w:val="-4"/>
          <w:sz w:val="21"/>
          <w:szCs w:val="21"/>
        </w:rPr>
        <w:t xml:space="preserve">, що передбачає повернення кваліфікованих емігрантів-професіоналів до країн походження на певний час для того, щоб поділитися набутою кваліфікацією та </w:t>
      </w:r>
      <w:r w:rsidRPr="000318B2">
        <w:rPr>
          <w:rFonts w:ascii="Times New Roman" w:hAnsi="Times New Roman" w:cs="Times New Roman"/>
          <w:spacing w:val="-4"/>
          <w:sz w:val="21"/>
          <w:szCs w:val="21"/>
          <w:lang w:val="en-US"/>
        </w:rPr>
        <w:t>MIDA</w:t>
      </w:r>
      <w:r w:rsidRPr="000318B2">
        <w:rPr>
          <w:rFonts w:ascii="Times New Roman" w:hAnsi="Times New Roman" w:cs="Times New Roman"/>
          <w:spacing w:val="-4"/>
          <w:sz w:val="21"/>
          <w:szCs w:val="21"/>
        </w:rPr>
        <w:t>, що визначає пріоритетні потреби в трудових ресурсах країн Африки та відповідні можливості їх задоволення в діаспорах з метою підвищення людського потенціалу в слаборозвинутих країнах за рахунок передачі ноу-хау та досвіду професіоналами, що перебувають за кордоном [</w:t>
      </w:r>
      <w:r>
        <w:rPr>
          <w:rFonts w:ascii="Times New Roman" w:hAnsi="Times New Roman" w:cs="Times New Roman"/>
          <w:bCs/>
          <w:sz w:val="21"/>
          <w:szCs w:val="21"/>
          <w:highlight w:val="yellow"/>
        </w:rPr>
        <w:fldChar w:fldCharType="begin"/>
      </w:r>
      <w:r>
        <w:rPr>
          <w:rFonts w:ascii="Times New Roman" w:hAnsi="Times New Roman" w:cs="Times New Roman"/>
          <w:spacing w:val="-4"/>
          <w:sz w:val="21"/>
          <w:szCs w:val="21"/>
        </w:rPr>
        <w:instrText xml:space="preserve"> REF _Ref435182370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pacing w:val="-4"/>
          <w:sz w:val="21"/>
          <w:szCs w:val="21"/>
        </w:rPr>
        <w:t>7</w:t>
      </w:r>
      <w:r>
        <w:rPr>
          <w:rFonts w:ascii="Times New Roman" w:hAnsi="Times New Roman" w:cs="Times New Roman"/>
          <w:bCs/>
          <w:sz w:val="21"/>
          <w:szCs w:val="21"/>
          <w:highlight w:val="yellow"/>
        </w:rPr>
        <w:fldChar w:fldCharType="end"/>
      </w:r>
      <w:r w:rsidRPr="000318B2">
        <w:rPr>
          <w:rFonts w:ascii="Times New Roman" w:hAnsi="Times New Roman" w:cs="Times New Roman"/>
          <w:spacing w:val="-4"/>
          <w:sz w:val="21"/>
          <w:szCs w:val="21"/>
        </w:rPr>
        <w:t xml:space="preserve">, </w:t>
      </w:r>
      <w:r w:rsidRPr="000318B2">
        <w:rPr>
          <w:rFonts w:ascii="Times New Roman" w:hAnsi="Times New Roman" w:cs="Times New Roman"/>
          <w:spacing w:val="-4"/>
          <w:sz w:val="21"/>
          <w:szCs w:val="21"/>
          <w:lang w:val="en-US"/>
        </w:rPr>
        <w:t>c</w:t>
      </w:r>
      <w:r w:rsidRPr="000318B2">
        <w:rPr>
          <w:rFonts w:ascii="Times New Roman" w:hAnsi="Times New Roman" w:cs="Times New Roman"/>
          <w:spacing w:val="-4"/>
          <w:sz w:val="21"/>
          <w:szCs w:val="21"/>
        </w:rPr>
        <w:t>. 51</w:t>
      </w:r>
      <w:r>
        <w:rPr>
          <w:rFonts w:ascii="Times New Roman" w:hAnsi="Times New Roman" w:cs="Times New Roman"/>
          <w:spacing w:val="-4"/>
          <w:sz w:val="21"/>
          <w:szCs w:val="21"/>
        </w:rPr>
        <w:t>–</w:t>
      </w:r>
      <w:r w:rsidRPr="000318B2">
        <w:rPr>
          <w:rFonts w:ascii="Times New Roman" w:hAnsi="Times New Roman" w:cs="Times New Roman"/>
          <w:spacing w:val="-4"/>
          <w:sz w:val="21"/>
          <w:szCs w:val="21"/>
        </w:rPr>
        <w:t>56].</w:t>
      </w:r>
    </w:p>
    <w:p w:rsidR="00B233DE" w:rsidRDefault="00B233DE" w:rsidP="00B233DE">
      <w:pPr>
        <w:ind w:firstLine="720"/>
        <w:jc w:val="both"/>
        <w:rPr>
          <w:rFonts w:ascii="Times New Roman" w:hAnsi="Times New Roman" w:cs="Times New Roman"/>
          <w:sz w:val="21"/>
          <w:szCs w:val="21"/>
        </w:rPr>
      </w:pPr>
      <w:r w:rsidRPr="000318B2">
        <w:rPr>
          <w:rFonts w:ascii="Times New Roman" w:hAnsi="Times New Roman" w:cs="Times New Roman"/>
          <w:spacing w:val="-5"/>
          <w:sz w:val="21"/>
          <w:szCs w:val="21"/>
        </w:rPr>
        <w:lastRenderedPageBreak/>
        <w:t xml:space="preserve">Вплив рееміграції висококваліфікованих працівників на економіки країн, що розвиваються можна спостерігати на прикладі США та Індії. Передача технологій і знань з </w:t>
      </w:r>
      <w:r>
        <w:rPr>
          <w:rFonts w:ascii="Times New Roman" w:hAnsi="Times New Roman" w:cs="Times New Roman"/>
          <w:spacing w:val="-5"/>
          <w:sz w:val="21"/>
          <w:szCs w:val="21"/>
        </w:rPr>
        <w:t>боку</w:t>
      </w:r>
      <w:r w:rsidRPr="000318B2">
        <w:rPr>
          <w:rFonts w:ascii="Times New Roman" w:hAnsi="Times New Roman" w:cs="Times New Roman"/>
          <w:spacing w:val="-5"/>
          <w:sz w:val="21"/>
          <w:szCs w:val="21"/>
        </w:rPr>
        <w:t xml:space="preserve"> діаспор в одній з найбільших світових інноваційних зон – Силіконовій долині США була визначальним чинником створення індійської індустрії інформаційно-комп’ютерних технологій в регіоні Бангалор, техноло</w:t>
      </w:r>
      <w:r>
        <w:rPr>
          <w:rFonts w:ascii="Times New Roman" w:hAnsi="Times New Roman" w:cs="Times New Roman"/>
          <w:spacing w:val="-5"/>
          <w:sz w:val="21"/>
          <w:szCs w:val="21"/>
        </w:rPr>
        <w:t>-</w:t>
      </w:r>
      <w:r w:rsidRPr="000318B2">
        <w:rPr>
          <w:rFonts w:ascii="Times New Roman" w:hAnsi="Times New Roman" w:cs="Times New Roman"/>
          <w:spacing w:val="-5"/>
          <w:sz w:val="21"/>
          <w:szCs w:val="21"/>
        </w:rPr>
        <w:t xml:space="preserve">гічних компаній в Тайвані та Китаї. Внаслідок розвитку стійких бізнес-зв’язків з індійськими професіоналами </w:t>
      </w:r>
      <w:r>
        <w:rPr>
          <w:rFonts w:ascii="Times New Roman" w:hAnsi="Times New Roman" w:cs="Times New Roman"/>
          <w:spacing w:val="-5"/>
          <w:sz w:val="21"/>
          <w:szCs w:val="21"/>
        </w:rPr>
        <w:t>в</w:t>
      </w:r>
      <w:r w:rsidRPr="000318B2">
        <w:rPr>
          <w:rFonts w:ascii="Times New Roman" w:hAnsi="Times New Roman" w:cs="Times New Roman"/>
          <w:spacing w:val="-5"/>
          <w:sz w:val="21"/>
          <w:szCs w:val="21"/>
        </w:rPr>
        <w:t xml:space="preserve"> інформаційних </w:t>
      </w:r>
      <w:r w:rsidRPr="000318B2">
        <w:rPr>
          <w:rFonts w:ascii="Times New Roman" w:hAnsi="Times New Roman" w:cs="Times New Roman"/>
          <w:sz w:val="21"/>
          <w:szCs w:val="21"/>
        </w:rPr>
        <w:t>технологіях (ІТ) за кордоном Індія на початку ХХІ століття пережила швидке зростання галузі ІТ. Такі тенденції посприяли рееміграції 30-40 тисяч індійських ІТ спеціалістів у 2006</w:t>
      </w:r>
      <w:r>
        <w:rPr>
          <w:rFonts w:ascii="Times New Roman" w:hAnsi="Times New Roman" w:cs="Times New Roman"/>
          <w:sz w:val="21"/>
          <w:szCs w:val="21"/>
        </w:rPr>
        <w:t>–</w:t>
      </w:r>
      <w:r w:rsidRPr="000318B2">
        <w:rPr>
          <w:rFonts w:ascii="Times New Roman" w:hAnsi="Times New Roman" w:cs="Times New Roman"/>
          <w:sz w:val="21"/>
          <w:szCs w:val="21"/>
        </w:rPr>
        <w:t>2007 роках та формуванню масштабного індійського технологічного центру Бангалор, що став одним з найбільш привабливих місць для ведення б</w:t>
      </w:r>
      <w:r>
        <w:rPr>
          <w:rFonts w:ascii="Times New Roman" w:hAnsi="Times New Roman" w:cs="Times New Roman"/>
          <w:sz w:val="21"/>
          <w:szCs w:val="21"/>
        </w:rPr>
        <w:t xml:space="preserve">ізнесу в країнах третього світу </w:t>
      </w:r>
      <w:r w:rsidRPr="000318B2">
        <w:rPr>
          <w:rFonts w:ascii="Times New Roman" w:hAnsi="Times New Roman" w:cs="Times New Roman"/>
          <w:sz w:val="21"/>
          <w:szCs w:val="21"/>
        </w:rPr>
        <w:t>[</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_Ref435182624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72</w:t>
      </w:r>
      <w:r>
        <w:rPr>
          <w:rFonts w:ascii="Times New Roman" w:hAnsi="Times New Roman" w:cs="Times New Roman"/>
          <w:sz w:val="21"/>
          <w:szCs w:val="21"/>
          <w:highlight w:val="yellow"/>
          <w:lang w:val="en-US"/>
        </w:rPr>
        <w:fldChar w:fldCharType="end"/>
      </w:r>
      <w:r w:rsidRPr="000318B2">
        <w:rPr>
          <w:rFonts w:ascii="Times New Roman" w:hAnsi="Times New Roman" w:cs="Times New Roman"/>
          <w:sz w:val="21"/>
          <w:szCs w:val="21"/>
        </w:rPr>
        <w:t xml:space="preserve">, </w:t>
      </w:r>
      <w:r w:rsidRPr="000318B2">
        <w:rPr>
          <w:rFonts w:ascii="Times New Roman" w:hAnsi="Times New Roman" w:cs="Times New Roman"/>
          <w:sz w:val="21"/>
          <w:szCs w:val="21"/>
          <w:lang w:val="en-US"/>
        </w:rPr>
        <w:t>c</w:t>
      </w:r>
      <w:r w:rsidRPr="000318B2">
        <w:rPr>
          <w:rFonts w:ascii="Times New Roman" w:hAnsi="Times New Roman" w:cs="Times New Roman"/>
          <w:sz w:val="21"/>
          <w:szCs w:val="21"/>
        </w:rPr>
        <w:t>. 212]. Крім того, це зумовило імміграцію в Індію близько 50 тис. західних фахівців</w:t>
      </w:r>
      <w:r>
        <w:rPr>
          <w:rFonts w:ascii="Times New Roman" w:hAnsi="Times New Roman" w:cs="Times New Roman"/>
          <w:sz w:val="21"/>
          <w:szCs w:val="21"/>
        </w:rPr>
        <w:t xml:space="preserve"> [</w:t>
      </w:r>
      <w:r>
        <w:rPr>
          <w:rStyle w:val="heading"/>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_Ref435182634 \r \h </w:instrText>
      </w:r>
      <w:r>
        <w:rPr>
          <w:rStyle w:val="heading"/>
          <w:rFonts w:ascii="Times New Roman" w:hAnsi="Times New Roman" w:cs="Times New Roman"/>
          <w:sz w:val="21"/>
          <w:szCs w:val="21"/>
          <w:highlight w:val="yellow"/>
          <w:lang w:val="en-US"/>
        </w:rPr>
      </w:r>
      <w:r>
        <w:rPr>
          <w:rStyle w:val="heading"/>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101</w:t>
      </w:r>
      <w:r>
        <w:rPr>
          <w:rStyle w:val="heading"/>
          <w:rFonts w:ascii="Times New Roman" w:hAnsi="Times New Roman" w:cs="Times New Roman"/>
          <w:sz w:val="21"/>
          <w:szCs w:val="21"/>
          <w:highlight w:val="yellow"/>
          <w:lang w:val="en-US"/>
        </w:rPr>
        <w:fldChar w:fldCharType="end"/>
      </w:r>
      <w:r>
        <w:rPr>
          <w:rFonts w:ascii="Times New Roman" w:hAnsi="Times New Roman" w:cs="Times New Roman"/>
          <w:sz w:val="21"/>
          <w:szCs w:val="21"/>
        </w:rPr>
        <w:t>, с. 12].</w:t>
      </w:r>
    </w:p>
    <w:p w:rsidR="00B233DE" w:rsidRPr="000318B2" w:rsidRDefault="00B233DE" w:rsidP="00B233DE">
      <w:pPr>
        <w:ind w:firstLine="720"/>
        <w:jc w:val="both"/>
        <w:rPr>
          <w:rFonts w:ascii="Times New Roman" w:hAnsi="Times New Roman" w:cs="Times New Roman"/>
          <w:sz w:val="21"/>
          <w:szCs w:val="21"/>
        </w:rPr>
      </w:pPr>
      <w:r>
        <w:rPr>
          <w:rFonts w:ascii="Times New Roman" w:hAnsi="Times New Roman" w:cs="Times New Roman"/>
          <w:sz w:val="21"/>
          <w:szCs w:val="21"/>
        </w:rPr>
        <w:t xml:space="preserve">3. </w:t>
      </w:r>
      <w:r w:rsidRPr="000318B2">
        <w:rPr>
          <w:rFonts w:ascii="Times New Roman" w:hAnsi="Times New Roman" w:cs="Times New Roman"/>
          <w:sz w:val="21"/>
          <w:szCs w:val="21"/>
        </w:rPr>
        <w:t>Глобалізації освітньої сфери, зумовленій становленням економіки, побудованої на знаннях (</w:t>
      </w:r>
      <w:r w:rsidRPr="000318B2">
        <w:rPr>
          <w:rFonts w:ascii="Times New Roman" w:hAnsi="Times New Roman" w:cs="Times New Roman"/>
          <w:sz w:val="21"/>
          <w:szCs w:val="21"/>
          <w:lang w:val="en-US"/>
        </w:rPr>
        <w:t>knowledge</w:t>
      </w:r>
      <w:r w:rsidRPr="000318B2">
        <w:rPr>
          <w:rFonts w:ascii="Times New Roman" w:hAnsi="Times New Roman" w:cs="Times New Roman"/>
          <w:sz w:val="21"/>
          <w:szCs w:val="21"/>
        </w:rPr>
        <w:t>-</w:t>
      </w:r>
      <w:r w:rsidRPr="000318B2">
        <w:rPr>
          <w:rFonts w:ascii="Times New Roman" w:hAnsi="Times New Roman" w:cs="Times New Roman"/>
          <w:sz w:val="21"/>
          <w:szCs w:val="21"/>
          <w:lang w:val="en-US"/>
        </w:rPr>
        <w:t>based</w:t>
      </w:r>
      <w:r w:rsidRPr="000318B2">
        <w:rPr>
          <w:rFonts w:ascii="Times New Roman" w:hAnsi="Times New Roman" w:cs="Times New Roman"/>
          <w:sz w:val="21"/>
          <w:szCs w:val="21"/>
        </w:rPr>
        <w:t xml:space="preserve"> </w:t>
      </w:r>
      <w:r w:rsidRPr="000318B2">
        <w:rPr>
          <w:rFonts w:ascii="Times New Roman" w:hAnsi="Times New Roman" w:cs="Times New Roman"/>
          <w:sz w:val="21"/>
          <w:szCs w:val="21"/>
          <w:lang w:val="en-US"/>
        </w:rPr>
        <w:t>economy</w:t>
      </w:r>
      <w:r w:rsidRPr="000318B2">
        <w:rPr>
          <w:rFonts w:ascii="Times New Roman" w:hAnsi="Times New Roman" w:cs="Times New Roman"/>
          <w:sz w:val="21"/>
          <w:szCs w:val="21"/>
        </w:rPr>
        <w:t>) та, відповідно, прагненням розвинутих країн залучати талановитих студентів та викладачів для підвищення конкурентоспроможності вищої освіти та наукових досліджень. Залучення іноземного освітньо-кваліфікаційного людського потенціалу такими країнами як Канада, Франція, Німеччина, Великобританія та США здійснюється шляхом спрощення візових та імміграційних режимів і спеціальних стипендійних програм [</w:t>
      </w:r>
      <w:r>
        <w:rPr>
          <w:rFonts w:ascii="Times New Roman" w:hAnsi="Times New Roman" w:cs="Times New Roman"/>
          <w:sz w:val="21"/>
          <w:szCs w:val="21"/>
          <w:highlight w:val="yellow"/>
          <w:lang w:val="en-GB"/>
        </w:rPr>
        <w:fldChar w:fldCharType="begin"/>
      </w:r>
      <w:r>
        <w:rPr>
          <w:rFonts w:ascii="Times New Roman" w:hAnsi="Times New Roman" w:cs="Times New Roman"/>
          <w:sz w:val="21"/>
          <w:szCs w:val="21"/>
        </w:rPr>
        <w:instrText xml:space="preserve"> REF _Ref435182644 \r \h </w:instrText>
      </w:r>
      <w:r>
        <w:rPr>
          <w:rFonts w:ascii="Times New Roman" w:hAnsi="Times New Roman" w:cs="Times New Roman"/>
          <w:sz w:val="21"/>
          <w:szCs w:val="21"/>
          <w:highlight w:val="yellow"/>
          <w:lang w:val="en-GB"/>
        </w:rPr>
      </w:r>
      <w:r>
        <w:rPr>
          <w:rFonts w:ascii="Times New Roman" w:hAnsi="Times New Roman" w:cs="Times New Roman"/>
          <w:sz w:val="21"/>
          <w:szCs w:val="21"/>
          <w:highlight w:val="yellow"/>
          <w:lang w:val="en-GB"/>
        </w:rPr>
        <w:fldChar w:fldCharType="separate"/>
      </w:r>
      <w:r>
        <w:rPr>
          <w:rFonts w:ascii="Times New Roman" w:hAnsi="Times New Roman" w:cs="Times New Roman"/>
          <w:sz w:val="21"/>
          <w:szCs w:val="21"/>
        </w:rPr>
        <w:t>110</w:t>
      </w:r>
      <w:r>
        <w:rPr>
          <w:rFonts w:ascii="Times New Roman" w:hAnsi="Times New Roman" w:cs="Times New Roman"/>
          <w:sz w:val="21"/>
          <w:szCs w:val="21"/>
          <w:highlight w:val="yellow"/>
          <w:lang w:val="en-GB"/>
        </w:rPr>
        <w:fldChar w:fldCharType="end"/>
      </w:r>
      <w:r w:rsidRPr="000318B2">
        <w:rPr>
          <w:rFonts w:ascii="Times New Roman" w:hAnsi="Times New Roman" w:cs="Times New Roman"/>
          <w:sz w:val="21"/>
          <w:szCs w:val="21"/>
        </w:rPr>
        <w:t>, с. 115]. Заснування найбільшими освітніми центрами філіалів за кордоном, в свою чергу, сприяє формуванню глобальних освітніх мереж. Американські ВУЗи відкривають нові учбові заклади в країнах Європи та Азії, розширюючи вибір студентів для подальшого навчання та роботи на своїй території. Поширюється практика міжнародного обміну викладачами вузів, зарубіжного стажування студентів і аспірантів.</w:t>
      </w:r>
    </w:p>
    <w:p w:rsidR="00B233DE" w:rsidRPr="000318B2" w:rsidRDefault="00B233DE" w:rsidP="00B233DE">
      <w:pPr>
        <w:ind w:firstLine="720"/>
        <w:jc w:val="both"/>
        <w:rPr>
          <w:rFonts w:ascii="Times New Roman" w:hAnsi="Times New Roman" w:cs="Times New Roman"/>
          <w:sz w:val="21"/>
          <w:szCs w:val="21"/>
        </w:rPr>
      </w:pPr>
      <w:r w:rsidRPr="000318B2">
        <w:rPr>
          <w:rFonts w:ascii="Times New Roman" w:hAnsi="Times New Roman" w:cs="Times New Roman"/>
          <w:sz w:val="21"/>
          <w:szCs w:val="21"/>
        </w:rPr>
        <w:t>Глобалізація освітньої сфери передбачає гармонізацію програм і стандартів освіти. Болонський процес, спрямований на європейську інтеграцію в області освіти та науки, стимулює формування простору, в межах якого діють єдині умови визнання дипломів, спільні норми працевлаштування і мобільності громадян, тобто сприятливі умови перерозподілу освітньо-кваліфікаційного людського потенціалу.</w:t>
      </w:r>
    </w:p>
    <w:p w:rsidR="00B233DE" w:rsidRPr="000318B2" w:rsidRDefault="00B233DE" w:rsidP="00B233DE">
      <w:pPr>
        <w:ind w:firstLine="720"/>
        <w:jc w:val="both"/>
        <w:rPr>
          <w:rFonts w:ascii="Times New Roman" w:hAnsi="Times New Roman" w:cs="Times New Roman"/>
          <w:sz w:val="21"/>
          <w:szCs w:val="21"/>
        </w:rPr>
      </w:pPr>
      <w:r w:rsidRPr="000318B2">
        <w:rPr>
          <w:rFonts w:ascii="Times New Roman" w:hAnsi="Times New Roman" w:cs="Times New Roman"/>
          <w:sz w:val="21"/>
          <w:szCs w:val="21"/>
        </w:rPr>
        <w:lastRenderedPageBreak/>
        <w:t>4. Формування міждержавних соціальних зв’язків та спільнот визначає перерозподіл, взаємообмін та взаємопроник</w:t>
      </w:r>
      <w:r>
        <w:rPr>
          <w:rFonts w:ascii="Times New Roman" w:hAnsi="Times New Roman" w:cs="Times New Roman"/>
          <w:sz w:val="21"/>
          <w:szCs w:val="21"/>
        </w:rPr>
        <w:t>-</w:t>
      </w:r>
      <w:r w:rsidRPr="000318B2">
        <w:rPr>
          <w:rFonts w:ascii="Times New Roman" w:hAnsi="Times New Roman" w:cs="Times New Roman"/>
          <w:sz w:val="21"/>
          <w:szCs w:val="21"/>
        </w:rPr>
        <w:t>нення соціального людського потенціалу – рівня світогляду і загальної культури, менталітету, морально-етичних норм та цінно</w:t>
      </w:r>
      <w:r>
        <w:rPr>
          <w:rFonts w:ascii="Times New Roman" w:hAnsi="Times New Roman" w:cs="Times New Roman"/>
          <w:sz w:val="21"/>
          <w:szCs w:val="21"/>
        </w:rPr>
        <w:t>-</w:t>
      </w:r>
      <w:r w:rsidRPr="000318B2">
        <w:rPr>
          <w:rFonts w:ascii="Times New Roman" w:hAnsi="Times New Roman" w:cs="Times New Roman"/>
          <w:sz w:val="21"/>
          <w:szCs w:val="21"/>
        </w:rPr>
        <w:t>стей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_Ref435182384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28</w:t>
      </w:r>
      <w:r>
        <w:rPr>
          <w:rFonts w:ascii="Times New Roman" w:hAnsi="Times New Roman" w:cs="Times New Roman"/>
          <w:sz w:val="21"/>
          <w:szCs w:val="21"/>
          <w:highlight w:val="yellow"/>
        </w:rPr>
        <w:fldChar w:fldCharType="end"/>
      </w:r>
      <w:r w:rsidRPr="000318B2">
        <w:rPr>
          <w:rFonts w:ascii="Times New Roman" w:hAnsi="Times New Roman" w:cs="Times New Roman"/>
          <w:sz w:val="21"/>
          <w:szCs w:val="21"/>
        </w:rPr>
        <w:t xml:space="preserve">, </w:t>
      </w:r>
      <w:r w:rsidRPr="000318B2">
        <w:rPr>
          <w:rFonts w:ascii="Times New Roman" w:hAnsi="Times New Roman" w:cs="Times New Roman"/>
          <w:sz w:val="21"/>
          <w:szCs w:val="21"/>
          <w:lang w:val="en-US"/>
        </w:rPr>
        <w:t>c</w:t>
      </w:r>
      <w:r w:rsidRPr="000318B2">
        <w:rPr>
          <w:rFonts w:ascii="Times New Roman" w:hAnsi="Times New Roman" w:cs="Times New Roman"/>
          <w:sz w:val="21"/>
          <w:szCs w:val="21"/>
        </w:rPr>
        <w:t>. 18]. Відбувається перенесення соціальної практики з однієї території на іншу і, як наслідок, стимулювання глобалізації суспільних</w:t>
      </w:r>
      <w:r w:rsidRPr="000318B2">
        <w:rPr>
          <w:rFonts w:ascii="Times New Roman" w:hAnsi="Times New Roman" w:cs="Times New Roman"/>
          <w:spacing w:val="-4"/>
          <w:sz w:val="21"/>
          <w:szCs w:val="21"/>
        </w:rPr>
        <w:t xml:space="preserve"> </w:t>
      </w:r>
      <w:r w:rsidRPr="000318B2">
        <w:rPr>
          <w:rFonts w:ascii="Times New Roman" w:hAnsi="Times New Roman" w:cs="Times New Roman"/>
          <w:sz w:val="21"/>
          <w:szCs w:val="21"/>
        </w:rPr>
        <w:t>відносин. Міжнародні мігранти долуча</w:t>
      </w:r>
      <w:r>
        <w:rPr>
          <w:rFonts w:ascii="Times New Roman" w:hAnsi="Times New Roman" w:cs="Times New Roman"/>
          <w:sz w:val="21"/>
          <w:szCs w:val="21"/>
        </w:rPr>
        <w:t>-</w:t>
      </w:r>
      <w:r w:rsidRPr="000318B2">
        <w:rPr>
          <w:rFonts w:ascii="Times New Roman" w:hAnsi="Times New Roman" w:cs="Times New Roman"/>
          <w:sz w:val="21"/>
          <w:szCs w:val="21"/>
        </w:rPr>
        <w:t>ються до більш передових технологій у країнах призначення, більш високих стандартів трудової етики, дисципліни, організації виробництва, зростає їх освітній та професійно-кваліфікаційний рівень і акти</w:t>
      </w:r>
      <w:r>
        <w:rPr>
          <w:rFonts w:ascii="Times New Roman" w:hAnsi="Times New Roman" w:cs="Times New Roman"/>
          <w:sz w:val="21"/>
          <w:szCs w:val="21"/>
        </w:rPr>
        <w:t>-</w:t>
      </w:r>
      <w:r w:rsidRPr="000318B2">
        <w:rPr>
          <w:rFonts w:ascii="Times New Roman" w:hAnsi="Times New Roman" w:cs="Times New Roman"/>
          <w:sz w:val="21"/>
          <w:szCs w:val="21"/>
        </w:rPr>
        <w:t>візується здатність до організації нових видів діяльності [</w:t>
      </w:r>
      <w:r>
        <w:rPr>
          <w:rFonts w:ascii="Times New Roman" w:hAnsi="Times New Roman" w:cs="Times New Roman"/>
          <w:bCs/>
          <w:sz w:val="21"/>
          <w:szCs w:val="21"/>
          <w:highlight w:val="yellow"/>
        </w:rPr>
        <w:fldChar w:fldCharType="begin"/>
      </w:r>
      <w:r>
        <w:rPr>
          <w:rFonts w:ascii="Times New Roman" w:hAnsi="Times New Roman" w:cs="Times New Roman"/>
          <w:sz w:val="21"/>
          <w:szCs w:val="21"/>
        </w:rPr>
        <w:instrText xml:space="preserve"> REF _Ref435182370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z w:val="21"/>
          <w:szCs w:val="21"/>
        </w:rPr>
        <w:t>7</w:t>
      </w:r>
      <w:r>
        <w:rPr>
          <w:rFonts w:ascii="Times New Roman" w:hAnsi="Times New Roman" w:cs="Times New Roman"/>
          <w:bCs/>
          <w:sz w:val="21"/>
          <w:szCs w:val="21"/>
          <w:highlight w:val="yellow"/>
        </w:rPr>
        <w:fldChar w:fldCharType="end"/>
      </w:r>
      <w:r w:rsidRPr="000318B2">
        <w:rPr>
          <w:rFonts w:ascii="Times New Roman" w:hAnsi="Times New Roman" w:cs="Times New Roman"/>
          <w:sz w:val="21"/>
          <w:szCs w:val="21"/>
        </w:rPr>
        <w:t xml:space="preserve">, </w:t>
      </w:r>
      <w:r w:rsidRPr="000318B2">
        <w:rPr>
          <w:rFonts w:ascii="Times New Roman" w:hAnsi="Times New Roman" w:cs="Times New Roman"/>
          <w:sz w:val="21"/>
          <w:szCs w:val="21"/>
          <w:lang w:val="en-US"/>
        </w:rPr>
        <w:t>c</w:t>
      </w:r>
      <w:r w:rsidRPr="000318B2">
        <w:rPr>
          <w:rFonts w:ascii="Times New Roman" w:hAnsi="Times New Roman" w:cs="Times New Roman"/>
          <w:sz w:val="21"/>
          <w:szCs w:val="21"/>
        </w:rPr>
        <w:t>. 173</w:t>
      </w:r>
      <w:r>
        <w:rPr>
          <w:rFonts w:ascii="Times New Roman" w:hAnsi="Times New Roman" w:cs="Times New Roman"/>
          <w:sz w:val="21"/>
          <w:szCs w:val="21"/>
        </w:rPr>
        <w:t>–</w:t>
      </w:r>
      <w:r w:rsidRPr="000318B2">
        <w:rPr>
          <w:rFonts w:ascii="Times New Roman" w:hAnsi="Times New Roman" w:cs="Times New Roman"/>
          <w:sz w:val="21"/>
          <w:szCs w:val="21"/>
        </w:rPr>
        <w:t>174]. Реемігранти зі здобутим соціальним потенціалом також у вигляді трансакцій, соціальних дій, зв’язків між представниками різних соціальних класів за кордоном володіють інноваційними перевагами в управлінських рішеннях, організації та веденні бізне</w:t>
      </w:r>
      <w:r>
        <w:rPr>
          <w:rFonts w:ascii="Times New Roman" w:hAnsi="Times New Roman" w:cs="Times New Roman"/>
          <w:sz w:val="21"/>
          <w:szCs w:val="21"/>
        </w:rPr>
        <w:t>-</w:t>
      </w:r>
      <w:r w:rsidRPr="000318B2">
        <w:rPr>
          <w:rFonts w:ascii="Times New Roman" w:hAnsi="Times New Roman" w:cs="Times New Roman"/>
          <w:sz w:val="21"/>
          <w:szCs w:val="21"/>
        </w:rPr>
        <w:t>су, рівні ділової та соціальної активності. Таким чином, рееміграція сприяє покращенню якості людського потенці</w:t>
      </w:r>
      <w:r>
        <w:rPr>
          <w:rFonts w:ascii="Times New Roman" w:hAnsi="Times New Roman" w:cs="Times New Roman"/>
          <w:sz w:val="21"/>
          <w:szCs w:val="21"/>
        </w:rPr>
        <w:t>-</w:t>
      </w:r>
      <w:r w:rsidRPr="000318B2">
        <w:rPr>
          <w:rFonts w:ascii="Times New Roman" w:hAnsi="Times New Roman" w:cs="Times New Roman"/>
          <w:sz w:val="21"/>
          <w:szCs w:val="21"/>
        </w:rPr>
        <w:t>алу і створює передумови для реформування місцевих виробництв, впровад</w:t>
      </w:r>
      <w:r>
        <w:rPr>
          <w:rFonts w:ascii="Times New Roman" w:hAnsi="Times New Roman" w:cs="Times New Roman"/>
          <w:sz w:val="21"/>
          <w:szCs w:val="21"/>
        </w:rPr>
        <w:t>-</w:t>
      </w:r>
      <w:r w:rsidRPr="000318B2">
        <w:rPr>
          <w:rFonts w:ascii="Times New Roman" w:hAnsi="Times New Roman" w:cs="Times New Roman"/>
          <w:sz w:val="21"/>
          <w:szCs w:val="21"/>
        </w:rPr>
        <w:t>ження організаційних і технологічних інновацій [</w:t>
      </w:r>
      <w:r>
        <w:rPr>
          <w:rFonts w:ascii="Times New Roman" w:hAnsi="Times New Roman" w:cs="Times New Roman"/>
          <w:bCs/>
          <w:sz w:val="21"/>
          <w:szCs w:val="21"/>
          <w:highlight w:val="yellow"/>
        </w:rPr>
        <w:fldChar w:fldCharType="begin"/>
      </w:r>
      <w:r>
        <w:rPr>
          <w:rFonts w:ascii="Times New Roman" w:hAnsi="Times New Roman" w:cs="Times New Roman"/>
          <w:sz w:val="21"/>
          <w:szCs w:val="21"/>
        </w:rPr>
        <w:instrText xml:space="preserve"> REF _Ref435182370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z w:val="21"/>
          <w:szCs w:val="21"/>
        </w:rPr>
        <w:t>7</w:t>
      </w:r>
      <w:r>
        <w:rPr>
          <w:rFonts w:ascii="Times New Roman" w:hAnsi="Times New Roman" w:cs="Times New Roman"/>
          <w:bCs/>
          <w:sz w:val="21"/>
          <w:szCs w:val="21"/>
          <w:highlight w:val="yellow"/>
        </w:rPr>
        <w:fldChar w:fldCharType="end"/>
      </w:r>
      <w:r w:rsidRPr="000318B2">
        <w:rPr>
          <w:rFonts w:ascii="Times New Roman" w:hAnsi="Times New Roman" w:cs="Times New Roman"/>
          <w:sz w:val="21"/>
          <w:szCs w:val="21"/>
        </w:rPr>
        <w:t>,</w:t>
      </w:r>
      <w:r>
        <w:rPr>
          <w:rFonts w:ascii="Times New Roman" w:hAnsi="Times New Roman" w:cs="Times New Roman"/>
          <w:sz w:val="21"/>
          <w:szCs w:val="21"/>
        </w:rPr>
        <w:t xml:space="preserve"> </w:t>
      </w:r>
      <w:r w:rsidRPr="000318B2">
        <w:rPr>
          <w:rFonts w:ascii="Times New Roman" w:hAnsi="Times New Roman" w:cs="Times New Roman"/>
          <w:sz w:val="21"/>
          <w:szCs w:val="21"/>
          <w:lang w:val="en-US"/>
        </w:rPr>
        <w:t>c</w:t>
      </w:r>
      <w:r w:rsidRPr="000318B2">
        <w:rPr>
          <w:rFonts w:ascii="Times New Roman" w:hAnsi="Times New Roman" w:cs="Times New Roman"/>
          <w:sz w:val="21"/>
          <w:szCs w:val="21"/>
        </w:rPr>
        <w:t>.</w:t>
      </w:r>
      <w:r>
        <w:rPr>
          <w:rFonts w:ascii="Times New Roman" w:hAnsi="Times New Roman" w:cs="Times New Roman"/>
          <w:sz w:val="21"/>
          <w:szCs w:val="21"/>
        </w:rPr>
        <w:t xml:space="preserve"> </w:t>
      </w:r>
      <w:r w:rsidRPr="000318B2">
        <w:rPr>
          <w:rFonts w:ascii="Times New Roman" w:hAnsi="Times New Roman" w:cs="Times New Roman"/>
          <w:sz w:val="21"/>
          <w:szCs w:val="21"/>
        </w:rPr>
        <w:t>57].</w:t>
      </w:r>
    </w:p>
    <w:p w:rsidR="00B233DE" w:rsidRPr="000318B2" w:rsidRDefault="00B233DE" w:rsidP="00B233DE">
      <w:pPr>
        <w:ind w:firstLine="708"/>
        <w:jc w:val="both"/>
        <w:rPr>
          <w:rFonts w:ascii="Times New Roman" w:hAnsi="Times New Roman" w:cs="Times New Roman"/>
          <w:sz w:val="21"/>
          <w:szCs w:val="21"/>
          <w:lang w:val="ru-RU"/>
        </w:rPr>
      </w:pPr>
      <w:r w:rsidRPr="000318B2">
        <w:rPr>
          <w:rFonts w:ascii="Times New Roman" w:hAnsi="Times New Roman" w:cs="Times New Roman"/>
          <w:bCs/>
          <w:iCs/>
          <w:sz w:val="21"/>
          <w:szCs w:val="21"/>
        </w:rPr>
        <w:t>На основі зазначених вище теоретичних підходів та поглядів на передумови формування людського потенціалу в системі сучасної практики міграційних відносин</w:t>
      </w:r>
      <w:r w:rsidRPr="000318B2">
        <w:rPr>
          <w:rFonts w:ascii="Times New Roman" w:hAnsi="Times New Roman" w:cs="Times New Roman"/>
          <w:sz w:val="21"/>
          <w:szCs w:val="21"/>
        </w:rPr>
        <w:t xml:space="preserve"> доходимо висновку, що в основі міграційного перерозподілу людського потенціалу лежить розподіл його складових за допомогою різноманітних видів міграції. Кожна із складових може змінювати умови своєї реалізації у часі шляхом постійної, тимчасової, сезонної або маятникової міграції і місце реалізації у напрямі еміграції, імміграції, рееміграції або циклічної міграції та набувати добровільної і вимушеної, легальної і нелегальної форм руху. За якісним складом ЛП, тобто за його освітньо-кваліфікаційною складовою перерозподіл відбувається у вигляді міжнародного руху висококваліфікованих, низькокваліфікованих працівників та працівників середньої кваліфікації, що є причиною зрушень на між</w:t>
      </w:r>
      <w:r>
        <w:rPr>
          <w:rFonts w:ascii="Times New Roman" w:hAnsi="Times New Roman" w:cs="Times New Roman"/>
          <w:sz w:val="21"/>
          <w:szCs w:val="21"/>
        </w:rPr>
        <w:t>народному ринку праці</w:t>
      </w:r>
      <w:r w:rsidRPr="000318B2">
        <w:rPr>
          <w:rFonts w:ascii="Times New Roman" w:hAnsi="Times New Roman" w:cs="Times New Roman"/>
          <w:sz w:val="21"/>
          <w:szCs w:val="21"/>
        </w:rPr>
        <w:t xml:space="preserve">. Розподіл кожної зі складових у вигляді певного виду міграції призводить до конкретних наслідків, які можуть набувати позитивного та негативного значення для країн походження та призначення (рис. </w:t>
      </w:r>
      <w:r>
        <w:rPr>
          <w:rFonts w:ascii="Times New Roman" w:hAnsi="Times New Roman" w:cs="Times New Roman"/>
          <w:sz w:val="21"/>
          <w:szCs w:val="21"/>
        </w:rPr>
        <w:t>4.7</w:t>
      </w:r>
      <w:r w:rsidRPr="000318B2">
        <w:rPr>
          <w:rFonts w:ascii="Times New Roman" w:hAnsi="Times New Roman" w:cs="Times New Roman"/>
          <w:sz w:val="21"/>
          <w:szCs w:val="21"/>
        </w:rPr>
        <w:t>).</w:t>
      </w:r>
    </w:p>
    <w:p w:rsidR="00B233DE" w:rsidRDefault="00B233DE" w:rsidP="00B233DE">
      <w:pPr>
        <w:ind w:firstLine="0"/>
        <w:jc w:val="both"/>
        <w:rPr>
          <w:rFonts w:ascii="Times New Roman" w:hAnsi="Times New Roman" w:cs="Times New Roman"/>
          <w:sz w:val="21"/>
          <w:szCs w:val="21"/>
          <w:lang w:val="ru-RU"/>
        </w:rPr>
      </w:pPr>
      <w:r>
        <w:rPr>
          <w:rFonts w:ascii="Times New Roman" w:hAnsi="Times New Roman" w:cs="Times New Roman"/>
          <w:noProof/>
          <w:sz w:val="21"/>
          <w:szCs w:val="21"/>
          <w:lang w:val="ru-RU" w:eastAsia="ru-RU"/>
        </w:rPr>
        <w:lastRenderedPageBreak/>
        <mc:AlternateContent>
          <mc:Choice Requires="wpg">
            <w:drawing>
              <wp:inline distT="0" distB="0" distL="0" distR="0" wp14:anchorId="18919FDD" wp14:editId="25AEAD7D">
                <wp:extent cx="3940660" cy="5638102"/>
                <wp:effectExtent l="0" t="0" r="22225" b="20320"/>
                <wp:docPr id="797" name="Группа 7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40660" cy="5638102"/>
                          <a:chOff x="2363" y="1877"/>
                          <a:chExt cx="6782" cy="11319"/>
                        </a:xfrm>
                      </wpg:grpSpPr>
                      <wps:wsp>
                        <wps:cNvPr id="802" name="Text Box 304"/>
                        <wps:cNvSpPr txBox="1">
                          <a:spLocks noChangeArrowheads="1"/>
                        </wps:cNvSpPr>
                        <wps:spPr bwMode="auto">
                          <a:xfrm>
                            <a:off x="2363" y="3177"/>
                            <a:ext cx="6723" cy="602"/>
                          </a:xfrm>
                          <a:prstGeom prst="rect">
                            <a:avLst/>
                          </a:prstGeom>
                          <a:noFill/>
                          <a:ln w="12700">
                            <a:solidFill>
                              <a:srgbClr val="000000"/>
                            </a:solidFill>
                            <a:prstDash val="lgDash"/>
                            <a:miter lim="800000"/>
                            <a:headEnd/>
                            <a:tailEnd/>
                          </a:ln>
                        </wps:spPr>
                        <wps:txbx>
                          <w:txbxContent>
                            <w:p w:rsidR="00BE40F8" w:rsidRPr="00B4285A" w:rsidRDefault="00BE40F8" w:rsidP="00B233DE">
                              <w:pPr>
                                <w:rPr>
                                  <w:rFonts w:ascii="Calibri" w:hAnsi="Calibri"/>
                                  <w:sz w:val="12"/>
                                  <w:szCs w:val="12"/>
                                </w:rPr>
                              </w:pPr>
                            </w:p>
                          </w:txbxContent>
                        </wps:txbx>
                        <wps:bodyPr rot="0" vert="horz" wrap="square" lIns="91440" tIns="45720" rIns="91440" bIns="45720" anchor="t" anchorCtr="0" upright="1">
                          <a:noAutofit/>
                        </wps:bodyPr>
                      </wps:wsp>
                      <wps:wsp>
                        <wps:cNvPr id="798" name="Rectangle 300"/>
                        <wps:cNvSpPr>
                          <a:spLocks noChangeArrowheads="1"/>
                        </wps:cNvSpPr>
                        <wps:spPr bwMode="auto">
                          <a:xfrm>
                            <a:off x="2378" y="6154"/>
                            <a:ext cx="6723" cy="703"/>
                          </a:xfrm>
                          <a:prstGeom prst="rect">
                            <a:avLst/>
                          </a:prstGeom>
                          <a:solidFill>
                            <a:srgbClr val="FFFFFF">
                              <a:alpha val="0"/>
                            </a:srgbClr>
                          </a:solidFill>
                          <a:ln w="12700">
                            <a:solidFill>
                              <a:srgbClr val="000000"/>
                            </a:solidFill>
                            <a:prstDash val="lgDash"/>
                            <a:miter lim="800000"/>
                            <a:headEnd/>
                            <a:tailEnd/>
                          </a:ln>
                        </wps:spPr>
                        <wps:bodyPr rot="0" vert="horz" wrap="square" lIns="91440" tIns="45720" rIns="91440" bIns="45720" anchor="t" anchorCtr="0" upright="1">
                          <a:noAutofit/>
                        </wps:bodyPr>
                      </wps:wsp>
                      <wps:wsp>
                        <wps:cNvPr id="799" name="Rectangle 301"/>
                        <wps:cNvSpPr>
                          <a:spLocks noChangeArrowheads="1"/>
                        </wps:cNvSpPr>
                        <wps:spPr bwMode="auto">
                          <a:xfrm>
                            <a:off x="2422" y="5277"/>
                            <a:ext cx="6723" cy="833"/>
                          </a:xfrm>
                          <a:prstGeom prst="rect">
                            <a:avLst/>
                          </a:prstGeom>
                          <a:solidFill>
                            <a:srgbClr val="FFFFFF">
                              <a:alpha val="0"/>
                            </a:srgbClr>
                          </a:solidFill>
                          <a:ln w="12700">
                            <a:solidFill>
                              <a:srgbClr val="000000"/>
                            </a:solidFill>
                            <a:prstDash val="lgDash"/>
                            <a:miter lim="800000"/>
                            <a:headEnd/>
                            <a:tailEnd/>
                          </a:ln>
                        </wps:spPr>
                        <wps:bodyPr rot="0" vert="horz" wrap="square" lIns="91440" tIns="45720" rIns="91440" bIns="45720" anchor="t" anchorCtr="0" upright="1">
                          <a:noAutofit/>
                        </wps:bodyPr>
                      </wps:wsp>
                      <wps:wsp>
                        <wps:cNvPr id="800" name="Rectangle 302"/>
                        <wps:cNvSpPr>
                          <a:spLocks noChangeArrowheads="1"/>
                        </wps:cNvSpPr>
                        <wps:spPr bwMode="auto">
                          <a:xfrm>
                            <a:off x="2378" y="4525"/>
                            <a:ext cx="6723" cy="645"/>
                          </a:xfrm>
                          <a:prstGeom prst="rect">
                            <a:avLst/>
                          </a:prstGeom>
                          <a:solidFill>
                            <a:srgbClr val="FFFFFF">
                              <a:alpha val="0"/>
                            </a:srgbClr>
                          </a:solidFill>
                          <a:ln w="12700">
                            <a:solidFill>
                              <a:srgbClr val="000000"/>
                            </a:solidFill>
                            <a:prstDash val="lgDash"/>
                            <a:miter lim="800000"/>
                            <a:headEnd/>
                            <a:tailEnd/>
                          </a:ln>
                        </wps:spPr>
                        <wps:bodyPr rot="0" vert="horz" wrap="square" lIns="91440" tIns="45720" rIns="91440" bIns="45720" anchor="t" anchorCtr="0" upright="1">
                          <a:noAutofit/>
                        </wps:bodyPr>
                      </wps:wsp>
                      <wps:wsp>
                        <wps:cNvPr id="801" name="Text Box 303"/>
                        <wps:cNvSpPr txBox="1">
                          <a:spLocks noChangeArrowheads="1"/>
                        </wps:cNvSpPr>
                        <wps:spPr bwMode="auto">
                          <a:xfrm>
                            <a:off x="2378" y="3829"/>
                            <a:ext cx="6723" cy="609"/>
                          </a:xfrm>
                          <a:prstGeom prst="rect">
                            <a:avLst/>
                          </a:prstGeom>
                          <a:solidFill>
                            <a:srgbClr val="FFFFFF">
                              <a:alpha val="0"/>
                            </a:srgbClr>
                          </a:solidFill>
                          <a:ln w="12700">
                            <a:solidFill>
                              <a:srgbClr val="000000"/>
                            </a:solidFill>
                            <a:prstDash val="lgDash"/>
                            <a:miter lim="800000"/>
                            <a:headEnd/>
                            <a:tailEnd/>
                          </a:ln>
                        </wps:spPr>
                        <wps:txbx>
                          <w:txbxContent>
                            <w:p w:rsidR="00BE40F8" w:rsidRPr="00B4285A" w:rsidRDefault="00BE40F8" w:rsidP="00B233DE">
                              <w:pPr>
                                <w:rPr>
                                  <w:rFonts w:ascii="Calibri" w:hAnsi="Calibri"/>
                                  <w:sz w:val="12"/>
                                  <w:szCs w:val="12"/>
                                </w:rPr>
                              </w:pPr>
                            </w:p>
                          </w:txbxContent>
                        </wps:txbx>
                        <wps:bodyPr rot="0" vert="horz" wrap="square" lIns="0" tIns="0" rIns="0" bIns="0" anchor="ctr" anchorCtr="0" upright="1">
                          <a:noAutofit/>
                        </wps:bodyPr>
                      </wps:wsp>
                      <wps:wsp>
                        <wps:cNvPr id="803" name="Text Box 305"/>
                        <wps:cNvSpPr txBox="1">
                          <a:spLocks noChangeArrowheads="1"/>
                        </wps:cNvSpPr>
                        <wps:spPr bwMode="auto">
                          <a:xfrm>
                            <a:off x="2987" y="12470"/>
                            <a:ext cx="2504" cy="660"/>
                          </a:xfrm>
                          <a:prstGeom prst="rect">
                            <a:avLst/>
                          </a:prstGeom>
                          <a:solidFill>
                            <a:srgbClr val="FFFFFF"/>
                          </a:solidFill>
                          <a:ln w="9525">
                            <a:solidFill>
                              <a:srgbClr val="000000"/>
                            </a:solidFill>
                            <a:miter lim="800000"/>
                            <a:headEnd/>
                            <a:tailEnd/>
                          </a:ln>
                        </wps:spPr>
                        <wps:txbx>
                          <w:txbxContent>
                            <w:p w:rsidR="00BE40F8" w:rsidRPr="0039454F" w:rsidRDefault="00BE40F8" w:rsidP="00B233DE">
                              <w:pPr>
                                <w:ind w:firstLine="0"/>
                                <w:jc w:val="both"/>
                                <w:rPr>
                                  <w:rFonts w:ascii="Times New Roman" w:hAnsi="Times New Roman" w:cs="Times New Roman"/>
                                  <w:sz w:val="14"/>
                                  <w:szCs w:val="14"/>
                                </w:rPr>
                              </w:pPr>
                              <w:r w:rsidRPr="0039454F">
                                <w:rPr>
                                  <w:rFonts w:ascii="Times New Roman" w:hAnsi="Times New Roman" w:cs="Times New Roman"/>
                                  <w:spacing w:val="-4"/>
                                  <w:sz w:val="14"/>
                                  <w:szCs w:val="14"/>
                                </w:rPr>
                                <w:t>Підвищення інтелектуального та освіт</w:t>
                              </w:r>
                              <w:r w:rsidRPr="0039454F">
                                <w:rPr>
                                  <w:rFonts w:ascii="Times New Roman" w:hAnsi="Times New Roman" w:cs="Times New Roman"/>
                                  <w:spacing w:val="-4"/>
                                  <w:sz w:val="14"/>
                                  <w:szCs w:val="14"/>
                                  <w:lang w:val="ru-RU"/>
                                </w:rPr>
                                <w:t>-</w:t>
                              </w:r>
                              <w:r w:rsidRPr="0039454F">
                                <w:rPr>
                                  <w:rFonts w:ascii="Times New Roman" w:hAnsi="Times New Roman" w:cs="Times New Roman"/>
                                  <w:sz w:val="14"/>
                                  <w:szCs w:val="14"/>
                                </w:rPr>
                                <w:t>нього потенціалу:</w:t>
                              </w:r>
                              <w:r w:rsidRPr="0039454F">
                                <w:rPr>
                                  <w:rFonts w:ascii="Times New Roman" w:hAnsi="Times New Roman" w:cs="Times New Roman"/>
                                  <w:sz w:val="14"/>
                                  <w:szCs w:val="14"/>
                                  <w:lang w:val="ru-RU"/>
                                </w:rPr>
                                <w:t xml:space="preserve"> </w:t>
                              </w:r>
                              <w:r w:rsidRPr="0039454F">
                                <w:rPr>
                                  <w:rFonts w:ascii="Times New Roman" w:hAnsi="Times New Roman" w:cs="Times New Roman"/>
                                  <w:sz w:val="14"/>
                                  <w:szCs w:val="14"/>
                                </w:rPr>
                                <w:t>передача знань, технологій, ноу-хау</w:t>
                              </w:r>
                            </w:p>
                            <w:p w:rsidR="00BE40F8" w:rsidRPr="00B4285A" w:rsidRDefault="00BE40F8" w:rsidP="00B233DE">
                              <w:pPr>
                                <w:rPr>
                                  <w:rFonts w:ascii="Calibri" w:hAnsi="Calibri"/>
                                  <w:sz w:val="12"/>
                                  <w:szCs w:val="12"/>
                                </w:rPr>
                              </w:pPr>
                            </w:p>
                          </w:txbxContent>
                        </wps:txbx>
                        <wps:bodyPr rot="0" vert="horz" wrap="square" lIns="0" tIns="0" rIns="0" bIns="0" anchor="ctr" anchorCtr="0" upright="1">
                          <a:noAutofit/>
                        </wps:bodyPr>
                      </wps:wsp>
                      <wps:wsp>
                        <wps:cNvPr id="804" name="Text Box 306"/>
                        <wps:cNvSpPr txBox="1">
                          <a:spLocks noChangeArrowheads="1"/>
                        </wps:cNvSpPr>
                        <wps:spPr bwMode="auto">
                          <a:xfrm>
                            <a:off x="2422" y="9821"/>
                            <a:ext cx="424" cy="3207"/>
                          </a:xfrm>
                          <a:prstGeom prst="rect">
                            <a:avLst/>
                          </a:prstGeom>
                          <a:solidFill>
                            <a:srgbClr val="FFFFFF"/>
                          </a:solidFill>
                          <a:ln w="9525">
                            <a:solidFill>
                              <a:srgbClr val="000000"/>
                            </a:solidFill>
                            <a:miter lim="800000"/>
                            <a:headEnd/>
                            <a:tailEnd/>
                          </a:ln>
                        </wps:spPr>
                        <wps:txbx>
                          <w:txbxContent>
                            <w:p w:rsidR="00BE40F8" w:rsidRPr="00C870EE" w:rsidRDefault="00BE40F8" w:rsidP="00B233DE">
                              <w:pPr>
                                <w:ind w:firstLine="0"/>
                                <w:jc w:val="center"/>
                                <w:rPr>
                                  <w:rFonts w:ascii="Times New Roman" w:hAnsi="Times New Roman" w:cs="Times New Roman"/>
                                  <w:sz w:val="14"/>
                                  <w:szCs w:val="12"/>
                                </w:rPr>
                              </w:pPr>
                              <w:r w:rsidRPr="00C870EE">
                                <w:rPr>
                                  <w:rFonts w:ascii="Times New Roman" w:hAnsi="Times New Roman" w:cs="Times New Roman"/>
                                  <w:sz w:val="14"/>
                                  <w:szCs w:val="12"/>
                                </w:rPr>
                                <w:t>Позитивні для країн походження</w:t>
                              </w:r>
                            </w:p>
                          </w:txbxContent>
                        </wps:txbx>
                        <wps:bodyPr rot="0" vert="vert270" wrap="square" lIns="0" tIns="0" rIns="0" bIns="0" anchor="ctr" anchorCtr="0" upright="1">
                          <a:noAutofit/>
                        </wps:bodyPr>
                      </wps:wsp>
                      <wps:wsp>
                        <wps:cNvPr id="805" name="Text Box 307"/>
                        <wps:cNvSpPr txBox="1">
                          <a:spLocks noChangeArrowheads="1"/>
                        </wps:cNvSpPr>
                        <wps:spPr bwMode="auto">
                          <a:xfrm>
                            <a:off x="8632" y="9960"/>
                            <a:ext cx="423" cy="3235"/>
                          </a:xfrm>
                          <a:prstGeom prst="rect">
                            <a:avLst/>
                          </a:prstGeom>
                          <a:solidFill>
                            <a:srgbClr val="FFFFFF"/>
                          </a:solidFill>
                          <a:ln w="9525">
                            <a:solidFill>
                              <a:srgbClr val="000000"/>
                            </a:solidFill>
                            <a:miter lim="800000"/>
                            <a:headEnd/>
                            <a:tailEnd/>
                          </a:ln>
                        </wps:spPr>
                        <wps:txbx>
                          <w:txbxContent>
                            <w:p w:rsidR="00BE40F8" w:rsidRPr="00E21B8C" w:rsidRDefault="00BE40F8" w:rsidP="00B233DE">
                              <w:pPr>
                                <w:ind w:firstLine="0"/>
                                <w:jc w:val="center"/>
                                <w:rPr>
                                  <w:rFonts w:ascii="Times New Roman" w:hAnsi="Times New Roman" w:cs="Times New Roman"/>
                                  <w:sz w:val="14"/>
                                  <w:szCs w:val="12"/>
                                </w:rPr>
                              </w:pPr>
                              <w:r w:rsidRPr="00E21B8C">
                                <w:rPr>
                                  <w:rFonts w:ascii="Times New Roman" w:hAnsi="Times New Roman" w:cs="Times New Roman"/>
                                  <w:sz w:val="14"/>
                                  <w:szCs w:val="12"/>
                                </w:rPr>
                                <w:t>Негативні для країн походження</w:t>
                              </w:r>
                            </w:p>
                          </w:txbxContent>
                        </wps:txbx>
                        <wps:bodyPr rot="0" vert="vert" wrap="square" lIns="0" tIns="0" rIns="0" bIns="0" anchor="ctr" anchorCtr="0" upright="1">
                          <a:noAutofit/>
                        </wps:bodyPr>
                      </wps:wsp>
                      <wps:wsp>
                        <wps:cNvPr id="806" name="Text Box 308"/>
                        <wps:cNvSpPr txBox="1">
                          <a:spLocks noChangeArrowheads="1"/>
                        </wps:cNvSpPr>
                        <wps:spPr bwMode="auto">
                          <a:xfrm>
                            <a:off x="2422" y="3829"/>
                            <a:ext cx="847" cy="609"/>
                          </a:xfrm>
                          <a:prstGeom prst="rect">
                            <a:avLst/>
                          </a:prstGeom>
                          <a:solidFill>
                            <a:srgbClr val="FFFFFF"/>
                          </a:solidFill>
                          <a:ln w="9525">
                            <a:solidFill>
                              <a:srgbClr val="000000"/>
                            </a:solidFill>
                            <a:miter lim="800000"/>
                            <a:headEnd/>
                            <a:tailEnd/>
                          </a:ln>
                        </wps:spPr>
                        <wps:txbx>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За часом</w:t>
                              </w:r>
                            </w:p>
                          </w:txbxContent>
                        </wps:txbx>
                        <wps:bodyPr rot="0" vert="vert270" wrap="square" lIns="18000" tIns="10800" rIns="18000" bIns="10800" anchor="t" anchorCtr="0" upright="1">
                          <a:noAutofit/>
                        </wps:bodyPr>
                      </wps:wsp>
                      <wps:wsp>
                        <wps:cNvPr id="807" name="Text Box 309"/>
                        <wps:cNvSpPr txBox="1">
                          <a:spLocks noChangeArrowheads="1"/>
                        </wps:cNvSpPr>
                        <wps:spPr bwMode="auto">
                          <a:xfrm>
                            <a:off x="2422" y="3177"/>
                            <a:ext cx="847" cy="558"/>
                          </a:xfrm>
                          <a:prstGeom prst="rect">
                            <a:avLst/>
                          </a:prstGeom>
                          <a:solidFill>
                            <a:srgbClr val="FFFFFF"/>
                          </a:solidFill>
                          <a:ln w="9525">
                            <a:solidFill>
                              <a:srgbClr val="000000"/>
                            </a:solidFill>
                            <a:miter lim="800000"/>
                            <a:headEnd/>
                            <a:tailEnd/>
                          </a:ln>
                        </wps:spPr>
                        <wps:txbx>
                          <w:txbxContent>
                            <w:p w:rsidR="00BE40F8" w:rsidRPr="002B7C60" w:rsidRDefault="00BE40F8" w:rsidP="00B233DE">
                              <w:pPr>
                                <w:ind w:firstLine="0"/>
                                <w:jc w:val="center"/>
                                <w:rPr>
                                  <w:rFonts w:ascii="Times New Roman" w:hAnsi="Times New Roman" w:cs="Times New Roman"/>
                                  <w:sz w:val="14"/>
                                  <w:szCs w:val="14"/>
                                </w:rPr>
                              </w:pPr>
                              <w:r w:rsidRPr="002B7C60">
                                <w:rPr>
                                  <w:rFonts w:ascii="Times New Roman" w:hAnsi="Times New Roman" w:cs="Times New Roman"/>
                                  <w:sz w:val="14"/>
                                  <w:szCs w:val="14"/>
                                </w:rPr>
                                <w:t>За на</w:t>
                              </w:r>
                              <w:r>
                                <w:rPr>
                                  <w:rFonts w:ascii="Times New Roman" w:hAnsi="Times New Roman" w:cs="Times New Roman"/>
                                  <w:sz w:val="14"/>
                                  <w:szCs w:val="14"/>
                                </w:rPr>
                                <w:t>-</w:t>
                              </w:r>
                              <w:r w:rsidRPr="002B7C60">
                                <w:rPr>
                                  <w:rFonts w:ascii="Times New Roman" w:hAnsi="Times New Roman" w:cs="Times New Roman"/>
                                  <w:sz w:val="14"/>
                                  <w:szCs w:val="14"/>
                                </w:rPr>
                                <w:t>пря-мом руху</w:t>
                              </w:r>
                            </w:p>
                          </w:txbxContent>
                        </wps:txbx>
                        <wps:bodyPr rot="0" vert="vert270" wrap="square" lIns="0" tIns="0" rIns="0" bIns="0" anchor="ctr" anchorCtr="0" upright="1">
                          <a:noAutofit/>
                        </wps:bodyPr>
                      </wps:wsp>
                      <wps:wsp>
                        <wps:cNvPr id="808" name="Text Box 310"/>
                        <wps:cNvSpPr txBox="1">
                          <a:spLocks noChangeArrowheads="1"/>
                        </wps:cNvSpPr>
                        <wps:spPr bwMode="auto">
                          <a:xfrm>
                            <a:off x="2422" y="4525"/>
                            <a:ext cx="987" cy="603"/>
                          </a:xfrm>
                          <a:prstGeom prst="rect">
                            <a:avLst/>
                          </a:prstGeom>
                          <a:solidFill>
                            <a:srgbClr val="FFFFFF"/>
                          </a:solidFill>
                          <a:ln w="9525">
                            <a:solidFill>
                              <a:srgbClr val="000000"/>
                            </a:solidFill>
                            <a:miter lim="800000"/>
                            <a:headEnd/>
                            <a:tailEnd/>
                          </a:ln>
                        </wps:spPr>
                        <wps:txbx>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За організацією</w:t>
                              </w:r>
                            </w:p>
                          </w:txbxContent>
                        </wps:txbx>
                        <wps:bodyPr rot="0" vert="vert270" wrap="square" lIns="18000" tIns="10800" rIns="18000" bIns="10800" anchor="t" anchorCtr="0" upright="1">
                          <a:noAutofit/>
                        </wps:bodyPr>
                      </wps:wsp>
                      <wps:wsp>
                        <wps:cNvPr id="809" name="Text Box 311"/>
                        <wps:cNvSpPr txBox="1">
                          <a:spLocks noChangeArrowheads="1"/>
                        </wps:cNvSpPr>
                        <wps:spPr bwMode="auto">
                          <a:xfrm>
                            <a:off x="2422" y="5277"/>
                            <a:ext cx="706" cy="833"/>
                          </a:xfrm>
                          <a:prstGeom prst="rect">
                            <a:avLst/>
                          </a:prstGeom>
                          <a:solidFill>
                            <a:srgbClr val="FFFFFF"/>
                          </a:solidFill>
                          <a:ln w="9525">
                            <a:solidFill>
                              <a:srgbClr val="000000"/>
                            </a:solidFill>
                            <a:miter lim="800000"/>
                            <a:headEnd/>
                            <a:tailEnd/>
                          </a:ln>
                        </wps:spPr>
                        <wps:txbx>
                          <w:txbxContent>
                            <w:p w:rsidR="00BE40F8" w:rsidRPr="00C870EE" w:rsidRDefault="00BE40F8" w:rsidP="00B233DE">
                              <w:pPr>
                                <w:ind w:firstLine="0"/>
                                <w:jc w:val="center"/>
                                <w:rPr>
                                  <w:rFonts w:ascii="Times New Roman" w:hAnsi="Times New Roman" w:cs="Times New Roman"/>
                                  <w:sz w:val="14"/>
                                  <w:szCs w:val="14"/>
                                </w:rPr>
                              </w:pPr>
                              <w:r w:rsidRPr="00C870EE">
                                <w:rPr>
                                  <w:rFonts w:ascii="Times New Roman" w:hAnsi="Times New Roman" w:cs="Times New Roman"/>
                                  <w:sz w:val="14"/>
                                  <w:szCs w:val="14"/>
                                </w:rPr>
                                <w:t>За легаль</w:t>
                              </w:r>
                              <w:r>
                                <w:rPr>
                                  <w:rFonts w:ascii="Times New Roman" w:hAnsi="Times New Roman" w:cs="Times New Roman"/>
                                  <w:sz w:val="14"/>
                                  <w:szCs w:val="14"/>
                                </w:rPr>
                                <w:t>-</w:t>
                              </w:r>
                              <w:r w:rsidRPr="00C870EE">
                                <w:rPr>
                                  <w:rFonts w:ascii="Times New Roman" w:hAnsi="Times New Roman" w:cs="Times New Roman"/>
                                  <w:sz w:val="14"/>
                                  <w:szCs w:val="14"/>
                                </w:rPr>
                                <w:t>ним ста</w:t>
                              </w:r>
                              <w:r>
                                <w:rPr>
                                  <w:rFonts w:ascii="Times New Roman" w:hAnsi="Times New Roman" w:cs="Times New Roman"/>
                                  <w:sz w:val="14"/>
                                  <w:szCs w:val="14"/>
                                </w:rPr>
                                <w:t>-</w:t>
                              </w:r>
                              <w:r w:rsidRPr="00C870EE">
                                <w:rPr>
                                  <w:rFonts w:ascii="Times New Roman" w:hAnsi="Times New Roman" w:cs="Times New Roman"/>
                                  <w:sz w:val="14"/>
                                  <w:szCs w:val="14"/>
                                </w:rPr>
                                <w:t>тусом</w:t>
                              </w:r>
                            </w:p>
                          </w:txbxContent>
                        </wps:txbx>
                        <wps:bodyPr rot="0" vert="vert270" wrap="square" lIns="54000" tIns="10800" rIns="54000" bIns="10800" anchor="t" anchorCtr="0" upright="1">
                          <a:noAutofit/>
                        </wps:bodyPr>
                      </wps:wsp>
                      <wps:wsp>
                        <wps:cNvPr id="810" name="Text Box 312"/>
                        <wps:cNvSpPr txBox="1">
                          <a:spLocks noChangeArrowheads="1"/>
                        </wps:cNvSpPr>
                        <wps:spPr bwMode="auto">
                          <a:xfrm>
                            <a:off x="2422" y="6154"/>
                            <a:ext cx="706" cy="703"/>
                          </a:xfrm>
                          <a:prstGeom prst="rect">
                            <a:avLst/>
                          </a:prstGeom>
                          <a:solidFill>
                            <a:srgbClr val="FFFFFF"/>
                          </a:solidFill>
                          <a:ln w="9525">
                            <a:solidFill>
                              <a:srgbClr val="000000"/>
                            </a:solidFill>
                            <a:miter lim="800000"/>
                            <a:headEnd/>
                            <a:tailEnd/>
                          </a:ln>
                        </wps:spPr>
                        <wps:txbx>
                          <w:txbxContent>
                            <w:p w:rsidR="00BE40F8" w:rsidRPr="00C870EE" w:rsidRDefault="00BE40F8" w:rsidP="00B233DE">
                              <w:pPr>
                                <w:ind w:firstLine="0"/>
                                <w:jc w:val="center"/>
                                <w:rPr>
                                  <w:rFonts w:ascii="Times New Roman" w:hAnsi="Times New Roman" w:cs="Times New Roman"/>
                                  <w:sz w:val="12"/>
                                  <w:szCs w:val="12"/>
                                </w:rPr>
                              </w:pPr>
                              <w:r w:rsidRPr="00C870EE">
                                <w:rPr>
                                  <w:rFonts w:ascii="Times New Roman" w:hAnsi="Times New Roman" w:cs="Times New Roman"/>
                                  <w:sz w:val="14"/>
                                  <w:szCs w:val="12"/>
                                </w:rPr>
                                <w:t>За якісним складом</w:t>
                              </w:r>
                            </w:p>
                          </w:txbxContent>
                        </wps:txbx>
                        <wps:bodyPr rot="0" vert="vert270" wrap="square" lIns="18000" tIns="10800" rIns="18000" bIns="10800" anchor="t" anchorCtr="0" upright="1">
                          <a:noAutofit/>
                        </wps:bodyPr>
                      </wps:wsp>
                      <wps:wsp>
                        <wps:cNvPr id="811" name="Text Box 313"/>
                        <wps:cNvSpPr txBox="1">
                          <a:spLocks noChangeArrowheads="1"/>
                        </wps:cNvSpPr>
                        <wps:spPr bwMode="auto">
                          <a:xfrm>
                            <a:off x="2422" y="1877"/>
                            <a:ext cx="6635" cy="279"/>
                          </a:xfrm>
                          <a:prstGeom prst="rect">
                            <a:avLst/>
                          </a:prstGeom>
                          <a:solidFill>
                            <a:srgbClr val="FFFFFF"/>
                          </a:solidFill>
                          <a:ln w="15875">
                            <a:solidFill>
                              <a:srgbClr val="000000"/>
                            </a:solidFill>
                            <a:miter lim="800000"/>
                            <a:headEnd/>
                            <a:tailEnd/>
                          </a:ln>
                        </wps:spPr>
                        <wps:txbx>
                          <w:txbxContent>
                            <w:p w:rsidR="00BE40F8" w:rsidRPr="00A577B5" w:rsidRDefault="00BE40F8" w:rsidP="00B233DE">
                              <w:pPr>
                                <w:ind w:firstLine="0"/>
                                <w:jc w:val="center"/>
                                <w:rPr>
                                  <w:rFonts w:ascii="Times New Roman" w:hAnsi="Times New Roman" w:cs="Times New Roman"/>
                                  <w:b/>
                                  <w:spacing w:val="20"/>
                                  <w:sz w:val="14"/>
                                  <w:szCs w:val="14"/>
                                </w:rPr>
                              </w:pPr>
                              <w:r w:rsidRPr="00A577B5">
                                <w:rPr>
                                  <w:rFonts w:ascii="Times New Roman" w:hAnsi="Times New Roman" w:cs="Times New Roman"/>
                                  <w:b/>
                                  <w:spacing w:val="20"/>
                                  <w:sz w:val="14"/>
                                  <w:szCs w:val="14"/>
                                </w:rPr>
                                <w:t>Людський потенціал (ЛП)</w:t>
                              </w:r>
                            </w:p>
                          </w:txbxContent>
                        </wps:txbx>
                        <wps:bodyPr rot="0" vert="horz" wrap="square" lIns="91440" tIns="0" rIns="91440" bIns="0" anchor="t" anchorCtr="0" upright="1">
                          <a:noAutofit/>
                        </wps:bodyPr>
                      </wps:wsp>
                      <wps:wsp>
                        <wps:cNvPr id="812" name="Text Box 314"/>
                        <wps:cNvSpPr txBox="1">
                          <a:spLocks noChangeArrowheads="1"/>
                        </wps:cNvSpPr>
                        <wps:spPr bwMode="auto">
                          <a:xfrm>
                            <a:off x="2422" y="2156"/>
                            <a:ext cx="1694" cy="279"/>
                          </a:xfrm>
                          <a:prstGeom prst="rect">
                            <a:avLst/>
                          </a:prstGeom>
                          <a:solidFill>
                            <a:srgbClr val="FFFFFF"/>
                          </a:solidFill>
                          <a:ln w="9525">
                            <a:solidFill>
                              <a:srgbClr val="000000"/>
                            </a:solidFill>
                            <a:miter lim="800000"/>
                            <a:headEnd/>
                            <a:tailEnd/>
                          </a:ln>
                        </wps:spPr>
                        <wps:txbx>
                          <w:txbxContent>
                            <w:p w:rsidR="00BE40F8" w:rsidRPr="00A577B5" w:rsidRDefault="00BE40F8" w:rsidP="00B233DE">
                              <w:pPr>
                                <w:ind w:firstLine="0"/>
                                <w:jc w:val="center"/>
                                <w:rPr>
                                  <w:rFonts w:ascii="Times New Roman" w:hAnsi="Times New Roman" w:cs="Times New Roman"/>
                                  <w:sz w:val="14"/>
                                  <w:szCs w:val="12"/>
                                </w:rPr>
                              </w:pPr>
                              <w:r w:rsidRPr="00A577B5">
                                <w:rPr>
                                  <w:rFonts w:ascii="Times New Roman" w:hAnsi="Times New Roman" w:cs="Times New Roman"/>
                                  <w:sz w:val="14"/>
                                  <w:szCs w:val="12"/>
                                </w:rPr>
                                <w:t>Демографічний</w:t>
                              </w:r>
                            </w:p>
                          </w:txbxContent>
                        </wps:txbx>
                        <wps:bodyPr rot="0" vert="horz" wrap="square" lIns="91440" tIns="0" rIns="91440" bIns="0" anchor="t" anchorCtr="0" upright="1">
                          <a:noAutofit/>
                        </wps:bodyPr>
                      </wps:wsp>
                      <wps:wsp>
                        <wps:cNvPr id="813" name="Text Box 315"/>
                        <wps:cNvSpPr txBox="1">
                          <a:spLocks noChangeArrowheads="1"/>
                        </wps:cNvSpPr>
                        <wps:spPr bwMode="auto">
                          <a:xfrm>
                            <a:off x="4116" y="2156"/>
                            <a:ext cx="989" cy="279"/>
                          </a:xfrm>
                          <a:prstGeom prst="rect">
                            <a:avLst/>
                          </a:prstGeom>
                          <a:solidFill>
                            <a:srgbClr val="FFFFFF"/>
                          </a:solidFill>
                          <a:ln w="9525">
                            <a:solidFill>
                              <a:srgbClr val="000000"/>
                            </a:solidFill>
                            <a:miter lim="800000"/>
                            <a:headEnd/>
                            <a:tailEnd/>
                          </a:ln>
                        </wps:spPr>
                        <wps:txbx>
                          <w:txbxContent>
                            <w:p w:rsidR="00BE40F8" w:rsidRPr="00A577B5" w:rsidRDefault="00BE40F8" w:rsidP="00B233DE">
                              <w:pPr>
                                <w:ind w:firstLine="0"/>
                                <w:jc w:val="center"/>
                                <w:rPr>
                                  <w:rFonts w:ascii="Times New Roman" w:hAnsi="Times New Roman" w:cs="Times New Roman"/>
                                  <w:sz w:val="14"/>
                                  <w:szCs w:val="12"/>
                                </w:rPr>
                              </w:pPr>
                              <w:r w:rsidRPr="00A577B5">
                                <w:rPr>
                                  <w:rFonts w:ascii="Times New Roman" w:hAnsi="Times New Roman" w:cs="Times New Roman"/>
                                  <w:sz w:val="14"/>
                                  <w:szCs w:val="12"/>
                                </w:rPr>
                                <w:t>Трудовий</w:t>
                              </w:r>
                            </w:p>
                          </w:txbxContent>
                        </wps:txbx>
                        <wps:bodyPr rot="0" vert="horz" wrap="square" lIns="18000" tIns="10800" rIns="18000" bIns="10800" anchor="t" anchorCtr="0" upright="1">
                          <a:noAutofit/>
                        </wps:bodyPr>
                      </wps:wsp>
                      <wps:wsp>
                        <wps:cNvPr id="814" name="Text Box 316"/>
                        <wps:cNvSpPr txBox="1">
                          <a:spLocks noChangeArrowheads="1"/>
                        </wps:cNvSpPr>
                        <wps:spPr bwMode="auto">
                          <a:xfrm>
                            <a:off x="5105" y="2156"/>
                            <a:ext cx="1694" cy="279"/>
                          </a:xfrm>
                          <a:prstGeom prst="rect">
                            <a:avLst/>
                          </a:prstGeom>
                          <a:solidFill>
                            <a:srgbClr val="FFFFFF"/>
                          </a:solidFill>
                          <a:ln w="9525">
                            <a:solidFill>
                              <a:srgbClr val="000000"/>
                            </a:solidFill>
                            <a:miter lim="800000"/>
                            <a:headEnd/>
                            <a:tailEnd/>
                          </a:ln>
                        </wps:spPr>
                        <wps:txbx>
                          <w:txbxContent>
                            <w:p w:rsidR="00BE40F8" w:rsidRPr="00A577B5" w:rsidRDefault="00BE40F8" w:rsidP="00B233DE">
                              <w:pPr>
                                <w:ind w:firstLine="0"/>
                                <w:jc w:val="center"/>
                                <w:rPr>
                                  <w:rFonts w:ascii="Times New Roman" w:hAnsi="Times New Roman" w:cs="Times New Roman"/>
                                  <w:sz w:val="14"/>
                                  <w:szCs w:val="12"/>
                                </w:rPr>
                              </w:pPr>
                              <w:r w:rsidRPr="00A577B5">
                                <w:rPr>
                                  <w:rFonts w:ascii="Times New Roman" w:hAnsi="Times New Roman" w:cs="Times New Roman"/>
                                  <w:sz w:val="14"/>
                                  <w:szCs w:val="12"/>
                                </w:rPr>
                                <w:t>Потенціал здоров’я</w:t>
                              </w:r>
                            </w:p>
                          </w:txbxContent>
                        </wps:txbx>
                        <wps:bodyPr rot="0" vert="horz" wrap="square" lIns="18000" tIns="10800" rIns="18000" bIns="10800" anchor="t" anchorCtr="0" upright="1">
                          <a:noAutofit/>
                        </wps:bodyPr>
                      </wps:wsp>
                      <wps:wsp>
                        <wps:cNvPr id="815" name="Text Box 317"/>
                        <wps:cNvSpPr txBox="1">
                          <a:spLocks noChangeArrowheads="1"/>
                        </wps:cNvSpPr>
                        <wps:spPr bwMode="auto">
                          <a:xfrm>
                            <a:off x="6799" y="2156"/>
                            <a:ext cx="2258" cy="279"/>
                          </a:xfrm>
                          <a:prstGeom prst="rect">
                            <a:avLst/>
                          </a:prstGeom>
                          <a:solidFill>
                            <a:srgbClr val="FFFFFF"/>
                          </a:solidFill>
                          <a:ln w="9525">
                            <a:solidFill>
                              <a:srgbClr val="000000"/>
                            </a:solidFill>
                            <a:miter lim="800000"/>
                            <a:headEnd/>
                            <a:tailEnd/>
                          </a:ln>
                        </wps:spPr>
                        <wps:txbx>
                          <w:txbxContent>
                            <w:p w:rsidR="00BE40F8" w:rsidRPr="00A577B5" w:rsidRDefault="00BE40F8" w:rsidP="00B233DE">
                              <w:pPr>
                                <w:ind w:firstLine="0"/>
                                <w:jc w:val="center"/>
                                <w:rPr>
                                  <w:rFonts w:ascii="Times New Roman" w:hAnsi="Times New Roman" w:cs="Times New Roman"/>
                                  <w:sz w:val="14"/>
                                  <w:szCs w:val="12"/>
                                </w:rPr>
                              </w:pPr>
                              <w:r w:rsidRPr="00A577B5">
                                <w:rPr>
                                  <w:rFonts w:ascii="Times New Roman" w:hAnsi="Times New Roman" w:cs="Times New Roman"/>
                                  <w:sz w:val="14"/>
                                  <w:szCs w:val="12"/>
                                </w:rPr>
                                <w:t>Соціальний</w:t>
                              </w:r>
                            </w:p>
                          </w:txbxContent>
                        </wps:txbx>
                        <wps:bodyPr rot="0" vert="horz" wrap="square" lIns="91440" tIns="0" rIns="91440" bIns="0" anchor="t" anchorCtr="0" upright="1">
                          <a:noAutofit/>
                        </wps:bodyPr>
                      </wps:wsp>
                      <wps:wsp>
                        <wps:cNvPr id="816" name="Text Box 318"/>
                        <wps:cNvSpPr txBox="1">
                          <a:spLocks noChangeArrowheads="1"/>
                        </wps:cNvSpPr>
                        <wps:spPr bwMode="auto">
                          <a:xfrm>
                            <a:off x="2422" y="2435"/>
                            <a:ext cx="2118" cy="279"/>
                          </a:xfrm>
                          <a:prstGeom prst="rect">
                            <a:avLst/>
                          </a:prstGeom>
                          <a:solidFill>
                            <a:srgbClr val="FFFFFF"/>
                          </a:solidFill>
                          <a:ln w="9525">
                            <a:solidFill>
                              <a:srgbClr val="000000"/>
                            </a:solidFill>
                            <a:miter lim="800000"/>
                            <a:headEnd/>
                            <a:tailEnd/>
                          </a:ln>
                        </wps:spPr>
                        <wps:txbx>
                          <w:txbxContent>
                            <w:p w:rsidR="00BE40F8" w:rsidRPr="00A577B5" w:rsidRDefault="00BE40F8" w:rsidP="00B233DE">
                              <w:pPr>
                                <w:ind w:firstLine="0"/>
                                <w:jc w:val="center"/>
                                <w:rPr>
                                  <w:rFonts w:ascii="Times New Roman" w:hAnsi="Times New Roman" w:cs="Times New Roman"/>
                                  <w:sz w:val="14"/>
                                  <w:szCs w:val="12"/>
                                </w:rPr>
                              </w:pPr>
                              <w:r w:rsidRPr="00A577B5">
                                <w:rPr>
                                  <w:rFonts w:ascii="Times New Roman" w:hAnsi="Times New Roman" w:cs="Times New Roman"/>
                                  <w:sz w:val="14"/>
                                  <w:szCs w:val="12"/>
                                </w:rPr>
                                <w:t>Інтелектуальний</w:t>
                              </w:r>
                            </w:p>
                          </w:txbxContent>
                        </wps:txbx>
                        <wps:bodyPr rot="0" vert="horz" wrap="square" lIns="91440" tIns="0" rIns="91440" bIns="0" anchor="t" anchorCtr="0" upright="1">
                          <a:noAutofit/>
                        </wps:bodyPr>
                      </wps:wsp>
                      <wps:wsp>
                        <wps:cNvPr id="817" name="Text Box 319"/>
                        <wps:cNvSpPr txBox="1">
                          <a:spLocks noChangeArrowheads="1"/>
                        </wps:cNvSpPr>
                        <wps:spPr bwMode="auto">
                          <a:xfrm>
                            <a:off x="4540" y="2435"/>
                            <a:ext cx="2117" cy="279"/>
                          </a:xfrm>
                          <a:prstGeom prst="rect">
                            <a:avLst/>
                          </a:prstGeom>
                          <a:solidFill>
                            <a:srgbClr val="FFFFFF"/>
                          </a:solidFill>
                          <a:ln w="9525">
                            <a:solidFill>
                              <a:srgbClr val="000000"/>
                            </a:solidFill>
                            <a:miter lim="800000"/>
                            <a:headEnd/>
                            <a:tailEnd/>
                          </a:ln>
                        </wps:spPr>
                        <wps:txbx>
                          <w:txbxContent>
                            <w:p w:rsidR="00BE40F8" w:rsidRPr="00A577B5" w:rsidRDefault="00BE40F8" w:rsidP="00B233DE">
                              <w:pPr>
                                <w:ind w:firstLine="0"/>
                                <w:jc w:val="center"/>
                                <w:rPr>
                                  <w:rFonts w:ascii="Times New Roman" w:hAnsi="Times New Roman" w:cs="Times New Roman"/>
                                  <w:sz w:val="14"/>
                                  <w:szCs w:val="12"/>
                                </w:rPr>
                              </w:pPr>
                              <w:r w:rsidRPr="00A577B5">
                                <w:rPr>
                                  <w:rFonts w:ascii="Times New Roman" w:hAnsi="Times New Roman" w:cs="Times New Roman"/>
                                  <w:sz w:val="14"/>
                                  <w:szCs w:val="12"/>
                                </w:rPr>
                                <w:t>Освітньо-кваліфікаційний</w:t>
                              </w:r>
                            </w:p>
                            <w:p w:rsidR="00BE40F8" w:rsidRPr="00B4285A" w:rsidRDefault="00BE40F8" w:rsidP="00B233DE">
                              <w:pPr>
                                <w:rPr>
                                  <w:rFonts w:ascii="Calibri" w:hAnsi="Calibri"/>
                                  <w:sz w:val="12"/>
                                  <w:szCs w:val="12"/>
                                </w:rPr>
                              </w:pPr>
                            </w:p>
                          </w:txbxContent>
                        </wps:txbx>
                        <wps:bodyPr rot="0" vert="horz" wrap="square" lIns="18000" tIns="10800" rIns="18000" bIns="10800" anchor="t" anchorCtr="0" upright="1">
                          <a:noAutofit/>
                        </wps:bodyPr>
                      </wps:wsp>
                      <wps:wsp>
                        <wps:cNvPr id="818" name="Text Box 320"/>
                        <wps:cNvSpPr txBox="1">
                          <a:spLocks noChangeArrowheads="1"/>
                        </wps:cNvSpPr>
                        <wps:spPr bwMode="auto">
                          <a:xfrm>
                            <a:off x="6657" y="2435"/>
                            <a:ext cx="1131" cy="279"/>
                          </a:xfrm>
                          <a:prstGeom prst="rect">
                            <a:avLst/>
                          </a:prstGeom>
                          <a:solidFill>
                            <a:srgbClr val="FFFFFF"/>
                          </a:solidFill>
                          <a:ln w="9525">
                            <a:solidFill>
                              <a:srgbClr val="000000"/>
                            </a:solidFill>
                            <a:miter lim="800000"/>
                            <a:headEnd/>
                            <a:tailEnd/>
                          </a:ln>
                        </wps:spPr>
                        <wps:txbx>
                          <w:txbxContent>
                            <w:p w:rsidR="00BE40F8" w:rsidRPr="00A577B5" w:rsidRDefault="00BE40F8" w:rsidP="00B233DE">
                              <w:pPr>
                                <w:ind w:firstLine="0"/>
                                <w:jc w:val="center"/>
                                <w:rPr>
                                  <w:rFonts w:ascii="Times New Roman" w:hAnsi="Times New Roman" w:cs="Times New Roman"/>
                                  <w:sz w:val="14"/>
                                  <w:szCs w:val="12"/>
                                </w:rPr>
                              </w:pPr>
                              <w:r w:rsidRPr="00A577B5">
                                <w:rPr>
                                  <w:rFonts w:ascii="Times New Roman" w:hAnsi="Times New Roman" w:cs="Times New Roman"/>
                                  <w:sz w:val="14"/>
                                  <w:szCs w:val="12"/>
                                </w:rPr>
                                <w:t>Життєвий</w:t>
                              </w:r>
                            </w:p>
                          </w:txbxContent>
                        </wps:txbx>
                        <wps:bodyPr rot="0" vert="horz" wrap="square" lIns="18000" tIns="10800" rIns="18000" bIns="10800" anchor="t" anchorCtr="0" upright="1">
                          <a:noAutofit/>
                        </wps:bodyPr>
                      </wps:wsp>
                      <wps:wsp>
                        <wps:cNvPr id="819" name="Text Box 321"/>
                        <wps:cNvSpPr txBox="1">
                          <a:spLocks noChangeArrowheads="1"/>
                        </wps:cNvSpPr>
                        <wps:spPr bwMode="auto">
                          <a:xfrm>
                            <a:off x="7787" y="2435"/>
                            <a:ext cx="1269" cy="279"/>
                          </a:xfrm>
                          <a:prstGeom prst="rect">
                            <a:avLst/>
                          </a:prstGeom>
                          <a:solidFill>
                            <a:srgbClr val="FFFFFF"/>
                          </a:solidFill>
                          <a:ln w="9525">
                            <a:solidFill>
                              <a:srgbClr val="000000"/>
                            </a:solidFill>
                            <a:miter lim="800000"/>
                            <a:headEnd/>
                            <a:tailEnd/>
                          </a:ln>
                        </wps:spPr>
                        <wps:txbx>
                          <w:txbxContent>
                            <w:p w:rsidR="00BE40F8" w:rsidRPr="00A577B5" w:rsidRDefault="00BE40F8" w:rsidP="00B233DE">
                              <w:pPr>
                                <w:ind w:firstLine="0"/>
                                <w:jc w:val="center"/>
                                <w:rPr>
                                  <w:rFonts w:ascii="Times New Roman" w:hAnsi="Times New Roman" w:cs="Times New Roman"/>
                                  <w:sz w:val="14"/>
                                  <w:szCs w:val="12"/>
                                </w:rPr>
                              </w:pPr>
                              <w:r w:rsidRPr="00A577B5">
                                <w:rPr>
                                  <w:rFonts w:ascii="Times New Roman" w:hAnsi="Times New Roman" w:cs="Times New Roman"/>
                                  <w:sz w:val="14"/>
                                  <w:szCs w:val="12"/>
                                </w:rPr>
                                <w:t>Культурний</w:t>
                              </w:r>
                            </w:p>
                          </w:txbxContent>
                        </wps:txbx>
                        <wps:bodyPr rot="0" vert="horz" wrap="square" lIns="91440" tIns="0" rIns="91440" bIns="0" anchor="t" anchorCtr="0" upright="1">
                          <a:noAutofit/>
                        </wps:bodyPr>
                      </wps:wsp>
                      <wps:wsp>
                        <wps:cNvPr id="820" name="Text Box 322"/>
                        <wps:cNvSpPr txBox="1">
                          <a:spLocks noChangeArrowheads="1"/>
                        </wps:cNvSpPr>
                        <wps:spPr bwMode="auto">
                          <a:xfrm>
                            <a:off x="2422" y="2853"/>
                            <a:ext cx="6635" cy="278"/>
                          </a:xfrm>
                          <a:prstGeom prst="rect">
                            <a:avLst/>
                          </a:prstGeom>
                          <a:solidFill>
                            <a:srgbClr val="FFFFFF"/>
                          </a:solidFill>
                          <a:ln w="15875">
                            <a:solidFill>
                              <a:srgbClr val="000000"/>
                            </a:solidFill>
                            <a:miter lim="800000"/>
                            <a:headEnd/>
                            <a:tailEnd/>
                          </a:ln>
                        </wps:spPr>
                        <wps:txbx>
                          <w:txbxContent>
                            <w:p w:rsidR="00BE40F8" w:rsidRPr="00A577B5" w:rsidRDefault="00BE40F8" w:rsidP="00B233DE">
                              <w:pPr>
                                <w:ind w:firstLine="0"/>
                                <w:jc w:val="center"/>
                                <w:rPr>
                                  <w:rFonts w:ascii="Times New Roman Полужирный" w:hAnsi="Times New Roman Полужирный" w:cs="Times New Roman"/>
                                  <w:b/>
                                  <w:sz w:val="14"/>
                                  <w:szCs w:val="12"/>
                                </w:rPr>
                              </w:pPr>
                              <w:r w:rsidRPr="00A577B5">
                                <w:rPr>
                                  <w:rFonts w:ascii="Times New Roman Полужирный" w:hAnsi="Times New Roman Полужирный" w:cs="Times New Roman"/>
                                  <w:b/>
                                  <w:sz w:val="14"/>
                                  <w:szCs w:val="12"/>
                                </w:rPr>
                                <w:t>Шляхи міграційного перерозподілу складових людського потенціалу за видами міграції</w:t>
                              </w:r>
                            </w:p>
                          </w:txbxContent>
                        </wps:txbx>
                        <wps:bodyPr rot="0" vert="horz" wrap="square" lIns="0" tIns="0" rIns="0" bIns="0" anchor="t" anchorCtr="0" upright="1">
                          <a:noAutofit/>
                        </wps:bodyPr>
                      </wps:wsp>
                      <wps:wsp>
                        <wps:cNvPr id="821" name="Text Box 323"/>
                        <wps:cNvSpPr txBox="1">
                          <a:spLocks noChangeArrowheads="1"/>
                        </wps:cNvSpPr>
                        <wps:spPr bwMode="auto">
                          <a:xfrm>
                            <a:off x="3410" y="3271"/>
                            <a:ext cx="989" cy="418"/>
                          </a:xfrm>
                          <a:prstGeom prst="rect">
                            <a:avLst/>
                          </a:prstGeom>
                          <a:solidFill>
                            <a:srgbClr val="FFFFFF"/>
                          </a:solidFill>
                          <a:ln w="9525">
                            <a:solidFill>
                              <a:srgbClr val="000000"/>
                            </a:solidFill>
                            <a:miter lim="800000"/>
                            <a:headEnd/>
                            <a:tailEnd/>
                          </a:ln>
                        </wps:spPr>
                        <wps:txbx>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Еміграція</w:t>
                              </w:r>
                            </w:p>
                          </w:txbxContent>
                        </wps:txbx>
                        <wps:bodyPr rot="0" vert="horz" wrap="square" lIns="91440" tIns="45720" rIns="91440" bIns="45720" anchor="t" anchorCtr="0" upright="1">
                          <a:noAutofit/>
                        </wps:bodyPr>
                      </wps:wsp>
                      <wps:wsp>
                        <wps:cNvPr id="822" name="Text Box 324"/>
                        <wps:cNvSpPr txBox="1">
                          <a:spLocks noChangeArrowheads="1"/>
                        </wps:cNvSpPr>
                        <wps:spPr bwMode="auto">
                          <a:xfrm>
                            <a:off x="4822" y="3271"/>
                            <a:ext cx="989" cy="418"/>
                          </a:xfrm>
                          <a:prstGeom prst="rect">
                            <a:avLst/>
                          </a:prstGeom>
                          <a:solidFill>
                            <a:srgbClr val="FFFFFF"/>
                          </a:solidFill>
                          <a:ln w="9525">
                            <a:solidFill>
                              <a:srgbClr val="000000"/>
                            </a:solidFill>
                            <a:miter lim="800000"/>
                            <a:headEnd/>
                            <a:tailEnd/>
                          </a:ln>
                        </wps:spPr>
                        <wps:txbx>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Імміграція</w:t>
                              </w:r>
                            </w:p>
                          </w:txbxContent>
                        </wps:txbx>
                        <wps:bodyPr rot="0" vert="horz" wrap="square" lIns="0" tIns="0" rIns="0" bIns="0" anchor="ctr" anchorCtr="0" upright="1">
                          <a:noAutofit/>
                        </wps:bodyPr>
                      </wps:wsp>
                      <wps:wsp>
                        <wps:cNvPr id="823" name="Text Box 325"/>
                        <wps:cNvSpPr txBox="1">
                          <a:spLocks noChangeArrowheads="1"/>
                        </wps:cNvSpPr>
                        <wps:spPr bwMode="auto">
                          <a:xfrm>
                            <a:off x="6093" y="3271"/>
                            <a:ext cx="989" cy="418"/>
                          </a:xfrm>
                          <a:prstGeom prst="rect">
                            <a:avLst/>
                          </a:prstGeom>
                          <a:solidFill>
                            <a:srgbClr val="FFFFFF"/>
                          </a:solidFill>
                          <a:ln w="9525">
                            <a:solidFill>
                              <a:srgbClr val="000000"/>
                            </a:solidFill>
                            <a:miter lim="800000"/>
                            <a:headEnd/>
                            <a:tailEnd/>
                          </a:ln>
                        </wps:spPr>
                        <wps:txbx>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Рееміграція</w:t>
                              </w:r>
                            </w:p>
                          </w:txbxContent>
                        </wps:txbx>
                        <wps:bodyPr rot="0" vert="horz" wrap="square" lIns="0" tIns="0" rIns="0" bIns="0" anchor="ctr" anchorCtr="0" upright="1">
                          <a:noAutofit/>
                        </wps:bodyPr>
                      </wps:wsp>
                      <wps:wsp>
                        <wps:cNvPr id="824" name="Text Box 326"/>
                        <wps:cNvSpPr txBox="1">
                          <a:spLocks noChangeArrowheads="1"/>
                        </wps:cNvSpPr>
                        <wps:spPr bwMode="auto">
                          <a:xfrm>
                            <a:off x="7505" y="3271"/>
                            <a:ext cx="1553" cy="418"/>
                          </a:xfrm>
                          <a:prstGeom prst="rect">
                            <a:avLst/>
                          </a:prstGeom>
                          <a:solidFill>
                            <a:srgbClr val="FFFFFF"/>
                          </a:solidFill>
                          <a:ln w="9525">
                            <a:solidFill>
                              <a:srgbClr val="000000"/>
                            </a:solidFill>
                            <a:miter lim="800000"/>
                            <a:headEnd/>
                            <a:tailEnd/>
                          </a:ln>
                        </wps:spPr>
                        <wps:txbx>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Циклічна міграція</w:t>
                              </w:r>
                            </w:p>
                          </w:txbxContent>
                        </wps:txbx>
                        <wps:bodyPr rot="0" vert="horz" wrap="square" lIns="91440" tIns="45720" rIns="91440" bIns="45720" anchor="t" anchorCtr="0" upright="1">
                          <a:noAutofit/>
                        </wps:bodyPr>
                      </wps:wsp>
                      <wps:wsp>
                        <wps:cNvPr id="825" name="Text Box 327"/>
                        <wps:cNvSpPr txBox="1">
                          <a:spLocks noChangeArrowheads="1"/>
                        </wps:cNvSpPr>
                        <wps:spPr bwMode="auto">
                          <a:xfrm>
                            <a:off x="3410" y="4107"/>
                            <a:ext cx="989" cy="278"/>
                          </a:xfrm>
                          <a:prstGeom prst="rect">
                            <a:avLst/>
                          </a:prstGeom>
                          <a:solidFill>
                            <a:srgbClr val="FFFFFF"/>
                          </a:solidFill>
                          <a:ln w="9525">
                            <a:solidFill>
                              <a:srgbClr val="000000"/>
                            </a:solidFill>
                            <a:miter lim="800000"/>
                            <a:headEnd/>
                            <a:tailEnd/>
                          </a:ln>
                        </wps:spPr>
                        <wps:txbx>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Постійна</w:t>
                              </w:r>
                            </w:p>
                          </w:txbxContent>
                        </wps:txbx>
                        <wps:bodyPr rot="0" vert="horz" wrap="square" lIns="18000" tIns="10800" rIns="18000" bIns="10800" anchor="t" anchorCtr="0" upright="1">
                          <a:noAutofit/>
                        </wps:bodyPr>
                      </wps:wsp>
                      <wps:wsp>
                        <wps:cNvPr id="826" name="Text Box 328"/>
                        <wps:cNvSpPr txBox="1">
                          <a:spLocks noChangeArrowheads="1"/>
                        </wps:cNvSpPr>
                        <wps:spPr bwMode="auto">
                          <a:xfrm>
                            <a:off x="4822" y="4107"/>
                            <a:ext cx="988" cy="278"/>
                          </a:xfrm>
                          <a:prstGeom prst="rect">
                            <a:avLst/>
                          </a:prstGeom>
                          <a:solidFill>
                            <a:srgbClr val="FFFFFF"/>
                          </a:solidFill>
                          <a:ln w="9525">
                            <a:solidFill>
                              <a:srgbClr val="000000"/>
                            </a:solidFill>
                            <a:miter lim="800000"/>
                            <a:headEnd/>
                            <a:tailEnd/>
                          </a:ln>
                        </wps:spPr>
                        <wps:txbx>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Тимчасова</w:t>
                              </w:r>
                            </w:p>
                          </w:txbxContent>
                        </wps:txbx>
                        <wps:bodyPr rot="0" vert="horz" wrap="square" lIns="18000" tIns="10800" rIns="18000" bIns="10800" anchor="t" anchorCtr="0" upright="1">
                          <a:noAutofit/>
                        </wps:bodyPr>
                      </wps:wsp>
                      <wps:wsp>
                        <wps:cNvPr id="827" name="Text Box 329"/>
                        <wps:cNvSpPr txBox="1">
                          <a:spLocks noChangeArrowheads="1"/>
                        </wps:cNvSpPr>
                        <wps:spPr bwMode="auto">
                          <a:xfrm>
                            <a:off x="6375" y="4107"/>
                            <a:ext cx="989" cy="278"/>
                          </a:xfrm>
                          <a:prstGeom prst="rect">
                            <a:avLst/>
                          </a:prstGeom>
                          <a:solidFill>
                            <a:srgbClr val="FFFFFF"/>
                          </a:solidFill>
                          <a:ln w="9525">
                            <a:solidFill>
                              <a:srgbClr val="000000"/>
                            </a:solidFill>
                            <a:miter lim="800000"/>
                            <a:headEnd/>
                            <a:tailEnd/>
                          </a:ln>
                        </wps:spPr>
                        <wps:txbx>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Сезонна</w:t>
                              </w:r>
                            </w:p>
                          </w:txbxContent>
                        </wps:txbx>
                        <wps:bodyPr rot="0" vert="horz" wrap="square" lIns="18000" tIns="10800" rIns="18000" bIns="10800" anchor="t" anchorCtr="0" upright="1">
                          <a:noAutofit/>
                        </wps:bodyPr>
                      </wps:wsp>
                      <wps:wsp>
                        <wps:cNvPr id="828" name="Text Box 330"/>
                        <wps:cNvSpPr txBox="1">
                          <a:spLocks noChangeArrowheads="1"/>
                        </wps:cNvSpPr>
                        <wps:spPr bwMode="auto">
                          <a:xfrm>
                            <a:off x="7646" y="4107"/>
                            <a:ext cx="1412" cy="278"/>
                          </a:xfrm>
                          <a:prstGeom prst="rect">
                            <a:avLst/>
                          </a:prstGeom>
                          <a:solidFill>
                            <a:srgbClr val="FFFFFF"/>
                          </a:solidFill>
                          <a:ln w="9525">
                            <a:solidFill>
                              <a:srgbClr val="000000"/>
                            </a:solidFill>
                            <a:miter lim="800000"/>
                            <a:headEnd/>
                            <a:tailEnd/>
                          </a:ln>
                        </wps:spPr>
                        <wps:txbx>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Маятникова</w:t>
                              </w:r>
                            </w:p>
                          </w:txbxContent>
                        </wps:txbx>
                        <wps:bodyPr rot="0" vert="horz" wrap="square" lIns="18000" tIns="10800" rIns="18000" bIns="10800" anchor="t" anchorCtr="0" upright="1">
                          <a:noAutofit/>
                        </wps:bodyPr>
                      </wps:wsp>
                      <wps:wsp>
                        <wps:cNvPr id="829" name="Text Box 331"/>
                        <wps:cNvSpPr txBox="1">
                          <a:spLocks noChangeArrowheads="1"/>
                        </wps:cNvSpPr>
                        <wps:spPr bwMode="auto">
                          <a:xfrm>
                            <a:off x="4257" y="4753"/>
                            <a:ext cx="1411" cy="278"/>
                          </a:xfrm>
                          <a:prstGeom prst="rect">
                            <a:avLst/>
                          </a:prstGeom>
                          <a:solidFill>
                            <a:srgbClr val="FFFFFF"/>
                          </a:solidFill>
                          <a:ln w="9525">
                            <a:solidFill>
                              <a:srgbClr val="000000"/>
                            </a:solidFill>
                            <a:miter lim="800000"/>
                            <a:headEnd/>
                            <a:tailEnd/>
                          </a:ln>
                        </wps:spPr>
                        <wps:txbx>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Добровільна</w:t>
                              </w:r>
                            </w:p>
                          </w:txbxContent>
                        </wps:txbx>
                        <wps:bodyPr rot="0" vert="horz" wrap="square" lIns="91440" tIns="0" rIns="91440" bIns="0" anchor="t" anchorCtr="0" upright="1">
                          <a:noAutofit/>
                        </wps:bodyPr>
                      </wps:wsp>
                      <wps:wsp>
                        <wps:cNvPr id="830" name="Text Box 332"/>
                        <wps:cNvSpPr txBox="1">
                          <a:spLocks noChangeArrowheads="1"/>
                        </wps:cNvSpPr>
                        <wps:spPr bwMode="auto">
                          <a:xfrm>
                            <a:off x="7222" y="4753"/>
                            <a:ext cx="1411" cy="278"/>
                          </a:xfrm>
                          <a:prstGeom prst="rect">
                            <a:avLst/>
                          </a:prstGeom>
                          <a:solidFill>
                            <a:srgbClr val="FFFFFF"/>
                          </a:solidFill>
                          <a:ln w="9525">
                            <a:solidFill>
                              <a:srgbClr val="000000"/>
                            </a:solidFill>
                            <a:miter lim="800000"/>
                            <a:headEnd/>
                            <a:tailEnd/>
                          </a:ln>
                        </wps:spPr>
                        <wps:txbx>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Вимушена</w:t>
                              </w:r>
                            </w:p>
                          </w:txbxContent>
                        </wps:txbx>
                        <wps:bodyPr rot="0" vert="horz" wrap="square" lIns="91440" tIns="0" rIns="91440" bIns="0" anchor="t" anchorCtr="0" upright="1">
                          <a:noAutofit/>
                        </wps:bodyPr>
                      </wps:wsp>
                      <wps:wsp>
                        <wps:cNvPr id="831" name="Text Box 333"/>
                        <wps:cNvSpPr txBox="1">
                          <a:spLocks noChangeArrowheads="1"/>
                        </wps:cNvSpPr>
                        <wps:spPr bwMode="auto">
                          <a:xfrm>
                            <a:off x="4257" y="5501"/>
                            <a:ext cx="1411" cy="279"/>
                          </a:xfrm>
                          <a:prstGeom prst="rect">
                            <a:avLst/>
                          </a:prstGeom>
                          <a:solidFill>
                            <a:srgbClr val="FFFFFF"/>
                          </a:solidFill>
                          <a:ln w="9525">
                            <a:solidFill>
                              <a:srgbClr val="000000"/>
                            </a:solidFill>
                            <a:miter lim="800000"/>
                            <a:headEnd/>
                            <a:tailEnd/>
                          </a:ln>
                        </wps:spPr>
                        <wps:txbx>
                          <w:txbxContent>
                            <w:p w:rsidR="00BE40F8" w:rsidRPr="00C870EE" w:rsidRDefault="00BE40F8" w:rsidP="00B233DE">
                              <w:pPr>
                                <w:ind w:firstLine="0"/>
                                <w:jc w:val="center"/>
                                <w:rPr>
                                  <w:rFonts w:ascii="Times New Roman" w:hAnsi="Times New Roman" w:cs="Times New Roman"/>
                                  <w:sz w:val="14"/>
                                  <w:szCs w:val="12"/>
                                </w:rPr>
                              </w:pPr>
                              <w:r w:rsidRPr="00C870EE">
                                <w:rPr>
                                  <w:rFonts w:ascii="Times New Roman" w:hAnsi="Times New Roman" w:cs="Times New Roman"/>
                                  <w:sz w:val="14"/>
                                  <w:szCs w:val="12"/>
                                </w:rPr>
                                <w:t>Легальна</w:t>
                              </w:r>
                            </w:p>
                          </w:txbxContent>
                        </wps:txbx>
                        <wps:bodyPr rot="0" vert="horz" wrap="square" lIns="18000" tIns="10800" rIns="18000" bIns="10800" anchor="t" anchorCtr="0" upright="1">
                          <a:noAutofit/>
                        </wps:bodyPr>
                      </wps:wsp>
                      <wps:wsp>
                        <wps:cNvPr id="832" name="Text Box 334"/>
                        <wps:cNvSpPr txBox="1">
                          <a:spLocks noChangeArrowheads="1"/>
                        </wps:cNvSpPr>
                        <wps:spPr bwMode="auto">
                          <a:xfrm>
                            <a:off x="6799" y="5501"/>
                            <a:ext cx="1411" cy="279"/>
                          </a:xfrm>
                          <a:prstGeom prst="rect">
                            <a:avLst/>
                          </a:prstGeom>
                          <a:solidFill>
                            <a:srgbClr val="FFFFFF"/>
                          </a:solidFill>
                          <a:ln w="9525">
                            <a:solidFill>
                              <a:srgbClr val="000000"/>
                            </a:solidFill>
                            <a:miter lim="800000"/>
                            <a:headEnd/>
                            <a:tailEnd/>
                          </a:ln>
                        </wps:spPr>
                        <wps:txbx>
                          <w:txbxContent>
                            <w:p w:rsidR="00BE40F8" w:rsidRPr="00C870EE" w:rsidRDefault="00BE40F8" w:rsidP="00B233DE">
                              <w:pPr>
                                <w:ind w:firstLine="0"/>
                                <w:jc w:val="center"/>
                                <w:rPr>
                                  <w:rFonts w:ascii="Times New Roman" w:hAnsi="Times New Roman" w:cs="Times New Roman"/>
                                  <w:sz w:val="14"/>
                                  <w:szCs w:val="12"/>
                                </w:rPr>
                              </w:pPr>
                              <w:r w:rsidRPr="00C870EE">
                                <w:rPr>
                                  <w:rFonts w:ascii="Times New Roman" w:hAnsi="Times New Roman" w:cs="Times New Roman"/>
                                  <w:sz w:val="14"/>
                                  <w:szCs w:val="12"/>
                                </w:rPr>
                                <w:t>Нелегальна</w:t>
                              </w:r>
                            </w:p>
                          </w:txbxContent>
                        </wps:txbx>
                        <wps:bodyPr rot="0" vert="horz" wrap="square" lIns="18000" tIns="10800" rIns="18000" bIns="10800" anchor="t" anchorCtr="0" upright="1">
                          <a:noAutofit/>
                        </wps:bodyPr>
                      </wps:wsp>
                      <wps:wsp>
                        <wps:cNvPr id="833" name="Text Box 335"/>
                        <wps:cNvSpPr txBox="1">
                          <a:spLocks noChangeArrowheads="1"/>
                        </wps:cNvSpPr>
                        <wps:spPr bwMode="auto">
                          <a:xfrm>
                            <a:off x="3269" y="6241"/>
                            <a:ext cx="1553" cy="418"/>
                          </a:xfrm>
                          <a:prstGeom prst="rect">
                            <a:avLst/>
                          </a:prstGeom>
                          <a:solidFill>
                            <a:srgbClr val="FFFFFF"/>
                          </a:solidFill>
                          <a:ln w="9525">
                            <a:solidFill>
                              <a:srgbClr val="000000"/>
                            </a:solidFill>
                            <a:miter lim="800000"/>
                            <a:headEnd/>
                            <a:tailEnd/>
                          </a:ln>
                        </wps:spPr>
                        <wps:txbx>
                          <w:txbxContent>
                            <w:p w:rsidR="00BE40F8" w:rsidRPr="00C870EE" w:rsidRDefault="00BE40F8" w:rsidP="00B233DE">
                              <w:pPr>
                                <w:ind w:firstLine="0"/>
                                <w:jc w:val="center"/>
                                <w:rPr>
                                  <w:rFonts w:ascii="Times New Roman" w:hAnsi="Times New Roman" w:cs="Times New Roman"/>
                                  <w:sz w:val="14"/>
                                  <w:szCs w:val="12"/>
                                </w:rPr>
                              </w:pPr>
                              <w:r w:rsidRPr="00C870EE">
                                <w:rPr>
                                  <w:rFonts w:ascii="Times New Roman" w:hAnsi="Times New Roman" w:cs="Times New Roman"/>
                                  <w:sz w:val="14"/>
                                  <w:szCs w:val="12"/>
                                </w:rPr>
                                <w:t>Висококваліфікова</w:t>
                              </w:r>
                              <w:r w:rsidRPr="00C870EE">
                                <w:rPr>
                                  <w:rFonts w:ascii="Times New Roman" w:hAnsi="Times New Roman" w:cs="Times New Roman"/>
                                  <w:sz w:val="14"/>
                                  <w:szCs w:val="14"/>
                                </w:rPr>
                                <w:t xml:space="preserve">них </w:t>
                              </w:r>
                              <w:r w:rsidRPr="00C870EE">
                                <w:rPr>
                                  <w:rFonts w:ascii="Times New Roman" w:hAnsi="Times New Roman" w:cs="Times New Roman"/>
                                  <w:sz w:val="14"/>
                                  <w:szCs w:val="12"/>
                                </w:rPr>
                                <w:t>працівників</w:t>
                              </w:r>
                            </w:p>
                          </w:txbxContent>
                        </wps:txbx>
                        <wps:bodyPr rot="0" vert="horz" wrap="square" lIns="0" tIns="0" rIns="0" bIns="0" anchor="ctr" anchorCtr="0" upright="1">
                          <a:noAutofit/>
                        </wps:bodyPr>
                      </wps:wsp>
                      <wps:wsp>
                        <wps:cNvPr id="834" name="Text Box 336"/>
                        <wps:cNvSpPr txBox="1">
                          <a:spLocks noChangeArrowheads="1"/>
                        </wps:cNvSpPr>
                        <wps:spPr bwMode="auto">
                          <a:xfrm>
                            <a:off x="5105" y="6241"/>
                            <a:ext cx="1976" cy="421"/>
                          </a:xfrm>
                          <a:prstGeom prst="rect">
                            <a:avLst/>
                          </a:prstGeom>
                          <a:solidFill>
                            <a:srgbClr val="FFFFFF"/>
                          </a:solidFill>
                          <a:ln w="9525">
                            <a:solidFill>
                              <a:srgbClr val="000000"/>
                            </a:solidFill>
                            <a:miter lim="800000"/>
                            <a:headEnd/>
                            <a:tailEnd/>
                          </a:ln>
                        </wps:spPr>
                        <wps:txbx>
                          <w:txbxContent>
                            <w:p w:rsidR="00BE40F8" w:rsidRPr="00C870EE" w:rsidRDefault="00BE40F8" w:rsidP="00B233DE">
                              <w:pPr>
                                <w:ind w:firstLine="0"/>
                                <w:jc w:val="center"/>
                                <w:rPr>
                                  <w:rFonts w:ascii="Times New Roman" w:hAnsi="Times New Roman" w:cs="Times New Roman"/>
                                  <w:sz w:val="14"/>
                                  <w:szCs w:val="12"/>
                                </w:rPr>
                              </w:pPr>
                              <w:r w:rsidRPr="00C870EE">
                                <w:rPr>
                                  <w:rFonts w:ascii="Times New Roman" w:hAnsi="Times New Roman" w:cs="Times New Roman"/>
                                  <w:sz w:val="14"/>
                                  <w:szCs w:val="12"/>
                                </w:rPr>
                                <w:t>Працівників середньої</w:t>
                              </w:r>
                              <w:r w:rsidRPr="00C870EE">
                                <w:rPr>
                                  <w:rFonts w:ascii="Calibri" w:hAnsi="Calibri"/>
                                  <w:sz w:val="14"/>
                                  <w:szCs w:val="12"/>
                                </w:rPr>
                                <w:t xml:space="preserve"> </w:t>
                              </w:r>
                              <w:r w:rsidRPr="00C870EE">
                                <w:rPr>
                                  <w:rFonts w:ascii="Times New Roman" w:hAnsi="Times New Roman" w:cs="Times New Roman"/>
                                  <w:sz w:val="14"/>
                                  <w:szCs w:val="12"/>
                                </w:rPr>
                                <w:t>кваліфікації</w:t>
                              </w:r>
                            </w:p>
                          </w:txbxContent>
                        </wps:txbx>
                        <wps:bodyPr rot="0" vert="horz" wrap="square" lIns="0" tIns="0" rIns="0" bIns="0" anchor="ctr" anchorCtr="0" upright="1">
                          <a:noAutofit/>
                        </wps:bodyPr>
                      </wps:wsp>
                      <wps:wsp>
                        <wps:cNvPr id="835" name="Text Box 337"/>
                        <wps:cNvSpPr txBox="1">
                          <a:spLocks noChangeArrowheads="1"/>
                        </wps:cNvSpPr>
                        <wps:spPr bwMode="auto">
                          <a:xfrm>
                            <a:off x="7363" y="6241"/>
                            <a:ext cx="1554" cy="419"/>
                          </a:xfrm>
                          <a:prstGeom prst="rect">
                            <a:avLst/>
                          </a:prstGeom>
                          <a:solidFill>
                            <a:srgbClr val="FFFFFF"/>
                          </a:solidFill>
                          <a:ln w="9525">
                            <a:solidFill>
                              <a:srgbClr val="000000"/>
                            </a:solidFill>
                            <a:miter lim="800000"/>
                            <a:headEnd/>
                            <a:tailEnd/>
                          </a:ln>
                        </wps:spPr>
                        <wps:txbx>
                          <w:txbxContent>
                            <w:p w:rsidR="00BE40F8" w:rsidRPr="00C870EE" w:rsidRDefault="00BE40F8" w:rsidP="00B233DE">
                              <w:pPr>
                                <w:ind w:firstLine="0"/>
                                <w:jc w:val="center"/>
                                <w:rPr>
                                  <w:rFonts w:ascii="Times New Roman" w:hAnsi="Times New Roman" w:cs="Times New Roman"/>
                                  <w:sz w:val="14"/>
                                  <w:szCs w:val="12"/>
                                </w:rPr>
                              </w:pPr>
                              <w:r w:rsidRPr="00C870EE">
                                <w:rPr>
                                  <w:rFonts w:ascii="Times New Roman" w:hAnsi="Times New Roman" w:cs="Times New Roman"/>
                                  <w:sz w:val="14"/>
                                  <w:szCs w:val="12"/>
                                </w:rPr>
                                <w:t>Низькокваліфікованих працівників</w:t>
                              </w:r>
                            </w:p>
                          </w:txbxContent>
                        </wps:txbx>
                        <wps:bodyPr rot="0" vert="horz" wrap="square" lIns="0" tIns="0" rIns="0" bIns="0" anchor="ctr" anchorCtr="0" upright="1">
                          <a:noAutofit/>
                        </wps:bodyPr>
                      </wps:wsp>
                      <wps:wsp>
                        <wps:cNvPr id="836" name="Text Box 338"/>
                        <wps:cNvSpPr txBox="1">
                          <a:spLocks noChangeArrowheads="1"/>
                        </wps:cNvSpPr>
                        <wps:spPr bwMode="auto">
                          <a:xfrm>
                            <a:off x="2422" y="7034"/>
                            <a:ext cx="6635" cy="278"/>
                          </a:xfrm>
                          <a:prstGeom prst="rect">
                            <a:avLst/>
                          </a:prstGeom>
                          <a:solidFill>
                            <a:srgbClr val="FFFFFF">
                              <a:alpha val="0"/>
                            </a:srgbClr>
                          </a:solidFill>
                          <a:ln w="15875">
                            <a:solidFill>
                              <a:srgbClr val="000000"/>
                            </a:solidFill>
                            <a:miter lim="800000"/>
                            <a:headEnd/>
                            <a:tailEnd/>
                          </a:ln>
                        </wps:spPr>
                        <wps:txbx>
                          <w:txbxContent>
                            <w:p w:rsidR="00BE40F8" w:rsidRPr="00C870EE" w:rsidRDefault="00BE40F8" w:rsidP="00B233DE">
                              <w:pPr>
                                <w:jc w:val="center"/>
                                <w:rPr>
                                  <w:rFonts w:ascii="Times New Roman" w:hAnsi="Times New Roman" w:cs="Times New Roman"/>
                                  <w:b/>
                                  <w:spacing w:val="20"/>
                                  <w:sz w:val="14"/>
                                  <w:szCs w:val="12"/>
                                </w:rPr>
                              </w:pPr>
                              <w:r w:rsidRPr="00C870EE">
                                <w:rPr>
                                  <w:rFonts w:ascii="Times New Roman" w:hAnsi="Times New Roman" w:cs="Times New Roman"/>
                                  <w:b/>
                                  <w:spacing w:val="20"/>
                                  <w:sz w:val="14"/>
                                  <w:szCs w:val="12"/>
                                </w:rPr>
                                <w:t>Наслідки міграційного перерозподілу ЛП</w:t>
                              </w:r>
                            </w:p>
                          </w:txbxContent>
                        </wps:txbx>
                        <wps:bodyPr rot="0" vert="horz" wrap="square" lIns="91440" tIns="0" rIns="91440" bIns="0" anchor="t" anchorCtr="0" upright="1">
                          <a:noAutofit/>
                        </wps:bodyPr>
                      </wps:wsp>
                      <wps:wsp>
                        <wps:cNvPr id="837" name="Text Box 339"/>
                        <wps:cNvSpPr txBox="1">
                          <a:spLocks noChangeArrowheads="1"/>
                        </wps:cNvSpPr>
                        <wps:spPr bwMode="auto">
                          <a:xfrm>
                            <a:off x="2422" y="7452"/>
                            <a:ext cx="424" cy="2648"/>
                          </a:xfrm>
                          <a:prstGeom prst="rect">
                            <a:avLst/>
                          </a:prstGeom>
                          <a:solidFill>
                            <a:srgbClr val="FFFFFF"/>
                          </a:solidFill>
                          <a:ln w="9525">
                            <a:solidFill>
                              <a:srgbClr val="000000"/>
                            </a:solidFill>
                            <a:miter lim="800000"/>
                            <a:headEnd/>
                            <a:tailEnd/>
                          </a:ln>
                        </wps:spPr>
                        <wps:txbx>
                          <w:txbxContent>
                            <w:p w:rsidR="00BE40F8" w:rsidRPr="00C870EE" w:rsidRDefault="00BE40F8" w:rsidP="00B233DE">
                              <w:pPr>
                                <w:ind w:firstLine="0"/>
                                <w:jc w:val="center"/>
                                <w:rPr>
                                  <w:rFonts w:ascii="Times New Roman" w:hAnsi="Times New Roman" w:cs="Times New Roman"/>
                                  <w:sz w:val="14"/>
                                  <w:szCs w:val="12"/>
                                </w:rPr>
                              </w:pPr>
                              <w:r w:rsidRPr="00C870EE">
                                <w:rPr>
                                  <w:rFonts w:ascii="Times New Roman" w:hAnsi="Times New Roman" w:cs="Times New Roman"/>
                                  <w:sz w:val="14"/>
                                  <w:szCs w:val="12"/>
                                </w:rPr>
                                <w:t>Позитивні для країн призначення</w:t>
                              </w:r>
                            </w:p>
                          </w:txbxContent>
                        </wps:txbx>
                        <wps:bodyPr rot="0" vert="vert270" wrap="square" lIns="0" tIns="0" rIns="0" bIns="0" anchor="ctr" anchorCtr="0" upright="1">
                          <a:noAutofit/>
                        </wps:bodyPr>
                      </wps:wsp>
                      <wps:wsp>
                        <wps:cNvPr id="838" name="Text Box 340"/>
                        <wps:cNvSpPr txBox="1">
                          <a:spLocks noChangeArrowheads="1"/>
                        </wps:cNvSpPr>
                        <wps:spPr bwMode="auto">
                          <a:xfrm>
                            <a:off x="8634" y="7452"/>
                            <a:ext cx="423" cy="2509"/>
                          </a:xfrm>
                          <a:prstGeom prst="rect">
                            <a:avLst/>
                          </a:prstGeom>
                          <a:solidFill>
                            <a:srgbClr val="FFFFFF"/>
                          </a:solidFill>
                          <a:ln w="9525">
                            <a:solidFill>
                              <a:srgbClr val="000000"/>
                            </a:solidFill>
                            <a:miter lim="800000"/>
                            <a:headEnd/>
                            <a:tailEnd/>
                          </a:ln>
                        </wps:spPr>
                        <wps:txbx>
                          <w:txbxContent>
                            <w:p w:rsidR="00BE40F8" w:rsidRPr="00C870EE" w:rsidRDefault="00BE40F8" w:rsidP="00B233DE">
                              <w:pPr>
                                <w:ind w:firstLine="0"/>
                                <w:jc w:val="center"/>
                                <w:rPr>
                                  <w:rFonts w:ascii="Times New Roman" w:hAnsi="Times New Roman" w:cs="Times New Roman"/>
                                  <w:sz w:val="14"/>
                                  <w:szCs w:val="14"/>
                                </w:rPr>
                              </w:pPr>
                              <w:r w:rsidRPr="00C870EE">
                                <w:rPr>
                                  <w:rFonts w:ascii="Times New Roman" w:hAnsi="Times New Roman" w:cs="Times New Roman"/>
                                  <w:sz w:val="14"/>
                                  <w:szCs w:val="14"/>
                                </w:rPr>
                                <w:t>Негативні для країн призначення</w:t>
                              </w:r>
                            </w:p>
                          </w:txbxContent>
                        </wps:txbx>
                        <wps:bodyPr rot="0" vert="vert" wrap="square" lIns="0" tIns="0" rIns="0" bIns="0" anchor="ctr" anchorCtr="0" upright="1">
                          <a:noAutofit/>
                        </wps:bodyPr>
                      </wps:wsp>
                      <wps:wsp>
                        <wps:cNvPr id="839" name="Text Box 341"/>
                        <wps:cNvSpPr txBox="1">
                          <a:spLocks noChangeArrowheads="1"/>
                        </wps:cNvSpPr>
                        <wps:spPr bwMode="auto">
                          <a:xfrm>
                            <a:off x="2988" y="7451"/>
                            <a:ext cx="2505" cy="698"/>
                          </a:xfrm>
                          <a:prstGeom prst="rect">
                            <a:avLst/>
                          </a:prstGeom>
                          <a:solidFill>
                            <a:srgbClr val="FFFFFF"/>
                          </a:solidFill>
                          <a:ln w="9525">
                            <a:solidFill>
                              <a:srgbClr val="000000"/>
                            </a:solidFill>
                            <a:miter lim="800000"/>
                            <a:headEnd/>
                            <a:tailEnd/>
                          </a:ln>
                        </wps:spPr>
                        <wps:txbx>
                          <w:txbxContent>
                            <w:p w:rsidR="00BE40F8" w:rsidRPr="00E21B8C" w:rsidRDefault="00BE40F8" w:rsidP="00B233DE">
                              <w:pPr>
                                <w:ind w:firstLine="0"/>
                                <w:rPr>
                                  <w:rFonts w:ascii="Times New Roman" w:hAnsi="Times New Roman" w:cs="Times New Roman"/>
                                  <w:sz w:val="16"/>
                                  <w:szCs w:val="12"/>
                                </w:rPr>
                              </w:pPr>
                              <w:r w:rsidRPr="00C870EE">
                                <w:rPr>
                                  <w:rFonts w:ascii="Times New Roman" w:hAnsi="Times New Roman" w:cs="Times New Roman"/>
                                  <w:sz w:val="14"/>
                                  <w:szCs w:val="12"/>
                                </w:rPr>
                                <w:t>Підвищ</w:t>
                              </w:r>
                              <w:r>
                                <w:rPr>
                                  <w:rFonts w:ascii="Times New Roman" w:hAnsi="Times New Roman" w:cs="Times New Roman"/>
                                  <w:sz w:val="14"/>
                                  <w:szCs w:val="12"/>
                                </w:rPr>
                                <w:t xml:space="preserve">ення демографічного потен-ціалу: </w:t>
                              </w:r>
                              <w:r w:rsidRPr="00C870EE">
                                <w:rPr>
                                  <w:rFonts w:ascii="Times New Roman" w:hAnsi="Times New Roman" w:cs="Times New Roman"/>
                                  <w:sz w:val="14"/>
                                  <w:szCs w:val="12"/>
                                </w:rPr>
                                <w:t>збільшення кількості</w:t>
                              </w:r>
                              <w:r w:rsidRPr="00C870EE">
                                <w:rPr>
                                  <w:rFonts w:ascii="Calibri" w:hAnsi="Calibri"/>
                                  <w:sz w:val="14"/>
                                  <w:szCs w:val="12"/>
                                </w:rPr>
                                <w:t xml:space="preserve"> </w:t>
                              </w:r>
                              <w:r w:rsidRPr="00E21B8C">
                                <w:rPr>
                                  <w:rFonts w:ascii="Times New Roman" w:hAnsi="Times New Roman" w:cs="Times New Roman"/>
                                  <w:sz w:val="14"/>
                                  <w:szCs w:val="12"/>
                                </w:rPr>
                                <w:t>населен</w:t>
                              </w:r>
                              <w:r>
                                <w:rPr>
                                  <w:rFonts w:ascii="Times New Roman" w:hAnsi="Times New Roman" w:cs="Times New Roman"/>
                                  <w:sz w:val="14"/>
                                  <w:szCs w:val="12"/>
                                </w:rPr>
                                <w:t>-</w:t>
                              </w:r>
                              <w:r w:rsidRPr="00E21B8C">
                                <w:rPr>
                                  <w:rFonts w:ascii="Times New Roman" w:hAnsi="Times New Roman" w:cs="Times New Roman"/>
                                  <w:sz w:val="14"/>
                                  <w:szCs w:val="12"/>
                                </w:rPr>
                                <w:t>ня;</w:t>
                              </w:r>
                              <w:r>
                                <w:rPr>
                                  <w:rFonts w:ascii="Times New Roman" w:hAnsi="Times New Roman" w:cs="Times New Roman"/>
                                  <w:sz w:val="16"/>
                                  <w:szCs w:val="12"/>
                                </w:rPr>
                                <w:t xml:space="preserve"> </w:t>
                              </w:r>
                              <w:r w:rsidRPr="00E21B8C">
                                <w:rPr>
                                  <w:rFonts w:ascii="Times New Roman" w:hAnsi="Times New Roman" w:cs="Times New Roman"/>
                                  <w:sz w:val="14"/>
                                  <w:szCs w:val="12"/>
                                </w:rPr>
                                <w:t>підвищення рівня народжуваності</w:t>
                              </w:r>
                            </w:p>
                          </w:txbxContent>
                        </wps:txbx>
                        <wps:bodyPr rot="0" vert="horz" wrap="square" lIns="0" tIns="0" rIns="0" bIns="0" anchor="ctr" anchorCtr="0" upright="1">
                          <a:noAutofit/>
                        </wps:bodyPr>
                      </wps:wsp>
                      <wps:wsp>
                        <wps:cNvPr id="840" name="Text Box 342"/>
                        <wps:cNvSpPr txBox="1">
                          <a:spLocks noChangeArrowheads="1"/>
                        </wps:cNvSpPr>
                        <wps:spPr bwMode="auto">
                          <a:xfrm>
                            <a:off x="2988" y="8257"/>
                            <a:ext cx="2504" cy="450"/>
                          </a:xfrm>
                          <a:prstGeom prst="rect">
                            <a:avLst/>
                          </a:prstGeom>
                          <a:solidFill>
                            <a:srgbClr val="FFFFFF"/>
                          </a:solidFill>
                          <a:ln w="9525">
                            <a:solidFill>
                              <a:srgbClr val="000000"/>
                            </a:solidFill>
                            <a:miter lim="800000"/>
                            <a:headEnd/>
                            <a:tailEnd/>
                          </a:ln>
                        </wps:spPr>
                        <wps:txbx>
                          <w:txbxContent>
                            <w:p w:rsidR="00BE40F8" w:rsidRPr="00E21B8C" w:rsidRDefault="00BE40F8" w:rsidP="00B233DE">
                              <w:pPr>
                                <w:ind w:firstLine="0"/>
                                <w:rPr>
                                  <w:rFonts w:ascii="Times New Roman" w:hAnsi="Times New Roman" w:cs="Times New Roman"/>
                                  <w:sz w:val="14"/>
                                  <w:szCs w:val="14"/>
                                </w:rPr>
                              </w:pPr>
                              <w:r w:rsidRPr="00E21B8C">
                                <w:rPr>
                                  <w:rFonts w:ascii="Times New Roman" w:hAnsi="Times New Roman" w:cs="Times New Roman"/>
                                  <w:sz w:val="14"/>
                                  <w:szCs w:val="14"/>
                                </w:rPr>
                                <w:t>Підвищення економічного потен</w:t>
                              </w:r>
                              <w:r>
                                <w:rPr>
                                  <w:rFonts w:ascii="Times New Roman" w:hAnsi="Times New Roman" w:cs="Times New Roman"/>
                                  <w:sz w:val="14"/>
                                  <w:szCs w:val="14"/>
                                </w:rPr>
                                <w:t>-</w:t>
                              </w:r>
                              <w:r w:rsidRPr="00E21B8C">
                                <w:rPr>
                                  <w:rFonts w:ascii="Times New Roman" w:hAnsi="Times New Roman" w:cs="Times New Roman"/>
                                  <w:sz w:val="14"/>
                                  <w:szCs w:val="14"/>
                                </w:rPr>
                                <w:t>ціал</w:t>
                              </w:r>
                              <w:r>
                                <w:rPr>
                                  <w:rFonts w:ascii="Times New Roman" w:hAnsi="Times New Roman" w:cs="Times New Roman"/>
                                  <w:sz w:val="14"/>
                                  <w:szCs w:val="14"/>
                                </w:rPr>
                                <w:t>у</w:t>
                              </w:r>
                              <w:r w:rsidRPr="00E21B8C">
                                <w:rPr>
                                  <w:rFonts w:ascii="Times New Roman" w:hAnsi="Times New Roman" w:cs="Times New Roman"/>
                                  <w:sz w:val="14"/>
                                  <w:szCs w:val="14"/>
                                </w:rPr>
                                <w:t>: розширення споживання</w:t>
                              </w:r>
                            </w:p>
                          </w:txbxContent>
                        </wps:txbx>
                        <wps:bodyPr rot="0" vert="horz" wrap="square" lIns="54000" tIns="0" rIns="54000" bIns="0" anchor="t" anchorCtr="0" upright="1">
                          <a:noAutofit/>
                        </wps:bodyPr>
                      </wps:wsp>
                      <wps:wsp>
                        <wps:cNvPr id="841" name="Text Box 343"/>
                        <wps:cNvSpPr txBox="1">
                          <a:spLocks noChangeArrowheads="1"/>
                        </wps:cNvSpPr>
                        <wps:spPr bwMode="auto">
                          <a:xfrm>
                            <a:off x="2989" y="9501"/>
                            <a:ext cx="2504" cy="460"/>
                          </a:xfrm>
                          <a:prstGeom prst="rect">
                            <a:avLst/>
                          </a:prstGeom>
                          <a:solidFill>
                            <a:srgbClr val="FFFFFF"/>
                          </a:solidFill>
                          <a:ln w="9525">
                            <a:solidFill>
                              <a:srgbClr val="000000"/>
                            </a:solidFill>
                            <a:miter lim="800000"/>
                            <a:headEnd/>
                            <a:tailEnd/>
                          </a:ln>
                        </wps:spPr>
                        <wps:txbx>
                          <w:txbxContent>
                            <w:p w:rsidR="00BE40F8" w:rsidRPr="0039454F" w:rsidRDefault="00BE40F8" w:rsidP="00B233DE">
                              <w:pPr>
                                <w:ind w:firstLine="0"/>
                                <w:rPr>
                                  <w:rFonts w:ascii="Times New Roman" w:hAnsi="Times New Roman" w:cs="Times New Roman"/>
                                  <w:sz w:val="14"/>
                                  <w:szCs w:val="12"/>
                                </w:rPr>
                              </w:pPr>
                              <w:r w:rsidRPr="00E21B8C">
                                <w:rPr>
                                  <w:rFonts w:ascii="Times New Roman" w:hAnsi="Times New Roman" w:cs="Times New Roman"/>
                                  <w:sz w:val="14"/>
                                  <w:szCs w:val="12"/>
                                </w:rPr>
                                <w:t>П</w:t>
                              </w:r>
                              <w:r>
                                <w:rPr>
                                  <w:rFonts w:ascii="Times New Roman" w:hAnsi="Times New Roman" w:cs="Times New Roman"/>
                                  <w:sz w:val="14"/>
                                  <w:szCs w:val="12"/>
                                </w:rPr>
                                <w:t>ідвищення трудового потенціалу:</w:t>
                              </w:r>
                              <w:r w:rsidRPr="0039454F">
                                <w:rPr>
                                  <w:rFonts w:ascii="Times New Roman" w:hAnsi="Times New Roman" w:cs="Times New Roman"/>
                                  <w:sz w:val="14"/>
                                  <w:szCs w:val="12"/>
                                  <w:lang w:val="ru-RU"/>
                                </w:rPr>
                                <w:t xml:space="preserve"> </w:t>
                              </w:r>
                              <w:r w:rsidRPr="0039454F">
                                <w:rPr>
                                  <w:rFonts w:ascii="Times New Roman" w:hAnsi="Times New Roman" w:cs="Times New Roman"/>
                                  <w:sz w:val="14"/>
                                  <w:szCs w:val="12"/>
                                </w:rPr>
                                <w:t>задоволення потреби ринку праці</w:t>
                              </w:r>
                            </w:p>
                          </w:txbxContent>
                        </wps:txbx>
                        <wps:bodyPr rot="0" vert="horz" wrap="square" lIns="0" tIns="0" rIns="0" bIns="0" anchor="t" anchorCtr="0" upright="1">
                          <a:noAutofit/>
                        </wps:bodyPr>
                      </wps:wsp>
                      <wps:wsp>
                        <wps:cNvPr id="842" name="Text Box 344"/>
                        <wps:cNvSpPr txBox="1">
                          <a:spLocks noChangeArrowheads="1"/>
                        </wps:cNvSpPr>
                        <wps:spPr bwMode="auto">
                          <a:xfrm>
                            <a:off x="2985" y="8794"/>
                            <a:ext cx="2504" cy="610"/>
                          </a:xfrm>
                          <a:prstGeom prst="rect">
                            <a:avLst/>
                          </a:prstGeom>
                          <a:solidFill>
                            <a:srgbClr val="FFFFFF"/>
                          </a:solidFill>
                          <a:ln w="9525">
                            <a:solidFill>
                              <a:srgbClr val="000000"/>
                            </a:solidFill>
                            <a:miter lim="800000"/>
                            <a:headEnd/>
                            <a:tailEnd/>
                          </a:ln>
                        </wps:spPr>
                        <wps:txbx>
                          <w:txbxContent>
                            <w:p w:rsidR="00BE40F8" w:rsidRPr="0039454F" w:rsidRDefault="00BE40F8" w:rsidP="00B233DE">
                              <w:pPr>
                                <w:ind w:firstLine="0"/>
                                <w:rPr>
                                  <w:rFonts w:ascii="Calibri" w:hAnsi="Calibri"/>
                                  <w:sz w:val="14"/>
                                  <w:szCs w:val="14"/>
                                </w:rPr>
                              </w:pPr>
                              <w:r w:rsidRPr="0039454F">
                                <w:rPr>
                                  <w:rFonts w:ascii="Times New Roman" w:hAnsi="Times New Roman" w:cs="Times New Roman"/>
                                  <w:sz w:val="14"/>
                                  <w:szCs w:val="14"/>
                                </w:rPr>
                                <w:t>Підвищення інтелектуального потен</w:t>
                              </w:r>
                              <w:r w:rsidRPr="0039454F">
                                <w:rPr>
                                  <w:rFonts w:ascii="Times New Roman" w:hAnsi="Times New Roman" w:cs="Times New Roman"/>
                                  <w:sz w:val="14"/>
                                  <w:szCs w:val="14"/>
                                  <w:lang w:val="ru-RU"/>
                                </w:rPr>
                                <w:t>-</w:t>
                              </w:r>
                              <w:r w:rsidRPr="0039454F">
                                <w:rPr>
                                  <w:rFonts w:ascii="Times New Roman" w:hAnsi="Times New Roman" w:cs="Times New Roman"/>
                                  <w:sz w:val="14"/>
                                  <w:szCs w:val="14"/>
                                </w:rPr>
                                <w:t>ціалу: стимулювання інтелектуально</w:t>
                              </w:r>
                              <w:r w:rsidRPr="0039454F">
                                <w:rPr>
                                  <w:rFonts w:ascii="Times New Roman" w:hAnsi="Times New Roman" w:cs="Times New Roman"/>
                                  <w:sz w:val="14"/>
                                  <w:szCs w:val="14"/>
                                  <w:lang w:val="ru-RU"/>
                                </w:rPr>
                                <w:t>-</w:t>
                              </w:r>
                              <w:r w:rsidRPr="0039454F">
                                <w:rPr>
                                  <w:rFonts w:ascii="Times New Roman" w:hAnsi="Times New Roman" w:cs="Times New Roman"/>
                                  <w:sz w:val="14"/>
                                  <w:szCs w:val="14"/>
                                </w:rPr>
                                <w:t xml:space="preserve">го та інноваційного розвитку; </w:t>
                              </w:r>
                            </w:p>
                          </w:txbxContent>
                        </wps:txbx>
                        <wps:bodyPr rot="0" vert="horz" wrap="square" lIns="0" tIns="0" rIns="0" bIns="0" anchor="ctr" anchorCtr="0" upright="1">
                          <a:noAutofit/>
                        </wps:bodyPr>
                      </wps:wsp>
                      <wps:wsp>
                        <wps:cNvPr id="843" name="Text Box 345"/>
                        <wps:cNvSpPr txBox="1">
                          <a:spLocks noChangeArrowheads="1"/>
                        </wps:cNvSpPr>
                        <wps:spPr bwMode="auto">
                          <a:xfrm>
                            <a:off x="3003" y="10087"/>
                            <a:ext cx="2504" cy="709"/>
                          </a:xfrm>
                          <a:prstGeom prst="rect">
                            <a:avLst/>
                          </a:prstGeom>
                          <a:solidFill>
                            <a:srgbClr val="FFFFFF"/>
                          </a:solidFill>
                          <a:ln w="9525">
                            <a:solidFill>
                              <a:srgbClr val="000000"/>
                            </a:solidFill>
                            <a:miter lim="800000"/>
                            <a:headEnd/>
                            <a:tailEnd/>
                          </a:ln>
                        </wps:spPr>
                        <wps:txbx>
                          <w:txbxContent>
                            <w:p w:rsidR="00BE40F8" w:rsidRPr="00B4285A" w:rsidRDefault="00BE40F8" w:rsidP="00B233DE">
                              <w:pPr>
                                <w:ind w:firstLine="0"/>
                                <w:rPr>
                                  <w:rFonts w:ascii="Calibri" w:hAnsi="Calibri"/>
                                  <w:sz w:val="12"/>
                                  <w:szCs w:val="12"/>
                                </w:rPr>
                              </w:pPr>
                              <w:r w:rsidRPr="00E21B8C">
                                <w:rPr>
                                  <w:rFonts w:ascii="Times New Roman" w:hAnsi="Times New Roman" w:cs="Times New Roman"/>
                                  <w:sz w:val="14"/>
                                  <w:szCs w:val="14"/>
                                </w:rPr>
                                <w:t>Покращення соціальн</w:t>
                              </w:r>
                              <w:r>
                                <w:rPr>
                                  <w:rFonts w:ascii="Times New Roman" w:hAnsi="Times New Roman" w:cs="Times New Roman"/>
                                  <w:sz w:val="14"/>
                                  <w:szCs w:val="14"/>
                                </w:rPr>
                                <w:t>о-економічних умов розвитку ЛП:</w:t>
                              </w:r>
                              <w:r w:rsidRPr="0039454F">
                                <w:rPr>
                                  <w:rFonts w:ascii="Times New Roman" w:hAnsi="Times New Roman" w:cs="Times New Roman"/>
                                  <w:sz w:val="14"/>
                                  <w:szCs w:val="14"/>
                                  <w:lang w:val="ru-RU"/>
                                </w:rPr>
                                <w:t xml:space="preserve"> </w:t>
                              </w:r>
                              <w:r w:rsidRPr="00E21B8C">
                                <w:rPr>
                                  <w:rFonts w:ascii="Times New Roman" w:hAnsi="Times New Roman" w:cs="Times New Roman"/>
                                  <w:sz w:val="14"/>
                                  <w:szCs w:val="14"/>
                                </w:rPr>
                                <w:t>зменшення безробіття та соціал</w:t>
                              </w:r>
                              <w:r w:rsidRPr="0039454F">
                                <w:rPr>
                                  <w:rFonts w:ascii="Times New Roman" w:hAnsi="Times New Roman" w:cs="Times New Roman"/>
                                  <w:sz w:val="14"/>
                                  <w:szCs w:val="14"/>
                                </w:rPr>
                                <w:t>ьної напруги</w:t>
                              </w:r>
                            </w:p>
                          </w:txbxContent>
                        </wps:txbx>
                        <wps:bodyPr rot="0" vert="horz" wrap="square" lIns="0" tIns="0" rIns="0" bIns="0" anchor="ctr" anchorCtr="0" upright="1">
                          <a:noAutofit/>
                        </wps:bodyPr>
                      </wps:wsp>
                      <wps:wsp>
                        <wps:cNvPr id="844" name="Text Box 346"/>
                        <wps:cNvSpPr txBox="1">
                          <a:spLocks noChangeArrowheads="1"/>
                        </wps:cNvSpPr>
                        <wps:spPr bwMode="auto">
                          <a:xfrm>
                            <a:off x="3002" y="10796"/>
                            <a:ext cx="2505" cy="697"/>
                          </a:xfrm>
                          <a:prstGeom prst="rect">
                            <a:avLst/>
                          </a:prstGeom>
                          <a:solidFill>
                            <a:srgbClr val="FFFFFF"/>
                          </a:solidFill>
                          <a:ln w="9525">
                            <a:solidFill>
                              <a:srgbClr val="000000"/>
                            </a:solidFill>
                            <a:miter lim="800000"/>
                            <a:headEnd/>
                            <a:tailEnd/>
                          </a:ln>
                        </wps:spPr>
                        <wps:txbx>
                          <w:txbxContent>
                            <w:p w:rsidR="00BE40F8" w:rsidRPr="0039454F" w:rsidRDefault="00BE40F8" w:rsidP="00B233DE">
                              <w:pPr>
                                <w:ind w:firstLine="0"/>
                                <w:rPr>
                                  <w:rFonts w:ascii="Times New Roman" w:hAnsi="Times New Roman" w:cs="Times New Roman"/>
                                  <w:sz w:val="14"/>
                                  <w:szCs w:val="12"/>
                                </w:rPr>
                              </w:pPr>
                              <w:r w:rsidRPr="0039454F">
                                <w:rPr>
                                  <w:rFonts w:ascii="Times New Roman" w:hAnsi="Times New Roman" w:cs="Times New Roman"/>
                                  <w:sz w:val="14"/>
                                  <w:szCs w:val="12"/>
                                </w:rPr>
                                <w:t>Підвищення економічного потенці</w:t>
                              </w:r>
                              <w:r w:rsidRPr="0039454F">
                                <w:rPr>
                                  <w:rFonts w:ascii="Times New Roman" w:hAnsi="Times New Roman" w:cs="Times New Roman"/>
                                  <w:sz w:val="14"/>
                                  <w:szCs w:val="12"/>
                                  <w:lang w:val="ru-RU"/>
                                </w:rPr>
                                <w:t>-</w:t>
                              </w:r>
                              <w:r>
                                <w:rPr>
                                  <w:rFonts w:ascii="Times New Roman" w:hAnsi="Times New Roman" w:cs="Times New Roman"/>
                                  <w:sz w:val="14"/>
                                  <w:szCs w:val="12"/>
                                </w:rPr>
                                <w:t>алу</w:t>
                              </w:r>
                              <w:r w:rsidRPr="0039454F">
                                <w:rPr>
                                  <w:rFonts w:ascii="Times New Roman" w:hAnsi="Times New Roman" w:cs="Times New Roman"/>
                                  <w:sz w:val="14"/>
                                  <w:szCs w:val="12"/>
                                  <w:lang w:val="ru-RU"/>
                                </w:rPr>
                                <w:t xml:space="preserve"> </w:t>
                              </w:r>
                              <w:r w:rsidRPr="0039454F">
                                <w:rPr>
                                  <w:rFonts w:ascii="Times New Roman" w:hAnsi="Times New Roman" w:cs="Times New Roman"/>
                                  <w:sz w:val="14"/>
                                  <w:szCs w:val="12"/>
                                </w:rPr>
                                <w:t>зростання доходів та отримання інвестиційних ресурсів</w:t>
                              </w:r>
                            </w:p>
                          </w:txbxContent>
                        </wps:txbx>
                        <wps:bodyPr rot="0" vert="horz" wrap="square" lIns="0" tIns="0" rIns="0" bIns="0" anchor="ctr" anchorCtr="0" upright="1">
                          <a:noAutofit/>
                        </wps:bodyPr>
                      </wps:wsp>
                      <wps:wsp>
                        <wps:cNvPr id="845" name="Text Box 347"/>
                        <wps:cNvSpPr txBox="1">
                          <a:spLocks noChangeArrowheads="1"/>
                        </wps:cNvSpPr>
                        <wps:spPr bwMode="auto">
                          <a:xfrm>
                            <a:off x="2987" y="11494"/>
                            <a:ext cx="2504" cy="837"/>
                          </a:xfrm>
                          <a:prstGeom prst="rect">
                            <a:avLst/>
                          </a:prstGeom>
                          <a:solidFill>
                            <a:srgbClr val="FFFFFF"/>
                          </a:solidFill>
                          <a:ln w="9525">
                            <a:solidFill>
                              <a:srgbClr val="000000"/>
                            </a:solidFill>
                            <a:miter lim="800000"/>
                            <a:headEnd/>
                            <a:tailEnd/>
                          </a:ln>
                        </wps:spPr>
                        <wps:txbx>
                          <w:txbxContent>
                            <w:p w:rsidR="00BE40F8" w:rsidRPr="0039454F" w:rsidRDefault="00BE40F8" w:rsidP="00B233DE">
                              <w:pPr>
                                <w:ind w:firstLine="0"/>
                                <w:rPr>
                                  <w:rFonts w:ascii="Times New Roman" w:hAnsi="Times New Roman" w:cs="Times New Roman"/>
                                  <w:sz w:val="14"/>
                                  <w:szCs w:val="12"/>
                                </w:rPr>
                              </w:pPr>
                              <w:r w:rsidRPr="0039454F">
                                <w:rPr>
                                  <w:rFonts w:ascii="Times New Roman" w:hAnsi="Times New Roman" w:cs="Times New Roman"/>
                                  <w:sz w:val="14"/>
                                  <w:szCs w:val="12"/>
                                </w:rPr>
                                <w:t>П</w:t>
                              </w:r>
                              <w:r>
                                <w:rPr>
                                  <w:rFonts w:ascii="Times New Roman" w:hAnsi="Times New Roman" w:cs="Times New Roman"/>
                                  <w:sz w:val="14"/>
                                  <w:szCs w:val="12"/>
                                </w:rPr>
                                <w:t>ідвищення трудового потенціалу:</w:t>
                              </w:r>
                              <w:r>
                                <w:rPr>
                                  <w:rFonts w:ascii="Times New Roman" w:hAnsi="Times New Roman" w:cs="Times New Roman"/>
                                  <w:sz w:val="14"/>
                                  <w:szCs w:val="12"/>
                                  <w:lang w:val="en-US"/>
                                </w:rPr>
                                <w:t xml:space="preserve"> </w:t>
                              </w:r>
                              <w:r w:rsidRPr="0039454F">
                                <w:rPr>
                                  <w:rFonts w:ascii="Times New Roman" w:hAnsi="Times New Roman" w:cs="Times New Roman"/>
                                  <w:sz w:val="14"/>
                                  <w:szCs w:val="12"/>
                                </w:rPr>
                                <w:t>набуття досвіду, навичок та кваліфі</w:t>
                              </w:r>
                              <w:r>
                                <w:rPr>
                                  <w:rFonts w:ascii="Times New Roman" w:hAnsi="Times New Roman" w:cs="Times New Roman"/>
                                  <w:sz w:val="14"/>
                                  <w:szCs w:val="12"/>
                                  <w:lang w:val="en-US"/>
                                </w:rPr>
                                <w:t>-</w:t>
                              </w:r>
                              <w:r w:rsidRPr="0039454F">
                                <w:rPr>
                                  <w:rFonts w:ascii="Times New Roman" w:hAnsi="Times New Roman" w:cs="Times New Roman"/>
                                  <w:sz w:val="14"/>
                                  <w:szCs w:val="12"/>
                                </w:rPr>
                                <w:t>кації у сфері управління та підприєм</w:t>
                              </w:r>
                              <w:r>
                                <w:rPr>
                                  <w:rFonts w:ascii="Times New Roman" w:hAnsi="Times New Roman" w:cs="Times New Roman"/>
                                  <w:sz w:val="14"/>
                                  <w:szCs w:val="12"/>
                                  <w:lang w:val="en-US"/>
                                </w:rPr>
                                <w:t>-</w:t>
                              </w:r>
                              <w:r w:rsidRPr="0039454F">
                                <w:rPr>
                                  <w:rFonts w:ascii="Times New Roman" w:hAnsi="Times New Roman" w:cs="Times New Roman"/>
                                  <w:sz w:val="14"/>
                                  <w:szCs w:val="12"/>
                                </w:rPr>
                                <w:t>ницької діяльності</w:t>
                              </w:r>
                            </w:p>
                          </w:txbxContent>
                        </wps:txbx>
                        <wps:bodyPr rot="0" vert="horz" wrap="square" lIns="0" tIns="0" rIns="0" bIns="0" anchor="ctr" anchorCtr="0" upright="1">
                          <a:noAutofit/>
                        </wps:bodyPr>
                      </wps:wsp>
                      <wps:wsp>
                        <wps:cNvPr id="846" name="Text Box 348"/>
                        <wps:cNvSpPr txBox="1">
                          <a:spLocks noChangeArrowheads="1"/>
                        </wps:cNvSpPr>
                        <wps:spPr bwMode="auto">
                          <a:xfrm>
                            <a:off x="6092" y="8149"/>
                            <a:ext cx="2400" cy="645"/>
                          </a:xfrm>
                          <a:prstGeom prst="rect">
                            <a:avLst/>
                          </a:prstGeom>
                          <a:solidFill>
                            <a:srgbClr val="FFFFFF"/>
                          </a:solidFill>
                          <a:ln w="9525">
                            <a:solidFill>
                              <a:srgbClr val="000000"/>
                            </a:solidFill>
                            <a:miter lim="800000"/>
                            <a:headEnd/>
                            <a:tailEnd/>
                          </a:ln>
                        </wps:spPr>
                        <wps:txbx>
                          <w:txbxContent>
                            <w:p w:rsidR="00BE40F8" w:rsidRPr="009B30EA" w:rsidRDefault="00BE40F8" w:rsidP="00B233DE">
                              <w:pPr>
                                <w:ind w:firstLine="0"/>
                                <w:rPr>
                                  <w:rFonts w:ascii="Times New Roman" w:hAnsi="Times New Roman" w:cs="Times New Roman"/>
                                  <w:sz w:val="14"/>
                                  <w:szCs w:val="14"/>
                                </w:rPr>
                              </w:pPr>
                              <w:r w:rsidRPr="009B30EA">
                                <w:rPr>
                                  <w:rFonts w:ascii="Times New Roman" w:hAnsi="Times New Roman" w:cs="Times New Roman"/>
                                  <w:sz w:val="14"/>
                                  <w:szCs w:val="14"/>
                                </w:rPr>
                                <w:t>Посилення напруги на ринку праці:</w:t>
                              </w:r>
                            </w:p>
                            <w:p w:rsidR="00BE40F8" w:rsidRPr="009B30EA" w:rsidRDefault="00BE40F8" w:rsidP="00B233DE">
                              <w:pPr>
                                <w:ind w:firstLine="0"/>
                                <w:rPr>
                                  <w:rFonts w:ascii="Times New Roman" w:hAnsi="Times New Roman" w:cs="Times New Roman"/>
                                  <w:sz w:val="14"/>
                                  <w:szCs w:val="14"/>
                                </w:rPr>
                              </w:pPr>
                              <w:r w:rsidRPr="009B30EA">
                                <w:rPr>
                                  <w:rFonts w:ascii="Times New Roman" w:hAnsi="Times New Roman" w:cs="Times New Roman"/>
                                  <w:sz w:val="14"/>
                                  <w:szCs w:val="14"/>
                                </w:rPr>
                                <w:t>- зростання безробіття національної робочої сили</w:t>
                              </w:r>
                            </w:p>
                          </w:txbxContent>
                        </wps:txbx>
                        <wps:bodyPr rot="0" vert="horz" wrap="square" lIns="0" tIns="0" rIns="0" bIns="0" anchor="ctr" anchorCtr="0" upright="1">
                          <a:noAutofit/>
                        </wps:bodyPr>
                      </wps:wsp>
                      <wps:wsp>
                        <wps:cNvPr id="847" name="Text Box 349"/>
                        <wps:cNvSpPr txBox="1">
                          <a:spLocks noChangeArrowheads="1"/>
                        </wps:cNvSpPr>
                        <wps:spPr bwMode="auto">
                          <a:xfrm>
                            <a:off x="6094" y="7451"/>
                            <a:ext cx="2399" cy="698"/>
                          </a:xfrm>
                          <a:prstGeom prst="rect">
                            <a:avLst/>
                          </a:prstGeom>
                          <a:solidFill>
                            <a:srgbClr val="FFFFFF"/>
                          </a:solidFill>
                          <a:ln w="9525">
                            <a:solidFill>
                              <a:srgbClr val="000000"/>
                            </a:solidFill>
                            <a:miter lim="800000"/>
                            <a:headEnd/>
                            <a:tailEnd/>
                          </a:ln>
                        </wps:spPr>
                        <wps:txbx>
                          <w:txbxContent>
                            <w:p w:rsidR="00BE40F8" w:rsidRPr="00B4285A" w:rsidRDefault="00BE40F8" w:rsidP="00B233DE">
                              <w:pPr>
                                <w:ind w:firstLine="0"/>
                                <w:rPr>
                                  <w:rFonts w:ascii="Calibri" w:hAnsi="Calibri"/>
                                  <w:sz w:val="12"/>
                                  <w:szCs w:val="12"/>
                                </w:rPr>
                              </w:pPr>
                              <w:r>
                                <w:rPr>
                                  <w:rFonts w:ascii="Times New Roman" w:hAnsi="Times New Roman" w:cs="Times New Roman"/>
                                  <w:sz w:val="14"/>
                                  <w:szCs w:val="12"/>
                                </w:rPr>
                                <w:t>Посилення соціальної напруги</w:t>
                              </w:r>
                              <w:r>
                                <w:rPr>
                                  <w:rFonts w:ascii="Times New Roman" w:hAnsi="Times New Roman" w:cs="Times New Roman"/>
                                  <w:sz w:val="14"/>
                                  <w:szCs w:val="12"/>
                                  <w:lang w:val="en-US"/>
                                </w:rPr>
                                <w:t xml:space="preserve"> </w:t>
                              </w:r>
                              <w:r w:rsidRPr="009B30EA">
                                <w:rPr>
                                  <w:rFonts w:ascii="Times New Roman" w:hAnsi="Times New Roman" w:cs="Times New Roman"/>
                                  <w:sz w:val="14"/>
                                  <w:szCs w:val="12"/>
                                </w:rPr>
                                <w:t>зрос</w:t>
                              </w:r>
                              <w:r w:rsidRPr="009B30EA">
                                <w:rPr>
                                  <w:rFonts w:ascii="Times New Roman" w:hAnsi="Times New Roman" w:cs="Times New Roman"/>
                                  <w:sz w:val="14"/>
                                  <w:szCs w:val="12"/>
                                  <w:lang w:val="ru-RU"/>
                                </w:rPr>
                                <w:t>-</w:t>
                              </w:r>
                              <w:r w:rsidRPr="009B30EA">
                                <w:rPr>
                                  <w:rFonts w:ascii="Times New Roman" w:hAnsi="Times New Roman" w:cs="Times New Roman"/>
                                  <w:sz w:val="14"/>
                                  <w:szCs w:val="12"/>
                                </w:rPr>
                                <w:t>тання злочинності, міжетнічних конфліктів та соціальної напруги</w:t>
                              </w:r>
                            </w:p>
                          </w:txbxContent>
                        </wps:txbx>
                        <wps:bodyPr rot="0" vert="horz" wrap="square" lIns="0" tIns="0" rIns="0" bIns="0" anchor="ctr" anchorCtr="0" upright="1">
                          <a:noAutofit/>
                        </wps:bodyPr>
                      </wps:wsp>
                      <wps:wsp>
                        <wps:cNvPr id="848" name="Text Box 350"/>
                        <wps:cNvSpPr txBox="1">
                          <a:spLocks noChangeArrowheads="1"/>
                        </wps:cNvSpPr>
                        <wps:spPr bwMode="auto">
                          <a:xfrm>
                            <a:off x="6094" y="8794"/>
                            <a:ext cx="2399" cy="610"/>
                          </a:xfrm>
                          <a:prstGeom prst="rect">
                            <a:avLst/>
                          </a:prstGeom>
                          <a:solidFill>
                            <a:srgbClr val="FFFFFF"/>
                          </a:solidFill>
                          <a:ln w="9525">
                            <a:solidFill>
                              <a:srgbClr val="000000"/>
                            </a:solidFill>
                            <a:miter lim="800000"/>
                            <a:headEnd/>
                            <a:tailEnd/>
                          </a:ln>
                        </wps:spPr>
                        <wps:txbx>
                          <w:txbxContent>
                            <w:p w:rsidR="00BE40F8" w:rsidRPr="009B30EA" w:rsidRDefault="00BE40F8" w:rsidP="00B233DE">
                              <w:pPr>
                                <w:ind w:firstLine="0"/>
                                <w:rPr>
                                  <w:rFonts w:ascii="Times New Roman" w:hAnsi="Times New Roman" w:cs="Times New Roman"/>
                                  <w:sz w:val="14"/>
                                  <w:szCs w:val="14"/>
                                </w:rPr>
                              </w:pPr>
                              <w:r w:rsidRPr="009B30EA">
                                <w:rPr>
                                  <w:rFonts w:ascii="Times New Roman" w:hAnsi="Times New Roman" w:cs="Times New Roman"/>
                                  <w:spacing w:val="-4"/>
                                  <w:sz w:val="14"/>
                                  <w:szCs w:val="14"/>
                                </w:rPr>
                                <w:t>Існування економічних втрат:</w:t>
                              </w:r>
                              <w:r w:rsidRPr="009B30EA">
                                <w:rPr>
                                  <w:rFonts w:ascii="Times New Roman" w:hAnsi="Times New Roman" w:cs="Times New Roman"/>
                                  <w:spacing w:val="-4"/>
                                  <w:sz w:val="14"/>
                                  <w:szCs w:val="14"/>
                                  <w:lang w:val="ru-RU"/>
                                </w:rPr>
                                <w:t xml:space="preserve"> </w:t>
                              </w:r>
                              <w:r w:rsidRPr="009B30EA">
                                <w:rPr>
                                  <w:rFonts w:ascii="Times New Roman" w:hAnsi="Times New Roman" w:cs="Times New Roman"/>
                                  <w:spacing w:val="-4"/>
                                  <w:sz w:val="14"/>
                                  <w:szCs w:val="14"/>
                                </w:rPr>
                                <w:t>неспла</w:t>
                              </w:r>
                              <w:r w:rsidRPr="009B30EA">
                                <w:rPr>
                                  <w:rFonts w:ascii="Times New Roman" w:hAnsi="Times New Roman" w:cs="Times New Roman"/>
                                  <w:spacing w:val="-4"/>
                                  <w:sz w:val="14"/>
                                  <w:szCs w:val="14"/>
                                  <w:lang w:val="ru-RU"/>
                                </w:rPr>
                                <w:t>-</w:t>
                              </w:r>
                              <w:r w:rsidRPr="009B30EA">
                                <w:rPr>
                                  <w:rFonts w:ascii="Times New Roman" w:hAnsi="Times New Roman" w:cs="Times New Roman"/>
                                  <w:spacing w:val="-6"/>
                                  <w:sz w:val="14"/>
                                  <w:szCs w:val="14"/>
                                </w:rPr>
                                <w:t>та мігрантами податків та внес</w:t>
                              </w:r>
                              <w:r w:rsidRPr="009B30EA">
                                <w:rPr>
                                  <w:rFonts w:ascii="Times New Roman" w:hAnsi="Times New Roman" w:cs="Times New Roman"/>
                                  <w:sz w:val="14"/>
                                  <w:szCs w:val="14"/>
                                </w:rPr>
                                <w:t>ків до фондів соціального забезпечення</w:t>
                              </w:r>
                            </w:p>
                          </w:txbxContent>
                        </wps:txbx>
                        <wps:bodyPr rot="0" vert="horz" wrap="square" lIns="0" tIns="0" rIns="0" bIns="0" anchor="ctr" anchorCtr="0" upright="1">
                          <a:noAutofit/>
                        </wps:bodyPr>
                      </wps:wsp>
                      <wps:wsp>
                        <wps:cNvPr id="849" name="Text Box 351"/>
                        <wps:cNvSpPr txBox="1">
                          <a:spLocks noChangeArrowheads="1"/>
                        </wps:cNvSpPr>
                        <wps:spPr bwMode="auto">
                          <a:xfrm>
                            <a:off x="6094" y="9502"/>
                            <a:ext cx="2399" cy="557"/>
                          </a:xfrm>
                          <a:prstGeom prst="rect">
                            <a:avLst/>
                          </a:prstGeom>
                          <a:solidFill>
                            <a:srgbClr val="FFFFFF"/>
                          </a:solidFill>
                          <a:ln w="9525">
                            <a:solidFill>
                              <a:srgbClr val="000000"/>
                            </a:solidFill>
                            <a:miter lim="800000"/>
                            <a:headEnd/>
                            <a:tailEnd/>
                          </a:ln>
                        </wps:spPr>
                        <wps:txbx>
                          <w:txbxContent>
                            <w:p w:rsidR="00BE40F8" w:rsidRPr="009B30EA" w:rsidRDefault="00BE40F8" w:rsidP="00B233DE">
                              <w:pPr>
                                <w:ind w:firstLine="0"/>
                                <w:rPr>
                                  <w:rFonts w:ascii="Times New Roman" w:hAnsi="Times New Roman" w:cs="Times New Roman"/>
                                  <w:sz w:val="14"/>
                                  <w:szCs w:val="12"/>
                                </w:rPr>
                              </w:pPr>
                              <w:r w:rsidRPr="009B30EA">
                                <w:rPr>
                                  <w:rFonts w:ascii="Times New Roman" w:hAnsi="Times New Roman" w:cs="Times New Roman"/>
                                  <w:sz w:val="14"/>
                                  <w:szCs w:val="12"/>
                                </w:rPr>
                                <w:t>Необхідність додаткових фінансо</w:t>
                              </w:r>
                              <w:r w:rsidRPr="009B30EA">
                                <w:rPr>
                                  <w:rFonts w:ascii="Times New Roman" w:hAnsi="Times New Roman" w:cs="Times New Roman"/>
                                  <w:sz w:val="14"/>
                                  <w:szCs w:val="12"/>
                                  <w:lang w:val="ru-RU"/>
                                </w:rPr>
                                <w:t>-</w:t>
                              </w:r>
                              <w:r>
                                <w:rPr>
                                  <w:rFonts w:ascii="Times New Roman" w:hAnsi="Times New Roman" w:cs="Times New Roman"/>
                                  <w:sz w:val="14"/>
                                  <w:szCs w:val="12"/>
                                </w:rPr>
                                <w:t>вих витрат:</w:t>
                              </w:r>
                              <w:r w:rsidRPr="009B30EA">
                                <w:rPr>
                                  <w:rFonts w:ascii="Times New Roman" w:hAnsi="Times New Roman" w:cs="Times New Roman"/>
                                  <w:sz w:val="14"/>
                                  <w:szCs w:val="12"/>
                                  <w:lang w:val="ru-RU"/>
                                </w:rPr>
                                <w:t xml:space="preserve"> </w:t>
                              </w:r>
                              <w:r w:rsidRPr="009B30EA">
                                <w:rPr>
                                  <w:rFonts w:ascii="Times New Roman" w:hAnsi="Times New Roman" w:cs="Times New Roman"/>
                                  <w:sz w:val="14"/>
                                  <w:szCs w:val="12"/>
                                </w:rPr>
                                <w:t>додаткові витрати на адаптацію</w:t>
                              </w:r>
                              <w:r>
                                <w:rPr>
                                  <w:rFonts w:ascii="Times New Roman" w:hAnsi="Times New Roman" w:cs="Times New Roman"/>
                                  <w:sz w:val="14"/>
                                  <w:szCs w:val="14"/>
                                </w:rPr>
                                <w:t>, асиміляцію</w:t>
                              </w:r>
                              <w:r>
                                <w:rPr>
                                  <w:rFonts w:ascii="Times New Roman" w:hAnsi="Times New Roman" w:cs="Times New Roman"/>
                                  <w:sz w:val="14"/>
                                  <w:szCs w:val="14"/>
                                  <w:lang w:val="ru-RU"/>
                                </w:rPr>
                                <w:t xml:space="preserve">, </w:t>
                              </w:r>
                              <w:r w:rsidRPr="009B30EA">
                                <w:rPr>
                                  <w:rFonts w:ascii="Times New Roman" w:hAnsi="Times New Roman" w:cs="Times New Roman"/>
                                  <w:sz w:val="14"/>
                                  <w:szCs w:val="14"/>
                                </w:rPr>
                                <w:t>інтеграцію</w:t>
                              </w:r>
                              <w:r w:rsidRPr="009B30EA">
                                <w:rPr>
                                  <w:rFonts w:ascii="Calibri" w:hAnsi="Calibri"/>
                                  <w:sz w:val="16"/>
                                  <w:szCs w:val="12"/>
                                </w:rPr>
                                <w:t xml:space="preserve"> </w:t>
                              </w:r>
                              <w:r w:rsidRPr="00B4285A">
                                <w:rPr>
                                  <w:rFonts w:ascii="Calibri" w:hAnsi="Calibri"/>
                                  <w:sz w:val="12"/>
                                  <w:szCs w:val="12"/>
                                </w:rPr>
                                <w:t>мігрантів</w:t>
                              </w:r>
                            </w:p>
                            <w:p w:rsidR="00BE40F8" w:rsidRPr="00B4285A" w:rsidRDefault="00BE40F8" w:rsidP="00B233DE">
                              <w:pPr>
                                <w:rPr>
                                  <w:rFonts w:ascii="Calibri" w:hAnsi="Calibri"/>
                                  <w:sz w:val="12"/>
                                  <w:szCs w:val="12"/>
                                </w:rPr>
                              </w:pPr>
                            </w:p>
                          </w:txbxContent>
                        </wps:txbx>
                        <wps:bodyPr rot="0" vert="horz" wrap="square" lIns="0" tIns="0" rIns="0" bIns="0" anchor="ctr" anchorCtr="0" upright="1">
                          <a:noAutofit/>
                        </wps:bodyPr>
                      </wps:wsp>
                      <wps:wsp>
                        <wps:cNvPr id="850" name="Text Box 352"/>
                        <wps:cNvSpPr txBox="1">
                          <a:spLocks noChangeArrowheads="1"/>
                        </wps:cNvSpPr>
                        <wps:spPr bwMode="auto">
                          <a:xfrm>
                            <a:off x="6094" y="10100"/>
                            <a:ext cx="2399" cy="696"/>
                          </a:xfrm>
                          <a:prstGeom prst="rect">
                            <a:avLst/>
                          </a:prstGeom>
                          <a:solidFill>
                            <a:srgbClr val="FFFFFF"/>
                          </a:solidFill>
                          <a:ln w="9525">
                            <a:solidFill>
                              <a:srgbClr val="000000"/>
                            </a:solidFill>
                            <a:miter lim="800000"/>
                            <a:headEnd/>
                            <a:tailEnd/>
                          </a:ln>
                        </wps:spPr>
                        <wps:txbx>
                          <w:txbxContent>
                            <w:p w:rsidR="00BE40F8" w:rsidRPr="009B30EA" w:rsidRDefault="00BE40F8" w:rsidP="00B233DE">
                              <w:pPr>
                                <w:ind w:firstLine="0"/>
                                <w:rPr>
                                  <w:rFonts w:ascii="Times New Roman" w:hAnsi="Times New Roman" w:cs="Times New Roman"/>
                                  <w:sz w:val="14"/>
                                  <w:szCs w:val="12"/>
                                </w:rPr>
                              </w:pPr>
                              <w:r w:rsidRPr="009B30EA">
                                <w:rPr>
                                  <w:rFonts w:ascii="Times New Roman" w:hAnsi="Times New Roman" w:cs="Times New Roman"/>
                                  <w:sz w:val="14"/>
                                  <w:szCs w:val="12"/>
                                </w:rPr>
                                <w:t>Втрата демографічного потенці</w:t>
                              </w:r>
                              <w:r w:rsidRPr="009B30EA">
                                <w:rPr>
                                  <w:rFonts w:ascii="Times New Roman" w:hAnsi="Times New Roman" w:cs="Times New Roman"/>
                                  <w:spacing w:val="-20"/>
                                  <w:sz w:val="14"/>
                                  <w:szCs w:val="12"/>
                                </w:rPr>
                                <w:t>алу</w:t>
                              </w:r>
                              <w:r>
                                <w:rPr>
                                  <w:rFonts w:ascii="Times New Roman" w:hAnsi="Times New Roman" w:cs="Times New Roman"/>
                                  <w:sz w:val="14"/>
                                  <w:szCs w:val="12"/>
                                </w:rPr>
                                <w:t>:</w:t>
                              </w:r>
                              <w:r>
                                <w:rPr>
                                  <w:rFonts w:ascii="Times New Roman" w:hAnsi="Times New Roman" w:cs="Times New Roman"/>
                                  <w:sz w:val="14"/>
                                  <w:szCs w:val="12"/>
                                  <w:lang w:val="ru-RU"/>
                                </w:rPr>
                                <w:t xml:space="preserve"> </w:t>
                              </w:r>
                              <w:r>
                                <w:rPr>
                                  <w:rFonts w:ascii="Times New Roman" w:hAnsi="Times New Roman" w:cs="Times New Roman"/>
                                  <w:sz w:val="14"/>
                                  <w:szCs w:val="12"/>
                                </w:rPr>
                                <w:t>зменшення кількості населення;</w:t>
                              </w:r>
                              <w:r>
                                <w:rPr>
                                  <w:rFonts w:ascii="Times New Roman" w:hAnsi="Times New Roman" w:cs="Times New Roman"/>
                                  <w:sz w:val="14"/>
                                  <w:szCs w:val="12"/>
                                  <w:lang w:val="ru-RU"/>
                                </w:rPr>
                                <w:t xml:space="preserve"> </w:t>
                              </w:r>
                              <w:r w:rsidRPr="009B30EA">
                                <w:rPr>
                                  <w:rFonts w:ascii="Times New Roman" w:hAnsi="Times New Roman" w:cs="Times New Roman"/>
                                  <w:sz w:val="14"/>
                                  <w:szCs w:val="12"/>
                                </w:rPr>
                                <w:t>зменшення рівня народжуваності</w:t>
                              </w:r>
                            </w:p>
                          </w:txbxContent>
                        </wps:txbx>
                        <wps:bodyPr rot="0" vert="horz" wrap="square" lIns="0" tIns="0" rIns="0" bIns="0" anchor="ctr" anchorCtr="0" upright="1">
                          <a:noAutofit/>
                        </wps:bodyPr>
                      </wps:wsp>
                      <wps:wsp>
                        <wps:cNvPr id="851" name="Text Box 353"/>
                        <wps:cNvSpPr txBox="1">
                          <a:spLocks noChangeArrowheads="1"/>
                        </wps:cNvSpPr>
                        <wps:spPr bwMode="auto">
                          <a:xfrm>
                            <a:off x="6094" y="10796"/>
                            <a:ext cx="2399" cy="417"/>
                          </a:xfrm>
                          <a:prstGeom prst="rect">
                            <a:avLst/>
                          </a:prstGeom>
                          <a:solidFill>
                            <a:srgbClr val="FFFFFF"/>
                          </a:solidFill>
                          <a:ln w="9525">
                            <a:solidFill>
                              <a:srgbClr val="000000"/>
                            </a:solidFill>
                            <a:miter lim="800000"/>
                            <a:headEnd/>
                            <a:tailEnd/>
                          </a:ln>
                        </wps:spPr>
                        <wps:txbx>
                          <w:txbxContent>
                            <w:p w:rsidR="00BE40F8" w:rsidRPr="009B30EA" w:rsidRDefault="00BE40F8" w:rsidP="00B233DE">
                              <w:pPr>
                                <w:ind w:firstLine="0"/>
                                <w:rPr>
                                  <w:rFonts w:ascii="Times New Roman" w:hAnsi="Times New Roman" w:cs="Times New Roman"/>
                                  <w:sz w:val="14"/>
                                  <w:szCs w:val="14"/>
                                </w:rPr>
                              </w:pPr>
                              <w:r w:rsidRPr="009B30EA">
                                <w:rPr>
                                  <w:rFonts w:ascii="Times New Roman" w:hAnsi="Times New Roman" w:cs="Times New Roman"/>
                                  <w:sz w:val="14"/>
                                  <w:szCs w:val="14"/>
                                </w:rPr>
                                <w:t>Втрата трудового потенціалу:</w:t>
                              </w:r>
                              <w:r w:rsidRPr="009B30EA">
                                <w:rPr>
                                  <w:rFonts w:ascii="Times New Roman" w:hAnsi="Times New Roman" w:cs="Times New Roman"/>
                                  <w:sz w:val="14"/>
                                  <w:szCs w:val="14"/>
                                  <w:lang w:val="ru-RU"/>
                                </w:rPr>
                                <w:t xml:space="preserve"> </w:t>
                              </w:r>
                              <w:r w:rsidRPr="009B30EA">
                                <w:rPr>
                                  <w:rFonts w:ascii="Times New Roman" w:hAnsi="Times New Roman" w:cs="Times New Roman"/>
                                  <w:sz w:val="14"/>
                                  <w:szCs w:val="14"/>
                                </w:rPr>
                                <w:t>відтік кваліфікованої робочої сили</w:t>
                              </w:r>
                            </w:p>
                          </w:txbxContent>
                        </wps:txbx>
                        <wps:bodyPr rot="0" vert="horz" wrap="square" lIns="18000" tIns="0" rIns="18000" bIns="0" anchor="t" anchorCtr="0" upright="1">
                          <a:noAutofit/>
                        </wps:bodyPr>
                      </wps:wsp>
                      <wps:wsp>
                        <wps:cNvPr id="852" name="Text Box 354"/>
                        <wps:cNvSpPr txBox="1">
                          <a:spLocks noChangeArrowheads="1"/>
                        </wps:cNvSpPr>
                        <wps:spPr bwMode="auto">
                          <a:xfrm>
                            <a:off x="6094" y="11215"/>
                            <a:ext cx="2399" cy="418"/>
                          </a:xfrm>
                          <a:prstGeom prst="rect">
                            <a:avLst/>
                          </a:prstGeom>
                          <a:solidFill>
                            <a:srgbClr val="FFFFFF"/>
                          </a:solidFill>
                          <a:ln w="9525">
                            <a:solidFill>
                              <a:srgbClr val="000000"/>
                            </a:solidFill>
                            <a:miter lim="800000"/>
                            <a:headEnd/>
                            <a:tailEnd/>
                          </a:ln>
                        </wps:spPr>
                        <wps:txbx>
                          <w:txbxContent>
                            <w:p w:rsidR="00BE40F8" w:rsidRPr="009B30EA" w:rsidRDefault="00BE40F8" w:rsidP="00B233DE">
                              <w:pPr>
                                <w:ind w:firstLine="0"/>
                                <w:jc w:val="center"/>
                                <w:rPr>
                                  <w:rFonts w:ascii="Times New Roman" w:hAnsi="Times New Roman" w:cs="Times New Roman"/>
                                  <w:sz w:val="14"/>
                                  <w:szCs w:val="12"/>
                                </w:rPr>
                              </w:pPr>
                              <w:r w:rsidRPr="009B30EA">
                                <w:rPr>
                                  <w:rFonts w:ascii="Times New Roman" w:hAnsi="Times New Roman" w:cs="Times New Roman"/>
                                  <w:sz w:val="14"/>
                                  <w:szCs w:val="12"/>
                                </w:rPr>
                                <w:t>Втрата інтелектуального потенціалу</w:t>
                              </w:r>
                            </w:p>
                          </w:txbxContent>
                        </wps:txbx>
                        <wps:bodyPr rot="0" vert="horz" wrap="square" lIns="0" tIns="0" rIns="0" bIns="0" anchor="ctr" anchorCtr="0" upright="1">
                          <a:noAutofit/>
                        </wps:bodyPr>
                      </wps:wsp>
                      <wps:wsp>
                        <wps:cNvPr id="853" name="Text Box 355"/>
                        <wps:cNvSpPr txBox="1">
                          <a:spLocks noChangeArrowheads="1"/>
                        </wps:cNvSpPr>
                        <wps:spPr bwMode="auto">
                          <a:xfrm>
                            <a:off x="6094" y="11633"/>
                            <a:ext cx="2399" cy="460"/>
                          </a:xfrm>
                          <a:prstGeom prst="rect">
                            <a:avLst/>
                          </a:prstGeom>
                          <a:solidFill>
                            <a:srgbClr val="FFFFFF"/>
                          </a:solidFill>
                          <a:ln w="9525">
                            <a:solidFill>
                              <a:srgbClr val="000000"/>
                            </a:solidFill>
                            <a:miter lim="800000"/>
                            <a:headEnd/>
                            <a:tailEnd/>
                          </a:ln>
                        </wps:spPr>
                        <wps:txbx>
                          <w:txbxContent>
                            <w:p w:rsidR="00BE40F8" w:rsidRPr="002F266E" w:rsidRDefault="00BE40F8" w:rsidP="00B233DE">
                              <w:pPr>
                                <w:ind w:firstLine="0"/>
                                <w:jc w:val="center"/>
                                <w:rPr>
                                  <w:rFonts w:ascii="Times New Roman" w:hAnsi="Times New Roman" w:cs="Times New Roman"/>
                                  <w:sz w:val="14"/>
                                  <w:szCs w:val="14"/>
                                </w:rPr>
                              </w:pPr>
                              <w:r w:rsidRPr="002F266E">
                                <w:rPr>
                                  <w:rFonts w:ascii="Times New Roman" w:hAnsi="Times New Roman" w:cs="Times New Roman"/>
                                  <w:sz w:val="14"/>
                                  <w:szCs w:val="14"/>
                                </w:rPr>
                                <w:t>Втрата професійно-кваліфікаційного потенціалу</w:t>
                              </w:r>
                            </w:p>
                          </w:txbxContent>
                        </wps:txbx>
                        <wps:bodyPr rot="0" vert="horz" wrap="square" lIns="18000" tIns="10800" rIns="18000" bIns="10800" anchor="t" anchorCtr="0" upright="1">
                          <a:noAutofit/>
                        </wps:bodyPr>
                      </wps:wsp>
                      <wps:wsp>
                        <wps:cNvPr id="854" name="Text Box 356"/>
                        <wps:cNvSpPr txBox="1">
                          <a:spLocks noChangeArrowheads="1"/>
                        </wps:cNvSpPr>
                        <wps:spPr bwMode="auto">
                          <a:xfrm>
                            <a:off x="6094" y="12190"/>
                            <a:ext cx="2399" cy="692"/>
                          </a:xfrm>
                          <a:prstGeom prst="rect">
                            <a:avLst/>
                          </a:prstGeom>
                          <a:solidFill>
                            <a:srgbClr val="FFFFFF"/>
                          </a:solidFill>
                          <a:ln w="9525">
                            <a:solidFill>
                              <a:srgbClr val="000000"/>
                            </a:solidFill>
                            <a:miter lim="800000"/>
                            <a:headEnd/>
                            <a:tailEnd/>
                          </a:ln>
                        </wps:spPr>
                        <wps:txbx>
                          <w:txbxContent>
                            <w:p w:rsidR="00BE40F8" w:rsidRPr="002F266E" w:rsidRDefault="00BE40F8" w:rsidP="00B233DE">
                              <w:pPr>
                                <w:ind w:firstLine="0"/>
                                <w:jc w:val="center"/>
                                <w:rPr>
                                  <w:rFonts w:ascii="Times New Roman" w:hAnsi="Times New Roman" w:cs="Times New Roman"/>
                                  <w:sz w:val="14"/>
                                  <w:szCs w:val="14"/>
                                </w:rPr>
                              </w:pPr>
                              <w:r w:rsidRPr="002F266E">
                                <w:rPr>
                                  <w:rFonts w:ascii="Times New Roman" w:hAnsi="Times New Roman" w:cs="Times New Roman"/>
                                  <w:sz w:val="14"/>
                                  <w:szCs w:val="14"/>
                                </w:rPr>
                                <w:t>Виникнення соціальних перешкод формуванню ЛП:</w:t>
                              </w:r>
                              <w:r>
                                <w:rPr>
                                  <w:rFonts w:ascii="Times New Roman" w:hAnsi="Times New Roman" w:cs="Times New Roman"/>
                                  <w:sz w:val="14"/>
                                  <w:szCs w:val="14"/>
                                </w:rPr>
                                <w:t xml:space="preserve"> </w:t>
                              </w:r>
                              <w:r w:rsidRPr="002F266E">
                                <w:rPr>
                                  <w:rFonts w:ascii="Times New Roman" w:hAnsi="Times New Roman" w:cs="Times New Roman"/>
                                  <w:sz w:val="14"/>
                                  <w:szCs w:val="14"/>
                                </w:rPr>
                                <w:t>розрив сімейних зв’язків</w:t>
                              </w:r>
                            </w:p>
                          </w:txbxContent>
                        </wps:txbx>
                        <wps:bodyPr rot="0" vert="horz" wrap="square" lIns="18000" tIns="0" rIns="18000" bIns="0" anchor="t" anchorCtr="0" upright="1">
                          <a:noAutofit/>
                        </wps:bodyPr>
                      </wps:wsp>
                      <wps:wsp>
                        <wps:cNvPr id="855" name="Line 357"/>
                        <wps:cNvCnPr/>
                        <wps:spPr bwMode="auto">
                          <a:xfrm flipH="1">
                            <a:off x="5493" y="8521"/>
                            <a:ext cx="282" cy="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56" name="Line 358"/>
                        <wps:cNvCnPr/>
                        <wps:spPr bwMode="auto">
                          <a:xfrm flipH="1">
                            <a:off x="5491" y="11901"/>
                            <a:ext cx="282" cy="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57" name="Line 359"/>
                        <wps:cNvCnPr/>
                        <wps:spPr bwMode="auto">
                          <a:xfrm flipH="1">
                            <a:off x="5492" y="7732"/>
                            <a:ext cx="282"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58" name="Line 360"/>
                        <wps:cNvCnPr/>
                        <wps:spPr bwMode="auto">
                          <a:xfrm flipH="1">
                            <a:off x="5459" y="9134"/>
                            <a:ext cx="282"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59" name="Line 361"/>
                        <wps:cNvCnPr/>
                        <wps:spPr bwMode="auto">
                          <a:xfrm flipH="1">
                            <a:off x="5491" y="10349"/>
                            <a:ext cx="282" cy="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60" name="Line 362"/>
                        <wps:cNvCnPr/>
                        <wps:spPr bwMode="auto">
                          <a:xfrm flipH="1">
                            <a:off x="5491" y="10970"/>
                            <a:ext cx="282"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61" name="Line 363"/>
                        <wps:cNvCnPr/>
                        <wps:spPr bwMode="auto">
                          <a:xfrm>
                            <a:off x="5811" y="7312"/>
                            <a:ext cx="1" cy="572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62" name="Line 364"/>
                        <wps:cNvCnPr/>
                        <wps:spPr bwMode="auto">
                          <a:xfrm>
                            <a:off x="5741" y="7308"/>
                            <a:ext cx="1" cy="5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63" name="Line 365"/>
                        <wps:cNvCnPr/>
                        <wps:spPr bwMode="auto">
                          <a:xfrm>
                            <a:off x="5812" y="12331"/>
                            <a:ext cx="282"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64" name="Line 366"/>
                        <wps:cNvCnPr/>
                        <wps:spPr bwMode="auto">
                          <a:xfrm>
                            <a:off x="5810" y="11773"/>
                            <a:ext cx="282"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65" name="Line 367"/>
                        <wps:cNvCnPr/>
                        <wps:spPr bwMode="auto">
                          <a:xfrm>
                            <a:off x="5812" y="11354"/>
                            <a:ext cx="282"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66" name="Line 368"/>
                        <wps:cNvCnPr/>
                        <wps:spPr bwMode="auto">
                          <a:xfrm>
                            <a:off x="5812" y="10984"/>
                            <a:ext cx="282"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67" name="Line 369"/>
                        <wps:cNvCnPr/>
                        <wps:spPr bwMode="auto">
                          <a:xfrm>
                            <a:off x="5812" y="13035"/>
                            <a:ext cx="282"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68" name="Line 370"/>
                        <wps:cNvCnPr/>
                        <wps:spPr bwMode="auto">
                          <a:xfrm>
                            <a:off x="5812" y="10351"/>
                            <a:ext cx="282"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69" name="Line 371"/>
                        <wps:cNvCnPr/>
                        <wps:spPr bwMode="auto">
                          <a:xfrm>
                            <a:off x="5812" y="9821"/>
                            <a:ext cx="282"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70" name="Line 372"/>
                        <wps:cNvCnPr/>
                        <wps:spPr bwMode="auto">
                          <a:xfrm>
                            <a:off x="5812" y="8306"/>
                            <a:ext cx="282" cy="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71" name="Line 373"/>
                        <wps:cNvCnPr/>
                        <wps:spPr bwMode="auto">
                          <a:xfrm>
                            <a:off x="5810" y="7733"/>
                            <a:ext cx="282"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72" name="Line 374"/>
                        <wps:cNvCnPr/>
                        <wps:spPr bwMode="auto">
                          <a:xfrm>
                            <a:off x="5810" y="8982"/>
                            <a:ext cx="282"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73" name="Line 375"/>
                        <wps:cNvCnPr>
                          <a:stCxn id="807" idx="3"/>
                          <a:endCxn id="821" idx="1"/>
                        </wps:cNvCnPr>
                        <wps:spPr bwMode="auto">
                          <a:xfrm>
                            <a:off x="3269" y="3456"/>
                            <a:ext cx="141" cy="2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74" name="Line 376"/>
                        <wps:cNvCnPr>
                          <a:endCxn id="825" idx="1"/>
                        </wps:cNvCnPr>
                        <wps:spPr bwMode="auto">
                          <a:xfrm>
                            <a:off x="3269" y="4245"/>
                            <a:ext cx="141"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75" name="Line 377"/>
                        <wps:cNvCnPr/>
                        <wps:spPr bwMode="auto">
                          <a:xfrm>
                            <a:off x="3409" y="4851"/>
                            <a:ext cx="84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76" name="Line 378"/>
                        <wps:cNvCnPr/>
                        <wps:spPr bwMode="auto">
                          <a:xfrm>
                            <a:off x="3128" y="5640"/>
                            <a:ext cx="112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77" name="Line 379"/>
                        <wps:cNvCnPr/>
                        <wps:spPr bwMode="auto">
                          <a:xfrm>
                            <a:off x="2846" y="7592"/>
                            <a:ext cx="141"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78" name="Line 380"/>
                        <wps:cNvCnPr/>
                        <wps:spPr bwMode="auto">
                          <a:xfrm>
                            <a:off x="2846" y="8519"/>
                            <a:ext cx="141" cy="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79" name="Line 381"/>
                        <wps:cNvCnPr/>
                        <wps:spPr bwMode="auto">
                          <a:xfrm>
                            <a:off x="2847" y="9150"/>
                            <a:ext cx="141"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0" name="Line 382"/>
                        <wps:cNvCnPr/>
                        <wps:spPr bwMode="auto">
                          <a:xfrm>
                            <a:off x="2846" y="9543"/>
                            <a:ext cx="141" cy="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1" name="Line 383"/>
                        <wps:cNvCnPr/>
                        <wps:spPr bwMode="auto">
                          <a:xfrm>
                            <a:off x="2846" y="10240"/>
                            <a:ext cx="141" cy="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2" name="Line 384"/>
                        <wps:cNvCnPr/>
                        <wps:spPr bwMode="auto">
                          <a:xfrm>
                            <a:off x="2846" y="10937"/>
                            <a:ext cx="141"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3" name="Line 385"/>
                        <wps:cNvCnPr/>
                        <wps:spPr bwMode="auto">
                          <a:xfrm>
                            <a:off x="2846" y="11773"/>
                            <a:ext cx="141"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4" name="Line 386"/>
                        <wps:cNvCnPr/>
                        <wps:spPr bwMode="auto">
                          <a:xfrm flipH="1">
                            <a:off x="8493" y="7592"/>
                            <a:ext cx="141"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5" name="Line 387"/>
                        <wps:cNvCnPr/>
                        <wps:spPr bwMode="auto">
                          <a:xfrm flipH="1">
                            <a:off x="8493" y="8308"/>
                            <a:ext cx="141"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6" name="Line 388"/>
                        <wps:cNvCnPr/>
                        <wps:spPr bwMode="auto">
                          <a:xfrm>
                            <a:off x="8493" y="8846"/>
                            <a:ext cx="141"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7" name="Line 389"/>
                        <wps:cNvCnPr/>
                        <wps:spPr bwMode="auto">
                          <a:xfrm flipH="1">
                            <a:off x="8493" y="9790"/>
                            <a:ext cx="141"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8" name="Line 390"/>
                        <wps:cNvCnPr/>
                        <wps:spPr bwMode="auto">
                          <a:xfrm flipH="1">
                            <a:off x="8493" y="13027"/>
                            <a:ext cx="141"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9" name="Line 391"/>
                        <wps:cNvCnPr/>
                        <wps:spPr bwMode="auto">
                          <a:xfrm flipH="1">
                            <a:off x="8493" y="11355"/>
                            <a:ext cx="141"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0" name="Line 392"/>
                        <wps:cNvCnPr/>
                        <wps:spPr bwMode="auto">
                          <a:xfrm flipH="1">
                            <a:off x="8492" y="10461"/>
                            <a:ext cx="141"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1" name="Line 393"/>
                        <wps:cNvCnPr/>
                        <wps:spPr bwMode="auto">
                          <a:xfrm flipH="1">
                            <a:off x="8493" y="11773"/>
                            <a:ext cx="141"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2" name="Line 394"/>
                        <wps:cNvCnPr/>
                        <wps:spPr bwMode="auto">
                          <a:xfrm flipH="1">
                            <a:off x="8493" y="12330"/>
                            <a:ext cx="141"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3" name="Line 395"/>
                        <wps:cNvCnPr/>
                        <wps:spPr bwMode="auto">
                          <a:xfrm>
                            <a:off x="2846" y="12748"/>
                            <a:ext cx="141"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4" name="Line 396"/>
                        <wps:cNvCnPr/>
                        <wps:spPr bwMode="auto">
                          <a:xfrm flipH="1">
                            <a:off x="5491" y="12887"/>
                            <a:ext cx="282"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5" name="Line 397"/>
                        <wps:cNvCnPr/>
                        <wps:spPr bwMode="auto">
                          <a:xfrm>
                            <a:off x="8492" y="10971"/>
                            <a:ext cx="141"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6" name="Text Box 398"/>
                        <wps:cNvSpPr txBox="1">
                          <a:spLocks noChangeArrowheads="1"/>
                        </wps:cNvSpPr>
                        <wps:spPr bwMode="auto">
                          <a:xfrm>
                            <a:off x="6094" y="12917"/>
                            <a:ext cx="2399" cy="279"/>
                          </a:xfrm>
                          <a:prstGeom prst="rect">
                            <a:avLst/>
                          </a:prstGeom>
                          <a:solidFill>
                            <a:srgbClr val="FFFFFF"/>
                          </a:solidFill>
                          <a:ln w="9525">
                            <a:solidFill>
                              <a:srgbClr val="000000"/>
                            </a:solidFill>
                            <a:miter lim="800000"/>
                            <a:headEnd/>
                            <a:tailEnd/>
                          </a:ln>
                        </wps:spPr>
                        <wps:txbx>
                          <w:txbxContent>
                            <w:p w:rsidR="00BE40F8" w:rsidRPr="002F266E" w:rsidRDefault="00BE40F8" w:rsidP="00B233DE">
                              <w:pPr>
                                <w:ind w:firstLine="0"/>
                                <w:jc w:val="center"/>
                                <w:rPr>
                                  <w:rFonts w:ascii="Times New Roman" w:hAnsi="Times New Roman" w:cs="Times New Roman"/>
                                  <w:sz w:val="14"/>
                                  <w:szCs w:val="14"/>
                                </w:rPr>
                              </w:pPr>
                              <w:r w:rsidRPr="002F266E">
                                <w:rPr>
                                  <w:rFonts w:ascii="Times New Roman" w:hAnsi="Times New Roman" w:cs="Times New Roman"/>
                                  <w:sz w:val="14"/>
                                  <w:szCs w:val="14"/>
                                </w:rPr>
                                <w:t>Знелюднення територій</w:t>
                              </w:r>
                            </w:p>
                          </w:txbxContent>
                        </wps:txbx>
                        <wps:bodyPr rot="0" vert="horz" wrap="square" lIns="18000" tIns="10800" rIns="18000" bIns="10800" anchor="t" anchorCtr="0" upright="1">
                          <a:noAutofit/>
                        </wps:bodyPr>
                      </wps:wsp>
                      <wps:wsp>
                        <wps:cNvPr id="897" name="AutoShape 399"/>
                        <wps:cNvSpPr>
                          <a:spLocks noChangeArrowheads="1"/>
                        </wps:cNvSpPr>
                        <wps:spPr bwMode="auto">
                          <a:xfrm>
                            <a:off x="3693" y="2714"/>
                            <a:ext cx="424" cy="138"/>
                          </a:xfrm>
                          <a:prstGeom prst="downArrow">
                            <a:avLst>
                              <a:gd name="adj1" fmla="val 50000"/>
                              <a:gd name="adj2" fmla="val 25000"/>
                            </a:avLst>
                          </a:prstGeom>
                          <a:solidFill>
                            <a:srgbClr val="FFFFFF"/>
                          </a:solidFill>
                          <a:ln w="15875">
                            <a:solidFill>
                              <a:srgbClr val="000000"/>
                            </a:solidFill>
                            <a:miter lim="800000"/>
                            <a:headEnd/>
                            <a:tailEnd/>
                          </a:ln>
                        </wps:spPr>
                        <wps:bodyPr rot="0" vert="horz" wrap="square" lIns="91440" tIns="45720" rIns="91440" bIns="45720" anchor="t" anchorCtr="0" upright="1">
                          <a:noAutofit/>
                        </wps:bodyPr>
                      </wps:wsp>
                      <wps:wsp>
                        <wps:cNvPr id="898" name="AutoShape 400"/>
                        <wps:cNvSpPr>
                          <a:spLocks noChangeArrowheads="1"/>
                        </wps:cNvSpPr>
                        <wps:spPr bwMode="auto">
                          <a:xfrm>
                            <a:off x="7505" y="2714"/>
                            <a:ext cx="424" cy="137"/>
                          </a:xfrm>
                          <a:prstGeom prst="downArrow">
                            <a:avLst>
                              <a:gd name="adj1" fmla="val 50000"/>
                              <a:gd name="adj2" fmla="val 25000"/>
                            </a:avLst>
                          </a:prstGeom>
                          <a:solidFill>
                            <a:srgbClr val="FFFFFF"/>
                          </a:solidFill>
                          <a:ln w="15875">
                            <a:solidFill>
                              <a:srgbClr val="000000"/>
                            </a:solidFill>
                            <a:miter lim="800000"/>
                            <a:headEnd/>
                            <a:tailEnd/>
                          </a:ln>
                        </wps:spPr>
                        <wps:bodyPr rot="0" vert="horz" wrap="square" lIns="91440" tIns="45720" rIns="91440" bIns="45720" anchor="t" anchorCtr="0" upright="1">
                          <a:noAutofit/>
                        </wps:bodyPr>
                      </wps:wsp>
                      <wps:wsp>
                        <wps:cNvPr id="899" name="Line 401"/>
                        <wps:cNvCnPr/>
                        <wps:spPr bwMode="auto">
                          <a:xfrm>
                            <a:off x="4399" y="3410"/>
                            <a:ext cx="42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0" name="Line 402"/>
                        <wps:cNvCnPr/>
                        <wps:spPr bwMode="auto">
                          <a:xfrm>
                            <a:off x="5810" y="3410"/>
                            <a:ext cx="283"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1" name="Line 403"/>
                        <wps:cNvCnPr/>
                        <wps:spPr bwMode="auto">
                          <a:xfrm>
                            <a:off x="4399" y="4247"/>
                            <a:ext cx="423"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2" name="Line 404"/>
                        <wps:cNvCnPr/>
                        <wps:spPr bwMode="auto">
                          <a:xfrm>
                            <a:off x="5810" y="4247"/>
                            <a:ext cx="567"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3" name="Line 405"/>
                        <wps:cNvCnPr/>
                        <wps:spPr bwMode="auto">
                          <a:xfrm>
                            <a:off x="7363" y="4247"/>
                            <a:ext cx="283"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4" name="AutoShape 406"/>
                        <wps:cNvSpPr>
                          <a:spLocks noChangeArrowheads="1"/>
                        </wps:cNvSpPr>
                        <wps:spPr bwMode="auto">
                          <a:xfrm>
                            <a:off x="4116" y="3829"/>
                            <a:ext cx="424" cy="139"/>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05" name="AutoShape 407"/>
                        <wps:cNvSpPr>
                          <a:spLocks noChangeArrowheads="1"/>
                        </wps:cNvSpPr>
                        <wps:spPr bwMode="auto">
                          <a:xfrm>
                            <a:off x="7222" y="3829"/>
                            <a:ext cx="423" cy="139"/>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06" name="Line 408"/>
                        <wps:cNvCnPr/>
                        <wps:spPr bwMode="auto">
                          <a:xfrm flipV="1">
                            <a:off x="5669" y="4850"/>
                            <a:ext cx="1553"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7" name="AutoShape 409"/>
                        <wps:cNvSpPr>
                          <a:spLocks noChangeArrowheads="1"/>
                        </wps:cNvSpPr>
                        <wps:spPr bwMode="auto">
                          <a:xfrm>
                            <a:off x="4116" y="4525"/>
                            <a:ext cx="424" cy="139"/>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08" name="AutoShape 410"/>
                        <wps:cNvSpPr>
                          <a:spLocks noChangeArrowheads="1"/>
                        </wps:cNvSpPr>
                        <wps:spPr bwMode="auto">
                          <a:xfrm>
                            <a:off x="7222" y="4525"/>
                            <a:ext cx="423" cy="139"/>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09" name="Line 411"/>
                        <wps:cNvCnPr/>
                        <wps:spPr bwMode="auto">
                          <a:xfrm>
                            <a:off x="7081" y="3410"/>
                            <a:ext cx="424"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0" name="Line 412"/>
                        <wps:cNvCnPr/>
                        <wps:spPr bwMode="auto">
                          <a:xfrm>
                            <a:off x="5669" y="5640"/>
                            <a:ext cx="112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1" name="AutoShape 413"/>
                        <wps:cNvSpPr>
                          <a:spLocks noChangeArrowheads="1"/>
                        </wps:cNvSpPr>
                        <wps:spPr bwMode="auto">
                          <a:xfrm>
                            <a:off x="4116" y="5179"/>
                            <a:ext cx="424" cy="192"/>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12" name="AutoShape 414"/>
                        <wps:cNvSpPr>
                          <a:spLocks noChangeArrowheads="1"/>
                        </wps:cNvSpPr>
                        <wps:spPr bwMode="auto">
                          <a:xfrm>
                            <a:off x="7222" y="5179"/>
                            <a:ext cx="424" cy="192"/>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13" name="AutoShape 415"/>
                        <wps:cNvSpPr>
                          <a:spLocks noChangeArrowheads="1"/>
                        </wps:cNvSpPr>
                        <wps:spPr bwMode="auto">
                          <a:xfrm>
                            <a:off x="4116" y="5965"/>
                            <a:ext cx="424" cy="148"/>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14" name="AutoShape 416"/>
                        <wps:cNvSpPr>
                          <a:spLocks noChangeArrowheads="1"/>
                        </wps:cNvSpPr>
                        <wps:spPr bwMode="auto">
                          <a:xfrm>
                            <a:off x="7222" y="5965"/>
                            <a:ext cx="424" cy="148"/>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15" name="AutoShape 417"/>
                        <wps:cNvSpPr>
                          <a:spLocks noChangeArrowheads="1"/>
                        </wps:cNvSpPr>
                        <wps:spPr bwMode="auto">
                          <a:xfrm>
                            <a:off x="6657" y="6711"/>
                            <a:ext cx="425" cy="323"/>
                          </a:xfrm>
                          <a:prstGeom prst="downArrow">
                            <a:avLst>
                              <a:gd name="adj1" fmla="val 50000"/>
                              <a:gd name="adj2" fmla="val 25000"/>
                            </a:avLst>
                          </a:prstGeom>
                          <a:solidFill>
                            <a:srgbClr val="FFFFFF"/>
                          </a:solidFill>
                          <a:ln w="15875">
                            <a:solidFill>
                              <a:srgbClr val="000000"/>
                            </a:solidFill>
                            <a:miter lim="800000"/>
                            <a:headEnd/>
                            <a:tailEnd/>
                          </a:ln>
                        </wps:spPr>
                        <wps:bodyPr rot="0" vert="horz" wrap="square" lIns="91440" tIns="45720" rIns="91440" bIns="45720" anchor="t" anchorCtr="0" upright="1">
                          <a:noAutofit/>
                        </wps:bodyPr>
                      </wps:wsp>
                      <wps:wsp>
                        <wps:cNvPr id="916" name="AutoShape 418"/>
                        <wps:cNvSpPr>
                          <a:spLocks noChangeArrowheads="1"/>
                        </wps:cNvSpPr>
                        <wps:spPr bwMode="auto">
                          <a:xfrm>
                            <a:off x="4399" y="6711"/>
                            <a:ext cx="425" cy="323"/>
                          </a:xfrm>
                          <a:prstGeom prst="downArrow">
                            <a:avLst>
                              <a:gd name="adj1" fmla="val 50000"/>
                              <a:gd name="adj2" fmla="val 25000"/>
                            </a:avLst>
                          </a:prstGeom>
                          <a:solidFill>
                            <a:srgbClr val="FFFFFF"/>
                          </a:solidFill>
                          <a:ln w="15875">
                            <a:solidFill>
                              <a:srgbClr val="000000"/>
                            </a:solidFill>
                            <a:miter lim="800000"/>
                            <a:headEnd/>
                            <a:tailEnd/>
                          </a:ln>
                        </wps:spPr>
                        <wps:bodyPr rot="0" vert="horz" wrap="square" lIns="91440" tIns="45720" rIns="91440" bIns="45720" anchor="t" anchorCtr="0" upright="1">
                          <a:noAutofit/>
                        </wps:bodyPr>
                      </wps:wsp>
                      <wps:wsp>
                        <wps:cNvPr id="917" name="Line 419"/>
                        <wps:cNvCnPr/>
                        <wps:spPr bwMode="auto">
                          <a:xfrm flipH="1">
                            <a:off x="5492" y="9545"/>
                            <a:ext cx="281" cy="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18919FDD" id="Группа 797" o:spid="_x0000_s1595" style="width:310.3pt;height:443.95pt;mso-position-horizontal-relative:char;mso-position-vertical-relative:line" coordorigin="2363,1877" coordsize="6782,113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">
                <v:shape id="Text Box 304" o:spid="_x0000_s1596" type="#_x0000_t202" style="position:absolute;left:2363;top:3177;width:6723;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" filled="f" strokeweight="1pt">
                  <v:stroke dashstyle="longDash"/>
                  <v:textbox>
                    <w:txbxContent>
                      <w:p w:rsidR="00BE40F8" w:rsidRPr="00B4285A" w:rsidRDefault="00BE40F8" w:rsidP="00B233DE">
                        <w:pPr>
                          <w:rPr>
                            <w:rFonts w:ascii="Calibri" w:hAnsi="Calibri"/>
                            <w:sz w:val="12"/>
                            <w:szCs w:val="12"/>
                          </w:rPr>
                        </w:pPr>
                      </w:p>
                    </w:txbxContent>
                  </v:textbox>
                </v:shape>
                <v:rect id="Rectangle 300" o:spid="_x0000_s1597" style="position:absolute;left:2378;top:6154;width:6723;height: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" strokeweight="1pt">
                  <v:fill opacity="0"/>
                  <v:stroke dashstyle="longDash"/>
                </v:rect>
                <v:rect id="Rectangle 301" o:spid="_x0000_s1598" style="position:absolute;left:2422;top:5277;width:6723;height: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" strokeweight="1pt">
                  <v:fill opacity="0"/>
                  <v:stroke dashstyle="longDash"/>
                </v:rect>
                <v:rect id="Rectangle 302" o:spid="_x0000_s1599" style="position:absolute;left:2378;top:4525;width:6723;height: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" strokeweight="1pt">
                  <v:fill opacity="0"/>
                  <v:stroke dashstyle="longDash"/>
                </v:rect>
                <v:shape id="Text Box 303" o:spid="_x0000_s1600" type="#_x0000_t202" style="position:absolute;left:2378;top:3829;width:6723;height:6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" strokeweight="1pt">
                  <v:fill opacity="0"/>
                  <v:stroke dashstyle="longDash"/>
                  <v:textbox inset="0,0,0,0">
                    <w:txbxContent>
                      <w:p w:rsidR="00BE40F8" w:rsidRPr="00B4285A" w:rsidRDefault="00BE40F8" w:rsidP="00B233DE">
                        <w:pPr>
                          <w:rPr>
                            <w:rFonts w:ascii="Calibri" w:hAnsi="Calibri"/>
                            <w:sz w:val="12"/>
                            <w:szCs w:val="12"/>
                          </w:rPr>
                        </w:pPr>
                      </w:p>
                    </w:txbxContent>
                  </v:textbox>
                </v:shape>
                <v:shape id="Text Box 305" o:spid="_x0000_s1601" type="#_x0000_t202" style="position:absolute;left:2987;top:12470;width:2504;height:6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">
                  <v:textbox inset="0,0,0,0">
                    <w:txbxContent>
                      <w:p w:rsidR="00BE40F8" w:rsidRPr="0039454F" w:rsidRDefault="00BE40F8" w:rsidP="00B233DE">
                        <w:pPr>
                          <w:ind w:firstLine="0"/>
                          <w:jc w:val="both"/>
                          <w:rPr>
                            <w:rFonts w:ascii="Times New Roman" w:hAnsi="Times New Roman" w:cs="Times New Roman"/>
                            <w:sz w:val="14"/>
                            <w:szCs w:val="14"/>
                          </w:rPr>
                        </w:pPr>
                        <w:r w:rsidRPr="0039454F">
                          <w:rPr>
                            <w:rFonts w:ascii="Times New Roman" w:hAnsi="Times New Roman" w:cs="Times New Roman"/>
                            <w:spacing w:val="-4"/>
                            <w:sz w:val="14"/>
                            <w:szCs w:val="14"/>
                          </w:rPr>
                          <w:t>Підвищення інтелектуального та освіт</w:t>
                        </w:r>
                        <w:r w:rsidRPr="0039454F">
                          <w:rPr>
                            <w:rFonts w:ascii="Times New Roman" w:hAnsi="Times New Roman" w:cs="Times New Roman"/>
                            <w:spacing w:val="-4"/>
                            <w:sz w:val="14"/>
                            <w:szCs w:val="14"/>
                            <w:lang w:val="ru-RU"/>
                          </w:rPr>
                          <w:t>-</w:t>
                        </w:r>
                        <w:r w:rsidRPr="0039454F">
                          <w:rPr>
                            <w:rFonts w:ascii="Times New Roman" w:hAnsi="Times New Roman" w:cs="Times New Roman"/>
                            <w:sz w:val="14"/>
                            <w:szCs w:val="14"/>
                          </w:rPr>
                          <w:t>нього потенціалу:</w:t>
                        </w:r>
                        <w:r w:rsidRPr="0039454F">
                          <w:rPr>
                            <w:rFonts w:ascii="Times New Roman" w:hAnsi="Times New Roman" w:cs="Times New Roman"/>
                            <w:sz w:val="14"/>
                            <w:szCs w:val="14"/>
                            <w:lang w:val="ru-RU"/>
                          </w:rPr>
                          <w:t xml:space="preserve"> </w:t>
                        </w:r>
                        <w:r w:rsidRPr="0039454F">
                          <w:rPr>
                            <w:rFonts w:ascii="Times New Roman" w:hAnsi="Times New Roman" w:cs="Times New Roman"/>
                            <w:sz w:val="14"/>
                            <w:szCs w:val="14"/>
                          </w:rPr>
                          <w:t>передача знань, технологій, ноу-хау</w:t>
                        </w:r>
                      </w:p>
                      <w:p w:rsidR="00BE40F8" w:rsidRPr="00B4285A" w:rsidRDefault="00BE40F8" w:rsidP="00B233DE">
                        <w:pPr>
                          <w:rPr>
                            <w:rFonts w:ascii="Calibri" w:hAnsi="Calibri"/>
                            <w:sz w:val="12"/>
                            <w:szCs w:val="12"/>
                          </w:rPr>
                        </w:pPr>
                      </w:p>
                    </w:txbxContent>
                  </v:textbox>
                </v:shape>
                <v:shape id="Text Box 306" o:spid="_x0000_s1602" type="#_x0000_t202" style="position:absolute;left:2422;top:9821;width:424;height:32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">
                  <v:textbox style="layout-flow:vertical;mso-layout-flow-alt:bottom-to-top" inset="0,0,0,0">
                    <w:txbxContent>
                      <w:p w:rsidR="00BE40F8" w:rsidRPr="00C870EE" w:rsidRDefault="00BE40F8" w:rsidP="00B233DE">
                        <w:pPr>
                          <w:ind w:firstLine="0"/>
                          <w:jc w:val="center"/>
                          <w:rPr>
                            <w:rFonts w:ascii="Times New Roman" w:hAnsi="Times New Roman" w:cs="Times New Roman"/>
                            <w:sz w:val="14"/>
                            <w:szCs w:val="12"/>
                          </w:rPr>
                        </w:pPr>
                        <w:r w:rsidRPr="00C870EE">
                          <w:rPr>
                            <w:rFonts w:ascii="Times New Roman" w:hAnsi="Times New Roman" w:cs="Times New Roman"/>
                            <w:sz w:val="14"/>
                            <w:szCs w:val="12"/>
                          </w:rPr>
                          <w:t>Позитивні для країн походження</w:t>
                        </w:r>
                      </w:p>
                    </w:txbxContent>
                  </v:textbox>
                </v:shape>
                <v:shape id="Text Box 307" o:spid="_x0000_s1603" type="#_x0000_t202" style="position:absolute;left:8632;top:9960;width:423;height:32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">
                  <v:textbox style="layout-flow:vertical" inset="0,0,0,0">
                    <w:txbxContent>
                      <w:p w:rsidR="00BE40F8" w:rsidRPr="00E21B8C" w:rsidRDefault="00BE40F8" w:rsidP="00B233DE">
                        <w:pPr>
                          <w:ind w:firstLine="0"/>
                          <w:jc w:val="center"/>
                          <w:rPr>
                            <w:rFonts w:ascii="Times New Roman" w:hAnsi="Times New Roman" w:cs="Times New Roman"/>
                            <w:sz w:val="14"/>
                            <w:szCs w:val="12"/>
                          </w:rPr>
                        </w:pPr>
                        <w:r w:rsidRPr="00E21B8C">
                          <w:rPr>
                            <w:rFonts w:ascii="Times New Roman" w:hAnsi="Times New Roman" w:cs="Times New Roman"/>
                            <w:sz w:val="14"/>
                            <w:szCs w:val="12"/>
                          </w:rPr>
                          <w:t>Негативні для країн походження</w:t>
                        </w:r>
                      </w:p>
                    </w:txbxContent>
                  </v:textbox>
                </v:shape>
                <v:shape id="Text Box 308" o:spid="_x0000_s1604" type="#_x0000_t202" style="position:absolute;left:2422;top:3829;width:847;height: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">
                  <v:textbox style="layout-flow:vertical;mso-layout-flow-alt:bottom-to-top" inset=".5mm,.3mm,.5mm,.3mm">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За часом</w:t>
                        </w:r>
                      </w:p>
                    </w:txbxContent>
                  </v:textbox>
                </v:shape>
                <v:shape id="Text Box 309" o:spid="_x0000_s1605" type="#_x0000_t202" style="position:absolute;left:2422;top:3177;width:847;height:5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">
                  <v:textbox style="layout-flow:vertical;mso-layout-flow-alt:bottom-to-top" inset="0,0,0,0">
                    <w:txbxContent>
                      <w:p w:rsidR="00BE40F8" w:rsidRPr="002B7C60" w:rsidRDefault="00BE40F8" w:rsidP="00B233DE">
                        <w:pPr>
                          <w:ind w:firstLine="0"/>
                          <w:jc w:val="center"/>
                          <w:rPr>
                            <w:rFonts w:ascii="Times New Roman" w:hAnsi="Times New Roman" w:cs="Times New Roman"/>
                            <w:sz w:val="14"/>
                            <w:szCs w:val="14"/>
                          </w:rPr>
                        </w:pPr>
                        <w:r w:rsidRPr="002B7C60">
                          <w:rPr>
                            <w:rFonts w:ascii="Times New Roman" w:hAnsi="Times New Roman" w:cs="Times New Roman"/>
                            <w:sz w:val="14"/>
                            <w:szCs w:val="14"/>
                          </w:rPr>
                          <w:t>За на</w:t>
                        </w:r>
                        <w:r>
                          <w:rPr>
                            <w:rFonts w:ascii="Times New Roman" w:hAnsi="Times New Roman" w:cs="Times New Roman"/>
                            <w:sz w:val="14"/>
                            <w:szCs w:val="14"/>
                          </w:rPr>
                          <w:t>-</w:t>
                        </w:r>
                        <w:r w:rsidRPr="002B7C60">
                          <w:rPr>
                            <w:rFonts w:ascii="Times New Roman" w:hAnsi="Times New Roman" w:cs="Times New Roman"/>
                            <w:sz w:val="14"/>
                            <w:szCs w:val="14"/>
                          </w:rPr>
                          <w:t>пря-мом руху</w:t>
                        </w:r>
                      </w:p>
                    </w:txbxContent>
                  </v:textbox>
                </v:shape>
                <v:shape id="Text Box 310" o:spid="_x0000_s1606" type="#_x0000_t202" style="position:absolute;left:2422;top:4525;width:987;height: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">
                  <v:textbox style="layout-flow:vertical;mso-layout-flow-alt:bottom-to-top" inset=".5mm,.3mm,.5mm,.3mm">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За організацією</w:t>
                        </w:r>
                      </w:p>
                    </w:txbxContent>
                  </v:textbox>
                </v:shape>
                <v:shape id="Text Box 311" o:spid="_x0000_s1607" type="#_x0000_t202" style="position:absolute;left:2422;top:5277;width:706;height: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">
                  <v:textbox style="layout-flow:vertical;mso-layout-flow-alt:bottom-to-top" inset="1.5mm,.3mm,1.5mm,.3mm">
                    <w:txbxContent>
                      <w:p w:rsidR="00BE40F8" w:rsidRPr="00C870EE" w:rsidRDefault="00BE40F8" w:rsidP="00B233DE">
                        <w:pPr>
                          <w:ind w:firstLine="0"/>
                          <w:jc w:val="center"/>
                          <w:rPr>
                            <w:rFonts w:ascii="Times New Roman" w:hAnsi="Times New Roman" w:cs="Times New Roman"/>
                            <w:sz w:val="14"/>
                            <w:szCs w:val="14"/>
                          </w:rPr>
                        </w:pPr>
                        <w:r w:rsidRPr="00C870EE">
                          <w:rPr>
                            <w:rFonts w:ascii="Times New Roman" w:hAnsi="Times New Roman" w:cs="Times New Roman"/>
                            <w:sz w:val="14"/>
                            <w:szCs w:val="14"/>
                          </w:rPr>
                          <w:t>За легаль</w:t>
                        </w:r>
                        <w:r>
                          <w:rPr>
                            <w:rFonts w:ascii="Times New Roman" w:hAnsi="Times New Roman" w:cs="Times New Roman"/>
                            <w:sz w:val="14"/>
                            <w:szCs w:val="14"/>
                          </w:rPr>
                          <w:t>-</w:t>
                        </w:r>
                        <w:r w:rsidRPr="00C870EE">
                          <w:rPr>
                            <w:rFonts w:ascii="Times New Roman" w:hAnsi="Times New Roman" w:cs="Times New Roman"/>
                            <w:sz w:val="14"/>
                            <w:szCs w:val="14"/>
                          </w:rPr>
                          <w:t>ним ста</w:t>
                        </w:r>
                        <w:r>
                          <w:rPr>
                            <w:rFonts w:ascii="Times New Roman" w:hAnsi="Times New Roman" w:cs="Times New Roman"/>
                            <w:sz w:val="14"/>
                            <w:szCs w:val="14"/>
                          </w:rPr>
                          <w:t>-</w:t>
                        </w:r>
                        <w:r w:rsidRPr="00C870EE">
                          <w:rPr>
                            <w:rFonts w:ascii="Times New Roman" w:hAnsi="Times New Roman" w:cs="Times New Roman"/>
                            <w:sz w:val="14"/>
                            <w:szCs w:val="14"/>
                          </w:rPr>
                          <w:t>тусом</w:t>
                        </w:r>
                      </w:p>
                    </w:txbxContent>
                  </v:textbox>
                </v:shape>
                <v:shape id="Text Box 312" o:spid="_x0000_s1608" type="#_x0000_t202" style="position:absolute;left:2422;top:6154;width:706;height: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">
                  <v:textbox style="layout-flow:vertical;mso-layout-flow-alt:bottom-to-top" inset=".5mm,.3mm,.5mm,.3mm">
                    <w:txbxContent>
                      <w:p w:rsidR="00BE40F8" w:rsidRPr="00C870EE" w:rsidRDefault="00BE40F8" w:rsidP="00B233DE">
                        <w:pPr>
                          <w:ind w:firstLine="0"/>
                          <w:jc w:val="center"/>
                          <w:rPr>
                            <w:rFonts w:ascii="Times New Roman" w:hAnsi="Times New Roman" w:cs="Times New Roman"/>
                            <w:sz w:val="12"/>
                            <w:szCs w:val="12"/>
                          </w:rPr>
                        </w:pPr>
                        <w:r w:rsidRPr="00C870EE">
                          <w:rPr>
                            <w:rFonts w:ascii="Times New Roman" w:hAnsi="Times New Roman" w:cs="Times New Roman"/>
                            <w:sz w:val="14"/>
                            <w:szCs w:val="12"/>
                          </w:rPr>
                          <w:t>За якісним складом</w:t>
                        </w:r>
                      </w:p>
                    </w:txbxContent>
                  </v:textbox>
                </v:shape>
                <v:shape id="Text Box 313" o:spid="_x0000_s1609" type="#_x0000_t202" style="position:absolute;left:2422;top:1877;width:6635;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" strokeweight="1.25pt">
                  <v:textbox inset=",0,,0">
                    <w:txbxContent>
                      <w:p w:rsidR="00BE40F8" w:rsidRPr="00A577B5" w:rsidRDefault="00BE40F8" w:rsidP="00B233DE">
                        <w:pPr>
                          <w:ind w:firstLine="0"/>
                          <w:jc w:val="center"/>
                          <w:rPr>
                            <w:rFonts w:ascii="Times New Roman" w:hAnsi="Times New Roman" w:cs="Times New Roman"/>
                            <w:b/>
                            <w:spacing w:val="20"/>
                            <w:sz w:val="14"/>
                            <w:szCs w:val="14"/>
                          </w:rPr>
                        </w:pPr>
                        <w:r w:rsidRPr="00A577B5">
                          <w:rPr>
                            <w:rFonts w:ascii="Times New Roman" w:hAnsi="Times New Roman" w:cs="Times New Roman"/>
                            <w:b/>
                            <w:spacing w:val="20"/>
                            <w:sz w:val="14"/>
                            <w:szCs w:val="14"/>
                          </w:rPr>
                          <w:t>Людський потенціал (ЛП)</w:t>
                        </w:r>
                      </w:p>
                    </w:txbxContent>
                  </v:textbox>
                </v:shape>
                <v:shape id="Text Box 314" o:spid="_x0000_s1610" type="#_x0000_t202" style="position:absolute;left:2422;top:2156;width:1694;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">
                  <v:textbox inset=",0,,0">
                    <w:txbxContent>
                      <w:p w:rsidR="00BE40F8" w:rsidRPr="00A577B5" w:rsidRDefault="00BE40F8" w:rsidP="00B233DE">
                        <w:pPr>
                          <w:ind w:firstLine="0"/>
                          <w:jc w:val="center"/>
                          <w:rPr>
                            <w:rFonts w:ascii="Times New Roman" w:hAnsi="Times New Roman" w:cs="Times New Roman"/>
                            <w:sz w:val="14"/>
                            <w:szCs w:val="12"/>
                          </w:rPr>
                        </w:pPr>
                        <w:r w:rsidRPr="00A577B5">
                          <w:rPr>
                            <w:rFonts w:ascii="Times New Roman" w:hAnsi="Times New Roman" w:cs="Times New Roman"/>
                            <w:sz w:val="14"/>
                            <w:szCs w:val="12"/>
                          </w:rPr>
                          <w:t>Демографічний</w:t>
                        </w:r>
                      </w:p>
                    </w:txbxContent>
                  </v:textbox>
                </v:shape>
                <v:shape id="Text Box 315" o:spid="_x0000_s1611" type="#_x0000_t202" style="position:absolute;left:4116;top:2156;width:989;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">
                  <v:textbox inset=".5mm,.3mm,.5mm,.3mm">
                    <w:txbxContent>
                      <w:p w:rsidR="00BE40F8" w:rsidRPr="00A577B5" w:rsidRDefault="00BE40F8" w:rsidP="00B233DE">
                        <w:pPr>
                          <w:ind w:firstLine="0"/>
                          <w:jc w:val="center"/>
                          <w:rPr>
                            <w:rFonts w:ascii="Times New Roman" w:hAnsi="Times New Roman" w:cs="Times New Roman"/>
                            <w:sz w:val="14"/>
                            <w:szCs w:val="12"/>
                          </w:rPr>
                        </w:pPr>
                        <w:r w:rsidRPr="00A577B5">
                          <w:rPr>
                            <w:rFonts w:ascii="Times New Roman" w:hAnsi="Times New Roman" w:cs="Times New Roman"/>
                            <w:sz w:val="14"/>
                            <w:szCs w:val="12"/>
                          </w:rPr>
                          <w:t>Трудовий</w:t>
                        </w:r>
                      </w:p>
                    </w:txbxContent>
                  </v:textbox>
                </v:shape>
                <v:shape id="Text Box 316" o:spid="_x0000_s1612" type="#_x0000_t202" style="position:absolute;left:5105;top:2156;width:1694;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">
                  <v:textbox inset=".5mm,.3mm,.5mm,.3mm">
                    <w:txbxContent>
                      <w:p w:rsidR="00BE40F8" w:rsidRPr="00A577B5" w:rsidRDefault="00BE40F8" w:rsidP="00B233DE">
                        <w:pPr>
                          <w:ind w:firstLine="0"/>
                          <w:jc w:val="center"/>
                          <w:rPr>
                            <w:rFonts w:ascii="Times New Roman" w:hAnsi="Times New Roman" w:cs="Times New Roman"/>
                            <w:sz w:val="14"/>
                            <w:szCs w:val="12"/>
                          </w:rPr>
                        </w:pPr>
                        <w:r w:rsidRPr="00A577B5">
                          <w:rPr>
                            <w:rFonts w:ascii="Times New Roman" w:hAnsi="Times New Roman" w:cs="Times New Roman"/>
                            <w:sz w:val="14"/>
                            <w:szCs w:val="12"/>
                          </w:rPr>
                          <w:t>Потенціал здоров’я</w:t>
                        </w:r>
                      </w:p>
                    </w:txbxContent>
                  </v:textbox>
                </v:shape>
                <v:shape id="Text Box 317" o:spid="_x0000_s1613" type="#_x0000_t202" style="position:absolute;left:6799;top:2156;width:2258;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">
                  <v:textbox inset=",0,,0">
                    <w:txbxContent>
                      <w:p w:rsidR="00BE40F8" w:rsidRPr="00A577B5" w:rsidRDefault="00BE40F8" w:rsidP="00B233DE">
                        <w:pPr>
                          <w:ind w:firstLine="0"/>
                          <w:jc w:val="center"/>
                          <w:rPr>
                            <w:rFonts w:ascii="Times New Roman" w:hAnsi="Times New Roman" w:cs="Times New Roman"/>
                            <w:sz w:val="14"/>
                            <w:szCs w:val="12"/>
                          </w:rPr>
                        </w:pPr>
                        <w:r w:rsidRPr="00A577B5">
                          <w:rPr>
                            <w:rFonts w:ascii="Times New Roman" w:hAnsi="Times New Roman" w:cs="Times New Roman"/>
                            <w:sz w:val="14"/>
                            <w:szCs w:val="12"/>
                          </w:rPr>
                          <w:t>Соціальний</w:t>
                        </w:r>
                      </w:p>
                    </w:txbxContent>
                  </v:textbox>
                </v:shape>
                <v:shape id="Text Box 318" o:spid="_x0000_s1614" type="#_x0000_t202" style="position:absolute;left:2422;top:2435;width:2118;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">
                  <v:textbox inset=",0,,0">
                    <w:txbxContent>
                      <w:p w:rsidR="00BE40F8" w:rsidRPr="00A577B5" w:rsidRDefault="00BE40F8" w:rsidP="00B233DE">
                        <w:pPr>
                          <w:ind w:firstLine="0"/>
                          <w:jc w:val="center"/>
                          <w:rPr>
                            <w:rFonts w:ascii="Times New Roman" w:hAnsi="Times New Roman" w:cs="Times New Roman"/>
                            <w:sz w:val="14"/>
                            <w:szCs w:val="12"/>
                          </w:rPr>
                        </w:pPr>
                        <w:r w:rsidRPr="00A577B5">
                          <w:rPr>
                            <w:rFonts w:ascii="Times New Roman" w:hAnsi="Times New Roman" w:cs="Times New Roman"/>
                            <w:sz w:val="14"/>
                            <w:szCs w:val="12"/>
                          </w:rPr>
                          <w:t>Інтелектуальний</w:t>
                        </w:r>
                      </w:p>
                    </w:txbxContent>
                  </v:textbox>
                </v:shape>
                <v:shape id="Text Box 319" o:spid="_x0000_s1615" type="#_x0000_t202" style="position:absolute;left:4540;top:2435;width:2117;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">
                  <v:textbox inset=".5mm,.3mm,.5mm,.3mm">
                    <w:txbxContent>
                      <w:p w:rsidR="00BE40F8" w:rsidRPr="00A577B5" w:rsidRDefault="00BE40F8" w:rsidP="00B233DE">
                        <w:pPr>
                          <w:ind w:firstLine="0"/>
                          <w:jc w:val="center"/>
                          <w:rPr>
                            <w:rFonts w:ascii="Times New Roman" w:hAnsi="Times New Roman" w:cs="Times New Roman"/>
                            <w:sz w:val="14"/>
                            <w:szCs w:val="12"/>
                          </w:rPr>
                        </w:pPr>
                        <w:r w:rsidRPr="00A577B5">
                          <w:rPr>
                            <w:rFonts w:ascii="Times New Roman" w:hAnsi="Times New Roman" w:cs="Times New Roman"/>
                            <w:sz w:val="14"/>
                            <w:szCs w:val="12"/>
                          </w:rPr>
                          <w:t>Освітньо-кваліфікаційний</w:t>
                        </w:r>
                      </w:p>
                      <w:p w:rsidR="00BE40F8" w:rsidRPr="00B4285A" w:rsidRDefault="00BE40F8" w:rsidP="00B233DE">
                        <w:pPr>
                          <w:rPr>
                            <w:rFonts w:ascii="Calibri" w:hAnsi="Calibri"/>
                            <w:sz w:val="12"/>
                            <w:szCs w:val="12"/>
                          </w:rPr>
                        </w:pPr>
                      </w:p>
                    </w:txbxContent>
                  </v:textbox>
                </v:shape>
                <v:shape id="Text Box 320" o:spid="_x0000_s1616" type="#_x0000_t202" style="position:absolute;left:6657;top:2435;width:1131;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">
                  <v:textbox inset=".5mm,.3mm,.5mm,.3mm">
                    <w:txbxContent>
                      <w:p w:rsidR="00BE40F8" w:rsidRPr="00A577B5" w:rsidRDefault="00BE40F8" w:rsidP="00B233DE">
                        <w:pPr>
                          <w:ind w:firstLine="0"/>
                          <w:jc w:val="center"/>
                          <w:rPr>
                            <w:rFonts w:ascii="Times New Roman" w:hAnsi="Times New Roman" w:cs="Times New Roman"/>
                            <w:sz w:val="14"/>
                            <w:szCs w:val="12"/>
                          </w:rPr>
                        </w:pPr>
                        <w:r w:rsidRPr="00A577B5">
                          <w:rPr>
                            <w:rFonts w:ascii="Times New Roman" w:hAnsi="Times New Roman" w:cs="Times New Roman"/>
                            <w:sz w:val="14"/>
                            <w:szCs w:val="12"/>
                          </w:rPr>
                          <w:t>Життєвий</w:t>
                        </w:r>
                      </w:p>
                    </w:txbxContent>
                  </v:textbox>
                </v:shape>
                <v:shape id="Text Box 321" o:spid="_x0000_s1617" type="#_x0000_t202" style="position:absolute;left:7787;top:2435;width:1269;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">
                  <v:textbox inset=",0,,0">
                    <w:txbxContent>
                      <w:p w:rsidR="00BE40F8" w:rsidRPr="00A577B5" w:rsidRDefault="00BE40F8" w:rsidP="00B233DE">
                        <w:pPr>
                          <w:ind w:firstLine="0"/>
                          <w:jc w:val="center"/>
                          <w:rPr>
                            <w:rFonts w:ascii="Times New Roman" w:hAnsi="Times New Roman" w:cs="Times New Roman"/>
                            <w:sz w:val="14"/>
                            <w:szCs w:val="12"/>
                          </w:rPr>
                        </w:pPr>
                        <w:r w:rsidRPr="00A577B5">
                          <w:rPr>
                            <w:rFonts w:ascii="Times New Roman" w:hAnsi="Times New Roman" w:cs="Times New Roman"/>
                            <w:sz w:val="14"/>
                            <w:szCs w:val="12"/>
                          </w:rPr>
                          <w:t>Культурний</w:t>
                        </w:r>
                      </w:p>
                    </w:txbxContent>
                  </v:textbox>
                </v:shape>
                <v:shape id="Text Box 322" o:spid="_x0000_s1618" type="#_x0000_t202" style="position:absolute;left:2422;top:2853;width:6635;height: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" strokeweight="1.25pt">
                  <v:textbox inset="0,0,0,0">
                    <w:txbxContent>
                      <w:p w:rsidR="00BE40F8" w:rsidRPr="00A577B5" w:rsidRDefault="00BE40F8" w:rsidP="00B233DE">
                        <w:pPr>
                          <w:ind w:firstLine="0"/>
                          <w:jc w:val="center"/>
                          <w:rPr>
                            <w:rFonts w:ascii="Times New Roman Полужирный" w:hAnsi="Times New Roman Полужирный" w:cs="Times New Roman"/>
                            <w:b/>
                            <w:sz w:val="14"/>
                            <w:szCs w:val="12"/>
                          </w:rPr>
                        </w:pPr>
                        <w:r w:rsidRPr="00A577B5">
                          <w:rPr>
                            <w:rFonts w:ascii="Times New Roman Полужирный" w:hAnsi="Times New Roman Полужирный" w:cs="Times New Roman"/>
                            <w:b/>
                            <w:sz w:val="14"/>
                            <w:szCs w:val="12"/>
                          </w:rPr>
                          <w:t>Шляхи міграційного перерозподілу складових людського потенціалу за видами міграції</w:t>
                        </w:r>
                      </w:p>
                    </w:txbxContent>
                  </v:textbox>
                </v:shape>
                <v:shape id="Text Box 323" o:spid="_x0000_s1619" type="#_x0000_t202" style="position:absolute;left:3410;top:3271;width:989;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">
                  <v:textbox>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Еміграція</w:t>
                        </w:r>
                      </w:p>
                    </w:txbxContent>
                  </v:textbox>
                </v:shape>
                <v:shape id="Text Box 324" o:spid="_x0000_s1620" type="#_x0000_t202" style="position:absolute;left:4822;top:3271;width:989;height:4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">
                  <v:textbox inset="0,0,0,0">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Імміграція</w:t>
                        </w:r>
                      </w:p>
                    </w:txbxContent>
                  </v:textbox>
                </v:shape>
                <v:shape id="Text Box 325" o:spid="_x0000_s1621" type="#_x0000_t202" style="position:absolute;left:6093;top:3271;width:989;height:4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">
                  <v:textbox inset="0,0,0,0">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Рееміграція</w:t>
                        </w:r>
                      </w:p>
                    </w:txbxContent>
                  </v:textbox>
                </v:shape>
                <v:shape id="Text Box 326" o:spid="_x0000_s1622" type="#_x0000_t202" style="position:absolute;left:7505;top:3271;width:1553;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">
                  <v:textbox>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Циклічна міграція</w:t>
                        </w:r>
                      </w:p>
                    </w:txbxContent>
                  </v:textbox>
                </v:shape>
                <v:shape id="Text Box 327" o:spid="_x0000_s1623" type="#_x0000_t202" style="position:absolute;left:3410;top:4107;width:989;height: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">
                  <v:textbox inset=".5mm,.3mm,.5mm,.3mm">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Постійна</w:t>
                        </w:r>
                      </w:p>
                    </w:txbxContent>
                  </v:textbox>
                </v:shape>
                <v:shape id="Text Box 328" o:spid="_x0000_s1624" type="#_x0000_t202" style="position:absolute;left:4822;top:4107;width:988;height: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">
                  <v:textbox inset=".5mm,.3mm,.5mm,.3mm">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Тимчасова</w:t>
                        </w:r>
                      </w:p>
                    </w:txbxContent>
                  </v:textbox>
                </v:shape>
                <v:shape id="Text Box 329" o:spid="_x0000_s1625" type="#_x0000_t202" style="position:absolute;left:6375;top:4107;width:989;height: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">
                  <v:textbox inset=".5mm,.3mm,.5mm,.3mm">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Сезонна</w:t>
                        </w:r>
                      </w:p>
                    </w:txbxContent>
                  </v:textbox>
                </v:shape>
                <v:shape id="Text Box 330" o:spid="_x0000_s1626" type="#_x0000_t202" style="position:absolute;left:7646;top:4107;width:1412;height: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">
                  <v:textbox inset=".5mm,.3mm,.5mm,.3mm">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Маятникова</w:t>
                        </w:r>
                      </w:p>
                    </w:txbxContent>
                  </v:textbox>
                </v:shape>
                <v:shape id="Text Box 331" o:spid="_x0000_s1627" type="#_x0000_t202" style="position:absolute;left:4257;top:4753;width:1411;height: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">
                  <v:textbox inset=",0,,0">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Добровільна</w:t>
                        </w:r>
                      </w:p>
                    </w:txbxContent>
                  </v:textbox>
                </v:shape>
                <v:shape id="Text Box 332" o:spid="_x0000_s1628" type="#_x0000_t202" style="position:absolute;left:7222;top:4753;width:1411;height: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">
                  <v:textbox inset=",0,,0">
                    <w:txbxContent>
                      <w:p w:rsidR="00BE40F8" w:rsidRPr="002B7C60" w:rsidRDefault="00BE40F8" w:rsidP="00B233DE">
                        <w:pPr>
                          <w:ind w:firstLine="0"/>
                          <w:jc w:val="center"/>
                          <w:rPr>
                            <w:rFonts w:ascii="Times New Roman" w:hAnsi="Times New Roman" w:cs="Times New Roman"/>
                            <w:sz w:val="14"/>
                            <w:szCs w:val="12"/>
                          </w:rPr>
                        </w:pPr>
                        <w:r w:rsidRPr="002B7C60">
                          <w:rPr>
                            <w:rFonts w:ascii="Times New Roman" w:hAnsi="Times New Roman" w:cs="Times New Roman"/>
                            <w:sz w:val="14"/>
                            <w:szCs w:val="12"/>
                          </w:rPr>
                          <w:t>Вимушена</w:t>
                        </w:r>
                      </w:p>
                    </w:txbxContent>
                  </v:textbox>
                </v:shape>
                <v:shape id="Text Box 333" o:spid="_x0000_s1629" type="#_x0000_t202" style="position:absolute;left:4257;top:5501;width:1411;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">
                  <v:textbox inset=".5mm,.3mm,.5mm,.3mm">
                    <w:txbxContent>
                      <w:p w:rsidR="00BE40F8" w:rsidRPr="00C870EE" w:rsidRDefault="00BE40F8" w:rsidP="00B233DE">
                        <w:pPr>
                          <w:ind w:firstLine="0"/>
                          <w:jc w:val="center"/>
                          <w:rPr>
                            <w:rFonts w:ascii="Times New Roman" w:hAnsi="Times New Roman" w:cs="Times New Roman"/>
                            <w:sz w:val="14"/>
                            <w:szCs w:val="12"/>
                          </w:rPr>
                        </w:pPr>
                        <w:r w:rsidRPr="00C870EE">
                          <w:rPr>
                            <w:rFonts w:ascii="Times New Roman" w:hAnsi="Times New Roman" w:cs="Times New Roman"/>
                            <w:sz w:val="14"/>
                            <w:szCs w:val="12"/>
                          </w:rPr>
                          <w:t>Легальна</w:t>
                        </w:r>
                      </w:p>
                    </w:txbxContent>
                  </v:textbox>
                </v:shape>
                <v:shape id="Text Box 334" o:spid="_x0000_s1630" type="#_x0000_t202" style="position:absolute;left:6799;top:5501;width:1411;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">
                  <v:textbox inset=".5mm,.3mm,.5mm,.3mm">
                    <w:txbxContent>
                      <w:p w:rsidR="00BE40F8" w:rsidRPr="00C870EE" w:rsidRDefault="00BE40F8" w:rsidP="00B233DE">
                        <w:pPr>
                          <w:ind w:firstLine="0"/>
                          <w:jc w:val="center"/>
                          <w:rPr>
                            <w:rFonts w:ascii="Times New Roman" w:hAnsi="Times New Roman" w:cs="Times New Roman"/>
                            <w:sz w:val="14"/>
                            <w:szCs w:val="12"/>
                          </w:rPr>
                        </w:pPr>
                        <w:r w:rsidRPr="00C870EE">
                          <w:rPr>
                            <w:rFonts w:ascii="Times New Roman" w:hAnsi="Times New Roman" w:cs="Times New Roman"/>
                            <w:sz w:val="14"/>
                            <w:szCs w:val="12"/>
                          </w:rPr>
                          <w:t>Нелегальна</w:t>
                        </w:r>
                      </w:p>
                    </w:txbxContent>
                  </v:textbox>
                </v:shape>
                <v:shape id="Text Box 335" o:spid="_x0000_s1631" type="#_x0000_t202" style="position:absolute;left:3269;top:6241;width:1553;height:4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">
                  <v:textbox inset="0,0,0,0">
                    <w:txbxContent>
                      <w:p w:rsidR="00BE40F8" w:rsidRPr="00C870EE" w:rsidRDefault="00BE40F8" w:rsidP="00B233DE">
                        <w:pPr>
                          <w:ind w:firstLine="0"/>
                          <w:jc w:val="center"/>
                          <w:rPr>
                            <w:rFonts w:ascii="Times New Roman" w:hAnsi="Times New Roman" w:cs="Times New Roman"/>
                            <w:sz w:val="14"/>
                            <w:szCs w:val="12"/>
                          </w:rPr>
                        </w:pPr>
                        <w:r w:rsidRPr="00C870EE">
                          <w:rPr>
                            <w:rFonts w:ascii="Times New Roman" w:hAnsi="Times New Roman" w:cs="Times New Roman"/>
                            <w:sz w:val="14"/>
                            <w:szCs w:val="12"/>
                          </w:rPr>
                          <w:t>Висококваліфікова</w:t>
                        </w:r>
                        <w:r w:rsidRPr="00C870EE">
                          <w:rPr>
                            <w:rFonts w:ascii="Times New Roman" w:hAnsi="Times New Roman" w:cs="Times New Roman"/>
                            <w:sz w:val="14"/>
                            <w:szCs w:val="14"/>
                          </w:rPr>
                          <w:t xml:space="preserve">них </w:t>
                        </w:r>
                        <w:r w:rsidRPr="00C870EE">
                          <w:rPr>
                            <w:rFonts w:ascii="Times New Roman" w:hAnsi="Times New Roman" w:cs="Times New Roman"/>
                            <w:sz w:val="14"/>
                            <w:szCs w:val="12"/>
                          </w:rPr>
                          <w:t>працівників</w:t>
                        </w:r>
                      </w:p>
                    </w:txbxContent>
                  </v:textbox>
                </v:shape>
                <v:shape id="Text Box 336" o:spid="_x0000_s1632" type="#_x0000_t202" style="position:absolute;left:5105;top:6241;width:1976;height:4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">
                  <v:textbox inset="0,0,0,0">
                    <w:txbxContent>
                      <w:p w:rsidR="00BE40F8" w:rsidRPr="00C870EE" w:rsidRDefault="00BE40F8" w:rsidP="00B233DE">
                        <w:pPr>
                          <w:ind w:firstLine="0"/>
                          <w:jc w:val="center"/>
                          <w:rPr>
                            <w:rFonts w:ascii="Times New Roman" w:hAnsi="Times New Roman" w:cs="Times New Roman"/>
                            <w:sz w:val="14"/>
                            <w:szCs w:val="12"/>
                          </w:rPr>
                        </w:pPr>
                        <w:r w:rsidRPr="00C870EE">
                          <w:rPr>
                            <w:rFonts w:ascii="Times New Roman" w:hAnsi="Times New Roman" w:cs="Times New Roman"/>
                            <w:sz w:val="14"/>
                            <w:szCs w:val="12"/>
                          </w:rPr>
                          <w:t>Працівників середньої</w:t>
                        </w:r>
                        <w:r w:rsidRPr="00C870EE">
                          <w:rPr>
                            <w:rFonts w:ascii="Calibri" w:hAnsi="Calibri"/>
                            <w:sz w:val="14"/>
                            <w:szCs w:val="12"/>
                          </w:rPr>
                          <w:t xml:space="preserve"> </w:t>
                        </w:r>
                        <w:r w:rsidRPr="00C870EE">
                          <w:rPr>
                            <w:rFonts w:ascii="Times New Roman" w:hAnsi="Times New Roman" w:cs="Times New Roman"/>
                            <w:sz w:val="14"/>
                            <w:szCs w:val="12"/>
                          </w:rPr>
                          <w:t>кваліфікації</w:t>
                        </w:r>
                      </w:p>
                    </w:txbxContent>
                  </v:textbox>
                </v:shape>
                <v:shape id="Text Box 337" o:spid="_x0000_s1633" type="#_x0000_t202" style="position:absolute;left:7363;top:6241;width:1554;height:4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">
                  <v:textbox inset="0,0,0,0">
                    <w:txbxContent>
                      <w:p w:rsidR="00BE40F8" w:rsidRPr="00C870EE" w:rsidRDefault="00BE40F8" w:rsidP="00B233DE">
                        <w:pPr>
                          <w:ind w:firstLine="0"/>
                          <w:jc w:val="center"/>
                          <w:rPr>
                            <w:rFonts w:ascii="Times New Roman" w:hAnsi="Times New Roman" w:cs="Times New Roman"/>
                            <w:sz w:val="14"/>
                            <w:szCs w:val="12"/>
                          </w:rPr>
                        </w:pPr>
                        <w:r w:rsidRPr="00C870EE">
                          <w:rPr>
                            <w:rFonts w:ascii="Times New Roman" w:hAnsi="Times New Roman" w:cs="Times New Roman"/>
                            <w:sz w:val="14"/>
                            <w:szCs w:val="12"/>
                          </w:rPr>
                          <w:t>Низькокваліфікованих працівників</w:t>
                        </w:r>
                      </w:p>
                    </w:txbxContent>
                  </v:textbox>
                </v:shape>
                <v:shape id="Text Box 338" o:spid="_x0000_s1634" type="#_x0000_t202" style="position:absolute;left:2422;top:7034;width:6635;height: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" strokeweight="1.25pt">
                  <v:fill opacity="0"/>
                  <v:textbox inset=",0,,0">
                    <w:txbxContent>
                      <w:p w:rsidR="00BE40F8" w:rsidRPr="00C870EE" w:rsidRDefault="00BE40F8" w:rsidP="00B233DE">
                        <w:pPr>
                          <w:jc w:val="center"/>
                          <w:rPr>
                            <w:rFonts w:ascii="Times New Roman" w:hAnsi="Times New Roman" w:cs="Times New Roman"/>
                            <w:b/>
                            <w:spacing w:val="20"/>
                            <w:sz w:val="14"/>
                            <w:szCs w:val="12"/>
                          </w:rPr>
                        </w:pPr>
                        <w:r w:rsidRPr="00C870EE">
                          <w:rPr>
                            <w:rFonts w:ascii="Times New Roman" w:hAnsi="Times New Roman" w:cs="Times New Roman"/>
                            <w:b/>
                            <w:spacing w:val="20"/>
                            <w:sz w:val="14"/>
                            <w:szCs w:val="12"/>
                          </w:rPr>
                          <w:t>Наслідки міграційного перерозподілу ЛП</w:t>
                        </w:r>
                      </w:p>
                    </w:txbxContent>
                  </v:textbox>
                </v:shape>
                <v:shape id="Text Box 339" o:spid="_x0000_s1635" type="#_x0000_t202" style="position:absolute;left:2422;top:7452;width:424;height:26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">
                  <v:textbox style="layout-flow:vertical;mso-layout-flow-alt:bottom-to-top" inset="0,0,0,0">
                    <w:txbxContent>
                      <w:p w:rsidR="00BE40F8" w:rsidRPr="00C870EE" w:rsidRDefault="00BE40F8" w:rsidP="00B233DE">
                        <w:pPr>
                          <w:ind w:firstLine="0"/>
                          <w:jc w:val="center"/>
                          <w:rPr>
                            <w:rFonts w:ascii="Times New Roman" w:hAnsi="Times New Roman" w:cs="Times New Roman"/>
                            <w:sz w:val="14"/>
                            <w:szCs w:val="12"/>
                          </w:rPr>
                        </w:pPr>
                        <w:r w:rsidRPr="00C870EE">
                          <w:rPr>
                            <w:rFonts w:ascii="Times New Roman" w:hAnsi="Times New Roman" w:cs="Times New Roman"/>
                            <w:sz w:val="14"/>
                            <w:szCs w:val="12"/>
                          </w:rPr>
                          <w:t>Позитивні для країн призначення</w:t>
                        </w:r>
                      </w:p>
                    </w:txbxContent>
                  </v:textbox>
                </v:shape>
                <v:shape id="Text Box 340" o:spid="_x0000_s1636" type="#_x0000_t202" style="position:absolute;left:8634;top:7452;width:423;height:25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">
                  <v:textbox style="layout-flow:vertical" inset="0,0,0,0">
                    <w:txbxContent>
                      <w:p w:rsidR="00BE40F8" w:rsidRPr="00C870EE" w:rsidRDefault="00BE40F8" w:rsidP="00B233DE">
                        <w:pPr>
                          <w:ind w:firstLine="0"/>
                          <w:jc w:val="center"/>
                          <w:rPr>
                            <w:rFonts w:ascii="Times New Roman" w:hAnsi="Times New Roman" w:cs="Times New Roman"/>
                            <w:sz w:val="14"/>
                            <w:szCs w:val="14"/>
                          </w:rPr>
                        </w:pPr>
                        <w:r w:rsidRPr="00C870EE">
                          <w:rPr>
                            <w:rFonts w:ascii="Times New Roman" w:hAnsi="Times New Roman" w:cs="Times New Roman"/>
                            <w:sz w:val="14"/>
                            <w:szCs w:val="14"/>
                          </w:rPr>
                          <w:t>Негативні для країн призначення</w:t>
                        </w:r>
                      </w:p>
                    </w:txbxContent>
                  </v:textbox>
                </v:shape>
                <v:shape id="Text Box 341" o:spid="_x0000_s1637" type="#_x0000_t202" style="position:absolute;left:2988;top:7451;width:2505;height:6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">
                  <v:textbox inset="0,0,0,0">
                    <w:txbxContent>
                      <w:p w:rsidR="00BE40F8" w:rsidRPr="00E21B8C" w:rsidRDefault="00BE40F8" w:rsidP="00B233DE">
                        <w:pPr>
                          <w:ind w:firstLine="0"/>
                          <w:rPr>
                            <w:rFonts w:ascii="Times New Roman" w:hAnsi="Times New Roman" w:cs="Times New Roman"/>
                            <w:sz w:val="16"/>
                            <w:szCs w:val="12"/>
                          </w:rPr>
                        </w:pPr>
                        <w:r w:rsidRPr="00C870EE">
                          <w:rPr>
                            <w:rFonts w:ascii="Times New Roman" w:hAnsi="Times New Roman" w:cs="Times New Roman"/>
                            <w:sz w:val="14"/>
                            <w:szCs w:val="12"/>
                          </w:rPr>
                          <w:t>Підвищ</w:t>
                        </w:r>
                        <w:r>
                          <w:rPr>
                            <w:rFonts w:ascii="Times New Roman" w:hAnsi="Times New Roman" w:cs="Times New Roman"/>
                            <w:sz w:val="14"/>
                            <w:szCs w:val="12"/>
                          </w:rPr>
                          <w:t xml:space="preserve">ення демографічного потен-ціалу: </w:t>
                        </w:r>
                        <w:r w:rsidRPr="00C870EE">
                          <w:rPr>
                            <w:rFonts w:ascii="Times New Roman" w:hAnsi="Times New Roman" w:cs="Times New Roman"/>
                            <w:sz w:val="14"/>
                            <w:szCs w:val="12"/>
                          </w:rPr>
                          <w:t>збільшення кількості</w:t>
                        </w:r>
                        <w:r w:rsidRPr="00C870EE">
                          <w:rPr>
                            <w:rFonts w:ascii="Calibri" w:hAnsi="Calibri"/>
                            <w:sz w:val="14"/>
                            <w:szCs w:val="12"/>
                          </w:rPr>
                          <w:t xml:space="preserve"> </w:t>
                        </w:r>
                        <w:r w:rsidRPr="00E21B8C">
                          <w:rPr>
                            <w:rFonts w:ascii="Times New Roman" w:hAnsi="Times New Roman" w:cs="Times New Roman"/>
                            <w:sz w:val="14"/>
                            <w:szCs w:val="12"/>
                          </w:rPr>
                          <w:t>населен</w:t>
                        </w:r>
                        <w:r>
                          <w:rPr>
                            <w:rFonts w:ascii="Times New Roman" w:hAnsi="Times New Roman" w:cs="Times New Roman"/>
                            <w:sz w:val="14"/>
                            <w:szCs w:val="12"/>
                          </w:rPr>
                          <w:t>-</w:t>
                        </w:r>
                        <w:r w:rsidRPr="00E21B8C">
                          <w:rPr>
                            <w:rFonts w:ascii="Times New Roman" w:hAnsi="Times New Roman" w:cs="Times New Roman"/>
                            <w:sz w:val="14"/>
                            <w:szCs w:val="12"/>
                          </w:rPr>
                          <w:t>ня;</w:t>
                        </w:r>
                        <w:r>
                          <w:rPr>
                            <w:rFonts w:ascii="Times New Roman" w:hAnsi="Times New Roman" w:cs="Times New Roman"/>
                            <w:sz w:val="16"/>
                            <w:szCs w:val="12"/>
                          </w:rPr>
                          <w:t xml:space="preserve"> </w:t>
                        </w:r>
                        <w:r w:rsidRPr="00E21B8C">
                          <w:rPr>
                            <w:rFonts w:ascii="Times New Roman" w:hAnsi="Times New Roman" w:cs="Times New Roman"/>
                            <w:sz w:val="14"/>
                            <w:szCs w:val="12"/>
                          </w:rPr>
                          <w:t>підвищення рівня народжуваності</w:t>
                        </w:r>
                      </w:p>
                    </w:txbxContent>
                  </v:textbox>
                </v:shape>
                <v:shape id="Text Box 342" o:spid="_x0000_s1638" type="#_x0000_t202" style="position:absolute;left:2988;top:8257;width:2504;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">
                  <v:textbox inset="1.5mm,0,1.5mm,0">
                    <w:txbxContent>
                      <w:p w:rsidR="00BE40F8" w:rsidRPr="00E21B8C" w:rsidRDefault="00BE40F8" w:rsidP="00B233DE">
                        <w:pPr>
                          <w:ind w:firstLine="0"/>
                          <w:rPr>
                            <w:rFonts w:ascii="Times New Roman" w:hAnsi="Times New Roman" w:cs="Times New Roman"/>
                            <w:sz w:val="14"/>
                            <w:szCs w:val="14"/>
                          </w:rPr>
                        </w:pPr>
                        <w:r w:rsidRPr="00E21B8C">
                          <w:rPr>
                            <w:rFonts w:ascii="Times New Roman" w:hAnsi="Times New Roman" w:cs="Times New Roman"/>
                            <w:sz w:val="14"/>
                            <w:szCs w:val="14"/>
                          </w:rPr>
                          <w:t>Підвищення економічного потен</w:t>
                        </w:r>
                        <w:r>
                          <w:rPr>
                            <w:rFonts w:ascii="Times New Roman" w:hAnsi="Times New Roman" w:cs="Times New Roman"/>
                            <w:sz w:val="14"/>
                            <w:szCs w:val="14"/>
                          </w:rPr>
                          <w:t>-</w:t>
                        </w:r>
                        <w:r w:rsidRPr="00E21B8C">
                          <w:rPr>
                            <w:rFonts w:ascii="Times New Roman" w:hAnsi="Times New Roman" w:cs="Times New Roman"/>
                            <w:sz w:val="14"/>
                            <w:szCs w:val="14"/>
                          </w:rPr>
                          <w:t>ціал</w:t>
                        </w:r>
                        <w:r>
                          <w:rPr>
                            <w:rFonts w:ascii="Times New Roman" w:hAnsi="Times New Roman" w:cs="Times New Roman"/>
                            <w:sz w:val="14"/>
                            <w:szCs w:val="14"/>
                          </w:rPr>
                          <w:t>у</w:t>
                        </w:r>
                        <w:r w:rsidRPr="00E21B8C">
                          <w:rPr>
                            <w:rFonts w:ascii="Times New Roman" w:hAnsi="Times New Roman" w:cs="Times New Roman"/>
                            <w:sz w:val="14"/>
                            <w:szCs w:val="14"/>
                          </w:rPr>
                          <w:t>: розширення споживання</w:t>
                        </w:r>
                      </w:p>
                    </w:txbxContent>
                  </v:textbox>
                </v:shape>
                <v:shape id="Text Box 343" o:spid="_x0000_s1639" type="#_x0000_t202" style="position:absolute;left:2989;top:9501;width:2504;height: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">
                  <v:textbox inset="0,0,0,0">
                    <w:txbxContent>
                      <w:p w:rsidR="00BE40F8" w:rsidRPr="0039454F" w:rsidRDefault="00BE40F8" w:rsidP="00B233DE">
                        <w:pPr>
                          <w:ind w:firstLine="0"/>
                          <w:rPr>
                            <w:rFonts w:ascii="Times New Roman" w:hAnsi="Times New Roman" w:cs="Times New Roman"/>
                            <w:sz w:val="14"/>
                            <w:szCs w:val="12"/>
                          </w:rPr>
                        </w:pPr>
                        <w:r w:rsidRPr="00E21B8C">
                          <w:rPr>
                            <w:rFonts w:ascii="Times New Roman" w:hAnsi="Times New Roman" w:cs="Times New Roman"/>
                            <w:sz w:val="14"/>
                            <w:szCs w:val="12"/>
                          </w:rPr>
                          <w:t>П</w:t>
                        </w:r>
                        <w:r>
                          <w:rPr>
                            <w:rFonts w:ascii="Times New Roman" w:hAnsi="Times New Roman" w:cs="Times New Roman"/>
                            <w:sz w:val="14"/>
                            <w:szCs w:val="12"/>
                          </w:rPr>
                          <w:t>ідвищення трудового потенціалу:</w:t>
                        </w:r>
                        <w:r w:rsidRPr="0039454F">
                          <w:rPr>
                            <w:rFonts w:ascii="Times New Roman" w:hAnsi="Times New Roman" w:cs="Times New Roman"/>
                            <w:sz w:val="14"/>
                            <w:szCs w:val="12"/>
                            <w:lang w:val="ru-RU"/>
                          </w:rPr>
                          <w:t xml:space="preserve"> </w:t>
                        </w:r>
                        <w:r w:rsidRPr="0039454F">
                          <w:rPr>
                            <w:rFonts w:ascii="Times New Roman" w:hAnsi="Times New Roman" w:cs="Times New Roman"/>
                            <w:sz w:val="14"/>
                            <w:szCs w:val="12"/>
                          </w:rPr>
                          <w:t>задоволення потреби ринку праці</w:t>
                        </w:r>
                      </w:p>
                    </w:txbxContent>
                  </v:textbox>
                </v:shape>
                <v:shape id="Text Box 344" o:spid="_x0000_s1640" type="#_x0000_t202" style="position:absolute;left:2985;top:8794;width:2504;height:6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">
                  <v:textbox inset="0,0,0,0">
                    <w:txbxContent>
                      <w:p w:rsidR="00BE40F8" w:rsidRPr="0039454F" w:rsidRDefault="00BE40F8" w:rsidP="00B233DE">
                        <w:pPr>
                          <w:ind w:firstLine="0"/>
                          <w:rPr>
                            <w:rFonts w:ascii="Calibri" w:hAnsi="Calibri"/>
                            <w:sz w:val="14"/>
                            <w:szCs w:val="14"/>
                          </w:rPr>
                        </w:pPr>
                        <w:r w:rsidRPr="0039454F">
                          <w:rPr>
                            <w:rFonts w:ascii="Times New Roman" w:hAnsi="Times New Roman" w:cs="Times New Roman"/>
                            <w:sz w:val="14"/>
                            <w:szCs w:val="14"/>
                          </w:rPr>
                          <w:t>Підвищення інтелектуального потен</w:t>
                        </w:r>
                        <w:r w:rsidRPr="0039454F">
                          <w:rPr>
                            <w:rFonts w:ascii="Times New Roman" w:hAnsi="Times New Roman" w:cs="Times New Roman"/>
                            <w:sz w:val="14"/>
                            <w:szCs w:val="14"/>
                            <w:lang w:val="ru-RU"/>
                          </w:rPr>
                          <w:t>-</w:t>
                        </w:r>
                        <w:r w:rsidRPr="0039454F">
                          <w:rPr>
                            <w:rFonts w:ascii="Times New Roman" w:hAnsi="Times New Roman" w:cs="Times New Roman"/>
                            <w:sz w:val="14"/>
                            <w:szCs w:val="14"/>
                          </w:rPr>
                          <w:t>ціалу: стимулювання інтелектуально</w:t>
                        </w:r>
                        <w:r w:rsidRPr="0039454F">
                          <w:rPr>
                            <w:rFonts w:ascii="Times New Roman" w:hAnsi="Times New Roman" w:cs="Times New Roman"/>
                            <w:sz w:val="14"/>
                            <w:szCs w:val="14"/>
                            <w:lang w:val="ru-RU"/>
                          </w:rPr>
                          <w:t>-</w:t>
                        </w:r>
                        <w:r w:rsidRPr="0039454F">
                          <w:rPr>
                            <w:rFonts w:ascii="Times New Roman" w:hAnsi="Times New Roman" w:cs="Times New Roman"/>
                            <w:sz w:val="14"/>
                            <w:szCs w:val="14"/>
                          </w:rPr>
                          <w:t xml:space="preserve">го та інноваційного розвитку; </w:t>
                        </w:r>
                      </w:p>
                    </w:txbxContent>
                  </v:textbox>
                </v:shape>
                <v:shape id="Text Box 345" o:spid="_x0000_s1641" type="#_x0000_t202" style="position:absolute;left:3003;top:10087;width:2504;height:7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">
                  <v:textbox inset="0,0,0,0">
                    <w:txbxContent>
                      <w:p w:rsidR="00BE40F8" w:rsidRPr="00B4285A" w:rsidRDefault="00BE40F8" w:rsidP="00B233DE">
                        <w:pPr>
                          <w:ind w:firstLine="0"/>
                          <w:rPr>
                            <w:rFonts w:ascii="Calibri" w:hAnsi="Calibri"/>
                            <w:sz w:val="12"/>
                            <w:szCs w:val="12"/>
                          </w:rPr>
                        </w:pPr>
                        <w:r w:rsidRPr="00E21B8C">
                          <w:rPr>
                            <w:rFonts w:ascii="Times New Roman" w:hAnsi="Times New Roman" w:cs="Times New Roman"/>
                            <w:sz w:val="14"/>
                            <w:szCs w:val="14"/>
                          </w:rPr>
                          <w:t>Покращення соціальн</w:t>
                        </w:r>
                        <w:r>
                          <w:rPr>
                            <w:rFonts w:ascii="Times New Roman" w:hAnsi="Times New Roman" w:cs="Times New Roman"/>
                            <w:sz w:val="14"/>
                            <w:szCs w:val="14"/>
                          </w:rPr>
                          <w:t>о-економічних умов розвитку ЛП:</w:t>
                        </w:r>
                        <w:r w:rsidRPr="0039454F">
                          <w:rPr>
                            <w:rFonts w:ascii="Times New Roman" w:hAnsi="Times New Roman" w:cs="Times New Roman"/>
                            <w:sz w:val="14"/>
                            <w:szCs w:val="14"/>
                            <w:lang w:val="ru-RU"/>
                          </w:rPr>
                          <w:t xml:space="preserve"> </w:t>
                        </w:r>
                        <w:r w:rsidRPr="00E21B8C">
                          <w:rPr>
                            <w:rFonts w:ascii="Times New Roman" w:hAnsi="Times New Roman" w:cs="Times New Roman"/>
                            <w:sz w:val="14"/>
                            <w:szCs w:val="14"/>
                          </w:rPr>
                          <w:t>зменшення безробіття та соціал</w:t>
                        </w:r>
                        <w:r w:rsidRPr="0039454F">
                          <w:rPr>
                            <w:rFonts w:ascii="Times New Roman" w:hAnsi="Times New Roman" w:cs="Times New Roman"/>
                            <w:sz w:val="14"/>
                            <w:szCs w:val="14"/>
                          </w:rPr>
                          <w:t>ьної напруги</w:t>
                        </w:r>
                      </w:p>
                    </w:txbxContent>
                  </v:textbox>
                </v:shape>
                <v:shape id="Text Box 346" o:spid="_x0000_s1642" type="#_x0000_t202" style="position:absolute;left:3002;top:10796;width:2505;height:6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">
                  <v:textbox inset="0,0,0,0">
                    <w:txbxContent>
                      <w:p w:rsidR="00BE40F8" w:rsidRPr="0039454F" w:rsidRDefault="00BE40F8" w:rsidP="00B233DE">
                        <w:pPr>
                          <w:ind w:firstLine="0"/>
                          <w:rPr>
                            <w:rFonts w:ascii="Times New Roman" w:hAnsi="Times New Roman" w:cs="Times New Roman"/>
                            <w:sz w:val="14"/>
                            <w:szCs w:val="12"/>
                          </w:rPr>
                        </w:pPr>
                        <w:r w:rsidRPr="0039454F">
                          <w:rPr>
                            <w:rFonts w:ascii="Times New Roman" w:hAnsi="Times New Roman" w:cs="Times New Roman"/>
                            <w:sz w:val="14"/>
                            <w:szCs w:val="12"/>
                          </w:rPr>
                          <w:t>Підвищення економічного потенці</w:t>
                        </w:r>
                        <w:r w:rsidRPr="0039454F">
                          <w:rPr>
                            <w:rFonts w:ascii="Times New Roman" w:hAnsi="Times New Roman" w:cs="Times New Roman"/>
                            <w:sz w:val="14"/>
                            <w:szCs w:val="12"/>
                            <w:lang w:val="ru-RU"/>
                          </w:rPr>
                          <w:t>-</w:t>
                        </w:r>
                        <w:r>
                          <w:rPr>
                            <w:rFonts w:ascii="Times New Roman" w:hAnsi="Times New Roman" w:cs="Times New Roman"/>
                            <w:sz w:val="14"/>
                            <w:szCs w:val="12"/>
                          </w:rPr>
                          <w:t>алу</w:t>
                        </w:r>
                        <w:r w:rsidRPr="0039454F">
                          <w:rPr>
                            <w:rFonts w:ascii="Times New Roman" w:hAnsi="Times New Roman" w:cs="Times New Roman"/>
                            <w:sz w:val="14"/>
                            <w:szCs w:val="12"/>
                            <w:lang w:val="ru-RU"/>
                          </w:rPr>
                          <w:t xml:space="preserve"> </w:t>
                        </w:r>
                        <w:r w:rsidRPr="0039454F">
                          <w:rPr>
                            <w:rFonts w:ascii="Times New Roman" w:hAnsi="Times New Roman" w:cs="Times New Roman"/>
                            <w:sz w:val="14"/>
                            <w:szCs w:val="12"/>
                          </w:rPr>
                          <w:t>зростання доходів та отримання інвестиційних ресурсів</w:t>
                        </w:r>
                      </w:p>
                    </w:txbxContent>
                  </v:textbox>
                </v:shape>
                <v:shape id="Text Box 347" o:spid="_x0000_s1643" type="#_x0000_t202" style="position:absolute;left:2987;top:11494;width:2504;height:8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">
                  <v:textbox inset="0,0,0,0">
                    <w:txbxContent>
                      <w:p w:rsidR="00BE40F8" w:rsidRPr="0039454F" w:rsidRDefault="00BE40F8" w:rsidP="00B233DE">
                        <w:pPr>
                          <w:ind w:firstLine="0"/>
                          <w:rPr>
                            <w:rFonts w:ascii="Times New Roman" w:hAnsi="Times New Roman" w:cs="Times New Roman"/>
                            <w:sz w:val="14"/>
                            <w:szCs w:val="12"/>
                          </w:rPr>
                        </w:pPr>
                        <w:r w:rsidRPr="0039454F">
                          <w:rPr>
                            <w:rFonts w:ascii="Times New Roman" w:hAnsi="Times New Roman" w:cs="Times New Roman"/>
                            <w:sz w:val="14"/>
                            <w:szCs w:val="12"/>
                          </w:rPr>
                          <w:t>П</w:t>
                        </w:r>
                        <w:r>
                          <w:rPr>
                            <w:rFonts w:ascii="Times New Roman" w:hAnsi="Times New Roman" w:cs="Times New Roman"/>
                            <w:sz w:val="14"/>
                            <w:szCs w:val="12"/>
                          </w:rPr>
                          <w:t>ідвищення трудового потенціалу:</w:t>
                        </w:r>
                        <w:r>
                          <w:rPr>
                            <w:rFonts w:ascii="Times New Roman" w:hAnsi="Times New Roman" w:cs="Times New Roman"/>
                            <w:sz w:val="14"/>
                            <w:szCs w:val="12"/>
                            <w:lang w:val="en-US"/>
                          </w:rPr>
                          <w:t xml:space="preserve"> </w:t>
                        </w:r>
                        <w:r w:rsidRPr="0039454F">
                          <w:rPr>
                            <w:rFonts w:ascii="Times New Roman" w:hAnsi="Times New Roman" w:cs="Times New Roman"/>
                            <w:sz w:val="14"/>
                            <w:szCs w:val="12"/>
                          </w:rPr>
                          <w:t>набуття досвіду, навичок та кваліфі</w:t>
                        </w:r>
                        <w:r>
                          <w:rPr>
                            <w:rFonts w:ascii="Times New Roman" w:hAnsi="Times New Roman" w:cs="Times New Roman"/>
                            <w:sz w:val="14"/>
                            <w:szCs w:val="12"/>
                            <w:lang w:val="en-US"/>
                          </w:rPr>
                          <w:t>-</w:t>
                        </w:r>
                        <w:r w:rsidRPr="0039454F">
                          <w:rPr>
                            <w:rFonts w:ascii="Times New Roman" w:hAnsi="Times New Roman" w:cs="Times New Roman"/>
                            <w:sz w:val="14"/>
                            <w:szCs w:val="12"/>
                          </w:rPr>
                          <w:t>кації у сфері управління та підприєм</w:t>
                        </w:r>
                        <w:r>
                          <w:rPr>
                            <w:rFonts w:ascii="Times New Roman" w:hAnsi="Times New Roman" w:cs="Times New Roman"/>
                            <w:sz w:val="14"/>
                            <w:szCs w:val="12"/>
                            <w:lang w:val="en-US"/>
                          </w:rPr>
                          <w:t>-</w:t>
                        </w:r>
                        <w:r w:rsidRPr="0039454F">
                          <w:rPr>
                            <w:rFonts w:ascii="Times New Roman" w:hAnsi="Times New Roman" w:cs="Times New Roman"/>
                            <w:sz w:val="14"/>
                            <w:szCs w:val="12"/>
                          </w:rPr>
                          <w:t>ницької діяльності</w:t>
                        </w:r>
                      </w:p>
                    </w:txbxContent>
                  </v:textbox>
                </v:shape>
                <v:shape id="Text Box 348" o:spid="_x0000_s1644" type="#_x0000_t202" style="position:absolute;left:6092;top:8149;width:2400;height:6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">
                  <v:textbox inset="0,0,0,0">
                    <w:txbxContent>
                      <w:p w:rsidR="00BE40F8" w:rsidRPr="009B30EA" w:rsidRDefault="00BE40F8" w:rsidP="00B233DE">
                        <w:pPr>
                          <w:ind w:firstLine="0"/>
                          <w:rPr>
                            <w:rFonts w:ascii="Times New Roman" w:hAnsi="Times New Roman" w:cs="Times New Roman"/>
                            <w:sz w:val="14"/>
                            <w:szCs w:val="14"/>
                          </w:rPr>
                        </w:pPr>
                        <w:r w:rsidRPr="009B30EA">
                          <w:rPr>
                            <w:rFonts w:ascii="Times New Roman" w:hAnsi="Times New Roman" w:cs="Times New Roman"/>
                            <w:sz w:val="14"/>
                            <w:szCs w:val="14"/>
                          </w:rPr>
                          <w:t>Посилення напруги на ринку праці:</w:t>
                        </w:r>
                      </w:p>
                      <w:p w:rsidR="00BE40F8" w:rsidRPr="009B30EA" w:rsidRDefault="00BE40F8" w:rsidP="00B233DE">
                        <w:pPr>
                          <w:ind w:firstLine="0"/>
                          <w:rPr>
                            <w:rFonts w:ascii="Times New Roman" w:hAnsi="Times New Roman" w:cs="Times New Roman"/>
                            <w:sz w:val="14"/>
                            <w:szCs w:val="14"/>
                          </w:rPr>
                        </w:pPr>
                        <w:r w:rsidRPr="009B30EA">
                          <w:rPr>
                            <w:rFonts w:ascii="Times New Roman" w:hAnsi="Times New Roman" w:cs="Times New Roman"/>
                            <w:sz w:val="14"/>
                            <w:szCs w:val="14"/>
                          </w:rPr>
                          <w:t>- зростання безробіття національної робочої сили</w:t>
                        </w:r>
                      </w:p>
                    </w:txbxContent>
                  </v:textbox>
                </v:shape>
                <v:shape id="Text Box 349" o:spid="_x0000_s1645" type="#_x0000_t202" style="position:absolute;left:6094;top:7451;width:2399;height:6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">
                  <v:textbox inset="0,0,0,0">
                    <w:txbxContent>
                      <w:p w:rsidR="00BE40F8" w:rsidRPr="00B4285A" w:rsidRDefault="00BE40F8" w:rsidP="00B233DE">
                        <w:pPr>
                          <w:ind w:firstLine="0"/>
                          <w:rPr>
                            <w:rFonts w:ascii="Calibri" w:hAnsi="Calibri"/>
                            <w:sz w:val="12"/>
                            <w:szCs w:val="12"/>
                          </w:rPr>
                        </w:pPr>
                        <w:r>
                          <w:rPr>
                            <w:rFonts w:ascii="Times New Roman" w:hAnsi="Times New Roman" w:cs="Times New Roman"/>
                            <w:sz w:val="14"/>
                            <w:szCs w:val="12"/>
                          </w:rPr>
                          <w:t>Посилення соціальної напруги</w:t>
                        </w:r>
                        <w:r>
                          <w:rPr>
                            <w:rFonts w:ascii="Times New Roman" w:hAnsi="Times New Roman" w:cs="Times New Roman"/>
                            <w:sz w:val="14"/>
                            <w:szCs w:val="12"/>
                            <w:lang w:val="en-US"/>
                          </w:rPr>
                          <w:t xml:space="preserve"> </w:t>
                        </w:r>
                        <w:r w:rsidRPr="009B30EA">
                          <w:rPr>
                            <w:rFonts w:ascii="Times New Roman" w:hAnsi="Times New Roman" w:cs="Times New Roman"/>
                            <w:sz w:val="14"/>
                            <w:szCs w:val="12"/>
                          </w:rPr>
                          <w:t>зрос</w:t>
                        </w:r>
                        <w:r w:rsidRPr="009B30EA">
                          <w:rPr>
                            <w:rFonts w:ascii="Times New Roman" w:hAnsi="Times New Roman" w:cs="Times New Roman"/>
                            <w:sz w:val="14"/>
                            <w:szCs w:val="12"/>
                            <w:lang w:val="ru-RU"/>
                          </w:rPr>
                          <w:t>-</w:t>
                        </w:r>
                        <w:r w:rsidRPr="009B30EA">
                          <w:rPr>
                            <w:rFonts w:ascii="Times New Roman" w:hAnsi="Times New Roman" w:cs="Times New Roman"/>
                            <w:sz w:val="14"/>
                            <w:szCs w:val="12"/>
                          </w:rPr>
                          <w:t>тання злочинності, міжетнічних конфліктів та соціальної напруги</w:t>
                        </w:r>
                      </w:p>
                    </w:txbxContent>
                  </v:textbox>
                </v:shape>
                <v:shape id="Text Box 350" o:spid="_x0000_s1646" type="#_x0000_t202" style="position:absolute;left:6094;top:8794;width:2399;height:6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">
                  <v:textbox inset="0,0,0,0">
                    <w:txbxContent>
                      <w:p w:rsidR="00BE40F8" w:rsidRPr="009B30EA" w:rsidRDefault="00BE40F8" w:rsidP="00B233DE">
                        <w:pPr>
                          <w:ind w:firstLine="0"/>
                          <w:rPr>
                            <w:rFonts w:ascii="Times New Roman" w:hAnsi="Times New Roman" w:cs="Times New Roman"/>
                            <w:sz w:val="14"/>
                            <w:szCs w:val="14"/>
                          </w:rPr>
                        </w:pPr>
                        <w:r w:rsidRPr="009B30EA">
                          <w:rPr>
                            <w:rFonts w:ascii="Times New Roman" w:hAnsi="Times New Roman" w:cs="Times New Roman"/>
                            <w:spacing w:val="-4"/>
                            <w:sz w:val="14"/>
                            <w:szCs w:val="14"/>
                          </w:rPr>
                          <w:t>Існування економічних втрат:</w:t>
                        </w:r>
                        <w:r w:rsidRPr="009B30EA">
                          <w:rPr>
                            <w:rFonts w:ascii="Times New Roman" w:hAnsi="Times New Roman" w:cs="Times New Roman"/>
                            <w:spacing w:val="-4"/>
                            <w:sz w:val="14"/>
                            <w:szCs w:val="14"/>
                            <w:lang w:val="ru-RU"/>
                          </w:rPr>
                          <w:t xml:space="preserve"> </w:t>
                        </w:r>
                        <w:r w:rsidRPr="009B30EA">
                          <w:rPr>
                            <w:rFonts w:ascii="Times New Roman" w:hAnsi="Times New Roman" w:cs="Times New Roman"/>
                            <w:spacing w:val="-4"/>
                            <w:sz w:val="14"/>
                            <w:szCs w:val="14"/>
                          </w:rPr>
                          <w:t>неспла</w:t>
                        </w:r>
                        <w:r w:rsidRPr="009B30EA">
                          <w:rPr>
                            <w:rFonts w:ascii="Times New Roman" w:hAnsi="Times New Roman" w:cs="Times New Roman"/>
                            <w:spacing w:val="-4"/>
                            <w:sz w:val="14"/>
                            <w:szCs w:val="14"/>
                            <w:lang w:val="ru-RU"/>
                          </w:rPr>
                          <w:t>-</w:t>
                        </w:r>
                        <w:r w:rsidRPr="009B30EA">
                          <w:rPr>
                            <w:rFonts w:ascii="Times New Roman" w:hAnsi="Times New Roman" w:cs="Times New Roman"/>
                            <w:spacing w:val="-6"/>
                            <w:sz w:val="14"/>
                            <w:szCs w:val="14"/>
                          </w:rPr>
                          <w:t>та мігрантами податків та внес</w:t>
                        </w:r>
                        <w:r w:rsidRPr="009B30EA">
                          <w:rPr>
                            <w:rFonts w:ascii="Times New Roman" w:hAnsi="Times New Roman" w:cs="Times New Roman"/>
                            <w:sz w:val="14"/>
                            <w:szCs w:val="14"/>
                          </w:rPr>
                          <w:t>ків до фондів соціального забезпечення</w:t>
                        </w:r>
                      </w:p>
                    </w:txbxContent>
                  </v:textbox>
                </v:shape>
                <v:shape id="Text Box 351" o:spid="_x0000_s1647" type="#_x0000_t202" style="position:absolute;left:6094;top:9502;width:2399;height:5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">
                  <v:textbox inset="0,0,0,0">
                    <w:txbxContent>
                      <w:p w:rsidR="00BE40F8" w:rsidRPr="009B30EA" w:rsidRDefault="00BE40F8" w:rsidP="00B233DE">
                        <w:pPr>
                          <w:ind w:firstLine="0"/>
                          <w:rPr>
                            <w:rFonts w:ascii="Times New Roman" w:hAnsi="Times New Roman" w:cs="Times New Roman"/>
                            <w:sz w:val="14"/>
                            <w:szCs w:val="12"/>
                          </w:rPr>
                        </w:pPr>
                        <w:r w:rsidRPr="009B30EA">
                          <w:rPr>
                            <w:rFonts w:ascii="Times New Roman" w:hAnsi="Times New Roman" w:cs="Times New Roman"/>
                            <w:sz w:val="14"/>
                            <w:szCs w:val="12"/>
                          </w:rPr>
                          <w:t>Необхідність додаткових фінансо</w:t>
                        </w:r>
                        <w:r w:rsidRPr="009B30EA">
                          <w:rPr>
                            <w:rFonts w:ascii="Times New Roman" w:hAnsi="Times New Roman" w:cs="Times New Roman"/>
                            <w:sz w:val="14"/>
                            <w:szCs w:val="12"/>
                            <w:lang w:val="ru-RU"/>
                          </w:rPr>
                          <w:t>-</w:t>
                        </w:r>
                        <w:r>
                          <w:rPr>
                            <w:rFonts w:ascii="Times New Roman" w:hAnsi="Times New Roman" w:cs="Times New Roman"/>
                            <w:sz w:val="14"/>
                            <w:szCs w:val="12"/>
                          </w:rPr>
                          <w:t>вих витрат:</w:t>
                        </w:r>
                        <w:r w:rsidRPr="009B30EA">
                          <w:rPr>
                            <w:rFonts w:ascii="Times New Roman" w:hAnsi="Times New Roman" w:cs="Times New Roman"/>
                            <w:sz w:val="14"/>
                            <w:szCs w:val="12"/>
                            <w:lang w:val="ru-RU"/>
                          </w:rPr>
                          <w:t xml:space="preserve"> </w:t>
                        </w:r>
                        <w:r w:rsidRPr="009B30EA">
                          <w:rPr>
                            <w:rFonts w:ascii="Times New Roman" w:hAnsi="Times New Roman" w:cs="Times New Roman"/>
                            <w:sz w:val="14"/>
                            <w:szCs w:val="12"/>
                          </w:rPr>
                          <w:t>додаткові витрати на адаптацію</w:t>
                        </w:r>
                        <w:r>
                          <w:rPr>
                            <w:rFonts w:ascii="Times New Roman" w:hAnsi="Times New Roman" w:cs="Times New Roman"/>
                            <w:sz w:val="14"/>
                            <w:szCs w:val="14"/>
                          </w:rPr>
                          <w:t>, асиміляцію</w:t>
                        </w:r>
                        <w:r>
                          <w:rPr>
                            <w:rFonts w:ascii="Times New Roman" w:hAnsi="Times New Roman" w:cs="Times New Roman"/>
                            <w:sz w:val="14"/>
                            <w:szCs w:val="14"/>
                            <w:lang w:val="ru-RU"/>
                          </w:rPr>
                          <w:t xml:space="preserve">, </w:t>
                        </w:r>
                        <w:r w:rsidRPr="009B30EA">
                          <w:rPr>
                            <w:rFonts w:ascii="Times New Roman" w:hAnsi="Times New Roman" w:cs="Times New Roman"/>
                            <w:sz w:val="14"/>
                            <w:szCs w:val="14"/>
                          </w:rPr>
                          <w:t>інтеграцію</w:t>
                        </w:r>
                        <w:r w:rsidRPr="009B30EA">
                          <w:rPr>
                            <w:rFonts w:ascii="Calibri" w:hAnsi="Calibri"/>
                            <w:sz w:val="16"/>
                            <w:szCs w:val="12"/>
                          </w:rPr>
                          <w:t xml:space="preserve"> </w:t>
                        </w:r>
                        <w:r w:rsidRPr="00B4285A">
                          <w:rPr>
                            <w:rFonts w:ascii="Calibri" w:hAnsi="Calibri"/>
                            <w:sz w:val="12"/>
                            <w:szCs w:val="12"/>
                          </w:rPr>
                          <w:t>мігрантів</w:t>
                        </w:r>
                      </w:p>
                      <w:p w:rsidR="00BE40F8" w:rsidRPr="00B4285A" w:rsidRDefault="00BE40F8" w:rsidP="00B233DE">
                        <w:pPr>
                          <w:rPr>
                            <w:rFonts w:ascii="Calibri" w:hAnsi="Calibri"/>
                            <w:sz w:val="12"/>
                            <w:szCs w:val="12"/>
                          </w:rPr>
                        </w:pPr>
                      </w:p>
                    </w:txbxContent>
                  </v:textbox>
                </v:shape>
                <v:shape id="Text Box 352" o:spid="_x0000_s1648" type="#_x0000_t202" style="position:absolute;left:6094;top:10100;width:2399;height:6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">
                  <v:textbox inset="0,0,0,0">
                    <w:txbxContent>
                      <w:p w:rsidR="00BE40F8" w:rsidRPr="009B30EA" w:rsidRDefault="00BE40F8" w:rsidP="00B233DE">
                        <w:pPr>
                          <w:ind w:firstLine="0"/>
                          <w:rPr>
                            <w:rFonts w:ascii="Times New Roman" w:hAnsi="Times New Roman" w:cs="Times New Roman"/>
                            <w:sz w:val="14"/>
                            <w:szCs w:val="12"/>
                          </w:rPr>
                        </w:pPr>
                        <w:r w:rsidRPr="009B30EA">
                          <w:rPr>
                            <w:rFonts w:ascii="Times New Roman" w:hAnsi="Times New Roman" w:cs="Times New Roman"/>
                            <w:sz w:val="14"/>
                            <w:szCs w:val="12"/>
                          </w:rPr>
                          <w:t>Втрата демографічного потенці</w:t>
                        </w:r>
                        <w:r w:rsidRPr="009B30EA">
                          <w:rPr>
                            <w:rFonts w:ascii="Times New Roman" w:hAnsi="Times New Roman" w:cs="Times New Roman"/>
                            <w:spacing w:val="-20"/>
                            <w:sz w:val="14"/>
                            <w:szCs w:val="12"/>
                          </w:rPr>
                          <w:t>алу</w:t>
                        </w:r>
                        <w:r>
                          <w:rPr>
                            <w:rFonts w:ascii="Times New Roman" w:hAnsi="Times New Roman" w:cs="Times New Roman"/>
                            <w:sz w:val="14"/>
                            <w:szCs w:val="12"/>
                          </w:rPr>
                          <w:t>:</w:t>
                        </w:r>
                        <w:r>
                          <w:rPr>
                            <w:rFonts w:ascii="Times New Roman" w:hAnsi="Times New Roman" w:cs="Times New Roman"/>
                            <w:sz w:val="14"/>
                            <w:szCs w:val="12"/>
                            <w:lang w:val="ru-RU"/>
                          </w:rPr>
                          <w:t xml:space="preserve"> </w:t>
                        </w:r>
                        <w:r>
                          <w:rPr>
                            <w:rFonts w:ascii="Times New Roman" w:hAnsi="Times New Roman" w:cs="Times New Roman"/>
                            <w:sz w:val="14"/>
                            <w:szCs w:val="12"/>
                          </w:rPr>
                          <w:t>зменшення кількості населення;</w:t>
                        </w:r>
                        <w:r>
                          <w:rPr>
                            <w:rFonts w:ascii="Times New Roman" w:hAnsi="Times New Roman" w:cs="Times New Roman"/>
                            <w:sz w:val="14"/>
                            <w:szCs w:val="12"/>
                            <w:lang w:val="ru-RU"/>
                          </w:rPr>
                          <w:t xml:space="preserve"> </w:t>
                        </w:r>
                        <w:r w:rsidRPr="009B30EA">
                          <w:rPr>
                            <w:rFonts w:ascii="Times New Roman" w:hAnsi="Times New Roman" w:cs="Times New Roman"/>
                            <w:sz w:val="14"/>
                            <w:szCs w:val="12"/>
                          </w:rPr>
                          <w:t>зменшення рівня народжуваності</w:t>
                        </w:r>
                      </w:p>
                    </w:txbxContent>
                  </v:textbox>
                </v:shape>
                <v:shape id="Text Box 353" o:spid="_x0000_s1649" type="#_x0000_t202" style="position:absolute;left:6094;top:10796;width:2399;height: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">
                  <v:textbox inset=".5mm,0,.5mm,0">
                    <w:txbxContent>
                      <w:p w:rsidR="00BE40F8" w:rsidRPr="009B30EA" w:rsidRDefault="00BE40F8" w:rsidP="00B233DE">
                        <w:pPr>
                          <w:ind w:firstLine="0"/>
                          <w:rPr>
                            <w:rFonts w:ascii="Times New Roman" w:hAnsi="Times New Roman" w:cs="Times New Roman"/>
                            <w:sz w:val="14"/>
                            <w:szCs w:val="14"/>
                          </w:rPr>
                        </w:pPr>
                        <w:r w:rsidRPr="009B30EA">
                          <w:rPr>
                            <w:rFonts w:ascii="Times New Roman" w:hAnsi="Times New Roman" w:cs="Times New Roman"/>
                            <w:sz w:val="14"/>
                            <w:szCs w:val="14"/>
                          </w:rPr>
                          <w:t>Втрата трудового потенціалу:</w:t>
                        </w:r>
                        <w:r w:rsidRPr="009B30EA">
                          <w:rPr>
                            <w:rFonts w:ascii="Times New Roman" w:hAnsi="Times New Roman" w:cs="Times New Roman"/>
                            <w:sz w:val="14"/>
                            <w:szCs w:val="14"/>
                            <w:lang w:val="ru-RU"/>
                          </w:rPr>
                          <w:t xml:space="preserve"> </w:t>
                        </w:r>
                        <w:r w:rsidRPr="009B30EA">
                          <w:rPr>
                            <w:rFonts w:ascii="Times New Roman" w:hAnsi="Times New Roman" w:cs="Times New Roman"/>
                            <w:sz w:val="14"/>
                            <w:szCs w:val="14"/>
                          </w:rPr>
                          <w:t>відтік кваліфікованої робочої сили</w:t>
                        </w:r>
                      </w:p>
                    </w:txbxContent>
                  </v:textbox>
                </v:shape>
                <v:shape id="Text Box 354" o:spid="_x0000_s1650" type="#_x0000_t202" style="position:absolute;left:6094;top:11215;width:2399;height:4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">
                  <v:textbox inset="0,0,0,0">
                    <w:txbxContent>
                      <w:p w:rsidR="00BE40F8" w:rsidRPr="009B30EA" w:rsidRDefault="00BE40F8" w:rsidP="00B233DE">
                        <w:pPr>
                          <w:ind w:firstLine="0"/>
                          <w:jc w:val="center"/>
                          <w:rPr>
                            <w:rFonts w:ascii="Times New Roman" w:hAnsi="Times New Roman" w:cs="Times New Roman"/>
                            <w:sz w:val="14"/>
                            <w:szCs w:val="12"/>
                          </w:rPr>
                        </w:pPr>
                        <w:r w:rsidRPr="009B30EA">
                          <w:rPr>
                            <w:rFonts w:ascii="Times New Roman" w:hAnsi="Times New Roman" w:cs="Times New Roman"/>
                            <w:sz w:val="14"/>
                            <w:szCs w:val="12"/>
                          </w:rPr>
                          <w:t>Втрата інтелектуального потенціалу</w:t>
                        </w:r>
                      </w:p>
                    </w:txbxContent>
                  </v:textbox>
                </v:shape>
                <v:shape id="Text Box 355" o:spid="_x0000_s1651" type="#_x0000_t202" style="position:absolute;left:6094;top:11633;width:2399;height: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">
                  <v:textbox inset=".5mm,.3mm,.5mm,.3mm">
                    <w:txbxContent>
                      <w:p w:rsidR="00BE40F8" w:rsidRPr="002F266E" w:rsidRDefault="00BE40F8" w:rsidP="00B233DE">
                        <w:pPr>
                          <w:ind w:firstLine="0"/>
                          <w:jc w:val="center"/>
                          <w:rPr>
                            <w:rFonts w:ascii="Times New Roman" w:hAnsi="Times New Roman" w:cs="Times New Roman"/>
                            <w:sz w:val="14"/>
                            <w:szCs w:val="14"/>
                          </w:rPr>
                        </w:pPr>
                        <w:r w:rsidRPr="002F266E">
                          <w:rPr>
                            <w:rFonts w:ascii="Times New Roman" w:hAnsi="Times New Roman" w:cs="Times New Roman"/>
                            <w:sz w:val="14"/>
                            <w:szCs w:val="14"/>
                          </w:rPr>
                          <w:t>Втрата професійно-кваліфікаційного потенціалу</w:t>
                        </w:r>
                      </w:p>
                    </w:txbxContent>
                  </v:textbox>
                </v:shape>
                <v:shape id="Text Box 356" o:spid="_x0000_s1652" type="#_x0000_t202" style="position:absolute;left:6094;top:12190;width:2399;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">
                  <v:textbox inset=".5mm,0,.5mm,0">
                    <w:txbxContent>
                      <w:p w:rsidR="00BE40F8" w:rsidRPr="002F266E" w:rsidRDefault="00BE40F8" w:rsidP="00B233DE">
                        <w:pPr>
                          <w:ind w:firstLine="0"/>
                          <w:jc w:val="center"/>
                          <w:rPr>
                            <w:rFonts w:ascii="Times New Roman" w:hAnsi="Times New Roman" w:cs="Times New Roman"/>
                            <w:sz w:val="14"/>
                            <w:szCs w:val="14"/>
                          </w:rPr>
                        </w:pPr>
                        <w:r w:rsidRPr="002F266E">
                          <w:rPr>
                            <w:rFonts w:ascii="Times New Roman" w:hAnsi="Times New Roman" w:cs="Times New Roman"/>
                            <w:sz w:val="14"/>
                            <w:szCs w:val="14"/>
                          </w:rPr>
                          <w:t>Виникнення соціальних перешкод формуванню ЛП:</w:t>
                        </w:r>
                        <w:r>
                          <w:rPr>
                            <w:rFonts w:ascii="Times New Roman" w:hAnsi="Times New Roman" w:cs="Times New Roman"/>
                            <w:sz w:val="14"/>
                            <w:szCs w:val="14"/>
                          </w:rPr>
                          <w:t xml:space="preserve"> </w:t>
                        </w:r>
                        <w:r w:rsidRPr="002F266E">
                          <w:rPr>
                            <w:rFonts w:ascii="Times New Roman" w:hAnsi="Times New Roman" w:cs="Times New Roman"/>
                            <w:sz w:val="14"/>
                            <w:szCs w:val="14"/>
                          </w:rPr>
                          <w:t>розрив сімейних зв’язків</w:t>
                        </w:r>
                      </w:p>
                    </w:txbxContent>
                  </v:textbox>
                </v:shape>
                <v:line id="Line 357" o:spid="_x0000_s1653" style="position:absolute;flip:x;visibility:visible;mso-wrap-style:square" from="5493,8521" to="5775,85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">
                  <v:stroke endarrow="block"/>
                </v:line>
                <v:line id="Line 358" o:spid="_x0000_s1654" style="position:absolute;flip:x;visibility:visible;mso-wrap-style:square" from="5491,11901" to="5773,119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">
                  <v:stroke endarrow="block"/>
                </v:line>
                <v:line id="Line 359" o:spid="_x0000_s1655" style="position:absolute;flip:x;visibility:visible;mso-wrap-style:square" from="5492,7732" to="5774,77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">
                  <v:stroke endarrow="block"/>
                </v:line>
                <v:line id="Line 360" o:spid="_x0000_s1656" style="position:absolute;flip:x;visibility:visible;mso-wrap-style:square" from="5459,9134" to="5741,91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">
                  <v:stroke endarrow="block"/>
                </v:line>
                <v:line id="Line 361" o:spid="_x0000_s1657" style="position:absolute;flip:x;visibility:visible;mso-wrap-style:square" from="5491,10349" to="5773,10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">
                  <v:stroke endarrow="block"/>
                </v:line>
                <v:line id="Line 362" o:spid="_x0000_s1658" style="position:absolute;flip:x;visibility:visible;mso-wrap-style:square" from="5491,10970" to="5773,10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">
                  <v:stroke endarrow="block"/>
                </v:line>
                <v:line id="Line 363" o:spid="_x0000_s1659" style="position:absolute;visibility:visible;mso-wrap-style:square" from="5811,7312" to="5812,13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"/>
                <v:line id="Line 364" o:spid="_x0000_s1660" style="position:absolute;visibility:visible;mso-wrap-style:square" from="5741,7308" to="5742,12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"/>
                <v:line id="Line 365" o:spid="_x0000_s1661" style="position:absolute;visibility:visible;mso-wrap-style:square" from="5812,12331" to="6094,123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">
                  <v:stroke endarrow="block"/>
                </v:line>
                <v:line id="Line 366" o:spid="_x0000_s1662" style="position:absolute;visibility:visible;mso-wrap-style:square" from="5810,11773" to="6092,117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">
                  <v:stroke endarrow="block"/>
                </v:line>
                <v:line id="Line 367" o:spid="_x0000_s1663" style="position:absolute;visibility:visible;mso-wrap-style:square" from="5812,11354" to="6094,113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">
                  <v:stroke endarrow="block"/>
                </v:line>
                <v:line id="Line 368" o:spid="_x0000_s1664" style="position:absolute;visibility:visible;mso-wrap-style:square" from="5812,10984" to="6094,109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">
                  <v:stroke endarrow="block"/>
                </v:line>
                <v:line id="Line 369" o:spid="_x0000_s1665" style="position:absolute;visibility:visible;mso-wrap-style:square" from="5812,13035" to="6094,13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">
                  <v:stroke endarrow="block"/>
                </v:line>
                <v:line id="Line 370" o:spid="_x0000_s1666" style="position:absolute;visibility:visible;mso-wrap-style:square" from="5812,10351" to="6094,10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">
                  <v:stroke endarrow="block"/>
                </v:line>
                <v:line id="Line 371" o:spid="_x0000_s1667" style="position:absolute;visibility:visible;mso-wrap-style:square" from="5812,9821" to="6094,98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">
                  <v:stroke endarrow="block"/>
                </v:line>
                <v:line id="Line 372" o:spid="_x0000_s1668" style="position:absolute;visibility:visible;mso-wrap-style:square" from="5812,8306" to="6094,8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">
                  <v:stroke endarrow="block"/>
                </v:line>
                <v:line id="Line 373" o:spid="_x0000_s1669" style="position:absolute;visibility:visible;mso-wrap-style:square" from="5810,7733" to="6092,7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">
                  <v:stroke endarrow="block"/>
                </v:line>
                <v:line id="Line 374" o:spid="_x0000_s1670" style="position:absolute;visibility:visible;mso-wrap-style:square" from="5810,8982" to="6092,89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">
                  <v:stroke endarrow="block"/>
                </v:line>
                <v:line id="Line 375" o:spid="_x0000_s1671" style="position:absolute;visibility:visible;mso-wrap-style:square" from="3269,3456" to="3410,3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"/>
                <v:line id="Line 376" o:spid="_x0000_s1672" style="position:absolute;visibility:visible;mso-wrap-style:square" from="3269,4245" to="3410,42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"/>
                <v:line id="Line 377" o:spid="_x0000_s1673" style="position:absolute;visibility:visible;mso-wrap-style:square" from="3409,4851" to="4257,4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"/>
                <v:line id="Line 378" o:spid="_x0000_s1674" style="position:absolute;visibility:visible;mso-wrap-style:square" from="3128,5640" to="4257,56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"/>
                <v:line id="Line 379" o:spid="_x0000_s1675" style="position:absolute;visibility:visible;mso-wrap-style:square" from="2846,7592" to="2987,7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"/>
                <v:line id="Line 380" o:spid="_x0000_s1676" style="position:absolute;visibility:visible;mso-wrap-style:square" from="2846,8519" to="2987,85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"/>
                <v:line id="Line 381" o:spid="_x0000_s1677" style="position:absolute;visibility:visible;mso-wrap-style:square" from="2847,9150" to="2988,91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"/>
                <v:line id="Line 382" o:spid="_x0000_s1678" style="position:absolute;visibility:visible;mso-wrap-style:square" from="2846,9543" to="2987,95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"/>
                <v:line id="Line 383" o:spid="_x0000_s1679" style="position:absolute;visibility:visible;mso-wrap-style:square" from="2846,10240" to="2987,10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"/>
                <v:line id="Line 384" o:spid="_x0000_s1680" style="position:absolute;visibility:visible;mso-wrap-style:square" from="2846,10937" to="2987,109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"/>
                <v:line id="Line 385" o:spid="_x0000_s1681" style="position:absolute;visibility:visible;mso-wrap-style:square" from="2846,11773" to="2987,117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"/>
                <v:line id="Line 386" o:spid="_x0000_s1682" style="position:absolute;flip:x;visibility:visible;mso-wrap-style:square" from="8493,7592" to="8634,7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"/>
                <v:line id="Line 387" o:spid="_x0000_s1683" style="position:absolute;flip:x;visibility:visible;mso-wrap-style:square" from="8493,8308" to="8634,83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"/>
                <v:line id="Line 388" o:spid="_x0000_s1684" style="position:absolute;visibility:visible;mso-wrap-style:square" from="8493,8846" to="8634,88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"/>
                <v:line id="Line 389" o:spid="_x0000_s1685" style="position:absolute;flip:x;visibility:visible;mso-wrap-style:square" from="8493,9790" to="8634,97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"/>
                <v:line id="Line 390" o:spid="_x0000_s1686" style="position:absolute;flip:x;visibility:visible;mso-wrap-style:square" from="8493,13027" to="8634,13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"/>
                <v:line id="Line 391" o:spid="_x0000_s1687" style="position:absolute;flip:x;visibility:visible;mso-wrap-style:square" from="8493,11355" to="8634,11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"/>
                <v:line id="Line 392" o:spid="_x0000_s1688" style="position:absolute;flip:x;visibility:visible;mso-wrap-style:square" from="8492,10461" to="8633,10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"/>
                <v:line id="Line 393" o:spid="_x0000_s1689" style="position:absolute;flip:x;visibility:visible;mso-wrap-style:square" from="8493,11773" to="8634,117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"/>
                <v:line id="Line 394" o:spid="_x0000_s1690" style="position:absolute;flip:x;visibility:visible;mso-wrap-style:square" from="8493,12330" to="8634,12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"/>
                <v:line id="Line 395" o:spid="_x0000_s1691" style="position:absolute;visibility:visible;mso-wrap-style:square" from="2846,12748" to="2987,12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"/>
                <v:line id="Line 396" o:spid="_x0000_s1692" style="position:absolute;flip:x;visibility:visible;mso-wrap-style:square" from="5491,12887" to="5773,128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">
                  <v:stroke endarrow="block"/>
                </v:line>
                <v:line id="Line 397" o:spid="_x0000_s1693" style="position:absolute;visibility:visible;mso-wrap-style:square" from="8492,10971" to="8633,10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"/>
                <v:shape id="Text Box 398" o:spid="_x0000_s1694" type="#_x0000_t202" style="position:absolute;left:6094;top:12917;width:2399;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">
                  <v:textbox inset=".5mm,.3mm,.5mm,.3mm">
                    <w:txbxContent>
                      <w:p w:rsidR="00BE40F8" w:rsidRPr="002F266E" w:rsidRDefault="00BE40F8" w:rsidP="00B233DE">
                        <w:pPr>
                          <w:ind w:firstLine="0"/>
                          <w:jc w:val="center"/>
                          <w:rPr>
                            <w:rFonts w:ascii="Times New Roman" w:hAnsi="Times New Roman" w:cs="Times New Roman"/>
                            <w:sz w:val="14"/>
                            <w:szCs w:val="14"/>
                          </w:rPr>
                        </w:pPr>
                        <w:r w:rsidRPr="002F266E">
                          <w:rPr>
                            <w:rFonts w:ascii="Times New Roman" w:hAnsi="Times New Roman" w:cs="Times New Roman"/>
                            <w:sz w:val="14"/>
                            <w:szCs w:val="14"/>
                          </w:rPr>
                          <w:t>Знелюднення територій</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399" o:spid="_x0000_s1695" type="#_x0000_t67" style="position:absolute;left:3693;top:2714;width:424;height:1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" strokeweight="1.25pt"/>
                <v:shape id="AutoShape 400" o:spid="_x0000_s1696" type="#_x0000_t67" style="position:absolute;left:7505;top:2714;width:424;height: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" strokeweight="1.25pt"/>
                <v:line id="Line 401" o:spid="_x0000_s1697" style="position:absolute;visibility:visible;mso-wrap-style:square" from="4399,3410" to="4822,3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"/>
                <v:line id="Line 402" o:spid="_x0000_s1698" style="position:absolute;visibility:visible;mso-wrap-style:square" from="5810,3410" to="6093,34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"/>
                <v:line id="Line 403" o:spid="_x0000_s1699" style="position:absolute;visibility:visible;mso-wrap-style:square" from="4399,4247" to="4822,42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"/>
                <v:line id="Line 404" o:spid="_x0000_s1700" style="position:absolute;visibility:visible;mso-wrap-style:square" from="5810,4247" to="6377,42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"/>
                <v:line id="Line 405" o:spid="_x0000_s1701" style="position:absolute;visibility:visible;mso-wrap-style:square" from="7363,4247" to="7646,42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"/>
                <v:shape id="AutoShape 406" o:spid="_x0000_s1702" type="#_x0000_t67" style="position:absolute;left:4116;top:3829;width:424;height: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"/>
                <v:shape id="AutoShape 407" o:spid="_x0000_s1703" type="#_x0000_t67" style="position:absolute;left:7222;top:3829;width:423;height: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"/>
                <v:line id="Line 408" o:spid="_x0000_s1704" style="position:absolute;flip:y;visibility:visible;mso-wrap-style:square" from="5669,4850" to="7222,4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"/>
                <v:shape id="AutoShape 409" o:spid="_x0000_s1705" type="#_x0000_t67" style="position:absolute;left:4116;top:4525;width:424;height: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"/>
                <v:shape id="AutoShape 410" o:spid="_x0000_s1706" type="#_x0000_t67" style="position:absolute;left:7222;top:4525;width:423;height: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"/>
                <v:line id="Line 411" o:spid="_x0000_s1707" style="position:absolute;visibility:visible;mso-wrap-style:square" from="7081,3410" to="7505,34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"/>
                <v:line id="Line 412" o:spid="_x0000_s1708" style="position:absolute;visibility:visible;mso-wrap-style:square" from="5669,5640" to="6798,56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"/>
                <v:shape id="AutoShape 413" o:spid="_x0000_s1709" type="#_x0000_t67" style="position:absolute;left:4116;top:5179;width:424;height: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"/>
                <v:shape id="AutoShape 414" o:spid="_x0000_s1710" type="#_x0000_t67" style="position:absolute;left:7222;top:5179;width:424;height: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"/>
                <v:shape id="AutoShape 415" o:spid="_x0000_s1711" type="#_x0000_t67" style="position:absolute;left:4116;top:5965;width:424;height: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"/>
                <v:shape id="AutoShape 416" o:spid="_x0000_s1712" type="#_x0000_t67" style="position:absolute;left:7222;top:5965;width:424;height: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"/>
                <v:shape id="AutoShape 417" o:spid="_x0000_s1713" type="#_x0000_t67" style="position:absolute;left:6657;top:6711;width:425;height:3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" strokeweight="1.25pt"/>
                <v:shape id="AutoShape 418" o:spid="_x0000_s1714" type="#_x0000_t67" style="position:absolute;left:4399;top:6711;width:425;height:3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" strokeweight="1.25pt"/>
                <v:line id="Line 419" o:spid="_x0000_s1715" style="position:absolute;flip:x;visibility:visible;mso-wrap-style:square" from="5492,9545" to="5773,9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">
                  <v:stroke endarrow="block"/>
                </v:line>
                <w10:anchorlock/>
              </v:group>
            </w:pict>
          </mc:Fallback>
        </mc:AlternateContent>
      </w:r>
    </w:p>
    <w:p w:rsidR="00B233DE" w:rsidRPr="0039454F" w:rsidRDefault="00B233DE" w:rsidP="00B233DE">
      <w:pPr>
        <w:ind w:firstLine="708"/>
        <w:jc w:val="both"/>
        <w:rPr>
          <w:rFonts w:ascii="Times New Roman" w:hAnsi="Times New Roman" w:cs="Times New Roman"/>
          <w:sz w:val="6"/>
          <w:szCs w:val="6"/>
          <w:lang w:val="ru-RU"/>
        </w:rPr>
      </w:pPr>
    </w:p>
    <w:p w:rsidR="00B233DE" w:rsidRPr="00A577B5" w:rsidRDefault="00B233DE" w:rsidP="00B233DE">
      <w:pPr>
        <w:ind w:firstLine="709"/>
        <w:jc w:val="center"/>
        <w:rPr>
          <w:rFonts w:ascii="Times New Roman" w:hAnsi="Times New Roman" w:cs="Times New Roman"/>
          <w:b/>
          <w:sz w:val="21"/>
          <w:szCs w:val="21"/>
        </w:rPr>
      </w:pPr>
      <w:r w:rsidRPr="00A577B5">
        <w:rPr>
          <w:rFonts w:ascii="Times New Roman" w:hAnsi="Times New Roman" w:cs="Times New Roman"/>
          <w:b/>
          <w:sz w:val="21"/>
          <w:szCs w:val="21"/>
        </w:rPr>
        <w:t xml:space="preserve">Рис. </w:t>
      </w:r>
      <w:r>
        <w:rPr>
          <w:rFonts w:ascii="Times New Roman" w:hAnsi="Times New Roman" w:cs="Times New Roman"/>
          <w:b/>
          <w:sz w:val="21"/>
          <w:szCs w:val="21"/>
        </w:rPr>
        <w:t>4</w:t>
      </w:r>
      <w:r w:rsidRPr="00A577B5">
        <w:rPr>
          <w:rFonts w:ascii="Times New Roman" w:hAnsi="Times New Roman" w:cs="Times New Roman"/>
          <w:b/>
          <w:sz w:val="21"/>
          <w:szCs w:val="21"/>
        </w:rPr>
        <w:t>.</w:t>
      </w:r>
      <w:r>
        <w:rPr>
          <w:rFonts w:ascii="Times New Roman" w:hAnsi="Times New Roman" w:cs="Times New Roman"/>
          <w:b/>
          <w:sz w:val="21"/>
          <w:szCs w:val="21"/>
        </w:rPr>
        <w:t>6.</w:t>
      </w:r>
      <w:r w:rsidRPr="00A577B5">
        <w:rPr>
          <w:rFonts w:ascii="Times New Roman" w:hAnsi="Times New Roman" w:cs="Times New Roman"/>
          <w:b/>
          <w:sz w:val="21"/>
          <w:szCs w:val="21"/>
        </w:rPr>
        <w:t xml:space="preserve"> Наслідки міграційного перерозподілу людського потенціалу</w:t>
      </w:r>
    </w:p>
    <w:p w:rsidR="00B233DE" w:rsidRPr="00A577B5" w:rsidRDefault="00B233DE" w:rsidP="00B233DE">
      <w:pPr>
        <w:ind w:firstLine="709"/>
        <w:jc w:val="both"/>
        <w:rPr>
          <w:rFonts w:ascii="Times New Roman" w:hAnsi="Times New Roman" w:cs="Times New Roman"/>
          <w:spacing w:val="-6"/>
          <w:sz w:val="21"/>
          <w:szCs w:val="21"/>
        </w:rPr>
      </w:pPr>
      <w:r w:rsidRPr="00A577B5">
        <w:rPr>
          <w:rFonts w:ascii="Times New Roman" w:hAnsi="Times New Roman" w:cs="Times New Roman"/>
          <w:spacing w:val="-6"/>
          <w:sz w:val="21"/>
          <w:szCs w:val="21"/>
        </w:rPr>
        <w:lastRenderedPageBreak/>
        <w:t>Наприклад, перерозподіл освітньо-кваліфікаційної складової людського потенціалу шляхом тимчасової добровільної легальної еміграції кваліфікованих працівників проявляється у підвищенні економічного, інтелектуального та трудового потенціалу і водночас посилення напруги на внутрішньому ринку праці, необхідності додаткових фінансових витрат на адаптацію та інтеграцію у країнах призначення; втраті трудового, інтелектуального та освітньо-кваліфікаційного потенціалу і водночас покращенні соціально-економічних, інноваційних та освітніх умов розвитку ЛП у країнах походження.</w:t>
      </w:r>
    </w:p>
    <w:p w:rsidR="00B233DE" w:rsidRPr="00A577B5" w:rsidRDefault="00B233DE" w:rsidP="00B233DE">
      <w:pPr>
        <w:ind w:firstLine="709"/>
        <w:jc w:val="both"/>
        <w:rPr>
          <w:rFonts w:ascii="Times New Roman" w:hAnsi="Times New Roman" w:cs="Times New Roman"/>
          <w:spacing w:val="-6"/>
          <w:sz w:val="21"/>
          <w:szCs w:val="21"/>
        </w:rPr>
      </w:pPr>
      <w:r w:rsidRPr="00A577B5">
        <w:rPr>
          <w:rFonts w:ascii="Times New Roman" w:hAnsi="Times New Roman" w:cs="Times New Roman"/>
          <w:spacing w:val="-6"/>
          <w:sz w:val="21"/>
          <w:szCs w:val="21"/>
        </w:rPr>
        <w:t xml:space="preserve">Відповідно до наслідків, з метою посилення їх позитивного ефекту і зменшення негативного, формуються цілі міграційного перерозподілу, для реалізації яких застосовуються конкретні інструменти. Використання даних інструментів забезпечує отримання загальних результатів розвитку людського потенціалу шляхом міграції. Наприклад, зростання доходів та отримання інвестиційних ресурсів країною походження завдяки потокам грошових переказів викликає необхідність стимулювання та регулювання цих потоків, що здійснюється за допомогою економічних реформ і двосторонніх угод з країнами призначення та сприяє підвищенню показників людського розвитку і зменшення готовності мігрувати завдяки покращенню економічної ситуації; підвищення демографічного потенціалу в країнах призначення шляхом збільшення кількості населення та підвищення народжуваності сприяє подоланню демографічних проблем, що забезпечується візовим режимом та встановленням квот і в результаті задовільняє кількісну потребу в людському потенціалі національних економік (рис. </w:t>
      </w:r>
      <w:r>
        <w:rPr>
          <w:rFonts w:ascii="Times New Roman" w:hAnsi="Times New Roman" w:cs="Times New Roman"/>
          <w:spacing w:val="-6"/>
          <w:sz w:val="21"/>
          <w:szCs w:val="21"/>
        </w:rPr>
        <w:t>4.7</w:t>
      </w:r>
      <w:r w:rsidRPr="00A577B5">
        <w:rPr>
          <w:rFonts w:ascii="Times New Roman" w:hAnsi="Times New Roman" w:cs="Times New Roman"/>
          <w:spacing w:val="-6"/>
          <w:sz w:val="21"/>
          <w:szCs w:val="21"/>
        </w:rPr>
        <w:t>).</w:t>
      </w:r>
    </w:p>
    <w:p w:rsidR="00B233DE" w:rsidRPr="00A577B5" w:rsidRDefault="00B233DE" w:rsidP="00B233DE">
      <w:pPr>
        <w:ind w:firstLine="709"/>
        <w:jc w:val="both"/>
        <w:rPr>
          <w:rFonts w:ascii="Times New Roman" w:hAnsi="Times New Roman" w:cs="Times New Roman"/>
          <w:sz w:val="21"/>
          <w:szCs w:val="21"/>
        </w:rPr>
      </w:pPr>
      <w:r w:rsidRPr="00A577B5">
        <w:rPr>
          <w:rFonts w:ascii="Times New Roman" w:hAnsi="Times New Roman" w:cs="Times New Roman"/>
          <w:spacing w:val="-6"/>
          <w:sz w:val="21"/>
          <w:szCs w:val="21"/>
        </w:rPr>
        <w:t>Аналіз складових людського потенціалу та наслідків їх міграційного перерозподілу вказує на превалюючу роль демографічного та освітньо-кваліфікаційного чинника у формуванні ЛП. Виокремлення основних видів міграції за часом та якісним складом дає змогу прослідкувати ефект від міграційного перерозподілу демографічної та освітньо-кваліфікаційної складових ЛП і виникнення міграційного кругообігу завдяки зростанню міграційної привабливості країн на основі підвищення показників людського розвитку.</w:t>
      </w:r>
    </w:p>
    <w:p w:rsidR="00B233DE" w:rsidRPr="00A577B5" w:rsidRDefault="00B233DE" w:rsidP="00B233DE">
      <w:pPr>
        <w:ind w:firstLine="709"/>
        <w:jc w:val="both"/>
        <w:rPr>
          <w:rFonts w:ascii="Times New Roman" w:hAnsi="Times New Roman" w:cs="Times New Roman"/>
          <w:sz w:val="21"/>
          <w:szCs w:val="21"/>
        </w:rPr>
      </w:pPr>
      <w:r w:rsidRPr="008A717A">
        <w:rPr>
          <w:rFonts w:ascii="Times New Roman" w:hAnsi="Times New Roman" w:cs="Times New Roman"/>
          <w:sz w:val="21"/>
          <w:szCs w:val="21"/>
        </w:rPr>
        <w:t>Постійна міграція низькокваліфікованих працівників впливає головним чином кількісно на демографічну складову людського потенціалу у країнах призначення.</w:t>
      </w:r>
    </w:p>
    <w:p w:rsidR="00B233DE" w:rsidRPr="00A577B5"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sectPr w:rsidR="00B233DE" w:rsidSect="0023489B">
          <w:footerReference w:type="default" r:id="rId56"/>
          <w:pgSz w:w="8392" w:h="11907" w:code="11"/>
          <w:pgMar w:top="1134" w:right="1134" w:bottom="1134" w:left="1134" w:header="709" w:footer="709" w:gutter="0"/>
          <w:pgNumType w:start="4"/>
          <w:cols w:space="708"/>
          <w:docGrid w:linePitch="360"/>
        </w:sectPr>
      </w:pPr>
    </w:p>
    <w:p w:rsidR="00B233DE" w:rsidRPr="00FA220A" w:rsidRDefault="00B233DE" w:rsidP="00B233DE">
      <w:pPr>
        <w:ind w:firstLine="0"/>
        <w:jc w:val="center"/>
        <w:rPr>
          <w:rFonts w:ascii="Times New Roman" w:hAnsi="Times New Roman" w:cs="Times New Roman"/>
          <w:b/>
          <w:sz w:val="21"/>
          <w:szCs w:val="21"/>
        </w:rPr>
      </w:pPr>
      <w:r w:rsidRPr="00FA220A">
        <w:rPr>
          <w:rFonts w:ascii="Times New Roman" w:hAnsi="Times New Roman" w:cs="Times New Roman"/>
          <w:b/>
          <w:noProof/>
          <w:lang w:val="ru-RU" w:eastAsia="ru-RU"/>
        </w:rPr>
        <w:lastRenderedPageBreak/>
        <mc:AlternateContent>
          <mc:Choice Requires="wpg">
            <w:drawing>
              <wp:anchor distT="0" distB="0" distL="114300" distR="114300" simplePos="0" relativeHeight="251691008" behindDoc="0" locked="0" layoutInCell="1" allowOverlap="1" wp14:anchorId="394263D6" wp14:editId="42FCD0E6">
                <wp:simplePos x="0" y="0"/>
                <wp:positionH relativeFrom="column">
                  <wp:posOffset>-26035</wp:posOffset>
                </wp:positionH>
                <wp:positionV relativeFrom="paragraph">
                  <wp:posOffset>-373380</wp:posOffset>
                </wp:positionV>
                <wp:extent cx="6180455" cy="3869055"/>
                <wp:effectExtent l="0" t="0" r="10795" b="17145"/>
                <wp:wrapTopAndBottom/>
                <wp:docPr id="1064" name="Group 4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80455" cy="3869055"/>
                          <a:chOff x="4468" y="1647"/>
                          <a:chExt cx="7470" cy="4857"/>
                        </a:xfrm>
                      </wpg:grpSpPr>
                      <wps:wsp>
                        <wps:cNvPr id="1065" name="Text Box 421"/>
                        <wps:cNvSpPr txBox="1">
                          <a:spLocks noChangeArrowheads="1"/>
                        </wps:cNvSpPr>
                        <wps:spPr bwMode="auto">
                          <a:xfrm>
                            <a:off x="4468" y="4411"/>
                            <a:ext cx="360" cy="171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40F8" w:rsidRPr="00AD4E84" w:rsidRDefault="00BE40F8" w:rsidP="00B233DE">
                              <w:pPr>
                                <w:ind w:firstLine="0"/>
                                <w:jc w:val="center"/>
                                <w:rPr>
                                  <w:rFonts w:ascii="Times New Roman" w:hAnsi="Times New Roman" w:cs="Times New Roman"/>
                                  <w:spacing w:val="20"/>
                                  <w:sz w:val="14"/>
                                  <w:szCs w:val="14"/>
                                </w:rPr>
                              </w:pPr>
                              <w:r w:rsidRPr="00AD4E84">
                                <w:rPr>
                                  <w:rFonts w:ascii="Times New Roman" w:hAnsi="Times New Roman" w:cs="Times New Roman"/>
                                  <w:spacing w:val="20"/>
                                  <w:sz w:val="14"/>
                                  <w:szCs w:val="14"/>
                                </w:rPr>
                                <w:t>Країни походження</w:t>
                              </w:r>
                            </w:p>
                          </w:txbxContent>
                        </wps:txbx>
                        <wps:bodyPr rot="0" vert="vert270" wrap="square" lIns="91440" tIns="45720" rIns="91440" bIns="45720" anchor="t" anchorCtr="0" upright="1">
                          <a:noAutofit/>
                        </wps:bodyPr>
                      </wps:wsp>
                      <wps:wsp>
                        <wps:cNvPr id="1066" name="Text Box 422"/>
                        <wps:cNvSpPr txBox="1">
                          <a:spLocks noChangeArrowheads="1"/>
                        </wps:cNvSpPr>
                        <wps:spPr bwMode="auto">
                          <a:xfrm>
                            <a:off x="4738" y="4615"/>
                            <a:ext cx="900" cy="720"/>
                          </a:xfrm>
                          <a:prstGeom prst="rect">
                            <a:avLst/>
                          </a:prstGeom>
                          <a:solidFill>
                            <a:srgbClr val="FFFFFF"/>
                          </a:solidFill>
                          <a:ln w="9525">
                            <a:solidFill>
                              <a:srgbClr val="000000"/>
                            </a:solidFill>
                            <a:miter lim="800000"/>
                            <a:headEnd/>
                            <a:tailEnd/>
                          </a:ln>
                        </wps:spPr>
                        <wps:txbx>
                          <w:txbxContent>
                            <w:p w:rsidR="00BE40F8" w:rsidRPr="000539CC" w:rsidRDefault="00BE40F8" w:rsidP="00B233DE">
                              <w:pPr>
                                <w:spacing w:line="230" w:lineRule="auto"/>
                                <w:ind w:firstLine="0"/>
                                <w:jc w:val="center"/>
                                <w:rPr>
                                  <w:rFonts w:ascii="Times New Roman" w:hAnsi="Times New Roman" w:cs="Times New Roman"/>
                                  <w:sz w:val="14"/>
                                  <w:szCs w:val="14"/>
                                </w:rPr>
                              </w:pPr>
                              <w:r w:rsidRPr="000539CC">
                                <w:rPr>
                                  <w:rFonts w:ascii="Times New Roman" w:hAnsi="Times New Roman" w:cs="Times New Roman"/>
                                  <w:sz w:val="14"/>
                                  <w:szCs w:val="14"/>
                                </w:rPr>
                                <w:t>Набуття досвіду, навичок та квалі</w:t>
                              </w:r>
                              <w:r>
                                <w:rPr>
                                  <w:rFonts w:ascii="Times New Roman" w:hAnsi="Times New Roman" w:cs="Times New Roman"/>
                                  <w:sz w:val="14"/>
                                  <w:szCs w:val="14"/>
                                  <w:lang w:val="ru-RU"/>
                                </w:rPr>
                                <w:t>-</w:t>
                              </w:r>
                              <w:r w:rsidRPr="000539CC">
                                <w:rPr>
                                  <w:rFonts w:ascii="Times New Roman" w:hAnsi="Times New Roman" w:cs="Times New Roman"/>
                                  <w:sz w:val="14"/>
                                  <w:szCs w:val="14"/>
                                </w:rPr>
                                <w:t>фікації у сфері управління та під</w:t>
                              </w:r>
                              <w:r>
                                <w:rPr>
                                  <w:rFonts w:ascii="Times New Roman" w:hAnsi="Times New Roman" w:cs="Times New Roman"/>
                                  <w:sz w:val="14"/>
                                  <w:szCs w:val="14"/>
                                  <w:lang w:val="en-US"/>
                                </w:rPr>
                                <w:t>-</w:t>
                              </w:r>
                              <w:r w:rsidRPr="000539CC">
                                <w:rPr>
                                  <w:rFonts w:ascii="Times New Roman" w:hAnsi="Times New Roman" w:cs="Times New Roman"/>
                                  <w:sz w:val="14"/>
                                  <w:szCs w:val="14"/>
                                </w:rPr>
                                <w:t>приємницької діяльності</w:t>
                              </w:r>
                            </w:p>
                          </w:txbxContent>
                        </wps:txbx>
                        <wps:bodyPr rot="0" vert="horz" wrap="square" lIns="0" tIns="0" rIns="0" bIns="0" anchor="ctr" anchorCtr="0" upright="1">
                          <a:noAutofit/>
                        </wps:bodyPr>
                      </wps:wsp>
                      <wps:wsp>
                        <wps:cNvPr id="1067" name="Text Box 423"/>
                        <wps:cNvSpPr txBox="1">
                          <a:spLocks noChangeArrowheads="1"/>
                        </wps:cNvSpPr>
                        <wps:spPr bwMode="auto">
                          <a:xfrm>
                            <a:off x="5728" y="4951"/>
                            <a:ext cx="990" cy="270"/>
                          </a:xfrm>
                          <a:prstGeom prst="rect">
                            <a:avLst/>
                          </a:prstGeom>
                          <a:solidFill>
                            <a:srgbClr val="FFFFFF"/>
                          </a:solidFill>
                          <a:ln w="9525">
                            <a:solidFill>
                              <a:srgbClr val="000000"/>
                            </a:solidFill>
                            <a:miter lim="800000"/>
                            <a:headEnd/>
                            <a:tailEnd/>
                          </a:ln>
                        </wps:spPr>
                        <wps:txbx>
                          <w:txbxContent>
                            <w:p w:rsidR="00BE40F8" w:rsidRPr="000539CC" w:rsidRDefault="00BE40F8" w:rsidP="00B233DE">
                              <w:pPr>
                                <w:ind w:firstLine="0"/>
                                <w:jc w:val="center"/>
                                <w:rPr>
                                  <w:rFonts w:ascii="Times New Roman" w:hAnsi="Times New Roman" w:cs="Times New Roman"/>
                                  <w:sz w:val="14"/>
                                  <w:szCs w:val="14"/>
                                </w:rPr>
                              </w:pPr>
                              <w:r w:rsidRPr="000539CC">
                                <w:rPr>
                                  <w:rFonts w:ascii="Times New Roman" w:hAnsi="Times New Roman" w:cs="Times New Roman"/>
                                  <w:sz w:val="14"/>
                                  <w:szCs w:val="14"/>
                                </w:rPr>
                                <w:t>Передача знань, технологій, ноу-хау</w:t>
                              </w:r>
                            </w:p>
                          </w:txbxContent>
                        </wps:txbx>
                        <wps:bodyPr rot="0" vert="horz" wrap="square" lIns="0" tIns="0" rIns="0" bIns="0" anchor="ctr" anchorCtr="0" upright="1">
                          <a:noAutofit/>
                        </wps:bodyPr>
                      </wps:wsp>
                      <wps:wsp>
                        <wps:cNvPr id="1068" name="Text Box 424"/>
                        <wps:cNvSpPr txBox="1">
                          <a:spLocks noChangeArrowheads="1"/>
                        </wps:cNvSpPr>
                        <wps:spPr bwMode="auto">
                          <a:xfrm>
                            <a:off x="4738" y="5401"/>
                            <a:ext cx="900" cy="270"/>
                          </a:xfrm>
                          <a:prstGeom prst="rect">
                            <a:avLst/>
                          </a:prstGeom>
                          <a:solidFill>
                            <a:srgbClr val="FFFFFF"/>
                          </a:solidFill>
                          <a:ln w="9525">
                            <a:solidFill>
                              <a:srgbClr val="000000"/>
                            </a:solidFill>
                            <a:miter lim="800000"/>
                            <a:headEnd/>
                            <a:tailEnd/>
                          </a:ln>
                        </wps:spPr>
                        <wps:txbx>
                          <w:txbxContent>
                            <w:p w:rsidR="00BE40F8" w:rsidRPr="00880B53" w:rsidRDefault="00BE40F8" w:rsidP="00B233DE">
                              <w:pPr>
                                <w:ind w:firstLine="0"/>
                                <w:jc w:val="center"/>
                                <w:rPr>
                                  <w:rFonts w:ascii="Times New Roman" w:hAnsi="Times New Roman" w:cs="Times New Roman"/>
                                  <w:sz w:val="14"/>
                                  <w:szCs w:val="14"/>
                                </w:rPr>
                              </w:pPr>
                              <w:r w:rsidRPr="00880B53">
                                <w:rPr>
                                  <w:rFonts w:ascii="Times New Roman" w:hAnsi="Times New Roman" w:cs="Times New Roman"/>
                                  <w:sz w:val="14"/>
                                  <w:szCs w:val="14"/>
                                </w:rPr>
                                <w:t>Зменшення кіль</w:t>
                              </w:r>
                              <w:r>
                                <w:rPr>
                                  <w:rFonts w:ascii="Times New Roman" w:hAnsi="Times New Roman" w:cs="Times New Roman"/>
                                  <w:sz w:val="14"/>
                                  <w:szCs w:val="14"/>
                                </w:rPr>
                                <w:t>-</w:t>
                              </w:r>
                              <w:r w:rsidRPr="00880B53">
                                <w:rPr>
                                  <w:rFonts w:ascii="Times New Roman" w:hAnsi="Times New Roman" w:cs="Times New Roman"/>
                                  <w:sz w:val="14"/>
                                  <w:szCs w:val="14"/>
                                </w:rPr>
                                <w:t>кості населення</w:t>
                              </w:r>
                            </w:p>
                          </w:txbxContent>
                        </wps:txbx>
                        <wps:bodyPr rot="0" vert="horz" wrap="square" lIns="0" tIns="0" rIns="0" bIns="0" anchor="ctr" anchorCtr="0" upright="1">
                          <a:noAutofit/>
                        </wps:bodyPr>
                      </wps:wsp>
                      <wps:wsp>
                        <wps:cNvPr id="1069" name="Text Box 425"/>
                        <wps:cNvSpPr txBox="1">
                          <a:spLocks noChangeArrowheads="1"/>
                        </wps:cNvSpPr>
                        <wps:spPr bwMode="auto">
                          <a:xfrm>
                            <a:off x="5728" y="5401"/>
                            <a:ext cx="990" cy="270"/>
                          </a:xfrm>
                          <a:prstGeom prst="rect">
                            <a:avLst/>
                          </a:prstGeom>
                          <a:solidFill>
                            <a:srgbClr val="FFFFFF"/>
                          </a:solidFill>
                          <a:ln w="9525">
                            <a:solidFill>
                              <a:srgbClr val="000000"/>
                            </a:solidFill>
                            <a:miter lim="800000"/>
                            <a:headEnd/>
                            <a:tailEnd/>
                          </a:ln>
                        </wps:spPr>
                        <wps:txbx>
                          <w:txbxContent>
                            <w:p w:rsidR="00BE40F8" w:rsidRPr="000539CC" w:rsidRDefault="00BE40F8" w:rsidP="00B233DE">
                              <w:pPr>
                                <w:ind w:firstLine="0"/>
                                <w:jc w:val="center"/>
                                <w:rPr>
                                  <w:rFonts w:ascii="Times New Roman" w:hAnsi="Times New Roman" w:cs="Times New Roman"/>
                                  <w:sz w:val="14"/>
                                  <w:szCs w:val="14"/>
                                </w:rPr>
                              </w:pPr>
                              <w:r w:rsidRPr="000539CC">
                                <w:rPr>
                                  <w:rFonts w:ascii="Times New Roman" w:hAnsi="Times New Roman" w:cs="Times New Roman"/>
                                  <w:sz w:val="14"/>
                                  <w:szCs w:val="14"/>
                                </w:rPr>
                                <w:t>Зменшення рівня народжуваності</w:t>
                              </w:r>
                            </w:p>
                          </w:txbxContent>
                        </wps:txbx>
                        <wps:bodyPr rot="0" vert="horz" wrap="square" lIns="0" tIns="0" rIns="0" bIns="0" anchor="ctr" anchorCtr="0" upright="1">
                          <a:noAutofit/>
                        </wps:bodyPr>
                      </wps:wsp>
                      <wps:wsp>
                        <wps:cNvPr id="1070" name="Text Box 426"/>
                        <wps:cNvSpPr txBox="1">
                          <a:spLocks noChangeArrowheads="1"/>
                        </wps:cNvSpPr>
                        <wps:spPr bwMode="auto">
                          <a:xfrm>
                            <a:off x="4738" y="5737"/>
                            <a:ext cx="900" cy="360"/>
                          </a:xfrm>
                          <a:prstGeom prst="rect">
                            <a:avLst/>
                          </a:prstGeom>
                          <a:solidFill>
                            <a:srgbClr val="FFFFFF"/>
                          </a:solidFill>
                          <a:ln w="9525">
                            <a:solidFill>
                              <a:srgbClr val="000000"/>
                            </a:solidFill>
                            <a:miter lim="800000"/>
                            <a:headEnd/>
                            <a:tailEnd/>
                          </a:ln>
                        </wps:spPr>
                        <wps:txbx>
                          <w:txbxContent>
                            <w:p w:rsidR="00BE40F8" w:rsidRPr="00880B53" w:rsidRDefault="00BE40F8" w:rsidP="00B233DE">
                              <w:pPr>
                                <w:ind w:firstLine="0"/>
                                <w:jc w:val="center"/>
                                <w:rPr>
                                  <w:rFonts w:ascii="Times New Roman" w:hAnsi="Times New Roman" w:cs="Times New Roman"/>
                                  <w:sz w:val="14"/>
                                  <w:szCs w:val="14"/>
                                </w:rPr>
                              </w:pPr>
                              <w:r w:rsidRPr="00880B53">
                                <w:rPr>
                                  <w:rFonts w:ascii="Times New Roman" w:hAnsi="Times New Roman" w:cs="Times New Roman"/>
                                  <w:sz w:val="14"/>
                                  <w:szCs w:val="14"/>
                                </w:rPr>
                                <w:t>Відтік кваліфі-кованої робочої сили</w:t>
                              </w:r>
                            </w:p>
                          </w:txbxContent>
                        </wps:txbx>
                        <wps:bodyPr rot="0" vert="horz" wrap="square" lIns="0" tIns="0" rIns="0" bIns="0" anchor="ctr" anchorCtr="0" upright="1">
                          <a:noAutofit/>
                        </wps:bodyPr>
                      </wps:wsp>
                      <wps:wsp>
                        <wps:cNvPr id="1071" name="Text Box 427"/>
                        <wps:cNvSpPr txBox="1">
                          <a:spLocks noChangeArrowheads="1"/>
                        </wps:cNvSpPr>
                        <wps:spPr bwMode="auto">
                          <a:xfrm>
                            <a:off x="5728" y="5941"/>
                            <a:ext cx="990" cy="450"/>
                          </a:xfrm>
                          <a:prstGeom prst="rect">
                            <a:avLst/>
                          </a:prstGeom>
                          <a:solidFill>
                            <a:srgbClr val="FFFFFF"/>
                          </a:solidFill>
                          <a:ln w="9525">
                            <a:solidFill>
                              <a:srgbClr val="000000"/>
                            </a:solidFill>
                            <a:miter lim="800000"/>
                            <a:headEnd/>
                            <a:tailEnd/>
                          </a:ln>
                        </wps:spPr>
                        <wps:txbx>
                          <w:txbxContent>
                            <w:p w:rsidR="00BE40F8" w:rsidRPr="00880B53" w:rsidRDefault="00BE40F8" w:rsidP="00B233DE">
                              <w:pPr>
                                <w:ind w:firstLine="0"/>
                                <w:jc w:val="center"/>
                                <w:rPr>
                                  <w:rFonts w:ascii="Times New Roman" w:hAnsi="Times New Roman" w:cs="Times New Roman"/>
                                  <w:sz w:val="14"/>
                                  <w:szCs w:val="14"/>
                                </w:rPr>
                              </w:pPr>
                              <w:r w:rsidRPr="00880B53">
                                <w:rPr>
                                  <w:rFonts w:ascii="Times New Roman" w:hAnsi="Times New Roman" w:cs="Times New Roman"/>
                                  <w:sz w:val="14"/>
                                  <w:szCs w:val="14"/>
                                </w:rPr>
                                <w:t>Розрив сімейних зв’язків, залишення бездоглядних дітей</w:t>
                              </w:r>
                            </w:p>
                          </w:txbxContent>
                        </wps:txbx>
                        <wps:bodyPr rot="0" vert="horz" wrap="square" lIns="0" tIns="0" rIns="0" bIns="0" anchor="ctr" anchorCtr="0" upright="1">
                          <a:noAutofit/>
                        </wps:bodyPr>
                      </wps:wsp>
                      <wps:wsp>
                        <wps:cNvPr id="1072" name="Text Box 428"/>
                        <wps:cNvSpPr txBox="1">
                          <a:spLocks noChangeArrowheads="1"/>
                        </wps:cNvSpPr>
                        <wps:spPr bwMode="auto">
                          <a:xfrm>
                            <a:off x="6808" y="5221"/>
                            <a:ext cx="1080" cy="270"/>
                          </a:xfrm>
                          <a:prstGeom prst="rect">
                            <a:avLst/>
                          </a:prstGeom>
                          <a:solidFill>
                            <a:srgbClr val="FFFFFF"/>
                          </a:solidFill>
                          <a:ln w="9525">
                            <a:solidFill>
                              <a:srgbClr val="000000"/>
                            </a:solidFill>
                            <a:miter lim="800000"/>
                            <a:headEnd/>
                            <a:tailEnd/>
                          </a:ln>
                        </wps:spPr>
                        <wps:txbx>
                          <w:txbxContent>
                            <w:p w:rsidR="00BE40F8" w:rsidRPr="00130FFE" w:rsidRDefault="00BE40F8" w:rsidP="00B233DE">
                              <w:pPr>
                                <w:ind w:firstLine="0"/>
                                <w:jc w:val="center"/>
                                <w:rPr>
                                  <w:rFonts w:ascii="Calibri" w:hAnsi="Calibri"/>
                                  <w:sz w:val="10"/>
                                  <w:szCs w:val="10"/>
                                </w:rPr>
                              </w:pPr>
                              <w:r w:rsidRPr="00880B53">
                                <w:rPr>
                                  <w:rFonts w:ascii="Times New Roman" w:hAnsi="Times New Roman" w:cs="Times New Roman"/>
                                  <w:sz w:val="14"/>
                                  <w:szCs w:val="14"/>
                                </w:rPr>
                                <w:t>Сприяння передачі досвіду та навичок</w:t>
                              </w:r>
                              <w:r w:rsidRPr="00130FFE">
                                <w:rPr>
                                  <w:rFonts w:ascii="Calibri" w:hAnsi="Calibri"/>
                                  <w:sz w:val="10"/>
                                  <w:szCs w:val="10"/>
                                </w:rPr>
                                <w:t xml:space="preserve"> мігрантів</w:t>
                              </w:r>
                            </w:p>
                          </w:txbxContent>
                        </wps:txbx>
                        <wps:bodyPr rot="0" vert="horz" wrap="square" lIns="0" tIns="0" rIns="0" bIns="0" anchor="ctr" anchorCtr="0" upright="1">
                          <a:noAutofit/>
                        </wps:bodyPr>
                      </wps:wsp>
                      <wps:wsp>
                        <wps:cNvPr id="1073" name="Text Box 429"/>
                        <wps:cNvSpPr txBox="1">
                          <a:spLocks noChangeArrowheads="1"/>
                        </wps:cNvSpPr>
                        <wps:spPr bwMode="auto">
                          <a:xfrm>
                            <a:off x="6808" y="5537"/>
                            <a:ext cx="1080" cy="540"/>
                          </a:xfrm>
                          <a:prstGeom prst="rect">
                            <a:avLst/>
                          </a:prstGeom>
                          <a:solidFill>
                            <a:srgbClr val="FFFFFF"/>
                          </a:solidFill>
                          <a:ln w="9525">
                            <a:solidFill>
                              <a:srgbClr val="000000"/>
                            </a:solidFill>
                            <a:miter lim="800000"/>
                            <a:headEnd/>
                            <a:tailEnd/>
                          </a:ln>
                        </wps:spPr>
                        <wps:txbx>
                          <w:txbxContent>
                            <w:p w:rsidR="00BE40F8" w:rsidRPr="00F82347" w:rsidRDefault="00BE40F8" w:rsidP="00B233DE">
                              <w:pPr>
                                <w:ind w:firstLine="0"/>
                                <w:jc w:val="center"/>
                                <w:rPr>
                                  <w:rFonts w:ascii="Times New Roman" w:hAnsi="Times New Roman" w:cs="Times New Roman"/>
                                  <w:sz w:val="14"/>
                                  <w:szCs w:val="14"/>
                                </w:rPr>
                              </w:pPr>
                              <w:r w:rsidRPr="00F82347">
                                <w:rPr>
                                  <w:rFonts w:ascii="Times New Roman" w:hAnsi="Times New Roman" w:cs="Times New Roman"/>
                                  <w:sz w:val="14"/>
                                  <w:szCs w:val="14"/>
                                </w:rPr>
                                <w:t>Створення сприят-ливих умов для під</w:t>
                              </w:r>
                              <w:r>
                                <w:rPr>
                                  <w:rFonts w:ascii="Times New Roman" w:hAnsi="Times New Roman" w:cs="Times New Roman"/>
                                  <w:sz w:val="14"/>
                                  <w:szCs w:val="14"/>
                                </w:rPr>
                                <w:t>-</w:t>
                              </w:r>
                              <w:r w:rsidRPr="00F82347">
                                <w:rPr>
                                  <w:rFonts w:ascii="Times New Roman" w:hAnsi="Times New Roman" w:cs="Times New Roman"/>
                                  <w:sz w:val="14"/>
                                  <w:szCs w:val="14"/>
                                </w:rPr>
                                <w:t>приємницької діяль</w:t>
                              </w:r>
                              <w:r>
                                <w:rPr>
                                  <w:rFonts w:ascii="Times New Roman" w:hAnsi="Times New Roman" w:cs="Times New Roman"/>
                                  <w:sz w:val="14"/>
                                  <w:szCs w:val="14"/>
                                </w:rPr>
                                <w:t>-</w:t>
                              </w:r>
                              <w:r w:rsidRPr="00F82347">
                                <w:rPr>
                                  <w:rFonts w:ascii="Times New Roman" w:hAnsi="Times New Roman" w:cs="Times New Roman"/>
                                  <w:sz w:val="14"/>
                                  <w:szCs w:val="14"/>
                                </w:rPr>
                                <w:t>ності реемігрантів</w:t>
                              </w:r>
                            </w:p>
                          </w:txbxContent>
                        </wps:txbx>
                        <wps:bodyPr rot="0" vert="horz" wrap="square" lIns="0" tIns="0" rIns="0" bIns="0" anchor="ctr" anchorCtr="0" upright="1">
                          <a:noAutofit/>
                        </wps:bodyPr>
                      </wps:wsp>
                      <wps:wsp>
                        <wps:cNvPr id="1074" name="Rectangle 430"/>
                        <wps:cNvSpPr>
                          <a:spLocks noChangeArrowheads="1"/>
                        </wps:cNvSpPr>
                        <wps:spPr bwMode="auto">
                          <a:xfrm>
                            <a:off x="4673" y="4227"/>
                            <a:ext cx="3963" cy="2214"/>
                          </a:xfrm>
                          <a:prstGeom prst="rect">
                            <a:avLst/>
                          </a:prstGeom>
                          <a:solidFill>
                            <a:srgbClr val="FFFFFF">
                              <a:alpha val="0"/>
                            </a:srgbClr>
                          </a:solidFill>
                          <a:ln w="9525">
                            <a:solidFill>
                              <a:srgbClr val="000000"/>
                            </a:solidFill>
                            <a:prstDash val="dash"/>
                            <a:miter lim="800000"/>
                            <a:headEnd/>
                            <a:tailEnd/>
                          </a:ln>
                        </wps:spPr>
                        <wps:bodyPr rot="0" vert="horz" wrap="square" lIns="91440" tIns="45720" rIns="91440" bIns="45720" anchor="t" anchorCtr="0" upright="1">
                          <a:noAutofit/>
                        </wps:bodyPr>
                      </wps:wsp>
                      <wps:wsp>
                        <wps:cNvPr id="1075" name="Text Box 431"/>
                        <wps:cNvSpPr txBox="1">
                          <a:spLocks noChangeArrowheads="1"/>
                        </wps:cNvSpPr>
                        <wps:spPr bwMode="auto">
                          <a:xfrm>
                            <a:off x="4738" y="6121"/>
                            <a:ext cx="900" cy="270"/>
                          </a:xfrm>
                          <a:prstGeom prst="rect">
                            <a:avLst/>
                          </a:prstGeom>
                          <a:solidFill>
                            <a:srgbClr val="FFFFFF"/>
                          </a:solidFill>
                          <a:ln w="9525">
                            <a:solidFill>
                              <a:srgbClr val="000000"/>
                            </a:solidFill>
                            <a:miter lim="800000"/>
                            <a:headEnd/>
                            <a:tailEnd/>
                          </a:ln>
                        </wps:spPr>
                        <wps:txbx>
                          <w:txbxContent>
                            <w:p w:rsidR="00BE40F8" w:rsidRPr="00880B53" w:rsidRDefault="00BE40F8" w:rsidP="00B233DE">
                              <w:pPr>
                                <w:ind w:firstLine="0"/>
                                <w:jc w:val="center"/>
                                <w:rPr>
                                  <w:rFonts w:ascii="Times New Roman" w:hAnsi="Times New Roman" w:cs="Times New Roman"/>
                                  <w:sz w:val="14"/>
                                  <w:szCs w:val="14"/>
                                </w:rPr>
                              </w:pPr>
                              <w:r w:rsidRPr="00880B53">
                                <w:rPr>
                                  <w:rFonts w:ascii="Times New Roman" w:hAnsi="Times New Roman" w:cs="Times New Roman"/>
                                  <w:sz w:val="14"/>
                                  <w:szCs w:val="14"/>
                                </w:rPr>
                                <w:t>Знелюднення територій</w:t>
                              </w:r>
                            </w:p>
                          </w:txbxContent>
                        </wps:txbx>
                        <wps:bodyPr rot="0" vert="horz" wrap="square" lIns="0" tIns="0" rIns="0" bIns="0" anchor="ctr" anchorCtr="0" upright="1">
                          <a:noAutofit/>
                        </wps:bodyPr>
                      </wps:wsp>
                      <wps:wsp>
                        <wps:cNvPr id="1076" name="Text Box 432"/>
                        <wps:cNvSpPr txBox="1">
                          <a:spLocks noChangeArrowheads="1"/>
                        </wps:cNvSpPr>
                        <wps:spPr bwMode="auto">
                          <a:xfrm>
                            <a:off x="6808" y="6121"/>
                            <a:ext cx="1080" cy="383"/>
                          </a:xfrm>
                          <a:prstGeom prst="rect">
                            <a:avLst/>
                          </a:prstGeom>
                          <a:solidFill>
                            <a:srgbClr val="FFFFFF"/>
                          </a:solidFill>
                          <a:ln w="9525">
                            <a:solidFill>
                              <a:srgbClr val="000000"/>
                            </a:solidFill>
                            <a:miter lim="800000"/>
                            <a:headEnd/>
                            <a:tailEnd/>
                          </a:ln>
                        </wps:spPr>
                        <wps:txbx>
                          <w:txbxContent>
                            <w:p w:rsidR="00BE40F8" w:rsidRPr="00130FFE" w:rsidRDefault="00BE40F8" w:rsidP="00B233DE">
                              <w:pPr>
                                <w:ind w:firstLine="0"/>
                                <w:jc w:val="center"/>
                                <w:rPr>
                                  <w:rFonts w:ascii="Calibri" w:hAnsi="Calibri"/>
                                  <w:sz w:val="10"/>
                                  <w:szCs w:val="10"/>
                                </w:rPr>
                              </w:pPr>
                              <w:r w:rsidRPr="00F82347">
                                <w:rPr>
                                  <w:rFonts w:ascii="Times New Roman" w:hAnsi="Times New Roman" w:cs="Times New Roman"/>
                                  <w:sz w:val="14"/>
                                  <w:szCs w:val="14"/>
                                </w:rPr>
                                <w:t>Сприяння рееміграції висококваліфікованих</w:t>
                              </w:r>
                              <w:r w:rsidRPr="00130FFE">
                                <w:rPr>
                                  <w:rFonts w:ascii="Calibri" w:hAnsi="Calibri"/>
                                  <w:sz w:val="10"/>
                                  <w:szCs w:val="10"/>
                                </w:rPr>
                                <w:t xml:space="preserve"> </w:t>
                              </w:r>
                              <w:r w:rsidRPr="00F82347">
                                <w:rPr>
                                  <w:rFonts w:ascii="Times New Roman" w:hAnsi="Times New Roman" w:cs="Times New Roman"/>
                                  <w:sz w:val="14"/>
                                  <w:szCs w:val="14"/>
                                </w:rPr>
                                <w:t>спеціалістів</w:t>
                              </w:r>
                            </w:p>
                          </w:txbxContent>
                        </wps:txbx>
                        <wps:bodyPr rot="0" vert="horz" wrap="square" lIns="0" tIns="0" rIns="0" bIns="0" anchor="ctr" anchorCtr="0" upright="1">
                          <a:noAutofit/>
                        </wps:bodyPr>
                      </wps:wsp>
                      <wps:wsp>
                        <wps:cNvPr id="1077" name="Text Box 433"/>
                        <wps:cNvSpPr txBox="1">
                          <a:spLocks noChangeArrowheads="1"/>
                        </wps:cNvSpPr>
                        <wps:spPr bwMode="auto">
                          <a:xfrm>
                            <a:off x="8698" y="5851"/>
                            <a:ext cx="720" cy="653"/>
                          </a:xfrm>
                          <a:prstGeom prst="rect">
                            <a:avLst/>
                          </a:prstGeom>
                          <a:solidFill>
                            <a:srgbClr val="FFFFFF"/>
                          </a:solidFill>
                          <a:ln w="9525">
                            <a:solidFill>
                              <a:srgbClr val="000000"/>
                            </a:solidFill>
                            <a:miter lim="800000"/>
                            <a:headEnd/>
                            <a:tailEnd/>
                          </a:ln>
                        </wps:spPr>
                        <wps:txbx>
                          <w:txbxContent>
                            <w:p w:rsidR="00BE40F8" w:rsidRPr="00F82347" w:rsidRDefault="00BE40F8" w:rsidP="00B233DE">
                              <w:pPr>
                                <w:ind w:firstLine="0"/>
                                <w:jc w:val="center"/>
                                <w:rPr>
                                  <w:rFonts w:ascii="Times New Roman" w:hAnsi="Times New Roman" w:cs="Times New Roman"/>
                                  <w:sz w:val="14"/>
                                  <w:szCs w:val="14"/>
                                </w:rPr>
                              </w:pPr>
                              <w:r w:rsidRPr="00F82347">
                                <w:rPr>
                                  <w:rFonts w:ascii="Times New Roman" w:hAnsi="Times New Roman" w:cs="Times New Roman"/>
                                  <w:sz w:val="14"/>
                                  <w:szCs w:val="14"/>
                                </w:rPr>
                                <w:t>Створення освітніх, дослідницьких та наукових мереж</w:t>
                              </w:r>
                            </w:p>
                          </w:txbxContent>
                        </wps:txbx>
                        <wps:bodyPr rot="0" vert="horz" wrap="square" lIns="0" tIns="0" rIns="0" bIns="0" anchor="ctr" anchorCtr="0" upright="1">
                          <a:noAutofit/>
                        </wps:bodyPr>
                      </wps:wsp>
                      <wps:wsp>
                        <wps:cNvPr id="1078" name="Text Box 434"/>
                        <wps:cNvSpPr txBox="1">
                          <a:spLocks noChangeArrowheads="1"/>
                        </wps:cNvSpPr>
                        <wps:spPr bwMode="auto">
                          <a:xfrm>
                            <a:off x="10318" y="1647"/>
                            <a:ext cx="1620" cy="306"/>
                          </a:xfrm>
                          <a:prstGeom prst="rect">
                            <a:avLst/>
                          </a:prstGeom>
                          <a:solidFill>
                            <a:srgbClr val="FFFFFF"/>
                          </a:solidFill>
                          <a:ln w="9525">
                            <a:solidFill>
                              <a:srgbClr val="000000"/>
                            </a:solidFill>
                            <a:miter lim="800000"/>
                            <a:headEnd/>
                            <a:tailEnd/>
                          </a:ln>
                        </wps:spPr>
                        <wps:txbx>
                          <w:txbxContent>
                            <w:p w:rsidR="00BE40F8" w:rsidRPr="00D3048A" w:rsidRDefault="00BE40F8" w:rsidP="00B233DE">
                              <w:pPr>
                                <w:ind w:firstLine="0"/>
                                <w:jc w:val="center"/>
                                <w:rPr>
                                  <w:rFonts w:ascii="Times New Roman" w:hAnsi="Times New Roman" w:cs="Times New Roman"/>
                                  <w:sz w:val="14"/>
                                  <w:szCs w:val="14"/>
                                </w:rPr>
                              </w:pPr>
                              <w:r w:rsidRPr="00D3048A">
                                <w:rPr>
                                  <w:rFonts w:ascii="Times New Roman" w:hAnsi="Times New Roman" w:cs="Times New Roman"/>
                                  <w:sz w:val="14"/>
                                  <w:szCs w:val="14"/>
                                </w:rPr>
                                <w:t>Результати міграційного перерозподілу ЛП</w:t>
                              </w:r>
                            </w:p>
                          </w:txbxContent>
                        </wps:txbx>
                        <wps:bodyPr rot="0" vert="horz" wrap="square" lIns="0" tIns="0" rIns="0" bIns="0" anchor="ctr" anchorCtr="0" upright="1">
                          <a:noAutofit/>
                        </wps:bodyPr>
                      </wps:wsp>
                      <wps:wsp>
                        <wps:cNvPr id="1079" name="Line 435"/>
                        <wps:cNvCnPr>
                          <a:stCxn id="1078" idx="2"/>
                        </wps:cNvCnPr>
                        <wps:spPr bwMode="auto">
                          <a:xfrm>
                            <a:off x="11128" y="1953"/>
                            <a:ext cx="0" cy="11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80" name="Text Box 436"/>
                        <wps:cNvSpPr txBox="1">
                          <a:spLocks noChangeArrowheads="1"/>
                        </wps:cNvSpPr>
                        <wps:spPr bwMode="auto">
                          <a:xfrm>
                            <a:off x="8518" y="1647"/>
                            <a:ext cx="1710" cy="306"/>
                          </a:xfrm>
                          <a:prstGeom prst="rect">
                            <a:avLst/>
                          </a:prstGeom>
                          <a:solidFill>
                            <a:srgbClr val="FFFFFF"/>
                          </a:solidFill>
                          <a:ln w="9525">
                            <a:solidFill>
                              <a:srgbClr val="000000"/>
                            </a:solidFill>
                            <a:miter lim="800000"/>
                            <a:headEnd/>
                            <a:tailEnd/>
                          </a:ln>
                        </wps:spPr>
                        <wps:txbx>
                          <w:txbxContent>
                            <w:p w:rsidR="00BE40F8" w:rsidRPr="00D3048A" w:rsidRDefault="00BE40F8" w:rsidP="00B233DE">
                              <w:pPr>
                                <w:ind w:firstLine="0"/>
                                <w:jc w:val="center"/>
                                <w:rPr>
                                  <w:rFonts w:ascii="Times New Roman" w:hAnsi="Times New Roman" w:cs="Times New Roman"/>
                                  <w:sz w:val="14"/>
                                  <w:szCs w:val="14"/>
                                </w:rPr>
                              </w:pPr>
                              <w:r w:rsidRPr="00D3048A">
                                <w:rPr>
                                  <w:rFonts w:ascii="Times New Roman" w:hAnsi="Times New Roman" w:cs="Times New Roman"/>
                                  <w:sz w:val="14"/>
                                  <w:szCs w:val="14"/>
                                </w:rPr>
                                <w:t>Інструменти міграційного перерозподілу ЛП</w:t>
                              </w:r>
                            </w:p>
                          </w:txbxContent>
                        </wps:txbx>
                        <wps:bodyPr rot="0" vert="horz" wrap="square" lIns="0" tIns="0" rIns="0" bIns="0" anchor="ctr" anchorCtr="0" upright="1">
                          <a:noAutofit/>
                        </wps:bodyPr>
                      </wps:wsp>
                      <wps:wsp>
                        <wps:cNvPr id="1081" name="Text Box 437"/>
                        <wps:cNvSpPr txBox="1">
                          <a:spLocks noChangeArrowheads="1"/>
                        </wps:cNvSpPr>
                        <wps:spPr bwMode="auto">
                          <a:xfrm>
                            <a:off x="7978" y="5851"/>
                            <a:ext cx="630" cy="540"/>
                          </a:xfrm>
                          <a:prstGeom prst="rect">
                            <a:avLst/>
                          </a:prstGeom>
                          <a:solidFill>
                            <a:srgbClr val="FFFFFF"/>
                          </a:solidFill>
                          <a:ln w="9525">
                            <a:solidFill>
                              <a:srgbClr val="000000"/>
                            </a:solidFill>
                            <a:miter lim="800000"/>
                            <a:headEnd/>
                            <a:tailEnd/>
                          </a:ln>
                        </wps:spPr>
                        <wps:txbx>
                          <w:txbxContent>
                            <w:p w:rsidR="00BE40F8" w:rsidRPr="00F82347" w:rsidRDefault="00BE40F8" w:rsidP="00B233DE">
                              <w:pPr>
                                <w:ind w:firstLine="0"/>
                                <w:jc w:val="center"/>
                                <w:rPr>
                                  <w:rFonts w:ascii="Times New Roman" w:hAnsi="Times New Roman" w:cs="Times New Roman"/>
                                  <w:sz w:val="14"/>
                                  <w:szCs w:val="14"/>
                                </w:rPr>
                              </w:pPr>
                              <w:r w:rsidRPr="00F82347">
                                <w:rPr>
                                  <w:rFonts w:ascii="Times New Roman" w:hAnsi="Times New Roman" w:cs="Times New Roman"/>
                                  <w:sz w:val="14"/>
                                  <w:szCs w:val="14"/>
                                </w:rPr>
                                <w:t>Соціальна допомога сім’ям мігрантів</w:t>
                              </w:r>
                            </w:p>
                          </w:txbxContent>
                        </wps:txbx>
                        <wps:bodyPr rot="0" vert="horz" wrap="square" lIns="0" tIns="0" rIns="0" bIns="0" anchor="ctr" anchorCtr="0" upright="1">
                          <a:noAutofit/>
                        </wps:bodyPr>
                      </wps:wsp>
                      <wps:wsp>
                        <wps:cNvPr id="1082" name="Text Box 438"/>
                        <wps:cNvSpPr txBox="1">
                          <a:spLocks noChangeArrowheads="1"/>
                        </wps:cNvSpPr>
                        <wps:spPr bwMode="auto">
                          <a:xfrm>
                            <a:off x="7978" y="5221"/>
                            <a:ext cx="630" cy="516"/>
                          </a:xfrm>
                          <a:prstGeom prst="rect">
                            <a:avLst/>
                          </a:prstGeom>
                          <a:solidFill>
                            <a:srgbClr val="FFFFFF"/>
                          </a:solidFill>
                          <a:ln w="9525">
                            <a:solidFill>
                              <a:srgbClr val="000000"/>
                            </a:solidFill>
                            <a:miter lim="800000"/>
                            <a:headEnd/>
                            <a:tailEnd/>
                          </a:ln>
                        </wps:spPr>
                        <wps:txbx>
                          <w:txbxContent>
                            <w:p w:rsidR="00BE40F8" w:rsidRPr="00F82347" w:rsidRDefault="00BE40F8" w:rsidP="00B233DE">
                              <w:pPr>
                                <w:ind w:firstLine="0"/>
                                <w:jc w:val="center"/>
                                <w:rPr>
                                  <w:rFonts w:ascii="Times New Roman" w:hAnsi="Times New Roman" w:cs="Times New Roman"/>
                                  <w:sz w:val="14"/>
                                  <w:szCs w:val="14"/>
                                </w:rPr>
                              </w:pPr>
                              <w:r w:rsidRPr="00F82347">
                                <w:rPr>
                                  <w:rFonts w:ascii="Times New Roman" w:hAnsi="Times New Roman" w:cs="Times New Roman"/>
                                  <w:sz w:val="14"/>
                                  <w:szCs w:val="14"/>
                                </w:rPr>
                                <w:t>Покращення соціально-економічни</w:t>
                              </w:r>
                              <w:r w:rsidRPr="00130FFE">
                                <w:rPr>
                                  <w:rFonts w:ascii="Calibri" w:hAnsi="Calibri"/>
                                  <w:sz w:val="10"/>
                                  <w:szCs w:val="10"/>
                                </w:rPr>
                                <w:t xml:space="preserve">х </w:t>
                              </w:r>
                              <w:r w:rsidRPr="00F82347">
                                <w:rPr>
                                  <w:rFonts w:ascii="Times New Roman" w:hAnsi="Times New Roman" w:cs="Times New Roman"/>
                                  <w:sz w:val="14"/>
                                  <w:szCs w:val="14"/>
                                </w:rPr>
                                <w:t>умов</w:t>
                              </w:r>
                            </w:p>
                          </w:txbxContent>
                        </wps:txbx>
                        <wps:bodyPr rot="0" vert="horz" wrap="square" lIns="0" tIns="0" rIns="0" bIns="0" anchor="ctr" anchorCtr="0" upright="1">
                          <a:noAutofit/>
                        </wps:bodyPr>
                      </wps:wsp>
                      <wps:wsp>
                        <wps:cNvPr id="1083" name="Text Box 439"/>
                        <wps:cNvSpPr txBox="1">
                          <a:spLocks noChangeArrowheads="1"/>
                        </wps:cNvSpPr>
                        <wps:spPr bwMode="auto">
                          <a:xfrm>
                            <a:off x="9508" y="2251"/>
                            <a:ext cx="720" cy="270"/>
                          </a:xfrm>
                          <a:prstGeom prst="rect">
                            <a:avLst/>
                          </a:prstGeom>
                          <a:solidFill>
                            <a:srgbClr val="FFFFFF"/>
                          </a:solidFill>
                          <a:ln w="9525">
                            <a:solidFill>
                              <a:srgbClr val="000000"/>
                            </a:solidFill>
                            <a:miter lim="800000"/>
                            <a:headEnd/>
                            <a:tailEnd/>
                          </a:ln>
                        </wps:spPr>
                        <wps:txbx>
                          <w:txbxContent>
                            <w:p w:rsidR="00BE40F8" w:rsidRPr="00B421DB" w:rsidRDefault="00BE40F8" w:rsidP="00B233DE">
                              <w:pPr>
                                <w:ind w:firstLine="0"/>
                                <w:jc w:val="center"/>
                                <w:rPr>
                                  <w:rFonts w:ascii="Times New Roman" w:hAnsi="Times New Roman" w:cs="Times New Roman"/>
                                  <w:sz w:val="14"/>
                                  <w:szCs w:val="14"/>
                                </w:rPr>
                              </w:pPr>
                              <w:r w:rsidRPr="00B421DB">
                                <w:rPr>
                                  <w:rFonts w:ascii="Times New Roman" w:hAnsi="Times New Roman" w:cs="Times New Roman"/>
                                  <w:sz w:val="14"/>
                                  <w:szCs w:val="14"/>
                                </w:rPr>
                                <w:t>Встановлення квот</w:t>
                              </w:r>
                            </w:p>
                          </w:txbxContent>
                        </wps:txbx>
                        <wps:bodyPr rot="0" vert="horz" wrap="square" lIns="0" tIns="0" rIns="0" bIns="0" anchor="ctr" anchorCtr="0" upright="1">
                          <a:noAutofit/>
                        </wps:bodyPr>
                      </wps:wsp>
                      <wps:wsp>
                        <wps:cNvPr id="1084" name="Text Box 440"/>
                        <wps:cNvSpPr txBox="1">
                          <a:spLocks noChangeArrowheads="1"/>
                        </wps:cNvSpPr>
                        <wps:spPr bwMode="auto">
                          <a:xfrm>
                            <a:off x="9508" y="2881"/>
                            <a:ext cx="720" cy="270"/>
                          </a:xfrm>
                          <a:prstGeom prst="rect">
                            <a:avLst/>
                          </a:prstGeom>
                          <a:solidFill>
                            <a:srgbClr val="FFFFFF"/>
                          </a:solidFill>
                          <a:ln w="9525">
                            <a:solidFill>
                              <a:srgbClr val="000000"/>
                            </a:solidFill>
                            <a:miter lim="800000"/>
                            <a:headEnd/>
                            <a:tailEnd/>
                          </a:ln>
                        </wps:spPr>
                        <wps:txbx>
                          <w:txbxContent>
                            <w:p w:rsidR="00BE40F8" w:rsidRPr="00B3123A" w:rsidRDefault="00BE40F8" w:rsidP="00B233DE">
                              <w:pPr>
                                <w:ind w:firstLine="0"/>
                                <w:jc w:val="center"/>
                                <w:rPr>
                                  <w:rFonts w:ascii="Times New Roman" w:hAnsi="Times New Roman" w:cs="Times New Roman"/>
                                  <w:sz w:val="14"/>
                                  <w:szCs w:val="14"/>
                                </w:rPr>
                              </w:pPr>
                              <w:r w:rsidRPr="00B3123A">
                                <w:rPr>
                                  <w:rFonts w:ascii="Times New Roman" w:hAnsi="Times New Roman" w:cs="Times New Roman"/>
                                  <w:sz w:val="14"/>
                                  <w:szCs w:val="14"/>
                                </w:rPr>
                                <w:t>Угоди про реадмісію</w:t>
                              </w:r>
                            </w:p>
                          </w:txbxContent>
                        </wps:txbx>
                        <wps:bodyPr rot="0" vert="horz" wrap="square" lIns="0" tIns="0" rIns="0" bIns="0" anchor="ctr" anchorCtr="0" upright="1">
                          <a:noAutofit/>
                        </wps:bodyPr>
                      </wps:wsp>
                      <wps:wsp>
                        <wps:cNvPr id="1085" name="Text Box 441"/>
                        <wps:cNvSpPr txBox="1">
                          <a:spLocks noChangeArrowheads="1"/>
                        </wps:cNvSpPr>
                        <wps:spPr bwMode="auto">
                          <a:xfrm>
                            <a:off x="9508" y="4861"/>
                            <a:ext cx="720" cy="495"/>
                          </a:xfrm>
                          <a:prstGeom prst="rect">
                            <a:avLst/>
                          </a:prstGeom>
                          <a:solidFill>
                            <a:srgbClr val="FFFFFF"/>
                          </a:solidFill>
                          <a:ln w="9525">
                            <a:solidFill>
                              <a:srgbClr val="000000"/>
                            </a:solidFill>
                            <a:miter lim="800000"/>
                            <a:headEnd/>
                            <a:tailEnd/>
                          </a:ln>
                        </wps:spPr>
                        <wps:txbx>
                          <w:txbxContent>
                            <w:p w:rsidR="00BE40F8" w:rsidRPr="008A717A" w:rsidRDefault="00BE40F8" w:rsidP="00B233DE">
                              <w:pPr>
                                <w:spacing w:line="230" w:lineRule="auto"/>
                                <w:ind w:firstLine="0"/>
                                <w:jc w:val="center"/>
                                <w:rPr>
                                  <w:rFonts w:ascii="Times New Roman" w:hAnsi="Times New Roman" w:cs="Times New Roman"/>
                                  <w:sz w:val="14"/>
                                  <w:szCs w:val="14"/>
                                </w:rPr>
                              </w:pPr>
                              <w:r w:rsidRPr="008A717A">
                                <w:rPr>
                                  <w:rFonts w:ascii="Times New Roman" w:hAnsi="Times New Roman" w:cs="Times New Roman"/>
                                  <w:sz w:val="14"/>
                                  <w:szCs w:val="14"/>
                                </w:rPr>
                                <w:t>Набуття член</w:t>
                              </w:r>
                              <w:r>
                                <w:rPr>
                                  <w:rFonts w:ascii="Times New Roman" w:hAnsi="Times New Roman" w:cs="Times New Roman"/>
                                  <w:sz w:val="14"/>
                                  <w:szCs w:val="14"/>
                                </w:rPr>
                                <w:t>-ства в</w:t>
                              </w:r>
                              <w:r w:rsidRPr="008A717A">
                                <w:rPr>
                                  <w:rFonts w:ascii="Times New Roman" w:hAnsi="Times New Roman" w:cs="Times New Roman"/>
                                  <w:sz w:val="14"/>
                                  <w:szCs w:val="14"/>
                                </w:rPr>
                                <w:t xml:space="preserve"> інтегра</w:t>
                              </w:r>
                              <w:r>
                                <w:rPr>
                                  <w:rFonts w:ascii="Times New Roman" w:hAnsi="Times New Roman" w:cs="Times New Roman"/>
                                  <w:sz w:val="14"/>
                                  <w:szCs w:val="14"/>
                                </w:rPr>
                                <w:t>-</w:t>
                              </w:r>
                              <w:r w:rsidRPr="008A717A">
                                <w:rPr>
                                  <w:rFonts w:ascii="Times New Roman" w:hAnsi="Times New Roman" w:cs="Times New Roman"/>
                                  <w:sz w:val="14"/>
                                  <w:szCs w:val="14"/>
                                </w:rPr>
                                <w:t>ційних об’єд</w:t>
                              </w:r>
                              <w:r>
                                <w:rPr>
                                  <w:rFonts w:ascii="Times New Roman" w:hAnsi="Times New Roman" w:cs="Times New Roman"/>
                                  <w:sz w:val="14"/>
                                  <w:szCs w:val="14"/>
                                </w:rPr>
                                <w:t>-</w:t>
                              </w:r>
                              <w:r w:rsidRPr="008A717A">
                                <w:rPr>
                                  <w:rFonts w:ascii="Times New Roman" w:hAnsi="Times New Roman" w:cs="Times New Roman"/>
                                  <w:sz w:val="14"/>
                                  <w:szCs w:val="14"/>
                                </w:rPr>
                                <w:t>наннях</w:t>
                              </w:r>
                            </w:p>
                          </w:txbxContent>
                        </wps:txbx>
                        <wps:bodyPr rot="0" vert="horz" wrap="square" lIns="0" tIns="0" rIns="0" bIns="0" anchor="ctr" anchorCtr="0" upright="1">
                          <a:noAutofit/>
                        </wps:bodyPr>
                      </wps:wsp>
                      <wps:wsp>
                        <wps:cNvPr id="1086" name="Text Box 442"/>
                        <wps:cNvSpPr txBox="1">
                          <a:spLocks noChangeArrowheads="1"/>
                        </wps:cNvSpPr>
                        <wps:spPr bwMode="auto">
                          <a:xfrm>
                            <a:off x="9508" y="4321"/>
                            <a:ext cx="720" cy="450"/>
                          </a:xfrm>
                          <a:prstGeom prst="rect">
                            <a:avLst/>
                          </a:prstGeom>
                          <a:solidFill>
                            <a:srgbClr val="FFFFFF"/>
                          </a:solidFill>
                          <a:ln w="9525">
                            <a:solidFill>
                              <a:srgbClr val="000000"/>
                            </a:solidFill>
                            <a:miter lim="800000"/>
                            <a:headEnd/>
                            <a:tailEnd/>
                          </a:ln>
                        </wps:spPr>
                        <wps:txbx>
                          <w:txbxContent>
                            <w:p w:rsidR="00BE40F8" w:rsidRPr="00E5579F" w:rsidRDefault="00BE40F8" w:rsidP="00B233DE">
                              <w:pPr>
                                <w:ind w:firstLine="0"/>
                                <w:jc w:val="center"/>
                                <w:rPr>
                                  <w:rFonts w:ascii="Times New Roman" w:hAnsi="Times New Roman" w:cs="Times New Roman"/>
                                  <w:sz w:val="14"/>
                                  <w:szCs w:val="14"/>
                                </w:rPr>
                              </w:pPr>
                              <w:r w:rsidRPr="00E5579F">
                                <w:rPr>
                                  <w:rFonts w:ascii="Times New Roman" w:hAnsi="Times New Roman" w:cs="Times New Roman"/>
                                  <w:sz w:val="14"/>
                                  <w:szCs w:val="14"/>
                                </w:rPr>
                                <w:t>Політика інтеграції  іммігрантів</w:t>
                              </w:r>
                            </w:p>
                          </w:txbxContent>
                        </wps:txbx>
                        <wps:bodyPr rot="0" vert="horz" wrap="square" lIns="0" tIns="0" rIns="0" bIns="0" anchor="ctr" anchorCtr="0" upright="1">
                          <a:noAutofit/>
                        </wps:bodyPr>
                      </wps:wsp>
                      <wps:wsp>
                        <wps:cNvPr id="1087" name="Text Box 443"/>
                        <wps:cNvSpPr txBox="1">
                          <a:spLocks noChangeArrowheads="1"/>
                        </wps:cNvSpPr>
                        <wps:spPr bwMode="auto">
                          <a:xfrm>
                            <a:off x="8698" y="5131"/>
                            <a:ext cx="720" cy="540"/>
                          </a:xfrm>
                          <a:prstGeom prst="rect">
                            <a:avLst/>
                          </a:prstGeom>
                          <a:solidFill>
                            <a:srgbClr val="FFFFFF"/>
                          </a:solidFill>
                          <a:ln w="9525">
                            <a:solidFill>
                              <a:srgbClr val="000000"/>
                            </a:solidFill>
                            <a:miter lim="800000"/>
                            <a:headEnd/>
                            <a:tailEnd/>
                          </a:ln>
                        </wps:spPr>
                        <wps:txbx>
                          <w:txbxContent>
                            <w:p w:rsidR="00BE40F8" w:rsidRPr="00F82347" w:rsidRDefault="00BE40F8" w:rsidP="00B233DE">
                              <w:pPr>
                                <w:ind w:firstLine="0"/>
                                <w:jc w:val="center"/>
                                <w:rPr>
                                  <w:rFonts w:ascii="Times New Roman" w:hAnsi="Times New Roman" w:cs="Times New Roman"/>
                                  <w:sz w:val="14"/>
                                  <w:szCs w:val="14"/>
                                </w:rPr>
                              </w:pPr>
                              <w:r w:rsidRPr="00F82347">
                                <w:rPr>
                                  <w:rFonts w:ascii="Times New Roman" w:hAnsi="Times New Roman" w:cs="Times New Roman"/>
                                  <w:sz w:val="14"/>
                                  <w:szCs w:val="14"/>
                                </w:rPr>
                                <w:t>Соціальні, економічні і політичні реформи</w:t>
                              </w:r>
                            </w:p>
                          </w:txbxContent>
                        </wps:txbx>
                        <wps:bodyPr rot="0" vert="horz" wrap="square" lIns="0" tIns="0" rIns="0" bIns="0" anchor="ctr" anchorCtr="0" upright="1">
                          <a:noAutofit/>
                        </wps:bodyPr>
                      </wps:wsp>
                      <wps:wsp>
                        <wps:cNvPr id="1088" name="Text Box 444"/>
                        <wps:cNvSpPr txBox="1">
                          <a:spLocks noChangeArrowheads="1"/>
                        </wps:cNvSpPr>
                        <wps:spPr bwMode="auto">
                          <a:xfrm>
                            <a:off x="9508" y="3871"/>
                            <a:ext cx="720" cy="390"/>
                          </a:xfrm>
                          <a:prstGeom prst="rect">
                            <a:avLst/>
                          </a:prstGeom>
                          <a:solidFill>
                            <a:srgbClr val="FFFFFF"/>
                          </a:solidFill>
                          <a:ln w="9525">
                            <a:solidFill>
                              <a:srgbClr val="000000"/>
                            </a:solidFill>
                            <a:miter lim="800000"/>
                            <a:headEnd/>
                            <a:tailEnd/>
                          </a:ln>
                        </wps:spPr>
                        <wps:txbx>
                          <w:txbxContent>
                            <w:p w:rsidR="00BE40F8" w:rsidRPr="00E5579F" w:rsidRDefault="00BE40F8" w:rsidP="00B233DE">
                              <w:pPr>
                                <w:ind w:firstLine="0"/>
                                <w:jc w:val="center"/>
                                <w:rPr>
                                  <w:rFonts w:ascii="Times New Roman" w:hAnsi="Times New Roman" w:cs="Times New Roman"/>
                                  <w:sz w:val="14"/>
                                  <w:szCs w:val="14"/>
                                </w:rPr>
                              </w:pPr>
                              <w:r w:rsidRPr="00E5579F">
                                <w:rPr>
                                  <w:rFonts w:ascii="Times New Roman" w:hAnsi="Times New Roman" w:cs="Times New Roman"/>
                                  <w:sz w:val="14"/>
                                  <w:szCs w:val="14"/>
                                </w:rPr>
                                <w:t>Формування інформаційних баз даних</w:t>
                              </w:r>
                            </w:p>
                          </w:txbxContent>
                        </wps:txbx>
                        <wps:bodyPr rot="0" vert="horz" wrap="square" lIns="0" tIns="0" rIns="0" bIns="0" anchor="ctr" anchorCtr="0" upright="1">
                          <a:noAutofit/>
                        </wps:bodyPr>
                      </wps:wsp>
                      <wps:wsp>
                        <wps:cNvPr id="1089" name="Text Box 445"/>
                        <wps:cNvSpPr txBox="1">
                          <a:spLocks noChangeArrowheads="1"/>
                        </wps:cNvSpPr>
                        <wps:spPr bwMode="auto">
                          <a:xfrm>
                            <a:off x="9508" y="5491"/>
                            <a:ext cx="720" cy="450"/>
                          </a:xfrm>
                          <a:prstGeom prst="rect">
                            <a:avLst/>
                          </a:prstGeom>
                          <a:solidFill>
                            <a:srgbClr val="FFFFFF"/>
                          </a:solidFill>
                          <a:ln w="9525">
                            <a:solidFill>
                              <a:srgbClr val="000000"/>
                            </a:solidFill>
                            <a:miter lim="800000"/>
                            <a:headEnd/>
                            <a:tailEnd/>
                          </a:ln>
                        </wps:spPr>
                        <wps:txbx>
                          <w:txbxContent>
                            <w:p w:rsidR="00BE40F8" w:rsidRPr="008A717A" w:rsidRDefault="00BE40F8" w:rsidP="00B233DE">
                              <w:pPr>
                                <w:ind w:firstLine="0"/>
                                <w:jc w:val="center"/>
                                <w:rPr>
                                  <w:rFonts w:ascii="Times New Roman" w:hAnsi="Times New Roman" w:cs="Times New Roman"/>
                                  <w:sz w:val="14"/>
                                  <w:szCs w:val="14"/>
                                </w:rPr>
                              </w:pPr>
                              <w:r w:rsidRPr="008A717A">
                                <w:rPr>
                                  <w:rFonts w:ascii="Times New Roman" w:hAnsi="Times New Roman" w:cs="Times New Roman"/>
                                  <w:sz w:val="14"/>
                                  <w:szCs w:val="14"/>
                                </w:rPr>
                                <w:t>Політика адаптації реемігрантів</w:t>
                              </w:r>
                            </w:p>
                          </w:txbxContent>
                        </wps:txbx>
                        <wps:bodyPr rot="0" vert="horz" wrap="square" lIns="0" tIns="0" rIns="0" bIns="0" anchor="ctr" anchorCtr="0" upright="1">
                          <a:noAutofit/>
                        </wps:bodyPr>
                      </wps:wsp>
                      <wps:wsp>
                        <wps:cNvPr id="1090" name="Text Box 446"/>
                        <wps:cNvSpPr txBox="1">
                          <a:spLocks noChangeArrowheads="1"/>
                        </wps:cNvSpPr>
                        <wps:spPr bwMode="auto">
                          <a:xfrm>
                            <a:off x="10318" y="2071"/>
                            <a:ext cx="1620" cy="360"/>
                          </a:xfrm>
                          <a:prstGeom prst="rect">
                            <a:avLst/>
                          </a:prstGeom>
                          <a:solidFill>
                            <a:srgbClr val="FFFFFF"/>
                          </a:solidFill>
                          <a:ln w="9525">
                            <a:solidFill>
                              <a:srgbClr val="000000"/>
                            </a:solidFill>
                            <a:miter lim="800000"/>
                            <a:headEnd/>
                            <a:tailEnd/>
                          </a:ln>
                        </wps:spPr>
                        <wps:txbx>
                          <w:txbxContent>
                            <w:p w:rsidR="00BE40F8" w:rsidRPr="00B421DB" w:rsidRDefault="00BE40F8" w:rsidP="00B233DE">
                              <w:pPr>
                                <w:ind w:firstLine="0"/>
                                <w:jc w:val="center"/>
                                <w:rPr>
                                  <w:rFonts w:ascii="Times New Roman" w:hAnsi="Times New Roman" w:cs="Times New Roman"/>
                                  <w:sz w:val="14"/>
                                  <w:szCs w:val="14"/>
                                </w:rPr>
                              </w:pPr>
                              <w:r>
                                <w:rPr>
                                  <w:rFonts w:ascii="Times New Roman" w:hAnsi="Times New Roman" w:cs="Times New Roman"/>
                                  <w:sz w:val="14"/>
                                  <w:szCs w:val="14"/>
                                </w:rPr>
                                <w:t xml:space="preserve">Задоволення потреби </w:t>
                              </w:r>
                              <w:r w:rsidRPr="00B421DB">
                                <w:rPr>
                                  <w:rFonts w:ascii="Times New Roman" w:hAnsi="Times New Roman" w:cs="Times New Roman"/>
                                  <w:sz w:val="14"/>
                                  <w:szCs w:val="14"/>
                                </w:rPr>
                                <w:t>в людському потенціалі національних економік</w:t>
                              </w:r>
                            </w:p>
                          </w:txbxContent>
                        </wps:txbx>
                        <wps:bodyPr rot="0" vert="horz" wrap="square" lIns="0" tIns="0" rIns="0" bIns="0" anchor="ctr" anchorCtr="0" upright="1">
                          <a:noAutofit/>
                        </wps:bodyPr>
                      </wps:wsp>
                      <wps:wsp>
                        <wps:cNvPr id="1091" name="Text Box 447"/>
                        <wps:cNvSpPr txBox="1">
                          <a:spLocks noChangeArrowheads="1"/>
                        </wps:cNvSpPr>
                        <wps:spPr bwMode="auto">
                          <a:xfrm>
                            <a:off x="10318" y="4501"/>
                            <a:ext cx="1620" cy="450"/>
                          </a:xfrm>
                          <a:prstGeom prst="rect">
                            <a:avLst/>
                          </a:prstGeom>
                          <a:solidFill>
                            <a:srgbClr val="FFFFFF"/>
                          </a:solidFill>
                          <a:ln w="9525">
                            <a:solidFill>
                              <a:srgbClr val="000000"/>
                            </a:solidFill>
                            <a:miter lim="800000"/>
                            <a:headEnd/>
                            <a:tailEnd/>
                          </a:ln>
                        </wps:spPr>
                        <wps:txbx>
                          <w:txbxContent>
                            <w:p w:rsidR="00BE40F8" w:rsidRPr="00E5579F" w:rsidRDefault="00BE40F8" w:rsidP="00B233DE">
                              <w:pPr>
                                <w:ind w:firstLine="0"/>
                                <w:jc w:val="center"/>
                                <w:rPr>
                                  <w:rFonts w:ascii="Times New Roman" w:hAnsi="Times New Roman" w:cs="Times New Roman"/>
                                  <w:sz w:val="14"/>
                                  <w:szCs w:val="14"/>
                                </w:rPr>
                              </w:pPr>
                              <w:r w:rsidRPr="00E5579F">
                                <w:rPr>
                                  <w:rFonts w:ascii="Times New Roman" w:hAnsi="Times New Roman" w:cs="Times New Roman"/>
                                  <w:sz w:val="14"/>
                                  <w:szCs w:val="14"/>
                                </w:rPr>
                                <w:t>Підвищення показників людського розвитку в країні або регіоні</w:t>
                              </w:r>
                            </w:p>
                          </w:txbxContent>
                        </wps:txbx>
                        <wps:bodyPr rot="0" vert="horz" wrap="square" lIns="0" tIns="0" rIns="0" bIns="0" anchor="ctr" anchorCtr="0" upright="1">
                          <a:noAutofit/>
                        </wps:bodyPr>
                      </wps:wsp>
                      <wps:wsp>
                        <wps:cNvPr id="1092" name="Text Box 448"/>
                        <wps:cNvSpPr txBox="1">
                          <a:spLocks noChangeArrowheads="1"/>
                        </wps:cNvSpPr>
                        <wps:spPr bwMode="auto">
                          <a:xfrm>
                            <a:off x="10318" y="3961"/>
                            <a:ext cx="1620" cy="360"/>
                          </a:xfrm>
                          <a:prstGeom prst="rect">
                            <a:avLst/>
                          </a:prstGeom>
                          <a:solidFill>
                            <a:srgbClr val="FFFFFF"/>
                          </a:solidFill>
                          <a:ln w="9525">
                            <a:solidFill>
                              <a:srgbClr val="000000"/>
                            </a:solidFill>
                            <a:miter lim="800000"/>
                            <a:headEnd/>
                            <a:tailEnd/>
                          </a:ln>
                        </wps:spPr>
                        <wps:txbx>
                          <w:txbxContent>
                            <w:p w:rsidR="00BE40F8" w:rsidRPr="00E5579F" w:rsidRDefault="00BE40F8" w:rsidP="00B233DE">
                              <w:pPr>
                                <w:ind w:firstLine="0"/>
                                <w:jc w:val="center"/>
                                <w:rPr>
                                  <w:rFonts w:ascii="Times New Roman" w:hAnsi="Times New Roman" w:cs="Times New Roman"/>
                                  <w:sz w:val="14"/>
                                  <w:szCs w:val="14"/>
                                </w:rPr>
                              </w:pPr>
                              <w:r w:rsidRPr="00E5579F">
                                <w:rPr>
                                  <w:rFonts w:ascii="Times New Roman" w:hAnsi="Times New Roman" w:cs="Times New Roman"/>
                                  <w:sz w:val="14"/>
                                  <w:szCs w:val="14"/>
                                </w:rPr>
                                <w:t>Ефективна реалізація міграційно перерозподіленого людського потенціалу</w:t>
                              </w:r>
                            </w:p>
                            <w:p w:rsidR="00BE40F8" w:rsidRPr="00130FFE" w:rsidRDefault="00BE40F8" w:rsidP="00B233DE">
                              <w:pPr>
                                <w:rPr>
                                  <w:rFonts w:ascii="Calibri" w:hAnsi="Calibri"/>
                                  <w:sz w:val="10"/>
                                  <w:szCs w:val="10"/>
                                </w:rPr>
                              </w:pPr>
                            </w:p>
                          </w:txbxContent>
                        </wps:txbx>
                        <wps:bodyPr rot="0" vert="horz" wrap="square" lIns="0" tIns="0" rIns="0" bIns="0" anchor="ctr" anchorCtr="0" upright="1">
                          <a:noAutofit/>
                        </wps:bodyPr>
                      </wps:wsp>
                      <wps:wsp>
                        <wps:cNvPr id="1093" name="Text Box 449"/>
                        <wps:cNvSpPr txBox="1">
                          <a:spLocks noChangeArrowheads="1"/>
                        </wps:cNvSpPr>
                        <wps:spPr bwMode="auto">
                          <a:xfrm>
                            <a:off x="10318" y="3331"/>
                            <a:ext cx="1620" cy="360"/>
                          </a:xfrm>
                          <a:prstGeom prst="rect">
                            <a:avLst/>
                          </a:prstGeom>
                          <a:solidFill>
                            <a:srgbClr val="FFFFFF"/>
                          </a:solidFill>
                          <a:ln w="9525">
                            <a:solidFill>
                              <a:srgbClr val="000000"/>
                            </a:solidFill>
                            <a:miter lim="800000"/>
                            <a:headEnd/>
                            <a:tailEnd/>
                          </a:ln>
                        </wps:spPr>
                        <wps:txbx>
                          <w:txbxContent>
                            <w:p w:rsidR="00BE40F8" w:rsidRPr="00FE3F54" w:rsidRDefault="00BE40F8" w:rsidP="00B233DE">
                              <w:pPr>
                                <w:ind w:firstLine="0"/>
                                <w:jc w:val="center"/>
                                <w:rPr>
                                  <w:rFonts w:ascii="Times New Roman" w:hAnsi="Times New Roman" w:cs="Times New Roman"/>
                                  <w:sz w:val="14"/>
                                  <w:szCs w:val="14"/>
                                </w:rPr>
                              </w:pPr>
                              <w:r w:rsidRPr="00FE3F54">
                                <w:rPr>
                                  <w:rFonts w:ascii="Times New Roman" w:hAnsi="Times New Roman" w:cs="Times New Roman"/>
                                  <w:sz w:val="14"/>
                                  <w:szCs w:val="14"/>
                                </w:rPr>
                                <w:t>Перетворення міжнародної міграції на регульований процес</w:t>
                              </w:r>
                            </w:p>
                          </w:txbxContent>
                        </wps:txbx>
                        <wps:bodyPr rot="0" vert="horz" wrap="square" lIns="0" tIns="0" rIns="0" bIns="0" anchor="ctr" anchorCtr="0" upright="1">
                          <a:noAutofit/>
                        </wps:bodyPr>
                      </wps:wsp>
                      <wps:wsp>
                        <wps:cNvPr id="1094" name="Text Box 450"/>
                        <wps:cNvSpPr txBox="1">
                          <a:spLocks noChangeArrowheads="1"/>
                        </wps:cNvSpPr>
                        <wps:spPr bwMode="auto">
                          <a:xfrm>
                            <a:off x="10318" y="2791"/>
                            <a:ext cx="1620" cy="270"/>
                          </a:xfrm>
                          <a:prstGeom prst="rect">
                            <a:avLst/>
                          </a:prstGeom>
                          <a:solidFill>
                            <a:srgbClr val="FFFFFF"/>
                          </a:solidFill>
                          <a:ln w="9525">
                            <a:solidFill>
                              <a:srgbClr val="000000"/>
                            </a:solidFill>
                            <a:miter lim="800000"/>
                            <a:headEnd/>
                            <a:tailEnd/>
                          </a:ln>
                        </wps:spPr>
                        <wps:txbx>
                          <w:txbxContent>
                            <w:p w:rsidR="00BE40F8" w:rsidRPr="00FE3F54" w:rsidRDefault="00BE40F8" w:rsidP="00B233DE">
                              <w:pPr>
                                <w:ind w:firstLine="0"/>
                                <w:jc w:val="center"/>
                                <w:rPr>
                                  <w:rFonts w:ascii="Times New Roman" w:hAnsi="Times New Roman" w:cs="Times New Roman"/>
                                  <w:sz w:val="14"/>
                                  <w:szCs w:val="14"/>
                                </w:rPr>
                              </w:pPr>
                              <w:r w:rsidRPr="00FE3F54">
                                <w:rPr>
                                  <w:rFonts w:ascii="Times New Roman" w:hAnsi="Times New Roman" w:cs="Times New Roman"/>
                                  <w:sz w:val="14"/>
                                  <w:szCs w:val="14"/>
                                </w:rPr>
                                <w:t>Формування людського потенціалу за рахунок міграції</w:t>
                              </w:r>
                            </w:p>
                          </w:txbxContent>
                        </wps:txbx>
                        <wps:bodyPr rot="0" vert="horz" wrap="square" lIns="0" tIns="0" rIns="0" bIns="0" anchor="ctr" anchorCtr="0" upright="1">
                          <a:noAutofit/>
                        </wps:bodyPr>
                      </wps:wsp>
                      <wps:wsp>
                        <wps:cNvPr id="1095" name="Text Box 451"/>
                        <wps:cNvSpPr txBox="1">
                          <a:spLocks noChangeArrowheads="1"/>
                        </wps:cNvSpPr>
                        <wps:spPr bwMode="auto">
                          <a:xfrm>
                            <a:off x="10318" y="5131"/>
                            <a:ext cx="1620" cy="360"/>
                          </a:xfrm>
                          <a:prstGeom prst="rect">
                            <a:avLst/>
                          </a:prstGeom>
                          <a:solidFill>
                            <a:srgbClr val="FFFFFF"/>
                          </a:solidFill>
                          <a:ln w="9525">
                            <a:solidFill>
                              <a:srgbClr val="000000"/>
                            </a:solidFill>
                            <a:miter lim="800000"/>
                            <a:headEnd/>
                            <a:tailEnd/>
                          </a:ln>
                        </wps:spPr>
                        <wps:txbx>
                          <w:txbxContent>
                            <w:p w:rsidR="00BE40F8" w:rsidRPr="008A717A" w:rsidRDefault="00BE40F8" w:rsidP="00B233DE">
                              <w:pPr>
                                <w:ind w:firstLine="0"/>
                                <w:jc w:val="center"/>
                                <w:rPr>
                                  <w:rFonts w:ascii="Times New Roman" w:hAnsi="Times New Roman" w:cs="Times New Roman"/>
                                  <w:sz w:val="14"/>
                                  <w:szCs w:val="14"/>
                                </w:rPr>
                              </w:pPr>
                              <w:r w:rsidRPr="008A717A">
                                <w:rPr>
                                  <w:rFonts w:ascii="Times New Roman" w:hAnsi="Times New Roman" w:cs="Times New Roman"/>
                                  <w:sz w:val="14"/>
                                  <w:szCs w:val="14"/>
                                </w:rPr>
                                <w:t>Скорочення нерівномірномірності у розвитку країн</w:t>
                              </w:r>
                            </w:p>
                          </w:txbxContent>
                        </wps:txbx>
                        <wps:bodyPr rot="0" vert="horz" wrap="square" lIns="0" tIns="0" rIns="0" bIns="0" anchor="ctr" anchorCtr="0" upright="1">
                          <a:noAutofit/>
                        </wps:bodyPr>
                      </wps:wsp>
                      <wps:wsp>
                        <wps:cNvPr id="1096" name="Text Box 452"/>
                        <wps:cNvSpPr txBox="1">
                          <a:spLocks noChangeArrowheads="1"/>
                        </wps:cNvSpPr>
                        <wps:spPr bwMode="auto">
                          <a:xfrm>
                            <a:off x="10318" y="5671"/>
                            <a:ext cx="1620" cy="406"/>
                          </a:xfrm>
                          <a:prstGeom prst="rect">
                            <a:avLst/>
                          </a:prstGeom>
                          <a:solidFill>
                            <a:srgbClr val="FFFFFF"/>
                          </a:solidFill>
                          <a:ln w="9525">
                            <a:solidFill>
                              <a:srgbClr val="000000"/>
                            </a:solidFill>
                            <a:miter lim="800000"/>
                            <a:headEnd/>
                            <a:tailEnd/>
                          </a:ln>
                        </wps:spPr>
                        <wps:txbx>
                          <w:txbxContent>
                            <w:p w:rsidR="00BE40F8" w:rsidRPr="008A717A" w:rsidRDefault="00BE40F8" w:rsidP="00B233DE">
                              <w:pPr>
                                <w:ind w:firstLine="0"/>
                                <w:jc w:val="center"/>
                                <w:rPr>
                                  <w:rFonts w:ascii="Times New Roman" w:hAnsi="Times New Roman" w:cs="Times New Roman"/>
                                  <w:sz w:val="14"/>
                                  <w:szCs w:val="14"/>
                                </w:rPr>
                              </w:pPr>
                              <w:r w:rsidRPr="008A717A">
                                <w:rPr>
                                  <w:rFonts w:ascii="Times New Roman" w:hAnsi="Times New Roman" w:cs="Times New Roman"/>
                                  <w:sz w:val="14"/>
                                  <w:szCs w:val="14"/>
                                </w:rPr>
                                <w:t>Впорядкування міграційного перерозподілу людського потенціалу</w:t>
                              </w:r>
                            </w:p>
                          </w:txbxContent>
                        </wps:txbx>
                        <wps:bodyPr rot="0" vert="horz" wrap="square" lIns="0" tIns="0" rIns="0" bIns="0" anchor="ctr" anchorCtr="0" upright="1">
                          <a:noAutofit/>
                        </wps:bodyPr>
                      </wps:wsp>
                      <wps:wsp>
                        <wps:cNvPr id="1097" name="Line 453"/>
                        <wps:cNvCnPr/>
                        <wps:spPr bwMode="auto">
                          <a:xfrm>
                            <a:off x="5638" y="5581"/>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98" name="AutoShape 454"/>
                        <wps:cNvCnPr/>
                        <wps:spPr bwMode="auto">
                          <a:xfrm flipV="1">
                            <a:off x="6718" y="4951"/>
                            <a:ext cx="1575" cy="225"/>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099" name="Line 455"/>
                        <wps:cNvCnPr/>
                        <wps:spPr bwMode="auto">
                          <a:xfrm>
                            <a:off x="6718" y="6031"/>
                            <a:ext cx="1260"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0" name="AutoShape 456"/>
                        <wps:cNvCnPr/>
                        <wps:spPr bwMode="auto">
                          <a:xfrm>
                            <a:off x="7888" y="5761"/>
                            <a:ext cx="1170" cy="90"/>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01" name="AutoShape 457"/>
                        <wps:cNvCnPr/>
                        <wps:spPr bwMode="auto">
                          <a:xfrm flipV="1">
                            <a:off x="10228" y="3511"/>
                            <a:ext cx="90" cy="540"/>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02" name="AutoShape 458"/>
                        <wps:cNvCnPr/>
                        <wps:spPr bwMode="auto">
                          <a:xfrm flipV="1">
                            <a:off x="10228" y="4681"/>
                            <a:ext cx="90" cy="405"/>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03" name="AutoShape 459"/>
                        <wps:cNvCnPr/>
                        <wps:spPr bwMode="auto">
                          <a:xfrm>
                            <a:off x="10228" y="3016"/>
                            <a:ext cx="90" cy="1080"/>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04" name="AutoShape 460"/>
                        <wps:cNvCnPr/>
                        <wps:spPr bwMode="auto">
                          <a:xfrm>
                            <a:off x="10228" y="5761"/>
                            <a:ext cx="90" cy="90"/>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cNvPr id="1105" name="Group 461"/>
                        <wpg:cNvGrpSpPr>
                          <a:grpSpLocks/>
                        </wpg:cNvGrpSpPr>
                        <wpg:grpSpPr bwMode="auto">
                          <a:xfrm>
                            <a:off x="9418" y="4501"/>
                            <a:ext cx="900" cy="1620"/>
                            <a:chOff x="9418" y="4501"/>
                            <a:chExt cx="900" cy="1620"/>
                          </a:xfrm>
                        </wpg:grpSpPr>
                        <wps:wsp>
                          <wps:cNvPr id="1106" name="AutoShape 462"/>
                          <wps:cNvCnPr/>
                          <wps:spPr bwMode="auto">
                            <a:xfrm>
                              <a:off x="10228" y="4501"/>
                              <a:ext cx="90" cy="810"/>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07" name="AutoShape 463"/>
                          <wps:cNvCnPr/>
                          <wps:spPr bwMode="auto">
                            <a:xfrm flipV="1">
                              <a:off x="9418" y="5851"/>
                              <a:ext cx="900" cy="270"/>
                            </a:xfrm>
                            <a:prstGeom prst="bentConnector3">
                              <a:avLst>
                                <a:gd name="adj1" fmla="val 9583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08" name="AutoShape 464"/>
                          <wps:cNvCnPr/>
                          <wps:spPr bwMode="auto">
                            <a:xfrm flipV="1">
                              <a:off x="9418" y="5311"/>
                              <a:ext cx="900" cy="810"/>
                            </a:xfrm>
                            <a:prstGeom prst="bentConnector3">
                              <a:avLst>
                                <a:gd name="adj1" fmla="val 9583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109" name="AutoShape 465"/>
                        <wps:cNvCnPr/>
                        <wps:spPr bwMode="auto">
                          <a:xfrm flipV="1">
                            <a:off x="9418" y="2251"/>
                            <a:ext cx="900" cy="450"/>
                          </a:xfrm>
                          <a:prstGeom prst="bentConnector3">
                            <a:avLst>
                              <a:gd name="adj1" fmla="val 9416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cNvPr id="1110" name="Group 466"/>
                        <wpg:cNvGrpSpPr>
                          <a:grpSpLocks/>
                        </wpg:cNvGrpSpPr>
                        <wpg:grpSpPr bwMode="auto">
                          <a:xfrm>
                            <a:off x="9418" y="2071"/>
                            <a:ext cx="900" cy="315"/>
                            <a:chOff x="9418" y="2071"/>
                            <a:chExt cx="900" cy="315"/>
                          </a:xfrm>
                        </wpg:grpSpPr>
                        <wps:wsp>
                          <wps:cNvPr id="1111" name="AutoShape 467"/>
                          <wps:cNvCnPr/>
                          <wps:spPr bwMode="auto">
                            <a:xfrm>
                              <a:off x="9418" y="2071"/>
                              <a:ext cx="900" cy="180"/>
                            </a:xfrm>
                            <a:prstGeom prst="bentConnector3">
                              <a:avLst>
                                <a:gd name="adj1" fmla="val 9416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12" name="AutoShape 468"/>
                          <wps:cNvCnPr/>
                          <wps:spPr bwMode="auto">
                            <a:xfrm flipV="1">
                              <a:off x="10228" y="2251"/>
                              <a:ext cx="90" cy="135"/>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113" name="AutoShape 469"/>
                        <wps:cNvCnPr/>
                        <wps:spPr bwMode="auto">
                          <a:xfrm>
                            <a:off x="9418" y="2701"/>
                            <a:ext cx="900" cy="225"/>
                          </a:xfrm>
                          <a:prstGeom prst="bentConnector3">
                            <a:avLst>
                              <a:gd name="adj1" fmla="val 9416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cNvPr id="1114" name="Group 470"/>
                        <wpg:cNvGrpSpPr>
                          <a:grpSpLocks/>
                        </wpg:cNvGrpSpPr>
                        <wpg:grpSpPr bwMode="auto">
                          <a:xfrm>
                            <a:off x="5638" y="4627"/>
                            <a:ext cx="2655" cy="1629"/>
                            <a:chOff x="5638" y="4627"/>
                            <a:chExt cx="2655" cy="1629"/>
                          </a:xfrm>
                        </wpg:grpSpPr>
                        <wps:wsp>
                          <wps:cNvPr id="1115" name="AutoShape 471"/>
                          <wps:cNvCnPr/>
                          <wps:spPr bwMode="auto">
                            <a:xfrm flipV="1">
                              <a:off x="5638" y="4627"/>
                              <a:ext cx="2340" cy="270"/>
                            </a:xfrm>
                            <a:prstGeom prst="bentConnector3">
                              <a:avLst>
                                <a:gd name="adj1" fmla="val 4800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cNvPr id="1116" name="Group 472"/>
                          <wpg:cNvGrpSpPr>
                            <a:grpSpLocks/>
                          </wpg:cNvGrpSpPr>
                          <wpg:grpSpPr bwMode="auto">
                            <a:xfrm>
                              <a:off x="5638" y="4996"/>
                              <a:ext cx="2655" cy="1260"/>
                              <a:chOff x="5638" y="4996"/>
                              <a:chExt cx="2655" cy="1260"/>
                            </a:xfrm>
                          </wpg:grpSpPr>
                          <wpg:grpSp>
                            <wpg:cNvPr id="1117" name="Group 473"/>
                            <wpg:cNvGrpSpPr>
                              <a:grpSpLocks/>
                            </wpg:cNvGrpSpPr>
                            <wpg:grpSpPr bwMode="auto">
                              <a:xfrm>
                                <a:off x="5638" y="4996"/>
                                <a:ext cx="2655" cy="1260"/>
                                <a:chOff x="5638" y="4996"/>
                                <a:chExt cx="2655" cy="1260"/>
                              </a:xfrm>
                            </wpg:grpSpPr>
                            <wps:wsp>
                              <wps:cNvPr id="1118" name="AutoShape 474"/>
                              <wps:cNvCnPr/>
                              <wps:spPr bwMode="auto">
                                <a:xfrm rot="5400000" flipH="1" flipV="1">
                                  <a:off x="6110" y="4884"/>
                                  <a:ext cx="225" cy="1170"/>
                                </a:xfrm>
                                <a:prstGeom prst="bentConnector4">
                                  <a:avLst>
                                    <a:gd name="adj1" fmla="val 9995"/>
                                    <a:gd name="adj2" fmla="val 2435"/>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g:grpSp>
                              <wpg:cNvPr id="1119" name="Group 475"/>
                              <wpg:cNvGrpSpPr>
                                <a:grpSpLocks/>
                              </wpg:cNvGrpSpPr>
                              <wpg:grpSpPr bwMode="auto">
                                <a:xfrm>
                                  <a:off x="5638" y="4996"/>
                                  <a:ext cx="2655" cy="1259"/>
                                  <a:chOff x="5638" y="4996"/>
                                  <a:chExt cx="2655" cy="1259"/>
                                </a:xfrm>
                              </wpg:grpSpPr>
                              <wpg:grpSp>
                                <wpg:cNvPr id="1120" name="Group 476"/>
                                <wpg:cNvGrpSpPr>
                                  <a:grpSpLocks/>
                                </wpg:cNvGrpSpPr>
                                <wpg:grpSpPr bwMode="auto">
                                  <a:xfrm>
                                    <a:off x="5638" y="4996"/>
                                    <a:ext cx="1170" cy="1259"/>
                                    <a:chOff x="5638" y="4996"/>
                                    <a:chExt cx="1170" cy="1259"/>
                                  </a:xfrm>
                                </wpg:grpSpPr>
                                <wps:wsp>
                                  <wps:cNvPr id="1121" name="AutoShape 477"/>
                                  <wps:cNvCnPr/>
                                  <wps:spPr bwMode="auto">
                                    <a:xfrm>
                                      <a:off x="5638" y="4996"/>
                                      <a:ext cx="1170" cy="360"/>
                                    </a:xfrm>
                                    <a:prstGeom prst="bentConnector3">
                                      <a:avLst>
                                        <a:gd name="adj1" fmla="val 3204"/>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22" name="AutoShape 478"/>
                                  <wps:cNvCnPr/>
                                  <wps:spPr bwMode="auto">
                                    <a:xfrm>
                                      <a:off x="5638" y="4996"/>
                                      <a:ext cx="1170" cy="765"/>
                                    </a:xfrm>
                                    <a:prstGeom prst="bentConnector3">
                                      <a:avLst>
                                        <a:gd name="adj1" fmla="val 3204"/>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23" name="AutoShape 479"/>
                                  <wps:cNvCnPr/>
                                  <wps:spPr bwMode="auto">
                                    <a:xfrm>
                                      <a:off x="5638" y="5940"/>
                                      <a:ext cx="1170" cy="315"/>
                                    </a:xfrm>
                                    <a:prstGeom prst="bentConnector3">
                                      <a:avLst>
                                        <a:gd name="adj1" fmla="val 9487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124" name="AutoShape 480"/>
                                <wps:cNvCnPr/>
                                <wps:spPr bwMode="auto">
                                  <a:xfrm rot="10800000" flipH="1">
                                    <a:off x="6808" y="5221"/>
                                    <a:ext cx="1485" cy="135"/>
                                  </a:xfrm>
                                  <a:prstGeom prst="bentConnector4">
                                    <a:avLst>
                                      <a:gd name="adj1" fmla="val -3032"/>
                                      <a:gd name="adj2" fmla="val 127778"/>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125" name="AutoShape 481"/>
                              <wps:cNvCnPr/>
                              <wps:spPr bwMode="auto">
                                <a:xfrm flipV="1">
                                  <a:off x="5638" y="5761"/>
                                  <a:ext cx="1170" cy="495"/>
                                </a:xfrm>
                                <a:prstGeom prst="bentConnector3">
                                  <a:avLst>
                                    <a:gd name="adj1" fmla="val 3074"/>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g:grpSp>
                          <wps:wsp>
                            <wps:cNvPr id="1126" name="AutoShape 482"/>
                            <wps:cNvCnPr/>
                            <wps:spPr bwMode="auto">
                              <a:xfrm flipV="1">
                                <a:off x="5638" y="5356"/>
                                <a:ext cx="1170" cy="540"/>
                              </a:xfrm>
                              <a:prstGeom prst="bentConnector3">
                                <a:avLst>
                                  <a:gd name="adj1" fmla="val 95426"/>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g:grpSp>
                      </wpg:grpSp>
                      <wpg:grpSp>
                        <wpg:cNvPr id="1127" name="Group 483"/>
                        <wpg:cNvGrpSpPr>
                          <a:grpSpLocks/>
                        </wpg:cNvGrpSpPr>
                        <wpg:grpSpPr bwMode="auto">
                          <a:xfrm>
                            <a:off x="7528" y="2071"/>
                            <a:ext cx="1980" cy="4173"/>
                            <a:chOff x="7528" y="2071"/>
                            <a:chExt cx="1980" cy="4173"/>
                          </a:xfrm>
                        </wpg:grpSpPr>
                        <wpg:grpSp>
                          <wpg:cNvPr id="1128" name="Group 484"/>
                          <wpg:cNvGrpSpPr>
                            <a:grpSpLocks/>
                          </wpg:cNvGrpSpPr>
                          <wpg:grpSpPr bwMode="auto">
                            <a:xfrm>
                              <a:off x="7528" y="2071"/>
                              <a:ext cx="1980" cy="4005"/>
                              <a:chOff x="7528" y="2071"/>
                              <a:chExt cx="1980" cy="4005"/>
                            </a:xfrm>
                          </wpg:grpSpPr>
                          <wpg:grpSp>
                            <wpg:cNvPr id="1129" name="Group 485"/>
                            <wpg:cNvGrpSpPr>
                              <a:grpSpLocks/>
                            </wpg:cNvGrpSpPr>
                            <wpg:grpSpPr bwMode="auto">
                              <a:xfrm>
                                <a:off x="7528" y="2071"/>
                                <a:ext cx="1980" cy="3375"/>
                                <a:chOff x="7528" y="2071"/>
                                <a:chExt cx="1980" cy="3375"/>
                              </a:xfrm>
                            </wpg:grpSpPr>
                            <wpg:grpSp>
                              <wpg:cNvPr id="1130" name="Group 486"/>
                              <wpg:cNvGrpSpPr>
                                <a:grpSpLocks/>
                              </wpg:cNvGrpSpPr>
                              <wpg:grpSpPr bwMode="auto">
                                <a:xfrm>
                                  <a:off x="7528" y="2071"/>
                                  <a:ext cx="1980" cy="2430"/>
                                  <a:chOff x="7528" y="2071"/>
                                  <a:chExt cx="1980" cy="2430"/>
                                </a:xfrm>
                              </wpg:grpSpPr>
                              <wps:wsp>
                                <wps:cNvPr id="1131" name="AutoShape 487"/>
                                <wps:cNvCnPr/>
                                <wps:spPr bwMode="auto">
                                  <a:xfrm>
                                    <a:off x="8608" y="2386"/>
                                    <a:ext cx="900" cy="2115"/>
                                  </a:xfrm>
                                  <a:prstGeom prst="bentConnector3">
                                    <a:avLst>
                                      <a:gd name="adj1" fmla="val 5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32" name="AutoShape 488"/>
                                <wps:cNvCnPr/>
                                <wps:spPr bwMode="auto">
                                  <a:xfrm flipV="1">
                                    <a:off x="7528" y="2071"/>
                                    <a:ext cx="1170" cy="180"/>
                                  </a:xfrm>
                                  <a:prstGeom prst="bentConnector3">
                                    <a:avLst>
                                      <a:gd name="adj1" fmla="val 3204"/>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133" name="AutoShape 489"/>
                              <wps:cNvCnPr/>
                              <wps:spPr bwMode="auto">
                                <a:xfrm>
                                  <a:off x="8608" y="3601"/>
                                  <a:ext cx="90" cy="1800"/>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34" name="AutoShape 490"/>
                              <wps:cNvCnPr/>
                              <wps:spPr bwMode="auto">
                                <a:xfrm flipV="1">
                                  <a:off x="8608" y="5086"/>
                                  <a:ext cx="900" cy="360"/>
                                </a:xfrm>
                                <a:prstGeom prst="bentConnector3">
                                  <a:avLst>
                                    <a:gd name="adj1" fmla="val 5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135" name="AutoShape 491"/>
                            <wps:cNvCnPr/>
                            <wps:spPr bwMode="auto">
                              <a:xfrm flipV="1">
                                <a:off x="8608" y="5401"/>
                                <a:ext cx="90" cy="675"/>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36" name="AutoShape 492"/>
                            <wps:cNvCnPr/>
                            <wps:spPr bwMode="auto">
                              <a:xfrm flipV="1">
                                <a:off x="7888" y="5671"/>
                                <a:ext cx="1170" cy="90"/>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37" name="AutoShape 493"/>
                            <wps:cNvCnPr/>
                            <wps:spPr bwMode="auto">
                              <a:xfrm>
                                <a:off x="7888" y="5356"/>
                                <a:ext cx="1" cy="405"/>
                              </a:xfrm>
                              <a:prstGeom prst="bentConnector3">
                                <a:avLst>
                                  <a:gd name="adj1" fmla="val 3750000"/>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g:grpSp>
                        <wps:wsp>
                          <wps:cNvPr id="1138" name="AutoShape 494"/>
                          <wps:cNvCnPr/>
                          <wps:spPr bwMode="auto">
                            <a:xfrm flipV="1">
                              <a:off x="7888" y="5794"/>
                              <a:ext cx="1620" cy="450"/>
                            </a:xfrm>
                            <a:prstGeom prst="bentConnector3">
                              <a:avLst>
                                <a:gd name="adj1" fmla="val 2315"/>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139" name="AutoShape 495"/>
                        <wps:cNvCnPr/>
                        <wps:spPr bwMode="auto">
                          <a:xfrm flipV="1">
                            <a:off x="7888" y="3871"/>
                            <a:ext cx="1980" cy="1080"/>
                          </a:xfrm>
                          <a:prstGeom prst="bentConnector4">
                            <a:avLst>
                              <a:gd name="adj1" fmla="val 38532"/>
                              <a:gd name="adj2" fmla="val 11041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40" name="AutoShape 496"/>
                        <wps:cNvCnPr/>
                        <wps:spPr bwMode="auto">
                          <a:xfrm>
                            <a:off x="10228" y="2386"/>
                            <a:ext cx="90" cy="1125"/>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41" name="AutoShape 497"/>
                        <wps:cNvCnPr/>
                        <wps:spPr bwMode="auto">
                          <a:xfrm>
                            <a:off x="9418" y="3421"/>
                            <a:ext cx="900" cy="90"/>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42" name="AutoShape 498"/>
                        <wps:cNvCnPr/>
                        <wps:spPr bwMode="auto">
                          <a:xfrm flipV="1">
                            <a:off x="9418" y="3511"/>
                            <a:ext cx="900" cy="495"/>
                          </a:xfrm>
                          <a:prstGeom prst="bentConnector3">
                            <a:avLst>
                              <a:gd name="adj1" fmla="val 416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43" name="AutoShape 499"/>
                        <wps:cNvCnPr/>
                        <wps:spPr bwMode="auto">
                          <a:xfrm flipV="1">
                            <a:off x="9418" y="3511"/>
                            <a:ext cx="900" cy="1215"/>
                          </a:xfrm>
                          <a:prstGeom prst="bentConnector3">
                            <a:avLst>
                              <a:gd name="adj1" fmla="val 416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44" name="AutoShape 500"/>
                        <wps:cNvCnPr/>
                        <wps:spPr bwMode="auto">
                          <a:xfrm flipV="1">
                            <a:off x="9418" y="2926"/>
                            <a:ext cx="900" cy="3195"/>
                          </a:xfrm>
                          <a:prstGeom prst="bentConnector3">
                            <a:avLst>
                              <a:gd name="adj1" fmla="val 95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45" name="Line 501"/>
                        <wps:cNvCnPr/>
                        <wps:spPr bwMode="auto">
                          <a:xfrm>
                            <a:off x="11128" y="2431"/>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46" name="Line 502"/>
                        <wps:cNvCnPr/>
                        <wps:spPr bwMode="auto">
                          <a:xfrm>
                            <a:off x="11128" y="3061"/>
                            <a:ext cx="0" cy="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47" name="Line 503"/>
                        <wps:cNvCnPr/>
                        <wps:spPr bwMode="auto">
                          <a:xfrm>
                            <a:off x="11128" y="3691"/>
                            <a:ext cx="0" cy="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48" name="Line 504"/>
                        <wps:cNvCnPr>
                          <a:stCxn id="1092" idx="2"/>
                        </wps:cNvCnPr>
                        <wps:spPr bwMode="auto">
                          <a:xfrm>
                            <a:off x="11128" y="4321"/>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49" name="Line 505"/>
                        <wps:cNvCnPr>
                          <a:stCxn id="1091" idx="2"/>
                        </wps:cNvCnPr>
                        <wps:spPr bwMode="auto">
                          <a:xfrm>
                            <a:off x="11128" y="4951"/>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50" name="Line 506"/>
                        <wps:cNvCnPr/>
                        <wps:spPr bwMode="auto">
                          <a:xfrm>
                            <a:off x="11128" y="5491"/>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151" name="Group 507"/>
                        <wpg:cNvGrpSpPr>
                          <a:grpSpLocks/>
                        </wpg:cNvGrpSpPr>
                        <wpg:grpSpPr bwMode="auto">
                          <a:xfrm>
                            <a:off x="4468" y="1711"/>
                            <a:ext cx="5040" cy="3465"/>
                            <a:chOff x="4468" y="1711"/>
                            <a:chExt cx="5040" cy="3465"/>
                          </a:xfrm>
                        </wpg:grpSpPr>
                        <wps:wsp>
                          <wps:cNvPr id="1152" name="Text Box 508"/>
                          <wps:cNvSpPr txBox="1">
                            <a:spLocks noChangeArrowheads="1"/>
                          </wps:cNvSpPr>
                          <wps:spPr bwMode="auto">
                            <a:xfrm>
                              <a:off x="4468" y="2341"/>
                              <a:ext cx="270" cy="144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40F8" w:rsidRPr="00AD4E84" w:rsidRDefault="00BE40F8" w:rsidP="00B233DE">
                                <w:pPr>
                                  <w:ind w:firstLine="0"/>
                                  <w:jc w:val="center"/>
                                  <w:rPr>
                                    <w:rFonts w:ascii="Times New Roman" w:hAnsi="Times New Roman" w:cs="Times New Roman"/>
                                    <w:spacing w:val="20"/>
                                    <w:sz w:val="14"/>
                                    <w:szCs w:val="14"/>
                                  </w:rPr>
                                </w:pPr>
                                <w:r w:rsidRPr="00AD4E84">
                                  <w:rPr>
                                    <w:rFonts w:ascii="Times New Roman" w:hAnsi="Times New Roman" w:cs="Times New Roman"/>
                                    <w:spacing w:val="20"/>
                                    <w:sz w:val="14"/>
                                    <w:szCs w:val="14"/>
                                  </w:rPr>
                                  <w:t>Країни призначення</w:t>
                                </w:r>
                              </w:p>
                            </w:txbxContent>
                          </wps:txbx>
                          <wps:bodyPr rot="0" vert="vert270" wrap="square" lIns="0" tIns="0" rIns="0" bIns="0" anchor="ctr" anchorCtr="0" upright="1">
                            <a:noAutofit/>
                          </wps:bodyPr>
                        </wps:wsp>
                        <wps:wsp>
                          <wps:cNvPr id="1153" name="Text Box 509"/>
                          <wps:cNvSpPr txBox="1">
                            <a:spLocks noChangeArrowheads="1"/>
                          </wps:cNvSpPr>
                          <wps:spPr bwMode="auto">
                            <a:xfrm>
                              <a:off x="4738" y="4288"/>
                              <a:ext cx="900" cy="270"/>
                            </a:xfrm>
                            <a:prstGeom prst="rect">
                              <a:avLst/>
                            </a:prstGeom>
                            <a:solidFill>
                              <a:srgbClr val="FFFFFF"/>
                            </a:solidFill>
                            <a:ln w="9525">
                              <a:solidFill>
                                <a:srgbClr val="000000"/>
                              </a:solidFill>
                              <a:miter lim="800000"/>
                              <a:headEnd/>
                              <a:tailEnd/>
                            </a:ln>
                          </wps:spPr>
                          <wps:txbx>
                            <w:txbxContent>
                              <w:p w:rsidR="00BE40F8" w:rsidRPr="000539CC" w:rsidRDefault="00BE40F8" w:rsidP="00B233DE">
                                <w:pPr>
                                  <w:ind w:firstLine="0"/>
                                  <w:jc w:val="center"/>
                                  <w:rPr>
                                    <w:rFonts w:ascii="Times New Roman" w:hAnsi="Times New Roman" w:cs="Times New Roman"/>
                                    <w:sz w:val="14"/>
                                    <w:szCs w:val="14"/>
                                  </w:rPr>
                                </w:pPr>
                                <w:r w:rsidRPr="000539CC">
                                  <w:rPr>
                                    <w:rFonts w:ascii="Times New Roman" w:hAnsi="Times New Roman" w:cs="Times New Roman"/>
                                    <w:sz w:val="14"/>
                                    <w:szCs w:val="14"/>
                                  </w:rPr>
                                  <w:t>Зменшення безробіття</w:t>
                                </w:r>
                              </w:p>
                            </w:txbxContent>
                          </wps:txbx>
                          <wps:bodyPr rot="0" vert="horz" wrap="square" lIns="0" tIns="0" rIns="0" bIns="0" anchor="ctr" anchorCtr="0" upright="1">
                            <a:noAutofit/>
                          </wps:bodyPr>
                        </wps:wsp>
                        <wps:wsp>
                          <wps:cNvPr id="1154" name="Text Box 510"/>
                          <wps:cNvSpPr txBox="1">
                            <a:spLocks noChangeArrowheads="1"/>
                          </wps:cNvSpPr>
                          <wps:spPr bwMode="auto">
                            <a:xfrm>
                              <a:off x="5728" y="4411"/>
                              <a:ext cx="990" cy="450"/>
                            </a:xfrm>
                            <a:prstGeom prst="rect">
                              <a:avLst/>
                            </a:prstGeom>
                            <a:solidFill>
                              <a:srgbClr val="FFFFFF"/>
                            </a:solidFill>
                            <a:ln w="9525">
                              <a:solidFill>
                                <a:srgbClr val="000000"/>
                              </a:solidFill>
                              <a:miter lim="800000"/>
                              <a:headEnd/>
                              <a:tailEnd/>
                            </a:ln>
                          </wps:spPr>
                          <wps:txbx>
                            <w:txbxContent>
                              <w:p w:rsidR="00BE40F8" w:rsidRPr="000539CC" w:rsidRDefault="00BE40F8" w:rsidP="00B233DE">
                                <w:pPr>
                                  <w:ind w:firstLine="0"/>
                                  <w:jc w:val="center"/>
                                  <w:rPr>
                                    <w:rFonts w:ascii="Times New Roman" w:hAnsi="Times New Roman" w:cs="Times New Roman"/>
                                    <w:sz w:val="14"/>
                                    <w:szCs w:val="14"/>
                                  </w:rPr>
                                </w:pPr>
                                <w:r w:rsidRPr="000539CC">
                                  <w:rPr>
                                    <w:rFonts w:ascii="Times New Roman" w:hAnsi="Times New Roman" w:cs="Times New Roman"/>
                                    <w:sz w:val="14"/>
                                    <w:szCs w:val="14"/>
                                  </w:rPr>
                                  <w:t>Зростання доходів та отримання інвес</w:t>
                                </w:r>
                                <w:r>
                                  <w:rPr>
                                    <w:rFonts w:ascii="Times New Roman" w:hAnsi="Times New Roman" w:cs="Times New Roman"/>
                                    <w:sz w:val="14"/>
                                    <w:szCs w:val="14"/>
                                    <w:lang w:val="ru-RU"/>
                                  </w:rPr>
                                  <w:t>-</w:t>
                                </w:r>
                                <w:r w:rsidRPr="000539CC">
                                  <w:rPr>
                                    <w:rFonts w:ascii="Times New Roman" w:hAnsi="Times New Roman" w:cs="Times New Roman"/>
                                    <w:sz w:val="14"/>
                                    <w:szCs w:val="14"/>
                                  </w:rPr>
                                  <w:t>тиційних ресурсів</w:t>
                                </w:r>
                              </w:p>
                            </w:txbxContent>
                          </wps:txbx>
                          <wps:bodyPr rot="0" vert="horz" wrap="square" lIns="0" tIns="0" rIns="0" bIns="0" anchor="ctr" anchorCtr="0" upright="1">
                            <a:noAutofit/>
                          </wps:bodyPr>
                        </wps:wsp>
                        <wps:wsp>
                          <wps:cNvPr id="1155" name="Text Box 511"/>
                          <wps:cNvSpPr txBox="1">
                            <a:spLocks noChangeArrowheads="1"/>
                          </wps:cNvSpPr>
                          <wps:spPr bwMode="auto">
                            <a:xfrm>
                              <a:off x="6808" y="4771"/>
                              <a:ext cx="1080" cy="405"/>
                            </a:xfrm>
                            <a:prstGeom prst="rect">
                              <a:avLst/>
                            </a:prstGeom>
                            <a:solidFill>
                              <a:srgbClr val="FFFFFF"/>
                            </a:solidFill>
                            <a:ln w="9525">
                              <a:solidFill>
                                <a:srgbClr val="000000"/>
                              </a:solidFill>
                              <a:miter lim="800000"/>
                              <a:headEnd/>
                              <a:tailEnd/>
                            </a:ln>
                          </wps:spPr>
                          <wps:txbx>
                            <w:txbxContent>
                              <w:p w:rsidR="00BE40F8" w:rsidRPr="000539CC" w:rsidRDefault="00BE40F8" w:rsidP="00B233DE">
                                <w:pPr>
                                  <w:ind w:firstLine="0"/>
                                  <w:jc w:val="center"/>
                                  <w:rPr>
                                    <w:rFonts w:ascii="Times New Roman" w:hAnsi="Times New Roman" w:cs="Times New Roman"/>
                                    <w:sz w:val="14"/>
                                    <w:szCs w:val="14"/>
                                  </w:rPr>
                                </w:pPr>
                                <w:r w:rsidRPr="000539CC">
                                  <w:rPr>
                                    <w:rFonts w:ascii="Times New Roman" w:hAnsi="Times New Roman" w:cs="Times New Roman"/>
                                    <w:sz w:val="14"/>
                                    <w:szCs w:val="14"/>
                                  </w:rPr>
                                  <w:t>Стимулювання та регулювання потоків грошових переказів</w:t>
                                </w:r>
                              </w:p>
                            </w:txbxContent>
                          </wps:txbx>
                          <wps:bodyPr rot="0" vert="horz" wrap="square" lIns="0" tIns="0" rIns="0" bIns="0" anchor="ctr" anchorCtr="0" upright="1">
                            <a:noAutofit/>
                          </wps:bodyPr>
                        </wps:wsp>
                        <wps:wsp>
                          <wps:cNvPr id="1156" name="Text Box 512"/>
                          <wps:cNvSpPr txBox="1">
                            <a:spLocks noChangeArrowheads="1"/>
                          </wps:cNvSpPr>
                          <wps:spPr bwMode="auto">
                            <a:xfrm>
                              <a:off x="7978" y="4321"/>
                              <a:ext cx="630" cy="810"/>
                            </a:xfrm>
                            <a:prstGeom prst="rect">
                              <a:avLst/>
                            </a:prstGeom>
                            <a:solidFill>
                              <a:srgbClr val="FFFFFF"/>
                            </a:solidFill>
                            <a:ln w="9525">
                              <a:solidFill>
                                <a:srgbClr val="000000"/>
                              </a:solidFill>
                              <a:miter lim="800000"/>
                              <a:headEnd/>
                              <a:tailEnd/>
                            </a:ln>
                          </wps:spPr>
                          <wps:txbx>
                            <w:txbxContent>
                              <w:p w:rsidR="00BE40F8" w:rsidRPr="000539CC" w:rsidRDefault="00BE40F8" w:rsidP="00B233DE">
                                <w:pPr>
                                  <w:ind w:firstLine="0"/>
                                  <w:jc w:val="center"/>
                                  <w:rPr>
                                    <w:rFonts w:ascii="Times New Roman" w:hAnsi="Times New Roman" w:cs="Times New Roman"/>
                                    <w:sz w:val="14"/>
                                    <w:szCs w:val="14"/>
                                  </w:rPr>
                                </w:pPr>
                                <w:r w:rsidRPr="000539CC">
                                  <w:rPr>
                                    <w:rFonts w:ascii="Times New Roman" w:hAnsi="Times New Roman" w:cs="Times New Roman"/>
                                    <w:sz w:val="14"/>
                                    <w:szCs w:val="14"/>
                                  </w:rPr>
                                  <w:t>Стимулювання повернен</w:t>
                                </w:r>
                                <w:r>
                                  <w:rPr>
                                    <w:rFonts w:ascii="Times New Roman" w:hAnsi="Times New Roman" w:cs="Times New Roman"/>
                                    <w:sz w:val="14"/>
                                    <w:szCs w:val="14"/>
                                    <w:lang w:val="ru-RU"/>
                                  </w:rPr>
                                  <w:t>-</w:t>
                                </w:r>
                                <w:r w:rsidRPr="000539CC">
                                  <w:rPr>
                                    <w:rFonts w:ascii="Times New Roman" w:hAnsi="Times New Roman" w:cs="Times New Roman"/>
                                    <w:sz w:val="14"/>
                                    <w:szCs w:val="14"/>
                                  </w:rPr>
                                  <w:t>ня студентів, що навча</w:t>
                                </w:r>
                                <w:r>
                                  <w:rPr>
                                    <w:rFonts w:ascii="Times New Roman" w:hAnsi="Times New Roman" w:cs="Times New Roman"/>
                                    <w:sz w:val="14"/>
                                    <w:szCs w:val="14"/>
                                    <w:lang w:val="ru-RU"/>
                                  </w:rPr>
                                  <w:t>-</w:t>
                                </w:r>
                                <w:r w:rsidRPr="000539CC">
                                  <w:rPr>
                                    <w:rFonts w:ascii="Times New Roman" w:hAnsi="Times New Roman" w:cs="Times New Roman"/>
                                    <w:sz w:val="14"/>
                                    <w:szCs w:val="14"/>
                                  </w:rPr>
                                  <w:t>лись за кор</w:t>
                                </w:r>
                                <w:r>
                                  <w:rPr>
                                    <w:rFonts w:ascii="Times New Roman" w:hAnsi="Times New Roman" w:cs="Times New Roman"/>
                                    <w:sz w:val="14"/>
                                    <w:szCs w:val="14"/>
                                    <w:lang w:val="ru-RU"/>
                                  </w:rPr>
                                  <w:t>-</w:t>
                                </w:r>
                                <w:r w:rsidRPr="000539CC">
                                  <w:rPr>
                                    <w:rFonts w:ascii="Times New Roman" w:hAnsi="Times New Roman" w:cs="Times New Roman"/>
                                    <w:sz w:val="14"/>
                                    <w:szCs w:val="14"/>
                                  </w:rPr>
                                  <w:t>доном</w:t>
                                </w:r>
                              </w:p>
                            </w:txbxContent>
                          </wps:txbx>
                          <wps:bodyPr rot="0" vert="horz" wrap="square" lIns="0" tIns="0" rIns="0" bIns="0" anchor="ctr" anchorCtr="0" upright="1">
                            <a:noAutofit/>
                          </wps:bodyPr>
                        </wps:wsp>
                        <wps:wsp>
                          <wps:cNvPr id="1157" name="Line 513"/>
                          <wps:cNvCnPr/>
                          <wps:spPr bwMode="auto">
                            <a:xfrm>
                              <a:off x="9058" y="1957"/>
                              <a:ext cx="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58" name="Text Box 514"/>
                          <wps:cNvSpPr txBox="1">
                            <a:spLocks noChangeArrowheads="1"/>
                          </wps:cNvSpPr>
                          <wps:spPr bwMode="auto">
                            <a:xfrm>
                              <a:off x="6628" y="1711"/>
                              <a:ext cx="1800" cy="180"/>
                            </a:xfrm>
                            <a:prstGeom prst="rect">
                              <a:avLst/>
                            </a:prstGeom>
                            <a:solidFill>
                              <a:srgbClr val="FFFFFF"/>
                            </a:solidFill>
                            <a:ln w="9525">
                              <a:solidFill>
                                <a:srgbClr val="000000"/>
                              </a:solidFill>
                              <a:miter lim="800000"/>
                              <a:headEnd/>
                              <a:tailEnd/>
                            </a:ln>
                          </wps:spPr>
                          <wps:txbx>
                            <w:txbxContent>
                              <w:p w:rsidR="00BE40F8" w:rsidRPr="00D3048A" w:rsidRDefault="00BE40F8" w:rsidP="00B233DE">
                                <w:pPr>
                                  <w:ind w:firstLine="0"/>
                                  <w:jc w:val="center"/>
                                  <w:rPr>
                                    <w:rFonts w:ascii="Times New Roman" w:hAnsi="Times New Roman" w:cs="Times New Roman"/>
                                    <w:sz w:val="14"/>
                                    <w:szCs w:val="14"/>
                                  </w:rPr>
                                </w:pPr>
                                <w:r w:rsidRPr="00D3048A">
                                  <w:rPr>
                                    <w:rFonts w:ascii="Times New Roman" w:hAnsi="Times New Roman" w:cs="Times New Roman"/>
                                    <w:sz w:val="14"/>
                                    <w:szCs w:val="14"/>
                                  </w:rPr>
                                  <w:t>Цілі міграційного перерозподілу ЛП</w:t>
                                </w:r>
                              </w:p>
                            </w:txbxContent>
                          </wps:txbx>
                          <wps:bodyPr rot="0" vert="horz" wrap="square" lIns="0" tIns="0" rIns="0" bIns="0" anchor="ctr" anchorCtr="0" upright="1">
                            <a:noAutofit/>
                          </wps:bodyPr>
                        </wps:wsp>
                        <wps:wsp>
                          <wps:cNvPr id="1159" name="Line 515"/>
                          <wps:cNvCnPr/>
                          <wps:spPr bwMode="auto">
                            <a:xfrm>
                              <a:off x="7168" y="1891"/>
                              <a:ext cx="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60" name="Text Box 516"/>
                          <wps:cNvSpPr txBox="1">
                            <a:spLocks noChangeArrowheads="1"/>
                          </wps:cNvSpPr>
                          <wps:spPr bwMode="auto">
                            <a:xfrm>
                              <a:off x="4558" y="1711"/>
                              <a:ext cx="1980" cy="180"/>
                            </a:xfrm>
                            <a:prstGeom prst="rect">
                              <a:avLst/>
                            </a:prstGeom>
                            <a:solidFill>
                              <a:srgbClr val="FFFFFF"/>
                            </a:solidFill>
                            <a:ln w="9525">
                              <a:solidFill>
                                <a:srgbClr val="000000"/>
                              </a:solidFill>
                              <a:miter lim="800000"/>
                              <a:headEnd/>
                              <a:tailEnd/>
                            </a:ln>
                          </wps:spPr>
                          <wps:txbx>
                            <w:txbxContent>
                              <w:p w:rsidR="00BE40F8" w:rsidRPr="00D3048A" w:rsidRDefault="00BE40F8" w:rsidP="00B233DE">
                                <w:pPr>
                                  <w:ind w:firstLine="0"/>
                                  <w:jc w:val="center"/>
                                  <w:rPr>
                                    <w:rFonts w:ascii="Times New Roman" w:hAnsi="Times New Roman" w:cs="Times New Roman"/>
                                    <w:sz w:val="14"/>
                                    <w:szCs w:val="14"/>
                                  </w:rPr>
                                </w:pPr>
                                <w:r w:rsidRPr="00D3048A">
                                  <w:rPr>
                                    <w:rFonts w:ascii="Times New Roman" w:hAnsi="Times New Roman" w:cs="Times New Roman"/>
                                    <w:sz w:val="14"/>
                                    <w:szCs w:val="14"/>
                                  </w:rPr>
                                  <w:t>Наслідки міграційного перерозподілу ЛП</w:t>
                                </w:r>
                              </w:p>
                            </w:txbxContent>
                          </wps:txbx>
                          <wps:bodyPr rot="0" vert="horz" wrap="square" lIns="0" tIns="0" rIns="0" bIns="0" anchor="ctr" anchorCtr="0" upright="1">
                            <a:noAutofit/>
                          </wps:bodyPr>
                        </wps:wsp>
                        <wps:wsp>
                          <wps:cNvPr id="1161" name="Line 517"/>
                          <wps:cNvCnPr/>
                          <wps:spPr bwMode="auto">
                            <a:xfrm>
                              <a:off x="5368" y="1891"/>
                              <a:ext cx="0" cy="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62" name="Text Box 518"/>
                          <wps:cNvSpPr txBox="1">
                            <a:spLocks noChangeArrowheads="1"/>
                          </wps:cNvSpPr>
                          <wps:spPr bwMode="auto">
                            <a:xfrm>
                              <a:off x="8698" y="2047"/>
                              <a:ext cx="720" cy="180"/>
                            </a:xfrm>
                            <a:prstGeom prst="rect">
                              <a:avLst/>
                            </a:prstGeom>
                            <a:solidFill>
                              <a:srgbClr val="FFFFFF"/>
                            </a:solidFill>
                            <a:ln w="9525">
                              <a:solidFill>
                                <a:srgbClr val="000000"/>
                              </a:solidFill>
                              <a:miter lim="800000"/>
                              <a:headEnd/>
                              <a:tailEnd/>
                            </a:ln>
                          </wps:spPr>
                          <wps:txbx>
                            <w:txbxContent>
                              <w:p w:rsidR="00BE40F8" w:rsidRPr="00B421DB" w:rsidRDefault="00BE40F8" w:rsidP="00B233DE">
                                <w:pPr>
                                  <w:ind w:firstLine="0"/>
                                  <w:jc w:val="center"/>
                                  <w:rPr>
                                    <w:rFonts w:ascii="Times New Roman" w:hAnsi="Times New Roman" w:cs="Times New Roman"/>
                                    <w:sz w:val="14"/>
                                    <w:szCs w:val="14"/>
                                  </w:rPr>
                                </w:pPr>
                                <w:r w:rsidRPr="00B421DB">
                                  <w:rPr>
                                    <w:rFonts w:ascii="Times New Roman" w:hAnsi="Times New Roman" w:cs="Times New Roman"/>
                                    <w:sz w:val="14"/>
                                    <w:szCs w:val="14"/>
                                  </w:rPr>
                                  <w:t>Візовий режим</w:t>
                                </w:r>
                              </w:p>
                            </w:txbxContent>
                          </wps:txbx>
                          <wps:bodyPr rot="0" vert="horz" wrap="square" lIns="0" tIns="0" rIns="0" bIns="0" anchor="ctr" anchorCtr="0" upright="1">
                            <a:noAutofit/>
                          </wps:bodyPr>
                        </wps:wsp>
                        <wps:wsp>
                          <wps:cNvPr id="1163" name="Text Box 519"/>
                          <wps:cNvSpPr txBox="1">
                            <a:spLocks noChangeArrowheads="1"/>
                          </wps:cNvSpPr>
                          <wps:spPr bwMode="auto">
                            <a:xfrm>
                              <a:off x="8698" y="2521"/>
                              <a:ext cx="720" cy="405"/>
                            </a:xfrm>
                            <a:prstGeom prst="rect">
                              <a:avLst/>
                            </a:prstGeom>
                            <a:solidFill>
                              <a:srgbClr val="FFFFFF"/>
                            </a:solidFill>
                            <a:ln w="9525">
                              <a:solidFill>
                                <a:srgbClr val="000000"/>
                              </a:solidFill>
                              <a:miter lim="800000"/>
                              <a:headEnd/>
                              <a:tailEnd/>
                            </a:ln>
                          </wps:spPr>
                          <wps:txbx>
                            <w:txbxContent>
                              <w:p w:rsidR="00BE40F8" w:rsidRPr="008B2299" w:rsidRDefault="00BE40F8" w:rsidP="00B233DE">
                                <w:pPr>
                                  <w:ind w:firstLine="0"/>
                                  <w:jc w:val="center"/>
                                  <w:rPr>
                                    <w:rFonts w:ascii="Times New Roman" w:hAnsi="Times New Roman" w:cs="Times New Roman"/>
                                    <w:sz w:val="14"/>
                                    <w:szCs w:val="14"/>
                                  </w:rPr>
                                </w:pPr>
                                <w:r w:rsidRPr="008B2299">
                                  <w:rPr>
                                    <w:rFonts w:ascii="Times New Roman" w:hAnsi="Times New Roman" w:cs="Times New Roman"/>
                                    <w:sz w:val="14"/>
                                    <w:szCs w:val="14"/>
                                  </w:rPr>
                                  <w:t>Заходи селективної імміграції</w:t>
                                </w:r>
                              </w:p>
                            </w:txbxContent>
                          </wps:txbx>
                          <wps:bodyPr rot="0" vert="horz" wrap="square" lIns="0" tIns="0" rIns="0" bIns="0" anchor="ctr" anchorCtr="0" upright="1">
                            <a:noAutofit/>
                          </wps:bodyPr>
                        </wps:wsp>
                        <wps:wsp>
                          <wps:cNvPr id="1164" name="Text Box 520"/>
                          <wps:cNvSpPr txBox="1">
                            <a:spLocks noChangeArrowheads="1"/>
                          </wps:cNvSpPr>
                          <wps:spPr bwMode="auto">
                            <a:xfrm>
                              <a:off x="8698" y="3871"/>
                              <a:ext cx="720" cy="270"/>
                            </a:xfrm>
                            <a:prstGeom prst="rect">
                              <a:avLst/>
                            </a:prstGeom>
                            <a:solidFill>
                              <a:srgbClr val="FFFFFF"/>
                            </a:solidFill>
                            <a:ln w="9525">
                              <a:solidFill>
                                <a:srgbClr val="000000"/>
                              </a:solidFill>
                              <a:miter lim="800000"/>
                              <a:headEnd/>
                              <a:tailEnd/>
                            </a:ln>
                          </wps:spPr>
                          <wps:txbx>
                            <w:txbxContent>
                              <w:p w:rsidR="00BE40F8" w:rsidRPr="00E5579F" w:rsidRDefault="00BE40F8" w:rsidP="00B233DE">
                                <w:pPr>
                                  <w:ind w:firstLine="0"/>
                                  <w:jc w:val="center"/>
                                  <w:rPr>
                                    <w:rFonts w:ascii="Times New Roman" w:hAnsi="Times New Roman" w:cs="Times New Roman"/>
                                    <w:sz w:val="14"/>
                                    <w:szCs w:val="14"/>
                                  </w:rPr>
                                </w:pPr>
                                <w:r w:rsidRPr="00E5579F">
                                  <w:rPr>
                                    <w:rFonts w:ascii="Times New Roman" w:hAnsi="Times New Roman" w:cs="Times New Roman"/>
                                    <w:sz w:val="14"/>
                                    <w:szCs w:val="14"/>
                                  </w:rPr>
                                  <w:t>Трудові контракти</w:t>
                                </w:r>
                              </w:p>
                            </w:txbxContent>
                          </wps:txbx>
                          <wps:bodyPr rot="0" vert="horz" wrap="square" lIns="0" tIns="0" rIns="0" bIns="0" anchor="ctr" anchorCtr="0" upright="1">
                            <a:noAutofit/>
                          </wps:bodyPr>
                        </wps:wsp>
                        <wps:wsp>
                          <wps:cNvPr id="1165" name="Text Box 521"/>
                          <wps:cNvSpPr txBox="1">
                            <a:spLocks noChangeArrowheads="1"/>
                          </wps:cNvSpPr>
                          <wps:spPr bwMode="auto">
                            <a:xfrm>
                              <a:off x="8698" y="4591"/>
                              <a:ext cx="720" cy="270"/>
                            </a:xfrm>
                            <a:prstGeom prst="rect">
                              <a:avLst/>
                            </a:prstGeom>
                            <a:solidFill>
                              <a:srgbClr val="FFFFFF"/>
                            </a:solidFill>
                            <a:ln w="9525">
                              <a:solidFill>
                                <a:srgbClr val="000000"/>
                              </a:solidFill>
                              <a:miter lim="800000"/>
                              <a:headEnd/>
                              <a:tailEnd/>
                            </a:ln>
                          </wps:spPr>
                          <wps:txbx>
                            <w:txbxContent>
                              <w:p w:rsidR="00BE40F8" w:rsidRPr="000539CC" w:rsidRDefault="00BE40F8" w:rsidP="00B233DE">
                                <w:pPr>
                                  <w:ind w:firstLine="0"/>
                                  <w:jc w:val="center"/>
                                  <w:rPr>
                                    <w:rFonts w:ascii="Times New Roman" w:hAnsi="Times New Roman" w:cs="Times New Roman"/>
                                    <w:sz w:val="14"/>
                                    <w:szCs w:val="14"/>
                                  </w:rPr>
                                </w:pPr>
                                <w:r w:rsidRPr="000539CC">
                                  <w:rPr>
                                    <w:rFonts w:ascii="Times New Roman" w:hAnsi="Times New Roman" w:cs="Times New Roman"/>
                                    <w:sz w:val="14"/>
                                    <w:szCs w:val="14"/>
                                  </w:rPr>
                                  <w:t>Двосторонні угоди</w:t>
                                </w:r>
                              </w:p>
                            </w:txbxContent>
                          </wps:txbx>
                          <wps:bodyPr rot="0" vert="horz" wrap="square" lIns="0" tIns="0" rIns="0" bIns="0" anchor="ctr" anchorCtr="0" upright="1">
                            <a:noAutofit/>
                          </wps:bodyPr>
                        </wps:wsp>
                        <wps:wsp>
                          <wps:cNvPr id="1166" name="Text Box 522"/>
                          <wps:cNvSpPr txBox="1">
                            <a:spLocks noChangeArrowheads="1"/>
                          </wps:cNvSpPr>
                          <wps:spPr bwMode="auto">
                            <a:xfrm>
                              <a:off x="8698" y="3151"/>
                              <a:ext cx="720" cy="630"/>
                            </a:xfrm>
                            <a:prstGeom prst="rect">
                              <a:avLst/>
                            </a:prstGeom>
                            <a:solidFill>
                              <a:srgbClr val="FFFFFF"/>
                            </a:solidFill>
                            <a:ln w="9525">
                              <a:solidFill>
                                <a:srgbClr val="000000"/>
                              </a:solidFill>
                              <a:miter lim="800000"/>
                              <a:headEnd/>
                              <a:tailEnd/>
                            </a:ln>
                          </wps:spPr>
                          <wps:txbx>
                            <w:txbxContent>
                              <w:p w:rsidR="00BE40F8" w:rsidRPr="00FE3F54" w:rsidRDefault="00BE40F8" w:rsidP="00B233DE">
                                <w:pPr>
                                  <w:ind w:firstLine="0"/>
                                  <w:jc w:val="center"/>
                                  <w:rPr>
                                    <w:rFonts w:ascii="Times New Roman" w:hAnsi="Times New Roman" w:cs="Times New Roman"/>
                                    <w:sz w:val="14"/>
                                    <w:szCs w:val="14"/>
                                  </w:rPr>
                                </w:pPr>
                                <w:r w:rsidRPr="00FE3F54">
                                  <w:rPr>
                                    <w:rFonts w:ascii="Times New Roman" w:hAnsi="Times New Roman" w:cs="Times New Roman"/>
                                    <w:sz w:val="14"/>
                                    <w:szCs w:val="14"/>
                                  </w:rPr>
                                  <w:t>Спеціальні програми для висококваліфі</w:t>
                                </w:r>
                                <w:r>
                                  <w:rPr>
                                    <w:rFonts w:ascii="Times New Roman" w:hAnsi="Times New Roman" w:cs="Times New Roman"/>
                                    <w:sz w:val="14"/>
                                    <w:szCs w:val="14"/>
                                    <w:lang w:val="ru-RU"/>
                                  </w:rPr>
                                  <w:t>-</w:t>
                                </w:r>
                                <w:r w:rsidRPr="00FE3F54">
                                  <w:rPr>
                                    <w:rFonts w:ascii="Times New Roman" w:hAnsi="Times New Roman" w:cs="Times New Roman"/>
                                    <w:sz w:val="14"/>
                                    <w:szCs w:val="14"/>
                                  </w:rPr>
                                  <w:t>кованих працівників</w:t>
                                </w:r>
                              </w:p>
                            </w:txbxContent>
                          </wps:txbx>
                          <wps:bodyPr rot="0" vert="horz" wrap="square" lIns="0" tIns="0" rIns="0" bIns="0" anchor="ctr" anchorCtr="0" upright="1">
                            <a:noAutofit/>
                          </wps:bodyPr>
                        </wps:wsp>
                        <wps:wsp>
                          <wps:cNvPr id="1167" name="Line 523"/>
                          <wps:cNvCnPr/>
                          <wps:spPr bwMode="auto">
                            <a:xfrm>
                              <a:off x="5638" y="4321"/>
                              <a:ext cx="117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68" name="AutoShape 524"/>
                          <wps:cNvCnPr/>
                          <wps:spPr bwMode="auto">
                            <a:xfrm>
                              <a:off x="6718" y="4591"/>
                              <a:ext cx="90" cy="360"/>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69" name="AutoShape 525"/>
                          <wps:cNvCnPr/>
                          <wps:spPr bwMode="auto">
                            <a:xfrm>
                              <a:off x="8608" y="3061"/>
                              <a:ext cx="450" cy="90"/>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70" name="Line 526"/>
                          <wps:cNvCnPr/>
                          <wps:spPr bwMode="auto">
                            <a:xfrm>
                              <a:off x="8608" y="4771"/>
                              <a:ext cx="9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71" name="AutoShape 527"/>
                          <wps:cNvCnPr/>
                          <wps:spPr bwMode="auto">
                            <a:xfrm rot="16200000" flipH="1">
                              <a:off x="7843" y="1846"/>
                              <a:ext cx="180" cy="1530"/>
                            </a:xfrm>
                            <a:prstGeom prst="bentConnector2">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1172" name="AutoShape 528"/>
                          <wps:cNvCnPr>
                            <a:endCxn id="1164" idx="2"/>
                          </wps:cNvCnPr>
                          <wps:spPr bwMode="auto">
                            <a:xfrm flipV="1">
                              <a:off x="7888" y="4141"/>
                              <a:ext cx="1170" cy="145"/>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cNvPr id="1173" name="Group 529"/>
                          <wpg:cNvGrpSpPr>
                            <a:grpSpLocks/>
                          </wpg:cNvGrpSpPr>
                          <wpg:grpSpPr bwMode="auto">
                            <a:xfrm>
                              <a:off x="8608" y="2881"/>
                              <a:ext cx="900" cy="1125"/>
                              <a:chOff x="8608" y="2881"/>
                              <a:chExt cx="900" cy="1125"/>
                            </a:xfrm>
                          </wpg:grpSpPr>
                          <wps:wsp>
                            <wps:cNvPr id="1174" name="AutoShape 530"/>
                            <wps:cNvCnPr/>
                            <wps:spPr bwMode="auto">
                              <a:xfrm flipV="1">
                                <a:off x="8608" y="2881"/>
                                <a:ext cx="450" cy="180"/>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75" name="AutoShape 531"/>
                            <wps:cNvCnPr/>
                            <wps:spPr bwMode="auto">
                              <a:xfrm flipV="1">
                                <a:off x="8608" y="3151"/>
                                <a:ext cx="450" cy="855"/>
                              </a:xfrm>
                              <a:prstGeom prst="bentConnector4">
                                <a:avLst>
                                  <a:gd name="adj1" fmla="val 10000"/>
                                  <a:gd name="adj2" fmla="val 11052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76" name="Line 532"/>
                            <wps:cNvCnPr/>
                            <wps:spPr bwMode="auto">
                              <a:xfrm>
                                <a:off x="9058" y="3061"/>
                                <a:ext cx="45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1177" name="Text Box 533"/>
                          <wps:cNvSpPr txBox="1">
                            <a:spLocks noChangeArrowheads="1"/>
                          </wps:cNvSpPr>
                          <wps:spPr bwMode="auto">
                            <a:xfrm>
                              <a:off x="6808" y="4261"/>
                              <a:ext cx="1080" cy="510"/>
                            </a:xfrm>
                            <a:prstGeom prst="rect">
                              <a:avLst/>
                            </a:prstGeom>
                            <a:solidFill>
                              <a:srgbClr val="FFFFFF"/>
                            </a:solidFill>
                            <a:ln w="9525">
                              <a:solidFill>
                                <a:srgbClr val="000000"/>
                              </a:solidFill>
                              <a:miter lim="800000"/>
                              <a:headEnd/>
                              <a:tailEnd/>
                            </a:ln>
                          </wps:spPr>
                          <wps:txbx>
                            <w:txbxContent>
                              <w:p w:rsidR="00BE40F8" w:rsidRPr="000539CC" w:rsidRDefault="00BE40F8" w:rsidP="00B233DE">
                                <w:pPr>
                                  <w:ind w:firstLine="0"/>
                                  <w:jc w:val="center"/>
                                  <w:rPr>
                                    <w:rFonts w:ascii="Times New Roman" w:hAnsi="Times New Roman" w:cs="Times New Roman"/>
                                    <w:sz w:val="14"/>
                                    <w:szCs w:val="14"/>
                                  </w:rPr>
                                </w:pPr>
                                <w:r w:rsidRPr="000539CC">
                                  <w:rPr>
                                    <w:rFonts w:ascii="Times New Roman" w:hAnsi="Times New Roman" w:cs="Times New Roman"/>
                                    <w:sz w:val="14"/>
                                    <w:szCs w:val="14"/>
                                  </w:rPr>
                                  <w:t>Сприяння еміграції за трудовими контрак</w:t>
                                </w:r>
                                <w:r>
                                  <w:rPr>
                                    <w:rFonts w:ascii="Times New Roman" w:hAnsi="Times New Roman" w:cs="Times New Roman"/>
                                    <w:sz w:val="14"/>
                                    <w:szCs w:val="14"/>
                                    <w:lang w:val="ru-RU"/>
                                  </w:rPr>
                                  <w:t>-</w:t>
                                </w:r>
                                <w:r w:rsidRPr="000539CC">
                                  <w:rPr>
                                    <w:rFonts w:ascii="Times New Roman" w:hAnsi="Times New Roman" w:cs="Times New Roman"/>
                                    <w:sz w:val="14"/>
                                    <w:szCs w:val="14"/>
                                  </w:rPr>
                                  <w:t>тами на основі дослідження ринку праці</w:t>
                                </w:r>
                              </w:p>
                            </w:txbxContent>
                          </wps:txbx>
                          <wps:bodyPr rot="0" vert="horz" wrap="square" lIns="0" tIns="0" rIns="0" bIns="0" anchor="ctr" anchorCtr="0" upright="1">
                            <a:noAutofit/>
                          </wps:bodyPr>
                        </wps:wsp>
                        <wps:wsp>
                          <wps:cNvPr id="1178" name="Text Box 534"/>
                          <wps:cNvSpPr txBox="1">
                            <a:spLocks noChangeArrowheads="1"/>
                          </wps:cNvSpPr>
                          <wps:spPr bwMode="auto">
                            <a:xfrm>
                              <a:off x="4738" y="1981"/>
                              <a:ext cx="900" cy="270"/>
                            </a:xfrm>
                            <a:prstGeom prst="rect">
                              <a:avLst/>
                            </a:prstGeom>
                            <a:solidFill>
                              <a:srgbClr val="FFFFFF"/>
                            </a:solidFill>
                            <a:ln w="9525">
                              <a:solidFill>
                                <a:srgbClr val="000000"/>
                              </a:solidFill>
                              <a:miter lim="800000"/>
                              <a:headEnd/>
                              <a:tailEnd/>
                            </a:ln>
                          </wps:spPr>
                          <wps:txbx>
                            <w:txbxContent>
                              <w:p w:rsidR="00BE40F8" w:rsidRPr="00AD4E84" w:rsidRDefault="00BE40F8" w:rsidP="00B233DE">
                                <w:pPr>
                                  <w:ind w:firstLine="0"/>
                                  <w:jc w:val="center"/>
                                  <w:rPr>
                                    <w:rFonts w:ascii="Times New Roman" w:hAnsi="Times New Roman" w:cs="Times New Roman"/>
                                    <w:sz w:val="14"/>
                                    <w:szCs w:val="14"/>
                                  </w:rPr>
                                </w:pPr>
                                <w:r w:rsidRPr="00AD4E84">
                                  <w:rPr>
                                    <w:rFonts w:ascii="Times New Roman" w:hAnsi="Times New Roman" w:cs="Times New Roman"/>
                                    <w:sz w:val="14"/>
                                    <w:szCs w:val="14"/>
                                  </w:rPr>
                                  <w:t>Збільшення кіль</w:t>
                                </w:r>
                                <w:r>
                                  <w:rPr>
                                    <w:rFonts w:ascii="Times New Roman" w:hAnsi="Times New Roman" w:cs="Times New Roman"/>
                                    <w:sz w:val="14"/>
                                    <w:szCs w:val="14"/>
                                  </w:rPr>
                                  <w:t>-</w:t>
                                </w:r>
                                <w:r w:rsidRPr="00AD4E84">
                                  <w:rPr>
                                    <w:rFonts w:ascii="Times New Roman" w:hAnsi="Times New Roman" w:cs="Times New Roman"/>
                                    <w:sz w:val="14"/>
                                    <w:szCs w:val="14"/>
                                  </w:rPr>
                                  <w:t>кості населення</w:t>
                                </w:r>
                              </w:p>
                            </w:txbxContent>
                          </wps:txbx>
                          <wps:bodyPr rot="0" vert="horz" wrap="square" lIns="0" tIns="0" rIns="0" bIns="0" anchor="ctr" anchorCtr="0" upright="1">
                            <a:noAutofit/>
                          </wps:bodyPr>
                        </wps:wsp>
                        <wps:wsp>
                          <wps:cNvPr id="1179" name="Text Box 535"/>
                          <wps:cNvSpPr txBox="1">
                            <a:spLocks noChangeArrowheads="1"/>
                          </wps:cNvSpPr>
                          <wps:spPr bwMode="auto">
                            <a:xfrm>
                              <a:off x="5728" y="2161"/>
                              <a:ext cx="900" cy="270"/>
                            </a:xfrm>
                            <a:prstGeom prst="rect">
                              <a:avLst/>
                            </a:prstGeom>
                            <a:solidFill>
                              <a:srgbClr val="FFFFFF"/>
                            </a:solidFill>
                            <a:ln w="9525">
                              <a:solidFill>
                                <a:srgbClr val="000000"/>
                              </a:solidFill>
                              <a:miter lim="800000"/>
                              <a:headEnd/>
                              <a:tailEnd/>
                            </a:ln>
                          </wps:spPr>
                          <wps:txbx>
                            <w:txbxContent>
                              <w:p w:rsidR="00BE40F8" w:rsidRPr="00AD4E84" w:rsidRDefault="00BE40F8" w:rsidP="00B233DE">
                                <w:pPr>
                                  <w:ind w:firstLine="0"/>
                                  <w:jc w:val="center"/>
                                  <w:rPr>
                                    <w:rFonts w:ascii="Times New Roman" w:hAnsi="Times New Roman" w:cs="Times New Roman"/>
                                    <w:sz w:val="14"/>
                                    <w:szCs w:val="14"/>
                                  </w:rPr>
                                </w:pPr>
                                <w:r w:rsidRPr="00AD4E84">
                                  <w:rPr>
                                    <w:rFonts w:ascii="Times New Roman" w:hAnsi="Times New Roman" w:cs="Times New Roman"/>
                                    <w:sz w:val="14"/>
                                    <w:szCs w:val="14"/>
                                  </w:rPr>
                                  <w:t>Підвищення рівня народжуваності</w:t>
                                </w:r>
                              </w:p>
                            </w:txbxContent>
                          </wps:txbx>
                          <wps:bodyPr rot="0" vert="horz" wrap="square" lIns="0" tIns="0" rIns="0" bIns="0" anchor="ctr" anchorCtr="0" upright="1">
                            <a:noAutofit/>
                          </wps:bodyPr>
                        </wps:wsp>
                        <wps:wsp>
                          <wps:cNvPr id="1180" name="Text Box 536"/>
                          <wps:cNvSpPr txBox="1">
                            <a:spLocks noChangeArrowheads="1"/>
                          </wps:cNvSpPr>
                          <wps:spPr bwMode="auto">
                            <a:xfrm>
                              <a:off x="4738" y="2341"/>
                              <a:ext cx="900" cy="270"/>
                            </a:xfrm>
                            <a:prstGeom prst="rect">
                              <a:avLst/>
                            </a:prstGeom>
                            <a:solidFill>
                              <a:srgbClr val="FFFFFF"/>
                            </a:solidFill>
                            <a:ln w="9525">
                              <a:solidFill>
                                <a:srgbClr val="000000"/>
                              </a:solidFill>
                              <a:miter lim="800000"/>
                              <a:headEnd/>
                              <a:tailEnd/>
                            </a:ln>
                          </wps:spPr>
                          <wps:txbx>
                            <w:txbxContent>
                              <w:p w:rsidR="00BE40F8" w:rsidRPr="00AD4E84" w:rsidRDefault="00BE40F8" w:rsidP="00B233DE">
                                <w:pPr>
                                  <w:ind w:firstLine="0"/>
                                  <w:jc w:val="center"/>
                                  <w:rPr>
                                    <w:rFonts w:ascii="Times New Roman" w:hAnsi="Times New Roman" w:cs="Times New Roman"/>
                                    <w:sz w:val="14"/>
                                    <w:szCs w:val="14"/>
                                  </w:rPr>
                                </w:pPr>
                                <w:r w:rsidRPr="00AD4E84">
                                  <w:rPr>
                                    <w:rFonts w:ascii="Times New Roman" w:hAnsi="Times New Roman" w:cs="Times New Roman"/>
                                    <w:sz w:val="14"/>
                                    <w:szCs w:val="14"/>
                                  </w:rPr>
                                  <w:t>Розширення споживання</w:t>
                                </w:r>
                              </w:p>
                            </w:txbxContent>
                          </wps:txbx>
                          <wps:bodyPr rot="0" vert="horz" wrap="square" lIns="0" tIns="0" rIns="0" bIns="0" anchor="ctr" anchorCtr="0" upright="1">
                            <a:noAutofit/>
                          </wps:bodyPr>
                        </wps:wsp>
                        <wps:wsp>
                          <wps:cNvPr id="1181" name="Text Box 537"/>
                          <wps:cNvSpPr txBox="1">
                            <a:spLocks noChangeArrowheads="1"/>
                          </wps:cNvSpPr>
                          <wps:spPr bwMode="auto">
                            <a:xfrm>
                              <a:off x="5728" y="2521"/>
                              <a:ext cx="900" cy="270"/>
                            </a:xfrm>
                            <a:prstGeom prst="rect">
                              <a:avLst/>
                            </a:prstGeom>
                            <a:solidFill>
                              <a:srgbClr val="FFFFFF"/>
                            </a:solidFill>
                            <a:ln w="9525">
                              <a:solidFill>
                                <a:srgbClr val="000000"/>
                              </a:solidFill>
                              <a:miter lim="800000"/>
                              <a:headEnd/>
                              <a:tailEnd/>
                            </a:ln>
                          </wps:spPr>
                          <wps:txbx>
                            <w:txbxContent>
                              <w:p w:rsidR="00BE40F8" w:rsidRPr="00121F8C" w:rsidRDefault="00BE40F8" w:rsidP="00B233DE">
                                <w:pPr>
                                  <w:ind w:firstLine="0"/>
                                  <w:jc w:val="center"/>
                                  <w:rPr>
                                    <w:rFonts w:ascii="Times New Roman" w:hAnsi="Times New Roman" w:cs="Times New Roman"/>
                                    <w:sz w:val="14"/>
                                    <w:szCs w:val="14"/>
                                  </w:rPr>
                                </w:pPr>
                                <w:r w:rsidRPr="00121F8C">
                                  <w:rPr>
                                    <w:rFonts w:ascii="Times New Roman" w:hAnsi="Times New Roman" w:cs="Times New Roman"/>
                                    <w:sz w:val="14"/>
                                    <w:szCs w:val="14"/>
                                  </w:rPr>
                                  <w:t>Задов</w:t>
                                </w:r>
                                <w:r>
                                  <w:rPr>
                                    <w:rFonts w:ascii="Times New Roman" w:hAnsi="Times New Roman" w:cs="Times New Roman"/>
                                    <w:sz w:val="14"/>
                                    <w:szCs w:val="14"/>
                                    <w:lang w:val="ru-RU"/>
                                  </w:rPr>
                                  <w:t>о</w:t>
                                </w:r>
                                <w:r w:rsidRPr="00121F8C">
                                  <w:rPr>
                                    <w:rFonts w:ascii="Times New Roman" w:hAnsi="Times New Roman" w:cs="Times New Roman"/>
                                    <w:sz w:val="14"/>
                                    <w:szCs w:val="14"/>
                                  </w:rPr>
                                  <w:t>лення пот</w:t>
                                </w:r>
                                <w:r>
                                  <w:rPr>
                                    <w:rFonts w:ascii="Times New Roman" w:hAnsi="Times New Roman" w:cs="Times New Roman"/>
                                    <w:sz w:val="14"/>
                                    <w:szCs w:val="14"/>
                                    <w:lang w:val="en-US"/>
                                  </w:rPr>
                                  <w:t>-</w:t>
                                </w:r>
                                <w:r w:rsidRPr="00121F8C">
                                  <w:rPr>
                                    <w:rFonts w:ascii="Times New Roman" w:hAnsi="Times New Roman" w:cs="Times New Roman"/>
                                    <w:sz w:val="14"/>
                                    <w:szCs w:val="14"/>
                                  </w:rPr>
                                  <w:t>реби ринку праці</w:t>
                                </w:r>
                              </w:p>
                            </w:txbxContent>
                          </wps:txbx>
                          <wps:bodyPr rot="0" vert="horz" wrap="square" lIns="0" tIns="0" rIns="0" bIns="0" anchor="ctr" anchorCtr="0" upright="1">
                            <a:noAutofit/>
                          </wps:bodyPr>
                        </wps:wsp>
                        <wps:wsp>
                          <wps:cNvPr id="1182" name="Text Box 538"/>
                          <wps:cNvSpPr txBox="1">
                            <a:spLocks noChangeArrowheads="1"/>
                          </wps:cNvSpPr>
                          <wps:spPr bwMode="auto">
                            <a:xfrm>
                              <a:off x="4738" y="2679"/>
                              <a:ext cx="900" cy="540"/>
                            </a:xfrm>
                            <a:prstGeom prst="rect">
                              <a:avLst/>
                            </a:prstGeom>
                            <a:solidFill>
                              <a:srgbClr val="FFFFFF"/>
                            </a:solidFill>
                            <a:ln w="9525">
                              <a:solidFill>
                                <a:srgbClr val="000000"/>
                              </a:solidFill>
                              <a:miter lim="800000"/>
                              <a:headEnd/>
                              <a:tailEnd/>
                            </a:ln>
                          </wps:spPr>
                          <wps:txbx>
                            <w:txbxContent>
                              <w:p w:rsidR="00BE40F8" w:rsidRPr="00B421DB" w:rsidRDefault="00BE40F8" w:rsidP="00B233DE">
                                <w:pPr>
                                  <w:ind w:firstLine="0"/>
                                  <w:jc w:val="center"/>
                                  <w:rPr>
                                    <w:rFonts w:ascii="Times New Roman" w:hAnsi="Times New Roman" w:cs="Times New Roman"/>
                                    <w:sz w:val="14"/>
                                    <w:szCs w:val="14"/>
                                  </w:rPr>
                                </w:pPr>
                                <w:r w:rsidRPr="00B421DB">
                                  <w:rPr>
                                    <w:rFonts w:ascii="Times New Roman" w:hAnsi="Times New Roman" w:cs="Times New Roman"/>
                                    <w:sz w:val="14"/>
                                    <w:szCs w:val="14"/>
                                  </w:rPr>
                                  <w:t>Стимулювання інтелектуального та інноваційного розвитку</w:t>
                                </w:r>
                              </w:p>
                            </w:txbxContent>
                          </wps:txbx>
                          <wps:bodyPr rot="0" vert="horz" wrap="square" lIns="0" tIns="0" rIns="0" bIns="0" anchor="ctr" anchorCtr="0" upright="1">
                            <a:noAutofit/>
                          </wps:bodyPr>
                        </wps:wsp>
                        <wps:wsp>
                          <wps:cNvPr id="1183" name="Text Box 539"/>
                          <wps:cNvSpPr txBox="1">
                            <a:spLocks noChangeArrowheads="1"/>
                          </wps:cNvSpPr>
                          <wps:spPr bwMode="auto">
                            <a:xfrm>
                              <a:off x="4738" y="3252"/>
                              <a:ext cx="900" cy="450"/>
                            </a:xfrm>
                            <a:prstGeom prst="rect">
                              <a:avLst/>
                            </a:prstGeom>
                            <a:solidFill>
                              <a:srgbClr val="FFFFFF"/>
                            </a:solidFill>
                            <a:ln w="9525">
                              <a:solidFill>
                                <a:srgbClr val="000000"/>
                              </a:solidFill>
                              <a:miter lim="800000"/>
                              <a:headEnd/>
                              <a:tailEnd/>
                            </a:ln>
                          </wps:spPr>
                          <wps:txbx>
                            <w:txbxContent>
                              <w:p w:rsidR="00BE40F8" w:rsidRPr="00130FFE" w:rsidRDefault="00BE40F8" w:rsidP="00B233DE">
                                <w:pPr>
                                  <w:ind w:firstLine="0"/>
                                  <w:jc w:val="center"/>
                                  <w:rPr>
                                    <w:rFonts w:ascii="Calibri" w:hAnsi="Calibri"/>
                                    <w:sz w:val="10"/>
                                    <w:szCs w:val="10"/>
                                  </w:rPr>
                                </w:pPr>
                                <w:r w:rsidRPr="00C135F7">
                                  <w:rPr>
                                    <w:rFonts w:ascii="Times New Roman" w:hAnsi="Times New Roman" w:cs="Times New Roman"/>
                                    <w:sz w:val="14"/>
                                    <w:szCs w:val="14"/>
                                  </w:rPr>
                                  <w:t>Посилення без</w:t>
                                </w:r>
                                <w:r w:rsidRPr="00C135F7">
                                  <w:rPr>
                                    <w:rFonts w:ascii="Times New Roman" w:hAnsi="Times New Roman" w:cs="Times New Roman"/>
                                    <w:sz w:val="14"/>
                                    <w:szCs w:val="14"/>
                                    <w:lang w:val="ru-RU"/>
                                  </w:rPr>
                                  <w:t>-</w:t>
                                </w:r>
                                <w:r w:rsidRPr="00C135F7">
                                  <w:rPr>
                                    <w:rFonts w:ascii="Times New Roman" w:hAnsi="Times New Roman" w:cs="Times New Roman"/>
                                    <w:sz w:val="14"/>
                                    <w:szCs w:val="14"/>
                                  </w:rPr>
                                  <w:t>робіття національ</w:t>
                                </w:r>
                                <w:r w:rsidRPr="00C135F7">
                                  <w:rPr>
                                    <w:rFonts w:ascii="Times New Roman" w:hAnsi="Times New Roman" w:cs="Times New Roman"/>
                                    <w:sz w:val="14"/>
                                    <w:szCs w:val="14"/>
                                    <w:lang w:val="ru-RU"/>
                                  </w:rPr>
                                  <w:t>-</w:t>
                                </w:r>
                                <w:r w:rsidRPr="00C135F7">
                                  <w:rPr>
                                    <w:rFonts w:ascii="Times New Roman" w:hAnsi="Times New Roman" w:cs="Times New Roman"/>
                                    <w:sz w:val="14"/>
                                    <w:szCs w:val="14"/>
                                  </w:rPr>
                                  <w:t>ної робочої сили</w:t>
                                </w:r>
                              </w:p>
                            </w:txbxContent>
                          </wps:txbx>
                          <wps:bodyPr rot="0" vert="horz" wrap="square" lIns="0" tIns="0" rIns="0" bIns="0" anchor="ctr" anchorCtr="0" upright="1">
                            <a:noAutofit/>
                          </wps:bodyPr>
                        </wps:wsp>
                        <wps:wsp>
                          <wps:cNvPr id="1184" name="Text Box 540"/>
                          <wps:cNvSpPr txBox="1">
                            <a:spLocks noChangeArrowheads="1"/>
                          </wps:cNvSpPr>
                          <wps:spPr bwMode="auto">
                            <a:xfrm>
                              <a:off x="5728" y="2971"/>
                              <a:ext cx="990" cy="540"/>
                            </a:xfrm>
                            <a:prstGeom prst="rect">
                              <a:avLst/>
                            </a:prstGeom>
                            <a:solidFill>
                              <a:srgbClr val="FFFFFF"/>
                            </a:solidFill>
                            <a:ln w="9525">
                              <a:solidFill>
                                <a:srgbClr val="000000"/>
                              </a:solidFill>
                              <a:miter lim="800000"/>
                              <a:headEnd/>
                              <a:tailEnd/>
                            </a:ln>
                          </wps:spPr>
                          <wps:txbx>
                            <w:txbxContent>
                              <w:p w:rsidR="00BE40F8" w:rsidRPr="00FE3F54" w:rsidRDefault="00BE40F8" w:rsidP="00B233DE">
                                <w:pPr>
                                  <w:ind w:firstLine="0"/>
                                  <w:jc w:val="center"/>
                                  <w:rPr>
                                    <w:rFonts w:ascii="Times New Roman" w:hAnsi="Times New Roman" w:cs="Times New Roman"/>
                                    <w:sz w:val="14"/>
                                    <w:szCs w:val="14"/>
                                  </w:rPr>
                                </w:pPr>
                                <w:r w:rsidRPr="00FE3F54">
                                  <w:rPr>
                                    <w:rFonts w:ascii="Times New Roman" w:hAnsi="Times New Roman" w:cs="Times New Roman"/>
                                    <w:sz w:val="14"/>
                                    <w:szCs w:val="14"/>
                                  </w:rPr>
                                  <w:t>Посилення злочин</w:t>
                                </w:r>
                                <w:r>
                                  <w:rPr>
                                    <w:rFonts w:ascii="Times New Roman" w:hAnsi="Times New Roman" w:cs="Times New Roman"/>
                                    <w:sz w:val="14"/>
                                    <w:szCs w:val="14"/>
                                    <w:lang w:val="ru-RU"/>
                                  </w:rPr>
                                  <w:t>-</w:t>
                                </w:r>
                                <w:r w:rsidRPr="00FE3F54">
                                  <w:rPr>
                                    <w:rFonts w:ascii="Times New Roman" w:hAnsi="Times New Roman" w:cs="Times New Roman"/>
                                    <w:sz w:val="14"/>
                                    <w:szCs w:val="14"/>
                                  </w:rPr>
                                  <w:t>ності, міжетнічних конфліктів та соці</w:t>
                                </w:r>
                                <w:r>
                                  <w:rPr>
                                    <w:rFonts w:ascii="Times New Roman" w:hAnsi="Times New Roman" w:cs="Times New Roman"/>
                                    <w:sz w:val="14"/>
                                    <w:szCs w:val="14"/>
                                    <w:lang w:val="ru-RU"/>
                                  </w:rPr>
                                  <w:t>-</w:t>
                                </w:r>
                                <w:r w:rsidRPr="00FE3F54">
                                  <w:rPr>
                                    <w:rFonts w:ascii="Times New Roman" w:hAnsi="Times New Roman" w:cs="Times New Roman"/>
                                    <w:sz w:val="14"/>
                                    <w:szCs w:val="14"/>
                                  </w:rPr>
                                  <w:t>альної напруги</w:t>
                                </w:r>
                              </w:p>
                            </w:txbxContent>
                          </wps:txbx>
                          <wps:bodyPr rot="0" vert="horz" wrap="square" lIns="0" tIns="0" rIns="0" bIns="0" anchor="ctr" anchorCtr="0" upright="1">
                            <a:noAutofit/>
                          </wps:bodyPr>
                        </wps:wsp>
                        <wps:wsp>
                          <wps:cNvPr id="1185" name="Text Box 541"/>
                          <wps:cNvSpPr txBox="1">
                            <a:spLocks noChangeArrowheads="1"/>
                          </wps:cNvSpPr>
                          <wps:spPr bwMode="auto">
                            <a:xfrm>
                              <a:off x="5728" y="3634"/>
                              <a:ext cx="990" cy="540"/>
                            </a:xfrm>
                            <a:prstGeom prst="rect">
                              <a:avLst/>
                            </a:prstGeom>
                            <a:solidFill>
                              <a:srgbClr val="FFFFFF"/>
                            </a:solidFill>
                            <a:ln w="9525">
                              <a:solidFill>
                                <a:srgbClr val="000000"/>
                              </a:solidFill>
                              <a:miter lim="800000"/>
                              <a:headEnd/>
                              <a:tailEnd/>
                            </a:ln>
                          </wps:spPr>
                          <wps:txbx>
                            <w:txbxContent>
                              <w:p w:rsidR="00BE40F8" w:rsidRPr="00FE3F54" w:rsidRDefault="00BE40F8" w:rsidP="00B233DE">
                                <w:pPr>
                                  <w:ind w:firstLine="0"/>
                                  <w:jc w:val="center"/>
                                  <w:rPr>
                                    <w:rFonts w:ascii="Times New Roman" w:hAnsi="Times New Roman" w:cs="Times New Roman"/>
                                    <w:sz w:val="14"/>
                                    <w:szCs w:val="14"/>
                                    <w:lang w:val="ru-RU"/>
                                  </w:rPr>
                                </w:pPr>
                                <w:r w:rsidRPr="00FE3F54">
                                  <w:rPr>
                                    <w:rFonts w:ascii="Times New Roman" w:hAnsi="Times New Roman" w:cs="Times New Roman"/>
                                    <w:sz w:val="14"/>
                                    <w:szCs w:val="14"/>
                                  </w:rPr>
                                  <w:t>Несплата мігрантами податків та внесків до фондів соціально</w:t>
                                </w:r>
                                <w:r>
                                  <w:rPr>
                                    <w:rFonts w:ascii="Times New Roman" w:hAnsi="Times New Roman" w:cs="Times New Roman"/>
                                    <w:sz w:val="14"/>
                                    <w:szCs w:val="14"/>
                                    <w:lang w:val="ru-RU"/>
                                  </w:rPr>
                                  <w:t>-</w:t>
                                </w:r>
                                <w:r w:rsidRPr="00FE3F54">
                                  <w:rPr>
                                    <w:rFonts w:ascii="Times New Roman" w:hAnsi="Times New Roman" w:cs="Times New Roman"/>
                                    <w:sz w:val="14"/>
                                    <w:szCs w:val="14"/>
                                  </w:rPr>
                                  <w:t>го забезпечення</w:t>
                                </w:r>
                              </w:p>
                            </w:txbxContent>
                          </wps:txbx>
                          <wps:bodyPr rot="0" vert="horz" wrap="square" lIns="0" tIns="0" rIns="0" bIns="0" anchor="ctr" anchorCtr="0" upright="1">
                            <a:noAutofit/>
                          </wps:bodyPr>
                        </wps:wsp>
                        <wps:wsp>
                          <wps:cNvPr id="1186" name="Text Box 542"/>
                          <wps:cNvSpPr txBox="1">
                            <a:spLocks noChangeArrowheads="1"/>
                          </wps:cNvSpPr>
                          <wps:spPr bwMode="auto">
                            <a:xfrm>
                              <a:off x="4738" y="3781"/>
                              <a:ext cx="900" cy="360"/>
                            </a:xfrm>
                            <a:prstGeom prst="rect">
                              <a:avLst/>
                            </a:prstGeom>
                            <a:solidFill>
                              <a:srgbClr val="FFFFFF"/>
                            </a:solidFill>
                            <a:ln w="9525">
                              <a:solidFill>
                                <a:srgbClr val="000000"/>
                              </a:solidFill>
                              <a:miter lim="800000"/>
                              <a:headEnd/>
                              <a:tailEnd/>
                            </a:ln>
                          </wps:spPr>
                          <wps:txbx>
                            <w:txbxContent>
                              <w:p w:rsidR="00BE40F8" w:rsidRPr="000539CC" w:rsidRDefault="00BE40F8" w:rsidP="00B233DE">
                                <w:pPr>
                                  <w:ind w:firstLine="0"/>
                                  <w:jc w:val="center"/>
                                  <w:rPr>
                                    <w:rFonts w:ascii="Times New Roman" w:hAnsi="Times New Roman" w:cs="Times New Roman"/>
                                    <w:sz w:val="14"/>
                                    <w:szCs w:val="14"/>
                                  </w:rPr>
                                </w:pPr>
                                <w:r w:rsidRPr="000539CC">
                                  <w:rPr>
                                    <w:rFonts w:ascii="Times New Roman" w:hAnsi="Times New Roman" w:cs="Times New Roman"/>
                                    <w:sz w:val="14"/>
                                    <w:szCs w:val="14"/>
                                  </w:rPr>
                                  <w:t>Додаткові витрати на адаптацію та інтеграцію мігрантів</w:t>
                                </w:r>
                              </w:p>
                            </w:txbxContent>
                          </wps:txbx>
                          <wps:bodyPr rot="0" vert="horz" wrap="square" lIns="0" tIns="0" rIns="0" bIns="0" anchor="ctr" anchorCtr="0" upright="1">
                            <a:noAutofit/>
                          </wps:bodyPr>
                        </wps:wsp>
                        <wps:wsp>
                          <wps:cNvPr id="1187" name="Text Box 543"/>
                          <wps:cNvSpPr txBox="1">
                            <a:spLocks noChangeArrowheads="1"/>
                          </wps:cNvSpPr>
                          <wps:spPr bwMode="auto">
                            <a:xfrm>
                              <a:off x="6808" y="1981"/>
                              <a:ext cx="810" cy="540"/>
                            </a:xfrm>
                            <a:prstGeom prst="rect">
                              <a:avLst/>
                            </a:prstGeom>
                            <a:solidFill>
                              <a:srgbClr val="FFFFFF"/>
                            </a:solidFill>
                            <a:ln w="9525">
                              <a:solidFill>
                                <a:srgbClr val="000000"/>
                              </a:solidFill>
                              <a:miter lim="800000"/>
                              <a:headEnd/>
                              <a:tailEnd/>
                            </a:ln>
                          </wps:spPr>
                          <wps:txbx>
                            <w:txbxContent>
                              <w:p w:rsidR="00BE40F8" w:rsidRPr="00AD4E84" w:rsidRDefault="00BE40F8" w:rsidP="00B233DE">
                                <w:pPr>
                                  <w:ind w:firstLine="0"/>
                                  <w:jc w:val="center"/>
                                  <w:rPr>
                                    <w:rFonts w:ascii="Times New Roman" w:hAnsi="Times New Roman" w:cs="Times New Roman"/>
                                    <w:sz w:val="14"/>
                                    <w:szCs w:val="14"/>
                                  </w:rPr>
                                </w:pPr>
                                <w:r w:rsidRPr="00AD4E84">
                                  <w:rPr>
                                    <w:rFonts w:ascii="Times New Roman" w:hAnsi="Times New Roman" w:cs="Times New Roman"/>
                                    <w:sz w:val="14"/>
                                    <w:szCs w:val="14"/>
                                  </w:rPr>
                                  <w:t>Зростання народ</w:t>
                                </w:r>
                                <w:r>
                                  <w:rPr>
                                    <w:rFonts w:ascii="Times New Roman" w:hAnsi="Times New Roman" w:cs="Times New Roman"/>
                                    <w:sz w:val="14"/>
                                    <w:szCs w:val="14"/>
                                  </w:rPr>
                                  <w:t>-</w:t>
                                </w:r>
                                <w:r w:rsidRPr="00AD4E84">
                                  <w:rPr>
                                    <w:rFonts w:ascii="Times New Roman" w:hAnsi="Times New Roman" w:cs="Times New Roman"/>
                                    <w:sz w:val="14"/>
                                    <w:szCs w:val="14"/>
                                  </w:rPr>
                                  <w:t>жуваності, подо</w:t>
                                </w:r>
                                <w:r>
                                  <w:rPr>
                                    <w:rFonts w:ascii="Times New Roman" w:hAnsi="Times New Roman" w:cs="Times New Roman"/>
                                    <w:sz w:val="14"/>
                                    <w:szCs w:val="14"/>
                                  </w:rPr>
                                  <w:t>-</w:t>
                                </w:r>
                                <w:r w:rsidRPr="00AD4E84">
                                  <w:rPr>
                                    <w:rFonts w:ascii="Times New Roman" w:hAnsi="Times New Roman" w:cs="Times New Roman"/>
                                    <w:sz w:val="14"/>
                                    <w:szCs w:val="14"/>
                                  </w:rPr>
                                  <w:t>лання демогра</w:t>
                                </w:r>
                                <w:r>
                                  <w:rPr>
                                    <w:rFonts w:ascii="Times New Roman" w:hAnsi="Times New Roman" w:cs="Times New Roman"/>
                                    <w:sz w:val="14"/>
                                    <w:szCs w:val="14"/>
                                  </w:rPr>
                                  <w:t>-</w:t>
                                </w:r>
                                <w:r w:rsidRPr="00AD4E84">
                                  <w:rPr>
                                    <w:rFonts w:ascii="Times New Roman" w:hAnsi="Times New Roman" w:cs="Times New Roman"/>
                                    <w:sz w:val="14"/>
                                    <w:szCs w:val="14"/>
                                  </w:rPr>
                                  <w:t>фічних проблем</w:t>
                                </w:r>
                              </w:p>
                            </w:txbxContent>
                          </wps:txbx>
                          <wps:bodyPr rot="0" vert="horz" wrap="square" lIns="0" tIns="0" rIns="0" bIns="0" anchor="ctr" anchorCtr="0" upright="1">
                            <a:noAutofit/>
                          </wps:bodyPr>
                        </wps:wsp>
                        <wps:wsp>
                          <wps:cNvPr id="1188" name="Text Box 544"/>
                          <wps:cNvSpPr txBox="1">
                            <a:spLocks noChangeArrowheads="1"/>
                          </wps:cNvSpPr>
                          <wps:spPr bwMode="auto">
                            <a:xfrm>
                              <a:off x="7708" y="2251"/>
                              <a:ext cx="900" cy="270"/>
                            </a:xfrm>
                            <a:prstGeom prst="rect">
                              <a:avLst/>
                            </a:prstGeom>
                            <a:solidFill>
                              <a:srgbClr val="FFFFFF"/>
                            </a:solidFill>
                            <a:ln w="9525">
                              <a:solidFill>
                                <a:srgbClr val="000000"/>
                              </a:solidFill>
                              <a:miter lim="800000"/>
                              <a:headEnd/>
                              <a:tailEnd/>
                            </a:ln>
                          </wps:spPr>
                          <wps:txbx>
                            <w:txbxContent>
                              <w:p w:rsidR="00BE40F8" w:rsidRPr="00AD4E84" w:rsidRDefault="00BE40F8" w:rsidP="00B233DE">
                                <w:pPr>
                                  <w:ind w:firstLine="0"/>
                                  <w:jc w:val="center"/>
                                  <w:rPr>
                                    <w:rFonts w:ascii="Times New Roman" w:hAnsi="Times New Roman" w:cs="Times New Roman"/>
                                    <w:sz w:val="14"/>
                                    <w:szCs w:val="14"/>
                                  </w:rPr>
                                </w:pPr>
                                <w:r w:rsidRPr="00AD4E84">
                                  <w:rPr>
                                    <w:rFonts w:ascii="Times New Roman" w:hAnsi="Times New Roman" w:cs="Times New Roman"/>
                                    <w:sz w:val="14"/>
                                    <w:szCs w:val="14"/>
                                  </w:rPr>
                                  <w:t>Розширення споживання</w:t>
                                </w:r>
                              </w:p>
                            </w:txbxContent>
                          </wps:txbx>
                          <wps:bodyPr rot="0" vert="horz" wrap="square" lIns="0" tIns="0" rIns="0" bIns="0" anchor="ctr" anchorCtr="0" upright="1">
                            <a:noAutofit/>
                          </wps:bodyPr>
                        </wps:wsp>
                        <wps:wsp>
                          <wps:cNvPr id="1189" name="Text Box 545"/>
                          <wps:cNvSpPr txBox="1">
                            <a:spLocks noChangeArrowheads="1"/>
                          </wps:cNvSpPr>
                          <wps:spPr bwMode="auto">
                            <a:xfrm>
                              <a:off x="6808" y="2701"/>
                              <a:ext cx="900" cy="270"/>
                            </a:xfrm>
                            <a:prstGeom prst="rect">
                              <a:avLst/>
                            </a:prstGeom>
                            <a:solidFill>
                              <a:srgbClr val="FFFFFF"/>
                            </a:solidFill>
                            <a:ln w="9525">
                              <a:solidFill>
                                <a:srgbClr val="000000"/>
                              </a:solidFill>
                              <a:miter lim="800000"/>
                              <a:headEnd/>
                              <a:tailEnd/>
                            </a:ln>
                          </wps:spPr>
                          <wps:txbx>
                            <w:txbxContent>
                              <w:p w:rsidR="00BE40F8" w:rsidRPr="00121F8C" w:rsidRDefault="00BE40F8" w:rsidP="00B233DE">
                                <w:pPr>
                                  <w:ind w:firstLine="0"/>
                                  <w:jc w:val="center"/>
                                  <w:rPr>
                                    <w:rFonts w:ascii="Times New Roman" w:hAnsi="Times New Roman" w:cs="Times New Roman"/>
                                    <w:sz w:val="14"/>
                                    <w:szCs w:val="14"/>
                                  </w:rPr>
                                </w:pPr>
                                <w:r w:rsidRPr="00121F8C">
                                  <w:rPr>
                                    <w:rFonts w:ascii="Times New Roman" w:hAnsi="Times New Roman" w:cs="Times New Roman"/>
                                    <w:sz w:val="14"/>
                                    <w:szCs w:val="14"/>
                                  </w:rPr>
                                  <w:t>Задоволення потреби ринку праці</w:t>
                                </w:r>
                              </w:p>
                            </w:txbxContent>
                          </wps:txbx>
                          <wps:bodyPr rot="0" vert="horz" wrap="square" lIns="0" tIns="0" rIns="0" bIns="0" anchor="ctr" anchorCtr="0" upright="1">
                            <a:noAutofit/>
                          </wps:bodyPr>
                        </wps:wsp>
                        <wps:wsp>
                          <wps:cNvPr id="1190" name="Text Box 546"/>
                          <wps:cNvSpPr txBox="1">
                            <a:spLocks noChangeArrowheads="1"/>
                          </wps:cNvSpPr>
                          <wps:spPr bwMode="auto">
                            <a:xfrm>
                              <a:off x="7798" y="2791"/>
                              <a:ext cx="810" cy="540"/>
                            </a:xfrm>
                            <a:prstGeom prst="rect">
                              <a:avLst/>
                            </a:prstGeom>
                            <a:solidFill>
                              <a:srgbClr val="FFFFFF"/>
                            </a:solidFill>
                            <a:ln w="9525">
                              <a:solidFill>
                                <a:srgbClr val="000000"/>
                              </a:solidFill>
                              <a:miter lim="800000"/>
                              <a:headEnd/>
                              <a:tailEnd/>
                            </a:ln>
                          </wps:spPr>
                          <wps:txbx>
                            <w:txbxContent>
                              <w:p w:rsidR="00BE40F8" w:rsidRPr="00121F8C" w:rsidRDefault="00BE40F8" w:rsidP="00B233DE">
                                <w:pPr>
                                  <w:ind w:firstLine="0"/>
                                  <w:jc w:val="center"/>
                                  <w:rPr>
                                    <w:rFonts w:ascii="Times New Roman" w:hAnsi="Times New Roman" w:cs="Times New Roman"/>
                                    <w:sz w:val="14"/>
                                    <w:szCs w:val="14"/>
                                  </w:rPr>
                                </w:pPr>
                                <w:r w:rsidRPr="00121F8C">
                                  <w:rPr>
                                    <w:rFonts w:ascii="Times New Roman" w:hAnsi="Times New Roman" w:cs="Times New Roman"/>
                                    <w:sz w:val="14"/>
                                    <w:szCs w:val="14"/>
                                  </w:rPr>
                                  <w:t>Стимулювання інтелектуального та інноваційного розвитку</w:t>
                                </w:r>
                              </w:p>
                            </w:txbxContent>
                          </wps:txbx>
                          <wps:bodyPr rot="0" vert="horz" wrap="square" lIns="0" tIns="0" rIns="0" bIns="0" anchor="ctr" anchorCtr="0" upright="1">
                            <a:noAutofit/>
                          </wps:bodyPr>
                        </wps:wsp>
                        <wps:wsp>
                          <wps:cNvPr id="1191" name="Text Box 547"/>
                          <wps:cNvSpPr txBox="1">
                            <a:spLocks noChangeArrowheads="1"/>
                          </wps:cNvSpPr>
                          <wps:spPr bwMode="auto">
                            <a:xfrm>
                              <a:off x="6808" y="3342"/>
                              <a:ext cx="1800" cy="450"/>
                            </a:xfrm>
                            <a:prstGeom prst="rect">
                              <a:avLst/>
                            </a:prstGeom>
                            <a:solidFill>
                              <a:srgbClr val="FFFFFF"/>
                            </a:solidFill>
                            <a:ln w="9525">
                              <a:solidFill>
                                <a:srgbClr val="000000"/>
                              </a:solidFill>
                              <a:miter lim="800000"/>
                              <a:headEnd/>
                              <a:tailEnd/>
                            </a:ln>
                          </wps:spPr>
                          <wps:txbx>
                            <w:txbxContent>
                              <w:p w:rsidR="00BE40F8" w:rsidRPr="00E5579F" w:rsidRDefault="00BE40F8" w:rsidP="00B233DE">
                                <w:pPr>
                                  <w:ind w:firstLine="0"/>
                                  <w:jc w:val="center"/>
                                  <w:rPr>
                                    <w:rFonts w:ascii="Times New Roman" w:hAnsi="Times New Roman" w:cs="Times New Roman"/>
                                    <w:sz w:val="14"/>
                                    <w:szCs w:val="14"/>
                                  </w:rPr>
                                </w:pPr>
                                <w:r w:rsidRPr="00E5579F">
                                  <w:rPr>
                                    <w:rFonts w:ascii="Times New Roman" w:hAnsi="Times New Roman" w:cs="Times New Roman"/>
                                    <w:sz w:val="14"/>
                                    <w:szCs w:val="14"/>
                                  </w:rPr>
                                  <w:t>Забезпечення інтеграції мігрантів у суспільство, подоланння негативних соціальних наслідків</w:t>
                                </w:r>
                              </w:p>
                            </w:txbxContent>
                          </wps:txbx>
                          <wps:bodyPr rot="0" vert="horz" wrap="square" lIns="0" tIns="0" rIns="0" bIns="0" anchor="ctr" anchorCtr="0" upright="1">
                            <a:noAutofit/>
                          </wps:bodyPr>
                        </wps:wsp>
                        <wps:wsp>
                          <wps:cNvPr id="1192" name="Text Box 548"/>
                          <wps:cNvSpPr txBox="1">
                            <a:spLocks noChangeArrowheads="1"/>
                          </wps:cNvSpPr>
                          <wps:spPr bwMode="auto">
                            <a:xfrm>
                              <a:off x="6808" y="3871"/>
                              <a:ext cx="1800" cy="270"/>
                            </a:xfrm>
                            <a:prstGeom prst="rect">
                              <a:avLst/>
                            </a:prstGeom>
                            <a:solidFill>
                              <a:srgbClr val="FFFFFF"/>
                            </a:solidFill>
                            <a:ln w="9525">
                              <a:solidFill>
                                <a:srgbClr val="000000"/>
                              </a:solidFill>
                              <a:miter lim="800000"/>
                              <a:headEnd/>
                              <a:tailEnd/>
                            </a:ln>
                          </wps:spPr>
                          <wps:txbx>
                            <w:txbxContent>
                              <w:p w:rsidR="00BE40F8" w:rsidRPr="00E5579F" w:rsidRDefault="00BE40F8" w:rsidP="00B233DE">
                                <w:pPr>
                                  <w:ind w:firstLine="0"/>
                                  <w:jc w:val="center"/>
                                  <w:rPr>
                                    <w:rFonts w:ascii="Times New Roman" w:hAnsi="Times New Roman" w:cs="Times New Roman"/>
                                    <w:sz w:val="14"/>
                                    <w:szCs w:val="14"/>
                                  </w:rPr>
                                </w:pPr>
                                <w:r w:rsidRPr="00E5579F">
                                  <w:rPr>
                                    <w:rFonts w:ascii="Times New Roman" w:hAnsi="Times New Roman" w:cs="Times New Roman"/>
                                    <w:sz w:val="14"/>
                                    <w:szCs w:val="14"/>
                                  </w:rPr>
                                  <w:t>Регулювання економічної діяльності іммігрантів</w:t>
                                </w:r>
                              </w:p>
                            </w:txbxContent>
                          </wps:txbx>
                          <wps:bodyPr rot="0" vert="horz" wrap="square" lIns="0" tIns="0" rIns="0" bIns="0" anchor="ctr" anchorCtr="0" upright="1">
                            <a:noAutofit/>
                          </wps:bodyPr>
                        </wps:wsp>
                        <wps:wsp>
                          <wps:cNvPr id="1193" name="AutoShape 549"/>
                          <wps:cNvCnPr/>
                          <wps:spPr bwMode="auto">
                            <a:xfrm>
                              <a:off x="5638" y="2116"/>
                              <a:ext cx="1170" cy="135"/>
                            </a:xfrm>
                            <a:prstGeom prst="bentConnector3">
                              <a:avLst>
                                <a:gd name="adj1" fmla="val 9166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94" name="AutoShape 550"/>
                          <wps:cNvCnPr/>
                          <wps:spPr bwMode="auto">
                            <a:xfrm>
                              <a:off x="5638" y="2476"/>
                              <a:ext cx="2475" cy="45"/>
                            </a:xfrm>
                            <a:prstGeom prst="bentConnector4">
                              <a:avLst>
                                <a:gd name="adj1" fmla="val 43940"/>
                                <a:gd name="adj2" fmla="val 26666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95" name="AutoShape 551"/>
                          <wps:cNvCnPr/>
                          <wps:spPr bwMode="auto">
                            <a:xfrm>
                              <a:off x="6628" y="2656"/>
                              <a:ext cx="180" cy="180"/>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96" name="AutoShape 552"/>
                          <wps:cNvCnPr/>
                          <wps:spPr bwMode="auto">
                            <a:xfrm>
                              <a:off x="5638" y="2926"/>
                              <a:ext cx="2160" cy="135"/>
                            </a:xfrm>
                            <a:prstGeom prst="bentConnector3">
                              <a:avLst>
                                <a:gd name="adj1" fmla="val 5243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97" name="AutoShape 553"/>
                          <wps:cNvCnPr/>
                          <wps:spPr bwMode="auto">
                            <a:xfrm>
                              <a:off x="6718" y="3241"/>
                              <a:ext cx="90" cy="360"/>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98" name="AutoShape 554"/>
                          <wps:cNvCnPr/>
                          <wps:spPr bwMode="auto">
                            <a:xfrm flipV="1">
                              <a:off x="5638" y="2836"/>
                              <a:ext cx="1170" cy="630"/>
                            </a:xfrm>
                            <a:prstGeom prst="bentConnector3">
                              <a:avLst>
                                <a:gd name="adj1" fmla="val 384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199" name="AutoShape 555"/>
                          <wps:cNvCnPr/>
                          <wps:spPr bwMode="auto">
                            <a:xfrm rot="5400000" flipH="1" flipV="1">
                              <a:off x="5728" y="3061"/>
                              <a:ext cx="540" cy="1620"/>
                            </a:xfrm>
                            <a:prstGeom prst="bentConnector4">
                              <a:avLst>
                                <a:gd name="adj1" fmla="val -6949"/>
                                <a:gd name="adj2" fmla="val 3055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200" name="AutoShape 556"/>
                          <wps:cNvCnPr/>
                          <wps:spPr bwMode="auto">
                            <a:xfrm flipV="1">
                              <a:off x="6628" y="2251"/>
                              <a:ext cx="180" cy="45"/>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201" name="AutoShape 557"/>
                          <wps:cNvCnPr/>
                          <wps:spPr bwMode="auto">
                            <a:xfrm>
                              <a:off x="6718" y="3916"/>
                              <a:ext cx="90" cy="90"/>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202" name="AutoShape 558"/>
                          <wps:cNvCnPr/>
                          <wps:spPr bwMode="auto">
                            <a:xfrm flipV="1">
                              <a:off x="7708" y="2701"/>
                              <a:ext cx="990" cy="135"/>
                            </a:xfrm>
                            <a:prstGeom prst="bentConnector3">
                              <a:avLst>
                                <a:gd name="adj1" fmla="val 373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203" name="AutoShape 559"/>
                          <wps:cNvCnPr/>
                          <wps:spPr bwMode="auto">
                            <a:xfrm rot="10800000" flipH="1">
                              <a:off x="8698" y="2386"/>
                              <a:ext cx="810" cy="315"/>
                            </a:xfrm>
                            <a:prstGeom prst="bentConnector3">
                              <a:avLst>
                                <a:gd name="adj1" fmla="val -555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204" name="Rectangle 560"/>
                          <wps:cNvSpPr>
                            <a:spLocks noChangeArrowheads="1"/>
                          </wps:cNvSpPr>
                          <wps:spPr bwMode="auto">
                            <a:xfrm>
                              <a:off x="4676" y="1953"/>
                              <a:ext cx="3960" cy="2250"/>
                            </a:xfrm>
                            <a:prstGeom prst="rect">
                              <a:avLst/>
                            </a:prstGeom>
                            <a:solidFill>
                              <a:srgbClr val="FFFFFF">
                                <a:alpha val="0"/>
                              </a:srgbClr>
                            </a:solidFill>
                            <a:ln w="9525">
                              <a:solidFill>
                                <a:srgbClr val="000000"/>
                              </a:solidFill>
                              <a:prstDash val="dash"/>
                              <a:miter lim="800000"/>
                              <a:headEnd/>
                              <a:tailEnd/>
                            </a:ln>
                          </wps:spPr>
                          <wps:bodyPr rot="0" vert="horz" wrap="square" lIns="91440" tIns="45720" rIns="91440" bIns="45720" anchor="t" anchorCtr="0" upright="1">
                            <a:noAutofit/>
                          </wps:bodyPr>
                        </wps:wsp>
                        <wps:wsp>
                          <wps:cNvPr id="1205" name="Line 561"/>
                          <wps:cNvCnPr>
                            <a:endCxn id="1162" idx="2"/>
                          </wps:cNvCnPr>
                          <wps:spPr bwMode="auto">
                            <a:xfrm flipV="1">
                              <a:off x="9058" y="2227"/>
                              <a:ext cx="0" cy="294"/>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g:grpSp>
                      <wps:wsp>
                        <wps:cNvPr id="1206" name="Line 562"/>
                        <wps:cNvCnPr/>
                        <wps:spPr bwMode="auto">
                          <a:xfrm>
                            <a:off x="9418" y="5401"/>
                            <a:ext cx="868"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94263D6" id="Group 420" o:spid="_x0000_s1716" style="position:absolute;left:0;text-align:left;margin-left:-2.05pt;margin-top:-29.4pt;width:486.65pt;height:304.65pt;z-index:251691008;mso-position-horizontal-relative:text;mso-position-vertical-relative:text" coordorigin="4468,1647" coordsize="7470,48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">
                <v:shape id="Text Box 421" o:spid="_x0000_s1717" type="#_x0000_t202" style="position:absolute;left:4468;top:4411;width:360;height:17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" stroked="f">
                  <v:fill opacity="0"/>
                  <v:textbox style="layout-flow:vertical;mso-layout-flow-alt:bottom-to-top">
                    <w:txbxContent>
                      <w:p w:rsidR="00BE40F8" w:rsidRPr="00AD4E84" w:rsidRDefault="00BE40F8" w:rsidP="00B233DE">
                        <w:pPr>
                          <w:ind w:firstLine="0"/>
                          <w:jc w:val="center"/>
                          <w:rPr>
                            <w:rFonts w:ascii="Times New Roman" w:hAnsi="Times New Roman" w:cs="Times New Roman"/>
                            <w:spacing w:val="20"/>
                            <w:sz w:val="14"/>
                            <w:szCs w:val="14"/>
                          </w:rPr>
                        </w:pPr>
                        <w:r w:rsidRPr="00AD4E84">
                          <w:rPr>
                            <w:rFonts w:ascii="Times New Roman" w:hAnsi="Times New Roman" w:cs="Times New Roman"/>
                            <w:spacing w:val="20"/>
                            <w:sz w:val="14"/>
                            <w:szCs w:val="14"/>
                          </w:rPr>
                          <w:t>Країни походження</w:t>
                        </w:r>
                      </w:p>
                    </w:txbxContent>
                  </v:textbox>
                </v:shape>
                <v:shape id="Text Box 422" o:spid="_x0000_s1718" type="#_x0000_t202" style="position:absolute;left:4738;top:4615;width:900;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">
                  <v:textbox inset="0,0,0,0">
                    <w:txbxContent>
                      <w:p w:rsidR="00BE40F8" w:rsidRPr="000539CC" w:rsidRDefault="00BE40F8" w:rsidP="00B233DE">
                        <w:pPr>
                          <w:spacing w:line="230" w:lineRule="auto"/>
                          <w:ind w:firstLine="0"/>
                          <w:jc w:val="center"/>
                          <w:rPr>
                            <w:rFonts w:ascii="Times New Roman" w:hAnsi="Times New Roman" w:cs="Times New Roman"/>
                            <w:sz w:val="14"/>
                            <w:szCs w:val="14"/>
                          </w:rPr>
                        </w:pPr>
                        <w:r w:rsidRPr="000539CC">
                          <w:rPr>
                            <w:rFonts w:ascii="Times New Roman" w:hAnsi="Times New Roman" w:cs="Times New Roman"/>
                            <w:sz w:val="14"/>
                            <w:szCs w:val="14"/>
                          </w:rPr>
                          <w:t>Набуття досвіду, навичок та квалі</w:t>
                        </w:r>
                        <w:r>
                          <w:rPr>
                            <w:rFonts w:ascii="Times New Roman" w:hAnsi="Times New Roman" w:cs="Times New Roman"/>
                            <w:sz w:val="14"/>
                            <w:szCs w:val="14"/>
                            <w:lang w:val="ru-RU"/>
                          </w:rPr>
                          <w:t>-</w:t>
                        </w:r>
                        <w:r w:rsidRPr="000539CC">
                          <w:rPr>
                            <w:rFonts w:ascii="Times New Roman" w:hAnsi="Times New Roman" w:cs="Times New Roman"/>
                            <w:sz w:val="14"/>
                            <w:szCs w:val="14"/>
                          </w:rPr>
                          <w:t>фікації у сфері управління та під</w:t>
                        </w:r>
                        <w:r>
                          <w:rPr>
                            <w:rFonts w:ascii="Times New Roman" w:hAnsi="Times New Roman" w:cs="Times New Roman"/>
                            <w:sz w:val="14"/>
                            <w:szCs w:val="14"/>
                            <w:lang w:val="en-US"/>
                          </w:rPr>
                          <w:t>-</w:t>
                        </w:r>
                        <w:r w:rsidRPr="000539CC">
                          <w:rPr>
                            <w:rFonts w:ascii="Times New Roman" w:hAnsi="Times New Roman" w:cs="Times New Roman"/>
                            <w:sz w:val="14"/>
                            <w:szCs w:val="14"/>
                          </w:rPr>
                          <w:t>приємницької діяльності</w:t>
                        </w:r>
                      </w:p>
                    </w:txbxContent>
                  </v:textbox>
                </v:shape>
                <v:shape id="Text Box 423" o:spid="_x0000_s1719" type="#_x0000_t202" style="position:absolute;left:5728;top:4951;width:990;height: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">
                  <v:textbox inset="0,0,0,0">
                    <w:txbxContent>
                      <w:p w:rsidR="00BE40F8" w:rsidRPr="000539CC" w:rsidRDefault="00BE40F8" w:rsidP="00B233DE">
                        <w:pPr>
                          <w:ind w:firstLine="0"/>
                          <w:jc w:val="center"/>
                          <w:rPr>
                            <w:rFonts w:ascii="Times New Roman" w:hAnsi="Times New Roman" w:cs="Times New Roman"/>
                            <w:sz w:val="14"/>
                            <w:szCs w:val="14"/>
                          </w:rPr>
                        </w:pPr>
                        <w:r w:rsidRPr="000539CC">
                          <w:rPr>
                            <w:rFonts w:ascii="Times New Roman" w:hAnsi="Times New Roman" w:cs="Times New Roman"/>
                            <w:sz w:val="14"/>
                            <w:szCs w:val="14"/>
                          </w:rPr>
                          <w:t>Передача знань, технологій, ноу-хау</w:t>
                        </w:r>
                      </w:p>
                    </w:txbxContent>
                  </v:textbox>
                </v:shape>
                <v:shape id="Text Box 424" o:spid="_x0000_s1720" type="#_x0000_t202" style="position:absolute;left:4738;top:5401;width:900;height: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">
                  <v:textbox inset="0,0,0,0">
                    <w:txbxContent>
                      <w:p w:rsidR="00BE40F8" w:rsidRPr="00880B53" w:rsidRDefault="00BE40F8" w:rsidP="00B233DE">
                        <w:pPr>
                          <w:ind w:firstLine="0"/>
                          <w:jc w:val="center"/>
                          <w:rPr>
                            <w:rFonts w:ascii="Times New Roman" w:hAnsi="Times New Roman" w:cs="Times New Roman"/>
                            <w:sz w:val="14"/>
                            <w:szCs w:val="14"/>
                          </w:rPr>
                        </w:pPr>
                        <w:r w:rsidRPr="00880B53">
                          <w:rPr>
                            <w:rFonts w:ascii="Times New Roman" w:hAnsi="Times New Roman" w:cs="Times New Roman"/>
                            <w:sz w:val="14"/>
                            <w:szCs w:val="14"/>
                          </w:rPr>
                          <w:t>Зменшення кіль</w:t>
                        </w:r>
                        <w:r>
                          <w:rPr>
                            <w:rFonts w:ascii="Times New Roman" w:hAnsi="Times New Roman" w:cs="Times New Roman"/>
                            <w:sz w:val="14"/>
                            <w:szCs w:val="14"/>
                          </w:rPr>
                          <w:t>-</w:t>
                        </w:r>
                        <w:r w:rsidRPr="00880B53">
                          <w:rPr>
                            <w:rFonts w:ascii="Times New Roman" w:hAnsi="Times New Roman" w:cs="Times New Roman"/>
                            <w:sz w:val="14"/>
                            <w:szCs w:val="14"/>
                          </w:rPr>
                          <w:t>кості населення</w:t>
                        </w:r>
                      </w:p>
                    </w:txbxContent>
                  </v:textbox>
                </v:shape>
                <v:shape id="Text Box 425" o:spid="_x0000_s1721" type="#_x0000_t202" style="position:absolute;left:5728;top:5401;width:990;height: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">
                  <v:textbox inset="0,0,0,0">
                    <w:txbxContent>
                      <w:p w:rsidR="00BE40F8" w:rsidRPr="000539CC" w:rsidRDefault="00BE40F8" w:rsidP="00B233DE">
                        <w:pPr>
                          <w:ind w:firstLine="0"/>
                          <w:jc w:val="center"/>
                          <w:rPr>
                            <w:rFonts w:ascii="Times New Roman" w:hAnsi="Times New Roman" w:cs="Times New Roman"/>
                            <w:sz w:val="14"/>
                            <w:szCs w:val="14"/>
                          </w:rPr>
                        </w:pPr>
                        <w:r w:rsidRPr="000539CC">
                          <w:rPr>
                            <w:rFonts w:ascii="Times New Roman" w:hAnsi="Times New Roman" w:cs="Times New Roman"/>
                            <w:sz w:val="14"/>
                            <w:szCs w:val="14"/>
                          </w:rPr>
                          <w:t>Зменшення рівня народжуваності</w:t>
                        </w:r>
                      </w:p>
                    </w:txbxContent>
                  </v:textbox>
                </v:shape>
                <v:shape id="Text Box 426" o:spid="_x0000_s1722" type="#_x0000_t202" style="position:absolute;left:4738;top:5737;width:900;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">
                  <v:textbox inset="0,0,0,0">
                    <w:txbxContent>
                      <w:p w:rsidR="00BE40F8" w:rsidRPr="00880B53" w:rsidRDefault="00BE40F8" w:rsidP="00B233DE">
                        <w:pPr>
                          <w:ind w:firstLine="0"/>
                          <w:jc w:val="center"/>
                          <w:rPr>
                            <w:rFonts w:ascii="Times New Roman" w:hAnsi="Times New Roman" w:cs="Times New Roman"/>
                            <w:sz w:val="14"/>
                            <w:szCs w:val="14"/>
                          </w:rPr>
                        </w:pPr>
                        <w:r w:rsidRPr="00880B53">
                          <w:rPr>
                            <w:rFonts w:ascii="Times New Roman" w:hAnsi="Times New Roman" w:cs="Times New Roman"/>
                            <w:sz w:val="14"/>
                            <w:szCs w:val="14"/>
                          </w:rPr>
                          <w:t>Відтік кваліфі-кованої робочої сили</w:t>
                        </w:r>
                      </w:p>
                    </w:txbxContent>
                  </v:textbox>
                </v:shape>
                <v:shape id="Text Box 427" o:spid="_x0000_s1723" type="#_x0000_t202" style="position:absolute;left:5728;top:5941;width:990;height: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">
                  <v:textbox inset="0,0,0,0">
                    <w:txbxContent>
                      <w:p w:rsidR="00BE40F8" w:rsidRPr="00880B53" w:rsidRDefault="00BE40F8" w:rsidP="00B233DE">
                        <w:pPr>
                          <w:ind w:firstLine="0"/>
                          <w:jc w:val="center"/>
                          <w:rPr>
                            <w:rFonts w:ascii="Times New Roman" w:hAnsi="Times New Roman" w:cs="Times New Roman"/>
                            <w:sz w:val="14"/>
                            <w:szCs w:val="14"/>
                          </w:rPr>
                        </w:pPr>
                        <w:r w:rsidRPr="00880B53">
                          <w:rPr>
                            <w:rFonts w:ascii="Times New Roman" w:hAnsi="Times New Roman" w:cs="Times New Roman"/>
                            <w:sz w:val="14"/>
                            <w:szCs w:val="14"/>
                          </w:rPr>
                          <w:t>Розрив сімейних зв’язків, залишення бездоглядних дітей</w:t>
                        </w:r>
                      </w:p>
                    </w:txbxContent>
                  </v:textbox>
                </v:shape>
                <v:shape id="Text Box 428" o:spid="_x0000_s1724" type="#_x0000_t202" style="position:absolute;left:6808;top:5221;width:1080;height: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">
                  <v:textbox inset="0,0,0,0">
                    <w:txbxContent>
                      <w:p w:rsidR="00BE40F8" w:rsidRPr="00130FFE" w:rsidRDefault="00BE40F8" w:rsidP="00B233DE">
                        <w:pPr>
                          <w:ind w:firstLine="0"/>
                          <w:jc w:val="center"/>
                          <w:rPr>
                            <w:rFonts w:ascii="Calibri" w:hAnsi="Calibri"/>
                            <w:sz w:val="10"/>
                            <w:szCs w:val="10"/>
                          </w:rPr>
                        </w:pPr>
                        <w:r w:rsidRPr="00880B53">
                          <w:rPr>
                            <w:rFonts w:ascii="Times New Roman" w:hAnsi="Times New Roman" w:cs="Times New Roman"/>
                            <w:sz w:val="14"/>
                            <w:szCs w:val="14"/>
                          </w:rPr>
                          <w:t>Сприяння передачі досвіду та навичок</w:t>
                        </w:r>
                        <w:r w:rsidRPr="00130FFE">
                          <w:rPr>
                            <w:rFonts w:ascii="Calibri" w:hAnsi="Calibri"/>
                            <w:sz w:val="10"/>
                            <w:szCs w:val="10"/>
                          </w:rPr>
                          <w:t xml:space="preserve"> мігрантів</w:t>
                        </w:r>
                      </w:p>
                    </w:txbxContent>
                  </v:textbox>
                </v:shape>
                <v:shape id="Text Box 429" o:spid="_x0000_s1725" type="#_x0000_t202" style="position:absolute;left:6808;top:5537;width:1080;height:5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">
                  <v:textbox inset="0,0,0,0">
                    <w:txbxContent>
                      <w:p w:rsidR="00BE40F8" w:rsidRPr="00F82347" w:rsidRDefault="00BE40F8" w:rsidP="00B233DE">
                        <w:pPr>
                          <w:ind w:firstLine="0"/>
                          <w:jc w:val="center"/>
                          <w:rPr>
                            <w:rFonts w:ascii="Times New Roman" w:hAnsi="Times New Roman" w:cs="Times New Roman"/>
                            <w:sz w:val="14"/>
                            <w:szCs w:val="14"/>
                          </w:rPr>
                        </w:pPr>
                        <w:r w:rsidRPr="00F82347">
                          <w:rPr>
                            <w:rFonts w:ascii="Times New Roman" w:hAnsi="Times New Roman" w:cs="Times New Roman"/>
                            <w:sz w:val="14"/>
                            <w:szCs w:val="14"/>
                          </w:rPr>
                          <w:t>Створення сприят-ливих умов для під</w:t>
                        </w:r>
                        <w:r>
                          <w:rPr>
                            <w:rFonts w:ascii="Times New Roman" w:hAnsi="Times New Roman" w:cs="Times New Roman"/>
                            <w:sz w:val="14"/>
                            <w:szCs w:val="14"/>
                          </w:rPr>
                          <w:t>-</w:t>
                        </w:r>
                        <w:r w:rsidRPr="00F82347">
                          <w:rPr>
                            <w:rFonts w:ascii="Times New Roman" w:hAnsi="Times New Roman" w:cs="Times New Roman"/>
                            <w:sz w:val="14"/>
                            <w:szCs w:val="14"/>
                          </w:rPr>
                          <w:t>приємницької діяль</w:t>
                        </w:r>
                        <w:r>
                          <w:rPr>
                            <w:rFonts w:ascii="Times New Roman" w:hAnsi="Times New Roman" w:cs="Times New Roman"/>
                            <w:sz w:val="14"/>
                            <w:szCs w:val="14"/>
                          </w:rPr>
                          <w:t>-</w:t>
                        </w:r>
                        <w:r w:rsidRPr="00F82347">
                          <w:rPr>
                            <w:rFonts w:ascii="Times New Roman" w:hAnsi="Times New Roman" w:cs="Times New Roman"/>
                            <w:sz w:val="14"/>
                            <w:szCs w:val="14"/>
                          </w:rPr>
                          <w:t>ності реемігрантів</w:t>
                        </w:r>
                      </w:p>
                    </w:txbxContent>
                  </v:textbox>
                </v:shape>
                <v:rect id="Rectangle 430" o:spid="_x0000_s1726" style="position:absolute;left:4673;top:4227;width:3963;height:22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">
                  <v:fill opacity="0"/>
                  <v:stroke dashstyle="dash"/>
                </v:rect>
                <v:shape id="Text Box 431" o:spid="_x0000_s1727" type="#_x0000_t202" style="position:absolute;left:4738;top:6121;width:900;height: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">
                  <v:textbox inset="0,0,0,0">
                    <w:txbxContent>
                      <w:p w:rsidR="00BE40F8" w:rsidRPr="00880B53" w:rsidRDefault="00BE40F8" w:rsidP="00B233DE">
                        <w:pPr>
                          <w:ind w:firstLine="0"/>
                          <w:jc w:val="center"/>
                          <w:rPr>
                            <w:rFonts w:ascii="Times New Roman" w:hAnsi="Times New Roman" w:cs="Times New Roman"/>
                            <w:sz w:val="14"/>
                            <w:szCs w:val="14"/>
                          </w:rPr>
                        </w:pPr>
                        <w:r w:rsidRPr="00880B53">
                          <w:rPr>
                            <w:rFonts w:ascii="Times New Roman" w:hAnsi="Times New Roman" w:cs="Times New Roman"/>
                            <w:sz w:val="14"/>
                            <w:szCs w:val="14"/>
                          </w:rPr>
                          <w:t>Знелюднення територій</w:t>
                        </w:r>
                      </w:p>
                    </w:txbxContent>
                  </v:textbox>
                </v:shape>
                <v:shape id="Text Box 432" o:spid="_x0000_s1728" type="#_x0000_t202" style="position:absolute;left:6808;top:6121;width:1080;height:3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">
                  <v:textbox inset="0,0,0,0">
                    <w:txbxContent>
                      <w:p w:rsidR="00BE40F8" w:rsidRPr="00130FFE" w:rsidRDefault="00BE40F8" w:rsidP="00B233DE">
                        <w:pPr>
                          <w:ind w:firstLine="0"/>
                          <w:jc w:val="center"/>
                          <w:rPr>
                            <w:rFonts w:ascii="Calibri" w:hAnsi="Calibri"/>
                            <w:sz w:val="10"/>
                            <w:szCs w:val="10"/>
                          </w:rPr>
                        </w:pPr>
                        <w:r w:rsidRPr="00F82347">
                          <w:rPr>
                            <w:rFonts w:ascii="Times New Roman" w:hAnsi="Times New Roman" w:cs="Times New Roman"/>
                            <w:sz w:val="14"/>
                            <w:szCs w:val="14"/>
                          </w:rPr>
                          <w:t>Сприяння рееміграції висококваліфікованих</w:t>
                        </w:r>
                        <w:r w:rsidRPr="00130FFE">
                          <w:rPr>
                            <w:rFonts w:ascii="Calibri" w:hAnsi="Calibri"/>
                            <w:sz w:val="10"/>
                            <w:szCs w:val="10"/>
                          </w:rPr>
                          <w:t xml:space="preserve"> </w:t>
                        </w:r>
                        <w:r w:rsidRPr="00F82347">
                          <w:rPr>
                            <w:rFonts w:ascii="Times New Roman" w:hAnsi="Times New Roman" w:cs="Times New Roman"/>
                            <w:sz w:val="14"/>
                            <w:szCs w:val="14"/>
                          </w:rPr>
                          <w:t>спеціалістів</w:t>
                        </w:r>
                      </w:p>
                    </w:txbxContent>
                  </v:textbox>
                </v:shape>
                <v:shape id="Text Box 433" o:spid="_x0000_s1729" type="#_x0000_t202" style="position:absolute;left:8698;top:5851;width:720;height: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">
                  <v:textbox inset="0,0,0,0">
                    <w:txbxContent>
                      <w:p w:rsidR="00BE40F8" w:rsidRPr="00F82347" w:rsidRDefault="00BE40F8" w:rsidP="00B233DE">
                        <w:pPr>
                          <w:ind w:firstLine="0"/>
                          <w:jc w:val="center"/>
                          <w:rPr>
                            <w:rFonts w:ascii="Times New Roman" w:hAnsi="Times New Roman" w:cs="Times New Roman"/>
                            <w:sz w:val="14"/>
                            <w:szCs w:val="14"/>
                          </w:rPr>
                        </w:pPr>
                        <w:r w:rsidRPr="00F82347">
                          <w:rPr>
                            <w:rFonts w:ascii="Times New Roman" w:hAnsi="Times New Roman" w:cs="Times New Roman"/>
                            <w:sz w:val="14"/>
                            <w:szCs w:val="14"/>
                          </w:rPr>
                          <w:t>Створення освітніх, дослідницьких та наукових мереж</w:t>
                        </w:r>
                      </w:p>
                    </w:txbxContent>
                  </v:textbox>
                </v:shape>
                <v:shape id="Text Box 434" o:spid="_x0000_s1730" type="#_x0000_t202" style="position:absolute;left:10318;top:1647;width:1620;height:3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">
                  <v:textbox inset="0,0,0,0">
                    <w:txbxContent>
                      <w:p w:rsidR="00BE40F8" w:rsidRPr="00D3048A" w:rsidRDefault="00BE40F8" w:rsidP="00B233DE">
                        <w:pPr>
                          <w:ind w:firstLine="0"/>
                          <w:jc w:val="center"/>
                          <w:rPr>
                            <w:rFonts w:ascii="Times New Roman" w:hAnsi="Times New Roman" w:cs="Times New Roman"/>
                            <w:sz w:val="14"/>
                            <w:szCs w:val="14"/>
                          </w:rPr>
                        </w:pPr>
                        <w:r w:rsidRPr="00D3048A">
                          <w:rPr>
                            <w:rFonts w:ascii="Times New Roman" w:hAnsi="Times New Roman" w:cs="Times New Roman"/>
                            <w:sz w:val="14"/>
                            <w:szCs w:val="14"/>
                          </w:rPr>
                          <w:t>Результати міграційного перерозподілу ЛП</w:t>
                        </w:r>
                      </w:p>
                    </w:txbxContent>
                  </v:textbox>
                </v:shape>
                <v:line id="Line 435" o:spid="_x0000_s1731" style="position:absolute;visibility:visible;mso-wrap-style:square" from="11128,1953" to="11128,20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"/>
                <v:shape id="Text Box 436" o:spid="_x0000_s1732" type="#_x0000_t202" style="position:absolute;left:8518;top:1647;width:1710;height:3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">
                  <v:textbox inset="0,0,0,0">
                    <w:txbxContent>
                      <w:p w:rsidR="00BE40F8" w:rsidRPr="00D3048A" w:rsidRDefault="00BE40F8" w:rsidP="00B233DE">
                        <w:pPr>
                          <w:ind w:firstLine="0"/>
                          <w:jc w:val="center"/>
                          <w:rPr>
                            <w:rFonts w:ascii="Times New Roman" w:hAnsi="Times New Roman" w:cs="Times New Roman"/>
                            <w:sz w:val="14"/>
                            <w:szCs w:val="14"/>
                          </w:rPr>
                        </w:pPr>
                        <w:r w:rsidRPr="00D3048A">
                          <w:rPr>
                            <w:rFonts w:ascii="Times New Roman" w:hAnsi="Times New Roman" w:cs="Times New Roman"/>
                            <w:sz w:val="14"/>
                            <w:szCs w:val="14"/>
                          </w:rPr>
                          <w:t>Інструменти міграційного перерозподілу ЛП</w:t>
                        </w:r>
                      </w:p>
                    </w:txbxContent>
                  </v:textbox>
                </v:shape>
                <v:shape id="Text Box 437" o:spid="_x0000_s1733" type="#_x0000_t202" style="position:absolute;left:7978;top:5851;width:630;height:5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">
                  <v:textbox inset="0,0,0,0">
                    <w:txbxContent>
                      <w:p w:rsidR="00BE40F8" w:rsidRPr="00F82347" w:rsidRDefault="00BE40F8" w:rsidP="00B233DE">
                        <w:pPr>
                          <w:ind w:firstLine="0"/>
                          <w:jc w:val="center"/>
                          <w:rPr>
                            <w:rFonts w:ascii="Times New Roman" w:hAnsi="Times New Roman" w:cs="Times New Roman"/>
                            <w:sz w:val="14"/>
                            <w:szCs w:val="14"/>
                          </w:rPr>
                        </w:pPr>
                        <w:r w:rsidRPr="00F82347">
                          <w:rPr>
                            <w:rFonts w:ascii="Times New Roman" w:hAnsi="Times New Roman" w:cs="Times New Roman"/>
                            <w:sz w:val="14"/>
                            <w:szCs w:val="14"/>
                          </w:rPr>
                          <w:t>Соціальна допомога сім’ям мігрантів</w:t>
                        </w:r>
                      </w:p>
                    </w:txbxContent>
                  </v:textbox>
                </v:shape>
                <v:shape id="Text Box 438" o:spid="_x0000_s1734" type="#_x0000_t202" style="position:absolute;left:7978;top:5221;width:630;height:5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">
                  <v:textbox inset="0,0,0,0">
                    <w:txbxContent>
                      <w:p w:rsidR="00BE40F8" w:rsidRPr="00F82347" w:rsidRDefault="00BE40F8" w:rsidP="00B233DE">
                        <w:pPr>
                          <w:ind w:firstLine="0"/>
                          <w:jc w:val="center"/>
                          <w:rPr>
                            <w:rFonts w:ascii="Times New Roman" w:hAnsi="Times New Roman" w:cs="Times New Roman"/>
                            <w:sz w:val="14"/>
                            <w:szCs w:val="14"/>
                          </w:rPr>
                        </w:pPr>
                        <w:r w:rsidRPr="00F82347">
                          <w:rPr>
                            <w:rFonts w:ascii="Times New Roman" w:hAnsi="Times New Roman" w:cs="Times New Roman"/>
                            <w:sz w:val="14"/>
                            <w:szCs w:val="14"/>
                          </w:rPr>
                          <w:t>Покращення соціально-економічни</w:t>
                        </w:r>
                        <w:r w:rsidRPr="00130FFE">
                          <w:rPr>
                            <w:rFonts w:ascii="Calibri" w:hAnsi="Calibri"/>
                            <w:sz w:val="10"/>
                            <w:szCs w:val="10"/>
                          </w:rPr>
                          <w:t xml:space="preserve">х </w:t>
                        </w:r>
                        <w:r w:rsidRPr="00F82347">
                          <w:rPr>
                            <w:rFonts w:ascii="Times New Roman" w:hAnsi="Times New Roman" w:cs="Times New Roman"/>
                            <w:sz w:val="14"/>
                            <w:szCs w:val="14"/>
                          </w:rPr>
                          <w:t>умов</w:t>
                        </w:r>
                      </w:p>
                    </w:txbxContent>
                  </v:textbox>
                </v:shape>
                <v:shape id="Text Box 439" o:spid="_x0000_s1735" type="#_x0000_t202" style="position:absolute;left:9508;top:2251;width:720;height: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">
                  <v:textbox inset="0,0,0,0">
                    <w:txbxContent>
                      <w:p w:rsidR="00BE40F8" w:rsidRPr="00B421DB" w:rsidRDefault="00BE40F8" w:rsidP="00B233DE">
                        <w:pPr>
                          <w:ind w:firstLine="0"/>
                          <w:jc w:val="center"/>
                          <w:rPr>
                            <w:rFonts w:ascii="Times New Roman" w:hAnsi="Times New Roman" w:cs="Times New Roman"/>
                            <w:sz w:val="14"/>
                            <w:szCs w:val="14"/>
                          </w:rPr>
                        </w:pPr>
                        <w:r w:rsidRPr="00B421DB">
                          <w:rPr>
                            <w:rFonts w:ascii="Times New Roman" w:hAnsi="Times New Roman" w:cs="Times New Roman"/>
                            <w:sz w:val="14"/>
                            <w:szCs w:val="14"/>
                          </w:rPr>
                          <w:t>Встановлення квот</w:t>
                        </w:r>
                      </w:p>
                    </w:txbxContent>
                  </v:textbox>
                </v:shape>
                <v:shape id="Text Box 440" o:spid="_x0000_s1736" type="#_x0000_t202" style="position:absolute;left:9508;top:2881;width:720;height: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">
                  <v:textbox inset="0,0,0,0">
                    <w:txbxContent>
                      <w:p w:rsidR="00BE40F8" w:rsidRPr="00B3123A" w:rsidRDefault="00BE40F8" w:rsidP="00B233DE">
                        <w:pPr>
                          <w:ind w:firstLine="0"/>
                          <w:jc w:val="center"/>
                          <w:rPr>
                            <w:rFonts w:ascii="Times New Roman" w:hAnsi="Times New Roman" w:cs="Times New Roman"/>
                            <w:sz w:val="14"/>
                            <w:szCs w:val="14"/>
                          </w:rPr>
                        </w:pPr>
                        <w:r w:rsidRPr="00B3123A">
                          <w:rPr>
                            <w:rFonts w:ascii="Times New Roman" w:hAnsi="Times New Roman" w:cs="Times New Roman"/>
                            <w:sz w:val="14"/>
                            <w:szCs w:val="14"/>
                          </w:rPr>
                          <w:t>Угоди про реадмісію</w:t>
                        </w:r>
                      </w:p>
                    </w:txbxContent>
                  </v:textbox>
                </v:shape>
                <v:shape id="Text Box 441" o:spid="_x0000_s1737" type="#_x0000_t202" style="position:absolute;left:9508;top:4861;width:720;height: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">
                  <v:textbox inset="0,0,0,0">
                    <w:txbxContent>
                      <w:p w:rsidR="00BE40F8" w:rsidRPr="008A717A" w:rsidRDefault="00BE40F8" w:rsidP="00B233DE">
                        <w:pPr>
                          <w:spacing w:line="230" w:lineRule="auto"/>
                          <w:ind w:firstLine="0"/>
                          <w:jc w:val="center"/>
                          <w:rPr>
                            <w:rFonts w:ascii="Times New Roman" w:hAnsi="Times New Roman" w:cs="Times New Roman"/>
                            <w:sz w:val="14"/>
                            <w:szCs w:val="14"/>
                          </w:rPr>
                        </w:pPr>
                        <w:r w:rsidRPr="008A717A">
                          <w:rPr>
                            <w:rFonts w:ascii="Times New Roman" w:hAnsi="Times New Roman" w:cs="Times New Roman"/>
                            <w:sz w:val="14"/>
                            <w:szCs w:val="14"/>
                          </w:rPr>
                          <w:t>Набуття член</w:t>
                        </w:r>
                        <w:r>
                          <w:rPr>
                            <w:rFonts w:ascii="Times New Roman" w:hAnsi="Times New Roman" w:cs="Times New Roman"/>
                            <w:sz w:val="14"/>
                            <w:szCs w:val="14"/>
                          </w:rPr>
                          <w:t>-ства в</w:t>
                        </w:r>
                        <w:r w:rsidRPr="008A717A">
                          <w:rPr>
                            <w:rFonts w:ascii="Times New Roman" w:hAnsi="Times New Roman" w:cs="Times New Roman"/>
                            <w:sz w:val="14"/>
                            <w:szCs w:val="14"/>
                          </w:rPr>
                          <w:t xml:space="preserve"> інтегра</w:t>
                        </w:r>
                        <w:r>
                          <w:rPr>
                            <w:rFonts w:ascii="Times New Roman" w:hAnsi="Times New Roman" w:cs="Times New Roman"/>
                            <w:sz w:val="14"/>
                            <w:szCs w:val="14"/>
                          </w:rPr>
                          <w:t>-</w:t>
                        </w:r>
                        <w:r w:rsidRPr="008A717A">
                          <w:rPr>
                            <w:rFonts w:ascii="Times New Roman" w:hAnsi="Times New Roman" w:cs="Times New Roman"/>
                            <w:sz w:val="14"/>
                            <w:szCs w:val="14"/>
                          </w:rPr>
                          <w:t>ційних об’єд</w:t>
                        </w:r>
                        <w:r>
                          <w:rPr>
                            <w:rFonts w:ascii="Times New Roman" w:hAnsi="Times New Roman" w:cs="Times New Roman"/>
                            <w:sz w:val="14"/>
                            <w:szCs w:val="14"/>
                          </w:rPr>
                          <w:t>-</w:t>
                        </w:r>
                        <w:r w:rsidRPr="008A717A">
                          <w:rPr>
                            <w:rFonts w:ascii="Times New Roman" w:hAnsi="Times New Roman" w:cs="Times New Roman"/>
                            <w:sz w:val="14"/>
                            <w:szCs w:val="14"/>
                          </w:rPr>
                          <w:t>наннях</w:t>
                        </w:r>
                      </w:p>
                    </w:txbxContent>
                  </v:textbox>
                </v:shape>
                <v:shape id="Text Box 442" o:spid="_x0000_s1738" type="#_x0000_t202" style="position:absolute;left:9508;top:4321;width:720;height: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">
                  <v:textbox inset="0,0,0,0">
                    <w:txbxContent>
                      <w:p w:rsidR="00BE40F8" w:rsidRPr="00E5579F" w:rsidRDefault="00BE40F8" w:rsidP="00B233DE">
                        <w:pPr>
                          <w:ind w:firstLine="0"/>
                          <w:jc w:val="center"/>
                          <w:rPr>
                            <w:rFonts w:ascii="Times New Roman" w:hAnsi="Times New Roman" w:cs="Times New Roman"/>
                            <w:sz w:val="14"/>
                            <w:szCs w:val="14"/>
                          </w:rPr>
                        </w:pPr>
                        <w:r w:rsidRPr="00E5579F">
                          <w:rPr>
                            <w:rFonts w:ascii="Times New Roman" w:hAnsi="Times New Roman" w:cs="Times New Roman"/>
                            <w:sz w:val="14"/>
                            <w:szCs w:val="14"/>
                          </w:rPr>
                          <w:t>Політика інтеграції  іммігрантів</w:t>
                        </w:r>
                      </w:p>
                    </w:txbxContent>
                  </v:textbox>
                </v:shape>
                <v:shape id="Text Box 443" o:spid="_x0000_s1739" type="#_x0000_t202" style="position:absolute;left:8698;top:5131;width:720;height:5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">
                  <v:textbox inset="0,0,0,0">
                    <w:txbxContent>
                      <w:p w:rsidR="00BE40F8" w:rsidRPr="00F82347" w:rsidRDefault="00BE40F8" w:rsidP="00B233DE">
                        <w:pPr>
                          <w:ind w:firstLine="0"/>
                          <w:jc w:val="center"/>
                          <w:rPr>
                            <w:rFonts w:ascii="Times New Roman" w:hAnsi="Times New Roman" w:cs="Times New Roman"/>
                            <w:sz w:val="14"/>
                            <w:szCs w:val="14"/>
                          </w:rPr>
                        </w:pPr>
                        <w:r w:rsidRPr="00F82347">
                          <w:rPr>
                            <w:rFonts w:ascii="Times New Roman" w:hAnsi="Times New Roman" w:cs="Times New Roman"/>
                            <w:sz w:val="14"/>
                            <w:szCs w:val="14"/>
                          </w:rPr>
                          <w:t>Соціальні, економічні і політичні реформи</w:t>
                        </w:r>
                      </w:p>
                    </w:txbxContent>
                  </v:textbox>
                </v:shape>
                <v:shape id="Text Box 444" o:spid="_x0000_s1740" type="#_x0000_t202" style="position:absolute;left:9508;top:3871;width:720;height:3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">
                  <v:textbox inset="0,0,0,0">
                    <w:txbxContent>
                      <w:p w:rsidR="00BE40F8" w:rsidRPr="00E5579F" w:rsidRDefault="00BE40F8" w:rsidP="00B233DE">
                        <w:pPr>
                          <w:ind w:firstLine="0"/>
                          <w:jc w:val="center"/>
                          <w:rPr>
                            <w:rFonts w:ascii="Times New Roman" w:hAnsi="Times New Roman" w:cs="Times New Roman"/>
                            <w:sz w:val="14"/>
                            <w:szCs w:val="14"/>
                          </w:rPr>
                        </w:pPr>
                        <w:r w:rsidRPr="00E5579F">
                          <w:rPr>
                            <w:rFonts w:ascii="Times New Roman" w:hAnsi="Times New Roman" w:cs="Times New Roman"/>
                            <w:sz w:val="14"/>
                            <w:szCs w:val="14"/>
                          </w:rPr>
                          <w:t>Формування інформаційних баз даних</w:t>
                        </w:r>
                      </w:p>
                    </w:txbxContent>
                  </v:textbox>
                </v:shape>
                <v:shape id="Text Box 445" o:spid="_x0000_s1741" type="#_x0000_t202" style="position:absolute;left:9508;top:5491;width:720;height: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">
                  <v:textbox inset="0,0,0,0">
                    <w:txbxContent>
                      <w:p w:rsidR="00BE40F8" w:rsidRPr="008A717A" w:rsidRDefault="00BE40F8" w:rsidP="00B233DE">
                        <w:pPr>
                          <w:ind w:firstLine="0"/>
                          <w:jc w:val="center"/>
                          <w:rPr>
                            <w:rFonts w:ascii="Times New Roman" w:hAnsi="Times New Roman" w:cs="Times New Roman"/>
                            <w:sz w:val="14"/>
                            <w:szCs w:val="14"/>
                          </w:rPr>
                        </w:pPr>
                        <w:r w:rsidRPr="008A717A">
                          <w:rPr>
                            <w:rFonts w:ascii="Times New Roman" w:hAnsi="Times New Roman" w:cs="Times New Roman"/>
                            <w:sz w:val="14"/>
                            <w:szCs w:val="14"/>
                          </w:rPr>
                          <w:t>Політика адаптації реемігрантів</w:t>
                        </w:r>
                      </w:p>
                    </w:txbxContent>
                  </v:textbox>
                </v:shape>
                <v:shape id="Text Box 446" o:spid="_x0000_s1742" type="#_x0000_t202" style="position:absolute;left:10318;top:2071;width:1620;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">
                  <v:textbox inset="0,0,0,0">
                    <w:txbxContent>
                      <w:p w:rsidR="00BE40F8" w:rsidRPr="00B421DB" w:rsidRDefault="00BE40F8" w:rsidP="00B233DE">
                        <w:pPr>
                          <w:ind w:firstLine="0"/>
                          <w:jc w:val="center"/>
                          <w:rPr>
                            <w:rFonts w:ascii="Times New Roman" w:hAnsi="Times New Roman" w:cs="Times New Roman"/>
                            <w:sz w:val="14"/>
                            <w:szCs w:val="14"/>
                          </w:rPr>
                        </w:pPr>
                        <w:r>
                          <w:rPr>
                            <w:rFonts w:ascii="Times New Roman" w:hAnsi="Times New Roman" w:cs="Times New Roman"/>
                            <w:sz w:val="14"/>
                            <w:szCs w:val="14"/>
                          </w:rPr>
                          <w:t xml:space="preserve">Задоволення потреби </w:t>
                        </w:r>
                        <w:r w:rsidRPr="00B421DB">
                          <w:rPr>
                            <w:rFonts w:ascii="Times New Roman" w:hAnsi="Times New Roman" w:cs="Times New Roman"/>
                            <w:sz w:val="14"/>
                            <w:szCs w:val="14"/>
                          </w:rPr>
                          <w:t>в людському потенціалі національних економік</w:t>
                        </w:r>
                      </w:p>
                    </w:txbxContent>
                  </v:textbox>
                </v:shape>
                <v:shape id="Text Box 447" o:spid="_x0000_s1743" type="#_x0000_t202" style="position:absolute;left:10318;top:4501;width:1620;height: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">
                  <v:textbox inset="0,0,0,0">
                    <w:txbxContent>
                      <w:p w:rsidR="00BE40F8" w:rsidRPr="00E5579F" w:rsidRDefault="00BE40F8" w:rsidP="00B233DE">
                        <w:pPr>
                          <w:ind w:firstLine="0"/>
                          <w:jc w:val="center"/>
                          <w:rPr>
                            <w:rFonts w:ascii="Times New Roman" w:hAnsi="Times New Roman" w:cs="Times New Roman"/>
                            <w:sz w:val="14"/>
                            <w:szCs w:val="14"/>
                          </w:rPr>
                        </w:pPr>
                        <w:r w:rsidRPr="00E5579F">
                          <w:rPr>
                            <w:rFonts w:ascii="Times New Roman" w:hAnsi="Times New Roman" w:cs="Times New Roman"/>
                            <w:sz w:val="14"/>
                            <w:szCs w:val="14"/>
                          </w:rPr>
                          <w:t>Підвищення показників людського розвитку в країні або регіоні</w:t>
                        </w:r>
                      </w:p>
                    </w:txbxContent>
                  </v:textbox>
                </v:shape>
                <v:shape id="Text Box 448" o:spid="_x0000_s1744" type="#_x0000_t202" style="position:absolute;left:10318;top:3961;width:1620;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">
                  <v:textbox inset="0,0,0,0">
                    <w:txbxContent>
                      <w:p w:rsidR="00BE40F8" w:rsidRPr="00E5579F" w:rsidRDefault="00BE40F8" w:rsidP="00B233DE">
                        <w:pPr>
                          <w:ind w:firstLine="0"/>
                          <w:jc w:val="center"/>
                          <w:rPr>
                            <w:rFonts w:ascii="Times New Roman" w:hAnsi="Times New Roman" w:cs="Times New Roman"/>
                            <w:sz w:val="14"/>
                            <w:szCs w:val="14"/>
                          </w:rPr>
                        </w:pPr>
                        <w:r w:rsidRPr="00E5579F">
                          <w:rPr>
                            <w:rFonts w:ascii="Times New Roman" w:hAnsi="Times New Roman" w:cs="Times New Roman"/>
                            <w:sz w:val="14"/>
                            <w:szCs w:val="14"/>
                          </w:rPr>
                          <w:t>Ефективна реалізація міграційно перерозподіленого людського потенціалу</w:t>
                        </w:r>
                      </w:p>
                      <w:p w:rsidR="00BE40F8" w:rsidRPr="00130FFE" w:rsidRDefault="00BE40F8" w:rsidP="00B233DE">
                        <w:pPr>
                          <w:rPr>
                            <w:rFonts w:ascii="Calibri" w:hAnsi="Calibri"/>
                            <w:sz w:val="10"/>
                            <w:szCs w:val="10"/>
                          </w:rPr>
                        </w:pPr>
                      </w:p>
                    </w:txbxContent>
                  </v:textbox>
                </v:shape>
                <v:shape id="Text Box 449" o:spid="_x0000_s1745" type="#_x0000_t202" style="position:absolute;left:10318;top:3331;width:1620;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">
                  <v:textbox inset="0,0,0,0">
                    <w:txbxContent>
                      <w:p w:rsidR="00BE40F8" w:rsidRPr="00FE3F54" w:rsidRDefault="00BE40F8" w:rsidP="00B233DE">
                        <w:pPr>
                          <w:ind w:firstLine="0"/>
                          <w:jc w:val="center"/>
                          <w:rPr>
                            <w:rFonts w:ascii="Times New Roman" w:hAnsi="Times New Roman" w:cs="Times New Roman"/>
                            <w:sz w:val="14"/>
                            <w:szCs w:val="14"/>
                          </w:rPr>
                        </w:pPr>
                        <w:r w:rsidRPr="00FE3F54">
                          <w:rPr>
                            <w:rFonts w:ascii="Times New Roman" w:hAnsi="Times New Roman" w:cs="Times New Roman"/>
                            <w:sz w:val="14"/>
                            <w:szCs w:val="14"/>
                          </w:rPr>
                          <w:t>Перетворення міжнародної міграції на регульований процес</w:t>
                        </w:r>
                      </w:p>
                    </w:txbxContent>
                  </v:textbox>
                </v:shape>
                <v:shape id="Text Box 450" o:spid="_x0000_s1746" type="#_x0000_t202" style="position:absolute;left:10318;top:2791;width:1620;height: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">
                  <v:textbox inset="0,0,0,0">
                    <w:txbxContent>
                      <w:p w:rsidR="00BE40F8" w:rsidRPr="00FE3F54" w:rsidRDefault="00BE40F8" w:rsidP="00B233DE">
                        <w:pPr>
                          <w:ind w:firstLine="0"/>
                          <w:jc w:val="center"/>
                          <w:rPr>
                            <w:rFonts w:ascii="Times New Roman" w:hAnsi="Times New Roman" w:cs="Times New Roman"/>
                            <w:sz w:val="14"/>
                            <w:szCs w:val="14"/>
                          </w:rPr>
                        </w:pPr>
                        <w:r w:rsidRPr="00FE3F54">
                          <w:rPr>
                            <w:rFonts w:ascii="Times New Roman" w:hAnsi="Times New Roman" w:cs="Times New Roman"/>
                            <w:sz w:val="14"/>
                            <w:szCs w:val="14"/>
                          </w:rPr>
                          <w:t>Формування людського потенціалу за рахунок міграції</w:t>
                        </w:r>
                      </w:p>
                    </w:txbxContent>
                  </v:textbox>
                </v:shape>
                <v:shape id="Text Box 451" o:spid="_x0000_s1747" type="#_x0000_t202" style="position:absolute;left:10318;top:5131;width:1620;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">
                  <v:textbox inset="0,0,0,0">
                    <w:txbxContent>
                      <w:p w:rsidR="00BE40F8" w:rsidRPr="008A717A" w:rsidRDefault="00BE40F8" w:rsidP="00B233DE">
                        <w:pPr>
                          <w:ind w:firstLine="0"/>
                          <w:jc w:val="center"/>
                          <w:rPr>
                            <w:rFonts w:ascii="Times New Roman" w:hAnsi="Times New Roman" w:cs="Times New Roman"/>
                            <w:sz w:val="14"/>
                            <w:szCs w:val="14"/>
                          </w:rPr>
                        </w:pPr>
                        <w:r w:rsidRPr="008A717A">
                          <w:rPr>
                            <w:rFonts w:ascii="Times New Roman" w:hAnsi="Times New Roman" w:cs="Times New Roman"/>
                            <w:sz w:val="14"/>
                            <w:szCs w:val="14"/>
                          </w:rPr>
                          <w:t>Скорочення нерівномірномірності у розвитку країн</w:t>
                        </w:r>
                      </w:p>
                    </w:txbxContent>
                  </v:textbox>
                </v:shape>
                <v:shape id="Text Box 452" o:spid="_x0000_s1748" type="#_x0000_t202" style="position:absolute;left:10318;top:5671;width:1620;height:4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">
                  <v:textbox inset="0,0,0,0">
                    <w:txbxContent>
                      <w:p w:rsidR="00BE40F8" w:rsidRPr="008A717A" w:rsidRDefault="00BE40F8" w:rsidP="00B233DE">
                        <w:pPr>
                          <w:ind w:firstLine="0"/>
                          <w:jc w:val="center"/>
                          <w:rPr>
                            <w:rFonts w:ascii="Times New Roman" w:hAnsi="Times New Roman" w:cs="Times New Roman"/>
                            <w:sz w:val="14"/>
                            <w:szCs w:val="14"/>
                          </w:rPr>
                        </w:pPr>
                        <w:r w:rsidRPr="008A717A">
                          <w:rPr>
                            <w:rFonts w:ascii="Times New Roman" w:hAnsi="Times New Roman" w:cs="Times New Roman"/>
                            <w:sz w:val="14"/>
                            <w:szCs w:val="14"/>
                          </w:rPr>
                          <w:t>Впорядкування міграційного перерозподілу людського потенціалу</w:t>
                        </w:r>
                      </w:p>
                    </w:txbxContent>
                  </v:textbox>
                </v:shape>
                <v:line id="Line 453" o:spid="_x0000_s1749" style="position:absolute;visibility:visible;mso-wrap-style:square" from="5638,5581" to="5638,5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"/>
                <v:shape id="AutoShape 454" o:spid="_x0000_s1750" type="#_x0000_t33" style="position:absolute;left:6718;top:4951;width:1575;height:22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">
                  <v:stroke endarrow="block"/>
                </v:shape>
                <v:line id="Line 455" o:spid="_x0000_s1751" style="position:absolute;visibility:visible;mso-wrap-style:square" from="6718,6031" to="7978,6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">
                  <v:stroke endarrow="block"/>
                </v:line>
                <v:shape id="AutoShape 456" o:spid="_x0000_s1752" type="#_x0000_t33" style="position:absolute;left:7888;top:5761;width:1170;height: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">
                  <v:stroke endarrow="block"/>
                </v:shape>
                <v:shape id="AutoShape 457" o:spid="_x0000_s1753" type="#_x0000_t34" style="position:absolute;left:10228;top:3511;width:90;height:54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">
                  <v:stroke endarrow="block"/>
                </v:shape>
                <v:shape id="AutoShape 458" o:spid="_x0000_s1754" type="#_x0000_t34" style="position:absolute;left:10228;top:4681;width:90;height:40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">
                  <v:stroke endarrow="block"/>
                </v:shape>
                <v:shape id="AutoShape 459" o:spid="_x0000_s1755" type="#_x0000_t34" style="position:absolute;left:10228;top:3016;width:90;height:10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">
                  <v:stroke endarrow="block"/>
                </v:shape>
                <v:shape id="AutoShape 460" o:spid="_x0000_s1756" type="#_x0000_t34" style="position:absolute;left:10228;top:5761;width:90;height: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">
                  <v:stroke endarrow="block"/>
                </v:shape>
                <v:group id="Group 461" o:spid="_x0000_s1757" style="position:absolute;left:9418;top:4501;width:900;height:1620" coordorigin="9418,4501" coordsize="900,1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">
                  <v:shape id="AutoShape 462" o:spid="_x0000_s1758" type="#_x0000_t34" style="position:absolute;left:10228;top:4501;width:90;height:81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">
                    <v:stroke endarrow="block"/>
                  </v:shape>
                  <v:shape id="AutoShape 463" o:spid="_x0000_s1759" type="#_x0000_t34" style="position:absolute;left:9418;top:5851;width:900;height:27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" adj="20700">
                    <v:stroke endarrow="block"/>
                  </v:shape>
                  <v:shape id="AutoShape 464" o:spid="_x0000_s1760" type="#_x0000_t34" style="position:absolute;left:9418;top:5311;width:900;height:81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" adj="20700">
                    <v:stroke endarrow="block"/>
                  </v:shape>
                </v:group>
                <v:shape id="AutoShape 465" o:spid="_x0000_s1761" type="#_x0000_t34" style="position:absolute;left:9418;top:2251;width:900;height:45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" adj="20340">
                  <v:stroke endarrow="block"/>
                </v:shape>
                <v:group id="Group 466" o:spid="_x0000_s1762" style="position:absolute;left:9418;top:2071;width:900;height:315" coordorigin="9418,2071" coordsize="900,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">
                  <v:shape id="AutoShape 467" o:spid="_x0000_s1763" type="#_x0000_t34" style="position:absolute;left:9418;top:2071;width:900;height: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" adj="20340">
                    <v:stroke endarrow="block"/>
                  </v:shape>
                  <v:shape id="AutoShape 468" o:spid="_x0000_s1764" type="#_x0000_t34" style="position:absolute;left:10228;top:2251;width:90;height:13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">
                    <v:stroke endarrow="block"/>
                  </v:shape>
                </v:group>
                <v:shape id="AutoShape 469" o:spid="_x0000_s1765" type="#_x0000_t34" style="position:absolute;left:9418;top:2701;width:900;height:22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" adj="20340">
                  <v:stroke endarrow="block"/>
                </v:shape>
                <v:group id="Group 470" o:spid="_x0000_s1766" style="position:absolute;left:5638;top:4627;width:2655;height:1629" coordorigin="5638,4627" coordsize="2655,1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">
                  <v:shape id="AutoShape 471" o:spid="_x0000_s1767" type="#_x0000_t34" style="position:absolute;left:5638;top:4627;width:2340;height:27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" adj="10370">
                    <v:stroke endarrow="block"/>
                  </v:shape>
                  <v:group id="Group 472" o:spid="_x0000_s1768" style="position:absolute;left:5638;top:4996;width:2655;height:1260" coordorigin="5638,4996" coordsize="2655,1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">
                    <v:group id="Group 473" o:spid="_x0000_s1769" style="position:absolute;left:5638;top:4996;width:2655;height:1260" coordorigin="5638,4996" coordsize="2655,1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">
                      <v:shape id="AutoShape 474" o:spid="_x0000_s1770" type="#_x0000_t35" style="position:absolute;left:6110;top:4884;width:225;height:1170;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" adj="2159,526"/>
                      <v:group id="Group 475" o:spid="_x0000_s1771" style="position:absolute;left:5638;top:4996;width:2655;height:1259" coordorigin="5638,4996" coordsize="2655,12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">
                        <v:group id="Group 476" o:spid="_x0000_s1772" style="position:absolute;left:5638;top:4996;width:1170;height:1259" coordorigin="5638,4996" coordsize="1170,12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">
                          <v:shape id="AutoShape 477" o:spid="_x0000_s1773" type="#_x0000_t34" style="position:absolute;left:5638;top:4996;width:1170;height:36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" adj="692">
                            <v:stroke endarrow="block"/>
                          </v:shape>
                          <v:shape id="AutoShape 478" o:spid="_x0000_s1774" type="#_x0000_t34" style="position:absolute;left:5638;top:4996;width:1170;height:76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" adj="692" strokeweight="1pt">
                            <v:stroke endarrow="block"/>
                          </v:shape>
                          <v:shape id="AutoShape 479" o:spid="_x0000_s1775" type="#_x0000_t34" style="position:absolute;left:5638;top:5940;width:1170;height:31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" adj="20492">
                            <v:stroke endarrow="block"/>
                          </v:shape>
                        </v:group>
                        <v:shape id="AutoShape 480" o:spid="_x0000_s1776" type="#_x0000_t35" style="position:absolute;left:6808;top:5221;width:1485;height:135;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" adj="-655,27600">
                          <v:stroke endarrow="block"/>
                        </v:shape>
                      </v:group>
                      <v:shape id="AutoShape 481" o:spid="_x0000_s1777" type="#_x0000_t34" style="position:absolute;left:5638;top:5761;width:1170;height:49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" adj="664" strokeweight="1pt"/>
                    </v:group>
                    <v:shape id="AutoShape 482" o:spid="_x0000_s1778" type="#_x0000_t34" style="position:absolute;left:5638;top:5356;width:1170;height:54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" adj="20612" strokeweight="1pt"/>
                  </v:group>
                </v:group>
                <v:group id="Group 483" o:spid="_x0000_s1779" style="position:absolute;left:7528;top:2071;width:1980;height:4173" coordorigin="7528,2071" coordsize="1980,41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">
                  <v:group id="Group 484" o:spid="_x0000_s1780" style="position:absolute;left:7528;top:2071;width:1980;height:4005" coordorigin="7528,2071" coordsize="1980,4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">
                    <v:group id="Group 485" o:spid="_x0000_s1781" style="position:absolute;left:7528;top:2071;width:1980;height:3375" coordorigin="7528,2071" coordsize="1980,3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">
                      <v:group id="Group 486" o:spid="_x0000_s1782" style="position:absolute;left:7528;top:2071;width:1980;height:2430" coordorigin="7528,2071" coordsize="1980,2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">
                        <v:shape id="AutoShape 487" o:spid="_x0000_s1783" type="#_x0000_t34" style="position:absolute;left:8608;top:2386;width:900;height:211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" adj="1080">
                          <v:stroke endarrow="block"/>
                        </v:shape>
                        <v:shape id="AutoShape 488" o:spid="_x0000_s1784" type="#_x0000_t34" style="position:absolute;left:7528;top:2071;width:1170;height: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" adj="692">
                          <v:stroke endarrow="block"/>
                        </v:shape>
                      </v:group>
                      <v:shape id="AutoShape 489" o:spid="_x0000_s1785" type="#_x0000_t34" style="position:absolute;left:8608;top:3601;width:90;height:180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">
                        <v:stroke endarrow="block"/>
                      </v:shape>
                      <v:shape id="AutoShape 490" o:spid="_x0000_s1786" type="#_x0000_t34" style="position:absolute;left:8608;top:5086;width:900;height:36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" adj="1080">
                        <v:stroke endarrow="block"/>
                      </v:shape>
                    </v:group>
                    <v:shape id="AutoShape 491" o:spid="_x0000_s1787" type="#_x0000_t34" style="position:absolute;left:8608;top:5401;width:90;height:67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">
                      <v:stroke endarrow="block"/>
                    </v:shape>
                    <v:shape id="AutoShape 492" o:spid="_x0000_s1788" type="#_x0000_t33" style="position:absolute;left:7888;top:5671;width:1170;height: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">
                      <v:stroke endarrow="block"/>
                    </v:shape>
                    <v:shape id="AutoShape 493" o:spid="_x0000_s1789" type="#_x0000_t34" style="position:absolute;left:7888;top:5356;width:1;height:40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" adj="810000" strokeweight="1pt"/>
                  </v:group>
                  <v:shape id="AutoShape 494" o:spid="_x0000_s1790" type="#_x0000_t34" style="position:absolute;left:7888;top:5794;width:1620;height:45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" adj="500">
                    <v:stroke endarrow="block"/>
                  </v:shape>
                </v:group>
                <v:shape id="AutoShape 495" o:spid="_x0000_s1791" type="#_x0000_t35" style="position:absolute;left:7888;top:3871;width:1980;height:10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" adj="8323,23850">
                  <v:stroke endarrow="block"/>
                </v:shape>
                <v:shape id="AutoShape 496" o:spid="_x0000_s1792" type="#_x0000_t34" style="position:absolute;left:10228;top:2386;width:90;height:112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">
                  <v:stroke endarrow="block"/>
                </v:shape>
                <v:shape id="AutoShape 497" o:spid="_x0000_s1793" type="#_x0000_t34" style="position:absolute;left:9418;top:3421;width:900;height: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">
                  <v:stroke endarrow="block"/>
                </v:shape>
                <v:shape id="AutoShape 498" o:spid="_x0000_s1794" type="#_x0000_t34" style="position:absolute;left:9418;top:3511;width:900;height:49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" adj="900">
                  <v:stroke endarrow="block"/>
                </v:shape>
                <v:shape id="AutoShape 499" o:spid="_x0000_s1795" type="#_x0000_t34" style="position:absolute;left:9418;top:3511;width:900;height:121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" adj="900">
                  <v:stroke endarrow="block"/>
                </v:shape>
                <v:shape id="AutoShape 500" o:spid="_x0000_s1796" type="#_x0000_t34" style="position:absolute;left:9418;top:2926;width:900;height:319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" adj="20520">
                  <v:stroke endarrow="block"/>
                </v:shape>
                <v:line id="Line 501" o:spid="_x0000_s1797" style="position:absolute;visibility:visible;mso-wrap-style:square" from="11128,2431" to="11128,27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"/>
                <v:line id="Line 502" o:spid="_x0000_s1798" style="position:absolute;visibility:visible;mso-wrap-style:square" from="11128,3061" to="11128,3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"/>
                <v:line id="Line 503" o:spid="_x0000_s1799" style="position:absolute;visibility:visible;mso-wrap-style:square" from="11128,3691" to="11128,39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"/>
                <v:line id="Line 504" o:spid="_x0000_s1800" style="position:absolute;visibility:visible;mso-wrap-style:square" from="11128,4321" to="11128,45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"/>
                <v:line id="Line 505" o:spid="_x0000_s1801" style="position:absolute;visibility:visible;mso-wrap-style:square" from="11128,4951" to="11128,5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"/>
                <v:line id="Line 506" o:spid="_x0000_s1802" style="position:absolute;visibility:visible;mso-wrap-style:square" from="11128,5491" to="11128,56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"/>
                <v:group id="Group 507" o:spid="_x0000_s1803" style="position:absolute;left:4468;top:1711;width:5040;height:3465" coordorigin="4468,1711" coordsize="5040,3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">
                  <v:shape id="Text Box 508" o:spid="_x0000_s1804" type="#_x0000_t202" style="position:absolute;left:4468;top:2341;width:270;height:14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" stroked="f">
                    <v:fill opacity="0"/>
                    <v:textbox style="layout-flow:vertical;mso-layout-flow-alt:bottom-to-top" inset="0,0,0,0">
                      <w:txbxContent>
                        <w:p w:rsidR="00BE40F8" w:rsidRPr="00AD4E84" w:rsidRDefault="00BE40F8" w:rsidP="00B233DE">
                          <w:pPr>
                            <w:ind w:firstLine="0"/>
                            <w:jc w:val="center"/>
                            <w:rPr>
                              <w:rFonts w:ascii="Times New Roman" w:hAnsi="Times New Roman" w:cs="Times New Roman"/>
                              <w:spacing w:val="20"/>
                              <w:sz w:val="14"/>
                              <w:szCs w:val="14"/>
                            </w:rPr>
                          </w:pPr>
                          <w:r w:rsidRPr="00AD4E84">
                            <w:rPr>
                              <w:rFonts w:ascii="Times New Roman" w:hAnsi="Times New Roman" w:cs="Times New Roman"/>
                              <w:spacing w:val="20"/>
                              <w:sz w:val="14"/>
                              <w:szCs w:val="14"/>
                            </w:rPr>
                            <w:t>Країни призначення</w:t>
                          </w:r>
                        </w:p>
                      </w:txbxContent>
                    </v:textbox>
                  </v:shape>
                  <v:shape id="Text Box 509" o:spid="_x0000_s1805" type="#_x0000_t202" style="position:absolute;left:4738;top:4288;width:900;height: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">
                    <v:textbox inset="0,0,0,0">
                      <w:txbxContent>
                        <w:p w:rsidR="00BE40F8" w:rsidRPr="000539CC" w:rsidRDefault="00BE40F8" w:rsidP="00B233DE">
                          <w:pPr>
                            <w:ind w:firstLine="0"/>
                            <w:jc w:val="center"/>
                            <w:rPr>
                              <w:rFonts w:ascii="Times New Roman" w:hAnsi="Times New Roman" w:cs="Times New Roman"/>
                              <w:sz w:val="14"/>
                              <w:szCs w:val="14"/>
                            </w:rPr>
                          </w:pPr>
                          <w:r w:rsidRPr="000539CC">
                            <w:rPr>
                              <w:rFonts w:ascii="Times New Roman" w:hAnsi="Times New Roman" w:cs="Times New Roman"/>
                              <w:sz w:val="14"/>
                              <w:szCs w:val="14"/>
                            </w:rPr>
                            <w:t>Зменшення безробіття</w:t>
                          </w:r>
                        </w:p>
                      </w:txbxContent>
                    </v:textbox>
                  </v:shape>
                  <v:shape id="Text Box 510" o:spid="_x0000_s1806" type="#_x0000_t202" style="position:absolute;left:5728;top:4411;width:990;height: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">
                    <v:textbox inset="0,0,0,0">
                      <w:txbxContent>
                        <w:p w:rsidR="00BE40F8" w:rsidRPr="000539CC" w:rsidRDefault="00BE40F8" w:rsidP="00B233DE">
                          <w:pPr>
                            <w:ind w:firstLine="0"/>
                            <w:jc w:val="center"/>
                            <w:rPr>
                              <w:rFonts w:ascii="Times New Roman" w:hAnsi="Times New Roman" w:cs="Times New Roman"/>
                              <w:sz w:val="14"/>
                              <w:szCs w:val="14"/>
                            </w:rPr>
                          </w:pPr>
                          <w:r w:rsidRPr="000539CC">
                            <w:rPr>
                              <w:rFonts w:ascii="Times New Roman" w:hAnsi="Times New Roman" w:cs="Times New Roman"/>
                              <w:sz w:val="14"/>
                              <w:szCs w:val="14"/>
                            </w:rPr>
                            <w:t>Зростання доходів та отримання інвес</w:t>
                          </w:r>
                          <w:r>
                            <w:rPr>
                              <w:rFonts w:ascii="Times New Roman" w:hAnsi="Times New Roman" w:cs="Times New Roman"/>
                              <w:sz w:val="14"/>
                              <w:szCs w:val="14"/>
                              <w:lang w:val="ru-RU"/>
                            </w:rPr>
                            <w:t>-</w:t>
                          </w:r>
                          <w:r w:rsidRPr="000539CC">
                            <w:rPr>
                              <w:rFonts w:ascii="Times New Roman" w:hAnsi="Times New Roman" w:cs="Times New Roman"/>
                              <w:sz w:val="14"/>
                              <w:szCs w:val="14"/>
                            </w:rPr>
                            <w:t>тиційних ресурсів</w:t>
                          </w:r>
                        </w:p>
                      </w:txbxContent>
                    </v:textbox>
                  </v:shape>
                  <v:shape id="Text Box 511" o:spid="_x0000_s1807" type="#_x0000_t202" style="position:absolute;left:6808;top:4771;width:1080;height:4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">
                    <v:textbox inset="0,0,0,0">
                      <w:txbxContent>
                        <w:p w:rsidR="00BE40F8" w:rsidRPr="000539CC" w:rsidRDefault="00BE40F8" w:rsidP="00B233DE">
                          <w:pPr>
                            <w:ind w:firstLine="0"/>
                            <w:jc w:val="center"/>
                            <w:rPr>
                              <w:rFonts w:ascii="Times New Roman" w:hAnsi="Times New Roman" w:cs="Times New Roman"/>
                              <w:sz w:val="14"/>
                              <w:szCs w:val="14"/>
                            </w:rPr>
                          </w:pPr>
                          <w:r w:rsidRPr="000539CC">
                            <w:rPr>
                              <w:rFonts w:ascii="Times New Roman" w:hAnsi="Times New Roman" w:cs="Times New Roman"/>
                              <w:sz w:val="14"/>
                              <w:szCs w:val="14"/>
                            </w:rPr>
                            <w:t>Стимулювання та регулювання потоків грошових переказів</w:t>
                          </w:r>
                        </w:p>
                      </w:txbxContent>
                    </v:textbox>
                  </v:shape>
                  <v:shape id="Text Box 512" o:spid="_x0000_s1808" type="#_x0000_t202" style="position:absolute;left:7978;top:4321;width:630;height: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">
                    <v:textbox inset="0,0,0,0">
                      <w:txbxContent>
                        <w:p w:rsidR="00BE40F8" w:rsidRPr="000539CC" w:rsidRDefault="00BE40F8" w:rsidP="00B233DE">
                          <w:pPr>
                            <w:ind w:firstLine="0"/>
                            <w:jc w:val="center"/>
                            <w:rPr>
                              <w:rFonts w:ascii="Times New Roman" w:hAnsi="Times New Roman" w:cs="Times New Roman"/>
                              <w:sz w:val="14"/>
                              <w:szCs w:val="14"/>
                            </w:rPr>
                          </w:pPr>
                          <w:r w:rsidRPr="000539CC">
                            <w:rPr>
                              <w:rFonts w:ascii="Times New Roman" w:hAnsi="Times New Roman" w:cs="Times New Roman"/>
                              <w:sz w:val="14"/>
                              <w:szCs w:val="14"/>
                            </w:rPr>
                            <w:t>Стимулювання повернен</w:t>
                          </w:r>
                          <w:r>
                            <w:rPr>
                              <w:rFonts w:ascii="Times New Roman" w:hAnsi="Times New Roman" w:cs="Times New Roman"/>
                              <w:sz w:val="14"/>
                              <w:szCs w:val="14"/>
                              <w:lang w:val="ru-RU"/>
                            </w:rPr>
                            <w:t>-</w:t>
                          </w:r>
                          <w:r w:rsidRPr="000539CC">
                            <w:rPr>
                              <w:rFonts w:ascii="Times New Roman" w:hAnsi="Times New Roman" w:cs="Times New Roman"/>
                              <w:sz w:val="14"/>
                              <w:szCs w:val="14"/>
                            </w:rPr>
                            <w:t>ня студентів, що навча</w:t>
                          </w:r>
                          <w:r>
                            <w:rPr>
                              <w:rFonts w:ascii="Times New Roman" w:hAnsi="Times New Roman" w:cs="Times New Roman"/>
                              <w:sz w:val="14"/>
                              <w:szCs w:val="14"/>
                              <w:lang w:val="ru-RU"/>
                            </w:rPr>
                            <w:t>-</w:t>
                          </w:r>
                          <w:r w:rsidRPr="000539CC">
                            <w:rPr>
                              <w:rFonts w:ascii="Times New Roman" w:hAnsi="Times New Roman" w:cs="Times New Roman"/>
                              <w:sz w:val="14"/>
                              <w:szCs w:val="14"/>
                            </w:rPr>
                            <w:t>лись за кор</w:t>
                          </w:r>
                          <w:r>
                            <w:rPr>
                              <w:rFonts w:ascii="Times New Roman" w:hAnsi="Times New Roman" w:cs="Times New Roman"/>
                              <w:sz w:val="14"/>
                              <w:szCs w:val="14"/>
                              <w:lang w:val="ru-RU"/>
                            </w:rPr>
                            <w:t>-</w:t>
                          </w:r>
                          <w:r w:rsidRPr="000539CC">
                            <w:rPr>
                              <w:rFonts w:ascii="Times New Roman" w:hAnsi="Times New Roman" w:cs="Times New Roman"/>
                              <w:sz w:val="14"/>
                              <w:szCs w:val="14"/>
                            </w:rPr>
                            <w:t>доном</w:t>
                          </w:r>
                        </w:p>
                      </w:txbxContent>
                    </v:textbox>
                  </v:shape>
                  <v:line id="Line 513" o:spid="_x0000_s1809" style="position:absolute;visibility:visible;mso-wrap-style:square" from="9058,1957" to="9058,20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"/>
                  <v:shape id="Text Box 514" o:spid="_x0000_s1810" type="#_x0000_t202" style="position:absolute;left:6628;top:1711;width:1800;height: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">
                    <v:textbox inset="0,0,0,0">
                      <w:txbxContent>
                        <w:p w:rsidR="00BE40F8" w:rsidRPr="00D3048A" w:rsidRDefault="00BE40F8" w:rsidP="00B233DE">
                          <w:pPr>
                            <w:ind w:firstLine="0"/>
                            <w:jc w:val="center"/>
                            <w:rPr>
                              <w:rFonts w:ascii="Times New Roman" w:hAnsi="Times New Roman" w:cs="Times New Roman"/>
                              <w:sz w:val="14"/>
                              <w:szCs w:val="14"/>
                            </w:rPr>
                          </w:pPr>
                          <w:r w:rsidRPr="00D3048A">
                            <w:rPr>
                              <w:rFonts w:ascii="Times New Roman" w:hAnsi="Times New Roman" w:cs="Times New Roman"/>
                              <w:sz w:val="14"/>
                              <w:szCs w:val="14"/>
                            </w:rPr>
                            <w:t>Цілі міграційного перерозподілу ЛП</w:t>
                          </w:r>
                        </w:p>
                      </w:txbxContent>
                    </v:textbox>
                  </v:shape>
                  <v:line id="Line 515" o:spid="_x0000_s1811" style="position:absolute;visibility:visible;mso-wrap-style:square" from="7168,1891" to="7168,1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"/>
                  <v:shape id="Text Box 516" o:spid="_x0000_s1812" type="#_x0000_t202" style="position:absolute;left:4558;top:1711;width:1980;height: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">
                    <v:textbox inset="0,0,0,0">
                      <w:txbxContent>
                        <w:p w:rsidR="00BE40F8" w:rsidRPr="00D3048A" w:rsidRDefault="00BE40F8" w:rsidP="00B233DE">
                          <w:pPr>
                            <w:ind w:firstLine="0"/>
                            <w:jc w:val="center"/>
                            <w:rPr>
                              <w:rFonts w:ascii="Times New Roman" w:hAnsi="Times New Roman" w:cs="Times New Roman"/>
                              <w:sz w:val="14"/>
                              <w:szCs w:val="14"/>
                            </w:rPr>
                          </w:pPr>
                          <w:r w:rsidRPr="00D3048A">
                            <w:rPr>
                              <w:rFonts w:ascii="Times New Roman" w:hAnsi="Times New Roman" w:cs="Times New Roman"/>
                              <w:sz w:val="14"/>
                              <w:szCs w:val="14"/>
                            </w:rPr>
                            <w:t>Наслідки міграційного перерозподілу ЛП</w:t>
                          </w:r>
                        </w:p>
                      </w:txbxContent>
                    </v:textbox>
                  </v:shape>
                  <v:line id="Line 517" o:spid="_x0000_s1813" style="position:absolute;visibility:visible;mso-wrap-style:square" from="5368,1891" to="5368,1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"/>
                  <v:shape id="Text Box 518" o:spid="_x0000_s1814" type="#_x0000_t202" style="position:absolute;left:8698;top:2047;width:720;height: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">
                    <v:textbox inset="0,0,0,0">
                      <w:txbxContent>
                        <w:p w:rsidR="00BE40F8" w:rsidRPr="00B421DB" w:rsidRDefault="00BE40F8" w:rsidP="00B233DE">
                          <w:pPr>
                            <w:ind w:firstLine="0"/>
                            <w:jc w:val="center"/>
                            <w:rPr>
                              <w:rFonts w:ascii="Times New Roman" w:hAnsi="Times New Roman" w:cs="Times New Roman"/>
                              <w:sz w:val="14"/>
                              <w:szCs w:val="14"/>
                            </w:rPr>
                          </w:pPr>
                          <w:r w:rsidRPr="00B421DB">
                            <w:rPr>
                              <w:rFonts w:ascii="Times New Roman" w:hAnsi="Times New Roman" w:cs="Times New Roman"/>
                              <w:sz w:val="14"/>
                              <w:szCs w:val="14"/>
                            </w:rPr>
                            <w:t>Візовий режим</w:t>
                          </w:r>
                        </w:p>
                      </w:txbxContent>
                    </v:textbox>
                  </v:shape>
                  <v:shape id="Text Box 519" o:spid="_x0000_s1815" type="#_x0000_t202" style="position:absolute;left:8698;top:2521;width:720;height:4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">
                    <v:textbox inset="0,0,0,0">
                      <w:txbxContent>
                        <w:p w:rsidR="00BE40F8" w:rsidRPr="008B2299" w:rsidRDefault="00BE40F8" w:rsidP="00B233DE">
                          <w:pPr>
                            <w:ind w:firstLine="0"/>
                            <w:jc w:val="center"/>
                            <w:rPr>
                              <w:rFonts w:ascii="Times New Roman" w:hAnsi="Times New Roman" w:cs="Times New Roman"/>
                              <w:sz w:val="14"/>
                              <w:szCs w:val="14"/>
                            </w:rPr>
                          </w:pPr>
                          <w:r w:rsidRPr="008B2299">
                            <w:rPr>
                              <w:rFonts w:ascii="Times New Roman" w:hAnsi="Times New Roman" w:cs="Times New Roman"/>
                              <w:sz w:val="14"/>
                              <w:szCs w:val="14"/>
                            </w:rPr>
                            <w:t>Заходи селективної імміграції</w:t>
                          </w:r>
                        </w:p>
                      </w:txbxContent>
                    </v:textbox>
                  </v:shape>
                  <v:shape id="Text Box 520" o:spid="_x0000_s1816" type="#_x0000_t202" style="position:absolute;left:8698;top:3871;width:720;height: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">
                    <v:textbox inset="0,0,0,0">
                      <w:txbxContent>
                        <w:p w:rsidR="00BE40F8" w:rsidRPr="00E5579F" w:rsidRDefault="00BE40F8" w:rsidP="00B233DE">
                          <w:pPr>
                            <w:ind w:firstLine="0"/>
                            <w:jc w:val="center"/>
                            <w:rPr>
                              <w:rFonts w:ascii="Times New Roman" w:hAnsi="Times New Roman" w:cs="Times New Roman"/>
                              <w:sz w:val="14"/>
                              <w:szCs w:val="14"/>
                            </w:rPr>
                          </w:pPr>
                          <w:r w:rsidRPr="00E5579F">
                            <w:rPr>
                              <w:rFonts w:ascii="Times New Roman" w:hAnsi="Times New Roman" w:cs="Times New Roman"/>
                              <w:sz w:val="14"/>
                              <w:szCs w:val="14"/>
                            </w:rPr>
                            <w:t>Трудові контракти</w:t>
                          </w:r>
                        </w:p>
                      </w:txbxContent>
                    </v:textbox>
                  </v:shape>
                  <v:shape id="Text Box 521" o:spid="_x0000_s1817" type="#_x0000_t202" style="position:absolute;left:8698;top:4591;width:720;height: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">
                    <v:textbox inset="0,0,0,0">
                      <w:txbxContent>
                        <w:p w:rsidR="00BE40F8" w:rsidRPr="000539CC" w:rsidRDefault="00BE40F8" w:rsidP="00B233DE">
                          <w:pPr>
                            <w:ind w:firstLine="0"/>
                            <w:jc w:val="center"/>
                            <w:rPr>
                              <w:rFonts w:ascii="Times New Roman" w:hAnsi="Times New Roman" w:cs="Times New Roman"/>
                              <w:sz w:val="14"/>
                              <w:szCs w:val="14"/>
                            </w:rPr>
                          </w:pPr>
                          <w:r w:rsidRPr="000539CC">
                            <w:rPr>
                              <w:rFonts w:ascii="Times New Roman" w:hAnsi="Times New Roman" w:cs="Times New Roman"/>
                              <w:sz w:val="14"/>
                              <w:szCs w:val="14"/>
                            </w:rPr>
                            <w:t>Двосторонні угоди</w:t>
                          </w:r>
                        </w:p>
                      </w:txbxContent>
                    </v:textbox>
                  </v:shape>
                  <v:shape id="Text Box 522" o:spid="_x0000_s1818" type="#_x0000_t202" style="position:absolute;left:8698;top:3151;width:720;height:6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">
                    <v:textbox inset="0,0,0,0">
                      <w:txbxContent>
                        <w:p w:rsidR="00BE40F8" w:rsidRPr="00FE3F54" w:rsidRDefault="00BE40F8" w:rsidP="00B233DE">
                          <w:pPr>
                            <w:ind w:firstLine="0"/>
                            <w:jc w:val="center"/>
                            <w:rPr>
                              <w:rFonts w:ascii="Times New Roman" w:hAnsi="Times New Roman" w:cs="Times New Roman"/>
                              <w:sz w:val="14"/>
                              <w:szCs w:val="14"/>
                            </w:rPr>
                          </w:pPr>
                          <w:r w:rsidRPr="00FE3F54">
                            <w:rPr>
                              <w:rFonts w:ascii="Times New Roman" w:hAnsi="Times New Roman" w:cs="Times New Roman"/>
                              <w:sz w:val="14"/>
                              <w:szCs w:val="14"/>
                            </w:rPr>
                            <w:t>Спеціальні програми для висококваліфі</w:t>
                          </w:r>
                          <w:r>
                            <w:rPr>
                              <w:rFonts w:ascii="Times New Roman" w:hAnsi="Times New Roman" w:cs="Times New Roman"/>
                              <w:sz w:val="14"/>
                              <w:szCs w:val="14"/>
                              <w:lang w:val="ru-RU"/>
                            </w:rPr>
                            <w:t>-</w:t>
                          </w:r>
                          <w:r w:rsidRPr="00FE3F54">
                            <w:rPr>
                              <w:rFonts w:ascii="Times New Roman" w:hAnsi="Times New Roman" w:cs="Times New Roman"/>
                              <w:sz w:val="14"/>
                              <w:szCs w:val="14"/>
                            </w:rPr>
                            <w:t>кованих працівників</w:t>
                          </w:r>
                        </w:p>
                      </w:txbxContent>
                    </v:textbox>
                  </v:shape>
                  <v:line id="Line 523" o:spid="_x0000_s1819" style="position:absolute;visibility:visible;mso-wrap-style:square" from="5638,4321" to="6808,4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">
                    <v:stroke endarrow="block"/>
                  </v:line>
                  <v:shape id="AutoShape 524" o:spid="_x0000_s1820" type="#_x0000_t34" style="position:absolute;left:6718;top:4591;width:90;height:36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">
                    <v:stroke endarrow="block"/>
                  </v:shape>
                  <v:shape id="AutoShape 525" o:spid="_x0000_s1821" type="#_x0000_t33" style="position:absolute;left:8608;top:3061;width:450;height: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">
                    <v:stroke endarrow="block"/>
                  </v:shape>
                  <v:line id="Line 526" o:spid="_x0000_s1822" style="position:absolute;visibility:visible;mso-wrap-style:square" from="8608,4771" to="8698,47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">
                    <v:stroke endarrow="block"/>
                  </v:line>
                  <v:shape id="AutoShape 527" o:spid="_x0000_s1823" type="#_x0000_t33" style="position:absolute;left:7843;top:1846;width:180;height:153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"/>
                  <v:shape id="AutoShape 528" o:spid="_x0000_s1824" type="#_x0000_t33" style="position:absolute;left:7888;top:4141;width:1170;height:14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">
                    <v:stroke endarrow="block"/>
                  </v:shape>
                  <v:group id="Group 529" o:spid="_x0000_s1825" style="position:absolute;left:8608;top:2881;width:900;height:1125" coordorigin="8608,2881" coordsize="900,1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">
                    <v:shape id="AutoShape 530" o:spid="_x0000_s1826" type="#_x0000_t33" style="position:absolute;left:8608;top:2881;width:450;height: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">
                      <v:stroke endarrow="block"/>
                    </v:shape>
                    <v:shape id="AutoShape 531" o:spid="_x0000_s1827" type="#_x0000_t35" style="position:absolute;left:8608;top:3151;width:450;height:85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" adj="2160,23873">
                      <v:stroke endarrow="block"/>
                    </v:shape>
                    <v:line id="Line 532" o:spid="_x0000_s1828" style="position:absolute;visibility:visible;mso-wrap-style:square" from="9058,3061" to="9508,30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">
                      <v:stroke endarrow="block"/>
                    </v:line>
                  </v:group>
                  <v:shape id="Text Box 533" o:spid="_x0000_s1829" type="#_x0000_t202" style="position:absolute;left:6808;top:4261;width:1080;height:5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">
                    <v:textbox inset="0,0,0,0">
                      <w:txbxContent>
                        <w:p w:rsidR="00BE40F8" w:rsidRPr="000539CC" w:rsidRDefault="00BE40F8" w:rsidP="00B233DE">
                          <w:pPr>
                            <w:ind w:firstLine="0"/>
                            <w:jc w:val="center"/>
                            <w:rPr>
                              <w:rFonts w:ascii="Times New Roman" w:hAnsi="Times New Roman" w:cs="Times New Roman"/>
                              <w:sz w:val="14"/>
                              <w:szCs w:val="14"/>
                            </w:rPr>
                          </w:pPr>
                          <w:r w:rsidRPr="000539CC">
                            <w:rPr>
                              <w:rFonts w:ascii="Times New Roman" w:hAnsi="Times New Roman" w:cs="Times New Roman"/>
                              <w:sz w:val="14"/>
                              <w:szCs w:val="14"/>
                            </w:rPr>
                            <w:t>Сприяння еміграції за трудовими контрак</w:t>
                          </w:r>
                          <w:r>
                            <w:rPr>
                              <w:rFonts w:ascii="Times New Roman" w:hAnsi="Times New Roman" w:cs="Times New Roman"/>
                              <w:sz w:val="14"/>
                              <w:szCs w:val="14"/>
                              <w:lang w:val="ru-RU"/>
                            </w:rPr>
                            <w:t>-</w:t>
                          </w:r>
                          <w:r w:rsidRPr="000539CC">
                            <w:rPr>
                              <w:rFonts w:ascii="Times New Roman" w:hAnsi="Times New Roman" w:cs="Times New Roman"/>
                              <w:sz w:val="14"/>
                              <w:szCs w:val="14"/>
                            </w:rPr>
                            <w:t>тами на основі дослідження ринку праці</w:t>
                          </w:r>
                        </w:p>
                      </w:txbxContent>
                    </v:textbox>
                  </v:shape>
                  <v:shape id="Text Box 534" o:spid="_x0000_s1830" type="#_x0000_t202" style="position:absolute;left:4738;top:1981;width:900;height: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">
                    <v:textbox inset="0,0,0,0">
                      <w:txbxContent>
                        <w:p w:rsidR="00BE40F8" w:rsidRPr="00AD4E84" w:rsidRDefault="00BE40F8" w:rsidP="00B233DE">
                          <w:pPr>
                            <w:ind w:firstLine="0"/>
                            <w:jc w:val="center"/>
                            <w:rPr>
                              <w:rFonts w:ascii="Times New Roman" w:hAnsi="Times New Roman" w:cs="Times New Roman"/>
                              <w:sz w:val="14"/>
                              <w:szCs w:val="14"/>
                            </w:rPr>
                          </w:pPr>
                          <w:r w:rsidRPr="00AD4E84">
                            <w:rPr>
                              <w:rFonts w:ascii="Times New Roman" w:hAnsi="Times New Roman" w:cs="Times New Roman"/>
                              <w:sz w:val="14"/>
                              <w:szCs w:val="14"/>
                            </w:rPr>
                            <w:t>Збільшення кіль</w:t>
                          </w:r>
                          <w:r>
                            <w:rPr>
                              <w:rFonts w:ascii="Times New Roman" w:hAnsi="Times New Roman" w:cs="Times New Roman"/>
                              <w:sz w:val="14"/>
                              <w:szCs w:val="14"/>
                            </w:rPr>
                            <w:t>-</w:t>
                          </w:r>
                          <w:r w:rsidRPr="00AD4E84">
                            <w:rPr>
                              <w:rFonts w:ascii="Times New Roman" w:hAnsi="Times New Roman" w:cs="Times New Roman"/>
                              <w:sz w:val="14"/>
                              <w:szCs w:val="14"/>
                            </w:rPr>
                            <w:t>кості населення</w:t>
                          </w:r>
                        </w:p>
                      </w:txbxContent>
                    </v:textbox>
                  </v:shape>
                  <v:shape id="Text Box 535" o:spid="_x0000_s1831" type="#_x0000_t202" style="position:absolute;left:5728;top:2161;width:900;height: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">
                    <v:textbox inset="0,0,0,0">
                      <w:txbxContent>
                        <w:p w:rsidR="00BE40F8" w:rsidRPr="00AD4E84" w:rsidRDefault="00BE40F8" w:rsidP="00B233DE">
                          <w:pPr>
                            <w:ind w:firstLine="0"/>
                            <w:jc w:val="center"/>
                            <w:rPr>
                              <w:rFonts w:ascii="Times New Roman" w:hAnsi="Times New Roman" w:cs="Times New Roman"/>
                              <w:sz w:val="14"/>
                              <w:szCs w:val="14"/>
                            </w:rPr>
                          </w:pPr>
                          <w:r w:rsidRPr="00AD4E84">
                            <w:rPr>
                              <w:rFonts w:ascii="Times New Roman" w:hAnsi="Times New Roman" w:cs="Times New Roman"/>
                              <w:sz w:val="14"/>
                              <w:szCs w:val="14"/>
                            </w:rPr>
                            <w:t>Підвищення рівня народжуваності</w:t>
                          </w:r>
                        </w:p>
                      </w:txbxContent>
                    </v:textbox>
                  </v:shape>
                  <v:shape id="Text Box 536" o:spid="_x0000_s1832" type="#_x0000_t202" style="position:absolute;left:4738;top:2341;width:900;height: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">
                    <v:textbox inset="0,0,0,0">
                      <w:txbxContent>
                        <w:p w:rsidR="00BE40F8" w:rsidRPr="00AD4E84" w:rsidRDefault="00BE40F8" w:rsidP="00B233DE">
                          <w:pPr>
                            <w:ind w:firstLine="0"/>
                            <w:jc w:val="center"/>
                            <w:rPr>
                              <w:rFonts w:ascii="Times New Roman" w:hAnsi="Times New Roman" w:cs="Times New Roman"/>
                              <w:sz w:val="14"/>
                              <w:szCs w:val="14"/>
                            </w:rPr>
                          </w:pPr>
                          <w:r w:rsidRPr="00AD4E84">
                            <w:rPr>
                              <w:rFonts w:ascii="Times New Roman" w:hAnsi="Times New Roman" w:cs="Times New Roman"/>
                              <w:sz w:val="14"/>
                              <w:szCs w:val="14"/>
                            </w:rPr>
                            <w:t>Розширення споживання</w:t>
                          </w:r>
                        </w:p>
                      </w:txbxContent>
                    </v:textbox>
                  </v:shape>
                  <v:shape id="Text Box 537" o:spid="_x0000_s1833" type="#_x0000_t202" style="position:absolute;left:5728;top:2521;width:900;height: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">
                    <v:textbox inset="0,0,0,0">
                      <w:txbxContent>
                        <w:p w:rsidR="00BE40F8" w:rsidRPr="00121F8C" w:rsidRDefault="00BE40F8" w:rsidP="00B233DE">
                          <w:pPr>
                            <w:ind w:firstLine="0"/>
                            <w:jc w:val="center"/>
                            <w:rPr>
                              <w:rFonts w:ascii="Times New Roman" w:hAnsi="Times New Roman" w:cs="Times New Roman"/>
                              <w:sz w:val="14"/>
                              <w:szCs w:val="14"/>
                            </w:rPr>
                          </w:pPr>
                          <w:r w:rsidRPr="00121F8C">
                            <w:rPr>
                              <w:rFonts w:ascii="Times New Roman" w:hAnsi="Times New Roman" w:cs="Times New Roman"/>
                              <w:sz w:val="14"/>
                              <w:szCs w:val="14"/>
                            </w:rPr>
                            <w:t>Задов</w:t>
                          </w:r>
                          <w:r>
                            <w:rPr>
                              <w:rFonts w:ascii="Times New Roman" w:hAnsi="Times New Roman" w:cs="Times New Roman"/>
                              <w:sz w:val="14"/>
                              <w:szCs w:val="14"/>
                              <w:lang w:val="ru-RU"/>
                            </w:rPr>
                            <w:t>о</w:t>
                          </w:r>
                          <w:r w:rsidRPr="00121F8C">
                            <w:rPr>
                              <w:rFonts w:ascii="Times New Roman" w:hAnsi="Times New Roman" w:cs="Times New Roman"/>
                              <w:sz w:val="14"/>
                              <w:szCs w:val="14"/>
                            </w:rPr>
                            <w:t>лення пот</w:t>
                          </w:r>
                          <w:r>
                            <w:rPr>
                              <w:rFonts w:ascii="Times New Roman" w:hAnsi="Times New Roman" w:cs="Times New Roman"/>
                              <w:sz w:val="14"/>
                              <w:szCs w:val="14"/>
                              <w:lang w:val="en-US"/>
                            </w:rPr>
                            <w:t>-</w:t>
                          </w:r>
                          <w:r w:rsidRPr="00121F8C">
                            <w:rPr>
                              <w:rFonts w:ascii="Times New Roman" w:hAnsi="Times New Roman" w:cs="Times New Roman"/>
                              <w:sz w:val="14"/>
                              <w:szCs w:val="14"/>
                            </w:rPr>
                            <w:t>реби ринку праці</w:t>
                          </w:r>
                        </w:p>
                      </w:txbxContent>
                    </v:textbox>
                  </v:shape>
                  <v:shape id="Text Box 538" o:spid="_x0000_s1834" type="#_x0000_t202" style="position:absolute;left:4738;top:2679;width:900;height:5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">
                    <v:textbox inset="0,0,0,0">
                      <w:txbxContent>
                        <w:p w:rsidR="00BE40F8" w:rsidRPr="00B421DB" w:rsidRDefault="00BE40F8" w:rsidP="00B233DE">
                          <w:pPr>
                            <w:ind w:firstLine="0"/>
                            <w:jc w:val="center"/>
                            <w:rPr>
                              <w:rFonts w:ascii="Times New Roman" w:hAnsi="Times New Roman" w:cs="Times New Roman"/>
                              <w:sz w:val="14"/>
                              <w:szCs w:val="14"/>
                            </w:rPr>
                          </w:pPr>
                          <w:r w:rsidRPr="00B421DB">
                            <w:rPr>
                              <w:rFonts w:ascii="Times New Roman" w:hAnsi="Times New Roman" w:cs="Times New Roman"/>
                              <w:sz w:val="14"/>
                              <w:szCs w:val="14"/>
                            </w:rPr>
                            <w:t>Стимулювання інтелектуального та інноваційного розвитку</w:t>
                          </w:r>
                        </w:p>
                      </w:txbxContent>
                    </v:textbox>
                  </v:shape>
                  <v:shape id="Text Box 539" o:spid="_x0000_s1835" type="#_x0000_t202" style="position:absolute;left:4738;top:3252;width:900;height: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">
                    <v:textbox inset="0,0,0,0">
                      <w:txbxContent>
                        <w:p w:rsidR="00BE40F8" w:rsidRPr="00130FFE" w:rsidRDefault="00BE40F8" w:rsidP="00B233DE">
                          <w:pPr>
                            <w:ind w:firstLine="0"/>
                            <w:jc w:val="center"/>
                            <w:rPr>
                              <w:rFonts w:ascii="Calibri" w:hAnsi="Calibri"/>
                              <w:sz w:val="10"/>
                              <w:szCs w:val="10"/>
                            </w:rPr>
                          </w:pPr>
                          <w:r w:rsidRPr="00C135F7">
                            <w:rPr>
                              <w:rFonts w:ascii="Times New Roman" w:hAnsi="Times New Roman" w:cs="Times New Roman"/>
                              <w:sz w:val="14"/>
                              <w:szCs w:val="14"/>
                            </w:rPr>
                            <w:t>Посилення без</w:t>
                          </w:r>
                          <w:r w:rsidRPr="00C135F7">
                            <w:rPr>
                              <w:rFonts w:ascii="Times New Roman" w:hAnsi="Times New Roman" w:cs="Times New Roman"/>
                              <w:sz w:val="14"/>
                              <w:szCs w:val="14"/>
                              <w:lang w:val="ru-RU"/>
                            </w:rPr>
                            <w:t>-</w:t>
                          </w:r>
                          <w:r w:rsidRPr="00C135F7">
                            <w:rPr>
                              <w:rFonts w:ascii="Times New Roman" w:hAnsi="Times New Roman" w:cs="Times New Roman"/>
                              <w:sz w:val="14"/>
                              <w:szCs w:val="14"/>
                            </w:rPr>
                            <w:t>робіття національ</w:t>
                          </w:r>
                          <w:r w:rsidRPr="00C135F7">
                            <w:rPr>
                              <w:rFonts w:ascii="Times New Roman" w:hAnsi="Times New Roman" w:cs="Times New Roman"/>
                              <w:sz w:val="14"/>
                              <w:szCs w:val="14"/>
                              <w:lang w:val="ru-RU"/>
                            </w:rPr>
                            <w:t>-</w:t>
                          </w:r>
                          <w:r w:rsidRPr="00C135F7">
                            <w:rPr>
                              <w:rFonts w:ascii="Times New Roman" w:hAnsi="Times New Roman" w:cs="Times New Roman"/>
                              <w:sz w:val="14"/>
                              <w:szCs w:val="14"/>
                            </w:rPr>
                            <w:t>ної робочої сили</w:t>
                          </w:r>
                        </w:p>
                      </w:txbxContent>
                    </v:textbox>
                  </v:shape>
                  <v:shape id="Text Box 540" o:spid="_x0000_s1836" type="#_x0000_t202" style="position:absolute;left:5728;top:2971;width:990;height:5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">
                    <v:textbox inset="0,0,0,0">
                      <w:txbxContent>
                        <w:p w:rsidR="00BE40F8" w:rsidRPr="00FE3F54" w:rsidRDefault="00BE40F8" w:rsidP="00B233DE">
                          <w:pPr>
                            <w:ind w:firstLine="0"/>
                            <w:jc w:val="center"/>
                            <w:rPr>
                              <w:rFonts w:ascii="Times New Roman" w:hAnsi="Times New Roman" w:cs="Times New Roman"/>
                              <w:sz w:val="14"/>
                              <w:szCs w:val="14"/>
                            </w:rPr>
                          </w:pPr>
                          <w:r w:rsidRPr="00FE3F54">
                            <w:rPr>
                              <w:rFonts w:ascii="Times New Roman" w:hAnsi="Times New Roman" w:cs="Times New Roman"/>
                              <w:sz w:val="14"/>
                              <w:szCs w:val="14"/>
                            </w:rPr>
                            <w:t>Посилення злочин</w:t>
                          </w:r>
                          <w:r>
                            <w:rPr>
                              <w:rFonts w:ascii="Times New Roman" w:hAnsi="Times New Roman" w:cs="Times New Roman"/>
                              <w:sz w:val="14"/>
                              <w:szCs w:val="14"/>
                              <w:lang w:val="ru-RU"/>
                            </w:rPr>
                            <w:t>-</w:t>
                          </w:r>
                          <w:r w:rsidRPr="00FE3F54">
                            <w:rPr>
                              <w:rFonts w:ascii="Times New Roman" w:hAnsi="Times New Roman" w:cs="Times New Roman"/>
                              <w:sz w:val="14"/>
                              <w:szCs w:val="14"/>
                            </w:rPr>
                            <w:t>ності, міжетнічних конфліктів та соці</w:t>
                          </w:r>
                          <w:r>
                            <w:rPr>
                              <w:rFonts w:ascii="Times New Roman" w:hAnsi="Times New Roman" w:cs="Times New Roman"/>
                              <w:sz w:val="14"/>
                              <w:szCs w:val="14"/>
                              <w:lang w:val="ru-RU"/>
                            </w:rPr>
                            <w:t>-</w:t>
                          </w:r>
                          <w:r w:rsidRPr="00FE3F54">
                            <w:rPr>
                              <w:rFonts w:ascii="Times New Roman" w:hAnsi="Times New Roman" w:cs="Times New Roman"/>
                              <w:sz w:val="14"/>
                              <w:szCs w:val="14"/>
                            </w:rPr>
                            <w:t>альної напруги</w:t>
                          </w:r>
                        </w:p>
                      </w:txbxContent>
                    </v:textbox>
                  </v:shape>
                  <v:shape id="Text Box 541" o:spid="_x0000_s1837" type="#_x0000_t202" style="position:absolute;left:5728;top:3634;width:990;height:5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">
                    <v:textbox inset="0,0,0,0">
                      <w:txbxContent>
                        <w:p w:rsidR="00BE40F8" w:rsidRPr="00FE3F54" w:rsidRDefault="00BE40F8" w:rsidP="00B233DE">
                          <w:pPr>
                            <w:ind w:firstLine="0"/>
                            <w:jc w:val="center"/>
                            <w:rPr>
                              <w:rFonts w:ascii="Times New Roman" w:hAnsi="Times New Roman" w:cs="Times New Roman"/>
                              <w:sz w:val="14"/>
                              <w:szCs w:val="14"/>
                              <w:lang w:val="ru-RU"/>
                            </w:rPr>
                          </w:pPr>
                          <w:r w:rsidRPr="00FE3F54">
                            <w:rPr>
                              <w:rFonts w:ascii="Times New Roman" w:hAnsi="Times New Roman" w:cs="Times New Roman"/>
                              <w:sz w:val="14"/>
                              <w:szCs w:val="14"/>
                            </w:rPr>
                            <w:t>Несплата мігрантами податків та внесків до фондів соціально</w:t>
                          </w:r>
                          <w:r>
                            <w:rPr>
                              <w:rFonts w:ascii="Times New Roman" w:hAnsi="Times New Roman" w:cs="Times New Roman"/>
                              <w:sz w:val="14"/>
                              <w:szCs w:val="14"/>
                              <w:lang w:val="ru-RU"/>
                            </w:rPr>
                            <w:t>-</w:t>
                          </w:r>
                          <w:r w:rsidRPr="00FE3F54">
                            <w:rPr>
                              <w:rFonts w:ascii="Times New Roman" w:hAnsi="Times New Roman" w:cs="Times New Roman"/>
                              <w:sz w:val="14"/>
                              <w:szCs w:val="14"/>
                            </w:rPr>
                            <w:t>го забезпечення</w:t>
                          </w:r>
                        </w:p>
                      </w:txbxContent>
                    </v:textbox>
                  </v:shape>
                  <v:shape id="Text Box 542" o:spid="_x0000_s1838" type="#_x0000_t202" style="position:absolute;left:4738;top:3781;width:900;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">
                    <v:textbox inset="0,0,0,0">
                      <w:txbxContent>
                        <w:p w:rsidR="00BE40F8" w:rsidRPr="000539CC" w:rsidRDefault="00BE40F8" w:rsidP="00B233DE">
                          <w:pPr>
                            <w:ind w:firstLine="0"/>
                            <w:jc w:val="center"/>
                            <w:rPr>
                              <w:rFonts w:ascii="Times New Roman" w:hAnsi="Times New Roman" w:cs="Times New Roman"/>
                              <w:sz w:val="14"/>
                              <w:szCs w:val="14"/>
                            </w:rPr>
                          </w:pPr>
                          <w:r w:rsidRPr="000539CC">
                            <w:rPr>
                              <w:rFonts w:ascii="Times New Roman" w:hAnsi="Times New Roman" w:cs="Times New Roman"/>
                              <w:sz w:val="14"/>
                              <w:szCs w:val="14"/>
                            </w:rPr>
                            <w:t>Додаткові витрати на адаптацію та інтеграцію мігрантів</w:t>
                          </w:r>
                        </w:p>
                      </w:txbxContent>
                    </v:textbox>
                  </v:shape>
                  <v:shape id="Text Box 543" o:spid="_x0000_s1839" type="#_x0000_t202" style="position:absolute;left:6808;top:1981;width:810;height:5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">
                    <v:textbox inset="0,0,0,0">
                      <w:txbxContent>
                        <w:p w:rsidR="00BE40F8" w:rsidRPr="00AD4E84" w:rsidRDefault="00BE40F8" w:rsidP="00B233DE">
                          <w:pPr>
                            <w:ind w:firstLine="0"/>
                            <w:jc w:val="center"/>
                            <w:rPr>
                              <w:rFonts w:ascii="Times New Roman" w:hAnsi="Times New Roman" w:cs="Times New Roman"/>
                              <w:sz w:val="14"/>
                              <w:szCs w:val="14"/>
                            </w:rPr>
                          </w:pPr>
                          <w:r w:rsidRPr="00AD4E84">
                            <w:rPr>
                              <w:rFonts w:ascii="Times New Roman" w:hAnsi="Times New Roman" w:cs="Times New Roman"/>
                              <w:sz w:val="14"/>
                              <w:szCs w:val="14"/>
                            </w:rPr>
                            <w:t>Зростання народ</w:t>
                          </w:r>
                          <w:r>
                            <w:rPr>
                              <w:rFonts w:ascii="Times New Roman" w:hAnsi="Times New Roman" w:cs="Times New Roman"/>
                              <w:sz w:val="14"/>
                              <w:szCs w:val="14"/>
                            </w:rPr>
                            <w:t>-</w:t>
                          </w:r>
                          <w:r w:rsidRPr="00AD4E84">
                            <w:rPr>
                              <w:rFonts w:ascii="Times New Roman" w:hAnsi="Times New Roman" w:cs="Times New Roman"/>
                              <w:sz w:val="14"/>
                              <w:szCs w:val="14"/>
                            </w:rPr>
                            <w:t>жуваності, подо</w:t>
                          </w:r>
                          <w:r>
                            <w:rPr>
                              <w:rFonts w:ascii="Times New Roman" w:hAnsi="Times New Roman" w:cs="Times New Roman"/>
                              <w:sz w:val="14"/>
                              <w:szCs w:val="14"/>
                            </w:rPr>
                            <w:t>-</w:t>
                          </w:r>
                          <w:r w:rsidRPr="00AD4E84">
                            <w:rPr>
                              <w:rFonts w:ascii="Times New Roman" w:hAnsi="Times New Roman" w:cs="Times New Roman"/>
                              <w:sz w:val="14"/>
                              <w:szCs w:val="14"/>
                            </w:rPr>
                            <w:t>лання демогра</w:t>
                          </w:r>
                          <w:r>
                            <w:rPr>
                              <w:rFonts w:ascii="Times New Roman" w:hAnsi="Times New Roman" w:cs="Times New Roman"/>
                              <w:sz w:val="14"/>
                              <w:szCs w:val="14"/>
                            </w:rPr>
                            <w:t>-</w:t>
                          </w:r>
                          <w:r w:rsidRPr="00AD4E84">
                            <w:rPr>
                              <w:rFonts w:ascii="Times New Roman" w:hAnsi="Times New Roman" w:cs="Times New Roman"/>
                              <w:sz w:val="14"/>
                              <w:szCs w:val="14"/>
                            </w:rPr>
                            <w:t>фічних проблем</w:t>
                          </w:r>
                        </w:p>
                      </w:txbxContent>
                    </v:textbox>
                  </v:shape>
                  <v:shape id="Text Box 544" o:spid="_x0000_s1840" type="#_x0000_t202" style="position:absolute;left:7708;top:2251;width:900;height: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">
                    <v:textbox inset="0,0,0,0">
                      <w:txbxContent>
                        <w:p w:rsidR="00BE40F8" w:rsidRPr="00AD4E84" w:rsidRDefault="00BE40F8" w:rsidP="00B233DE">
                          <w:pPr>
                            <w:ind w:firstLine="0"/>
                            <w:jc w:val="center"/>
                            <w:rPr>
                              <w:rFonts w:ascii="Times New Roman" w:hAnsi="Times New Roman" w:cs="Times New Roman"/>
                              <w:sz w:val="14"/>
                              <w:szCs w:val="14"/>
                            </w:rPr>
                          </w:pPr>
                          <w:r w:rsidRPr="00AD4E84">
                            <w:rPr>
                              <w:rFonts w:ascii="Times New Roman" w:hAnsi="Times New Roman" w:cs="Times New Roman"/>
                              <w:sz w:val="14"/>
                              <w:szCs w:val="14"/>
                            </w:rPr>
                            <w:t>Розширення споживання</w:t>
                          </w:r>
                        </w:p>
                      </w:txbxContent>
                    </v:textbox>
                  </v:shape>
                  <v:shape id="Text Box 545" o:spid="_x0000_s1841" type="#_x0000_t202" style="position:absolute;left:6808;top:2701;width:900;height: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">
                    <v:textbox inset="0,0,0,0">
                      <w:txbxContent>
                        <w:p w:rsidR="00BE40F8" w:rsidRPr="00121F8C" w:rsidRDefault="00BE40F8" w:rsidP="00B233DE">
                          <w:pPr>
                            <w:ind w:firstLine="0"/>
                            <w:jc w:val="center"/>
                            <w:rPr>
                              <w:rFonts w:ascii="Times New Roman" w:hAnsi="Times New Roman" w:cs="Times New Roman"/>
                              <w:sz w:val="14"/>
                              <w:szCs w:val="14"/>
                            </w:rPr>
                          </w:pPr>
                          <w:r w:rsidRPr="00121F8C">
                            <w:rPr>
                              <w:rFonts w:ascii="Times New Roman" w:hAnsi="Times New Roman" w:cs="Times New Roman"/>
                              <w:sz w:val="14"/>
                              <w:szCs w:val="14"/>
                            </w:rPr>
                            <w:t>Задоволення потреби ринку праці</w:t>
                          </w:r>
                        </w:p>
                      </w:txbxContent>
                    </v:textbox>
                  </v:shape>
                  <v:shape id="Text Box 546" o:spid="_x0000_s1842" type="#_x0000_t202" style="position:absolute;left:7798;top:2791;width:810;height:5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">
                    <v:textbox inset="0,0,0,0">
                      <w:txbxContent>
                        <w:p w:rsidR="00BE40F8" w:rsidRPr="00121F8C" w:rsidRDefault="00BE40F8" w:rsidP="00B233DE">
                          <w:pPr>
                            <w:ind w:firstLine="0"/>
                            <w:jc w:val="center"/>
                            <w:rPr>
                              <w:rFonts w:ascii="Times New Roman" w:hAnsi="Times New Roman" w:cs="Times New Roman"/>
                              <w:sz w:val="14"/>
                              <w:szCs w:val="14"/>
                            </w:rPr>
                          </w:pPr>
                          <w:r w:rsidRPr="00121F8C">
                            <w:rPr>
                              <w:rFonts w:ascii="Times New Roman" w:hAnsi="Times New Roman" w:cs="Times New Roman"/>
                              <w:sz w:val="14"/>
                              <w:szCs w:val="14"/>
                            </w:rPr>
                            <w:t>Стимулювання інтелектуального та інноваційного розвитку</w:t>
                          </w:r>
                        </w:p>
                      </w:txbxContent>
                    </v:textbox>
                  </v:shape>
                  <v:shape id="Text Box 547" o:spid="_x0000_s1843" type="#_x0000_t202" style="position:absolute;left:6808;top:3342;width:1800;height: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">
                    <v:textbox inset="0,0,0,0">
                      <w:txbxContent>
                        <w:p w:rsidR="00BE40F8" w:rsidRPr="00E5579F" w:rsidRDefault="00BE40F8" w:rsidP="00B233DE">
                          <w:pPr>
                            <w:ind w:firstLine="0"/>
                            <w:jc w:val="center"/>
                            <w:rPr>
                              <w:rFonts w:ascii="Times New Roman" w:hAnsi="Times New Roman" w:cs="Times New Roman"/>
                              <w:sz w:val="14"/>
                              <w:szCs w:val="14"/>
                            </w:rPr>
                          </w:pPr>
                          <w:r w:rsidRPr="00E5579F">
                            <w:rPr>
                              <w:rFonts w:ascii="Times New Roman" w:hAnsi="Times New Roman" w:cs="Times New Roman"/>
                              <w:sz w:val="14"/>
                              <w:szCs w:val="14"/>
                            </w:rPr>
                            <w:t>Забезпечення інтеграції мігрантів у суспільство, подоланння негативних соціальних наслідків</w:t>
                          </w:r>
                        </w:p>
                      </w:txbxContent>
                    </v:textbox>
                  </v:shape>
                  <v:shape id="Text Box 548" o:spid="_x0000_s1844" type="#_x0000_t202" style="position:absolute;left:6808;top:3871;width:1800;height: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">
                    <v:textbox inset="0,0,0,0">
                      <w:txbxContent>
                        <w:p w:rsidR="00BE40F8" w:rsidRPr="00E5579F" w:rsidRDefault="00BE40F8" w:rsidP="00B233DE">
                          <w:pPr>
                            <w:ind w:firstLine="0"/>
                            <w:jc w:val="center"/>
                            <w:rPr>
                              <w:rFonts w:ascii="Times New Roman" w:hAnsi="Times New Roman" w:cs="Times New Roman"/>
                              <w:sz w:val="14"/>
                              <w:szCs w:val="14"/>
                            </w:rPr>
                          </w:pPr>
                          <w:r w:rsidRPr="00E5579F">
                            <w:rPr>
                              <w:rFonts w:ascii="Times New Roman" w:hAnsi="Times New Roman" w:cs="Times New Roman"/>
                              <w:sz w:val="14"/>
                              <w:szCs w:val="14"/>
                            </w:rPr>
                            <w:t>Регулювання економічної діяльності іммігрантів</w:t>
                          </w:r>
                        </w:p>
                      </w:txbxContent>
                    </v:textbox>
                  </v:shape>
                  <v:shape id="AutoShape 549" o:spid="_x0000_s1845" type="#_x0000_t34" style="position:absolute;left:5638;top:2116;width:1170;height:13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" adj="19800">
                    <v:stroke endarrow="block"/>
                  </v:shape>
                  <v:shape id="AutoShape 550" o:spid="_x0000_s1846" type="#_x0000_t35" style="position:absolute;left:5638;top:2476;width:2475;height:4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" adj="9491,57600">
                    <v:stroke endarrow="block"/>
                  </v:shape>
                  <v:shape id="AutoShape 551" o:spid="_x0000_s1847" type="#_x0000_t34" style="position:absolute;left:6628;top:2656;width:180;height: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">
                    <v:stroke endarrow="block"/>
                  </v:shape>
                  <v:shape id="AutoShape 552" o:spid="_x0000_s1848" type="#_x0000_t34" style="position:absolute;left:5638;top:2926;width:2160;height:13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" adj="11325">
                    <v:stroke endarrow="block"/>
                  </v:shape>
                  <v:shape id="AutoShape 553" o:spid="_x0000_s1849" type="#_x0000_t34" style="position:absolute;left:6718;top:3241;width:90;height:36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">
                    <v:stroke endarrow="block"/>
                  </v:shape>
                  <v:shape id="AutoShape 554" o:spid="_x0000_s1850" type="#_x0000_t34" style="position:absolute;left:5638;top:2836;width:1170;height:63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" adj="830">
                    <v:stroke endarrow="block"/>
                  </v:shape>
                  <v:shape id="AutoShape 555" o:spid="_x0000_s1851" type="#_x0000_t35" style="position:absolute;left:5728;top:3061;width:540;height:1620;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" adj="-1501,6600">
                    <v:stroke endarrow="block"/>
                  </v:shape>
                  <v:shape id="AutoShape 556" o:spid="_x0000_s1852" type="#_x0000_t34" style="position:absolute;left:6628;top:2251;width:180;height:4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">
                    <v:stroke endarrow="block"/>
                  </v:shape>
                  <v:shape id="AutoShape 557" o:spid="_x0000_s1853" type="#_x0000_t34" style="position:absolute;left:6718;top:3916;width:90;height: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">
                    <v:stroke endarrow="block"/>
                  </v:shape>
                  <v:shape id="AutoShape 558" o:spid="_x0000_s1854" type="#_x0000_t34" style="position:absolute;left:7708;top:2701;width:990;height:13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" adj="807">
                    <v:stroke endarrow="block"/>
                  </v:shape>
                  <v:shape id="AutoShape 559" o:spid="_x0000_s1855" type="#_x0000_t34" style="position:absolute;left:8698;top:2386;width:810;height:315;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" adj="-1200">
                    <v:stroke endarrow="block"/>
                  </v:shape>
                  <v:rect id="Rectangle 560" o:spid="_x0000_s1856" style="position:absolute;left:4676;top:1953;width:396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">
                    <v:fill opacity="0"/>
                    <v:stroke dashstyle="dash"/>
                  </v:rect>
                  <v:line id="Line 561" o:spid="_x0000_s1857" style="position:absolute;flip:y;visibility:visible;mso-wrap-style:square" from="9058,2227" to="9058,25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">
                    <v:stroke startarrow="block" endarrow="block"/>
                  </v:line>
                </v:group>
                <v:line id="Line 562" o:spid="_x0000_s1858" style="position:absolute;visibility:visible;mso-wrap-style:square" from="9418,5401" to="10286,54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" strokeweight="1pt"/>
                <w10:wrap type="topAndBottom"/>
              </v:group>
            </w:pict>
          </mc:Fallback>
        </mc:AlternateContent>
      </w:r>
      <w:r w:rsidRPr="00FA220A">
        <w:rPr>
          <w:rFonts w:ascii="Times New Roman" w:hAnsi="Times New Roman" w:cs="Times New Roman"/>
          <w:b/>
          <w:sz w:val="21"/>
          <w:szCs w:val="21"/>
        </w:rPr>
        <w:t xml:space="preserve">Рис. 4.6. Цілі, інструменти та </w:t>
      </w:r>
      <w:r>
        <w:rPr>
          <w:rFonts w:ascii="Times New Roman" w:hAnsi="Times New Roman" w:cs="Times New Roman"/>
          <w:b/>
          <w:sz w:val="21"/>
          <w:szCs w:val="21"/>
        </w:rPr>
        <w:t>наслідки</w:t>
      </w:r>
      <w:r w:rsidRPr="00FA220A">
        <w:rPr>
          <w:rFonts w:ascii="Times New Roman" w:hAnsi="Times New Roman" w:cs="Times New Roman"/>
          <w:b/>
          <w:sz w:val="21"/>
          <w:szCs w:val="21"/>
        </w:rPr>
        <w:t xml:space="preserve"> міграційного перерозподілу людського потенціалу </w:t>
      </w:r>
    </w:p>
    <w:p w:rsidR="00B233DE" w:rsidRDefault="00B233DE" w:rsidP="00B233DE">
      <w:pPr>
        <w:ind w:firstLine="708"/>
        <w:jc w:val="both"/>
        <w:rPr>
          <w:rFonts w:ascii="Times New Roman" w:hAnsi="Times New Roman" w:cs="Times New Roman"/>
          <w:sz w:val="21"/>
          <w:szCs w:val="21"/>
        </w:rPr>
        <w:sectPr w:rsidR="00B233DE" w:rsidSect="0023489B">
          <w:pgSz w:w="11907" w:h="8392" w:orient="landscape" w:code="11"/>
          <w:pgMar w:top="1134" w:right="1134" w:bottom="1134" w:left="1134" w:header="709" w:footer="709" w:gutter="0"/>
          <w:cols w:space="708"/>
          <w:docGrid w:linePitch="360"/>
        </w:sectPr>
      </w:pPr>
    </w:p>
    <w:p w:rsidR="00B233DE" w:rsidRPr="008A717A" w:rsidRDefault="00B233DE" w:rsidP="00B233DE">
      <w:pPr>
        <w:ind w:firstLine="709"/>
        <w:jc w:val="both"/>
        <w:rPr>
          <w:rFonts w:ascii="Times New Roman" w:hAnsi="Times New Roman" w:cs="Times New Roman"/>
          <w:sz w:val="21"/>
          <w:szCs w:val="21"/>
        </w:rPr>
      </w:pPr>
      <w:r w:rsidRPr="008A717A">
        <w:rPr>
          <w:rFonts w:ascii="Times New Roman" w:hAnsi="Times New Roman" w:cs="Times New Roman"/>
          <w:sz w:val="21"/>
          <w:szCs w:val="21"/>
        </w:rPr>
        <w:lastRenderedPageBreak/>
        <w:t>Переміщення працівників середньої кваліфікації та висококваліфікованих на постійній основі сприяє формуванню освітньо-кваліфікаційної складової людського потенціалу та якісному його підвищенню у країнах призначення і походження завдяки передачі знань, досвіду та фінансових ресурсів.</w:t>
      </w:r>
    </w:p>
    <w:p w:rsidR="00B233DE" w:rsidRPr="008A717A" w:rsidRDefault="00B233DE" w:rsidP="00B233DE">
      <w:pPr>
        <w:tabs>
          <w:tab w:val="left" w:pos="1260"/>
        </w:tabs>
        <w:ind w:firstLine="709"/>
        <w:jc w:val="both"/>
        <w:rPr>
          <w:rFonts w:ascii="Times New Roman" w:hAnsi="Times New Roman" w:cs="Times New Roman"/>
          <w:sz w:val="21"/>
          <w:szCs w:val="21"/>
        </w:rPr>
      </w:pPr>
      <w:r w:rsidRPr="008A717A">
        <w:rPr>
          <w:rFonts w:ascii="Times New Roman" w:hAnsi="Times New Roman" w:cs="Times New Roman"/>
          <w:sz w:val="21"/>
          <w:szCs w:val="21"/>
        </w:rPr>
        <w:t>Тимчасова міграція працівників середньої кваліфік</w:t>
      </w:r>
      <w:r>
        <w:rPr>
          <w:rFonts w:ascii="Times New Roman" w:hAnsi="Times New Roman" w:cs="Times New Roman"/>
          <w:sz w:val="21"/>
          <w:szCs w:val="21"/>
        </w:rPr>
        <w:t>а</w:t>
      </w:r>
      <w:r w:rsidRPr="008A717A">
        <w:rPr>
          <w:rFonts w:ascii="Times New Roman" w:hAnsi="Times New Roman" w:cs="Times New Roman"/>
          <w:sz w:val="21"/>
          <w:szCs w:val="21"/>
        </w:rPr>
        <w:t xml:space="preserve">ції та низькокваліфіковних працівників забезпечує задоволення поточної потреби ринку праці країн призначення (рис. </w:t>
      </w:r>
      <w:r>
        <w:rPr>
          <w:rFonts w:ascii="Times New Roman" w:hAnsi="Times New Roman" w:cs="Times New Roman"/>
          <w:sz w:val="21"/>
          <w:szCs w:val="21"/>
        </w:rPr>
        <w:t>4.7</w:t>
      </w:r>
      <w:r w:rsidRPr="008A717A">
        <w:rPr>
          <w:rFonts w:ascii="Times New Roman" w:hAnsi="Times New Roman" w:cs="Times New Roman"/>
          <w:sz w:val="21"/>
          <w:szCs w:val="21"/>
        </w:rPr>
        <w:t>).</w:t>
      </w:r>
    </w:p>
    <w:p w:rsidR="00B233DE" w:rsidRPr="008A717A" w:rsidRDefault="00B233DE" w:rsidP="00B233DE">
      <w:pPr>
        <w:tabs>
          <w:tab w:val="left" w:pos="1260"/>
        </w:tabs>
        <w:ind w:firstLine="709"/>
        <w:jc w:val="both"/>
        <w:rPr>
          <w:rFonts w:ascii="Times New Roman" w:hAnsi="Times New Roman" w:cs="Times New Roman"/>
          <w:sz w:val="21"/>
          <w:szCs w:val="21"/>
        </w:rPr>
      </w:pPr>
    </w:p>
    <w:p w:rsidR="00B233DE" w:rsidRPr="008A717A" w:rsidRDefault="00B233DE" w:rsidP="00B233DE">
      <w:pPr>
        <w:spacing w:line="360" w:lineRule="auto"/>
        <w:ind w:firstLine="0"/>
        <w:jc w:val="both"/>
        <w:rPr>
          <w:rFonts w:ascii="Times New Roman" w:hAnsi="Times New Roman" w:cs="Times New Roman"/>
          <w:sz w:val="21"/>
          <w:szCs w:val="21"/>
        </w:rPr>
      </w:pPr>
      <w:r w:rsidRPr="008A717A">
        <w:rPr>
          <w:rFonts w:ascii="Times New Roman" w:hAnsi="Times New Roman" w:cs="Times New Roman"/>
          <w:noProof/>
          <w:sz w:val="21"/>
          <w:szCs w:val="21"/>
          <w:lang w:val="ru-RU" w:eastAsia="ru-RU"/>
        </w:rPr>
        <mc:AlternateContent>
          <mc:Choice Requires="wpg">
            <w:drawing>
              <wp:inline distT="0" distB="0" distL="0" distR="0" wp14:anchorId="77E6DE52" wp14:editId="6EEBD6AA">
                <wp:extent cx="3900805" cy="3412490"/>
                <wp:effectExtent l="19050" t="0" r="23495" b="0"/>
                <wp:docPr id="1056" name="Group 5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00805" cy="3412490"/>
                          <a:chOff x="1858" y="1877"/>
                          <a:chExt cx="7483" cy="5156"/>
                        </a:xfrm>
                      </wpg:grpSpPr>
                      <wps:wsp>
                        <wps:cNvPr id="1057" name="Text Box 564"/>
                        <wps:cNvSpPr txBox="1">
                          <a:spLocks noChangeArrowheads="1"/>
                        </wps:cNvSpPr>
                        <wps:spPr bwMode="auto">
                          <a:xfrm>
                            <a:off x="1858" y="3271"/>
                            <a:ext cx="988" cy="278"/>
                          </a:xfrm>
                          <a:prstGeom prst="rect">
                            <a:avLst/>
                          </a:prstGeom>
                          <a:solidFill>
                            <a:srgbClr val="FFFFFF"/>
                          </a:solidFill>
                          <a:ln w="9525">
                            <a:solidFill>
                              <a:srgbClr val="000000"/>
                            </a:solidFill>
                            <a:miter lim="800000"/>
                            <a:headEnd/>
                            <a:tailEnd/>
                          </a:ln>
                        </wps:spPr>
                        <wps:txbx>
                          <w:txbxContent>
                            <w:p w:rsidR="00BE40F8" w:rsidRPr="00043B0D" w:rsidRDefault="00BE40F8" w:rsidP="00B233DE">
                              <w:pPr>
                                <w:ind w:firstLine="0"/>
                                <w:rPr>
                                  <w:rFonts w:ascii="Times New Roman" w:hAnsi="Times New Roman" w:cs="Times New Roman"/>
                                  <w:sz w:val="14"/>
                                  <w:szCs w:val="14"/>
                                </w:rPr>
                              </w:pPr>
                              <w:r w:rsidRPr="00043B0D">
                                <w:rPr>
                                  <w:rFonts w:ascii="Times New Roman" w:hAnsi="Times New Roman" w:cs="Times New Roman"/>
                                  <w:sz w:val="14"/>
                                  <w:szCs w:val="14"/>
                                </w:rPr>
                                <w:t>Тимчасова</w:t>
                              </w:r>
                            </w:p>
                          </w:txbxContent>
                        </wps:txbx>
                        <wps:bodyPr rot="0" vert="horz" wrap="square" lIns="0" tIns="0" rIns="0" bIns="0" anchor="ctr" anchorCtr="0" upright="1">
                          <a:noAutofit/>
                        </wps:bodyPr>
                      </wps:wsp>
                      <wps:wsp>
                        <wps:cNvPr id="1058" name="Text Box 565"/>
                        <wps:cNvSpPr txBox="1">
                          <a:spLocks noChangeArrowheads="1"/>
                        </wps:cNvSpPr>
                        <wps:spPr bwMode="auto">
                          <a:xfrm>
                            <a:off x="1858" y="3828"/>
                            <a:ext cx="988" cy="278"/>
                          </a:xfrm>
                          <a:prstGeom prst="rect">
                            <a:avLst/>
                          </a:prstGeom>
                          <a:solidFill>
                            <a:srgbClr val="FFFFFF"/>
                          </a:solidFill>
                          <a:ln w="9525">
                            <a:solidFill>
                              <a:srgbClr val="000000"/>
                            </a:solidFill>
                            <a:miter lim="800000"/>
                            <a:headEnd/>
                            <a:tailEnd/>
                          </a:ln>
                        </wps:spPr>
                        <wps:txbx>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Циклічна</w:t>
                              </w:r>
                            </w:p>
                          </w:txbxContent>
                        </wps:txbx>
                        <wps:bodyPr rot="0" vert="horz" wrap="square" lIns="0" tIns="0" rIns="0" bIns="0" anchor="ctr" anchorCtr="0" upright="1">
                          <a:noAutofit/>
                        </wps:bodyPr>
                      </wps:wsp>
                      <wps:wsp>
                        <wps:cNvPr id="1059" name="Text Box 566"/>
                        <wps:cNvSpPr txBox="1">
                          <a:spLocks noChangeArrowheads="1"/>
                        </wps:cNvSpPr>
                        <wps:spPr bwMode="auto">
                          <a:xfrm>
                            <a:off x="1858" y="2435"/>
                            <a:ext cx="988" cy="418"/>
                          </a:xfrm>
                          <a:prstGeom prst="rect">
                            <a:avLst/>
                          </a:prstGeom>
                          <a:solidFill>
                            <a:srgbClr val="FFFFFF"/>
                          </a:solidFill>
                          <a:ln w="9525">
                            <a:solidFill>
                              <a:srgbClr val="000000"/>
                            </a:solidFill>
                            <a:miter lim="800000"/>
                            <a:headEnd/>
                            <a:tailEnd/>
                          </a:ln>
                        </wps:spPr>
                        <wps:txbx>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Постійна</w:t>
                              </w:r>
                            </w:p>
                          </w:txbxContent>
                        </wps:txbx>
                        <wps:bodyPr rot="0" vert="horz" wrap="square" lIns="0" tIns="0" rIns="0" bIns="0" anchor="ctr" anchorCtr="0" upright="1">
                          <a:noAutofit/>
                        </wps:bodyPr>
                      </wps:wsp>
                      <wps:wsp>
                        <wps:cNvPr id="1060" name="Text Box 567"/>
                        <wps:cNvSpPr txBox="1">
                          <a:spLocks noChangeArrowheads="1"/>
                        </wps:cNvSpPr>
                        <wps:spPr bwMode="auto">
                          <a:xfrm>
                            <a:off x="1858" y="1877"/>
                            <a:ext cx="2682" cy="418"/>
                          </a:xfrm>
                          <a:prstGeom prst="rect">
                            <a:avLst/>
                          </a:prstGeom>
                          <a:solidFill>
                            <a:srgbClr val="FFFFFF"/>
                          </a:solidFill>
                          <a:ln w="9525">
                            <a:solidFill>
                              <a:srgbClr val="000000"/>
                            </a:solidFill>
                            <a:miter lim="800000"/>
                            <a:headEnd/>
                            <a:tailEnd/>
                          </a:ln>
                        </wps:spPr>
                        <wps:txbx>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Види міграції</w:t>
                              </w:r>
                            </w:p>
                          </w:txbxContent>
                        </wps:txbx>
                        <wps:bodyPr rot="0" vert="horz" wrap="square" lIns="91440" tIns="45720" rIns="91440" bIns="45720" anchor="t" anchorCtr="0" upright="1">
                          <a:noAutofit/>
                        </wps:bodyPr>
                      </wps:wsp>
                      <wps:wsp>
                        <wps:cNvPr id="1061" name="Text Box 568"/>
                        <wps:cNvSpPr txBox="1">
                          <a:spLocks noChangeArrowheads="1"/>
                        </wps:cNvSpPr>
                        <wps:spPr bwMode="auto">
                          <a:xfrm>
                            <a:off x="6375" y="1877"/>
                            <a:ext cx="2966" cy="418"/>
                          </a:xfrm>
                          <a:prstGeom prst="rect">
                            <a:avLst/>
                          </a:prstGeom>
                          <a:solidFill>
                            <a:srgbClr val="FFFFFF"/>
                          </a:solidFill>
                          <a:ln w="9525">
                            <a:solidFill>
                              <a:srgbClr val="000000"/>
                            </a:solidFill>
                            <a:miter lim="800000"/>
                            <a:headEnd/>
                            <a:tailEnd/>
                          </a:ln>
                        </wps:spPr>
                        <wps:txbx>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Ефект від міграційного перерозподілу ЛП</w:t>
                              </w:r>
                            </w:p>
                          </w:txbxContent>
                        </wps:txbx>
                        <wps:bodyPr rot="0" vert="horz" wrap="square" lIns="0" tIns="0" rIns="0" bIns="0" anchor="ctr" anchorCtr="0" upright="1">
                          <a:noAutofit/>
                        </wps:bodyPr>
                      </wps:wsp>
                      <wps:wsp>
                        <wps:cNvPr id="1062" name="Text Box 569"/>
                        <wps:cNvSpPr txBox="1">
                          <a:spLocks noChangeArrowheads="1"/>
                        </wps:cNvSpPr>
                        <wps:spPr bwMode="auto">
                          <a:xfrm>
                            <a:off x="6376" y="2435"/>
                            <a:ext cx="2964" cy="556"/>
                          </a:xfrm>
                          <a:prstGeom prst="rect">
                            <a:avLst/>
                          </a:prstGeom>
                          <a:solidFill>
                            <a:srgbClr val="FFFFFF"/>
                          </a:solidFill>
                          <a:ln w="9525">
                            <a:solidFill>
                              <a:srgbClr val="000000"/>
                            </a:solidFill>
                            <a:miter lim="800000"/>
                            <a:headEnd/>
                            <a:tailEnd/>
                          </a:ln>
                        </wps:spPr>
                        <wps:txbx>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Кількісне задоволення в людському потенціалі країн призначення</w:t>
                              </w:r>
                            </w:p>
                          </w:txbxContent>
                        </wps:txbx>
                        <wps:bodyPr rot="0" vert="horz" wrap="square" lIns="0" tIns="0" rIns="0" bIns="0" anchor="ctr" anchorCtr="0" upright="1">
                          <a:noAutofit/>
                        </wps:bodyPr>
                      </wps:wsp>
                      <wps:wsp>
                        <wps:cNvPr id="1063" name="Text Box 570"/>
                        <wps:cNvSpPr txBox="1">
                          <a:spLocks noChangeArrowheads="1"/>
                        </wps:cNvSpPr>
                        <wps:spPr bwMode="auto">
                          <a:xfrm>
                            <a:off x="6376" y="3132"/>
                            <a:ext cx="2962" cy="555"/>
                          </a:xfrm>
                          <a:prstGeom prst="rect">
                            <a:avLst/>
                          </a:prstGeom>
                          <a:solidFill>
                            <a:srgbClr val="FFFFFF"/>
                          </a:solidFill>
                          <a:ln w="9525">
                            <a:solidFill>
                              <a:srgbClr val="000000"/>
                            </a:solidFill>
                            <a:miter lim="800000"/>
                            <a:headEnd/>
                            <a:tailEnd/>
                          </a:ln>
                        </wps:spPr>
                        <wps:txbx>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Задоволення поточної потреби ринку праці</w:t>
                              </w:r>
                            </w:p>
                          </w:txbxContent>
                        </wps:txbx>
                        <wps:bodyPr rot="0" vert="horz" wrap="square" lIns="91440" tIns="45720" rIns="91440" bIns="45720" anchor="t" anchorCtr="0" upright="1">
                          <a:noAutofit/>
                        </wps:bodyPr>
                      </wps:wsp>
                      <wps:wsp>
                        <wps:cNvPr id="1207" name="Text Box 571"/>
                        <wps:cNvSpPr txBox="1">
                          <a:spLocks noChangeArrowheads="1"/>
                        </wps:cNvSpPr>
                        <wps:spPr bwMode="auto">
                          <a:xfrm>
                            <a:off x="6376" y="3828"/>
                            <a:ext cx="2961" cy="555"/>
                          </a:xfrm>
                          <a:prstGeom prst="rect">
                            <a:avLst/>
                          </a:prstGeom>
                          <a:solidFill>
                            <a:srgbClr val="FFFFFF"/>
                          </a:solidFill>
                          <a:ln w="9525">
                            <a:solidFill>
                              <a:srgbClr val="000000"/>
                            </a:solidFill>
                            <a:miter lim="800000"/>
                            <a:headEnd/>
                            <a:tailEnd/>
                          </a:ln>
                        </wps:spPr>
                        <wps:txbx>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Якісне підвищення ЛП країн походження і призначення</w:t>
                              </w:r>
                            </w:p>
                          </w:txbxContent>
                        </wps:txbx>
                        <wps:bodyPr rot="0" vert="horz" wrap="square" lIns="91440" tIns="45720" rIns="91440" bIns="45720" anchor="t" anchorCtr="0" upright="1">
                          <a:noAutofit/>
                        </wps:bodyPr>
                      </wps:wsp>
                      <wps:wsp>
                        <wps:cNvPr id="1208" name="Text Box 572"/>
                        <wps:cNvSpPr txBox="1">
                          <a:spLocks noChangeArrowheads="1"/>
                        </wps:cNvSpPr>
                        <wps:spPr bwMode="auto">
                          <a:xfrm>
                            <a:off x="4681" y="1877"/>
                            <a:ext cx="1553" cy="418"/>
                          </a:xfrm>
                          <a:prstGeom prst="rect">
                            <a:avLst/>
                          </a:prstGeom>
                          <a:solidFill>
                            <a:srgbClr val="FFFFFF"/>
                          </a:solidFill>
                          <a:ln w="9525">
                            <a:solidFill>
                              <a:srgbClr val="000000"/>
                            </a:solidFill>
                            <a:miter lim="800000"/>
                            <a:headEnd/>
                            <a:tailEnd/>
                          </a:ln>
                        </wps:spPr>
                        <wps:txbx>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Складові ЛП</w:t>
                              </w:r>
                            </w:p>
                          </w:txbxContent>
                        </wps:txbx>
                        <wps:bodyPr rot="0" vert="horz" wrap="square" lIns="91440" tIns="45720" rIns="91440" bIns="45720" anchor="t" anchorCtr="0" upright="1">
                          <a:noAutofit/>
                        </wps:bodyPr>
                      </wps:wsp>
                      <wps:wsp>
                        <wps:cNvPr id="1209" name="Text Box 573"/>
                        <wps:cNvSpPr txBox="1">
                          <a:spLocks noChangeArrowheads="1"/>
                        </wps:cNvSpPr>
                        <wps:spPr bwMode="auto">
                          <a:xfrm>
                            <a:off x="2987" y="2435"/>
                            <a:ext cx="1553" cy="418"/>
                          </a:xfrm>
                          <a:prstGeom prst="rect">
                            <a:avLst/>
                          </a:prstGeom>
                          <a:solidFill>
                            <a:srgbClr val="FFFFFF"/>
                          </a:solidFill>
                          <a:ln w="9525">
                            <a:solidFill>
                              <a:srgbClr val="000000"/>
                            </a:solidFill>
                            <a:miter lim="800000"/>
                            <a:headEnd/>
                            <a:tailEnd/>
                          </a:ln>
                        </wps:spPr>
                        <wps:txbx>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Низькокваліфікова</w:t>
                              </w:r>
                              <w:r>
                                <w:rPr>
                                  <w:rFonts w:ascii="Times New Roman" w:hAnsi="Times New Roman" w:cs="Times New Roman"/>
                                  <w:sz w:val="14"/>
                                  <w:szCs w:val="14"/>
                                </w:rPr>
                                <w:t>-</w:t>
                              </w:r>
                              <w:r w:rsidRPr="00043B0D">
                                <w:rPr>
                                  <w:rFonts w:ascii="Times New Roman" w:hAnsi="Times New Roman" w:cs="Times New Roman"/>
                                  <w:sz w:val="14"/>
                                  <w:szCs w:val="14"/>
                                </w:rPr>
                                <w:t>них працівників</w:t>
                              </w:r>
                            </w:p>
                          </w:txbxContent>
                        </wps:txbx>
                        <wps:bodyPr rot="0" vert="horz" wrap="square" lIns="0" tIns="0" rIns="0" bIns="0" anchor="ctr" anchorCtr="0" upright="1">
                          <a:noAutofit/>
                        </wps:bodyPr>
                      </wps:wsp>
                      <wps:wsp>
                        <wps:cNvPr id="1210" name="Text Box 574"/>
                        <wps:cNvSpPr txBox="1">
                          <a:spLocks noChangeArrowheads="1"/>
                        </wps:cNvSpPr>
                        <wps:spPr bwMode="auto">
                          <a:xfrm>
                            <a:off x="2987" y="3271"/>
                            <a:ext cx="1553" cy="418"/>
                          </a:xfrm>
                          <a:prstGeom prst="rect">
                            <a:avLst/>
                          </a:prstGeom>
                          <a:solidFill>
                            <a:srgbClr val="FFFFFF"/>
                          </a:solidFill>
                          <a:ln w="9525">
                            <a:solidFill>
                              <a:srgbClr val="000000"/>
                            </a:solidFill>
                            <a:miter lim="800000"/>
                            <a:headEnd/>
                            <a:tailEnd/>
                          </a:ln>
                        </wps:spPr>
                        <wps:txbx>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Працівників серед</w:t>
                              </w:r>
                              <w:r>
                                <w:rPr>
                                  <w:rFonts w:ascii="Times New Roman" w:hAnsi="Times New Roman" w:cs="Times New Roman"/>
                                  <w:sz w:val="14"/>
                                  <w:szCs w:val="14"/>
                                </w:rPr>
                                <w:t>-</w:t>
                              </w:r>
                              <w:r w:rsidRPr="00043B0D">
                                <w:rPr>
                                  <w:rFonts w:ascii="Times New Roman" w:hAnsi="Times New Roman" w:cs="Times New Roman"/>
                                  <w:sz w:val="14"/>
                                  <w:szCs w:val="14"/>
                                </w:rPr>
                                <w:t>ньої кваліфікації</w:t>
                              </w:r>
                            </w:p>
                          </w:txbxContent>
                        </wps:txbx>
                        <wps:bodyPr rot="0" vert="horz" wrap="square" lIns="0" tIns="0" rIns="0" bIns="0" anchor="ctr" anchorCtr="0" upright="1">
                          <a:noAutofit/>
                        </wps:bodyPr>
                      </wps:wsp>
                      <wps:wsp>
                        <wps:cNvPr id="1211" name="Text Box 575"/>
                        <wps:cNvSpPr txBox="1">
                          <a:spLocks noChangeArrowheads="1"/>
                        </wps:cNvSpPr>
                        <wps:spPr bwMode="auto">
                          <a:xfrm>
                            <a:off x="2987" y="3968"/>
                            <a:ext cx="1553" cy="418"/>
                          </a:xfrm>
                          <a:prstGeom prst="rect">
                            <a:avLst/>
                          </a:prstGeom>
                          <a:solidFill>
                            <a:srgbClr val="FFFFFF"/>
                          </a:solidFill>
                          <a:ln w="9525">
                            <a:solidFill>
                              <a:srgbClr val="000000"/>
                            </a:solidFill>
                            <a:miter lim="800000"/>
                            <a:headEnd/>
                            <a:tailEnd/>
                          </a:ln>
                        </wps:spPr>
                        <wps:txbx>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Висококваліфікова</w:t>
                              </w:r>
                              <w:r>
                                <w:rPr>
                                  <w:rFonts w:ascii="Times New Roman" w:hAnsi="Times New Roman" w:cs="Times New Roman"/>
                                  <w:sz w:val="14"/>
                                  <w:szCs w:val="14"/>
                                </w:rPr>
                                <w:t>-</w:t>
                              </w:r>
                              <w:r w:rsidRPr="00043B0D">
                                <w:rPr>
                                  <w:rFonts w:ascii="Times New Roman" w:hAnsi="Times New Roman" w:cs="Times New Roman"/>
                                  <w:sz w:val="14"/>
                                  <w:szCs w:val="14"/>
                                </w:rPr>
                                <w:t>них працівників</w:t>
                              </w:r>
                            </w:p>
                          </w:txbxContent>
                        </wps:txbx>
                        <wps:bodyPr rot="0" vert="horz" wrap="square" lIns="0" tIns="0" rIns="0" bIns="0" anchor="ctr" anchorCtr="0" upright="1">
                          <a:noAutofit/>
                        </wps:bodyPr>
                      </wps:wsp>
                      <wps:wsp>
                        <wps:cNvPr id="1212" name="Text Box 576"/>
                        <wps:cNvSpPr txBox="1">
                          <a:spLocks noChangeArrowheads="1"/>
                        </wps:cNvSpPr>
                        <wps:spPr bwMode="auto">
                          <a:xfrm>
                            <a:off x="4681" y="2435"/>
                            <a:ext cx="1553" cy="418"/>
                          </a:xfrm>
                          <a:prstGeom prst="rect">
                            <a:avLst/>
                          </a:prstGeom>
                          <a:solidFill>
                            <a:srgbClr val="FFFFFF"/>
                          </a:solidFill>
                          <a:ln w="9525">
                            <a:solidFill>
                              <a:srgbClr val="000000"/>
                            </a:solidFill>
                            <a:miter lim="800000"/>
                            <a:headEnd/>
                            <a:tailEnd/>
                          </a:ln>
                        </wps:spPr>
                        <wps:txbx>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Демографічна</w:t>
                              </w:r>
                              <w:r>
                                <w:rPr>
                                  <w:rFonts w:ascii="Times New Roman" w:hAnsi="Times New Roman" w:cs="Times New Roman"/>
                                  <w:sz w:val="14"/>
                                  <w:szCs w:val="14"/>
                                </w:rPr>
                                <w:t xml:space="preserve"> </w:t>
                              </w:r>
                            </w:p>
                          </w:txbxContent>
                        </wps:txbx>
                        <wps:bodyPr rot="0" vert="horz" wrap="square" lIns="91440" tIns="45720" rIns="91440" bIns="45720" anchor="t" anchorCtr="0" upright="1">
                          <a:noAutofit/>
                        </wps:bodyPr>
                      </wps:wsp>
                      <wps:wsp>
                        <wps:cNvPr id="1213" name="Text Box 577"/>
                        <wps:cNvSpPr txBox="1">
                          <a:spLocks noChangeArrowheads="1"/>
                        </wps:cNvSpPr>
                        <wps:spPr bwMode="auto">
                          <a:xfrm>
                            <a:off x="4681" y="3410"/>
                            <a:ext cx="1557" cy="558"/>
                          </a:xfrm>
                          <a:prstGeom prst="rect">
                            <a:avLst/>
                          </a:prstGeom>
                          <a:solidFill>
                            <a:srgbClr val="FFFFFF"/>
                          </a:solidFill>
                          <a:ln w="9525">
                            <a:solidFill>
                              <a:srgbClr val="000000"/>
                            </a:solidFill>
                            <a:miter lim="800000"/>
                            <a:headEnd/>
                            <a:tailEnd/>
                          </a:ln>
                        </wps:spPr>
                        <wps:txbx>
                          <w:txbxContent>
                            <w:p w:rsidR="00BE40F8" w:rsidRPr="00043B0D" w:rsidRDefault="00BE40F8" w:rsidP="00B233DE">
                              <w:pPr>
                                <w:ind w:firstLine="0"/>
                                <w:jc w:val="center"/>
                                <w:rPr>
                                  <w:rFonts w:ascii="Times New Roman" w:hAnsi="Times New Roman" w:cs="Times New Roman"/>
                                  <w:sz w:val="14"/>
                                  <w:szCs w:val="14"/>
                                </w:rPr>
                              </w:pPr>
                              <w:r>
                                <w:rPr>
                                  <w:rFonts w:ascii="Times New Roman" w:hAnsi="Times New Roman" w:cs="Times New Roman"/>
                                  <w:sz w:val="14"/>
                                  <w:szCs w:val="14"/>
                                </w:rPr>
                                <w:t>О</w:t>
                              </w:r>
                              <w:r w:rsidRPr="00043B0D">
                                <w:rPr>
                                  <w:rFonts w:ascii="Times New Roman" w:hAnsi="Times New Roman" w:cs="Times New Roman"/>
                                  <w:sz w:val="14"/>
                                  <w:szCs w:val="14"/>
                                </w:rPr>
                                <w:t>світньо-кваліфікаційна</w:t>
                              </w:r>
                              <w:r>
                                <w:rPr>
                                  <w:rFonts w:ascii="Times New Roman" w:hAnsi="Times New Roman" w:cs="Times New Roman"/>
                                  <w:sz w:val="14"/>
                                  <w:szCs w:val="14"/>
                                </w:rPr>
                                <w:t xml:space="preserve"> </w:t>
                              </w:r>
                            </w:p>
                          </w:txbxContent>
                        </wps:txbx>
                        <wps:bodyPr rot="0" vert="horz" wrap="square" lIns="91440" tIns="45720" rIns="91440" bIns="45720" anchor="t" anchorCtr="0" upright="1">
                          <a:noAutofit/>
                        </wps:bodyPr>
                      </wps:wsp>
                      <wps:wsp>
                        <wps:cNvPr id="1214" name="AutoShape 578"/>
                        <wps:cNvCnPr/>
                        <wps:spPr bwMode="auto">
                          <a:xfrm>
                            <a:off x="2846" y="2644"/>
                            <a:ext cx="141" cy="1"/>
                          </a:xfrm>
                          <a:prstGeom prst="straightConnector1">
                            <a:avLst/>
                          </a:prstGeom>
                          <a:noFill/>
                          <a:ln w="41275">
                            <a:solidFill>
                              <a:srgbClr val="000000"/>
                            </a:solidFill>
                            <a:round/>
                            <a:headEnd/>
                            <a:tailEnd type="triangle" w="sm" len="sm"/>
                          </a:ln>
                          <a:extLst>
                            <a:ext uri="{909E8E84-426E-40DD-AFC4-6F175D3DCCD1}">
                              <a14:hiddenFill xmlns:a14="http://schemas.microsoft.com/office/drawing/2010/main">
                                <a:noFill/>
                              </a14:hiddenFill>
                            </a:ext>
                          </a:extLst>
                        </wps:spPr>
                        <wps:bodyPr/>
                      </wps:wsp>
                      <wps:wsp>
                        <wps:cNvPr id="1215" name="AutoShape 579"/>
                        <wps:cNvCnPr/>
                        <wps:spPr bwMode="auto">
                          <a:xfrm>
                            <a:off x="4540" y="2644"/>
                            <a:ext cx="141" cy="1"/>
                          </a:xfrm>
                          <a:prstGeom prst="straightConnector1">
                            <a:avLst/>
                          </a:prstGeom>
                          <a:noFill/>
                          <a:ln w="41275">
                            <a:solidFill>
                              <a:srgbClr val="000000"/>
                            </a:solidFill>
                            <a:round/>
                            <a:headEnd/>
                            <a:tailEnd type="triangle" w="sm" len="sm"/>
                          </a:ln>
                          <a:extLst>
                            <a:ext uri="{909E8E84-426E-40DD-AFC4-6F175D3DCCD1}">
                              <a14:hiddenFill xmlns:a14="http://schemas.microsoft.com/office/drawing/2010/main">
                                <a:noFill/>
                              </a14:hiddenFill>
                            </a:ext>
                          </a:extLst>
                        </wps:spPr>
                        <wps:bodyPr/>
                      </wps:wsp>
                      <wps:wsp>
                        <wps:cNvPr id="918" name="AutoShape 580"/>
                        <wps:cNvCnPr/>
                        <wps:spPr bwMode="auto">
                          <a:xfrm>
                            <a:off x="6234" y="2644"/>
                            <a:ext cx="142" cy="69"/>
                          </a:xfrm>
                          <a:prstGeom prst="bentConnector3">
                            <a:avLst>
                              <a:gd name="adj1" fmla="val 49722"/>
                            </a:avLst>
                          </a:prstGeom>
                          <a:noFill/>
                          <a:ln w="4127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919" name="AutoShape 581"/>
                        <wps:cNvCnPr/>
                        <wps:spPr bwMode="auto">
                          <a:xfrm flipV="1">
                            <a:off x="2846" y="2644"/>
                            <a:ext cx="141" cy="766"/>
                          </a:xfrm>
                          <a:prstGeom prst="bentConnector3">
                            <a:avLst>
                              <a:gd name="adj1" fmla="val 49444"/>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920" name="AutoShape 582"/>
                        <wps:cNvCnPr/>
                        <wps:spPr bwMode="auto">
                          <a:xfrm flipV="1">
                            <a:off x="6238" y="3410"/>
                            <a:ext cx="138" cy="280"/>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921" name="AutoShape 583"/>
                        <wps:cNvCnPr/>
                        <wps:spPr bwMode="auto">
                          <a:xfrm rot="16200000" flipH="1">
                            <a:off x="2849" y="2356"/>
                            <a:ext cx="418" cy="1412"/>
                          </a:xfrm>
                          <a:prstGeom prst="bentConnector3">
                            <a:avLst>
                              <a:gd name="adj1" fmla="val 50000"/>
                            </a:avLst>
                          </a:prstGeom>
                          <a:noFill/>
                          <a:ln w="31750">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922" name="AutoShape 584"/>
                        <wps:cNvCnPr/>
                        <wps:spPr bwMode="auto">
                          <a:xfrm rot="16200000">
                            <a:off x="4402" y="2215"/>
                            <a:ext cx="418" cy="1694"/>
                          </a:xfrm>
                          <a:prstGeom prst="bentConnector3">
                            <a:avLst>
                              <a:gd name="adj1" fmla="val 50000"/>
                            </a:avLst>
                          </a:prstGeom>
                          <a:noFill/>
                          <a:ln w="31750">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923" name="AutoShape 585"/>
                        <wps:cNvCnPr/>
                        <wps:spPr bwMode="auto">
                          <a:xfrm>
                            <a:off x="4540" y="2644"/>
                            <a:ext cx="141" cy="1045"/>
                          </a:xfrm>
                          <a:prstGeom prst="bentConnector3">
                            <a:avLst>
                              <a:gd name="adj1" fmla="val 4972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924" name="AutoShape 586"/>
                        <wps:cNvCnPr/>
                        <wps:spPr bwMode="auto">
                          <a:xfrm>
                            <a:off x="4540" y="3480"/>
                            <a:ext cx="1836" cy="625"/>
                          </a:xfrm>
                          <a:prstGeom prst="bentConnector3">
                            <a:avLst>
                              <a:gd name="adj1" fmla="val 1921"/>
                            </a:avLst>
                          </a:prstGeom>
                          <a:noFill/>
                          <a:ln w="31750">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925" name="AutoShape 587"/>
                        <wps:cNvCnPr/>
                        <wps:spPr bwMode="auto">
                          <a:xfrm>
                            <a:off x="2846" y="3410"/>
                            <a:ext cx="141" cy="70"/>
                          </a:xfrm>
                          <a:prstGeom prst="bentConnector3">
                            <a:avLst>
                              <a:gd name="adj1" fmla="val 49444"/>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926" name="AutoShape 588"/>
                        <wps:cNvCnPr/>
                        <wps:spPr bwMode="auto">
                          <a:xfrm>
                            <a:off x="2846" y="3410"/>
                            <a:ext cx="141" cy="767"/>
                          </a:xfrm>
                          <a:prstGeom prst="bentConnector3">
                            <a:avLst>
                              <a:gd name="adj1" fmla="val 49444"/>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927" name="AutoShape 589"/>
                        <wps:cNvCnPr/>
                        <wps:spPr bwMode="auto">
                          <a:xfrm flipV="1">
                            <a:off x="4540" y="3968"/>
                            <a:ext cx="919" cy="209"/>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216" name="AutoShape 590"/>
                        <wps:cNvCnPr/>
                        <wps:spPr bwMode="auto">
                          <a:xfrm>
                            <a:off x="6238" y="3690"/>
                            <a:ext cx="138" cy="416"/>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217" name="AutoShape 591"/>
                        <wps:cNvCnPr/>
                        <wps:spPr bwMode="auto">
                          <a:xfrm flipV="1">
                            <a:off x="2846" y="2435"/>
                            <a:ext cx="918" cy="1533"/>
                          </a:xfrm>
                          <a:prstGeom prst="bentConnector4">
                            <a:avLst>
                              <a:gd name="adj1" fmla="val 3245"/>
                              <a:gd name="adj2" fmla="val 106815"/>
                            </a:avLst>
                          </a:prstGeom>
                          <a:noFill/>
                          <a:ln w="9525">
                            <a:solidFill>
                              <a:srgbClr val="000000"/>
                            </a:solidFill>
                            <a:prstDash val="dash"/>
                            <a:miter lim="800000"/>
                            <a:headEnd/>
                            <a:tailEnd type="triangle" w="med" len="med"/>
                          </a:ln>
                          <a:extLst>
                            <a:ext uri="{909E8E84-426E-40DD-AFC4-6F175D3DCCD1}">
                              <a14:hiddenFill xmlns:a14="http://schemas.microsoft.com/office/drawing/2010/main">
                                <a:noFill/>
                              </a14:hiddenFill>
                            </a:ext>
                          </a:extLst>
                        </wps:spPr>
                        <wps:bodyPr/>
                      </wps:wsp>
                      <wpg:grpSp>
                        <wpg:cNvPr id="1218" name="Group 592"/>
                        <wpg:cNvGrpSpPr>
                          <a:grpSpLocks/>
                        </wpg:cNvGrpSpPr>
                        <wpg:grpSpPr bwMode="auto">
                          <a:xfrm>
                            <a:off x="2352" y="3689"/>
                            <a:ext cx="1412" cy="697"/>
                            <a:chOff x="2352" y="3689"/>
                            <a:chExt cx="1412" cy="697"/>
                          </a:xfrm>
                        </wpg:grpSpPr>
                        <wps:wsp>
                          <wps:cNvPr id="1219" name="AutoShape 593"/>
                          <wps:cNvCnPr/>
                          <wps:spPr bwMode="auto">
                            <a:xfrm rot="16200000">
                              <a:off x="2988" y="3053"/>
                              <a:ext cx="139" cy="1412"/>
                            </a:xfrm>
                            <a:prstGeom prst="bentConnector3">
                              <a:avLst>
                                <a:gd name="adj1" fmla="val 50000"/>
                              </a:avLst>
                            </a:prstGeom>
                            <a:noFill/>
                            <a:ln w="9525">
                              <a:solidFill>
                                <a:srgbClr val="000000"/>
                              </a:solidFill>
                              <a:prstDash val="dash"/>
                              <a:miter lim="800000"/>
                              <a:headEnd/>
                              <a:tailEnd type="triangle" w="med" len="med"/>
                            </a:ln>
                            <a:extLst>
                              <a:ext uri="{909E8E84-426E-40DD-AFC4-6F175D3DCCD1}">
                                <a14:hiddenFill xmlns:a14="http://schemas.microsoft.com/office/drawing/2010/main">
                                  <a:noFill/>
                                </a14:hiddenFill>
                              </a:ext>
                            </a:extLst>
                          </wps:spPr>
                          <wps:bodyPr/>
                        </wps:wsp>
                        <wps:wsp>
                          <wps:cNvPr id="1220" name="AutoShape 594"/>
                          <wps:cNvCnPr/>
                          <wps:spPr bwMode="auto">
                            <a:xfrm rot="16200000" flipH="1">
                              <a:off x="2918" y="3540"/>
                              <a:ext cx="280" cy="1412"/>
                            </a:xfrm>
                            <a:prstGeom prst="bentConnector3">
                              <a:avLst>
                                <a:gd name="adj1" fmla="val 157894"/>
                              </a:avLst>
                            </a:prstGeom>
                            <a:noFill/>
                            <a:ln w="9525">
                              <a:solidFill>
                                <a:srgbClr val="000000"/>
                              </a:solidFill>
                              <a:prstDash val="dash"/>
                              <a:miter lim="800000"/>
                              <a:headEnd/>
                              <a:tailEnd type="triangle" w="med" len="med"/>
                            </a:ln>
                            <a:extLst>
                              <a:ext uri="{909E8E84-426E-40DD-AFC4-6F175D3DCCD1}">
                                <a14:hiddenFill xmlns:a14="http://schemas.microsoft.com/office/drawing/2010/main">
                                  <a:noFill/>
                                </a14:hiddenFill>
                              </a:ext>
                            </a:extLst>
                          </wps:spPr>
                          <wps:bodyPr/>
                        </wps:wsp>
                      </wpg:grpSp>
                      <wps:wsp>
                        <wps:cNvPr id="1221" name="AutoShape 595"/>
                        <wps:cNvCnPr/>
                        <wps:spPr bwMode="auto">
                          <a:xfrm rot="16200000" flipH="1">
                            <a:off x="4404" y="2283"/>
                            <a:ext cx="557" cy="1697"/>
                          </a:xfrm>
                          <a:prstGeom prst="bentConnector3">
                            <a:avLst>
                              <a:gd name="adj1" fmla="val 50000"/>
                            </a:avLst>
                          </a:prstGeom>
                          <a:noFill/>
                          <a:ln w="9525">
                            <a:solidFill>
                              <a:srgbClr val="000000"/>
                            </a:solidFill>
                            <a:prstDash val="dash"/>
                            <a:miter lim="800000"/>
                            <a:headEnd/>
                            <a:tailEnd type="triangle" w="med" len="med"/>
                          </a:ln>
                          <a:extLst>
                            <a:ext uri="{909E8E84-426E-40DD-AFC4-6F175D3DCCD1}">
                              <a14:hiddenFill xmlns:a14="http://schemas.microsoft.com/office/drawing/2010/main">
                                <a:noFill/>
                              </a14:hiddenFill>
                            </a:ext>
                          </a:extLst>
                        </wps:spPr>
                        <wps:bodyPr/>
                      </wps:wsp>
                      <wps:wsp>
                        <wps:cNvPr id="1222" name="AutoShape 596"/>
                        <wps:cNvCnPr/>
                        <wps:spPr bwMode="auto">
                          <a:xfrm rot="5400000" flipH="1" flipV="1">
                            <a:off x="4403" y="3329"/>
                            <a:ext cx="418" cy="1696"/>
                          </a:xfrm>
                          <a:prstGeom prst="bentConnector3">
                            <a:avLst>
                              <a:gd name="adj1" fmla="val -39819"/>
                            </a:avLst>
                          </a:prstGeom>
                          <a:noFill/>
                          <a:ln w="9525">
                            <a:solidFill>
                              <a:srgbClr val="000000"/>
                            </a:solidFill>
                            <a:prstDash val="dash"/>
                            <a:miter lim="800000"/>
                            <a:headEnd/>
                            <a:tailEnd type="triangle" w="med" len="med"/>
                          </a:ln>
                          <a:extLst>
                            <a:ext uri="{909E8E84-426E-40DD-AFC4-6F175D3DCCD1}">
                              <a14:hiddenFill xmlns:a14="http://schemas.microsoft.com/office/drawing/2010/main">
                                <a:noFill/>
                              </a14:hiddenFill>
                            </a:ext>
                          </a:extLst>
                        </wps:spPr>
                        <wps:bodyPr/>
                      </wps:wsp>
                      <wps:wsp>
                        <wps:cNvPr id="1223" name="AutoShape 597"/>
                        <wps:cNvCnPr/>
                        <wps:spPr bwMode="auto">
                          <a:xfrm>
                            <a:off x="6238" y="3689"/>
                            <a:ext cx="1619" cy="694"/>
                          </a:xfrm>
                          <a:prstGeom prst="bentConnector4">
                            <a:avLst>
                              <a:gd name="adj1" fmla="val 1843"/>
                              <a:gd name="adj2" fmla="val 121764"/>
                            </a:avLst>
                          </a:prstGeom>
                          <a:noFill/>
                          <a:ln w="9525">
                            <a:solidFill>
                              <a:srgbClr val="000000"/>
                            </a:solidFill>
                            <a:prstDash val="dash"/>
                            <a:miter lim="800000"/>
                            <a:headEnd/>
                            <a:tailEnd type="triangle" w="med" len="med"/>
                          </a:ln>
                          <a:extLst>
                            <a:ext uri="{909E8E84-426E-40DD-AFC4-6F175D3DCCD1}">
                              <a14:hiddenFill xmlns:a14="http://schemas.microsoft.com/office/drawing/2010/main">
                                <a:noFill/>
                              </a14:hiddenFill>
                            </a:ext>
                          </a:extLst>
                        </wps:spPr>
                        <wps:bodyPr/>
                      </wps:wsp>
                      <wps:wsp>
                        <wps:cNvPr id="1224" name="Text Box 598"/>
                        <wps:cNvSpPr txBox="1">
                          <a:spLocks noChangeArrowheads="1"/>
                        </wps:cNvSpPr>
                        <wps:spPr bwMode="auto">
                          <a:xfrm>
                            <a:off x="3129" y="5222"/>
                            <a:ext cx="1694" cy="697"/>
                          </a:xfrm>
                          <a:prstGeom prst="rect">
                            <a:avLst/>
                          </a:prstGeom>
                          <a:solidFill>
                            <a:srgbClr val="FFFFFF"/>
                          </a:solidFill>
                          <a:ln w="9525">
                            <a:solidFill>
                              <a:srgbClr val="000000"/>
                            </a:solidFill>
                            <a:miter lim="800000"/>
                            <a:headEnd/>
                            <a:tailEnd/>
                          </a:ln>
                        </wps:spPr>
                        <wps:txbx>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Зростання міграційної привабливості країн</w:t>
                              </w:r>
                            </w:p>
                          </w:txbxContent>
                        </wps:txbx>
                        <wps:bodyPr rot="0" vert="horz" wrap="square" lIns="0" tIns="0" rIns="0" bIns="0" anchor="ctr" anchorCtr="0" upright="1">
                          <a:noAutofit/>
                        </wps:bodyPr>
                      </wps:wsp>
                      <wps:wsp>
                        <wps:cNvPr id="1225" name="Text Box 599"/>
                        <wps:cNvSpPr txBox="1">
                          <a:spLocks noChangeArrowheads="1"/>
                        </wps:cNvSpPr>
                        <wps:spPr bwMode="auto">
                          <a:xfrm>
                            <a:off x="5952" y="5222"/>
                            <a:ext cx="1835" cy="698"/>
                          </a:xfrm>
                          <a:prstGeom prst="rect">
                            <a:avLst/>
                          </a:prstGeom>
                          <a:solidFill>
                            <a:srgbClr val="FFFFFF"/>
                          </a:solidFill>
                          <a:ln w="9525">
                            <a:solidFill>
                              <a:srgbClr val="000000"/>
                            </a:solidFill>
                            <a:miter lim="800000"/>
                            <a:headEnd/>
                            <a:tailEnd/>
                          </a:ln>
                        </wps:spPr>
                        <wps:txbx>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Підвищення показників людського розвитку країн</w:t>
                              </w:r>
                            </w:p>
                          </w:txbxContent>
                        </wps:txbx>
                        <wps:bodyPr rot="0" vert="horz" wrap="square" lIns="0" tIns="0" rIns="0" bIns="0" anchor="ctr" anchorCtr="0" upright="1">
                          <a:noAutofit/>
                        </wps:bodyPr>
                      </wps:wsp>
                      <wps:wsp>
                        <wps:cNvPr id="1226" name="AutoShape 600"/>
                        <wps:cNvSpPr>
                          <a:spLocks noChangeArrowheads="1"/>
                        </wps:cNvSpPr>
                        <wps:spPr bwMode="auto">
                          <a:xfrm rot="16200000" flipH="1">
                            <a:off x="7797" y="4656"/>
                            <a:ext cx="1394" cy="1131"/>
                          </a:xfrm>
                          <a:custGeom>
                            <a:avLst/>
                            <a:gdLst>
                              <a:gd name="G0" fmla="+- 9257 0 0"/>
                              <a:gd name="G1" fmla="+- 18514 0 0"/>
                              <a:gd name="G2" fmla="+- 7200 0 0"/>
                              <a:gd name="G3" fmla="*/ 9257 1 2"/>
                              <a:gd name="G4" fmla="+- G3 10800 0"/>
                              <a:gd name="G5" fmla="+- 21600 9257 18514"/>
                              <a:gd name="G6" fmla="+- 18514 7200 0"/>
                              <a:gd name="G7" fmla="*/ G6 1 2"/>
                              <a:gd name="G8" fmla="*/ 18514 2 1"/>
                              <a:gd name="G9" fmla="+- G8 0 21600"/>
                              <a:gd name="G10" fmla="*/ 21600 G0 G1"/>
                              <a:gd name="G11" fmla="*/ 21600 G4 G1"/>
                              <a:gd name="G12" fmla="*/ 21600 G5 G1"/>
                              <a:gd name="G13" fmla="*/ 21600 G7 G1"/>
                              <a:gd name="G14" fmla="*/ 18514 1 2"/>
                              <a:gd name="G15" fmla="+- G5 0 G4"/>
                              <a:gd name="G16" fmla="+- G0 0 G4"/>
                              <a:gd name="G17" fmla="*/ G2 G15 G16"/>
                              <a:gd name="T0" fmla="*/ 15429 w 21600"/>
                              <a:gd name="T1" fmla="*/ 0 h 21600"/>
                              <a:gd name="T2" fmla="*/ 9257 w 21600"/>
                              <a:gd name="T3" fmla="*/ 7200 h 21600"/>
                              <a:gd name="T4" fmla="*/ 0 w 21600"/>
                              <a:gd name="T5" fmla="*/ 18001 h 21600"/>
                              <a:gd name="T6" fmla="*/ 9257 w 21600"/>
                              <a:gd name="T7" fmla="*/ 21600 h 21600"/>
                              <a:gd name="T8" fmla="*/ 18514 w 21600"/>
                              <a:gd name="T9" fmla="*/ 15000 h 21600"/>
                              <a:gd name="T10" fmla="*/ 21600 w 21600"/>
                              <a:gd name="T11" fmla="*/ 7200 h 21600"/>
                              <a:gd name="T12" fmla="*/ 17694720 60000 65536"/>
                              <a:gd name="T13" fmla="*/ 11796480 60000 65536"/>
                              <a:gd name="T14" fmla="*/ 11796480 60000 65536"/>
                              <a:gd name="T15" fmla="*/ 5898240 60000 65536"/>
                              <a:gd name="T16" fmla="*/ 0 60000 65536"/>
                              <a:gd name="T17" fmla="*/ 0 60000 65536"/>
                              <a:gd name="T18" fmla="*/ 0 w 21600"/>
                              <a:gd name="T19" fmla="*/ G12 h 21600"/>
                              <a:gd name="T20" fmla="*/ G1 w 21600"/>
                              <a:gd name="T21" fmla="*/ 21600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15429" y="0"/>
                                </a:moveTo>
                                <a:lnTo>
                                  <a:pt x="9257" y="7200"/>
                                </a:lnTo>
                                <a:lnTo>
                                  <a:pt x="12343" y="7200"/>
                                </a:lnTo>
                                <a:lnTo>
                                  <a:pt x="12343" y="14400"/>
                                </a:lnTo>
                                <a:lnTo>
                                  <a:pt x="0" y="14400"/>
                                </a:lnTo>
                                <a:lnTo>
                                  <a:pt x="0" y="21600"/>
                                </a:lnTo>
                                <a:lnTo>
                                  <a:pt x="18514" y="21600"/>
                                </a:lnTo>
                                <a:lnTo>
                                  <a:pt x="18514" y="7200"/>
                                </a:lnTo>
                                <a:lnTo>
                                  <a:pt x="21600" y="7200"/>
                                </a:lnTo>
                                <a:close/>
                              </a:path>
                            </a:pathLst>
                          </a:custGeom>
                          <a:solidFill>
                            <a:srgbClr val="F5F5F5"/>
                          </a:solidFill>
                          <a:ln w="9525">
                            <a:solidFill>
                              <a:srgbClr val="000000"/>
                            </a:solidFill>
                            <a:miter lim="800000"/>
                            <a:headEnd/>
                            <a:tailEnd/>
                          </a:ln>
                        </wps:spPr>
                        <wps:bodyPr rot="0" vert="horz" wrap="square" lIns="91440" tIns="45720" rIns="91440" bIns="45720" anchor="t" anchorCtr="0" upright="1">
                          <a:noAutofit/>
                        </wps:bodyPr>
                      </wps:wsp>
                      <wps:wsp>
                        <wps:cNvPr id="1227" name="AutoShape 601"/>
                        <wps:cNvSpPr>
                          <a:spLocks noChangeArrowheads="1"/>
                        </wps:cNvSpPr>
                        <wps:spPr bwMode="auto">
                          <a:xfrm>
                            <a:off x="4964" y="5361"/>
                            <a:ext cx="847" cy="559"/>
                          </a:xfrm>
                          <a:prstGeom prst="leftArrow">
                            <a:avLst>
                              <a:gd name="adj1" fmla="val 50000"/>
                              <a:gd name="adj2" fmla="val 37880"/>
                            </a:avLst>
                          </a:prstGeom>
                          <a:solidFill>
                            <a:srgbClr val="F5F5F5"/>
                          </a:solidFill>
                          <a:ln w="9525">
                            <a:solidFill>
                              <a:srgbClr val="000000"/>
                            </a:solidFill>
                            <a:miter lim="800000"/>
                            <a:headEnd/>
                            <a:tailEnd/>
                          </a:ln>
                        </wps:spPr>
                        <wps:bodyPr rot="0" vert="horz" wrap="square" lIns="91440" tIns="45720" rIns="91440" bIns="45720" anchor="t" anchorCtr="0" upright="1">
                          <a:noAutofit/>
                        </wps:bodyPr>
                      </wps:wsp>
                      <wps:wsp>
                        <wps:cNvPr id="1228" name="AutoShape 602"/>
                        <wps:cNvSpPr>
                          <a:spLocks noChangeArrowheads="1"/>
                        </wps:cNvSpPr>
                        <wps:spPr bwMode="auto">
                          <a:xfrm flipH="1">
                            <a:off x="1858" y="4525"/>
                            <a:ext cx="1129" cy="1394"/>
                          </a:xfrm>
                          <a:custGeom>
                            <a:avLst/>
                            <a:gdLst>
                              <a:gd name="G0" fmla="+- 9257 0 0"/>
                              <a:gd name="G1" fmla="+- 18514 0 0"/>
                              <a:gd name="G2" fmla="+- 7200 0 0"/>
                              <a:gd name="G3" fmla="*/ 9257 1 2"/>
                              <a:gd name="G4" fmla="+- G3 10800 0"/>
                              <a:gd name="G5" fmla="+- 21600 9257 18514"/>
                              <a:gd name="G6" fmla="+- 18514 7200 0"/>
                              <a:gd name="G7" fmla="*/ G6 1 2"/>
                              <a:gd name="G8" fmla="*/ 18514 2 1"/>
                              <a:gd name="G9" fmla="+- G8 0 21600"/>
                              <a:gd name="G10" fmla="*/ 21600 G0 G1"/>
                              <a:gd name="G11" fmla="*/ 21600 G4 G1"/>
                              <a:gd name="G12" fmla="*/ 21600 G5 G1"/>
                              <a:gd name="G13" fmla="*/ 21600 G7 G1"/>
                              <a:gd name="G14" fmla="*/ 18514 1 2"/>
                              <a:gd name="G15" fmla="+- G5 0 G4"/>
                              <a:gd name="G16" fmla="+- G0 0 G4"/>
                              <a:gd name="G17" fmla="*/ G2 G15 G16"/>
                              <a:gd name="T0" fmla="*/ 15429 w 21600"/>
                              <a:gd name="T1" fmla="*/ 0 h 21600"/>
                              <a:gd name="T2" fmla="*/ 9257 w 21600"/>
                              <a:gd name="T3" fmla="*/ 7200 h 21600"/>
                              <a:gd name="T4" fmla="*/ 0 w 21600"/>
                              <a:gd name="T5" fmla="*/ 18001 h 21600"/>
                              <a:gd name="T6" fmla="*/ 9257 w 21600"/>
                              <a:gd name="T7" fmla="*/ 21600 h 21600"/>
                              <a:gd name="T8" fmla="*/ 18514 w 21600"/>
                              <a:gd name="T9" fmla="*/ 15000 h 21600"/>
                              <a:gd name="T10" fmla="*/ 21600 w 21600"/>
                              <a:gd name="T11" fmla="*/ 7200 h 21600"/>
                              <a:gd name="T12" fmla="*/ 17694720 60000 65536"/>
                              <a:gd name="T13" fmla="*/ 11796480 60000 65536"/>
                              <a:gd name="T14" fmla="*/ 11796480 60000 65536"/>
                              <a:gd name="T15" fmla="*/ 5898240 60000 65536"/>
                              <a:gd name="T16" fmla="*/ 0 60000 65536"/>
                              <a:gd name="T17" fmla="*/ 0 60000 65536"/>
                              <a:gd name="T18" fmla="*/ 0 w 21600"/>
                              <a:gd name="T19" fmla="*/ G12 h 21600"/>
                              <a:gd name="T20" fmla="*/ G1 w 21600"/>
                              <a:gd name="T21" fmla="*/ 21600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15429" y="0"/>
                                </a:moveTo>
                                <a:lnTo>
                                  <a:pt x="9257" y="7200"/>
                                </a:lnTo>
                                <a:lnTo>
                                  <a:pt x="12343" y="7200"/>
                                </a:lnTo>
                                <a:lnTo>
                                  <a:pt x="12343" y="14400"/>
                                </a:lnTo>
                                <a:lnTo>
                                  <a:pt x="0" y="14400"/>
                                </a:lnTo>
                                <a:lnTo>
                                  <a:pt x="0" y="21600"/>
                                </a:lnTo>
                                <a:lnTo>
                                  <a:pt x="18514" y="21600"/>
                                </a:lnTo>
                                <a:lnTo>
                                  <a:pt x="18514" y="7200"/>
                                </a:lnTo>
                                <a:lnTo>
                                  <a:pt x="21600" y="7200"/>
                                </a:lnTo>
                                <a:close/>
                              </a:path>
                            </a:pathLst>
                          </a:custGeom>
                          <a:solidFill>
                            <a:srgbClr val="F5F5F5"/>
                          </a:solidFill>
                          <a:ln w="9525">
                            <a:solidFill>
                              <a:srgbClr val="000000"/>
                            </a:solidFill>
                            <a:miter lim="800000"/>
                            <a:headEnd/>
                            <a:tailEnd/>
                          </a:ln>
                        </wps:spPr>
                        <wps:bodyPr rot="0" vert="horz" wrap="square" lIns="91440" tIns="45720" rIns="91440" bIns="45720" anchor="t" anchorCtr="0" upright="1">
                          <a:noAutofit/>
                        </wps:bodyPr>
                      </wps:wsp>
                      <wps:wsp>
                        <wps:cNvPr id="1229" name="AutoShape 603"/>
                        <wps:cNvCnPr/>
                        <wps:spPr bwMode="auto">
                          <a:xfrm rot="5400000" flipV="1">
                            <a:off x="5917" y="2952"/>
                            <a:ext cx="1" cy="917"/>
                          </a:xfrm>
                          <a:prstGeom prst="bentConnector4">
                            <a:avLst>
                              <a:gd name="adj1" fmla="val -36000000"/>
                              <a:gd name="adj2" fmla="val 9247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230" name="Line 604"/>
                        <wps:cNvCnPr/>
                        <wps:spPr bwMode="auto">
                          <a:xfrm>
                            <a:off x="2282" y="6337"/>
                            <a:ext cx="705" cy="0"/>
                          </a:xfrm>
                          <a:prstGeom prst="line">
                            <a:avLst/>
                          </a:prstGeom>
                          <a:noFill/>
                          <a:ln w="28575">
                            <a:solidFill>
                              <a:srgbClr val="000000"/>
                            </a:solidFill>
                            <a:round/>
                            <a:headEnd/>
                            <a:tailEnd type="triangle" w="sm" len="sm"/>
                          </a:ln>
                          <a:extLst>
                            <a:ext uri="{909E8E84-426E-40DD-AFC4-6F175D3DCCD1}">
                              <a14:hiddenFill xmlns:a14="http://schemas.microsoft.com/office/drawing/2010/main">
                                <a:noFill/>
                              </a14:hiddenFill>
                            </a:ext>
                          </a:extLst>
                        </wps:spPr>
                        <wps:bodyPr/>
                      </wps:wsp>
                      <wps:wsp>
                        <wps:cNvPr id="1231" name="Line 605"/>
                        <wps:cNvCnPr/>
                        <wps:spPr bwMode="auto">
                          <a:xfrm>
                            <a:off x="2282" y="6615"/>
                            <a:ext cx="70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32" name="Line 606"/>
                        <wps:cNvCnPr/>
                        <wps:spPr bwMode="auto">
                          <a:xfrm>
                            <a:off x="2282" y="6894"/>
                            <a:ext cx="705"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233" name="Text Box 607"/>
                        <wps:cNvSpPr txBox="1">
                          <a:spLocks noChangeArrowheads="1"/>
                        </wps:cNvSpPr>
                        <wps:spPr bwMode="auto">
                          <a:xfrm>
                            <a:off x="3270" y="6197"/>
                            <a:ext cx="1788" cy="83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40F8" w:rsidRPr="008A717A" w:rsidRDefault="00BE40F8" w:rsidP="00B233DE">
                              <w:pPr>
                                <w:spacing w:line="312" w:lineRule="auto"/>
                                <w:ind w:firstLine="0"/>
                                <w:rPr>
                                  <w:rFonts w:ascii="Times New Roman" w:hAnsi="Times New Roman" w:cs="Times New Roman"/>
                                  <w:sz w:val="12"/>
                                  <w:szCs w:val="12"/>
                                </w:rPr>
                              </w:pPr>
                              <w:r w:rsidRPr="008A717A">
                                <w:rPr>
                                  <w:rFonts w:ascii="Times New Roman" w:hAnsi="Times New Roman" w:cs="Times New Roman"/>
                                  <w:sz w:val="12"/>
                                  <w:szCs w:val="12"/>
                                </w:rPr>
                                <w:t>Постійна міграція</w:t>
                              </w:r>
                            </w:p>
                            <w:p w:rsidR="00BE40F8" w:rsidRPr="00043B0D" w:rsidRDefault="00BE40F8" w:rsidP="00B233DE">
                              <w:pPr>
                                <w:spacing w:line="312" w:lineRule="auto"/>
                                <w:ind w:firstLine="0"/>
                                <w:rPr>
                                  <w:rFonts w:ascii="Times New Roman" w:hAnsi="Times New Roman" w:cs="Times New Roman"/>
                                  <w:sz w:val="6"/>
                                  <w:szCs w:val="6"/>
                                </w:rPr>
                              </w:pPr>
                            </w:p>
                            <w:p w:rsidR="00BE40F8" w:rsidRPr="008A717A" w:rsidRDefault="00BE40F8" w:rsidP="00B233DE">
                              <w:pPr>
                                <w:spacing w:line="312" w:lineRule="auto"/>
                                <w:ind w:firstLine="0"/>
                                <w:rPr>
                                  <w:rFonts w:ascii="Times New Roman" w:hAnsi="Times New Roman" w:cs="Times New Roman"/>
                                  <w:sz w:val="12"/>
                                  <w:szCs w:val="12"/>
                                </w:rPr>
                              </w:pPr>
                              <w:r w:rsidRPr="008A717A">
                                <w:rPr>
                                  <w:rFonts w:ascii="Times New Roman" w:hAnsi="Times New Roman" w:cs="Times New Roman"/>
                                  <w:sz w:val="12"/>
                                  <w:szCs w:val="12"/>
                                </w:rPr>
                                <w:t>Тимчасова міграція</w:t>
                              </w:r>
                            </w:p>
                            <w:p w:rsidR="00BE40F8" w:rsidRPr="00043B0D" w:rsidRDefault="00BE40F8" w:rsidP="00B233DE">
                              <w:pPr>
                                <w:spacing w:line="312" w:lineRule="auto"/>
                                <w:rPr>
                                  <w:rFonts w:ascii="Times New Roman" w:hAnsi="Times New Roman" w:cs="Times New Roman"/>
                                  <w:sz w:val="4"/>
                                  <w:szCs w:val="4"/>
                                </w:rPr>
                              </w:pPr>
                            </w:p>
                            <w:p w:rsidR="00BE40F8" w:rsidRPr="008A717A" w:rsidRDefault="00BE40F8" w:rsidP="00B233DE">
                              <w:pPr>
                                <w:spacing w:line="312" w:lineRule="auto"/>
                                <w:ind w:firstLine="0"/>
                                <w:rPr>
                                  <w:rFonts w:ascii="Times New Roman" w:hAnsi="Times New Roman" w:cs="Times New Roman"/>
                                  <w:sz w:val="12"/>
                                  <w:szCs w:val="12"/>
                                </w:rPr>
                              </w:pPr>
                              <w:r w:rsidRPr="008A717A">
                                <w:rPr>
                                  <w:rFonts w:ascii="Times New Roman" w:hAnsi="Times New Roman" w:cs="Times New Roman"/>
                                  <w:sz w:val="12"/>
                                  <w:szCs w:val="12"/>
                                </w:rPr>
                                <w:t>Циклічна міграція</w:t>
                              </w:r>
                            </w:p>
                          </w:txbxContent>
                        </wps:txbx>
                        <wps:bodyPr rot="0" vert="horz" wrap="square" lIns="0" tIns="0" rIns="0" bIns="0" anchor="ctr" anchorCtr="0" upright="1">
                          <a:noAutofit/>
                        </wps:bodyPr>
                      </wps:wsp>
                    </wpg:wgp>
                  </a:graphicData>
                </a:graphic>
              </wp:inline>
            </w:drawing>
          </mc:Choice>
          <mc:Fallback>
            <w:pict>
              <v:group w14:anchorId="77E6DE52" id="Group 563" o:spid="_x0000_s1859" style="width:307.15pt;height:268.7pt;mso-position-horizontal-relative:char;mso-position-vertical-relative:line" coordorigin="1858,1877" coordsize="7483,5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">
                <v:shape id="Text Box 564" o:spid="_x0000_s1860" type="#_x0000_t202" style="position:absolute;left:1858;top:3271;width:988;height:2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">
                  <v:textbox inset="0,0,0,0">
                    <w:txbxContent>
                      <w:p w:rsidR="00BE40F8" w:rsidRPr="00043B0D" w:rsidRDefault="00BE40F8" w:rsidP="00B233DE">
                        <w:pPr>
                          <w:ind w:firstLine="0"/>
                          <w:rPr>
                            <w:rFonts w:ascii="Times New Roman" w:hAnsi="Times New Roman" w:cs="Times New Roman"/>
                            <w:sz w:val="14"/>
                            <w:szCs w:val="14"/>
                          </w:rPr>
                        </w:pPr>
                        <w:r w:rsidRPr="00043B0D">
                          <w:rPr>
                            <w:rFonts w:ascii="Times New Roman" w:hAnsi="Times New Roman" w:cs="Times New Roman"/>
                            <w:sz w:val="14"/>
                            <w:szCs w:val="14"/>
                          </w:rPr>
                          <w:t>Тимчасова</w:t>
                        </w:r>
                      </w:p>
                    </w:txbxContent>
                  </v:textbox>
                </v:shape>
                <v:shape id="Text Box 565" o:spid="_x0000_s1861" type="#_x0000_t202" style="position:absolute;left:1858;top:3828;width:988;height:2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">
                  <v:textbox inset="0,0,0,0">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Циклічна</w:t>
                        </w:r>
                      </w:p>
                    </w:txbxContent>
                  </v:textbox>
                </v:shape>
                <v:shape id="Text Box 566" o:spid="_x0000_s1862" type="#_x0000_t202" style="position:absolute;left:1858;top:2435;width:988;height:4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">
                  <v:textbox inset="0,0,0,0">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Постійна</w:t>
                        </w:r>
                      </w:p>
                    </w:txbxContent>
                  </v:textbox>
                </v:shape>
                <v:shape id="Text Box 567" o:spid="_x0000_s1863" type="#_x0000_t202" style="position:absolute;left:1858;top:1877;width:2682;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">
                  <v:textbox>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Види міграції</w:t>
                        </w:r>
                      </w:p>
                    </w:txbxContent>
                  </v:textbox>
                </v:shape>
                <v:shape id="Text Box 568" o:spid="_x0000_s1864" type="#_x0000_t202" style="position:absolute;left:6375;top:1877;width:2966;height:4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">
                  <v:textbox inset="0,0,0,0">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Ефект від міграційного перерозподілу ЛП</w:t>
                        </w:r>
                      </w:p>
                    </w:txbxContent>
                  </v:textbox>
                </v:shape>
                <v:shape id="Text Box 569" o:spid="_x0000_s1865" type="#_x0000_t202" style="position:absolute;left:6376;top:2435;width:2964;height: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">
                  <v:textbox inset="0,0,0,0">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Кількісне задоволення в людському потенціалі країн призначення</w:t>
                        </w:r>
                      </w:p>
                    </w:txbxContent>
                  </v:textbox>
                </v:shape>
                <v:shape id="Text Box 570" o:spid="_x0000_s1866" type="#_x0000_t202" style="position:absolute;left:6376;top:3132;width:2962;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">
                  <v:textbox>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Задоволення поточної потреби ринку праці</w:t>
                        </w:r>
                      </w:p>
                    </w:txbxContent>
                  </v:textbox>
                </v:shape>
                <v:shape id="Text Box 571" o:spid="_x0000_s1867" type="#_x0000_t202" style="position:absolute;left:6376;top:3828;width:2961;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">
                  <v:textbox>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Якісне підвищення ЛП країн походження і призначення</w:t>
                        </w:r>
                      </w:p>
                    </w:txbxContent>
                  </v:textbox>
                </v:shape>
                <v:shape id="Text Box 572" o:spid="_x0000_s1868" type="#_x0000_t202" style="position:absolute;left:4681;top:1877;width:1553;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">
                  <v:textbox>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Складові ЛП</w:t>
                        </w:r>
                      </w:p>
                    </w:txbxContent>
                  </v:textbox>
                </v:shape>
                <v:shape id="Text Box 573" o:spid="_x0000_s1869" type="#_x0000_t202" style="position:absolute;left:2987;top:2435;width:1553;height:4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">
                  <v:textbox inset="0,0,0,0">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Низькокваліфікова</w:t>
                        </w:r>
                        <w:r>
                          <w:rPr>
                            <w:rFonts w:ascii="Times New Roman" w:hAnsi="Times New Roman" w:cs="Times New Roman"/>
                            <w:sz w:val="14"/>
                            <w:szCs w:val="14"/>
                          </w:rPr>
                          <w:t>-</w:t>
                        </w:r>
                        <w:r w:rsidRPr="00043B0D">
                          <w:rPr>
                            <w:rFonts w:ascii="Times New Roman" w:hAnsi="Times New Roman" w:cs="Times New Roman"/>
                            <w:sz w:val="14"/>
                            <w:szCs w:val="14"/>
                          </w:rPr>
                          <w:t>них працівників</w:t>
                        </w:r>
                      </w:p>
                    </w:txbxContent>
                  </v:textbox>
                </v:shape>
                <v:shape id="Text Box 574" o:spid="_x0000_s1870" type="#_x0000_t202" style="position:absolute;left:2987;top:3271;width:1553;height:4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">
                  <v:textbox inset="0,0,0,0">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Працівників серед</w:t>
                        </w:r>
                        <w:r>
                          <w:rPr>
                            <w:rFonts w:ascii="Times New Roman" w:hAnsi="Times New Roman" w:cs="Times New Roman"/>
                            <w:sz w:val="14"/>
                            <w:szCs w:val="14"/>
                          </w:rPr>
                          <w:t>-</w:t>
                        </w:r>
                        <w:r w:rsidRPr="00043B0D">
                          <w:rPr>
                            <w:rFonts w:ascii="Times New Roman" w:hAnsi="Times New Roman" w:cs="Times New Roman"/>
                            <w:sz w:val="14"/>
                            <w:szCs w:val="14"/>
                          </w:rPr>
                          <w:t>ньої кваліфікації</w:t>
                        </w:r>
                      </w:p>
                    </w:txbxContent>
                  </v:textbox>
                </v:shape>
                <v:shape id="Text Box 575" o:spid="_x0000_s1871" type="#_x0000_t202" style="position:absolute;left:2987;top:3968;width:1553;height:4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">
                  <v:textbox inset="0,0,0,0">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Висококваліфікова</w:t>
                        </w:r>
                        <w:r>
                          <w:rPr>
                            <w:rFonts w:ascii="Times New Roman" w:hAnsi="Times New Roman" w:cs="Times New Roman"/>
                            <w:sz w:val="14"/>
                            <w:szCs w:val="14"/>
                          </w:rPr>
                          <w:t>-</w:t>
                        </w:r>
                        <w:r w:rsidRPr="00043B0D">
                          <w:rPr>
                            <w:rFonts w:ascii="Times New Roman" w:hAnsi="Times New Roman" w:cs="Times New Roman"/>
                            <w:sz w:val="14"/>
                            <w:szCs w:val="14"/>
                          </w:rPr>
                          <w:t>них працівників</w:t>
                        </w:r>
                      </w:p>
                    </w:txbxContent>
                  </v:textbox>
                </v:shape>
                <v:shape id="Text Box 576" o:spid="_x0000_s1872" type="#_x0000_t202" style="position:absolute;left:4681;top:2435;width:1553;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">
                  <v:textbox>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Демографічна</w:t>
                        </w:r>
                        <w:r>
                          <w:rPr>
                            <w:rFonts w:ascii="Times New Roman" w:hAnsi="Times New Roman" w:cs="Times New Roman"/>
                            <w:sz w:val="14"/>
                            <w:szCs w:val="14"/>
                          </w:rPr>
                          <w:t xml:space="preserve"> </w:t>
                        </w:r>
                      </w:p>
                    </w:txbxContent>
                  </v:textbox>
                </v:shape>
                <v:shape id="Text Box 577" o:spid="_x0000_s1873" type="#_x0000_t202" style="position:absolute;left:4681;top:3410;width:1557;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">
                  <v:textbox>
                    <w:txbxContent>
                      <w:p w:rsidR="00BE40F8" w:rsidRPr="00043B0D" w:rsidRDefault="00BE40F8" w:rsidP="00B233DE">
                        <w:pPr>
                          <w:ind w:firstLine="0"/>
                          <w:jc w:val="center"/>
                          <w:rPr>
                            <w:rFonts w:ascii="Times New Roman" w:hAnsi="Times New Roman" w:cs="Times New Roman"/>
                            <w:sz w:val="14"/>
                            <w:szCs w:val="14"/>
                          </w:rPr>
                        </w:pPr>
                        <w:r>
                          <w:rPr>
                            <w:rFonts w:ascii="Times New Roman" w:hAnsi="Times New Roman" w:cs="Times New Roman"/>
                            <w:sz w:val="14"/>
                            <w:szCs w:val="14"/>
                          </w:rPr>
                          <w:t>О</w:t>
                        </w:r>
                        <w:r w:rsidRPr="00043B0D">
                          <w:rPr>
                            <w:rFonts w:ascii="Times New Roman" w:hAnsi="Times New Roman" w:cs="Times New Roman"/>
                            <w:sz w:val="14"/>
                            <w:szCs w:val="14"/>
                          </w:rPr>
                          <w:t>світньо-кваліфікаційна</w:t>
                        </w:r>
                        <w:r>
                          <w:rPr>
                            <w:rFonts w:ascii="Times New Roman" w:hAnsi="Times New Roman" w:cs="Times New Roman"/>
                            <w:sz w:val="14"/>
                            <w:szCs w:val="14"/>
                          </w:rPr>
                          <w:t xml:space="preserve"> </w:t>
                        </w:r>
                      </w:p>
                    </w:txbxContent>
                  </v:textbox>
                </v:shape>
                <v:shape id="AutoShape 578" o:spid="_x0000_s1874" type="#_x0000_t32" style="position:absolute;left:2846;top:2644;width:141;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" strokeweight="3.25pt">
                  <v:stroke endarrow="block" endarrowwidth="narrow" endarrowlength="short"/>
                </v:shape>
                <v:shape id="AutoShape 579" o:spid="_x0000_s1875" type="#_x0000_t32" style="position:absolute;left:4540;top:2644;width:141;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" strokeweight="3.25pt">
                  <v:stroke endarrow="block" endarrowwidth="narrow" endarrowlength="short"/>
                </v:shape>
                <v:shape id="AutoShape 580" o:spid="_x0000_s1876" type="#_x0000_t34" style="position:absolute;left:6234;top:2644;width:142;height:6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" adj="10740" strokeweight="3.25pt">
                  <v:stroke endarrow="block" endarrowwidth="narrow" endarrowlength="short"/>
                </v:shape>
                <v:shape id="AutoShape 581" o:spid="_x0000_s1877" type="#_x0000_t34" style="position:absolute;left:2846;top:2644;width:141;height:76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" adj="10680">
                  <v:stroke endarrow="block"/>
                </v:shape>
                <v:shape id="AutoShape 582" o:spid="_x0000_s1878" type="#_x0000_t34" style="position:absolute;left:6238;top:3410;width:138;height:2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">
                  <v:stroke endarrow="block"/>
                </v:shape>
                <v:shape id="AutoShape 583" o:spid="_x0000_s1879" type="#_x0000_t34" style="position:absolute;left:2849;top:2356;width:418;height:141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" strokeweight="2.5pt">
                  <v:stroke endarrow="block" endarrowwidth="narrow" endarrowlength="short"/>
                </v:shape>
                <v:shape id="AutoShape 584" o:spid="_x0000_s1880" type="#_x0000_t34" style="position:absolute;left:4402;top:2215;width:418;height:169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" strokeweight="2.5pt">
                  <v:stroke endarrow="block" endarrowwidth="narrow" endarrowlength="short"/>
                </v:shape>
                <v:shape id="AutoShape 585" o:spid="_x0000_s1881" type="#_x0000_t34" style="position:absolute;left:4540;top:2644;width:141;height:104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" adj="10740">
                  <v:stroke endarrow="block"/>
                </v:shape>
                <v:shape id="AutoShape 586" o:spid="_x0000_s1882" type="#_x0000_t34" style="position:absolute;left:4540;top:3480;width:1836;height:62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" adj="415" strokeweight="2.5pt">
                  <v:stroke endarrow="block" endarrowwidth="narrow" endarrowlength="short"/>
                </v:shape>
                <v:shape id="AutoShape 587" o:spid="_x0000_s1883" type="#_x0000_t34" style="position:absolute;left:2846;top:3410;width:141;height:7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" adj="10680">
                  <v:stroke endarrow="block"/>
                </v:shape>
                <v:shape id="AutoShape 588" o:spid="_x0000_s1884" type="#_x0000_t34" style="position:absolute;left:2846;top:3410;width:141;height:76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" adj="10680">
                  <v:stroke endarrow="block"/>
                </v:shape>
                <v:shape id="AutoShape 589" o:spid="_x0000_s1885" type="#_x0000_t33" style="position:absolute;left:4540;top:3968;width:919;height:209;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">
                  <v:stroke endarrow="block"/>
                </v:shape>
                <v:shape id="AutoShape 590" o:spid="_x0000_s1886" type="#_x0000_t34" style="position:absolute;left:6238;top:3690;width:138;height:41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">
                  <v:stroke endarrow="block"/>
                </v:shape>
                <v:shape id="AutoShape 591" o:spid="_x0000_s1887" type="#_x0000_t35" style="position:absolute;left:2846;top:2435;width:918;height:153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" adj="701,23072">
                  <v:stroke dashstyle="dash" endarrow="block"/>
                </v:shape>
                <v:group id="Group 592" o:spid="_x0000_s1888" style="position:absolute;left:2352;top:3689;width:1412;height:697" coordorigin="2352,3689" coordsize="1412,6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">
                  <v:shape id="AutoShape 593" o:spid="_x0000_s1889" type="#_x0000_t34" style="position:absolute;left:2988;top:3053;width:139;height:141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">
                    <v:stroke dashstyle="dash" endarrow="block"/>
                  </v:shape>
                  <v:shape id="AutoShape 594" o:spid="_x0000_s1890" type="#_x0000_t34" style="position:absolute;left:2918;top:3540;width:280;height:141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" adj="34105">
                    <v:stroke dashstyle="dash" endarrow="block"/>
                  </v:shape>
                </v:group>
                <v:shape id="AutoShape 595" o:spid="_x0000_s1891" type="#_x0000_t34" style="position:absolute;left:4404;top:2283;width:557;height:169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">
                  <v:stroke dashstyle="dash" endarrow="block"/>
                </v:shape>
                <v:shape id="AutoShape 596" o:spid="_x0000_s1892" type="#_x0000_t34" style="position:absolute;left:4403;top:3329;width:418;height:1696;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" adj="-8601">
                  <v:stroke dashstyle="dash" endarrow="block"/>
                </v:shape>
                <v:shape id="AutoShape 597" o:spid="_x0000_s1893" type="#_x0000_t35" style="position:absolute;left:6238;top:3689;width:1619;height:69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" adj="398,26301">
                  <v:stroke dashstyle="dash" endarrow="block"/>
                </v:shape>
                <v:shape id="Text Box 598" o:spid="_x0000_s1894" type="#_x0000_t202" style="position:absolute;left:3129;top:5222;width:1694;height:6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">
                  <v:textbox inset="0,0,0,0">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Зростання міграційної привабливості країн</w:t>
                        </w:r>
                      </w:p>
                    </w:txbxContent>
                  </v:textbox>
                </v:shape>
                <v:shape id="Text Box 599" o:spid="_x0000_s1895" type="#_x0000_t202" style="position:absolute;left:5952;top:5222;width:1835;height:6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">
                  <v:textbox inset="0,0,0,0">
                    <w:txbxContent>
                      <w:p w:rsidR="00BE40F8" w:rsidRPr="00043B0D" w:rsidRDefault="00BE40F8" w:rsidP="00B233DE">
                        <w:pPr>
                          <w:ind w:firstLine="0"/>
                          <w:jc w:val="center"/>
                          <w:rPr>
                            <w:rFonts w:ascii="Times New Roman" w:hAnsi="Times New Roman" w:cs="Times New Roman"/>
                            <w:sz w:val="14"/>
                            <w:szCs w:val="14"/>
                          </w:rPr>
                        </w:pPr>
                        <w:r w:rsidRPr="00043B0D">
                          <w:rPr>
                            <w:rFonts w:ascii="Times New Roman" w:hAnsi="Times New Roman" w:cs="Times New Roman"/>
                            <w:sz w:val="14"/>
                            <w:szCs w:val="14"/>
                          </w:rPr>
                          <w:t>Підвищення показників людського розвитку країн</w:t>
                        </w:r>
                      </w:p>
                    </w:txbxContent>
                  </v:textbox>
                </v:shape>
                <v:shape id="AutoShape 600" o:spid="_x0000_s1896" style="position:absolute;left:7797;top:4656;width:1394;height:1131;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" path="m15429,l9257,7200r3086,l12343,14400,,14400r,7200l18514,21600r,-14400l21600,7200,15429,xe" fillcolor="#f5f5f5">
                  <v:stroke joinstyle="miter"/>
                  <v:path o:connecttype="custom" o:connectlocs="996,0;597,377;0,943;597,1131;1195,785;1394,377" o:connectangles="270,180,180,90,0,0" textboxrect="0,14400,18516,21600"/>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601" o:spid="_x0000_s1897" type="#_x0000_t66" style="position:absolute;left:4964;top:5361;width:847;height: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" fillcolor="#f5f5f5"/>
                <v:shape id="AutoShape 602" o:spid="_x0000_s1898" style="position:absolute;left:1858;top:4525;width:1129;height:1394;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" path="m15429,l9257,7200r3086,l12343,14400,,14400r,7200l18514,21600r,-14400l21600,7200,15429,xe" fillcolor="#f5f5f5">
                  <v:stroke joinstyle="miter"/>
                  <v:path o:connecttype="custom" o:connectlocs="806,0;484,465;0,1162;484,1394;968,968;1129,465" o:connectangles="270,180,180,90,0,0" textboxrect="0,14395,18520,21600"/>
                </v:shape>
                <v:shape id="AutoShape 603" o:spid="_x0000_s1899" type="#_x0000_t35" style="position:absolute;left:5917;top:2952;width:1;height:917;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" adj="-7776000,19974">
                  <v:stroke endarrow="block"/>
                </v:shape>
                <v:line id="Line 604" o:spid="_x0000_s1900" style="position:absolute;visibility:visible;mso-wrap-style:square" from="2282,6337" to="2987,63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" strokeweight="2.25pt">
                  <v:stroke endarrow="block" endarrowwidth="narrow" endarrowlength="short"/>
                </v:line>
                <v:line id="Line 605" o:spid="_x0000_s1901" style="position:absolute;visibility:visible;mso-wrap-style:square" from="2282,6615" to="2987,66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">
                  <v:stroke endarrow="block"/>
                </v:line>
                <v:line id="Line 606" o:spid="_x0000_s1902" style="position:absolute;visibility:visible;mso-wrap-style:square" from="2282,6894" to="2987,6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">
                  <v:stroke dashstyle="dash" endarrow="block"/>
                </v:line>
                <v:shape id="Text Box 607" o:spid="_x0000_s1903" type="#_x0000_t202" style="position:absolute;left:3270;top:6197;width:1788;height:8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" stroked="f">
                  <v:textbox inset="0,0,0,0">
                    <w:txbxContent>
                      <w:p w:rsidR="00BE40F8" w:rsidRPr="008A717A" w:rsidRDefault="00BE40F8" w:rsidP="00B233DE">
                        <w:pPr>
                          <w:spacing w:line="312" w:lineRule="auto"/>
                          <w:ind w:firstLine="0"/>
                          <w:rPr>
                            <w:rFonts w:ascii="Times New Roman" w:hAnsi="Times New Roman" w:cs="Times New Roman"/>
                            <w:sz w:val="12"/>
                            <w:szCs w:val="12"/>
                          </w:rPr>
                        </w:pPr>
                        <w:r w:rsidRPr="008A717A">
                          <w:rPr>
                            <w:rFonts w:ascii="Times New Roman" w:hAnsi="Times New Roman" w:cs="Times New Roman"/>
                            <w:sz w:val="12"/>
                            <w:szCs w:val="12"/>
                          </w:rPr>
                          <w:t>Постійна міграція</w:t>
                        </w:r>
                      </w:p>
                      <w:p w:rsidR="00BE40F8" w:rsidRPr="00043B0D" w:rsidRDefault="00BE40F8" w:rsidP="00B233DE">
                        <w:pPr>
                          <w:spacing w:line="312" w:lineRule="auto"/>
                          <w:ind w:firstLine="0"/>
                          <w:rPr>
                            <w:rFonts w:ascii="Times New Roman" w:hAnsi="Times New Roman" w:cs="Times New Roman"/>
                            <w:sz w:val="6"/>
                            <w:szCs w:val="6"/>
                          </w:rPr>
                        </w:pPr>
                      </w:p>
                      <w:p w:rsidR="00BE40F8" w:rsidRPr="008A717A" w:rsidRDefault="00BE40F8" w:rsidP="00B233DE">
                        <w:pPr>
                          <w:spacing w:line="312" w:lineRule="auto"/>
                          <w:ind w:firstLine="0"/>
                          <w:rPr>
                            <w:rFonts w:ascii="Times New Roman" w:hAnsi="Times New Roman" w:cs="Times New Roman"/>
                            <w:sz w:val="12"/>
                            <w:szCs w:val="12"/>
                          </w:rPr>
                        </w:pPr>
                        <w:r w:rsidRPr="008A717A">
                          <w:rPr>
                            <w:rFonts w:ascii="Times New Roman" w:hAnsi="Times New Roman" w:cs="Times New Roman"/>
                            <w:sz w:val="12"/>
                            <w:szCs w:val="12"/>
                          </w:rPr>
                          <w:t>Тимчасова міграція</w:t>
                        </w:r>
                      </w:p>
                      <w:p w:rsidR="00BE40F8" w:rsidRPr="00043B0D" w:rsidRDefault="00BE40F8" w:rsidP="00B233DE">
                        <w:pPr>
                          <w:spacing w:line="312" w:lineRule="auto"/>
                          <w:rPr>
                            <w:rFonts w:ascii="Times New Roman" w:hAnsi="Times New Roman" w:cs="Times New Roman"/>
                            <w:sz w:val="4"/>
                            <w:szCs w:val="4"/>
                          </w:rPr>
                        </w:pPr>
                      </w:p>
                      <w:p w:rsidR="00BE40F8" w:rsidRPr="008A717A" w:rsidRDefault="00BE40F8" w:rsidP="00B233DE">
                        <w:pPr>
                          <w:spacing w:line="312" w:lineRule="auto"/>
                          <w:ind w:firstLine="0"/>
                          <w:rPr>
                            <w:rFonts w:ascii="Times New Roman" w:hAnsi="Times New Roman" w:cs="Times New Roman"/>
                            <w:sz w:val="12"/>
                            <w:szCs w:val="12"/>
                          </w:rPr>
                        </w:pPr>
                        <w:r w:rsidRPr="008A717A">
                          <w:rPr>
                            <w:rFonts w:ascii="Times New Roman" w:hAnsi="Times New Roman" w:cs="Times New Roman"/>
                            <w:sz w:val="12"/>
                            <w:szCs w:val="12"/>
                          </w:rPr>
                          <w:t>Циклічна міграція</w:t>
                        </w:r>
                      </w:p>
                    </w:txbxContent>
                  </v:textbox>
                </v:shape>
                <w10:anchorlock/>
              </v:group>
            </w:pict>
          </mc:Fallback>
        </mc:AlternateContent>
      </w:r>
    </w:p>
    <w:p w:rsidR="00B233DE" w:rsidRPr="008A717A" w:rsidRDefault="00B233DE" w:rsidP="00B233DE">
      <w:pPr>
        <w:ind w:firstLine="709"/>
        <w:jc w:val="center"/>
        <w:rPr>
          <w:rFonts w:ascii="Times New Roman" w:hAnsi="Times New Roman" w:cs="Times New Roman"/>
          <w:b/>
          <w:sz w:val="21"/>
          <w:szCs w:val="21"/>
        </w:rPr>
      </w:pPr>
      <w:r w:rsidRPr="008A717A">
        <w:rPr>
          <w:rFonts w:ascii="Times New Roman" w:hAnsi="Times New Roman" w:cs="Times New Roman"/>
          <w:b/>
          <w:sz w:val="21"/>
          <w:szCs w:val="21"/>
        </w:rPr>
        <w:t>Рис. 4.7. Взаємозв’язок основних видів міграції, складових людського потенціалу в контексті його раціонального перерозподілу та виникнення міграційного кругообігу</w:t>
      </w: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r w:rsidRPr="008A717A">
        <w:rPr>
          <w:rFonts w:ascii="Times New Roman" w:hAnsi="Times New Roman" w:cs="Times New Roman"/>
          <w:sz w:val="21"/>
          <w:szCs w:val="21"/>
        </w:rPr>
        <w:t xml:space="preserve">Циклічна та тимчасова міграція висококваліфікованих працівників через формування освітньо-кваліфікаційної складової </w:t>
      </w:r>
      <w:r w:rsidRPr="008A717A">
        <w:rPr>
          <w:rFonts w:ascii="Times New Roman" w:hAnsi="Times New Roman" w:cs="Times New Roman"/>
          <w:sz w:val="21"/>
          <w:szCs w:val="21"/>
        </w:rPr>
        <w:lastRenderedPageBreak/>
        <w:t>людського потенціалу створює умови розвитку ЛП в країнах призначення та походження через рееміграцію високо</w:t>
      </w:r>
      <w:r>
        <w:rPr>
          <w:rFonts w:ascii="Times New Roman" w:hAnsi="Times New Roman" w:cs="Times New Roman"/>
          <w:sz w:val="21"/>
          <w:szCs w:val="21"/>
        </w:rPr>
        <w:t>-</w:t>
      </w:r>
      <w:r w:rsidRPr="008A717A">
        <w:rPr>
          <w:rFonts w:ascii="Times New Roman" w:hAnsi="Times New Roman" w:cs="Times New Roman"/>
          <w:sz w:val="21"/>
          <w:szCs w:val="21"/>
        </w:rPr>
        <w:t>кваліфікованих спеціалістів, повернення студентів (накопичення знань), створення освітніх, дослідницьких та наукових мереж, формування соціальних спільнот (інноваційні переваги в управлінських рішеннях, організації та веденні бізнесу, діловій та соціальній активності). Дані позитивні тенденції, в свою чергу, призводять до підвищенння показників людського розвитку країн та, як наслідок, зростання їх міграційної привабливості, що сприяє залученню нових міграційних потоків. Таким чином, перерозподіл ЛП створює умови існування міграційного кругообігу.</w:t>
      </w:r>
    </w:p>
    <w:p w:rsidR="00B233DE" w:rsidRPr="00D033E0" w:rsidRDefault="00B233DE" w:rsidP="00B233DE">
      <w:pPr>
        <w:ind w:firstLine="709"/>
        <w:jc w:val="both"/>
        <w:rPr>
          <w:rFonts w:ascii="Times New Roman" w:hAnsi="Times New Roman" w:cs="Times New Roman"/>
          <w:sz w:val="21"/>
          <w:szCs w:val="21"/>
        </w:rPr>
      </w:pPr>
      <w:r w:rsidRPr="008A717A">
        <w:rPr>
          <w:rFonts w:ascii="Times New Roman" w:hAnsi="Times New Roman" w:cs="Times New Roman"/>
          <w:sz w:val="21"/>
          <w:szCs w:val="21"/>
        </w:rPr>
        <w:t xml:space="preserve">Проведена систематизація сучасних міграційних відносин дає змогу виділити характерні об’єктивні закономірності перерозподілу людського потенціалу в світовій економічній системі. </w:t>
      </w:r>
      <w:r>
        <w:rPr>
          <w:rFonts w:ascii="Times New Roman" w:hAnsi="Times New Roman" w:cs="Times New Roman"/>
          <w:sz w:val="21"/>
          <w:szCs w:val="21"/>
        </w:rPr>
        <w:t>В результаті можемо</w:t>
      </w:r>
      <w:r w:rsidRPr="008A717A">
        <w:rPr>
          <w:rFonts w:ascii="Times New Roman" w:hAnsi="Times New Roman" w:cs="Times New Roman"/>
          <w:sz w:val="21"/>
          <w:szCs w:val="21"/>
        </w:rPr>
        <w:t xml:space="preserve"> зробити висновок, що світові інноваційні осередки за сучасних умов розвитку інформаційного суспільства і економіки знань стають одночасно центрами тяжіння міжнародних мігрантів. Прикладом є країни Південно-східної Азії, що створили масштабні технологічні центри на власній території. В Індії формування центру інтенсивних технологій Бангалор сприяло залученню з 2000</w:t>
      </w:r>
      <w:r>
        <w:rPr>
          <w:rFonts w:ascii="Times New Roman" w:hAnsi="Times New Roman" w:cs="Times New Roman"/>
          <w:sz w:val="21"/>
          <w:szCs w:val="21"/>
        </w:rPr>
        <w:t xml:space="preserve"> </w:t>
      </w:r>
      <w:r w:rsidRPr="008A717A">
        <w:rPr>
          <w:rFonts w:ascii="Times New Roman" w:hAnsi="Times New Roman" w:cs="Times New Roman"/>
          <w:sz w:val="21"/>
          <w:szCs w:val="21"/>
        </w:rPr>
        <w:t>р. близько 250 тис. спеціалістів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_Ref435695363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20</w:t>
      </w:r>
      <w:r>
        <w:rPr>
          <w:rFonts w:ascii="Times New Roman" w:hAnsi="Times New Roman" w:cs="Times New Roman"/>
          <w:sz w:val="21"/>
          <w:szCs w:val="21"/>
        </w:rPr>
        <w:fldChar w:fldCharType="end"/>
      </w:r>
      <w:r>
        <w:rPr>
          <w:rFonts w:ascii="Times New Roman" w:hAnsi="Times New Roman" w:cs="Times New Roman"/>
          <w:sz w:val="21"/>
          <w:szCs w:val="21"/>
        </w:rPr>
        <w:t>]</w:t>
      </w:r>
      <w:r w:rsidRPr="00D033E0">
        <w:rPr>
          <w:rFonts w:ascii="Times New Roman" w:hAnsi="Times New Roman" w:cs="Times New Roman"/>
          <w:sz w:val="21"/>
          <w:szCs w:val="21"/>
        </w:rPr>
        <w:t>. Інтенсивний розвиток регіону характеризується значним ступенем кластеризації, тобто тісними взаємозв’язками між дослідними інститутами і високотехнологічними галузями електроніки, телекомунікацій, оборонної промисловості і машинобудування, що взаємодіють зі значною кількістю малих та середніх підприємств. Система виробництва знань включає наукові установи зі спеціалізацією на теоретичних, фундаментальних дослідженнях – університети, вищі школи, науково-дослідні центри і лабораторії, що здійснюють 60–80 % всіх фундаментальних досліджень в країні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_Ref435182114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w:t>
      </w:r>
      <w:r>
        <w:rPr>
          <w:rFonts w:ascii="Times New Roman" w:hAnsi="Times New Roman" w:cs="Times New Roman"/>
          <w:sz w:val="21"/>
          <w:szCs w:val="21"/>
          <w:highlight w:val="yellow"/>
        </w:rPr>
        <w:fldChar w:fldCharType="end"/>
      </w:r>
      <w:r w:rsidRPr="00D033E0">
        <w:rPr>
          <w:rFonts w:ascii="Times New Roman" w:hAnsi="Times New Roman" w:cs="Times New Roman"/>
          <w:sz w:val="21"/>
          <w:szCs w:val="21"/>
        </w:rPr>
        <w:t xml:space="preserve">]. Інноваційна структура кластера забезпечує високу ефективність виробництва, створення нових робочих місць. Таке середовище надає можливість реалізації людського потенціалу спеціалістами різної кваліфікації: професійної самореалізації, професійного зростання, набуття і оновлення знань, високого рівня оплати праці. Тенденції витіснення людського потенціалу у сфери інноваційної діяльності, послуг, управління та освіти у структурі національних господарств дають змогу припустити все більше зростання ролі міграційної політики у зовнішньоекономічній діяльності країн </w:t>
      </w:r>
      <w:r w:rsidRPr="00D033E0">
        <w:rPr>
          <w:rFonts w:ascii="Times New Roman" w:hAnsi="Times New Roman" w:cs="Times New Roman"/>
          <w:sz w:val="21"/>
          <w:szCs w:val="21"/>
        </w:rPr>
        <w:lastRenderedPageBreak/>
        <w:t>світу як засобу залучення необхідного ресурсу для розвитку економіки. Основними чинниками міграції за таких умов виступають економічні та інтелектуально-професійні.</w:t>
      </w:r>
    </w:p>
    <w:p w:rsidR="00B233DE" w:rsidRPr="008A717A" w:rsidRDefault="00B233DE" w:rsidP="00B233DE">
      <w:pPr>
        <w:tabs>
          <w:tab w:val="left" w:pos="1260"/>
        </w:tabs>
        <w:ind w:firstLine="709"/>
        <w:jc w:val="both"/>
        <w:rPr>
          <w:rFonts w:ascii="Times New Roman" w:hAnsi="Times New Roman" w:cs="Times New Roman"/>
          <w:sz w:val="21"/>
          <w:szCs w:val="21"/>
        </w:rPr>
      </w:pPr>
      <w:r w:rsidRPr="008A717A">
        <w:rPr>
          <w:rFonts w:ascii="Times New Roman" w:hAnsi="Times New Roman" w:cs="Times New Roman"/>
          <w:sz w:val="21"/>
          <w:szCs w:val="21"/>
        </w:rPr>
        <w:t>Концентрація інтелектуального людського потенціалу в певному регіоні гарантує економічний розвиток та зростання [</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_Ref435182759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112</w:t>
      </w:r>
      <w:r>
        <w:rPr>
          <w:rFonts w:ascii="Times New Roman" w:hAnsi="Times New Roman" w:cs="Times New Roman"/>
          <w:sz w:val="21"/>
          <w:szCs w:val="21"/>
          <w:highlight w:val="yellow"/>
          <w:lang w:val="en-US"/>
        </w:rPr>
        <w:fldChar w:fldCharType="end"/>
      </w:r>
      <w:r w:rsidRPr="008A717A">
        <w:rPr>
          <w:rFonts w:ascii="Times New Roman" w:hAnsi="Times New Roman" w:cs="Times New Roman"/>
          <w:sz w:val="21"/>
          <w:szCs w:val="21"/>
        </w:rPr>
        <w:t>], а отже створює можливості для реалізації інших його складових: демографічної, життєвої, соціальної. Розширення виробництва у інноваційних зонах, створення нових робочих місць зумовлює, як наслідок, міграційні потоки працівників низької та середньої кваліфікації. Підтвердженням є розвиток економіки США, де інноваційний прогрес сприяє економічному зростанню, що стиму</w:t>
      </w:r>
      <w:r>
        <w:rPr>
          <w:rFonts w:ascii="Times New Roman" w:hAnsi="Times New Roman" w:cs="Times New Roman"/>
          <w:sz w:val="21"/>
          <w:szCs w:val="21"/>
        </w:rPr>
        <w:t>-</w:t>
      </w:r>
      <w:r w:rsidRPr="008A717A">
        <w:rPr>
          <w:rFonts w:ascii="Times New Roman" w:hAnsi="Times New Roman" w:cs="Times New Roman"/>
          <w:sz w:val="21"/>
          <w:szCs w:val="21"/>
        </w:rPr>
        <w:t>лює імміграційний притік низько- та середньокваліфікованих тру</w:t>
      </w:r>
      <w:r>
        <w:rPr>
          <w:rFonts w:ascii="Times New Roman" w:hAnsi="Times New Roman" w:cs="Times New Roman"/>
          <w:sz w:val="21"/>
          <w:szCs w:val="21"/>
        </w:rPr>
        <w:t>-</w:t>
      </w:r>
      <w:r w:rsidRPr="008A717A">
        <w:rPr>
          <w:rFonts w:ascii="Times New Roman" w:hAnsi="Times New Roman" w:cs="Times New Roman"/>
          <w:sz w:val="21"/>
          <w:szCs w:val="21"/>
        </w:rPr>
        <w:t>дових ресурсів [</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_Ref435182764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108</w:t>
      </w:r>
      <w:r>
        <w:rPr>
          <w:rFonts w:ascii="Times New Roman" w:hAnsi="Times New Roman" w:cs="Times New Roman"/>
          <w:sz w:val="21"/>
          <w:szCs w:val="21"/>
          <w:highlight w:val="yellow"/>
          <w:lang w:val="en-US"/>
        </w:rPr>
        <w:fldChar w:fldCharType="end"/>
      </w:r>
      <w:r w:rsidRPr="008A717A">
        <w:rPr>
          <w:rFonts w:ascii="Times New Roman" w:hAnsi="Times New Roman" w:cs="Times New Roman"/>
          <w:sz w:val="21"/>
          <w:szCs w:val="21"/>
        </w:rPr>
        <w:t>]. Інноваційний розвиток, в свою чергу, підви</w:t>
      </w:r>
      <w:r>
        <w:rPr>
          <w:rFonts w:ascii="Times New Roman" w:hAnsi="Times New Roman" w:cs="Times New Roman"/>
          <w:sz w:val="21"/>
          <w:szCs w:val="21"/>
        </w:rPr>
        <w:t>-</w:t>
      </w:r>
      <w:r w:rsidRPr="008A717A">
        <w:rPr>
          <w:rFonts w:ascii="Times New Roman" w:hAnsi="Times New Roman" w:cs="Times New Roman"/>
          <w:sz w:val="21"/>
          <w:szCs w:val="21"/>
        </w:rPr>
        <w:t>щує економічний потенціал регіону, що включає матеріально-технічний рівень виробництва, наявність новітнього устаткування та технологій. Розвиток економічного потенціалу зумовлює підви</w:t>
      </w:r>
      <w:r>
        <w:rPr>
          <w:rFonts w:ascii="Times New Roman" w:hAnsi="Times New Roman" w:cs="Times New Roman"/>
          <w:sz w:val="21"/>
          <w:szCs w:val="21"/>
        </w:rPr>
        <w:t>-</w:t>
      </w:r>
      <w:r w:rsidRPr="008A717A">
        <w:rPr>
          <w:rFonts w:ascii="Times New Roman" w:hAnsi="Times New Roman" w:cs="Times New Roman"/>
          <w:sz w:val="21"/>
          <w:szCs w:val="21"/>
        </w:rPr>
        <w:t>щення показників людського розвитку, а отже й міграційної прива</w:t>
      </w:r>
      <w:r>
        <w:rPr>
          <w:rFonts w:ascii="Times New Roman" w:hAnsi="Times New Roman" w:cs="Times New Roman"/>
          <w:sz w:val="21"/>
          <w:szCs w:val="21"/>
        </w:rPr>
        <w:t>-</w:t>
      </w:r>
      <w:r w:rsidRPr="008A717A">
        <w:rPr>
          <w:rFonts w:ascii="Times New Roman" w:hAnsi="Times New Roman" w:cs="Times New Roman"/>
          <w:sz w:val="21"/>
          <w:szCs w:val="21"/>
        </w:rPr>
        <w:t>бливості, сприяючи таким чином новим</w:t>
      </w:r>
      <w:r>
        <w:rPr>
          <w:rFonts w:ascii="Times New Roman" w:hAnsi="Times New Roman" w:cs="Times New Roman"/>
          <w:sz w:val="21"/>
          <w:szCs w:val="21"/>
        </w:rPr>
        <w:t xml:space="preserve"> міграційним потокам</w:t>
      </w:r>
      <w:r w:rsidRPr="008A717A">
        <w:rPr>
          <w:rFonts w:ascii="Times New Roman" w:hAnsi="Times New Roman" w:cs="Times New Roman"/>
          <w:sz w:val="21"/>
          <w:szCs w:val="21"/>
        </w:rPr>
        <w:t>.</w:t>
      </w:r>
    </w:p>
    <w:p w:rsidR="00B233DE" w:rsidRPr="008A717A" w:rsidRDefault="00B233DE" w:rsidP="00B233DE">
      <w:pPr>
        <w:tabs>
          <w:tab w:val="left" w:pos="1260"/>
        </w:tabs>
        <w:ind w:firstLine="709"/>
        <w:jc w:val="both"/>
        <w:rPr>
          <w:rFonts w:ascii="Times New Roman" w:hAnsi="Times New Roman" w:cs="Times New Roman"/>
          <w:sz w:val="21"/>
          <w:szCs w:val="21"/>
        </w:rPr>
      </w:pPr>
      <w:r w:rsidRPr="008A717A">
        <w:rPr>
          <w:rFonts w:ascii="Times New Roman" w:hAnsi="Times New Roman" w:cs="Times New Roman"/>
          <w:sz w:val="21"/>
          <w:szCs w:val="21"/>
        </w:rPr>
        <w:t>На основі вищезазначених висновків можемо зробити припущення про доцільність взяття за основу освітньо-кваліфікаційної та демографічної складових при дослідженні формування та реалізації людського потенціалу на основі міграційних процесів. Дослідження також передбачає визначення міграційної привабливості та потреби у ЛП регіонів світу для забезпечення ефективності механізму перерозподілу.</w:t>
      </w:r>
    </w:p>
    <w:p w:rsidR="00B233DE" w:rsidRDefault="00B233DE" w:rsidP="00B233DE">
      <w:pPr>
        <w:ind w:firstLine="709"/>
        <w:jc w:val="both"/>
        <w:rPr>
          <w:rFonts w:ascii="Times New Roman" w:hAnsi="Times New Roman" w:cs="Times New Roman"/>
          <w:b/>
          <w:sz w:val="21"/>
          <w:szCs w:val="21"/>
        </w:rPr>
      </w:pPr>
    </w:p>
    <w:p w:rsidR="00B233DE" w:rsidRPr="008A717A" w:rsidRDefault="00B233DE" w:rsidP="00B233DE">
      <w:pPr>
        <w:ind w:firstLine="709"/>
        <w:jc w:val="both"/>
        <w:rPr>
          <w:rFonts w:ascii="Times New Roman" w:hAnsi="Times New Roman" w:cs="Times New Roman"/>
          <w:b/>
          <w:sz w:val="21"/>
          <w:szCs w:val="21"/>
        </w:rPr>
      </w:pPr>
    </w:p>
    <w:p w:rsidR="00B233DE" w:rsidRDefault="00B233DE" w:rsidP="00B233DE">
      <w:pPr>
        <w:ind w:firstLine="709"/>
        <w:jc w:val="center"/>
        <w:rPr>
          <w:rFonts w:ascii="Times New Roman" w:hAnsi="Times New Roman" w:cs="Times New Roman"/>
          <w:b/>
          <w:sz w:val="21"/>
          <w:szCs w:val="21"/>
        </w:rPr>
      </w:pPr>
      <w:r w:rsidRPr="008A717A">
        <w:rPr>
          <w:rFonts w:ascii="Times New Roman" w:hAnsi="Times New Roman" w:cs="Times New Roman"/>
          <w:b/>
          <w:sz w:val="21"/>
          <w:szCs w:val="21"/>
        </w:rPr>
        <w:t>4.2 Система формування людського потенціалу за рахунок міграції</w:t>
      </w:r>
    </w:p>
    <w:p w:rsidR="00B233DE" w:rsidRDefault="00B233DE" w:rsidP="00B233DE">
      <w:pPr>
        <w:ind w:firstLine="709"/>
        <w:jc w:val="both"/>
        <w:rPr>
          <w:rFonts w:ascii="Times New Roman" w:hAnsi="Times New Roman" w:cs="Times New Roman"/>
          <w:b/>
          <w:sz w:val="21"/>
          <w:szCs w:val="21"/>
        </w:rPr>
      </w:pPr>
    </w:p>
    <w:p w:rsidR="00B233DE" w:rsidRPr="008A717A" w:rsidRDefault="00B233DE" w:rsidP="00B233DE">
      <w:pPr>
        <w:ind w:firstLine="709"/>
        <w:jc w:val="both"/>
        <w:rPr>
          <w:rFonts w:ascii="Times New Roman" w:hAnsi="Times New Roman" w:cs="Times New Roman"/>
          <w:b/>
          <w:sz w:val="21"/>
          <w:szCs w:val="21"/>
        </w:rPr>
      </w:pPr>
    </w:p>
    <w:p w:rsidR="00B233DE" w:rsidRDefault="00B233DE" w:rsidP="00B233DE">
      <w:pPr>
        <w:tabs>
          <w:tab w:val="left" w:pos="900"/>
        </w:tabs>
        <w:ind w:firstLine="709"/>
        <w:jc w:val="both"/>
        <w:rPr>
          <w:rFonts w:ascii="Times New Roman" w:hAnsi="Times New Roman" w:cs="Times New Roman"/>
          <w:spacing w:val="-2"/>
          <w:sz w:val="21"/>
          <w:szCs w:val="21"/>
        </w:rPr>
      </w:pPr>
      <w:r w:rsidRPr="008A717A">
        <w:rPr>
          <w:rFonts w:ascii="Times New Roman" w:hAnsi="Times New Roman" w:cs="Times New Roman"/>
          <w:spacing w:val="-2"/>
          <w:sz w:val="21"/>
          <w:szCs w:val="21"/>
        </w:rPr>
        <w:t xml:space="preserve">Побудова системи формування людського потенціалу за рахунок міграції засновується на впорядкуванні та оптимізації наслідків міграційного перерозподілу та приведенні їх до конкретних результатів – найбільш ефективних для окремих країн та міжнародного економічного середовища в цілому. Для виявлення можливостей посилення позитивних ефектів та подолання негативних наслідків перерозподілу ЛП першочерговим є визначення загальних цілей міграційного перерозподілу людського </w:t>
      </w:r>
      <w:r w:rsidRPr="008A717A">
        <w:rPr>
          <w:rFonts w:ascii="Times New Roman" w:hAnsi="Times New Roman" w:cs="Times New Roman"/>
          <w:spacing w:val="-2"/>
          <w:sz w:val="21"/>
          <w:szCs w:val="21"/>
        </w:rPr>
        <w:lastRenderedPageBreak/>
        <w:t xml:space="preserve">потенціалу. Дослідження передумов та визначення відповідних наслідків сучасного стану міграційного перерозподілу людського потенціалу для країн походження і призначення є основою визначення цілей керованого міграційного перерозподілу ЛП шляхом доведення гіпотези про </w:t>
      </w:r>
      <w:r>
        <w:rPr>
          <w:rFonts w:ascii="Times New Roman" w:hAnsi="Times New Roman" w:cs="Times New Roman"/>
          <w:spacing w:val="-2"/>
          <w:sz w:val="21"/>
          <w:szCs w:val="21"/>
        </w:rPr>
        <w:t xml:space="preserve">його </w:t>
      </w:r>
      <w:r w:rsidRPr="008A717A">
        <w:rPr>
          <w:rFonts w:ascii="Times New Roman" w:hAnsi="Times New Roman" w:cs="Times New Roman"/>
          <w:spacing w:val="-2"/>
          <w:sz w:val="21"/>
          <w:szCs w:val="21"/>
        </w:rPr>
        <w:t xml:space="preserve">керований міграційний перерозподіл на базі задоволення освітньо-кваліфікаційної та демографічної потреб у </w:t>
      </w:r>
      <w:r>
        <w:rPr>
          <w:rFonts w:ascii="Times New Roman" w:hAnsi="Times New Roman" w:cs="Times New Roman"/>
          <w:spacing w:val="-2"/>
          <w:sz w:val="21"/>
          <w:szCs w:val="21"/>
        </w:rPr>
        <w:t>людському потенціалі</w:t>
      </w:r>
      <w:r w:rsidRPr="008A717A">
        <w:rPr>
          <w:rFonts w:ascii="Times New Roman" w:hAnsi="Times New Roman" w:cs="Times New Roman"/>
          <w:spacing w:val="-2"/>
          <w:sz w:val="21"/>
          <w:szCs w:val="21"/>
        </w:rPr>
        <w:t xml:space="preserve"> і підвищення показників міграційної привабливості країн світу за допомогою розрахунку і порівняння двох індексів: індексу формування ЛП регіону за рахунок міграції на основі існуючих тенденцій та індексу формування ЛП регіону за рахунок міграції з врахуванням міграційної привабливості і потреби у ЛП. Відповідно до сформованих таким чином цілей можна виділити окремі інструменти міграційного перерозподілу людського потенціалу, що застосо</w:t>
      </w:r>
      <w:r>
        <w:rPr>
          <w:rFonts w:ascii="Times New Roman" w:hAnsi="Times New Roman" w:cs="Times New Roman"/>
          <w:spacing w:val="-2"/>
          <w:sz w:val="21"/>
          <w:szCs w:val="21"/>
        </w:rPr>
        <w:t>-</w:t>
      </w:r>
      <w:r w:rsidRPr="008A717A">
        <w:rPr>
          <w:rFonts w:ascii="Times New Roman" w:hAnsi="Times New Roman" w:cs="Times New Roman"/>
          <w:spacing w:val="-2"/>
          <w:sz w:val="21"/>
          <w:szCs w:val="21"/>
        </w:rPr>
        <w:t xml:space="preserve">вуються на різних рівнях державного регулювання (рис. </w:t>
      </w:r>
      <w:r>
        <w:rPr>
          <w:rFonts w:ascii="Times New Roman" w:hAnsi="Times New Roman" w:cs="Times New Roman"/>
          <w:spacing w:val="-2"/>
          <w:sz w:val="21"/>
          <w:szCs w:val="21"/>
        </w:rPr>
        <w:t>4</w:t>
      </w:r>
      <w:r w:rsidRPr="008A717A">
        <w:rPr>
          <w:rFonts w:ascii="Times New Roman" w:hAnsi="Times New Roman" w:cs="Times New Roman"/>
          <w:spacing w:val="-2"/>
          <w:sz w:val="21"/>
          <w:szCs w:val="21"/>
        </w:rPr>
        <w:t>.8).</w:t>
      </w:r>
    </w:p>
    <w:p w:rsidR="00B233DE" w:rsidRDefault="00B233DE" w:rsidP="00B233DE">
      <w:pPr>
        <w:tabs>
          <w:tab w:val="left" w:pos="900"/>
        </w:tabs>
        <w:ind w:firstLine="709"/>
        <w:jc w:val="both"/>
        <w:rPr>
          <w:rFonts w:ascii="Times New Roman" w:hAnsi="Times New Roman" w:cs="Times New Roman"/>
          <w:spacing w:val="-2"/>
          <w:sz w:val="21"/>
          <w:szCs w:val="21"/>
        </w:rPr>
      </w:pPr>
    </w:p>
    <w:p w:rsidR="00B233DE" w:rsidRPr="008A717A" w:rsidRDefault="00B233DE" w:rsidP="00B233DE">
      <w:pPr>
        <w:tabs>
          <w:tab w:val="left" w:pos="900"/>
        </w:tabs>
        <w:ind w:firstLine="709"/>
        <w:jc w:val="both"/>
        <w:rPr>
          <w:rFonts w:ascii="Times New Roman" w:hAnsi="Times New Roman" w:cs="Times New Roman"/>
          <w:spacing w:val="-2"/>
          <w:sz w:val="21"/>
          <w:szCs w:val="21"/>
        </w:rPr>
      </w:pPr>
      <w:r w:rsidRPr="008A717A">
        <w:rPr>
          <w:rFonts w:ascii="Times New Roman" w:hAnsi="Times New Roman" w:cs="Times New Roman"/>
          <w:noProof/>
          <w:lang w:val="ru-RU" w:eastAsia="ru-RU"/>
        </w:rPr>
        <mc:AlternateContent>
          <mc:Choice Requires="wpg">
            <w:drawing>
              <wp:anchor distT="0" distB="0" distL="114300" distR="114300" simplePos="0" relativeHeight="251692032" behindDoc="0" locked="0" layoutInCell="1" allowOverlap="1" wp14:anchorId="689720BB" wp14:editId="08CF9235">
                <wp:simplePos x="0" y="0"/>
                <wp:positionH relativeFrom="column">
                  <wp:posOffset>-423</wp:posOffset>
                </wp:positionH>
                <wp:positionV relativeFrom="paragraph">
                  <wp:posOffset>-31327</wp:posOffset>
                </wp:positionV>
                <wp:extent cx="3793015" cy="2336800"/>
                <wp:effectExtent l="0" t="76200" r="112395" b="25400"/>
                <wp:wrapNone/>
                <wp:docPr id="1044" name="Group 6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3015" cy="2336800"/>
                          <a:chOff x="1763" y="6862"/>
                          <a:chExt cx="7978" cy="3779"/>
                        </a:xfrm>
                      </wpg:grpSpPr>
                      <wps:wsp>
                        <wps:cNvPr id="1045" name="AutoShape 609"/>
                        <wps:cNvSpPr>
                          <a:spLocks noChangeArrowheads="1"/>
                        </wps:cNvSpPr>
                        <wps:spPr bwMode="auto">
                          <a:xfrm>
                            <a:off x="4220" y="7545"/>
                            <a:ext cx="2048" cy="2356"/>
                          </a:xfrm>
                          <a:prstGeom prst="chevron">
                            <a:avLst>
                              <a:gd name="adj" fmla="val 25000"/>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BE40F8" w:rsidRPr="005857EA" w:rsidRDefault="00BE40F8" w:rsidP="00B233DE">
                              <w:pPr>
                                <w:tabs>
                                  <w:tab w:val="left" w:pos="900"/>
                                </w:tabs>
                                <w:ind w:left="540"/>
                                <w:rPr>
                                  <w:rFonts w:ascii="Calibri" w:hAnsi="Calibri"/>
                                  <w:sz w:val="14"/>
                                  <w:szCs w:val="14"/>
                                  <w:lang w:val="en-US"/>
                                </w:rPr>
                              </w:pPr>
                            </w:p>
                            <w:p w:rsidR="00BE40F8" w:rsidRPr="002C4180" w:rsidRDefault="00BE40F8" w:rsidP="00B233DE">
                              <w:pPr>
                                <w:tabs>
                                  <w:tab w:val="left" w:pos="900"/>
                                </w:tabs>
                                <w:ind w:firstLine="0"/>
                                <w:jc w:val="center"/>
                                <w:rPr>
                                  <w:rFonts w:ascii="Times New Roman" w:hAnsi="Times New Roman" w:cs="Times New Roman"/>
                                  <w:sz w:val="14"/>
                                  <w:szCs w:val="14"/>
                                </w:rPr>
                              </w:pPr>
                              <w:r w:rsidRPr="002C4180">
                                <w:rPr>
                                  <w:rFonts w:ascii="Times New Roman" w:hAnsi="Times New Roman" w:cs="Times New Roman"/>
                                  <w:sz w:val="14"/>
                                  <w:szCs w:val="14"/>
                                  <w:lang w:val="en-US"/>
                                </w:rPr>
                                <w:t>SWOT</w:t>
                              </w:r>
                              <w:r w:rsidRPr="002C4180">
                                <w:rPr>
                                  <w:rFonts w:ascii="Times New Roman" w:hAnsi="Times New Roman" w:cs="Times New Roman"/>
                                  <w:sz w:val="14"/>
                                  <w:szCs w:val="14"/>
                                </w:rPr>
                                <w:t xml:space="preserve"> – аналіз су</w:t>
                              </w:r>
                              <w:r>
                                <w:rPr>
                                  <w:rFonts w:ascii="Times New Roman" w:hAnsi="Times New Roman" w:cs="Times New Roman"/>
                                  <w:sz w:val="14"/>
                                  <w:szCs w:val="14"/>
                                </w:rPr>
                                <w:t>-</w:t>
                              </w:r>
                              <w:r w:rsidRPr="002C4180">
                                <w:rPr>
                                  <w:rFonts w:ascii="Times New Roman" w:hAnsi="Times New Roman" w:cs="Times New Roman"/>
                                  <w:sz w:val="14"/>
                                  <w:szCs w:val="14"/>
                                </w:rPr>
                                <w:t>часного стану міг</w:t>
                              </w:r>
                              <w:r>
                                <w:rPr>
                                  <w:rFonts w:ascii="Times New Roman" w:hAnsi="Times New Roman" w:cs="Times New Roman"/>
                                  <w:sz w:val="14"/>
                                  <w:szCs w:val="14"/>
                                </w:rPr>
                                <w:t>-</w:t>
                              </w:r>
                              <w:r w:rsidRPr="002C4180">
                                <w:rPr>
                                  <w:rFonts w:ascii="Times New Roman" w:hAnsi="Times New Roman" w:cs="Times New Roman"/>
                                  <w:sz w:val="14"/>
                                  <w:szCs w:val="14"/>
                                </w:rPr>
                                <w:t>раційного перерозподілу люд</w:t>
                              </w:r>
                              <w:r>
                                <w:rPr>
                                  <w:rFonts w:ascii="Times New Roman" w:hAnsi="Times New Roman" w:cs="Times New Roman"/>
                                  <w:sz w:val="14"/>
                                  <w:szCs w:val="14"/>
                                </w:rPr>
                                <w:t>-</w:t>
                              </w:r>
                              <w:r w:rsidRPr="002C4180">
                                <w:rPr>
                                  <w:rFonts w:ascii="Times New Roman" w:hAnsi="Times New Roman" w:cs="Times New Roman"/>
                                  <w:sz w:val="14"/>
                                  <w:szCs w:val="14"/>
                                </w:rPr>
                                <w:t>ського потенціалу у</w:t>
                              </w:r>
                              <w:r w:rsidRPr="005857EA">
                                <w:rPr>
                                  <w:rFonts w:ascii="Calibri" w:hAnsi="Calibri"/>
                                  <w:sz w:val="14"/>
                                  <w:szCs w:val="14"/>
                                </w:rPr>
                                <w:t xml:space="preserve"> </w:t>
                              </w:r>
                              <w:r w:rsidRPr="002C4180">
                                <w:rPr>
                                  <w:rFonts w:ascii="Times New Roman" w:hAnsi="Times New Roman" w:cs="Times New Roman"/>
                                  <w:sz w:val="14"/>
                                  <w:szCs w:val="14"/>
                                </w:rPr>
                                <w:t>мігра</w:t>
                              </w:r>
                              <w:r>
                                <w:rPr>
                                  <w:rFonts w:ascii="Times New Roman" w:hAnsi="Times New Roman" w:cs="Times New Roman"/>
                                  <w:sz w:val="14"/>
                                  <w:szCs w:val="14"/>
                                </w:rPr>
                                <w:t>-</w:t>
                              </w:r>
                              <w:r w:rsidRPr="002C4180">
                                <w:rPr>
                                  <w:rFonts w:ascii="Times New Roman" w:hAnsi="Times New Roman" w:cs="Times New Roman"/>
                                  <w:sz w:val="14"/>
                                  <w:szCs w:val="14"/>
                                </w:rPr>
                                <w:t>ційних центрах</w:t>
                              </w:r>
                              <w:r w:rsidRPr="005857EA">
                                <w:rPr>
                                  <w:rFonts w:ascii="Calibri" w:hAnsi="Calibri"/>
                                  <w:sz w:val="14"/>
                                  <w:szCs w:val="14"/>
                                </w:rPr>
                                <w:t xml:space="preserve"> </w:t>
                              </w:r>
                              <w:r w:rsidRPr="002C4180">
                                <w:rPr>
                                  <w:rFonts w:ascii="Times New Roman" w:hAnsi="Times New Roman" w:cs="Times New Roman"/>
                                  <w:sz w:val="14"/>
                                  <w:szCs w:val="14"/>
                                </w:rPr>
                                <w:t>світу</w:t>
                              </w:r>
                            </w:p>
                            <w:p w:rsidR="00BE40F8" w:rsidRPr="005857EA" w:rsidRDefault="00BE40F8" w:rsidP="00B233DE">
                              <w:pPr>
                                <w:rPr>
                                  <w:rFonts w:ascii="Calibri" w:hAnsi="Calibri"/>
                                  <w:sz w:val="14"/>
                                  <w:szCs w:val="14"/>
                                </w:rPr>
                              </w:pPr>
                            </w:p>
                          </w:txbxContent>
                        </wps:txbx>
                        <wps:bodyPr rot="0" vert="horz" wrap="square" lIns="0" tIns="0" rIns="0" bIns="0" anchor="ctr" anchorCtr="0" upright="1">
                          <a:noAutofit/>
                        </wps:bodyPr>
                      </wps:wsp>
                      <wps:wsp>
                        <wps:cNvPr id="1046" name="AutoShape 610"/>
                        <wps:cNvSpPr>
                          <a:spLocks noChangeArrowheads="1"/>
                        </wps:cNvSpPr>
                        <wps:spPr bwMode="auto">
                          <a:xfrm>
                            <a:off x="1763" y="7894"/>
                            <a:ext cx="1516" cy="1702"/>
                          </a:xfrm>
                          <a:prstGeom prst="homePlate">
                            <a:avLst>
                              <a:gd name="adj" fmla="val 32111"/>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BE40F8" w:rsidRPr="002C4180" w:rsidRDefault="00BE40F8" w:rsidP="00B233DE">
                              <w:pPr>
                                <w:ind w:firstLine="0"/>
                                <w:jc w:val="center"/>
                                <w:rPr>
                                  <w:rFonts w:ascii="Times New Roman" w:hAnsi="Times New Roman" w:cs="Times New Roman"/>
                                  <w:sz w:val="14"/>
                                  <w:szCs w:val="14"/>
                                </w:rPr>
                              </w:pPr>
                              <w:r w:rsidRPr="002C4180">
                                <w:rPr>
                                  <w:rFonts w:ascii="Times New Roman" w:hAnsi="Times New Roman" w:cs="Times New Roman"/>
                                  <w:sz w:val="14"/>
                                  <w:szCs w:val="14"/>
                                </w:rPr>
                                <w:t>Визначення передумов зростаючого значення міжнародних міграційних переміщень</w:t>
                              </w:r>
                            </w:p>
                          </w:txbxContent>
                        </wps:txbx>
                        <wps:bodyPr rot="0" vert="horz" wrap="square" lIns="0" tIns="0" rIns="0" bIns="0" anchor="ctr" anchorCtr="0" upright="1">
                          <a:noAutofit/>
                        </wps:bodyPr>
                      </wps:wsp>
                      <wps:wsp>
                        <wps:cNvPr id="1047" name="AutoShape 611"/>
                        <wps:cNvSpPr>
                          <a:spLocks noChangeArrowheads="1"/>
                        </wps:cNvSpPr>
                        <wps:spPr bwMode="auto">
                          <a:xfrm>
                            <a:off x="2751" y="7697"/>
                            <a:ext cx="2057" cy="2094"/>
                          </a:xfrm>
                          <a:prstGeom prst="chevron">
                            <a:avLst>
                              <a:gd name="adj" fmla="val 25000"/>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BE40F8" w:rsidRPr="005857EA" w:rsidRDefault="00BE40F8" w:rsidP="00B233DE">
                              <w:pPr>
                                <w:ind w:firstLine="0"/>
                                <w:jc w:val="center"/>
                                <w:rPr>
                                  <w:rFonts w:ascii="Calibri" w:hAnsi="Calibri"/>
                                  <w:sz w:val="14"/>
                                  <w:szCs w:val="14"/>
                                </w:rPr>
                              </w:pPr>
                            </w:p>
                            <w:p w:rsidR="00BE40F8" w:rsidRPr="002C4180" w:rsidRDefault="00BE40F8" w:rsidP="00B233DE">
                              <w:pPr>
                                <w:ind w:firstLine="0"/>
                                <w:jc w:val="center"/>
                                <w:rPr>
                                  <w:rFonts w:ascii="Times New Roman" w:hAnsi="Times New Roman" w:cs="Times New Roman"/>
                                  <w:sz w:val="14"/>
                                  <w:szCs w:val="14"/>
                                </w:rPr>
                              </w:pPr>
                              <w:r w:rsidRPr="002C4180">
                                <w:rPr>
                                  <w:rFonts w:ascii="Times New Roman" w:hAnsi="Times New Roman" w:cs="Times New Roman"/>
                                  <w:sz w:val="14"/>
                                  <w:szCs w:val="14"/>
                                </w:rPr>
                                <w:t xml:space="preserve">Оцінка наслідків </w:t>
                              </w:r>
                              <w:r w:rsidRPr="002C4180">
                                <w:rPr>
                                  <w:rFonts w:ascii="Times New Roman" w:hAnsi="Times New Roman" w:cs="Times New Roman"/>
                                  <w:spacing w:val="-6"/>
                                  <w:sz w:val="14"/>
                                  <w:szCs w:val="14"/>
                                </w:rPr>
                                <w:t xml:space="preserve">міграційного </w:t>
                              </w:r>
                              <w:r w:rsidRPr="002C4180">
                                <w:rPr>
                                  <w:rFonts w:ascii="Times New Roman" w:hAnsi="Times New Roman" w:cs="Times New Roman"/>
                                  <w:sz w:val="14"/>
                                  <w:szCs w:val="14"/>
                                </w:rPr>
                                <w:t>перерозпо</w:t>
                              </w:r>
                              <w:r>
                                <w:rPr>
                                  <w:rFonts w:ascii="Times New Roman" w:hAnsi="Times New Roman" w:cs="Times New Roman"/>
                                  <w:sz w:val="14"/>
                                  <w:szCs w:val="14"/>
                                </w:rPr>
                                <w:t>-</w:t>
                              </w:r>
                              <w:r w:rsidRPr="002C4180">
                                <w:rPr>
                                  <w:rFonts w:ascii="Times New Roman" w:hAnsi="Times New Roman" w:cs="Times New Roman"/>
                                  <w:sz w:val="14"/>
                                  <w:szCs w:val="14"/>
                                </w:rPr>
                                <w:t>ділу людсь</w:t>
                              </w:r>
                              <w:r>
                                <w:rPr>
                                  <w:rFonts w:ascii="Times New Roman" w:hAnsi="Times New Roman" w:cs="Times New Roman"/>
                                  <w:sz w:val="14"/>
                                  <w:szCs w:val="14"/>
                                </w:rPr>
                                <w:t>-</w:t>
                              </w:r>
                              <w:r w:rsidRPr="002C4180">
                                <w:rPr>
                                  <w:rFonts w:ascii="Times New Roman" w:hAnsi="Times New Roman" w:cs="Times New Roman"/>
                                  <w:sz w:val="14"/>
                                  <w:szCs w:val="14"/>
                                </w:rPr>
                                <w:t>кого потен</w:t>
                              </w:r>
                              <w:r>
                                <w:rPr>
                                  <w:rFonts w:ascii="Times New Roman" w:hAnsi="Times New Roman" w:cs="Times New Roman"/>
                                  <w:sz w:val="14"/>
                                  <w:szCs w:val="14"/>
                                </w:rPr>
                                <w:t>-</w:t>
                              </w:r>
                              <w:r w:rsidRPr="002C4180">
                                <w:rPr>
                                  <w:rFonts w:ascii="Times New Roman" w:hAnsi="Times New Roman" w:cs="Times New Roman"/>
                                  <w:sz w:val="14"/>
                                  <w:szCs w:val="14"/>
                                </w:rPr>
                                <w:t>ціалу на су</w:t>
                              </w:r>
                              <w:r>
                                <w:rPr>
                                  <w:rFonts w:ascii="Times New Roman" w:hAnsi="Times New Roman" w:cs="Times New Roman"/>
                                  <w:sz w:val="14"/>
                                  <w:szCs w:val="14"/>
                                </w:rPr>
                                <w:t>-</w:t>
                              </w:r>
                              <w:r w:rsidRPr="002C4180">
                                <w:rPr>
                                  <w:rFonts w:ascii="Times New Roman" w:hAnsi="Times New Roman" w:cs="Times New Roman"/>
                                  <w:sz w:val="14"/>
                                  <w:szCs w:val="14"/>
                                </w:rPr>
                                <w:t>часному етапі</w:t>
                              </w:r>
                            </w:p>
                          </w:txbxContent>
                        </wps:txbx>
                        <wps:bodyPr rot="0" vert="horz" wrap="square" lIns="0" tIns="0" rIns="0" bIns="0" anchor="ctr" anchorCtr="0" upright="1">
                          <a:noAutofit/>
                        </wps:bodyPr>
                      </wps:wsp>
                      <wps:wsp>
                        <wps:cNvPr id="1048" name="AutoShape 612"/>
                        <wps:cNvSpPr>
                          <a:spLocks noChangeArrowheads="1"/>
                        </wps:cNvSpPr>
                        <wps:spPr bwMode="auto">
                          <a:xfrm>
                            <a:off x="5582" y="6862"/>
                            <a:ext cx="2881" cy="3779"/>
                          </a:xfrm>
                          <a:prstGeom prst="chevron">
                            <a:avLst>
                              <a:gd name="adj" fmla="val 25000"/>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BE40F8" w:rsidRPr="002C4180" w:rsidRDefault="00BE40F8" w:rsidP="00B233DE">
                              <w:pPr>
                                <w:ind w:firstLine="0"/>
                                <w:jc w:val="center"/>
                                <w:rPr>
                                  <w:rFonts w:ascii="Calibri" w:hAnsi="Calibri"/>
                                  <w:spacing w:val="-8"/>
                                  <w:sz w:val="14"/>
                                  <w:szCs w:val="14"/>
                                </w:rPr>
                              </w:pPr>
                              <w:r w:rsidRPr="002C4180">
                                <w:rPr>
                                  <w:rFonts w:ascii="Times New Roman" w:hAnsi="Times New Roman" w:cs="Times New Roman"/>
                                  <w:spacing w:val="-4"/>
                                  <w:sz w:val="14"/>
                                  <w:szCs w:val="14"/>
                                </w:rPr>
                                <w:t>Визначення цілей керованого міграційного перерозподілу ЛП шляхом доведення гіпотези про керований міграційний перерозподіл ЛП на базі задоволення освітньо-кваліфікаційної та демографічної потреб у ЛП і під</w:t>
                              </w:r>
                              <w:r>
                                <w:rPr>
                                  <w:rFonts w:ascii="Times New Roman" w:hAnsi="Times New Roman" w:cs="Times New Roman"/>
                                  <w:spacing w:val="-4"/>
                                  <w:sz w:val="14"/>
                                  <w:szCs w:val="14"/>
                                </w:rPr>
                                <w:t>-</w:t>
                              </w:r>
                              <w:r w:rsidRPr="002C4180">
                                <w:rPr>
                                  <w:rFonts w:ascii="Times New Roman" w:hAnsi="Times New Roman" w:cs="Times New Roman"/>
                                  <w:spacing w:val="-4"/>
                                  <w:sz w:val="14"/>
                                  <w:szCs w:val="14"/>
                                </w:rPr>
                                <w:t>вищення показ</w:t>
                              </w:r>
                              <w:r>
                                <w:rPr>
                                  <w:rFonts w:ascii="Times New Roman" w:hAnsi="Times New Roman" w:cs="Times New Roman"/>
                                  <w:spacing w:val="-4"/>
                                  <w:sz w:val="14"/>
                                  <w:szCs w:val="14"/>
                                </w:rPr>
                                <w:t>-</w:t>
                              </w:r>
                              <w:r w:rsidRPr="002C4180">
                                <w:rPr>
                                  <w:rFonts w:ascii="Times New Roman" w:hAnsi="Times New Roman" w:cs="Times New Roman"/>
                                  <w:spacing w:val="-4"/>
                                  <w:sz w:val="14"/>
                                  <w:szCs w:val="14"/>
                                </w:rPr>
                                <w:t>ників міграційної привабливості країн світу за до</w:t>
                              </w:r>
                              <w:r>
                                <w:rPr>
                                  <w:rFonts w:ascii="Times New Roman" w:hAnsi="Times New Roman" w:cs="Times New Roman"/>
                                  <w:spacing w:val="-4"/>
                                  <w:sz w:val="14"/>
                                  <w:szCs w:val="14"/>
                                </w:rPr>
                                <w:t>-</w:t>
                              </w:r>
                              <w:r w:rsidRPr="002C4180">
                                <w:rPr>
                                  <w:rFonts w:ascii="Times New Roman" w:hAnsi="Times New Roman" w:cs="Times New Roman"/>
                                  <w:spacing w:val="-4"/>
                                  <w:sz w:val="14"/>
                                  <w:szCs w:val="14"/>
                                </w:rPr>
                                <w:t>помогою роз</w:t>
                              </w:r>
                              <w:r>
                                <w:rPr>
                                  <w:rFonts w:ascii="Times New Roman" w:hAnsi="Times New Roman" w:cs="Times New Roman"/>
                                  <w:spacing w:val="-4"/>
                                  <w:sz w:val="14"/>
                                  <w:szCs w:val="14"/>
                                </w:rPr>
                                <w:t>-</w:t>
                              </w:r>
                              <w:r w:rsidRPr="002C4180">
                                <w:rPr>
                                  <w:rFonts w:ascii="Times New Roman" w:hAnsi="Times New Roman" w:cs="Times New Roman"/>
                                  <w:spacing w:val="-4"/>
                                  <w:sz w:val="14"/>
                                  <w:szCs w:val="14"/>
                                </w:rPr>
                                <w:t>рахунку і порів</w:t>
                              </w:r>
                              <w:r>
                                <w:rPr>
                                  <w:rFonts w:ascii="Times New Roman" w:hAnsi="Times New Roman" w:cs="Times New Roman"/>
                                  <w:spacing w:val="-4"/>
                                  <w:sz w:val="14"/>
                                  <w:szCs w:val="14"/>
                                </w:rPr>
                                <w:t>-</w:t>
                              </w:r>
                              <w:r w:rsidRPr="002C4180">
                                <w:rPr>
                                  <w:rFonts w:ascii="Times New Roman" w:hAnsi="Times New Roman" w:cs="Times New Roman"/>
                                  <w:spacing w:val="-8"/>
                                  <w:sz w:val="14"/>
                                  <w:szCs w:val="14"/>
                                </w:rPr>
                                <w:t>няння двох індексів</w:t>
                              </w:r>
                            </w:p>
                          </w:txbxContent>
                        </wps:txbx>
                        <wps:bodyPr rot="0" vert="horz" wrap="square" lIns="0" tIns="0" rIns="0" bIns="0" anchor="ctr" anchorCtr="0" upright="1">
                          <a:noAutofit/>
                        </wps:bodyPr>
                      </wps:wsp>
                      <wps:wsp>
                        <wps:cNvPr id="1049" name="AutoShape 613"/>
                        <wps:cNvSpPr>
                          <a:spLocks noChangeArrowheads="1"/>
                        </wps:cNvSpPr>
                        <wps:spPr bwMode="auto">
                          <a:xfrm>
                            <a:off x="8040" y="7755"/>
                            <a:ext cx="1701" cy="1841"/>
                          </a:xfrm>
                          <a:prstGeom prst="chevron">
                            <a:avLst>
                              <a:gd name="adj" fmla="val 25571"/>
                            </a:avLst>
                          </a:prstGeom>
                          <a:solidFill>
                            <a:srgbClr val="FFFFFF"/>
                          </a:solidFill>
                          <a:ln w="15875">
                            <a:solidFill>
                              <a:srgbClr val="000000"/>
                            </a:solidFill>
                            <a:miter lim="800000"/>
                            <a:headEnd/>
                            <a:tailEnd/>
                          </a:ln>
                          <a:effectLst>
                            <a:outerShdw dist="107763" dir="18900000" algn="ctr" rotWithShape="0">
                              <a:srgbClr val="808080">
                                <a:alpha val="50000"/>
                              </a:srgbClr>
                            </a:outerShdw>
                          </a:effectLst>
                        </wps:spPr>
                        <wps:txbx>
                          <w:txbxContent>
                            <w:p w:rsidR="00BE40F8" w:rsidRPr="00FA220A" w:rsidRDefault="00BE40F8" w:rsidP="00B233DE">
                              <w:pPr>
                                <w:ind w:firstLine="0"/>
                                <w:jc w:val="center"/>
                                <w:rPr>
                                  <w:rFonts w:ascii="Times New Roman" w:hAnsi="Times New Roman" w:cs="Times New Roman"/>
                                  <w:sz w:val="14"/>
                                  <w:szCs w:val="14"/>
                                </w:rPr>
                              </w:pPr>
                              <w:r w:rsidRPr="00FA220A">
                                <w:rPr>
                                  <w:rFonts w:ascii="Times New Roman" w:hAnsi="Times New Roman" w:cs="Times New Roman"/>
                                  <w:sz w:val="14"/>
                                  <w:szCs w:val="14"/>
                                </w:rPr>
                                <w:t>Розробка інструментів міг</w:t>
                              </w:r>
                              <w:r>
                                <w:rPr>
                                  <w:rFonts w:ascii="Times New Roman" w:hAnsi="Times New Roman" w:cs="Times New Roman"/>
                                  <w:sz w:val="14"/>
                                  <w:szCs w:val="14"/>
                                </w:rPr>
                                <w:t>-</w:t>
                              </w:r>
                              <w:r w:rsidRPr="00FA220A">
                                <w:rPr>
                                  <w:rFonts w:ascii="Times New Roman" w:hAnsi="Times New Roman" w:cs="Times New Roman"/>
                                  <w:sz w:val="14"/>
                                  <w:szCs w:val="14"/>
                                </w:rPr>
                                <w:t>раційного перероз</w:t>
                              </w:r>
                              <w:r>
                                <w:rPr>
                                  <w:rFonts w:ascii="Times New Roman" w:hAnsi="Times New Roman" w:cs="Times New Roman"/>
                                  <w:sz w:val="14"/>
                                  <w:szCs w:val="14"/>
                                </w:rPr>
                                <w:t>-</w:t>
                              </w:r>
                              <w:r w:rsidRPr="00FA220A">
                                <w:rPr>
                                  <w:rFonts w:ascii="Times New Roman" w:hAnsi="Times New Roman" w:cs="Times New Roman"/>
                                  <w:spacing w:val="-6"/>
                                  <w:sz w:val="14"/>
                                  <w:szCs w:val="14"/>
                                </w:rPr>
                                <w:t>поділу ЛП</w:t>
                              </w:r>
                              <w:r w:rsidRPr="00FA220A">
                                <w:rPr>
                                  <w:rFonts w:ascii="Times New Roman" w:hAnsi="Times New Roman" w:cs="Times New Roman"/>
                                  <w:sz w:val="14"/>
                                  <w:szCs w:val="14"/>
                                </w:rPr>
                                <w:t xml:space="preserve"> </w:t>
                              </w:r>
                              <w:r w:rsidRPr="00FA220A">
                                <w:rPr>
                                  <w:rFonts w:ascii="Times New Roman" w:hAnsi="Times New Roman" w:cs="Times New Roman"/>
                                  <w:spacing w:val="-6"/>
                                  <w:sz w:val="14"/>
                                  <w:szCs w:val="14"/>
                                </w:rPr>
                                <w:t xml:space="preserve">відповідно </w:t>
                              </w:r>
                              <w:r w:rsidRPr="00FA220A">
                                <w:rPr>
                                  <w:rFonts w:ascii="Times New Roman" w:hAnsi="Times New Roman" w:cs="Times New Roman"/>
                                  <w:sz w:val="14"/>
                                  <w:szCs w:val="14"/>
                                </w:rPr>
                                <w:t>до основних цілей</w:t>
                              </w:r>
                            </w:p>
                          </w:txbxContent>
                        </wps:txbx>
                        <wps:bodyPr rot="0" vert="horz" wrap="square" lIns="0" tIns="0" rIns="0" bIns="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9720BB" id="Group 608" o:spid="_x0000_s1904" style="position:absolute;left:0;text-align:left;margin-left:-.05pt;margin-top:-2.45pt;width:298.65pt;height:184pt;z-index:251692032;mso-position-horizontal-relative:text;mso-position-vertical-relative:text" coordorigin="1763,6862" coordsize="7978,37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">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AutoShape 609" o:spid="_x0000_s1905" type="#_x0000_t55" style="position:absolute;left:4220;top:7545;width:2048;height:23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">
                  <v:shadow on="t" opacity=".5" offset="6pt,-6pt"/>
                  <v:textbox inset="0,0,0,0">
                    <w:txbxContent>
                      <w:p w:rsidR="00BE40F8" w:rsidRPr="005857EA" w:rsidRDefault="00BE40F8" w:rsidP="00B233DE">
                        <w:pPr>
                          <w:tabs>
                            <w:tab w:val="left" w:pos="900"/>
                          </w:tabs>
                          <w:ind w:left="540"/>
                          <w:rPr>
                            <w:rFonts w:ascii="Calibri" w:hAnsi="Calibri"/>
                            <w:sz w:val="14"/>
                            <w:szCs w:val="14"/>
                            <w:lang w:val="en-US"/>
                          </w:rPr>
                        </w:pPr>
                      </w:p>
                      <w:p w:rsidR="00BE40F8" w:rsidRPr="002C4180" w:rsidRDefault="00BE40F8" w:rsidP="00B233DE">
                        <w:pPr>
                          <w:tabs>
                            <w:tab w:val="left" w:pos="900"/>
                          </w:tabs>
                          <w:ind w:firstLine="0"/>
                          <w:jc w:val="center"/>
                          <w:rPr>
                            <w:rFonts w:ascii="Times New Roman" w:hAnsi="Times New Roman" w:cs="Times New Roman"/>
                            <w:sz w:val="14"/>
                            <w:szCs w:val="14"/>
                          </w:rPr>
                        </w:pPr>
                        <w:r w:rsidRPr="002C4180">
                          <w:rPr>
                            <w:rFonts w:ascii="Times New Roman" w:hAnsi="Times New Roman" w:cs="Times New Roman"/>
                            <w:sz w:val="14"/>
                            <w:szCs w:val="14"/>
                            <w:lang w:val="en-US"/>
                          </w:rPr>
                          <w:t>SWOT</w:t>
                        </w:r>
                        <w:r w:rsidRPr="002C4180">
                          <w:rPr>
                            <w:rFonts w:ascii="Times New Roman" w:hAnsi="Times New Roman" w:cs="Times New Roman"/>
                            <w:sz w:val="14"/>
                            <w:szCs w:val="14"/>
                          </w:rPr>
                          <w:t xml:space="preserve"> – аналіз су</w:t>
                        </w:r>
                        <w:r>
                          <w:rPr>
                            <w:rFonts w:ascii="Times New Roman" w:hAnsi="Times New Roman" w:cs="Times New Roman"/>
                            <w:sz w:val="14"/>
                            <w:szCs w:val="14"/>
                          </w:rPr>
                          <w:t>-</w:t>
                        </w:r>
                        <w:r w:rsidRPr="002C4180">
                          <w:rPr>
                            <w:rFonts w:ascii="Times New Roman" w:hAnsi="Times New Roman" w:cs="Times New Roman"/>
                            <w:sz w:val="14"/>
                            <w:szCs w:val="14"/>
                          </w:rPr>
                          <w:t>часного стану міг</w:t>
                        </w:r>
                        <w:r>
                          <w:rPr>
                            <w:rFonts w:ascii="Times New Roman" w:hAnsi="Times New Roman" w:cs="Times New Roman"/>
                            <w:sz w:val="14"/>
                            <w:szCs w:val="14"/>
                          </w:rPr>
                          <w:t>-</w:t>
                        </w:r>
                        <w:r w:rsidRPr="002C4180">
                          <w:rPr>
                            <w:rFonts w:ascii="Times New Roman" w:hAnsi="Times New Roman" w:cs="Times New Roman"/>
                            <w:sz w:val="14"/>
                            <w:szCs w:val="14"/>
                          </w:rPr>
                          <w:t>раційного перерозподілу люд</w:t>
                        </w:r>
                        <w:r>
                          <w:rPr>
                            <w:rFonts w:ascii="Times New Roman" w:hAnsi="Times New Roman" w:cs="Times New Roman"/>
                            <w:sz w:val="14"/>
                            <w:szCs w:val="14"/>
                          </w:rPr>
                          <w:t>-</w:t>
                        </w:r>
                        <w:r w:rsidRPr="002C4180">
                          <w:rPr>
                            <w:rFonts w:ascii="Times New Roman" w:hAnsi="Times New Roman" w:cs="Times New Roman"/>
                            <w:sz w:val="14"/>
                            <w:szCs w:val="14"/>
                          </w:rPr>
                          <w:t>ського потенціалу у</w:t>
                        </w:r>
                        <w:r w:rsidRPr="005857EA">
                          <w:rPr>
                            <w:rFonts w:ascii="Calibri" w:hAnsi="Calibri"/>
                            <w:sz w:val="14"/>
                            <w:szCs w:val="14"/>
                          </w:rPr>
                          <w:t xml:space="preserve"> </w:t>
                        </w:r>
                        <w:r w:rsidRPr="002C4180">
                          <w:rPr>
                            <w:rFonts w:ascii="Times New Roman" w:hAnsi="Times New Roman" w:cs="Times New Roman"/>
                            <w:sz w:val="14"/>
                            <w:szCs w:val="14"/>
                          </w:rPr>
                          <w:t>мігра</w:t>
                        </w:r>
                        <w:r>
                          <w:rPr>
                            <w:rFonts w:ascii="Times New Roman" w:hAnsi="Times New Roman" w:cs="Times New Roman"/>
                            <w:sz w:val="14"/>
                            <w:szCs w:val="14"/>
                          </w:rPr>
                          <w:t>-</w:t>
                        </w:r>
                        <w:r w:rsidRPr="002C4180">
                          <w:rPr>
                            <w:rFonts w:ascii="Times New Roman" w:hAnsi="Times New Roman" w:cs="Times New Roman"/>
                            <w:sz w:val="14"/>
                            <w:szCs w:val="14"/>
                          </w:rPr>
                          <w:t>ційних центрах</w:t>
                        </w:r>
                        <w:r w:rsidRPr="005857EA">
                          <w:rPr>
                            <w:rFonts w:ascii="Calibri" w:hAnsi="Calibri"/>
                            <w:sz w:val="14"/>
                            <w:szCs w:val="14"/>
                          </w:rPr>
                          <w:t xml:space="preserve"> </w:t>
                        </w:r>
                        <w:r w:rsidRPr="002C4180">
                          <w:rPr>
                            <w:rFonts w:ascii="Times New Roman" w:hAnsi="Times New Roman" w:cs="Times New Roman"/>
                            <w:sz w:val="14"/>
                            <w:szCs w:val="14"/>
                          </w:rPr>
                          <w:t>світу</w:t>
                        </w:r>
                      </w:p>
                      <w:p w:rsidR="00BE40F8" w:rsidRPr="005857EA" w:rsidRDefault="00BE40F8" w:rsidP="00B233DE">
                        <w:pPr>
                          <w:rPr>
                            <w:rFonts w:ascii="Calibri" w:hAnsi="Calibri"/>
                            <w:sz w:val="14"/>
                            <w:szCs w:val="14"/>
                          </w:rPr>
                        </w:pPr>
                      </w:p>
                    </w:txbxContent>
                  </v:textbox>
                </v:shape>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610" o:spid="_x0000_s1906" type="#_x0000_t15" style="position:absolute;left:1763;top:7894;width:1516;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" adj="14664">
                  <v:shadow on="t" opacity=".5" offset="6pt,-6pt"/>
                  <v:textbox inset="0,0,0,0">
                    <w:txbxContent>
                      <w:p w:rsidR="00BE40F8" w:rsidRPr="002C4180" w:rsidRDefault="00BE40F8" w:rsidP="00B233DE">
                        <w:pPr>
                          <w:ind w:firstLine="0"/>
                          <w:jc w:val="center"/>
                          <w:rPr>
                            <w:rFonts w:ascii="Times New Roman" w:hAnsi="Times New Roman" w:cs="Times New Roman"/>
                            <w:sz w:val="14"/>
                            <w:szCs w:val="14"/>
                          </w:rPr>
                        </w:pPr>
                        <w:r w:rsidRPr="002C4180">
                          <w:rPr>
                            <w:rFonts w:ascii="Times New Roman" w:hAnsi="Times New Roman" w:cs="Times New Roman"/>
                            <w:sz w:val="14"/>
                            <w:szCs w:val="14"/>
                          </w:rPr>
                          <w:t>Визначення передумов зростаючого значення міжнародних міграційних переміщень</w:t>
                        </w:r>
                      </w:p>
                    </w:txbxContent>
                  </v:textbox>
                </v:shape>
                <v:shape id="AutoShape 611" o:spid="_x0000_s1907" type="#_x0000_t55" style="position:absolute;left:2751;top:7697;width:2057;height:2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">
                  <v:shadow on="t" opacity=".5" offset="6pt,-6pt"/>
                  <v:textbox inset="0,0,0,0">
                    <w:txbxContent>
                      <w:p w:rsidR="00BE40F8" w:rsidRPr="005857EA" w:rsidRDefault="00BE40F8" w:rsidP="00B233DE">
                        <w:pPr>
                          <w:ind w:firstLine="0"/>
                          <w:jc w:val="center"/>
                          <w:rPr>
                            <w:rFonts w:ascii="Calibri" w:hAnsi="Calibri"/>
                            <w:sz w:val="14"/>
                            <w:szCs w:val="14"/>
                          </w:rPr>
                        </w:pPr>
                      </w:p>
                      <w:p w:rsidR="00BE40F8" w:rsidRPr="002C4180" w:rsidRDefault="00BE40F8" w:rsidP="00B233DE">
                        <w:pPr>
                          <w:ind w:firstLine="0"/>
                          <w:jc w:val="center"/>
                          <w:rPr>
                            <w:rFonts w:ascii="Times New Roman" w:hAnsi="Times New Roman" w:cs="Times New Roman"/>
                            <w:sz w:val="14"/>
                            <w:szCs w:val="14"/>
                          </w:rPr>
                        </w:pPr>
                        <w:r w:rsidRPr="002C4180">
                          <w:rPr>
                            <w:rFonts w:ascii="Times New Roman" w:hAnsi="Times New Roman" w:cs="Times New Roman"/>
                            <w:sz w:val="14"/>
                            <w:szCs w:val="14"/>
                          </w:rPr>
                          <w:t xml:space="preserve">Оцінка наслідків </w:t>
                        </w:r>
                        <w:r w:rsidRPr="002C4180">
                          <w:rPr>
                            <w:rFonts w:ascii="Times New Roman" w:hAnsi="Times New Roman" w:cs="Times New Roman"/>
                            <w:spacing w:val="-6"/>
                            <w:sz w:val="14"/>
                            <w:szCs w:val="14"/>
                          </w:rPr>
                          <w:t xml:space="preserve">міграційного </w:t>
                        </w:r>
                        <w:r w:rsidRPr="002C4180">
                          <w:rPr>
                            <w:rFonts w:ascii="Times New Roman" w:hAnsi="Times New Roman" w:cs="Times New Roman"/>
                            <w:sz w:val="14"/>
                            <w:szCs w:val="14"/>
                          </w:rPr>
                          <w:t>перерозпо</w:t>
                        </w:r>
                        <w:r>
                          <w:rPr>
                            <w:rFonts w:ascii="Times New Roman" w:hAnsi="Times New Roman" w:cs="Times New Roman"/>
                            <w:sz w:val="14"/>
                            <w:szCs w:val="14"/>
                          </w:rPr>
                          <w:t>-</w:t>
                        </w:r>
                        <w:r w:rsidRPr="002C4180">
                          <w:rPr>
                            <w:rFonts w:ascii="Times New Roman" w:hAnsi="Times New Roman" w:cs="Times New Roman"/>
                            <w:sz w:val="14"/>
                            <w:szCs w:val="14"/>
                          </w:rPr>
                          <w:t>ділу людсь</w:t>
                        </w:r>
                        <w:r>
                          <w:rPr>
                            <w:rFonts w:ascii="Times New Roman" w:hAnsi="Times New Roman" w:cs="Times New Roman"/>
                            <w:sz w:val="14"/>
                            <w:szCs w:val="14"/>
                          </w:rPr>
                          <w:t>-</w:t>
                        </w:r>
                        <w:r w:rsidRPr="002C4180">
                          <w:rPr>
                            <w:rFonts w:ascii="Times New Roman" w:hAnsi="Times New Roman" w:cs="Times New Roman"/>
                            <w:sz w:val="14"/>
                            <w:szCs w:val="14"/>
                          </w:rPr>
                          <w:t>кого потен</w:t>
                        </w:r>
                        <w:r>
                          <w:rPr>
                            <w:rFonts w:ascii="Times New Roman" w:hAnsi="Times New Roman" w:cs="Times New Roman"/>
                            <w:sz w:val="14"/>
                            <w:szCs w:val="14"/>
                          </w:rPr>
                          <w:t>-</w:t>
                        </w:r>
                        <w:r w:rsidRPr="002C4180">
                          <w:rPr>
                            <w:rFonts w:ascii="Times New Roman" w:hAnsi="Times New Roman" w:cs="Times New Roman"/>
                            <w:sz w:val="14"/>
                            <w:szCs w:val="14"/>
                          </w:rPr>
                          <w:t>ціалу на су</w:t>
                        </w:r>
                        <w:r>
                          <w:rPr>
                            <w:rFonts w:ascii="Times New Roman" w:hAnsi="Times New Roman" w:cs="Times New Roman"/>
                            <w:sz w:val="14"/>
                            <w:szCs w:val="14"/>
                          </w:rPr>
                          <w:t>-</w:t>
                        </w:r>
                        <w:r w:rsidRPr="002C4180">
                          <w:rPr>
                            <w:rFonts w:ascii="Times New Roman" w:hAnsi="Times New Roman" w:cs="Times New Roman"/>
                            <w:sz w:val="14"/>
                            <w:szCs w:val="14"/>
                          </w:rPr>
                          <w:t>часному етапі</w:t>
                        </w:r>
                      </w:p>
                    </w:txbxContent>
                  </v:textbox>
                </v:shape>
                <v:shape id="AutoShape 612" o:spid="_x0000_s1908" type="#_x0000_t55" style="position:absolute;left:5582;top:6862;width:2881;height:37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">
                  <v:shadow on="t" opacity=".5" offset="6pt,-6pt"/>
                  <v:textbox inset="0,0,0,0">
                    <w:txbxContent>
                      <w:p w:rsidR="00BE40F8" w:rsidRPr="002C4180" w:rsidRDefault="00BE40F8" w:rsidP="00B233DE">
                        <w:pPr>
                          <w:ind w:firstLine="0"/>
                          <w:jc w:val="center"/>
                          <w:rPr>
                            <w:rFonts w:ascii="Calibri" w:hAnsi="Calibri"/>
                            <w:spacing w:val="-8"/>
                            <w:sz w:val="14"/>
                            <w:szCs w:val="14"/>
                          </w:rPr>
                        </w:pPr>
                        <w:r w:rsidRPr="002C4180">
                          <w:rPr>
                            <w:rFonts w:ascii="Times New Roman" w:hAnsi="Times New Roman" w:cs="Times New Roman"/>
                            <w:spacing w:val="-4"/>
                            <w:sz w:val="14"/>
                            <w:szCs w:val="14"/>
                          </w:rPr>
                          <w:t>Визначення цілей керованого міграційного перерозподілу ЛП шляхом доведення гіпотези про керований міграційний перерозподіл ЛП на базі задоволення освітньо-кваліфікаційної та демографічної потреб у ЛП і під</w:t>
                        </w:r>
                        <w:r>
                          <w:rPr>
                            <w:rFonts w:ascii="Times New Roman" w:hAnsi="Times New Roman" w:cs="Times New Roman"/>
                            <w:spacing w:val="-4"/>
                            <w:sz w:val="14"/>
                            <w:szCs w:val="14"/>
                          </w:rPr>
                          <w:t>-</w:t>
                        </w:r>
                        <w:r w:rsidRPr="002C4180">
                          <w:rPr>
                            <w:rFonts w:ascii="Times New Roman" w:hAnsi="Times New Roman" w:cs="Times New Roman"/>
                            <w:spacing w:val="-4"/>
                            <w:sz w:val="14"/>
                            <w:szCs w:val="14"/>
                          </w:rPr>
                          <w:t>вищення показ</w:t>
                        </w:r>
                        <w:r>
                          <w:rPr>
                            <w:rFonts w:ascii="Times New Roman" w:hAnsi="Times New Roman" w:cs="Times New Roman"/>
                            <w:spacing w:val="-4"/>
                            <w:sz w:val="14"/>
                            <w:szCs w:val="14"/>
                          </w:rPr>
                          <w:t>-</w:t>
                        </w:r>
                        <w:r w:rsidRPr="002C4180">
                          <w:rPr>
                            <w:rFonts w:ascii="Times New Roman" w:hAnsi="Times New Roman" w:cs="Times New Roman"/>
                            <w:spacing w:val="-4"/>
                            <w:sz w:val="14"/>
                            <w:szCs w:val="14"/>
                          </w:rPr>
                          <w:t>ників міграційної привабливості країн світу за до</w:t>
                        </w:r>
                        <w:r>
                          <w:rPr>
                            <w:rFonts w:ascii="Times New Roman" w:hAnsi="Times New Roman" w:cs="Times New Roman"/>
                            <w:spacing w:val="-4"/>
                            <w:sz w:val="14"/>
                            <w:szCs w:val="14"/>
                          </w:rPr>
                          <w:t>-</w:t>
                        </w:r>
                        <w:r w:rsidRPr="002C4180">
                          <w:rPr>
                            <w:rFonts w:ascii="Times New Roman" w:hAnsi="Times New Roman" w:cs="Times New Roman"/>
                            <w:spacing w:val="-4"/>
                            <w:sz w:val="14"/>
                            <w:szCs w:val="14"/>
                          </w:rPr>
                          <w:t>помогою роз</w:t>
                        </w:r>
                        <w:r>
                          <w:rPr>
                            <w:rFonts w:ascii="Times New Roman" w:hAnsi="Times New Roman" w:cs="Times New Roman"/>
                            <w:spacing w:val="-4"/>
                            <w:sz w:val="14"/>
                            <w:szCs w:val="14"/>
                          </w:rPr>
                          <w:t>-</w:t>
                        </w:r>
                        <w:r w:rsidRPr="002C4180">
                          <w:rPr>
                            <w:rFonts w:ascii="Times New Roman" w:hAnsi="Times New Roman" w:cs="Times New Roman"/>
                            <w:spacing w:val="-4"/>
                            <w:sz w:val="14"/>
                            <w:szCs w:val="14"/>
                          </w:rPr>
                          <w:t>рахунку і порів</w:t>
                        </w:r>
                        <w:r>
                          <w:rPr>
                            <w:rFonts w:ascii="Times New Roman" w:hAnsi="Times New Roman" w:cs="Times New Roman"/>
                            <w:spacing w:val="-4"/>
                            <w:sz w:val="14"/>
                            <w:szCs w:val="14"/>
                          </w:rPr>
                          <w:t>-</w:t>
                        </w:r>
                        <w:r w:rsidRPr="002C4180">
                          <w:rPr>
                            <w:rFonts w:ascii="Times New Roman" w:hAnsi="Times New Roman" w:cs="Times New Roman"/>
                            <w:spacing w:val="-8"/>
                            <w:sz w:val="14"/>
                            <w:szCs w:val="14"/>
                          </w:rPr>
                          <w:t>няння двох індексів</w:t>
                        </w:r>
                      </w:p>
                    </w:txbxContent>
                  </v:textbox>
                </v:shape>
                <v:shape id="AutoShape 613" o:spid="_x0000_s1909" type="#_x0000_t55" style="position:absolute;left:8040;top:7755;width:1701;height:18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" adj="16077" strokeweight="1.25pt">
                  <v:shadow on="t" opacity=".5" offset="6pt,-6pt"/>
                  <v:textbox inset="0,0,0,0">
                    <w:txbxContent>
                      <w:p w:rsidR="00BE40F8" w:rsidRPr="00FA220A" w:rsidRDefault="00BE40F8" w:rsidP="00B233DE">
                        <w:pPr>
                          <w:ind w:firstLine="0"/>
                          <w:jc w:val="center"/>
                          <w:rPr>
                            <w:rFonts w:ascii="Times New Roman" w:hAnsi="Times New Roman" w:cs="Times New Roman"/>
                            <w:sz w:val="14"/>
                            <w:szCs w:val="14"/>
                          </w:rPr>
                        </w:pPr>
                        <w:r w:rsidRPr="00FA220A">
                          <w:rPr>
                            <w:rFonts w:ascii="Times New Roman" w:hAnsi="Times New Roman" w:cs="Times New Roman"/>
                            <w:sz w:val="14"/>
                            <w:szCs w:val="14"/>
                          </w:rPr>
                          <w:t>Розробка інструментів міг</w:t>
                        </w:r>
                        <w:r>
                          <w:rPr>
                            <w:rFonts w:ascii="Times New Roman" w:hAnsi="Times New Roman" w:cs="Times New Roman"/>
                            <w:sz w:val="14"/>
                            <w:szCs w:val="14"/>
                          </w:rPr>
                          <w:t>-</w:t>
                        </w:r>
                        <w:r w:rsidRPr="00FA220A">
                          <w:rPr>
                            <w:rFonts w:ascii="Times New Roman" w:hAnsi="Times New Roman" w:cs="Times New Roman"/>
                            <w:sz w:val="14"/>
                            <w:szCs w:val="14"/>
                          </w:rPr>
                          <w:t>раційного перероз</w:t>
                        </w:r>
                        <w:r>
                          <w:rPr>
                            <w:rFonts w:ascii="Times New Roman" w:hAnsi="Times New Roman" w:cs="Times New Roman"/>
                            <w:sz w:val="14"/>
                            <w:szCs w:val="14"/>
                          </w:rPr>
                          <w:t>-</w:t>
                        </w:r>
                        <w:r w:rsidRPr="00FA220A">
                          <w:rPr>
                            <w:rFonts w:ascii="Times New Roman" w:hAnsi="Times New Roman" w:cs="Times New Roman"/>
                            <w:spacing w:val="-6"/>
                            <w:sz w:val="14"/>
                            <w:szCs w:val="14"/>
                          </w:rPr>
                          <w:t>поділу ЛП</w:t>
                        </w:r>
                        <w:r w:rsidRPr="00FA220A">
                          <w:rPr>
                            <w:rFonts w:ascii="Times New Roman" w:hAnsi="Times New Roman" w:cs="Times New Roman"/>
                            <w:sz w:val="14"/>
                            <w:szCs w:val="14"/>
                          </w:rPr>
                          <w:t xml:space="preserve"> </w:t>
                        </w:r>
                        <w:r w:rsidRPr="00FA220A">
                          <w:rPr>
                            <w:rFonts w:ascii="Times New Roman" w:hAnsi="Times New Roman" w:cs="Times New Roman"/>
                            <w:spacing w:val="-6"/>
                            <w:sz w:val="14"/>
                            <w:szCs w:val="14"/>
                          </w:rPr>
                          <w:t xml:space="preserve">відповідно </w:t>
                        </w:r>
                        <w:r w:rsidRPr="00FA220A">
                          <w:rPr>
                            <w:rFonts w:ascii="Times New Roman" w:hAnsi="Times New Roman" w:cs="Times New Roman"/>
                            <w:sz w:val="14"/>
                            <w:szCs w:val="14"/>
                          </w:rPr>
                          <w:t>до основних цілей</w:t>
                        </w:r>
                      </w:p>
                    </w:txbxContent>
                  </v:textbox>
                </v:shape>
              </v:group>
            </w:pict>
          </mc:Fallback>
        </mc:AlternateContent>
      </w:r>
    </w:p>
    <w:p w:rsidR="00B233DE" w:rsidRDefault="00B233DE" w:rsidP="00B233DE">
      <w:pPr>
        <w:spacing w:line="360" w:lineRule="auto"/>
        <w:ind w:firstLine="709"/>
        <w:jc w:val="both"/>
        <w:rPr>
          <w:rFonts w:ascii="Times New Roman" w:hAnsi="Times New Roman" w:cs="Times New Roman"/>
          <w:noProof/>
          <w:sz w:val="21"/>
          <w:szCs w:val="21"/>
          <w:lang w:eastAsia="uk-UA"/>
        </w:rPr>
      </w:pPr>
    </w:p>
    <w:p w:rsidR="00B233DE" w:rsidRDefault="00B233DE" w:rsidP="00B233DE">
      <w:pPr>
        <w:spacing w:line="360" w:lineRule="auto"/>
        <w:ind w:firstLine="709"/>
        <w:jc w:val="both"/>
        <w:rPr>
          <w:rFonts w:ascii="Times New Roman" w:hAnsi="Times New Roman" w:cs="Times New Roman"/>
          <w:noProof/>
          <w:sz w:val="21"/>
          <w:szCs w:val="21"/>
          <w:lang w:eastAsia="uk-UA"/>
        </w:rPr>
      </w:pPr>
    </w:p>
    <w:p w:rsidR="00B233DE" w:rsidRDefault="00B233DE" w:rsidP="00B233DE">
      <w:pPr>
        <w:spacing w:line="360" w:lineRule="auto"/>
        <w:ind w:firstLine="709"/>
        <w:jc w:val="both"/>
        <w:rPr>
          <w:rFonts w:ascii="Times New Roman" w:hAnsi="Times New Roman" w:cs="Times New Roman"/>
          <w:noProof/>
          <w:sz w:val="21"/>
          <w:szCs w:val="21"/>
          <w:lang w:eastAsia="uk-UA"/>
        </w:rPr>
      </w:pPr>
    </w:p>
    <w:p w:rsidR="00B233DE" w:rsidRDefault="00B233DE" w:rsidP="00B233DE">
      <w:pPr>
        <w:spacing w:line="360" w:lineRule="auto"/>
        <w:ind w:firstLine="709"/>
        <w:jc w:val="both"/>
        <w:rPr>
          <w:rFonts w:ascii="Times New Roman" w:hAnsi="Times New Roman" w:cs="Times New Roman"/>
          <w:noProof/>
          <w:sz w:val="21"/>
          <w:szCs w:val="21"/>
          <w:lang w:eastAsia="uk-UA"/>
        </w:rPr>
      </w:pPr>
    </w:p>
    <w:p w:rsidR="00B233DE" w:rsidRDefault="00B233DE" w:rsidP="00B233DE">
      <w:pPr>
        <w:spacing w:line="360" w:lineRule="auto"/>
        <w:ind w:firstLine="709"/>
        <w:jc w:val="both"/>
        <w:rPr>
          <w:rFonts w:ascii="Times New Roman" w:hAnsi="Times New Roman" w:cs="Times New Roman"/>
          <w:noProof/>
          <w:sz w:val="21"/>
          <w:szCs w:val="21"/>
          <w:lang w:eastAsia="uk-UA"/>
        </w:rPr>
      </w:pPr>
    </w:p>
    <w:p w:rsidR="00B233DE" w:rsidRDefault="00B233DE" w:rsidP="00B233DE">
      <w:pPr>
        <w:spacing w:line="360" w:lineRule="auto"/>
        <w:ind w:firstLine="709"/>
        <w:jc w:val="both"/>
        <w:rPr>
          <w:rFonts w:ascii="Times New Roman" w:hAnsi="Times New Roman" w:cs="Times New Roman"/>
          <w:noProof/>
          <w:sz w:val="21"/>
          <w:szCs w:val="21"/>
          <w:lang w:eastAsia="uk-UA"/>
        </w:rPr>
      </w:pPr>
    </w:p>
    <w:p w:rsidR="00B233DE" w:rsidRDefault="00B233DE" w:rsidP="00B233DE">
      <w:pPr>
        <w:spacing w:line="360" w:lineRule="auto"/>
        <w:ind w:firstLine="709"/>
        <w:jc w:val="both"/>
        <w:rPr>
          <w:rFonts w:ascii="Times New Roman" w:hAnsi="Times New Roman" w:cs="Times New Roman"/>
          <w:noProof/>
          <w:sz w:val="21"/>
          <w:szCs w:val="21"/>
          <w:lang w:eastAsia="uk-UA"/>
        </w:rPr>
      </w:pPr>
    </w:p>
    <w:p w:rsidR="00B233DE" w:rsidRPr="008A717A" w:rsidRDefault="00B233DE" w:rsidP="00B233DE">
      <w:pPr>
        <w:spacing w:line="360" w:lineRule="auto"/>
        <w:ind w:firstLine="709"/>
        <w:jc w:val="both"/>
        <w:rPr>
          <w:rFonts w:ascii="Times New Roman" w:hAnsi="Times New Roman" w:cs="Times New Roman"/>
          <w:sz w:val="21"/>
          <w:szCs w:val="21"/>
        </w:rPr>
      </w:pPr>
    </w:p>
    <w:p w:rsidR="00B233DE" w:rsidRDefault="00B233DE" w:rsidP="00B233DE">
      <w:pPr>
        <w:tabs>
          <w:tab w:val="left" w:pos="900"/>
        </w:tabs>
        <w:ind w:firstLine="709"/>
        <w:jc w:val="both"/>
        <w:rPr>
          <w:rFonts w:ascii="Times New Roman" w:hAnsi="Times New Roman" w:cs="Times New Roman"/>
          <w:sz w:val="21"/>
          <w:szCs w:val="21"/>
        </w:rPr>
      </w:pPr>
    </w:p>
    <w:p w:rsidR="00B233DE" w:rsidRDefault="00B233DE" w:rsidP="00B233DE">
      <w:pPr>
        <w:tabs>
          <w:tab w:val="left" w:pos="900"/>
        </w:tabs>
        <w:ind w:firstLine="709"/>
        <w:jc w:val="both"/>
        <w:rPr>
          <w:rFonts w:ascii="Times New Roman" w:hAnsi="Times New Roman" w:cs="Times New Roman"/>
          <w:sz w:val="21"/>
          <w:szCs w:val="21"/>
        </w:rPr>
      </w:pPr>
    </w:p>
    <w:p w:rsidR="00B233DE" w:rsidRDefault="00B233DE" w:rsidP="00B233DE">
      <w:pPr>
        <w:tabs>
          <w:tab w:val="left" w:pos="900"/>
        </w:tabs>
        <w:ind w:firstLine="709"/>
        <w:jc w:val="both"/>
        <w:rPr>
          <w:rFonts w:ascii="Times New Roman" w:hAnsi="Times New Roman" w:cs="Times New Roman"/>
          <w:sz w:val="21"/>
          <w:szCs w:val="21"/>
        </w:rPr>
      </w:pPr>
    </w:p>
    <w:p w:rsidR="00B233DE" w:rsidRPr="00FA220A" w:rsidRDefault="00B233DE" w:rsidP="00B233DE">
      <w:pPr>
        <w:tabs>
          <w:tab w:val="left" w:pos="900"/>
        </w:tabs>
        <w:ind w:firstLine="709"/>
        <w:jc w:val="center"/>
        <w:rPr>
          <w:rFonts w:ascii="Times New Roman" w:hAnsi="Times New Roman" w:cs="Times New Roman"/>
          <w:b/>
          <w:sz w:val="21"/>
          <w:szCs w:val="21"/>
        </w:rPr>
      </w:pPr>
      <w:r w:rsidRPr="00FA220A">
        <w:rPr>
          <w:rFonts w:ascii="Times New Roman" w:hAnsi="Times New Roman" w:cs="Times New Roman"/>
          <w:b/>
          <w:sz w:val="21"/>
          <w:szCs w:val="21"/>
        </w:rPr>
        <w:t xml:space="preserve">Рис. </w:t>
      </w:r>
      <w:r>
        <w:rPr>
          <w:rFonts w:ascii="Times New Roman" w:hAnsi="Times New Roman" w:cs="Times New Roman"/>
          <w:b/>
          <w:sz w:val="21"/>
          <w:szCs w:val="21"/>
        </w:rPr>
        <w:t>4</w:t>
      </w:r>
      <w:r w:rsidRPr="00FA220A">
        <w:rPr>
          <w:rFonts w:ascii="Times New Roman" w:hAnsi="Times New Roman" w:cs="Times New Roman"/>
          <w:b/>
          <w:sz w:val="21"/>
          <w:szCs w:val="21"/>
        </w:rPr>
        <w:t>.8. Етапи теоретичного обґрунтування системи формування людського потенціалу за рахунок міграції</w:t>
      </w:r>
    </w:p>
    <w:p w:rsidR="00B233DE" w:rsidRPr="008A717A" w:rsidRDefault="00B233DE" w:rsidP="00B233DE">
      <w:pPr>
        <w:tabs>
          <w:tab w:val="left" w:pos="900"/>
        </w:tabs>
        <w:ind w:firstLine="709"/>
        <w:jc w:val="both"/>
        <w:rPr>
          <w:rFonts w:ascii="Times New Roman" w:hAnsi="Times New Roman" w:cs="Times New Roman"/>
          <w:sz w:val="21"/>
          <w:szCs w:val="21"/>
        </w:rPr>
      </w:pPr>
    </w:p>
    <w:p w:rsidR="00B233DE" w:rsidRPr="008A717A" w:rsidRDefault="00B233DE" w:rsidP="00B233DE">
      <w:pPr>
        <w:spacing w:line="230" w:lineRule="auto"/>
        <w:ind w:firstLine="709"/>
        <w:jc w:val="both"/>
        <w:rPr>
          <w:rFonts w:ascii="Times New Roman" w:hAnsi="Times New Roman" w:cs="Times New Roman"/>
          <w:sz w:val="21"/>
          <w:szCs w:val="21"/>
        </w:rPr>
      </w:pPr>
      <w:r w:rsidRPr="008A717A">
        <w:rPr>
          <w:rFonts w:ascii="Times New Roman" w:hAnsi="Times New Roman" w:cs="Times New Roman"/>
          <w:sz w:val="21"/>
          <w:szCs w:val="21"/>
        </w:rPr>
        <w:t>Проведений нами аналіз міграційних тенденцій у країнах світу показав, що основними передумовами міграційного перероз</w:t>
      </w:r>
      <w:r>
        <w:rPr>
          <w:rFonts w:ascii="Times New Roman" w:hAnsi="Times New Roman" w:cs="Times New Roman"/>
          <w:sz w:val="21"/>
          <w:szCs w:val="21"/>
        </w:rPr>
        <w:t>-</w:t>
      </w:r>
      <w:r w:rsidRPr="008A717A">
        <w:rPr>
          <w:rFonts w:ascii="Times New Roman" w:hAnsi="Times New Roman" w:cs="Times New Roman"/>
          <w:sz w:val="21"/>
          <w:szCs w:val="21"/>
        </w:rPr>
        <w:t xml:space="preserve">поділу людського потенціалу є дефіцит працівників у секторах, що вимагають висококваліфікованої праці; збільшення тривалості </w:t>
      </w:r>
      <w:r w:rsidRPr="008A717A">
        <w:rPr>
          <w:rFonts w:ascii="Times New Roman" w:hAnsi="Times New Roman" w:cs="Times New Roman"/>
          <w:sz w:val="21"/>
          <w:szCs w:val="21"/>
        </w:rPr>
        <w:lastRenderedPageBreak/>
        <w:t>життя та одночасне зменшення народжуваності, що викликає дефіцит трудових ресурсів в окремих країнах світу; економія коштів і часу для підготовки необхідних спеціалістів шляхом їх залучення з інших країн. Відповідними позитивними наслідками міграційного перерозподілу виступають вирішення демографічних проблем у країнах призначення; зростання доходів, отримання інвестиційних ресурсів та підвищення ЛП за рахунок грошових переказів; економічне зростання і підвищення людського потенці</w:t>
      </w:r>
      <w:r>
        <w:rPr>
          <w:rFonts w:ascii="Times New Roman" w:hAnsi="Times New Roman" w:cs="Times New Roman"/>
          <w:sz w:val="21"/>
          <w:szCs w:val="21"/>
        </w:rPr>
        <w:t>-</w:t>
      </w:r>
      <w:r w:rsidRPr="008A717A">
        <w:rPr>
          <w:rFonts w:ascii="Times New Roman" w:hAnsi="Times New Roman" w:cs="Times New Roman"/>
          <w:sz w:val="21"/>
          <w:szCs w:val="21"/>
        </w:rPr>
        <w:t>алу за рахунок висококваліфікованої імміграції; усунення диспро</w:t>
      </w:r>
      <w:r>
        <w:rPr>
          <w:rFonts w:ascii="Times New Roman" w:hAnsi="Times New Roman" w:cs="Times New Roman"/>
          <w:sz w:val="21"/>
          <w:szCs w:val="21"/>
        </w:rPr>
        <w:t>-</w:t>
      </w:r>
      <w:r w:rsidRPr="008A717A">
        <w:rPr>
          <w:rFonts w:ascii="Times New Roman" w:hAnsi="Times New Roman" w:cs="Times New Roman"/>
          <w:sz w:val="21"/>
          <w:szCs w:val="21"/>
        </w:rPr>
        <w:t>порцій на ринках праці країн призначення; переваги від міждержав</w:t>
      </w:r>
      <w:r>
        <w:rPr>
          <w:rFonts w:ascii="Times New Roman" w:hAnsi="Times New Roman" w:cs="Times New Roman"/>
          <w:sz w:val="21"/>
          <w:szCs w:val="21"/>
        </w:rPr>
        <w:t>-</w:t>
      </w:r>
      <w:r w:rsidRPr="008A717A">
        <w:rPr>
          <w:rFonts w:ascii="Times New Roman" w:hAnsi="Times New Roman" w:cs="Times New Roman"/>
          <w:sz w:val="21"/>
          <w:szCs w:val="21"/>
        </w:rPr>
        <w:t>ного кругообігу ЛП і мереж висококваліфікованих спеціалістів; зменшення витрат коштів і часу для підготовки необхідних спеціалістів шляхом їх залучення з інших країн; скорочення безробіття у країнах походження. Негативні наслідки міграційного перерозподілу ЛП включають негативні соціальні наслідки, «розтрату мізків», загрозу депопуляції та деградації ЛП в країнах походження, відтік висококваліфікованих спеціалістів з країн, що розвиваються</w:t>
      </w:r>
      <w:r>
        <w:rPr>
          <w:rFonts w:ascii="Times New Roman" w:hAnsi="Times New Roman" w:cs="Times New Roman"/>
          <w:sz w:val="21"/>
          <w:szCs w:val="21"/>
        </w:rPr>
        <w:t xml:space="preserve"> (табл. 4.3)</w:t>
      </w:r>
      <w:r w:rsidRPr="008A717A">
        <w:rPr>
          <w:rFonts w:ascii="Times New Roman" w:hAnsi="Times New Roman" w:cs="Times New Roman"/>
          <w:sz w:val="21"/>
          <w:szCs w:val="21"/>
        </w:rPr>
        <w:t>.</w:t>
      </w:r>
    </w:p>
    <w:p w:rsidR="00B233DE" w:rsidRPr="00B02E20" w:rsidRDefault="00B233DE" w:rsidP="00B233DE">
      <w:pPr>
        <w:spacing w:line="230" w:lineRule="auto"/>
        <w:ind w:firstLine="709"/>
        <w:jc w:val="both"/>
        <w:rPr>
          <w:rFonts w:ascii="Times New Roman" w:hAnsi="Times New Roman" w:cs="Times New Roman"/>
          <w:sz w:val="21"/>
          <w:szCs w:val="21"/>
        </w:rPr>
      </w:pPr>
      <w:r w:rsidRPr="00B02E20">
        <w:rPr>
          <w:rFonts w:ascii="Times New Roman" w:hAnsi="Times New Roman" w:cs="Times New Roman"/>
          <w:sz w:val="21"/>
          <w:szCs w:val="21"/>
        </w:rPr>
        <w:t>Проведене дослідження показало, що на сучасному етапі перерозподіл ЛП на міжнародному рівні враховує, передусім, демографічний та освітньо-кваліфікаційний розвиток людського потенціалу країн. Це твердження лежить в основі висунутої гіпотези, яка також передбачає визначення міграційної приваб</w:t>
      </w:r>
      <w:r>
        <w:rPr>
          <w:rFonts w:ascii="Times New Roman" w:hAnsi="Times New Roman" w:cs="Times New Roman"/>
          <w:sz w:val="21"/>
          <w:szCs w:val="21"/>
        </w:rPr>
        <w:t>-</w:t>
      </w:r>
      <w:r w:rsidRPr="00B02E20">
        <w:rPr>
          <w:rFonts w:ascii="Times New Roman" w:hAnsi="Times New Roman" w:cs="Times New Roman"/>
          <w:sz w:val="21"/>
          <w:szCs w:val="21"/>
        </w:rPr>
        <w:t>ливості країни на базі комплексу показників. Можливість підви</w:t>
      </w:r>
      <w:r>
        <w:rPr>
          <w:rFonts w:ascii="Times New Roman" w:hAnsi="Times New Roman" w:cs="Times New Roman"/>
          <w:sz w:val="21"/>
          <w:szCs w:val="21"/>
        </w:rPr>
        <w:t>-</w:t>
      </w:r>
      <w:r w:rsidRPr="00B02E20">
        <w:rPr>
          <w:rFonts w:ascii="Times New Roman" w:hAnsi="Times New Roman" w:cs="Times New Roman"/>
          <w:sz w:val="21"/>
          <w:szCs w:val="21"/>
        </w:rPr>
        <w:t>щувати дані показники створює додаткові умови залучення людсь</w:t>
      </w:r>
      <w:r>
        <w:rPr>
          <w:rFonts w:ascii="Times New Roman" w:hAnsi="Times New Roman" w:cs="Times New Roman"/>
          <w:sz w:val="21"/>
          <w:szCs w:val="21"/>
        </w:rPr>
        <w:t>-</w:t>
      </w:r>
      <w:r w:rsidRPr="00B02E20">
        <w:rPr>
          <w:rFonts w:ascii="Times New Roman" w:hAnsi="Times New Roman" w:cs="Times New Roman"/>
          <w:sz w:val="21"/>
          <w:szCs w:val="21"/>
        </w:rPr>
        <w:t>кого потенціалу в країни, що розвиваються і більш рівномірного його перерозподілу.</w:t>
      </w:r>
    </w:p>
    <w:p w:rsidR="00B233DE" w:rsidRPr="00B02E20" w:rsidRDefault="00B233DE" w:rsidP="00B233DE">
      <w:pPr>
        <w:tabs>
          <w:tab w:val="left" w:pos="900"/>
        </w:tabs>
        <w:spacing w:line="230" w:lineRule="auto"/>
        <w:ind w:firstLine="709"/>
        <w:jc w:val="both"/>
        <w:rPr>
          <w:rFonts w:ascii="Times New Roman" w:hAnsi="Times New Roman" w:cs="Times New Roman"/>
          <w:sz w:val="21"/>
          <w:szCs w:val="21"/>
        </w:rPr>
      </w:pPr>
      <w:r w:rsidRPr="00B02E20">
        <w:rPr>
          <w:rFonts w:ascii="Times New Roman" w:hAnsi="Times New Roman" w:cs="Times New Roman"/>
          <w:sz w:val="21"/>
          <w:szCs w:val="21"/>
        </w:rPr>
        <w:t>Таким чином, загальними цілями керованого міграційного перерозподілу людського потенціалу слід визначити:</w:t>
      </w:r>
    </w:p>
    <w:p w:rsidR="00B233DE" w:rsidRPr="00B02E20" w:rsidRDefault="00B233DE" w:rsidP="00B233DE">
      <w:pPr>
        <w:numPr>
          <w:ilvl w:val="1"/>
          <w:numId w:val="15"/>
        </w:numPr>
        <w:tabs>
          <w:tab w:val="clear" w:pos="1800"/>
          <w:tab w:val="left" w:pos="900"/>
          <w:tab w:val="num" w:pos="1560"/>
        </w:tabs>
        <w:spacing w:line="230" w:lineRule="auto"/>
        <w:ind w:left="0" w:firstLine="709"/>
        <w:jc w:val="both"/>
        <w:rPr>
          <w:rFonts w:ascii="Times New Roman" w:hAnsi="Times New Roman" w:cs="Times New Roman"/>
          <w:sz w:val="21"/>
          <w:szCs w:val="21"/>
        </w:rPr>
      </w:pPr>
      <w:r w:rsidRPr="00B02E20">
        <w:rPr>
          <w:rFonts w:ascii="Times New Roman" w:hAnsi="Times New Roman" w:cs="Times New Roman"/>
          <w:sz w:val="21"/>
          <w:szCs w:val="21"/>
        </w:rPr>
        <w:t>задоволення освітньо-кваліфікаційної і демографічної потреб у людському потенціалі країн світу;</w:t>
      </w:r>
    </w:p>
    <w:p w:rsidR="00B233DE" w:rsidRPr="00B02E20" w:rsidRDefault="00B233DE" w:rsidP="00B233DE">
      <w:pPr>
        <w:numPr>
          <w:ilvl w:val="1"/>
          <w:numId w:val="15"/>
        </w:numPr>
        <w:tabs>
          <w:tab w:val="clear" w:pos="1800"/>
          <w:tab w:val="left" w:pos="900"/>
          <w:tab w:val="num" w:pos="1560"/>
        </w:tabs>
        <w:spacing w:line="230" w:lineRule="auto"/>
        <w:ind w:left="0" w:firstLine="709"/>
        <w:jc w:val="both"/>
        <w:rPr>
          <w:rFonts w:ascii="Times New Roman" w:hAnsi="Times New Roman" w:cs="Times New Roman"/>
          <w:sz w:val="21"/>
          <w:szCs w:val="21"/>
        </w:rPr>
      </w:pPr>
      <w:r w:rsidRPr="00B02E20">
        <w:rPr>
          <w:rFonts w:ascii="Times New Roman" w:hAnsi="Times New Roman" w:cs="Times New Roman"/>
          <w:sz w:val="21"/>
          <w:szCs w:val="21"/>
        </w:rPr>
        <w:t>підвищення показників людського потенціалу і міграційної привабливості країн світу.</w:t>
      </w:r>
    </w:p>
    <w:p w:rsidR="00B233DE" w:rsidRDefault="00B233DE" w:rsidP="00B233DE">
      <w:pPr>
        <w:spacing w:line="230" w:lineRule="auto"/>
        <w:ind w:firstLine="708"/>
        <w:jc w:val="both"/>
        <w:rPr>
          <w:rFonts w:ascii="Times New Roman" w:hAnsi="Times New Roman" w:cs="Times New Roman"/>
          <w:sz w:val="21"/>
          <w:szCs w:val="21"/>
        </w:rPr>
      </w:pPr>
      <w:r w:rsidRPr="00B02E20">
        <w:rPr>
          <w:rFonts w:ascii="Times New Roman" w:hAnsi="Times New Roman" w:cs="Times New Roman"/>
          <w:sz w:val="21"/>
          <w:szCs w:val="21"/>
        </w:rPr>
        <w:t>У сучасній глобальній економіці темпи технологічних змін підвищуються з кожним роком і вважаються одним з найоснов</w:t>
      </w:r>
      <w:r>
        <w:rPr>
          <w:rFonts w:ascii="Times New Roman" w:hAnsi="Times New Roman" w:cs="Times New Roman"/>
          <w:sz w:val="21"/>
          <w:szCs w:val="21"/>
        </w:rPr>
        <w:t>-</w:t>
      </w:r>
      <w:r w:rsidRPr="00B02E20">
        <w:rPr>
          <w:rFonts w:ascii="Times New Roman" w:hAnsi="Times New Roman" w:cs="Times New Roman"/>
          <w:sz w:val="21"/>
          <w:szCs w:val="21"/>
        </w:rPr>
        <w:t xml:space="preserve">ніших джерел зростання продуктивності праці і економічного зростання. В зв’язку з цим, розвинуті країни світу відчувають постійний дефіцит висококваліфікованих спеціалістів. У 2011 році 90 % галузей промисловості США відчували нестачу кваліфікованих </w:t>
      </w:r>
      <w:r>
        <w:rPr>
          <w:rFonts w:ascii="Times New Roman" w:hAnsi="Times New Roman" w:cs="Times New Roman"/>
          <w:sz w:val="21"/>
          <w:szCs w:val="21"/>
        </w:rPr>
        <w:t>робітників</w:t>
      </w:r>
      <w:r w:rsidRPr="00B02E20">
        <w:rPr>
          <w:rFonts w:ascii="Times New Roman" w:hAnsi="Times New Roman" w:cs="Times New Roman"/>
          <w:sz w:val="21"/>
          <w:szCs w:val="21"/>
        </w:rPr>
        <w:t xml:space="preserve">, а 65 % </w:t>
      </w:r>
      <w:r>
        <w:rPr>
          <w:rFonts w:ascii="Times New Roman" w:hAnsi="Times New Roman" w:cs="Times New Roman"/>
          <w:sz w:val="21"/>
          <w:szCs w:val="21"/>
        </w:rPr>
        <w:t>–</w:t>
      </w:r>
      <w:r w:rsidRPr="00B02E20">
        <w:rPr>
          <w:rFonts w:ascii="Times New Roman" w:hAnsi="Times New Roman" w:cs="Times New Roman"/>
          <w:sz w:val="21"/>
          <w:szCs w:val="21"/>
        </w:rPr>
        <w:t xml:space="preserve"> інженерів і вчених [</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_Ref435182775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80</w:t>
      </w:r>
      <w:r>
        <w:rPr>
          <w:rFonts w:ascii="Times New Roman" w:hAnsi="Times New Roman" w:cs="Times New Roman"/>
          <w:sz w:val="21"/>
          <w:szCs w:val="21"/>
          <w:highlight w:val="yellow"/>
          <w:lang w:val="en-US"/>
        </w:rPr>
        <w:fldChar w:fldCharType="end"/>
      </w:r>
      <w:r w:rsidRPr="00B02E20">
        <w:rPr>
          <w:rFonts w:ascii="Times New Roman" w:hAnsi="Times New Roman" w:cs="Times New Roman"/>
          <w:sz w:val="21"/>
          <w:szCs w:val="21"/>
        </w:rPr>
        <w:t>].</w:t>
      </w:r>
    </w:p>
    <w:p w:rsidR="00B233DE" w:rsidRDefault="00B233DE" w:rsidP="00B233DE">
      <w:pPr>
        <w:ind w:firstLine="708"/>
        <w:jc w:val="both"/>
        <w:rPr>
          <w:rFonts w:ascii="Times New Roman" w:hAnsi="Times New Roman" w:cs="Times New Roman"/>
          <w:sz w:val="21"/>
          <w:szCs w:val="21"/>
        </w:rPr>
        <w:sectPr w:rsidR="00B233DE" w:rsidSect="0023489B">
          <w:pgSz w:w="8392" w:h="11907" w:code="11"/>
          <w:pgMar w:top="1134" w:right="1134" w:bottom="1134" w:left="1134" w:header="709" w:footer="709" w:gutter="0"/>
          <w:cols w:space="708"/>
          <w:docGrid w:linePitch="360"/>
        </w:sectPr>
      </w:pPr>
    </w:p>
    <w:p w:rsidR="00B233DE" w:rsidRPr="00FA220A" w:rsidRDefault="00B233DE" w:rsidP="00B233DE">
      <w:pPr>
        <w:ind w:firstLine="357"/>
        <w:jc w:val="right"/>
        <w:rPr>
          <w:rFonts w:ascii="Times New Roman" w:hAnsi="Times New Roman" w:cs="Times New Roman"/>
          <w:sz w:val="21"/>
          <w:szCs w:val="21"/>
        </w:rPr>
      </w:pPr>
      <w:r>
        <w:rPr>
          <w:rFonts w:ascii="Times New Roman" w:hAnsi="Times New Roman" w:cs="Times New Roman"/>
          <w:sz w:val="21"/>
          <w:szCs w:val="21"/>
        </w:rPr>
        <w:lastRenderedPageBreak/>
        <w:t>Таблиця 4.3</w:t>
      </w:r>
    </w:p>
    <w:p w:rsidR="00B233DE" w:rsidRPr="00382839" w:rsidRDefault="00B233DE" w:rsidP="00B233DE">
      <w:pPr>
        <w:ind w:firstLine="357"/>
        <w:jc w:val="center"/>
        <w:rPr>
          <w:rFonts w:ascii="Times New Roman" w:hAnsi="Times New Roman" w:cs="Times New Roman"/>
          <w:b/>
          <w:sz w:val="21"/>
          <w:szCs w:val="21"/>
        </w:rPr>
      </w:pPr>
      <w:r w:rsidRPr="00382839">
        <w:rPr>
          <w:rFonts w:ascii="Times New Roman" w:hAnsi="Times New Roman" w:cs="Times New Roman"/>
          <w:b/>
          <w:sz w:val="21"/>
          <w:szCs w:val="21"/>
        </w:rPr>
        <w:t>Передумови та наслідки сучасного стану міграційного перерозподілу ЛП для країн походження і призначення</w:t>
      </w:r>
    </w:p>
    <w:tbl>
      <w:tblPr>
        <w:tblW w:w="978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0"/>
        <w:gridCol w:w="992"/>
        <w:gridCol w:w="4395"/>
        <w:gridCol w:w="1058"/>
        <w:gridCol w:w="2485"/>
      </w:tblGrid>
      <w:tr w:rsidR="00B233DE" w:rsidRPr="00FA220A" w:rsidTr="0023489B">
        <w:tc>
          <w:tcPr>
            <w:tcW w:w="850" w:type="dxa"/>
            <w:vAlign w:val="center"/>
          </w:tcPr>
          <w:p w:rsidR="00B233DE" w:rsidRPr="00FA220A" w:rsidRDefault="00B233DE" w:rsidP="0023489B">
            <w:pPr>
              <w:ind w:left="-108" w:right="-108" w:firstLine="0"/>
              <w:jc w:val="center"/>
              <w:rPr>
                <w:rFonts w:ascii="Times New Roman" w:hAnsi="Times New Roman" w:cs="Times New Roman"/>
                <w:spacing w:val="-4"/>
                <w:sz w:val="14"/>
                <w:szCs w:val="14"/>
              </w:rPr>
            </w:pPr>
            <w:r w:rsidRPr="00FA220A">
              <w:rPr>
                <w:rFonts w:ascii="Times New Roman" w:hAnsi="Times New Roman" w:cs="Times New Roman"/>
                <w:spacing w:val="-4"/>
                <w:sz w:val="14"/>
                <w:szCs w:val="14"/>
              </w:rPr>
              <w:t>Передумови міграційного перерозподілу ЛП</w:t>
            </w:r>
          </w:p>
        </w:tc>
        <w:tc>
          <w:tcPr>
            <w:tcW w:w="992" w:type="dxa"/>
            <w:vAlign w:val="center"/>
          </w:tcPr>
          <w:p w:rsidR="00B233DE" w:rsidRPr="00FA220A" w:rsidRDefault="00B233DE" w:rsidP="0023489B">
            <w:pPr>
              <w:ind w:left="-108" w:right="-108" w:firstLine="0"/>
              <w:jc w:val="center"/>
              <w:rPr>
                <w:rFonts w:ascii="Times New Roman" w:hAnsi="Times New Roman" w:cs="Times New Roman"/>
                <w:spacing w:val="-6"/>
                <w:sz w:val="14"/>
                <w:szCs w:val="14"/>
              </w:rPr>
            </w:pPr>
            <w:r w:rsidRPr="00FA220A">
              <w:rPr>
                <w:rFonts w:ascii="Times New Roman" w:hAnsi="Times New Roman" w:cs="Times New Roman"/>
                <w:spacing w:val="-6"/>
                <w:sz w:val="14"/>
                <w:szCs w:val="14"/>
              </w:rPr>
              <w:t>Позитивні наслідки міграційного перерозподілу ЛП</w:t>
            </w:r>
          </w:p>
        </w:tc>
        <w:tc>
          <w:tcPr>
            <w:tcW w:w="4395" w:type="dxa"/>
            <w:vAlign w:val="center"/>
          </w:tcPr>
          <w:p w:rsidR="00B233DE" w:rsidRPr="00FA220A" w:rsidRDefault="00B233DE" w:rsidP="0023489B">
            <w:pPr>
              <w:ind w:left="-108" w:right="-108" w:firstLine="0"/>
              <w:jc w:val="center"/>
              <w:rPr>
                <w:rFonts w:ascii="Times New Roman" w:hAnsi="Times New Roman" w:cs="Times New Roman"/>
                <w:sz w:val="14"/>
                <w:szCs w:val="14"/>
              </w:rPr>
            </w:pPr>
            <w:r w:rsidRPr="00FA220A">
              <w:rPr>
                <w:rFonts w:ascii="Times New Roman" w:hAnsi="Times New Roman" w:cs="Times New Roman"/>
                <w:sz w:val="14"/>
                <w:szCs w:val="14"/>
              </w:rPr>
              <w:t>Прояв у країнах світу</w:t>
            </w:r>
          </w:p>
        </w:tc>
        <w:tc>
          <w:tcPr>
            <w:tcW w:w="1058" w:type="dxa"/>
            <w:vAlign w:val="center"/>
          </w:tcPr>
          <w:p w:rsidR="00B233DE" w:rsidRPr="00FA220A" w:rsidRDefault="00B233DE" w:rsidP="0023489B">
            <w:pPr>
              <w:ind w:left="-108" w:right="-108" w:firstLine="0"/>
              <w:jc w:val="center"/>
              <w:rPr>
                <w:rFonts w:ascii="Times New Roman" w:hAnsi="Times New Roman" w:cs="Times New Roman"/>
                <w:spacing w:val="-6"/>
                <w:sz w:val="14"/>
                <w:szCs w:val="14"/>
              </w:rPr>
            </w:pPr>
            <w:r w:rsidRPr="00FA220A">
              <w:rPr>
                <w:rFonts w:ascii="Times New Roman" w:hAnsi="Times New Roman" w:cs="Times New Roman"/>
                <w:spacing w:val="-6"/>
                <w:sz w:val="14"/>
                <w:szCs w:val="14"/>
              </w:rPr>
              <w:t>Негативні наслідки міграційного перерозподілу ЛП</w:t>
            </w:r>
          </w:p>
        </w:tc>
        <w:tc>
          <w:tcPr>
            <w:tcW w:w="2485" w:type="dxa"/>
            <w:vAlign w:val="center"/>
          </w:tcPr>
          <w:p w:rsidR="00B233DE" w:rsidRPr="00FA220A" w:rsidRDefault="00B233DE" w:rsidP="0023489B">
            <w:pPr>
              <w:ind w:left="-108" w:right="-108" w:firstLine="0"/>
              <w:jc w:val="center"/>
              <w:rPr>
                <w:rFonts w:ascii="Times New Roman" w:hAnsi="Times New Roman" w:cs="Times New Roman"/>
                <w:sz w:val="14"/>
                <w:szCs w:val="14"/>
              </w:rPr>
            </w:pPr>
            <w:r w:rsidRPr="00FA220A">
              <w:rPr>
                <w:rFonts w:ascii="Times New Roman" w:hAnsi="Times New Roman" w:cs="Times New Roman"/>
                <w:sz w:val="14"/>
                <w:szCs w:val="14"/>
              </w:rPr>
              <w:t>Прояв у країнах світу</w:t>
            </w:r>
          </w:p>
        </w:tc>
      </w:tr>
      <w:tr w:rsidR="00B233DE" w:rsidRPr="00FA220A" w:rsidTr="0023489B">
        <w:trPr>
          <w:trHeight w:hRule="exact" w:val="142"/>
        </w:trPr>
        <w:tc>
          <w:tcPr>
            <w:tcW w:w="850" w:type="dxa"/>
          </w:tcPr>
          <w:p w:rsidR="00B233DE" w:rsidRPr="00FA220A" w:rsidRDefault="00B233DE" w:rsidP="0023489B">
            <w:pPr>
              <w:spacing w:after="200" w:line="276" w:lineRule="auto"/>
              <w:ind w:firstLine="0"/>
              <w:jc w:val="center"/>
              <w:rPr>
                <w:rFonts w:ascii="Times New Roman" w:hAnsi="Times New Roman" w:cs="Times New Roman"/>
                <w:sz w:val="14"/>
                <w:szCs w:val="14"/>
              </w:rPr>
            </w:pPr>
            <w:r w:rsidRPr="00FA220A">
              <w:rPr>
                <w:rFonts w:ascii="Times New Roman" w:hAnsi="Times New Roman" w:cs="Times New Roman"/>
                <w:sz w:val="14"/>
                <w:szCs w:val="14"/>
              </w:rPr>
              <w:t>1</w:t>
            </w:r>
          </w:p>
        </w:tc>
        <w:tc>
          <w:tcPr>
            <w:tcW w:w="992" w:type="dxa"/>
          </w:tcPr>
          <w:p w:rsidR="00B233DE" w:rsidRPr="00FA220A" w:rsidRDefault="00B233DE" w:rsidP="0023489B">
            <w:pPr>
              <w:spacing w:after="200" w:line="276" w:lineRule="auto"/>
              <w:ind w:firstLine="0"/>
              <w:jc w:val="center"/>
              <w:rPr>
                <w:rFonts w:ascii="Times New Roman" w:hAnsi="Times New Roman" w:cs="Times New Roman"/>
                <w:sz w:val="14"/>
                <w:szCs w:val="14"/>
              </w:rPr>
            </w:pPr>
            <w:r w:rsidRPr="00FA220A">
              <w:rPr>
                <w:rFonts w:ascii="Times New Roman" w:hAnsi="Times New Roman" w:cs="Times New Roman"/>
                <w:sz w:val="14"/>
                <w:szCs w:val="14"/>
              </w:rPr>
              <w:t>2</w:t>
            </w:r>
          </w:p>
        </w:tc>
        <w:tc>
          <w:tcPr>
            <w:tcW w:w="4395" w:type="dxa"/>
          </w:tcPr>
          <w:p w:rsidR="00B233DE" w:rsidRPr="00FA220A" w:rsidRDefault="00B233DE" w:rsidP="0023489B">
            <w:pPr>
              <w:spacing w:after="200" w:line="276" w:lineRule="auto"/>
              <w:ind w:firstLine="0"/>
              <w:jc w:val="center"/>
              <w:rPr>
                <w:rFonts w:ascii="Times New Roman" w:hAnsi="Times New Roman" w:cs="Times New Roman"/>
                <w:spacing w:val="-6"/>
                <w:sz w:val="14"/>
                <w:szCs w:val="14"/>
              </w:rPr>
            </w:pPr>
            <w:r w:rsidRPr="00FA220A">
              <w:rPr>
                <w:rFonts w:ascii="Times New Roman" w:hAnsi="Times New Roman" w:cs="Times New Roman"/>
                <w:spacing w:val="-6"/>
                <w:sz w:val="14"/>
                <w:szCs w:val="14"/>
              </w:rPr>
              <w:t>3</w:t>
            </w:r>
          </w:p>
        </w:tc>
        <w:tc>
          <w:tcPr>
            <w:tcW w:w="1058" w:type="dxa"/>
          </w:tcPr>
          <w:p w:rsidR="00B233DE" w:rsidRPr="00FA220A" w:rsidRDefault="00B233DE" w:rsidP="0023489B">
            <w:pPr>
              <w:spacing w:after="200" w:line="276" w:lineRule="auto"/>
              <w:ind w:firstLine="0"/>
              <w:jc w:val="center"/>
              <w:rPr>
                <w:rFonts w:ascii="Times New Roman" w:hAnsi="Times New Roman" w:cs="Times New Roman"/>
                <w:sz w:val="14"/>
                <w:szCs w:val="14"/>
              </w:rPr>
            </w:pPr>
            <w:r w:rsidRPr="00FA220A">
              <w:rPr>
                <w:rFonts w:ascii="Times New Roman" w:hAnsi="Times New Roman" w:cs="Times New Roman"/>
                <w:sz w:val="14"/>
                <w:szCs w:val="14"/>
              </w:rPr>
              <w:t>4</w:t>
            </w:r>
          </w:p>
        </w:tc>
        <w:tc>
          <w:tcPr>
            <w:tcW w:w="2485" w:type="dxa"/>
          </w:tcPr>
          <w:p w:rsidR="00B233DE" w:rsidRPr="00FA220A" w:rsidRDefault="00B233DE" w:rsidP="0023489B">
            <w:pPr>
              <w:spacing w:after="200" w:line="276" w:lineRule="auto"/>
              <w:ind w:firstLine="0"/>
              <w:jc w:val="center"/>
              <w:rPr>
                <w:rFonts w:ascii="Times New Roman" w:hAnsi="Times New Roman" w:cs="Times New Roman"/>
                <w:spacing w:val="-6"/>
                <w:sz w:val="14"/>
                <w:szCs w:val="14"/>
              </w:rPr>
            </w:pPr>
            <w:r w:rsidRPr="00FA220A">
              <w:rPr>
                <w:rFonts w:ascii="Times New Roman" w:hAnsi="Times New Roman" w:cs="Times New Roman"/>
                <w:spacing w:val="-6"/>
                <w:sz w:val="14"/>
                <w:szCs w:val="14"/>
              </w:rPr>
              <w:t>5</w:t>
            </w:r>
          </w:p>
        </w:tc>
      </w:tr>
      <w:tr w:rsidR="00B233DE" w:rsidRPr="00FA220A" w:rsidTr="0023489B">
        <w:tc>
          <w:tcPr>
            <w:tcW w:w="850" w:type="dxa"/>
          </w:tcPr>
          <w:p w:rsidR="00B233DE" w:rsidRDefault="00B233DE" w:rsidP="0023489B">
            <w:pPr>
              <w:ind w:left="-108" w:right="-108" w:firstLine="0"/>
              <w:jc w:val="center"/>
              <w:rPr>
                <w:rFonts w:ascii="Times New Roman" w:hAnsi="Times New Roman" w:cs="Times New Roman"/>
                <w:sz w:val="14"/>
                <w:szCs w:val="14"/>
              </w:rPr>
            </w:pPr>
            <w:r w:rsidRPr="00FA220A">
              <w:rPr>
                <w:rFonts w:ascii="Times New Roman" w:hAnsi="Times New Roman" w:cs="Times New Roman"/>
                <w:sz w:val="14"/>
                <w:szCs w:val="14"/>
              </w:rPr>
              <w:t>1. Збільшення тривалості життя та одночасне зменшення народжува</w:t>
            </w:r>
            <w:r>
              <w:rPr>
                <w:rFonts w:ascii="Times New Roman" w:hAnsi="Times New Roman" w:cs="Times New Roman"/>
                <w:sz w:val="14"/>
                <w:szCs w:val="14"/>
              </w:rPr>
              <w:t>-</w:t>
            </w:r>
            <w:r w:rsidRPr="00FA220A">
              <w:rPr>
                <w:rFonts w:ascii="Times New Roman" w:hAnsi="Times New Roman" w:cs="Times New Roman"/>
                <w:sz w:val="14"/>
                <w:szCs w:val="14"/>
              </w:rPr>
              <w:t xml:space="preserve">ності, що викликає дефіцит трудових ресурсів </w:t>
            </w:r>
          </w:p>
          <w:p w:rsidR="00B233DE" w:rsidRPr="00FA220A" w:rsidRDefault="00B233DE" w:rsidP="0023489B">
            <w:pPr>
              <w:ind w:left="-108" w:right="-108" w:firstLine="0"/>
              <w:jc w:val="center"/>
              <w:rPr>
                <w:rFonts w:ascii="Times New Roman" w:hAnsi="Times New Roman" w:cs="Times New Roman"/>
                <w:sz w:val="14"/>
                <w:szCs w:val="14"/>
              </w:rPr>
            </w:pPr>
            <w:r w:rsidRPr="00FA220A">
              <w:rPr>
                <w:rFonts w:ascii="Times New Roman" w:hAnsi="Times New Roman" w:cs="Times New Roman"/>
                <w:sz w:val="14"/>
                <w:szCs w:val="14"/>
              </w:rPr>
              <w:t>в окремих країнах світу</w:t>
            </w:r>
          </w:p>
        </w:tc>
        <w:tc>
          <w:tcPr>
            <w:tcW w:w="992" w:type="dxa"/>
          </w:tcPr>
          <w:p w:rsidR="00B233DE" w:rsidRDefault="00B233DE" w:rsidP="0023489B">
            <w:pPr>
              <w:ind w:left="-108" w:right="-108" w:firstLine="0"/>
              <w:jc w:val="center"/>
              <w:rPr>
                <w:rFonts w:ascii="Times New Roman" w:hAnsi="Times New Roman" w:cs="Times New Roman"/>
                <w:sz w:val="14"/>
                <w:szCs w:val="14"/>
              </w:rPr>
            </w:pPr>
            <w:r w:rsidRPr="00FA220A">
              <w:rPr>
                <w:rFonts w:ascii="Times New Roman" w:hAnsi="Times New Roman" w:cs="Times New Roman"/>
                <w:sz w:val="14"/>
                <w:szCs w:val="14"/>
              </w:rPr>
              <w:t xml:space="preserve">1. Вирішення демографічних проблем </w:t>
            </w:r>
          </w:p>
          <w:p w:rsidR="00B233DE" w:rsidRPr="00FA220A" w:rsidRDefault="00B233DE" w:rsidP="0023489B">
            <w:pPr>
              <w:ind w:left="-108" w:right="-108" w:firstLine="0"/>
              <w:jc w:val="center"/>
              <w:rPr>
                <w:rFonts w:ascii="Times New Roman" w:hAnsi="Times New Roman" w:cs="Times New Roman"/>
                <w:sz w:val="14"/>
                <w:szCs w:val="14"/>
              </w:rPr>
            </w:pPr>
            <w:r w:rsidRPr="00FA220A">
              <w:rPr>
                <w:rFonts w:ascii="Times New Roman" w:hAnsi="Times New Roman" w:cs="Times New Roman"/>
                <w:sz w:val="14"/>
                <w:szCs w:val="14"/>
              </w:rPr>
              <w:t>у країнах призначення</w:t>
            </w:r>
          </w:p>
          <w:p w:rsidR="00B233DE" w:rsidRPr="00FA220A" w:rsidRDefault="00B233DE" w:rsidP="0023489B">
            <w:pPr>
              <w:ind w:left="-108" w:right="-108" w:firstLine="0"/>
              <w:jc w:val="center"/>
              <w:rPr>
                <w:rFonts w:ascii="Times New Roman" w:hAnsi="Times New Roman" w:cs="Times New Roman"/>
                <w:sz w:val="14"/>
                <w:szCs w:val="14"/>
              </w:rPr>
            </w:pPr>
          </w:p>
          <w:p w:rsidR="00B233DE" w:rsidRPr="00FA220A" w:rsidRDefault="00B233DE" w:rsidP="0023489B">
            <w:pPr>
              <w:ind w:left="-108" w:right="-108" w:firstLine="0"/>
              <w:jc w:val="center"/>
              <w:rPr>
                <w:rFonts w:ascii="Times New Roman" w:hAnsi="Times New Roman" w:cs="Times New Roman"/>
                <w:sz w:val="14"/>
                <w:szCs w:val="14"/>
              </w:rPr>
            </w:pPr>
          </w:p>
          <w:p w:rsidR="00B233DE" w:rsidRPr="00FA220A" w:rsidRDefault="00B233DE" w:rsidP="0023489B">
            <w:pPr>
              <w:ind w:left="-108" w:right="-108" w:firstLine="0"/>
              <w:jc w:val="center"/>
              <w:rPr>
                <w:rFonts w:ascii="Times New Roman" w:hAnsi="Times New Roman" w:cs="Times New Roman"/>
                <w:sz w:val="14"/>
                <w:szCs w:val="14"/>
              </w:rPr>
            </w:pPr>
          </w:p>
          <w:p w:rsidR="00B233DE" w:rsidRPr="00FA220A" w:rsidRDefault="00B233DE" w:rsidP="0023489B">
            <w:pPr>
              <w:ind w:left="-108" w:right="-108" w:firstLine="0"/>
              <w:jc w:val="center"/>
              <w:rPr>
                <w:rFonts w:ascii="Times New Roman" w:hAnsi="Times New Roman" w:cs="Times New Roman"/>
                <w:sz w:val="14"/>
                <w:szCs w:val="14"/>
              </w:rPr>
            </w:pPr>
          </w:p>
          <w:p w:rsidR="00B233DE" w:rsidRPr="00FA220A" w:rsidRDefault="00B233DE" w:rsidP="0023489B">
            <w:pPr>
              <w:ind w:left="-108" w:right="-108" w:firstLine="0"/>
              <w:jc w:val="center"/>
              <w:rPr>
                <w:rFonts w:ascii="Times New Roman" w:hAnsi="Times New Roman" w:cs="Times New Roman"/>
                <w:sz w:val="14"/>
                <w:szCs w:val="14"/>
              </w:rPr>
            </w:pPr>
          </w:p>
          <w:p w:rsidR="00B233DE" w:rsidRPr="00FA220A" w:rsidRDefault="00B233DE" w:rsidP="0023489B">
            <w:pPr>
              <w:ind w:left="-108" w:right="-108" w:firstLine="0"/>
              <w:jc w:val="center"/>
              <w:rPr>
                <w:rFonts w:ascii="Times New Roman" w:hAnsi="Times New Roman" w:cs="Times New Roman"/>
                <w:sz w:val="14"/>
                <w:szCs w:val="14"/>
              </w:rPr>
            </w:pPr>
          </w:p>
          <w:p w:rsidR="00B233DE" w:rsidRDefault="00B233DE" w:rsidP="0023489B">
            <w:pPr>
              <w:ind w:left="-108" w:right="-108" w:firstLine="0"/>
              <w:jc w:val="center"/>
              <w:rPr>
                <w:rFonts w:ascii="Times New Roman" w:hAnsi="Times New Roman" w:cs="Times New Roman"/>
                <w:sz w:val="14"/>
                <w:szCs w:val="14"/>
              </w:rPr>
            </w:pPr>
            <w:r w:rsidRPr="00FA220A">
              <w:rPr>
                <w:rFonts w:ascii="Times New Roman" w:hAnsi="Times New Roman" w:cs="Times New Roman"/>
                <w:sz w:val="14"/>
                <w:szCs w:val="14"/>
              </w:rPr>
              <w:t xml:space="preserve">2. Зростання доходів, отримання інвестиційних ресурсів </w:t>
            </w:r>
          </w:p>
          <w:p w:rsidR="00B233DE" w:rsidRDefault="00B233DE" w:rsidP="0023489B">
            <w:pPr>
              <w:ind w:left="-108" w:right="-108" w:firstLine="0"/>
              <w:jc w:val="center"/>
              <w:rPr>
                <w:rFonts w:ascii="Times New Roman" w:hAnsi="Times New Roman" w:cs="Times New Roman"/>
                <w:sz w:val="14"/>
                <w:szCs w:val="14"/>
              </w:rPr>
            </w:pPr>
            <w:r w:rsidRPr="00FA220A">
              <w:rPr>
                <w:rFonts w:ascii="Times New Roman" w:hAnsi="Times New Roman" w:cs="Times New Roman"/>
                <w:sz w:val="14"/>
                <w:szCs w:val="14"/>
              </w:rPr>
              <w:t xml:space="preserve">та підвищення людського потенціалу </w:t>
            </w:r>
          </w:p>
          <w:p w:rsidR="00B233DE" w:rsidRPr="00FA220A" w:rsidRDefault="00B233DE" w:rsidP="0023489B">
            <w:pPr>
              <w:ind w:left="-108" w:right="-108" w:firstLine="0"/>
              <w:jc w:val="center"/>
              <w:rPr>
                <w:rFonts w:ascii="Times New Roman" w:hAnsi="Times New Roman" w:cs="Times New Roman"/>
                <w:sz w:val="14"/>
                <w:szCs w:val="14"/>
              </w:rPr>
            </w:pPr>
            <w:r w:rsidRPr="00FA220A">
              <w:rPr>
                <w:rFonts w:ascii="Times New Roman" w:hAnsi="Times New Roman" w:cs="Times New Roman"/>
                <w:sz w:val="14"/>
                <w:szCs w:val="14"/>
              </w:rPr>
              <w:t>за рахунок грошових переказів</w:t>
            </w:r>
          </w:p>
        </w:tc>
        <w:tc>
          <w:tcPr>
            <w:tcW w:w="4395" w:type="dxa"/>
          </w:tcPr>
          <w:p w:rsidR="00B233DE" w:rsidRDefault="00B233DE" w:rsidP="0023489B">
            <w:pPr>
              <w:ind w:firstLine="0"/>
              <w:jc w:val="both"/>
              <w:rPr>
                <w:rFonts w:ascii="Times New Roman" w:hAnsi="Times New Roman" w:cs="Times New Roman"/>
                <w:sz w:val="14"/>
                <w:szCs w:val="14"/>
              </w:rPr>
            </w:pPr>
            <w:r w:rsidRPr="0055032D">
              <w:rPr>
                <w:rFonts w:ascii="Times New Roman" w:hAnsi="Times New Roman" w:cs="Times New Roman"/>
                <w:sz w:val="14"/>
                <w:szCs w:val="14"/>
              </w:rPr>
              <w:t xml:space="preserve">Полегшення податкового навантаження на майбутні покоління країн </w:t>
            </w:r>
          </w:p>
          <w:p w:rsidR="00B233DE" w:rsidRPr="00D033E0" w:rsidRDefault="00B233DE" w:rsidP="0023489B">
            <w:pPr>
              <w:ind w:firstLine="0"/>
              <w:jc w:val="both"/>
              <w:rPr>
                <w:rFonts w:ascii="Times New Roman" w:hAnsi="Times New Roman" w:cs="Times New Roman"/>
                <w:sz w:val="14"/>
                <w:szCs w:val="14"/>
              </w:rPr>
            </w:pPr>
            <w:r w:rsidRPr="0055032D">
              <w:rPr>
                <w:rFonts w:ascii="Times New Roman" w:hAnsi="Times New Roman" w:cs="Times New Roman"/>
                <w:sz w:val="14"/>
                <w:szCs w:val="14"/>
              </w:rPr>
              <w:t>з низькою народжуваністю: у Німеччині розрахунки показали, що доходи бюджету від податків з мігрантів є досить значними. Особи, що іммігрували до країни у віці 30 років, сплачують 110 тис. євро протягом всього життя, в той час як дитина-іммігрант створює навантаження для державних фінансів до 60 тис. євро. Враховуючи те, що 78</w:t>
            </w:r>
            <w:r>
              <w:rPr>
                <w:rFonts w:ascii="Times New Roman" w:hAnsi="Times New Roman" w:cs="Times New Roman"/>
                <w:sz w:val="14"/>
                <w:szCs w:val="14"/>
              </w:rPr>
              <w:t xml:space="preserve"> </w:t>
            </w:r>
            <w:r w:rsidRPr="0055032D">
              <w:rPr>
                <w:rFonts w:ascii="Times New Roman" w:hAnsi="Times New Roman" w:cs="Times New Roman"/>
                <w:sz w:val="14"/>
                <w:szCs w:val="14"/>
              </w:rPr>
              <w:t>% іммігрантів в Німеччині є особами працездатного віку, то в середньому іммігрант вносить податковий вклад близько 50 тис. євро. Якщо сукупні податкові відрахування мігрантів рівномірно розподілити між місцевим населенням, народженим у майбутньому, при постійному притоку іммігрантів у розмірі 0,25</w:t>
            </w:r>
            <w:r>
              <w:rPr>
                <w:rFonts w:ascii="Times New Roman" w:hAnsi="Times New Roman" w:cs="Times New Roman"/>
                <w:sz w:val="14"/>
                <w:szCs w:val="14"/>
              </w:rPr>
              <w:t xml:space="preserve"> </w:t>
            </w:r>
            <w:r w:rsidRPr="0055032D">
              <w:rPr>
                <w:rFonts w:ascii="Times New Roman" w:hAnsi="Times New Roman" w:cs="Times New Roman"/>
                <w:sz w:val="14"/>
                <w:szCs w:val="14"/>
              </w:rPr>
              <w:t>% від місцевого населення в рік, то податкове навантаження знизиться приблизно на 30</w:t>
            </w:r>
            <w:r>
              <w:rPr>
                <w:rFonts w:ascii="Times New Roman" w:hAnsi="Times New Roman" w:cs="Times New Roman"/>
                <w:sz w:val="14"/>
                <w:szCs w:val="14"/>
              </w:rPr>
              <w:t xml:space="preserve"> </w:t>
            </w:r>
            <w:r w:rsidRPr="0055032D">
              <w:rPr>
                <w:rFonts w:ascii="Times New Roman" w:hAnsi="Times New Roman" w:cs="Times New Roman"/>
                <w:sz w:val="14"/>
                <w:szCs w:val="14"/>
              </w:rPr>
              <w:t>% [</w:t>
            </w:r>
            <w:r>
              <w:rPr>
                <w:rFonts w:ascii="Times New Roman" w:hAnsi="Times New Roman" w:cs="Times New Roman"/>
                <w:bCs/>
                <w:sz w:val="14"/>
                <w:szCs w:val="14"/>
                <w:highlight w:val="yellow"/>
              </w:rPr>
              <w:fldChar w:fldCharType="begin"/>
            </w:r>
            <w:r>
              <w:rPr>
                <w:rFonts w:ascii="Times New Roman" w:hAnsi="Times New Roman" w:cs="Times New Roman"/>
                <w:sz w:val="14"/>
                <w:szCs w:val="14"/>
              </w:rPr>
              <w:instrText xml:space="preserve"> REF _Ref435182370 \r \h </w:instrText>
            </w:r>
            <w:r>
              <w:rPr>
                <w:rFonts w:ascii="Times New Roman" w:hAnsi="Times New Roman" w:cs="Times New Roman"/>
                <w:bCs/>
                <w:sz w:val="14"/>
                <w:szCs w:val="14"/>
                <w:highlight w:val="yellow"/>
              </w:rPr>
            </w:r>
            <w:r>
              <w:rPr>
                <w:rFonts w:ascii="Times New Roman" w:hAnsi="Times New Roman" w:cs="Times New Roman"/>
                <w:bCs/>
                <w:sz w:val="14"/>
                <w:szCs w:val="14"/>
                <w:highlight w:val="yellow"/>
              </w:rPr>
              <w:fldChar w:fldCharType="separate"/>
            </w:r>
            <w:r>
              <w:rPr>
                <w:rFonts w:ascii="Times New Roman" w:hAnsi="Times New Roman" w:cs="Times New Roman"/>
                <w:sz w:val="14"/>
                <w:szCs w:val="14"/>
              </w:rPr>
              <w:t>7</w:t>
            </w:r>
            <w:r>
              <w:rPr>
                <w:rFonts w:ascii="Times New Roman" w:hAnsi="Times New Roman" w:cs="Times New Roman"/>
                <w:bCs/>
                <w:sz w:val="14"/>
                <w:szCs w:val="14"/>
                <w:highlight w:val="yellow"/>
              </w:rPr>
              <w:fldChar w:fldCharType="end"/>
            </w:r>
            <w:r w:rsidRPr="00D033E0">
              <w:rPr>
                <w:rFonts w:ascii="Times New Roman" w:hAnsi="Times New Roman" w:cs="Times New Roman"/>
                <w:sz w:val="14"/>
                <w:szCs w:val="14"/>
              </w:rPr>
              <w:t>].</w:t>
            </w:r>
          </w:p>
          <w:p w:rsidR="00B233DE" w:rsidRPr="00FA220A" w:rsidRDefault="00B233DE" w:rsidP="0023489B">
            <w:pPr>
              <w:ind w:firstLine="0"/>
              <w:jc w:val="both"/>
              <w:rPr>
                <w:rFonts w:ascii="Times New Roman" w:hAnsi="Times New Roman" w:cs="Times New Roman"/>
                <w:spacing w:val="-8"/>
                <w:sz w:val="14"/>
                <w:szCs w:val="14"/>
              </w:rPr>
            </w:pPr>
            <w:r w:rsidRPr="00D033E0">
              <w:rPr>
                <w:rFonts w:ascii="Times New Roman" w:hAnsi="Times New Roman" w:cs="Times New Roman"/>
                <w:sz w:val="14"/>
                <w:szCs w:val="14"/>
              </w:rPr>
              <w:t>Фінансово-економічна криза з 2008 року показала зростання</w:t>
            </w:r>
            <w:r w:rsidRPr="0055032D">
              <w:rPr>
                <w:rFonts w:ascii="Times New Roman" w:hAnsi="Times New Roman" w:cs="Times New Roman"/>
                <w:sz w:val="14"/>
                <w:szCs w:val="14"/>
              </w:rPr>
              <w:t xml:space="preserve"> значення грошових переказів для країн походження, незважаючи на скорочення їх суми, яке було меншим ніж падіння потоків інших </w:t>
            </w:r>
            <w:r w:rsidRPr="00D033E0">
              <w:rPr>
                <w:rFonts w:ascii="Times New Roman" w:hAnsi="Times New Roman" w:cs="Times New Roman"/>
                <w:sz w:val="14"/>
                <w:szCs w:val="14"/>
              </w:rPr>
              <w:t>фінансових засобів – кредитування та іноземних інвестицій [</w:t>
            </w:r>
            <w:r>
              <w:rPr>
                <w:rFonts w:ascii="Times New Roman" w:hAnsi="Times New Roman" w:cs="Times New Roman"/>
                <w:sz w:val="14"/>
                <w:szCs w:val="14"/>
                <w:highlight w:val="yellow"/>
                <w:lang w:val="en-US"/>
              </w:rPr>
              <w:fldChar w:fldCharType="begin"/>
            </w:r>
            <w:r>
              <w:rPr>
                <w:rFonts w:ascii="Times New Roman" w:hAnsi="Times New Roman" w:cs="Times New Roman"/>
                <w:sz w:val="14"/>
                <w:szCs w:val="14"/>
              </w:rPr>
              <w:instrText xml:space="preserve"> REF _Ref435184291 \r \h </w:instrText>
            </w:r>
            <w:r>
              <w:rPr>
                <w:rFonts w:ascii="Times New Roman" w:hAnsi="Times New Roman" w:cs="Times New Roman"/>
                <w:sz w:val="14"/>
                <w:szCs w:val="14"/>
                <w:highlight w:val="yellow"/>
                <w:lang w:val="en-US"/>
              </w:rPr>
            </w:r>
            <w:r>
              <w:rPr>
                <w:rFonts w:ascii="Times New Roman" w:hAnsi="Times New Roman" w:cs="Times New Roman"/>
                <w:sz w:val="14"/>
                <w:szCs w:val="14"/>
                <w:highlight w:val="yellow"/>
                <w:lang w:val="en-US"/>
              </w:rPr>
              <w:fldChar w:fldCharType="separate"/>
            </w:r>
            <w:r>
              <w:rPr>
                <w:rFonts w:ascii="Times New Roman" w:hAnsi="Times New Roman" w:cs="Times New Roman"/>
                <w:sz w:val="14"/>
                <w:szCs w:val="14"/>
              </w:rPr>
              <w:t>67</w:t>
            </w:r>
            <w:r>
              <w:rPr>
                <w:rFonts w:ascii="Times New Roman" w:hAnsi="Times New Roman" w:cs="Times New Roman"/>
                <w:sz w:val="14"/>
                <w:szCs w:val="14"/>
                <w:highlight w:val="yellow"/>
                <w:lang w:val="en-US"/>
              </w:rPr>
              <w:fldChar w:fldCharType="end"/>
            </w:r>
            <w:r w:rsidRPr="00D033E0">
              <w:rPr>
                <w:rFonts w:ascii="Times New Roman" w:hAnsi="Times New Roman" w:cs="Times New Roman"/>
                <w:sz w:val="14"/>
                <w:szCs w:val="14"/>
              </w:rPr>
              <w:t>]. Дослідження, проведені у Філіппінах, показують збільшення молоді, що відвідує навчальні заклади, на 10 % при зростанні грошових переказів</w:t>
            </w:r>
            <w:r w:rsidRPr="00D033E0">
              <w:rPr>
                <w:rFonts w:ascii="Times New Roman" w:hAnsi="Times New Roman" w:cs="Times New Roman"/>
                <w:sz w:val="16"/>
                <w:szCs w:val="14"/>
              </w:rPr>
              <w:t xml:space="preserve"> </w:t>
            </w:r>
            <w:r w:rsidRPr="0055032D">
              <w:rPr>
                <w:rFonts w:ascii="Times New Roman" w:hAnsi="Times New Roman" w:cs="Times New Roman"/>
                <w:sz w:val="14"/>
                <w:szCs w:val="14"/>
              </w:rPr>
              <w:t>на 10</w:t>
            </w:r>
            <w:r>
              <w:rPr>
                <w:rFonts w:ascii="Times New Roman" w:hAnsi="Times New Roman" w:cs="Times New Roman"/>
                <w:sz w:val="14"/>
                <w:szCs w:val="14"/>
              </w:rPr>
              <w:t xml:space="preserve"> </w:t>
            </w:r>
            <w:r w:rsidRPr="0055032D">
              <w:rPr>
                <w:rFonts w:ascii="Times New Roman" w:hAnsi="Times New Roman" w:cs="Times New Roman"/>
                <w:sz w:val="14"/>
                <w:szCs w:val="14"/>
              </w:rPr>
              <w:t>%. Сім’ї, що отримують грошові перекази, витрачають на освіту на 48</w:t>
            </w:r>
            <w:r>
              <w:rPr>
                <w:rFonts w:ascii="Times New Roman" w:hAnsi="Times New Roman" w:cs="Times New Roman"/>
                <w:sz w:val="14"/>
                <w:szCs w:val="14"/>
              </w:rPr>
              <w:t xml:space="preserve"> </w:t>
            </w:r>
            <w:r w:rsidRPr="0055032D">
              <w:rPr>
                <w:rFonts w:ascii="Times New Roman" w:hAnsi="Times New Roman" w:cs="Times New Roman"/>
                <w:sz w:val="14"/>
                <w:szCs w:val="14"/>
              </w:rPr>
              <w:t xml:space="preserve">% більше ніж інші. У Мексиці обсяги грошових переказів прямо пропорційно пов’язані з підвищенням показників писемності та відвідування навчальних </w:t>
            </w:r>
            <w:r w:rsidRPr="00D033E0">
              <w:rPr>
                <w:rFonts w:ascii="Times New Roman" w:hAnsi="Times New Roman" w:cs="Times New Roman"/>
                <w:sz w:val="14"/>
                <w:szCs w:val="14"/>
              </w:rPr>
              <w:t>закладів [</w:t>
            </w:r>
            <w:r>
              <w:rPr>
                <w:rFonts w:ascii="Times New Roman" w:hAnsi="Times New Roman" w:cs="Times New Roman"/>
                <w:sz w:val="14"/>
                <w:szCs w:val="14"/>
                <w:highlight w:val="yellow"/>
                <w:lang w:val="en-US"/>
              </w:rPr>
              <w:fldChar w:fldCharType="begin"/>
            </w:r>
            <w:r>
              <w:rPr>
                <w:rFonts w:ascii="Times New Roman" w:hAnsi="Times New Roman" w:cs="Times New Roman"/>
                <w:sz w:val="14"/>
                <w:szCs w:val="14"/>
              </w:rPr>
              <w:instrText xml:space="preserve"> REF _Ref435184034 \r \h </w:instrText>
            </w:r>
            <w:r>
              <w:rPr>
                <w:rFonts w:ascii="Times New Roman" w:hAnsi="Times New Roman" w:cs="Times New Roman"/>
                <w:sz w:val="14"/>
                <w:szCs w:val="14"/>
                <w:highlight w:val="yellow"/>
                <w:lang w:val="en-US"/>
              </w:rPr>
            </w:r>
            <w:r>
              <w:rPr>
                <w:rFonts w:ascii="Times New Roman" w:hAnsi="Times New Roman" w:cs="Times New Roman"/>
                <w:sz w:val="14"/>
                <w:szCs w:val="14"/>
                <w:highlight w:val="yellow"/>
                <w:lang w:val="en-US"/>
              </w:rPr>
              <w:fldChar w:fldCharType="separate"/>
            </w:r>
            <w:r>
              <w:rPr>
                <w:rFonts w:ascii="Times New Roman" w:hAnsi="Times New Roman" w:cs="Times New Roman"/>
                <w:sz w:val="14"/>
                <w:szCs w:val="14"/>
              </w:rPr>
              <w:t>98</w:t>
            </w:r>
            <w:r>
              <w:rPr>
                <w:rFonts w:ascii="Times New Roman" w:hAnsi="Times New Roman" w:cs="Times New Roman"/>
                <w:sz w:val="14"/>
                <w:szCs w:val="14"/>
                <w:highlight w:val="yellow"/>
                <w:lang w:val="en-US"/>
              </w:rPr>
              <w:fldChar w:fldCharType="end"/>
            </w:r>
            <w:r w:rsidRPr="00D033E0">
              <w:rPr>
                <w:rFonts w:ascii="Times New Roman" w:hAnsi="Times New Roman" w:cs="Times New Roman"/>
                <w:sz w:val="14"/>
                <w:szCs w:val="14"/>
              </w:rPr>
              <w:t>]. Грошові перекази</w:t>
            </w:r>
            <w:r w:rsidRPr="0055032D">
              <w:rPr>
                <w:rFonts w:ascii="Times New Roman" w:hAnsi="Times New Roman" w:cs="Times New Roman"/>
                <w:sz w:val="14"/>
                <w:szCs w:val="14"/>
              </w:rPr>
              <w:t xml:space="preserve"> у даних країнах стимулюють формування людського потенціалу. Крім потоків капіталу підвищення ЛП в країнах походження відбувається за рахунок соціальних переказів. </w:t>
            </w:r>
          </w:p>
        </w:tc>
        <w:tc>
          <w:tcPr>
            <w:tcW w:w="1058" w:type="dxa"/>
          </w:tcPr>
          <w:p w:rsidR="00B233DE" w:rsidRPr="00FA220A" w:rsidRDefault="00B233DE" w:rsidP="0023489B">
            <w:pPr>
              <w:ind w:firstLine="0"/>
              <w:jc w:val="center"/>
              <w:rPr>
                <w:rFonts w:ascii="Times New Roman" w:hAnsi="Times New Roman" w:cs="Times New Roman"/>
                <w:sz w:val="14"/>
                <w:szCs w:val="14"/>
              </w:rPr>
            </w:pPr>
            <w:r w:rsidRPr="00FA220A">
              <w:rPr>
                <w:rFonts w:ascii="Times New Roman" w:hAnsi="Times New Roman" w:cs="Times New Roman"/>
                <w:sz w:val="14"/>
                <w:szCs w:val="14"/>
              </w:rPr>
              <w:t>1. Негативні соціальні наслідки</w:t>
            </w:r>
          </w:p>
          <w:p w:rsidR="00B233DE" w:rsidRPr="00FA220A" w:rsidRDefault="00B233DE" w:rsidP="0023489B">
            <w:pPr>
              <w:ind w:firstLine="0"/>
              <w:jc w:val="center"/>
              <w:rPr>
                <w:rFonts w:ascii="Times New Roman" w:hAnsi="Times New Roman" w:cs="Times New Roman"/>
                <w:sz w:val="14"/>
                <w:szCs w:val="14"/>
              </w:rPr>
            </w:pPr>
          </w:p>
          <w:p w:rsidR="00B233DE" w:rsidRPr="00FA220A" w:rsidRDefault="00B233DE" w:rsidP="0023489B">
            <w:pPr>
              <w:ind w:firstLine="0"/>
              <w:jc w:val="center"/>
              <w:rPr>
                <w:rFonts w:ascii="Times New Roman" w:hAnsi="Times New Roman" w:cs="Times New Roman"/>
                <w:sz w:val="14"/>
                <w:szCs w:val="14"/>
              </w:rPr>
            </w:pPr>
          </w:p>
          <w:p w:rsidR="00B233DE" w:rsidRPr="00FA220A" w:rsidRDefault="00B233DE" w:rsidP="0023489B">
            <w:pPr>
              <w:ind w:firstLine="0"/>
              <w:jc w:val="center"/>
              <w:rPr>
                <w:rFonts w:ascii="Times New Roman" w:hAnsi="Times New Roman" w:cs="Times New Roman"/>
                <w:sz w:val="14"/>
                <w:szCs w:val="14"/>
              </w:rPr>
            </w:pPr>
          </w:p>
          <w:p w:rsidR="00B233DE" w:rsidRPr="00FA220A" w:rsidRDefault="00B233DE" w:rsidP="0023489B">
            <w:pPr>
              <w:ind w:firstLine="0"/>
              <w:jc w:val="center"/>
              <w:rPr>
                <w:rFonts w:ascii="Times New Roman" w:hAnsi="Times New Roman" w:cs="Times New Roman"/>
                <w:sz w:val="14"/>
                <w:szCs w:val="14"/>
              </w:rPr>
            </w:pPr>
          </w:p>
          <w:p w:rsidR="00B233DE" w:rsidRPr="00FA220A" w:rsidRDefault="00B233DE" w:rsidP="0023489B">
            <w:pPr>
              <w:ind w:firstLine="0"/>
              <w:jc w:val="center"/>
              <w:rPr>
                <w:rFonts w:ascii="Times New Roman" w:hAnsi="Times New Roman" w:cs="Times New Roman"/>
                <w:sz w:val="14"/>
                <w:szCs w:val="14"/>
              </w:rPr>
            </w:pPr>
          </w:p>
          <w:p w:rsidR="00B233DE" w:rsidRPr="00FA220A" w:rsidRDefault="00B233DE" w:rsidP="0023489B">
            <w:pPr>
              <w:ind w:firstLine="0"/>
              <w:jc w:val="center"/>
              <w:rPr>
                <w:rFonts w:ascii="Times New Roman" w:hAnsi="Times New Roman" w:cs="Times New Roman"/>
                <w:sz w:val="14"/>
                <w:szCs w:val="14"/>
              </w:rPr>
            </w:pPr>
          </w:p>
          <w:p w:rsidR="00B233DE" w:rsidRPr="00FA220A" w:rsidRDefault="00B233DE" w:rsidP="0023489B">
            <w:pPr>
              <w:ind w:firstLine="0"/>
              <w:jc w:val="center"/>
              <w:rPr>
                <w:rFonts w:ascii="Times New Roman" w:hAnsi="Times New Roman" w:cs="Times New Roman"/>
                <w:sz w:val="14"/>
                <w:szCs w:val="14"/>
              </w:rPr>
            </w:pPr>
          </w:p>
          <w:p w:rsidR="00B233DE" w:rsidRPr="00FA220A" w:rsidRDefault="00B233DE" w:rsidP="0023489B">
            <w:pPr>
              <w:ind w:firstLine="0"/>
              <w:jc w:val="center"/>
              <w:rPr>
                <w:rFonts w:ascii="Times New Roman" w:hAnsi="Times New Roman" w:cs="Times New Roman"/>
                <w:sz w:val="14"/>
                <w:szCs w:val="14"/>
              </w:rPr>
            </w:pPr>
          </w:p>
          <w:p w:rsidR="00B233DE" w:rsidRPr="00FA220A" w:rsidRDefault="00B233DE" w:rsidP="0023489B">
            <w:pPr>
              <w:ind w:firstLine="0"/>
              <w:jc w:val="center"/>
              <w:rPr>
                <w:rFonts w:ascii="Times New Roman" w:hAnsi="Times New Roman" w:cs="Times New Roman"/>
                <w:sz w:val="14"/>
                <w:szCs w:val="14"/>
              </w:rPr>
            </w:pPr>
          </w:p>
          <w:p w:rsidR="00B233DE" w:rsidRPr="00FA220A" w:rsidRDefault="00B233DE" w:rsidP="0023489B">
            <w:pPr>
              <w:ind w:firstLine="0"/>
              <w:jc w:val="center"/>
              <w:rPr>
                <w:rFonts w:ascii="Times New Roman" w:hAnsi="Times New Roman" w:cs="Times New Roman"/>
                <w:sz w:val="14"/>
                <w:szCs w:val="14"/>
              </w:rPr>
            </w:pPr>
          </w:p>
          <w:p w:rsidR="00B233DE" w:rsidRPr="00FA220A" w:rsidRDefault="00B233DE" w:rsidP="0023489B">
            <w:pPr>
              <w:ind w:firstLine="0"/>
              <w:jc w:val="center"/>
              <w:rPr>
                <w:rFonts w:ascii="Times New Roman" w:hAnsi="Times New Roman" w:cs="Times New Roman"/>
                <w:sz w:val="14"/>
                <w:szCs w:val="14"/>
              </w:rPr>
            </w:pPr>
          </w:p>
          <w:p w:rsidR="00B233DE" w:rsidRPr="00FA220A" w:rsidRDefault="00B233DE" w:rsidP="0023489B">
            <w:pPr>
              <w:ind w:firstLine="0"/>
              <w:jc w:val="center"/>
              <w:rPr>
                <w:rFonts w:ascii="Times New Roman" w:hAnsi="Times New Roman" w:cs="Times New Roman"/>
                <w:sz w:val="14"/>
                <w:szCs w:val="14"/>
              </w:rPr>
            </w:pPr>
          </w:p>
          <w:p w:rsidR="00B233DE" w:rsidRPr="00FA220A" w:rsidRDefault="00B233DE" w:rsidP="0023489B">
            <w:pPr>
              <w:ind w:firstLine="0"/>
              <w:jc w:val="center"/>
              <w:rPr>
                <w:rFonts w:ascii="Times New Roman" w:hAnsi="Times New Roman" w:cs="Times New Roman"/>
                <w:sz w:val="14"/>
                <w:szCs w:val="14"/>
              </w:rPr>
            </w:pPr>
            <w:r w:rsidRPr="00FA220A">
              <w:rPr>
                <w:rFonts w:ascii="Times New Roman" w:hAnsi="Times New Roman" w:cs="Times New Roman"/>
                <w:sz w:val="14"/>
                <w:szCs w:val="14"/>
              </w:rPr>
              <w:t>2. «Розтрата мізків» (</w:t>
            </w:r>
            <w:r w:rsidRPr="00FA220A">
              <w:rPr>
                <w:rFonts w:ascii="Times New Roman" w:hAnsi="Times New Roman" w:cs="Times New Roman"/>
                <w:sz w:val="14"/>
                <w:szCs w:val="14"/>
                <w:lang w:val="en-US"/>
              </w:rPr>
              <w:t>brain</w:t>
            </w:r>
            <w:r w:rsidRPr="00FA220A">
              <w:rPr>
                <w:rFonts w:ascii="Times New Roman" w:hAnsi="Times New Roman" w:cs="Times New Roman"/>
                <w:sz w:val="14"/>
                <w:szCs w:val="14"/>
              </w:rPr>
              <w:t xml:space="preserve"> </w:t>
            </w:r>
            <w:r w:rsidRPr="00FA220A">
              <w:rPr>
                <w:rFonts w:ascii="Times New Roman" w:hAnsi="Times New Roman" w:cs="Times New Roman"/>
                <w:sz w:val="14"/>
                <w:szCs w:val="14"/>
                <w:lang w:val="en-US"/>
              </w:rPr>
              <w:t>waste</w:t>
            </w:r>
            <w:r w:rsidRPr="00FA220A">
              <w:rPr>
                <w:rFonts w:ascii="Times New Roman" w:hAnsi="Times New Roman" w:cs="Times New Roman"/>
                <w:sz w:val="14"/>
                <w:szCs w:val="14"/>
              </w:rPr>
              <w:t>)</w:t>
            </w:r>
          </w:p>
          <w:p w:rsidR="00B233DE" w:rsidRPr="00FA220A" w:rsidRDefault="00B233DE" w:rsidP="0023489B">
            <w:pPr>
              <w:ind w:firstLine="0"/>
              <w:jc w:val="center"/>
              <w:rPr>
                <w:rFonts w:ascii="Times New Roman" w:hAnsi="Times New Roman" w:cs="Times New Roman"/>
                <w:sz w:val="14"/>
                <w:szCs w:val="14"/>
              </w:rPr>
            </w:pPr>
          </w:p>
          <w:p w:rsidR="00B233DE" w:rsidRDefault="00B233DE" w:rsidP="0023489B">
            <w:pPr>
              <w:ind w:firstLine="0"/>
              <w:jc w:val="center"/>
              <w:rPr>
                <w:rFonts w:ascii="Times New Roman" w:hAnsi="Times New Roman" w:cs="Times New Roman"/>
                <w:sz w:val="14"/>
                <w:szCs w:val="14"/>
              </w:rPr>
            </w:pPr>
            <w:r w:rsidRPr="00FA220A">
              <w:rPr>
                <w:rFonts w:ascii="Times New Roman" w:hAnsi="Times New Roman" w:cs="Times New Roman"/>
                <w:sz w:val="14"/>
                <w:szCs w:val="14"/>
              </w:rPr>
              <w:t>3. Загроза депопуляції та деградації людського потенціалу</w:t>
            </w:r>
          </w:p>
          <w:p w:rsidR="00B233DE" w:rsidRPr="00FA220A" w:rsidRDefault="00B233DE" w:rsidP="0023489B">
            <w:pPr>
              <w:ind w:firstLine="0"/>
              <w:jc w:val="center"/>
              <w:rPr>
                <w:rFonts w:ascii="Times New Roman" w:hAnsi="Times New Roman" w:cs="Times New Roman"/>
                <w:sz w:val="14"/>
                <w:szCs w:val="14"/>
              </w:rPr>
            </w:pPr>
            <w:r w:rsidRPr="00FA220A">
              <w:rPr>
                <w:rFonts w:ascii="Times New Roman" w:hAnsi="Times New Roman" w:cs="Times New Roman"/>
                <w:sz w:val="14"/>
                <w:szCs w:val="14"/>
              </w:rPr>
              <w:t>в країнах походження</w:t>
            </w:r>
          </w:p>
        </w:tc>
        <w:tc>
          <w:tcPr>
            <w:tcW w:w="2485" w:type="dxa"/>
          </w:tcPr>
          <w:p w:rsidR="00B233DE" w:rsidRPr="008348A7" w:rsidRDefault="00B233DE" w:rsidP="0023489B">
            <w:pPr>
              <w:ind w:left="-32" w:right="-108" w:firstLine="0"/>
              <w:jc w:val="both"/>
              <w:rPr>
                <w:rFonts w:ascii="Times New Roman" w:hAnsi="Times New Roman" w:cs="Times New Roman"/>
                <w:spacing w:val="-6"/>
                <w:sz w:val="14"/>
                <w:szCs w:val="14"/>
              </w:rPr>
            </w:pPr>
            <w:r w:rsidRPr="00FA220A">
              <w:rPr>
                <w:rFonts w:ascii="Times New Roman" w:hAnsi="Times New Roman" w:cs="Times New Roman"/>
                <w:spacing w:val="-6"/>
                <w:sz w:val="14"/>
                <w:szCs w:val="14"/>
              </w:rPr>
              <w:t xml:space="preserve">Мігранти передають соціальний досвід та цінності, які можуть негативно вплинути та усталений спосіб життя суспільства в країнах, що розвиваються, наприклад, </w:t>
            </w:r>
            <w:r w:rsidRPr="008348A7">
              <w:rPr>
                <w:rFonts w:ascii="Times New Roman" w:hAnsi="Times New Roman" w:cs="Times New Roman"/>
                <w:spacing w:val="-6"/>
                <w:sz w:val="14"/>
                <w:szCs w:val="14"/>
              </w:rPr>
              <w:t>цінності, що послаблюють сімейний уклад, сприяють споживацькому способу життя [</w:t>
            </w:r>
            <w:r>
              <w:rPr>
                <w:rFonts w:ascii="Times New Roman" w:hAnsi="Times New Roman" w:cs="Times New Roman"/>
                <w:sz w:val="14"/>
                <w:szCs w:val="14"/>
                <w:highlight w:val="yellow"/>
                <w:lang w:val="en-US"/>
              </w:rPr>
              <w:fldChar w:fldCharType="begin"/>
            </w:r>
            <w:r>
              <w:rPr>
                <w:rFonts w:ascii="Times New Roman" w:hAnsi="Times New Roman" w:cs="Times New Roman"/>
                <w:spacing w:val="-6"/>
                <w:sz w:val="14"/>
                <w:szCs w:val="14"/>
              </w:rPr>
              <w:instrText xml:space="preserve"> REF _Ref435184022 \r \h </w:instrText>
            </w:r>
            <w:r>
              <w:rPr>
                <w:rFonts w:ascii="Times New Roman" w:hAnsi="Times New Roman" w:cs="Times New Roman"/>
                <w:sz w:val="14"/>
                <w:szCs w:val="14"/>
                <w:highlight w:val="yellow"/>
                <w:lang w:val="en-US"/>
              </w:rPr>
            </w:r>
            <w:r>
              <w:rPr>
                <w:rFonts w:ascii="Times New Roman" w:hAnsi="Times New Roman" w:cs="Times New Roman"/>
                <w:sz w:val="14"/>
                <w:szCs w:val="14"/>
                <w:highlight w:val="yellow"/>
                <w:lang w:val="en-US"/>
              </w:rPr>
              <w:fldChar w:fldCharType="separate"/>
            </w:r>
            <w:r>
              <w:rPr>
                <w:rFonts w:ascii="Times New Roman" w:hAnsi="Times New Roman" w:cs="Times New Roman"/>
                <w:spacing w:val="-6"/>
                <w:sz w:val="14"/>
                <w:szCs w:val="14"/>
              </w:rPr>
              <w:t>91</w:t>
            </w:r>
            <w:r>
              <w:rPr>
                <w:rFonts w:ascii="Times New Roman" w:hAnsi="Times New Roman" w:cs="Times New Roman"/>
                <w:sz w:val="14"/>
                <w:szCs w:val="14"/>
                <w:highlight w:val="yellow"/>
                <w:lang w:val="en-US"/>
              </w:rPr>
              <w:fldChar w:fldCharType="end"/>
            </w:r>
            <w:r w:rsidRPr="008348A7">
              <w:rPr>
                <w:rFonts w:ascii="Times New Roman" w:hAnsi="Times New Roman" w:cs="Times New Roman"/>
                <w:spacing w:val="-6"/>
                <w:sz w:val="14"/>
                <w:szCs w:val="14"/>
              </w:rPr>
              <w:t>]. Розрив сімейних зв’язків, залишення бездоглядних дітей спричиняє деградації людського потенціалу. Дослідження способу життя дітей у сім’ях мігрантів Китаю, країн Центральної</w:t>
            </w:r>
            <w:r w:rsidRPr="00FA220A">
              <w:rPr>
                <w:rFonts w:ascii="Times New Roman" w:hAnsi="Times New Roman" w:cs="Times New Roman"/>
                <w:spacing w:val="-6"/>
                <w:sz w:val="14"/>
                <w:szCs w:val="14"/>
              </w:rPr>
              <w:t xml:space="preserve"> Америки, Домініканської республіки, Гаїті та Мексики показало, що вони є більш </w:t>
            </w:r>
            <w:r w:rsidRPr="008348A7">
              <w:rPr>
                <w:rFonts w:ascii="Times New Roman" w:hAnsi="Times New Roman" w:cs="Times New Roman"/>
                <w:spacing w:val="-6"/>
                <w:sz w:val="14"/>
                <w:szCs w:val="14"/>
              </w:rPr>
              <w:t>схильними до психічних розладів, депресивних станів, проблем з поведінкою, шкідливих звичок, підліткової злочинності [</w:t>
            </w:r>
            <w:r>
              <w:rPr>
                <w:rFonts w:ascii="Times New Roman" w:hAnsi="Times New Roman" w:cs="Times New Roman"/>
                <w:sz w:val="14"/>
                <w:szCs w:val="14"/>
                <w:highlight w:val="yellow"/>
                <w:lang w:val="en-US"/>
              </w:rPr>
              <w:fldChar w:fldCharType="begin"/>
            </w:r>
            <w:r>
              <w:rPr>
                <w:rFonts w:ascii="Times New Roman" w:hAnsi="Times New Roman" w:cs="Times New Roman"/>
                <w:spacing w:val="-6"/>
                <w:sz w:val="14"/>
                <w:szCs w:val="14"/>
              </w:rPr>
              <w:instrText xml:space="preserve"> REF _Ref435184034 \r \h </w:instrText>
            </w:r>
            <w:r>
              <w:rPr>
                <w:rFonts w:ascii="Times New Roman" w:hAnsi="Times New Roman" w:cs="Times New Roman"/>
                <w:sz w:val="14"/>
                <w:szCs w:val="14"/>
                <w:highlight w:val="yellow"/>
                <w:lang w:val="en-US"/>
              </w:rPr>
            </w:r>
            <w:r>
              <w:rPr>
                <w:rFonts w:ascii="Times New Roman" w:hAnsi="Times New Roman" w:cs="Times New Roman"/>
                <w:sz w:val="14"/>
                <w:szCs w:val="14"/>
                <w:highlight w:val="yellow"/>
                <w:lang w:val="en-US"/>
              </w:rPr>
              <w:fldChar w:fldCharType="separate"/>
            </w:r>
            <w:r>
              <w:rPr>
                <w:rFonts w:ascii="Times New Roman" w:hAnsi="Times New Roman" w:cs="Times New Roman"/>
                <w:spacing w:val="-6"/>
                <w:sz w:val="14"/>
                <w:szCs w:val="14"/>
              </w:rPr>
              <w:t>98</w:t>
            </w:r>
            <w:r>
              <w:rPr>
                <w:rFonts w:ascii="Times New Roman" w:hAnsi="Times New Roman" w:cs="Times New Roman"/>
                <w:sz w:val="14"/>
                <w:szCs w:val="14"/>
                <w:highlight w:val="yellow"/>
                <w:lang w:val="en-US"/>
              </w:rPr>
              <w:fldChar w:fldCharType="end"/>
            </w:r>
            <w:r w:rsidRPr="008348A7">
              <w:rPr>
                <w:rFonts w:ascii="Times New Roman" w:hAnsi="Times New Roman" w:cs="Times New Roman"/>
                <w:spacing w:val="-6"/>
                <w:sz w:val="14"/>
                <w:szCs w:val="14"/>
              </w:rPr>
              <w:t>].</w:t>
            </w:r>
          </w:p>
          <w:p w:rsidR="00B233DE" w:rsidRPr="00FA220A" w:rsidRDefault="00B233DE" w:rsidP="0023489B">
            <w:pPr>
              <w:ind w:left="-32" w:right="-108" w:firstLine="0"/>
              <w:jc w:val="both"/>
              <w:rPr>
                <w:rFonts w:ascii="Times New Roman" w:hAnsi="Times New Roman" w:cs="Times New Roman"/>
                <w:sz w:val="14"/>
                <w:szCs w:val="14"/>
              </w:rPr>
            </w:pPr>
            <w:r w:rsidRPr="008348A7">
              <w:rPr>
                <w:rFonts w:ascii="Times New Roman" w:hAnsi="Times New Roman" w:cs="Times New Roman"/>
                <w:spacing w:val="-6"/>
                <w:sz w:val="14"/>
                <w:szCs w:val="14"/>
              </w:rPr>
              <w:t>Відтік кваліфікованих працівників внаслідок низьких</w:t>
            </w:r>
            <w:r w:rsidRPr="00FA220A">
              <w:rPr>
                <w:rFonts w:ascii="Times New Roman" w:hAnsi="Times New Roman" w:cs="Times New Roman"/>
                <w:spacing w:val="-6"/>
                <w:sz w:val="14"/>
                <w:szCs w:val="14"/>
              </w:rPr>
              <w:t xml:space="preserve"> соціально-економічних умов життя в країні походження з метою пошуку джерел існування та матеріального забезпечення може призвести до працевлаштування на низькокваліфіковані робочі місця і, таким чином, до втрати сформованого людського потенціалу у вигляді навиків, знань і кваліфікації.</w:t>
            </w:r>
          </w:p>
        </w:tc>
      </w:tr>
    </w:tbl>
    <w:p w:rsidR="00B233DE" w:rsidRPr="00FA220A" w:rsidRDefault="00B233DE" w:rsidP="00B233DE">
      <w:pPr>
        <w:ind w:firstLine="0"/>
        <w:jc w:val="right"/>
        <w:rPr>
          <w:rFonts w:ascii="Times New Roman" w:hAnsi="Times New Roman" w:cs="Times New Roman"/>
          <w:sz w:val="21"/>
          <w:szCs w:val="21"/>
        </w:rPr>
      </w:pPr>
      <w:r>
        <w:rPr>
          <w:rFonts w:ascii="Times New Roman" w:hAnsi="Times New Roman" w:cs="Times New Roman"/>
          <w:sz w:val="21"/>
          <w:szCs w:val="21"/>
        </w:rPr>
        <w:lastRenderedPageBreak/>
        <w:t>Продовження таблиці 4.3</w:t>
      </w: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73"/>
        <w:gridCol w:w="1080"/>
        <w:gridCol w:w="4320"/>
        <w:gridCol w:w="720"/>
        <w:gridCol w:w="2646"/>
      </w:tblGrid>
      <w:tr w:rsidR="00B233DE" w:rsidRPr="00382839" w:rsidTr="0023489B">
        <w:trPr>
          <w:trHeight w:hRule="exact" w:val="197"/>
        </w:trPr>
        <w:tc>
          <w:tcPr>
            <w:tcW w:w="873" w:type="dxa"/>
          </w:tcPr>
          <w:p w:rsidR="00B233DE" w:rsidRPr="00382839" w:rsidRDefault="00B233DE" w:rsidP="0023489B">
            <w:pPr>
              <w:spacing w:after="200" w:line="276" w:lineRule="auto"/>
              <w:ind w:firstLine="0"/>
              <w:jc w:val="center"/>
              <w:rPr>
                <w:rFonts w:ascii="Times New Roman" w:hAnsi="Times New Roman" w:cs="Times New Roman"/>
                <w:sz w:val="14"/>
                <w:szCs w:val="14"/>
              </w:rPr>
            </w:pPr>
            <w:r w:rsidRPr="00382839">
              <w:rPr>
                <w:rFonts w:ascii="Times New Roman" w:hAnsi="Times New Roman" w:cs="Times New Roman"/>
                <w:sz w:val="14"/>
                <w:szCs w:val="14"/>
              </w:rPr>
              <w:t>1</w:t>
            </w:r>
          </w:p>
        </w:tc>
        <w:tc>
          <w:tcPr>
            <w:tcW w:w="1080" w:type="dxa"/>
          </w:tcPr>
          <w:p w:rsidR="00B233DE" w:rsidRPr="00382839" w:rsidRDefault="00B233DE" w:rsidP="0023489B">
            <w:pPr>
              <w:spacing w:after="200" w:line="276" w:lineRule="auto"/>
              <w:ind w:firstLine="0"/>
              <w:jc w:val="center"/>
              <w:rPr>
                <w:rFonts w:ascii="Times New Roman" w:hAnsi="Times New Roman" w:cs="Times New Roman"/>
                <w:sz w:val="14"/>
                <w:szCs w:val="14"/>
              </w:rPr>
            </w:pPr>
            <w:r w:rsidRPr="00382839">
              <w:rPr>
                <w:rFonts w:ascii="Times New Roman" w:hAnsi="Times New Roman" w:cs="Times New Roman"/>
                <w:sz w:val="14"/>
                <w:szCs w:val="14"/>
              </w:rPr>
              <w:t>2</w:t>
            </w:r>
          </w:p>
        </w:tc>
        <w:tc>
          <w:tcPr>
            <w:tcW w:w="4320" w:type="dxa"/>
          </w:tcPr>
          <w:p w:rsidR="00B233DE" w:rsidRPr="00382839" w:rsidRDefault="00B233DE" w:rsidP="0023489B">
            <w:pPr>
              <w:tabs>
                <w:tab w:val="left" w:pos="900"/>
              </w:tabs>
              <w:spacing w:after="200" w:line="276" w:lineRule="auto"/>
              <w:ind w:firstLine="0"/>
              <w:jc w:val="center"/>
              <w:rPr>
                <w:rFonts w:ascii="Times New Roman" w:hAnsi="Times New Roman" w:cs="Times New Roman"/>
                <w:sz w:val="14"/>
                <w:szCs w:val="14"/>
              </w:rPr>
            </w:pPr>
            <w:r w:rsidRPr="00382839">
              <w:rPr>
                <w:rFonts w:ascii="Times New Roman" w:hAnsi="Times New Roman" w:cs="Times New Roman"/>
                <w:sz w:val="14"/>
                <w:szCs w:val="14"/>
              </w:rPr>
              <w:t>3</w:t>
            </w:r>
          </w:p>
        </w:tc>
        <w:tc>
          <w:tcPr>
            <w:tcW w:w="720" w:type="dxa"/>
          </w:tcPr>
          <w:p w:rsidR="00B233DE" w:rsidRPr="00382839" w:rsidRDefault="00B233DE" w:rsidP="0023489B">
            <w:pPr>
              <w:spacing w:after="200" w:line="276" w:lineRule="auto"/>
              <w:ind w:firstLine="0"/>
              <w:jc w:val="center"/>
              <w:rPr>
                <w:rFonts w:ascii="Times New Roman" w:hAnsi="Times New Roman" w:cs="Times New Roman"/>
                <w:sz w:val="14"/>
                <w:szCs w:val="14"/>
              </w:rPr>
            </w:pPr>
            <w:r w:rsidRPr="00382839">
              <w:rPr>
                <w:rFonts w:ascii="Times New Roman" w:hAnsi="Times New Roman" w:cs="Times New Roman"/>
                <w:sz w:val="14"/>
                <w:szCs w:val="14"/>
              </w:rPr>
              <w:t>4</w:t>
            </w:r>
          </w:p>
        </w:tc>
        <w:tc>
          <w:tcPr>
            <w:tcW w:w="2646" w:type="dxa"/>
          </w:tcPr>
          <w:p w:rsidR="00B233DE" w:rsidRPr="00382839" w:rsidRDefault="00B233DE" w:rsidP="0023489B">
            <w:pPr>
              <w:tabs>
                <w:tab w:val="left" w:pos="900"/>
              </w:tabs>
              <w:spacing w:after="200" w:line="276" w:lineRule="auto"/>
              <w:ind w:firstLine="0"/>
              <w:jc w:val="center"/>
              <w:rPr>
                <w:rFonts w:ascii="Times New Roman" w:hAnsi="Times New Roman" w:cs="Times New Roman"/>
                <w:sz w:val="14"/>
                <w:szCs w:val="14"/>
              </w:rPr>
            </w:pPr>
            <w:r w:rsidRPr="00382839">
              <w:rPr>
                <w:rFonts w:ascii="Times New Roman" w:hAnsi="Times New Roman" w:cs="Times New Roman"/>
                <w:sz w:val="14"/>
                <w:szCs w:val="14"/>
              </w:rPr>
              <w:t>5</w:t>
            </w:r>
          </w:p>
        </w:tc>
      </w:tr>
      <w:tr w:rsidR="00B233DE" w:rsidRPr="008348A7" w:rsidTr="0023489B">
        <w:trPr>
          <w:trHeight w:hRule="exact" w:val="3119"/>
        </w:trPr>
        <w:tc>
          <w:tcPr>
            <w:tcW w:w="873" w:type="dxa"/>
          </w:tcPr>
          <w:p w:rsidR="00B233DE" w:rsidRPr="00382839" w:rsidRDefault="00B233DE" w:rsidP="0023489B">
            <w:pPr>
              <w:spacing w:after="200" w:line="276" w:lineRule="auto"/>
              <w:ind w:firstLine="0"/>
              <w:jc w:val="center"/>
              <w:rPr>
                <w:rFonts w:ascii="Times New Roman" w:hAnsi="Times New Roman" w:cs="Times New Roman"/>
                <w:sz w:val="14"/>
                <w:szCs w:val="14"/>
              </w:rPr>
            </w:pPr>
          </w:p>
        </w:tc>
        <w:tc>
          <w:tcPr>
            <w:tcW w:w="1080" w:type="dxa"/>
          </w:tcPr>
          <w:p w:rsidR="00B233DE" w:rsidRPr="00382839" w:rsidRDefault="00B233DE" w:rsidP="0023489B">
            <w:pPr>
              <w:spacing w:after="200" w:line="276" w:lineRule="auto"/>
              <w:ind w:firstLine="0"/>
              <w:jc w:val="center"/>
              <w:rPr>
                <w:rFonts w:ascii="Times New Roman" w:hAnsi="Times New Roman" w:cs="Times New Roman"/>
                <w:sz w:val="14"/>
                <w:szCs w:val="14"/>
              </w:rPr>
            </w:pPr>
          </w:p>
        </w:tc>
        <w:tc>
          <w:tcPr>
            <w:tcW w:w="4320" w:type="dxa"/>
          </w:tcPr>
          <w:p w:rsidR="00B233DE" w:rsidRPr="00AA79A8" w:rsidRDefault="00B233DE" w:rsidP="0023489B">
            <w:pPr>
              <w:tabs>
                <w:tab w:val="left" w:pos="900"/>
              </w:tabs>
              <w:spacing w:after="200"/>
              <w:ind w:left="-76" w:right="-72" w:firstLine="0"/>
              <w:jc w:val="both"/>
              <w:rPr>
                <w:rFonts w:ascii="Times New Roman" w:hAnsi="Times New Roman" w:cs="Times New Roman"/>
                <w:sz w:val="14"/>
                <w:szCs w:val="14"/>
              </w:rPr>
            </w:pPr>
            <w:r w:rsidRPr="00AA79A8">
              <w:rPr>
                <w:rFonts w:ascii="Times New Roman" w:hAnsi="Times New Roman" w:cs="Times New Roman"/>
                <w:sz w:val="14"/>
                <w:szCs w:val="14"/>
              </w:rPr>
              <w:t>Соціальні перекази – це передача досвіду, ідей, навичок, ноу-хау мігрантами в країни походження. Колективні соціальні перекази передбачають створення мігрантами асоціацій рідних міст і реа-лізацію соціальних проектів в містах країн, що розвиваються: побудову пожежних депо, спортивних майданчиків, станцій швидкої допомоги, доріг, мостів, систем подачі води, електромереж та теле-фонних ліній, тощо (наприклад іммігрантами США – вихідцями із Домініканської Республіки, Мексики, Філіппін) [</w:t>
            </w:r>
            <w:r w:rsidRPr="00AA79A8">
              <w:rPr>
                <w:rFonts w:ascii="Times New Roman" w:hAnsi="Times New Roman" w:cs="Times New Roman"/>
                <w:sz w:val="14"/>
                <w:szCs w:val="14"/>
                <w:highlight w:val="yellow"/>
                <w:lang w:val="en-US"/>
              </w:rPr>
              <w:fldChar w:fldCharType="begin"/>
            </w:r>
            <w:r w:rsidRPr="00AA79A8">
              <w:rPr>
                <w:rFonts w:ascii="Times New Roman" w:hAnsi="Times New Roman" w:cs="Times New Roman"/>
                <w:sz w:val="14"/>
                <w:szCs w:val="14"/>
              </w:rPr>
              <w:instrText xml:space="preserve"> REF _Ref435184022 \r \h </w:instrText>
            </w:r>
            <w:r w:rsidRPr="00AA79A8">
              <w:rPr>
                <w:rFonts w:ascii="Times New Roman" w:hAnsi="Times New Roman" w:cs="Times New Roman"/>
                <w:sz w:val="14"/>
                <w:szCs w:val="14"/>
                <w:highlight w:val="yellow"/>
              </w:rPr>
              <w:instrText xml:space="preserve"> \* </w:instrText>
            </w:r>
            <w:r w:rsidRPr="00AA79A8">
              <w:rPr>
                <w:rFonts w:ascii="Times New Roman" w:hAnsi="Times New Roman" w:cs="Times New Roman"/>
                <w:sz w:val="14"/>
                <w:szCs w:val="14"/>
                <w:highlight w:val="yellow"/>
                <w:lang w:val="en-US"/>
              </w:rPr>
              <w:instrText>MERGEFORMAT</w:instrText>
            </w:r>
            <w:r w:rsidRPr="00AA79A8">
              <w:rPr>
                <w:rFonts w:ascii="Times New Roman" w:hAnsi="Times New Roman" w:cs="Times New Roman"/>
                <w:sz w:val="14"/>
                <w:szCs w:val="14"/>
                <w:highlight w:val="yellow"/>
              </w:rPr>
              <w:instrText xml:space="preserve"> </w:instrText>
            </w:r>
            <w:r w:rsidRPr="00AA79A8">
              <w:rPr>
                <w:rFonts w:ascii="Times New Roman" w:hAnsi="Times New Roman" w:cs="Times New Roman"/>
                <w:sz w:val="14"/>
                <w:szCs w:val="14"/>
                <w:highlight w:val="yellow"/>
                <w:lang w:val="en-US"/>
              </w:rPr>
            </w:r>
            <w:r w:rsidRPr="00AA79A8">
              <w:rPr>
                <w:rFonts w:ascii="Times New Roman" w:hAnsi="Times New Roman" w:cs="Times New Roman"/>
                <w:sz w:val="14"/>
                <w:szCs w:val="14"/>
                <w:highlight w:val="yellow"/>
                <w:lang w:val="en-US"/>
              </w:rPr>
              <w:fldChar w:fldCharType="separate"/>
            </w:r>
            <w:r>
              <w:rPr>
                <w:rFonts w:ascii="Times New Roman" w:hAnsi="Times New Roman" w:cs="Times New Roman"/>
                <w:sz w:val="14"/>
                <w:szCs w:val="14"/>
              </w:rPr>
              <w:t>91</w:t>
            </w:r>
            <w:r w:rsidRPr="00AA79A8">
              <w:rPr>
                <w:rFonts w:ascii="Times New Roman" w:hAnsi="Times New Roman" w:cs="Times New Roman"/>
                <w:sz w:val="14"/>
                <w:szCs w:val="14"/>
                <w:highlight w:val="yellow"/>
                <w:lang w:val="en-US"/>
              </w:rPr>
              <w:fldChar w:fldCharType="end"/>
            </w:r>
            <w:r w:rsidRPr="00AA79A8">
              <w:rPr>
                <w:rFonts w:ascii="Times New Roman" w:hAnsi="Times New Roman" w:cs="Times New Roman"/>
                <w:sz w:val="14"/>
                <w:szCs w:val="14"/>
              </w:rPr>
              <w:t>]. Фінансова діяльність асоціацій рідних міст проводиться у чотирьох ключових напрямах: спрямування найбільших обсягів соціально орієнтованого інвестування у найбідніші райони країн походження, реалізація проектів за участю місцевої влади, фінансування проектів у формі грошових переказів, вплив на формування політики місцевих органів влади щодо соціально-економічного розвитку територій [</w:t>
            </w:r>
            <w:r w:rsidRPr="00AA79A8">
              <w:rPr>
                <w:rFonts w:ascii="Times New Roman" w:hAnsi="Times New Roman" w:cs="Times New Roman"/>
                <w:sz w:val="14"/>
                <w:szCs w:val="14"/>
                <w:highlight w:val="yellow"/>
              </w:rPr>
              <w:fldChar w:fldCharType="begin"/>
            </w:r>
            <w:r w:rsidRPr="00AA79A8">
              <w:rPr>
                <w:rFonts w:ascii="Times New Roman" w:hAnsi="Times New Roman" w:cs="Times New Roman"/>
                <w:sz w:val="14"/>
                <w:szCs w:val="14"/>
              </w:rPr>
              <w:instrText xml:space="preserve"> REF _Ref435186300 \r \h </w:instrText>
            </w:r>
            <w:r w:rsidRPr="00AA79A8">
              <w:rPr>
                <w:rFonts w:ascii="Times New Roman" w:hAnsi="Times New Roman" w:cs="Times New Roman"/>
                <w:sz w:val="14"/>
                <w:szCs w:val="14"/>
                <w:highlight w:val="yellow"/>
              </w:rPr>
              <w:instrText xml:space="preserve"> \* MERGEFORMAT </w:instrText>
            </w:r>
            <w:r w:rsidRPr="00AA79A8">
              <w:rPr>
                <w:rFonts w:ascii="Times New Roman" w:hAnsi="Times New Roman" w:cs="Times New Roman"/>
                <w:sz w:val="14"/>
                <w:szCs w:val="14"/>
                <w:highlight w:val="yellow"/>
              </w:rPr>
            </w:r>
            <w:r w:rsidRPr="00AA79A8">
              <w:rPr>
                <w:rFonts w:ascii="Times New Roman" w:hAnsi="Times New Roman" w:cs="Times New Roman"/>
                <w:sz w:val="14"/>
                <w:szCs w:val="14"/>
                <w:highlight w:val="yellow"/>
              </w:rPr>
              <w:fldChar w:fldCharType="separate"/>
            </w:r>
            <w:r>
              <w:rPr>
                <w:rFonts w:ascii="Times New Roman" w:hAnsi="Times New Roman" w:cs="Times New Roman"/>
                <w:sz w:val="14"/>
                <w:szCs w:val="14"/>
              </w:rPr>
              <w:t>5</w:t>
            </w:r>
            <w:r w:rsidRPr="00AA79A8">
              <w:rPr>
                <w:rFonts w:ascii="Times New Roman" w:hAnsi="Times New Roman" w:cs="Times New Roman"/>
                <w:sz w:val="14"/>
                <w:szCs w:val="14"/>
                <w:highlight w:val="yellow"/>
              </w:rPr>
              <w:fldChar w:fldCharType="end"/>
            </w:r>
            <w:r w:rsidRPr="00AA79A8">
              <w:rPr>
                <w:rFonts w:ascii="Times New Roman" w:hAnsi="Times New Roman" w:cs="Times New Roman"/>
                <w:sz w:val="14"/>
                <w:szCs w:val="14"/>
              </w:rPr>
              <w:t xml:space="preserve">]. </w:t>
            </w:r>
            <w:r w:rsidRPr="00AA79A8">
              <w:rPr>
                <w:rFonts w:ascii="Times New Roman" w:hAnsi="Times New Roman" w:cs="Times New Roman"/>
                <w:spacing w:val="-4"/>
                <w:sz w:val="14"/>
                <w:szCs w:val="14"/>
              </w:rPr>
              <w:t>Соціальні перекази з розвинутих країн транслюють спосіб життя та по-</w:t>
            </w:r>
            <w:r w:rsidRPr="00AA79A8">
              <w:rPr>
                <w:rFonts w:ascii="Times New Roman" w:hAnsi="Times New Roman" w:cs="Times New Roman"/>
                <w:sz w:val="14"/>
                <w:szCs w:val="14"/>
              </w:rPr>
              <w:t>ведінку, що, в окремих випадках підвищує людський потенціал в кра-їнах, що розвиваються, до прикладу, покращення житлових умов, особистої гігієни, вживання безпечної питної води, проходження регулярного медичного огляду, тощо [</w:t>
            </w:r>
            <w:r>
              <w:rPr>
                <w:rFonts w:ascii="Times New Roman" w:hAnsi="Times New Roman" w:cs="Times New Roman"/>
                <w:sz w:val="14"/>
                <w:szCs w:val="14"/>
                <w:lang w:val="en-GB"/>
              </w:rPr>
              <w:fldChar w:fldCharType="begin"/>
            </w:r>
            <w:r>
              <w:rPr>
                <w:rFonts w:ascii="Times New Roman" w:hAnsi="Times New Roman" w:cs="Times New Roman"/>
                <w:sz w:val="14"/>
                <w:szCs w:val="14"/>
              </w:rPr>
              <w:instrText xml:space="preserve"> REF _Ref435182515 \r \h </w:instrText>
            </w:r>
            <w:r>
              <w:rPr>
                <w:rFonts w:ascii="Times New Roman" w:hAnsi="Times New Roman" w:cs="Times New Roman"/>
                <w:sz w:val="14"/>
                <w:szCs w:val="14"/>
                <w:lang w:val="en-GB"/>
              </w:rPr>
            </w:r>
            <w:r>
              <w:rPr>
                <w:rFonts w:ascii="Times New Roman" w:hAnsi="Times New Roman" w:cs="Times New Roman"/>
                <w:sz w:val="14"/>
                <w:szCs w:val="14"/>
                <w:lang w:val="en-GB"/>
              </w:rPr>
              <w:fldChar w:fldCharType="separate"/>
            </w:r>
            <w:r>
              <w:rPr>
                <w:rFonts w:ascii="Times New Roman" w:hAnsi="Times New Roman" w:cs="Times New Roman"/>
                <w:sz w:val="14"/>
                <w:szCs w:val="14"/>
              </w:rPr>
              <w:t>78</w:t>
            </w:r>
            <w:r>
              <w:rPr>
                <w:rFonts w:ascii="Times New Roman" w:hAnsi="Times New Roman" w:cs="Times New Roman"/>
                <w:sz w:val="14"/>
                <w:szCs w:val="14"/>
                <w:lang w:val="en-GB"/>
              </w:rPr>
              <w:fldChar w:fldCharType="end"/>
            </w:r>
            <w:r w:rsidRPr="00AA79A8">
              <w:rPr>
                <w:rFonts w:ascii="Times New Roman" w:hAnsi="Times New Roman" w:cs="Times New Roman"/>
                <w:sz w:val="14"/>
                <w:szCs w:val="14"/>
              </w:rPr>
              <w:t>].</w:t>
            </w:r>
          </w:p>
        </w:tc>
        <w:tc>
          <w:tcPr>
            <w:tcW w:w="720" w:type="dxa"/>
          </w:tcPr>
          <w:p w:rsidR="00B233DE" w:rsidRPr="00AA79A8" w:rsidRDefault="00B233DE" w:rsidP="0023489B">
            <w:pPr>
              <w:spacing w:after="200"/>
              <w:ind w:left="-76" w:right="-72" w:firstLine="0"/>
              <w:jc w:val="center"/>
              <w:rPr>
                <w:rFonts w:ascii="Times New Roman" w:hAnsi="Times New Roman" w:cs="Times New Roman"/>
                <w:sz w:val="14"/>
                <w:szCs w:val="14"/>
              </w:rPr>
            </w:pPr>
          </w:p>
        </w:tc>
        <w:tc>
          <w:tcPr>
            <w:tcW w:w="2646" w:type="dxa"/>
          </w:tcPr>
          <w:p w:rsidR="00B233DE" w:rsidRPr="008348A7" w:rsidRDefault="00B233DE" w:rsidP="0023489B">
            <w:pPr>
              <w:tabs>
                <w:tab w:val="left" w:pos="900"/>
              </w:tabs>
              <w:spacing w:after="200"/>
              <w:ind w:left="-76" w:right="-72" w:firstLine="0"/>
              <w:jc w:val="both"/>
              <w:rPr>
                <w:rFonts w:ascii="Times New Roman" w:hAnsi="Times New Roman" w:cs="Times New Roman"/>
                <w:sz w:val="14"/>
                <w:szCs w:val="14"/>
              </w:rPr>
            </w:pPr>
            <w:r w:rsidRPr="008348A7">
              <w:rPr>
                <w:rFonts w:ascii="Times New Roman" w:hAnsi="Times New Roman" w:cs="Times New Roman"/>
                <w:spacing w:val="-6"/>
                <w:sz w:val="14"/>
                <w:szCs w:val="14"/>
              </w:rPr>
              <w:t xml:space="preserve">Виїзд осіб працездатного та репродуктивного віку </w:t>
            </w:r>
            <w:r w:rsidRPr="008348A7">
              <w:rPr>
                <w:rFonts w:ascii="Times New Roman" w:hAnsi="Times New Roman" w:cs="Times New Roman"/>
                <w:sz w:val="14"/>
                <w:szCs w:val="14"/>
              </w:rPr>
              <w:t>призводить до старіння структури трудових ресурсів, зменшення рівня народжуваності, знелюднення територій та депопуляції країн з малою кількістю населення. Попит на низькокваліфіковану робочу силу на міжнародному ринку праці часто стає причиною відмови від здобуття певного освітньо-кваліфікаційного рівня потенційними мігрантами у країні по-ходження і, таким чином, деградації люд-ського потенціалу. Дана тенденція є ха-рактерною для еміграції з Мексики і Ту-реччини [</w:t>
            </w:r>
            <w:r>
              <w:rPr>
                <w:rFonts w:ascii="Times New Roman" w:hAnsi="Times New Roman" w:cs="Times New Roman"/>
                <w:sz w:val="14"/>
                <w:szCs w:val="14"/>
                <w:highlight w:val="yellow"/>
                <w:lang w:val="en-US"/>
              </w:rPr>
              <w:fldChar w:fldCharType="begin"/>
            </w:r>
            <w:r>
              <w:rPr>
                <w:rFonts w:ascii="Times New Roman" w:hAnsi="Times New Roman" w:cs="Times New Roman"/>
                <w:sz w:val="14"/>
                <w:szCs w:val="14"/>
              </w:rPr>
              <w:instrText xml:space="preserve"> REF _Ref435184034 \r \h </w:instrText>
            </w:r>
            <w:r>
              <w:rPr>
                <w:rFonts w:ascii="Times New Roman" w:hAnsi="Times New Roman" w:cs="Times New Roman"/>
                <w:sz w:val="14"/>
                <w:szCs w:val="14"/>
                <w:highlight w:val="yellow"/>
                <w:lang w:val="en-US"/>
              </w:rPr>
            </w:r>
            <w:r>
              <w:rPr>
                <w:rFonts w:ascii="Times New Roman" w:hAnsi="Times New Roman" w:cs="Times New Roman"/>
                <w:sz w:val="14"/>
                <w:szCs w:val="14"/>
                <w:highlight w:val="yellow"/>
                <w:lang w:val="en-US"/>
              </w:rPr>
              <w:fldChar w:fldCharType="separate"/>
            </w:r>
            <w:r>
              <w:rPr>
                <w:rFonts w:ascii="Times New Roman" w:hAnsi="Times New Roman" w:cs="Times New Roman"/>
                <w:sz w:val="14"/>
                <w:szCs w:val="14"/>
              </w:rPr>
              <w:t>98</w:t>
            </w:r>
            <w:r>
              <w:rPr>
                <w:rFonts w:ascii="Times New Roman" w:hAnsi="Times New Roman" w:cs="Times New Roman"/>
                <w:sz w:val="14"/>
                <w:szCs w:val="14"/>
                <w:highlight w:val="yellow"/>
                <w:lang w:val="en-US"/>
              </w:rPr>
              <w:fldChar w:fldCharType="end"/>
            </w:r>
            <w:r w:rsidRPr="008348A7">
              <w:rPr>
                <w:rFonts w:ascii="Times New Roman" w:hAnsi="Times New Roman" w:cs="Times New Roman"/>
                <w:sz w:val="14"/>
                <w:szCs w:val="14"/>
              </w:rPr>
              <w:t>].</w:t>
            </w:r>
          </w:p>
        </w:tc>
      </w:tr>
      <w:tr w:rsidR="00B233DE" w:rsidRPr="00382839" w:rsidTr="0023489B">
        <w:trPr>
          <w:trHeight w:val="1548"/>
        </w:trPr>
        <w:tc>
          <w:tcPr>
            <w:tcW w:w="873" w:type="dxa"/>
          </w:tcPr>
          <w:p w:rsidR="00B233DE" w:rsidRPr="00382839" w:rsidRDefault="00B233DE" w:rsidP="0023489B">
            <w:pPr>
              <w:ind w:left="-108" w:right="-86" w:firstLine="0"/>
              <w:jc w:val="center"/>
              <w:rPr>
                <w:rFonts w:ascii="Times New Roman" w:hAnsi="Times New Roman" w:cs="Times New Roman"/>
                <w:sz w:val="14"/>
                <w:szCs w:val="14"/>
              </w:rPr>
            </w:pPr>
            <w:r w:rsidRPr="00382839">
              <w:rPr>
                <w:rFonts w:ascii="Times New Roman" w:hAnsi="Times New Roman" w:cs="Times New Roman"/>
                <w:color w:val="3366FF"/>
                <w:sz w:val="14"/>
                <w:szCs w:val="14"/>
              </w:rPr>
              <w:br w:type="page"/>
            </w:r>
            <w:r w:rsidRPr="00382839">
              <w:rPr>
                <w:rFonts w:ascii="Times New Roman" w:hAnsi="Times New Roman" w:cs="Times New Roman"/>
                <w:sz w:val="14"/>
                <w:szCs w:val="14"/>
              </w:rPr>
              <w:t>2. Техноло</w:t>
            </w:r>
            <w:r>
              <w:rPr>
                <w:rFonts w:ascii="Times New Roman" w:hAnsi="Times New Roman" w:cs="Times New Roman"/>
                <w:sz w:val="14"/>
                <w:szCs w:val="14"/>
              </w:rPr>
              <w:t>-</w:t>
            </w:r>
            <w:r w:rsidRPr="00382839">
              <w:rPr>
                <w:rFonts w:ascii="Times New Roman" w:hAnsi="Times New Roman" w:cs="Times New Roman"/>
                <w:sz w:val="14"/>
                <w:szCs w:val="14"/>
              </w:rPr>
              <w:t>гічні зміни, що зумов</w:t>
            </w:r>
            <w:r>
              <w:rPr>
                <w:rFonts w:ascii="Times New Roman" w:hAnsi="Times New Roman" w:cs="Times New Roman"/>
                <w:sz w:val="14"/>
                <w:szCs w:val="14"/>
              </w:rPr>
              <w:t>-</w:t>
            </w:r>
            <w:r w:rsidRPr="00382839">
              <w:rPr>
                <w:rFonts w:ascii="Times New Roman" w:hAnsi="Times New Roman" w:cs="Times New Roman"/>
                <w:sz w:val="14"/>
                <w:szCs w:val="14"/>
              </w:rPr>
              <w:t>люють постійний попит на ви</w:t>
            </w:r>
            <w:r>
              <w:rPr>
                <w:rFonts w:ascii="Times New Roman" w:hAnsi="Times New Roman" w:cs="Times New Roman"/>
                <w:sz w:val="14"/>
                <w:szCs w:val="14"/>
              </w:rPr>
              <w:t>-</w:t>
            </w:r>
            <w:r w:rsidRPr="00382839">
              <w:rPr>
                <w:rFonts w:ascii="Times New Roman" w:hAnsi="Times New Roman" w:cs="Times New Roman"/>
                <w:sz w:val="14"/>
                <w:szCs w:val="14"/>
              </w:rPr>
              <w:t>сококваліфі</w:t>
            </w:r>
            <w:r>
              <w:rPr>
                <w:rFonts w:ascii="Times New Roman" w:hAnsi="Times New Roman" w:cs="Times New Roman"/>
                <w:sz w:val="14"/>
                <w:szCs w:val="14"/>
              </w:rPr>
              <w:t>-ко</w:t>
            </w:r>
            <w:r w:rsidRPr="00382839">
              <w:rPr>
                <w:rFonts w:ascii="Times New Roman" w:hAnsi="Times New Roman" w:cs="Times New Roman"/>
                <w:sz w:val="14"/>
                <w:szCs w:val="14"/>
              </w:rPr>
              <w:t>ваних працівників</w:t>
            </w:r>
          </w:p>
        </w:tc>
        <w:tc>
          <w:tcPr>
            <w:tcW w:w="1080" w:type="dxa"/>
          </w:tcPr>
          <w:p w:rsidR="00B233DE" w:rsidRDefault="00B233DE" w:rsidP="0023489B">
            <w:pPr>
              <w:ind w:left="-130" w:right="-140" w:firstLine="0"/>
              <w:jc w:val="center"/>
              <w:rPr>
                <w:rFonts w:ascii="Times New Roman" w:hAnsi="Times New Roman" w:cs="Times New Roman"/>
                <w:sz w:val="14"/>
                <w:szCs w:val="14"/>
              </w:rPr>
            </w:pPr>
            <w:r w:rsidRPr="00382839">
              <w:rPr>
                <w:rFonts w:ascii="Times New Roman" w:hAnsi="Times New Roman" w:cs="Times New Roman"/>
                <w:sz w:val="14"/>
                <w:szCs w:val="14"/>
              </w:rPr>
              <w:t>1. Економічне зростання і під</w:t>
            </w:r>
            <w:r>
              <w:rPr>
                <w:rFonts w:ascii="Times New Roman" w:hAnsi="Times New Roman" w:cs="Times New Roman"/>
                <w:sz w:val="14"/>
                <w:szCs w:val="14"/>
              </w:rPr>
              <w:t>-</w:t>
            </w:r>
            <w:r w:rsidRPr="00382839">
              <w:rPr>
                <w:rFonts w:ascii="Times New Roman" w:hAnsi="Times New Roman" w:cs="Times New Roman"/>
                <w:sz w:val="14"/>
                <w:szCs w:val="14"/>
              </w:rPr>
              <w:t>вищення людсь</w:t>
            </w:r>
            <w:r>
              <w:rPr>
                <w:rFonts w:ascii="Times New Roman" w:hAnsi="Times New Roman" w:cs="Times New Roman"/>
                <w:sz w:val="14"/>
                <w:szCs w:val="14"/>
              </w:rPr>
              <w:t>-</w:t>
            </w:r>
            <w:r w:rsidRPr="00382839">
              <w:rPr>
                <w:rFonts w:ascii="Times New Roman" w:hAnsi="Times New Roman" w:cs="Times New Roman"/>
                <w:sz w:val="14"/>
                <w:szCs w:val="14"/>
              </w:rPr>
              <w:t xml:space="preserve">кого потенціалу </w:t>
            </w:r>
          </w:p>
          <w:p w:rsidR="00B233DE" w:rsidRPr="00382839" w:rsidRDefault="00B233DE" w:rsidP="0023489B">
            <w:pPr>
              <w:ind w:left="-130" w:right="-140" w:firstLine="0"/>
              <w:jc w:val="center"/>
              <w:rPr>
                <w:rFonts w:ascii="Times New Roman" w:hAnsi="Times New Roman" w:cs="Times New Roman"/>
                <w:sz w:val="14"/>
                <w:szCs w:val="14"/>
              </w:rPr>
            </w:pPr>
            <w:r w:rsidRPr="00382839">
              <w:rPr>
                <w:rFonts w:ascii="Times New Roman" w:hAnsi="Times New Roman" w:cs="Times New Roman"/>
                <w:sz w:val="14"/>
                <w:szCs w:val="14"/>
              </w:rPr>
              <w:t>за рахунок висококваліфіко</w:t>
            </w:r>
            <w:r>
              <w:rPr>
                <w:rFonts w:ascii="Times New Roman" w:hAnsi="Times New Roman" w:cs="Times New Roman"/>
                <w:sz w:val="14"/>
                <w:szCs w:val="14"/>
              </w:rPr>
              <w:t>-</w:t>
            </w:r>
            <w:r w:rsidRPr="00382839">
              <w:rPr>
                <w:rFonts w:ascii="Times New Roman" w:hAnsi="Times New Roman" w:cs="Times New Roman"/>
                <w:sz w:val="14"/>
                <w:szCs w:val="14"/>
              </w:rPr>
              <w:t>ваної імміграції</w:t>
            </w:r>
          </w:p>
          <w:p w:rsidR="00B233DE" w:rsidRDefault="00B233DE" w:rsidP="0023489B">
            <w:pPr>
              <w:ind w:left="-130" w:right="-140" w:firstLine="0"/>
              <w:jc w:val="center"/>
              <w:rPr>
                <w:rFonts w:ascii="Times New Roman" w:hAnsi="Times New Roman" w:cs="Times New Roman"/>
                <w:sz w:val="14"/>
                <w:szCs w:val="14"/>
              </w:rPr>
            </w:pPr>
            <w:r w:rsidRPr="00382839">
              <w:rPr>
                <w:rFonts w:ascii="Times New Roman" w:hAnsi="Times New Roman" w:cs="Times New Roman"/>
                <w:sz w:val="14"/>
                <w:szCs w:val="14"/>
              </w:rPr>
              <w:t xml:space="preserve">2. Усунення диспропорцій </w:t>
            </w:r>
          </w:p>
          <w:p w:rsidR="00B233DE" w:rsidRPr="00382839" w:rsidRDefault="00B233DE" w:rsidP="0023489B">
            <w:pPr>
              <w:ind w:left="-130" w:right="-140" w:firstLine="0"/>
              <w:jc w:val="center"/>
              <w:rPr>
                <w:rFonts w:ascii="Times New Roman" w:hAnsi="Times New Roman" w:cs="Times New Roman"/>
                <w:sz w:val="14"/>
                <w:szCs w:val="14"/>
              </w:rPr>
            </w:pPr>
            <w:r w:rsidRPr="00382839">
              <w:rPr>
                <w:rFonts w:ascii="Times New Roman" w:hAnsi="Times New Roman" w:cs="Times New Roman"/>
                <w:sz w:val="14"/>
                <w:szCs w:val="14"/>
              </w:rPr>
              <w:t>на ринках праці країн призначення</w:t>
            </w:r>
          </w:p>
          <w:p w:rsidR="00B233DE" w:rsidRPr="00382839" w:rsidRDefault="00B233DE" w:rsidP="0023489B">
            <w:pPr>
              <w:ind w:left="-130" w:right="-140" w:firstLine="0"/>
              <w:jc w:val="center"/>
              <w:rPr>
                <w:rFonts w:ascii="Times New Roman" w:hAnsi="Times New Roman" w:cs="Times New Roman"/>
                <w:sz w:val="14"/>
                <w:szCs w:val="14"/>
              </w:rPr>
            </w:pPr>
            <w:r w:rsidRPr="00382839">
              <w:rPr>
                <w:rFonts w:ascii="Times New Roman" w:hAnsi="Times New Roman" w:cs="Times New Roman"/>
                <w:sz w:val="14"/>
                <w:szCs w:val="14"/>
              </w:rPr>
              <w:t xml:space="preserve">3. Переваги від міждержавного кругообігу людського </w:t>
            </w:r>
          </w:p>
        </w:tc>
        <w:tc>
          <w:tcPr>
            <w:tcW w:w="4320" w:type="dxa"/>
          </w:tcPr>
          <w:p w:rsidR="00B233DE" w:rsidRPr="00AA79A8" w:rsidRDefault="00B233DE" w:rsidP="0023489B">
            <w:pPr>
              <w:tabs>
                <w:tab w:val="left" w:pos="900"/>
              </w:tabs>
              <w:ind w:firstLine="0"/>
              <w:jc w:val="both"/>
              <w:rPr>
                <w:rFonts w:ascii="Times New Roman" w:hAnsi="Times New Roman" w:cs="Times New Roman"/>
                <w:sz w:val="14"/>
                <w:szCs w:val="14"/>
              </w:rPr>
            </w:pPr>
            <w:r w:rsidRPr="00AA79A8">
              <w:rPr>
                <w:rFonts w:ascii="Times New Roman" w:hAnsi="Times New Roman" w:cs="Times New Roman"/>
                <w:sz w:val="14"/>
                <w:szCs w:val="14"/>
              </w:rPr>
              <w:t>Висококваліфіковані іммігранти сприяють інноваційному прогресу за рахунок власних знань і кваліфікації та за рахунок інвестицій венчурного капіталу. Чверть всіх створених за останні 15 років венчурних підприємств у США засновані підприємцями-іммігрантами. Поточна вартість акцій даних підприємств перевищила 500 млрд дол. США, а кількість зайнятих на них в США досягла 220 тис. осіб. Найбільший вплив на інноваційний розвиток справляють мігранти в сфері інформаційних технологій, біологічних науках, високотехнологічному виробництві [</w:t>
            </w:r>
            <w:r>
              <w:rPr>
                <w:rFonts w:ascii="Times New Roman" w:hAnsi="Times New Roman" w:cs="Times New Roman"/>
                <w:sz w:val="14"/>
                <w:szCs w:val="14"/>
                <w:highlight w:val="yellow"/>
                <w:lang w:val="en-GB"/>
              </w:rPr>
              <w:fldChar w:fldCharType="begin"/>
            </w:r>
            <w:r>
              <w:rPr>
                <w:rFonts w:ascii="Times New Roman" w:hAnsi="Times New Roman" w:cs="Times New Roman"/>
                <w:sz w:val="14"/>
                <w:szCs w:val="14"/>
              </w:rPr>
              <w:instrText xml:space="preserve"> REF _Ref435186354 \r \h </w:instrText>
            </w:r>
            <w:r>
              <w:rPr>
                <w:rFonts w:ascii="Times New Roman" w:hAnsi="Times New Roman" w:cs="Times New Roman"/>
                <w:sz w:val="14"/>
                <w:szCs w:val="14"/>
                <w:highlight w:val="yellow"/>
                <w:lang w:val="en-GB"/>
              </w:rPr>
            </w:r>
            <w:r>
              <w:rPr>
                <w:rFonts w:ascii="Times New Roman" w:hAnsi="Times New Roman" w:cs="Times New Roman"/>
                <w:sz w:val="14"/>
                <w:szCs w:val="14"/>
                <w:highlight w:val="yellow"/>
                <w:lang w:val="en-GB"/>
              </w:rPr>
              <w:fldChar w:fldCharType="separate"/>
            </w:r>
            <w:r>
              <w:rPr>
                <w:rFonts w:ascii="Times New Roman" w:hAnsi="Times New Roman" w:cs="Times New Roman"/>
                <w:sz w:val="14"/>
                <w:szCs w:val="14"/>
              </w:rPr>
              <w:t>83</w:t>
            </w:r>
            <w:r>
              <w:rPr>
                <w:rFonts w:ascii="Times New Roman" w:hAnsi="Times New Roman" w:cs="Times New Roman"/>
                <w:sz w:val="14"/>
                <w:szCs w:val="14"/>
                <w:highlight w:val="yellow"/>
                <w:lang w:val="en-GB"/>
              </w:rPr>
              <w:fldChar w:fldCharType="end"/>
            </w:r>
            <w:r w:rsidRPr="00AA79A8">
              <w:rPr>
                <w:rFonts w:ascii="Times New Roman" w:hAnsi="Times New Roman" w:cs="Times New Roman"/>
                <w:sz w:val="14"/>
                <w:szCs w:val="14"/>
              </w:rPr>
              <w:t>]. Залучення висококваліфікованих мігрантів збільшило загальне патентування в США на 20 % [</w:t>
            </w:r>
            <w:r>
              <w:rPr>
                <w:rFonts w:ascii="Times New Roman" w:hAnsi="Times New Roman" w:cs="Times New Roman"/>
                <w:sz w:val="14"/>
                <w:szCs w:val="14"/>
                <w:highlight w:val="yellow"/>
                <w:lang w:val="en-US"/>
              </w:rPr>
              <w:fldChar w:fldCharType="begin"/>
            </w:r>
            <w:r>
              <w:rPr>
                <w:rFonts w:ascii="Times New Roman" w:hAnsi="Times New Roman" w:cs="Times New Roman"/>
                <w:sz w:val="14"/>
                <w:szCs w:val="14"/>
              </w:rPr>
              <w:instrText xml:space="preserve"> REF _Ref435186361 \r \h </w:instrText>
            </w:r>
            <w:r>
              <w:rPr>
                <w:rFonts w:ascii="Times New Roman" w:hAnsi="Times New Roman" w:cs="Times New Roman"/>
                <w:sz w:val="14"/>
                <w:szCs w:val="14"/>
                <w:highlight w:val="yellow"/>
                <w:lang w:val="en-US"/>
              </w:rPr>
            </w:r>
            <w:r>
              <w:rPr>
                <w:rFonts w:ascii="Times New Roman" w:hAnsi="Times New Roman" w:cs="Times New Roman"/>
                <w:sz w:val="14"/>
                <w:szCs w:val="14"/>
                <w:highlight w:val="yellow"/>
                <w:lang w:val="en-US"/>
              </w:rPr>
              <w:fldChar w:fldCharType="separate"/>
            </w:r>
            <w:r>
              <w:rPr>
                <w:rFonts w:ascii="Times New Roman" w:hAnsi="Times New Roman" w:cs="Times New Roman"/>
                <w:sz w:val="14"/>
                <w:szCs w:val="14"/>
              </w:rPr>
              <w:t>99</w:t>
            </w:r>
            <w:r>
              <w:rPr>
                <w:rFonts w:ascii="Times New Roman" w:hAnsi="Times New Roman" w:cs="Times New Roman"/>
                <w:sz w:val="14"/>
                <w:szCs w:val="14"/>
                <w:highlight w:val="yellow"/>
                <w:lang w:val="en-US"/>
              </w:rPr>
              <w:fldChar w:fldCharType="end"/>
            </w:r>
            <w:r w:rsidRPr="00AA79A8">
              <w:rPr>
                <w:rFonts w:ascii="Times New Roman" w:hAnsi="Times New Roman" w:cs="Times New Roman"/>
                <w:sz w:val="14"/>
                <w:szCs w:val="14"/>
              </w:rPr>
              <w:t>].</w:t>
            </w:r>
          </w:p>
          <w:p w:rsidR="00B233DE" w:rsidRPr="00AA79A8" w:rsidRDefault="00B233DE" w:rsidP="0023489B">
            <w:pPr>
              <w:tabs>
                <w:tab w:val="left" w:pos="900"/>
              </w:tabs>
              <w:ind w:firstLine="0"/>
              <w:jc w:val="both"/>
              <w:rPr>
                <w:rFonts w:ascii="Times New Roman" w:hAnsi="Times New Roman" w:cs="Times New Roman"/>
                <w:sz w:val="14"/>
                <w:szCs w:val="14"/>
              </w:rPr>
            </w:pPr>
            <w:r w:rsidRPr="00AA79A8">
              <w:rPr>
                <w:rFonts w:ascii="Times New Roman" w:hAnsi="Times New Roman" w:cs="Times New Roman"/>
                <w:sz w:val="14"/>
                <w:szCs w:val="14"/>
              </w:rPr>
              <w:t xml:space="preserve">Дослідження, проведені у Великобританії, доводять, що мігранти зі Східної Європи не витісняють національних працівників з їхніх робочих місць, а займають ті вакансії, які користуються низькою популярністю серед місцевого населення, тому вплив на загальний </w:t>
            </w:r>
          </w:p>
        </w:tc>
        <w:tc>
          <w:tcPr>
            <w:tcW w:w="720" w:type="dxa"/>
          </w:tcPr>
          <w:p w:rsidR="00B233DE" w:rsidRDefault="00B233DE" w:rsidP="0023489B">
            <w:pPr>
              <w:ind w:left="-144" w:right="-203" w:hanging="2"/>
              <w:jc w:val="center"/>
              <w:rPr>
                <w:rFonts w:ascii="Times New Roman" w:hAnsi="Times New Roman" w:cs="Times New Roman"/>
                <w:sz w:val="14"/>
                <w:szCs w:val="14"/>
              </w:rPr>
            </w:pPr>
            <w:r>
              <w:rPr>
                <w:rFonts w:ascii="Times New Roman" w:hAnsi="Times New Roman" w:cs="Times New Roman"/>
                <w:sz w:val="14"/>
                <w:szCs w:val="14"/>
              </w:rPr>
              <w:t>1. Відтік висококва-ліфі</w:t>
            </w:r>
            <w:r w:rsidRPr="00382839">
              <w:rPr>
                <w:rFonts w:ascii="Times New Roman" w:hAnsi="Times New Roman" w:cs="Times New Roman"/>
                <w:sz w:val="14"/>
                <w:szCs w:val="14"/>
              </w:rPr>
              <w:t>кованих спеціалістів з країн походже</w:t>
            </w:r>
            <w:r>
              <w:rPr>
                <w:rFonts w:ascii="Times New Roman" w:hAnsi="Times New Roman" w:cs="Times New Roman"/>
                <w:sz w:val="14"/>
                <w:szCs w:val="14"/>
              </w:rPr>
              <w:t>-</w:t>
            </w:r>
          </w:p>
          <w:p w:rsidR="00B233DE" w:rsidRPr="00382839" w:rsidRDefault="00B233DE" w:rsidP="0023489B">
            <w:pPr>
              <w:ind w:left="-144" w:right="-203" w:hanging="2"/>
              <w:jc w:val="center"/>
              <w:rPr>
                <w:rFonts w:ascii="Times New Roman" w:hAnsi="Times New Roman" w:cs="Times New Roman"/>
                <w:sz w:val="14"/>
                <w:szCs w:val="14"/>
              </w:rPr>
            </w:pPr>
            <w:r w:rsidRPr="00382839">
              <w:rPr>
                <w:rFonts w:ascii="Times New Roman" w:hAnsi="Times New Roman" w:cs="Times New Roman"/>
                <w:sz w:val="14"/>
                <w:szCs w:val="14"/>
              </w:rPr>
              <w:t>ння</w:t>
            </w:r>
          </w:p>
        </w:tc>
        <w:tc>
          <w:tcPr>
            <w:tcW w:w="2646" w:type="dxa"/>
          </w:tcPr>
          <w:p w:rsidR="00B233DE" w:rsidRPr="00382839" w:rsidRDefault="00B233DE" w:rsidP="0023489B">
            <w:pPr>
              <w:tabs>
                <w:tab w:val="left" w:pos="900"/>
              </w:tabs>
              <w:ind w:left="-13" w:right="5" w:firstLine="0"/>
              <w:jc w:val="both"/>
              <w:rPr>
                <w:rFonts w:ascii="Times New Roman" w:hAnsi="Times New Roman" w:cs="Times New Roman"/>
                <w:sz w:val="14"/>
                <w:szCs w:val="14"/>
              </w:rPr>
            </w:pPr>
            <w:r w:rsidRPr="00382839">
              <w:rPr>
                <w:rFonts w:ascii="Times New Roman" w:hAnsi="Times New Roman" w:cs="Times New Roman"/>
                <w:sz w:val="14"/>
                <w:szCs w:val="14"/>
              </w:rPr>
              <w:t xml:space="preserve">За оцінками, кожен африканський спеціаліст-емігрант представляє втрату </w:t>
            </w:r>
            <w:r w:rsidRPr="008348A7">
              <w:rPr>
                <w:rFonts w:ascii="Times New Roman" w:hAnsi="Times New Roman" w:cs="Times New Roman"/>
                <w:sz w:val="14"/>
                <w:szCs w:val="14"/>
              </w:rPr>
              <w:t>для Африки у розмірі 184 тис. дол. США [</w:t>
            </w:r>
            <w:r>
              <w:rPr>
                <w:rFonts w:ascii="Times New Roman" w:hAnsi="Times New Roman" w:cs="Times New Roman"/>
                <w:sz w:val="14"/>
                <w:szCs w:val="14"/>
                <w:highlight w:val="yellow"/>
                <w:lang w:val="en-US"/>
              </w:rPr>
              <w:fldChar w:fldCharType="begin"/>
            </w:r>
            <w:r>
              <w:rPr>
                <w:rFonts w:ascii="Times New Roman" w:hAnsi="Times New Roman" w:cs="Times New Roman"/>
                <w:sz w:val="14"/>
                <w:szCs w:val="14"/>
              </w:rPr>
              <w:instrText xml:space="preserve"> REF _Ref435186377 \r \h </w:instrText>
            </w:r>
            <w:r>
              <w:rPr>
                <w:rFonts w:ascii="Times New Roman" w:hAnsi="Times New Roman" w:cs="Times New Roman"/>
                <w:sz w:val="14"/>
                <w:szCs w:val="14"/>
                <w:highlight w:val="yellow"/>
                <w:lang w:val="en-US"/>
              </w:rPr>
            </w:r>
            <w:r>
              <w:rPr>
                <w:rFonts w:ascii="Times New Roman" w:hAnsi="Times New Roman" w:cs="Times New Roman"/>
                <w:sz w:val="14"/>
                <w:szCs w:val="14"/>
                <w:highlight w:val="yellow"/>
                <w:lang w:val="en-US"/>
              </w:rPr>
              <w:fldChar w:fldCharType="separate"/>
            </w:r>
            <w:r>
              <w:rPr>
                <w:rFonts w:ascii="Times New Roman" w:hAnsi="Times New Roman" w:cs="Times New Roman"/>
                <w:sz w:val="14"/>
                <w:szCs w:val="14"/>
              </w:rPr>
              <w:t>88</w:t>
            </w:r>
            <w:r>
              <w:rPr>
                <w:rFonts w:ascii="Times New Roman" w:hAnsi="Times New Roman" w:cs="Times New Roman"/>
                <w:sz w:val="14"/>
                <w:szCs w:val="14"/>
                <w:highlight w:val="yellow"/>
                <w:lang w:val="en-US"/>
              </w:rPr>
              <w:fldChar w:fldCharType="end"/>
            </w:r>
            <w:r w:rsidRPr="008348A7">
              <w:rPr>
                <w:rFonts w:ascii="Times New Roman" w:hAnsi="Times New Roman" w:cs="Times New Roman"/>
                <w:sz w:val="14"/>
                <w:szCs w:val="14"/>
              </w:rPr>
              <w:t>]. Міграція педагогів спричинила незанятість 10 тис. вакансій</w:t>
            </w:r>
            <w:r w:rsidRPr="00382839">
              <w:rPr>
                <w:rFonts w:ascii="Times New Roman" w:hAnsi="Times New Roman" w:cs="Times New Roman"/>
                <w:sz w:val="14"/>
                <w:szCs w:val="14"/>
              </w:rPr>
              <w:t xml:space="preserve"> викладацького </w:t>
            </w:r>
            <w:r w:rsidRPr="008348A7">
              <w:rPr>
                <w:rFonts w:ascii="Times New Roman" w:hAnsi="Times New Roman" w:cs="Times New Roman"/>
                <w:sz w:val="14"/>
                <w:szCs w:val="14"/>
              </w:rPr>
              <w:t>складу та 60 % місць в аспірантурі закладів технічної освіти в Індії, що викликало гострі проблеми для навчання наступних поколінь [</w:t>
            </w:r>
            <w:r>
              <w:rPr>
                <w:rFonts w:ascii="Times New Roman" w:hAnsi="Times New Roman" w:cs="Times New Roman"/>
                <w:sz w:val="14"/>
                <w:szCs w:val="14"/>
                <w:highlight w:val="yellow"/>
                <w:lang w:val="en-US"/>
              </w:rPr>
              <w:fldChar w:fldCharType="begin"/>
            </w:r>
            <w:r>
              <w:rPr>
                <w:rFonts w:ascii="Times New Roman" w:hAnsi="Times New Roman" w:cs="Times New Roman"/>
                <w:sz w:val="14"/>
                <w:szCs w:val="14"/>
              </w:rPr>
              <w:instrText xml:space="preserve"> REF _Ref435182624 \r \h </w:instrText>
            </w:r>
            <w:r>
              <w:rPr>
                <w:rFonts w:ascii="Times New Roman" w:hAnsi="Times New Roman" w:cs="Times New Roman"/>
                <w:sz w:val="14"/>
                <w:szCs w:val="14"/>
                <w:highlight w:val="yellow"/>
                <w:lang w:val="en-US"/>
              </w:rPr>
            </w:r>
            <w:r>
              <w:rPr>
                <w:rFonts w:ascii="Times New Roman" w:hAnsi="Times New Roman" w:cs="Times New Roman"/>
                <w:sz w:val="14"/>
                <w:szCs w:val="14"/>
                <w:highlight w:val="yellow"/>
                <w:lang w:val="en-US"/>
              </w:rPr>
              <w:fldChar w:fldCharType="separate"/>
            </w:r>
            <w:r>
              <w:rPr>
                <w:rFonts w:ascii="Times New Roman" w:hAnsi="Times New Roman" w:cs="Times New Roman"/>
                <w:sz w:val="14"/>
                <w:szCs w:val="14"/>
              </w:rPr>
              <w:t>72</w:t>
            </w:r>
            <w:r>
              <w:rPr>
                <w:rFonts w:ascii="Times New Roman" w:hAnsi="Times New Roman" w:cs="Times New Roman"/>
                <w:sz w:val="14"/>
                <w:szCs w:val="14"/>
                <w:highlight w:val="yellow"/>
                <w:lang w:val="en-US"/>
              </w:rPr>
              <w:fldChar w:fldCharType="end"/>
            </w:r>
            <w:r w:rsidRPr="008348A7">
              <w:rPr>
                <w:rFonts w:ascii="Times New Roman" w:hAnsi="Times New Roman" w:cs="Times New Roman"/>
                <w:sz w:val="14"/>
                <w:szCs w:val="14"/>
              </w:rPr>
              <w:t>].</w:t>
            </w:r>
            <w:r w:rsidRPr="00382839">
              <w:rPr>
                <w:rFonts w:ascii="Times New Roman" w:hAnsi="Times New Roman" w:cs="Times New Roman"/>
                <w:sz w:val="14"/>
                <w:szCs w:val="14"/>
              </w:rPr>
              <w:t xml:space="preserve"> </w:t>
            </w:r>
          </w:p>
        </w:tc>
      </w:tr>
    </w:tbl>
    <w:p w:rsidR="00B233DE" w:rsidRPr="00337442" w:rsidRDefault="00B233DE" w:rsidP="00B233DE">
      <w:pPr>
        <w:spacing w:line="360" w:lineRule="auto"/>
        <w:ind w:firstLine="720"/>
        <w:rPr>
          <w:sz w:val="21"/>
          <w:szCs w:val="21"/>
        </w:rPr>
        <w:sectPr w:rsidR="00B233DE" w:rsidRPr="00337442" w:rsidSect="0023489B">
          <w:headerReference w:type="default" r:id="rId57"/>
          <w:footerReference w:type="default" r:id="rId58"/>
          <w:pgSz w:w="11907" w:h="8392" w:orient="landscape"/>
          <w:pgMar w:top="1134" w:right="1134" w:bottom="1134" w:left="567" w:header="709" w:footer="709" w:gutter="0"/>
          <w:cols w:space="708"/>
          <w:docGrid w:linePitch="360"/>
        </w:sectPr>
      </w:pPr>
    </w:p>
    <w:p w:rsidR="00B233DE" w:rsidRPr="00FA220A" w:rsidRDefault="00B233DE" w:rsidP="00B233DE">
      <w:pPr>
        <w:ind w:firstLine="0"/>
        <w:jc w:val="right"/>
        <w:rPr>
          <w:rFonts w:ascii="Times New Roman" w:hAnsi="Times New Roman" w:cs="Times New Roman"/>
          <w:sz w:val="21"/>
          <w:szCs w:val="21"/>
        </w:rPr>
      </w:pPr>
      <w:r>
        <w:rPr>
          <w:rFonts w:ascii="Times New Roman" w:hAnsi="Times New Roman" w:cs="Times New Roman"/>
          <w:sz w:val="21"/>
          <w:szCs w:val="21"/>
        </w:rPr>
        <w:lastRenderedPageBreak/>
        <w:t>Продовження таблиці 4.3</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40"/>
        <w:gridCol w:w="1080"/>
        <w:gridCol w:w="4320"/>
        <w:gridCol w:w="720"/>
        <w:gridCol w:w="2079"/>
      </w:tblGrid>
      <w:tr w:rsidR="00B233DE" w:rsidRPr="00382839" w:rsidTr="0023489B">
        <w:trPr>
          <w:trHeight w:hRule="exact" w:val="197"/>
        </w:trPr>
        <w:tc>
          <w:tcPr>
            <w:tcW w:w="1440" w:type="dxa"/>
          </w:tcPr>
          <w:p w:rsidR="00B233DE" w:rsidRPr="00382839" w:rsidRDefault="00B233DE" w:rsidP="0023489B">
            <w:pPr>
              <w:spacing w:after="200" w:line="276" w:lineRule="auto"/>
              <w:ind w:firstLine="0"/>
              <w:jc w:val="center"/>
              <w:rPr>
                <w:rFonts w:ascii="Times New Roman" w:hAnsi="Times New Roman" w:cs="Times New Roman"/>
                <w:sz w:val="14"/>
                <w:szCs w:val="14"/>
              </w:rPr>
            </w:pPr>
            <w:r w:rsidRPr="00382839">
              <w:rPr>
                <w:rFonts w:ascii="Times New Roman" w:hAnsi="Times New Roman" w:cs="Times New Roman"/>
                <w:sz w:val="14"/>
                <w:szCs w:val="14"/>
              </w:rPr>
              <w:t>1</w:t>
            </w:r>
          </w:p>
        </w:tc>
        <w:tc>
          <w:tcPr>
            <w:tcW w:w="1080" w:type="dxa"/>
          </w:tcPr>
          <w:p w:rsidR="00B233DE" w:rsidRPr="00382839" w:rsidRDefault="00B233DE" w:rsidP="0023489B">
            <w:pPr>
              <w:spacing w:after="200" w:line="276" w:lineRule="auto"/>
              <w:ind w:firstLine="0"/>
              <w:jc w:val="center"/>
              <w:rPr>
                <w:rFonts w:ascii="Times New Roman" w:hAnsi="Times New Roman" w:cs="Times New Roman"/>
                <w:sz w:val="14"/>
                <w:szCs w:val="14"/>
              </w:rPr>
            </w:pPr>
            <w:r w:rsidRPr="00382839">
              <w:rPr>
                <w:rFonts w:ascii="Times New Roman" w:hAnsi="Times New Roman" w:cs="Times New Roman"/>
                <w:sz w:val="14"/>
                <w:szCs w:val="14"/>
              </w:rPr>
              <w:t>2</w:t>
            </w:r>
          </w:p>
        </w:tc>
        <w:tc>
          <w:tcPr>
            <w:tcW w:w="4320" w:type="dxa"/>
          </w:tcPr>
          <w:p w:rsidR="00B233DE" w:rsidRPr="00382839" w:rsidRDefault="00B233DE" w:rsidP="0023489B">
            <w:pPr>
              <w:tabs>
                <w:tab w:val="left" w:pos="900"/>
              </w:tabs>
              <w:spacing w:after="200" w:line="276" w:lineRule="auto"/>
              <w:ind w:firstLine="0"/>
              <w:jc w:val="center"/>
              <w:rPr>
                <w:rFonts w:ascii="Times New Roman" w:hAnsi="Times New Roman" w:cs="Times New Roman"/>
                <w:sz w:val="14"/>
                <w:szCs w:val="14"/>
              </w:rPr>
            </w:pPr>
            <w:r w:rsidRPr="00382839">
              <w:rPr>
                <w:rFonts w:ascii="Times New Roman" w:hAnsi="Times New Roman" w:cs="Times New Roman"/>
                <w:sz w:val="14"/>
                <w:szCs w:val="14"/>
              </w:rPr>
              <w:t>3</w:t>
            </w:r>
          </w:p>
        </w:tc>
        <w:tc>
          <w:tcPr>
            <w:tcW w:w="720" w:type="dxa"/>
          </w:tcPr>
          <w:p w:rsidR="00B233DE" w:rsidRPr="00382839" w:rsidRDefault="00B233DE" w:rsidP="0023489B">
            <w:pPr>
              <w:spacing w:after="200" w:line="276" w:lineRule="auto"/>
              <w:ind w:firstLine="0"/>
              <w:jc w:val="center"/>
              <w:rPr>
                <w:rFonts w:ascii="Times New Roman" w:hAnsi="Times New Roman" w:cs="Times New Roman"/>
                <w:sz w:val="14"/>
                <w:szCs w:val="14"/>
              </w:rPr>
            </w:pPr>
            <w:r w:rsidRPr="00382839">
              <w:rPr>
                <w:rFonts w:ascii="Times New Roman" w:hAnsi="Times New Roman" w:cs="Times New Roman"/>
                <w:sz w:val="14"/>
                <w:szCs w:val="14"/>
              </w:rPr>
              <w:t>4</w:t>
            </w:r>
          </w:p>
        </w:tc>
        <w:tc>
          <w:tcPr>
            <w:tcW w:w="2079" w:type="dxa"/>
          </w:tcPr>
          <w:p w:rsidR="00B233DE" w:rsidRPr="00382839" w:rsidRDefault="00B233DE" w:rsidP="0023489B">
            <w:pPr>
              <w:tabs>
                <w:tab w:val="left" w:pos="900"/>
              </w:tabs>
              <w:spacing w:after="200" w:line="276" w:lineRule="auto"/>
              <w:ind w:firstLine="0"/>
              <w:jc w:val="center"/>
              <w:rPr>
                <w:rFonts w:ascii="Times New Roman" w:hAnsi="Times New Roman" w:cs="Times New Roman"/>
                <w:sz w:val="14"/>
                <w:szCs w:val="14"/>
              </w:rPr>
            </w:pPr>
            <w:r w:rsidRPr="00382839">
              <w:rPr>
                <w:rFonts w:ascii="Times New Roman" w:hAnsi="Times New Roman" w:cs="Times New Roman"/>
                <w:sz w:val="14"/>
                <w:szCs w:val="14"/>
              </w:rPr>
              <w:t>5</w:t>
            </w:r>
          </w:p>
        </w:tc>
      </w:tr>
      <w:tr w:rsidR="00B233DE" w:rsidRPr="00382839" w:rsidTr="0023489B">
        <w:trPr>
          <w:trHeight w:val="1548"/>
        </w:trPr>
        <w:tc>
          <w:tcPr>
            <w:tcW w:w="1440" w:type="dxa"/>
          </w:tcPr>
          <w:p w:rsidR="00B233DE" w:rsidRPr="00382839" w:rsidRDefault="00B233DE" w:rsidP="0023489B">
            <w:pPr>
              <w:ind w:right="-86" w:firstLine="0"/>
              <w:jc w:val="center"/>
              <w:rPr>
                <w:rFonts w:ascii="Times New Roman" w:hAnsi="Times New Roman" w:cs="Times New Roman"/>
                <w:sz w:val="14"/>
                <w:szCs w:val="14"/>
              </w:rPr>
            </w:pPr>
          </w:p>
        </w:tc>
        <w:tc>
          <w:tcPr>
            <w:tcW w:w="1080" w:type="dxa"/>
          </w:tcPr>
          <w:p w:rsidR="00B233DE" w:rsidRPr="00382839" w:rsidRDefault="00B233DE" w:rsidP="0023489B">
            <w:pPr>
              <w:ind w:left="-130" w:right="-140" w:firstLine="0"/>
              <w:jc w:val="center"/>
              <w:rPr>
                <w:rFonts w:ascii="Times New Roman" w:hAnsi="Times New Roman" w:cs="Times New Roman"/>
                <w:sz w:val="14"/>
                <w:szCs w:val="14"/>
              </w:rPr>
            </w:pPr>
          </w:p>
        </w:tc>
        <w:tc>
          <w:tcPr>
            <w:tcW w:w="4320" w:type="dxa"/>
          </w:tcPr>
          <w:p w:rsidR="00B233DE" w:rsidRPr="008348A7" w:rsidRDefault="00B233DE" w:rsidP="0023489B">
            <w:pPr>
              <w:tabs>
                <w:tab w:val="left" w:pos="900"/>
              </w:tabs>
              <w:ind w:firstLine="0"/>
              <w:jc w:val="both"/>
              <w:rPr>
                <w:rFonts w:ascii="Times New Roman" w:hAnsi="Times New Roman" w:cs="Times New Roman"/>
                <w:sz w:val="14"/>
                <w:szCs w:val="14"/>
              </w:rPr>
            </w:pPr>
            <w:r w:rsidRPr="00382839">
              <w:rPr>
                <w:rFonts w:ascii="Times New Roman" w:hAnsi="Times New Roman" w:cs="Times New Roman"/>
                <w:sz w:val="14"/>
                <w:szCs w:val="14"/>
              </w:rPr>
              <w:t xml:space="preserve">рівень </w:t>
            </w:r>
            <w:r w:rsidRPr="008348A7">
              <w:rPr>
                <w:rFonts w:ascii="Times New Roman" w:hAnsi="Times New Roman" w:cs="Times New Roman"/>
                <w:sz w:val="14"/>
                <w:szCs w:val="14"/>
              </w:rPr>
              <w:t>безробіття є неістотним [</w:t>
            </w:r>
            <w:r>
              <w:rPr>
                <w:rFonts w:ascii="Times New Roman" w:hAnsi="Times New Roman" w:cs="Times New Roman"/>
                <w:sz w:val="14"/>
                <w:szCs w:val="14"/>
                <w:highlight w:val="yellow"/>
                <w:lang w:val="en-US"/>
              </w:rPr>
              <w:fldChar w:fldCharType="begin"/>
            </w:r>
            <w:r>
              <w:rPr>
                <w:rFonts w:ascii="Times New Roman" w:hAnsi="Times New Roman" w:cs="Times New Roman"/>
                <w:sz w:val="14"/>
                <w:szCs w:val="14"/>
              </w:rPr>
              <w:instrText xml:space="preserve"> REF _Ref435186361 \r \h </w:instrText>
            </w:r>
            <w:r>
              <w:rPr>
                <w:rFonts w:ascii="Times New Roman" w:hAnsi="Times New Roman" w:cs="Times New Roman"/>
                <w:sz w:val="14"/>
                <w:szCs w:val="14"/>
                <w:highlight w:val="yellow"/>
                <w:lang w:val="en-US"/>
              </w:rPr>
            </w:r>
            <w:r>
              <w:rPr>
                <w:rFonts w:ascii="Times New Roman" w:hAnsi="Times New Roman" w:cs="Times New Roman"/>
                <w:sz w:val="14"/>
                <w:szCs w:val="14"/>
                <w:highlight w:val="yellow"/>
                <w:lang w:val="en-US"/>
              </w:rPr>
              <w:fldChar w:fldCharType="separate"/>
            </w:r>
            <w:r>
              <w:rPr>
                <w:rFonts w:ascii="Times New Roman" w:hAnsi="Times New Roman" w:cs="Times New Roman"/>
                <w:sz w:val="14"/>
                <w:szCs w:val="14"/>
              </w:rPr>
              <w:t>99</w:t>
            </w:r>
            <w:r>
              <w:rPr>
                <w:rFonts w:ascii="Times New Roman" w:hAnsi="Times New Roman" w:cs="Times New Roman"/>
                <w:sz w:val="14"/>
                <w:szCs w:val="14"/>
                <w:highlight w:val="yellow"/>
                <w:lang w:val="en-US"/>
              </w:rPr>
              <w:fldChar w:fldCharType="end"/>
            </w:r>
            <w:r w:rsidRPr="008348A7">
              <w:rPr>
                <w:rFonts w:ascii="Times New Roman" w:hAnsi="Times New Roman" w:cs="Times New Roman"/>
                <w:sz w:val="14"/>
                <w:szCs w:val="14"/>
              </w:rPr>
              <w:t>].</w:t>
            </w:r>
          </w:p>
          <w:p w:rsidR="00B233DE" w:rsidRPr="00382839" w:rsidRDefault="00B233DE" w:rsidP="0023489B">
            <w:pPr>
              <w:tabs>
                <w:tab w:val="left" w:pos="900"/>
              </w:tabs>
              <w:ind w:firstLine="0"/>
              <w:jc w:val="both"/>
              <w:rPr>
                <w:rFonts w:ascii="Times New Roman" w:hAnsi="Times New Roman" w:cs="Times New Roman"/>
                <w:sz w:val="14"/>
                <w:szCs w:val="14"/>
              </w:rPr>
            </w:pPr>
            <w:r w:rsidRPr="008348A7">
              <w:rPr>
                <w:rFonts w:ascii="Times New Roman" w:hAnsi="Times New Roman" w:cs="Times New Roman"/>
                <w:sz w:val="14"/>
                <w:szCs w:val="14"/>
              </w:rPr>
              <w:t>Створення міждержавних мереж висококваліфікованих спеціалістів</w:t>
            </w:r>
            <w:r w:rsidRPr="00382839">
              <w:rPr>
                <w:rFonts w:ascii="Times New Roman" w:hAnsi="Times New Roman" w:cs="Times New Roman"/>
                <w:sz w:val="14"/>
                <w:szCs w:val="14"/>
              </w:rPr>
              <w:t xml:space="preserve"> сприяє розповсюдженню знань, інновацій та поглядів і стимулює розвиток у середньостроковому та довгостроковому періодах. Досвід Китаю і Індії у використанні переваг від функціонування мереж за участі національних спеціалістів та професіоналів-мігрантів у США підтверджує інтенсивний економічний розвиток цих країн внаслідок трансферу технологій, передачі вдосконалених навиків та практики у сфері праці і </w:t>
            </w:r>
            <w:r w:rsidRPr="008348A7">
              <w:rPr>
                <w:rFonts w:ascii="Times New Roman" w:hAnsi="Times New Roman" w:cs="Times New Roman"/>
                <w:sz w:val="14"/>
                <w:szCs w:val="14"/>
              </w:rPr>
              <w:t>управління [</w:t>
            </w:r>
            <w:r>
              <w:rPr>
                <w:rFonts w:ascii="Times New Roman" w:hAnsi="Times New Roman" w:cs="Times New Roman"/>
                <w:sz w:val="14"/>
                <w:szCs w:val="14"/>
                <w:highlight w:val="yellow"/>
                <w:lang w:val="en-US"/>
              </w:rPr>
              <w:fldChar w:fldCharType="begin"/>
            </w:r>
            <w:r>
              <w:rPr>
                <w:rFonts w:ascii="Times New Roman" w:hAnsi="Times New Roman" w:cs="Times New Roman"/>
                <w:sz w:val="14"/>
                <w:szCs w:val="14"/>
              </w:rPr>
              <w:instrText xml:space="preserve"> REF _Ref435186409 \r \h </w:instrText>
            </w:r>
            <w:r>
              <w:rPr>
                <w:rFonts w:ascii="Times New Roman" w:hAnsi="Times New Roman" w:cs="Times New Roman"/>
                <w:sz w:val="14"/>
                <w:szCs w:val="14"/>
                <w:highlight w:val="yellow"/>
                <w:lang w:val="en-US"/>
              </w:rPr>
            </w:r>
            <w:r>
              <w:rPr>
                <w:rFonts w:ascii="Times New Roman" w:hAnsi="Times New Roman" w:cs="Times New Roman"/>
                <w:sz w:val="14"/>
                <w:szCs w:val="14"/>
                <w:highlight w:val="yellow"/>
                <w:lang w:val="en-US"/>
              </w:rPr>
              <w:fldChar w:fldCharType="separate"/>
            </w:r>
            <w:r>
              <w:rPr>
                <w:rFonts w:ascii="Times New Roman" w:hAnsi="Times New Roman" w:cs="Times New Roman"/>
                <w:sz w:val="14"/>
                <w:szCs w:val="14"/>
              </w:rPr>
              <w:t>79</w:t>
            </w:r>
            <w:r>
              <w:rPr>
                <w:rFonts w:ascii="Times New Roman" w:hAnsi="Times New Roman" w:cs="Times New Roman"/>
                <w:sz w:val="14"/>
                <w:szCs w:val="14"/>
                <w:highlight w:val="yellow"/>
                <w:lang w:val="en-US"/>
              </w:rPr>
              <w:fldChar w:fldCharType="end"/>
            </w:r>
            <w:r w:rsidRPr="008348A7">
              <w:rPr>
                <w:rFonts w:ascii="Times New Roman" w:hAnsi="Times New Roman" w:cs="Times New Roman"/>
                <w:sz w:val="14"/>
                <w:szCs w:val="14"/>
              </w:rPr>
              <w:t>].</w:t>
            </w:r>
          </w:p>
        </w:tc>
        <w:tc>
          <w:tcPr>
            <w:tcW w:w="720" w:type="dxa"/>
            <w:vMerge w:val="restart"/>
          </w:tcPr>
          <w:p w:rsidR="00B233DE" w:rsidRPr="00382839" w:rsidRDefault="00B233DE" w:rsidP="0023489B">
            <w:pPr>
              <w:ind w:left="-144" w:right="-203" w:hanging="2"/>
              <w:jc w:val="center"/>
              <w:rPr>
                <w:rFonts w:ascii="Times New Roman" w:hAnsi="Times New Roman" w:cs="Times New Roman"/>
                <w:sz w:val="14"/>
                <w:szCs w:val="14"/>
              </w:rPr>
            </w:pPr>
          </w:p>
        </w:tc>
        <w:tc>
          <w:tcPr>
            <w:tcW w:w="2079" w:type="dxa"/>
            <w:vMerge w:val="restart"/>
          </w:tcPr>
          <w:p w:rsidR="00B233DE" w:rsidRPr="00382839" w:rsidRDefault="00B233DE" w:rsidP="0023489B">
            <w:pPr>
              <w:tabs>
                <w:tab w:val="left" w:pos="900"/>
              </w:tabs>
              <w:ind w:left="-13" w:right="5" w:firstLine="0"/>
              <w:jc w:val="both"/>
              <w:rPr>
                <w:rFonts w:ascii="Times New Roman" w:hAnsi="Times New Roman" w:cs="Times New Roman"/>
                <w:sz w:val="14"/>
                <w:szCs w:val="14"/>
              </w:rPr>
            </w:pPr>
          </w:p>
        </w:tc>
      </w:tr>
      <w:tr w:rsidR="00B233DE" w:rsidRPr="00382839" w:rsidTr="0023489B">
        <w:tc>
          <w:tcPr>
            <w:tcW w:w="1440" w:type="dxa"/>
          </w:tcPr>
          <w:p w:rsidR="00B233DE" w:rsidRPr="00382839" w:rsidRDefault="00B233DE" w:rsidP="0023489B">
            <w:pPr>
              <w:ind w:firstLine="0"/>
              <w:jc w:val="center"/>
              <w:rPr>
                <w:rFonts w:ascii="Times New Roman" w:hAnsi="Times New Roman" w:cs="Times New Roman"/>
                <w:sz w:val="14"/>
                <w:szCs w:val="14"/>
              </w:rPr>
            </w:pPr>
            <w:r w:rsidRPr="00382839">
              <w:rPr>
                <w:rFonts w:ascii="Times New Roman" w:hAnsi="Times New Roman" w:cs="Times New Roman"/>
                <w:sz w:val="14"/>
                <w:szCs w:val="14"/>
              </w:rPr>
              <w:t>4. Економія коштів і часу для підготовки необхідних спеціалістів шляхом їх залучення з інших країн</w:t>
            </w:r>
          </w:p>
        </w:tc>
        <w:tc>
          <w:tcPr>
            <w:tcW w:w="1080" w:type="dxa"/>
          </w:tcPr>
          <w:p w:rsidR="00B233DE" w:rsidRDefault="00B233DE" w:rsidP="0023489B">
            <w:pPr>
              <w:ind w:left="-130" w:right="-140" w:firstLine="0"/>
              <w:jc w:val="center"/>
              <w:rPr>
                <w:rFonts w:ascii="Times New Roman" w:hAnsi="Times New Roman" w:cs="Times New Roman"/>
                <w:sz w:val="14"/>
                <w:szCs w:val="14"/>
              </w:rPr>
            </w:pPr>
            <w:r w:rsidRPr="00382839">
              <w:rPr>
                <w:rFonts w:ascii="Times New Roman" w:hAnsi="Times New Roman" w:cs="Times New Roman"/>
                <w:spacing w:val="-14"/>
                <w:sz w:val="14"/>
                <w:szCs w:val="14"/>
              </w:rPr>
              <w:t>1</w:t>
            </w:r>
            <w:r w:rsidRPr="00382839">
              <w:rPr>
                <w:rFonts w:ascii="Times New Roman" w:hAnsi="Times New Roman" w:cs="Times New Roman"/>
                <w:sz w:val="14"/>
                <w:szCs w:val="14"/>
              </w:rPr>
              <w:t xml:space="preserve">. Зменшення витрат коштів </w:t>
            </w:r>
          </w:p>
          <w:p w:rsidR="00B233DE" w:rsidRDefault="00B233DE" w:rsidP="0023489B">
            <w:pPr>
              <w:ind w:left="-130" w:right="-140" w:firstLine="0"/>
              <w:jc w:val="center"/>
              <w:rPr>
                <w:rFonts w:ascii="Times New Roman" w:hAnsi="Times New Roman" w:cs="Times New Roman"/>
                <w:sz w:val="14"/>
                <w:szCs w:val="14"/>
              </w:rPr>
            </w:pPr>
            <w:r w:rsidRPr="00382839">
              <w:rPr>
                <w:rFonts w:ascii="Times New Roman" w:hAnsi="Times New Roman" w:cs="Times New Roman"/>
                <w:sz w:val="14"/>
                <w:szCs w:val="14"/>
              </w:rPr>
              <w:t xml:space="preserve">і часу для підготовки необхідних спеціалістів шляхом їх залучення </w:t>
            </w:r>
          </w:p>
          <w:p w:rsidR="00B233DE" w:rsidRPr="00382839" w:rsidRDefault="00B233DE" w:rsidP="0023489B">
            <w:pPr>
              <w:ind w:left="-130" w:right="-140" w:firstLine="0"/>
              <w:jc w:val="center"/>
              <w:rPr>
                <w:rFonts w:ascii="Times New Roman" w:hAnsi="Times New Roman" w:cs="Times New Roman"/>
                <w:spacing w:val="-14"/>
                <w:sz w:val="14"/>
                <w:szCs w:val="14"/>
              </w:rPr>
            </w:pPr>
            <w:r w:rsidRPr="00382839">
              <w:rPr>
                <w:rFonts w:ascii="Times New Roman" w:hAnsi="Times New Roman" w:cs="Times New Roman"/>
                <w:sz w:val="14"/>
                <w:szCs w:val="14"/>
              </w:rPr>
              <w:t>з інших країн</w:t>
            </w:r>
          </w:p>
          <w:p w:rsidR="00B233DE" w:rsidRDefault="00B233DE" w:rsidP="0023489B">
            <w:pPr>
              <w:ind w:left="-130" w:right="-140" w:firstLine="0"/>
              <w:jc w:val="center"/>
              <w:rPr>
                <w:rFonts w:ascii="Times New Roman" w:hAnsi="Times New Roman" w:cs="Times New Roman"/>
                <w:sz w:val="14"/>
                <w:szCs w:val="14"/>
              </w:rPr>
            </w:pPr>
          </w:p>
          <w:p w:rsidR="00B233DE" w:rsidRDefault="00B233DE" w:rsidP="0023489B">
            <w:pPr>
              <w:ind w:left="-130" w:right="-140" w:firstLine="0"/>
              <w:jc w:val="center"/>
              <w:rPr>
                <w:rFonts w:ascii="Times New Roman" w:hAnsi="Times New Roman" w:cs="Times New Roman"/>
                <w:sz w:val="14"/>
                <w:szCs w:val="14"/>
              </w:rPr>
            </w:pPr>
            <w:r w:rsidRPr="00382839">
              <w:rPr>
                <w:rFonts w:ascii="Times New Roman" w:hAnsi="Times New Roman" w:cs="Times New Roman"/>
                <w:sz w:val="14"/>
                <w:szCs w:val="14"/>
              </w:rPr>
              <w:t xml:space="preserve">2. Скорочення безробіття </w:t>
            </w:r>
          </w:p>
          <w:p w:rsidR="00B233DE" w:rsidRDefault="00B233DE" w:rsidP="0023489B">
            <w:pPr>
              <w:ind w:left="-130" w:right="-140" w:firstLine="0"/>
              <w:jc w:val="center"/>
              <w:rPr>
                <w:rFonts w:ascii="Times New Roman" w:hAnsi="Times New Roman" w:cs="Times New Roman"/>
                <w:sz w:val="14"/>
                <w:szCs w:val="14"/>
              </w:rPr>
            </w:pPr>
            <w:r w:rsidRPr="00382839">
              <w:rPr>
                <w:rFonts w:ascii="Times New Roman" w:hAnsi="Times New Roman" w:cs="Times New Roman"/>
                <w:sz w:val="14"/>
                <w:szCs w:val="14"/>
              </w:rPr>
              <w:t>у країнах походження</w:t>
            </w:r>
          </w:p>
          <w:p w:rsidR="00B233DE" w:rsidRPr="00382839" w:rsidRDefault="00B233DE" w:rsidP="0023489B">
            <w:pPr>
              <w:ind w:firstLine="0"/>
              <w:jc w:val="center"/>
              <w:rPr>
                <w:rFonts w:ascii="Times New Roman" w:hAnsi="Times New Roman" w:cs="Times New Roman"/>
                <w:sz w:val="14"/>
                <w:szCs w:val="14"/>
              </w:rPr>
            </w:pPr>
          </w:p>
        </w:tc>
        <w:tc>
          <w:tcPr>
            <w:tcW w:w="4320" w:type="dxa"/>
          </w:tcPr>
          <w:p w:rsidR="00B233DE" w:rsidRPr="008348A7" w:rsidRDefault="00B233DE" w:rsidP="0023489B">
            <w:pPr>
              <w:tabs>
                <w:tab w:val="left" w:pos="900"/>
              </w:tabs>
              <w:ind w:firstLine="0"/>
              <w:jc w:val="both"/>
              <w:rPr>
                <w:rFonts w:ascii="Times New Roman" w:hAnsi="Times New Roman" w:cs="Times New Roman"/>
                <w:sz w:val="14"/>
                <w:szCs w:val="14"/>
              </w:rPr>
            </w:pPr>
            <w:r w:rsidRPr="00382839">
              <w:rPr>
                <w:rFonts w:ascii="Times New Roman" w:hAnsi="Times New Roman" w:cs="Times New Roman"/>
                <w:sz w:val="14"/>
                <w:szCs w:val="14"/>
              </w:rPr>
              <w:t xml:space="preserve">Кошти, необхідні для підготовки одного </w:t>
            </w:r>
            <w:r>
              <w:rPr>
                <w:rFonts w:ascii="Times New Roman" w:hAnsi="Times New Roman" w:cs="Times New Roman"/>
                <w:sz w:val="14"/>
                <w:szCs w:val="14"/>
              </w:rPr>
              <w:t>інженера в Австралії, складають</w:t>
            </w:r>
            <w:r w:rsidRPr="00382839">
              <w:rPr>
                <w:rFonts w:ascii="Times New Roman" w:hAnsi="Times New Roman" w:cs="Times New Roman"/>
                <w:sz w:val="14"/>
                <w:szCs w:val="14"/>
              </w:rPr>
              <w:t xml:space="preserve"> близько 560 тис. австр. дол. За рахунок імпорту 45500 кваліфікованих мігрантів австралійська економіка залучає людський потенціал, для формування якого необхідно було б більше 20 млрд австр. дол. додаткових коштів. Більше 50</w:t>
            </w:r>
            <w:r>
              <w:rPr>
                <w:rFonts w:ascii="Times New Roman" w:hAnsi="Times New Roman" w:cs="Times New Roman"/>
                <w:sz w:val="14"/>
                <w:szCs w:val="14"/>
              </w:rPr>
              <w:t xml:space="preserve"> </w:t>
            </w:r>
            <w:r w:rsidRPr="00382839">
              <w:rPr>
                <w:rFonts w:ascii="Times New Roman" w:hAnsi="Times New Roman" w:cs="Times New Roman"/>
                <w:sz w:val="14"/>
                <w:szCs w:val="14"/>
              </w:rPr>
              <w:t xml:space="preserve">% від їх кількості прибувають з країн, що </w:t>
            </w:r>
            <w:r w:rsidRPr="008348A7">
              <w:rPr>
                <w:rFonts w:ascii="Times New Roman" w:hAnsi="Times New Roman" w:cs="Times New Roman"/>
                <w:sz w:val="14"/>
                <w:szCs w:val="14"/>
              </w:rPr>
              <w:t>розвиваються [</w:t>
            </w:r>
            <w:r>
              <w:rPr>
                <w:rFonts w:ascii="Times New Roman" w:hAnsi="Times New Roman" w:cs="Times New Roman"/>
                <w:sz w:val="14"/>
                <w:szCs w:val="14"/>
                <w:highlight w:val="yellow"/>
                <w:lang w:val="en-US"/>
              </w:rPr>
              <w:fldChar w:fldCharType="begin"/>
            </w:r>
            <w:r>
              <w:rPr>
                <w:rFonts w:ascii="Times New Roman" w:hAnsi="Times New Roman" w:cs="Times New Roman"/>
                <w:sz w:val="14"/>
                <w:szCs w:val="14"/>
              </w:rPr>
              <w:instrText xml:space="preserve"> REF _Ref435186417 \r \h </w:instrText>
            </w:r>
            <w:r>
              <w:rPr>
                <w:rFonts w:ascii="Times New Roman" w:hAnsi="Times New Roman" w:cs="Times New Roman"/>
                <w:sz w:val="14"/>
                <w:szCs w:val="14"/>
                <w:highlight w:val="yellow"/>
                <w:lang w:val="en-US"/>
              </w:rPr>
            </w:r>
            <w:r>
              <w:rPr>
                <w:rFonts w:ascii="Times New Roman" w:hAnsi="Times New Roman" w:cs="Times New Roman"/>
                <w:sz w:val="14"/>
                <w:szCs w:val="14"/>
                <w:highlight w:val="yellow"/>
                <w:lang w:val="en-US"/>
              </w:rPr>
              <w:fldChar w:fldCharType="separate"/>
            </w:r>
            <w:r>
              <w:rPr>
                <w:rFonts w:ascii="Times New Roman" w:hAnsi="Times New Roman" w:cs="Times New Roman"/>
                <w:sz w:val="14"/>
                <w:szCs w:val="14"/>
              </w:rPr>
              <w:t>68</w:t>
            </w:r>
            <w:r>
              <w:rPr>
                <w:rFonts w:ascii="Times New Roman" w:hAnsi="Times New Roman" w:cs="Times New Roman"/>
                <w:sz w:val="14"/>
                <w:szCs w:val="14"/>
                <w:highlight w:val="yellow"/>
                <w:lang w:val="en-US"/>
              </w:rPr>
              <w:fldChar w:fldCharType="end"/>
            </w:r>
            <w:r w:rsidRPr="008348A7">
              <w:rPr>
                <w:rFonts w:ascii="Times New Roman" w:hAnsi="Times New Roman" w:cs="Times New Roman"/>
                <w:sz w:val="14"/>
                <w:szCs w:val="14"/>
              </w:rPr>
              <w:t>].</w:t>
            </w:r>
          </w:p>
          <w:p w:rsidR="00B233DE" w:rsidRPr="00382839" w:rsidRDefault="00B233DE" w:rsidP="0023489B">
            <w:pPr>
              <w:tabs>
                <w:tab w:val="left" w:pos="900"/>
              </w:tabs>
              <w:ind w:firstLine="0"/>
              <w:jc w:val="both"/>
              <w:rPr>
                <w:rFonts w:ascii="Times New Roman" w:hAnsi="Times New Roman" w:cs="Times New Roman"/>
                <w:sz w:val="14"/>
                <w:szCs w:val="14"/>
              </w:rPr>
            </w:pPr>
          </w:p>
          <w:p w:rsidR="00B233DE" w:rsidRPr="00382839" w:rsidRDefault="00B233DE" w:rsidP="0023489B">
            <w:pPr>
              <w:tabs>
                <w:tab w:val="left" w:pos="900"/>
              </w:tabs>
              <w:ind w:firstLine="0"/>
              <w:jc w:val="both"/>
              <w:rPr>
                <w:rFonts w:ascii="Times New Roman" w:hAnsi="Times New Roman" w:cs="Times New Roman"/>
                <w:sz w:val="14"/>
                <w:szCs w:val="14"/>
              </w:rPr>
            </w:pPr>
          </w:p>
          <w:p w:rsidR="00B233DE" w:rsidRPr="00382839" w:rsidRDefault="00B233DE" w:rsidP="0023489B">
            <w:pPr>
              <w:tabs>
                <w:tab w:val="left" w:pos="900"/>
              </w:tabs>
              <w:ind w:firstLine="0"/>
              <w:jc w:val="both"/>
              <w:rPr>
                <w:rFonts w:ascii="Times New Roman" w:hAnsi="Times New Roman" w:cs="Times New Roman"/>
                <w:sz w:val="14"/>
                <w:szCs w:val="14"/>
              </w:rPr>
            </w:pPr>
            <w:r w:rsidRPr="00382839">
              <w:rPr>
                <w:rFonts w:ascii="Times New Roman" w:hAnsi="Times New Roman" w:cs="Times New Roman"/>
                <w:sz w:val="14"/>
                <w:szCs w:val="14"/>
              </w:rPr>
              <w:t>Китай, володіючи найбільшим обсягом трудових ресурсів у світі, переживає нестачу кваліфікованих працівників разом із надлишком магістрів та кандидатів наук. У 2009 році 20</w:t>
            </w:r>
            <w:r>
              <w:rPr>
                <w:rFonts w:ascii="Times New Roman" w:hAnsi="Times New Roman" w:cs="Times New Roman"/>
                <w:sz w:val="14"/>
                <w:szCs w:val="14"/>
              </w:rPr>
              <w:t xml:space="preserve"> </w:t>
            </w:r>
            <w:r w:rsidRPr="00382839">
              <w:rPr>
                <w:rFonts w:ascii="Times New Roman" w:hAnsi="Times New Roman" w:cs="Times New Roman"/>
                <w:sz w:val="14"/>
                <w:szCs w:val="14"/>
              </w:rPr>
              <w:t xml:space="preserve">% випускників університетів у Китаї не могли знайти роботу, оскільки не мали необхідних для роботодавців навичок. У Індії схожа ситуація зумовлена престижністю окремих професій і недооцінкою інших. Професії електрика, водопровідника, будівельника та навіть медсестри знаходяться на етапі деградації. Водночас ринок праці перенасичений випускниками управлінських, інженерних, педагогічних та </w:t>
            </w:r>
            <w:r w:rsidRPr="008348A7">
              <w:rPr>
                <w:rFonts w:ascii="Times New Roman" w:hAnsi="Times New Roman" w:cs="Times New Roman"/>
                <w:sz w:val="14"/>
                <w:szCs w:val="14"/>
              </w:rPr>
              <w:t>медичних спеціальностей ВНЗ. Міграція даних спеціалістів до США сприяє послабленню тиску безробіття на ринки праці Китаю та Індії [</w:t>
            </w:r>
            <w:r>
              <w:rPr>
                <w:rFonts w:ascii="Times New Roman" w:hAnsi="Times New Roman" w:cs="Times New Roman"/>
                <w:sz w:val="14"/>
                <w:szCs w:val="14"/>
                <w:highlight w:val="yellow"/>
              </w:rPr>
              <w:fldChar w:fldCharType="begin"/>
            </w:r>
            <w:r>
              <w:rPr>
                <w:rFonts w:ascii="Times New Roman" w:hAnsi="Times New Roman" w:cs="Times New Roman"/>
                <w:sz w:val="14"/>
                <w:szCs w:val="14"/>
              </w:rPr>
              <w:instrText xml:space="preserve"> REF _Ref435186429 \r \h </w:instrText>
            </w:r>
            <w:r>
              <w:rPr>
                <w:rFonts w:ascii="Times New Roman" w:hAnsi="Times New Roman" w:cs="Times New Roman"/>
                <w:sz w:val="14"/>
                <w:szCs w:val="14"/>
                <w:highlight w:val="yellow"/>
              </w:rPr>
            </w:r>
            <w:r>
              <w:rPr>
                <w:rFonts w:ascii="Times New Roman" w:hAnsi="Times New Roman" w:cs="Times New Roman"/>
                <w:sz w:val="14"/>
                <w:szCs w:val="14"/>
                <w:highlight w:val="yellow"/>
              </w:rPr>
              <w:fldChar w:fldCharType="separate"/>
            </w:r>
            <w:r>
              <w:rPr>
                <w:rFonts w:ascii="Times New Roman" w:hAnsi="Times New Roman" w:cs="Times New Roman"/>
                <w:sz w:val="14"/>
                <w:szCs w:val="14"/>
              </w:rPr>
              <w:t>61</w:t>
            </w:r>
            <w:r>
              <w:rPr>
                <w:rFonts w:ascii="Times New Roman" w:hAnsi="Times New Roman" w:cs="Times New Roman"/>
                <w:sz w:val="14"/>
                <w:szCs w:val="14"/>
                <w:highlight w:val="yellow"/>
              </w:rPr>
              <w:fldChar w:fldCharType="end"/>
            </w:r>
            <w:r w:rsidRPr="008348A7">
              <w:rPr>
                <w:rFonts w:ascii="Times New Roman" w:hAnsi="Times New Roman" w:cs="Times New Roman"/>
                <w:sz w:val="14"/>
                <w:szCs w:val="14"/>
              </w:rPr>
              <w:t>]</w:t>
            </w:r>
          </w:p>
        </w:tc>
        <w:tc>
          <w:tcPr>
            <w:tcW w:w="720" w:type="dxa"/>
            <w:vMerge/>
          </w:tcPr>
          <w:p w:rsidR="00B233DE" w:rsidRPr="00382839" w:rsidRDefault="00B233DE" w:rsidP="0023489B">
            <w:pPr>
              <w:rPr>
                <w:rFonts w:ascii="Times New Roman" w:hAnsi="Times New Roman" w:cs="Times New Roman"/>
                <w:sz w:val="14"/>
                <w:szCs w:val="14"/>
              </w:rPr>
            </w:pPr>
          </w:p>
        </w:tc>
        <w:tc>
          <w:tcPr>
            <w:tcW w:w="2079" w:type="dxa"/>
            <w:vMerge/>
          </w:tcPr>
          <w:p w:rsidR="00B233DE" w:rsidRPr="00382839" w:rsidRDefault="00B233DE" w:rsidP="0023489B">
            <w:pPr>
              <w:tabs>
                <w:tab w:val="left" w:pos="900"/>
              </w:tabs>
              <w:rPr>
                <w:rFonts w:ascii="Times New Roman" w:hAnsi="Times New Roman" w:cs="Times New Roman"/>
                <w:sz w:val="14"/>
                <w:szCs w:val="14"/>
              </w:rPr>
            </w:pPr>
          </w:p>
        </w:tc>
      </w:tr>
    </w:tbl>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sectPr w:rsidR="00B233DE" w:rsidSect="0023489B">
          <w:pgSz w:w="11907" w:h="8392" w:orient="landscape" w:code="11"/>
          <w:pgMar w:top="1134" w:right="1134" w:bottom="1134" w:left="1134" w:header="709" w:footer="709" w:gutter="0"/>
          <w:cols w:space="708"/>
          <w:docGrid w:linePitch="360"/>
        </w:sectPr>
      </w:pPr>
    </w:p>
    <w:p w:rsidR="00B233DE" w:rsidRPr="00B02E20" w:rsidRDefault="00B233DE" w:rsidP="00B233DE">
      <w:pPr>
        <w:tabs>
          <w:tab w:val="left" w:pos="900"/>
        </w:tabs>
        <w:ind w:firstLine="709"/>
        <w:jc w:val="both"/>
        <w:rPr>
          <w:rFonts w:ascii="Times New Roman" w:hAnsi="Times New Roman" w:cs="Times New Roman"/>
          <w:i/>
          <w:sz w:val="21"/>
          <w:szCs w:val="21"/>
        </w:rPr>
      </w:pPr>
      <w:r w:rsidRPr="00B02E20">
        <w:rPr>
          <w:rFonts w:ascii="Times New Roman" w:hAnsi="Times New Roman" w:cs="Times New Roman"/>
          <w:sz w:val="21"/>
          <w:szCs w:val="21"/>
        </w:rPr>
        <w:lastRenderedPageBreak/>
        <w:t>Залучення висококваліфікованих працівників надає додаткові конкурентні переваги, тому розвинуті країни створюють сприятливі умови для імміграції спеціалістів в найбільш прогресуючих секторах економіки, пов’язаних з інформаційними технологіями, охороною здоров’я та освітою [</w:t>
      </w:r>
      <w:r>
        <w:rPr>
          <w:rFonts w:ascii="Times New Roman" w:hAnsi="Times New Roman" w:cs="Times New Roman"/>
          <w:bCs/>
          <w:sz w:val="21"/>
          <w:szCs w:val="21"/>
          <w:highlight w:val="yellow"/>
        </w:rPr>
        <w:fldChar w:fldCharType="begin"/>
      </w:r>
      <w:r>
        <w:rPr>
          <w:rFonts w:ascii="Times New Roman" w:hAnsi="Times New Roman" w:cs="Times New Roman"/>
          <w:sz w:val="21"/>
          <w:szCs w:val="21"/>
        </w:rPr>
        <w:instrText xml:space="preserve"> REF _Ref435182370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z w:val="21"/>
          <w:szCs w:val="21"/>
        </w:rPr>
        <w:t>7</w:t>
      </w:r>
      <w:r>
        <w:rPr>
          <w:rFonts w:ascii="Times New Roman" w:hAnsi="Times New Roman" w:cs="Times New Roman"/>
          <w:bCs/>
          <w:sz w:val="21"/>
          <w:szCs w:val="21"/>
          <w:highlight w:val="yellow"/>
        </w:rPr>
        <w:fldChar w:fldCharType="end"/>
      </w:r>
      <w:r w:rsidRPr="00B02E20">
        <w:rPr>
          <w:rFonts w:ascii="Times New Roman" w:hAnsi="Times New Roman" w:cs="Times New Roman"/>
          <w:sz w:val="21"/>
          <w:szCs w:val="21"/>
        </w:rPr>
        <w:t xml:space="preserve">, </w:t>
      </w:r>
      <w:r w:rsidRPr="00B02E20">
        <w:rPr>
          <w:rFonts w:ascii="Times New Roman" w:hAnsi="Times New Roman" w:cs="Times New Roman"/>
          <w:sz w:val="21"/>
          <w:szCs w:val="21"/>
          <w:lang w:val="en-US"/>
        </w:rPr>
        <w:t>c</w:t>
      </w:r>
      <w:r w:rsidRPr="00B02E20">
        <w:rPr>
          <w:rFonts w:ascii="Times New Roman" w:hAnsi="Times New Roman" w:cs="Times New Roman"/>
          <w:sz w:val="21"/>
          <w:szCs w:val="21"/>
        </w:rPr>
        <w:t>. 92].</w:t>
      </w:r>
      <w:r w:rsidRPr="00B02E20">
        <w:rPr>
          <w:rFonts w:ascii="Times New Roman" w:hAnsi="Times New Roman" w:cs="Times New Roman"/>
          <w:i/>
          <w:sz w:val="21"/>
          <w:szCs w:val="21"/>
        </w:rPr>
        <w:t xml:space="preserve"> </w:t>
      </w:r>
      <w:r>
        <w:rPr>
          <w:rFonts w:ascii="Times New Roman" w:hAnsi="Times New Roman" w:cs="Times New Roman"/>
          <w:sz w:val="21"/>
          <w:szCs w:val="21"/>
        </w:rPr>
        <w:t>В</w:t>
      </w:r>
      <w:r w:rsidRPr="00B02E20">
        <w:rPr>
          <w:rFonts w:ascii="Times New Roman" w:hAnsi="Times New Roman" w:cs="Times New Roman"/>
          <w:sz w:val="21"/>
          <w:szCs w:val="21"/>
        </w:rPr>
        <w:t xml:space="preserve"> Італії, Іспанії і Греції відчувається нестача працівників більш низької кваліфікації в сфері послуг, туризмі, молодшому медичному персоналі, будівництві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_Ref435186452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49</w:t>
      </w:r>
      <w:r>
        <w:rPr>
          <w:rFonts w:ascii="Times New Roman" w:hAnsi="Times New Roman" w:cs="Times New Roman"/>
          <w:sz w:val="21"/>
          <w:szCs w:val="21"/>
          <w:highlight w:val="yellow"/>
        </w:rPr>
        <w:fldChar w:fldCharType="end"/>
      </w:r>
      <w:r w:rsidRPr="00B02E20">
        <w:rPr>
          <w:rFonts w:ascii="Times New Roman" w:hAnsi="Times New Roman" w:cs="Times New Roman"/>
          <w:sz w:val="21"/>
          <w:szCs w:val="21"/>
        </w:rPr>
        <w:t>, с. 48].</w:t>
      </w:r>
      <w:r w:rsidRPr="00B02E20">
        <w:rPr>
          <w:rFonts w:ascii="Times New Roman" w:hAnsi="Times New Roman" w:cs="Times New Roman"/>
          <w:i/>
          <w:sz w:val="21"/>
          <w:szCs w:val="21"/>
        </w:rPr>
        <w:t xml:space="preserve"> </w:t>
      </w:r>
      <w:r w:rsidRPr="00B02E20">
        <w:rPr>
          <w:rFonts w:ascii="Times New Roman" w:hAnsi="Times New Roman" w:cs="Times New Roman"/>
          <w:sz w:val="21"/>
          <w:szCs w:val="21"/>
        </w:rPr>
        <w:t xml:space="preserve">Тобто, </w:t>
      </w:r>
      <w:r>
        <w:rPr>
          <w:rFonts w:ascii="Times New Roman" w:hAnsi="Times New Roman" w:cs="Times New Roman"/>
          <w:sz w:val="21"/>
          <w:szCs w:val="21"/>
        </w:rPr>
        <w:t>в</w:t>
      </w:r>
      <w:r w:rsidRPr="00B02E20">
        <w:rPr>
          <w:rFonts w:ascii="Times New Roman" w:hAnsi="Times New Roman" w:cs="Times New Roman"/>
          <w:sz w:val="21"/>
          <w:szCs w:val="21"/>
        </w:rPr>
        <w:t xml:space="preserve"> окремих сферах еконо</w:t>
      </w:r>
      <w:r>
        <w:rPr>
          <w:rFonts w:ascii="Times New Roman" w:hAnsi="Times New Roman" w:cs="Times New Roman"/>
          <w:sz w:val="21"/>
          <w:szCs w:val="21"/>
        </w:rPr>
        <w:t>-</w:t>
      </w:r>
      <w:r w:rsidRPr="00B02E20">
        <w:rPr>
          <w:rFonts w:ascii="Times New Roman" w:hAnsi="Times New Roman" w:cs="Times New Roman"/>
          <w:sz w:val="21"/>
          <w:szCs w:val="21"/>
        </w:rPr>
        <w:t>мічної діяльності розвинутих країн існує дефіцит трудових ресурсів для заповнення робочих місць, що не вимагають високої кваліфікації. Широке залучення низькокваліфікованих мігрантів зумовлене наступними чинниками:</w:t>
      </w:r>
      <w:r w:rsidRPr="00B02E20">
        <w:rPr>
          <w:rFonts w:ascii="Times New Roman" w:hAnsi="Times New Roman" w:cs="Times New Roman"/>
          <w:i/>
          <w:sz w:val="21"/>
          <w:szCs w:val="21"/>
        </w:rPr>
        <w:t xml:space="preserve"> </w:t>
      </w:r>
      <w:r w:rsidRPr="00B02E20">
        <w:rPr>
          <w:rFonts w:ascii="Times New Roman" w:hAnsi="Times New Roman" w:cs="Times New Roman"/>
          <w:sz w:val="21"/>
          <w:szCs w:val="21"/>
        </w:rPr>
        <w:t>місцеві працівники у розвинутих країнах уникають брудні, небезпечні і виснажливі робочі місця (так звані 3-</w:t>
      </w:r>
      <w:r w:rsidRPr="00B02E20">
        <w:rPr>
          <w:rFonts w:ascii="Times New Roman" w:hAnsi="Times New Roman" w:cs="Times New Roman"/>
          <w:sz w:val="21"/>
          <w:szCs w:val="21"/>
          <w:lang w:val="en-US"/>
        </w:rPr>
        <w:t>D</w:t>
      </w:r>
      <w:r w:rsidRPr="00B02E20">
        <w:rPr>
          <w:rFonts w:ascii="Times New Roman" w:hAnsi="Times New Roman" w:cs="Times New Roman"/>
          <w:sz w:val="21"/>
          <w:szCs w:val="21"/>
        </w:rPr>
        <w:t xml:space="preserve">: </w:t>
      </w:r>
      <w:r w:rsidRPr="00B02E20">
        <w:rPr>
          <w:rFonts w:ascii="Times New Roman" w:hAnsi="Times New Roman" w:cs="Times New Roman"/>
          <w:sz w:val="21"/>
          <w:szCs w:val="21"/>
          <w:lang w:val="en-US"/>
        </w:rPr>
        <w:t>Dirty</w:t>
      </w:r>
      <w:r w:rsidRPr="00B02E20">
        <w:rPr>
          <w:rFonts w:ascii="Times New Roman" w:hAnsi="Times New Roman" w:cs="Times New Roman"/>
          <w:sz w:val="21"/>
          <w:szCs w:val="21"/>
        </w:rPr>
        <w:t xml:space="preserve">, </w:t>
      </w:r>
      <w:r w:rsidRPr="00B02E20">
        <w:rPr>
          <w:rFonts w:ascii="Times New Roman" w:hAnsi="Times New Roman" w:cs="Times New Roman"/>
          <w:sz w:val="21"/>
          <w:szCs w:val="21"/>
          <w:lang w:val="en-US"/>
        </w:rPr>
        <w:t>Dangerous</w:t>
      </w:r>
      <w:r w:rsidRPr="00B02E20">
        <w:rPr>
          <w:rFonts w:ascii="Times New Roman" w:hAnsi="Times New Roman" w:cs="Times New Roman"/>
          <w:sz w:val="21"/>
          <w:szCs w:val="21"/>
        </w:rPr>
        <w:t xml:space="preserve"> </w:t>
      </w:r>
      <w:r w:rsidRPr="00B02E20">
        <w:rPr>
          <w:rFonts w:ascii="Times New Roman" w:hAnsi="Times New Roman" w:cs="Times New Roman"/>
          <w:sz w:val="21"/>
          <w:szCs w:val="21"/>
          <w:lang w:val="en-US"/>
        </w:rPr>
        <w:t>and</w:t>
      </w:r>
      <w:r w:rsidRPr="00B02E20">
        <w:rPr>
          <w:rFonts w:ascii="Times New Roman" w:hAnsi="Times New Roman" w:cs="Times New Roman"/>
          <w:sz w:val="21"/>
          <w:szCs w:val="21"/>
        </w:rPr>
        <w:t xml:space="preserve"> </w:t>
      </w:r>
      <w:r w:rsidRPr="00B02E20">
        <w:rPr>
          <w:rFonts w:ascii="Times New Roman" w:hAnsi="Times New Roman" w:cs="Times New Roman"/>
          <w:sz w:val="21"/>
          <w:szCs w:val="21"/>
          <w:lang w:val="en-US"/>
        </w:rPr>
        <w:t>Dull</w:t>
      </w:r>
      <w:r w:rsidRPr="00B02E20">
        <w:rPr>
          <w:rFonts w:ascii="Times New Roman" w:hAnsi="Times New Roman" w:cs="Times New Roman"/>
          <w:sz w:val="21"/>
          <w:szCs w:val="21"/>
        </w:rPr>
        <w:t>) [</w:t>
      </w:r>
      <w:r>
        <w:rPr>
          <w:rFonts w:ascii="Times New Roman" w:hAnsi="Times New Roman" w:cs="Times New Roman"/>
          <w:bCs/>
          <w:sz w:val="21"/>
          <w:szCs w:val="21"/>
          <w:highlight w:val="yellow"/>
        </w:rPr>
        <w:fldChar w:fldCharType="begin"/>
      </w:r>
      <w:r>
        <w:rPr>
          <w:rFonts w:ascii="Times New Roman" w:hAnsi="Times New Roman" w:cs="Times New Roman"/>
          <w:sz w:val="21"/>
          <w:szCs w:val="21"/>
        </w:rPr>
        <w:instrText xml:space="preserve"> REF _Ref435182370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z w:val="21"/>
          <w:szCs w:val="21"/>
        </w:rPr>
        <w:t>7</w:t>
      </w:r>
      <w:r>
        <w:rPr>
          <w:rFonts w:ascii="Times New Roman" w:hAnsi="Times New Roman" w:cs="Times New Roman"/>
          <w:bCs/>
          <w:sz w:val="21"/>
          <w:szCs w:val="21"/>
          <w:highlight w:val="yellow"/>
        </w:rPr>
        <w:fldChar w:fldCharType="end"/>
      </w:r>
      <w:r w:rsidRPr="00B02E20">
        <w:rPr>
          <w:rFonts w:ascii="Times New Roman" w:hAnsi="Times New Roman" w:cs="Times New Roman"/>
          <w:sz w:val="21"/>
          <w:szCs w:val="21"/>
        </w:rPr>
        <w:t xml:space="preserve">, </w:t>
      </w:r>
      <w:r w:rsidRPr="00B02E20">
        <w:rPr>
          <w:rFonts w:ascii="Times New Roman" w:hAnsi="Times New Roman" w:cs="Times New Roman"/>
          <w:sz w:val="21"/>
          <w:szCs w:val="21"/>
          <w:lang w:val="en-US"/>
        </w:rPr>
        <w:t>c</w:t>
      </w:r>
      <w:r w:rsidRPr="00B02E20">
        <w:rPr>
          <w:rFonts w:ascii="Times New Roman" w:hAnsi="Times New Roman" w:cs="Times New Roman"/>
          <w:sz w:val="21"/>
          <w:szCs w:val="21"/>
        </w:rPr>
        <w:t>. 70]; існуючий спосіб життя багатьох жителів розвинутих країн забезпечується наданням широкого спектру різноманітних послуг: догляду за людьми похилого віку та дітьми, прибиранням, доставкою їжі і т.п., що зумовлює постійний попит на робочу силу; сезонна нестача робочих рук спостерігається в секторах сільського господарства, дорожнього ремонту і будівництва, готельного і ресторанного бізнесу, туризму. За підрахунками, в секторі сільського господарства ЄС кожен рік працює близько 500 тис. сезонних працівників з інших країн [</w:t>
      </w:r>
      <w:r>
        <w:rPr>
          <w:rFonts w:ascii="Times New Roman" w:hAnsi="Times New Roman" w:cs="Times New Roman"/>
          <w:bCs/>
          <w:sz w:val="21"/>
          <w:szCs w:val="21"/>
          <w:highlight w:val="yellow"/>
        </w:rPr>
        <w:fldChar w:fldCharType="begin"/>
      </w:r>
      <w:r>
        <w:rPr>
          <w:rFonts w:ascii="Times New Roman" w:hAnsi="Times New Roman" w:cs="Times New Roman"/>
          <w:sz w:val="21"/>
          <w:szCs w:val="21"/>
        </w:rPr>
        <w:instrText xml:space="preserve"> REF _Ref435182370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z w:val="21"/>
          <w:szCs w:val="21"/>
        </w:rPr>
        <w:t>7</w:t>
      </w:r>
      <w:r>
        <w:rPr>
          <w:rFonts w:ascii="Times New Roman" w:hAnsi="Times New Roman" w:cs="Times New Roman"/>
          <w:bCs/>
          <w:sz w:val="21"/>
          <w:szCs w:val="21"/>
          <w:highlight w:val="yellow"/>
        </w:rPr>
        <w:fldChar w:fldCharType="end"/>
      </w:r>
      <w:r w:rsidRPr="00B02E20">
        <w:rPr>
          <w:rFonts w:ascii="Times New Roman" w:hAnsi="Times New Roman" w:cs="Times New Roman"/>
          <w:sz w:val="21"/>
          <w:szCs w:val="21"/>
        </w:rPr>
        <w:t xml:space="preserve">, </w:t>
      </w:r>
      <w:r w:rsidRPr="00B02E20">
        <w:rPr>
          <w:rFonts w:ascii="Times New Roman" w:hAnsi="Times New Roman" w:cs="Times New Roman"/>
          <w:sz w:val="21"/>
          <w:szCs w:val="21"/>
          <w:lang w:val="en-US"/>
        </w:rPr>
        <w:t>c</w:t>
      </w:r>
      <w:r w:rsidRPr="00B02E20">
        <w:rPr>
          <w:rFonts w:ascii="Times New Roman" w:hAnsi="Times New Roman" w:cs="Times New Roman"/>
          <w:sz w:val="21"/>
          <w:szCs w:val="21"/>
        </w:rPr>
        <w:t>. 70].</w:t>
      </w:r>
      <w:r w:rsidRPr="00B02E20">
        <w:rPr>
          <w:rFonts w:ascii="Times New Roman" w:hAnsi="Times New Roman" w:cs="Times New Roman"/>
          <w:i/>
          <w:sz w:val="21"/>
          <w:szCs w:val="21"/>
        </w:rPr>
        <w:t xml:space="preserve"> </w:t>
      </w:r>
      <w:r w:rsidRPr="00B02E20">
        <w:rPr>
          <w:rFonts w:ascii="Times New Roman" w:hAnsi="Times New Roman" w:cs="Times New Roman"/>
          <w:sz w:val="21"/>
          <w:szCs w:val="21"/>
        </w:rPr>
        <w:t xml:space="preserve">При цьому варто зазначити, що у випадку, якщо іммігранти працюють не </w:t>
      </w:r>
      <w:r>
        <w:rPr>
          <w:rFonts w:ascii="Times New Roman" w:hAnsi="Times New Roman" w:cs="Times New Roman"/>
          <w:sz w:val="21"/>
          <w:szCs w:val="21"/>
        </w:rPr>
        <w:t>за</w:t>
      </w:r>
      <w:r w:rsidRPr="00B02E20">
        <w:rPr>
          <w:rFonts w:ascii="Times New Roman" w:hAnsi="Times New Roman" w:cs="Times New Roman"/>
          <w:sz w:val="21"/>
          <w:szCs w:val="21"/>
        </w:rPr>
        <w:t xml:space="preserve"> сво</w:t>
      </w:r>
      <w:r>
        <w:rPr>
          <w:rFonts w:ascii="Times New Roman" w:hAnsi="Times New Roman" w:cs="Times New Roman"/>
          <w:sz w:val="21"/>
          <w:szCs w:val="21"/>
        </w:rPr>
        <w:t>єю</w:t>
      </w:r>
      <w:r w:rsidRPr="00B02E20">
        <w:rPr>
          <w:rFonts w:ascii="Times New Roman" w:hAnsi="Times New Roman" w:cs="Times New Roman"/>
          <w:sz w:val="21"/>
          <w:szCs w:val="21"/>
        </w:rPr>
        <w:t xml:space="preserve"> профес</w:t>
      </w:r>
      <w:r>
        <w:rPr>
          <w:rFonts w:ascii="Times New Roman" w:hAnsi="Times New Roman" w:cs="Times New Roman"/>
          <w:sz w:val="21"/>
          <w:szCs w:val="21"/>
        </w:rPr>
        <w:t>ією</w:t>
      </w:r>
      <w:r w:rsidRPr="00B02E20">
        <w:rPr>
          <w:rFonts w:ascii="Times New Roman" w:hAnsi="Times New Roman" w:cs="Times New Roman"/>
          <w:sz w:val="21"/>
          <w:szCs w:val="21"/>
        </w:rPr>
        <w:t>, займаються некваліфікованою працею, то відбувається втрата їх знань, навиків та здібностей («розтрата мізків»), тобто зниження людського потенціалу. Тому важливою є цілеспрямована інтеграція іммігрантів до ринку праці країни призначення з врахуванням їх спеціалізації і, при необхідності, створення умов для підвищення кваліфікації задля підвищення та ефективного використання їх людського потенціалу [</w:t>
      </w:r>
      <w:r>
        <w:rPr>
          <w:rFonts w:ascii="Times New Roman" w:hAnsi="Times New Roman" w:cs="Times New Roman"/>
          <w:bCs/>
          <w:sz w:val="21"/>
          <w:szCs w:val="21"/>
          <w:highlight w:val="yellow"/>
        </w:rPr>
        <w:fldChar w:fldCharType="begin"/>
      </w:r>
      <w:r>
        <w:rPr>
          <w:rFonts w:ascii="Times New Roman" w:hAnsi="Times New Roman" w:cs="Times New Roman"/>
          <w:sz w:val="21"/>
          <w:szCs w:val="21"/>
        </w:rPr>
        <w:instrText xml:space="preserve"> REF _Ref435186472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z w:val="21"/>
          <w:szCs w:val="21"/>
        </w:rPr>
        <w:t>54</w:t>
      </w:r>
      <w:r>
        <w:rPr>
          <w:rFonts w:ascii="Times New Roman" w:hAnsi="Times New Roman" w:cs="Times New Roman"/>
          <w:bCs/>
          <w:sz w:val="21"/>
          <w:szCs w:val="21"/>
          <w:highlight w:val="yellow"/>
        </w:rPr>
        <w:fldChar w:fldCharType="end"/>
      </w:r>
      <w:r w:rsidRPr="00B02E20">
        <w:rPr>
          <w:rFonts w:ascii="Times New Roman" w:hAnsi="Times New Roman" w:cs="Times New Roman"/>
          <w:sz w:val="21"/>
          <w:szCs w:val="21"/>
        </w:rPr>
        <w:t xml:space="preserve">, </w:t>
      </w:r>
      <w:r w:rsidRPr="00B02E20">
        <w:rPr>
          <w:rFonts w:ascii="Times New Roman" w:hAnsi="Times New Roman" w:cs="Times New Roman"/>
          <w:sz w:val="21"/>
          <w:szCs w:val="21"/>
          <w:lang w:val="en-US"/>
        </w:rPr>
        <w:t>c</w:t>
      </w:r>
      <w:r w:rsidRPr="00B02E20">
        <w:rPr>
          <w:rFonts w:ascii="Times New Roman" w:hAnsi="Times New Roman" w:cs="Times New Roman"/>
          <w:sz w:val="21"/>
          <w:szCs w:val="21"/>
        </w:rPr>
        <w:t>. 309]. Залучення та інтеграція іммігрантів дозволяє також вирішити демографічні проблеми старіння і скорочення населення.</w:t>
      </w:r>
    </w:p>
    <w:p w:rsidR="00B233DE" w:rsidRPr="00B02E20" w:rsidRDefault="00B233DE" w:rsidP="00B233DE">
      <w:pPr>
        <w:ind w:firstLine="709"/>
        <w:jc w:val="both"/>
        <w:rPr>
          <w:rFonts w:ascii="Times New Roman" w:hAnsi="Times New Roman" w:cs="Times New Roman"/>
          <w:spacing w:val="-2"/>
          <w:sz w:val="21"/>
          <w:szCs w:val="21"/>
        </w:rPr>
      </w:pPr>
      <w:r w:rsidRPr="00B02E20">
        <w:rPr>
          <w:rFonts w:ascii="Times New Roman" w:hAnsi="Times New Roman" w:cs="Times New Roman"/>
          <w:sz w:val="21"/>
          <w:szCs w:val="21"/>
        </w:rPr>
        <w:t xml:space="preserve">Підвищення показників міграційної привабливості є важливим етапом політики цілеспрямованого залучення іммігрантів необхідної кваліфікації, а також створення відповідних умов для можливої рееміграції та інвестування коштів, зароблених емігрантами. Досвід постійного підвищення показників міграційної привабливості США посприяв становленню країни як найбільшого </w:t>
      </w:r>
      <w:r w:rsidRPr="00B02E20">
        <w:rPr>
          <w:rFonts w:ascii="Times New Roman" w:hAnsi="Times New Roman" w:cs="Times New Roman"/>
          <w:sz w:val="21"/>
          <w:szCs w:val="21"/>
        </w:rPr>
        <w:lastRenderedPageBreak/>
        <w:t>центра тяжіння мігрантів з усього світу. У цій країні науково-технічні досягнення стимулюються ресурсним забезпеченням (в 2011 році витрати на НДДКР склали 405,3 млрд дол. [</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_Ref435182462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105</w:t>
      </w:r>
      <w:r>
        <w:rPr>
          <w:rFonts w:ascii="Times New Roman" w:hAnsi="Times New Roman" w:cs="Times New Roman"/>
          <w:sz w:val="21"/>
          <w:szCs w:val="21"/>
          <w:highlight w:val="yellow"/>
          <w:lang w:val="en-US"/>
        </w:rPr>
        <w:fldChar w:fldCharType="end"/>
      </w:r>
      <w:r w:rsidRPr="00B02E20">
        <w:rPr>
          <w:rFonts w:ascii="Times New Roman" w:hAnsi="Times New Roman" w:cs="Times New Roman"/>
          <w:sz w:val="21"/>
          <w:szCs w:val="21"/>
        </w:rPr>
        <w:t xml:space="preserve">), високим рівнем матеріально-технічного оснащення досліджень, динамічним удосконаленням механізмів взаємодії окремих елементів національної інноваційної системи, </w:t>
      </w:r>
      <w:r w:rsidRPr="00B02E20">
        <w:rPr>
          <w:rFonts w:ascii="Times New Roman" w:hAnsi="Times New Roman" w:cs="Times New Roman"/>
          <w:spacing w:val="-2"/>
          <w:sz w:val="21"/>
          <w:szCs w:val="21"/>
        </w:rPr>
        <w:t>державних інструментів підтримки науки і освіти. Це дає можливість приваблювати найбільш компетентних спеціалістів (частка іноземних спеціалістів зі ступенем доктора природничих наук перевищує 40</w:t>
      </w:r>
      <w:r>
        <w:rPr>
          <w:rFonts w:ascii="Times New Roman" w:hAnsi="Times New Roman" w:cs="Times New Roman"/>
          <w:spacing w:val="-2"/>
          <w:sz w:val="21"/>
          <w:szCs w:val="21"/>
        </w:rPr>
        <w:t xml:space="preserve"> </w:t>
      </w:r>
      <w:r w:rsidRPr="00B02E20">
        <w:rPr>
          <w:rFonts w:ascii="Times New Roman" w:hAnsi="Times New Roman" w:cs="Times New Roman"/>
          <w:spacing w:val="-2"/>
          <w:sz w:val="21"/>
          <w:szCs w:val="21"/>
        </w:rPr>
        <w:t>% в США), а також широко використовувати переваги досліджень по програмах науково-технічного співробітництва [</w:t>
      </w:r>
      <w:r>
        <w:rPr>
          <w:rFonts w:ascii="Times New Roman" w:hAnsi="Times New Roman" w:cs="Times New Roman"/>
          <w:sz w:val="21"/>
          <w:szCs w:val="21"/>
          <w:highlight w:val="yellow"/>
          <w:lang w:val="en-US"/>
        </w:rPr>
        <w:fldChar w:fldCharType="begin"/>
      </w:r>
      <w:r>
        <w:rPr>
          <w:rFonts w:ascii="Times New Roman" w:hAnsi="Times New Roman" w:cs="Times New Roman"/>
          <w:spacing w:val="-2"/>
          <w:sz w:val="21"/>
          <w:szCs w:val="21"/>
        </w:rPr>
        <w:instrText xml:space="preserve"> REF _Ref435186417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pacing w:val="-2"/>
          <w:sz w:val="21"/>
          <w:szCs w:val="21"/>
        </w:rPr>
        <w:t>68</w:t>
      </w:r>
      <w:r>
        <w:rPr>
          <w:rFonts w:ascii="Times New Roman" w:hAnsi="Times New Roman" w:cs="Times New Roman"/>
          <w:sz w:val="21"/>
          <w:szCs w:val="21"/>
          <w:highlight w:val="yellow"/>
          <w:lang w:val="en-US"/>
        </w:rPr>
        <w:fldChar w:fldCharType="end"/>
      </w:r>
      <w:r w:rsidRPr="00B02E20">
        <w:rPr>
          <w:rFonts w:ascii="Times New Roman" w:hAnsi="Times New Roman" w:cs="Times New Roman"/>
          <w:spacing w:val="-2"/>
          <w:sz w:val="21"/>
          <w:szCs w:val="21"/>
        </w:rPr>
        <w:t xml:space="preserve">, </w:t>
      </w:r>
      <w:r w:rsidRPr="00B02E20">
        <w:rPr>
          <w:rFonts w:ascii="Times New Roman" w:hAnsi="Times New Roman" w:cs="Times New Roman"/>
          <w:spacing w:val="-2"/>
          <w:sz w:val="21"/>
          <w:szCs w:val="21"/>
          <w:lang w:val="en-US"/>
        </w:rPr>
        <w:t>c</w:t>
      </w:r>
      <w:r w:rsidRPr="00B02E20">
        <w:rPr>
          <w:rFonts w:ascii="Times New Roman" w:hAnsi="Times New Roman" w:cs="Times New Roman"/>
          <w:spacing w:val="-2"/>
          <w:sz w:val="21"/>
          <w:szCs w:val="21"/>
        </w:rPr>
        <w:t xml:space="preserve">. 27]. Дослідження економістів Світового економічного форуму підтверджують значний кореляційний зв’язок між національною конкурентоздатністю країн та спроможністю залучати висококваліфікованих спеціалістів (рис. </w:t>
      </w:r>
      <w:r>
        <w:rPr>
          <w:rFonts w:ascii="Times New Roman" w:hAnsi="Times New Roman" w:cs="Times New Roman"/>
          <w:spacing w:val="-2"/>
          <w:sz w:val="21"/>
          <w:szCs w:val="21"/>
        </w:rPr>
        <w:t>4</w:t>
      </w:r>
      <w:r w:rsidRPr="00B02E20">
        <w:rPr>
          <w:rFonts w:ascii="Times New Roman" w:hAnsi="Times New Roman" w:cs="Times New Roman"/>
          <w:spacing w:val="-2"/>
          <w:sz w:val="21"/>
          <w:szCs w:val="21"/>
        </w:rPr>
        <w:t>.9).</w:t>
      </w:r>
    </w:p>
    <w:p w:rsidR="00B233DE" w:rsidRPr="00B02E20" w:rsidRDefault="00B233DE" w:rsidP="00B233DE">
      <w:pPr>
        <w:tabs>
          <w:tab w:val="left" w:pos="900"/>
        </w:tabs>
        <w:ind w:firstLine="709"/>
        <w:jc w:val="both"/>
        <w:rPr>
          <w:rFonts w:ascii="Times New Roman" w:hAnsi="Times New Roman" w:cs="Times New Roman"/>
          <w:sz w:val="21"/>
          <w:szCs w:val="21"/>
        </w:rPr>
      </w:pPr>
      <w:r w:rsidRPr="00B02E20">
        <w:rPr>
          <w:rFonts w:ascii="Times New Roman" w:hAnsi="Times New Roman" w:cs="Times New Roman"/>
          <w:sz w:val="21"/>
          <w:szCs w:val="21"/>
        </w:rPr>
        <w:t>Глобальний індекс кваліфікованих спеціалістів вимірює потенціал країни у формуванні кваліфікованих спеціалістів і умови, необхідні для реалізації цього потенціалу. Індекс глобальної конкурентоспроможності представляє сукупність інституцій, політичних рішень і факторів, що визначають рівень продуктивності країни [</w:t>
      </w:r>
      <w:r>
        <w:rPr>
          <w:rStyle w:val="heading"/>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_Ref435182634 \r \h </w:instrText>
      </w:r>
      <w:r>
        <w:rPr>
          <w:rStyle w:val="heading"/>
          <w:rFonts w:ascii="Times New Roman" w:hAnsi="Times New Roman" w:cs="Times New Roman"/>
          <w:sz w:val="21"/>
          <w:szCs w:val="21"/>
          <w:highlight w:val="yellow"/>
          <w:lang w:val="en-US"/>
        </w:rPr>
      </w:r>
      <w:r>
        <w:rPr>
          <w:rStyle w:val="heading"/>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101</w:t>
      </w:r>
      <w:r>
        <w:rPr>
          <w:rStyle w:val="heading"/>
          <w:rFonts w:ascii="Times New Roman" w:hAnsi="Times New Roman" w:cs="Times New Roman"/>
          <w:sz w:val="21"/>
          <w:szCs w:val="21"/>
          <w:highlight w:val="yellow"/>
          <w:lang w:val="en-US"/>
        </w:rPr>
        <w:fldChar w:fldCharType="end"/>
      </w:r>
      <w:r w:rsidRPr="00B02E20">
        <w:rPr>
          <w:rFonts w:ascii="Times New Roman" w:hAnsi="Times New Roman" w:cs="Times New Roman"/>
          <w:sz w:val="21"/>
          <w:szCs w:val="21"/>
        </w:rPr>
        <w:t xml:space="preserve">, </w:t>
      </w:r>
      <w:r w:rsidRPr="00B02E20">
        <w:rPr>
          <w:rFonts w:ascii="Times New Roman" w:hAnsi="Times New Roman" w:cs="Times New Roman"/>
          <w:sz w:val="21"/>
          <w:szCs w:val="21"/>
          <w:lang w:val="en-US"/>
        </w:rPr>
        <w:t>c</w:t>
      </w:r>
      <w:r w:rsidRPr="00B02E20">
        <w:rPr>
          <w:rFonts w:ascii="Times New Roman" w:hAnsi="Times New Roman" w:cs="Times New Roman"/>
          <w:sz w:val="21"/>
          <w:szCs w:val="21"/>
        </w:rPr>
        <w:t>. 13].</w:t>
      </w:r>
    </w:p>
    <w:p w:rsidR="00B233DE" w:rsidRDefault="00B233DE" w:rsidP="00B233DE">
      <w:pPr>
        <w:ind w:firstLine="709"/>
        <w:jc w:val="both"/>
        <w:rPr>
          <w:rFonts w:ascii="Times New Roman" w:hAnsi="Times New Roman" w:cs="Times New Roman"/>
          <w:sz w:val="21"/>
          <w:szCs w:val="21"/>
        </w:rPr>
      </w:pPr>
      <w:r w:rsidRPr="00B02E20">
        <w:rPr>
          <w:rFonts w:ascii="Times New Roman" w:hAnsi="Times New Roman" w:cs="Times New Roman"/>
          <w:sz w:val="21"/>
          <w:szCs w:val="21"/>
        </w:rPr>
        <w:t>Підвищення показників міграційної привабливості сприяє рееміграції і циклічній міграції, підтвердженням чого є характер сучасних міграційних переміщень між США та Індією.</w:t>
      </w:r>
    </w:p>
    <w:p w:rsidR="00B233DE" w:rsidRDefault="00B233DE" w:rsidP="00B233DE">
      <w:pPr>
        <w:ind w:firstLine="709"/>
        <w:jc w:val="both"/>
        <w:rPr>
          <w:rFonts w:ascii="Times New Roman" w:hAnsi="Times New Roman" w:cs="Times New Roman"/>
          <w:sz w:val="21"/>
          <w:szCs w:val="21"/>
        </w:rPr>
      </w:pPr>
      <w:r w:rsidRPr="00B02E20">
        <w:rPr>
          <w:rFonts w:ascii="Times New Roman" w:hAnsi="Times New Roman" w:cs="Times New Roman"/>
          <w:spacing w:val="-6"/>
          <w:sz w:val="21"/>
          <w:szCs w:val="21"/>
        </w:rPr>
        <w:t>Внаслідок інтенсивного економічного розвитку Індії помітною тенденцією стає повернення дітей індійських іммігрантів із США в країну походження своїх батьків. Більшість із них є підприємцями, що інвестують у створення власних компаній різного розміру в Індії [</w:t>
      </w:r>
      <w:r>
        <w:rPr>
          <w:rFonts w:ascii="Times New Roman" w:hAnsi="Times New Roman" w:cs="Times New Roman"/>
          <w:sz w:val="21"/>
          <w:szCs w:val="21"/>
          <w:highlight w:val="yellow"/>
          <w:lang w:val="en-US"/>
        </w:rPr>
        <w:fldChar w:fldCharType="begin"/>
      </w:r>
      <w:r>
        <w:rPr>
          <w:rFonts w:ascii="Times New Roman" w:hAnsi="Times New Roman" w:cs="Times New Roman"/>
          <w:spacing w:val="-6"/>
          <w:sz w:val="21"/>
          <w:szCs w:val="21"/>
        </w:rPr>
        <w:instrText xml:space="preserve"> REF _Ref435186505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pacing w:val="-6"/>
          <w:sz w:val="21"/>
          <w:szCs w:val="21"/>
        </w:rPr>
        <w:t>100</w:t>
      </w:r>
      <w:r>
        <w:rPr>
          <w:rFonts w:ascii="Times New Roman" w:hAnsi="Times New Roman" w:cs="Times New Roman"/>
          <w:sz w:val="21"/>
          <w:szCs w:val="21"/>
          <w:highlight w:val="yellow"/>
          <w:lang w:val="en-US"/>
        </w:rPr>
        <w:fldChar w:fldCharType="end"/>
      </w:r>
      <w:r w:rsidRPr="00B02E20">
        <w:rPr>
          <w:rFonts w:ascii="Times New Roman" w:hAnsi="Times New Roman" w:cs="Times New Roman"/>
          <w:spacing w:val="-6"/>
          <w:sz w:val="21"/>
          <w:szCs w:val="21"/>
        </w:rPr>
        <w:t>]. За даними звіту Світового економічного форуму 2010 року 32 тис. індійців другого покоління, народжених у США та Європі, повернулись до країни свого походження [</w:t>
      </w:r>
      <w:r>
        <w:rPr>
          <w:rStyle w:val="heading"/>
          <w:rFonts w:ascii="Times New Roman" w:hAnsi="Times New Roman" w:cs="Times New Roman"/>
          <w:sz w:val="21"/>
          <w:szCs w:val="21"/>
          <w:highlight w:val="yellow"/>
          <w:lang w:val="en-US"/>
        </w:rPr>
        <w:fldChar w:fldCharType="begin"/>
      </w:r>
      <w:r>
        <w:rPr>
          <w:rFonts w:ascii="Times New Roman" w:hAnsi="Times New Roman" w:cs="Times New Roman"/>
          <w:spacing w:val="-6"/>
          <w:sz w:val="21"/>
          <w:szCs w:val="21"/>
        </w:rPr>
        <w:instrText xml:space="preserve"> REF _Ref435182634 \r \h </w:instrText>
      </w:r>
      <w:r>
        <w:rPr>
          <w:rStyle w:val="heading"/>
          <w:rFonts w:ascii="Times New Roman" w:hAnsi="Times New Roman" w:cs="Times New Roman"/>
          <w:sz w:val="21"/>
          <w:szCs w:val="21"/>
          <w:highlight w:val="yellow"/>
          <w:lang w:val="en-US"/>
        </w:rPr>
      </w:r>
      <w:r>
        <w:rPr>
          <w:rStyle w:val="heading"/>
          <w:rFonts w:ascii="Times New Roman" w:hAnsi="Times New Roman" w:cs="Times New Roman"/>
          <w:sz w:val="21"/>
          <w:szCs w:val="21"/>
          <w:highlight w:val="yellow"/>
          <w:lang w:val="en-US"/>
        </w:rPr>
        <w:fldChar w:fldCharType="separate"/>
      </w:r>
      <w:r>
        <w:rPr>
          <w:rFonts w:ascii="Times New Roman" w:hAnsi="Times New Roman" w:cs="Times New Roman"/>
          <w:spacing w:val="-6"/>
          <w:sz w:val="21"/>
          <w:szCs w:val="21"/>
        </w:rPr>
        <w:t>101</w:t>
      </w:r>
      <w:r>
        <w:rPr>
          <w:rStyle w:val="heading"/>
          <w:rFonts w:ascii="Times New Roman" w:hAnsi="Times New Roman" w:cs="Times New Roman"/>
          <w:sz w:val="21"/>
          <w:szCs w:val="21"/>
          <w:highlight w:val="yellow"/>
          <w:lang w:val="en-US"/>
        </w:rPr>
        <w:fldChar w:fldCharType="end"/>
      </w:r>
      <w:r w:rsidRPr="00B02E20">
        <w:rPr>
          <w:rFonts w:ascii="Times New Roman" w:hAnsi="Times New Roman" w:cs="Times New Roman"/>
          <w:spacing w:val="-6"/>
          <w:sz w:val="21"/>
          <w:szCs w:val="21"/>
        </w:rPr>
        <w:t xml:space="preserve">, </w:t>
      </w:r>
      <w:r w:rsidRPr="00B02E20">
        <w:rPr>
          <w:rFonts w:ascii="Times New Roman" w:hAnsi="Times New Roman" w:cs="Times New Roman"/>
          <w:spacing w:val="-6"/>
          <w:sz w:val="21"/>
          <w:szCs w:val="21"/>
          <w:lang w:val="en-US"/>
        </w:rPr>
        <w:t>c</w:t>
      </w:r>
      <w:r w:rsidRPr="00B02E20">
        <w:rPr>
          <w:rFonts w:ascii="Times New Roman" w:hAnsi="Times New Roman" w:cs="Times New Roman"/>
          <w:spacing w:val="-6"/>
          <w:sz w:val="21"/>
          <w:szCs w:val="21"/>
        </w:rPr>
        <w:t>. 12].</w:t>
      </w:r>
    </w:p>
    <w:p w:rsidR="00B233DE" w:rsidRDefault="00B233DE" w:rsidP="00B233DE">
      <w:pPr>
        <w:ind w:firstLine="709"/>
        <w:jc w:val="both"/>
        <w:rPr>
          <w:rFonts w:ascii="Times New Roman" w:hAnsi="Times New Roman" w:cs="Times New Roman"/>
          <w:sz w:val="21"/>
          <w:szCs w:val="21"/>
        </w:rPr>
      </w:pPr>
      <w:r w:rsidRPr="00B02E20">
        <w:rPr>
          <w:rFonts w:ascii="Times New Roman" w:hAnsi="Times New Roman" w:cs="Times New Roman"/>
          <w:spacing w:val="-6"/>
          <w:sz w:val="21"/>
          <w:szCs w:val="21"/>
        </w:rPr>
        <w:t>Основними чинниками рееміграції стали: доступність привабливих робочих місць, можливості швидкого кар’єрного росту, високий попит на досвідчених працівників та перспективи е</w:t>
      </w:r>
      <w:r>
        <w:rPr>
          <w:rFonts w:ascii="Times New Roman" w:hAnsi="Times New Roman" w:cs="Times New Roman"/>
          <w:spacing w:val="-6"/>
          <w:sz w:val="21"/>
          <w:szCs w:val="21"/>
        </w:rPr>
        <w:t>кономічного зростання</w:t>
      </w:r>
      <w:r w:rsidRPr="00B02E20">
        <w:rPr>
          <w:rFonts w:ascii="Times New Roman" w:hAnsi="Times New Roman" w:cs="Times New Roman"/>
          <w:spacing w:val="-6"/>
          <w:sz w:val="21"/>
          <w:szCs w:val="21"/>
        </w:rPr>
        <w:t xml:space="preserve">. При цьому варто зауважити, що індійський уряд використовує ряд інструментів підвищення показників міграційної привабливості для залучення людського потенціалу реемігрантів і іммігрантів: соціально-економічні реформи (створення сприятливого для розвитку бізнесу середовища в Індії викликало значний попит на </w:t>
      </w:r>
      <w:r w:rsidRPr="00B02E20">
        <w:rPr>
          <w:rFonts w:ascii="Times New Roman" w:hAnsi="Times New Roman" w:cs="Times New Roman"/>
          <w:spacing w:val="-6"/>
          <w:sz w:val="21"/>
          <w:szCs w:val="21"/>
        </w:rPr>
        <w:lastRenderedPageBreak/>
        <w:t>кваліфікованих працівників у дослідницькій сфері, сфері фінансів і інженерії); політику активного залучення мігрантів (з 2004 року в Індії було створено ряд програм, що ознайомлювали покоління індійської діаспори віком 18</w:t>
      </w:r>
      <w:r>
        <w:rPr>
          <w:rFonts w:ascii="Times New Roman" w:hAnsi="Times New Roman" w:cs="Times New Roman"/>
          <w:spacing w:val="-6"/>
          <w:sz w:val="21"/>
          <w:szCs w:val="21"/>
        </w:rPr>
        <w:t>–</w:t>
      </w:r>
      <w:r w:rsidRPr="00B02E20">
        <w:rPr>
          <w:rFonts w:ascii="Times New Roman" w:hAnsi="Times New Roman" w:cs="Times New Roman"/>
          <w:spacing w:val="-6"/>
          <w:sz w:val="21"/>
          <w:szCs w:val="21"/>
        </w:rPr>
        <w:t>26 років з економічним прогресом в країні); використання транснаціональних зв’язків мігрантів (у 2000 році індійський уряд утворив Комітет з діаспори на найвищому рівні, що зібрав делегатів – представників індійської діаспори з різних країн і підкреслив їх значимість і внесок у розвиток країни) [</w:t>
      </w:r>
      <w:r>
        <w:rPr>
          <w:rFonts w:ascii="Times New Roman" w:hAnsi="Times New Roman" w:cs="Times New Roman"/>
          <w:sz w:val="21"/>
          <w:szCs w:val="21"/>
          <w:highlight w:val="yellow"/>
          <w:lang w:val="en-US"/>
        </w:rPr>
        <w:fldChar w:fldCharType="begin"/>
      </w:r>
      <w:r>
        <w:rPr>
          <w:rFonts w:ascii="Times New Roman" w:hAnsi="Times New Roman" w:cs="Times New Roman"/>
          <w:spacing w:val="-6"/>
          <w:sz w:val="21"/>
          <w:szCs w:val="21"/>
        </w:rPr>
        <w:instrText xml:space="preserve"> REF _Ref435186505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pacing w:val="-6"/>
          <w:sz w:val="21"/>
          <w:szCs w:val="21"/>
        </w:rPr>
        <w:t>100</w:t>
      </w:r>
      <w:r>
        <w:rPr>
          <w:rFonts w:ascii="Times New Roman" w:hAnsi="Times New Roman" w:cs="Times New Roman"/>
          <w:sz w:val="21"/>
          <w:szCs w:val="21"/>
          <w:highlight w:val="yellow"/>
          <w:lang w:val="en-US"/>
        </w:rPr>
        <w:fldChar w:fldCharType="end"/>
      </w:r>
      <w:r w:rsidRPr="00B02E20">
        <w:rPr>
          <w:rFonts w:ascii="Times New Roman" w:hAnsi="Times New Roman" w:cs="Times New Roman"/>
          <w:spacing w:val="-6"/>
          <w:sz w:val="21"/>
          <w:szCs w:val="21"/>
        </w:rPr>
        <w:t>].</w:t>
      </w:r>
    </w:p>
    <w:p w:rsidR="00B233DE" w:rsidRPr="00B02E20" w:rsidRDefault="00B233DE" w:rsidP="00B233DE">
      <w:pPr>
        <w:ind w:firstLine="709"/>
        <w:jc w:val="both"/>
        <w:rPr>
          <w:rFonts w:ascii="Times New Roman" w:hAnsi="Times New Roman" w:cs="Times New Roman"/>
          <w:sz w:val="21"/>
          <w:szCs w:val="21"/>
        </w:rPr>
      </w:pPr>
    </w:p>
    <w:p w:rsidR="00B233DE" w:rsidRPr="00B02E20" w:rsidRDefault="00B233DE" w:rsidP="00B233DE">
      <w:pPr>
        <w:ind w:firstLine="0"/>
        <w:jc w:val="both"/>
        <w:rPr>
          <w:rFonts w:ascii="Times New Roman" w:hAnsi="Times New Roman" w:cs="Times New Roman"/>
          <w:sz w:val="21"/>
          <w:szCs w:val="21"/>
        </w:rPr>
      </w:pPr>
      <w:r w:rsidRPr="00B02E20">
        <w:rPr>
          <w:rFonts w:ascii="Times New Roman" w:hAnsi="Times New Roman" w:cs="Times New Roman"/>
          <w:noProof/>
          <w:sz w:val="21"/>
          <w:szCs w:val="21"/>
          <w:lang w:val="ru-RU" w:eastAsia="ru-RU"/>
        </w:rPr>
        <mc:AlternateContent>
          <mc:Choice Requires="wpg">
            <w:drawing>
              <wp:inline distT="0" distB="0" distL="0" distR="0" wp14:anchorId="4D2D1005" wp14:editId="54CC64DC">
                <wp:extent cx="3886200" cy="3640903"/>
                <wp:effectExtent l="0" t="0" r="0" b="0"/>
                <wp:docPr id="1041" name="Group 6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86200" cy="3640903"/>
                          <a:chOff x="2415" y="6930"/>
                          <a:chExt cx="7566" cy="5982"/>
                        </a:xfrm>
                      </wpg:grpSpPr>
                      <wps:wsp>
                        <wps:cNvPr id="1042" name="Text Box 617"/>
                        <wps:cNvSpPr txBox="1">
                          <a:spLocks noChangeArrowheads="1"/>
                        </wps:cNvSpPr>
                        <wps:spPr bwMode="auto">
                          <a:xfrm>
                            <a:off x="2781" y="11394"/>
                            <a:ext cx="7200" cy="151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40F8" w:rsidRPr="000C2855" w:rsidRDefault="00BE40F8" w:rsidP="00B233DE">
                              <w:pPr>
                                <w:ind w:firstLine="142"/>
                                <w:jc w:val="both"/>
                                <w:rPr>
                                  <w:rFonts w:ascii="Times New Roman" w:hAnsi="Times New Roman" w:cs="Times New Roman"/>
                                  <w:sz w:val="16"/>
                                  <w:szCs w:val="16"/>
                                </w:rPr>
                              </w:pPr>
                              <w:r w:rsidRPr="000C2855">
                                <w:rPr>
                                  <w:rFonts w:ascii="Times New Roman" w:hAnsi="Times New Roman" w:cs="Times New Roman"/>
                                  <w:b/>
                                  <w:sz w:val="16"/>
                                  <w:szCs w:val="16"/>
                                </w:rPr>
                                <w:t>Примітка:</w:t>
                              </w:r>
                              <w:r w:rsidRPr="000C2855">
                                <w:rPr>
                                  <w:rFonts w:ascii="Times New Roman" w:hAnsi="Times New Roman" w:cs="Times New Roman"/>
                                  <w:sz w:val="16"/>
                                  <w:szCs w:val="16"/>
                                </w:rPr>
                                <w:t xml:space="preserve"> </w:t>
                              </w:r>
                              <w:r w:rsidRPr="000C2855">
                                <w:rPr>
                                  <w:rFonts w:ascii="Times New Roman" w:hAnsi="Times New Roman" w:cs="Times New Roman"/>
                                  <w:sz w:val="16"/>
                                  <w:szCs w:val="16"/>
                                  <w:lang w:val="en-US"/>
                                </w:rPr>
                                <w:t xml:space="preserve">USA: </w:t>
                              </w:r>
                              <w:r w:rsidRPr="000C2855">
                                <w:rPr>
                                  <w:rFonts w:ascii="Times New Roman" w:hAnsi="Times New Roman" w:cs="Times New Roman"/>
                                  <w:sz w:val="16"/>
                                  <w:szCs w:val="16"/>
                                </w:rPr>
                                <w:t>США</w:t>
                              </w:r>
                              <w:r w:rsidRPr="000C2855">
                                <w:rPr>
                                  <w:rFonts w:ascii="Times New Roman" w:hAnsi="Times New Roman" w:cs="Times New Roman"/>
                                  <w:sz w:val="16"/>
                                  <w:szCs w:val="16"/>
                                  <w:lang w:val="en-US"/>
                                </w:rPr>
                                <w:t>, CAN</w:t>
                              </w:r>
                              <w:r w:rsidRPr="000C2855">
                                <w:rPr>
                                  <w:rFonts w:ascii="Times New Roman" w:hAnsi="Times New Roman" w:cs="Times New Roman"/>
                                  <w:sz w:val="16"/>
                                  <w:szCs w:val="16"/>
                                </w:rPr>
                                <w:t>: Канада</w:t>
                              </w:r>
                              <w:r w:rsidRPr="000C2855">
                                <w:rPr>
                                  <w:rFonts w:ascii="Times New Roman" w:hAnsi="Times New Roman" w:cs="Times New Roman"/>
                                  <w:sz w:val="16"/>
                                  <w:szCs w:val="16"/>
                                  <w:lang w:val="en-US"/>
                                </w:rPr>
                                <w:t>, NLD</w:t>
                              </w:r>
                              <w:r w:rsidRPr="000C2855">
                                <w:rPr>
                                  <w:rFonts w:ascii="Times New Roman" w:hAnsi="Times New Roman" w:cs="Times New Roman"/>
                                  <w:sz w:val="16"/>
                                  <w:szCs w:val="16"/>
                                </w:rPr>
                                <w:t>: Нідерланди</w:t>
                              </w:r>
                              <w:r w:rsidRPr="000C2855">
                                <w:rPr>
                                  <w:rFonts w:ascii="Times New Roman" w:hAnsi="Times New Roman" w:cs="Times New Roman"/>
                                  <w:sz w:val="16"/>
                                  <w:szCs w:val="16"/>
                                  <w:lang w:val="en-US"/>
                                </w:rPr>
                                <w:t>, SWE</w:t>
                              </w:r>
                              <w:r w:rsidRPr="000C2855">
                                <w:rPr>
                                  <w:rFonts w:ascii="Times New Roman" w:hAnsi="Times New Roman" w:cs="Times New Roman"/>
                                  <w:sz w:val="16"/>
                                  <w:szCs w:val="16"/>
                                </w:rPr>
                                <w:t>: Швеція</w:t>
                              </w:r>
                              <w:r w:rsidRPr="000C2855">
                                <w:rPr>
                                  <w:rFonts w:ascii="Times New Roman" w:hAnsi="Times New Roman" w:cs="Times New Roman"/>
                                  <w:sz w:val="16"/>
                                  <w:szCs w:val="16"/>
                                  <w:lang w:val="en-US"/>
                                </w:rPr>
                                <w:t>, UK</w:t>
                              </w:r>
                              <w:r w:rsidRPr="000C2855">
                                <w:rPr>
                                  <w:rFonts w:ascii="Times New Roman" w:hAnsi="Times New Roman" w:cs="Times New Roman"/>
                                  <w:sz w:val="16"/>
                                  <w:szCs w:val="16"/>
                                </w:rPr>
                                <w:t>: Великобританія</w:t>
                              </w:r>
                              <w:r w:rsidRPr="000C2855">
                                <w:rPr>
                                  <w:rFonts w:ascii="Times New Roman" w:hAnsi="Times New Roman" w:cs="Times New Roman"/>
                                  <w:sz w:val="16"/>
                                  <w:szCs w:val="16"/>
                                  <w:lang w:val="en-US"/>
                                </w:rPr>
                                <w:t>, GER</w:t>
                              </w:r>
                              <w:r w:rsidRPr="000C2855">
                                <w:rPr>
                                  <w:rFonts w:ascii="Times New Roman" w:hAnsi="Times New Roman" w:cs="Times New Roman"/>
                                  <w:sz w:val="16"/>
                                  <w:szCs w:val="16"/>
                                </w:rPr>
                                <w:t>: Німеччина</w:t>
                              </w:r>
                              <w:r w:rsidRPr="000C2855">
                                <w:rPr>
                                  <w:rFonts w:ascii="Times New Roman" w:hAnsi="Times New Roman" w:cs="Times New Roman"/>
                                  <w:sz w:val="16"/>
                                  <w:szCs w:val="16"/>
                                  <w:lang w:val="en-US"/>
                                </w:rPr>
                                <w:t>, JPN</w:t>
                              </w:r>
                              <w:r w:rsidRPr="000C2855">
                                <w:rPr>
                                  <w:rFonts w:ascii="Times New Roman" w:hAnsi="Times New Roman" w:cs="Times New Roman"/>
                                  <w:sz w:val="16"/>
                                  <w:szCs w:val="16"/>
                                </w:rPr>
                                <w:t>: Японія</w:t>
                              </w:r>
                              <w:r w:rsidRPr="000C2855">
                                <w:rPr>
                                  <w:rFonts w:ascii="Times New Roman" w:hAnsi="Times New Roman" w:cs="Times New Roman"/>
                                  <w:sz w:val="16"/>
                                  <w:szCs w:val="16"/>
                                  <w:lang w:val="en-US"/>
                                </w:rPr>
                                <w:t>, FRA</w:t>
                              </w:r>
                              <w:r w:rsidRPr="000C2855">
                                <w:rPr>
                                  <w:rFonts w:ascii="Times New Roman" w:hAnsi="Times New Roman" w:cs="Times New Roman"/>
                                  <w:sz w:val="16"/>
                                  <w:szCs w:val="16"/>
                                </w:rPr>
                                <w:t>: Франція</w:t>
                              </w:r>
                              <w:r w:rsidRPr="000C2855">
                                <w:rPr>
                                  <w:rFonts w:ascii="Times New Roman" w:hAnsi="Times New Roman" w:cs="Times New Roman"/>
                                  <w:sz w:val="16"/>
                                  <w:szCs w:val="16"/>
                                  <w:lang w:val="en-US"/>
                                </w:rPr>
                                <w:t>, AUS</w:t>
                              </w:r>
                              <w:r w:rsidRPr="000C2855">
                                <w:rPr>
                                  <w:rFonts w:ascii="Times New Roman" w:hAnsi="Times New Roman" w:cs="Times New Roman"/>
                                  <w:sz w:val="16"/>
                                  <w:szCs w:val="16"/>
                                </w:rPr>
                                <w:t>: Австрія</w:t>
                              </w:r>
                              <w:r w:rsidRPr="000C2855">
                                <w:rPr>
                                  <w:rFonts w:ascii="Times New Roman" w:hAnsi="Times New Roman" w:cs="Times New Roman"/>
                                  <w:sz w:val="16"/>
                                  <w:szCs w:val="16"/>
                                  <w:lang w:val="en-US"/>
                                </w:rPr>
                                <w:t>, KOR</w:t>
                              </w:r>
                              <w:r w:rsidRPr="000C2855">
                                <w:rPr>
                                  <w:rFonts w:ascii="Times New Roman" w:hAnsi="Times New Roman" w:cs="Times New Roman"/>
                                  <w:sz w:val="16"/>
                                  <w:szCs w:val="16"/>
                                </w:rPr>
                                <w:t>: Корея</w:t>
                              </w:r>
                              <w:r w:rsidRPr="000C2855">
                                <w:rPr>
                                  <w:rFonts w:ascii="Times New Roman" w:hAnsi="Times New Roman" w:cs="Times New Roman"/>
                                  <w:sz w:val="16"/>
                                  <w:szCs w:val="16"/>
                                  <w:lang w:val="en-US"/>
                                </w:rPr>
                                <w:t>, CHN</w:t>
                              </w:r>
                              <w:r w:rsidRPr="000C2855">
                                <w:rPr>
                                  <w:rFonts w:ascii="Times New Roman" w:hAnsi="Times New Roman" w:cs="Times New Roman"/>
                                  <w:sz w:val="16"/>
                                  <w:szCs w:val="16"/>
                                </w:rPr>
                                <w:t>: Китай</w:t>
                              </w:r>
                              <w:r w:rsidRPr="000C2855">
                                <w:rPr>
                                  <w:rFonts w:ascii="Times New Roman" w:hAnsi="Times New Roman" w:cs="Times New Roman"/>
                                  <w:sz w:val="16"/>
                                  <w:szCs w:val="16"/>
                                  <w:lang w:val="en-US"/>
                                </w:rPr>
                                <w:t>, MYS</w:t>
                              </w:r>
                              <w:r w:rsidRPr="000C2855">
                                <w:rPr>
                                  <w:rFonts w:ascii="Times New Roman" w:hAnsi="Times New Roman" w:cs="Times New Roman"/>
                                  <w:sz w:val="16"/>
                                  <w:szCs w:val="16"/>
                                </w:rPr>
                                <w:t>: Малайзія</w:t>
                              </w:r>
                              <w:r w:rsidRPr="000C2855">
                                <w:rPr>
                                  <w:rFonts w:ascii="Times New Roman" w:hAnsi="Times New Roman" w:cs="Times New Roman"/>
                                  <w:sz w:val="16"/>
                                  <w:szCs w:val="16"/>
                                  <w:lang w:val="en-US"/>
                                </w:rPr>
                                <w:t>, SAU</w:t>
                              </w:r>
                              <w:r w:rsidRPr="000C2855">
                                <w:rPr>
                                  <w:rFonts w:ascii="Times New Roman" w:hAnsi="Times New Roman" w:cs="Times New Roman"/>
                                  <w:sz w:val="16"/>
                                  <w:szCs w:val="16"/>
                                </w:rPr>
                                <w:t>: Саудівська Аравія</w:t>
                              </w:r>
                              <w:r w:rsidRPr="000C2855">
                                <w:rPr>
                                  <w:rFonts w:ascii="Times New Roman" w:hAnsi="Times New Roman" w:cs="Times New Roman"/>
                                  <w:sz w:val="16"/>
                                  <w:szCs w:val="16"/>
                                  <w:lang w:val="en-US"/>
                                </w:rPr>
                                <w:t>, ESP</w:t>
                              </w:r>
                              <w:r w:rsidRPr="000C2855">
                                <w:rPr>
                                  <w:rFonts w:ascii="Times New Roman" w:hAnsi="Times New Roman" w:cs="Times New Roman"/>
                                  <w:sz w:val="16"/>
                                  <w:szCs w:val="16"/>
                                </w:rPr>
                                <w:t>: Іспанія</w:t>
                              </w:r>
                              <w:r w:rsidRPr="000C2855">
                                <w:rPr>
                                  <w:rFonts w:ascii="Times New Roman" w:hAnsi="Times New Roman" w:cs="Times New Roman"/>
                                  <w:sz w:val="16"/>
                                  <w:szCs w:val="16"/>
                                  <w:lang w:val="en-US"/>
                                </w:rPr>
                                <w:t>, POL</w:t>
                              </w:r>
                              <w:r w:rsidRPr="000C2855">
                                <w:rPr>
                                  <w:rFonts w:ascii="Times New Roman" w:hAnsi="Times New Roman" w:cs="Times New Roman"/>
                                  <w:sz w:val="16"/>
                                  <w:szCs w:val="16"/>
                                </w:rPr>
                                <w:t>: Польща</w:t>
                              </w:r>
                              <w:r w:rsidRPr="000C2855">
                                <w:rPr>
                                  <w:rFonts w:ascii="Times New Roman" w:hAnsi="Times New Roman" w:cs="Times New Roman"/>
                                  <w:sz w:val="16"/>
                                  <w:szCs w:val="16"/>
                                  <w:lang w:val="en-US"/>
                                </w:rPr>
                                <w:t>, THA</w:t>
                              </w:r>
                              <w:r w:rsidRPr="000C2855">
                                <w:rPr>
                                  <w:rFonts w:ascii="Times New Roman" w:hAnsi="Times New Roman" w:cs="Times New Roman"/>
                                  <w:sz w:val="16"/>
                                  <w:szCs w:val="16"/>
                                </w:rPr>
                                <w:t>: Таїланд</w:t>
                              </w:r>
                              <w:r w:rsidRPr="000C2855">
                                <w:rPr>
                                  <w:rFonts w:ascii="Times New Roman" w:hAnsi="Times New Roman" w:cs="Times New Roman"/>
                                  <w:sz w:val="16"/>
                                  <w:szCs w:val="16"/>
                                  <w:lang w:val="en-US"/>
                                </w:rPr>
                                <w:t>, IND</w:t>
                              </w:r>
                              <w:r w:rsidRPr="000C2855">
                                <w:rPr>
                                  <w:rFonts w:ascii="Times New Roman" w:hAnsi="Times New Roman" w:cs="Times New Roman"/>
                                  <w:sz w:val="16"/>
                                  <w:szCs w:val="16"/>
                                </w:rPr>
                                <w:t>: Індія</w:t>
                              </w:r>
                              <w:r w:rsidRPr="000C2855">
                                <w:rPr>
                                  <w:rFonts w:ascii="Times New Roman" w:hAnsi="Times New Roman" w:cs="Times New Roman"/>
                                  <w:sz w:val="16"/>
                                  <w:szCs w:val="16"/>
                                  <w:lang w:val="en-US"/>
                                </w:rPr>
                                <w:t>, FRA</w:t>
                              </w:r>
                              <w:r w:rsidRPr="000C2855">
                                <w:rPr>
                                  <w:rFonts w:ascii="Times New Roman" w:hAnsi="Times New Roman" w:cs="Times New Roman"/>
                                  <w:sz w:val="16"/>
                                  <w:szCs w:val="16"/>
                                </w:rPr>
                                <w:t>: Франція</w:t>
                              </w:r>
                              <w:r w:rsidRPr="000C2855">
                                <w:rPr>
                                  <w:rFonts w:ascii="Times New Roman" w:hAnsi="Times New Roman" w:cs="Times New Roman"/>
                                  <w:sz w:val="16"/>
                                  <w:szCs w:val="16"/>
                                  <w:lang w:val="en-US"/>
                                </w:rPr>
                                <w:t>, POL</w:t>
                              </w:r>
                              <w:r w:rsidRPr="000C2855">
                                <w:rPr>
                                  <w:rFonts w:ascii="Times New Roman" w:hAnsi="Times New Roman" w:cs="Times New Roman"/>
                                  <w:sz w:val="16"/>
                                  <w:szCs w:val="16"/>
                                </w:rPr>
                                <w:t>: Польща</w:t>
                              </w:r>
                              <w:r w:rsidRPr="000C2855">
                                <w:rPr>
                                  <w:rFonts w:ascii="Times New Roman" w:hAnsi="Times New Roman" w:cs="Times New Roman"/>
                                  <w:sz w:val="16"/>
                                  <w:szCs w:val="16"/>
                                  <w:lang w:val="en-US"/>
                                </w:rPr>
                                <w:t>, RSA</w:t>
                              </w:r>
                              <w:r w:rsidRPr="000C2855">
                                <w:rPr>
                                  <w:rFonts w:ascii="Times New Roman" w:hAnsi="Times New Roman" w:cs="Times New Roman"/>
                                  <w:sz w:val="16"/>
                                  <w:szCs w:val="16"/>
                                </w:rPr>
                                <w:t>: Південна Африка</w:t>
                              </w:r>
                              <w:r w:rsidRPr="000C2855">
                                <w:rPr>
                                  <w:rFonts w:ascii="Times New Roman" w:hAnsi="Times New Roman" w:cs="Times New Roman"/>
                                  <w:sz w:val="16"/>
                                  <w:szCs w:val="16"/>
                                  <w:lang w:val="en-US"/>
                                </w:rPr>
                                <w:t>, BRA</w:t>
                              </w:r>
                              <w:r w:rsidRPr="000C2855">
                                <w:rPr>
                                  <w:rFonts w:ascii="Times New Roman" w:hAnsi="Times New Roman" w:cs="Times New Roman"/>
                                  <w:sz w:val="16"/>
                                  <w:szCs w:val="16"/>
                                </w:rPr>
                                <w:t>: Бразилія</w:t>
                              </w:r>
                              <w:r w:rsidRPr="000C2855">
                                <w:rPr>
                                  <w:rFonts w:ascii="Times New Roman" w:hAnsi="Times New Roman" w:cs="Times New Roman"/>
                                  <w:sz w:val="16"/>
                                  <w:szCs w:val="16"/>
                                  <w:lang w:val="en-US"/>
                                </w:rPr>
                                <w:t>, INA</w:t>
                              </w:r>
                              <w:r w:rsidRPr="000C2855">
                                <w:rPr>
                                  <w:rFonts w:ascii="Times New Roman" w:hAnsi="Times New Roman" w:cs="Times New Roman"/>
                                  <w:sz w:val="16"/>
                                  <w:szCs w:val="16"/>
                                </w:rPr>
                                <w:t>: Індонезія</w:t>
                              </w:r>
                              <w:r w:rsidRPr="000C2855">
                                <w:rPr>
                                  <w:rFonts w:ascii="Times New Roman" w:hAnsi="Times New Roman" w:cs="Times New Roman"/>
                                  <w:sz w:val="16"/>
                                  <w:szCs w:val="16"/>
                                  <w:lang w:val="en-US"/>
                                </w:rPr>
                                <w:t>, RUS</w:t>
                              </w:r>
                              <w:r w:rsidRPr="000C2855">
                                <w:rPr>
                                  <w:rFonts w:ascii="Times New Roman" w:hAnsi="Times New Roman" w:cs="Times New Roman"/>
                                  <w:sz w:val="16"/>
                                  <w:szCs w:val="16"/>
                                </w:rPr>
                                <w:t>: Росія</w:t>
                              </w:r>
                              <w:r w:rsidRPr="000C2855">
                                <w:rPr>
                                  <w:rFonts w:ascii="Times New Roman" w:hAnsi="Times New Roman" w:cs="Times New Roman"/>
                                  <w:sz w:val="16"/>
                                  <w:szCs w:val="16"/>
                                  <w:lang w:val="en-US"/>
                                </w:rPr>
                                <w:t>, MEX</w:t>
                              </w:r>
                              <w:r w:rsidRPr="000C2855">
                                <w:rPr>
                                  <w:rFonts w:ascii="Times New Roman" w:hAnsi="Times New Roman" w:cs="Times New Roman"/>
                                  <w:sz w:val="16"/>
                                  <w:szCs w:val="16"/>
                                </w:rPr>
                                <w:t>: Мексика</w:t>
                              </w:r>
                              <w:r w:rsidRPr="000C2855">
                                <w:rPr>
                                  <w:rFonts w:ascii="Times New Roman" w:hAnsi="Times New Roman" w:cs="Times New Roman"/>
                                  <w:sz w:val="16"/>
                                  <w:szCs w:val="16"/>
                                  <w:lang w:val="en-US"/>
                                </w:rPr>
                                <w:t>, TUR</w:t>
                              </w:r>
                              <w:r w:rsidRPr="000C2855">
                                <w:rPr>
                                  <w:rFonts w:ascii="Times New Roman" w:hAnsi="Times New Roman" w:cs="Times New Roman"/>
                                  <w:sz w:val="16"/>
                                  <w:szCs w:val="16"/>
                                </w:rPr>
                                <w:t>: Туреччина</w:t>
                              </w:r>
                              <w:r w:rsidRPr="000C2855">
                                <w:rPr>
                                  <w:rFonts w:ascii="Times New Roman" w:hAnsi="Times New Roman" w:cs="Times New Roman"/>
                                  <w:sz w:val="16"/>
                                  <w:szCs w:val="16"/>
                                  <w:lang w:val="en-US"/>
                                </w:rPr>
                                <w:t>, IR</w:t>
                              </w:r>
                              <w:r w:rsidRPr="000C2855">
                                <w:rPr>
                                  <w:rFonts w:ascii="Times New Roman" w:hAnsi="Times New Roman" w:cs="Times New Roman"/>
                                  <w:sz w:val="16"/>
                                  <w:szCs w:val="16"/>
                                </w:rPr>
                                <w:t>: Іран</w:t>
                              </w:r>
                              <w:r w:rsidRPr="000C2855">
                                <w:rPr>
                                  <w:rFonts w:ascii="Times New Roman" w:hAnsi="Times New Roman" w:cs="Times New Roman"/>
                                  <w:sz w:val="16"/>
                                  <w:szCs w:val="16"/>
                                  <w:lang w:val="en-US"/>
                                </w:rPr>
                                <w:t>, EGY</w:t>
                              </w:r>
                              <w:r w:rsidRPr="000C2855">
                                <w:rPr>
                                  <w:rFonts w:ascii="Times New Roman" w:hAnsi="Times New Roman" w:cs="Times New Roman"/>
                                  <w:sz w:val="16"/>
                                  <w:szCs w:val="16"/>
                                </w:rPr>
                                <w:t>: Єгипет</w:t>
                              </w:r>
                              <w:r w:rsidRPr="000C2855">
                                <w:rPr>
                                  <w:rFonts w:ascii="Times New Roman" w:hAnsi="Times New Roman" w:cs="Times New Roman"/>
                                  <w:sz w:val="16"/>
                                  <w:szCs w:val="16"/>
                                  <w:lang w:val="en-US"/>
                                </w:rPr>
                                <w:t>, GRC</w:t>
                              </w:r>
                              <w:r w:rsidRPr="000C2855">
                                <w:rPr>
                                  <w:rFonts w:ascii="Times New Roman" w:hAnsi="Times New Roman" w:cs="Times New Roman"/>
                                  <w:sz w:val="16"/>
                                  <w:szCs w:val="16"/>
                                </w:rPr>
                                <w:t>: Греція</w:t>
                              </w:r>
                              <w:r w:rsidRPr="000C2855">
                                <w:rPr>
                                  <w:rFonts w:ascii="Times New Roman" w:hAnsi="Times New Roman" w:cs="Times New Roman"/>
                                  <w:sz w:val="16"/>
                                  <w:szCs w:val="16"/>
                                  <w:lang w:val="en-US"/>
                                </w:rPr>
                                <w:t>, ARG</w:t>
                              </w:r>
                              <w:r w:rsidRPr="000C2855">
                                <w:rPr>
                                  <w:rFonts w:ascii="Times New Roman" w:hAnsi="Times New Roman" w:cs="Times New Roman"/>
                                  <w:sz w:val="16"/>
                                  <w:szCs w:val="16"/>
                                </w:rPr>
                                <w:t>: Аргентина</w:t>
                              </w:r>
                              <w:r w:rsidRPr="000C2855">
                                <w:rPr>
                                  <w:rFonts w:ascii="Times New Roman" w:hAnsi="Times New Roman" w:cs="Times New Roman"/>
                                  <w:sz w:val="16"/>
                                  <w:szCs w:val="16"/>
                                  <w:lang w:val="en-US"/>
                                </w:rPr>
                                <w:t>, UKR</w:t>
                              </w:r>
                              <w:r w:rsidRPr="000C2855">
                                <w:rPr>
                                  <w:rFonts w:ascii="Times New Roman" w:hAnsi="Times New Roman" w:cs="Times New Roman"/>
                                  <w:sz w:val="16"/>
                                  <w:szCs w:val="16"/>
                                </w:rPr>
                                <w:t>: Україна</w:t>
                              </w:r>
                              <w:r w:rsidRPr="000C2855">
                                <w:rPr>
                                  <w:rFonts w:ascii="Times New Roman" w:hAnsi="Times New Roman" w:cs="Times New Roman"/>
                                  <w:sz w:val="16"/>
                                  <w:szCs w:val="16"/>
                                  <w:lang w:val="en-US"/>
                                </w:rPr>
                                <w:t>, NGA</w:t>
                              </w:r>
                              <w:r w:rsidRPr="000C2855">
                                <w:rPr>
                                  <w:rFonts w:ascii="Times New Roman" w:hAnsi="Times New Roman" w:cs="Times New Roman"/>
                                  <w:sz w:val="16"/>
                                  <w:szCs w:val="16"/>
                                </w:rPr>
                                <w:t>: Нігерія</w:t>
                              </w:r>
                            </w:p>
                          </w:txbxContent>
                        </wps:txbx>
                        <wps:bodyPr rot="0" vert="horz" wrap="square" lIns="91440" tIns="45720" rIns="91440" bIns="45720" anchor="t" anchorCtr="0" upright="1">
                          <a:noAutofit/>
                        </wps:bodyPr>
                      </wps:wsp>
                      <pic:pic xmlns:pic="http://schemas.openxmlformats.org/drawingml/2006/picture">
                        <pic:nvPicPr>
                          <pic:cNvPr id="1043" name="Picture 618"/>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2415" y="6930"/>
                            <a:ext cx="7365" cy="450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4D2D1005" id="Group 616" o:spid="_x0000_s1910" style="width:306pt;height:286.7pt;mso-position-horizontal-relative:char;mso-position-vertical-relative:line" coordorigin="2415,6930" coordsize="7566,598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">
                <v:shape id="Text Box 617" o:spid="_x0000_s1911" type="#_x0000_t202" style="position:absolute;left:2781;top:11394;width:7200;height:15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" stroked="f">
                  <v:textbox>
                    <w:txbxContent>
                      <w:p w:rsidR="00BE40F8" w:rsidRPr="000C2855" w:rsidRDefault="00BE40F8" w:rsidP="00B233DE">
                        <w:pPr>
                          <w:ind w:firstLine="142"/>
                          <w:jc w:val="both"/>
                          <w:rPr>
                            <w:rFonts w:ascii="Times New Roman" w:hAnsi="Times New Roman" w:cs="Times New Roman"/>
                            <w:sz w:val="16"/>
                            <w:szCs w:val="16"/>
                          </w:rPr>
                        </w:pPr>
                        <w:r w:rsidRPr="000C2855">
                          <w:rPr>
                            <w:rFonts w:ascii="Times New Roman" w:hAnsi="Times New Roman" w:cs="Times New Roman"/>
                            <w:b/>
                            <w:sz w:val="16"/>
                            <w:szCs w:val="16"/>
                          </w:rPr>
                          <w:t>Примітка:</w:t>
                        </w:r>
                        <w:r w:rsidRPr="000C2855">
                          <w:rPr>
                            <w:rFonts w:ascii="Times New Roman" w:hAnsi="Times New Roman" w:cs="Times New Roman"/>
                            <w:sz w:val="16"/>
                            <w:szCs w:val="16"/>
                          </w:rPr>
                          <w:t xml:space="preserve"> </w:t>
                        </w:r>
                        <w:r w:rsidRPr="000C2855">
                          <w:rPr>
                            <w:rFonts w:ascii="Times New Roman" w:hAnsi="Times New Roman" w:cs="Times New Roman"/>
                            <w:sz w:val="16"/>
                            <w:szCs w:val="16"/>
                            <w:lang w:val="en-US"/>
                          </w:rPr>
                          <w:t xml:space="preserve">USA: </w:t>
                        </w:r>
                        <w:r w:rsidRPr="000C2855">
                          <w:rPr>
                            <w:rFonts w:ascii="Times New Roman" w:hAnsi="Times New Roman" w:cs="Times New Roman"/>
                            <w:sz w:val="16"/>
                            <w:szCs w:val="16"/>
                          </w:rPr>
                          <w:t>США</w:t>
                        </w:r>
                        <w:r w:rsidRPr="000C2855">
                          <w:rPr>
                            <w:rFonts w:ascii="Times New Roman" w:hAnsi="Times New Roman" w:cs="Times New Roman"/>
                            <w:sz w:val="16"/>
                            <w:szCs w:val="16"/>
                            <w:lang w:val="en-US"/>
                          </w:rPr>
                          <w:t>, CAN</w:t>
                        </w:r>
                        <w:r w:rsidRPr="000C2855">
                          <w:rPr>
                            <w:rFonts w:ascii="Times New Roman" w:hAnsi="Times New Roman" w:cs="Times New Roman"/>
                            <w:sz w:val="16"/>
                            <w:szCs w:val="16"/>
                          </w:rPr>
                          <w:t>: Канада</w:t>
                        </w:r>
                        <w:r w:rsidRPr="000C2855">
                          <w:rPr>
                            <w:rFonts w:ascii="Times New Roman" w:hAnsi="Times New Roman" w:cs="Times New Roman"/>
                            <w:sz w:val="16"/>
                            <w:szCs w:val="16"/>
                            <w:lang w:val="en-US"/>
                          </w:rPr>
                          <w:t>, NLD</w:t>
                        </w:r>
                        <w:r w:rsidRPr="000C2855">
                          <w:rPr>
                            <w:rFonts w:ascii="Times New Roman" w:hAnsi="Times New Roman" w:cs="Times New Roman"/>
                            <w:sz w:val="16"/>
                            <w:szCs w:val="16"/>
                          </w:rPr>
                          <w:t>: Нідерланди</w:t>
                        </w:r>
                        <w:r w:rsidRPr="000C2855">
                          <w:rPr>
                            <w:rFonts w:ascii="Times New Roman" w:hAnsi="Times New Roman" w:cs="Times New Roman"/>
                            <w:sz w:val="16"/>
                            <w:szCs w:val="16"/>
                            <w:lang w:val="en-US"/>
                          </w:rPr>
                          <w:t>, SWE</w:t>
                        </w:r>
                        <w:r w:rsidRPr="000C2855">
                          <w:rPr>
                            <w:rFonts w:ascii="Times New Roman" w:hAnsi="Times New Roman" w:cs="Times New Roman"/>
                            <w:sz w:val="16"/>
                            <w:szCs w:val="16"/>
                          </w:rPr>
                          <w:t>: Швеція</w:t>
                        </w:r>
                        <w:r w:rsidRPr="000C2855">
                          <w:rPr>
                            <w:rFonts w:ascii="Times New Roman" w:hAnsi="Times New Roman" w:cs="Times New Roman"/>
                            <w:sz w:val="16"/>
                            <w:szCs w:val="16"/>
                            <w:lang w:val="en-US"/>
                          </w:rPr>
                          <w:t>, UK</w:t>
                        </w:r>
                        <w:r w:rsidRPr="000C2855">
                          <w:rPr>
                            <w:rFonts w:ascii="Times New Roman" w:hAnsi="Times New Roman" w:cs="Times New Roman"/>
                            <w:sz w:val="16"/>
                            <w:szCs w:val="16"/>
                          </w:rPr>
                          <w:t>: Великобританія</w:t>
                        </w:r>
                        <w:r w:rsidRPr="000C2855">
                          <w:rPr>
                            <w:rFonts w:ascii="Times New Roman" w:hAnsi="Times New Roman" w:cs="Times New Roman"/>
                            <w:sz w:val="16"/>
                            <w:szCs w:val="16"/>
                            <w:lang w:val="en-US"/>
                          </w:rPr>
                          <w:t>, GER</w:t>
                        </w:r>
                        <w:r w:rsidRPr="000C2855">
                          <w:rPr>
                            <w:rFonts w:ascii="Times New Roman" w:hAnsi="Times New Roman" w:cs="Times New Roman"/>
                            <w:sz w:val="16"/>
                            <w:szCs w:val="16"/>
                          </w:rPr>
                          <w:t>: Німеччина</w:t>
                        </w:r>
                        <w:r w:rsidRPr="000C2855">
                          <w:rPr>
                            <w:rFonts w:ascii="Times New Roman" w:hAnsi="Times New Roman" w:cs="Times New Roman"/>
                            <w:sz w:val="16"/>
                            <w:szCs w:val="16"/>
                            <w:lang w:val="en-US"/>
                          </w:rPr>
                          <w:t>, JPN</w:t>
                        </w:r>
                        <w:r w:rsidRPr="000C2855">
                          <w:rPr>
                            <w:rFonts w:ascii="Times New Roman" w:hAnsi="Times New Roman" w:cs="Times New Roman"/>
                            <w:sz w:val="16"/>
                            <w:szCs w:val="16"/>
                          </w:rPr>
                          <w:t>: Японія</w:t>
                        </w:r>
                        <w:r w:rsidRPr="000C2855">
                          <w:rPr>
                            <w:rFonts w:ascii="Times New Roman" w:hAnsi="Times New Roman" w:cs="Times New Roman"/>
                            <w:sz w:val="16"/>
                            <w:szCs w:val="16"/>
                            <w:lang w:val="en-US"/>
                          </w:rPr>
                          <w:t>, FRA</w:t>
                        </w:r>
                        <w:r w:rsidRPr="000C2855">
                          <w:rPr>
                            <w:rFonts w:ascii="Times New Roman" w:hAnsi="Times New Roman" w:cs="Times New Roman"/>
                            <w:sz w:val="16"/>
                            <w:szCs w:val="16"/>
                          </w:rPr>
                          <w:t>: Франція</w:t>
                        </w:r>
                        <w:r w:rsidRPr="000C2855">
                          <w:rPr>
                            <w:rFonts w:ascii="Times New Roman" w:hAnsi="Times New Roman" w:cs="Times New Roman"/>
                            <w:sz w:val="16"/>
                            <w:szCs w:val="16"/>
                            <w:lang w:val="en-US"/>
                          </w:rPr>
                          <w:t>, AUS</w:t>
                        </w:r>
                        <w:r w:rsidRPr="000C2855">
                          <w:rPr>
                            <w:rFonts w:ascii="Times New Roman" w:hAnsi="Times New Roman" w:cs="Times New Roman"/>
                            <w:sz w:val="16"/>
                            <w:szCs w:val="16"/>
                          </w:rPr>
                          <w:t>: Австрія</w:t>
                        </w:r>
                        <w:r w:rsidRPr="000C2855">
                          <w:rPr>
                            <w:rFonts w:ascii="Times New Roman" w:hAnsi="Times New Roman" w:cs="Times New Roman"/>
                            <w:sz w:val="16"/>
                            <w:szCs w:val="16"/>
                            <w:lang w:val="en-US"/>
                          </w:rPr>
                          <w:t>, KOR</w:t>
                        </w:r>
                        <w:r w:rsidRPr="000C2855">
                          <w:rPr>
                            <w:rFonts w:ascii="Times New Roman" w:hAnsi="Times New Roman" w:cs="Times New Roman"/>
                            <w:sz w:val="16"/>
                            <w:szCs w:val="16"/>
                          </w:rPr>
                          <w:t>: Корея</w:t>
                        </w:r>
                        <w:r w:rsidRPr="000C2855">
                          <w:rPr>
                            <w:rFonts w:ascii="Times New Roman" w:hAnsi="Times New Roman" w:cs="Times New Roman"/>
                            <w:sz w:val="16"/>
                            <w:szCs w:val="16"/>
                            <w:lang w:val="en-US"/>
                          </w:rPr>
                          <w:t>, CHN</w:t>
                        </w:r>
                        <w:r w:rsidRPr="000C2855">
                          <w:rPr>
                            <w:rFonts w:ascii="Times New Roman" w:hAnsi="Times New Roman" w:cs="Times New Roman"/>
                            <w:sz w:val="16"/>
                            <w:szCs w:val="16"/>
                          </w:rPr>
                          <w:t>: Китай</w:t>
                        </w:r>
                        <w:r w:rsidRPr="000C2855">
                          <w:rPr>
                            <w:rFonts w:ascii="Times New Roman" w:hAnsi="Times New Roman" w:cs="Times New Roman"/>
                            <w:sz w:val="16"/>
                            <w:szCs w:val="16"/>
                            <w:lang w:val="en-US"/>
                          </w:rPr>
                          <w:t>, MYS</w:t>
                        </w:r>
                        <w:r w:rsidRPr="000C2855">
                          <w:rPr>
                            <w:rFonts w:ascii="Times New Roman" w:hAnsi="Times New Roman" w:cs="Times New Roman"/>
                            <w:sz w:val="16"/>
                            <w:szCs w:val="16"/>
                          </w:rPr>
                          <w:t>: Малайзія</w:t>
                        </w:r>
                        <w:r w:rsidRPr="000C2855">
                          <w:rPr>
                            <w:rFonts w:ascii="Times New Roman" w:hAnsi="Times New Roman" w:cs="Times New Roman"/>
                            <w:sz w:val="16"/>
                            <w:szCs w:val="16"/>
                            <w:lang w:val="en-US"/>
                          </w:rPr>
                          <w:t>, SAU</w:t>
                        </w:r>
                        <w:r w:rsidRPr="000C2855">
                          <w:rPr>
                            <w:rFonts w:ascii="Times New Roman" w:hAnsi="Times New Roman" w:cs="Times New Roman"/>
                            <w:sz w:val="16"/>
                            <w:szCs w:val="16"/>
                          </w:rPr>
                          <w:t>: Саудівська Аравія</w:t>
                        </w:r>
                        <w:r w:rsidRPr="000C2855">
                          <w:rPr>
                            <w:rFonts w:ascii="Times New Roman" w:hAnsi="Times New Roman" w:cs="Times New Roman"/>
                            <w:sz w:val="16"/>
                            <w:szCs w:val="16"/>
                            <w:lang w:val="en-US"/>
                          </w:rPr>
                          <w:t>, ESP</w:t>
                        </w:r>
                        <w:r w:rsidRPr="000C2855">
                          <w:rPr>
                            <w:rFonts w:ascii="Times New Roman" w:hAnsi="Times New Roman" w:cs="Times New Roman"/>
                            <w:sz w:val="16"/>
                            <w:szCs w:val="16"/>
                          </w:rPr>
                          <w:t>: Іспанія</w:t>
                        </w:r>
                        <w:r w:rsidRPr="000C2855">
                          <w:rPr>
                            <w:rFonts w:ascii="Times New Roman" w:hAnsi="Times New Roman" w:cs="Times New Roman"/>
                            <w:sz w:val="16"/>
                            <w:szCs w:val="16"/>
                            <w:lang w:val="en-US"/>
                          </w:rPr>
                          <w:t>, POL</w:t>
                        </w:r>
                        <w:r w:rsidRPr="000C2855">
                          <w:rPr>
                            <w:rFonts w:ascii="Times New Roman" w:hAnsi="Times New Roman" w:cs="Times New Roman"/>
                            <w:sz w:val="16"/>
                            <w:szCs w:val="16"/>
                          </w:rPr>
                          <w:t>: Польща</w:t>
                        </w:r>
                        <w:r w:rsidRPr="000C2855">
                          <w:rPr>
                            <w:rFonts w:ascii="Times New Roman" w:hAnsi="Times New Roman" w:cs="Times New Roman"/>
                            <w:sz w:val="16"/>
                            <w:szCs w:val="16"/>
                            <w:lang w:val="en-US"/>
                          </w:rPr>
                          <w:t>, THA</w:t>
                        </w:r>
                        <w:r w:rsidRPr="000C2855">
                          <w:rPr>
                            <w:rFonts w:ascii="Times New Roman" w:hAnsi="Times New Roman" w:cs="Times New Roman"/>
                            <w:sz w:val="16"/>
                            <w:szCs w:val="16"/>
                          </w:rPr>
                          <w:t>: Таїланд</w:t>
                        </w:r>
                        <w:r w:rsidRPr="000C2855">
                          <w:rPr>
                            <w:rFonts w:ascii="Times New Roman" w:hAnsi="Times New Roman" w:cs="Times New Roman"/>
                            <w:sz w:val="16"/>
                            <w:szCs w:val="16"/>
                            <w:lang w:val="en-US"/>
                          </w:rPr>
                          <w:t>, IND</w:t>
                        </w:r>
                        <w:r w:rsidRPr="000C2855">
                          <w:rPr>
                            <w:rFonts w:ascii="Times New Roman" w:hAnsi="Times New Roman" w:cs="Times New Roman"/>
                            <w:sz w:val="16"/>
                            <w:szCs w:val="16"/>
                          </w:rPr>
                          <w:t>: Індія</w:t>
                        </w:r>
                        <w:r w:rsidRPr="000C2855">
                          <w:rPr>
                            <w:rFonts w:ascii="Times New Roman" w:hAnsi="Times New Roman" w:cs="Times New Roman"/>
                            <w:sz w:val="16"/>
                            <w:szCs w:val="16"/>
                            <w:lang w:val="en-US"/>
                          </w:rPr>
                          <w:t>, FRA</w:t>
                        </w:r>
                        <w:r w:rsidRPr="000C2855">
                          <w:rPr>
                            <w:rFonts w:ascii="Times New Roman" w:hAnsi="Times New Roman" w:cs="Times New Roman"/>
                            <w:sz w:val="16"/>
                            <w:szCs w:val="16"/>
                          </w:rPr>
                          <w:t>: Франція</w:t>
                        </w:r>
                        <w:r w:rsidRPr="000C2855">
                          <w:rPr>
                            <w:rFonts w:ascii="Times New Roman" w:hAnsi="Times New Roman" w:cs="Times New Roman"/>
                            <w:sz w:val="16"/>
                            <w:szCs w:val="16"/>
                            <w:lang w:val="en-US"/>
                          </w:rPr>
                          <w:t>, POL</w:t>
                        </w:r>
                        <w:r w:rsidRPr="000C2855">
                          <w:rPr>
                            <w:rFonts w:ascii="Times New Roman" w:hAnsi="Times New Roman" w:cs="Times New Roman"/>
                            <w:sz w:val="16"/>
                            <w:szCs w:val="16"/>
                          </w:rPr>
                          <w:t>: Польща</w:t>
                        </w:r>
                        <w:r w:rsidRPr="000C2855">
                          <w:rPr>
                            <w:rFonts w:ascii="Times New Roman" w:hAnsi="Times New Roman" w:cs="Times New Roman"/>
                            <w:sz w:val="16"/>
                            <w:szCs w:val="16"/>
                            <w:lang w:val="en-US"/>
                          </w:rPr>
                          <w:t>, RSA</w:t>
                        </w:r>
                        <w:r w:rsidRPr="000C2855">
                          <w:rPr>
                            <w:rFonts w:ascii="Times New Roman" w:hAnsi="Times New Roman" w:cs="Times New Roman"/>
                            <w:sz w:val="16"/>
                            <w:szCs w:val="16"/>
                          </w:rPr>
                          <w:t>: Південна Африка</w:t>
                        </w:r>
                        <w:r w:rsidRPr="000C2855">
                          <w:rPr>
                            <w:rFonts w:ascii="Times New Roman" w:hAnsi="Times New Roman" w:cs="Times New Roman"/>
                            <w:sz w:val="16"/>
                            <w:szCs w:val="16"/>
                            <w:lang w:val="en-US"/>
                          </w:rPr>
                          <w:t>, BRA</w:t>
                        </w:r>
                        <w:r w:rsidRPr="000C2855">
                          <w:rPr>
                            <w:rFonts w:ascii="Times New Roman" w:hAnsi="Times New Roman" w:cs="Times New Roman"/>
                            <w:sz w:val="16"/>
                            <w:szCs w:val="16"/>
                          </w:rPr>
                          <w:t>: Бразилія</w:t>
                        </w:r>
                        <w:r w:rsidRPr="000C2855">
                          <w:rPr>
                            <w:rFonts w:ascii="Times New Roman" w:hAnsi="Times New Roman" w:cs="Times New Roman"/>
                            <w:sz w:val="16"/>
                            <w:szCs w:val="16"/>
                            <w:lang w:val="en-US"/>
                          </w:rPr>
                          <w:t>, INA</w:t>
                        </w:r>
                        <w:r w:rsidRPr="000C2855">
                          <w:rPr>
                            <w:rFonts w:ascii="Times New Roman" w:hAnsi="Times New Roman" w:cs="Times New Roman"/>
                            <w:sz w:val="16"/>
                            <w:szCs w:val="16"/>
                          </w:rPr>
                          <w:t>: Індонезія</w:t>
                        </w:r>
                        <w:r w:rsidRPr="000C2855">
                          <w:rPr>
                            <w:rFonts w:ascii="Times New Roman" w:hAnsi="Times New Roman" w:cs="Times New Roman"/>
                            <w:sz w:val="16"/>
                            <w:szCs w:val="16"/>
                            <w:lang w:val="en-US"/>
                          </w:rPr>
                          <w:t>, RUS</w:t>
                        </w:r>
                        <w:r w:rsidRPr="000C2855">
                          <w:rPr>
                            <w:rFonts w:ascii="Times New Roman" w:hAnsi="Times New Roman" w:cs="Times New Roman"/>
                            <w:sz w:val="16"/>
                            <w:szCs w:val="16"/>
                          </w:rPr>
                          <w:t>: Росія</w:t>
                        </w:r>
                        <w:r w:rsidRPr="000C2855">
                          <w:rPr>
                            <w:rFonts w:ascii="Times New Roman" w:hAnsi="Times New Roman" w:cs="Times New Roman"/>
                            <w:sz w:val="16"/>
                            <w:szCs w:val="16"/>
                            <w:lang w:val="en-US"/>
                          </w:rPr>
                          <w:t>, MEX</w:t>
                        </w:r>
                        <w:r w:rsidRPr="000C2855">
                          <w:rPr>
                            <w:rFonts w:ascii="Times New Roman" w:hAnsi="Times New Roman" w:cs="Times New Roman"/>
                            <w:sz w:val="16"/>
                            <w:szCs w:val="16"/>
                          </w:rPr>
                          <w:t>: Мексика</w:t>
                        </w:r>
                        <w:r w:rsidRPr="000C2855">
                          <w:rPr>
                            <w:rFonts w:ascii="Times New Roman" w:hAnsi="Times New Roman" w:cs="Times New Roman"/>
                            <w:sz w:val="16"/>
                            <w:szCs w:val="16"/>
                            <w:lang w:val="en-US"/>
                          </w:rPr>
                          <w:t>, TUR</w:t>
                        </w:r>
                        <w:r w:rsidRPr="000C2855">
                          <w:rPr>
                            <w:rFonts w:ascii="Times New Roman" w:hAnsi="Times New Roman" w:cs="Times New Roman"/>
                            <w:sz w:val="16"/>
                            <w:szCs w:val="16"/>
                          </w:rPr>
                          <w:t>: Туреччина</w:t>
                        </w:r>
                        <w:r w:rsidRPr="000C2855">
                          <w:rPr>
                            <w:rFonts w:ascii="Times New Roman" w:hAnsi="Times New Roman" w:cs="Times New Roman"/>
                            <w:sz w:val="16"/>
                            <w:szCs w:val="16"/>
                            <w:lang w:val="en-US"/>
                          </w:rPr>
                          <w:t>, IR</w:t>
                        </w:r>
                        <w:r w:rsidRPr="000C2855">
                          <w:rPr>
                            <w:rFonts w:ascii="Times New Roman" w:hAnsi="Times New Roman" w:cs="Times New Roman"/>
                            <w:sz w:val="16"/>
                            <w:szCs w:val="16"/>
                          </w:rPr>
                          <w:t>: Іран</w:t>
                        </w:r>
                        <w:r w:rsidRPr="000C2855">
                          <w:rPr>
                            <w:rFonts w:ascii="Times New Roman" w:hAnsi="Times New Roman" w:cs="Times New Roman"/>
                            <w:sz w:val="16"/>
                            <w:szCs w:val="16"/>
                            <w:lang w:val="en-US"/>
                          </w:rPr>
                          <w:t>, EGY</w:t>
                        </w:r>
                        <w:r w:rsidRPr="000C2855">
                          <w:rPr>
                            <w:rFonts w:ascii="Times New Roman" w:hAnsi="Times New Roman" w:cs="Times New Roman"/>
                            <w:sz w:val="16"/>
                            <w:szCs w:val="16"/>
                          </w:rPr>
                          <w:t>: Єгипет</w:t>
                        </w:r>
                        <w:r w:rsidRPr="000C2855">
                          <w:rPr>
                            <w:rFonts w:ascii="Times New Roman" w:hAnsi="Times New Roman" w:cs="Times New Roman"/>
                            <w:sz w:val="16"/>
                            <w:szCs w:val="16"/>
                            <w:lang w:val="en-US"/>
                          </w:rPr>
                          <w:t>, GRC</w:t>
                        </w:r>
                        <w:r w:rsidRPr="000C2855">
                          <w:rPr>
                            <w:rFonts w:ascii="Times New Roman" w:hAnsi="Times New Roman" w:cs="Times New Roman"/>
                            <w:sz w:val="16"/>
                            <w:szCs w:val="16"/>
                          </w:rPr>
                          <w:t>: Греція</w:t>
                        </w:r>
                        <w:r w:rsidRPr="000C2855">
                          <w:rPr>
                            <w:rFonts w:ascii="Times New Roman" w:hAnsi="Times New Roman" w:cs="Times New Roman"/>
                            <w:sz w:val="16"/>
                            <w:szCs w:val="16"/>
                            <w:lang w:val="en-US"/>
                          </w:rPr>
                          <w:t>, ARG</w:t>
                        </w:r>
                        <w:r w:rsidRPr="000C2855">
                          <w:rPr>
                            <w:rFonts w:ascii="Times New Roman" w:hAnsi="Times New Roman" w:cs="Times New Roman"/>
                            <w:sz w:val="16"/>
                            <w:szCs w:val="16"/>
                          </w:rPr>
                          <w:t>: Аргентина</w:t>
                        </w:r>
                        <w:r w:rsidRPr="000C2855">
                          <w:rPr>
                            <w:rFonts w:ascii="Times New Roman" w:hAnsi="Times New Roman" w:cs="Times New Roman"/>
                            <w:sz w:val="16"/>
                            <w:szCs w:val="16"/>
                            <w:lang w:val="en-US"/>
                          </w:rPr>
                          <w:t>, UKR</w:t>
                        </w:r>
                        <w:r w:rsidRPr="000C2855">
                          <w:rPr>
                            <w:rFonts w:ascii="Times New Roman" w:hAnsi="Times New Roman" w:cs="Times New Roman"/>
                            <w:sz w:val="16"/>
                            <w:szCs w:val="16"/>
                          </w:rPr>
                          <w:t>: Україна</w:t>
                        </w:r>
                        <w:r w:rsidRPr="000C2855">
                          <w:rPr>
                            <w:rFonts w:ascii="Times New Roman" w:hAnsi="Times New Roman" w:cs="Times New Roman"/>
                            <w:sz w:val="16"/>
                            <w:szCs w:val="16"/>
                            <w:lang w:val="en-US"/>
                          </w:rPr>
                          <w:t>, NGA</w:t>
                        </w:r>
                        <w:r w:rsidRPr="000C2855">
                          <w:rPr>
                            <w:rFonts w:ascii="Times New Roman" w:hAnsi="Times New Roman" w:cs="Times New Roman"/>
                            <w:sz w:val="16"/>
                            <w:szCs w:val="16"/>
                          </w:rPr>
                          <w:t>: Нігерія</w:t>
                        </w:r>
                      </w:p>
                    </w:txbxContent>
                  </v:textbox>
                </v:shape>
                <v:shape id="Picture 618" o:spid="_x0000_s1912" type="#_x0000_t75" style="position:absolute;left:2415;top:6930;width:7365;height:45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">
                  <v:imagedata r:id="rId60" o:title=""/>
                </v:shape>
                <w10:anchorlock/>
              </v:group>
            </w:pict>
          </mc:Fallback>
        </mc:AlternateContent>
      </w:r>
    </w:p>
    <w:p w:rsidR="00B233DE" w:rsidRPr="000C2855" w:rsidRDefault="00B233DE" w:rsidP="00B233DE">
      <w:pPr>
        <w:tabs>
          <w:tab w:val="left" w:pos="900"/>
        </w:tabs>
        <w:ind w:firstLine="709"/>
        <w:jc w:val="center"/>
        <w:rPr>
          <w:rFonts w:ascii="Times New Roman" w:hAnsi="Times New Roman" w:cs="Times New Roman"/>
          <w:b/>
          <w:sz w:val="21"/>
          <w:szCs w:val="21"/>
        </w:rPr>
      </w:pPr>
      <w:r w:rsidRPr="000C2855">
        <w:rPr>
          <w:rFonts w:ascii="Times New Roman" w:hAnsi="Times New Roman" w:cs="Times New Roman"/>
          <w:b/>
          <w:sz w:val="21"/>
          <w:szCs w:val="21"/>
        </w:rPr>
        <w:t>Рис. 4.9. Зв’язок між національною конкуренто</w:t>
      </w:r>
      <w:r>
        <w:rPr>
          <w:rFonts w:ascii="Times New Roman" w:hAnsi="Times New Roman" w:cs="Times New Roman"/>
          <w:b/>
          <w:sz w:val="21"/>
          <w:szCs w:val="21"/>
        </w:rPr>
        <w:t>-</w:t>
      </w:r>
      <w:r w:rsidRPr="000C2855">
        <w:rPr>
          <w:rFonts w:ascii="Times New Roman" w:hAnsi="Times New Roman" w:cs="Times New Roman"/>
          <w:b/>
          <w:sz w:val="21"/>
          <w:szCs w:val="21"/>
        </w:rPr>
        <w:t>спроможністю та здатністю залучати висококваліфікованих спеціалістів [</w:t>
      </w:r>
      <w:r>
        <w:rPr>
          <w:rStyle w:val="heading"/>
          <w:rFonts w:ascii="Times New Roman" w:hAnsi="Times New Roman" w:cs="Times New Roman"/>
          <w:sz w:val="21"/>
          <w:szCs w:val="21"/>
          <w:highlight w:val="yellow"/>
          <w:lang w:val="en-US"/>
        </w:rPr>
        <w:fldChar w:fldCharType="begin"/>
      </w:r>
      <w:r>
        <w:rPr>
          <w:rFonts w:ascii="Times New Roman" w:hAnsi="Times New Roman" w:cs="Times New Roman"/>
          <w:b/>
          <w:sz w:val="21"/>
          <w:szCs w:val="21"/>
        </w:rPr>
        <w:instrText xml:space="preserve"> REF _Ref435182634 \r \h </w:instrText>
      </w:r>
      <w:r>
        <w:rPr>
          <w:rStyle w:val="heading"/>
          <w:rFonts w:ascii="Times New Roman" w:hAnsi="Times New Roman" w:cs="Times New Roman"/>
          <w:sz w:val="21"/>
          <w:szCs w:val="21"/>
          <w:highlight w:val="yellow"/>
          <w:lang w:val="en-US"/>
        </w:rPr>
      </w:r>
      <w:r>
        <w:rPr>
          <w:rStyle w:val="heading"/>
          <w:rFonts w:ascii="Times New Roman" w:hAnsi="Times New Roman" w:cs="Times New Roman"/>
          <w:sz w:val="21"/>
          <w:szCs w:val="21"/>
          <w:highlight w:val="yellow"/>
          <w:lang w:val="en-US"/>
        </w:rPr>
        <w:fldChar w:fldCharType="separate"/>
      </w:r>
      <w:r>
        <w:rPr>
          <w:rFonts w:ascii="Times New Roman" w:hAnsi="Times New Roman" w:cs="Times New Roman"/>
          <w:b/>
          <w:sz w:val="21"/>
          <w:szCs w:val="21"/>
        </w:rPr>
        <w:t>101</w:t>
      </w:r>
      <w:r>
        <w:rPr>
          <w:rStyle w:val="heading"/>
          <w:rFonts w:ascii="Times New Roman" w:hAnsi="Times New Roman" w:cs="Times New Roman"/>
          <w:sz w:val="21"/>
          <w:szCs w:val="21"/>
          <w:highlight w:val="yellow"/>
          <w:lang w:val="en-US"/>
        </w:rPr>
        <w:fldChar w:fldCharType="end"/>
      </w:r>
      <w:r w:rsidRPr="000C2855">
        <w:rPr>
          <w:rFonts w:ascii="Times New Roman" w:hAnsi="Times New Roman" w:cs="Times New Roman"/>
          <w:b/>
          <w:sz w:val="21"/>
          <w:szCs w:val="21"/>
        </w:rPr>
        <w:t xml:space="preserve">, </w:t>
      </w:r>
      <w:r w:rsidRPr="000C2855">
        <w:rPr>
          <w:rFonts w:ascii="Times New Roman" w:hAnsi="Times New Roman" w:cs="Times New Roman"/>
          <w:b/>
          <w:sz w:val="21"/>
          <w:szCs w:val="21"/>
          <w:lang w:val="en-US"/>
        </w:rPr>
        <w:t>c</w:t>
      </w:r>
      <w:r w:rsidRPr="000C2855">
        <w:rPr>
          <w:rFonts w:ascii="Times New Roman" w:hAnsi="Times New Roman" w:cs="Times New Roman"/>
          <w:b/>
          <w:sz w:val="21"/>
          <w:szCs w:val="21"/>
        </w:rPr>
        <w:t>. 13]</w:t>
      </w:r>
    </w:p>
    <w:p w:rsidR="00B233DE" w:rsidRPr="00B02E20" w:rsidRDefault="00B233DE" w:rsidP="00B233DE">
      <w:pPr>
        <w:tabs>
          <w:tab w:val="left" w:pos="900"/>
        </w:tabs>
        <w:ind w:firstLine="709"/>
        <w:jc w:val="both"/>
        <w:rPr>
          <w:rFonts w:ascii="Times New Roman" w:hAnsi="Times New Roman" w:cs="Times New Roman"/>
          <w:spacing w:val="-2"/>
          <w:sz w:val="21"/>
          <w:szCs w:val="21"/>
        </w:rPr>
      </w:pPr>
    </w:p>
    <w:p w:rsidR="00B233DE" w:rsidRPr="00B02E20" w:rsidRDefault="00B233DE" w:rsidP="00B233DE">
      <w:pPr>
        <w:ind w:firstLine="709"/>
        <w:jc w:val="both"/>
        <w:rPr>
          <w:rFonts w:ascii="Times New Roman" w:hAnsi="Times New Roman" w:cs="Times New Roman"/>
          <w:spacing w:val="-6"/>
          <w:sz w:val="21"/>
          <w:szCs w:val="21"/>
        </w:rPr>
      </w:pPr>
      <w:r w:rsidRPr="00B02E20">
        <w:rPr>
          <w:rFonts w:ascii="Times New Roman" w:hAnsi="Times New Roman" w:cs="Times New Roman"/>
          <w:spacing w:val="-6"/>
          <w:sz w:val="21"/>
          <w:szCs w:val="21"/>
        </w:rPr>
        <w:t xml:space="preserve">Вдосконалення міграційної привабливості для залучення висококваліфікованих працівників є пріоритетом і для інших країн, хоча </w:t>
      </w:r>
      <w:r w:rsidRPr="00B02E20">
        <w:rPr>
          <w:rFonts w:ascii="Times New Roman" w:hAnsi="Times New Roman" w:cs="Times New Roman"/>
          <w:spacing w:val="-6"/>
          <w:sz w:val="21"/>
          <w:szCs w:val="21"/>
        </w:rPr>
        <w:lastRenderedPageBreak/>
        <w:t>вони характеризуються рі</w:t>
      </w:r>
      <w:r>
        <w:rPr>
          <w:rFonts w:ascii="Times New Roman" w:hAnsi="Times New Roman" w:cs="Times New Roman"/>
          <w:spacing w:val="-6"/>
          <w:sz w:val="21"/>
          <w:szCs w:val="21"/>
        </w:rPr>
        <w:t xml:space="preserve">зною успішністю у цьому процесі </w:t>
      </w:r>
      <w:r w:rsidRPr="00B02E20">
        <w:rPr>
          <w:rFonts w:ascii="Times New Roman" w:hAnsi="Times New Roman" w:cs="Times New Roman"/>
          <w:spacing w:val="-6"/>
          <w:sz w:val="21"/>
          <w:szCs w:val="21"/>
        </w:rPr>
        <w:t>[</w:t>
      </w:r>
      <w:r>
        <w:rPr>
          <w:rStyle w:val="heading"/>
          <w:rFonts w:ascii="Times New Roman" w:hAnsi="Times New Roman" w:cs="Times New Roman"/>
          <w:sz w:val="21"/>
          <w:szCs w:val="21"/>
          <w:highlight w:val="yellow"/>
          <w:lang w:val="en-US"/>
        </w:rPr>
        <w:fldChar w:fldCharType="begin"/>
      </w:r>
      <w:r>
        <w:rPr>
          <w:rFonts w:ascii="Times New Roman" w:hAnsi="Times New Roman" w:cs="Times New Roman"/>
          <w:spacing w:val="-6"/>
          <w:sz w:val="21"/>
          <w:szCs w:val="21"/>
        </w:rPr>
        <w:instrText xml:space="preserve"> REF _Ref435182634 \r \h </w:instrText>
      </w:r>
      <w:r>
        <w:rPr>
          <w:rStyle w:val="heading"/>
          <w:rFonts w:ascii="Times New Roman" w:hAnsi="Times New Roman" w:cs="Times New Roman"/>
          <w:sz w:val="21"/>
          <w:szCs w:val="21"/>
          <w:highlight w:val="yellow"/>
          <w:lang w:val="en-US"/>
        </w:rPr>
      </w:r>
      <w:r>
        <w:rPr>
          <w:rStyle w:val="heading"/>
          <w:rFonts w:ascii="Times New Roman" w:hAnsi="Times New Roman" w:cs="Times New Roman"/>
          <w:sz w:val="21"/>
          <w:szCs w:val="21"/>
          <w:highlight w:val="yellow"/>
          <w:lang w:val="en-US"/>
        </w:rPr>
        <w:fldChar w:fldCharType="separate"/>
      </w:r>
      <w:r>
        <w:rPr>
          <w:rFonts w:ascii="Times New Roman" w:hAnsi="Times New Roman" w:cs="Times New Roman"/>
          <w:spacing w:val="-6"/>
          <w:sz w:val="21"/>
          <w:szCs w:val="21"/>
        </w:rPr>
        <w:t>101</w:t>
      </w:r>
      <w:r>
        <w:rPr>
          <w:rStyle w:val="heading"/>
          <w:rFonts w:ascii="Times New Roman" w:hAnsi="Times New Roman" w:cs="Times New Roman"/>
          <w:sz w:val="21"/>
          <w:szCs w:val="21"/>
          <w:highlight w:val="yellow"/>
          <w:lang w:val="en-US"/>
        </w:rPr>
        <w:fldChar w:fldCharType="end"/>
      </w:r>
      <w:r w:rsidRPr="00B02E20">
        <w:rPr>
          <w:rFonts w:ascii="Times New Roman" w:hAnsi="Times New Roman" w:cs="Times New Roman"/>
          <w:spacing w:val="-6"/>
          <w:sz w:val="21"/>
          <w:szCs w:val="21"/>
        </w:rPr>
        <w:t xml:space="preserve">, </w:t>
      </w:r>
      <w:r w:rsidRPr="00B02E20">
        <w:rPr>
          <w:rFonts w:ascii="Times New Roman" w:hAnsi="Times New Roman" w:cs="Times New Roman"/>
          <w:spacing w:val="-6"/>
          <w:sz w:val="21"/>
          <w:szCs w:val="21"/>
          <w:lang w:val="en-US"/>
        </w:rPr>
        <w:t>c</w:t>
      </w:r>
      <w:r w:rsidRPr="00B02E20">
        <w:rPr>
          <w:rFonts w:ascii="Times New Roman" w:hAnsi="Times New Roman" w:cs="Times New Roman"/>
          <w:spacing w:val="-6"/>
          <w:sz w:val="21"/>
          <w:szCs w:val="21"/>
        </w:rPr>
        <w:t>. 20]. За останні роки завдяки високим темпам економічного зростання зросла міграційна привабливість Китаю. У 2010 році в країну спрямувались переселенці з Південної Кореї (121 тис. осіб), США (71 тис. осіб) та Японії (66 тис. осіб). Активна економічна діяльність Китаю в Африці призвела до збільшення міграційного потоку африканців, зайнятих у сфері торгівлі, у найбільш економічно розвинутий південний регіон КНР (близько 100 тис. у 2010 році) [</w:t>
      </w:r>
      <w:r>
        <w:rPr>
          <w:rFonts w:ascii="Times New Roman" w:hAnsi="Times New Roman" w:cs="Times New Roman"/>
          <w:sz w:val="21"/>
          <w:szCs w:val="21"/>
          <w:highlight w:val="yellow"/>
        </w:rPr>
        <w:fldChar w:fldCharType="begin"/>
      </w:r>
      <w:r>
        <w:rPr>
          <w:rFonts w:ascii="Times New Roman" w:hAnsi="Times New Roman" w:cs="Times New Roman"/>
          <w:spacing w:val="-6"/>
          <w:sz w:val="21"/>
          <w:szCs w:val="21"/>
        </w:rPr>
        <w:instrText xml:space="preserve"> REF _Ref435186733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pacing w:val="-6"/>
          <w:sz w:val="21"/>
          <w:szCs w:val="21"/>
        </w:rPr>
        <w:t>16</w:t>
      </w:r>
      <w:r>
        <w:rPr>
          <w:rFonts w:ascii="Times New Roman" w:hAnsi="Times New Roman" w:cs="Times New Roman"/>
          <w:sz w:val="21"/>
          <w:szCs w:val="21"/>
          <w:highlight w:val="yellow"/>
        </w:rPr>
        <w:fldChar w:fldCharType="end"/>
      </w:r>
      <w:r w:rsidRPr="00B02E20">
        <w:rPr>
          <w:rFonts w:ascii="Times New Roman" w:hAnsi="Times New Roman" w:cs="Times New Roman"/>
          <w:spacing w:val="-6"/>
          <w:sz w:val="21"/>
          <w:szCs w:val="21"/>
        </w:rPr>
        <w:t>].</w:t>
      </w:r>
    </w:p>
    <w:p w:rsidR="00B233DE" w:rsidRPr="00B02E20" w:rsidRDefault="00B233DE" w:rsidP="00B233DE">
      <w:pPr>
        <w:ind w:firstLine="709"/>
        <w:jc w:val="both"/>
        <w:rPr>
          <w:rFonts w:ascii="Times New Roman" w:hAnsi="Times New Roman" w:cs="Times New Roman"/>
          <w:spacing w:val="-4"/>
          <w:sz w:val="21"/>
          <w:szCs w:val="21"/>
        </w:rPr>
      </w:pPr>
      <w:r w:rsidRPr="00B02E20">
        <w:rPr>
          <w:rFonts w:ascii="Times New Roman" w:hAnsi="Times New Roman" w:cs="Times New Roman"/>
          <w:spacing w:val="-4"/>
          <w:sz w:val="21"/>
          <w:szCs w:val="21"/>
        </w:rPr>
        <w:t xml:space="preserve">Основою регулювання міжнародної міграції на сьогодні є міграційна політика країн. В більшості випадків міграційна політика має обмежуючий характер (ЄС), лише деякі країни застосовують заходи активного залучення іммігрантів (Австралія) або тимчасової зовнішньої зайнятості населення (Філіппіни). З метою виявлення найбільш ефективних інструментів і заходів міграційної політики, варто проаналізувати досвід країн у цій сфері. Аналіз тенденцій, особливостей та заходів міграційної політики регіонів з найбільш інтенсивними процесами міждержавної мобільності дає змогу визначити сильні і слабкі сторони, сприятливі можливості і потенційні загрози ефективного перерозподілу людського потенціалу (табл. </w:t>
      </w:r>
      <w:r>
        <w:rPr>
          <w:rFonts w:ascii="Times New Roman" w:hAnsi="Times New Roman" w:cs="Times New Roman"/>
          <w:spacing w:val="-4"/>
          <w:sz w:val="21"/>
          <w:szCs w:val="21"/>
        </w:rPr>
        <w:t>4.4</w:t>
      </w:r>
      <w:r w:rsidRPr="00B02E20">
        <w:rPr>
          <w:rFonts w:ascii="Times New Roman" w:hAnsi="Times New Roman" w:cs="Times New Roman"/>
          <w:spacing w:val="-4"/>
          <w:sz w:val="21"/>
          <w:szCs w:val="21"/>
        </w:rPr>
        <w:t>).</w:t>
      </w:r>
    </w:p>
    <w:p w:rsidR="00B233DE" w:rsidRPr="00B02E20" w:rsidRDefault="00B233DE" w:rsidP="00B233DE">
      <w:pPr>
        <w:ind w:firstLine="709"/>
        <w:jc w:val="both"/>
        <w:rPr>
          <w:rFonts w:ascii="Times New Roman" w:hAnsi="Times New Roman" w:cs="Times New Roman"/>
          <w:sz w:val="21"/>
          <w:szCs w:val="21"/>
        </w:rPr>
      </w:pPr>
      <w:r w:rsidRPr="00B02E20">
        <w:rPr>
          <w:rFonts w:ascii="Times New Roman" w:hAnsi="Times New Roman" w:cs="Times New Roman"/>
          <w:spacing w:val="-4"/>
          <w:sz w:val="21"/>
          <w:szCs w:val="21"/>
        </w:rPr>
        <w:t>Проведений аналіз, а також врахування міжнародного досвіду, дозволяє визначити найбільш доцільні та застосовні інструменти міграційного перерозподілу ЛП для подолання потенційних загроз і реалізації сприятливих можливостей та включити їх у систему формування людського потенціалу за рахунок міграції.</w:t>
      </w:r>
    </w:p>
    <w:p w:rsidR="00B233DE" w:rsidRPr="00A577B5" w:rsidRDefault="00B233DE" w:rsidP="00B233DE">
      <w:pPr>
        <w:ind w:firstLine="708"/>
        <w:jc w:val="both"/>
        <w:rPr>
          <w:rFonts w:ascii="Times New Roman" w:hAnsi="Times New Roman" w:cs="Times New Roman"/>
          <w:sz w:val="21"/>
          <w:szCs w:val="21"/>
        </w:rPr>
      </w:pPr>
      <w:r w:rsidRPr="0082483E">
        <w:rPr>
          <w:rFonts w:ascii="Times New Roman" w:hAnsi="Times New Roman" w:cs="Times New Roman"/>
          <w:spacing w:val="-2"/>
          <w:sz w:val="21"/>
          <w:szCs w:val="21"/>
        </w:rPr>
        <w:t xml:space="preserve">Отже, визначення загальних цілей керованого міграційного перерозподілу ЛП з попереднім аналізом його передумов та наслідків і </w:t>
      </w:r>
      <w:r w:rsidRPr="0082483E">
        <w:rPr>
          <w:rFonts w:ascii="Times New Roman" w:hAnsi="Times New Roman" w:cs="Times New Roman"/>
          <w:spacing w:val="-2"/>
          <w:sz w:val="21"/>
          <w:szCs w:val="21"/>
          <w:lang w:val="en-US"/>
        </w:rPr>
        <w:t>SWOT</w:t>
      </w:r>
      <w:r w:rsidRPr="0082483E">
        <w:rPr>
          <w:rFonts w:ascii="Times New Roman" w:hAnsi="Times New Roman" w:cs="Times New Roman"/>
          <w:spacing w:val="-2"/>
          <w:sz w:val="21"/>
          <w:szCs w:val="21"/>
        </w:rPr>
        <w:t xml:space="preserve"> – аналіз сучасного стану міграційного перерозподілу ЛП у міграційних центрах світу дозволяє побудувати систему формування людського потенціалу за рахунок міграції, де встановлюються і формалізуються причинно-наслідкові зв’язки між наслідками, цілями та інструментами міграційного перерозподілу ЛП (рис. </w:t>
      </w:r>
      <w:r>
        <w:rPr>
          <w:rFonts w:ascii="Times New Roman" w:hAnsi="Times New Roman" w:cs="Times New Roman"/>
          <w:spacing w:val="-2"/>
          <w:sz w:val="21"/>
          <w:szCs w:val="21"/>
        </w:rPr>
        <w:t>4</w:t>
      </w:r>
      <w:r w:rsidRPr="0082483E">
        <w:rPr>
          <w:rFonts w:ascii="Times New Roman" w:hAnsi="Times New Roman" w:cs="Times New Roman"/>
          <w:spacing w:val="-2"/>
          <w:sz w:val="21"/>
          <w:szCs w:val="21"/>
        </w:rPr>
        <w:t>.10).</w:t>
      </w:r>
    </w:p>
    <w:p w:rsidR="00B233DE" w:rsidRDefault="00B233DE" w:rsidP="00B233DE">
      <w:pPr>
        <w:ind w:firstLine="708"/>
        <w:jc w:val="both"/>
        <w:rPr>
          <w:rFonts w:ascii="Times New Roman" w:hAnsi="Times New Roman" w:cs="Times New Roman"/>
          <w:sz w:val="21"/>
          <w:szCs w:val="21"/>
        </w:rPr>
      </w:pPr>
      <w:r w:rsidRPr="0082483E">
        <w:rPr>
          <w:rFonts w:ascii="Times New Roman" w:hAnsi="Times New Roman" w:cs="Times New Roman"/>
          <w:sz w:val="21"/>
          <w:szCs w:val="21"/>
        </w:rPr>
        <w:t>Інструменти систематизуються відповідно до реалізації відповідної цілі та взаємодії між рівнями їх застосування в окремій країні.</w:t>
      </w:r>
    </w:p>
    <w:p w:rsidR="00B233DE" w:rsidRDefault="00B233DE" w:rsidP="00B233DE">
      <w:pPr>
        <w:ind w:firstLine="708"/>
        <w:jc w:val="both"/>
        <w:rPr>
          <w:rFonts w:ascii="Times New Roman" w:hAnsi="Times New Roman" w:cs="Times New Roman"/>
          <w:sz w:val="21"/>
          <w:szCs w:val="21"/>
        </w:rPr>
      </w:pPr>
      <w:r w:rsidRPr="0082483E">
        <w:rPr>
          <w:rFonts w:ascii="Times New Roman" w:hAnsi="Times New Roman" w:cs="Times New Roman"/>
          <w:sz w:val="21"/>
          <w:szCs w:val="21"/>
        </w:rPr>
        <w:t>1. Двосторонні угоди. Міжнародні дво- та багатосторонні угоди є засобом підтримки зв’язку між трудовою міграцією і розвитком людського потенціалу.</w:t>
      </w: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sectPr w:rsidR="00B233DE" w:rsidSect="0023489B">
          <w:pgSz w:w="8392" w:h="11907" w:code="11"/>
          <w:pgMar w:top="1134" w:right="1134" w:bottom="1134" w:left="1134" w:header="709" w:footer="709" w:gutter="0"/>
          <w:cols w:space="708"/>
          <w:docGrid w:linePitch="360"/>
        </w:sectPr>
      </w:pPr>
    </w:p>
    <w:p w:rsidR="00B233DE" w:rsidRPr="0082483E" w:rsidRDefault="00B233DE" w:rsidP="00B233DE">
      <w:pPr>
        <w:ind w:firstLine="709"/>
        <w:jc w:val="right"/>
        <w:rPr>
          <w:rFonts w:ascii="Times New Roman" w:hAnsi="Times New Roman" w:cs="Times New Roman"/>
          <w:sz w:val="21"/>
          <w:szCs w:val="21"/>
        </w:rPr>
      </w:pPr>
      <w:r w:rsidRPr="0082483E">
        <w:rPr>
          <w:rFonts w:ascii="Times New Roman" w:hAnsi="Times New Roman" w:cs="Times New Roman"/>
          <w:sz w:val="21"/>
          <w:szCs w:val="21"/>
        </w:rPr>
        <w:lastRenderedPageBreak/>
        <w:t xml:space="preserve">Таблиця </w:t>
      </w:r>
      <w:r>
        <w:rPr>
          <w:rFonts w:ascii="Times New Roman" w:hAnsi="Times New Roman" w:cs="Times New Roman"/>
          <w:sz w:val="21"/>
          <w:szCs w:val="21"/>
        </w:rPr>
        <w:t xml:space="preserve">4.4 </w:t>
      </w:r>
    </w:p>
    <w:p w:rsidR="00B233DE" w:rsidRPr="0082483E" w:rsidRDefault="00B233DE" w:rsidP="00B233DE">
      <w:pPr>
        <w:ind w:firstLine="709"/>
        <w:jc w:val="center"/>
        <w:rPr>
          <w:rFonts w:ascii="Times New Roman" w:hAnsi="Times New Roman" w:cs="Times New Roman"/>
          <w:sz w:val="21"/>
          <w:szCs w:val="21"/>
        </w:rPr>
      </w:pPr>
      <w:r w:rsidRPr="0082483E">
        <w:rPr>
          <w:rFonts w:ascii="Times New Roman" w:hAnsi="Times New Roman" w:cs="Times New Roman"/>
          <w:sz w:val="21"/>
          <w:szCs w:val="21"/>
          <w:lang w:val="en-US"/>
        </w:rPr>
        <w:t>SWOT</w:t>
      </w:r>
      <w:r w:rsidRPr="0082483E">
        <w:rPr>
          <w:rFonts w:ascii="Times New Roman" w:hAnsi="Times New Roman" w:cs="Times New Roman"/>
          <w:sz w:val="21"/>
          <w:szCs w:val="21"/>
        </w:rPr>
        <w:t xml:space="preserve"> – аналіз сучасного стану міграційного перерозподілу людського потенціалу у міграційних центрах світу [</w:t>
      </w:r>
      <w:r>
        <w:rPr>
          <w:rFonts w:ascii="Times New Roman" w:hAnsi="Times New Roman" w:cs="Times New Roman"/>
          <w:sz w:val="21"/>
          <w:szCs w:val="21"/>
          <w:highlight w:val="yellow"/>
          <w:lang w:val="en-GB"/>
        </w:rPr>
        <w:fldChar w:fldCharType="begin"/>
      </w:r>
      <w:r>
        <w:rPr>
          <w:rFonts w:ascii="Times New Roman" w:hAnsi="Times New Roman" w:cs="Times New Roman"/>
          <w:sz w:val="21"/>
          <w:szCs w:val="21"/>
        </w:rPr>
        <w:instrText xml:space="preserve"> REF _Ref435186742 \r \h </w:instrText>
      </w:r>
      <w:r>
        <w:rPr>
          <w:rFonts w:ascii="Times New Roman" w:hAnsi="Times New Roman" w:cs="Times New Roman"/>
          <w:sz w:val="21"/>
          <w:szCs w:val="21"/>
          <w:highlight w:val="yellow"/>
          <w:lang w:val="en-GB"/>
        </w:rPr>
      </w:r>
      <w:r>
        <w:rPr>
          <w:rFonts w:ascii="Times New Roman" w:hAnsi="Times New Roman" w:cs="Times New Roman"/>
          <w:sz w:val="21"/>
          <w:szCs w:val="21"/>
          <w:highlight w:val="yellow"/>
          <w:lang w:val="en-GB"/>
        </w:rPr>
        <w:fldChar w:fldCharType="separate"/>
      </w:r>
      <w:r>
        <w:rPr>
          <w:rFonts w:ascii="Times New Roman" w:hAnsi="Times New Roman" w:cs="Times New Roman"/>
          <w:sz w:val="21"/>
          <w:szCs w:val="21"/>
        </w:rPr>
        <w:t>94</w:t>
      </w:r>
      <w:r>
        <w:rPr>
          <w:rFonts w:ascii="Times New Roman" w:hAnsi="Times New Roman" w:cs="Times New Roman"/>
          <w:sz w:val="21"/>
          <w:szCs w:val="21"/>
          <w:highlight w:val="yellow"/>
          <w:lang w:val="en-GB"/>
        </w:rPr>
        <w:fldChar w:fldCharType="end"/>
      </w:r>
      <w:r w:rsidRPr="0082483E">
        <w:rPr>
          <w:rFonts w:ascii="Times New Roman" w:hAnsi="Times New Roman" w:cs="Times New Roman"/>
          <w:sz w:val="21"/>
          <w:szCs w:val="21"/>
        </w:rPr>
        <w:t xml:space="preserve">, </w:t>
      </w:r>
      <w:r>
        <w:rPr>
          <w:rStyle w:val="heading"/>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_Ref435182634 \r \h </w:instrText>
      </w:r>
      <w:r>
        <w:rPr>
          <w:rStyle w:val="heading"/>
          <w:rFonts w:ascii="Times New Roman" w:hAnsi="Times New Roman" w:cs="Times New Roman"/>
          <w:sz w:val="21"/>
          <w:szCs w:val="21"/>
          <w:highlight w:val="yellow"/>
          <w:lang w:val="en-US"/>
        </w:rPr>
      </w:r>
      <w:r>
        <w:rPr>
          <w:rStyle w:val="heading"/>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101</w:t>
      </w:r>
      <w:r>
        <w:rPr>
          <w:rStyle w:val="heading"/>
          <w:rFonts w:ascii="Times New Roman" w:hAnsi="Times New Roman" w:cs="Times New Roman"/>
          <w:sz w:val="21"/>
          <w:szCs w:val="21"/>
          <w:highlight w:val="yellow"/>
          <w:lang w:val="en-US"/>
        </w:rPr>
        <w:fldChar w:fldCharType="end"/>
      </w:r>
      <w:r w:rsidRPr="0082483E">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_Ref435186760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18</w:t>
      </w:r>
      <w:r>
        <w:rPr>
          <w:rFonts w:ascii="Times New Roman" w:hAnsi="Times New Roman" w:cs="Times New Roman"/>
          <w:sz w:val="21"/>
          <w:szCs w:val="21"/>
          <w:highlight w:val="yellow"/>
        </w:rPr>
        <w:fldChar w:fldCharType="end"/>
      </w:r>
      <w:r w:rsidRPr="0082483E">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_Ref435186452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49</w:t>
      </w:r>
      <w:r>
        <w:rPr>
          <w:rFonts w:ascii="Times New Roman" w:hAnsi="Times New Roman" w:cs="Times New Roman"/>
          <w:sz w:val="21"/>
          <w:szCs w:val="21"/>
          <w:highlight w:val="yellow"/>
        </w:rPr>
        <w:fldChar w:fldCharType="end"/>
      </w:r>
      <w:r w:rsidRPr="0082483E">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_Ref435186773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44</w:t>
      </w:r>
      <w:r>
        <w:rPr>
          <w:rFonts w:ascii="Times New Roman" w:hAnsi="Times New Roman" w:cs="Times New Roman"/>
          <w:sz w:val="21"/>
          <w:szCs w:val="21"/>
          <w:highlight w:val="yellow"/>
        </w:rPr>
        <w:fldChar w:fldCharType="end"/>
      </w:r>
      <w:r w:rsidRPr="0082483E">
        <w:rPr>
          <w:rFonts w:ascii="Times New Roman" w:hAnsi="Times New Roman" w:cs="Times New Roman"/>
          <w:sz w:val="21"/>
          <w:szCs w:val="21"/>
        </w:rPr>
        <w:t xml:space="preserve">, </w:t>
      </w:r>
      <w:r>
        <w:rPr>
          <w:rStyle w:val="HTML1"/>
          <w:rFonts w:ascii="Times New Roman" w:hAnsi="Times New Roman" w:cs="Times New Roman"/>
          <w:i w:val="0"/>
          <w:sz w:val="21"/>
          <w:szCs w:val="21"/>
          <w:highlight w:val="yellow"/>
          <w:lang w:val="en-US"/>
        </w:rPr>
        <w:fldChar w:fldCharType="begin"/>
      </w:r>
      <w:r>
        <w:rPr>
          <w:rFonts w:ascii="Times New Roman" w:hAnsi="Times New Roman" w:cs="Times New Roman"/>
          <w:sz w:val="21"/>
          <w:szCs w:val="21"/>
        </w:rPr>
        <w:instrText xml:space="preserve"> REF _Ref435186785 \r \h </w:instrText>
      </w:r>
      <w:r>
        <w:rPr>
          <w:rStyle w:val="HTML1"/>
          <w:rFonts w:ascii="Times New Roman" w:hAnsi="Times New Roman" w:cs="Times New Roman"/>
          <w:i w:val="0"/>
          <w:sz w:val="21"/>
          <w:szCs w:val="21"/>
          <w:highlight w:val="yellow"/>
          <w:lang w:val="en-US"/>
        </w:rPr>
      </w:r>
      <w:r>
        <w:rPr>
          <w:rStyle w:val="HTML1"/>
          <w:rFonts w:ascii="Times New Roman" w:hAnsi="Times New Roman" w:cs="Times New Roman"/>
          <w:i w:val="0"/>
          <w:sz w:val="21"/>
          <w:szCs w:val="21"/>
          <w:highlight w:val="yellow"/>
          <w:lang w:val="en-US"/>
        </w:rPr>
        <w:fldChar w:fldCharType="separate"/>
      </w:r>
      <w:r>
        <w:rPr>
          <w:rFonts w:ascii="Times New Roman" w:hAnsi="Times New Roman" w:cs="Times New Roman"/>
          <w:sz w:val="21"/>
          <w:szCs w:val="21"/>
        </w:rPr>
        <w:t>95</w:t>
      </w:r>
      <w:r>
        <w:rPr>
          <w:rStyle w:val="HTML1"/>
          <w:rFonts w:ascii="Times New Roman" w:hAnsi="Times New Roman" w:cs="Times New Roman"/>
          <w:i w:val="0"/>
          <w:sz w:val="21"/>
          <w:szCs w:val="21"/>
          <w:highlight w:val="yellow"/>
          <w:lang w:val="en-US"/>
        </w:rPr>
        <w:fldChar w:fldCharType="end"/>
      </w:r>
      <w:r w:rsidRPr="0082483E">
        <w:rPr>
          <w:rFonts w:ascii="Times New Roman" w:hAnsi="Times New Roman" w:cs="Times New Roman"/>
          <w:sz w:val="21"/>
          <w:szCs w:val="21"/>
        </w:rPr>
        <w:t xml:space="preserve">, </w:t>
      </w:r>
      <w:r>
        <w:rPr>
          <w:rFonts w:ascii="Times New Roman" w:hAnsi="Times New Roman" w:cs="Times New Roman"/>
          <w:sz w:val="21"/>
          <w:szCs w:val="21"/>
          <w:highlight w:val="yellow"/>
          <w:lang w:val="en-GB"/>
        </w:rPr>
        <w:fldChar w:fldCharType="begin"/>
      </w:r>
      <w:r>
        <w:rPr>
          <w:rFonts w:ascii="Times New Roman" w:hAnsi="Times New Roman" w:cs="Times New Roman"/>
          <w:sz w:val="21"/>
          <w:szCs w:val="21"/>
        </w:rPr>
        <w:instrText xml:space="preserve"> REF _Ref435182515 \r \h </w:instrText>
      </w:r>
      <w:r>
        <w:rPr>
          <w:rFonts w:ascii="Times New Roman" w:hAnsi="Times New Roman" w:cs="Times New Roman"/>
          <w:sz w:val="21"/>
          <w:szCs w:val="21"/>
          <w:highlight w:val="yellow"/>
          <w:lang w:val="en-GB"/>
        </w:rPr>
      </w:r>
      <w:r>
        <w:rPr>
          <w:rFonts w:ascii="Times New Roman" w:hAnsi="Times New Roman" w:cs="Times New Roman"/>
          <w:sz w:val="21"/>
          <w:szCs w:val="21"/>
          <w:highlight w:val="yellow"/>
          <w:lang w:val="en-GB"/>
        </w:rPr>
        <w:fldChar w:fldCharType="separate"/>
      </w:r>
      <w:r>
        <w:rPr>
          <w:rFonts w:ascii="Times New Roman" w:hAnsi="Times New Roman" w:cs="Times New Roman"/>
          <w:sz w:val="21"/>
          <w:szCs w:val="21"/>
        </w:rPr>
        <w:t>78</w:t>
      </w:r>
      <w:r>
        <w:rPr>
          <w:rFonts w:ascii="Times New Roman" w:hAnsi="Times New Roman" w:cs="Times New Roman"/>
          <w:sz w:val="21"/>
          <w:szCs w:val="21"/>
          <w:highlight w:val="yellow"/>
          <w:lang w:val="en-GB"/>
        </w:rPr>
        <w:fldChar w:fldCharType="end"/>
      </w:r>
      <w:r w:rsidRPr="0082483E">
        <w:rPr>
          <w:rFonts w:ascii="Times New Roman" w:hAnsi="Times New Roman" w:cs="Times New Roman"/>
          <w:sz w:val="21"/>
          <w:szCs w:val="21"/>
        </w:rPr>
        <w:t xml:space="preserve">, </w:t>
      </w:r>
      <w:r>
        <w:rPr>
          <w:rFonts w:ascii="Times New Roman" w:hAnsi="Times New Roman" w:cs="Times New Roman"/>
          <w:bCs/>
          <w:sz w:val="21"/>
          <w:szCs w:val="21"/>
          <w:highlight w:val="yellow"/>
        </w:rPr>
        <w:fldChar w:fldCharType="begin"/>
      </w:r>
      <w:r>
        <w:rPr>
          <w:rFonts w:ascii="Times New Roman" w:hAnsi="Times New Roman" w:cs="Times New Roman"/>
          <w:sz w:val="21"/>
          <w:szCs w:val="21"/>
        </w:rPr>
        <w:instrText xml:space="preserve"> REF _Ref435182370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z w:val="21"/>
          <w:szCs w:val="21"/>
        </w:rPr>
        <w:t>7</w:t>
      </w:r>
      <w:r>
        <w:rPr>
          <w:rFonts w:ascii="Times New Roman" w:hAnsi="Times New Roman" w:cs="Times New Roman"/>
          <w:bCs/>
          <w:sz w:val="21"/>
          <w:szCs w:val="21"/>
          <w:highlight w:val="yellow"/>
        </w:rPr>
        <w:fldChar w:fldCharType="end"/>
      </w:r>
      <w:r w:rsidRPr="0082483E">
        <w:rPr>
          <w:rFonts w:ascii="Times New Roman" w:hAnsi="Times New Roman" w:cs="Times New Roman"/>
          <w:sz w:val="21"/>
          <w:szCs w:val="21"/>
        </w:rPr>
        <w:t xml:space="preserve">, </w:t>
      </w:r>
      <w:r>
        <w:rPr>
          <w:rFonts w:ascii="Times New Roman" w:hAnsi="Times New Roman" w:cs="Times New Roman"/>
          <w:spacing w:val="-8"/>
          <w:sz w:val="21"/>
          <w:szCs w:val="21"/>
          <w:highlight w:val="yellow"/>
          <w:lang w:val="en-GB"/>
        </w:rPr>
        <w:fldChar w:fldCharType="begin"/>
      </w:r>
      <w:r>
        <w:rPr>
          <w:rFonts w:ascii="Times New Roman" w:hAnsi="Times New Roman" w:cs="Times New Roman"/>
          <w:sz w:val="21"/>
          <w:szCs w:val="21"/>
        </w:rPr>
        <w:instrText xml:space="preserve"> REF _Ref435182570 \r \h </w:instrText>
      </w:r>
      <w:r>
        <w:rPr>
          <w:rFonts w:ascii="Times New Roman" w:hAnsi="Times New Roman" w:cs="Times New Roman"/>
          <w:spacing w:val="-8"/>
          <w:sz w:val="21"/>
          <w:szCs w:val="21"/>
          <w:highlight w:val="yellow"/>
          <w:lang w:val="en-GB"/>
        </w:rPr>
      </w:r>
      <w:r>
        <w:rPr>
          <w:rFonts w:ascii="Times New Roman" w:hAnsi="Times New Roman" w:cs="Times New Roman"/>
          <w:spacing w:val="-8"/>
          <w:sz w:val="21"/>
          <w:szCs w:val="21"/>
          <w:highlight w:val="yellow"/>
          <w:lang w:val="en-GB"/>
        </w:rPr>
        <w:fldChar w:fldCharType="separate"/>
      </w:r>
      <w:r>
        <w:rPr>
          <w:rFonts w:ascii="Times New Roman" w:hAnsi="Times New Roman" w:cs="Times New Roman"/>
          <w:sz w:val="21"/>
          <w:szCs w:val="21"/>
        </w:rPr>
        <w:t>85</w:t>
      </w:r>
      <w:r>
        <w:rPr>
          <w:rFonts w:ascii="Times New Roman" w:hAnsi="Times New Roman" w:cs="Times New Roman"/>
          <w:spacing w:val="-8"/>
          <w:sz w:val="21"/>
          <w:szCs w:val="21"/>
          <w:highlight w:val="yellow"/>
          <w:lang w:val="en-GB"/>
        </w:rPr>
        <w:fldChar w:fldCharType="end"/>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1559"/>
        <w:gridCol w:w="851"/>
        <w:gridCol w:w="2363"/>
        <w:gridCol w:w="1340"/>
        <w:gridCol w:w="1543"/>
        <w:gridCol w:w="1274"/>
      </w:tblGrid>
      <w:tr w:rsidR="00B233DE" w:rsidRPr="00B000BE" w:rsidTr="0023489B">
        <w:tc>
          <w:tcPr>
            <w:tcW w:w="709" w:type="dxa"/>
            <w:vAlign w:val="center"/>
          </w:tcPr>
          <w:p w:rsidR="00B233DE" w:rsidRPr="0082483E" w:rsidRDefault="00B233DE" w:rsidP="0023489B">
            <w:pPr>
              <w:ind w:left="-108" w:right="-108" w:firstLine="0"/>
              <w:jc w:val="center"/>
              <w:rPr>
                <w:rFonts w:ascii="Times New Roman" w:hAnsi="Times New Roman" w:cs="Times New Roman"/>
                <w:sz w:val="14"/>
                <w:szCs w:val="14"/>
              </w:rPr>
            </w:pPr>
            <w:r w:rsidRPr="0082483E">
              <w:rPr>
                <w:rFonts w:ascii="Times New Roman" w:hAnsi="Times New Roman" w:cs="Times New Roman"/>
                <w:sz w:val="14"/>
                <w:szCs w:val="14"/>
              </w:rPr>
              <w:t>Регіон</w:t>
            </w:r>
          </w:p>
        </w:tc>
        <w:tc>
          <w:tcPr>
            <w:tcW w:w="1559" w:type="dxa"/>
            <w:vAlign w:val="center"/>
          </w:tcPr>
          <w:p w:rsidR="00B233DE" w:rsidRPr="0082483E" w:rsidRDefault="00B233DE" w:rsidP="0023489B">
            <w:pPr>
              <w:ind w:left="-108" w:right="-108" w:firstLine="0"/>
              <w:jc w:val="center"/>
              <w:rPr>
                <w:rFonts w:ascii="Times New Roman" w:hAnsi="Times New Roman" w:cs="Times New Roman"/>
                <w:sz w:val="14"/>
                <w:szCs w:val="14"/>
              </w:rPr>
            </w:pPr>
            <w:r w:rsidRPr="0082483E">
              <w:rPr>
                <w:rFonts w:ascii="Times New Roman" w:hAnsi="Times New Roman" w:cs="Times New Roman"/>
                <w:sz w:val="14"/>
                <w:szCs w:val="14"/>
              </w:rPr>
              <w:t>Тенденції та особ</w:t>
            </w:r>
            <w:r>
              <w:rPr>
                <w:rFonts w:ascii="Times New Roman" w:hAnsi="Times New Roman" w:cs="Times New Roman"/>
                <w:sz w:val="14"/>
                <w:szCs w:val="14"/>
              </w:rPr>
              <w:t>-</w:t>
            </w:r>
            <w:r w:rsidRPr="0082483E">
              <w:rPr>
                <w:rFonts w:ascii="Times New Roman" w:hAnsi="Times New Roman" w:cs="Times New Roman"/>
                <w:sz w:val="14"/>
                <w:szCs w:val="14"/>
              </w:rPr>
              <w:t>ливості міграційного перерозподілу у регіоні</w:t>
            </w:r>
          </w:p>
        </w:tc>
        <w:tc>
          <w:tcPr>
            <w:tcW w:w="851" w:type="dxa"/>
            <w:vAlign w:val="center"/>
          </w:tcPr>
          <w:p w:rsidR="00B233DE" w:rsidRPr="0082483E" w:rsidRDefault="00B233DE" w:rsidP="0023489B">
            <w:pPr>
              <w:ind w:left="-108" w:right="-108" w:firstLine="0"/>
              <w:jc w:val="center"/>
              <w:rPr>
                <w:rFonts w:ascii="Times New Roman" w:hAnsi="Times New Roman" w:cs="Times New Roman"/>
                <w:sz w:val="14"/>
                <w:szCs w:val="14"/>
              </w:rPr>
            </w:pPr>
            <w:r w:rsidRPr="0082483E">
              <w:rPr>
                <w:rFonts w:ascii="Times New Roman" w:hAnsi="Times New Roman" w:cs="Times New Roman"/>
                <w:sz w:val="14"/>
                <w:szCs w:val="14"/>
              </w:rPr>
              <w:t>Країна</w:t>
            </w:r>
          </w:p>
        </w:tc>
        <w:tc>
          <w:tcPr>
            <w:tcW w:w="2363" w:type="dxa"/>
            <w:vAlign w:val="center"/>
          </w:tcPr>
          <w:p w:rsidR="00B233DE" w:rsidRPr="0082483E" w:rsidRDefault="00B233DE" w:rsidP="0023489B">
            <w:pPr>
              <w:ind w:left="-108" w:right="-108" w:firstLine="0"/>
              <w:jc w:val="center"/>
              <w:rPr>
                <w:rFonts w:ascii="Times New Roman" w:hAnsi="Times New Roman" w:cs="Times New Roman"/>
                <w:sz w:val="14"/>
                <w:szCs w:val="14"/>
              </w:rPr>
            </w:pPr>
            <w:r w:rsidRPr="0082483E">
              <w:rPr>
                <w:rFonts w:ascii="Times New Roman" w:hAnsi="Times New Roman" w:cs="Times New Roman"/>
                <w:sz w:val="14"/>
                <w:szCs w:val="14"/>
              </w:rPr>
              <w:t>Сильні сторони</w:t>
            </w:r>
          </w:p>
        </w:tc>
        <w:tc>
          <w:tcPr>
            <w:tcW w:w="1340" w:type="dxa"/>
            <w:vAlign w:val="center"/>
          </w:tcPr>
          <w:p w:rsidR="00B233DE" w:rsidRPr="0082483E" w:rsidRDefault="00B233DE" w:rsidP="0023489B">
            <w:pPr>
              <w:ind w:left="-108" w:right="-108" w:firstLine="0"/>
              <w:jc w:val="center"/>
              <w:rPr>
                <w:rFonts w:ascii="Times New Roman" w:hAnsi="Times New Roman" w:cs="Times New Roman"/>
                <w:sz w:val="14"/>
                <w:szCs w:val="14"/>
              </w:rPr>
            </w:pPr>
            <w:r w:rsidRPr="0082483E">
              <w:rPr>
                <w:rFonts w:ascii="Times New Roman" w:hAnsi="Times New Roman" w:cs="Times New Roman"/>
                <w:sz w:val="14"/>
                <w:szCs w:val="14"/>
              </w:rPr>
              <w:t>Слабкі сторони</w:t>
            </w:r>
          </w:p>
        </w:tc>
        <w:tc>
          <w:tcPr>
            <w:tcW w:w="1543" w:type="dxa"/>
            <w:vAlign w:val="center"/>
          </w:tcPr>
          <w:p w:rsidR="00B233DE" w:rsidRPr="0082483E" w:rsidRDefault="00B233DE" w:rsidP="0023489B">
            <w:pPr>
              <w:ind w:left="-108" w:right="-108" w:firstLine="0"/>
              <w:jc w:val="center"/>
              <w:rPr>
                <w:rFonts w:ascii="Times New Roman" w:hAnsi="Times New Roman" w:cs="Times New Roman"/>
                <w:sz w:val="14"/>
                <w:szCs w:val="14"/>
              </w:rPr>
            </w:pPr>
            <w:r w:rsidRPr="0082483E">
              <w:rPr>
                <w:rFonts w:ascii="Times New Roman" w:hAnsi="Times New Roman" w:cs="Times New Roman"/>
                <w:sz w:val="14"/>
                <w:szCs w:val="14"/>
              </w:rPr>
              <w:t>Можливості</w:t>
            </w:r>
          </w:p>
        </w:tc>
        <w:tc>
          <w:tcPr>
            <w:tcW w:w="1274" w:type="dxa"/>
            <w:vAlign w:val="center"/>
          </w:tcPr>
          <w:p w:rsidR="00B233DE" w:rsidRPr="0082483E" w:rsidRDefault="00B233DE" w:rsidP="0023489B">
            <w:pPr>
              <w:ind w:left="-108" w:right="-108" w:firstLine="0"/>
              <w:jc w:val="center"/>
              <w:rPr>
                <w:rFonts w:ascii="Times New Roman" w:hAnsi="Times New Roman" w:cs="Times New Roman"/>
                <w:sz w:val="14"/>
                <w:szCs w:val="14"/>
              </w:rPr>
            </w:pPr>
            <w:r w:rsidRPr="0082483E">
              <w:rPr>
                <w:rFonts w:ascii="Times New Roman" w:hAnsi="Times New Roman" w:cs="Times New Roman"/>
                <w:sz w:val="14"/>
                <w:szCs w:val="14"/>
              </w:rPr>
              <w:t>Загрози</w:t>
            </w:r>
          </w:p>
        </w:tc>
      </w:tr>
      <w:tr w:rsidR="00B233DE" w:rsidRPr="00B000BE" w:rsidTr="0023489B">
        <w:trPr>
          <w:trHeight w:hRule="exact" w:val="210"/>
        </w:trPr>
        <w:tc>
          <w:tcPr>
            <w:tcW w:w="709" w:type="dxa"/>
            <w:vAlign w:val="center"/>
          </w:tcPr>
          <w:p w:rsidR="00B233DE" w:rsidRPr="0082483E" w:rsidRDefault="00B233DE" w:rsidP="0023489B">
            <w:pPr>
              <w:spacing w:after="200" w:line="276" w:lineRule="auto"/>
              <w:ind w:firstLine="0"/>
              <w:jc w:val="center"/>
              <w:rPr>
                <w:rFonts w:ascii="Times New Roman" w:hAnsi="Times New Roman" w:cs="Times New Roman"/>
                <w:sz w:val="14"/>
                <w:szCs w:val="14"/>
              </w:rPr>
            </w:pPr>
            <w:r w:rsidRPr="0082483E">
              <w:rPr>
                <w:rFonts w:ascii="Times New Roman" w:hAnsi="Times New Roman" w:cs="Times New Roman"/>
                <w:sz w:val="14"/>
                <w:szCs w:val="14"/>
              </w:rPr>
              <w:t>1</w:t>
            </w:r>
          </w:p>
        </w:tc>
        <w:tc>
          <w:tcPr>
            <w:tcW w:w="1559" w:type="dxa"/>
            <w:vAlign w:val="center"/>
          </w:tcPr>
          <w:p w:rsidR="00B233DE" w:rsidRPr="0082483E" w:rsidRDefault="00B233DE" w:rsidP="0023489B">
            <w:pPr>
              <w:spacing w:after="200" w:line="276" w:lineRule="auto"/>
              <w:ind w:firstLine="0"/>
              <w:jc w:val="center"/>
              <w:rPr>
                <w:rFonts w:ascii="Times New Roman" w:hAnsi="Times New Roman" w:cs="Times New Roman"/>
                <w:sz w:val="14"/>
                <w:szCs w:val="14"/>
              </w:rPr>
            </w:pPr>
            <w:r w:rsidRPr="0082483E">
              <w:rPr>
                <w:rFonts w:ascii="Times New Roman" w:hAnsi="Times New Roman" w:cs="Times New Roman"/>
                <w:sz w:val="14"/>
                <w:szCs w:val="14"/>
              </w:rPr>
              <w:t>2</w:t>
            </w:r>
          </w:p>
        </w:tc>
        <w:tc>
          <w:tcPr>
            <w:tcW w:w="851" w:type="dxa"/>
            <w:vAlign w:val="center"/>
          </w:tcPr>
          <w:p w:rsidR="00B233DE" w:rsidRPr="0082483E" w:rsidRDefault="00B233DE" w:rsidP="0023489B">
            <w:pPr>
              <w:spacing w:after="200" w:line="276" w:lineRule="auto"/>
              <w:ind w:firstLine="0"/>
              <w:jc w:val="center"/>
              <w:rPr>
                <w:rFonts w:ascii="Times New Roman" w:hAnsi="Times New Roman" w:cs="Times New Roman"/>
                <w:sz w:val="14"/>
                <w:szCs w:val="14"/>
              </w:rPr>
            </w:pPr>
            <w:r w:rsidRPr="0082483E">
              <w:rPr>
                <w:rFonts w:ascii="Times New Roman" w:hAnsi="Times New Roman" w:cs="Times New Roman"/>
                <w:sz w:val="14"/>
                <w:szCs w:val="14"/>
              </w:rPr>
              <w:t>3</w:t>
            </w:r>
          </w:p>
        </w:tc>
        <w:tc>
          <w:tcPr>
            <w:tcW w:w="2363" w:type="dxa"/>
            <w:vAlign w:val="center"/>
          </w:tcPr>
          <w:p w:rsidR="00B233DE" w:rsidRPr="0082483E" w:rsidRDefault="00B233DE" w:rsidP="0023489B">
            <w:pPr>
              <w:spacing w:after="200" w:line="276" w:lineRule="auto"/>
              <w:ind w:firstLine="0"/>
              <w:jc w:val="center"/>
              <w:rPr>
                <w:rFonts w:ascii="Times New Roman" w:hAnsi="Times New Roman" w:cs="Times New Roman"/>
                <w:sz w:val="14"/>
                <w:szCs w:val="14"/>
              </w:rPr>
            </w:pPr>
            <w:r w:rsidRPr="0082483E">
              <w:rPr>
                <w:rFonts w:ascii="Times New Roman" w:hAnsi="Times New Roman" w:cs="Times New Roman"/>
                <w:sz w:val="14"/>
                <w:szCs w:val="14"/>
              </w:rPr>
              <w:t>4</w:t>
            </w:r>
          </w:p>
        </w:tc>
        <w:tc>
          <w:tcPr>
            <w:tcW w:w="1340" w:type="dxa"/>
            <w:vAlign w:val="center"/>
          </w:tcPr>
          <w:p w:rsidR="00B233DE" w:rsidRPr="0082483E" w:rsidRDefault="00B233DE" w:rsidP="0023489B">
            <w:pPr>
              <w:spacing w:after="200" w:line="276" w:lineRule="auto"/>
              <w:ind w:firstLine="0"/>
              <w:jc w:val="center"/>
              <w:rPr>
                <w:rFonts w:ascii="Times New Roman" w:hAnsi="Times New Roman" w:cs="Times New Roman"/>
                <w:sz w:val="14"/>
                <w:szCs w:val="14"/>
              </w:rPr>
            </w:pPr>
            <w:r w:rsidRPr="0082483E">
              <w:rPr>
                <w:rFonts w:ascii="Times New Roman" w:hAnsi="Times New Roman" w:cs="Times New Roman"/>
                <w:sz w:val="14"/>
                <w:szCs w:val="14"/>
              </w:rPr>
              <w:t>5</w:t>
            </w:r>
          </w:p>
        </w:tc>
        <w:tc>
          <w:tcPr>
            <w:tcW w:w="1543" w:type="dxa"/>
            <w:vAlign w:val="center"/>
          </w:tcPr>
          <w:p w:rsidR="00B233DE" w:rsidRPr="0082483E" w:rsidRDefault="00B233DE" w:rsidP="0023489B">
            <w:pPr>
              <w:spacing w:after="200" w:line="276" w:lineRule="auto"/>
              <w:ind w:firstLine="0"/>
              <w:jc w:val="center"/>
              <w:rPr>
                <w:rFonts w:ascii="Times New Roman" w:hAnsi="Times New Roman" w:cs="Times New Roman"/>
                <w:sz w:val="14"/>
                <w:szCs w:val="14"/>
              </w:rPr>
            </w:pPr>
            <w:r w:rsidRPr="0082483E">
              <w:rPr>
                <w:rFonts w:ascii="Times New Roman" w:hAnsi="Times New Roman" w:cs="Times New Roman"/>
                <w:sz w:val="14"/>
                <w:szCs w:val="14"/>
              </w:rPr>
              <w:t>6</w:t>
            </w:r>
          </w:p>
        </w:tc>
        <w:tc>
          <w:tcPr>
            <w:tcW w:w="1274" w:type="dxa"/>
            <w:vAlign w:val="center"/>
          </w:tcPr>
          <w:p w:rsidR="00B233DE" w:rsidRPr="0082483E" w:rsidRDefault="00B233DE" w:rsidP="0023489B">
            <w:pPr>
              <w:spacing w:after="200" w:line="276" w:lineRule="auto"/>
              <w:jc w:val="center"/>
              <w:rPr>
                <w:rFonts w:ascii="Times New Roman" w:hAnsi="Times New Roman" w:cs="Times New Roman"/>
                <w:sz w:val="14"/>
                <w:szCs w:val="14"/>
              </w:rPr>
            </w:pPr>
            <w:r w:rsidRPr="0082483E">
              <w:rPr>
                <w:rFonts w:ascii="Times New Roman" w:hAnsi="Times New Roman" w:cs="Times New Roman"/>
                <w:sz w:val="14"/>
                <w:szCs w:val="14"/>
              </w:rPr>
              <w:t>7</w:t>
            </w:r>
          </w:p>
        </w:tc>
      </w:tr>
      <w:tr w:rsidR="00B233DE" w:rsidRPr="00B000BE" w:rsidTr="0023489B">
        <w:tc>
          <w:tcPr>
            <w:tcW w:w="709" w:type="dxa"/>
          </w:tcPr>
          <w:p w:rsidR="00B233DE" w:rsidRPr="0082483E" w:rsidRDefault="00B233DE" w:rsidP="0023489B">
            <w:pPr>
              <w:ind w:left="-108" w:right="-108" w:firstLine="0"/>
              <w:jc w:val="center"/>
              <w:rPr>
                <w:rFonts w:ascii="Times New Roman" w:hAnsi="Times New Roman" w:cs="Times New Roman"/>
                <w:sz w:val="14"/>
                <w:szCs w:val="14"/>
              </w:rPr>
            </w:pPr>
            <w:r w:rsidRPr="0082483E">
              <w:rPr>
                <w:rFonts w:ascii="Times New Roman" w:hAnsi="Times New Roman" w:cs="Times New Roman"/>
                <w:sz w:val="14"/>
                <w:szCs w:val="14"/>
              </w:rPr>
              <w:t>Північна Америка</w:t>
            </w:r>
          </w:p>
        </w:tc>
        <w:tc>
          <w:tcPr>
            <w:tcW w:w="1559" w:type="dxa"/>
          </w:tcPr>
          <w:p w:rsidR="00B233DE" w:rsidRPr="0082483E" w:rsidRDefault="00B233DE" w:rsidP="0023489B">
            <w:pPr>
              <w:ind w:left="-108" w:right="-108" w:firstLine="0"/>
              <w:jc w:val="both"/>
              <w:rPr>
                <w:rFonts w:ascii="Times New Roman" w:hAnsi="Times New Roman" w:cs="Times New Roman"/>
                <w:sz w:val="14"/>
                <w:szCs w:val="14"/>
              </w:rPr>
            </w:pPr>
            <w:r w:rsidRPr="00FF6F3E">
              <w:rPr>
                <w:rFonts w:ascii="Times New Roman" w:hAnsi="Times New Roman" w:cs="Times New Roman"/>
                <w:spacing w:val="-6"/>
                <w:sz w:val="14"/>
                <w:szCs w:val="14"/>
              </w:rPr>
              <w:t>На 2010 рік 50 млн мігран</w:t>
            </w:r>
            <w:r>
              <w:rPr>
                <w:rFonts w:ascii="Times New Roman" w:hAnsi="Times New Roman" w:cs="Times New Roman"/>
                <w:spacing w:val="-6"/>
                <w:sz w:val="14"/>
                <w:szCs w:val="14"/>
              </w:rPr>
              <w:t>-</w:t>
            </w:r>
            <w:r w:rsidRPr="00FF6F3E">
              <w:rPr>
                <w:rFonts w:ascii="Times New Roman" w:hAnsi="Times New Roman" w:cs="Times New Roman"/>
                <w:spacing w:val="-6"/>
                <w:sz w:val="14"/>
                <w:szCs w:val="14"/>
              </w:rPr>
              <w:t>тів, з них США – 42,8 млн, Канада – 7,2 млн.</w:t>
            </w:r>
            <w:r w:rsidRPr="0082483E">
              <w:rPr>
                <w:rFonts w:ascii="Times New Roman" w:hAnsi="Times New Roman" w:cs="Times New Roman"/>
                <w:sz w:val="14"/>
                <w:szCs w:val="14"/>
              </w:rPr>
              <w:t xml:space="preserve"> Іммігра</w:t>
            </w:r>
            <w:r>
              <w:rPr>
                <w:rFonts w:ascii="Times New Roman" w:hAnsi="Times New Roman" w:cs="Times New Roman"/>
                <w:sz w:val="14"/>
                <w:szCs w:val="14"/>
              </w:rPr>
              <w:t>-</w:t>
            </w:r>
            <w:r w:rsidRPr="00FF6F3E">
              <w:rPr>
                <w:rFonts w:ascii="Times New Roman" w:hAnsi="Times New Roman" w:cs="Times New Roman"/>
                <w:spacing w:val="-6"/>
                <w:sz w:val="14"/>
                <w:szCs w:val="14"/>
              </w:rPr>
              <w:t>ція значно перевищує емі-</w:t>
            </w:r>
            <w:r w:rsidRPr="0082483E">
              <w:rPr>
                <w:rFonts w:ascii="Times New Roman" w:hAnsi="Times New Roman" w:cs="Times New Roman"/>
                <w:sz w:val="14"/>
                <w:szCs w:val="14"/>
              </w:rPr>
              <w:t>грацію. США – найбіль</w:t>
            </w:r>
            <w:r>
              <w:rPr>
                <w:rFonts w:ascii="Times New Roman" w:hAnsi="Times New Roman" w:cs="Times New Roman"/>
                <w:sz w:val="14"/>
                <w:szCs w:val="14"/>
              </w:rPr>
              <w:t>-</w:t>
            </w:r>
            <w:r w:rsidRPr="0082483E">
              <w:rPr>
                <w:rFonts w:ascii="Times New Roman" w:hAnsi="Times New Roman" w:cs="Times New Roman"/>
                <w:sz w:val="14"/>
                <w:szCs w:val="14"/>
              </w:rPr>
              <w:t xml:space="preserve">ша країна призначення </w:t>
            </w:r>
            <w:r w:rsidRPr="00FF6F3E">
              <w:rPr>
                <w:rFonts w:ascii="Times New Roman" w:hAnsi="Times New Roman" w:cs="Times New Roman"/>
                <w:spacing w:val="-6"/>
                <w:sz w:val="14"/>
                <w:szCs w:val="14"/>
              </w:rPr>
              <w:t>світу, залучає п’яту части-ну світових мігрантів. США</w:t>
            </w:r>
            <w:r w:rsidRPr="0082483E">
              <w:rPr>
                <w:rFonts w:ascii="Times New Roman" w:hAnsi="Times New Roman" w:cs="Times New Roman"/>
                <w:sz w:val="14"/>
                <w:szCs w:val="14"/>
              </w:rPr>
              <w:t xml:space="preserve"> є джерелом 17</w:t>
            </w:r>
            <w:r>
              <w:rPr>
                <w:rFonts w:ascii="Times New Roman" w:hAnsi="Times New Roman" w:cs="Times New Roman"/>
                <w:sz w:val="14"/>
                <w:szCs w:val="14"/>
              </w:rPr>
              <w:t> </w:t>
            </w:r>
            <w:r w:rsidRPr="0082483E">
              <w:rPr>
                <w:rFonts w:ascii="Times New Roman" w:hAnsi="Times New Roman" w:cs="Times New Roman"/>
                <w:sz w:val="14"/>
                <w:szCs w:val="14"/>
              </w:rPr>
              <w:t>% світового потоку грошових перека</w:t>
            </w:r>
            <w:r>
              <w:rPr>
                <w:rFonts w:ascii="Times New Roman" w:hAnsi="Times New Roman" w:cs="Times New Roman"/>
                <w:sz w:val="14"/>
                <w:szCs w:val="14"/>
              </w:rPr>
              <w:t>-</w:t>
            </w:r>
            <w:r w:rsidRPr="0082483E">
              <w:rPr>
                <w:rFonts w:ascii="Times New Roman" w:hAnsi="Times New Roman" w:cs="Times New Roman"/>
                <w:sz w:val="14"/>
                <w:szCs w:val="14"/>
              </w:rPr>
              <w:t>зів. Еміграційний кори</w:t>
            </w:r>
            <w:r>
              <w:rPr>
                <w:rFonts w:ascii="Times New Roman" w:hAnsi="Times New Roman" w:cs="Times New Roman"/>
                <w:sz w:val="14"/>
                <w:szCs w:val="14"/>
              </w:rPr>
              <w:t>-</w:t>
            </w:r>
            <w:r w:rsidRPr="0082483E">
              <w:rPr>
                <w:rFonts w:ascii="Times New Roman" w:hAnsi="Times New Roman" w:cs="Times New Roman"/>
                <w:sz w:val="14"/>
                <w:szCs w:val="14"/>
              </w:rPr>
              <w:t>дор з Мексики до США є най</w:t>
            </w:r>
            <w:r>
              <w:rPr>
                <w:rFonts w:ascii="Times New Roman" w:hAnsi="Times New Roman" w:cs="Times New Roman"/>
                <w:sz w:val="14"/>
                <w:szCs w:val="14"/>
              </w:rPr>
              <w:t>-</w:t>
            </w:r>
            <w:r w:rsidRPr="000C411E">
              <w:rPr>
                <w:rFonts w:ascii="Times New Roman" w:hAnsi="Times New Roman" w:cs="Times New Roman"/>
                <w:sz w:val="14"/>
                <w:szCs w:val="14"/>
              </w:rPr>
              <w:t>більшим міграційним ко-ридором у світі та включає 9,3 млн мігран-тів [</w:t>
            </w:r>
            <w:r>
              <w:rPr>
                <w:rFonts w:ascii="Times New Roman" w:hAnsi="Times New Roman" w:cs="Times New Roman"/>
                <w:sz w:val="14"/>
                <w:szCs w:val="14"/>
                <w:lang w:val="en-US"/>
              </w:rPr>
              <w:fldChar w:fldCharType="begin"/>
            </w:r>
            <w:r>
              <w:rPr>
                <w:rFonts w:ascii="Times New Roman" w:hAnsi="Times New Roman" w:cs="Times New Roman"/>
                <w:sz w:val="14"/>
                <w:szCs w:val="14"/>
              </w:rPr>
              <w:instrText xml:space="preserve"> REF _Ref435186859 \r \h </w:instrText>
            </w:r>
            <w:r>
              <w:rPr>
                <w:rFonts w:ascii="Times New Roman" w:hAnsi="Times New Roman" w:cs="Times New Roman"/>
                <w:sz w:val="14"/>
                <w:szCs w:val="14"/>
                <w:lang w:val="en-US"/>
              </w:rPr>
            </w:r>
            <w:r>
              <w:rPr>
                <w:rFonts w:ascii="Times New Roman" w:hAnsi="Times New Roman" w:cs="Times New Roman"/>
                <w:sz w:val="14"/>
                <w:szCs w:val="14"/>
                <w:lang w:val="en-US"/>
              </w:rPr>
              <w:fldChar w:fldCharType="separate"/>
            </w:r>
            <w:r>
              <w:rPr>
                <w:rFonts w:ascii="Times New Roman" w:hAnsi="Times New Roman" w:cs="Times New Roman"/>
                <w:sz w:val="14"/>
                <w:szCs w:val="14"/>
              </w:rPr>
              <w:t>109</w:t>
            </w:r>
            <w:r>
              <w:rPr>
                <w:rFonts w:ascii="Times New Roman" w:hAnsi="Times New Roman" w:cs="Times New Roman"/>
                <w:sz w:val="14"/>
                <w:szCs w:val="14"/>
                <w:lang w:val="en-US"/>
              </w:rPr>
              <w:fldChar w:fldCharType="end"/>
            </w:r>
            <w:r w:rsidRPr="000C411E">
              <w:rPr>
                <w:rFonts w:ascii="Times New Roman" w:hAnsi="Times New Roman" w:cs="Times New Roman"/>
                <w:sz w:val="14"/>
                <w:szCs w:val="14"/>
              </w:rPr>
              <w:t>].</w:t>
            </w:r>
          </w:p>
        </w:tc>
        <w:tc>
          <w:tcPr>
            <w:tcW w:w="851" w:type="dxa"/>
          </w:tcPr>
          <w:p w:rsidR="00B233DE" w:rsidRPr="0082483E" w:rsidRDefault="00B233DE" w:rsidP="0023489B">
            <w:pPr>
              <w:ind w:firstLine="0"/>
              <w:rPr>
                <w:rFonts w:ascii="Times New Roman" w:hAnsi="Times New Roman" w:cs="Times New Roman"/>
                <w:sz w:val="14"/>
                <w:szCs w:val="14"/>
              </w:rPr>
            </w:pPr>
            <w:r w:rsidRPr="0082483E">
              <w:rPr>
                <w:rFonts w:ascii="Times New Roman" w:hAnsi="Times New Roman" w:cs="Times New Roman"/>
                <w:sz w:val="14"/>
                <w:szCs w:val="14"/>
              </w:rPr>
              <w:t>США</w:t>
            </w:r>
          </w:p>
        </w:tc>
        <w:tc>
          <w:tcPr>
            <w:tcW w:w="2363" w:type="dxa"/>
          </w:tcPr>
          <w:p w:rsidR="00B233DE" w:rsidRPr="0082483E" w:rsidRDefault="00B233DE" w:rsidP="0023489B">
            <w:pPr>
              <w:ind w:right="-13" w:firstLine="0"/>
              <w:jc w:val="both"/>
              <w:rPr>
                <w:rFonts w:ascii="Times New Roman" w:hAnsi="Times New Roman" w:cs="Times New Roman"/>
                <w:sz w:val="14"/>
                <w:szCs w:val="14"/>
              </w:rPr>
            </w:pPr>
            <w:r w:rsidRPr="0082483E">
              <w:rPr>
                <w:rFonts w:ascii="Times New Roman" w:hAnsi="Times New Roman" w:cs="Times New Roman"/>
                <w:sz w:val="14"/>
                <w:szCs w:val="14"/>
              </w:rPr>
              <w:t>США є центром тяжіння висо</w:t>
            </w:r>
            <w:r>
              <w:rPr>
                <w:rFonts w:ascii="Times New Roman" w:hAnsi="Times New Roman" w:cs="Times New Roman"/>
                <w:sz w:val="14"/>
                <w:szCs w:val="14"/>
              </w:rPr>
              <w:t>-</w:t>
            </w:r>
            <w:r w:rsidRPr="0082483E">
              <w:rPr>
                <w:rFonts w:ascii="Times New Roman" w:hAnsi="Times New Roman" w:cs="Times New Roman"/>
                <w:sz w:val="14"/>
                <w:szCs w:val="14"/>
              </w:rPr>
              <w:t>кокваліфікованих мігрантів. США сприяє циркулярній міграції медич</w:t>
            </w:r>
            <w:r>
              <w:rPr>
                <w:rFonts w:ascii="Times New Roman" w:hAnsi="Times New Roman" w:cs="Times New Roman"/>
                <w:sz w:val="14"/>
                <w:szCs w:val="14"/>
              </w:rPr>
              <w:t>-</w:t>
            </w:r>
            <w:r w:rsidRPr="0082483E">
              <w:rPr>
                <w:rFonts w:ascii="Times New Roman" w:hAnsi="Times New Roman" w:cs="Times New Roman"/>
                <w:sz w:val="14"/>
                <w:szCs w:val="14"/>
              </w:rPr>
              <w:t>них працівників країн Африки, навчаючи їх у своїй країні та під</w:t>
            </w:r>
            <w:r>
              <w:rPr>
                <w:rFonts w:ascii="Times New Roman" w:hAnsi="Times New Roman" w:cs="Times New Roman"/>
                <w:sz w:val="14"/>
                <w:szCs w:val="14"/>
              </w:rPr>
              <w:t>-</w:t>
            </w:r>
            <w:r w:rsidRPr="0082483E">
              <w:rPr>
                <w:rFonts w:ascii="Times New Roman" w:hAnsi="Times New Roman" w:cs="Times New Roman"/>
                <w:sz w:val="14"/>
                <w:szCs w:val="14"/>
              </w:rPr>
              <w:t>тримуючи їх інтеграцію у країни походження.</w:t>
            </w:r>
          </w:p>
          <w:p w:rsidR="00B233DE" w:rsidRPr="0082483E" w:rsidRDefault="00B233DE" w:rsidP="0023489B">
            <w:pPr>
              <w:ind w:right="-13" w:firstLine="0"/>
              <w:jc w:val="both"/>
              <w:rPr>
                <w:rFonts w:ascii="Times New Roman" w:hAnsi="Times New Roman" w:cs="Times New Roman"/>
                <w:sz w:val="14"/>
                <w:szCs w:val="14"/>
              </w:rPr>
            </w:pPr>
            <w:r w:rsidRPr="0082483E">
              <w:rPr>
                <w:rFonts w:ascii="Times New Roman" w:hAnsi="Times New Roman" w:cs="Times New Roman"/>
                <w:spacing w:val="-4"/>
                <w:sz w:val="14"/>
                <w:szCs w:val="14"/>
              </w:rPr>
              <w:t>Висококваліфікована імміграція під-</w:t>
            </w:r>
            <w:r w:rsidRPr="0082483E">
              <w:rPr>
                <w:rFonts w:ascii="Times New Roman" w:hAnsi="Times New Roman" w:cs="Times New Roman"/>
                <w:sz w:val="14"/>
                <w:szCs w:val="14"/>
              </w:rPr>
              <w:t>тримує загальний рівень знань і на</w:t>
            </w:r>
            <w:r>
              <w:rPr>
                <w:rFonts w:ascii="Times New Roman" w:hAnsi="Times New Roman" w:cs="Times New Roman"/>
                <w:sz w:val="14"/>
                <w:szCs w:val="14"/>
              </w:rPr>
              <w:t>-</w:t>
            </w:r>
            <w:r w:rsidRPr="0082483E">
              <w:rPr>
                <w:rFonts w:ascii="Times New Roman" w:hAnsi="Times New Roman" w:cs="Times New Roman"/>
                <w:sz w:val="14"/>
                <w:szCs w:val="14"/>
              </w:rPr>
              <w:t>виків робочої сили в країні.</w:t>
            </w:r>
          </w:p>
          <w:p w:rsidR="00B233DE" w:rsidRPr="0082483E" w:rsidRDefault="00B233DE" w:rsidP="0023489B">
            <w:pPr>
              <w:ind w:firstLine="0"/>
              <w:rPr>
                <w:rFonts w:ascii="Times New Roman" w:hAnsi="Times New Roman" w:cs="Times New Roman"/>
                <w:sz w:val="14"/>
                <w:szCs w:val="14"/>
              </w:rPr>
            </w:pPr>
          </w:p>
        </w:tc>
        <w:tc>
          <w:tcPr>
            <w:tcW w:w="1340" w:type="dxa"/>
          </w:tcPr>
          <w:p w:rsidR="00B233DE" w:rsidRPr="0082483E" w:rsidRDefault="00B233DE" w:rsidP="0023489B">
            <w:pPr>
              <w:ind w:left="-61" w:right="-90" w:firstLine="0"/>
              <w:jc w:val="both"/>
              <w:rPr>
                <w:rFonts w:ascii="Times New Roman" w:hAnsi="Times New Roman" w:cs="Times New Roman"/>
                <w:sz w:val="14"/>
                <w:szCs w:val="14"/>
              </w:rPr>
            </w:pPr>
            <w:r w:rsidRPr="0082483E">
              <w:rPr>
                <w:rFonts w:ascii="Times New Roman" w:hAnsi="Times New Roman" w:cs="Times New Roman"/>
                <w:sz w:val="14"/>
                <w:szCs w:val="14"/>
              </w:rPr>
              <w:t>Громіздкі іммігра</w:t>
            </w:r>
            <w:r>
              <w:rPr>
                <w:rFonts w:ascii="Times New Roman" w:hAnsi="Times New Roman" w:cs="Times New Roman"/>
                <w:sz w:val="14"/>
                <w:szCs w:val="14"/>
              </w:rPr>
              <w:t>-</w:t>
            </w:r>
            <w:r w:rsidRPr="00FF6F3E">
              <w:rPr>
                <w:rFonts w:ascii="Times New Roman" w:hAnsi="Times New Roman" w:cs="Times New Roman"/>
                <w:spacing w:val="-6"/>
                <w:sz w:val="14"/>
                <w:szCs w:val="14"/>
              </w:rPr>
              <w:t>ційні процедури з по-</w:t>
            </w:r>
            <w:r w:rsidRPr="0082483E">
              <w:rPr>
                <w:rFonts w:ascii="Times New Roman" w:hAnsi="Times New Roman" w:cs="Times New Roman"/>
                <w:sz w:val="14"/>
                <w:szCs w:val="14"/>
              </w:rPr>
              <w:t>над 70 р</w:t>
            </w:r>
            <w:r>
              <w:rPr>
                <w:rFonts w:ascii="Times New Roman" w:hAnsi="Times New Roman" w:cs="Times New Roman"/>
                <w:sz w:val="14"/>
                <w:szCs w:val="14"/>
              </w:rPr>
              <w:t>ізних типів віз.</w:t>
            </w:r>
          </w:p>
          <w:p w:rsidR="00B233DE" w:rsidRPr="0082483E" w:rsidRDefault="00B233DE" w:rsidP="0023489B">
            <w:pPr>
              <w:ind w:left="-61" w:right="-90" w:firstLine="0"/>
              <w:jc w:val="both"/>
              <w:rPr>
                <w:rFonts w:ascii="Times New Roman" w:hAnsi="Times New Roman" w:cs="Times New Roman"/>
                <w:sz w:val="14"/>
                <w:szCs w:val="14"/>
              </w:rPr>
            </w:pPr>
            <w:r w:rsidRPr="0082483E">
              <w:rPr>
                <w:rFonts w:ascii="Times New Roman" w:hAnsi="Times New Roman" w:cs="Times New Roman"/>
                <w:sz w:val="14"/>
                <w:szCs w:val="14"/>
              </w:rPr>
              <w:t>Мала увага до інте</w:t>
            </w:r>
            <w:r>
              <w:rPr>
                <w:rFonts w:ascii="Times New Roman" w:hAnsi="Times New Roman" w:cs="Times New Roman"/>
                <w:sz w:val="14"/>
                <w:szCs w:val="14"/>
              </w:rPr>
              <w:t>-</w:t>
            </w:r>
            <w:r w:rsidRPr="0082483E">
              <w:rPr>
                <w:rFonts w:ascii="Times New Roman" w:hAnsi="Times New Roman" w:cs="Times New Roman"/>
                <w:sz w:val="14"/>
                <w:szCs w:val="14"/>
              </w:rPr>
              <w:t>грації іммігрантів.</w:t>
            </w:r>
          </w:p>
          <w:p w:rsidR="00B233DE" w:rsidRPr="0082483E" w:rsidRDefault="00B233DE" w:rsidP="0023489B">
            <w:pPr>
              <w:ind w:left="-61" w:right="-90" w:firstLine="0"/>
              <w:jc w:val="both"/>
              <w:rPr>
                <w:rFonts w:ascii="Times New Roman" w:hAnsi="Times New Roman" w:cs="Times New Roman"/>
                <w:sz w:val="14"/>
                <w:szCs w:val="14"/>
              </w:rPr>
            </w:pPr>
            <w:r w:rsidRPr="0082483E">
              <w:rPr>
                <w:rFonts w:ascii="Times New Roman" w:hAnsi="Times New Roman" w:cs="Times New Roman"/>
                <w:sz w:val="14"/>
                <w:szCs w:val="14"/>
              </w:rPr>
              <w:t>Відсутність затверд</w:t>
            </w:r>
            <w:r>
              <w:rPr>
                <w:rFonts w:ascii="Times New Roman" w:hAnsi="Times New Roman" w:cs="Times New Roman"/>
                <w:sz w:val="14"/>
                <w:szCs w:val="14"/>
              </w:rPr>
              <w:t>-</w:t>
            </w:r>
            <w:r w:rsidRPr="0082483E">
              <w:rPr>
                <w:rFonts w:ascii="Times New Roman" w:hAnsi="Times New Roman" w:cs="Times New Roman"/>
                <w:sz w:val="14"/>
                <w:szCs w:val="14"/>
              </w:rPr>
              <w:t>женої на державно</w:t>
            </w:r>
            <w:r>
              <w:rPr>
                <w:rFonts w:ascii="Times New Roman" w:hAnsi="Times New Roman" w:cs="Times New Roman"/>
                <w:sz w:val="14"/>
                <w:szCs w:val="14"/>
              </w:rPr>
              <w:t>-</w:t>
            </w:r>
            <w:r w:rsidRPr="0082483E">
              <w:rPr>
                <w:rFonts w:ascii="Times New Roman" w:hAnsi="Times New Roman" w:cs="Times New Roman"/>
                <w:sz w:val="14"/>
                <w:szCs w:val="14"/>
              </w:rPr>
              <w:t>му рівні схеми виз</w:t>
            </w:r>
            <w:r>
              <w:rPr>
                <w:rFonts w:ascii="Times New Roman" w:hAnsi="Times New Roman" w:cs="Times New Roman"/>
                <w:sz w:val="14"/>
                <w:szCs w:val="14"/>
              </w:rPr>
              <w:t>-</w:t>
            </w:r>
            <w:r w:rsidRPr="00FF6F3E">
              <w:rPr>
                <w:rFonts w:ascii="Times New Roman" w:hAnsi="Times New Roman" w:cs="Times New Roman"/>
                <w:spacing w:val="-6"/>
                <w:sz w:val="14"/>
                <w:szCs w:val="14"/>
              </w:rPr>
              <w:t>нання професій і ква-ліфікацій іммігрантів.</w:t>
            </w:r>
          </w:p>
        </w:tc>
        <w:tc>
          <w:tcPr>
            <w:tcW w:w="1543" w:type="dxa"/>
          </w:tcPr>
          <w:p w:rsidR="00B233DE" w:rsidRPr="0082483E" w:rsidRDefault="00B233DE" w:rsidP="0023489B">
            <w:pPr>
              <w:ind w:left="-126" w:right="-107" w:firstLine="0"/>
              <w:jc w:val="center"/>
              <w:rPr>
                <w:rFonts w:ascii="Times New Roman" w:hAnsi="Times New Roman" w:cs="Times New Roman"/>
                <w:sz w:val="14"/>
                <w:szCs w:val="14"/>
              </w:rPr>
            </w:pPr>
            <w:r w:rsidRPr="0082483E">
              <w:rPr>
                <w:rFonts w:ascii="Times New Roman" w:hAnsi="Times New Roman" w:cs="Times New Roman"/>
                <w:sz w:val="14"/>
                <w:szCs w:val="14"/>
              </w:rPr>
              <w:t>Зниження вартості, термінів та спрощення процедури отримання візи для преференційних груп іммігрантів.</w:t>
            </w:r>
          </w:p>
          <w:p w:rsidR="00B233DE" w:rsidRPr="0082483E" w:rsidRDefault="00B233DE" w:rsidP="0023489B">
            <w:pPr>
              <w:ind w:left="-126" w:right="-107" w:firstLine="0"/>
              <w:jc w:val="center"/>
              <w:rPr>
                <w:rFonts w:ascii="Times New Roman" w:hAnsi="Times New Roman" w:cs="Times New Roman"/>
                <w:sz w:val="14"/>
                <w:szCs w:val="14"/>
              </w:rPr>
            </w:pPr>
            <w:r w:rsidRPr="0082483E">
              <w:rPr>
                <w:rFonts w:ascii="Times New Roman" w:hAnsi="Times New Roman" w:cs="Times New Roman"/>
                <w:sz w:val="14"/>
                <w:szCs w:val="14"/>
              </w:rPr>
              <w:t>Розробка національного плану інтеграції іммі</w:t>
            </w:r>
            <w:r>
              <w:rPr>
                <w:rFonts w:ascii="Times New Roman" w:hAnsi="Times New Roman" w:cs="Times New Roman"/>
                <w:sz w:val="14"/>
                <w:szCs w:val="14"/>
              </w:rPr>
              <w:t>-</w:t>
            </w:r>
            <w:r w:rsidRPr="0082483E">
              <w:rPr>
                <w:rFonts w:ascii="Times New Roman" w:hAnsi="Times New Roman" w:cs="Times New Roman"/>
                <w:sz w:val="14"/>
                <w:szCs w:val="14"/>
              </w:rPr>
              <w:t>грантів, фінансування вивчення мови, програм інтеграції на місцевому рівні.</w:t>
            </w:r>
          </w:p>
        </w:tc>
        <w:tc>
          <w:tcPr>
            <w:tcW w:w="1274" w:type="dxa"/>
          </w:tcPr>
          <w:p w:rsidR="00B233DE" w:rsidRPr="0082483E" w:rsidRDefault="00B233DE" w:rsidP="0023489B">
            <w:pPr>
              <w:ind w:left="-126" w:right="-107" w:firstLine="0"/>
              <w:jc w:val="center"/>
              <w:rPr>
                <w:rFonts w:ascii="Times New Roman" w:hAnsi="Times New Roman" w:cs="Times New Roman"/>
                <w:sz w:val="14"/>
                <w:szCs w:val="14"/>
              </w:rPr>
            </w:pPr>
            <w:r w:rsidRPr="0082483E">
              <w:rPr>
                <w:rFonts w:ascii="Times New Roman" w:hAnsi="Times New Roman" w:cs="Times New Roman"/>
                <w:sz w:val="14"/>
                <w:szCs w:val="14"/>
              </w:rPr>
              <w:t>Утворення маргі</w:t>
            </w:r>
            <w:r>
              <w:rPr>
                <w:rFonts w:ascii="Times New Roman" w:hAnsi="Times New Roman" w:cs="Times New Roman"/>
                <w:sz w:val="14"/>
                <w:szCs w:val="14"/>
              </w:rPr>
              <w:t>-</w:t>
            </w:r>
            <w:r w:rsidRPr="0082483E">
              <w:rPr>
                <w:rFonts w:ascii="Times New Roman" w:hAnsi="Times New Roman" w:cs="Times New Roman"/>
                <w:sz w:val="14"/>
                <w:szCs w:val="14"/>
              </w:rPr>
              <w:t>налізованих осеред</w:t>
            </w:r>
            <w:r>
              <w:rPr>
                <w:rFonts w:ascii="Times New Roman" w:hAnsi="Times New Roman" w:cs="Times New Roman"/>
                <w:sz w:val="14"/>
                <w:szCs w:val="14"/>
              </w:rPr>
              <w:t>-</w:t>
            </w:r>
            <w:r w:rsidRPr="0082483E">
              <w:rPr>
                <w:rFonts w:ascii="Times New Roman" w:hAnsi="Times New Roman" w:cs="Times New Roman"/>
                <w:sz w:val="14"/>
                <w:szCs w:val="14"/>
              </w:rPr>
              <w:t>ків іммігрантів, що не бажають долу</w:t>
            </w:r>
            <w:r>
              <w:rPr>
                <w:rFonts w:ascii="Times New Roman" w:hAnsi="Times New Roman" w:cs="Times New Roman"/>
                <w:sz w:val="14"/>
                <w:szCs w:val="14"/>
              </w:rPr>
              <w:t>-</w:t>
            </w:r>
            <w:r w:rsidRPr="0082483E">
              <w:rPr>
                <w:rFonts w:ascii="Times New Roman" w:hAnsi="Times New Roman" w:cs="Times New Roman"/>
                <w:sz w:val="14"/>
                <w:szCs w:val="14"/>
              </w:rPr>
              <w:t>чатись до соціально-економічного і культурного життя країни. Загострення ворожнечі та ксено</w:t>
            </w:r>
            <w:r>
              <w:rPr>
                <w:rFonts w:ascii="Times New Roman" w:hAnsi="Times New Roman" w:cs="Times New Roman"/>
                <w:sz w:val="14"/>
                <w:szCs w:val="14"/>
              </w:rPr>
              <w:t>-</w:t>
            </w:r>
            <w:r w:rsidRPr="0082483E">
              <w:rPr>
                <w:rFonts w:ascii="Times New Roman" w:hAnsi="Times New Roman" w:cs="Times New Roman"/>
                <w:sz w:val="14"/>
                <w:szCs w:val="14"/>
              </w:rPr>
              <w:t>фобії у суспільстві, посилення кримі</w:t>
            </w:r>
            <w:r>
              <w:rPr>
                <w:rFonts w:ascii="Times New Roman" w:hAnsi="Times New Roman" w:cs="Times New Roman"/>
                <w:sz w:val="14"/>
                <w:szCs w:val="14"/>
              </w:rPr>
              <w:t>-</w:t>
            </w:r>
            <w:r w:rsidRPr="0082483E">
              <w:rPr>
                <w:rFonts w:ascii="Times New Roman" w:hAnsi="Times New Roman" w:cs="Times New Roman"/>
                <w:sz w:val="14"/>
                <w:szCs w:val="14"/>
              </w:rPr>
              <w:t>ногенної ситуації.</w:t>
            </w:r>
          </w:p>
        </w:tc>
      </w:tr>
      <w:tr w:rsidR="00B233DE" w:rsidRPr="001F01D4" w:rsidTr="0023489B">
        <w:tc>
          <w:tcPr>
            <w:tcW w:w="709" w:type="dxa"/>
          </w:tcPr>
          <w:p w:rsidR="00B233DE" w:rsidRPr="0082483E" w:rsidRDefault="00B233DE" w:rsidP="0023489B">
            <w:pPr>
              <w:ind w:left="-108" w:right="-108" w:firstLine="0"/>
              <w:jc w:val="center"/>
              <w:rPr>
                <w:rFonts w:ascii="Times New Roman" w:hAnsi="Times New Roman" w:cs="Times New Roman"/>
                <w:sz w:val="14"/>
                <w:szCs w:val="14"/>
              </w:rPr>
            </w:pPr>
            <w:r w:rsidRPr="0082483E">
              <w:rPr>
                <w:rFonts w:ascii="Times New Roman" w:hAnsi="Times New Roman" w:cs="Times New Roman"/>
                <w:sz w:val="14"/>
                <w:szCs w:val="14"/>
              </w:rPr>
              <w:t>Південна та Південно-Східна Азія</w:t>
            </w:r>
          </w:p>
        </w:tc>
        <w:tc>
          <w:tcPr>
            <w:tcW w:w="1559" w:type="dxa"/>
          </w:tcPr>
          <w:p w:rsidR="00B233DE" w:rsidRPr="0082483E" w:rsidRDefault="00B233DE" w:rsidP="0023489B">
            <w:pPr>
              <w:ind w:left="-108" w:right="-108" w:firstLine="0"/>
              <w:jc w:val="both"/>
              <w:rPr>
                <w:rFonts w:ascii="Times New Roman" w:hAnsi="Times New Roman" w:cs="Times New Roman"/>
                <w:sz w:val="14"/>
                <w:szCs w:val="14"/>
              </w:rPr>
            </w:pPr>
            <w:r w:rsidRPr="0082483E">
              <w:rPr>
                <w:rFonts w:ascii="Times New Roman" w:hAnsi="Times New Roman" w:cs="Times New Roman"/>
                <w:sz w:val="14"/>
                <w:szCs w:val="14"/>
              </w:rPr>
              <w:t>На 2010 рік 27,5 млн мігрантів. Китай, Бангла</w:t>
            </w:r>
            <w:r>
              <w:rPr>
                <w:rFonts w:ascii="Times New Roman" w:hAnsi="Times New Roman" w:cs="Times New Roman"/>
                <w:sz w:val="14"/>
                <w:szCs w:val="14"/>
              </w:rPr>
              <w:t>-</w:t>
            </w:r>
            <w:r w:rsidRPr="0082483E">
              <w:rPr>
                <w:rFonts w:ascii="Times New Roman" w:hAnsi="Times New Roman" w:cs="Times New Roman"/>
                <w:sz w:val="14"/>
                <w:szCs w:val="14"/>
              </w:rPr>
              <w:t xml:space="preserve">деш та Індія є одними з десяти найбільших країн еміграцї світу. Основною країною призначення для </w:t>
            </w:r>
            <w:r w:rsidRPr="00FF6F3E">
              <w:rPr>
                <w:rFonts w:ascii="Times New Roman" w:hAnsi="Times New Roman" w:cs="Times New Roman"/>
                <w:spacing w:val="-6"/>
                <w:sz w:val="14"/>
                <w:szCs w:val="14"/>
              </w:rPr>
              <w:t>азійських мігрантів є США.</w:t>
            </w:r>
            <w:r w:rsidRPr="0082483E">
              <w:rPr>
                <w:rFonts w:ascii="Times New Roman" w:hAnsi="Times New Roman" w:cs="Times New Roman"/>
                <w:sz w:val="14"/>
                <w:szCs w:val="14"/>
              </w:rPr>
              <w:t xml:space="preserve"> 43</w:t>
            </w:r>
            <w:r>
              <w:rPr>
                <w:rFonts w:ascii="Times New Roman" w:hAnsi="Times New Roman" w:cs="Times New Roman"/>
                <w:sz w:val="14"/>
                <w:szCs w:val="14"/>
              </w:rPr>
              <w:t> </w:t>
            </w:r>
            <w:r w:rsidRPr="0082483E">
              <w:rPr>
                <w:rFonts w:ascii="Times New Roman" w:hAnsi="Times New Roman" w:cs="Times New Roman"/>
                <w:sz w:val="14"/>
                <w:szCs w:val="14"/>
              </w:rPr>
              <w:t>% мігра</w:t>
            </w:r>
            <w:r>
              <w:rPr>
                <w:rFonts w:ascii="Times New Roman" w:hAnsi="Times New Roman" w:cs="Times New Roman"/>
                <w:sz w:val="14"/>
                <w:szCs w:val="14"/>
              </w:rPr>
              <w:t>н</w:t>
            </w:r>
            <w:r w:rsidRPr="0082483E">
              <w:rPr>
                <w:rFonts w:ascii="Times New Roman" w:hAnsi="Times New Roman" w:cs="Times New Roman"/>
                <w:sz w:val="14"/>
                <w:szCs w:val="14"/>
              </w:rPr>
              <w:t>тів переміщу</w:t>
            </w:r>
            <w:r>
              <w:rPr>
                <w:rFonts w:ascii="Times New Roman" w:hAnsi="Times New Roman" w:cs="Times New Roman"/>
                <w:sz w:val="14"/>
                <w:szCs w:val="14"/>
              </w:rPr>
              <w:t>-</w:t>
            </w:r>
            <w:r w:rsidRPr="0082483E">
              <w:rPr>
                <w:rFonts w:ascii="Times New Roman" w:hAnsi="Times New Roman" w:cs="Times New Roman"/>
                <w:sz w:val="14"/>
                <w:szCs w:val="14"/>
              </w:rPr>
              <w:t xml:space="preserve">ються в межах регіону, при цьому головними країнами призначення є Індія, Пакистан, Гонг </w:t>
            </w:r>
          </w:p>
        </w:tc>
        <w:tc>
          <w:tcPr>
            <w:tcW w:w="851" w:type="dxa"/>
          </w:tcPr>
          <w:p w:rsidR="00B233DE" w:rsidRPr="0082483E" w:rsidRDefault="00B233DE" w:rsidP="0023489B">
            <w:pPr>
              <w:ind w:left="-108" w:right="-108" w:firstLine="0"/>
              <w:jc w:val="center"/>
              <w:rPr>
                <w:rFonts w:ascii="Times New Roman" w:hAnsi="Times New Roman" w:cs="Times New Roman"/>
                <w:sz w:val="14"/>
                <w:szCs w:val="14"/>
              </w:rPr>
            </w:pPr>
            <w:r w:rsidRPr="0082483E">
              <w:rPr>
                <w:rFonts w:ascii="Times New Roman" w:hAnsi="Times New Roman" w:cs="Times New Roman"/>
                <w:sz w:val="14"/>
                <w:szCs w:val="14"/>
              </w:rPr>
              <w:t>Індія</w:t>
            </w:r>
          </w:p>
          <w:p w:rsidR="00B233DE" w:rsidRPr="0082483E" w:rsidRDefault="00B233DE" w:rsidP="0023489B">
            <w:pPr>
              <w:ind w:left="-108" w:right="-108" w:firstLine="0"/>
              <w:jc w:val="center"/>
              <w:rPr>
                <w:rFonts w:ascii="Times New Roman" w:hAnsi="Times New Roman" w:cs="Times New Roman"/>
                <w:sz w:val="14"/>
                <w:szCs w:val="14"/>
              </w:rPr>
            </w:pPr>
            <w:r w:rsidRPr="0082483E">
              <w:rPr>
                <w:rFonts w:ascii="Times New Roman" w:hAnsi="Times New Roman" w:cs="Times New Roman"/>
                <w:sz w:val="14"/>
                <w:szCs w:val="14"/>
              </w:rPr>
              <w:t>Філіппіни</w:t>
            </w:r>
          </w:p>
          <w:p w:rsidR="00B233DE" w:rsidRPr="0082483E" w:rsidRDefault="00B233DE" w:rsidP="0023489B">
            <w:pPr>
              <w:ind w:left="-108" w:right="-108" w:firstLine="0"/>
              <w:jc w:val="center"/>
              <w:rPr>
                <w:rFonts w:ascii="Times New Roman" w:hAnsi="Times New Roman" w:cs="Times New Roman"/>
                <w:sz w:val="14"/>
                <w:szCs w:val="14"/>
              </w:rPr>
            </w:pPr>
            <w:r w:rsidRPr="0082483E">
              <w:rPr>
                <w:rFonts w:ascii="Times New Roman" w:hAnsi="Times New Roman" w:cs="Times New Roman"/>
                <w:sz w:val="14"/>
                <w:szCs w:val="14"/>
              </w:rPr>
              <w:t>Китай Тайвань</w:t>
            </w:r>
          </w:p>
        </w:tc>
        <w:tc>
          <w:tcPr>
            <w:tcW w:w="2363" w:type="dxa"/>
          </w:tcPr>
          <w:p w:rsidR="00B233DE" w:rsidRPr="0082483E" w:rsidRDefault="00B233DE" w:rsidP="0023489B">
            <w:pPr>
              <w:ind w:left="-108" w:right="-13" w:firstLine="0"/>
              <w:jc w:val="both"/>
              <w:rPr>
                <w:rFonts w:ascii="Times New Roman" w:hAnsi="Times New Roman" w:cs="Times New Roman"/>
                <w:sz w:val="14"/>
                <w:szCs w:val="14"/>
              </w:rPr>
            </w:pPr>
            <w:r w:rsidRPr="0082483E">
              <w:rPr>
                <w:rFonts w:ascii="Times New Roman" w:hAnsi="Times New Roman" w:cs="Times New Roman"/>
                <w:sz w:val="14"/>
                <w:szCs w:val="14"/>
              </w:rPr>
              <w:t>У Філіппінах застосовується ціле</w:t>
            </w:r>
            <w:r>
              <w:rPr>
                <w:rFonts w:ascii="Times New Roman" w:hAnsi="Times New Roman" w:cs="Times New Roman"/>
                <w:sz w:val="14"/>
                <w:szCs w:val="14"/>
              </w:rPr>
              <w:t>-</w:t>
            </w:r>
            <w:r w:rsidRPr="0082483E">
              <w:rPr>
                <w:rFonts w:ascii="Times New Roman" w:hAnsi="Times New Roman" w:cs="Times New Roman"/>
                <w:sz w:val="14"/>
                <w:szCs w:val="14"/>
              </w:rPr>
              <w:t>спрямована політика тимчасової зов</w:t>
            </w:r>
            <w:r>
              <w:rPr>
                <w:rFonts w:ascii="Times New Roman" w:hAnsi="Times New Roman" w:cs="Times New Roman"/>
                <w:sz w:val="14"/>
                <w:szCs w:val="14"/>
              </w:rPr>
              <w:t>-</w:t>
            </w:r>
            <w:r w:rsidRPr="0082483E">
              <w:rPr>
                <w:rFonts w:ascii="Times New Roman" w:hAnsi="Times New Roman" w:cs="Times New Roman"/>
                <w:sz w:val="14"/>
                <w:szCs w:val="14"/>
              </w:rPr>
              <w:t>нішньої зайнятості. На основі укладе</w:t>
            </w:r>
            <w:r>
              <w:rPr>
                <w:rFonts w:ascii="Times New Roman" w:hAnsi="Times New Roman" w:cs="Times New Roman"/>
                <w:sz w:val="14"/>
                <w:szCs w:val="14"/>
              </w:rPr>
              <w:t>-</w:t>
            </w:r>
            <w:r w:rsidRPr="0082483E">
              <w:rPr>
                <w:rFonts w:ascii="Times New Roman" w:hAnsi="Times New Roman" w:cs="Times New Roman"/>
                <w:sz w:val="14"/>
                <w:szCs w:val="14"/>
              </w:rPr>
              <w:t>ння трудових контрактів досягнутий прогрес у захисті прав працівників-мігрантів. Для збереження і підвище</w:t>
            </w:r>
            <w:r>
              <w:rPr>
                <w:rFonts w:ascii="Times New Roman" w:hAnsi="Times New Roman" w:cs="Times New Roman"/>
                <w:sz w:val="14"/>
                <w:szCs w:val="14"/>
              </w:rPr>
              <w:t>-</w:t>
            </w:r>
            <w:r w:rsidRPr="0082483E">
              <w:rPr>
                <w:rFonts w:ascii="Times New Roman" w:hAnsi="Times New Roman" w:cs="Times New Roman"/>
                <w:sz w:val="14"/>
                <w:szCs w:val="14"/>
              </w:rPr>
              <w:t>ння людського потенціалу утворений національний центр реінтеграції, що надає послуги з перекваліфікації, психологічну допомогу, консультації щодо доступу до інструментів інве</w:t>
            </w:r>
            <w:r>
              <w:rPr>
                <w:rFonts w:ascii="Times New Roman" w:hAnsi="Times New Roman" w:cs="Times New Roman"/>
                <w:sz w:val="14"/>
                <w:szCs w:val="14"/>
              </w:rPr>
              <w:t>-</w:t>
            </w:r>
            <w:r w:rsidRPr="0082483E">
              <w:rPr>
                <w:rFonts w:ascii="Times New Roman" w:hAnsi="Times New Roman" w:cs="Times New Roman"/>
                <w:sz w:val="14"/>
                <w:szCs w:val="14"/>
              </w:rPr>
              <w:t xml:space="preserve">стування. Індія, Китай і Тайвань </w:t>
            </w:r>
          </w:p>
        </w:tc>
        <w:tc>
          <w:tcPr>
            <w:tcW w:w="1340" w:type="dxa"/>
          </w:tcPr>
          <w:p w:rsidR="00B233DE" w:rsidRPr="0082483E" w:rsidRDefault="00B233DE" w:rsidP="0023489B">
            <w:pPr>
              <w:ind w:left="-61" w:right="-90" w:firstLine="0"/>
              <w:jc w:val="both"/>
              <w:rPr>
                <w:rFonts w:ascii="Times New Roman" w:hAnsi="Times New Roman" w:cs="Times New Roman"/>
                <w:sz w:val="14"/>
                <w:szCs w:val="14"/>
              </w:rPr>
            </w:pPr>
            <w:r w:rsidRPr="0082483E">
              <w:rPr>
                <w:rFonts w:ascii="Times New Roman" w:hAnsi="Times New Roman" w:cs="Times New Roman"/>
                <w:sz w:val="14"/>
                <w:szCs w:val="14"/>
              </w:rPr>
              <w:t>Проблеми з визна</w:t>
            </w:r>
            <w:r>
              <w:rPr>
                <w:rFonts w:ascii="Times New Roman" w:hAnsi="Times New Roman" w:cs="Times New Roman"/>
                <w:sz w:val="14"/>
                <w:szCs w:val="14"/>
              </w:rPr>
              <w:t>-</w:t>
            </w:r>
            <w:r w:rsidRPr="0082483E">
              <w:rPr>
                <w:rFonts w:ascii="Times New Roman" w:hAnsi="Times New Roman" w:cs="Times New Roman"/>
                <w:sz w:val="14"/>
                <w:szCs w:val="14"/>
              </w:rPr>
              <w:t>нням кваліфікацій на ринку праці. Обме</w:t>
            </w:r>
            <w:r>
              <w:rPr>
                <w:rFonts w:ascii="Times New Roman" w:hAnsi="Times New Roman" w:cs="Times New Roman"/>
                <w:sz w:val="14"/>
                <w:szCs w:val="14"/>
              </w:rPr>
              <w:t>-</w:t>
            </w:r>
            <w:r w:rsidRPr="0082483E">
              <w:rPr>
                <w:rFonts w:ascii="Times New Roman" w:hAnsi="Times New Roman" w:cs="Times New Roman"/>
                <w:sz w:val="14"/>
                <w:szCs w:val="14"/>
              </w:rPr>
              <w:t>жений діалог з робо</w:t>
            </w:r>
            <w:r>
              <w:rPr>
                <w:rFonts w:ascii="Times New Roman" w:hAnsi="Times New Roman" w:cs="Times New Roman"/>
                <w:sz w:val="14"/>
                <w:szCs w:val="14"/>
              </w:rPr>
              <w:t>-</w:t>
            </w:r>
            <w:r w:rsidRPr="0082483E">
              <w:rPr>
                <w:rFonts w:ascii="Times New Roman" w:hAnsi="Times New Roman" w:cs="Times New Roman"/>
                <w:sz w:val="14"/>
                <w:szCs w:val="14"/>
              </w:rPr>
              <w:t>тодавцями щодо їх потреб у робочій силі.</w:t>
            </w:r>
          </w:p>
        </w:tc>
        <w:tc>
          <w:tcPr>
            <w:tcW w:w="1543" w:type="dxa"/>
          </w:tcPr>
          <w:p w:rsidR="00B233DE" w:rsidRPr="0082483E" w:rsidRDefault="00B233DE" w:rsidP="0023489B">
            <w:pPr>
              <w:ind w:left="-126" w:right="-107" w:firstLine="0"/>
              <w:jc w:val="both"/>
              <w:rPr>
                <w:rFonts w:ascii="Times New Roman" w:hAnsi="Times New Roman" w:cs="Times New Roman"/>
                <w:sz w:val="14"/>
                <w:szCs w:val="14"/>
              </w:rPr>
            </w:pPr>
            <w:r w:rsidRPr="0082483E">
              <w:rPr>
                <w:rFonts w:ascii="Times New Roman" w:hAnsi="Times New Roman" w:cs="Times New Roman"/>
                <w:sz w:val="14"/>
                <w:szCs w:val="14"/>
              </w:rPr>
              <w:t>Розробка програми залу</w:t>
            </w:r>
            <w:r>
              <w:rPr>
                <w:rFonts w:ascii="Times New Roman" w:hAnsi="Times New Roman" w:cs="Times New Roman"/>
                <w:sz w:val="14"/>
                <w:szCs w:val="14"/>
              </w:rPr>
              <w:t>-</w:t>
            </w:r>
            <w:r w:rsidRPr="0082483E">
              <w:rPr>
                <w:rFonts w:ascii="Times New Roman" w:hAnsi="Times New Roman" w:cs="Times New Roman"/>
                <w:sz w:val="14"/>
                <w:szCs w:val="14"/>
              </w:rPr>
              <w:t>чення висококваліфіко</w:t>
            </w:r>
            <w:r>
              <w:rPr>
                <w:rFonts w:ascii="Times New Roman" w:hAnsi="Times New Roman" w:cs="Times New Roman"/>
                <w:sz w:val="14"/>
                <w:szCs w:val="14"/>
              </w:rPr>
              <w:t>-</w:t>
            </w:r>
            <w:r w:rsidRPr="0082483E">
              <w:rPr>
                <w:rFonts w:ascii="Times New Roman" w:hAnsi="Times New Roman" w:cs="Times New Roman"/>
                <w:sz w:val="14"/>
                <w:szCs w:val="14"/>
              </w:rPr>
              <w:t>ваних мігрантів, забезпе</w:t>
            </w:r>
            <w:r>
              <w:rPr>
                <w:rFonts w:ascii="Times New Roman" w:hAnsi="Times New Roman" w:cs="Times New Roman"/>
                <w:sz w:val="14"/>
                <w:szCs w:val="14"/>
              </w:rPr>
              <w:t>-</w:t>
            </w:r>
            <w:r w:rsidRPr="0082483E">
              <w:rPr>
                <w:rFonts w:ascii="Times New Roman" w:hAnsi="Times New Roman" w:cs="Times New Roman"/>
                <w:sz w:val="14"/>
                <w:szCs w:val="14"/>
              </w:rPr>
              <w:t>чення широкого доступу до інформації про потре</w:t>
            </w:r>
            <w:r>
              <w:rPr>
                <w:rFonts w:ascii="Times New Roman" w:hAnsi="Times New Roman" w:cs="Times New Roman"/>
                <w:sz w:val="14"/>
                <w:szCs w:val="14"/>
              </w:rPr>
              <w:t>-</w:t>
            </w:r>
            <w:r w:rsidRPr="0082483E">
              <w:rPr>
                <w:rFonts w:ascii="Times New Roman" w:hAnsi="Times New Roman" w:cs="Times New Roman"/>
                <w:sz w:val="14"/>
                <w:szCs w:val="14"/>
              </w:rPr>
              <w:t xml:space="preserve">би роботодавців на ринку </w:t>
            </w:r>
            <w:r w:rsidRPr="007834C7">
              <w:rPr>
                <w:rFonts w:ascii="Times New Roman" w:hAnsi="Times New Roman" w:cs="Times New Roman"/>
                <w:spacing w:val="-6"/>
                <w:sz w:val="14"/>
                <w:szCs w:val="14"/>
              </w:rPr>
              <w:t>праці країн регіону. Попе-</w:t>
            </w:r>
            <w:r w:rsidRPr="0082483E">
              <w:rPr>
                <w:rFonts w:ascii="Times New Roman" w:hAnsi="Times New Roman" w:cs="Times New Roman"/>
                <w:sz w:val="14"/>
                <w:szCs w:val="14"/>
              </w:rPr>
              <w:t>реднє дослідження пот</w:t>
            </w:r>
            <w:r>
              <w:rPr>
                <w:rFonts w:ascii="Times New Roman" w:hAnsi="Times New Roman" w:cs="Times New Roman"/>
                <w:sz w:val="14"/>
                <w:szCs w:val="14"/>
              </w:rPr>
              <w:t>-</w:t>
            </w:r>
            <w:r w:rsidRPr="0082483E">
              <w:rPr>
                <w:rFonts w:ascii="Times New Roman" w:hAnsi="Times New Roman" w:cs="Times New Roman"/>
                <w:sz w:val="14"/>
                <w:szCs w:val="14"/>
              </w:rPr>
              <w:t>реб ринку праці та ство</w:t>
            </w:r>
            <w:r>
              <w:rPr>
                <w:rFonts w:ascii="Times New Roman" w:hAnsi="Times New Roman" w:cs="Times New Roman"/>
                <w:sz w:val="14"/>
                <w:szCs w:val="14"/>
              </w:rPr>
              <w:t>-</w:t>
            </w:r>
            <w:r w:rsidRPr="007834C7">
              <w:rPr>
                <w:rFonts w:ascii="Times New Roman" w:hAnsi="Times New Roman" w:cs="Times New Roman"/>
                <w:spacing w:val="-6"/>
                <w:sz w:val="14"/>
                <w:szCs w:val="14"/>
              </w:rPr>
              <w:t>рення схеми визнання про-</w:t>
            </w:r>
            <w:r w:rsidRPr="0082483E">
              <w:rPr>
                <w:rFonts w:ascii="Times New Roman" w:hAnsi="Times New Roman" w:cs="Times New Roman"/>
                <w:sz w:val="14"/>
                <w:szCs w:val="14"/>
              </w:rPr>
              <w:t>фесій і кваліфікацій для іноземних працівників</w:t>
            </w:r>
          </w:p>
        </w:tc>
        <w:tc>
          <w:tcPr>
            <w:tcW w:w="1274" w:type="dxa"/>
          </w:tcPr>
          <w:p w:rsidR="00B233DE" w:rsidRPr="0082483E" w:rsidRDefault="00B233DE" w:rsidP="0023489B">
            <w:pPr>
              <w:ind w:left="-109" w:right="-108" w:firstLine="0"/>
              <w:jc w:val="center"/>
              <w:rPr>
                <w:rFonts w:ascii="Times New Roman" w:hAnsi="Times New Roman" w:cs="Times New Roman"/>
                <w:sz w:val="14"/>
                <w:szCs w:val="14"/>
              </w:rPr>
            </w:pPr>
            <w:r w:rsidRPr="0082483E">
              <w:rPr>
                <w:rFonts w:ascii="Times New Roman" w:hAnsi="Times New Roman" w:cs="Times New Roman"/>
                <w:sz w:val="14"/>
                <w:szCs w:val="14"/>
              </w:rPr>
              <w:t>Некеровані потоки низькокваліфікова</w:t>
            </w:r>
            <w:r>
              <w:rPr>
                <w:rFonts w:ascii="Times New Roman" w:hAnsi="Times New Roman" w:cs="Times New Roman"/>
                <w:sz w:val="14"/>
                <w:szCs w:val="14"/>
              </w:rPr>
              <w:t>-</w:t>
            </w:r>
            <w:r w:rsidRPr="007834C7">
              <w:rPr>
                <w:rFonts w:ascii="Times New Roman" w:hAnsi="Times New Roman" w:cs="Times New Roman"/>
                <w:spacing w:val="-8"/>
                <w:sz w:val="14"/>
                <w:szCs w:val="14"/>
              </w:rPr>
              <w:t>них працівників, біжен-</w:t>
            </w:r>
            <w:r w:rsidRPr="0082483E">
              <w:rPr>
                <w:rFonts w:ascii="Times New Roman" w:hAnsi="Times New Roman" w:cs="Times New Roman"/>
                <w:sz w:val="14"/>
                <w:szCs w:val="14"/>
              </w:rPr>
              <w:t>ців і шукачів приту</w:t>
            </w:r>
            <w:r>
              <w:rPr>
                <w:rFonts w:ascii="Times New Roman" w:hAnsi="Times New Roman" w:cs="Times New Roman"/>
                <w:sz w:val="14"/>
                <w:szCs w:val="14"/>
              </w:rPr>
              <w:t>-</w:t>
            </w:r>
            <w:r w:rsidRPr="0082483E">
              <w:rPr>
                <w:rFonts w:ascii="Times New Roman" w:hAnsi="Times New Roman" w:cs="Times New Roman"/>
                <w:sz w:val="14"/>
                <w:szCs w:val="14"/>
              </w:rPr>
              <w:t>лку.</w:t>
            </w:r>
          </w:p>
        </w:tc>
      </w:tr>
    </w:tbl>
    <w:p w:rsidR="00B233DE" w:rsidRDefault="00B233DE" w:rsidP="00B233DE">
      <w:pPr>
        <w:jc w:val="right"/>
        <w:rPr>
          <w:rFonts w:ascii="Times New Roman" w:hAnsi="Times New Roman" w:cs="Times New Roman"/>
          <w:sz w:val="21"/>
          <w:szCs w:val="21"/>
        </w:rPr>
      </w:pPr>
      <w:r>
        <w:rPr>
          <w:rFonts w:ascii="Times New Roman" w:hAnsi="Times New Roman" w:cs="Times New Roman"/>
          <w:sz w:val="21"/>
          <w:szCs w:val="21"/>
        </w:rPr>
        <w:lastRenderedPageBreak/>
        <w:t>Продовження таблиці 4.4</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1559"/>
        <w:gridCol w:w="851"/>
        <w:gridCol w:w="2363"/>
        <w:gridCol w:w="1340"/>
        <w:gridCol w:w="1543"/>
        <w:gridCol w:w="1274"/>
      </w:tblGrid>
      <w:tr w:rsidR="00B233DE" w:rsidRPr="00B000BE" w:rsidTr="0023489B">
        <w:trPr>
          <w:trHeight w:hRule="exact" w:val="210"/>
        </w:trPr>
        <w:tc>
          <w:tcPr>
            <w:tcW w:w="709" w:type="dxa"/>
            <w:vAlign w:val="center"/>
          </w:tcPr>
          <w:p w:rsidR="00B233DE" w:rsidRPr="0082483E" w:rsidRDefault="00B233DE" w:rsidP="0023489B">
            <w:pPr>
              <w:spacing w:after="200" w:line="276" w:lineRule="auto"/>
              <w:ind w:firstLine="0"/>
              <w:jc w:val="center"/>
              <w:rPr>
                <w:rFonts w:ascii="Times New Roman" w:hAnsi="Times New Roman" w:cs="Times New Roman"/>
                <w:sz w:val="14"/>
                <w:szCs w:val="14"/>
              </w:rPr>
            </w:pPr>
            <w:r w:rsidRPr="0082483E">
              <w:rPr>
                <w:rFonts w:ascii="Times New Roman" w:hAnsi="Times New Roman" w:cs="Times New Roman"/>
                <w:sz w:val="14"/>
                <w:szCs w:val="14"/>
              </w:rPr>
              <w:t>1</w:t>
            </w:r>
          </w:p>
        </w:tc>
        <w:tc>
          <w:tcPr>
            <w:tcW w:w="1559" w:type="dxa"/>
            <w:vAlign w:val="center"/>
          </w:tcPr>
          <w:p w:rsidR="00B233DE" w:rsidRPr="0082483E" w:rsidRDefault="00B233DE" w:rsidP="0023489B">
            <w:pPr>
              <w:spacing w:after="200" w:line="276" w:lineRule="auto"/>
              <w:ind w:firstLine="0"/>
              <w:jc w:val="center"/>
              <w:rPr>
                <w:rFonts w:ascii="Times New Roman" w:hAnsi="Times New Roman" w:cs="Times New Roman"/>
                <w:sz w:val="14"/>
                <w:szCs w:val="14"/>
              </w:rPr>
            </w:pPr>
            <w:r w:rsidRPr="0082483E">
              <w:rPr>
                <w:rFonts w:ascii="Times New Roman" w:hAnsi="Times New Roman" w:cs="Times New Roman"/>
                <w:sz w:val="14"/>
                <w:szCs w:val="14"/>
              </w:rPr>
              <w:t>2</w:t>
            </w:r>
          </w:p>
        </w:tc>
        <w:tc>
          <w:tcPr>
            <w:tcW w:w="851" w:type="dxa"/>
            <w:vAlign w:val="center"/>
          </w:tcPr>
          <w:p w:rsidR="00B233DE" w:rsidRPr="0082483E" w:rsidRDefault="00B233DE" w:rsidP="0023489B">
            <w:pPr>
              <w:spacing w:after="200" w:line="276" w:lineRule="auto"/>
              <w:ind w:firstLine="0"/>
              <w:jc w:val="center"/>
              <w:rPr>
                <w:rFonts w:ascii="Times New Roman" w:hAnsi="Times New Roman" w:cs="Times New Roman"/>
                <w:sz w:val="14"/>
                <w:szCs w:val="14"/>
              </w:rPr>
            </w:pPr>
            <w:r w:rsidRPr="0082483E">
              <w:rPr>
                <w:rFonts w:ascii="Times New Roman" w:hAnsi="Times New Roman" w:cs="Times New Roman"/>
                <w:sz w:val="14"/>
                <w:szCs w:val="14"/>
              </w:rPr>
              <w:t>3</w:t>
            </w:r>
          </w:p>
        </w:tc>
        <w:tc>
          <w:tcPr>
            <w:tcW w:w="2363" w:type="dxa"/>
            <w:vAlign w:val="center"/>
          </w:tcPr>
          <w:p w:rsidR="00B233DE" w:rsidRPr="0082483E" w:rsidRDefault="00B233DE" w:rsidP="0023489B">
            <w:pPr>
              <w:spacing w:after="200" w:line="276" w:lineRule="auto"/>
              <w:ind w:firstLine="0"/>
              <w:jc w:val="center"/>
              <w:rPr>
                <w:rFonts w:ascii="Times New Roman" w:hAnsi="Times New Roman" w:cs="Times New Roman"/>
                <w:sz w:val="14"/>
                <w:szCs w:val="14"/>
              </w:rPr>
            </w:pPr>
            <w:r w:rsidRPr="0082483E">
              <w:rPr>
                <w:rFonts w:ascii="Times New Roman" w:hAnsi="Times New Roman" w:cs="Times New Roman"/>
                <w:sz w:val="14"/>
                <w:szCs w:val="14"/>
              </w:rPr>
              <w:t>4</w:t>
            </w:r>
          </w:p>
        </w:tc>
        <w:tc>
          <w:tcPr>
            <w:tcW w:w="1340" w:type="dxa"/>
            <w:vAlign w:val="center"/>
          </w:tcPr>
          <w:p w:rsidR="00B233DE" w:rsidRPr="0082483E" w:rsidRDefault="00B233DE" w:rsidP="0023489B">
            <w:pPr>
              <w:spacing w:after="200" w:line="276" w:lineRule="auto"/>
              <w:ind w:firstLine="0"/>
              <w:jc w:val="center"/>
              <w:rPr>
                <w:rFonts w:ascii="Times New Roman" w:hAnsi="Times New Roman" w:cs="Times New Roman"/>
                <w:sz w:val="14"/>
                <w:szCs w:val="14"/>
              </w:rPr>
            </w:pPr>
            <w:r w:rsidRPr="0082483E">
              <w:rPr>
                <w:rFonts w:ascii="Times New Roman" w:hAnsi="Times New Roman" w:cs="Times New Roman"/>
                <w:sz w:val="14"/>
                <w:szCs w:val="14"/>
              </w:rPr>
              <w:t>5</w:t>
            </w:r>
          </w:p>
        </w:tc>
        <w:tc>
          <w:tcPr>
            <w:tcW w:w="1543" w:type="dxa"/>
            <w:vAlign w:val="center"/>
          </w:tcPr>
          <w:p w:rsidR="00B233DE" w:rsidRPr="0082483E" w:rsidRDefault="00B233DE" w:rsidP="0023489B">
            <w:pPr>
              <w:spacing w:after="200" w:line="276" w:lineRule="auto"/>
              <w:ind w:firstLine="0"/>
              <w:jc w:val="center"/>
              <w:rPr>
                <w:rFonts w:ascii="Times New Roman" w:hAnsi="Times New Roman" w:cs="Times New Roman"/>
                <w:sz w:val="14"/>
                <w:szCs w:val="14"/>
              </w:rPr>
            </w:pPr>
            <w:r w:rsidRPr="0082483E">
              <w:rPr>
                <w:rFonts w:ascii="Times New Roman" w:hAnsi="Times New Roman" w:cs="Times New Roman"/>
                <w:sz w:val="14"/>
                <w:szCs w:val="14"/>
              </w:rPr>
              <w:t>6</w:t>
            </w:r>
          </w:p>
        </w:tc>
        <w:tc>
          <w:tcPr>
            <w:tcW w:w="1274" w:type="dxa"/>
            <w:vAlign w:val="center"/>
          </w:tcPr>
          <w:p w:rsidR="00B233DE" w:rsidRPr="0082483E" w:rsidRDefault="00B233DE" w:rsidP="0023489B">
            <w:pPr>
              <w:spacing w:after="200" w:line="276" w:lineRule="auto"/>
              <w:jc w:val="center"/>
              <w:rPr>
                <w:rFonts w:ascii="Times New Roman" w:hAnsi="Times New Roman" w:cs="Times New Roman"/>
                <w:sz w:val="14"/>
                <w:szCs w:val="14"/>
              </w:rPr>
            </w:pPr>
            <w:r w:rsidRPr="0082483E">
              <w:rPr>
                <w:rFonts w:ascii="Times New Roman" w:hAnsi="Times New Roman" w:cs="Times New Roman"/>
                <w:sz w:val="14"/>
                <w:szCs w:val="14"/>
              </w:rPr>
              <w:t>7</w:t>
            </w:r>
          </w:p>
        </w:tc>
      </w:tr>
      <w:tr w:rsidR="00B233DE" w:rsidRPr="00B000BE" w:rsidTr="0023489B">
        <w:tc>
          <w:tcPr>
            <w:tcW w:w="709" w:type="dxa"/>
          </w:tcPr>
          <w:p w:rsidR="00B233DE" w:rsidRPr="0082483E" w:rsidRDefault="00B233DE" w:rsidP="0023489B">
            <w:pPr>
              <w:ind w:left="-108" w:right="-108" w:firstLine="0"/>
              <w:jc w:val="center"/>
              <w:rPr>
                <w:rFonts w:ascii="Times New Roman" w:hAnsi="Times New Roman" w:cs="Times New Roman"/>
                <w:sz w:val="14"/>
                <w:szCs w:val="14"/>
              </w:rPr>
            </w:pPr>
          </w:p>
        </w:tc>
        <w:tc>
          <w:tcPr>
            <w:tcW w:w="1559" w:type="dxa"/>
          </w:tcPr>
          <w:p w:rsidR="00B233DE" w:rsidRPr="0082483E" w:rsidRDefault="00B233DE" w:rsidP="0023489B">
            <w:pPr>
              <w:ind w:left="-108" w:right="-108" w:firstLine="0"/>
              <w:jc w:val="both"/>
              <w:rPr>
                <w:rFonts w:ascii="Times New Roman" w:hAnsi="Times New Roman" w:cs="Times New Roman"/>
                <w:sz w:val="14"/>
                <w:szCs w:val="14"/>
              </w:rPr>
            </w:pPr>
            <w:r w:rsidRPr="0082483E">
              <w:rPr>
                <w:rFonts w:ascii="Times New Roman" w:hAnsi="Times New Roman" w:cs="Times New Roman"/>
                <w:sz w:val="14"/>
                <w:szCs w:val="14"/>
              </w:rPr>
              <w:t>Конг, Іран і Малайзія.</w:t>
            </w:r>
          </w:p>
          <w:p w:rsidR="00B233DE" w:rsidRPr="0082483E" w:rsidRDefault="00B233DE" w:rsidP="0023489B">
            <w:pPr>
              <w:ind w:left="-108" w:right="-108" w:firstLine="0"/>
              <w:jc w:val="both"/>
              <w:rPr>
                <w:rFonts w:ascii="Times New Roman" w:hAnsi="Times New Roman" w:cs="Times New Roman"/>
                <w:sz w:val="14"/>
                <w:szCs w:val="14"/>
              </w:rPr>
            </w:pPr>
            <w:r w:rsidRPr="0082483E">
              <w:rPr>
                <w:rFonts w:ascii="Times New Roman" w:hAnsi="Times New Roman" w:cs="Times New Roman"/>
                <w:sz w:val="14"/>
                <w:szCs w:val="14"/>
              </w:rPr>
              <w:t>Загальний потік грошо</w:t>
            </w:r>
            <w:r>
              <w:rPr>
                <w:rFonts w:ascii="Times New Roman" w:hAnsi="Times New Roman" w:cs="Times New Roman"/>
                <w:sz w:val="14"/>
                <w:szCs w:val="14"/>
              </w:rPr>
              <w:t>-</w:t>
            </w:r>
            <w:r w:rsidRPr="007834C7">
              <w:rPr>
                <w:rFonts w:ascii="Times New Roman" w:hAnsi="Times New Roman" w:cs="Times New Roman"/>
                <w:spacing w:val="-6"/>
                <w:sz w:val="14"/>
                <w:szCs w:val="14"/>
              </w:rPr>
              <w:t>вих переказів в Азію склав</w:t>
            </w:r>
            <w:r w:rsidRPr="0082483E">
              <w:rPr>
                <w:rFonts w:ascii="Times New Roman" w:hAnsi="Times New Roman" w:cs="Times New Roman"/>
                <w:sz w:val="14"/>
                <w:szCs w:val="14"/>
              </w:rPr>
              <w:t xml:space="preserve"> 162,5 млрд дол. у 2009 р. (39% світового обсягу) [</w:t>
            </w:r>
            <w:r>
              <w:rPr>
                <w:rFonts w:ascii="Times New Roman" w:hAnsi="Times New Roman" w:cs="Times New Roman"/>
                <w:sz w:val="14"/>
                <w:szCs w:val="14"/>
                <w:lang w:val="en-US"/>
              </w:rPr>
              <w:fldChar w:fldCharType="begin"/>
            </w:r>
            <w:r>
              <w:rPr>
                <w:rFonts w:ascii="Times New Roman" w:hAnsi="Times New Roman" w:cs="Times New Roman"/>
                <w:sz w:val="14"/>
                <w:szCs w:val="14"/>
              </w:rPr>
              <w:instrText xml:space="preserve"> REF _Ref435186859 \r \h </w:instrText>
            </w:r>
            <w:r>
              <w:rPr>
                <w:rFonts w:ascii="Times New Roman" w:hAnsi="Times New Roman" w:cs="Times New Roman"/>
                <w:sz w:val="14"/>
                <w:szCs w:val="14"/>
                <w:lang w:val="en-US"/>
              </w:rPr>
            </w:r>
            <w:r>
              <w:rPr>
                <w:rFonts w:ascii="Times New Roman" w:hAnsi="Times New Roman" w:cs="Times New Roman"/>
                <w:sz w:val="14"/>
                <w:szCs w:val="14"/>
                <w:lang w:val="en-US"/>
              </w:rPr>
              <w:fldChar w:fldCharType="separate"/>
            </w:r>
            <w:r>
              <w:rPr>
                <w:rFonts w:ascii="Times New Roman" w:hAnsi="Times New Roman" w:cs="Times New Roman"/>
                <w:sz w:val="14"/>
                <w:szCs w:val="14"/>
              </w:rPr>
              <w:t>109</w:t>
            </w:r>
            <w:r>
              <w:rPr>
                <w:rFonts w:ascii="Times New Roman" w:hAnsi="Times New Roman" w:cs="Times New Roman"/>
                <w:sz w:val="14"/>
                <w:szCs w:val="14"/>
                <w:lang w:val="en-US"/>
              </w:rPr>
              <w:fldChar w:fldCharType="end"/>
            </w:r>
            <w:r w:rsidRPr="0082483E">
              <w:rPr>
                <w:rFonts w:ascii="Times New Roman" w:hAnsi="Times New Roman" w:cs="Times New Roman"/>
                <w:sz w:val="14"/>
                <w:szCs w:val="14"/>
              </w:rPr>
              <w:t>]</w:t>
            </w:r>
          </w:p>
        </w:tc>
        <w:tc>
          <w:tcPr>
            <w:tcW w:w="851" w:type="dxa"/>
          </w:tcPr>
          <w:p w:rsidR="00B233DE" w:rsidRPr="0082483E" w:rsidRDefault="00B233DE" w:rsidP="0023489B">
            <w:pPr>
              <w:ind w:firstLine="0"/>
              <w:rPr>
                <w:rFonts w:ascii="Times New Roman" w:hAnsi="Times New Roman" w:cs="Times New Roman"/>
                <w:sz w:val="14"/>
                <w:szCs w:val="14"/>
              </w:rPr>
            </w:pPr>
          </w:p>
        </w:tc>
        <w:tc>
          <w:tcPr>
            <w:tcW w:w="2363" w:type="dxa"/>
          </w:tcPr>
          <w:p w:rsidR="00B233DE" w:rsidRPr="0082483E" w:rsidRDefault="00B233DE" w:rsidP="0023489B">
            <w:pPr>
              <w:ind w:left="-108" w:right="-13" w:firstLine="0"/>
              <w:jc w:val="both"/>
              <w:rPr>
                <w:rFonts w:ascii="Times New Roman" w:hAnsi="Times New Roman" w:cs="Times New Roman"/>
                <w:sz w:val="14"/>
                <w:szCs w:val="14"/>
              </w:rPr>
            </w:pPr>
            <w:r w:rsidRPr="0082483E">
              <w:rPr>
                <w:rFonts w:ascii="Times New Roman" w:hAnsi="Times New Roman" w:cs="Times New Roman"/>
                <w:sz w:val="14"/>
                <w:szCs w:val="14"/>
              </w:rPr>
              <w:t>досягли найбільших успіхів у вико</w:t>
            </w:r>
            <w:r>
              <w:rPr>
                <w:rFonts w:ascii="Times New Roman" w:hAnsi="Times New Roman" w:cs="Times New Roman"/>
                <w:sz w:val="14"/>
                <w:szCs w:val="14"/>
              </w:rPr>
              <w:t>-</w:t>
            </w:r>
            <w:r w:rsidRPr="0082483E">
              <w:rPr>
                <w:rFonts w:ascii="Times New Roman" w:hAnsi="Times New Roman" w:cs="Times New Roman"/>
                <w:sz w:val="14"/>
                <w:szCs w:val="14"/>
              </w:rPr>
              <w:t>ристанні транснаціональних зв’язків мігрантів для підвищення людського потенціалу. Результатом став інтен</w:t>
            </w:r>
            <w:r>
              <w:rPr>
                <w:rFonts w:ascii="Times New Roman" w:hAnsi="Times New Roman" w:cs="Times New Roman"/>
                <w:sz w:val="14"/>
                <w:szCs w:val="14"/>
              </w:rPr>
              <w:t>-</w:t>
            </w:r>
            <w:r w:rsidRPr="0082483E">
              <w:rPr>
                <w:rFonts w:ascii="Times New Roman" w:hAnsi="Times New Roman" w:cs="Times New Roman"/>
                <w:sz w:val="14"/>
                <w:szCs w:val="14"/>
              </w:rPr>
              <w:t>сивний розвиток високотехноло</w:t>
            </w:r>
            <w:r>
              <w:rPr>
                <w:rFonts w:ascii="Times New Roman" w:hAnsi="Times New Roman" w:cs="Times New Roman"/>
                <w:sz w:val="14"/>
                <w:szCs w:val="14"/>
              </w:rPr>
              <w:t>-</w:t>
            </w:r>
            <w:r w:rsidRPr="0082483E">
              <w:rPr>
                <w:rFonts w:ascii="Times New Roman" w:hAnsi="Times New Roman" w:cs="Times New Roman"/>
                <w:sz w:val="14"/>
                <w:szCs w:val="14"/>
              </w:rPr>
              <w:t>гічних галузей промисловості, ефек</w:t>
            </w:r>
            <w:r>
              <w:rPr>
                <w:rFonts w:ascii="Times New Roman" w:hAnsi="Times New Roman" w:cs="Times New Roman"/>
                <w:sz w:val="14"/>
                <w:szCs w:val="14"/>
              </w:rPr>
              <w:t>-</w:t>
            </w:r>
            <w:r w:rsidRPr="0082483E">
              <w:rPr>
                <w:rFonts w:ascii="Times New Roman" w:hAnsi="Times New Roman" w:cs="Times New Roman"/>
                <w:sz w:val="14"/>
                <w:szCs w:val="14"/>
              </w:rPr>
              <w:t>тивна діяльність венчурних підпри</w:t>
            </w:r>
            <w:r>
              <w:rPr>
                <w:rFonts w:ascii="Times New Roman" w:hAnsi="Times New Roman" w:cs="Times New Roman"/>
                <w:sz w:val="14"/>
                <w:szCs w:val="14"/>
              </w:rPr>
              <w:t>-</w:t>
            </w:r>
            <w:r w:rsidRPr="0082483E">
              <w:rPr>
                <w:rFonts w:ascii="Times New Roman" w:hAnsi="Times New Roman" w:cs="Times New Roman"/>
                <w:sz w:val="14"/>
                <w:szCs w:val="14"/>
              </w:rPr>
              <w:t>ємств, накопичення і використання інноваційного потенціалу та інвести</w:t>
            </w:r>
            <w:r>
              <w:rPr>
                <w:rFonts w:ascii="Times New Roman" w:hAnsi="Times New Roman" w:cs="Times New Roman"/>
                <w:sz w:val="14"/>
                <w:szCs w:val="14"/>
              </w:rPr>
              <w:t>-</w:t>
            </w:r>
            <w:r w:rsidRPr="0082483E">
              <w:rPr>
                <w:rFonts w:ascii="Times New Roman" w:hAnsi="Times New Roman" w:cs="Times New Roman"/>
                <w:sz w:val="14"/>
                <w:szCs w:val="14"/>
              </w:rPr>
              <w:t>ційного капіталу.</w:t>
            </w:r>
          </w:p>
        </w:tc>
        <w:tc>
          <w:tcPr>
            <w:tcW w:w="1340" w:type="dxa"/>
          </w:tcPr>
          <w:p w:rsidR="00B233DE" w:rsidRPr="0082483E" w:rsidRDefault="00B233DE" w:rsidP="0023489B">
            <w:pPr>
              <w:ind w:left="-61" w:right="-90" w:firstLine="0"/>
              <w:jc w:val="both"/>
              <w:rPr>
                <w:rFonts w:ascii="Times New Roman" w:hAnsi="Times New Roman" w:cs="Times New Roman"/>
                <w:sz w:val="14"/>
                <w:szCs w:val="14"/>
              </w:rPr>
            </w:pPr>
          </w:p>
        </w:tc>
        <w:tc>
          <w:tcPr>
            <w:tcW w:w="1543" w:type="dxa"/>
          </w:tcPr>
          <w:p w:rsidR="00B233DE" w:rsidRPr="0082483E" w:rsidRDefault="00B233DE" w:rsidP="0023489B">
            <w:pPr>
              <w:ind w:left="-126" w:right="-107" w:firstLine="0"/>
              <w:jc w:val="center"/>
              <w:rPr>
                <w:rFonts w:ascii="Times New Roman" w:hAnsi="Times New Roman" w:cs="Times New Roman"/>
                <w:sz w:val="14"/>
                <w:szCs w:val="14"/>
              </w:rPr>
            </w:pPr>
          </w:p>
        </w:tc>
        <w:tc>
          <w:tcPr>
            <w:tcW w:w="1274" w:type="dxa"/>
          </w:tcPr>
          <w:p w:rsidR="00B233DE" w:rsidRPr="0082483E" w:rsidRDefault="00B233DE" w:rsidP="0023489B">
            <w:pPr>
              <w:ind w:left="-126" w:right="-107" w:firstLine="0"/>
              <w:jc w:val="center"/>
              <w:rPr>
                <w:rFonts w:ascii="Times New Roman" w:hAnsi="Times New Roman" w:cs="Times New Roman"/>
                <w:sz w:val="14"/>
                <w:szCs w:val="14"/>
              </w:rPr>
            </w:pPr>
          </w:p>
        </w:tc>
      </w:tr>
      <w:tr w:rsidR="00B233DE" w:rsidRPr="001F01D4" w:rsidTr="0023489B">
        <w:tc>
          <w:tcPr>
            <w:tcW w:w="709" w:type="dxa"/>
          </w:tcPr>
          <w:p w:rsidR="00B233DE" w:rsidRDefault="00B233DE" w:rsidP="0023489B">
            <w:pPr>
              <w:ind w:left="-108" w:right="-108" w:firstLine="0"/>
              <w:jc w:val="center"/>
              <w:rPr>
                <w:rFonts w:ascii="Times New Roman" w:hAnsi="Times New Roman" w:cs="Times New Roman"/>
                <w:sz w:val="14"/>
                <w:szCs w:val="14"/>
              </w:rPr>
            </w:pPr>
            <w:r w:rsidRPr="007834C7">
              <w:rPr>
                <w:rFonts w:ascii="Times New Roman" w:hAnsi="Times New Roman" w:cs="Times New Roman"/>
                <w:sz w:val="14"/>
                <w:szCs w:val="14"/>
              </w:rPr>
              <w:t xml:space="preserve">Європа </w:t>
            </w:r>
          </w:p>
          <w:p w:rsidR="00B233DE" w:rsidRPr="007834C7" w:rsidRDefault="00B233DE" w:rsidP="0023489B">
            <w:pPr>
              <w:ind w:left="-108" w:right="-108" w:firstLine="0"/>
              <w:jc w:val="center"/>
              <w:rPr>
                <w:rFonts w:ascii="Times New Roman" w:hAnsi="Times New Roman" w:cs="Times New Roman"/>
                <w:sz w:val="14"/>
                <w:szCs w:val="14"/>
              </w:rPr>
            </w:pPr>
            <w:r w:rsidRPr="007834C7">
              <w:rPr>
                <w:rFonts w:ascii="Times New Roman" w:hAnsi="Times New Roman" w:cs="Times New Roman"/>
                <w:sz w:val="14"/>
                <w:szCs w:val="14"/>
              </w:rPr>
              <w:t>та Цен</w:t>
            </w:r>
            <w:r>
              <w:rPr>
                <w:rFonts w:ascii="Times New Roman" w:hAnsi="Times New Roman" w:cs="Times New Roman"/>
                <w:sz w:val="14"/>
                <w:szCs w:val="14"/>
              </w:rPr>
              <w:t>-</w:t>
            </w:r>
            <w:r w:rsidRPr="007834C7">
              <w:rPr>
                <w:rFonts w:ascii="Times New Roman" w:hAnsi="Times New Roman" w:cs="Times New Roman"/>
                <w:sz w:val="14"/>
                <w:szCs w:val="14"/>
              </w:rPr>
              <w:t>тральна Азія</w:t>
            </w:r>
          </w:p>
        </w:tc>
        <w:tc>
          <w:tcPr>
            <w:tcW w:w="1559" w:type="dxa"/>
          </w:tcPr>
          <w:p w:rsidR="00B233DE" w:rsidRDefault="00B233DE" w:rsidP="0023489B">
            <w:pPr>
              <w:ind w:left="-108" w:right="-108" w:firstLine="0"/>
              <w:jc w:val="both"/>
              <w:rPr>
                <w:rFonts w:ascii="Times New Roman" w:hAnsi="Times New Roman" w:cs="Times New Roman"/>
                <w:spacing w:val="-2"/>
                <w:sz w:val="14"/>
                <w:szCs w:val="14"/>
              </w:rPr>
            </w:pPr>
            <w:r w:rsidRPr="007834C7">
              <w:rPr>
                <w:rFonts w:ascii="Times New Roman" w:hAnsi="Times New Roman" w:cs="Times New Roman"/>
                <w:spacing w:val="-2"/>
                <w:sz w:val="14"/>
                <w:szCs w:val="14"/>
              </w:rPr>
              <w:t>На 2010 рік 72,6 млн міг</w:t>
            </w:r>
            <w:r>
              <w:rPr>
                <w:rFonts w:ascii="Times New Roman" w:hAnsi="Times New Roman" w:cs="Times New Roman"/>
                <w:spacing w:val="-2"/>
                <w:sz w:val="14"/>
                <w:szCs w:val="14"/>
              </w:rPr>
              <w:t>-</w:t>
            </w:r>
            <w:r w:rsidRPr="00EF5C19">
              <w:rPr>
                <w:rFonts w:ascii="Times New Roman" w:hAnsi="Times New Roman" w:cs="Times New Roman"/>
                <w:spacing w:val="-6"/>
                <w:sz w:val="14"/>
                <w:szCs w:val="14"/>
              </w:rPr>
              <w:t>рантів. Протягом 2008–2012</w:t>
            </w:r>
            <w:r w:rsidRPr="007834C7">
              <w:rPr>
                <w:rFonts w:ascii="Times New Roman" w:hAnsi="Times New Roman" w:cs="Times New Roman"/>
                <w:spacing w:val="-2"/>
                <w:sz w:val="14"/>
                <w:szCs w:val="14"/>
              </w:rPr>
              <w:t xml:space="preserve"> років Південна Європа за</w:t>
            </w:r>
            <w:r>
              <w:rPr>
                <w:rFonts w:ascii="Times New Roman" w:hAnsi="Times New Roman" w:cs="Times New Roman"/>
                <w:spacing w:val="-2"/>
                <w:sz w:val="14"/>
                <w:szCs w:val="14"/>
              </w:rPr>
              <w:t>-</w:t>
            </w:r>
            <w:r w:rsidRPr="007834C7">
              <w:rPr>
                <w:rFonts w:ascii="Times New Roman" w:hAnsi="Times New Roman" w:cs="Times New Roman"/>
                <w:spacing w:val="-2"/>
                <w:sz w:val="14"/>
                <w:szCs w:val="14"/>
              </w:rPr>
              <w:t>знала найбільшого прито</w:t>
            </w:r>
            <w:r>
              <w:rPr>
                <w:rFonts w:ascii="Times New Roman" w:hAnsi="Times New Roman" w:cs="Times New Roman"/>
                <w:spacing w:val="-2"/>
                <w:sz w:val="14"/>
                <w:szCs w:val="14"/>
              </w:rPr>
              <w:t>-</w:t>
            </w:r>
            <w:r w:rsidRPr="007834C7">
              <w:rPr>
                <w:rFonts w:ascii="Times New Roman" w:hAnsi="Times New Roman" w:cs="Times New Roman"/>
                <w:spacing w:val="-2"/>
                <w:sz w:val="14"/>
                <w:szCs w:val="14"/>
              </w:rPr>
              <w:t>ку мігрантів (середньоріч</w:t>
            </w:r>
            <w:r>
              <w:rPr>
                <w:rFonts w:ascii="Times New Roman" w:hAnsi="Times New Roman" w:cs="Times New Roman"/>
                <w:spacing w:val="-2"/>
                <w:sz w:val="14"/>
                <w:szCs w:val="14"/>
              </w:rPr>
              <w:t>-</w:t>
            </w:r>
            <w:r w:rsidRPr="007834C7">
              <w:rPr>
                <w:rFonts w:ascii="Times New Roman" w:hAnsi="Times New Roman" w:cs="Times New Roman"/>
                <w:spacing w:val="-2"/>
                <w:sz w:val="14"/>
                <w:szCs w:val="14"/>
              </w:rPr>
              <w:t>ний міграційний приріст склав 5,2%), в той час як для Центральної Азії ха</w:t>
            </w:r>
            <w:r>
              <w:rPr>
                <w:rFonts w:ascii="Times New Roman" w:hAnsi="Times New Roman" w:cs="Times New Roman"/>
                <w:spacing w:val="-2"/>
                <w:sz w:val="14"/>
                <w:szCs w:val="14"/>
              </w:rPr>
              <w:t>-</w:t>
            </w:r>
            <w:r w:rsidRPr="007834C7">
              <w:rPr>
                <w:rFonts w:ascii="Times New Roman" w:hAnsi="Times New Roman" w:cs="Times New Roman"/>
                <w:spacing w:val="-2"/>
                <w:sz w:val="14"/>
                <w:szCs w:val="14"/>
              </w:rPr>
              <w:t>рактерним було зниження міграційного приросту на 0,4</w:t>
            </w:r>
            <w:r>
              <w:rPr>
                <w:rFonts w:ascii="Times New Roman" w:hAnsi="Times New Roman" w:cs="Times New Roman"/>
                <w:spacing w:val="-2"/>
                <w:sz w:val="14"/>
                <w:szCs w:val="14"/>
              </w:rPr>
              <w:t xml:space="preserve"> %. </w:t>
            </w:r>
          </w:p>
          <w:p w:rsidR="00B233DE" w:rsidRPr="007834C7" w:rsidRDefault="00B233DE" w:rsidP="0023489B">
            <w:pPr>
              <w:ind w:left="-108" w:right="-108" w:firstLine="108"/>
              <w:jc w:val="both"/>
              <w:rPr>
                <w:rFonts w:ascii="Times New Roman" w:hAnsi="Times New Roman" w:cs="Times New Roman"/>
                <w:spacing w:val="-2"/>
                <w:sz w:val="14"/>
                <w:szCs w:val="14"/>
              </w:rPr>
            </w:pPr>
            <w:r w:rsidRPr="007834C7">
              <w:rPr>
                <w:rFonts w:ascii="Times New Roman" w:hAnsi="Times New Roman" w:cs="Times New Roman"/>
                <w:spacing w:val="-2"/>
                <w:sz w:val="14"/>
                <w:szCs w:val="14"/>
              </w:rPr>
              <w:t>Російська Федерація є одночасно найбільш знач</w:t>
            </w:r>
            <w:r>
              <w:rPr>
                <w:rFonts w:ascii="Times New Roman" w:hAnsi="Times New Roman" w:cs="Times New Roman"/>
                <w:spacing w:val="-2"/>
                <w:sz w:val="14"/>
                <w:szCs w:val="14"/>
              </w:rPr>
              <w:t>-</w:t>
            </w:r>
            <w:r w:rsidRPr="007834C7">
              <w:rPr>
                <w:rFonts w:ascii="Times New Roman" w:hAnsi="Times New Roman" w:cs="Times New Roman"/>
                <w:spacing w:val="-2"/>
                <w:sz w:val="14"/>
                <w:szCs w:val="14"/>
              </w:rPr>
              <w:t>ною країною походження і призначення мігрантів у регіоні з 12 млн росіян, що проживають за межами країни і 12 млн іноземців, що проживають на її тери</w:t>
            </w:r>
            <w:r>
              <w:rPr>
                <w:rFonts w:ascii="Times New Roman" w:hAnsi="Times New Roman" w:cs="Times New Roman"/>
                <w:spacing w:val="-2"/>
                <w:sz w:val="14"/>
                <w:szCs w:val="14"/>
              </w:rPr>
              <w:t>-</w:t>
            </w:r>
            <w:r w:rsidRPr="00EF5C19">
              <w:rPr>
                <w:rFonts w:ascii="Times New Roman" w:hAnsi="Times New Roman" w:cs="Times New Roman"/>
                <w:spacing w:val="-6"/>
                <w:sz w:val="14"/>
                <w:szCs w:val="14"/>
              </w:rPr>
              <w:t>торії. Таджикистан, Молдо-</w:t>
            </w:r>
            <w:r w:rsidRPr="007834C7">
              <w:rPr>
                <w:rFonts w:ascii="Times New Roman" w:hAnsi="Times New Roman" w:cs="Times New Roman"/>
                <w:spacing w:val="-2"/>
                <w:sz w:val="14"/>
                <w:szCs w:val="14"/>
              </w:rPr>
              <w:t xml:space="preserve">ва і Киргизстан є країнами </w:t>
            </w:r>
            <w:r w:rsidRPr="00EF5C19">
              <w:rPr>
                <w:rFonts w:ascii="Times New Roman" w:hAnsi="Times New Roman" w:cs="Times New Roman"/>
                <w:spacing w:val="-6"/>
                <w:sz w:val="14"/>
                <w:szCs w:val="14"/>
              </w:rPr>
              <w:t>із найбільшою часткою гро-</w:t>
            </w:r>
            <w:r w:rsidRPr="007834C7">
              <w:rPr>
                <w:rFonts w:ascii="Times New Roman" w:hAnsi="Times New Roman" w:cs="Times New Roman"/>
                <w:spacing w:val="-2"/>
                <w:sz w:val="14"/>
                <w:szCs w:val="14"/>
              </w:rPr>
              <w:t xml:space="preserve">шових переказів у складі </w:t>
            </w:r>
            <w:r w:rsidRPr="00EF5C19">
              <w:rPr>
                <w:rFonts w:ascii="Times New Roman" w:hAnsi="Times New Roman" w:cs="Times New Roman"/>
                <w:spacing w:val="-8"/>
                <w:sz w:val="14"/>
                <w:szCs w:val="14"/>
              </w:rPr>
              <w:t xml:space="preserve">ВВП (49,6 %, 31,4 % та </w:t>
            </w:r>
          </w:p>
        </w:tc>
        <w:tc>
          <w:tcPr>
            <w:tcW w:w="851" w:type="dxa"/>
          </w:tcPr>
          <w:p w:rsidR="00B233DE" w:rsidRPr="007834C7" w:rsidRDefault="00B233DE" w:rsidP="0023489B">
            <w:pPr>
              <w:ind w:left="-108" w:right="-108" w:firstLine="0"/>
              <w:jc w:val="center"/>
              <w:rPr>
                <w:rFonts w:ascii="Times New Roman" w:hAnsi="Times New Roman" w:cs="Times New Roman"/>
                <w:sz w:val="14"/>
                <w:szCs w:val="14"/>
              </w:rPr>
            </w:pPr>
            <w:r w:rsidRPr="007834C7">
              <w:rPr>
                <w:rFonts w:ascii="Times New Roman" w:hAnsi="Times New Roman" w:cs="Times New Roman"/>
                <w:sz w:val="14"/>
                <w:szCs w:val="14"/>
              </w:rPr>
              <w:t>ЄС,</w:t>
            </w:r>
          </w:p>
          <w:p w:rsidR="00B233DE" w:rsidRPr="007834C7" w:rsidRDefault="00B233DE" w:rsidP="0023489B">
            <w:pPr>
              <w:ind w:left="-108" w:right="-108" w:firstLine="0"/>
              <w:jc w:val="center"/>
              <w:rPr>
                <w:rFonts w:ascii="Times New Roman" w:hAnsi="Times New Roman" w:cs="Times New Roman"/>
                <w:sz w:val="14"/>
                <w:szCs w:val="14"/>
              </w:rPr>
            </w:pPr>
            <w:r w:rsidRPr="007834C7">
              <w:rPr>
                <w:rFonts w:ascii="Times New Roman" w:hAnsi="Times New Roman" w:cs="Times New Roman"/>
                <w:sz w:val="14"/>
                <w:szCs w:val="14"/>
              </w:rPr>
              <w:t>Іспанія,</w:t>
            </w:r>
          </w:p>
          <w:p w:rsidR="00B233DE" w:rsidRDefault="00B233DE" w:rsidP="0023489B">
            <w:pPr>
              <w:ind w:left="-108" w:right="-108" w:firstLine="0"/>
              <w:jc w:val="center"/>
              <w:rPr>
                <w:rFonts w:ascii="Times New Roman" w:hAnsi="Times New Roman" w:cs="Times New Roman"/>
                <w:sz w:val="14"/>
                <w:szCs w:val="14"/>
              </w:rPr>
            </w:pPr>
            <w:r w:rsidRPr="007834C7">
              <w:rPr>
                <w:rFonts w:ascii="Times New Roman" w:hAnsi="Times New Roman" w:cs="Times New Roman"/>
                <w:sz w:val="14"/>
                <w:szCs w:val="14"/>
              </w:rPr>
              <w:t xml:space="preserve">Швеція, Італія, </w:t>
            </w:r>
          </w:p>
          <w:p w:rsidR="00B233DE" w:rsidRPr="007834C7" w:rsidRDefault="00B233DE" w:rsidP="0023489B">
            <w:pPr>
              <w:ind w:left="-108" w:right="-108" w:firstLine="0"/>
              <w:jc w:val="center"/>
              <w:rPr>
                <w:rFonts w:ascii="Times New Roman" w:hAnsi="Times New Roman" w:cs="Times New Roman"/>
                <w:sz w:val="14"/>
                <w:szCs w:val="14"/>
              </w:rPr>
            </w:pPr>
            <w:r w:rsidRPr="007834C7">
              <w:rPr>
                <w:rFonts w:ascii="Times New Roman" w:hAnsi="Times New Roman" w:cs="Times New Roman"/>
                <w:spacing w:val="-10"/>
                <w:sz w:val="14"/>
                <w:szCs w:val="14"/>
              </w:rPr>
              <w:t>Ірландія</w:t>
            </w:r>
          </w:p>
        </w:tc>
        <w:tc>
          <w:tcPr>
            <w:tcW w:w="2363" w:type="dxa"/>
          </w:tcPr>
          <w:p w:rsidR="00B233DE" w:rsidRPr="007834C7" w:rsidRDefault="00B233DE" w:rsidP="0023489B">
            <w:pPr>
              <w:ind w:left="-108" w:right="-13" w:firstLine="0"/>
              <w:jc w:val="both"/>
              <w:rPr>
                <w:rFonts w:ascii="Times New Roman" w:hAnsi="Times New Roman" w:cs="Times New Roman"/>
                <w:sz w:val="14"/>
                <w:szCs w:val="14"/>
              </w:rPr>
            </w:pPr>
            <w:r w:rsidRPr="007834C7">
              <w:rPr>
                <w:rFonts w:ascii="Times New Roman" w:hAnsi="Times New Roman" w:cs="Times New Roman"/>
                <w:sz w:val="14"/>
                <w:szCs w:val="14"/>
              </w:rPr>
              <w:t>У ЄС розвинута система визнання професій і кваліфікацій завдяки Бо</w:t>
            </w:r>
            <w:r>
              <w:rPr>
                <w:rFonts w:ascii="Times New Roman" w:hAnsi="Times New Roman" w:cs="Times New Roman"/>
                <w:sz w:val="14"/>
                <w:szCs w:val="14"/>
              </w:rPr>
              <w:t>-</w:t>
            </w:r>
            <w:r w:rsidRPr="00EF5C19">
              <w:rPr>
                <w:rFonts w:ascii="Times New Roman" w:hAnsi="Times New Roman" w:cs="Times New Roman"/>
                <w:spacing w:val="-6"/>
                <w:sz w:val="14"/>
                <w:szCs w:val="14"/>
              </w:rPr>
              <w:t>лонському процесу, створений портал</w:t>
            </w:r>
            <w:r w:rsidRPr="007834C7">
              <w:rPr>
                <w:rFonts w:ascii="Times New Roman" w:hAnsi="Times New Roman" w:cs="Times New Roman"/>
                <w:sz w:val="14"/>
                <w:szCs w:val="14"/>
              </w:rPr>
              <w:t xml:space="preserve"> Європейської трудової мобільності, що містить інформацію роботодавців та шукачів роботи країн ЄС. Вве</w:t>
            </w:r>
            <w:r>
              <w:rPr>
                <w:rFonts w:ascii="Times New Roman" w:hAnsi="Times New Roman" w:cs="Times New Roman"/>
                <w:sz w:val="14"/>
                <w:szCs w:val="14"/>
              </w:rPr>
              <w:t>-</w:t>
            </w:r>
            <w:r w:rsidRPr="007834C7">
              <w:rPr>
                <w:rFonts w:ascii="Times New Roman" w:hAnsi="Times New Roman" w:cs="Times New Roman"/>
                <w:sz w:val="14"/>
                <w:szCs w:val="14"/>
              </w:rPr>
              <w:t>дення Блакитної карти у ЄС надає висококваліфікованим мігрантам рів</w:t>
            </w:r>
            <w:r>
              <w:rPr>
                <w:rFonts w:ascii="Times New Roman" w:hAnsi="Times New Roman" w:cs="Times New Roman"/>
                <w:sz w:val="14"/>
                <w:szCs w:val="14"/>
              </w:rPr>
              <w:t>-</w:t>
            </w:r>
            <w:r w:rsidRPr="007834C7">
              <w:rPr>
                <w:rFonts w:ascii="Times New Roman" w:hAnsi="Times New Roman" w:cs="Times New Roman"/>
                <w:sz w:val="14"/>
                <w:szCs w:val="14"/>
              </w:rPr>
              <w:t>ні права з громадянами країни, де во</w:t>
            </w:r>
            <w:r>
              <w:rPr>
                <w:rFonts w:ascii="Times New Roman" w:hAnsi="Times New Roman" w:cs="Times New Roman"/>
                <w:sz w:val="14"/>
                <w:szCs w:val="14"/>
              </w:rPr>
              <w:t>-</w:t>
            </w:r>
            <w:r w:rsidRPr="007834C7">
              <w:rPr>
                <w:rFonts w:ascii="Times New Roman" w:hAnsi="Times New Roman" w:cs="Times New Roman"/>
                <w:sz w:val="14"/>
                <w:szCs w:val="14"/>
              </w:rPr>
              <w:t>ни працевлаштувались, в сфері умов і оплати праці, освіти і визнання квалі</w:t>
            </w:r>
            <w:r>
              <w:rPr>
                <w:rFonts w:ascii="Times New Roman" w:hAnsi="Times New Roman" w:cs="Times New Roman"/>
                <w:sz w:val="14"/>
                <w:szCs w:val="14"/>
              </w:rPr>
              <w:t>-</w:t>
            </w:r>
            <w:r w:rsidRPr="007834C7">
              <w:rPr>
                <w:rFonts w:ascii="Times New Roman" w:hAnsi="Times New Roman" w:cs="Times New Roman"/>
                <w:sz w:val="14"/>
                <w:szCs w:val="14"/>
              </w:rPr>
              <w:t xml:space="preserve">фікації </w:t>
            </w:r>
            <w:r>
              <w:rPr>
                <w:rFonts w:ascii="Times New Roman" w:hAnsi="Times New Roman" w:cs="Times New Roman"/>
                <w:sz w:val="14"/>
                <w:szCs w:val="14"/>
              </w:rPr>
              <w:t>тощо</w:t>
            </w:r>
            <w:r w:rsidRPr="007834C7">
              <w:rPr>
                <w:rFonts w:ascii="Times New Roman" w:hAnsi="Times New Roman" w:cs="Times New Roman"/>
                <w:sz w:val="14"/>
                <w:szCs w:val="14"/>
              </w:rPr>
              <w:t>. Швеція запровадила ре</w:t>
            </w:r>
            <w:r>
              <w:rPr>
                <w:rFonts w:ascii="Times New Roman" w:hAnsi="Times New Roman" w:cs="Times New Roman"/>
                <w:sz w:val="14"/>
                <w:szCs w:val="14"/>
              </w:rPr>
              <w:t>-</w:t>
            </w:r>
            <w:r w:rsidRPr="007834C7">
              <w:rPr>
                <w:rFonts w:ascii="Times New Roman" w:hAnsi="Times New Roman" w:cs="Times New Roman"/>
                <w:sz w:val="14"/>
                <w:szCs w:val="14"/>
              </w:rPr>
              <w:t>форму в сфері трудової міграції, що базується на детальному дослідженні потреби ринку праці країни і залуче</w:t>
            </w:r>
            <w:r>
              <w:rPr>
                <w:rFonts w:ascii="Times New Roman" w:hAnsi="Times New Roman" w:cs="Times New Roman"/>
                <w:sz w:val="14"/>
                <w:szCs w:val="14"/>
              </w:rPr>
              <w:t>-</w:t>
            </w:r>
            <w:r w:rsidRPr="007834C7">
              <w:rPr>
                <w:rFonts w:ascii="Times New Roman" w:hAnsi="Times New Roman" w:cs="Times New Roman"/>
                <w:sz w:val="14"/>
                <w:szCs w:val="14"/>
              </w:rPr>
              <w:t>нні іноземних працівників відповід</w:t>
            </w:r>
            <w:r>
              <w:rPr>
                <w:rFonts w:ascii="Times New Roman" w:hAnsi="Times New Roman" w:cs="Times New Roman"/>
                <w:sz w:val="14"/>
                <w:szCs w:val="14"/>
              </w:rPr>
              <w:t>-</w:t>
            </w:r>
            <w:r w:rsidRPr="007834C7">
              <w:rPr>
                <w:rFonts w:ascii="Times New Roman" w:hAnsi="Times New Roman" w:cs="Times New Roman"/>
                <w:sz w:val="14"/>
                <w:szCs w:val="14"/>
              </w:rPr>
              <w:t>но до цієї потреби. Мігрантам, що от</w:t>
            </w:r>
            <w:r>
              <w:rPr>
                <w:rFonts w:ascii="Times New Roman" w:hAnsi="Times New Roman" w:cs="Times New Roman"/>
                <w:sz w:val="14"/>
                <w:szCs w:val="14"/>
              </w:rPr>
              <w:t>-</w:t>
            </w:r>
            <w:r w:rsidRPr="007834C7">
              <w:rPr>
                <w:rFonts w:ascii="Times New Roman" w:hAnsi="Times New Roman" w:cs="Times New Roman"/>
                <w:sz w:val="14"/>
                <w:szCs w:val="14"/>
              </w:rPr>
              <w:t>римали дозвіл на роботу у Швеції, надається право змінювати робото</w:t>
            </w:r>
            <w:r>
              <w:rPr>
                <w:rFonts w:ascii="Times New Roman" w:hAnsi="Times New Roman" w:cs="Times New Roman"/>
                <w:sz w:val="14"/>
                <w:szCs w:val="14"/>
              </w:rPr>
              <w:t>-</w:t>
            </w:r>
            <w:r w:rsidRPr="007834C7">
              <w:rPr>
                <w:rFonts w:ascii="Times New Roman" w:hAnsi="Times New Roman" w:cs="Times New Roman"/>
                <w:sz w:val="14"/>
                <w:szCs w:val="14"/>
              </w:rPr>
              <w:t>давця через два роки після першого працевлаштування і право на постій</w:t>
            </w:r>
            <w:r>
              <w:rPr>
                <w:rFonts w:ascii="Times New Roman" w:hAnsi="Times New Roman" w:cs="Times New Roman"/>
                <w:sz w:val="14"/>
                <w:szCs w:val="14"/>
              </w:rPr>
              <w:t>-</w:t>
            </w:r>
            <w:r w:rsidRPr="007834C7">
              <w:rPr>
                <w:rFonts w:ascii="Times New Roman" w:hAnsi="Times New Roman" w:cs="Times New Roman"/>
                <w:sz w:val="14"/>
                <w:szCs w:val="14"/>
              </w:rPr>
              <w:t>не місце проживання після чотирьох років перебування. У Італії і Іспанії створені прогресивні системи попе</w:t>
            </w:r>
            <w:r>
              <w:rPr>
                <w:rFonts w:ascii="Times New Roman" w:hAnsi="Times New Roman" w:cs="Times New Roman"/>
                <w:sz w:val="14"/>
                <w:szCs w:val="14"/>
              </w:rPr>
              <w:t>-</w:t>
            </w:r>
          </w:p>
        </w:tc>
        <w:tc>
          <w:tcPr>
            <w:tcW w:w="1340" w:type="dxa"/>
          </w:tcPr>
          <w:p w:rsidR="00B233DE" w:rsidRPr="00EF5C19" w:rsidRDefault="00B233DE" w:rsidP="0023489B">
            <w:pPr>
              <w:ind w:left="-61" w:right="-90" w:firstLine="0"/>
              <w:jc w:val="both"/>
              <w:rPr>
                <w:rFonts w:ascii="Times New Roman" w:hAnsi="Times New Roman" w:cs="Times New Roman"/>
                <w:sz w:val="14"/>
                <w:szCs w:val="14"/>
              </w:rPr>
            </w:pPr>
            <w:r w:rsidRPr="00EF5C19">
              <w:rPr>
                <w:rFonts w:ascii="Times New Roman" w:hAnsi="Times New Roman" w:cs="Times New Roman"/>
                <w:sz w:val="14"/>
                <w:szCs w:val="14"/>
              </w:rPr>
              <w:t>У провідних країнах  призначення регіону (Німеччині, Велико</w:t>
            </w:r>
            <w:r>
              <w:rPr>
                <w:rFonts w:ascii="Times New Roman" w:hAnsi="Times New Roman" w:cs="Times New Roman"/>
                <w:sz w:val="14"/>
                <w:szCs w:val="14"/>
              </w:rPr>
              <w:t>-</w:t>
            </w:r>
            <w:r w:rsidRPr="00EF5C19">
              <w:rPr>
                <w:rFonts w:ascii="Times New Roman" w:hAnsi="Times New Roman" w:cs="Times New Roman"/>
                <w:sz w:val="14"/>
                <w:szCs w:val="14"/>
              </w:rPr>
              <w:t>британії) міграційна політи-ка зводиться до обмеження іммі</w:t>
            </w:r>
            <w:r>
              <w:rPr>
                <w:rFonts w:ascii="Times New Roman" w:hAnsi="Times New Roman" w:cs="Times New Roman"/>
                <w:sz w:val="14"/>
                <w:szCs w:val="14"/>
              </w:rPr>
              <w:t>-</w:t>
            </w:r>
            <w:r w:rsidRPr="00EF5C19">
              <w:rPr>
                <w:rFonts w:ascii="Times New Roman" w:hAnsi="Times New Roman" w:cs="Times New Roman"/>
                <w:sz w:val="14"/>
                <w:szCs w:val="14"/>
              </w:rPr>
              <w:t>грації.</w:t>
            </w:r>
            <w:r>
              <w:rPr>
                <w:rFonts w:ascii="Times New Roman" w:hAnsi="Times New Roman" w:cs="Times New Roman"/>
                <w:sz w:val="14"/>
                <w:szCs w:val="14"/>
              </w:rPr>
              <w:t xml:space="preserve"> </w:t>
            </w:r>
            <w:r w:rsidRPr="00EF5C19">
              <w:rPr>
                <w:rFonts w:ascii="Times New Roman" w:hAnsi="Times New Roman" w:cs="Times New Roman"/>
                <w:sz w:val="14"/>
                <w:szCs w:val="14"/>
              </w:rPr>
              <w:t>Неузгоджене з реальними потре</w:t>
            </w:r>
            <w:r>
              <w:rPr>
                <w:rFonts w:ascii="Times New Roman" w:hAnsi="Times New Roman" w:cs="Times New Roman"/>
                <w:sz w:val="14"/>
                <w:szCs w:val="14"/>
              </w:rPr>
              <w:t>-</w:t>
            </w:r>
            <w:r w:rsidRPr="00EF5C19">
              <w:rPr>
                <w:rFonts w:ascii="Times New Roman" w:hAnsi="Times New Roman" w:cs="Times New Roman"/>
                <w:sz w:val="14"/>
                <w:szCs w:val="14"/>
              </w:rPr>
              <w:t>бами ринку праці ре</w:t>
            </w:r>
            <w:r>
              <w:rPr>
                <w:rFonts w:ascii="Times New Roman" w:hAnsi="Times New Roman" w:cs="Times New Roman"/>
                <w:sz w:val="14"/>
                <w:szCs w:val="14"/>
              </w:rPr>
              <w:t>-</w:t>
            </w:r>
            <w:r w:rsidRPr="00EF5C19">
              <w:rPr>
                <w:rFonts w:ascii="Times New Roman" w:hAnsi="Times New Roman" w:cs="Times New Roman"/>
                <w:sz w:val="14"/>
                <w:szCs w:val="14"/>
              </w:rPr>
              <w:t>гулювання в’їзду се</w:t>
            </w:r>
            <w:r>
              <w:rPr>
                <w:rFonts w:ascii="Times New Roman" w:hAnsi="Times New Roman" w:cs="Times New Roman"/>
                <w:sz w:val="14"/>
                <w:szCs w:val="14"/>
              </w:rPr>
              <w:t>-</w:t>
            </w:r>
            <w:r w:rsidRPr="00EF5C19">
              <w:rPr>
                <w:rFonts w:ascii="Times New Roman" w:hAnsi="Times New Roman" w:cs="Times New Roman"/>
                <w:spacing w:val="-4"/>
                <w:sz w:val="14"/>
                <w:szCs w:val="14"/>
              </w:rPr>
              <w:t>редньо- та низькоква-</w:t>
            </w:r>
            <w:r w:rsidRPr="00EF5C19">
              <w:rPr>
                <w:rFonts w:ascii="Times New Roman" w:hAnsi="Times New Roman" w:cs="Times New Roman"/>
                <w:sz w:val="14"/>
                <w:szCs w:val="14"/>
              </w:rPr>
              <w:t>ліфікованих мігран</w:t>
            </w:r>
            <w:r>
              <w:rPr>
                <w:rFonts w:ascii="Times New Roman" w:hAnsi="Times New Roman" w:cs="Times New Roman"/>
                <w:sz w:val="14"/>
                <w:szCs w:val="14"/>
              </w:rPr>
              <w:t xml:space="preserve">-тів. </w:t>
            </w:r>
            <w:r w:rsidRPr="00EF5C19">
              <w:rPr>
                <w:rFonts w:ascii="Times New Roman" w:hAnsi="Times New Roman" w:cs="Times New Roman"/>
                <w:sz w:val="14"/>
                <w:szCs w:val="14"/>
              </w:rPr>
              <w:t>Не використову</w:t>
            </w:r>
            <w:r>
              <w:rPr>
                <w:rFonts w:ascii="Times New Roman" w:hAnsi="Times New Roman" w:cs="Times New Roman"/>
                <w:sz w:val="14"/>
                <w:szCs w:val="14"/>
              </w:rPr>
              <w:t>-</w:t>
            </w:r>
            <w:r w:rsidRPr="00EF5C19">
              <w:rPr>
                <w:rFonts w:ascii="Times New Roman" w:hAnsi="Times New Roman" w:cs="Times New Roman"/>
                <w:spacing w:val="-6"/>
                <w:sz w:val="14"/>
                <w:szCs w:val="14"/>
              </w:rPr>
              <w:t>ється освітньо-кваліфі-</w:t>
            </w:r>
            <w:r w:rsidRPr="00EF5C19">
              <w:rPr>
                <w:rFonts w:ascii="Times New Roman" w:hAnsi="Times New Roman" w:cs="Times New Roman"/>
                <w:sz w:val="14"/>
                <w:szCs w:val="14"/>
              </w:rPr>
              <w:t>каційний потенціал іммігрантів, що пра</w:t>
            </w:r>
            <w:r>
              <w:rPr>
                <w:rFonts w:ascii="Times New Roman" w:hAnsi="Times New Roman" w:cs="Times New Roman"/>
                <w:sz w:val="14"/>
                <w:szCs w:val="14"/>
              </w:rPr>
              <w:t>-</w:t>
            </w:r>
            <w:r w:rsidRPr="00EF5C19">
              <w:rPr>
                <w:rFonts w:ascii="Times New Roman" w:hAnsi="Times New Roman" w:cs="Times New Roman"/>
                <w:sz w:val="14"/>
                <w:szCs w:val="14"/>
              </w:rPr>
              <w:t>цюють не за спеці</w:t>
            </w:r>
            <w:r>
              <w:rPr>
                <w:rFonts w:ascii="Times New Roman" w:hAnsi="Times New Roman" w:cs="Times New Roman"/>
                <w:sz w:val="14"/>
                <w:szCs w:val="14"/>
              </w:rPr>
              <w:t>-</w:t>
            </w:r>
            <w:r w:rsidRPr="00EF5C19">
              <w:rPr>
                <w:rFonts w:ascii="Times New Roman" w:hAnsi="Times New Roman" w:cs="Times New Roman"/>
                <w:sz w:val="14"/>
                <w:szCs w:val="14"/>
              </w:rPr>
              <w:t>альністю та у нефор</w:t>
            </w:r>
            <w:r>
              <w:rPr>
                <w:rFonts w:ascii="Times New Roman" w:hAnsi="Times New Roman" w:cs="Times New Roman"/>
                <w:sz w:val="14"/>
                <w:szCs w:val="14"/>
              </w:rPr>
              <w:t>-</w:t>
            </w:r>
            <w:r w:rsidRPr="001F660A">
              <w:rPr>
                <w:rFonts w:ascii="Times New Roman" w:hAnsi="Times New Roman" w:cs="Times New Roman"/>
                <w:spacing w:val="-4"/>
                <w:sz w:val="14"/>
                <w:szCs w:val="14"/>
              </w:rPr>
              <w:t>мальному секторі еко-</w:t>
            </w:r>
            <w:r w:rsidRPr="00EF5C19">
              <w:rPr>
                <w:rFonts w:ascii="Times New Roman" w:hAnsi="Times New Roman" w:cs="Times New Roman"/>
                <w:sz w:val="14"/>
                <w:szCs w:val="14"/>
              </w:rPr>
              <w:t>номіки – відбуваєть</w:t>
            </w:r>
            <w:r>
              <w:rPr>
                <w:rFonts w:ascii="Times New Roman" w:hAnsi="Times New Roman" w:cs="Times New Roman"/>
                <w:sz w:val="14"/>
                <w:szCs w:val="14"/>
              </w:rPr>
              <w:t>-</w:t>
            </w:r>
            <w:r w:rsidRPr="00EF5C19">
              <w:rPr>
                <w:rFonts w:ascii="Times New Roman" w:hAnsi="Times New Roman" w:cs="Times New Roman"/>
                <w:sz w:val="14"/>
                <w:szCs w:val="14"/>
              </w:rPr>
              <w:t>ся його деградація внаслідок процесу «розтрати мізків».</w:t>
            </w:r>
          </w:p>
          <w:p w:rsidR="00B233DE" w:rsidRPr="007834C7" w:rsidRDefault="00B233DE" w:rsidP="0023489B">
            <w:pPr>
              <w:ind w:left="-61" w:right="-90" w:firstLine="0"/>
              <w:rPr>
                <w:rFonts w:ascii="Times New Roman" w:hAnsi="Times New Roman" w:cs="Times New Roman"/>
                <w:spacing w:val="-8"/>
                <w:sz w:val="14"/>
                <w:szCs w:val="14"/>
              </w:rPr>
            </w:pPr>
          </w:p>
        </w:tc>
        <w:tc>
          <w:tcPr>
            <w:tcW w:w="1543" w:type="dxa"/>
          </w:tcPr>
          <w:p w:rsidR="00B233DE" w:rsidRPr="001F660A" w:rsidRDefault="00B233DE" w:rsidP="0023489B">
            <w:pPr>
              <w:ind w:left="-61" w:right="-90" w:firstLine="0"/>
              <w:jc w:val="both"/>
              <w:rPr>
                <w:rFonts w:ascii="Times New Roman" w:hAnsi="Times New Roman" w:cs="Times New Roman"/>
                <w:sz w:val="14"/>
                <w:szCs w:val="14"/>
              </w:rPr>
            </w:pPr>
            <w:r w:rsidRPr="001F660A">
              <w:rPr>
                <w:rFonts w:ascii="Times New Roman" w:hAnsi="Times New Roman" w:cs="Times New Roman"/>
                <w:sz w:val="14"/>
                <w:szCs w:val="14"/>
              </w:rPr>
              <w:t>Адаптація політики європейської трудової мобільності для третіх країн.</w:t>
            </w:r>
            <w:r>
              <w:rPr>
                <w:rFonts w:ascii="Times New Roman" w:hAnsi="Times New Roman" w:cs="Times New Roman"/>
                <w:sz w:val="14"/>
                <w:szCs w:val="14"/>
              </w:rPr>
              <w:t xml:space="preserve"> </w:t>
            </w:r>
            <w:r w:rsidRPr="001F660A">
              <w:rPr>
                <w:rFonts w:ascii="Times New Roman" w:hAnsi="Times New Roman" w:cs="Times New Roman"/>
                <w:sz w:val="14"/>
                <w:szCs w:val="14"/>
              </w:rPr>
              <w:t>Попереднє дос</w:t>
            </w:r>
            <w:r>
              <w:rPr>
                <w:rFonts w:ascii="Times New Roman" w:hAnsi="Times New Roman" w:cs="Times New Roman"/>
                <w:sz w:val="14"/>
                <w:szCs w:val="14"/>
              </w:rPr>
              <w:t>-</w:t>
            </w:r>
            <w:r w:rsidRPr="001F660A">
              <w:rPr>
                <w:rFonts w:ascii="Times New Roman" w:hAnsi="Times New Roman" w:cs="Times New Roman"/>
                <w:sz w:val="14"/>
                <w:szCs w:val="14"/>
              </w:rPr>
              <w:t>лідження потреб ринку праці перед залученням іноземних кваліфікова</w:t>
            </w:r>
            <w:r>
              <w:rPr>
                <w:rFonts w:ascii="Times New Roman" w:hAnsi="Times New Roman" w:cs="Times New Roman"/>
                <w:sz w:val="14"/>
                <w:szCs w:val="14"/>
              </w:rPr>
              <w:t>-</w:t>
            </w:r>
            <w:r w:rsidRPr="001F660A">
              <w:rPr>
                <w:rFonts w:ascii="Times New Roman" w:hAnsi="Times New Roman" w:cs="Times New Roman"/>
                <w:sz w:val="14"/>
                <w:szCs w:val="14"/>
              </w:rPr>
              <w:t>них працівників. Ство</w:t>
            </w:r>
            <w:r>
              <w:rPr>
                <w:rFonts w:ascii="Times New Roman" w:hAnsi="Times New Roman" w:cs="Times New Roman"/>
                <w:sz w:val="14"/>
                <w:szCs w:val="14"/>
              </w:rPr>
              <w:t>-</w:t>
            </w:r>
            <w:r w:rsidRPr="001F660A">
              <w:rPr>
                <w:rFonts w:ascii="Times New Roman" w:hAnsi="Times New Roman" w:cs="Times New Roman"/>
                <w:spacing w:val="-4"/>
                <w:sz w:val="14"/>
                <w:szCs w:val="14"/>
              </w:rPr>
              <w:t>рення інтегрованої схеми</w:t>
            </w:r>
            <w:r w:rsidRPr="001F660A">
              <w:rPr>
                <w:rFonts w:ascii="Times New Roman" w:hAnsi="Times New Roman" w:cs="Times New Roman"/>
                <w:sz w:val="14"/>
                <w:szCs w:val="14"/>
              </w:rPr>
              <w:t xml:space="preserve"> </w:t>
            </w:r>
            <w:r w:rsidRPr="001F660A">
              <w:rPr>
                <w:rFonts w:ascii="Times New Roman" w:hAnsi="Times New Roman" w:cs="Times New Roman"/>
                <w:spacing w:val="-4"/>
                <w:sz w:val="14"/>
                <w:szCs w:val="14"/>
              </w:rPr>
              <w:t>визнання професій і ква-</w:t>
            </w:r>
            <w:r w:rsidRPr="001F660A">
              <w:rPr>
                <w:rFonts w:ascii="Times New Roman" w:hAnsi="Times New Roman" w:cs="Times New Roman"/>
                <w:sz w:val="14"/>
                <w:szCs w:val="14"/>
              </w:rPr>
              <w:t>ліфікацій для всіх іно</w:t>
            </w:r>
            <w:r>
              <w:rPr>
                <w:rFonts w:ascii="Times New Roman" w:hAnsi="Times New Roman" w:cs="Times New Roman"/>
                <w:sz w:val="14"/>
                <w:szCs w:val="14"/>
              </w:rPr>
              <w:t>-</w:t>
            </w:r>
            <w:r w:rsidRPr="001F660A">
              <w:rPr>
                <w:rFonts w:ascii="Times New Roman" w:hAnsi="Times New Roman" w:cs="Times New Roman"/>
                <w:spacing w:val="-6"/>
                <w:sz w:val="14"/>
                <w:szCs w:val="14"/>
              </w:rPr>
              <w:t>земних працівників шля-</w:t>
            </w:r>
            <w:r w:rsidRPr="001F660A">
              <w:rPr>
                <w:rFonts w:ascii="Times New Roman" w:hAnsi="Times New Roman" w:cs="Times New Roman"/>
                <w:sz w:val="14"/>
                <w:szCs w:val="14"/>
              </w:rPr>
              <w:t>хом укладення двосто</w:t>
            </w:r>
            <w:r>
              <w:rPr>
                <w:rFonts w:ascii="Times New Roman" w:hAnsi="Times New Roman" w:cs="Times New Roman"/>
                <w:sz w:val="14"/>
                <w:szCs w:val="14"/>
              </w:rPr>
              <w:t>-</w:t>
            </w:r>
            <w:r w:rsidRPr="001F660A">
              <w:rPr>
                <w:rFonts w:ascii="Times New Roman" w:hAnsi="Times New Roman" w:cs="Times New Roman"/>
                <w:spacing w:val="-6"/>
                <w:sz w:val="14"/>
                <w:szCs w:val="14"/>
              </w:rPr>
              <w:t>ронніх договорів, поперед-</w:t>
            </w:r>
            <w:r w:rsidRPr="001F660A">
              <w:rPr>
                <w:rFonts w:ascii="Times New Roman" w:hAnsi="Times New Roman" w:cs="Times New Roman"/>
                <w:sz w:val="14"/>
                <w:szCs w:val="14"/>
              </w:rPr>
              <w:t>ньої атестації у країнах походження, заснування національних відомств швидкої перевірки і виз</w:t>
            </w:r>
            <w:r>
              <w:rPr>
                <w:rFonts w:ascii="Times New Roman" w:hAnsi="Times New Roman" w:cs="Times New Roman"/>
                <w:sz w:val="14"/>
                <w:szCs w:val="14"/>
              </w:rPr>
              <w:t xml:space="preserve">-нання кваліфікацій. Розробка </w:t>
            </w:r>
            <w:r w:rsidRPr="001F660A">
              <w:rPr>
                <w:rFonts w:ascii="Times New Roman" w:hAnsi="Times New Roman" w:cs="Times New Roman"/>
                <w:sz w:val="14"/>
                <w:szCs w:val="14"/>
              </w:rPr>
              <w:t>довгостро</w:t>
            </w:r>
            <w:r>
              <w:rPr>
                <w:rFonts w:ascii="Times New Roman" w:hAnsi="Times New Roman" w:cs="Times New Roman"/>
                <w:sz w:val="14"/>
                <w:szCs w:val="14"/>
              </w:rPr>
              <w:t>-</w:t>
            </w:r>
            <w:r w:rsidRPr="001F660A">
              <w:rPr>
                <w:rFonts w:ascii="Times New Roman" w:hAnsi="Times New Roman" w:cs="Times New Roman"/>
                <w:sz w:val="14"/>
                <w:szCs w:val="14"/>
              </w:rPr>
              <w:t>кових прогнозів потре</w:t>
            </w:r>
            <w:r>
              <w:rPr>
                <w:rFonts w:ascii="Times New Roman" w:hAnsi="Times New Roman" w:cs="Times New Roman"/>
                <w:sz w:val="14"/>
                <w:szCs w:val="14"/>
              </w:rPr>
              <w:t>-</w:t>
            </w:r>
            <w:r w:rsidRPr="001F660A">
              <w:rPr>
                <w:rFonts w:ascii="Times New Roman" w:hAnsi="Times New Roman" w:cs="Times New Roman"/>
                <w:sz w:val="14"/>
                <w:szCs w:val="14"/>
              </w:rPr>
              <w:t>би у людському потен</w:t>
            </w:r>
            <w:r>
              <w:rPr>
                <w:rFonts w:ascii="Times New Roman" w:hAnsi="Times New Roman" w:cs="Times New Roman"/>
                <w:sz w:val="14"/>
                <w:szCs w:val="14"/>
              </w:rPr>
              <w:t>-</w:t>
            </w:r>
            <w:r w:rsidRPr="001F660A">
              <w:rPr>
                <w:rFonts w:ascii="Times New Roman" w:hAnsi="Times New Roman" w:cs="Times New Roman"/>
                <w:sz w:val="14"/>
                <w:szCs w:val="14"/>
              </w:rPr>
              <w:t>ціалі</w:t>
            </w:r>
          </w:p>
        </w:tc>
        <w:tc>
          <w:tcPr>
            <w:tcW w:w="1274" w:type="dxa"/>
          </w:tcPr>
          <w:p w:rsidR="00B233DE" w:rsidRPr="007834C7" w:rsidRDefault="00B233DE" w:rsidP="0023489B">
            <w:pPr>
              <w:ind w:left="-61" w:right="-90" w:firstLine="0"/>
              <w:jc w:val="both"/>
              <w:rPr>
                <w:rFonts w:ascii="Times New Roman" w:hAnsi="Times New Roman" w:cs="Times New Roman"/>
                <w:sz w:val="14"/>
                <w:szCs w:val="14"/>
              </w:rPr>
            </w:pPr>
            <w:r w:rsidRPr="007834C7">
              <w:rPr>
                <w:rFonts w:ascii="Times New Roman" w:hAnsi="Times New Roman" w:cs="Times New Roman"/>
                <w:sz w:val="14"/>
                <w:szCs w:val="14"/>
              </w:rPr>
              <w:t>Відсутність повної гармонізації націо</w:t>
            </w:r>
            <w:r>
              <w:rPr>
                <w:rFonts w:ascii="Times New Roman" w:hAnsi="Times New Roman" w:cs="Times New Roman"/>
                <w:sz w:val="14"/>
                <w:szCs w:val="14"/>
              </w:rPr>
              <w:t>-</w:t>
            </w:r>
            <w:r w:rsidRPr="001F660A">
              <w:rPr>
                <w:rFonts w:ascii="Times New Roman" w:hAnsi="Times New Roman" w:cs="Times New Roman"/>
                <w:spacing w:val="-6"/>
                <w:sz w:val="14"/>
                <w:szCs w:val="14"/>
              </w:rPr>
              <w:t>нальних політик в об-</w:t>
            </w:r>
            <w:r w:rsidRPr="007834C7">
              <w:rPr>
                <w:rFonts w:ascii="Times New Roman" w:hAnsi="Times New Roman" w:cs="Times New Roman"/>
                <w:sz w:val="14"/>
                <w:szCs w:val="14"/>
              </w:rPr>
              <w:t>ласті міграції і солі</w:t>
            </w:r>
            <w:r>
              <w:rPr>
                <w:rFonts w:ascii="Times New Roman" w:hAnsi="Times New Roman" w:cs="Times New Roman"/>
                <w:sz w:val="14"/>
                <w:szCs w:val="14"/>
              </w:rPr>
              <w:t>-</w:t>
            </w:r>
            <w:r w:rsidRPr="007834C7">
              <w:rPr>
                <w:rFonts w:ascii="Times New Roman" w:hAnsi="Times New Roman" w:cs="Times New Roman"/>
                <w:sz w:val="14"/>
                <w:szCs w:val="14"/>
              </w:rPr>
              <w:t>дарності в прийнят</w:t>
            </w:r>
            <w:r>
              <w:rPr>
                <w:rFonts w:ascii="Times New Roman" w:hAnsi="Times New Roman" w:cs="Times New Roman"/>
                <w:sz w:val="14"/>
                <w:szCs w:val="14"/>
              </w:rPr>
              <w:t>-</w:t>
            </w:r>
            <w:r w:rsidRPr="001F660A">
              <w:rPr>
                <w:rFonts w:ascii="Times New Roman" w:hAnsi="Times New Roman" w:cs="Times New Roman"/>
                <w:spacing w:val="-4"/>
                <w:sz w:val="14"/>
                <w:szCs w:val="14"/>
              </w:rPr>
              <w:t>ті необхідних норма-</w:t>
            </w:r>
            <w:r w:rsidRPr="007834C7">
              <w:rPr>
                <w:rFonts w:ascii="Times New Roman" w:hAnsi="Times New Roman" w:cs="Times New Roman"/>
                <w:sz w:val="14"/>
                <w:szCs w:val="14"/>
              </w:rPr>
              <w:t>тивних актів приз</w:t>
            </w:r>
            <w:r>
              <w:rPr>
                <w:rFonts w:ascii="Times New Roman" w:hAnsi="Times New Roman" w:cs="Times New Roman"/>
                <w:sz w:val="14"/>
                <w:szCs w:val="14"/>
              </w:rPr>
              <w:t>-</w:t>
            </w:r>
            <w:r w:rsidRPr="007834C7">
              <w:rPr>
                <w:rFonts w:ascii="Times New Roman" w:hAnsi="Times New Roman" w:cs="Times New Roman"/>
                <w:sz w:val="14"/>
                <w:szCs w:val="14"/>
              </w:rPr>
              <w:t>водять до того, що основне наванта</w:t>
            </w:r>
            <w:r>
              <w:rPr>
                <w:rFonts w:ascii="Times New Roman" w:hAnsi="Times New Roman" w:cs="Times New Roman"/>
                <w:sz w:val="14"/>
                <w:szCs w:val="14"/>
              </w:rPr>
              <w:t>-</w:t>
            </w:r>
            <w:r w:rsidRPr="007834C7">
              <w:rPr>
                <w:rFonts w:ascii="Times New Roman" w:hAnsi="Times New Roman" w:cs="Times New Roman"/>
                <w:sz w:val="14"/>
                <w:szCs w:val="14"/>
              </w:rPr>
              <w:t>ження по стриман</w:t>
            </w:r>
            <w:r>
              <w:rPr>
                <w:rFonts w:ascii="Times New Roman" w:hAnsi="Times New Roman" w:cs="Times New Roman"/>
                <w:sz w:val="14"/>
                <w:szCs w:val="14"/>
              </w:rPr>
              <w:t>-</w:t>
            </w:r>
            <w:r w:rsidRPr="007834C7">
              <w:rPr>
                <w:rFonts w:ascii="Times New Roman" w:hAnsi="Times New Roman" w:cs="Times New Roman"/>
                <w:sz w:val="14"/>
                <w:szCs w:val="14"/>
              </w:rPr>
              <w:t>ню напливу мігран</w:t>
            </w:r>
            <w:r>
              <w:rPr>
                <w:rFonts w:ascii="Times New Roman" w:hAnsi="Times New Roman" w:cs="Times New Roman"/>
                <w:sz w:val="14"/>
                <w:szCs w:val="14"/>
              </w:rPr>
              <w:t>-</w:t>
            </w:r>
            <w:r w:rsidRPr="007834C7">
              <w:rPr>
                <w:rFonts w:ascii="Times New Roman" w:hAnsi="Times New Roman" w:cs="Times New Roman"/>
                <w:sz w:val="14"/>
                <w:szCs w:val="14"/>
              </w:rPr>
              <w:t>тів продовжують нес</w:t>
            </w:r>
            <w:r>
              <w:rPr>
                <w:rFonts w:ascii="Times New Roman" w:hAnsi="Times New Roman" w:cs="Times New Roman"/>
                <w:sz w:val="14"/>
                <w:szCs w:val="14"/>
              </w:rPr>
              <w:t xml:space="preserve">ти прикордонні держави </w:t>
            </w:r>
            <w:r w:rsidRPr="007834C7">
              <w:rPr>
                <w:rFonts w:ascii="Times New Roman" w:hAnsi="Times New Roman" w:cs="Times New Roman"/>
                <w:sz w:val="14"/>
                <w:szCs w:val="14"/>
              </w:rPr>
              <w:t>Євросою</w:t>
            </w:r>
            <w:r>
              <w:rPr>
                <w:rFonts w:ascii="Times New Roman" w:hAnsi="Times New Roman" w:cs="Times New Roman"/>
                <w:sz w:val="14"/>
                <w:szCs w:val="14"/>
              </w:rPr>
              <w:t>-</w:t>
            </w:r>
            <w:r w:rsidRPr="007834C7">
              <w:rPr>
                <w:rFonts w:ascii="Times New Roman" w:hAnsi="Times New Roman" w:cs="Times New Roman"/>
                <w:sz w:val="14"/>
                <w:szCs w:val="14"/>
              </w:rPr>
              <w:t xml:space="preserve">зу, а також ті, що </w:t>
            </w:r>
            <w:r w:rsidRPr="001F660A">
              <w:rPr>
                <w:rFonts w:ascii="Times New Roman" w:hAnsi="Times New Roman" w:cs="Times New Roman"/>
                <w:spacing w:val="-6"/>
                <w:sz w:val="14"/>
                <w:szCs w:val="14"/>
              </w:rPr>
              <w:t>приймають найбіль-</w:t>
            </w:r>
            <w:r w:rsidRPr="007834C7">
              <w:rPr>
                <w:rFonts w:ascii="Times New Roman" w:hAnsi="Times New Roman" w:cs="Times New Roman"/>
                <w:sz w:val="14"/>
                <w:szCs w:val="14"/>
              </w:rPr>
              <w:t>ше число іноземців.</w:t>
            </w:r>
          </w:p>
        </w:tc>
      </w:tr>
    </w:tbl>
    <w:p w:rsidR="00B233DE" w:rsidRDefault="00B233DE" w:rsidP="00B233DE">
      <w:pPr>
        <w:jc w:val="right"/>
        <w:rPr>
          <w:rFonts w:ascii="Times New Roman" w:hAnsi="Times New Roman" w:cs="Times New Roman"/>
          <w:sz w:val="21"/>
          <w:szCs w:val="21"/>
        </w:rPr>
      </w:pPr>
      <w:r>
        <w:rPr>
          <w:rFonts w:ascii="Times New Roman" w:hAnsi="Times New Roman" w:cs="Times New Roman"/>
          <w:sz w:val="21"/>
          <w:szCs w:val="21"/>
        </w:rPr>
        <w:lastRenderedPageBreak/>
        <w:t>Продовження таблиці 4.4</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1559"/>
        <w:gridCol w:w="851"/>
        <w:gridCol w:w="2363"/>
        <w:gridCol w:w="1340"/>
        <w:gridCol w:w="1543"/>
        <w:gridCol w:w="1274"/>
      </w:tblGrid>
      <w:tr w:rsidR="00B233DE" w:rsidRPr="00B000BE" w:rsidTr="0023489B">
        <w:trPr>
          <w:trHeight w:hRule="exact" w:val="210"/>
        </w:trPr>
        <w:tc>
          <w:tcPr>
            <w:tcW w:w="709" w:type="dxa"/>
            <w:vAlign w:val="center"/>
          </w:tcPr>
          <w:p w:rsidR="00B233DE" w:rsidRPr="0082483E" w:rsidRDefault="00B233DE" w:rsidP="0023489B">
            <w:pPr>
              <w:spacing w:after="200" w:line="276" w:lineRule="auto"/>
              <w:ind w:firstLine="0"/>
              <w:jc w:val="center"/>
              <w:rPr>
                <w:rFonts w:ascii="Times New Roman" w:hAnsi="Times New Roman" w:cs="Times New Roman"/>
                <w:sz w:val="14"/>
                <w:szCs w:val="14"/>
              </w:rPr>
            </w:pPr>
            <w:r w:rsidRPr="0082483E">
              <w:rPr>
                <w:rFonts w:ascii="Times New Roman" w:hAnsi="Times New Roman" w:cs="Times New Roman"/>
                <w:sz w:val="14"/>
                <w:szCs w:val="14"/>
              </w:rPr>
              <w:t>1</w:t>
            </w:r>
          </w:p>
        </w:tc>
        <w:tc>
          <w:tcPr>
            <w:tcW w:w="1559" w:type="dxa"/>
            <w:vAlign w:val="center"/>
          </w:tcPr>
          <w:p w:rsidR="00B233DE" w:rsidRPr="0082483E" w:rsidRDefault="00B233DE" w:rsidP="0023489B">
            <w:pPr>
              <w:spacing w:after="200" w:line="276" w:lineRule="auto"/>
              <w:ind w:firstLine="0"/>
              <w:jc w:val="center"/>
              <w:rPr>
                <w:rFonts w:ascii="Times New Roman" w:hAnsi="Times New Roman" w:cs="Times New Roman"/>
                <w:sz w:val="14"/>
                <w:szCs w:val="14"/>
              </w:rPr>
            </w:pPr>
            <w:r w:rsidRPr="0082483E">
              <w:rPr>
                <w:rFonts w:ascii="Times New Roman" w:hAnsi="Times New Roman" w:cs="Times New Roman"/>
                <w:sz w:val="14"/>
                <w:szCs w:val="14"/>
              </w:rPr>
              <w:t>2</w:t>
            </w:r>
          </w:p>
        </w:tc>
        <w:tc>
          <w:tcPr>
            <w:tcW w:w="851" w:type="dxa"/>
            <w:vAlign w:val="center"/>
          </w:tcPr>
          <w:p w:rsidR="00B233DE" w:rsidRPr="0082483E" w:rsidRDefault="00B233DE" w:rsidP="0023489B">
            <w:pPr>
              <w:spacing w:after="200" w:line="276" w:lineRule="auto"/>
              <w:ind w:firstLine="0"/>
              <w:jc w:val="center"/>
              <w:rPr>
                <w:rFonts w:ascii="Times New Roman" w:hAnsi="Times New Roman" w:cs="Times New Roman"/>
                <w:sz w:val="14"/>
                <w:szCs w:val="14"/>
              </w:rPr>
            </w:pPr>
            <w:r w:rsidRPr="0082483E">
              <w:rPr>
                <w:rFonts w:ascii="Times New Roman" w:hAnsi="Times New Roman" w:cs="Times New Roman"/>
                <w:sz w:val="14"/>
                <w:szCs w:val="14"/>
              </w:rPr>
              <w:t>3</w:t>
            </w:r>
          </w:p>
        </w:tc>
        <w:tc>
          <w:tcPr>
            <w:tcW w:w="2363" w:type="dxa"/>
            <w:vAlign w:val="center"/>
          </w:tcPr>
          <w:p w:rsidR="00B233DE" w:rsidRPr="0082483E" w:rsidRDefault="00B233DE" w:rsidP="0023489B">
            <w:pPr>
              <w:spacing w:after="200" w:line="276" w:lineRule="auto"/>
              <w:ind w:firstLine="0"/>
              <w:jc w:val="center"/>
              <w:rPr>
                <w:rFonts w:ascii="Times New Roman" w:hAnsi="Times New Roman" w:cs="Times New Roman"/>
                <w:sz w:val="14"/>
                <w:szCs w:val="14"/>
              </w:rPr>
            </w:pPr>
            <w:r w:rsidRPr="0082483E">
              <w:rPr>
                <w:rFonts w:ascii="Times New Roman" w:hAnsi="Times New Roman" w:cs="Times New Roman"/>
                <w:sz w:val="14"/>
                <w:szCs w:val="14"/>
              </w:rPr>
              <w:t>4</w:t>
            </w:r>
          </w:p>
        </w:tc>
        <w:tc>
          <w:tcPr>
            <w:tcW w:w="1340" w:type="dxa"/>
            <w:vAlign w:val="center"/>
          </w:tcPr>
          <w:p w:rsidR="00B233DE" w:rsidRPr="0082483E" w:rsidRDefault="00B233DE" w:rsidP="0023489B">
            <w:pPr>
              <w:spacing w:after="200" w:line="276" w:lineRule="auto"/>
              <w:ind w:firstLine="0"/>
              <w:jc w:val="center"/>
              <w:rPr>
                <w:rFonts w:ascii="Times New Roman" w:hAnsi="Times New Roman" w:cs="Times New Roman"/>
                <w:sz w:val="14"/>
                <w:szCs w:val="14"/>
              </w:rPr>
            </w:pPr>
            <w:r w:rsidRPr="0082483E">
              <w:rPr>
                <w:rFonts w:ascii="Times New Roman" w:hAnsi="Times New Roman" w:cs="Times New Roman"/>
                <w:sz w:val="14"/>
                <w:szCs w:val="14"/>
              </w:rPr>
              <w:t>5</w:t>
            </w:r>
          </w:p>
        </w:tc>
        <w:tc>
          <w:tcPr>
            <w:tcW w:w="1543" w:type="dxa"/>
            <w:vAlign w:val="center"/>
          </w:tcPr>
          <w:p w:rsidR="00B233DE" w:rsidRPr="0082483E" w:rsidRDefault="00B233DE" w:rsidP="0023489B">
            <w:pPr>
              <w:spacing w:after="200" w:line="276" w:lineRule="auto"/>
              <w:ind w:firstLine="0"/>
              <w:jc w:val="center"/>
              <w:rPr>
                <w:rFonts w:ascii="Times New Roman" w:hAnsi="Times New Roman" w:cs="Times New Roman"/>
                <w:sz w:val="14"/>
                <w:szCs w:val="14"/>
              </w:rPr>
            </w:pPr>
            <w:r w:rsidRPr="0082483E">
              <w:rPr>
                <w:rFonts w:ascii="Times New Roman" w:hAnsi="Times New Roman" w:cs="Times New Roman"/>
                <w:sz w:val="14"/>
                <w:szCs w:val="14"/>
              </w:rPr>
              <w:t>6</w:t>
            </w:r>
          </w:p>
        </w:tc>
        <w:tc>
          <w:tcPr>
            <w:tcW w:w="1274" w:type="dxa"/>
            <w:vAlign w:val="center"/>
          </w:tcPr>
          <w:p w:rsidR="00B233DE" w:rsidRPr="0082483E" w:rsidRDefault="00B233DE" w:rsidP="0023489B">
            <w:pPr>
              <w:spacing w:after="200" w:line="276" w:lineRule="auto"/>
              <w:jc w:val="center"/>
              <w:rPr>
                <w:rFonts w:ascii="Times New Roman" w:hAnsi="Times New Roman" w:cs="Times New Roman"/>
                <w:sz w:val="14"/>
                <w:szCs w:val="14"/>
              </w:rPr>
            </w:pPr>
            <w:r w:rsidRPr="0082483E">
              <w:rPr>
                <w:rFonts w:ascii="Times New Roman" w:hAnsi="Times New Roman" w:cs="Times New Roman"/>
                <w:sz w:val="14"/>
                <w:szCs w:val="14"/>
              </w:rPr>
              <w:t>7</w:t>
            </w:r>
          </w:p>
        </w:tc>
      </w:tr>
      <w:tr w:rsidR="00B233DE" w:rsidRPr="00B000BE" w:rsidTr="0023489B">
        <w:tc>
          <w:tcPr>
            <w:tcW w:w="709" w:type="dxa"/>
          </w:tcPr>
          <w:p w:rsidR="00B233DE" w:rsidRPr="0082483E" w:rsidRDefault="00B233DE" w:rsidP="0023489B">
            <w:pPr>
              <w:ind w:left="-108" w:right="-108" w:firstLine="0"/>
              <w:jc w:val="center"/>
              <w:rPr>
                <w:rFonts w:ascii="Times New Roman" w:hAnsi="Times New Roman" w:cs="Times New Roman"/>
                <w:sz w:val="14"/>
                <w:szCs w:val="14"/>
              </w:rPr>
            </w:pPr>
          </w:p>
        </w:tc>
        <w:tc>
          <w:tcPr>
            <w:tcW w:w="1559" w:type="dxa"/>
          </w:tcPr>
          <w:p w:rsidR="00B233DE" w:rsidRPr="0082483E" w:rsidRDefault="00B233DE" w:rsidP="0023489B">
            <w:pPr>
              <w:ind w:left="-108" w:right="-108" w:firstLine="0"/>
              <w:jc w:val="both"/>
              <w:rPr>
                <w:rFonts w:ascii="Times New Roman" w:hAnsi="Times New Roman" w:cs="Times New Roman"/>
                <w:sz w:val="14"/>
                <w:szCs w:val="14"/>
              </w:rPr>
            </w:pPr>
            <w:r w:rsidRPr="00EF5C19">
              <w:rPr>
                <w:rFonts w:ascii="Times New Roman" w:hAnsi="Times New Roman" w:cs="Times New Roman"/>
                <w:spacing w:val="-8"/>
                <w:sz w:val="14"/>
                <w:szCs w:val="14"/>
              </w:rPr>
              <w:t>27,9 %</w:t>
            </w:r>
            <w:r w:rsidRPr="007834C7">
              <w:rPr>
                <w:rFonts w:ascii="Times New Roman" w:hAnsi="Times New Roman" w:cs="Times New Roman"/>
                <w:spacing w:val="-2"/>
                <w:sz w:val="14"/>
                <w:szCs w:val="14"/>
              </w:rPr>
              <w:t xml:space="preserve"> відповідно). Основ</w:t>
            </w:r>
            <w:r>
              <w:rPr>
                <w:rFonts w:ascii="Times New Roman" w:hAnsi="Times New Roman" w:cs="Times New Roman"/>
                <w:spacing w:val="-2"/>
                <w:sz w:val="14"/>
                <w:szCs w:val="14"/>
              </w:rPr>
              <w:t>-</w:t>
            </w:r>
            <w:r w:rsidRPr="007834C7">
              <w:rPr>
                <w:rFonts w:ascii="Times New Roman" w:hAnsi="Times New Roman" w:cs="Times New Roman"/>
                <w:spacing w:val="-2"/>
                <w:sz w:val="14"/>
                <w:szCs w:val="14"/>
              </w:rPr>
              <w:t>ними країнами призначен</w:t>
            </w:r>
            <w:r>
              <w:rPr>
                <w:rFonts w:ascii="Times New Roman" w:hAnsi="Times New Roman" w:cs="Times New Roman"/>
                <w:spacing w:val="-2"/>
                <w:sz w:val="14"/>
                <w:szCs w:val="14"/>
              </w:rPr>
              <w:t>-</w:t>
            </w:r>
            <w:r w:rsidRPr="007834C7">
              <w:rPr>
                <w:rFonts w:ascii="Times New Roman" w:hAnsi="Times New Roman" w:cs="Times New Roman"/>
                <w:spacing w:val="-2"/>
                <w:sz w:val="14"/>
                <w:szCs w:val="14"/>
              </w:rPr>
              <w:t>ня у Західній і Централь</w:t>
            </w:r>
            <w:r>
              <w:rPr>
                <w:rFonts w:ascii="Times New Roman" w:hAnsi="Times New Roman" w:cs="Times New Roman"/>
                <w:spacing w:val="-2"/>
                <w:sz w:val="14"/>
                <w:szCs w:val="14"/>
              </w:rPr>
              <w:t>-</w:t>
            </w:r>
            <w:r w:rsidRPr="007834C7">
              <w:rPr>
                <w:rFonts w:ascii="Times New Roman" w:hAnsi="Times New Roman" w:cs="Times New Roman"/>
                <w:spacing w:val="-2"/>
                <w:sz w:val="14"/>
                <w:szCs w:val="14"/>
              </w:rPr>
              <w:t>ній Європі є Німеччина, Франція, Великобританія, Іспанія та Італія. Мігран</w:t>
            </w:r>
            <w:r>
              <w:rPr>
                <w:rFonts w:ascii="Times New Roman" w:hAnsi="Times New Roman" w:cs="Times New Roman"/>
                <w:spacing w:val="-2"/>
                <w:sz w:val="14"/>
                <w:szCs w:val="14"/>
              </w:rPr>
              <w:t>-</w:t>
            </w:r>
            <w:r w:rsidRPr="007834C7">
              <w:rPr>
                <w:rFonts w:ascii="Times New Roman" w:hAnsi="Times New Roman" w:cs="Times New Roman"/>
                <w:spacing w:val="-2"/>
                <w:sz w:val="14"/>
                <w:szCs w:val="14"/>
              </w:rPr>
              <w:t>ти, що перебувають у За</w:t>
            </w:r>
            <w:r>
              <w:rPr>
                <w:rFonts w:ascii="Times New Roman" w:hAnsi="Times New Roman" w:cs="Times New Roman"/>
                <w:spacing w:val="-2"/>
                <w:sz w:val="14"/>
                <w:szCs w:val="14"/>
              </w:rPr>
              <w:t>-</w:t>
            </w:r>
            <w:r w:rsidRPr="007834C7">
              <w:rPr>
                <w:rFonts w:ascii="Times New Roman" w:hAnsi="Times New Roman" w:cs="Times New Roman"/>
                <w:spacing w:val="-2"/>
                <w:sz w:val="14"/>
                <w:szCs w:val="14"/>
              </w:rPr>
              <w:t>хідній і Центральній Єв</w:t>
            </w:r>
            <w:r>
              <w:rPr>
                <w:rFonts w:ascii="Times New Roman" w:hAnsi="Times New Roman" w:cs="Times New Roman"/>
                <w:spacing w:val="-2"/>
                <w:sz w:val="14"/>
                <w:szCs w:val="14"/>
              </w:rPr>
              <w:t>-</w:t>
            </w:r>
            <w:r w:rsidRPr="007834C7">
              <w:rPr>
                <w:rFonts w:ascii="Times New Roman" w:hAnsi="Times New Roman" w:cs="Times New Roman"/>
                <w:spacing w:val="-2"/>
                <w:sz w:val="14"/>
                <w:szCs w:val="14"/>
              </w:rPr>
              <w:t>ропі, надсилають 40</w:t>
            </w:r>
            <w:r>
              <w:rPr>
                <w:rFonts w:ascii="Times New Roman" w:hAnsi="Times New Roman" w:cs="Times New Roman"/>
                <w:spacing w:val="-2"/>
                <w:sz w:val="14"/>
                <w:szCs w:val="14"/>
              </w:rPr>
              <w:t> </w:t>
            </w:r>
            <w:r w:rsidRPr="007834C7">
              <w:rPr>
                <w:rFonts w:ascii="Times New Roman" w:hAnsi="Times New Roman" w:cs="Times New Roman"/>
                <w:spacing w:val="-2"/>
                <w:sz w:val="14"/>
                <w:szCs w:val="14"/>
              </w:rPr>
              <w:t>% об</w:t>
            </w:r>
            <w:r>
              <w:rPr>
                <w:rFonts w:ascii="Times New Roman" w:hAnsi="Times New Roman" w:cs="Times New Roman"/>
                <w:spacing w:val="-2"/>
                <w:sz w:val="14"/>
                <w:szCs w:val="14"/>
              </w:rPr>
              <w:t>-</w:t>
            </w:r>
            <w:r w:rsidRPr="007834C7">
              <w:rPr>
                <w:rFonts w:ascii="Times New Roman" w:hAnsi="Times New Roman" w:cs="Times New Roman"/>
                <w:spacing w:val="-2"/>
                <w:sz w:val="14"/>
                <w:szCs w:val="14"/>
              </w:rPr>
              <w:t xml:space="preserve">сягів світових грошових переказів </w:t>
            </w:r>
            <w:r>
              <w:rPr>
                <w:rFonts w:ascii="Times New Roman" w:hAnsi="Times New Roman" w:cs="Times New Roman"/>
                <w:spacing w:val="-2"/>
                <w:sz w:val="14"/>
                <w:szCs w:val="14"/>
              </w:rPr>
              <w:t>–</w:t>
            </w:r>
            <w:r w:rsidRPr="007834C7">
              <w:rPr>
                <w:rFonts w:ascii="Times New Roman" w:hAnsi="Times New Roman" w:cs="Times New Roman"/>
                <w:spacing w:val="-2"/>
                <w:sz w:val="14"/>
                <w:szCs w:val="14"/>
              </w:rPr>
              <w:t xml:space="preserve"> 120,9 млрд дол. Східна Європа і Цен</w:t>
            </w:r>
            <w:r>
              <w:rPr>
                <w:rFonts w:ascii="Times New Roman" w:hAnsi="Times New Roman" w:cs="Times New Roman"/>
                <w:spacing w:val="-2"/>
                <w:sz w:val="14"/>
                <w:szCs w:val="14"/>
              </w:rPr>
              <w:t>-</w:t>
            </w:r>
            <w:r w:rsidRPr="007834C7">
              <w:rPr>
                <w:rFonts w:ascii="Times New Roman" w:hAnsi="Times New Roman" w:cs="Times New Roman"/>
                <w:spacing w:val="-2"/>
                <w:sz w:val="14"/>
                <w:szCs w:val="14"/>
              </w:rPr>
              <w:t>тральна Азія отримують 27,1 млрд дол. грошових переказів [</w:t>
            </w:r>
            <w:r>
              <w:rPr>
                <w:rFonts w:ascii="Times New Roman" w:hAnsi="Times New Roman" w:cs="Times New Roman"/>
                <w:sz w:val="14"/>
                <w:szCs w:val="14"/>
                <w:lang w:val="en-US"/>
              </w:rPr>
              <w:fldChar w:fldCharType="begin"/>
            </w:r>
            <w:r>
              <w:rPr>
                <w:rFonts w:ascii="Times New Roman" w:hAnsi="Times New Roman" w:cs="Times New Roman"/>
                <w:spacing w:val="-2"/>
                <w:sz w:val="14"/>
                <w:szCs w:val="14"/>
              </w:rPr>
              <w:instrText xml:space="preserve"> REF _Ref435186859 \r \h </w:instrText>
            </w:r>
            <w:r>
              <w:rPr>
                <w:rFonts w:ascii="Times New Roman" w:hAnsi="Times New Roman" w:cs="Times New Roman"/>
                <w:sz w:val="14"/>
                <w:szCs w:val="14"/>
                <w:lang w:val="en-US"/>
              </w:rPr>
            </w:r>
            <w:r>
              <w:rPr>
                <w:rFonts w:ascii="Times New Roman" w:hAnsi="Times New Roman" w:cs="Times New Roman"/>
                <w:sz w:val="14"/>
                <w:szCs w:val="14"/>
                <w:lang w:val="en-US"/>
              </w:rPr>
              <w:fldChar w:fldCharType="separate"/>
            </w:r>
            <w:r>
              <w:rPr>
                <w:rFonts w:ascii="Times New Roman" w:hAnsi="Times New Roman" w:cs="Times New Roman"/>
                <w:spacing w:val="-2"/>
                <w:sz w:val="14"/>
                <w:szCs w:val="14"/>
              </w:rPr>
              <w:t>109</w:t>
            </w:r>
            <w:r>
              <w:rPr>
                <w:rFonts w:ascii="Times New Roman" w:hAnsi="Times New Roman" w:cs="Times New Roman"/>
                <w:sz w:val="14"/>
                <w:szCs w:val="14"/>
                <w:lang w:val="en-US"/>
              </w:rPr>
              <w:fldChar w:fldCharType="end"/>
            </w:r>
            <w:r w:rsidRPr="007834C7">
              <w:rPr>
                <w:rFonts w:ascii="Times New Roman" w:hAnsi="Times New Roman" w:cs="Times New Roman"/>
                <w:spacing w:val="-2"/>
                <w:sz w:val="14"/>
                <w:szCs w:val="14"/>
              </w:rPr>
              <w:t>]</w:t>
            </w:r>
          </w:p>
        </w:tc>
        <w:tc>
          <w:tcPr>
            <w:tcW w:w="851" w:type="dxa"/>
          </w:tcPr>
          <w:p w:rsidR="00B233DE" w:rsidRPr="0082483E" w:rsidRDefault="00B233DE" w:rsidP="0023489B">
            <w:pPr>
              <w:ind w:firstLine="0"/>
              <w:rPr>
                <w:rFonts w:ascii="Times New Roman" w:hAnsi="Times New Roman" w:cs="Times New Roman"/>
                <w:sz w:val="14"/>
                <w:szCs w:val="14"/>
              </w:rPr>
            </w:pPr>
          </w:p>
        </w:tc>
        <w:tc>
          <w:tcPr>
            <w:tcW w:w="2363" w:type="dxa"/>
          </w:tcPr>
          <w:p w:rsidR="00B233DE" w:rsidRPr="0082483E" w:rsidRDefault="00B233DE" w:rsidP="0023489B">
            <w:pPr>
              <w:ind w:left="-108" w:right="-13" w:firstLine="0"/>
              <w:jc w:val="both"/>
              <w:rPr>
                <w:rFonts w:ascii="Times New Roman" w:hAnsi="Times New Roman" w:cs="Times New Roman"/>
                <w:sz w:val="14"/>
                <w:szCs w:val="14"/>
              </w:rPr>
            </w:pPr>
            <w:r w:rsidRPr="007834C7">
              <w:rPr>
                <w:rFonts w:ascii="Times New Roman" w:hAnsi="Times New Roman" w:cs="Times New Roman"/>
                <w:sz w:val="14"/>
                <w:szCs w:val="14"/>
              </w:rPr>
              <w:t xml:space="preserve">реднього дослідження ринку праці: інформаційна система опитування бізнесу </w:t>
            </w:r>
            <w:r w:rsidRPr="007834C7">
              <w:rPr>
                <w:rFonts w:ascii="Times New Roman" w:hAnsi="Times New Roman" w:cs="Times New Roman"/>
                <w:sz w:val="14"/>
                <w:szCs w:val="14"/>
                <w:lang w:val="en-US"/>
              </w:rPr>
              <w:t>Excelior</w:t>
            </w:r>
            <w:r w:rsidRPr="007834C7">
              <w:rPr>
                <w:rFonts w:ascii="Times New Roman" w:hAnsi="Times New Roman" w:cs="Times New Roman"/>
                <w:sz w:val="14"/>
                <w:szCs w:val="14"/>
              </w:rPr>
              <w:t xml:space="preserve"> та Каталог професій, для яких важко знайти працівників. </w:t>
            </w:r>
            <w:r w:rsidRPr="00EF5C19">
              <w:rPr>
                <w:rFonts w:ascii="Times New Roman" w:hAnsi="Times New Roman" w:cs="Times New Roman"/>
                <w:spacing w:val="-6"/>
                <w:sz w:val="14"/>
                <w:szCs w:val="14"/>
              </w:rPr>
              <w:t>Ірландський уряд запровадив успішну</w:t>
            </w:r>
            <w:r w:rsidRPr="007834C7">
              <w:rPr>
                <w:rFonts w:ascii="Times New Roman" w:hAnsi="Times New Roman" w:cs="Times New Roman"/>
                <w:sz w:val="14"/>
                <w:szCs w:val="14"/>
              </w:rPr>
              <w:t xml:space="preserve"> </w:t>
            </w:r>
            <w:r w:rsidRPr="00EF5C19">
              <w:rPr>
                <w:rFonts w:ascii="Times New Roman" w:hAnsi="Times New Roman" w:cs="Times New Roman"/>
                <w:spacing w:val="-4"/>
                <w:sz w:val="14"/>
                <w:szCs w:val="14"/>
              </w:rPr>
              <w:t>процедуру визнання кваліфікацій і на-</w:t>
            </w:r>
            <w:r w:rsidRPr="007834C7">
              <w:rPr>
                <w:rFonts w:ascii="Times New Roman" w:hAnsi="Times New Roman" w:cs="Times New Roman"/>
                <w:sz w:val="14"/>
                <w:szCs w:val="14"/>
              </w:rPr>
              <w:t>виків через Національне кваліфі</w:t>
            </w:r>
            <w:r>
              <w:rPr>
                <w:rFonts w:ascii="Times New Roman" w:hAnsi="Times New Roman" w:cs="Times New Roman"/>
                <w:sz w:val="14"/>
                <w:szCs w:val="14"/>
              </w:rPr>
              <w:t>-</w:t>
            </w:r>
            <w:r w:rsidRPr="007834C7">
              <w:rPr>
                <w:rFonts w:ascii="Times New Roman" w:hAnsi="Times New Roman" w:cs="Times New Roman"/>
                <w:sz w:val="14"/>
                <w:szCs w:val="14"/>
              </w:rPr>
              <w:t>каційне відомство Ірландії, що перед</w:t>
            </w:r>
            <w:r>
              <w:rPr>
                <w:rFonts w:ascii="Times New Roman" w:hAnsi="Times New Roman" w:cs="Times New Roman"/>
                <w:sz w:val="14"/>
                <w:szCs w:val="14"/>
              </w:rPr>
              <w:t>-</w:t>
            </w:r>
            <w:r w:rsidRPr="007834C7">
              <w:rPr>
                <w:rFonts w:ascii="Times New Roman" w:hAnsi="Times New Roman" w:cs="Times New Roman"/>
                <w:sz w:val="14"/>
                <w:szCs w:val="14"/>
              </w:rPr>
              <w:t>бачає стандартизовану систему квалі</w:t>
            </w:r>
            <w:r>
              <w:rPr>
                <w:rFonts w:ascii="Times New Roman" w:hAnsi="Times New Roman" w:cs="Times New Roman"/>
                <w:sz w:val="14"/>
                <w:szCs w:val="14"/>
              </w:rPr>
              <w:t>-</w:t>
            </w:r>
            <w:r w:rsidRPr="007834C7">
              <w:rPr>
                <w:rFonts w:ascii="Times New Roman" w:hAnsi="Times New Roman" w:cs="Times New Roman"/>
                <w:sz w:val="14"/>
                <w:szCs w:val="14"/>
              </w:rPr>
              <w:t>фікацій, за якими можна праце</w:t>
            </w:r>
            <w:r>
              <w:rPr>
                <w:rFonts w:ascii="Times New Roman" w:hAnsi="Times New Roman" w:cs="Times New Roman"/>
                <w:sz w:val="14"/>
                <w:szCs w:val="14"/>
              </w:rPr>
              <w:t>-</w:t>
            </w:r>
            <w:r w:rsidRPr="007834C7">
              <w:rPr>
                <w:rFonts w:ascii="Times New Roman" w:hAnsi="Times New Roman" w:cs="Times New Roman"/>
                <w:sz w:val="14"/>
                <w:szCs w:val="14"/>
              </w:rPr>
              <w:t>влаштуватись в Ірландії, та базу да</w:t>
            </w:r>
            <w:r>
              <w:rPr>
                <w:rFonts w:ascii="Times New Roman" w:hAnsi="Times New Roman" w:cs="Times New Roman"/>
                <w:sz w:val="14"/>
                <w:szCs w:val="14"/>
              </w:rPr>
              <w:t>-</w:t>
            </w:r>
            <w:r w:rsidRPr="007834C7">
              <w:rPr>
                <w:rFonts w:ascii="Times New Roman" w:hAnsi="Times New Roman" w:cs="Times New Roman"/>
                <w:sz w:val="14"/>
                <w:szCs w:val="14"/>
              </w:rPr>
              <w:t>них з детальною інформацією про іноземні кваліфікації.</w:t>
            </w:r>
          </w:p>
        </w:tc>
        <w:tc>
          <w:tcPr>
            <w:tcW w:w="1340" w:type="dxa"/>
          </w:tcPr>
          <w:p w:rsidR="00B233DE" w:rsidRPr="0082483E" w:rsidRDefault="00B233DE" w:rsidP="0023489B">
            <w:pPr>
              <w:ind w:left="-61" w:right="-90" w:firstLine="0"/>
              <w:jc w:val="both"/>
              <w:rPr>
                <w:rFonts w:ascii="Times New Roman" w:hAnsi="Times New Roman" w:cs="Times New Roman"/>
                <w:sz w:val="14"/>
                <w:szCs w:val="14"/>
              </w:rPr>
            </w:pPr>
          </w:p>
        </w:tc>
        <w:tc>
          <w:tcPr>
            <w:tcW w:w="1543" w:type="dxa"/>
          </w:tcPr>
          <w:p w:rsidR="00B233DE" w:rsidRPr="0082483E" w:rsidRDefault="00B233DE" w:rsidP="0023489B">
            <w:pPr>
              <w:ind w:left="-126" w:right="-107" w:firstLine="0"/>
              <w:jc w:val="center"/>
              <w:rPr>
                <w:rFonts w:ascii="Times New Roman" w:hAnsi="Times New Roman" w:cs="Times New Roman"/>
                <w:sz w:val="14"/>
                <w:szCs w:val="14"/>
              </w:rPr>
            </w:pPr>
          </w:p>
        </w:tc>
        <w:tc>
          <w:tcPr>
            <w:tcW w:w="1274" w:type="dxa"/>
          </w:tcPr>
          <w:p w:rsidR="00B233DE" w:rsidRPr="0082483E" w:rsidRDefault="00B233DE" w:rsidP="0023489B">
            <w:pPr>
              <w:ind w:left="-126" w:right="-107" w:firstLine="0"/>
              <w:jc w:val="center"/>
              <w:rPr>
                <w:rFonts w:ascii="Times New Roman" w:hAnsi="Times New Roman" w:cs="Times New Roman"/>
                <w:sz w:val="14"/>
                <w:szCs w:val="14"/>
              </w:rPr>
            </w:pPr>
          </w:p>
        </w:tc>
      </w:tr>
      <w:tr w:rsidR="00B233DE" w:rsidRPr="001F01D4" w:rsidTr="0023489B">
        <w:tc>
          <w:tcPr>
            <w:tcW w:w="709" w:type="dxa"/>
          </w:tcPr>
          <w:p w:rsidR="00B233DE" w:rsidRPr="001F660A" w:rsidRDefault="00B233DE" w:rsidP="0023489B">
            <w:pPr>
              <w:ind w:left="-108" w:right="-108" w:firstLine="0"/>
              <w:jc w:val="center"/>
              <w:rPr>
                <w:rFonts w:ascii="Times New Roman" w:hAnsi="Times New Roman" w:cs="Times New Roman"/>
                <w:sz w:val="14"/>
                <w:szCs w:val="14"/>
              </w:rPr>
            </w:pPr>
          </w:p>
        </w:tc>
        <w:tc>
          <w:tcPr>
            <w:tcW w:w="1559" w:type="dxa"/>
          </w:tcPr>
          <w:p w:rsidR="00B233DE" w:rsidRPr="001F660A" w:rsidRDefault="00B233DE" w:rsidP="0023489B">
            <w:pPr>
              <w:ind w:left="-108" w:right="-108" w:firstLine="108"/>
              <w:jc w:val="both"/>
              <w:rPr>
                <w:rFonts w:ascii="Times New Roman" w:hAnsi="Times New Roman" w:cs="Times New Roman"/>
                <w:sz w:val="14"/>
                <w:szCs w:val="14"/>
              </w:rPr>
            </w:pPr>
          </w:p>
        </w:tc>
        <w:tc>
          <w:tcPr>
            <w:tcW w:w="851" w:type="dxa"/>
          </w:tcPr>
          <w:p w:rsidR="00B233DE" w:rsidRPr="001F660A" w:rsidRDefault="00B233DE" w:rsidP="0023489B">
            <w:pPr>
              <w:ind w:firstLine="0"/>
              <w:rPr>
                <w:rFonts w:ascii="Times New Roman" w:hAnsi="Times New Roman" w:cs="Times New Roman"/>
                <w:sz w:val="14"/>
                <w:szCs w:val="14"/>
              </w:rPr>
            </w:pPr>
            <w:r w:rsidRPr="001F660A">
              <w:rPr>
                <w:rFonts w:ascii="Times New Roman" w:hAnsi="Times New Roman" w:cs="Times New Roman"/>
                <w:sz w:val="14"/>
                <w:szCs w:val="14"/>
              </w:rPr>
              <w:t>Росія</w:t>
            </w:r>
          </w:p>
        </w:tc>
        <w:tc>
          <w:tcPr>
            <w:tcW w:w="2363" w:type="dxa"/>
          </w:tcPr>
          <w:p w:rsidR="00B233DE" w:rsidRPr="001F660A" w:rsidRDefault="00B233DE" w:rsidP="0023489B">
            <w:pPr>
              <w:ind w:left="-108" w:firstLine="108"/>
              <w:jc w:val="both"/>
              <w:rPr>
                <w:rFonts w:ascii="Times New Roman" w:hAnsi="Times New Roman" w:cs="Times New Roman"/>
                <w:sz w:val="14"/>
                <w:szCs w:val="14"/>
              </w:rPr>
            </w:pPr>
            <w:r w:rsidRPr="001F660A">
              <w:rPr>
                <w:rFonts w:ascii="Times New Roman" w:hAnsi="Times New Roman" w:cs="Times New Roman"/>
                <w:sz w:val="14"/>
                <w:szCs w:val="14"/>
              </w:rPr>
              <w:t>Прийняття нового міграційного законодавства сприяло скороченню нелегальної міграції. Встановлено порядок міграційного обліку тимчасових мігрантів, отримання дозволів на роботу, запровадження річних квот на видачу дозволів, підвищення відповідальності за нелегальне перебування іноземців. Порядок залучення іноземних працівників роботодавцями набув не дозвільного, а повідомного харак</w:t>
            </w:r>
            <w:r>
              <w:rPr>
                <w:rFonts w:ascii="Times New Roman" w:hAnsi="Times New Roman" w:cs="Times New Roman"/>
                <w:sz w:val="14"/>
                <w:szCs w:val="14"/>
              </w:rPr>
              <w:t>-</w:t>
            </w:r>
            <w:r w:rsidRPr="001F660A">
              <w:rPr>
                <w:rFonts w:ascii="Times New Roman" w:hAnsi="Times New Roman" w:cs="Times New Roman"/>
                <w:sz w:val="14"/>
                <w:szCs w:val="14"/>
              </w:rPr>
              <w:t>теру</w:t>
            </w:r>
          </w:p>
        </w:tc>
        <w:tc>
          <w:tcPr>
            <w:tcW w:w="1340" w:type="dxa"/>
          </w:tcPr>
          <w:p w:rsidR="00B233DE" w:rsidRPr="001F660A" w:rsidRDefault="00B233DE" w:rsidP="0023489B">
            <w:pPr>
              <w:ind w:left="-108" w:right="-90" w:firstLine="108"/>
              <w:jc w:val="both"/>
              <w:rPr>
                <w:rFonts w:ascii="Times New Roman" w:hAnsi="Times New Roman" w:cs="Times New Roman"/>
                <w:sz w:val="14"/>
                <w:szCs w:val="14"/>
              </w:rPr>
            </w:pPr>
            <w:r w:rsidRPr="001F660A">
              <w:rPr>
                <w:rFonts w:ascii="Times New Roman" w:hAnsi="Times New Roman" w:cs="Times New Roman"/>
                <w:sz w:val="14"/>
                <w:szCs w:val="14"/>
              </w:rPr>
              <w:t>Відсутність розга</w:t>
            </w:r>
            <w:r>
              <w:rPr>
                <w:rFonts w:ascii="Times New Roman" w:hAnsi="Times New Roman" w:cs="Times New Roman"/>
                <w:sz w:val="14"/>
                <w:szCs w:val="14"/>
              </w:rPr>
              <w:t>-</w:t>
            </w:r>
            <w:r w:rsidRPr="001F660A">
              <w:rPr>
                <w:rFonts w:ascii="Times New Roman" w:hAnsi="Times New Roman" w:cs="Times New Roman"/>
                <w:sz w:val="14"/>
                <w:szCs w:val="14"/>
              </w:rPr>
              <w:t>луженої інфраструк</w:t>
            </w:r>
            <w:r>
              <w:rPr>
                <w:rFonts w:ascii="Times New Roman" w:hAnsi="Times New Roman" w:cs="Times New Roman"/>
                <w:sz w:val="14"/>
                <w:szCs w:val="14"/>
              </w:rPr>
              <w:t>-</w:t>
            </w:r>
            <w:r w:rsidRPr="001F660A">
              <w:rPr>
                <w:rFonts w:ascii="Times New Roman" w:hAnsi="Times New Roman" w:cs="Times New Roman"/>
                <w:sz w:val="14"/>
                <w:szCs w:val="14"/>
              </w:rPr>
              <w:t>тури та скоорди</w:t>
            </w:r>
            <w:r>
              <w:rPr>
                <w:rFonts w:ascii="Times New Roman" w:hAnsi="Times New Roman" w:cs="Times New Roman"/>
                <w:sz w:val="14"/>
                <w:szCs w:val="14"/>
              </w:rPr>
              <w:t>-</w:t>
            </w:r>
            <w:r w:rsidRPr="001F660A">
              <w:rPr>
                <w:rFonts w:ascii="Times New Roman" w:hAnsi="Times New Roman" w:cs="Times New Roman"/>
                <w:sz w:val="14"/>
                <w:szCs w:val="14"/>
              </w:rPr>
              <w:t>нованої роботи мініс</w:t>
            </w:r>
            <w:r>
              <w:rPr>
                <w:rFonts w:ascii="Times New Roman" w:hAnsi="Times New Roman" w:cs="Times New Roman"/>
                <w:sz w:val="14"/>
                <w:szCs w:val="14"/>
              </w:rPr>
              <w:t>-</w:t>
            </w:r>
            <w:r w:rsidRPr="001F660A">
              <w:rPr>
                <w:rFonts w:ascii="Times New Roman" w:hAnsi="Times New Roman" w:cs="Times New Roman"/>
                <w:sz w:val="14"/>
                <w:szCs w:val="14"/>
              </w:rPr>
              <w:t>терств і відомств по впровадженню мігра</w:t>
            </w:r>
            <w:r>
              <w:rPr>
                <w:rFonts w:ascii="Times New Roman" w:hAnsi="Times New Roman" w:cs="Times New Roman"/>
                <w:sz w:val="14"/>
                <w:szCs w:val="14"/>
              </w:rPr>
              <w:t>-</w:t>
            </w:r>
            <w:r w:rsidRPr="001F660A">
              <w:rPr>
                <w:rFonts w:ascii="Times New Roman" w:hAnsi="Times New Roman" w:cs="Times New Roman"/>
                <w:sz w:val="14"/>
                <w:szCs w:val="14"/>
              </w:rPr>
              <w:t>ційної політики</w:t>
            </w:r>
          </w:p>
        </w:tc>
        <w:tc>
          <w:tcPr>
            <w:tcW w:w="1543" w:type="dxa"/>
          </w:tcPr>
          <w:p w:rsidR="00B233DE" w:rsidRPr="001F660A" w:rsidRDefault="00B233DE" w:rsidP="0023489B">
            <w:pPr>
              <w:ind w:left="-108" w:right="-90" w:firstLine="108"/>
              <w:jc w:val="both"/>
              <w:rPr>
                <w:rFonts w:ascii="Times New Roman" w:hAnsi="Times New Roman" w:cs="Times New Roman"/>
                <w:sz w:val="14"/>
                <w:szCs w:val="14"/>
              </w:rPr>
            </w:pPr>
            <w:r w:rsidRPr="001F660A">
              <w:rPr>
                <w:rFonts w:ascii="Times New Roman" w:hAnsi="Times New Roman" w:cs="Times New Roman"/>
                <w:sz w:val="14"/>
                <w:szCs w:val="14"/>
              </w:rPr>
              <w:t>Покращення захисту прав трудових мігрантів, регулювання викори</w:t>
            </w:r>
            <w:r>
              <w:rPr>
                <w:rFonts w:ascii="Times New Roman" w:hAnsi="Times New Roman" w:cs="Times New Roman"/>
                <w:sz w:val="14"/>
                <w:szCs w:val="14"/>
              </w:rPr>
              <w:t>-</w:t>
            </w:r>
            <w:r w:rsidRPr="001F660A">
              <w:rPr>
                <w:rFonts w:ascii="Times New Roman" w:hAnsi="Times New Roman" w:cs="Times New Roman"/>
                <w:sz w:val="14"/>
                <w:szCs w:val="14"/>
              </w:rPr>
              <w:t>стання їх людського потенціалу відповідно до галузевих і регіональних потреб ринку праці.</w:t>
            </w:r>
          </w:p>
        </w:tc>
        <w:tc>
          <w:tcPr>
            <w:tcW w:w="1274" w:type="dxa"/>
          </w:tcPr>
          <w:p w:rsidR="00B233DE" w:rsidRPr="001F660A" w:rsidRDefault="00B233DE" w:rsidP="0023489B">
            <w:pPr>
              <w:ind w:left="-109" w:right="-108" w:firstLine="0"/>
              <w:jc w:val="both"/>
              <w:rPr>
                <w:rFonts w:ascii="Times New Roman" w:hAnsi="Times New Roman" w:cs="Times New Roman"/>
                <w:sz w:val="14"/>
                <w:szCs w:val="14"/>
              </w:rPr>
            </w:pPr>
            <w:r w:rsidRPr="001F660A">
              <w:rPr>
                <w:rFonts w:ascii="Times New Roman" w:hAnsi="Times New Roman" w:cs="Times New Roman"/>
                <w:sz w:val="14"/>
                <w:szCs w:val="14"/>
              </w:rPr>
              <w:t>Вільний вихід міг</w:t>
            </w:r>
            <w:r>
              <w:rPr>
                <w:rFonts w:ascii="Times New Roman" w:hAnsi="Times New Roman" w:cs="Times New Roman"/>
                <w:sz w:val="14"/>
                <w:szCs w:val="14"/>
              </w:rPr>
              <w:t>-</w:t>
            </w:r>
            <w:r w:rsidRPr="001F660A">
              <w:rPr>
                <w:rFonts w:ascii="Times New Roman" w:hAnsi="Times New Roman" w:cs="Times New Roman"/>
                <w:sz w:val="14"/>
                <w:szCs w:val="14"/>
              </w:rPr>
              <w:t>рантів на ринок пра</w:t>
            </w:r>
            <w:r>
              <w:rPr>
                <w:rFonts w:ascii="Times New Roman" w:hAnsi="Times New Roman" w:cs="Times New Roman"/>
                <w:sz w:val="14"/>
                <w:szCs w:val="14"/>
              </w:rPr>
              <w:t>-</w:t>
            </w:r>
            <w:r w:rsidRPr="001F660A">
              <w:rPr>
                <w:rFonts w:ascii="Times New Roman" w:hAnsi="Times New Roman" w:cs="Times New Roman"/>
                <w:spacing w:val="-6"/>
                <w:sz w:val="14"/>
                <w:szCs w:val="14"/>
              </w:rPr>
              <w:t>ці в зв’язку з самостій-ним отриманням доз-волів на роботу і одно-</w:t>
            </w:r>
            <w:r w:rsidRPr="001F660A">
              <w:rPr>
                <w:rFonts w:ascii="Times New Roman" w:hAnsi="Times New Roman" w:cs="Times New Roman"/>
                <w:sz w:val="14"/>
                <w:szCs w:val="14"/>
              </w:rPr>
              <w:t>часна відсутність ле</w:t>
            </w:r>
            <w:r>
              <w:rPr>
                <w:rFonts w:ascii="Times New Roman" w:hAnsi="Times New Roman" w:cs="Times New Roman"/>
                <w:sz w:val="14"/>
                <w:szCs w:val="14"/>
              </w:rPr>
              <w:t>-</w:t>
            </w:r>
            <w:r w:rsidRPr="001F660A">
              <w:rPr>
                <w:rFonts w:ascii="Times New Roman" w:hAnsi="Times New Roman" w:cs="Times New Roman"/>
                <w:sz w:val="14"/>
                <w:szCs w:val="14"/>
              </w:rPr>
              <w:t>гальної мережі посе</w:t>
            </w:r>
            <w:r>
              <w:rPr>
                <w:rFonts w:ascii="Times New Roman" w:hAnsi="Times New Roman" w:cs="Times New Roman"/>
                <w:sz w:val="14"/>
                <w:szCs w:val="14"/>
              </w:rPr>
              <w:t>-</w:t>
            </w:r>
            <w:r w:rsidRPr="001F660A">
              <w:rPr>
                <w:rFonts w:ascii="Times New Roman" w:hAnsi="Times New Roman" w:cs="Times New Roman"/>
                <w:sz w:val="14"/>
                <w:szCs w:val="14"/>
              </w:rPr>
              <w:t>редницьких структур у сфері працевлаш</w:t>
            </w:r>
            <w:r>
              <w:rPr>
                <w:rFonts w:ascii="Times New Roman" w:hAnsi="Times New Roman" w:cs="Times New Roman"/>
                <w:sz w:val="14"/>
                <w:szCs w:val="14"/>
              </w:rPr>
              <w:t>-</w:t>
            </w:r>
            <w:r w:rsidRPr="001F660A">
              <w:rPr>
                <w:rFonts w:ascii="Times New Roman" w:hAnsi="Times New Roman" w:cs="Times New Roman"/>
                <w:sz w:val="14"/>
                <w:szCs w:val="14"/>
              </w:rPr>
              <w:t>тування сприяє роз</w:t>
            </w:r>
            <w:r>
              <w:rPr>
                <w:rFonts w:ascii="Times New Roman" w:hAnsi="Times New Roman" w:cs="Times New Roman"/>
                <w:sz w:val="14"/>
                <w:szCs w:val="14"/>
              </w:rPr>
              <w:t>-</w:t>
            </w:r>
            <w:r w:rsidRPr="001F660A">
              <w:rPr>
                <w:rFonts w:ascii="Times New Roman" w:hAnsi="Times New Roman" w:cs="Times New Roman"/>
                <w:sz w:val="14"/>
                <w:szCs w:val="14"/>
              </w:rPr>
              <w:t>витку тіньового по</w:t>
            </w:r>
            <w:r>
              <w:rPr>
                <w:rFonts w:ascii="Times New Roman" w:hAnsi="Times New Roman" w:cs="Times New Roman"/>
                <w:sz w:val="14"/>
                <w:szCs w:val="14"/>
              </w:rPr>
              <w:t>-</w:t>
            </w:r>
            <w:r w:rsidRPr="001F660A">
              <w:rPr>
                <w:rFonts w:ascii="Times New Roman" w:hAnsi="Times New Roman" w:cs="Times New Roman"/>
                <w:sz w:val="14"/>
                <w:szCs w:val="14"/>
              </w:rPr>
              <w:t xml:space="preserve">середництва, його криміналізації та зростання загроз для перебування мігрантів </w:t>
            </w:r>
          </w:p>
        </w:tc>
      </w:tr>
    </w:tbl>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sectPr w:rsidR="00B233DE" w:rsidSect="0023489B">
          <w:pgSz w:w="11907" w:h="8392" w:orient="landscape" w:code="11"/>
          <w:pgMar w:top="1134" w:right="1134" w:bottom="1134" w:left="1134" w:header="709" w:footer="709" w:gutter="0"/>
          <w:cols w:space="708"/>
          <w:docGrid w:linePitch="360"/>
        </w:sectPr>
      </w:pPr>
    </w:p>
    <w:p w:rsidR="00B233DE" w:rsidRDefault="00B233DE" w:rsidP="00B233DE">
      <w:pPr>
        <w:tabs>
          <w:tab w:val="left" w:pos="900"/>
        </w:tabs>
        <w:ind w:firstLine="0"/>
        <w:jc w:val="both"/>
        <w:rPr>
          <w:rFonts w:ascii="Times New Roman" w:hAnsi="Times New Roman" w:cs="Times New Roman"/>
          <w:sz w:val="21"/>
          <w:szCs w:val="21"/>
        </w:rPr>
      </w:pPr>
      <w:r>
        <w:rPr>
          <w:noProof/>
          <w:sz w:val="28"/>
          <w:szCs w:val="28"/>
          <w:lang w:val="ru-RU" w:eastAsia="ru-RU"/>
        </w:rPr>
        <w:lastRenderedPageBreak/>
        <mc:AlternateContent>
          <mc:Choice Requires="wpg">
            <w:drawing>
              <wp:anchor distT="0" distB="0" distL="114300" distR="114300" simplePos="0" relativeHeight="251693056" behindDoc="0" locked="0" layoutInCell="1" allowOverlap="1" wp14:anchorId="66900E87" wp14:editId="3F8A3F7D">
                <wp:simplePos x="0" y="0"/>
                <wp:positionH relativeFrom="column">
                  <wp:posOffset>-8890</wp:posOffset>
                </wp:positionH>
                <wp:positionV relativeFrom="paragraph">
                  <wp:posOffset>-186690</wp:posOffset>
                </wp:positionV>
                <wp:extent cx="6154635" cy="3725051"/>
                <wp:effectExtent l="0" t="76200" r="17780" b="27940"/>
                <wp:wrapNone/>
                <wp:docPr id="1024" name="Group 8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54635" cy="3725051"/>
                          <a:chOff x="1031" y="1219"/>
                          <a:chExt cx="14647" cy="8701"/>
                        </a:xfrm>
                      </wpg:grpSpPr>
                      <wps:wsp>
                        <wps:cNvPr id="1025" name="Text Box 811"/>
                        <wps:cNvSpPr txBox="1">
                          <a:spLocks noChangeArrowheads="1"/>
                        </wps:cNvSpPr>
                        <wps:spPr bwMode="auto">
                          <a:xfrm>
                            <a:off x="4807" y="2077"/>
                            <a:ext cx="515" cy="463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40F8" w:rsidRPr="0027632B" w:rsidRDefault="00BE40F8" w:rsidP="00B233DE">
                              <w:pPr>
                                <w:jc w:val="center"/>
                                <w:rPr>
                                  <w:rFonts w:ascii="Times New Roman" w:hAnsi="Times New Roman" w:cs="Times New Roman"/>
                                  <w:sz w:val="15"/>
                                  <w:szCs w:val="15"/>
                                </w:rPr>
                              </w:pPr>
                              <w:r w:rsidRPr="0027632B">
                                <w:rPr>
                                  <w:rFonts w:ascii="Times New Roman" w:hAnsi="Times New Roman" w:cs="Times New Roman"/>
                                  <w:sz w:val="15"/>
                                  <w:szCs w:val="15"/>
                                </w:rPr>
                                <w:t xml:space="preserve">Посилення позитивного впливу </w:t>
                              </w:r>
                            </w:p>
                            <w:p w:rsidR="00BE40F8" w:rsidRPr="0027632B" w:rsidRDefault="00BE40F8" w:rsidP="00B233DE">
                              <w:pPr>
                                <w:jc w:val="center"/>
                                <w:rPr>
                                  <w:rFonts w:ascii="Times New Roman" w:hAnsi="Times New Roman" w:cs="Times New Roman"/>
                                  <w:sz w:val="15"/>
                                  <w:szCs w:val="15"/>
                                </w:rPr>
                              </w:pPr>
                              <w:r w:rsidRPr="0027632B">
                                <w:rPr>
                                  <w:rFonts w:ascii="Times New Roman" w:hAnsi="Times New Roman" w:cs="Times New Roman"/>
                                  <w:sz w:val="15"/>
                                  <w:szCs w:val="15"/>
                                </w:rPr>
                                <w:t>на формування ЛП</w:t>
                              </w:r>
                            </w:p>
                          </w:txbxContent>
                        </wps:txbx>
                        <wps:bodyPr rot="0" vert="vert270" wrap="square" lIns="0" tIns="0" rIns="0" bIns="0" anchor="ctr" anchorCtr="0" upright="1">
                          <a:noAutofit/>
                        </wps:bodyPr>
                      </wps:wsp>
                      <wps:wsp>
                        <wps:cNvPr id="1026" name="Text Box 812"/>
                        <wps:cNvSpPr txBox="1">
                          <a:spLocks noChangeArrowheads="1"/>
                        </wps:cNvSpPr>
                        <wps:spPr bwMode="auto">
                          <a:xfrm>
                            <a:off x="12379" y="3741"/>
                            <a:ext cx="3203" cy="226"/>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Заходи реінтеграції</w:t>
                              </w:r>
                            </w:p>
                          </w:txbxContent>
                        </wps:txbx>
                        <wps:bodyPr rot="0" vert="horz" wrap="square" lIns="0" tIns="0" rIns="0" bIns="0" anchor="t" anchorCtr="0" upright="1">
                          <a:noAutofit/>
                        </wps:bodyPr>
                      </wps:wsp>
                      <wps:wsp>
                        <wps:cNvPr id="1027" name="Text Box 813"/>
                        <wps:cNvSpPr txBox="1">
                          <a:spLocks noChangeArrowheads="1"/>
                        </wps:cNvSpPr>
                        <wps:spPr bwMode="auto">
                          <a:xfrm>
                            <a:off x="12379" y="3966"/>
                            <a:ext cx="3203" cy="230"/>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 xml:space="preserve">Пільгові кредити </w:t>
                              </w:r>
                            </w:p>
                          </w:txbxContent>
                        </wps:txbx>
                        <wps:bodyPr rot="0" vert="horz" wrap="square" lIns="0" tIns="0" rIns="0" bIns="0" anchor="t" anchorCtr="0" upright="1">
                          <a:noAutofit/>
                        </wps:bodyPr>
                      </wps:wsp>
                      <wps:wsp>
                        <wps:cNvPr id="1028" name="Text Box 814"/>
                        <wps:cNvSpPr txBox="1">
                          <a:spLocks noChangeArrowheads="1"/>
                        </wps:cNvSpPr>
                        <wps:spPr bwMode="auto">
                          <a:xfrm>
                            <a:off x="12379" y="4158"/>
                            <a:ext cx="3203" cy="233"/>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Матеріальне заохочення науковців до рееміграції</w:t>
                              </w:r>
                            </w:p>
                          </w:txbxContent>
                        </wps:txbx>
                        <wps:bodyPr rot="0" vert="horz" wrap="square" lIns="0" tIns="0" rIns="0" bIns="0" anchor="t" anchorCtr="0" upright="1">
                          <a:noAutofit/>
                        </wps:bodyPr>
                      </wps:wsp>
                      <wps:wsp>
                        <wps:cNvPr id="1029" name="Text Box 815"/>
                        <wps:cNvSpPr txBox="1">
                          <a:spLocks noChangeArrowheads="1"/>
                        </wps:cNvSpPr>
                        <wps:spPr bwMode="auto">
                          <a:xfrm>
                            <a:off x="12379" y="4406"/>
                            <a:ext cx="3203" cy="403"/>
                          </a:xfrm>
                          <a:prstGeom prst="rect">
                            <a:avLst/>
                          </a:prstGeom>
                          <a:solidFill>
                            <a:srgbClr val="FFFFFF"/>
                          </a:solidFill>
                          <a:ln w="9525">
                            <a:solidFill>
                              <a:srgbClr val="000000"/>
                            </a:solidFill>
                            <a:miter lim="800000"/>
                            <a:headEnd/>
                            <a:tailEnd/>
                          </a:ln>
                        </wps:spPr>
                        <wps:txbx>
                          <w:txbxContent>
                            <w:p w:rsidR="00BE40F8" w:rsidRDefault="00BE40F8" w:rsidP="00B233DE">
                              <w:pPr>
                                <w:spacing w:line="216" w:lineRule="auto"/>
                                <w:ind w:firstLine="0"/>
                                <w:jc w:val="center"/>
                                <w:rPr>
                                  <w:rFonts w:ascii="Times New Roman" w:hAnsi="Times New Roman" w:cs="Times New Roman"/>
                                  <w:spacing w:val="-4"/>
                                  <w:sz w:val="15"/>
                                  <w:szCs w:val="15"/>
                                </w:rPr>
                              </w:pPr>
                              <w:r w:rsidRPr="0027632B">
                                <w:rPr>
                                  <w:rFonts w:ascii="Times New Roman" w:hAnsi="Times New Roman" w:cs="Times New Roman"/>
                                  <w:sz w:val="15"/>
                                  <w:szCs w:val="15"/>
                                </w:rPr>
                                <w:t xml:space="preserve">Створення системи </w:t>
                              </w:r>
                              <w:r w:rsidRPr="002570C4">
                                <w:rPr>
                                  <w:rFonts w:ascii="Times New Roman" w:hAnsi="Times New Roman" w:cs="Times New Roman"/>
                                  <w:spacing w:val="-4"/>
                                  <w:sz w:val="15"/>
                                  <w:szCs w:val="15"/>
                                </w:rPr>
                                <w:t>з</w:t>
                              </w:r>
                              <w:r w:rsidRPr="002570C4">
                                <w:rPr>
                                  <w:rFonts w:ascii="Times New Roman" w:hAnsi="Times New Roman" w:cs="Times New Roman"/>
                                  <w:sz w:val="15"/>
                                  <w:szCs w:val="15"/>
                                </w:rPr>
                                <w:t>береження</w:t>
                              </w:r>
                              <w:r w:rsidRPr="002570C4">
                                <w:rPr>
                                  <w:rFonts w:ascii="Times New Roman" w:hAnsi="Times New Roman" w:cs="Times New Roman"/>
                                  <w:spacing w:val="-4"/>
                                  <w:sz w:val="15"/>
                                  <w:szCs w:val="15"/>
                                </w:rPr>
                                <w:t xml:space="preserve"> </w:t>
                              </w:r>
                            </w:p>
                            <w:p w:rsidR="00BE40F8" w:rsidRPr="0027632B" w:rsidRDefault="00BE40F8" w:rsidP="00B233DE">
                              <w:pPr>
                                <w:spacing w:line="216" w:lineRule="auto"/>
                                <w:ind w:firstLine="0"/>
                                <w:jc w:val="center"/>
                                <w:rPr>
                                  <w:rFonts w:ascii="Times New Roman" w:hAnsi="Times New Roman" w:cs="Times New Roman"/>
                                  <w:sz w:val="15"/>
                                  <w:szCs w:val="15"/>
                                </w:rPr>
                              </w:pPr>
                              <w:r w:rsidRPr="002570C4">
                                <w:rPr>
                                  <w:rFonts w:ascii="Times New Roman" w:hAnsi="Times New Roman" w:cs="Times New Roman"/>
                                  <w:spacing w:val="-4"/>
                                  <w:sz w:val="15"/>
                                  <w:szCs w:val="15"/>
                                </w:rPr>
                                <w:t>і перенесення прав забезпечення</w:t>
                              </w:r>
                            </w:p>
                          </w:txbxContent>
                        </wps:txbx>
                        <wps:bodyPr rot="0" vert="horz" wrap="square" lIns="0" tIns="0" rIns="0" bIns="0" anchor="t" anchorCtr="0" upright="1">
                          <a:noAutofit/>
                        </wps:bodyPr>
                      </wps:wsp>
                      <wps:wsp>
                        <wps:cNvPr id="1030" name="Text Box 816"/>
                        <wps:cNvSpPr txBox="1">
                          <a:spLocks noChangeArrowheads="1"/>
                        </wps:cNvSpPr>
                        <wps:spPr bwMode="auto">
                          <a:xfrm>
                            <a:off x="1031" y="2006"/>
                            <a:ext cx="3090" cy="760"/>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pacing w:val="-6"/>
                                  <w:sz w:val="15"/>
                                  <w:szCs w:val="15"/>
                                </w:rPr>
                                <w:t>Економічне зростання і підви-щення ЛП за рахунок високо-</w:t>
                              </w:r>
                              <w:r w:rsidRPr="0027632B">
                                <w:rPr>
                                  <w:rFonts w:ascii="Times New Roman" w:hAnsi="Times New Roman" w:cs="Times New Roman"/>
                                  <w:sz w:val="15"/>
                                  <w:szCs w:val="15"/>
                                </w:rPr>
                                <w:t>кваліфікованої імміграції</w:t>
                              </w:r>
                            </w:p>
                          </w:txbxContent>
                        </wps:txbx>
                        <wps:bodyPr rot="0" vert="horz" wrap="square" lIns="0" tIns="0" rIns="0" bIns="0" anchor="ctr" anchorCtr="0" upright="1">
                          <a:noAutofit/>
                        </wps:bodyPr>
                      </wps:wsp>
                      <wps:wsp>
                        <wps:cNvPr id="1031" name="Text Box 817"/>
                        <wps:cNvSpPr txBox="1">
                          <a:spLocks noChangeArrowheads="1"/>
                        </wps:cNvSpPr>
                        <wps:spPr bwMode="auto">
                          <a:xfrm>
                            <a:off x="1031" y="2765"/>
                            <a:ext cx="3094" cy="558"/>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pacing w:val="-6"/>
                                  <w:sz w:val="15"/>
                                  <w:szCs w:val="15"/>
                                </w:rPr>
                                <w:t>Вирішення демографічних про-</w:t>
                              </w:r>
                              <w:r w:rsidRPr="0027632B">
                                <w:rPr>
                                  <w:rFonts w:ascii="Times New Roman" w:hAnsi="Times New Roman" w:cs="Times New Roman"/>
                                  <w:sz w:val="15"/>
                                  <w:szCs w:val="15"/>
                                </w:rPr>
                                <w:t>блем у країнах призначення</w:t>
                              </w:r>
                            </w:p>
                          </w:txbxContent>
                        </wps:txbx>
                        <wps:bodyPr rot="0" vert="horz" wrap="square" lIns="0" tIns="0" rIns="0" bIns="0" anchor="ctr" anchorCtr="0" upright="1">
                          <a:noAutofit/>
                        </wps:bodyPr>
                      </wps:wsp>
                      <wps:wsp>
                        <wps:cNvPr id="1032" name="Text Box 818"/>
                        <wps:cNvSpPr txBox="1">
                          <a:spLocks noChangeArrowheads="1"/>
                        </wps:cNvSpPr>
                        <wps:spPr bwMode="auto">
                          <a:xfrm>
                            <a:off x="1031" y="3317"/>
                            <a:ext cx="3090" cy="515"/>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pacing w:val="-6"/>
                                  <w:sz w:val="15"/>
                                  <w:szCs w:val="15"/>
                                </w:rPr>
                                <w:t>Усунення диспропорцій на рин-</w:t>
                              </w:r>
                              <w:r w:rsidRPr="0027632B">
                                <w:rPr>
                                  <w:rFonts w:ascii="Times New Roman" w:hAnsi="Times New Roman" w:cs="Times New Roman"/>
                                  <w:sz w:val="15"/>
                                  <w:szCs w:val="15"/>
                                </w:rPr>
                                <w:t>ках праці країн призначення</w:t>
                              </w:r>
                            </w:p>
                          </w:txbxContent>
                        </wps:txbx>
                        <wps:bodyPr rot="0" vert="horz" wrap="square" lIns="0" tIns="0" rIns="0" bIns="0" anchor="ctr" anchorCtr="0" upright="1">
                          <a:noAutofit/>
                        </wps:bodyPr>
                      </wps:wsp>
                      <wps:wsp>
                        <wps:cNvPr id="1033" name="Text Box 819"/>
                        <wps:cNvSpPr txBox="1">
                          <a:spLocks noChangeArrowheads="1"/>
                        </wps:cNvSpPr>
                        <wps:spPr bwMode="auto">
                          <a:xfrm>
                            <a:off x="1035" y="3832"/>
                            <a:ext cx="3090" cy="477"/>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spacing w:line="230" w:lineRule="auto"/>
                                <w:ind w:firstLine="0"/>
                                <w:jc w:val="center"/>
                                <w:rPr>
                                  <w:rFonts w:ascii="Times New Roman" w:hAnsi="Times New Roman" w:cs="Times New Roman"/>
                                  <w:spacing w:val="-6"/>
                                  <w:sz w:val="15"/>
                                  <w:szCs w:val="15"/>
                                </w:rPr>
                              </w:pPr>
                              <w:r w:rsidRPr="0027632B">
                                <w:rPr>
                                  <w:rFonts w:ascii="Times New Roman" w:hAnsi="Times New Roman" w:cs="Times New Roman"/>
                                  <w:spacing w:val="-6"/>
                                  <w:sz w:val="15"/>
                                  <w:szCs w:val="15"/>
                                </w:rPr>
                                <w:t>Економія часу і коштів на форму-вання ЛП країнами призначення</w:t>
                              </w:r>
                            </w:p>
                          </w:txbxContent>
                        </wps:txbx>
                        <wps:bodyPr rot="0" vert="horz" wrap="square" lIns="0" tIns="0" rIns="0" bIns="0" anchor="ctr" anchorCtr="0" upright="1">
                          <a:noAutofit/>
                        </wps:bodyPr>
                      </wps:wsp>
                      <wps:wsp>
                        <wps:cNvPr id="1034" name="Text Box 820"/>
                        <wps:cNvSpPr txBox="1">
                          <a:spLocks noChangeArrowheads="1"/>
                        </wps:cNvSpPr>
                        <wps:spPr bwMode="auto">
                          <a:xfrm>
                            <a:off x="1031" y="4309"/>
                            <a:ext cx="3090" cy="742"/>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pacing w:val="-6"/>
                                  <w:sz w:val="15"/>
                                  <w:szCs w:val="15"/>
                                </w:rPr>
                                <w:t>Зростання доходів та підвищен</w:t>
                              </w:r>
                              <w:r w:rsidRPr="0027632B">
                                <w:rPr>
                                  <w:rFonts w:ascii="Times New Roman" w:hAnsi="Times New Roman" w:cs="Times New Roman"/>
                                  <w:sz w:val="15"/>
                                  <w:szCs w:val="15"/>
                                </w:rPr>
                                <w:t>ня людського потенціалу за раху-нок грошових переказів</w:t>
                              </w:r>
                            </w:p>
                          </w:txbxContent>
                        </wps:txbx>
                        <wps:bodyPr rot="0" vert="horz" wrap="square" lIns="0" tIns="0" rIns="0" bIns="0" anchor="ctr" anchorCtr="0" upright="1">
                          <a:noAutofit/>
                        </wps:bodyPr>
                      </wps:wsp>
                      <wps:wsp>
                        <wps:cNvPr id="1035" name="Text Box 821"/>
                        <wps:cNvSpPr txBox="1">
                          <a:spLocks noChangeArrowheads="1"/>
                        </wps:cNvSpPr>
                        <wps:spPr bwMode="auto">
                          <a:xfrm>
                            <a:off x="1035" y="5694"/>
                            <a:ext cx="3090" cy="463"/>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Зменшення безробіття у краї-нах походження</w:t>
                              </w:r>
                            </w:p>
                          </w:txbxContent>
                        </wps:txbx>
                        <wps:bodyPr rot="0" vert="horz" wrap="square" lIns="0" tIns="0" rIns="0" bIns="0" anchor="ctr" anchorCtr="0" upright="1">
                          <a:noAutofit/>
                        </wps:bodyPr>
                      </wps:wsp>
                      <wps:wsp>
                        <wps:cNvPr id="1036" name="Text Box 822"/>
                        <wps:cNvSpPr txBox="1">
                          <a:spLocks noChangeArrowheads="1"/>
                        </wps:cNvSpPr>
                        <wps:spPr bwMode="auto">
                          <a:xfrm>
                            <a:off x="1035" y="5064"/>
                            <a:ext cx="3090" cy="601"/>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pacing w:val="-6"/>
                                  <w:sz w:val="15"/>
                                  <w:szCs w:val="15"/>
                                </w:rPr>
                                <w:t>Переваги від міждержавного кру-</w:t>
                              </w:r>
                              <w:r w:rsidRPr="0027632B">
                                <w:rPr>
                                  <w:rFonts w:ascii="Times New Roman" w:hAnsi="Times New Roman" w:cs="Times New Roman"/>
                                  <w:sz w:val="15"/>
                                  <w:szCs w:val="15"/>
                                </w:rPr>
                                <w:t xml:space="preserve">гообігу людського потенціалу </w:t>
                              </w:r>
                            </w:p>
                          </w:txbxContent>
                        </wps:txbx>
                        <wps:bodyPr rot="0" vert="horz" wrap="square" lIns="0" tIns="0" rIns="0" bIns="0" anchor="ctr" anchorCtr="0" upright="1">
                          <a:noAutofit/>
                        </wps:bodyPr>
                      </wps:wsp>
                      <wps:wsp>
                        <wps:cNvPr id="1037" name="Text Box 823"/>
                        <wps:cNvSpPr txBox="1">
                          <a:spLocks noChangeArrowheads="1"/>
                        </wps:cNvSpPr>
                        <wps:spPr bwMode="auto">
                          <a:xfrm>
                            <a:off x="1031" y="6629"/>
                            <a:ext cx="3090" cy="459"/>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Підвищення ЛП за рахунок соціальних переказів</w:t>
                              </w:r>
                            </w:p>
                          </w:txbxContent>
                        </wps:txbx>
                        <wps:bodyPr rot="0" vert="horz" wrap="square" lIns="0" tIns="0" rIns="0" bIns="0" anchor="ctr" anchorCtr="0" upright="1">
                          <a:noAutofit/>
                        </wps:bodyPr>
                      </wps:wsp>
                      <wps:wsp>
                        <wps:cNvPr id="1038" name="Text Box 824"/>
                        <wps:cNvSpPr txBox="1">
                          <a:spLocks noChangeArrowheads="1"/>
                        </wps:cNvSpPr>
                        <wps:spPr bwMode="auto">
                          <a:xfrm>
                            <a:off x="1031" y="7098"/>
                            <a:ext cx="3090" cy="529"/>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Підвищення ЛП завдяки перспективі еміграції</w:t>
                              </w:r>
                            </w:p>
                          </w:txbxContent>
                        </wps:txbx>
                        <wps:bodyPr rot="0" vert="horz" wrap="square" lIns="86923" tIns="0" rIns="86923" bIns="0" anchor="t" anchorCtr="0" upright="1">
                          <a:noAutofit/>
                        </wps:bodyPr>
                      </wps:wsp>
                      <wps:wsp>
                        <wps:cNvPr id="1039" name="Text Box 825"/>
                        <wps:cNvSpPr txBox="1">
                          <a:spLocks noChangeArrowheads="1"/>
                        </wps:cNvSpPr>
                        <wps:spPr bwMode="auto">
                          <a:xfrm>
                            <a:off x="1035" y="7847"/>
                            <a:ext cx="3090" cy="530"/>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Відтік висококваліфікованих спеціалістів</w:t>
                              </w:r>
                            </w:p>
                          </w:txbxContent>
                        </wps:txbx>
                        <wps:bodyPr rot="0" vert="horz" wrap="square" lIns="0" tIns="0" rIns="0" bIns="0" anchor="ctr" anchorCtr="0" upright="1">
                          <a:noAutofit/>
                        </wps:bodyPr>
                      </wps:wsp>
                      <wps:wsp>
                        <wps:cNvPr id="1040" name="Text Box 826"/>
                        <wps:cNvSpPr txBox="1">
                          <a:spLocks noChangeArrowheads="1"/>
                        </wps:cNvSpPr>
                        <wps:spPr bwMode="auto">
                          <a:xfrm>
                            <a:off x="1031" y="8851"/>
                            <a:ext cx="3090" cy="461"/>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 xml:space="preserve">Неокупність витрат </w:t>
                              </w:r>
                            </w:p>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на формування ЛП</w:t>
                              </w:r>
                            </w:p>
                          </w:txbxContent>
                        </wps:txbx>
                        <wps:bodyPr rot="0" vert="horz" wrap="square" lIns="0" tIns="0" rIns="0" bIns="0" anchor="ctr" anchorCtr="0" upright="1">
                          <a:noAutofit/>
                        </wps:bodyPr>
                      </wps:wsp>
                      <wps:wsp>
                        <wps:cNvPr id="1050" name="Text Box 827"/>
                        <wps:cNvSpPr txBox="1">
                          <a:spLocks noChangeArrowheads="1"/>
                        </wps:cNvSpPr>
                        <wps:spPr bwMode="auto">
                          <a:xfrm>
                            <a:off x="1031" y="8372"/>
                            <a:ext cx="3090" cy="230"/>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rPr>
                                  <w:rFonts w:ascii="Times New Roman" w:hAnsi="Times New Roman" w:cs="Times New Roman"/>
                                  <w:sz w:val="15"/>
                                  <w:szCs w:val="15"/>
                                </w:rPr>
                              </w:pPr>
                              <w:r w:rsidRPr="0027632B">
                                <w:rPr>
                                  <w:rFonts w:ascii="Times New Roman" w:hAnsi="Times New Roman" w:cs="Times New Roman"/>
                                  <w:sz w:val="15"/>
                                  <w:szCs w:val="15"/>
                                </w:rPr>
                                <w:t>Негативні соціальні наслідки</w:t>
                              </w:r>
                            </w:p>
                          </w:txbxContent>
                        </wps:txbx>
                        <wps:bodyPr rot="0" vert="horz" wrap="square" lIns="0" tIns="0" rIns="0" bIns="0" anchor="ctr" anchorCtr="0" upright="1">
                          <a:noAutofit/>
                        </wps:bodyPr>
                      </wps:wsp>
                      <wps:wsp>
                        <wps:cNvPr id="1051" name="Text Box 828"/>
                        <wps:cNvSpPr txBox="1">
                          <a:spLocks noChangeArrowheads="1"/>
                        </wps:cNvSpPr>
                        <wps:spPr bwMode="auto">
                          <a:xfrm>
                            <a:off x="1031" y="8593"/>
                            <a:ext cx="3090" cy="279"/>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Розтрата мізків</w:t>
                              </w:r>
                            </w:p>
                          </w:txbxContent>
                        </wps:txbx>
                        <wps:bodyPr rot="0" vert="horz" wrap="square" lIns="0" tIns="0" rIns="0" bIns="0" anchor="ctr" anchorCtr="0" upright="1">
                          <a:noAutofit/>
                        </wps:bodyPr>
                      </wps:wsp>
                      <wps:wsp>
                        <wps:cNvPr id="1052" name="Text Box 829"/>
                        <wps:cNvSpPr txBox="1">
                          <a:spLocks noChangeArrowheads="1"/>
                        </wps:cNvSpPr>
                        <wps:spPr bwMode="auto">
                          <a:xfrm>
                            <a:off x="1035" y="9300"/>
                            <a:ext cx="3090" cy="592"/>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Загроза депопуляції в країнах походження</w:t>
                              </w:r>
                            </w:p>
                          </w:txbxContent>
                        </wps:txbx>
                        <wps:bodyPr rot="0" vert="horz" wrap="square" lIns="0" tIns="0" rIns="0" bIns="0" anchor="ctr" anchorCtr="0" upright="1">
                          <a:noAutofit/>
                        </wps:bodyPr>
                      </wps:wsp>
                      <wps:wsp>
                        <wps:cNvPr id="1053" name="Line 830"/>
                        <wps:cNvCnPr/>
                        <wps:spPr bwMode="auto">
                          <a:xfrm>
                            <a:off x="2748" y="1734"/>
                            <a:ext cx="1" cy="17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54" name="Line 831"/>
                        <wps:cNvCnPr/>
                        <wps:spPr bwMode="auto">
                          <a:xfrm>
                            <a:off x="4464" y="1734"/>
                            <a:ext cx="0" cy="34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55" name="Text Box 832"/>
                        <wps:cNvSpPr txBox="1">
                          <a:spLocks noChangeArrowheads="1"/>
                        </wps:cNvSpPr>
                        <wps:spPr bwMode="auto">
                          <a:xfrm>
                            <a:off x="4807" y="1219"/>
                            <a:ext cx="2232" cy="1030"/>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pacing w:val="-6"/>
                                  <w:sz w:val="15"/>
                                  <w:szCs w:val="15"/>
                                </w:rPr>
                                <w:t>Основні цілі керованого</w:t>
                              </w:r>
                              <w:r w:rsidRPr="0027632B">
                                <w:rPr>
                                  <w:rFonts w:ascii="Times New Roman" w:hAnsi="Times New Roman" w:cs="Times New Roman"/>
                                  <w:sz w:val="15"/>
                                  <w:szCs w:val="15"/>
                                </w:rPr>
                                <w:t xml:space="preserve"> </w:t>
                              </w:r>
                              <w:r w:rsidRPr="0027632B">
                                <w:rPr>
                                  <w:rFonts w:ascii="Times New Roman" w:hAnsi="Times New Roman" w:cs="Times New Roman"/>
                                  <w:spacing w:val="-6"/>
                                  <w:sz w:val="15"/>
                                  <w:szCs w:val="15"/>
                                </w:rPr>
                                <w:t>міграційного перерозпо-</w:t>
                              </w:r>
                              <w:r w:rsidRPr="0027632B">
                                <w:rPr>
                                  <w:rFonts w:ascii="Times New Roman" w:hAnsi="Times New Roman" w:cs="Times New Roman"/>
                                  <w:sz w:val="15"/>
                                  <w:szCs w:val="15"/>
                                </w:rPr>
                                <w:t>ділу ЛП на сучасному етапі</w:t>
                              </w:r>
                            </w:p>
                          </w:txbxContent>
                        </wps:txbx>
                        <wps:bodyPr rot="0" vert="horz" wrap="square" lIns="0" tIns="0" rIns="0" bIns="0" anchor="t" anchorCtr="0" upright="1">
                          <a:noAutofit/>
                        </wps:bodyPr>
                      </wps:wsp>
                      <wps:wsp>
                        <wps:cNvPr id="1235" name="Line 833"/>
                        <wps:cNvCnPr/>
                        <wps:spPr bwMode="auto">
                          <a:xfrm>
                            <a:off x="4636" y="1391"/>
                            <a:ext cx="171"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36" name="Text Box 834"/>
                        <wps:cNvSpPr txBox="1">
                          <a:spLocks noChangeArrowheads="1"/>
                        </wps:cNvSpPr>
                        <wps:spPr bwMode="auto">
                          <a:xfrm>
                            <a:off x="12360" y="1734"/>
                            <a:ext cx="3203" cy="515"/>
                          </a:xfrm>
                          <a:prstGeom prst="rect">
                            <a:avLst/>
                          </a:prstGeom>
                          <a:solidFill>
                            <a:srgbClr val="FFFFFF"/>
                          </a:solidFill>
                          <a:ln w="9525">
                            <a:solidFill>
                              <a:srgbClr val="000000"/>
                            </a:solidFill>
                            <a:prstDash val="lgDash"/>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Організаційно-економічний рівень</w:t>
                              </w:r>
                            </w:p>
                          </w:txbxContent>
                        </wps:txbx>
                        <wps:bodyPr rot="0" vert="horz" wrap="square" lIns="0" tIns="0" rIns="0" bIns="0" anchor="ctr" anchorCtr="0" upright="1">
                          <a:noAutofit/>
                        </wps:bodyPr>
                      </wps:wsp>
                      <wps:wsp>
                        <wps:cNvPr id="1237" name="Text Box 835"/>
                        <wps:cNvSpPr txBox="1">
                          <a:spLocks noChangeArrowheads="1"/>
                        </wps:cNvSpPr>
                        <wps:spPr bwMode="auto">
                          <a:xfrm>
                            <a:off x="12360" y="2249"/>
                            <a:ext cx="3203" cy="238"/>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Попереднє дослідження потреби ринку праці</w:t>
                              </w:r>
                            </w:p>
                          </w:txbxContent>
                        </wps:txbx>
                        <wps:bodyPr rot="0" vert="horz" wrap="square" lIns="0" tIns="0" rIns="0" bIns="0" anchor="t" anchorCtr="0" upright="1">
                          <a:noAutofit/>
                        </wps:bodyPr>
                      </wps:wsp>
                      <wps:wsp>
                        <wps:cNvPr id="1238" name="Text Box 836"/>
                        <wps:cNvSpPr txBox="1">
                          <a:spLocks noChangeArrowheads="1"/>
                        </wps:cNvSpPr>
                        <wps:spPr bwMode="auto">
                          <a:xfrm>
                            <a:off x="12360" y="2485"/>
                            <a:ext cx="3203" cy="239"/>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Відбір за бальною системою</w:t>
                              </w:r>
                            </w:p>
                          </w:txbxContent>
                        </wps:txbx>
                        <wps:bodyPr rot="0" vert="horz" wrap="square" lIns="0" tIns="0" rIns="0" bIns="0" anchor="t" anchorCtr="0" upright="1">
                          <a:noAutofit/>
                        </wps:bodyPr>
                      </wps:wsp>
                      <wps:wsp>
                        <wps:cNvPr id="1239" name="Text Box 837"/>
                        <wps:cNvSpPr txBox="1">
                          <a:spLocks noChangeArrowheads="1"/>
                        </wps:cNvSpPr>
                        <wps:spPr bwMode="auto">
                          <a:xfrm>
                            <a:off x="12360" y="3096"/>
                            <a:ext cx="3203" cy="240"/>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Застосування квот і обмежень</w:t>
                              </w:r>
                            </w:p>
                          </w:txbxContent>
                        </wps:txbx>
                        <wps:bodyPr rot="0" vert="horz" wrap="square" lIns="0" tIns="0" rIns="0" bIns="0" anchor="t" anchorCtr="0" upright="1">
                          <a:noAutofit/>
                        </wps:bodyPr>
                      </wps:wsp>
                      <wps:wsp>
                        <wps:cNvPr id="1240" name="Text Box 838"/>
                        <wps:cNvSpPr txBox="1">
                          <a:spLocks noChangeArrowheads="1"/>
                        </wps:cNvSpPr>
                        <wps:spPr bwMode="auto">
                          <a:xfrm>
                            <a:off x="12360" y="3323"/>
                            <a:ext cx="3203" cy="227"/>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Залучення іноземних студентів</w:t>
                              </w:r>
                            </w:p>
                          </w:txbxContent>
                        </wps:txbx>
                        <wps:bodyPr rot="0" vert="horz" wrap="square" lIns="0" tIns="0" rIns="0" bIns="0" anchor="t" anchorCtr="0" upright="1">
                          <a:noAutofit/>
                        </wps:bodyPr>
                      </wps:wsp>
                      <wps:wsp>
                        <wps:cNvPr id="1241" name="Text Box 839"/>
                        <wps:cNvSpPr txBox="1">
                          <a:spLocks noChangeArrowheads="1"/>
                        </wps:cNvSpPr>
                        <wps:spPr bwMode="auto">
                          <a:xfrm>
                            <a:off x="12379" y="4820"/>
                            <a:ext cx="3203" cy="231"/>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Визнання іноземних дипломів</w:t>
                              </w:r>
                            </w:p>
                          </w:txbxContent>
                        </wps:txbx>
                        <wps:bodyPr rot="0" vert="horz" wrap="square" lIns="0" tIns="0" rIns="0" bIns="0" anchor="t" anchorCtr="0" upright="1">
                          <a:noAutofit/>
                        </wps:bodyPr>
                      </wps:wsp>
                      <wps:wsp>
                        <wps:cNvPr id="1242" name="Text Box 840"/>
                        <wps:cNvSpPr txBox="1">
                          <a:spLocks noChangeArrowheads="1"/>
                        </wps:cNvSpPr>
                        <wps:spPr bwMode="auto">
                          <a:xfrm>
                            <a:off x="12379" y="5234"/>
                            <a:ext cx="3203" cy="460"/>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Доступ до освіти, охорони здо</w:t>
                              </w:r>
                              <w:r>
                                <w:rPr>
                                  <w:rFonts w:ascii="Times New Roman" w:hAnsi="Times New Roman" w:cs="Times New Roman"/>
                                  <w:sz w:val="15"/>
                                  <w:szCs w:val="15"/>
                                </w:rPr>
                                <w:t>-</w:t>
                              </w:r>
                              <w:r w:rsidRPr="0027632B">
                                <w:rPr>
                                  <w:rFonts w:ascii="Times New Roman" w:hAnsi="Times New Roman" w:cs="Times New Roman"/>
                                  <w:sz w:val="15"/>
                                  <w:szCs w:val="15"/>
                                </w:rPr>
                                <w:t>ров’я, праце</w:t>
                              </w:r>
                              <w:r>
                                <w:rPr>
                                  <w:rFonts w:ascii="Times New Roman" w:hAnsi="Times New Roman" w:cs="Times New Roman"/>
                                  <w:sz w:val="15"/>
                                  <w:szCs w:val="15"/>
                                </w:rPr>
                                <w:t xml:space="preserve">влаштування </w:t>
                              </w:r>
                            </w:p>
                          </w:txbxContent>
                        </wps:txbx>
                        <wps:bodyPr rot="0" vert="horz" wrap="square" lIns="0" tIns="0" rIns="0" bIns="0" anchor="t" anchorCtr="0" upright="1">
                          <a:noAutofit/>
                        </wps:bodyPr>
                      </wps:wsp>
                      <wps:wsp>
                        <wps:cNvPr id="1243" name="Text Box 841"/>
                        <wps:cNvSpPr txBox="1">
                          <a:spLocks noChangeArrowheads="1"/>
                        </wps:cNvSpPr>
                        <wps:spPr bwMode="auto">
                          <a:xfrm>
                            <a:off x="12379" y="5665"/>
                            <a:ext cx="3203" cy="231"/>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Навчання і перекваліфікація</w:t>
                              </w:r>
                            </w:p>
                          </w:txbxContent>
                        </wps:txbx>
                        <wps:bodyPr rot="0" vert="horz" wrap="square" lIns="0" tIns="0" rIns="0" bIns="0" anchor="t" anchorCtr="0" upright="1">
                          <a:noAutofit/>
                        </wps:bodyPr>
                      </wps:wsp>
                      <wps:wsp>
                        <wps:cNvPr id="1244" name="Text Box 842"/>
                        <wps:cNvSpPr txBox="1">
                          <a:spLocks noChangeArrowheads="1"/>
                        </wps:cNvSpPr>
                        <wps:spPr bwMode="auto">
                          <a:xfrm>
                            <a:off x="12379" y="5900"/>
                            <a:ext cx="3203" cy="232"/>
                          </a:xfrm>
                          <a:prstGeom prst="rect">
                            <a:avLst/>
                          </a:prstGeom>
                          <a:solidFill>
                            <a:srgbClr val="FFFFFF"/>
                          </a:solidFill>
                          <a:ln w="9525">
                            <a:solidFill>
                              <a:srgbClr val="000000"/>
                            </a:solidFill>
                            <a:miter lim="800000"/>
                            <a:headEnd/>
                            <a:tailEnd/>
                          </a:ln>
                        </wps:spPr>
                        <wps:txbx>
                          <w:txbxContent>
                            <w:p w:rsidR="00BE40F8" w:rsidRPr="002570C4" w:rsidRDefault="00BE40F8" w:rsidP="00B233DE">
                              <w:pPr>
                                <w:ind w:firstLine="0"/>
                                <w:jc w:val="center"/>
                                <w:rPr>
                                  <w:rFonts w:ascii="Times New Roman" w:hAnsi="Times New Roman" w:cs="Times New Roman"/>
                                  <w:spacing w:val="-6"/>
                                  <w:sz w:val="15"/>
                                  <w:szCs w:val="15"/>
                                </w:rPr>
                              </w:pPr>
                              <w:r w:rsidRPr="002570C4">
                                <w:rPr>
                                  <w:rFonts w:ascii="Times New Roman" w:hAnsi="Times New Roman" w:cs="Times New Roman"/>
                                  <w:spacing w:val="-6"/>
                                  <w:sz w:val="15"/>
                                  <w:szCs w:val="15"/>
                                </w:rPr>
                                <w:t>Соціальна і культурна інтеграція</w:t>
                              </w:r>
                            </w:p>
                          </w:txbxContent>
                        </wps:txbx>
                        <wps:bodyPr rot="0" vert="horz" wrap="square" lIns="0" tIns="0" rIns="0" bIns="0" anchor="t" anchorCtr="0" upright="1">
                          <a:noAutofit/>
                        </wps:bodyPr>
                      </wps:wsp>
                      <wps:wsp>
                        <wps:cNvPr id="1245" name="Text Box 843"/>
                        <wps:cNvSpPr txBox="1">
                          <a:spLocks noChangeArrowheads="1"/>
                        </wps:cNvSpPr>
                        <wps:spPr bwMode="auto">
                          <a:xfrm>
                            <a:off x="12360" y="6329"/>
                            <a:ext cx="3203" cy="231"/>
                          </a:xfrm>
                          <a:prstGeom prst="rect">
                            <a:avLst/>
                          </a:prstGeom>
                          <a:solidFill>
                            <a:srgbClr val="FFFFFF"/>
                          </a:solidFill>
                          <a:ln w="9525">
                            <a:solidFill>
                              <a:srgbClr val="000000"/>
                            </a:solidFill>
                            <a:miter lim="800000"/>
                            <a:headEnd/>
                            <a:tailEnd/>
                          </a:ln>
                        </wps:spPr>
                        <wps:txbx>
                          <w:txbxContent>
                            <w:p w:rsidR="00BE40F8" w:rsidRPr="002570C4" w:rsidRDefault="00BE40F8" w:rsidP="00B233DE">
                              <w:pPr>
                                <w:ind w:firstLine="0"/>
                                <w:jc w:val="center"/>
                                <w:rPr>
                                  <w:rFonts w:ascii="Times New Roman" w:hAnsi="Times New Roman" w:cs="Times New Roman"/>
                                  <w:spacing w:val="-6"/>
                                  <w:sz w:val="15"/>
                                  <w:szCs w:val="15"/>
                                </w:rPr>
                              </w:pPr>
                              <w:r w:rsidRPr="002570C4">
                                <w:rPr>
                                  <w:rFonts w:ascii="Times New Roman" w:hAnsi="Times New Roman" w:cs="Times New Roman"/>
                                  <w:spacing w:val="-6"/>
                                  <w:sz w:val="15"/>
                                  <w:szCs w:val="15"/>
                                </w:rPr>
                                <w:t>Спеціальні програми мобільності спеціалістів</w:t>
                              </w:r>
                            </w:p>
                          </w:txbxContent>
                        </wps:txbx>
                        <wps:bodyPr rot="0" vert="horz" wrap="square" lIns="0" tIns="0" rIns="0" bIns="0" anchor="t" anchorCtr="0" upright="1">
                          <a:noAutofit/>
                        </wps:bodyPr>
                      </wps:wsp>
                      <wps:wsp>
                        <wps:cNvPr id="1246" name="Text Box 844"/>
                        <wps:cNvSpPr txBox="1">
                          <a:spLocks noChangeArrowheads="1"/>
                        </wps:cNvSpPr>
                        <wps:spPr bwMode="auto">
                          <a:xfrm>
                            <a:off x="12360" y="6561"/>
                            <a:ext cx="3203" cy="227"/>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Заходи тимчасової зайнятості</w:t>
                              </w:r>
                            </w:p>
                          </w:txbxContent>
                        </wps:txbx>
                        <wps:bodyPr rot="0" vert="horz" wrap="square" lIns="0" tIns="0" rIns="0" bIns="0" anchor="t" anchorCtr="0" upright="1">
                          <a:noAutofit/>
                        </wps:bodyPr>
                      </wps:wsp>
                      <wps:wsp>
                        <wps:cNvPr id="1247" name="Text Box 845"/>
                        <wps:cNvSpPr txBox="1">
                          <a:spLocks noChangeArrowheads="1"/>
                        </wps:cNvSpPr>
                        <wps:spPr bwMode="auto">
                          <a:xfrm>
                            <a:off x="12360" y="6754"/>
                            <a:ext cx="3203" cy="229"/>
                          </a:xfrm>
                          <a:prstGeom prst="rect">
                            <a:avLst/>
                          </a:prstGeom>
                          <a:solidFill>
                            <a:srgbClr val="FFFFFF"/>
                          </a:solidFill>
                          <a:ln w="9525">
                            <a:solidFill>
                              <a:srgbClr val="000000"/>
                            </a:solidFill>
                            <a:miter lim="800000"/>
                            <a:headEnd/>
                            <a:tailEnd/>
                          </a:ln>
                        </wps:spPr>
                        <wps:txbx>
                          <w:txbxContent>
                            <w:p w:rsidR="00BE40F8" w:rsidRPr="002570C4" w:rsidRDefault="00BE40F8" w:rsidP="00B233DE">
                              <w:pPr>
                                <w:ind w:firstLine="0"/>
                                <w:jc w:val="center"/>
                                <w:rPr>
                                  <w:rFonts w:ascii="Times New Roman" w:hAnsi="Times New Roman" w:cs="Times New Roman"/>
                                  <w:sz w:val="15"/>
                                  <w:szCs w:val="15"/>
                                </w:rPr>
                              </w:pPr>
                              <w:r w:rsidRPr="002570C4">
                                <w:rPr>
                                  <w:rFonts w:ascii="Times New Roman" w:hAnsi="Times New Roman" w:cs="Times New Roman"/>
                                  <w:sz w:val="15"/>
                                  <w:szCs w:val="15"/>
                                </w:rPr>
                                <w:t xml:space="preserve">Переміщення спеціалістів </w:t>
                              </w:r>
                            </w:p>
                          </w:txbxContent>
                        </wps:txbx>
                        <wps:bodyPr rot="0" vert="horz" wrap="square" lIns="0" tIns="0" rIns="0" bIns="0" anchor="t" anchorCtr="0" upright="1">
                          <a:noAutofit/>
                        </wps:bodyPr>
                      </wps:wsp>
                      <wps:wsp>
                        <wps:cNvPr id="1248" name="Text Box 846"/>
                        <wps:cNvSpPr txBox="1">
                          <a:spLocks noChangeArrowheads="1"/>
                        </wps:cNvSpPr>
                        <wps:spPr bwMode="auto">
                          <a:xfrm>
                            <a:off x="12360" y="7160"/>
                            <a:ext cx="3203" cy="687"/>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spacing w:line="221"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Використання грошових пере</w:t>
                              </w:r>
                              <w:r>
                                <w:rPr>
                                  <w:rFonts w:ascii="Times New Roman" w:hAnsi="Times New Roman" w:cs="Times New Roman"/>
                                  <w:sz w:val="15"/>
                                  <w:szCs w:val="15"/>
                                </w:rPr>
                                <w:t>-</w:t>
                              </w:r>
                              <w:r w:rsidRPr="0027632B">
                                <w:rPr>
                                  <w:rFonts w:ascii="Times New Roman" w:hAnsi="Times New Roman" w:cs="Times New Roman"/>
                                  <w:sz w:val="15"/>
                                  <w:szCs w:val="15"/>
                                </w:rPr>
                                <w:t xml:space="preserve">казів для фінансування розвитку людського потенціалу </w:t>
                              </w:r>
                            </w:p>
                          </w:txbxContent>
                        </wps:txbx>
                        <wps:bodyPr rot="0" vert="horz" wrap="square" lIns="0" tIns="0" rIns="0" bIns="0" anchor="t" anchorCtr="0" upright="1">
                          <a:noAutofit/>
                        </wps:bodyPr>
                      </wps:wsp>
                      <wps:wsp>
                        <wps:cNvPr id="1249" name="Text Box 847"/>
                        <wps:cNvSpPr txBox="1">
                          <a:spLocks noChangeArrowheads="1"/>
                        </wps:cNvSpPr>
                        <wps:spPr bwMode="auto">
                          <a:xfrm>
                            <a:off x="12532" y="7843"/>
                            <a:ext cx="3033" cy="290"/>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 xml:space="preserve">Пільгові умови інвестицій </w:t>
                              </w:r>
                            </w:p>
                          </w:txbxContent>
                        </wps:txbx>
                        <wps:bodyPr rot="0" vert="horz" wrap="square" lIns="0" tIns="0" rIns="0" bIns="0" anchor="t" anchorCtr="0" upright="1">
                          <a:noAutofit/>
                        </wps:bodyPr>
                      </wps:wsp>
                      <wps:wsp>
                        <wps:cNvPr id="1250" name="Text Box 848"/>
                        <wps:cNvSpPr txBox="1">
                          <a:spLocks noChangeArrowheads="1"/>
                        </wps:cNvSpPr>
                        <wps:spPr bwMode="auto">
                          <a:xfrm>
                            <a:off x="12532" y="8126"/>
                            <a:ext cx="3033" cy="289"/>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rPr>
                                  <w:rFonts w:ascii="Times New Roman" w:hAnsi="Times New Roman" w:cs="Times New Roman"/>
                                  <w:sz w:val="15"/>
                                  <w:szCs w:val="15"/>
                                </w:rPr>
                              </w:pPr>
                              <w:r w:rsidRPr="0027632B">
                                <w:rPr>
                                  <w:rFonts w:ascii="Times New Roman" w:hAnsi="Times New Roman" w:cs="Times New Roman"/>
                                  <w:sz w:val="15"/>
                                  <w:szCs w:val="15"/>
                                </w:rPr>
                                <w:t>Створення венчурних фондів участю мігрантів</w:t>
                              </w:r>
                            </w:p>
                          </w:txbxContent>
                        </wps:txbx>
                        <wps:bodyPr rot="0" vert="horz" wrap="square" lIns="0" tIns="0" rIns="0" bIns="0" anchor="t" anchorCtr="0" upright="1">
                          <a:noAutofit/>
                        </wps:bodyPr>
                      </wps:wsp>
                      <wps:wsp>
                        <wps:cNvPr id="1251" name="Text Box 849"/>
                        <wps:cNvSpPr txBox="1">
                          <a:spLocks noChangeArrowheads="1"/>
                        </wps:cNvSpPr>
                        <wps:spPr bwMode="auto">
                          <a:xfrm>
                            <a:off x="12531" y="8419"/>
                            <a:ext cx="3033" cy="868"/>
                          </a:xfrm>
                          <a:prstGeom prst="rect">
                            <a:avLst/>
                          </a:prstGeom>
                          <a:solidFill>
                            <a:srgbClr val="FFFFFF"/>
                          </a:solidFill>
                          <a:ln w="9525">
                            <a:solidFill>
                              <a:srgbClr val="000000"/>
                            </a:solidFill>
                            <a:miter lim="800000"/>
                            <a:headEnd/>
                            <a:tailEnd/>
                          </a:ln>
                        </wps:spPr>
                        <wps:txbx>
                          <w:txbxContent>
                            <w:p w:rsidR="00BE40F8" w:rsidRPr="002570C4"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 xml:space="preserve">Надання </w:t>
                              </w:r>
                              <w:r>
                                <w:rPr>
                                  <w:rFonts w:ascii="Times New Roman" w:hAnsi="Times New Roman" w:cs="Times New Roman"/>
                                  <w:sz w:val="15"/>
                                  <w:szCs w:val="15"/>
                                </w:rPr>
                                <w:t xml:space="preserve">мігрантам особливих </w:t>
                              </w:r>
                              <w:r w:rsidRPr="002570C4">
                                <w:rPr>
                                  <w:rFonts w:ascii="Times New Roman" w:hAnsi="Times New Roman" w:cs="Times New Roman"/>
                                  <w:spacing w:val="-8"/>
                                  <w:sz w:val="15"/>
                                  <w:szCs w:val="15"/>
                                </w:rPr>
                                <w:t>прав участі у національних проек-</w:t>
                              </w:r>
                              <w:r w:rsidRPr="002570C4">
                                <w:rPr>
                                  <w:rFonts w:ascii="Times New Roman" w:hAnsi="Times New Roman" w:cs="Times New Roman"/>
                                  <w:sz w:val="15"/>
                                  <w:szCs w:val="15"/>
                                </w:rPr>
                                <w:t>тах розвитку інфраструктури</w:t>
                              </w:r>
                            </w:p>
                          </w:txbxContent>
                        </wps:txbx>
                        <wps:bodyPr rot="0" vert="horz" wrap="square" lIns="0" tIns="0" rIns="0" bIns="0" anchor="t" anchorCtr="0" upright="1">
                          <a:noAutofit/>
                        </wps:bodyPr>
                      </wps:wsp>
                      <wps:wsp>
                        <wps:cNvPr id="1252" name="Text Box 850"/>
                        <wps:cNvSpPr txBox="1">
                          <a:spLocks noChangeArrowheads="1"/>
                        </wps:cNvSpPr>
                        <wps:spPr bwMode="auto">
                          <a:xfrm>
                            <a:off x="1031" y="1734"/>
                            <a:ext cx="3090" cy="343"/>
                          </a:xfrm>
                          <a:prstGeom prst="rect">
                            <a:avLst/>
                          </a:prstGeom>
                          <a:noFill/>
                          <a:ln>
                            <a:noFill/>
                          </a:ln>
                          <a:extLst>
                            <a:ext uri="{909E8E84-426E-40DD-AFC4-6F175D3DCCD1}">
                              <a14:hiddenFill xmlns:a14="http://schemas.microsoft.com/office/drawing/2010/main">
                                <a:solidFill>
                                  <a:srgbClr val="FFFFFF">
                                    <a:alpha val="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E40F8" w:rsidRPr="0027632B" w:rsidRDefault="00BE40F8" w:rsidP="00B233DE">
                              <w:pPr>
                                <w:rPr>
                                  <w:rFonts w:ascii="Times New Roman" w:hAnsi="Times New Roman" w:cs="Times New Roman"/>
                                  <w:i/>
                                  <w:sz w:val="15"/>
                                  <w:szCs w:val="15"/>
                                </w:rPr>
                              </w:pPr>
                              <w:r w:rsidRPr="0027632B">
                                <w:rPr>
                                  <w:rFonts w:ascii="Times New Roman" w:hAnsi="Times New Roman" w:cs="Times New Roman"/>
                                  <w:i/>
                                  <w:sz w:val="15"/>
                                  <w:szCs w:val="15"/>
                                </w:rPr>
                                <w:t>Позитивні</w:t>
                              </w:r>
                            </w:p>
                          </w:txbxContent>
                        </wps:txbx>
                        <wps:bodyPr rot="0" vert="horz" wrap="square" lIns="0" tIns="0" rIns="0" bIns="0" anchor="t" anchorCtr="0" upright="1">
                          <a:noAutofit/>
                        </wps:bodyPr>
                      </wps:wsp>
                      <wps:wsp>
                        <wps:cNvPr id="1253" name="Text Box 851"/>
                        <wps:cNvSpPr txBox="1">
                          <a:spLocks noChangeArrowheads="1"/>
                        </wps:cNvSpPr>
                        <wps:spPr bwMode="auto">
                          <a:xfrm>
                            <a:off x="1035" y="7639"/>
                            <a:ext cx="3090" cy="22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40F8" w:rsidRPr="0027632B" w:rsidRDefault="00BE40F8" w:rsidP="00B233DE">
                              <w:pPr>
                                <w:ind w:firstLine="0"/>
                                <w:jc w:val="center"/>
                                <w:rPr>
                                  <w:rFonts w:ascii="Times New Roman" w:hAnsi="Times New Roman" w:cs="Times New Roman"/>
                                  <w:i/>
                                  <w:sz w:val="15"/>
                                  <w:szCs w:val="15"/>
                                </w:rPr>
                              </w:pPr>
                              <w:r w:rsidRPr="0027632B">
                                <w:rPr>
                                  <w:rFonts w:ascii="Times New Roman" w:hAnsi="Times New Roman" w:cs="Times New Roman"/>
                                  <w:i/>
                                  <w:sz w:val="15"/>
                                  <w:szCs w:val="15"/>
                                </w:rPr>
                                <w:t>Негативні</w:t>
                              </w:r>
                            </w:p>
                          </w:txbxContent>
                        </wps:txbx>
                        <wps:bodyPr rot="0" vert="horz" wrap="square" lIns="51332" tIns="0" rIns="51332" bIns="0" anchor="t" anchorCtr="0" upright="1">
                          <a:noAutofit/>
                        </wps:bodyPr>
                      </wps:wsp>
                      <wps:wsp>
                        <wps:cNvPr id="1254" name="Text Box 852"/>
                        <wps:cNvSpPr txBox="1">
                          <a:spLocks noChangeArrowheads="1"/>
                        </wps:cNvSpPr>
                        <wps:spPr bwMode="auto">
                          <a:xfrm>
                            <a:off x="4292" y="1734"/>
                            <a:ext cx="344" cy="8186"/>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Ф</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о</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р</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м</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у</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в</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а</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н</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н</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я</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г</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л</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о</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б</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а</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л</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ь</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н</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о</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г</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о</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р</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и</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н</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к</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 xml:space="preserve">у </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п</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р</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а</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ц</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і</w:t>
                              </w:r>
                            </w:p>
                          </w:txbxContent>
                        </wps:txbx>
                        <wps:bodyPr rot="0" vert="horz" wrap="square" lIns="0" tIns="0" rIns="0" bIns="0" anchor="ctr" anchorCtr="0" upright="1">
                          <a:noAutofit/>
                        </wps:bodyPr>
                      </wps:wsp>
                      <wpg:grpSp>
                        <wpg:cNvPr id="1268" name="Group 866"/>
                        <wpg:cNvGrpSpPr>
                          <a:grpSpLocks/>
                        </wpg:cNvGrpSpPr>
                        <wpg:grpSpPr bwMode="auto">
                          <a:xfrm>
                            <a:off x="1031" y="1219"/>
                            <a:ext cx="14591" cy="515"/>
                            <a:chOff x="4866" y="2269"/>
                            <a:chExt cx="7650" cy="270"/>
                          </a:xfrm>
                        </wpg:grpSpPr>
                        <wps:wsp>
                          <wps:cNvPr id="1269" name="Text Box 867"/>
                          <wps:cNvSpPr txBox="1">
                            <a:spLocks noChangeArrowheads="1"/>
                          </wps:cNvSpPr>
                          <wps:spPr bwMode="auto">
                            <a:xfrm>
                              <a:off x="4866" y="2269"/>
                              <a:ext cx="1890" cy="270"/>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Наслідки міграційного перероз-поділу ЛП на сучасному етапі</w:t>
                                </w:r>
                              </w:p>
                            </w:txbxContent>
                          </wps:txbx>
                          <wps:bodyPr rot="0" vert="horz" wrap="square" lIns="0" tIns="0" rIns="0" bIns="0" anchor="ctr" anchorCtr="0" upright="1">
                            <a:noAutofit/>
                          </wps:bodyPr>
                        </wps:wsp>
                        <wps:wsp>
                          <wps:cNvPr id="1270" name="Text Box 868"/>
                          <wps:cNvSpPr txBox="1">
                            <a:spLocks noChangeArrowheads="1"/>
                          </wps:cNvSpPr>
                          <wps:spPr bwMode="auto">
                            <a:xfrm>
                              <a:off x="8106" y="2269"/>
                              <a:ext cx="4410" cy="180"/>
                            </a:xfrm>
                            <a:prstGeom prst="rect">
                              <a:avLst/>
                            </a:prstGeom>
                            <a:solidFill>
                              <a:srgbClr val="FFFFFF"/>
                            </a:solidFill>
                            <a:ln w="12700">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Інструменти міграційного перерозподілу людського потенціалу</w:t>
                                </w:r>
                              </w:p>
                            </w:txbxContent>
                          </wps:txbx>
                          <wps:bodyPr rot="0" vert="horz" wrap="square" lIns="0" tIns="0" rIns="0" bIns="0" anchor="ctr" anchorCtr="0" upright="1">
                            <a:noAutofit/>
                          </wps:bodyPr>
                        </wps:wsp>
                        <wps:wsp>
                          <wps:cNvPr id="1271" name="AutoShape 869"/>
                          <wps:cNvCnPr>
                            <a:cxnSpLocks noChangeShapeType="1"/>
                            <a:stCxn id="1269" idx="0"/>
                            <a:endCxn id="1270" idx="0"/>
                          </wps:cNvCnPr>
                          <wps:spPr bwMode="auto">
                            <a:xfrm rot="5400000" flipV="1">
                              <a:off x="8060" y="20"/>
                              <a:ext cx="1" cy="4500"/>
                            </a:xfrm>
                            <a:prstGeom prst="bentConnector3">
                              <a:avLst>
                                <a:gd name="adj1" fmla="val -5050000"/>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272" name="Text Box 870"/>
                        <wps:cNvSpPr txBox="1">
                          <a:spLocks noChangeArrowheads="1"/>
                        </wps:cNvSpPr>
                        <wps:spPr bwMode="auto">
                          <a:xfrm>
                            <a:off x="12360" y="2701"/>
                            <a:ext cx="3203" cy="402"/>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spacing w:line="221"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Відбір за преференційною системою (візовий режим)</w:t>
                              </w:r>
                            </w:p>
                          </w:txbxContent>
                        </wps:txbx>
                        <wps:bodyPr rot="0" vert="horz" wrap="square" lIns="0" tIns="0" rIns="0" bIns="0" anchor="t" anchorCtr="0" upright="1">
                          <a:noAutofit/>
                        </wps:bodyPr>
                      </wps:wsp>
                      <wps:wsp>
                        <wps:cNvPr id="1273" name="Text Box 871"/>
                        <wps:cNvSpPr txBox="1">
                          <a:spLocks noChangeArrowheads="1"/>
                        </wps:cNvSpPr>
                        <wps:spPr bwMode="auto">
                          <a:xfrm>
                            <a:off x="1031" y="6164"/>
                            <a:ext cx="3094" cy="465"/>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 xml:space="preserve">Розширення споживання </w:t>
                              </w:r>
                            </w:p>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у країнах призначення</w:t>
                              </w:r>
                            </w:p>
                          </w:txbxContent>
                        </wps:txbx>
                        <wps:bodyPr rot="0" vert="horz" wrap="square" lIns="14400" tIns="0" rIns="14400" bIns="0" anchor="t" anchorCtr="0" upright="1">
                          <a:noAutofit/>
                        </wps:bodyPr>
                      </wps:wsp>
                      <wps:wsp>
                        <wps:cNvPr id="1274" name="Text Box 872"/>
                        <wps:cNvSpPr txBox="1">
                          <a:spLocks noChangeArrowheads="1"/>
                        </wps:cNvSpPr>
                        <wps:spPr bwMode="auto">
                          <a:xfrm>
                            <a:off x="10579" y="9320"/>
                            <a:ext cx="2880" cy="289"/>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Наукові мережі мігрантів</w:t>
                              </w:r>
                            </w:p>
                            <w:p w:rsidR="00BE40F8" w:rsidRPr="0027632B" w:rsidRDefault="00BE40F8" w:rsidP="00B233DE">
                              <w:pPr>
                                <w:rPr>
                                  <w:rFonts w:ascii="Times New Roman" w:hAnsi="Times New Roman" w:cs="Times New Roman"/>
                                  <w:sz w:val="15"/>
                                  <w:szCs w:val="15"/>
                                </w:rPr>
                              </w:pPr>
                            </w:p>
                          </w:txbxContent>
                        </wps:txbx>
                        <wps:bodyPr rot="0" vert="horz" wrap="square" lIns="86923" tIns="0" rIns="86923" bIns="0" anchor="t" anchorCtr="0" upright="1">
                          <a:noAutofit/>
                        </wps:bodyPr>
                      </wps:wsp>
                      <wps:wsp>
                        <wps:cNvPr id="1275" name="Text Box 873"/>
                        <wps:cNvSpPr txBox="1">
                          <a:spLocks noChangeArrowheads="1"/>
                        </wps:cNvSpPr>
                        <wps:spPr bwMode="auto">
                          <a:xfrm>
                            <a:off x="4807" y="6712"/>
                            <a:ext cx="859" cy="2787"/>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Послаблення негативного впливу на формування ЛП</w:t>
                              </w:r>
                            </w:p>
                          </w:txbxContent>
                        </wps:txbx>
                        <wps:bodyPr rot="0" vert="vert270" wrap="square" lIns="0" tIns="0" rIns="0" bIns="0" anchor="ctr" anchorCtr="0" upright="1">
                          <a:noAutofit/>
                        </wps:bodyPr>
                      </wps:wsp>
                      <wps:wsp>
                        <wps:cNvPr id="1276" name="Text Box 874"/>
                        <wps:cNvSpPr txBox="1">
                          <a:spLocks noChangeArrowheads="1"/>
                        </wps:cNvSpPr>
                        <wps:spPr bwMode="auto">
                          <a:xfrm>
                            <a:off x="9784" y="7879"/>
                            <a:ext cx="2231" cy="1261"/>
                          </a:xfrm>
                          <a:prstGeom prst="rect">
                            <a:avLst/>
                          </a:prstGeom>
                          <a:solidFill>
                            <a:srgbClr val="FFFFFF"/>
                          </a:solidFill>
                          <a:ln w="9525">
                            <a:solidFill>
                              <a:srgbClr val="000000"/>
                            </a:solidFill>
                            <a:miter lim="800000"/>
                            <a:headEnd/>
                            <a:tailEnd/>
                          </a:ln>
                        </wps:spPr>
                        <wps:txbx>
                          <w:txbxContent>
                            <w:p w:rsidR="00BE40F8" w:rsidRPr="009B2E34" w:rsidRDefault="00BE40F8" w:rsidP="00B233DE">
                              <w:pPr>
                                <w:ind w:firstLine="0"/>
                                <w:jc w:val="center"/>
                                <w:rPr>
                                  <w:rFonts w:ascii="Times New Roman" w:hAnsi="Times New Roman" w:cs="Times New Roman"/>
                                  <w:sz w:val="15"/>
                                  <w:szCs w:val="15"/>
                                </w:rPr>
                              </w:pPr>
                              <w:r w:rsidRPr="009B2E34">
                                <w:rPr>
                                  <w:rFonts w:ascii="Times New Roman" w:hAnsi="Times New Roman" w:cs="Times New Roman"/>
                                  <w:sz w:val="15"/>
                                  <w:szCs w:val="15"/>
                                </w:rPr>
                                <w:t>Використання транс</w:t>
                              </w:r>
                              <w:r>
                                <w:rPr>
                                  <w:rFonts w:ascii="Times New Roman" w:hAnsi="Times New Roman" w:cs="Times New Roman"/>
                                  <w:sz w:val="15"/>
                                  <w:szCs w:val="15"/>
                                </w:rPr>
                                <w:t>-</w:t>
                              </w:r>
                              <w:r w:rsidRPr="009B2E34">
                                <w:rPr>
                                  <w:rFonts w:ascii="Times New Roman" w:hAnsi="Times New Roman" w:cs="Times New Roman"/>
                                  <w:sz w:val="15"/>
                                  <w:szCs w:val="15"/>
                                </w:rPr>
                                <w:t>національних зв’язків мігрантів для підви</w:t>
                              </w:r>
                              <w:r>
                                <w:rPr>
                                  <w:rFonts w:ascii="Times New Roman" w:hAnsi="Times New Roman" w:cs="Times New Roman"/>
                                  <w:sz w:val="15"/>
                                  <w:szCs w:val="15"/>
                                </w:rPr>
                                <w:t>-</w:t>
                              </w:r>
                              <w:r w:rsidRPr="009B2E34">
                                <w:rPr>
                                  <w:rFonts w:ascii="Times New Roman" w:hAnsi="Times New Roman" w:cs="Times New Roman"/>
                                  <w:sz w:val="15"/>
                                  <w:szCs w:val="15"/>
                                </w:rPr>
                                <w:t>щення люд</w:t>
                              </w:r>
                              <w:r>
                                <w:rPr>
                                  <w:rFonts w:ascii="Times New Roman" w:hAnsi="Times New Roman" w:cs="Times New Roman"/>
                                  <w:sz w:val="15"/>
                                  <w:szCs w:val="15"/>
                                </w:rPr>
                                <w:t xml:space="preserve">ського потенціалу </w:t>
                              </w:r>
                            </w:p>
                          </w:txbxContent>
                        </wps:txbx>
                        <wps:bodyPr rot="0" vert="horz" wrap="square" lIns="0" tIns="0" rIns="0" bIns="0" anchor="ctr" anchorCtr="0" upright="1">
                          <a:noAutofit/>
                        </wps:bodyPr>
                      </wps:wsp>
                      <wps:wsp>
                        <wps:cNvPr id="1277" name="Text Box 875"/>
                        <wps:cNvSpPr txBox="1">
                          <a:spLocks noChangeArrowheads="1"/>
                        </wps:cNvSpPr>
                        <wps:spPr bwMode="auto">
                          <a:xfrm>
                            <a:off x="7210" y="2249"/>
                            <a:ext cx="8468" cy="7488"/>
                          </a:xfrm>
                          <a:prstGeom prst="rect">
                            <a:avLst/>
                          </a:prstGeom>
                          <a:noFill/>
                          <a:ln w="19050">
                            <a:solidFill>
                              <a:srgbClr val="000000"/>
                            </a:solidFill>
                            <a:prstDash val="dash"/>
                            <a:miter lim="800000"/>
                            <a:headEnd/>
                            <a:tailEnd/>
                          </a:ln>
                        </wps:spPr>
                        <wps:txbx>
                          <w:txbxContent>
                            <w:p w:rsidR="00BE40F8" w:rsidRPr="0027632B" w:rsidRDefault="00BE40F8" w:rsidP="00B233DE">
                              <w:pPr>
                                <w:rPr>
                                  <w:rFonts w:ascii="Times New Roman" w:hAnsi="Times New Roman" w:cs="Times New Roman"/>
                                  <w:sz w:val="15"/>
                                  <w:szCs w:val="15"/>
                                </w:rPr>
                              </w:pPr>
                            </w:p>
                          </w:txbxContent>
                        </wps:txbx>
                        <wps:bodyPr rot="0" vert="horz" wrap="square" lIns="86923" tIns="43462" rIns="86923" bIns="43462" anchor="t" anchorCtr="0" upright="1">
                          <a:noAutofit/>
                        </wps:bodyPr>
                      </wps:wsp>
                      <wps:wsp>
                        <wps:cNvPr id="1278" name="AutoShape 876"/>
                        <wps:cNvCnPr>
                          <a:cxnSpLocks noChangeShapeType="1"/>
                        </wps:cNvCnPr>
                        <wps:spPr bwMode="auto">
                          <a:xfrm rot="10800000" flipV="1">
                            <a:off x="5237" y="8511"/>
                            <a:ext cx="4547" cy="988"/>
                          </a:xfrm>
                          <a:prstGeom prst="bentConnector4">
                            <a:avLst>
                              <a:gd name="adj1" fmla="val 4352"/>
                              <a:gd name="adj2" fmla="val 119243"/>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279" name="Line 877"/>
                        <wps:cNvCnPr/>
                        <wps:spPr bwMode="auto">
                          <a:xfrm>
                            <a:off x="8241" y="1562"/>
                            <a:ext cx="0" cy="17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80" name="Line 878"/>
                        <wps:cNvCnPr/>
                        <wps:spPr bwMode="auto">
                          <a:xfrm>
                            <a:off x="10815" y="1562"/>
                            <a:ext cx="0" cy="17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81" name="Line 879"/>
                        <wps:cNvCnPr/>
                        <wps:spPr bwMode="auto">
                          <a:xfrm>
                            <a:off x="13905" y="1562"/>
                            <a:ext cx="0" cy="17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82" name="AutoShape 880"/>
                        <wps:cNvSpPr>
                          <a:spLocks/>
                        </wps:cNvSpPr>
                        <wps:spPr bwMode="auto">
                          <a:xfrm>
                            <a:off x="4707" y="2077"/>
                            <a:ext cx="172" cy="4464"/>
                          </a:xfrm>
                          <a:prstGeom prst="rightBrace">
                            <a:avLst>
                              <a:gd name="adj1" fmla="val 216279"/>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3" name="AutoShape 881"/>
                        <wps:cNvSpPr>
                          <a:spLocks/>
                        </wps:cNvSpPr>
                        <wps:spPr bwMode="auto">
                          <a:xfrm>
                            <a:off x="4807" y="6884"/>
                            <a:ext cx="172" cy="2746"/>
                          </a:xfrm>
                          <a:prstGeom prst="rightBrace">
                            <a:avLst>
                              <a:gd name="adj1" fmla="val 13304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4" name="Text Box 882"/>
                        <wps:cNvSpPr txBox="1">
                          <a:spLocks noChangeArrowheads="1"/>
                        </wps:cNvSpPr>
                        <wps:spPr bwMode="auto">
                          <a:xfrm>
                            <a:off x="5666" y="2476"/>
                            <a:ext cx="1201" cy="2863"/>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Задоволення освітньо-кваліфікаційної і демо-графічної потреб у ЛП</w:t>
                              </w:r>
                            </w:p>
                          </w:txbxContent>
                        </wps:txbx>
                        <wps:bodyPr rot="0" vert="vert270" wrap="square" lIns="0" tIns="0" rIns="0" bIns="0" anchor="ctr" anchorCtr="0" upright="1">
                          <a:noAutofit/>
                        </wps:bodyPr>
                      </wps:wsp>
                      <wps:wsp>
                        <wps:cNvPr id="1285" name="Text Box 883"/>
                        <wps:cNvSpPr txBox="1">
                          <a:spLocks noChangeArrowheads="1"/>
                        </wps:cNvSpPr>
                        <wps:spPr bwMode="auto">
                          <a:xfrm>
                            <a:off x="5666" y="5682"/>
                            <a:ext cx="1201" cy="3605"/>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 xml:space="preserve">Підвищення показників </w:t>
                              </w:r>
                            </w:p>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міграційної привабливості</w:t>
                              </w:r>
                            </w:p>
                          </w:txbxContent>
                        </wps:txbx>
                        <wps:bodyPr rot="0" vert="vert270" wrap="square" lIns="0" tIns="0" rIns="0" bIns="0" anchor="ctr" anchorCtr="0" upright="1">
                          <a:noAutofit/>
                        </wps:bodyPr>
                      </wps:wsp>
                      <wps:wsp>
                        <wps:cNvPr id="1286" name="AutoShape 884"/>
                        <wps:cNvCnPr>
                          <a:cxnSpLocks noChangeShapeType="1"/>
                          <a:endCxn id="1284" idx="1"/>
                        </wps:cNvCnPr>
                        <wps:spPr bwMode="auto">
                          <a:xfrm rot="5400000" flipH="1" flipV="1">
                            <a:off x="4080" y="5125"/>
                            <a:ext cx="2803" cy="369"/>
                          </a:xfrm>
                          <a:prstGeom prst="bentConnector2">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287" name="Line 885"/>
                        <wps:cNvCnPr/>
                        <wps:spPr bwMode="auto">
                          <a:xfrm>
                            <a:off x="5494" y="8600"/>
                            <a:ext cx="172" cy="2"/>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88" name="AutoShape 886"/>
                        <wps:cNvCnPr>
                          <a:cxnSpLocks noChangeShapeType="1"/>
                          <a:stCxn id="1025" idx="3"/>
                          <a:endCxn id="1285" idx="1"/>
                        </wps:cNvCnPr>
                        <wps:spPr bwMode="auto">
                          <a:xfrm>
                            <a:off x="5322" y="4394"/>
                            <a:ext cx="344" cy="3090"/>
                          </a:xfrm>
                          <a:prstGeom prst="bentConnector3">
                            <a:avLst>
                              <a:gd name="adj1" fmla="val 50000"/>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289" name="Line 887"/>
                        <wps:cNvCnPr/>
                        <wps:spPr bwMode="auto">
                          <a:xfrm>
                            <a:off x="5322" y="3107"/>
                            <a:ext cx="344" cy="2"/>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0" name="Line 888"/>
                        <wps:cNvCnPr/>
                        <wps:spPr bwMode="auto">
                          <a:xfrm flipH="1">
                            <a:off x="7039" y="1391"/>
                            <a:ext cx="172"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1" name="Line 889"/>
                        <wps:cNvCnPr/>
                        <wps:spPr bwMode="auto">
                          <a:xfrm flipV="1">
                            <a:off x="6009" y="5339"/>
                            <a:ext cx="2" cy="343"/>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2" name="Line 890"/>
                        <wps:cNvCnPr/>
                        <wps:spPr bwMode="auto">
                          <a:xfrm>
                            <a:off x="6524" y="5339"/>
                            <a:ext cx="2" cy="343"/>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3" name="Line 891"/>
                        <wps:cNvCnPr/>
                        <wps:spPr bwMode="auto">
                          <a:xfrm>
                            <a:off x="6181" y="2252"/>
                            <a:ext cx="2" cy="239"/>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4" name="Line 892"/>
                        <wps:cNvCnPr/>
                        <wps:spPr bwMode="auto">
                          <a:xfrm flipH="1">
                            <a:off x="6867" y="2365"/>
                            <a:ext cx="344" cy="122"/>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5" name="Line 893"/>
                        <wps:cNvCnPr/>
                        <wps:spPr bwMode="auto">
                          <a:xfrm flipH="1">
                            <a:off x="6867" y="4137"/>
                            <a:ext cx="344" cy="2"/>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6" name="Line 894"/>
                        <wps:cNvCnPr/>
                        <wps:spPr bwMode="auto">
                          <a:xfrm flipH="1">
                            <a:off x="6867" y="5854"/>
                            <a:ext cx="344" cy="2"/>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7" name="Line 895"/>
                        <wps:cNvCnPr/>
                        <wps:spPr bwMode="auto">
                          <a:xfrm flipH="1">
                            <a:off x="6867" y="8085"/>
                            <a:ext cx="344" cy="2"/>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8" name="Line 896"/>
                        <wps:cNvCnPr/>
                        <wps:spPr bwMode="auto">
                          <a:xfrm>
                            <a:off x="13905" y="5064"/>
                            <a:ext cx="2" cy="1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99" name="Line 897"/>
                        <wps:cNvCnPr/>
                        <wps:spPr bwMode="auto">
                          <a:xfrm>
                            <a:off x="13905" y="6136"/>
                            <a:ext cx="2" cy="17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00" name="Text Box 898"/>
                        <wps:cNvSpPr txBox="1">
                          <a:spLocks noChangeArrowheads="1"/>
                        </wps:cNvSpPr>
                        <wps:spPr bwMode="auto">
                          <a:xfrm>
                            <a:off x="7211" y="1734"/>
                            <a:ext cx="2231" cy="515"/>
                          </a:xfrm>
                          <a:prstGeom prst="rect">
                            <a:avLst/>
                          </a:prstGeom>
                          <a:solidFill>
                            <a:srgbClr val="FFFFFF"/>
                          </a:solidFill>
                          <a:ln w="9525">
                            <a:solidFill>
                              <a:srgbClr val="000000"/>
                            </a:solidFill>
                            <a:prstDash val="lgDash"/>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 xml:space="preserve">Міждержавний </w:t>
                              </w:r>
                            </w:p>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і державний рівень</w:t>
                              </w:r>
                            </w:p>
                          </w:txbxContent>
                        </wps:txbx>
                        <wps:bodyPr rot="0" vert="horz" wrap="square" lIns="0" tIns="0" rIns="0" bIns="0" anchor="ctr" anchorCtr="0" upright="1">
                          <a:noAutofit/>
                        </wps:bodyPr>
                      </wps:wsp>
                      <wps:wsp>
                        <wps:cNvPr id="1301" name="Text Box 899"/>
                        <wps:cNvSpPr txBox="1">
                          <a:spLocks noChangeArrowheads="1"/>
                        </wps:cNvSpPr>
                        <wps:spPr bwMode="auto">
                          <a:xfrm>
                            <a:off x="9785" y="1734"/>
                            <a:ext cx="2343" cy="515"/>
                          </a:xfrm>
                          <a:prstGeom prst="rect">
                            <a:avLst/>
                          </a:prstGeom>
                          <a:solidFill>
                            <a:srgbClr val="FFFFFF"/>
                          </a:solidFill>
                          <a:ln w="9525">
                            <a:solidFill>
                              <a:srgbClr val="000000"/>
                            </a:solidFill>
                            <a:prstDash val="lgDash"/>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Адміністративно-правовий рівень</w:t>
                              </w:r>
                            </w:p>
                          </w:txbxContent>
                        </wps:txbx>
                        <wps:bodyPr rot="0" vert="horz" wrap="square" lIns="0" tIns="0" rIns="0" bIns="0" anchor="ctr" anchorCtr="0" upright="1">
                          <a:noAutofit/>
                        </wps:bodyPr>
                      </wps:wsp>
                      <wps:wsp>
                        <wps:cNvPr id="1302" name="Text Box 900"/>
                        <wps:cNvSpPr txBox="1">
                          <a:spLocks noChangeArrowheads="1"/>
                        </wps:cNvSpPr>
                        <wps:spPr bwMode="auto">
                          <a:xfrm>
                            <a:off x="7211" y="2249"/>
                            <a:ext cx="2231" cy="475"/>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spacing w:line="230" w:lineRule="auto"/>
                                <w:ind w:firstLine="0"/>
                                <w:jc w:val="center"/>
                                <w:rPr>
                                  <w:rFonts w:ascii="Times New Roman" w:hAnsi="Times New Roman" w:cs="Times New Roman"/>
                                  <w:spacing w:val="-4"/>
                                  <w:sz w:val="15"/>
                                  <w:szCs w:val="15"/>
                                </w:rPr>
                              </w:pPr>
                              <w:r w:rsidRPr="0027632B">
                                <w:rPr>
                                  <w:rFonts w:ascii="Times New Roman" w:hAnsi="Times New Roman" w:cs="Times New Roman"/>
                                  <w:spacing w:val="-4"/>
                                  <w:sz w:val="15"/>
                                  <w:szCs w:val="15"/>
                                </w:rPr>
                                <w:t>Дво- і</w:t>
                              </w:r>
                              <w:r w:rsidRPr="0027632B">
                                <w:rPr>
                                  <w:rFonts w:ascii="Times New Roman" w:hAnsi="Times New Roman" w:cs="Times New Roman"/>
                                  <w:b/>
                                  <w:spacing w:val="-4"/>
                                  <w:sz w:val="15"/>
                                  <w:szCs w:val="15"/>
                                </w:rPr>
                                <w:t xml:space="preserve"> </w:t>
                              </w:r>
                              <w:r w:rsidRPr="0027632B">
                                <w:rPr>
                                  <w:rFonts w:ascii="Times New Roman" w:hAnsi="Times New Roman" w:cs="Times New Roman"/>
                                  <w:spacing w:val="-4"/>
                                  <w:sz w:val="15"/>
                                  <w:szCs w:val="15"/>
                                </w:rPr>
                                <w:t>багатосторонні угоди</w:t>
                              </w:r>
                            </w:p>
                          </w:txbxContent>
                        </wps:txbx>
                        <wps:bodyPr rot="0" vert="horz" wrap="square" lIns="0" tIns="0" rIns="0" bIns="0" anchor="ctr" anchorCtr="0" upright="1">
                          <a:noAutofit/>
                        </wps:bodyPr>
                      </wps:wsp>
                      <wps:wsp>
                        <wps:cNvPr id="1303" name="Text Box 901"/>
                        <wps:cNvSpPr txBox="1">
                          <a:spLocks noChangeArrowheads="1"/>
                        </wps:cNvSpPr>
                        <wps:spPr bwMode="auto">
                          <a:xfrm>
                            <a:off x="7554" y="2764"/>
                            <a:ext cx="1888" cy="687"/>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pacing w:val="-8"/>
                                  <w:sz w:val="15"/>
                                  <w:szCs w:val="15"/>
                                </w:rPr>
                                <w:t>преференційний в’їзд</w:t>
                              </w:r>
                              <w:r w:rsidRPr="0027632B">
                                <w:rPr>
                                  <w:rFonts w:ascii="Times New Roman" w:hAnsi="Times New Roman" w:cs="Times New Roman"/>
                                  <w:sz w:val="15"/>
                                  <w:szCs w:val="15"/>
                                </w:rPr>
                                <w:t xml:space="preserve"> </w:t>
                              </w:r>
                              <w:r w:rsidRPr="0027632B">
                                <w:rPr>
                                  <w:rFonts w:ascii="Times New Roman" w:hAnsi="Times New Roman" w:cs="Times New Roman"/>
                                  <w:spacing w:val="-4"/>
                                  <w:sz w:val="15"/>
                                  <w:szCs w:val="15"/>
                                </w:rPr>
                                <w:t>спеціальних катего-</w:t>
                              </w:r>
                              <w:r w:rsidRPr="0027632B">
                                <w:rPr>
                                  <w:rFonts w:ascii="Times New Roman" w:hAnsi="Times New Roman" w:cs="Times New Roman"/>
                                  <w:sz w:val="15"/>
                                  <w:szCs w:val="15"/>
                                </w:rPr>
                                <w:t>рій працівників</w:t>
                              </w:r>
                            </w:p>
                          </w:txbxContent>
                        </wps:txbx>
                        <wps:bodyPr rot="0" vert="horz" wrap="square" lIns="0" tIns="0" rIns="0" bIns="0" anchor="t" anchorCtr="0" upright="1">
                          <a:noAutofit/>
                        </wps:bodyPr>
                      </wps:wsp>
                      <wps:wsp>
                        <wps:cNvPr id="1304" name="Text Box 902"/>
                        <wps:cNvSpPr txBox="1">
                          <a:spLocks noChangeArrowheads="1"/>
                        </wps:cNvSpPr>
                        <wps:spPr bwMode="auto">
                          <a:xfrm>
                            <a:off x="7553" y="3451"/>
                            <a:ext cx="1889" cy="457"/>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spacing w:line="235"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спеціальні заходи</w:t>
                              </w:r>
                              <w:r w:rsidRPr="0027632B">
                                <w:rPr>
                                  <w:rFonts w:ascii="Times New Roman" w:hAnsi="Times New Roman" w:cs="Times New Roman"/>
                                  <w:spacing w:val="-8"/>
                                  <w:sz w:val="15"/>
                                  <w:szCs w:val="15"/>
                                </w:rPr>
                                <w:t xml:space="preserve"> тим</w:t>
                              </w:r>
                              <w:r w:rsidRPr="0027632B">
                                <w:rPr>
                                  <w:rFonts w:ascii="Times New Roman" w:hAnsi="Times New Roman" w:cs="Times New Roman"/>
                                  <w:sz w:val="15"/>
                                  <w:szCs w:val="15"/>
                                </w:rPr>
                                <w:t xml:space="preserve">часової міграцї </w:t>
                              </w:r>
                            </w:p>
                          </w:txbxContent>
                        </wps:txbx>
                        <wps:bodyPr rot="0" vert="horz" wrap="square" lIns="0" tIns="0" rIns="0" bIns="0" anchor="ctr" anchorCtr="0" upright="1">
                          <a:noAutofit/>
                        </wps:bodyPr>
                      </wps:wsp>
                      <wpg:grpSp>
                        <wpg:cNvPr id="1305" name="Group 903"/>
                        <wpg:cNvGrpSpPr>
                          <a:grpSpLocks/>
                        </wpg:cNvGrpSpPr>
                        <wpg:grpSpPr bwMode="auto">
                          <a:xfrm>
                            <a:off x="7382" y="2480"/>
                            <a:ext cx="172" cy="1116"/>
                            <a:chOff x="8196" y="2989"/>
                            <a:chExt cx="90" cy="585"/>
                          </a:xfrm>
                        </wpg:grpSpPr>
                        <wps:wsp>
                          <wps:cNvPr id="1306" name="AutoShape 904"/>
                          <wps:cNvCnPr>
                            <a:cxnSpLocks noChangeShapeType="1"/>
                          </wps:cNvCnPr>
                          <wps:spPr bwMode="auto">
                            <a:xfrm rot="10800000" flipH="1" flipV="1">
                              <a:off x="8196" y="2989"/>
                              <a:ext cx="90" cy="234"/>
                            </a:xfrm>
                            <a:prstGeom prst="bentConnector3">
                              <a:avLst>
                                <a:gd name="adj1" fmla="val -10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07" name="AutoShape 905"/>
                          <wps:cNvCnPr>
                            <a:cxnSpLocks noChangeShapeType="1"/>
                          </wps:cNvCnPr>
                          <wps:spPr bwMode="auto">
                            <a:xfrm rot="10800000" flipH="1" flipV="1">
                              <a:off x="8196" y="2989"/>
                              <a:ext cx="90" cy="585"/>
                            </a:xfrm>
                            <a:prstGeom prst="bentConnector3">
                              <a:avLst>
                                <a:gd name="adj1" fmla="val -10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308" name="Text Box 906"/>
                        <wps:cNvSpPr txBox="1">
                          <a:spLocks noChangeArrowheads="1"/>
                        </wps:cNvSpPr>
                        <wps:spPr bwMode="auto">
                          <a:xfrm>
                            <a:off x="7221" y="3908"/>
                            <a:ext cx="2231" cy="288"/>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pacing w:val="-6"/>
                                  <w:sz w:val="15"/>
                                  <w:szCs w:val="15"/>
                                </w:rPr>
                              </w:pPr>
                              <w:r w:rsidRPr="0027632B">
                                <w:rPr>
                                  <w:rFonts w:ascii="Times New Roman" w:hAnsi="Times New Roman" w:cs="Times New Roman"/>
                                  <w:spacing w:val="-6"/>
                                  <w:sz w:val="15"/>
                                  <w:szCs w:val="15"/>
                                </w:rPr>
                                <w:t>Інтеграція ринків праці</w:t>
                              </w:r>
                            </w:p>
                          </w:txbxContent>
                        </wps:txbx>
                        <wps:bodyPr rot="0" vert="horz" wrap="square" lIns="0" tIns="0" rIns="0" bIns="0" anchor="ctr" anchorCtr="0" upright="1">
                          <a:noAutofit/>
                        </wps:bodyPr>
                      </wps:wsp>
                      <wps:wsp>
                        <wps:cNvPr id="1309" name="Text Box 907"/>
                        <wps:cNvSpPr txBox="1">
                          <a:spLocks noChangeArrowheads="1"/>
                        </wps:cNvSpPr>
                        <wps:spPr bwMode="auto">
                          <a:xfrm>
                            <a:off x="7554" y="4196"/>
                            <a:ext cx="1898" cy="575"/>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spacing w:line="226"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взаємне визнання професій</w:t>
                              </w:r>
                            </w:p>
                          </w:txbxContent>
                        </wps:txbx>
                        <wps:bodyPr rot="0" vert="horz" wrap="square" lIns="0" tIns="0" rIns="0" bIns="0" anchor="ctr" anchorCtr="0" upright="1">
                          <a:noAutofit/>
                        </wps:bodyPr>
                      </wps:wsp>
                      <wps:wsp>
                        <wps:cNvPr id="1310" name="Text Box 908"/>
                        <wps:cNvSpPr txBox="1">
                          <a:spLocks noChangeArrowheads="1"/>
                        </wps:cNvSpPr>
                        <wps:spPr bwMode="auto">
                          <a:xfrm>
                            <a:off x="7554" y="4771"/>
                            <a:ext cx="1898" cy="280"/>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уніфікація освіти</w:t>
                              </w:r>
                            </w:p>
                          </w:txbxContent>
                        </wps:txbx>
                        <wps:bodyPr rot="0" vert="horz" wrap="square" lIns="0" tIns="0" rIns="0" bIns="0" anchor="ctr" anchorCtr="0" upright="1">
                          <a:noAutofit/>
                        </wps:bodyPr>
                      </wps:wsp>
                      <wps:wsp>
                        <wps:cNvPr id="1311" name="Text Box 909"/>
                        <wps:cNvSpPr txBox="1">
                          <a:spLocks noChangeArrowheads="1"/>
                        </wps:cNvSpPr>
                        <wps:spPr bwMode="auto">
                          <a:xfrm>
                            <a:off x="7545" y="5064"/>
                            <a:ext cx="1907" cy="460"/>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spacing w:line="228"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гармонізація соці-ального захисту</w:t>
                              </w:r>
                            </w:p>
                          </w:txbxContent>
                        </wps:txbx>
                        <wps:bodyPr rot="0" vert="horz" wrap="square" lIns="0" tIns="0" rIns="0" bIns="0" anchor="t" anchorCtr="0" upright="1">
                          <a:noAutofit/>
                        </wps:bodyPr>
                      </wps:wsp>
                      <wps:wsp>
                        <wps:cNvPr id="1312" name="Text Box 910"/>
                        <wps:cNvSpPr txBox="1">
                          <a:spLocks noChangeArrowheads="1"/>
                        </wps:cNvSpPr>
                        <wps:spPr bwMode="auto">
                          <a:xfrm>
                            <a:off x="7220" y="5665"/>
                            <a:ext cx="2231" cy="429"/>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spacing w:line="221"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Соціально-економічні реформи</w:t>
                              </w:r>
                            </w:p>
                          </w:txbxContent>
                        </wps:txbx>
                        <wps:bodyPr rot="0" vert="horz" wrap="square" lIns="0" tIns="0" rIns="0" bIns="0" anchor="ctr" anchorCtr="0" upright="1">
                          <a:noAutofit/>
                        </wps:bodyPr>
                      </wps:wsp>
                      <wps:wsp>
                        <wps:cNvPr id="1313" name="Text Box 911"/>
                        <wps:cNvSpPr txBox="1">
                          <a:spLocks noChangeArrowheads="1"/>
                        </wps:cNvSpPr>
                        <wps:spPr bwMode="auto">
                          <a:xfrm>
                            <a:off x="7554" y="6079"/>
                            <a:ext cx="1888" cy="406"/>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spacing w:line="221" w:lineRule="auto"/>
                                <w:ind w:firstLine="0"/>
                                <w:jc w:val="center"/>
                                <w:rPr>
                                  <w:rFonts w:ascii="Times New Roman" w:hAnsi="Times New Roman" w:cs="Times New Roman"/>
                                  <w:spacing w:val="-2"/>
                                  <w:sz w:val="15"/>
                                  <w:szCs w:val="15"/>
                                </w:rPr>
                              </w:pPr>
                              <w:r w:rsidRPr="0027632B">
                                <w:rPr>
                                  <w:rFonts w:ascii="Times New Roman" w:hAnsi="Times New Roman" w:cs="Times New Roman"/>
                                  <w:spacing w:val="-2"/>
                                  <w:sz w:val="15"/>
                                  <w:szCs w:val="15"/>
                                </w:rPr>
                                <w:t>ефективне функціонування ринку праці</w:t>
                              </w:r>
                            </w:p>
                          </w:txbxContent>
                        </wps:txbx>
                        <wps:bodyPr rot="0" vert="horz" wrap="square" lIns="0" tIns="0" rIns="0" bIns="0" anchor="ctr" anchorCtr="0" upright="1">
                          <a:noAutofit/>
                        </wps:bodyPr>
                      </wps:wsp>
                      <wps:wsp>
                        <wps:cNvPr id="1314" name="Text Box 912"/>
                        <wps:cNvSpPr txBox="1">
                          <a:spLocks noChangeArrowheads="1"/>
                        </wps:cNvSpPr>
                        <wps:spPr bwMode="auto">
                          <a:xfrm>
                            <a:off x="7554" y="6485"/>
                            <a:ext cx="1888" cy="498"/>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pacing w:val="-6"/>
                                  <w:sz w:val="15"/>
                                  <w:szCs w:val="15"/>
                                </w:rPr>
                                <w:t>підвищення трудо-</w:t>
                              </w:r>
                              <w:r w:rsidRPr="0027632B">
                                <w:rPr>
                                  <w:rFonts w:ascii="Times New Roman" w:hAnsi="Times New Roman" w:cs="Times New Roman"/>
                                  <w:sz w:val="15"/>
                                  <w:szCs w:val="15"/>
                                </w:rPr>
                                <w:t>вого потенціалу</w:t>
                              </w:r>
                            </w:p>
                          </w:txbxContent>
                        </wps:txbx>
                        <wps:bodyPr rot="0" vert="horz" wrap="square" lIns="17111" tIns="0" rIns="17111" bIns="0" anchor="t" anchorCtr="0" upright="1">
                          <a:noAutofit/>
                        </wps:bodyPr>
                      </wps:wsp>
                      <wps:wsp>
                        <wps:cNvPr id="1315" name="Text Box 913"/>
                        <wps:cNvSpPr txBox="1">
                          <a:spLocks noChangeArrowheads="1"/>
                        </wps:cNvSpPr>
                        <wps:spPr bwMode="auto">
                          <a:xfrm>
                            <a:off x="7554" y="6983"/>
                            <a:ext cx="1888" cy="656"/>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spacing w:line="221"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сприятливі для розвитку бізнесу перетворення</w:t>
                              </w:r>
                            </w:p>
                          </w:txbxContent>
                        </wps:txbx>
                        <wps:bodyPr rot="0" vert="horz" wrap="square" lIns="0" tIns="0" rIns="0" bIns="0" anchor="ctr" anchorCtr="0" upright="1">
                          <a:noAutofit/>
                        </wps:bodyPr>
                      </wps:wsp>
                      <wpg:grpSp>
                        <wpg:cNvPr id="1316" name="Group 914"/>
                        <wpg:cNvGrpSpPr>
                          <a:grpSpLocks/>
                        </wpg:cNvGrpSpPr>
                        <wpg:grpSpPr bwMode="auto">
                          <a:xfrm>
                            <a:off x="7222" y="4049"/>
                            <a:ext cx="354" cy="1150"/>
                            <a:chOff x="8122" y="3756"/>
                            <a:chExt cx="186" cy="603"/>
                          </a:xfrm>
                        </wpg:grpSpPr>
                        <wps:wsp>
                          <wps:cNvPr id="1317" name="AutoShape 915"/>
                          <wps:cNvCnPr>
                            <a:cxnSpLocks noChangeShapeType="1"/>
                          </wps:cNvCnPr>
                          <wps:spPr bwMode="auto">
                            <a:xfrm rot="10800000" flipH="1" flipV="1">
                              <a:off x="8122" y="3756"/>
                              <a:ext cx="175" cy="226"/>
                            </a:xfrm>
                            <a:prstGeom prst="bentConnector3">
                              <a:avLst>
                                <a:gd name="adj1" fmla="val 549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18" name="AutoShape 916"/>
                          <wps:cNvCnPr>
                            <a:cxnSpLocks noChangeShapeType="1"/>
                          </wps:cNvCnPr>
                          <wps:spPr bwMode="auto">
                            <a:xfrm rot="16200000" flipH="1">
                              <a:off x="8089" y="3928"/>
                              <a:ext cx="257" cy="180"/>
                            </a:xfrm>
                            <a:prstGeom prst="bentConnector3">
                              <a:avLst>
                                <a:gd name="adj1" fmla="val 10038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19" name="AutoShape 917"/>
                          <wps:cNvCnPr>
                            <a:cxnSpLocks noChangeShapeType="1"/>
                          </wps:cNvCnPr>
                          <wps:spPr bwMode="auto">
                            <a:xfrm rot="16200000" flipH="1">
                              <a:off x="7988" y="4042"/>
                              <a:ext cx="455" cy="180"/>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grpSp>
                        <wpg:cNvPr id="1320" name="Group 918"/>
                        <wpg:cNvGrpSpPr>
                          <a:grpSpLocks/>
                        </wpg:cNvGrpSpPr>
                        <wpg:grpSpPr bwMode="auto">
                          <a:xfrm>
                            <a:off x="7210" y="7857"/>
                            <a:ext cx="2233" cy="1752"/>
                            <a:chOff x="8105" y="5749"/>
                            <a:chExt cx="1171" cy="918"/>
                          </a:xfrm>
                        </wpg:grpSpPr>
                        <wps:wsp>
                          <wps:cNvPr id="1321" name="Text Box 919"/>
                          <wps:cNvSpPr txBox="1">
                            <a:spLocks noChangeArrowheads="1"/>
                          </wps:cNvSpPr>
                          <wps:spPr bwMode="auto">
                            <a:xfrm>
                              <a:off x="8105" y="5749"/>
                              <a:ext cx="1170" cy="213"/>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spacing w:line="221"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Політика активного залучення мігрантів</w:t>
                                </w:r>
                              </w:p>
                            </w:txbxContent>
                          </wps:txbx>
                          <wps:bodyPr rot="0" vert="horz" wrap="square" lIns="0" tIns="0" rIns="0" bIns="0" anchor="ctr" anchorCtr="0" upright="1">
                            <a:noAutofit/>
                          </wps:bodyPr>
                        </wps:wsp>
                        <wps:wsp>
                          <wps:cNvPr id="1322" name="Text Box 920"/>
                          <wps:cNvSpPr txBox="1">
                            <a:spLocks noChangeArrowheads="1"/>
                          </wps:cNvSpPr>
                          <wps:spPr bwMode="auto">
                            <a:xfrm>
                              <a:off x="8286" y="5962"/>
                              <a:ext cx="990" cy="705"/>
                            </a:xfrm>
                            <a:prstGeom prst="rect">
                              <a:avLst/>
                            </a:prstGeom>
                            <a:solidFill>
                              <a:srgbClr val="FFFFFF"/>
                            </a:solidFill>
                            <a:ln w="9525">
                              <a:solidFill>
                                <a:srgbClr val="000000"/>
                              </a:solidFill>
                              <a:miter lim="800000"/>
                              <a:headEnd/>
                              <a:tailEnd/>
                            </a:ln>
                          </wps:spPr>
                          <wps:txbx>
                            <w:txbxContent>
                              <w:p w:rsidR="00BE40F8" w:rsidRPr="0027632B" w:rsidRDefault="00BE40F8" w:rsidP="00B233DE">
                                <w:pPr>
                                  <w:ind w:firstLine="0"/>
                                  <w:jc w:val="center"/>
                                  <w:rPr>
                                    <w:rFonts w:ascii="Times New Roman" w:hAnsi="Times New Roman" w:cs="Times New Roman"/>
                                    <w:sz w:val="15"/>
                                    <w:szCs w:val="15"/>
                                    <w:lang w:val="en-US"/>
                                  </w:rPr>
                                </w:pPr>
                                <w:r w:rsidRPr="0027632B">
                                  <w:rPr>
                                    <w:rFonts w:ascii="Times New Roman" w:hAnsi="Times New Roman" w:cs="Times New Roman"/>
                                    <w:sz w:val="15"/>
                                    <w:szCs w:val="15"/>
                                  </w:rPr>
                                  <w:t>розповсюдження інформа</w:t>
                                </w:r>
                                <w:r>
                                  <w:rPr>
                                    <w:rFonts w:ascii="Times New Roman" w:hAnsi="Times New Roman" w:cs="Times New Roman"/>
                                    <w:sz w:val="15"/>
                                    <w:szCs w:val="15"/>
                                  </w:rPr>
                                  <w:t>ції про</w:t>
                                </w:r>
                                <w:r w:rsidRPr="0027632B">
                                  <w:rPr>
                                    <w:rFonts w:ascii="Times New Roman" w:hAnsi="Times New Roman" w:cs="Times New Roman"/>
                                    <w:sz w:val="15"/>
                                    <w:szCs w:val="15"/>
                                  </w:rPr>
                                  <w:t xml:space="preserve"> рі</w:t>
                                </w:r>
                                <w:r>
                                  <w:rPr>
                                    <w:rFonts w:ascii="Times New Roman" w:hAnsi="Times New Roman" w:cs="Times New Roman"/>
                                    <w:sz w:val="15"/>
                                    <w:szCs w:val="15"/>
                                  </w:rPr>
                                  <w:t>-</w:t>
                                </w:r>
                                <w:r w:rsidRPr="00FE162D">
                                  <w:rPr>
                                    <w:rFonts w:ascii="Times New Roman" w:hAnsi="Times New Roman" w:cs="Times New Roman"/>
                                    <w:spacing w:val="-6"/>
                                    <w:sz w:val="15"/>
                                    <w:szCs w:val="15"/>
                                  </w:rPr>
                                  <w:t>вень життя, можли-вості працевлашту-</w:t>
                                </w:r>
                                <w:r w:rsidRPr="0027632B">
                                  <w:rPr>
                                    <w:rFonts w:ascii="Times New Roman" w:hAnsi="Times New Roman" w:cs="Times New Roman"/>
                                    <w:sz w:val="15"/>
                                    <w:szCs w:val="15"/>
                                  </w:rPr>
                                  <w:t xml:space="preserve">вання і освіти </w:t>
                                </w:r>
                              </w:p>
                            </w:txbxContent>
                          </wps:txbx>
                          <wps:bodyPr rot="0" vert="horz" wrap="square" lIns="0" tIns="0" rIns="0" bIns="0" anchor="ctr" anchorCtr="0" upright="1">
                            <a:noAutofit/>
                          </wps:bodyPr>
                        </wps:wsp>
                        <wps:wsp>
                          <wps:cNvPr id="1323" name="AutoShape 921"/>
                          <wps:cNvCnPr>
                            <a:cxnSpLocks noChangeShapeType="1"/>
                            <a:stCxn id="1321" idx="1"/>
                            <a:endCxn id="1322" idx="1"/>
                          </wps:cNvCnPr>
                          <wps:spPr bwMode="auto">
                            <a:xfrm rot="10800000" flipH="1" flipV="1">
                              <a:off x="8105" y="5855"/>
                              <a:ext cx="181" cy="459"/>
                            </a:xfrm>
                            <a:prstGeom prst="bentConnector3">
                              <a:avLst>
                                <a:gd name="adj1" fmla="val -295"/>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324" name="Text Box 922"/>
                        <wps:cNvSpPr txBox="1">
                          <a:spLocks noChangeArrowheads="1"/>
                        </wps:cNvSpPr>
                        <wps:spPr bwMode="auto">
                          <a:xfrm>
                            <a:off x="9785" y="2421"/>
                            <a:ext cx="2232" cy="515"/>
                          </a:xfrm>
                          <a:prstGeom prst="rect">
                            <a:avLst/>
                          </a:prstGeom>
                          <a:solidFill>
                            <a:srgbClr val="FFFFFF"/>
                          </a:solidFill>
                          <a:ln w="9525">
                            <a:solidFill>
                              <a:srgbClr val="000000"/>
                            </a:solidFill>
                            <a:miter lim="800000"/>
                            <a:headEnd/>
                            <a:tailEnd/>
                          </a:ln>
                        </wps:spPr>
                        <wps:txbx>
                          <w:txbxContent>
                            <w:p w:rsidR="00BE40F8" w:rsidRPr="009B2E34" w:rsidRDefault="00BE40F8" w:rsidP="00B233DE">
                              <w:pPr>
                                <w:ind w:firstLine="0"/>
                                <w:jc w:val="center"/>
                                <w:rPr>
                                  <w:rFonts w:ascii="Times New Roman" w:hAnsi="Times New Roman" w:cs="Times New Roman"/>
                                  <w:sz w:val="15"/>
                                  <w:szCs w:val="15"/>
                                </w:rPr>
                              </w:pPr>
                              <w:r w:rsidRPr="009B2E34">
                                <w:rPr>
                                  <w:rFonts w:ascii="Times New Roman" w:hAnsi="Times New Roman" w:cs="Times New Roman"/>
                                  <w:sz w:val="15"/>
                                  <w:szCs w:val="15"/>
                                </w:rPr>
                                <w:t>Заходи селективної</w:t>
                              </w:r>
                              <w:r w:rsidRPr="0027632B">
                                <w:rPr>
                                  <w:rFonts w:ascii="Times New Roman" w:hAnsi="Times New Roman" w:cs="Times New Roman"/>
                                  <w:b/>
                                  <w:sz w:val="15"/>
                                  <w:szCs w:val="15"/>
                                </w:rPr>
                                <w:t xml:space="preserve"> </w:t>
                              </w:r>
                              <w:r w:rsidRPr="009B2E34">
                                <w:rPr>
                                  <w:rFonts w:ascii="Times New Roman" w:hAnsi="Times New Roman" w:cs="Times New Roman"/>
                                  <w:sz w:val="15"/>
                                  <w:szCs w:val="15"/>
                                </w:rPr>
                                <w:t>імміграції</w:t>
                              </w:r>
                            </w:p>
                          </w:txbxContent>
                        </wps:txbx>
                        <wps:bodyPr rot="0" vert="horz" wrap="square" lIns="0" tIns="0" rIns="0" bIns="0" anchor="ctr" anchorCtr="0" upright="1">
                          <a:noAutofit/>
                        </wps:bodyPr>
                      </wps:wsp>
                      <wps:wsp>
                        <wps:cNvPr id="1325" name="Text Box 923"/>
                        <wps:cNvSpPr txBox="1">
                          <a:spLocks noChangeArrowheads="1"/>
                        </wps:cNvSpPr>
                        <wps:spPr bwMode="auto">
                          <a:xfrm>
                            <a:off x="9785" y="3451"/>
                            <a:ext cx="2232" cy="515"/>
                          </a:xfrm>
                          <a:prstGeom prst="rect">
                            <a:avLst/>
                          </a:prstGeom>
                          <a:solidFill>
                            <a:srgbClr val="FFFFFF"/>
                          </a:solidFill>
                          <a:ln w="9525">
                            <a:solidFill>
                              <a:srgbClr val="000000"/>
                            </a:solidFill>
                            <a:miter lim="800000"/>
                            <a:headEnd/>
                            <a:tailEnd/>
                          </a:ln>
                        </wps:spPr>
                        <wps:txbx>
                          <w:txbxContent>
                            <w:p w:rsidR="00BE40F8" w:rsidRPr="009B2E34" w:rsidRDefault="00BE40F8" w:rsidP="00B233DE">
                              <w:pPr>
                                <w:ind w:firstLine="0"/>
                                <w:jc w:val="center"/>
                                <w:rPr>
                                  <w:rFonts w:ascii="Times New Roman" w:hAnsi="Times New Roman" w:cs="Times New Roman"/>
                                  <w:sz w:val="15"/>
                                  <w:szCs w:val="15"/>
                                </w:rPr>
                              </w:pPr>
                              <w:r w:rsidRPr="009B2E34">
                                <w:rPr>
                                  <w:rFonts w:ascii="Times New Roman" w:hAnsi="Times New Roman" w:cs="Times New Roman"/>
                                  <w:sz w:val="15"/>
                                  <w:szCs w:val="15"/>
                                </w:rPr>
                                <w:t>Політика сприяння рееміграції</w:t>
                              </w:r>
                            </w:p>
                          </w:txbxContent>
                        </wps:txbx>
                        <wps:bodyPr rot="0" vert="horz" wrap="square" lIns="0" tIns="0" rIns="0" bIns="0" anchor="ctr" anchorCtr="0" upright="1">
                          <a:noAutofit/>
                        </wps:bodyPr>
                      </wps:wsp>
                      <wps:wsp>
                        <wps:cNvPr id="1326" name="Text Box 924"/>
                        <wps:cNvSpPr txBox="1">
                          <a:spLocks noChangeArrowheads="1"/>
                        </wps:cNvSpPr>
                        <wps:spPr bwMode="auto">
                          <a:xfrm>
                            <a:off x="9785" y="5900"/>
                            <a:ext cx="2232" cy="515"/>
                          </a:xfrm>
                          <a:prstGeom prst="rect">
                            <a:avLst/>
                          </a:prstGeom>
                          <a:solidFill>
                            <a:srgbClr val="FFFFFF"/>
                          </a:solidFill>
                          <a:ln w="9525">
                            <a:solidFill>
                              <a:srgbClr val="000000"/>
                            </a:solidFill>
                            <a:miter lim="800000"/>
                            <a:headEnd/>
                            <a:tailEnd/>
                          </a:ln>
                        </wps:spPr>
                        <wps:txbx>
                          <w:txbxContent>
                            <w:p w:rsidR="00BE40F8" w:rsidRPr="009B2E34" w:rsidRDefault="00BE40F8" w:rsidP="00B233DE">
                              <w:pPr>
                                <w:ind w:firstLine="0"/>
                                <w:jc w:val="center"/>
                                <w:rPr>
                                  <w:rFonts w:ascii="Times New Roman" w:hAnsi="Times New Roman" w:cs="Times New Roman"/>
                                  <w:sz w:val="15"/>
                                  <w:szCs w:val="15"/>
                                </w:rPr>
                              </w:pPr>
                              <w:r w:rsidRPr="009B2E34">
                                <w:rPr>
                                  <w:rFonts w:ascii="Times New Roman" w:hAnsi="Times New Roman" w:cs="Times New Roman"/>
                                  <w:sz w:val="15"/>
                                  <w:szCs w:val="15"/>
                                </w:rPr>
                                <w:t>Стимулювання тимчасо</w:t>
                              </w:r>
                              <w:r>
                                <w:rPr>
                                  <w:rFonts w:ascii="Times New Roman" w:hAnsi="Times New Roman" w:cs="Times New Roman"/>
                                  <w:sz w:val="15"/>
                                  <w:szCs w:val="15"/>
                                </w:rPr>
                                <w:t xml:space="preserve">вої </w:t>
                              </w:r>
                              <w:r w:rsidRPr="009B2E34">
                                <w:rPr>
                                  <w:rFonts w:ascii="Times New Roman" w:hAnsi="Times New Roman" w:cs="Times New Roman"/>
                                  <w:sz w:val="15"/>
                                  <w:szCs w:val="15"/>
                                </w:rPr>
                                <w:t>міграції</w:t>
                              </w:r>
                            </w:p>
                          </w:txbxContent>
                        </wps:txbx>
                        <wps:bodyPr rot="0" vert="horz" wrap="square" lIns="0" tIns="0" rIns="0" bIns="0" anchor="ctr" anchorCtr="0" upright="1">
                          <a:noAutofit/>
                        </wps:bodyPr>
                      </wps:wsp>
                      <wps:wsp>
                        <wps:cNvPr id="1327" name="Text Box 925"/>
                        <wps:cNvSpPr txBox="1">
                          <a:spLocks noChangeArrowheads="1"/>
                        </wps:cNvSpPr>
                        <wps:spPr bwMode="auto">
                          <a:xfrm>
                            <a:off x="9785" y="6621"/>
                            <a:ext cx="2232" cy="898"/>
                          </a:xfrm>
                          <a:prstGeom prst="rect">
                            <a:avLst/>
                          </a:prstGeom>
                          <a:solidFill>
                            <a:srgbClr val="FFFFFF"/>
                          </a:solidFill>
                          <a:ln w="9525">
                            <a:solidFill>
                              <a:srgbClr val="000000"/>
                            </a:solidFill>
                            <a:miter lim="800000"/>
                            <a:headEnd/>
                            <a:tailEnd/>
                          </a:ln>
                        </wps:spPr>
                        <wps:txbx>
                          <w:txbxContent>
                            <w:p w:rsidR="00BE40F8" w:rsidRPr="009B2E34" w:rsidRDefault="00BE40F8" w:rsidP="00B233DE">
                              <w:pPr>
                                <w:spacing w:line="221" w:lineRule="auto"/>
                                <w:ind w:firstLine="0"/>
                                <w:jc w:val="center"/>
                                <w:rPr>
                                  <w:rFonts w:ascii="Times New Roman" w:hAnsi="Times New Roman" w:cs="Times New Roman"/>
                                  <w:sz w:val="15"/>
                                  <w:szCs w:val="15"/>
                                </w:rPr>
                              </w:pPr>
                              <w:r w:rsidRPr="009B2E34">
                                <w:rPr>
                                  <w:rFonts w:ascii="Times New Roman" w:hAnsi="Times New Roman" w:cs="Times New Roman"/>
                                  <w:sz w:val="15"/>
                                  <w:szCs w:val="15"/>
                                </w:rPr>
                                <w:t>Спільне фінансування підготовки кваліфіко</w:t>
                              </w:r>
                              <w:r>
                                <w:rPr>
                                  <w:rFonts w:ascii="Times New Roman" w:hAnsi="Times New Roman" w:cs="Times New Roman"/>
                                  <w:sz w:val="15"/>
                                  <w:szCs w:val="15"/>
                                </w:rPr>
                                <w:t>-</w:t>
                              </w:r>
                              <w:r w:rsidRPr="009B2E34">
                                <w:rPr>
                                  <w:rFonts w:ascii="Times New Roman" w:hAnsi="Times New Roman" w:cs="Times New Roman"/>
                                  <w:sz w:val="15"/>
                                  <w:szCs w:val="15"/>
                                </w:rPr>
                                <w:t>ваних</w:t>
                              </w:r>
                              <w:r w:rsidRPr="0027632B">
                                <w:rPr>
                                  <w:rFonts w:ascii="Times New Roman" w:hAnsi="Times New Roman" w:cs="Times New Roman"/>
                                  <w:b/>
                                  <w:sz w:val="15"/>
                                  <w:szCs w:val="15"/>
                                </w:rPr>
                                <w:t xml:space="preserve"> </w:t>
                              </w:r>
                              <w:r w:rsidRPr="009B2E34">
                                <w:rPr>
                                  <w:rFonts w:ascii="Times New Roman" w:hAnsi="Times New Roman" w:cs="Times New Roman"/>
                                  <w:sz w:val="15"/>
                                  <w:szCs w:val="15"/>
                                </w:rPr>
                                <w:t>кадрів в країні походження</w:t>
                              </w:r>
                            </w:p>
                          </w:txbxContent>
                        </wps:txbx>
                        <wps:bodyPr rot="0" vert="horz" wrap="square" lIns="0" tIns="0" rIns="0" bIns="0" anchor="ctr" anchorCtr="0" upright="1">
                          <a:noAutofit/>
                        </wps:bodyPr>
                      </wps:wsp>
                      <wps:wsp>
                        <wps:cNvPr id="1330" name="Line 928"/>
                        <wps:cNvCnPr/>
                        <wps:spPr bwMode="auto">
                          <a:xfrm>
                            <a:off x="8242" y="5524"/>
                            <a:ext cx="0" cy="15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31" name="Line 929"/>
                        <wps:cNvCnPr/>
                        <wps:spPr bwMode="auto">
                          <a:xfrm>
                            <a:off x="8241" y="7639"/>
                            <a:ext cx="1" cy="2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33" name="Line 931"/>
                        <wps:cNvCnPr/>
                        <wps:spPr bwMode="auto">
                          <a:xfrm>
                            <a:off x="10815" y="2936"/>
                            <a:ext cx="2" cy="5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34" name="Line 932"/>
                        <wps:cNvCnPr/>
                        <wps:spPr bwMode="auto">
                          <a:xfrm>
                            <a:off x="10815" y="3966"/>
                            <a:ext cx="2" cy="85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35" name="Line 933"/>
                        <wps:cNvCnPr/>
                        <wps:spPr bwMode="auto">
                          <a:xfrm>
                            <a:off x="10815" y="5303"/>
                            <a:ext cx="2" cy="5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36" name="Line 934"/>
                        <wps:cNvCnPr/>
                        <wps:spPr bwMode="auto">
                          <a:xfrm>
                            <a:off x="10815" y="6397"/>
                            <a:ext cx="2" cy="22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37" name="Line 935"/>
                        <wps:cNvCnPr/>
                        <wps:spPr bwMode="auto">
                          <a:xfrm>
                            <a:off x="10815" y="7519"/>
                            <a:ext cx="4"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38" name="AutoShape 936"/>
                        <wps:cNvCnPr>
                          <a:cxnSpLocks noChangeShapeType="1"/>
                          <a:stCxn id="1302" idx="3"/>
                          <a:endCxn id="1324" idx="1"/>
                        </wps:cNvCnPr>
                        <wps:spPr bwMode="auto">
                          <a:xfrm>
                            <a:off x="9442" y="2486"/>
                            <a:ext cx="343" cy="192"/>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39" name="Line 937"/>
                        <wps:cNvCnPr/>
                        <wps:spPr bwMode="auto">
                          <a:xfrm>
                            <a:off x="9442" y="2764"/>
                            <a:ext cx="343" cy="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40" name="AutoShape 938"/>
                        <wps:cNvCnPr>
                          <a:cxnSpLocks noChangeShapeType="1"/>
                          <a:stCxn id="1302" idx="3"/>
                          <a:endCxn id="1325" idx="1"/>
                        </wps:cNvCnPr>
                        <wps:spPr bwMode="auto">
                          <a:xfrm>
                            <a:off x="9442" y="2486"/>
                            <a:ext cx="343" cy="1222"/>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41" name="AutoShape 939"/>
                        <wps:cNvCnPr>
                          <a:cxnSpLocks noChangeShapeType="1"/>
                          <a:stCxn id="1304" idx="3"/>
                          <a:endCxn id="1325" idx="1"/>
                        </wps:cNvCnPr>
                        <wps:spPr bwMode="auto">
                          <a:xfrm>
                            <a:off x="9441" y="3679"/>
                            <a:ext cx="344" cy="29"/>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42" name="AutoShape 940"/>
                        <wps:cNvCnPr>
                          <a:cxnSpLocks noChangeShapeType="1"/>
                          <a:stCxn id="1304" idx="3"/>
                          <a:endCxn id="1326" idx="1"/>
                        </wps:cNvCnPr>
                        <wps:spPr bwMode="auto">
                          <a:xfrm>
                            <a:off x="9441" y="3679"/>
                            <a:ext cx="344" cy="2478"/>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43" name="AutoShape 941"/>
                        <wps:cNvCnPr>
                          <a:cxnSpLocks noChangeShapeType="1"/>
                          <a:stCxn id="1302" idx="3"/>
                          <a:endCxn id="1327" idx="1"/>
                        </wps:cNvCnPr>
                        <wps:spPr bwMode="auto">
                          <a:xfrm>
                            <a:off x="9442" y="2486"/>
                            <a:ext cx="343" cy="4584"/>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44" name="Line 942"/>
                        <wps:cNvCnPr/>
                        <wps:spPr bwMode="auto">
                          <a:xfrm>
                            <a:off x="13905" y="2077"/>
                            <a:ext cx="0" cy="17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5" name="Line 943"/>
                        <wps:cNvCnPr/>
                        <wps:spPr bwMode="auto">
                          <a:xfrm>
                            <a:off x="13905" y="3559"/>
                            <a:ext cx="2" cy="17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6" name="Line 944"/>
                        <wps:cNvCnPr/>
                        <wps:spPr bwMode="auto">
                          <a:xfrm>
                            <a:off x="13905" y="6979"/>
                            <a:ext cx="2" cy="17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347" name="Group 945"/>
                        <wpg:cNvGrpSpPr>
                          <a:grpSpLocks/>
                        </wpg:cNvGrpSpPr>
                        <wpg:grpSpPr bwMode="auto">
                          <a:xfrm>
                            <a:off x="12412" y="7503"/>
                            <a:ext cx="180" cy="1350"/>
                            <a:chOff x="10802" y="6401"/>
                            <a:chExt cx="94" cy="708"/>
                          </a:xfrm>
                        </wpg:grpSpPr>
                        <wps:wsp>
                          <wps:cNvPr id="1348" name="AutoShape 946"/>
                          <wps:cNvCnPr>
                            <a:cxnSpLocks noChangeShapeType="1"/>
                            <a:stCxn id="1248" idx="1"/>
                            <a:endCxn id="1249" idx="1"/>
                          </wps:cNvCnPr>
                          <wps:spPr bwMode="auto">
                            <a:xfrm rot="10800000" flipH="1" flipV="1">
                              <a:off x="10806" y="6409"/>
                              <a:ext cx="90" cy="270"/>
                            </a:xfrm>
                            <a:prstGeom prst="bentConnector3">
                              <a:avLst>
                                <a:gd name="adj1" fmla="val -6667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49" name="AutoShape 947"/>
                          <wps:cNvCnPr>
                            <a:cxnSpLocks noChangeShapeType="1"/>
                            <a:stCxn id="1248" idx="1"/>
                            <a:endCxn id="1250" idx="1"/>
                          </wps:cNvCnPr>
                          <wps:spPr bwMode="auto">
                            <a:xfrm rot="10800000" flipH="1" flipV="1">
                              <a:off x="10806" y="6409"/>
                              <a:ext cx="90" cy="450"/>
                            </a:xfrm>
                            <a:prstGeom prst="bentConnector3">
                              <a:avLst>
                                <a:gd name="adj1" fmla="val -6667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50" name="AutoShape 948"/>
                          <wps:cNvCnPr>
                            <a:cxnSpLocks noChangeShapeType="1"/>
                            <a:stCxn id="1248" idx="1"/>
                            <a:endCxn id="1251" idx="1"/>
                          </wps:cNvCnPr>
                          <wps:spPr bwMode="auto">
                            <a:xfrm rot="10800000" flipH="1" flipV="1">
                              <a:off x="10802" y="6401"/>
                              <a:ext cx="90" cy="708"/>
                            </a:xfrm>
                            <a:prstGeom prst="bentConnector3">
                              <a:avLst>
                                <a:gd name="adj1" fmla="val -317654"/>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351" name="AutoShape 949"/>
                        <wps:cNvCnPr>
                          <a:cxnSpLocks noChangeShapeType="1"/>
                          <a:stCxn id="1324" idx="3"/>
                          <a:endCxn id="1237" idx="1"/>
                        </wps:cNvCnPr>
                        <wps:spPr bwMode="auto">
                          <a:xfrm flipV="1">
                            <a:off x="12017" y="2369"/>
                            <a:ext cx="343" cy="309"/>
                          </a:xfrm>
                          <a:prstGeom prst="bentConnector3">
                            <a:avLst>
                              <a:gd name="adj1" fmla="val 4985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52" name="AutoShape 950"/>
                        <wps:cNvCnPr>
                          <a:cxnSpLocks noChangeShapeType="1"/>
                          <a:stCxn id="1324" idx="3"/>
                          <a:endCxn id="1238" idx="1"/>
                        </wps:cNvCnPr>
                        <wps:spPr bwMode="auto">
                          <a:xfrm flipV="1">
                            <a:off x="12017" y="2606"/>
                            <a:ext cx="343" cy="72"/>
                          </a:xfrm>
                          <a:prstGeom prst="bentConnector3">
                            <a:avLst>
                              <a:gd name="adj1" fmla="val 4985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53" name="AutoShape 951"/>
                        <wps:cNvCnPr>
                          <a:cxnSpLocks noChangeShapeType="1"/>
                          <a:stCxn id="1324" idx="3"/>
                          <a:endCxn id="1239" idx="1"/>
                        </wps:cNvCnPr>
                        <wps:spPr bwMode="auto">
                          <a:xfrm>
                            <a:off x="12017" y="2678"/>
                            <a:ext cx="343" cy="538"/>
                          </a:xfrm>
                          <a:prstGeom prst="bentConnector3">
                            <a:avLst>
                              <a:gd name="adj1" fmla="val 4985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54" name="AutoShape 952"/>
                        <wps:cNvCnPr>
                          <a:cxnSpLocks noChangeShapeType="1"/>
                          <a:stCxn id="1324" idx="3"/>
                          <a:endCxn id="1240" idx="1"/>
                        </wps:cNvCnPr>
                        <wps:spPr bwMode="auto">
                          <a:xfrm>
                            <a:off x="12017" y="2678"/>
                            <a:ext cx="343" cy="759"/>
                          </a:xfrm>
                          <a:prstGeom prst="bentConnector3">
                            <a:avLst>
                              <a:gd name="adj1" fmla="val 4985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55" name="AutoShape 953"/>
                        <wps:cNvCnPr>
                          <a:cxnSpLocks noChangeShapeType="1"/>
                          <a:stCxn id="1325" idx="3"/>
                          <a:endCxn id="1026" idx="1"/>
                        </wps:cNvCnPr>
                        <wps:spPr bwMode="auto">
                          <a:xfrm>
                            <a:off x="12017" y="3708"/>
                            <a:ext cx="362" cy="147"/>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56" name="AutoShape 954"/>
                        <wps:cNvCnPr>
                          <a:cxnSpLocks noChangeShapeType="1"/>
                          <a:stCxn id="1325" idx="3"/>
                          <a:endCxn id="1027" idx="1"/>
                        </wps:cNvCnPr>
                        <wps:spPr bwMode="auto">
                          <a:xfrm>
                            <a:off x="12017" y="3708"/>
                            <a:ext cx="362" cy="374"/>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57" name="AutoShape 955"/>
                        <wps:cNvCnPr>
                          <a:cxnSpLocks noChangeShapeType="1"/>
                          <a:stCxn id="1325" idx="3"/>
                          <a:endCxn id="1028" idx="1"/>
                        </wps:cNvCnPr>
                        <wps:spPr bwMode="auto">
                          <a:xfrm>
                            <a:off x="12017" y="3708"/>
                            <a:ext cx="362" cy="567"/>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58" name="AutoShape 956"/>
                        <wps:cNvCnPr>
                          <a:cxnSpLocks noChangeShapeType="1"/>
                          <a:stCxn id="1325" idx="3"/>
                          <a:endCxn id="1029" idx="1"/>
                        </wps:cNvCnPr>
                        <wps:spPr bwMode="auto">
                          <a:xfrm>
                            <a:off x="12017" y="3708"/>
                            <a:ext cx="362" cy="898"/>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59" name="AutoShape 957"/>
                        <wps:cNvCnPr>
                          <a:cxnSpLocks noChangeShapeType="1"/>
                          <a:stCxn id="1325" idx="3"/>
                          <a:endCxn id="1241" idx="1"/>
                        </wps:cNvCnPr>
                        <wps:spPr bwMode="auto">
                          <a:xfrm>
                            <a:off x="12017" y="3708"/>
                            <a:ext cx="362" cy="1228"/>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60" name="AutoShape 958"/>
                        <wps:cNvCnPr>
                          <a:cxnSpLocks noChangeShapeType="1"/>
                          <a:stCxn id="1375" idx="3"/>
                          <a:endCxn id="1242" idx="1"/>
                        </wps:cNvCnPr>
                        <wps:spPr bwMode="auto">
                          <a:xfrm>
                            <a:off x="12017" y="5078"/>
                            <a:ext cx="362" cy="387"/>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61" name="AutoShape 959"/>
                        <wps:cNvCnPr>
                          <a:cxnSpLocks noChangeShapeType="1"/>
                          <a:stCxn id="1375" idx="3"/>
                          <a:endCxn id="1243" idx="1"/>
                        </wps:cNvCnPr>
                        <wps:spPr bwMode="auto">
                          <a:xfrm>
                            <a:off x="12017" y="5078"/>
                            <a:ext cx="362" cy="701"/>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62" name="AutoShape 960"/>
                        <wps:cNvCnPr>
                          <a:cxnSpLocks noChangeShapeType="1"/>
                          <a:stCxn id="1375" idx="3"/>
                          <a:endCxn id="1244" idx="1"/>
                        </wps:cNvCnPr>
                        <wps:spPr bwMode="auto">
                          <a:xfrm>
                            <a:off x="12017" y="5078"/>
                            <a:ext cx="362" cy="938"/>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63" name="AutoShape 961"/>
                        <wps:cNvCnPr>
                          <a:cxnSpLocks noChangeShapeType="1"/>
                          <a:stCxn id="1326" idx="3"/>
                          <a:endCxn id="1245" idx="1"/>
                        </wps:cNvCnPr>
                        <wps:spPr bwMode="auto">
                          <a:xfrm>
                            <a:off x="12017" y="6157"/>
                            <a:ext cx="343" cy="288"/>
                          </a:xfrm>
                          <a:prstGeom prst="bentConnector3">
                            <a:avLst>
                              <a:gd name="adj1" fmla="val 4985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64" name="AutoShape 962"/>
                        <wps:cNvCnPr>
                          <a:cxnSpLocks noChangeShapeType="1"/>
                          <a:stCxn id="1326" idx="3"/>
                          <a:endCxn id="1246" idx="1"/>
                        </wps:cNvCnPr>
                        <wps:spPr bwMode="auto">
                          <a:xfrm>
                            <a:off x="12017" y="6157"/>
                            <a:ext cx="343" cy="519"/>
                          </a:xfrm>
                          <a:prstGeom prst="bentConnector3">
                            <a:avLst>
                              <a:gd name="adj1" fmla="val 4985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65" name="AutoShape 963"/>
                        <wps:cNvCnPr>
                          <a:cxnSpLocks noChangeShapeType="1"/>
                          <a:stCxn id="1326" idx="3"/>
                          <a:endCxn id="1247" idx="1"/>
                        </wps:cNvCnPr>
                        <wps:spPr bwMode="auto">
                          <a:xfrm>
                            <a:off x="12017" y="6157"/>
                            <a:ext cx="343" cy="712"/>
                          </a:xfrm>
                          <a:prstGeom prst="bentConnector3">
                            <a:avLst>
                              <a:gd name="adj1" fmla="val 4985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66" name="AutoShape 964"/>
                        <wps:cNvCnPr>
                          <a:cxnSpLocks noChangeShapeType="1"/>
                        </wps:cNvCnPr>
                        <wps:spPr bwMode="auto">
                          <a:xfrm flipV="1">
                            <a:off x="12019" y="7519"/>
                            <a:ext cx="343" cy="858"/>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67" name="AutoShape 965"/>
                        <wps:cNvCnPr>
                          <a:cxnSpLocks noChangeShapeType="1"/>
                          <a:stCxn id="1324" idx="3"/>
                          <a:endCxn id="1272" idx="1"/>
                        </wps:cNvCnPr>
                        <wps:spPr bwMode="auto">
                          <a:xfrm>
                            <a:off x="12017" y="2678"/>
                            <a:ext cx="343" cy="225"/>
                          </a:xfrm>
                          <a:prstGeom prst="bentConnector3">
                            <a:avLst>
                              <a:gd name="adj1" fmla="val 4985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68" name="Line 966"/>
                        <wps:cNvCnPr/>
                        <wps:spPr bwMode="auto">
                          <a:xfrm>
                            <a:off x="9442" y="5854"/>
                            <a:ext cx="172" cy="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9" name="Line 967"/>
                        <wps:cNvCnPr/>
                        <wps:spPr bwMode="auto">
                          <a:xfrm>
                            <a:off x="10939" y="9140"/>
                            <a:ext cx="2" cy="17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1371" name="Group 969"/>
                        <wpg:cNvGrpSpPr>
                          <a:grpSpLocks/>
                        </wpg:cNvGrpSpPr>
                        <wpg:grpSpPr bwMode="auto">
                          <a:xfrm>
                            <a:off x="7211" y="6026"/>
                            <a:ext cx="343" cy="1062"/>
                            <a:chOff x="8106" y="3786"/>
                            <a:chExt cx="180" cy="557"/>
                          </a:xfrm>
                        </wpg:grpSpPr>
                        <wps:wsp>
                          <wps:cNvPr id="1372" name="AutoShape 970"/>
                          <wps:cNvCnPr>
                            <a:cxnSpLocks noChangeShapeType="1"/>
                          </wps:cNvCnPr>
                          <wps:spPr bwMode="auto">
                            <a:xfrm rot="10800000" flipH="1" flipV="1">
                              <a:off x="8106" y="3786"/>
                              <a:ext cx="180" cy="152"/>
                            </a:xfrm>
                            <a:prstGeom prst="bentConnector3">
                              <a:avLst>
                                <a:gd name="adj1" fmla="val 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73" name="AutoShape 971"/>
                          <wps:cNvCnPr>
                            <a:cxnSpLocks noChangeShapeType="1"/>
                          </wps:cNvCnPr>
                          <wps:spPr bwMode="auto">
                            <a:xfrm rot="16200000" flipH="1">
                              <a:off x="8067" y="3928"/>
                              <a:ext cx="257" cy="180"/>
                            </a:xfrm>
                            <a:prstGeom prst="bentConnector3">
                              <a:avLst>
                                <a:gd name="adj1" fmla="val 10038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74" name="AutoShape 972"/>
                          <wps:cNvCnPr>
                            <a:cxnSpLocks noChangeShapeType="1"/>
                          </wps:cNvCnPr>
                          <wps:spPr bwMode="auto">
                            <a:xfrm rot="16200000" flipH="1">
                              <a:off x="7969" y="4026"/>
                              <a:ext cx="454" cy="180"/>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375" name="Text Box 973"/>
                        <wps:cNvSpPr txBox="1">
                          <a:spLocks noChangeArrowheads="1"/>
                        </wps:cNvSpPr>
                        <wps:spPr bwMode="auto">
                          <a:xfrm>
                            <a:off x="9785" y="4820"/>
                            <a:ext cx="2232" cy="515"/>
                          </a:xfrm>
                          <a:prstGeom prst="rect">
                            <a:avLst/>
                          </a:prstGeom>
                          <a:solidFill>
                            <a:srgbClr val="FFFFFF"/>
                          </a:solidFill>
                          <a:ln w="9525">
                            <a:solidFill>
                              <a:srgbClr val="000000"/>
                            </a:solidFill>
                            <a:miter lim="800000"/>
                            <a:headEnd/>
                            <a:tailEnd/>
                          </a:ln>
                        </wps:spPr>
                        <wps:txbx>
                          <w:txbxContent>
                            <w:p w:rsidR="00BE40F8" w:rsidRPr="009B2E34" w:rsidRDefault="00BE40F8" w:rsidP="00B233DE">
                              <w:pPr>
                                <w:ind w:firstLine="0"/>
                                <w:jc w:val="center"/>
                                <w:rPr>
                                  <w:rFonts w:ascii="Times New Roman" w:hAnsi="Times New Roman" w:cs="Times New Roman"/>
                                  <w:sz w:val="15"/>
                                  <w:szCs w:val="15"/>
                                </w:rPr>
                              </w:pPr>
                              <w:r w:rsidRPr="009B2E34">
                                <w:rPr>
                                  <w:rFonts w:ascii="Times New Roman" w:hAnsi="Times New Roman" w:cs="Times New Roman"/>
                                  <w:sz w:val="15"/>
                                  <w:szCs w:val="15"/>
                                </w:rPr>
                                <w:t>Адаптація і інтеграція мігрантів</w:t>
                              </w:r>
                            </w:p>
                          </w:txbxContent>
                        </wps:txbx>
                        <wps:bodyPr rot="0" vert="horz" wrap="square" lIns="0" tIns="0" rIns="0" bIns="0" anchor="ctr" anchorCtr="0" upright="1">
                          <a:noAutofit/>
                        </wps:bodyPr>
                      </wps:wsp>
                      <wps:wsp>
                        <wps:cNvPr id="1376" name="AutoShape 974"/>
                        <wps:cNvCnPr>
                          <a:cxnSpLocks noChangeShapeType="1"/>
                        </wps:cNvCnPr>
                        <wps:spPr bwMode="auto">
                          <a:xfrm rot="16200000" flipH="1" flipV="1">
                            <a:off x="8606" y="3316"/>
                            <a:ext cx="221" cy="4196"/>
                          </a:xfrm>
                          <a:prstGeom prst="bentConnector4">
                            <a:avLst>
                              <a:gd name="adj1" fmla="val 99093"/>
                              <a:gd name="adj2" fmla="val 50000"/>
                            </a:avLst>
                          </a:prstGeom>
                          <a:noFill/>
                          <a:ln w="1905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7" name="AutoShape 975"/>
                        <wps:cNvCnPr>
                          <a:cxnSpLocks noChangeShapeType="1"/>
                        </wps:cNvCnPr>
                        <wps:spPr bwMode="auto">
                          <a:xfrm rot="16200000" flipH="1" flipV="1">
                            <a:off x="8716" y="5644"/>
                            <a:ext cx="223" cy="3970"/>
                          </a:xfrm>
                          <a:prstGeom prst="bentConnector4">
                            <a:avLst>
                              <a:gd name="adj1" fmla="val 99093"/>
                              <a:gd name="adj2" fmla="val 50000"/>
                            </a:avLst>
                          </a:prstGeom>
                          <a:noFill/>
                          <a:ln w="1905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w14:anchorId="66900E87" id="Group 810" o:spid="_x0000_s1913" style="position:absolute;left:0;text-align:left;margin-left:-.7pt;margin-top:-14.7pt;width:484.6pt;height:293.3pt;z-index:251693056;mso-position-horizontal-relative:text;mso-position-vertical-relative:text" coordorigin="1031,1219" coordsize="14647,87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">
                <v:shape id="Text Box 811" o:spid="_x0000_s1914" type="#_x0000_t202" style="position:absolute;left:4807;top:2077;width:515;height:4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" stroked="f">
                  <v:fill opacity="0"/>
                  <v:textbox style="layout-flow:vertical;mso-layout-flow-alt:bottom-to-top" inset="0,0,0,0">
                    <w:txbxContent>
                      <w:p w:rsidR="00BE40F8" w:rsidRPr="0027632B" w:rsidRDefault="00BE40F8" w:rsidP="00B233DE">
                        <w:pPr>
                          <w:jc w:val="center"/>
                          <w:rPr>
                            <w:rFonts w:ascii="Times New Roman" w:hAnsi="Times New Roman" w:cs="Times New Roman"/>
                            <w:sz w:val="15"/>
                            <w:szCs w:val="15"/>
                          </w:rPr>
                        </w:pPr>
                        <w:r w:rsidRPr="0027632B">
                          <w:rPr>
                            <w:rFonts w:ascii="Times New Roman" w:hAnsi="Times New Roman" w:cs="Times New Roman"/>
                            <w:sz w:val="15"/>
                            <w:szCs w:val="15"/>
                          </w:rPr>
                          <w:t xml:space="preserve">Посилення позитивного впливу </w:t>
                        </w:r>
                      </w:p>
                      <w:p w:rsidR="00BE40F8" w:rsidRPr="0027632B" w:rsidRDefault="00BE40F8" w:rsidP="00B233DE">
                        <w:pPr>
                          <w:jc w:val="center"/>
                          <w:rPr>
                            <w:rFonts w:ascii="Times New Roman" w:hAnsi="Times New Roman" w:cs="Times New Roman"/>
                            <w:sz w:val="15"/>
                            <w:szCs w:val="15"/>
                          </w:rPr>
                        </w:pPr>
                        <w:r w:rsidRPr="0027632B">
                          <w:rPr>
                            <w:rFonts w:ascii="Times New Roman" w:hAnsi="Times New Roman" w:cs="Times New Roman"/>
                            <w:sz w:val="15"/>
                            <w:szCs w:val="15"/>
                          </w:rPr>
                          <w:t>на формування ЛП</w:t>
                        </w:r>
                      </w:p>
                    </w:txbxContent>
                  </v:textbox>
                </v:shape>
                <v:shape id="Text Box 812" o:spid="_x0000_s1915" type="#_x0000_t202" style="position:absolute;left:12379;top:3741;width:3203;height: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Заходи реінтеграції</w:t>
                        </w:r>
                      </w:p>
                    </w:txbxContent>
                  </v:textbox>
                </v:shape>
                <v:shape id="Text Box 813" o:spid="_x0000_s1916" type="#_x0000_t202" style="position:absolute;left:12379;top:3966;width:3203;height: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 xml:space="preserve">Пільгові кредити </w:t>
                        </w:r>
                      </w:p>
                    </w:txbxContent>
                  </v:textbox>
                </v:shape>
                <v:shape id="Text Box 814" o:spid="_x0000_s1917" type="#_x0000_t202" style="position:absolute;left:12379;top:4158;width:3203;height: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Матеріальне заохочення науковців до рееміграції</w:t>
                        </w:r>
                      </w:p>
                    </w:txbxContent>
                  </v:textbox>
                </v:shape>
                <v:shape id="Text Box 815" o:spid="_x0000_s1918" type="#_x0000_t202" style="position:absolute;left:12379;top:4406;width:3203;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">
                  <v:textbox inset="0,0,0,0">
                    <w:txbxContent>
                      <w:p w:rsidR="00BE40F8" w:rsidRDefault="00BE40F8" w:rsidP="00B233DE">
                        <w:pPr>
                          <w:spacing w:line="216" w:lineRule="auto"/>
                          <w:ind w:firstLine="0"/>
                          <w:jc w:val="center"/>
                          <w:rPr>
                            <w:rFonts w:ascii="Times New Roman" w:hAnsi="Times New Roman" w:cs="Times New Roman"/>
                            <w:spacing w:val="-4"/>
                            <w:sz w:val="15"/>
                            <w:szCs w:val="15"/>
                          </w:rPr>
                        </w:pPr>
                        <w:r w:rsidRPr="0027632B">
                          <w:rPr>
                            <w:rFonts w:ascii="Times New Roman" w:hAnsi="Times New Roman" w:cs="Times New Roman"/>
                            <w:sz w:val="15"/>
                            <w:szCs w:val="15"/>
                          </w:rPr>
                          <w:t xml:space="preserve">Створення системи </w:t>
                        </w:r>
                        <w:r w:rsidRPr="002570C4">
                          <w:rPr>
                            <w:rFonts w:ascii="Times New Roman" w:hAnsi="Times New Roman" w:cs="Times New Roman"/>
                            <w:spacing w:val="-4"/>
                            <w:sz w:val="15"/>
                            <w:szCs w:val="15"/>
                          </w:rPr>
                          <w:t>з</w:t>
                        </w:r>
                        <w:r w:rsidRPr="002570C4">
                          <w:rPr>
                            <w:rFonts w:ascii="Times New Roman" w:hAnsi="Times New Roman" w:cs="Times New Roman"/>
                            <w:sz w:val="15"/>
                            <w:szCs w:val="15"/>
                          </w:rPr>
                          <w:t>береження</w:t>
                        </w:r>
                        <w:r w:rsidRPr="002570C4">
                          <w:rPr>
                            <w:rFonts w:ascii="Times New Roman" w:hAnsi="Times New Roman" w:cs="Times New Roman"/>
                            <w:spacing w:val="-4"/>
                            <w:sz w:val="15"/>
                            <w:szCs w:val="15"/>
                          </w:rPr>
                          <w:t xml:space="preserve"> </w:t>
                        </w:r>
                      </w:p>
                      <w:p w:rsidR="00BE40F8" w:rsidRPr="0027632B" w:rsidRDefault="00BE40F8" w:rsidP="00B233DE">
                        <w:pPr>
                          <w:spacing w:line="216" w:lineRule="auto"/>
                          <w:ind w:firstLine="0"/>
                          <w:jc w:val="center"/>
                          <w:rPr>
                            <w:rFonts w:ascii="Times New Roman" w:hAnsi="Times New Roman" w:cs="Times New Roman"/>
                            <w:sz w:val="15"/>
                            <w:szCs w:val="15"/>
                          </w:rPr>
                        </w:pPr>
                        <w:r w:rsidRPr="002570C4">
                          <w:rPr>
                            <w:rFonts w:ascii="Times New Roman" w:hAnsi="Times New Roman" w:cs="Times New Roman"/>
                            <w:spacing w:val="-4"/>
                            <w:sz w:val="15"/>
                            <w:szCs w:val="15"/>
                          </w:rPr>
                          <w:t>і перенесення прав забезпечення</w:t>
                        </w:r>
                      </w:p>
                    </w:txbxContent>
                  </v:textbox>
                </v:shape>
                <v:shape id="Text Box 816" o:spid="_x0000_s1919" type="#_x0000_t202" style="position:absolute;left:1031;top:2006;width:3090;height: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pacing w:val="-6"/>
                            <w:sz w:val="15"/>
                            <w:szCs w:val="15"/>
                          </w:rPr>
                          <w:t>Економічне зростання і підви-щення ЛП за рахунок високо-</w:t>
                        </w:r>
                        <w:r w:rsidRPr="0027632B">
                          <w:rPr>
                            <w:rFonts w:ascii="Times New Roman" w:hAnsi="Times New Roman" w:cs="Times New Roman"/>
                            <w:sz w:val="15"/>
                            <w:szCs w:val="15"/>
                          </w:rPr>
                          <w:t>кваліфікованої імміграції</w:t>
                        </w:r>
                      </w:p>
                    </w:txbxContent>
                  </v:textbox>
                </v:shape>
                <v:shape id="Text Box 817" o:spid="_x0000_s1920" type="#_x0000_t202" style="position:absolute;left:1031;top:2765;width:3094;height:5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pacing w:val="-6"/>
                            <w:sz w:val="15"/>
                            <w:szCs w:val="15"/>
                          </w:rPr>
                          <w:t>Вирішення демографічних про-</w:t>
                        </w:r>
                        <w:r w:rsidRPr="0027632B">
                          <w:rPr>
                            <w:rFonts w:ascii="Times New Roman" w:hAnsi="Times New Roman" w:cs="Times New Roman"/>
                            <w:sz w:val="15"/>
                            <w:szCs w:val="15"/>
                          </w:rPr>
                          <w:t>блем у країнах призначення</w:t>
                        </w:r>
                      </w:p>
                    </w:txbxContent>
                  </v:textbox>
                </v:shape>
                <v:shape id="Text Box 818" o:spid="_x0000_s1921" type="#_x0000_t202" style="position:absolute;left:1031;top:3317;width:3090;height:5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pacing w:val="-6"/>
                            <w:sz w:val="15"/>
                            <w:szCs w:val="15"/>
                          </w:rPr>
                          <w:t>Усунення диспропорцій на рин-</w:t>
                        </w:r>
                        <w:r w:rsidRPr="0027632B">
                          <w:rPr>
                            <w:rFonts w:ascii="Times New Roman" w:hAnsi="Times New Roman" w:cs="Times New Roman"/>
                            <w:sz w:val="15"/>
                            <w:szCs w:val="15"/>
                          </w:rPr>
                          <w:t>ках праці країн призначення</w:t>
                        </w:r>
                      </w:p>
                    </w:txbxContent>
                  </v:textbox>
                </v:shape>
                <v:shape id="Text Box 819" o:spid="_x0000_s1922" type="#_x0000_t202" style="position:absolute;left:1035;top:3832;width:3090;height: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">
                  <v:textbox inset="0,0,0,0">
                    <w:txbxContent>
                      <w:p w:rsidR="00BE40F8" w:rsidRPr="0027632B" w:rsidRDefault="00BE40F8" w:rsidP="00B233DE">
                        <w:pPr>
                          <w:spacing w:line="230" w:lineRule="auto"/>
                          <w:ind w:firstLine="0"/>
                          <w:jc w:val="center"/>
                          <w:rPr>
                            <w:rFonts w:ascii="Times New Roman" w:hAnsi="Times New Roman" w:cs="Times New Roman"/>
                            <w:spacing w:val="-6"/>
                            <w:sz w:val="15"/>
                            <w:szCs w:val="15"/>
                          </w:rPr>
                        </w:pPr>
                        <w:r w:rsidRPr="0027632B">
                          <w:rPr>
                            <w:rFonts w:ascii="Times New Roman" w:hAnsi="Times New Roman" w:cs="Times New Roman"/>
                            <w:spacing w:val="-6"/>
                            <w:sz w:val="15"/>
                            <w:szCs w:val="15"/>
                          </w:rPr>
                          <w:t>Економія часу і коштів на форму-вання ЛП країнами призначення</w:t>
                        </w:r>
                      </w:p>
                    </w:txbxContent>
                  </v:textbox>
                </v:shape>
                <v:shape id="Text Box 820" o:spid="_x0000_s1923" type="#_x0000_t202" style="position:absolute;left:1031;top:4309;width:3090;height:7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pacing w:val="-6"/>
                            <w:sz w:val="15"/>
                            <w:szCs w:val="15"/>
                          </w:rPr>
                          <w:t>Зростання доходів та підвищен</w:t>
                        </w:r>
                        <w:r w:rsidRPr="0027632B">
                          <w:rPr>
                            <w:rFonts w:ascii="Times New Roman" w:hAnsi="Times New Roman" w:cs="Times New Roman"/>
                            <w:sz w:val="15"/>
                            <w:szCs w:val="15"/>
                          </w:rPr>
                          <w:t>ня людського потенціалу за раху-нок грошових переказів</w:t>
                        </w:r>
                      </w:p>
                    </w:txbxContent>
                  </v:textbox>
                </v:shape>
                <v:shape id="Text Box 821" o:spid="_x0000_s1924" type="#_x0000_t202" style="position:absolute;left:1035;top:5694;width:3090;height:4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Зменшення безробіття у краї-нах походження</w:t>
                        </w:r>
                      </w:p>
                    </w:txbxContent>
                  </v:textbox>
                </v:shape>
                <v:shape id="Text Box 822" o:spid="_x0000_s1925" type="#_x0000_t202" style="position:absolute;left:1035;top:5064;width:3090;height:6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pacing w:val="-6"/>
                            <w:sz w:val="15"/>
                            <w:szCs w:val="15"/>
                          </w:rPr>
                          <w:t>Переваги від міждержавного кру-</w:t>
                        </w:r>
                        <w:r w:rsidRPr="0027632B">
                          <w:rPr>
                            <w:rFonts w:ascii="Times New Roman" w:hAnsi="Times New Roman" w:cs="Times New Roman"/>
                            <w:sz w:val="15"/>
                            <w:szCs w:val="15"/>
                          </w:rPr>
                          <w:t xml:space="preserve">гообігу людського потенціалу </w:t>
                        </w:r>
                      </w:p>
                    </w:txbxContent>
                  </v:textbox>
                </v:shape>
                <v:shape id="Text Box 823" o:spid="_x0000_s1926" type="#_x0000_t202" style="position:absolute;left:1031;top:6629;width:3090;height:4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Підвищення ЛП за рахунок соціальних переказів</w:t>
                        </w:r>
                      </w:p>
                    </w:txbxContent>
                  </v:textbox>
                </v:shape>
                <v:shape id="Text Box 824" o:spid="_x0000_s1927" type="#_x0000_t202" style="position:absolute;left:1031;top:7098;width:3090;height:5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">
                  <v:textbox inset="2.41453mm,0,2.41453mm,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Підвищення ЛП завдяки перспективі еміграції</w:t>
                        </w:r>
                      </w:p>
                    </w:txbxContent>
                  </v:textbox>
                </v:shape>
                <v:shape id="Text Box 825" o:spid="_x0000_s1928" type="#_x0000_t202" style="position:absolute;left:1035;top:7847;width:3090;height: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">
                  <v:textbox inset="0,0,0,0">
                    <w:txbxContent>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Відтік висококваліфікованих спеціалістів</w:t>
                        </w:r>
                      </w:p>
                    </w:txbxContent>
                  </v:textbox>
                </v:shape>
                <v:shape id="Text Box 826" o:spid="_x0000_s1929" type="#_x0000_t202" style="position:absolute;left:1031;top:8851;width:3090;height:4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 xml:space="preserve">Неокупність витрат </w:t>
                        </w:r>
                      </w:p>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на формування ЛП</w:t>
                        </w:r>
                      </w:p>
                    </w:txbxContent>
                  </v:textbox>
                </v:shape>
                <v:shape id="Text Box 827" o:spid="_x0000_s1930" type="#_x0000_t202" style="position:absolute;left:1031;top:8372;width:3090;height:2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">
                  <v:textbox inset="0,0,0,0">
                    <w:txbxContent>
                      <w:p w:rsidR="00BE40F8" w:rsidRPr="0027632B" w:rsidRDefault="00BE40F8" w:rsidP="00B233DE">
                        <w:pPr>
                          <w:ind w:firstLine="0"/>
                          <w:rPr>
                            <w:rFonts w:ascii="Times New Roman" w:hAnsi="Times New Roman" w:cs="Times New Roman"/>
                            <w:sz w:val="15"/>
                            <w:szCs w:val="15"/>
                          </w:rPr>
                        </w:pPr>
                        <w:r w:rsidRPr="0027632B">
                          <w:rPr>
                            <w:rFonts w:ascii="Times New Roman" w:hAnsi="Times New Roman" w:cs="Times New Roman"/>
                            <w:sz w:val="15"/>
                            <w:szCs w:val="15"/>
                          </w:rPr>
                          <w:t>Негативні соціальні наслідки</w:t>
                        </w:r>
                      </w:p>
                    </w:txbxContent>
                  </v:textbox>
                </v:shape>
                <v:shape id="Text Box 828" o:spid="_x0000_s1931" type="#_x0000_t202" style="position:absolute;left:1031;top:8593;width:3090;height:2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Розтрата мізків</w:t>
                        </w:r>
                      </w:p>
                    </w:txbxContent>
                  </v:textbox>
                </v:shape>
                <v:shape id="Text Box 829" o:spid="_x0000_s1932" type="#_x0000_t202" style="position:absolute;left:1035;top:9300;width:3090;height:5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Загроза депопуляції в країнах походження</w:t>
                        </w:r>
                      </w:p>
                    </w:txbxContent>
                  </v:textbox>
                </v:shape>
                <v:line id="Line 830" o:spid="_x0000_s1933" style="position:absolute;visibility:visible;mso-wrap-style:square" from="2748,1734" to="2749,1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"/>
                <v:line id="Line 831" o:spid="_x0000_s1934" style="position:absolute;visibility:visible;mso-wrap-style:square" from="4464,1734" to="4464,20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"/>
                <v:shape id="Text Box 832" o:spid="_x0000_s1935" type="#_x0000_t202" style="position:absolute;left:4807;top:1219;width:2232;height:1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pacing w:val="-6"/>
                            <w:sz w:val="15"/>
                            <w:szCs w:val="15"/>
                          </w:rPr>
                          <w:t>Основні цілі керованого</w:t>
                        </w:r>
                        <w:r w:rsidRPr="0027632B">
                          <w:rPr>
                            <w:rFonts w:ascii="Times New Roman" w:hAnsi="Times New Roman" w:cs="Times New Roman"/>
                            <w:sz w:val="15"/>
                            <w:szCs w:val="15"/>
                          </w:rPr>
                          <w:t xml:space="preserve"> </w:t>
                        </w:r>
                        <w:r w:rsidRPr="0027632B">
                          <w:rPr>
                            <w:rFonts w:ascii="Times New Roman" w:hAnsi="Times New Roman" w:cs="Times New Roman"/>
                            <w:spacing w:val="-6"/>
                            <w:sz w:val="15"/>
                            <w:szCs w:val="15"/>
                          </w:rPr>
                          <w:t>міграційного перерозпо-</w:t>
                        </w:r>
                        <w:r w:rsidRPr="0027632B">
                          <w:rPr>
                            <w:rFonts w:ascii="Times New Roman" w:hAnsi="Times New Roman" w:cs="Times New Roman"/>
                            <w:sz w:val="15"/>
                            <w:szCs w:val="15"/>
                          </w:rPr>
                          <w:t>ділу ЛП на сучасному етапі</w:t>
                        </w:r>
                      </w:p>
                    </w:txbxContent>
                  </v:textbox>
                </v:shape>
                <v:line id="Line 833" o:spid="_x0000_s1936" style="position:absolute;visibility:visible;mso-wrap-style:square" from="4636,1391" to="4807,13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" strokeweight="1.5pt">
                  <v:stroke endarrow="block"/>
                </v:line>
                <v:shape id="Text Box 834" o:spid="_x0000_s1937" type="#_x0000_t202" style="position:absolute;left:12360;top:1734;width:3203;height:5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">
                  <v:stroke dashstyle="longDash"/>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Організаційно-економічний рівень</w:t>
                        </w:r>
                      </w:p>
                    </w:txbxContent>
                  </v:textbox>
                </v:shape>
                <v:shape id="Text Box 835" o:spid="_x0000_s1938" type="#_x0000_t202" style="position:absolute;left:12360;top:2249;width:3203;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Попереднє дослідження потреби ринку праці</w:t>
                        </w:r>
                      </w:p>
                    </w:txbxContent>
                  </v:textbox>
                </v:shape>
                <v:shape id="Text Box 836" o:spid="_x0000_s1939" type="#_x0000_t202" style="position:absolute;left:12360;top:2485;width:3203;height: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Відбір за бальною системою</w:t>
                        </w:r>
                      </w:p>
                    </w:txbxContent>
                  </v:textbox>
                </v:shape>
                <v:shape id="Text Box 837" o:spid="_x0000_s1940" type="#_x0000_t202" style="position:absolute;left:12360;top:3096;width:3203;height: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Застосування квот і обмежень</w:t>
                        </w:r>
                      </w:p>
                    </w:txbxContent>
                  </v:textbox>
                </v:shape>
                <v:shape id="Text Box 838" o:spid="_x0000_s1941" type="#_x0000_t202" style="position:absolute;left:12360;top:3323;width:3203;height: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Залучення іноземних студентів</w:t>
                        </w:r>
                      </w:p>
                    </w:txbxContent>
                  </v:textbox>
                </v:shape>
                <v:shape id="Text Box 839" o:spid="_x0000_s1942" type="#_x0000_t202" style="position:absolute;left:12379;top:4820;width:3203;height:2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Визнання іноземних дипломів</w:t>
                        </w:r>
                      </w:p>
                    </w:txbxContent>
                  </v:textbox>
                </v:shape>
                <v:shape id="Text Box 840" o:spid="_x0000_s1943" type="#_x0000_t202" style="position:absolute;left:12379;top:5234;width:3203;height: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Доступ до освіти, охорони здо</w:t>
                        </w:r>
                        <w:r>
                          <w:rPr>
                            <w:rFonts w:ascii="Times New Roman" w:hAnsi="Times New Roman" w:cs="Times New Roman"/>
                            <w:sz w:val="15"/>
                            <w:szCs w:val="15"/>
                          </w:rPr>
                          <w:t>-</w:t>
                        </w:r>
                        <w:r w:rsidRPr="0027632B">
                          <w:rPr>
                            <w:rFonts w:ascii="Times New Roman" w:hAnsi="Times New Roman" w:cs="Times New Roman"/>
                            <w:sz w:val="15"/>
                            <w:szCs w:val="15"/>
                          </w:rPr>
                          <w:t>ров’я, праце</w:t>
                        </w:r>
                        <w:r>
                          <w:rPr>
                            <w:rFonts w:ascii="Times New Roman" w:hAnsi="Times New Roman" w:cs="Times New Roman"/>
                            <w:sz w:val="15"/>
                            <w:szCs w:val="15"/>
                          </w:rPr>
                          <w:t xml:space="preserve">влаштування </w:t>
                        </w:r>
                      </w:p>
                    </w:txbxContent>
                  </v:textbox>
                </v:shape>
                <v:shape id="Text Box 841" o:spid="_x0000_s1944" type="#_x0000_t202" style="position:absolute;left:12379;top:5665;width:3203;height:2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Навчання і перекваліфікація</w:t>
                        </w:r>
                      </w:p>
                    </w:txbxContent>
                  </v:textbox>
                </v:shape>
                <v:shape id="Text Box 842" o:spid="_x0000_s1945" type="#_x0000_t202" style="position:absolute;left:12379;top:5900;width:3203;height: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">
                  <v:textbox inset="0,0,0,0">
                    <w:txbxContent>
                      <w:p w:rsidR="00BE40F8" w:rsidRPr="002570C4" w:rsidRDefault="00BE40F8" w:rsidP="00B233DE">
                        <w:pPr>
                          <w:ind w:firstLine="0"/>
                          <w:jc w:val="center"/>
                          <w:rPr>
                            <w:rFonts w:ascii="Times New Roman" w:hAnsi="Times New Roman" w:cs="Times New Roman"/>
                            <w:spacing w:val="-6"/>
                            <w:sz w:val="15"/>
                            <w:szCs w:val="15"/>
                          </w:rPr>
                        </w:pPr>
                        <w:r w:rsidRPr="002570C4">
                          <w:rPr>
                            <w:rFonts w:ascii="Times New Roman" w:hAnsi="Times New Roman" w:cs="Times New Roman"/>
                            <w:spacing w:val="-6"/>
                            <w:sz w:val="15"/>
                            <w:szCs w:val="15"/>
                          </w:rPr>
                          <w:t>Соціальна і культурна інтеграція</w:t>
                        </w:r>
                      </w:p>
                    </w:txbxContent>
                  </v:textbox>
                </v:shape>
                <v:shape id="Text Box 843" o:spid="_x0000_s1946" type="#_x0000_t202" style="position:absolute;left:12360;top:6329;width:3203;height:2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">
                  <v:textbox inset="0,0,0,0">
                    <w:txbxContent>
                      <w:p w:rsidR="00BE40F8" w:rsidRPr="002570C4" w:rsidRDefault="00BE40F8" w:rsidP="00B233DE">
                        <w:pPr>
                          <w:ind w:firstLine="0"/>
                          <w:jc w:val="center"/>
                          <w:rPr>
                            <w:rFonts w:ascii="Times New Roman" w:hAnsi="Times New Roman" w:cs="Times New Roman"/>
                            <w:spacing w:val="-6"/>
                            <w:sz w:val="15"/>
                            <w:szCs w:val="15"/>
                          </w:rPr>
                        </w:pPr>
                        <w:r w:rsidRPr="002570C4">
                          <w:rPr>
                            <w:rFonts w:ascii="Times New Roman" w:hAnsi="Times New Roman" w:cs="Times New Roman"/>
                            <w:spacing w:val="-6"/>
                            <w:sz w:val="15"/>
                            <w:szCs w:val="15"/>
                          </w:rPr>
                          <w:t>Спеціальні програми мобільності спеціалістів</w:t>
                        </w:r>
                      </w:p>
                    </w:txbxContent>
                  </v:textbox>
                </v:shape>
                <v:shape id="Text Box 844" o:spid="_x0000_s1947" type="#_x0000_t202" style="position:absolute;left:12360;top:6561;width:3203;height: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Заходи тимчасової зайнятості</w:t>
                        </w:r>
                      </w:p>
                    </w:txbxContent>
                  </v:textbox>
                </v:shape>
                <v:shape id="Text Box 845" o:spid="_x0000_s1948" type="#_x0000_t202" style="position:absolute;left:12360;top:6754;width:3203;height: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">
                  <v:textbox inset="0,0,0,0">
                    <w:txbxContent>
                      <w:p w:rsidR="00BE40F8" w:rsidRPr="002570C4" w:rsidRDefault="00BE40F8" w:rsidP="00B233DE">
                        <w:pPr>
                          <w:ind w:firstLine="0"/>
                          <w:jc w:val="center"/>
                          <w:rPr>
                            <w:rFonts w:ascii="Times New Roman" w:hAnsi="Times New Roman" w:cs="Times New Roman"/>
                            <w:sz w:val="15"/>
                            <w:szCs w:val="15"/>
                          </w:rPr>
                        </w:pPr>
                        <w:r w:rsidRPr="002570C4">
                          <w:rPr>
                            <w:rFonts w:ascii="Times New Roman" w:hAnsi="Times New Roman" w:cs="Times New Roman"/>
                            <w:sz w:val="15"/>
                            <w:szCs w:val="15"/>
                          </w:rPr>
                          <w:t xml:space="preserve">Переміщення спеціалістів </w:t>
                        </w:r>
                      </w:p>
                    </w:txbxContent>
                  </v:textbox>
                </v:shape>
                <v:shape id="Text Box 846" o:spid="_x0000_s1949" type="#_x0000_t202" style="position:absolute;left:12360;top:7160;width:3203;height: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">
                  <v:textbox inset="0,0,0,0">
                    <w:txbxContent>
                      <w:p w:rsidR="00BE40F8" w:rsidRPr="0027632B" w:rsidRDefault="00BE40F8" w:rsidP="00B233DE">
                        <w:pPr>
                          <w:spacing w:line="221"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Використання грошових пере</w:t>
                        </w:r>
                        <w:r>
                          <w:rPr>
                            <w:rFonts w:ascii="Times New Roman" w:hAnsi="Times New Roman" w:cs="Times New Roman"/>
                            <w:sz w:val="15"/>
                            <w:szCs w:val="15"/>
                          </w:rPr>
                          <w:t>-</w:t>
                        </w:r>
                        <w:r w:rsidRPr="0027632B">
                          <w:rPr>
                            <w:rFonts w:ascii="Times New Roman" w:hAnsi="Times New Roman" w:cs="Times New Roman"/>
                            <w:sz w:val="15"/>
                            <w:szCs w:val="15"/>
                          </w:rPr>
                          <w:t xml:space="preserve">казів для фінансування розвитку людського потенціалу </w:t>
                        </w:r>
                      </w:p>
                    </w:txbxContent>
                  </v:textbox>
                </v:shape>
                <v:shape id="Text Box 847" o:spid="_x0000_s1950" type="#_x0000_t202" style="position:absolute;left:12532;top:7843;width:3033;height: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 xml:space="preserve">Пільгові умови інвестицій </w:t>
                        </w:r>
                      </w:p>
                    </w:txbxContent>
                  </v:textbox>
                </v:shape>
                <v:shape id="Text Box 848" o:spid="_x0000_s1951" type="#_x0000_t202" style="position:absolute;left:12532;top:8126;width:3033;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">
                  <v:textbox inset="0,0,0,0">
                    <w:txbxContent>
                      <w:p w:rsidR="00BE40F8" w:rsidRPr="0027632B" w:rsidRDefault="00BE40F8" w:rsidP="00B233DE">
                        <w:pPr>
                          <w:ind w:firstLine="0"/>
                          <w:rPr>
                            <w:rFonts w:ascii="Times New Roman" w:hAnsi="Times New Roman" w:cs="Times New Roman"/>
                            <w:sz w:val="15"/>
                            <w:szCs w:val="15"/>
                          </w:rPr>
                        </w:pPr>
                        <w:r w:rsidRPr="0027632B">
                          <w:rPr>
                            <w:rFonts w:ascii="Times New Roman" w:hAnsi="Times New Roman" w:cs="Times New Roman"/>
                            <w:sz w:val="15"/>
                            <w:szCs w:val="15"/>
                          </w:rPr>
                          <w:t>Створення венчурних фондів участю мігрантів</w:t>
                        </w:r>
                      </w:p>
                    </w:txbxContent>
                  </v:textbox>
                </v:shape>
                <v:shape id="Text Box 849" o:spid="_x0000_s1952" type="#_x0000_t202" style="position:absolute;left:12531;top:8419;width:3033;height:8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">
                  <v:textbox inset="0,0,0,0">
                    <w:txbxContent>
                      <w:p w:rsidR="00BE40F8" w:rsidRPr="002570C4"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 xml:space="preserve">Надання </w:t>
                        </w:r>
                        <w:r>
                          <w:rPr>
                            <w:rFonts w:ascii="Times New Roman" w:hAnsi="Times New Roman" w:cs="Times New Roman"/>
                            <w:sz w:val="15"/>
                            <w:szCs w:val="15"/>
                          </w:rPr>
                          <w:t xml:space="preserve">мігрантам особливих </w:t>
                        </w:r>
                        <w:r w:rsidRPr="002570C4">
                          <w:rPr>
                            <w:rFonts w:ascii="Times New Roman" w:hAnsi="Times New Roman" w:cs="Times New Roman"/>
                            <w:spacing w:val="-8"/>
                            <w:sz w:val="15"/>
                            <w:szCs w:val="15"/>
                          </w:rPr>
                          <w:t>прав участі у національних проек-</w:t>
                        </w:r>
                        <w:r w:rsidRPr="002570C4">
                          <w:rPr>
                            <w:rFonts w:ascii="Times New Roman" w:hAnsi="Times New Roman" w:cs="Times New Roman"/>
                            <w:sz w:val="15"/>
                            <w:szCs w:val="15"/>
                          </w:rPr>
                          <w:t>тах розвитку інфраструктури</w:t>
                        </w:r>
                      </w:p>
                    </w:txbxContent>
                  </v:textbox>
                </v:shape>
                <v:shape id="Text Box 850" o:spid="_x0000_s1953" type="#_x0000_t202" style="position:absolute;left:1031;top:1734;width:3090;height: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" filled="f" stroked="f">
                  <v:fill opacity="0"/>
                  <v:textbox inset="0,0,0,0">
                    <w:txbxContent>
                      <w:p w:rsidR="00BE40F8" w:rsidRPr="0027632B" w:rsidRDefault="00BE40F8" w:rsidP="00B233DE">
                        <w:pPr>
                          <w:rPr>
                            <w:rFonts w:ascii="Times New Roman" w:hAnsi="Times New Roman" w:cs="Times New Roman"/>
                            <w:i/>
                            <w:sz w:val="15"/>
                            <w:szCs w:val="15"/>
                          </w:rPr>
                        </w:pPr>
                        <w:r w:rsidRPr="0027632B">
                          <w:rPr>
                            <w:rFonts w:ascii="Times New Roman" w:hAnsi="Times New Roman" w:cs="Times New Roman"/>
                            <w:i/>
                            <w:sz w:val="15"/>
                            <w:szCs w:val="15"/>
                          </w:rPr>
                          <w:t>Позитивні</w:t>
                        </w:r>
                      </w:p>
                    </w:txbxContent>
                  </v:textbox>
                </v:shape>
                <v:shape id="Text Box 851" o:spid="_x0000_s1954" type="#_x0000_t202" style="position:absolute;left:1035;top:7639;width:3090;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" stroked="f">
                  <v:fill opacity="0"/>
                  <v:textbox inset="1.42589mm,0,1.42589mm,0">
                    <w:txbxContent>
                      <w:p w:rsidR="00BE40F8" w:rsidRPr="0027632B" w:rsidRDefault="00BE40F8" w:rsidP="00B233DE">
                        <w:pPr>
                          <w:ind w:firstLine="0"/>
                          <w:jc w:val="center"/>
                          <w:rPr>
                            <w:rFonts w:ascii="Times New Roman" w:hAnsi="Times New Roman" w:cs="Times New Roman"/>
                            <w:i/>
                            <w:sz w:val="15"/>
                            <w:szCs w:val="15"/>
                          </w:rPr>
                        </w:pPr>
                        <w:r w:rsidRPr="0027632B">
                          <w:rPr>
                            <w:rFonts w:ascii="Times New Roman" w:hAnsi="Times New Roman" w:cs="Times New Roman"/>
                            <w:i/>
                            <w:sz w:val="15"/>
                            <w:szCs w:val="15"/>
                          </w:rPr>
                          <w:t>Негативні</w:t>
                        </w:r>
                      </w:p>
                    </w:txbxContent>
                  </v:textbox>
                </v:shape>
                <v:shape id="Text Box 852" o:spid="_x0000_s1955" type="#_x0000_t202" style="position:absolute;left:4292;top:1734;width:344;height:81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">
                  <v:textbox inset="0,0,0,0">
                    <w:txbxContent>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Ф</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о</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р</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м</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у</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в</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а</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н</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н</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я</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г</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л</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о</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б</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а</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л</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ь</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н</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о</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г</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о</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р</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и</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н</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к</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 xml:space="preserve">у </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п</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р</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а</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ц</w:t>
                        </w:r>
                      </w:p>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і</w:t>
                        </w:r>
                      </w:p>
                    </w:txbxContent>
                  </v:textbox>
                </v:shape>
                <v:group id="Group 866" o:spid="_x0000_s1956" style="position:absolute;left:1031;top:1219;width:14591;height:515" coordorigin="4866,2269" coordsize="7650,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">
                  <v:shape id="Text Box 867" o:spid="_x0000_s1957" type="#_x0000_t202" style="position:absolute;left:4866;top:2269;width:1890;height: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">
                    <v:textbox inset="0,0,0,0">
                      <w:txbxContent>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Наслідки міграційного перероз-поділу ЛП на сучасному етапі</w:t>
                          </w:r>
                        </w:p>
                      </w:txbxContent>
                    </v:textbox>
                  </v:shape>
                  <v:shape id="Text Box 868" o:spid="_x0000_s1958" type="#_x0000_t202" style="position:absolute;left:8106;top:2269;width:4410;height: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" strokeweight="1pt">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Інструменти міграційного перерозподілу людського потенціалу</w:t>
                          </w:r>
                        </w:p>
                      </w:txbxContent>
                    </v:textbox>
                  </v:shape>
                  <v:shape id="AutoShape 869" o:spid="_x0000_s1959" type="#_x0000_t34" style="position:absolute;left:8060;top:20;width:1;height:4500;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" adj="-1090800" strokeweight="1.5pt">
                    <v:stroke endarrow="block"/>
                  </v:shape>
                </v:group>
                <v:shape id="Text Box 870" o:spid="_x0000_s1960" type="#_x0000_t202" style="position:absolute;left:12360;top:2701;width:3203;height: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">
                  <v:textbox inset="0,0,0,0">
                    <w:txbxContent>
                      <w:p w:rsidR="00BE40F8" w:rsidRPr="0027632B" w:rsidRDefault="00BE40F8" w:rsidP="00B233DE">
                        <w:pPr>
                          <w:spacing w:line="221"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Відбір за преференційною системою (візовий режим)</w:t>
                        </w:r>
                      </w:p>
                    </w:txbxContent>
                  </v:textbox>
                </v:shape>
                <v:shape id="Text Box 871" o:spid="_x0000_s1961" type="#_x0000_t202" style="position:absolute;left:1031;top:6164;width:3094;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">
                  <v:textbox inset=".4mm,0,.4mm,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 xml:space="preserve">Розширення споживання </w:t>
                        </w:r>
                      </w:p>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у країнах призначення</w:t>
                        </w:r>
                      </w:p>
                    </w:txbxContent>
                  </v:textbox>
                </v:shape>
                <v:shape id="Text Box 872" o:spid="_x0000_s1962" type="#_x0000_t202" style="position:absolute;left:10579;top:9320;width:2880;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">
                  <v:textbox inset="2.41453mm,0,2.41453mm,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Наукові мережі мігрантів</w:t>
                        </w:r>
                      </w:p>
                      <w:p w:rsidR="00BE40F8" w:rsidRPr="0027632B" w:rsidRDefault="00BE40F8" w:rsidP="00B233DE">
                        <w:pPr>
                          <w:rPr>
                            <w:rFonts w:ascii="Times New Roman" w:hAnsi="Times New Roman" w:cs="Times New Roman"/>
                            <w:sz w:val="15"/>
                            <w:szCs w:val="15"/>
                          </w:rPr>
                        </w:pPr>
                      </w:p>
                    </w:txbxContent>
                  </v:textbox>
                </v:shape>
                <v:shape id="Text Box 873" o:spid="_x0000_s1963" type="#_x0000_t202" style="position:absolute;left:4807;top:6712;width:859;height:27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" stroked="f">
                  <v:fill opacity="0"/>
                  <v:textbox style="layout-flow:vertical;mso-layout-flow-alt:bottom-to-top"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Послаблення негативного впливу на формування ЛП</w:t>
                        </w:r>
                      </w:p>
                    </w:txbxContent>
                  </v:textbox>
                </v:shape>
                <v:shape id="Text Box 874" o:spid="_x0000_s1964" type="#_x0000_t202" style="position:absolute;left:9784;top:7879;width:2231;height:12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">
                  <v:textbox inset="0,0,0,0">
                    <w:txbxContent>
                      <w:p w:rsidR="00BE40F8" w:rsidRPr="009B2E34" w:rsidRDefault="00BE40F8" w:rsidP="00B233DE">
                        <w:pPr>
                          <w:ind w:firstLine="0"/>
                          <w:jc w:val="center"/>
                          <w:rPr>
                            <w:rFonts w:ascii="Times New Roman" w:hAnsi="Times New Roman" w:cs="Times New Roman"/>
                            <w:sz w:val="15"/>
                            <w:szCs w:val="15"/>
                          </w:rPr>
                        </w:pPr>
                        <w:r w:rsidRPr="009B2E34">
                          <w:rPr>
                            <w:rFonts w:ascii="Times New Roman" w:hAnsi="Times New Roman" w:cs="Times New Roman"/>
                            <w:sz w:val="15"/>
                            <w:szCs w:val="15"/>
                          </w:rPr>
                          <w:t>Використання транс</w:t>
                        </w:r>
                        <w:r>
                          <w:rPr>
                            <w:rFonts w:ascii="Times New Roman" w:hAnsi="Times New Roman" w:cs="Times New Roman"/>
                            <w:sz w:val="15"/>
                            <w:szCs w:val="15"/>
                          </w:rPr>
                          <w:t>-</w:t>
                        </w:r>
                        <w:r w:rsidRPr="009B2E34">
                          <w:rPr>
                            <w:rFonts w:ascii="Times New Roman" w:hAnsi="Times New Roman" w:cs="Times New Roman"/>
                            <w:sz w:val="15"/>
                            <w:szCs w:val="15"/>
                          </w:rPr>
                          <w:t>національних зв’язків мігрантів для підви</w:t>
                        </w:r>
                        <w:r>
                          <w:rPr>
                            <w:rFonts w:ascii="Times New Roman" w:hAnsi="Times New Roman" w:cs="Times New Roman"/>
                            <w:sz w:val="15"/>
                            <w:szCs w:val="15"/>
                          </w:rPr>
                          <w:t>-</w:t>
                        </w:r>
                        <w:r w:rsidRPr="009B2E34">
                          <w:rPr>
                            <w:rFonts w:ascii="Times New Roman" w:hAnsi="Times New Roman" w:cs="Times New Roman"/>
                            <w:sz w:val="15"/>
                            <w:szCs w:val="15"/>
                          </w:rPr>
                          <w:t>щення люд</w:t>
                        </w:r>
                        <w:r>
                          <w:rPr>
                            <w:rFonts w:ascii="Times New Roman" w:hAnsi="Times New Roman" w:cs="Times New Roman"/>
                            <w:sz w:val="15"/>
                            <w:szCs w:val="15"/>
                          </w:rPr>
                          <w:t xml:space="preserve">ського потенціалу </w:t>
                        </w:r>
                      </w:p>
                    </w:txbxContent>
                  </v:textbox>
                </v:shape>
                <v:shape id="Text Box 875" o:spid="_x0000_s1965" type="#_x0000_t202" style="position:absolute;left:7210;top:2249;width:8468;height:7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" filled="f" strokeweight="1.5pt">
                  <v:stroke dashstyle="dash"/>
                  <v:textbox inset="2.41453mm,1.2073mm,2.41453mm,1.2073mm">
                    <w:txbxContent>
                      <w:p w:rsidR="00BE40F8" w:rsidRPr="0027632B" w:rsidRDefault="00BE40F8" w:rsidP="00B233DE">
                        <w:pPr>
                          <w:rPr>
                            <w:rFonts w:ascii="Times New Roman" w:hAnsi="Times New Roman" w:cs="Times New Roman"/>
                            <w:sz w:val="15"/>
                            <w:szCs w:val="15"/>
                          </w:rPr>
                        </w:pPr>
                      </w:p>
                    </w:txbxContent>
                  </v:textbox>
                </v:shape>
                <v:shape id="AutoShape 876" o:spid="_x0000_s1966" type="#_x0000_t35" style="position:absolute;left:5237;top:8511;width:4547;height:988;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" adj="940,25756" strokeweight="1.5pt">
                  <v:stroke endarrow="block"/>
                </v:shape>
                <v:line id="Line 877" o:spid="_x0000_s1967" style="position:absolute;visibility:visible;mso-wrap-style:square" from="8241,1562" to="8241,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"/>
                <v:line id="Line 878" o:spid="_x0000_s1968" style="position:absolute;visibility:visible;mso-wrap-style:square" from="10815,1562" to="10815,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"/>
                <v:line id="Line 879" o:spid="_x0000_s1969" style="position:absolute;visibility:visible;mso-wrap-style:square" from="13905,1562" to="13905,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"/>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880" o:spid="_x0000_s1970" type="#_x0000_t88" style="position:absolute;left:4707;top:2077;width:172;height:4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"/>
                <v:shape id="AutoShape 881" o:spid="_x0000_s1971" type="#_x0000_t88" style="position:absolute;left:4807;top:6884;width:172;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"/>
                <v:shape id="Text Box 882" o:spid="_x0000_s1972" type="#_x0000_t202" style="position:absolute;left:5666;top:2476;width:1201;height:28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">
                  <v:textbox style="layout-flow:vertical;mso-layout-flow-alt:bottom-to-top"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Задоволення освітньо-кваліфікаційної і демо-графічної потреб у ЛП</w:t>
                        </w:r>
                      </w:p>
                    </w:txbxContent>
                  </v:textbox>
                </v:shape>
                <v:shape id="Text Box 883" o:spid="_x0000_s1973" type="#_x0000_t202" style="position:absolute;left:5666;top:5682;width:1201;height:36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">
                  <v:textbox style="layout-flow:vertical;mso-layout-flow-alt:bottom-to-top"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 xml:space="preserve">Підвищення показників </w:t>
                        </w:r>
                      </w:p>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міграційної привабливості</w:t>
                        </w:r>
                      </w:p>
                    </w:txbxContent>
                  </v:textbox>
                </v:shape>
                <v:shape id="AutoShape 884" o:spid="_x0000_s1974" type="#_x0000_t33" style="position:absolute;left:4080;top:5125;width:2803;height:369;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" strokeweight="1.5pt">
                  <v:stroke endarrow="block"/>
                </v:shape>
                <v:line id="Line 885" o:spid="_x0000_s1975" style="position:absolute;visibility:visible;mso-wrap-style:square" from="5494,8600" to="5666,8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" strokeweight="1.5pt">
                  <v:stroke endarrow="block"/>
                </v:line>
                <v:shape id="AutoShape 886" o:spid="_x0000_s1976" type="#_x0000_t34" style="position:absolute;left:5322;top:4394;width:344;height:30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" strokeweight="1.5pt">
                  <v:stroke endarrow="block"/>
                </v:shape>
                <v:line id="Line 887" o:spid="_x0000_s1977" style="position:absolute;visibility:visible;mso-wrap-style:square" from="5322,3107" to="5666,3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" strokeweight="1.5pt">
                  <v:stroke endarrow="block"/>
                </v:line>
                <v:line id="Line 888" o:spid="_x0000_s1978" style="position:absolute;flip:x;visibility:visible;mso-wrap-style:square" from="7039,1391" to="7211,13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" strokeweight="1.5pt">
                  <v:stroke endarrow="block"/>
                </v:line>
                <v:line id="Line 889" o:spid="_x0000_s1979" style="position:absolute;flip:y;visibility:visible;mso-wrap-style:square" from="6009,5339" to="6011,56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" strokeweight="1.5pt">
                  <v:stroke endarrow="block"/>
                </v:line>
                <v:line id="Line 890" o:spid="_x0000_s1980" style="position:absolute;visibility:visible;mso-wrap-style:square" from="6524,5339" to="6526,56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" strokeweight="1.5pt">
                  <v:stroke endarrow="block"/>
                </v:line>
                <v:line id="Line 891" o:spid="_x0000_s1981" style="position:absolute;visibility:visible;mso-wrap-style:square" from="6181,2252" to="6183,2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" strokeweight="1.5pt">
                  <v:stroke endarrow="block"/>
                </v:line>
                <v:line id="Line 892" o:spid="_x0000_s1982" style="position:absolute;flip:x;visibility:visible;mso-wrap-style:square" from="6867,2365" to="7211,2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" strokeweight="1.5pt">
                  <v:stroke endarrow="block"/>
                </v:line>
                <v:line id="Line 893" o:spid="_x0000_s1983" style="position:absolute;flip:x;visibility:visible;mso-wrap-style:square" from="6867,4137" to="7211,4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" strokeweight="1.5pt">
                  <v:stroke endarrow="block"/>
                </v:line>
                <v:line id="Line 894" o:spid="_x0000_s1984" style="position:absolute;flip:x;visibility:visible;mso-wrap-style:square" from="6867,5854" to="7211,58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" strokeweight="1.5pt">
                  <v:stroke endarrow="block"/>
                </v:line>
                <v:line id="Line 895" o:spid="_x0000_s1985" style="position:absolute;flip:x;visibility:visible;mso-wrap-style:square" from="6867,8085" to="7211,80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" strokeweight="1.5pt">
                  <v:stroke endarrow="block"/>
                </v:line>
                <v:line id="Line 896" o:spid="_x0000_s1986" style="position:absolute;visibility:visible;mso-wrap-style:square" from="13905,5064" to="13907,5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"/>
                <v:line id="Line 897" o:spid="_x0000_s1987" style="position:absolute;visibility:visible;mso-wrap-style:square" from="13905,6136" to="13907,6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"/>
                <v:shape id="Text Box 898" o:spid="_x0000_s1988" type="#_x0000_t202" style="position:absolute;left:7211;top:1734;width:2231;height:5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">
                  <v:stroke dashstyle="longDash"/>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 xml:space="preserve">Міждержавний </w:t>
                        </w:r>
                      </w:p>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і державний рівень</w:t>
                        </w:r>
                      </w:p>
                    </w:txbxContent>
                  </v:textbox>
                </v:shape>
                <v:shape id="Text Box 899" o:spid="_x0000_s1989" type="#_x0000_t202" style="position:absolute;left:9785;top:1734;width:2343;height:5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">
                  <v:stroke dashstyle="longDash"/>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Адміністративно-правовий рівень</w:t>
                        </w:r>
                      </w:p>
                    </w:txbxContent>
                  </v:textbox>
                </v:shape>
                <v:shape id="Text Box 900" o:spid="_x0000_s1990" type="#_x0000_t202" style="position:absolute;left:7211;top:2249;width:2231;height:4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">
                  <v:textbox inset="0,0,0,0">
                    <w:txbxContent>
                      <w:p w:rsidR="00BE40F8" w:rsidRPr="0027632B" w:rsidRDefault="00BE40F8" w:rsidP="00B233DE">
                        <w:pPr>
                          <w:spacing w:line="230" w:lineRule="auto"/>
                          <w:ind w:firstLine="0"/>
                          <w:jc w:val="center"/>
                          <w:rPr>
                            <w:rFonts w:ascii="Times New Roman" w:hAnsi="Times New Roman" w:cs="Times New Roman"/>
                            <w:spacing w:val="-4"/>
                            <w:sz w:val="15"/>
                            <w:szCs w:val="15"/>
                          </w:rPr>
                        </w:pPr>
                        <w:r w:rsidRPr="0027632B">
                          <w:rPr>
                            <w:rFonts w:ascii="Times New Roman" w:hAnsi="Times New Roman" w:cs="Times New Roman"/>
                            <w:spacing w:val="-4"/>
                            <w:sz w:val="15"/>
                            <w:szCs w:val="15"/>
                          </w:rPr>
                          <w:t>Дво- і</w:t>
                        </w:r>
                        <w:r w:rsidRPr="0027632B">
                          <w:rPr>
                            <w:rFonts w:ascii="Times New Roman" w:hAnsi="Times New Roman" w:cs="Times New Roman"/>
                            <w:b/>
                            <w:spacing w:val="-4"/>
                            <w:sz w:val="15"/>
                            <w:szCs w:val="15"/>
                          </w:rPr>
                          <w:t xml:space="preserve"> </w:t>
                        </w:r>
                        <w:r w:rsidRPr="0027632B">
                          <w:rPr>
                            <w:rFonts w:ascii="Times New Roman" w:hAnsi="Times New Roman" w:cs="Times New Roman"/>
                            <w:spacing w:val="-4"/>
                            <w:sz w:val="15"/>
                            <w:szCs w:val="15"/>
                          </w:rPr>
                          <w:t>багатосторонні угоди</w:t>
                        </w:r>
                      </w:p>
                    </w:txbxContent>
                  </v:textbox>
                </v:shape>
                <v:shape id="Text Box 901" o:spid="_x0000_s1991" type="#_x0000_t202" style="position:absolute;left:7554;top:2764;width:1888;height: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">
                  <v:textbox inset="0,0,0,0">
                    <w:txbxContent>
                      <w:p w:rsidR="00BE40F8" w:rsidRPr="0027632B" w:rsidRDefault="00BE40F8" w:rsidP="00B233DE">
                        <w:pPr>
                          <w:spacing w:line="230" w:lineRule="auto"/>
                          <w:ind w:firstLine="0"/>
                          <w:jc w:val="center"/>
                          <w:rPr>
                            <w:rFonts w:ascii="Times New Roman" w:hAnsi="Times New Roman" w:cs="Times New Roman"/>
                            <w:sz w:val="15"/>
                            <w:szCs w:val="15"/>
                          </w:rPr>
                        </w:pPr>
                        <w:r w:rsidRPr="0027632B">
                          <w:rPr>
                            <w:rFonts w:ascii="Times New Roman" w:hAnsi="Times New Roman" w:cs="Times New Roman"/>
                            <w:spacing w:val="-8"/>
                            <w:sz w:val="15"/>
                            <w:szCs w:val="15"/>
                          </w:rPr>
                          <w:t>преференційний в’їзд</w:t>
                        </w:r>
                        <w:r w:rsidRPr="0027632B">
                          <w:rPr>
                            <w:rFonts w:ascii="Times New Roman" w:hAnsi="Times New Roman" w:cs="Times New Roman"/>
                            <w:sz w:val="15"/>
                            <w:szCs w:val="15"/>
                          </w:rPr>
                          <w:t xml:space="preserve"> </w:t>
                        </w:r>
                        <w:r w:rsidRPr="0027632B">
                          <w:rPr>
                            <w:rFonts w:ascii="Times New Roman" w:hAnsi="Times New Roman" w:cs="Times New Roman"/>
                            <w:spacing w:val="-4"/>
                            <w:sz w:val="15"/>
                            <w:szCs w:val="15"/>
                          </w:rPr>
                          <w:t>спеціальних катего-</w:t>
                        </w:r>
                        <w:r w:rsidRPr="0027632B">
                          <w:rPr>
                            <w:rFonts w:ascii="Times New Roman" w:hAnsi="Times New Roman" w:cs="Times New Roman"/>
                            <w:sz w:val="15"/>
                            <w:szCs w:val="15"/>
                          </w:rPr>
                          <w:t>рій працівників</w:t>
                        </w:r>
                      </w:p>
                    </w:txbxContent>
                  </v:textbox>
                </v:shape>
                <v:shape id="Text Box 902" o:spid="_x0000_s1992" type="#_x0000_t202" style="position:absolute;left:7553;top:3451;width:1889;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">
                  <v:textbox inset="0,0,0,0">
                    <w:txbxContent>
                      <w:p w:rsidR="00BE40F8" w:rsidRPr="0027632B" w:rsidRDefault="00BE40F8" w:rsidP="00B233DE">
                        <w:pPr>
                          <w:spacing w:line="235"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спеціальні заходи</w:t>
                        </w:r>
                        <w:r w:rsidRPr="0027632B">
                          <w:rPr>
                            <w:rFonts w:ascii="Times New Roman" w:hAnsi="Times New Roman" w:cs="Times New Roman"/>
                            <w:spacing w:val="-8"/>
                            <w:sz w:val="15"/>
                            <w:szCs w:val="15"/>
                          </w:rPr>
                          <w:t xml:space="preserve"> тим</w:t>
                        </w:r>
                        <w:r w:rsidRPr="0027632B">
                          <w:rPr>
                            <w:rFonts w:ascii="Times New Roman" w:hAnsi="Times New Roman" w:cs="Times New Roman"/>
                            <w:sz w:val="15"/>
                            <w:szCs w:val="15"/>
                          </w:rPr>
                          <w:t xml:space="preserve">часової міграцї </w:t>
                        </w:r>
                      </w:p>
                    </w:txbxContent>
                  </v:textbox>
                </v:shape>
                <v:group id="Group 903" o:spid="_x0000_s1993" style="position:absolute;left:7382;top:2480;width:172;height:1116" coordorigin="8196,2989" coordsize="90,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">
                  <v:shape id="AutoShape 904" o:spid="_x0000_s1994" type="#_x0000_t34" style="position:absolute;left:8196;top:2989;width:90;height:234;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" adj="-21600">
                    <v:stroke endarrow="block"/>
                  </v:shape>
                  <v:shape id="AutoShape 905" o:spid="_x0000_s1995" type="#_x0000_t34" style="position:absolute;left:8196;top:2989;width:90;height:585;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" adj="-21600">
                    <v:stroke endarrow="block"/>
                  </v:shape>
                </v:group>
                <v:shape id="Text Box 906" o:spid="_x0000_s1996" type="#_x0000_t202" style="position:absolute;left:7221;top:3908;width:2231;height:2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">
                  <v:textbox inset="0,0,0,0">
                    <w:txbxContent>
                      <w:p w:rsidR="00BE40F8" w:rsidRPr="0027632B" w:rsidRDefault="00BE40F8" w:rsidP="00B233DE">
                        <w:pPr>
                          <w:ind w:firstLine="0"/>
                          <w:jc w:val="center"/>
                          <w:rPr>
                            <w:rFonts w:ascii="Times New Roman" w:hAnsi="Times New Roman" w:cs="Times New Roman"/>
                            <w:spacing w:val="-6"/>
                            <w:sz w:val="15"/>
                            <w:szCs w:val="15"/>
                          </w:rPr>
                        </w:pPr>
                        <w:r w:rsidRPr="0027632B">
                          <w:rPr>
                            <w:rFonts w:ascii="Times New Roman" w:hAnsi="Times New Roman" w:cs="Times New Roman"/>
                            <w:spacing w:val="-6"/>
                            <w:sz w:val="15"/>
                            <w:szCs w:val="15"/>
                          </w:rPr>
                          <w:t>Інтеграція ринків праці</w:t>
                        </w:r>
                      </w:p>
                    </w:txbxContent>
                  </v:textbox>
                </v:shape>
                <v:shape id="Text Box 907" o:spid="_x0000_s1997" type="#_x0000_t202" style="position:absolute;left:7554;top:4196;width:1898;height:5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">
                  <v:textbox inset="0,0,0,0">
                    <w:txbxContent>
                      <w:p w:rsidR="00BE40F8" w:rsidRPr="0027632B" w:rsidRDefault="00BE40F8" w:rsidP="00B233DE">
                        <w:pPr>
                          <w:spacing w:line="226"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взаємне визнання професій</w:t>
                        </w:r>
                      </w:p>
                    </w:txbxContent>
                  </v:textbox>
                </v:shape>
                <v:shape id="Text Box 908" o:spid="_x0000_s1998" type="#_x0000_t202" style="position:absolute;left:7554;top:4771;width:1898;height: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">
                  <v:textbox inset="0,0,0,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z w:val="15"/>
                            <w:szCs w:val="15"/>
                          </w:rPr>
                          <w:t>уніфікація освіти</w:t>
                        </w:r>
                      </w:p>
                    </w:txbxContent>
                  </v:textbox>
                </v:shape>
                <v:shape id="Text Box 909" o:spid="_x0000_s1999" type="#_x0000_t202" style="position:absolute;left:7545;top:5064;width:1907;height: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">
                  <v:textbox inset="0,0,0,0">
                    <w:txbxContent>
                      <w:p w:rsidR="00BE40F8" w:rsidRPr="0027632B" w:rsidRDefault="00BE40F8" w:rsidP="00B233DE">
                        <w:pPr>
                          <w:spacing w:line="228"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гармонізація соці-ального захисту</w:t>
                        </w:r>
                      </w:p>
                    </w:txbxContent>
                  </v:textbox>
                </v:shape>
                <v:shape id="Text Box 910" o:spid="_x0000_s2000" type="#_x0000_t202" style="position:absolute;left:7220;top:5665;width:2231;height: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">
                  <v:textbox inset="0,0,0,0">
                    <w:txbxContent>
                      <w:p w:rsidR="00BE40F8" w:rsidRPr="0027632B" w:rsidRDefault="00BE40F8" w:rsidP="00B233DE">
                        <w:pPr>
                          <w:spacing w:line="221"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Соціально-економічні реформи</w:t>
                        </w:r>
                      </w:p>
                    </w:txbxContent>
                  </v:textbox>
                </v:shape>
                <v:shape id="Text Box 911" o:spid="_x0000_s2001" type="#_x0000_t202" style="position:absolute;left:7554;top:6079;width:1888;height:4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">
                  <v:textbox inset="0,0,0,0">
                    <w:txbxContent>
                      <w:p w:rsidR="00BE40F8" w:rsidRPr="0027632B" w:rsidRDefault="00BE40F8" w:rsidP="00B233DE">
                        <w:pPr>
                          <w:spacing w:line="221" w:lineRule="auto"/>
                          <w:ind w:firstLine="0"/>
                          <w:jc w:val="center"/>
                          <w:rPr>
                            <w:rFonts w:ascii="Times New Roman" w:hAnsi="Times New Roman" w:cs="Times New Roman"/>
                            <w:spacing w:val="-2"/>
                            <w:sz w:val="15"/>
                            <w:szCs w:val="15"/>
                          </w:rPr>
                        </w:pPr>
                        <w:r w:rsidRPr="0027632B">
                          <w:rPr>
                            <w:rFonts w:ascii="Times New Roman" w:hAnsi="Times New Roman" w:cs="Times New Roman"/>
                            <w:spacing w:val="-2"/>
                            <w:sz w:val="15"/>
                            <w:szCs w:val="15"/>
                          </w:rPr>
                          <w:t>ефективне функціонування ринку праці</w:t>
                        </w:r>
                      </w:p>
                    </w:txbxContent>
                  </v:textbox>
                </v:shape>
                <v:shape id="Text Box 912" o:spid="_x0000_s2002" type="#_x0000_t202" style="position:absolute;left:7554;top:6485;width:1888;height:4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">
                  <v:textbox inset=".47531mm,0,.47531mm,0">
                    <w:txbxContent>
                      <w:p w:rsidR="00BE40F8" w:rsidRPr="0027632B" w:rsidRDefault="00BE40F8" w:rsidP="00B233DE">
                        <w:pPr>
                          <w:ind w:firstLine="0"/>
                          <w:jc w:val="center"/>
                          <w:rPr>
                            <w:rFonts w:ascii="Times New Roman" w:hAnsi="Times New Roman" w:cs="Times New Roman"/>
                            <w:sz w:val="15"/>
                            <w:szCs w:val="15"/>
                          </w:rPr>
                        </w:pPr>
                        <w:r w:rsidRPr="0027632B">
                          <w:rPr>
                            <w:rFonts w:ascii="Times New Roman" w:hAnsi="Times New Roman" w:cs="Times New Roman"/>
                            <w:spacing w:val="-6"/>
                            <w:sz w:val="15"/>
                            <w:szCs w:val="15"/>
                          </w:rPr>
                          <w:t>підвищення трудо-</w:t>
                        </w:r>
                        <w:r w:rsidRPr="0027632B">
                          <w:rPr>
                            <w:rFonts w:ascii="Times New Roman" w:hAnsi="Times New Roman" w:cs="Times New Roman"/>
                            <w:sz w:val="15"/>
                            <w:szCs w:val="15"/>
                          </w:rPr>
                          <w:t>вого потенціалу</w:t>
                        </w:r>
                      </w:p>
                    </w:txbxContent>
                  </v:textbox>
                </v:shape>
                <v:shape id="Text Box 913" o:spid="_x0000_s2003" type="#_x0000_t202" style="position:absolute;left:7554;top:6983;width:1888;height:6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">
                  <v:textbox inset="0,0,0,0">
                    <w:txbxContent>
                      <w:p w:rsidR="00BE40F8" w:rsidRPr="0027632B" w:rsidRDefault="00BE40F8" w:rsidP="00B233DE">
                        <w:pPr>
                          <w:spacing w:line="221"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сприятливі для розвитку бізнесу перетворення</w:t>
                        </w:r>
                      </w:p>
                    </w:txbxContent>
                  </v:textbox>
                </v:shape>
                <v:group id="Group 914" o:spid="_x0000_s2004" style="position:absolute;left:7222;top:4049;width:354;height:1150" coordorigin="8122,3756" coordsize="186,6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">
                  <v:shape id="AutoShape 915" o:spid="_x0000_s2005" type="#_x0000_t34" style="position:absolute;left:8122;top:3756;width:175;height:226;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" adj="1188">
                    <v:stroke endarrow="block"/>
                  </v:shape>
                  <v:shape id="AutoShape 916" o:spid="_x0000_s2006" type="#_x0000_t34" style="position:absolute;left:8089;top:3928;width:257;height:18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" adj="21684">
                    <v:stroke endarrow="block"/>
                  </v:shape>
                  <v:shape id="AutoShape 917" o:spid="_x0000_s2007" type="#_x0000_t33" style="position:absolute;left:7988;top:4042;width:455;height:18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">
                    <v:stroke endarrow="block"/>
                  </v:shape>
                </v:group>
                <v:group id="Group 918" o:spid="_x0000_s2008" style="position:absolute;left:7210;top:7857;width:2233;height:1752" coordorigin="8105,5749" coordsize="1171,9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">
                  <v:shape id="Text Box 919" o:spid="_x0000_s2009" type="#_x0000_t202" style="position:absolute;left:8105;top:5749;width:1170;height:2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">
                    <v:textbox inset="0,0,0,0">
                      <w:txbxContent>
                        <w:p w:rsidR="00BE40F8" w:rsidRPr="0027632B" w:rsidRDefault="00BE40F8" w:rsidP="00B233DE">
                          <w:pPr>
                            <w:spacing w:line="221" w:lineRule="auto"/>
                            <w:ind w:firstLine="0"/>
                            <w:jc w:val="center"/>
                            <w:rPr>
                              <w:rFonts w:ascii="Times New Roman" w:hAnsi="Times New Roman" w:cs="Times New Roman"/>
                              <w:sz w:val="15"/>
                              <w:szCs w:val="15"/>
                            </w:rPr>
                          </w:pPr>
                          <w:r w:rsidRPr="0027632B">
                            <w:rPr>
                              <w:rFonts w:ascii="Times New Roman" w:hAnsi="Times New Roman" w:cs="Times New Roman"/>
                              <w:sz w:val="15"/>
                              <w:szCs w:val="15"/>
                            </w:rPr>
                            <w:t>Політика активного залучення мігрантів</w:t>
                          </w:r>
                        </w:p>
                      </w:txbxContent>
                    </v:textbox>
                  </v:shape>
                  <v:shape id="Text Box 920" o:spid="_x0000_s2010" type="#_x0000_t202" style="position:absolute;left:8286;top:5962;width:990;height:7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">
                    <v:textbox inset="0,0,0,0">
                      <w:txbxContent>
                        <w:p w:rsidR="00BE40F8" w:rsidRPr="0027632B" w:rsidRDefault="00BE40F8" w:rsidP="00B233DE">
                          <w:pPr>
                            <w:ind w:firstLine="0"/>
                            <w:jc w:val="center"/>
                            <w:rPr>
                              <w:rFonts w:ascii="Times New Roman" w:hAnsi="Times New Roman" w:cs="Times New Roman"/>
                              <w:sz w:val="15"/>
                              <w:szCs w:val="15"/>
                              <w:lang w:val="en-US"/>
                            </w:rPr>
                          </w:pPr>
                          <w:r w:rsidRPr="0027632B">
                            <w:rPr>
                              <w:rFonts w:ascii="Times New Roman" w:hAnsi="Times New Roman" w:cs="Times New Roman"/>
                              <w:sz w:val="15"/>
                              <w:szCs w:val="15"/>
                            </w:rPr>
                            <w:t>розповсюдження інформа</w:t>
                          </w:r>
                          <w:r>
                            <w:rPr>
                              <w:rFonts w:ascii="Times New Roman" w:hAnsi="Times New Roman" w:cs="Times New Roman"/>
                              <w:sz w:val="15"/>
                              <w:szCs w:val="15"/>
                            </w:rPr>
                            <w:t>ції про</w:t>
                          </w:r>
                          <w:r w:rsidRPr="0027632B">
                            <w:rPr>
                              <w:rFonts w:ascii="Times New Roman" w:hAnsi="Times New Roman" w:cs="Times New Roman"/>
                              <w:sz w:val="15"/>
                              <w:szCs w:val="15"/>
                            </w:rPr>
                            <w:t xml:space="preserve"> рі</w:t>
                          </w:r>
                          <w:r>
                            <w:rPr>
                              <w:rFonts w:ascii="Times New Roman" w:hAnsi="Times New Roman" w:cs="Times New Roman"/>
                              <w:sz w:val="15"/>
                              <w:szCs w:val="15"/>
                            </w:rPr>
                            <w:t>-</w:t>
                          </w:r>
                          <w:r w:rsidRPr="00FE162D">
                            <w:rPr>
                              <w:rFonts w:ascii="Times New Roman" w:hAnsi="Times New Roman" w:cs="Times New Roman"/>
                              <w:spacing w:val="-6"/>
                              <w:sz w:val="15"/>
                              <w:szCs w:val="15"/>
                            </w:rPr>
                            <w:t>вень життя, можли-вості працевлашту-</w:t>
                          </w:r>
                          <w:r w:rsidRPr="0027632B">
                            <w:rPr>
                              <w:rFonts w:ascii="Times New Roman" w:hAnsi="Times New Roman" w:cs="Times New Roman"/>
                              <w:sz w:val="15"/>
                              <w:szCs w:val="15"/>
                            </w:rPr>
                            <w:t xml:space="preserve">вання і освіти </w:t>
                          </w:r>
                        </w:p>
                      </w:txbxContent>
                    </v:textbox>
                  </v:shape>
                  <v:shape id="AutoShape 921" o:spid="_x0000_s2011" type="#_x0000_t34" style="position:absolute;left:8105;top:5855;width:181;height:459;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" adj="-64">
                    <v:stroke endarrow="block"/>
                  </v:shape>
                </v:group>
                <v:shape id="Text Box 922" o:spid="_x0000_s2012" type="#_x0000_t202" style="position:absolute;left:9785;top:2421;width:2232;height:5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">
                  <v:textbox inset="0,0,0,0">
                    <w:txbxContent>
                      <w:p w:rsidR="00BE40F8" w:rsidRPr="009B2E34" w:rsidRDefault="00BE40F8" w:rsidP="00B233DE">
                        <w:pPr>
                          <w:ind w:firstLine="0"/>
                          <w:jc w:val="center"/>
                          <w:rPr>
                            <w:rFonts w:ascii="Times New Roman" w:hAnsi="Times New Roman" w:cs="Times New Roman"/>
                            <w:sz w:val="15"/>
                            <w:szCs w:val="15"/>
                          </w:rPr>
                        </w:pPr>
                        <w:r w:rsidRPr="009B2E34">
                          <w:rPr>
                            <w:rFonts w:ascii="Times New Roman" w:hAnsi="Times New Roman" w:cs="Times New Roman"/>
                            <w:sz w:val="15"/>
                            <w:szCs w:val="15"/>
                          </w:rPr>
                          <w:t>Заходи селективної</w:t>
                        </w:r>
                        <w:r w:rsidRPr="0027632B">
                          <w:rPr>
                            <w:rFonts w:ascii="Times New Roman" w:hAnsi="Times New Roman" w:cs="Times New Roman"/>
                            <w:b/>
                            <w:sz w:val="15"/>
                            <w:szCs w:val="15"/>
                          </w:rPr>
                          <w:t xml:space="preserve"> </w:t>
                        </w:r>
                        <w:r w:rsidRPr="009B2E34">
                          <w:rPr>
                            <w:rFonts w:ascii="Times New Roman" w:hAnsi="Times New Roman" w:cs="Times New Roman"/>
                            <w:sz w:val="15"/>
                            <w:szCs w:val="15"/>
                          </w:rPr>
                          <w:t>імміграції</w:t>
                        </w:r>
                      </w:p>
                    </w:txbxContent>
                  </v:textbox>
                </v:shape>
                <v:shape id="Text Box 923" o:spid="_x0000_s2013" type="#_x0000_t202" style="position:absolute;left:9785;top:3451;width:2232;height:5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">
                  <v:textbox inset="0,0,0,0">
                    <w:txbxContent>
                      <w:p w:rsidR="00BE40F8" w:rsidRPr="009B2E34" w:rsidRDefault="00BE40F8" w:rsidP="00B233DE">
                        <w:pPr>
                          <w:ind w:firstLine="0"/>
                          <w:jc w:val="center"/>
                          <w:rPr>
                            <w:rFonts w:ascii="Times New Roman" w:hAnsi="Times New Roman" w:cs="Times New Roman"/>
                            <w:sz w:val="15"/>
                            <w:szCs w:val="15"/>
                          </w:rPr>
                        </w:pPr>
                        <w:r w:rsidRPr="009B2E34">
                          <w:rPr>
                            <w:rFonts w:ascii="Times New Roman" w:hAnsi="Times New Roman" w:cs="Times New Roman"/>
                            <w:sz w:val="15"/>
                            <w:szCs w:val="15"/>
                          </w:rPr>
                          <w:t>Політика сприяння рееміграції</w:t>
                        </w:r>
                      </w:p>
                    </w:txbxContent>
                  </v:textbox>
                </v:shape>
                <v:shape id="Text Box 924" o:spid="_x0000_s2014" type="#_x0000_t202" style="position:absolute;left:9785;top:5900;width:2232;height:5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">
                  <v:textbox inset="0,0,0,0">
                    <w:txbxContent>
                      <w:p w:rsidR="00BE40F8" w:rsidRPr="009B2E34" w:rsidRDefault="00BE40F8" w:rsidP="00B233DE">
                        <w:pPr>
                          <w:ind w:firstLine="0"/>
                          <w:jc w:val="center"/>
                          <w:rPr>
                            <w:rFonts w:ascii="Times New Roman" w:hAnsi="Times New Roman" w:cs="Times New Roman"/>
                            <w:sz w:val="15"/>
                            <w:szCs w:val="15"/>
                          </w:rPr>
                        </w:pPr>
                        <w:r w:rsidRPr="009B2E34">
                          <w:rPr>
                            <w:rFonts w:ascii="Times New Roman" w:hAnsi="Times New Roman" w:cs="Times New Roman"/>
                            <w:sz w:val="15"/>
                            <w:szCs w:val="15"/>
                          </w:rPr>
                          <w:t>Стимулювання тимчасо</w:t>
                        </w:r>
                        <w:r>
                          <w:rPr>
                            <w:rFonts w:ascii="Times New Roman" w:hAnsi="Times New Roman" w:cs="Times New Roman"/>
                            <w:sz w:val="15"/>
                            <w:szCs w:val="15"/>
                          </w:rPr>
                          <w:t xml:space="preserve">вої </w:t>
                        </w:r>
                        <w:r w:rsidRPr="009B2E34">
                          <w:rPr>
                            <w:rFonts w:ascii="Times New Roman" w:hAnsi="Times New Roman" w:cs="Times New Roman"/>
                            <w:sz w:val="15"/>
                            <w:szCs w:val="15"/>
                          </w:rPr>
                          <w:t>міграції</w:t>
                        </w:r>
                      </w:p>
                    </w:txbxContent>
                  </v:textbox>
                </v:shape>
                <v:shape id="Text Box 925" o:spid="_x0000_s2015" type="#_x0000_t202" style="position:absolute;left:9785;top:6621;width:2232;height:8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">
                  <v:textbox inset="0,0,0,0">
                    <w:txbxContent>
                      <w:p w:rsidR="00BE40F8" w:rsidRPr="009B2E34" w:rsidRDefault="00BE40F8" w:rsidP="00B233DE">
                        <w:pPr>
                          <w:spacing w:line="221" w:lineRule="auto"/>
                          <w:ind w:firstLine="0"/>
                          <w:jc w:val="center"/>
                          <w:rPr>
                            <w:rFonts w:ascii="Times New Roman" w:hAnsi="Times New Roman" w:cs="Times New Roman"/>
                            <w:sz w:val="15"/>
                            <w:szCs w:val="15"/>
                          </w:rPr>
                        </w:pPr>
                        <w:r w:rsidRPr="009B2E34">
                          <w:rPr>
                            <w:rFonts w:ascii="Times New Roman" w:hAnsi="Times New Roman" w:cs="Times New Roman"/>
                            <w:sz w:val="15"/>
                            <w:szCs w:val="15"/>
                          </w:rPr>
                          <w:t>Спільне фінансування підготовки кваліфіко</w:t>
                        </w:r>
                        <w:r>
                          <w:rPr>
                            <w:rFonts w:ascii="Times New Roman" w:hAnsi="Times New Roman" w:cs="Times New Roman"/>
                            <w:sz w:val="15"/>
                            <w:szCs w:val="15"/>
                          </w:rPr>
                          <w:t>-</w:t>
                        </w:r>
                        <w:r w:rsidRPr="009B2E34">
                          <w:rPr>
                            <w:rFonts w:ascii="Times New Roman" w:hAnsi="Times New Roman" w:cs="Times New Roman"/>
                            <w:sz w:val="15"/>
                            <w:szCs w:val="15"/>
                          </w:rPr>
                          <w:t>ваних</w:t>
                        </w:r>
                        <w:r w:rsidRPr="0027632B">
                          <w:rPr>
                            <w:rFonts w:ascii="Times New Roman" w:hAnsi="Times New Roman" w:cs="Times New Roman"/>
                            <w:b/>
                            <w:sz w:val="15"/>
                            <w:szCs w:val="15"/>
                          </w:rPr>
                          <w:t xml:space="preserve"> </w:t>
                        </w:r>
                        <w:r w:rsidRPr="009B2E34">
                          <w:rPr>
                            <w:rFonts w:ascii="Times New Roman" w:hAnsi="Times New Roman" w:cs="Times New Roman"/>
                            <w:sz w:val="15"/>
                            <w:szCs w:val="15"/>
                          </w:rPr>
                          <w:t>кадрів в країні походження</w:t>
                        </w:r>
                      </w:p>
                    </w:txbxContent>
                  </v:textbox>
                </v:shape>
                <v:line id="Line 928" o:spid="_x0000_s2016" style="position:absolute;visibility:visible;mso-wrap-style:square" from="8242,5524" to="8242,5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"/>
                <v:line id="Line 929" o:spid="_x0000_s2017" style="position:absolute;visibility:visible;mso-wrap-style:square" from="8241,7639" to="8242,7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"/>
                <v:line id="Line 931" o:spid="_x0000_s2018" style="position:absolute;visibility:visible;mso-wrap-style:square" from="10815,2936" to="10817,34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"/>
                <v:line id="Line 932" o:spid="_x0000_s2019" style="position:absolute;visibility:visible;mso-wrap-style:square" from="10815,3966" to="10817,48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"/>
                <v:line id="Line 933" o:spid="_x0000_s2020" style="position:absolute;visibility:visible;mso-wrap-style:square" from="10815,5303" to="10817,5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"/>
                <v:line id="Line 934" o:spid="_x0000_s2021" style="position:absolute;visibility:visible;mso-wrap-style:square" from="10815,6397" to="10817,66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"/>
                <v:line id="Line 935" o:spid="_x0000_s2022" style="position:absolute;visibility:visible;mso-wrap-style:square" from="10815,7519" to="10819,78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"/>
                <v:shape id="AutoShape 936" o:spid="_x0000_s2023" type="#_x0000_t34" style="position:absolute;left:9442;top:2486;width:343;height:19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">
                  <v:stroke endarrow="block"/>
                </v:shape>
                <v:line id="Line 937" o:spid="_x0000_s2024" style="position:absolute;visibility:visible;mso-wrap-style:square" from="9442,2764" to="9785,2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">
                  <v:stroke endarrow="block"/>
                </v:line>
                <v:shape id="AutoShape 938" o:spid="_x0000_s2025" type="#_x0000_t34" style="position:absolute;left:9442;top:2486;width:343;height:122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">
                  <v:stroke endarrow="block"/>
                </v:shape>
                <v:shape id="AutoShape 939" o:spid="_x0000_s2026" type="#_x0000_t34" style="position:absolute;left:9441;top:3679;width:344;height:2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">
                  <v:stroke endarrow="block"/>
                </v:shape>
                <v:shape id="AutoShape 940" o:spid="_x0000_s2027" type="#_x0000_t34" style="position:absolute;left:9441;top:3679;width:344;height:247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">
                  <v:stroke endarrow="block"/>
                </v:shape>
                <v:shape id="AutoShape 941" o:spid="_x0000_s2028" type="#_x0000_t34" style="position:absolute;left:9442;top:2486;width:343;height:458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">
                  <v:stroke endarrow="block"/>
                </v:shape>
                <v:line id="Line 942" o:spid="_x0000_s2029" style="position:absolute;visibility:visible;mso-wrap-style:square" from="13905,2077" to="13905,22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"/>
                <v:line id="Line 943" o:spid="_x0000_s2030" style="position:absolute;visibility:visible;mso-wrap-style:square" from="13905,3559" to="13907,3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"/>
                <v:line id="Line 944" o:spid="_x0000_s2031" style="position:absolute;visibility:visible;mso-wrap-style:square" from="13905,6979" to="13907,71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"/>
                <v:group id="Group 945" o:spid="_x0000_s2032" style="position:absolute;left:12412;top:7503;width:180;height:1350" coordorigin="10802,6401" coordsize="94,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">
                  <v:shape id="AutoShape 946" o:spid="_x0000_s2033" type="#_x0000_t34" style="position:absolute;left:10806;top:6409;width:90;height:270;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" adj="-14401">
                    <v:stroke endarrow="block"/>
                  </v:shape>
                  <v:shape id="AutoShape 947" o:spid="_x0000_s2034" type="#_x0000_t34" style="position:absolute;left:10806;top:6409;width:90;height:450;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" adj="-14401">
                    <v:stroke endarrow="block"/>
                  </v:shape>
                  <v:shape id="AutoShape 948" o:spid="_x0000_s2035" type="#_x0000_t34" style="position:absolute;left:10802;top:6401;width:90;height:708;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" adj="-68613">
                    <v:stroke endarrow="block"/>
                  </v:shape>
                </v:group>
                <v:shape id="AutoShape 949" o:spid="_x0000_s2036" type="#_x0000_t34" style="position:absolute;left:12017;top:2369;width:343;height:309;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" adj="10769">
                  <v:stroke endarrow="block"/>
                </v:shape>
                <v:shape id="AutoShape 950" o:spid="_x0000_s2037" type="#_x0000_t34" style="position:absolute;left:12017;top:2606;width:343;height:7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" adj="10769">
                  <v:stroke endarrow="block"/>
                </v:shape>
                <v:shape id="AutoShape 951" o:spid="_x0000_s2038" type="#_x0000_t34" style="position:absolute;left:12017;top:2678;width:343;height:53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" adj="10769">
                  <v:stroke endarrow="block"/>
                </v:shape>
                <v:shape id="AutoShape 952" o:spid="_x0000_s2039" type="#_x0000_t34" style="position:absolute;left:12017;top:2678;width:343;height:75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" adj="10769">
                  <v:stroke endarrow="block"/>
                </v:shape>
                <v:shape id="AutoShape 953" o:spid="_x0000_s2040" type="#_x0000_t34" style="position:absolute;left:12017;top:3708;width:362;height:14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">
                  <v:stroke endarrow="block"/>
                </v:shape>
                <v:shape id="AutoShape 954" o:spid="_x0000_s2041" type="#_x0000_t34" style="position:absolute;left:12017;top:3708;width:362;height:37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">
                  <v:stroke endarrow="block"/>
                </v:shape>
                <v:shape id="AutoShape 955" o:spid="_x0000_s2042" type="#_x0000_t34" style="position:absolute;left:12017;top:3708;width:362;height:56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">
                  <v:stroke endarrow="block"/>
                </v:shape>
                <v:shape id="AutoShape 956" o:spid="_x0000_s2043" type="#_x0000_t34" style="position:absolute;left:12017;top:3708;width:362;height:89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">
                  <v:stroke endarrow="block"/>
                </v:shape>
                <v:shape id="AutoShape 957" o:spid="_x0000_s2044" type="#_x0000_t34" style="position:absolute;left:12017;top:3708;width:362;height:122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">
                  <v:stroke endarrow="block"/>
                </v:shape>
                <v:shape id="AutoShape 958" o:spid="_x0000_s2045" type="#_x0000_t34" style="position:absolute;left:12017;top:5078;width:362;height:38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">
                  <v:stroke endarrow="block"/>
                </v:shape>
                <v:shape id="AutoShape 959" o:spid="_x0000_s2046" type="#_x0000_t34" style="position:absolute;left:12017;top:5078;width:362;height:70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">
                  <v:stroke endarrow="block"/>
                </v:shape>
                <v:shape id="AutoShape 960" o:spid="_x0000_s2047" type="#_x0000_t34" style="position:absolute;left:12017;top:5078;width:362;height:93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">
                  <v:stroke endarrow="block"/>
                </v:shape>
                <v:shape id="AutoShape 961" o:spid="_x0000_s2048" type="#_x0000_t34" style="position:absolute;left:12017;top:6157;width:343;height:28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" adj="10769">
                  <v:stroke endarrow="block"/>
                </v:shape>
                <v:shape id="AutoShape 962" o:spid="_x0000_s2049" type="#_x0000_t34" style="position:absolute;left:12017;top:6157;width:343;height:51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" adj="10769">
                  <v:stroke endarrow="block"/>
                </v:shape>
                <v:shape id="AutoShape 963" o:spid="_x0000_s2050" type="#_x0000_t34" style="position:absolute;left:12017;top:6157;width:343;height:71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" adj="10769">
                  <v:stroke endarrow="block"/>
                </v:shape>
                <v:shape id="AutoShape 964" o:spid="_x0000_s2051" type="#_x0000_t34" style="position:absolute;left:12019;top:7519;width:343;height:858;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">
                  <v:stroke endarrow="block"/>
                </v:shape>
                <v:shape id="AutoShape 965" o:spid="_x0000_s2052" type="#_x0000_t34" style="position:absolute;left:12017;top:2678;width:343;height:22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" adj="10769">
                  <v:stroke endarrow="block"/>
                </v:shape>
                <v:line id="Line 966" o:spid="_x0000_s2053" style="position:absolute;visibility:visible;mso-wrap-style:square" from="9442,5854" to="9614,58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"/>
                <v:line id="Line 967" o:spid="_x0000_s2054" style="position:absolute;visibility:visible;mso-wrap-style:square" from="10939,9140" to="10941,93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">
                  <v:stroke endarrow="block"/>
                </v:line>
                <v:group id="Group 969" o:spid="_x0000_s2055" style="position:absolute;left:7211;top:6026;width:343;height:1062" coordorigin="8106,3786" coordsize="180,5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">
                  <v:shape id="AutoShape 970" o:spid="_x0000_s2056" type="#_x0000_t34" style="position:absolute;left:8106;top:3786;width:180;height:152;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" adj="0">
                    <v:stroke endarrow="block"/>
                  </v:shape>
                  <v:shape id="AutoShape 971" o:spid="_x0000_s2057" type="#_x0000_t34" style="position:absolute;left:8067;top:3928;width:257;height:18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" adj="21684">
                    <v:stroke endarrow="block"/>
                  </v:shape>
                  <v:shape id="AutoShape 972" o:spid="_x0000_s2058" type="#_x0000_t33" style="position:absolute;left:7969;top:4026;width:454;height:18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">
                    <v:stroke endarrow="block"/>
                  </v:shape>
                </v:group>
                <v:shape id="Text Box 973" o:spid="_x0000_s2059" type="#_x0000_t202" style="position:absolute;left:9785;top:4820;width:2232;height:5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">
                  <v:textbox inset="0,0,0,0">
                    <w:txbxContent>
                      <w:p w:rsidR="00BE40F8" w:rsidRPr="009B2E34" w:rsidRDefault="00BE40F8" w:rsidP="00B233DE">
                        <w:pPr>
                          <w:ind w:firstLine="0"/>
                          <w:jc w:val="center"/>
                          <w:rPr>
                            <w:rFonts w:ascii="Times New Roman" w:hAnsi="Times New Roman" w:cs="Times New Roman"/>
                            <w:sz w:val="15"/>
                            <w:szCs w:val="15"/>
                          </w:rPr>
                        </w:pPr>
                        <w:r w:rsidRPr="009B2E34">
                          <w:rPr>
                            <w:rFonts w:ascii="Times New Roman" w:hAnsi="Times New Roman" w:cs="Times New Roman"/>
                            <w:sz w:val="15"/>
                            <w:szCs w:val="15"/>
                          </w:rPr>
                          <w:t>Адаптація і інтеграція мігрантів</w:t>
                        </w:r>
                      </w:p>
                    </w:txbxContent>
                  </v:textbox>
                </v:shape>
                <v:shape id="AutoShape 974" o:spid="_x0000_s2060" type="#_x0000_t35" style="position:absolute;left:8606;top:3316;width:221;height:4196;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" adj="21404" strokeweight="1.5pt">
                  <v:stroke endarrow="block"/>
                </v:shape>
                <v:shape id="AutoShape 975" o:spid="_x0000_s2061" type="#_x0000_t35" style="position:absolute;left:8716;top:5644;width:223;height:3970;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" adj="21404" strokeweight="1.5pt">
                  <v:stroke endarrow="block"/>
                </v:shape>
              </v:group>
            </w:pict>
          </mc:Fallback>
        </mc:AlternateContent>
      </w: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center"/>
        <w:rPr>
          <w:rFonts w:ascii="Times New Roman" w:hAnsi="Times New Roman" w:cs="Times New Roman"/>
          <w:b/>
          <w:sz w:val="21"/>
          <w:szCs w:val="21"/>
        </w:rPr>
      </w:pPr>
    </w:p>
    <w:p w:rsidR="00B233DE" w:rsidRDefault="00B233DE" w:rsidP="00B233DE">
      <w:pPr>
        <w:tabs>
          <w:tab w:val="left" w:pos="900"/>
        </w:tabs>
        <w:ind w:firstLine="720"/>
        <w:jc w:val="center"/>
        <w:rPr>
          <w:rFonts w:ascii="Times New Roman" w:hAnsi="Times New Roman" w:cs="Times New Roman"/>
          <w:sz w:val="21"/>
          <w:szCs w:val="21"/>
        </w:rPr>
      </w:pPr>
      <w:r w:rsidRPr="00281F9A">
        <w:rPr>
          <w:rFonts w:ascii="Times New Roman" w:hAnsi="Times New Roman" w:cs="Times New Roman"/>
          <w:b/>
          <w:sz w:val="21"/>
          <w:szCs w:val="21"/>
        </w:rPr>
        <w:t xml:space="preserve">Рис. </w:t>
      </w:r>
      <w:r>
        <w:rPr>
          <w:rFonts w:ascii="Times New Roman" w:hAnsi="Times New Roman" w:cs="Times New Roman"/>
          <w:b/>
          <w:sz w:val="21"/>
          <w:szCs w:val="21"/>
        </w:rPr>
        <w:t>4</w:t>
      </w:r>
      <w:r w:rsidRPr="00281F9A">
        <w:rPr>
          <w:rFonts w:ascii="Times New Roman" w:hAnsi="Times New Roman" w:cs="Times New Roman"/>
          <w:b/>
          <w:sz w:val="21"/>
          <w:szCs w:val="21"/>
        </w:rPr>
        <w:t>.10</w:t>
      </w:r>
      <w:r>
        <w:rPr>
          <w:rFonts w:ascii="Times New Roman" w:hAnsi="Times New Roman" w:cs="Times New Roman"/>
          <w:b/>
          <w:sz w:val="21"/>
          <w:szCs w:val="21"/>
        </w:rPr>
        <w:t>.</w:t>
      </w:r>
      <w:r w:rsidRPr="00281F9A">
        <w:rPr>
          <w:rFonts w:ascii="Times New Roman" w:hAnsi="Times New Roman" w:cs="Times New Roman"/>
          <w:b/>
          <w:sz w:val="21"/>
          <w:szCs w:val="21"/>
        </w:rPr>
        <w:t xml:space="preserve"> Система формування людського потенціалу за рахунок міграції</w:t>
      </w:r>
    </w:p>
    <w:p w:rsidR="00B233DE" w:rsidRDefault="00B233DE" w:rsidP="00B233DE">
      <w:pPr>
        <w:tabs>
          <w:tab w:val="left" w:pos="900"/>
        </w:tabs>
        <w:ind w:firstLine="720"/>
        <w:jc w:val="both"/>
        <w:rPr>
          <w:rFonts w:ascii="Times New Roman" w:hAnsi="Times New Roman" w:cs="Times New Roman"/>
          <w:sz w:val="21"/>
          <w:szCs w:val="21"/>
        </w:rPr>
        <w:sectPr w:rsidR="00B233DE" w:rsidSect="0023489B">
          <w:pgSz w:w="11907" w:h="8392" w:orient="landscape" w:code="11"/>
          <w:pgMar w:top="1134" w:right="1134" w:bottom="1134" w:left="1134" w:header="709" w:footer="709" w:gutter="0"/>
          <w:cols w:space="708"/>
          <w:docGrid w:linePitch="360"/>
        </w:sectPr>
      </w:pPr>
    </w:p>
    <w:p w:rsidR="00B233DE" w:rsidRPr="0082483E" w:rsidRDefault="00B233DE" w:rsidP="00B233DE">
      <w:pPr>
        <w:tabs>
          <w:tab w:val="left" w:pos="900"/>
        </w:tabs>
        <w:ind w:firstLine="720"/>
        <w:jc w:val="both"/>
        <w:rPr>
          <w:rFonts w:ascii="Times New Roman" w:hAnsi="Times New Roman" w:cs="Times New Roman"/>
          <w:sz w:val="21"/>
          <w:szCs w:val="21"/>
        </w:rPr>
      </w:pPr>
      <w:r w:rsidRPr="0082483E">
        <w:rPr>
          <w:rFonts w:ascii="Times New Roman" w:hAnsi="Times New Roman" w:cs="Times New Roman"/>
          <w:sz w:val="21"/>
          <w:szCs w:val="21"/>
        </w:rPr>
        <w:lastRenderedPageBreak/>
        <w:t>Міжнародні договори регулюють питання прав мігрантів, забезпечують їх легальний статус і доступ до ринку праці в країні призначення. На сучасному етапі країни використовують три основні види угод, що регулюють міждержавну трудову міграцію:</w:t>
      </w:r>
    </w:p>
    <w:p w:rsidR="00B233DE" w:rsidRPr="0082483E" w:rsidRDefault="00B233DE" w:rsidP="00B233DE">
      <w:pPr>
        <w:numPr>
          <w:ilvl w:val="0"/>
          <w:numId w:val="16"/>
        </w:numPr>
        <w:tabs>
          <w:tab w:val="clear" w:pos="720"/>
          <w:tab w:val="left" w:pos="993"/>
        </w:tabs>
        <w:ind w:left="0" w:firstLine="720"/>
        <w:jc w:val="both"/>
        <w:rPr>
          <w:rFonts w:ascii="Times New Roman" w:hAnsi="Times New Roman" w:cs="Times New Roman"/>
          <w:sz w:val="21"/>
          <w:szCs w:val="21"/>
        </w:rPr>
      </w:pPr>
      <w:r w:rsidRPr="0082483E">
        <w:rPr>
          <w:rFonts w:ascii="Times New Roman" w:hAnsi="Times New Roman" w:cs="Times New Roman"/>
          <w:sz w:val="21"/>
          <w:szCs w:val="21"/>
        </w:rPr>
        <w:t xml:space="preserve">договори, що передбачають вільні переміщення трудових ресурсів. Прикладами застосування даних договорів є Європейський союз, Європейська економічна зона, </w:t>
      </w:r>
      <w:r w:rsidRPr="0082483E">
        <w:rPr>
          <w:rStyle w:val="aa"/>
          <w:rFonts w:ascii="Times New Roman" w:hAnsi="Times New Roman" w:cs="Times New Roman"/>
          <w:b w:val="0"/>
          <w:i w:val="0"/>
          <w:color w:val="auto"/>
          <w:sz w:val="21"/>
          <w:szCs w:val="21"/>
        </w:rPr>
        <w:t>Австралійсько</w:t>
      </w:r>
      <w:r w:rsidRPr="0082483E">
        <w:rPr>
          <w:rFonts w:ascii="Times New Roman" w:hAnsi="Times New Roman" w:cs="Times New Roman"/>
          <w:b/>
          <w:i/>
          <w:sz w:val="21"/>
          <w:szCs w:val="21"/>
        </w:rPr>
        <w:t>-</w:t>
      </w:r>
      <w:r w:rsidRPr="0082483E">
        <w:rPr>
          <w:rStyle w:val="aa"/>
          <w:rFonts w:ascii="Times New Roman" w:hAnsi="Times New Roman" w:cs="Times New Roman"/>
          <w:b w:val="0"/>
          <w:i w:val="0"/>
          <w:color w:val="auto"/>
          <w:sz w:val="21"/>
          <w:szCs w:val="21"/>
        </w:rPr>
        <w:t>Новозеландська угода</w:t>
      </w:r>
      <w:r w:rsidRPr="0082483E">
        <w:rPr>
          <w:rFonts w:ascii="Times New Roman" w:hAnsi="Times New Roman" w:cs="Times New Roman"/>
          <w:sz w:val="21"/>
          <w:szCs w:val="21"/>
        </w:rPr>
        <w:t xml:space="preserve"> про встановлення тісніших економічних відносин та Спільний ринок Східної та Південної Африки. Подібні договори укладаються між країнами, що, за класифікацією Світового Банку, знаходяться на одному рівні доходів.</w:t>
      </w:r>
    </w:p>
    <w:p w:rsidR="00B233DE" w:rsidRPr="0082483E" w:rsidRDefault="00B233DE" w:rsidP="00B233DE">
      <w:pPr>
        <w:tabs>
          <w:tab w:val="left" w:pos="993"/>
        </w:tabs>
        <w:ind w:firstLine="708"/>
        <w:jc w:val="both"/>
        <w:rPr>
          <w:rFonts w:ascii="Times New Roman" w:hAnsi="Times New Roman" w:cs="Times New Roman"/>
          <w:sz w:val="21"/>
          <w:szCs w:val="21"/>
        </w:rPr>
      </w:pPr>
      <w:r w:rsidRPr="0082483E">
        <w:rPr>
          <w:rFonts w:ascii="Times New Roman" w:hAnsi="Times New Roman" w:cs="Times New Roman"/>
          <w:sz w:val="21"/>
          <w:szCs w:val="21"/>
        </w:rPr>
        <w:t>2)</w:t>
      </w:r>
      <w:r w:rsidRPr="0082483E">
        <w:rPr>
          <w:rFonts w:ascii="Times New Roman" w:hAnsi="Times New Roman" w:cs="Times New Roman"/>
          <w:sz w:val="21"/>
          <w:szCs w:val="21"/>
        </w:rPr>
        <w:tab/>
        <w:t xml:space="preserve">договори, що передбачають вільне переміщення для окремих груп мігрантів у визначених секторах економіки. Наприклад, НАФТА і Карибське співтовариство дозволяють вільне переміщення осіб з визначеною кваліфікацією і у визначених видах діяльності. </w:t>
      </w:r>
      <w:r w:rsidRPr="0082483E">
        <w:rPr>
          <w:rFonts w:ascii="Times New Roman" w:hAnsi="Times New Roman" w:cs="Times New Roman"/>
          <w:spacing w:val="-2"/>
          <w:sz w:val="21"/>
          <w:szCs w:val="21"/>
        </w:rPr>
        <w:t>Договір про всебічну економічну співпрацю між Індією і Сінгапуром спрощує візові обмеження для 127 категорій індійських професіоналів у інформаційних технологіях, медицині, інженерії, бухгалтерському обліку і універси</w:t>
      </w:r>
      <w:r>
        <w:rPr>
          <w:rFonts w:ascii="Times New Roman" w:hAnsi="Times New Roman" w:cs="Times New Roman"/>
          <w:spacing w:val="-2"/>
          <w:sz w:val="21"/>
          <w:szCs w:val="21"/>
        </w:rPr>
        <w:t xml:space="preserve">тетському викладанні </w:t>
      </w:r>
      <w:r w:rsidRPr="0082483E">
        <w:rPr>
          <w:rFonts w:ascii="Times New Roman" w:hAnsi="Times New Roman" w:cs="Times New Roman"/>
          <w:spacing w:val="-2"/>
          <w:sz w:val="21"/>
          <w:szCs w:val="21"/>
        </w:rPr>
        <w:t>[</w:t>
      </w:r>
      <w:r>
        <w:rPr>
          <w:rFonts w:ascii="Times New Roman" w:hAnsi="Times New Roman" w:cs="Times New Roman"/>
          <w:sz w:val="21"/>
          <w:szCs w:val="21"/>
          <w:highlight w:val="yellow"/>
          <w:lang w:val="en-GB"/>
        </w:rPr>
        <w:fldChar w:fldCharType="begin"/>
      </w:r>
      <w:r>
        <w:rPr>
          <w:rFonts w:ascii="Times New Roman" w:hAnsi="Times New Roman" w:cs="Times New Roman"/>
          <w:spacing w:val="-2"/>
          <w:sz w:val="21"/>
          <w:szCs w:val="21"/>
        </w:rPr>
        <w:instrText xml:space="preserve"> REF _Ref435182644 \r \h </w:instrText>
      </w:r>
      <w:r>
        <w:rPr>
          <w:rFonts w:ascii="Times New Roman" w:hAnsi="Times New Roman" w:cs="Times New Roman"/>
          <w:sz w:val="21"/>
          <w:szCs w:val="21"/>
          <w:highlight w:val="yellow"/>
          <w:lang w:val="en-GB"/>
        </w:rPr>
      </w:r>
      <w:r>
        <w:rPr>
          <w:rFonts w:ascii="Times New Roman" w:hAnsi="Times New Roman" w:cs="Times New Roman"/>
          <w:sz w:val="21"/>
          <w:szCs w:val="21"/>
          <w:highlight w:val="yellow"/>
          <w:lang w:val="en-GB"/>
        </w:rPr>
        <w:fldChar w:fldCharType="separate"/>
      </w:r>
      <w:r>
        <w:rPr>
          <w:rFonts w:ascii="Times New Roman" w:hAnsi="Times New Roman" w:cs="Times New Roman"/>
          <w:spacing w:val="-2"/>
          <w:sz w:val="21"/>
          <w:szCs w:val="21"/>
        </w:rPr>
        <w:t>110</w:t>
      </w:r>
      <w:r>
        <w:rPr>
          <w:rFonts w:ascii="Times New Roman" w:hAnsi="Times New Roman" w:cs="Times New Roman"/>
          <w:sz w:val="21"/>
          <w:szCs w:val="21"/>
          <w:highlight w:val="yellow"/>
          <w:lang w:val="en-GB"/>
        </w:rPr>
        <w:fldChar w:fldCharType="end"/>
      </w:r>
      <w:r w:rsidRPr="0082483E">
        <w:rPr>
          <w:rFonts w:ascii="Times New Roman" w:hAnsi="Times New Roman" w:cs="Times New Roman"/>
          <w:spacing w:val="-2"/>
          <w:sz w:val="21"/>
          <w:szCs w:val="21"/>
        </w:rPr>
        <w:t>, с. 386].</w:t>
      </w:r>
      <w:r w:rsidRPr="0082483E">
        <w:rPr>
          <w:rFonts w:ascii="Times New Roman" w:hAnsi="Times New Roman" w:cs="Times New Roman"/>
          <w:sz w:val="21"/>
          <w:szCs w:val="21"/>
        </w:rPr>
        <w:t xml:space="preserve"> Угоди укладаються між країнами різного рівня доходів.</w:t>
      </w:r>
    </w:p>
    <w:p w:rsidR="00B233DE" w:rsidRPr="00B6030C" w:rsidRDefault="00B233DE" w:rsidP="00B233DE">
      <w:pPr>
        <w:numPr>
          <w:ilvl w:val="1"/>
          <w:numId w:val="17"/>
        </w:numPr>
        <w:ind w:left="0" w:firstLine="709"/>
        <w:jc w:val="both"/>
        <w:rPr>
          <w:rFonts w:ascii="Times New Roman" w:hAnsi="Times New Roman" w:cs="Times New Roman"/>
          <w:sz w:val="21"/>
          <w:szCs w:val="21"/>
        </w:rPr>
      </w:pPr>
      <w:r w:rsidRPr="00B6030C">
        <w:rPr>
          <w:rFonts w:ascii="Times New Roman" w:hAnsi="Times New Roman" w:cs="Times New Roman"/>
          <w:sz w:val="21"/>
          <w:szCs w:val="21"/>
        </w:rPr>
        <w:t xml:space="preserve">інші договори трудової мобільності забороняють долучення до ринку праці, але стимулюють тимчасовий в’їзд шляхом спрощення візових процедур і можуть бути початковою стадією для подальшої тісної співпраці. Прикладами даних договорів є </w:t>
      </w:r>
      <w:r w:rsidRPr="00B6030C">
        <w:rPr>
          <w:rStyle w:val="aa"/>
          <w:rFonts w:ascii="Times New Roman" w:hAnsi="Times New Roman" w:cs="Times New Roman"/>
          <w:b w:val="0"/>
          <w:i w:val="0"/>
          <w:color w:val="auto"/>
          <w:sz w:val="21"/>
          <w:szCs w:val="21"/>
        </w:rPr>
        <w:t>Азійсько</w:t>
      </w:r>
      <w:r w:rsidRPr="00B6030C">
        <w:rPr>
          <w:rFonts w:ascii="Times New Roman" w:hAnsi="Times New Roman" w:cs="Times New Roman"/>
          <w:b/>
          <w:i/>
          <w:sz w:val="21"/>
          <w:szCs w:val="21"/>
        </w:rPr>
        <w:t>-</w:t>
      </w:r>
      <w:r w:rsidRPr="00B6030C">
        <w:rPr>
          <w:rStyle w:val="aa"/>
          <w:rFonts w:ascii="Times New Roman" w:hAnsi="Times New Roman" w:cs="Times New Roman"/>
          <w:b w:val="0"/>
          <w:i w:val="0"/>
          <w:color w:val="auto"/>
          <w:sz w:val="21"/>
          <w:szCs w:val="21"/>
        </w:rPr>
        <w:t>Тихоокеанське</w:t>
      </w:r>
      <w:r w:rsidRPr="00B6030C">
        <w:rPr>
          <w:rFonts w:ascii="Times New Roman" w:hAnsi="Times New Roman" w:cs="Times New Roman"/>
          <w:sz w:val="21"/>
          <w:szCs w:val="21"/>
        </w:rPr>
        <w:t xml:space="preserve"> економічне співробітництво, Договір про вільну торгівлю між Йорданією і США, Японсько-Сінгапурський договір про економічне партнерство і </w:t>
      </w:r>
      <w:r w:rsidRPr="00B6030C">
        <w:rPr>
          <w:rStyle w:val="aa"/>
          <w:rFonts w:ascii="Times New Roman" w:hAnsi="Times New Roman" w:cs="Times New Roman"/>
          <w:b w:val="0"/>
          <w:i w:val="0"/>
          <w:color w:val="auto"/>
          <w:sz w:val="21"/>
          <w:szCs w:val="21"/>
        </w:rPr>
        <w:t>Південно</w:t>
      </w:r>
      <w:r w:rsidRPr="00B6030C">
        <w:rPr>
          <w:rFonts w:ascii="Times New Roman" w:hAnsi="Times New Roman" w:cs="Times New Roman"/>
          <w:b/>
          <w:sz w:val="21"/>
          <w:szCs w:val="21"/>
        </w:rPr>
        <w:t>а</w:t>
      </w:r>
      <w:r w:rsidRPr="00B6030C">
        <w:rPr>
          <w:rStyle w:val="aa"/>
          <w:rFonts w:ascii="Times New Roman" w:hAnsi="Times New Roman" w:cs="Times New Roman"/>
          <w:b w:val="0"/>
          <w:i w:val="0"/>
          <w:color w:val="auto"/>
          <w:sz w:val="21"/>
          <w:szCs w:val="21"/>
        </w:rPr>
        <w:t>зіатська асоціація</w:t>
      </w:r>
      <w:r w:rsidRPr="00B6030C">
        <w:rPr>
          <w:rFonts w:ascii="Times New Roman" w:hAnsi="Times New Roman" w:cs="Times New Roman"/>
          <w:i/>
          <w:sz w:val="21"/>
          <w:szCs w:val="21"/>
        </w:rPr>
        <w:t xml:space="preserve"> </w:t>
      </w:r>
      <w:r w:rsidRPr="00B6030C">
        <w:rPr>
          <w:rFonts w:ascii="Times New Roman" w:hAnsi="Times New Roman" w:cs="Times New Roman"/>
          <w:sz w:val="21"/>
          <w:szCs w:val="21"/>
        </w:rPr>
        <w:t>регіонального співробітництва [</w:t>
      </w:r>
      <w:r>
        <w:rPr>
          <w:rStyle w:val="HTML1"/>
          <w:rFonts w:ascii="Times New Roman" w:hAnsi="Times New Roman" w:cs="Times New Roman"/>
          <w:i w:val="0"/>
          <w:sz w:val="21"/>
          <w:szCs w:val="21"/>
          <w:highlight w:val="yellow"/>
          <w:lang w:val="en-US"/>
        </w:rPr>
        <w:fldChar w:fldCharType="begin"/>
      </w:r>
      <w:r>
        <w:rPr>
          <w:rFonts w:ascii="Times New Roman" w:hAnsi="Times New Roman" w:cs="Times New Roman"/>
          <w:sz w:val="21"/>
          <w:szCs w:val="21"/>
        </w:rPr>
        <w:instrText xml:space="preserve"> REF _Ref435186785 \r \h </w:instrText>
      </w:r>
      <w:r>
        <w:rPr>
          <w:rStyle w:val="HTML1"/>
          <w:rFonts w:ascii="Times New Roman" w:hAnsi="Times New Roman" w:cs="Times New Roman"/>
          <w:i w:val="0"/>
          <w:sz w:val="21"/>
          <w:szCs w:val="21"/>
          <w:highlight w:val="yellow"/>
          <w:lang w:val="en-US"/>
        </w:rPr>
      </w:r>
      <w:r>
        <w:rPr>
          <w:rStyle w:val="HTML1"/>
          <w:rFonts w:ascii="Times New Roman" w:hAnsi="Times New Roman" w:cs="Times New Roman"/>
          <w:i w:val="0"/>
          <w:sz w:val="21"/>
          <w:szCs w:val="21"/>
          <w:highlight w:val="yellow"/>
          <w:lang w:val="en-US"/>
        </w:rPr>
        <w:fldChar w:fldCharType="separate"/>
      </w:r>
      <w:r>
        <w:rPr>
          <w:rFonts w:ascii="Times New Roman" w:hAnsi="Times New Roman" w:cs="Times New Roman"/>
          <w:sz w:val="21"/>
          <w:szCs w:val="21"/>
        </w:rPr>
        <w:t>95</w:t>
      </w:r>
      <w:r>
        <w:rPr>
          <w:rStyle w:val="HTML1"/>
          <w:rFonts w:ascii="Times New Roman" w:hAnsi="Times New Roman" w:cs="Times New Roman"/>
          <w:i w:val="0"/>
          <w:sz w:val="21"/>
          <w:szCs w:val="21"/>
          <w:highlight w:val="yellow"/>
          <w:lang w:val="en-US"/>
        </w:rPr>
        <w:fldChar w:fldCharType="end"/>
      </w:r>
      <w:r w:rsidRPr="00B6030C">
        <w:rPr>
          <w:rFonts w:ascii="Times New Roman" w:hAnsi="Times New Roman" w:cs="Times New Roman"/>
          <w:sz w:val="21"/>
          <w:szCs w:val="21"/>
        </w:rPr>
        <w:t>] (табл. </w:t>
      </w:r>
      <w:r>
        <w:rPr>
          <w:rFonts w:ascii="Times New Roman" w:hAnsi="Times New Roman" w:cs="Times New Roman"/>
          <w:sz w:val="21"/>
          <w:szCs w:val="21"/>
        </w:rPr>
        <w:t>4.5</w:t>
      </w:r>
      <w:r w:rsidRPr="00B6030C">
        <w:rPr>
          <w:rFonts w:ascii="Times New Roman" w:hAnsi="Times New Roman" w:cs="Times New Roman"/>
          <w:sz w:val="21"/>
          <w:szCs w:val="21"/>
        </w:rPr>
        <w:t>).</w:t>
      </w:r>
    </w:p>
    <w:p w:rsidR="00B233DE" w:rsidRPr="00B6030C" w:rsidRDefault="00B233DE" w:rsidP="00B233DE">
      <w:pPr>
        <w:tabs>
          <w:tab w:val="left" w:pos="900"/>
        </w:tabs>
        <w:ind w:firstLine="709"/>
        <w:jc w:val="both"/>
        <w:rPr>
          <w:rFonts w:ascii="Times New Roman" w:hAnsi="Times New Roman" w:cs="Times New Roman"/>
          <w:spacing w:val="-4"/>
          <w:sz w:val="21"/>
          <w:szCs w:val="21"/>
        </w:rPr>
      </w:pPr>
      <w:r w:rsidRPr="00B6030C">
        <w:rPr>
          <w:rFonts w:ascii="Times New Roman" w:hAnsi="Times New Roman" w:cs="Times New Roman"/>
          <w:sz w:val="21"/>
          <w:szCs w:val="21"/>
        </w:rPr>
        <w:t>Основною умовою працевлаштування працівників-мігрантів у країнах призначення за даними договорами є їх легальний статус.</w:t>
      </w:r>
    </w:p>
    <w:p w:rsidR="00B233DE" w:rsidRPr="00B6030C" w:rsidRDefault="00B233DE" w:rsidP="00B233DE">
      <w:pPr>
        <w:tabs>
          <w:tab w:val="left" w:pos="900"/>
        </w:tabs>
        <w:ind w:firstLine="709"/>
        <w:jc w:val="both"/>
        <w:rPr>
          <w:rFonts w:ascii="Times New Roman" w:hAnsi="Times New Roman" w:cs="Times New Roman"/>
          <w:sz w:val="21"/>
          <w:szCs w:val="21"/>
        </w:rPr>
      </w:pPr>
      <w:r w:rsidRPr="00B6030C">
        <w:rPr>
          <w:rFonts w:ascii="Times New Roman" w:hAnsi="Times New Roman" w:cs="Times New Roman"/>
          <w:spacing w:val="-4"/>
          <w:sz w:val="21"/>
          <w:szCs w:val="21"/>
        </w:rPr>
        <w:t>Крім того, позитивний вплив реформ на економічне зростання сприяє підвищенню показників міграційної привабливості. В зв’язку з цим важливою є співпраця з країнами походження щодо договірного врегулювання питань повернення тимчасових працівників після закінчення їх контрактів та реінтеграції до вітчизняного ринку праці [</w:t>
      </w:r>
      <w:r>
        <w:rPr>
          <w:rFonts w:ascii="Times New Roman" w:hAnsi="Times New Roman" w:cs="Times New Roman"/>
          <w:sz w:val="21"/>
          <w:szCs w:val="21"/>
          <w:highlight w:val="yellow"/>
        </w:rPr>
        <w:fldChar w:fldCharType="begin"/>
      </w:r>
      <w:r>
        <w:rPr>
          <w:rFonts w:ascii="Times New Roman" w:hAnsi="Times New Roman" w:cs="Times New Roman"/>
          <w:spacing w:val="-4"/>
          <w:sz w:val="21"/>
          <w:szCs w:val="21"/>
        </w:rPr>
        <w:instrText xml:space="preserve"> REF _Ref435186927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pacing w:val="-4"/>
          <w:sz w:val="21"/>
          <w:szCs w:val="21"/>
        </w:rPr>
        <w:t>1</w:t>
      </w:r>
      <w:r>
        <w:rPr>
          <w:rFonts w:ascii="Times New Roman" w:hAnsi="Times New Roman" w:cs="Times New Roman"/>
          <w:sz w:val="21"/>
          <w:szCs w:val="21"/>
          <w:highlight w:val="yellow"/>
        </w:rPr>
        <w:fldChar w:fldCharType="end"/>
      </w:r>
      <w:r w:rsidRPr="00B6030C">
        <w:rPr>
          <w:rFonts w:ascii="Times New Roman" w:hAnsi="Times New Roman" w:cs="Times New Roman"/>
          <w:spacing w:val="-4"/>
          <w:sz w:val="21"/>
          <w:szCs w:val="21"/>
        </w:rPr>
        <w:t xml:space="preserve">, с. 123]. </w:t>
      </w:r>
    </w:p>
    <w:p w:rsidR="00B233DE" w:rsidRPr="0082483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sectPr w:rsidR="00B233DE" w:rsidSect="0023489B">
          <w:pgSz w:w="8392" w:h="11907" w:code="11"/>
          <w:pgMar w:top="1134" w:right="1134" w:bottom="1134" w:left="1134" w:header="709" w:footer="709" w:gutter="0"/>
          <w:cols w:space="708"/>
          <w:docGrid w:linePitch="360"/>
        </w:sectPr>
      </w:pPr>
    </w:p>
    <w:p w:rsidR="00B233DE" w:rsidRPr="00BC45C4" w:rsidRDefault="00B233DE" w:rsidP="00B233DE">
      <w:pPr>
        <w:ind w:firstLine="0"/>
        <w:jc w:val="right"/>
        <w:rPr>
          <w:rFonts w:ascii="Times New Roman" w:hAnsi="Times New Roman" w:cs="Times New Roman"/>
          <w:sz w:val="21"/>
          <w:szCs w:val="21"/>
        </w:rPr>
      </w:pPr>
      <w:r w:rsidRPr="00BC45C4">
        <w:rPr>
          <w:rFonts w:ascii="Times New Roman" w:hAnsi="Times New Roman" w:cs="Times New Roman"/>
          <w:sz w:val="21"/>
          <w:szCs w:val="21"/>
        </w:rPr>
        <w:lastRenderedPageBreak/>
        <w:t xml:space="preserve">Таблиця </w:t>
      </w:r>
      <w:r w:rsidRPr="001F2531">
        <w:rPr>
          <w:rFonts w:ascii="Times New Roman" w:hAnsi="Times New Roman" w:cs="Times New Roman"/>
          <w:sz w:val="21"/>
          <w:szCs w:val="21"/>
          <w:lang w:val="ru-RU"/>
        </w:rPr>
        <w:t>4</w:t>
      </w:r>
      <w:r>
        <w:rPr>
          <w:rFonts w:ascii="Times New Roman" w:hAnsi="Times New Roman" w:cs="Times New Roman"/>
          <w:sz w:val="21"/>
          <w:szCs w:val="21"/>
        </w:rPr>
        <w:t>.</w:t>
      </w:r>
      <w:r w:rsidRPr="001F2531">
        <w:rPr>
          <w:rFonts w:ascii="Times New Roman" w:hAnsi="Times New Roman" w:cs="Times New Roman"/>
          <w:sz w:val="21"/>
          <w:szCs w:val="21"/>
          <w:lang w:val="ru-RU"/>
        </w:rPr>
        <w:t>5</w:t>
      </w:r>
    </w:p>
    <w:p w:rsidR="00B233DE" w:rsidRPr="00BC45C4" w:rsidRDefault="00B233DE" w:rsidP="00B233DE">
      <w:pPr>
        <w:ind w:firstLine="709"/>
        <w:jc w:val="center"/>
        <w:rPr>
          <w:rFonts w:ascii="Times New Roman" w:hAnsi="Times New Roman" w:cs="Times New Roman"/>
          <w:spacing w:val="-4"/>
          <w:sz w:val="21"/>
          <w:szCs w:val="21"/>
        </w:rPr>
      </w:pPr>
      <w:r w:rsidRPr="00BC45C4">
        <w:rPr>
          <w:rFonts w:ascii="Times New Roman" w:hAnsi="Times New Roman" w:cs="Times New Roman"/>
          <w:b/>
          <w:spacing w:val="-4"/>
          <w:sz w:val="21"/>
          <w:szCs w:val="21"/>
        </w:rPr>
        <w:t xml:space="preserve">Інструменти міграційного перерозподілу людського потенціалу, що застосовуються на </w:t>
      </w:r>
      <w:r>
        <w:rPr>
          <w:rFonts w:ascii="Times New Roman" w:hAnsi="Times New Roman" w:cs="Times New Roman"/>
          <w:b/>
          <w:spacing w:val="-4"/>
          <w:sz w:val="21"/>
          <w:szCs w:val="21"/>
        </w:rPr>
        <w:t>міждержавному і державному рівнях</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8"/>
        <w:gridCol w:w="3670"/>
        <w:gridCol w:w="4961"/>
      </w:tblGrid>
      <w:tr w:rsidR="00B233DE" w:rsidRPr="002E12F6" w:rsidTr="0023489B">
        <w:tc>
          <w:tcPr>
            <w:tcW w:w="1008" w:type="dxa"/>
          </w:tcPr>
          <w:p w:rsidR="00B233DE" w:rsidRPr="002E12F6" w:rsidRDefault="00B233DE" w:rsidP="0023489B">
            <w:pPr>
              <w:ind w:left="-108" w:right="-93" w:firstLine="0"/>
              <w:jc w:val="center"/>
              <w:rPr>
                <w:rFonts w:ascii="Times New Roman" w:hAnsi="Times New Roman" w:cs="Times New Roman"/>
                <w:sz w:val="16"/>
                <w:szCs w:val="16"/>
              </w:rPr>
            </w:pPr>
            <w:r w:rsidRPr="002E12F6">
              <w:rPr>
                <w:rFonts w:ascii="Times New Roman" w:hAnsi="Times New Roman" w:cs="Times New Roman"/>
                <w:sz w:val="16"/>
                <w:szCs w:val="16"/>
              </w:rPr>
              <w:t>Інструмент</w:t>
            </w:r>
          </w:p>
        </w:tc>
        <w:tc>
          <w:tcPr>
            <w:tcW w:w="3670" w:type="dxa"/>
          </w:tcPr>
          <w:p w:rsidR="00B233DE" w:rsidRPr="002E12F6" w:rsidRDefault="00B233DE" w:rsidP="0023489B">
            <w:pPr>
              <w:ind w:left="-108" w:right="-93" w:firstLine="0"/>
              <w:jc w:val="center"/>
              <w:rPr>
                <w:rFonts w:ascii="Times New Roman" w:hAnsi="Times New Roman" w:cs="Times New Roman"/>
                <w:sz w:val="16"/>
                <w:szCs w:val="16"/>
              </w:rPr>
            </w:pPr>
            <w:r w:rsidRPr="002E12F6">
              <w:rPr>
                <w:rFonts w:ascii="Times New Roman" w:hAnsi="Times New Roman" w:cs="Times New Roman"/>
                <w:sz w:val="16"/>
                <w:szCs w:val="16"/>
              </w:rPr>
              <w:t>Особливості застосування</w:t>
            </w:r>
          </w:p>
        </w:tc>
        <w:tc>
          <w:tcPr>
            <w:tcW w:w="4961" w:type="dxa"/>
          </w:tcPr>
          <w:p w:rsidR="00B233DE" w:rsidRPr="002E12F6" w:rsidRDefault="00B233DE" w:rsidP="0023489B">
            <w:pPr>
              <w:ind w:left="-108" w:right="-93" w:firstLine="0"/>
              <w:jc w:val="center"/>
              <w:rPr>
                <w:rFonts w:ascii="Times New Roman" w:hAnsi="Times New Roman" w:cs="Times New Roman"/>
                <w:sz w:val="16"/>
                <w:szCs w:val="16"/>
              </w:rPr>
            </w:pPr>
            <w:r w:rsidRPr="002E12F6">
              <w:rPr>
                <w:rFonts w:ascii="Times New Roman" w:hAnsi="Times New Roman" w:cs="Times New Roman"/>
                <w:sz w:val="16"/>
                <w:szCs w:val="16"/>
              </w:rPr>
              <w:t>Міжнародний досвід застосування</w:t>
            </w:r>
          </w:p>
        </w:tc>
      </w:tr>
      <w:tr w:rsidR="00B233DE" w:rsidRPr="002E12F6" w:rsidTr="0023489B">
        <w:tc>
          <w:tcPr>
            <w:tcW w:w="1008" w:type="dxa"/>
          </w:tcPr>
          <w:p w:rsidR="00B233DE" w:rsidRPr="002E12F6" w:rsidRDefault="00B233DE" w:rsidP="0023489B">
            <w:pPr>
              <w:ind w:left="-108" w:right="-93" w:firstLine="0"/>
              <w:jc w:val="center"/>
              <w:rPr>
                <w:rFonts w:ascii="Times New Roman" w:hAnsi="Times New Roman" w:cs="Times New Roman"/>
                <w:sz w:val="16"/>
                <w:szCs w:val="16"/>
              </w:rPr>
            </w:pPr>
            <w:r>
              <w:rPr>
                <w:rFonts w:ascii="Times New Roman" w:hAnsi="Times New Roman" w:cs="Times New Roman"/>
                <w:sz w:val="16"/>
                <w:szCs w:val="16"/>
              </w:rPr>
              <w:t>1</w:t>
            </w:r>
          </w:p>
        </w:tc>
        <w:tc>
          <w:tcPr>
            <w:tcW w:w="3670" w:type="dxa"/>
          </w:tcPr>
          <w:p w:rsidR="00B233DE" w:rsidRPr="002E12F6" w:rsidRDefault="00B233DE" w:rsidP="0023489B">
            <w:pPr>
              <w:ind w:left="-108" w:right="-93" w:firstLine="0"/>
              <w:jc w:val="center"/>
              <w:rPr>
                <w:rFonts w:ascii="Times New Roman" w:hAnsi="Times New Roman" w:cs="Times New Roman"/>
                <w:sz w:val="16"/>
                <w:szCs w:val="16"/>
              </w:rPr>
            </w:pPr>
            <w:r>
              <w:rPr>
                <w:rFonts w:ascii="Times New Roman" w:hAnsi="Times New Roman" w:cs="Times New Roman"/>
                <w:sz w:val="16"/>
                <w:szCs w:val="16"/>
              </w:rPr>
              <w:t>2</w:t>
            </w:r>
          </w:p>
        </w:tc>
        <w:tc>
          <w:tcPr>
            <w:tcW w:w="4961" w:type="dxa"/>
          </w:tcPr>
          <w:p w:rsidR="00B233DE" w:rsidRPr="002E12F6" w:rsidRDefault="00B233DE" w:rsidP="0023489B">
            <w:pPr>
              <w:ind w:left="-108" w:right="-93" w:firstLine="0"/>
              <w:jc w:val="center"/>
              <w:rPr>
                <w:rFonts w:ascii="Times New Roman" w:hAnsi="Times New Roman" w:cs="Times New Roman"/>
                <w:sz w:val="16"/>
                <w:szCs w:val="16"/>
              </w:rPr>
            </w:pPr>
            <w:r>
              <w:rPr>
                <w:rFonts w:ascii="Times New Roman" w:hAnsi="Times New Roman" w:cs="Times New Roman"/>
                <w:sz w:val="16"/>
                <w:szCs w:val="16"/>
              </w:rPr>
              <w:t>3</w:t>
            </w:r>
          </w:p>
        </w:tc>
      </w:tr>
      <w:tr w:rsidR="00B233DE" w:rsidRPr="002E12F6" w:rsidTr="0023489B">
        <w:tc>
          <w:tcPr>
            <w:tcW w:w="1008" w:type="dxa"/>
            <w:vAlign w:val="center"/>
          </w:tcPr>
          <w:p w:rsidR="00B233DE" w:rsidRPr="002E12F6" w:rsidRDefault="00B233DE" w:rsidP="0023489B">
            <w:pPr>
              <w:ind w:left="-108" w:right="-93" w:firstLine="0"/>
              <w:jc w:val="center"/>
              <w:rPr>
                <w:rFonts w:ascii="Times New Roman" w:hAnsi="Times New Roman" w:cs="Times New Roman"/>
                <w:sz w:val="16"/>
                <w:szCs w:val="16"/>
              </w:rPr>
            </w:pPr>
            <w:r w:rsidRPr="002E12F6">
              <w:rPr>
                <w:rFonts w:ascii="Times New Roman" w:hAnsi="Times New Roman" w:cs="Times New Roman"/>
                <w:sz w:val="16"/>
                <w:szCs w:val="16"/>
              </w:rPr>
              <w:t>Двосторонні і багатосторонні угоди</w:t>
            </w:r>
          </w:p>
        </w:tc>
        <w:tc>
          <w:tcPr>
            <w:tcW w:w="3670" w:type="dxa"/>
          </w:tcPr>
          <w:p w:rsidR="00B233DE" w:rsidRPr="002E12F6" w:rsidRDefault="00B233DE" w:rsidP="0023489B">
            <w:pPr>
              <w:tabs>
                <w:tab w:val="left" w:pos="230"/>
              </w:tabs>
              <w:ind w:left="-108" w:right="-93" w:firstLine="0"/>
              <w:jc w:val="both"/>
              <w:rPr>
                <w:rFonts w:ascii="Times New Roman" w:hAnsi="Times New Roman" w:cs="Times New Roman"/>
                <w:sz w:val="16"/>
                <w:szCs w:val="16"/>
              </w:rPr>
            </w:pPr>
            <w:r w:rsidRPr="002E12F6">
              <w:rPr>
                <w:rFonts w:ascii="Times New Roman" w:hAnsi="Times New Roman" w:cs="Times New Roman"/>
                <w:sz w:val="16"/>
                <w:szCs w:val="16"/>
              </w:rPr>
              <w:t>Міжнародні угоди є універсальним інструментом, що регулює застосування інших інструментів міграційного перерозподілу людського потенціалу:</w:t>
            </w:r>
          </w:p>
          <w:p w:rsidR="00B233DE" w:rsidRPr="002E12F6" w:rsidRDefault="00B233DE" w:rsidP="0023489B">
            <w:pPr>
              <w:pStyle w:val="ad"/>
              <w:numPr>
                <w:ilvl w:val="1"/>
                <w:numId w:val="18"/>
              </w:numPr>
              <w:tabs>
                <w:tab w:val="left" w:pos="230"/>
              </w:tabs>
              <w:ind w:left="-123" w:firstLine="141"/>
              <w:jc w:val="both"/>
              <w:rPr>
                <w:rFonts w:ascii="Times New Roman" w:hAnsi="Times New Roman" w:cs="Times New Roman"/>
                <w:sz w:val="16"/>
                <w:szCs w:val="16"/>
              </w:rPr>
            </w:pPr>
            <w:r w:rsidRPr="002E12F6">
              <w:rPr>
                <w:rFonts w:ascii="Times New Roman" w:hAnsi="Times New Roman" w:cs="Times New Roman"/>
                <w:sz w:val="16"/>
                <w:szCs w:val="16"/>
              </w:rPr>
              <w:t>стимулюють тимчасову і зворотну міграцію;</w:t>
            </w:r>
          </w:p>
          <w:p w:rsidR="00B233DE" w:rsidRPr="002E12F6" w:rsidRDefault="00B233DE" w:rsidP="0023489B">
            <w:pPr>
              <w:pStyle w:val="ad"/>
              <w:numPr>
                <w:ilvl w:val="1"/>
                <w:numId w:val="18"/>
              </w:numPr>
              <w:tabs>
                <w:tab w:val="left" w:pos="230"/>
              </w:tabs>
              <w:ind w:left="-123" w:firstLine="141"/>
              <w:jc w:val="both"/>
              <w:rPr>
                <w:rFonts w:ascii="Times New Roman" w:hAnsi="Times New Roman" w:cs="Times New Roman"/>
                <w:sz w:val="16"/>
                <w:szCs w:val="16"/>
              </w:rPr>
            </w:pPr>
            <w:r w:rsidRPr="002E12F6">
              <w:rPr>
                <w:rFonts w:ascii="Times New Roman" w:hAnsi="Times New Roman" w:cs="Times New Roman"/>
                <w:sz w:val="16"/>
                <w:szCs w:val="16"/>
              </w:rPr>
              <w:t>врегульовують питання умов і оплати праці, соціального захисту і пенсійного забезпечення мігрантів;</w:t>
            </w:r>
          </w:p>
          <w:p w:rsidR="00B233DE" w:rsidRPr="002E12F6" w:rsidRDefault="00B233DE" w:rsidP="0023489B">
            <w:pPr>
              <w:pStyle w:val="ad"/>
              <w:numPr>
                <w:ilvl w:val="1"/>
                <w:numId w:val="18"/>
              </w:numPr>
              <w:tabs>
                <w:tab w:val="left" w:pos="230"/>
              </w:tabs>
              <w:ind w:left="-123" w:firstLine="141"/>
              <w:jc w:val="both"/>
              <w:rPr>
                <w:rFonts w:ascii="Times New Roman" w:hAnsi="Times New Roman" w:cs="Times New Roman"/>
                <w:sz w:val="16"/>
                <w:szCs w:val="16"/>
              </w:rPr>
            </w:pPr>
            <w:r w:rsidRPr="002E12F6">
              <w:rPr>
                <w:rFonts w:ascii="Times New Roman" w:hAnsi="Times New Roman" w:cs="Times New Roman"/>
                <w:sz w:val="16"/>
                <w:szCs w:val="16"/>
              </w:rPr>
              <w:t>сприяють уніфікації систем освіти і професій</w:t>
            </w:r>
            <w:r>
              <w:rPr>
                <w:rFonts w:ascii="Times New Roman" w:hAnsi="Times New Roman" w:cs="Times New Roman"/>
                <w:sz w:val="16"/>
                <w:szCs w:val="16"/>
              </w:rPr>
              <w:t>-</w:t>
            </w:r>
            <w:r w:rsidRPr="002E12F6">
              <w:rPr>
                <w:rFonts w:ascii="Times New Roman" w:hAnsi="Times New Roman" w:cs="Times New Roman"/>
                <w:spacing w:val="-4"/>
                <w:sz w:val="16"/>
                <w:szCs w:val="16"/>
              </w:rPr>
              <w:t>ної підготовки шляхом взаємного визнання дипломів;</w:t>
            </w:r>
          </w:p>
          <w:p w:rsidR="00B233DE" w:rsidRPr="002E12F6" w:rsidRDefault="00B233DE" w:rsidP="0023489B">
            <w:pPr>
              <w:numPr>
                <w:ilvl w:val="1"/>
                <w:numId w:val="18"/>
              </w:numPr>
              <w:tabs>
                <w:tab w:val="left" w:pos="230"/>
              </w:tabs>
              <w:ind w:left="-123" w:firstLine="141"/>
              <w:jc w:val="both"/>
              <w:rPr>
                <w:rFonts w:ascii="Times New Roman" w:hAnsi="Times New Roman" w:cs="Times New Roman"/>
                <w:sz w:val="16"/>
                <w:szCs w:val="16"/>
              </w:rPr>
            </w:pPr>
            <w:r w:rsidRPr="002E12F6">
              <w:rPr>
                <w:rFonts w:ascii="Times New Roman" w:hAnsi="Times New Roman" w:cs="Times New Roman"/>
                <w:sz w:val="16"/>
                <w:szCs w:val="16"/>
              </w:rPr>
              <w:t>контролюють процес втечі мізків за допо</w:t>
            </w:r>
            <w:r>
              <w:rPr>
                <w:rFonts w:ascii="Times New Roman" w:hAnsi="Times New Roman" w:cs="Times New Roman"/>
                <w:sz w:val="16"/>
                <w:szCs w:val="16"/>
              </w:rPr>
              <w:t>-</w:t>
            </w:r>
            <w:r w:rsidRPr="002E12F6">
              <w:rPr>
                <w:rFonts w:ascii="Times New Roman" w:hAnsi="Times New Roman" w:cs="Times New Roman"/>
                <w:sz w:val="16"/>
                <w:szCs w:val="16"/>
              </w:rPr>
              <w:t>могою спеціальних заходів тимчасової міграції, повернення спеціалістів, спільних навчань та обміну досвідом;</w:t>
            </w:r>
          </w:p>
          <w:p w:rsidR="00B233DE" w:rsidRPr="002E12F6" w:rsidRDefault="00B233DE" w:rsidP="0023489B">
            <w:pPr>
              <w:numPr>
                <w:ilvl w:val="1"/>
                <w:numId w:val="18"/>
              </w:numPr>
              <w:tabs>
                <w:tab w:val="left" w:pos="230"/>
              </w:tabs>
              <w:ind w:left="-123" w:firstLine="141"/>
              <w:jc w:val="both"/>
              <w:rPr>
                <w:rFonts w:ascii="Times New Roman" w:hAnsi="Times New Roman" w:cs="Times New Roman"/>
                <w:sz w:val="16"/>
                <w:szCs w:val="16"/>
              </w:rPr>
            </w:pPr>
            <w:r w:rsidRPr="002E12F6">
              <w:rPr>
                <w:rFonts w:ascii="Times New Roman" w:hAnsi="Times New Roman" w:cs="Times New Roman"/>
                <w:sz w:val="16"/>
                <w:szCs w:val="16"/>
              </w:rPr>
              <w:t>встановлюють механізми сприяння грошовим переказам і трансферу технологій</w:t>
            </w:r>
          </w:p>
        </w:tc>
        <w:tc>
          <w:tcPr>
            <w:tcW w:w="4961" w:type="dxa"/>
          </w:tcPr>
          <w:p w:rsidR="00B233DE" w:rsidRPr="000C411E" w:rsidRDefault="00B233DE" w:rsidP="0023489B">
            <w:pPr>
              <w:ind w:left="-108" w:right="-93" w:firstLine="0"/>
              <w:jc w:val="both"/>
              <w:rPr>
                <w:rFonts w:ascii="Times New Roman" w:hAnsi="Times New Roman" w:cs="Times New Roman"/>
                <w:sz w:val="16"/>
                <w:szCs w:val="16"/>
              </w:rPr>
            </w:pPr>
            <w:r w:rsidRPr="002E12F6">
              <w:rPr>
                <w:rFonts w:ascii="Times New Roman" w:hAnsi="Times New Roman" w:cs="Times New Roman"/>
                <w:sz w:val="16"/>
                <w:szCs w:val="16"/>
              </w:rPr>
              <w:t xml:space="preserve">Прикладом успішної практики укладання міжнародних договорів щодо врегулювання міграції та їх застосування є практика Філіппін, що мають 12 договорів з країнами призначення про трудову міграцію. В </w:t>
            </w:r>
            <w:r w:rsidRPr="000C411E">
              <w:rPr>
                <w:rFonts w:ascii="Times New Roman" w:hAnsi="Times New Roman" w:cs="Times New Roman"/>
                <w:sz w:val="16"/>
                <w:szCs w:val="16"/>
              </w:rPr>
              <w:t>договорах вирішуються питання навчання, підвищення кваліфікації, захисту прав мігрантів, допомоги у реінтеграції при поверненні [</w:t>
            </w:r>
            <w:r>
              <w:rPr>
                <w:rStyle w:val="HTML1"/>
                <w:rFonts w:ascii="Times New Roman" w:hAnsi="Times New Roman" w:cs="Times New Roman"/>
                <w:i w:val="0"/>
                <w:sz w:val="16"/>
                <w:szCs w:val="16"/>
                <w:highlight w:val="yellow"/>
                <w:lang w:val="en-US"/>
              </w:rPr>
              <w:fldChar w:fldCharType="begin"/>
            </w:r>
            <w:r>
              <w:rPr>
                <w:rFonts w:ascii="Times New Roman" w:hAnsi="Times New Roman" w:cs="Times New Roman"/>
                <w:sz w:val="16"/>
                <w:szCs w:val="16"/>
              </w:rPr>
              <w:instrText xml:space="preserve"> REF _Ref435186785 \r \h </w:instrText>
            </w:r>
            <w:r>
              <w:rPr>
                <w:rStyle w:val="HTML1"/>
                <w:rFonts w:ascii="Times New Roman" w:hAnsi="Times New Roman" w:cs="Times New Roman"/>
                <w:i w:val="0"/>
                <w:sz w:val="16"/>
                <w:szCs w:val="16"/>
                <w:highlight w:val="yellow"/>
                <w:lang w:val="en-US"/>
              </w:rPr>
            </w:r>
            <w:r>
              <w:rPr>
                <w:rStyle w:val="HTML1"/>
                <w:rFonts w:ascii="Times New Roman" w:hAnsi="Times New Roman" w:cs="Times New Roman"/>
                <w:i w:val="0"/>
                <w:sz w:val="16"/>
                <w:szCs w:val="16"/>
                <w:highlight w:val="yellow"/>
                <w:lang w:val="en-US"/>
              </w:rPr>
              <w:fldChar w:fldCharType="separate"/>
            </w:r>
            <w:r>
              <w:rPr>
                <w:rFonts w:ascii="Times New Roman" w:hAnsi="Times New Roman" w:cs="Times New Roman"/>
                <w:sz w:val="16"/>
                <w:szCs w:val="16"/>
              </w:rPr>
              <w:t>95</w:t>
            </w:r>
            <w:r>
              <w:rPr>
                <w:rStyle w:val="HTML1"/>
                <w:rFonts w:ascii="Times New Roman" w:hAnsi="Times New Roman" w:cs="Times New Roman"/>
                <w:i w:val="0"/>
                <w:sz w:val="16"/>
                <w:szCs w:val="16"/>
                <w:highlight w:val="yellow"/>
                <w:lang w:val="en-US"/>
              </w:rPr>
              <w:fldChar w:fldCharType="end"/>
            </w:r>
            <w:r w:rsidRPr="000C411E">
              <w:rPr>
                <w:rFonts w:ascii="Times New Roman" w:hAnsi="Times New Roman" w:cs="Times New Roman"/>
                <w:sz w:val="16"/>
                <w:szCs w:val="16"/>
              </w:rPr>
              <w:t>].</w:t>
            </w:r>
          </w:p>
          <w:p w:rsidR="00B233DE" w:rsidRPr="002E12F6" w:rsidRDefault="00B233DE" w:rsidP="0023489B">
            <w:pPr>
              <w:ind w:left="-108" w:right="-93" w:firstLine="0"/>
              <w:jc w:val="both"/>
              <w:rPr>
                <w:rFonts w:ascii="Times New Roman" w:hAnsi="Times New Roman" w:cs="Times New Roman"/>
                <w:sz w:val="16"/>
                <w:szCs w:val="16"/>
              </w:rPr>
            </w:pPr>
          </w:p>
        </w:tc>
      </w:tr>
      <w:tr w:rsidR="00B233DE" w:rsidRPr="002E12F6" w:rsidTr="0023489B">
        <w:tc>
          <w:tcPr>
            <w:tcW w:w="1008" w:type="dxa"/>
            <w:vAlign w:val="center"/>
          </w:tcPr>
          <w:p w:rsidR="00B233DE" w:rsidRPr="002E12F6" w:rsidRDefault="00B233DE" w:rsidP="0023489B">
            <w:pPr>
              <w:ind w:left="-108" w:right="-93" w:firstLine="0"/>
              <w:jc w:val="center"/>
              <w:rPr>
                <w:rFonts w:ascii="Times New Roman" w:hAnsi="Times New Roman" w:cs="Times New Roman"/>
                <w:sz w:val="16"/>
                <w:szCs w:val="16"/>
              </w:rPr>
            </w:pPr>
            <w:r w:rsidRPr="002E12F6">
              <w:rPr>
                <w:rFonts w:ascii="Times New Roman" w:hAnsi="Times New Roman" w:cs="Times New Roman"/>
                <w:sz w:val="16"/>
                <w:szCs w:val="16"/>
              </w:rPr>
              <w:t>Інтеграція ринків праці</w:t>
            </w:r>
          </w:p>
        </w:tc>
        <w:tc>
          <w:tcPr>
            <w:tcW w:w="3670" w:type="dxa"/>
          </w:tcPr>
          <w:p w:rsidR="00B233DE" w:rsidRPr="002E12F6" w:rsidRDefault="00B233DE" w:rsidP="0023489B">
            <w:pPr>
              <w:tabs>
                <w:tab w:val="left" w:pos="230"/>
              </w:tabs>
              <w:ind w:left="-108" w:right="-93" w:firstLine="0"/>
              <w:jc w:val="both"/>
              <w:rPr>
                <w:rFonts w:ascii="Times New Roman" w:hAnsi="Times New Roman" w:cs="Times New Roman"/>
                <w:sz w:val="16"/>
                <w:szCs w:val="16"/>
              </w:rPr>
            </w:pPr>
            <w:r w:rsidRPr="002E12F6">
              <w:rPr>
                <w:rFonts w:ascii="Times New Roman" w:hAnsi="Times New Roman" w:cs="Times New Roman"/>
                <w:sz w:val="16"/>
                <w:szCs w:val="16"/>
              </w:rPr>
              <w:t>Взаємне визнання професій і кваліфікацій між двома або більше країнами</w:t>
            </w:r>
          </w:p>
        </w:tc>
        <w:tc>
          <w:tcPr>
            <w:tcW w:w="4961" w:type="dxa"/>
          </w:tcPr>
          <w:p w:rsidR="00B233DE" w:rsidRPr="002E12F6" w:rsidRDefault="00B233DE" w:rsidP="0023489B">
            <w:pPr>
              <w:tabs>
                <w:tab w:val="left" w:pos="900"/>
              </w:tabs>
              <w:ind w:left="-108" w:right="-93" w:firstLine="0"/>
              <w:jc w:val="both"/>
              <w:rPr>
                <w:rFonts w:ascii="Times New Roman" w:hAnsi="Times New Roman" w:cs="Times New Roman"/>
                <w:sz w:val="16"/>
                <w:szCs w:val="16"/>
              </w:rPr>
            </w:pPr>
            <w:r w:rsidRPr="002E12F6">
              <w:rPr>
                <w:rFonts w:ascii="Times New Roman" w:hAnsi="Times New Roman" w:cs="Times New Roman"/>
                <w:sz w:val="16"/>
                <w:szCs w:val="16"/>
              </w:rPr>
              <w:t>Єдиний ринок праці ЄС</w:t>
            </w:r>
            <w:r w:rsidRPr="002E12F6">
              <w:rPr>
                <w:rFonts w:ascii="Times New Roman" w:hAnsi="Times New Roman" w:cs="Times New Roman"/>
                <w:color w:val="FF0000"/>
                <w:sz w:val="16"/>
                <w:szCs w:val="16"/>
              </w:rPr>
              <w:t xml:space="preserve"> </w:t>
            </w:r>
            <w:r w:rsidRPr="002E12F6">
              <w:rPr>
                <w:rFonts w:ascii="Times New Roman" w:hAnsi="Times New Roman" w:cs="Times New Roman"/>
                <w:sz w:val="16"/>
                <w:szCs w:val="16"/>
              </w:rPr>
              <w:t>передбачає вільний рух робочої сили, тобто зняття обмежень на доступ до вакансій європейських країн за громадянством, гармонізацію націо-нальних систем соціального захисту, право проживання у країні працевлаштування. Особа, що змінює місце проживання у країнах в рамках ЄС, має також право на об’єднання періодів для нарахування і отримання соціальних виплат і пенсій. Остаточне формування єдиного європейського ринку праці має завершитись у 2015</w:t>
            </w:r>
            <w:r>
              <w:rPr>
                <w:rFonts w:ascii="Times New Roman" w:hAnsi="Times New Roman" w:cs="Times New Roman"/>
                <w:sz w:val="16"/>
                <w:szCs w:val="16"/>
              </w:rPr>
              <w:t>–</w:t>
            </w:r>
            <w:r w:rsidRPr="002E12F6">
              <w:rPr>
                <w:rFonts w:ascii="Times New Roman" w:hAnsi="Times New Roman" w:cs="Times New Roman"/>
                <w:sz w:val="16"/>
                <w:szCs w:val="16"/>
              </w:rPr>
              <w:t xml:space="preserve">2030 роках, </w:t>
            </w:r>
            <w:r w:rsidRPr="000C411E">
              <w:rPr>
                <w:rFonts w:ascii="Times New Roman" w:hAnsi="Times New Roman" w:cs="Times New Roman"/>
                <w:sz w:val="16"/>
                <w:szCs w:val="16"/>
              </w:rPr>
              <w:t>коли відбудеться вирівнювання кількісних параметрів ринків праці країн-членів ЄС, тобто величини заробітної плати, пенсій, пенсійного</w:t>
            </w:r>
            <w:r>
              <w:rPr>
                <w:rFonts w:ascii="Times New Roman" w:hAnsi="Times New Roman" w:cs="Times New Roman"/>
                <w:sz w:val="16"/>
                <w:szCs w:val="16"/>
              </w:rPr>
              <w:t xml:space="preserve"> віку </w:t>
            </w:r>
            <w:r w:rsidRPr="000C411E">
              <w:rPr>
                <w:rFonts w:ascii="Times New Roman" w:hAnsi="Times New Roman" w:cs="Times New Roman"/>
                <w:sz w:val="16"/>
                <w:szCs w:val="16"/>
              </w:rPr>
              <w:t>тощо [</w:t>
            </w:r>
            <w:r>
              <w:rPr>
                <w:rFonts w:ascii="Times New Roman" w:hAnsi="Times New Roman" w:cs="Times New Roman"/>
                <w:spacing w:val="-4"/>
                <w:sz w:val="16"/>
                <w:szCs w:val="16"/>
                <w:highlight w:val="yellow"/>
              </w:rPr>
              <w:fldChar w:fldCharType="begin"/>
            </w:r>
            <w:r>
              <w:rPr>
                <w:rFonts w:ascii="Times New Roman" w:hAnsi="Times New Roman" w:cs="Times New Roman"/>
                <w:sz w:val="16"/>
                <w:szCs w:val="16"/>
              </w:rPr>
              <w:instrText xml:space="preserve"> REF _Ref435186949 \r \h </w:instrText>
            </w:r>
            <w:r>
              <w:rPr>
                <w:rFonts w:ascii="Times New Roman" w:hAnsi="Times New Roman" w:cs="Times New Roman"/>
                <w:spacing w:val="-4"/>
                <w:sz w:val="16"/>
                <w:szCs w:val="16"/>
                <w:highlight w:val="yellow"/>
              </w:rPr>
            </w:r>
            <w:r>
              <w:rPr>
                <w:rFonts w:ascii="Times New Roman" w:hAnsi="Times New Roman" w:cs="Times New Roman"/>
                <w:spacing w:val="-4"/>
                <w:sz w:val="16"/>
                <w:szCs w:val="16"/>
                <w:highlight w:val="yellow"/>
              </w:rPr>
              <w:fldChar w:fldCharType="separate"/>
            </w:r>
            <w:r>
              <w:rPr>
                <w:rFonts w:ascii="Times New Roman" w:hAnsi="Times New Roman" w:cs="Times New Roman"/>
                <w:sz w:val="16"/>
                <w:szCs w:val="16"/>
              </w:rPr>
              <w:t>9</w:t>
            </w:r>
            <w:r>
              <w:rPr>
                <w:rFonts w:ascii="Times New Roman" w:hAnsi="Times New Roman" w:cs="Times New Roman"/>
                <w:spacing w:val="-4"/>
                <w:sz w:val="16"/>
                <w:szCs w:val="16"/>
                <w:highlight w:val="yellow"/>
              </w:rPr>
              <w:fldChar w:fldCharType="end"/>
            </w:r>
            <w:r w:rsidRPr="000C411E">
              <w:rPr>
                <w:rFonts w:ascii="Times New Roman" w:hAnsi="Times New Roman" w:cs="Times New Roman"/>
                <w:sz w:val="16"/>
                <w:szCs w:val="16"/>
              </w:rPr>
              <w:t>].</w:t>
            </w:r>
          </w:p>
        </w:tc>
      </w:tr>
    </w:tbl>
    <w:p w:rsidR="00B233DE" w:rsidRPr="002E12F6" w:rsidRDefault="00B233DE" w:rsidP="00B233DE">
      <w:pPr>
        <w:tabs>
          <w:tab w:val="left" w:pos="4053"/>
        </w:tabs>
        <w:spacing w:line="360" w:lineRule="auto"/>
        <w:ind w:firstLine="720"/>
        <w:jc w:val="right"/>
        <w:rPr>
          <w:rFonts w:ascii="Times New Roman" w:hAnsi="Times New Roman" w:cs="Times New Roman"/>
          <w:b/>
          <w:sz w:val="21"/>
          <w:szCs w:val="21"/>
        </w:rPr>
      </w:pPr>
      <w:r>
        <w:rPr>
          <w:rFonts w:ascii="Times New Roman" w:hAnsi="Times New Roman" w:cs="Times New Roman"/>
          <w:b/>
          <w:sz w:val="21"/>
          <w:szCs w:val="21"/>
        </w:rPr>
        <w:lastRenderedPageBreak/>
        <w:tab/>
      </w:r>
      <w:r w:rsidRPr="002E12F6">
        <w:rPr>
          <w:rFonts w:ascii="Times New Roman" w:hAnsi="Times New Roman" w:cs="Times New Roman"/>
          <w:b/>
          <w:sz w:val="21"/>
          <w:szCs w:val="21"/>
        </w:rPr>
        <w:t>Продовження таблиці 4.5</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8"/>
        <w:gridCol w:w="3670"/>
        <w:gridCol w:w="4961"/>
      </w:tblGrid>
      <w:tr w:rsidR="00B233DE" w:rsidRPr="002E12F6" w:rsidTr="0023489B">
        <w:tc>
          <w:tcPr>
            <w:tcW w:w="1008" w:type="dxa"/>
          </w:tcPr>
          <w:p w:rsidR="00B233DE" w:rsidRPr="002E12F6" w:rsidRDefault="00B233DE" w:rsidP="0023489B">
            <w:pPr>
              <w:ind w:left="-108" w:right="-93" w:firstLine="0"/>
              <w:jc w:val="center"/>
              <w:rPr>
                <w:rFonts w:ascii="Times New Roman" w:hAnsi="Times New Roman" w:cs="Times New Roman"/>
                <w:sz w:val="16"/>
                <w:szCs w:val="16"/>
              </w:rPr>
            </w:pPr>
            <w:r>
              <w:rPr>
                <w:rFonts w:ascii="Times New Roman" w:hAnsi="Times New Roman" w:cs="Times New Roman"/>
                <w:sz w:val="16"/>
                <w:szCs w:val="16"/>
              </w:rPr>
              <w:t>1</w:t>
            </w:r>
          </w:p>
        </w:tc>
        <w:tc>
          <w:tcPr>
            <w:tcW w:w="3670" w:type="dxa"/>
          </w:tcPr>
          <w:p w:rsidR="00B233DE" w:rsidRPr="002E12F6" w:rsidRDefault="00B233DE" w:rsidP="0023489B">
            <w:pPr>
              <w:ind w:left="-108" w:right="-93" w:firstLine="0"/>
              <w:jc w:val="center"/>
              <w:rPr>
                <w:rFonts w:ascii="Times New Roman" w:hAnsi="Times New Roman" w:cs="Times New Roman"/>
                <w:sz w:val="16"/>
                <w:szCs w:val="16"/>
              </w:rPr>
            </w:pPr>
            <w:r>
              <w:rPr>
                <w:rFonts w:ascii="Times New Roman" w:hAnsi="Times New Roman" w:cs="Times New Roman"/>
                <w:sz w:val="16"/>
                <w:szCs w:val="16"/>
              </w:rPr>
              <w:t>2</w:t>
            </w:r>
          </w:p>
        </w:tc>
        <w:tc>
          <w:tcPr>
            <w:tcW w:w="4961" w:type="dxa"/>
          </w:tcPr>
          <w:p w:rsidR="00B233DE" w:rsidRPr="002E12F6" w:rsidRDefault="00B233DE" w:rsidP="0023489B">
            <w:pPr>
              <w:ind w:left="-108" w:right="-93" w:firstLine="0"/>
              <w:jc w:val="center"/>
              <w:rPr>
                <w:rFonts w:ascii="Times New Roman" w:hAnsi="Times New Roman" w:cs="Times New Roman"/>
                <w:sz w:val="16"/>
                <w:szCs w:val="16"/>
              </w:rPr>
            </w:pPr>
            <w:r>
              <w:rPr>
                <w:rFonts w:ascii="Times New Roman" w:hAnsi="Times New Roman" w:cs="Times New Roman"/>
                <w:sz w:val="16"/>
                <w:szCs w:val="16"/>
              </w:rPr>
              <w:t>3</w:t>
            </w:r>
          </w:p>
        </w:tc>
      </w:tr>
      <w:tr w:rsidR="00B233DE" w:rsidRPr="002E12F6" w:rsidTr="0023489B">
        <w:tc>
          <w:tcPr>
            <w:tcW w:w="1008" w:type="dxa"/>
            <w:vAlign w:val="center"/>
          </w:tcPr>
          <w:p w:rsidR="00B233DE" w:rsidRPr="002E12F6" w:rsidRDefault="00B233DE" w:rsidP="0023489B">
            <w:pPr>
              <w:ind w:left="-108" w:right="-93" w:firstLine="0"/>
              <w:jc w:val="center"/>
              <w:rPr>
                <w:rFonts w:ascii="Times New Roman" w:hAnsi="Times New Roman" w:cs="Times New Roman"/>
                <w:sz w:val="16"/>
                <w:szCs w:val="16"/>
              </w:rPr>
            </w:pPr>
            <w:r w:rsidRPr="002E12F6">
              <w:rPr>
                <w:rFonts w:ascii="Times New Roman" w:hAnsi="Times New Roman" w:cs="Times New Roman"/>
                <w:sz w:val="16"/>
                <w:szCs w:val="16"/>
              </w:rPr>
              <w:t>Соціально-економічні реформи</w:t>
            </w:r>
          </w:p>
        </w:tc>
        <w:tc>
          <w:tcPr>
            <w:tcW w:w="3670" w:type="dxa"/>
          </w:tcPr>
          <w:p w:rsidR="00B233DE" w:rsidRPr="002E12F6" w:rsidRDefault="00B233DE" w:rsidP="0023489B">
            <w:pPr>
              <w:tabs>
                <w:tab w:val="left" w:pos="900"/>
              </w:tabs>
              <w:ind w:left="-108" w:right="-93" w:firstLine="0"/>
              <w:jc w:val="both"/>
              <w:rPr>
                <w:rFonts w:ascii="Times New Roman" w:hAnsi="Times New Roman" w:cs="Times New Roman"/>
                <w:sz w:val="16"/>
                <w:szCs w:val="16"/>
              </w:rPr>
            </w:pPr>
            <w:r w:rsidRPr="002E12F6">
              <w:rPr>
                <w:rFonts w:ascii="Times New Roman" w:hAnsi="Times New Roman" w:cs="Times New Roman"/>
                <w:sz w:val="16"/>
                <w:szCs w:val="16"/>
              </w:rPr>
              <w:t>Реформи мають бути спрямовані на:</w:t>
            </w:r>
          </w:p>
          <w:p w:rsidR="00B233DE" w:rsidRPr="002E12F6" w:rsidRDefault="00B233DE" w:rsidP="0023489B">
            <w:pPr>
              <w:pStyle w:val="ad"/>
              <w:numPr>
                <w:ilvl w:val="1"/>
                <w:numId w:val="19"/>
              </w:numPr>
              <w:tabs>
                <w:tab w:val="left" w:pos="302"/>
              </w:tabs>
              <w:ind w:left="0" w:right="-93" w:firstLine="160"/>
              <w:jc w:val="both"/>
              <w:rPr>
                <w:rFonts w:ascii="Times New Roman" w:hAnsi="Times New Roman" w:cs="Times New Roman"/>
                <w:sz w:val="16"/>
                <w:szCs w:val="16"/>
              </w:rPr>
            </w:pPr>
            <w:r w:rsidRPr="002E12F6">
              <w:rPr>
                <w:rFonts w:ascii="Times New Roman" w:hAnsi="Times New Roman" w:cs="Times New Roman"/>
                <w:sz w:val="16"/>
                <w:szCs w:val="16"/>
              </w:rPr>
              <w:t>стимулювання підприємств до регулярного навчання і підвищення кваліфікації працівників. Держава може проводити стретегію розвитку навиків та набуття знань впродовж життя за допомогою фінансових інструментів: позик на навчання, створення спеціальних фондів і надання податкових пільг;</w:t>
            </w:r>
          </w:p>
          <w:p w:rsidR="00B233DE" w:rsidRPr="002E12F6" w:rsidRDefault="00B233DE" w:rsidP="0023489B">
            <w:pPr>
              <w:pStyle w:val="ad"/>
              <w:numPr>
                <w:ilvl w:val="1"/>
                <w:numId w:val="19"/>
              </w:numPr>
              <w:tabs>
                <w:tab w:val="left" w:pos="302"/>
              </w:tabs>
              <w:ind w:left="0" w:right="-93" w:firstLine="160"/>
              <w:jc w:val="both"/>
              <w:rPr>
                <w:rFonts w:ascii="Times New Roman" w:hAnsi="Times New Roman" w:cs="Times New Roman"/>
                <w:sz w:val="16"/>
                <w:szCs w:val="16"/>
              </w:rPr>
            </w:pPr>
            <w:r w:rsidRPr="002E12F6">
              <w:rPr>
                <w:rFonts w:ascii="Times New Roman" w:hAnsi="Times New Roman" w:cs="Times New Roman"/>
                <w:sz w:val="16"/>
                <w:szCs w:val="16"/>
              </w:rPr>
              <w:t>запобігання втраті інтелектуального потенціалу;</w:t>
            </w:r>
          </w:p>
          <w:p w:rsidR="00B233DE" w:rsidRPr="002E12F6" w:rsidRDefault="00B233DE" w:rsidP="0023489B">
            <w:pPr>
              <w:pStyle w:val="ad"/>
              <w:numPr>
                <w:ilvl w:val="1"/>
                <w:numId w:val="19"/>
              </w:numPr>
              <w:tabs>
                <w:tab w:val="left" w:pos="302"/>
              </w:tabs>
              <w:ind w:left="0" w:right="-93" w:firstLine="160"/>
              <w:jc w:val="both"/>
              <w:rPr>
                <w:rFonts w:ascii="Times New Roman" w:hAnsi="Times New Roman" w:cs="Times New Roman"/>
                <w:sz w:val="16"/>
                <w:szCs w:val="16"/>
              </w:rPr>
            </w:pPr>
            <w:r w:rsidRPr="002E12F6">
              <w:rPr>
                <w:rFonts w:ascii="Times New Roman" w:hAnsi="Times New Roman" w:cs="Times New Roman"/>
                <w:sz w:val="16"/>
                <w:szCs w:val="16"/>
              </w:rPr>
              <w:t>ефективне використання людського потенціалу в середині країни, що передбачає усунення неспівпадінь між попитом і пропозицією на ринку праці.</w:t>
            </w:r>
          </w:p>
          <w:p w:rsidR="00B233DE" w:rsidRPr="002E12F6" w:rsidRDefault="00B233DE" w:rsidP="0023489B">
            <w:pPr>
              <w:tabs>
                <w:tab w:val="left" w:pos="230"/>
              </w:tabs>
              <w:ind w:left="-108" w:right="-93" w:firstLine="0"/>
              <w:jc w:val="both"/>
              <w:rPr>
                <w:rFonts w:ascii="Times New Roman" w:hAnsi="Times New Roman" w:cs="Times New Roman"/>
                <w:sz w:val="16"/>
                <w:szCs w:val="16"/>
              </w:rPr>
            </w:pPr>
          </w:p>
        </w:tc>
        <w:tc>
          <w:tcPr>
            <w:tcW w:w="4961" w:type="dxa"/>
          </w:tcPr>
          <w:p w:rsidR="00B233DE" w:rsidRPr="000C411E" w:rsidRDefault="00B233DE" w:rsidP="0023489B">
            <w:pPr>
              <w:tabs>
                <w:tab w:val="left" w:pos="900"/>
              </w:tabs>
              <w:ind w:left="-108" w:right="-93" w:firstLine="0"/>
              <w:jc w:val="both"/>
              <w:rPr>
                <w:rFonts w:ascii="Times New Roman" w:hAnsi="Times New Roman" w:cs="Times New Roman"/>
                <w:spacing w:val="-4"/>
                <w:sz w:val="16"/>
                <w:szCs w:val="16"/>
              </w:rPr>
            </w:pPr>
            <w:r w:rsidRPr="002E12F6">
              <w:rPr>
                <w:rFonts w:ascii="Times New Roman" w:hAnsi="Times New Roman" w:cs="Times New Roman"/>
                <w:spacing w:val="-4"/>
                <w:sz w:val="16"/>
                <w:szCs w:val="16"/>
              </w:rPr>
              <w:t xml:space="preserve">Німеччина, Нідерланди і Австрія вже запровадили податкові пільги на навчання, підготовку і перепідготовку працівників у професіях, на які очікується найбільший попит. У Франції постійне підвищення кваліфікації працівників на підприємствах є загальнообов’язковим. Фірми з щонайменше двадцятьма працівниками зобов’язані витрачати 1,6 % від нарахованої </w:t>
            </w:r>
            <w:r w:rsidRPr="000C411E">
              <w:rPr>
                <w:rFonts w:ascii="Times New Roman" w:hAnsi="Times New Roman" w:cs="Times New Roman"/>
                <w:spacing w:val="-4"/>
                <w:sz w:val="16"/>
                <w:szCs w:val="16"/>
              </w:rPr>
              <w:t>заробітної плати працівників на навчання і підвищення кваліфікації персоналу. В іншому випадку ці кошти відраховуються у вигляді податків [</w:t>
            </w:r>
            <w:r>
              <w:rPr>
                <w:rStyle w:val="heading"/>
                <w:rFonts w:ascii="Times New Roman" w:hAnsi="Times New Roman" w:cs="Times New Roman"/>
                <w:sz w:val="16"/>
                <w:szCs w:val="16"/>
                <w:highlight w:val="yellow"/>
                <w:lang w:val="en-US"/>
              </w:rPr>
              <w:fldChar w:fldCharType="begin"/>
            </w:r>
            <w:r>
              <w:rPr>
                <w:rFonts w:ascii="Times New Roman" w:hAnsi="Times New Roman" w:cs="Times New Roman"/>
                <w:spacing w:val="-4"/>
                <w:sz w:val="16"/>
                <w:szCs w:val="16"/>
              </w:rPr>
              <w:instrText xml:space="preserve"> REF _Ref435182634 \r \h </w:instrText>
            </w:r>
            <w:r>
              <w:rPr>
                <w:rStyle w:val="heading"/>
                <w:rFonts w:ascii="Times New Roman" w:hAnsi="Times New Roman" w:cs="Times New Roman"/>
                <w:sz w:val="16"/>
                <w:szCs w:val="16"/>
                <w:highlight w:val="yellow"/>
                <w:lang w:val="en-US"/>
              </w:rPr>
            </w:r>
            <w:r>
              <w:rPr>
                <w:rStyle w:val="heading"/>
                <w:rFonts w:ascii="Times New Roman" w:hAnsi="Times New Roman" w:cs="Times New Roman"/>
                <w:sz w:val="16"/>
                <w:szCs w:val="16"/>
                <w:highlight w:val="yellow"/>
                <w:lang w:val="en-US"/>
              </w:rPr>
              <w:fldChar w:fldCharType="separate"/>
            </w:r>
            <w:r>
              <w:rPr>
                <w:rFonts w:ascii="Times New Roman" w:hAnsi="Times New Roman" w:cs="Times New Roman"/>
                <w:spacing w:val="-4"/>
                <w:sz w:val="16"/>
                <w:szCs w:val="16"/>
              </w:rPr>
              <w:t>101</w:t>
            </w:r>
            <w:r>
              <w:rPr>
                <w:rStyle w:val="heading"/>
                <w:rFonts w:ascii="Times New Roman" w:hAnsi="Times New Roman" w:cs="Times New Roman"/>
                <w:sz w:val="16"/>
                <w:szCs w:val="16"/>
                <w:highlight w:val="yellow"/>
                <w:lang w:val="en-US"/>
              </w:rPr>
              <w:fldChar w:fldCharType="end"/>
            </w:r>
            <w:r w:rsidRPr="000C411E">
              <w:rPr>
                <w:rFonts w:ascii="Times New Roman" w:hAnsi="Times New Roman" w:cs="Times New Roman"/>
                <w:spacing w:val="-4"/>
                <w:sz w:val="16"/>
                <w:szCs w:val="16"/>
              </w:rPr>
              <w:t>].</w:t>
            </w:r>
          </w:p>
          <w:p w:rsidR="00B233DE" w:rsidRPr="000C411E" w:rsidRDefault="00B233DE" w:rsidP="0023489B">
            <w:pPr>
              <w:tabs>
                <w:tab w:val="left" w:pos="900"/>
              </w:tabs>
              <w:ind w:left="-108" w:right="-93" w:firstLine="0"/>
              <w:jc w:val="both"/>
              <w:rPr>
                <w:rFonts w:ascii="Times New Roman" w:hAnsi="Times New Roman" w:cs="Times New Roman"/>
                <w:spacing w:val="-4"/>
                <w:sz w:val="16"/>
                <w:szCs w:val="16"/>
              </w:rPr>
            </w:pPr>
            <w:r w:rsidRPr="000C411E">
              <w:rPr>
                <w:rFonts w:ascii="Times New Roman" w:hAnsi="Times New Roman" w:cs="Times New Roman"/>
                <w:spacing w:val="-4"/>
                <w:sz w:val="16"/>
                <w:szCs w:val="16"/>
              </w:rPr>
              <w:t>У Китаї для боротьби з втечею мізків законодавчо введене положення про те, що навчатися в іноземних вузах можуть лише студенти, що вже отримали вчений ступінь; запроваджена система оплати праці вчених,</w:t>
            </w:r>
            <w:r w:rsidRPr="002E12F6">
              <w:rPr>
                <w:rFonts w:ascii="Times New Roman" w:hAnsi="Times New Roman" w:cs="Times New Roman"/>
                <w:spacing w:val="-4"/>
                <w:sz w:val="16"/>
                <w:szCs w:val="16"/>
              </w:rPr>
              <w:t xml:space="preserve"> що передбачає </w:t>
            </w:r>
            <w:r w:rsidRPr="000C411E">
              <w:rPr>
                <w:rFonts w:ascii="Times New Roman" w:hAnsi="Times New Roman" w:cs="Times New Roman"/>
                <w:spacing w:val="-4"/>
                <w:sz w:val="16"/>
                <w:szCs w:val="16"/>
              </w:rPr>
              <w:t>більшу оплату праці провідних вчених порівняно з вченими меншої кваліфікації [</w:t>
            </w:r>
            <w:r>
              <w:rPr>
                <w:rFonts w:ascii="Times New Roman" w:hAnsi="Times New Roman" w:cs="Times New Roman"/>
                <w:bCs/>
                <w:sz w:val="16"/>
                <w:szCs w:val="16"/>
                <w:highlight w:val="yellow"/>
              </w:rPr>
              <w:fldChar w:fldCharType="begin"/>
            </w:r>
            <w:r>
              <w:rPr>
                <w:rFonts w:ascii="Times New Roman" w:hAnsi="Times New Roman" w:cs="Times New Roman"/>
                <w:spacing w:val="-4"/>
                <w:sz w:val="16"/>
                <w:szCs w:val="16"/>
              </w:rPr>
              <w:instrText xml:space="preserve"> REF _Ref435182370 \r \h </w:instrText>
            </w:r>
            <w:r>
              <w:rPr>
                <w:rFonts w:ascii="Times New Roman" w:hAnsi="Times New Roman" w:cs="Times New Roman"/>
                <w:bCs/>
                <w:sz w:val="16"/>
                <w:szCs w:val="16"/>
                <w:highlight w:val="yellow"/>
              </w:rPr>
            </w:r>
            <w:r>
              <w:rPr>
                <w:rFonts w:ascii="Times New Roman" w:hAnsi="Times New Roman" w:cs="Times New Roman"/>
                <w:bCs/>
                <w:sz w:val="16"/>
                <w:szCs w:val="16"/>
                <w:highlight w:val="yellow"/>
              </w:rPr>
              <w:fldChar w:fldCharType="separate"/>
            </w:r>
            <w:r>
              <w:rPr>
                <w:rFonts w:ascii="Times New Roman" w:hAnsi="Times New Roman" w:cs="Times New Roman"/>
                <w:spacing w:val="-4"/>
                <w:sz w:val="16"/>
                <w:szCs w:val="16"/>
              </w:rPr>
              <w:t>7</w:t>
            </w:r>
            <w:r>
              <w:rPr>
                <w:rFonts w:ascii="Times New Roman" w:hAnsi="Times New Roman" w:cs="Times New Roman"/>
                <w:bCs/>
                <w:sz w:val="16"/>
                <w:szCs w:val="16"/>
                <w:highlight w:val="yellow"/>
              </w:rPr>
              <w:fldChar w:fldCharType="end"/>
            </w:r>
            <w:r w:rsidRPr="000C411E">
              <w:rPr>
                <w:rFonts w:ascii="Times New Roman" w:hAnsi="Times New Roman" w:cs="Times New Roman"/>
                <w:spacing w:val="-4"/>
                <w:sz w:val="16"/>
                <w:szCs w:val="16"/>
              </w:rPr>
              <w:t>].</w:t>
            </w:r>
          </w:p>
          <w:p w:rsidR="00B233DE" w:rsidRPr="002E12F6" w:rsidRDefault="00B233DE" w:rsidP="0023489B">
            <w:pPr>
              <w:tabs>
                <w:tab w:val="left" w:pos="900"/>
              </w:tabs>
              <w:ind w:left="-108" w:right="-93" w:firstLine="0"/>
              <w:jc w:val="both"/>
              <w:rPr>
                <w:rFonts w:ascii="Times New Roman" w:hAnsi="Times New Roman" w:cs="Times New Roman"/>
                <w:spacing w:val="-4"/>
                <w:sz w:val="16"/>
                <w:szCs w:val="16"/>
              </w:rPr>
            </w:pPr>
            <w:r w:rsidRPr="000C411E">
              <w:rPr>
                <w:rFonts w:ascii="Times New Roman" w:hAnsi="Times New Roman" w:cs="Times New Roman"/>
                <w:spacing w:val="-4"/>
                <w:sz w:val="16"/>
                <w:szCs w:val="16"/>
              </w:rPr>
              <w:t>Індія, володіючи значним людським потенціалом, має високі рівні безро-біття. Це зумовлено престижністю</w:t>
            </w:r>
            <w:r w:rsidRPr="002E12F6">
              <w:rPr>
                <w:rFonts w:ascii="Times New Roman" w:hAnsi="Times New Roman" w:cs="Times New Roman"/>
                <w:spacing w:val="-4"/>
                <w:sz w:val="16"/>
                <w:szCs w:val="16"/>
              </w:rPr>
              <w:t xml:space="preserve"> одних спеціальностей і деградацією ін</w:t>
            </w:r>
            <w:r>
              <w:rPr>
                <w:rFonts w:ascii="Times New Roman" w:hAnsi="Times New Roman" w:cs="Times New Roman"/>
                <w:spacing w:val="-4"/>
                <w:sz w:val="16"/>
                <w:szCs w:val="16"/>
              </w:rPr>
              <w:t>-</w:t>
            </w:r>
            <w:r w:rsidRPr="002E12F6">
              <w:rPr>
                <w:rFonts w:ascii="Times New Roman" w:hAnsi="Times New Roman" w:cs="Times New Roman"/>
                <w:spacing w:val="-4"/>
                <w:sz w:val="16"/>
                <w:szCs w:val="16"/>
              </w:rPr>
              <w:t xml:space="preserve">ших. Найбільш популярними професіями є менеджер, інженер, державний службовець, науковець та лікар. Професії електрика, будівельника, </w:t>
            </w:r>
            <w:r w:rsidRPr="000C411E">
              <w:rPr>
                <w:rFonts w:ascii="Times New Roman" w:hAnsi="Times New Roman" w:cs="Times New Roman"/>
                <w:spacing w:val="-4"/>
                <w:sz w:val="16"/>
                <w:szCs w:val="16"/>
              </w:rPr>
              <w:t>водопровідника є дефіцитними. Підвищення рівня працевлаштування, за таких умов, можливе завдяки забезпеченню всього населення мінімальними стандартами освіти і цілеспрямованою підготовкою спеціалістів у професіях, в яких прогнозується найбільша потреба на ринку праці [</w:t>
            </w:r>
            <w:r>
              <w:rPr>
                <w:rStyle w:val="heading"/>
                <w:rFonts w:ascii="Times New Roman" w:hAnsi="Times New Roman" w:cs="Times New Roman"/>
                <w:sz w:val="16"/>
                <w:szCs w:val="16"/>
                <w:highlight w:val="yellow"/>
                <w:lang w:val="en-US"/>
              </w:rPr>
              <w:fldChar w:fldCharType="begin"/>
            </w:r>
            <w:r>
              <w:rPr>
                <w:rFonts w:ascii="Times New Roman" w:hAnsi="Times New Roman" w:cs="Times New Roman"/>
                <w:spacing w:val="-4"/>
                <w:sz w:val="16"/>
                <w:szCs w:val="16"/>
              </w:rPr>
              <w:instrText xml:space="preserve"> REF _Ref435182634 \r \h </w:instrText>
            </w:r>
            <w:r>
              <w:rPr>
                <w:rStyle w:val="heading"/>
                <w:rFonts w:ascii="Times New Roman" w:hAnsi="Times New Roman" w:cs="Times New Roman"/>
                <w:sz w:val="16"/>
                <w:szCs w:val="16"/>
                <w:highlight w:val="yellow"/>
                <w:lang w:val="en-US"/>
              </w:rPr>
            </w:r>
            <w:r>
              <w:rPr>
                <w:rStyle w:val="heading"/>
                <w:rFonts w:ascii="Times New Roman" w:hAnsi="Times New Roman" w:cs="Times New Roman"/>
                <w:sz w:val="16"/>
                <w:szCs w:val="16"/>
                <w:highlight w:val="yellow"/>
                <w:lang w:val="en-US"/>
              </w:rPr>
              <w:fldChar w:fldCharType="separate"/>
            </w:r>
            <w:r>
              <w:rPr>
                <w:rFonts w:ascii="Times New Roman" w:hAnsi="Times New Roman" w:cs="Times New Roman"/>
                <w:spacing w:val="-4"/>
                <w:sz w:val="16"/>
                <w:szCs w:val="16"/>
              </w:rPr>
              <w:t>101</w:t>
            </w:r>
            <w:r>
              <w:rPr>
                <w:rStyle w:val="heading"/>
                <w:rFonts w:ascii="Times New Roman" w:hAnsi="Times New Roman" w:cs="Times New Roman"/>
                <w:sz w:val="16"/>
                <w:szCs w:val="16"/>
                <w:highlight w:val="yellow"/>
                <w:lang w:val="en-US"/>
              </w:rPr>
              <w:fldChar w:fldCharType="end"/>
            </w:r>
            <w:r w:rsidRPr="000C411E">
              <w:rPr>
                <w:rFonts w:ascii="Times New Roman" w:hAnsi="Times New Roman" w:cs="Times New Roman"/>
                <w:spacing w:val="-4"/>
                <w:sz w:val="16"/>
                <w:szCs w:val="16"/>
              </w:rPr>
              <w:t>].</w:t>
            </w:r>
          </w:p>
        </w:tc>
      </w:tr>
      <w:tr w:rsidR="00B233DE" w:rsidRPr="002E12F6" w:rsidTr="0023489B">
        <w:tc>
          <w:tcPr>
            <w:tcW w:w="1008" w:type="dxa"/>
            <w:vAlign w:val="center"/>
          </w:tcPr>
          <w:p w:rsidR="00B233DE" w:rsidRPr="002E12F6" w:rsidRDefault="00B233DE" w:rsidP="0023489B">
            <w:pPr>
              <w:ind w:left="-108" w:right="-93" w:firstLine="0"/>
              <w:jc w:val="center"/>
              <w:rPr>
                <w:rFonts w:ascii="Times New Roman" w:hAnsi="Times New Roman" w:cs="Times New Roman"/>
                <w:sz w:val="16"/>
                <w:szCs w:val="16"/>
              </w:rPr>
            </w:pPr>
            <w:r w:rsidRPr="002E12F6">
              <w:rPr>
                <w:rFonts w:ascii="Times New Roman" w:hAnsi="Times New Roman" w:cs="Times New Roman"/>
                <w:sz w:val="16"/>
                <w:szCs w:val="16"/>
              </w:rPr>
              <w:t>Політика активного залучення мігрантів</w:t>
            </w:r>
          </w:p>
        </w:tc>
        <w:tc>
          <w:tcPr>
            <w:tcW w:w="3670" w:type="dxa"/>
          </w:tcPr>
          <w:p w:rsidR="00B233DE" w:rsidRPr="002E12F6" w:rsidRDefault="00B233DE" w:rsidP="0023489B">
            <w:pPr>
              <w:tabs>
                <w:tab w:val="left" w:pos="900"/>
              </w:tabs>
              <w:ind w:left="-108" w:right="-93" w:firstLine="0"/>
              <w:jc w:val="both"/>
              <w:rPr>
                <w:rFonts w:ascii="Times New Roman" w:hAnsi="Times New Roman" w:cs="Times New Roman"/>
                <w:sz w:val="16"/>
                <w:szCs w:val="16"/>
              </w:rPr>
            </w:pPr>
            <w:r w:rsidRPr="002E12F6">
              <w:rPr>
                <w:rFonts w:ascii="Times New Roman" w:hAnsi="Times New Roman" w:cs="Times New Roman"/>
                <w:sz w:val="16"/>
                <w:szCs w:val="16"/>
              </w:rPr>
              <w:t>Розповсюдження інформації про країну, а саме відомостей про пропозицію робочих місць, кар’єрні можливості, систему освіти, безпеку, доступ до системи охорони здоров’я, навколишнє середовище</w:t>
            </w:r>
          </w:p>
        </w:tc>
        <w:tc>
          <w:tcPr>
            <w:tcW w:w="4961" w:type="dxa"/>
          </w:tcPr>
          <w:p w:rsidR="00B233DE" w:rsidRPr="002E12F6" w:rsidRDefault="00B233DE" w:rsidP="0023489B">
            <w:pPr>
              <w:ind w:left="-108" w:right="-93" w:firstLine="0"/>
              <w:jc w:val="both"/>
              <w:rPr>
                <w:rFonts w:ascii="Times New Roman" w:hAnsi="Times New Roman" w:cs="Times New Roman"/>
                <w:spacing w:val="-4"/>
                <w:sz w:val="16"/>
                <w:szCs w:val="16"/>
              </w:rPr>
            </w:pPr>
            <w:r w:rsidRPr="002E12F6">
              <w:rPr>
                <w:rFonts w:ascii="Times New Roman" w:hAnsi="Times New Roman" w:cs="Times New Roman"/>
                <w:spacing w:val="-4"/>
                <w:sz w:val="16"/>
                <w:szCs w:val="16"/>
              </w:rPr>
              <w:t>Сінгапур на спеціальному імміграційному сайті наголошує на системі освіти в країні, високому рівні безпеки, низьких рівнях злочинності та корупції і високій політичній стабільності. Австралія публічно оголошує список необхідних спеціалістів для зайняття відповідних вакансій [</w:t>
            </w:r>
            <w:r>
              <w:rPr>
                <w:rStyle w:val="heading"/>
                <w:rFonts w:ascii="Times New Roman" w:hAnsi="Times New Roman" w:cs="Times New Roman"/>
                <w:sz w:val="16"/>
                <w:szCs w:val="16"/>
                <w:highlight w:val="yellow"/>
                <w:lang w:val="en-US"/>
              </w:rPr>
              <w:fldChar w:fldCharType="begin"/>
            </w:r>
            <w:r>
              <w:rPr>
                <w:rFonts w:ascii="Times New Roman" w:hAnsi="Times New Roman" w:cs="Times New Roman"/>
                <w:spacing w:val="-4"/>
                <w:sz w:val="16"/>
                <w:szCs w:val="16"/>
              </w:rPr>
              <w:instrText xml:space="preserve"> REF _Ref435182634 \r \h </w:instrText>
            </w:r>
            <w:r>
              <w:rPr>
                <w:rStyle w:val="heading"/>
                <w:rFonts w:ascii="Times New Roman" w:hAnsi="Times New Roman" w:cs="Times New Roman"/>
                <w:sz w:val="16"/>
                <w:szCs w:val="16"/>
                <w:highlight w:val="yellow"/>
                <w:lang w:val="en-US"/>
              </w:rPr>
            </w:r>
            <w:r>
              <w:rPr>
                <w:rStyle w:val="heading"/>
                <w:rFonts w:ascii="Times New Roman" w:hAnsi="Times New Roman" w:cs="Times New Roman"/>
                <w:sz w:val="16"/>
                <w:szCs w:val="16"/>
                <w:highlight w:val="yellow"/>
                <w:lang w:val="en-US"/>
              </w:rPr>
              <w:fldChar w:fldCharType="separate"/>
            </w:r>
            <w:r>
              <w:rPr>
                <w:rFonts w:ascii="Times New Roman" w:hAnsi="Times New Roman" w:cs="Times New Roman"/>
                <w:spacing w:val="-4"/>
                <w:sz w:val="16"/>
                <w:szCs w:val="16"/>
              </w:rPr>
              <w:t>101</w:t>
            </w:r>
            <w:r>
              <w:rPr>
                <w:rStyle w:val="heading"/>
                <w:rFonts w:ascii="Times New Roman" w:hAnsi="Times New Roman" w:cs="Times New Roman"/>
                <w:sz w:val="16"/>
                <w:szCs w:val="16"/>
                <w:highlight w:val="yellow"/>
                <w:lang w:val="en-US"/>
              </w:rPr>
              <w:fldChar w:fldCharType="end"/>
            </w:r>
            <w:r w:rsidRPr="002E12F6">
              <w:rPr>
                <w:rFonts w:ascii="Times New Roman" w:hAnsi="Times New Roman" w:cs="Times New Roman"/>
                <w:spacing w:val="-4"/>
                <w:sz w:val="16"/>
                <w:szCs w:val="16"/>
              </w:rPr>
              <w:t>]. У європейських країнах перед наймом іноземних працівників роботодавець зобов’язаний рекламувати свої вакансії в засобах масової інформації, щоб інформувати місцевих працівників і переконатись, що вони не претендують на дане робоче місце.</w:t>
            </w:r>
          </w:p>
        </w:tc>
      </w:tr>
    </w:tbl>
    <w:p w:rsidR="00B233DE" w:rsidRDefault="00B233DE" w:rsidP="00B233DE">
      <w:pPr>
        <w:rPr>
          <w:sz w:val="21"/>
          <w:szCs w:val="21"/>
        </w:rPr>
        <w:sectPr w:rsidR="00B233DE" w:rsidSect="0023489B">
          <w:headerReference w:type="default" r:id="rId61"/>
          <w:footerReference w:type="default" r:id="rId62"/>
          <w:pgSz w:w="11907" w:h="8392" w:orient="landscape" w:code="11"/>
          <w:pgMar w:top="1134" w:right="1134" w:bottom="1134" w:left="1134" w:header="709" w:footer="709" w:gutter="0"/>
          <w:cols w:space="708"/>
          <w:docGrid w:linePitch="360"/>
        </w:sectPr>
      </w:pPr>
    </w:p>
    <w:p w:rsidR="00B233DE" w:rsidRPr="00B6030C" w:rsidRDefault="00B233DE" w:rsidP="00B233DE">
      <w:pPr>
        <w:tabs>
          <w:tab w:val="left" w:pos="900"/>
        </w:tabs>
        <w:ind w:firstLine="709"/>
        <w:jc w:val="both"/>
        <w:rPr>
          <w:rFonts w:ascii="Times New Roman" w:hAnsi="Times New Roman" w:cs="Times New Roman"/>
          <w:spacing w:val="-4"/>
          <w:sz w:val="21"/>
          <w:szCs w:val="21"/>
        </w:rPr>
      </w:pPr>
      <w:r w:rsidRPr="00B6030C">
        <w:rPr>
          <w:rFonts w:ascii="Times New Roman" w:hAnsi="Times New Roman" w:cs="Times New Roman"/>
          <w:spacing w:val="-4"/>
          <w:sz w:val="21"/>
          <w:szCs w:val="21"/>
        </w:rPr>
        <w:lastRenderedPageBreak/>
        <w:t xml:space="preserve">Прикладами ефективних двосторонніх угод з питань міграції є договір між США, Канадою і Мексикою, що передбачає свободу пересування тимчасових трудових мігрантів: бізнесменів, інвесторів, професіоналів і службовців міжнародних компаній; між членами Скандинавського співтовариства щодо мобільності кваліфікованої і некваліфікованої робочої сили; між державами-членами Андського співтовариства націй. Дані угоди є передумовою подальшої інтеграції ринків праці. </w:t>
      </w:r>
    </w:p>
    <w:p w:rsidR="00B233DE" w:rsidRPr="000C411E" w:rsidRDefault="00B233DE" w:rsidP="00B233DE">
      <w:pPr>
        <w:pStyle w:val="ad"/>
        <w:numPr>
          <w:ilvl w:val="0"/>
          <w:numId w:val="17"/>
        </w:numPr>
        <w:tabs>
          <w:tab w:val="clear" w:pos="1776"/>
          <w:tab w:val="num" w:pos="993"/>
        </w:tabs>
        <w:ind w:left="0" w:firstLine="726"/>
        <w:jc w:val="both"/>
        <w:rPr>
          <w:rFonts w:ascii="Times New Roman" w:hAnsi="Times New Roman" w:cs="Times New Roman"/>
          <w:sz w:val="21"/>
          <w:szCs w:val="21"/>
        </w:rPr>
      </w:pPr>
      <w:r w:rsidRPr="002D7E21">
        <w:rPr>
          <w:rFonts w:ascii="Times New Roman" w:hAnsi="Times New Roman" w:cs="Times New Roman"/>
          <w:sz w:val="21"/>
          <w:szCs w:val="21"/>
        </w:rPr>
        <w:t xml:space="preserve">Інтеграція ринків праці базується на взаємному визнанні професій і кваліфікацій між двома або більше країнами. Наприклад, договір між Канадою і Францією про взаємне визнання професій і кваліфікацій передбачає доступ канадських працедавців до бази даних Центра зайнятості Франції для набору на вільні робочі місця французьких спеціалістів. Французькі працедавці, в </w:t>
      </w:r>
      <w:r w:rsidRPr="000C411E">
        <w:rPr>
          <w:rFonts w:ascii="Times New Roman" w:hAnsi="Times New Roman" w:cs="Times New Roman"/>
          <w:sz w:val="21"/>
          <w:szCs w:val="21"/>
        </w:rPr>
        <w:t>свою чергу, мають можливість залучати необхідні кадри з Канади [</w:t>
      </w:r>
      <w:r>
        <w:rPr>
          <w:rStyle w:val="heading"/>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_Ref435182634 \r \h </w:instrText>
      </w:r>
      <w:r>
        <w:rPr>
          <w:rStyle w:val="heading"/>
          <w:rFonts w:ascii="Times New Roman" w:hAnsi="Times New Roman" w:cs="Times New Roman"/>
          <w:sz w:val="21"/>
          <w:szCs w:val="21"/>
          <w:highlight w:val="yellow"/>
          <w:lang w:val="en-US"/>
        </w:rPr>
      </w:r>
      <w:r>
        <w:rPr>
          <w:rStyle w:val="heading"/>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101</w:t>
      </w:r>
      <w:r>
        <w:rPr>
          <w:rStyle w:val="heading"/>
          <w:rFonts w:ascii="Times New Roman" w:hAnsi="Times New Roman" w:cs="Times New Roman"/>
          <w:sz w:val="21"/>
          <w:szCs w:val="21"/>
          <w:highlight w:val="yellow"/>
          <w:lang w:val="en-US"/>
        </w:rPr>
        <w:fldChar w:fldCharType="end"/>
      </w:r>
      <w:r w:rsidRPr="000C411E">
        <w:rPr>
          <w:rFonts w:ascii="Times New Roman" w:hAnsi="Times New Roman" w:cs="Times New Roman"/>
          <w:sz w:val="21"/>
          <w:szCs w:val="21"/>
        </w:rPr>
        <w:t>, с. 30]. Передумовою інтеграції ринків праці є уніфікація стандартів освіти. В цьому напрямі, у європейських країнах запроваджений Болонський процес, що передбачає зближення і гармонізацію систем освіти з метою підвищення рівня мобільності і працевлаштування кваліфікованих працівників.</w:t>
      </w:r>
    </w:p>
    <w:p w:rsidR="00B233DE" w:rsidRPr="002D7E21" w:rsidRDefault="00B233DE" w:rsidP="00B233DE">
      <w:pPr>
        <w:tabs>
          <w:tab w:val="left" w:pos="900"/>
        </w:tabs>
        <w:ind w:firstLine="709"/>
        <w:jc w:val="both"/>
        <w:rPr>
          <w:rFonts w:ascii="Times New Roman" w:hAnsi="Times New Roman" w:cs="Times New Roman"/>
          <w:sz w:val="21"/>
          <w:szCs w:val="21"/>
        </w:rPr>
      </w:pPr>
      <w:r w:rsidRPr="002D7E21">
        <w:rPr>
          <w:rFonts w:ascii="Times New Roman" w:hAnsi="Times New Roman" w:cs="Times New Roman"/>
          <w:sz w:val="21"/>
          <w:szCs w:val="21"/>
        </w:rPr>
        <w:t>Це одночасно зменшує необхідність від’їжджати закордон для отримання відповідного рівня освіти, а з іншого боку робить цей процес простішим. Відбувається розвиток вищої освіти на міжнародному рівні, виникають нові можливості її отримання в контексті формування людського потенціалу в економіці знань. В Європейський простір вищої освіти входить 48 країн [</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_Ref435186992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103</w:t>
      </w:r>
      <w:r>
        <w:rPr>
          <w:rFonts w:ascii="Times New Roman" w:hAnsi="Times New Roman" w:cs="Times New Roman"/>
          <w:sz w:val="21"/>
          <w:szCs w:val="21"/>
          <w:highlight w:val="yellow"/>
          <w:lang w:val="en-US"/>
        </w:rPr>
        <w:fldChar w:fldCharType="end"/>
      </w:r>
      <w:r w:rsidRPr="002D7E21">
        <w:rPr>
          <w:rFonts w:ascii="Times New Roman" w:hAnsi="Times New Roman" w:cs="Times New Roman"/>
          <w:sz w:val="21"/>
          <w:szCs w:val="21"/>
        </w:rPr>
        <w:t xml:space="preserve">, с. 22]. </w:t>
      </w:r>
    </w:p>
    <w:p w:rsidR="00B233DE" w:rsidRPr="002D7E21" w:rsidRDefault="00B233DE" w:rsidP="00B233DE">
      <w:pPr>
        <w:tabs>
          <w:tab w:val="left" w:pos="900"/>
        </w:tabs>
        <w:ind w:firstLine="709"/>
        <w:jc w:val="both"/>
        <w:rPr>
          <w:rFonts w:ascii="Times New Roman" w:hAnsi="Times New Roman" w:cs="Times New Roman"/>
          <w:spacing w:val="-2"/>
          <w:sz w:val="21"/>
          <w:szCs w:val="21"/>
        </w:rPr>
      </w:pPr>
      <w:r w:rsidRPr="002D7E21">
        <w:rPr>
          <w:rFonts w:ascii="Times New Roman" w:hAnsi="Times New Roman" w:cs="Times New Roman"/>
          <w:sz w:val="21"/>
          <w:szCs w:val="21"/>
        </w:rPr>
        <w:t>3. Соціально-економічні реформи. Дослідження, проведені при підготовці Звіту з людського розвитку 2009 року, присвяченому міграції, свідчать, що покращ</w:t>
      </w:r>
      <w:r>
        <w:rPr>
          <w:rFonts w:ascii="Times New Roman" w:hAnsi="Times New Roman" w:cs="Times New Roman"/>
          <w:sz w:val="21"/>
          <w:szCs w:val="21"/>
        </w:rPr>
        <w:t>а</w:t>
      </w:r>
      <w:r w:rsidRPr="002D7E21">
        <w:rPr>
          <w:rFonts w:ascii="Times New Roman" w:hAnsi="Times New Roman" w:cs="Times New Roman"/>
          <w:sz w:val="21"/>
          <w:szCs w:val="21"/>
        </w:rPr>
        <w:t>ння інфраструктури, умов та оплати праці в країнах походження є ефективнішим інструментом запобігання міграційному відтоку працівників високої кваліфікації, ніж різного р</w:t>
      </w:r>
      <w:r>
        <w:rPr>
          <w:rFonts w:ascii="Times New Roman" w:hAnsi="Times New Roman" w:cs="Times New Roman"/>
          <w:sz w:val="21"/>
          <w:szCs w:val="21"/>
        </w:rPr>
        <w:t xml:space="preserve">оду обмеження на виїзд з країни </w:t>
      </w:r>
      <w:r w:rsidRPr="002D7E21">
        <w:rPr>
          <w:rFonts w:ascii="Times New Roman" w:hAnsi="Times New Roman" w:cs="Times New Roman"/>
          <w:sz w:val="21"/>
          <w:szCs w:val="21"/>
        </w:rPr>
        <w:t>[</w:t>
      </w:r>
      <w:r>
        <w:rPr>
          <w:rFonts w:ascii="Times New Roman" w:hAnsi="Times New Roman" w:cs="Times New Roman"/>
          <w:sz w:val="21"/>
          <w:szCs w:val="21"/>
          <w:highlight w:val="yellow"/>
          <w:lang w:val="en-GB"/>
        </w:rPr>
        <w:fldChar w:fldCharType="begin"/>
      </w:r>
      <w:r>
        <w:rPr>
          <w:rFonts w:ascii="Times New Roman" w:hAnsi="Times New Roman" w:cs="Times New Roman"/>
          <w:sz w:val="21"/>
          <w:szCs w:val="21"/>
        </w:rPr>
        <w:instrText xml:space="preserve"> REF _Ref435182515 \r \h </w:instrText>
      </w:r>
      <w:r>
        <w:rPr>
          <w:rFonts w:ascii="Times New Roman" w:hAnsi="Times New Roman" w:cs="Times New Roman"/>
          <w:sz w:val="21"/>
          <w:szCs w:val="21"/>
          <w:highlight w:val="yellow"/>
          <w:lang w:val="en-GB"/>
        </w:rPr>
      </w:r>
      <w:r>
        <w:rPr>
          <w:rFonts w:ascii="Times New Roman" w:hAnsi="Times New Roman" w:cs="Times New Roman"/>
          <w:sz w:val="21"/>
          <w:szCs w:val="21"/>
          <w:highlight w:val="yellow"/>
          <w:lang w:val="en-GB"/>
        </w:rPr>
        <w:fldChar w:fldCharType="separate"/>
      </w:r>
      <w:r>
        <w:rPr>
          <w:rFonts w:ascii="Times New Roman" w:hAnsi="Times New Roman" w:cs="Times New Roman"/>
          <w:sz w:val="21"/>
          <w:szCs w:val="21"/>
        </w:rPr>
        <w:t>78</w:t>
      </w:r>
      <w:r>
        <w:rPr>
          <w:rFonts w:ascii="Times New Roman" w:hAnsi="Times New Roman" w:cs="Times New Roman"/>
          <w:sz w:val="21"/>
          <w:szCs w:val="21"/>
          <w:highlight w:val="yellow"/>
          <w:lang w:val="en-GB"/>
        </w:rPr>
        <w:fldChar w:fldCharType="end"/>
      </w:r>
      <w:r w:rsidRPr="002D7E21">
        <w:rPr>
          <w:rFonts w:ascii="Times New Roman" w:hAnsi="Times New Roman" w:cs="Times New Roman"/>
          <w:sz w:val="21"/>
          <w:szCs w:val="21"/>
        </w:rPr>
        <w:t>, с. 57].</w:t>
      </w:r>
      <w:r w:rsidRPr="002D7E21">
        <w:rPr>
          <w:rFonts w:ascii="Times New Roman" w:hAnsi="Times New Roman" w:cs="Times New Roman"/>
          <w:spacing w:val="-2"/>
          <w:sz w:val="21"/>
          <w:szCs w:val="21"/>
        </w:rPr>
        <w:t xml:space="preserve"> Проведення сприятливих для розвитку бізнесу макроекономічних перетворень заохочує рееміграцію та циркуляцію спеціалістів, як це відбулось в Кореї, Китаї, Індії </w:t>
      </w:r>
      <w:r>
        <w:rPr>
          <w:rFonts w:ascii="Times New Roman" w:hAnsi="Times New Roman" w:cs="Times New Roman"/>
          <w:spacing w:val="-2"/>
          <w:sz w:val="21"/>
          <w:szCs w:val="21"/>
        </w:rPr>
        <w:t>й</w:t>
      </w:r>
      <w:r w:rsidRPr="002D7E21">
        <w:rPr>
          <w:rFonts w:ascii="Times New Roman" w:hAnsi="Times New Roman" w:cs="Times New Roman"/>
          <w:spacing w:val="-2"/>
          <w:sz w:val="21"/>
          <w:szCs w:val="21"/>
        </w:rPr>
        <w:t xml:space="preserve"> інших країн Південно-Східної Азії, куди масово повертаються вчені та підприємці з розвинутих країн призначення [</w:t>
      </w:r>
      <w:r>
        <w:rPr>
          <w:rFonts w:ascii="Times New Roman" w:hAnsi="Times New Roman" w:cs="Times New Roman"/>
          <w:bCs/>
          <w:sz w:val="21"/>
          <w:szCs w:val="21"/>
          <w:highlight w:val="yellow"/>
        </w:rPr>
        <w:fldChar w:fldCharType="begin"/>
      </w:r>
      <w:r>
        <w:rPr>
          <w:rFonts w:ascii="Times New Roman" w:hAnsi="Times New Roman" w:cs="Times New Roman"/>
          <w:spacing w:val="-2"/>
          <w:sz w:val="21"/>
          <w:szCs w:val="21"/>
        </w:rPr>
        <w:instrText xml:space="preserve"> REF _Ref435182370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pacing w:val="-2"/>
          <w:sz w:val="21"/>
          <w:szCs w:val="21"/>
        </w:rPr>
        <w:t>7</w:t>
      </w:r>
      <w:r>
        <w:rPr>
          <w:rFonts w:ascii="Times New Roman" w:hAnsi="Times New Roman" w:cs="Times New Roman"/>
          <w:bCs/>
          <w:sz w:val="21"/>
          <w:szCs w:val="21"/>
          <w:highlight w:val="yellow"/>
        </w:rPr>
        <w:fldChar w:fldCharType="end"/>
      </w:r>
      <w:r w:rsidRPr="002D7E21">
        <w:rPr>
          <w:rFonts w:ascii="Times New Roman" w:hAnsi="Times New Roman" w:cs="Times New Roman"/>
          <w:spacing w:val="-2"/>
          <w:sz w:val="21"/>
          <w:szCs w:val="21"/>
        </w:rPr>
        <w:t xml:space="preserve">, </w:t>
      </w:r>
      <w:r w:rsidRPr="002D7E21">
        <w:rPr>
          <w:rFonts w:ascii="Times New Roman" w:hAnsi="Times New Roman" w:cs="Times New Roman"/>
          <w:spacing w:val="-2"/>
          <w:sz w:val="21"/>
          <w:szCs w:val="21"/>
          <w:lang w:val="en-US"/>
        </w:rPr>
        <w:t>c</w:t>
      </w:r>
      <w:r w:rsidRPr="002D7E21">
        <w:rPr>
          <w:rFonts w:ascii="Times New Roman" w:hAnsi="Times New Roman" w:cs="Times New Roman"/>
          <w:spacing w:val="-2"/>
          <w:sz w:val="21"/>
          <w:szCs w:val="21"/>
        </w:rPr>
        <w:t>.</w:t>
      </w:r>
      <w:r>
        <w:rPr>
          <w:rFonts w:ascii="Times New Roman" w:hAnsi="Times New Roman" w:cs="Times New Roman"/>
          <w:spacing w:val="-2"/>
          <w:sz w:val="21"/>
          <w:szCs w:val="21"/>
        </w:rPr>
        <w:t xml:space="preserve"> </w:t>
      </w:r>
      <w:r w:rsidRPr="002D7E21">
        <w:rPr>
          <w:rFonts w:ascii="Times New Roman" w:hAnsi="Times New Roman" w:cs="Times New Roman"/>
          <w:spacing w:val="-2"/>
          <w:sz w:val="21"/>
          <w:szCs w:val="21"/>
        </w:rPr>
        <w:t>119]. Дослідження [</w:t>
      </w:r>
      <w:r>
        <w:rPr>
          <w:rFonts w:ascii="Times New Roman" w:hAnsi="Times New Roman" w:cs="Times New Roman"/>
          <w:sz w:val="21"/>
          <w:szCs w:val="21"/>
          <w:highlight w:val="yellow"/>
          <w:lang w:val="en-US"/>
        </w:rPr>
        <w:fldChar w:fldCharType="begin"/>
      </w:r>
      <w:r>
        <w:rPr>
          <w:rFonts w:ascii="Times New Roman" w:hAnsi="Times New Roman" w:cs="Times New Roman"/>
          <w:spacing w:val="-2"/>
          <w:sz w:val="21"/>
          <w:szCs w:val="21"/>
        </w:rPr>
        <w:instrText xml:space="preserve"> REF _Ref435187016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pacing w:val="-2"/>
          <w:sz w:val="21"/>
          <w:szCs w:val="21"/>
        </w:rPr>
        <w:t>65</w:t>
      </w:r>
      <w:r>
        <w:rPr>
          <w:rFonts w:ascii="Times New Roman" w:hAnsi="Times New Roman" w:cs="Times New Roman"/>
          <w:sz w:val="21"/>
          <w:szCs w:val="21"/>
          <w:highlight w:val="yellow"/>
          <w:lang w:val="en-US"/>
        </w:rPr>
        <w:fldChar w:fldCharType="end"/>
      </w:r>
      <w:r w:rsidRPr="002D7E21">
        <w:rPr>
          <w:rFonts w:ascii="Times New Roman" w:hAnsi="Times New Roman" w:cs="Times New Roman"/>
          <w:spacing w:val="-2"/>
          <w:sz w:val="21"/>
          <w:szCs w:val="21"/>
        </w:rPr>
        <w:t xml:space="preserve">, </w:t>
      </w:r>
      <w:r w:rsidRPr="002D7E21">
        <w:rPr>
          <w:rFonts w:ascii="Times New Roman" w:hAnsi="Times New Roman" w:cs="Times New Roman"/>
          <w:spacing w:val="-2"/>
          <w:sz w:val="21"/>
          <w:szCs w:val="21"/>
          <w:lang w:val="en-US"/>
        </w:rPr>
        <w:t>c</w:t>
      </w:r>
      <w:r w:rsidRPr="002D7E21">
        <w:rPr>
          <w:rFonts w:ascii="Times New Roman" w:hAnsi="Times New Roman" w:cs="Times New Roman"/>
          <w:spacing w:val="-2"/>
          <w:sz w:val="21"/>
          <w:szCs w:val="21"/>
        </w:rPr>
        <w:t xml:space="preserve">. 28] підтверджують, що покращення якості життя в Україні є вагомим стимулом до зворотної міграції. На думку самих мігрантів, </w:t>
      </w:r>
      <w:r w:rsidRPr="002D7E21">
        <w:rPr>
          <w:rFonts w:ascii="Times New Roman" w:hAnsi="Times New Roman" w:cs="Times New Roman"/>
          <w:spacing w:val="-2"/>
          <w:sz w:val="21"/>
          <w:szCs w:val="21"/>
        </w:rPr>
        <w:lastRenderedPageBreak/>
        <w:t>основними складовими покращення якості життя, що можуть посприяти рееміграції, є побудова правової держави, сприятливі умови ведення бізнесу, покращення соціального захисту, покращення якості та доступу до медичних послуг (29</w:t>
      </w:r>
      <w:r>
        <w:rPr>
          <w:rFonts w:ascii="Times New Roman" w:hAnsi="Times New Roman" w:cs="Times New Roman"/>
          <w:spacing w:val="-2"/>
          <w:sz w:val="21"/>
          <w:szCs w:val="21"/>
        </w:rPr>
        <w:t xml:space="preserve"> </w:t>
      </w:r>
      <w:r w:rsidRPr="002D7E21">
        <w:rPr>
          <w:rFonts w:ascii="Times New Roman" w:hAnsi="Times New Roman" w:cs="Times New Roman"/>
          <w:spacing w:val="-2"/>
          <w:sz w:val="21"/>
          <w:szCs w:val="21"/>
        </w:rPr>
        <w:t>% респондентів).</w:t>
      </w:r>
    </w:p>
    <w:p w:rsidR="00B233DE" w:rsidRPr="002D7E21" w:rsidRDefault="00B233DE" w:rsidP="00B233DE">
      <w:pPr>
        <w:tabs>
          <w:tab w:val="left" w:pos="900"/>
        </w:tabs>
        <w:ind w:firstLine="709"/>
        <w:jc w:val="both"/>
        <w:rPr>
          <w:rFonts w:ascii="Times New Roman" w:hAnsi="Times New Roman" w:cs="Times New Roman"/>
          <w:sz w:val="21"/>
          <w:szCs w:val="21"/>
        </w:rPr>
      </w:pPr>
      <w:r w:rsidRPr="002D7E21">
        <w:rPr>
          <w:rFonts w:ascii="Times New Roman" w:hAnsi="Times New Roman" w:cs="Times New Roman"/>
          <w:sz w:val="21"/>
          <w:szCs w:val="21"/>
        </w:rPr>
        <w:t xml:space="preserve">4. Політика активного залучення кваліфікованих іммігрантів передбачає розповсюдження інформації про країну, а саме відомостей про пропозицію робочих місць, кар’єрні можливості, систему освіти, безпеку, доступ до системи охорони здоров’я, навколишнє середовище (табл. </w:t>
      </w:r>
      <w:r>
        <w:rPr>
          <w:rFonts w:ascii="Times New Roman" w:hAnsi="Times New Roman" w:cs="Times New Roman"/>
          <w:sz w:val="21"/>
          <w:szCs w:val="21"/>
        </w:rPr>
        <w:t>4.6</w:t>
      </w:r>
      <w:r w:rsidRPr="002D7E21">
        <w:rPr>
          <w:rFonts w:ascii="Times New Roman" w:hAnsi="Times New Roman" w:cs="Times New Roman"/>
          <w:sz w:val="21"/>
          <w:szCs w:val="21"/>
        </w:rPr>
        <w:t xml:space="preserve">). </w:t>
      </w:r>
    </w:p>
    <w:p w:rsidR="00B233DE" w:rsidRPr="002D7E21" w:rsidRDefault="00B233DE" w:rsidP="00B233DE">
      <w:pPr>
        <w:ind w:firstLine="708"/>
        <w:jc w:val="both"/>
        <w:rPr>
          <w:rFonts w:ascii="Times New Roman" w:hAnsi="Times New Roman" w:cs="Times New Roman"/>
          <w:sz w:val="21"/>
          <w:szCs w:val="21"/>
        </w:rPr>
      </w:pPr>
      <w:r w:rsidRPr="002D7E21">
        <w:rPr>
          <w:rFonts w:ascii="Times New Roman" w:hAnsi="Times New Roman" w:cs="Times New Roman"/>
          <w:sz w:val="21"/>
          <w:szCs w:val="21"/>
        </w:rPr>
        <w:t>Інструменти міграційного перерозподілу ЛП, що застосовуються на адміністративно-правовому рівні, передбачають заходи селективної імміграції, політику сприяння рееміграції, адаптацію і інтеграцію мігрантів, стимулювання тимчасової міграції, спільне фінансування підготовки кваліфікованих кадрів в країні походження, використання транснаціональних зв’язків мігрантів для підвищення людського потенціалу країн походження.</w:t>
      </w:r>
    </w:p>
    <w:p w:rsidR="00B233DE" w:rsidRPr="0098012B" w:rsidRDefault="00B233DE" w:rsidP="00B233DE">
      <w:pPr>
        <w:tabs>
          <w:tab w:val="left" w:pos="900"/>
        </w:tabs>
        <w:ind w:firstLine="720"/>
        <w:jc w:val="both"/>
        <w:rPr>
          <w:rFonts w:ascii="Times New Roman" w:hAnsi="Times New Roman" w:cs="Times New Roman"/>
          <w:sz w:val="21"/>
          <w:szCs w:val="21"/>
        </w:rPr>
      </w:pPr>
      <w:r w:rsidRPr="0098012B">
        <w:rPr>
          <w:rFonts w:ascii="Times New Roman" w:hAnsi="Times New Roman" w:cs="Times New Roman"/>
          <w:sz w:val="21"/>
          <w:szCs w:val="21"/>
        </w:rPr>
        <w:t>Інструменти організаційно-економічного рівня є конкретними заходами, що здійснюються в межах застосування інструментів адміністративно-правового рівня.</w:t>
      </w:r>
    </w:p>
    <w:p w:rsidR="00B233DE" w:rsidRPr="0098012B" w:rsidRDefault="00B233DE" w:rsidP="00B233DE">
      <w:pPr>
        <w:tabs>
          <w:tab w:val="left" w:pos="900"/>
        </w:tabs>
        <w:ind w:firstLine="720"/>
        <w:jc w:val="both"/>
        <w:rPr>
          <w:rFonts w:ascii="Times New Roman" w:hAnsi="Times New Roman" w:cs="Times New Roman"/>
          <w:sz w:val="21"/>
          <w:szCs w:val="21"/>
        </w:rPr>
      </w:pPr>
      <w:r w:rsidRPr="0098012B">
        <w:rPr>
          <w:rFonts w:ascii="Times New Roman" w:hAnsi="Times New Roman" w:cs="Times New Roman"/>
          <w:sz w:val="21"/>
          <w:szCs w:val="21"/>
        </w:rPr>
        <w:t>1. Заходи селективної імміграції. Невід’ємним заходом перед залученням іноземних працівників є дослідження потреби ринку праці у трудових мігрантах зі спеціальною професійною підготовкою у випадках, коли не вистачає специфічної робочої сили відп</w:t>
      </w:r>
      <w:r>
        <w:rPr>
          <w:rFonts w:ascii="Times New Roman" w:hAnsi="Times New Roman" w:cs="Times New Roman"/>
          <w:sz w:val="21"/>
          <w:szCs w:val="21"/>
        </w:rPr>
        <w:t>овідної кваліфікації</w:t>
      </w:r>
      <w:r w:rsidRPr="0098012B">
        <w:rPr>
          <w:rFonts w:ascii="Times New Roman" w:hAnsi="Times New Roman" w:cs="Times New Roman"/>
          <w:sz w:val="21"/>
          <w:szCs w:val="21"/>
        </w:rPr>
        <w:t>.</w:t>
      </w:r>
    </w:p>
    <w:p w:rsidR="00B233DE" w:rsidRPr="0098012B" w:rsidRDefault="00B233DE" w:rsidP="00B233DE">
      <w:pPr>
        <w:tabs>
          <w:tab w:val="left" w:pos="900"/>
        </w:tabs>
        <w:ind w:firstLine="720"/>
        <w:jc w:val="both"/>
        <w:rPr>
          <w:rFonts w:ascii="Times New Roman" w:hAnsi="Times New Roman" w:cs="Times New Roman"/>
          <w:sz w:val="21"/>
          <w:szCs w:val="21"/>
        </w:rPr>
      </w:pPr>
      <w:r w:rsidRPr="0098012B">
        <w:rPr>
          <w:rFonts w:ascii="Times New Roman" w:hAnsi="Times New Roman" w:cs="Times New Roman"/>
          <w:sz w:val="21"/>
          <w:szCs w:val="21"/>
        </w:rPr>
        <w:t>На сучасному етапі в провідних країнах імміграції сформувались дві основних системи відбору постійних мігрантів: преференційна і бальна.</w:t>
      </w:r>
    </w:p>
    <w:p w:rsidR="00B233DE" w:rsidRDefault="00B233DE" w:rsidP="00B233DE">
      <w:pPr>
        <w:ind w:firstLine="708"/>
        <w:jc w:val="both"/>
        <w:rPr>
          <w:rFonts w:ascii="Times New Roman" w:hAnsi="Times New Roman" w:cs="Times New Roman"/>
          <w:sz w:val="21"/>
          <w:szCs w:val="21"/>
        </w:rPr>
      </w:pPr>
      <w:r w:rsidRPr="0098012B">
        <w:rPr>
          <w:rFonts w:ascii="Times New Roman" w:hAnsi="Times New Roman" w:cs="Times New Roman"/>
          <w:sz w:val="21"/>
          <w:szCs w:val="21"/>
        </w:rPr>
        <w:t>В бальній (або рейтинговій) системі особисті якості іммігрантів – вік, рівень освіти, знання мови – отримують якісну оцінку на основі заздалегідь оголошених критеріїв. Такий відбір набув поширення у Великобританії, Німеччині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_Ref435187024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36</w:t>
      </w:r>
      <w:r>
        <w:rPr>
          <w:rFonts w:ascii="Times New Roman" w:hAnsi="Times New Roman" w:cs="Times New Roman"/>
          <w:sz w:val="21"/>
          <w:szCs w:val="21"/>
          <w:highlight w:val="yellow"/>
        </w:rPr>
        <w:fldChar w:fldCharType="end"/>
      </w:r>
      <w:r w:rsidRPr="0098012B">
        <w:rPr>
          <w:rFonts w:ascii="Times New Roman" w:hAnsi="Times New Roman" w:cs="Times New Roman"/>
          <w:sz w:val="21"/>
          <w:szCs w:val="21"/>
        </w:rPr>
        <w:t xml:space="preserve">, </w:t>
      </w:r>
      <w:r w:rsidRPr="0098012B">
        <w:rPr>
          <w:rFonts w:ascii="Times New Roman" w:hAnsi="Times New Roman" w:cs="Times New Roman"/>
          <w:sz w:val="21"/>
          <w:szCs w:val="21"/>
          <w:lang w:val="en-US"/>
        </w:rPr>
        <w:t>c</w:t>
      </w:r>
      <w:r w:rsidRPr="0098012B">
        <w:rPr>
          <w:rFonts w:ascii="Times New Roman" w:hAnsi="Times New Roman" w:cs="Times New Roman"/>
          <w:sz w:val="21"/>
          <w:szCs w:val="21"/>
        </w:rPr>
        <w:t>. 173], Австралії і Новій Зеландії. У Великобританії бали надаються за диплом про освіту, попередні доходи, досвід проживання в країні, знання англійської мови і наявні заощадження [</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_Ref435184022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91</w:t>
      </w:r>
      <w:r>
        <w:rPr>
          <w:rFonts w:ascii="Times New Roman" w:hAnsi="Times New Roman" w:cs="Times New Roman"/>
          <w:sz w:val="21"/>
          <w:szCs w:val="21"/>
          <w:highlight w:val="yellow"/>
          <w:lang w:val="en-US"/>
        </w:rPr>
        <w:fldChar w:fldCharType="end"/>
      </w:r>
      <w:r w:rsidRPr="0098012B">
        <w:rPr>
          <w:rFonts w:ascii="Times New Roman" w:hAnsi="Times New Roman" w:cs="Times New Roman"/>
          <w:sz w:val="21"/>
          <w:szCs w:val="21"/>
        </w:rPr>
        <w:t>]. Мігранти мають право на в’їзд без запрошення від роботодавця, але при цьому відбір залежить від якостей самого мігранта – який вид кадрів він представляє.</w:t>
      </w:r>
    </w:p>
    <w:p w:rsidR="00B233DE" w:rsidRDefault="00B233DE" w:rsidP="00B233DE">
      <w:pPr>
        <w:rPr>
          <w:rFonts w:ascii="Times New Roman" w:hAnsi="Times New Roman" w:cs="Times New Roman"/>
          <w:sz w:val="21"/>
          <w:szCs w:val="21"/>
        </w:rPr>
      </w:pPr>
      <w:r>
        <w:rPr>
          <w:rFonts w:ascii="Times New Roman" w:hAnsi="Times New Roman" w:cs="Times New Roman"/>
          <w:sz w:val="21"/>
          <w:szCs w:val="21"/>
        </w:rPr>
        <w:br w:type="page"/>
      </w:r>
    </w:p>
    <w:p w:rsidR="00B233DE" w:rsidRDefault="00B233DE" w:rsidP="00B233DE">
      <w:pPr>
        <w:ind w:firstLine="708"/>
        <w:jc w:val="both"/>
        <w:rPr>
          <w:rFonts w:ascii="Times New Roman" w:hAnsi="Times New Roman" w:cs="Times New Roman"/>
          <w:sz w:val="21"/>
          <w:szCs w:val="21"/>
        </w:rPr>
        <w:sectPr w:rsidR="00B233DE" w:rsidSect="0023489B">
          <w:pgSz w:w="8392" w:h="11907" w:code="11"/>
          <w:pgMar w:top="1134" w:right="1134" w:bottom="1134" w:left="1134" w:header="709" w:footer="709" w:gutter="0"/>
          <w:cols w:space="708"/>
          <w:docGrid w:linePitch="360"/>
        </w:sectPr>
      </w:pPr>
    </w:p>
    <w:p w:rsidR="00B233DE" w:rsidRPr="00981A7B" w:rsidRDefault="00B233DE" w:rsidP="00B233DE">
      <w:pPr>
        <w:spacing w:line="276" w:lineRule="auto"/>
        <w:ind w:firstLine="709"/>
        <w:jc w:val="right"/>
        <w:rPr>
          <w:rFonts w:ascii="Times New Roman" w:hAnsi="Times New Roman" w:cs="Times New Roman"/>
          <w:sz w:val="21"/>
          <w:szCs w:val="21"/>
        </w:rPr>
      </w:pPr>
      <w:r w:rsidRPr="00981A7B">
        <w:rPr>
          <w:rFonts w:ascii="Times New Roman" w:hAnsi="Times New Roman" w:cs="Times New Roman"/>
          <w:sz w:val="21"/>
          <w:szCs w:val="21"/>
        </w:rPr>
        <w:lastRenderedPageBreak/>
        <w:t xml:space="preserve">Таблиця </w:t>
      </w:r>
      <w:r>
        <w:rPr>
          <w:rFonts w:ascii="Times New Roman" w:hAnsi="Times New Roman" w:cs="Times New Roman"/>
          <w:sz w:val="21"/>
          <w:szCs w:val="21"/>
        </w:rPr>
        <w:t>4.6</w:t>
      </w:r>
    </w:p>
    <w:p w:rsidR="00B233DE" w:rsidRPr="00981A7B" w:rsidRDefault="00B233DE" w:rsidP="00B233DE">
      <w:pPr>
        <w:spacing w:line="276" w:lineRule="auto"/>
        <w:ind w:firstLine="709"/>
        <w:jc w:val="center"/>
        <w:rPr>
          <w:rFonts w:ascii="Times New Roman" w:hAnsi="Times New Roman" w:cs="Times New Roman"/>
          <w:b/>
          <w:sz w:val="21"/>
          <w:szCs w:val="21"/>
        </w:rPr>
      </w:pPr>
      <w:r w:rsidRPr="00981A7B">
        <w:rPr>
          <w:rFonts w:ascii="Times New Roman" w:hAnsi="Times New Roman" w:cs="Times New Roman"/>
          <w:b/>
          <w:sz w:val="21"/>
          <w:szCs w:val="21"/>
        </w:rPr>
        <w:t>Інструменти міграційного перерозподілу людського потенціалу, що застосовуються на адміністративно-правовому і організаційно-економічному рівнях</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3"/>
        <w:gridCol w:w="2816"/>
        <w:gridCol w:w="5806"/>
      </w:tblGrid>
      <w:tr w:rsidR="00B233DE" w:rsidRPr="00EE20F5" w:rsidTr="0023489B">
        <w:tc>
          <w:tcPr>
            <w:tcW w:w="1153" w:type="dxa"/>
          </w:tcPr>
          <w:p w:rsidR="00B233DE" w:rsidRPr="00981A7B" w:rsidRDefault="00B233DE" w:rsidP="0023489B">
            <w:pPr>
              <w:ind w:left="-108" w:right="-124" w:firstLine="0"/>
              <w:jc w:val="center"/>
              <w:rPr>
                <w:rFonts w:ascii="Times New Roman" w:hAnsi="Times New Roman" w:cs="Times New Roman"/>
                <w:sz w:val="16"/>
                <w:szCs w:val="16"/>
              </w:rPr>
            </w:pPr>
            <w:r w:rsidRPr="00981A7B">
              <w:rPr>
                <w:rFonts w:ascii="Times New Roman" w:hAnsi="Times New Roman" w:cs="Times New Roman"/>
                <w:sz w:val="16"/>
                <w:szCs w:val="16"/>
              </w:rPr>
              <w:t>Інструмент</w:t>
            </w:r>
          </w:p>
        </w:tc>
        <w:tc>
          <w:tcPr>
            <w:tcW w:w="2816" w:type="dxa"/>
          </w:tcPr>
          <w:p w:rsidR="00B233DE" w:rsidRPr="00981A7B" w:rsidRDefault="00B233DE" w:rsidP="0023489B">
            <w:pPr>
              <w:ind w:left="-108" w:right="-124" w:firstLine="0"/>
              <w:jc w:val="center"/>
              <w:rPr>
                <w:rFonts w:ascii="Times New Roman" w:hAnsi="Times New Roman" w:cs="Times New Roman"/>
                <w:sz w:val="16"/>
                <w:szCs w:val="16"/>
              </w:rPr>
            </w:pPr>
            <w:r w:rsidRPr="00981A7B">
              <w:rPr>
                <w:rFonts w:ascii="Times New Roman" w:hAnsi="Times New Roman" w:cs="Times New Roman"/>
                <w:sz w:val="16"/>
                <w:szCs w:val="16"/>
              </w:rPr>
              <w:t>Особливості застосування</w:t>
            </w:r>
          </w:p>
        </w:tc>
        <w:tc>
          <w:tcPr>
            <w:tcW w:w="5806" w:type="dxa"/>
          </w:tcPr>
          <w:p w:rsidR="00B233DE" w:rsidRPr="00981A7B" w:rsidRDefault="00B233DE" w:rsidP="0023489B">
            <w:pPr>
              <w:ind w:left="-108" w:right="-124" w:firstLine="0"/>
              <w:jc w:val="center"/>
              <w:rPr>
                <w:rFonts w:ascii="Times New Roman" w:hAnsi="Times New Roman" w:cs="Times New Roman"/>
                <w:sz w:val="16"/>
                <w:szCs w:val="16"/>
              </w:rPr>
            </w:pPr>
            <w:r w:rsidRPr="00981A7B">
              <w:rPr>
                <w:rFonts w:ascii="Times New Roman" w:hAnsi="Times New Roman" w:cs="Times New Roman"/>
                <w:sz w:val="16"/>
                <w:szCs w:val="16"/>
              </w:rPr>
              <w:t>Міжнародний досвід застосування</w:t>
            </w:r>
          </w:p>
        </w:tc>
      </w:tr>
      <w:tr w:rsidR="00B233DE" w:rsidRPr="00EE20F5" w:rsidTr="0023489B">
        <w:tc>
          <w:tcPr>
            <w:tcW w:w="1153" w:type="dxa"/>
          </w:tcPr>
          <w:p w:rsidR="00B233DE" w:rsidRPr="00981A7B" w:rsidRDefault="00B233DE" w:rsidP="0023489B">
            <w:pPr>
              <w:ind w:left="-108" w:right="-124" w:firstLine="0"/>
              <w:jc w:val="center"/>
              <w:rPr>
                <w:rFonts w:ascii="Times New Roman" w:hAnsi="Times New Roman" w:cs="Times New Roman"/>
                <w:sz w:val="16"/>
                <w:szCs w:val="16"/>
              </w:rPr>
            </w:pPr>
            <w:r>
              <w:rPr>
                <w:rFonts w:ascii="Times New Roman" w:hAnsi="Times New Roman" w:cs="Times New Roman"/>
                <w:sz w:val="16"/>
                <w:szCs w:val="16"/>
              </w:rPr>
              <w:t>1</w:t>
            </w:r>
          </w:p>
        </w:tc>
        <w:tc>
          <w:tcPr>
            <w:tcW w:w="2816" w:type="dxa"/>
          </w:tcPr>
          <w:p w:rsidR="00B233DE" w:rsidRPr="00981A7B" w:rsidRDefault="00B233DE" w:rsidP="0023489B">
            <w:pPr>
              <w:ind w:left="-108" w:right="-124" w:firstLine="0"/>
              <w:jc w:val="center"/>
              <w:rPr>
                <w:rFonts w:ascii="Times New Roman" w:hAnsi="Times New Roman" w:cs="Times New Roman"/>
                <w:sz w:val="16"/>
                <w:szCs w:val="16"/>
              </w:rPr>
            </w:pPr>
            <w:r>
              <w:rPr>
                <w:rFonts w:ascii="Times New Roman" w:hAnsi="Times New Roman" w:cs="Times New Roman"/>
                <w:sz w:val="16"/>
                <w:szCs w:val="16"/>
              </w:rPr>
              <w:t>2</w:t>
            </w:r>
          </w:p>
        </w:tc>
        <w:tc>
          <w:tcPr>
            <w:tcW w:w="5806" w:type="dxa"/>
          </w:tcPr>
          <w:p w:rsidR="00B233DE" w:rsidRPr="00981A7B" w:rsidRDefault="00B233DE" w:rsidP="0023489B">
            <w:pPr>
              <w:ind w:left="-108" w:right="-124" w:firstLine="0"/>
              <w:jc w:val="center"/>
              <w:rPr>
                <w:rFonts w:ascii="Times New Roman" w:hAnsi="Times New Roman" w:cs="Times New Roman"/>
                <w:sz w:val="16"/>
                <w:szCs w:val="16"/>
              </w:rPr>
            </w:pPr>
            <w:r>
              <w:rPr>
                <w:rFonts w:ascii="Times New Roman" w:hAnsi="Times New Roman" w:cs="Times New Roman"/>
                <w:sz w:val="16"/>
                <w:szCs w:val="16"/>
              </w:rPr>
              <w:t>3</w:t>
            </w:r>
          </w:p>
        </w:tc>
      </w:tr>
      <w:tr w:rsidR="00B233DE" w:rsidRPr="00F97C75" w:rsidTr="0023489B">
        <w:tc>
          <w:tcPr>
            <w:tcW w:w="1153" w:type="dxa"/>
          </w:tcPr>
          <w:p w:rsidR="00B233DE" w:rsidRPr="00981A7B" w:rsidRDefault="00B233DE" w:rsidP="0023489B">
            <w:pPr>
              <w:ind w:left="-108" w:right="-124" w:firstLine="0"/>
              <w:jc w:val="center"/>
              <w:rPr>
                <w:rFonts w:ascii="Times New Roman" w:hAnsi="Times New Roman" w:cs="Times New Roman"/>
                <w:spacing w:val="-6"/>
                <w:sz w:val="16"/>
                <w:szCs w:val="16"/>
              </w:rPr>
            </w:pPr>
            <w:r w:rsidRPr="00981A7B">
              <w:rPr>
                <w:rFonts w:ascii="Times New Roman" w:hAnsi="Times New Roman" w:cs="Times New Roman"/>
                <w:spacing w:val="-6"/>
                <w:sz w:val="16"/>
                <w:szCs w:val="16"/>
              </w:rPr>
              <w:t>Заходи селективної імміграції</w:t>
            </w:r>
          </w:p>
        </w:tc>
        <w:tc>
          <w:tcPr>
            <w:tcW w:w="2816" w:type="dxa"/>
          </w:tcPr>
          <w:p w:rsidR="00B233DE" w:rsidRPr="00B47CC0" w:rsidRDefault="00B233DE" w:rsidP="0023489B">
            <w:pPr>
              <w:ind w:firstLine="0"/>
              <w:jc w:val="both"/>
              <w:rPr>
                <w:rFonts w:ascii="Times New Roman" w:hAnsi="Times New Roman" w:cs="Times New Roman"/>
                <w:spacing w:val="-6"/>
                <w:sz w:val="16"/>
                <w:szCs w:val="16"/>
              </w:rPr>
            </w:pPr>
            <w:r w:rsidRPr="00981A7B">
              <w:rPr>
                <w:rFonts w:ascii="Times New Roman" w:hAnsi="Times New Roman" w:cs="Times New Roman"/>
                <w:spacing w:val="-6"/>
                <w:sz w:val="16"/>
                <w:szCs w:val="16"/>
              </w:rPr>
              <w:t xml:space="preserve">Дослідження ринку праці країн призначення перед залученням іммігрантів передбачає надання інформації іммігрантам про вільні </w:t>
            </w:r>
            <w:r w:rsidRPr="00B47CC0">
              <w:rPr>
                <w:rFonts w:ascii="Times New Roman" w:hAnsi="Times New Roman" w:cs="Times New Roman"/>
                <w:spacing w:val="-6"/>
                <w:sz w:val="16"/>
                <w:szCs w:val="16"/>
              </w:rPr>
              <w:t>вакансії, які не можуть бути заповненими національними працівни-ками [</w:t>
            </w:r>
            <w:r>
              <w:rPr>
                <w:rFonts w:ascii="Times New Roman" w:hAnsi="Times New Roman" w:cs="Times New Roman"/>
                <w:sz w:val="16"/>
                <w:szCs w:val="16"/>
                <w:highlight w:val="yellow"/>
                <w:lang w:val="en-US"/>
              </w:rPr>
              <w:fldChar w:fldCharType="begin"/>
            </w:r>
            <w:r>
              <w:rPr>
                <w:rFonts w:ascii="Times New Roman" w:hAnsi="Times New Roman" w:cs="Times New Roman"/>
                <w:spacing w:val="-6"/>
                <w:sz w:val="16"/>
                <w:szCs w:val="16"/>
              </w:rPr>
              <w:instrText xml:space="preserve"> REF _Ref435186361 \r \h </w:instrText>
            </w:r>
            <w:r>
              <w:rPr>
                <w:rFonts w:ascii="Times New Roman" w:hAnsi="Times New Roman" w:cs="Times New Roman"/>
                <w:sz w:val="16"/>
                <w:szCs w:val="16"/>
                <w:highlight w:val="yellow"/>
                <w:lang w:val="en-US"/>
              </w:rPr>
            </w:r>
            <w:r>
              <w:rPr>
                <w:rFonts w:ascii="Times New Roman" w:hAnsi="Times New Roman" w:cs="Times New Roman"/>
                <w:sz w:val="16"/>
                <w:szCs w:val="16"/>
                <w:highlight w:val="yellow"/>
                <w:lang w:val="en-US"/>
              </w:rPr>
              <w:fldChar w:fldCharType="separate"/>
            </w:r>
            <w:r>
              <w:rPr>
                <w:rFonts w:ascii="Times New Roman" w:hAnsi="Times New Roman" w:cs="Times New Roman"/>
                <w:spacing w:val="-6"/>
                <w:sz w:val="16"/>
                <w:szCs w:val="16"/>
              </w:rPr>
              <w:t>99</w:t>
            </w:r>
            <w:r>
              <w:rPr>
                <w:rFonts w:ascii="Times New Roman" w:hAnsi="Times New Roman" w:cs="Times New Roman"/>
                <w:sz w:val="16"/>
                <w:szCs w:val="16"/>
                <w:highlight w:val="yellow"/>
                <w:lang w:val="en-US"/>
              </w:rPr>
              <w:fldChar w:fldCharType="end"/>
            </w:r>
            <w:r w:rsidRPr="00B47CC0">
              <w:rPr>
                <w:rFonts w:ascii="Times New Roman" w:hAnsi="Times New Roman" w:cs="Times New Roman"/>
                <w:spacing w:val="-6"/>
                <w:sz w:val="16"/>
                <w:szCs w:val="16"/>
              </w:rPr>
              <w:t>]. В результаті попереднього такого дослідження країни складають списки необхідних професій іммігрантів.</w:t>
            </w:r>
          </w:p>
          <w:p w:rsidR="00B233DE" w:rsidRPr="00981A7B" w:rsidRDefault="00B233DE" w:rsidP="0023489B">
            <w:pPr>
              <w:ind w:firstLine="0"/>
              <w:jc w:val="both"/>
              <w:rPr>
                <w:rFonts w:ascii="Times New Roman" w:hAnsi="Times New Roman" w:cs="Times New Roman"/>
                <w:spacing w:val="-6"/>
                <w:sz w:val="16"/>
                <w:szCs w:val="16"/>
              </w:rPr>
            </w:pPr>
            <w:r w:rsidRPr="00B47CC0">
              <w:rPr>
                <w:rFonts w:ascii="Times New Roman" w:hAnsi="Times New Roman" w:cs="Times New Roman"/>
                <w:spacing w:val="-6"/>
                <w:sz w:val="16"/>
                <w:szCs w:val="16"/>
              </w:rPr>
              <w:t>Необхідною є також розробка прогнозів попиту і пропозиції найбільш важливих для економіки працівників для отримання інформації щодо необхідності залучення іноземних спеціалістів [</w:t>
            </w:r>
            <w:r>
              <w:rPr>
                <w:rStyle w:val="heading"/>
                <w:rFonts w:ascii="Times New Roman" w:hAnsi="Times New Roman" w:cs="Times New Roman"/>
                <w:sz w:val="16"/>
                <w:szCs w:val="16"/>
                <w:highlight w:val="yellow"/>
                <w:lang w:val="en-US"/>
              </w:rPr>
              <w:fldChar w:fldCharType="begin"/>
            </w:r>
            <w:r>
              <w:rPr>
                <w:rFonts w:ascii="Times New Roman" w:hAnsi="Times New Roman" w:cs="Times New Roman"/>
                <w:spacing w:val="-6"/>
                <w:sz w:val="16"/>
                <w:szCs w:val="16"/>
              </w:rPr>
              <w:instrText xml:space="preserve"> REF _Ref435182634 \r \h </w:instrText>
            </w:r>
            <w:r>
              <w:rPr>
                <w:rStyle w:val="heading"/>
                <w:rFonts w:ascii="Times New Roman" w:hAnsi="Times New Roman" w:cs="Times New Roman"/>
                <w:sz w:val="16"/>
                <w:szCs w:val="16"/>
                <w:highlight w:val="yellow"/>
                <w:lang w:val="en-US"/>
              </w:rPr>
            </w:r>
            <w:r>
              <w:rPr>
                <w:rStyle w:val="heading"/>
                <w:rFonts w:ascii="Times New Roman" w:hAnsi="Times New Roman" w:cs="Times New Roman"/>
                <w:sz w:val="16"/>
                <w:szCs w:val="16"/>
                <w:highlight w:val="yellow"/>
                <w:lang w:val="en-US"/>
              </w:rPr>
              <w:fldChar w:fldCharType="separate"/>
            </w:r>
            <w:r>
              <w:rPr>
                <w:rFonts w:ascii="Times New Roman" w:hAnsi="Times New Roman" w:cs="Times New Roman"/>
                <w:spacing w:val="-6"/>
                <w:sz w:val="16"/>
                <w:szCs w:val="16"/>
              </w:rPr>
              <w:t>101</w:t>
            </w:r>
            <w:r>
              <w:rPr>
                <w:rStyle w:val="heading"/>
                <w:rFonts w:ascii="Times New Roman" w:hAnsi="Times New Roman" w:cs="Times New Roman"/>
                <w:sz w:val="16"/>
                <w:szCs w:val="16"/>
                <w:highlight w:val="yellow"/>
                <w:lang w:val="en-US"/>
              </w:rPr>
              <w:fldChar w:fldCharType="end"/>
            </w:r>
            <w:r w:rsidRPr="00B47CC0">
              <w:rPr>
                <w:rFonts w:ascii="Times New Roman" w:hAnsi="Times New Roman" w:cs="Times New Roman"/>
                <w:spacing w:val="-6"/>
                <w:sz w:val="16"/>
                <w:szCs w:val="16"/>
              </w:rPr>
              <w:t>].</w:t>
            </w:r>
          </w:p>
        </w:tc>
        <w:tc>
          <w:tcPr>
            <w:tcW w:w="5806" w:type="dxa"/>
          </w:tcPr>
          <w:p w:rsidR="00B233DE" w:rsidRPr="00B47CC0" w:rsidRDefault="00B233DE" w:rsidP="0023489B">
            <w:pPr>
              <w:tabs>
                <w:tab w:val="left" w:pos="900"/>
              </w:tabs>
              <w:ind w:firstLine="0"/>
              <w:jc w:val="both"/>
              <w:rPr>
                <w:rFonts w:ascii="Times New Roman" w:hAnsi="Times New Roman" w:cs="Times New Roman"/>
                <w:sz w:val="16"/>
                <w:szCs w:val="16"/>
              </w:rPr>
            </w:pPr>
            <w:r w:rsidRPr="00981A7B">
              <w:rPr>
                <w:rFonts w:ascii="Times New Roman" w:hAnsi="Times New Roman" w:cs="Times New Roman"/>
                <w:spacing w:val="-6"/>
                <w:sz w:val="16"/>
                <w:szCs w:val="16"/>
              </w:rPr>
              <w:t xml:space="preserve">Прийнята у 2005 р. у ЄС «Зелена книга», у якій висвітлюється підхід ЄС до управління економічною міграцією передбачає, що процедурі прийому на оплачувану роботу мігрантів має </w:t>
            </w:r>
            <w:r w:rsidRPr="00B967FA">
              <w:rPr>
                <w:rFonts w:ascii="Times New Roman" w:hAnsi="Times New Roman" w:cs="Times New Roman"/>
                <w:sz w:val="16"/>
                <w:szCs w:val="16"/>
              </w:rPr>
              <w:t xml:space="preserve">передувати тест на економічні потреби, тобто доведення того, що відповідні вакансії неможливо заповнити внутрішньою робочою силою та жодною частиною ринку праці країн ЄС. Після проведення даного тесту країни ЄС розглядають прохання про прийом на їх територію з метою зайнятості </w:t>
            </w:r>
            <w:r w:rsidRPr="00B47CC0">
              <w:rPr>
                <w:rFonts w:ascii="Times New Roman" w:hAnsi="Times New Roman" w:cs="Times New Roman"/>
                <w:sz w:val="16"/>
                <w:szCs w:val="16"/>
              </w:rPr>
              <w:t>працівників із дефіцитною спеціальною підготовкою через спеціальні схеми: процедуру швидкого курсу, спеціаль-ні карти. Прикладом процедури швидкого курсу є швидка схема робочих віз для спеціалістів в області ІТ в Нідерландах [</w:t>
            </w:r>
            <w:r>
              <w:rPr>
                <w:rFonts w:ascii="Times New Roman" w:hAnsi="Times New Roman" w:cs="Times New Roman"/>
                <w:sz w:val="16"/>
                <w:szCs w:val="16"/>
                <w:highlight w:val="yellow"/>
              </w:rPr>
              <w:fldChar w:fldCharType="begin"/>
            </w:r>
            <w:r>
              <w:rPr>
                <w:rFonts w:ascii="Times New Roman" w:hAnsi="Times New Roman" w:cs="Times New Roman"/>
                <w:sz w:val="16"/>
                <w:szCs w:val="16"/>
              </w:rPr>
              <w:instrText xml:space="preserve"> REF _Ref435186927 \r \h </w:instrText>
            </w:r>
            <w:r>
              <w:rPr>
                <w:rFonts w:ascii="Times New Roman" w:hAnsi="Times New Roman" w:cs="Times New Roman"/>
                <w:sz w:val="16"/>
                <w:szCs w:val="16"/>
                <w:highlight w:val="yellow"/>
              </w:rPr>
            </w:r>
            <w:r>
              <w:rPr>
                <w:rFonts w:ascii="Times New Roman" w:hAnsi="Times New Roman" w:cs="Times New Roman"/>
                <w:sz w:val="16"/>
                <w:szCs w:val="16"/>
                <w:highlight w:val="yellow"/>
              </w:rPr>
              <w:fldChar w:fldCharType="separate"/>
            </w:r>
            <w:r>
              <w:rPr>
                <w:rFonts w:ascii="Times New Roman" w:hAnsi="Times New Roman" w:cs="Times New Roman"/>
                <w:sz w:val="16"/>
                <w:szCs w:val="16"/>
              </w:rPr>
              <w:t>1</w:t>
            </w:r>
            <w:r>
              <w:rPr>
                <w:rFonts w:ascii="Times New Roman" w:hAnsi="Times New Roman" w:cs="Times New Roman"/>
                <w:sz w:val="16"/>
                <w:szCs w:val="16"/>
                <w:highlight w:val="yellow"/>
              </w:rPr>
              <w:fldChar w:fldCharType="end"/>
            </w:r>
            <w:r w:rsidRPr="00B47CC0">
              <w:rPr>
                <w:rFonts w:ascii="Times New Roman" w:hAnsi="Times New Roman" w:cs="Times New Roman"/>
                <w:sz w:val="16"/>
                <w:szCs w:val="16"/>
              </w:rPr>
              <w:t>]. Введення Блакитної карти (у всіх країнах ЄС з липня 2011 року) – спрощеної системи в’їзду для кваліфікованих</w:t>
            </w:r>
            <w:r w:rsidRPr="00B967FA">
              <w:rPr>
                <w:rFonts w:ascii="Times New Roman" w:hAnsi="Times New Roman" w:cs="Times New Roman"/>
                <w:sz w:val="16"/>
                <w:szCs w:val="16"/>
              </w:rPr>
              <w:t xml:space="preserve"> праців-ників з третіх країн і безперешкодного пересування професіоналів по </w:t>
            </w:r>
            <w:r w:rsidRPr="00B47CC0">
              <w:rPr>
                <w:rFonts w:ascii="Times New Roman" w:hAnsi="Times New Roman" w:cs="Times New Roman"/>
                <w:sz w:val="16"/>
                <w:szCs w:val="16"/>
              </w:rPr>
              <w:t>території ЄС після двохрічного перебування і роботи у початковій країні призначення. Блакитна карта надає право на перебування і роботу в межах встановленої системи прав, включаючи сприятливі умови возз’єднання сімей [</w:t>
            </w:r>
            <w:r>
              <w:rPr>
                <w:rFonts w:ascii="Times New Roman" w:hAnsi="Times New Roman" w:cs="Times New Roman"/>
                <w:spacing w:val="-6"/>
                <w:sz w:val="16"/>
                <w:szCs w:val="16"/>
                <w:highlight w:val="yellow"/>
              </w:rPr>
              <w:fldChar w:fldCharType="begin"/>
            </w:r>
            <w:r>
              <w:rPr>
                <w:rFonts w:ascii="Times New Roman" w:hAnsi="Times New Roman" w:cs="Times New Roman"/>
                <w:sz w:val="16"/>
                <w:szCs w:val="16"/>
              </w:rPr>
              <w:instrText xml:space="preserve"> REF _Ref435187065 \r \h </w:instrText>
            </w:r>
            <w:r>
              <w:rPr>
                <w:rFonts w:ascii="Times New Roman" w:hAnsi="Times New Roman" w:cs="Times New Roman"/>
                <w:spacing w:val="-6"/>
                <w:sz w:val="16"/>
                <w:szCs w:val="16"/>
                <w:highlight w:val="yellow"/>
              </w:rPr>
            </w:r>
            <w:r>
              <w:rPr>
                <w:rFonts w:ascii="Times New Roman" w:hAnsi="Times New Roman" w:cs="Times New Roman"/>
                <w:spacing w:val="-6"/>
                <w:sz w:val="16"/>
                <w:szCs w:val="16"/>
                <w:highlight w:val="yellow"/>
              </w:rPr>
              <w:fldChar w:fldCharType="separate"/>
            </w:r>
            <w:r>
              <w:rPr>
                <w:rFonts w:ascii="Times New Roman" w:hAnsi="Times New Roman" w:cs="Times New Roman"/>
                <w:sz w:val="16"/>
                <w:szCs w:val="16"/>
              </w:rPr>
              <w:t>6</w:t>
            </w:r>
            <w:r>
              <w:rPr>
                <w:rFonts w:ascii="Times New Roman" w:hAnsi="Times New Roman" w:cs="Times New Roman"/>
                <w:spacing w:val="-6"/>
                <w:sz w:val="16"/>
                <w:szCs w:val="16"/>
                <w:highlight w:val="yellow"/>
              </w:rPr>
              <w:fldChar w:fldCharType="end"/>
            </w:r>
            <w:r w:rsidRPr="00B47CC0">
              <w:rPr>
                <w:rFonts w:ascii="Times New Roman" w:hAnsi="Times New Roman" w:cs="Times New Roman"/>
                <w:sz w:val="16"/>
                <w:szCs w:val="16"/>
              </w:rPr>
              <w:t xml:space="preserve">, </w:t>
            </w:r>
            <w:r>
              <w:rPr>
                <w:rFonts w:ascii="Times New Roman" w:hAnsi="Times New Roman" w:cs="Times New Roman"/>
                <w:sz w:val="16"/>
                <w:szCs w:val="16"/>
                <w:highlight w:val="yellow"/>
                <w:lang w:val="en-GB"/>
              </w:rPr>
              <w:fldChar w:fldCharType="begin"/>
            </w:r>
            <w:r>
              <w:rPr>
                <w:rFonts w:ascii="Times New Roman" w:hAnsi="Times New Roman" w:cs="Times New Roman"/>
                <w:sz w:val="16"/>
                <w:szCs w:val="16"/>
              </w:rPr>
              <w:instrText xml:space="preserve"> REF _Ref435182644 \r \h </w:instrText>
            </w:r>
            <w:r>
              <w:rPr>
                <w:rFonts w:ascii="Times New Roman" w:hAnsi="Times New Roman" w:cs="Times New Roman"/>
                <w:sz w:val="16"/>
                <w:szCs w:val="16"/>
                <w:highlight w:val="yellow"/>
                <w:lang w:val="en-GB"/>
              </w:rPr>
            </w:r>
            <w:r>
              <w:rPr>
                <w:rFonts w:ascii="Times New Roman" w:hAnsi="Times New Roman" w:cs="Times New Roman"/>
                <w:sz w:val="16"/>
                <w:szCs w:val="16"/>
                <w:highlight w:val="yellow"/>
                <w:lang w:val="en-GB"/>
              </w:rPr>
              <w:fldChar w:fldCharType="separate"/>
            </w:r>
            <w:r>
              <w:rPr>
                <w:rFonts w:ascii="Times New Roman" w:hAnsi="Times New Roman" w:cs="Times New Roman"/>
                <w:sz w:val="16"/>
                <w:szCs w:val="16"/>
              </w:rPr>
              <w:t>110</w:t>
            </w:r>
            <w:r>
              <w:rPr>
                <w:rFonts w:ascii="Times New Roman" w:hAnsi="Times New Roman" w:cs="Times New Roman"/>
                <w:sz w:val="16"/>
                <w:szCs w:val="16"/>
                <w:highlight w:val="yellow"/>
                <w:lang w:val="en-GB"/>
              </w:rPr>
              <w:fldChar w:fldCharType="end"/>
            </w:r>
            <w:r w:rsidRPr="00B47CC0">
              <w:rPr>
                <w:rFonts w:ascii="Times New Roman" w:hAnsi="Times New Roman" w:cs="Times New Roman"/>
                <w:sz w:val="16"/>
                <w:szCs w:val="16"/>
              </w:rPr>
              <w:t>]</w:t>
            </w:r>
          </w:p>
          <w:p w:rsidR="00B233DE" w:rsidRPr="00981A7B" w:rsidRDefault="00B233DE" w:rsidP="0023489B">
            <w:pPr>
              <w:ind w:firstLine="0"/>
              <w:jc w:val="both"/>
              <w:rPr>
                <w:rFonts w:ascii="Times New Roman" w:hAnsi="Times New Roman" w:cs="Times New Roman"/>
                <w:spacing w:val="-6"/>
                <w:sz w:val="16"/>
                <w:szCs w:val="16"/>
              </w:rPr>
            </w:pPr>
            <w:r w:rsidRPr="00B47CC0">
              <w:rPr>
                <w:rFonts w:ascii="Times New Roman" w:hAnsi="Times New Roman" w:cs="Times New Roman"/>
                <w:sz w:val="16"/>
                <w:szCs w:val="16"/>
              </w:rPr>
              <w:t>В Австралії іммігранти, чиї професії є в списку, отримують додаткові бали при в’їзді і працевлаштуванні. Ірландія надає спеціалістам зі списку дефіцитних професій робочі візи і дозволи на роботу. У Великобританії в список дефіцитних професій входять переважно працівники галузі охорони здоров’я [</w:t>
            </w:r>
            <w:r>
              <w:rPr>
                <w:rFonts w:ascii="Times New Roman" w:hAnsi="Times New Roman" w:cs="Times New Roman"/>
                <w:bCs/>
                <w:sz w:val="16"/>
                <w:szCs w:val="16"/>
                <w:highlight w:val="yellow"/>
              </w:rPr>
              <w:fldChar w:fldCharType="begin"/>
            </w:r>
            <w:r>
              <w:rPr>
                <w:rFonts w:ascii="Times New Roman" w:hAnsi="Times New Roman" w:cs="Times New Roman"/>
                <w:sz w:val="16"/>
                <w:szCs w:val="16"/>
              </w:rPr>
              <w:instrText xml:space="preserve"> REF _Ref435182370 \r \h </w:instrText>
            </w:r>
            <w:r>
              <w:rPr>
                <w:rFonts w:ascii="Times New Roman" w:hAnsi="Times New Roman" w:cs="Times New Roman"/>
                <w:bCs/>
                <w:sz w:val="16"/>
                <w:szCs w:val="16"/>
                <w:highlight w:val="yellow"/>
              </w:rPr>
            </w:r>
            <w:r>
              <w:rPr>
                <w:rFonts w:ascii="Times New Roman" w:hAnsi="Times New Roman" w:cs="Times New Roman"/>
                <w:bCs/>
                <w:sz w:val="16"/>
                <w:szCs w:val="16"/>
                <w:highlight w:val="yellow"/>
              </w:rPr>
              <w:fldChar w:fldCharType="separate"/>
            </w:r>
            <w:r>
              <w:rPr>
                <w:rFonts w:ascii="Times New Roman" w:hAnsi="Times New Roman" w:cs="Times New Roman"/>
                <w:sz w:val="16"/>
                <w:szCs w:val="16"/>
              </w:rPr>
              <w:t>7</w:t>
            </w:r>
            <w:r>
              <w:rPr>
                <w:rFonts w:ascii="Times New Roman" w:hAnsi="Times New Roman" w:cs="Times New Roman"/>
                <w:bCs/>
                <w:sz w:val="16"/>
                <w:szCs w:val="16"/>
                <w:highlight w:val="yellow"/>
              </w:rPr>
              <w:fldChar w:fldCharType="end"/>
            </w:r>
            <w:r w:rsidRPr="00B47CC0">
              <w:rPr>
                <w:rFonts w:ascii="Times New Roman" w:hAnsi="Times New Roman" w:cs="Times New Roman"/>
                <w:sz w:val="16"/>
                <w:szCs w:val="16"/>
              </w:rPr>
              <w:t>]. У Іспанії Державна служба зайня</w:t>
            </w:r>
            <w:r w:rsidRPr="00B967FA">
              <w:rPr>
                <w:rFonts w:ascii="Times New Roman" w:hAnsi="Times New Roman" w:cs="Times New Roman"/>
                <w:sz w:val="16"/>
                <w:szCs w:val="16"/>
              </w:rPr>
              <w:t xml:space="preserve">-тості складає Каталог професій, для яких важко знайти працівників, за яким роботодавці можуть наймати іноземців. Для професій, перерахованих в Каталозі, не вимагається перевірка потреби ринку праці. Каталог готується щоквартально і базується на даних від-ділів Державної служби зайнятості, отриманих від бізнес асоціацій і </w:t>
            </w:r>
            <w:r w:rsidRPr="00B47CC0">
              <w:rPr>
                <w:rFonts w:ascii="Times New Roman" w:hAnsi="Times New Roman" w:cs="Times New Roman"/>
                <w:sz w:val="16"/>
                <w:szCs w:val="16"/>
              </w:rPr>
              <w:t>профспілок [</w:t>
            </w:r>
            <w:r>
              <w:rPr>
                <w:rStyle w:val="HTML1"/>
                <w:rFonts w:ascii="Times New Roman" w:hAnsi="Times New Roman" w:cs="Times New Roman"/>
                <w:i w:val="0"/>
                <w:sz w:val="16"/>
                <w:szCs w:val="16"/>
                <w:highlight w:val="yellow"/>
              </w:rPr>
              <w:fldChar w:fldCharType="begin"/>
            </w:r>
            <w:r>
              <w:rPr>
                <w:rFonts w:ascii="Times New Roman" w:hAnsi="Times New Roman" w:cs="Times New Roman"/>
                <w:sz w:val="16"/>
                <w:szCs w:val="16"/>
              </w:rPr>
              <w:instrText xml:space="preserve"> REF _Ref435187093 \r \h </w:instrText>
            </w:r>
            <w:r>
              <w:rPr>
                <w:rStyle w:val="HTML1"/>
                <w:rFonts w:ascii="Times New Roman" w:hAnsi="Times New Roman" w:cs="Times New Roman"/>
                <w:i w:val="0"/>
                <w:sz w:val="16"/>
                <w:szCs w:val="16"/>
                <w:highlight w:val="yellow"/>
              </w:rPr>
            </w:r>
            <w:r>
              <w:rPr>
                <w:rStyle w:val="HTML1"/>
                <w:rFonts w:ascii="Times New Roman" w:hAnsi="Times New Roman" w:cs="Times New Roman"/>
                <w:i w:val="0"/>
                <w:sz w:val="16"/>
                <w:szCs w:val="16"/>
                <w:highlight w:val="yellow"/>
              </w:rPr>
              <w:fldChar w:fldCharType="separate"/>
            </w:r>
            <w:r>
              <w:rPr>
                <w:rFonts w:ascii="Times New Roman" w:hAnsi="Times New Roman" w:cs="Times New Roman"/>
                <w:sz w:val="16"/>
                <w:szCs w:val="16"/>
              </w:rPr>
              <w:t>13</w:t>
            </w:r>
            <w:r>
              <w:rPr>
                <w:rStyle w:val="HTML1"/>
                <w:rFonts w:ascii="Times New Roman" w:hAnsi="Times New Roman" w:cs="Times New Roman"/>
                <w:i w:val="0"/>
                <w:sz w:val="16"/>
                <w:szCs w:val="16"/>
                <w:highlight w:val="yellow"/>
              </w:rPr>
              <w:fldChar w:fldCharType="end"/>
            </w:r>
            <w:r w:rsidRPr="00B47CC0">
              <w:rPr>
                <w:rFonts w:ascii="Times New Roman" w:hAnsi="Times New Roman" w:cs="Times New Roman"/>
                <w:sz w:val="16"/>
                <w:szCs w:val="16"/>
              </w:rPr>
              <w:t>].</w:t>
            </w:r>
          </w:p>
        </w:tc>
      </w:tr>
    </w:tbl>
    <w:p w:rsidR="00B233DE" w:rsidRDefault="00B233DE" w:rsidP="00B233DE">
      <w:pPr>
        <w:spacing w:line="276" w:lineRule="auto"/>
        <w:jc w:val="right"/>
        <w:rPr>
          <w:rFonts w:ascii="Times New Roman" w:hAnsi="Times New Roman" w:cs="Times New Roman"/>
          <w:sz w:val="21"/>
          <w:szCs w:val="21"/>
        </w:rPr>
      </w:pPr>
    </w:p>
    <w:p w:rsidR="00B233DE" w:rsidRDefault="00B233DE" w:rsidP="00B233DE">
      <w:pPr>
        <w:spacing w:line="276" w:lineRule="auto"/>
        <w:jc w:val="right"/>
        <w:rPr>
          <w:rFonts w:ascii="Times New Roman" w:hAnsi="Times New Roman" w:cs="Times New Roman"/>
          <w:sz w:val="21"/>
          <w:szCs w:val="21"/>
        </w:rPr>
      </w:pPr>
      <w:r>
        <w:rPr>
          <w:rFonts w:ascii="Times New Roman" w:hAnsi="Times New Roman" w:cs="Times New Roman"/>
          <w:sz w:val="21"/>
          <w:szCs w:val="21"/>
        </w:rPr>
        <w:lastRenderedPageBreak/>
        <w:t>Продовження таблиці 4.6</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5"/>
        <w:gridCol w:w="2816"/>
        <w:gridCol w:w="5806"/>
      </w:tblGrid>
      <w:tr w:rsidR="00B233DE" w:rsidRPr="00981A7B" w:rsidTr="0023489B">
        <w:tc>
          <w:tcPr>
            <w:tcW w:w="1295" w:type="dxa"/>
          </w:tcPr>
          <w:p w:rsidR="00B233DE" w:rsidRPr="00981A7B" w:rsidRDefault="00B233DE" w:rsidP="0023489B">
            <w:pPr>
              <w:ind w:left="-108" w:right="-124" w:firstLine="0"/>
              <w:jc w:val="center"/>
              <w:rPr>
                <w:rFonts w:ascii="Times New Roman" w:hAnsi="Times New Roman" w:cs="Times New Roman"/>
                <w:spacing w:val="-6"/>
                <w:sz w:val="16"/>
                <w:szCs w:val="16"/>
              </w:rPr>
            </w:pPr>
            <w:r>
              <w:rPr>
                <w:rFonts w:ascii="Times New Roman" w:hAnsi="Times New Roman" w:cs="Times New Roman"/>
                <w:spacing w:val="-6"/>
                <w:sz w:val="16"/>
                <w:szCs w:val="16"/>
              </w:rPr>
              <w:t>1</w:t>
            </w:r>
          </w:p>
        </w:tc>
        <w:tc>
          <w:tcPr>
            <w:tcW w:w="2816" w:type="dxa"/>
          </w:tcPr>
          <w:p w:rsidR="00B233DE" w:rsidRPr="00981A7B" w:rsidRDefault="00B233DE" w:rsidP="0023489B">
            <w:pPr>
              <w:tabs>
                <w:tab w:val="left" w:pos="900"/>
              </w:tabs>
              <w:ind w:firstLine="0"/>
              <w:jc w:val="center"/>
              <w:rPr>
                <w:rFonts w:ascii="Times New Roman" w:hAnsi="Times New Roman" w:cs="Times New Roman"/>
                <w:spacing w:val="-6"/>
                <w:sz w:val="16"/>
                <w:szCs w:val="16"/>
              </w:rPr>
            </w:pPr>
            <w:r>
              <w:rPr>
                <w:rFonts w:ascii="Times New Roman" w:hAnsi="Times New Roman" w:cs="Times New Roman"/>
                <w:spacing w:val="-6"/>
                <w:sz w:val="16"/>
                <w:szCs w:val="16"/>
              </w:rPr>
              <w:t>2</w:t>
            </w:r>
          </w:p>
        </w:tc>
        <w:tc>
          <w:tcPr>
            <w:tcW w:w="5806" w:type="dxa"/>
          </w:tcPr>
          <w:p w:rsidR="00B233DE" w:rsidRPr="00981A7B" w:rsidRDefault="00B233DE" w:rsidP="0023489B">
            <w:pPr>
              <w:tabs>
                <w:tab w:val="left" w:pos="900"/>
              </w:tabs>
              <w:ind w:firstLine="0"/>
              <w:jc w:val="center"/>
              <w:rPr>
                <w:rFonts w:ascii="Times New Roman" w:hAnsi="Times New Roman" w:cs="Times New Roman"/>
                <w:spacing w:val="-6"/>
                <w:sz w:val="16"/>
                <w:szCs w:val="16"/>
              </w:rPr>
            </w:pPr>
            <w:r>
              <w:rPr>
                <w:rFonts w:ascii="Times New Roman" w:hAnsi="Times New Roman" w:cs="Times New Roman"/>
                <w:spacing w:val="-6"/>
                <w:sz w:val="16"/>
                <w:szCs w:val="16"/>
              </w:rPr>
              <w:t>3</w:t>
            </w:r>
          </w:p>
        </w:tc>
      </w:tr>
      <w:tr w:rsidR="00B233DE" w:rsidRPr="00981A7B" w:rsidTr="0023489B">
        <w:tc>
          <w:tcPr>
            <w:tcW w:w="1295" w:type="dxa"/>
          </w:tcPr>
          <w:p w:rsidR="00B233DE" w:rsidRPr="00981A7B" w:rsidRDefault="00B233DE" w:rsidP="0023489B">
            <w:pPr>
              <w:ind w:left="-108" w:right="-124" w:firstLine="0"/>
              <w:jc w:val="center"/>
              <w:rPr>
                <w:rFonts w:ascii="Times New Roman" w:hAnsi="Times New Roman" w:cs="Times New Roman"/>
                <w:spacing w:val="-6"/>
                <w:sz w:val="16"/>
                <w:szCs w:val="16"/>
              </w:rPr>
            </w:pPr>
            <w:r w:rsidRPr="00981A7B">
              <w:rPr>
                <w:rFonts w:ascii="Times New Roman" w:hAnsi="Times New Roman" w:cs="Times New Roman"/>
                <w:spacing w:val="-6"/>
                <w:sz w:val="16"/>
                <w:szCs w:val="16"/>
              </w:rPr>
              <w:t>Політика сприяння рееміграції</w:t>
            </w:r>
          </w:p>
        </w:tc>
        <w:tc>
          <w:tcPr>
            <w:tcW w:w="2816" w:type="dxa"/>
          </w:tcPr>
          <w:p w:rsidR="00B233DE" w:rsidRPr="00981A7B" w:rsidRDefault="00B233DE" w:rsidP="0023489B">
            <w:pPr>
              <w:tabs>
                <w:tab w:val="left" w:pos="900"/>
              </w:tabs>
              <w:spacing w:line="228" w:lineRule="auto"/>
              <w:ind w:firstLine="0"/>
              <w:jc w:val="both"/>
              <w:rPr>
                <w:rFonts w:ascii="Times New Roman" w:hAnsi="Times New Roman" w:cs="Times New Roman"/>
                <w:spacing w:val="-6"/>
                <w:sz w:val="16"/>
                <w:szCs w:val="16"/>
              </w:rPr>
            </w:pPr>
            <w:r w:rsidRPr="00981A7B">
              <w:rPr>
                <w:rFonts w:ascii="Times New Roman" w:hAnsi="Times New Roman" w:cs="Times New Roman"/>
                <w:spacing w:val="-6"/>
                <w:sz w:val="16"/>
                <w:szCs w:val="16"/>
              </w:rPr>
              <w:t>Основними заходами сприяння реемігра</w:t>
            </w:r>
            <w:r>
              <w:rPr>
                <w:rFonts w:ascii="Times New Roman" w:hAnsi="Times New Roman" w:cs="Times New Roman"/>
                <w:spacing w:val="-6"/>
                <w:sz w:val="16"/>
                <w:szCs w:val="16"/>
              </w:rPr>
              <w:t>-</w:t>
            </w:r>
            <w:r w:rsidRPr="00981A7B">
              <w:rPr>
                <w:rFonts w:ascii="Times New Roman" w:hAnsi="Times New Roman" w:cs="Times New Roman"/>
                <w:spacing w:val="-6"/>
                <w:sz w:val="16"/>
                <w:szCs w:val="16"/>
              </w:rPr>
              <w:t>ції країнами походження є:</w:t>
            </w:r>
          </w:p>
          <w:p w:rsidR="00B233DE" w:rsidRPr="00B47CC0" w:rsidRDefault="00B233DE" w:rsidP="0023489B">
            <w:pPr>
              <w:spacing w:line="228" w:lineRule="auto"/>
              <w:ind w:firstLine="0"/>
              <w:jc w:val="both"/>
              <w:rPr>
                <w:rFonts w:ascii="Times New Roman" w:hAnsi="Times New Roman" w:cs="Times New Roman"/>
                <w:spacing w:val="-6"/>
                <w:sz w:val="16"/>
                <w:szCs w:val="16"/>
              </w:rPr>
            </w:pPr>
            <w:r w:rsidRPr="00981A7B">
              <w:rPr>
                <w:rFonts w:ascii="Times New Roman" w:hAnsi="Times New Roman" w:cs="Times New Roman"/>
                <w:spacing w:val="-6"/>
                <w:sz w:val="16"/>
                <w:szCs w:val="16"/>
              </w:rPr>
              <w:t>- створення системи збереження та пере</w:t>
            </w:r>
            <w:r w:rsidRPr="00B47CC0">
              <w:rPr>
                <w:rFonts w:ascii="Times New Roman" w:hAnsi="Times New Roman" w:cs="Times New Roman"/>
                <w:spacing w:val="-6"/>
                <w:sz w:val="16"/>
                <w:szCs w:val="16"/>
              </w:rPr>
              <w:t>-</w:t>
            </w:r>
            <w:r w:rsidRPr="00981A7B">
              <w:rPr>
                <w:rFonts w:ascii="Times New Roman" w:hAnsi="Times New Roman" w:cs="Times New Roman"/>
                <w:spacing w:val="-6"/>
                <w:sz w:val="16"/>
                <w:szCs w:val="16"/>
              </w:rPr>
              <w:t xml:space="preserve">несення набутих прав соціального і </w:t>
            </w:r>
            <w:r w:rsidRPr="00587521">
              <w:rPr>
                <w:rFonts w:ascii="Times New Roman" w:hAnsi="Times New Roman" w:cs="Times New Roman"/>
                <w:spacing w:val="-8"/>
                <w:sz w:val="16"/>
                <w:szCs w:val="16"/>
              </w:rPr>
              <w:t>пенсійного забезпечення для кваліфікова-</w:t>
            </w:r>
            <w:r w:rsidRPr="00981A7B">
              <w:rPr>
                <w:rFonts w:ascii="Times New Roman" w:hAnsi="Times New Roman" w:cs="Times New Roman"/>
                <w:spacing w:val="-6"/>
                <w:sz w:val="16"/>
                <w:szCs w:val="16"/>
              </w:rPr>
              <w:t xml:space="preserve">них працівників </w:t>
            </w:r>
            <w:r w:rsidRPr="00B47CC0">
              <w:rPr>
                <w:rFonts w:ascii="Times New Roman" w:hAnsi="Times New Roman" w:cs="Times New Roman"/>
                <w:spacing w:val="-6"/>
                <w:sz w:val="16"/>
                <w:szCs w:val="16"/>
              </w:rPr>
              <w:t>незалежно від країни перебування [</w:t>
            </w:r>
            <w:r>
              <w:rPr>
                <w:rStyle w:val="heading"/>
                <w:rFonts w:ascii="Times New Roman" w:hAnsi="Times New Roman" w:cs="Times New Roman"/>
                <w:sz w:val="16"/>
                <w:szCs w:val="16"/>
                <w:highlight w:val="yellow"/>
                <w:lang w:val="en-US"/>
              </w:rPr>
              <w:fldChar w:fldCharType="begin"/>
            </w:r>
            <w:r>
              <w:rPr>
                <w:rFonts w:ascii="Times New Roman" w:hAnsi="Times New Roman" w:cs="Times New Roman"/>
                <w:spacing w:val="-6"/>
                <w:sz w:val="16"/>
                <w:szCs w:val="16"/>
              </w:rPr>
              <w:instrText xml:space="preserve"> REF _Ref435182634 \r \h </w:instrText>
            </w:r>
            <w:r>
              <w:rPr>
                <w:rStyle w:val="heading"/>
                <w:rFonts w:ascii="Times New Roman" w:hAnsi="Times New Roman" w:cs="Times New Roman"/>
                <w:sz w:val="16"/>
                <w:szCs w:val="16"/>
                <w:highlight w:val="yellow"/>
                <w:lang w:val="en-US"/>
              </w:rPr>
            </w:r>
            <w:r>
              <w:rPr>
                <w:rStyle w:val="heading"/>
                <w:rFonts w:ascii="Times New Roman" w:hAnsi="Times New Roman" w:cs="Times New Roman"/>
                <w:sz w:val="16"/>
                <w:szCs w:val="16"/>
                <w:highlight w:val="yellow"/>
                <w:lang w:val="en-US"/>
              </w:rPr>
              <w:fldChar w:fldCharType="separate"/>
            </w:r>
            <w:r>
              <w:rPr>
                <w:rFonts w:ascii="Times New Roman" w:hAnsi="Times New Roman" w:cs="Times New Roman"/>
                <w:spacing w:val="-6"/>
                <w:sz w:val="16"/>
                <w:szCs w:val="16"/>
              </w:rPr>
              <w:t>101</w:t>
            </w:r>
            <w:r>
              <w:rPr>
                <w:rStyle w:val="heading"/>
                <w:rFonts w:ascii="Times New Roman" w:hAnsi="Times New Roman" w:cs="Times New Roman"/>
                <w:sz w:val="16"/>
                <w:szCs w:val="16"/>
                <w:highlight w:val="yellow"/>
                <w:lang w:val="en-US"/>
              </w:rPr>
              <w:fldChar w:fldCharType="end"/>
            </w:r>
            <w:r w:rsidRPr="00B47CC0">
              <w:rPr>
                <w:rFonts w:ascii="Times New Roman" w:hAnsi="Times New Roman" w:cs="Times New Roman"/>
                <w:spacing w:val="-6"/>
                <w:sz w:val="16"/>
                <w:szCs w:val="16"/>
              </w:rPr>
              <w:t>];</w:t>
            </w:r>
          </w:p>
          <w:p w:rsidR="00B233DE" w:rsidRPr="00B47CC0" w:rsidRDefault="00B233DE" w:rsidP="0023489B">
            <w:pPr>
              <w:tabs>
                <w:tab w:val="left" w:pos="900"/>
              </w:tabs>
              <w:spacing w:line="228" w:lineRule="auto"/>
              <w:ind w:firstLine="0"/>
              <w:jc w:val="both"/>
              <w:rPr>
                <w:rFonts w:ascii="Times New Roman" w:hAnsi="Times New Roman" w:cs="Times New Roman"/>
                <w:spacing w:val="-6"/>
                <w:sz w:val="16"/>
                <w:szCs w:val="16"/>
              </w:rPr>
            </w:pPr>
            <w:r w:rsidRPr="00981A7B">
              <w:rPr>
                <w:rFonts w:ascii="Times New Roman" w:hAnsi="Times New Roman" w:cs="Times New Roman"/>
                <w:spacing w:val="-6"/>
                <w:sz w:val="16"/>
                <w:szCs w:val="16"/>
              </w:rPr>
              <w:t>- заходи реінтеграції, що включають схеми пільгових кредитів і навчання дітей мігрантів, широко застосовуються, до прикладу</w:t>
            </w:r>
            <w:r w:rsidRPr="00B47CC0">
              <w:rPr>
                <w:rFonts w:ascii="Times New Roman" w:hAnsi="Times New Roman" w:cs="Times New Roman"/>
                <w:spacing w:val="-6"/>
                <w:sz w:val="16"/>
                <w:szCs w:val="16"/>
              </w:rPr>
              <w:t>, в Шрі-Ланці [</w:t>
            </w:r>
            <w:r>
              <w:rPr>
                <w:rFonts w:ascii="Times New Roman" w:hAnsi="Times New Roman" w:cs="Times New Roman"/>
                <w:bCs/>
                <w:sz w:val="16"/>
                <w:szCs w:val="16"/>
                <w:highlight w:val="yellow"/>
              </w:rPr>
              <w:fldChar w:fldCharType="begin"/>
            </w:r>
            <w:r>
              <w:rPr>
                <w:rFonts w:ascii="Times New Roman" w:hAnsi="Times New Roman" w:cs="Times New Roman"/>
                <w:spacing w:val="-6"/>
                <w:sz w:val="16"/>
                <w:szCs w:val="16"/>
              </w:rPr>
              <w:instrText xml:space="preserve"> REF _Ref435182370 \r \h </w:instrText>
            </w:r>
            <w:r>
              <w:rPr>
                <w:rFonts w:ascii="Times New Roman" w:hAnsi="Times New Roman" w:cs="Times New Roman"/>
                <w:bCs/>
                <w:sz w:val="16"/>
                <w:szCs w:val="16"/>
                <w:highlight w:val="yellow"/>
              </w:rPr>
            </w:r>
            <w:r>
              <w:rPr>
                <w:rFonts w:ascii="Times New Roman" w:hAnsi="Times New Roman" w:cs="Times New Roman"/>
                <w:bCs/>
                <w:sz w:val="16"/>
                <w:szCs w:val="16"/>
                <w:highlight w:val="yellow"/>
              </w:rPr>
              <w:fldChar w:fldCharType="separate"/>
            </w:r>
            <w:r>
              <w:rPr>
                <w:rFonts w:ascii="Times New Roman" w:hAnsi="Times New Roman" w:cs="Times New Roman"/>
                <w:spacing w:val="-6"/>
                <w:sz w:val="16"/>
                <w:szCs w:val="16"/>
              </w:rPr>
              <w:t>7</w:t>
            </w:r>
            <w:r>
              <w:rPr>
                <w:rFonts w:ascii="Times New Roman" w:hAnsi="Times New Roman" w:cs="Times New Roman"/>
                <w:bCs/>
                <w:sz w:val="16"/>
                <w:szCs w:val="16"/>
                <w:highlight w:val="yellow"/>
              </w:rPr>
              <w:fldChar w:fldCharType="end"/>
            </w:r>
            <w:r w:rsidRPr="00B47CC0">
              <w:rPr>
                <w:rFonts w:ascii="Times New Roman" w:hAnsi="Times New Roman" w:cs="Times New Roman"/>
                <w:spacing w:val="-6"/>
                <w:sz w:val="16"/>
                <w:szCs w:val="16"/>
              </w:rPr>
              <w:t>];</w:t>
            </w:r>
          </w:p>
          <w:p w:rsidR="00B233DE" w:rsidRDefault="00B233DE" w:rsidP="0023489B">
            <w:pPr>
              <w:spacing w:line="228" w:lineRule="auto"/>
              <w:ind w:firstLine="0"/>
              <w:jc w:val="both"/>
              <w:rPr>
                <w:rFonts w:ascii="Times New Roman" w:hAnsi="Times New Roman" w:cs="Times New Roman"/>
                <w:spacing w:val="-6"/>
                <w:sz w:val="16"/>
                <w:szCs w:val="16"/>
              </w:rPr>
            </w:pPr>
            <w:r w:rsidRPr="00981A7B">
              <w:rPr>
                <w:rFonts w:ascii="Times New Roman" w:hAnsi="Times New Roman" w:cs="Times New Roman"/>
                <w:spacing w:val="-6"/>
                <w:sz w:val="16"/>
                <w:szCs w:val="16"/>
              </w:rPr>
              <w:t>- впровадження стипен</w:t>
            </w:r>
            <w:r>
              <w:rPr>
                <w:rFonts w:ascii="Times New Roman" w:hAnsi="Times New Roman" w:cs="Times New Roman"/>
                <w:spacing w:val="-6"/>
                <w:sz w:val="16"/>
                <w:szCs w:val="16"/>
              </w:rPr>
              <w:t>дій для науковців-реемігрантів;</w:t>
            </w:r>
          </w:p>
          <w:p w:rsidR="00B233DE" w:rsidRPr="00981A7B" w:rsidRDefault="00B233DE" w:rsidP="0023489B">
            <w:pPr>
              <w:spacing w:line="228" w:lineRule="auto"/>
              <w:ind w:right="-108" w:firstLine="0"/>
              <w:jc w:val="both"/>
              <w:rPr>
                <w:rFonts w:ascii="Times New Roman" w:hAnsi="Times New Roman" w:cs="Times New Roman"/>
                <w:spacing w:val="-6"/>
                <w:sz w:val="16"/>
                <w:szCs w:val="16"/>
              </w:rPr>
            </w:pPr>
            <w:r>
              <w:rPr>
                <w:rFonts w:ascii="Times New Roman" w:hAnsi="Times New Roman" w:cs="Times New Roman"/>
                <w:spacing w:val="-8"/>
                <w:sz w:val="16"/>
                <w:szCs w:val="16"/>
              </w:rPr>
              <w:t xml:space="preserve">- </w:t>
            </w:r>
            <w:r w:rsidRPr="00587521">
              <w:rPr>
                <w:rFonts w:ascii="Times New Roman" w:hAnsi="Times New Roman" w:cs="Times New Roman"/>
                <w:spacing w:val="-8"/>
                <w:sz w:val="16"/>
                <w:szCs w:val="16"/>
              </w:rPr>
              <w:t>розробка програм повернення спеціалістів.</w:t>
            </w:r>
          </w:p>
        </w:tc>
        <w:tc>
          <w:tcPr>
            <w:tcW w:w="5806" w:type="dxa"/>
          </w:tcPr>
          <w:p w:rsidR="00B233DE" w:rsidRPr="00B47CC0" w:rsidRDefault="00B233DE" w:rsidP="0023489B">
            <w:pPr>
              <w:tabs>
                <w:tab w:val="left" w:pos="900"/>
              </w:tabs>
              <w:ind w:firstLine="0"/>
              <w:jc w:val="both"/>
              <w:rPr>
                <w:rFonts w:ascii="Times New Roman" w:hAnsi="Times New Roman" w:cs="Times New Roman"/>
                <w:spacing w:val="-6"/>
                <w:sz w:val="16"/>
                <w:szCs w:val="16"/>
              </w:rPr>
            </w:pPr>
            <w:r w:rsidRPr="00981A7B">
              <w:rPr>
                <w:rFonts w:ascii="Times New Roman" w:hAnsi="Times New Roman" w:cs="Times New Roman"/>
                <w:spacing w:val="-6"/>
                <w:sz w:val="16"/>
                <w:szCs w:val="16"/>
              </w:rPr>
              <w:t xml:space="preserve">В ЄС створена транснаціональна система, призначена для зв’язку між органами соціального забезпечення всіх держав-членів. При міграції громадянина ЄС в базу даних заноситься інформація щодо його статусу та соціальних пільг і через єдину систему дані передаються з однієї країни в іншу. В кінці трудової діяльності право на пенсійне забезпечення буде здійснюватись з врахуванням всіх видів діяльності у всіх країнах, де </w:t>
            </w:r>
            <w:r w:rsidRPr="00B47CC0">
              <w:rPr>
                <w:rFonts w:ascii="Times New Roman" w:hAnsi="Times New Roman" w:cs="Times New Roman"/>
                <w:spacing w:val="-6"/>
                <w:sz w:val="16"/>
                <w:szCs w:val="16"/>
              </w:rPr>
              <w:t>працювала особа [</w:t>
            </w:r>
            <w:r>
              <w:rPr>
                <w:rFonts w:ascii="Times New Roman" w:hAnsi="Times New Roman" w:cs="Times New Roman"/>
                <w:bCs/>
                <w:sz w:val="16"/>
                <w:szCs w:val="16"/>
                <w:highlight w:val="yellow"/>
              </w:rPr>
              <w:fldChar w:fldCharType="begin"/>
            </w:r>
            <w:r>
              <w:rPr>
                <w:rFonts w:ascii="Times New Roman" w:hAnsi="Times New Roman" w:cs="Times New Roman"/>
                <w:spacing w:val="-6"/>
                <w:sz w:val="16"/>
                <w:szCs w:val="16"/>
              </w:rPr>
              <w:instrText xml:space="preserve"> REF _Ref435182370 \r \h </w:instrText>
            </w:r>
            <w:r>
              <w:rPr>
                <w:rFonts w:ascii="Times New Roman" w:hAnsi="Times New Roman" w:cs="Times New Roman"/>
                <w:bCs/>
                <w:sz w:val="16"/>
                <w:szCs w:val="16"/>
                <w:highlight w:val="yellow"/>
              </w:rPr>
            </w:r>
            <w:r>
              <w:rPr>
                <w:rFonts w:ascii="Times New Roman" w:hAnsi="Times New Roman" w:cs="Times New Roman"/>
                <w:bCs/>
                <w:sz w:val="16"/>
                <w:szCs w:val="16"/>
                <w:highlight w:val="yellow"/>
              </w:rPr>
              <w:fldChar w:fldCharType="separate"/>
            </w:r>
            <w:r>
              <w:rPr>
                <w:rFonts w:ascii="Times New Roman" w:hAnsi="Times New Roman" w:cs="Times New Roman"/>
                <w:spacing w:val="-6"/>
                <w:sz w:val="16"/>
                <w:szCs w:val="16"/>
              </w:rPr>
              <w:t>7</w:t>
            </w:r>
            <w:r>
              <w:rPr>
                <w:rFonts w:ascii="Times New Roman" w:hAnsi="Times New Roman" w:cs="Times New Roman"/>
                <w:bCs/>
                <w:sz w:val="16"/>
                <w:szCs w:val="16"/>
                <w:highlight w:val="yellow"/>
              </w:rPr>
              <w:fldChar w:fldCharType="end"/>
            </w:r>
            <w:r w:rsidRPr="00B47CC0">
              <w:rPr>
                <w:rFonts w:ascii="Times New Roman" w:hAnsi="Times New Roman" w:cs="Times New Roman"/>
                <w:spacing w:val="-6"/>
                <w:sz w:val="16"/>
                <w:szCs w:val="16"/>
              </w:rPr>
              <w:t xml:space="preserve">]. </w:t>
            </w:r>
          </w:p>
          <w:p w:rsidR="00B233DE" w:rsidRPr="00981A7B" w:rsidRDefault="00B233DE" w:rsidP="0023489B">
            <w:pPr>
              <w:tabs>
                <w:tab w:val="left" w:pos="900"/>
              </w:tabs>
              <w:ind w:firstLine="0"/>
              <w:jc w:val="both"/>
              <w:rPr>
                <w:rFonts w:ascii="Times New Roman" w:hAnsi="Times New Roman" w:cs="Times New Roman"/>
                <w:spacing w:val="-6"/>
                <w:sz w:val="16"/>
                <w:szCs w:val="16"/>
              </w:rPr>
            </w:pPr>
            <w:r w:rsidRPr="00B47CC0">
              <w:rPr>
                <w:rFonts w:ascii="Times New Roman" w:hAnsi="Times New Roman" w:cs="Times New Roman"/>
                <w:spacing w:val="-6"/>
                <w:sz w:val="16"/>
                <w:szCs w:val="16"/>
              </w:rPr>
              <w:t>У Австралії особи віком після 55 років, які працювали в країні понад 10 років, можуть отримати одноразову пенсійну виплату при поверненні до країни походження [</w:t>
            </w:r>
            <w:r>
              <w:rPr>
                <w:rStyle w:val="HTML1"/>
                <w:rFonts w:ascii="Times New Roman" w:hAnsi="Times New Roman" w:cs="Times New Roman"/>
                <w:i w:val="0"/>
                <w:sz w:val="16"/>
                <w:szCs w:val="16"/>
                <w:highlight w:val="yellow"/>
                <w:lang w:val="en-US"/>
              </w:rPr>
              <w:fldChar w:fldCharType="begin"/>
            </w:r>
            <w:r>
              <w:rPr>
                <w:rFonts w:ascii="Times New Roman" w:hAnsi="Times New Roman" w:cs="Times New Roman"/>
                <w:spacing w:val="-6"/>
                <w:sz w:val="16"/>
                <w:szCs w:val="16"/>
              </w:rPr>
              <w:instrText xml:space="preserve"> REF _Ref435187128 \r \h </w:instrText>
            </w:r>
            <w:r>
              <w:rPr>
                <w:rStyle w:val="HTML1"/>
                <w:rFonts w:ascii="Times New Roman" w:hAnsi="Times New Roman" w:cs="Times New Roman"/>
                <w:i w:val="0"/>
                <w:sz w:val="16"/>
                <w:szCs w:val="16"/>
                <w:highlight w:val="yellow"/>
                <w:lang w:val="en-US"/>
              </w:rPr>
            </w:r>
            <w:r>
              <w:rPr>
                <w:rStyle w:val="HTML1"/>
                <w:rFonts w:ascii="Times New Roman" w:hAnsi="Times New Roman" w:cs="Times New Roman"/>
                <w:i w:val="0"/>
                <w:sz w:val="16"/>
                <w:szCs w:val="16"/>
                <w:highlight w:val="yellow"/>
                <w:lang w:val="en-US"/>
              </w:rPr>
              <w:fldChar w:fldCharType="separate"/>
            </w:r>
            <w:r>
              <w:rPr>
                <w:rFonts w:ascii="Times New Roman" w:hAnsi="Times New Roman" w:cs="Times New Roman"/>
                <w:spacing w:val="-6"/>
                <w:sz w:val="16"/>
                <w:szCs w:val="16"/>
              </w:rPr>
              <w:t>70</w:t>
            </w:r>
            <w:r>
              <w:rPr>
                <w:rStyle w:val="HTML1"/>
                <w:rFonts w:ascii="Times New Roman" w:hAnsi="Times New Roman" w:cs="Times New Roman"/>
                <w:i w:val="0"/>
                <w:sz w:val="16"/>
                <w:szCs w:val="16"/>
                <w:highlight w:val="yellow"/>
                <w:lang w:val="en-US"/>
              </w:rPr>
              <w:fldChar w:fldCharType="end"/>
            </w:r>
            <w:r w:rsidRPr="00B47CC0">
              <w:rPr>
                <w:rFonts w:ascii="Times New Roman" w:hAnsi="Times New Roman" w:cs="Times New Roman"/>
                <w:spacing w:val="-6"/>
                <w:sz w:val="16"/>
                <w:szCs w:val="16"/>
              </w:rPr>
              <w:t>. В</w:t>
            </w:r>
            <w:r w:rsidRPr="00981A7B">
              <w:rPr>
                <w:rFonts w:ascii="Times New Roman" w:hAnsi="Times New Roman" w:cs="Times New Roman"/>
                <w:spacing w:val="-6"/>
                <w:sz w:val="16"/>
                <w:szCs w:val="16"/>
              </w:rPr>
              <w:t xml:space="preserve"> Колумбії студентам по закінченні навчання за кордоном надаються земельні ділянки та </w:t>
            </w:r>
            <w:r w:rsidRPr="00B47CC0">
              <w:rPr>
                <w:rFonts w:ascii="Times New Roman" w:hAnsi="Times New Roman" w:cs="Times New Roman"/>
                <w:spacing w:val="-6"/>
                <w:sz w:val="16"/>
                <w:szCs w:val="16"/>
              </w:rPr>
              <w:t>субсидії для організації нових компаній [</w:t>
            </w:r>
            <w:r>
              <w:rPr>
                <w:rFonts w:ascii="Times New Roman" w:hAnsi="Times New Roman" w:cs="Times New Roman"/>
                <w:spacing w:val="-8"/>
                <w:sz w:val="16"/>
                <w:szCs w:val="16"/>
                <w:highlight w:val="yellow"/>
                <w:lang w:val="en-GB"/>
              </w:rPr>
              <w:fldChar w:fldCharType="begin"/>
            </w:r>
            <w:r>
              <w:rPr>
                <w:rFonts w:ascii="Times New Roman" w:hAnsi="Times New Roman" w:cs="Times New Roman"/>
                <w:spacing w:val="-6"/>
                <w:sz w:val="16"/>
                <w:szCs w:val="16"/>
              </w:rPr>
              <w:instrText xml:space="preserve"> REF _Ref435182570 \r \h </w:instrText>
            </w:r>
            <w:r>
              <w:rPr>
                <w:rFonts w:ascii="Times New Roman" w:hAnsi="Times New Roman" w:cs="Times New Roman"/>
                <w:spacing w:val="-8"/>
                <w:sz w:val="16"/>
                <w:szCs w:val="16"/>
                <w:highlight w:val="yellow"/>
                <w:lang w:val="en-GB"/>
              </w:rPr>
            </w:r>
            <w:r>
              <w:rPr>
                <w:rFonts w:ascii="Times New Roman" w:hAnsi="Times New Roman" w:cs="Times New Roman"/>
                <w:spacing w:val="-8"/>
                <w:sz w:val="16"/>
                <w:szCs w:val="16"/>
                <w:highlight w:val="yellow"/>
                <w:lang w:val="en-GB"/>
              </w:rPr>
              <w:fldChar w:fldCharType="separate"/>
            </w:r>
            <w:r>
              <w:rPr>
                <w:rFonts w:ascii="Times New Roman" w:hAnsi="Times New Roman" w:cs="Times New Roman"/>
                <w:spacing w:val="-6"/>
                <w:sz w:val="16"/>
                <w:szCs w:val="16"/>
              </w:rPr>
              <w:t>85</w:t>
            </w:r>
            <w:r>
              <w:rPr>
                <w:rFonts w:ascii="Times New Roman" w:hAnsi="Times New Roman" w:cs="Times New Roman"/>
                <w:spacing w:val="-8"/>
                <w:sz w:val="16"/>
                <w:szCs w:val="16"/>
                <w:highlight w:val="yellow"/>
                <w:lang w:val="en-GB"/>
              </w:rPr>
              <w:fldChar w:fldCharType="end"/>
            </w:r>
            <w:r w:rsidRPr="00B47CC0">
              <w:rPr>
                <w:rFonts w:ascii="Times New Roman" w:hAnsi="Times New Roman" w:cs="Times New Roman"/>
                <w:spacing w:val="-6"/>
                <w:sz w:val="16"/>
                <w:szCs w:val="16"/>
              </w:rPr>
              <w:t>]. У китайській спеціальній економічній зоні Пудун щорічно організовуються заходи по рекрутуванню китайських спеціалістів, що працюють в Силіконовій долині США. В результаті кількість спеціалістів-реемігрантів досягла 3,2 тис. чол., а число створених ними компаній склало 330 [</w:t>
            </w:r>
            <w:r>
              <w:rPr>
                <w:rFonts w:ascii="Times New Roman" w:hAnsi="Times New Roman" w:cs="Times New Roman"/>
                <w:sz w:val="16"/>
                <w:szCs w:val="16"/>
                <w:highlight w:val="yellow"/>
              </w:rPr>
              <w:fldChar w:fldCharType="begin"/>
            </w:r>
            <w:r>
              <w:rPr>
                <w:rFonts w:ascii="Times New Roman" w:hAnsi="Times New Roman" w:cs="Times New Roman"/>
                <w:spacing w:val="-6"/>
                <w:sz w:val="16"/>
                <w:szCs w:val="16"/>
              </w:rPr>
              <w:instrText xml:space="preserve"> REF _Ref435182581 \r \h </w:instrText>
            </w:r>
            <w:r>
              <w:rPr>
                <w:rFonts w:ascii="Times New Roman" w:hAnsi="Times New Roman" w:cs="Times New Roman"/>
                <w:sz w:val="16"/>
                <w:szCs w:val="16"/>
                <w:highlight w:val="yellow"/>
              </w:rPr>
            </w:r>
            <w:r>
              <w:rPr>
                <w:rFonts w:ascii="Times New Roman" w:hAnsi="Times New Roman" w:cs="Times New Roman"/>
                <w:sz w:val="16"/>
                <w:szCs w:val="16"/>
                <w:highlight w:val="yellow"/>
              </w:rPr>
              <w:fldChar w:fldCharType="separate"/>
            </w:r>
            <w:r>
              <w:rPr>
                <w:rFonts w:ascii="Times New Roman" w:hAnsi="Times New Roman" w:cs="Times New Roman"/>
                <w:spacing w:val="-6"/>
                <w:sz w:val="16"/>
                <w:szCs w:val="16"/>
              </w:rPr>
              <w:t>19</w:t>
            </w:r>
            <w:r>
              <w:rPr>
                <w:rFonts w:ascii="Times New Roman" w:hAnsi="Times New Roman" w:cs="Times New Roman"/>
                <w:sz w:val="16"/>
                <w:szCs w:val="16"/>
                <w:highlight w:val="yellow"/>
              </w:rPr>
              <w:fldChar w:fldCharType="end"/>
            </w:r>
            <w:r w:rsidRPr="00B47CC0">
              <w:rPr>
                <w:rFonts w:ascii="Times New Roman" w:hAnsi="Times New Roman" w:cs="Times New Roman"/>
                <w:spacing w:val="-6"/>
                <w:sz w:val="16"/>
                <w:szCs w:val="16"/>
              </w:rPr>
              <w:t>].</w:t>
            </w:r>
          </w:p>
        </w:tc>
      </w:tr>
      <w:tr w:rsidR="00B233DE" w:rsidRPr="00F6456A" w:rsidTr="0023489B">
        <w:trPr>
          <w:trHeight w:val="771"/>
        </w:trPr>
        <w:tc>
          <w:tcPr>
            <w:tcW w:w="1295" w:type="dxa"/>
          </w:tcPr>
          <w:p w:rsidR="00B233DE" w:rsidRPr="00981A7B" w:rsidRDefault="00B233DE" w:rsidP="0023489B">
            <w:pPr>
              <w:ind w:left="-108" w:right="-124" w:firstLine="0"/>
              <w:jc w:val="center"/>
              <w:rPr>
                <w:rFonts w:ascii="Times New Roman" w:hAnsi="Times New Roman" w:cs="Times New Roman"/>
                <w:spacing w:val="-6"/>
                <w:sz w:val="16"/>
                <w:szCs w:val="16"/>
              </w:rPr>
            </w:pPr>
            <w:r w:rsidRPr="00981A7B">
              <w:rPr>
                <w:rFonts w:ascii="Times New Roman" w:hAnsi="Times New Roman" w:cs="Times New Roman"/>
                <w:spacing w:val="-6"/>
                <w:sz w:val="16"/>
                <w:szCs w:val="16"/>
              </w:rPr>
              <w:t>Спільне фінансування підготовки кваліфікованих кадрів в країні походження</w:t>
            </w:r>
          </w:p>
        </w:tc>
        <w:tc>
          <w:tcPr>
            <w:tcW w:w="2816" w:type="dxa"/>
          </w:tcPr>
          <w:p w:rsidR="00B233DE" w:rsidRPr="00981A7B" w:rsidRDefault="00B233DE" w:rsidP="0023489B">
            <w:pPr>
              <w:tabs>
                <w:tab w:val="left" w:pos="900"/>
              </w:tabs>
              <w:ind w:firstLine="0"/>
              <w:jc w:val="both"/>
              <w:rPr>
                <w:rFonts w:ascii="Times New Roman" w:hAnsi="Times New Roman" w:cs="Times New Roman"/>
                <w:spacing w:val="-6"/>
                <w:sz w:val="16"/>
                <w:szCs w:val="16"/>
              </w:rPr>
            </w:pPr>
            <w:r w:rsidRPr="00981A7B">
              <w:rPr>
                <w:rFonts w:ascii="Times New Roman" w:hAnsi="Times New Roman" w:cs="Times New Roman"/>
                <w:spacing w:val="-6"/>
                <w:sz w:val="16"/>
                <w:szCs w:val="16"/>
              </w:rPr>
              <w:t>На сучасному етапі розвинуті країни зацікавлені у стимулюванні міграції високо</w:t>
            </w:r>
            <w:r w:rsidRPr="00F6456A">
              <w:rPr>
                <w:rFonts w:ascii="Times New Roman" w:hAnsi="Times New Roman" w:cs="Times New Roman"/>
                <w:spacing w:val="-6"/>
                <w:sz w:val="16"/>
                <w:szCs w:val="16"/>
              </w:rPr>
              <w:t>-</w:t>
            </w:r>
            <w:r w:rsidRPr="00981A7B">
              <w:rPr>
                <w:rFonts w:ascii="Times New Roman" w:hAnsi="Times New Roman" w:cs="Times New Roman"/>
                <w:spacing w:val="-6"/>
                <w:sz w:val="16"/>
                <w:szCs w:val="16"/>
              </w:rPr>
              <w:t>кваліфікованих спеціалістів до технологічно відсталих країн з метою їх розвитку і становлення там ринків для споживання продуктів економіки знань: інтелектуальних продуктів і знань.</w:t>
            </w:r>
          </w:p>
        </w:tc>
        <w:tc>
          <w:tcPr>
            <w:tcW w:w="5806" w:type="dxa"/>
          </w:tcPr>
          <w:p w:rsidR="00B233DE" w:rsidRPr="00B47CC0" w:rsidRDefault="00B233DE" w:rsidP="0023489B">
            <w:pPr>
              <w:tabs>
                <w:tab w:val="left" w:pos="900"/>
              </w:tabs>
              <w:ind w:firstLine="0"/>
              <w:jc w:val="both"/>
              <w:rPr>
                <w:rFonts w:ascii="Times New Roman" w:hAnsi="Times New Roman" w:cs="Times New Roman"/>
                <w:spacing w:val="-6"/>
                <w:sz w:val="16"/>
                <w:szCs w:val="16"/>
                <w:lang w:val="ru-RU"/>
              </w:rPr>
            </w:pPr>
            <w:r w:rsidRPr="00981A7B">
              <w:rPr>
                <w:rFonts w:ascii="Times New Roman" w:hAnsi="Times New Roman" w:cs="Times New Roman"/>
                <w:spacing w:val="-6"/>
                <w:sz w:val="16"/>
                <w:szCs w:val="16"/>
              </w:rPr>
              <w:t>На сьогодні подібні заходи застосовуються окремими країнами призначення. У Ні</w:t>
            </w:r>
            <w:r w:rsidRPr="00F6456A">
              <w:rPr>
                <w:rFonts w:ascii="Times New Roman" w:hAnsi="Times New Roman" w:cs="Times New Roman"/>
                <w:spacing w:val="-6"/>
                <w:sz w:val="16"/>
                <w:szCs w:val="16"/>
              </w:rPr>
              <w:t>-</w:t>
            </w:r>
            <w:r w:rsidRPr="00981A7B">
              <w:rPr>
                <w:rFonts w:ascii="Times New Roman" w:hAnsi="Times New Roman" w:cs="Times New Roman"/>
                <w:spacing w:val="-6"/>
                <w:sz w:val="16"/>
                <w:szCs w:val="16"/>
              </w:rPr>
              <w:t xml:space="preserve">дерландах діє фонд для реінтеграції працівників-мігрантів і забезпечення можливостей розвитку країн походження. Фонд передбачає надання кредитів працівникам-мігрантам, які хочуть відкрити власні малі підприємства в країнах походження. Німеччина створила фонд </w:t>
            </w:r>
            <w:r w:rsidRPr="00B47CC0">
              <w:rPr>
                <w:rFonts w:ascii="Times New Roman" w:hAnsi="Times New Roman" w:cs="Times New Roman"/>
                <w:spacing w:val="-6"/>
                <w:sz w:val="16"/>
                <w:szCs w:val="16"/>
              </w:rPr>
              <w:t>для інвестиції частини переказів найбільших за кількістю турецьких мігрантів в країну походження і частини державних коштів для створення нових підприємств у Туреччині для працевлаштування реемігрантів. Такі підприємства набули форм кооперативів, спільних компаній, акціонерних товариств [</w:t>
            </w:r>
            <w:r>
              <w:rPr>
                <w:rFonts w:ascii="Times New Roman" w:hAnsi="Times New Roman" w:cs="Times New Roman"/>
                <w:bCs/>
                <w:sz w:val="16"/>
                <w:szCs w:val="16"/>
                <w:highlight w:val="yellow"/>
              </w:rPr>
              <w:fldChar w:fldCharType="begin"/>
            </w:r>
            <w:r>
              <w:rPr>
                <w:rFonts w:ascii="Times New Roman" w:hAnsi="Times New Roman" w:cs="Times New Roman"/>
                <w:spacing w:val="-6"/>
                <w:sz w:val="16"/>
                <w:szCs w:val="16"/>
              </w:rPr>
              <w:instrText xml:space="preserve"> REF _Ref435182370 \r \h </w:instrText>
            </w:r>
            <w:r>
              <w:rPr>
                <w:rFonts w:ascii="Times New Roman" w:hAnsi="Times New Roman" w:cs="Times New Roman"/>
                <w:bCs/>
                <w:sz w:val="16"/>
                <w:szCs w:val="16"/>
                <w:highlight w:val="yellow"/>
              </w:rPr>
            </w:r>
            <w:r>
              <w:rPr>
                <w:rFonts w:ascii="Times New Roman" w:hAnsi="Times New Roman" w:cs="Times New Roman"/>
                <w:bCs/>
                <w:sz w:val="16"/>
                <w:szCs w:val="16"/>
                <w:highlight w:val="yellow"/>
              </w:rPr>
              <w:fldChar w:fldCharType="separate"/>
            </w:r>
            <w:r>
              <w:rPr>
                <w:rFonts w:ascii="Times New Roman" w:hAnsi="Times New Roman" w:cs="Times New Roman"/>
                <w:spacing w:val="-6"/>
                <w:sz w:val="16"/>
                <w:szCs w:val="16"/>
              </w:rPr>
              <w:t>7</w:t>
            </w:r>
            <w:r>
              <w:rPr>
                <w:rFonts w:ascii="Times New Roman" w:hAnsi="Times New Roman" w:cs="Times New Roman"/>
                <w:bCs/>
                <w:sz w:val="16"/>
                <w:szCs w:val="16"/>
                <w:highlight w:val="yellow"/>
              </w:rPr>
              <w:fldChar w:fldCharType="end"/>
            </w:r>
            <w:r w:rsidRPr="00B47CC0">
              <w:rPr>
                <w:rFonts w:ascii="Times New Roman" w:hAnsi="Times New Roman" w:cs="Times New Roman"/>
                <w:spacing w:val="-6"/>
                <w:sz w:val="16"/>
                <w:szCs w:val="16"/>
              </w:rPr>
              <w:t>]</w:t>
            </w:r>
          </w:p>
        </w:tc>
      </w:tr>
      <w:tr w:rsidR="00B233DE" w:rsidRPr="00F6456A" w:rsidTr="0023489B">
        <w:trPr>
          <w:trHeight w:val="58"/>
        </w:trPr>
        <w:tc>
          <w:tcPr>
            <w:tcW w:w="1295" w:type="dxa"/>
          </w:tcPr>
          <w:p w:rsidR="00B233DE" w:rsidRPr="00981A7B" w:rsidRDefault="00B233DE" w:rsidP="0023489B">
            <w:pPr>
              <w:ind w:left="-108" w:right="-124" w:firstLine="0"/>
              <w:jc w:val="center"/>
              <w:rPr>
                <w:rFonts w:ascii="Times New Roman" w:hAnsi="Times New Roman" w:cs="Times New Roman"/>
                <w:spacing w:val="-6"/>
                <w:sz w:val="16"/>
                <w:szCs w:val="16"/>
              </w:rPr>
            </w:pPr>
            <w:r w:rsidRPr="00981A7B">
              <w:rPr>
                <w:rFonts w:ascii="Times New Roman" w:hAnsi="Times New Roman" w:cs="Times New Roman"/>
                <w:spacing w:val="-6"/>
                <w:sz w:val="16"/>
                <w:szCs w:val="16"/>
              </w:rPr>
              <w:t xml:space="preserve">Використання транснаціональних зв’язків мігрантів </w:t>
            </w:r>
            <w:r w:rsidRPr="00B967FA">
              <w:rPr>
                <w:rFonts w:ascii="Times New Roman" w:hAnsi="Times New Roman" w:cs="Times New Roman"/>
                <w:spacing w:val="-8"/>
                <w:sz w:val="16"/>
                <w:szCs w:val="16"/>
              </w:rPr>
              <w:t>для підвищення люд-</w:t>
            </w:r>
            <w:r w:rsidRPr="00981A7B">
              <w:rPr>
                <w:rFonts w:ascii="Times New Roman" w:hAnsi="Times New Roman" w:cs="Times New Roman"/>
                <w:spacing w:val="-6"/>
                <w:sz w:val="16"/>
                <w:szCs w:val="16"/>
              </w:rPr>
              <w:t>ського потен</w:t>
            </w:r>
            <w:r w:rsidRPr="00B967FA">
              <w:rPr>
                <w:rFonts w:ascii="Times New Roman" w:hAnsi="Times New Roman" w:cs="Times New Roman"/>
                <w:spacing w:val="-8"/>
                <w:sz w:val="16"/>
                <w:szCs w:val="16"/>
              </w:rPr>
              <w:t>ціалу і конкурентоздат</w:t>
            </w:r>
            <w:r w:rsidRPr="00981A7B">
              <w:rPr>
                <w:rFonts w:ascii="Times New Roman" w:hAnsi="Times New Roman" w:cs="Times New Roman"/>
                <w:spacing w:val="-6"/>
                <w:sz w:val="16"/>
                <w:szCs w:val="16"/>
              </w:rPr>
              <w:t>ності країн походження</w:t>
            </w:r>
          </w:p>
        </w:tc>
        <w:tc>
          <w:tcPr>
            <w:tcW w:w="2816" w:type="dxa"/>
          </w:tcPr>
          <w:p w:rsidR="00B233DE" w:rsidRPr="00981A7B" w:rsidRDefault="00B233DE" w:rsidP="0023489B">
            <w:pPr>
              <w:tabs>
                <w:tab w:val="left" w:pos="900"/>
              </w:tabs>
              <w:ind w:firstLine="0"/>
              <w:jc w:val="both"/>
              <w:rPr>
                <w:rFonts w:ascii="Times New Roman" w:hAnsi="Times New Roman" w:cs="Times New Roman"/>
                <w:spacing w:val="-6"/>
                <w:sz w:val="16"/>
                <w:szCs w:val="16"/>
              </w:rPr>
            </w:pPr>
            <w:r w:rsidRPr="00981A7B">
              <w:rPr>
                <w:rFonts w:ascii="Times New Roman" w:hAnsi="Times New Roman" w:cs="Times New Roman"/>
                <w:spacing w:val="-6"/>
                <w:sz w:val="16"/>
                <w:szCs w:val="16"/>
              </w:rPr>
              <w:t>Інструмент передбачає:</w:t>
            </w:r>
          </w:p>
          <w:p w:rsidR="00B233DE" w:rsidRDefault="00B233DE" w:rsidP="0023489B">
            <w:pPr>
              <w:tabs>
                <w:tab w:val="left" w:pos="167"/>
              </w:tabs>
              <w:ind w:firstLine="0"/>
              <w:jc w:val="both"/>
              <w:rPr>
                <w:rFonts w:ascii="Times New Roman" w:hAnsi="Times New Roman" w:cs="Times New Roman"/>
                <w:spacing w:val="-6"/>
                <w:sz w:val="16"/>
                <w:szCs w:val="16"/>
              </w:rPr>
            </w:pPr>
            <w:r w:rsidRPr="00981A7B">
              <w:rPr>
                <w:rFonts w:ascii="Times New Roman" w:hAnsi="Times New Roman" w:cs="Times New Roman"/>
                <w:spacing w:val="-6"/>
                <w:sz w:val="16"/>
                <w:szCs w:val="16"/>
              </w:rPr>
              <w:t>- використання грошових переказів для економічного зростання і фінансування розвитку людського потенціалу в краї</w:t>
            </w:r>
            <w:r>
              <w:rPr>
                <w:rFonts w:ascii="Times New Roman" w:hAnsi="Times New Roman" w:cs="Times New Roman"/>
                <w:spacing w:val="-6"/>
                <w:sz w:val="16"/>
                <w:szCs w:val="16"/>
              </w:rPr>
              <w:t>-нах походження;</w:t>
            </w:r>
          </w:p>
          <w:p w:rsidR="00B233DE" w:rsidRPr="00587521" w:rsidRDefault="00B233DE" w:rsidP="0023489B">
            <w:pPr>
              <w:tabs>
                <w:tab w:val="left" w:pos="167"/>
              </w:tabs>
              <w:ind w:firstLine="0"/>
              <w:jc w:val="both"/>
              <w:rPr>
                <w:rFonts w:ascii="Times New Roman" w:hAnsi="Times New Roman" w:cs="Times New Roman"/>
                <w:spacing w:val="-8"/>
                <w:sz w:val="16"/>
                <w:szCs w:val="16"/>
              </w:rPr>
            </w:pPr>
            <w:r>
              <w:rPr>
                <w:rFonts w:ascii="Times New Roman" w:hAnsi="Times New Roman" w:cs="Times New Roman"/>
                <w:spacing w:val="-8"/>
                <w:sz w:val="16"/>
                <w:szCs w:val="16"/>
              </w:rPr>
              <w:t>-</w:t>
            </w:r>
            <w:r w:rsidRPr="00587521">
              <w:rPr>
                <w:rFonts w:ascii="Times New Roman" w:hAnsi="Times New Roman" w:cs="Times New Roman"/>
                <w:spacing w:val="-8"/>
                <w:sz w:val="16"/>
                <w:szCs w:val="16"/>
              </w:rPr>
              <w:t>пільгові умови інвестицій у виробництво;</w:t>
            </w:r>
          </w:p>
          <w:p w:rsidR="00B233DE" w:rsidRPr="00981A7B" w:rsidRDefault="00B233DE" w:rsidP="0023489B">
            <w:pPr>
              <w:tabs>
                <w:tab w:val="left" w:pos="167"/>
              </w:tabs>
              <w:ind w:firstLine="0"/>
              <w:jc w:val="both"/>
              <w:rPr>
                <w:rFonts w:ascii="Times New Roman" w:hAnsi="Times New Roman" w:cs="Times New Roman"/>
                <w:spacing w:val="-6"/>
                <w:sz w:val="16"/>
                <w:szCs w:val="16"/>
              </w:rPr>
            </w:pPr>
            <w:r w:rsidRPr="00981A7B">
              <w:rPr>
                <w:rFonts w:ascii="Times New Roman" w:hAnsi="Times New Roman" w:cs="Times New Roman"/>
                <w:spacing w:val="-6"/>
                <w:sz w:val="16"/>
                <w:szCs w:val="16"/>
              </w:rPr>
              <w:t>- створення венчурних фондів з участю мігрантів.</w:t>
            </w:r>
          </w:p>
        </w:tc>
        <w:tc>
          <w:tcPr>
            <w:tcW w:w="5806" w:type="dxa"/>
          </w:tcPr>
          <w:p w:rsidR="00B233DE" w:rsidRPr="00F6456A" w:rsidRDefault="00B233DE" w:rsidP="0023489B">
            <w:pPr>
              <w:ind w:firstLine="0"/>
              <w:jc w:val="both"/>
              <w:rPr>
                <w:rFonts w:ascii="Times New Roman" w:hAnsi="Times New Roman" w:cs="Times New Roman"/>
                <w:spacing w:val="-4"/>
                <w:sz w:val="16"/>
                <w:szCs w:val="16"/>
              </w:rPr>
            </w:pPr>
            <w:r w:rsidRPr="00981A7B">
              <w:rPr>
                <w:rFonts w:ascii="Times New Roman" w:hAnsi="Times New Roman" w:cs="Times New Roman"/>
                <w:spacing w:val="-4"/>
                <w:sz w:val="16"/>
                <w:szCs w:val="16"/>
              </w:rPr>
              <w:t xml:space="preserve">Державні і приватні банки Індії пропонують спеціальні ощадні програми індійським клієнтам за кордоном. По рахунках для індусів-нерезидентів нараховуються вищі процентні ставки, ніж по звичайних банківських рахунках, а частина нарахованих процентів є звільненою від оподаткування. Соціальний венчурний фонд індійської діаспори займається проектами розповсюдження електронної грамотності серед сільського населення Індії, дослідженням можливості застосування інформаційних технологій для стимулювання </w:t>
            </w:r>
            <w:r w:rsidRPr="00B47CC0">
              <w:rPr>
                <w:rFonts w:ascii="Times New Roman" w:hAnsi="Times New Roman" w:cs="Times New Roman"/>
                <w:spacing w:val="-4"/>
                <w:sz w:val="16"/>
                <w:szCs w:val="16"/>
              </w:rPr>
              <w:t>місцевого бізнесу і покращення доступу сільських общин до державних послуг [</w:t>
            </w:r>
            <w:r>
              <w:rPr>
                <w:rFonts w:ascii="Times New Roman" w:hAnsi="Times New Roman" w:cs="Times New Roman"/>
                <w:bCs/>
                <w:sz w:val="16"/>
                <w:szCs w:val="16"/>
                <w:highlight w:val="yellow"/>
              </w:rPr>
              <w:fldChar w:fldCharType="begin"/>
            </w:r>
            <w:r>
              <w:rPr>
                <w:rFonts w:ascii="Times New Roman" w:hAnsi="Times New Roman" w:cs="Times New Roman"/>
                <w:spacing w:val="-4"/>
                <w:sz w:val="16"/>
                <w:szCs w:val="16"/>
              </w:rPr>
              <w:instrText xml:space="preserve"> REF _Ref435182370 \r \h </w:instrText>
            </w:r>
            <w:r>
              <w:rPr>
                <w:rFonts w:ascii="Times New Roman" w:hAnsi="Times New Roman" w:cs="Times New Roman"/>
                <w:bCs/>
                <w:sz w:val="16"/>
                <w:szCs w:val="16"/>
                <w:highlight w:val="yellow"/>
              </w:rPr>
            </w:r>
            <w:r>
              <w:rPr>
                <w:rFonts w:ascii="Times New Roman" w:hAnsi="Times New Roman" w:cs="Times New Roman"/>
                <w:bCs/>
                <w:sz w:val="16"/>
                <w:szCs w:val="16"/>
                <w:highlight w:val="yellow"/>
              </w:rPr>
              <w:fldChar w:fldCharType="separate"/>
            </w:r>
            <w:r>
              <w:rPr>
                <w:rFonts w:ascii="Times New Roman" w:hAnsi="Times New Roman" w:cs="Times New Roman"/>
                <w:spacing w:val="-4"/>
                <w:sz w:val="16"/>
                <w:szCs w:val="16"/>
              </w:rPr>
              <w:t>7</w:t>
            </w:r>
            <w:r>
              <w:rPr>
                <w:rFonts w:ascii="Times New Roman" w:hAnsi="Times New Roman" w:cs="Times New Roman"/>
                <w:bCs/>
                <w:sz w:val="16"/>
                <w:szCs w:val="16"/>
                <w:highlight w:val="yellow"/>
              </w:rPr>
              <w:fldChar w:fldCharType="end"/>
            </w:r>
            <w:r w:rsidRPr="00B47CC0">
              <w:rPr>
                <w:rFonts w:ascii="Times New Roman" w:hAnsi="Times New Roman" w:cs="Times New Roman"/>
                <w:spacing w:val="-4"/>
                <w:sz w:val="16"/>
                <w:szCs w:val="16"/>
              </w:rPr>
              <w:t>]</w:t>
            </w:r>
          </w:p>
        </w:tc>
      </w:tr>
    </w:tbl>
    <w:p w:rsidR="00B233DE" w:rsidRPr="00981A7B" w:rsidRDefault="00B233DE" w:rsidP="00B233DE">
      <w:pPr>
        <w:spacing w:line="276" w:lineRule="auto"/>
        <w:jc w:val="right"/>
        <w:rPr>
          <w:rFonts w:ascii="Times New Roman" w:hAnsi="Times New Roman" w:cs="Times New Roman"/>
          <w:sz w:val="21"/>
          <w:szCs w:val="21"/>
        </w:rPr>
      </w:pPr>
      <w:r>
        <w:rPr>
          <w:rFonts w:ascii="Times New Roman" w:hAnsi="Times New Roman" w:cs="Times New Roman"/>
          <w:sz w:val="21"/>
          <w:szCs w:val="21"/>
        </w:rPr>
        <w:lastRenderedPageBreak/>
        <w:t>Продовження т</w:t>
      </w:r>
      <w:r w:rsidRPr="00981A7B">
        <w:rPr>
          <w:rFonts w:ascii="Times New Roman" w:hAnsi="Times New Roman" w:cs="Times New Roman"/>
          <w:sz w:val="21"/>
          <w:szCs w:val="21"/>
        </w:rPr>
        <w:t>аблиц</w:t>
      </w:r>
      <w:r>
        <w:rPr>
          <w:rFonts w:ascii="Times New Roman" w:hAnsi="Times New Roman" w:cs="Times New Roman"/>
          <w:sz w:val="21"/>
          <w:szCs w:val="21"/>
        </w:rPr>
        <w:t>і</w:t>
      </w:r>
      <w:r w:rsidRPr="00981A7B">
        <w:rPr>
          <w:rFonts w:ascii="Times New Roman" w:hAnsi="Times New Roman" w:cs="Times New Roman"/>
          <w:sz w:val="21"/>
          <w:szCs w:val="21"/>
        </w:rPr>
        <w:t xml:space="preserve"> </w:t>
      </w:r>
      <w:r>
        <w:rPr>
          <w:rFonts w:ascii="Times New Roman" w:hAnsi="Times New Roman" w:cs="Times New Roman"/>
          <w:sz w:val="21"/>
          <w:szCs w:val="21"/>
        </w:rPr>
        <w:t>4.6</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1"/>
        <w:gridCol w:w="2860"/>
        <w:gridCol w:w="5812"/>
      </w:tblGrid>
      <w:tr w:rsidR="00B233DE" w:rsidRPr="00981A7B" w:rsidTr="0023489B">
        <w:trPr>
          <w:trHeight w:hRule="exact" w:val="227"/>
        </w:trPr>
        <w:tc>
          <w:tcPr>
            <w:tcW w:w="1251" w:type="dxa"/>
          </w:tcPr>
          <w:p w:rsidR="00B233DE" w:rsidRPr="00981A7B" w:rsidRDefault="00B233DE" w:rsidP="0023489B">
            <w:pPr>
              <w:spacing w:after="200" w:line="276" w:lineRule="auto"/>
              <w:ind w:left="-108" w:firstLine="34"/>
              <w:jc w:val="center"/>
              <w:rPr>
                <w:rFonts w:ascii="Times New Roman" w:hAnsi="Times New Roman" w:cs="Times New Roman"/>
                <w:sz w:val="16"/>
                <w:szCs w:val="16"/>
              </w:rPr>
            </w:pPr>
            <w:r w:rsidRPr="00981A7B">
              <w:rPr>
                <w:rFonts w:ascii="Times New Roman" w:hAnsi="Times New Roman" w:cs="Times New Roman"/>
                <w:sz w:val="16"/>
                <w:szCs w:val="16"/>
              </w:rPr>
              <w:t>1</w:t>
            </w:r>
          </w:p>
        </w:tc>
        <w:tc>
          <w:tcPr>
            <w:tcW w:w="2860" w:type="dxa"/>
          </w:tcPr>
          <w:p w:rsidR="00B233DE" w:rsidRPr="00981A7B" w:rsidRDefault="00B233DE" w:rsidP="0023489B">
            <w:pPr>
              <w:spacing w:after="200" w:line="276" w:lineRule="auto"/>
              <w:ind w:left="-108" w:firstLine="34"/>
              <w:jc w:val="center"/>
              <w:rPr>
                <w:rFonts w:ascii="Times New Roman" w:hAnsi="Times New Roman" w:cs="Times New Roman"/>
                <w:sz w:val="16"/>
                <w:szCs w:val="16"/>
              </w:rPr>
            </w:pPr>
            <w:r w:rsidRPr="00981A7B">
              <w:rPr>
                <w:rFonts w:ascii="Times New Roman" w:hAnsi="Times New Roman" w:cs="Times New Roman"/>
                <w:sz w:val="16"/>
                <w:szCs w:val="16"/>
              </w:rPr>
              <w:t>2</w:t>
            </w:r>
          </w:p>
        </w:tc>
        <w:tc>
          <w:tcPr>
            <w:tcW w:w="5812" w:type="dxa"/>
          </w:tcPr>
          <w:p w:rsidR="00B233DE" w:rsidRPr="00981A7B" w:rsidRDefault="00B233DE" w:rsidP="0023489B">
            <w:pPr>
              <w:tabs>
                <w:tab w:val="left" w:pos="900"/>
              </w:tabs>
              <w:spacing w:after="200" w:line="276" w:lineRule="auto"/>
              <w:ind w:left="-108" w:firstLine="34"/>
              <w:jc w:val="center"/>
              <w:rPr>
                <w:rFonts w:ascii="Times New Roman" w:hAnsi="Times New Roman" w:cs="Times New Roman"/>
                <w:sz w:val="16"/>
                <w:szCs w:val="16"/>
              </w:rPr>
            </w:pPr>
            <w:r w:rsidRPr="00981A7B">
              <w:rPr>
                <w:rFonts w:ascii="Times New Roman" w:hAnsi="Times New Roman" w:cs="Times New Roman"/>
                <w:sz w:val="16"/>
                <w:szCs w:val="16"/>
              </w:rPr>
              <w:t>3</w:t>
            </w:r>
          </w:p>
        </w:tc>
      </w:tr>
      <w:tr w:rsidR="00B233DE" w:rsidRPr="00981A7B" w:rsidTr="0023489B">
        <w:trPr>
          <w:trHeight w:val="1227"/>
        </w:trPr>
        <w:tc>
          <w:tcPr>
            <w:tcW w:w="1251" w:type="dxa"/>
            <w:vAlign w:val="center"/>
          </w:tcPr>
          <w:p w:rsidR="00B233DE" w:rsidRPr="00981A7B" w:rsidRDefault="00B233DE" w:rsidP="0023489B">
            <w:pPr>
              <w:ind w:firstLine="0"/>
              <w:jc w:val="center"/>
              <w:rPr>
                <w:rFonts w:ascii="Times New Roman" w:hAnsi="Times New Roman" w:cs="Times New Roman"/>
                <w:sz w:val="16"/>
                <w:szCs w:val="16"/>
              </w:rPr>
            </w:pPr>
            <w:r w:rsidRPr="00981A7B">
              <w:rPr>
                <w:rFonts w:ascii="Times New Roman" w:hAnsi="Times New Roman" w:cs="Times New Roman"/>
                <w:sz w:val="16"/>
                <w:szCs w:val="16"/>
              </w:rPr>
              <w:t>Адаптація і інтеграція мігрантів</w:t>
            </w:r>
          </w:p>
        </w:tc>
        <w:tc>
          <w:tcPr>
            <w:tcW w:w="2860" w:type="dxa"/>
          </w:tcPr>
          <w:p w:rsidR="00B233DE" w:rsidRPr="00981A7B" w:rsidRDefault="00B233DE" w:rsidP="0023489B">
            <w:pPr>
              <w:ind w:left="-83" w:right="-108" w:firstLine="0"/>
              <w:jc w:val="both"/>
              <w:rPr>
                <w:rFonts w:ascii="Times New Roman" w:hAnsi="Times New Roman" w:cs="Times New Roman"/>
                <w:sz w:val="16"/>
                <w:szCs w:val="16"/>
              </w:rPr>
            </w:pPr>
            <w:r w:rsidRPr="00981A7B">
              <w:rPr>
                <w:rFonts w:ascii="Times New Roman" w:hAnsi="Times New Roman" w:cs="Times New Roman"/>
                <w:sz w:val="16"/>
                <w:szCs w:val="16"/>
              </w:rPr>
              <w:t>Інтеграція іммігрантів передбачає:</w:t>
            </w:r>
          </w:p>
          <w:p w:rsidR="00B233DE" w:rsidRPr="00981A7B" w:rsidRDefault="00B233DE" w:rsidP="0023489B">
            <w:pPr>
              <w:ind w:left="-83" w:right="-108" w:firstLine="0"/>
              <w:jc w:val="both"/>
              <w:rPr>
                <w:rFonts w:ascii="Times New Roman" w:hAnsi="Times New Roman" w:cs="Times New Roman"/>
                <w:sz w:val="16"/>
                <w:szCs w:val="16"/>
              </w:rPr>
            </w:pPr>
            <w:r w:rsidRPr="00981A7B">
              <w:rPr>
                <w:rFonts w:ascii="Times New Roman" w:hAnsi="Times New Roman" w:cs="Times New Roman"/>
                <w:sz w:val="16"/>
                <w:szCs w:val="16"/>
              </w:rPr>
              <w:t>- забезпечення для іммігрантів рівного з громадянами доступу до освіти, охорони здоров’я, надання їм прав на працевлаштування і соціальний захист;</w:t>
            </w:r>
          </w:p>
          <w:p w:rsidR="00B233DE" w:rsidRPr="00981A7B" w:rsidRDefault="00B233DE" w:rsidP="0023489B">
            <w:pPr>
              <w:ind w:left="-83" w:right="-108" w:firstLine="0"/>
              <w:jc w:val="both"/>
              <w:rPr>
                <w:rFonts w:ascii="Times New Roman" w:hAnsi="Times New Roman" w:cs="Times New Roman"/>
                <w:sz w:val="16"/>
                <w:szCs w:val="16"/>
              </w:rPr>
            </w:pPr>
            <w:r w:rsidRPr="00981A7B">
              <w:rPr>
                <w:rFonts w:ascii="Times New Roman" w:hAnsi="Times New Roman" w:cs="Times New Roman"/>
                <w:sz w:val="16"/>
                <w:szCs w:val="16"/>
              </w:rPr>
              <w:t>- навчання і підвищення кваліфікації іммігрантів для заповнення відповідних вакансій на ринку праці;</w:t>
            </w:r>
          </w:p>
          <w:p w:rsidR="00B233DE" w:rsidRPr="00981A7B" w:rsidRDefault="00B233DE" w:rsidP="0023489B">
            <w:pPr>
              <w:ind w:left="-83" w:right="-108" w:firstLine="0"/>
              <w:jc w:val="both"/>
              <w:rPr>
                <w:rFonts w:ascii="Times New Roman" w:hAnsi="Times New Roman" w:cs="Times New Roman"/>
                <w:sz w:val="16"/>
                <w:szCs w:val="16"/>
              </w:rPr>
            </w:pPr>
            <w:r w:rsidRPr="00981A7B">
              <w:rPr>
                <w:rFonts w:ascii="Times New Roman" w:hAnsi="Times New Roman" w:cs="Times New Roman"/>
                <w:sz w:val="16"/>
                <w:szCs w:val="16"/>
              </w:rPr>
              <w:t>- надання підтримки у вивченні мови</w:t>
            </w:r>
          </w:p>
          <w:p w:rsidR="00B233DE" w:rsidRPr="00981A7B" w:rsidRDefault="00B233DE" w:rsidP="0023489B">
            <w:pPr>
              <w:ind w:left="-83" w:right="-108" w:firstLine="0"/>
              <w:jc w:val="both"/>
              <w:rPr>
                <w:rFonts w:ascii="Times New Roman" w:hAnsi="Times New Roman" w:cs="Times New Roman"/>
                <w:sz w:val="16"/>
                <w:szCs w:val="16"/>
              </w:rPr>
            </w:pPr>
            <w:r w:rsidRPr="00981A7B">
              <w:rPr>
                <w:rFonts w:ascii="Times New Roman" w:hAnsi="Times New Roman" w:cs="Times New Roman"/>
                <w:sz w:val="16"/>
                <w:szCs w:val="16"/>
              </w:rPr>
              <w:t>- ознайомлення з інститутами, соціально-економічною політикою, культурою і цінностями приймаючої країни;</w:t>
            </w:r>
          </w:p>
          <w:p w:rsidR="00B233DE" w:rsidRPr="00981A7B" w:rsidRDefault="00B233DE" w:rsidP="0023489B">
            <w:pPr>
              <w:ind w:left="-83" w:right="-108" w:firstLine="0"/>
              <w:jc w:val="both"/>
              <w:rPr>
                <w:rFonts w:ascii="Times New Roman" w:hAnsi="Times New Roman" w:cs="Times New Roman"/>
                <w:sz w:val="16"/>
                <w:szCs w:val="16"/>
              </w:rPr>
            </w:pPr>
            <w:r w:rsidRPr="00981A7B">
              <w:rPr>
                <w:rFonts w:ascii="Times New Roman" w:hAnsi="Times New Roman" w:cs="Times New Roman"/>
                <w:sz w:val="16"/>
                <w:szCs w:val="16"/>
              </w:rPr>
              <w:t>- надання права на возз’єднання сімей працевлаштованих іммігрантів, підтримка сімей кваліфікованих іммігрантів.</w:t>
            </w:r>
          </w:p>
        </w:tc>
        <w:tc>
          <w:tcPr>
            <w:tcW w:w="5812" w:type="dxa"/>
          </w:tcPr>
          <w:p w:rsidR="00B233DE" w:rsidRPr="00981A7B" w:rsidRDefault="00B233DE" w:rsidP="0023489B">
            <w:pPr>
              <w:tabs>
                <w:tab w:val="left" w:pos="900"/>
              </w:tabs>
              <w:ind w:firstLine="34"/>
              <w:jc w:val="both"/>
              <w:rPr>
                <w:rFonts w:ascii="Times New Roman" w:hAnsi="Times New Roman" w:cs="Times New Roman"/>
                <w:sz w:val="16"/>
                <w:szCs w:val="16"/>
              </w:rPr>
            </w:pPr>
            <w:r w:rsidRPr="00981A7B">
              <w:rPr>
                <w:rFonts w:ascii="Times New Roman" w:hAnsi="Times New Roman" w:cs="Times New Roman"/>
                <w:sz w:val="16"/>
                <w:szCs w:val="16"/>
              </w:rPr>
              <w:t xml:space="preserve">Країни призначення мають різний досвід у політиці інтеграції мігрантів. У Франції національна політика інтеграції в цілому зводиться до асиміляції, в основі якої лежить культурна однорідність, де всі люди є французькими громадянами, що мають право брати участь в суспільному житті і ставати частиною об’єднань громадян. Німеччина розуміє інтеграцію як надання доступу мігрантам до ринку праці, освіти, професійного навчання, житла. Політика інтеграції у Фінляндії передбачає складення індивідуальних планів інтеграції іммігрантів і введена система оцінки кваліфікації для допомоги мігрантам </w:t>
            </w:r>
            <w:r w:rsidRPr="00B47CC0">
              <w:rPr>
                <w:rFonts w:ascii="Times New Roman" w:hAnsi="Times New Roman" w:cs="Times New Roman"/>
                <w:sz w:val="16"/>
                <w:szCs w:val="16"/>
              </w:rPr>
              <w:t>долучитись до ринку праці. Бельгія і Великобританія акцентують увагу на спеціальних заходах в професійній освіті. Нідерланди зобов’язують підприємства набирати певний процент іммігрантської молоді на наявні вакансії [</w:t>
            </w:r>
            <w:r>
              <w:rPr>
                <w:rFonts w:ascii="Times New Roman" w:hAnsi="Times New Roman" w:cs="Times New Roman"/>
                <w:sz w:val="16"/>
                <w:szCs w:val="16"/>
                <w:highlight w:val="yellow"/>
                <w:lang w:val="en-US"/>
              </w:rPr>
              <w:fldChar w:fldCharType="begin"/>
            </w:r>
            <w:r>
              <w:rPr>
                <w:rFonts w:ascii="Times New Roman" w:hAnsi="Times New Roman" w:cs="Times New Roman"/>
                <w:sz w:val="16"/>
                <w:szCs w:val="16"/>
              </w:rPr>
              <w:instrText xml:space="preserve"> REF _Ref435187170 \r \h </w:instrText>
            </w:r>
            <w:r>
              <w:rPr>
                <w:rFonts w:ascii="Times New Roman" w:hAnsi="Times New Roman" w:cs="Times New Roman"/>
                <w:sz w:val="16"/>
                <w:szCs w:val="16"/>
                <w:highlight w:val="yellow"/>
                <w:lang w:val="en-US"/>
              </w:rPr>
            </w:r>
            <w:r>
              <w:rPr>
                <w:rFonts w:ascii="Times New Roman" w:hAnsi="Times New Roman" w:cs="Times New Roman"/>
                <w:sz w:val="16"/>
                <w:szCs w:val="16"/>
                <w:highlight w:val="yellow"/>
                <w:lang w:val="en-US"/>
              </w:rPr>
              <w:fldChar w:fldCharType="separate"/>
            </w:r>
            <w:r>
              <w:rPr>
                <w:rFonts w:ascii="Times New Roman" w:hAnsi="Times New Roman" w:cs="Times New Roman"/>
                <w:sz w:val="16"/>
                <w:szCs w:val="16"/>
              </w:rPr>
              <w:t>97</w:t>
            </w:r>
            <w:r>
              <w:rPr>
                <w:rFonts w:ascii="Times New Roman" w:hAnsi="Times New Roman" w:cs="Times New Roman"/>
                <w:sz w:val="16"/>
                <w:szCs w:val="16"/>
                <w:highlight w:val="yellow"/>
                <w:lang w:val="en-US"/>
              </w:rPr>
              <w:fldChar w:fldCharType="end"/>
            </w:r>
            <w:r w:rsidRPr="00B47CC0">
              <w:rPr>
                <w:rFonts w:ascii="Times New Roman" w:hAnsi="Times New Roman" w:cs="Times New Roman"/>
                <w:sz w:val="16"/>
                <w:szCs w:val="16"/>
              </w:rPr>
              <w:t>]. У Португалії інтеграційні програми передбачають також отримання нелегалами законного статусу у випадку народження ними дитини та закінчення неї початкової школи в цій країні, що спрямоване на підвищення демографічної складової людського потенціалу [</w:t>
            </w:r>
            <w:r>
              <w:rPr>
                <w:rFonts w:ascii="Times New Roman" w:hAnsi="Times New Roman" w:cs="Times New Roman"/>
                <w:iCs/>
                <w:sz w:val="16"/>
                <w:szCs w:val="16"/>
                <w:highlight w:val="yellow"/>
              </w:rPr>
              <w:fldChar w:fldCharType="begin"/>
            </w:r>
            <w:r>
              <w:rPr>
                <w:rFonts w:ascii="Times New Roman" w:hAnsi="Times New Roman" w:cs="Times New Roman"/>
                <w:sz w:val="16"/>
                <w:szCs w:val="16"/>
              </w:rPr>
              <w:instrText xml:space="preserve"> REF _Ref435187178 \r \h </w:instrText>
            </w:r>
            <w:r>
              <w:rPr>
                <w:rFonts w:ascii="Times New Roman" w:hAnsi="Times New Roman" w:cs="Times New Roman"/>
                <w:iCs/>
                <w:sz w:val="16"/>
                <w:szCs w:val="16"/>
                <w:highlight w:val="yellow"/>
              </w:rPr>
            </w:r>
            <w:r>
              <w:rPr>
                <w:rFonts w:ascii="Times New Roman" w:hAnsi="Times New Roman" w:cs="Times New Roman"/>
                <w:iCs/>
                <w:sz w:val="16"/>
                <w:szCs w:val="16"/>
                <w:highlight w:val="yellow"/>
              </w:rPr>
              <w:fldChar w:fldCharType="separate"/>
            </w:r>
            <w:r>
              <w:rPr>
                <w:rFonts w:ascii="Times New Roman" w:hAnsi="Times New Roman" w:cs="Times New Roman"/>
                <w:sz w:val="16"/>
                <w:szCs w:val="16"/>
              </w:rPr>
              <w:t>39</w:t>
            </w:r>
            <w:r>
              <w:rPr>
                <w:rFonts w:ascii="Times New Roman" w:hAnsi="Times New Roman" w:cs="Times New Roman"/>
                <w:iCs/>
                <w:sz w:val="16"/>
                <w:szCs w:val="16"/>
                <w:highlight w:val="yellow"/>
              </w:rPr>
              <w:fldChar w:fldCharType="end"/>
            </w:r>
            <w:r w:rsidRPr="00B47CC0">
              <w:rPr>
                <w:rFonts w:ascii="Times New Roman" w:hAnsi="Times New Roman" w:cs="Times New Roman"/>
                <w:sz w:val="16"/>
                <w:szCs w:val="16"/>
              </w:rPr>
              <w:t>, с. 101]. Сприяння інтеграції мігрантів на місцевому рівні є поширеною практикою у європейських країнах. Наприклад, у Роттердамі запровадили програму зустрічей між старими і новими жителями міста. Вони зустрічаються тричі на місяць з метою кращого пізнання місцевого середовища [</w:t>
            </w:r>
            <w:r>
              <w:rPr>
                <w:rStyle w:val="heading"/>
                <w:rFonts w:ascii="Times New Roman" w:hAnsi="Times New Roman" w:cs="Times New Roman"/>
                <w:sz w:val="16"/>
                <w:szCs w:val="16"/>
                <w:highlight w:val="yellow"/>
                <w:lang w:val="en-US"/>
              </w:rPr>
              <w:fldChar w:fldCharType="begin"/>
            </w:r>
            <w:r>
              <w:rPr>
                <w:rFonts w:ascii="Times New Roman" w:hAnsi="Times New Roman" w:cs="Times New Roman"/>
                <w:sz w:val="16"/>
                <w:szCs w:val="16"/>
              </w:rPr>
              <w:instrText xml:space="preserve"> REF _Ref435182634 \r \h </w:instrText>
            </w:r>
            <w:r>
              <w:rPr>
                <w:rStyle w:val="heading"/>
                <w:rFonts w:ascii="Times New Roman" w:hAnsi="Times New Roman" w:cs="Times New Roman"/>
                <w:sz w:val="16"/>
                <w:szCs w:val="16"/>
                <w:highlight w:val="yellow"/>
                <w:lang w:val="en-US"/>
              </w:rPr>
            </w:r>
            <w:r>
              <w:rPr>
                <w:rStyle w:val="heading"/>
                <w:rFonts w:ascii="Times New Roman" w:hAnsi="Times New Roman" w:cs="Times New Roman"/>
                <w:sz w:val="16"/>
                <w:szCs w:val="16"/>
                <w:highlight w:val="yellow"/>
                <w:lang w:val="en-US"/>
              </w:rPr>
              <w:fldChar w:fldCharType="separate"/>
            </w:r>
            <w:r>
              <w:rPr>
                <w:rFonts w:ascii="Times New Roman" w:hAnsi="Times New Roman" w:cs="Times New Roman"/>
                <w:sz w:val="16"/>
                <w:szCs w:val="16"/>
              </w:rPr>
              <w:t>101</w:t>
            </w:r>
            <w:r>
              <w:rPr>
                <w:rStyle w:val="heading"/>
                <w:rFonts w:ascii="Times New Roman" w:hAnsi="Times New Roman" w:cs="Times New Roman"/>
                <w:sz w:val="16"/>
                <w:szCs w:val="16"/>
                <w:highlight w:val="yellow"/>
                <w:lang w:val="en-US"/>
              </w:rPr>
              <w:fldChar w:fldCharType="end"/>
            </w:r>
            <w:r w:rsidRPr="00B47CC0">
              <w:rPr>
                <w:rFonts w:ascii="Times New Roman" w:hAnsi="Times New Roman" w:cs="Times New Roman"/>
                <w:sz w:val="16"/>
                <w:szCs w:val="16"/>
              </w:rPr>
              <w:t>]. Франція</w:t>
            </w:r>
            <w:r w:rsidRPr="00981A7B">
              <w:rPr>
                <w:rFonts w:ascii="Times New Roman" w:hAnsi="Times New Roman" w:cs="Times New Roman"/>
                <w:sz w:val="16"/>
                <w:szCs w:val="16"/>
              </w:rPr>
              <w:t xml:space="preserve"> проводить цільове фінансування початкових і середніх навчальних закладів для створення у них спеціальних класів для дітей іммігрантів, що полегшує здобуття ними освіти в іномовному середовищі і стає основою подальшого формування людського потенціалу за рахунок імміграції.</w:t>
            </w:r>
          </w:p>
        </w:tc>
      </w:tr>
      <w:tr w:rsidR="00B233DE" w:rsidRPr="00981A7B" w:rsidTr="0023489B">
        <w:trPr>
          <w:trHeight w:val="1227"/>
        </w:trPr>
        <w:tc>
          <w:tcPr>
            <w:tcW w:w="1251" w:type="dxa"/>
            <w:vAlign w:val="center"/>
          </w:tcPr>
          <w:p w:rsidR="00B233DE" w:rsidRPr="00981A7B" w:rsidRDefault="00B233DE" w:rsidP="0023489B">
            <w:pPr>
              <w:ind w:firstLine="0"/>
              <w:jc w:val="center"/>
              <w:rPr>
                <w:rFonts w:ascii="Times New Roman" w:hAnsi="Times New Roman" w:cs="Times New Roman"/>
                <w:sz w:val="16"/>
                <w:szCs w:val="16"/>
              </w:rPr>
            </w:pPr>
            <w:r w:rsidRPr="00981A7B">
              <w:rPr>
                <w:rFonts w:ascii="Times New Roman" w:hAnsi="Times New Roman" w:cs="Times New Roman"/>
                <w:sz w:val="16"/>
                <w:szCs w:val="16"/>
              </w:rPr>
              <w:t>Стимулювання тимчасової міграції</w:t>
            </w:r>
          </w:p>
        </w:tc>
        <w:tc>
          <w:tcPr>
            <w:tcW w:w="2860" w:type="dxa"/>
          </w:tcPr>
          <w:p w:rsidR="00B233DE" w:rsidRPr="00981A7B" w:rsidRDefault="00B233DE" w:rsidP="0023489B">
            <w:pPr>
              <w:spacing w:line="230" w:lineRule="auto"/>
              <w:ind w:left="-85" w:right="-108" w:firstLine="0"/>
              <w:jc w:val="both"/>
              <w:rPr>
                <w:rFonts w:ascii="Times New Roman" w:hAnsi="Times New Roman" w:cs="Times New Roman"/>
                <w:sz w:val="16"/>
                <w:szCs w:val="16"/>
              </w:rPr>
            </w:pPr>
            <w:r w:rsidRPr="00981A7B">
              <w:rPr>
                <w:rFonts w:ascii="Times New Roman" w:hAnsi="Times New Roman" w:cs="Times New Roman"/>
                <w:spacing w:val="-2"/>
                <w:sz w:val="16"/>
                <w:szCs w:val="16"/>
              </w:rPr>
              <w:t>Тимчасова міграція спеціалістів створює переваги від міжнародних і внутрі</w:t>
            </w:r>
            <w:r>
              <w:rPr>
                <w:rFonts w:ascii="Times New Roman" w:hAnsi="Times New Roman" w:cs="Times New Roman"/>
                <w:spacing w:val="-2"/>
                <w:sz w:val="16"/>
                <w:szCs w:val="16"/>
              </w:rPr>
              <w:t>шньо-корпоративних капіталовкла</w:t>
            </w:r>
            <w:r w:rsidRPr="00981A7B">
              <w:rPr>
                <w:rFonts w:ascii="Times New Roman" w:hAnsi="Times New Roman" w:cs="Times New Roman"/>
                <w:spacing w:val="-2"/>
                <w:sz w:val="16"/>
                <w:szCs w:val="16"/>
              </w:rPr>
              <w:t xml:space="preserve">день, </w:t>
            </w:r>
            <w:r w:rsidRPr="00587521">
              <w:rPr>
                <w:rFonts w:ascii="Times New Roman" w:hAnsi="Times New Roman" w:cs="Times New Roman"/>
                <w:spacing w:val="-4"/>
                <w:sz w:val="16"/>
                <w:szCs w:val="16"/>
              </w:rPr>
              <w:t>інтенси</w:t>
            </w:r>
            <w:r>
              <w:rPr>
                <w:rFonts w:ascii="Times New Roman" w:hAnsi="Times New Roman" w:cs="Times New Roman"/>
                <w:spacing w:val="-4"/>
                <w:sz w:val="16"/>
                <w:szCs w:val="16"/>
              </w:rPr>
              <w:t>-</w:t>
            </w:r>
            <w:r w:rsidRPr="00587521">
              <w:rPr>
                <w:rFonts w:ascii="Times New Roman" w:hAnsi="Times New Roman" w:cs="Times New Roman"/>
                <w:spacing w:val="-4"/>
                <w:sz w:val="16"/>
                <w:szCs w:val="16"/>
              </w:rPr>
              <w:t>фікації торгівлі, грошових пото</w:t>
            </w:r>
            <w:r w:rsidRPr="00587521">
              <w:rPr>
                <w:rFonts w:ascii="Times New Roman" w:hAnsi="Times New Roman" w:cs="Times New Roman"/>
                <w:spacing w:val="-6"/>
                <w:sz w:val="16"/>
                <w:szCs w:val="16"/>
              </w:rPr>
              <w:t>ків і потоків знань. Кваліфіковані мігран</w:t>
            </w:r>
            <w:r>
              <w:rPr>
                <w:rFonts w:ascii="Times New Roman" w:hAnsi="Times New Roman" w:cs="Times New Roman"/>
                <w:spacing w:val="-2"/>
                <w:sz w:val="16"/>
                <w:szCs w:val="16"/>
              </w:rPr>
              <w:t>ти, що прибува-</w:t>
            </w:r>
            <w:r w:rsidRPr="00587521">
              <w:rPr>
                <w:rFonts w:ascii="Times New Roman" w:hAnsi="Times New Roman" w:cs="Times New Roman"/>
                <w:spacing w:val="-8"/>
                <w:sz w:val="16"/>
                <w:szCs w:val="16"/>
              </w:rPr>
              <w:t>ють на тимчасовій основі, справляють макси-</w:t>
            </w:r>
            <w:r w:rsidRPr="00587521">
              <w:rPr>
                <w:rFonts w:ascii="Times New Roman" w:hAnsi="Times New Roman" w:cs="Times New Roman"/>
                <w:spacing w:val="-6"/>
                <w:sz w:val="16"/>
                <w:szCs w:val="16"/>
              </w:rPr>
              <w:t>мальний позитив</w:t>
            </w:r>
            <w:r w:rsidRPr="00981A7B">
              <w:rPr>
                <w:rFonts w:ascii="Times New Roman" w:hAnsi="Times New Roman" w:cs="Times New Roman"/>
                <w:spacing w:val="-2"/>
                <w:sz w:val="16"/>
                <w:szCs w:val="16"/>
              </w:rPr>
              <w:t>ний ефект на бюджети країн призначення.</w:t>
            </w:r>
          </w:p>
        </w:tc>
        <w:tc>
          <w:tcPr>
            <w:tcW w:w="5812" w:type="dxa"/>
          </w:tcPr>
          <w:p w:rsidR="00B233DE" w:rsidRPr="00B47CC0" w:rsidRDefault="00B233DE" w:rsidP="0023489B">
            <w:pPr>
              <w:tabs>
                <w:tab w:val="left" w:pos="900"/>
              </w:tabs>
              <w:spacing w:line="228" w:lineRule="auto"/>
              <w:ind w:firstLine="34"/>
              <w:jc w:val="both"/>
              <w:rPr>
                <w:rFonts w:ascii="Times New Roman" w:hAnsi="Times New Roman" w:cs="Times New Roman"/>
                <w:spacing w:val="-2"/>
                <w:sz w:val="16"/>
                <w:szCs w:val="16"/>
              </w:rPr>
            </w:pPr>
            <w:r w:rsidRPr="00981A7B">
              <w:rPr>
                <w:rFonts w:ascii="Times New Roman" w:hAnsi="Times New Roman" w:cs="Times New Roman"/>
                <w:spacing w:val="-2"/>
                <w:sz w:val="16"/>
                <w:szCs w:val="16"/>
              </w:rPr>
              <w:t>Позитивний досвід тимчасової міграції має Молдова. Згідно спеціальної програми, молдавські працівники працювали на підприємствах Словенії протягом визна</w:t>
            </w:r>
            <w:r>
              <w:rPr>
                <w:rFonts w:ascii="Times New Roman" w:hAnsi="Times New Roman" w:cs="Times New Roman"/>
                <w:spacing w:val="-2"/>
                <w:sz w:val="16"/>
                <w:szCs w:val="16"/>
              </w:rPr>
              <w:t>-</w:t>
            </w:r>
            <w:r w:rsidRPr="00981A7B">
              <w:rPr>
                <w:rFonts w:ascii="Times New Roman" w:hAnsi="Times New Roman" w:cs="Times New Roman"/>
                <w:spacing w:val="-2"/>
                <w:sz w:val="16"/>
                <w:szCs w:val="16"/>
              </w:rPr>
              <w:t>ченого терміну, по зав</w:t>
            </w:r>
            <w:r>
              <w:rPr>
                <w:rFonts w:ascii="Times New Roman" w:hAnsi="Times New Roman" w:cs="Times New Roman"/>
                <w:spacing w:val="-2"/>
                <w:sz w:val="16"/>
                <w:szCs w:val="16"/>
              </w:rPr>
              <w:t>ершенні якого вони набули відпо</w:t>
            </w:r>
            <w:r w:rsidRPr="00981A7B">
              <w:rPr>
                <w:rFonts w:ascii="Times New Roman" w:hAnsi="Times New Roman" w:cs="Times New Roman"/>
                <w:spacing w:val="-2"/>
                <w:sz w:val="16"/>
                <w:szCs w:val="16"/>
              </w:rPr>
              <w:t xml:space="preserve">відних навиків і грошових коштів. На другому </w:t>
            </w:r>
            <w:r w:rsidRPr="00B47CC0">
              <w:rPr>
                <w:rFonts w:ascii="Times New Roman" w:hAnsi="Times New Roman" w:cs="Times New Roman"/>
                <w:spacing w:val="-2"/>
                <w:sz w:val="16"/>
                <w:szCs w:val="16"/>
              </w:rPr>
              <w:t>етапі програми було укладення контракту і вкладення інвестицій в Молдову. За даною схемою тимчасової трудової міграції послідувало зростання торгівлі товарами і капітальних інвестицій [</w:t>
            </w:r>
            <w:r>
              <w:rPr>
                <w:rFonts w:ascii="Times New Roman" w:hAnsi="Times New Roman" w:cs="Times New Roman"/>
                <w:sz w:val="16"/>
                <w:szCs w:val="16"/>
                <w:highlight w:val="yellow"/>
                <w:lang w:val="en-US"/>
              </w:rPr>
              <w:fldChar w:fldCharType="begin"/>
            </w:r>
            <w:r>
              <w:rPr>
                <w:rFonts w:ascii="Times New Roman" w:hAnsi="Times New Roman" w:cs="Times New Roman"/>
                <w:spacing w:val="-2"/>
                <w:sz w:val="16"/>
                <w:szCs w:val="16"/>
              </w:rPr>
              <w:instrText xml:space="preserve"> REF _Ref435187200 \r \h </w:instrText>
            </w:r>
            <w:r>
              <w:rPr>
                <w:rFonts w:ascii="Times New Roman" w:hAnsi="Times New Roman" w:cs="Times New Roman"/>
                <w:sz w:val="16"/>
                <w:szCs w:val="16"/>
                <w:highlight w:val="yellow"/>
                <w:lang w:val="en-US"/>
              </w:rPr>
            </w:r>
            <w:r>
              <w:rPr>
                <w:rFonts w:ascii="Times New Roman" w:hAnsi="Times New Roman" w:cs="Times New Roman"/>
                <w:sz w:val="16"/>
                <w:szCs w:val="16"/>
                <w:highlight w:val="yellow"/>
                <w:lang w:val="en-US"/>
              </w:rPr>
              <w:fldChar w:fldCharType="separate"/>
            </w:r>
            <w:r>
              <w:rPr>
                <w:rFonts w:ascii="Times New Roman" w:hAnsi="Times New Roman" w:cs="Times New Roman"/>
                <w:spacing w:val="-2"/>
                <w:sz w:val="16"/>
                <w:szCs w:val="16"/>
              </w:rPr>
              <w:t>71</w:t>
            </w:r>
            <w:r>
              <w:rPr>
                <w:rFonts w:ascii="Times New Roman" w:hAnsi="Times New Roman" w:cs="Times New Roman"/>
                <w:sz w:val="16"/>
                <w:szCs w:val="16"/>
                <w:highlight w:val="yellow"/>
                <w:lang w:val="en-US"/>
              </w:rPr>
              <w:fldChar w:fldCharType="end"/>
            </w:r>
            <w:r w:rsidRPr="00B47CC0">
              <w:rPr>
                <w:rFonts w:ascii="Times New Roman" w:hAnsi="Times New Roman" w:cs="Times New Roman"/>
                <w:spacing w:val="-2"/>
                <w:sz w:val="16"/>
                <w:szCs w:val="16"/>
              </w:rPr>
              <w:t>].</w:t>
            </w:r>
          </w:p>
          <w:p w:rsidR="00B233DE" w:rsidRPr="00981A7B" w:rsidRDefault="00B233DE" w:rsidP="0023489B">
            <w:pPr>
              <w:tabs>
                <w:tab w:val="left" w:pos="900"/>
              </w:tabs>
              <w:spacing w:line="228" w:lineRule="auto"/>
              <w:ind w:firstLine="34"/>
              <w:jc w:val="both"/>
              <w:rPr>
                <w:rFonts w:ascii="Times New Roman" w:hAnsi="Times New Roman" w:cs="Times New Roman"/>
                <w:sz w:val="16"/>
                <w:szCs w:val="16"/>
              </w:rPr>
            </w:pPr>
            <w:r w:rsidRPr="00981A7B">
              <w:rPr>
                <w:rFonts w:ascii="Times New Roman" w:hAnsi="Times New Roman" w:cs="Times New Roman"/>
                <w:spacing w:val="-2"/>
                <w:sz w:val="16"/>
                <w:szCs w:val="16"/>
              </w:rPr>
              <w:t>Стратегія заохочення тимчасового працевлаштування національних працівни</w:t>
            </w:r>
            <w:r>
              <w:rPr>
                <w:rFonts w:ascii="Times New Roman" w:hAnsi="Times New Roman" w:cs="Times New Roman"/>
                <w:spacing w:val="-2"/>
                <w:sz w:val="16"/>
                <w:szCs w:val="16"/>
              </w:rPr>
              <w:t>ків за кордоном ефективно засто</w:t>
            </w:r>
            <w:r w:rsidRPr="00981A7B">
              <w:rPr>
                <w:rFonts w:ascii="Times New Roman" w:hAnsi="Times New Roman" w:cs="Times New Roman"/>
                <w:spacing w:val="-2"/>
                <w:sz w:val="16"/>
                <w:szCs w:val="16"/>
              </w:rPr>
              <w:t>совується у Китаї.</w:t>
            </w:r>
          </w:p>
        </w:tc>
      </w:tr>
    </w:tbl>
    <w:p w:rsidR="00B233DE" w:rsidRPr="00337442" w:rsidRDefault="00B233DE" w:rsidP="00B233DE">
      <w:pPr>
        <w:ind w:firstLine="0"/>
        <w:rPr>
          <w:sz w:val="21"/>
          <w:szCs w:val="21"/>
        </w:rPr>
        <w:sectPr w:rsidR="00B233DE" w:rsidRPr="00337442" w:rsidSect="0023489B">
          <w:headerReference w:type="default" r:id="rId63"/>
          <w:footerReference w:type="default" r:id="rId64"/>
          <w:pgSz w:w="11907" w:h="8392" w:orient="landscape"/>
          <w:pgMar w:top="1134" w:right="1247" w:bottom="1134" w:left="851" w:header="709" w:footer="709" w:gutter="0"/>
          <w:cols w:space="708"/>
          <w:docGrid w:linePitch="360"/>
        </w:sectPr>
      </w:pPr>
    </w:p>
    <w:p w:rsidR="00B233DE" w:rsidRPr="00981A7B" w:rsidRDefault="00B233DE" w:rsidP="00B233DE">
      <w:pPr>
        <w:spacing w:line="276" w:lineRule="auto"/>
        <w:jc w:val="right"/>
        <w:rPr>
          <w:rFonts w:ascii="Times New Roman" w:hAnsi="Times New Roman" w:cs="Times New Roman"/>
          <w:sz w:val="21"/>
          <w:szCs w:val="21"/>
        </w:rPr>
      </w:pPr>
      <w:r>
        <w:rPr>
          <w:rFonts w:ascii="Times New Roman" w:hAnsi="Times New Roman" w:cs="Times New Roman"/>
          <w:sz w:val="21"/>
          <w:szCs w:val="21"/>
        </w:rPr>
        <w:lastRenderedPageBreak/>
        <w:t>Продовження т</w:t>
      </w:r>
      <w:r w:rsidRPr="00981A7B">
        <w:rPr>
          <w:rFonts w:ascii="Times New Roman" w:hAnsi="Times New Roman" w:cs="Times New Roman"/>
          <w:sz w:val="21"/>
          <w:szCs w:val="21"/>
        </w:rPr>
        <w:t>аблиц</w:t>
      </w:r>
      <w:r>
        <w:rPr>
          <w:rFonts w:ascii="Times New Roman" w:hAnsi="Times New Roman" w:cs="Times New Roman"/>
          <w:sz w:val="21"/>
          <w:szCs w:val="21"/>
        </w:rPr>
        <w:t>і</w:t>
      </w:r>
      <w:r w:rsidRPr="00981A7B">
        <w:rPr>
          <w:rFonts w:ascii="Times New Roman" w:hAnsi="Times New Roman" w:cs="Times New Roman"/>
          <w:sz w:val="21"/>
          <w:szCs w:val="21"/>
        </w:rPr>
        <w:t xml:space="preserve"> </w:t>
      </w:r>
      <w:r>
        <w:rPr>
          <w:rFonts w:ascii="Times New Roman" w:hAnsi="Times New Roman" w:cs="Times New Roman"/>
          <w:sz w:val="21"/>
          <w:szCs w:val="21"/>
        </w:rPr>
        <w:t>4.6</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1"/>
        <w:gridCol w:w="2860"/>
        <w:gridCol w:w="5812"/>
      </w:tblGrid>
      <w:tr w:rsidR="00B233DE" w:rsidRPr="00981A7B" w:rsidTr="0023489B">
        <w:trPr>
          <w:trHeight w:val="130"/>
        </w:trPr>
        <w:tc>
          <w:tcPr>
            <w:tcW w:w="1251" w:type="dxa"/>
            <w:vAlign w:val="center"/>
          </w:tcPr>
          <w:p w:rsidR="00B233DE" w:rsidRPr="00981A7B"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1</w:t>
            </w:r>
          </w:p>
        </w:tc>
        <w:tc>
          <w:tcPr>
            <w:tcW w:w="2860" w:type="dxa"/>
          </w:tcPr>
          <w:p w:rsidR="00B233DE" w:rsidRPr="00981A7B" w:rsidRDefault="00B233DE" w:rsidP="0023489B">
            <w:pPr>
              <w:tabs>
                <w:tab w:val="left" w:pos="900"/>
              </w:tabs>
              <w:ind w:firstLine="0"/>
              <w:jc w:val="center"/>
              <w:rPr>
                <w:rFonts w:ascii="Times New Roman" w:hAnsi="Times New Roman" w:cs="Times New Roman"/>
                <w:spacing w:val="-2"/>
                <w:sz w:val="16"/>
                <w:szCs w:val="16"/>
              </w:rPr>
            </w:pPr>
            <w:r>
              <w:rPr>
                <w:rFonts w:ascii="Times New Roman" w:hAnsi="Times New Roman" w:cs="Times New Roman"/>
                <w:spacing w:val="-2"/>
                <w:sz w:val="16"/>
                <w:szCs w:val="16"/>
              </w:rPr>
              <w:t>2</w:t>
            </w:r>
          </w:p>
        </w:tc>
        <w:tc>
          <w:tcPr>
            <w:tcW w:w="5812" w:type="dxa"/>
          </w:tcPr>
          <w:p w:rsidR="00B233DE" w:rsidRPr="00981A7B" w:rsidRDefault="00B233DE" w:rsidP="0023489B">
            <w:pPr>
              <w:tabs>
                <w:tab w:val="left" w:pos="900"/>
              </w:tabs>
              <w:jc w:val="center"/>
              <w:rPr>
                <w:rFonts w:ascii="Times New Roman" w:hAnsi="Times New Roman" w:cs="Times New Roman"/>
                <w:spacing w:val="-2"/>
                <w:sz w:val="16"/>
                <w:szCs w:val="16"/>
              </w:rPr>
            </w:pPr>
            <w:r>
              <w:rPr>
                <w:rFonts w:ascii="Times New Roman" w:hAnsi="Times New Roman" w:cs="Times New Roman"/>
                <w:spacing w:val="-2"/>
                <w:sz w:val="16"/>
                <w:szCs w:val="16"/>
              </w:rPr>
              <w:t>3</w:t>
            </w:r>
          </w:p>
        </w:tc>
      </w:tr>
      <w:tr w:rsidR="00B233DE" w:rsidRPr="00981A7B" w:rsidTr="0023489B">
        <w:trPr>
          <w:trHeight w:val="1934"/>
        </w:trPr>
        <w:tc>
          <w:tcPr>
            <w:tcW w:w="1251" w:type="dxa"/>
            <w:vAlign w:val="center"/>
          </w:tcPr>
          <w:p w:rsidR="00B233DE" w:rsidRPr="00981A7B" w:rsidRDefault="00B233DE" w:rsidP="0023489B">
            <w:pPr>
              <w:ind w:firstLine="0"/>
              <w:jc w:val="center"/>
              <w:rPr>
                <w:rFonts w:ascii="Times New Roman" w:hAnsi="Times New Roman" w:cs="Times New Roman"/>
                <w:sz w:val="16"/>
                <w:szCs w:val="16"/>
              </w:rPr>
            </w:pPr>
          </w:p>
        </w:tc>
        <w:tc>
          <w:tcPr>
            <w:tcW w:w="2860" w:type="dxa"/>
          </w:tcPr>
          <w:p w:rsidR="00B233DE" w:rsidRPr="00981A7B" w:rsidRDefault="00B233DE" w:rsidP="0023489B">
            <w:pPr>
              <w:tabs>
                <w:tab w:val="left" w:pos="900"/>
              </w:tabs>
              <w:ind w:firstLine="0"/>
              <w:jc w:val="both"/>
              <w:rPr>
                <w:rFonts w:ascii="Times New Roman" w:hAnsi="Times New Roman" w:cs="Times New Roman"/>
                <w:spacing w:val="-2"/>
                <w:sz w:val="16"/>
                <w:szCs w:val="16"/>
              </w:rPr>
            </w:pPr>
            <w:r w:rsidRPr="00B47CC0">
              <w:rPr>
                <w:rFonts w:ascii="Times New Roman" w:hAnsi="Times New Roman" w:cs="Times New Roman"/>
                <w:spacing w:val="-2"/>
                <w:sz w:val="16"/>
                <w:szCs w:val="16"/>
              </w:rPr>
              <w:t>Дослідження [</w:t>
            </w:r>
            <w:r>
              <w:rPr>
                <w:rFonts w:ascii="Times New Roman" w:hAnsi="Times New Roman" w:cs="Times New Roman"/>
                <w:sz w:val="16"/>
                <w:szCs w:val="16"/>
                <w:highlight w:val="yellow"/>
                <w:lang w:val="en-US"/>
              </w:rPr>
              <w:fldChar w:fldCharType="begin"/>
            </w:r>
            <w:r>
              <w:rPr>
                <w:rFonts w:ascii="Times New Roman" w:hAnsi="Times New Roman" w:cs="Times New Roman"/>
                <w:spacing w:val="-2"/>
                <w:sz w:val="16"/>
                <w:szCs w:val="16"/>
              </w:rPr>
              <w:instrText xml:space="preserve"> REF _Ref435187208 \r \h </w:instrText>
            </w:r>
            <w:r>
              <w:rPr>
                <w:rFonts w:ascii="Times New Roman" w:hAnsi="Times New Roman" w:cs="Times New Roman"/>
                <w:sz w:val="16"/>
                <w:szCs w:val="16"/>
                <w:highlight w:val="yellow"/>
                <w:lang w:val="en-US"/>
              </w:rPr>
            </w:r>
            <w:r>
              <w:rPr>
                <w:rFonts w:ascii="Times New Roman" w:hAnsi="Times New Roman" w:cs="Times New Roman"/>
                <w:sz w:val="16"/>
                <w:szCs w:val="16"/>
                <w:highlight w:val="yellow"/>
                <w:lang w:val="en-US"/>
              </w:rPr>
              <w:fldChar w:fldCharType="separate"/>
            </w:r>
            <w:r>
              <w:rPr>
                <w:rFonts w:ascii="Times New Roman" w:hAnsi="Times New Roman" w:cs="Times New Roman"/>
                <w:spacing w:val="-2"/>
                <w:sz w:val="16"/>
                <w:szCs w:val="16"/>
              </w:rPr>
              <w:t>96</w:t>
            </w:r>
            <w:r>
              <w:rPr>
                <w:rFonts w:ascii="Times New Roman" w:hAnsi="Times New Roman" w:cs="Times New Roman"/>
                <w:sz w:val="16"/>
                <w:szCs w:val="16"/>
                <w:highlight w:val="yellow"/>
                <w:lang w:val="en-US"/>
              </w:rPr>
              <w:fldChar w:fldCharType="end"/>
            </w:r>
            <w:r w:rsidRPr="00B47CC0">
              <w:rPr>
                <w:rFonts w:ascii="Times New Roman" w:hAnsi="Times New Roman" w:cs="Times New Roman"/>
                <w:spacing w:val="-2"/>
                <w:sz w:val="16"/>
                <w:szCs w:val="16"/>
              </w:rPr>
              <w:t>] підтверджують, що довгострокова імміграція</w:t>
            </w:r>
            <w:r w:rsidRPr="00981A7B">
              <w:rPr>
                <w:rFonts w:ascii="Times New Roman" w:hAnsi="Times New Roman" w:cs="Times New Roman"/>
                <w:spacing w:val="-2"/>
                <w:sz w:val="16"/>
                <w:szCs w:val="16"/>
              </w:rPr>
              <w:t xml:space="preserve"> не може вирішити всі фінансові проблеми, пов’язані зі старінням населення. Якщо внесок</w:t>
            </w:r>
            <w:r>
              <w:rPr>
                <w:rFonts w:ascii="Times New Roman" w:hAnsi="Times New Roman" w:cs="Times New Roman"/>
                <w:spacing w:val="-2"/>
                <w:sz w:val="16"/>
                <w:szCs w:val="16"/>
              </w:rPr>
              <w:t xml:space="preserve"> іммігрантів буде використову-ва</w:t>
            </w:r>
            <w:r w:rsidRPr="00981A7B">
              <w:rPr>
                <w:rFonts w:ascii="Times New Roman" w:hAnsi="Times New Roman" w:cs="Times New Roman"/>
                <w:spacing w:val="-2"/>
                <w:sz w:val="16"/>
                <w:szCs w:val="16"/>
              </w:rPr>
              <w:t>тись для витрат на охорону здоров’я і пенсії для нинішніх осіб пенсійного віку, то ці витрати будуть переноси</w:t>
            </w:r>
            <w:r>
              <w:rPr>
                <w:rFonts w:ascii="Times New Roman" w:hAnsi="Times New Roman" w:cs="Times New Roman"/>
                <w:spacing w:val="-2"/>
                <w:sz w:val="16"/>
                <w:szCs w:val="16"/>
              </w:rPr>
              <w:t>-</w:t>
            </w:r>
            <w:r w:rsidRPr="00981A7B">
              <w:rPr>
                <w:rFonts w:ascii="Times New Roman" w:hAnsi="Times New Roman" w:cs="Times New Roman"/>
                <w:spacing w:val="-2"/>
                <w:sz w:val="16"/>
                <w:szCs w:val="16"/>
              </w:rPr>
              <w:t>тись і створювати ланцюг імміграції, де для задоволення потреб кожного покоління необхідними будуть нові іммігранти в більшій кількості. Тимча</w:t>
            </w:r>
            <w:r>
              <w:rPr>
                <w:rFonts w:ascii="Times New Roman" w:hAnsi="Times New Roman" w:cs="Times New Roman"/>
                <w:spacing w:val="-2"/>
                <w:sz w:val="16"/>
                <w:szCs w:val="16"/>
              </w:rPr>
              <w:t>-</w:t>
            </w:r>
            <w:r w:rsidRPr="00981A7B">
              <w:rPr>
                <w:rFonts w:ascii="Times New Roman" w:hAnsi="Times New Roman" w:cs="Times New Roman"/>
                <w:spacing w:val="-2"/>
                <w:sz w:val="16"/>
                <w:szCs w:val="16"/>
              </w:rPr>
              <w:t>сова міграція професіоналів, працівни</w:t>
            </w:r>
            <w:r>
              <w:rPr>
                <w:rFonts w:ascii="Times New Roman" w:hAnsi="Times New Roman" w:cs="Times New Roman"/>
                <w:spacing w:val="-2"/>
                <w:sz w:val="16"/>
                <w:szCs w:val="16"/>
              </w:rPr>
              <w:t>-</w:t>
            </w:r>
            <w:r w:rsidRPr="00981A7B">
              <w:rPr>
                <w:rFonts w:ascii="Times New Roman" w:hAnsi="Times New Roman" w:cs="Times New Roman"/>
                <w:spacing w:val="-2"/>
                <w:sz w:val="16"/>
                <w:szCs w:val="16"/>
              </w:rPr>
              <w:t>ків сфери знань</w:t>
            </w:r>
            <w:r>
              <w:rPr>
                <w:rFonts w:ascii="Times New Roman" w:hAnsi="Times New Roman" w:cs="Times New Roman"/>
                <w:spacing w:val="-2"/>
                <w:sz w:val="16"/>
                <w:szCs w:val="16"/>
              </w:rPr>
              <w:t>: науковців, професорів, інжене</w:t>
            </w:r>
            <w:r w:rsidRPr="00981A7B">
              <w:rPr>
                <w:rFonts w:ascii="Times New Roman" w:hAnsi="Times New Roman" w:cs="Times New Roman"/>
                <w:spacing w:val="-2"/>
                <w:sz w:val="16"/>
                <w:szCs w:val="16"/>
              </w:rPr>
              <w:t>рів та дослідників і транснаціо</w:t>
            </w:r>
            <w:r>
              <w:rPr>
                <w:rFonts w:ascii="Times New Roman" w:hAnsi="Times New Roman" w:cs="Times New Roman"/>
                <w:spacing w:val="-2"/>
                <w:sz w:val="16"/>
                <w:szCs w:val="16"/>
              </w:rPr>
              <w:t>-нальних підприємців сти</w:t>
            </w:r>
            <w:r w:rsidRPr="00981A7B">
              <w:rPr>
                <w:rFonts w:ascii="Times New Roman" w:hAnsi="Times New Roman" w:cs="Times New Roman"/>
                <w:spacing w:val="-2"/>
                <w:sz w:val="16"/>
                <w:szCs w:val="16"/>
              </w:rPr>
              <w:t>мулює інте</w:t>
            </w:r>
            <w:r>
              <w:rPr>
                <w:rFonts w:ascii="Times New Roman" w:hAnsi="Times New Roman" w:cs="Times New Roman"/>
                <w:spacing w:val="-2"/>
                <w:sz w:val="16"/>
                <w:szCs w:val="16"/>
              </w:rPr>
              <w:t>-</w:t>
            </w:r>
            <w:r w:rsidRPr="00981A7B">
              <w:rPr>
                <w:rFonts w:ascii="Times New Roman" w:hAnsi="Times New Roman" w:cs="Times New Roman"/>
                <w:spacing w:val="-2"/>
                <w:sz w:val="16"/>
                <w:szCs w:val="16"/>
              </w:rPr>
              <w:t xml:space="preserve">лектуальний </w:t>
            </w:r>
            <w:r>
              <w:rPr>
                <w:rFonts w:ascii="Times New Roman" w:hAnsi="Times New Roman" w:cs="Times New Roman"/>
                <w:spacing w:val="-2"/>
                <w:sz w:val="16"/>
                <w:szCs w:val="16"/>
              </w:rPr>
              <w:t>та інноваційний розвиток у краї</w:t>
            </w:r>
            <w:r w:rsidRPr="00981A7B">
              <w:rPr>
                <w:rFonts w:ascii="Times New Roman" w:hAnsi="Times New Roman" w:cs="Times New Roman"/>
                <w:spacing w:val="-2"/>
                <w:sz w:val="16"/>
                <w:szCs w:val="16"/>
              </w:rPr>
              <w:t>нах походження та призначення. Даний вид міграції дає поштовх цир</w:t>
            </w:r>
            <w:r>
              <w:rPr>
                <w:rFonts w:ascii="Times New Roman" w:hAnsi="Times New Roman" w:cs="Times New Roman"/>
                <w:spacing w:val="-2"/>
                <w:sz w:val="16"/>
                <w:szCs w:val="16"/>
              </w:rPr>
              <w:t>-</w:t>
            </w:r>
            <w:r w:rsidRPr="00981A7B">
              <w:rPr>
                <w:rFonts w:ascii="Times New Roman" w:hAnsi="Times New Roman" w:cs="Times New Roman"/>
                <w:spacing w:val="-2"/>
                <w:sz w:val="16"/>
                <w:szCs w:val="16"/>
              </w:rPr>
              <w:t>куляції знань, інноваційн</w:t>
            </w:r>
            <w:r>
              <w:rPr>
                <w:rFonts w:ascii="Times New Roman" w:hAnsi="Times New Roman" w:cs="Times New Roman"/>
                <w:spacing w:val="-2"/>
                <w:sz w:val="16"/>
                <w:szCs w:val="16"/>
              </w:rPr>
              <w:t xml:space="preserve">их ідей між </w:t>
            </w:r>
            <w:r w:rsidRPr="001B7FFD">
              <w:rPr>
                <w:rFonts w:ascii="Times New Roman" w:hAnsi="Times New Roman" w:cs="Times New Roman"/>
                <w:spacing w:val="-2"/>
                <w:sz w:val="16"/>
                <w:szCs w:val="16"/>
              </w:rPr>
              <w:t>країнами. Країна походження отримує трудові ресурси підвищеної кваліфі-кації [</w:t>
            </w:r>
            <w:r>
              <w:rPr>
                <w:rFonts w:ascii="Times New Roman" w:hAnsi="Times New Roman" w:cs="Times New Roman"/>
                <w:sz w:val="16"/>
                <w:szCs w:val="16"/>
                <w:highlight w:val="yellow"/>
                <w:lang w:val="en-US"/>
              </w:rPr>
              <w:fldChar w:fldCharType="begin"/>
            </w:r>
            <w:r>
              <w:rPr>
                <w:rFonts w:ascii="Times New Roman" w:hAnsi="Times New Roman" w:cs="Times New Roman"/>
                <w:spacing w:val="-2"/>
                <w:sz w:val="16"/>
                <w:szCs w:val="16"/>
              </w:rPr>
              <w:instrText xml:space="preserve"> REF _Ref435187215 \r \h </w:instrText>
            </w:r>
            <w:r>
              <w:rPr>
                <w:rFonts w:ascii="Times New Roman" w:hAnsi="Times New Roman" w:cs="Times New Roman"/>
                <w:sz w:val="16"/>
                <w:szCs w:val="16"/>
                <w:highlight w:val="yellow"/>
                <w:lang w:val="en-US"/>
              </w:rPr>
            </w:r>
            <w:r>
              <w:rPr>
                <w:rFonts w:ascii="Times New Roman" w:hAnsi="Times New Roman" w:cs="Times New Roman"/>
                <w:sz w:val="16"/>
                <w:szCs w:val="16"/>
                <w:highlight w:val="yellow"/>
                <w:lang w:val="en-US"/>
              </w:rPr>
              <w:fldChar w:fldCharType="separate"/>
            </w:r>
            <w:r>
              <w:rPr>
                <w:rFonts w:ascii="Times New Roman" w:hAnsi="Times New Roman" w:cs="Times New Roman"/>
                <w:spacing w:val="-2"/>
                <w:sz w:val="16"/>
                <w:szCs w:val="16"/>
              </w:rPr>
              <w:t>84</w:t>
            </w:r>
            <w:r>
              <w:rPr>
                <w:rFonts w:ascii="Times New Roman" w:hAnsi="Times New Roman" w:cs="Times New Roman"/>
                <w:sz w:val="16"/>
                <w:szCs w:val="16"/>
                <w:highlight w:val="yellow"/>
                <w:lang w:val="en-US"/>
              </w:rPr>
              <w:fldChar w:fldCharType="end"/>
            </w:r>
            <w:r w:rsidRPr="001B7FFD">
              <w:rPr>
                <w:rFonts w:ascii="Times New Roman" w:hAnsi="Times New Roman" w:cs="Times New Roman"/>
                <w:spacing w:val="-2"/>
                <w:sz w:val="16"/>
                <w:szCs w:val="16"/>
              </w:rPr>
              <w:t>]. Країни призначення запроваджують тимчасові</w:t>
            </w:r>
            <w:r w:rsidRPr="00981A7B">
              <w:rPr>
                <w:rFonts w:ascii="Times New Roman" w:hAnsi="Times New Roman" w:cs="Times New Roman"/>
                <w:spacing w:val="-2"/>
                <w:sz w:val="16"/>
                <w:szCs w:val="16"/>
              </w:rPr>
              <w:t xml:space="preserve"> робочі програми, усуваючи перешкоди до мобільності спеціалістів.</w:t>
            </w:r>
          </w:p>
        </w:tc>
        <w:tc>
          <w:tcPr>
            <w:tcW w:w="5812" w:type="dxa"/>
          </w:tcPr>
          <w:p w:rsidR="00B233DE" w:rsidRPr="00981A7B" w:rsidRDefault="00B233DE" w:rsidP="0023489B">
            <w:pPr>
              <w:tabs>
                <w:tab w:val="left" w:pos="900"/>
              </w:tabs>
              <w:jc w:val="both"/>
              <w:rPr>
                <w:rFonts w:ascii="Times New Roman" w:hAnsi="Times New Roman" w:cs="Times New Roman"/>
                <w:spacing w:val="-2"/>
                <w:sz w:val="16"/>
                <w:szCs w:val="16"/>
              </w:rPr>
            </w:pPr>
            <w:r w:rsidRPr="00981A7B">
              <w:rPr>
                <w:rFonts w:ascii="Times New Roman" w:hAnsi="Times New Roman" w:cs="Times New Roman"/>
                <w:spacing w:val="-2"/>
                <w:sz w:val="16"/>
                <w:szCs w:val="16"/>
              </w:rPr>
              <w:t xml:space="preserve">У країні створені пільгові умови для виїзду і повернення вчених, час їхнього перебування за кордоном продовжено до п’яти років з дозволом багаторазових поїздок туди і </w:t>
            </w:r>
            <w:r w:rsidRPr="001B7FFD">
              <w:rPr>
                <w:rFonts w:ascii="Times New Roman" w:hAnsi="Times New Roman" w:cs="Times New Roman"/>
                <w:spacing w:val="-2"/>
                <w:sz w:val="16"/>
                <w:szCs w:val="16"/>
              </w:rPr>
              <w:t>назад [</w:t>
            </w:r>
            <w:r>
              <w:rPr>
                <w:rFonts w:ascii="Times New Roman" w:hAnsi="Times New Roman" w:cs="Times New Roman"/>
                <w:bCs/>
                <w:sz w:val="16"/>
                <w:szCs w:val="16"/>
                <w:highlight w:val="yellow"/>
              </w:rPr>
              <w:fldChar w:fldCharType="begin"/>
            </w:r>
            <w:r>
              <w:rPr>
                <w:rFonts w:ascii="Times New Roman" w:hAnsi="Times New Roman" w:cs="Times New Roman"/>
                <w:spacing w:val="-2"/>
                <w:sz w:val="16"/>
                <w:szCs w:val="16"/>
              </w:rPr>
              <w:instrText xml:space="preserve"> REF _Ref435182370 \r \h </w:instrText>
            </w:r>
            <w:r>
              <w:rPr>
                <w:rFonts w:ascii="Times New Roman" w:hAnsi="Times New Roman" w:cs="Times New Roman"/>
                <w:bCs/>
                <w:sz w:val="16"/>
                <w:szCs w:val="16"/>
                <w:highlight w:val="yellow"/>
              </w:rPr>
            </w:r>
            <w:r>
              <w:rPr>
                <w:rFonts w:ascii="Times New Roman" w:hAnsi="Times New Roman" w:cs="Times New Roman"/>
                <w:bCs/>
                <w:sz w:val="16"/>
                <w:szCs w:val="16"/>
                <w:highlight w:val="yellow"/>
              </w:rPr>
              <w:fldChar w:fldCharType="separate"/>
            </w:r>
            <w:r>
              <w:rPr>
                <w:rFonts w:ascii="Times New Roman" w:hAnsi="Times New Roman" w:cs="Times New Roman"/>
                <w:spacing w:val="-2"/>
                <w:sz w:val="16"/>
                <w:szCs w:val="16"/>
              </w:rPr>
              <w:t>7</w:t>
            </w:r>
            <w:r>
              <w:rPr>
                <w:rFonts w:ascii="Times New Roman" w:hAnsi="Times New Roman" w:cs="Times New Roman"/>
                <w:bCs/>
                <w:sz w:val="16"/>
                <w:szCs w:val="16"/>
                <w:highlight w:val="yellow"/>
              </w:rPr>
              <w:fldChar w:fldCharType="end"/>
            </w:r>
            <w:r w:rsidRPr="001B7FFD">
              <w:rPr>
                <w:rFonts w:ascii="Times New Roman" w:hAnsi="Times New Roman" w:cs="Times New Roman"/>
                <w:spacing w:val="-2"/>
                <w:sz w:val="16"/>
                <w:szCs w:val="16"/>
              </w:rPr>
              <w:t>]. Прикладами тимчасових робочих програм є: Програма сезонних сільськогосподарських працівників в Канаді, завдяки якій розширилось виробниц</w:t>
            </w:r>
            <w:r w:rsidRPr="001B7FFD">
              <w:rPr>
                <w:rFonts w:ascii="Times New Roman" w:hAnsi="Times New Roman" w:cs="Times New Roman"/>
                <w:spacing w:val="-2"/>
                <w:sz w:val="16"/>
                <w:szCs w:val="16"/>
              </w:rPr>
              <w:softHyphen/>
              <w:t>тво продукції канадськими фермерами і водночас зросли інвестиції самих мігрантів в сільськогосподарські угіддя і організація малих</w:t>
            </w:r>
            <w:r w:rsidRPr="00981A7B">
              <w:rPr>
                <w:rFonts w:ascii="Times New Roman" w:hAnsi="Times New Roman" w:cs="Times New Roman"/>
                <w:spacing w:val="-2"/>
                <w:sz w:val="16"/>
                <w:szCs w:val="16"/>
              </w:rPr>
              <w:t xml:space="preserve"> підприємств в країнах походження; програма сезонної міграції в Іспанії дозволяє мігрантам повторно приїжджати на роботу в країну без попереднього відбору </w:t>
            </w:r>
            <w:r w:rsidRPr="001B7FFD">
              <w:rPr>
                <w:rFonts w:ascii="Times New Roman" w:hAnsi="Times New Roman" w:cs="Times New Roman"/>
                <w:spacing w:val="-2"/>
                <w:sz w:val="16"/>
                <w:szCs w:val="16"/>
              </w:rPr>
              <w:t>у випадку, якщо попереднього разу вони вчасно виїхали з країни, а також надає допомогу у створенні малих підприємств і громадських орга</w:t>
            </w:r>
            <w:r w:rsidRPr="001B7FFD">
              <w:rPr>
                <w:rFonts w:ascii="Times New Roman" w:hAnsi="Times New Roman" w:cs="Times New Roman"/>
                <w:spacing w:val="-2"/>
                <w:sz w:val="16"/>
                <w:szCs w:val="16"/>
              </w:rPr>
              <w:softHyphen/>
              <w:t>нізацій в країнах походження [</w:t>
            </w:r>
            <w:r>
              <w:rPr>
                <w:rFonts w:ascii="Times New Roman" w:hAnsi="Times New Roman" w:cs="Times New Roman"/>
                <w:iCs/>
                <w:sz w:val="16"/>
                <w:szCs w:val="16"/>
                <w:highlight w:val="yellow"/>
                <w:lang w:val="en-US"/>
              </w:rPr>
              <w:fldChar w:fldCharType="begin"/>
            </w:r>
            <w:r>
              <w:rPr>
                <w:rFonts w:ascii="Times New Roman" w:hAnsi="Times New Roman" w:cs="Times New Roman"/>
                <w:spacing w:val="-2"/>
                <w:sz w:val="16"/>
                <w:szCs w:val="16"/>
              </w:rPr>
              <w:instrText xml:space="preserve"> REF _Ref435187241 \r \h </w:instrText>
            </w:r>
            <w:r>
              <w:rPr>
                <w:rFonts w:ascii="Times New Roman" w:hAnsi="Times New Roman" w:cs="Times New Roman"/>
                <w:iCs/>
                <w:sz w:val="16"/>
                <w:szCs w:val="16"/>
                <w:highlight w:val="yellow"/>
                <w:lang w:val="en-US"/>
              </w:rPr>
            </w:r>
            <w:r>
              <w:rPr>
                <w:rFonts w:ascii="Times New Roman" w:hAnsi="Times New Roman" w:cs="Times New Roman"/>
                <w:iCs/>
                <w:sz w:val="16"/>
                <w:szCs w:val="16"/>
                <w:highlight w:val="yellow"/>
                <w:lang w:val="en-US"/>
              </w:rPr>
              <w:fldChar w:fldCharType="separate"/>
            </w:r>
            <w:r>
              <w:rPr>
                <w:rFonts w:ascii="Times New Roman" w:hAnsi="Times New Roman" w:cs="Times New Roman"/>
                <w:spacing w:val="-2"/>
                <w:sz w:val="16"/>
                <w:szCs w:val="16"/>
              </w:rPr>
              <w:t>87</w:t>
            </w:r>
            <w:r>
              <w:rPr>
                <w:rFonts w:ascii="Times New Roman" w:hAnsi="Times New Roman" w:cs="Times New Roman"/>
                <w:iCs/>
                <w:sz w:val="16"/>
                <w:szCs w:val="16"/>
                <w:highlight w:val="yellow"/>
                <w:lang w:val="en-US"/>
              </w:rPr>
              <w:fldChar w:fldCharType="end"/>
            </w:r>
            <w:r w:rsidRPr="001B7FFD">
              <w:rPr>
                <w:rFonts w:ascii="Times New Roman" w:hAnsi="Times New Roman" w:cs="Times New Roman"/>
                <w:spacing w:val="-2"/>
                <w:sz w:val="16"/>
                <w:szCs w:val="16"/>
              </w:rPr>
              <w:t xml:space="preserve">]. Країни </w:t>
            </w:r>
            <w:r w:rsidRPr="001B7FFD">
              <w:rPr>
                <w:rStyle w:val="aa"/>
                <w:rFonts w:ascii="Times New Roman" w:hAnsi="Times New Roman" w:cs="Times New Roman"/>
                <w:b w:val="0"/>
                <w:i w:val="0"/>
                <w:color w:val="auto"/>
                <w:spacing w:val="-2"/>
                <w:sz w:val="16"/>
                <w:szCs w:val="16"/>
              </w:rPr>
              <w:t>Азійсько</w:t>
            </w:r>
            <w:r w:rsidRPr="001B7FFD">
              <w:rPr>
                <w:rFonts w:ascii="Times New Roman" w:hAnsi="Times New Roman" w:cs="Times New Roman"/>
                <w:b/>
                <w:i/>
                <w:spacing w:val="-2"/>
                <w:sz w:val="16"/>
                <w:szCs w:val="16"/>
              </w:rPr>
              <w:t>-</w:t>
            </w:r>
            <w:r w:rsidRPr="001B7FFD">
              <w:rPr>
                <w:rStyle w:val="aa"/>
                <w:rFonts w:ascii="Times New Roman" w:hAnsi="Times New Roman" w:cs="Times New Roman"/>
                <w:b w:val="0"/>
                <w:i w:val="0"/>
                <w:color w:val="auto"/>
                <w:spacing w:val="-2"/>
                <w:sz w:val="16"/>
                <w:szCs w:val="16"/>
              </w:rPr>
              <w:t>Тихоокеанського</w:t>
            </w:r>
            <w:r w:rsidRPr="001B7FFD">
              <w:rPr>
                <w:rFonts w:ascii="Times New Roman" w:hAnsi="Times New Roman" w:cs="Times New Roman"/>
                <w:spacing w:val="-2"/>
                <w:sz w:val="16"/>
                <w:szCs w:val="16"/>
              </w:rPr>
              <w:t xml:space="preserve"> економічного співробітництва запровадили спеціальні картки бізнес-подо</w:t>
            </w:r>
            <w:r w:rsidRPr="001B7FFD">
              <w:rPr>
                <w:rFonts w:ascii="Times New Roman" w:hAnsi="Times New Roman" w:cs="Times New Roman"/>
                <w:spacing w:val="-2"/>
                <w:sz w:val="16"/>
                <w:szCs w:val="16"/>
              </w:rPr>
              <w:softHyphen/>
              <w:t>рожей</w:t>
            </w:r>
            <w:r w:rsidRPr="00981A7B">
              <w:rPr>
                <w:rFonts w:ascii="Times New Roman" w:hAnsi="Times New Roman" w:cs="Times New Roman"/>
                <w:spacing w:val="-2"/>
                <w:sz w:val="16"/>
                <w:szCs w:val="16"/>
              </w:rPr>
              <w:t xml:space="preserve"> для доступу кваліфікованих працівників до ринків праці країн-</w:t>
            </w:r>
            <w:r w:rsidRPr="001B7FFD">
              <w:rPr>
                <w:rFonts w:ascii="Times New Roman" w:hAnsi="Times New Roman" w:cs="Times New Roman"/>
                <w:spacing w:val="-2"/>
                <w:sz w:val="16"/>
                <w:szCs w:val="16"/>
              </w:rPr>
              <w:t>членів. Дана картка усуває необхідність звертатись за візою або дозволом на в’їзд та забезпечує багаторазовий в’їзд протягом трирічного періоду. Перед видачею картки бізнес-подорожей країна походження перевіряє потенційних кваліфікованих мігрантів за системою критеріїв і надає інформацію на схвалення країні призначення, встановлюючи, таким чином, контроль за міграційними переміщеннями [</w:t>
            </w:r>
            <w:r>
              <w:rPr>
                <w:rFonts w:ascii="Times New Roman" w:hAnsi="Times New Roman" w:cs="Times New Roman"/>
                <w:sz w:val="16"/>
                <w:szCs w:val="16"/>
                <w:highlight w:val="yellow"/>
                <w:lang w:val="en-GB"/>
              </w:rPr>
              <w:fldChar w:fldCharType="begin"/>
            </w:r>
            <w:r>
              <w:rPr>
                <w:rFonts w:ascii="Times New Roman" w:hAnsi="Times New Roman" w:cs="Times New Roman"/>
                <w:spacing w:val="-2"/>
                <w:sz w:val="16"/>
                <w:szCs w:val="16"/>
              </w:rPr>
              <w:instrText xml:space="preserve"> REF _Ref435182644 \r \h </w:instrText>
            </w:r>
            <w:r>
              <w:rPr>
                <w:rFonts w:ascii="Times New Roman" w:hAnsi="Times New Roman" w:cs="Times New Roman"/>
                <w:sz w:val="16"/>
                <w:szCs w:val="16"/>
                <w:highlight w:val="yellow"/>
                <w:lang w:val="en-GB"/>
              </w:rPr>
            </w:r>
            <w:r>
              <w:rPr>
                <w:rFonts w:ascii="Times New Roman" w:hAnsi="Times New Roman" w:cs="Times New Roman"/>
                <w:sz w:val="16"/>
                <w:szCs w:val="16"/>
                <w:highlight w:val="yellow"/>
                <w:lang w:val="en-GB"/>
              </w:rPr>
              <w:fldChar w:fldCharType="separate"/>
            </w:r>
            <w:r>
              <w:rPr>
                <w:rFonts w:ascii="Times New Roman" w:hAnsi="Times New Roman" w:cs="Times New Roman"/>
                <w:spacing w:val="-2"/>
                <w:sz w:val="16"/>
                <w:szCs w:val="16"/>
              </w:rPr>
              <w:t>110</w:t>
            </w:r>
            <w:r>
              <w:rPr>
                <w:rFonts w:ascii="Times New Roman" w:hAnsi="Times New Roman" w:cs="Times New Roman"/>
                <w:sz w:val="16"/>
                <w:szCs w:val="16"/>
                <w:highlight w:val="yellow"/>
                <w:lang w:val="en-GB"/>
              </w:rPr>
              <w:fldChar w:fldCharType="end"/>
            </w:r>
            <w:r w:rsidRPr="001B7FFD">
              <w:rPr>
                <w:rFonts w:ascii="Times New Roman" w:hAnsi="Times New Roman" w:cs="Times New Roman"/>
                <w:spacing w:val="-2"/>
                <w:sz w:val="16"/>
                <w:szCs w:val="16"/>
              </w:rPr>
              <w:t>].</w:t>
            </w:r>
          </w:p>
        </w:tc>
      </w:tr>
    </w:tbl>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sectPr w:rsidR="00B233DE" w:rsidSect="0023489B">
          <w:pgSz w:w="11907" w:h="8392" w:orient="landscape" w:code="11"/>
          <w:pgMar w:top="1134" w:right="1134" w:bottom="1134" w:left="1134" w:header="709" w:footer="709" w:gutter="0"/>
          <w:cols w:space="708"/>
          <w:docGrid w:linePitch="360"/>
        </w:sectPr>
      </w:pPr>
    </w:p>
    <w:p w:rsidR="00B233DE" w:rsidRPr="0098012B" w:rsidRDefault="00B233DE" w:rsidP="00B233DE">
      <w:pPr>
        <w:tabs>
          <w:tab w:val="left" w:pos="900"/>
        </w:tabs>
        <w:ind w:firstLine="720"/>
        <w:jc w:val="both"/>
        <w:rPr>
          <w:rFonts w:ascii="Times New Roman" w:hAnsi="Times New Roman" w:cs="Times New Roman"/>
          <w:sz w:val="21"/>
          <w:szCs w:val="21"/>
        </w:rPr>
      </w:pPr>
      <w:r w:rsidRPr="0098012B">
        <w:rPr>
          <w:rFonts w:ascii="Times New Roman" w:hAnsi="Times New Roman" w:cs="Times New Roman"/>
          <w:sz w:val="21"/>
          <w:szCs w:val="21"/>
        </w:rPr>
        <w:lastRenderedPageBreak/>
        <w:t>Преференційна система застосовується в США та Норвегії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_Ref435187256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55</w:t>
      </w:r>
      <w:r>
        <w:rPr>
          <w:rFonts w:ascii="Times New Roman" w:hAnsi="Times New Roman" w:cs="Times New Roman"/>
          <w:sz w:val="21"/>
          <w:szCs w:val="21"/>
          <w:highlight w:val="yellow"/>
        </w:rPr>
        <w:fldChar w:fldCharType="end"/>
      </w:r>
      <w:r w:rsidRPr="0098012B">
        <w:rPr>
          <w:rFonts w:ascii="Times New Roman" w:hAnsi="Times New Roman" w:cs="Times New Roman"/>
          <w:sz w:val="21"/>
          <w:szCs w:val="21"/>
        </w:rPr>
        <w:t xml:space="preserve">, </w:t>
      </w:r>
      <w:r w:rsidRPr="0098012B">
        <w:rPr>
          <w:rFonts w:ascii="Times New Roman" w:hAnsi="Times New Roman" w:cs="Times New Roman"/>
          <w:sz w:val="21"/>
          <w:szCs w:val="21"/>
          <w:lang w:val="en-US"/>
        </w:rPr>
        <w:t>c</w:t>
      </w:r>
      <w:r w:rsidRPr="0098012B">
        <w:rPr>
          <w:rFonts w:ascii="Times New Roman" w:hAnsi="Times New Roman" w:cs="Times New Roman"/>
          <w:sz w:val="21"/>
          <w:szCs w:val="21"/>
        </w:rPr>
        <w:t>. 152]. У США створена категорія віз для тимчасових працівників (</w:t>
      </w:r>
      <w:r w:rsidRPr="0098012B">
        <w:rPr>
          <w:rFonts w:ascii="Times New Roman" w:hAnsi="Times New Roman" w:cs="Times New Roman"/>
          <w:sz w:val="21"/>
          <w:szCs w:val="21"/>
          <w:lang w:val="en-US"/>
        </w:rPr>
        <w:t>H</w:t>
      </w:r>
      <w:r w:rsidRPr="0098012B">
        <w:rPr>
          <w:rFonts w:ascii="Times New Roman" w:hAnsi="Times New Roman" w:cs="Times New Roman"/>
          <w:sz w:val="21"/>
          <w:szCs w:val="21"/>
        </w:rPr>
        <w:t>-1</w:t>
      </w:r>
      <w:r w:rsidRPr="0098012B">
        <w:rPr>
          <w:rFonts w:ascii="Times New Roman" w:hAnsi="Times New Roman" w:cs="Times New Roman"/>
          <w:sz w:val="21"/>
          <w:szCs w:val="21"/>
          <w:lang w:val="en-US"/>
        </w:rPr>
        <w:t>B</w:t>
      </w:r>
      <w:r w:rsidRPr="0098012B">
        <w:rPr>
          <w:rFonts w:ascii="Times New Roman" w:hAnsi="Times New Roman" w:cs="Times New Roman"/>
          <w:sz w:val="21"/>
          <w:szCs w:val="21"/>
        </w:rPr>
        <w:t xml:space="preserve">), що дозволяє американським роботодавцям приймати на роботу кваліфікованих працівників з-за кордону по спеціальних професіях, до прикладу, програмістів, інженерів, медичних працівників і бухгалтерів тощо. При цьому, претенденти на </w:t>
      </w:r>
      <w:r w:rsidRPr="0098012B">
        <w:rPr>
          <w:rFonts w:ascii="Times New Roman" w:hAnsi="Times New Roman" w:cs="Times New Roman"/>
          <w:sz w:val="21"/>
          <w:szCs w:val="21"/>
          <w:lang w:val="en-US"/>
        </w:rPr>
        <w:t>H</w:t>
      </w:r>
      <w:r w:rsidRPr="0098012B">
        <w:rPr>
          <w:rFonts w:ascii="Times New Roman" w:hAnsi="Times New Roman" w:cs="Times New Roman"/>
          <w:sz w:val="21"/>
          <w:szCs w:val="21"/>
        </w:rPr>
        <w:t>-1</w:t>
      </w:r>
      <w:r w:rsidRPr="0098012B">
        <w:rPr>
          <w:rFonts w:ascii="Times New Roman" w:hAnsi="Times New Roman" w:cs="Times New Roman"/>
          <w:sz w:val="21"/>
          <w:szCs w:val="21"/>
          <w:lang w:val="en-US"/>
        </w:rPr>
        <w:t>B</w:t>
      </w:r>
      <w:r w:rsidRPr="0098012B">
        <w:rPr>
          <w:rFonts w:ascii="Times New Roman" w:hAnsi="Times New Roman" w:cs="Times New Roman"/>
          <w:sz w:val="21"/>
          <w:szCs w:val="21"/>
        </w:rPr>
        <w:t xml:space="preserve"> візу повинні володіти ступенем бакалавра або її еквівалентом, а строк її дії складає 6 років [</w:t>
      </w:r>
      <w:r>
        <w:rPr>
          <w:rFonts w:ascii="Times New Roman" w:hAnsi="Times New Roman" w:cs="Times New Roman"/>
          <w:bCs/>
          <w:sz w:val="21"/>
          <w:szCs w:val="21"/>
          <w:highlight w:val="yellow"/>
        </w:rPr>
        <w:fldChar w:fldCharType="begin"/>
      </w:r>
      <w:r>
        <w:rPr>
          <w:rFonts w:ascii="Times New Roman" w:hAnsi="Times New Roman" w:cs="Times New Roman"/>
          <w:sz w:val="21"/>
          <w:szCs w:val="21"/>
        </w:rPr>
        <w:instrText xml:space="preserve"> REF _Ref435182370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z w:val="21"/>
          <w:szCs w:val="21"/>
        </w:rPr>
        <w:t>7</w:t>
      </w:r>
      <w:r>
        <w:rPr>
          <w:rFonts w:ascii="Times New Roman" w:hAnsi="Times New Roman" w:cs="Times New Roman"/>
          <w:bCs/>
          <w:sz w:val="21"/>
          <w:szCs w:val="21"/>
          <w:highlight w:val="yellow"/>
        </w:rPr>
        <w:fldChar w:fldCharType="end"/>
      </w:r>
      <w:r w:rsidRPr="0098012B">
        <w:rPr>
          <w:rFonts w:ascii="Times New Roman" w:hAnsi="Times New Roman" w:cs="Times New Roman"/>
          <w:sz w:val="21"/>
          <w:szCs w:val="21"/>
        </w:rPr>
        <w:t xml:space="preserve"> </w:t>
      </w:r>
      <w:r w:rsidRPr="0098012B">
        <w:rPr>
          <w:rFonts w:ascii="Times New Roman" w:hAnsi="Times New Roman" w:cs="Times New Roman"/>
          <w:sz w:val="21"/>
          <w:szCs w:val="21"/>
          <w:lang w:val="en-US"/>
        </w:rPr>
        <w:t>c</w:t>
      </w:r>
      <w:r w:rsidRPr="0098012B">
        <w:rPr>
          <w:rFonts w:ascii="Times New Roman" w:hAnsi="Times New Roman" w:cs="Times New Roman"/>
          <w:sz w:val="21"/>
          <w:szCs w:val="21"/>
        </w:rPr>
        <w:t xml:space="preserve">. 90]. Візи </w:t>
      </w:r>
      <w:r w:rsidRPr="0098012B">
        <w:rPr>
          <w:rFonts w:ascii="Times New Roman" w:hAnsi="Times New Roman" w:cs="Times New Roman"/>
          <w:sz w:val="21"/>
          <w:szCs w:val="21"/>
          <w:lang w:val="en-US"/>
        </w:rPr>
        <w:t>EB</w:t>
      </w:r>
      <w:r w:rsidRPr="0098012B">
        <w:rPr>
          <w:rFonts w:ascii="Times New Roman" w:hAnsi="Times New Roman" w:cs="Times New Roman"/>
          <w:sz w:val="21"/>
          <w:szCs w:val="21"/>
        </w:rPr>
        <w:t xml:space="preserve">2 і </w:t>
      </w:r>
      <w:r w:rsidRPr="0098012B">
        <w:rPr>
          <w:rFonts w:ascii="Times New Roman" w:hAnsi="Times New Roman" w:cs="Times New Roman"/>
          <w:sz w:val="21"/>
          <w:szCs w:val="21"/>
          <w:lang w:val="en-US"/>
        </w:rPr>
        <w:t>EB</w:t>
      </w:r>
      <w:r w:rsidRPr="0098012B">
        <w:rPr>
          <w:rFonts w:ascii="Times New Roman" w:hAnsi="Times New Roman" w:cs="Times New Roman"/>
          <w:sz w:val="21"/>
          <w:szCs w:val="21"/>
        </w:rPr>
        <w:t xml:space="preserve">3 надаються фізіотерапевтам, середньому медичному персоналу, а також представникам окремих спеціальностей з області гуманітарних і точних наук, віза </w:t>
      </w:r>
      <w:r w:rsidRPr="0098012B">
        <w:rPr>
          <w:rFonts w:ascii="Times New Roman" w:hAnsi="Times New Roman" w:cs="Times New Roman"/>
          <w:sz w:val="21"/>
          <w:szCs w:val="21"/>
          <w:lang w:val="en-US"/>
        </w:rPr>
        <w:t>H</w:t>
      </w:r>
      <w:r w:rsidRPr="0098012B">
        <w:rPr>
          <w:rFonts w:ascii="Times New Roman" w:hAnsi="Times New Roman" w:cs="Times New Roman"/>
          <w:sz w:val="21"/>
          <w:szCs w:val="21"/>
        </w:rPr>
        <w:t>-1</w:t>
      </w:r>
      <w:r w:rsidRPr="0098012B">
        <w:rPr>
          <w:rFonts w:ascii="Times New Roman" w:hAnsi="Times New Roman" w:cs="Times New Roman"/>
          <w:sz w:val="21"/>
          <w:szCs w:val="21"/>
          <w:lang w:val="en-US"/>
        </w:rPr>
        <w:t>C</w:t>
      </w:r>
      <w:r w:rsidRPr="0098012B">
        <w:rPr>
          <w:rFonts w:ascii="Times New Roman" w:hAnsi="Times New Roman" w:cs="Times New Roman"/>
          <w:sz w:val="21"/>
          <w:szCs w:val="21"/>
        </w:rPr>
        <w:t xml:space="preserve"> – іноземним кваліфікованим медсестрам [</w:t>
      </w:r>
      <w:r>
        <w:rPr>
          <w:rFonts w:ascii="Times New Roman" w:hAnsi="Times New Roman" w:cs="Times New Roman"/>
          <w:spacing w:val="-6"/>
          <w:sz w:val="21"/>
          <w:szCs w:val="21"/>
          <w:highlight w:val="yellow"/>
        </w:rPr>
        <w:fldChar w:fldCharType="begin"/>
      </w:r>
      <w:r>
        <w:rPr>
          <w:rFonts w:ascii="Times New Roman" w:hAnsi="Times New Roman" w:cs="Times New Roman"/>
          <w:sz w:val="21"/>
          <w:szCs w:val="21"/>
        </w:rPr>
        <w:instrText xml:space="preserve"> REF _Ref435187065 \r \h </w:instrText>
      </w:r>
      <w:r>
        <w:rPr>
          <w:rFonts w:ascii="Times New Roman" w:hAnsi="Times New Roman" w:cs="Times New Roman"/>
          <w:spacing w:val="-6"/>
          <w:sz w:val="21"/>
          <w:szCs w:val="21"/>
          <w:highlight w:val="yellow"/>
        </w:rPr>
      </w:r>
      <w:r>
        <w:rPr>
          <w:rFonts w:ascii="Times New Roman" w:hAnsi="Times New Roman" w:cs="Times New Roman"/>
          <w:spacing w:val="-6"/>
          <w:sz w:val="21"/>
          <w:szCs w:val="21"/>
          <w:highlight w:val="yellow"/>
        </w:rPr>
        <w:fldChar w:fldCharType="separate"/>
      </w:r>
      <w:r>
        <w:rPr>
          <w:rFonts w:ascii="Times New Roman" w:hAnsi="Times New Roman" w:cs="Times New Roman"/>
          <w:sz w:val="21"/>
          <w:szCs w:val="21"/>
        </w:rPr>
        <w:t>6</w:t>
      </w:r>
      <w:r>
        <w:rPr>
          <w:rFonts w:ascii="Times New Roman" w:hAnsi="Times New Roman" w:cs="Times New Roman"/>
          <w:spacing w:val="-6"/>
          <w:sz w:val="21"/>
          <w:szCs w:val="21"/>
          <w:highlight w:val="yellow"/>
        </w:rPr>
        <w:fldChar w:fldCharType="end"/>
      </w:r>
      <w:r w:rsidRPr="0098012B">
        <w:rPr>
          <w:rFonts w:ascii="Times New Roman" w:hAnsi="Times New Roman" w:cs="Times New Roman"/>
          <w:sz w:val="21"/>
          <w:szCs w:val="21"/>
        </w:rPr>
        <w:t>]. Віза культурного обміну «</w:t>
      </w:r>
      <w:r w:rsidRPr="0098012B">
        <w:rPr>
          <w:rFonts w:ascii="Times New Roman" w:hAnsi="Times New Roman" w:cs="Times New Roman"/>
          <w:sz w:val="21"/>
          <w:szCs w:val="21"/>
          <w:lang w:val="en-US"/>
        </w:rPr>
        <w:t>J</w:t>
      </w:r>
      <w:r w:rsidRPr="0098012B">
        <w:rPr>
          <w:rFonts w:ascii="Times New Roman" w:hAnsi="Times New Roman" w:cs="Times New Roman"/>
          <w:sz w:val="21"/>
          <w:szCs w:val="21"/>
        </w:rPr>
        <w:t>» передбачає, що її власник повинен повернутись в країну походження через два роки перед тим, як звертатись за іншою тимчасовою або постійною візою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_Ref435187274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22</w:t>
      </w:r>
      <w:r>
        <w:rPr>
          <w:rFonts w:ascii="Times New Roman" w:hAnsi="Times New Roman" w:cs="Times New Roman"/>
          <w:sz w:val="21"/>
          <w:szCs w:val="21"/>
          <w:highlight w:val="yellow"/>
        </w:rPr>
        <w:fldChar w:fldCharType="end"/>
      </w:r>
      <w:r w:rsidRPr="0098012B">
        <w:rPr>
          <w:rFonts w:ascii="Times New Roman" w:hAnsi="Times New Roman" w:cs="Times New Roman"/>
          <w:sz w:val="21"/>
          <w:szCs w:val="21"/>
        </w:rPr>
        <w:t xml:space="preserve">, </w:t>
      </w:r>
      <w:r w:rsidRPr="0098012B">
        <w:rPr>
          <w:rFonts w:ascii="Times New Roman" w:hAnsi="Times New Roman" w:cs="Times New Roman"/>
          <w:sz w:val="21"/>
          <w:szCs w:val="21"/>
          <w:lang w:val="en-US"/>
        </w:rPr>
        <w:t>c</w:t>
      </w:r>
      <w:r w:rsidRPr="0098012B">
        <w:rPr>
          <w:rFonts w:ascii="Times New Roman" w:hAnsi="Times New Roman" w:cs="Times New Roman"/>
          <w:sz w:val="21"/>
          <w:szCs w:val="21"/>
        </w:rPr>
        <w:t xml:space="preserve">. 249]. Віза </w:t>
      </w:r>
      <w:r w:rsidRPr="0098012B">
        <w:rPr>
          <w:rFonts w:ascii="Times New Roman" w:hAnsi="Times New Roman" w:cs="Times New Roman"/>
          <w:sz w:val="21"/>
          <w:szCs w:val="21"/>
          <w:lang w:val="en-US"/>
        </w:rPr>
        <w:t>H</w:t>
      </w:r>
      <w:r w:rsidRPr="0098012B">
        <w:rPr>
          <w:rFonts w:ascii="Times New Roman" w:hAnsi="Times New Roman" w:cs="Times New Roman"/>
          <w:sz w:val="21"/>
          <w:szCs w:val="21"/>
        </w:rPr>
        <w:t>-2</w:t>
      </w:r>
      <w:r w:rsidRPr="0098012B">
        <w:rPr>
          <w:rFonts w:ascii="Times New Roman" w:hAnsi="Times New Roman" w:cs="Times New Roman"/>
          <w:sz w:val="21"/>
          <w:szCs w:val="21"/>
          <w:lang w:val="en-US"/>
        </w:rPr>
        <w:t>B</w:t>
      </w:r>
      <w:r w:rsidRPr="0098012B">
        <w:rPr>
          <w:rFonts w:ascii="Times New Roman" w:hAnsi="Times New Roman" w:cs="Times New Roman"/>
          <w:sz w:val="21"/>
          <w:szCs w:val="21"/>
        </w:rPr>
        <w:t xml:space="preserve"> забезпечує тимчасову міграцію серед</w:t>
      </w:r>
      <w:r>
        <w:rPr>
          <w:rFonts w:ascii="Times New Roman" w:hAnsi="Times New Roman" w:cs="Times New Roman"/>
          <w:sz w:val="21"/>
          <w:szCs w:val="21"/>
        </w:rPr>
        <w:t>-</w:t>
      </w:r>
      <w:r w:rsidRPr="0098012B">
        <w:rPr>
          <w:rFonts w:ascii="Times New Roman" w:hAnsi="Times New Roman" w:cs="Times New Roman"/>
          <w:sz w:val="21"/>
          <w:szCs w:val="21"/>
        </w:rPr>
        <w:t>ньо- та низькокваліфікованих працівників у галузях будівництва, готельного і розважального бізнесу. Е-віза для інвесторів вимагає залучення визначеної кількості коштів в країну, інвестування зі створенням нових робочих місць, подання звітів підприємницької діяльності [</w:t>
      </w:r>
      <w:r>
        <w:rPr>
          <w:rStyle w:val="HTML1"/>
          <w:rFonts w:ascii="Times New Roman" w:hAnsi="Times New Roman" w:cs="Times New Roman"/>
          <w:i w:val="0"/>
          <w:sz w:val="21"/>
          <w:szCs w:val="21"/>
          <w:highlight w:val="yellow"/>
          <w:lang w:val="en-US"/>
        </w:rPr>
        <w:fldChar w:fldCharType="begin"/>
      </w:r>
      <w:r>
        <w:rPr>
          <w:rFonts w:ascii="Times New Roman" w:hAnsi="Times New Roman" w:cs="Times New Roman"/>
          <w:sz w:val="21"/>
          <w:szCs w:val="21"/>
        </w:rPr>
        <w:instrText xml:space="preserve"> REF _Ref435186785 \r \h </w:instrText>
      </w:r>
      <w:r>
        <w:rPr>
          <w:rStyle w:val="HTML1"/>
          <w:rFonts w:ascii="Times New Roman" w:hAnsi="Times New Roman" w:cs="Times New Roman"/>
          <w:i w:val="0"/>
          <w:sz w:val="21"/>
          <w:szCs w:val="21"/>
          <w:highlight w:val="yellow"/>
          <w:lang w:val="en-US"/>
        </w:rPr>
      </w:r>
      <w:r>
        <w:rPr>
          <w:rStyle w:val="HTML1"/>
          <w:rFonts w:ascii="Times New Roman" w:hAnsi="Times New Roman" w:cs="Times New Roman"/>
          <w:i w:val="0"/>
          <w:sz w:val="21"/>
          <w:szCs w:val="21"/>
          <w:highlight w:val="yellow"/>
          <w:lang w:val="en-US"/>
        </w:rPr>
        <w:fldChar w:fldCharType="separate"/>
      </w:r>
      <w:r>
        <w:rPr>
          <w:rFonts w:ascii="Times New Roman" w:hAnsi="Times New Roman" w:cs="Times New Roman"/>
          <w:sz w:val="21"/>
          <w:szCs w:val="21"/>
        </w:rPr>
        <w:t>95</w:t>
      </w:r>
      <w:r>
        <w:rPr>
          <w:rStyle w:val="HTML1"/>
          <w:rFonts w:ascii="Times New Roman" w:hAnsi="Times New Roman" w:cs="Times New Roman"/>
          <w:i w:val="0"/>
          <w:sz w:val="21"/>
          <w:szCs w:val="21"/>
          <w:highlight w:val="yellow"/>
          <w:lang w:val="en-US"/>
        </w:rPr>
        <w:fldChar w:fldCharType="end"/>
      </w:r>
      <w:r w:rsidRPr="0098012B">
        <w:rPr>
          <w:rFonts w:ascii="Times New Roman" w:hAnsi="Times New Roman" w:cs="Times New Roman"/>
          <w:sz w:val="21"/>
          <w:szCs w:val="21"/>
        </w:rPr>
        <w:t xml:space="preserve">]. </w:t>
      </w:r>
      <w:r w:rsidRPr="0098012B">
        <w:rPr>
          <w:rFonts w:ascii="Times New Roman" w:hAnsi="Times New Roman" w:cs="Times New Roman"/>
          <w:spacing w:val="-2"/>
          <w:sz w:val="21"/>
          <w:szCs w:val="21"/>
        </w:rPr>
        <w:t>Збереження візового статусу висококваліфікованим мігрантам дає можливість вільно пересува</w:t>
      </w:r>
      <w:r>
        <w:rPr>
          <w:rFonts w:ascii="Times New Roman" w:hAnsi="Times New Roman" w:cs="Times New Roman"/>
          <w:spacing w:val="-2"/>
          <w:sz w:val="21"/>
          <w:szCs w:val="21"/>
        </w:rPr>
        <w:t>-</w:t>
      </w:r>
      <w:r w:rsidRPr="0098012B">
        <w:rPr>
          <w:rFonts w:ascii="Times New Roman" w:hAnsi="Times New Roman" w:cs="Times New Roman"/>
          <w:spacing w:val="-2"/>
          <w:sz w:val="21"/>
          <w:szCs w:val="21"/>
        </w:rPr>
        <w:t>тися між країнами походження і призначення. Короткострокові візи створюють умови для тимчасової міграції, сприяючи циркуляції знань, ідей і досвіду між країнами. Право на постійне місце проживання у США пропонується лише висококваліфікованим мігрантам, які відповідають певним критеріям – особам з екстра</w:t>
      </w:r>
      <w:r>
        <w:rPr>
          <w:rFonts w:ascii="Times New Roman" w:hAnsi="Times New Roman" w:cs="Times New Roman"/>
          <w:spacing w:val="-2"/>
          <w:sz w:val="21"/>
          <w:szCs w:val="21"/>
        </w:rPr>
        <w:t>-</w:t>
      </w:r>
      <w:r w:rsidRPr="0098012B">
        <w:rPr>
          <w:rFonts w:ascii="Times New Roman" w:hAnsi="Times New Roman" w:cs="Times New Roman"/>
          <w:spacing w:val="-2"/>
          <w:sz w:val="21"/>
          <w:szCs w:val="21"/>
        </w:rPr>
        <w:t>ординарними здібностями, визнаними на національному або міжнародному рівні [</w:t>
      </w:r>
      <w:r>
        <w:rPr>
          <w:rFonts w:ascii="Times New Roman" w:hAnsi="Times New Roman" w:cs="Times New Roman"/>
          <w:sz w:val="21"/>
          <w:szCs w:val="21"/>
          <w:highlight w:val="yellow"/>
          <w:lang w:val="en-US"/>
        </w:rPr>
        <w:fldChar w:fldCharType="begin"/>
      </w:r>
      <w:r>
        <w:rPr>
          <w:rFonts w:ascii="Times New Roman" w:hAnsi="Times New Roman" w:cs="Times New Roman"/>
          <w:spacing w:val="-2"/>
          <w:sz w:val="21"/>
          <w:szCs w:val="21"/>
        </w:rPr>
        <w:instrText xml:space="preserve"> REF _Ref435186417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pacing w:val="-2"/>
          <w:sz w:val="21"/>
          <w:szCs w:val="21"/>
        </w:rPr>
        <w:t>68</w:t>
      </w:r>
      <w:r>
        <w:rPr>
          <w:rFonts w:ascii="Times New Roman" w:hAnsi="Times New Roman" w:cs="Times New Roman"/>
          <w:sz w:val="21"/>
          <w:szCs w:val="21"/>
          <w:highlight w:val="yellow"/>
          <w:lang w:val="en-US"/>
        </w:rPr>
        <w:fldChar w:fldCharType="end"/>
      </w:r>
      <w:r w:rsidRPr="0098012B">
        <w:rPr>
          <w:rFonts w:ascii="Times New Roman" w:hAnsi="Times New Roman" w:cs="Times New Roman"/>
          <w:spacing w:val="-2"/>
          <w:sz w:val="21"/>
          <w:szCs w:val="21"/>
        </w:rPr>
        <w:t xml:space="preserve">, </w:t>
      </w:r>
      <w:r w:rsidRPr="0098012B">
        <w:rPr>
          <w:rFonts w:ascii="Times New Roman" w:hAnsi="Times New Roman" w:cs="Times New Roman"/>
          <w:spacing w:val="-2"/>
          <w:sz w:val="21"/>
          <w:szCs w:val="21"/>
          <w:lang w:val="en-US"/>
        </w:rPr>
        <w:t>c</w:t>
      </w:r>
      <w:r w:rsidRPr="0098012B">
        <w:rPr>
          <w:rFonts w:ascii="Times New Roman" w:hAnsi="Times New Roman" w:cs="Times New Roman"/>
          <w:spacing w:val="-2"/>
          <w:sz w:val="21"/>
          <w:szCs w:val="21"/>
        </w:rPr>
        <w:t>. 27]. В інших країнах практикується надання права постійного місця проживання висококваліфікованим мігрантам, що працевлаш</w:t>
      </w:r>
      <w:r>
        <w:rPr>
          <w:rFonts w:ascii="Times New Roman" w:hAnsi="Times New Roman" w:cs="Times New Roman"/>
          <w:spacing w:val="-2"/>
          <w:sz w:val="21"/>
          <w:szCs w:val="21"/>
        </w:rPr>
        <w:t>-</w:t>
      </w:r>
      <w:r w:rsidRPr="0098012B">
        <w:rPr>
          <w:rFonts w:ascii="Times New Roman" w:hAnsi="Times New Roman" w:cs="Times New Roman"/>
          <w:spacing w:val="-2"/>
          <w:sz w:val="21"/>
          <w:szCs w:val="21"/>
        </w:rPr>
        <w:t>тувались на тимчасовій основі і продуктивно працюють у провідних сферах економіки [</w:t>
      </w:r>
      <w:r>
        <w:rPr>
          <w:rFonts w:ascii="Times New Roman" w:hAnsi="Times New Roman" w:cs="Times New Roman"/>
          <w:sz w:val="21"/>
          <w:szCs w:val="21"/>
          <w:highlight w:val="yellow"/>
          <w:lang w:val="en-GB"/>
        </w:rPr>
        <w:fldChar w:fldCharType="begin"/>
      </w:r>
      <w:r>
        <w:rPr>
          <w:rFonts w:ascii="Times New Roman" w:hAnsi="Times New Roman" w:cs="Times New Roman"/>
          <w:spacing w:val="-2"/>
          <w:sz w:val="21"/>
          <w:szCs w:val="21"/>
        </w:rPr>
        <w:instrText xml:space="preserve"> REF _Ref435182644 \r \h </w:instrText>
      </w:r>
      <w:r>
        <w:rPr>
          <w:rFonts w:ascii="Times New Roman" w:hAnsi="Times New Roman" w:cs="Times New Roman"/>
          <w:sz w:val="21"/>
          <w:szCs w:val="21"/>
          <w:highlight w:val="yellow"/>
          <w:lang w:val="en-GB"/>
        </w:rPr>
      </w:r>
      <w:r>
        <w:rPr>
          <w:rFonts w:ascii="Times New Roman" w:hAnsi="Times New Roman" w:cs="Times New Roman"/>
          <w:sz w:val="21"/>
          <w:szCs w:val="21"/>
          <w:highlight w:val="yellow"/>
          <w:lang w:val="en-GB"/>
        </w:rPr>
        <w:fldChar w:fldCharType="separate"/>
      </w:r>
      <w:r>
        <w:rPr>
          <w:rFonts w:ascii="Times New Roman" w:hAnsi="Times New Roman" w:cs="Times New Roman"/>
          <w:spacing w:val="-2"/>
          <w:sz w:val="21"/>
          <w:szCs w:val="21"/>
        </w:rPr>
        <w:t>110</w:t>
      </w:r>
      <w:r>
        <w:rPr>
          <w:rFonts w:ascii="Times New Roman" w:hAnsi="Times New Roman" w:cs="Times New Roman"/>
          <w:sz w:val="21"/>
          <w:szCs w:val="21"/>
          <w:highlight w:val="yellow"/>
          <w:lang w:val="en-GB"/>
        </w:rPr>
        <w:fldChar w:fldCharType="end"/>
      </w:r>
      <w:r w:rsidRPr="0098012B">
        <w:rPr>
          <w:rFonts w:ascii="Times New Roman" w:hAnsi="Times New Roman" w:cs="Times New Roman"/>
          <w:spacing w:val="-2"/>
          <w:sz w:val="21"/>
          <w:szCs w:val="21"/>
        </w:rPr>
        <w:t xml:space="preserve">, с. 226]. Важливим критерієм відбору є професійна діяльність і досвід працівників. </w:t>
      </w:r>
      <w:r>
        <w:rPr>
          <w:rFonts w:ascii="Times New Roman" w:hAnsi="Times New Roman" w:cs="Times New Roman"/>
          <w:spacing w:val="-2"/>
          <w:sz w:val="21"/>
          <w:szCs w:val="21"/>
        </w:rPr>
        <w:t>В</w:t>
      </w:r>
      <w:r w:rsidRPr="0098012B">
        <w:rPr>
          <w:rFonts w:ascii="Times New Roman" w:hAnsi="Times New Roman" w:cs="Times New Roman"/>
          <w:spacing w:val="-2"/>
          <w:sz w:val="21"/>
          <w:szCs w:val="21"/>
        </w:rPr>
        <w:t xml:space="preserve"> Австралії при прийомі іммігрантів обов’язковою є перевірка та сертифікація їх знань і навиків [</w:t>
      </w:r>
      <w:r>
        <w:rPr>
          <w:rStyle w:val="heading"/>
          <w:rFonts w:ascii="Times New Roman" w:hAnsi="Times New Roman" w:cs="Times New Roman"/>
          <w:sz w:val="21"/>
          <w:szCs w:val="21"/>
          <w:highlight w:val="yellow"/>
          <w:lang w:val="en-US"/>
        </w:rPr>
        <w:fldChar w:fldCharType="begin"/>
      </w:r>
      <w:r>
        <w:rPr>
          <w:rFonts w:ascii="Times New Roman" w:hAnsi="Times New Roman" w:cs="Times New Roman"/>
          <w:spacing w:val="-2"/>
          <w:sz w:val="21"/>
          <w:szCs w:val="21"/>
        </w:rPr>
        <w:instrText xml:space="preserve"> REF _Ref435182634 \r \h </w:instrText>
      </w:r>
      <w:r>
        <w:rPr>
          <w:rStyle w:val="heading"/>
          <w:rFonts w:ascii="Times New Roman" w:hAnsi="Times New Roman" w:cs="Times New Roman"/>
          <w:sz w:val="21"/>
          <w:szCs w:val="21"/>
          <w:highlight w:val="yellow"/>
          <w:lang w:val="en-US"/>
        </w:rPr>
      </w:r>
      <w:r>
        <w:rPr>
          <w:rStyle w:val="heading"/>
          <w:rFonts w:ascii="Times New Roman" w:hAnsi="Times New Roman" w:cs="Times New Roman"/>
          <w:sz w:val="21"/>
          <w:szCs w:val="21"/>
          <w:highlight w:val="yellow"/>
          <w:lang w:val="en-US"/>
        </w:rPr>
        <w:fldChar w:fldCharType="separate"/>
      </w:r>
      <w:r>
        <w:rPr>
          <w:rFonts w:ascii="Times New Roman" w:hAnsi="Times New Roman" w:cs="Times New Roman"/>
          <w:spacing w:val="-2"/>
          <w:sz w:val="21"/>
          <w:szCs w:val="21"/>
        </w:rPr>
        <w:t>101</w:t>
      </w:r>
      <w:r>
        <w:rPr>
          <w:rStyle w:val="heading"/>
          <w:rFonts w:ascii="Times New Roman" w:hAnsi="Times New Roman" w:cs="Times New Roman"/>
          <w:sz w:val="21"/>
          <w:szCs w:val="21"/>
          <w:highlight w:val="yellow"/>
          <w:lang w:val="en-US"/>
        </w:rPr>
        <w:fldChar w:fldCharType="end"/>
      </w:r>
      <w:r w:rsidRPr="0098012B">
        <w:rPr>
          <w:rFonts w:ascii="Times New Roman" w:hAnsi="Times New Roman" w:cs="Times New Roman"/>
          <w:spacing w:val="-2"/>
          <w:sz w:val="21"/>
          <w:szCs w:val="21"/>
        </w:rPr>
        <w:t>, с. 23].</w:t>
      </w:r>
    </w:p>
    <w:p w:rsidR="00B233DE" w:rsidRPr="0098012B" w:rsidRDefault="00B233DE" w:rsidP="00B233DE">
      <w:pPr>
        <w:tabs>
          <w:tab w:val="left" w:pos="900"/>
        </w:tabs>
        <w:ind w:firstLine="720"/>
        <w:jc w:val="both"/>
        <w:rPr>
          <w:rFonts w:ascii="Times New Roman" w:hAnsi="Times New Roman" w:cs="Times New Roman"/>
          <w:sz w:val="21"/>
          <w:szCs w:val="21"/>
        </w:rPr>
      </w:pPr>
      <w:r w:rsidRPr="0098012B">
        <w:rPr>
          <w:rFonts w:ascii="Times New Roman" w:hAnsi="Times New Roman" w:cs="Times New Roman"/>
          <w:sz w:val="21"/>
          <w:szCs w:val="21"/>
        </w:rPr>
        <w:t xml:space="preserve">Заохочення в’їзду кваліфікованих мігрантів може відбуватись двома шляхами: дозвіл на самостійний пошук роботи у країні призначення після процедури підтвердження кваліфікації або обов’язкове надання довідки про працевлаштування від конкретного працедавця </w:t>
      </w:r>
      <w:r>
        <w:rPr>
          <w:rFonts w:ascii="Times New Roman" w:hAnsi="Times New Roman" w:cs="Times New Roman"/>
          <w:sz w:val="21"/>
          <w:szCs w:val="21"/>
        </w:rPr>
        <w:t xml:space="preserve">при в’їзді у країну призначення </w:t>
      </w:r>
      <w:r w:rsidRPr="0098012B">
        <w:rPr>
          <w:rFonts w:ascii="Times New Roman" w:hAnsi="Times New Roman" w:cs="Times New Roman"/>
          <w:sz w:val="21"/>
          <w:szCs w:val="21"/>
        </w:rPr>
        <w:t>[</w:t>
      </w:r>
      <w:r>
        <w:rPr>
          <w:rStyle w:val="heading"/>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_Ref435182634 \r \h </w:instrText>
      </w:r>
      <w:r>
        <w:rPr>
          <w:rStyle w:val="heading"/>
          <w:rFonts w:ascii="Times New Roman" w:hAnsi="Times New Roman" w:cs="Times New Roman"/>
          <w:sz w:val="21"/>
          <w:szCs w:val="21"/>
          <w:highlight w:val="yellow"/>
          <w:lang w:val="en-US"/>
        </w:rPr>
      </w:r>
      <w:r>
        <w:rPr>
          <w:rStyle w:val="heading"/>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101</w:t>
      </w:r>
      <w:r>
        <w:rPr>
          <w:rStyle w:val="heading"/>
          <w:rFonts w:ascii="Times New Roman" w:hAnsi="Times New Roman" w:cs="Times New Roman"/>
          <w:sz w:val="21"/>
          <w:szCs w:val="21"/>
          <w:highlight w:val="yellow"/>
          <w:lang w:val="en-US"/>
        </w:rPr>
        <w:fldChar w:fldCharType="end"/>
      </w:r>
      <w:r w:rsidRPr="0098012B">
        <w:rPr>
          <w:rFonts w:ascii="Times New Roman" w:hAnsi="Times New Roman" w:cs="Times New Roman"/>
          <w:sz w:val="21"/>
          <w:szCs w:val="21"/>
        </w:rPr>
        <w:t>, с. 8].</w:t>
      </w:r>
    </w:p>
    <w:p w:rsidR="00B233DE" w:rsidRPr="0098012B" w:rsidRDefault="00B233DE" w:rsidP="00B233DE">
      <w:pPr>
        <w:tabs>
          <w:tab w:val="left" w:pos="900"/>
        </w:tabs>
        <w:ind w:firstLine="720"/>
        <w:jc w:val="both"/>
        <w:rPr>
          <w:rFonts w:ascii="Times New Roman" w:hAnsi="Times New Roman" w:cs="Times New Roman"/>
          <w:sz w:val="21"/>
          <w:szCs w:val="21"/>
        </w:rPr>
      </w:pPr>
      <w:r w:rsidRPr="0098012B">
        <w:rPr>
          <w:rFonts w:ascii="Times New Roman" w:hAnsi="Times New Roman" w:cs="Times New Roman"/>
          <w:sz w:val="21"/>
          <w:szCs w:val="21"/>
        </w:rPr>
        <w:lastRenderedPageBreak/>
        <w:t>Ще одним засобом селективної міграції є застосування квот і обмежень. Квотування передбачає законодавче встановлення максимальної частки іноземних працівників в економіці країни загалом, в межах окремих галузей і підприємств. Показник іммі</w:t>
      </w:r>
      <w:r>
        <w:rPr>
          <w:rFonts w:ascii="Times New Roman" w:hAnsi="Times New Roman" w:cs="Times New Roman"/>
          <w:sz w:val="21"/>
          <w:szCs w:val="21"/>
        </w:rPr>
        <w:t>-</w:t>
      </w:r>
      <w:r w:rsidRPr="0098012B">
        <w:rPr>
          <w:rFonts w:ascii="Times New Roman" w:hAnsi="Times New Roman" w:cs="Times New Roman"/>
          <w:sz w:val="21"/>
          <w:szCs w:val="21"/>
        </w:rPr>
        <w:t>граційної квоти щорічно розраховується і затверджується в залеж</w:t>
      </w:r>
      <w:r>
        <w:rPr>
          <w:rFonts w:ascii="Times New Roman" w:hAnsi="Times New Roman" w:cs="Times New Roman"/>
          <w:sz w:val="21"/>
          <w:szCs w:val="21"/>
        </w:rPr>
        <w:t>-</w:t>
      </w:r>
      <w:r w:rsidRPr="0098012B">
        <w:rPr>
          <w:rFonts w:ascii="Times New Roman" w:hAnsi="Times New Roman" w:cs="Times New Roman"/>
          <w:sz w:val="21"/>
          <w:szCs w:val="21"/>
        </w:rPr>
        <w:t>ності від статево-вікової структури населення, рівня безробіття, ситуації на ринку житла, тощо [</w:t>
      </w:r>
      <w:r>
        <w:rPr>
          <w:rStyle w:val="aa"/>
          <w:rFonts w:ascii="Times New Roman" w:hAnsi="Times New Roman" w:cs="Times New Roman"/>
          <w:i w:val="0"/>
          <w:sz w:val="21"/>
          <w:szCs w:val="21"/>
          <w:highlight w:val="yellow"/>
        </w:rPr>
        <w:fldChar w:fldCharType="begin"/>
      </w:r>
      <w:r>
        <w:rPr>
          <w:rFonts w:ascii="Times New Roman" w:hAnsi="Times New Roman" w:cs="Times New Roman"/>
          <w:sz w:val="21"/>
          <w:szCs w:val="21"/>
        </w:rPr>
        <w:instrText xml:space="preserve"> REF _Ref435187340 \r \h </w:instrText>
      </w:r>
      <w:r>
        <w:rPr>
          <w:rStyle w:val="aa"/>
          <w:rFonts w:ascii="Times New Roman" w:hAnsi="Times New Roman" w:cs="Times New Roman"/>
          <w:i w:val="0"/>
          <w:sz w:val="21"/>
          <w:szCs w:val="21"/>
          <w:highlight w:val="yellow"/>
        </w:rPr>
      </w:r>
      <w:r>
        <w:rPr>
          <w:rStyle w:val="aa"/>
          <w:rFonts w:ascii="Times New Roman" w:hAnsi="Times New Roman" w:cs="Times New Roman"/>
          <w:i w:val="0"/>
          <w:sz w:val="21"/>
          <w:szCs w:val="21"/>
          <w:highlight w:val="yellow"/>
        </w:rPr>
        <w:fldChar w:fldCharType="separate"/>
      </w:r>
      <w:r>
        <w:rPr>
          <w:rFonts w:ascii="Times New Roman" w:hAnsi="Times New Roman" w:cs="Times New Roman"/>
          <w:sz w:val="21"/>
          <w:szCs w:val="21"/>
        </w:rPr>
        <w:t>51</w:t>
      </w:r>
      <w:r>
        <w:rPr>
          <w:rStyle w:val="aa"/>
          <w:rFonts w:ascii="Times New Roman" w:hAnsi="Times New Roman" w:cs="Times New Roman"/>
          <w:i w:val="0"/>
          <w:sz w:val="21"/>
          <w:szCs w:val="21"/>
          <w:highlight w:val="yellow"/>
        </w:rPr>
        <w:fldChar w:fldCharType="end"/>
      </w:r>
      <w:r w:rsidRPr="0098012B">
        <w:rPr>
          <w:rFonts w:ascii="Times New Roman" w:hAnsi="Times New Roman" w:cs="Times New Roman"/>
          <w:sz w:val="21"/>
          <w:szCs w:val="21"/>
        </w:rPr>
        <w:t>, с. 84]. В освітньо-квалі</w:t>
      </w:r>
      <w:r>
        <w:rPr>
          <w:rFonts w:ascii="Times New Roman" w:hAnsi="Times New Roman" w:cs="Times New Roman"/>
          <w:sz w:val="21"/>
          <w:szCs w:val="21"/>
        </w:rPr>
        <w:t>-</w:t>
      </w:r>
      <w:r w:rsidRPr="0098012B">
        <w:rPr>
          <w:rFonts w:ascii="Times New Roman" w:hAnsi="Times New Roman" w:cs="Times New Roman"/>
          <w:sz w:val="21"/>
          <w:szCs w:val="21"/>
        </w:rPr>
        <w:t>фікаційному і демографічному аспектах можливе застосування квот відповідно до професійної спрямованості і стану здоров’я іммігрантів. В Італії щорічна квота розділена між загальними квотами, що включають різноманітні професії відповідно до потреби ринку праці, і малими привілейованими квотами – для іноземців-громадян країн, з якими Італія має двосторонні угоди про найм. При цьому квоти щорічно розподіляються між регіонами згідно до їх освітньо-кваліфікаційної потреби [</w:t>
      </w:r>
      <w:r>
        <w:rPr>
          <w:rStyle w:val="HTML1"/>
          <w:rFonts w:ascii="Times New Roman" w:hAnsi="Times New Roman" w:cs="Times New Roman"/>
          <w:i w:val="0"/>
          <w:sz w:val="21"/>
          <w:szCs w:val="21"/>
          <w:highlight w:val="yellow"/>
        </w:rPr>
        <w:fldChar w:fldCharType="begin"/>
      </w:r>
      <w:r>
        <w:rPr>
          <w:rFonts w:ascii="Times New Roman" w:hAnsi="Times New Roman" w:cs="Times New Roman"/>
          <w:sz w:val="21"/>
          <w:szCs w:val="21"/>
        </w:rPr>
        <w:instrText xml:space="preserve"> REF _Ref435187093 \r \h </w:instrText>
      </w:r>
      <w:r>
        <w:rPr>
          <w:rStyle w:val="HTML1"/>
          <w:rFonts w:ascii="Times New Roman" w:hAnsi="Times New Roman" w:cs="Times New Roman"/>
          <w:i w:val="0"/>
          <w:sz w:val="21"/>
          <w:szCs w:val="21"/>
          <w:highlight w:val="yellow"/>
        </w:rPr>
      </w:r>
      <w:r>
        <w:rPr>
          <w:rStyle w:val="HTML1"/>
          <w:rFonts w:ascii="Times New Roman" w:hAnsi="Times New Roman" w:cs="Times New Roman"/>
          <w:i w:val="0"/>
          <w:sz w:val="21"/>
          <w:szCs w:val="21"/>
          <w:highlight w:val="yellow"/>
        </w:rPr>
        <w:fldChar w:fldCharType="separate"/>
      </w:r>
      <w:r>
        <w:rPr>
          <w:rFonts w:ascii="Times New Roman" w:hAnsi="Times New Roman" w:cs="Times New Roman"/>
          <w:sz w:val="21"/>
          <w:szCs w:val="21"/>
        </w:rPr>
        <w:t>13</w:t>
      </w:r>
      <w:r>
        <w:rPr>
          <w:rStyle w:val="HTML1"/>
          <w:rFonts w:ascii="Times New Roman" w:hAnsi="Times New Roman" w:cs="Times New Roman"/>
          <w:i w:val="0"/>
          <w:sz w:val="21"/>
          <w:szCs w:val="21"/>
          <w:highlight w:val="yellow"/>
        </w:rPr>
        <w:fldChar w:fldCharType="end"/>
      </w:r>
      <w:r w:rsidRPr="0098012B">
        <w:rPr>
          <w:rFonts w:ascii="Times New Roman" w:hAnsi="Times New Roman" w:cs="Times New Roman"/>
          <w:sz w:val="21"/>
          <w:szCs w:val="21"/>
        </w:rPr>
        <w:t>].</w:t>
      </w:r>
    </w:p>
    <w:p w:rsidR="00B233DE" w:rsidRPr="0098012B" w:rsidRDefault="00B233DE" w:rsidP="00B233DE">
      <w:pPr>
        <w:tabs>
          <w:tab w:val="left" w:pos="900"/>
        </w:tabs>
        <w:ind w:firstLine="709"/>
        <w:jc w:val="both"/>
        <w:rPr>
          <w:rFonts w:ascii="Times New Roman" w:hAnsi="Times New Roman" w:cs="Times New Roman"/>
          <w:sz w:val="21"/>
          <w:szCs w:val="21"/>
        </w:rPr>
      </w:pPr>
      <w:r w:rsidRPr="0098012B">
        <w:rPr>
          <w:rFonts w:ascii="Times New Roman" w:hAnsi="Times New Roman" w:cs="Times New Roman"/>
          <w:sz w:val="21"/>
          <w:szCs w:val="21"/>
        </w:rPr>
        <w:t xml:space="preserve">Для залучення висококваліфікованих працівників деякими країнами ефективно використовується практика застосування засобів фінансового заохочення (табл. </w:t>
      </w:r>
      <w:r>
        <w:rPr>
          <w:rFonts w:ascii="Times New Roman" w:hAnsi="Times New Roman" w:cs="Times New Roman"/>
          <w:sz w:val="21"/>
          <w:szCs w:val="21"/>
        </w:rPr>
        <w:t>4.7</w:t>
      </w:r>
      <w:r w:rsidRPr="0098012B">
        <w:rPr>
          <w:rFonts w:ascii="Times New Roman" w:hAnsi="Times New Roman" w:cs="Times New Roman"/>
          <w:sz w:val="21"/>
          <w:szCs w:val="21"/>
        </w:rPr>
        <w:t>).</w:t>
      </w:r>
    </w:p>
    <w:p w:rsidR="00B233DE" w:rsidRDefault="00B233DE" w:rsidP="00B233DE">
      <w:pPr>
        <w:tabs>
          <w:tab w:val="left" w:pos="900"/>
        </w:tabs>
        <w:ind w:firstLine="720"/>
        <w:jc w:val="both"/>
        <w:rPr>
          <w:rFonts w:ascii="Times New Roman" w:hAnsi="Times New Roman" w:cs="Times New Roman"/>
          <w:sz w:val="21"/>
          <w:szCs w:val="21"/>
        </w:rPr>
      </w:pPr>
    </w:p>
    <w:p w:rsidR="00B233DE" w:rsidRPr="0098012B" w:rsidRDefault="00B233DE" w:rsidP="00B233DE">
      <w:pPr>
        <w:tabs>
          <w:tab w:val="left" w:pos="900"/>
        </w:tabs>
        <w:ind w:firstLine="720"/>
        <w:jc w:val="right"/>
        <w:rPr>
          <w:rFonts w:ascii="Times New Roman" w:hAnsi="Times New Roman" w:cs="Times New Roman"/>
          <w:sz w:val="21"/>
          <w:szCs w:val="21"/>
        </w:rPr>
      </w:pPr>
      <w:r w:rsidRPr="0098012B">
        <w:rPr>
          <w:rFonts w:ascii="Times New Roman" w:hAnsi="Times New Roman" w:cs="Times New Roman"/>
          <w:sz w:val="21"/>
          <w:szCs w:val="21"/>
        </w:rPr>
        <w:t xml:space="preserve">Таблиця </w:t>
      </w:r>
      <w:r>
        <w:rPr>
          <w:rFonts w:ascii="Times New Roman" w:hAnsi="Times New Roman" w:cs="Times New Roman"/>
          <w:sz w:val="21"/>
          <w:szCs w:val="21"/>
        </w:rPr>
        <w:t>4.7</w:t>
      </w:r>
    </w:p>
    <w:p w:rsidR="00B233DE" w:rsidRPr="0098012B" w:rsidRDefault="00B233DE" w:rsidP="00B233DE">
      <w:pPr>
        <w:tabs>
          <w:tab w:val="left" w:pos="900"/>
        </w:tabs>
        <w:ind w:firstLine="709"/>
        <w:jc w:val="center"/>
        <w:rPr>
          <w:rFonts w:ascii="Times New Roman" w:hAnsi="Times New Roman" w:cs="Times New Roman"/>
          <w:sz w:val="21"/>
          <w:szCs w:val="21"/>
        </w:rPr>
      </w:pPr>
      <w:r w:rsidRPr="0098012B">
        <w:rPr>
          <w:rFonts w:ascii="Times New Roman" w:hAnsi="Times New Roman" w:cs="Times New Roman"/>
          <w:sz w:val="21"/>
          <w:szCs w:val="21"/>
        </w:rPr>
        <w:t>Засоби фінансового заохочення для висококваліфікованих мігрантів у деяких країнах світу [</w:t>
      </w:r>
      <w:r>
        <w:rPr>
          <w:rFonts w:ascii="Times New Roman" w:hAnsi="Times New Roman" w:cs="Times New Roman"/>
          <w:spacing w:val="-6"/>
          <w:sz w:val="21"/>
          <w:szCs w:val="21"/>
          <w:highlight w:val="yellow"/>
        </w:rPr>
        <w:fldChar w:fldCharType="begin"/>
      </w:r>
      <w:r>
        <w:rPr>
          <w:rFonts w:ascii="Times New Roman" w:hAnsi="Times New Roman" w:cs="Times New Roman"/>
          <w:sz w:val="21"/>
          <w:szCs w:val="21"/>
        </w:rPr>
        <w:instrText xml:space="preserve"> REF _Ref435187065 \r \h </w:instrText>
      </w:r>
      <w:r>
        <w:rPr>
          <w:rFonts w:ascii="Times New Roman" w:hAnsi="Times New Roman" w:cs="Times New Roman"/>
          <w:spacing w:val="-6"/>
          <w:sz w:val="21"/>
          <w:szCs w:val="21"/>
          <w:highlight w:val="yellow"/>
        </w:rPr>
      </w:r>
      <w:r>
        <w:rPr>
          <w:rFonts w:ascii="Times New Roman" w:hAnsi="Times New Roman" w:cs="Times New Roman"/>
          <w:spacing w:val="-6"/>
          <w:sz w:val="21"/>
          <w:szCs w:val="21"/>
          <w:highlight w:val="yellow"/>
        </w:rPr>
        <w:fldChar w:fldCharType="separate"/>
      </w:r>
      <w:r>
        <w:rPr>
          <w:rFonts w:ascii="Times New Roman" w:hAnsi="Times New Roman" w:cs="Times New Roman"/>
          <w:sz w:val="21"/>
          <w:szCs w:val="21"/>
        </w:rPr>
        <w:t>6</w:t>
      </w:r>
      <w:r>
        <w:rPr>
          <w:rFonts w:ascii="Times New Roman" w:hAnsi="Times New Roman" w:cs="Times New Roman"/>
          <w:spacing w:val="-6"/>
          <w:sz w:val="21"/>
          <w:szCs w:val="21"/>
          <w:highlight w:val="yellow"/>
        </w:rPr>
        <w:fldChar w:fldCharType="end"/>
      </w:r>
      <w:r w:rsidRPr="0098012B">
        <w:rPr>
          <w:rFonts w:ascii="Times New Roman" w:hAnsi="Times New Roman" w:cs="Times New Roman"/>
          <w:sz w:val="21"/>
          <w:szCs w:val="21"/>
        </w:rPr>
        <w:t>]</w:t>
      </w:r>
    </w:p>
    <w:tbl>
      <w:tblPr>
        <w:tblW w:w="6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9"/>
        <w:gridCol w:w="5014"/>
      </w:tblGrid>
      <w:tr w:rsidR="00B233DE" w:rsidRPr="004E1410" w:rsidTr="0023489B">
        <w:trPr>
          <w:jc w:val="center"/>
        </w:trPr>
        <w:tc>
          <w:tcPr>
            <w:tcW w:w="1219" w:type="dxa"/>
          </w:tcPr>
          <w:p w:rsidR="00B233DE" w:rsidRPr="004E1410" w:rsidRDefault="00B233DE" w:rsidP="0023489B">
            <w:pPr>
              <w:ind w:firstLine="0"/>
              <w:jc w:val="center"/>
              <w:rPr>
                <w:rFonts w:ascii="Times New Roman" w:hAnsi="Times New Roman" w:cs="Times New Roman"/>
                <w:sz w:val="16"/>
                <w:szCs w:val="16"/>
              </w:rPr>
            </w:pPr>
            <w:r w:rsidRPr="004E1410">
              <w:rPr>
                <w:rFonts w:ascii="Times New Roman" w:hAnsi="Times New Roman" w:cs="Times New Roman"/>
                <w:sz w:val="16"/>
                <w:szCs w:val="16"/>
              </w:rPr>
              <w:t>Країна</w:t>
            </w:r>
          </w:p>
        </w:tc>
        <w:tc>
          <w:tcPr>
            <w:tcW w:w="5014" w:type="dxa"/>
          </w:tcPr>
          <w:p w:rsidR="00B233DE" w:rsidRPr="004E1410" w:rsidRDefault="00B233DE" w:rsidP="0023489B">
            <w:pPr>
              <w:tabs>
                <w:tab w:val="left" w:pos="1920"/>
              </w:tabs>
              <w:ind w:left="840" w:firstLine="0"/>
              <w:jc w:val="center"/>
              <w:rPr>
                <w:rFonts w:ascii="Times New Roman" w:hAnsi="Times New Roman" w:cs="Times New Roman"/>
                <w:sz w:val="16"/>
                <w:szCs w:val="16"/>
              </w:rPr>
            </w:pPr>
            <w:r w:rsidRPr="004E1410">
              <w:rPr>
                <w:rFonts w:ascii="Times New Roman" w:hAnsi="Times New Roman" w:cs="Times New Roman"/>
                <w:sz w:val="16"/>
                <w:szCs w:val="16"/>
              </w:rPr>
              <w:t>Засоби</w:t>
            </w:r>
          </w:p>
        </w:tc>
      </w:tr>
      <w:tr w:rsidR="00B233DE" w:rsidRPr="004E1410" w:rsidTr="0023489B">
        <w:trPr>
          <w:jc w:val="center"/>
        </w:trPr>
        <w:tc>
          <w:tcPr>
            <w:tcW w:w="1219" w:type="dxa"/>
            <w:vAlign w:val="center"/>
          </w:tcPr>
          <w:p w:rsidR="00B233DE" w:rsidRPr="004E1410" w:rsidRDefault="00B233DE" w:rsidP="0023489B">
            <w:pPr>
              <w:tabs>
                <w:tab w:val="left" w:pos="1920"/>
              </w:tabs>
              <w:ind w:left="-90" w:firstLine="0"/>
              <w:jc w:val="center"/>
              <w:rPr>
                <w:rFonts w:ascii="Times New Roman" w:hAnsi="Times New Roman" w:cs="Times New Roman"/>
                <w:sz w:val="16"/>
                <w:szCs w:val="16"/>
              </w:rPr>
            </w:pPr>
            <w:r w:rsidRPr="004E1410">
              <w:rPr>
                <w:rFonts w:ascii="Times New Roman" w:hAnsi="Times New Roman" w:cs="Times New Roman"/>
                <w:sz w:val="16"/>
                <w:szCs w:val="16"/>
              </w:rPr>
              <w:t>Австралія</w:t>
            </w:r>
          </w:p>
        </w:tc>
        <w:tc>
          <w:tcPr>
            <w:tcW w:w="5014" w:type="dxa"/>
          </w:tcPr>
          <w:p w:rsidR="00B233DE" w:rsidRPr="004E1410" w:rsidRDefault="00B233DE" w:rsidP="0023489B">
            <w:pPr>
              <w:tabs>
                <w:tab w:val="left" w:pos="1920"/>
              </w:tabs>
              <w:spacing w:line="230" w:lineRule="auto"/>
              <w:ind w:left="-6" w:firstLine="0"/>
              <w:jc w:val="both"/>
              <w:rPr>
                <w:rFonts w:ascii="Times New Roman" w:hAnsi="Times New Roman" w:cs="Times New Roman"/>
                <w:sz w:val="16"/>
                <w:szCs w:val="16"/>
              </w:rPr>
            </w:pPr>
            <w:r w:rsidRPr="004E1410">
              <w:rPr>
                <w:rFonts w:ascii="Times New Roman" w:hAnsi="Times New Roman" w:cs="Times New Roman"/>
                <w:sz w:val="16"/>
                <w:szCs w:val="16"/>
              </w:rPr>
              <w:t>Звільнення від сплати податків на дохід іноземних співробітників, що отримали дозвіл на тимчасове перебування</w:t>
            </w:r>
          </w:p>
        </w:tc>
      </w:tr>
      <w:tr w:rsidR="00B233DE" w:rsidRPr="004E1410" w:rsidTr="0023489B">
        <w:trPr>
          <w:jc w:val="center"/>
        </w:trPr>
        <w:tc>
          <w:tcPr>
            <w:tcW w:w="1219" w:type="dxa"/>
            <w:vAlign w:val="center"/>
          </w:tcPr>
          <w:p w:rsidR="00B233DE" w:rsidRPr="004E1410" w:rsidRDefault="00B233DE" w:rsidP="0023489B">
            <w:pPr>
              <w:tabs>
                <w:tab w:val="left" w:pos="1920"/>
              </w:tabs>
              <w:ind w:left="-90" w:firstLine="0"/>
              <w:jc w:val="center"/>
              <w:rPr>
                <w:rFonts w:ascii="Times New Roman" w:hAnsi="Times New Roman" w:cs="Times New Roman"/>
                <w:sz w:val="16"/>
                <w:szCs w:val="16"/>
              </w:rPr>
            </w:pPr>
            <w:r w:rsidRPr="004E1410">
              <w:rPr>
                <w:rFonts w:ascii="Times New Roman" w:hAnsi="Times New Roman" w:cs="Times New Roman"/>
                <w:sz w:val="16"/>
                <w:szCs w:val="16"/>
              </w:rPr>
              <w:t>Австрія</w:t>
            </w:r>
          </w:p>
        </w:tc>
        <w:tc>
          <w:tcPr>
            <w:tcW w:w="5014" w:type="dxa"/>
          </w:tcPr>
          <w:p w:rsidR="00B233DE" w:rsidRPr="004E1410" w:rsidRDefault="00B233DE" w:rsidP="0023489B">
            <w:pPr>
              <w:tabs>
                <w:tab w:val="left" w:pos="1920"/>
              </w:tabs>
              <w:spacing w:line="230" w:lineRule="auto"/>
              <w:ind w:left="-6" w:firstLine="0"/>
              <w:jc w:val="both"/>
              <w:rPr>
                <w:rFonts w:ascii="Times New Roman" w:hAnsi="Times New Roman" w:cs="Times New Roman"/>
                <w:sz w:val="16"/>
                <w:szCs w:val="16"/>
              </w:rPr>
            </w:pPr>
            <w:r w:rsidRPr="004E1410">
              <w:rPr>
                <w:rFonts w:ascii="Times New Roman" w:hAnsi="Times New Roman" w:cs="Times New Roman"/>
                <w:sz w:val="16"/>
                <w:szCs w:val="16"/>
              </w:rPr>
              <w:t>Особа, яка прибула для працевлаштування у австрійського працедавця строком менше п’яти років, має право на по-даткові відрахування у розмірі до 35 % від оподатковуваного доходу на витрати, пов’язані з проживанням, отриманням освіти, а також при отриманні вихідної допомоги</w:t>
            </w:r>
          </w:p>
        </w:tc>
      </w:tr>
      <w:tr w:rsidR="00B233DE" w:rsidRPr="004E1410" w:rsidTr="0023489B">
        <w:trPr>
          <w:jc w:val="center"/>
        </w:trPr>
        <w:tc>
          <w:tcPr>
            <w:tcW w:w="1219" w:type="dxa"/>
            <w:vAlign w:val="center"/>
          </w:tcPr>
          <w:p w:rsidR="00B233DE" w:rsidRPr="004E1410" w:rsidRDefault="00B233DE" w:rsidP="0023489B">
            <w:pPr>
              <w:tabs>
                <w:tab w:val="left" w:pos="1920"/>
              </w:tabs>
              <w:ind w:left="-90" w:firstLine="0"/>
              <w:jc w:val="center"/>
              <w:rPr>
                <w:rFonts w:ascii="Times New Roman" w:hAnsi="Times New Roman" w:cs="Times New Roman"/>
                <w:sz w:val="16"/>
                <w:szCs w:val="16"/>
              </w:rPr>
            </w:pPr>
            <w:r w:rsidRPr="004E1410">
              <w:rPr>
                <w:rFonts w:ascii="Times New Roman" w:hAnsi="Times New Roman" w:cs="Times New Roman"/>
                <w:sz w:val="16"/>
                <w:szCs w:val="16"/>
              </w:rPr>
              <w:t>Франція</w:t>
            </w:r>
          </w:p>
        </w:tc>
        <w:tc>
          <w:tcPr>
            <w:tcW w:w="5014" w:type="dxa"/>
          </w:tcPr>
          <w:p w:rsidR="00B233DE" w:rsidRPr="004E1410" w:rsidRDefault="00B233DE" w:rsidP="0023489B">
            <w:pPr>
              <w:tabs>
                <w:tab w:val="left" w:pos="1920"/>
              </w:tabs>
              <w:spacing w:line="230" w:lineRule="auto"/>
              <w:ind w:left="-6" w:firstLine="0"/>
              <w:jc w:val="both"/>
              <w:rPr>
                <w:rFonts w:ascii="Times New Roman" w:hAnsi="Times New Roman" w:cs="Times New Roman"/>
                <w:sz w:val="16"/>
                <w:szCs w:val="16"/>
              </w:rPr>
            </w:pPr>
            <w:r w:rsidRPr="004E1410">
              <w:rPr>
                <w:rFonts w:ascii="Times New Roman" w:hAnsi="Times New Roman" w:cs="Times New Roman"/>
                <w:sz w:val="16"/>
                <w:szCs w:val="16"/>
              </w:rPr>
              <w:t xml:space="preserve">Іноземним спеціалістам дозволено сплачувати внески у фонди </w:t>
            </w:r>
            <w:r w:rsidRPr="004E1410">
              <w:rPr>
                <w:rFonts w:ascii="Times New Roman" w:hAnsi="Times New Roman" w:cs="Times New Roman"/>
                <w:spacing w:val="-6"/>
                <w:sz w:val="16"/>
                <w:szCs w:val="16"/>
              </w:rPr>
              <w:t>соціального страхування, медичного страхування і пенсійні фон</w:t>
            </w:r>
            <w:r w:rsidRPr="004E1410">
              <w:rPr>
                <w:rFonts w:ascii="Times New Roman" w:hAnsi="Times New Roman" w:cs="Times New Roman"/>
                <w:sz w:val="16"/>
                <w:szCs w:val="16"/>
              </w:rPr>
              <w:t>ди в країнах походження зі сплатою податкових відрахувань з цих сум в казну Франції. Іноземні спеціалісти звільнюються також від сплати податку на премії</w:t>
            </w:r>
          </w:p>
        </w:tc>
      </w:tr>
      <w:tr w:rsidR="00B233DE" w:rsidRPr="004E1410" w:rsidTr="0023489B">
        <w:trPr>
          <w:jc w:val="center"/>
        </w:trPr>
        <w:tc>
          <w:tcPr>
            <w:tcW w:w="1219" w:type="dxa"/>
            <w:vAlign w:val="center"/>
          </w:tcPr>
          <w:p w:rsidR="00B233DE" w:rsidRPr="004E1410" w:rsidRDefault="00B233DE" w:rsidP="0023489B">
            <w:pPr>
              <w:tabs>
                <w:tab w:val="left" w:pos="1920"/>
              </w:tabs>
              <w:ind w:left="-90" w:firstLine="0"/>
              <w:jc w:val="center"/>
              <w:rPr>
                <w:rFonts w:ascii="Times New Roman" w:hAnsi="Times New Roman" w:cs="Times New Roman"/>
                <w:sz w:val="16"/>
                <w:szCs w:val="16"/>
              </w:rPr>
            </w:pPr>
            <w:r w:rsidRPr="004E1410">
              <w:rPr>
                <w:rFonts w:ascii="Times New Roman" w:hAnsi="Times New Roman" w:cs="Times New Roman"/>
                <w:sz w:val="16"/>
                <w:szCs w:val="16"/>
              </w:rPr>
              <w:t>Японія</w:t>
            </w:r>
          </w:p>
        </w:tc>
        <w:tc>
          <w:tcPr>
            <w:tcW w:w="5014" w:type="dxa"/>
          </w:tcPr>
          <w:p w:rsidR="00B233DE" w:rsidRPr="004E1410" w:rsidRDefault="00B233DE" w:rsidP="0023489B">
            <w:pPr>
              <w:tabs>
                <w:tab w:val="left" w:pos="1920"/>
              </w:tabs>
              <w:spacing w:line="230" w:lineRule="auto"/>
              <w:ind w:left="-6" w:firstLine="0"/>
              <w:jc w:val="both"/>
              <w:rPr>
                <w:rFonts w:ascii="Times New Roman" w:hAnsi="Times New Roman" w:cs="Times New Roman"/>
                <w:sz w:val="16"/>
                <w:szCs w:val="16"/>
              </w:rPr>
            </w:pPr>
            <w:r w:rsidRPr="004E1410">
              <w:rPr>
                <w:rFonts w:ascii="Times New Roman" w:hAnsi="Times New Roman" w:cs="Times New Roman"/>
                <w:sz w:val="16"/>
                <w:szCs w:val="16"/>
              </w:rPr>
              <w:t>Звільнення від податків на допомогу по переїзду до місця ро-боти для іноземних спеціалістів, а також на щорічні виплати для поїздки в країни походження</w:t>
            </w:r>
          </w:p>
        </w:tc>
      </w:tr>
      <w:tr w:rsidR="00B233DE" w:rsidRPr="004E1410" w:rsidTr="0023489B">
        <w:trPr>
          <w:jc w:val="center"/>
        </w:trPr>
        <w:tc>
          <w:tcPr>
            <w:tcW w:w="1219" w:type="dxa"/>
            <w:vAlign w:val="center"/>
          </w:tcPr>
          <w:p w:rsidR="00B233DE" w:rsidRPr="004E1410" w:rsidRDefault="00B233DE" w:rsidP="0023489B">
            <w:pPr>
              <w:tabs>
                <w:tab w:val="left" w:pos="1920"/>
              </w:tabs>
              <w:ind w:left="-90" w:firstLine="0"/>
              <w:jc w:val="center"/>
              <w:rPr>
                <w:rFonts w:ascii="Times New Roman" w:hAnsi="Times New Roman" w:cs="Times New Roman"/>
                <w:sz w:val="16"/>
                <w:szCs w:val="16"/>
              </w:rPr>
            </w:pPr>
            <w:r w:rsidRPr="004E1410">
              <w:rPr>
                <w:rFonts w:ascii="Times New Roman" w:hAnsi="Times New Roman" w:cs="Times New Roman"/>
                <w:sz w:val="16"/>
                <w:szCs w:val="16"/>
              </w:rPr>
              <w:t>Канада</w:t>
            </w:r>
          </w:p>
        </w:tc>
        <w:tc>
          <w:tcPr>
            <w:tcW w:w="5014" w:type="dxa"/>
          </w:tcPr>
          <w:p w:rsidR="00B233DE" w:rsidRPr="004E1410" w:rsidRDefault="00B233DE" w:rsidP="0023489B">
            <w:pPr>
              <w:tabs>
                <w:tab w:val="left" w:pos="1920"/>
              </w:tabs>
              <w:spacing w:line="230" w:lineRule="auto"/>
              <w:ind w:left="-6" w:firstLine="0"/>
              <w:jc w:val="both"/>
              <w:rPr>
                <w:rFonts w:ascii="Times New Roman" w:hAnsi="Times New Roman" w:cs="Times New Roman"/>
                <w:sz w:val="16"/>
                <w:szCs w:val="16"/>
              </w:rPr>
            </w:pPr>
            <w:r w:rsidRPr="004E1410">
              <w:rPr>
                <w:rFonts w:ascii="Times New Roman" w:hAnsi="Times New Roman" w:cs="Times New Roman"/>
                <w:sz w:val="16"/>
                <w:szCs w:val="16"/>
              </w:rPr>
              <w:t>Впровадження податкових канікул терміном у п’ять років з 75 % податку на дохід для іноземних дослідників у галузях інформаційних технологій, інженерії, медичних досліджень</w:t>
            </w:r>
          </w:p>
        </w:tc>
      </w:tr>
      <w:tr w:rsidR="00B233DE" w:rsidRPr="004E1410" w:rsidTr="0023489B">
        <w:trPr>
          <w:jc w:val="center"/>
        </w:trPr>
        <w:tc>
          <w:tcPr>
            <w:tcW w:w="1219" w:type="dxa"/>
            <w:vAlign w:val="center"/>
          </w:tcPr>
          <w:p w:rsidR="00B233DE" w:rsidRPr="004E1410" w:rsidRDefault="00B233DE" w:rsidP="0023489B">
            <w:pPr>
              <w:tabs>
                <w:tab w:val="left" w:pos="1920"/>
              </w:tabs>
              <w:ind w:left="-90" w:firstLine="0"/>
              <w:jc w:val="center"/>
              <w:rPr>
                <w:rFonts w:ascii="Times New Roman" w:hAnsi="Times New Roman" w:cs="Times New Roman"/>
                <w:sz w:val="16"/>
                <w:szCs w:val="16"/>
              </w:rPr>
            </w:pPr>
            <w:r w:rsidRPr="004E1410">
              <w:rPr>
                <w:rFonts w:ascii="Times New Roman" w:hAnsi="Times New Roman" w:cs="Times New Roman"/>
                <w:sz w:val="16"/>
                <w:szCs w:val="16"/>
              </w:rPr>
              <w:t>Великобританія</w:t>
            </w:r>
          </w:p>
        </w:tc>
        <w:tc>
          <w:tcPr>
            <w:tcW w:w="5014" w:type="dxa"/>
          </w:tcPr>
          <w:p w:rsidR="00B233DE" w:rsidRPr="004E1410" w:rsidRDefault="00B233DE" w:rsidP="0023489B">
            <w:pPr>
              <w:tabs>
                <w:tab w:val="left" w:pos="1920"/>
              </w:tabs>
              <w:spacing w:line="230" w:lineRule="auto"/>
              <w:ind w:left="-6" w:firstLine="0"/>
              <w:jc w:val="both"/>
              <w:rPr>
                <w:rFonts w:ascii="Times New Roman" w:hAnsi="Times New Roman" w:cs="Times New Roman"/>
                <w:sz w:val="16"/>
                <w:szCs w:val="16"/>
              </w:rPr>
            </w:pPr>
            <w:r w:rsidRPr="004E1410">
              <w:rPr>
                <w:rFonts w:ascii="Times New Roman" w:hAnsi="Times New Roman" w:cs="Times New Roman"/>
                <w:sz w:val="16"/>
                <w:szCs w:val="16"/>
              </w:rPr>
              <w:t>Іноземні спеціалісти, що прибули на тимчасовій основі, можуть вимагати звільнення від податків на суму витрат на проживання і поїздки. Такі податкові пільги застосовуються і щодо резидентів на той час, який вони пропрацювали за межами країни</w:t>
            </w:r>
          </w:p>
        </w:tc>
      </w:tr>
    </w:tbl>
    <w:p w:rsidR="00B233DE" w:rsidRDefault="00B233DE" w:rsidP="00B233DE">
      <w:pPr>
        <w:tabs>
          <w:tab w:val="left" w:pos="900"/>
        </w:tabs>
        <w:ind w:firstLine="720"/>
        <w:jc w:val="both"/>
        <w:rPr>
          <w:rFonts w:ascii="Times New Roman" w:hAnsi="Times New Roman" w:cs="Times New Roman"/>
          <w:sz w:val="21"/>
          <w:szCs w:val="21"/>
        </w:rPr>
      </w:pPr>
      <w:r w:rsidRPr="0098012B">
        <w:rPr>
          <w:rFonts w:ascii="Times New Roman" w:hAnsi="Times New Roman" w:cs="Times New Roman"/>
          <w:sz w:val="21"/>
          <w:szCs w:val="21"/>
        </w:rPr>
        <w:lastRenderedPageBreak/>
        <w:t xml:space="preserve">При аналізі інших інструментів задоволення потреби у освітньо-кваліфікаційній складовій ЛП, на наш погляд, варто розглянути досвід деяких країн світу у даній сфері (табл. </w:t>
      </w:r>
      <w:r>
        <w:rPr>
          <w:rFonts w:ascii="Times New Roman" w:hAnsi="Times New Roman" w:cs="Times New Roman"/>
          <w:sz w:val="21"/>
          <w:szCs w:val="21"/>
        </w:rPr>
        <w:t>4.8</w:t>
      </w:r>
      <w:r w:rsidRPr="0098012B">
        <w:rPr>
          <w:rFonts w:ascii="Times New Roman" w:hAnsi="Times New Roman" w:cs="Times New Roman"/>
          <w:sz w:val="21"/>
          <w:szCs w:val="21"/>
        </w:rPr>
        <w:t>).</w:t>
      </w:r>
    </w:p>
    <w:p w:rsidR="00B233DE" w:rsidRDefault="00B233DE" w:rsidP="00B233DE">
      <w:pPr>
        <w:tabs>
          <w:tab w:val="left" w:pos="900"/>
        </w:tabs>
        <w:ind w:firstLine="720"/>
        <w:jc w:val="both"/>
        <w:rPr>
          <w:rFonts w:ascii="Times New Roman" w:hAnsi="Times New Roman" w:cs="Times New Roman"/>
          <w:sz w:val="21"/>
          <w:szCs w:val="21"/>
        </w:rPr>
      </w:pPr>
    </w:p>
    <w:p w:rsidR="00B233DE" w:rsidRDefault="00B233DE" w:rsidP="00B233DE">
      <w:pPr>
        <w:tabs>
          <w:tab w:val="left" w:pos="900"/>
        </w:tabs>
        <w:ind w:firstLine="720"/>
        <w:jc w:val="right"/>
        <w:rPr>
          <w:rFonts w:ascii="Times New Roman" w:hAnsi="Times New Roman" w:cs="Times New Roman"/>
          <w:sz w:val="21"/>
          <w:szCs w:val="21"/>
        </w:rPr>
      </w:pPr>
      <w:r>
        <w:rPr>
          <w:rFonts w:ascii="Times New Roman" w:hAnsi="Times New Roman" w:cs="Times New Roman"/>
          <w:sz w:val="21"/>
          <w:szCs w:val="21"/>
        </w:rPr>
        <w:t>Таблиця 4.8</w:t>
      </w:r>
    </w:p>
    <w:p w:rsidR="00B233DE" w:rsidRPr="004E1410" w:rsidRDefault="00B233DE" w:rsidP="00B233DE">
      <w:pPr>
        <w:tabs>
          <w:tab w:val="left" w:pos="900"/>
        </w:tabs>
        <w:ind w:firstLine="709"/>
        <w:jc w:val="center"/>
        <w:rPr>
          <w:rFonts w:ascii="Times New Roman" w:hAnsi="Times New Roman" w:cs="Times New Roman"/>
          <w:b/>
          <w:spacing w:val="-8"/>
          <w:sz w:val="21"/>
          <w:szCs w:val="21"/>
        </w:rPr>
      </w:pPr>
      <w:r w:rsidRPr="004E1410">
        <w:rPr>
          <w:rFonts w:ascii="Times New Roman" w:hAnsi="Times New Roman" w:cs="Times New Roman"/>
          <w:b/>
          <w:spacing w:val="-8"/>
          <w:sz w:val="21"/>
          <w:szCs w:val="21"/>
        </w:rPr>
        <w:t>Досвід залучення кваліфікованого людського потенціалу у деяких країнах світу [</w:t>
      </w:r>
      <w:r>
        <w:rPr>
          <w:rStyle w:val="heading"/>
          <w:rFonts w:ascii="Times New Roman" w:hAnsi="Times New Roman" w:cs="Times New Roman"/>
          <w:sz w:val="21"/>
          <w:szCs w:val="21"/>
          <w:highlight w:val="yellow"/>
          <w:lang w:val="en-US"/>
        </w:rPr>
        <w:fldChar w:fldCharType="begin"/>
      </w:r>
      <w:r>
        <w:rPr>
          <w:rFonts w:ascii="Times New Roman" w:hAnsi="Times New Roman" w:cs="Times New Roman"/>
          <w:b/>
          <w:spacing w:val="-8"/>
          <w:sz w:val="21"/>
          <w:szCs w:val="21"/>
        </w:rPr>
        <w:instrText xml:space="preserve"> REF _Ref435182634 \r \h </w:instrText>
      </w:r>
      <w:r>
        <w:rPr>
          <w:rStyle w:val="heading"/>
          <w:rFonts w:ascii="Times New Roman" w:hAnsi="Times New Roman" w:cs="Times New Roman"/>
          <w:sz w:val="21"/>
          <w:szCs w:val="21"/>
          <w:highlight w:val="yellow"/>
          <w:lang w:val="en-US"/>
        </w:rPr>
      </w:r>
      <w:r>
        <w:rPr>
          <w:rStyle w:val="heading"/>
          <w:rFonts w:ascii="Times New Roman" w:hAnsi="Times New Roman" w:cs="Times New Roman"/>
          <w:sz w:val="21"/>
          <w:szCs w:val="21"/>
          <w:highlight w:val="yellow"/>
          <w:lang w:val="en-US"/>
        </w:rPr>
        <w:fldChar w:fldCharType="separate"/>
      </w:r>
      <w:r>
        <w:rPr>
          <w:rFonts w:ascii="Times New Roman" w:hAnsi="Times New Roman" w:cs="Times New Roman"/>
          <w:b/>
          <w:spacing w:val="-8"/>
          <w:sz w:val="21"/>
          <w:szCs w:val="21"/>
        </w:rPr>
        <w:t>101</w:t>
      </w:r>
      <w:r>
        <w:rPr>
          <w:rStyle w:val="heading"/>
          <w:rFonts w:ascii="Times New Roman" w:hAnsi="Times New Roman" w:cs="Times New Roman"/>
          <w:sz w:val="21"/>
          <w:szCs w:val="21"/>
          <w:highlight w:val="yellow"/>
          <w:lang w:val="en-US"/>
        </w:rPr>
        <w:fldChar w:fldCharType="end"/>
      </w:r>
      <w:r w:rsidRPr="004E1410">
        <w:rPr>
          <w:rFonts w:ascii="Times New Roman" w:hAnsi="Times New Roman" w:cs="Times New Roman"/>
          <w:b/>
          <w:spacing w:val="-8"/>
          <w:sz w:val="21"/>
          <w:szCs w:val="21"/>
        </w:rPr>
        <w:t>]</w:t>
      </w:r>
    </w:p>
    <w:tbl>
      <w:tblPr>
        <w:tblW w:w="63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2"/>
        <w:gridCol w:w="3359"/>
        <w:gridCol w:w="1969"/>
      </w:tblGrid>
      <w:tr w:rsidR="00B233DE" w:rsidRPr="004E1410" w:rsidTr="0023489B">
        <w:trPr>
          <w:jc w:val="center"/>
        </w:trPr>
        <w:tc>
          <w:tcPr>
            <w:tcW w:w="992" w:type="dxa"/>
            <w:vAlign w:val="center"/>
          </w:tcPr>
          <w:p w:rsidR="00B233DE" w:rsidRPr="004E1410" w:rsidRDefault="00B233DE" w:rsidP="0023489B">
            <w:pPr>
              <w:ind w:firstLine="0"/>
              <w:jc w:val="center"/>
              <w:rPr>
                <w:rFonts w:ascii="Times New Roman" w:hAnsi="Times New Roman" w:cs="Times New Roman"/>
                <w:sz w:val="16"/>
                <w:szCs w:val="16"/>
              </w:rPr>
            </w:pPr>
            <w:r w:rsidRPr="004E1410">
              <w:rPr>
                <w:rFonts w:ascii="Times New Roman" w:hAnsi="Times New Roman" w:cs="Times New Roman"/>
                <w:sz w:val="16"/>
                <w:szCs w:val="16"/>
              </w:rPr>
              <w:t>Країна</w:t>
            </w:r>
          </w:p>
        </w:tc>
        <w:tc>
          <w:tcPr>
            <w:tcW w:w="3359" w:type="dxa"/>
            <w:vAlign w:val="center"/>
          </w:tcPr>
          <w:p w:rsidR="00B233DE" w:rsidRPr="004E1410" w:rsidRDefault="00B233DE" w:rsidP="0023489B">
            <w:pPr>
              <w:ind w:firstLine="0"/>
              <w:jc w:val="center"/>
              <w:rPr>
                <w:rFonts w:ascii="Times New Roman" w:hAnsi="Times New Roman" w:cs="Times New Roman"/>
                <w:sz w:val="16"/>
                <w:szCs w:val="16"/>
              </w:rPr>
            </w:pPr>
            <w:r w:rsidRPr="004E1410">
              <w:rPr>
                <w:rFonts w:ascii="Times New Roman" w:hAnsi="Times New Roman" w:cs="Times New Roman"/>
                <w:sz w:val="16"/>
                <w:szCs w:val="16"/>
              </w:rPr>
              <w:t>Інструменти для задоволення освітньо-кваліфікаційної потреби</w:t>
            </w:r>
          </w:p>
        </w:tc>
        <w:tc>
          <w:tcPr>
            <w:tcW w:w="1969" w:type="dxa"/>
            <w:vAlign w:val="center"/>
          </w:tcPr>
          <w:p w:rsidR="00B233DE" w:rsidRPr="004E1410" w:rsidRDefault="00B233DE" w:rsidP="0023489B">
            <w:pPr>
              <w:ind w:firstLine="0"/>
              <w:jc w:val="center"/>
              <w:rPr>
                <w:rFonts w:ascii="Times New Roman" w:hAnsi="Times New Roman" w:cs="Times New Roman"/>
                <w:sz w:val="16"/>
                <w:szCs w:val="16"/>
              </w:rPr>
            </w:pPr>
            <w:r w:rsidRPr="004E1410">
              <w:rPr>
                <w:rFonts w:ascii="Times New Roman" w:hAnsi="Times New Roman" w:cs="Times New Roman"/>
                <w:sz w:val="16"/>
                <w:szCs w:val="16"/>
              </w:rPr>
              <w:t>Інструменти підвищення показників міграційної привабливості</w:t>
            </w:r>
          </w:p>
        </w:tc>
      </w:tr>
      <w:tr w:rsidR="00B233DE" w:rsidRPr="004E1410" w:rsidTr="0023489B">
        <w:trPr>
          <w:jc w:val="center"/>
        </w:trPr>
        <w:tc>
          <w:tcPr>
            <w:tcW w:w="992" w:type="dxa"/>
            <w:vAlign w:val="center"/>
          </w:tcPr>
          <w:p w:rsidR="00B233DE" w:rsidRPr="004E1410" w:rsidRDefault="00B233DE" w:rsidP="0023489B">
            <w:pPr>
              <w:ind w:firstLine="0"/>
              <w:jc w:val="center"/>
              <w:rPr>
                <w:rFonts w:ascii="Times New Roman" w:hAnsi="Times New Roman" w:cs="Times New Roman"/>
                <w:sz w:val="16"/>
                <w:szCs w:val="16"/>
              </w:rPr>
            </w:pPr>
            <w:r w:rsidRPr="004E1410">
              <w:rPr>
                <w:rFonts w:ascii="Times New Roman" w:hAnsi="Times New Roman" w:cs="Times New Roman"/>
                <w:sz w:val="16"/>
                <w:szCs w:val="16"/>
              </w:rPr>
              <w:t>Сінгапур</w:t>
            </w:r>
          </w:p>
        </w:tc>
        <w:tc>
          <w:tcPr>
            <w:tcW w:w="3359" w:type="dxa"/>
          </w:tcPr>
          <w:p w:rsidR="00B233DE" w:rsidRPr="004E1410" w:rsidRDefault="00B233DE" w:rsidP="0023489B">
            <w:pPr>
              <w:tabs>
                <w:tab w:val="left" w:pos="900"/>
              </w:tabs>
              <w:ind w:firstLine="0"/>
              <w:jc w:val="both"/>
              <w:rPr>
                <w:rFonts w:ascii="Times New Roman" w:hAnsi="Times New Roman" w:cs="Times New Roman"/>
                <w:sz w:val="16"/>
                <w:szCs w:val="16"/>
              </w:rPr>
            </w:pPr>
            <w:r w:rsidRPr="004E1410">
              <w:rPr>
                <w:rFonts w:ascii="Times New Roman" w:hAnsi="Times New Roman" w:cs="Times New Roman"/>
                <w:sz w:val="16"/>
                <w:szCs w:val="16"/>
              </w:rPr>
              <w:t>1. Спрощений процес отримання візи для висококваліфікованих працівників</w:t>
            </w:r>
          </w:p>
          <w:p w:rsidR="00B233DE" w:rsidRPr="004E1410" w:rsidRDefault="00B233DE" w:rsidP="0023489B">
            <w:pPr>
              <w:ind w:firstLine="0"/>
              <w:jc w:val="both"/>
              <w:rPr>
                <w:rFonts w:ascii="Times New Roman" w:hAnsi="Times New Roman" w:cs="Times New Roman"/>
                <w:sz w:val="16"/>
                <w:szCs w:val="16"/>
              </w:rPr>
            </w:pPr>
            <w:r w:rsidRPr="004E1410">
              <w:rPr>
                <w:rFonts w:ascii="Times New Roman" w:hAnsi="Times New Roman" w:cs="Times New Roman"/>
                <w:sz w:val="16"/>
                <w:szCs w:val="16"/>
              </w:rPr>
              <w:t>2. Податкові пільги для підприємств, які залучають іноземних спеціалістів і сприяють подальшому підвищенню їх кваліфікації</w:t>
            </w:r>
          </w:p>
        </w:tc>
        <w:tc>
          <w:tcPr>
            <w:tcW w:w="1969" w:type="dxa"/>
          </w:tcPr>
          <w:p w:rsidR="00B233DE" w:rsidRPr="004E1410" w:rsidRDefault="00B233DE" w:rsidP="0023489B">
            <w:pPr>
              <w:tabs>
                <w:tab w:val="left" w:pos="900"/>
              </w:tabs>
              <w:spacing w:line="230" w:lineRule="auto"/>
              <w:ind w:left="-108" w:right="-125" w:firstLine="0"/>
              <w:jc w:val="both"/>
              <w:rPr>
                <w:rFonts w:ascii="Times New Roman" w:hAnsi="Times New Roman" w:cs="Times New Roman"/>
                <w:sz w:val="16"/>
                <w:szCs w:val="16"/>
              </w:rPr>
            </w:pPr>
            <w:r w:rsidRPr="004E1410">
              <w:rPr>
                <w:rFonts w:ascii="Times New Roman" w:hAnsi="Times New Roman" w:cs="Times New Roman"/>
                <w:sz w:val="16"/>
                <w:szCs w:val="16"/>
              </w:rPr>
              <w:t>1. Зниження податкових ставок</w:t>
            </w:r>
          </w:p>
          <w:p w:rsidR="00B233DE" w:rsidRPr="004E1410" w:rsidRDefault="00B233DE" w:rsidP="0023489B">
            <w:pPr>
              <w:tabs>
                <w:tab w:val="left" w:pos="900"/>
              </w:tabs>
              <w:spacing w:line="230" w:lineRule="auto"/>
              <w:ind w:left="-108" w:right="-125" w:firstLine="0"/>
              <w:jc w:val="both"/>
              <w:rPr>
                <w:rFonts w:ascii="Times New Roman" w:hAnsi="Times New Roman" w:cs="Times New Roman"/>
                <w:sz w:val="16"/>
                <w:szCs w:val="16"/>
              </w:rPr>
            </w:pPr>
            <w:r w:rsidRPr="004E1410">
              <w:rPr>
                <w:rFonts w:ascii="Times New Roman" w:hAnsi="Times New Roman" w:cs="Times New Roman"/>
                <w:sz w:val="16"/>
                <w:szCs w:val="16"/>
              </w:rPr>
              <w:t>2. Підтримка безпечного навколишнього середовища</w:t>
            </w:r>
          </w:p>
          <w:p w:rsidR="00B233DE" w:rsidRPr="004E1410" w:rsidRDefault="00B233DE" w:rsidP="0023489B">
            <w:pPr>
              <w:spacing w:line="230" w:lineRule="auto"/>
              <w:ind w:left="-108" w:right="-125" w:firstLine="0"/>
              <w:jc w:val="both"/>
              <w:rPr>
                <w:rFonts w:ascii="Times New Roman" w:hAnsi="Times New Roman" w:cs="Times New Roman"/>
                <w:sz w:val="16"/>
                <w:szCs w:val="16"/>
              </w:rPr>
            </w:pPr>
            <w:r w:rsidRPr="004E1410">
              <w:rPr>
                <w:rFonts w:ascii="Times New Roman" w:hAnsi="Times New Roman" w:cs="Times New Roman"/>
                <w:sz w:val="16"/>
                <w:szCs w:val="16"/>
              </w:rPr>
              <w:t>3. Ефективна система освіти і охорони здоров’я</w:t>
            </w:r>
          </w:p>
        </w:tc>
      </w:tr>
      <w:tr w:rsidR="00B233DE" w:rsidRPr="004E1410" w:rsidTr="0023489B">
        <w:trPr>
          <w:jc w:val="center"/>
        </w:trPr>
        <w:tc>
          <w:tcPr>
            <w:tcW w:w="992" w:type="dxa"/>
            <w:vAlign w:val="center"/>
          </w:tcPr>
          <w:p w:rsidR="00B233DE" w:rsidRPr="004E1410" w:rsidRDefault="00B233DE" w:rsidP="0023489B">
            <w:pPr>
              <w:ind w:firstLine="0"/>
              <w:jc w:val="center"/>
              <w:rPr>
                <w:rFonts w:ascii="Times New Roman" w:hAnsi="Times New Roman" w:cs="Times New Roman"/>
                <w:sz w:val="16"/>
                <w:szCs w:val="16"/>
              </w:rPr>
            </w:pPr>
            <w:r w:rsidRPr="004E1410">
              <w:rPr>
                <w:rFonts w:ascii="Times New Roman" w:hAnsi="Times New Roman" w:cs="Times New Roman"/>
                <w:sz w:val="16"/>
                <w:szCs w:val="16"/>
              </w:rPr>
              <w:t>Німеччина</w:t>
            </w:r>
          </w:p>
        </w:tc>
        <w:tc>
          <w:tcPr>
            <w:tcW w:w="3359" w:type="dxa"/>
          </w:tcPr>
          <w:p w:rsidR="00B233DE" w:rsidRPr="001B7FFD" w:rsidRDefault="00B233DE" w:rsidP="0023489B">
            <w:pPr>
              <w:spacing w:line="228" w:lineRule="auto"/>
              <w:ind w:firstLine="0"/>
              <w:jc w:val="both"/>
              <w:rPr>
                <w:rFonts w:ascii="Times New Roman" w:hAnsi="Times New Roman" w:cs="Times New Roman"/>
                <w:sz w:val="16"/>
                <w:szCs w:val="16"/>
              </w:rPr>
            </w:pPr>
            <w:r w:rsidRPr="001B7FFD">
              <w:rPr>
                <w:rFonts w:ascii="Times New Roman" w:hAnsi="Times New Roman" w:cs="Times New Roman"/>
                <w:sz w:val="16"/>
                <w:szCs w:val="16"/>
              </w:rPr>
              <w:t>Звільнення від тесту ринку праці висококва-ліфікованих працівників: науковців з особли-вими фаховими знаннями, провідних наукових працівників, спеціалістів, керівних менеджерів; іноземців, які закінчили німецькі вищі навчальні заклади [</w:t>
            </w:r>
            <w:r>
              <w:rPr>
                <w:rFonts w:ascii="Times New Roman" w:hAnsi="Times New Roman" w:cs="Times New Roman"/>
                <w:sz w:val="16"/>
                <w:szCs w:val="16"/>
                <w:highlight w:val="yellow"/>
                <w:lang w:val="en-US"/>
              </w:rPr>
              <w:fldChar w:fldCharType="begin"/>
            </w:r>
            <w:r>
              <w:rPr>
                <w:rFonts w:ascii="Times New Roman" w:hAnsi="Times New Roman" w:cs="Times New Roman"/>
                <w:sz w:val="16"/>
                <w:szCs w:val="16"/>
              </w:rPr>
              <w:instrText xml:space="preserve"> REF _Ref435186361 \r \h </w:instrText>
            </w:r>
            <w:r>
              <w:rPr>
                <w:rFonts w:ascii="Times New Roman" w:hAnsi="Times New Roman" w:cs="Times New Roman"/>
                <w:sz w:val="16"/>
                <w:szCs w:val="16"/>
                <w:highlight w:val="yellow"/>
                <w:lang w:val="en-US"/>
              </w:rPr>
            </w:r>
            <w:r>
              <w:rPr>
                <w:rFonts w:ascii="Times New Roman" w:hAnsi="Times New Roman" w:cs="Times New Roman"/>
                <w:sz w:val="16"/>
                <w:szCs w:val="16"/>
                <w:highlight w:val="yellow"/>
                <w:lang w:val="en-US"/>
              </w:rPr>
              <w:fldChar w:fldCharType="separate"/>
            </w:r>
            <w:r>
              <w:rPr>
                <w:rFonts w:ascii="Times New Roman" w:hAnsi="Times New Roman" w:cs="Times New Roman"/>
                <w:sz w:val="16"/>
                <w:szCs w:val="16"/>
              </w:rPr>
              <w:t>99</w:t>
            </w:r>
            <w:r>
              <w:rPr>
                <w:rFonts w:ascii="Times New Roman" w:hAnsi="Times New Roman" w:cs="Times New Roman"/>
                <w:sz w:val="16"/>
                <w:szCs w:val="16"/>
                <w:highlight w:val="yellow"/>
                <w:lang w:val="en-US"/>
              </w:rPr>
              <w:fldChar w:fldCharType="end"/>
            </w:r>
            <w:r w:rsidRPr="001B7FFD">
              <w:rPr>
                <w:rFonts w:ascii="Times New Roman" w:hAnsi="Times New Roman" w:cs="Times New Roman"/>
                <w:sz w:val="16"/>
                <w:szCs w:val="16"/>
              </w:rPr>
              <w:t>]</w:t>
            </w:r>
          </w:p>
        </w:tc>
        <w:tc>
          <w:tcPr>
            <w:tcW w:w="1969" w:type="dxa"/>
            <w:vMerge w:val="restart"/>
          </w:tcPr>
          <w:p w:rsidR="00B233DE" w:rsidRDefault="00B233DE" w:rsidP="0023489B">
            <w:pPr>
              <w:tabs>
                <w:tab w:val="left" w:pos="900"/>
              </w:tabs>
              <w:ind w:left="-108" w:right="-123" w:firstLine="0"/>
              <w:jc w:val="both"/>
              <w:rPr>
                <w:rFonts w:ascii="Times New Roman" w:hAnsi="Times New Roman" w:cs="Times New Roman"/>
                <w:sz w:val="16"/>
                <w:szCs w:val="16"/>
              </w:rPr>
            </w:pPr>
            <w:r w:rsidRPr="004E1410">
              <w:rPr>
                <w:rFonts w:ascii="Times New Roman" w:hAnsi="Times New Roman" w:cs="Times New Roman"/>
                <w:sz w:val="16"/>
                <w:szCs w:val="16"/>
              </w:rPr>
              <w:t xml:space="preserve">1. </w:t>
            </w:r>
            <w:r w:rsidRPr="004E1410">
              <w:rPr>
                <w:rFonts w:ascii="Times New Roman" w:hAnsi="Times New Roman" w:cs="Times New Roman"/>
                <w:spacing w:val="-6"/>
                <w:sz w:val="16"/>
                <w:szCs w:val="16"/>
              </w:rPr>
              <w:t>Право користуватись рів-</w:t>
            </w:r>
            <w:r w:rsidRPr="004E1410">
              <w:rPr>
                <w:rFonts w:ascii="Times New Roman" w:hAnsi="Times New Roman" w:cs="Times New Roman"/>
                <w:sz w:val="16"/>
                <w:szCs w:val="16"/>
              </w:rPr>
              <w:t>ними умовами з громадя</w:t>
            </w:r>
            <w:r>
              <w:rPr>
                <w:rFonts w:ascii="Times New Roman" w:hAnsi="Times New Roman" w:cs="Times New Roman"/>
                <w:sz w:val="16"/>
                <w:szCs w:val="16"/>
              </w:rPr>
              <w:t>-</w:t>
            </w:r>
            <w:r w:rsidRPr="004E1410">
              <w:rPr>
                <w:rFonts w:ascii="Times New Roman" w:hAnsi="Times New Roman" w:cs="Times New Roman"/>
                <w:sz w:val="16"/>
                <w:szCs w:val="16"/>
              </w:rPr>
              <w:t>нами країни призначення у сферах соціальної допомоги, податкових пільг, визнання дипломів, освіти і професій</w:t>
            </w:r>
            <w:r>
              <w:rPr>
                <w:rFonts w:ascii="Times New Roman" w:hAnsi="Times New Roman" w:cs="Times New Roman"/>
                <w:sz w:val="16"/>
                <w:szCs w:val="16"/>
              </w:rPr>
              <w:t>-ного навчання</w:t>
            </w:r>
          </w:p>
          <w:p w:rsidR="00B233DE" w:rsidRPr="004E1410" w:rsidRDefault="00B233DE" w:rsidP="0023489B">
            <w:pPr>
              <w:tabs>
                <w:tab w:val="left" w:pos="900"/>
              </w:tabs>
              <w:ind w:left="-108" w:right="-123" w:firstLine="0"/>
              <w:jc w:val="both"/>
              <w:rPr>
                <w:rFonts w:ascii="Times New Roman" w:hAnsi="Times New Roman" w:cs="Times New Roman"/>
                <w:sz w:val="16"/>
                <w:szCs w:val="16"/>
              </w:rPr>
            </w:pPr>
            <w:r w:rsidRPr="004E1410">
              <w:rPr>
                <w:rFonts w:ascii="Times New Roman" w:hAnsi="Times New Roman" w:cs="Times New Roman"/>
                <w:sz w:val="16"/>
                <w:szCs w:val="16"/>
              </w:rPr>
              <w:t>2. Право на «возз’єднання сімей»</w:t>
            </w:r>
          </w:p>
          <w:p w:rsidR="00B233DE" w:rsidRPr="004E1410" w:rsidRDefault="00B233DE" w:rsidP="0023489B">
            <w:pPr>
              <w:tabs>
                <w:tab w:val="left" w:pos="900"/>
              </w:tabs>
              <w:ind w:firstLine="0"/>
              <w:jc w:val="both"/>
              <w:rPr>
                <w:rFonts w:ascii="Times New Roman" w:hAnsi="Times New Roman" w:cs="Times New Roman"/>
                <w:sz w:val="16"/>
                <w:szCs w:val="16"/>
              </w:rPr>
            </w:pPr>
          </w:p>
        </w:tc>
      </w:tr>
      <w:tr w:rsidR="00B233DE" w:rsidRPr="004E1410" w:rsidTr="0023489B">
        <w:trPr>
          <w:jc w:val="center"/>
        </w:trPr>
        <w:tc>
          <w:tcPr>
            <w:tcW w:w="992" w:type="dxa"/>
            <w:vAlign w:val="center"/>
          </w:tcPr>
          <w:p w:rsidR="00B233DE" w:rsidRPr="004E1410" w:rsidRDefault="00B233DE" w:rsidP="0023489B">
            <w:pPr>
              <w:ind w:firstLine="0"/>
              <w:jc w:val="center"/>
              <w:rPr>
                <w:rFonts w:ascii="Times New Roman" w:hAnsi="Times New Roman" w:cs="Times New Roman"/>
                <w:sz w:val="16"/>
                <w:szCs w:val="16"/>
              </w:rPr>
            </w:pPr>
            <w:r w:rsidRPr="004E1410">
              <w:rPr>
                <w:rFonts w:ascii="Times New Roman" w:hAnsi="Times New Roman" w:cs="Times New Roman"/>
                <w:sz w:val="16"/>
                <w:szCs w:val="16"/>
              </w:rPr>
              <w:t>Португалія</w:t>
            </w:r>
          </w:p>
        </w:tc>
        <w:tc>
          <w:tcPr>
            <w:tcW w:w="3359" w:type="dxa"/>
          </w:tcPr>
          <w:p w:rsidR="00B233DE" w:rsidRPr="001B7FFD" w:rsidRDefault="00B233DE" w:rsidP="0023489B">
            <w:pPr>
              <w:spacing w:line="228" w:lineRule="auto"/>
              <w:ind w:firstLine="0"/>
              <w:jc w:val="both"/>
              <w:rPr>
                <w:rFonts w:ascii="Times New Roman" w:hAnsi="Times New Roman" w:cs="Times New Roman"/>
                <w:sz w:val="16"/>
                <w:szCs w:val="16"/>
                <w:lang w:val="en-US"/>
              </w:rPr>
            </w:pPr>
            <w:r w:rsidRPr="001B7FFD">
              <w:rPr>
                <w:rFonts w:ascii="Times New Roman" w:hAnsi="Times New Roman" w:cs="Times New Roman"/>
                <w:sz w:val="16"/>
                <w:szCs w:val="16"/>
              </w:rPr>
              <w:t xml:space="preserve">Введення робочої візи для науковців з мож-ливістю видачі візи членам їх сімей з правом займатися трудовою діяльністю </w:t>
            </w:r>
            <w:r w:rsidRPr="001B7FFD">
              <w:rPr>
                <w:rFonts w:ascii="Times New Roman" w:hAnsi="Times New Roman" w:cs="Times New Roman"/>
                <w:sz w:val="16"/>
                <w:szCs w:val="16"/>
                <w:lang w:val="en-US"/>
              </w:rPr>
              <w:t>[</w:t>
            </w:r>
            <w:r>
              <w:rPr>
                <w:rFonts w:ascii="Times New Roman" w:hAnsi="Times New Roman" w:cs="Times New Roman"/>
                <w:sz w:val="16"/>
                <w:szCs w:val="16"/>
                <w:highlight w:val="yellow"/>
                <w:lang w:val="en-US"/>
              </w:rPr>
              <w:fldChar w:fldCharType="begin"/>
            </w:r>
            <w:r>
              <w:rPr>
                <w:rFonts w:ascii="Times New Roman" w:hAnsi="Times New Roman" w:cs="Times New Roman"/>
                <w:sz w:val="16"/>
                <w:szCs w:val="16"/>
                <w:lang w:val="en-US"/>
              </w:rPr>
              <w:instrText xml:space="preserve"> REF _Ref435186361 \r \h </w:instrText>
            </w:r>
            <w:r>
              <w:rPr>
                <w:rFonts w:ascii="Times New Roman" w:hAnsi="Times New Roman" w:cs="Times New Roman"/>
                <w:sz w:val="16"/>
                <w:szCs w:val="16"/>
                <w:highlight w:val="yellow"/>
                <w:lang w:val="en-US"/>
              </w:rPr>
            </w:r>
            <w:r>
              <w:rPr>
                <w:rFonts w:ascii="Times New Roman" w:hAnsi="Times New Roman" w:cs="Times New Roman"/>
                <w:sz w:val="16"/>
                <w:szCs w:val="16"/>
                <w:highlight w:val="yellow"/>
                <w:lang w:val="en-US"/>
              </w:rPr>
              <w:fldChar w:fldCharType="separate"/>
            </w:r>
            <w:r>
              <w:rPr>
                <w:rFonts w:ascii="Times New Roman" w:hAnsi="Times New Roman" w:cs="Times New Roman"/>
                <w:sz w:val="16"/>
                <w:szCs w:val="16"/>
                <w:lang w:val="en-US"/>
              </w:rPr>
              <w:t>99</w:t>
            </w:r>
            <w:r>
              <w:rPr>
                <w:rFonts w:ascii="Times New Roman" w:hAnsi="Times New Roman" w:cs="Times New Roman"/>
                <w:sz w:val="16"/>
                <w:szCs w:val="16"/>
                <w:highlight w:val="yellow"/>
                <w:lang w:val="en-US"/>
              </w:rPr>
              <w:fldChar w:fldCharType="end"/>
            </w:r>
            <w:r w:rsidRPr="001B7FFD">
              <w:rPr>
                <w:rFonts w:ascii="Times New Roman" w:hAnsi="Times New Roman" w:cs="Times New Roman"/>
                <w:sz w:val="16"/>
                <w:szCs w:val="16"/>
                <w:lang w:val="en-US"/>
              </w:rPr>
              <w:t>]</w:t>
            </w:r>
          </w:p>
        </w:tc>
        <w:tc>
          <w:tcPr>
            <w:tcW w:w="1969" w:type="dxa"/>
            <w:vMerge/>
          </w:tcPr>
          <w:p w:rsidR="00B233DE" w:rsidRPr="004E1410" w:rsidRDefault="00B233DE" w:rsidP="0023489B">
            <w:pPr>
              <w:ind w:firstLine="0"/>
              <w:jc w:val="both"/>
              <w:rPr>
                <w:rFonts w:ascii="Times New Roman" w:hAnsi="Times New Roman" w:cs="Times New Roman"/>
                <w:sz w:val="16"/>
                <w:szCs w:val="16"/>
              </w:rPr>
            </w:pPr>
          </w:p>
        </w:tc>
      </w:tr>
      <w:tr w:rsidR="00B233DE" w:rsidRPr="004E1410" w:rsidTr="0023489B">
        <w:trPr>
          <w:trHeight w:val="556"/>
          <w:jc w:val="center"/>
        </w:trPr>
        <w:tc>
          <w:tcPr>
            <w:tcW w:w="992" w:type="dxa"/>
          </w:tcPr>
          <w:p w:rsidR="00B233DE" w:rsidRPr="0047571B" w:rsidRDefault="00B233DE" w:rsidP="0023489B">
            <w:pPr>
              <w:ind w:firstLine="0"/>
              <w:jc w:val="both"/>
              <w:rPr>
                <w:rFonts w:ascii="Times New Roman" w:hAnsi="Times New Roman" w:cs="Times New Roman"/>
                <w:sz w:val="16"/>
                <w:szCs w:val="16"/>
              </w:rPr>
            </w:pPr>
            <w:r w:rsidRPr="0047571B">
              <w:rPr>
                <w:rFonts w:ascii="Times New Roman" w:hAnsi="Times New Roman" w:cs="Times New Roman"/>
                <w:sz w:val="16"/>
                <w:szCs w:val="16"/>
              </w:rPr>
              <w:t>Англія</w:t>
            </w:r>
          </w:p>
        </w:tc>
        <w:tc>
          <w:tcPr>
            <w:tcW w:w="3359" w:type="dxa"/>
          </w:tcPr>
          <w:p w:rsidR="00B233DE" w:rsidRPr="004E1410" w:rsidRDefault="00B233DE" w:rsidP="0023489B">
            <w:pPr>
              <w:tabs>
                <w:tab w:val="left" w:pos="900"/>
              </w:tabs>
              <w:spacing w:line="228" w:lineRule="auto"/>
              <w:ind w:firstLine="0"/>
              <w:jc w:val="both"/>
              <w:rPr>
                <w:rFonts w:ascii="Times New Roman" w:hAnsi="Times New Roman" w:cs="Times New Roman"/>
                <w:sz w:val="16"/>
                <w:szCs w:val="16"/>
              </w:rPr>
            </w:pPr>
            <w:r>
              <w:rPr>
                <w:rFonts w:ascii="Times New Roman" w:hAnsi="Times New Roman" w:cs="Times New Roman"/>
                <w:sz w:val="16"/>
                <w:szCs w:val="16"/>
              </w:rPr>
              <w:t>Введення</w:t>
            </w:r>
            <w:r w:rsidRPr="004E1410">
              <w:rPr>
                <w:rFonts w:ascii="Times New Roman" w:hAnsi="Times New Roman" w:cs="Times New Roman"/>
                <w:sz w:val="16"/>
                <w:szCs w:val="16"/>
              </w:rPr>
              <w:t xml:space="preserve"> п’ятирівневої системи відбору іноземців, які мають бажання в’їхати в країну з метою працевлаштування, навчання та про</w:t>
            </w:r>
            <w:r>
              <w:rPr>
                <w:rFonts w:ascii="Times New Roman" w:hAnsi="Times New Roman" w:cs="Times New Roman"/>
                <w:sz w:val="16"/>
                <w:szCs w:val="16"/>
              </w:rPr>
              <w:t>-</w:t>
            </w:r>
            <w:r w:rsidRPr="004E1410">
              <w:rPr>
                <w:rFonts w:ascii="Times New Roman" w:hAnsi="Times New Roman" w:cs="Times New Roman"/>
                <w:sz w:val="16"/>
                <w:szCs w:val="16"/>
              </w:rPr>
              <w:t>живання. П’ятирівнева система передбачає нарахування балів. Приблизно 50 балів отри</w:t>
            </w:r>
            <w:r>
              <w:rPr>
                <w:rFonts w:ascii="Times New Roman" w:hAnsi="Times New Roman" w:cs="Times New Roman"/>
                <w:sz w:val="16"/>
                <w:szCs w:val="16"/>
              </w:rPr>
              <w:t>-</w:t>
            </w:r>
            <w:r w:rsidRPr="004E1410">
              <w:rPr>
                <w:rFonts w:ascii="Times New Roman" w:hAnsi="Times New Roman" w:cs="Times New Roman"/>
                <w:sz w:val="16"/>
                <w:szCs w:val="16"/>
              </w:rPr>
              <w:t>мують іноземці у віці до 27 років, які мають ступінь кандидата наук (доктора філософії). 45 балів нараховується за річний дохід від 40 тис. фунтів стерлінгів. Сума балів понад 75 забезпечує кандидату зарахування до пер</w:t>
            </w:r>
            <w:r>
              <w:rPr>
                <w:rFonts w:ascii="Times New Roman" w:hAnsi="Times New Roman" w:cs="Times New Roman"/>
                <w:sz w:val="16"/>
                <w:szCs w:val="16"/>
              </w:rPr>
              <w:t>-</w:t>
            </w:r>
            <w:r w:rsidRPr="004E1410">
              <w:rPr>
                <w:rFonts w:ascii="Times New Roman" w:hAnsi="Times New Roman" w:cs="Times New Roman"/>
                <w:sz w:val="16"/>
                <w:szCs w:val="16"/>
              </w:rPr>
              <w:t>шого рівня. Щоб потрапити на другий рівень, потрібно набрати щонайменше 60 балів. Моло</w:t>
            </w:r>
            <w:r>
              <w:rPr>
                <w:rFonts w:ascii="Times New Roman" w:hAnsi="Times New Roman" w:cs="Times New Roman"/>
                <w:sz w:val="16"/>
                <w:szCs w:val="16"/>
              </w:rPr>
              <w:t>-</w:t>
            </w:r>
            <w:r w:rsidRPr="004E1410">
              <w:rPr>
                <w:rFonts w:ascii="Times New Roman" w:hAnsi="Times New Roman" w:cs="Times New Roman"/>
                <w:sz w:val="16"/>
                <w:szCs w:val="16"/>
              </w:rPr>
              <w:t>ді іноземці у віці 18–30 років, які належать до рівня п’ять, можуть залишатися в країні до 24 місяців [</w:t>
            </w:r>
            <w:r>
              <w:rPr>
                <w:rFonts w:ascii="Times New Roman" w:hAnsi="Times New Roman" w:cs="Times New Roman"/>
                <w:sz w:val="16"/>
                <w:szCs w:val="16"/>
                <w:highlight w:val="yellow"/>
                <w:lang w:val="en-US"/>
              </w:rPr>
              <w:fldChar w:fldCharType="begin"/>
            </w:r>
            <w:r>
              <w:rPr>
                <w:rFonts w:ascii="Times New Roman" w:hAnsi="Times New Roman" w:cs="Times New Roman"/>
                <w:sz w:val="16"/>
                <w:szCs w:val="16"/>
              </w:rPr>
              <w:instrText xml:space="preserve"> REF _Ref435186361 \r \h </w:instrText>
            </w:r>
            <w:r>
              <w:rPr>
                <w:rFonts w:ascii="Times New Roman" w:hAnsi="Times New Roman" w:cs="Times New Roman"/>
                <w:sz w:val="16"/>
                <w:szCs w:val="16"/>
                <w:highlight w:val="yellow"/>
                <w:lang w:val="en-US"/>
              </w:rPr>
            </w:r>
            <w:r>
              <w:rPr>
                <w:rFonts w:ascii="Times New Roman" w:hAnsi="Times New Roman" w:cs="Times New Roman"/>
                <w:sz w:val="16"/>
                <w:szCs w:val="16"/>
                <w:highlight w:val="yellow"/>
                <w:lang w:val="en-US"/>
              </w:rPr>
              <w:fldChar w:fldCharType="separate"/>
            </w:r>
            <w:r>
              <w:rPr>
                <w:rFonts w:ascii="Times New Roman" w:hAnsi="Times New Roman" w:cs="Times New Roman"/>
                <w:sz w:val="16"/>
                <w:szCs w:val="16"/>
              </w:rPr>
              <w:t>99</w:t>
            </w:r>
            <w:r>
              <w:rPr>
                <w:rFonts w:ascii="Times New Roman" w:hAnsi="Times New Roman" w:cs="Times New Roman"/>
                <w:sz w:val="16"/>
                <w:szCs w:val="16"/>
                <w:highlight w:val="yellow"/>
                <w:lang w:val="en-US"/>
              </w:rPr>
              <w:fldChar w:fldCharType="end"/>
            </w:r>
            <w:r w:rsidRPr="004E1410">
              <w:rPr>
                <w:rFonts w:ascii="Times New Roman" w:hAnsi="Times New Roman" w:cs="Times New Roman"/>
                <w:sz w:val="16"/>
                <w:szCs w:val="16"/>
              </w:rPr>
              <w:t>].</w:t>
            </w:r>
          </w:p>
        </w:tc>
        <w:tc>
          <w:tcPr>
            <w:tcW w:w="1969" w:type="dxa"/>
            <w:vMerge/>
          </w:tcPr>
          <w:p w:rsidR="00B233DE" w:rsidRPr="004E1410" w:rsidRDefault="00B233DE" w:rsidP="0023489B">
            <w:pPr>
              <w:ind w:firstLine="0"/>
              <w:jc w:val="both"/>
              <w:rPr>
                <w:rFonts w:ascii="Times New Roman" w:hAnsi="Times New Roman" w:cs="Times New Roman"/>
                <w:sz w:val="16"/>
                <w:szCs w:val="16"/>
              </w:rPr>
            </w:pPr>
          </w:p>
        </w:tc>
      </w:tr>
      <w:tr w:rsidR="00B233DE" w:rsidRPr="004E1410" w:rsidTr="0023489B">
        <w:trPr>
          <w:jc w:val="center"/>
        </w:trPr>
        <w:tc>
          <w:tcPr>
            <w:tcW w:w="992" w:type="dxa"/>
          </w:tcPr>
          <w:p w:rsidR="00B233DE" w:rsidRPr="004E1410" w:rsidRDefault="00B233DE" w:rsidP="0023489B">
            <w:pPr>
              <w:ind w:firstLine="0"/>
              <w:jc w:val="both"/>
              <w:rPr>
                <w:rFonts w:ascii="Times New Roman" w:hAnsi="Times New Roman" w:cs="Times New Roman"/>
                <w:sz w:val="16"/>
                <w:szCs w:val="16"/>
              </w:rPr>
            </w:pPr>
            <w:r w:rsidRPr="004E1410">
              <w:rPr>
                <w:rFonts w:ascii="Times New Roman" w:hAnsi="Times New Roman" w:cs="Times New Roman"/>
                <w:sz w:val="16"/>
                <w:szCs w:val="16"/>
              </w:rPr>
              <w:t>Канада</w:t>
            </w:r>
          </w:p>
        </w:tc>
        <w:tc>
          <w:tcPr>
            <w:tcW w:w="3359" w:type="dxa"/>
          </w:tcPr>
          <w:p w:rsidR="00B233DE" w:rsidRPr="004E1410" w:rsidRDefault="00B233DE" w:rsidP="0023489B">
            <w:pPr>
              <w:tabs>
                <w:tab w:val="left" w:pos="900"/>
              </w:tabs>
              <w:spacing w:line="230" w:lineRule="auto"/>
              <w:ind w:firstLine="0"/>
              <w:jc w:val="both"/>
              <w:rPr>
                <w:rFonts w:ascii="Times New Roman" w:hAnsi="Times New Roman" w:cs="Times New Roman"/>
                <w:sz w:val="16"/>
                <w:szCs w:val="16"/>
              </w:rPr>
            </w:pPr>
            <w:r w:rsidRPr="004E1410">
              <w:rPr>
                <w:rFonts w:ascii="Times New Roman" w:hAnsi="Times New Roman" w:cs="Times New Roman"/>
                <w:sz w:val="16"/>
                <w:szCs w:val="16"/>
              </w:rPr>
              <w:t>1. Запровадження бальної системи залучення іммігрантів, яка враховує рівень освіти і здо</w:t>
            </w:r>
            <w:r>
              <w:rPr>
                <w:rFonts w:ascii="Times New Roman" w:hAnsi="Times New Roman" w:cs="Times New Roman"/>
                <w:sz w:val="16"/>
                <w:szCs w:val="16"/>
              </w:rPr>
              <w:t>-</w:t>
            </w:r>
            <w:r w:rsidRPr="004E1410">
              <w:rPr>
                <w:rFonts w:ascii="Times New Roman" w:hAnsi="Times New Roman" w:cs="Times New Roman"/>
                <w:spacing w:val="-6"/>
                <w:sz w:val="16"/>
                <w:szCs w:val="16"/>
              </w:rPr>
              <w:t>буту кваліфікацію, досвід роботи, вік, знання мов</w:t>
            </w:r>
            <w:r w:rsidRPr="004E1410">
              <w:rPr>
                <w:rFonts w:ascii="Times New Roman" w:hAnsi="Times New Roman" w:cs="Times New Roman"/>
                <w:sz w:val="16"/>
                <w:szCs w:val="16"/>
              </w:rPr>
              <w:t xml:space="preserve"> </w:t>
            </w:r>
          </w:p>
          <w:p w:rsidR="00B233DE" w:rsidRPr="004E1410" w:rsidRDefault="00B233DE" w:rsidP="0023489B">
            <w:pPr>
              <w:tabs>
                <w:tab w:val="left" w:pos="900"/>
              </w:tabs>
              <w:spacing w:line="230" w:lineRule="auto"/>
              <w:ind w:firstLine="0"/>
              <w:jc w:val="both"/>
              <w:rPr>
                <w:rFonts w:ascii="Times New Roman" w:hAnsi="Times New Roman" w:cs="Times New Roman"/>
                <w:sz w:val="16"/>
                <w:szCs w:val="16"/>
              </w:rPr>
            </w:pPr>
            <w:r w:rsidRPr="004E1410">
              <w:rPr>
                <w:rFonts w:ascii="Times New Roman" w:hAnsi="Times New Roman" w:cs="Times New Roman"/>
                <w:sz w:val="16"/>
                <w:szCs w:val="16"/>
              </w:rPr>
              <w:t>2. Використання переліку бажаних квалі</w:t>
            </w:r>
            <w:r>
              <w:rPr>
                <w:rFonts w:ascii="Times New Roman" w:hAnsi="Times New Roman" w:cs="Times New Roman"/>
                <w:sz w:val="16"/>
                <w:szCs w:val="16"/>
              </w:rPr>
              <w:t>-</w:t>
            </w:r>
            <w:r w:rsidRPr="004E1410">
              <w:rPr>
                <w:rFonts w:ascii="Times New Roman" w:hAnsi="Times New Roman" w:cs="Times New Roman"/>
                <w:sz w:val="16"/>
                <w:szCs w:val="16"/>
              </w:rPr>
              <w:t>фікацій при залученні іммігрантів, що забезпечує оптимальний вклад мігранта в економіку і спрощення системи знаходження підходящої роботи</w:t>
            </w:r>
          </w:p>
          <w:p w:rsidR="00B233DE" w:rsidRPr="004E1410" w:rsidRDefault="00B233DE" w:rsidP="0023489B">
            <w:pPr>
              <w:spacing w:line="230" w:lineRule="auto"/>
              <w:ind w:firstLine="0"/>
              <w:jc w:val="both"/>
              <w:rPr>
                <w:rFonts w:ascii="Times New Roman" w:hAnsi="Times New Roman" w:cs="Times New Roman"/>
                <w:sz w:val="16"/>
                <w:szCs w:val="16"/>
              </w:rPr>
            </w:pPr>
            <w:r w:rsidRPr="004E1410">
              <w:rPr>
                <w:rFonts w:ascii="Times New Roman" w:hAnsi="Times New Roman" w:cs="Times New Roman"/>
                <w:sz w:val="16"/>
                <w:szCs w:val="16"/>
              </w:rPr>
              <w:t>3. Надання трьохрічного дозволу на роботу іноземним студентам, що мають термін навчання в Канаді не менше двох років</w:t>
            </w:r>
          </w:p>
        </w:tc>
        <w:tc>
          <w:tcPr>
            <w:tcW w:w="1969" w:type="dxa"/>
          </w:tcPr>
          <w:p w:rsidR="00B233DE" w:rsidRPr="004E1410" w:rsidRDefault="00B233DE" w:rsidP="0023489B">
            <w:pPr>
              <w:ind w:firstLine="0"/>
              <w:jc w:val="both"/>
              <w:rPr>
                <w:rFonts w:ascii="Times New Roman" w:hAnsi="Times New Roman" w:cs="Times New Roman"/>
                <w:sz w:val="16"/>
                <w:szCs w:val="16"/>
              </w:rPr>
            </w:pPr>
            <w:r w:rsidRPr="004E1410">
              <w:rPr>
                <w:rFonts w:ascii="Times New Roman" w:hAnsi="Times New Roman" w:cs="Times New Roman"/>
                <w:sz w:val="16"/>
                <w:szCs w:val="16"/>
              </w:rPr>
              <w:t>1. Впровадження подат</w:t>
            </w:r>
            <w:r>
              <w:rPr>
                <w:rFonts w:ascii="Times New Roman" w:hAnsi="Times New Roman" w:cs="Times New Roman"/>
                <w:sz w:val="16"/>
                <w:szCs w:val="16"/>
              </w:rPr>
              <w:t>-</w:t>
            </w:r>
            <w:r w:rsidRPr="004E1410">
              <w:rPr>
                <w:rFonts w:ascii="Times New Roman" w:hAnsi="Times New Roman" w:cs="Times New Roman"/>
                <w:sz w:val="16"/>
                <w:szCs w:val="16"/>
              </w:rPr>
              <w:t>кових пільг для високо</w:t>
            </w:r>
            <w:r>
              <w:rPr>
                <w:rFonts w:ascii="Times New Roman" w:hAnsi="Times New Roman" w:cs="Times New Roman"/>
                <w:sz w:val="16"/>
                <w:szCs w:val="16"/>
              </w:rPr>
              <w:t>-</w:t>
            </w:r>
            <w:r w:rsidRPr="004E1410">
              <w:rPr>
                <w:rFonts w:ascii="Times New Roman" w:hAnsi="Times New Roman" w:cs="Times New Roman"/>
                <w:sz w:val="16"/>
                <w:szCs w:val="16"/>
              </w:rPr>
              <w:t>кваліфікованих мігрантів</w:t>
            </w:r>
          </w:p>
        </w:tc>
      </w:tr>
    </w:tbl>
    <w:p w:rsidR="00B233DE" w:rsidRPr="0098012B" w:rsidRDefault="00B233DE" w:rsidP="00B233DE">
      <w:pPr>
        <w:tabs>
          <w:tab w:val="left" w:pos="900"/>
        </w:tabs>
        <w:ind w:firstLine="709"/>
        <w:jc w:val="both"/>
        <w:rPr>
          <w:rFonts w:ascii="Times New Roman" w:hAnsi="Times New Roman" w:cs="Times New Roman"/>
          <w:sz w:val="21"/>
          <w:szCs w:val="21"/>
        </w:rPr>
      </w:pPr>
      <w:r w:rsidRPr="0098012B">
        <w:rPr>
          <w:rFonts w:ascii="Times New Roman" w:hAnsi="Times New Roman" w:cs="Times New Roman"/>
          <w:sz w:val="21"/>
          <w:szCs w:val="21"/>
        </w:rPr>
        <w:lastRenderedPageBreak/>
        <w:t xml:space="preserve">Одним із джерел формування висококваліфікованого людського потенціалу є залучення іноземних студентів за спеціальними освітніми програмами і їх подальше працевлаштування за пріоритетними спеціальностями для ринків праці країн призначення. У Великобританії, до прикладу, запроваджена програма </w:t>
      </w:r>
      <w:r w:rsidRPr="0098012B">
        <w:rPr>
          <w:rFonts w:ascii="Times New Roman" w:hAnsi="Times New Roman" w:cs="Times New Roman"/>
          <w:sz w:val="21"/>
          <w:szCs w:val="21"/>
          <w:lang w:val="en-US"/>
        </w:rPr>
        <w:t>International</w:t>
      </w:r>
      <w:r w:rsidRPr="0098012B">
        <w:rPr>
          <w:rFonts w:ascii="Times New Roman" w:hAnsi="Times New Roman" w:cs="Times New Roman"/>
          <w:sz w:val="21"/>
          <w:szCs w:val="21"/>
        </w:rPr>
        <w:t xml:space="preserve"> </w:t>
      </w:r>
      <w:r w:rsidRPr="0098012B">
        <w:rPr>
          <w:rFonts w:ascii="Times New Roman" w:hAnsi="Times New Roman" w:cs="Times New Roman"/>
          <w:sz w:val="21"/>
          <w:szCs w:val="21"/>
          <w:lang w:val="en-US"/>
        </w:rPr>
        <w:t>Graduate</w:t>
      </w:r>
      <w:r w:rsidRPr="0098012B">
        <w:rPr>
          <w:rFonts w:ascii="Times New Roman" w:hAnsi="Times New Roman" w:cs="Times New Roman"/>
          <w:sz w:val="21"/>
          <w:szCs w:val="21"/>
        </w:rPr>
        <w:t xml:space="preserve"> </w:t>
      </w:r>
      <w:r w:rsidRPr="0098012B">
        <w:rPr>
          <w:rFonts w:ascii="Times New Roman" w:hAnsi="Times New Roman" w:cs="Times New Roman"/>
          <w:sz w:val="21"/>
          <w:szCs w:val="21"/>
          <w:lang w:val="en-US"/>
        </w:rPr>
        <w:t>Scheme</w:t>
      </w:r>
      <w:r w:rsidRPr="0098012B">
        <w:rPr>
          <w:rFonts w:ascii="Times New Roman" w:hAnsi="Times New Roman" w:cs="Times New Roman"/>
          <w:sz w:val="21"/>
          <w:szCs w:val="21"/>
        </w:rPr>
        <w:t>, що дозволяє іноземним студентам, які успішно закінчили навчання у затверджених вузах країни, залишатися на строк до одного року для пошуку роботи. У Канаді дозвіл на роботу видається випускникам вузів строком до трьох років, при цьому тільки зайнятість у галузях, що вимагають високої кваліфікації, дає право на отримання постійного статусу [</w:t>
      </w:r>
      <w:r>
        <w:rPr>
          <w:rFonts w:ascii="Times New Roman" w:hAnsi="Times New Roman" w:cs="Times New Roman"/>
          <w:spacing w:val="-6"/>
          <w:sz w:val="21"/>
          <w:szCs w:val="21"/>
          <w:highlight w:val="yellow"/>
        </w:rPr>
        <w:fldChar w:fldCharType="begin"/>
      </w:r>
      <w:r>
        <w:rPr>
          <w:rFonts w:ascii="Times New Roman" w:hAnsi="Times New Roman" w:cs="Times New Roman"/>
          <w:sz w:val="21"/>
          <w:szCs w:val="21"/>
        </w:rPr>
        <w:instrText xml:space="preserve"> REF _Ref435187065 \r \h </w:instrText>
      </w:r>
      <w:r>
        <w:rPr>
          <w:rFonts w:ascii="Times New Roman" w:hAnsi="Times New Roman" w:cs="Times New Roman"/>
          <w:spacing w:val="-6"/>
          <w:sz w:val="21"/>
          <w:szCs w:val="21"/>
          <w:highlight w:val="yellow"/>
        </w:rPr>
      </w:r>
      <w:r>
        <w:rPr>
          <w:rFonts w:ascii="Times New Roman" w:hAnsi="Times New Roman" w:cs="Times New Roman"/>
          <w:spacing w:val="-6"/>
          <w:sz w:val="21"/>
          <w:szCs w:val="21"/>
          <w:highlight w:val="yellow"/>
        </w:rPr>
        <w:fldChar w:fldCharType="separate"/>
      </w:r>
      <w:r>
        <w:rPr>
          <w:rFonts w:ascii="Times New Roman" w:hAnsi="Times New Roman" w:cs="Times New Roman"/>
          <w:sz w:val="21"/>
          <w:szCs w:val="21"/>
        </w:rPr>
        <w:t>6</w:t>
      </w:r>
      <w:r>
        <w:rPr>
          <w:rFonts w:ascii="Times New Roman" w:hAnsi="Times New Roman" w:cs="Times New Roman"/>
          <w:spacing w:val="-6"/>
          <w:sz w:val="21"/>
          <w:szCs w:val="21"/>
          <w:highlight w:val="yellow"/>
        </w:rPr>
        <w:fldChar w:fldCharType="end"/>
      </w:r>
      <w:r w:rsidRPr="0098012B">
        <w:rPr>
          <w:rFonts w:ascii="Times New Roman" w:hAnsi="Times New Roman" w:cs="Times New Roman"/>
          <w:sz w:val="21"/>
          <w:szCs w:val="21"/>
        </w:rPr>
        <w:t>]; також діють регіональні програми працевлаштування іноземних студентів, які пропонують сприятливі умови прийняття на роботу: заниження прохідного балу або продовження терміну дозволу на тимчасове перебування [</w:t>
      </w:r>
      <w:r>
        <w:rPr>
          <w:rFonts w:ascii="Times New Roman" w:hAnsi="Times New Roman" w:cs="Times New Roman"/>
          <w:sz w:val="21"/>
          <w:szCs w:val="21"/>
          <w:highlight w:val="yellow"/>
          <w:lang w:val="en-GB"/>
        </w:rPr>
        <w:fldChar w:fldCharType="begin"/>
      </w:r>
      <w:r>
        <w:rPr>
          <w:rFonts w:ascii="Times New Roman" w:hAnsi="Times New Roman" w:cs="Times New Roman"/>
          <w:sz w:val="21"/>
          <w:szCs w:val="21"/>
        </w:rPr>
        <w:instrText xml:space="preserve"> REF _Ref435182644 \r \h </w:instrText>
      </w:r>
      <w:r>
        <w:rPr>
          <w:rFonts w:ascii="Times New Roman" w:hAnsi="Times New Roman" w:cs="Times New Roman"/>
          <w:sz w:val="21"/>
          <w:szCs w:val="21"/>
          <w:highlight w:val="yellow"/>
          <w:lang w:val="en-GB"/>
        </w:rPr>
      </w:r>
      <w:r>
        <w:rPr>
          <w:rFonts w:ascii="Times New Roman" w:hAnsi="Times New Roman" w:cs="Times New Roman"/>
          <w:sz w:val="21"/>
          <w:szCs w:val="21"/>
          <w:highlight w:val="yellow"/>
          <w:lang w:val="en-GB"/>
        </w:rPr>
        <w:fldChar w:fldCharType="separate"/>
      </w:r>
      <w:r>
        <w:rPr>
          <w:rFonts w:ascii="Times New Roman" w:hAnsi="Times New Roman" w:cs="Times New Roman"/>
          <w:sz w:val="21"/>
          <w:szCs w:val="21"/>
        </w:rPr>
        <w:t>110</w:t>
      </w:r>
      <w:r>
        <w:rPr>
          <w:rFonts w:ascii="Times New Roman" w:hAnsi="Times New Roman" w:cs="Times New Roman"/>
          <w:sz w:val="21"/>
          <w:szCs w:val="21"/>
          <w:highlight w:val="yellow"/>
          <w:lang w:val="en-GB"/>
        </w:rPr>
        <w:fldChar w:fldCharType="end"/>
      </w:r>
      <w:r w:rsidRPr="0098012B">
        <w:rPr>
          <w:rFonts w:ascii="Times New Roman" w:hAnsi="Times New Roman" w:cs="Times New Roman"/>
          <w:sz w:val="21"/>
          <w:szCs w:val="21"/>
        </w:rPr>
        <w:t>, с. 51]. Сінгапурські підприємства стимулюються податковими пільгами у разі, якщо відсилають працівників на навчання в провідні вузи за кордоном з подальшим поверненням і працевлаштуванням на визначений термін [</w:t>
      </w:r>
      <w:r>
        <w:rPr>
          <w:rStyle w:val="heading"/>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_Ref435182634 \r \h </w:instrText>
      </w:r>
      <w:r>
        <w:rPr>
          <w:rStyle w:val="heading"/>
          <w:rFonts w:ascii="Times New Roman" w:hAnsi="Times New Roman" w:cs="Times New Roman"/>
          <w:sz w:val="21"/>
          <w:szCs w:val="21"/>
          <w:highlight w:val="yellow"/>
          <w:lang w:val="en-US"/>
        </w:rPr>
      </w:r>
      <w:r>
        <w:rPr>
          <w:rStyle w:val="heading"/>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101</w:t>
      </w:r>
      <w:r>
        <w:rPr>
          <w:rStyle w:val="heading"/>
          <w:rFonts w:ascii="Times New Roman" w:hAnsi="Times New Roman" w:cs="Times New Roman"/>
          <w:sz w:val="21"/>
          <w:szCs w:val="21"/>
          <w:highlight w:val="yellow"/>
          <w:lang w:val="en-US"/>
        </w:rPr>
        <w:fldChar w:fldCharType="end"/>
      </w:r>
      <w:r w:rsidRPr="0098012B">
        <w:rPr>
          <w:rFonts w:ascii="Times New Roman" w:hAnsi="Times New Roman" w:cs="Times New Roman"/>
          <w:sz w:val="21"/>
          <w:szCs w:val="21"/>
        </w:rPr>
        <w:t>, с. 30]. Франція, Німеччина і Нова Зеландія дозволяють іноземним випускникам вузів залишатись в країні для пошуку роботи на термін до одного року.</w:t>
      </w:r>
    </w:p>
    <w:p w:rsidR="00B233DE" w:rsidRPr="0098012B" w:rsidRDefault="00B233DE" w:rsidP="00B233DE">
      <w:pPr>
        <w:tabs>
          <w:tab w:val="left" w:pos="900"/>
        </w:tabs>
        <w:ind w:firstLine="709"/>
        <w:jc w:val="both"/>
        <w:rPr>
          <w:rFonts w:ascii="Times New Roman" w:hAnsi="Times New Roman" w:cs="Times New Roman"/>
          <w:spacing w:val="-2"/>
          <w:sz w:val="21"/>
          <w:szCs w:val="21"/>
        </w:rPr>
      </w:pPr>
      <w:r w:rsidRPr="0098012B">
        <w:rPr>
          <w:rFonts w:ascii="Times New Roman" w:hAnsi="Times New Roman" w:cs="Times New Roman"/>
          <w:sz w:val="21"/>
          <w:szCs w:val="21"/>
        </w:rPr>
        <w:t xml:space="preserve">2. </w:t>
      </w:r>
      <w:r w:rsidRPr="0098012B">
        <w:rPr>
          <w:rFonts w:ascii="Times New Roman" w:hAnsi="Times New Roman" w:cs="Times New Roman"/>
          <w:spacing w:val="-2"/>
          <w:sz w:val="21"/>
          <w:szCs w:val="21"/>
        </w:rPr>
        <w:t>Політика сприяння рееміграції. Сприяння рееміграції країнами призначення передбачає програми професійного навчання іноземців, щоб при поверненні в країну походження вони могли скористатися отриманою кваліфікацією; допомогу мігрантам у створенні підприємств (застосовувалось у Німеччині і Франції) [</w:t>
      </w:r>
      <w:r>
        <w:rPr>
          <w:rFonts w:ascii="Times New Roman" w:hAnsi="Times New Roman" w:cs="Times New Roman"/>
          <w:bCs/>
          <w:sz w:val="21"/>
          <w:szCs w:val="21"/>
          <w:highlight w:val="yellow"/>
        </w:rPr>
        <w:fldChar w:fldCharType="begin"/>
      </w:r>
      <w:r>
        <w:rPr>
          <w:rFonts w:ascii="Times New Roman" w:hAnsi="Times New Roman" w:cs="Times New Roman"/>
          <w:spacing w:val="-2"/>
          <w:sz w:val="21"/>
          <w:szCs w:val="21"/>
        </w:rPr>
        <w:instrText xml:space="preserve"> REF _Ref435182370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pacing w:val="-2"/>
          <w:sz w:val="21"/>
          <w:szCs w:val="21"/>
        </w:rPr>
        <w:t>7</w:t>
      </w:r>
      <w:r>
        <w:rPr>
          <w:rFonts w:ascii="Times New Roman" w:hAnsi="Times New Roman" w:cs="Times New Roman"/>
          <w:bCs/>
          <w:sz w:val="21"/>
          <w:szCs w:val="21"/>
          <w:highlight w:val="yellow"/>
        </w:rPr>
        <w:fldChar w:fldCharType="end"/>
      </w:r>
      <w:r w:rsidRPr="0098012B">
        <w:rPr>
          <w:rFonts w:ascii="Times New Roman" w:hAnsi="Times New Roman" w:cs="Times New Roman"/>
          <w:spacing w:val="-2"/>
          <w:sz w:val="21"/>
          <w:szCs w:val="21"/>
        </w:rPr>
        <w:t>, с. 269]; навчання підприємницької діяльності та бізнес-консультації для реемігрантів у країні походження; формулювання послідовної дослідницької політики (для повернення науковців і професіоналів); посилення зв’язків між державними і приватними дослідницькими організаціями; фінансування науково-дослідної роботи на основі прозорого конкурентного процесу [</w:t>
      </w:r>
      <w:r>
        <w:rPr>
          <w:rFonts w:ascii="Times New Roman" w:hAnsi="Times New Roman" w:cs="Times New Roman"/>
          <w:spacing w:val="-8"/>
          <w:sz w:val="21"/>
          <w:szCs w:val="21"/>
          <w:highlight w:val="yellow"/>
          <w:lang w:val="en-GB"/>
        </w:rPr>
        <w:fldChar w:fldCharType="begin"/>
      </w:r>
      <w:r>
        <w:rPr>
          <w:rFonts w:ascii="Times New Roman" w:hAnsi="Times New Roman" w:cs="Times New Roman"/>
          <w:spacing w:val="-2"/>
          <w:sz w:val="21"/>
          <w:szCs w:val="21"/>
        </w:rPr>
        <w:instrText xml:space="preserve"> REF _Ref435182570 \r \h </w:instrText>
      </w:r>
      <w:r>
        <w:rPr>
          <w:rFonts w:ascii="Times New Roman" w:hAnsi="Times New Roman" w:cs="Times New Roman"/>
          <w:spacing w:val="-8"/>
          <w:sz w:val="21"/>
          <w:szCs w:val="21"/>
          <w:highlight w:val="yellow"/>
          <w:lang w:val="en-GB"/>
        </w:rPr>
      </w:r>
      <w:r>
        <w:rPr>
          <w:rFonts w:ascii="Times New Roman" w:hAnsi="Times New Roman" w:cs="Times New Roman"/>
          <w:spacing w:val="-8"/>
          <w:sz w:val="21"/>
          <w:szCs w:val="21"/>
          <w:highlight w:val="yellow"/>
          <w:lang w:val="en-GB"/>
        </w:rPr>
        <w:fldChar w:fldCharType="separate"/>
      </w:r>
      <w:r>
        <w:rPr>
          <w:rFonts w:ascii="Times New Roman" w:hAnsi="Times New Roman" w:cs="Times New Roman"/>
          <w:spacing w:val="-2"/>
          <w:sz w:val="21"/>
          <w:szCs w:val="21"/>
        </w:rPr>
        <w:t>85</w:t>
      </w:r>
      <w:r>
        <w:rPr>
          <w:rFonts w:ascii="Times New Roman" w:hAnsi="Times New Roman" w:cs="Times New Roman"/>
          <w:spacing w:val="-8"/>
          <w:sz w:val="21"/>
          <w:szCs w:val="21"/>
          <w:highlight w:val="yellow"/>
          <w:lang w:val="en-GB"/>
        </w:rPr>
        <w:fldChar w:fldCharType="end"/>
      </w:r>
      <w:r w:rsidRPr="0098012B">
        <w:rPr>
          <w:rFonts w:ascii="Times New Roman" w:hAnsi="Times New Roman" w:cs="Times New Roman"/>
          <w:spacing w:val="-2"/>
          <w:sz w:val="21"/>
          <w:szCs w:val="21"/>
        </w:rPr>
        <w:t>]. Також деякі країни призначення відшкодовують реемігрантам податок на заробітну плату при поверненні у країну походження з метою фінансування проектів, що створюють робочі місця.</w:t>
      </w:r>
    </w:p>
    <w:p w:rsidR="00B233DE" w:rsidRPr="0098012B" w:rsidRDefault="00B233DE" w:rsidP="00B233DE">
      <w:pPr>
        <w:tabs>
          <w:tab w:val="left" w:pos="900"/>
        </w:tabs>
        <w:ind w:firstLine="709"/>
        <w:jc w:val="both"/>
        <w:rPr>
          <w:rFonts w:ascii="Times New Roman" w:hAnsi="Times New Roman" w:cs="Times New Roman"/>
          <w:spacing w:val="-2"/>
          <w:sz w:val="21"/>
          <w:szCs w:val="21"/>
        </w:rPr>
      </w:pPr>
      <w:r w:rsidRPr="0098012B">
        <w:rPr>
          <w:rFonts w:ascii="Times New Roman" w:hAnsi="Times New Roman" w:cs="Times New Roman"/>
          <w:spacing w:val="-2"/>
          <w:sz w:val="21"/>
          <w:szCs w:val="21"/>
        </w:rPr>
        <w:t xml:space="preserve">У ЄС заходи заохочення тимчасової та зворотної міграції студентів, дослідників і молодих спеціалістів включають технічне навчання і вивчення мови, програми сприяння економічній і </w:t>
      </w:r>
      <w:r w:rsidRPr="0098012B">
        <w:rPr>
          <w:rFonts w:ascii="Times New Roman" w:hAnsi="Times New Roman" w:cs="Times New Roman"/>
          <w:spacing w:val="-2"/>
          <w:sz w:val="21"/>
          <w:szCs w:val="21"/>
        </w:rPr>
        <w:lastRenderedPageBreak/>
        <w:t>соціальній реінтеграції мігрантів по їх поверненню, забезпечення трансферу заощаджень мігрантів у країну походження [</w:t>
      </w:r>
      <w:r>
        <w:rPr>
          <w:rStyle w:val="HTML1"/>
          <w:rFonts w:ascii="Times New Roman" w:hAnsi="Times New Roman" w:cs="Times New Roman"/>
          <w:i w:val="0"/>
          <w:sz w:val="21"/>
          <w:szCs w:val="21"/>
          <w:highlight w:val="yellow"/>
          <w:lang w:val="en-US"/>
        </w:rPr>
        <w:fldChar w:fldCharType="begin"/>
      </w:r>
      <w:r>
        <w:rPr>
          <w:rFonts w:ascii="Times New Roman" w:hAnsi="Times New Roman" w:cs="Times New Roman"/>
          <w:spacing w:val="-2"/>
          <w:sz w:val="21"/>
          <w:szCs w:val="21"/>
        </w:rPr>
        <w:instrText xml:space="preserve"> REF _Ref435187128 \r \h </w:instrText>
      </w:r>
      <w:r>
        <w:rPr>
          <w:rStyle w:val="HTML1"/>
          <w:rFonts w:ascii="Times New Roman" w:hAnsi="Times New Roman" w:cs="Times New Roman"/>
          <w:i w:val="0"/>
          <w:sz w:val="21"/>
          <w:szCs w:val="21"/>
          <w:highlight w:val="yellow"/>
          <w:lang w:val="en-US"/>
        </w:rPr>
      </w:r>
      <w:r>
        <w:rPr>
          <w:rStyle w:val="HTML1"/>
          <w:rFonts w:ascii="Times New Roman" w:hAnsi="Times New Roman" w:cs="Times New Roman"/>
          <w:i w:val="0"/>
          <w:sz w:val="21"/>
          <w:szCs w:val="21"/>
          <w:highlight w:val="yellow"/>
          <w:lang w:val="en-US"/>
        </w:rPr>
        <w:fldChar w:fldCharType="separate"/>
      </w:r>
      <w:r>
        <w:rPr>
          <w:rFonts w:ascii="Times New Roman" w:hAnsi="Times New Roman" w:cs="Times New Roman"/>
          <w:spacing w:val="-2"/>
          <w:sz w:val="21"/>
          <w:szCs w:val="21"/>
        </w:rPr>
        <w:t>70</w:t>
      </w:r>
      <w:r>
        <w:rPr>
          <w:rStyle w:val="HTML1"/>
          <w:rFonts w:ascii="Times New Roman" w:hAnsi="Times New Roman" w:cs="Times New Roman"/>
          <w:i w:val="0"/>
          <w:sz w:val="21"/>
          <w:szCs w:val="21"/>
          <w:highlight w:val="yellow"/>
          <w:lang w:val="en-US"/>
        </w:rPr>
        <w:fldChar w:fldCharType="end"/>
      </w:r>
      <w:r w:rsidRPr="0098012B">
        <w:rPr>
          <w:rFonts w:ascii="Times New Roman" w:hAnsi="Times New Roman" w:cs="Times New Roman"/>
          <w:spacing w:val="-2"/>
          <w:sz w:val="21"/>
          <w:szCs w:val="21"/>
        </w:rPr>
        <w:t xml:space="preserve">, </w:t>
      </w:r>
      <w:r w:rsidRPr="0098012B">
        <w:rPr>
          <w:rFonts w:ascii="Times New Roman" w:hAnsi="Times New Roman" w:cs="Times New Roman"/>
          <w:spacing w:val="-2"/>
          <w:sz w:val="21"/>
          <w:szCs w:val="21"/>
          <w:lang w:val="en-US"/>
        </w:rPr>
        <w:t>c</w:t>
      </w:r>
      <w:r w:rsidRPr="0098012B">
        <w:rPr>
          <w:rFonts w:ascii="Times New Roman" w:hAnsi="Times New Roman" w:cs="Times New Roman"/>
          <w:spacing w:val="-2"/>
          <w:sz w:val="21"/>
          <w:szCs w:val="21"/>
        </w:rPr>
        <w:t xml:space="preserve">. 189]. </w:t>
      </w:r>
      <w:r w:rsidRPr="0098012B">
        <w:rPr>
          <w:rFonts w:ascii="Times New Roman" w:hAnsi="Times New Roman" w:cs="Times New Roman"/>
          <w:sz w:val="21"/>
          <w:szCs w:val="21"/>
        </w:rPr>
        <w:t>Великого значення для повернення висококваліфікованих мігрантів набуває наявність центрів інноваційної індустрії і науково-дослідних центрів, які притягують потоки людських знань. У Китаї налічується понад 60 парків-інкубаторів для студентів і вчених, що навчалися і працювали за кордоном.</w:t>
      </w:r>
    </w:p>
    <w:p w:rsidR="00B233DE" w:rsidRPr="0098012B" w:rsidRDefault="00B233DE" w:rsidP="00B233DE">
      <w:pPr>
        <w:tabs>
          <w:tab w:val="left" w:pos="900"/>
        </w:tabs>
        <w:ind w:firstLine="709"/>
        <w:jc w:val="both"/>
        <w:rPr>
          <w:rFonts w:ascii="Times New Roman" w:hAnsi="Times New Roman" w:cs="Times New Roman"/>
          <w:sz w:val="21"/>
          <w:szCs w:val="21"/>
        </w:rPr>
      </w:pPr>
      <w:r w:rsidRPr="0098012B">
        <w:rPr>
          <w:rFonts w:ascii="Times New Roman" w:hAnsi="Times New Roman" w:cs="Times New Roman"/>
          <w:sz w:val="21"/>
          <w:szCs w:val="21"/>
        </w:rPr>
        <w:t>3. Стимулювання тимчасової міграції зменшує ризик втечі мізків з країн походження і надає ряд переваг</w:t>
      </w:r>
      <w:r>
        <w:rPr>
          <w:rFonts w:ascii="Times New Roman" w:hAnsi="Times New Roman" w:cs="Times New Roman"/>
          <w:sz w:val="21"/>
          <w:szCs w:val="21"/>
        </w:rPr>
        <w:t xml:space="preserve"> країнам призначення</w:t>
      </w:r>
      <w:r w:rsidRPr="0098012B">
        <w:rPr>
          <w:rFonts w:ascii="Times New Roman" w:hAnsi="Times New Roman" w:cs="Times New Roman"/>
          <w:sz w:val="21"/>
          <w:szCs w:val="21"/>
        </w:rPr>
        <w:t>. Доцільність застосування даного інструменту підтверджується опитуванням потенційних мігрантів, проведеним Міжнародною організацією міграції у 2011 році. Згідно нього, потенційні мігранти майже вдвічі більше схильні мігрувати тимчасово до країни призначення (26</w:t>
      </w:r>
      <w:r>
        <w:rPr>
          <w:rFonts w:ascii="Times New Roman" w:hAnsi="Times New Roman" w:cs="Times New Roman"/>
          <w:sz w:val="21"/>
          <w:szCs w:val="21"/>
        </w:rPr>
        <w:t xml:space="preserve"> </w:t>
      </w:r>
      <w:r w:rsidRPr="0098012B">
        <w:rPr>
          <w:rFonts w:ascii="Times New Roman" w:hAnsi="Times New Roman" w:cs="Times New Roman"/>
          <w:sz w:val="21"/>
          <w:szCs w:val="21"/>
        </w:rPr>
        <w:t>%) ніж здійснювати переїзд на постійній основі (14</w:t>
      </w:r>
      <w:r>
        <w:rPr>
          <w:rFonts w:ascii="Times New Roman" w:hAnsi="Times New Roman" w:cs="Times New Roman"/>
          <w:sz w:val="21"/>
          <w:szCs w:val="21"/>
        </w:rPr>
        <w:t xml:space="preserve"> </w:t>
      </w:r>
      <w:r w:rsidRPr="0098012B">
        <w:rPr>
          <w:rFonts w:ascii="Times New Roman" w:hAnsi="Times New Roman" w:cs="Times New Roman"/>
          <w:sz w:val="21"/>
          <w:szCs w:val="21"/>
        </w:rPr>
        <w:t>%)</w:t>
      </w:r>
      <w:r>
        <w:rPr>
          <w:rFonts w:ascii="Times New Roman" w:hAnsi="Times New Roman" w:cs="Times New Roman"/>
          <w:sz w:val="21"/>
          <w:szCs w:val="21"/>
        </w:rPr>
        <w:t xml:space="preserve"> </w:t>
      </w:r>
      <w:r w:rsidRPr="0098012B">
        <w:rPr>
          <w:rFonts w:ascii="Times New Roman" w:hAnsi="Times New Roman" w:cs="Times New Roman"/>
          <w:sz w:val="21"/>
          <w:szCs w:val="21"/>
        </w:rPr>
        <w:t>[</w:t>
      </w:r>
      <w:r>
        <w:rPr>
          <w:rFonts w:ascii="Times New Roman" w:hAnsi="Times New Roman" w:cs="Times New Roman"/>
          <w:bCs/>
          <w:sz w:val="21"/>
          <w:szCs w:val="21"/>
          <w:highlight w:val="yellow"/>
          <w:lang w:val="en-US"/>
        </w:rPr>
        <w:fldChar w:fldCharType="begin"/>
      </w:r>
      <w:r>
        <w:rPr>
          <w:rFonts w:ascii="Times New Roman" w:hAnsi="Times New Roman" w:cs="Times New Roman"/>
          <w:sz w:val="21"/>
          <w:szCs w:val="21"/>
        </w:rPr>
        <w:instrText xml:space="preserve"> REF _Ref435187438 \r \h </w:instrText>
      </w:r>
      <w:r>
        <w:rPr>
          <w:rFonts w:ascii="Times New Roman" w:hAnsi="Times New Roman" w:cs="Times New Roman"/>
          <w:bCs/>
          <w:sz w:val="21"/>
          <w:szCs w:val="21"/>
          <w:highlight w:val="yellow"/>
          <w:lang w:val="en-US"/>
        </w:rPr>
      </w:r>
      <w:r>
        <w:rPr>
          <w:rFonts w:ascii="Times New Roman" w:hAnsi="Times New Roman" w:cs="Times New Roman"/>
          <w:bCs/>
          <w:sz w:val="21"/>
          <w:szCs w:val="21"/>
          <w:highlight w:val="yellow"/>
          <w:lang w:val="en-US"/>
        </w:rPr>
        <w:fldChar w:fldCharType="separate"/>
      </w:r>
      <w:r>
        <w:rPr>
          <w:rFonts w:ascii="Times New Roman" w:hAnsi="Times New Roman" w:cs="Times New Roman"/>
          <w:sz w:val="21"/>
          <w:szCs w:val="21"/>
        </w:rPr>
        <w:t>74</w:t>
      </w:r>
      <w:r>
        <w:rPr>
          <w:rFonts w:ascii="Times New Roman" w:hAnsi="Times New Roman" w:cs="Times New Roman"/>
          <w:bCs/>
          <w:sz w:val="21"/>
          <w:szCs w:val="21"/>
          <w:highlight w:val="yellow"/>
          <w:lang w:val="en-US"/>
        </w:rPr>
        <w:fldChar w:fldCharType="end"/>
      </w:r>
      <w:r w:rsidRPr="0098012B">
        <w:rPr>
          <w:rFonts w:ascii="Times New Roman" w:hAnsi="Times New Roman" w:cs="Times New Roman"/>
          <w:sz w:val="21"/>
          <w:szCs w:val="21"/>
        </w:rPr>
        <w:t xml:space="preserve">]. Залучення іноземних спеціалістів на тимчасовій основі в країни, що розвиваються, відбувається завдяки аутсорсингу. Каналом притоку кваліфікованих спеціалістів є філіали і дочірні підприємства іноземних компаній. Основними країнами аутсорсингу на сучасному етапі є Індія, Китай, Тайвань, Філіппіни, в меншій мірі – країни </w:t>
      </w:r>
      <w:r>
        <w:rPr>
          <w:rFonts w:ascii="Times New Roman" w:hAnsi="Times New Roman" w:cs="Times New Roman"/>
          <w:sz w:val="21"/>
          <w:szCs w:val="21"/>
        </w:rPr>
        <w:t xml:space="preserve">Східної Європи, Північна Африка </w:t>
      </w:r>
      <w:r w:rsidRPr="0098012B">
        <w:rPr>
          <w:rFonts w:ascii="Times New Roman" w:hAnsi="Times New Roman" w:cs="Times New Roman"/>
          <w:sz w:val="21"/>
          <w:szCs w:val="21"/>
        </w:rPr>
        <w:t>[</w:t>
      </w:r>
      <w:r>
        <w:rPr>
          <w:rFonts w:ascii="Times New Roman" w:hAnsi="Times New Roman" w:cs="Times New Roman"/>
          <w:spacing w:val="-6"/>
          <w:sz w:val="21"/>
          <w:szCs w:val="21"/>
          <w:highlight w:val="yellow"/>
        </w:rPr>
        <w:fldChar w:fldCharType="begin"/>
      </w:r>
      <w:r>
        <w:rPr>
          <w:rFonts w:ascii="Times New Roman" w:hAnsi="Times New Roman" w:cs="Times New Roman"/>
          <w:sz w:val="21"/>
          <w:szCs w:val="21"/>
        </w:rPr>
        <w:instrText xml:space="preserve"> REF _Ref435187065 \r \h </w:instrText>
      </w:r>
      <w:r>
        <w:rPr>
          <w:rFonts w:ascii="Times New Roman" w:hAnsi="Times New Roman" w:cs="Times New Roman"/>
          <w:spacing w:val="-6"/>
          <w:sz w:val="21"/>
          <w:szCs w:val="21"/>
          <w:highlight w:val="yellow"/>
        </w:rPr>
      </w:r>
      <w:r>
        <w:rPr>
          <w:rFonts w:ascii="Times New Roman" w:hAnsi="Times New Roman" w:cs="Times New Roman"/>
          <w:spacing w:val="-6"/>
          <w:sz w:val="21"/>
          <w:szCs w:val="21"/>
          <w:highlight w:val="yellow"/>
        </w:rPr>
        <w:fldChar w:fldCharType="separate"/>
      </w:r>
      <w:r>
        <w:rPr>
          <w:rFonts w:ascii="Times New Roman" w:hAnsi="Times New Roman" w:cs="Times New Roman"/>
          <w:sz w:val="21"/>
          <w:szCs w:val="21"/>
        </w:rPr>
        <w:t>6</w:t>
      </w:r>
      <w:r>
        <w:rPr>
          <w:rFonts w:ascii="Times New Roman" w:hAnsi="Times New Roman" w:cs="Times New Roman"/>
          <w:spacing w:val="-6"/>
          <w:sz w:val="21"/>
          <w:szCs w:val="21"/>
          <w:highlight w:val="yellow"/>
        </w:rPr>
        <w:fldChar w:fldCharType="end"/>
      </w:r>
      <w:r w:rsidRPr="0098012B">
        <w:rPr>
          <w:rFonts w:ascii="Times New Roman" w:hAnsi="Times New Roman" w:cs="Times New Roman"/>
          <w:sz w:val="21"/>
          <w:szCs w:val="21"/>
        </w:rPr>
        <w:t>]. Кадрові переводи висококваліфікованих працівників у іноземні представництва в середині компанії проводяться без врахування обмежень міграційного законодавства. Дозвіл на перебування, як правило, видається строком на один або два роки і може бути продовженим [</w:t>
      </w:r>
      <w:r>
        <w:rPr>
          <w:rFonts w:ascii="Times New Roman" w:hAnsi="Times New Roman" w:cs="Times New Roman"/>
          <w:spacing w:val="-6"/>
          <w:sz w:val="21"/>
          <w:szCs w:val="21"/>
          <w:highlight w:val="yellow"/>
        </w:rPr>
        <w:fldChar w:fldCharType="begin"/>
      </w:r>
      <w:r>
        <w:rPr>
          <w:rFonts w:ascii="Times New Roman" w:hAnsi="Times New Roman" w:cs="Times New Roman"/>
          <w:sz w:val="21"/>
          <w:szCs w:val="21"/>
        </w:rPr>
        <w:instrText xml:space="preserve"> REF _Ref435187065 \r \h </w:instrText>
      </w:r>
      <w:r>
        <w:rPr>
          <w:rFonts w:ascii="Times New Roman" w:hAnsi="Times New Roman" w:cs="Times New Roman"/>
          <w:spacing w:val="-6"/>
          <w:sz w:val="21"/>
          <w:szCs w:val="21"/>
          <w:highlight w:val="yellow"/>
        </w:rPr>
      </w:r>
      <w:r>
        <w:rPr>
          <w:rFonts w:ascii="Times New Roman" w:hAnsi="Times New Roman" w:cs="Times New Roman"/>
          <w:spacing w:val="-6"/>
          <w:sz w:val="21"/>
          <w:szCs w:val="21"/>
          <w:highlight w:val="yellow"/>
        </w:rPr>
        <w:fldChar w:fldCharType="separate"/>
      </w:r>
      <w:r>
        <w:rPr>
          <w:rFonts w:ascii="Times New Roman" w:hAnsi="Times New Roman" w:cs="Times New Roman"/>
          <w:sz w:val="21"/>
          <w:szCs w:val="21"/>
        </w:rPr>
        <w:t>6</w:t>
      </w:r>
      <w:r>
        <w:rPr>
          <w:rFonts w:ascii="Times New Roman" w:hAnsi="Times New Roman" w:cs="Times New Roman"/>
          <w:spacing w:val="-6"/>
          <w:sz w:val="21"/>
          <w:szCs w:val="21"/>
          <w:highlight w:val="yellow"/>
        </w:rPr>
        <w:fldChar w:fldCharType="end"/>
      </w:r>
      <w:r w:rsidRPr="0098012B">
        <w:rPr>
          <w:rFonts w:ascii="Times New Roman" w:hAnsi="Times New Roman" w:cs="Times New Roman"/>
          <w:sz w:val="21"/>
          <w:szCs w:val="21"/>
        </w:rPr>
        <w:t xml:space="preserve">]. </w:t>
      </w:r>
    </w:p>
    <w:p w:rsidR="00B233DE" w:rsidRPr="0098012B" w:rsidRDefault="00B233DE" w:rsidP="00B233DE">
      <w:pPr>
        <w:tabs>
          <w:tab w:val="left" w:pos="900"/>
        </w:tabs>
        <w:ind w:firstLine="709"/>
        <w:jc w:val="both"/>
        <w:rPr>
          <w:rFonts w:ascii="Times New Roman" w:hAnsi="Times New Roman" w:cs="Times New Roman"/>
          <w:spacing w:val="-4"/>
          <w:sz w:val="21"/>
          <w:szCs w:val="21"/>
        </w:rPr>
      </w:pPr>
      <w:r w:rsidRPr="0098012B">
        <w:rPr>
          <w:rFonts w:ascii="Times New Roman" w:hAnsi="Times New Roman" w:cs="Times New Roman"/>
          <w:spacing w:val="-4"/>
          <w:sz w:val="21"/>
          <w:szCs w:val="21"/>
        </w:rPr>
        <w:t xml:space="preserve">4. Політика адаптації та інтеграції мігрантів. Інтеграція розрахована на тривалий процес адаптації іммігранта до умов країни призначення. На відміну від асиміляції, що передбачає прийняття системи цінностей приймаючої країни і відмову від власної культури, інтеграція допускає збереження іммігрантами своєї етнокультурної ідентичності і зв’язків </w:t>
      </w:r>
      <w:r>
        <w:rPr>
          <w:rFonts w:ascii="Times New Roman" w:hAnsi="Times New Roman" w:cs="Times New Roman"/>
          <w:spacing w:val="-4"/>
          <w:sz w:val="21"/>
          <w:szCs w:val="21"/>
        </w:rPr>
        <w:t>з країною походження</w:t>
      </w:r>
      <w:r w:rsidRPr="0098012B">
        <w:rPr>
          <w:rFonts w:ascii="Times New Roman" w:hAnsi="Times New Roman" w:cs="Times New Roman"/>
          <w:spacing w:val="-4"/>
          <w:sz w:val="21"/>
          <w:szCs w:val="21"/>
        </w:rPr>
        <w:t xml:space="preserve">. Інтеграція іммігрантів передбачає заходи по наданню іммігрантам доступу до освіти, охорони здоров’я, працевлаштування, соціального захисту; навчанню і підвищенню кваліфікації; наданню підтримки у вивченні мови. Дослідження, проведені у США показали, що підвищення кваліфікації іммігрантів має позитивні макроекономічні наслідки в довгостроковій перспективі: зменшує конкуренцію між перекваліфікованими мігрантами і національними низькокваліфікованими працівниками, стимулює відтворення більш освіченого наступного покоління, що </w:t>
      </w:r>
      <w:r w:rsidRPr="0098012B">
        <w:rPr>
          <w:rFonts w:ascii="Times New Roman" w:hAnsi="Times New Roman" w:cs="Times New Roman"/>
          <w:spacing w:val="-4"/>
          <w:sz w:val="21"/>
          <w:szCs w:val="21"/>
        </w:rPr>
        <w:lastRenderedPageBreak/>
        <w:t>сприяє економічному зростанню, зумовлює зменшення витрат фондів соціального захист</w:t>
      </w:r>
      <w:r>
        <w:rPr>
          <w:rFonts w:ascii="Times New Roman" w:hAnsi="Times New Roman" w:cs="Times New Roman"/>
          <w:spacing w:val="-4"/>
          <w:sz w:val="21"/>
          <w:szCs w:val="21"/>
        </w:rPr>
        <w:t xml:space="preserve">у і збільшення податкових сплат </w:t>
      </w:r>
      <w:r w:rsidRPr="0098012B">
        <w:rPr>
          <w:rFonts w:ascii="Times New Roman" w:hAnsi="Times New Roman" w:cs="Times New Roman"/>
          <w:spacing w:val="-4"/>
          <w:sz w:val="21"/>
          <w:szCs w:val="21"/>
        </w:rPr>
        <w:t>[</w:t>
      </w:r>
      <w:r>
        <w:rPr>
          <w:rStyle w:val="HTML1"/>
          <w:rFonts w:ascii="Times New Roman" w:hAnsi="Times New Roman" w:cs="Times New Roman"/>
          <w:i w:val="0"/>
          <w:sz w:val="21"/>
          <w:szCs w:val="21"/>
          <w:highlight w:val="yellow"/>
          <w:lang w:val="en-US"/>
        </w:rPr>
        <w:fldChar w:fldCharType="begin"/>
      </w:r>
      <w:r>
        <w:rPr>
          <w:rFonts w:ascii="Times New Roman" w:hAnsi="Times New Roman" w:cs="Times New Roman"/>
          <w:spacing w:val="-4"/>
          <w:sz w:val="21"/>
          <w:szCs w:val="21"/>
        </w:rPr>
        <w:instrText xml:space="preserve"> REF _Ref435187456 \r \h </w:instrText>
      </w:r>
      <w:r>
        <w:rPr>
          <w:rStyle w:val="HTML1"/>
          <w:rFonts w:ascii="Times New Roman" w:hAnsi="Times New Roman" w:cs="Times New Roman"/>
          <w:i w:val="0"/>
          <w:sz w:val="21"/>
          <w:szCs w:val="21"/>
          <w:highlight w:val="yellow"/>
          <w:lang w:val="en-US"/>
        </w:rPr>
      </w:r>
      <w:r>
        <w:rPr>
          <w:rStyle w:val="HTML1"/>
          <w:rFonts w:ascii="Times New Roman" w:hAnsi="Times New Roman" w:cs="Times New Roman"/>
          <w:i w:val="0"/>
          <w:sz w:val="21"/>
          <w:szCs w:val="21"/>
          <w:highlight w:val="yellow"/>
          <w:lang w:val="en-US"/>
        </w:rPr>
        <w:fldChar w:fldCharType="separate"/>
      </w:r>
      <w:r>
        <w:rPr>
          <w:rFonts w:ascii="Times New Roman" w:hAnsi="Times New Roman" w:cs="Times New Roman"/>
          <w:spacing w:val="-4"/>
          <w:sz w:val="21"/>
          <w:szCs w:val="21"/>
        </w:rPr>
        <w:t>77</w:t>
      </w:r>
      <w:r>
        <w:rPr>
          <w:rStyle w:val="HTML1"/>
          <w:rFonts w:ascii="Times New Roman" w:hAnsi="Times New Roman" w:cs="Times New Roman"/>
          <w:i w:val="0"/>
          <w:sz w:val="21"/>
          <w:szCs w:val="21"/>
          <w:highlight w:val="yellow"/>
          <w:lang w:val="en-US"/>
        </w:rPr>
        <w:fldChar w:fldCharType="end"/>
      </w:r>
      <w:r w:rsidRPr="0098012B">
        <w:rPr>
          <w:rFonts w:ascii="Times New Roman" w:hAnsi="Times New Roman" w:cs="Times New Roman"/>
          <w:spacing w:val="-4"/>
          <w:sz w:val="21"/>
          <w:szCs w:val="21"/>
        </w:rPr>
        <w:t xml:space="preserve">, </w:t>
      </w:r>
      <w:r w:rsidRPr="0098012B">
        <w:rPr>
          <w:rFonts w:ascii="Times New Roman" w:hAnsi="Times New Roman" w:cs="Times New Roman"/>
          <w:spacing w:val="-4"/>
          <w:sz w:val="21"/>
          <w:szCs w:val="21"/>
          <w:lang w:val="en-US"/>
        </w:rPr>
        <w:t>c</w:t>
      </w:r>
      <w:r w:rsidRPr="0098012B">
        <w:rPr>
          <w:rFonts w:ascii="Times New Roman" w:hAnsi="Times New Roman" w:cs="Times New Roman"/>
          <w:spacing w:val="-4"/>
          <w:sz w:val="21"/>
          <w:szCs w:val="21"/>
        </w:rPr>
        <w:t>. 20], підвищує продуктивність праці та ефективність ринку праці [</w:t>
      </w:r>
      <w:r>
        <w:rPr>
          <w:rFonts w:ascii="Times New Roman" w:hAnsi="Times New Roman" w:cs="Times New Roman"/>
          <w:sz w:val="21"/>
          <w:szCs w:val="21"/>
          <w:highlight w:val="yellow"/>
        </w:rPr>
        <w:fldChar w:fldCharType="begin"/>
      </w:r>
      <w:r>
        <w:rPr>
          <w:rFonts w:ascii="Times New Roman" w:hAnsi="Times New Roman" w:cs="Times New Roman"/>
          <w:spacing w:val="-4"/>
          <w:sz w:val="21"/>
          <w:szCs w:val="21"/>
        </w:rPr>
        <w:instrText xml:space="preserve"> REF _Ref435187464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pacing w:val="-4"/>
          <w:sz w:val="21"/>
          <w:szCs w:val="21"/>
        </w:rPr>
        <w:t>42</w:t>
      </w:r>
      <w:r>
        <w:rPr>
          <w:rFonts w:ascii="Times New Roman" w:hAnsi="Times New Roman" w:cs="Times New Roman"/>
          <w:sz w:val="21"/>
          <w:szCs w:val="21"/>
          <w:highlight w:val="yellow"/>
        </w:rPr>
        <w:fldChar w:fldCharType="end"/>
      </w:r>
      <w:r w:rsidRPr="0098012B">
        <w:rPr>
          <w:rFonts w:ascii="Times New Roman" w:hAnsi="Times New Roman" w:cs="Times New Roman"/>
          <w:spacing w:val="-4"/>
          <w:sz w:val="21"/>
          <w:szCs w:val="21"/>
        </w:rPr>
        <w:t>,</w:t>
      </w:r>
      <w:r>
        <w:rPr>
          <w:rFonts w:ascii="Times New Roman" w:hAnsi="Times New Roman" w:cs="Times New Roman"/>
          <w:spacing w:val="-4"/>
          <w:sz w:val="21"/>
          <w:szCs w:val="21"/>
        </w:rPr>
        <w:t xml:space="preserve"> </w:t>
      </w:r>
      <w:r w:rsidRPr="0098012B">
        <w:rPr>
          <w:rFonts w:ascii="Times New Roman" w:hAnsi="Times New Roman" w:cs="Times New Roman"/>
          <w:spacing w:val="-4"/>
          <w:sz w:val="21"/>
          <w:szCs w:val="21"/>
          <w:lang w:val="en-US"/>
        </w:rPr>
        <w:t>c</w:t>
      </w:r>
      <w:r>
        <w:rPr>
          <w:rFonts w:ascii="Times New Roman" w:hAnsi="Times New Roman" w:cs="Times New Roman"/>
          <w:spacing w:val="-4"/>
          <w:sz w:val="21"/>
          <w:szCs w:val="21"/>
        </w:rPr>
        <w:t xml:space="preserve">. </w:t>
      </w:r>
      <w:r w:rsidRPr="0098012B">
        <w:rPr>
          <w:rFonts w:ascii="Times New Roman" w:hAnsi="Times New Roman" w:cs="Times New Roman"/>
          <w:spacing w:val="-4"/>
          <w:sz w:val="21"/>
          <w:szCs w:val="21"/>
        </w:rPr>
        <w:t xml:space="preserve">28]. </w:t>
      </w:r>
    </w:p>
    <w:p w:rsidR="00B233DE" w:rsidRPr="0098012B" w:rsidRDefault="00B233DE" w:rsidP="00B233DE">
      <w:pPr>
        <w:ind w:firstLine="709"/>
        <w:jc w:val="both"/>
        <w:rPr>
          <w:rFonts w:ascii="Times New Roman" w:hAnsi="Times New Roman" w:cs="Times New Roman"/>
          <w:spacing w:val="-2"/>
          <w:sz w:val="21"/>
          <w:szCs w:val="21"/>
        </w:rPr>
      </w:pPr>
      <w:r w:rsidRPr="0098012B">
        <w:rPr>
          <w:rFonts w:ascii="Times New Roman" w:hAnsi="Times New Roman" w:cs="Times New Roman"/>
          <w:spacing w:val="-2"/>
          <w:sz w:val="21"/>
          <w:szCs w:val="21"/>
        </w:rPr>
        <w:t>В соціально-економічному значенні інтеграція означає рівні можливості на гідне, незалежне та активне життя в країні призна</w:t>
      </w:r>
      <w:r>
        <w:rPr>
          <w:rFonts w:ascii="Times New Roman" w:hAnsi="Times New Roman" w:cs="Times New Roman"/>
          <w:spacing w:val="-2"/>
          <w:sz w:val="21"/>
          <w:szCs w:val="21"/>
        </w:rPr>
        <w:t>-</w:t>
      </w:r>
      <w:r w:rsidRPr="0098012B">
        <w:rPr>
          <w:rFonts w:ascii="Times New Roman" w:hAnsi="Times New Roman" w:cs="Times New Roman"/>
          <w:spacing w:val="-2"/>
          <w:sz w:val="21"/>
          <w:szCs w:val="21"/>
        </w:rPr>
        <w:t>чення поряд з місцевим населенням. Коли мігранти почуваються безпечно та впевнено у країні призначення, вони здатні реалізо</w:t>
      </w:r>
      <w:r>
        <w:rPr>
          <w:rFonts w:ascii="Times New Roman" w:hAnsi="Times New Roman" w:cs="Times New Roman"/>
          <w:spacing w:val="-2"/>
          <w:sz w:val="21"/>
          <w:szCs w:val="21"/>
        </w:rPr>
        <w:t>-</w:t>
      </w:r>
      <w:r w:rsidRPr="0098012B">
        <w:rPr>
          <w:rFonts w:ascii="Times New Roman" w:hAnsi="Times New Roman" w:cs="Times New Roman"/>
          <w:spacing w:val="-2"/>
          <w:sz w:val="21"/>
          <w:szCs w:val="21"/>
        </w:rPr>
        <w:t>вувати свій людський потенціал, тим самим сприяючи її розвитку. Для оцінки рівня політики інтеграції іммігрантів в приймаюче суспільство в країнах ЄС, Швейцарії, Норвегії та США розраховується Індекс політики інтеграції мігрантів (</w:t>
      </w:r>
      <w:r w:rsidRPr="0098012B">
        <w:rPr>
          <w:rFonts w:ascii="Times New Roman" w:hAnsi="Times New Roman" w:cs="Times New Roman"/>
          <w:spacing w:val="-2"/>
          <w:sz w:val="21"/>
          <w:szCs w:val="21"/>
          <w:lang w:val="en-US"/>
        </w:rPr>
        <w:t>MIPEX</w:t>
      </w:r>
      <w:r w:rsidRPr="0098012B">
        <w:rPr>
          <w:rFonts w:ascii="Times New Roman" w:hAnsi="Times New Roman" w:cs="Times New Roman"/>
          <w:spacing w:val="-2"/>
          <w:sz w:val="21"/>
          <w:szCs w:val="21"/>
        </w:rPr>
        <w:t xml:space="preserve">). Він включає 148 індикаторів політики інтеграції, що виявляються експертним методом на основі досліджень вчених та спеціальних організацій. Кожен індикатор – це запитання щодо специфічного компоненту політики в одній із семи основних сфер інтеграції іммігрантів: мобільності на ринку праці, возз’єднання сімей, освіти, політичної участі, довгострокового проживання, доступу до громадянства та антидискримінації. На кожне запитання надається три варіанти відповіді. Найвищий бал – 100 надається за відповідь, що відповідає найвищому стандарту рівного ставлення до мігрантів порівняно з місцевим населенням; середньому стандарту відповідає бал 50, а найнижчому </w:t>
      </w:r>
      <w:r>
        <w:rPr>
          <w:rFonts w:ascii="Times New Roman" w:hAnsi="Times New Roman" w:cs="Times New Roman"/>
          <w:spacing w:val="-2"/>
          <w:sz w:val="21"/>
          <w:szCs w:val="21"/>
        </w:rPr>
        <w:t>–</w:t>
      </w:r>
      <w:r w:rsidRPr="0098012B">
        <w:rPr>
          <w:rFonts w:ascii="Times New Roman" w:hAnsi="Times New Roman" w:cs="Times New Roman"/>
          <w:spacing w:val="-2"/>
          <w:sz w:val="21"/>
          <w:szCs w:val="21"/>
        </w:rPr>
        <w:t xml:space="preserve"> 0. З усіх індикаторів виводиться середній бал по кожній сфері, а потім загальний середній бал з усіх сфер. Джерелами встановлення стандартів є Конвенції Ради Європи та Директиви Європейського Союзу, а також Конвенції ООН та МОП у сфері міграції, працевлаштування та захисту прав людини. За результатами </w:t>
      </w:r>
      <w:r w:rsidRPr="0098012B">
        <w:rPr>
          <w:rFonts w:ascii="Times New Roman" w:hAnsi="Times New Roman" w:cs="Times New Roman"/>
          <w:spacing w:val="-2"/>
          <w:sz w:val="21"/>
          <w:szCs w:val="21"/>
          <w:lang w:val="en-US"/>
        </w:rPr>
        <w:t>MIPEX</w:t>
      </w:r>
      <w:r w:rsidRPr="0098012B">
        <w:rPr>
          <w:rFonts w:ascii="Times New Roman" w:hAnsi="Times New Roman" w:cs="Times New Roman"/>
          <w:spacing w:val="-2"/>
          <w:sz w:val="21"/>
          <w:szCs w:val="21"/>
        </w:rPr>
        <w:t xml:space="preserve"> у 2011 році країнами з найбільш ефективною політикою інтеграції іммігрантів у приймаюче суспільство є Швеція,</w:t>
      </w:r>
      <w:r>
        <w:rPr>
          <w:rFonts w:ascii="Times New Roman" w:hAnsi="Times New Roman" w:cs="Times New Roman"/>
          <w:spacing w:val="-2"/>
          <w:sz w:val="21"/>
          <w:szCs w:val="21"/>
        </w:rPr>
        <w:t xml:space="preserve"> Португалія та Канада</w:t>
      </w:r>
      <w:r w:rsidRPr="0098012B">
        <w:rPr>
          <w:rFonts w:ascii="Times New Roman" w:hAnsi="Times New Roman" w:cs="Times New Roman"/>
          <w:spacing w:val="-2"/>
          <w:sz w:val="21"/>
          <w:szCs w:val="21"/>
        </w:rPr>
        <w:t>. Індекс політики інтеграції мігрантів надає необхідну інформацію для прийняття необхідних рішень міграційної політики [</w:t>
      </w:r>
      <w:r>
        <w:rPr>
          <w:rFonts w:ascii="Times New Roman" w:hAnsi="Times New Roman" w:cs="Times New Roman"/>
          <w:iCs/>
          <w:sz w:val="21"/>
          <w:szCs w:val="21"/>
          <w:highlight w:val="yellow"/>
          <w:lang w:val="en-US"/>
        </w:rPr>
        <w:fldChar w:fldCharType="begin"/>
      </w:r>
      <w:r>
        <w:rPr>
          <w:rFonts w:ascii="Times New Roman" w:hAnsi="Times New Roman" w:cs="Times New Roman"/>
          <w:spacing w:val="-2"/>
          <w:sz w:val="21"/>
          <w:szCs w:val="21"/>
        </w:rPr>
        <w:instrText xml:space="preserve"> REF _Ref435187241 \r \h </w:instrText>
      </w:r>
      <w:r>
        <w:rPr>
          <w:rFonts w:ascii="Times New Roman" w:hAnsi="Times New Roman" w:cs="Times New Roman"/>
          <w:iCs/>
          <w:sz w:val="21"/>
          <w:szCs w:val="21"/>
          <w:highlight w:val="yellow"/>
          <w:lang w:val="en-US"/>
        </w:rPr>
      </w:r>
      <w:r>
        <w:rPr>
          <w:rFonts w:ascii="Times New Roman" w:hAnsi="Times New Roman" w:cs="Times New Roman"/>
          <w:iCs/>
          <w:sz w:val="21"/>
          <w:szCs w:val="21"/>
          <w:highlight w:val="yellow"/>
          <w:lang w:val="en-US"/>
        </w:rPr>
        <w:fldChar w:fldCharType="separate"/>
      </w:r>
      <w:r>
        <w:rPr>
          <w:rFonts w:ascii="Times New Roman" w:hAnsi="Times New Roman" w:cs="Times New Roman"/>
          <w:spacing w:val="-2"/>
          <w:sz w:val="21"/>
          <w:szCs w:val="21"/>
        </w:rPr>
        <w:t>87</w:t>
      </w:r>
      <w:r>
        <w:rPr>
          <w:rFonts w:ascii="Times New Roman" w:hAnsi="Times New Roman" w:cs="Times New Roman"/>
          <w:iCs/>
          <w:sz w:val="21"/>
          <w:szCs w:val="21"/>
          <w:highlight w:val="yellow"/>
          <w:lang w:val="en-US"/>
        </w:rPr>
        <w:fldChar w:fldCharType="end"/>
      </w:r>
      <w:r w:rsidRPr="0098012B">
        <w:rPr>
          <w:rFonts w:ascii="Times New Roman" w:hAnsi="Times New Roman" w:cs="Times New Roman"/>
          <w:spacing w:val="-2"/>
          <w:sz w:val="21"/>
          <w:szCs w:val="21"/>
        </w:rPr>
        <w:t>]. Інтеграція мігрантів сприяє відкритості соціальної системи, формуванню «капіталу різноманітності» (</w:t>
      </w:r>
      <w:r w:rsidRPr="0098012B">
        <w:rPr>
          <w:rFonts w:ascii="Times New Roman" w:hAnsi="Times New Roman" w:cs="Times New Roman"/>
          <w:spacing w:val="-2"/>
          <w:sz w:val="21"/>
          <w:szCs w:val="21"/>
          <w:lang w:val="en-US"/>
        </w:rPr>
        <w:t>diversity</w:t>
      </w:r>
      <w:r w:rsidRPr="0098012B">
        <w:rPr>
          <w:rFonts w:ascii="Times New Roman" w:hAnsi="Times New Roman" w:cs="Times New Roman"/>
          <w:spacing w:val="-2"/>
          <w:sz w:val="21"/>
          <w:szCs w:val="21"/>
        </w:rPr>
        <w:t xml:space="preserve"> </w:t>
      </w:r>
      <w:r w:rsidRPr="0098012B">
        <w:rPr>
          <w:rFonts w:ascii="Times New Roman" w:hAnsi="Times New Roman" w:cs="Times New Roman"/>
          <w:spacing w:val="-2"/>
          <w:sz w:val="21"/>
          <w:szCs w:val="21"/>
          <w:lang w:val="en-US"/>
        </w:rPr>
        <w:t>capital</w:t>
      </w:r>
      <w:r w:rsidRPr="0098012B">
        <w:rPr>
          <w:rFonts w:ascii="Times New Roman" w:hAnsi="Times New Roman" w:cs="Times New Roman"/>
          <w:spacing w:val="-2"/>
          <w:sz w:val="21"/>
          <w:szCs w:val="21"/>
        </w:rPr>
        <w:t>), що вважається цінним інноваційним ресурсом і запорукою сталого розвитку в умовах глобалізації [</w:t>
      </w:r>
      <w:r>
        <w:rPr>
          <w:rFonts w:ascii="Times New Roman" w:hAnsi="Times New Roman" w:cs="Times New Roman"/>
          <w:bCs/>
          <w:sz w:val="21"/>
          <w:szCs w:val="21"/>
          <w:highlight w:val="yellow"/>
        </w:rPr>
        <w:fldChar w:fldCharType="begin"/>
      </w:r>
      <w:r>
        <w:rPr>
          <w:rFonts w:ascii="Times New Roman" w:hAnsi="Times New Roman" w:cs="Times New Roman"/>
          <w:spacing w:val="-2"/>
          <w:sz w:val="21"/>
          <w:szCs w:val="21"/>
        </w:rPr>
        <w:instrText xml:space="preserve"> REF _Ref435187481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pacing w:val="-2"/>
          <w:sz w:val="21"/>
          <w:szCs w:val="21"/>
        </w:rPr>
        <w:t>26</w:t>
      </w:r>
      <w:r>
        <w:rPr>
          <w:rFonts w:ascii="Times New Roman" w:hAnsi="Times New Roman" w:cs="Times New Roman"/>
          <w:bCs/>
          <w:sz w:val="21"/>
          <w:szCs w:val="21"/>
          <w:highlight w:val="yellow"/>
        </w:rPr>
        <w:fldChar w:fldCharType="end"/>
      </w:r>
      <w:r w:rsidRPr="0098012B">
        <w:rPr>
          <w:rFonts w:ascii="Times New Roman" w:hAnsi="Times New Roman" w:cs="Times New Roman"/>
          <w:spacing w:val="-2"/>
          <w:sz w:val="21"/>
          <w:szCs w:val="21"/>
        </w:rPr>
        <w:t xml:space="preserve">, </w:t>
      </w:r>
      <w:r w:rsidRPr="0098012B">
        <w:rPr>
          <w:rFonts w:ascii="Times New Roman" w:hAnsi="Times New Roman" w:cs="Times New Roman"/>
          <w:spacing w:val="-2"/>
          <w:sz w:val="21"/>
          <w:szCs w:val="21"/>
          <w:lang w:val="en-US"/>
        </w:rPr>
        <w:t>c</w:t>
      </w:r>
      <w:r w:rsidRPr="0098012B">
        <w:rPr>
          <w:rFonts w:ascii="Times New Roman" w:hAnsi="Times New Roman" w:cs="Times New Roman"/>
          <w:spacing w:val="-2"/>
          <w:sz w:val="21"/>
          <w:szCs w:val="21"/>
        </w:rPr>
        <w:t xml:space="preserve">. 160]. </w:t>
      </w:r>
    </w:p>
    <w:p w:rsidR="00B233DE" w:rsidRPr="0098012B" w:rsidRDefault="00B233DE" w:rsidP="00B233DE">
      <w:pPr>
        <w:tabs>
          <w:tab w:val="left" w:pos="900"/>
        </w:tabs>
        <w:ind w:firstLine="709"/>
        <w:jc w:val="both"/>
        <w:rPr>
          <w:rFonts w:ascii="Times New Roman" w:hAnsi="Times New Roman" w:cs="Times New Roman"/>
          <w:sz w:val="21"/>
          <w:szCs w:val="21"/>
        </w:rPr>
      </w:pPr>
      <w:r w:rsidRPr="0098012B">
        <w:rPr>
          <w:rFonts w:ascii="Times New Roman" w:hAnsi="Times New Roman" w:cs="Times New Roman"/>
          <w:sz w:val="21"/>
          <w:szCs w:val="21"/>
        </w:rPr>
        <w:t>5. Використання транснаціональних зв’язків мігрантів для підвищення людського потенціалу і конкурентоздатності країн походження. Науковці узагальнюють транснаціональні зв’язки міжнародних співтовариств мігрантів за допомогою 5Т: трансферти (грошові перекази і благодійна діяльність), торгівля, телекомуні</w:t>
      </w:r>
      <w:r>
        <w:rPr>
          <w:rFonts w:ascii="Times New Roman" w:hAnsi="Times New Roman" w:cs="Times New Roman"/>
          <w:sz w:val="21"/>
          <w:szCs w:val="21"/>
        </w:rPr>
        <w:t>-</w:t>
      </w:r>
      <w:r w:rsidRPr="0098012B">
        <w:rPr>
          <w:rFonts w:ascii="Times New Roman" w:hAnsi="Times New Roman" w:cs="Times New Roman"/>
          <w:sz w:val="21"/>
          <w:szCs w:val="21"/>
        </w:rPr>
        <w:lastRenderedPageBreak/>
        <w:t>кації, транспорт, туризм [</w:t>
      </w:r>
      <w:r>
        <w:rPr>
          <w:rFonts w:ascii="Times New Roman" w:hAnsi="Times New Roman" w:cs="Times New Roman"/>
          <w:bCs/>
          <w:sz w:val="21"/>
          <w:szCs w:val="21"/>
          <w:highlight w:val="yellow"/>
        </w:rPr>
        <w:fldChar w:fldCharType="begin"/>
      </w:r>
      <w:r>
        <w:rPr>
          <w:rFonts w:ascii="Times New Roman" w:hAnsi="Times New Roman" w:cs="Times New Roman"/>
          <w:sz w:val="21"/>
          <w:szCs w:val="21"/>
        </w:rPr>
        <w:instrText xml:space="preserve"> REF _Ref435182370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z w:val="21"/>
          <w:szCs w:val="21"/>
        </w:rPr>
        <w:t>7</w:t>
      </w:r>
      <w:r>
        <w:rPr>
          <w:rFonts w:ascii="Times New Roman" w:hAnsi="Times New Roman" w:cs="Times New Roman"/>
          <w:bCs/>
          <w:sz w:val="21"/>
          <w:szCs w:val="21"/>
          <w:highlight w:val="yellow"/>
        </w:rPr>
        <w:fldChar w:fldCharType="end"/>
      </w:r>
      <w:r>
        <w:rPr>
          <w:rFonts w:ascii="Times New Roman" w:hAnsi="Times New Roman" w:cs="Times New Roman"/>
          <w:sz w:val="21"/>
          <w:szCs w:val="21"/>
        </w:rPr>
        <w:t>, с. 175]</w:t>
      </w:r>
      <w:r w:rsidRPr="0098012B">
        <w:rPr>
          <w:rFonts w:ascii="Times New Roman" w:hAnsi="Times New Roman" w:cs="Times New Roman"/>
          <w:sz w:val="21"/>
          <w:szCs w:val="21"/>
        </w:rPr>
        <w:t xml:space="preserve">. Використання грошових переказів для економічного зростання і фінансування розвитку людського потенціалу в країнах походження здійснюється наступними шляхами: кошти мігрантів є ресурсом залучення в облігаційні позики, </w:t>
      </w:r>
      <w:r>
        <w:rPr>
          <w:rFonts w:ascii="Times New Roman" w:hAnsi="Times New Roman" w:cs="Times New Roman"/>
          <w:sz w:val="21"/>
          <w:szCs w:val="21"/>
        </w:rPr>
        <w:t>спрямовані</w:t>
      </w:r>
      <w:r w:rsidRPr="0098012B">
        <w:rPr>
          <w:rFonts w:ascii="Times New Roman" w:hAnsi="Times New Roman" w:cs="Times New Roman"/>
          <w:sz w:val="21"/>
          <w:szCs w:val="21"/>
        </w:rPr>
        <w:t xml:space="preserve"> на розвиток економіки (суверенні облігації випускаються для інвесторів – членів діаспор як засіб збору фондів для фінансування державних інвестицій у еконо</w:t>
      </w:r>
      <w:r>
        <w:rPr>
          <w:rFonts w:ascii="Times New Roman" w:hAnsi="Times New Roman" w:cs="Times New Roman"/>
          <w:sz w:val="21"/>
          <w:szCs w:val="21"/>
        </w:rPr>
        <w:t>-</w:t>
      </w:r>
      <w:r w:rsidRPr="0098012B">
        <w:rPr>
          <w:rFonts w:ascii="Times New Roman" w:hAnsi="Times New Roman" w:cs="Times New Roman"/>
          <w:sz w:val="21"/>
          <w:szCs w:val="21"/>
        </w:rPr>
        <w:t>мічний розвиток країни походження; дані облігації характе</w:t>
      </w:r>
      <w:r>
        <w:rPr>
          <w:rFonts w:ascii="Times New Roman" w:hAnsi="Times New Roman" w:cs="Times New Roman"/>
          <w:sz w:val="21"/>
          <w:szCs w:val="21"/>
        </w:rPr>
        <w:t>-</w:t>
      </w:r>
      <w:r w:rsidRPr="0098012B">
        <w:rPr>
          <w:rFonts w:ascii="Times New Roman" w:hAnsi="Times New Roman" w:cs="Times New Roman"/>
          <w:sz w:val="21"/>
          <w:szCs w:val="21"/>
        </w:rPr>
        <w:t>ризуються меншими ризиками рефінансування, оскільки діаспорні інвестори вірогідніше зацікавлені розвитком країни походження, ніж звичайні інвестори); дозвіл мігрантам відкривати ощадні і депозитні рахунки в іноземній валюті в країні походження; заохочення залучення коштів мігрантів у вигляді інвест</w:t>
      </w:r>
      <w:r>
        <w:rPr>
          <w:rFonts w:ascii="Times New Roman" w:hAnsi="Times New Roman" w:cs="Times New Roman"/>
          <w:sz w:val="21"/>
          <w:szCs w:val="21"/>
        </w:rPr>
        <w:t>ицій у виробництво</w:t>
      </w:r>
      <w:r w:rsidRPr="0098012B">
        <w:rPr>
          <w:rFonts w:ascii="Times New Roman" w:hAnsi="Times New Roman" w:cs="Times New Roman"/>
          <w:sz w:val="21"/>
          <w:szCs w:val="21"/>
        </w:rPr>
        <w:t>; надання мігрантам особливих прав з метою сприяння їх інтеграції в національні проекти, забезпечення стабільних переказів коштів і контроль над структурами, що їх здійснюють (згідно з дослідженнями аналітиків Світового банку [</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_Ref435187496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86</w:t>
      </w:r>
      <w:r>
        <w:rPr>
          <w:rFonts w:ascii="Times New Roman" w:hAnsi="Times New Roman" w:cs="Times New Roman"/>
          <w:sz w:val="21"/>
          <w:szCs w:val="21"/>
          <w:highlight w:val="yellow"/>
          <w:lang w:val="en-US"/>
        </w:rPr>
        <w:fldChar w:fldCharType="end"/>
      </w:r>
      <w:r w:rsidRPr="0098012B">
        <w:rPr>
          <w:rFonts w:ascii="Times New Roman" w:hAnsi="Times New Roman" w:cs="Times New Roman"/>
          <w:sz w:val="21"/>
          <w:szCs w:val="21"/>
        </w:rPr>
        <w:t xml:space="preserve">, </w:t>
      </w:r>
      <w:r w:rsidRPr="0098012B">
        <w:rPr>
          <w:rFonts w:ascii="Times New Roman" w:hAnsi="Times New Roman" w:cs="Times New Roman"/>
          <w:sz w:val="21"/>
          <w:szCs w:val="21"/>
          <w:lang w:val="en-US"/>
        </w:rPr>
        <w:t>c</w:t>
      </w:r>
      <w:r w:rsidRPr="0098012B">
        <w:rPr>
          <w:rFonts w:ascii="Times New Roman" w:hAnsi="Times New Roman" w:cs="Times New Roman"/>
          <w:sz w:val="21"/>
          <w:szCs w:val="21"/>
        </w:rPr>
        <w:t>. 6</w:t>
      </w:r>
      <w:r>
        <w:rPr>
          <w:rFonts w:ascii="Times New Roman" w:hAnsi="Times New Roman" w:cs="Times New Roman"/>
          <w:sz w:val="21"/>
          <w:szCs w:val="21"/>
        </w:rPr>
        <w:t>–</w:t>
      </w:r>
      <w:r w:rsidRPr="0098012B">
        <w:rPr>
          <w:rFonts w:ascii="Times New Roman" w:hAnsi="Times New Roman" w:cs="Times New Roman"/>
          <w:sz w:val="21"/>
          <w:szCs w:val="21"/>
        </w:rPr>
        <w:t>8], подібні заходи є основою розвитку самомотивованої приватної системи для впровадження проектів і місцевих програм, що фінансуються переказами і заощадженнями іноземних об’єднань; така практика вже довела свою ефективність при застосуванні у Мексиці, Бразилії, Сальвадорі, Сомалі для проектів, що сприяють муніципальному розвитку [</w:t>
      </w:r>
      <w:r>
        <w:rPr>
          <w:rFonts w:ascii="Times New Roman" w:hAnsi="Times New Roman" w:cs="Times New Roman"/>
          <w:bCs/>
          <w:sz w:val="21"/>
          <w:szCs w:val="21"/>
          <w:highlight w:val="yellow"/>
        </w:rPr>
        <w:fldChar w:fldCharType="begin"/>
      </w:r>
      <w:r>
        <w:rPr>
          <w:rFonts w:ascii="Times New Roman" w:hAnsi="Times New Roman" w:cs="Times New Roman"/>
          <w:sz w:val="21"/>
          <w:szCs w:val="21"/>
        </w:rPr>
        <w:instrText xml:space="preserve"> REF _Ref435182370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z w:val="21"/>
          <w:szCs w:val="21"/>
        </w:rPr>
        <w:t>7</w:t>
      </w:r>
      <w:r>
        <w:rPr>
          <w:rFonts w:ascii="Times New Roman" w:hAnsi="Times New Roman" w:cs="Times New Roman"/>
          <w:bCs/>
          <w:sz w:val="21"/>
          <w:szCs w:val="21"/>
          <w:highlight w:val="yellow"/>
        </w:rPr>
        <w:fldChar w:fldCharType="end"/>
      </w:r>
      <w:r w:rsidRPr="0098012B">
        <w:rPr>
          <w:rFonts w:ascii="Times New Roman" w:hAnsi="Times New Roman" w:cs="Times New Roman"/>
          <w:sz w:val="21"/>
          <w:szCs w:val="21"/>
        </w:rPr>
        <w:t>, с. 213</w:t>
      </w:r>
      <w:r>
        <w:rPr>
          <w:rFonts w:ascii="Times New Roman" w:hAnsi="Times New Roman" w:cs="Times New Roman"/>
          <w:sz w:val="21"/>
          <w:szCs w:val="21"/>
        </w:rPr>
        <w:t>–</w:t>
      </w:r>
      <w:r w:rsidRPr="0098012B">
        <w:rPr>
          <w:rFonts w:ascii="Times New Roman" w:hAnsi="Times New Roman" w:cs="Times New Roman"/>
          <w:sz w:val="21"/>
          <w:szCs w:val="21"/>
        </w:rPr>
        <w:t xml:space="preserve">214]; проекти покращують соціальну і матеріальну інфраструктуру в країнах походження, підвищують рівень життя і людський потенціал); проведення роботи з фінансовими інститутами для надання допомоги підприємцям-мігрантам в отриманні кредитів, необхідних для ефективного функціонування підприємств в країнах походження; підтримка у створенні венчурних фондів мігрантами </w:t>
      </w:r>
      <w:r>
        <w:rPr>
          <w:rFonts w:ascii="Times New Roman" w:hAnsi="Times New Roman" w:cs="Times New Roman"/>
          <w:sz w:val="21"/>
          <w:szCs w:val="21"/>
        </w:rPr>
        <w:t>у країнах походження</w:t>
      </w:r>
      <w:r w:rsidRPr="0098012B">
        <w:rPr>
          <w:rFonts w:ascii="Times New Roman" w:hAnsi="Times New Roman" w:cs="Times New Roman"/>
          <w:sz w:val="21"/>
          <w:szCs w:val="21"/>
        </w:rPr>
        <w:t>.</w:t>
      </w:r>
    </w:p>
    <w:p w:rsidR="00B233DE" w:rsidRPr="0098012B" w:rsidRDefault="00B233DE" w:rsidP="00B233DE">
      <w:pPr>
        <w:tabs>
          <w:tab w:val="left" w:pos="900"/>
        </w:tabs>
        <w:ind w:firstLine="709"/>
        <w:jc w:val="both"/>
        <w:rPr>
          <w:rFonts w:ascii="Times New Roman" w:hAnsi="Times New Roman" w:cs="Times New Roman"/>
          <w:sz w:val="21"/>
          <w:szCs w:val="21"/>
        </w:rPr>
      </w:pPr>
      <w:r w:rsidRPr="0098012B">
        <w:rPr>
          <w:rFonts w:ascii="Times New Roman" w:hAnsi="Times New Roman" w:cs="Times New Roman"/>
          <w:sz w:val="21"/>
          <w:szCs w:val="21"/>
        </w:rPr>
        <w:t xml:space="preserve">Створення освітніх, дослідницьких та наукових мереж передбачає, що країни призначення мають бути зацікавлені у підвищенні людського потенціалу і технологічного рівня основних країн-постачальників спеціалістів шляхом інвестування </w:t>
      </w:r>
      <w:r>
        <w:rPr>
          <w:rFonts w:ascii="Times New Roman" w:hAnsi="Times New Roman" w:cs="Times New Roman"/>
          <w:sz w:val="21"/>
          <w:szCs w:val="21"/>
        </w:rPr>
        <w:t>в</w:t>
      </w:r>
      <w:r w:rsidRPr="0098012B">
        <w:rPr>
          <w:rFonts w:ascii="Times New Roman" w:hAnsi="Times New Roman" w:cs="Times New Roman"/>
          <w:sz w:val="21"/>
          <w:szCs w:val="21"/>
        </w:rPr>
        <w:t xml:space="preserve"> обмін знаннями і навчання у найбільш важливих галузях. Державна допомога діаспорам у створенні мереж з країнами походження може забезпечити зворотний приплив знань – використання знань професіоналів-мігрантів для підтримки економічного розвитку країни походження [</w:t>
      </w:r>
      <w:r>
        <w:rPr>
          <w:rStyle w:val="heading"/>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_Ref435182634 \r \h </w:instrText>
      </w:r>
      <w:r>
        <w:rPr>
          <w:rStyle w:val="heading"/>
          <w:rFonts w:ascii="Times New Roman" w:hAnsi="Times New Roman" w:cs="Times New Roman"/>
          <w:sz w:val="21"/>
          <w:szCs w:val="21"/>
          <w:highlight w:val="yellow"/>
          <w:lang w:val="en-US"/>
        </w:rPr>
      </w:r>
      <w:r>
        <w:rPr>
          <w:rStyle w:val="heading"/>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101</w:t>
      </w:r>
      <w:r>
        <w:rPr>
          <w:rStyle w:val="heading"/>
          <w:rFonts w:ascii="Times New Roman" w:hAnsi="Times New Roman" w:cs="Times New Roman"/>
          <w:sz w:val="21"/>
          <w:szCs w:val="21"/>
          <w:highlight w:val="yellow"/>
          <w:lang w:val="en-US"/>
        </w:rPr>
        <w:fldChar w:fldCharType="end"/>
      </w:r>
      <w:r w:rsidRPr="0098012B">
        <w:rPr>
          <w:rFonts w:ascii="Times New Roman" w:hAnsi="Times New Roman" w:cs="Times New Roman"/>
          <w:sz w:val="21"/>
          <w:szCs w:val="21"/>
        </w:rPr>
        <w:t xml:space="preserve">, </w:t>
      </w:r>
      <w:r w:rsidRPr="0098012B">
        <w:rPr>
          <w:rFonts w:ascii="Times New Roman" w:hAnsi="Times New Roman" w:cs="Times New Roman"/>
          <w:sz w:val="21"/>
          <w:szCs w:val="21"/>
          <w:lang w:val="en-US"/>
        </w:rPr>
        <w:t>c</w:t>
      </w:r>
      <w:r w:rsidRPr="0098012B">
        <w:rPr>
          <w:rFonts w:ascii="Times New Roman" w:hAnsi="Times New Roman" w:cs="Times New Roman"/>
          <w:sz w:val="21"/>
          <w:szCs w:val="21"/>
        </w:rPr>
        <w:t xml:space="preserve">. 35]. Функціонування віртуальних </w:t>
      </w:r>
      <w:r w:rsidRPr="0098012B">
        <w:rPr>
          <w:rFonts w:ascii="Times New Roman" w:hAnsi="Times New Roman" w:cs="Times New Roman"/>
          <w:sz w:val="21"/>
          <w:szCs w:val="21"/>
        </w:rPr>
        <w:lastRenderedPageBreak/>
        <w:t xml:space="preserve">діаспорних мереж передбачає зв’язок між членами мережі з потенційними партнерами по дослідженнях або проектах в країнах походження за допомогою інформації, що міститься в базі даних. Формування мереж фірм у сфері інформаційних технологій між США і Індією дало поштовх інтенсивному розвитку даної галузі </w:t>
      </w:r>
      <w:r>
        <w:rPr>
          <w:rFonts w:ascii="Times New Roman" w:hAnsi="Times New Roman" w:cs="Times New Roman"/>
          <w:sz w:val="21"/>
          <w:szCs w:val="21"/>
        </w:rPr>
        <w:t>в</w:t>
      </w:r>
      <w:r w:rsidRPr="0098012B">
        <w:rPr>
          <w:rFonts w:ascii="Times New Roman" w:hAnsi="Times New Roman" w:cs="Times New Roman"/>
          <w:sz w:val="21"/>
          <w:szCs w:val="21"/>
        </w:rPr>
        <w:t xml:space="preserve"> Індії. Мережа між китайськими спеціалістами і їх колегами у США, здійснюючи обмін інформацією, технологічними навиками і людськими ресурсами, дала змогу заснувати в Тайвані Науковий індустріальний парк Хсінчу [</w:t>
      </w:r>
      <w:r>
        <w:rPr>
          <w:rFonts w:ascii="Times New Roman" w:hAnsi="Times New Roman" w:cs="Times New Roman"/>
          <w:bCs/>
          <w:sz w:val="21"/>
          <w:szCs w:val="21"/>
          <w:highlight w:val="yellow"/>
        </w:rPr>
        <w:fldChar w:fldCharType="begin"/>
      </w:r>
      <w:r>
        <w:rPr>
          <w:rFonts w:ascii="Times New Roman" w:hAnsi="Times New Roman" w:cs="Times New Roman"/>
          <w:sz w:val="21"/>
          <w:szCs w:val="21"/>
        </w:rPr>
        <w:instrText xml:space="preserve"> REF _Ref435182370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z w:val="21"/>
          <w:szCs w:val="21"/>
        </w:rPr>
        <w:t>7</w:t>
      </w:r>
      <w:r>
        <w:rPr>
          <w:rFonts w:ascii="Times New Roman" w:hAnsi="Times New Roman" w:cs="Times New Roman"/>
          <w:bCs/>
          <w:sz w:val="21"/>
          <w:szCs w:val="21"/>
          <w:highlight w:val="yellow"/>
        </w:rPr>
        <w:fldChar w:fldCharType="end"/>
      </w:r>
      <w:r w:rsidRPr="0098012B">
        <w:rPr>
          <w:rFonts w:ascii="Times New Roman" w:hAnsi="Times New Roman" w:cs="Times New Roman"/>
          <w:sz w:val="21"/>
          <w:szCs w:val="21"/>
        </w:rPr>
        <w:t>, с. 119].</w:t>
      </w:r>
    </w:p>
    <w:p w:rsidR="00B233DE" w:rsidRPr="0098012B" w:rsidRDefault="00B233DE" w:rsidP="00B233DE">
      <w:pPr>
        <w:ind w:firstLine="708"/>
        <w:jc w:val="both"/>
        <w:rPr>
          <w:rFonts w:ascii="Times New Roman" w:hAnsi="Times New Roman" w:cs="Times New Roman"/>
          <w:sz w:val="21"/>
          <w:szCs w:val="21"/>
        </w:rPr>
      </w:pPr>
      <w:r w:rsidRPr="0098012B">
        <w:rPr>
          <w:rFonts w:ascii="Times New Roman" w:hAnsi="Times New Roman" w:cs="Times New Roman"/>
          <w:sz w:val="21"/>
          <w:szCs w:val="21"/>
        </w:rPr>
        <w:t>Отже, в результаті аналізу передумов та наслідків міграційного перерозподілу людського потенціалу на сучасному етапі, відповідного визначення цілей керованого міграційного перерозподілу ЛП в межах висунутої гіпотези та встановлення можливих інструментів їх досягнення нами розроблена система формування людського потенціалу за рахунок міграції, що враховує причинно-наслідкові зв’язки між зазначеними елементами. Систематизація інструментів створює можливості вибору доцільних шляхів регулювання міграційних процесів і є, таким чином, основою формування механізму міграційного перерозподілу людського потенціалу.</w:t>
      </w:r>
    </w:p>
    <w:p w:rsidR="00B233DE" w:rsidRPr="0098012B" w:rsidRDefault="00B233DE" w:rsidP="00B233DE">
      <w:pPr>
        <w:ind w:firstLine="708"/>
        <w:jc w:val="both"/>
        <w:rPr>
          <w:rFonts w:ascii="Times New Roman" w:hAnsi="Times New Roman" w:cs="Times New Roman"/>
          <w:sz w:val="21"/>
          <w:szCs w:val="21"/>
        </w:rPr>
      </w:pPr>
    </w:p>
    <w:p w:rsidR="00B233DE" w:rsidRPr="00A60F41" w:rsidRDefault="00B233DE" w:rsidP="00B233DE">
      <w:pPr>
        <w:ind w:firstLine="708"/>
        <w:jc w:val="both"/>
        <w:rPr>
          <w:rFonts w:ascii="Times New Roman" w:hAnsi="Times New Roman" w:cs="Times New Roman"/>
          <w:sz w:val="21"/>
          <w:szCs w:val="21"/>
        </w:rPr>
      </w:pPr>
    </w:p>
    <w:p w:rsidR="00B233DE" w:rsidRPr="00A60F41" w:rsidRDefault="00B233DE" w:rsidP="00B233DE">
      <w:pPr>
        <w:ind w:firstLine="709"/>
        <w:jc w:val="center"/>
        <w:rPr>
          <w:rFonts w:ascii="Times New Roman" w:hAnsi="Times New Roman" w:cs="Times New Roman"/>
          <w:b/>
          <w:sz w:val="21"/>
          <w:szCs w:val="21"/>
        </w:rPr>
      </w:pPr>
      <w:r w:rsidRPr="00A60F41">
        <w:rPr>
          <w:rFonts w:ascii="Times New Roman" w:hAnsi="Times New Roman" w:cs="Times New Roman"/>
          <w:b/>
          <w:sz w:val="21"/>
          <w:szCs w:val="21"/>
        </w:rPr>
        <w:t>4.3 Аналіз міграційних тенденцій та формування людського потенціалу України</w:t>
      </w:r>
    </w:p>
    <w:p w:rsidR="00B233DE" w:rsidRDefault="00B233DE" w:rsidP="00B233DE">
      <w:pPr>
        <w:ind w:firstLine="709"/>
        <w:jc w:val="both"/>
        <w:rPr>
          <w:rFonts w:ascii="Times New Roman" w:hAnsi="Times New Roman" w:cs="Times New Roman"/>
          <w:spacing w:val="-2"/>
          <w:sz w:val="21"/>
          <w:szCs w:val="21"/>
        </w:rPr>
      </w:pPr>
    </w:p>
    <w:p w:rsidR="00B233DE" w:rsidRDefault="00B233DE" w:rsidP="00B233DE">
      <w:pPr>
        <w:ind w:firstLine="709"/>
        <w:jc w:val="both"/>
        <w:rPr>
          <w:rFonts w:ascii="Times New Roman" w:hAnsi="Times New Roman" w:cs="Times New Roman"/>
          <w:spacing w:val="-2"/>
          <w:sz w:val="21"/>
          <w:szCs w:val="21"/>
        </w:rPr>
      </w:pPr>
    </w:p>
    <w:p w:rsidR="00B233DE" w:rsidRPr="00A60F41" w:rsidRDefault="00B233DE" w:rsidP="00B233DE">
      <w:pPr>
        <w:ind w:firstLine="709"/>
        <w:jc w:val="both"/>
        <w:rPr>
          <w:rFonts w:ascii="Times New Roman" w:hAnsi="Times New Roman" w:cs="Times New Roman"/>
          <w:spacing w:val="-2"/>
          <w:sz w:val="21"/>
          <w:szCs w:val="21"/>
        </w:rPr>
      </w:pPr>
      <w:r w:rsidRPr="00A60F41">
        <w:rPr>
          <w:rFonts w:ascii="Times New Roman" w:hAnsi="Times New Roman" w:cs="Times New Roman"/>
          <w:spacing w:val="-2"/>
          <w:sz w:val="21"/>
          <w:szCs w:val="21"/>
        </w:rPr>
        <w:t>Україна долучається до сучасних процесів глобального перерозподілу людського потенціалу, будучи одночасно країною походження, призначення і транзиту мігрантів. Враховуючи складну демографічну ситуацію, пов’язану зі скороченням населення внаслідок низького природного приросту і міграційного відтоку та одночасного підвищення ролі людини як носія потенціалу для побудови нової економіки, заснованої на знаннях, накопичення і збереження людського потенціалу стає одночасно основним завданням і фактором соціально-економічного розвитку [</w:t>
      </w:r>
      <w:r>
        <w:rPr>
          <w:rFonts w:ascii="Times New Roman" w:hAnsi="Times New Roman" w:cs="Times New Roman"/>
          <w:sz w:val="21"/>
          <w:szCs w:val="21"/>
          <w:highlight w:val="yellow"/>
        </w:rPr>
        <w:fldChar w:fldCharType="begin"/>
      </w:r>
      <w:r>
        <w:rPr>
          <w:rFonts w:ascii="Times New Roman" w:hAnsi="Times New Roman" w:cs="Times New Roman"/>
          <w:spacing w:val="-2"/>
          <w:sz w:val="21"/>
          <w:szCs w:val="21"/>
        </w:rPr>
        <w:instrText xml:space="preserve"> REF _Ref435187533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pacing w:val="-2"/>
          <w:sz w:val="21"/>
          <w:szCs w:val="21"/>
        </w:rPr>
        <w:t>57</w:t>
      </w:r>
      <w:r>
        <w:rPr>
          <w:rFonts w:ascii="Times New Roman" w:hAnsi="Times New Roman" w:cs="Times New Roman"/>
          <w:sz w:val="21"/>
          <w:szCs w:val="21"/>
          <w:highlight w:val="yellow"/>
        </w:rPr>
        <w:fldChar w:fldCharType="end"/>
      </w:r>
      <w:r w:rsidRPr="00A60F41">
        <w:rPr>
          <w:rFonts w:ascii="Times New Roman" w:hAnsi="Times New Roman" w:cs="Times New Roman"/>
          <w:spacing w:val="-2"/>
          <w:sz w:val="21"/>
          <w:szCs w:val="21"/>
        </w:rPr>
        <w:t xml:space="preserve">, </w:t>
      </w:r>
      <w:r w:rsidRPr="00A60F41">
        <w:rPr>
          <w:rFonts w:ascii="Times New Roman" w:hAnsi="Times New Roman" w:cs="Times New Roman"/>
          <w:spacing w:val="-2"/>
          <w:sz w:val="21"/>
          <w:szCs w:val="21"/>
          <w:lang w:val="en-US"/>
        </w:rPr>
        <w:t>c</w:t>
      </w:r>
      <w:r w:rsidRPr="00A60F41">
        <w:rPr>
          <w:rFonts w:ascii="Times New Roman" w:hAnsi="Times New Roman" w:cs="Times New Roman"/>
          <w:spacing w:val="-2"/>
          <w:sz w:val="21"/>
          <w:szCs w:val="21"/>
        </w:rPr>
        <w:t>. 87]. Реалізація цього завдання засобами міграційної політики, спрямованої на ефективний перерозподіл людського потенціалу, може забезпечити найкращий результат за даних умов.</w:t>
      </w:r>
    </w:p>
    <w:p w:rsidR="00B233DE"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lastRenderedPageBreak/>
        <w:t>За оцінками Світового банку, на 2010 рік обсяги еміграції з України склали 6,6 млн чол., що перевищило 14</w:t>
      </w:r>
      <w:r>
        <w:rPr>
          <w:rFonts w:ascii="Times New Roman" w:hAnsi="Times New Roman" w:cs="Times New Roman"/>
          <w:sz w:val="21"/>
          <w:szCs w:val="21"/>
        </w:rPr>
        <w:t xml:space="preserve"> </w:t>
      </w:r>
      <w:r w:rsidRPr="00A60F41">
        <w:rPr>
          <w:rFonts w:ascii="Times New Roman" w:hAnsi="Times New Roman" w:cs="Times New Roman"/>
          <w:sz w:val="21"/>
          <w:szCs w:val="21"/>
        </w:rPr>
        <w:t>% населення України [</w:t>
      </w:r>
      <w:r>
        <w:rPr>
          <w:rStyle w:val="HTML1"/>
          <w:rFonts w:ascii="Times New Roman" w:hAnsi="Times New Roman" w:cs="Times New Roman"/>
          <w:i w:val="0"/>
          <w:spacing w:val="-6"/>
          <w:sz w:val="21"/>
          <w:szCs w:val="21"/>
          <w:highlight w:val="yellow"/>
          <w:lang w:val="en-US"/>
        </w:rPr>
        <w:fldChar w:fldCharType="begin"/>
      </w:r>
      <w:r>
        <w:rPr>
          <w:rFonts w:ascii="Times New Roman" w:hAnsi="Times New Roman" w:cs="Times New Roman"/>
          <w:sz w:val="21"/>
          <w:szCs w:val="21"/>
        </w:rPr>
        <w:instrText xml:space="preserve"> REF _Ref435187541 \r \h </w:instrText>
      </w:r>
      <w:r>
        <w:rPr>
          <w:rStyle w:val="HTML1"/>
          <w:rFonts w:ascii="Times New Roman" w:hAnsi="Times New Roman" w:cs="Times New Roman"/>
          <w:i w:val="0"/>
          <w:spacing w:val="-6"/>
          <w:sz w:val="21"/>
          <w:szCs w:val="21"/>
          <w:highlight w:val="yellow"/>
          <w:lang w:val="en-US"/>
        </w:rPr>
      </w:r>
      <w:r>
        <w:rPr>
          <w:rStyle w:val="HTML1"/>
          <w:rFonts w:ascii="Times New Roman" w:hAnsi="Times New Roman" w:cs="Times New Roman"/>
          <w:i w:val="0"/>
          <w:spacing w:val="-6"/>
          <w:sz w:val="21"/>
          <w:szCs w:val="21"/>
          <w:highlight w:val="yellow"/>
          <w:lang w:val="en-US"/>
        </w:rPr>
        <w:fldChar w:fldCharType="separate"/>
      </w:r>
      <w:r>
        <w:rPr>
          <w:rFonts w:ascii="Times New Roman" w:hAnsi="Times New Roman" w:cs="Times New Roman"/>
          <w:sz w:val="21"/>
          <w:szCs w:val="21"/>
        </w:rPr>
        <w:t>89</w:t>
      </w:r>
      <w:r>
        <w:rPr>
          <w:rStyle w:val="HTML1"/>
          <w:rFonts w:ascii="Times New Roman" w:hAnsi="Times New Roman" w:cs="Times New Roman"/>
          <w:i w:val="0"/>
          <w:spacing w:val="-6"/>
          <w:sz w:val="21"/>
          <w:szCs w:val="21"/>
          <w:highlight w:val="yellow"/>
          <w:lang w:val="en-US"/>
        </w:rPr>
        <w:fldChar w:fldCharType="end"/>
      </w:r>
      <w:r w:rsidRPr="00A60F41">
        <w:rPr>
          <w:rFonts w:ascii="Times New Roman" w:hAnsi="Times New Roman" w:cs="Times New Roman"/>
          <w:sz w:val="21"/>
          <w:szCs w:val="21"/>
        </w:rPr>
        <w:t xml:space="preserve">, </w:t>
      </w:r>
      <w:r w:rsidRPr="00A60F41">
        <w:rPr>
          <w:rFonts w:ascii="Times New Roman" w:hAnsi="Times New Roman" w:cs="Times New Roman"/>
          <w:sz w:val="21"/>
          <w:szCs w:val="21"/>
          <w:lang w:val="en-US"/>
        </w:rPr>
        <w:t>c</w:t>
      </w:r>
      <w:r w:rsidRPr="00A60F41">
        <w:rPr>
          <w:rFonts w:ascii="Times New Roman" w:hAnsi="Times New Roman" w:cs="Times New Roman"/>
          <w:sz w:val="21"/>
          <w:szCs w:val="21"/>
        </w:rPr>
        <w:t>. 249]. Ця цифра включає як переселенську міграцію, так і трудову на постійній та довгостроковій основі. Основними країнами призначення емігрантів з часу здобуття незалежності до 2015 року стали Росія, Ізраїль, США, Білорусь, Чехія, Іспанія, Італія, Канада (рис. 4.1</w:t>
      </w:r>
      <w:r>
        <w:rPr>
          <w:rFonts w:ascii="Times New Roman" w:hAnsi="Times New Roman" w:cs="Times New Roman"/>
          <w:sz w:val="21"/>
          <w:szCs w:val="21"/>
        </w:rPr>
        <w:t>1</w:t>
      </w:r>
      <w:r w:rsidRPr="00A60F41">
        <w:rPr>
          <w:rFonts w:ascii="Times New Roman" w:hAnsi="Times New Roman" w:cs="Times New Roman"/>
          <w:sz w:val="21"/>
          <w:szCs w:val="21"/>
        </w:rPr>
        <w:t>).</w:t>
      </w:r>
    </w:p>
    <w:p w:rsidR="00B233DE" w:rsidRPr="00A60F41" w:rsidRDefault="00B233DE" w:rsidP="00B233DE">
      <w:pPr>
        <w:ind w:firstLine="709"/>
        <w:jc w:val="both"/>
        <w:rPr>
          <w:rFonts w:ascii="Times New Roman" w:hAnsi="Times New Roman" w:cs="Times New Roman"/>
          <w:sz w:val="21"/>
          <w:szCs w:val="21"/>
        </w:rPr>
      </w:pPr>
    </w:p>
    <w:p w:rsidR="00B233DE" w:rsidRPr="00A60F41" w:rsidRDefault="00B233DE" w:rsidP="00B233DE">
      <w:pPr>
        <w:spacing w:line="360" w:lineRule="auto"/>
        <w:ind w:firstLine="0"/>
        <w:jc w:val="both"/>
        <w:rPr>
          <w:rFonts w:ascii="Times New Roman" w:hAnsi="Times New Roman" w:cs="Times New Roman"/>
          <w:sz w:val="21"/>
          <w:szCs w:val="21"/>
        </w:rPr>
      </w:pPr>
      <w:r w:rsidRPr="00A60F41">
        <w:rPr>
          <w:rFonts w:ascii="Times New Roman" w:hAnsi="Times New Roman" w:cs="Times New Roman"/>
          <w:noProof/>
          <w:sz w:val="21"/>
          <w:szCs w:val="21"/>
          <w:lang w:val="ru-RU" w:eastAsia="ru-RU"/>
        </w:rPr>
        <w:drawing>
          <wp:inline distT="0" distB="0" distL="0" distR="0" wp14:anchorId="44F11CF2" wp14:editId="70F043D5">
            <wp:extent cx="3865244" cy="2142067"/>
            <wp:effectExtent l="0" t="0" r="2540" b="0"/>
            <wp:docPr id="1378" name="Рисунок 1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870384" cy="2144915"/>
                    </a:xfrm>
                    <a:prstGeom prst="rect">
                      <a:avLst/>
                    </a:prstGeom>
                    <a:noFill/>
                    <a:ln>
                      <a:noFill/>
                    </a:ln>
                  </pic:spPr>
                </pic:pic>
              </a:graphicData>
            </a:graphic>
          </wp:inline>
        </w:drawing>
      </w:r>
    </w:p>
    <w:p w:rsidR="00B233DE" w:rsidRPr="003906EC" w:rsidRDefault="00B233DE" w:rsidP="00B233DE">
      <w:pPr>
        <w:ind w:firstLine="709"/>
        <w:jc w:val="center"/>
        <w:rPr>
          <w:rFonts w:ascii="Times New Roman" w:hAnsi="Times New Roman" w:cs="Times New Roman"/>
          <w:b/>
          <w:sz w:val="21"/>
          <w:szCs w:val="21"/>
        </w:rPr>
      </w:pPr>
      <w:r w:rsidRPr="003906EC">
        <w:rPr>
          <w:rFonts w:ascii="Times New Roman" w:hAnsi="Times New Roman" w:cs="Times New Roman"/>
          <w:b/>
          <w:sz w:val="21"/>
          <w:szCs w:val="21"/>
        </w:rPr>
        <w:t>Рис. 4.11. Основні країни призначення емігрантів з України, % від загальної кількості [</w:t>
      </w:r>
      <w:r>
        <w:rPr>
          <w:rStyle w:val="HTML1"/>
          <w:rFonts w:ascii="Times New Roman" w:hAnsi="Times New Roman" w:cs="Times New Roman"/>
          <w:i w:val="0"/>
          <w:sz w:val="21"/>
          <w:szCs w:val="21"/>
          <w:highlight w:val="yellow"/>
          <w:lang w:val="en-US"/>
        </w:rPr>
        <w:fldChar w:fldCharType="begin"/>
      </w:r>
      <w:r>
        <w:rPr>
          <w:rFonts w:ascii="Times New Roman" w:hAnsi="Times New Roman" w:cs="Times New Roman"/>
          <w:b/>
          <w:sz w:val="21"/>
          <w:szCs w:val="21"/>
        </w:rPr>
        <w:instrText xml:space="preserve"> REF _Ref435187546 \r \h </w:instrText>
      </w:r>
      <w:r>
        <w:rPr>
          <w:rStyle w:val="HTML1"/>
          <w:rFonts w:ascii="Times New Roman" w:hAnsi="Times New Roman" w:cs="Times New Roman"/>
          <w:i w:val="0"/>
          <w:sz w:val="21"/>
          <w:szCs w:val="21"/>
          <w:highlight w:val="yellow"/>
          <w:lang w:val="en-US"/>
        </w:rPr>
      </w:r>
      <w:r>
        <w:rPr>
          <w:rStyle w:val="HTML1"/>
          <w:rFonts w:ascii="Times New Roman" w:hAnsi="Times New Roman" w:cs="Times New Roman"/>
          <w:i w:val="0"/>
          <w:sz w:val="21"/>
          <w:szCs w:val="21"/>
          <w:highlight w:val="yellow"/>
          <w:lang w:val="en-US"/>
        </w:rPr>
        <w:fldChar w:fldCharType="separate"/>
      </w:r>
      <w:r>
        <w:rPr>
          <w:rFonts w:ascii="Times New Roman" w:hAnsi="Times New Roman" w:cs="Times New Roman"/>
          <w:b/>
          <w:sz w:val="21"/>
          <w:szCs w:val="21"/>
        </w:rPr>
        <w:t>90</w:t>
      </w:r>
      <w:r>
        <w:rPr>
          <w:rStyle w:val="HTML1"/>
          <w:rFonts w:ascii="Times New Roman" w:hAnsi="Times New Roman" w:cs="Times New Roman"/>
          <w:i w:val="0"/>
          <w:sz w:val="21"/>
          <w:szCs w:val="21"/>
          <w:highlight w:val="yellow"/>
          <w:lang w:val="en-US"/>
        </w:rPr>
        <w:fldChar w:fldCharType="end"/>
      </w:r>
      <w:r w:rsidRPr="003906EC">
        <w:rPr>
          <w:rFonts w:ascii="Times New Roman" w:hAnsi="Times New Roman" w:cs="Times New Roman"/>
          <w:b/>
          <w:sz w:val="21"/>
          <w:szCs w:val="21"/>
        </w:rPr>
        <w:t>]</w:t>
      </w:r>
    </w:p>
    <w:p w:rsidR="00B233DE" w:rsidRPr="00A60F41" w:rsidRDefault="00B233DE" w:rsidP="00B233DE">
      <w:pPr>
        <w:ind w:firstLine="709"/>
        <w:jc w:val="both"/>
        <w:rPr>
          <w:rFonts w:ascii="Times New Roman" w:hAnsi="Times New Roman" w:cs="Times New Roman"/>
          <w:sz w:val="21"/>
          <w:szCs w:val="21"/>
        </w:rPr>
      </w:pPr>
    </w:p>
    <w:p w:rsidR="00B233DE" w:rsidRPr="00A60F41"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За означений період еміграційні процеси стали однією з головних причин значної втрати трудової, освітньо-кваліфікаційної та демографічної складових людського потенціалу України.</w:t>
      </w:r>
    </w:p>
    <w:p w:rsidR="00B233DE"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Починаючи з 2005 року, сальдо міждержавного міграцій</w:t>
      </w:r>
      <w:r>
        <w:rPr>
          <w:rFonts w:ascii="Times New Roman" w:hAnsi="Times New Roman" w:cs="Times New Roman"/>
          <w:sz w:val="21"/>
          <w:szCs w:val="21"/>
        </w:rPr>
        <w:t>-</w:t>
      </w:r>
      <w:r w:rsidRPr="00A60F41">
        <w:rPr>
          <w:rFonts w:ascii="Times New Roman" w:hAnsi="Times New Roman" w:cs="Times New Roman"/>
          <w:sz w:val="21"/>
          <w:szCs w:val="21"/>
        </w:rPr>
        <w:t>ного обміну України набуло позитивного значення завдяки зростанню імміграційного потоку в країну (рис. 4.</w:t>
      </w:r>
      <w:r>
        <w:rPr>
          <w:rFonts w:ascii="Times New Roman" w:hAnsi="Times New Roman" w:cs="Times New Roman"/>
          <w:sz w:val="21"/>
          <w:szCs w:val="21"/>
        </w:rPr>
        <w:t>1</w:t>
      </w:r>
      <w:r w:rsidRPr="00A60F41">
        <w:rPr>
          <w:rFonts w:ascii="Times New Roman" w:hAnsi="Times New Roman" w:cs="Times New Roman"/>
          <w:sz w:val="21"/>
          <w:szCs w:val="21"/>
        </w:rPr>
        <w:t>2).</w:t>
      </w:r>
    </w:p>
    <w:p w:rsidR="00B233DE"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Здебільшого цей показник враховує осіб, народжених в республіках колишнього СРСР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_Ref435187553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45</w:t>
      </w:r>
      <w:r>
        <w:rPr>
          <w:rFonts w:ascii="Times New Roman" w:hAnsi="Times New Roman" w:cs="Times New Roman"/>
          <w:sz w:val="21"/>
          <w:szCs w:val="21"/>
          <w:highlight w:val="yellow"/>
        </w:rPr>
        <w:fldChar w:fldCharType="end"/>
      </w:r>
      <w:r w:rsidRPr="00A60F41">
        <w:rPr>
          <w:rFonts w:ascii="Times New Roman" w:hAnsi="Times New Roman" w:cs="Times New Roman"/>
          <w:sz w:val="21"/>
          <w:szCs w:val="21"/>
        </w:rPr>
        <w:t xml:space="preserve">]. Порівняно з 2005 роком кількість іммігрантів у 2010 році в Україні зменшилась, що пов’язано з набуттям українського громадянства особами, які в перше десятиліття незалежності при переселенні з інших республік колишнього СРСР вважались мігрантами, а також з подальшою їх еміграцією до європейських країн. </w:t>
      </w:r>
    </w:p>
    <w:p w:rsidR="00B233DE" w:rsidRPr="00A60F41" w:rsidRDefault="00B233DE" w:rsidP="00B233DE">
      <w:pPr>
        <w:ind w:firstLine="709"/>
        <w:jc w:val="both"/>
        <w:rPr>
          <w:rFonts w:ascii="Times New Roman" w:hAnsi="Times New Roman" w:cs="Times New Roman"/>
          <w:sz w:val="21"/>
          <w:szCs w:val="21"/>
        </w:rPr>
      </w:pPr>
    </w:p>
    <w:p w:rsidR="00B233DE" w:rsidRPr="00A60F41" w:rsidRDefault="00B233DE" w:rsidP="00B233DE">
      <w:pPr>
        <w:spacing w:line="360" w:lineRule="auto"/>
        <w:ind w:firstLine="709"/>
        <w:jc w:val="both"/>
        <w:rPr>
          <w:rFonts w:ascii="Times New Roman" w:hAnsi="Times New Roman" w:cs="Times New Roman"/>
          <w:sz w:val="21"/>
          <w:szCs w:val="21"/>
        </w:rPr>
      </w:pPr>
      <w:r w:rsidRPr="00A60F41">
        <w:rPr>
          <w:rFonts w:ascii="Times New Roman" w:hAnsi="Times New Roman" w:cs="Times New Roman"/>
          <w:noProof/>
          <w:sz w:val="21"/>
          <w:szCs w:val="21"/>
          <w:lang w:val="ru-RU" w:eastAsia="ru-RU"/>
        </w:rPr>
        <w:lastRenderedPageBreak/>
        <w:drawing>
          <wp:inline distT="0" distB="0" distL="0" distR="0" wp14:anchorId="2F054205" wp14:editId="77C297B3">
            <wp:extent cx="3412067" cy="2133600"/>
            <wp:effectExtent l="0" t="0" r="0" b="0"/>
            <wp:docPr id="1379" name="Объект 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B233DE" w:rsidRPr="00F05F54" w:rsidRDefault="00B233DE" w:rsidP="00B233DE">
      <w:pPr>
        <w:ind w:firstLine="709"/>
        <w:jc w:val="center"/>
        <w:rPr>
          <w:rFonts w:ascii="Times New Roman" w:hAnsi="Times New Roman" w:cs="Times New Roman"/>
          <w:b/>
          <w:sz w:val="21"/>
          <w:szCs w:val="21"/>
        </w:rPr>
      </w:pPr>
      <w:r w:rsidRPr="00F05F54">
        <w:rPr>
          <w:rFonts w:ascii="Times New Roman" w:hAnsi="Times New Roman" w:cs="Times New Roman"/>
          <w:b/>
          <w:sz w:val="21"/>
          <w:szCs w:val="21"/>
        </w:rPr>
        <w:t>Рис. 4.12</w:t>
      </w:r>
      <w:r>
        <w:rPr>
          <w:rFonts w:ascii="Times New Roman" w:hAnsi="Times New Roman" w:cs="Times New Roman"/>
          <w:b/>
          <w:sz w:val="21"/>
          <w:szCs w:val="21"/>
        </w:rPr>
        <w:t>.</w:t>
      </w:r>
      <w:r w:rsidRPr="00F05F54">
        <w:rPr>
          <w:rFonts w:ascii="Times New Roman" w:hAnsi="Times New Roman" w:cs="Times New Roman"/>
          <w:b/>
          <w:sz w:val="21"/>
          <w:szCs w:val="21"/>
        </w:rPr>
        <w:t xml:space="preserve"> Сальдо міграції в Україні в 2003</w:t>
      </w:r>
      <w:r>
        <w:rPr>
          <w:rFonts w:ascii="Times New Roman" w:hAnsi="Times New Roman" w:cs="Times New Roman"/>
          <w:b/>
          <w:sz w:val="21"/>
          <w:szCs w:val="21"/>
        </w:rPr>
        <w:t>–</w:t>
      </w:r>
      <w:r w:rsidRPr="00F05F54">
        <w:rPr>
          <w:rFonts w:ascii="Times New Roman" w:hAnsi="Times New Roman" w:cs="Times New Roman"/>
          <w:b/>
          <w:sz w:val="21"/>
          <w:szCs w:val="21"/>
        </w:rPr>
        <w:t>2014 роках за даними Державної служби статистики [</w:t>
      </w:r>
      <w:r>
        <w:rPr>
          <w:rFonts w:ascii="Times New Roman" w:hAnsi="Times New Roman" w:cs="Times New Roman"/>
          <w:sz w:val="21"/>
          <w:szCs w:val="21"/>
          <w:highlight w:val="yellow"/>
        </w:rPr>
        <w:fldChar w:fldCharType="begin"/>
      </w:r>
      <w:r>
        <w:rPr>
          <w:rFonts w:ascii="Times New Roman" w:hAnsi="Times New Roman" w:cs="Times New Roman"/>
          <w:b/>
          <w:sz w:val="21"/>
          <w:szCs w:val="21"/>
        </w:rPr>
        <w:instrText xml:space="preserve"> REF _Ref435187560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b/>
          <w:sz w:val="21"/>
          <w:szCs w:val="21"/>
        </w:rPr>
        <w:t>8</w:t>
      </w:r>
      <w:r>
        <w:rPr>
          <w:rFonts w:ascii="Times New Roman" w:hAnsi="Times New Roman" w:cs="Times New Roman"/>
          <w:sz w:val="21"/>
          <w:szCs w:val="21"/>
          <w:highlight w:val="yellow"/>
        </w:rPr>
        <w:fldChar w:fldCharType="end"/>
      </w:r>
      <w:r w:rsidRPr="00F05F54">
        <w:rPr>
          <w:rFonts w:ascii="Times New Roman" w:hAnsi="Times New Roman" w:cs="Times New Roman"/>
          <w:b/>
          <w:sz w:val="21"/>
          <w:szCs w:val="21"/>
        </w:rPr>
        <w:t>]</w:t>
      </w:r>
    </w:p>
    <w:p w:rsidR="00B233DE" w:rsidRPr="00A60F41"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pacing w:val="-6"/>
          <w:sz w:val="21"/>
          <w:szCs w:val="21"/>
        </w:rPr>
      </w:pPr>
      <w:r w:rsidRPr="00A60F41">
        <w:rPr>
          <w:rFonts w:ascii="Times New Roman" w:hAnsi="Times New Roman" w:cs="Times New Roman"/>
          <w:spacing w:val="-6"/>
          <w:sz w:val="21"/>
          <w:szCs w:val="21"/>
        </w:rPr>
        <w:t>На початок 2015 року, за даними Світового банку, основними країнами походження іммігрантів стали Російська Федерація, Молдова, Вірменія, Грузія, Азербайджан, Білорусь, В’єтнам та Казахстан. Іншими країнами походження іммігрантів є Ізраїль, Литва, Китай, Нігерія, Пакистан, Іран, Афганістан (рис. 4.</w:t>
      </w:r>
      <w:r>
        <w:rPr>
          <w:rFonts w:ascii="Times New Roman" w:hAnsi="Times New Roman" w:cs="Times New Roman"/>
          <w:spacing w:val="-6"/>
          <w:sz w:val="21"/>
          <w:szCs w:val="21"/>
        </w:rPr>
        <w:t>1</w:t>
      </w:r>
      <w:r w:rsidRPr="00A60F41">
        <w:rPr>
          <w:rFonts w:ascii="Times New Roman" w:hAnsi="Times New Roman" w:cs="Times New Roman"/>
          <w:spacing w:val="-6"/>
          <w:sz w:val="21"/>
          <w:szCs w:val="21"/>
        </w:rPr>
        <w:t>3).</w:t>
      </w:r>
    </w:p>
    <w:p w:rsidR="00B233DE" w:rsidRDefault="00B233DE" w:rsidP="00B233DE">
      <w:pPr>
        <w:ind w:firstLine="709"/>
        <w:jc w:val="both"/>
        <w:rPr>
          <w:rFonts w:ascii="Times New Roman" w:hAnsi="Times New Roman" w:cs="Times New Roman"/>
          <w:spacing w:val="-12"/>
          <w:sz w:val="21"/>
          <w:szCs w:val="21"/>
        </w:rPr>
      </w:pPr>
    </w:p>
    <w:p w:rsidR="00B233DE" w:rsidRDefault="00BE40F8" w:rsidP="00B233DE">
      <w:pPr>
        <w:ind w:firstLine="0"/>
        <w:jc w:val="both"/>
        <w:rPr>
          <w:rFonts w:ascii="Times New Roman" w:hAnsi="Times New Roman" w:cs="Times New Roman"/>
          <w:spacing w:val="-12"/>
          <w:sz w:val="21"/>
          <w:szCs w:val="21"/>
        </w:rPr>
      </w:pPr>
      <w:r>
        <w:rPr>
          <w:noProof/>
          <w:lang w:val="ru-RU" w:eastAsia="ru-RU"/>
        </w:rPr>
        <w:drawing>
          <wp:anchor distT="0" distB="0" distL="114300" distR="114300" simplePos="0" relativeHeight="251695104" behindDoc="0" locked="0" layoutInCell="1" allowOverlap="1" wp14:anchorId="5B80F002" wp14:editId="7C845DD5">
            <wp:simplePos x="0" y="0"/>
            <wp:positionH relativeFrom="column">
              <wp:posOffset>2527935</wp:posOffset>
            </wp:positionH>
            <wp:positionV relativeFrom="paragraph">
              <wp:posOffset>71120</wp:posOffset>
            </wp:positionV>
            <wp:extent cx="1819275" cy="1695450"/>
            <wp:effectExtent l="0" t="0" r="0" b="0"/>
            <wp:wrapNone/>
            <wp:docPr id="1388"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14:sizeRelH relativeFrom="margin">
              <wp14:pctWidth>0</wp14:pctWidth>
            </wp14:sizeRelH>
            <wp14:sizeRelV relativeFrom="margin">
              <wp14:pctHeight>0</wp14:pctHeight>
            </wp14:sizeRelV>
          </wp:anchor>
        </w:drawing>
      </w:r>
      <w:r>
        <w:rPr>
          <w:noProof/>
          <w:lang w:val="ru-RU" w:eastAsia="ru-RU"/>
        </w:rPr>
        <w:drawing>
          <wp:anchor distT="0" distB="0" distL="114300" distR="114300" simplePos="0" relativeHeight="251694080" behindDoc="0" locked="0" layoutInCell="1" allowOverlap="1" wp14:anchorId="78278286" wp14:editId="1EC73675">
            <wp:simplePos x="0" y="0"/>
            <wp:positionH relativeFrom="column">
              <wp:posOffset>-167640</wp:posOffset>
            </wp:positionH>
            <wp:positionV relativeFrom="paragraph">
              <wp:posOffset>71121</wp:posOffset>
            </wp:positionV>
            <wp:extent cx="2505075" cy="1790700"/>
            <wp:effectExtent l="0" t="0" r="9525" b="0"/>
            <wp:wrapNone/>
            <wp:docPr id="95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14:sizeRelH relativeFrom="margin">
              <wp14:pctWidth>0</wp14:pctWidth>
            </wp14:sizeRelH>
            <wp14:sizeRelV relativeFrom="margin">
              <wp14:pctHeight>0</wp14:pctHeight>
            </wp14:sizeRelV>
          </wp:anchor>
        </w:drawing>
      </w:r>
    </w:p>
    <w:p w:rsidR="00B233DE" w:rsidRDefault="00B233DE" w:rsidP="00B233DE">
      <w:pPr>
        <w:ind w:firstLine="709"/>
        <w:jc w:val="both"/>
        <w:rPr>
          <w:rFonts w:ascii="Times New Roman" w:hAnsi="Times New Roman" w:cs="Times New Roman"/>
          <w:spacing w:val="-12"/>
          <w:sz w:val="21"/>
          <w:szCs w:val="21"/>
        </w:rPr>
      </w:pPr>
    </w:p>
    <w:p w:rsidR="00B233DE" w:rsidRDefault="00B233DE" w:rsidP="00B233DE">
      <w:pPr>
        <w:ind w:firstLine="709"/>
        <w:jc w:val="both"/>
        <w:rPr>
          <w:rFonts w:ascii="Times New Roman" w:hAnsi="Times New Roman" w:cs="Times New Roman"/>
          <w:spacing w:val="-12"/>
          <w:sz w:val="21"/>
          <w:szCs w:val="21"/>
        </w:rPr>
      </w:pPr>
    </w:p>
    <w:p w:rsidR="00B233DE" w:rsidRDefault="00B233DE" w:rsidP="00B233DE">
      <w:pPr>
        <w:ind w:firstLine="709"/>
        <w:jc w:val="both"/>
        <w:rPr>
          <w:rFonts w:ascii="Times New Roman" w:hAnsi="Times New Roman" w:cs="Times New Roman"/>
          <w:spacing w:val="-12"/>
          <w:sz w:val="21"/>
          <w:szCs w:val="21"/>
        </w:rPr>
      </w:pPr>
    </w:p>
    <w:p w:rsidR="00B233DE" w:rsidRDefault="00B233DE" w:rsidP="00B233DE">
      <w:pPr>
        <w:ind w:firstLine="709"/>
        <w:jc w:val="both"/>
        <w:rPr>
          <w:rFonts w:ascii="Times New Roman" w:hAnsi="Times New Roman" w:cs="Times New Roman"/>
          <w:spacing w:val="-12"/>
          <w:sz w:val="21"/>
          <w:szCs w:val="21"/>
        </w:rPr>
      </w:pPr>
    </w:p>
    <w:p w:rsidR="00B233DE" w:rsidRDefault="00B233DE" w:rsidP="00B233DE">
      <w:pPr>
        <w:ind w:firstLine="709"/>
        <w:jc w:val="both"/>
        <w:rPr>
          <w:rFonts w:ascii="Times New Roman" w:hAnsi="Times New Roman" w:cs="Times New Roman"/>
          <w:spacing w:val="-12"/>
          <w:sz w:val="21"/>
          <w:szCs w:val="21"/>
        </w:rPr>
      </w:pPr>
    </w:p>
    <w:p w:rsidR="00B233DE" w:rsidRDefault="00B233DE" w:rsidP="00B233DE">
      <w:pPr>
        <w:ind w:firstLine="709"/>
        <w:jc w:val="both"/>
        <w:rPr>
          <w:rFonts w:ascii="Times New Roman" w:hAnsi="Times New Roman" w:cs="Times New Roman"/>
          <w:spacing w:val="-12"/>
          <w:sz w:val="21"/>
          <w:szCs w:val="21"/>
        </w:rPr>
      </w:pPr>
    </w:p>
    <w:p w:rsidR="00B233DE" w:rsidRDefault="00B233DE" w:rsidP="00B233DE">
      <w:pPr>
        <w:ind w:firstLine="709"/>
        <w:jc w:val="both"/>
        <w:rPr>
          <w:rFonts w:ascii="Times New Roman" w:hAnsi="Times New Roman" w:cs="Times New Roman"/>
          <w:spacing w:val="-12"/>
          <w:sz w:val="21"/>
          <w:szCs w:val="21"/>
        </w:rPr>
      </w:pPr>
    </w:p>
    <w:p w:rsidR="00B233DE" w:rsidRDefault="00B233DE" w:rsidP="00B233DE">
      <w:pPr>
        <w:ind w:firstLine="709"/>
        <w:jc w:val="both"/>
        <w:rPr>
          <w:rFonts w:ascii="Times New Roman" w:hAnsi="Times New Roman" w:cs="Times New Roman"/>
          <w:spacing w:val="-12"/>
          <w:sz w:val="21"/>
          <w:szCs w:val="21"/>
        </w:rPr>
      </w:pPr>
    </w:p>
    <w:p w:rsidR="00B233DE" w:rsidRDefault="00B233DE" w:rsidP="00B233DE">
      <w:pPr>
        <w:ind w:firstLine="709"/>
        <w:jc w:val="both"/>
        <w:rPr>
          <w:rFonts w:ascii="Times New Roman" w:hAnsi="Times New Roman" w:cs="Times New Roman"/>
          <w:spacing w:val="-12"/>
          <w:sz w:val="21"/>
          <w:szCs w:val="21"/>
        </w:rPr>
      </w:pPr>
    </w:p>
    <w:p w:rsidR="00B233DE" w:rsidRDefault="00B233DE" w:rsidP="00B233DE">
      <w:pPr>
        <w:ind w:firstLine="709"/>
        <w:jc w:val="both"/>
        <w:rPr>
          <w:rFonts w:ascii="Times New Roman" w:hAnsi="Times New Roman" w:cs="Times New Roman"/>
          <w:spacing w:val="-12"/>
          <w:sz w:val="21"/>
          <w:szCs w:val="21"/>
        </w:rPr>
      </w:pPr>
    </w:p>
    <w:p w:rsidR="00B233DE" w:rsidRDefault="00B233DE" w:rsidP="00B233DE">
      <w:pPr>
        <w:ind w:firstLine="709"/>
        <w:jc w:val="both"/>
        <w:rPr>
          <w:rFonts w:ascii="Times New Roman" w:hAnsi="Times New Roman" w:cs="Times New Roman"/>
          <w:spacing w:val="-12"/>
          <w:sz w:val="21"/>
          <w:szCs w:val="21"/>
        </w:rPr>
      </w:pPr>
    </w:p>
    <w:p w:rsidR="00B233DE" w:rsidRPr="00F05F54" w:rsidRDefault="00B233DE" w:rsidP="00B233DE">
      <w:pPr>
        <w:ind w:firstLine="709"/>
        <w:jc w:val="center"/>
        <w:rPr>
          <w:rFonts w:ascii="Times New Roman" w:hAnsi="Times New Roman" w:cs="Times New Roman"/>
          <w:b/>
          <w:spacing w:val="-12"/>
          <w:sz w:val="21"/>
          <w:szCs w:val="21"/>
        </w:rPr>
      </w:pPr>
      <w:r w:rsidRPr="00F05F54">
        <w:rPr>
          <w:rFonts w:ascii="Times New Roman" w:hAnsi="Times New Roman" w:cs="Times New Roman"/>
          <w:b/>
          <w:spacing w:val="-12"/>
          <w:sz w:val="21"/>
          <w:szCs w:val="21"/>
        </w:rPr>
        <w:t>Рис. 4.</w:t>
      </w:r>
      <w:r>
        <w:rPr>
          <w:rFonts w:ascii="Times New Roman" w:hAnsi="Times New Roman" w:cs="Times New Roman"/>
          <w:b/>
          <w:spacing w:val="-12"/>
          <w:sz w:val="21"/>
          <w:szCs w:val="21"/>
        </w:rPr>
        <w:t>1</w:t>
      </w:r>
      <w:r w:rsidRPr="00F05F54">
        <w:rPr>
          <w:rFonts w:ascii="Times New Roman" w:hAnsi="Times New Roman" w:cs="Times New Roman"/>
          <w:b/>
          <w:spacing w:val="-12"/>
          <w:sz w:val="21"/>
          <w:szCs w:val="21"/>
        </w:rPr>
        <w:t>3</w:t>
      </w:r>
      <w:r>
        <w:rPr>
          <w:rFonts w:ascii="Times New Roman" w:hAnsi="Times New Roman" w:cs="Times New Roman"/>
          <w:b/>
          <w:spacing w:val="-12"/>
          <w:sz w:val="21"/>
          <w:szCs w:val="21"/>
        </w:rPr>
        <w:t>.</w:t>
      </w:r>
      <w:r w:rsidRPr="00F05F54">
        <w:rPr>
          <w:rFonts w:ascii="Times New Roman" w:hAnsi="Times New Roman" w:cs="Times New Roman"/>
          <w:b/>
          <w:spacing w:val="-12"/>
          <w:sz w:val="21"/>
          <w:szCs w:val="21"/>
        </w:rPr>
        <w:t xml:space="preserve"> Країни походження іммігрантів в Україну: а) основні країни походження, тис. осіб; б) основні країни-постачальники мігрантів серед інших країн походження [</w:t>
      </w:r>
      <w:r>
        <w:rPr>
          <w:rStyle w:val="HTML1"/>
          <w:rFonts w:ascii="Times New Roman" w:hAnsi="Times New Roman" w:cs="Times New Roman"/>
          <w:i w:val="0"/>
          <w:sz w:val="21"/>
          <w:szCs w:val="21"/>
          <w:highlight w:val="yellow"/>
        </w:rPr>
        <w:fldChar w:fldCharType="begin"/>
      </w:r>
      <w:r>
        <w:rPr>
          <w:rFonts w:ascii="Times New Roman" w:hAnsi="Times New Roman" w:cs="Times New Roman"/>
          <w:b/>
          <w:spacing w:val="-12"/>
          <w:sz w:val="21"/>
          <w:szCs w:val="21"/>
        </w:rPr>
        <w:instrText xml:space="preserve"> REF _Ref435187568 \r \h </w:instrText>
      </w:r>
      <w:r>
        <w:rPr>
          <w:rStyle w:val="HTML1"/>
          <w:rFonts w:ascii="Times New Roman" w:hAnsi="Times New Roman" w:cs="Times New Roman"/>
          <w:i w:val="0"/>
          <w:sz w:val="21"/>
          <w:szCs w:val="21"/>
          <w:highlight w:val="yellow"/>
        </w:rPr>
      </w:r>
      <w:r>
        <w:rPr>
          <w:rStyle w:val="HTML1"/>
          <w:rFonts w:ascii="Times New Roman" w:hAnsi="Times New Roman" w:cs="Times New Roman"/>
          <w:i w:val="0"/>
          <w:sz w:val="21"/>
          <w:szCs w:val="21"/>
          <w:highlight w:val="yellow"/>
        </w:rPr>
        <w:fldChar w:fldCharType="separate"/>
      </w:r>
      <w:r>
        <w:rPr>
          <w:rFonts w:ascii="Times New Roman" w:hAnsi="Times New Roman" w:cs="Times New Roman"/>
          <w:b/>
          <w:spacing w:val="-12"/>
          <w:sz w:val="21"/>
          <w:szCs w:val="21"/>
        </w:rPr>
        <w:t>15</w:t>
      </w:r>
      <w:r>
        <w:rPr>
          <w:rStyle w:val="HTML1"/>
          <w:rFonts w:ascii="Times New Roman" w:hAnsi="Times New Roman" w:cs="Times New Roman"/>
          <w:i w:val="0"/>
          <w:sz w:val="21"/>
          <w:szCs w:val="21"/>
          <w:highlight w:val="yellow"/>
        </w:rPr>
        <w:fldChar w:fldCharType="end"/>
      </w:r>
      <w:r w:rsidRPr="00F05F54">
        <w:rPr>
          <w:rFonts w:ascii="Times New Roman" w:hAnsi="Times New Roman" w:cs="Times New Roman"/>
          <w:b/>
          <w:spacing w:val="-12"/>
          <w:sz w:val="21"/>
          <w:szCs w:val="21"/>
        </w:rPr>
        <w:t>]*</w:t>
      </w:r>
    </w:p>
    <w:p w:rsidR="00B233DE" w:rsidRPr="00F05F54" w:rsidRDefault="00B233DE" w:rsidP="00B233DE">
      <w:pPr>
        <w:ind w:firstLine="709"/>
        <w:jc w:val="both"/>
        <w:rPr>
          <w:rFonts w:ascii="Times New Roman" w:hAnsi="Times New Roman" w:cs="Times New Roman"/>
          <w:sz w:val="18"/>
          <w:szCs w:val="18"/>
        </w:rPr>
      </w:pPr>
      <w:r w:rsidRPr="00F05F54">
        <w:rPr>
          <w:rFonts w:ascii="Times New Roman" w:hAnsi="Times New Roman" w:cs="Times New Roman"/>
          <w:sz w:val="18"/>
          <w:szCs w:val="18"/>
        </w:rPr>
        <w:t xml:space="preserve">* </w:t>
      </w:r>
      <w:r>
        <w:rPr>
          <w:rFonts w:ascii="Times New Roman" w:hAnsi="Times New Roman" w:cs="Times New Roman"/>
          <w:sz w:val="18"/>
          <w:szCs w:val="18"/>
        </w:rPr>
        <w:t xml:space="preserve">- </w:t>
      </w:r>
      <w:r w:rsidRPr="00F05F54">
        <w:rPr>
          <w:rFonts w:ascii="Times New Roman" w:hAnsi="Times New Roman" w:cs="Times New Roman"/>
          <w:sz w:val="18"/>
          <w:szCs w:val="18"/>
        </w:rPr>
        <w:t>за даними Світового банку на 2015 рік</w:t>
      </w:r>
    </w:p>
    <w:p w:rsidR="00B233DE"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lastRenderedPageBreak/>
        <w:t>Значні обсяги міграції між Україною та Російською Федерацією зумовлені як економічними чинниками, так і тісними історичними, етнокультурними та сімейними взаємозв’язками, що роблять міграційні процеси майже взаємно рівнозначними, а міграційний коридор між двома країнами – другим за величиною у світі (рис. 4.</w:t>
      </w:r>
      <w:r>
        <w:rPr>
          <w:rFonts w:ascii="Times New Roman" w:hAnsi="Times New Roman" w:cs="Times New Roman"/>
          <w:sz w:val="21"/>
          <w:szCs w:val="21"/>
        </w:rPr>
        <w:t>1</w:t>
      </w:r>
      <w:r w:rsidRPr="00A60F41">
        <w:rPr>
          <w:rFonts w:ascii="Times New Roman" w:hAnsi="Times New Roman" w:cs="Times New Roman"/>
          <w:sz w:val="21"/>
          <w:szCs w:val="21"/>
        </w:rPr>
        <w:t>4).</w:t>
      </w:r>
    </w:p>
    <w:p w:rsidR="00B233DE" w:rsidRPr="00A60F41" w:rsidRDefault="00B233DE" w:rsidP="00B233DE">
      <w:pPr>
        <w:ind w:firstLine="709"/>
        <w:jc w:val="both"/>
        <w:rPr>
          <w:rFonts w:ascii="Times New Roman" w:hAnsi="Times New Roman" w:cs="Times New Roman"/>
          <w:sz w:val="21"/>
          <w:szCs w:val="21"/>
        </w:rPr>
      </w:pPr>
    </w:p>
    <w:p w:rsidR="00B233DE" w:rsidRPr="00A60F41" w:rsidRDefault="00B233DE" w:rsidP="00B233DE">
      <w:pPr>
        <w:tabs>
          <w:tab w:val="left" w:pos="900"/>
        </w:tabs>
        <w:spacing w:line="360" w:lineRule="auto"/>
        <w:ind w:firstLine="0"/>
        <w:jc w:val="both"/>
        <w:rPr>
          <w:rFonts w:ascii="Times New Roman" w:hAnsi="Times New Roman" w:cs="Times New Roman"/>
          <w:sz w:val="21"/>
          <w:szCs w:val="21"/>
        </w:rPr>
      </w:pPr>
      <w:r w:rsidRPr="00A60F41">
        <w:rPr>
          <w:rFonts w:ascii="Times New Roman" w:hAnsi="Times New Roman" w:cs="Times New Roman"/>
          <w:noProof/>
          <w:sz w:val="21"/>
          <w:szCs w:val="21"/>
          <w:lang w:val="ru-RU" w:eastAsia="ru-RU"/>
        </w:rPr>
        <w:drawing>
          <wp:inline distT="0" distB="0" distL="0" distR="0" wp14:anchorId="1B829518" wp14:editId="7B9E7F06">
            <wp:extent cx="3846621" cy="2607733"/>
            <wp:effectExtent l="0" t="0" r="1905" b="2540"/>
            <wp:docPr id="1380" name="Рисунок 1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848100" cy="2608736"/>
                    </a:xfrm>
                    <a:prstGeom prst="rect">
                      <a:avLst/>
                    </a:prstGeom>
                    <a:noFill/>
                    <a:ln>
                      <a:noFill/>
                    </a:ln>
                  </pic:spPr>
                </pic:pic>
              </a:graphicData>
            </a:graphic>
          </wp:inline>
        </w:drawing>
      </w:r>
    </w:p>
    <w:p w:rsidR="00B233DE" w:rsidRDefault="00B233DE" w:rsidP="00B233DE">
      <w:pPr>
        <w:ind w:firstLine="709"/>
        <w:jc w:val="center"/>
        <w:rPr>
          <w:rFonts w:ascii="Times New Roman" w:hAnsi="Times New Roman" w:cs="Times New Roman"/>
          <w:b/>
          <w:sz w:val="21"/>
          <w:szCs w:val="21"/>
        </w:rPr>
      </w:pPr>
      <w:r w:rsidRPr="00F05F54">
        <w:rPr>
          <w:rFonts w:ascii="Times New Roman" w:hAnsi="Times New Roman" w:cs="Times New Roman"/>
          <w:b/>
          <w:sz w:val="21"/>
          <w:szCs w:val="21"/>
        </w:rPr>
        <w:t xml:space="preserve">Рис. 4.14. Найбільші міграційні коридори </w:t>
      </w:r>
    </w:p>
    <w:p w:rsidR="00B233DE" w:rsidRPr="00F05F54" w:rsidRDefault="00B233DE" w:rsidP="00B233DE">
      <w:pPr>
        <w:ind w:firstLine="709"/>
        <w:jc w:val="center"/>
        <w:rPr>
          <w:rFonts w:ascii="Times New Roman" w:hAnsi="Times New Roman" w:cs="Times New Roman"/>
          <w:b/>
          <w:sz w:val="21"/>
          <w:szCs w:val="21"/>
        </w:rPr>
      </w:pPr>
      <w:r w:rsidRPr="00F05F54">
        <w:rPr>
          <w:rFonts w:ascii="Times New Roman" w:hAnsi="Times New Roman" w:cs="Times New Roman"/>
          <w:b/>
          <w:sz w:val="21"/>
          <w:szCs w:val="21"/>
        </w:rPr>
        <w:t>за чисельністю мігрантів у світі, млн чол. [</w:t>
      </w:r>
      <w:r>
        <w:rPr>
          <w:rStyle w:val="HTML1"/>
          <w:rFonts w:ascii="Times New Roman" w:hAnsi="Times New Roman" w:cs="Times New Roman"/>
          <w:i w:val="0"/>
          <w:sz w:val="21"/>
          <w:szCs w:val="21"/>
          <w:highlight w:val="yellow"/>
          <w:lang w:val="en-US"/>
        </w:rPr>
        <w:fldChar w:fldCharType="begin"/>
      </w:r>
      <w:r>
        <w:rPr>
          <w:rFonts w:ascii="Times New Roman" w:hAnsi="Times New Roman" w:cs="Times New Roman"/>
          <w:b/>
          <w:sz w:val="21"/>
          <w:szCs w:val="21"/>
        </w:rPr>
        <w:instrText xml:space="preserve"> REF _Ref435187546 \r \h </w:instrText>
      </w:r>
      <w:r>
        <w:rPr>
          <w:rStyle w:val="HTML1"/>
          <w:rFonts w:ascii="Times New Roman" w:hAnsi="Times New Roman" w:cs="Times New Roman"/>
          <w:i w:val="0"/>
          <w:sz w:val="21"/>
          <w:szCs w:val="21"/>
          <w:highlight w:val="yellow"/>
          <w:lang w:val="en-US"/>
        </w:rPr>
      </w:r>
      <w:r>
        <w:rPr>
          <w:rStyle w:val="HTML1"/>
          <w:rFonts w:ascii="Times New Roman" w:hAnsi="Times New Roman" w:cs="Times New Roman"/>
          <w:i w:val="0"/>
          <w:sz w:val="21"/>
          <w:szCs w:val="21"/>
          <w:highlight w:val="yellow"/>
          <w:lang w:val="en-US"/>
        </w:rPr>
        <w:fldChar w:fldCharType="separate"/>
      </w:r>
      <w:r>
        <w:rPr>
          <w:rFonts w:ascii="Times New Roman" w:hAnsi="Times New Roman" w:cs="Times New Roman"/>
          <w:b/>
          <w:sz w:val="21"/>
          <w:szCs w:val="21"/>
        </w:rPr>
        <w:t>90</w:t>
      </w:r>
      <w:r>
        <w:rPr>
          <w:rStyle w:val="HTML1"/>
          <w:rFonts w:ascii="Times New Roman" w:hAnsi="Times New Roman" w:cs="Times New Roman"/>
          <w:i w:val="0"/>
          <w:sz w:val="21"/>
          <w:szCs w:val="21"/>
          <w:highlight w:val="yellow"/>
          <w:lang w:val="en-US"/>
        </w:rPr>
        <w:fldChar w:fldCharType="end"/>
      </w:r>
      <w:r w:rsidRPr="00F05F54">
        <w:rPr>
          <w:rFonts w:ascii="Times New Roman" w:hAnsi="Times New Roman" w:cs="Times New Roman"/>
          <w:b/>
          <w:sz w:val="21"/>
          <w:szCs w:val="21"/>
        </w:rPr>
        <w:t>]</w:t>
      </w:r>
    </w:p>
    <w:p w:rsidR="00B233DE" w:rsidRPr="00A60F41" w:rsidRDefault="00B233DE" w:rsidP="00B233DE">
      <w:pPr>
        <w:ind w:firstLine="709"/>
        <w:jc w:val="both"/>
        <w:rPr>
          <w:rFonts w:ascii="Times New Roman" w:hAnsi="Times New Roman" w:cs="Times New Roman"/>
          <w:sz w:val="21"/>
          <w:szCs w:val="21"/>
        </w:rPr>
      </w:pPr>
    </w:p>
    <w:p w:rsidR="00B233DE" w:rsidRPr="00F05F54"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Міграційні процеси в Україні мають різний характер впливу на соціально-економічну сферу. Позитивні ефекти проявляються у зниженні напруги на ринку праці (якби не здійснювалась зайнятість за кордоном, рівень безробіття в Україні був би в 1,5 рази більшим) [</w:t>
      </w:r>
      <w:r>
        <w:rPr>
          <w:rFonts w:ascii="Times New Roman" w:hAnsi="Times New Roman" w:cs="Times New Roman"/>
          <w:bCs/>
          <w:sz w:val="21"/>
          <w:szCs w:val="21"/>
          <w:highlight w:val="yellow"/>
        </w:rPr>
        <w:fldChar w:fldCharType="begin"/>
      </w:r>
      <w:r>
        <w:rPr>
          <w:rFonts w:ascii="Times New Roman" w:hAnsi="Times New Roman" w:cs="Times New Roman"/>
          <w:sz w:val="21"/>
          <w:szCs w:val="21"/>
        </w:rPr>
        <w:instrText xml:space="preserve"> REF _Ref435187586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z w:val="21"/>
          <w:szCs w:val="21"/>
        </w:rPr>
        <w:t>12</w:t>
      </w:r>
      <w:r>
        <w:rPr>
          <w:rFonts w:ascii="Times New Roman" w:hAnsi="Times New Roman" w:cs="Times New Roman"/>
          <w:bCs/>
          <w:sz w:val="21"/>
          <w:szCs w:val="21"/>
          <w:highlight w:val="yellow"/>
        </w:rPr>
        <w:fldChar w:fldCharType="end"/>
      </w:r>
      <w:r w:rsidRPr="00A60F41">
        <w:rPr>
          <w:rFonts w:ascii="Times New Roman" w:hAnsi="Times New Roman" w:cs="Times New Roman"/>
          <w:sz w:val="21"/>
          <w:szCs w:val="21"/>
        </w:rPr>
        <w:t>, с.</w:t>
      </w:r>
      <w:r>
        <w:rPr>
          <w:rFonts w:ascii="Times New Roman" w:hAnsi="Times New Roman" w:cs="Times New Roman"/>
          <w:sz w:val="21"/>
          <w:szCs w:val="21"/>
        </w:rPr>
        <w:t xml:space="preserve"> </w:t>
      </w:r>
      <w:r w:rsidRPr="00A60F41">
        <w:rPr>
          <w:rFonts w:ascii="Times New Roman" w:hAnsi="Times New Roman" w:cs="Times New Roman"/>
          <w:sz w:val="21"/>
          <w:szCs w:val="21"/>
        </w:rPr>
        <w:t>79], можливостях підвищення людського потенціалу за кордоном, спрямуванні грошових пере</w:t>
      </w:r>
      <w:r>
        <w:rPr>
          <w:rFonts w:ascii="Times New Roman" w:hAnsi="Times New Roman" w:cs="Times New Roman"/>
          <w:sz w:val="21"/>
          <w:szCs w:val="21"/>
        </w:rPr>
        <w:t>-</w:t>
      </w:r>
      <w:r w:rsidRPr="00A60F41">
        <w:rPr>
          <w:rFonts w:ascii="Times New Roman" w:hAnsi="Times New Roman" w:cs="Times New Roman"/>
          <w:sz w:val="21"/>
          <w:szCs w:val="21"/>
        </w:rPr>
        <w:t>казів на забезпечення достатнього рівня життя, освіти і охорони здоров’я членів домогосподарств, розвиток підприєм</w:t>
      </w:r>
      <w:r>
        <w:rPr>
          <w:rFonts w:ascii="Times New Roman" w:hAnsi="Times New Roman" w:cs="Times New Roman"/>
          <w:sz w:val="21"/>
          <w:szCs w:val="21"/>
        </w:rPr>
        <w:t>-</w:t>
      </w:r>
      <w:r w:rsidRPr="00A60F41">
        <w:rPr>
          <w:rFonts w:ascii="Times New Roman" w:hAnsi="Times New Roman" w:cs="Times New Roman"/>
          <w:sz w:val="21"/>
          <w:szCs w:val="21"/>
        </w:rPr>
        <w:t>ництва і покращення можливостей зайнятості шляхом створення нових робочих місць реемігрантами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_Ref435182431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32</w:t>
      </w:r>
      <w:r>
        <w:rPr>
          <w:rFonts w:ascii="Times New Roman" w:hAnsi="Times New Roman" w:cs="Times New Roman"/>
          <w:sz w:val="21"/>
          <w:szCs w:val="21"/>
          <w:highlight w:val="yellow"/>
        </w:rPr>
        <w:fldChar w:fldCharType="end"/>
      </w:r>
      <w:r w:rsidRPr="00A60F41">
        <w:rPr>
          <w:rFonts w:ascii="Times New Roman" w:hAnsi="Times New Roman" w:cs="Times New Roman"/>
          <w:sz w:val="21"/>
          <w:szCs w:val="21"/>
        </w:rPr>
        <w:t xml:space="preserve">, с. 125]. В той же час міграція викликає ряд гострих проблем, особливо в контексті розвитку </w:t>
      </w:r>
      <w:r w:rsidRPr="00A60F41">
        <w:rPr>
          <w:rFonts w:ascii="Times New Roman" w:hAnsi="Times New Roman" w:cs="Times New Roman"/>
          <w:sz w:val="21"/>
          <w:szCs w:val="21"/>
        </w:rPr>
        <w:lastRenderedPageBreak/>
        <w:t>людського потенціалу України. Серед них втрата демографічного потенціалу, посилення міграційного відтоку внаслідок невід</w:t>
      </w:r>
      <w:r>
        <w:rPr>
          <w:rFonts w:ascii="Times New Roman" w:hAnsi="Times New Roman" w:cs="Times New Roman"/>
          <w:sz w:val="21"/>
          <w:szCs w:val="21"/>
        </w:rPr>
        <w:t>-</w:t>
      </w:r>
      <w:r w:rsidRPr="00A60F41">
        <w:rPr>
          <w:rFonts w:ascii="Times New Roman" w:hAnsi="Times New Roman" w:cs="Times New Roman"/>
          <w:sz w:val="21"/>
          <w:szCs w:val="21"/>
        </w:rPr>
        <w:t>повідності попиту і пропозиції на національному ринку праці, втрата трудового та освітньо-кваліфікаційного потенціалу. Основ</w:t>
      </w:r>
      <w:r>
        <w:rPr>
          <w:rFonts w:ascii="Times New Roman" w:hAnsi="Times New Roman" w:cs="Times New Roman"/>
          <w:sz w:val="21"/>
          <w:szCs w:val="21"/>
        </w:rPr>
        <w:t>-</w:t>
      </w:r>
      <w:r w:rsidRPr="00A60F41">
        <w:rPr>
          <w:rFonts w:ascii="Times New Roman" w:hAnsi="Times New Roman" w:cs="Times New Roman"/>
          <w:sz w:val="21"/>
          <w:szCs w:val="21"/>
        </w:rPr>
        <w:t>ним показником демографічної складової людського потенціалу країни є загальна кількість населення. В Україні постійне зниження кількості населення (на 360 тис. осіб кожного року) відбувається двома шляхами: через природне скорочення та міграційний відтік [</w:t>
      </w:r>
      <w:r>
        <w:rPr>
          <w:rFonts w:ascii="Times New Roman" w:hAnsi="Times New Roman" w:cs="Times New Roman"/>
          <w:bCs/>
          <w:spacing w:val="-2"/>
          <w:sz w:val="21"/>
          <w:szCs w:val="21"/>
          <w:highlight w:val="yellow"/>
          <w:lang w:val="en-US"/>
        </w:rPr>
        <w:fldChar w:fldCharType="begin"/>
      </w:r>
      <w:r>
        <w:rPr>
          <w:rFonts w:ascii="Times New Roman" w:hAnsi="Times New Roman" w:cs="Times New Roman"/>
          <w:sz w:val="21"/>
          <w:szCs w:val="21"/>
        </w:rPr>
        <w:instrText xml:space="preserve"> REF _Ref435187601 \r \h </w:instrText>
      </w:r>
      <w:r>
        <w:rPr>
          <w:rFonts w:ascii="Times New Roman" w:hAnsi="Times New Roman" w:cs="Times New Roman"/>
          <w:bCs/>
          <w:spacing w:val="-2"/>
          <w:sz w:val="21"/>
          <w:szCs w:val="21"/>
          <w:highlight w:val="yellow"/>
          <w:lang w:val="en-US"/>
        </w:rPr>
      </w:r>
      <w:r>
        <w:rPr>
          <w:rFonts w:ascii="Times New Roman" w:hAnsi="Times New Roman" w:cs="Times New Roman"/>
          <w:bCs/>
          <w:spacing w:val="-2"/>
          <w:sz w:val="21"/>
          <w:szCs w:val="21"/>
          <w:highlight w:val="yellow"/>
          <w:lang w:val="en-US"/>
        </w:rPr>
        <w:fldChar w:fldCharType="separate"/>
      </w:r>
      <w:r>
        <w:rPr>
          <w:rFonts w:ascii="Times New Roman" w:hAnsi="Times New Roman" w:cs="Times New Roman"/>
          <w:sz w:val="21"/>
          <w:szCs w:val="21"/>
        </w:rPr>
        <w:t>92</w:t>
      </w:r>
      <w:r>
        <w:rPr>
          <w:rFonts w:ascii="Times New Roman" w:hAnsi="Times New Roman" w:cs="Times New Roman"/>
          <w:bCs/>
          <w:spacing w:val="-2"/>
          <w:sz w:val="21"/>
          <w:szCs w:val="21"/>
          <w:highlight w:val="yellow"/>
          <w:lang w:val="en-US"/>
        </w:rPr>
        <w:fldChar w:fldCharType="end"/>
      </w:r>
      <w:r w:rsidRPr="00A60F41">
        <w:rPr>
          <w:rFonts w:ascii="Times New Roman" w:hAnsi="Times New Roman" w:cs="Times New Roman"/>
          <w:sz w:val="21"/>
          <w:szCs w:val="21"/>
        </w:rPr>
        <w:t xml:space="preserve">, </w:t>
      </w:r>
      <w:r w:rsidRPr="00A60F41">
        <w:rPr>
          <w:rFonts w:ascii="Times New Roman" w:hAnsi="Times New Roman" w:cs="Times New Roman"/>
          <w:sz w:val="21"/>
          <w:szCs w:val="21"/>
          <w:lang w:val="en-US"/>
        </w:rPr>
        <w:t>c</w:t>
      </w:r>
      <w:r w:rsidRPr="00A60F41">
        <w:rPr>
          <w:rFonts w:ascii="Times New Roman" w:hAnsi="Times New Roman" w:cs="Times New Roman"/>
          <w:sz w:val="21"/>
          <w:szCs w:val="21"/>
        </w:rPr>
        <w:t>. 2].</w:t>
      </w:r>
      <w:r w:rsidRPr="00A60F41">
        <w:rPr>
          <w:rFonts w:ascii="Times New Roman" w:hAnsi="Times New Roman" w:cs="Times New Roman"/>
          <w:b/>
          <w:sz w:val="21"/>
          <w:szCs w:val="21"/>
        </w:rPr>
        <w:t xml:space="preserve"> </w:t>
      </w:r>
      <w:r w:rsidRPr="00A60F41">
        <w:rPr>
          <w:rFonts w:ascii="Times New Roman" w:hAnsi="Times New Roman" w:cs="Times New Roman"/>
          <w:sz w:val="21"/>
          <w:szCs w:val="21"/>
        </w:rPr>
        <w:t>За обсягами еміграції Україна займає п’яте місце у світі після Мексики, Індії, Російської Федерації та Китаю (рис. 4.</w:t>
      </w:r>
      <w:r>
        <w:rPr>
          <w:rFonts w:ascii="Times New Roman" w:hAnsi="Times New Roman" w:cs="Times New Roman"/>
          <w:sz w:val="21"/>
          <w:szCs w:val="21"/>
        </w:rPr>
        <w:t>1</w:t>
      </w:r>
      <w:r w:rsidRPr="00F05F54">
        <w:rPr>
          <w:rFonts w:ascii="Times New Roman" w:hAnsi="Times New Roman" w:cs="Times New Roman"/>
          <w:sz w:val="21"/>
          <w:szCs w:val="21"/>
        </w:rPr>
        <w:t>5</w:t>
      </w:r>
      <w:r w:rsidRPr="00A60F41">
        <w:rPr>
          <w:rFonts w:ascii="Times New Roman" w:hAnsi="Times New Roman" w:cs="Times New Roman"/>
          <w:sz w:val="21"/>
          <w:szCs w:val="21"/>
        </w:rPr>
        <w:t>).</w:t>
      </w:r>
    </w:p>
    <w:p w:rsidR="00B233DE" w:rsidRDefault="00B233DE" w:rsidP="00B233DE">
      <w:pPr>
        <w:ind w:firstLine="709"/>
        <w:jc w:val="center"/>
        <w:rPr>
          <w:rFonts w:ascii="Times New Roman" w:hAnsi="Times New Roman" w:cs="Times New Roman"/>
          <w:b/>
          <w:sz w:val="21"/>
          <w:szCs w:val="21"/>
        </w:rPr>
      </w:pPr>
      <w:r w:rsidRPr="00A60F41">
        <w:rPr>
          <w:rFonts w:ascii="Times New Roman" w:hAnsi="Times New Roman" w:cs="Times New Roman"/>
          <w:sz w:val="21"/>
          <w:szCs w:val="21"/>
        </w:rPr>
        <w:object w:dxaOrig="7202" w:dyaOrig="10335">
          <v:shape id="_x0000_i1026" type="#_x0000_t75" style="width:302.25pt;height:316.5pt" o:ole="">
            <v:imagedata r:id="rId70" o:title=""/>
          </v:shape>
          <o:OLEObject Type="Embed" ProgID="Excel.Sheet.12" ShapeID="_x0000_i1026" DrawAspect="Content" ObjectID="_1633373538" r:id="rId71"/>
        </w:object>
      </w:r>
      <w:r w:rsidRPr="00F05F54">
        <w:rPr>
          <w:rFonts w:ascii="Times New Roman" w:hAnsi="Times New Roman" w:cs="Times New Roman"/>
          <w:b/>
          <w:sz w:val="21"/>
          <w:szCs w:val="21"/>
        </w:rPr>
        <w:t>Рис. 4.</w:t>
      </w:r>
      <w:r>
        <w:rPr>
          <w:rFonts w:ascii="Times New Roman" w:hAnsi="Times New Roman" w:cs="Times New Roman"/>
          <w:b/>
          <w:sz w:val="21"/>
          <w:szCs w:val="21"/>
        </w:rPr>
        <w:t>1</w:t>
      </w:r>
      <w:r w:rsidRPr="00F05F54">
        <w:rPr>
          <w:rFonts w:ascii="Times New Roman" w:hAnsi="Times New Roman" w:cs="Times New Roman"/>
          <w:b/>
          <w:sz w:val="21"/>
          <w:szCs w:val="21"/>
        </w:rPr>
        <w:t xml:space="preserve">5 Країни світу з найбільшими обсягами еміграції, </w:t>
      </w:r>
    </w:p>
    <w:p w:rsidR="00B233DE" w:rsidRPr="00F05F54" w:rsidRDefault="00B233DE" w:rsidP="00B233DE">
      <w:pPr>
        <w:ind w:firstLine="709"/>
        <w:jc w:val="center"/>
        <w:rPr>
          <w:rFonts w:ascii="Times New Roman" w:hAnsi="Times New Roman" w:cs="Times New Roman"/>
          <w:b/>
          <w:sz w:val="21"/>
          <w:szCs w:val="21"/>
        </w:rPr>
      </w:pPr>
      <w:r w:rsidRPr="00F05F54">
        <w:rPr>
          <w:rFonts w:ascii="Times New Roman" w:hAnsi="Times New Roman" w:cs="Times New Roman"/>
          <w:b/>
          <w:sz w:val="21"/>
          <w:szCs w:val="21"/>
        </w:rPr>
        <w:t>млн чол. [</w:t>
      </w:r>
      <w:r>
        <w:rPr>
          <w:rFonts w:ascii="Times New Roman" w:hAnsi="Times New Roman" w:cs="Times New Roman"/>
          <w:iCs/>
          <w:sz w:val="21"/>
          <w:szCs w:val="21"/>
          <w:highlight w:val="yellow"/>
          <w:lang w:val="en-US"/>
        </w:rPr>
        <w:fldChar w:fldCharType="begin"/>
      </w:r>
      <w:r>
        <w:rPr>
          <w:rFonts w:ascii="Times New Roman" w:hAnsi="Times New Roman" w:cs="Times New Roman"/>
          <w:b/>
          <w:sz w:val="21"/>
          <w:szCs w:val="21"/>
        </w:rPr>
        <w:instrText xml:space="preserve"> REF _Ref435186859 \r \h </w:instrText>
      </w:r>
      <w:r>
        <w:rPr>
          <w:rFonts w:ascii="Times New Roman" w:hAnsi="Times New Roman" w:cs="Times New Roman"/>
          <w:iCs/>
          <w:sz w:val="21"/>
          <w:szCs w:val="21"/>
          <w:highlight w:val="yellow"/>
          <w:lang w:val="en-US"/>
        </w:rPr>
      </w:r>
      <w:r>
        <w:rPr>
          <w:rFonts w:ascii="Times New Roman" w:hAnsi="Times New Roman" w:cs="Times New Roman"/>
          <w:iCs/>
          <w:sz w:val="21"/>
          <w:szCs w:val="21"/>
          <w:highlight w:val="yellow"/>
          <w:lang w:val="en-US"/>
        </w:rPr>
        <w:fldChar w:fldCharType="separate"/>
      </w:r>
      <w:r>
        <w:rPr>
          <w:rFonts w:ascii="Times New Roman" w:hAnsi="Times New Roman" w:cs="Times New Roman"/>
          <w:b/>
          <w:sz w:val="21"/>
          <w:szCs w:val="21"/>
        </w:rPr>
        <w:t>109</w:t>
      </w:r>
      <w:r>
        <w:rPr>
          <w:rFonts w:ascii="Times New Roman" w:hAnsi="Times New Roman" w:cs="Times New Roman"/>
          <w:iCs/>
          <w:sz w:val="21"/>
          <w:szCs w:val="21"/>
          <w:highlight w:val="yellow"/>
          <w:lang w:val="en-US"/>
        </w:rPr>
        <w:fldChar w:fldCharType="end"/>
      </w:r>
      <w:r w:rsidRPr="00F05F54">
        <w:rPr>
          <w:rFonts w:ascii="Times New Roman" w:hAnsi="Times New Roman" w:cs="Times New Roman"/>
          <w:b/>
          <w:sz w:val="21"/>
          <w:szCs w:val="21"/>
        </w:rPr>
        <w:t>]</w:t>
      </w:r>
    </w:p>
    <w:p w:rsidR="00B233DE" w:rsidRPr="00F05F54" w:rsidRDefault="00B233DE" w:rsidP="00B233DE">
      <w:pPr>
        <w:ind w:firstLine="709"/>
        <w:jc w:val="center"/>
        <w:rPr>
          <w:rFonts w:ascii="Times New Roman" w:hAnsi="Times New Roman" w:cs="Times New Roman"/>
          <w:b/>
          <w:sz w:val="21"/>
          <w:szCs w:val="21"/>
        </w:rPr>
      </w:pPr>
    </w:p>
    <w:p w:rsidR="00B233DE" w:rsidRPr="00F05F54" w:rsidRDefault="00B233DE" w:rsidP="00B233DE">
      <w:pPr>
        <w:ind w:firstLine="709"/>
        <w:jc w:val="both"/>
        <w:rPr>
          <w:rFonts w:ascii="Times New Roman" w:hAnsi="Times New Roman" w:cs="Times New Roman"/>
          <w:spacing w:val="-6"/>
          <w:sz w:val="21"/>
          <w:szCs w:val="21"/>
        </w:rPr>
      </w:pPr>
      <w:r w:rsidRPr="00F05F54">
        <w:rPr>
          <w:rFonts w:ascii="Times New Roman" w:hAnsi="Times New Roman" w:cs="Times New Roman"/>
          <w:spacing w:val="-6"/>
          <w:sz w:val="21"/>
          <w:szCs w:val="21"/>
        </w:rPr>
        <w:lastRenderedPageBreak/>
        <w:t>Основними чинниками високих обсягів еміграції з України є:</w:t>
      </w:r>
    </w:p>
    <w:p w:rsidR="00B233DE" w:rsidRPr="00A60F41" w:rsidRDefault="00B233DE" w:rsidP="00B233DE">
      <w:pPr>
        <w:numPr>
          <w:ilvl w:val="0"/>
          <w:numId w:val="20"/>
        </w:numPr>
        <w:tabs>
          <w:tab w:val="clear" w:pos="365"/>
          <w:tab w:val="left" w:pos="900"/>
        </w:tabs>
        <w:ind w:left="0" w:firstLine="709"/>
        <w:jc w:val="both"/>
        <w:rPr>
          <w:rFonts w:ascii="Times New Roman" w:hAnsi="Times New Roman" w:cs="Times New Roman"/>
          <w:spacing w:val="-4"/>
          <w:sz w:val="21"/>
          <w:szCs w:val="21"/>
        </w:rPr>
      </w:pPr>
      <w:r w:rsidRPr="00A60F41">
        <w:rPr>
          <w:rFonts w:ascii="Times New Roman" w:hAnsi="Times New Roman" w:cs="Times New Roman"/>
          <w:spacing w:val="-4"/>
          <w:sz w:val="21"/>
          <w:szCs w:val="21"/>
        </w:rPr>
        <w:t xml:space="preserve">низький рівень доходів більшої частини населення в поєднанні зі значною диференціацією доходів </w:t>
      </w:r>
      <w:r>
        <w:rPr>
          <w:rFonts w:ascii="Times New Roman" w:hAnsi="Times New Roman" w:cs="Times New Roman"/>
          <w:spacing w:val="-4"/>
          <w:sz w:val="21"/>
          <w:szCs w:val="21"/>
        </w:rPr>
        <w:t>у</w:t>
      </w:r>
      <w:r w:rsidRPr="00A60F41">
        <w:rPr>
          <w:rFonts w:ascii="Times New Roman" w:hAnsi="Times New Roman" w:cs="Times New Roman"/>
          <w:spacing w:val="-4"/>
          <w:sz w:val="21"/>
          <w:szCs w:val="21"/>
        </w:rPr>
        <w:t xml:space="preserve"> суспільстві. Проблема подолання бідності вирішується не створенням робочих місць з гідним рівнем оплати праці внаслідок ефективної підприємницької та інвестиційної діяльності, а високими витратами на соціальний захист (близько 26</w:t>
      </w:r>
      <w:r>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rPr>
        <w:t>% ВВП), що, за лише частковому цільовому підході використовується неефективно для захисту населення від бідності [</w:t>
      </w:r>
      <w:r>
        <w:rPr>
          <w:rFonts w:ascii="Times New Roman" w:hAnsi="Times New Roman" w:cs="Times New Roman"/>
          <w:sz w:val="21"/>
          <w:szCs w:val="21"/>
          <w:highlight w:val="yellow"/>
        </w:rPr>
        <w:fldChar w:fldCharType="begin"/>
      </w:r>
      <w:r>
        <w:rPr>
          <w:rFonts w:ascii="Times New Roman" w:hAnsi="Times New Roman" w:cs="Times New Roman"/>
          <w:spacing w:val="-4"/>
          <w:sz w:val="21"/>
          <w:szCs w:val="21"/>
        </w:rPr>
        <w:instrText xml:space="preserve"> REF _Ref435186429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pacing w:val="-4"/>
          <w:sz w:val="21"/>
          <w:szCs w:val="21"/>
        </w:rPr>
        <w:t>61</w:t>
      </w:r>
      <w:r>
        <w:rPr>
          <w:rFonts w:ascii="Times New Roman" w:hAnsi="Times New Roman" w:cs="Times New Roman"/>
          <w:sz w:val="21"/>
          <w:szCs w:val="21"/>
          <w:highlight w:val="yellow"/>
        </w:rPr>
        <w:fldChar w:fldCharType="end"/>
      </w:r>
      <w:r w:rsidRPr="00A60F41">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lang w:val="en-US"/>
        </w:rPr>
        <w:t>c</w:t>
      </w:r>
      <w:r w:rsidRPr="00A60F41">
        <w:rPr>
          <w:rFonts w:ascii="Times New Roman" w:hAnsi="Times New Roman" w:cs="Times New Roman"/>
          <w:spacing w:val="-4"/>
          <w:sz w:val="21"/>
          <w:szCs w:val="21"/>
        </w:rPr>
        <w:t>. 7];</w:t>
      </w:r>
    </w:p>
    <w:p w:rsidR="00B233DE" w:rsidRPr="00A60F41" w:rsidRDefault="00B233DE" w:rsidP="00B233DE">
      <w:pPr>
        <w:numPr>
          <w:ilvl w:val="0"/>
          <w:numId w:val="20"/>
        </w:numPr>
        <w:tabs>
          <w:tab w:val="clear" w:pos="365"/>
          <w:tab w:val="left" w:pos="900"/>
        </w:tabs>
        <w:ind w:left="0" w:firstLine="709"/>
        <w:jc w:val="both"/>
        <w:rPr>
          <w:rFonts w:ascii="Times New Roman" w:hAnsi="Times New Roman" w:cs="Times New Roman"/>
          <w:sz w:val="21"/>
          <w:szCs w:val="21"/>
        </w:rPr>
      </w:pPr>
      <w:r w:rsidRPr="00A60F41">
        <w:rPr>
          <w:rFonts w:ascii="Times New Roman" w:hAnsi="Times New Roman" w:cs="Times New Roman"/>
          <w:sz w:val="21"/>
          <w:szCs w:val="21"/>
        </w:rPr>
        <w:t>низький рівень оплати праці в Україні стимулює еміграцію, спрямовану значно вищим рівнем оплати праці і доходів населення, кращими можливостями самореалізації та високим рівнем життя у країнах призначення. У 56 % випадків основною причиною міграції є покращ</w:t>
      </w:r>
      <w:r>
        <w:rPr>
          <w:rFonts w:ascii="Times New Roman" w:hAnsi="Times New Roman" w:cs="Times New Roman"/>
          <w:sz w:val="21"/>
          <w:szCs w:val="21"/>
        </w:rPr>
        <w:t>а</w:t>
      </w:r>
      <w:r w:rsidRPr="00A60F41">
        <w:rPr>
          <w:rFonts w:ascii="Times New Roman" w:hAnsi="Times New Roman" w:cs="Times New Roman"/>
          <w:sz w:val="21"/>
          <w:szCs w:val="21"/>
        </w:rPr>
        <w:t>ння умов життя та перспектива отримання вищої заробітної плати, у 13,9</w:t>
      </w:r>
      <w:r>
        <w:rPr>
          <w:rFonts w:ascii="Times New Roman" w:hAnsi="Times New Roman" w:cs="Times New Roman"/>
          <w:sz w:val="21"/>
          <w:szCs w:val="21"/>
        </w:rPr>
        <w:t xml:space="preserve"> </w:t>
      </w:r>
      <w:r w:rsidRPr="00A60F41">
        <w:rPr>
          <w:rFonts w:ascii="Times New Roman" w:hAnsi="Times New Roman" w:cs="Times New Roman"/>
          <w:sz w:val="21"/>
          <w:szCs w:val="21"/>
        </w:rPr>
        <w:t xml:space="preserve">% - влаштування на більш оплачувану </w:t>
      </w:r>
      <w:r w:rsidRPr="003C7F21">
        <w:rPr>
          <w:rFonts w:ascii="Times New Roman" w:hAnsi="Times New Roman" w:cs="Times New Roman"/>
          <w:sz w:val="21"/>
          <w:szCs w:val="21"/>
        </w:rPr>
        <w:t>роботу [</w:t>
      </w:r>
      <w:r w:rsidRPr="003C7F21">
        <w:rPr>
          <w:rFonts w:ascii="Times New Roman" w:hAnsi="Times New Roman" w:cs="Times New Roman"/>
          <w:bCs/>
          <w:spacing w:val="-2"/>
          <w:sz w:val="21"/>
          <w:szCs w:val="21"/>
          <w:lang w:val="en-US"/>
        </w:rPr>
        <w:fldChar w:fldCharType="begin"/>
      </w:r>
      <w:r w:rsidRPr="003C7F21">
        <w:rPr>
          <w:rFonts w:ascii="Times New Roman" w:hAnsi="Times New Roman" w:cs="Times New Roman"/>
          <w:sz w:val="21"/>
          <w:szCs w:val="21"/>
        </w:rPr>
        <w:instrText xml:space="preserve"> REF _Ref435187601 \r \h </w:instrText>
      </w:r>
      <w:r w:rsidRPr="003C7F21">
        <w:rPr>
          <w:rFonts w:ascii="Times New Roman" w:hAnsi="Times New Roman" w:cs="Times New Roman"/>
          <w:bCs/>
          <w:spacing w:val="-2"/>
          <w:sz w:val="21"/>
          <w:szCs w:val="21"/>
          <w:lang w:val="ru-RU"/>
        </w:rPr>
        <w:instrText xml:space="preserve"> \* </w:instrText>
      </w:r>
      <w:r>
        <w:rPr>
          <w:rFonts w:ascii="Times New Roman" w:hAnsi="Times New Roman" w:cs="Times New Roman"/>
          <w:bCs/>
          <w:spacing w:val="-2"/>
          <w:sz w:val="21"/>
          <w:szCs w:val="21"/>
          <w:lang w:val="en-US"/>
        </w:rPr>
        <w:instrText>MERGEFORMAT</w:instrText>
      </w:r>
      <w:r w:rsidRPr="003C7F21">
        <w:rPr>
          <w:rFonts w:ascii="Times New Roman" w:hAnsi="Times New Roman" w:cs="Times New Roman"/>
          <w:bCs/>
          <w:spacing w:val="-2"/>
          <w:sz w:val="21"/>
          <w:szCs w:val="21"/>
          <w:lang w:val="ru-RU"/>
        </w:rPr>
        <w:instrText xml:space="preserve"> </w:instrText>
      </w:r>
      <w:r w:rsidRPr="003C7F21">
        <w:rPr>
          <w:rFonts w:ascii="Times New Roman" w:hAnsi="Times New Roman" w:cs="Times New Roman"/>
          <w:bCs/>
          <w:spacing w:val="-2"/>
          <w:sz w:val="21"/>
          <w:szCs w:val="21"/>
          <w:lang w:val="en-US"/>
        </w:rPr>
      </w:r>
      <w:r w:rsidRPr="003C7F21">
        <w:rPr>
          <w:rFonts w:ascii="Times New Roman" w:hAnsi="Times New Roman" w:cs="Times New Roman"/>
          <w:bCs/>
          <w:spacing w:val="-2"/>
          <w:sz w:val="21"/>
          <w:szCs w:val="21"/>
          <w:lang w:val="en-US"/>
        </w:rPr>
        <w:fldChar w:fldCharType="separate"/>
      </w:r>
      <w:r w:rsidRPr="003C7F21">
        <w:rPr>
          <w:rFonts w:ascii="Times New Roman" w:hAnsi="Times New Roman" w:cs="Times New Roman"/>
          <w:sz w:val="21"/>
          <w:szCs w:val="21"/>
        </w:rPr>
        <w:t>92</w:t>
      </w:r>
      <w:r w:rsidRPr="003C7F21">
        <w:rPr>
          <w:rFonts w:ascii="Times New Roman" w:hAnsi="Times New Roman" w:cs="Times New Roman"/>
          <w:bCs/>
          <w:spacing w:val="-2"/>
          <w:sz w:val="21"/>
          <w:szCs w:val="21"/>
          <w:lang w:val="en-US"/>
        </w:rPr>
        <w:fldChar w:fldCharType="end"/>
      </w:r>
      <w:r w:rsidRPr="003C7F21">
        <w:rPr>
          <w:rFonts w:ascii="Times New Roman" w:hAnsi="Times New Roman" w:cs="Times New Roman"/>
          <w:sz w:val="21"/>
          <w:szCs w:val="21"/>
        </w:rPr>
        <w:t xml:space="preserve">, </w:t>
      </w:r>
      <w:r w:rsidRPr="003C7F21">
        <w:rPr>
          <w:rFonts w:ascii="Times New Roman" w:hAnsi="Times New Roman" w:cs="Times New Roman"/>
          <w:iCs/>
          <w:sz w:val="21"/>
          <w:szCs w:val="21"/>
        </w:rPr>
        <w:fldChar w:fldCharType="begin"/>
      </w:r>
      <w:r w:rsidRPr="003C7F21">
        <w:rPr>
          <w:rFonts w:ascii="Times New Roman" w:hAnsi="Times New Roman" w:cs="Times New Roman"/>
          <w:sz w:val="21"/>
          <w:szCs w:val="21"/>
        </w:rPr>
        <w:instrText xml:space="preserve"> REF _Ref435187636 \r \h </w:instrText>
      </w:r>
      <w:r>
        <w:rPr>
          <w:rFonts w:ascii="Times New Roman" w:hAnsi="Times New Roman" w:cs="Times New Roman"/>
          <w:iCs/>
          <w:sz w:val="21"/>
          <w:szCs w:val="21"/>
        </w:rPr>
        <w:instrText xml:space="preserve"> \* MERGEFORMAT </w:instrText>
      </w:r>
      <w:r w:rsidRPr="003C7F21">
        <w:rPr>
          <w:rFonts w:ascii="Times New Roman" w:hAnsi="Times New Roman" w:cs="Times New Roman"/>
          <w:iCs/>
          <w:sz w:val="21"/>
          <w:szCs w:val="21"/>
        </w:rPr>
      </w:r>
      <w:r w:rsidRPr="003C7F21">
        <w:rPr>
          <w:rFonts w:ascii="Times New Roman" w:hAnsi="Times New Roman" w:cs="Times New Roman"/>
          <w:iCs/>
          <w:sz w:val="21"/>
          <w:szCs w:val="21"/>
        </w:rPr>
        <w:fldChar w:fldCharType="separate"/>
      </w:r>
      <w:r w:rsidRPr="003C7F21">
        <w:rPr>
          <w:rFonts w:ascii="Times New Roman" w:hAnsi="Times New Roman" w:cs="Times New Roman"/>
          <w:sz w:val="21"/>
          <w:szCs w:val="21"/>
        </w:rPr>
        <w:t>56</w:t>
      </w:r>
      <w:r w:rsidRPr="003C7F21">
        <w:rPr>
          <w:rFonts w:ascii="Times New Roman" w:hAnsi="Times New Roman" w:cs="Times New Roman"/>
          <w:iCs/>
          <w:sz w:val="21"/>
          <w:szCs w:val="21"/>
        </w:rPr>
        <w:fldChar w:fldCharType="end"/>
      </w:r>
      <w:r w:rsidRPr="003C7F21">
        <w:rPr>
          <w:rFonts w:ascii="Times New Roman" w:hAnsi="Times New Roman" w:cs="Times New Roman"/>
          <w:sz w:val="21"/>
          <w:szCs w:val="21"/>
        </w:rPr>
        <w:t>]. Середня заробітна плата українського мігранта за кордоном складає 820</w:t>
      </w:r>
      <w:r w:rsidRPr="00A60F41">
        <w:rPr>
          <w:rFonts w:ascii="Times New Roman" w:hAnsi="Times New Roman" w:cs="Times New Roman"/>
          <w:sz w:val="21"/>
          <w:szCs w:val="21"/>
        </w:rPr>
        <w:t xml:space="preserve"> дол. США, що в чотири рази вище за середню заробітну плату в Україні </w:t>
      </w:r>
      <w:r>
        <w:rPr>
          <w:rFonts w:ascii="Times New Roman" w:hAnsi="Times New Roman" w:cs="Times New Roman"/>
          <w:sz w:val="21"/>
          <w:szCs w:val="21"/>
        </w:rPr>
        <w:t>–</w:t>
      </w:r>
      <w:r w:rsidRPr="00A60F41">
        <w:rPr>
          <w:rFonts w:ascii="Times New Roman" w:hAnsi="Times New Roman" w:cs="Times New Roman"/>
          <w:sz w:val="21"/>
          <w:szCs w:val="21"/>
        </w:rPr>
        <w:t xml:space="preserve"> 204 дол. [</w:t>
      </w:r>
      <w:r>
        <w:rPr>
          <w:rFonts w:ascii="Times New Roman" w:hAnsi="Times New Roman" w:cs="Times New Roman"/>
          <w:bCs/>
          <w:spacing w:val="-2"/>
          <w:sz w:val="21"/>
          <w:szCs w:val="21"/>
          <w:highlight w:val="yellow"/>
          <w:lang w:val="en-US"/>
        </w:rPr>
        <w:fldChar w:fldCharType="begin"/>
      </w:r>
      <w:r>
        <w:rPr>
          <w:rFonts w:ascii="Times New Roman" w:hAnsi="Times New Roman" w:cs="Times New Roman"/>
          <w:sz w:val="21"/>
          <w:szCs w:val="21"/>
        </w:rPr>
        <w:instrText xml:space="preserve"> REF _Ref435187601 \r \h </w:instrText>
      </w:r>
      <w:r>
        <w:rPr>
          <w:rFonts w:ascii="Times New Roman" w:hAnsi="Times New Roman" w:cs="Times New Roman"/>
          <w:bCs/>
          <w:spacing w:val="-2"/>
          <w:sz w:val="21"/>
          <w:szCs w:val="21"/>
          <w:highlight w:val="yellow"/>
          <w:lang w:val="en-US"/>
        </w:rPr>
      </w:r>
      <w:r>
        <w:rPr>
          <w:rFonts w:ascii="Times New Roman" w:hAnsi="Times New Roman" w:cs="Times New Roman"/>
          <w:bCs/>
          <w:spacing w:val="-2"/>
          <w:sz w:val="21"/>
          <w:szCs w:val="21"/>
          <w:highlight w:val="yellow"/>
          <w:lang w:val="en-US"/>
        </w:rPr>
        <w:fldChar w:fldCharType="separate"/>
      </w:r>
      <w:r>
        <w:rPr>
          <w:rFonts w:ascii="Times New Roman" w:hAnsi="Times New Roman" w:cs="Times New Roman"/>
          <w:sz w:val="21"/>
          <w:szCs w:val="21"/>
        </w:rPr>
        <w:t>92</w:t>
      </w:r>
      <w:r>
        <w:rPr>
          <w:rFonts w:ascii="Times New Roman" w:hAnsi="Times New Roman" w:cs="Times New Roman"/>
          <w:bCs/>
          <w:spacing w:val="-2"/>
          <w:sz w:val="21"/>
          <w:szCs w:val="21"/>
          <w:highlight w:val="yellow"/>
          <w:lang w:val="en-US"/>
        </w:rPr>
        <w:fldChar w:fldCharType="end"/>
      </w:r>
      <w:r w:rsidRPr="00A60F41">
        <w:rPr>
          <w:rFonts w:ascii="Times New Roman" w:hAnsi="Times New Roman" w:cs="Times New Roman"/>
          <w:sz w:val="21"/>
          <w:szCs w:val="21"/>
        </w:rPr>
        <w:t xml:space="preserve">, </w:t>
      </w:r>
      <w:r w:rsidRPr="00A60F41">
        <w:rPr>
          <w:rFonts w:ascii="Times New Roman" w:hAnsi="Times New Roman" w:cs="Times New Roman"/>
          <w:sz w:val="21"/>
          <w:szCs w:val="21"/>
          <w:lang w:val="en-US"/>
        </w:rPr>
        <w:t>c</w:t>
      </w:r>
      <w:r w:rsidRPr="00A60F41">
        <w:rPr>
          <w:rFonts w:ascii="Times New Roman" w:hAnsi="Times New Roman" w:cs="Times New Roman"/>
          <w:sz w:val="21"/>
          <w:szCs w:val="21"/>
        </w:rPr>
        <w:t>. 6].</w:t>
      </w:r>
    </w:p>
    <w:p w:rsidR="00B233DE"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 невідповідність попиту і пропозиції на національному ринку праці</w:t>
      </w:r>
      <w:r w:rsidRPr="00A60F41">
        <w:rPr>
          <w:rFonts w:ascii="Times New Roman" w:hAnsi="Times New Roman" w:cs="Times New Roman"/>
          <w:i/>
          <w:sz w:val="21"/>
          <w:szCs w:val="21"/>
        </w:rPr>
        <w:t>.</w:t>
      </w:r>
      <w:r w:rsidRPr="00A60F41">
        <w:rPr>
          <w:rFonts w:ascii="Times New Roman" w:hAnsi="Times New Roman" w:cs="Times New Roman"/>
          <w:b/>
          <w:sz w:val="21"/>
          <w:szCs w:val="21"/>
        </w:rPr>
        <w:t xml:space="preserve"> </w:t>
      </w:r>
      <w:r w:rsidRPr="00A60F41">
        <w:rPr>
          <w:rFonts w:ascii="Times New Roman" w:hAnsi="Times New Roman" w:cs="Times New Roman"/>
          <w:sz w:val="21"/>
          <w:szCs w:val="21"/>
        </w:rPr>
        <w:t>В Україні триває розбалансованість між професіями, на які існує значна потреба у роботодавців і професіями спеціалістів-випускників ВНЗ. 32</w:t>
      </w:r>
      <w:r>
        <w:rPr>
          <w:rFonts w:ascii="Times New Roman" w:hAnsi="Times New Roman" w:cs="Times New Roman"/>
          <w:sz w:val="21"/>
          <w:szCs w:val="21"/>
        </w:rPr>
        <w:t xml:space="preserve"> </w:t>
      </w:r>
      <w:r w:rsidRPr="00A60F41">
        <w:rPr>
          <w:rFonts w:ascii="Times New Roman" w:hAnsi="Times New Roman" w:cs="Times New Roman"/>
          <w:sz w:val="21"/>
          <w:szCs w:val="21"/>
        </w:rPr>
        <w:t>% населення отримують або отримали вищу освіту в Україні, але частка осіб, що здобувають технічну та професійну освіту, є досить низькою – 6,7</w:t>
      </w:r>
      <w:r>
        <w:rPr>
          <w:rFonts w:ascii="Times New Roman" w:hAnsi="Times New Roman" w:cs="Times New Roman"/>
          <w:sz w:val="21"/>
          <w:szCs w:val="21"/>
        </w:rPr>
        <w:t xml:space="preserve"> </w:t>
      </w:r>
      <w:r w:rsidRPr="00A60F41">
        <w:rPr>
          <w:rFonts w:ascii="Times New Roman" w:hAnsi="Times New Roman" w:cs="Times New Roman"/>
          <w:sz w:val="21"/>
          <w:szCs w:val="21"/>
        </w:rPr>
        <w:t>% порівняно з понад 30</w:t>
      </w:r>
      <w:r>
        <w:rPr>
          <w:rFonts w:ascii="Times New Roman" w:hAnsi="Times New Roman" w:cs="Times New Roman"/>
          <w:sz w:val="21"/>
          <w:szCs w:val="21"/>
        </w:rPr>
        <w:t xml:space="preserve"> </w:t>
      </w:r>
      <w:r w:rsidRPr="00A60F41">
        <w:rPr>
          <w:rFonts w:ascii="Times New Roman" w:hAnsi="Times New Roman" w:cs="Times New Roman"/>
          <w:sz w:val="21"/>
          <w:szCs w:val="21"/>
        </w:rPr>
        <w:t>% у багатьох країнах ЄС. Як наслідок, працедавці в Україні не можуть задовольнити свою потребу у працівниках окремих кваліфікацій [</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_Ref435187657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76</w:t>
      </w:r>
      <w:r>
        <w:rPr>
          <w:rFonts w:ascii="Times New Roman" w:hAnsi="Times New Roman" w:cs="Times New Roman"/>
          <w:sz w:val="21"/>
          <w:szCs w:val="21"/>
          <w:highlight w:val="yellow"/>
          <w:lang w:val="en-US"/>
        </w:rPr>
        <w:fldChar w:fldCharType="end"/>
      </w:r>
      <w:r w:rsidRPr="00A60F41">
        <w:rPr>
          <w:rFonts w:ascii="Times New Roman" w:hAnsi="Times New Roman" w:cs="Times New Roman"/>
          <w:sz w:val="21"/>
          <w:szCs w:val="21"/>
        </w:rPr>
        <w:t xml:space="preserve">, </w:t>
      </w:r>
      <w:r w:rsidRPr="00A60F41">
        <w:rPr>
          <w:rFonts w:ascii="Times New Roman" w:hAnsi="Times New Roman" w:cs="Times New Roman"/>
          <w:sz w:val="21"/>
          <w:szCs w:val="21"/>
          <w:lang w:val="en-US"/>
        </w:rPr>
        <w:t>c</w:t>
      </w:r>
      <w:r w:rsidRPr="00A60F41">
        <w:rPr>
          <w:rFonts w:ascii="Times New Roman" w:hAnsi="Times New Roman" w:cs="Times New Roman"/>
          <w:sz w:val="21"/>
          <w:szCs w:val="21"/>
        </w:rPr>
        <w:t>. 9]. У загальній кількості вільних робочих місць, заявлених підприємствами, установами та організаціями у 2014 році, кожне п’яте було на промислових підприємствах у професійній групі кваліфікованих робітників (рис. 4.</w:t>
      </w:r>
      <w:r>
        <w:rPr>
          <w:rFonts w:ascii="Times New Roman" w:hAnsi="Times New Roman" w:cs="Times New Roman"/>
          <w:sz w:val="21"/>
          <w:szCs w:val="21"/>
        </w:rPr>
        <w:t>1</w:t>
      </w:r>
      <w:r w:rsidRPr="00A60F41">
        <w:rPr>
          <w:rFonts w:ascii="Times New Roman" w:hAnsi="Times New Roman" w:cs="Times New Roman"/>
          <w:sz w:val="21"/>
          <w:szCs w:val="21"/>
        </w:rPr>
        <w:t>6)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_Ref435187664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59</w:t>
      </w:r>
      <w:r>
        <w:rPr>
          <w:rFonts w:ascii="Times New Roman" w:hAnsi="Times New Roman" w:cs="Times New Roman"/>
          <w:sz w:val="21"/>
          <w:szCs w:val="21"/>
          <w:highlight w:val="yellow"/>
        </w:rPr>
        <w:fldChar w:fldCharType="end"/>
      </w:r>
      <w:r w:rsidRPr="00A60F41">
        <w:rPr>
          <w:rFonts w:ascii="Times New Roman" w:hAnsi="Times New Roman" w:cs="Times New Roman"/>
          <w:sz w:val="21"/>
          <w:szCs w:val="21"/>
        </w:rPr>
        <w:t>].</w:t>
      </w:r>
    </w:p>
    <w:p w:rsidR="00B233DE"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В той же час, у попередніх роках закладами вищої освіти було випущено на ринок праці близько 50% спеціалістів із соціальних наук, бізнесу і права із загальної кількості випускників (рис. 4.7) [</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_Ref435187672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106</w:t>
      </w:r>
      <w:r>
        <w:rPr>
          <w:rFonts w:ascii="Times New Roman" w:hAnsi="Times New Roman" w:cs="Times New Roman"/>
          <w:sz w:val="21"/>
          <w:szCs w:val="21"/>
          <w:highlight w:val="yellow"/>
          <w:lang w:val="en-US"/>
        </w:rPr>
        <w:fldChar w:fldCharType="end"/>
      </w:r>
      <w:r w:rsidRPr="00A60F41">
        <w:rPr>
          <w:rFonts w:ascii="Times New Roman" w:hAnsi="Times New Roman" w:cs="Times New Roman"/>
          <w:sz w:val="21"/>
          <w:szCs w:val="21"/>
        </w:rPr>
        <w:t xml:space="preserve">]. Дослідження Європейського фонду освіти підтверджують те, що система освіти в Україні зміщена в сторону гуманітарних та економічних наук і нездатна задовольнити </w:t>
      </w:r>
      <w:r w:rsidRPr="00A60F41">
        <w:rPr>
          <w:rFonts w:ascii="Times New Roman" w:hAnsi="Times New Roman" w:cs="Times New Roman"/>
          <w:sz w:val="21"/>
          <w:szCs w:val="21"/>
        </w:rPr>
        <w:lastRenderedPageBreak/>
        <w:t>зростаючу потребу ринку праці у інженерах та інших технічних спеціалістах [</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_Ref435187681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107</w:t>
      </w:r>
      <w:r>
        <w:rPr>
          <w:rFonts w:ascii="Times New Roman" w:hAnsi="Times New Roman" w:cs="Times New Roman"/>
          <w:sz w:val="21"/>
          <w:szCs w:val="21"/>
          <w:highlight w:val="yellow"/>
          <w:lang w:val="en-US"/>
        </w:rPr>
        <w:fldChar w:fldCharType="end"/>
      </w:r>
      <w:r w:rsidRPr="00A60F41">
        <w:rPr>
          <w:rFonts w:ascii="Times New Roman" w:hAnsi="Times New Roman" w:cs="Times New Roman"/>
          <w:sz w:val="21"/>
          <w:szCs w:val="21"/>
        </w:rPr>
        <w:t>].</w:t>
      </w:r>
    </w:p>
    <w:p w:rsidR="00B233DE" w:rsidRPr="00A60F41" w:rsidRDefault="00B233DE" w:rsidP="00B233DE">
      <w:pPr>
        <w:ind w:firstLine="709"/>
        <w:jc w:val="both"/>
        <w:rPr>
          <w:rFonts w:ascii="Times New Roman" w:hAnsi="Times New Roman" w:cs="Times New Roman"/>
          <w:sz w:val="21"/>
          <w:szCs w:val="21"/>
        </w:rPr>
      </w:pPr>
    </w:p>
    <w:p w:rsidR="00B233DE" w:rsidRPr="00A60F41" w:rsidRDefault="00B233DE" w:rsidP="00B233DE">
      <w:pPr>
        <w:spacing w:line="360" w:lineRule="auto"/>
        <w:ind w:firstLine="0"/>
        <w:jc w:val="both"/>
        <w:rPr>
          <w:rFonts w:ascii="Times New Roman" w:hAnsi="Times New Roman" w:cs="Times New Roman"/>
          <w:sz w:val="21"/>
          <w:szCs w:val="21"/>
        </w:rPr>
      </w:pPr>
      <w:r w:rsidRPr="00A60F41">
        <w:rPr>
          <w:rFonts w:ascii="Times New Roman" w:hAnsi="Times New Roman" w:cs="Times New Roman"/>
          <w:noProof/>
          <w:sz w:val="21"/>
          <w:szCs w:val="21"/>
          <w:lang w:val="ru-RU" w:eastAsia="ru-RU"/>
        </w:rPr>
        <w:drawing>
          <wp:inline distT="0" distB="0" distL="0" distR="0" wp14:anchorId="0A7C0A0F" wp14:editId="539AA51C">
            <wp:extent cx="3903133" cy="2266378"/>
            <wp:effectExtent l="0" t="0" r="2540" b="635"/>
            <wp:docPr id="1381" name="Рисунок 1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904117" cy="2266950"/>
                    </a:xfrm>
                    <a:prstGeom prst="rect">
                      <a:avLst/>
                    </a:prstGeom>
                    <a:noFill/>
                    <a:ln>
                      <a:noFill/>
                    </a:ln>
                  </pic:spPr>
                </pic:pic>
              </a:graphicData>
            </a:graphic>
          </wp:inline>
        </w:drawing>
      </w:r>
    </w:p>
    <w:p w:rsidR="00B233DE" w:rsidRPr="007016AD" w:rsidRDefault="00B233DE" w:rsidP="00B233DE">
      <w:pPr>
        <w:ind w:firstLine="709"/>
        <w:jc w:val="center"/>
        <w:rPr>
          <w:rFonts w:ascii="Times New Roman" w:hAnsi="Times New Roman" w:cs="Times New Roman"/>
          <w:b/>
          <w:sz w:val="21"/>
          <w:szCs w:val="21"/>
        </w:rPr>
      </w:pPr>
      <w:r w:rsidRPr="007016AD">
        <w:rPr>
          <w:rFonts w:ascii="Times New Roman" w:hAnsi="Times New Roman" w:cs="Times New Roman"/>
          <w:b/>
          <w:sz w:val="21"/>
          <w:szCs w:val="21"/>
        </w:rPr>
        <w:t>Рис. 4.16</w:t>
      </w:r>
      <w:r>
        <w:rPr>
          <w:rFonts w:ascii="Times New Roman" w:hAnsi="Times New Roman" w:cs="Times New Roman"/>
          <w:b/>
          <w:sz w:val="21"/>
          <w:szCs w:val="21"/>
        </w:rPr>
        <w:t>.</w:t>
      </w:r>
      <w:r w:rsidRPr="007016AD">
        <w:rPr>
          <w:rFonts w:ascii="Times New Roman" w:hAnsi="Times New Roman" w:cs="Times New Roman"/>
          <w:b/>
          <w:sz w:val="21"/>
          <w:szCs w:val="21"/>
        </w:rPr>
        <w:t xml:space="preserve"> Потреба підприємств у працівниках на заміщення вільних робочих місць за видами економічної діяльності у 2014 році, тис. осіб [</w:t>
      </w:r>
      <w:r>
        <w:rPr>
          <w:rFonts w:ascii="Times New Roman" w:hAnsi="Times New Roman" w:cs="Times New Roman"/>
          <w:sz w:val="21"/>
          <w:szCs w:val="21"/>
          <w:highlight w:val="yellow"/>
        </w:rPr>
        <w:fldChar w:fldCharType="begin"/>
      </w:r>
      <w:r>
        <w:rPr>
          <w:rFonts w:ascii="Times New Roman" w:hAnsi="Times New Roman" w:cs="Times New Roman"/>
          <w:b/>
          <w:sz w:val="21"/>
          <w:szCs w:val="21"/>
        </w:rPr>
        <w:instrText xml:space="preserve"> REF _Ref435187664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b/>
          <w:sz w:val="21"/>
          <w:szCs w:val="21"/>
        </w:rPr>
        <w:t>59</w:t>
      </w:r>
      <w:r>
        <w:rPr>
          <w:rFonts w:ascii="Times New Roman" w:hAnsi="Times New Roman" w:cs="Times New Roman"/>
          <w:sz w:val="21"/>
          <w:szCs w:val="21"/>
          <w:highlight w:val="yellow"/>
        </w:rPr>
        <w:fldChar w:fldCharType="end"/>
      </w:r>
    </w:p>
    <w:p w:rsidR="00B233DE" w:rsidRPr="00A60F41" w:rsidRDefault="00B233DE" w:rsidP="00B233DE">
      <w:pPr>
        <w:ind w:firstLine="709"/>
        <w:jc w:val="both"/>
        <w:rPr>
          <w:rFonts w:ascii="Times New Roman" w:hAnsi="Times New Roman" w:cs="Times New Roman"/>
          <w:sz w:val="21"/>
          <w:szCs w:val="21"/>
        </w:rPr>
      </w:pPr>
    </w:p>
    <w:p w:rsidR="00B233DE" w:rsidRDefault="00B233DE" w:rsidP="00B233DE">
      <w:pPr>
        <w:autoSpaceDE w:val="0"/>
        <w:autoSpaceDN w:val="0"/>
        <w:adjustRightInd w:val="0"/>
        <w:ind w:firstLine="709"/>
        <w:jc w:val="both"/>
        <w:rPr>
          <w:rFonts w:ascii="Times New Roman" w:hAnsi="Times New Roman" w:cs="Times New Roman"/>
          <w:spacing w:val="-4"/>
          <w:sz w:val="21"/>
          <w:szCs w:val="21"/>
        </w:rPr>
      </w:pPr>
      <w:r w:rsidRPr="00A60F41">
        <w:rPr>
          <w:rFonts w:ascii="Times New Roman" w:hAnsi="Times New Roman" w:cs="Times New Roman"/>
          <w:spacing w:val="-4"/>
          <w:sz w:val="21"/>
          <w:szCs w:val="21"/>
        </w:rPr>
        <w:t>Невідповідність між підготовленим освітньо-кваліфікаційним потенціалом і потребою у ньому суб’єктів господарювання призводить до неможливості його ефективної реалізації. В результаті, більшість осіб з незатребуваними професіями працевлаштовуються не за спеціальністю, втрачаючи набутий освітньо-кваліфікаційний потенціал, або реалізують сформований в Україні ЛП за кордоном</w:t>
      </w:r>
      <w:r>
        <w:rPr>
          <w:rFonts w:ascii="Times New Roman" w:hAnsi="Times New Roman" w:cs="Times New Roman"/>
          <w:spacing w:val="-4"/>
          <w:sz w:val="21"/>
          <w:szCs w:val="21"/>
        </w:rPr>
        <w:t>.</w:t>
      </w:r>
    </w:p>
    <w:p w:rsidR="00B233DE" w:rsidRPr="00A60F41" w:rsidRDefault="00B233DE" w:rsidP="00B233DE">
      <w:pPr>
        <w:autoSpaceDE w:val="0"/>
        <w:autoSpaceDN w:val="0"/>
        <w:adjustRightInd w:val="0"/>
        <w:ind w:firstLine="709"/>
        <w:jc w:val="both"/>
        <w:rPr>
          <w:rFonts w:ascii="Times New Roman" w:hAnsi="Times New Roman" w:cs="Times New Roman"/>
          <w:sz w:val="21"/>
          <w:szCs w:val="21"/>
        </w:rPr>
      </w:pPr>
      <w:r w:rsidRPr="00A60F41">
        <w:rPr>
          <w:rFonts w:ascii="Times New Roman" w:hAnsi="Times New Roman" w:cs="Times New Roman"/>
          <w:spacing w:val="-4"/>
          <w:sz w:val="21"/>
          <w:szCs w:val="21"/>
        </w:rPr>
        <w:t>Еміграція спричиняє втрату демографічного потенціалу не лише через безпосередній відтік населення, а й внаслідок послаблення сімейних зв’язків, несталості шлюбів, поширення соціального сирітства [</w:t>
      </w:r>
      <w:r>
        <w:rPr>
          <w:rFonts w:ascii="Times New Roman" w:hAnsi="Times New Roman" w:cs="Times New Roman"/>
          <w:sz w:val="21"/>
          <w:szCs w:val="21"/>
          <w:highlight w:val="yellow"/>
        </w:rPr>
        <w:fldChar w:fldCharType="begin"/>
      </w:r>
      <w:r>
        <w:rPr>
          <w:rFonts w:ascii="Times New Roman" w:hAnsi="Times New Roman" w:cs="Times New Roman"/>
          <w:spacing w:val="-4"/>
          <w:sz w:val="21"/>
          <w:szCs w:val="21"/>
        </w:rPr>
        <w:instrText xml:space="preserve"> REF _Ref435182425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pacing w:val="-4"/>
          <w:sz w:val="21"/>
          <w:szCs w:val="21"/>
        </w:rPr>
        <w:t>29</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sidRPr="00A60F41">
        <w:rPr>
          <w:rFonts w:ascii="Times New Roman" w:hAnsi="Times New Roman" w:cs="Times New Roman"/>
          <w:spacing w:val="-4"/>
          <w:sz w:val="21"/>
          <w:szCs w:val="21"/>
        </w:rPr>
        <w:t xml:space="preserve"> с. 124], зниження потенціалу здоров’я мігрантів через шкідливі умови роботи і проживання за кордоном та частої відсутності права на надання медичної допомоги, погіршення вікової структури населення, його старіння та скорочення подальшого відтворення людського потенціалу через переважний відтік осіб працездатного та</w:t>
      </w:r>
      <w:r>
        <w:rPr>
          <w:rFonts w:ascii="Times New Roman" w:hAnsi="Times New Roman" w:cs="Times New Roman"/>
          <w:spacing w:val="-4"/>
          <w:sz w:val="21"/>
          <w:szCs w:val="21"/>
        </w:rPr>
        <w:t xml:space="preserve"> репродуктивного віку</w:t>
      </w:r>
      <w:r w:rsidRPr="00A60F41">
        <w:rPr>
          <w:rFonts w:ascii="Times New Roman" w:hAnsi="Times New Roman" w:cs="Times New Roman"/>
          <w:spacing w:val="-4"/>
          <w:sz w:val="21"/>
          <w:szCs w:val="21"/>
        </w:rPr>
        <w:t xml:space="preserve"> [</w:t>
      </w:r>
      <w:r>
        <w:rPr>
          <w:rFonts w:ascii="Times New Roman" w:hAnsi="Times New Roman" w:cs="Times New Roman"/>
          <w:bCs/>
          <w:sz w:val="21"/>
          <w:szCs w:val="21"/>
          <w:highlight w:val="yellow"/>
        </w:rPr>
        <w:fldChar w:fldCharType="begin"/>
      </w:r>
      <w:r>
        <w:rPr>
          <w:rFonts w:ascii="Times New Roman" w:hAnsi="Times New Roman" w:cs="Times New Roman"/>
          <w:spacing w:val="-4"/>
          <w:sz w:val="21"/>
          <w:szCs w:val="21"/>
        </w:rPr>
        <w:instrText xml:space="preserve"> REF _Ref435187586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pacing w:val="-4"/>
          <w:sz w:val="21"/>
          <w:szCs w:val="21"/>
        </w:rPr>
        <w:t>12</w:t>
      </w:r>
      <w:r>
        <w:rPr>
          <w:rFonts w:ascii="Times New Roman" w:hAnsi="Times New Roman" w:cs="Times New Roman"/>
          <w:bCs/>
          <w:sz w:val="21"/>
          <w:szCs w:val="21"/>
          <w:highlight w:val="yellow"/>
        </w:rPr>
        <w:fldChar w:fldCharType="end"/>
      </w:r>
      <w:r w:rsidRPr="00A60F41">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lang w:val="en-US"/>
        </w:rPr>
        <w:t>c</w:t>
      </w:r>
      <w:r w:rsidRPr="00A60F41">
        <w:rPr>
          <w:rFonts w:ascii="Times New Roman" w:hAnsi="Times New Roman" w:cs="Times New Roman"/>
          <w:spacing w:val="-4"/>
          <w:sz w:val="21"/>
          <w:szCs w:val="21"/>
        </w:rPr>
        <w:t>. 30].</w:t>
      </w:r>
    </w:p>
    <w:p w:rsidR="00B233DE" w:rsidRPr="00A60F41" w:rsidRDefault="00B233DE" w:rsidP="00B233DE">
      <w:pPr>
        <w:ind w:firstLine="0"/>
        <w:jc w:val="both"/>
        <w:rPr>
          <w:rFonts w:ascii="Times New Roman" w:hAnsi="Times New Roman" w:cs="Times New Roman"/>
          <w:sz w:val="21"/>
          <w:szCs w:val="21"/>
        </w:rPr>
      </w:pPr>
      <w:r w:rsidRPr="00A60F41">
        <w:rPr>
          <w:rFonts w:ascii="Times New Roman" w:hAnsi="Times New Roman" w:cs="Times New Roman"/>
          <w:noProof/>
          <w:sz w:val="21"/>
          <w:szCs w:val="21"/>
          <w:lang w:val="ru-RU" w:eastAsia="ru-RU"/>
        </w:rPr>
        <w:lastRenderedPageBreak/>
        <w:drawing>
          <wp:inline distT="0" distB="0" distL="0" distR="0" wp14:anchorId="6EBCFDD5" wp14:editId="6362CC56">
            <wp:extent cx="3886200" cy="2734733"/>
            <wp:effectExtent l="0" t="0" r="0" b="8890"/>
            <wp:docPr id="1382" name="Рисунок 1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884697" cy="2733675"/>
                    </a:xfrm>
                    <a:prstGeom prst="rect">
                      <a:avLst/>
                    </a:prstGeom>
                    <a:noFill/>
                    <a:ln>
                      <a:noFill/>
                    </a:ln>
                  </pic:spPr>
                </pic:pic>
              </a:graphicData>
            </a:graphic>
          </wp:inline>
        </w:drawing>
      </w:r>
    </w:p>
    <w:p w:rsidR="00B233DE" w:rsidRPr="007016AD" w:rsidRDefault="00B233DE" w:rsidP="00B233DE">
      <w:pPr>
        <w:ind w:firstLine="709"/>
        <w:jc w:val="center"/>
        <w:rPr>
          <w:rFonts w:ascii="Times New Roman" w:hAnsi="Times New Roman" w:cs="Times New Roman"/>
          <w:b/>
          <w:sz w:val="21"/>
          <w:szCs w:val="21"/>
        </w:rPr>
      </w:pPr>
      <w:r w:rsidRPr="007016AD">
        <w:rPr>
          <w:rFonts w:ascii="Times New Roman" w:hAnsi="Times New Roman" w:cs="Times New Roman"/>
          <w:b/>
          <w:sz w:val="21"/>
          <w:szCs w:val="21"/>
        </w:rPr>
        <w:t>Рис. 4.17. Випускники ВНЗ І-І</w:t>
      </w:r>
      <w:r w:rsidRPr="007016AD">
        <w:rPr>
          <w:rFonts w:ascii="Times New Roman" w:hAnsi="Times New Roman" w:cs="Times New Roman"/>
          <w:b/>
          <w:sz w:val="21"/>
          <w:szCs w:val="21"/>
          <w:lang w:val="en-US"/>
        </w:rPr>
        <w:t>V</w:t>
      </w:r>
      <w:r w:rsidRPr="007016AD">
        <w:rPr>
          <w:rFonts w:ascii="Times New Roman" w:hAnsi="Times New Roman" w:cs="Times New Roman"/>
          <w:b/>
          <w:sz w:val="21"/>
          <w:szCs w:val="21"/>
        </w:rPr>
        <w:t xml:space="preserve"> рівнів акредитації за видами отриманої освіти у 2014 році в Україні, осіб [</w:t>
      </w:r>
      <w:r>
        <w:rPr>
          <w:rFonts w:ascii="Times New Roman" w:hAnsi="Times New Roman" w:cs="Times New Roman"/>
          <w:sz w:val="21"/>
          <w:szCs w:val="21"/>
          <w:highlight w:val="yellow"/>
          <w:lang w:val="en-US"/>
        </w:rPr>
        <w:fldChar w:fldCharType="begin"/>
      </w:r>
      <w:r>
        <w:rPr>
          <w:rFonts w:ascii="Times New Roman" w:hAnsi="Times New Roman" w:cs="Times New Roman"/>
          <w:b/>
          <w:sz w:val="21"/>
          <w:szCs w:val="21"/>
        </w:rPr>
        <w:instrText xml:space="preserve"> REF _Ref435187672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b/>
          <w:sz w:val="21"/>
          <w:szCs w:val="21"/>
        </w:rPr>
        <w:t>106</w:t>
      </w:r>
      <w:r>
        <w:rPr>
          <w:rFonts w:ascii="Times New Roman" w:hAnsi="Times New Roman" w:cs="Times New Roman"/>
          <w:sz w:val="21"/>
          <w:szCs w:val="21"/>
          <w:highlight w:val="yellow"/>
          <w:lang w:val="en-US"/>
        </w:rPr>
        <w:fldChar w:fldCharType="end"/>
      </w:r>
      <w:r w:rsidRPr="007016AD">
        <w:rPr>
          <w:rFonts w:ascii="Times New Roman" w:hAnsi="Times New Roman" w:cs="Times New Roman"/>
          <w:b/>
          <w:sz w:val="21"/>
          <w:szCs w:val="21"/>
        </w:rPr>
        <w:t>]</w:t>
      </w:r>
    </w:p>
    <w:p w:rsidR="00B233DE" w:rsidRPr="00A60F41" w:rsidRDefault="00B233DE" w:rsidP="00B233DE">
      <w:pPr>
        <w:tabs>
          <w:tab w:val="left" w:pos="900"/>
        </w:tabs>
        <w:ind w:firstLine="709"/>
        <w:jc w:val="both"/>
        <w:rPr>
          <w:rFonts w:ascii="Times New Roman" w:hAnsi="Times New Roman" w:cs="Times New Roman"/>
          <w:sz w:val="21"/>
          <w:szCs w:val="21"/>
        </w:rPr>
      </w:pPr>
    </w:p>
    <w:p w:rsidR="00B233DE" w:rsidRPr="00A60F41" w:rsidRDefault="00B233DE" w:rsidP="00B233DE">
      <w:pPr>
        <w:tabs>
          <w:tab w:val="left" w:pos="900"/>
        </w:tabs>
        <w:ind w:firstLine="709"/>
        <w:jc w:val="both"/>
        <w:rPr>
          <w:rFonts w:ascii="Times New Roman" w:hAnsi="Times New Roman" w:cs="Times New Roman"/>
          <w:spacing w:val="-4"/>
          <w:sz w:val="21"/>
          <w:szCs w:val="21"/>
        </w:rPr>
      </w:pPr>
    </w:p>
    <w:p w:rsidR="00B233DE" w:rsidRDefault="00B233DE" w:rsidP="00B233DE">
      <w:pPr>
        <w:ind w:firstLine="709"/>
        <w:jc w:val="both"/>
        <w:rPr>
          <w:rFonts w:ascii="Times New Roman" w:hAnsi="Times New Roman" w:cs="Times New Roman"/>
          <w:spacing w:val="-4"/>
          <w:sz w:val="21"/>
          <w:szCs w:val="21"/>
        </w:rPr>
      </w:pPr>
      <w:r w:rsidRPr="00A60F41">
        <w:rPr>
          <w:rFonts w:ascii="Times New Roman" w:hAnsi="Times New Roman" w:cs="Times New Roman"/>
          <w:spacing w:val="-4"/>
          <w:sz w:val="21"/>
          <w:szCs w:val="21"/>
        </w:rPr>
        <w:t xml:space="preserve">Трудові емігранти з </w:t>
      </w:r>
      <w:r>
        <w:rPr>
          <w:rFonts w:ascii="Times New Roman" w:hAnsi="Times New Roman" w:cs="Times New Roman"/>
          <w:spacing w:val="-4"/>
          <w:sz w:val="21"/>
          <w:szCs w:val="21"/>
        </w:rPr>
        <w:t>України</w:t>
      </w:r>
      <w:r w:rsidRPr="00A60F41">
        <w:rPr>
          <w:rFonts w:ascii="Times New Roman" w:hAnsi="Times New Roman" w:cs="Times New Roman"/>
          <w:spacing w:val="-4"/>
          <w:sz w:val="21"/>
          <w:szCs w:val="21"/>
        </w:rPr>
        <w:t xml:space="preserve"> </w:t>
      </w:r>
      <w:r>
        <w:rPr>
          <w:rFonts w:ascii="Times New Roman" w:hAnsi="Times New Roman" w:cs="Times New Roman"/>
          <w:spacing w:val="-4"/>
          <w:sz w:val="21"/>
          <w:szCs w:val="21"/>
        </w:rPr>
        <w:t>–</w:t>
      </w:r>
      <w:r w:rsidRPr="00A60F41">
        <w:rPr>
          <w:rFonts w:ascii="Times New Roman" w:hAnsi="Times New Roman" w:cs="Times New Roman"/>
          <w:spacing w:val="-4"/>
          <w:sz w:val="21"/>
          <w:szCs w:val="21"/>
        </w:rPr>
        <w:t xml:space="preserve"> майже виключно особи віком 20-49 років, а максимальний рівень участі у зовнішніх трудових міграціях характерний для осіб у віці 25</w:t>
      </w:r>
      <w:r>
        <w:rPr>
          <w:rFonts w:ascii="Times New Roman" w:hAnsi="Times New Roman" w:cs="Times New Roman"/>
          <w:spacing w:val="-4"/>
          <w:sz w:val="21"/>
          <w:szCs w:val="21"/>
        </w:rPr>
        <w:t>–</w:t>
      </w:r>
      <w:r w:rsidRPr="00A60F41">
        <w:rPr>
          <w:rFonts w:ascii="Times New Roman" w:hAnsi="Times New Roman" w:cs="Times New Roman"/>
          <w:spacing w:val="-4"/>
          <w:sz w:val="21"/>
          <w:szCs w:val="21"/>
        </w:rPr>
        <w:t>29 років</w:t>
      </w:r>
      <w:r>
        <w:rPr>
          <w:rFonts w:ascii="Times New Roman" w:hAnsi="Times New Roman" w:cs="Times New Roman"/>
          <w:spacing w:val="-4"/>
          <w:sz w:val="21"/>
          <w:szCs w:val="21"/>
        </w:rPr>
        <w:t xml:space="preserve"> (рис. 4.18)</w:t>
      </w:r>
      <w:r w:rsidRPr="00A60F41">
        <w:rPr>
          <w:rFonts w:ascii="Times New Roman" w:hAnsi="Times New Roman" w:cs="Times New Roman"/>
          <w:spacing w:val="-4"/>
          <w:sz w:val="21"/>
          <w:szCs w:val="21"/>
        </w:rPr>
        <w:t xml:space="preserve"> [</w:t>
      </w:r>
      <w:r>
        <w:rPr>
          <w:rFonts w:ascii="Times New Roman" w:hAnsi="Times New Roman" w:cs="Times New Roman"/>
          <w:spacing w:val="-4"/>
          <w:sz w:val="21"/>
          <w:szCs w:val="21"/>
        </w:rPr>
        <w:fldChar w:fldCharType="begin"/>
      </w:r>
      <w:r>
        <w:rPr>
          <w:rFonts w:ascii="Times New Roman" w:hAnsi="Times New Roman" w:cs="Times New Roman"/>
          <w:spacing w:val="-4"/>
          <w:sz w:val="21"/>
          <w:szCs w:val="21"/>
        </w:rPr>
        <w:instrText xml:space="preserve"> REF _Ref435187760 \r \h </w:instrText>
      </w:r>
      <w:r>
        <w:rPr>
          <w:rFonts w:ascii="Times New Roman" w:hAnsi="Times New Roman" w:cs="Times New Roman"/>
          <w:spacing w:val="-4"/>
          <w:sz w:val="21"/>
          <w:szCs w:val="21"/>
        </w:rPr>
      </w:r>
      <w:r>
        <w:rPr>
          <w:rFonts w:ascii="Times New Roman" w:hAnsi="Times New Roman" w:cs="Times New Roman"/>
          <w:spacing w:val="-4"/>
          <w:sz w:val="21"/>
          <w:szCs w:val="21"/>
        </w:rPr>
        <w:fldChar w:fldCharType="separate"/>
      </w:r>
      <w:r>
        <w:rPr>
          <w:rFonts w:ascii="Times New Roman" w:hAnsi="Times New Roman" w:cs="Times New Roman"/>
          <w:spacing w:val="-4"/>
          <w:sz w:val="21"/>
          <w:szCs w:val="21"/>
        </w:rPr>
        <w:t>21</w:t>
      </w:r>
      <w:r>
        <w:rPr>
          <w:rFonts w:ascii="Times New Roman" w:hAnsi="Times New Roman" w:cs="Times New Roman"/>
          <w:spacing w:val="-4"/>
          <w:sz w:val="21"/>
          <w:szCs w:val="21"/>
        </w:rPr>
        <w:fldChar w:fldCharType="end"/>
      </w:r>
      <w:r w:rsidRPr="00A60F41">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lang w:val="en-US"/>
        </w:rPr>
        <w:t>c</w:t>
      </w:r>
      <w:r w:rsidRPr="00A60F41">
        <w:rPr>
          <w:rFonts w:ascii="Times New Roman" w:hAnsi="Times New Roman" w:cs="Times New Roman"/>
          <w:spacing w:val="-4"/>
          <w:sz w:val="21"/>
          <w:szCs w:val="21"/>
        </w:rPr>
        <w:t>. 89].</w:t>
      </w:r>
    </w:p>
    <w:p w:rsidR="00B233DE" w:rsidRDefault="00B233DE" w:rsidP="00B233DE">
      <w:pPr>
        <w:ind w:firstLine="709"/>
        <w:jc w:val="both"/>
        <w:rPr>
          <w:rFonts w:ascii="Times New Roman" w:hAnsi="Times New Roman" w:cs="Times New Roman"/>
          <w:spacing w:val="-4"/>
          <w:sz w:val="21"/>
          <w:szCs w:val="21"/>
        </w:rPr>
      </w:pPr>
      <w:r w:rsidRPr="00A60F41">
        <w:rPr>
          <w:rFonts w:ascii="Times New Roman" w:hAnsi="Times New Roman" w:cs="Times New Roman"/>
          <w:spacing w:val="-4"/>
          <w:sz w:val="21"/>
          <w:szCs w:val="21"/>
        </w:rPr>
        <w:t>В Україні значні обсяги еміграції призводять до скорочення народжуваності в перспективі і подальшого загострення демографічної кризи. За розрахунками науковців, при відсутності трудових міграцій жінок фертильного віку, чисельність народжених в Україні була б більшою на 5,3</w:t>
      </w:r>
      <w:r>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rPr>
        <w:t>% [</w:t>
      </w:r>
      <w:r>
        <w:rPr>
          <w:rFonts w:ascii="Times New Roman" w:hAnsi="Times New Roman" w:cs="Times New Roman"/>
          <w:spacing w:val="-4"/>
          <w:sz w:val="21"/>
          <w:szCs w:val="21"/>
          <w:highlight w:val="yellow"/>
        </w:rPr>
        <w:fldChar w:fldCharType="begin"/>
      </w:r>
      <w:r>
        <w:rPr>
          <w:rFonts w:ascii="Times New Roman" w:hAnsi="Times New Roman" w:cs="Times New Roman"/>
          <w:spacing w:val="-4"/>
          <w:sz w:val="21"/>
          <w:szCs w:val="21"/>
        </w:rPr>
        <w:instrText xml:space="preserve"> REF _Ref435187760 \r \h </w:instrText>
      </w:r>
      <w:r>
        <w:rPr>
          <w:rFonts w:ascii="Times New Roman" w:hAnsi="Times New Roman" w:cs="Times New Roman"/>
          <w:spacing w:val="-4"/>
          <w:sz w:val="21"/>
          <w:szCs w:val="21"/>
          <w:highlight w:val="yellow"/>
        </w:rPr>
      </w:r>
      <w:r>
        <w:rPr>
          <w:rFonts w:ascii="Times New Roman" w:hAnsi="Times New Roman" w:cs="Times New Roman"/>
          <w:spacing w:val="-4"/>
          <w:sz w:val="21"/>
          <w:szCs w:val="21"/>
          <w:highlight w:val="yellow"/>
        </w:rPr>
        <w:fldChar w:fldCharType="separate"/>
      </w:r>
      <w:r>
        <w:rPr>
          <w:rFonts w:ascii="Times New Roman" w:hAnsi="Times New Roman" w:cs="Times New Roman"/>
          <w:spacing w:val="-4"/>
          <w:sz w:val="21"/>
          <w:szCs w:val="21"/>
        </w:rPr>
        <w:t>21</w:t>
      </w:r>
      <w:r>
        <w:rPr>
          <w:rFonts w:ascii="Times New Roman" w:hAnsi="Times New Roman" w:cs="Times New Roman"/>
          <w:spacing w:val="-4"/>
          <w:sz w:val="21"/>
          <w:szCs w:val="21"/>
          <w:highlight w:val="yellow"/>
        </w:rPr>
        <w:fldChar w:fldCharType="end"/>
      </w:r>
      <w:r w:rsidRPr="00A60F41">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lang w:val="en-US"/>
        </w:rPr>
        <w:t>c</w:t>
      </w:r>
      <w:r w:rsidRPr="00A60F41">
        <w:rPr>
          <w:rFonts w:ascii="Times New Roman" w:hAnsi="Times New Roman" w:cs="Times New Roman"/>
          <w:spacing w:val="-4"/>
          <w:sz w:val="21"/>
          <w:szCs w:val="21"/>
        </w:rPr>
        <w:t>. 350]. Проблеми виховання дітей емігрантів, залишених в Україні, включають відсутність контролю за життєдіяльністю і навчанням, погану успішність, незалученість до гуртків і секцій, що розвивають спеціальні здібності, підвищення конфліктності дітей з оточуючими, девіантну поведінку, безконтрольне використання значних грошових сум, що може нівелювати цінність професійної самореалізації [</w:t>
      </w:r>
      <w:r>
        <w:rPr>
          <w:rFonts w:ascii="Times New Roman" w:hAnsi="Times New Roman" w:cs="Times New Roman"/>
          <w:bCs/>
          <w:sz w:val="21"/>
          <w:szCs w:val="21"/>
          <w:highlight w:val="yellow"/>
        </w:rPr>
        <w:fldChar w:fldCharType="begin"/>
      </w:r>
      <w:r>
        <w:rPr>
          <w:rFonts w:ascii="Times New Roman" w:hAnsi="Times New Roman" w:cs="Times New Roman"/>
          <w:spacing w:val="-4"/>
          <w:sz w:val="21"/>
          <w:szCs w:val="21"/>
        </w:rPr>
        <w:instrText xml:space="preserve"> REF _Ref435187772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pacing w:val="-4"/>
          <w:sz w:val="21"/>
          <w:szCs w:val="21"/>
        </w:rPr>
        <w:t>33</w:t>
      </w:r>
      <w:r>
        <w:rPr>
          <w:rFonts w:ascii="Times New Roman" w:hAnsi="Times New Roman" w:cs="Times New Roman"/>
          <w:bCs/>
          <w:sz w:val="21"/>
          <w:szCs w:val="21"/>
          <w:highlight w:val="yellow"/>
        </w:rPr>
        <w:fldChar w:fldCharType="end"/>
      </w:r>
      <w:r w:rsidRPr="00A60F41">
        <w:rPr>
          <w:rFonts w:ascii="Times New Roman" w:hAnsi="Times New Roman" w:cs="Times New Roman"/>
          <w:spacing w:val="-4"/>
          <w:sz w:val="21"/>
          <w:szCs w:val="21"/>
        </w:rPr>
        <w:t>,</w:t>
      </w:r>
      <w:r>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lang w:val="en-US"/>
        </w:rPr>
        <w:t>c</w:t>
      </w:r>
      <w:r w:rsidRPr="00A60F41">
        <w:rPr>
          <w:rFonts w:ascii="Times New Roman" w:hAnsi="Times New Roman" w:cs="Times New Roman"/>
          <w:spacing w:val="-4"/>
          <w:sz w:val="21"/>
          <w:szCs w:val="21"/>
        </w:rPr>
        <w:t>.</w:t>
      </w:r>
      <w:r>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rPr>
        <w:t>132]. Наслідком таких тенденцій стає неможливість повноцінного формування людського потенціалу даної категорії населення.</w:t>
      </w:r>
    </w:p>
    <w:p w:rsidR="00B233DE" w:rsidRPr="00A60F41" w:rsidRDefault="00B233DE" w:rsidP="00B233DE">
      <w:pPr>
        <w:ind w:firstLine="709"/>
        <w:jc w:val="both"/>
        <w:rPr>
          <w:rFonts w:ascii="Times New Roman" w:hAnsi="Times New Roman" w:cs="Times New Roman"/>
          <w:spacing w:val="-4"/>
          <w:sz w:val="21"/>
          <w:szCs w:val="21"/>
        </w:rPr>
      </w:pPr>
    </w:p>
    <w:p w:rsidR="00B233DE" w:rsidRPr="007016AD" w:rsidRDefault="00B233DE" w:rsidP="00B233DE">
      <w:pPr>
        <w:ind w:firstLine="284"/>
        <w:jc w:val="both"/>
        <w:rPr>
          <w:rFonts w:ascii="Times New Roman" w:hAnsi="Times New Roman" w:cs="Times New Roman"/>
          <w:sz w:val="2"/>
          <w:szCs w:val="2"/>
        </w:rPr>
      </w:pPr>
      <w:r w:rsidRPr="00A60F41">
        <w:rPr>
          <w:rFonts w:ascii="Times New Roman" w:hAnsi="Times New Roman" w:cs="Times New Roman"/>
          <w:sz w:val="21"/>
          <w:szCs w:val="21"/>
        </w:rPr>
        <w:object w:dxaOrig="7202" w:dyaOrig="4074">
          <v:shape id="_x0000_i1027" type="#_x0000_t75" style="width:295.5pt;height:204pt" o:ole="">
            <v:imagedata r:id="rId74" o:title=""/>
          </v:shape>
          <o:OLEObject Type="Embed" ProgID="Excel.Sheet.8" ShapeID="_x0000_i1027" DrawAspect="Content" ObjectID="_1633373539" r:id="rId75"/>
        </w:object>
      </w:r>
    </w:p>
    <w:p w:rsidR="00B233DE" w:rsidRPr="007016AD" w:rsidRDefault="00B233DE" w:rsidP="00B233DE">
      <w:pPr>
        <w:ind w:firstLine="709"/>
        <w:jc w:val="center"/>
        <w:rPr>
          <w:rFonts w:ascii="Times New Roman" w:hAnsi="Times New Roman" w:cs="Times New Roman"/>
          <w:b/>
          <w:sz w:val="21"/>
          <w:szCs w:val="21"/>
        </w:rPr>
      </w:pPr>
      <w:r w:rsidRPr="007016AD">
        <w:rPr>
          <w:rFonts w:ascii="Times New Roman" w:hAnsi="Times New Roman" w:cs="Times New Roman"/>
          <w:b/>
          <w:sz w:val="21"/>
          <w:szCs w:val="21"/>
        </w:rPr>
        <w:t>Рис. 4.18</w:t>
      </w:r>
      <w:r>
        <w:rPr>
          <w:rFonts w:ascii="Times New Roman" w:hAnsi="Times New Roman" w:cs="Times New Roman"/>
          <w:b/>
          <w:sz w:val="21"/>
          <w:szCs w:val="21"/>
        </w:rPr>
        <w:t>.</w:t>
      </w:r>
      <w:r w:rsidRPr="007016AD">
        <w:rPr>
          <w:rFonts w:ascii="Times New Roman" w:hAnsi="Times New Roman" w:cs="Times New Roman"/>
          <w:b/>
          <w:sz w:val="21"/>
          <w:szCs w:val="21"/>
        </w:rPr>
        <w:t xml:space="preserve"> Середній вік трудових емігрантів з України у країнах призначення [</w:t>
      </w:r>
      <w:r>
        <w:rPr>
          <w:rFonts w:ascii="Times New Roman" w:hAnsi="Times New Roman" w:cs="Times New Roman"/>
          <w:bCs/>
          <w:sz w:val="21"/>
          <w:szCs w:val="21"/>
          <w:highlight w:val="yellow"/>
        </w:rPr>
        <w:fldChar w:fldCharType="begin"/>
      </w:r>
      <w:r>
        <w:rPr>
          <w:rFonts w:ascii="Times New Roman" w:hAnsi="Times New Roman" w:cs="Times New Roman"/>
          <w:b/>
          <w:sz w:val="21"/>
          <w:szCs w:val="21"/>
        </w:rPr>
        <w:instrText xml:space="preserve"> REF _Ref435187586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b/>
          <w:sz w:val="21"/>
          <w:szCs w:val="21"/>
        </w:rPr>
        <w:t>12</w:t>
      </w:r>
      <w:r>
        <w:rPr>
          <w:rFonts w:ascii="Times New Roman" w:hAnsi="Times New Roman" w:cs="Times New Roman"/>
          <w:bCs/>
          <w:sz w:val="21"/>
          <w:szCs w:val="21"/>
          <w:highlight w:val="yellow"/>
        </w:rPr>
        <w:fldChar w:fldCharType="end"/>
      </w:r>
      <w:r w:rsidRPr="007016AD">
        <w:rPr>
          <w:rFonts w:ascii="Times New Roman" w:hAnsi="Times New Roman" w:cs="Times New Roman"/>
          <w:b/>
          <w:sz w:val="21"/>
          <w:szCs w:val="21"/>
        </w:rPr>
        <w:t xml:space="preserve">, </w:t>
      </w:r>
      <w:r w:rsidRPr="007016AD">
        <w:rPr>
          <w:rFonts w:ascii="Times New Roman" w:hAnsi="Times New Roman" w:cs="Times New Roman"/>
          <w:b/>
          <w:sz w:val="21"/>
          <w:szCs w:val="21"/>
          <w:lang w:val="en-US"/>
        </w:rPr>
        <w:t>c</w:t>
      </w:r>
      <w:r w:rsidRPr="007016AD">
        <w:rPr>
          <w:rFonts w:ascii="Times New Roman" w:hAnsi="Times New Roman" w:cs="Times New Roman"/>
          <w:b/>
          <w:sz w:val="21"/>
          <w:szCs w:val="21"/>
        </w:rPr>
        <w:t>. 30]</w:t>
      </w:r>
    </w:p>
    <w:p w:rsidR="00B233DE" w:rsidRPr="00A60F41" w:rsidRDefault="00B233DE" w:rsidP="00B233DE">
      <w:pPr>
        <w:ind w:firstLine="709"/>
        <w:jc w:val="both"/>
        <w:rPr>
          <w:rFonts w:ascii="Times New Roman" w:hAnsi="Times New Roman" w:cs="Times New Roman"/>
          <w:spacing w:val="-4"/>
          <w:sz w:val="21"/>
          <w:szCs w:val="21"/>
        </w:rPr>
      </w:pPr>
    </w:p>
    <w:p w:rsidR="00B233DE" w:rsidRPr="00A60F41" w:rsidRDefault="00B233DE" w:rsidP="00B233DE">
      <w:pPr>
        <w:ind w:firstLine="709"/>
        <w:jc w:val="both"/>
        <w:rPr>
          <w:rFonts w:ascii="Times New Roman" w:hAnsi="Times New Roman" w:cs="Times New Roman"/>
          <w:spacing w:val="-4"/>
          <w:sz w:val="21"/>
          <w:szCs w:val="21"/>
        </w:rPr>
      </w:pPr>
    </w:p>
    <w:p w:rsidR="00B233DE" w:rsidRPr="00A60F41" w:rsidRDefault="00B233DE" w:rsidP="00B233DE">
      <w:pPr>
        <w:ind w:firstLine="709"/>
        <w:jc w:val="both"/>
        <w:rPr>
          <w:rFonts w:ascii="Times New Roman" w:hAnsi="Times New Roman" w:cs="Times New Roman"/>
          <w:spacing w:val="-4"/>
          <w:sz w:val="21"/>
          <w:szCs w:val="21"/>
        </w:rPr>
      </w:pPr>
      <w:r w:rsidRPr="00A60F41">
        <w:rPr>
          <w:rFonts w:ascii="Times New Roman" w:hAnsi="Times New Roman" w:cs="Times New Roman"/>
          <w:spacing w:val="-4"/>
          <w:sz w:val="21"/>
          <w:szCs w:val="21"/>
        </w:rPr>
        <w:t xml:space="preserve">Розглядаючи еміграцію з України у регіональному розрізі, можна спостерігати відмінності </w:t>
      </w:r>
      <w:r>
        <w:rPr>
          <w:rFonts w:ascii="Times New Roman" w:hAnsi="Times New Roman" w:cs="Times New Roman"/>
          <w:spacing w:val="-4"/>
          <w:sz w:val="21"/>
          <w:szCs w:val="21"/>
        </w:rPr>
        <w:t>в</w:t>
      </w:r>
      <w:r w:rsidRPr="00A60F41">
        <w:rPr>
          <w:rFonts w:ascii="Times New Roman" w:hAnsi="Times New Roman" w:cs="Times New Roman"/>
          <w:spacing w:val="-4"/>
          <w:sz w:val="21"/>
          <w:szCs w:val="21"/>
        </w:rPr>
        <w:t xml:space="preserve"> обсягах та географічній спрямованості міграційних потоків в залежності від регіону походження мігрантів. Дана тенденція зумовлена різним рівнем економічного та людського розвитку регіонів, їх географічною близькістю до відповідних країн призначення, що зменшує витрати на міграцію, та історичними зв’язками. Найбільш активну участь у зовнішніх трудових переміщеннях беруть мешканці західних областей України (57,4</w:t>
      </w:r>
      <w:r>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rPr>
        <w:t>% загальної кількості трудових емігрантів), чому сприяє близькість до кордонів з країнами ЄС. Відповідно, основними країнами призначення вихідців з даних регіонів виступають Італія (19,0</w:t>
      </w:r>
      <w:r>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rPr>
        <w:t>%), Чеська Республіка (18,1</w:t>
      </w:r>
      <w:r>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rPr>
        <w:t>%), Польща (10,6</w:t>
      </w:r>
      <w:r>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rPr>
        <w:t>%), Угорщина (5,5</w:t>
      </w:r>
      <w:r>
        <w:rPr>
          <w:rFonts w:ascii="Times New Roman" w:hAnsi="Times New Roman" w:cs="Times New Roman"/>
          <w:spacing w:val="-4"/>
          <w:sz w:val="21"/>
          <w:szCs w:val="21"/>
        </w:rPr>
        <w:t> </w:t>
      </w:r>
      <w:r w:rsidRPr="00A60F41">
        <w:rPr>
          <w:rFonts w:ascii="Times New Roman" w:hAnsi="Times New Roman" w:cs="Times New Roman"/>
          <w:spacing w:val="-4"/>
          <w:sz w:val="21"/>
          <w:szCs w:val="21"/>
        </w:rPr>
        <w:t>%). Водночас, Російська Федерація залишається основною країною призначення українських трудових мігрантів, в тому числі і для працівників із західних регіонів (31,8</w:t>
      </w:r>
      <w:r>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rPr>
        <w:t>%). Виїзд на заробітки до Російської Федерації є переважаючим для мешканців східних (84,1</w:t>
      </w:r>
      <w:r>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rPr>
        <w:t>% загальної кількості мігрантів з даних територій), південних (65,37</w:t>
      </w:r>
      <w:r>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rPr>
        <w:t>%), центральних (56</w:t>
      </w:r>
      <w:r>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rPr>
        <w:t>%) та північних (54,1</w:t>
      </w:r>
      <w:r>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rPr>
        <w:t xml:space="preserve">%) областей України. Італія є </w:t>
      </w:r>
      <w:r w:rsidRPr="00A60F41">
        <w:rPr>
          <w:rFonts w:ascii="Times New Roman" w:hAnsi="Times New Roman" w:cs="Times New Roman"/>
          <w:spacing w:val="-4"/>
          <w:sz w:val="21"/>
          <w:szCs w:val="21"/>
        </w:rPr>
        <w:lastRenderedPageBreak/>
        <w:t>також важливим напрямом міграції для вихідців з північних областей (16,6</w:t>
      </w:r>
      <w:r>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rPr>
        <w:t>%), а Чеська Республіка – для мешканців центральної частини України (9,7</w:t>
      </w:r>
      <w:r>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rPr>
        <w:t>%) (табл. 4.1) [</w:t>
      </w:r>
      <w:r>
        <w:rPr>
          <w:rFonts w:ascii="Times New Roman" w:hAnsi="Times New Roman" w:cs="Times New Roman"/>
          <w:bCs/>
          <w:sz w:val="21"/>
          <w:szCs w:val="21"/>
          <w:highlight w:val="yellow"/>
        </w:rPr>
        <w:fldChar w:fldCharType="begin"/>
      </w:r>
      <w:r>
        <w:rPr>
          <w:rFonts w:ascii="Times New Roman" w:hAnsi="Times New Roman" w:cs="Times New Roman"/>
          <w:spacing w:val="-4"/>
          <w:sz w:val="21"/>
          <w:szCs w:val="21"/>
        </w:rPr>
        <w:instrText xml:space="preserve"> REF _Ref435187586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pacing w:val="-4"/>
          <w:sz w:val="21"/>
          <w:szCs w:val="21"/>
        </w:rPr>
        <w:t>12</w:t>
      </w:r>
      <w:r>
        <w:rPr>
          <w:rFonts w:ascii="Times New Roman" w:hAnsi="Times New Roman" w:cs="Times New Roman"/>
          <w:bCs/>
          <w:sz w:val="21"/>
          <w:szCs w:val="21"/>
          <w:highlight w:val="yellow"/>
        </w:rPr>
        <w:fldChar w:fldCharType="end"/>
      </w:r>
      <w:r>
        <w:rPr>
          <w:rFonts w:ascii="Times New Roman" w:hAnsi="Times New Roman" w:cs="Times New Roman"/>
          <w:spacing w:val="-4"/>
          <w:sz w:val="21"/>
          <w:szCs w:val="21"/>
        </w:rPr>
        <w:t xml:space="preserve">, с. </w:t>
      </w:r>
      <w:r w:rsidRPr="00A60F41">
        <w:rPr>
          <w:rFonts w:ascii="Times New Roman" w:hAnsi="Times New Roman" w:cs="Times New Roman"/>
          <w:spacing w:val="-4"/>
          <w:sz w:val="21"/>
          <w:szCs w:val="21"/>
        </w:rPr>
        <w:t>33</w:t>
      </w:r>
      <w:r>
        <w:rPr>
          <w:rFonts w:ascii="Times New Roman" w:hAnsi="Times New Roman" w:cs="Times New Roman"/>
          <w:spacing w:val="-4"/>
          <w:sz w:val="21"/>
          <w:szCs w:val="21"/>
        </w:rPr>
        <w:t>–</w:t>
      </w:r>
      <w:r w:rsidRPr="00A60F41">
        <w:rPr>
          <w:rFonts w:ascii="Times New Roman" w:hAnsi="Times New Roman" w:cs="Times New Roman"/>
          <w:spacing w:val="-4"/>
          <w:sz w:val="21"/>
          <w:szCs w:val="21"/>
        </w:rPr>
        <w:t>66].</w:t>
      </w:r>
    </w:p>
    <w:p w:rsidR="00B233DE" w:rsidRDefault="00B233DE" w:rsidP="00B233DE">
      <w:pPr>
        <w:ind w:firstLine="709"/>
        <w:jc w:val="both"/>
        <w:rPr>
          <w:rFonts w:ascii="Times New Roman" w:hAnsi="Times New Roman" w:cs="Times New Roman"/>
          <w:sz w:val="21"/>
          <w:szCs w:val="21"/>
        </w:rPr>
      </w:pPr>
    </w:p>
    <w:p w:rsidR="00B233DE" w:rsidRPr="00A60F41" w:rsidRDefault="00B233DE" w:rsidP="00B233DE">
      <w:pPr>
        <w:ind w:firstLine="709"/>
        <w:jc w:val="right"/>
        <w:rPr>
          <w:rFonts w:ascii="Times New Roman" w:hAnsi="Times New Roman" w:cs="Times New Roman"/>
          <w:sz w:val="21"/>
          <w:szCs w:val="21"/>
        </w:rPr>
      </w:pPr>
      <w:r w:rsidRPr="00A60F41">
        <w:rPr>
          <w:rFonts w:ascii="Times New Roman" w:hAnsi="Times New Roman" w:cs="Times New Roman"/>
          <w:sz w:val="21"/>
          <w:szCs w:val="21"/>
        </w:rPr>
        <w:t>Таблиця 4.</w:t>
      </w:r>
      <w:r>
        <w:rPr>
          <w:rFonts w:ascii="Times New Roman" w:hAnsi="Times New Roman" w:cs="Times New Roman"/>
          <w:sz w:val="21"/>
          <w:szCs w:val="21"/>
        </w:rPr>
        <w:t>9</w:t>
      </w:r>
      <w:r w:rsidRPr="00A60F41">
        <w:rPr>
          <w:rFonts w:ascii="Times New Roman" w:hAnsi="Times New Roman" w:cs="Times New Roman"/>
          <w:sz w:val="21"/>
          <w:szCs w:val="21"/>
        </w:rPr>
        <w:t>.</w:t>
      </w:r>
    </w:p>
    <w:p w:rsidR="00B233DE" w:rsidRPr="007016AD" w:rsidRDefault="00B233DE" w:rsidP="00B233DE">
      <w:pPr>
        <w:ind w:firstLine="709"/>
        <w:jc w:val="center"/>
        <w:rPr>
          <w:rFonts w:ascii="Times New Roman" w:hAnsi="Times New Roman" w:cs="Times New Roman"/>
          <w:b/>
          <w:sz w:val="21"/>
          <w:szCs w:val="21"/>
        </w:rPr>
      </w:pPr>
      <w:r w:rsidRPr="007016AD">
        <w:rPr>
          <w:rFonts w:ascii="Times New Roman" w:hAnsi="Times New Roman" w:cs="Times New Roman"/>
          <w:b/>
          <w:sz w:val="21"/>
          <w:szCs w:val="21"/>
        </w:rPr>
        <w:t>Територіальна диференціація та географічна спрямованість зовнішньої трудової міграції населення України [</w:t>
      </w:r>
      <w:r>
        <w:rPr>
          <w:rFonts w:ascii="Times New Roman" w:hAnsi="Times New Roman" w:cs="Times New Roman"/>
          <w:bCs/>
          <w:sz w:val="21"/>
          <w:szCs w:val="21"/>
          <w:highlight w:val="yellow"/>
        </w:rPr>
        <w:fldChar w:fldCharType="begin"/>
      </w:r>
      <w:r>
        <w:rPr>
          <w:rFonts w:ascii="Times New Roman" w:hAnsi="Times New Roman" w:cs="Times New Roman"/>
          <w:b/>
          <w:sz w:val="21"/>
          <w:szCs w:val="21"/>
        </w:rPr>
        <w:instrText xml:space="preserve"> REF _Ref435187586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b/>
          <w:sz w:val="21"/>
          <w:szCs w:val="21"/>
        </w:rPr>
        <w:t>12</w:t>
      </w:r>
      <w:r>
        <w:rPr>
          <w:rFonts w:ascii="Times New Roman" w:hAnsi="Times New Roman" w:cs="Times New Roman"/>
          <w:bCs/>
          <w:sz w:val="21"/>
          <w:szCs w:val="21"/>
          <w:highlight w:val="yellow"/>
        </w:rPr>
        <w:fldChar w:fldCharType="end"/>
      </w:r>
      <w:r w:rsidRPr="007016AD">
        <w:rPr>
          <w:rFonts w:ascii="Times New Roman" w:hAnsi="Times New Roman" w:cs="Times New Roman"/>
          <w:b/>
          <w:sz w:val="21"/>
          <w:szCs w:val="21"/>
        </w:rPr>
        <w:t>, с. 66</w:t>
      </w:r>
      <w:r>
        <w:rPr>
          <w:rFonts w:ascii="Times New Roman" w:hAnsi="Times New Roman" w:cs="Times New Roman"/>
          <w:b/>
          <w:sz w:val="21"/>
          <w:szCs w:val="21"/>
        </w:rPr>
        <w:t>–</w:t>
      </w:r>
      <w:r w:rsidRPr="007016AD">
        <w:rPr>
          <w:rFonts w:ascii="Times New Roman" w:hAnsi="Times New Roman" w:cs="Times New Roman"/>
          <w:b/>
          <w:sz w:val="21"/>
          <w:szCs w:val="21"/>
        </w:rPr>
        <w:t>67]</w:t>
      </w:r>
    </w:p>
    <w:tbl>
      <w:tblPr>
        <w:tblW w:w="6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2340"/>
        <w:gridCol w:w="1980"/>
      </w:tblGrid>
      <w:tr w:rsidR="00B233DE" w:rsidRPr="00A60F41" w:rsidTr="0023489B">
        <w:tc>
          <w:tcPr>
            <w:tcW w:w="2268"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Регіони України</w:t>
            </w:r>
          </w:p>
        </w:tc>
        <w:tc>
          <w:tcPr>
            <w:tcW w:w="2340"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Рівень участі населення працездатного віку у трудових міграціях</w:t>
            </w:r>
          </w:p>
        </w:tc>
        <w:tc>
          <w:tcPr>
            <w:tcW w:w="1980"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Основні країни призначення</w:t>
            </w:r>
          </w:p>
        </w:tc>
      </w:tr>
      <w:tr w:rsidR="00B233DE" w:rsidRPr="00A60F41" w:rsidTr="0023489B">
        <w:tc>
          <w:tcPr>
            <w:tcW w:w="2268"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Закарпатська область</w:t>
            </w:r>
          </w:p>
        </w:tc>
        <w:tc>
          <w:tcPr>
            <w:tcW w:w="2340"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Дуже високий</w:t>
            </w:r>
          </w:p>
        </w:tc>
        <w:tc>
          <w:tcPr>
            <w:tcW w:w="1980"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Чеська Республіка. Угорщина, Словаччина, Російська Федерація</w:t>
            </w:r>
          </w:p>
        </w:tc>
      </w:tr>
      <w:tr w:rsidR="00B233DE" w:rsidRPr="00A60F41" w:rsidTr="0023489B">
        <w:tc>
          <w:tcPr>
            <w:tcW w:w="2268"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Чернівецька область</w:t>
            </w:r>
          </w:p>
        </w:tc>
        <w:tc>
          <w:tcPr>
            <w:tcW w:w="2340"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Дуже високий</w:t>
            </w:r>
          </w:p>
        </w:tc>
        <w:tc>
          <w:tcPr>
            <w:tcW w:w="1980"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Італія</w:t>
            </w:r>
          </w:p>
        </w:tc>
      </w:tr>
      <w:tr w:rsidR="00B233DE" w:rsidRPr="00A60F41" w:rsidTr="0023489B">
        <w:tc>
          <w:tcPr>
            <w:tcW w:w="2268"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Волинська, Івано-Франківська, Львівська, Тернопільська області</w:t>
            </w:r>
          </w:p>
        </w:tc>
        <w:tc>
          <w:tcPr>
            <w:tcW w:w="2340"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Високий</w:t>
            </w:r>
          </w:p>
        </w:tc>
        <w:tc>
          <w:tcPr>
            <w:tcW w:w="1980"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Польща, Португалія, Іспанія, Італія</w:t>
            </w:r>
          </w:p>
        </w:tc>
      </w:tr>
      <w:tr w:rsidR="00B233DE" w:rsidRPr="00A60F41" w:rsidTr="0023489B">
        <w:tc>
          <w:tcPr>
            <w:tcW w:w="2268"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Вінницька, Рівненська, Хмельницька та Черкаська області</w:t>
            </w:r>
          </w:p>
        </w:tc>
        <w:tc>
          <w:tcPr>
            <w:tcW w:w="2340"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Середній з переходом до високого</w:t>
            </w:r>
          </w:p>
        </w:tc>
        <w:tc>
          <w:tcPr>
            <w:tcW w:w="1980"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Російська Федерація, Італія, Чеська Республіка, Польща, Португалія</w:t>
            </w:r>
          </w:p>
        </w:tc>
      </w:tr>
      <w:tr w:rsidR="00B233DE" w:rsidRPr="00A60F41" w:rsidTr="0023489B">
        <w:tc>
          <w:tcPr>
            <w:tcW w:w="2268"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Дніпропетровська, Донецька, Житомирська, Запорізька, Київська, Кіровоградська, Полтавська, Сумська, Харківська, Чернігівська області та м.Київ</w:t>
            </w:r>
          </w:p>
        </w:tc>
        <w:tc>
          <w:tcPr>
            <w:tcW w:w="2340"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Дуже низький з переходом до низького</w:t>
            </w:r>
          </w:p>
        </w:tc>
        <w:tc>
          <w:tcPr>
            <w:tcW w:w="1980"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Російська Федерація</w:t>
            </w:r>
          </w:p>
        </w:tc>
      </w:tr>
      <w:tr w:rsidR="00B233DE" w:rsidRPr="00A60F41" w:rsidTr="0023489B">
        <w:tc>
          <w:tcPr>
            <w:tcW w:w="2268"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АР Крим, Миколаївська, Одеська, Херсонська області та м. Севастополь</w:t>
            </w:r>
          </w:p>
        </w:tc>
        <w:tc>
          <w:tcPr>
            <w:tcW w:w="2340"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Низький</w:t>
            </w:r>
          </w:p>
        </w:tc>
        <w:tc>
          <w:tcPr>
            <w:tcW w:w="1980"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Російська Федерація, країни ЄС</w:t>
            </w:r>
          </w:p>
        </w:tc>
      </w:tr>
      <w:tr w:rsidR="00B233DE" w:rsidRPr="00A60F41" w:rsidTr="0023489B">
        <w:tc>
          <w:tcPr>
            <w:tcW w:w="2268"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Луганська область</w:t>
            </w:r>
          </w:p>
        </w:tc>
        <w:tc>
          <w:tcPr>
            <w:tcW w:w="2340"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Середній</w:t>
            </w:r>
          </w:p>
        </w:tc>
        <w:tc>
          <w:tcPr>
            <w:tcW w:w="1980" w:type="dxa"/>
            <w:vAlign w:val="center"/>
          </w:tcPr>
          <w:p w:rsidR="00B233DE" w:rsidRPr="007016AD" w:rsidRDefault="00B233DE" w:rsidP="0023489B">
            <w:pPr>
              <w:ind w:firstLine="0"/>
              <w:jc w:val="center"/>
              <w:rPr>
                <w:rFonts w:ascii="Times New Roman" w:hAnsi="Times New Roman" w:cs="Times New Roman"/>
                <w:sz w:val="18"/>
                <w:szCs w:val="18"/>
              </w:rPr>
            </w:pPr>
            <w:r w:rsidRPr="007016AD">
              <w:rPr>
                <w:rFonts w:ascii="Times New Roman" w:hAnsi="Times New Roman" w:cs="Times New Roman"/>
                <w:sz w:val="18"/>
                <w:szCs w:val="18"/>
              </w:rPr>
              <w:t>Російська Федерація</w:t>
            </w:r>
          </w:p>
        </w:tc>
      </w:tr>
    </w:tbl>
    <w:p w:rsidR="00B233DE" w:rsidRPr="00A60F41" w:rsidRDefault="00B233DE" w:rsidP="00B233DE">
      <w:pPr>
        <w:ind w:firstLine="720"/>
        <w:jc w:val="both"/>
        <w:rPr>
          <w:rFonts w:ascii="Times New Roman" w:hAnsi="Times New Roman" w:cs="Times New Roman"/>
          <w:sz w:val="21"/>
          <w:szCs w:val="21"/>
        </w:rPr>
      </w:pPr>
    </w:p>
    <w:p w:rsidR="00B233DE" w:rsidRPr="00A60F41"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Інтенсивність еміграції вища у сільській місцевості, що пов’язано з відсутністю можливостей працевлаштування та низьким рівнем життя. Регіональні особливості міграційних потоків залежать від наявності в регіоні або поблизу нього великих поліфункціональних міст, що створює альтернативу зовнішній міграції для потенційних мігрантів з сільської місцевості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_Ref435187795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30</w:t>
      </w:r>
      <w:r>
        <w:rPr>
          <w:rFonts w:ascii="Times New Roman" w:hAnsi="Times New Roman" w:cs="Times New Roman"/>
          <w:sz w:val="21"/>
          <w:szCs w:val="21"/>
          <w:highlight w:val="yellow"/>
        </w:rPr>
        <w:fldChar w:fldCharType="end"/>
      </w:r>
      <w:r w:rsidRPr="00A60F41">
        <w:rPr>
          <w:rFonts w:ascii="Times New Roman" w:hAnsi="Times New Roman" w:cs="Times New Roman"/>
          <w:sz w:val="21"/>
          <w:szCs w:val="21"/>
        </w:rPr>
        <w:t xml:space="preserve">, </w:t>
      </w:r>
      <w:r w:rsidRPr="00A60F41">
        <w:rPr>
          <w:rFonts w:ascii="Times New Roman" w:hAnsi="Times New Roman" w:cs="Times New Roman"/>
          <w:sz w:val="21"/>
          <w:szCs w:val="21"/>
          <w:lang w:val="en-US"/>
        </w:rPr>
        <w:t>c</w:t>
      </w:r>
      <w:r w:rsidRPr="00A60F41">
        <w:rPr>
          <w:rFonts w:ascii="Times New Roman" w:hAnsi="Times New Roman" w:cs="Times New Roman"/>
          <w:sz w:val="21"/>
          <w:szCs w:val="21"/>
        </w:rPr>
        <w:t>. 34-35].</w:t>
      </w:r>
    </w:p>
    <w:p w:rsidR="00B233DE" w:rsidRPr="00A60F41"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lastRenderedPageBreak/>
        <w:t>Еміграцію з України можна розглядати як постійну чи тимчасову, кожна з яких може здійснюватись на легальній або нелегальній основі. Трудова еміграція з України, яка за обсягом складає близько 1,2 млн осіб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_Ref435187801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62</w:t>
      </w:r>
      <w:r>
        <w:rPr>
          <w:rFonts w:ascii="Times New Roman" w:hAnsi="Times New Roman" w:cs="Times New Roman"/>
          <w:sz w:val="21"/>
          <w:szCs w:val="21"/>
          <w:highlight w:val="yellow"/>
        </w:rPr>
        <w:fldChar w:fldCharType="end"/>
      </w:r>
      <w:r w:rsidRPr="00A60F41">
        <w:rPr>
          <w:rFonts w:ascii="Times New Roman" w:hAnsi="Times New Roman" w:cs="Times New Roman"/>
          <w:sz w:val="21"/>
          <w:szCs w:val="21"/>
        </w:rPr>
        <w:t>, с. 48], має переважно тимчасовий характер. 37,2</w:t>
      </w:r>
      <w:r>
        <w:rPr>
          <w:rFonts w:ascii="Times New Roman" w:hAnsi="Times New Roman" w:cs="Times New Roman"/>
          <w:sz w:val="21"/>
          <w:szCs w:val="21"/>
        </w:rPr>
        <w:t xml:space="preserve"> </w:t>
      </w:r>
      <w:r w:rsidRPr="00A60F41">
        <w:rPr>
          <w:rFonts w:ascii="Times New Roman" w:hAnsi="Times New Roman" w:cs="Times New Roman"/>
          <w:sz w:val="21"/>
          <w:szCs w:val="21"/>
        </w:rPr>
        <w:t>% українських трудових мігрантів працюють в країні призначення протягом періоду від 1 до 3х місяців та лише 16,2</w:t>
      </w:r>
      <w:r>
        <w:rPr>
          <w:rFonts w:ascii="Times New Roman" w:hAnsi="Times New Roman" w:cs="Times New Roman"/>
          <w:sz w:val="21"/>
          <w:szCs w:val="21"/>
        </w:rPr>
        <w:t xml:space="preserve"> </w:t>
      </w:r>
      <w:r w:rsidRPr="00A60F41">
        <w:rPr>
          <w:rFonts w:ascii="Times New Roman" w:hAnsi="Times New Roman" w:cs="Times New Roman"/>
          <w:sz w:val="21"/>
          <w:szCs w:val="21"/>
        </w:rPr>
        <w:t>% залишаються на постійне чи довгострокове працевлаштування. Найбільша кількість постійних та довго</w:t>
      </w:r>
      <w:r>
        <w:rPr>
          <w:rFonts w:ascii="Times New Roman" w:hAnsi="Times New Roman" w:cs="Times New Roman"/>
          <w:sz w:val="21"/>
          <w:szCs w:val="21"/>
        </w:rPr>
        <w:t>-</w:t>
      </w:r>
      <w:r w:rsidRPr="00A60F41">
        <w:rPr>
          <w:rFonts w:ascii="Times New Roman" w:hAnsi="Times New Roman" w:cs="Times New Roman"/>
          <w:sz w:val="21"/>
          <w:szCs w:val="21"/>
        </w:rPr>
        <w:t>строкових емігрантів з України працює в Іспанії, Португалії та Італії. Це пов’язано з кращими умовами життя в цих країнах та ліберальним міграційним законодавством, що передбачає спро</w:t>
      </w:r>
      <w:r>
        <w:rPr>
          <w:rFonts w:ascii="Times New Roman" w:hAnsi="Times New Roman" w:cs="Times New Roman"/>
          <w:sz w:val="21"/>
          <w:szCs w:val="21"/>
        </w:rPr>
        <w:t>-</w:t>
      </w:r>
      <w:r w:rsidRPr="00A60F41">
        <w:rPr>
          <w:rFonts w:ascii="Times New Roman" w:hAnsi="Times New Roman" w:cs="Times New Roman"/>
          <w:sz w:val="21"/>
          <w:szCs w:val="21"/>
        </w:rPr>
        <w:t>щену процедуру легалізації для іноземних працівників. В сусідніх країнах – Угорщині, Польщі, Російській Федерації, Чехії трудові емігранти перебувають протягом періоду до 3 місяців, що зумов</w:t>
      </w:r>
      <w:r>
        <w:rPr>
          <w:rFonts w:ascii="Times New Roman" w:hAnsi="Times New Roman" w:cs="Times New Roman"/>
          <w:sz w:val="21"/>
          <w:szCs w:val="21"/>
        </w:rPr>
        <w:t>-</w:t>
      </w:r>
      <w:r w:rsidRPr="00A60F41">
        <w:rPr>
          <w:rFonts w:ascii="Times New Roman" w:hAnsi="Times New Roman" w:cs="Times New Roman"/>
          <w:sz w:val="21"/>
          <w:szCs w:val="21"/>
        </w:rPr>
        <w:t>лено географічною близькістю та меншими витратами на міграційні переміщення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_Ref435186429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61</w:t>
      </w:r>
      <w:r>
        <w:rPr>
          <w:rFonts w:ascii="Times New Roman" w:hAnsi="Times New Roman" w:cs="Times New Roman"/>
          <w:sz w:val="21"/>
          <w:szCs w:val="21"/>
          <w:highlight w:val="yellow"/>
        </w:rPr>
        <w:fldChar w:fldCharType="end"/>
      </w:r>
      <w:r w:rsidRPr="00A60F41">
        <w:rPr>
          <w:rFonts w:ascii="Times New Roman" w:hAnsi="Times New Roman" w:cs="Times New Roman"/>
          <w:sz w:val="21"/>
          <w:szCs w:val="21"/>
        </w:rPr>
        <w:t xml:space="preserve">, </w:t>
      </w:r>
      <w:r w:rsidRPr="00A60F41">
        <w:rPr>
          <w:rFonts w:ascii="Times New Roman" w:hAnsi="Times New Roman" w:cs="Times New Roman"/>
          <w:sz w:val="21"/>
          <w:szCs w:val="21"/>
          <w:lang w:val="en-US"/>
        </w:rPr>
        <w:t>c</w:t>
      </w:r>
      <w:r w:rsidRPr="00A60F41">
        <w:rPr>
          <w:rFonts w:ascii="Times New Roman" w:hAnsi="Times New Roman" w:cs="Times New Roman"/>
          <w:sz w:val="21"/>
          <w:szCs w:val="21"/>
        </w:rPr>
        <w:t>. 46]. В той же час, серед українсь</w:t>
      </w:r>
      <w:r>
        <w:rPr>
          <w:rFonts w:ascii="Times New Roman" w:hAnsi="Times New Roman" w:cs="Times New Roman"/>
          <w:sz w:val="21"/>
          <w:szCs w:val="21"/>
        </w:rPr>
        <w:t>-</w:t>
      </w:r>
      <w:r w:rsidRPr="00A60F41">
        <w:rPr>
          <w:rFonts w:ascii="Times New Roman" w:hAnsi="Times New Roman" w:cs="Times New Roman"/>
          <w:sz w:val="21"/>
          <w:szCs w:val="21"/>
        </w:rPr>
        <w:t>ких емігрантів високою залишається вірогідність переходу тимча</w:t>
      </w:r>
      <w:r>
        <w:rPr>
          <w:rFonts w:ascii="Times New Roman" w:hAnsi="Times New Roman" w:cs="Times New Roman"/>
          <w:sz w:val="21"/>
          <w:szCs w:val="21"/>
        </w:rPr>
        <w:t>-</w:t>
      </w:r>
      <w:r w:rsidRPr="00A60F41">
        <w:rPr>
          <w:rFonts w:ascii="Times New Roman" w:hAnsi="Times New Roman" w:cs="Times New Roman"/>
          <w:sz w:val="21"/>
          <w:szCs w:val="21"/>
        </w:rPr>
        <w:t>сової форми трудової міграції у постійну. 35,6</w:t>
      </w:r>
      <w:r>
        <w:rPr>
          <w:rFonts w:ascii="Times New Roman" w:hAnsi="Times New Roman" w:cs="Times New Roman"/>
          <w:sz w:val="21"/>
          <w:szCs w:val="21"/>
        </w:rPr>
        <w:t xml:space="preserve"> </w:t>
      </w:r>
      <w:r w:rsidRPr="00A60F41">
        <w:rPr>
          <w:rFonts w:ascii="Times New Roman" w:hAnsi="Times New Roman" w:cs="Times New Roman"/>
          <w:sz w:val="21"/>
          <w:szCs w:val="21"/>
        </w:rPr>
        <w:t>% трудових мігрантів віком до 35 років шукають можливість продовжити термін роботи за кордоном або залишитись в країні призначення назавжди [</w:t>
      </w:r>
      <w:r>
        <w:rPr>
          <w:rFonts w:ascii="Times New Roman" w:hAnsi="Times New Roman" w:cs="Times New Roman"/>
          <w:bCs/>
          <w:sz w:val="21"/>
          <w:szCs w:val="21"/>
          <w:highlight w:val="yellow"/>
        </w:rPr>
        <w:fldChar w:fldCharType="begin"/>
      </w:r>
      <w:r>
        <w:rPr>
          <w:rFonts w:ascii="Times New Roman" w:hAnsi="Times New Roman" w:cs="Times New Roman"/>
          <w:sz w:val="21"/>
          <w:szCs w:val="21"/>
        </w:rPr>
        <w:instrText xml:space="preserve"> REF _Ref435187772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z w:val="21"/>
          <w:szCs w:val="21"/>
        </w:rPr>
        <w:t>33</w:t>
      </w:r>
      <w:r>
        <w:rPr>
          <w:rFonts w:ascii="Times New Roman" w:hAnsi="Times New Roman" w:cs="Times New Roman"/>
          <w:bCs/>
          <w:sz w:val="21"/>
          <w:szCs w:val="21"/>
          <w:highlight w:val="yellow"/>
        </w:rPr>
        <w:fldChar w:fldCharType="end"/>
      </w:r>
      <w:r w:rsidRPr="00A60F41">
        <w:rPr>
          <w:rFonts w:ascii="Times New Roman" w:hAnsi="Times New Roman" w:cs="Times New Roman"/>
          <w:sz w:val="21"/>
          <w:szCs w:val="21"/>
        </w:rPr>
        <w:t xml:space="preserve">, </w:t>
      </w:r>
      <w:r w:rsidRPr="00A60F41">
        <w:rPr>
          <w:rFonts w:ascii="Times New Roman" w:hAnsi="Times New Roman" w:cs="Times New Roman"/>
          <w:sz w:val="21"/>
          <w:szCs w:val="21"/>
          <w:lang w:val="en-US"/>
        </w:rPr>
        <w:t>c</w:t>
      </w:r>
      <w:r w:rsidRPr="00A60F41">
        <w:rPr>
          <w:rFonts w:ascii="Times New Roman" w:hAnsi="Times New Roman" w:cs="Times New Roman"/>
          <w:sz w:val="21"/>
          <w:szCs w:val="21"/>
        </w:rPr>
        <w:t>. 91]. Така тенденція є менш сприятливою для України з точки зору втрати демографічного та освітньо-кваліфікаційного потенціалу ніж тимчасова еміграція, особливо в умовах поширення депопуляції в країні.</w:t>
      </w:r>
    </w:p>
    <w:p w:rsidR="00B233DE"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Депопуляційні тенденції в Україні спостерігаються з другої половини 1990-х років і продовжують зростати: за період з 2000 по 2014 роки населення країни скоротилось на близько 4 млн осіб [</w:t>
      </w:r>
      <w:r>
        <w:rPr>
          <w:rStyle w:val="xfmc6"/>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_Ref435187822 \r \h </w:instrText>
      </w:r>
      <w:r>
        <w:rPr>
          <w:rStyle w:val="xfmc6"/>
          <w:rFonts w:ascii="Times New Roman" w:hAnsi="Times New Roman" w:cs="Times New Roman"/>
          <w:sz w:val="21"/>
          <w:szCs w:val="21"/>
          <w:highlight w:val="yellow"/>
        </w:rPr>
      </w:r>
      <w:r>
        <w:rPr>
          <w:rStyle w:val="xfmc6"/>
          <w:rFonts w:ascii="Times New Roman" w:hAnsi="Times New Roman" w:cs="Times New Roman"/>
          <w:sz w:val="21"/>
          <w:szCs w:val="21"/>
          <w:highlight w:val="yellow"/>
        </w:rPr>
        <w:fldChar w:fldCharType="separate"/>
      </w:r>
      <w:r>
        <w:rPr>
          <w:rFonts w:ascii="Times New Roman" w:hAnsi="Times New Roman" w:cs="Times New Roman"/>
          <w:sz w:val="21"/>
          <w:szCs w:val="21"/>
        </w:rPr>
        <w:t>38</w:t>
      </w:r>
      <w:r>
        <w:rPr>
          <w:rStyle w:val="xfmc6"/>
          <w:rFonts w:ascii="Times New Roman" w:hAnsi="Times New Roman" w:cs="Times New Roman"/>
          <w:sz w:val="21"/>
          <w:szCs w:val="21"/>
          <w:highlight w:val="yellow"/>
        </w:rPr>
        <w:fldChar w:fldCharType="end"/>
      </w:r>
      <w:r w:rsidRPr="00A60F41">
        <w:rPr>
          <w:rFonts w:ascii="Times New Roman" w:hAnsi="Times New Roman" w:cs="Times New Roman"/>
          <w:sz w:val="21"/>
          <w:szCs w:val="21"/>
        </w:rPr>
        <w:t>]. Міграційний притік населення в Україні не здатний компенсувати низьк</w:t>
      </w:r>
      <w:r>
        <w:rPr>
          <w:rFonts w:ascii="Times New Roman" w:hAnsi="Times New Roman" w:cs="Times New Roman"/>
          <w:sz w:val="21"/>
          <w:szCs w:val="21"/>
        </w:rPr>
        <w:t xml:space="preserve">і показники природного приросту </w:t>
      </w:r>
      <w:r w:rsidRPr="00A60F41">
        <w:rPr>
          <w:rFonts w:ascii="Times New Roman" w:hAnsi="Times New Roman" w:cs="Times New Roman"/>
          <w:sz w:val="21"/>
          <w:szCs w:val="21"/>
        </w:rPr>
        <w:t>(рис. 4.</w:t>
      </w:r>
      <w:r>
        <w:rPr>
          <w:rFonts w:ascii="Times New Roman" w:hAnsi="Times New Roman" w:cs="Times New Roman"/>
          <w:sz w:val="21"/>
          <w:szCs w:val="21"/>
        </w:rPr>
        <w:t>1</w:t>
      </w:r>
      <w:r w:rsidRPr="00A60F41">
        <w:rPr>
          <w:rFonts w:ascii="Times New Roman" w:hAnsi="Times New Roman" w:cs="Times New Roman"/>
          <w:sz w:val="21"/>
          <w:szCs w:val="21"/>
        </w:rPr>
        <w:t>9).</w:t>
      </w:r>
    </w:p>
    <w:p w:rsidR="00B233DE" w:rsidRDefault="00B233DE" w:rsidP="00B233DE">
      <w:pPr>
        <w:ind w:firstLine="709"/>
        <w:jc w:val="both"/>
        <w:rPr>
          <w:rFonts w:ascii="Times New Roman" w:hAnsi="Times New Roman" w:cs="Times New Roman"/>
          <w:spacing w:val="-4"/>
          <w:sz w:val="21"/>
          <w:szCs w:val="21"/>
        </w:rPr>
      </w:pPr>
      <w:r w:rsidRPr="00A60F41">
        <w:rPr>
          <w:rFonts w:ascii="Times New Roman" w:hAnsi="Times New Roman" w:cs="Times New Roman"/>
          <w:spacing w:val="-4"/>
          <w:sz w:val="21"/>
          <w:szCs w:val="21"/>
        </w:rPr>
        <w:t>Якщо для заміщення старих поколінь новими необхідний рівень народжуваності складає 2,2</w:t>
      </w:r>
      <w:r>
        <w:rPr>
          <w:rFonts w:ascii="Times New Roman" w:hAnsi="Times New Roman" w:cs="Times New Roman"/>
          <w:spacing w:val="-4"/>
          <w:sz w:val="21"/>
          <w:szCs w:val="21"/>
        </w:rPr>
        <w:t>–</w:t>
      </w:r>
      <w:r w:rsidRPr="00A60F41">
        <w:rPr>
          <w:rFonts w:ascii="Times New Roman" w:hAnsi="Times New Roman" w:cs="Times New Roman"/>
          <w:spacing w:val="-4"/>
          <w:sz w:val="21"/>
          <w:szCs w:val="21"/>
        </w:rPr>
        <w:t>2,3 дитини на одну жінку, то в Україні даний показник є недостатнім і у 2014 році склав 1,5 [</w:t>
      </w:r>
      <w:r>
        <w:rPr>
          <w:rFonts w:ascii="Times New Roman" w:hAnsi="Times New Roman" w:cs="Times New Roman"/>
          <w:sz w:val="21"/>
          <w:szCs w:val="21"/>
          <w:highlight w:val="yellow"/>
        </w:rPr>
        <w:fldChar w:fldCharType="begin"/>
      </w:r>
      <w:r>
        <w:rPr>
          <w:rFonts w:ascii="Times New Roman" w:hAnsi="Times New Roman" w:cs="Times New Roman"/>
          <w:spacing w:val="-4"/>
          <w:sz w:val="21"/>
          <w:szCs w:val="21"/>
        </w:rPr>
        <w:instrText xml:space="preserve"> REF _Ref435187560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pacing w:val="-4"/>
          <w:sz w:val="21"/>
          <w:szCs w:val="21"/>
        </w:rPr>
        <w:t>8</w:t>
      </w:r>
      <w:r>
        <w:rPr>
          <w:rFonts w:ascii="Times New Roman" w:hAnsi="Times New Roman" w:cs="Times New Roman"/>
          <w:sz w:val="21"/>
          <w:szCs w:val="21"/>
          <w:highlight w:val="yellow"/>
        </w:rPr>
        <w:fldChar w:fldCharType="end"/>
      </w:r>
      <w:r w:rsidRPr="00A60F41">
        <w:rPr>
          <w:rFonts w:ascii="Times New Roman" w:hAnsi="Times New Roman" w:cs="Times New Roman"/>
          <w:spacing w:val="-4"/>
          <w:sz w:val="21"/>
          <w:szCs w:val="21"/>
        </w:rPr>
        <w:t>].</w:t>
      </w:r>
    </w:p>
    <w:p w:rsidR="00B233DE" w:rsidRPr="00A60F41"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pacing w:val="-4"/>
          <w:sz w:val="21"/>
          <w:szCs w:val="21"/>
        </w:rPr>
        <w:t>Для України характерний високий рівень смертності населення та, відповідно, невисока середня очікувана тривалість життя при народженні п</w:t>
      </w:r>
      <w:r>
        <w:rPr>
          <w:rFonts w:ascii="Times New Roman" w:hAnsi="Times New Roman" w:cs="Times New Roman"/>
          <w:spacing w:val="-4"/>
          <w:sz w:val="21"/>
          <w:szCs w:val="21"/>
        </w:rPr>
        <w:t xml:space="preserve">орівняно з розвинутими країнами </w:t>
      </w:r>
      <w:r w:rsidRPr="00A60F41">
        <w:rPr>
          <w:rFonts w:ascii="Times New Roman" w:hAnsi="Times New Roman" w:cs="Times New Roman"/>
          <w:spacing w:val="-4"/>
          <w:sz w:val="21"/>
          <w:szCs w:val="21"/>
        </w:rPr>
        <w:t>[</w:t>
      </w:r>
      <w:r>
        <w:rPr>
          <w:rFonts w:ascii="Times New Roman" w:hAnsi="Times New Roman" w:cs="Times New Roman"/>
          <w:spacing w:val="-9"/>
          <w:sz w:val="21"/>
          <w:szCs w:val="21"/>
          <w:highlight w:val="yellow"/>
        </w:rPr>
        <w:fldChar w:fldCharType="begin"/>
      </w:r>
      <w:r>
        <w:rPr>
          <w:rFonts w:ascii="Times New Roman" w:hAnsi="Times New Roman" w:cs="Times New Roman"/>
          <w:spacing w:val="-4"/>
          <w:sz w:val="21"/>
          <w:szCs w:val="21"/>
        </w:rPr>
        <w:instrText xml:space="preserve"> REF _Ref435187836 \r \h </w:instrText>
      </w:r>
      <w:r>
        <w:rPr>
          <w:rFonts w:ascii="Times New Roman" w:hAnsi="Times New Roman" w:cs="Times New Roman"/>
          <w:spacing w:val="-9"/>
          <w:sz w:val="21"/>
          <w:szCs w:val="21"/>
          <w:highlight w:val="yellow"/>
        </w:rPr>
      </w:r>
      <w:r>
        <w:rPr>
          <w:rFonts w:ascii="Times New Roman" w:hAnsi="Times New Roman" w:cs="Times New Roman"/>
          <w:spacing w:val="-9"/>
          <w:sz w:val="21"/>
          <w:szCs w:val="21"/>
          <w:highlight w:val="yellow"/>
        </w:rPr>
        <w:fldChar w:fldCharType="separate"/>
      </w:r>
      <w:r>
        <w:rPr>
          <w:rFonts w:ascii="Times New Roman" w:hAnsi="Times New Roman" w:cs="Times New Roman"/>
          <w:spacing w:val="-4"/>
          <w:sz w:val="21"/>
          <w:szCs w:val="21"/>
        </w:rPr>
        <w:t>14</w:t>
      </w:r>
      <w:r>
        <w:rPr>
          <w:rFonts w:ascii="Times New Roman" w:hAnsi="Times New Roman" w:cs="Times New Roman"/>
          <w:spacing w:val="-9"/>
          <w:sz w:val="21"/>
          <w:szCs w:val="21"/>
          <w:highlight w:val="yellow"/>
        </w:rPr>
        <w:fldChar w:fldCharType="end"/>
      </w:r>
      <w:r w:rsidRPr="00A60F41">
        <w:rPr>
          <w:rFonts w:ascii="Times New Roman" w:hAnsi="Times New Roman" w:cs="Times New Roman"/>
          <w:spacing w:val="-4"/>
          <w:sz w:val="21"/>
          <w:szCs w:val="21"/>
        </w:rPr>
        <w:t xml:space="preserve">]. Якщо у країнах ЄС показники тривалості життя на 2014 рік склали для жінок </w:t>
      </w:r>
      <w:r w:rsidRPr="007016AD">
        <w:rPr>
          <w:rFonts w:ascii="Times New Roman" w:hAnsi="Times New Roman" w:cs="Times New Roman"/>
          <w:spacing w:val="-4"/>
          <w:sz w:val="21"/>
          <w:szCs w:val="21"/>
        </w:rPr>
        <w:t>82,4, а для чоловіків – 76,8</w:t>
      </w:r>
      <w:r>
        <w:rPr>
          <w:rFonts w:ascii="Times New Roman" w:hAnsi="Times New Roman" w:cs="Times New Roman"/>
          <w:spacing w:val="-4"/>
          <w:sz w:val="21"/>
          <w:szCs w:val="21"/>
        </w:rPr>
        <w:t xml:space="preserve"> року</w:t>
      </w:r>
      <w:r w:rsidRPr="007016AD">
        <w:rPr>
          <w:rFonts w:ascii="Times New Roman" w:hAnsi="Times New Roman" w:cs="Times New Roman"/>
          <w:spacing w:val="-4"/>
          <w:sz w:val="21"/>
          <w:szCs w:val="21"/>
        </w:rPr>
        <w:t>, то в У</w:t>
      </w:r>
      <w:r>
        <w:rPr>
          <w:rFonts w:ascii="Times New Roman" w:hAnsi="Times New Roman" w:cs="Times New Roman"/>
          <w:spacing w:val="-4"/>
          <w:sz w:val="21"/>
          <w:szCs w:val="21"/>
        </w:rPr>
        <w:t xml:space="preserve">країні – 76,37 і 66,25, відповідно </w:t>
      </w:r>
      <w:r w:rsidRPr="007016AD">
        <w:rPr>
          <w:rFonts w:ascii="Times New Roman" w:hAnsi="Times New Roman" w:cs="Times New Roman"/>
          <w:spacing w:val="-4"/>
          <w:sz w:val="21"/>
          <w:szCs w:val="21"/>
        </w:rPr>
        <w:t>[</w:t>
      </w:r>
      <w:r>
        <w:rPr>
          <w:rFonts w:ascii="Times New Roman" w:hAnsi="Times New Roman" w:cs="Times New Roman"/>
          <w:sz w:val="21"/>
          <w:szCs w:val="21"/>
          <w:highlight w:val="yellow"/>
        </w:rPr>
        <w:fldChar w:fldCharType="begin"/>
      </w:r>
      <w:r>
        <w:rPr>
          <w:rFonts w:ascii="Times New Roman" w:hAnsi="Times New Roman" w:cs="Times New Roman"/>
          <w:spacing w:val="-4"/>
          <w:sz w:val="21"/>
          <w:szCs w:val="21"/>
        </w:rPr>
        <w:instrText xml:space="preserve"> REF _Ref435187560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pacing w:val="-4"/>
          <w:sz w:val="21"/>
          <w:szCs w:val="21"/>
        </w:rPr>
        <w:t>8</w:t>
      </w:r>
      <w:r>
        <w:rPr>
          <w:rFonts w:ascii="Times New Roman" w:hAnsi="Times New Roman" w:cs="Times New Roman"/>
          <w:sz w:val="21"/>
          <w:szCs w:val="21"/>
          <w:highlight w:val="yellow"/>
        </w:rPr>
        <w:fldChar w:fldCharType="end"/>
      </w:r>
      <w:r w:rsidRPr="007016AD">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rPr>
        <w:t>175].</w:t>
      </w:r>
    </w:p>
    <w:p w:rsidR="00B233DE" w:rsidRPr="007016AD" w:rsidRDefault="00B233DE" w:rsidP="00B233DE">
      <w:pPr>
        <w:ind w:firstLine="0"/>
        <w:jc w:val="both"/>
        <w:rPr>
          <w:rFonts w:ascii="Times New Roman" w:hAnsi="Times New Roman" w:cs="Times New Roman"/>
          <w:sz w:val="4"/>
          <w:szCs w:val="4"/>
        </w:rPr>
      </w:pPr>
      <w:r w:rsidRPr="00A60F41">
        <w:rPr>
          <w:rFonts w:ascii="Times New Roman" w:hAnsi="Times New Roman" w:cs="Times New Roman"/>
          <w:sz w:val="21"/>
          <w:szCs w:val="21"/>
        </w:rPr>
        <w:object w:dxaOrig="11975" w:dyaOrig="6485">
          <v:shape id="_x0000_i1028" type="#_x0000_t75" style="width:311.25pt;height:252.75pt" o:ole="">
            <v:imagedata r:id="rId76" o:title=""/>
          </v:shape>
          <o:OLEObject Type="Embed" ProgID="Excel.Sheet.12" ShapeID="_x0000_i1028" DrawAspect="Content" ObjectID="_1633373540" r:id="rId77"/>
        </w:object>
      </w:r>
    </w:p>
    <w:p w:rsidR="00B233DE" w:rsidRDefault="00B233DE" w:rsidP="00B233DE">
      <w:pPr>
        <w:ind w:firstLine="709"/>
        <w:jc w:val="center"/>
        <w:rPr>
          <w:rFonts w:ascii="Times New Roman" w:hAnsi="Times New Roman" w:cs="Times New Roman"/>
          <w:b/>
          <w:sz w:val="21"/>
          <w:szCs w:val="21"/>
        </w:rPr>
      </w:pPr>
      <w:r w:rsidRPr="007016AD">
        <w:rPr>
          <w:rFonts w:ascii="Times New Roman" w:hAnsi="Times New Roman" w:cs="Times New Roman"/>
          <w:b/>
          <w:sz w:val="21"/>
          <w:szCs w:val="21"/>
        </w:rPr>
        <w:t xml:space="preserve">Рис. 4.19. Зміни чисельності населення України внаслідок природного і міграційного приросту </w:t>
      </w:r>
    </w:p>
    <w:p w:rsidR="00B233DE" w:rsidRPr="007016AD" w:rsidRDefault="00B233DE" w:rsidP="00B233DE">
      <w:pPr>
        <w:ind w:firstLine="709"/>
        <w:jc w:val="center"/>
        <w:rPr>
          <w:rFonts w:ascii="Times New Roman" w:hAnsi="Times New Roman" w:cs="Times New Roman"/>
          <w:b/>
          <w:sz w:val="21"/>
          <w:szCs w:val="21"/>
        </w:rPr>
      </w:pPr>
      <w:r w:rsidRPr="007016AD">
        <w:rPr>
          <w:rFonts w:ascii="Times New Roman" w:hAnsi="Times New Roman" w:cs="Times New Roman"/>
          <w:b/>
          <w:sz w:val="21"/>
          <w:szCs w:val="21"/>
        </w:rPr>
        <w:t>у 2008–2014 рр. [</w:t>
      </w:r>
      <w:r>
        <w:rPr>
          <w:rFonts w:ascii="Times New Roman" w:hAnsi="Times New Roman" w:cs="Times New Roman"/>
          <w:sz w:val="21"/>
          <w:szCs w:val="21"/>
          <w:highlight w:val="yellow"/>
        </w:rPr>
        <w:fldChar w:fldCharType="begin"/>
      </w:r>
      <w:r>
        <w:rPr>
          <w:rFonts w:ascii="Times New Roman" w:hAnsi="Times New Roman" w:cs="Times New Roman"/>
          <w:b/>
          <w:sz w:val="21"/>
          <w:szCs w:val="21"/>
        </w:rPr>
        <w:instrText xml:space="preserve"> REF _Ref435187560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b/>
          <w:sz w:val="21"/>
          <w:szCs w:val="21"/>
        </w:rPr>
        <w:t>8</w:t>
      </w:r>
      <w:r>
        <w:rPr>
          <w:rFonts w:ascii="Times New Roman" w:hAnsi="Times New Roman" w:cs="Times New Roman"/>
          <w:sz w:val="21"/>
          <w:szCs w:val="21"/>
          <w:highlight w:val="yellow"/>
        </w:rPr>
        <w:fldChar w:fldCharType="end"/>
      </w:r>
      <w:r w:rsidRPr="007016AD">
        <w:rPr>
          <w:rFonts w:ascii="Times New Roman" w:hAnsi="Times New Roman" w:cs="Times New Roman"/>
          <w:b/>
          <w:sz w:val="21"/>
          <w:szCs w:val="21"/>
        </w:rPr>
        <w:t>]</w:t>
      </w:r>
    </w:p>
    <w:p w:rsidR="00B233DE" w:rsidRPr="00A60F41" w:rsidRDefault="00B233DE" w:rsidP="00B233DE">
      <w:pPr>
        <w:ind w:firstLine="709"/>
        <w:jc w:val="both"/>
        <w:rPr>
          <w:rFonts w:ascii="Times New Roman" w:hAnsi="Times New Roman" w:cs="Times New Roman"/>
          <w:sz w:val="21"/>
          <w:szCs w:val="21"/>
        </w:rPr>
      </w:pPr>
    </w:p>
    <w:p w:rsidR="00B233DE" w:rsidRPr="00A60F41" w:rsidRDefault="00B233DE" w:rsidP="00B233DE">
      <w:pPr>
        <w:ind w:firstLine="709"/>
        <w:jc w:val="both"/>
        <w:rPr>
          <w:rFonts w:ascii="Times New Roman" w:hAnsi="Times New Roman" w:cs="Times New Roman"/>
          <w:spacing w:val="-4"/>
          <w:sz w:val="21"/>
          <w:szCs w:val="21"/>
        </w:rPr>
      </w:pPr>
      <w:r w:rsidRPr="00A60F41">
        <w:rPr>
          <w:rFonts w:ascii="Times New Roman" w:hAnsi="Times New Roman" w:cs="Times New Roman"/>
          <w:spacing w:val="-4"/>
          <w:sz w:val="21"/>
          <w:szCs w:val="21"/>
        </w:rPr>
        <w:t>За Комплексним демографічним прогнозом України на період до 2050 року народжуваність в нашій країні в найближчі роки буде зменшуватись. Цій тенденції сприяє ряд факторів: входження до фертильного віку осіб, народжених у 1990-ті, когорта яких є малочисельною внаслідок соціально-економічної кризи того періоду; зростання питомої ваги міських мешканців з притаманним їм стереотипом малодітної сім’ї; переважання потреб здобуття освіти та професійного розвитку над бажанням мати та виховувати дітей [</w:t>
      </w:r>
      <w:r>
        <w:rPr>
          <w:rFonts w:ascii="Times New Roman" w:hAnsi="Times New Roman" w:cs="Times New Roman"/>
          <w:spacing w:val="-4"/>
          <w:sz w:val="21"/>
          <w:szCs w:val="21"/>
          <w:highlight w:val="yellow"/>
        </w:rPr>
        <w:fldChar w:fldCharType="begin"/>
      </w:r>
      <w:r>
        <w:rPr>
          <w:rFonts w:ascii="Times New Roman" w:hAnsi="Times New Roman" w:cs="Times New Roman"/>
          <w:spacing w:val="-4"/>
          <w:sz w:val="21"/>
          <w:szCs w:val="21"/>
        </w:rPr>
        <w:instrText xml:space="preserve"> REF _Ref435187760 \r \h </w:instrText>
      </w:r>
      <w:r>
        <w:rPr>
          <w:rFonts w:ascii="Times New Roman" w:hAnsi="Times New Roman" w:cs="Times New Roman"/>
          <w:spacing w:val="-4"/>
          <w:sz w:val="21"/>
          <w:szCs w:val="21"/>
          <w:highlight w:val="yellow"/>
        </w:rPr>
      </w:r>
      <w:r>
        <w:rPr>
          <w:rFonts w:ascii="Times New Roman" w:hAnsi="Times New Roman" w:cs="Times New Roman"/>
          <w:spacing w:val="-4"/>
          <w:sz w:val="21"/>
          <w:szCs w:val="21"/>
          <w:highlight w:val="yellow"/>
        </w:rPr>
        <w:fldChar w:fldCharType="separate"/>
      </w:r>
      <w:r>
        <w:rPr>
          <w:rFonts w:ascii="Times New Roman" w:hAnsi="Times New Roman" w:cs="Times New Roman"/>
          <w:spacing w:val="-4"/>
          <w:sz w:val="21"/>
          <w:szCs w:val="21"/>
        </w:rPr>
        <w:t>21</w:t>
      </w:r>
      <w:r>
        <w:rPr>
          <w:rFonts w:ascii="Times New Roman" w:hAnsi="Times New Roman" w:cs="Times New Roman"/>
          <w:spacing w:val="-4"/>
          <w:sz w:val="21"/>
          <w:szCs w:val="21"/>
          <w:highlight w:val="yellow"/>
        </w:rPr>
        <w:fldChar w:fldCharType="end"/>
      </w:r>
      <w:r w:rsidRPr="00A60F41">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lang w:val="en-US"/>
        </w:rPr>
        <w:t>c</w:t>
      </w:r>
      <w:r w:rsidRPr="00A60F41">
        <w:rPr>
          <w:rFonts w:ascii="Times New Roman" w:hAnsi="Times New Roman" w:cs="Times New Roman"/>
          <w:spacing w:val="-4"/>
          <w:sz w:val="21"/>
          <w:szCs w:val="21"/>
        </w:rPr>
        <w:t xml:space="preserve">. 46] </w:t>
      </w:r>
      <w:r>
        <w:rPr>
          <w:rFonts w:ascii="Times New Roman" w:hAnsi="Times New Roman" w:cs="Times New Roman"/>
          <w:spacing w:val="-4"/>
          <w:sz w:val="21"/>
          <w:szCs w:val="21"/>
        </w:rPr>
        <w:t>–</w:t>
      </w:r>
      <w:r w:rsidRPr="00A60F41">
        <w:rPr>
          <w:rFonts w:ascii="Times New Roman" w:hAnsi="Times New Roman" w:cs="Times New Roman"/>
          <w:spacing w:val="-4"/>
          <w:sz w:val="21"/>
          <w:szCs w:val="21"/>
        </w:rPr>
        <w:t xml:space="preserve"> орієнтація на розвиток інноваційної економіки призводить до подовження часу здобуття освіти, що зміщує вік народження дітей у жінок та в перспективі, за умови необхідності безперервної освіти протягом життя, може скоротити інтенсивність народжень; старіння населення – збільшення питомої ваги пенсіонерів серед населення та зменшення осіб працездатного віку. Динаміка розподілу населення за </w:t>
      </w:r>
      <w:r w:rsidRPr="00A60F41">
        <w:rPr>
          <w:rFonts w:ascii="Times New Roman" w:hAnsi="Times New Roman" w:cs="Times New Roman"/>
          <w:spacing w:val="-4"/>
          <w:sz w:val="21"/>
          <w:szCs w:val="21"/>
        </w:rPr>
        <w:lastRenderedPageBreak/>
        <w:t>віком за 2003-2014 роки свідчить про поступове зменшення чисельності вікових груп 0</w:t>
      </w:r>
      <w:r>
        <w:rPr>
          <w:rFonts w:ascii="Times New Roman" w:hAnsi="Times New Roman" w:cs="Times New Roman"/>
          <w:spacing w:val="-4"/>
          <w:sz w:val="21"/>
          <w:szCs w:val="21"/>
        </w:rPr>
        <w:t>–</w:t>
      </w:r>
      <w:r w:rsidRPr="00A60F41">
        <w:rPr>
          <w:rFonts w:ascii="Times New Roman" w:hAnsi="Times New Roman" w:cs="Times New Roman"/>
          <w:spacing w:val="-4"/>
          <w:sz w:val="21"/>
          <w:szCs w:val="21"/>
        </w:rPr>
        <w:t>15 років та 16</w:t>
      </w:r>
      <w:r>
        <w:rPr>
          <w:rFonts w:ascii="Times New Roman" w:hAnsi="Times New Roman" w:cs="Times New Roman"/>
          <w:spacing w:val="-4"/>
          <w:sz w:val="21"/>
          <w:szCs w:val="21"/>
        </w:rPr>
        <w:t>–</w:t>
      </w:r>
      <w:r w:rsidRPr="00A60F41">
        <w:rPr>
          <w:rFonts w:ascii="Times New Roman" w:hAnsi="Times New Roman" w:cs="Times New Roman"/>
          <w:spacing w:val="-4"/>
          <w:sz w:val="21"/>
          <w:szCs w:val="21"/>
        </w:rPr>
        <w:t>59 років (рис. 4.</w:t>
      </w:r>
      <w:r>
        <w:rPr>
          <w:rFonts w:ascii="Times New Roman" w:hAnsi="Times New Roman" w:cs="Times New Roman"/>
          <w:spacing w:val="-4"/>
          <w:sz w:val="21"/>
          <w:szCs w:val="21"/>
        </w:rPr>
        <w:t>20</w:t>
      </w:r>
      <w:r w:rsidRPr="00A60F41">
        <w:rPr>
          <w:rFonts w:ascii="Times New Roman" w:hAnsi="Times New Roman" w:cs="Times New Roman"/>
          <w:spacing w:val="-4"/>
          <w:sz w:val="21"/>
          <w:szCs w:val="21"/>
        </w:rPr>
        <w:t>). Зменшення частки дітей призведе до скорочення частки працездатного населення у майбутньому. Демографічне навантаження в Україні особами у віці старшому за працездатний на 1000 осіб працездатного віку у 2012 році склало 576 осіб [</w:t>
      </w:r>
      <w:r>
        <w:rPr>
          <w:rFonts w:ascii="Times New Roman" w:hAnsi="Times New Roman" w:cs="Times New Roman"/>
          <w:sz w:val="21"/>
          <w:szCs w:val="21"/>
          <w:highlight w:val="yellow"/>
        </w:rPr>
        <w:fldChar w:fldCharType="begin"/>
      </w:r>
      <w:r>
        <w:rPr>
          <w:rFonts w:ascii="Times New Roman" w:hAnsi="Times New Roman" w:cs="Times New Roman"/>
          <w:spacing w:val="-4"/>
          <w:sz w:val="21"/>
          <w:szCs w:val="21"/>
        </w:rPr>
        <w:instrText xml:space="preserve"> REF _Ref435187862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pacing w:val="-4"/>
          <w:sz w:val="21"/>
          <w:szCs w:val="21"/>
        </w:rPr>
        <w:t>41</w:t>
      </w:r>
      <w:r>
        <w:rPr>
          <w:rFonts w:ascii="Times New Roman" w:hAnsi="Times New Roman" w:cs="Times New Roman"/>
          <w:sz w:val="21"/>
          <w:szCs w:val="21"/>
          <w:highlight w:val="yellow"/>
        </w:rPr>
        <w:fldChar w:fldCharType="end"/>
      </w:r>
      <w:r w:rsidRPr="00A60F41">
        <w:rPr>
          <w:rFonts w:ascii="Times New Roman" w:hAnsi="Times New Roman" w:cs="Times New Roman"/>
          <w:spacing w:val="-4"/>
          <w:sz w:val="21"/>
          <w:szCs w:val="21"/>
        </w:rPr>
        <w:t>,</w:t>
      </w:r>
      <w:r>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lang w:val="en-US"/>
        </w:rPr>
        <w:t>c</w:t>
      </w:r>
      <w:r w:rsidRPr="00A60F41">
        <w:rPr>
          <w:rFonts w:ascii="Times New Roman" w:hAnsi="Times New Roman" w:cs="Times New Roman"/>
          <w:spacing w:val="-4"/>
          <w:sz w:val="21"/>
          <w:szCs w:val="21"/>
        </w:rPr>
        <w:t>.</w:t>
      </w:r>
      <w:r>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rPr>
        <w:t>49]. За прогнозами ООН, до 2050 року близько половини населення України буде старше 45 років [</w:t>
      </w:r>
      <w:r>
        <w:rPr>
          <w:rFonts w:ascii="Times New Roman" w:hAnsi="Times New Roman" w:cs="Times New Roman"/>
          <w:sz w:val="21"/>
          <w:szCs w:val="21"/>
          <w:highlight w:val="yellow"/>
          <w:lang w:val="en-US"/>
        </w:rPr>
        <w:fldChar w:fldCharType="begin"/>
      </w:r>
      <w:r>
        <w:rPr>
          <w:rFonts w:ascii="Times New Roman" w:hAnsi="Times New Roman" w:cs="Times New Roman"/>
          <w:spacing w:val="-4"/>
          <w:sz w:val="21"/>
          <w:szCs w:val="21"/>
        </w:rPr>
        <w:instrText xml:space="preserve"> REF _Ref435187657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pacing w:val="-4"/>
          <w:sz w:val="21"/>
          <w:szCs w:val="21"/>
        </w:rPr>
        <w:t>76</w:t>
      </w:r>
      <w:r>
        <w:rPr>
          <w:rFonts w:ascii="Times New Roman" w:hAnsi="Times New Roman" w:cs="Times New Roman"/>
          <w:sz w:val="21"/>
          <w:szCs w:val="21"/>
          <w:highlight w:val="yellow"/>
          <w:lang w:val="en-US"/>
        </w:rPr>
        <w:fldChar w:fldCharType="end"/>
      </w:r>
      <w:r w:rsidRPr="00A60F41">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lang w:val="en-US"/>
        </w:rPr>
        <w:t>c</w:t>
      </w:r>
      <w:r w:rsidRPr="00A60F41">
        <w:rPr>
          <w:rFonts w:ascii="Times New Roman" w:hAnsi="Times New Roman" w:cs="Times New Roman"/>
          <w:spacing w:val="-4"/>
          <w:sz w:val="21"/>
          <w:szCs w:val="21"/>
        </w:rPr>
        <w:t>. 6]. Старіння населення призводить до соціально-економічних проблем, пов’язаних з утриманням осіб пенсійного віку.</w:t>
      </w:r>
    </w:p>
    <w:p w:rsidR="00B233DE" w:rsidRPr="00A60F41" w:rsidRDefault="00B233DE" w:rsidP="00B233DE">
      <w:pPr>
        <w:ind w:firstLine="709"/>
        <w:jc w:val="both"/>
        <w:rPr>
          <w:rFonts w:ascii="Times New Roman" w:hAnsi="Times New Roman" w:cs="Times New Roman"/>
          <w:spacing w:val="-4"/>
          <w:sz w:val="21"/>
          <w:szCs w:val="21"/>
        </w:rPr>
      </w:pPr>
      <w:r w:rsidRPr="00A60F41">
        <w:rPr>
          <w:rFonts w:ascii="Times New Roman" w:hAnsi="Times New Roman" w:cs="Times New Roman"/>
          <w:spacing w:val="-4"/>
          <w:sz w:val="21"/>
          <w:szCs w:val="21"/>
        </w:rPr>
        <w:t>Необхідно зауважити, що однією з перешкод збереження людського потенціалу українських емігрантів є їх нелегальний статус за кордоном. За дослідженням українського центру соціальних реформ, близько 23,2</w:t>
      </w:r>
      <w:r>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rPr>
        <w:t>% емігрантів з України нелегально перебувають у країнах призначення [</w:t>
      </w:r>
      <w:r>
        <w:rPr>
          <w:rFonts w:ascii="Times New Roman" w:hAnsi="Times New Roman" w:cs="Times New Roman"/>
          <w:sz w:val="21"/>
          <w:szCs w:val="21"/>
          <w:highlight w:val="yellow"/>
          <w:lang w:val="en-US"/>
        </w:rPr>
        <w:fldChar w:fldCharType="begin"/>
      </w:r>
      <w:r>
        <w:rPr>
          <w:rFonts w:ascii="Times New Roman" w:hAnsi="Times New Roman" w:cs="Times New Roman"/>
          <w:spacing w:val="-4"/>
          <w:sz w:val="21"/>
          <w:szCs w:val="21"/>
        </w:rPr>
        <w:instrText xml:space="preserve"> REF _Ref435187657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pacing w:val="-4"/>
          <w:sz w:val="21"/>
          <w:szCs w:val="21"/>
        </w:rPr>
        <w:t>76</w:t>
      </w:r>
      <w:r>
        <w:rPr>
          <w:rFonts w:ascii="Times New Roman" w:hAnsi="Times New Roman" w:cs="Times New Roman"/>
          <w:sz w:val="21"/>
          <w:szCs w:val="21"/>
          <w:highlight w:val="yellow"/>
          <w:lang w:val="en-US"/>
        </w:rPr>
        <w:fldChar w:fldCharType="end"/>
      </w:r>
      <w:r w:rsidRPr="00A60F41">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lang w:val="en-US"/>
        </w:rPr>
        <w:t>c</w:t>
      </w:r>
      <w:r w:rsidRPr="00A60F41">
        <w:rPr>
          <w:rFonts w:ascii="Times New Roman" w:hAnsi="Times New Roman" w:cs="Times New Roman"/>
          <w:spacing w:val="-4"/>
          <w:sz w:val="21"/>
          <w:szCs w:val="21"/>
        </w:rPr>
        <w:t>. 34].</w:t>
      </w:r>
    </w:p>
    <w:p w:rsidR="00B233DE" w:rsidRPr="00A60F41" w:rsidRDefault="00B233DE" w:rsidP="00B233DE">
      <w:pPr>
        <w:ind w:firstLine="0"/>
        <w:jc w:val="both"/>
        <w:rPr>
          <w:rFonts w:ascii="Times New Roman" w:hAnsi="Times New Roman" w:cs="Times New Roman"/>
          <w:sz w:val="21"/>
          <w:szCs w:val="21"/>
        </w:rPr>
      </w:pPr>
      <w:r w:rsidRPr="00A60F41">
        <w:rPr>
          <w:rFonts w:ascii="Times New Roman" w:hAnsi="Times New Roman" w:cs="Times New Roman"/>
          <w:noProof/>
          <w:sz w:val="21"/>
          <w:szCs w:val="21"/>
          <w:lang w:val="ru-RU" w:eastAsia="ru-RU"/>
        </w:rPr>
        <w:drawing>
          <wp:inline distT="0" distB="0" distL="0" distR="0" wp14:anchorId="45B6F0E3" wp14:editId="164416B3">
            <wp:extent cx="3848100" cy="3048000"/>
            <wp:effectExtent l="0" t="0" r="0" b="0"/>
            <wp:docPr id="1383" name="Объект 2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B233DE" w:rsidRDefault="00B233DE" w:rsidP="00B233DE">
      <w:pPr>
        <w:ind w:firstLine="709"/>
        <w:jc w:val="center"/>
        <w:rPr>
          <w:rFonts w:ascii="Times New Roman" w:hAnsi="Times New Roman" w:cs="Times New Roman"/>
          <w:b/>
          <w:sz w:val="21"/>
          <w:szCs w:val="21"/>
        </w:rPr>
      </w:pPr>
      <w:r>
        <w:rPr>
          <w:rFonts w:ascii="Times New Roman" w:hAnsi="Times New Roman" w:cs="Times New Roman"/>
          <w:b/>
          <w:sz w:val="21"/>
          <w:szCs w:val="21"/>
        </w:rPr>
        <w:t>Рис. 4.2</w:t>
      </w:r>
      <w:r w:rsidRPr="007016AD">
        <w:rPr>
          <w:rFonts w:ascii="Times New Roman" w:hAnsi="Times New Roman" w:cs="Times New Roman"/>
          <w:b/>
          <w:sz w:val="21"/>
          <w:szCs w:val="21"/>
        </w:rPr>
        <w:t>0</w:t>
      </w:r>
      <w:r>
        <w:rPr>
          <w:rFonts w:ascii="Times New Roman" w:hAnsi="Times New Roman" w:cs="Times New Roman"/>
          <w:b/>
          <w:sz w:val="21"/>
          <w:szCs w:val="21"/>
        </w:rPr>
        <w:t>.</w:t>
      </w:r>
      <w:r w:rsidRPr="007016AD">
        <w:rPr>
          <w:rFonts w:ascii="Times New Roman" w:hAnsi="Times New Roman" w:cs="Times New Roman"/>
          <w:b/>
          <w:sz w:val="21"/>
          <w:szCs w:val="21"/>
        </w:rPr>
        <w:t xml:space="preserve"> Динаміка розподілу населення за віком у </w:t>
      </w:r>
    </w:p>
    <w:p w:rsidR="00B233DE" w:rsidRPr="007016AD" w:rsidRDefault="00B233DE" w:rsidP="00B233DE">
      <w:pPr>
        <w:ind w:firstLine="709"/>
        <w:jc w:val="center"/>
        <w:rPr>
          <w:rFonts w:ascii="Times New Roman" w:hAnsi="Times New Roman" w:cs="Times New Roman"/>
          <w:b/>
          <w:sz w:val="21"/>
          <w:szCs w:val="21"/>
        </w:rPr>
      </w:pPr>
      <w:r w:rsidRPr="007016AD">
        <w:rPr>
          <w:rFonts w:ascii="Times New Roman" w:hAnsi="Times New Roman" w:cs="Times New Roman"/>
          <w:b/>
          <w:sz w:val="21"/>
          <w:szCs w:val="21"/>
        </w:rPr>
        <w:t>200</w:t>
      </w:r>
      <w:r>
        <w:rPr>
          <w:rFonts w:ascii="Times New Roman" w:hAnsi="Times New Roman" w:cs="Times New Roman"/>
          <w:b/>
          <w:sz w:val="21"/>
          <w:szCs w:val="21"/>
        </w:rPr>
        <w:t>1–</w:t>
      </w:r>
      <w:r w:rsidRPr="007016AD">
        <w:rPr>
          <w:rFonts w:ascii="Times New Roman" w:hAnsi="Times New Roman" w:cs="Times New Roman"/>
          <w:b/>
          <w:sz w:val="21"/>
          <w:szCs w:val="21"/>
        </w:rPr>
        <w:t>2014 рр. [</w:t>
      </w:r>
      <w:r>
        <w:rPr>
          <w:rFonts w:ascii="Times New Roman" w:hAnsi="Times New Roman" w:cs="Times New Roman"/>
          <w:sz w:val="21"/>
          <w:szCs w:val="21"/>
          <w:highlight w:val="yellow"/>
        </w:rPr>
        <w:fldChar w:fldCharType="begin"/>
      </w:r>
      <w:r>
        <w:rPr>
          <w:rFonts w:ascii="Times New Roman" w:hAnsi="Times New Roman" w:cs="Times New Roman"/>
          <w:b/>
          <w:sz w:val="21"/>
          <w:szCs w:val="21"/>
        </w:rPr>
        <w:instrText xml:space="preserve"> REF _Ref435187560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b/>
          <w:sz w:val="21"/>
          <w:szCs w:val="21"/>
        </w:rPr>
        <w:t>8</w:t>
      </w:r>
      <w:r>
        <w:rPr>
          <w:rFonts w:ascii="Times New Roman" w:hAnsi="Times New Roman" w:cs="Times New Roman"/>
          <w:sz w:val="21"/>
          <w:szCs w:val="21"/>
          <w:highlight w:val="yellow"/>
        </w:rPr>
        <w:fldChar w:fldCharType="end"/>
      </w:r>
      <w:r w:rsidRPr="007016AD">
        <w:rPr>
          <w:rFonts w:ascii="Times New Roman" w:hAnsi="Times New Roman" w:cs="Times New Roman"/>
          <w:b/>
          <w:sz w:val="21"/>
          <w:szCs w:val="21"/>
        </w:rPr>
        <w:t>]</w:t>
      </w:r>
    </w:p>
    <w:p w:rsidR="00B233DE" w:rsidRPr="00A60F41"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pacing w:val="-6"/>
          <w:sz w:val="21"/>
          <w:szCs w:val="21"/>
        </w:rPr>
      </w:pPr>
      <w:r w:rsidRPr="00A60F41">
        <w:rPr>
          <w:rFonts w:ascii="Times New Roman" w:hAnsi="Times New Roman" w:cs="Times New Roman"/>
          <w:spacing w:val="-6"/>
          <w:sz w:val="21"/>
          <w:szCs w:val="21"/>
        </w:rPr>
        <w:lastRenderedPageBreak/>
        <w:t>Більшість потоків трудових мігрантів з України до ЄС є нелегальними. Про це свідчать дані, отримані після проведення програм легалізації у деяких країнах призначення: у Португалії було легалізовано 65500 українських нелегальних мігрантів, у Італії – 117 тис. та 7600 – у Іспанії [</w:t>
      </w:r>
      <w:r>
        <w:rPr>
          <w:rFonts w:ascii="Times New Roman" w:hAnsi="Times New Roman" w:cs="Times New Roman"/>
          <w:bCs/>
          <w:spacing w:val="-2"/>
          <w:sz w:val="21"/>
          <w:szCs w:val="21"/>
          <w:highlight w:val="yellow"/>
          <w:lang w:val="en-US"/>
        </w:rPr>
        <w:fldChar w:fldCharType="begin"/>
      </w:r>
      <w:r>
        <w:rPr>
          <w:rFonts w:ascii="Times New Roman" w:hAnsi="Times New Roman" w:cs="Times New Roman"/>
          <w:spacing w:val="-6"/>
          <w:sz w:val="21"/>
          <w:szCs w:val="21"/>
        </w:rPr>
        <w:instrText xml:space="preserve"> REF _Ref435187601 \r \h </w:instrText>
      </w:r>
      <w:r>
        <w:rPr>
          <w:rFonts w:ascii="Times New Roman" w:hAnsi="Times New Roman" w:cs="Times New Roman"/>
          <w:bCs/>
          <w:spacing w:val="-2"/>
          <w:sz w:val="21"/>
          <w:szCs w:val="21"/>
          <w:highlight w:val="yellow"/>
          <w:lang w:val="en-US"/>
        </w:rPr>
      </w:r>
      <w:r>
        <w:rPr>
          <w:rFonts w:ascii="Times New Roman" w:hAnsi="Times New Roman" w:cs="Times New Roman"/>
          <w:bCs/>
          <w:spacing w:val="-2"/>
          <w:sz w:val="21"/>
          <w:szCs w:val="21"/>
          <w:highlight w:val="yellow"/>
          <w:lang w:val="en-US"/>
        </w:rPr>
        <w:fldChar w:fldCharType="separate"/>
      </w:r>
      <w:r>
        <w:rPr>
          <w:rFonts w:ascii="Times New Roman" w:hAnsi="Times New Roman" w:cs="Times New Roman"/>
          <w:spacing w:val="-6"/>
          <w:sz w:val="21"/>
          <w:szCs w:val="21"/>
        </w:rPr>
        <w:t>92</w:t>
      </w:r>
      <w:r>
        <w:rPr>
          <w:rFonts w:ascii="Times New Roman" w:hAnsi="Times New Roman" w:cs="Times New Roman"/>
          <w:bCs/>
          <w:spacing w:val="-2"/>
          <w:sz w:val="21"/>
          <w:szCs w:val="21"/>
          <w:highlight w:val="yellow"/>
          <w:lang w:val="en-US"/>
        </w:rPr>
        <w:fldChar w:fldCharType="end"/>
      </w:r>
      <w:r w:rsidRPr="00A60F41">
        <w:rPr>
          <w:rFonts w:ascii="Times New Roman" w:hAnsi="Times New Roman" w:cs="Times New Roman"/>
          <w:spacing w:val="-6"/>
          <w:sz w:val="21"/>
          <w:szCs w:val="21"/>
        </w:rPr>
        <w:t xml:space="preserve">, </w:t>
      </w:r>
      <w:r w:rsidRPr="00A60F41">
        <w:rPr>
          <w:rFonts w:ascii="Times New Roman" w:hAnsi="Times New Roman" w:cs="Times New Roman"/>
          <w:spacing w:val="-6"/>
          <w:sz w:val="21"/>
          <w:szCs w:val="21"/>
          <w:lang w:val="en-US"/>
        </w:rPr>
        <w:t>c</w:t>
      </w:r>
      <w:r w:rsidRPr="00A60F41">
        <w:rPr>
          <w:rFonts w:ascii="Times New Roman" w:hAnsi="Times New Roman" w:cs="Times New Roman"/>
          <w:spacing w:val="-6"/>
          <w:sz w:val="21"/>
          <w:szCs w:val="21"/>
        </w:rPr>
        <w:t>. 23]. Нелегальне перебування українських емігрантів за кордоном супроводжується рядом проблем: порушенням їх прав, несприятливими умовами праці, загрозами експлуатації і торгівлі людьми та, як наслідок, загальним зниженням людського потенціалу осіб, що мігрували. За обстеженням трудової міграції в Україні Державною службою статистики України та Українським центром соціальних реформ близько 40</w:t>
      </w:r>
      <w:r>
        <w:rPr>
          <w:rFonts w:ascii="Times New Roman" w:hAnsi="Times New Roman" w:cs="Times New Roman"/>
          <w:spacing w:val="-6"/>
          <w:sz w:val="21"/>
          <w:szCs w:val="21"/>
        </w:rPr>
        <w:t xml:space="preserve"> </w:t>
      </w:r>
      <w:r w:rsidRPr="00A60F41">
        <w:rPr>
          <w:rFonts w:ascii="Times New Roman" w:hAnsi="Times New Roman" w:cs="Times New Roman"/>
          <w:spacing w:val="-6"/>
          <w:sz w:val="21"/>
          <w:szCs w:val="21"/>
        </w:rPr>
        <w:t>% українських мігрантів незадоволені умовами праці в країнах призначення (рис. 4.</w:t>
      </w:r>
      <w:r>
        <w:rPr>
          <w:rFonts w:ascii="Times New Roman" w:hAnsi="Times New Roman" w:cs="Times New Roman"/>
          <w:spacing w:val="-6"/>
          <w:sz w:val="21"/>
          <w:szCs w:val="21"/>
        </w:rPr>
        <w:t>2</w:t>
      </w:r>
      <w:r w:rsidRPr="00A60F41">
        <w:rPr>
          <w:rFonts w:ascii="Times New Roman" w:hAnsi="Times New Roman" w:cs="Times New Roman"/>
          <w:spacing w:val="-6"/>
          <w:sz w:val="21"/>
          <w:szCs w:val="21"/>
        </w:rPr>
        <w:t>1).</w:t>
      </w:r>
    </w:p>
    <w:p w:rsidR="00B233DE" w:rsidRPr="00A60F41" w:rsidRDefault="00B233DE" w:rsidP="00B233DE">
      <w:pPr>
        <w:ind w:firstLine="709"/>
        <w:jc w:val="both"/>
        <w:rPr>
          <w:rFonts w:ascii="Times New Roman" w:hAnsi="Times New Roman" w:cs="Times New Roman"/>
          <w:spacing w:val="-6"/>
          <w:sz w:val="21"/>
          <w:szCs w:val="21"/>
        </w:rPr>
      </w:pPr>
    </w:p>
    <w:p w:rsidR="00B233DE" w:rsidRPr="00A60F41" w:rsidRDefault="00B233DE" w:rsidP="00B233DE">
      <w:pPr>
        <w:ind w:firstLine="0"/>
        <w:jc w:val="both"/>
        <w:rPr>
          <w:rFonts w:ascii="Times New Roman" w:hAnsi="Times New Roman" w:cs="Times New Roman"/>
          <w:sz w:val="21"/>
          <w:szCs w:val="21"/>
        </w:rPr>
      </w:pPr>
      <w:r w:rsidRPr="00A60F41">
        <w:rPr>
          <w:rFonts w:ascii="Times New Roman" w:hAnsi="Times New Roman" w:cs="Times New Roman"/>
          <w:sz w:val="21"/>
          <w:szCs w:val="21"/>
        </w:rPr>
        <w:object w:dxaOrig="7202" w:dyaOrig="4074">
          <v:shape id="_x0000_i1029" type="#_x0000_t75" style="width:308.25pt;height:227.25pt" o:ole="">
            <v:imagedata r:id="rId79" o:title=""/>
          </v:shape>
          <o:OLEObject Type="Embed" ProgID="Excel.Sheet.8" ShapeID="_x0000_i1029" DrawAspect="Content" ObjectID="_1633373541" r:id="rId80"/>
        </w:object>
      </w:r>
    </w:p>
    <w:p w:rsidR="00B233DE" w:rsidRPr="00533E41" w:rsidRDefault="00B233DE" w:rsidP="00B233DE">
      <w:pPr>
        <w:ind w:firstLine="709"/>
        <w:jc w:val="center"/>
        <w:rPr>
          <w:rFonts w:ascii="Times New Roman" w:hAnsi="Times New Roman" w:cs="Times New Roman"/>
          <w:b/>
          <w:sz w:val="21"/>
          <w:szCs w:val="21"/>
        </w:rPr>
      </w:pPr>
      <w:r w:rsidRPr="00533E41">
        <w:rPr>
          <w:rFonts w:ascii="Times New Roman" w:hAnsi="Times New Roman" w:cs="Times New Roman"/>
          <w:b/>
          <w:sz w:val="21"/>
          <w:szCs w:val="21"/>
        </w:rPr>
        <w:t>Рис. 4.21</w:t>
      </w:r>
      <w:r>
        <w:rPr>
          <w:rFonts w:ascii="Times New Roman" w:hAnsi="Times New Roman" w:cs="Times New Roman"/>
          <w:b/>
          <w:sz w:val="21"/>
          <w:szCs w:val="21"/>
        </w:rPr>
        <w:t>.</w:t>
      </w:r>
      <w:r w:rsidRPr="00533E41">
        <w:rPr>
          <w:rFonts w:ascii="Times New Roman" w:hAnsi="Times New Roman" w:cs="Times New Roman"/>
          <w:b/>
          <w:sz w:val="21"/>
          <w:szCs w:val="21"/>
        </w:rPr>
        <w:t xml:space="preserve"> Трудові мігранти з України, не задоволені умовами праці у країнах призначення, % [</w:t>
      </w:r>
      <w:r>
        <w:rPr>
          <w:rFonts w:ascii="Times New Roman" w:hAnsi="Times New Roman" w:cs="Times New Roman"/>
          <w:sz w:val="21"/>
          <w:szCs w:val="21"/>
          <w:highlight w:val="yellow"/>
        </w:rPr>
        <w:fldChar w:fldCharType="begin"/>
      </w:r>
      <w:r>
        <w:rPr>
          <w:rFonts w:ascii="Times New Roman" w:hAnsi="Times New Roman" w:cs="Times New Roman"/>
          <w:b/>
          <w:sz w:val="21"/>
          <w:szCs w:val="21"/>
        </w:rPr>
        <w:instrText xml:space="preserve"> REF _Ref435187896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b/>
          <w:sz w:val="21"/>
          <w:szCs w:val="21"/>
        </w:rPr>
        <w:t>34</w:t>
      </w:r>
      <w:r>
        <w:rPr>
          <w:rFonts w:ascii="Times New Roman" w:hAnsi="Times New Roman" w:cs="Times New Roman"/>
          <w:sz w:val="21"/>
          <w:szCs w:val="21"/>
          <w:highlight w:val="yellow"/>
        </w:rPr>
        <w:fldChar w:fldCharType="end"/>
      </w:r>
      <w:r w:rsidRPr="00533E41">
        <w:rPr>
          <w:rFonts w:ascii="Times New Roman" w:hAnsi="Times New Roman" w:cs="Times New Roman"/>
          <w:b/>
          <w:sz w:val="21"/>
          <w:szCs w:val="21"/>
        </w:rPr>
        <w:t>]</w:t>
      </w:r>
    </w:p>
    <w:p w:rsidR="00B233DE" w:rsidRPr="00A60F41" w:rsidRDefault="00B233DE" w:rsidP="00B233DE">
      <w:pPr>
        <w:ind w:firstLine="709"/>
        <w:jc w:val="both"/>
        <w:rPr>
          <w:rFonts w:ascii="Times New Roman" w:hAnsi="Times New Roman" w:cs="Times New Roman"/>
          <w:spacing w:val="-6"/>
          <w:sz w:val="21"/>
          <w:szCs w:val="21"/>
        </w:rPr>
      </w:pPr>
    </w:p>
    <w:p w:rsidR="00B233DE" w:rsidRPr="00A60F41" w:rsidRDefault="00B233DE" w:rsidP="00B233DE">
      <w:pPr>
        <w:ind w:firstLine="709"/>
        <w:jc w:val="both"/>
        <w:rPr>
          <w:rFonts w:ascii="Times New Roman" w:hAnsi="Times New Roman" w:cs="Times New Roman"/>
          <w:spacing w:val="-4"/>
          <w:sz w:val="21"/>
          <w:szCs w:val="21"/>
        </w:rPr>
      </w:pPr>
      <w:r w:rsidRPr="00A60F41">
        <w:rPr>
          <w:rFonts w:ascii="Times New Roman" w:hAnsi="Times New Roman" w:cs="Times New Roman"/>
          <w:spacing w:val="-4"/>
          <w:sz w:val="21"/>
          <w:szCs w:val="21"/>
        </w:rPr>
        <w:t xml:space="preserve">Основним наслідком нелегального перебування українських трудових емігрантів в країнах призначення є втрата їх освітньо-кваліфікаційного потенціалу. Характерним для еміграції з України є </w:t>
      </w:r>
      <w:r w:rsidRPr="00A60F41">
        <w:rPr>
          <w:rFonts w:ascii="Times New Roman" w:hAnsi="Times New Roman" w:cs="Times New Roman"/>
          <w:spacing w:val="-4"/>
          <w:sz w:val="21"/>
          <w:szCs w:val="21"/>
        </w:rPr>
        <w:lastRenderedPageBreak/>
        <w:t>процес «розтрати мізків»: висококваліфіковані мігранти з незатребуваними або низькооплачуваними на національному ринку праці професіями, емігрують для праці на некваліфікованих роботах у сфері послуг, домашнього господарства, готельно-ресторанного бізнесу, сільського господарства. При чому рівень освіти українських емігрантів залишається достатньо високим (рис. 4.</w:t>
      </w:r>
      <w:r>
        <w:rPr>
          <w:rFonts w:ascii="Times New Roman" w:hAnsi="Times New Roman" w:cs="Times New Roman"/>
          <w:spacing w:val="-4"/>
          <w:sz w:val="21"/>
          <w:szCs w:val="21"/>
        </w:rPr>
        <w:t>2</w:t>
      </w:r>
      <w:r w:rsidRPr="00A60F41">
        <w:rPr>
          <w:rFonts w:ascii="Times New Roman" w:hAnsi="Times New Roman" w:cs="Times New Roman"/>
          <w:spacing w:val="-4"/>
          <w:sz w:val="21"/>
          <w:szCs w:val="21"/>
        </w:rPr>
        <w:t>2).</w:t>
      </w:r>
    </w:p>
    <w:p w:rsidR="00B233DE" w:rsidRPr="00A60F41" w:rsidRDefault="00B233DE" w:rsidP="00B233DE">
      <w:pPr>
        <w:tabs>
          <w:tab w:val="left" w:pos="900"/>
        </w:tabs>
        <w:ind w:firstLine="142"/>
        <w:jc w:val="both"/>
        <w:rPr>
          <w:rFonts w:ascii="Times New Roman" w:hAnsi="Times New Roman" w:cs="Times New Roman"/>
          <w:sz w:val="21"/>
          <w:szCs w:val="21"/>
        </w:rPr>
      </w:pPr>
      <w:r w:rsidRPr="00A60F41">
        <w:rPr>
          <w:rFonts w:ascii="Times New Roman" w:hAnsi="Times New Roman" w:cs="Times New Roman"/>
          <w:sz w:val="21"/>
          <w:szCs w:val="21"/>
        </w:rPr>
        <w:object w:dxaOrig="7082" w:dyaOrig="4975">
          <v:shape id="_x0000_i1030" type="#_x0000_t75" style="width:298.5pt;height:154.5pt" o:ole="">
            <v:imagedata r:id="rId81" o:title=""/>
          </v:shape>
          <o:OLEObject Type="Embed" ProgID="Excel.Sheet.12" ShapeID="_x0000_i1030" DrawAspect="Content" ObjectID="_1633373542" r:id="rId82"/>
        </w:object>
      </w:r>
    </w:p>
    <w:p w:rsidR="00B233DE" w:rsidRPr="00533E41" w:rsidRDefault="00B233DE" w:rsidP="00B233DE">
      <w:pPr>
        <w:ind w:firstLine="709"/>
        <w:jc w:val="center"/>
        <w:rPr>
          <w:rFonts w:ascii="Times New Roman" w:hAnsi="Times New Roman" w:cs="Times New Roman"/>
          <w:b/>
          <w:sz w:val="21"/>
          <w:szCs w:val="21"/>
        </w:rPr>
      </w:pPr>
      <w:r w:rsidRPr="00533E41">
        <w:rPr>
          <w:rFonts w:ascii="Times New Roman" w:hAnsi="Times New Roman" w:cs="Times New Roman"/>
          <w:b/>
          <w:sz w:val="21"/>
          <w:szCs w:val="21"/>
        </w:rPr>
        <w:t>Рис. 4.</w:t>
      </w:r>
      <w:r>
        <w:rPr>
          <w:rFonts w:ascii="Times New Roman" w:hAnsi="Times New Roman" w:cs="Times New Roman"/>
          <w:b/>
          <w:sz w:val="21"/>
          <w:szCs w:val="21"/>
        </w:rPr>
        <w:t>2</w:t>
      </w:r>
      <w:r w:rsidRPr="00533E41">
        <w:rPr>
          <w:rFonts w:ascii="Times New Roman" w:hAnsi="Times New Roman" w:cs="Times New Roman"/>
          <w:b/>
          <w:sz w:val="21"/>
          <w:szCs w:val="21"/>
        </w:rPr>
        <w:t>2</w:t>
      </w:r>
      <w:r>
        <w:rPr>
          <w:rFonts w:ascii="Times New Roman" w:hAnsi="Times New Roman" w:cs="Times New Roman"/>
          <w:b/>
          <w:sz w:val="21"/>
          <w:szCs w:val="21"/>
        </w:rPr>
        <w:t>.</w:t>
      </w:r>
      <w:r w:rsidRPr="00533E41">
        <w:rPr>
          <w:rFonts w:ascii="Times New Roman" w:hAnsi="Times New Roman" w:cs="Times New Roman"/>
          <w:b/>
          <w:sz w:val="21"/>
          <w:szCs w:val="21"/>
        </w:rPr>
        <w:t xml:space="preserve"> Рівень освіти українських трудових мігрантів [</w:t>
      </w:r>
      <w:r>
        <w:rPr>
          <w:rFonts w:ascii="Times New Roman" w:hAnsi="Times New Roman" w:cs="Times New Roman"/>
          <w:iCs/>
          <w:sz w:val="21"/>
          <w:szCs w:val="21"/>
          <w:highlight w:val="yellow"/>
          <w:lang w:val="en-GB"/>
        </w:rPr>
        <w:fldChar w:fldCharType="begin"/>
      </w:r>
      <w:r>
        <w:rPr>
          <w:rFonts w:ascii="Times New Roman" w:hAnsi="Times New Roman" w:cs="Times New Roman"/>
          <w:b/>
          <w:sz w:val="21"/>
          <w:szCs w:val="21"/>
        </w:rPr>
        <w:instrText xml:space="preserve"> REF _Ref435187904 \r \h </w:instrText>
      </w:r>
      <w:r>
        <w:rPr>
          <w:rFonts w:ascii="Times New Roman" w:hAnsi="Times New Roman" w:cs="Times New Roman"/>
          <w:iCs/>
          <w:sz w:val="21"/>
          <w:szCs w:val="21"/>
          <w:highlight w:val="yellow"/>
          <w:lang w:val="en-GB"/>
        </w:rPr>
      </w:r>
      <w:r>
        <w:rPr>
          <w:rFonts w:ascii="Times New Roman" w:hAnsi="Times New Roman" w:cs="Times New Roman"/>
          <w:iCs/>
          <w:sz w:val="21"/>
          <w:szCs w:val="21"/>
          <w:highlight w:val="yellow"/>
          <w:lang w:val="en-GB"/>
        </w:rPr>
        <w:fldChar w:fldCharType="separate"/>
      </w:r>
      <w:r>
        <w:rPr>
          <w:rFonts w:ascii="Times New Roman" w:hAnsi="Times New Roman" w:cs="Times New Roman"/>
          <w:b/>
          <w:sz w:val="21"/>
          <w:szCs w:val="21"/>
        </w:rPr>
        <w:t>93</w:t>
      </w:r>
      <w:r>
        <w:rPr>
          <w:rFonts w:ascii="Times New Roman" w:hAnsi="Times New Roman" w:cs="Times New Roman"/>
          <w:iCs/>
          <w:sz w:val="21"/>
          <w:szCs w:val="21"/>
          <w:highlight w:val="yellow"/>
          <w:lang w:val="en-GB"/>
        </w:rPr>
        <w:fldChar w:fldCharType="end"/>
      </w:r>
      <w:r w:rsidRPr="00533E41">
        <w:rPr>
          <w:rFonts w:ascii="Times New Roman" w:hAnsi="Times New Roman" w:cs="Times New Roman"/>
          <w:b/>
          <w:sz w:val="21"/>
          <w:szCs w:val="21"/>
        </w:rPr>
        <w:t>]</w:t>
      </w:r>
    </w:p>
    <w:p w:rsidR="00B233DE" w:rsidRPr="00A60F41" w:rsidRDefault="00B233DE" w:rsidP="00B233DE">
      <w:pPr>
        <w:ind w:firstLine="709"/>
        <w:jc w:val="both"/>
        <w:rPr>
          <w:rFonts w:ascii="Times New Roman" w:hAnsi="Times New Roman" w:cs="Times New Roman"/>
          <w:spacing w:val="-4"/>
          <w:sz w:val="21"/>
          <w:szCs w:val="21"/>
        </w:rPr>
      </w:pPr>
    </w:p>
    <w:p w:rsidR="00B233DE" w:rsidRPr="00A60F41" w:rsidRDefault="00B233DE" w:rsidP="00B233DE">
      <w:pPr>
        <w:ind w:firstLine="709"/>
        <w:jc w:val="both"/>
        <w:rPr>
          <w:rFonts w:ascii="Times New Roman" w:hAnsi="Times New Roman" w:cs="Times New Roman"/>
          <w:spacing w:val="-4"/>
          <w:sz w:val="21"/>
          <w:szCs w:val="21"/>
        </w:rPr>
      </w:pPr>
      <w:r w:rsidRPr="00A60F41">
        <w:rPr>
          <w:rFonts w:ascii="Times New Roman" w:hAnsi="Times New Roman" w:cs="Times New Roman"/>
          <w:spacing w:val="-4"/>
          <w:sz w:val="21"/>
          <w:szCs w:val="21"/>
        </w:rPr>
        <w:t>35,5</w:t>
      </w:r>
      <w:r>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rPr>
        <w:t>% українських емігрантів з вищою освітою є некваліфікованими працівниками за кордоном [</w:t>
      </w:r>
      <w:r>
        <w:rPr>
          <w:rFonts w:ascii="Times New Roman" w:hAnsi="Times New Roman" w:cs="Times New Roman"/>
          <w:iCs/>
          <w:sz w:val="21"/>
          <w:szCs w:val="21"/>
          <w:highlight w:val="yellow"/>
        </w:rPr>
        <w:fldChar w:fldCharType="begin"/>
      </w:r>
      <w:r>
        <w:rPr>
          <w:rFonts w:ascii="Times New Roman" w:hAnsi="Times New Roman" w:cs="Times New Roman"/>
          <w:spacing w:val="-4"/>
          <w:sz w:val="21"/>
          <w:szCs w:val="21"/>
        </w:rPr>
        <w:instrText xml:space="preserve"> REF _Ref435187636 \r \h </w:instrText>
      </w:r>
      <w:r>
        <w:rPr>
          <w:rFonts w:ascii="Times New Roman" w:hAnsi="Times New Roman" w:cs="Times New Roman"/>
          <w:iCs/>
          <w:sz w:val="21"/>
          <w:szCs w:val="21"/>
          <w:highlight w:val="yellow"/>
        </w:rPr>
      </w:r>
      <w:r>
        <w:rPr>
          <w:rFonts w:ascii="Times New Roman" w:hAnsi="Times New Roman" w:cs="Times New Roman"/>
          <w:iCs/>
          <w:sz w:val="21"/>
          <w:szCs w:val="21"/>
          <w:highlight w:val="yellow"/>
        </w:rPr>
        <w:fldChar w:fldCharType="separate"/>
      </w:r>
      <w:r>
        <w:rPr>
          <w:rFonts w:ascii="Times New Roman" w:hAnsi="Times New Roman" w:cs="Times New Roman"/>
          <w:spacing w:val="-4"/>
          <w:sz w:val="21"/>
          <w:szCs w:val="21"/>
        </w:rPr>
        <w:t>56</w:t>
      </w:r>
      <w:r>
        <w:rPr>
          <w:rFonts w:ascii="Times New Roman" w:hAnsi="Times New Roman" w:cs="Times New Roman"/>
          <w:iCs/>
          <w:sz w:val="21"/>
          <w:szCs w:val="21"/>
          <w:highlight w:val="yellow"/>
        </w:rPr>
        <w:fldChar w:fldCharType="end"/>
      </w:r>
      <w:r w:rsidRPr="00A60F41">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lang w:val="en-US"/>
        </w:rPr>
        <w:t>c</w:t>
      </w:r>
      <w:r w:rsidRPr="00A60F41">
        <w:rPr>
          <w:rFonts w:ascii="Times New Roman" w:hAnsi="Times New Roman" w:cs="Times New Roman"/>
          <w:spacing w:val="-4"/>
          <w:sz w:val="21"/>
          <w:szCs w:val="21"/>
        </w:rPr>
        <w:t>. 4]. Така тенденція зумовлюється також тим, що, по-перше, трудові мігранти покривають дефіцит робочої сили країни призначення, працюючи на тих робочих місцях, які не приваблюють місцеве населення; по-друге роботодавці країни призначення зменшують витрати на робочу силу, наймаючи мігрантів [</w:t>
      </w:r>
      <w:r>
        <w:rPr>
          <w:rFonts w:ascii="Times New Roman" w:hAnsi="Times New Roman" w:cs="Times New Roman"/>
          <w:bCs/>
          <w:sz w:val="21"/>
          <w:szCs w:val="21"/>
          <w:highlight w:val="yellow"/>
        </w:rPr>
        <w:fldChar w:fldCharType="begin"/>
      </w:r>
      <w:r>
        <w:rPr>
          <w:rFonts w:ascii="Times New Roman" w:hAnsi="Times New Roman" w:cs="Times New Roman"/>
          <w:spacing w:val="-4"/>
          <w:sz w:val="21"/>
          <w:szCs w:val="21"/>
        </w:rPr>
        <w:instrText xml:space="preserve"> REF _Ref435187586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spacing w:val="-4"/>
          <w:sz w:val="21"/>
          <w:szCs w:val="21"/>
        </w:rPr>
        <w:t>12</w:t>
      </w:r>
      <w:r>
        <w:rPr>
          <w:rFonts w:ascii="Times New Roman" w:hAnsi="Times New Roman" w:cs="Times New Roman"/>
          <w:bCs/>
          <w:sz w:val="21"/>
          <w:szCs w:val="21"/>
          <w:highlight w:val="yellow"/>
        </w:rPr>
        <w:fldChar w:fldCharType="end"/>
      </w:r>
      <w:r w:rsidRPr="00A60F41">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lang w:val="en-US"/>
        </w:rPr>
        <w:t>c</w:t>
      </w:r>
      <w:r w:rsidRPr="00A60F41">
        <w:rPr>
          <w:rFonts w:ascii="Times New Roman" w:hAnsi="Times New Roman" w:cs="Times New Roman"/>
          <w:spacing w:val="-4"/>
          <w:sz w:val="21"/>
          <w:szCs w:val="21"/>
        </w:rPr>
        <w:t xml:space="preserve">. 43]. </w:t>
      </w:r>
    </w:p>
    <w:p w:rsidR="00B233DE" w:rsidRPr="00A60F41" w:rsidRDefault="00B233DE" w:rsidP="00B233DE">
      <w:pPr>
        <w:ind w:firstLine="709"/>
        <w:jc w:val="both"/>
        <w:rPr>
          <w:rFonts w:ascii="Times New Roman" w:hAnsi="Times New Roman" w:cs="Times New Roman"/>
          <w:spacing w:val="-4"/>
          <w:sz w:val="21"/>
          <w:szCs w:val="21"/>
        </w:rPr>
      </w:pPr>
      <w:r w:rsidRPr="00A60F41">
        <w:rPr>
          <w:rFonts w:ascii="Times New Roman" w:hAnsi="Times New Roman" w:cs="Times New Roman"/>
          <w:spacing w:val="-4"/>
          <w:sz w:val="21"/>
          <w:szCs w:val="21"/>
        </w:rPr>
        <w:t>Сфера діяльності трудових мігрантів з України відрізняється в залежності від країни призначення (рис. 4.</w:t>
      </w:r>
      <w:r>
        <w:rPr>
          <w:rFonts w:ascii="Times New Roman" w:hAnsi="Times New Roman" w:cs="Times New Roman"/>
          <w:spacing w:val="-4"/>
          <w:sz w:val="21"/>
          <w:szCs w:val="21"/>
        </w:rPr>
        <w:t>2</w:t>
      </w:r>
      <w:r w:rsidRPr="00A60F41">
        <w:rPr>
          <w:rFonts w:ascii="Times New Roman" w:hAnsi="Times New Roman" w:cs="Times New Roman"/>
          <w:spacing w:val="-4"/>
          <w:sz w:val="21"/>
          <w:szCs w:val="21"/>
        </w:rPr>
        <w:t>3).</w:t>
      </w:r>
    </w:p>
    <w:p w:rsidR="00B233DE" w:rsidRDefault="00B233DE" w:rsidP="00B233DE">
      <w:pPr>
        <w:ind w:firstLine="709"/>
        <w:jc w:val="both"/>
        <w:rPr>
          <w:rFonts w:ascii="Times New Roman" w:hAnsi="Times New Roman" w:cs="Times New Roman"/>
          <w:spacing w:val="-4"/>
          <w:sz w:val="21"/>
          <w:szCs w:val="21"/>
        </w:rPr>
      </w:pPr>
      <w:r w:rsidRPr="00A60F41">
        <w:rPr>
          <w:rFonts w:ascii="Times New Roman" w:hAnsi="Times New Roman" w:cs="Times New Roman"/>
          <w:spacing w:val="-4"/>
          <w:sz w:val="21"/>
          <w:szCs w:val="21"/>
        </w:rPr>
        <w:t>Якщо у загальноміграційних процесах Україна виступає одночасно як країна походження і призначення мігрантів, то у міграції кваліфікованих та висококваліфікованих працівників наша країна тривалий час є виключно країною походження. За період 1991-2008 рр. з України виїхало 626 докторів наук, а за період 1996-2008 рр. – 1212 кандидатів наук [</w:t>
      </w:r>
      <w:r>
        <w:rPr>
          <w:rFonts w:ascii="Times New Roman" w:hAnsi="Times New Roman" w:cs="Times New Roman"/>
          <w:iCs/>
          <w:sz w:val="21"/>
          <w:szCs w:val="21"/>
          <w:highlight w:val="yellow"/>
        </w:rPr>
        <w:fldChar w:fldCharType="begin"/>
      </w:r>
      <w:r>
        <w:rPr>
          <w:rFonts w:ascii="Times New Roman" w:hAnsi="Times New Roman" w:cs="Times New Roman"/>
          <w:spacing w:val="-4"/>
          <w:sz w:val="21"/>
          <w:szCs w:val="21"/>
        </w:rPr>
        <w:instrText xml:space="preserve"> REF _Ref435187636 \r \h </w:instrText>
      </w:r>
      <w:r>
        <w:rPr>
          <w:rFonts w:ascii="Times New Roman" w:hAnsi="Times New Roman" w:cs="Times New Roman"/>
          <w:iCs/>
          <w:sz w:val="21"/>
          <w:szCs w:val="21"/>
          <w:highlight w:val="yellow"/>
        </w:rPr>
      </w:r>
      <w:r>
        <w:rPr>
          <w:rFonts w:ascii="Times New Roman" w:hAnsi="Times New Roman" w:cs="Times New Roman"/>
          <w:iCs/>
          <w:sz w:val="21"/>
          <w:szCs w:val="21"/>
          <w:highlight w:val="yellow"/>
        </w:rPr>
        <w:fldChar w:fldCharType="separate"/>
      </w:r>
      <w:r>
        <w:rPr>
          <w:rFonts w:ascii="Times New Roman" w:hAnsi="Times New Roman" w:cs="Times New Roman"/>
          <w:spacing w:val="-4"/>
          <w:sz w:val="21"/>
          <w:szCs w:val="21"/>
        </w:rPr>
        <w:t>56</w:t>
      </w:r>
      <w:r>
        <w:rPr>
          <w:rFonts w:ascii="Times New Roman" w:hAnsi="Times New Roman" w:cs="Times New Roman"/>
          <w:iCs/>
          <w:sz w:val="21"/>
          <w:szCs w:val="21"/>
          <w:highlight w:val="yellow"/>
        </w:rPr>
        <w:fldChar w:fldCharType="end"/>
      </w:r>
      <w:r w:rsidRPr="00A60F41">
        <w:rPr>
          <w:rFonts w:ascii="Times New Roman" w:hAnsi="Times New Roman" w:cs="Times New Roman"/>
          <w:spacing w:val="-4"/>
          <w:sz w:val="21"/>
          <w:szCs w:val="21"/>
        </w:rPr>
        <w:t>]. Основними мотивами еміграції стали кращі можливості реалізації власного людського потенціалу і завдяки цьому отримання більших доходів і підвищення рівня добробуту.</w:t>
      </w:r>
    </w:p>
    <w:p w:rsidR="00B233DE" w:rsidRPr="00A60F41" w:rsidRDefault="00B233DE" w:rsidP="00B233DE">
      <w:pPr>
        <w:ind w:firstLine="0"/>
        <w:jc w:val="both"/>
        <w:rPr>
          <w:rFonts w:ascii="Times New Roman" w:hAnsi="Times New Roman" w:cs="Times New Roman"/>
          <w:sz w:val="21"/>
          <w:szCs w:val="21"/>
        </w:rPr>
      </w:pPr>
      <w:r w:rsidRPr="00A60F41">
        <w:rPr>
          <w:rFonts w:ascii="Times New Roman" w:hAnsi="Times New Roman" w:cs="Times New Roman"/>
          <w:sz w:val="21"/>
          <w:szCs w:val="21"/>
        </w:rPr>
        <w:object w:dxaOrig="10369" w:dyaOrig="6202">
          <v:shape id="_x0000_i1031" type="#_x0000_t75" style="width:306pt;height:159.75pt" o:ole="">
            <v:imagedata r:id="rId83" o:title=""/>
          </v:shape>
          <o:OLEObject Type="Embed" ProgID="Excel.Sheet.8" ShapeID="_x0000_i1031" DrawAspect="Content" ObjectID="_1633373543" r:id="rId84"/>
        </w:object>
      </w:r>
    </w:p>
    <w:p w:rsidR="00B233DE" w:rsidRPr="00533E41" w:rsidRDefault="00B233DE" w:rsidP="00B233DE">
      <w:pPr>
        <w:ind w:firstLine="709"/>
        <w:jc w:val="center"/>
        <w:rPr>
          <w:rFonts w:ascii="Times New Roman" w:hAnsi="Times New Roman" w:cs="Times New Roman"/>
          <w:b/>
          <w:sz w:val="21"/>
          <w:szCs w:val="21"/>
        </w:rPr>
      </w:pPr>
      <w:r w:rsidRPr="00533E41">
        <w:rPr>
          <w:rFonts w:ascii="Times New Roman" w:hAnsi="Times New Roman" w:cs="Times New Roman"/>
          <w:b/>
          <w:sz w:val="21"/>
          <w:szCs w:val="21"/>
        </w:rPr>
        <w:t>Рис. 4.23</w:t>
      </w:r>
      <w:r>
        <w:rPr>
          <w:rFonts w:ascii="Times New Roman" w:hAnsi="Times New Roman" w:cs="Times New Roman"/>
          <w:b/>
          <w:sz w:val="21"/>
          <w:szCs w:val="21"/>
        </w:rPr>
        <w:t>.</w:t>
      </w:r>
      <w:r w:rsidRPr="00533E41">
        <w:rPr>
          <w:rFonts w:ascii="Times New Roman" w:hAnsi="Times New Roman" w:cs="Times New Roman"/>
          <w:b/>
          <w:sz w:val="21"/>
          <w:szCs w:val="21"/>
        </w:rPr>
        <w:t xml:space="preserve"> Трудові емігранти з України за видами економічної діяльності та країнами перебування [</w:t>
      </w:r>
      <w:r>
        <w:rPr>
          <w:rFonts w:ascii="Times New Roman" w:hAnsi="Times New Roman" w:cs="Times New Roman"/>
          <w:b/>
          <w:sz w:val="21"/>
          <w:szCs w:val="21"/>
        </w:rPr>
        <w:fldChar w:fldCharType="begin"/>
      </w:r>
      <w:r>
        <w:rPr>
          <w:rFonts w:ascii="Times New Roman" w:hAnsi="Times New Roman" w:cs="Times New Roman"/>
          <w:b/>
          <w:sz w:val="21"/>
          <w:szCs w:val="21"/>
        </w:rPr>
        <w:instrText xml:space="preserve"> REF _Ref435187801 \r \h </w:instrText>
      </w:r>
      <w:r>
        <w:rPr>
          <w:rFonts w:ascii="Times New Roman" w:hAnsi="Times New Roman" w:cs="Times New Roman"/>
          <w:b/>
          <w:sz w:val="21"/>
          <w:szCs w:val="21"/>
        </w:rPr>
      </w:r>
      <w:r>
        <w:rPr>
          <w:rFonts w:ascii="Times New Roman" w:hAnsi="Times New Roman" w:cs="Times New Roman"/>
          <w:b/>
          <w:sz w:val="21"/>
          <w:szCs w:val="21"/>
        </w:rPr>
        <w:fldChar w:fldCharType="separate"/>
      </w:r>
      <w:r>
        <w:rPr>
          <w:rFonts w:ascii="Times New Roman" w:hAnsi="Times New Roman" w:cs="Times New Roman"/>
          <w:b/>
          <w:sz w:val="21"/>
          <w:szCs w:val="21"/>
        </w:rPr>
        <w:t>62</w:t>
      </w:r>
      <w:r>
        <w:rPr>
          <w:rFonts w:ascii="Times New Roman" w:hAnsi="Times New Roman" w:cs="Times New Roman"/>
          <w:b/>
          <w:sz w:val="21"/>
          <w:szCs w:val="21"/>
        </w:rPr>
        <w:fldChar w:fldCharType="end"/>
      </w:r>
      <w:r w:rsidRPr="00533E41">
        <w:rPr>
          <w:rFonts w:ascii="Times New Roman" w:hAnsi="Times New Roman" w:cs="Times New Roman"/>
          <w:b/>
          <w:sz w:val="21"/>
          <w:szCs w:val="21"/>
        </w:rPr>
        <w:t xml:space="preserve">, </w:t>
      </w:r>
      <w:r w:rsidRPr="00533E41">
        <w:rPr>
          <w:rFonts w:ascii="Times New Roman" w:hAnsi="Times New Roman" w:cs="Times New Roman"/>
          <w:b/>
          <w:sz w:val="21"/>
          <w:szCs w:val="21"/>
          <w:lang w:val="en-US"/>
        </w:rPr>
        <w:t>c</w:t>
      </w:r>
      <w:r w:rsidRPr="00533E41">
        <w:rPr>
          <w:rFonts w:ascii="Times New Roman" w:hAnsi="Times New Roman" w:cs="Times New Roman"/>
          <w:b/>
          <w:sz w:val="21"/>
          <w:szCs w:val="21"/>
        </w:rPr>
        <w:t>. 53–54]</w:t>
      </w:r>
    </w:p>
    <w:p w:rsidR="00B233DE" w:rsidRPr="00A60F41" w:rsidRDefault="00B233DE" w:rsidP="00B233DE">
      <w:pPr>
        <w:ind w:firstLine="709"/>
        <w:jc w:val="both"/>
        <w:rPr>
          <w:rFonts w:ascii="Times New Roman" w:hAnsi="Times New Roman" w:cs="Times New Roman"/>
          <w:spacing w:val="-4"/>
          <w:sz w:val="21"/>
          <w:szCs w:val="21"/>
        </w:rPr>
      </w:pPr>
    </w:p>
    <w:p w:rsidR="00B233DE" w:rsidRPr="00A60F41"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За даними опитування українських потенційних мігрантів спеціалістами Європейського фонду професійного навчання, 26,7</w:t>
      </w:r>
      <w:r>
        <w:rPr>
          <w:rFonts w:ascii="Times New Roman" w:hAnsi="Times New Roman" w:cs="Times New Roman"/>
          <w:sz w:val="21"/>
          <w:szCs w:val="21"/>
        </w:rPr>
        <w:t> </w:t>
      </w:r>
      <w:r w:rsidRPr="00A60F41">
        <w:rPr>
          <w:rFonts w:ascii="Times New Roman" w:hAnsi="Times New Roman" w:cs="Times New Roman"/>
          <w:sz w:val="21"/>
          <w:szCs w:val="21"/>
        </w:rPr>
        <w:t>% населення віком 18</w:t>
      </w:r>
      <w:r>
        <w:rPr>
          <w:rFonts w:ascii="Times New Roman" w:hAnsi="Times New Roman" w:cs="Times New Roman"/>
          <w:sz w:val="21"/>
          <w:szCs w:val="21"/>
        </w:rPr>
        <w:t>–</w:t>
      </w:r>
      <w:r w:rsidRPr="00A60F41">
        <w:rPr>
          <w:rFonts w:ascii="Times New Roman" w:hAnsi="Times New Roman" w:cs="Times New Roman"/>
          <w:sz w:val="21"/>
          <w:szCs w:val="21"/>
        </w:rPr>
        <w:t>40 років серйозно розглядають можливість еміграції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_Ref435187801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62</w:t>
      </w:r>
      <w:r>
        <w:rPr>
          <w:rFonts w:ascii="Times New Roman" w:hAnsi="Times New Roman" w:cs="Times New Roman"/>
          <w:sz w:val="21"/>
          <w:szCs w:val="21"/>
          <w:highlight w:val="yellow"/>
        </w:rPr>
        <w:fldChar w:fldCharType="end"/>
      </w:r>
      <w:r w:rsidRPr="00A60F41">
        <w:rPr>
          <w:rFonts w:ascii="Times New Roman" w:hAnsi="Times New Roman" w:cs="Times New Roman"/>
          <w:sz w:val="21"/>
          <w:szCs w:val="21"/>
        </w:rPr>
        <w:t xml:space="preserve">, </w:t>
      </w:r>
      <w:r w:rsidRPr="00A60F41">
        <w:rPr>
          <w:rFonts w:ascii="Times New Roman" w:hAnsi="Times New Roman" w:cs="Times New Roman"/>
          <w:sz w:val="21"/>
          <w:szCs w:val="21"/>
          <w:lang w:val="en-US"/>
        </w:rPr>
        <w:t>c</w:t>
      </w:r>
      <w:r w:rsidRPr="00A60F41">
        <w:rPr>
          <w:rFonts w:ascii="Times New Roman" w:hAnsi="Times New Roman" w:cs="Times New Roman"/>
          <w:sz w:val="21"/>
          <w:szCs w:val="21"/>
        </w:rPr>
        <w:t>. 25]. Втрата трудового потенціалу проявляється у виїзді населення працездатних вікових груп переважно з високим рівнем освіти (рис. 4.</w:t>
      </w:r>
      <w:r>
        <w:rPr>
          <w:rFonts w:ascii="Times New Roman" w:hAnsi="Times New Roman" w:cs="Times New Roman"/>
          <w:sz w:val="21"/>
          <w:szCs w:val="21"/>
        </w:rPr>
        <w:t>2</w:t>
      </w:r>
      <w:r w:rsidRPr="00A60F41">
        <w:rPr>
          <w:rFonts w:ascii="Times New Roman" w:hAnsi="Times New Roman" w:cs="Times New Roman"/>
          <w:sz w:val="21"/>
          <w:szCs w:val="21"/>
        </w:rPr>
        <w:t>4).</w:t>
      </w:r>
    </w:p>
    <w:p w:rsidR="00B233DE" w:rsidRPr="00533E41" w:rsidRDefault="00B233DE" w:rsidP="00B233DE">
      <w:pPr>
        <w:ind w:firstLine="0"/>
        <w:jc w:val="both"/>
        <w:rPr>
          <w:rFonts w:ascii="Times New Roman" w:hAnsi="Times New Roman" w:cs="Times New Roman"/>
          <w:sz w:val="2"/>
          <w:szCs w:val="2"/>
        </w:rPr>
      </w:pPr>
      <w:r w:rsidRPr="00A60F41">
        <w:rPr>
          <w:rFonts w:ascii="Times New Roman" w:hAnsi="Times New Roman" w:cs="Times New Roman"/>
          <w:sz w:val="21"/>
          <w:szCs w:val="21"/>
        </w:rPr>
        <w:object w:dxaOrig="7834" w:dyaOrig="4599">
          <v:shape id="_x0000_i1032" type="#_x0000_t75" style="width:317.25pt;height:172.5pt" o:ole="">
            <v:imagedata r:id="rId85" o:title=""/>
          </v:shape>
          <o:OLEObject Type="Embed" ProgID="Excel.Sheet.8" ShapeID="_x0000_i1032" DrawAspect="Content" ObjectID="_1633373544" r:id="rId86"/>
        </w:object>
      </w:r>
    </w:p>
    <w:p w:rsidR="00B233DE" w:rsidRPr="00533E41" w:rsidRDefault="00B233DE" w:rsidP="00B233DE">
      <w:pPr>
        <w:ind w:firstLine="709"/>
        <w:jc w:val="center"/>
        <w:rPr>
          <w:rFonts w:ascii="Times New Roman" w:hAnsi="Times New Roman" w:cs="Times New Roman"/>
          <w:b/>
          <w:sz w:val="21"/>
          <w:szCs w:val="21"/>
        </w:rPr>
      </w:pPr>
      <w:r w:rsidRPr="00533E41">
        <w:rPr>
          <w:rFonts w:ascii="Times New Roman" w:hAnsi="Times New Roman" w:cs="Times New Roman"/>
          <w:b/>
          <w:sz w:val="21"/>
          <w:szCs w:val="21"/>
        </w:rPr>
        <w:t>Рис. 4.24</w:t>
      </w:r>
      <w:r>
        <w:rPr>
          <w:rFonts w:ascii="Times New Roman" w:hAnsi="Times New Roman" w:cs="Times New Roman"/>
          <w:b/>
          <w:sz w:val="21"/>
          <w:szCs w:val="21"/>
        </w:rPr>
        <w:t>.</w:t>
      </w:r>
      <w:r w:rsidRPr="00533E41">
        <w:rPr>
          <w:rFonts w:ascii="Times New Roman" w:hAnsi="Times New Roman" w:cs="Times New Roman"/>
          <w:b/>
          <w:sz w:val="21"/>
          <w:szCs w:val="21"/>
        </w:rPr>
        <w:t xml:space="preserve"> Трудові емігранти з України за віковими групами та рівнем освіти [</w:t>
      </w:r>
      <w:r>
        <w:rPr>
          <w:rFonts w:ascii="Times New Roman" w:hAnsi="Times New Roman" w:cs="Times New Roman"/>
          <w:bCs/>
          <w:sz w:val="21"/>
          <w:szCs w:val="21"/>
          <w:highlight w:val="yellow"/>
        </w:rPr>
        <w:fldChar w:fldCharType="begin"/>
      </w:r>
      <w:r>
        <w:rPr>
          <w:rFonts w:ascii="Times New Roman" w:hAnsi="Times New Roman" w:cs="Times New Roman"/>
          <w:b/>
          <w:sz w:val="21"/>
          <w:szCs w:val="21"/>
        </w:rPr>
        <w:instrText xml:space="preserve"> REF _Ref435187586 \r \h </w:instrText>
      </w:r>
      <w:r>
        <w:rPr>
          <w:rFonts w:ascii="Times New Roman" w:hAnsi="Times New Roman" w:cs="Times New Roman"/>
          <w:bCs/>
          <w:sz w:val="21"/>
          <w:szCs w:val="21"/>
          <w:highlight w:val="yellow"/>
        </w:rPr>
      </w:r>
      <w:r>
        <w:rPr>
          <w:rFonts w:ascii="Times New Roman" w:hAnsi="Times New Roman" w:cs="Times New Roman"/>
          <w:bCs/>
          <w:sz w:val="21"/>
          <w:szCs w:val="21"/>
          <w:highlight w:val="yellow"/>
        </w:rPr>
        <w:fldChar w:fldCharType="separate"/>
      </w:r>
      <w:r>
        <w:rPr>
          <w:rFonts w:ascii="Times New Roman" w:hAnsi="Times New Roman" w:cs="Times New Roman"/>
          <w:b/>
          <w:sz w:val="21"/>
          <w:szCs w:val="21"/>
        </w:rPr>
        <w:t>12</w:t>
      </w:r>
      <w:r>
        <w:rPr>
          <w:rFonts w:ascii="Times New Roman" w:hAnsi="Times New Roman" w:cs="Times New Roman"/>
          <w:bCs/>
          <w:sz w:val="21"/>
          <w:szCs w:val="21"/>
          <w:highlight w:val="yellow"/>
        </w:rPr>
        <w:fldChar w:fldCharType="end"/>
      </w:r>
      <w:r w:rsidRPr="00533E41">
        <w:rPr>
          <w:rFonts w:ascii="Times New Roman" w:hAnsi="Times New Roman" w:cs="Times New Roman"/>
          <w:b/>
          <w:sz w:val="21"/>
          <w:szCs w:val="21"/>
        </w:rPr>
        <w:t xml:space="preserve">, </w:t>
      </w:r>
      <w:r w:rsidRPr="00533E41">
        <w:rPr>
          <w:rFonts w:ascii="Times New Roman" w:hAnsi="Times New Roman" w:cs="Times New Roman"/>
          <w:b/>
          <w:sz w:val="21"/>
          <w:szCs w:val="21"/>
          <w:lang w:val="en-US"/>
        </w:rPr>
        <w:t>c</w:t>
      </w:r>
      <w:r w:rsidRPr="00533E41">
        <w:rPr>
          <w:rFonts w:ascii="Times New Roman" w:hAnsi="Times New Roman" w:cs="Times New Roman"/>
          <w:b/>
          <w:sz w:val="21"/>
          <w:szCs w:val="21"/>
        </w:rPr>
        <w:t>. 31]</w:t>
      </w:r>
    </w:p>
    <w:p w:rsidR="00B233DE" w:rsidRPr="00A60F41"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lastRenderedPageBreak/>
        <w:t>За даними Світового банку, грошові перекази українських емігрантів коливаються в межах 5</w:t>
      </w:r>
      <w:r>
        <w:rPr>
          <w:rFonts w:ascii="Times New Roman" w:hAnsi="Times New Roman" w:cs="Times New Roman"/>
          <w:sz w:val="21"/>
          <w:szCs w:val="21"/>
        </w:rPr>
        <w:t>–</w:t>
      </w:r>
      <w:r w:rsidRPr="00A60F41">
        <w:rPr>
          <w:rFonts w:ascii="Times New Roman" w:hAnsi="Times New Roman" w:cs="Times New Roman"/>
          <w:sz w:val="21"/>
          <w:szCs w:val="21"/>
        </w:rPr>
        <w:t>9,7 млрд. дол. в рік за період 2008</w:t>
      </w:r>
      <w:r>
        <w:rPr>
          <w:rFonts w:ascii="Times New Roman" w:hAnsi="Times New Roman" w:cs="Times New Roman"/>
          <w:sz w:val="21"/>
          <w:szCs w:val="21"/>
        </w:rPr>
        <w:t>–</w:t>
      </w:r>
      <w:r w:rsidRPr="00A60F41">
        <w:rPr>
          <w:rFonts w:ascii="Times New Roman" w:hAnsi="Times New Roman" w:cs="Times New Roman"/>
          <w:sz w:val="21"/>
          <w:szCs w:val="21"/>
        </w:rPr>
        <w:t>2</w:t>
      </w:r>
      <w:r>
        <w:rPr>
          <w:rFonts w:ascii="Times New Roman" w:hAnsi="Times New Roman" w:cs="Times New Roman"/>
          <w:sz w:val="21"/>
          <w:szCs w:val="21"/>
        </w:rPr>
        <w:t xml:space="preserve">014 </w:t>
      </w:r>
      <w:r w:rsidRPr="00A60F41">
        <w:rPr>
          <w:rFonts w:ascii="Times New Roman" w:hAnsi="Times New Roman" w:cs="Times New Roman"/>
          <w:sz w:val="21"/>
          <w:szCs w:val="21"/>
        </w:rPr>
        <w:t>р.р. (рис. 4.</w:t>
      </w:r>
      <w:r>
        <w:rPr>
          <w:rFonts w:ascii="Times New Roman" w:hAnsi="Times New Roman" w:cs="Times New Roman"/>
          <w:sz w:val="21"/>
          <w:szCs w:val="21"/>
        </w:rPr>
        <w:t>2</w:t>
      </w:r>
      <w:r w:rsidRPr="00A60F41">
        <w:rPr>
          <w:rFonts w:ascii="Times New Roman" w:hAnsi="Times New Roman" w:cs="Times New Roman"/>
          <w:sz w:val="21"/>
          <w:szCs w:val="21"/>
        </w:rPr>
        <w:t xml:space="preserve">5). </w:t>
      </w:r>
    </w:p>
    <w:p w:rsidR="00B233DE" w:rsidRPr="00A60F41" w:rsidRDefault="00B233DE" w:rsidP="00B233DE">
      <w:pPr>
        <w:ind w:firstLine="0"/>
        <w:jc w:val="both"/>
        <w:rPr>
          <w:rFonts w:ascii="Times New Roman" w:hAnsi="Times New Roman" w:cs="Times New Roman"/>
          <w:sz w:val="21"/>
          <w:szCs w:val="21"/>
          <w:lang w:val="en-US"/>
        </w:rPr>
      </w:pPr>
      <w:r w:rsidRPr="00A60F41">
        <w:rPr>
          <w:rFonts w:ascii="Times New Roman" w:hAnsi="Times New Roman" w:cs="Times New Roman"/>
          <w:sz w:val="21"/>
          <w:szCs w:val="21"/>
        </w:rPr>
        <w:object w:dxaOrig="7202" w:dyaOrig="4014">
          <v:shape id="_x0000_i1033" type="#_x0000_t75" style="width:295.5pt;height:222.75pt" o:ole="">
            <v:imagedata r:id="rId87" o:title=""/>
          </v:shape>
          <o:OLEObject Type="Embed" ProgID="Excel.Sheet.12" ShapeID="_x0000_i1033" DrawAspect="Content" ObjectID="_1633373545" r:id="rId88"/>
        </w:object>
      </w:r>
    </w:p>
    <w:p w:rsidR="00B233DE" w:rsidRPr="003C7F21" w:rsidRDefault="00B233DE" w:rsidP="00B233DE">
      <w:pPr>
        <w:ind w:firstLine="709"/>
        <w:jc w:val="center"/>
        <w:rPr>
          <w:rFonts w:ascii="Times New Roman" w:hAnsi="Times New Roman" w:cs="Times New Roman"/>
          <w:b/>
          <w:sz w:val="21"/>
          <w:szCs w:val="21"/>
        </w:rPr>
      </w:pPr>
      <w:r w:rsidRPr="00A469AF">
        <w:rPr>
          <w:rFonts w:ascii="Times New Roman" w:hAnsi="Times New Roman" w:cs="Times New Roman"/>
          <w:b/>
          <w:sz w:val="21"/>
          <w:szCs w:val="21"/>
        </w:rPr>
        <w:t>Рис. 4.25</w:t>
      </w:r>
      <w:r>
        <w:rPr>
          <w:rFonts w:ascii="Times New Roman" w:hAnsi="Times New Roman" w:cs="Times New Roman"/>
          <w:b/>
          <w:sz w:val="21"/>
          <w:szCs w:val="21"/>
        </w:rPr>
        <w:t>.</w:t>
      </w:r>
      <w:r w:rsidRPr="00A469AF">
        <w:rPr>
          <w:rFonts w:ascii="Times New Roman" w:hAnsi="Times New Roman" w:cs="Times New Roman"/>
          <w:b/>
          <w:sz w:val="21"/>
          <w:szCs w:val="21"/>
        </w:rPr>
        <w:t xml:space="preserve"> </w:t>
      </w:r>
      <w:r w:rsidRPr="003C7F21">
        <w:rPr>
          <w:rFonts w:ascii="Times New Roman" w:hAnsi="Times New Roman" w:cs="Times New Roman"/>
          <w:b/>
          <w:sz w:val="21"/>
          <w:szCs w:val="21"/>
        </w:rPr>
        <w:t>Надходження грошових переказів мігрантів в Україну у 2008–2014 роках, млн дол. [</w:t>
      </w:r>
      <w:r>
        <w:rPr>
          <w:rFonts w:ascii="Times New Roman" w:hAnsi="Times New Roman" w:cs="Times New Roman"/>
          <w:sz w:val="21"/>
          <w:szCs w:val="21"/>
          <w:lang w:val="en-US"/>
        </w:rPr>
        <w:fldChar w:fldCharType="begin"/>
      </w:r>
      <w:r>
        <w:rPr>
          <w:rFonts w:ascii="Times New Roman" w:hAnsi="Times New Roman" w:cs="Times New Roman"/>
          <w:b/>
          <w:sz w:val="21"/>
          <w:szCs w:val="21"/>
        </w:rPr>
        <w:instrText xml:space="preserve"> REF _Ref435186992 \r \h </w:instrText>
      </w:r>
      <w:r>
        <w:rPr>
          <w:rFonts w:ascii="Times New Roman" w:hAnsi="Times New Roman" w:cs="Times New Roman"/>
          <w:sz w:val="21"/>
          <w:szCs w:val="21"/>
          <w:lang w:val="en-US"/>
        </w:rPr>
      </w:r>
      <w:r>
        <w:rPr>
          <w:rFonts w:ascii="Times New Roman" w:hAnsi="Times New Roman" w:cs="Times New Roman"/>
          <w:sz w:val="21"/>
          <w:szCs w:val="21"/>
          <w:lang w:val="en-US"/>
        </w:rPr>
        <w:fldChar w:fldCharType="separate"/>
      </w:r>
      <w:r>
        <w:rPr>
          <w:rFonts w:ascii="Times New Roman" w:hAnsi="Times New Roman" w:cs="Times New Roman"/>
          <w:b/>
          <w:sz w:val="21"/>
          <w:szCs w:val="21"/>
        </w:rPr>
        <w:t>103</w:t>
      </w:r>
      <w:r>
        <w:rPr>
          <w:rFonts w:ascii="Times New Roman" w:hAnsi="Times New Roman" w:cs="Times New Roman"/>
          <w:sz w:val="21"/>
          <w:szCs w:val="21"/>
          <w:lang w:val="en-US"/>
        </w:rPr>
        <w:fldChar w:fldCharType="end"/>
      </w:r>
      <w:r w:rsidRPr="003C7F21">
        <w:rPr>
          <w:rFonts w:ascii="Times New Roman" w:hAnsi="Times New Roman" w:cs="Times New Roman"/>
          <w:b/>
          <w:sz w:val="21"/>
          <w:szCs w:val="21"/>
        </w:rPr>
        <w:t>]</w:t>
      </w:r>
    </w:p>
    <w:p w:rsidR="00B233DE" w:rsidRPr="00A60F41" w:rsidRDefault="00B233DE" w:rsidP="00B233DE">
      <w:pPr>
        <w:ind w:firstLine="709"/>
        <w:jc w:val="both"/>
        <w:rPr>
          <w:rFonts w:ascii="Times New Roman" w:hAnsi="Times New Roman" w:cs="Times New Roman"/>
          <w:sz w:val="21"/>
          <w:szCs w:val="21"/>
        </w:rPr>
      </w:pPr>
    </w:p>
    <w:p w:rsidR="00B233DE" w:rsidRPr="00A60F41"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Потоки грошових переказів перевищили надходження прямих іноз</w:t>
      </w:r>
      <w:r>
        <w:rPr>
          <w:rFonts w:ascii="Times New Roman" w:hAnsi="Times New Roman" w:cs="Times New Roman"/>
          <w:sz w:val="21"/>
          <w:szCs w:val="21"/>
        </w:rPr>
        <w:t xml:space="preserve">емних інвестицій в Україну (847 </w:t>
      </w:r>
      <w:r w:rsidRPr="00A60F41">
        <w:rPr>
          <w:rFonts w:ascii="Times New Roman" w:hAnsi="Times New Roman" w:cs="Times New Roman"/>
          <w:sz w:val="21"/>
          <w:szCs w:val="21"/>
        </w:rPr>
        <w:t>млн дол. у 2014 році) і складають 5,6</w:t>
      </w:r>
      <w:r>
        <w:rPr>
          <w:rFonts w:ascii="Times New Roman" w:hAnsi="Times New Roman" w:cs="Times New Roman"/>
          <w:sz w:val="21"/>
          <w:szCs w:val="21"/>
        </w:rPr>
        <w:t xml:space="preserve"> </w:t>
      </w:r>
      <w:r w:rsidRPr="00A60F41">
        <w:rPr>
          <w:rFonts w:ascii="Times New Roman" w:hAnsi="Times New Roman" w:cs="Times New Roman"/>
          <w:sz w:val="21"/>
          <w:szCs w:val="21"/>
        </w:rPr>
        <w:t>% ВВП [</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_Ref435182396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104</w:t>
      </w:r>
      <w:r>
        <w:rPr>
          <w:rFonts w:ascii="Times New Roman" w:hAnsi="Times New Roman" w:cs="Times New Roman"/>
          <w:sz w:val="21"/>
          <w:szCs w:val="21"/>
          <w:highlight w:val="yellow"/>
          <w:lang w:val="en-US"/>
        </w:rPr>
        <w:fldChar w:fldCharType="end"/>
      </w:r>
      <w:r w:rsidRPr="00A60F41">
        <w:rPr>
          <w:rFonts w:ascii="Times New Roman" w:hAnsi="Times New Roman" w:cs="Times New Roman"/>
          <w:sz w:val="21"/>
          <w:szCs w:val="21"/>
        </w:rPr>
        <w:t xml:space="preserve">]. Зростання потоків грошових переказів в Україну свідчить про те, що вони стали важливим джерелом існування населення. Грошові перекази є більш ефективним інструментом боротьби з бідністю, ніж офіційна допомога, у напрямку досягнення потребуючих їх груп населення. </w:t>
      </w:r>
    </w:p>
    <w:p w:rsidR="00B233DE" w:rsidRPr="00A60F41"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Домогосподарства самостійно визначають напрями витрат отриманих коштів, реалізуючи власні стратегії скорочення бідності. Напрями використання грошових переказів в Україні свідчать про те, що вони є вагомим фінансовим джерелом підвищення людського потенціалу (рис. 4.</w:t>
      </w:r>
      <w:r>
        <w:rPr>
          <w:rFonts w:ascii="Times New Roman" w:hAnsi="Times New Roman" w:cs="Times New Roman"/>
          <w:sz w:val="21"/>
          <w:szCs w:val="21"/>
        </w:rPr>
        <w:t>2</w:t>
      </w:r>
      <w:r w:rsidRPr="00A60F41">
        <w:rPr>
          <w:rFonts w:ascii="Times New Roman" w:hAnsi="Times New Roman" w:cs="Times New Roman"/>
          <w:sz w:val="21"/>
          <w:szCs w:val="21"/>
        </w:rPr>
        <w:t>6) [</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_Ref435186992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103</w:t>
      </w:r>
      <w:r>
        <w:rPr>
          <w:rFonts w:ascii="Times New Roman" w:hAnsi="Times New Roman" w:cs="Times New Roman"/>
          <w:sz w:val="21"/>
          <w:szCs w:val="21"/>
          <w:highlight w:val="yellow"/>
          <w:lang w:val="en-US"/>
        </w:rPr>
        <w:fldChar w:fldCharType="end"/>
      </w:r>
      <w:r w:rsidRPr="00A60F41">
        <w:rPr>
          <w:rFonts w:ascii="Times New Roman" w:hAnsi="Times New Roman" w:cs="Times New Roman"/>
          <w:sz w:val="21"/>
          <w:szCs w:val="21"/>
        </w:rPr>
        <w:t xml:space="preserve">, </w:t>
      </w:r>
      <w:r w:rsidRPr="00A60F41">
        <w:rPr>
          <w:rFonts w:ascii="Times New Roman" w:hAnsi="Times New Roman" w:cs="Times New Roman"/>
          <w:sz w:val="21"/>
          <w:szCs w:val="21"/>
          <w:lang w:val="en-US"/>
        </w:rPr>
        <w:t>c</w:t>
      </w:r>
      <w:r w:rsidRPr="00A60F41">
        <w:rPr>
          <w:rFonts w:ascii="Times New Roman" w:hAnsi="Times New Roman" w:cs="Times New Roman"/>
          <w:sz w:val="21"/>
          <w:szCs w:val="21"/>
        </w:rPr>
        <w:t>. 53].</w:t>
      </w:r>
    </w:p>
    <w:p w:rsidR="00B233DE" w:rsidRPr="00A469AF" w:rsidRDefault="00B233DE" w:rsidP="00B233DE">
      <w:pPr>
        <w:ind w:firstLine="0"/>
        <w:jc w:val="both"/>
        <w:rPr>
          <w:rFonts w:ascii="Times New Roman" w:hAnsi="Times New Roman" w:cs="Times New Roman"/>
          <w:sz w:val="2"/>
          <w:szCs w:val="2"/>
          <w:lang w:val="en-US"/>
        </w:rPr>
      </w:pPr>
      <w:r w:rsidRPr="00A60F41">
        <w:rPr>
          <w:rFonts w:ascii="Times New Roman" w:hAnsi="Times New Roman" w:cs="Times New Roman"/>
          <w:sz w:val="21"/>
          <w:szCs w:val="21"/>
        </w:rPr>
        <w:object w:dxaOrig="9528" w:dyaOrig="4522">
          <v:shape id="_x0000_i1034" type="#_x0000_t75" style="width:314.25pt;height:223.5pt" o:ole="">
            <v:imagedata r:id="rId89" o:title=""/>
          </v:shape>
          <o:OLEObject Type="Embed" ProgID="Excel.Sheet.12" ShapeID="_x0000_i1034" DrawAspect="Content" ObjectID="_1633373546" r:id="rId90"/>
        </w:object>
      </w:r>
    </w:p>
    <w:p w:rsidR="00B233DE" w:rsidRPr="00A469AF" w:rsidRDefault="00B233DE" w:rsidP="00B233DE">
      <w:pPr>
        <w:ind w:firstLine="709"/>
        <w:jc w:val="center"/>
        <w:rPr>
          <w:rFonts w:ascii="Times New Roman" w:hAnsi="Times New Roman" w:cs="Times New Roman"/>
          <w:b/>
          <w:sz w:val="21"/>
          <w:szCs w:val="21"/>
        </w:rPr>
      </w:pPr>
      <w:r w:rsidRPr="00A469AF">
        <w:rPr>
          <w:rFonts w:ascii="Times New Roman" w:hAnsi="Times New Roman" w:cs="Times New Roman"/>
          <w:b/>
          <w:sz w:val="21"/>
          <w:szCs w:val="21"/>
        </w:rPr>
        <w:t>Рис. 4.26 Напрями використання грошових переказів домогосподарствами трудових мігрантів в Україні [</w:t>
      </w:r>
      <w:r>
        <w:rPr>
          <w:rFonts w:ascii="Times New Roman" w:hAnsi="Times New Roman" w:cs="Times New Roman"/>
          <w:sz w:val="21"/>
          <w:szCs w:val="21"/>
          <w:highlight w:val="yellow"/>
          <w:lang w:val="en-US"/>
        </w:rPr>
        <w:fldChar w:fldCharType="begin"/>
      </w:r>
      <w:r>
        <w:rPr>
          <w:rFonts w:ascii="Times New Roman" w:hAnsi="Times New Roman" w:cs="Times New Roman"/>
          <w:b/>
          <w:sz w:val="21"/>
          <w:szCs w:val="21"/>
        </w:rPr>
        <w:instrText xml:space="preserve"> REF _Ref435186992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b/>
          <w:sz w:val="21"/>
          <w:szCs w:val="21"/>
        </w:rPr>
        <w:t>103</w:t>
      </w:r>
      <w:r>
        <w:rPr>
          <w:rFonts w:ascii="Times New Roman" w:hAnsi="Times New Roman" w:cs="Times New Roman"/>
          <w:sz w:val="21"/>
          <w:szCs w:val="21"/>
          <w:highlight w:val="yellow"/>
          <w:lang w:val="en-US"/>
        </w:rPr>
        <w:fldChar w:fldCharType="end"/>
      </w:r>
      <w:r w:rsidRPr="00A469AF">
        <w:rPr>
          <w:rFonts w:ascii="Times New Roman" w:hAnsi="Times New Roman" w:cs="Times New Roman"/>
          <w:b/>
          <w:sz w:val="21"/>
          <w:szCs w:val="21"/>
        </w:rPr>
        <w:t xml:space="preserve">, </w:t>
      </w:r>
      <w:r w:rsidRPr="00A469AF">
        <w:rPr>
          <w:rFonts w:ascii="Times New Roman" w:hAnsi="Times New Roman" w:cs="Times New Roman"/>
          <w:b/>
          <w:sz w:val="21"/>
          <w:szCs w:val="21"/>
          <w:lang w:val="en-US"/>
        </w:rPr>
        <w:t>c</w:t>
      </w:r>
      <w:r w:rsidRPr="00A469AF">
        <w:rPr>
          <w:rFonts w:ascii="Times New Roman" w:hAnsi="Times New Roman" w:cs="Times New Roman"/>
          <w:b/>
          <w:sz w:val="21"/>
          <w:szCs w:val="21"/>
        </w:rPr>
        <w:t>. 53]</w:t>
      </w:r>
    </w:p>
    <w:p w:rsidR="00B233DE" w:rsidRPr="00A60F41" w:rsidRDefault="00B233DE" w:rsidP="00B233DE">
      <w:pPr>
        <w:ind w:firstLine="709"/>
        <w:jc w:val="both"/>
        <w:rPr>
          <w:rFonts w:ascii="Times New Roman" w:hAnsi="Times New Roman" w:cs="Times New Roman"/>
          <w:sz w:val="21"/>
          <w:szCs w:val="21"/>
        </w:rPr>
      </w:pPr>
    </w:p>
    <w:p w:rsidR="00B233DE" w:rsidRPr="00A60F41"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 xml:space="preserve">Особливістю позиціонування України в світових міграційних процесах є її географічне становище, що зумовлює проходження через територію країни міграційних шляхів із слаборозвинутих країн Сходу і Півдня до високорозвинутого Заходу. Це посилює роль України як однієї з основних транзитних країн світу і водночас ускладнює завдання ефективного управління міграційними потоками задля розвитку та збереження людського потенціалу. </w:t>
      </w:r>
      <w:r w:rsidRPr="00A60F41">
        <w:rPr>
          <w:rFonts w:ascii="Times New Roman" w:hAnsi="Times New Roman" w:cs="Times New Roman"/>
          <w:spacing w:val="-4"/>
          <w:sz w:val="21"/>
          <w:szCs w:val="21"/>
        </w:rPr>
        <w:t>Територія України знаходиться на основному Центральноєвропейському маршруті нелегальної міграції, що є одним з п’яти основних маршрутів глобальної нелегальної міграції та використовується мігрантами з Далекого та Близького Сходу, Південно-Східної Азії та СНД для проникнення в країни ЄС [</w:t>
      </w:r>
      <w:r>
        <w:rPr>
          <w:rFonts w:ascii="Times New Roman" w:hAnsi="Times New Roman" w:cs="Times New Roman"/>
          <w:sz w:val="21"/>
          <w:szCs w:val="21"/>
          <w:highlight w:val="yellow"/>
        </w:rPr>
        <w:fldChar w:fldCharType="begin"/>
      </w:r>
      <w:r>
        <w:rPr>
          <w:rFonts w:ascii="Times New Roman" w:hAnsi="Times New Roman" w:cs="Times New Roman"/>
          <w:spacing w:val="-4"/>
          <w:sz w:val="21"/>
          <w:szCs w:val="21"/>
        </w:rPr>
        <w:instrText xml:space="preserve"> REF _Ref435186429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pacing w:val="-4"/>
          <w:sz w:val="21"/>
          <w:szCs w:val="21"/>
        </w:rPr>
        <w:t>61</w:t>
      </w:r>
      <w:r>
        <w:rPr>
          <w:rFonts w:ascii="Times New Roman" w:hAnsi="Times New Roman" w:cs="Times New Roman"/>
          <w:sz w:val="21"/>
          <w:szCs w:val="21"/>
          <w:highlight w:val="yellow"/>
        </w:rPr>
        <w:fldChar w:fldCharType="end"/>
      </w:r>
      <w:r w:rsidRPr="00A60F41">
        <w:rPr>
          <w:rFonts w:ascii="Times New Roman" w:hAnsi="Times New Roman" w:cs="Times New Roman"/>
          <w:spacing w:val="-4"/>
          <w:sz w:val="21"/>
          <w:szCs w:val="21"/>
        </w:rPr>
        <w:t xml:space="preserve">, </w:t>
      </w:r>
      <w:r w:rsidRPr="00A60F41">
        <w:rPr>
          <w:rFonts w:ascii="Times New Roman" w:hAnsi="Times New Roman" w:cs="Times New Roman"/>
          <w:spacing w:val="-4"/>
          <w:sz w:val="21"/>
          <w:szCs w:val="21"/>
          <w:lang w:val="en-US"/>
        </w:rPr>
        <w:t>c</w:t>
      </w:r>
      <w:r w:rsidRPr="00A60F41">
        <w:rPr>
          <w:rFonts w:ascii="Times New Roman" w:hAnsi="Times New Roman" w:cs="Times New Roman"/>
          <w:spacing w:val="-4"/>
          <w:sz w:val="21"/>
          <w:szCs w:val="21"/>
        </w:rPr>
        <w:t>.</w:t>
      </w:r>
      <w:r w:rsidRPr="00A60F41">
        <w:rPr>
          <w:rFonts w:ascii="Times New Roman" w:hAnsi="Times New Roman" w:cs="Times New Roman"/>
          <w:spacing w:val="-4"/>
          <w:sz w:val="21"/>
          <w:szCs w:val="21"/>
          <w:lang w:val="en-US"/>
        </w:rPr>
        <w:t> </w:t>
      </w:r>
      <w:r w:rsidRPr="00A60F41">
        <w:rPr>
          <w:rFonts w:ascii="Times New Roman" w:hAnsi="Times New Roman" w:cs="Times New Roman"/>
          <w:spacing w:val="-4"/>
          <w:sz w:val="21"/>
          <w:szCs w:val="21"/>
        </w:rPr>
        <w:t>61].</w:t>
      </w:r>
    </w:p>
    <w:p w:rsidR="00B233DE" w:rsidRPr="00A60F41" w:rsidRDefault="00B233DE" w:rsidP="00B233DE">
      <w:pPr>
        <w:ind w:firstLine="709"/>
        <w:jc w:val="both"/>
        <w:rPr>
          <w:rFonts w:ascii="Times New Roman" w:hAnsi="Times New Roman" w:cs="Times New Roman"/>
          <w:spacing w:val="-4"/>
          <w:sz w:val="21"/>
          <w:szCs w:val="21"/>
        </w:rPr>
      </w:pPr>
      <w:r w:rsidRPr="00A60F41">
        <w:rPr>
          <w:rFonts w:ascii="Times New Roman" w:hAnsi="Times New Roman" w:cs="Times New Roman"/>
          <w:spacing w:val="-4"/>
          <w:sz w:val="21"/>
          <w:szCs w:val="21"/>
        </w:rPr>
        <w:t xml:space="preserve">Набуття спільного кордону з ЄС після розширення даного інтеграційного об’єднання у 2004 і 2007 роках і одночасне існування безвізового режиму з Російською Федерацією, Білоруссю і Молдовою посилило інтенсивність транзитних потоків нелегальних мігрантів через нашу країну, перш за все, у азійсько-європейському напрямку. </w:t>
      </w:r>
      <w:r w:rsidRPr="00A60F41">
        <w:rPr>
          <w:rFonts w:ascii="Times New Roman" w:hAnsi="Times New Roman" w:cs="Times New Roman"/>
          <w:spacing w:val="-4"/>
          <w:sz w:val="21"/>
          <w:szCs w:val="21"/>
        </w:rPr>
        <w:lastRenderedPageBreak/>
        <w:t>Головними країнами походження нелегальних мігрантів є країни Азії та Африки: Афганістан, Китай, Пакистан, Грузія, Узбекистан, Індія, Сомалі, Єгипет, Ірак [</w:t>
      </w:r>
      <w:r>
        <w:rPr>
          <w:rStyle w:val="HTML1"/>
          <w:rFonts w:ascii="Times New Roman" w:hAnsi="Times New Roman" w:cs="Times New Roman"/>
          <w:i w:val="0"/>
          <w:sz w:val="21"/>
          <w:szCs w:val="21"/>
          <w:highlight w:val="yellow"/>
        </w:rPr>
        <w:fldChar w:fldCharType="begin"/>
      </w:r>
      <w:r>
        <w:rPr>
          <w:rFonts w:ascii="Times New Roman" w:hAnsi="Times New Roman" w:cs="Times New Roman"/>
          <w:spacing w:val="-4"/>
          <w:sz w:val="21"/>
          <w:szCs w:val="21"/>
        </w:rPr>
        <w:instrText xml:space="preserve"> REF _Ref435187568 \r \h </w:instrText>
      </w:r>
      <w:r>
        <w:rPr>
          <w:rStyle w:val="HTML1"/>
          <w:rFonts w:ascii="Times New Roman" w:hAnsi="Times New Roman" w:cs="Times New Roman"/>
          <w:i w:val="0"/>
          <w:sz w:val="21"/>
          <w:szCs w:val="21"/>
          <w:highlight w:val="yellow"/>
        </w:rPr>
      </w:r>
      <w:r>
        <w:rPr>
          <w:rStyle w:val="HTML1"/>
          <w:rFonts w:ascii="Times New Roman" w:hAnsi="Times New Roman" w:cs="Times New Roman"/>
          <w:i w:val="0"/>
          <w:sz w:val="21"/>
          <w:szCs w:val="21"/>
          <w:highlight w:val="yellow"/>
        </w:rPr>
        <w:fldChar w:fldCharType="separate"/>
      </w:r>
      <w:r>
        <w:rPr>
          <w:rFonts w:ascii="Times New Roman" w:hAnsi="Times New Roman" w:cs="Times New Roman"/>
          <w:spacing w:val="-4"/>
          <w:sz w:val="21"/>
          <w:szCs w:val="21"/>
        </w:rPr>
        <w:t>15</w:t>
      </w:r>
      <w:r>
        <w:rPr>
          <w:rStyle w:val="HTML1"/>
          <w:rFonts w:ascii="Times New Roman" w:hAnsi="Times New Roman" w:cs="Times New Roman"/>
          <w:i w:val="0"/>
          <w:sz w:val="21"/>
          <w:szCs w:val="21"/>
          <w:highlight w:val="yellow"/>
        </w:rPr>
        <w:fldChar w:fldCharType="end"/>
      </w:r>
      <w:r w:rsidRPr="00A60F41">
        <w:rPr>
          <w:rFonts w:ascii="Times New Roman" w:hAnsi="Times New Roman" w:cs="Times New Roman"/>
          <w:spacing w:val="-4"/>
          <w:sz w:val="21"/>
          <w:szCs w:val="21"/>
        </w:rPr>
        <w:t>].</w:t>
      </w:r>
    </w:p>
    <w:p w:rsidR="00B233DE" w:rsidRPr="00A60F41"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Варто зазначити, що жорстка імміграційна політика країн ЄС змушує більшість нелегальних транзитних мігрантів залишатись в Україні. Договір про реадмісію між Україною та ЄС, що передбачає повернення затриманих осіб, які нелегально перетинають кордон України з ЄС, назад в Україну, за відсутності подібних договорів нашої країни з країнами походження нелегальних мігрантів, сприяє збільшенню їх кількості. Крім транзитних, іншими групами нелегальних мігрантів в Україні є: іноземні студенти – випускники вузів, що не бажають повертатись в країну походження; іноземні працівники, що протягом визначеного часу працювали на підприємстві згідно трудового контракту, дія якого закінчилась, і які не бажають повертатись в країну походження. З огляду на це, легалізація та інтеграція іммігрантів постає першочерговим заходом кількісного та якісного поповнення людського потенціалу розвинутих країн, в яких депопуляційні тенденції компенсуються стабільним міграційним припливом працездатного населення, що сприяє збільшенню його чисельності та позитивно впливає на вікову структуру. За умов додатного міграційного приросту частка молоді в структурі населення зростає, відповідно, з часом збільшується народжуваність і зменшується смертність, особливо після прибуття вихідців з країн з традиційно високою народжуваністю.</w:t>
      </w:r>
    </w:p>
    <w:p w:rsidR="00B233DE" w:rsidRPr="00A60F41"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В Україні на сьогодні міграційний приріст є недостатнім для компенсації природного скорочення насе</w:t>
      </w:r>
      <w:r>
        <w:rPr>
          <w:rFonts w:ascii="Times New Roman" w:hAnsi="Times New Roman" w:cs="Times New Roman"/>
          <w:sz w:val="21"/>
          <w:szCs w:val="21"/>
        </w:rPr>
        <w:t>лення</w:t>
      </w:r>
      <w:r w:rsidRPr="00A60F41">
        <w:rPr>
          <w:rFonts w:ascii="Times New Roman" w:hAnsi="Times New Roman" w:cs="Times New Roman"/>
          <w:sz w:val="21"/>
          <w:szCs w:val="21"/>
        </w:rPr>
        <w:t>, що зумовлено низькими показниками соціально-економічного розвитку, які зменшують міграційну привабливість країни. Згідно до Індексу потенційної міграції, розрахованому МОМ у 2011 році, що вимірює різницю між кількістю осіб, бажаючих в’їхати в країну та осіб, бажаючих за можливості виїхати з неї, як частку від загальної кількості населення, Україна займає середнє значення (від -5</w:t>
      </w:r>
      <w:r>
        <w:rPr>
          <w:rFonts w:ascii="Times New Roman" w:hAnsi="Times New Roman" w:cs="Times New Roman"/>
          <w:sz w:val="21"/>
          <w:szCs w:val="21"/>
        </w:rPr>
        <w:t xml:space="preserve"> </w:t>
      </w:r>
      <w:r w:rsidRPr="00A60F41">
        <w:rPr>
          <w:rFonts w:ascii="Times New Roman" w:hAnsi="Times New Roman" w:cs="Times New Roman"/>
          <w:sz w:val="21"/>
          <w:szCs w:val="21"/>
        </w:rPr>
        <w:t>% до 4</w:t>
      </w:r>
      <w:r>
        <w:rPr>
          <w:rFonts w:ascii="Times New Roman" w:hAnsi="Times New Roman" w:cs="Times New Roman"/>
          <w:sz w:val="21"/>
          <w:szCs w:val="21"/>
        </w:rPr>
        <w:t> </w:t>
      </w:r>
      <w:r w:rsidRPr="00A60F41">
        <w:rPr>
          <w:rFonts w:ascii="Times New Roman" w:hAnsi="Times New Roman" w:cs="Times New Roman"/>
          <w:sz w:val="21"/>
          <w:szCs w:val="21"/>
        </w:rPr>
        <w:t>%) [</w:t>
      </w:r>
      <w:r>
        <w:rPr>
          <w:rFonts w:ascii="Times New Roman" w:hAnsi="Times New Roman" w:cs="Times New Roman"/>
          <w:bCs/>
          <w:sz w:val="21"/>
          <w:szCs w:val="21"/>
          <w:highlight w:val="yellow"/>
          <w:lang w:val="en-US"/>
        </w:rPr>
        <w:fldChar w:fldCharType="begin"/>
      </w:r>
      <w:r>
        <w:rPr>
          <w:rFonts w:ascii="Times New Roman" w:hAnsi="Times New Roman" w:cs="Times New Roman"/>
          <w:sz w:val="21"/>
          <w:szCs w:val="21"/>
        </w:rPr>
        <w:instrText xml:space="preserve"> REF _Ref435187438 \r \h </w:instrText>
      </w:r>
      <w:r>
        <w:rPr>
          <w:rFonts w:ascii="Times New Roman" w:hAnsi="Times New Roman" w:cs="Times New Roman"/>
          <w:bCs/>
          <w:sz w:val="21"/>
          <w:szCs w:val="21"/>
          <w:highlight w:val="yellow"/>
          <w:lang w:val="en-US"/>
        </w:rPr>
      </w:r>
      <w:r>
        <w:rPr>
          <w:rFonts w:ascii="Times New Roman" w:hAnsi="Times New Roman" w:cs="Times New Roman"/>
          <w:bCs/>
          <w:sz w:val="21"/>
          <w:szCs w:val="21"/>
          <w:highlight w:val="yellow"/>
          <w:lang w:val="en-US"/>
        </w:rPr>
        <w:fldChar w:fldCharType="separate"/>
      </w:r>
      <w:r>
        <w:rPr>
          <w:rFonts w:ascii="Times New Roman" w:hAnsi="Times New Roman" w:cs="Times New Roman"/>
          <w:sz w:val="21"/>
          <w:szCs w:val="21"/>
        </w:rPr>
        <w:t>74</w:t>
      </w:r>
      <w:r>
        <w:rPr>
          <w:rFonts w:ascii="Times New Roman" w:hAnsi="Times New Roman" w:cs="Times New Roman"/>
          <w:bCs/>
          <w:sz w:val="21"/>
          <w:szCs w:val="21"/>
          <w:highlight w:val="yellow"/>
          <w:lang w:val="en-US"/>
        </w:rPr>
        <w:fldChar w:fldCharType="end"/>
      </w:r>
      <w:r w:rsidRPr="00A60F41">
        <w:rPr>
          <w:rFonts w:ascii="Times New Roman" w:hAnsi="Times New Roman" w:cs="Times New Roman"/>
          <w:sz w:val="21"/>
          <w:szCs w:val="21"/>
        </w:rPr>
        <w:t>]. Такі показники відповідають сучасній ролі України як одночасно країни походження і призначення мігрантів. Проте, можна зробити висновок, що країна поступово набуває імміграційного потенціалу до 4</w:t>
      </w:r>
      <w:r>
        <w:rPr>
          <w:rFonts w:ascii="Times New Roman" w:hAnsi="Times New Roman" w:cs="Times New Roman"/>
          <w:sz w:val="21"/>
          <w:szCs w:val="21"/>
        </w:rPr>
        <w:t> </w:t>
      </w:r>
      <w:r w:rsidRPr="00A60F41">
        <w:rPr>
          <w:rFonts w:ascii="Times New Roman" w:hAnsi="Times New Roman" w:cs="Times New Roman"/>
          <w:sz w:val="21"/>
          <w:szCs w:val="21"/>
        </w:rPr>
        <w:t xml:space="preserve">% від загальної кількості населення. В перспективі саме імміграція може стати реальним джерелом поповнення людського потенціалу країни. В цьому </w:t>
      </w:r>
      <w:r w:rsidRPr="00A60F41">
        <w:rPr>
          <w:rFonts w:ascii="Times New Roman" w:hAnsi="Times New Roman" w:cs="Times New Roman"/>
          <w:sz w:val="21"/>
          <w:szCs w:val="21"/>
        </w:rPr>
        <w:lastRenderedPageBreak/>
        <w:t>напрямку виникає проблема формування і використання освітньо-кваліфікаційної складової людського потенціалу іммігрантів, вирішити яку можна цілеспрямованими заходами міграційної політики: за допомогою їх адаптації та інтеграції в українське суспільство, освіти, підвищення кваліфікації і працевлаштування. Особливістю імміграції в Україні є «імміг</w:t>
      </w:r>
      <w:r>
        <w:rPr>
          <w:rFonts w:ascii="Times New Roman" w:hAnsi="Times New Roman" w:cs="Times New Roman"/>
          <w:sz w:val="21"/>
          <w:szCs w:val="21"/>
        </w:rPr>
        <w:t xml:space="preserve">рація без розвитку іммігрантів» </w:t>
      </w:r>
      <w:r w:rsidRPr="00A60F41">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_Ref435188122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27</w:t>
      </w:r>
      <w:r>
        <w:rPr>
          <w:rFonts w:ascii="Times New Roman" w:hAnsi="Times New Roman" w:cs="Times New Roman"/>
          <w:sz w:val="21"/>
          <w:szCs w:val="21"/>
          <w:highlight w:val="yellow"/>
        </w:rPr>
        <w:fldChar w:fldCharType="end"/>
      </w:r>
      <w:r w:rsidRPr="00A60F41">
        <w:rPr>
          <w:rFonts w:ascii="Times New Roman" w:hAnsi="Times New Roman" w:cs="Times New Roman"/>
          <w:sz w:val="21"/>
          <w:szCs w:val="21"/>
        </w:rPr>
        <w:t>], тобто рівень освіти мігрантів є доволі низьким для задоволення освітньо-кваліфікаційної потреби ринку праці країни. Фактично, на сучасному етапі вихідці з інших країн здатні підвищити лише демографічну складову людського потенціалу країни. Тому для заповнення вакансій на дефіцитні професії необхідне відповідне навчання та підвищення кваліфікації іммігрантів. Досвід США показує, що не зважаючи на те що значні обсяги іммігрантів першого покоління традиційно займали нижчі соціально-економічні позиції, друге покоління іммігрантів характеризувалось значним прогресом у володінні мовою, соціально-економічних досягненнях, набуті громадянства, політичній участі, соціальному житті та покращенні житлових ум</w:t>
      </w:r>
      <w:r>
        <w:rPr>
          <w:rFonts w:ascii="Times New Roman" w:hAnsi="Times New Roman" w:cs="Times New Roman"/>
          <w:sz w:val="21"/>
          <w:szCs w:val="21"/>
        </w:rPr>
        <w:t xml:space="preserve">ов порівняно зі своїми батьками </w:t>
      </w:r>
      <w:r w:rsidRPr="00A60F41">
        <w:rPr>
          <w:rFonts w:ascii="Times New Roman" w:hAnsi="Times New Roman" w:cs="Times New Roman"/>
          <w:sz w:val="21"/>
          <w:szCs w:val="21"/>
        </w:rPr>
        <w:t>[</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_Ref435188136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73</w:t>
      </w:r>
      <w:r>
        <w:rPr>
          <w:rFonts w:ascii="Times New Roman" w:hAnsi="Times New Roman" w:cs="Times New Roman"/>
          <w:sz w:val="21"/>
          <w:szCs w:val="21"/>
          <w:highlight w:val="yellow"/>
          <w:lang w:val="en-US"/>
        </w:rPr>
        <w:fldChar w:fldCharType="end"/>
      </w:r>
      <w:r w:rsidRPr="00A60F41">
        <w:rPr>
          <w:rFonts w:ascii="Times New Roman" w:hAnsi="Times New Roman" w:cs="Times New Roman"/>
          <w:sz w:val="21"/>
          <w:szCs w:val="21"/>
        </w:rPr>
        <w:t>]. Працевлаштування іммігрантів є основою ефективного використання їх людського потенціалу.</w:t>
      </w:r>
    </w:p>
    <w:p w:rsidR="00B233DE"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Ефективним джерелом накопичення освітньо-кваліфікаційного потенціалу є залучення і подальше працевлаштування іноземних студентів (рис. 4.</w:t>
      </w:r>
      <w:r>
        <w:rPr>
          <w:rFonts w:ascii="Times New Roman" w:hAnsi="Times New Roman" w:cs="Times New Roman"/>
          <w:sz w:val="21"/>
          <w:szCs w:val="21"/>
        </w:rPr>
        <w:t>2</w:t>
      </w:r>
      <w:r w:rsidRPr="00A60F41">
        <w:rPr>
          <w:rFonts w:ascii="Times New Roman" w:hAnsi="Times New Roman" w:cs="Times New Roman"/>
          <w:sz w:val="21"/>
          <w:szCs w:val="21"/>
        </w:rPr>
        <w:t>7). Їх кількість в Україні з кожним роком зростає: у 2013 році близько 60 тис. іноземних студентів вступило до українських навчальних закладів, що на 44</w:t>
      </w:r>
      <w:r>
        <w:rPr>
          <w:rFonts w:ascii="Times New Roman" w:hAnsi="Times New Roman" w:cs="Times New Roman"/>
          <w:sz w:val="21"/>
          <w:szCs w:val="21"/>
        </w:rPr>
        <w:t xml:space="preserve"> </w:t>
      </w:r>
      <w:r w:rsidRPr="00A60F41">
        <w:rPr>
          <w:rFonts w:ascii="Times New Roman" w:hAnsi="Times New Roman" w:cs="Times New Roman"/>
          <w:sz w:val="21"/>
          <w:szCs w:val="21"/>
        </w:rPr>
        <w:t>% більше ніж у 2005 році [</w:t>
      </w:r>
      <w:r>
        <w:rPr>
          <w:rFonts w:ascii="Times New Roman" w:hAnsi="Times New Roman" w:cs="Times New Roman"/>
          <w:bCs/>
          <w:spacing w:val="-2"/>
          <w:sz w:val="21"/>
          <w:szCs w:val="21"/>
          <w:highlight w:val="yellow"/>
          <w:lang w:val="en-US"/>
        </w:rPr>
        <w:fldChar w:fldCharType="begin"/>
      </w:r>
      <w:r>
        <w:rPr>
          <w:rFonts w:ascii="Times New Roman" w:hAnsi="Times New Roman" w:cs="Times New Roman"/>
          <w:sz w:val="21"/>
          <w:szCs w:val="21"/>
        </w:rPr>
        <w:instrText xml:space="preserve"> REF _Ref435187601 \r \h </w:instrText>
      </w:r>
      <w:r>
        <w:rPr>
          <w:rFonts w:ascii="Times New Roman" w:hAnsi="Times New Roman" w:cs="Times New Roman"/>
          <w:bCs/>
          <w:spacing w:val="-2"/>
          <w:sz w:val="21"/>
          <w:szCs w:val="21"/>
          <w:highlight w:val="yellow"/>
          <w:lang w:val="en-US"/>
        </w:rPr>
      </w:r>
      <w:r>
        <w:rPr>
          <w:rFonts w:ascii="Times New Roman" w:hAnsi="Times New Roman" w:cs="Times New Roman"/>
          <w:bCs/>
          <w:spacing w:val="-2"/>
          <w:sz w:val="21"/>
          <w:szCs w:val="21"/>
          <w:highlight w:val="yellow"/>
          <w:lang w:val="en-US"/>
        </w:rPr>
        <w:fldChar w:fldCharType="separate"/>
      </w:r>
      <w:r>
        <w:rPr>
          <w:rFonts w:ascii="Times New Roman" w:hAnsi="Times New Roman" w:cs="Times New Roman"/>
          <w:sz w:val="21"/>
          <w:szCs w:val="21"/>
        </w:rPr>
        <w:t>92</w:t>
      </w:r>
      <w:r>
        <w:rPr>
          <w:rFonts w:ascii="Times New Roman" w:hAnsi="Times New Roman" w:cs="Times New Roman"/>
          <w:bCs/>
          <w:spacing w:val="-2"/>
          <w:sz w:val="21"/>
          <w:szCs w:val="21"/>
          <w:highlight w:val="yellow"/>
          <w:lang w:val="en-US"/>
        </w:rPr>
        <w:fldChar w:fldCharType="end"/>
      </w:r>
      <w:r w:rsidRPr="00A60F41">
        <w:rPr>
          <w:rFonts w:ascii="Times New Roman" w:hAnsi="Times New Roman" w:cs="Times New Roman"/>
          <w:sz w:val="21"/>
          <w:szCs w:val="21"/>
        </w:rPr>
        <w:t>,</w:t>
      </w:r>
      <w:r>
        <w:rPr>
          <w:rFonts w:ascii="Times New Roman" w:hAnsi="Times New Roman" w:cs="Times New Roman"/>
          <w:sz w:val="21"/>
          <w:szCs w:val="21"/>
        </w:rPr>
        <w:t xml:space="preserve"> </w:t>
      </w:r>
      <w:r w:rsidRPr="00A60F41">
        <w:rPr>
          <w:rFonts w:ascii="Times New Roman" w:hAnsi="Times New Roman" w:cs="Times New Roman"/>
          <w:sz w:val="21"/>
          <w:szCs w:val="21"/>
          <w:lang w:val="en-US"/>
        </w:rPr>
        <w:t>c</w:t>
      </w:r>
      <w:r w:rsidRPr="00A60F41">
        <w:rPr>
          <w:rFonts w:ascii="Times New Roman" w:hAnsi="Times New Roman" w:cs="Times New Roman"/>
          <w:sz w:val="21"/>
          <w:szCs w:val="21"/>
        </w:rPr>
        <w:t>.</w:t>
      </w:r>
      <w:r>
        <w:rPr>
          <w:rFonts w:ascii="Times New Roman" w:hAnsi="Times New Roman" w:cs="Times New Roman"/>
          <w:sz w:val="21"/>
          <w:szCs w:val="21"/>
        </w:rPr>
        <w:t xml:space="preserve"> </w:t>
      </w:r>
      <w:r w:rsidRPr="00A60F41">
        <w:rPr>
          <w:rFonts w:ascii="Times New Roman" w:hAnsi="Times New Roman" w:cs="Times New Roman"/>
          <w:sz w:val="21"/>
          <w:szCs w:val="21"/>
        </w:rPr>
        <w:t xml:space="preserve">6,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_Ref435187801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62</w:t>
      </w:r>
      <w:r>
        <w:rPr>
          <w:rFonts w:ascii="Times New Roman" w:hAnsi="Times New Roman" w:cs="Times New Roman"/>
          <w:sz w:val="21"/>
          <w:szCs w:val="21"/>
          <w:highlight w:val="yellow"/>
        </w:rPr>
        <w:fldChar w:fldCharType="end"/>
      </w:r>
      <w:r w:rsidRPr="00A60F41">
        <w:rPr>
          <w:rFonts w:ascii="Times New Roman" w:hAnsi="Times New Roman" w:cs="Times New Roman"/>
          <w:sz w:val="21"/>
          <w:szCs w:val="21"/>
        </w:rPr>
        <w:t>, с. 32].</w:t>
      </w:r>
    </w:p>
    <w:p w:rsidR="00B233DE"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На користь використання переваг освітньої міграції свідчить постійне зростання місткості світового ринку освіти (за оцінками СОТ, 50</w:t>
      </w:r>
      <w:r>
        <w:rPr>
          <w:rFonts w:ascii="Times New Roman" w:hAnsi="Times New Roman" w:cs="Times New Roman"/>
          <w:sz w:val="21"/>
          <w:szCs w:val="21"/>
        </w:rPr>
        <w:t>–</w:t>
      </w:r>
      <w:r w:rsidRPr="00A60F41">
        <w:rPr>
          <w:rFonts w:ascii="Times New Roman" w:hAnsi="Times New Roman" w:cs="Times New Roman"/>
          <w:sz w:val="21"/>
          <w:szCs w:val="21"/>
        </w:rPr>
        <w:t>60 млрд. дол.). Лідером на цьому ринку є США, прибуток яких від залучення іноземних студентів у 15 разів перевищує витрати уряду на їх освіту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_Ref435188186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17</w:t>
      </w:r>
      <w:r>
        <w:rPr>
          <w:rFonts w:ascii="Times New Roman" w:hAnsi="Times New Roman" w:cs="Times New Roman"/>
          <w:sz w:val="21"/>
          <w:szCs w:val="21"/>
          <w:highlight w:val="yellow"/>
        </w:rPr>
        <w:fldChar w:fldCharType="end"/>
      </w:r>
      <w:r w:rsidRPr="00A60F41">
        <w:rPr>
          <w:rFonts w:ascii="Times New Roman" w:hAnsi="Times New Roman" w:cs="Times New Roman"/>
          <w:sz w:val="21"/>
          <w:szCs w:val="21"/>
        </w:rPr>
        <w:t>,</w:t>
      </w:r>
      <w:r>
        <w:rPr>
          <w:rFonts w:ascii="Times New Roman" w:hAnsi="Times New Roman" w:cs="Times New Roman"/>
          <w:sz w:val="21"/>
          <w:szCs w:val="21"/>
        </w:rPr>
        <w:t xml:space="preserve"> </w:t>
      </w:r>
      <w:r w:rsidRPr="00A60F41">
        <w:rPr>
          <w:rFonts w:ascii="Times New Roman" w:hAnsi="Times New Roman" w:cs="Times New Roman"/>
          <w:sz w:val="21"/>
          <w:szCs w:val="21"/>
          <w:lang w:val="en-US"/>
        </w:rPr>
        <w:t>c</w:t>
      </w:r>
      <w:r w:rsidRPr="00A60F41">
        <w:rPr>
          <w:rFonts w:ascii="Times New Roman" w:hAnsi="Times New Roman" w:cs="Times New Roman"/>
          <w:sz w:val="21"/>
          <w:szCs w:val="21"/>
        </w:rPr>
        <w:t>.</w:t>
      </w:r>
      <w:r>
        <w:rPr>
          <w:rFonts w:ascii="Times New Roman" w:hAnsi="Times New Roman" w:cs="Times New Roman"/>
          <w:sz w:val="21"/>
          <w:szCs w:val="21"/>
        </w:rPr>
        <w:t xml:space="preserve"> </w:t>
      </w:r>
      <w:r w:rsidRPr="00A60F41">
        <w:rPr>
          <w:rFonts w:ascii="Times New Roman" w:hAnsi="Times New Roman" w:cs="Times New Roman"/>
          <w:sz w:val="21"/>
          <w:szCs w:val="21"/>
        </w:rPr>
        <w:t>395]. Щорічне зростання кількості іноземних студентів в Україні свідчить про доцільність використання їх людського потенціалу для задоволення потреби ринку праці у висококваліфікованих працівниках та соціально-економічного розвитку країни загалом.</w:t>
      </w: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Pr="00A469AF" w:rsidRDefault="00B233DE" w:rsidP="00B233DE">
      <w:pPr>
        <w:ind w:firstLine="284"/>
        <w:jc w:val="both"/>
        <w:rPr>
          <w:rFonts w:ascii="Times New Roman" w:hAnsi="Times New Roman" w:cs="Times New Roman"/>
          <w:sz w:val="2"/>
          <w:szCs w:val="2"/>
        </w:rPr>
      </w:pPr>
      <w:r w:rsidRPr="00A60F41">
        <w:rPr>
          <w:rFonts w:ascii="Times New Roman" w:hAnsi="Times New Roman" w:cs="Times New Roman"/>
          <w:noProof/>
          <w:sz w:val="21"/>
          <w:szCs w:val="21"/>
          <w:lang w:val="ru-RU" w:eastAsia="ru-RU"/>
        </w:rPr>
        <w:lastRenderedPageBreak/>
        <w:drawing>
          <wp:inline distT="0" distB="0" distL="0" distR="0" wp14:anchorId="4D278986" wp14:editId="00D3B1E0">
            <wp:extent cx="3977625" cy="2861733"/>
            <wp:effectExtent l="0" t="0" r="0" b="0"/>
            <wp:docPr id="1384" name="Рисунок 1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3981450" cy="2864485"/>
                    </a:xfrm>
                    <a:prstGeom prst="rect">
                      <a:avLst/>
                    </a:prstGeom>
                    <a:noFill/>
                    <a:ln>
                      <a:noFill/>
                    </a:ln>
                  </pic:spPr>
                </pic:pic>
              </a:graphicData>
            </a:graphic>
          </wp:inline>
        </w:drawing>
      </w:r>
      <w:r w:rsidRPr="00A60F41">
        <w:rPr>
          <w:rFonts w:ascii="Times New Roman" w:hAnsi="Times New Roman" w:cs="Times New Roman"/>
          <w:sz w:val="21"/>
          <w:szCs w:val="21"/>
        </w:rPr>
        <w:t xml:space="preserve"> </w:t>
      </w:r>
    </w:p>
    <w:p w:rsidR="00B233DE" w:rsidRPr="00A469AF" w:rsidRDefault="00B233DE" w:rsidP="00B233DE">
      <w:pPr>
        <w:ind w:firstLine="709"/>
        <w:jc w:val="center"/>
        <w:rPr>
          <w:rFonts w:ascii="Times New Roman" w:hAnsi="Times New Roman" w:cs="Times New Roman"/>
          <w:b/>
          <w:sz w:val="21"/>
          <w:szCs w:val="21"/>
        </w:rPr>
      </w:pPr>
      <w:r w:rsidRPr="00A469AF">
        <w:rPr>
          <w:rFonts w:ascii="Times New Roman" w:hAnsi="Times New Roman" w:cs="Times New Roman"/>
          <w:b/>
          <w:sz w:val="21"/>
          <w:szCs w:val="21"/>
        </w:rPr>
        <w:t>Рис. 4.27. Чисельність іноземних студентів в Україні, тис. осіб [</w:t>
      </w:r>
      <w:r>
        <w:rPr>
          <w:rFonts w:ascii="Times New Roman" w:hAnsi="Times New Roman" w:cs="Times New Roman"/>
          <w:sz w:val="21"/>
          <w:szCs w:val="21"/>
          <w:highlight w:val="yellow"/>
        </w:rPr>
        <w:fldChar w:fldCharType="begin"/>
      </w:r>
      <w:r>
        <w:rPr>
          <w:rFonts w:ascii="Times New Roman" w:hAnsi="Times New Roman" w:cs="Times New Roman"/>
          <w:b/>
          <w:sz w:val="21"/>
          <w:szCs w:val="21"/>
        </w:rPr>
        <w:instrText xml:space="preserve"> REF _Ref435187896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b/>
          <w:sz w:val="21"/>
          <w:szCs w:val="21"/>
        </w:rPr>
        <w:t>34</w:t>
      </w:r>
      <w:r>
        <w:rPr>
          <w:rFonts w:ascii="Times New Roman" w:hAnsi="Times New Roman" w:cs="Times New Roman"/>
          <w:sz w:val="21"/>
          <w:szCs w:val="21"/>
          <w:highlight w:val="yellow"/>
        </w:rPr>
        <w:fldChar w:fldCharType="end"/>
      </w:r>
      <w:r w:rsidRPr="00A469AF">
        <w:rPr>
          <w:rFonts w:ascii="Times New Roman" w:hAnsi="Times New Roman" w:cs="Times New Roman"/>
          <w:b/>
          <w:sz w:val="21"/>
          <w:szCs w:val="21"/>
        </w:rPr>
        <w:t xml:space="preserve">, </w:t>
      </w:r>
      <w:r>
        <w:rPr>
          <w:rFonts w:ascii="Times New Roman" w:hAnsi="Times New Roman" w:cs="Times New Roman"/>
          <w:sz w:val="21"/>
          <w:szCs w:val="21"/>
          <w:highlight w:val="yellow"/>
          <w:lang w:val="en-US"/>
        </w:rPr>
        <w:fldChar w:fldCharType="begin"/>
      </w:r>
      <w:r>
        <w:rPr>
          <w:rFonts w:ascii="Times New Roman" w:hAnsi="Times New Roman" w:cs="Times New Roman"/>
          <w:b/>
          <w:sz w:val="21"/>
          <w:szCs w:val="21"/>
        </w:rPr>
        <w:instrText xml:space="preserve"> REF _Ref435187672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b/>
          <w:sz w:val="21"/>
          <w:szCs w:val="21"/>
        </w:rPr>
        <w:t>106</w:t>
      </w:r>
      <w:r>
        <w:rPr>
          <w:rFonts w:ascii="Times New Roman" w:hAnsi="Times New Roman" w:cs="Times New Roman"/>
          <w:sz w:val="21"/>
          <w:szCs w:val="21"/>
          <w:highlight w:val="yellow"/>
          <w:lang w:val="en-US"/>
        </w:rPr>
        <w:fldChar w:fldCharType="end"/>
      </w:r>
      <w:r w:rsidRPr="00A469AF">
        <w:rPr>
          <w:rFonts w:ascii="Times New Roman" w:hAnsi="Times New Roman" w:cs="Times New Roman"/>
          <w:b/>
          <w:sz w:val="21"/>
          <w:szCs w:val="21"/>
        </w:rPr>
        <w:t>]</w:t>
      </w:r>
    </w:p>
    <w:p w:rsidR="00B233DE" w:rsidRPr="00A60F41" w:rsidRDefault="00B233DE" w:rsidP="00B233DE">
      <w:pPr>
        <w:ind w:firstLine="709"/>
        <w:jc w:val="both"/>
        <w:rPr>
          <w:rFonts w:ascii="Times New Roman" w:hAnsi="Times New Roman" w:cs="Times New Roman"/>
          <w:sz w:val="21"/>
          <w:szCs w:val="21"/>
        </w:rPr>
      </w:pPr>
    </w:p>
    <w:p w:rsidR="00B233DE" w:rsidRPr="00A60F41"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Враховуючи існуючі тенденції та особливості міграційних процесів в Україні та їх вплив на людський розвиток, слід виділити наступні напрями застосування заходів міграційної політики для створення можливостей формування та накопичення людського потенціалу за рахунок міграції:</w:t>
      </w:r>
    </w:p>
    <w:p w:rsidR="00B233DE" w:rsidRPr="00A60F41" w:rsidRDefault="00B233DE" w:rsidP="00B233DE">
      <w:pPr>
        <w:ind w:firstLine="709"/>
        <w:jc w:val="both"/>
        <w:rPr>
          <w:rFonts w:ascii="Times New Roman" w:hAnsi="Times New Roman" w:cs="Times New Roman"/>
          <w:spacing w:val="-2"/>
          <w:sz w:val="21"/>
          <w:szCs w:val="21"/>
        </w:rPr>
      </w:pPr>
      <w:r w:rsidRPr="00A60F41">
        <w:rPr>
          <w:rFonts w:ascii="Times New Roman" w:hAnsi="Times New Roman" w:cs="Times New Roman"/>
          <w:sz w:val="21"/>
          <w:szCs w:val="21"/>
        </w:rPr>
        <w:t xml:space="preserve">1. </w:t>
      </w:r>
      <w:r w:rsidRPr="00A60F41">
        <w:rPr>
          <w:rFonts w:ascii="Times New Roman" w:hAnsi="Times New Roman" w:cs="Times New Roman"/>
          <w:sz w:val="21"/>
          <w:szCs w:val="21"/>
          <w:lang w:val="en-US"/>
        </w:rPr>
        <w:t>C</w:t>
      </w:r>
      <w:r w:rsidRPr="00A60F41">
        <w:rPr>
          <w:rFonts w:ascii="Times New Roman" w:hAnsi="Times New Roman" w:cs="Times New Roman"/>
          <w:sz w:val="21"/>
          <w:szCs w:val="21"/>
        </w:rPr>
        <w:t>тимулювання зворотних міграційних потоків та формування людського потенціалу реемігрантів. На користь здійснення заходів у даному напрямі свідчить те, що на сучасному етапі трудова еміграція має переважно тимчасовий характер – середній термін міграції, названий потенційними мігрантами, становить 2 роки. Лише 8,8</w:t>
      </w:r>
      <w:r>
        <w:rPr>
          <w:rFonts w:ascii="Times New Roman" w:hAnsi="Times New Roman" w:cs="Times New Roman"/>
          <w:sz w:val="21"/>
          <w:szCs w:val="21"/>
        </w:rPr>
        <w:t xml:space="preserve"> </w:t>
      </w:r>
      <w:r w:rsidRPr="00A60F41">
        <w:rPr>
          <w:rFonts w:ascii="Times New Roman" w:hAnsi="Times New Roman" w:cs="Times New Roman"/>
          <w:sz w:val="21"/>
          <w:szCs w:val="21"/>
        </w:rPr>
        <w:t>% опитаних планують емігрувати назавжди, а 55,6</w:t>
      </w:r>
      <w:r>
        <w:rPr>
          <w:rFonts w:ascii="Times New Roman" w:hAnsi="Times New Roman" w:cs="Times New Roman"/>
          <w:sz w:val="21"/>
          <w:szCs w:val="21"/>
        </w:rPr>
        <w:t xml:space="preserve"> </w:t>
      </w:r>
      <w:r w:rsidRPr="00A60F41">
        <w:rPr>
          <w:rFonts w:ascii="Times New Roman" w:hAnsi="Times New Roman" w:cs="Times New Roman"/>
          <w:sz w:val="21"/>
          <w:szCs w:val="21"/>
        </w:rPr>
        <w:t>% вважає, що досвід, набутий за кордоном, покращить можливості їх працевлаштування в</w:t>
      </w:r>
      <w:r>
        <w:rPr>
          <w:rFonts w:ascii="Times New Roman" w:hAnsi="Times New Roman" w:cs="Times New Roman"/>
          <w:sz w:val="21"/>
          <w:szCs w:val="21"/>
        </w:rPr>
        <w:t xml:space="preserve"> Україні при зворотній міграції </w:t>
      </w:r>
      <w:r w:rsidRPr="00A60F41">
        <w:rPr>
          <w:rFonts w:ascii="Times New Roman" w:hAnsi="Times New Roman" w:cs="Times New Roman"/>
          <w:sz w:val="21"/>
          <w:szCs w:val="21"/>
        </w:rPr>
        <w:t>[</w:t>
      </w:r>
      <w:r>
        <w:rPr>
          <w:rFonts w:ascii="Times New Roman" w:hAnsi="Times New Roman" w:cs="Times New Roman"/>
          <w:iCs/>
          <w:sz w:val="21"/>
          <w:szCs w:val="21"/>
          <w:highlight w:val="yellow"/>
        </w:rPr>
        <w:fldChar w:fldCharType="begin"/>
      </w:r>
      <w:r>
        <w:rPr>
          <w:rFonts w:ascii="Times New Roman" w:hAnsi="Times New Roman" w:cs="Times New Roman"/>
          <w:sz w:val="21"/>
          <w:szCs w:val="21"/>
        </w:rPr>
        <w:instrText xml:space="preserve"> REF _Ref435187636 \r \h </w:instrText>
      </w:r>
      <w:r>
        <w:rPr>
          <w:rFonts w:ascii="Times New Roman" w:hAnsi="Times New Roman" w:cs="Times New Roman"/>
          <w:iCs/>
          <w:sz w:val="21"/>
          <w:szCs w:val="21"/>
          <w:highlight w:val="yellow"/>
        </w:rPr>
      </w:r>
      <w:r>
        <w:rPr>
          <w:rFonts w:ascii="Times New Roman" w:hAnsi="Times New Roman" w:cs="Times New Roman"/>
          <w:iCs/>
          <w:sz w:val="21"/>
          <w:szCs w:val="21"/>
          <w:highlight w:val="yellow"/>
        </w:rPr>
        <w:fldChar w:fldCharType="separate"/>
      </w:r>
      <w:r>
        <w:rPr>
          <w:rFonts w:ascii="Times New Roman" w:hAnsi="Times New Roman" w:cs="Times New Roman"/>
          <w:sz w:val="21"/>
          <w:szCs w:val="21"/>
        </w:rPr>
        <w:t>56</w:t>
      </w:r>
      <w:r>
        <w:rPr>
          <w:rFonts w:ascii="Times New Roman" w:hAnsi="Times New Roman" w:cs="Times New Roman"/>
          <w:iCs/>
          <w:sz w:val="21"/>
          <w:szCs w:val="21"/>
          <w:highlight w:val="yellow"/>
        </w:rPr>
        <w:fldChar w:fldCharType="end"/>
      </w:r>
      <w:r w:rsidRPr="00A60F41">
        <w:rPr>
          <w:rFonts w:ascii="Times New Roman" w:hAnsi="Times New Roman" w:cs="Times New Roman"/>
          <w:sz w:val="21"/>
          <w:szCs w:val="21"/>
        </w:rPr>
        <w:t xml:space="preserve">, </w:t>
      </w:r>
      <w:r w:rsidRPr="00A60F41">
        <w:rPr>
          <w:rFonts w:ascii="Times New Roman" w:hAnsi="Times New Roman" w:cs="Times New Roman"/>
          <w:sz w:val="21"/>
          <w:szCs w:val="21"/>
          <w:lang w:val="en-US"/>
        </w:rPr>
        <w:t>c</w:t>
      </w:r>
      <w:r w:rsidRPr="00A60F41">
        <w:rPr>
          <w:rFonts w:ascii="Times New Roman" w:hAnsi="Times New Roman" w:cs="Times New Roman"/>
          <w:sz w:val="21"/>
          <w:szCs w:val="21"/>
        </w:rPr>
        <w:t>. 4]. За даними дослідження Європейського фонду професійного навчання відсоток мігрантів, що повернулися, становить 3,2</w:t>
      </w:r>
      <w:r>
        <w:rPr>
          <w:rFonts w:ascii="Times New Roman" w:hAnsi="Times New Roman" w:cs="Times New Roman"/>
          <w:sz w:val="21"/>
          <w:szCs w:val="21"/>
        </w:rPr>
        <w:t xml:space="preserve"> </w:t>
      </w:r>
      <w:r w:rsidRPr="00A60F41">
        <w:rPr>
          <w:rFonts w:ascii="Times New Roman" w:hAnsi="Times New Roman" w:cs="Times New Roman"/>
          <w:sz w:val="21"/>
          <w:szCs w:val="21"/>
        </w:rPr>
        <w:t xml:space="preserve">% населення. Реемігранти є переважно особами працездатного віку з високим рівнем освіти – їх середній вік </w:t>
      </w:r>
      <w:r w:rsidRPr="00A60F41">
        <w:rPr>
          <w:rFonts w:ascii="Times New Roman" w:hAnsi="Times New Roman" w:cs="Times New Roman"/>
          <w:sz w:val="21"/>
          <w:szCs w:val="21"/>
        </w:rPr>
        <w:lastRenderedPageBreak/>
        <w:t>становить 37 років, 37,5</w:t>
      </w:r>
      <w:r>
        <w:rPr>
          <w:rFonts w:ascii="Times New Roman" w:hAnsi="Times New Roman" w:cs="Times New Roman"/>
          <w:sz w:val="21"/>
          <w:szCs w:val="21"/>
        </w:rPr>
        <w:t xml:space="preserve"> </w:t>
      </w:r>
      <w:r w:rsidRPr="00A60F41">
        <w:rPr>
          <w:rFonts w:ascii="Times New Roman" w:hAnsi="Times New Roman" w:cs="Times New Roman"/>
          <w:sz w:val="21"/>
          <w:szCs w:val="21"/>
        </w:rPr>
        <w:t>% мають вищу освіту. Набутий в еміграції досвід допомагає працевлаштуватись в Україні при поверненні – 72,9</w:t>
      </w:r>
      <w:r>
        <w:rPr>
          <w:rFonts w:ascii="Times New Roman" w:hAnsi="Times New Roman" w:cs="Times New Roman"/>
          <w:sz w:val="21"/>
          <w:szCs w:val="21"/>
        </w:rPr>
        <w:t xml:space="preserve"> </w:t>
      </w:r>
      <w:r w:rsidRPr="00A60F41">
        <w:rPr>
          <w:rFonts w:ascii="Times New Roman" w:hAnsi="Times New Roman" w:cs="Times New Roman"/>
          <w:sz w:val="21"/>
          <w:szCs w:val="21"/>
        </w:rPr>
        <w:t>% реемігрантів наймаються на роботу, 6,6</w:t>
      </w:r>
      <w:r>
        <w:rPr>
          <w:rFonts w:ascii="Times New Roman" w:hAnsi="Times New Roman" w:cs="Times New Roman"/>
          <w:sz w:val="21"/>
          <w:szCs w:val="21"/>
        </w:rPr>
        <w:t xml:space="preserve"> </w:t>
      </w:r>
      <w:r w:rsidRPr="00A60F41">
        <w:rPr>
          <w:rFonts w:ascii="Times New Roman" w:hAnsi="Times New Roman" w:cs="Times New Roman"/>
          <w:sz w:val="21"/>
          <w:szCs w:val="21"/>
        </w:rPr>
        <w:t>% стають роботодавцями, 11,1</w:t>
      </w:r>
      <w:r>
        <w:rPr>
          <w:rFonts w:ascii="Times New Roman" w:hAnsi="Times New Roman" w:cs="Times New Roman"/>
          <w:sz w:val="21"/>
          <w:szCs w:val="21"/>
        </w:rPr>
        <w:t xml:space="preserve"> </w:t>
      </w:r>
      <w:r w:rsidRPr="00A60F41">
        <w:rPr>
          <w:rFonts w:ascii="Times New Roman" w:hAnsi="Times New Roman" w:cs="Times New Roman"/>
          <w:sz w:val="21"/>
          <w:szCs w:val="21"/>
        </w:rPr>
        <w:t>% - самозайнятими. 12,4</w:t>
      </w:r>
      <w:r>
        <w:rPr>
          <w:rFonts w:ascii="Times New Roman" w:hAnsi="Times New Roman" w:cs="Times New Roman"/>
          <w:sz w:val="21"/>
          <w:szCs w:val="21"/>
        </w:rPr>
        <w:t xml:space="preserve"> </w:t>
      </w:r>
      <w:r w:rsidRPr="00A60F41">
        <w:rPr>
          <w:rFonts w:ascii="Times New Roman" w:hAnsi="Times New Roman" w:cs="Times New Roman"/>
          <w:sz w:val="21"/>
          <w:szCs w:val="21"/>
        </w:rPr>
        <w:t>% зворотних мігрантів отримали освіту або пройшли навчання за кордоном. Навчання включає мовні курси, підвищення кваліфікації, стажування на робочому місці, університетські курси [</w:t>
      </w:r>
      <w:r>
        <w:rPr>
          <w:rFonts w:ascii="Times New Roman" w:hAnsi="Times New Roman" w:cs="Times New Roman"/>
          <w:iCs/>
          <w:sz w:val="21"/>
          <w:szCs w:val="21"/>
          <w:highlight w:val="yellow"/>
        </w:rPr>
        <w:fldChar w:fldCharType="begin"/>
      </w:r>
      <w:r>
        <w:rPr>
          <w:rFonts w:ascii="Times New Roman" w:hAnsi="Times New Roman" w:cs="Times New Roman"/>
          <w:sz w:val="21"/>
          <w:szCs w:val="21"/>
        </w:rPr>
        <w:instrText xml:space="preserve"> REF _Ref435187636 \r \h </w:instrText>
      </w:r>
      <w:r>
        <w:rPr>
          <w:rFonts w:ascii="Times New Roman" w:hAnsi="Times New Roman" w:cs="Times New Roman"/>
          <w:iCs/>
          <w:sz w:val="21"/>
          <w:szCs w:val="21"/>
          <w:highlight w:val="yellow"/>
        </w:rPr>
      </w:r>
      <w:r>
        <w:rPr>
          <w:rFonts w:ascii="Times New Roman" w:hAnsi="Times New Roman" w:cs="Times New Roman"/>
          <w:iCs/>
          <w:sz w:val="21"/>
          <w:szCs w:val="21"/>
          <w:highlight w:val="yellow"/>
        </w:rPr>
        <w:fldChar w:fldCharType="separate"/>
      </w:r>
      <w:r>
        <w:rPr>
          <w:rFonts w:ascii="Times New Roman" w:hAnsi="Times New Roman" w:cs="Times New Roman"/>
          <w:sz w:val="21"/>
          <w:szCs w:val="21"/>
        </w:rPr>
        <w:t>56</w:t>
      </w:r>
      <w:r>
        <w:rPr>
          <w:rFonts w:ascii="Times New Roman" w:hAnsi="Times New Roman" w:cs="Times New Roman"/>
          <w:iCs/>
          <w:sz w:val="21"/>
          <w:szCs w:val="21"/>
          <w:highlight w:val="yellow"/>
        </w:rPr>
        <w:fldChar w:fldCharType="end"/>
      </w:r>
      <w:r w:rsidRPr="00A60F41">
        <w:rPr>
          <w:rFonts w:ascii="Times New Roman" w:hAnsi="Times New Roman" w:cs="Times New Roman"/>
          <w:sz w:val="21"/>
          <w:szCs w:val="21"/>
        </w:rPr>
        <w:t xml:space="preserve">, </w:t>
      </w:r>
      <w:r w:rsidRPr="00A60F41">
        <w:rPr>
          <w:rFonts w:ascii="Times New Roman" w:hAnsi="Times New Roman" w:cs="Times New Roman"/>
          <w:sz w:val="21"/>
          <w:szCs w:val="21"/>
          <w:lang w:val="en-US"/>
        </w:rPr>
        <w:t>c</w:t>
      </w:r>
      <w:r w:rsidRPr="00A60F41">
        <w:rPr>
          <w:rFonts w:ascii="Times New Roman" w:hAnsi="Times New Roman" w:cs="Times New Roman"/>
          <w:sz w:val="21"/>
          <w:szCs w:val="21"/>
        </w:rPr>
        <w:t xml:space="preserve">. 5]. Вирішення проблеми ефективного використання набутого людського потенціалу реемігрантів та створення відповідних умов для заохочення їх повернення до України є важливим напрямом державної міграційної політики. Пріоритетним аспектом у даному напрямі є сприяння поверненню українських студентів, що навчаються за кордоном, для реалізації в Україні набутого ними освітньо-кваліфікаційного потенціалу шляхом створення привабливих умов працевлаштування. </w:t>
      </w:r>
      <w:r w:rsidRPr="00A60F41">
        <w:rPr>
          <w:rFonts w:ascii="Times New Roman" w:hAnsi="Times New Roman" w:cs="Times New Roman"/>
          <w:spacing w:val="-2"/>
          <w:sz w:val="21"/>
          <w:szCs w:val="21"/>
        </w:rPr>
        <w:t>За даними ЮНЕСКО у 2014 році за кордоном навчалися близько 40 тис. студентів з України, з них по 24</w:t>
      </w:r>
      <w:r>
        <w:rPr>
          <w:rFonts w:ascii="Times New Roman" w:hAnsi="Times New Roman" w:cs="Times New Roman"/>
          <w:spacing w:val="-2"/>
          <w:sz w:val="21"/>
          <w:szCs w:val="21"/>
        </w:rPr>
        <w:t xml:space="preserve"> </w:t>
      </w:r>
      <w:r w:rsidRPr="00A60F41">
        <w:rPr>
          <w:rFonts w:ascii="Times New Roman" w:hAnsi="Times New Roman" w:cs="Times New Roman"/>
          <w:spacing w:val="-2"/>
          <w:sz w:val="21"/>
          <w:szCs w:val="21"/>
        </w:rPr>
        <w:t>% - у Російській Федерації та Польщі, 14</w:t>
      </w:r>
      <w:r>
        <w:rPr>
          <w:rFonts w:ascii="Times New Roman" w:hAnsi="Times New Roman" w:cs="Times New Roman"/>
          <w:spacing w:val="-2"/>
          <w:sz w:val="21"/>
          <w:szCs w:val="21"/>
        </w:rPr>
        <w:t xml:space="preserve"> </w:t>
      </w:r>
      <w:r w:rsidRPr="00A60F41">
        <w:rPr>
          <w:rFonts w:ascii="Times New Roman" w:hAnsi="Times New Roman" w:cs="Times New Roman"/>
          <w:spacing w:val="-2"/>
          <w:sz w:val="21"/>
          <w:szCs w:val="21"/>
        </w:rPr>
        <w:t>% - у Німеччині, близько по 4</w:t>
      </w:r>
      <w:r>
        <w:rPr>
          <w:rFonts w:ascii="Times New Roman" w:hAnsi="Times New Roman" w:cs="Times New Roman"/>
          <w:spacing w:val="-2"/>
          <w:sz w:val="21"/>
          <w:szCs w:val="21"/>
        </w:rPr>
        <w:t xml:space="preserve"> </w:t>
      </w:r>
      <w:r w:rsidRPr="00A60F41">
        <w:rPr>
          <w:rFonts w:ascii="Times New Roman" w:hAnsi="Times New Roman" w:cs="Times New Roman"/>
          <w:spacing w:val="-2"/>
          <w:sz w:val="21"/>
          <w:szCs w:val="21"/>
        </w:rPr>
        <w:t>% - у Чехії, Італії, США, та Угорщині [</w:t>
      </w:r>
      <w:r>
        <w:rPr>
          <w:rFonts w:ascii="Times New Roman" w:hAnsi="Times New Roman" w:cs="Times New Roman"/>
          <w:sz w:val="21"/>
          <w:szCs w:val="21"/>
          <w:highlight w:val="yellow"/>
          <w:lang w:val="en-US"/>
        </w:rPr>
        <w:fldChar w:fldCharType="begin"/>
      </w:r>
      <w:r>
        <w:rPr>
          <w:rFonts w:ascii="Times New Roman" w:hAnsi="Times New Roman" w:cs="Times New Roman"/>
          <w:spacing w:val="-2"/>
          <w:sz w:val="21"/>
          <w:szCs w:val="21"/>
        </w:rPr>
        <w:instrText xml:space="preserve"> REF _Ref435187672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pacing w:val="-2"/>
          <w:sz w:val="21"/>
          <w:szCs w:val="21"/>
        </w:rPr>
        <w:t>106</w:t>
      </w:r>
      <w:r>
        <w:rPr>
          <w:rFonts w:ascii="Times New Roman" w:hAnsi="Times New Roman" w:cs="Times New Roman"/>
          <w:sz w:val="21"/>
          <w:szCs w:val="21"/>
          <w:highlight w:val="yellow"/>
          <w:lang w:val="en-US"/>
        </w:rPr>
        <w:fldChar w:fldCharType="end"/>
      </w:r>
      <w:r w:rsidRPr="00A60F41">
        <w:rPr>
          <w:rFonts w:ascii="Times New Roman" w:hAnsi="Times New Roman" w:cs="Times New Roman"/>
          <w:spacing w:val="-2"/>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pacing w:val="-2"/>
          <w:sz w:val="21"/>
          <w:szCs w:val="21"/>
        </w:rPr>
        <w:instrText xml:space="preserve"> REF _Ref435187801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pacing w:val="-2"/>
          <w:sz w:val="21"/>
          <w:szCs w:val="21"/>
        </w:rPr>
        <w:t>62</w:t>
      </w:r>
      <w:r>
        <w:rPr>
          <w:rFonts w:ascii="Times New Roman" w:hAnsi="Times New Roman" w:cs="Times New Roman"/>
          <w:sz w:val="21"/>
          <w:szCs w:val="21"/>
          <w:highlight w:val="yellow"/>
        </w:rPr>
        <w:fldChar w:fldCharType="end"/>
      </w:r>
      <w:r w:rsidRPr="00A60F41">
        <w:rPr>
          <w:rFonts w:ascii="Times New Roman" w:hAnsi="Times New Roman" w:cs="Times New Roman"/>
          <w:spacing w:val="-2"/>
          <w:sz w:val="21"/>
          <w:szCs w:val="21"/>
        </w:rPr>
        <w:t>, с. 63].</w:t>
      </w:r>
    </w:p>
    <w:p w:rsidR="00B233DE" w:rsidRPr="00A60F41"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2. Необхідність підвищення показників міграційної привабливості.</w:t>
      </w:r>
      <w:r w:rsidRPr="00A60F41">
        <w:rPr>
          <w:rFonts w:ascii="Times New Roman" w:hAnsi="Times New Roman" w:cs="Times New Roman"/>
          <w:i/>
          <w:sz w:val="21"/>
          <w:szCs w:val="21"/>
        </w:rPr>
        <w:t xml:space="preserve"> </w:t>
      </w:r>
      <w:r w:rsidRPr="00A60F41">
        <w:rPr>
          <w:rFonts w:ascii="Times New Roman" w:hAnsi="Times New Roman" w:cs="Times New Roman"/>
          <w:sz w:val="21"/>
          <w:szCs w:val="21"/>
        </w:rPr>
        <w:t>Привабливість країни для реемігрантів та іммігрантів визначається показниками соціально-економічного розвитку. Вони включають складові розвитку людського потенціалу (за Індексом людського розвитку), відповідні державні видатки у цю сферу, рівні зайнятості та охоплення населення вищою освітою та показники, що характеризують рівень розвитку економіки порівняно з іншими країнами світу.</w:t>
      </w:r>
    </w:p>
    <w:p w:rsidR="00B233DE" w:rsidRPr="00A60F41"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Індекс людського розвитку України має тенденцію до підвищення. Це забезпечується відносно високими показниками рівня освіти населення і поступовим зростанням середньої тривалості життя (рис. 4.</w:t>
      </w:r>
      <w:r>
        <w:rPr>
          <w:rFonts w:ascii="Times New Roman" w:hAnsi="Times New Roman" w:cs="Times New Roman"/>
          <w:sz w:val="21"/>
          <w:szCs w:val="21"/>
        </w:rPr>
        <w:t>2</w:t>
      </w:r>
      <w:r w:rsidRPr="00A60F41">
        <w:rPr>
          <w:rFonts w:ascii="Times New Roman" w:hAnsi="Times New Roman" w:cs="Times New Roman"/>
          <w:sz w:val="21"/>
          <w:szCs w:val="21"/>
        </w:rPr>
        <w:t>8) [</w:t>
      </w:r>
      <w:r>
        <w:rPr>
          <w:rFonts w:ascii="Times New Roman" w:hAnsi="Times New Roman" w:cs="Times New Roman"/>
          <w:iCs/>
          <w:sz w:val="21"/>
          <w:szCs w:val="21"/>
          <w:highlight w:val="yellow"/>
        </w:rPr>
        <w:fldChar w:fldCharType="begin"/>
      </w:r>
      <w:r>
        <w:rPr>
          <w:rFonts w:ascii="Times New Roman" w:hAnsi="Times New Roman" w:cs="Times New Roman"/>
          <w:sz w:val="21"/>
          <w:szCs w:val="21"/>
        </w:rPr>
        <w:instrText xml:space="preserve"> REF _Ref435188266 \r \h </w:instrText>
      </w:r>
      <w:r>
        <w:rPr>
          <w:rFonts w:ascii="Times New Roman" w:hAnsi="Times New Roman" w:cs="Times New Roman"/>
          <w:iCs/>
          <w:sz w:val="21"/>
          <w:szCs w:val="21"/>
          <w:highlight w:val="yellow"/>
        </w:rPr>
      </w:r>
      <w:r>
        <w:rPr>
          <w:rFonts w:ascii="Times New Roman" w:hAnsi="Times New Roman" w:cs="Times New Roman"/>
          <w:iCs/>
          <w:sz w:val="21"/>
          <w:szCs w:val="21"/>
          <w:highlight w:val="yellow"/>
        </w:rPr>
        <w:fldChar w:fldCharType="separate"/>
      </w:r>
      <w:r>
        <w:rPr>
          <w:rFonts w:ascii="Times New Roman" w:hAnsi="Times New Roman" w:cs="Times New Roman"/>
          <w:sz w:val="21"/>
          <w:szCs w:val="21"/>
        </w:rPr>
        <w:t>10</w:t>
      </w:r>
      <w:r>
        <w:rPr>
          <w:rFonts w:ascii="Times New Roman" w:hAnsi="Times New Roman" w:cs="Times New Roman"/>
          <w:iCs/>
          <w:sz w:val="21"/>
          <w:szCs w:val="21"/>
          <w:highlight w:val="yellow"/>
        </w:rPr>
        <w:fldChar w:fldCharType="end"/>
      </w:r>
      <w:r w:rsidRPr="00A60F41">
        <w:rPr>
          <w:rFonts w:ascii="Times New Roman" w:hAnsi="Times New Roman" w:cs="Times New Roman"/>
          <w:sz w:val="21"/>
          <w:szCs w:val="21"/>
        </w:rPr>
        <w:t>]. Разом з тим, протягом усього досліджуваного періоду зберігається стабільна різниця між ІЛР України та загальним ІЛР, що наводить на думку про те, що коливання у значеннях індексу України відповідають загальносвітовим тенденціям людського розвитку.</w:t>
      </w:r>
    </w:p>
    <w:p w:rsidR="00B233DE" w:rsidRPr="00A60F41" w:rsidRDefault="00B233DE" w:rsidP="00B233DE">
      <w:pPr>
        <w:ind w:firstLine="709"/>
        <w:jc w:val="both"/>
        <w:rPr>
          <w:rFonts w:ascii="Times New Roman" w:hAnsi="Times New Roman" w:cs="Times New Roman"/>
          <w:sz w:val="21"/>
          <w:szCs w:val="21"/>
        </w:rPr>
      </w:pPr>
    </w:p>
    <w:p w:rsidR="00B233DE" w:rsidRPr="00A60F41" w:rsidRDefault="00B233DE" w:rsidP="00B233DE">
      <w:pPr>
        <w:ind w:firstLine="0"/>
        <w:jc w:val="both"/>
        <w:rPr>
          <w:rFonts w:ascii="Times New Roman" w:hAnsi="Times New Roman" w:cs="Times New Roman"/>
          <w:sz w:val="21"/>
          <w:szCs w:val="21"/>
        </w:rPr>
      </w:pPr>
      <w:r w:rsidRPr="00A60F41">
        <w:rPr>
          <w:rFonts w:ascii="Times New Roman" w:hAnsi="Times New Roman" w:cs="Times New Roman"/>
          <w:noProof/>
          <w:sz w:val="21"/>
          <w:szCs w:val="21"/>
          <w:lang w:val="ru-RU" w:eastAsia="ru-RU"/>
        </w:rPr>
        <w:lastRenderedPageBreak/>
        <w:drawing>
          <wp:inline distT="0" distB="0" distL="0" distR="0" wp14:anchorId="545B89D5" wp14:editId="56C397B5">
            <wp:extent cx="3848100" cy="2752725"/>
            <wp:effectExtent l="0" t="0" r="0" b="0"/>
            <wp:docPr id="1385" name="Рисунок 1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3848100" cy="2752725"/>
                    </a:xfrm>
                    <a:prstGeom prst="rect">
                      <a:avLst/>
                    </a:prstGeom>
                    <a:noFill/>
                    <a:ln>
                      <a:noFill/>
                    </a:ln>
                  </pic:spPr>
                </pic:pic>
              </a:graphicData>
            </a:graphic>
          </wp:inline>
        </w:drawing>
      </w:r>
    </w:p>
    <w:p w:rsidR="00B233DE" w:rsidRPr="00A469AF" w:rsidRDefault="00B233DE" w:rsidP="00B233DE">
      <w:pPr>
        <w:ind w:firstLine="709"/>
        <w:jc w:val="center"/>
        <w:rPr>
          <w:rFonts w:ascii="Times New Roman" w:hAnsi="Times New Roman" w:cs="Times New Roman"/>
          <w:b/>
          <w:sz w:val="21"/>
          <w:szCs w:val="21"/>
        </w:rPr>
      </w:pPr>
      <w:r w:rsidRPr="00A469AF">
        <w:rPr>
          <w:rFonts w:ascii="Times New Roman" w:hAnsi="Times New Roman" w:cs="Times New Roman"/>
          <w:b/>
          <w:sz w:val="21"/>
          <w:szCs w:val="21"/>
        </w:rPr>
        <w:t>Рис. 4.28</w:t>
      </w:r>
      <w:r>
        <w:rPr>
          <w:rFonts w:ascii="Times New Roman" w:hAnsi="Times New Roman" w:cs="Times New Roman"/>
          <w:b/>
          <w:sz w:val="21"/>
          <w:szCs w:val="21"/>
        </w:rPr>
        <w:t>.</w:t>
      </w:r>
      <w:r w:rsidRPr="00A469AF">
        <w:rPr>
          <w:rFonts w:ascii="Times New Roman" w:hAnsi="Times New Roman" w:cs="Times New Roman"/>
          <w:b/>
          <w:sz w:val="21"/>
          <w:szCs w:val="21"/>
        </w:rPr>
        <w:t xml:space="preserve"> Динаміка Індексу людського розвитку України у 2008</w:t>
      </w:r>
      <w:r>
        <w:rPr>
          <w:rFonts w:ascii="Times New Roman" w:hAnsi="Times New Roman" w:cs="Times New Roman"/>
          <w:b/>
          <w:sz w:val="21"/>
          <w:szCs w:val="21"/>
        </w:rPr>
        <w:t>–</w:t>
      </w:r>
      <w:r w:rsidRPr="00A469AF">
        <w:rPr>
          <w:rFonts w:ascii="Times New Roman" w:hAnsi="Times New Roman" w:cs="Times New Roman"/>
          <w:b/>
          <w:sz w:val="21"/>
          <w:szCs w:val="21"/>
        </w:rPr>
        <w:t>2</w:t>
      </w:r>
      <w:r>
        <w:rPr>
          <w:rFonts w:ascii="Times New Roman" w:hAnsi="Times New Roman" w:cs="Times New Roman"/>
          <w:b/>
          <w:sz w:val="21"/>
          <w:szCs w:val="21"/>
        </w:rPr>
        <w:t xml:space="preserve">013 </w:t>
      </w:r>
      <w:r w:rsidRPr="00A469AF">
        <w:rPr>
          <w:rFonts w:ascii="Times New Roman" w:hAnsi="Times New Roman" w:cs="Times New Roman"/>
          <w:b/>
          <w:sz w:val="21"/>
          <w:szCs w:val="21"/>
        </w:rPr>
        <w:t>рр. [</w:t>
      </w:r>
      <w:r>
        <w:rPr>
          <w:rFonts w:ascii="Times New Roman" w:hAnsi="Times New Roman" w:cs="Times New Roman"/>
          <w:iCs/>
          <w:sz w:val="21"/>
          <w:szCs w:val="21"/>
          <w:highlight w:val="yellow"/>
        </w:rPr>
        <w:fldChar w:fldCharType="begin"/>
      </w:r>
      <w:r>
        <w:rPr>
          <w:rFonts w:ascii="Times New Roman" w:hAnsi="Times New Roman" w:cs="Times New Roman"/>
          <w:b/>
          <w:sz w:val="21"/>
          <w:szCs w:val="21"/>
        </w:rPr>
        <w:instrText xml:space="preserve"> REF _Ref435188266 \r \h </w:instrText>
      </w:r>
      <w:r>
        <w:rPr>
          <w:rFonts w:ascii="Times New Roman" w:hAnsi="Times New Roman" w:cs="Times New Roman"/>
          <w:iCs/>
          <w:sz w:val="21"/>
          <w:szCs w:val="21"/>
          <w:highlight w:val="yellow"/>
        </w:rPr>
      </w:r>
      <w:r>
        <w:rPr>
          <w:rFonts w:ascii="Times New Roman" w:hAnsi="Times New Roman" w:cs="Times New Roman"/>
          <w:iCs/>
          <w:sz w:val="21"/>
          <w:szCs w:val="21"/>
          <w:highlight w:val="yellow"/>
        </w:rPr>
        <w:fldChar w:fldCharType="separate"/>
      </w:r>
      <w:r>
        <w:rPr>
          <w:rFonts w:ascii="Times New Roman" w:hAnsi="Times New Roman" w:cs="Times New Roman"/>
          <w:b/>
          <w:sz w:val="21"/>
          <w:szCs w:val="21"/>
        </w:rPr>
        <w:t>10</w:t>
      </w:r>
      <w:r>
        <w:rPr>
          <w:rFonts w:ascii="Times New Roman" w:hAnsi="Times New Roman" w:cs="Times New Roman"/>
          <w:iCs/>
          <w:sz w:val="21"/>
          <w:szCs w:val="21"/>
          <w:highlight w:val="yellow"/>
        </w:rPr>
        <w:fldChar w:fldCharType="end"/>
      </w:r>
      <w:r w:rsidRPr="00A469AF">
        <w:rPr>
          <w:rFonts w:ascii="Times New Roman" w:hAnsi="Times New Roman" w:cs="Times New Roman"/>
          <w:b/>
          <w:sz w:val="21"/>
          <w:szCs w:val="21"/>
        </w:rPr>
        <w:t>]</w:t>
      </w:r>
    </w:p>
    <w:p w:rsidR="00B233DE" w:rsidRPr="00A60F41" w:rsidRDefault="00B233DE" w:rsidP="00B233DE">
      <w:pPr>
        <w:ind w:firstLine="709"/>
        <w:jc w:val="both"/>
        <w:rPr>
          <w:rFonts w:ascii="Times New Roman" w:hAnsi="Times New Roman" w:cs="Times New Roman"/>
          <w:sz w:val="21"/>
          <w:szCs w:val="21"/>
        </w:rPr>
      </w:pPr>
    </w:p>
    <w:p w:rsidR="00B233DE" w:rsidRPr="00A60F41"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Необхідно уточнити, що у 2010 р. ІЛР показав значно менше значення в зв’язку зі зміною мето</w:t>
      </w:r>
      <w:r>
        <w:rPr>
          <w:rFonts w:ascii="Times New Roman" w:hAnsi="Times New Roman" w:cs="Times New Roman"/>
          <w:sz w:val="21"/>
          <w:szCs w:val="21"/>
        </w:rPr>
        <w:t>дики його розрахунку</w:t>
      </w:r>
      <w:r w:rsidRPr="00A60F41">
        <w:rPr>
          <w:rFonts w:ascii="Times New Roman" w:hAnsi="Times New Roman" w:cs="Times New Roman"/>
          <w:sz w:val="21"/>
          <w:szCs w:val="21"/>
        </w:rPr>
        <w:t>. Замість ВВП на душу населення почав враховуватись відповідний показник ВНП, який в Україні, як і у інших країнах з ринком, що формується і країнах, що розвиваються є нижчим. Індекс освіти почав враховувати тривалість навчання протягом життя людини, за яким Україна, як і вищезгадані країни, має нижчі значення, ніж за попереднім розрахунком, що враховував початкову грамотність та сукупну частку населення, яке навчається, що вимагає відповідних заходів державної політики у сфері освіти.</w:t>
      </w:r>
    </w:p>
    <w:p w:rsidR="00B233DE"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Ступінь переходу країни до інформаційного суспільства і становлення нової економіки, заснованої на знаннях, характеризує Індекс економіки знань. З 2000 року після подолання негативних тенденцій у інституційному забезпеченні та інноваційній системі Індекс економіки знань України стабільно зростає, але не у всіх скла</w:t>
      </w:r>
      <w:r>
        <w:rPr>
          <w:rFonts w:ascii="Times New Roman" w:hAnsi="Times New Roman" w:cs="Times New Roman"/>
          <w:sz w:val="21"/>
          <w:szCs w:val="21"/>
        </w:rPr>
        <w:t xml:space="preserve">дових (рис. </w:t>
      </w:r>
      <w:r w:rsidRPr="00A60F41">
        <w:rPr>
          <w:rFonts w:ascii="Times New Roman" w:hAnsi="Times New Roman" w:cs="Times New Roman"/>
          <w:sz w:val="21"/>
          <w:szCs w:val="21"/>
        </w:rPr>
        <w:t>4.</w:t>
      </w:r>
      <w:r>
        <w:rPr>
          <w:rFonts w:ascii="Times New Roman" w:hAnsi="Times New Roman" w:cs="Times New Roman"/>
          <w:sz w:val="21"/>
          <w:szCs w:val="21"/>
        </w:rPr>
        <w:t>2</w:t>
      </w:r>
      <w:r w:rsidRPr="00A60F41">
        <w:rPr>
          <w:rFonts w:ascii="Times New Roman" w:hAnsi="Times New Roman" w:cs="Times New Roman"/>
          <w:sz w:val="21"/>
          <w:szCs w:val="21"/>
        </w:rPr>
        <w:t>9) [</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_Ref435186992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103</w:t>
      </w:r>
      <w:r>
        <w:rPr>
          <w:rFonts w:ascii="Times New Roman" w:hAnsi="Times New Roman" w:cs="Times New Roman"/>
          <w:sz w:val="21"/>
          <w:szCs w:val="21"/>
          <w:highlight w:val="yellow"/>
          <w:lang w:val="en-US"/>
        </w:rPr>
        <w:fldChar w:fldCharType="end"/>
      </w:r>
      <w:r w:rsidRPr="00A60F41">
        <w:rPr>
          <w:rFonts w:ascii="Times New Roman" w:hAnsi="Times New Roman" w:cs="Times New Roman"/>
          <w:sz w:val="21"/>
          <w:szCs w:val="21"/>
        </w:rPr>
        <w:t>]. За період 2000</w:t>
      </w:r>
      <w:r>
        <w:rPr>
          <w:rFonts w:ascii="Times New Roman" w:hAnsi="Times New Roman" w:cs="Times New Roman"/>
          <w:sz w:val="21"/>
          <w:szCs w:val="21"/>
        </w:rPr>
        <w:t>–</w:t>
      </w:r>
      <w:r w:rsidRPr="00A60F41">
        <w:rPr>
          <w:rFonts w:ascii="Times New Roman" w:hAnsi="Times New Roman" w:cs="Times New Roman"/>
          <w:sz w:val="21"/>
          <w:szCs w:val="21"/>
        </w:rPr>
        <w:t>2</w:t>
      </w:r>
      <w:r>
        <w:rPr>
          <w:rFonts w:ascii="Times New Roman" w:hAnsi="Times New Roman" w:cs="Times New Roman"/>
          <w:sz w:val="21"/>
          <w:szCs w:val="21"/>
        </w:rPr>
        <w:t xml:space="preserve">012 </w:t>
      </w:r>
      <w:r w:rsidRPr="00A60F41">
        <w:rPr>
          <w:rFonts w:ascii="Times New Roman" w:hAnsi="Times New Roman" w:cs="Times New Roman"/>
          <w:sz w:val="21"/>
          <w:szCs w:val="21"/>
        </w:rPr>
        <w:t xml:space="preserve">рр. скоротились інформаційна та освітня складові, що пов’язано зі зниженням </w:t>
      </w:r>
      <w:r w:rsidRPr="00A60F41">
        <w:rPr>
          <w:rFonts w:ascii="Times New Roman" w:hAnsi="Times New Roman" w:cs="Times New Roman"/>
          <w:sz w:val="21"/>
          <w:szCs w:val="21"/>
        </w:rPr>
        <w:lastRenderedPageBreak/>
        <w:t>якості надання освітніх послуг, скороченням державних видатків на розвиток інформаційних і комунікаційних технологій.</w:t>
      </w:r>
    </w:p>
    <w:p w:rsidR="00B233DE" w:rsidRPr="00A60F41" w:rsidRDefault="00B233DE" w:rsidP="00B233DE">
      <w:pPr>
        <w:ind w:firstLine="709"/>
        <w:jc w:val="both"/>
        <w:rPr>
          <w:rFonts w:ascii="Times New Roman" w:hAnsi="Times New Roman" w:cs="Times New Roman"/>
          <w:sz w:val="21"/>
          <w:szCs w:val="21"/>
        </w:rPr>
      </w:pPr>
    </w:p>
    <w:p w:rsidR="00B233DE" w:rsidRPr="00A60F41" w:rsidRDefault="00B233DE" w:rsidP="00B233DE">
      <w:pPr>
        <w:ind w:firstLine="0"/>
        <w:jc w:val="both"/>
        <w:rPr>
          <w:rFonts w:ascii="Times New Roman" w:hAnsi="Times New Roman" w:cs="Times New Roman"/>
          <w:sz w:val="21"/>
          <w:szCs w:val="21"/>
        </w:rPr>
      </w:pPr>
      <w:r w:rsidRPr="00A60F41">
        <w:rPr>
          <w:rFonts w:ascii="Times New Roman" w:hAnsi="Times New Roman" w:cs="Times New Roman"/>
          <w:noProof/>
          <w:sz w:val="21"/>
          <w:szCs w:val="21"/>
          <w:lang w:val="ru-RU" w:eastAsia="ru-RU"/>
        </w:rPr>
        <w:drawing>
          <wp:inline distT="0" distB="0" distL="0" distR="0" wp14:anchorId="289FCC34" wp14:editId="1569AB61">
            <wp:extent cx="3886200" cy="2552700"/>
            <wp:effectExtent l="0" t="0" r="0" b="0"/>
            <wp:docPr id="1386" name="Объект 3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B233DE" w:rsidRPr="00A469AF" w:rsidRDefault="00B233DE" w:rsidP="00B233DE">
      <w:pPr>
        <w:ind w:firstLine="709"/>
        <w:jc w:val="center"/>
        <w:rPr>
          <w:rFonts w:ascii="Times New Roman" w:hAnsi="Times New Roman" w:cs="Times New Roman"/>
          <w:b/>
          <w:spacing w:val="-8"/>
          <w:sz w:val="21"/>
          <w:szCs w:val="21"/>
        </w:rPr>
      </w:pPr>
      <w:r>
        <w:rPr>
          <w:rFonts w:ascii="Times New Roman" w:hAnsi="Times New Roman" w:cs="Times New Roman"/>
          <w:b/>
          <w:spacing w:val="-8"/>
          <w:sz w:val="21"/>
          <w:szCs w:val="21"/>
        </w:rPr>
        <w:t>Рис. 4.2</w:t>
      </w:r>
      <w:r w:rsidRPr="00A469AF">
        <w:rPr>
          <w:rFonts w:ascii="Times New Roman" w:hAnsi="Times New Roman" w:cs="Times New Roman"/>
          <w:b/>
          <w:spacing w:val="-8"/>
          <w:sz w:val="21"/>
          <w:szCs w:val="21"/>
        </w:rPr>
        <w:t>9</w:t>
      </w:r>
      <w:r>
        <w:rPr>
          <w:rFonts w:ascii="Times New Roman" w:hAnsi="Times New Roman" w:cs="Times New Roman"/>
          <w:b/>
          <w:spacing w:val="-8"/>
          <w:sz w:val="21"/>
          <w:szCs w:val="21"/>
        </w:rPr>
        <w:t>.</w:t>
      </w:r>
      <w:r w:rsidRPr="00A469AF">
        <w:rPr>
          <w:rFonts w:ascii="Times New Roman" w:hAnsi="Times New Roman" w:cs="Times New Roman"/>
          <w:b/>
          <w:spacing w:val="-8"/>
          <w:sz w:val="21"/>
          <w:szCs w:val="21"/>
        </w:rPr>
        <w:t xml:space="preserve"> Динаміка Індексу економіки знань України та його складових [</w:t>
      </w:r>
      <w:r>
        <w:rPr>
          <w:rFonts w:ascii="Times New Roman" w:hAnsi="Times New Roman" w:cs="Times New Roman"/>
          <w:sz w:val="21"/>
          <w:szCs w:val="21"/>
          <w:highlight w:val="yellow"/>
          <w:lang w:val="en-US"/>
        </w:rPr>
        <w:fldChar w:fldCharType="begin"/>
      </w:r>
      <w:r>
        <w:rPr>
          <w:rFonts w:ascii="Times New Roman" w:hAnsi="Times New Roman" w:cs="Times New Roman"/>
          <w:b/>
          <w:spacing w:val="-8"/>
          <w:sz w:val="21"/>
          <w:szCs w:val="21"/>
        </w:rPr>
        <w:instrText xml:space="preserve"> REF _Ref435186992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b/>
          <w:spacing w:val="-8"/>
          <w:sz w:val="21"/>
          <w:szCs w:val="21"/>
        </w:rPr>
        <w:t>103</w:t>
      </w:r>
      <w:r>
        <w:rPr>
          <w:rFonts w:ascii="Times New Roman" w:hAnsi="Times New Roman" w:cs="Times New Roman"/>
          <w:sz w:val="21"/>
          <w:szCs w:val="21"/>
          <w:highlight w:val="yellow"/>
          <w:lang w:val="en-US"/>
        </w:rPr>
        <w:fldChar w:fldCharType="end"/>
      </w:r>
      <w:r w:rsidRPr="00A469AF">
        <w:rPr>
          <w:rFonts w:ascii="Times New Roman" w:hAnsi="Times New Roman" w:cs="Times New Roman"/>
          <w:b/>
          <w:spacing w:val="-8"/>
          <w:sz w:val="21"/>
          <w:szCs w:val="21"/>
        </w:rPr>
        <w:t>]</w:t>
      </w:r>
    </w:p>
    <w:p w:rsidR="00B233DE" w:rsidRPr="00A60F41"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Відповідно до звітів з глобальної конкурентоспроможності, якість системи освіти України знизилась з 3,9 пунктів у 2009 році до 3,6 пунктів у 2012 році (країна перемістилась з 49-го на 70-те місце за цим показником у рейтингу з 133 країн світу) (рис. 4.</w:t>
      </w:r>
      <w:r>
        <w:rPr>
          <w:rFonts w:ascii="Times New Roman" w:hAnsi="Times New Roman" w:cs="Times New Roman"/>
          <w:sz w:val="21"/>
          <w:szCs w:val="21"/>
        </w:rPr>
        <w:t>3</w:t>
      </w:r>
      <w:r w:rsidRPr="00A60F41">
        <w:rPr>
          <w:rFonts w:ascii="Times New Roman" w:hAnsi="Times New Roman" w:cs="Times New Roman"/>
          <w:sz w:val="21"/>
          <w:szCs w:val="21"/>
        </w:rPr>
        <w:t>0) [</w:t>
      </w:r>
      <w:r>
        <w:rPr>
          <w:rFonts w:ascii="Times New Roman" w:hAnsi="Times New Roman" w:cs="Times New Roman"/>
          <w:iCs/>
          <w:sz w:val="21"/>
          <w:szCs w:val="21"/>
          <w:highlight w:val="yellow"/>
          <w:lang w:val="en-US"/>
        </w:rPr>
        <w:fldChar w:fldCharType="begin"/>
      </w:r>
      <w:r>
        <w:rPr>
          <w:rFonts w:ascii="Times New Roman" w:hAnsi="Times New Roman" w:cs="Times New Roman"/>
          <w:sz w:val="21"/>
          <w:szCs w:val="21"/>
        </w:rPr>
        <w:instrText xml:space="preserve"> REF _Ref435188320 \r \h </w:instrText>
      </w:r>
      <w:r>
        <w:rPr>
          <w:rFonts w:ascii="Times New Roman" w:hAnsi="Times New Roman" w:cs="Times New Roman"/>
          <w:iCs/>
          <w:sz w:val="21"/>
          <w:szCs w:val="21"/>
          <w:highlight w:val="yellow"/>
          <w:lang w:val="en-US"/>
        </w:rPr>
      </w:r>
      <w:r>
        <w:rPr>
          <w:rFonts w:ascii="Times New Roman" w:hAnsi="Times New Roman" w:cs="Times New Roman"/>
          <w:iCs/>
          <w:sz w:val="21"/>
          <w:szCs w:val="21"/>
          <w:highlight w:val="yellow"/>
          <w:lang w:val="en-US"/>
        </w:rPr>
        <w:fldChar w:fldCharType="separate"/>
      </w:r>
      <w:r>
        <w:rPr>
          <w:rFonts w:ascii="Times New Roman" w:hAnsi="Times New Roman" w:cs="Times New Roman"/>
          <w:sz w:val="21"/>
          <w:szCs w:val="21"/>
        </w:rPr>
        <w:t>75</w:t>
      </w:r>
      <w:r>
        <w:rPr>
          <w:rFonts w:ascii="Times New Roman" w:hAnsi="Times New Roman" w:cs="Times New Roman"/>
          <w:iCs/>
          <w:sz w:val="21"/>
          <w:szCs w:val="21"/>
          <w:highlight w:val="yellow"/>
          <w:lang w:val="en-US"/>
        </w:rPr>
        <w:fldChar w:fldCharType="end"/>
      </w:r>
      <w:r w:rsidRPr="00A60F41">
        <w:rPr>
          <w:rFonts w:ascii="Times New Roman" w:hAnsi="Times New Roman" w:cs="Times New Roman"/>
          <w:sz w:val="21"/>
          <w:szCs w:val="21"/>
        </w:rPr>
        <w:t>].</w:t>
      </w:r>
    </w:p>
    <w:p w:rsidR="00B233DE"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 xml:space="preserve">Водночас, зменшення значення субіндексу «Відтік мізків» Індексу глобальної конкурентоспроможності вказує на зростання привабливості країни для кваліфікованих працівників. </w:t>
      </w:r>
      <w:r w:rsidRPr="00A60F41">
        <w:rPr>
          <w:rFonts w:ascii="Times New Roman" w:hAnsi="Times New Roman" w:cs="Times New Roman"/>
          <w:spacing w:val="-4"/>
          <w:sz w:val="21"/>
          <w:szCs w:val="21"/>
        </w:rPr>
        <w:t>Водночас, ІГК доводить необхідність ефективного регулювання діяльності державних і приватних інституцій, подолання проблемних факторів бізнес-середовища, підвищення якості системи освіти і загального покращання соціально-економічних умов для розширення можливостей залучення людського потенціалу з перспективою подальшого розвитку [</w:t>
      </w:r>
      <w:r>
        <w:rPr>
          <w:rFonts w:ascii="Times New Roman" w:hAnsi="Times New Roman" w:cs="Times New Roman"/>
          <w:iCs/>
          <w:sz w:val="21"/>
          <w:szCs w:val="21"/>
          <w:highlight w:val="yellow"/>
          <w:lang w:val="en-US"/>
        </w:rPr>
        <w:fldChar w:fldCharType="begin"/>
      </w:r>
      <w:r>
        <w:rPr>
          <w:rFonts w:ascii="Times New Roman" w:hAnsi="Times New Roman" w:cs="Times New Roman"/>
          <w:spacing w:val="-4"/>
          <w:sz w:val="21"/>
          <w:szCs w:val="21"/>
        </w:rPr>
        <w:instrText xml:space="preserve"> REF _Ref435188320 \r \h </w:instrText>
      </w:r>
      <w:r>
        <w:rPr>
          <w:rFonts w:ascii="Times New Roman" w:hAnsi="Times New Roman" w:cs="Times New Roman"/>
          <w:iCs/>
          <w:sz w:val="21"/>
          <w:szCs w:val="21"/>
          <w:highlight w:val="yellow"/>
          <w:lang w:val="en-US"/>
        </w:rPr>
      </w:r>
      <w:r>
        <w:rPr>
          <w:rFonts w:ascii="Times New Roman" w:hAnsi="Times New Roman" w:cs="Times New Roman"/>
          <w:iCs/>
          <w:sz w:val="21"/>
          <w:szCs w:val="21"/>
          <w:highlight w:val="yellow"/>
          <w:lang w:val="en-US"/>
        </w:rPr>
        <w:fldChar w:fldCharType="separate"/>
      </w:r>
      <w:r>
        <w:rPr>
          <w:rFonts w:ascii="Times New Roman" w:hAnsi="Times New Roman" w:cs="Times New Roman"/>
          <w:spacing w:val="-4"/>
          <w:sz w:val="21"/>
          <w:szCs w:val="21"/>
        </w:rPr>
        <w:t>75</w:t>
      </w:r>
      <w:r>
        <w:rPr>
          <w:rFonts w:ascii="Times New Roman" w:hAnsi="Times New Roman" w:cs="Times New Roman"/>
          <w:iCs/>
          <w:sz w:val="21"/>
          <w:szCs w:val="21"/>
          <w:highlight w:val="yellow"/>
          <w:lang w:val="en-US"/>
        </w:rPr>
        <w:fldChar w:fldCharType="end"/>
      </w:r>
      <w:r w:rsidRPr="00A60F41">
        <w:rPr>
          <w:rFonts w:ascii="Times New Roman" w:hAnsi="Times New Roman" w:cs="Times New Roman"/>
          <w:spacing w:val="-4"/>
          <w:sz w:val="21"/>
          <w:szCs w:val="21"/>
        </w:rPr>
        <w:t>].</w:t>
      </w:r>
    </w:p>
    <w:p w:rsidR="00B233DE"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У регіональному розрізі міграційна привабливість України значно диференціюється в залежності від області.</w:t>
      </w:r>
    </w:p>
    <w:p w:rsidR="00B233DE" w:rsidRPr="00A60F41" w:rsidRDefault="00B233DE" w:rsidP="00B233DE">
      <w:pPr>
        <w:ind w:firstLine="0"/>
        <w:jc w:val="both"/>
        <w:rPr>
          <w:rFonts w:ascii="Times New Roman" w:hAnsi="Times New Roman" w:cs="Times New Roman"/>
          <w:sz w:val="21"/>
          <w:szCs w:val="21"/>
        </w:rPr>
      </w:pPr>
      <w:r w:rsidRPr="00A60F41">
        <w:rPr>
          <w:rFonts w:ascii="Times New Roman" w:hAnsi="Times New Roman" w:cs="Times New Roman"/>
          <w:noProof/>
          <w:sz w:val="21"/>
          <w:szCs w:val="21"/>
          <w:lang w:val="ru-RU" w:eastAsia="ru-RU"/>
        </w:rPr>
        <w:lastRenderedPageBreak/>
        <w:drawing>
          <wp:inline distT="0" distB="0" distL="0" distR="0" wp14:anchorId="11E05C77" wp14:editId="67480BDB">
            <wp:extent cx="3857625" cy="2886075"/>
            <wp:effectExtent l="0" t="0" r="9525" b="0"/>
            <wp:docPr id="1387" name="Рисунок 1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857625" cy="2886075"/>
                    </a:xfrm>
                    <a:prstGeom prst="rect">
                      <a:avLst/>
                    </a:prstGeom>
                    <a:noFill/>
                    <a:ln>
                      <a:noFill/>
                    </a:ln>
                  </pic:spPr>
                </pic:pic>
              </a:graphicData>
            </a:graphic>
          </wp:inline>
        </w:drawing>
      </w:r>
    </w:p>
    <w:p w:rsidR="00B233DE" w:rsidRPr="00390E5F" w:rsidRDefault="00B233DE" w:rsidP="00B233DE">
      <w:pPr>
        <w:ind w:firstLine="709"/>
        <w:jc w:val="center"/>
        <w:rPr>
          <w:rFonts w:ascii="Times New Roman" w:hAnsi="Times New Roman" w:cs="Times New Roman"/>
          <w:b/>
          <w:sz w:val="21"/>
          <w:szCs w:val="21"/>
        </w:rPr>
      </w:pPr>
      <w:r w:rsidRPr="00390E5F">
        <w:rPr>
          <w:rFonts w:ascii="Times New Roman" w:hAnsi="Times New Roman" w:cs="Times New Roman"/>
          <w:b/>
          <w:sz w:val="21"/>
          <w:szCs w:val="21"/>
        </w:rPr>
        <w:t>Рис. 4.30</w:t>
      </w:r>
      <w:r>
        <w:rPr>
          <w:rFonts w:ascii="Times New Roman" w:hAnsi="Times New Roman" w:cs="Times New Roman"/>
          <w:b/>
          <w:sz w:val="21"/>
          <w:szCs w:val="21"/>
        </w:rPr>
        <w:t>.</w:t>
      </w:r>
      <w:r w:rsidRPr="00390E5F">
        <w:rPr>
          <w:rFonts w:ascii="Times New Roman" w:hAnsi="Times New Roman" w:cs="Times New Roman"/>
          <w:b/>
          <w:sz w:val="21"/>
          <w:szCs w:val="21"/>
        </w:rPr>
        <w:t xml:space="preserve"> Динаміка Індексу глобальної конкурентоспроможності України та його субіндексів [</w:t>
      </w:r>
      <w:r>
        <w:rPr>
          <w:rFonts w:ascii="Times New Roman" w:hAnsi="Times New Roman" w:cs="Times New Roman"/>
          <w:iCs/>
          <w:sz w:val="21"/>
          <w:szCs w:val="21"/>
          <w:highlight w:val="yellow"/>
          <w:lang w:val="en-US"/>
        </w:rPr>
        <w:fldChar w:fldCharType="begin"/>
      </w:r>
      <w:r>
        <w:rPr>
          <w:rFonts w:ascii="Times New Roman" w:hAnsi="Times New Roman" w:cs="Times New Roman"/>
          <w:b/>
          <w:sz w:val="21"/>
          <w:szCs w:val="21"/>
        </w:rPr>
        <w:instrText xml:space="preserve"> REF _Ref435188320 \r \h </w:instrText>
      </w:r>
      <w:r>
        <w:rPr>
          <w:rFonts w:ascii="Times New Roman" w:hAnsi="Times New Roman" w:cs="Times New Roman"/>
          <w:iCs/>
          <w:sz w:val="21"/>
          <w:szCs w:val="21"/>
          <w:highlight w:val="yellow"/>
          <w:lang w:val="en-US"/>
        </w:rPr>
      </w:r>
      <w:r>
        <w:rPr>
          <w:rFonts w:ascii="Times New Roman" w:hAnsi="Times New Roman" w:cs="Times New Roman"/>
          <w:iCs/>
          <w:sz w:val="21"/>
          <w:szCs w:val="21"/>
          <w:highlight w:val="yellow"/>
          <w:lang w:val="en-US"/>
        </w:rPr>
        <w:fldChar w:fldCharType="separate"/>
      </w:r>
      <w:r>
        <w:rPr>
          <w:rFonts w:ascii="Times New Roman" w:hAnsi="Times New Roman" w:cs="Times New Roman"/>
          <w:b/>
          <w:sz w:val="21"/>
          <w:szCs w:val="21"/>
        </w:rPr>
        <w:t>75</w:t>
      </w:r>
      <w:r>
        <w:rPr>
          <w:rFonts w:ascii="Times New Roman" w:hAnsi="Times New Roman" w:cs="Times New Roman"/>
          <w:iCs/>
          <w:sz w:val="21"/>
          <w:szCs w:val="21"/>
          <w:highlight w:val="yellow"/>
          <w:lang w:val="en-US"/>
        </w:rPr>
        <w:fldChar w:fldCharType="end"/>
      </w:r>
      <w:r w:rsidRPr="00390E5F">
        <w:rPr>
          <w:rFonts w:ascii="Times New Roman" w:hAnsi="Times New Roman" w:cs="Times New Roman"/>
          <w:b/>
          <w:sz w:val="21"/>
          <w:szCs w:val="21"/>
        </w:rPr>
        <w:t>]</w:t>
      </w:r>
    </w:p>
    <w:p w:rsidR="00B233DE" w:rsidRPr="00A60F41" w:rsidRDefault="00B233DE" w:rsidP="00B233DE">
      <w:pPr>
        <w:ind w:firstLine="709"/>
        <w:jc w:val="both"/>
        <w:rPr>
          <w:rFonts w:ascii="Times New Roman" w:hAnsi="Times New Roman" w:cs="Times New Roman"/>
          <w:sz w:val="21"/>
          <w:szCs w:val="21"/>
        </w:rPr>
      </w:pPr>
    </w:p>
    <w:p w:rsidR="00B233DE" w:rsidRPr="00A60F41"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За допомогою таксонометричного методу кластерного аналізу нами здійснено ранжування регіонів України (табл. 4.</w:t>
      </w:r>
      <w:r>
        <w:rPr>
          <w:rFonts w:ascii="Times New Roman" w:hAnsi="Times New Roman" w:cs="Times New Roman"/>
          <w:sz w:val="21"/>
          <w:szCs w:val="21"/>
        </w:rPr>
        <w:t>10</w:t>
      </w:r>
      <w:r w:rsidRPr="00A60F41">
        <w:rPr>
          <w:rFonts w:ascii="Times New Roman" w:hAnsi="Times New Roman" w:cs="Times New Roman"/>
          <w:sz w:val="21"/>
          <w:szCs w:val="21"/>
        </w:rPr>
        <w:t>) за основними показниками міграційної привабливості: міграційному приросту населення, індексу людського розвитку, індексу глобальної конкурентоспроможності та рівню безробіття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_Ref435188339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40</w:t>
      </w:r>
      <w:r>
        <w:rPr>
          <w:rFonts w:ascii="Times New Roman" w:hAnsi="Times New Roman" w:cs="Times New Roman"/>
          <w:sz w:val="21"/>
          <w:szCs w:val="21"/>
          <w:highlight w:val="yellow"/>
        </w:rPr>
        <w:fldChar w:fldCharType="end"/>
      </w:r>
      <w:r w:rsidRPr="00A60F41">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_Ref435187560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w:t>
      </w:r>
      <w:r>
        <w:rPr>
          <w:rFonts w:ascii="Times New Roman" w:hAnsi="Times New Roman" w:cs="Times New Roman"/>
          <w:sz w:val="21"/>
          <w:szCs w:val="21"/>
          <w:highlight w:val="yellow"/>
        </w:rPr>
        <w:fldChar w:fldCharType="end"/>
      </w:r>
      <w:r w:rsidRPr="00A60F41">
        <w:rPr>
          <w:rFonts w:ascii="Times New Roman" w:hAnsi="Times New Roman" w:cs="Times New Roman"/>
          <w:sz w:val="21"/>
          <w:szCs w:val="21"/>
        </w:rPr>
        <w:t xml:space="preserve">, </w:t>
      </w:r>
      <w:r>
        <w:rPr>
          <w:rFonts w:ascii="Times New Roman" w:hAnsi="Times New Roman" w:cs="Times New Roman"/>
          <w:spacing w:val="-4"/>
          <w:sz w:val="21"/>
          <w:szCs w:val="21"/>
          <w:highlight w:val="yellow"/>
        </w:rPr>
        <w:fldChar w:fldCharType="begin"/>
      </w:r>
      <w:r>
        <w:rPr>
          <w:rFonts w:ascii="Times New Roman" w:hAnsi="Times New Roman" w:cs="Times New Roman"/>
          <w:sz w:val="21"/>
          <w:szCs w:val="21"/>
        </w:rPr>
        <w:instrText xml:space="preserve"> REF _Ref435186949 \r \h </w:instrText>
      </w:r>
      <w:r>
        <w:rPr>
          <w:rFonts w:ascii="Times New Roman" w:hAnsi="Times New Roman" w:cs="Times New Roman"/>
          <w:spacing w:val="-4"/>
          <w:sz w:val="21"/>
          <w:szCs w:val="21"/>
          <w:highlight w:val="yellow"/>
        </w:rPr>
      </w:r>
      <w:r>
        <w:rPr>
          <w:rFonts w:ascii="Times New Roman" w:hAnsi="Times New Roman" w:cs="Times New Roman"/>
          <w:spacing w:val="-4"/>
          <w:sz w:val="21"/>
          <w:szCs w:val="21"/>
          <w:highlight w:val="yellow"/>
        </w:rPr>
        <w:fldChar w:fldCharType="separate"/>
      </w:r>
      <w:r>
        <w:rPr>
          <w:rFonts w:ascii="Times New Roman" w:hAnsi="Times New Roman" w:cs="Times New Roman"/>
          <w:sz w:val="21"/>
          <w:szCs w:val="21"/>
        </w:rPr>
        <w:t>9</w:t>
      </w:r>
      <w:r>
        <w:rPr>
          <w:rFonts w:ascii="Times New Roman" w:hAnsi="Times New Roman" w:cs="Times New Roman"/>
          <w:spacing w:val="-4"/>
          <w:sz w:val="21"/>
          <w:szCs w:val="21"/>
          <w:highlight w:val="yellow"/>
        </w:rPr>
        <w:fldChar w:fldCharType="end"/>
      </w:r>
      <w:r w:rsidRPr="00A60F41">
        <w:rPr>
          <w:rFonts w:ascii="Times New Roman" w:hAnsi="Times New Roman" w:cs="Times New Roman"/>
          <w:sz w:val="21"/>
          <w:szCs w:val="21"/>
        </w:rPr>
        <w:t xml:space="preserve">, </w:t>
      </w:r>
      <w:r>
        <w:rPr>
          <w:rFonts w:ascii="Times New Roman" w:hAnsi="Times New Roman" w:cs="Times New Roman"/>
          <w:iCs/>
          <w:sz w:val="21"/>
          <w:szCs w:val="21"/>
          <w:highlight w:val="yellow"/>
        </w:rPr>
        <w:fldChar w:fldCharType="begin"/>
      </w:r>
      <w:r>
        <w:rPr>
          <w:rFonts w:ascii="Times New Roman" w:hAnsi="Times New Roman" w:cs="Times New Roman"/>
          <w:sz w:val="21"/>
          <w:szCs w:val="21"/>
        </w:rPr>
        <w:instrText xml:space="preserve"> REF _Ref435188383 \r \h </w:instrText>
      </w:r>
      <w:r>
        <w:rPr>
          <w:rFonts w:ascii="Times New Roman" w:hAnsi="Times New Roman" w:cs="Times New Roman"/>
          <w:iCs/>
          <w:sz w:val="21"/>
          <w:szCs w:val="21"/>
          <w:highlight w:val="yellow"/>
        </w:rPr>
      </w:r>
      <w:r>
        <w:rPr>
          <w:rFonts w:ascii="Times New Roman" w:hAnsi="Times New Roman" w:cs="Times New Roman"/>
          <w:iCs/>
          <w:sz w:val="21"/>
          <w:szCs w:val="21"/>
          <w:highlight w:val="yellow"/>
        </w:rPr>
        <w:fldChar w:fldCharType="separate"/>
      </w:r>
      <w:r>
        <w:rPr>
          <w:rFonts w:ascii="Times New Roman" w:hAnsi="Times New Roman" w:cs="Times New Roman"/>
          <w:sz w:val="21"/>
          <w:szCs w:val="21"/>
        </w:rPr>
        <w:t>53</w:t>
      </w:r>
      <w:r>
        <w:rPr>
          <w:rFonts w:ascii="Times New Roman" w:hAnsi="Times New Roman" w:cs="Times New Roman"/>
          <w:iCs/>
          <w:sz w:val="21"/>
          <w:szCs w:val="21"/>
          <w:highlight w:val="yellow"/>
        </w:rPr>
        <w:fldChar w:fldCharType="end"/>
      </w:r>
      <w:r w:rsidRPr="00A60F41">
        <w:rPr>
          <w:rFonts w:ascii="Times New Roman" w:hAnsi="Times New Roman" w:cs="Times New Roman"/>
          <w:sz w:val="21"/>
          <w:szCs w:val="21"/>
        </w:rPr>
        <w:t>]. Перші три показники є ознаками-стимуляторами, рівень безробіття є ознакою-дестимулятором.</w:t>
      </w:r>
    </w:p>
    <w:p w:rsidR="00B233DE" w:rsidRDefault="00B233DE" w:rsidP="00B233DE">
      <w:pPr>
        <w:ind w:firstLine="720"/>
        <w:jc w:val="both"/>
        <w:rPr>
          <w:rFonts w:ascii="Times New Roman" w:hAnsi="Times New Roman" w:cs="Times New Roman"/>
          <w:sz w:val="21"/>
          <w:szCs w:val="21"/>
        </w:rPr>
      </w:pPr>
      <w:r w:rsidRPr="00A60F41">
        <w:rPr>
          <w:rFonts w:ascii="Times New Roman" w:hAnsi="Times New Roman" w:cs="Times New Roman"/>
          <w:sz w:val="21"/>
          <w:szCs w:val="21"/>
        </w:rPr>
        <w:t>За отриманими нами результатами, найбільшою міграційною привабливістю характеризуються регіони країни з високим рівнем людського розвитку, конкурентоспроможності та віднос</w:t>
      </w:r>
      <w:r>
        <w:rPr>
          <w:rFonts w:ascii="Times New Roman" w:hAnsi="Times New Roman" w:cs="Times New Roman"/>
          <w:sz w:val="21"/>
          <w:szCs w:val="21"/>
        </w:rPr>
        <w:t xml:space="preserve">но нижчим рівнем безробіття: м. </w:t>
      </w:r>
      <w:r w:rsidRPr="00A60F41">
        <w:rPr>
          <w:rFonts w:ascii="Times New Roman" w:hAnsi="Times New Roman" w:cs="Times New Roman"/>
          <w:sz w:val="21"/>
          <w:szCs w:val="21"/>
        </w:rPr>
        <w:t>Київ, АР Крим, Харківська, Дніпропетровська та Одеська області. Найменша міграційна привабливість притаманна Вінницькій, Сумській, Рівненській та Житомирській областям, як наслідок низького рівня конкурентоспроможності економіки та високого рівня безробіття.</w:t>
      </w:r>
    </w:p>
    <w:p w:rsidR="00B233DE" w:rsidRDefault="00B233DE" w:rsidP="00B233DE">
      <w:pPr>
        <w:ind w:firstLine="720"/>
        <w:jc w:val="both"/>
        <w:rPr>
          <w:rFonts w:ascii="Times New Roman" w:hAnsi="Times New Roman" w:cs="Times New Roman"/>
          <w:sz w:val="21"/>
          <w:szCs w:val="21"/>
        </w:rPr>
      </w:pPr>
      <w:r w:rsidRPr="00A60F41">
        <w:rPr>
          <w:rFonts w:ascii="Times New Roman" w:hAnsi="Times New Roman" w:cs="Times New Roman"/>
          <w:sz w:val="21"/>
          <w:szCs w:val="21"/>
        </w:rPr>
        <w:t xml:space="preserve">Ранжування регіонів країни за міграційною привабливістю дає змогу визначити пріоритетні регіони із запровадження заходів </w:t>
      </w:r>
      <w:r w:rsidRPr="00A60F41">
        <w:rPr>
          <w:rFonts w:ascii="Times New Roman" w:hAnsi="Times New Roman" w:cs="Times New Roman"/>
          <w:sz w:val="21"/>
          <w:szCs w:val="21"/>
        </w:rPr>
        <w:lastRenderedPageBreak/>
        <w:t>підвищення міграційної привабливості, проведення відповідних соціально-економічних реформ; дозволяє скоординувати напрями управління міграційними потоками, зокрема, в області розселення та працевлаштування іммігрантів.</w:t>
      </w:r>
    </w:p>
    <w:p w:rsidR="00B233DE" w:rsidRDefault="00B233DE" w:rsidP="00B233DE">
      <w:pPr>
        <w:ind w:firstLine="720"/>
        <w:jc w:val="both"/>
        <w:rPr>
          <w:rFonts w:ascii="Times New Roman" w:hAnsi="Times New Roman" w:cs="Times New Roman"/>
          <w:sz w:val="21"/>
          <w:szCs w:val="21"/>
        </w:rPr>
      </w:pPr>
    </w:p>
    <w:p w:rsidR="00B233DE" w:rsidRPr="00A60F41" w:rsidRDefault="00B233DE" w:rsidP="00B233DE">
      <w:pPr>
        <w:ind w:firstLine="720"/>
        <w:jc w:val="right"/>
        <w:rPr>
          <w:rFonts w:ascii="Times New Roman" w:hAnsi="Times New Roman" w:cs="Times New Roman"/>
          <w:sz w:val="21"/>
          <w:szCs w:val="21"/>
        </w:rPr>
      </w:pPr>
      <w:r w:rsidRPr="00A60F41">
        <w:rPr>
          <w:rFonts w:ascii="Times New Roman" w:hAnsi="Times New Roman" w:cs="Times New Roman"/>
          <w:sz w:val="21"/>
          <w:szCs w:val="21"/>
        </w:rPr>
        <w:t>Таблиця 4</w:t>
      </w:r>
      <w:r>
        <w:rPr>
          <w:rFonts w:ascii="Times New Roman" w:hAnsi="Times New Roman" w:cs="Times New Roman"/>
          <w:sz w:val="21"/>
          <w:szCs w:val="21"/>
        </w:rPr>
        <w:t>.10</w:t>
      </w:r>
    </w:p>
    <w:p w:rsidR="00B233DE" w:rsidRPr="00A60F41" w:rsidRDefault="00B233DE" w:rsidP="00B233DE">
      <w:pPr>
        <w:ind w:firstLine="720"/>
        <w:jc w:val="center"/>
        <w:rPr>
          <w:rFonts w:ascii="Times New Roman" w:hAnsi="Times New Roman" w:cs="Times New Roman"/>
          <w:sz w:val="21"/>
          <w:szCs w:val="21"/>
        </w:rPr>
      </w:pPr>
      <w:r w:rsidRPr="00A60F41">
        <w:rPr>
          <w:rFonts w:ascii="Times New Roman" w:hAnsi="Times New Roman" w:cs="Times New Roman"/>
          <w:sz w:val="21"/>
          <w:szCs w:val="21"/>
        </w:rPr>
        <w:t>Ранжування регіонів України за показниками міграційної привабливості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04"/>
        <w:gridCol w:w="1163"/>
        <w:gridCol w:w="649"/>
        <w:gridCol w:w="582"/>
        <w:gridCol w:w="996"/>
        <w:gridCol w:w="657"/>
        <w:gridCol w:w="689"/>
      </w:tblGrid>
      <w:tr w:rsidR="00B233DE" w:rsidRPr="00A60F41" w:rsidTr="0023489B">
        <w:tc>
          <w:tcPr>
            <w:tcW w:w="1604"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Регіони України (за місцем у рейтингу)</w:t>
            </w:r>
          </w:p>
        </w:tc>
        <w:tc>
          <w:tcPr>
            <w:tcW w:w="3390" w:type="dxa"/>
            <w:gridSpan w:val="4"/>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Вихідні показники, що характеризують міграційну привабливість регіонів України за 2013 рік</w:t>
            </w:r>
          </w:p>
        </w:tc>
        <w:tc>
          <w:tcPr>
            <w:tcW w:w="1346" w:type="dxa"/>
            <w:gridSpan w:val="2"/>
          </w:tcPr>
          <w:p w:rsidR="00B233DE" w:rsidRPr="00E90E64" w:rsidRDefault="00B233DE" w:rsidP="0023489B">
            <w:pPr>
              <w:ind w:left="-10" w:right="-113" w:firstLine="0"/>
              <w:jc w:val="center"/>
              <w:rPr>
                <w:rFonts w:ascii="Times New Roman" w:hAnsi="Times New Roman" w:cs="Times New Roman"/>
                <w:sz w:val="16"/>
                <w:szCs w:val="16"/>
              </w:rPr>
            </w:pPr>
            <w:r w:rsidRPr="00E90E64">
              <w:rPr>
                <w:rFonts w:ascii="Times New Roman" w:hAnsi="Times New Roman" w:cs="Times New Roman"/>
                <w:sz w:val="16"/>
                <w:szCs w:val="16"/>
              </w:rPr>
              <w:t>Рейтингова оцін</w:t>
            </w:r>
            <w:r>
              <w:rPr>
                <w:rFonts w:ascii="Times New Roman" w:hAnsi="Times New Roman" w:cs="Times New Roman"/>
                <w:sz w:val="16"/>
                <w:szCs w:val="16"/>
              </w:rPr>
              <w:t>-</w:t>
            </w:r>
            <w:r w:rsidRPr="00E90E64">
              <w:rPr>
                <w:rFonts w:ascii="Times New Roman" w:hAnsi="Times New Roman" w:cs="Times New Roman"/>
                <w:sz w:val="16"/>
                <w:szCs w:val="16"/>
              </w:rPr>
              <w:t>ка міграційної привабливості регіонів України</w:t>
            </w:r>
          </w:p>
        </w:tc>
      </w:tr>
      <w:tr w:rsidR="00B233DE" w:rsidRPr="00A60F41" w:rsidTr="0023489B">
        <w:tc>
          <w:tcPr>
            <w:tcW w:w="1604" w:type="dxa"/>
            <w:vAlign w:val="center"/>
          </w:tcPr>
          <w:p w:rsidR="00B233DE" w:rsidRPr="00E90E64" w:rsidRDefault="00B233DE" w:rsidP="0023489B">
            <w:pPr>
              <w:ind w:firstLine="0"/>
              <w:jc w:val="center"/>
              <w:rPr>
                <w:rFonts w:ascii="Times New Roman" w:hAnsi="Times New Roman" w:cs="Times New Roman"/>
                <w:sz w:val="16"/>
                <w:szCs w:val="16"/>
              </w:rPr>
            </w:pP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Міграційний приріст</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ІЛР</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ІГК</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Рівень безробіття</w:t>
            </w:r>
          </w:p>
        </w:tc>
        <w:tc>
          <w:tcPr>
            <w:tcW w:w="657" w:type="dxa"/>
            <w:vAlign w:val="center"/>
          </w:tcPr>
          <w:p w:rsidR="00B233DE" w:rsidRPr="00E90E64" w:rsidRDefault="00B233DE" w:rsidP="0023489B">
            <w:pPr>
              <w:ind w:firstLine="0"/>
              <w:jc w:val="center"/>
              <w:rPr>
                <w:rFonts w:ascii="Times New Roman" w:hAnsi="Times New Roman" w:cs="Times New Roman"/>
                <w:sz w:val="16"/>
                <w:szCs w:val="16"/>
                <w:lang w:val="en-US"/>
              </w:rPr>
            </w:pPr>
            <w:r w:rsidRPr="00E90E64">
              <w:rPr>
                <w:rFonts w:ascii="Times New Roman" w:hAnsi="Times New Roman" w:cs="Times New Roman"/>
                <w:sz w:val="16"/>
                <w:szCs w:val="16"/>
                <w:lang w:val="en-US"/>
              </w:rPr>
              <w:t>d</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місце</w:t>
            </w:r>
          </w:p>
        </w:tc>
      </w:tr>
      <w:tr w:rsidR="00B233DE" w:rsidRPr="00A60F41" w:rsidTr="0023489B">
        <w:tc>
          <w:tcPr>
            <w:tcW w:w="1604" w:type="dxa"/>
            <w:vAlign w:val="bottom"/>
          </w:tcPr>
          <w:p w:rsidR="00B233DE" w:rsidRPr="00E90E64" w:rsidRDefault="00B233DE" w:rsidP="0023489B">
            <w:pPr>
              <w:ind w:firstLine="0"/>
              <w:jc w:val="both"/>
              <w:rPr>
                <w:rFonts w:ascii="Times New Roman" w:hAnsi="Times New Roman" w:cs="Times New Roman"/>
                <w:sz w:val="16"/>
                <w:szCs w:val="16"/>
              </w:rPr>
            </w:pPr>
            <w:r w:rsidRPr="00E90E64">
              <w:rPr>
                <w:rFonts w:ascii="Times New Roman" w:hAnsi="Times New Roman" w:cs="Times New Roman"/>
                <w:sz w:val="16"/>
                <w:szCs w:val="16"/>
              </w:rPr>
              <w:t>м.Київ</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4155</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0,673</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4,37</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5,6</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0,778</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1</w:t>
            </w:r>
          </w:p>
        </w:tc>
      </w:tr>
      <w:tr w:rsidR="00B233DE" w:rsidRPr="00A60F41" w:rsidTr="0023489B">
        <w:tc>
          <w:tcPr>
            <w:tcW w:w="1604" w:type="dxa"/>
            <w:vAlign w:val="bottom"/>
          </w:tcPr>
          <w:p w:rsidR="00B233DE" w:rsidRPr="00E90E64" w:rsidRDefault="00B233DE" w:rsidP="0023489B">
            <w:pPr>
              <w:ind w:firstLine="0"/>
              <w:jc w:val="both"/>
              <w:rPr>
                <w:rFonts w:ascii="Times New Roman" w:hAnsi="Times New Roman" w:cs="Times New Roman"/>
                <w:sz w:val="16"/>
                <w:szCs w:val="16"/>
              </w:rPr>
            </w:pPr>
            <w:r w:rsidRPr="00E90E64">
              <w:rPr>
                <w:rFonts w:ascii="Times New Roman" w:hAnsi="Times New Roman" w:cs="Times New Roman"/>
                <w:sz w:val="16"/>
                <w:szCs w:val="16"/>
              </w:rPr>
              <w:t>Харківська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3847</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0,562</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4,19</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7</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0,122</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2</w:t>
            </w:r>
          </w:p>
        </w:tc>
      </w:tr>
      <w:tr w:rsidR="00B233DE" w:rsidRPr="00A60F41" w:rsidTr="0023489B">
        <w:tc>
          <w:tcPr>
            <w:tcW w:w="1604" w:type="dxa"/>
            <w:vAlign w:val="bottom"/>
          </w:tcPr>
          <w:p w:rsidR="00B233DE" w:rsidRPr="00E90E64" w:rsidRDefault="00B233DE" w:rsidP="0023489B">
            <w:pPr>
              <w:ind w:firstLine="0"/>
              <w:jc w:val="both"/>
              <w:rPr>
                <w:rFonts w:ascii="Times New Roman" w:hAnsi="Times New Roman" w:cs="Times New Roman"/>
                <w:sz w:val="16"/>
                <w:szCs w:val="16"/>
              </w:rPr>
            </w:pPr>
            <w:r w:rsidRPr="00E90E64">
              <w:rPr>
                <w:rFonts w:ascii="Times New Roman" w:hAnsi="Times New Roman" w:cs="Times New Roman"/>
                <w:sz w:val="16"/>
                <w:szCs w:val="16"/>
              </w:rPr>
              <w:t>Одеська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3248</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0,466</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4,55</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6</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-0,211</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w:t>
            </w:r>
          </w:p>
        </w:tc>
      </w:tr>
      <w:tr w:rsidR="00B233DE" w:rsidRPr="00A60F41" w:rsidTr="0023489B">
        <w:tc>
          <w:tcPr>
            <w:tcW w:w="1604" w:type="dxa"/>
            <w:vAlign w:val="bottom"/>
          </w:tcPr>
          <w:p w:rsidR="00B233DE" w:rsidRPr="00E90E64" w:rsidRDefault="00B233DE" w:rsidP="0023489B">
            <w:pPr>
              <w:ind w:firstLine="0"/>
              <w:jc w:val="both"/>
              <w:rPr>
                <w:rFonts w:ascii="Times New Roman" w:hAnsi="Times New Roman" w:cs="Times New Roman"/>
                <w:sz w:val="16"/>
                <w:szCs w:val="16"/>
              </w:rPr>
            </w:pPr>
            <w:r w:rsidRPr="00E90E64">
              <w:rPr>
                <w:rFonts w:ascii="Times New Roman" w:hAnsi="Times New Roman" w:cs="Times New Roman"/>
                <w:sz w:val="16"/>
                <w:szCs w:val="16"/>
              </w:rPr>
              <w:t>Дніпропетровська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1812</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0,474</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4,16</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6,8</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-0,239</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4</w:t>
            </w:r>
          </w:p>
        </w:tc>
      </w:tr>
      <w:tr w:rsidR="00B233DE" w:rsidRPr="00A60F41" w:rsidTr="0023489B">
        <w:tc>
          <w:tcPr>
            <w:tcW w:w="1604" w:type="dxa"/>
            <w:vAlign w:val="bottom"/>
          </w:tcPr>
          <w:p w:rsidR="00B233DE" w:rsidRPr="00E90E64" w:rsidRDefault="00B233DE" w:rsidP="0023489B">
            <w:pPr>
              <w:ind w:firstLine="0"/>
              <w:jc w:val="both"/>
              <w:rPr>
                <w:rFonts w:ascii="Times New Roman" w:hAnsi="Times New Roman" w:cs="Times New Roman"/>
                <w:sz w:val="16"/>
                <w:szCs w:val="16"/>
              </w:rPr>
            </w:pPr>
            <w:r w:rsidRPr="00E90E64">
              <w:rPr>
                <w:rFonts w:ascii="Times New Roman" w:hAnsi="Times New Roman" w:cs="Times New Roman"/>
                <w:sz w:val="16"/>
                <w:szCs w:val="16"/>
              </w:rPr>
              <w:t>Полтавська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1000</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0,526</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4,02</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9,2</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-0,278</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5</w:t>
            </w:r>
          </w:p>
        </w:tc>
      </w:tr>
      <w:tr w:rsidR="00B233DE" w:rsidRPr="00A60F41" w:rsidTr="0023489B">
        <w:tc>
          <w:tcPr>
            <w:tcW w:w="1604" w:type="dxa"/>
            <w:vAlign w:val="bottom"/>
          </w:tcPr>
          <w:p w:rsidR="00B233DE" w:rsidRPr="00E90E64" w:rsidRDefault="00B233DE" w:rsidP="0023489B">
            <w:pPr>
              <w:ind w:firstLine="0"/>
              <w:jc w:val="both"/>
              <w:rPr>
                <w:rFonts w:ascii="Times New Roman" w:hAnsi="Times New Roman" w:cs="Times New Roman"/>
                <w:sz w:val="16"/>
                <w:szCs w:val="16"/>
              </w:rPr>
            </w:pPr>
            <w:r w:rsidRPr="00E90E64">
              <w:rPr>
                <w:rFonts w:ascii="Times New Roman" w:hAnsi="Times New Roman" w:cs="Times New Roman"/>
                <w:sz w:val="16"/>
                <w:szCs w:val="16"/>
              </w:rPr>
              <w:t>Запорізька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870</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0,477</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4,07</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4,07</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-0,307</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6</w:t>
            </w:r>
          </w:p>
        </w:tc>
      </w:tr>
      <w:tr w:rsidR="00B233DE" w:rsidRPr="00A60F41" w:rsidTr="0023489B">
        <w:tc>
          <w:tcPr>
            <w:tcW w:w="1604" w:type="dxa"/>
            <w:vAlign w:val="bottom"/>
          </w:tcPr>
          <w:p w:rsidR="00B233DE" w:rsidRPr="00E90E64" w:rsidRDefault="00B233DE" w:rsidP="0023489B">
            <w:pPr>
              <w:ind w:firstLine="0"/>
              <w:jc w:val="both"/>
              <w:rPr>
                <w:rFonts w:ascii="Times New Roman" w:hAnsi="Times New Roman" w:cs="Times New Roman"/>
                <w:sz w:val="16"/>
                <w:szCs w:val="16"/>
              </w:rPr>
            </w:pPr>
            <w:r w:rsidRPr="00E90E64">
              <w:rPr>
                <w:rFonts w:ascii="Times New Roman" w:hAnsi="Times New Roman" w:cs="Times New Roman"/>
                <w:sz w:val="16"/>
                <w:szCs w:val="16"/>
              </w:rPr>
              <w:t>Хмельницька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232</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0,523</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3,92</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8,8</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-0,382</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7</w:t>
            </w:r>
          </w:p>
        </w:tc>
      </w:tr>
      <w:tr w:rsidR="00B233DE" w:rsidRPr="00A60F41" w:rsidTr="0023489B">
        <w:tc>
          <w:tcPr>
            <w:tcW w:w="1604" w:type="dxa"/>
            <w:vAlign w:val="bottom"/>
          </w:tcPr>
          <w:p w:rsidR="00B233DE" w:rsidRPr="00E90E64" w:rsidRDefault="00B233DE" w:rsidP="0023489B">
            <w:pPr>
              <w:ind w:firstLine="0"/>
              <w:jc w:val="both"/>
              <w:rPr>
                <w:rFonts w:ascii="Times New Roman" w:hAnsi="Times New Roman" w:cs="Times New Roman"/>
                <w:sz w:val="16"/>
                <w:szCs w:val="16"/>
              </w:rPr>
            </w:pPr>
            <w:r w:rsidRPr="00E90E64">
              <w:rPr>
                <w:rFonts w:ascii="Times New Roman" w:hAnsi="Times New Roman" w:cs="Times New Roman"/>
                <w:sz w:val="16"/>
                <w:szCs w:val="16"/>
              </w:rPr>
              <w:t>Львівська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633</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0,472</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4</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7,7</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-0,411</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8</w:t>
            </w:r>
          </w:p>
        </w:tc>
      </w:tr>
      <w:tr w:rsidR="00B233DE" w:rsidRPr="00A60F41" w:rsidTr="0023489B">
        <w:tc>
          <w:tcPr>
            <w:tcW w:w="1604" w:type="dxa"/>
            <w:vAlign w:val="bottom"/>
          </w:tcPr>
          <w:p w:rsidR="00B233DE" w:rsidRPr="00E90E64" w:rsidRDefault="00B233DE" w:rsidP="0023489B">
            <w:pPr>
              <w:ind w:firstLine="0"/>
              <w:jc w:val="both"/>
              <w:rPr>
                <w:rFonts w:ascii="Times New Roman" w:hAnsi="Times New Roman" w:cs="Times New Roman"/>
                <w:sz w:val="16"/>
                <w:szCs w:val="16"/>
              </w:rPr>
            </w:pPr>
            <w:r w:rsidRPr="00E90E64">
              <w:rPr>
                <w:rFonts w:ascii="Times New Roman" w:hAnsi="Times New Roman" w:cs="Times New Roman"/>
                <w:sz w:val="16"/>
                <w:szCs w:val="16"/>
              </w:rPr>
              <w:t>Волинська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312</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0,487</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3,99</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8,3</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-0,432</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9</w:t>
            </w:r>
          </w:p>
        </w:tc>
      </w:tr>
      <w:tr w:rsidR="00B233DE" w:rsidRPr="00A60F41" w:rsidTr="0023489B">
        <w:tc>
          <w:tcPr>
            <w:tcW w:w="1604" w:type="dxa"/>
            <w:vAlign w:val="bottom"/>
          </w:tcPr>
          <w:p w:rsidR="00B233DE" w:rsidRPr="00E90E64" w:rsidRDefault="00B233DE" w:rsidP="0023489B">
            <w:pPr>
              <w:ind w:firstLine="0"/>
              <w:jc w:val="both"/>
              <w:rPr>
                <w:rFonts w:ascii="Times New Roman" w:hAnsi="Times New Roman" w:cs="Times New Roman"/>
                <w:sz w:val="16"/>
                <w:szCs w:val="16"/>
              </w:rPr>
            </w:pPr>
            <w:r w:rsidRPr="00E90E64">
              <w:rPr>
                <w:rFonts w:ascii="Times New Roman" w:hAnsi="Times New Roman" w:cs="Times New Roman"/>
                <w:sz w:val="16"/>
                <w:szCs w:val="16"/>
              </w:rPr>
              <w:t>Чернівецька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719</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0,482</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3,95</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8,2</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-0,448</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10</w:t>
            </w:r>
          </w:p>
        </w:tc>
      </w:tr>
      <w:tr w:rsidR="00B233DE" w:rsidRPr="00A60F41" w:rsidTr="0023489B">
        <w:tc>
          <w:tcPr>
            <w:tcW w:w="1604" w:type="dxa"/>
            <w:vAlign w:val="bottom"/>
          </w:tcPr>
          <w:p w:rsidR="00B233DE" w:rsidRPr="00E90E64" w:rsidRDefault="00B233DE" w:rsidP="0023489B">
            <w:pPr>
              <w:ind w:firstLine="0"/>
              <w:jc w:val="both"/>
              <w:rPr>
                <w:rFonts w:ascii="Times New Roman" w:hAnsi="Times New Roman" w:cs="Times New Roman"/>
                <w:sz w:val="16"/>
                <w:szCs w:val="16"/>
              </w:rPr>
            </w:pPr>
            <w:r w:rsidRPr="00E90E64">
              <w:rPr>
                <w:rFonts w:ascii="Times New Roman" w:hAnsi="Times New Roman" w:cs="Times New Roman"/>
                <w:sz w:val="16"/>
                <w:szCs w:val="16"/>
              </w:rPr>
              <w:t>Миколаївська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580</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0,475</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3,97</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8,1</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-0,476</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11</w:t>
            </w:r>
          </w:p>
        </w:tc>
      </w:tr>
      <w:tr w:rsidR="00B233DE" w:rsidRPr="00A60F41" w:rsidTr="0023489B">
        <w:tc>
          <w:tcPr>
            <w:tcW w:w="1604" w:type="dxa"/>
            <w:vAlign w:val="bottom"/>
          </w:tcPr>
          <w:p w:rsidR="00B233DE" w:rsidRPr="00E90E64" w:rsidRDefault="00B233DE" w:rsidP="0023489B">
            <w:pPr>
              <w:ind w:firstLine="0"/>
              <w:jc w:val="both"/>
              <w:rPr>
                <w:rFonts w:ascii="Times New Roman" w:hAnsi="Times New Roman" w:cs="Times New Roman"/>
                <w:sz w:val="16"/>
                <w:szCs w:val="16"/>
              </w:rPr>
            </w:pPr>
            <w:r w:rsidRPr="00E90E64">
              <w:rPr>
                <w:rFonts w:ascii="Times New Roman" w:hAnsi="Times New Roman" w:cs="Times New Roman"/>
                <w:sz w:val="16"/>
                <w:szCs w:val="16"/>
              </w:rPr>
              <w:t>Донецька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1267</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0,426</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4,14</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8,2</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-0,533</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12</w:t>
            </w:r>
          </w:p>
        </w:tc>
      </w:tr>
      <w:tr w:rsidR="00B233DE" w:rsidRPr="00A60F41" w:rsidTr="0023489B">
        <w:tc>
          <w:tcPr>
            <w:tcW w:w="1604" w:type="dxa"/>
            <w:vAlign w:val="bottom"/>
          </w:tcPr>
          <w:p w:rsidR="00B233DE" w:rsidRPr="00E90E64" w:rsidRDefault="00B233DE" w:rsidP="0023489B">
            <w:pPr>
              <w:ind w:firstLine="0"/>
              <w:jc w:val="both"/>
              <w:rPr>
                <w:rFonts w:ascii="Times New Roman" w:hAnsi="Times New Roman" w:cs="Times New Roman"/>
                <w:sz w:val="16"/>
                <w:szCs w:val="16"/>
              </w:rPr>
            </w:pPr>
            <w:r w:rsidRPr="00E90E64">
              <w:rPr>
                <w:rFonts w:ascii="Times New Roman" w:hAnsi="Times New Roman" w:cs="Times New Roman"/>
                <w:sz w:val="16"/>
                <w:szCs w:val="16"/>
              </w:rPr>
              <w:t>Закарпатська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-328</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0,489</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3,95</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9,6</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-0,551</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13</w:t>
            </w:r>
          </w:p>
        </w:tc>
      </w:tr>
      <w:tr w:rsidR="00B233DE" w:rsidRPr="00A60F41" w:rsidTr="0023489B">
        <w:tc>
          <w:tcPr>
            <w:tcW w:w="1604" w:type="dxa"/>
            <w:vAlign w:val="bottom"/>
          </w:tcPr>
          <w:p w:rsidR="00B233DE" w:rsidRPr="00E90E64" w:rsidRDefault="00B233DE" w:rsidP="0023489B">
            <w:pPr>
              <w:ind w:firstLine="0"/>
              <w:jc w:val="both"/>
              <w:rPr>
                <w:rFonts w:ascii="Times New Roman" w:hAnsi="Times New Roman" w:cs="Times New Roman"/>
                <w:sz w:val="16"/>
                <w:szCs w:val="16"/>
              </w:rPr>
            </w:pPr>
            <w:r w:rsidRPr="00E90E64">
              <w:rPr>
                <w:rFonts w:ascii="Times New Roman" w:hAnsi="Times New Roman" w:cs="Times New Roman"/>
                <w:sz w:val="16"/>
                <w:szCs w:val="16"/>
              </w:rPr>
              <w:t>Сумська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118</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0,470</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3,98</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9,1</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-0,559</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14</w:t>
            </w:r>
          </w:p>
        </w:tc>
      </w:tr>
      <w:tr w:rsidR="00B233DE" w:rsidRPr="00A60F41" w:rsidTr="0023489B">
        <w:tc>
          <w:tcPr>
            <w:tcW w:w="1604" w:type="dxa"/>
            <w:vAlign w:val="bottom"/>
          </w:tcPr>
          <w:p w:rsidR="00B233DE" w:rsidRPr="00E90E64" w:rsidRDefault="00B233DE" w:rsidP="0023489B">
            <w:pPr>
              <w:ind w:firstLine="0"/>
              <w:jc w:val="both"/>
              <w:rPr>
                <w:rFonts w:ascii="Times New Roman" w:hAnsi="Times New Roman" w:cs="Times New Roman"/>
                <w:sz w:val="16"/>
                <w:szCs w:val="16"/>
              </w:rPr>
            </w:pPr>
            <w:r w:rsidRPr="00E90E64">
              <w:rPr>
                <w:rFonts w:ascii="Times New Roman" w:hAnsi="Times New Roman" w:cs="Times New Roman"/>
                <w:sz w:val="16"/>
                <w:szCs w:val="16"/>
              </w:rPr>
              <w:t>Івано–Франківська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767</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0,460</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3,93</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8,7</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-0,581</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15</w:t>
            </w:r>
          </w:p>
        </w:tc>
      </w:tr>
      <w:tr w:rsidR="00B233DE" w:rsidRPr="00A60F41" w:rsidTr="0023489B">
        <w:tc>
          <w:tcPr>
            <w:tcW w:w="1604" w:type="dxa"/>
            <w:vAlign w:val="bottom"/>
          </w:tcPr>
          <w:p w:rsidR="00B233DE" w:rsidRPr="00E90E64" w:rsidRDefault="00B233DE" w:rsidP="0023489B">
            <w:pPr>
              <w:ind w:firstLine="0"/>
              <w:jc w:val="both"/>
              <w:rPr>
                <w:rFonts w:ascii="Times New Roman" w:hAnsi="Times New Roman" w:cs="Times New Roman"/>
                <w:sz w:val="16"/>
                <w:szCs w:val="16"/>
              </w:rPr>
            </w:pPr>
            <w:r w:rsidRPr="00E90E64">
              <w:rPr>
                <w:rFonts w:ascii="Times New Roman" w:hAnsi="Times New Roman" w:cs="Times New Roman"/>
                <w:sz w:val="16"/>
                <w:szCs w:val="16"/>
              </w:rPr>
              <w:t>Вінницька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628</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0,466</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3,97</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9,7</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-0,589</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16</w:t>
            </w:r>
          </w:p>
        </w:tc>
      </w:tr>
      <w:tr w:rsidR="00B233DE" w:rsidRPr="00A60F41" w:rsidTr="0023489B">
        <w:tc>
          <w:tcPr>
            <w:tcW w:w="1604" w:type="dxa"/>
            <w:vAlign w:val="bottom"/>
          </w:tcPr>
          <w:p w:rsidR="00B233DE" w:rsidRPr="00E90E64" w:rsidRDefault="00B233DE" w:rsidP="0023489B">
            <w:pPr>
              <w:ind w:firstLine="0"/>
              <w:jc w:val="both"/>
              <w:rPr>
                <w:rFonts w:ascii="Times New Roman" w:hAnsi="Times New Roman" w:cs="Times New Roman"/>
                <w:sz w:val="16"/>
                <w:szCs w:val="16"/>
              </w:rPr>
            </w:pPr>
            <w:r w:rsidRPr="00E90E64">
              <w:rPr>
                <w:rFonts w:ascii="Times New Roman" w:hAnsi="Times New Roman" w:cs="Times New Roman"/>
                <w:sz w:val="16"/>
                <w:szCs w:val="16"/>
              </w:rPr>
              <w:t>Луганська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2578</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0,434</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3,93</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6,6</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-0,599</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17</w:t>
            </w:r>
          </w:p>
        </w:tc>
      </w:tr>
      <w:tr w:rsidR="00B233DE" w:rsidRPr="00A60F41" w:rsidTr="0023489B">
        <w:tc>
          <w:tcPr>
            <w:tcW w:w="1604" w:type="dxa"/>
            <w:vAlign w:val="bottom"/>
          </w:tcPr>
          <w:p w:rsidR="00B233DE" w:rsidRPr="00E90E64" w:rsidRDefault="00B233DE" w:rsidP="0023489B">
            <w:pPr>
              <w:ind w:firstLine="0"/>
              <w:jc w:val="both"/>
              <w:rPr>
                <w:rFonts w:ascii="Times New Roman" w:hAnsi="Times New Roman" w:cs="Times New Roman"/>
                <w:sz w:val="16"/>
                <w:szCs w:val="16"/>
              </w:rPr>
            </w:pPr>
            <w:r w:rsidRPr="00E90E64">
              <w:rPr>
                <w:rFonts w:ascii="Times New Roman" w:hAnsi="Times New Roman" w:cs="Times New Roman"/>
                <w:sz w:val="16"/>
                <w:szCs w:val="16"/>
              </w:rPr>
              <w:t>Черкаська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688</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0,465</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3,94</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9,2</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-0,602</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18</w:t>
            </w:r>
          </w:p>
        </w:tc>
      </w:tr>
      <w:tr w:rsidR="00B233DE" w:rsidRPr="00A60F41" w:rsidTr="0023489B">
        <w:tc>
          <w:tcPr>
            <w:tcW w:w="1604" w:type="dxa"/>
            <w:vAlign w:val="bottom"/>
          </w:tcPr>
          <w:p w:rsidR="00B233DE" w:rsidRPr="00E90E64" w:rsidRDefault="00B233DE" w:rsidP="0023489B">
            <w:pPr>
              <w:ind w:firstLine="0"/>
              <w:jc w:val="both"/>
              <w:rPr>
                <w:rFonts w:ascii="Times New Roman" w:hAnsi="Times New Roman" w:cs="Times New Roman"/>
                <w:sz w:val="16"/>
                <w:szCs w:val="16"/>
              </w:rPr>
            </w:pPr>
            <w:r w:rsidRPr="00E90E64">
              <w:rPr>
                <w:rFonts w:ascii="Times New Roman" w:hAnsi="Times New Roman" w:cs="Times New Roman"/>
                <w:sz w:val="16"/>
                <w:szCs w:val="16"/>
              </w:rPr>
              <w:t>Чернігівська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513</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0,498</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3,87</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10,4</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-0,621</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19</w:t>
            </w:r>
          </w:p>
        </w:tc>
      </w:tr>
      <w:tr w:rsidR="00B233DE" w:rsidRPr="00A60F41" w:rsidTr="0023489B">
        <w:trPr>
          <w:trHeight w:val="235"/>
        </w:trPr>
        <w:tc>
          <w:tcPr>
            <w:tcW w:w="1604" w:type="dxa"/>
            <w:vAlign w:val="bottom"/>
          </w:tcPr>
          <w:p w:rsidR="00B233DE" w:rsidRPr="00F05EE5" w:rsidRDefault="00B233DE" w:rsidP="0023489B">
            <w:pPr>
              <w:ind w:right="-172" w:firstLine="0"/>
              <w:jc w:val="both"/>
              <w:rPr>
                <w:rFonts w:ascii="Times New Roman" w:hAnsi="Times New Roman" w:cs="Times New Roman"/>
                <w:sz w:val="16"/>
                <w:szCs w:val="16"/>
              </w:rPr>
            </w:pPr>
            <w:r w:rsidRPr="00F05EE5">
              <w:rPr>
                <w:rFonts w:ascii="Times New Roman" w:hAnsi="Times New Roman" w:cs="Times New Roman"/>
                <w:sz w:val="16"/>
                <w:szCs w:val="16"/>
              </w:rPr>
              <w:t>Херсонська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228</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0,480</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3,82</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9</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-0,642</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20</w:t>
            </w:r>
          </w:p>
        </w:tc>
      </w:tr>
      <w:tr w:rsidR="00B233DE" w:rsidRPr="00A60F41" w:rsidTr="0023489B">
        <w:tc>
          <w:tcPr>
            <w:tcW w:w="1604" w:type="dxa"/>
            <w:vAlign w:val="bottom"/>
          </w:tcPr>
          <w:p w:rsidR="00B233DE" w:rsidRPr="00F05EE5" w:rsidRDefault="00B233DE" w:rsidP="0023489B">
            <w:pPr>
              <w:ind w:right="-172" w:firstLine="0"/>
              <w:jc w:val="both"/>
              <w:rPr>
                <w:rFonts w:ascii="Times New Roman" w:hAnsi="Times New Roman" w:cs="Times New Roman"/>
                <w:sz w:val="16"/>
                <w:szCs w:val="16"/>
              </w:rPr>
            </w:pPr>
            <w:r w:rsidRPr="00F05EE5">
              <w:rPr>
                <w:rFonts w:ascii="Times New Roman" w:hAnsi="Times New Roman" w:cs="Times New Roman"/>
                <w:sz w:val="16"/>
                <w:szCs w:val="16"/>
              </w:rPr>
              <w:t>Рівненська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245</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0,473</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3,98</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10,4</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-0,645</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21</w:t>
            </w:r>
          </w:p>
        </w:tc>
      </w:tr>
      <w:tr w:rsidR="00B233DE" w:rsidRPr="00A60F41" w:rsidTr="0023489B">
        <w:tc>
          <w:tcPr>
            <w:tcW w:w="1604" w:type="dxa"/>
            <w:vAlign w:val="bottom"/>
          </w:tcPr>
          <w:p w:rsidR="00B233DE" w:rsidRPr="00F05EE5" w:rsidRDefault="00B233DE" w:rsidP="0023489B">
            <w:pPr>
              <w:ind w:right="-172" w:firstLine="0"/>
              <w:jc w:val="both"/>
              <w:rPr>
                <w:rFonts w:ascii="Times New Roman" w:hAnsi="Times New Roman" w:cs="Times New Roman"/>
                <w:spacing w:val="-6"/>
                <w:sz w:val="16"/>
                <w:szCs w:val="16"/>
              </w:rPr>
            </w:pPr>
            <w:r w:rsidRPr="00F05EE5">
              <w:rPr>
                <w:rFonts w:ascii="Times New Roman" w:hAnsi="Times New Roman" w:cs="Times New Roman"/>
                <w:spacing w:val="-6"/>
                <w:sz w:val="16"/>
                <w:szCs w:val="16"/>
              </w:rPr>
              <w:t>Тернопільська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108</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0,485</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3,88</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10,4</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-0,673</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22</w:t>
            </w:r>
          </w:p>
        </w:tc>
      </w:tr>
      <w:tr w:rsidR="00B233DE" w:rsidRPr="00A60F41" w:rsidTr="0023489B">
        <w:tc>
          <w:tcPr>
            <w:tcW w:w="1604" w:type="dxa"/>
            <w:vAlign w:val="bottom"/>
          </w:tcPr>
          <w:p w:rsidR="00B233DE" w:rsidRPr="00F05EE5" w:rsidRDefault="00B233DE" w:rsidP="0023489B">
            <w:pPr>
              <w:ind w:right="-172" w:firstLine="0"/>
              <w:jc w:val="both"/>
              <w:rPr>
                <w:rFonts w:ascii="Times New Roman" w:hAnsi="Times New Roman" w:cs="Times New Roman"/>
                <w:sz w:val="16"/>
                <w:szCs w:val="16"/>
              </w:rPr>
            </w:pPr>
            <w:r w:rsidRPr="00F05EE5">
              <w:rPr>
                <w:rFonts w:ascii="Times New Roman" w:hAnsi="Times New Roman" w:cs="Times New Roman"/>
                <w:sz w:val="16"/>
                <w:szCs w:val="16"/>
              </w:rPr>
              <w:t>Кіровоградська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528</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0,448</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3,84</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8,6</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-0,726</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23</w:t>
            </w:r>
          </w:p>
        </w:tc>
      </w:tr>
      <w:tr w:rsidR="00B233DE" w:rsidRPr="00A60F41" w:rsidTr="0023489B">
        <w:tc>
          <w:tcPr>
            <w:tcW w:w="1604" w:type="dxa"/>
            <w:vAlign w:val="bottom"/>
          </w:tcPr>
          <w:p w:rsidR="00B233DE" w:rsidRPr="00F05EE5" w:rsidRDefault="00B233DE" w:rsidP="0023489B">
            <w:pPr>
              <w:ind w:right="-172" w:firstLine="0"/>
              <w:jc w:val="both"/>
              <w:rPr>
                <w:rFonts w:ascii="Times New Roman" w:hAnsi="Times New Roman" w:cs="Times New Roman"/>
                <w:sz w:val="16"/>
                <w:szCs w:val="16"/>
              </w:rPr>
            </w:pPr>
            <w:r w:rsidRPr="00F05EE5">
              <w:rPr>
                <w:rFonts w:ascii="Times New Roman" w:hAnsi="Times New Roman" w:cs="Times New Roman"/>
                <w:sz w:val="16"/>
                <w:szCs w:val="16"/>
              </w:rPr>
              <w:t>Житомирська область</w:t>
            </w:r>
          </w:p>
        </w:tc>
        <w:tc>
          <w:tcPr>
            <w:tcW w:w="1163"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721</w:t>
            </w:r>
          </w:p>
        </w:tc>
        <w:tc>
          <w:tcPr>
            <w:tcW w:w="649"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0,438</w:t>
            </w:r>
          </w:p>
        </w:tc>
        <w:tc>
          <w:tcPr>
            <w:tcW w:w="582"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3,87</w:t>
            </w:r>
          </w:p>
        </w:tc>
        <w:tc>
          <w:tcPr>
            <w:tcW w:w="996"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10</w:t>
            </w:r>
          </w:p>
        </w:tc>
        <w:tc>
          <w:tcPr>
            <w:tcW w:w="657" w:type="dxa"/>
            <w:vAlign w:val="center"/>
          </w:tcPr>
          <w:p w:rsidR="00B233DE" w:rsidRPr="00E90E64" w:rsidRDefault="00B233DE" w:rsidP="0023489B">
            <w:pPr>
              <w:ind w:firstLine="0"/>
              <w:jc w:val="center"/>
              <w:rPr>
                <w:rFonts w:ascii="Times New Roman" w:hAnsi="Times New Roman" w:cs="Times New Roman"/>
                <w:sz w:val="16"/>
                <w:szCs w:val="16"/>
              </w:rPr>
            </w:pPr>
            <w:r w:rsidRPr="00E90E64">
              <w:rPr>
                <w:rFonts w:ascii="Times New Roman" w:hAnsi="Times New Roman" w:cs="Times New Roman"/>
                <w:sz w:val="16"/>
                <w:szCs w:val="16"/>
              </w:rPr>
              <w:t>-0,823</w:t>
            </w:r>
          </w:p>
        </w:tc>
        <w:tc>
          <w:tcPr>
            <w:tcW w:w="689" w:type="dxa"/>
            <w:vAlign w:val="center"/>
          </w:tcPr>
          <w:p w:rsidR="00B233DE" w:rsidRPr="00E90E64"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24</w:t>
            </w:r>
          </w:p>
        </w:tc>
      </w:tr>
    </w:tbl>
    <w:p w:rsidR="00B233DE" w:rsidRPr="00A60F41"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lastRenderedPageBreak/>
        <w:t>3. Створення умов для спрямування грошових переказів мігрантів у сфери економіки, що визначають розвиток людського потенціалу. У цьому напрямі головними проблемами постають, по-перше, необхідність детального аналізу мультиплікативного ефекту від притоку грошових переказів в економіку України та, по-друге, на базі проведеного аналізу розробка механізмів використання грошових переказів як інвестицій у розвиток інфраструктури, сфери охорони здоров’я, житлово-комунального господарства, освіти, широкого впровадження інформаційно-комунікаційних технологій, інноваційно-наукової діяльності.</w:t>
      </w:r>
    </w:p>
    <w:p w:rsidR="00B233DE" w:rsidRPr="00A60F41"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4. Цілеспрямоване вибіркове залучення іммігрантів відповідно до демографічної та освітньо-кваліфікаційної потреб ринку праці та їх подальша адаптація і інтеграція в соціально-економічний простір України. Для подолання втрат демографічного потенціалу міграційна політика України має включати заходи попередження відпливу працездатного населення за кордон та одночасного активного вибіркового залучення іммігрантів з подальшою їх інтеграцією в українське суспільство на основі попереднього визначення демографічної потреби у людському потенціалі.</w:t>
      </w:r>
    </w:p>
    <w:p w:rsidR="00B233DE"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За оцінками експертів Світового банку, більшість країн Азії та Африки можуть стати постачальниками мігрантів в Україну у найближчому майбутньому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_Ref435188391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50</w:t>
      </w:r>
      <w:r>
        <w:rPr>
          <w:rFonts w:ascii="Times New Roman" w:hAnsi="Times New Roman" w:cs="Times New Roman"/>
          <w:sz w:val="21"/>
          <w:szCs w:val="21"/>
          <w:highlight w:val="yellow"/>
        </w:rPr>
        <w:fldChar w:fldCharType="end"/>
      </w:r>
      <w:r w:rsidRPr="00A60F41">
        <w:rPr>
          <w:rFonts w:ascii="Times New Roman" w:hAnsi="Times New Roman" w:cs="Times New Roman"/>
          <w:sz w:val="21"/>
          <w:szCs w:val="21"/>
        </w:rPr>
        <w:t xml:space="preserve">, </w:t>
      </w:r>
      <w:r w:rsidRPr="00A60F41">
        <w:rPr>
          <w:rFonts w:ascii="Times New Roman" w:hAnsi="Times New Roman" w:cs="Times New Roman"/>
          <w:sz w:val="21"/>
          <w:szCs w:val="21"/>
          <w:lang w:val="en-US"/>
        </w:rPr>
        <w:t>c</w:t>
      </w:r>
      <w:r w:rsidRPr="00A60F41">
        <w:rPr>
          <w:rFonts w:ascii="Times New Roman" w:hAnsi="Times New Roman" w:cs="Times New Roman"/>
          <w:sz w:val="21"/>
          <w:szCs w:val="21"/>
        </w:rPr>
        <w:t>. 7]. У зв’язку з цим на перший план виходить їх соціально мирне і економічно ефективне входження в</w:t>
      </w:r>
      <w:r w:rsidRPr="00A60F41">
        <w:rPr>
          <w:rFonts w:ascii="Times New Roman" w:hAnsi="Times New Roman" w:cs="Times New Roman"/>
          <w:b/>
          <w:sz w:val="21"/>
          <w:szCs w:val="21"/>
        </w:rPr>
        <w:t xml:space="preserve"> </w:t>
      </w:r>
      <w:r w:rsidRPr="00A60F41">
        <w:rPr>
          <w:rFonts w:ascii="Times New Roman" w:hAnsi="Times New Roman" w:cs="Times New Roman"/>
          <w:sz w:val="21"/>
          <w:szCs w:val="21"/>
        </w:rPr>
        <w:t>українське суспільство [</w:t>
      </w:r>
      <w:r>
        <w:rPr>
          <w:rFonts w:ascii="Times New Roman" w:hAnsi="Times New Roman" w:cs="Times New Roman"/>
          <w:spacing w:val="-8"/>
          <w:sz w:val="21"/>
          <w:szCs w:val="21"/>
          <w:highlight w:val="yellow"/>
        </w:rPr>
        <w:fldChar w:fldCharType="begin"/>
      </w:r>
      <w:r>
        <w:rPr>
          <w:rFonts w:ascii="Times New Roman" w:hAnsi="Times New Roman" w:cs="Times New Roman"/>
          <w:sz w:val="21"/>
          <w:szCs w:val="21"/>
        </w:rPr>
        <w:instrText xml:space="preserve"> REF _Ref435188404 \r \h </w:instrText>
      </w:r>
      <w:r>
        <w:rPr>
          <w:rFonts w:ascii="Times New Roman" w:hAnsi="Times New Roman" w:cs="Times New Roman"/>
          <w:spacing w:val="-8"/>
          <w:sz w:val="21"/>
          <w:szCs w:val="21"/>
          <w:highlight w:val="yellow"/>
        </w:rPr>
      </w:r>
      <w:r>
        <w:rPr>
          <w:rFonts w:ascii="Times New Roman" w:hAnsi="Times New Roman" w:cs="Times New Roman"/>
          <w:spacing w:val="-8"/>
          <w:sz w:val="21"/>
          <w:szCs w:val="21"/>
          <w:highlight w:val="yellow"/>
        </w:rPr>
        <w:fldChar w:fldCharType="separate"/>
      </w:r>
      <w:r>
        <w:rPr>
          <w:rFonts w:ascii="Times New Roman" w:hAnsi="Times New Roman" w:cs="Times New Roman"/>
          <w:sz w:val="21"/>
          <w:szCs w:val="21"/>
        </w:rPr>
        <w:t>64</w:t>
      </w:r>
      <w:r>
        <w:rPr>
          <w:rFonts w:ascii="Times New Roman" w:hAnsi="Times New Roman" w:cs="Times New Roman"/>
          <w:spacing w:val="-8"/>
          <w:sz w:val="21"/>
          <w:szCs w:val="21"/>
          <w:highlight w:val="yellow"/>
        </w:rPr>
        <w:fldChar w:fldCharType="end"/>
      </w:r>
      <w:r w:rsidRPr="00A60F41">
        <w:rPr>
          <w:rFonts w:ascii="Times New Roman" w:hAnsi="Times New Roman" w:cs="Times New Roman"/>
          <w:sz w:val="21"/>
          <w:szCs w:val="21"/>
        </w:rPr>
        <w:t xml:space="preserve">, </w:t>
      </w:r>
      <w:r w:rsidRPr="00A60F41">
        <w:rPr>
          <w:rFonts w:ascii="Times New Roman" w:hAnsi="Times New Roman" w:cs="Times New Roman"/>
          <w:sz w:val="21"/>
          <w:szCs w:val="21"/>
          <w:lang w:val="en-US"/>
        </w:rPr>
        <w:t>c</w:t>
      </w:r>
      <w:r w:rsidRPr="00A60F41">
        <w:rPr>
          <w:rFonts w:ascii="Times New Roman" w:hAnsi="Times New Roman" w:cs="Times New Roman"/>
          <w:sz w:val="21"/>
          <w:szCs w:val="21"/>
        </w:rPr>
        <w:t>. 291</w:t>
      </w:r>
      <w:r>
        <w:rPr>
          <w:rFonts w:ascii="Times New Roman" w:hAnsi="Times New Roman" w:cs="Times New Roman"/>
          <w:sz w:val="21"/>
          <w:szCs w:val="21"/>
        </w:rPr>
        <w:t>–</w:t>
      </w:r>
      <w:r w:rsidRPr="00A60F41">
        <w:rPr>
          <w:rFonts w:ascii="Times New Roman" w:hAnsi="Times New Roman" w:cs="Times New Roman"/>
          <w:sz w:val="21"/>
          <w:szCs w:val="21"/>
        </w:rPr>
        <w:t>295]. На сьогодні в Україні законодавчо не встановлений процес соціально-економічної інтеграції іммігрантів, не розроблені відповідні міграційні програми, які б включали даний аспект імміграції [</w:t>
      </w:r>
      <w:r>
        <w:rPr>
          <w:rFonts w:ascii="Times New Roman" w:hAnsi="Times New Roman" w:cs="Times New Roman"/>
          <w:spacing w:val="-4"/>
          <w:sz w:val="21"/>
          <w:szCs w:val="21"/>
          <w:highlight w:val="yellow"/>
        </w:rPr>
        <w:fldChar w:fldCharType="begin"/>
      </w:r>
      <w:r>
        <w:rPr>
          <w:rFonts w:ascii="Times New Roman" w:hAnsi="Times New Roman" w:cs="Times New Roman"/>
          <w:sz w:val="21"/>
          <w:szCs w:val="21"/>
        </w:rPr>
        <w:instrText xml:space="preserve"> REF _Ref435188411 \r \h </w:instrText>
      </w:r>
      <w:r>
        <w:rPr>
          <w:rFonts w:ascii="Times New Roman" w:hAnsi="Times New Roman" w:cs="Times New Roman"/>
          <w:spacing w:val="-4"/>
          <w:sz w:val="21"/>
          <w:szCs w:val="21"/>
          <w:highlight w:val="yellow"/>
        </w:rPr>
      </w:r>
      <w:r>
        <w:rPr>
          <w:rFonts w:ascii="Times New Roman" w:hAnsi="Times New Roman" w:cs="Times New Roman"/>
          <w:spacing w:val="-4"/>
          <w:sz w:val="21"/>
          <w:szCs w:val="21"/>
          <w:highlight w:val="yellow"/>
        </w:rPr>
        <w:fldChar w:fldCharType="separate"/>
      </w:r>
      <w:r>
        <w:rPr>
          <w:rFonts w:ascii="Times New Roman" w:hAnsi="Times New Roman" w:cs="Times New Roman"/>
          <w:sz w:val="21"/>
          <w:szCs w:val="21"/>
        </w:rPr>
        <w:t>60</w:t>
      </w:r>
      <w:r>
        <w:rPr>
          <w:rFonts w:ascii="Times New Roman" w:hAnsi="Times New Roman" w:cs="Times New Roman"/>
          <w:spacing w:val="-4"/>
          <w:sz w:val="21"/>
          <w:szCs w:val="21"/>
          <w:highlight w:val="yellow"/>
        </w:rPr>
        <w:fldChar w:fldCharType="end"/>
      </w:r>
      <w:r w:rsidRPr="00A60F41">
        <w:rPr>
          <w:rFonts w:ascii="Times New Roman" w:hAnsi="Times New Roman" w:cs="Times New Roman"/>
          <w:sz w:val="21"/>
          <w:szCs w:val="21"/>
        </w:rPr>
        <w:t xml:space="preserve">, с. 14]. Водночас формування демографічної складової людського потенціалу України за рахунок імміграції на постійній основі в першу чергу вимагає вирішення проблеми адаптації та працевлаштування. В цьому аспекті, на нашу думку, доцільним є використання досвіду європейських країн, в яких інтеграційні програми передбачають мовну підготовку, навчальні курси по ознайомленню іммігрантів із законодавством, культурою та історією країни призначення, професійну підготовку з подальшим працевлаштуванням відповідно до потреби ринку праці. Необхідно також відмітити, що більшість іммігрантів – особи віком до 30 років, що знаходяться в процесі активної соціалізації та схильні до </w:t>
      </w:r>
      <w:r w:rsidRPr="00A60F41">
        <w:rPr>
          <w:rFonts w:ascii="Times New Roman" w:hAnsi="Times New Roman" w:cs="Times New Roman"/>
          <w:sz w:val="21"/>
          <w:szCs w:val="21"/>
        </w:rPr>
        <w:lastRenderedPageBreak/>
        <w:t>гнучкого переймання нової системи ціннісно-нормативних орієнтацій після переїзду в країну призначення [</w:t>
      </w:r>
      <w:r>
        <w:rPr>
          <w:rFonts w:ascii="Times New Roman" w:hAnsi="Times New Roman" w:cs="Times New Roman"/>
          <w:iCs/>
          <w:sz w:val="21"/>
          <w:szCs w:val="21"/>
          <w:highlight w:val="yellow"/>
        </w:rPr>
        <w:fldChar w:fldCharType="begin"/>
      </w:r>
      <w:r>
        <w:rPr>
          <w:rFonts w:ascii="Times New Roman" w:hAnsi="Times New Roman" w:cs="Times New Roman"/>
          <w:sz w:val="21"/>
          <w:szCs w:val="21"/>
        </w:rPr>
        <w:instrText xml:space="preserve"> REF _Ref435188421 \r \h </w:instrText>
      </w:r>
      <w:r>
        <w:rPr>
          <w:rFonts w:ascii="Times New Roman" w:hAnsi="Times New Roman" w:cs="Times New Roman"/>
          <w:iCs/>
          <w:sz w:val="21"/>
          <w:szCs w:val="21"/>
          <w:highlight w:val="yellow"/>
        </w:rPr>
      </w:r>
      <w:r>
        <w:rPr>
          <w:rFonts w:ascii="Times New Roman" w:hAnsi="Times New Roman" w:cs="Times New Roman"/>
          <w:iCs/>
          <w:sz w:val="21"/>
          <w:szCs w:val="21"/>
          <w:highlight w:val="yellow"/>
        </w:rPr>
        <w:fldChar w:fldCharType="separate"/>
      </w:r>
      <w:r>
        <w:rPr>
          <w:rFonts w:ascii="Times New Roman" w:hAnsi="Times New Roman" w:cs="Times New Roman"/>
          <w:sz w:val="21"/>
          <w:szCs w:val="21"/>
        </w:rPr>
        <w:t>11</w:t>
      </w:r>
      <w:r>
        <w:rPr>
          <w:rFonts w:ascii="Times New Roman" w:hAnsi="Times New Roman" w:cs="Times New Roman"/>
          <w:iCs/>
          <w:sz w:val="21"/>
          <w:szCs w:val="21"/>
          <w:highlight w:val="yellow"/>
        </w:rPr>
        <w:fldChar w:fldCharType="end"/>
      </w:r>
      <w:r w:rsidRPr="00A60F41">
        <w:rPr>
          <w:rFonts w:ascii="Times New Roman" w:hAnsi="Times New Roman" w:cs="Times New Roman"/>
          <w:sz w:val="21"/>
          <w:szCs w:val="21"/>
        </w:rPr>
        <w:t>]. Тому, враховуючи інтеграцію іммігрантів до нового соціального оточення, що змушує їх приймати характерні для України норми дітності, важливим є їх щорічний притік для стабільного кількісного поповнення людського потенціалу. Вагомим аспектом відтворення демографічної складової ЛП є регіональний розподіл іммігрантів, оскільки регіони України характеризуються різними рівнями природного приросту, очікуваної тривалості життя та вікової структури населення. Найбільш сприятливою ситуація за даними показниками є у західних областях: Закарпатській, Волинській, Івано-Франківській, Чернівецькій та Львівській областях. Найнижчі показники спостерігаються у Чернігівській, Сумській, Луганській, Полтавській, Черкаській, Донецькій та Кіровоградській областях. В зв’язку з цим актуальності набуває розробка і запровадження спеціальних заходів із розселення іммігрантів у демографічно кризові регіони. В той же час, закономірне збільшення потреби у кваліфікованих працівниках доводить необхідність застосування селективних методів у міграційній політиці. Залучення іноземних студентів дозволяє формувати та накопичувати людський потенціал в середині країни. Зважаючи на різноманітність країн походження іноземних студентів в Україні (рис. 4.</w:t>
      </w:r>
      <w:r>
        <w:rPr>
          <w:rFonts w:ascii="Times New Roman" w:hAnsi="Times New Roman" w:cs="Times New Roman"/>
          <w:sz w:val="21"/>
          <w:szCs w:val="21"/>
        </w:rPr>
        <w:t>3</w:t>
      </w:r>
      <w:r w:rsidRPr="00A60F41">
        <w:rPr>
          <w:rFonts w:ascii="Times New Roman" w:hAnsi="Times New Roman" w:cs="Times New Roman"/>
          <w:sz w:val="21"/>
          <w:szCs w:val="21"/>
        </w:rPr>
        <w:t>1), як значного джерела поповнення людського потенціалу високої кваліфікації, окремим напрямом розробки інтеграційних програм в Україні слід визначити адаптацію, соціально-культурну інтеграцію та працевлаштування іноземних студентів.</w:t>
      </w:r>
    </w:p>
    <w:p w:rsidR="00B233DE" w:rsidRPr="00A60F41" w:rsidRDefault="00B233DE" w:rsidP="00B233DE">
      <w:pPr>
        <w:ind w:firstLine="709"/>
        <w:jc w:val="both"/>
        <w:rPr>
          <w:rFonts w:ascii="Times New Roman" w:hAnsi="Times New Roman" w:cs="Times New Roman"/>
          <w:sz w:val="21"/>
          <w:szCs w:val="21"/>
        </w:rPr>
      </w:pPr>
      <w:r w:rsidRPr="00A60F41">
        <w:rPr>
          <w:rFonts w:ascii="Times New Roman" w:hAnsi="Times New Roman" w:cs="Times New Roman"/>
          <w:sz w:val="21"/>
          <w:szCs w:val="21"/>
        </w:rPr>
        <w:t>5. Використання транснаціональних зв’язків мігрантів для формування людського потенціалу України. Враховуючи значні обсяги української діаспори (близько 10 млн чол., з яких понад 4 млн проживає у розвинутих країнах)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_Ref435186429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61</w:t>
      </w:r>
      <w:r>
        <w:rPr>
          <w:rFonts w:ascii="Times New Roman" w:hAnsi="Times New Roman" w:cs="Times New Roman"/>
          <w:sz w:val="21"/>
          <w:szCs w:val="21"/>
          <w:highlight w:val="yellow"/>
        </w:rPr>
        <w:fldChar w:fldCharType="end"/>
      </w:r>
      <w:r w:rsidRPr="00A60F41">
        <w:rPr>
          <w:rFonts w:ascii="Times New Roman" w:hAnsi="Times New Roman" w:cs="Times New Roman"/>
          <w:sz w:val="21"/>
          <w:szCs w:val="21"/>
        </w:rPr>
        <w:t>,</w:t>
      </w:r>
      <w:r>
        <w:rPr>
          <w:rFonts w:ascii="Times New Roman" w:hAnsi="Times New Roman" w:cs="Times New Roman"/>
          <w:sz w:val="21"/>
          <w:szCs w:val="21"/>
        </w:rPr>
        <w:t xml:space="preserve"> </w:t>
      </w:r>
      <w:r w:rsidRPr="00A60F41">
        <w:rPr>
          <w:rFonts w:ascii="Times New Roman" w:hAnsi="Times New Roman" w:cs="Times New Roman"/>
          <w:sz w:val="21"/>
          <w:szCs w:val="21"/>
          <w:lang w:val="en-US"/>
        </w:rPr>
        <w:t>c</w:t>
      </w:r>
      <w:r w:rsidRPr="00A60F41">
        <w:rPr>
          <w:rFonts w:ascii="Times New Roman" w:hAnsi="Times New Roman" w:cs="Times New Roman"/>
          <w:sz w:val="21"/>
          <w:szCs w:val="21"/>
        </w:rPr>
        <w:t>. 57], виявляється доцільним використання людського потенціалу її представників для стимулювання економічного, наукового, освітнього, інноваційного та культурного прогресу країни. В цьому руслі необхідним є розширення діяльності організацій з підтримки зв’язків з діаспорою та створення сприятливих умов для участі діаспори у соціально-економічному житті України, передусім, у освітній та науковій сферах.</w:t>
      </w:r>
    </w:p>
    <w:p w:rsidR="00B233DE" w:rsidRPr="00E90E64" w:rsidRDefault="00B233DE" w:rsidP="00B233DE">
      <w:pPr>
        <w:ind w:firstLine="0"/>
        <w:jc w:val="both"/>
        <w:rPr>
          <w:rFonts w:ascii="Times New Roman" w:hAnsi="Times New Roman" w:cs="Times New Roman"/>
          <w:sz w:val="2"/>
          <w:szCs w:val="2"/>
          <w:lang w:val="en-US"/>
        </w:rPr>
      </w:pPr>
      <w:r w:rsidRPr="00A60F41">
        <w:rPr>
          <w:rFonts w:ascii="Times New Roman" w:hAnsi="Times New Roman" w:cs="Times New Roman"/>
          <w:sz w:val="21"/>
          <w:szCs w:val="21"/>
        </w:rPr>
        <w:object w:dxaOrig="10443" w:dyaOrig="5706">
          <v:shape id="_x0000_i1035" type="#_x0000_t75" style="width:313.5pt;height:221.25pt" o:ole="">
            <v:imagedata r:id="rId95" o:title=""/>
          </v:shape>
          <o:OLEObject Type="Embed" ProgID="Excel.Sheet.12" ShapeID="_x0000_i1035" DrawAspect="Content" ObjectID="_1633373547" r:id="rId96"/>
        </w:object>
      </w:r>
    </w:p>
    <w:p w:rsidR="00B233DE" w:rsidRPr="00E90E64" w:rsidRDefault="00B233DE" w:rsidP="00B233DE">
      <w:pPr>
        <w:ind w:firstLine="709"/>
        <w:jc w:val="center"/>
        <w:rPr>
          <w:rFonts w:ascii="Times New Roman" w:hAnsi="Times New Roman" w:cs="Times New Roman"/>
          <w:b/>
          <w:sz w:val="21"/>
          <w:szCs w:val="21"/>
        </w:rPr>
      </w:pPr>
      <w:r w:rsidRPr="00E90E64">
        <w:rPr>
          <w:rFonts w:ascii="Times New Roman" w:hAnsi="Times New Roman" w:cs="Times New Roman"/>
          <w:b/>
          <w:sz w:val="21"/>
          <w:szCs w:val="21"/>
        </w:rPr>
        <w:t>Рис. 4.31</w:t>
      </w:r>
      <w:r>
        <w:rPr>
          <w:rFonts w:ascii="Times New Roman" w:hAnsi="Times New Roman" w:cs="Times New Roman"/>
          <w:b/>
          <w:sz w:val="21"/>
          <w:szCs w:val="21"/>
        </w:rPr>
        <w:t>.</w:t>
      </w:r>
      <w:r w:rsidRPr="00E90E64">
        <w:rPr>
          <w:rFonts w:ascii="Times New Roman" w:hAnsi="Times New Roman" w:cs="Times New Roman"/>
          <w:b/>
          <w:sz w:val="21"/>
          <w:szCs w:val="21"/>
        </w:rPr>
        <w:t xml:space="preserve"> Основні країни походження іноземних студентів в Україні на 2015 рік [256]</w:t>
      </w:r>
    </w:p>
    <w:p w:rsidR="00B233DE" w:rsidRPr="00A60F41" w:rsidRDefault="00B233DE" w:rsidP="00B233DE">
      <w:pPr>
        <w:ind w:firstLine="709"/>
        <w:jc w:val="both"/>
        <w:rPr>
          <w:rFonts w:ascii="Times New Roman" w:hAnsi="Times New Roman" w:cs="Times New Roman"/>
          <w:sz w:val="21"/>
          <w:szCs w:val="21"/>
        </w:rPr>
      </w:pPr>
    </w:p>
    <w:p w:rsidR="00B233DE" w:rsidRPr="00A60F41" w:rsidRDefault="00B233DE" w:rsidP="00B233DE">
      <w:pPr>
        <w:ind w:firstLine="708"/>
        <w:jc w:val="both"/>
        <w:rPr>
          <w:rFonts w:ascii="Times New Roman" w:hAnsi="Times New Roman" w:cs="Times New Roman"/>
          <w:sz w:val="21"/>
          <w:szCs w:val="21"/>
        </w:rPr>
      </w:pPr>
      <w:r w:rsidRPr="00A60F41">
        <w:rPr>
          <w:rFonts w:ascii="Times New Roman" w:hAnsi="Times New Roman" w:cs="Times New Roman"/>
          <w:sz w:val="21"/>
          <w:szCs w:val="21"/>
        </w:rPr>
        <w:t>Висвітлені тенденції міграційних процесів та пов’язані з ними проблеми соціально-економічного розвитку вимагають вдосконалення української міграційної політики для збереження, накопичення та відтворення людського потенціалу на основі відповідного законодавчого та інституційного забезпечення. Міграційна політика повинна мати комплексний характер в контексті формування та реалізації людського потенціалу України на основі ефективного функціонування механізму ефективного його перерозподілу.</w:t>
      </w:r>
    </w:p>
    <w:p w:rsidR="00B233DE" w:rsidRPr="00F9695A" w:rsidRDefault="00B233DE" w:rsidP="00B233DE">
      <w:pPr>
        <w:widowControl w:val="0"/>
        <w:spacing w:line="233" w:lineRule="auto"/>
        <w:ind w:firstLine="709"/>
        <w:contextualSpacing/>
        <w:jc w:val="both"/>
        <w:rPr>
          <w:rFonts w:ascii="Times New Roman" w:hAnsi="Times New Roman" w:cs="Times New Roman"/>
          <w:sz w:val="21"/>
          <w:szCs w:val="21"/>
        </w:rPr>
      </w:pPr>
    </w:p>
    <w:p w:rsidR="00B233DE" w:rsidRPr="00F9695A" w:rsidRDefault="00B233DE" w:rsidP="00B233DE">
      <w:pPr>
        <w:widowControl w:val="0"/>
        <w:spacing w:line="233" w:lineRule="auto"/>
        <w:ind w:firstLine="709"/>
        <w:contextualSpacing/>
        <w:jc w:val="both"/>
        <w:rPr>
          <w:rFonts w:ascii="Times New Roman" w:hAnsi="Times New Roman" w:cs="Times New Roman"/>
          <w:sz w:val="21"/>
          <w:szCs w:val="21"/>
        </w:rPr>
      </w:pPr>
    </w:p>
    <w:p w:rsidR="00B233DE" w:rsidRDefault="00B233DE" w:rsidP="00B233DE">
      <w:pPr>
        <w:widowControl w:val="0"/>
        <w:spacing w:line="233" w:lineRule="auto"/>
        <w:ind w:firstLine="709"/>
        <w:contextualSpacing/>
        <w:jc w:val="center"/>
        <w:rPr>
          <w:rFonts w:ascii="UkrainianPeterburg" w:hAnsi="UkrainianPeterburg"/>
          <w:b/>
          <w:sz w:val="21"/>
          <w:szCs w:val="21"/>
        </w:rPr>
      </w:pPr>
      <w:r w:rsidRPr="00EA63EC">
        <w:rPr>
          <w:rFonts w:ascii="UkrainianPeterburg" w:hAnsi="UkrainianPeterburg"/>
          <w:b/>
          <w:sz w:val="21"/>
          <w:szCs w:val="21"/>
        </w:rPr>
        <w:t>Список використаних джерел</w:t>
      </w: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50" w:name="_Ref435186927"/>
      <w:r w:rsidRPr="00882D46">
        <w:rPr>
          <w:rFonts w:ascii="Times New Roman" w:hAnsi="Times New Roman" w:cs="Times New Roman"/>
          <w:sz w:val="21"/>
          <w:szCs w:val="21"/>
        </w:rPr>
        <w:t>Баланда А.</w:t>
      </w:r>
      <w:r w:rsidRPr="007522E8">
        <w:rPr>
          <w:rFonts w:ascii="Times New Roman" w:hAnsi="Times New Roman" w:cs="Times New Roman"/>
          <w:sz w:val="21"/>
          <w:szCs w:val="21"/>
        </w:rPr>
        <w:t xml:space="preserve"> </w:t>
      </w:r>
      <w:r w:rsidRPr="00882D46">
        <w:rPr>
          <w:rFonts w:ascii="Times New Roman" w:hAnsi="Times New Roman" w:cs="Times New Roman"/>
          <w:sz w:val="21"/>
          <w:szCs w:val="21"/>
        </w:rPr>
        <w:t>Л. Регулювання міграційних процесів у Європейському Союзі</w:t>
      </w:r>
      <w:r w:rsidRPr="007522E8">
        <w:rPr>
          <w:rFonts w:ascii="Times New Roman" w:hAnsi="Times New Roman" w:cs="Times New Roman"/>
          <w:sz w:val="21"/>
          <w:szCs w:val="21"/>
        </w:rPr>
        <w:t xml:space="preserve"> </w:t>
      </w:r>
      <w:r w:rsidRPr="00882D46">
        <w:rPr>
          <w:rFonts w:ascii="Times New Roman" w:hAnsi="Times New Roman" w:cs="Times New Roman"/>
          <w:sz w:val="21"/>
          <w:szCs w:val="21"/>
        </w:rPr>
        <w:t>: новітні тенденції та можливі наслідки для України / А.</w:t>
      </w:r>
      <w:r w:rsidRPr="007522E8">
        <w:rPr>
          <w:rFonts w:ascii="Times New Roman" w:hAnsi="Times New Roman" w:cs="Times New Roman"/>
          <w:sz w:val="21"/>
          <w:szCs w:val="21"/>
        </w:rPr>
        <w:t xml:space="preserve"> </w:t>
      </w:r>
      <w:r w:rsidRPr="00882D46">
        <w:rPr>
          <w:rFonts w:ascii="Times New Roman" w:hAnsi="Times New Roman" w:cs="Times New Roman"/>
          <w:sz w:val="21"/>
          <w:szCs w:val="21"/>
        </w:rPr>
        <w:t>Л. Баланда // Формування ринкової економіки : матеріали</w:t>
      </w:r>
      <w:r>
        <w:rPr>
          <w:rFonts w:ascii="Times New Roman" w:hAnsi="Times New Roman" w:cs="Times New Roman"/>
          <w:sz w:val="21"/>
          <w:szCs w:val="21"/>
        </w:rPr>
        <w:t xml:space="preserve"> Міжнар. науково-практ. конф. «</w:t>
      </w:r>
      <w:r w:rsidRPr="00882D46">
        <w:rPr>
          <w:rFonts w:ascii="Times New Roman" w:hAnsi="Times New Roman" w:cs="Times New Roman"/>
          <w:sz w:val="21"/>
          <w:szCs w:val="21"/>
        </w:rPr>
        <w:t xml:space="preserve">Демографічний розвиток </w:t>
      </w:r>
      <w:r w:rsidRPr="00882D46">
        <w:rPr>
          <w:rFonts w:ascii="Times New Roman" w:hAnsi="Times New Roman" w:cs="Times New Roman"/>
          <w:sz w:val="21"/>
          <w:szCs w:val="21"/>
        </w:rPr>
        <w:lastRenderedPageBreak/>
        <w:t>України та пріоритетні з</w:t>
      </w:r>
      <w:r>
        <w:rPr>
          <w:rFonts w:ascii="Times New Roman" w:hAnsi="Times New Roman" w:cs="Times New Roman"/>
          <w:sz w:val="21"/>
          <w:szCs w:val="21"/>
        </w:rPr>
        <w:t>авдання демографічної політики»</w:t>
      </w:r>
      <w:r w:rsidRPr="00882D46">
        <w:rPr>
          <w:rFonts w:ascii="Times New Roman" w:hAnsi="Times New Roman" w:cs="Times New Roman"/>
          <w:sz w:val="21"/>
          <w:szCs w:val="21"/>
        </w:rPr>
        <w:t>. – К. : КНЕУ, 2006. – С. 121–125.</w:t>
      </w:r>
      <w:bookmarkEnd w:id="250"/>
    </w:p>
    <w:p w:rsidR="00B233DE" w:rsidRPr="004C0D50"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ru-RU"/>
        </w:rPr>
      </w:pPr>
      <w:bookmarkStart w:id="251" w:name="_Ref435182227"/>
      <w:r w:rsidRPr="007F0C52">
        <w:rPr>
          <w:rFonts w:ascii="Times New Roman" w:hAnsi="Times New Roman" w:cs="Times New Roman"/>
          <w:spacing w:val="-6"/>
          <w:sz w:val="21"/>
          <w:szCs w:val="21"/>
        </w:rPr>
        <w:t>Белл Д. Грядущее постиндустриальное общество / Д. Белл.</w:t>
      </w:r>
      <w:r w:rsidRPr="00882D46">
        <w:rPr>
          <w:rFonts w:ascii="Times New Roman" w:hAnsi="Times New Roman" w:cs="Times New Roman"/>
          <w:sz w:val="21"/>
          <w:szCs w:val="21"/>
        </w:rPr>
        <w:t xml:space="preserve"> – М., 1999. – 578 </w:t>
      </w:r>
      <w:r w:rsidRPr="00882D46">
        <w:rPr>
          <w:rFonts w:ascii="Times New Roman" w:hAnsi="Times New Roman" w:cs="Times New Roman"/>
          <w:sz w:val="21"/>
          <w:szCs w:val="21"/>
          <w:lang w:val="en-US"/>
        </w:rPr>
        <w:t>c</w:t>
      </w:r>
      <w:r w:rsidRPr="00882D46">
        <w:rPr>
          <w:rFonts w:ascii="Times New Roman" w:hAnsi="Times New Roman" w:cs="Times New Roman"/>
          <w:sz w:val="21"/>
          <w:szCs w:val="21"/>
        </w:rPr>
        <w:t>.</w:t>
      </w:r>
      <w:bookmarkEnd w:id="251"/>
    </w:p>
    <w:p w:rsidR="00B233DE" w:rsidRPr="00656EF9"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ru-RU"/>
        </w:rPr>
      </w:pPr>
      <w:r w:rsidRPr="004C0D50">
        <w:rPr>
          <w:rFonts w:ascii="Times New Roman" w:hAnsi="Times New Roman" w:cs="Times New Roman"/>
          <w:sz w:val="21"/>
          <w:szCs w:val="21"/>
        </w:rPr>
        <w:t xml:space="preserve">Бондаренко В. Малые предприятия в системе кластеров </w:t>
      </w:r>
      <w:r w:rsidRPr="004C0D50">
        <w:rPr>
          <w:rFonts w:ascii="Times New Roman" w:hAnsi="Times New Roman" w:cs="Times New Roman"/>
          <w:spacing w:val="-4"/>
          <w:sz w:val="21"/>
          <w:szCs w:val="21"/>
        </w:rPr>
        <w:t>/ В. Бондаренко // Бизнес для всех. – 2005. – № 33 (507). – С. 29 – 32.</w:t>
      </w:r>
    </w:p>
    <w:p w:rsidR="00B233DE" w:rsidRPr="004C0D50"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52" w:name="_Ref435182114"/>
      <w:r w:rsidRPr="004C0D50">
        <w:rPr>
          <w:rFonts w:ascii="Times New Roman" w:hAnsi="Times New Roman" w:cs="Times New Roman"/>
          <w:sz w:val="21"/>
          <w:szCs w:val="21"/>
        </w:rPr>
        <w:t xml:space="preserve">Брук С. И. Миграции населения </w:t>
      </w:r>
      <w:r>
        <w:rPr>
          <w:rFonts w:ascii="Times New Roman" w:hAnsi="Times New Roman" w:cs="Times New Roman"/>
          <w:sz w:val="21"/>
          <w:szCs w:val="21"/>
        </w:rPr>
        <w:t xml:space="preserve">/ С. И. Брук </w:t>
      </w:r>
      <w:r w:rsidRPr="004C0D50">
        <w:rPr>
          <w:rFonts w:ascii="Times New Roman" w:hAnsi="Times New Roman" w:cs="Times New Roman"/>
          <w:sz w:val="21"/>
          <w:szCs w:val="21"/>
        </w:rPr>
        <w:t>// Большая Советская Энциклопедия [Електронний ресурс]. – Режим доступу : http://bse.sci-lib.com/article076237.html</w:t>
      </w:r>
      <w:bookmarkEnd w:id="252"/>
    </w:p>
    <w:p w:rsidR="00B233DE" w:rsidRPr="001D230F"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pacing w:val="-6"/>
          <w:sz w:val="21"/>
          <w:szCs w:val="21"/>
        </w:rPr>
      </w:pPr>
      <w:bookmarkStart w:id="253" w:name="_Ref435186300"/>
      <w:r w:rsidRPr="001D230F">
        <w:rPr>
          <w:rFonts w:ascii="Times New Roman" w:hAnsi="Times New Roman" w:cs="Times New Roman"/>
          <w:sz w:val="21"/>
          <w:szCs w:val="21"/>
        </w:rPr>
        <w:t xml:space="preserve">Гайдуцький А.П. </w:t>
      </w:r>
      <w:hyperlink r:id="rId97" w:history="1"/>
      <w:r w:rsidRPr="001D230F">
        <w:rPr>
          <w:rFonts w:ascii="Times New Roman" w:hAnsi="Times New Roman" w:cs="Times New Roman"/>
          <w:sz w:val="21"/>
          <w:szCs w:val="21"/>
        </w:rPr>
        <w:t>Економічні відносини у процесі інвестування колективних трансфертів міграційного капіталу на цілі соціального розвитку / А.П. Гайдуцький // Фінанси України : науково-теор. та інформаційно-практ. журнал. – 2007. – № 3. – С. 50–66.</w:t>
      </w:r>
      <w:bookmarkEnd w:id="253"/>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pacing w:val="-6"/>
          <w:sz w:val="21"/>
          <w:szCs w:val="21"/>
        </w:rPr>
      </w:pPr>
      <w:bookmarkStart w:id="254" w:name="_Ref435187065"/>
      <w:r w:rsidRPr="00882D46">
        <w:rPr>
          <w:rFonts w:ascii="Times New Roman" w:hAnsi="Times New Roman" w:cs="Times New Roman"/>
          <w:spacing w:val="-6"/>
          <w:sz w:val="21"/>
          <w:szCs w:val="21"/>
        </w:rPr>
        <w:t>Гапонова А. Международная миграция высококвалифицированных специалистов</w:t>
      </w:r>
      <w:r>
        <w:rPr>
          <w:rFonts w:ascii="Times New Roman" w:hAnsi="Times New Roman" w:cs="Times New Roman"/>
          <w:spacing w:val="-6"/>
          <w:sz w:val="21"/>
          <w:szCs w:val="21"/>
        </w:rPr>
        <w:t xml:space="preserve"> </w:t>
      </w:r>
      <w:r w:rsidRPr="00882D46">
        <w:rPr>
          <w:rFonts w:ascii="Times New Roman" w:hAnsi="Times New Roman" w:cs="Times New Roman"/>
          <w:spacing w:val="-6"/>
          <w:sz w:val="21"/>
          <w:szCs w:val="21"/>
        </w:rPr>
        <w:t xml:space="preserve">: направления, масштабы, регулирование </w:t>
      </w:r>
      <w:r w:rsidRPr="00882D46">
        <w:rPr>
          <w:rFonts w:ascii="Times New Roman" w:hAnsi="Times New Roman" w:cs="Times New Roman"/>
          <w:iCs/>
          <w:spacing w:val="-6"/>
          <w:sz w:val="21"/>
          <w:szCs w:val="21"/>
        </w:rPr>
        <w:t>[Електронний ресурс]</w:t>
      </w:r>
      <w:r>
        <w:rPr>
          <w:rFonts w:ascii="Times New Roman" w:hAnsi="Times New Roman" w:cs="Times New Roman"/>
          <w:iCs/>
          <w:spacing w:val="-6"/>
          <w:sz w:val="21"/>
          <w:szCs w:val="21"/>
        </w:rPr>
        <w:t xml:space="preserve"> </w:t>
      </w:r>
      <w:r w:rsidRPr="00882D46">
        <w:rPr>
          <w:rFonts w:ascii="Times New Roman" w:hAnsi="Times New Roman" w:cs="Times New Roman"/>
          <w:spacing w:val="-6"/>
          <w:sz w:val="21"/>
          <w:szCs w:val="21"/>
        </w:rPr>
        <w:t xml:space="preserve">/ А. Гапонова // </w:t>
      </w:r>
      <w:r w:rsidRPr="00882D46">
        <w:rPr>
          <w:rFonts w:ascii="Times New Roman" w:hAnsi="Times New Roman" w:cs="Times New Roman"/>
          <w:iCs/>
          <w:spacing w:val="-6"/>
          <w:sz w:val="21"/>
          <w:szCs w:val="21"/>
        </w:rPr>
        <w:t>Население и общество</w:t>
      </w:r>
      <w:r w:rsidRPr="00882D46">
        <w:rPr>
          <w:rFonts w:ascii="Times New Roman" w:hAnsi="Times New Roman" w:cs="Times New Roman"/>
          <w:spacing w:val="-6"/>
          <w:sz w:val="21"/>
          <w:szCs w:val="21"/>
        </w:rPr>
        <w:t xml:space="preserve"> : электронная версия бюллетеня</w:t>
      </w:r>
      <w:r w:rsidRPr="00882D46">
        <w:rPr>
          <w:rFonts w:ascii="Times New Roman" w:hAnsi="Times New Roman" w:cs="Times New Roman"/>
          <w:bCs/>
          <w:spacing w:val="-6"/>
          <w:sz w:val="21"/>
          <w:szCs w:val="21"/>
        </w:rPr>
        <w:t>. – Режим доступу :</w:t>
      </w:r>
      <w:r w:rsidRPr="00882D46">
        <w:rPr>
          <w:rFonts w:ascii="Times New Roman" w:hAnsi="Times New Roman" w:cs="Times New Roman"/>
          <w:spacing w:val="-6"/>
          <w:sz w:val="21"/>
          <w:szCs w:val="21"/>
        </w:rPr>
        <w:t xml:space="preserve"> </w:t>
      </w:r>
      <w:hyperlink r:id="rId98" w:history="1">
        <w:r w:rsidRPr="00882D46">
          <w:rPr>
            <w:rFonts w:ascii="Times New Roman" w:hAnsi="Times New Roman" w:cs="Times New Roman"/>
            <w:spacing w:val="-6"/>
            <w:sz w:val="21"/>
            <w:szCs w:val="21"/>
          </w:rPr>
          <w:t>http://www.demoscope.ru/weekly/2010/0441/analit07.php</w:t>
        </w:r>
      </w:hyperlink>
      <w:bookmarkEnd w:id="254"/>
    </w:p>
    <w:p w:rsidR="00B233DE" w:rsidRPr="00656EF9"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ru-RU"/>
        </w:rPr>
      </w:pPr>
      <w:bookmarkStart w:id="255" w:name="_Ref435182370"/>
      <w:r w:rsidRPr="00882D46">
        <w:rPr>
          <w:rFonts w:ascii="Times New Roman" w:hAnsi="Times New Roman" w:cs="Times New Roman"/>
          <w:bCs/>
          <w:sz w:val="21"/>
          <w:szCs w:val="21"/>
        </w:rPr>
        <w:t>Глущенко</w:t>
      </w:r>
      <w:r w:rsidRPr="00882D46">
        <w:rPr>
          <w:rFonts w:ascii="Times New Roman" w:hAnsi="Times New Roman" w:cs="Times New Roman"/>
          <w:sz w:val="21"/>
          <w:szCs w:val="21"/>
        </w:rPr>
        <w:t xml:space="preserve"> Г.</w:t>
      </w:r>
      <w:r>
        <w:rPr>
          <w:rFonts w:ascii="Times New Roman" w:hAnsi="Times New Roman" w:cs="Times New Roman"/>
          <w:sz w:val="21"/>
          <w:szCs w:val="21"/>
        </w:rPr>
        <w:t xml:space="preserve"> </w:t>
      </w:r>
      <w:r w:rsidRPr="00882D46">
        <w:rPr>
          <w:rFonts w:ascii="Times New Roman" w:hAnsi="Times New Roman" w:cs="Times New Roman"/>
          <w:sz w:val="21"/>
          <w:szCs w:val="21"/>
        </w:rPr>
        <w:t xml:space="preserve">И. Влияние международной трудовой </w:t>
      </w:r>
      <w:r w:rsidRPr="00882D46">
        <w:rPr>
          <w:rFonts w:ascii="Times New Roman" w:hAnsi="Times New Roman" w:cs="Times New Roman"/>
          <w:bCs/>
          <w:sz w:val="21"/>
          <w:szCs w:val="21"/>
        </w:rPr>
        <w:t>миграции</w:t>
      </w:r>
      <w:r w:rsidRPr="00882D46">
        <w:rPr>
          <w:rFonts w:ascii="Times New Roman" w:hAnsi="Times New Roman" w:cs="Times New Roman"/>
          <w:sz w:val="21"/>
          <w:szCs w:val="21"/>
        </w:rPr>
        <w:t xml:space="preserve"> на развитие мирового и национального хозяйств : дисс. ... д-ра экон. наук : 08.00.14 / </w:t>
      </w:r>
      <w:r w:rsidRPr="00882D46">
        <w:rPr>
          <w:rFonts w:ascii="Times New Roman" w:hAnsi="Times New Roman" w:cs="Times New Roman"/>
          <w:bCs/>
          <w:sz w:val="21"/>
          <w:szCs w:val="21"/>
        </w:rPr>
        <w:t>Глущенко</w:t>
      </w:r>
      <w:r w:rsidRPr="00882D46">
        <w:rPr>
          <w:rFonts w:ascii="Times New Roman" w:hAnsi="Times New Roman" w:cs="Times New Roman"/>
          <w:sz w:val="21"/>
          <w:szCs w:val="21"/>
        </w:rPr>
        <w:t xml:space="preserve"> Галина Ивановна / Пензенс</w:t>
      </w:r>
      <w:r>
        <w:rPr>
          <w:rFonts w:ascii="Times New Roman" w:hAnsi="Times New Roman" w:cs="Times New Roman"/>
          <w:sz w:val="21"/>
          <w:szCs w:val="21"/>
        </w:rPr>
        <w:t>кий государственный университет</w:t>
      </w:r>
      <w:r w:rsidRPr="00882D46">
        <w:rPr>
          <w:rFonts w:ascii="Times New Roman" w:hAnsi="Times New Roman" w:cs="Times New Roman"/>
          <w:sz w:val="21"/>
          <w:szCs w:val="21"/>
        </w:rPr>
        <w:t>. – Пенза, 2009. – 388 с.</w:t>
      </w:r>
      <w:bookmarkEnd w:id="255"/>
    </w:p>
    <w:p w:rsidR="00B233DE" w:rsidRPr="00656EF9"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ru-RU"/>
        </w:rPr>
      </w:pPr>
      <w:bookmarkStart w:id="256" w:name="_Ref435187560"/>
      <w:r w:rsidRPr="00656EF9">
        <w:rPr>
          <w:rFonts w:ascii="Times New Roman" w:hAnsi="Times New Roman" w:cs="Times New Roman"/>
          <w:sz w:val="21"/>
          <w:szCs w:val="21"/>
        </w:rPr>
        <w:t xml:space="preserve">Державна служба статистики України [Електронний ресурс]. – Режим доступу : </w:t>
      </w:r>
      <w:hyperlink r:id="rId99" w:history="1">
        <w:r w:rsidRPr="00656EF9">
          <w:rPr>
            <w:rFonts w:ascii="Times New Roman" w:hAnsi="Times New Roman" w:cs="Times New Roman"/>
            <w:sz w:val="21"/>
            <w:szCs w:val="21"/>
          </w:rPr>
          <w:t>http://ukrstat.gov.ua/</w:t>
        </w:r>
      </w:hyperlink>
      <w:bookmarkEnd w:id="256"/>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pacing w:val="-4"/>
          <w:sz w:val="21"/>
          <w:szCs w:val="21"/>
        </w:rPr>
      </w:pPr>
      <w:bookmarkStart w:id="257" w:name="_Ref435186949"/>
      <w:r w:rsidRPr="00882D46">
        <w:rPr>
          <w:rFonts w:ascii="Times New Roman" w:hAnsi="Times New Roman" w:cs="Times New Roman"/>
          <w:spacing w:val="-4"/>
          <w:sz w:val="21"/>
          <w:szCs w:val="21"/>
        </w:rPr>
        <w:t xml:space="preserve">Діденко Н. </w:t>
      </w:r>
      <w:hyperlink r:id="rId100" w:tgtFrame="_blank" w:history="1">
        <w:r w:rsidRPr="00882D46">
          <w:rPr>
            <w:rFonts w:ascii="Times New Roman" w:hAnsi="Times New Roman" w:cs="Times New Roman"/>
            <w:spacing w:val="-4"/>
            <w:sz w:val="21"/>
            <w:szCs w:val="21"/>
          </w:rPr>
          <w:t>Ринок праці та стратегія зайнятості в ЄС</w:t>
        </w:r>
        <w:r>
          <w:rPr>
            <w:rFonts w:ascii="Times New Roman" w:hAnsi="Times New Roman" w:cs="Times New Roman"/>
            <w:spacing w:val="-4"/>
            <w:sz w:val="21"/>
            <w:szCs w:val="21"/>
          </w:rPr>
          <w:t xml:space="preserve"> </w:t>
        </w:r>
        <w:r w:rsidRPr="00882D46">
          <w:rPr>
            <w:rFonts w:ascii="Times New Roman" w:hAnsi="Times New Roman" w:cs="Times New Roman"/>
            <w:spacing w:val="-4"/>
            <w:sz w:val="21"/>
            <w:szCs w:val="21"/>
          </w:rPr>
          <w:t>: досвід регулювання та державного управління</w:t>
        </w:r>
      </w:hyperlink>
      <w:r w:rsidRPr="00882D46">
        <w:rPr>
          <w:rFonts w:ascii="Times New Roman" w:hAnsi="Times New Roman" w:cs="Times New Roman"/>
          <w:spacing w:val="-4"/>
          <w:sz w:val="21"/>
          <w:szCs w:val="21"/>
        </w:rPr>
        <w:t xml:space="preserve"> / Н. Діденко // </w:t>
      </w:r>
      <w:r w:rsidRPr="00882D46">
        <w:rPr>
          <w:rFonts w:ascii="Times New Roman" w:hAnsi="Times New Roman" w:cs="Times New Roman"/>
          <w:bCs/>
          <w:spacing w:val="-4"/>
          <w:sz w:val="21"/>
          <w:szCs w:val="21"/>
        </w:rPr>
        <w:t>Публічне управління</w:t>
      </w:r>
      <w:r>
        <w:rPr>
          <w:rFonts w:ascii="Times New Roman" w:hAnsi="Times New Roman" w:cs="Times New Roman"/>
          <w:bCs/>
          <w:spacing w:val="-4"/>
          <w:sz w:val="21"/>
          <w:szCs w:val="21"/>
        </w:rPr>
        <w:t xml:space="preserve"> </w:t>
      </w:r>
      <w:r w:rsidRPr="00882D46">
        <w:rPr>
          <w:rFonts w:ascii="Times New Roman" w:hAnsi="Times New Roman" w:cs="Times New Roman"/>
          <w:bCs/>
          <w:spacing w:val="-4"/>
          <w:sz w:val="21"/>
          <w:szCs w:val="21"/>
        </w:rPr>
        <w:t>: теорія та практика :</w:t>
      </w:r>
      <w:r w:rsidRPr="00882D46">
        <w:rPr>
          <w:rFonts w:ascii="Times New Roman" w:hAnsi="Times New Roman" w:cs="Times New Roman"/>
          <w:spacing w:val="-4"/>
          <w:sz w:val="21"/>
          <w:szCs w:val="21"/>
        </w:rPr>
        <w:t xml:space="preserve"> збірник наукових праць Асоціації докторів наук з державного управління. – Х. : ДокНаукДержУпр, 2010. – № 2. – С. 131–137.</w:t>
      </w:r>
      <w:bookmarkEnd w:id="257"/>
    </w:p>
    <w:p w:rsidR="00B233DE" w:rsidRPr="00656EF9"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58" w:name="_Ref435188266"/>
      <w:r w:rsidRPr="00882D46">
        <w:rPr>
          <w:rFonts w:ascii="Times New Roman" w:hAnsi="Times New Roman" w:cs="Times New Roman"/>
          <w:iCs/>
          <w:sz w:val="21"/>
          <w:szCs w:val="21"/>
        </w:rPr>
        <w:t>Доклад о человеческом развитии 2013. Возвышение Юга</w:t>
      </w:r>
      <w:r>
        <w:rPr>
          <w:rFonts w:ascii="Times New Roman" w:hAnsi="Times New Roman" w:cs="Times New Roman"/>
          <w:iCs/>
          <w:sz w:val="21"/>
          <w:szCs w:val="21"/>
        </w:rPr>
        <w:t xml:space="preserve"> </w:t>
      </w:r>
      <w:r w:rsidRPr="00882D46">
        <w:rPr>
          <w:rFonts w:ascii="Times New Roman" w:hAnsi="Times New Roman" w:cs="Times New Roman"/>
          <w:iCs/>
          <w:sz w:val="21"/>
          <w:szCs w:val="21"/>
        </w:rPr>
        <w:t xml:space="preserve">: человеческий прогресс в многообразном обществе / ПРООН [Електронний ресурс]. – Режим доступу : </w:t>
      </w:r>
      <w:r w:rsidRPr="00882D46">
        <w:rPr>
          <w:rStyle w:val="HTML1"/>
          <w:rFonts w:ascii="Times New Roman" w:hAnsi="Times New Roman" w:cs="Times New Roman"/>
          <w:i w:val="0"/>
          <w:sz w:val="21"/>
          <w:szCs w:val="21"/>
        </w:rPr>
        <w:t>hdr.undp.org/en/media/HDR_</w:t>
      </w:r>
      <w:r w:rsidRPr="00882D46">
        <w:rPr>
          <w:rStyle w:val="HTML1"/>
          <w:rFonts w:ascii="Times New Roman" w:hAnsi="Times New Roman" w:cs="Times New Roman"/>
          <w:bCs/>
          <w:i w:val="0"/>
          <w:sz w:val="21"/>
          <w:szCs w:val="21"/>
        </w:rPr>
        <w:t>2013</w:t>
      </w:r>
      <w:r w:rsidRPr="00882D46">
        <w:rPr>
          <w:rStyle w:val="HTML1"/>
          <w:rFonts w:ascii="Times New Roman" w:hAnsi="Times New Roman" w:cs="Times New Roman"/>
          <w:i w:val="0"/>
          <w:sz w:val="21"/>
          <w:szCs w:val="21"/>
        </w:rPr>
        <w:t>_RU.pdf</w:t>
      </w:r>
      <w:bookmarkEnd w:id="258"/>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59" w:name="_Ref435188421"/>
      <w:r w:rsidRPr="00882D46">
        <w:rPr>
          <w:rFonts w:ascii="Times New Roman" w:hAnsi="Times New Roman" w:cs="Times New Roman"/>
          <w:iCs/>
          <w:sz w:val="21"/>
          <w:szCs w:val="21"/>
        </w:rPr>
        <w:t xml:space="preserve">Захаров С. </w:t>
      </w:r>
      <w:r w:rsidRPr="00882D46">
        <w:rPr>
          <w:rFonts w:ascii="Times New Roman" w:hAnsi="Times New Roman" w:cs="Times New Roman"/>
          <w:sz w:val="21"/>
          <w:szCs w:val="21"/>
        </w:rPr>
        <w:t>Международные мигранты вносят значимый вклад в рождаемость в западных странах [Електронний ресурс]</w:t>
      </w:r>
      <w:r>
        <w:rPr>
          <w:rFonts w:ascii="Times New Roman" w:hAnsi="Times New Roman" w:cs="Times New Roman"/>
          <w:sz w:val="21"/>
          <w:szCs w:val="21"/>
        </w:rPr>
        <w:t xml:space="preserve"> </w:t>
      </w:r>
      <w:r w:rsidRPr="00882D46">
        <w:rPr>
          <w:rFonts w:ascii="Times New Roman" w:hAnsi="Times New Roman" w:cs="Times New Roman"/>
          <w:sz w:val="21"/>
          <w:szCs w:val="21"/>
        </w:rPr>
        <w:t xml:space="preserve">/ </w:t>
      </w:r>
      <w:r>
        <w:rPr>
          <w:rFonts w:ascii="Times New Roman" w:hAnsi="Times New Roman" w:cs="Times New Roman"/>
          <w:iCs/>
          <w:sz w:val="21"/>
          <w:szCs w:val="21"/>
        </w:rPr>
        <w:t>С. </w:t>
      </w:r>
      <w:r w:rsidRPr="00882D46">
        <w:rPr>
          <w:rFonts w:ascii="Times New Roman" w:hAnsi="Times New Roman" w:cs="Times New Roman"/>
          <w:iCs/>
          <w:sz w:val="21"/>
          <w:szCs w:val="21"/>
        </w:rPr>
        <w:t>Захаров, С.</w:t>
      </w:r>
      <w:r w:rsidRPr="00882D46">
        <w:rPr>
          <w:rFonts w:ascii="Times New Roman" w:hAnsi="Times New Roman" w:cs="Times New Roman"/>
          <w:sz w:val="21"/>
          <w:szCs w:val="21"/>
        </w:rPr>
        <w:t xml:space="preserve"> </w:t>
      </w:r>
      <w:r w:rsidRPr="00882D46">
        <w:rPr>
          <w:rFonts w:ascii="Times New Roman" w:hAnsi="Times New Roman" w:cs="Times New Roman"/>
          <w:iCs/>
          <w:sz w:val="21"/>
          <w:szCs w:val="21"/>
        </w:rPr>
        <w:t xml:space="preserve">Сурков </w:t>
      </w:r>
      <w:r w:rsidRPr="00882D46">
        <w:rPr>
          <w:rFonts w:ascii="Times New Roman" w:hAnsi="Times New Roman" w:cs="Times New Roman"/>
          <w:sz w:val="21"/>
          <w:szCs w:val="21"/>
        </w:rPr>
        <w:t xml:space="preserve">// </w:t>
      </w:r>
      <w:r w:rsidRPr="00882D46">
        <w:rPr>
          <w:rFonts w:ascii="Times New Roman" w:hAnsi="Times New Roman" w:cs="Times New Roman"/>
          <w:iCs/>
          <w:sz w:val="21"/>
          <w:szCs w:val="21"/>
        </w:rPr>
        <w:t>Население и общество</w:t>
      </w:r>
      <w:r w:rsidRPr="00882D46">
        <w:rPr>
          <w:rFonts w:ascii="Times New Roman" w:hAnsi="Times New Roman" w:cs="Times New Roman"/>
          <w:sz w:val="21"/>
          <w:szCs w:val="21"/>
        </w:rPr>
        <w:t xml:space="preserve"> : электронная версия бюллетеня. – 2009. – Режим доступу : </w:t>
      </w:r>
      <w:hyperlink r:id="rId101" w:history="1">
        <w:r w:rsidRPr="00882D46">
          <w:rPr>
            <w:rFonts w:ascii="Times New Roman" w:hAnsi="Times New Roman" w:cs="Times New Roman"/>
            <w:sz w:val="21"/>
            <w:szCs w:val="21"/>
          </w:rPr>
          <w:t>http://demoscope.ru/weekly/</w:t>
        </w:r>
        <w:r>
          <w:rPr>
            <w:rFonts w:ascii="Times New Roman" w:hAnsi="Times New Roman" w:cs="Times New Roman"/>
            <w:sz w:val="21"/>
            <w:szCs w:val="21"/>
          </w:rPr>
          <w:t xml:space="preserve"> </w:t>
        </w:r>
        <w:r w:rsidRPr="00882D46">
          <w:rPr>
            <w:rFonts w:ascii="Times New Roman" w:hAnsi="Times New Roman" w:cs="Times New Roman"/>
            <w:sz w:val="21"/>
            <w:szCs w:val="21"/>
          </w:rPr>
          <w:t>2009/0399/tema01.php</w:t>
        </w:r>
      </w:hyperlink>
      <w:bookmarkEnd w:id="259"/>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60" w:name="_Ref435187586"/>
      <w:r w:rsidRPr="00882D46">
        <w:rPr>
          <w:rFonts w:ascii="Times New Roman" w:hAnsi="Times New Roman" w:cs="Times New Roman"/>
          <w:bCs/>
          <w:sz w:val="21"/>
          <w:szCs w:val="21"/>
        </w:rPr>
        <w:lastRenderedPageBreak/>
        <w:t>Зовнішня трудова міграція</w:t>
      </w:r>
      <w:r w:rsidRPr="00882D46">
        <w:rPr>
          <w:rFonts w:ascii="Times New Roman" w:hAnsi="Times New Roman" w:cs="Times New Roman"/>
          <w:sz w:val="21"/>
          <w:szCs w:val="21"/>
        </w:rPr>
        <w:t xml:space="preserve"> населення України / за ред. Е.</w:t>
      </w:r>
      <w:r>
        <w:rPr>
          <w:rFonts w:ascii="Times New Roman" w:hAnsi="Times New Roman" w:cs="Times New Roman"/>
          <w:sz w:val="21"/>
          <w:szCs w:val="21"/>
        </w:rPr>
        <w:t> </w:t>
      </w:r>
      <w:r w:rsidRPr="00882D46">
        <w:rPr>
          <w:rFonts w:ascii="Times New Roman" w:hAnsi="Times New Roman" w:cs="Times New Roman"/>
          <w:sz w:val="21"/>
          <w:szCs w:val="21"/>
        </w:rPr>
        <w:t>М. Лібанової. – К. : Інформативно-аналітичне агентство, 2009. – 120 с.</w:t>
      </w:r>
      <w:bookmarkEnd w:id="260"/>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61" w:name="_Ref435187093"/>
      <w:r w:rsidRPr="00882D46">
        <w:rPr>
          <w:rStyle w:val="HTML1"/>
          <w:rFonts w:ascii="Times New Roman" w:hAnsi="Times New Roman" w:cs="Times New Roman"/>
          <w:i w:val="0"/>
          <w:sz w:val="21"/>
          <w:szCs w:val="21"/>
        </w:rPr>
        <w:t>Зупи М. Практические методы оценки и прогнозирования потребности рынка труда</w:t>
      </w:r>
      <w:r>
        <w:rPr>
          <w:rStyle w:val="HTML1"/>
          <w:rFonts w:ascii="Times New Roman" w:hAnsi="Times New Roman" w:cs="Times New Roman"/>
          <w:i w:val="0"/>
          <w:sz w:val="21"/>
          <w:szCs w:val="21"/>
        </w:rPr>
        <w:t xml:space="preserve"> </w:t>
      </w:r>
      <w:r w:rsidRPr="00882D46">
        <w:rPr>
          <w:rStyle w:val="HTML1"/>
          <w:rFonts w:ascii="Times New Roman" w:hAnsi="Times New Roman" w:cs="Times New Roman"/>
          <w:i w:val="0"/>
          <w:sz w:val="21"/>
          <w:szCs w:val="21"/>
        </w:rPr>
        <w:t>: опыт Испании и Италии в помощь совершенствованию управления миграцией в России [Електронний ресурс]</w:t>
      </w:r>
      <w:r>
        <w:rPr>
          <w:rStyle w:val="HTML1"/>
          <w:rFonts w:ascii="Times New Roman" w:hAnsi="Times New Roman" w:cs="Times New Roman"/>
          <w:i w:val="0"/>
          <w:sz w:val="21"/>
          <w:szCs w:val="21"/>
        </w:rPr>
        <w:t xml:space="preserve"> </w:t>
      </w:r>
      <w:r w:rsidRPr="00882D46">
        <w:rPr>
          <w:rStyle w:val="HTML1"/>
          <w:rFonts w:ascii="Times New Roman" w:hAnsi="Times New Roman" w:cs="Times New Roman"/>
          <w:i w:val="0"/>
          <w:sz w:val="21"/>
          <w:szCs w:val="21"/>
        </w:rPr>
        <w:t xml:space="preserve">/ </w:t>
      </w:r>
      <w:r>
        <w:rPr>
          <w:rStyle w:val="HTML1"/>
          <w:rFonts w:ascii="Times New Roman" w:hAnsi="Times New Roman" w:cs="Times New Roman"/>
          <w:i w:val="0"/>
          <w:sz w:val="21"/>
          <w:szCs w:val="21"/>
        </w:rPr>
        <w:t>М. Зупи, Э.-П.</w:t>
      </w:r>
      <w:r w:rsidRPr="00882D46">
        <w:rPr>
          <w:rStyle w:val="HTML1"/>
          <w:rFonts w:ascii="Times New Roman" w:hAnsi="Times New Roman" w:cs="Times New Roman"/>
          <w:i w:val="0"/>
          <w:sz w:val="21"/>
          <w:szCs w:val="21"/>
        </w:rPr>
        <w:t xml:space="preserve"> Элисенда. – Режим доступу : </w:t>
      </w:r>
      <w:hyperlink r:id="rId102" w:history="1">
        <w:r w:rsidRPr="00882D46">
          <w:rPr>
            <w:rFonts w:ascii="Times New Roman" w:hAnsi="Times New Roman" w:cs="Times New Roman"/>
            <w:sz w:val="21"/>
            <w:szCs w:val="21"/>
          </w:rPr>
          <w:t>www.ilo.org/public/russian/region/eurpro/moscow/.../mz</w:t>
        </w:r>
        <w:r>
          <w:rPr>
            <w:rFonts w:ascii="Times New Roman" w:hAnsi="Times New Roman" w:cs="Times New Roman"/>
            <w:sz w:val="21"/>
            <w:szCs w:val="21"/>
          </w:rPr>
          <w:t xml:space="preserve"> </w:t>
        </w:r>
        <w:r w:rsidRPr="00882D46">
          <w:rPr>
            <w:rFonts w:ascii="Times New Roman" w:hAnsi="Times New Roman" w:cs="Times New Roman"/>
            <w:sz w:val="21"/>
            <w:szCs w:val="21"/>
          </w:rPr>
          <w:t>_ee_pres_ru.pdf</w:t>
        </w:r>
      </w:hyperlink>
      <w:bookmarkEnd w:id="261"/>
    </w:p>
    <w:p w:rsidR="00B233DE" w:rsidRPr="007522E8"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62" w:name="_Ref435187836"/>
      <w:r w:rsidRPr="007522E8">
        <w:rPr>
          <w:rFonts w:ascii="Times New Roman" w:hAnsi="Times New Roman" w:cs="Times New Roman"/>
          <w:sz w:val="21"/>
          <w:szCs w:val="21"/>
        </w:rPr>
        <w:t xml:space="preserve">Ільїч Л. М. Ефективність відтворення </w:t>
      </w:r>
      <w:r>
        <w:rPr>
          <w:rFonts w:ascii="Times New Roman" w:hAnsi="Times New Roman" w:cs="Times New Roman"/>
          <w:sz w:val="21"/>
          <w:szCs w:val="21"/>
        </w:rPr>
        <w:t>трудового потенціалу України : монографія</w:t>
      </w:r>
      <w:r w:rsidRPr="007522E8">
        <w:rPr>
          <w:rFonts w:ascii="Times New Roman" w:hAnsi="Times New Roman" w:cs="Times New Roman"/>
          <w:sz w:val="21"/>
          <w:szCs w:val="21"/>
        </w:rPr>
        <w:t xml:space="preserve"> / </w:t>
      </w:r>
      <w:r>
        <w:rPr>
          <w:rFonts w:ascii="Times New Roman" w:hAnsi="Times New Roman" w:cs="Times New Roman"/>
          <w:sz w:val="21"/>
          <w:szCs w:val="21"/>
        </w:rPr>
        <w:t xml:space="preserve">Л. М. Ільїч. – К. : Енергія плюс, 2007. – </w:t>
      </w:r>
      <w:r w:rsidRPr="007522E8">
        <w:rPr>
          <w:rFonts w:ascii="Times New Roman" w:hAnsi="Times New Roman" w:cs="Times New Roman"/>
          <w:sz w:val="21"/>
          <w:szCs w:val="21"/>
        </w:rPr>
        <w:t xml:space="preserve">212 </w:t>
      </w:r>
      <w:r w:rsidRPr="007522E8">
        <w:rPr>
          <w:rFonts w:ascii="Times New Roman" w:hAnsi="Times New Roman" w:cs="Times New Roman"/>
          <w:sz w:val="21"/>
          <w:szCs w:val="21"/>
          <w:lang w:val="en-US"/>
        </w:rPr>
        <w:t>c</w:t>
      </w:r>
      <w:r w:rsidRPr="007522E8">
        <w:rPr>
          <w:rFonts w:ascii="Times New Roman" w:hAnsi="Times New Roman" w:cs="Times New Roman"/>
          <w:sz w:val="21"/>
          <w:szCs w:val="21"/>
        </w:rPr>
        <w:t>.</w:t>
      </w:r>
      <w:bookmarkEnd w:id="262"/>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63" w:name="_Ref435187568"/>
      <w:r w:rsidRPr="00882D46">
        <w:rPr>
          <w:rStyle w:val="HTML1"/>
          <w:rFonts w:ascii="Times New Roman" w:hAnsi="Times New Roman" w:cs="Times New Roman"/>
          <w:i w:val="0"/>
          <w:sz w:val="21"/>
          <w:szCs w:val="21"/>
        </w:rPr>
        <w:t xml:space="preserve">Інформаційно-аналітичні матеріали з міграційної ситуації в Україні у 2009 році / Державний комітет України у справах національностей та релігій [Електронний ресурс]. – Режим доступу : </w:t>
      </w:r>
      <w:hyperlink r:id="rId103" w:history="1">
        <w:r w:rsidRPr="00882D46">
          <w:rPr>
            <w:rFonts w:ascii="Times New Roman" w:hAnsi="Times New Roman" w:cs="Times New Roman"/>
            <w:sz w:val="21"/>
            <w:szCs w:val="21"/>
          </w:rPr>
          <w:t>http://www.scnm.gov.ua/control/uk/publish/article;jsessionid</w:t>
        </w:r>
        <w:r>
          <w:rPr>
            <w:rFonts w:ascii="Times New Roman" w:hAnsi="Times New Roman" w:cs="Times New Roman"/>
            <w:sz w:val="21"/>
            <w:szCs w:val="21"/>
          </w:rPr>
          <w:t xml:space="preserve"> </w:t>
        </w:r>
        <w:r w:rsidRPr="00882D46">
          <w:rPr>
            <w:rFonts w:ascii="Times New Roman" w:hAnsi="Times New Roman" w:cs="Times New Roman"/>
            <w:sz w:val="21"/>
            <w:szCs w:val="21"/>
          </w:rPr>
          <w:t>=D9B3164C241DE297407DDFA816804B31?art_id=134359&amp;cat_id=47922</w:t>
        </w:r>
      </w:hyperlink>
      <w:bookmarkEnd w:id="263"/>
    </w:p>
    <w:p w:rsidR="00B233DE" w:rsidRPr="00AA79A8"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64" w:name="_Ref435186733"/>
      <w:r w:rsidRPr="00AA79A8">
        <w:rPr>
          <w:rFonts w:ascii="Times New Roman" w:hAnsi="Times New Roman" w:cs="Times New Roman"/>
          <w:sz w:val="21"/>
          <w:szCs w:val="21"/>
        </w:rPr>
        <w:t>Їдемо далі. Після глобальної економічної кризи міграція стала іншою, але вона триває</w:t>
      </w:r>
      <w:r>
        <w:rPr>
          <w:rFonts w:ascii="Times New Roman" w:hAnsi="Times New Roman" w:cs="Times New Roman"/>
          <w:sz w:val="21"/>
          <w:szCs w:val="21"/>
        </w:rPr>
        <w:t xml:space="preserve"> </w:t>
      </w:r>
      <w:r w:rsidRPr="00AA79A8">
        <w:rPr>
          <w:rFonts w:ascii="Times New Roman" w:hAnsi="Times New Roman" w:cs="Times New Roman"/>
          <w:sz w:val="21"/>
          <w:szCs w:val="21"/>
        </w:rPr>
        <w:t>[Електронний ресурс] // Український тиждень. – 01.09.2011. – № 36 (201). – Режим доступу : http://tyzhden.ua/World/29833</w:t>
      </w:r>
      <w:bookmarkEnd w:id="264"/>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65" w:name="_Ref435188186"/>
      <w:r w:rsidRPr="00882D46">
        <w:rPr>
          <w:rFonts w:ascii="Times New Roman" w:hAnsi="Times New Roman" w:cs="Times New Roman"/>
          <w:sz w:val="21"/>
          <w:szCs w:val="21"/>
        </w:rPr>
        <w:t>Капітанець О.</w:t>
      </w:r>
      <w:r>
        <w:rPr>
          <w:rFonts w:ascii="Times New Roman" w:hAnsi="Times New Roman" w:cs="Times New Roman"/>
          <w:sz w:val="21"/>
          <w:szCs w:val="21"/>
        </w:rPr>
        <w:t xml:space="preserve"> </w:t>
      </w:r>
      <w:r w:rsidRPr="00882D46">
        <w:rPr>
          <w:rFonts w:ascii="Times New Roman" w:hAnsi="Times New Roman" w:cs="Times New Roman"/>
          <w:sz w:val="21"/>
          <w:szCs w:val="21"/>
        </w:rPr>
        <w:t>М. Освітня міграція / О.</w:t>
      </w:r>
      <w:r>
        <w:rPr>
          <w:rFonts w:ascii="Times New Roman" w:hAnsi="Times New Roman" w:cs="Times New Roman"/>
          <w:sz w:val="21"/>
          <w:szCs w:val="21"/>
        </w:rPr>
        <w:t xml:space="preserve"> </w:t>
      </w:r>
      <w:r w:rsidRPr="00882D46">
        <w:rPr>
          <w:rFonts w:ascii="Times New Roman" w:hAnsi="Times New Roman" w:cs="Times New Roman"/>
          <w:sz w:val="21"/>
          <w:szCs w:val="21"/>
        </w:rPr>
        <w:t>М. Капітанець, А.</w:t>
      </w:r>
      <w:r>
        <w:rPr>
          <w:rFonts w:ascii="Times New Roman" w:hAnsi="Times New Roman" w:cs="Times New Roman"/>
          <w:sz w:val="21"/>
          <w:szCs w:val="21"/>
        </w:rPr>
        <w:t> </w:t>
      </w:r>
      <w:r w:rsidRPr="00882D46">
        <w:rPr>
          <w:rFonts w:ascii="Times New Roman" w:hAnsi="Times New Roman" w:cs="Times New Roman"/>
          <w:sz w:val="21"/>
          <w:szCs w:val="21"/>
        </w:rPr>
        <w:t>М. Островська // Соціально-економічні проблеми сучасного періоду України : зб. наук. праць. –</w:t>
      </w:r>
      <w:r>
        <w:rPr>
          <w:rFonts w:ascii="Times New Roman" w:hAnsi="Times New Roman" w:cs="Times New Roman"/>
          <w:sz w:val="21"/>
          <w:szCs w:val="21"/>
        </w:rPr>
        <w:t xml:space="preserve"> </w:t>
      </w:r>
      <w:r w:rsidRPr="00882D46">
        <w:rPr>
          <w:rFonts w:ascii="Times New Roman" w:hAnsi="Times New Roman" w:cs="Times New Roman"/>
          <w:sz w:val="21"/>
          <w:szCs w:val="21"/>
        </w:rPr>
        <w:t>2009. – Вип. 6</w:t>
      </w:r>
      <w:r>
        <w:rPr>
          <w:rFonts w:ascii="Times New Roman" w:hAnsi="Times New Roman" w:cs="Times New Roman"/>
          <w:sz w:val="21"/>
          <w:szCs w:val="21"/>
        </w:rPr>
        <w:t xml:space="preserve"> </w:t>
      </w:r>
      <w:r w:rsidRPr="00882D46">
        <w:rPr>
          <w:rFonts w:ascii="Times New Roman" w:hAnsi="Times New Roman" w:cs="Times New Roman"/>
          <w:sz w:val="21"/>
          <w:szCs w:val="21"/>
        </w:rPr>
        <w:t>(80). – С. 395–397.</w:t>
      </w:r>
      <w:bookmarkEnd w:id="265"/>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66" w:name="_Ref435186760"/>
      <w:r w:rsidRPr="00882D46">
        <w:rPr>
          <w:rFonts w:ascii="Times New Roman" w:hAnsi="Times New Roman" w:cs="Times New Roman"/>
          <w:sz w:val="21"/>
          <w:szCs w:val="21"/>
        </w:rPr>
        <w:t>Карачурина Л. Иммиграционная политика Германии</w:t>
      </w:r>
      <w:r>
        <w:rPr>
          <w:rFonts w:ascii="Times New Roman" w:hAnsi="Times New Roman" w:cs="Times New Roman"/>
          <w:sz w:val="21"/>
          <w:szCs w:val="21"/>
        </w:rPr>
        <w:t xml:space="preserve"> </w:t>
      </w:r>
      <w:r w:rsidRPr="00882D46">
        <w:rPr>
          <w:rFonts w:ascii="Times New Roman" w:hAnsi="Times New Roman" w:cs="Times New Roman"/>
          <w:sz w:val="21"/>
          <w:szCs w:val="21"/>
        </w:rPr>
        <w:t>: успешный и неуспешный опыт / Л. Карачурина // Мировая экономика и международные отношения. – 2008. – № 7. – С. 50–60.</w:t>
      </w:r>
      <w:bookmarkEnd w:id="266"/>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67" w:name="_Ref435182581"/>
      <w:r w:rsidRPr="00882D46">
        <w:rPr>
          <w:rFonts w:ascii="Times New Roman" w:hAnsi="Times New Roman" w:cs="Times New Roman"/>
          <w:sz w:val="21"/>
          <w:szCs w:val="21"/>
        </w:rPr>
        <w:t>Кириченко Э. От «утечки умов» к глобальному «круговороту умов» / Э. Кириченко // Мировая экономика и международные отношения. – 2008. – № 10. – С. 3–11.</w:t>
      </w:r>
      <w:bookmarkEnd w:id="267"/>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68" w:name="_Ref435695363"/>
      <w:r>
        <w:rPr>
          <w:rFonts w:ascii="Times New Roman" w:hAnsi="Times New Roman" w:cs="Times New Roman"/>
          <w:sz w:val="21"/>
          <w:szCs w:val="21"/>
        </w:rPr>
        <w:t xml:space="preserve">Ковалев Ю. Оторвемся? </w:t>
      </w:r>
      <w:r w:rsidRPr="00882D46">
        <w:rPr>
          <w:rFonts w:ascii="Times New Roman" w:hAnsi="Times New Roman" w:cs="Times New Roman"/>
          <w:sz w:val="21"/>
          <w:szCs w:val="21"/>
        </w:rPr>
        <w:t>[Електронний ресурс]</w:t>
      </w:r>
      <w:r>
        <w:rPr>
          <w:rFonts w:ascii="Times New Roman" w:hAnsi="Times New Roman" w:cs="Times New Roman"/>
          <w:sz w:val="21"/>
          <w:szCs w:val="21"/>
        </w:rPr>
        <w:t xml:space="preserve"> / Ю. </w:t>
      </w:r>
      <w:r w:rsidRPr="00882D46">
        <w:rPr>
          <w:rFonts w:ascii="Times New Roman" w:hAnsi="Times New Roman" w:cs="Times New Roman"/>
          <w:sz w:val="21"/>
          <w:szCs w:val="21"/>
        </w:rPr>
        <w:t>Ковалев</w:t>
      </w:r>
      <w:r>
        <w:rPr>
          <w:rFonts w:ascii="Times New Roman" w:hAnsi="Times New Roman" w:cs="Times New Roman"/>
          <w:sz w:val="21"/>
          <w:szCs w:val="21"/>
        </w:rPr>
        <w:t xml:space="preserve"> </w:t>
      </w:r>
      <w:r w:rsidRPr="00882D46">
        <w:rPr>
          <w:rFonts w:ascii="Times New Roman" w:hAnsi="Times New Roman" w:cs="Times New Roman"/>
          <w:sz w:val="21"/>
          <w:szCs w:val="21"/>
        </w:rPr>
        <w:t>// Бизнес-журнал. – 14 августа 2007. – № 15. – Режим доступу : http://www.business-magazine.ru/markets/it_n/pub288260</w:t>
      </w:r>
      <w:bookmarkEnd w:id="268"/>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69" w:name="_Ref435187760"/>
      <w:bookmarkStart w:id="270" w:name="_Ref435181971"/>
      <w:r w:rsidRPr="00882D46">
        <w:rPr>
          <w:rFonts w:ascii="Times New Roman" w:hAnsi="Times New Roman" w:cs="Times New Roman"/>
          <w:spacing w:val="-4"/>
          <w:sz w:val="21"/>
          <w:szCs w:val="21"/>
        </w:rPr>
        <w:t xml:space="preserve">Комплексний демографічний прогноз </w:t>
      </w:r>
      <w:r>
        <w:rPr>
          <w:rFonts w:ascii="Times New Roman" w:hAnsi="Times New Roman" w:cs="Times New Roman"/>
          <w:spacing w:val="-4"/>
          <w:sz w:val="21"/>
          <w:szCs w:val="21"/>
        </w:rPr>
        <w:t xml:space="preserve">України на період до 2050 р. / </w:t>
      </w:r>
      <w:r w:rsidRPr="00882D46">
        <w:rPr>
          <w:rFonts w:ascii="Times New Roman" w:hAnsi="Times New Roman" w:cs="Times New Roman"/>
          <w:spacing w:val="-4"/>
          <w:sz w:val="21"/>
          <w:szCs w:val="21"/>
        </w:rPr>
        <w:t>за ред. Е.</w:t>
      </w:r>
      <w:r>
        <w:rPr>
          <w:rFonts w:ascii="Times New Roman" w:hAnsi="Times New Roman" w:cs="Times New Roman"/>
          <w:spacing w:val="-4"/>
          <w:sz w:val="21"/>
          <w:szCs w:val="21"/>
        </w:rPr>
        <w:t xml:space="preserve"> М. Лібанової</w:t>
      </w:r>
      <w:r w:rsidRPr="00882D46">
        <w:rPr>
          <w:rFonts w:ascii="Times New Roman" w:hAnsi="Times New Roman" w:cs="Times New Roman"/>
          <w:spacing w:val="-4"/>
          <w:sz w:val="21"/>
          <w:szCs w:val="21"/>
        </w:rPr>
        <w:t>. – К. : Український центр соціальних реформ, 2006. – 183 c.</w:t>
      </w:r>
      <w:bookmarkEnd w:id="269"/>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71" w:name="_Ref435187274"/>
      <w:r w:rsidRPr="00882D46">
        <w:rPr>
          <w:rFonts w:ascii="Times New Roman" w:hAnsi="Times New Roman" w:cs="Times New Roman"/>
          <w:sz w:val="21"/>
          <w:szCs w:val="21"/>
        </w:rPr>
        <w:lastRenderedPageBreak/>
        <w:t xml:space="preserve">Кондратьев Н. </w:t>
      </w:r>
      <w:hyperlink r:id="rId104" w:history="1">
        <w:r w:rsidRPr="00882D46">
          <w:rPr>
            <w:rFonts w:ascii="Times New Roman" w:hAnsi="Times New Roman" w:cs="Times New Roman"/>
            <w:sz w:val="21"/>
            <w:szCs w:val="21"/>
          </w:rPr>
          <w:t>Большие циклы конъюнктуры и теория предвидения.</w:t>
        </w:r>
      </w:hyperlink>
      <w:r w:rsidRPr="00882D46">
        <w:rPr>
          <w:rFonts w:ascii="Times New Roman" w:hAnsi="Times New Roman" w:cs="Times New Roman"/>
          <w:sz w:val="21"/>
          <w:szCs w:val="21"/>
        </w:rPr>
        <w:t xml:space="preserve"> Избранные</w:t>
      </w:r>
      <w:r>
        <w:rPr>
          <w:rFonts w:ascii="Times New Roman" w:hAnsi="Times New Roman" w:cs="Times New Roman"/>
          <w:sz w:val="21"/>
          <w:szCs w:val="21"/>
        </w:rPr>
        <w:t xml:space="preserve"> труды / Н. Кондратьев</w:t>
      </w:r>
      <w:r w:rsidRPr="00882D46">
        <w:rPr>
          <w:rFonts w:ascii="Times New Roman" w:hAnsi="Times New Roman" w:cs="Times New Roman"/>
          <w:sz w:val="21"/>
          <w:szCs w:val="21"/>
        </w:rPr>
        <w:t xml:space="preserve">, </w:t>
      </w:r>
      <w:r>
        <w:rPr>
          <w:rFonts w:ascii="Times New Roman" w:hAnsi="Times New Roman" w:cs="Times New Roman"/>
          <w:sz w:val="21"/>
          <w:szCs w:val="21"/>
        </w:rPr>
        <w:t xml:space="preserve">Ю. </w:t>
      </w:r>
      <w:hyperlink r:id="rId105" w:tooltip="Яковец, Юрий Владимирович (страница отсутствует)" w:history="1">
        <w:r w:rsidRPr="00882D46">
          <w:rPr>
            <w:rFonts w:ascii="Times New Roman" w:hAnsi="Times New Roman" w:cs="Times New Roman"/>
            <w:sz w:val="21"/>
            <w:szCs w:val="21"/>
          </w:rPr>
          <w:t>Яковец</w:t>
        </w:r>
      </w:hyperlink>
      <w:r w:rsidRPr="00882D46">
        <w:rPr>
          <w:rFonts w:ascii="Times New Roman" w:hAnsi="Times New Roman" w:cs="Times New Roman"/>
          <w:sz w:val="21"/>
          <w:szCs w:val="21"/>
        </w:rPr>
        <w:t xml:space="preserve">, </w:t>
      </w:r>
      <w:r>
        <w:rPr>
          <w:rFonts w:ascii="Times New Roman" w:hAnsi="Times New Roman" w:cs="Times New Roman"/>
          <w:sz w:val="21"/>
          <w:szCs w:val="21"/>
        </w:rPr>
        <w:t>Л. </w:t>
      </w:r>
      <w:hyperlink r:id="rId106" w:tooltip="Абалкин, Леонид Иванович" w:history="1">
        <w:r w:rsidRPr="00882D46">
          <w:rPr>
            <w:rFonts w:ascii="Times New Roman" w:hAnsi="Times New Roman" w:cs="Times New Roman"/>
            <w:sz w:val="21"/>
            <w:szCs w:val="21"/>
          </w:rPr>
          <w:t>Абалкин</w:t>
        </w:r>
      </w:hyperlink>
      <w:r>
        <w:rPr>
          <w:rFonts w:ascii="Times New Roman" w:hAnsi="Times New Roman" w:cs="Times New Roman"/>
          <w:sz w:val="21"/>
          <w:szCs w:val="21"/>
        </w:rPr>
        <w:t>.</w:t>
      </w:r>
      <w:r w:rsidRPr="00882D46">
        <w:rPr>
          <w:rFonts w:ascii="Times New Roman" w:hAnsi="Times New Roman" w:cs="Times New Roman"/>
          <w:sz w:val="21"/>
          <w:szCs w:val="21"/>
        </w:rPr>
        <w:t xml:space="preserve"> – М. : Экономика, 2002. – 768 с.</w:t>
      </w:r>
      <w:bookmarkEnd w:id="270"/>
      <w:bookmarkEnd w:id="271"/>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72" w:name="_Ref435181984"/>
      <w:r w:rsidRPr="00882D46">
        <w:rPr>
          <w:rFonts w:ascii="Times New Roman" w:hAnsi="Times New Roman" w:cs="Times New Roman"/>
          <w:sz w:val="21"/>
          <w:szCs w:val="21"/>
        </w:rPr>
        <w:t>Конкурентоспроможність економіки України</w:t>
      </w:r>
      <w:r>
        <w:rPr>
          <w:rFonts w:ascii="Times New Roman" w:hAnsi="Times New Roman" w:cs="Times New Roman"/>
          <w:sz w:val="21"/>
          <w:szCs w:val="21"/>
        </w:rPr>
        <w:t xml:space="preserve"> </w:t>
      </w:r>
      <w:r w:rsidRPr="00882D46">
        <w:rPr>
          <w:rFonts w:ascii="Times New Roman" w:hAnsi="Times New Roman" w:cs="Times New Roman"/>
          <w:sz w:val="21"/>
          <w:szCs w:val="21"/>
        </w:rPr>
        <w:t>: стан і перспект</w:t>
      </w:r>
      <w:r>
        <w:rPr>
          <w:rFonts w:ascii="Times New Roman" w:hAnsi="Times New Roman" w:cs="Times New Roman"/>
          <w:sz w:val="21"/>
          <w:szCs w:val="21"/>
        </w:rPr>
        <w:t xml:space="preserve">иви підвищення / </w:t>
      </w:r>
      <w:r w:rsidRPr="00882D46">
        <w:rPr>
          <w:rFonts w:ascii="Times New Roman" w:hAnsi="Times New Roman" w:cs="Times New Roman"/>
          <w:sz w:val="21"/>
          <w:szCs w:val="21"/>
        </w:rPr>
        <w:t>за ред. І.</w:t>
      </w:r>
      <w:r>
        <w:rPr>
          <w:rFonts w:ascii="Times New Roman" w:hAnsi="Times New Roman" w:cs="Times New Roman"/>
          <w:sz w:val="21"/>
          <w:szCs w:val="21"/>
        </w:rPr>
        <w:t xml:space="preserve"> </w:t>
      </w:r>
      <w:r w:rsidRPr="00882D46">
        <w:rPr>
          <w:rFonts w:ascii="Times New Roman" w:hAnsi="Times New Roman" w:cs="Times New Roman"/>
          <w:sz w:val="21"/>
          <w:szCs w:val="21"/>
        </w:rPr>
        <w:t>В. Крючкової. – К.</w:t>
      </w:r>
      <w:r w:rsidRPr="007522E8">
        <w:rPr>
          <w:rFonts w:ascii="Times New Roman" w:hAnsi="Times New Roman" w:cs="Times New Roman"/>
          <w:sz w:val="21"/>
          <w:szCs w:val="21"/>
          <w:lang w:val="ru-RU"/>
        </w:rPr>
        <w:t xml:space="preserve"> </w:t>
      </w:r>
      <w:r w:rsidRPr="00882D46">
        <w:rPr>
          <w:rFonts w:ascii="Times New Roman" w:hAnsi="Times New Roman" w:cs="Times New Roman"/>
          <w:sz w:val="21"/>
          <w:szCs w:val="21"/>
        </w:rPr>
        <w:t>: Основа, 2007. – 18</w:t>
      </w:r>
      <w:r>
        <w:rPr>
          <w:rFonts w:ascii="Times New Roman" w:hAnsi="Times New Roman" w:cs="Times New Roman"/>
          <w:sz w:val="21"/>
          <w:szCs w:val="21"/>
        </w:rPr>
        <w:t>0 с</w:t>
      </w:r>
      <w:r w:rsidRPr="007522E8">
        <w:rPr>
          <w:rFonts w:ascii="Times New Roman" w:hAnsi="Times New Roman" w:cs="Times New Roman"/>
          <w:sz w:val="21"/>
          <w:szCs w:val="21"/>
          <w:lang w:val="ru-RU"/>
        </w:rPr>
        <w:t>.</w:t>
      </w:r>
      <w:bookmarkEnd w:id="272"/>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73" w:name="_Ref435182297"/>
      <w:r w:rsidRPr="00882D46">
        <w:rPr>
          <w:rFonts w:ascii="Times New Roman" w:hAnsi="Times New Roman" w:cs="Times New Roman"/>
          <w:sz w:val="21"/>
          <w:szCs w:val="21"/>
        </w:rPr>
        <w:t>Котельников В. «Крепость Европа» в новую эпоху переселения народов [Електронний ресурс]</w:t>
      </w:r>
      <w:r>
        <w:rPr>
          <w:rFonts w:ascii="Times New Roman" w:hAnsi="Times New Roman" w:cs="Times New Roman"/>
          <w:sz w:val="21"/>
          <w:szCs w:val="21"/>
        </w:rPr>
        <w:t xml:space="preserve"> / В. Котельников</w:t>
      </w:r>
      <w:r w:rsidRPr="00882D46">
        <w:rPr>
          <w:rFonts w:ascii="Times New Roman" w:hAnsi="Times New Roman" w:cs="Times New Roman"/>
          <w:sz w:val="21"/>
          <w:szCs w:val="21"/>
        </w:rPr>
        <w:t>. – Режим доступу : http://www.antropotok.archipelag.ru/text/a300.htm</w:t>
      </w:r>
      <w:bookmarkEnd w:id="273"/>
    </w:p>
    <w:p w:rsidR="00B233DE" w:rsidRPr="00656EF9"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74" w:name="_Ref435182155"/>
      <w:r w:rsidRPr="00882D46">
        <w:rPr>
          <w:rStyle w:val="a9"/>
          <w:rFonts w:ascii="Times New Roman" w:hAnsi="Times New Roman" w:cs="Times New Roman"/>
          <w:b w:val="0"/>
          <w:sz w:val="21"/>
          <w:szCs w:val="21"/>
        </w:rPr>
        <w:t>Кузык Б.</w:t>
      </w:r>
      <w:r>
        <w:rPr>
          <w:rStyle w:val="a9"/>
          <w:rFonts w:ascii="Times New Roman" w:hAnsi="Times New Roman" w:cs="Times New Roman"/>
          <w:b w:val="0"/>
          <w:sz w:val="21"/>
          <w:szCs w:val="21"/>
        </w:rPr>
        <w:t xml:space="preserve"> </w:t>
      </w:r>
      <w:r w:rsidRPr="00882D46">
        <w:rPr>
          <w:rStyle w:val="a9"/>
          <w:rFonts w:ascii="Times New Roman" w:hAnsi="Times New Roman" w:cs="Times New Roman"/>
          <w:b w:val="0"/>
          <w:sz w:val="21"/>
          <w:szCs w:val="21"/>
        </w:rPr>
        <w:t>Н. Цивилизация</w:t>
      </w:r>
      <w:r>
        <w:rPr>
          <w:rStyle w:val="a9"/>
          <w:rFonts w:ascii="Times New Roman" w:hAnsi="Times New Roman" w:cs="Times New Roman"/>
          <w:b w:val="0"/>
          <w:sz w:val="21"/>
          <w:szCs w:val="21"/>
        </w:rPr>
        <w:t xml:space="preserve"> </w:t>
      </w:r>
      <w:r w:rsidRPr="00882D46">
        <w:rPr>
          <w:rStyle w:val="a9"/>
          <w:rFonts w:ascii="Times New Roman" w:hAnsi="Times New Roman" w:cs="Times New Roman"/>
          <w:b w:val="0"/>
          <w:sz w:val="21"/>
          <w:szCs w:val="21"/>
        </w:rPr>
        <w:t>: теория, история, диалог, будущее : т. I : Теория и история цивилизаций / Б.</w:t>
      </w:r>
      <w:r>
        <w:rPr>
          <w:rStyle w:val="a9"/>
          <w:rFonts w:ascii="Times New Roman" w:hAnsi="Times New Roman" w:cs="Times New Roman"/>
          <w:b w:val="0"/>
          <w:sz w:val="21"/>
          <w:szCs w:val="21"/>
        </w:rPr>
        <w:t xml:space="preserve"> </w:t>
      </w:r>
      <w:r w:rsidRPr="00882D46">
        <w:rPr>
          <w:rStyle w:val="a9"/>
          <w:rFonts w:ascii="Times New Roman" w:hAnsi="Times New Roman" w:cs="Times New Roman"/>
          <w:b w:val="0"/>
          <w:sz w:val="21"/>
          <w:szCs w:val="21"/>
        </w:rPr>
        <w:t>Н. Кузык, Ю.</w:t>
      </w:r>
      <w:r>
        <w:rPr>
          <w:rStyle w:val="a9"/>
          <w:rFonts w:ascii="Times New Roman" w:hAnsi="Times New Roman" w:cs="Times New Roman"/>
          <w:b w:val="0"/>
          <w:sz w:val="21"/>
          <w:szCs w:val="21"/>
        </w:rPr>
        <w:t> В. </w:t>
      </w:r>
      <w:r w:rsidRPr="00882D46">
        <w:rPr>
          <w:rStyle w:val="a9"/>
          <w:rFonts w:ascii="Times New Roman" w:hAnsi="Times New Roman" w:cs="Times New Roman"/>
          <w:b w:val="0"/>
          <w:sz w:val="21"/>
          <w:szCs w:val="21"/>
        </w:rPr>
        <w:t>Яковец. – М. : Институт экономических стратегий, 2006. – 768 с.</w:t>
      </w:r>
      <w:bookmarkEnd w:id="274"/>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75" w:name="_Ref435187481"/>
      <w:r w:rsidRPr="00882D46">
        <w:rPr>
          <w:rFonts w:ascii="Times New Roman" w:hAnsi="Times New Roman" w:cs="Times New Roman"/>
          <w:bCs/>
          <w:sz w:val="21"/>
          <w:szCs w:val="21"/>
        </w:rPr>
        <w:t>Лапшина І.</w:t>
      </w:r>
      <w:r>
        <w:rPr>
          <w:rFonts w:ascii="Times New Roman" w:hAnsi="Times New Roman" w:cs="Times New Roman"/>
          <w:bCs/>
          <w:sz w:val="21"/>
          <w:szCs w:val="21"/>
        </w:rPr>
        <w:t xml:space="preserve"> </w:t>
      </w:r>
      <w:r w:rsidRPr="00882D46">
        <w:rPr>
          <w:rFonts w:ascii="Times New Roman" w:hAnsi="Times New Roman" w:cs="Times New Roman"/>
          <w:bCs/>
          <w:sz w:val="21"/>
          <w:szCs w:val="21"/>
        </w:rPr>
        <w:t xml:space="preserve">А. </w:t>
      </w:r>
      <w:r w:rsidRPr="00882D46">
        <w:rPr>
          <w:rFonts w:ascii="Times New Roman" w:hAnsi="Times New Roman" w:cs="Times New Roman"/>
          <w:sz w:val="21"/>
          <w:szCs w:val="21"/>
        </w:rPr>
        <w:t xml:space="preserve">Міжнародна трудова міграція і соціальний капітал України / </w:t>
      </w:r>
      <w:r w:rsidRPr="00882D46">
        <w:rPr>
          <w:rFonts w:ascii="Times New Roman" w:hAnsi="Times New Roman" w:cs="Times New Roman"/>
          <w:bCs/>
          <w:sz w:val="21"/>
          <w:szCs w:val="21"/>
        </w:rPr>
        <w:t>І.</w:t>
      </w:r>
      <w:r>
        <w:rPr>
          <w:rFonts w:ascii="Times New Roman" w:hAnsi="Times New Roman" w:cs="Times New Roman"/>
          <w:bCs/>
          <w:sz w:val="21"/>
          <w:szCs w:val="21"/>
        </w:rPr>
        <w:t xml:space="preserve"> </w:t>
      </w:r>
      <w:r w:rsidRPr="00882D46">
        <w:rPr>
          <w:rFonts w:ascii="Times New Roman" w:hAnsi="Times New Roman" w:cs="Times New Roman"/>
          <w:bCs/>
          <w:sz w:val="21"/>
          <w:szCs w:val="21"/>
        </w:rPr>
        <w:t xml:space="preserve">А. Лапшина </w:t>
      </w:r>
      <w:r w:rsidRPr="00882D46">
        <w:rPr>
          <w:rFonts w:ascii="Times New Roman" w:hAnsi="Times New Roman" w:cs="Times New Roman"/>
          <w:sz w:val="21"/>
          <w:szCs w:val="21"/>
        </w:rPr>
        <w:t xml:space="preserve">// Регіональна економіка. – 2010. – № 1. – </w:t>
      </w:r>
      <w:r>
        <w:rPr>
          <w:rFonts w:ascii="Times New Roman" w:hAnsi="Times New Roman" w:cs="Times New Roman"/>
          <w:sz w:val="21"/>
          <w:szCs w:val="21"/>
        </w:rPr>
        <w:t>С</w:t>
      </w:r>
      <w:r w:rsidRPr="00882D46">
        <w:rPr>
          <w:rFonts w:ascii="Times New Roman" w:hAnsi="Times New Roman" w:cs="Times New Roman"/>
          <w:sz w:val="21"/>
          <w:szCs w:val="21"/>
        </w:rPr>
        <w:t>. 156</w:t>
      </w:r>
      <w:r>
        <w:rPr>
          <w:rFonts w:ascii="Times New Roman" w:hAnsi="Times New Roman" w:cs="Times New Roman"/>
          <w:sz w:val="21"/>
          <w:szCs w:val="21"/>
        </w:rPr>
        <w:t>–</w:t>
      </w:r>
      <w:r w:rsidRPr="00882D46">
        <w:rPr>
          <w:rFonts w:ascii="Times New Roman" w:hAnsi="Times New Roman" w:cs="Times New Roman"/>
          <w:sz w:val="21"/>
          <w:szCs w:val="21"/>
        </w:rPr>
        <w:t>162.</w:t>
      </w:r>
      <w:bookmarkEnd w:id="275"/>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76" w:name="_Ref435188122"/>
      <w:r w:rsidRPr="00882D46">
        <w:rPr>
          <w:rFonts w:ascii="Times New Roman" w:hAnsi="Times New Roman" w:cs="Times New Roman"/>
          <w:sz w:val="21"/>
          <w:szCs w:val="21"/>
        </w:rPr>
        <w:t>Лапшина І.</w:t>
      </w:r>
      <w:r>
        <w:rPr>
          <w:rFonts w:ascii="Times New Roman" w:hAnsi="Times New Roman" w:cs="Times New Roman"/>
          <w:sz w:val="21"/>
          <w:szCs w:val="21"/>
        </w:rPr>
        <w:t xml:space="preserve"> </w:t>
      </w:r>
      <w:r w:rsidRPr="00882D46">
        <w:rPr>
          <w:rFonts w:ascii="Times New Roman" w:hAnsi="Times New Roman" w:cs="Times New Roman"/>
          <w:sz w:val="21"/>
          <w:szCs w:val="21"/>
        </w:rPr>
        <w:t xml:space="preserve">А. Міжнародний обмін людським капіталом в контексті конкурентоспроможності економіки України [Електронний ресурс]. – Режим доступу : </w:t>
      </w:r>
      <w:hyperlink r:id="rId107" w:history="1">
        <w:r w:rsidRPr="00882D46">
          <w:rPr>
            <w:rFonts w:ascii="Times New Roman" w:hAnsi="Times New Roman" w:cs="Times New Roman"/>
            <w:sz w:val="21"/>
            <w:szCs w:val="21"/>
          </w:rPr>
          <w:t>http://mev.lac.lviv.ua/page.php?pageId=76</w:t>
        </w:r>
      </w:hyperlink>
      <w:bookmarkEnd w:id="276"/>
    </w:p>
    <w:p w:rsidR="00B233DE" w:rsidRPr="00AA79A8"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77" w:name="_Ref435182384"/>
      <w:r w:rsidRPr="00882D46">
        <w:rPr>
          <w:rFonts w:ascii="Times New Roman" w:hAnsi="Times New Roman" w:cs="Times New Roman"/>
          <w:sz w:val="21"/>
          <w:szCs w:val="21"/>
        </w:rPr>
        <w:t>Людськи</w:t>
      </w:r>
      <w:r w:rsidRPr="00AA79A8">
        <w:rPr>
          <w:rFonts w:ascii="Times New Roman" w:hAnsi="Times New Roman" w:cs="Times New Roman"/>
          <w:sz w:val="21"/>
          <w:szCs w:val="21"/>
        </w:rPr>
        <w:t xml:space="preserve">й потенціал : механізми збереження та розвитку : монографія / [О. Ф. Новікова, О. І. Амоша, В. П. Антонюк та ін.]. – Донецьк, 2008. – 468 </w:t>
      </w:r>
      <w:r w:rsidRPr="00AA79A8">
        <w:rPr>
          <w:rFonts w:ascii="Times New Roman" w:hAnsi="Times New Roman" w:cs="Times New Roman"/>
          <w:sz w:val="21"/>
          <w:szCs w:val="21"/>
          <w:lang w:val="en-US"/>
        </w:rPr>
        <w:t>c</w:t>
      </w:r>
      <w:r w:rsidRPr="00AA79A8">
        <w:rPr>
          <w:rFonts w:ascii="Times New Roman" w:hAnsi="Times New Roman" w:cs="Times New Roman"/>
          <w:sz w:val="21"/>
          <w:szCs w:val="21"/>
        </w:rPr>
        <w:t>.</w:t>
      </w:r>
      <w:bookmarkEnd w:id="277"/>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78" w:name="_Ref435182425"/>
      <w:r w:rsidRPr="00882D46">
        <w:rPr>
          <w:rFonts w:ascii="Times New Roman" w:hAnsi="Times New Roman" w:cs="Times New Roman"/>
          <w:sz w:val="21"/>
          <w:szCs w:val="21"/>
        </w:rPr>
        <w:t>Людський розвиток в Україні</w:t>
      </w:r>
      <w:r>
        <w:rPr>
          <w:rFonts w:ascii="Times New Roman" w:hAnsi="Times New Roman" w:cs="Times New Roman"/>
          <w:sz w:val="21"/>
          <w:szCs w:val="21"/>
        </w:rPr>
        <w:t xml:space="preserve"> : інноваційний вимір : </w:t>
      </w:r>
      <w:r w:rsidRPr="00882D46">
        <w:rPr>
          <w:rFonts w:ascii="Times New Roman" w:hAnsi="Times New Roman" w:cs="Times New Roman"/>
          <w:sz w:val="21"/>
          <w:szCs w:val="21"/>
        </w:rPr>
        <w:t xml:space="preserve">колективна монографія </w:t>
      </w:r>
      <w:r>
        <w:rPr>
          <w:rFonts w:ascii="Times New Roman" w:hAnsi="Times New Roman" w:cs="Times New Roman"/>
          <w:sz w:val="21"/>
          <w:szCs w:val="21"/>
        </w:rPr>
        <w:t>;</w:t>
      </w:r>
      <w:r w:rsidRPr="00882D46">
        <w:rPr>
          <w:rFonts w:ascii="Times New Roman" w:hAnsi="Times New Roman" w:cs="Times New Roman"/>
          <w:sz w:val="21"/>
          <w:szCs w:val="21"/>
        </w:rPr>
        <w:t xml:space="preserve"> за ред. Е.</w:t>
      </w:r>
      <w:r>
        <w:rPr>
          <w:rFonts w:ascii="Times New Roman" w:hAnsi="Times New Roman" w:cs="Times New Roman"/>
          <w:sz w:val="21"/>
          <w:szCs w:val="21"/>
        </w:rPr>
        <w:t xml:space="preserve"> </w:t>
      </w:r>
      <w:r w:rsidRPr="00882D46">
        <w:rPr>
          <w:rFonts w:ascii="Times New Roman" w:hAnsi="Times New Roman" w:cs="Times New Roman"/>
          <w:sz w:val="21"/>
          <w:szCs w:val="21"/>
        </w:rPr>
        <w:t>М. Л</w:t>
      </w:r>
      <w:r>
        <w:rPr>
          <w:rFonts w:ascii="Times New Roman" w:hAnsi="Times New Roman" w:cs="Times New Roman"/>
          <w:sz w:val="21"/>
          <w:szCs w:val="21"/>
        </w:rPr>
        <w:t>ібанової</w:t>
      </w:r>
      <w:r w:rsidRPr="00882D46">
        <w:rPr>
          <w:rFonts w:ascii="Times New Roman" w:hAnsi="Times New Roman" w:cs="Times New Roman"/>
          <w:sz w:val="21"/>
          <w:szCs w:val="21"/>
        </w:rPr>
        <w:t>. – К. : Ін-т демографії та соціальних досліджень НАН України, 2008. – 316 с.</w:t>
      </w:r>
      <w:bookmarkEnd w:id="278"/>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79" w:name="_Ref435187795"/>
      <w:r w:rsidRPr="00882D46">
        <w:rPr>
          <w:rFonts w:ascii="Times New Roman" w:hAnsi="Times New Roman" w:cs="Times New Roman"/>
          <w:sz w:val="21"/>
          <w:szCs w:val="21"/>
        </w:rPr>
        <w:t>Людський розвиток в Україні</w:t>
      </w:r>
      <w:r>
        <w:rPr>
          <w:rFonts w:ascii="Times New Roman" w:hAnsi="Times New Roman" w:cs="Times New Roman"/>
          <w:sz w:val="21"/>
          <w:szCs w:val="21"/>
        </w:rPr>
        <w:t xml:space="preserve"> </w:t>
      </w:r>
      <w:r w:rsidRPr="00882D46">
        <w:rPr>
          <w:rFonts w:ascii="Times New Roman" w:hAnsi="Times New Roman" w:cs="Times New Roman"/>
          <w:sz w:val="21"/>
          <w:szCs w:val="21"/>
        </w:rPr>
        <w:t>: мі</w:t>
      </w:r>
      <w:r>
        <w:rPr>
          <w:rFonts w:ascii="Times New Roman" w:hAnsi="Times New Roman" w:cs="Times New Roman"/>
          <w:sz w:val="21"/>
          <w:szCs w:val="21"/>
        </w:rPr>
        <w:t xml:space="preserve">німізація соціальних ризиків : </w:t>
      </w:r>
      <w:r w:rsidRPr="00882D46">
        <w:rPr>
          <w:rFonts w:ascii="Times New Roman" w:hAnsi="Times New Roman" w:cs="Times New Roman"/>
          <w:sz w:val="21"/>
          <w:szCs w:val="21"/>
        </w:rPr>
        <w:t xml:space="preserve">колективна науково-аналітична монографія </w:t>
      </w:r>
      <w:r>
        <w:rPr>
          <w:rFonts w:ascii="Times New Roman" w:hAnsi="Times New Roman" w:cs="Times New Roman"/>
          <w:sz w:val="21"/>
          <w:szCs w:val="21"/>
        </w:rPr>
        <w:t>/</w:t>
      </w:r>
      <w:r w:rsidRPr="00882D46">
        <w:rPr>
          <w:rFonts w:ascii="Times New Roman" w:hAnsi="Times New Roman" w:cs="Times New Roman"/>
          <w:sz w:val="21"/>
          <w:szCs w:val="21"/>
        </w:rPr>
        <w:t xml:space="preserve"> за ред. Е.</w:t>
      </w:r>
      <w:r>
        <w:rPr>
          <w:rFonts w:ascii="Times New Roman" w:hAnsi="Times New Roman" w:cs="Times New Roman"/>
          <w:sz w:val="21"/>
          <w:szCs w:val="21"/>
        </w:rPr>
        <w:t> М. </w:t>
      </w:r>
      <w:r w:rsidRPr="00882D46">
        <w:rPr>
          <w:rFonts w:ascii="Times New Roman" w:hAnsi="Times New Roman" w:cs="Times New Roman"/>
          <w:sz w:val="21"/>
          <w:szCs w:val="21"/>
        </w:rPr>
        <w:t>Лібанової]. – К. : Ін-т демографії та соціальних досліджень ім. М.</w:t>
      </w:r>
      <w:r>
        <w:rPr>
          <w:rFonts w:ascii="Times New Roman" w:hAnsi="Times New Roman" w:cs="Times New Roman"/>
          <w:sz w:val="21"/>
          <w:szCs w:val="21"/>
        </w:rPr>
        <w:t> </w:t>
      </w:r>
      <w:r w:rsidRPr="00882D46">
        <w:rPr>
          <w:rFonts w:ascii="Times New Roman" w:hAnsi="Times New Roman" w:cs="Times New Roman"/>
          <w:sz w:val="21"/>
          <w:szCs w:val="21"/>
        </w:rPr>
        <w:t>В.</w:t>
      </w:r>
      <w:r>
        <w:rPr>
          <w:rFonts w:ascii="Times New Roman" w:hAnsi="Times New Roman" w:cs="Times New Roman"/>
          <w:sz w:val="21"/>
          <w:szCs w:val="21"/>
        </w:rPr>
        <w:t> </w:t>
      </w:r>
      <w:r w:rsidRPr="00882D46">
        <w:rPr>
          <w:rFonts w:ascii="Times New Roman" w:hAnsi="Times New Roman" w:cs="Times New Roman"/>
          <w:sz w:val="21"/>
          <w:szCs w:val="21"/>
        </w:rPr>
        <w:t>Птухи НАН України,</w:t>
      </w:r>
      <w:r w:rsidRPr="00882D46">
        <w:rPr>
          <w:rFonts w:ascii="Times New Roman" w:hAnsi="Times New Roman" w:cs="Times New Roman"/>
          <w:iCs/>
          <w:sz w:val="21"/>
          <w:szCs w:val="21"/>
        </w:rPr>
        <w:t xml:space="preserve"> </w:t>
      </w:r>
      <w:r w:rsidRPr="00882D46">
        <w:rPr>
          <w:rFonts w:ascii="Times New Roman" w:hAnsi="Times New Roman" w:cs="Times New Roman"/>
          <w:sz w:val="21"/>
          <w:szCs w:val="21"/>
        </w:rPr>
        <w:t>Держкомстат України, 2010. – 496 с.</w:t>
      </w:r>
      <w:bookmarkEnd w:id="279"/>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r w:rsidRPr="00882D46">
        <w:rPr>
          <w:rFonts w:ascii="Times New Roman" w:hAnsi="Times New Roman" w:cs="Times New Roman"/>
          <w:bCs/>
          <w:sz w:val="21"/>
          <w:szCs w:val="21"/>
        </w:rPr>
        <w:t>Людський розвиток в Україні</w:t>
      </w:r>
      <w:r>
        <w:rPr>
          <w:rFonts w:ascii="Times New Roman" w:hAnsi="Times New Roman" w:cs="Times New Roman"/>
          <w:bCs/>
          <w:sz w:val="21"/>
          <w:szCs w:val="21"/>
        </w:rPr>
        <w:t xml:space="preserve"> </w:t>
      </w:r>
      <w:r w:rsidRPr="00882D46">
        <w:rPr>
          <w:rFonts w:ascii="Times New Roman" w:hAnsi="Times New Roman" w:cs="Times New Roman"/>
          <w:bCs/>
          <w:sz w:val="21"/>
          <w:szCs w:val="21"/>
        </w:rPr>
        <w:t xml:space="preserve">: соціальні та демографічні чинники модернізації національної економіки : колективна монографія </w:t>
      </w:r>
      <w:r w:rsidRPr="00882D46">
        <w:rPr>
          <w:rFonts w:ascii="Times New Roman" w:hAnsi="Times New Roman" w:cs="Times New Roman"/>
          <w:sz w:val="21"/>
          <w:szCs w:val="21"/>
        </w:rPr>
        <w:t>/ [</w:t>
      </w:r>
      <w:r>
        <w:rPr>
          <w:rFonts w:ascii="Times New Roman" w:hAnsi="Times New Roman" w:cs="Times New Roman"/>
          <w:sz w:val="21"/>
          <w:szCs w:val="21"/>
        </w:rPr>
        <w:t>Е. М. Лібанова</w:t>
      </w:r>
      <w:r w:rsidRPr="00882D46">
        <w:rPr>
          <w:rFonts w:ascii="Times New Roman" w:hAnsi="Times New Roman" w:cs="Times New Roman"/>
          <w:sz w:val="21"/>
          <w:szCs w:val="21"/>
        </w:rPr>
        <w:t xml:space="preserve">, </w:t>
      </w:r>
      <w:r>
        <w:rPr>
          <w:rFonts w:ascii="Times New Roman" w:hAnsi="Times New Roman" w:cs="Times New Roman"/>
          <w:sz w:val="21"/>
          <w:szCs w:val="21"/>
        </w:rPr>
        <w:t>О. В. Макарова</w:t>
      </w:r>
      <w:r w:rsidRPr="00882D46">
        <w:rPr>
          <w:rFonts w:ascii="Times New Roman" w:hAnsi="Times New Roman" w:cs="Times New Roman"/>
          <w:sz w:val="21"/>
          <w:szCs w:val="21"/>
        </w:rPr>
        <w:t xml:space="preserve">, </w:t>
      </w:r>
      <w:r>
        <w:rPr>
          <w:rFonts w:ascii="Times New Roman" w:hAnsi="Times New Roman" w:cs="Times New Roman"/>
          <w:sz w:val="21"/>
          <w:szCs w:val="21"/>
        </w:rPr>
        <w:t>І. О. Курило</w:t>
      </w:r>
      <w:r w:rsidRPr="00882D46">
        <w:rPr>
          <w:rFonts w:ascii="Times New Roman" w:hAnsi="Times New Roman" w:cs="Times New Roman"/>
          <w:sz w:val="21"/>
          <w:szCs w:val="21"/>
        </w:rPr>
        <w:t xml:space="preserve"> та ін.] ; за ред. Е.</w:t>
      </w:r>
      <w:r>
        <w:rPr>
          <w:rFonts w:ascii="Times New Roman" w:hAnsi="Times New Roman" w:cs="Times New Roman"/>
          <w:sz w:val="21"/>
          <w:szCs w:val="21"/>
        </w:rPr>
        <w:t xml:space="preserve"> </w:t>
      </w:r>
      <w:r w:rsidRPr="00882D46">
        <w:rPr>
          <w:rFonts w:ascii="Times New Roman" w:hAnsi="Times New Roman" w:cs="Times New Roman"/>
          <w:sz w:val="21"/>
          <w:szCs w:val="21"/>
        </w:rPr>
        <w:t>М. Лібанової. – К. : Ін-т демографії та</w:t>
      </w:r>
      <w:r w:rsidRPr="00882D46">
        <w:rPr>
          <w:rFonts w:ascii="Times New Roman" w:hAnsi="Times New Roman" w:cs="Times New Roman"/>
          <w:bCs/>
          <w:sz w:val="21"/>
          <w:szCs w:val="21"/>
        </w:rPr>
        <w:t xml:space="preserve"> </w:t>
      </w:r>
      <w:r w:rsidRPr="00882D46">
        <w:rPr>
          <w:rFonts w:ascii="Times New Roman" w:hAnsi="Times New Roman" w:cs="Times New Roman"/>
          <w:sz w:val="21"/>
          <w:szCs w:val="21"/>
        </w:rPr>
        <w:t>соціальних досліджень ім. М.</w:t>
      </w:r>
      <w:r>
        <w:rPr>
          <w:rFonts w:ascii="Times New Roman" w:hAnsi="Times New Roman" w:cs="Times New Roman"/>
          <w:sz w:val="21"/>
          <w:szCs w:val="21"/>
        </w:rPr>
        <w:t xml:space="preserve"> </w:t>
      </w:r>
      <w:r w:rsidRPr="00882D46">
        <w:rPr>
          <w:rFonts w:ascii="Times New Roman" w:hAnsi="Times New Roman" w:cs="Times New Roman"/>
          <w:sz w:val="21"/>
          <w:szCs w:val="21"/>
        </w:rPr>
        <w:t>В. Птухи НАН України, 2012. – 320 с.</w:t>
      </w:r>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80" w:name="_Ref435182431"/>
      <w:r w:rsidRPr="00882D46">
        <w:rPr>
          <w:rFonts w:ascii="Times New Roman" w:hAnsi="Times New Roman" w:cs="Times New Roman"/>
          <w:sz w:val="21"/>
          <w:szCs w:val="21"/>
        </w:rPr>
        <w:t>Людський розвиток регіонів України</w:t>
      </w:r>
      <w:r>
        <w:rPr>
          <w:rFonts w:ascii="Times New Roman" w:hAnsi="Times New Roman" w:cs="Times New Roman"/>
          <w:sz w:val="21"/>
          <w:szCs w:val="21"/>
        </w:rPr>
        <w:t xml:space="preserve"> </w:t>
      </w:r>
      <w:r w:rsidRPr="00882D46">
        <w:rPr>
          <w:rFonts w:ascii="Times New Roman" w:hAnsi="Times New Roman" w:cs="Times New Roman"/>
          <w:sz w:val="21"/>
          <w:szCs w:val="21"/>
        </w:rPr>
        <w:t xml:space="preserve">: аналіз та прогноз </w:t>
      </w:r>
      <w:r>
        <w:rPr>
          <w:rFonts w:ascii="Times New Roman" w:hAnsi="Times New Roman" w:cs="Times New Roman"/>
          <w:sz w:val="21"/>
          <w:szCs w:val="21"/>
        </w:rPr>
        <w:t>: колективна монографія</w:t>
      </w:r>
      <w:r w:rsidRPr="00882D46">
        <w:rPr>
          <w:rFonts w:ascii="Times New Roman" w:hAnsi="Times New Roman" w:cs="Times New Roman"/>
          <w:sz w:val="21"/>
          <w:szCs w:val="21"/>
        </w:rPr>
        <w:t xml:space="preserve"> / За ред. Е.</w:t>
      </w:r>
      <w:r>
        <w:rPr>
          <w:rFonts w:ascii="Times New Roman" w:hAnsi="Times New Roman" w:cs="Times New Roman"/>
          <w:sz w:val="21"/>
          <w:szCs w:val="21"/>
        </w:rPr>
        <w:t xml:space="preserve"> </w:t>
      </w:r>
      <w:r w:rsidRPr="00882D46">
        <w:rPr>
          <w:rFonts w:ascii="Times New Roman" w:hAnsi="Times New Roman" w:cs="Times New Roman"/>
          <w:sz w:val="21"/>
          <w:szCs w:val="21"/>
        </w:rPr>
        <w:t>М. Лібанової Ін-т демографії та соціальних досліджень НАН України, Держкомстат України, 2007. – 328 с.</w:t>
      </w:r>
      <w:bookmarkEnd w:id="280"/>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81" w:name="_Ref435187772"/>
      <w:r w:rsidRPr="00882D46">
        <w:rPr>
          <w:rFonts w:ascii="Times New Roman" w:hAnsi="Times New Roman" w:cs="Times New Roman"/>
          <w:bCs/>
          <w:sz w:val="21"/>
          <w:szCs w:val="21"/>
        </w:rPr>
        <w:lastRenderedPageBreak/>
        <w:t>Майданік І.</w:t>
      </w:r>
      <w:r>
        <w:rPr>
          <w:rFonts w:ascii="Times New Roman" w:hAnsi="Times New Roman" w:cs="Times New Roman"/>
          <w:bCs/>
          <w:sz w:val="21"/>
          <w:szCs w:val="21"/>
        </w:rPr>
        <w:t xml:space="preserve"> </w:t>
      </w:r>
      <w:r w:rsidRPr="00882D46">
        <w:rPr>
          <w:rFonts w:ascii="Times New Roman" w:hAnsi="Times New Roman" w:cs="Times New Roman"/>
          <w:bCs/>
          <w:sz w:val="21"/>
          <w:szCs w:val="21"/>
        </w:rPr>
        <w:t xml:space="preserve">П. </w:t>
      </w:r>
      <w:r w:rsidRPr="00882D46">
        <w:rPr>
          <w:rFonts w:ascii="Times New Roman" w:hAnsi="Times New Roman" w:cs="Times New Roman"/>
          <w:sz w:val="21"/>
          <w:szCs w:val="21"/>
        </w:rPr>
        <w:t>Українська молодь на ринках праці зарубіжних держав</w:t>
      </w:r>
      <w:r w:rsidRPr="00882D46">
        <w:rPr>
          <w:rFonts w:ascii="Times New Roman" w:hAnsi="Times New Roman" w:cs="Times New Roman"/>
          <w:bCs/>
          <w:sz w:val="21"/>
          <w:szCs w:val="21"/>
        </w:rPr>
        <w:t xml:space="preserve"> / </w:t>
      </w:r>
      <w:r>
        <w:rPr>
          <w:rFonts w:ascii="Times New Roman" w:hAnsi="Times New Roman" w:cs="Times New Roman"/>
          <w:bCs/>
          <w:sz w:val="21"/>
          <w:szCs w:val="21"/>
        </w:rPr>
        <w:t>І. П. Майданік</w:t>
      </w:r>
      <w:r w:rsidRPr="00882D46">
        <w:rPr>
          <w:rFonts w:ascii="Times New Roman" w:hAnsi="Times New Roman" w:cs="Times New Roman"/>
          <w:bCs/>
          <w:sz w:val="21"/>
          <w:szCs w:val="21"/>
        </w:rPr>
        <w:t>.</w:t>
      </w:r>
      <w:r w:rsidRPr="00882D46">
        <w:rPr>
          <w:rFonts w:ascii="Times New Roman" w:hAnsi="Times New Roman" w:cs="Times New Roman"/>
          <w:sz w:val="21"/>
          <w:szCs w:val="21"/>
        </w:rPr>
        <w:t xml:space="preserve"> – К. : Ін-т демографії та соціальних досліджень ім. М.</w:t>
      </w:r>
      <w:r>
        <w:rPr>
          <w:rFonts w:ascii="Times New Roman" w:hAnsi="Times New Roman" w:cs="Times New Roman"/>
          <w:sz w:val="21"/>
          <w:szCs w:val="21"/>
        </w:rPr>
        <w:t xml:space="preserve"> </w:t>
      </w:r>
      <w:r w:rsidRPr="00882D46">
        <w:rPr>
          <w:rFonts w:ascii="Times New Roman" w:hAnsi="Times New Roman" w:cs="Times New Roman"/>
          <w:sz w:val="21"/>
          <w:szCs w:val="21"/>
        </w:rPr>
        <w:t>В. Птухи НАН України, 2010. – 176 с.</w:t>
      </w:r>
      <w:bookmarkEnd w:id="281"/>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82" w:name="_Ref435187896"/>
      <w:r w:rsidRPr="00882D46">
        <w:rPr>
          <w:rFonts w:ascii="Times New Roman" w:hAnsi="Times New Roman" w:cs="Times New Roman"/>
          <w:sz w:val="21"/>
          <w:szCs w:val="21"/>
        </w:rPr>
        <w:t>Малиновська О.</w:t>
      </w:r>
      <w:r>
        <w:rPr>
          <w:rFonts w:ascii="Times New Roman" w:hAnsi="Times New Roman" w:cs="Times New Roman"/>
          <w:sz w:val="21"/>
          <w:szCs w:val="21"/>
        </w:rPr>
        <w:t xml:space="preserve"> </w:t>
      </w:r>
      <w:r w:rsidRPr="00882D46">
        <w:rPr>
          <w:rFonts w:ascii="Times New Roman" w:hAnsi="Times New Roman" w:cs="Times New Roman"/>
          <w:sz w:val="21"/>
          <w:szCs w:val="21"/>
        </w:rPr>
        <w:t>А. Міграційна політика України</w:t>
      </w:r>
      <w:r>
        <w:rPr>
          <w:rFonts w:ascii="Times New Roman" w:hAnsi="Times New Roman" w:cs="Times New Roman"/>
          <w:sz w:val="21"/>
          <w:szCs w:val="21"/>
        </w:rPr>
        <w:t xml:space="preserve"> </w:t>
      </w:r>
      <w:r w:rsidRPr="00882D46">
        <w:rPr>
          <w:rFonts w:ascii="Times New Roman" w:hAnsi="Times New Roman" w:cs="Times New Roman"/>
          <w:sz w:val="21"/>
          <w:szCs w:val="21"/>
        </w:rPr>
        <w:t xml:space="preserve">: стан </w:t>
      </w:r>
      <w:r w:rsidRPr="007522E8">
        <w:rPr>
          <w:rFonts w:ascii="Times New Roman" w:hAnsi="Times New Roman" w:cs="Times New Roman"/>
          <w:spacing w:val="-4"/>
          <w:sz w:val="21"/>
          <w:szCs w:val="21"/>
        </w:rPr>
        <w:t>і перспективи розвитку / О. А. Малиновська. – К. : НІСД, 2010. – 32 с.</w:t>
      </w:r>
      <w:bookmarkEnd w:id="282"/>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83" w:name="_Ref435182218"/>
      <w:r w:rsidRPr="00882D46">
        <w:rPr>
          <w:rFonts w:ascii="Times New Roman" w:hAnsi="Times New Roman" w:cs="Times New Roman"/>
          <w:sz w:val="21"/>
          <w:szCs w:val="21"/>
        </w:rPr>
        <w:t>Матвіїв М. Я. Взаємозв’язок ринку знань з ринком праці в Україні</w:t>
      </w:r>
      <w:r>
        <w:rPr>
          <w:rFonts w:ascii="Times New Roman" w:hAnsi="Times New Roman" w:cs="Times New Roman"/>
          <w:sz w:val="21"/>
          <w:szCs w:val="21"/>
        </w:rPr>
        <w:t xml:space="preserve"> : маркетинговий аспект / М. Я.</w:t>
      </w:r>
      <w:r w:rsidRPr="00882D46">
        <w:rPr>
          <w:rFonts w:ascii="Times New Roman" w:hAnsi="Times New Roman" w:cs="Times New Roman"/>
          <w:sz w:val="21"/>
          <w:szCs w:val="21"/>
        </w:rPr>
        <w:t xml:space="preserve"> Матвіїв // Галицький економічний вісник. – 2009. – № 2. – С. 73–</w:t>
      </w:r>
      <w:r>
        <w:rPr>
          <w:rFonts w:ascii="Times New Roman" w:hAnsi="Times New Roman" w:cs="Times New Roman"/>
          <w:sz w:val="21"/>
          <w:szCs w:val="21"/>
        </w:rPr>
        <w:t>79</w:t>
      </w:r>
      <w:r w:rsidRPr="00882D46">
        <w:rPr>
          <w:rFonts w:ascii="Times New Roman" w:hAnsi="Times New Roman" w:cs="Times New Roman"/>
          <w:sz w:val="21"/>
          <w:szCs w:val="21"/>
        </w:rPr>
        <w:t>.</w:t>
      </w:r>
      <w:bookmarkEnd w:id="283"/>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84" w:name="_Ref435187024"/>
      <w:r w:rsidRPr="00882D46">
        <w:rPr>
          <w:rFonts w:ascii="Times New Roman" w:hAnsi="Times New Roman" w:cs="Times New Roman"/>
          <w:sz w:val="21"/>
          <w:szCs w:val="21"/>
        </w:rPr>
        <w:t>Махонюк О.</w:t>
      </w:r>
      <w:r>
        <w:rPr>
          <w:rFonts w:ascii="Times New Roman" w:hAnsi="Times New Roman" w:cs="Times New Roman"/>
          <w:sz w:val="21"/>
          <w:szCs w:val="21"/>
        </w:rPr>
        <w:t xml:space="preserve"> </w:t>
      </w:r>
      <w:r w:rsidRPr="00882D46">
        <w:rPr>
          <w:rFonts w:ascii="Times New Roman" w:hAnsi="Times New Roman" w:cs="Times New Roman"/>
          <w:sz w:val="21"/>
          <w:szCs w:val="21"/>
        </w:rPr>
        <w:t>В. Імміграція як джерело залучення іноземної робочої сили</w:t>
      </w:r>
      <w:r>
        <w:rPr>
          <w:rFonts w:ascii="Times New Roman" w:hAnsi="Times New Roman" w:cs="Times New Roman"/>
          <w:sz w:val="21"/>
          <w:szCs w:val="21"/>
        </w:rPr>
        <w:t xml:space="preserve"> </w:t>
      </w:r>
      <w:r w:rsidRPr="00882D46">
        <w:rPr>
          <w:rFonts w:ascii="Times New Roman" w:hAnsi="Times New Roman" w:cs="Times New Roman"/>
          <w:sz w:val="21"/>
          <w:szCs w:val="21"/>
        </w:rPr>
        <w:t>: досвід Німеччини / О.</w:t>
      </w:r>
      <w:r>
        <w:rPr>
          <w:rFonts w:ascii="Times New Roman" w:hAnsi="Times New Roman" w:cs="Times New Roman"/>
          <w:sz w:val="21"/>
          <w:szCs w:val="21"/>
        </w:rPr>
        <w:t xml:space="preserve"> </w:t>
      </w:r>
      <w:r w:rsidRPr="00882D46">
        <w:rPr>
          <w:rFonts w:ascii="Times New Roman" w:hAnsi="Times New Roman" w:cs="Times New Roman"/>
          <w:sz w:val="21"/>
          <w:szCs w:val="21"/>
        </w:rPr>
        <w:t>В. Махонюк // Соціально-економічні проблеми сучасного періоду України : зб. наук. праць</w:t>
      </w:r>
      <w:r>
        <w:rPr>
          <w:rFonts w:ascii="Times New Roman" w:hAnsi="Times New Roman" w:cs="Times New Roman"/>
          <w:sz w:val="21"/>
          <w:szCs w:val="21"/>
        </w:rPr>
        <w:t>. –</w:t>
      </w:r>
      <w:r w:rsidRPr="00882D46">
        <w:rPr>
          <w:rFonts w:ascii="Times New Roman" w:hAnsi="Times New Roman" w:cs="Times New Roman"/>
          <w:sz w:val="21"/>
          <w:szCs w:val="21"/>
        </w:rPr>
        <w:t xml:space="preserve"> 2009. – Вип. 6</w:t>
      </w:r>
      <w:r>
        <w:rPr>
          <w:rFonts w:ascii="Times New Roman" w:hAnsi="Times New Roman" w:cs="Times New Roman"/>
          <w:sz w:val="21"/>
          <w:szCs w:val="21"/>
        </w:rPr>
        <w:t xml:space="preserve"> </w:t>
      </w:r>
      <w:r w:rsidRPr="00882D46">
        <w:rPr>
          <w:rFonts w:ascii="Times New Roman" w:hAnsi="Times New Roman" w:cs="Times New Roman"/>
          <w:sz w:val="21"/>
          <w:szCs w:val="21"/>
        </w:rPr>
        <w:t>(80). – С. 170–177.</w:t>
      </w:r>
      <w:bookmarkEnd w:id="284"/>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85" w:name="_Ref435182449"/>
      <w:r w:rsidRPr="00882D46">
        <w:rPr>
          <w:rFonts w:ascii="Times New Roman" w:hAnsi="Times New Roman" w:cs="Times New Roman"/>
          <w:sz w:val="21"/>
          <w:szCs w:val="21"/>
        </w:rPr>
        <w:t>Міграційні процеси в Україні</w:t>
      </w:r>
      <w:r>
        <w:rPr>
          <w:rFonts w:ascii="Times New Roman" w:hAnsi="Times New Roman" w:cs="Times New Roman"/>
          <w:sz w:val="21"/>
          <w:szCs w:val="21"/>
        </w:rPr>
        <w:t xml:space="preserve"> </w:t>
      </w:r>
      <w:r w:rsidRPr="00882D46">
        <w:rPr>
          <w:rFonts w:ascii="Times New Roman" w:hAnsi="Times New Roman" w:cs="Times New Roman"/>
          <w:sz w:val="21"/>
          <w:szCs w:val="21"/>
        </w:rPr>
        <w:t>: сучасний стан і перспективи / [за ред. О.</w:t>
      </w:r>
      <w:r>
        <w:rPr>
          <w:rFonts w:ascii="Times New Roman" w:hAnsi="Times New Roman" w:cs="Times New Roman"/>
          <w:sz w:val="21"/>
          <w:szCs w:val="21"/>
        </w:rPr>
        <w:t xml:space="preserve"> </w:t>
      </w:r>
      <w:r w:rsidRPr="00882D46">
        <w:rPr>
          <w:rFonts w:ascii="Times New Roman" w:hAnsi="Times New Roman" w:cs="Times New Roman"/>
          <w:sz w:val="21"/>
          <w:szCs w:val="21"/>
        </w:rPr>
        <w:t>В. Позняка]. – Умань, 2007. – 276 с.</w:t>
      </w:r>
      <w:bookmarkEnd w:id="285"/>
    </w:p>
    <w:p w:rsidR="00B233DE" w:rsidRPr="00941627"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86" w:name="_Ref435187822"/>
      <w:r w:rsidRPr="00941627">
        <w:rPr>
          <w:rStyle w:val="xfmc6"/>
          <w:rFonts w:ascii="Times New Roman" w:hAnsi="Times New Roman" w:cs="Times New Roman"/>
          <w:sz w:val="21"/>
          <w:szCs w:val="21"/>
        </w:rPr>
        <w:t xml:space="preserve">Міграція в Україні : факти і цифри. Міграція для загального блага / </w:t>
      </w:r>
      <w:r w:rsidRPr="00941627">
        <w:rPr>
          <w:rStyle w:val="xfmc7"/>
          <w:rFonts w:ascii="Times New Roman" w:hAnsi="Times New Roman" w:cs="Times New Roman"/>
          <w:sz w:val="21"/>
          <w:szCs w:val="21"/>
        </w:rPr>
        <w:t>Міжнародна організація з міграції (МОМ). Представництво в Україні. – [2-е вид.]. – К., 2013. – 15 с</w:t>
      </w:r>
      <w:r>
        <w:rPr>
          <w:rStyle w:val="xfmc7"/>
          <w:rFonts w:ascii="Times New Roman" w:hAnsi="Times New Roman" w:cs="Times New Roman"/>
          <w:sz w:val="21"/>
          <w:szCs w:val="21"/>
        </w:rPr>
        <w:t>.</w:t>
      </w:r>
      <w:bookmarkEnd w:id="286"/>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87" w:name="_Ref435187178"/>
      <w:r w:rsidRPr="00882D46">
        <w:rPr>
          <w:rFonts w:ascii="Times New Roman" w:hAnsi="Times New Roman" w:cs="Times New Roman"/>
          <w:iCs/>
          <w:sz w:val="21"/>
          <w:szCs w:val="21"/>
        </w:rPr>
        <w:t>Мульська О.</w:t>
      </w:r>
      <w:r>
        <w:rPr>
          <w:rFonts w:ascii="Times New Roman" w:hAnsi="Times New Roman" w:cs="Times New Roman"/>
          <w:iCs/>
          <w:sz w:val="21"/>
          <w:szCs w:val="21"/>
        </w:rPr>
        <w:t xml:space="preserve"> </w:t>
      </w:r>
      <w:r w:rsidRPr="00882D46">
        <w:rPr>
          <w:rFonts w:ascii="Times New Roman" w:hAnsi="Times New Roman" w:cs="Times New Roman"/>
          <w:iCs/>
          <w:sz w:val="21"/>
          <w:szCs w:val="21"/>
        </w:rPr>
        <w:t>П. Діти українських трудових мігрантів</w:t>
      </w:r>
      <w:r>
        <w:rPr>
          <w:rFonts w:ascii="Times New Roman" w:hAnsi="Times New Roman" w:cs="Times New Roman"/>
          <w:iCs/>
          <w:sz w:val="21"/>
          <w:szCs w:val="21"/>
        </w:rPr>
        <w:t xml:space="preserve"> </w:t>
      </w:r>
      <w:r w:rsidRPr="00882D46">
        <w:rPr>
          <w:rFonts w:ascii="Times New Roman" w:hAnsi="Times New Roman" w:cs="Times New Roman"/>
          <w:iCs/>
          <w:sz w:val="21"/>
          <w:szCs w:val="21"/>
        </w:rPr>
        <w:t>: до формування пріоритетів соціальної політики / О.</w:t>
      </w:r>
      <w:r>
        <w:rPr>
          <w:rFonts w:ascii="Times New Roman" w:hAnsi="Times New Roman" w:cs="Times New Roman"/>
          <w:iCs/>
          <w:sz w:val="21"/>
          <w:szCs w:val="21"/>
        </w:rPr>
        <w:t xml:space="preserve"> П. </w:t>
      </w:r>
      <w:r w:rsidRPr="00882D46">
        <w:rPr>
          <w:rFonts w:ascii="Times New Roman" w:hAnsi="Times New Roman" w:cs="Times New Roman"/>
          <w:iCs/>
          <w:sz w:val="21"/>
          <w:szCs w:val="21"/>
        </w:rPr>
        <w:t xml:space="preserve">Мульська // </w:t>
      </w:r>
      <w:r w:rsidRPr="00882D46">
        <w:rPr>
          <w:rFonts w:ascii="Times New Roman" w:hAnsi="Times New Roman" w:cs="Times New Roman"/>
          <w:sz w:val="21"/>
          <w:szCs w:val="21"/>
        </w:rPr>
        <w:t>Соціально-економічні проблеми сучасного періоду України : зб. наук. праць. –</w:t>
      </w:r>
      <w:r>
        <w:rPr>
          <w:rFonts w:ascii="Times New Roman" w:hAnsi="Times New Roman" w:cs="Times New Roman"/>
          <w:sz w:val="21"/>
          <w:szCs w:val="21"/>
        </w:rPr>
        <w:t xml:space="preserve"> </w:t>
      </w:r>
      <w:r w:rsidRPr="00882D46">
        <w:rPr>
          <w:rFonts w:ascii="Times New Roman" w:hAnsi="Times New Roman" w:cs="Times New Roman"/>
          <w:sz w:val="21"/>
          <w:szCs w:val="21"/>
        </w:rPr>
        <w:t>2009. – Вип. 6</w:t>
      </w:r>
      <w:r>
        <w:rPr>
          <w:rFonts w:ascii="Times New Roman" w:hAnsi="Times New Roman" w:cs="Times New Roman"/>
          <w:sz w:val="21"/>
          <w:szCs w:val="21"/>
        </w:rPr>
        <w:t xml:space="preserve"> </w:t>
      </w:r>
      <w:r w:rsidRPr="00882D46">
        <w:rPr>
          <w:rFonts w:ascii="Times New Roman" w:hAnsi="Times New Roman" w:cs="Times New Roman"/>
          <w:sz w:val="21"/>
          <w:szCs w:val="21"/>
        </w:rPr>
        <w:t>(80). – С. 498–499.</w:t>
      </w:r>
      <w:bookmarkEnd w:id="287"/>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88" w:name="_Ref435188339"/>
      <w:r w:rsidRPr="00882D46">
        <w:rPr>
          <w:rFonts w:ascii="Times New Roman" w:hAnsi="Times New Roman" w:cs="Times New Roman"/>
          <w:sz w:val="21"/>
          <w:szCs w:val="21"/>
        </w:rPr>
        <w:t xml:space="preserve">Назустріч економічному зростанню та процвітанню : звіт про конкурентоспроможність регіонів України 2012 : [опубл. Фондом «Ефективне управління» за підтримки Всесвітнього економічного форуму] [Електронний ресурс]. – Режим доступу : </w:t>
      </w:r>
      <w:r w:rsidRPr="00882D46">
        <w:rPr>
          <w:rFonts w:ascii="Times New Roman" w:hAnsi="Times New Roman" w:cs="Times New Roman"/>
          <w:iCs/>
          <w:sz w:val="21"/>
          <w:szCs w:val="21"/>
        </w:rPr>
        <w:t>http://www.feg.org.ua/docs/FEG_report_2012_body_ua_20.11.2012.pdf</w:t>
      </w:r>
      <w:bookmarkEnd w:id="288"/>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89" w:name="_Ref435187862"/>
      <w:r w:rsidRPr="004C0D50">
        <w:rPr>
          <w:rFonts w:ascii="Times New Roman" w:hAnsi="Times New Roman" w:cs="Times New Roman"/>
          <w:sz w:val="21"/>
          <w:szCs w:val="21"/>
        </w:rPr>
        <w:t>Населення України за 2011 рік : демографічний щорічник / відпов. за випуск Г. М. Тимошенко / Державна служба статистики. – К., 2012. – 444 с.</w:t>
      </w:r>
      <w:bookmarkEnd w:id="289"/>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90" w:name="_Ref435187464"/>
      <w:r w:rsidRPr="00882D46">
        <w:rPr>
          <w:rFonts w:ascii="Times New Roman" w:hAnsi="Times New Roman" w:cs="Times New Roman"/>
          <w:sz w:val="21"/>
          <w:szCs w:val="21"/>
        </w:rPr>
        <w:t>Населення України. Трудова еміграція в Україні. – К. : Ін-т демографії</w:t>
      </w:r>
      <w:r w:rsidRPr="00882D46">
        <w:rPr>
          <w:rFonts w:ascii="Times New Roman" w:hAnsi="Times New Roman" w:cs="Times New Roman"/>
          <w:iCs/>
          <w:sz w:val="21"/>
          <w:szCs w:val="21"/>
        </w:rPr>
        <w:t xml:space="preserve"> </w:t>
      </w:r>
      <w:r w:rsidRPr="00882D46">
        <w:rPr>
          <w:rFonts w:ascii="Times New Roman" w:hAnsi="Times New Roman" w:cs="Times New Roman"/>
          <w:sz w:val="21"/>
          <w:szCs w:val="21"/>
        </w:rPr>
        <w:t>та соціальних досліджень ім. М.В.</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Птухи НАН України, 2010. – 233 с.</w:t>
      </w:r>
      <w:bookmarkEnd w:id="290"/>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91" w:name="_Ref435181978"/>
      <w:r w:rsidRPr="00882D46">
        <w:rPr>
          <w:rFonts w:ascii="Times New Roman" w:hAnsi="Times New Roman" w:cs="Times New Roman"/>
          <w:sz w:val="21"/>
          <w:szCs w:val="21"/>
        </w:rPr>
        <w:t>Нобелевские лауреаты по экономике</w:t>
      </w:r>
      <w:r>
        <w:rPr>
          <w:rFonts w:ascii="Times New Roman" w:hAnsi="Times New Roman" w:cs="Times New Roman"/>
          <w:sz w:val="21"/>
          <w:szCs w:val="21"/>
        </w:rPr>
        <w:t xml:space="preserve"> </w:t>
      </w:r>
      <w:r w:rsidRPr="00882D46">
        <w:rPr>
          <w:rFonts w:ascii="Times New Roman" w:hAnsi="Times New Roman" w:cs="Times New Roman"/>
          <w:sz w:val="21"/>
          <w:szCs w:val="21"/>
        </w:rPr>
        <w:t>: взгляд из России / [под ред. Ю.</w:t>
      </w:r>
      <w:r>
        <w:rPr>
          <w:rFonts w:ascii="Times New Roman" w:hAnsi="Times New Roman" w:cs="Times New Roman"/>
          <w:sz w:val="21"/>
          <w:szCs w:val="21"/>
        </w:rPr>
        <w:t xml:space="preserve"> </w:t>
      </w:r>
      <w:r w:rsidRPr="00882D46">
        <w:rPr>
          <w:rFonts w:ascii="Times New Roman" w:hAnsi="Times New Roman" w:cs="Times New Roman"/>
          <w:sz w:val="21"/>
          <w:szCs w:val="21"/>
        </w:rPr>
        <w:t>В. Яковца]. – СПб</w:t>
      </w:r>
      <w:r>
        <w:rPr>
          <w:rFonts w:ascii="Times New Roman" w:hAnsi="Times New Roman" w:cs="Times New Roman"/>
          <w:sz w:val="21"/>
          <w:szCs w:val="21"/>
        </w:rPr>
        <w:t>.</w:t>
      </w:r>
      <w:r w:rsidRPr="00882D46">
        <w:rPr>
          <w:rFonts w:ascii="Times New Roman" w:hAnsi="Times New Roman" w:cs="Times New Roman"/>
          <w:sz w:val="21"/>
          <w:szCs w:val="21"/>
        </w:rPr>
        <w:t xml:space="preserve"> : Гуманистика, 2003. – 968 с.</w:t>
      </w:r>
      <w:bookmarkEnd w:id="291"/>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92" w:name="_Ref435186773"/>
      <w:r w:rsidRPr="00882D46">
        <w:rPr>
          <w:rFonts w:ascii="Times New Roman" w:hAnsi="Times New Roman" w:cs="Times New Roman"/>
          <w:sz w:val="21"/>
          <w:szCs w:val="21"/>
        </w:rPr>
        <w:t>Новое миграционное законодательство Российской Федерации</w:t>
      </w:r>
      <w:r>
        <w:rPr>
          <w:rFonts w:ascii="Times New Roman" w:hAnsi="Times New Roman" w:cs="Times New Roman"/>
          <w:sz w:val="21"/>
          <w:szCs w:val="21"/>
        </w:rPr>
        <w:t xml:space="preserve"> </w:t>
      </w:r>
      <w:r w:rsidRPr="00882D46">
        <w:rPr>
          <w:rFonts w:ascii="Times New Roman" w:hAnsi="Times New Roman" w:cs="Times New Roman"/>
          <w:sz w:val="21"/>
          <w:szCs w:val="21"/>
        </w:rPr>
        <w:t xml:space="preserve">: правоприменительная практика / [под ред. Г. Витковской, </w:t>
      </w:r>
      <w:r>
        <w:rPr>
          <w:rFonts w:ascii="Times New Roman" w:hAnsi="Times New Roman" w:cs="Times New Roman"/>
          <w:sz w:val="21"/>
          <w:szCs w:val="21"/>
        </w:rPr>
        <w:t xml:space="preserve">А. Платоновой и В. Школьникова]. </w:t>
      </w:r>
      <w:r w:rsidRPr="00882D46">
        <w:rPr>
          <w:rFonts w:ascii="Times New Roman" w:hAnsi="Times New Roman" w:cs="Times New Roman"/>
          <w:sz w:val="21"/>
          <w:szCs w:val="21"/>
        </w:rPr>
        <w:t>– М. : АдамантЪ, 2009. – С. 19–36.</w:t>
      </w:r>
      <w:bookmarkEnd w:id="292"/>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93" w:name="_Ref435187553"/>
      <w:r w:rsidRPr="004C0D50">
        <w:rPr>
          <w:rFonts w:ascii="Times New Roman" w:hAnsi="Times New Roman" w:cs="Times New Roman"/>
          <w:sz w:val="21"/>
          <w:szCs w:val="21"/>
        </w:rPr>
        <w:lastRenderedPageBreak/>
        <w:t>Олійник О. Україна не є привабливою кр</w:t>
      </w:r>
      <w:r>
        <w:rPr>
          <w:rFonts w:ascii="Times New Roman" w:hAnsi="Times New Roman" w:cs="Times New Roman"/>
          <w:sz w:val="21"/>
          <w:szCs w:val="21"/>
        </w:rPr>
        <w:t>аїною для потенційних мігрантів / О. Олійник</w:t>
      </w:r>
      <w:r w:rsidRPr="004C0D50">
        <w:rPr>
          <w:rFonts w:ascii="Times New Roman" w:hAnsi="Times New Roman" w:cs="Times New Roman"/>
          <w:sz w:val="21"/>
          <w:szCs w:val="21"/>
        </w:rPr>
        <w:t xml:space="preserve"> // Українське інформаційне агентство. – 7 лютого 2012 року [Електронний ресурс]. – Режим доступу : http://www.ukrinform.ua/ukr/order/?id=1075461</w:t>
      </w:r>
      <w:bookmarkEnd w:id="293"/>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94" w:name="_Ref435182087"/>
      <w:r w:rsidRPr="00882D46">
        <w:rPr>
          <w:rFonts w:ascii="Times New Roman" w:hAnsi="Times New Roman" w:cs="Times New Roman"/>
          <w:sz w:val="21"/>
          <w:szCs w:val="21"/>
        </w:rPr>
        <w:t>Ольшевська І.</w:t>
      </w:r>
      <w:r>
        <w:rPr>
          <w:rFonts w:ascii="Times New Roman" w:hAnsi="Times New Roman" w:cs="Times New Roman"/>
          <w:sz w:val="21"/>
          <w:szCs w:val="21"/>
        </w:rPr>
        <w:t xml:space="preserve"> </w:t>
      </w:r>
      <w:r w:rsidRPr="00882D46">
        <w:rPr>
          <w:rFonts w:ascii="Times New Roman" w:hAnsi="Times New Roman" w:cs="Times New Roman"/>
          <w:sz w:val="21"/>
          <w:szCs w:val="21"/>
        </w:rPr>
        <w:t xml:space="preserve">П. </w:t>
      </w:r>
      <w:r w:rsidRPr="00882D46">
        <w:rPr>
          <w:rFonts w:ascii="Times New Roman" w:hAnsi="Times New Roman" w:cs="Times New Roman"/>
          <w:bCs/>
          <w:sz w:val="21"/>
          <w:szCs w:val="21"/>
        </w:rPr>
        <w:t xml:space="preserve">Міжнародна міграція людських ресурсів в умовах глобалізації </w:t>
      </w:r>
      <w:r w:rsidRPr="00882D46">
        <w:rPr>
          <w:rFonts w:ascii="Times New Roman" w:hAnsi="Times New Roman" w:cs="Times New Roman"/>
          <w:sz w:val="21"/>
          <w:szCs w:val="21"/>
        </w:rPr>
        <w:t>: дис. ... канд. екон. наук : 08.00.02 / Ольшевська Ірина Петрівна /</w:t>
      </w:r>
      <w:r w:rsidRPr="00882D46">
        <w:rPr>
          <w:rFonts w:ascii="Times New Roman" w:hAnsi="Times New Roman" w:cs="Times New Roman"/>
          <w:bCs/>
          <w:sz w:val="21"/>
          <w:szCs w:val="21"/>
        </w:rPr>
        <w:t xml:space="preserve"> </w:t>
      </w:r>
      <w:r>
        <w:rPr>
          <w:rFonts w:ascii="Times New Roman" w:hAnsi="Times New Roman" w:cs="Times New Roman"/>
          <w:sz w:val="21"/>
          <w:szCs w:val="21"/>
        </w:rPr>
        <w:t>ДВНЗ «</w:t>
      </w:r>
      <w:r w:rsidRPr="00882D46">
        <w:rPr>
          <w:rFonts w:ascii="Times New Roman" w:hAnsi="Times New Roman" w:cs="Times New Roman"/>
          <w:sz w:val="21"/>
          <w:szCs w:val="21"/>
        </w:rPr>
        <w:t>Київський національний еконо</w:t>
      </w:r>
      <w:r>
        <w:rPr>
          <w:rFonts w:ascii="Times New Roman" w:hAnsi="Times New Roman" w:cs="Times New Roman"/>
          <w:sz w:val="21"/>
          <w:szCs w:val="21"/>
        </w:rPr>
        <w:t>мічний ун-т ім. Вадима Гетьмана»</w:t>
      </w:r>
      <w:r w:rsidRPr="00882D46">
        <w:rPr>
          <w:rFonts w:ascii="Times New Roman" w:hAnsi="Times New Roman" w:cs="Times New Roman"/>
          <w:sz w:val="21"/>
          <w:szCs w:val="21"/>
        </w:rPr>
        <w:t>. – К., 2007. – 226 с.</w:t>
      </w:r>
      <w:bookmarkEnd w:id="294"/>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95" w:name="_Ref435182164"/>
      <w:r w:rsidRPr="00882D46">
        <w:rPr>
          <w:rFonts w:ascii="Times New Roman" w:hAnsi="Times New Roman" w:cs="Times New Roman"/>
          <w:bCs/>
          <w:sz w:val="21"/>
          <w:szCs w:val="21"/>
        </w:rPr>
        <w:t xml:space="preserve">Пирожков С. </w:t>
      </w:r>
      <w:r w:rsidRPr="00882D46">
        <w:rPr>
          <w:rFonts w:ascii="Times New Roman" w:hAnsi="Times New Roman" w:cs="Times New Roman"/>
          <w:sz w:val="21"/>
          <w:szCs w:val="21"/>
        </w:rPr>
        <w:t xml:space="preserve">Вибрані наукові праці : у 2 т. </w:t>
      </w:r>
      <w:r w:rsidRPr="00882D46">
        <w:rPr>
          <w:rFonts w:ascii="Times New Roman" w:hAnsi="Times New Roman" w:cs="Times New Roman"/>
          <w:bCs/>
          <w:sz w:val="21"/>
          <w:szCs w:val="21"/>
        </w:rPr>
        <w:t>Т. 1</w:t>
      </w:r>
      <w:r w:rsidRPr="00882D46">
        <w:rPr>
          <w:rFonts w:ascii="Times New Roman" w:hAnsi="Times New Roman" w:cs="Times New Roman"/>
          <w:sz w:val="21"/>
          <w:szCs w:val="21"/>
        </w:rPr>
        <w:t xml:space="preserve"> : Демографічний і трудовий потенціал / С. І. Пирожков. – К. : НАН України, Інститут демографії і соціальних досліджень, Київський нац. торговельно-екон. ун-т, 2008. – 933 с.</w:t>
      </w:r>
      <w:bookmarkEnd w:id="295"/>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96" w:name="_Ref435182106"/>
      <w:r w:rsidRPr="00882D46">
        <w:rPr>
          <w:rFonts w:ascii="Times New Roman" w:hAnsi="Times New Roman" w:cs="Times New Roman"/>
          <w:sz w:val="21"/>
          <w:szCs w:val="21"/>
        </w:rPr>
        <w:t>Порохня В.</w:t>
      </w:r>
      <w:r>
        <w:rPr>
          <w:rFonts w:ascii="Times New Roman" w:hAnsi="Times New Roman" w:cs="Times New Roman"/>
          <w:sz w:val="21"/>
          <w:szCs w:val="21"/>
        </w:rPr>
        <w:t xml:space="preserve"> </w:t>
      </w:r>
      <w:r w:rsidRPr="00882D46">
        <w:rPr>
          <w:rFonts w:ascii="Times New Roman" w:hAnsi="Times New Roman" w:cs="Times New Roman"/>
          <w:sz w:val="21"/>
          <w:szCs w:val="21"/>
        </w:rPr>
        <w:t xml:space="preserve">М. Моделювання </w:t>
      </w:r>
      <w:r>
        <w:rPr>
          <w:rFonts w:ascii="Times New Roman" w:hAnsi="Times New Roman" w:cs="Times New Roman"/>
          <w:sz w:val="21"/>
          <w:szCs w:val="21"/>
        </w:rPr>
        <w:t xml:space="preserve">людського потенціалу держави : </w:t>
      </w:r>
      <w:r w:rsidRPr="00882D46">
        <w:rPr>
          <w:rFonts w:ascii="Times New Roman" w:hAnsi="Times New Roman" w:cs="Times New Roman"/>
          <w:sz w:val="21"/>
          <w:szCs w:val="21"/>
        </w:rPr>
        <w:t>м</w:t>
      </w:r>
      <w:r>
        <w:rPr>
          <w:rFonts w:ascii="Times New Roman" w:hAnsi="Times New Roman" w:cs="Times New Roman"/>
          <w:sz w:val="21"/>
          <w:szCs w:val="21"/>
        </w:rPr>
        <w:t>онографія</w:t>
      </w:r>
      <w:r w:rsidRPr="00882D46">
        <w:rPr>
          <w:rFonts w:ascii="Times New Roman" w:hAnsi="Times New Roman" w:cs="Times New Roman"/>
          <w:sz w:val="21"/>
          <w:szCs w:val="21"/>
        </w:rPr>
        <w:t xml:space="preserve"> / </w:t>
      </w:r>
      <w:r>
        <w:rPr>
          <w:rFonts w:ascii="Times New Roman" w:hAnsi="Times New Roman" w:cs="Times New Roman"/>
          <w:sz w:val="21"/>
          <w:szCs w:val="21"/>
        </w:rPr>
        <w:t>В. М. Порохня</w:t>
      </w:r>
      <w:r w:rsidRPr="00882D46">
        <w:rPr>
          <w:rFonts w:ascii="Times New Roman" w:hAnsi="Times New Roman" w:cs="Times New Roman"/>
          <w:sz w:val="21"/>
          <w:szCs w:val="21"/>
        </w:rPr>
        <w:t xml:space="preserve">, </w:t>
      </w:r>
      <w:r>
        <w:rPr>
          <w:rFonts w:ascii="Times New Roman" w:hAnsi="Times New Roman" w:cs="Times New Roman"/>
          <w:sz w:val="21"/>
          <w:szCs w:val="21"/>
        </w:rPr>
        <w:t>В. В. Бирський</w:t>
      </w:r>
      <w:r w:rsidRPr="00882D46">
        <w:rPr>
          <w:rFonts w:ascii="Times New Roman" w:hAnsi="Times New Roman" w:cs="Times New Roman"/>
          <w:sz w:val="21"/>
          <w:szCs w:val="21"/>
        </w:rPr>
        <w:t>. – Запоріжжя : КПУ, 2008. – 192 с.</w:t>
      </w:r>
      <w:bookmarkEnd w:id="296"/>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97" w:name="_Ref435186452"/>
      <w:r w:rsidRPr="00882D46">
        <w:rPr>
          <w:rFonts w:ascii="Times New Roman" w:hAnsi="Times New Roman" w:cs="Times New Roman"/>
          <w:sz w:val="21"/>
          <w:szCs w:val="21"/>
        </w:rPr>
        <w:t>Потемкина О. Иммиграционная политика ЕС</w:t>
      </w:r>
      <w:r>
        <w:rPr>
          <w:rFonts w:ascii="Times New Roman" w:hAnsi="Times New Roman" w:cs="Times New Roman"/>
          <w:sz w:val="21"/>
          <w:szCs w:val="21"/>
        </w:rPr>
        <w:t xml:space="preserve"> </w:t>
      </w:r>
      <w:r w:rsidRPr="00882D46">
        <w:rPr>
          <w:rFonts w:ascii="Times New Roman" w:hAnsi="Times New Roman" w:cs="Times New Roman"/>
          <w:sz w:val="21"/>
          <w:szCs w:val="21"/>
        </w:rPr>
        <w:t>: от Амстердама до Лиссабона / О. Потемкина // Мировая экономика и международные отношения. – 2010. – № 4. – С. 42–51.</w:t>
      </w:r>
      <w:bookmarkEnd w:id="297"/>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98" w:name="_Ref435188391"/>
      <w:r w:rsidRPr="00882D46">
        <w:rPr>
          <w:rFonts w:ascii="Times New Roman" w:hAnsi="Times New Roman" w:cs="Times New Roman"/>
          <w:sz w:val="21"/>
          <w:szCs w:val="21"/>
        </w:rPr>
        <w:t>Почему кому-то хорошо там, где украинцам плохо // Міграція : всеукраїнська інформаційно-аналітична щомісячна газета. – 2011. – № (05) 111, травень. – С. 7.</w:t>
      </w:r>
      <w:bookmarkEnd w:id="298"/>
    </w:p>
    <w:p w:rsidR="00B233DE" w:rsidRPr="007F0C52"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299" w:name="_Ref435187340"/>
      <w:r w:rsidRPr="007F0C52">
        <w:rPr>
          <w:rFonts w:ascii="Times New Roman" w:hAnsi="Times New Roman" w:cs="Times New Roman"/>
          <w:sz w:val="21"/>
          <w:szCs w:val="21"/>
        </w:rPr>
        <w:t>Пуригіна О.</w:t>
      </w:r>
      <w:r>
        <w:rPr>
          <w:rFonts w:ascii="Times New Roman" w:hAnsi="Times New Roman" w:cs="Times New Roman"/>
          <w:sz w:val="21"/>
          <w:szCs w:val="21"/>
        </w:rPr>
        <w:t xml:space="preserve"> </w:t>
      </w:r>
      <w:r w:rsidRPr="007F0C52">
        <w:rPr>
          <w:rFonts w:ascii="Times New Roman" w:hAnsi="Times New Roman" w:cs="Times New Roman"/>
          <w:sz w:val="21"/>
          <w:szCs w:val="21"/>
        </w:rPr>
        <w:t>Г. Міжнародна міграція / О.</w:t>
      </w:r>
      <w:r>
        <w:rPr>
          <w:rFonts w:ascii="Times New Roman" w:hAnsi="Times New Roman" w:cs="Times New Roman"/>
          <w:sz w:val="21"/>
          <w:szCs w:val="21"/>
        </w:rPr>
        <w:t xml:space="preserve"> </w:t>
      </w:r>
      <w:r w:rsidRPr="007F0C52">
        <w:rPr>
          <w:rFonts w:ascii="Times New Roman" w:hAnsi="Times New Roman" w:cs="Times New Roman"/>
          <w:sz w:val="21"/>
          <w:szCs w:val="21"/>
        </w:rPr>
        <w:t>Г. Пуригіна, С.</w:t>
      </w:r>
      <w:r>
        <w:rPr>
          <w:rFonts w:ascii="Times New Roman" w:hAnsi="Times New Roman" w:cs="Times New Roman"/>
          <w:sz w:val="21"/>
          <w:szCs w:val="21"/>
        </w:rPr>
        <w:t> </w:t>
      </w:r>
      <w:r w:rsidRPr="007F0C52">
        <w:rPr>
          <w:rFonts w:ascii="Times New Roman" w:hAnsi="Times New Roman" w:cs="Times New Roman"/>
          <w:sz w:val="21"/>
          <w:szCs w:val="21"/>
        </w:rPr>
        <w:t>Е. Сардак. – К. : Академія, 2007. – 312 с.</w:t>
      </w:r>
      <w:bookmarkEnd w:id="299"/>
    </w:p>
    <w:p w:rsidR="00B233DE" w:rsidRPr="00656EF9"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300" w:name="_Ref435182339"/>
      <w:r w:rsidRPr="00882D46">
        <w:rPr>
          <w:rFonts w:ascii="Times New Roman" w:hAnsi="Times New Roman" w:cs="Times New Roman"/>
          <w:bCs/>
          <w:sz w:val="21"/>
          <w:szCs w:val="21"/>
        </w:rPr>
        <w:t>Рамеева</w:t>
      </w:r>
      <w:r w:rsidRPr="00882D46">
        <w:rPr>
          <w:rFonts w:ascii="Times New Roman" w:hAnsi="Times New Roman" w:cs="Times New Roman"/>
          <w:sz w:val="21"/>
          <w:szCs w:val="21"/>
        </w:rPr>
        <w:t xml:space="preserve"> А.</w:t>
      </w:r>
      <w:r>
        <w:rPr>
          <w:rFonts w:ascii="Times New Roman" w:hAnsi="Times New Roman" w:cs="Times New Roman"/>
          <w:sz w:val="21"/>
          <w:szCs w:val="21"/>
        </w:rPr>
        <w:t xml:space="preserve"> </w:t>
      </w:r>
      <w:r w:rsidRPr="00882D46">
        <w:rPr>
          <w:rFonts w:ascii="Times New Roman" w:hAnsi="Times New Roman" w:cs="Times New Roman"/>
          <w:sz w:val="21"/>
          <w:szCs w:val="21"/>
        </w:rPr>
        <w:t xml:space="preserve">А. Место и роль квалифицированных кадров в системе международной трудовой </w:t>
      </w:r>
      <w:r w:rsidRPr="00882D46">
        <w:rPr>
          <w:rFonts w:ascii="Times New Roman" w:hAnsi="Times New Roman" w:cs="Times New Roman"/>
          <w:bCs/>
          <w:sz w:val="21"/>
          <w:szCs w:val="21"/>
        </w:rPr>
        <w:t>миграции</w:t>
      </w:r>
      <w:r w:rsidRPr="00882D46">
        <w:rPr>
          <w:rFonts w:ascii="Times New Roman" w:hAnsi="Times New Roman" w:cs="Times New Roman"/>
          <w:sz w:val="21"/>
          <w:szCs w:val="21"/>
        </w:rPr>
        <w:t xml:space="preserve"> : дисс. ... канд. экон. наук : 08.00.14 / </w:t>
      </w:r>
      <w:r w:rsidRPr="00882D46">
        <w:rPr>
          <w:rFonts w:ascii="Times New Roman" w:hAnsi="Times New Roman" w:cs="Times New Roman"/>
          <w:bCs/>
          <w:sz w:val="21"/>
          <w:szCs w:val="21"/>
        </w:rPr>
        <w:t>Рамеева</w:t>
      </w:r>
      <w:r w:rsidRPr="00882D46">
        <w:rPr>
          <w:rFonts w:ascii="Times New Roman" w:hAnsi="Times New Roman" w:cs="Times New Roman"/>
          <w:sz w:val="21"/>
          <w:szCs w:val="21"/>
        </w:rPr>
        <w:t xml:space="preserve"> Анастасия Анатольевна / Дипломат. акад. МИД РФ. – М., 2008. – 170 с.</w:t>
      </w:r>
      <w:bookmarkEnd w:id="300"/>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301" w:name="_Ref435188383"/>
      <w:r w:rsidRPr="00882D46">
        <w:rPr>
          <w:rFonts w:ascii="Times New Roman" w:hAnsi="Times New Roman" w:cs="Times New Roman"/>
          <w:iCs/>
          <w:sz w:val="21"/>
          <w:szCs w:val="21"/>
        </w:rPr>
        <w:t>Регіональний людський розвиток : [статистичний бюллетень] / Державна служба статистики України. – К., 2012 [Електронний ресурс]. – Режим доступу : http://ukrstat.gov.ua/</w:t>
      </w:r>
      <w:bookmarkEnd w:id="301"/>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302" w:name="_Ref435186472"/>
      <w:r w:rsidRPr="00882D46">
        <w:rPr>
          <w:rFonts w:ascii="Times New Roman" w:hAnsi="Times New Roman" w:cs="Times New Roman"/>
          <w:bCs/>
          <w:sz w:val="21"/>
          <w:szCs w:val="21"/>
        </w:rPr>
        <w:t xml:space="preserve">Регіональні проблеми людського та соціального розвитку </w:t>
      </w:r>
      <w:r w:rsidRPr="00882D46">
        <w:rPr>
          <w:rFonts w:ascii="Times New Roman" w:hAnsi="Times New Roman" w:cs="Times New Roman"/>
          <w:sz w:val="21"/>
          <w:szCs w:val="21"/>
        </w:rPr>
        <w:t>: тези доп. і повідомлень міжнар. наук.-практ. конф., 4–5 листоп. 2008 р. : в 2 т. / НАН України. Відділення економіки ; Інститут економіки промисловості НАН України ; Комітет з питань будівництва, житлово-комунального господарства і регіональної політики Верховної Ради України ; Донецька обласна рада ; Донецька обласна держ. адміністрація / відп. ред. О.</w:t>
      </w:r>
      <w:r>
        <w:rPr>
          <w:rFonts w:ascii="Times New Roman" w:hAnsi="Times New Roman" w:cs="Times New Roman"/>
          <w:sz w:val="21"/>
          <w:szCs w:val="21"/>
        </w:rPr>
        <w:t xml:space="preserve"> </w:t>
      </w:r>
      <w:r w:rsidRPr="00882D46">
        <w:rPr>
          <w:rFonts w:ascii="Times New Roman" w:hAnsi="Times New Roman" w:cs="Times New Roman"/>
          <w:sz w:val="21"/>
          <w:szCs w:val="21"/>
        </w:rPr>
        <w:t>І. Амоша. – Донецьк : ІЕП НАН України, 2008. – 344 с.</w:t>
      </w:r>
      <w:bookmarkEnd w:id="302"/>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303" w:name="_Ref435187256"/>
      <w:r w:rsidRPr="00882D46">
        <w:rPr>
          <w:rFonts w:ascii="Times New Roman" w:hAnsi="Times New Roman" w:cs="Times New Roman"/>
          <w:sz w:val="21"/>
          <w:szCs w:val="21"/>
        </w:rPr>
        <w:lastRenderedPageBreak/>
        <w:t>Риндзак О.</w:t>
      </w:r>
      <w:r>
        <w:rPr>
          <w:rFonts w:ascii="Times New Roman" w:hAnsi="Times New Roman" w:cs="Times New Roman"/>
          <w:sz w:val="21"/>
          <w:szCs w:val="21"/>
        </w:rPr>
        <w:t xml:space="preserve"> </w:t>
      </w:r>
      <w:r w:rsidRPr="00882D46">
        <w:rPr>
          <w:rFonts w:ascii="Times New Roman" w:hAnsi="Times New Roman" w:cs="Times New Roman"/>
          <w:sz w:val="21"/>
          <w:szCs w:val="21"/>
        </w:rPr>
        <w:t>Т. Міграційна політика Норвегії в європейській перспективі / О.</w:t>
      </w:r>
      <w:r>
        <w:rPr>
          <w:rFonts w:ascii="Times New Roman" w:hAnsi="Times New Roman" w:cs="Times New Roman"/>
          <w:sz w:val="21"/>
          <w:szCs w:val="21"/>
        </w:rPr>
        <w:t xml:space="preserve"> </w:t>
      </w:r>
      <w:r w:rsidRPr="00882D46">
        <w:rPr>
          <w:rFonts w:ascii="Times New Roman" w:hAnsi="Times New Roman" w:cs="Times New Roman"/>
          <w:sz w:val="21"/>
          <w:szCs w:val="21"/>
        </w:rPr>
        <w:t>Т. Риндзак // Соціально-економічні проблеми сучасного періоду України : зб. наук. праць. –</w:t>
      </w:r>
      <w:r>
        <w:rPr>
          <w:rFonts w:ascii="Times New Roman" w:hAnsi="Times New Roman" w:cs="Times New Roman"/>
          <w:sz w:val="21"/>
          <w:szCs w:val="21"/>
        </w:rPr>
        <w:t xml:space="preserve"> </w:t>
      </w:r>
      <w:r w:rsidRPr="00882D46">
        <w:rPr>
          <w:rFonts w:ascii="Times New Roman" w:hAnsi="Times New Roman" w:cs="Times New Roman"/>
          <w:sz w:val="21"/>
          <w:szCs w:val="21"/>
        </w:rPr>
        <w:t>2009. – Вип. 6</w:t>
      </w:r>
      <w:r>
        <w:rPr>
          <w:rFonts w:ascii="Times New Roman" w:hAnsi="Times New Roman" w:cs="Times New Roman"/>
          <w:sz w:val="21"/>
          <w:szCs w:val="21"/>
        </w:rPr>
        <w:t xml:space="preserve"> </w:t>
      </w:r>
      <w:r w:rsidRPr="00882D46">
        <w:rPr>
          <w:rFonts w:ascii="Times New Roman" w:hAnsi="Times New Roman" w:cs="Times New Roman"/>
          <w:sz w:val="21"/>
          <w:szCs w:val="21"/>
        </w:rPr>
        <w:t>(80). – С. 150–159.</w:t>
      </w:r>
      <w:bookmarkEnd w:id="303"/>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iCs/>
          <w:sz w:val="21"/>
          <w:szCs w:val="21"/>
        </w:rPr>
      </w:pPr>
      <w:bookmarkStart w:id="304" w:name="_Ref435187636"/>
      <w:r w:rsidRPr="00882D46">
        <w:rPr>
          <w:rFonts w:ascii="Times New Roman" w:hAnsi="Times New Roman" w:cs="Times New Roman"/>
          <w:iCs/>
          <w:sz w:val="21"/>
          <w:szCs w:val="21"/>
        </w:rPr>
        <w:t xml:space="preserve">Розвиток людських ресурсів і міграційна політика в Україні 2008 [Електронний ресурс]. – Режим доступу : </w:t>
      </w:r>
      <w:hyperlink r:id="rId108" w:history="1">
        <w:r w:rsidRPr="00882D46">
          <w:rPr>
            <w:rFonts w:ascii="Times New Roman" w:hAnsi="Times New Roman" w:cs="Times New Roman"/>
            <w:iCs/>
            <w:sz w:val="21"/>
            <w:szCs w:val="21"/>
          </w:rPr>
          <w:t>http://www.etf.europa.eu/pubmgmt.nsf/(getAttachment)/35847CEC6861C207C12574B9005665F4/$File/NOTE7J5LFR.pdf</w:t>
        </w:r>
      </w:hyperlink>
      <w:bookmarkEnd w:id="304"/>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305" w:name="_Ref435187533"/>
      <w:r w:rsidRPr="00882D46">
        <w:rPr>
          <w:rFonts w:ascii="Times New Roman" w:hAnsi="Times New Roman" w:cs="Times New Roman"/>
          <w:sz w:val="21"/>
          <w:szCs w:val="21"/>
        </w:rPr>
        <w:t>Семикіна М.</w:t>
      </w:r>
      <w:r>
        <w:rPr>
          <w:rFonts w:ascii="Times New Roman" w:hAnsi="Times New Roman" w:cs="Times New Roman"/>
          <w:sz w:val="21"/>
          <w:szCs w:val="21"/>
        </w:rPr>
        <w:t xml:space="preserve"> </w:t>
      </w:r>
      <w:r w:rsidRPr="00882D46">
        <w:rPr>
          <w:rFonts w:ascii="Times New Roman" w:hAnsi="Times New Roman" w:cs="Times New Roman"/>
          <w:sz w:val="21"/>
          <w:szCs w:val="21"/>
        </w:rPr>
        <w:t>В. Проблеми збереження трудового потенціалу та напрями їх розв’язання / М.</w:t>
      </w:r>
      <w:r>
        <w:rPr>
          <w:rFonts w:ascii="Times New Roman" w:hAnsi="Times New Roman" w:cs="Times New Roman"/>
          <w:sz w:val="21"/>
          <w:szCs w:val="21"/>
        </w:rPr>
        <w:t xml:space="preserve"> </w:t>
      </w:r>
      <w:r w:rsidRPr="00882D46">
        <w:rPr>
          <w:rFonts w:ascii="Times New Roman" w:hAnsi="Times New Roman" w:cs="Times New Roman"/>
          <w:sz w:val="21"/>
          <w:szCs w:val="21"/>
        </w:rPr>
        <w:t>В. Семикіна // Экономика и управление. – 2010. – № 2. – С. 87–92.</w:t>
      </w:r>
      <w:bookmarkEnd w:id="305"/>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pacing w:val="-4"/>
          <w:sz w:val="21"/>
          <w:szCs w:val="21"/>
        </w:rPr>
      </w:pPr>
      <w:bookmarkStart w:id="306" w:name="_Ref435182607"/>
      <w:r w:rsidRPr="00882D46">
        <w:rPr>
          <w:rFonts w:ascii="Times New Roman" w:hAnsi="Times New Roman" w:cs="Times New Roman"/>
          <w:spacing w:val="-4"/>
          <w:sz w:val="21"/>
          <w:szCs w:val="21"/>
        </w:rPr>
        <w:t xml:space="preserve">Смит А. Исследование о природе и причинах богатства народов / </w:t>
      </w:r>
      <w:r>
        <w:rPr>
          <w:rFonts w:ascii="Times New Roman" w:hAnsi="Times New Roman" w:cs="Times New Roman"/>
          <w:spacing w:val="-4"/>
          <w:sz w:val="21"/>
          <w:szCs w:val="21"/>
        </w:rPr>
        <w:t>А. Смит. – М. : Эксмо, 2007. – 960 с</w:t>
      </w:r>
      <w:r w:rsidRPr="00882D46">
        <w:rPr>
          <w:rFonts w:ascii="Times New Roman" w:hAnsi="Times New Roman" w:cs="Times New Roman"/>
          <w:spacing w:val="-4"/>
          <w:sz w:val="21"/>
          <w:szCs w:val="21"/>
        </w:rPr>
        <w:t>.</w:t>
      </w:r>
      <w:bookmarkEnd w:id="306"/>
    </w:p>
    <w:p w:rsidR="00B233DE" w:rsidRPr="00882D46" w:rsidRDefault="00B233DE" w:rsidP="00B233DE">
      <w:pPr>
        <w:pStyle w:val="ad"/>
        <w:numPr>
          <w:ilvl w:val="0"/>
          <w:numId w:val="21"/>
        </w:numPr>
        <w:tabs>
          <w:tab w:val="num" w:pos="1080"/>
          <w:tab w:val="left" w:pos="1134"/>
          <w:tab w:val="num" w:pos="3102"/>
        </w:tabs>
        <w:ind w:left="0" w:firstLine="709"/>
        <w:jc w:val="both"/>
        <w:rPr>
          <w:rStyle w:val="HTML1"/>
          <w:rFonts w:ascii="Times New Roman" w:hAnsi="Times New Roman" w:cs="Times New Roman"/>
          <w:i w:val="0"/>
          <w:iCs w:val="0"/>
          <w:sz w:val="21"/>
          <w:szCs w:val="21"/>
        </w:rPr>
      </w:pPr>
      <w:bookmarkStart w:id="307" w:name="_Ref435187664"/>
      <w:r w:rsidRPr="00882D46">
        <w:rPr>
          <w:rFonts w:ascii="Times New Roman" w:hAnsi="Times New Roman" w:cs="Times New Roman"/>
          <w:sz w:val="21"/>
          <w:szCs w:val="21"/>
        </w:rPr>
        <w:t xml:space="preserve">Статистично-аналітичний огляд стану ринку праці у 2012 р. [Електронний ресурс]. – Режим доступу : </w:t>
      </w:r>
      <w:r w:rsidRPr="00882D46">
        <w:rPr>
          <w:rStyle w:val="HTML1"/>
          <w:rFonts w:ascii="Times New Roman" w:hAnsi="Times New Roman" w:cs="Times New Roman"/>
          <w:i w:val="0"/>
          <w:iCs w:val="0"/>
          <w:sz w:val="21"/>
          <w:szCs w:val="21"/>
        </w:rPr>
        <w:t>www.ukrstat.gov.ua/operativ/operativ2013/rp/pres-reliz/dop_pr_2012.zip</w:t>
      </w:r>
      <w:bookmarkEnd w:id="307"/>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pacing w:val="-4"/>
          <w:sz w:val="21"/>
          <w:szCs w:val="21"/>
        </w:rPr>
      </w:pPr>
      <w:bookmarkStart w:id="308" w:name="_Ref435188411"/>
      <w:r w:rsidRPr="00882D46">
        <w:rPr>
          <w:rFonts w:ascii="Times New Roman" w:hAnsi="Times New Roman" w:cs="Times New Roman"/>
          <w:spacing w:val="-4"/>
          <w:sz w:val="21"/>
          <w:szCs w:val="21"/>
        </w:rPr>
        <w:t>Тиндик</w:t>
      </w:r>
      <w:r w:rsidRPr="00882D46">
        <w:rPr>
          <w:rFonts w:ascii="Times New Roman" w:hAnsi="Times New Roman" w:cs="Times New Roman"/>
          <w:bCs/>
          <w:spacing w:val="-4"/>
          <w:sz w:val="21"/>
          <w:szCs w:val="21"/>
        </w:rPr>
        <w:t xml:space="preserve"> </w:t>
      </w:r>
      <w:r w:rsidRPr="00882D46">
        <w:rPr>
          <w:rFonts w:ascii="Times New Roman" w:hAnsi="Times New Roman" w:cs="Times New Roman"/>
          <w:spacing w:val="-4"/>
          <w:sz w:val="21"/>
          <w:szCs w:val="21"/>
        </w:rPr>
        <w:t>Н.</w:t>
      </w:r>
      <w:r>
        <w:rPr>
          <w:rFonts w:ascii="Times New Roman" w:hAnsi="Times New Roman" w:cs="Times New Roman"/>
          <w:spacing w:val="-4"/>
          <w:sz w:val="21"/>
          <w:szCs w:val="21"/>
        </w:rPr>
        <w:t xml:space="preserve"> </w:t>
      </w:r>
      <w:r w:rsidRPr="00882D46">
        <w:rPr>
          <w:rFonts w:ascii="Times New Roman" w:hAnsi="Times New Roman" w:cs="Times New Roman"/>
          <w:spacing w:val="-4"/>
          <w:sz w:val="21"/>
          <w:szCs w:val="21"/>
        </w:rPr>
        <w:t xml:space="preserve">П. </w:t>
      </w:r>
      <w:r w:rsidRPr="00882D46">
        <w:rPr>
          <w:rFonts w:ascii="Times New Roman" w:hAnsi="Times New Roman" w:cs="Times New Roman"/>
          <w:bCs/>
          <w:spacing w:val="-4"/>
          <w:sz w:val="21"/>
          <w:szCs w:val="21"/>
        </w:rPr>
        <w:t xml:space="preserve">Адміністративно-правовий механізм регулювання міграції в Україні </w:t>
      </w:r>
      <w:r w:rsidRPr="00882D46">
        <w:rPr>
          <w:rFonts w:ascii="Times New Roman" w:hAnsi="Times New Roman" w:cs="Times New Roman"/>
          <w:spacing w:val="-4"/>
          <w:sz w:val="21"/>
          <w:szCs w:val="21"/>
        </w:rPr>
        <w:t>: автореф. дис. на здобуття наук. ступеня д-ра юрид. наук : спец. 12.00.07 «Адміністративне право і процес, фінансове право, інформаційне право» / Н.</w:t>
      </w:r>
      <w:r>
        <w:rPr>
          <w:rFonts w:ascii="Times New Roman" w:hAnsi="Times New Roman" w:cs="Times New Roman"/>
          <w:spacing w:val="-4"/>
          <w:sz w:val="21"/>
          <w:szCs w:val="21"/>
        </w:rPr>
        <w:t xml:space="preserve"> </w:t>
      </w:r>
      <w:r w:rsidRPr="00882D46">
        <w:rPr>
          <w:rFonts w:ascii="Times New Roman" w:hAnsi="Times New Roman" w:cs="Times New Roman"/>
          <w:spacing w:val="-4"/>
          <w:sz w:val="21"/>
          <w:szCs w:val="21"/>
        </w:rPr>
        <w:t>П. Тиндик ; Нац. ун-т держ. податк. служби України. – Ірпінь, 2009. – 40 с.</w:t>
      </w:r>
      <w:bookmarkEnd w:id="308"/>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309" w:name="_Ref435186429"/>
      <w:r w:rsidRPr="00941627">
        <w:rPr>
          <w:rFonts w:ascii="Times New Roman" w:hAnsi="Times New Roman" w:cs="Times New Roman"/>
          <w:sz w:val="21"/>
          <w:szCs w:val="21"/>
        </w:rPr>
        <w:t>Украина. Расширенный миграционный профиль</w:t>
      </w:r>
      <w:r>
        <w:rPr>
          <w:rFonts w:ascii="Times New Roman" w:hAnsi="Times New Roman" w:cs="Times New Roman"/>
          <w:sz w:val="21"/>
          <w:szCs w:val="21"/>
        </w:rPr>
        <w:t xml:space="preserve"> </w:t>
      </w:r>
      <w:r w:rsidRPr="00941627">
        <w:rPr>
          <w:rFonts w:ascii="Times New Roman" w:hAnsi="Times New Roman" w:cs="Times New Roman"/>
          <w:sz w:val="21"/>
          <w:szCs w:val="21"/>
        </w:rPr>
        <w:t xml:space="preserve">[Електронний ресурс] // Построение миграционных партнёрств. – 2011. – Режим доступу : </w:t>
      </w:r>
      <w:hyperlink r:id="rId109" w:history="1">
        <w:r w:rsidRPr="00941627">
          <w:rPr>
            <w:rFonts w:ascii="Times New Roman" w:hAnsi="Times New Roman" w:cs="Times New Roman"/>
            <w:iCs/>
            <w:sz w:val="21"/>
            <w:szCs w:val="21"/>
          </w:rPr>
          <w:t>http://mirpal.org/files/files/Ukraine--Extended-Migration-Profile%20RU.pdf</w:t>
        </w:r>
      </w:hyperlink>
      <w:bookmarkEnd w:id="309"/>
    </w:p>
    <w:p w:rsidR="00B233DE" w:rsidRPr="004C0D50"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310" w:name="_Ref435187801"/>
      <w:r w:rsidRPr="004C0D50">
        <w:rPr>
          <w:rFonts w:ascii="Times New Roman" w:hAnsi="Times New Roman" w:cs="Times New Roman"/>
          <w:sz w:val="21"/>
          <w:szCs w:val="21"/>
        </w:rPr>
        <w:t>Україна. Міграційний профіль / Державна міграційна служба. – 2013. – 98 с.</w:t>
      </w:r>
      <w:bookmarkEnd w:id="310"/>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311" w:name="_Ref435182417"/>
      <w:r w:rsidRPr="00882D46">
        <w:rPr>
          <w:rFonts w:ascii="Times New Roman" w:hAnsi="Times New Roman" w:cs="Times New Roman"/>
          <w:spacing w:val="-9"/>
          <w:sz w:val="21"/>
          <w:szCs w:val="21"/>
        </w:rPr>
        <w:t>Шевчук Л.</w:t>
      </w:r>
      <w:r>
        <w:rPr>
          <w:rFonts w:ascii="Times New Roman" w:hAnsi="Times New Roman" w:cs="Times New Roman"/>
          <w:spacing w:val="-9"/>
          <w:sz w:val="21"/>
          <w:szCs w:val="21"/>
        </w:rPr>
        <w:t xml:space="preserve"> </w:t>
      </w:r>
      <w:r w:rsidRPr="00882D46">
        <w:rPr>
          <w:rFonts w:ascii="Times New Roman" w:hAnsi="Times New Roman" w:cs="Times New Roman"/>
          <w:spacing w:val="-9"/>
          <w:sz w:val="21"/>
          <w:szCs w:val="21"/>
        </w:rPr>
        <w:t>Т. Медико-соціальні аспекти використання трудового потенціалу</w:t>
      </w:r>
      <w:r>
        <w:rPr>
          <w:rFonts w:ascii="Times New Roman" w:hAnsi="Times New Roman" w:cs="Times New Roman"/>
          <w:spacing w:val="-9"/>
          <w:sz w:val="21"/>
          <w:szCs w:val="21"/>
        </w:rPr>
        <w:t xml:space="preserve"> </w:t>
      </w:r>
      <w:r w:rsidRPr="00882D46">
        <w:rPr>
          <w:rFonts w:ascii="Times New Roman" w:hAnsi="Times New Roman" w:cs="Times New Roman"/>
          <w:spacing w:val="-9"/>
          <w:sz w:val="21"/>
          <w:szCs w:val="21"/>
        </w:rPr>
        <w:t xml:space="preserve">: регіональний аналіз і прогноз / </w:t>
      </w:r>
      <w:r>
        <w:rPr>
          <w:rFonts w:ascii="Times New Roman" w:hAnsi="Times New Roman" w:cs="Times New Roman"/>
          <w:spacing w:val="-9"/>
          <w:sz w:val="21"/>
          <w:szCs w:val="21"/>
        </w:rPr>
        <w:t>Л. Т. Шевчук. – Львів, 2003. – C. 20–25.</w:t>
      </w:r>
      <w:bookmarkEnd w:id="311"/>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pacing w:val="-8"/>
          <w:sz w:val="21"/>
          <w:szCs w:val="21"/>
        </w:rPr>
      </w:pPr>
      <w:bookmarkStart w:id="312" w:name="_Ref435188404"/>
      <w:r w:rsidRPr="00882D46">
        <w:rPr>
          <w:rFonts w:ascii="Times New Roman" w:hAnsi="Times New Roman" w:cs="Times New Roman"/>
          <w:spacing w:val="-8"/>
          <w:sz w:val="21"/>
          <w:szCs w:val="21"/>
        </w:rPr>
        <w:t>Шульга М.</w:t>
      </w:r>
      <w:r>
        <w:rPr>
          <w:rFonts w:ascii="Times New Roman" w:hAnsi="Times New Roman" w:cs="Times New Roman"/>
          <w:spacing w:val="-8"/>
          <w:sz w:val="21"/>
          <w:szCs w:val="21"/>
        </w:rPr>
        <w:t xml:space="preserve"> </w:t>
      </w:r>
      <w:r w:rsidRPr="00882D46">
        <w:rPr>
          <w:rFonts w:ascii="Times New Roman" w:hAnsi="Times New Roman" w:cs="Times New Roman"/>
          <w:spacing w:val="-8"/>
          <w:sz w:val="21"/>
          <w:szCs w:val="21"/>
        </w:rPr>
        <w:t>О. Щодо ефективності досліджень міграції в Україні / М.</w:t>
      </w:r>
      <w:r>
        <w:rPr>
          <w:rFonts w:ascii="Times New Roman" w:hAnsi="Times New Roman" w:cs="Times New Roman"/>
          <w:spacing w:val="-8"/>
          <w:sz w:val="21"/>
          <w:szCs w:val="21"/>
        </w:rPr>
        <w:t xml:space="preserve"> </w:t>
      </w:r>
      <w:r w:rsidRPr="00882D46">
        <w:rPr>
          <w:rFonts w:ascii="Times New Roman" w:hAnsi="Times New Roman" w:cs="Times New Roman"/>
          <w:spacing w:val="-8"/>
          <w:sz w:val="21"/>
          <w:szCs w:val="21"/>
        </w:rPr>
        <w:t>О. Шульга // Соціально-економічні та етнокультурні наслідки міграції для України : зб. матеріалів наук.-практ. конф. (Київ, 27 вересня 2011 р.). – К. : НІСД, 2011. – 344 с.</w:t>
      </w:r>
      <w:bookmarkEnd w:id="312"/>
    </w:p>
    <w:p w:rsidR="00B233DE" w:rsidRPr="00941627"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13" w:name="_Ref435187016"/>
      <w:r w:rsidRPr="00882D46">
        <w:rPr>
          <w:rFonts w:ascii="Times New Roman" w:hAnsi="Times New Roman" w:cs="Times New Roman"/>
          <w:sz w:val="21"/>
          <w:szCs w:val="21"/>
          <w:lang w:val="en-US"/>
        </w:rPr>
        <w:t>Bogdan</w:t>
      </w:r>
      <w:r w:rsidRPr="00882D46">
        <w:rPr>
          <w:rFonts w:ascii="Times New Roman" w:hAnsi="Times New Roman" w:cs="Times New Roman"/>
          <w:bCs/>
          <w:sz w:val="21"/>
          <w:szCs w:val="21"/>
          <w:lang w:val="en-US"/>
        </w:rPr>
        <w:t xml:space="preserve"> </w:t>
      </w:r>
      <w:r w:rsidRPr="00882D46">
        <w:rPr>
          <w:rFonts w:ascii="Times New Roman" w:hAnsi="Times New Roman" w:cs="Times New Roman"/>
          <w:sz w:val="21"/>
          <w:szCs w:val="21"/>
          <w:lang w:val="en-US"/>
        </w:rPr>
        <w:t xml:space="preserve">T. </w:t>
      </w:r>
      <w:r w:rsidRPr="00882D46">
        <w:rPr>
          <w:rFonts w:ascii="Times New Roman" w:hAnsi="Times New Roman" w:cs="Times New Roman"/>
          <w:bCs/>
          <w:sz w:val="21"/>
          <w:szCs w:val="21"/>
          <w:lang w:val="en-US"/>
        </w:rPr>
        <w:t>Labor Migrants’ Problems – Acute Policy Challenge for Ukraine</w:t>
      </w:r>
      <w:r w:rsidRPr="00882D46">
        <w:rPr>
          <w:rFonts w:ascii="Times New Roman" w:hAnsi="Times New Roman" w:cs="Times New Roman"/>
          <w:sz w:val="21"/>
          <w:szCs w:val="21"/>
          <w:lang w:val="en-US"/>
        </w:rPr>
        <w:t xml:space="preserve"> </w:t>
      </w:r>
      <w:r w:rsidRPr="00882D46">
        <w:rPr>
          <w:rFonts w:ascii="Times New Roman" w:hAnsi="Times New Roman" w:cs="Times New Roman"/>
          <w:bCs/>
          <w:sz w:val="21"/>
          <w:szCs w:val="21"/>
          <w:lang w:val="en-US"/>
        </w:rPr>
        <w:t>[</w:t>
      </w:r>
      <w:r w:rsidRPr="00882D46">
        <w:rPr>
          <w:rFonts w:ascii="Times New Roman" w:hAnsi="Times New Roman" w:cs="Times New Roman"/>
          <w:bCs/>
          <w:sz w:val="21"/>
          <w:szCs w:val="21"/>
        </w:rPr>
        <w:t>Електронний</w:t>
      </w:r>
      <w:r w:rsidRPr="00882D46">
        <w:rPr>
          <w:rFonts w:ascii="Times New Roman" w:hAnsi="Times New Roman" w:cs="Times New Roman"/>
          <w:bCs/>
          <w:sz w:val="21"/>
          <w:szCs w:val="21"/>
          <w:lang w:val="en-US"/>
        </w:rPr>
        <w:t xml:space="preserve"> </w:t>
      </w:r>
      <w:r w:rsidRPr="00882D46">
        <w:rPr>
          <w:rFonts w:ascii="Times New Roman" w:hAnsi="Times New Roman" w:cs="Times New Roman"/>
          <w:bCs/>
          <w:sz w:val="21"/>
          <w:szCs w:val="21"/>
        </w:rPr>
        <w:t>ресурс</w:t>
      </w:r>
      <w:r w:rsidRPr="00882D46">
        <w:rPr>
          <w:rFonts w:ascii="Times New Roman" w:hAnsi="Times New Roman" w:cs="Times New Roman"/>
          <w:bCs/>
          <w:sz w:val="21"/>
          <w:szCs w:val="21"/>
          <w:lang w:val="en-US"/>
        </w:rPr>
        <w:t>]</w:t>
      </w:r>
      <w:r w:rsidRPr="00882D46">
        <w:rPr>
          <w:rFonts w:ascii="Times New Roman" w:hAnsi="Times New Roman" w:cs="Times New Roman"/>
          <w:bCs/>
          <w:sz w:val="21"/>
          <w:szCs w:val="21"/>
        </w:rPr>
        <w:t xml:space="preserve">. – </w:t>
      </w:r>
      <w:r w:rsidRPr="00882D46">
        <w:rPr>
          <w:rFonts w:ascii="Times New Roman" w:hAnsi="Times New Roman" w:cs="Times New Roman"/>
          <w:sz w:val="21"/>
          <w:szCs w:val="21"/>
        </w:rPr>
        <w:t>Режим</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 xml:space="preserve">доступу </w:t>
      </w:r>
      <w:r w:rsidRPr="00882D46">
        <w:rPr>
          <w:rFonts w:ascii="Times New Roman" w:hAnsi="Times New Roman" w:cs="Times New Roman"/>
          <w:sz w:val="21"/>
          <w:szCs w:val="21"/>
          <w:lang w:val="en-US"/>
        </w:rPr>
        <w:t xml:space="preserve">: </w:t>
      </w:r>
      <w:hyperlink r:id="rId110" w:history="1">
        <w:r w:rsidRPr="00882D46">
          <w:rPr>
            <w:rFonts w:ascii="Times New Roman" w:hAnsi="Times New Roman" w:cs="Times New Roman"/>
            <w:sz w:val="21"/>
            <w:szCs w:val="21"/>
            <w:lang w:val="en-US"/>
          </w:rPr>
          <w:t>http://mirpal.org/files/files/Article_2%20%D0%98%D0%BD%D1%84</w:t>
        </w:r>
        <w:r w:rsidRPr="00882D46">
          <w:rPr>
            <w:rFonts w:ascii="Times New Roman" w:hAnsi="Times New Roman" w:cs="Times New Roman"/>
            <w:sz w:val="21"/>
            <w:szCs w:val="21"/>
            <w:lang w:val="en-US"/>
          </w:rPr>
          <w:lastRenderedPageBreak/>
          <w:t>%D0%BE%D1%80%D0%BC%D0%B0%D1%86%D0%B8%D1%8F.pdf</w:t>
        </w:r>
      </w:hyperlink>
      <w:bookmarkEnd w:id="313"/>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14" w:name="_Ref435182536"/>
      <w:r w:rsidRPr="00882D46">
        <w:rPr>
          <w:rFonts w:ascii="Times New Roman" w:hAnsi="Times New Roman" w:cs="Times New Roman"/>
          <w:sz w:val="21"/>
          <w:szCs w:val="21"/>
          <w:lang w:val="en-US"/>
        </w:rPr>
        <w:t>Broadman H. Migration and Remittances</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 Eastern Europe and the Former Soviet Union</w:t>
      </w:r>
      <w:r w:rsidRPr="00882D46">
        <w:rPr>
          <w:rFonts w:ascii="Times New Roman" w:hAnsi="Times New Roman" w:cs="Times New Roman"/>
          <w:sz w:val="21"/>
          <w:szCs w:val="21"/>
        </w:rPr>
        <w:t>.</w:t>
      </w:r>
      <w:r w:rsidRPr="00882D46">
        <w:rPr>
          <w:rFonts w:ascii="Times New Roman" w:hAnsi="Times New Roman" w:cs="Times New Roman"/>
          <w:sz w:val="21"/>
          <w:szCs w:val="21"/>
          <w:lang w:val="en-US"/>
        </w:rPr>
        <w:t xml:space="preserve"> </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World Bank</w:t>
      </w:r>
      <w:r>
        <w:rPr>
          <w:rFonts w:ascii="Times New Roman" w:hAnsi="Times New Roman" w:cs="Times New Roman"/>
          <w:sz w:val="21"/>
          <w:szCs w:val="21"/>
        </w:rPr>
        <w:t>,</w:t>
      </w:r>
      <w:r w:rsidRPr="00882D46">
        <w:rPr>
          <w:rFonts w:ascii="Times New Roman" w:hAnsi="Times New Roman" w:cs="Times New Roman"/>
          <w:sz w:val="21"/>
          <w:szCs w:val="21"/>
          <w:lang w:val="en-US"/>
        </w:rPr>
        <w:t xml:space="preserve"> 2007</w:t>
      </w:r>
      <w:r w:rsidRPr="00882D46">
        <w:rPr>
          <w:rFonts w:ascii="Times New Roman" w:hAnsi="Times New Roman" w:cs="Times New Roman"/>
          <w:sz w:val="21"/>
          <w:szCs w:val="21"/>
        </w:rPr>
        <w:t>.</w:t>
      </w:r>
      <w:r w:rsidRPr="00882D46">
        <w:rPr>
          <w:rFonts w:ascii="Times New Roman" w:hAnsi="Times New Roman" w:cs="Times New Roman"/>
          <w:sz w:val="21"/>
          <w:szCs w:val="21"/>
          <w:lang w:val="en-US"/>
        </w:rPr>
        <w:t xml:space="preserve"> </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213</w:t>
      </w:r>
      <w:r w:rsidRPr="00882D46">
        <w:rPr>
          <w:rFonts w:ascii="Times New Roman" w:hAnsi="Times New Roman" w:cs="Times New Roman"/>
          <w:sz w:val="21"/>
          <w:szCs w:val="21"/>
        </w:rPr>
        <w:t xml:space="preserve"> </w:t>
      </w:r>
      <w:r w:rsidRPr="00882D46">
        <w:rPr>
          <w:rFonts w:ascii="Times New Roman" w:hAnsi="Times New Roman" w:cs="Times New Roman"/>
          <w:sz w:val="21"/>
          <w:szCs w:val="21"/>
          <w:lang w:val="en-US"/>
        </w:rPr>
        <w:t>p.</w:t>
      </w:r>
      <w:bookmarkEnd w:id="314"/>
    </w:p>
    <w:p w:rsidR="00B233DE" w:rsidRPr="00941627"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15" w:name="_Ref435184291"/>
      <w:r>
        <w:rPr>
          <w:rFonts w:ascii="Times New Roman" w:hAnsi="Times New Roman" w:cs="Times New Roman"/>
          <w:sz w:val="21"/>
          <w:szCs w:val="21"/>
          <w:lang w:val="en-US"/>
        </w:rPr>
        <w:t>Butcher D. Global R&amp;D Outlook</w:t>
      </w:r>
      <w:r>
        <w:rPr>
          <w:rFonts w:ascii="Times New Roman" w:hAnsi="Times New Roman" w:cs="Times New Roman"/>
          <w:sz w:val="21"/>
          <w:szCs w:val="21"/>
        </w:rPr>
        <w:t xml:space="preserve"> </w:t>
      </w:r>
      <w:r w:rsidRPr="00882D46">
        <w:rPr>
          <w:rFonts w:ascii="Times New Roman" w:hAnsi="Times New Roman" w:cs="Times New Roman"/>
          <w:iCs/>
          <w:sz w:val="21"/>
          <w:szCs w:val="21"/>
          <w:lang w:val="en-US"/>
        </w:rPr>
        <w:t>[</w:t>
      </w:r>
      <w:r w:rsidRPr="00882D46">
        <w:rPr>
          <w:rFonts w:ascii="Times New Roman" w:hAnsi="Times New Roman" w:cs="Times New Roman"/>
          <w:iCs/>
          <w:sz w:val="21"/>
          <w:szCs w:val="21"/>
        </w:rPr>
        <w:t>Електронний</w:t>
      </w:r>
      <w:r w:rsidRPr="00882D46">
        <w:rPr>
          <w:rFonts w:ascii="Times New Roman" w:hAnsi="Times New Roman" w:cs="Times New Roman"/>
          <w:iCs/>
          <w:sz w:val="21"/>
          <w:szCs w:val="21"/>
          <w:lang w:val="en-US"/>
        </w:rPr>
        <w:t xml:space="preserve"> </w:t>
      </w:r>
      <w:r w:rsidRPr="00882D46">
        <w:rPr>
          <w:rFonts w:ascii="Times New Roman" w:hAnsi="Times New Roman" w:cs="Times New Roman"/>
          <w:iCs/>
          <w:sz w:val="21"/>
          <w:szCs w:val="21"/>
        </w:rPr>
        <w:t>ресурс</w:t>
      </w:r>
      <w:r w:rsidRPr="00882D46">
        <w:rPr>
          <w:rFonts w:ascii="Times New Roman" w:hAnsi="Times New Roman" w:cs="Times New Roman"/>
          <w:iCs/>
          <w:sz w:val="21"/>
          <w:szCs w:val="21"/>
          <w:lang w:val="en-US"/>
        </w:rPr>
        <w:t>]</w:t>
      </w:r>
      <w:r>
        <w:rPr>
          <w:rFonts w:ascii="Times New Roman" w:hAnsi="Times New Roman" w:cs="Times New Roman"/>
          <w:iCs/>
          <w:sz w:val="21"/>
          <w:szCs w:val="21"/>
        </w:rPr>
        <w:t xml:space="preserve"> </w:t>
      </w:r>
      <w:r>
        <w:rPr>
          <w:rFonts w:ascii="Times New Roman" w:hAnsi="Times New Roman" w:cs="Times New Roman"/>
          <w:sz w:val="21"/>
          <w:szCs w:val="21"/>
        </w:rPr>
        <w:t xml:space="preserve">/ </w:t>
      </w:r>
      <w:r>
        <w:rPr>
          <w:rFonts w:ascii="Times New Roman" w:hAnsi="Times New Roman" w:cs="Times New Roman"/>
          <w:sz w:val="21"/>
          <w:szCs w:val="21"/>
          <w:lang w:val="en-US"/>
        </w:rPr>
        <w:t>D.</w:t>
      </w:r>
      <w:r>
        <w:rPr>
          <w:rFonts w:ascii="Times New Roman" w:hAnsi="Times New Roman" w:cs="Times New Roman"/>
          <w:sz w:val="21"/>
          <w:szCs w:val="21"/>
        </w:rPr>
        <w:t xml:space="preserve"> </w:t>
      </w:r>
      <w:r>
        <w:rPr>
          <w:rFonts w:ascii="Times New Roman" w:hAnsi="Times New Roman" w:cs="Times New Roman"/>
          <w:sz w:val="21"/>
          <w:szCs w:val="21"/>
          <w:lang w:val="en-US"/>
        </w:rPr>
        <w:t xml:space="preserve">Butcher </w:t>
      </w:r>
      <w:r>
        <w:rPr>
          <w:rFonts w:ascii="Times New Roman" w:hAnsi="Times New Roman" w:cs="Times New Roman"/>
          <w:sz w:val="21"/>
          <w:szCs w:val="21"/>
        </w:rPr>
        <w:t>//</w:t>
      </w:r>
      <w:r w:rsidRPr="00882D46">
        <w:rPr>
          <w:rFonts w:ascii="Times New Roman" w:hAnsi="Times New Roman" w:cs="Times New Roman"/>
          <w:sz w:val="21"/>
          <w:szCs w:val="21"/>
          <w:lang w:val="en-US"/>
        </w:rPr>
        <w:t xml:space="preserve"> Industry Market Trends. </w:t>
      </w:r>
      <w:r>
        <w:rPr>
          <w:rFonts w:ascii="Times New Roman" w:hAnsi="Times New Roman" w:cs="Times New Roman"/>
          <w:sz w:val="21"/>
          <w:szCs w:val="21"/>
        </w:rPr>
        <w:t xml:space="preserve">– 2009. – </w:t>
      </w:r>
      <w:r w:rsidRPr="00882D46">
        <w:rPr>
          <w:rFonts w:ascii="Times New Roman" w:hAnsi="Times New Roman" w:cs="Times New Roman"/>
          <w:sz w:val="21"/>
          <w:szCs w:val="21"/>
          <w:lang w:val="en-US"/>
        </w:rPr>
        <w:t>M</w:t>
      </w:r>
      <w:r>
        <w:rPr>
          <w:rFonts w:ascii="Times New Roman" w:hAnsi="Times New Roman" w:cs="Times New Roman"/>
          <w:sz w:val="21"/>
          <w:szCs w:val="21"/>
          <w:lang w:val="en-US"/>
        </w:rPr>
        <w:t>arch 31</w:t>
      </w:r>
      <w:r w:rsidRPr="00882D46">
        <w:rPr>
          <w:rFonts w:ascii="Times New Roman" w:hAnsi="Times New Roman" w:cs="Times New Roman"/>
          <w:sz w:val="21"/>
          <w:szCs w:val="21"/>
        </w:rPr>
        <w:t>. – Режим</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 xml:space="preserve">доступу </w:t>
      </w:r>
      <w:r w:rsidRPr="00882D46">
        <w:rPr>
          <w:rFonts w:ascii="Times New Roman" w:hAnsi="Times New Roman" w:cs="Times New Roman"/>
          <w:sz w:val="21"/>
          <w:szCs w:val="21"/>
          <w:lang w:val="en-US"/>
        </w:rPr>
        <w:t>:</w:t>
      </w:r>
      <w:r w:rsidRPr="00882D46">
        <w:rPr>
          <w:rFonts w:ascii="Times New Roman" w:hAnsi="Times New Roman" w:cs="Times New Roman"/>
          <w:sz w:val="21"/>
          <w:szCs w:val="21"/>
        </w:rPr>
        <w:t xml:space="preserve"> </w:t>
      </w:r>
      <w:hyperlink r:id="rId111" w:history="1">
        <w:r w:rsidRPr="00882D46">
          <w:rPr>
            <w:rFonts w:ascii="Times New Roman" w:hAnsi="Times New Roman" w:cs="Times New Roman"/>
            <w:sz w:val="21"/>
            <w:szCs w:val="21"/>
            <w:lang w:val="en-US"/>
          </w:rPr>
          <w:t>http://news.thomasnet.com/IMT/archiv</w:t>
        </w:r>
        <w:r>
          <w:rPr>
            <w:rFonts w:ascii="Times New Roman" w:hAnsi="Times New Roman" w:cs="Times New Roman"/>
            <w:sz w:val="21"/>
            <w:szCs w:val="21"/>
            <w:lang w:val="en-US"/>
          </w:rPr>
          <w:t>es/2009/03/global-research-and-</w:t>
        </w:r>
        <w:r w:rsidRPr="00882D46">
          <w:rPr>
            <w:rFonts w:ascii="Times New Roman" w:hAnsi="Times New Roman" w:cs="Times New Roman"/>
            <w:sz w:val="21"/>
            <w:szCs w:val="21"/>
            <w:lang w:val="en-US"/>
          </w:rPr>
          <w:t>development-outlook-forecast-2009-investment-spending-trends.html</w:t>
        </w:r>
      </w:hyperlink>
      <w:bookmarkEnd w:id="315"/>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16" w:name="_Ref435186417"/>
      <w:r>
        <w:rPr>
          <w:rFonts w:ascii="Times New Roman" w:hAnsi="Times New Roman" w:cs="Times New Roman"/>
          <w:sz w:val="21"/>
          <w:szCs w:val="21"/>
          <w:lang w:val="en-US"/>
        </w:rPr>
        <w:t>Chaloff J.</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Managing Highly-Skilled Labour Migration</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 a Comparative Analysis of Migration Policies and Challenges in OECD countries</w:t>
      </w:r>
      <w:r w:rsidRPr="00882D46">
        <w:rPr>
          <w:rFonts w:ascii="Times New Roman" w:hAnsi="Times New Roman" w:cs="Times New Roman"/>
          <w:sz w:val="21"/>
          <w:szCs w:val="21"/>
        </w:rPr>
        <w:t>.</w:t>
      </w:r>
      <w:r w:rsidRPr="00882D46">
        <w:rPr>
          <w:rFonts w:ascii="Times New Roman" w:hAnsi="Times New Roman" w:cs="Times New Roman"/>
          <w:sz w:val="21"/>
          <w:szCs w:val="21"/>
          <w:lang w:val="en-US"/>
        </w:rPr>
        <w:t xml:space="preserve"> OECD Social, Employme</w:t>
      </w:r>
      <w:r>
        <w:rPr>
          <w:rFonts w:ascii="Times New Roman" w:hAnsi="Times New Roman" w:cs="Times New Roman"/>
          <w:sz w:val="21"/>
          <w:szCs w:val="21"/>
          <w:lang w:val="en-US"/>
        </w:rPr>
        <w:t>nt and Migration Working Papers</w:t>
      </w:r>
      <w:r>
        <w:rPr>
          <w:rFonts w:ascii="Times New Roman" w:hAnsi="Times New Roman" w:cs="Times New Roman"/>
          <w:sz w:val="21"/>
          <w:szCs w:val="21"/>
        </w:rPr>
        <w:t xml:space="preserve"> / </w:t>
      </w:r>
      <w:r w:rsidRPr="00882D46">
        <w:rPr>
          <w:rFonts w:ascii="Times New Roman" w:hAnsi="Times New Roman" w:cs="Times New Roman"/>
          <w:sz w:val="21"/>
          <w:szCs w:val="21"/>
          <w:lang w:val="en-US"/>
        </w:rPr>
        <w:t>J.</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Chaloff, G.</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Lemaitre</w:t>
      </w:r>
      <w:r>
        <w:rPr>
          <w:rFonts w:ascii="Times New Roman" w:hAnsi="Times New Roman" w:cs="Times New Roman"/>
          <w:sz w:val="21"/>
          <w:szCs w:val="21"/>
        </w:rPr>
        <w:t>. –</w:t>
      </w:r>
      <w:r w:rsidRPr="00882D46">
        <w:rPr>
          <w:rFonts w:ascii="Times New Roman" w:hAnsi="Times New Roman" w:cs="Times New Roman"/>
          <w:sz w:val="21"/>
          <w:szCs w:val="21"/>
          <w:lang w:val="en-US"/>
        </w:rPr>
        <w:t xml:space="preserve"> Paris, 2009. </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54 p</w:t>
      </w:r>
      <w:r w:rsidRPr="00882D46">
        <w:rPr>
          <w:rFonts w:ascii="Times New Roman" w:hAnsi="Times New Roman" w:cs="Times New Roman"/>
          <w:sz w:val="21"/>
          <w:szCs w:val="21"/>
        </w:rPr>
        <w:t>.</w:t>
      </w:r>
      <w:bookmarkEnd w:id="316"/>
    </w:p>
    <w:p w:rsidR="00B233DE" w:rsidRPr="00941627" w:rsidRDefault="00B233DE" w:rsidP="00B233DE">
      <w:pPr>
        <w:pStyle w:val="ad"/>
        <w:numPr>
          <w:ilvl w:val="0"/>
          <w:numId w:val="21"/>
        </w:numPr>
        <w:tabs>
          <w:tab w:val="num" w:pos="1080"/>
          <w:tab w:val="left" w:pos="1134"/>
          <w:tab w:val="num" w:pos="3102"/>
        </w:tabs>
        <w:ind w:left="0" w:firstLine="709"/>
        <w:jc w:val="both"/>
        <w:rPr>
          <w:rStyle w:val="HTML1"/>
          <w:rFonts w:ascii="Times New Roman" w:hAnsi="Times New Roman" w:cs="Times New Roman"/>
          <w:i w:val="0"/>
          <w:iCs w:val="0"/>
          <w:sz w:val="21"/>
          <w:szCs w:val="21"/>
        </w:rPr>
      </w:pPr>
      <w:bookmarkStart w:id="317" w:name="_Ref435182249"/>
      <w:r w:rsidRPr="00941627">
        <w:rPr>
          <w:rFonts w:ascii="Times New Roman" w:hAnsi="Times New Roman" w:cs="Times New Roman"/>
          <w:sz w:val="21"/>
          <w:szCs w:val="21"/>
          <w:lang w:val="en-GB"/>
        </w:rPr>
        <w:t>Chappell L.</w:t>
      </w:r>
      <w:r w:rsidRPr="00941627">
        <w:rPr>
          <w:rFonts w:ascii="Times New Roman" w:hAnsi="Times New Roman" w:cs="Times New Roman"/>
          <w:sz w:val="21"/>
          <w:szCs w:val="21"/>
        </w:rPr>
        <w:t xml:space="preserve"> </w:t>
      </w:r>
      <w:r w:rsidRPr="00941627">
        <w:rPr>
          <w:rFonts w:ascii="Times New Roman" w:hAnsi="Times New Roman" w:cs="Times New Roman"/>
          <w:sz w:val="21"/>
          <w:szCs w:val="21"/>
          <w:lang w:val="en-GB"/>
        </w:rPr>
        <w:t>Show Me the Money (and Opportunity)</w:t>
      </w:r>
      <w:r w:rsidRPr="00941627">
        <w:rPr>
          <w:rFonts w:ascii="Times New Roman" w:hAnsi="Times New Roman" w:cs="Times New Roman"/>
          <w:sz w:val="21"/>
          <w:szCs w:val="21"/>
        </w:rPr>
        <w:t xml:space="preserve"> </w:t>
      </w:r>
      <w:r w:rsidRPr="00941627">
        <w:rPr>
          <w:rFonts w:ascii="Times New Roman" w:hAnsi="Times New Roman" w:cs="Times New Roman"/>
          <w:sz w:val="21"/>
          <w:szCs w:val="21"/>
          <w:lang w:val="en-GB"/>
        </w:rPr>
        <w:t xml:space="preserve">: Why Skilled People Leave Home </w:t>
      </w:r>
      <w:r w:rsidRPr="00941627">
        <w:rPr>
          <w:rFonts w:ascii="Times New Roman" w:hAnsi="Times New Roman" w:cs="Times New Roman"/>
          <w:sz w:val="21"/>
          <w:szCs w:val="21"/>
        </w:rPr>
        <w:t>–</w:t>
      </w:r>
      <w:r w:rsidRPr="00941627">
        <w:rPr>
          <w:rFonts w:ascii="Times New Roman" w:hAnsi="Times New Roman" w:cs="Times New Roman"/>
          <w:sz w:val="21"/>
          <w:szCs w:val="21"/>
          <w:lang w:val="en-GB"/>
        </w:rPr>
        <w:t xml:space="preserve"> and Why They Sometimes Return</w:t>
      </w:r>
      <w:r w:rsidRPr="00941627">
        <w:rPr>
          <w:rFonts w:ascii="Times New Roman" w:hAnsi="Times New Roman" w:cs="Times New Roman"/>
          <w:sz w:val="21"/>
          <w:szCs w:val="21"/>
        </w:rPr>
        <w:t xml:space="preserve"> / </w:t>
      </w:r>
      <w:r w:rsidRPr="00941627">
        <w:rPr>
          <w:rFonts w:ascii="Times New Roman" w:hAnsi="Times New Roman" w:cs="Times New Roman"/>
          <w:sz w:val="21"/>
          <w:szCs w:val="21"/>
          <w:lang w:val="en-GB"/>
        </w:rPr>
        <w:t>L</w:t>
      </w:r>
      <w:r w:rsidRPr="00941627">
        <w:rPr>
          <w:rFonts w:ascii="Times New Roman" w:hAnsi="Times New Roman" w:cs="Times New Roman"/>
          <w:sz w:val="21"/>
          <w:szCs w:val="21"/>
        </w:rPr>
        <w:t>. </w:t>
      </w:r>
      <w:r w:rsidRPr="00941627">
        <w:rPr>
          <w:rFonts w:ascii="Times New Roman" w:hAnsi="Times New Roman" w:cs="Times New Roman"/>
          <w:sz w:val="21"/>
          <w:szCs w:val="21"/>
          <w:lang w:val="en-GB"/>
        </w:rPr>
        <w:t xml:space="preserve">Chappell, </w:t>
      </w:r>
      <w:r w:rsidRPr="00941627">
        <w:rPr>
          <w:rFonts w:ascii="Times New Roman" w:hAnsi="Times New Roman" w:cs="Times New Roman"/>
          <w:sz w:val="21"/>
          <w:szCs w:val="21"/>
        </w:rPr>
        <w:t xml:space="preserve">А. </w:t>
      </w:r>
      <w:r w:rsidRPr="00941627">
        <w:rPr>
          <w:rFonts w:ascii="Times New Roman" w:hAnsi="Times New Roman" w:cs="Times New Roman"/>
          <w:sz w:val="21"/>
          <w:szCs w:val="21"/>
          <w:lang w:val="en-GB"/>
        </w:rPr>
        <w:t xml:space="preserve">Glennie. </w:t>
      </w:r>
      <w:r w:rsidRPr="00941627">
        <w:rPr>
          <w:rFonts w:ascii="Times New Roman" w:hAnsi="Times New Roman" w:cs="Times New Roman"/>
          <w:sz w:val="21"/>
          <w:szCs w:val="21"/>
        </w:rPr>
        <w:t xml:space="preserve">– </w:t>
      </w:r>
      <w:r w:rsidRPr="00941627">
        <w:rPr>
          <w:rFonts w:ascii="Times New Roman" w:hAnsi="Times New Roman" w:cs="Times New Roman"/>
          <w:sz w:val="21"/>
          <w:szCs w:val="21"/>
          <w:lang w:val="en-GB"/>
        </w:rPr>
        <w:t>Institute for Public Policy Research, 2010</w:t>
      </w:r>
      <w:r>
        <w:rPr>
          <w:rFonts w:ascii="Times New Roman" w:hAnsi="Times New Roman" w:cs="Times New Roman"/>
          <w:sz w:val="21"/>
          <w:szCs w:val="21"/>
        </w:rPr>
        <w:t>. – 216 р.</w:t>
      </w:r>
      <w:bookmarkEnd w:id="317"/>
    </w:p>
    <w:p w:rsidR="00B233DE" w:rsidRPr="00656EF9"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318" w:name="_Ref435187128"/>
      <w:r w:rsidRPr="00882D46">
        <w:rPr>
          <w:rStyle w:val="HTML1"/>
          <w:rFonts w:ascii="Times New Roman" w:hAnsi="Times New Roman" w:cs="Times New Roman"/>
          <w:i w:val="0"/>
          <w:sz w:val="21"/>
          <w:szCs w:val="21"/>
          <w:lang w:val="en-US"/>
        </w:rPr>
        <w:t xml:space="preserve">Dumont </w:t>
      </w:r>
      <w:r>
        <w:rPr>
          <w:rStyle w:val="HTML1"/>
          <w:rFonts w:ascii="Times New Roman" w:hAnsi="Times New Roman" w:cs="Times New Roman"/>
          <w:i w:val="0"/>
          <w:sz w:val="21"/>
          <w:szCs w:val="21"/>
          <w:lang w:val="en-US"/>
        </w:rPr>
        <w:t>J</w:t>
      </w:r>
      <w:r>
        <w:rPr>
          <w:rStyle w:val="HTML1"/>
          <w:rFonts w:ascii="Times New Roman" w:hAnsi="Times New Roman" w:cs="Times New Roman"/>
          <w:i w:val="0"/>
          <w:sz w:val="21"/>
          <w:szCs w:val="21"/>
        </w:rPr>
        <w:t xml:space="preserve">. </w:t>
      </w:r>
      <w:r>
        <w:rPr>
          <w:rStyle w:val="HTML1"/>
          <w:rFonts w:ascii="Times New Roman" w:hAnsi="Times New Roman" w:cs="Times New Roman"/>
          <w:i w:val="0"/>
          <w:sz w:val="21"/>
          <w:szCs w:val="21"/>
          <w:lang w:val="en-US"/>
        </w:rPr>
        <w:t>C</w:t>
      </w:r>
      <w:r>
        <w:rPr>
          <w:rStyle w:val="HTML1"/>
          <w:rFonts w:ascii="Times New Roman" w:hAnsi="Times New Roman" w:cs="Times New Roman"/>
          <w:i w:val="0"/>
          <w:sz w:val="21"/>
          <w:szCs w:val="21"/>
        </w:rPr>
        <w:t>.</w:t>
      </w:r>
      <w:r w:rsidRPr="00882D46">
        <w:rPr>
          <w:rStyle w:val="HTML1"/>
          <w:rFonts w:ascii="Times New Roman" w:hAnsi="Times New Roman" w:cs="Times New Roman"/>
          <w:i w:val="0"/>
          <w:sz w:val="21"/>
          <w:szCs w:val="21"/>
          <w:lang w:val="en-US"/>
        </w:rPr>
        <w:t xml:space="preserve"> and Gilles Spielvogel. Return Migration</w:t>
      </w:r>
      <w:r>
        <w:rPr>
          <w:rStyle w:val="HTML1"/>
          <w:rFonts w:ascii="Times New Roman" w:hAnsi="Times New Roman" w:cs="Times New Roman"/>
          <w:i w:val="0"/>
          <w:sz w:val="21"/>
          <w:szCs w:val="21"/>
        </w:rPr>
        <w:t xml:space="preserve"> </w:t>
      </w:r>
      <w:r w:rsidRPr="00882D46">
        <w:rPr>
          <w:rStyle w:val="HTML1"/>
          <w:rFonts w:ascii="Times New Roman" w:hAnsi="Times New Roman" w:cs="Times New Roman"/>
          <w:i w:val="0"/>
          <w:sz w:val="21"/>
          <w:szCs w:val="21"/>
          <w:lang w:val="en-US"/>
        </w:rPr>
        <w:t>: A New Perspective</w:t>
      </w:r>
      <w:r>
        <w:rPr>
          <w:rStyle w:val="HTML1"/>
          <w:rFonts w:ascii="Times New Roman" w:hAnsi="Times New Roman" w:cs="Times New Roman"/>
          <w:i w:val="0"/>
          <w:sz w:val="21"/>
          <w:szCs w:val="21"/>
        </w:rPr>
        <w:t xml:space="preserve"> / </w:t>
      </w:r>
      <w:r>
        <w:rPr>
          <w:rStyle w:val="HTML1"/>
          <w:rFonts w:ascii="Times New Roman" w:hAnsi="Times New Roman" w:cs="Times New Roman"/>
          <w:i w:val="0"/>
          <w:sz w:val="21"/>
          <w:szCs w:val="21"/>
          <w:lang w:val="en-US"/>
        </w:rPr>
        <w:t>J</w:t>
      </w:r>
      <w:r>
        <w:rPr>
          <w:rStyle w:val="HTML1"/>
          <w:rFonts w:ascii="Times New Roman" w:hAnsi="Times New Roman" w:cs="Times New Roman"/>
          <w:i w:val="0"/>
          <w:sz w:val="21"/>
          <w:szCs w:val="21"/>
        </w:rPr>
        <w:t xml:space="preserve">. </w:t>
      </w:r>
      <w:r>
        <w:rPr>
          <w:rStyle w:val="HTML1"/>
          <w:rFonts w:ascii="Times New Roman" w:hAnsi="Times New Roman" w:cs="Times New Roman"/>
          <w:i w:val="0"/>
          <w:sz w:val="21"/>
          <w:szCs w:val="21"/>
          <w:lang w:val="en-US"/>
        </w:rPr>
        <w:t>C</w:t>
      </w:r>
      <w:r>
        <w:rPr>
          <w:rStyle w:val="HTML1"/>
          <w:rFonts w:ascii="Times New Roman" w:hAnsi="Times New Roman" w:cs="Times New Roman"/>
          <w:i w:val="0"/>
          <w:sz w:val="21"/>
          <w:szCs w:val="21"/>
        </w:rPr>
        <w:t xml:space="preserve">. </w:t>
      </w:r>
      <w:r w:rsidRPr="00882D46">
        <w:rPr>
          <w:rStyle w:val="HTML1"/>
          <w:rFonts w:ascii="Times New Roman" w:hAnsi="Times New Roman" w:cs="Times New Roman"/>
          <w:i w:val="0"/>
          <w:sz w:val="21"/>
          <w:szCs w:val="21"/>
          <w:lang w:val="en-US"/>
        </w:rPr>
        <w:t>Dumont</w:t>
      </w:r>
      <w:r>
        <w:rPr>
          <w:rStyle w:val="HTML1"/>
          <w:rFonts w:ascii="Times New Roman" w:hAnsi="Times New Roman" w:cs="Times New Roman"/>
          <w:i w:val="0"/>
          <w:sz w:val="21"/>
          <w:szCs w:val="21"/>
        </w:rPr>
        <w:t xml:space="preserve">, </w:t>
      </w:r>
      <w:r>
        <w:rPr>
          <w:rStyle w:val="HTML1"/>
          <w:rFonts w:ascii="Times New Roman" w:hAnsi="Times New Roman" w:cs="Times New Roman"/>
          <w:i w:val="0"/>
          <w:sz w:val="21"/>
          <w:szCs w:val="21"/>
          <w:lang w:val="en-US"/>
        </w:rPr>
        <w:t>G</w:t>
      </w:r>
      <w:r>
        <w:rPr>
          <w:rStyle w:val="HTML1"/>
          <w:rFonts w:ascii="Times New Roman" w:hAnsi="Times New Roman" w:cs="Times New Roman"/>
          <w:i w:val="0"/>
          <w:sz w:val="21"/>
          <w:szCs w:val="21"/>
        </w:rPr>
        <w:t>.</w:t>
      </w:r>
      <w:r w:rsidRPr="00882D46">
        <w:rPr>
          <w:rStyle w:val="HTML1"/>
          <w:rFonts w:ascii="Times New Roman" w:hAnsi="Times New Roman" w:cs="Times New Roman"/>
          <w:i w:val="0"/>
          <w:sz w:val="21"/>
          <w:szCs w:val="21"/>
          <w:lang w:val="en-US"/>
        </w:rPr>
        <w:t xml:space="preserve"> Spielvogel</w:t>
      </w:r>
      <w:r>
        <w:rPr>
          <w:rStyle w:val="HTML1"/>
          <w:rFonts w:ascii="Times New Roman" w:hAnsi="Times New Roman" w:cs="Times New Roman"/>
          <w:i w:val="0"/>
          <w:sz w:val="21"/>
          <w:szCs w:val="21"/>
        </w:rPr>
        <w:t>. –</w:t>
      </w:r>
      <w:r w:rsidRPr="00882D46">
        <w:rPr>
          <w:rStyle w:val="HTML1"/>
          <w:rFonts w:ascii="Times New Roman" w:hAnsi="Times New Roman" w:cs="Times New Roman"/>
          <w:i w:val="0"/>
          <w:sz w:val="21"/>
          <w:szCs w:val="21"/>
          <w:lang w:val="en-US"/>
        </w:rPr>
        <w:t xml:space="preserve"> International</w:t>
      </w:r>
      <w:r w:rsidRPr="00882D46">
        <w:rPr>
          <w:rStyle w:val="HTML1"/>
          <w:rFonts w:ascii="Times New Roman" w:hAnsi="Times New Roman" w:cs="Times New Roman"/>
          <w:i w:val="0"/>
          <w:sz w:val="21"/>
          <w:szCs w:val="21"/>
        </w:rPr>
        <w:t xml:space="preserve"> </w:t>
      </w:r>
      <w:r w:rsidRPr="00882D46">
        <w:rPr>
          <w:rStyle w:val="HTML1"/>
          <w:rFonts w:ascii="Times New Roman" w:hAnsi="Times New Roman" w:cs="Times New Roman"/>
          <w:i w:val="0"/>
          <w:sz w:val="21"/>
          <w:szCs w:val="21"/>
          <w:lang w:val="en-US"/>
        </w:rPr>
        <w:t>Migration</w:t>
      </w:r>
      <w:r w:rsidRPr="00882D46">
        <w:rPr>
          <w:rStyle w:val="HTML1"/>
          <w:rFonts w:ascii="Times New Roman" w:hAnsi="Times New Roman" w:cs="Times New Roman"/>
          <w:i w:val="0"/>
          <w:sz w:val="21"/>
          <w:szCs w:val="21"/>
        </w:rPr>
        <w:t xml:space="preserve"> </w:t>
      </w:r>
      <w:r w:rsidRPr="00882D46">
        <w:rPr>
          <w:rStyle w:val="HTML1"/>
          <w:rFonts w:ascii="Times New Roman" w:hAnsi="Times New Roman" w:cs="Times New Roman"/>
          <w:i w:val="0"/>
          <w:sz w:val="21"/>
          <w:szCs w:val="21"/>
          <w:lang w:val="en-US"/>
        </w:rPr>
        <w:t>Outlook</w:t>
      </w:r>
      <w:r w:rsidRPr="00882D46">
        <w:rPr>
          <w:rStyle w:val="HTML1"/>
          <w:rFonts w:ascii="Times New Roman" w:hAnsi="Times New Roman" w:cs="Times New Roman"/>
          <w:i w:val="0"/>
          <w:sz w:val="21"/>
          <w:szCs w:val="21"/>
        </w:rPr>
        <w:t xml:space="preserve"> </w:t>
      </w:r>
      <w:r w:rsidRPr="00882D46">
        <w:rPr>
          <w:rStyle w:val="HTML1"/>
          <w:rFonts w:ascii="Times New Roman" w:hAnsi="Times New Roman" w:cs="Times New Roman"/>
          <w:i w:val="0"/>
          <w:sz w:val="21"/>
          <w:szCs w:val="21"/>
          <w:lang w:val="en-US"/>
        </w:rPr>
        <w:t>SOPEMI</w:t>
      </w:r>
      <w:r>
        <w:rPr>
          <w:rStyle w:val="HTML1"/>
          <w:rFonts w:ascii="Times New Roman" w:hAnsi="Times New Roman" w:cs="Times New Roman"/>
          <w:i w:val="0"/>
          <w:sz w:val="21"/>
          <w:szCs w:val="21"/>
        </w:rPr>
        <w:t xml:space="preserve">, </w:t>
      </w:r>
      <w:r w:rsidRPr="00882D46">
        <w:rPr>
          <w:rStyle w:val="HTML1"/>
          <w:rFonts w:ascii="Times New Roman" w:hAnsi="Times New Roman" w:cs="Times New Roman"/>
          <w:i w:val="0"/>
          <w:sz w:val="21"/>
          <w:szCs w:val="21"/>
        </w:rPr>
        <w:t>2008</w:t>
      </w:r>
      <w:r>
        <w:rPr>
          <w:rStyle w:val="HTML1"/>
          <w:rFonts w:ascii="Times New Roman" w:hAnsi="Times New Roman" w:cs="Times New Roman"/>
          <w:i w:val="0"/>
          <w:sz w:val="21"/>
          <w:szCs w:val="21"/>
        </w:rPr>
        <w:t>. –</w:t>
      </w:r>
      <w:r w:rsidRPr="00882D46">
        <w:rPr>
          <w:rStyle w:val="HTML1"/>
          <w:rFonts w:ascii="Times New Roman" w:hAnsi="Times New Roman" w:cs="Times New Roman"/>
          <w:i w:val="0"/>
          <w:sz w:val="21"/>
          <w:szCs w:val="21"/>
          <w:lang w:val="en-US"/>
        </w:rPr>
        <w:t xml:space="preserve"> 222 p</w:t>
      </w:r>
      <w:r w:rsidRPr="00882D46">
        <w:rPr>
          <w:rStyle w:val="HTML1"/>
          <w:rFonts w:ascii="Times New Roman" w:hAnsi="Times New Roman" w:cs="Times New Roman"/>
          <w:i w:val="0"/>
          <w:sz w:val="21"/>
          <w:szCs w:val="21"/>
        </w:rPr>
        <w:t>.</w:t>
      </w:r>
      <w:bookmarkEnd w:id="318"/>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19" w:name="_Ref435187200"/>
      <w:r>
        <w:rPr>
          <w:rFonts w:ascii="Times New Roman" w:hAnsi="Times New Roman" w:cs="Times New Roman"/>
          <w:sz w:val="21"/>
          <w:szCs w:val="21"/>
          <w:lang w:val="en-US"/>
        </w:rPr>
        <w:t>Ellerman D</w:t>
      </w:r>
      <w:r w:rsidRPr="00882D46">
        <w:rPr>
          <w:rFonts w:ascii="Times New Roman" w:hAnsi="Times New Roman" w:cs="Times New Roman"/>
          <w:sz w:val="21"/>
          <w:szCs w:val="21"/>
          <w:lang w:val="en-US"/>
        </w:rPr>
        <w:t>.</w:t>
      </w:r>
      <w:r w:rsidRPr="00882D46">
        <w:rPr>
          <w:rFonts w:ascii="Times New Roman" w:hAnsi="Times New Roman" w:cs="Times New Roman"/>
          <w:sz w:val="21"/>
          <w:szCs w:val="21"/>
        </w:rPr>
        <w:t xml:space="preserve"> </w:t>
      </w:r>
      <w:r w:rsidRPr="00882D46">
        <w:rPr>
          <w:rFonts w:ascii="Times New Roman" w:hAnsi="Times New Roman" w:cs="Times New Roman"/>
          <w:sz w:val="21"/>
          <w:szCs w:val="21"/>
          <w:lang w:val="en-US"/>
        </w:rPr>
        <w:t>Transforming the Old into a Foundation for the New</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 Less</w:t>
      </w:r>
      <w:r>
        <w:rPr>
          <w:rFonts w:ascii="Times New Roman" w:hAnsi="Times New Roman" w:cs="Times New Roman"/>
          <w:sz w:val="21"/>
          <w:szCs w:val="21"/>
          <w:lang w:val="en-US"/>
        </w:rPr>
        <w:t>ons of the Moldova ARIA Project</w:t>
      </w:r>
      <w:r>
        <w:rPr>
          <w:rFonts w:ascii="Times New Roman" w:hAnsi="Times New Roman" w:cs="Times New Roman"/>
          <w:sz w:val="21"/>
          <w:szCs w:val="21"/>
        </w:rPr>
        <w:t xml:space="preserve"> / </w:t>
      </w:r>
      <w:r w:rsidRPr="00882D46">
        <w:rPr>
          <w:rFonts w:ascii="Times New Roman" w:hAnsi="Times New Roman" w:cs="Times New Roman"/>
          <w:sz w:val="21"/>
          <w:szCs w:val="21"/>
          <w:lang w:val="en-US"/>
        </w:rPr>
        <w:t>D.</w:t>
      </w:r>
      <w:r>
        <w:rPr>
          <w:rFonts w:ascii="Times New Roman" w:hAnsi="Times New Roman" w:cs="Times New Roman"/>
          <w:sz w:val="21"/>
          <w:szCs w:val="21"/>
        </w:rPr>
        <w:t> </w:t>
      </w:r>
      <w:r w:rsidRPr="00882D46">
        <w:rPr>
          <w:rFonts w:ascii="Times New Roman" w:hAnsi="Times New Roman" w:cs="Times New Roman"/>
          <w:sz w:val="21"/>
          <w:szCs w:val="21"/>
          <w:lang w:val="en-US"/>
        </w:rPr>
        <w:t>Ellerman</w:t>
      </w:r>
      <w:r w:rsidRPr="00882D46">
        <w:rPr>
          <w:rFonts w:ascii="Times New Roman" w:hAnsi="Times New Roman" w:cs="Times New Roman"/>
          <w:sz w:val="21"/>
          <w:szCs w:val="21"/>
        </w:rPr>
        <w:t>,</w:t>
      </w:r>
      <w:r w:rsidRPr="00882D46">
        <w:rPr>
          <w:rFonts w:ascii="Times New Roman" w:hAnsi="Times New Roman" w:cs="Times New Roman"/>
          <w:sz w:val="21"/>
          <w:szCs w:val="21"/>
          <w:lang w:val="en-US"/>
        </w:rPr>
        <w:t xml:space="preserve"> V.</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Kreacic</w:t>
      </w:r>
      <w:r>
        <w:rPr>
          <w:rFonts w:ascii="Times New Roman" w:hAnsi="Times New Roman" w:cs="Times New Roman"/>
          <w:sz w:val="21"/>
          <w:szCs w:val="21"/>
        </w:rPr>
        <w:t>.</w:t>
      </w:r>
      <w:r w:rsidRPr="00882D46">
        <w:rPr>
          <w:rFonts w:ascii="Times New Roman" w:hAnsi="Times New Roman" w:cs="Times New Roman"/>
          <w:sz w:val="21"/>
          <w:szCs w:val="21"/>
        </w:rPr>
        <w:t xml:space="preserve"> </w:t>
      </w:r>
      <w:r>
        <w:rPr>
          <w:rFonts w:ascii="Times New Roman" w:hAnsi="Times New Roman" w:cs="Times New Roman"/>
          <w:sz w:val="21"/>
          <w:szCs w:val="21"/>
        </w:rPr>
        <w:t>–</w:t>
      </w:r>
      <w:r w:rsidRPr="00882D46">
        <w:rPr>
          <w:rFonts w:ascii="Times New Roman" w:hAnsi="Times New Roman" w:cs="Times New Roman"/>
          <w:sz w:val="21"/>
          <w:szCs w:val="21"/>
          <w:lang w:val="en-US"/>
        </w:rPr>
        <w:t xml:space="preserve"> W.</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 WB, 2002</w:t>
      </w:r>
      <w:r w:rsidRPr="00882D46">
        <w:rPr>
          <w:rFonts w:ascii="Times New Roman" w:hAnsi="Times New Roman" w:cs="Times New Roman"/>
          <w:sz w:val="21"/>
          <w:szCs w:val="21"/>
        </w:rPr>
        <w:t>.</w:t>
      </w:r>
      <w:r>
        <w:rPr>
          <w:rFonts w:ascii="Times New Roman" w:hAnsi="Times New Roman" w:cs="Times New Roman"/>
          <w:sz w:val="21"/>
          <w:szCs w:val="21"/>
        </w:rPr>
        <w:t xml:space="preserve"> – 230 р.</w:t>
      </w:r>
      <w:bookmarkEnd w:id="319"/>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320" w:name="_Ref435182624"/>
      <w:r w:rsidRPr="00882D46">
        <w:rPr>
          <w:rFonts w:ascii="Times New Roman" w:hAnsi="Times New Roman" w:cs="Times New Roman"/>
          <w:sz w:val="21"/>
          <w:szCs w:val="21"/>
          <w:lang w:val="en-US"/>
        </w:rPr>
        <w:t>Faist T. The Volume and Dynamics of International Migration and Ttransnational Social Space</w:t>
      </w:r>
      <w:r>
        <w:rPr>
          <w:rFonts w:ascii="Times New Roman" w:hAnsi="Times New Roman" w:cs="Times New Roman"/>
          <w:sz w:val="21"/>
          <w:szCs w:val="21"/>
        </w:rPr>
        <w:t xml:space="preserve"> /</w:t>
      </w:r>
      <w:r w:rsidRPr="00800902">
        <w:rPr>
          <w:rFonts w:ascii="Times New Roman" w:hAnsi="Times New Roman" w:cs="Times New Roman"/>
          <w:sz w:val="21"/>
          <w:szCs w:val="21"/>
          <w:lang w:val="en-US"/>
        </w:rPr>
        <w:t xml:space="preserve"> </w:t>
      </w:r>
      <w:r w:rsidRPr="00882D46">
        <w:rPr>
          <w:rFonts w:ascii="Times New Roman" w:hAnsi="Times New Roman" w:cs="Times New Roman"/>
          <w:sz w:val="21"/>
          <w:szCs w:val="21"/>
          <w:lang w:val="en-US"/>
        </w:rPr>
        <w:t>T.</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Faist</w:t>
      </w:r>
      <w:r>
        <w:rPr>
          <w:rFonts w:ascii="Times New Roman" w:hAnsi="Times New Roman" w:cs="Times New Roman"/>
          <w:sz w:val="21"/>
          <w:szCs w:val="21"/>
        </w:rPr>
        <w:t>. –</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 xml:space="preserve">New York </w:t>
      </w:r>
      <w:r>
        <w:rPr>
          <w:rFonts w:ascii="Times New Roman" w:hAnsi="Times New Roman" w:cs="Times New Roman"/>
          <w:sz w:val="21"/>
          <w:szCs w:val="21"/>
        </w:rPr>
        <w:t xml:space="preserve">: </w:t>
      </w:r>
      <w:r w:rsidRPr="00882D46">
        <w:rPr>
          <w:rFonts w:ascii="Times New Roman" w:hAnsi="Times New Roman" w:cs="Times New Roman"/>
          <w:sz w:val="21"/>
          <w:szCs w:val="21"/>
        </w:rPr>
        <w:t xml:space="preserve">Oxford University Press, 2000. </w:t>
      </w:r>
      <w:r>
        <w:rPr>
          <w:rFonts w:ascii="Times New Roman" w:hAnsi="Times New Roman" w:cs="Times New Roman"/>
          <w:sz w:val="21"/>
          <w:szCs w:val="21"/>
        </w:rPr>
        <w:t xml:space="preserve">– </w:t>
      </w:r>
      <w:r w:rsidRPr="00882D46">
        <w:rPr>
          <w:rFonts w:ascii="Times New Roman" w:hAnsi="Times New Roman" w:cs="Times New Roman"/>
          <w:sz w:val="21"/>
          <w:szCs w:val="21"/>
        </w:rPr>
        <w:t>380 p.</w:t>
      </w:r>
      <w:bookmarkEnd w:id="320"/>
    </w:p>
    <w:p w:rsidR="00B233DE" w:rsidRPr="00D358CF" w:rsidRDefault="00B233DE" w:rsidP="00B233DE">
      <w:pPr>
        <w:pStyle w:val="ad"/>
        <w:numPr>
          <w:ilvl w:val="0"/>
          <w:numId w:val="21"/>
        </w:numPr>
        <w:tabs>
          <w:tab w:val="num" w:pos="1080"/>
          <w:tab w:val="left" w:pos="1134"/>
          <w:tab w:val="num" w:pos="3102"/>
        </w:tabs>
        <w:ind w:left="0" w:firstLine="709"/>
        <w:jc w:val="both"/>
        <w:rPr>
          <w:rStyle w:val="HTML1"/>
          <w:rFonts w:ascii="Times New Roman" w:hAnsi="Times New Roman" w:cs="Times New Roman"/>
          <w:i w:val="0"/>
          <w:iCs w:val="0"/>
          <w:sz w:val="21"/>
          <w:szCs w:val="21"/>
          <w:lang w:val="en-US"/>
        </w:rPr>
      </w:pPr>
      <w:bookmarkStart w:id="321" w:name="_Ref435188136"/>
      <w:r w:rsidRPr="00D358CF">
        <w:rPr>
          <w:rFonts w:ascii="Times New Roman" w:hAnsi="Times New Roman" w:cs="Times New Roman"/>
          <w:sz w:val="21"/>
          <w:szCs w:val="21"/>
          <w:lang w:val="en-US"/>
        </w:rPr>
        <w:t>Fargu</w:t>
      </w:r>
      <w:r>
        <w:rPr>
          <w:rFonts w:ascii="Times New Roman" w:hAnsi="Times New Roman" w:cs="Times New Roman"/>
          <w:sz w:val="21"/>
          <w:szCs w:val="21"/>
          <w:lang w:val="en-US"/>
        </w:rPr>
        <w:t>es P.</w:t>
      </w:r>
      <w:r>
        <w:rPr>
          <w:rFonts w:ascii="Times New Roman" w:hAnsi="Times New Roman" w:cs="Times New Roman"/>
          <w:sz w:val="21"/>
          <w:szCs w:val="21"/>
        </w:rPr>
        <w:t xml:space="preserve"> </w:t>
      </w:r>
      <w:r w:rsidRPr="00D358CF">
        <w:rPr>
          <w:rStyle w:val="z3988"/>
          <w:rFonts w:ascii="Times New Roman" w:hAnsi="Times New Roman" w:cs="Times New Roman"/>
          <w:sz w:val="21"/>
          <w:szCs w:val="21"/>
          <w:lang w:val="en-US"/>
        </w:rPr>
        <w:t>Shared Challenges and Opportunities for EU and US Immigration Policymakers</w:t>
      </w:r>
      <w:r w:rsidRPr="00D358CF">
        <w:rPr>
          <w:rStyle w:val="z3988"/>
          <w:rFonts w:ascii="Times New Roman" w:hAnsi="Times New Roman" w:cs="Times New Roman"/>
          <w:sz w:val="21"/>
          <w:szCs w:val="21"/>
        </w:rPr>
        <w:t xml:space="preserve"> / </w:t>
      </w:r>
      <w:r w:rsidRPr="00D358CF">
        <w:rPr>
          <w:rFonts w:ascii="Times New Roman" w:hAnsi="Times New Roman" w:cs="Times New Roman"/>
          <w:sz w:val="21"/>
          <w:szCs w:val="21"/>
          <w:lang w:val="en-US"/>
        </w:rPr>
        <w:t>P.</w:t>
      </w:r>
      <w:r w:rsidRPr="00D358CF">
        <w:rPr>
          <w:rFonts w:ascii="Times New Roman" w:hAnsi="Times New Roman" w:cs="Times New Roman"/>
          <w:sz w:val="21"/>
          <w:szCs w:val="21"/>
        </w:rPr>
        <w:t xml:space="preserve"> </w:t>
      </w:r>
      <w:r w:rsidRPr="00D358CF">
        <w:rPr>
          <w:rFonts w:ascii="Times New Roman" w:hAnsi="Times New Roman" w:cs="Times New Roman"/>
          <w:sz w:val="21"/>
          <w:szCs w:val="21"/>
          <w:lang w:val="en-US"/>
        </w:rPr>
        <w:t>Fargues, D</w:t>
      </w:r>
      <w:r w:rsidRPr="00D358CF">
        <w:rPr>
          <w:rFonts w:ascii="Times New Roman" w:hAnsi="Times New Roman" w:cs="Times New Roman"/>
          <w:sz w:val="21"/>
          <w:szCs w:val="21"/>
        </w:rPr>
        <w:t xml:space="preserve">. </w:t>
      </w:r>
      <w:r w:rsidRPr="00D358CF">
        <w:rPr>
          <w:rFonts w:ascii="Times New Roman" w:hAnsi="Times New Roman" w:cs="Times New Roman"/>
          <w:sz w:val="21"/>
          <w:szCs w:val="21"/>
          <w:lang w:val="en-US"/>
        </w:rPr>
        <w:t>Papademetriou</w:t>
      </w:r>
      <w:r w:rsidRPr="00D358CF">
        <w:rPr>
          <w:rFonts w:ascii="Times New Roman" w:hAnsi="Times New Roman" w:cs="Times New Roman"/>
          <w:sz w:val="21"/>
          <w:szCs w:val="21"/>
        </w:rPr>
        <w:t>,</w:t>
      </w:r>
      <w:r w:rsidRPr="00D358CF">
        <w:rPr>
          <w:rFonts w:ascii="Times New Roman" w:hAnsi="Times New Roman" w:cs="Times New Roman"/>
          <w:sz w:val="21"/>
          <w:szCs w:val="21"/>
          <w:lang w:val="en-US"/>
        </w:rPr>
        <w:t xml:space="preserve"> G</w:t>
      </w:r>
      <w:r w:rsidRPr="00D358CF">
        <w:rPr>
          <w:rFonts w:ascii="Times New Roman" w:hAnsi="Times New Roman" w:cs="Times New Roman"/>
          <w:sz w:val="21"/>
          <w:szCs w:val="21"/>
        </w:rPr>
        <w:t>.</w:t>
      </w:r>
      <w:r>
        <w:rPr>
          <w:rFonts w:ascii="Times New Roman" w:hAnsi="Times New Roman" w:cs="Times New Roman"/>
          <w:sz w:val="21"/>
          <w:szCs w:val="21"/>
        </w:rPr>
        <w:t> </w:t>
      </w:r>
      <w:r w:rsidRPr="00D358CF">
        <w:rPr>
          <w:rFonts w:ascii="Times New Roman" w:hAnsi="Times New Roman" w:cs="Times New Roman"/>
          <w:sz w:val="21"/>
          <w:szCs w:val="21"/>
          <w:lang w:val="en-US"/>
        </w:rPr>
        <w:t>Salinary</w:t>
      </w:r>
      <w:r w:rsidRPr="00D358CF">
        <w:rPr>
          <w:rFonts w:ascii="Times New Roman" w:hAnsi="Times New Roman" w:cs="Times New Roman"/>
          <w:sz w:val="21"/>
          <w:szCs w:val="21"/>
        </w:rPr>
        <w:t>,</w:t>
      </w:r>
      <w:r w:rsidRPr="00D358CF">
        <w:rPr>
          <w:rFonts w:ascii="Times New Roman" w:hAnsi="Times New Roman" w:cs="Times New Roman"/>
          <w:sz w:val="21"/>
          <w:szCs w:val="21"/>
          <w:lang w:val="en-US"/>
        </w:rPr>
        <w:t xml:space="preserve"> M.</w:t>
      </w:r>
      <w:r>
        <w:rPr>
          <w:rFonts w:ascii="Times New Roman" w:hAnsi="Times New Roman" w:cs="Times New Roman"/>
          <w:sz w:val="21"/>
          <w:szCs w:val="21"/>
        </w:rPr>
        <w:t xml:space="preserve"> </w:t>
      </w:r>
      <w:r w:rsidRPr="00D358CF">
        <w:rPr>
          <w:rFonts w:ascii="Times New Roman" w:hAnsi="Times New Roman" w:cs="Times New Roman"/>
          <w:sz w:val="21"/>
          <w:szCs w:val="21"/>
          <w:lang w:val="en-US"/>
        </w:rPr>
        <w:t>Sumption</w:t>
      </w:r>
      <w:r w:rsidRPr="00D358CF">
        <w:rPr>
          <w:rFonts w:ascii="Times New Roman" w:hAnsi="Times New Roman" w:cs="Times New Roman"/>
          <w:sz w:val="21"/>
          <w:szCs w:val="21"/>
        </w:rPr>
        <w:t>. –</w:t>
      </w:r>
      <w:r w:rsidRPr="00D358CF">
        <w:rPr>
          <w:rFonts w:ascii="Times New Roman" w:hAnsi="Times New Roman" w:cs="Times New Roman"/>
          <w:sz w:val="21"/>
          <w:szCs w:val="21"/>
          <w:lang w:val="en-US"/>
        </w:rPr>
        <w:t xml:space="preserve"> Florence</w:t>
      </w:r>
      <w:r w:rsidRPr="00D358CF">
        <w:rPr>
          <w:rFonts w:ascii="Times New Roman" w:hAnsi="Times New Roman" w:cs="Times New Roman"/>
          <w:sz w:val="21"/>
          <w:szCs w:val="21"/>
        </w:rPr>
        <w:t xml:space="preserve"> :</w:t>
      </w:r>
      <w:r w:rsidRPr="00D358CF">
        <w:rPr>
          <w:rFonts w:ascii="Times New Roman" w:hAnsi="Times New Roman" w:cs="Times New Roman"/>
          <w:sz w:val="21"/>
          <w:szCs w:val="21"/>
          <w:lang w:val="en-US"/>
        </w:rPr>
        <w:t xml:space="preserve"> European University Institute</w:t>
      </w:r>
      <w:r w:rsidRPr="00D358CF">
        <w:rPr>
          <w:rFonts w:ascii="Times New Roman" w:hAnsi="Times New Roman" w:cs="Times New Roman"/>
          <w:sz w:val="21"/>
          <w:szCs w:val="21"/>
        </w:rPr>
        <w:t xml:space="preserve"> ;</w:t>
      </w:r>
      <w:r w:rsidRPr="00D358CF">
        <w:rPr>
          <w:rFonts w:ascii="Times New Roman" w:hAnsi="Times New Roman" w:cs="Times New Roman"/>
          <w:sz w:val="21"/>
          <w:szCs w:val="21"/>
          <w:lang w:val="en-US"/>
        </w:rPr>
        <w:t xml:space="preserve"> Washington</w:t>
      </w:r>
      <w:r w:rsidRPr="00D358CF">
        <w:rPr>
          <w:rFonts w:ascii="Times New Roman" w:hAnsi="Times New Roman" w:cs="Times New Roman"/>
          <w:sz w:val="21"/>
          <w:szCs w:val="21"/>
        </w:rPr>
        <w:t xml:space="preserve"> :</w:t>
      </w:r>
      <w:r w:rsidRPr="00D358CF">
        <w:rPr>
          <w:rFonts w:ascii="Times New Roman" w:hAnsi="Times New Roman" w:cs="Times New Roman"/>
          <w:sz w:val="21"/>
          <w:szCs w:val="21"/>
          <w:lang w:val="en-US"/>
        </w:rPr>
        <w:t xml:space="preserve"> Migration Policy Institute, 2011</w:t>
      </w:r>
      <w:r>
        <w:rPr>
          <w:rFonts w:ascii="Times New Roman" w:hAnsi="Times New Roman" w:cs="Times New Roman"/>
          <w:sz w:val="21"/>
          <w:szCs w:val="21"/>
        </w:rPr>
        <w:t>. – 452 р.</w:t>
      </w:r>
      <w:bookmarkEnd w:id="321"/>
    </w:p>
    <w:p w:rsidR="00B233DE" w:rsidRPr="00D358CF" w:rsidRDefault="00B233DE" w:rsidP="00B233DE">
      <w:pPr>
        <w:pStyle w:val="ad"/>
        <w:numPr>
          <w:ilvl w:val="0"/>
          <w:numId w:val="21"/>
        </w:numPr>
        <w:tabs>
          <w:tab w:val="num" w:pos="1080"/>
          <w:tab w:val="left" w:pos="1134"/>
          <w:tab w:val="num" w:pos="3102"/>
        </w:tabs>
        <w:ind w:left="0" w:firstLine="709"/>
        <w:jc w:val="both"/>
        <w:rPr>
          <w:rStyle w:val="HTML1"/>
          <w:rFonts w:ascii="Times New Roman" w:hAnsi="Times New Roman" w:cs="Times New Roman"/>
          <w:i w:val="0"/>
          <w:iCs w:val="0"/>
          <w:sz w:val="21"/>
          <w:szCs w:val="21"/>
          <w:lang w:val="en-US"/>
        </w:rPr>
      </w:pPr>
      <w:bookmarkStart w:id="322" w:name="_Ref435187438"/>
      <w:r w:rsidRPr="00D358CF">
        <w:rPr>
          <w:rFonts w:ascii="Times New Roman" w:hAnsi="Times New Roman" w:cs="Times New Roman"/>
          <w:bCs/>
          <w:sz w:val="21"/>
          <w:szCs w:val="21"/>
          <w:lang w:val="en-US"/>
        </w:rPr>
        <w:t>Gallup World Poll</w:t>
      </w:r>
      <w:r>
        <w:rPr>
          <w:rFonts w:ascii="Times New Roman" w:hAnsi="Times New Roman" w:cs="Times New Roman"/>
          <w:bCs/>
          <w:sz w:val="21"/>
          <w:szCs w:val="21"/>
        </w:rPr>
        <w:t xml:space="preserve"> </w:t>
      </w:r>
      <w:r w:rsidRPr="00D358CF">
        <w:rPr>
          <w:rFonts w:ascii="Times New Roman" w:hAnsi="Times New Roman" w:cs="Times New Roman"/>
          <w:bCs/>
          <w:sz w:val="21"/>
          <w:szCs w:val="21"/>
          <w:lang w:val="en-US"/>
        </w:rPr>
        <w:t xml:space="preserve">: </w:t>
      </w:r>
      <w:r w:rsidRPr="00D358CF">
        <w:rPr>
          <w:rFonts w:ascii="Times New Roman" w:hAnsi="Times New Roman" w:cs="Times New Roman"/>
          <w:sz w:val="21"/>
          <w:szCs w:val="21"/>
          <w:lang w:val="en-US"/>
        </w:rPr>
        <w:t xml:space="preserve">The Many Faces of Global Migration. </w:t>
      </w:r>
      <w:r w:rsidRPr="00D358CF">
        <w:rPr>
          <w:rFonts w:ascii="Times New Roman" w:hAnsi="Times New Roman" w:cs="Times New Roman"/>
          <w:bCs/>
          <w:sz w:val="21"/>
          <w:szCs w:val="21"/>
          <w:lang w:val="en-US"/>
        </w:rPr>
        <w:t>IOM Migration Research Series</w:t>
      </w:r>
      <w:r>
        <w:rPr>
          <w:rFonts w:ascii="Times New Roman" w:hAnsi="Times New Roman" w:cs="Times New Roman"/>
          <w:bCs/>
          <w:sz w:val="21"/>
          <w:szCs w:val="21"/>
        </w:rPr>
        <w:t xml:space="preserve"> </w:t>
      </w:r>
      <w:r w:rsidRPr="00D358CF">
        <w:rPr>
          <w:rFonts w:ascii="Times New Roman" w:hAnsi="Times New Roman" w:cs="Times New Roman"/>
          <w:sz w:val="21"/>
          <w:szCs w:val="21"/>
          <w:lang w:val="en-US"/>
        </w:rPr>
        <w:t>[</w:t>
      </w:r>
      <w:r w:rsidRPr="00D358CF">
        <w:rPr>
          <w:rFonts w:ascii="Times New Roman" w:hAnsi="Times New Roman" w:cs="Times New Roman"/>
          <w:sz w:val="21"/>
          <w:szCs w:val="21"/>
        </w:rPr>
        <w:t>Електронний</w:t>
      </w:r>
      <w:r w:rsidRPr="00D358CF">
        <w:rPr>
          <w:rFonts w:ascii="Times New Roman" w:hAnsi="Times New Roman" w:cs="Times New Roman"/>
          <w:sz w:val="21"/>
          <w:szCs w:val="21"/>
          <w:lang w:val="en-US"/>
        </w:rPr>
        <w:t xml:space="preserve"> </w:t>
      </w:r>
      <w:r w:rsidRPr="00D358CF">
        <w:rPr>
          <w:rFonts w:ascii="Times New Roman" w:hAnsi="Times New Roman" w:cs="Times New Roman"/>
          <w:sz w:val="21"/>
          <w:szCs w:val="21"/>
        </w:rPr>
        <w:t>ресурс</w:t>
      </w:r>
      <w:r w:rsidRPr="00D358CF">
        <w:rPr>
          <w:rFonts w:ascii="Times New Roman" w:hAnsi="Times New Roman" w:cs="Times New Roman"/>
          <w:sz w:val="21"/>
          <w:szCs w:val="21"/>
          <w:lang w:val="en-US"/>
        </w:rPr>
        <w:t>]</w:t>
      </w:r>
      <w:r w:rsidRPr="00D358CF">
        <w:rPr>
          <w:rFonts w:ascii="Times New Roman" w:hAnsi="Times New Roman" w:cs="Times New Roman"/>
          <w:bCs/>
          <w:sz w:val="21"/>
          <w:szCs w:val="21"/>
          <w:lang w:val="en-US"/>
        </w:rPr>
        <w:t xml:space="preserve">. </w:t>
      </w:r>
      <w:r>
        <w:rPr>
          <w:rFonts w:ascii="Times New Roman" w:hAnsi="Times New Roman" w:cs="Times New Roman"/>
          <w:bCs/>
          <w:sz w:val="21"/>
          <w:szCs w:val="21"/>
        </w:rPr>
        <w:t xml:space="preserve">– </w:t>
      </w:r>
      <w:r w:rsidRPr="00D358CF">
        <w:rPr>
          <w:rFonts w:ascii="Times New Roman" w:hAnsi="Times New Roman" w:cs="Times New Roman"/>
          <w:bCs/>
          <w:sz w:val="21"/>
          <w:szCs w:val="21"/>
          <w:lang w:val="en-US"/>
        </w:rPr>
        <w:t xml:space="preserve">2011. </w:t>
      </w:r>
      <w:r>
        <w:rPr>
          <w:rFonts w:ascii="Times New Roman" w:hAnsi="Times New Roman" w:cs="Times New Roman"/>
          <w:bCs/>
          <w:sz w:val="21"/>
          <w:szCs w:val="21"/>
        </w:rPr>
        <w:t xml:space="preserve">– </w:t>
      </w:r>
      <w:r w:rsidRPr="00D358CF">
        <w:rPr>
          <w:rFonts w:ascii="Times New Roman" w:hAnsi="Times New Roman" w:cs="Times New Roman"/>
          <w:bCs/>
          <w:sz w:val="21"/>
          <w:szCs w:val="21"/>
          <w:lang w:val="en-US"/>
        </w:rPr>
        <w:t>№ 43</w:t>
      </w:r>
      <w:r w:rsidRPr="00D358CF">
        <w:rPr>
          <w:rFonts w:ascii="Times New Roman" w:hAnsi="Times New Roman" w:cs="Times New Roman"/>
          <w:sz w:val="21"/>
          <w:szCs w:val="21"/>
          <w:lang w:val="en-US"/>
        </w:rPr>
        <w:t>. –</w:t>
      </w:r>
      <w:r w:rsidRPr="00D358CF">
        <w:rPr>
          <w:rFonts w:ascii="Times New Roman" w:hAnsi="Times New Roman" w:cs="Times New Roman"/>
          <w:bCs/>
          <w:sz w:val="21"/>
          <w:szCs w:val="21"/>
          <w:lang w:val="en-US"/>
        </w:rPr>
        <w:t xml:space="preserve"> </w:t>
      </w:r>
      <w:r w:rsidRPr="00D358CF">
        <w:rPr>
          <w:rFonts w:ascii="Times New Roman" w:hAnsi="Times New Roman" w:cs="Times New Roman"/>
          <w:bCs/>
          <w:sz w:val="21"/>
          <w:szCs w:val="21"/>
        </w:rPr>
        <w:t>Режим</w:t>
      </w:r>
      <w:r w:rsidRPr="00D358CF">
        <w:rPr>
          <w:rFonts w:ascii="Times New Roman" w:hAnsi="Times New Roman" w:cs="Times New Roman"/>
          <w:bCs/>
          <w:sz w:val="21"/>
          <w:szCs w:val="21"/>
          <w:lang w:val="en-US"/>
        </w:rPr>
        <w:t xml:space="preserve"> </w:t>
      </w:r>
      <w:r w:rsidRPr="00D358CF">
        <w:rPr>
          <w:rFonts w:ascii="Times New Roman" w:hAnsi="Times New Roman" w:cs="Times New Roman"/>
          <w:bCs/>
          <w:sz w:val="21"/>
          <w:szCs w:val="21"/>
        </w:rPr>
        <w:t>доступу</w:t>
      </w:r>
      <w:r w:rsidRPr="00D358CF">
        <w:rPr>
          <w:rFonts w:ascii="Times New Roman" w:hAnsi="Times New Roman" w:cs="Times New Roman"/>
          <w:bCs/>
          <w:sz w:val="21"/>
          <w:szCs w:val="21"/>
          <w:lang w:val="en-US"/>
        </w:rPr>
        <w:t xml:space="preserve"> : </w:t>
      </w:r>
      <w:hyperlink r:id="rId112" w:history="1">
        <w:r w:rsidRPr="00D358CF">
          <w:rPr>
            <w:rFonts w:ascii="Times New Roman" w:hAnsi="Times New Roman" w:cs="Times New Roman"/>
            <w:bCs/>
            <w:sz w:val="21"/>
            <w:szCs w:val="21"/>
            <w:lang w:val="en-US"/>
          </w:rPr>
          <w:t>http://publications.iom.int/bookstore/free</w:t>
        </w:r>
        <w:r>
          <w:rPr>
            <w:rFonts w:ascii="Times New Roman" w:hAnsi="Times New Roman" w:cs="Times New Roman"/>
            <w:bCs/>
            <w:sz w:val="21"/>
            <w:szCs w:val="21"/>
          </w:rPr>
          <w:t xml:space="preserve"> </w:t>
        </w:r>
        <w:r w:rsidRPr="00D358CF">
          <w:rPr>
            <w:rFonts w:ascii="Times New Roman" w:hAnsi="Times New Roman" w:cs="Times New Roman"/>
            <w:bCs/>
            <w:sz w:val="21"/>
            <w:szCs w:val="21"/>
            <w:lang w:val="en-US"/>
          </w:rPr>
          <w:t>/MRS43.pdf</w:t>
        </w:r>
      </w:hyperlink>
      <w:bookmarkEnd w:id="322"/>
    </w:p>
    <w:p w:rsidR="00B233DE" w:rsidRPr="00D358CF" w:rsidRDefault="00B233DE" w:rsidP="00B233DE">
      <w:pPr>
        <w:pStyle w:val="ad"/>
        <w:numPr>
          <w:ilvl w:val="0"/>
          <w:numId w:val="21"/>
        </w:numPr>
        <w:tabs>
          <w:tab w:val="num" w:pos="1080"/>
          <w:tab w:val="left" w:pos="1134"/>
          <w:tab w:val="num" w:pos="3102"/>
        </w:tabs>
        <w:ind w:left="0" w:firstLine="709"/>
        <w:jc w:val="both"/>
        <w:rPr>
          <w:rStyle w:val="HTML1"/>
          <w:rFonts w:ascii="Times New Roman" w:hAnsi="Times New Roman" w:cs="Times New Roman"/>
          <w:i w:val="0"/>
          <w:iCs w:val="0"/>
          <w:sz w:val="21"/>
          <w:szCs w:val="21"/>
          <w:lang w:val="en-US"/>
        </w:rPr>
      </w:pPr>
      <w:bookmarkStart w:id="323" w:name="_Ref435188320"/>
      <w:r w:rsidRPr="00882D46">
        <w:rPr>
          <w:rFonts w:ascii="Times New Roman" w:hAnsi="Times New Roman" w:cs="Times New Roman"/>
          <w:iCs/>
          <w:sz w:val="21"/>
          <w:szCs w:val="21"/>
          <w:lang w:val="en-US"/>
        </w:rPr>
        <w:t>Global Competitiveness Reports [</w:t>
      </w:r>
      <w:r w:rsidRPr="00882D46">
        <w:rPr>
          <w:rFonts w:ascii="Times New Roman" w:hAnsi="Times New Roman" w:cs="Times New Roman"/>
          <w:iCs/>
          <w:sz w:val="21"/>
          <w:szCs w:val="21"/>
        </w:rPr>
        <w:t>Електронний</w:t>
      </w:r>
      <w:r w:rsidRPr="00882D46">
        <w:rPr>
          <w:rFonts w:ascii="Times New Roman" w:hAnsi="Times New Roman" w:cs="Times New Roman"/>
          <w:iCs/>
          <w:sz w:val="21"/>
          <w:szCs w:val="21"/>
          <w:lang w:val="en-US"/>
        </w:rPr>
        <w:t xml:space="preserve"> </w:t>
      </w:r>
      <w:r w:rsidRPr="00882D46">
        <w:rPr>
          <w:rFonts w:ascii="Times New Roman" w:hAnsi="Times New Roman" w:cs="Times New Roman"/>
          <w:iCs/>
          <w:sz w:val="21"/>
          <w:szCs w:val="21"/>
        </w:rPr>
        <w:t>ресурс</w:t>
      </w:r>
      <w:r w:rsidRPr="00882D46">
        <w:rPr>
          <w:rFonts w:ascii="Times New Roman" w:hAnsi="Times New Roman" w:cs="Times New Roman"/>
          <w:iCs/>
          <w:sz w:val="21"/>
          <w:szCs w:val="21"/>
          <w:lang w:val="en-US"/>
        </w:rPr>
        <w:t>]</w:t>
      </w:r>
      <w:r w:rsidRPr="00882D46">
        <w:rPr>
          <w:rFonts w:ascii="Times New Roman" w:hAnsi="Times New Roman" w:cs="Times New Roman"/>
          <w:iCs/>
          <w:sz w:val="21"/>
          <w:szCs w:val="21"/>
        </w:rPr>
        <w:t>. – Режим</w:t>
      </w:r>
      <w:r w:rsidRPr="00882D46">
        <w:rPr>
          <w:rFonts w:ascii="Times New Roman" w:hAnsi="Times New Roman" w:cs="Times New Roman"/>
          <w:iCs/>
          <w:sz w:val="21"/>
          <w:szCs w:val="21"/>
          <w:lang w:val="en-US"/>
        </w:rPr>
        <w:t xml:space="preserve"> </w:t>
      </w:r>
      <w:r w:rsidRPr="00882D46">
        <w:rPr>
          <w:rFonts w:ascii="Times New Roman" w:hAnsi="Times New Roman" w:cs="Times New Roman"/>
          <w:iCs/>
          <w:sz w:val="21"/>
          <w:szCs w:val="21"/>
        </w:rPr>
        <w:t xml:space="preserve">доступу </w:t>
      </w:r>
      <w:r w:rsidRPr="00882D46">
        <w:rPr>
          <w:rFonts w:ascii="Times New Roman" w:hAnsi="Times New Roman" w:cs="Times New Roman"/>
          <w:iCs/>
          <w:sz w:val="21"/>
          <w:szCs w:val="21"/>
          <w:lang w:val="en-US"/>
        </w:rPr>
        <w:t xml:space="preserve">: </w:t>
      </w:r>
      <w:hyperlink r:id="rId113" w:history="1">
        <w:r w:rsidRPr="00882D46">
          <w:rPr>
            <w:rFonts w:ascii="Times New Roman" w:hAnsi="Times New Roman" w:cs="Times New Roman"/>
            <w:iCs/>
            <w:sz w:val="21"/>
            <w:szCs w:val="21"/>
            <w:lang w:val="en-US"/>
          </w:rPr>
          <w:t>http://www.weforum.org/issues/global-competitiveness</w:t>
        </w:r>
      </w:hyperlink>
      <w:bookmarkEnd w:id="323"/>
    </w:p>
    <w:p w:rsidR="00B233DE" w:rsidRPr="00D358CF" w:rsidRDefault="00B233DE" w:rsidP="00B233DE">
      <w:pPr>
        <w:pStyle w:val="ad"/>
        <w:numPr>
          <w:ilvl w:val="0"/>
          <w:numId w:val="21"/>
        </w:numPr>
        <w:tabs>
          <w:tab w:val="num" w:pos="1080"/>
          <w:tab w:val="left" w:pos="1134"/>
          <w:tab w:val="num" w:pos="3102"/>
        </w:tabs>
        <w:ind w:left="0" w:firstLine="709"/>
        <w:jc w:val="both"/>
        <w:rPr>
          <w:rStyle w:val="HTML1"/>
          <w:rFonts w:ascii="Times New Roman" w:hAnsi="Times New Roman" w:cs="Times New Roman"/>
          <w:i w:val="0"/>
          <w:iCs w:val="0"/>
          <w:sz w:val="21"/>
          <w:szCs w:val="21"/>
          <w:lang w:val="en-US"/>
        </w:rPr>
      </w:pPr>
      <w:bookmarkStart w:id="324" w:name="_Ref435187657"/>
      <w:r w:rsidRPr="00D358CF">
        <w:rPr>
          <w:rFonts w:ascii="Times New Roman" w:hAnsi="Times New Roman" w:cs="Times New Roman"/>
          <w:sz w:val="21"/>
          <w:szCs w:val="21"/>
          <w:lang w:val="en-US"/>
        </w:rPr>
        <w:t>Hofmann M.</w:t>
      </w:r>
      <w:r w:rsidRPr="00D358CF">
        <w:rPr>
          <w:rFonts w:ascii="Times New Roman" w:hAnsi="Times New Roman" w:cs="Times New Roman"/>
          <w:sz w:val="21"/>
          <w:szCs w:val="21"/>
        </w:rPr>
        <w:t xml:space="preserve"> </w:t>
      </w:r>
      <w:r w:rsidRPr="00D358CF">
        <w:rPr>
          <w:rFonts w:ascii="Times New Roman" w:hAnsi="Times New Roman" w:cs="Times New Roman"/>
          <w:sz w:val="21"/>
          <w:szCs w:val="21"/>
          <w:lang w:val="en-US"/>
        </w:rPr>
        <w:t>Ukrainian Migration</w:t>
      </w:r>
      <w:r w:rsidRPr="00D358CF">
        <w:rPr>
          <w:rFonts w:ascii="Times New Roman" w:hAnsi="Times New Roman" w:cs="Times New Roman"/>
          <w:sz w:val="21"/>
          <w:szCs w:val="21"/>
        </w:rPr>
        <w:t xml:space="preserve"> </w:t>
      </w:r>
      <w:r w:rsidRPr="00D358CF">
        <w:rPr>
          <w:rFonts w:ascii="Times New Roman" w:hAnsi="Times New Roman" w:cs="Times New Roman"/>
          <w:sz w:val="21"/>
          <w:szCs w:val="21"/>
          <w:lang w:val="en-US"/>
        </w:rPr>
        <w:t>: An Analysis of Migration Movements To, Through and From Ukraine</w:t>
      </w:r>
      <w:r w:rsidRPr="00D358CF">
        <w:rPr>
          <w:rFonts w:ascii="Times New Roman" w:hAnsi="Times New Roman" w:cs="Times New Roman"/>
          <w:sz w:val="21"/>
          <w:szCs w:val="21"/>
        </w:rPr>
        <w:t xml:space="preserve"> / </w:t>
      </w:r>
      <w:r w:rsidRPr="00D358CF">
        <w:rPr>
          <w:rFonts w:ascii="Times New Roman" w:hAnsi="Times New Roman" w:cs="Times New Roman"/>
          <w:sz w:val="21"/>
          <w:szCs w:val="21"/>
          <w:lang w:val="en-US"/>
        </w:rPr>
        <w:t>M.</w:t>
      </w:r>
      <w:r w:rsidRPr="00D358CF">
        <w:rPr>
          <w:rFonts w:ascii="Times New Roman" w:hAnsi="Times New Roman" w:cs="Times New Roman"/>
          <w:sz w:val="21"/>
          <w:szCs w:val="21"/>
        </w:rPr>
        <w:t xml:space="preserve"> </w:t>
      </w:r>
      <w:r w:rsidRPr="00D358CF">
        <w:rPr>
          <w:rFonts w:ascii="Times New Roman" w:hAnsi="Times New Roman" w:cs="Times New Roman"/>
          <w:sz w:val="21"/>
          <w:szCs w:val="21"/>
          <w:lang w:val="en-US"/>
        </w:rPr>
        <w:t xml:space="preserve">Hofmann, </w:t>
      </w:r>
      <w:r w:rsidRPr="00D358CF">
        <w:rPr>
          <w:rFonts w:ascii="Times New Roman" w:hAnsi="Times New Roman" w:cs="Times New Roman"/>
          <w:sz w:val="21"/>
          <w:szCs w:val="21"/>
          <w:lang w:val="en-US"/>
        </w:rPr>
        <w:lastRenderedPageBreak/>
        <w:t>D.Reichel</w:t>
      </w:r>
      <w:r w:rsidRPr="00D358CF">
        <w:rPr>
          <w:rFonts w:ascii="Times New Roman" w:hAnsi="Times New Roman" w:cs="Times New Roman"/>
          <w:sz w:val="21"/>
          <w:szCs w:val="21"/>
        </w:rPr>
        <w:t xml:space="preserve">. – </w:t>
      </w:r>
      <w:r w:rsidRPr="00D358CF">
        <w:rPr>
          <w:rFonts w:ascii="Times New Roman" w:hAnsi="Times New Roman" w:cs="Times New Roman"/>
          <w:sz w:val="21"/>
          <w:szCs w:val="21"/>
          <w:lang w:val="en-US"/>
        </w:rPr>
        <w:t xml:space="preserve">International Centre for Migration Policy Development. – </w:t>
      </w:r>
      <w:r>
        <w:rPr>
          <w:rFonts w:ascii="Times New Roman" w:hAnsi="Times New Roman" w:cs="Times New Roman"/>
          <w:sz w:val="21"/>
          <w:szCs w:val="21"/>
        </w:rPr>
        <w:t xml:space="preserve">2010. – </w:t>
      </w:r>
      <w:r w:rsidRPr="00D358CF">
        <w:rPr>
          <w:rFonts w:ascii="Times New Roman" w:hAnsi="Times New Roman" w:cs="Times New Roman"/>
          <w:sz w:val="21"/>
          <w:szCs w:val="21"/>
          <w:lang w:val="en-US"/>
        </w:rPr>
        <w:t>47 p.</w:t>
      </w:r>
      <w:bookmarkEnd w:id="324"/>
    </w:p>
    <w:p w:rsidR="00B233DE" w:rsidRPr="00656EF9" w:rsidRDefault="00B233DE" w:rsidP="00B233DE">
      <w:pPr>
        <w:pStyle w:val="ad"/>
        <w:numPr>
          <w:ilvl w:val="0"/>
          <w:numId w:val="21"/>
        </w:numPr>
        <w:tabs>
          <w:tab w:val="num" w:pos="1080"/>
          <w:tab w:val="left" w:pos="1134"/>
          <w:tab w:val="num" w:pos="3102"/>
        </w:tabs>
        <w:ind w:left="0" w:firstLine="709"/>
        <w:jc w:val="both"/>
        <w:rPr>
          <w:rStyle w:val="HTML1"/>
          <w:rFonts w:ascii="Times New Roman" w:hAnsi="Times New Roman" w:cs="Times New Roman"/>
          <w:i w:val="0"/>
          <w:iCs w:val="0"/>
          <w:sz w:val="21"/>
          <w:szCs w:val="21"/>
          <w:lang w:val="en-US"/>
        </w:rPr>
      </w:pPr>
      <w:bookmarkStart w:id="325" w:name="_Ref435187456"/>
      <w:r w:rsidRPr="00882D46">
        <w:rPr>
          <w:rStyle w:val="HTML1"/>
          <w:rFonts w:ascii="Times New Roman" w:hAnsi="Times New Roman" w:cs="Times New Roman"/>
          <w:i w:val="0"/>
          <w:sz w:val="21"/>
          <w:szCs w:val="21"/>
          <w:lang w:val="en-US"/>
        </w:rPr>
        <w:t>Holzer H. Immigration Policy and Less-Skilled Workers in the United States</w:t>
      </w:r>
      <w:r>
        <w:rPr>
          <w:rStyle w:val="HTML1"/>
          <w:rFonts w:ascii="Times New Roman" w:hAnsi="Times New Roman" w:cs="Times New Roman"/>
          <w:i w:val="0"/>
          <w:sz w:val="21"/>
          <w:szCs w:val="21"/>
        </w:rPr>
        <w:t xml:space="preserve"> </w:t>
      </w:r>
      <w:r w:rsidRPr="00882D46">
        <w:rPr>
          <w:rStyle w:val="HTML1"/>
          <w:rFonts w:ascii="Times New Roman" w:hAnsi="Times New Roman" w:cs="Times New Roman"/>
          <w:i w:val="0"/>
          <w:sz w:val="21"/>
          <w:szCs w:val="21"/>
          <w:lang w:val="en-US"/>
        </w:rPr>
        <w:t xml:space="preserve">: Reflections </w:t>
      </w:r>
      <w:r>
        <w:rPr>
          <w:rStyle w:val="HTML1"/>
          <w:rFonts w:ascii="Times New Roman" w:hAnsi="Times New Roman" w:cs="Times New Roman"/>
          <w:i w:val="0"/>
          <w:sz w:val="21"/>
          <w:szCs w:val="21"/>
          <w:lang w:val="en-US"/>
        </w:rPr>
        <w:t>on Future Directions for Reform</w:t>
      </w:r>
      <w:r>
        <w:rPr>
          <w:rStyle w:val="HTML1"/>
          <w:rFonts w:ascii="Times New Roman" w:hAnsi="Times New Roman" w:cs="Times New Roman"/>
          <w:i w:val="0"/>
          <w:sz w:val="21"/>
          <w:szCs w:val="21"/>
        </w:rPr>
        <w:t xml:space="preserve"> / </w:t>
      </w:r>
      <w:r w:rsidRPr="00882D46">
        <w:rPr>
          <w:rStyle w:val="HTML1"/>
          <w:rFonts w:ascii="Times New Roman" w:hAnsi="Times New Roman" w:cs="Times New Roman"/>
          <w:i w:val="0"/>
          <w:sz w:val="21"/>
          <w:szCs w:val="21"/>
          <w:lang w:val="en-US"/>
        </w:rPr>
        <w:t>H.</w:t>
      </w:r>
      <w:r>
        <w:rPr>
          <w:rStyle w:val="HTML1"/>
          <w:rFonts w:ascii="Times New Roman" w:hAnsi="Times New Roman" w:cs="Times New Roman"/>
          <w:i w:val="0"/>
          <w:sz w:val="21"/>
          <w:szCs w:val="21"/>
        </w:rPr>
        <w:t> </w:t>
      </w:r>
      <w:r w:rsidRPr="00882D46">
        <w:rPr>
          <w:rStyle w:val="HTML1"/>
          <w:rFonts w:ascii="Times New Roman" w:hAnsi="Times New Roman" w:cs="Times New Roman"/>
          <w:i w:val="0"/>
          <w:sz w:val="21"/>
          <w:szCs w:val="21"/>
          <w:lang w:val="en-US"/>
        </w:rPr>
        <w:t>Holzer</w:t>
      </w:r>
      <w:r>
        <w:rPr>
          <w:rStyle w:val="HTML1"/>
          <w:rFonts w:ascii="Times New Roman" w:hAnsi="Times New Roman" w:cs="Times New Roman"/>
          <w:i w:val="0"/>
          <w:sz w:val="21"/>
          <w:szCs w:val="21"/>
        </w:rPr>
        <w:t>. –</w:t>
      </w:r>
      <w:r w:rsidRPr="00882D46">
        <w:rPr>
          <w:rStyle w:val="HTML1"/>
          <w:rFonts w:ascii="Times New Roman" w:hAnsi="Times New Roman" w:cs="Times New Roman"/>
          <w:i w:val="0"/>
          <w:sz w:val="21"/>
          <w:szCs w:val="21"/>
          <w:lang w:val="en-US"/>
        </w:rPr>
        <w:t xml:space="preserve"> Washington, DC</w:t>
      </w:r>
      <w:r>
        <w:rPr>
          <w:rStyle w:val="HTML1"/>
          <w:rFonts w:ascii="Times New Roman" w:hAnsi="Times New Roman" w:cs="Times New Roman"/>
          <w:i w:val="0"/>
          <w:sz w:val="21"/>
          <w:szCs w:val="21"/>
        </w:rPr>
        <w:t xml:space="preserve"> </w:t>
      </w:r>
      <w:r w:rsidRPr="00882D46">
        <w:rPr>
          <w:rStyle w:val="HTML1"/>
          <w:rFonts w:ascii="Times New Roman" w:hAnsi="Times New Roman" w:cs="Times New Roman"/>
          <w:i w:val="0"/>
          <w:sz w:val="21"/>
          <w:szCs w:val="21"/>
          <w:lang w:val="en-US"/>
        </w:rPr>
        <w:t>: Migration Policy Institute</w:t>
      </w:r>
      <w:r>
        <w:rPr>
          <w:rStyle w:val="HTML1"/>
          <w:rFonts w:ascii="Times New Roman" w:hAnsi="Times New Roman" w:cs="Times New Roman"/>
          <w:i w:val="0"/>
          <w:sz w:val="21"/>
          <w:szCs w:val="21"/>
        </w:rPr>
        <w:t>,</w:t>
      </w:r>
      <w:r w:rsidRPr="00882D46">
        <w:rPr>
          <w:rStyle w:val="HTML1"/>
          <w:rFonts w:ascii="Times New Roman" w:hAnsi="Times New Roman" w:cs="Times New Roman"/>
          <w:i w:val="0"/>
          <w:sz w:val="21"/>
          <w:szCs w:val="21"/>
          <w:lang w:val="en-US"/>
        </w:rPr>
        <w:t xml:space="preserve"> 2011</w:t>
      </w:r>
      <w:r w:rsidRPr="00882D46">
        <w:rPr>
          <w:rStyle w:val="HTML1"/>
          <w:rFonts w:ascii="Times New Roman" w:hAnsi="Times New Roman" w:cs="Times New Roman"/>
          <w:i w:val="0"/>
          <w:sz w:val="21"/>
          <w:szCs w:val="21"/>
        </w:rPr>
        <w:t>.</w:t>
      </w:r>
      <w:r w:rsidRPr="00882D46">
        <w:rPr>
          <w:rStyle w:val="HTML1"/>
          <w:rFonts w:ascii="Times New Roman" w:hAnsi="Times New Roman" w:cs="Times New Roman"/>
          <w:i w:val="0"/>
          <w:sz w:val="21"/>
          <w:szCs w:val="21"/>
          <w:lang w:val="en-US"/>
        </w:rPr>
        <w:t xml:space="preserve"> </w:t>
      </w:r>
      <w:r>
        <w:rPr>
          <w:rStyle w:val="HTML1"/>
          <w:rFonts w:ascii="Times New Roman" w:hAnsi="Times New Roman" w:cs="Times New Roman"/>
          <w:i w:val="0"/>
          <w:sz w:val="21"/>
          <w:szCs w:val="21"/>
        </w:rPr>
        <w:t xml:space="preserve">– </w:t>
      </w:r>
      <w:r w:rsidRPr="00882D46">
        <w:rPr>
          <w:rStyle w:val="HTML1"/>
          <w:rFonts w:ascii="Times New Roman" w:hAnsi="Times New Roman" w:cs="Times New Roman"/>
          <w:i w:val="0"/>
          <w:sz w:val="21"/>
          <w:szCs w:val="21"/>
          <w:lang w:val="en-US"/>
        </w:rPr>
        <w:t>25 p.</w:t>
      </w:r>
      <w:bookmarkEnd w:id="325"/>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326" w:name="_Ref435182515"/>
      <w:r w:rsidRPr="00D358CF">
        <w:rPr>
          <w:rFonts w:ascii="Times New Roman" w:hAnsi="Times New Roman" w:cs="Times New Roman"/>
          <w:sz w:val="21"/>
          <w:szCs w:val="21"/>
          <w:lang w:val="en-GB"/>
        </w:rPr>
        <w:t>Human Development Report 2009. Overcoming barriers</w:t>
      </w:r>
      <w:r>
        <w:rPr>
          <w:rFonts w:ascii="Times New Roman" w:hAnsi="Times New Roman" w:cs="Times New Roman"/>
          <w:sz w:val="21"/>
          <w:szCs w:val="21"/>
        </w:rPr>
        <w:t xml:space="preserve"> </w:t>
      </w:r>
      <w:r w:rsidRPr="00D358CF">
        <w:rPr>
          <w:rFonts w:ascii="Times New Roman" w:hAnsi="Times New Roman" w:cs="Times New Roman"/>
          <w:sz w:val="21"/>
          <w:szCs w:val="21"/>
          <w:lang w:val="en-GB"/>
        </w:rPr>
        <w:t>: Human Mobility and Development</w:t>
      </w:r>
      <w:r w:rsidRPr="00D358CF">
        <w:rPr>
          <w:rFonts w:ascii="Times New Roman" w:hAnsi="Times New Roman" w:cs="Times New Roman"/>
          <w:sz w:val="21"/>
          <w:szCs w:val="21"/>
        </w:rPr>
        <w:t>.</w:t>
      </w:r>
      <w:r w:rsidRPr="00D358CF">
        <w:rPr>
          <w:rFonts w:ascii="Times New Roman" w:hAnsi="Times New Roman" w:cs="Times New Roman"/>
          <w:sz w:val="21"/>
          <w:szCs w:val="21"/>
          <w:lang w:val="en-GB"/>
        </w:rPr>
        <w:t xml:space="preserve"> </w:t>
      </w:r>
      <w:r>
        <w:rPr>
          <w:rFonts w:ascii="Times New Roman" w:hAnsi="Times New Roman" w:cs="Times New Roman"/>
          <w:sz w:val="21"/>
          <w:szCs w:val="21"/>
        </w:rPr>
        <w:t xml:space="preserve">– </w:t>
      </w:r>
      <w:r w:rsidRPr="00D358CF">
        <w:rPr>
          <w:rFonts w:ascii="Times New Roman" w:hAnsi="Times New Roman" w:cs="Times New Roman"/>
          <w:sz w:val="21"/>
          <w:szCs w:val="21"/>
          <w:lang w:val="en-GB"/>
        </w:rPr>
        <w:t>New York</w:t>
      </w:r>
      <w:r>
        <w:rPr>
          <w:rFonts w:ascii="Times New Roman" w:hAnsi="Times New Roman" w:cs="Times New Roman"/>
          <w:sz w:val="21"/>
          <w:szCs w:val="21"/>
        </w:rPr>
        <w:t xml:space="preserve"> : </w:t>
      </w:r>
      <w:r w:rsidRPr="00D358CF">
        <w:rPr>
          <w:rFonts w:ascii="Times New Roman" w:hAnsi="Times New Roman" w:cs="Times New Roman"/>
          <w:sz w:val="21"/>
          <w:szCs w:val="21"/>
          <w:lang w:val="en-GB"/>
        </w:rPr>
        <w:t>United Nations Development Programme</w:t>
      </w:r>
      <w:r>
        <w:rPr>
          <w:rFonts w:ascii="Times New Roman" w:hAnsi="Times New Roman" w:cs="Times New Roman"/>
          <w:sz w:val="21"/>
          <w:szCs w:val="21"/>
        </w:rPr>
        <w:t>,</w:t>
      </w:r>
      <w:r w:rsidRPr="00D358CF">
        <w:rPr>
          <w:rFonts w:ascii="Times New Roman" w:hAnsi="Times New Roman" w:cs="Times New Roman"/>
          <w:sz w:val="21"/>
          <w:szCs w:val="21"/>
          <w:lang w:val="en-GB"/>
        </w:rPr>
        <w:t xml:space="preserve"> 2009</w:t>
      </w:r>
      <w:r w:rsidRPr="00D358CF">
        <w:rPr>
          <w:rFonts w:ascii="Times New Roman" w:hAnsi="Times New Roman" w:cs="Times New Roman"/>
          <w:sz w:val="21"/>
          <w:szCs w:val="21"/>
        </w:rPr>
        <w:t>.</w:t>
      </w:r>
      <w:r>
        <w:rPr>
          <w:rFonts w:ascii="Times New Roman" w:hAnsi="Times New Roman" w:cs="Times New Roman"/>
          <w:sz w:val="21"/>
          <w:szCs w:val="21"/>
        </w:rPr>
        <w:t xml:space="preserve"> –</w:t>
      </w:r>
      <w:r w:rsidRPr="00D358CF">
        <w:rPr>
          <w:rFonts w:ascii="Times New Roman" w:hAnsi="Times New Roman" w:cs="Times New Roman"/>
          <w:sz w:val="21"/>
          <w:szCs w:val="21"/>
          <w:lang w:val="en-GB"/>
        </w:rPr>
        <w:t xml:space="preserve"> 217 p.</w:t>
      </w:r>
      <w:bookmarkEnd w:id="326"/>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327" w:name="_Ref435186409"/>
      <w:r w:rsidRPr="00882D46">
        <w:rPr>
          <w:rFonts w:ascii="Times New Roman" w:hAnsi="Times New Roman" w:cs="Times New Roman"/>
          <w:sz w:val="21"/>
          <w:szCs w:val="21"/>
          <w:lang w:val="en-US"/>
        </w:rPr>
        <w:t xml:space="preserve">Human Development Report 2010 </w:t>
      </w:r>
      <w:r w:rsidRPr="00882D46">
        <w:rPr>
          <w:rFonts w:ascii="Times New Roman" w:hAnsi="Times New Roman" w:cs="Times New Roman"/>
          <w:sz w:val="21"/>
          <w:szCs w:val="21"/>
        </w:rPr>
        <w:t xml:space="preserve">– </w:t>
      </w:r>
      <w:r w:rsidRPr="00882D46">
        <w:rPr>
          <w:rFonts w:ascii="Times New Roman" w:hAnsi="Times New Roman" w:cs="Times New Roman"/>
          <w:sz w:val="21"/>
          <w:szCs w:val="21"/>
          <w:lang w:val="en-US"/>
        </w:rPr>
        <w:t>20th Anniversary Edition</w:t>
      </w:r>
      <w:r w:rsidRPr="00882D46">
        <w:rPr>
          <w:rFonts w:ascii="Times New Roman" w:hAnsi="Times New Roman" w:cs="Times New Roman"/>
          <w:sz w:val="21"/>
          <w:szCs w:val="21"/>
        </w:rPr>
        <w:t>.</w:t>
      </w:r>
      <w:r w:rsidRPr="00882D46">
        <w:rPr>
          <w:rFonts w:ascii="Times New Roman" w:hAnsi="Times New Roman" w:cs="Times New Roman"/>
          <w:sz w:val="21"/>
          <w:szCs w:val="21"/>
          <w:lang w:val="en-US"/>
        </w:rPr>
        <w:t xml:space="preserve"> The Real Wealth of Nations</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 Pathways to Human Development [</w:t>
      </w:r>
      <w:r w:rsidRPr="00882D46">
        <w:rPr>
          <w:rFonts w:ascii="Times New Roman" w:hAnsi="Times New Roman" w:cs="Times New Roman"/>
          <w:sz w:val="21"/>
          <w:szCs w:val="21"/>
        </w:rPr>
        <w:t>Електронний</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ресурс</w:t>
      </w:r>
      <w:r w:rsidRPr="00882D46">
        <w:rPr>
          <w:rFonts w:ascii="Times New Roman" w:hAnsi="Times New Roman" w:cs="Times New Roman"/>
          <w:sz w:val="21"/>
          <w:szCs w:val="21"/>
          <w:lang w:val="en-US"/>
        </w:rPr>
        <w:t xml:space="preserve">]. – </w:t>
      </w:r>
      <w:r w:rsidRPr="00882D46">
        <w:rPr>
          <w:rFonts w:ascii="Times New Roman" w:hAnsi="Times New Roman" w:cs="Times New Roman"/>
          <w:sz w:val="21"/>
          <w:szCs w:val="21"/>
        </w:rPr>
        <w:t>Режим</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доступу</w:t>
      </w:r>
      <w:r w:rsidRPr="00882D46">
        <w:rPr>
          <w:rFonts w:ascii="Times New Roman" w:hAnsi="Times New Roman" w:cs="Times New Roman"/>
          <w:sz w:val="21"/>
          <w:szCs w:val="21"/>
          <w:lang w:val="en-US"/>
        </w:rPr>
        <w:t xml:space="preserve"> : </w:t>
      </w:r>
      <w:r w:rsidRPr="00882D46">
        <w:rPr>
          <w:rFonts w:ascii="Times New Roman" w:hAnsi="Times New Roman" w:cs="Times New Roman"/>
          <w:bCs/>
          <w:sz w:val="21"/>
          <w:szCs w:val="21"/>
          <w:lang w:val="en-US"/>
        </w:rPr>
        <w:t>http://hdr.undp.org/en/reports/global/hdr2010/</w:t>
      </w:r>
      <w:bookmarkEnd w:id="327"/>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328" w:name="_Ref435182775"/>
      <w:r w:rsidRPr="00882D46">
        <w:rPr>
          <w:rFonts w:ascii="Times New Roman" w:hAnsi="Times New Roman" w:cs="Times New Roman"/>
          <w:sz w:val="21"/>
          <w:szCs w:val="21"/>
          <w:lang w:val="en-US"/>
        </w:rPr>
        <w:t xml:space="preserve">Immigrants in the U.S. Labor Force. Immigration Policy Center. American Immigration Council </w:t>
      </w:r>
      <w:r w:rsidRPr="00882D46">
        <w:rPr>
          <w:rFonts w:ascii="Times New Roman" w:hAnsi="Times New Roman" w:cs="Times New Roman"/>
          <w:iCs/>
          <w:sz w:val="21"/>
          <w:szCs w:val="21"/>
          <w:lang w:val="en-US"/>
        </w:rPr>
        <w:t>[</w:t>
      </w:r>
      <w:r w:rsidRPr="00882D46">
        <w:rPr>
          <w:rFonts w:ascii="Times New Roman" w:hAnsi="Times New Roman" w:cs="Times New Roman"/>
          <w:iCs/>
          <w:sz w:val="21"/>
          <w:szCs w:val="21"/>
        </w:rPr>
        <w:t>Електронний</w:t>
      </w:r>
      <w:r w:rsidRPr="00882D46">
        <w:rPr>
          <w:rFonts w:ascii="Times New Roman" w:hAnsi="Times New Roman" w:cs="Times New Roman"/>
          <w:iCs/>
          <w:sz w:val="21"/>
          <w:szCs w:val="21"/>
          <w:lang w:val="en-US"/>
        </w:rPr>
        <w:t xml:space="preserve"> </w:t>
      </w:r>
      <w:r w:rsidRPr="00882D46">
        <w:rPr>
          <w:rFonts w:ascii="Times New Roman" w:hAnsi="Times New Roman" w:cs="Times New Roman"/>
          <w:iCs/>
          <w:sz w:val="21"/>
          <w:szCs w:val="21"/>
        </w:rPr>
        <w:t>ресурс</w:t>
      </w:r>
      <w:r w:rsidRPr="00882D46">
        <w:rPr>
          <w:rFonts w:ascii="Times New Roman" w:hAnsi="Times New Roman" w:cs="Times New Roman"/>
          <w:iCs/>
          <w:sz w:val="21"/>
          <w:szCs w:val="21"/>
          <w:lang w:val="en-US"/>
        </w:rPr>
        <w:t>]</w:t>
      </w:r>
      <w:r w:rsidRPr="00882D46">
        <w:rPr>
          <w:rFonts w:ascii="Times New Roman" w:hAnsi="Times New Roman" w:cs="Times New Roman"/>
          <w:bCs/>
          <w:sz w:val="21"/>
          <w:szCs w:val="21"/>
          <w:lang w:val="en-US"/>
        </w:rPr>
        <w:t>.</w:t>
      </w:r>
      <w:r w:rsidRPr="00882D46">
        <w:rPr>
          <w:rFonts w:ascii="Times New Roman" w:hAnsi="Times New Roman" w:cs="Times New Roman"/>
          <w:bCs/>
          <w:sz w:val="21"/>
          <w:szCs w:val="21"/>
        </w:rPr>
        <w:t xml:space="preserve"> </w:t>
      </w:r>
      <w:r w:rsidRPr="00882D46">
        <w:rPr>
          <w:rFonts w:ascii="Times New Roman" w:hAnsi="Times New Roman" w:cs="Times New Roman"/>
          <w:bCs/>
          <w:sz w:val="21"/>
          <w:szCs w:val="21"/>
          <w:lang w:val="en-US"/>
        </w:rPr>
        <w:t xml:space="preserve">– </w:t>
      </w:r>
      <w:r w:rsidRPr="00882D46">
        <w:rPr>
          <w:rFonts w:ascii="Times New Roman" w:hAnsi="Times New Roman" w:cs="Times New Roman"/>
          <w:bCs/>
          <w:sz w:val="21"/>
          <w:szCs w:val="21"/>
        </w:rPr>
        <w:t>Режим</w:t>
      </w:r>
      <w:r w:rsidRPr="00882D46">
        <w:rPr>
          <w:rFonts w:ascii="Times New Roman" w:hAnsi="Times New Roman" w:cs="Times New Roman"/>
          <w:bCs/>
          <w:sz w:val="21"/>
          <w:szCs w:val="21"/>
          <w:lang w:val="en-US"/>
        </w:rPr>
        <w:t xml:space="preserve"> </w:t>
      </w:r>
      <w:r w:rsidRPr="00882D46">
        <w:rPr>
          <w:rFonts w:ascii="Times New Roman" w:hAnsi="Times New Roman" w:cs="Times New Roman"/>
          <w:bCs/>
          <w:sz w:val="21"/>
          <w:szCs w:val="21"/>
        </w:rPr>
        <w:t>доступу</w:t>
      </w:r>
      <w:r w:rsidRPr="00882D46">
        <w:rPr>
          <w:rFonts w:ascii="Times New Roman" w:hAnsi="Times New Roman" w:cs="Times New Roman"/>
          <w:bCs/>
          <w:sz w:val="21"/>
          <w:szCs w:val="21"/>
          <w:lang w:val="en-US"/>
        </w:rPr>
        <w:t xml:space="preserve"> :</w:t>
      </w:r>
      <w:r w:rsidRPr="00882D46">
        <w:rPr>
          <w:rFonts w:ascii="Times New Roman" w:hAnsi="Times New Roman" w:cs="Times New Roman"/>
          <w:bCs/>
          <w:sz w:val="21"/>
          <w:szCs w:val="21"/>
        </w:rPr>
        <w:t xml:space="preserve"> </w:t>
      </w:r>
      <w:hyperlink r:id="rId114" w:history="1">
        <w:r w:rsidRPr="00882D46">
          <w:rPr>
            <w:rFonts w:ascii="Times New Roman" w:hAnsi="Times New Roman" w:cs="Times New Roman"/>
            <w:sz w:val="21"/>
            <w:szCs w:val="21"/>
            <w:lang w:val="en-US"/>
          </w:rPr>
          <w:t>http://www.immigrationpolicy.org/just-facts/immigrants-us-labor-force</w:t>
        </w:r>
      </w:hyperlink>
      <w:bookmarkEnd w:id="328"/>
    </w:p>
    <w:p w:rsidR="00B233DE"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329" w:name="_Ref435182354"/>
      <w:r w:rsidRPr="00882D46">
        <w:rPr>
          <w:rFonts w:ascii="Times New Roman" w:hAnsi="Times New Roman" w:cs="Times New Roman"/>
          <w:bCs/>
          <w:sz w:val="21"/>
          <w:szCs w:val="21"/>
          <w:lang w:val="en-GB"/>
        </w:rPr>
        <w:t>Immigration</w:t>
      </w:r>
      <w:r>
        <w:rPr>
          <w:rFonts w:ascii="Times New Roman" w:hAnsi="Times New Roman" w:cs="Times New Roman"/>
          <w:bCs/>
          <w:sz w:val="21"/>
          <w:szCs w:val="21"/>
        </w:rPr>
        <w:t xml:space="preserve"> </w:t>
      </w:r>
      <w:r w:rsidRPr="00882D46">
        <w:rPr>
          <w:rFonts w:ascii="Times New Roman" w:hAnsi="Times New Roman" w:cs="Times New Roman"/>
          <w:bCs/>
          <w:sz w:val="21"/>
          <w:szCs w:val="21"/>
          <w:lang w:val="en-GB"/>
        </w:rPr>
        <w:t>: Impact on U.S. Economy Immigration Study</w:t>
      </w:r>
      <w:r>
        <w:rPr>
          <w:rFonts w:ascii="Times New Roman" w:hAnsi="Times New Roman" w:cs="Times New Roman"/>
          <w:bCs/>
          <w:sz w:val="21"/>
          <w:szCs w:val="21"/>
        </w:rPr>
        <w:t xml:space="preserve"> </w:t>
      </w:r>
      <w:r w:rsidRPr="00882D46">
        <w:rPr>
          <w:rFonts w:ascii="Times New Roman" w:hAnsi="Times New Roman" w:cs="Times New Roman"/>
          <w:sz w:val="21"/>
          <w:szCs w:val="21"/>
        </w:rPr>
        <w:t>[Електронний ресурс]</w:t>
      </w:r>
      <w:r>
        <w:rPr>
          <w:rFonts w:ascii="Times New Roman" w:hAnsi="Times New Roman" w:cs="Times New Roman"/>
          <w:bCs/>
          <w:sz w:val="21"/>
          <w:szCs w:val="21"/>
        </w:rPr>
        <w:t>. –</w:t>
      </w:r>
      <w:r w:rsidRPr="00882D46">
        <w:rPr>
          <w:rFonts w:ascii="Times New Roman" w:hAnsi="Times New Roman" w:cs="Times New Roman"/>
          <w:bCs/>
          <w:sz w:val="21"/>
          <w:szCs w:val="21"/>
          <w:lang w:val="en-GB"/>
        </w:rPr>
        <w:t xml:space="preserve"> Brief 2</w:t>
      </w:r>
      <w:r w:rsidRPr="00882D46">
        <w:rPr>
          <w:rFonts w:ascii="Times New Roman" w:hAnsi="Times New Roman" w:cs="Times New Roman"/>
          <w:bCs/>
          <w:sz w:val="21"/>
          <w:szCs w:val="21"/>
          <w:lang w:val="en-US"/>
        </w:rPr>
        <w:t>.</w:t>
      </w:r>
      <w:r w:rsidRPr="00882D46">
        <w:rPr>
          <w:rFonts w:ascii="Times New Roman" w:hAnsi="Times New Roman" w:cs="Times New Roman"/>
          <w:bCs/>
          <w:sz w:val="21"/>
          <w:szCs w:val="21"/>
          <w:lang w:val="en-GB"/>
        </w:rPr>
        <w:t xml:space="preserve"> </w:t>
      </w:r>
      <w:r>
        <w:rPr>
          <w:rFonts w:ascii="Times New Roman" w:hAnsi="Times New Roman" w:cs="Times New Roman"/>
          <w:bCs/>
          <w:sz w:val="21"/>
          <w:szCs w:val="21"/>
        </w:rPr>
        <w:t xml:space="preserve">– </w:t>
      </w:r>
      <w:r w:rsidRPr="00882D46">
        <w:rPr>
          <w:rFonts w:ascii="Times New Roman" w:hAnsi="Times New Roman" w:cs="Times New Roman"/>
          <w:sz w:val="21"/>
          <w:szCs w:val="21"/>
        </w:rPr>
        <w:t xml:space="preserve">The National Voter. </w:t>
      </w:r>
      <w:r>
        <w:rPr>
          <w:rFonts w:ascii="Times New Roman" w:hAnsi="Times New Roman" w:cs="Times New Roman"/>
          <w:sz w:val="21"/>
          <w:szCs w:val="21"/>
        </w:rPr>
        <w:t xml:space="preserve">– </w:t>
      </w:r>
      <w:r w:rsidRPr="00882D46">
        <w:rPr>
          <w:rFonts w:ascii="Times New Roman" w:hAnsi="Times New Roman" w:cs="Times New Roman"/>
          <w:sz w:val="21"/>
          <w:szCs w:val="21"/>
        </w:rPr>
        <w:t>June 2007</w:t>
      </w:r>
      <w:r>
        <w:rPr>
          <w:rFonts w:ascii="Times New Roman" w:hAnsi="Times New Roman" w:cs="Times New Roman"/>
          <w:sz w:val="21"/>
          <w:szCs w:val="21"/>
        </w:rPr>
        <w:t xml:space="preserve">. – Режим доступу : </w:t>
      </w:r>
      <w:r w:rsidRPr="00882D46">
        <w:rPr>
          <w:rFonts w:ascii="Times New Roman" w:hAnsi="Times New Roman" w:cs="Times New Roman"/>
          <w:sz w:val="21"/>
          <w:szCs w:val="21"/>
        </w:rPr>
        <w:t>http://lwvlacrosse.org/files/voterstudybrief2.pdf</w:t>
      </w:r>
      <w:bookmarkEnd w:id="329"/>
    </w:p>
    <w:p w:rsidR="00B233DE" w:rsidRPr="00E81E02"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330" w:name="_Ref435182124"/>
      <w:bookmarkStart w:id="331" w:name="_Ref435182137"/>
      <w:r w:rsidRPr="00E81E02">
        <w:rPr>
          <w:rFonts w:ascii="Times New Roman" w:hAnsi="Times New Roman" w:cs="Times New Roman"/>
          <w:sz w:val="21"/>
          <w:szCs w:val="21"/>
          <w:lang w:val="en-GB"/>
        </w:rPr>
        <w:t>International Migration 2009. Wall chart. United Nations Department of Economic and Social Affairs. Population</w:t>
      </w:r>
      <w:r w:rsidRPr="00E81E02">
        <w:rPr>
          <w:rFonts w:ascii="Times New Roman" w:hAnsi="Times New Roman" w:cs="Times New Roman"/>
          <w:sz w:val="21"/>
          <w:szCs w:val="21"/>
        </w:rPr>
        <w:t xml:space="preserve"> </w:t>
      </w:r>
      <w:r w:rsidRPr="00E81E02">
        <w:rPr>
          <w:rFonts w:ascii="Times New Roman" w:hAnsi="Times New Roman" w:cs="Times New Roman"/>
          <w:sz w:val="21"/>
          <w:szCs w:val="21"/>
          <w:lang w:val="en-GB"/>
        </w:rPr>
        <w:t>Division</w:t>
      </w:r>
      <w:r w:rsidRPr="00E81E02">
        <w:rPr>
          <w:rFonts w:ascii="Times New Roman" w:hAnsi="Times New Roman" w:cs="Times New Roman"/>
          <w:sz w:val="21"/>
          <w:szCs w:val="21"/>
        </w:rPr>
        <w:t xml:space="preserve"> [Електронний ресурс]. – Режим доступу : </w:t>
      </w:r>
      <w:r w:rsidRPr="00E81E02">
        <w:rPr>
          <w:rFonts w:ascii="Times New Roman" w:hAnsi="Times New Roman" w:cs="Times New Roman"/>
          <w:sz w:val="21"/>
          <w:szCs w:val="21"/>
          <w:lang w:val="en-GB"/>
        </w:rPr>
        <w:t>http</w:t>
      </w:r>
      <w:r w:rsidRPr="00E81E02">
        <w:rPr>
          <w:rFonts w:ascii="Times New Roman" w:hAnsi="Times New Roman" w:cs="Times New Roman"/>
          <w:sz w:val="21"/>
          <w:szCs w:val="21"/>
        </w:rPr>
        <w:t>://</w:t>
      </w:r>
      <w:r w:rsidRPr="00E81E02">
        <w:rPr>
          <w:rFonts w:ascii="Times New Roman" w:hAnsi="Times New Roman" w:cs="Times New Roman"/>
          <w:sz w:val="21"/>
          <w:szCs w:val="21"/>
          <w:lang w:val="en-GB"/>
        </w:rPr>
        <w:t>www</w:t>
      </w:r>
      <w:r w:rsidRPr="00E81E02">
        <w:rPr>
          <w:rFonts w:ascii="Times New Roman" w:hAnsi="Times New Roman" w:cs="Times New Roman"/>
          <w:sz w:val="21"/>
          <w:szCs w:val="21"/>
        </w:rPr>
        <w:t>.</w:t>
      </w:r>
      <w:r w:rsidRPr="00E81E02">
        <w:rPr>
          <w:rFonts w:ascii="Times New Roman" w:hAnsi="Times New Roman" w:cs="Times New Roman"/>
          <w:sz w:val="21"/>
          <w:szCs w:val="21"/>
          <w:lang w:val="en-GB"/>
        </w:rPr>
        <w:t>un</w:t>
      </w:r>
      <w:r w:rsidRPr="00E81E02">
        <w:rPr>
          <w:rFonts w:ascii="Times New Roman" w:hAnsi="Times New Roman" w:cs="Times New Roman"/>
          <w:sz w:val="21"/>
          <w:szCs w:val="21"/>
        </w:rPr>
        <w:t>.</w:t>
      </w:r>
      <w:r w:rsidRPr="00E81E02">
        <w:rPr>
          <w:rFonts w:ascii="Times New Roman" w:hAnsi="Times New Roman" w:cs="Times New Roman"/>
          <w:sz w:val="21"/>
          <w:szCs w:val="21"/>
          <w:lang w:val="en-GB"/>
        </w:rPr>
        <w:t>org</w:t>
      </w:r>
      <w:r w:rsidRPr="00E81E02">
        <w:rPr>
          <w:rFonts w:ascii="Times New Roman" w:hAnsi="Times New Roman" w:cs="Times New Roman"/>
          <w:sz w:val="21"/>
          <w:szCs w:val="21"/>
        </w:rPr>
        <w:t>/</w:t>
      </w:r>
      <w:r w:rsidRPr="00E81E02">
        <w:rPr>
          <w:rFonts w:ascii="Times New Roman" w:hAnsi="Times New Roman" w:cs="Times New Roman"/>
          <w:sz w:val="21"/>
          <w:szCs w:val="21"/>
          <w:lang w:val="en-GB"/>
        </w:rPr>
        <w:t>esa</w:t>
      </w:r>
      <w:r w:rsidRPr="00E81E02">
        <w:rPr>
          <w:rFonts w:ascii="Times New Roman" w:hAnsi="Times New Roman" w:cs="Times New Roman"/>
          <w:sz w:val="21"/>
          <w:szCs w:val="21"/>
        </w:rPr>
        <w:t>/</w:t>
      </w:r>
      <w:r w:rsidRPr="00E81E02">
        <w:rPr>
          <w:rFonts w:ascii="Times New Roman" w:hAnsi="Times New Roman" w:cs="Times New Roman"/>
          <w:sz w:val="21"/>
          <w:szCs w:val="21"/>
          <w:lang w:val="en-GB"/>
        </w:rPr>
        <w:t>population</w:t>
      </w:r>
      <w:r w:rsidRPr="00E81E02">
        <w:rPr>
          <w:rFonts w:ascii="Times New Roman" w:hAnsi="Times New Roman" w:cs="Times New Roman"/>
          <w:sz w:val="21"/>
          <w:szCs w:val="21"/>
        </w:rPr>
        <w:t>/</w:t>
      </w:r>
      <w:r w:rsidRPr="00E81E02">
        <w:rPr>
          <w:rFonts w:ascii="Times New Roman" w:hAnsi="Times New Roman" w:cs="Times New Roman"/>
          <w:sz w:val="21"/>
          <w:szCs w:val="21"/>
          <w:lang w:val="en-GB"/>
        </w:rPr>
        <w:t>publications</w:t>
      </w:r>
      <w:r w:rsidRPr="00E81E02">
        <w:rPr>
          <w:rFonts w:ascii="Times New Roman" w:hAnsi="Times New Roman" w:cs="Times New Roman"/>
          <w:sz w:val="21"/>
          <w:szCs w:val="21"/>
        </w:rPr>
        <w:t>/2009</w:t>
      </w:r>
      <w:r w:rsidRPr="00E81E02">
        <w:rPr>
          <w:rFonts w:ascii="Times New Roman" w:hAnsi="Times New Roman" w:cs="Times New Roman"/>
          <w:sz w:val="21"/>
          <w:szCs w:val="21"/>
          <w:lang w:val="en-GB"/>
        </w:rPr>
        <w:t>Migration</w:t>
      </w:r>
      <w:r w:rsidRPr="00E81E02">
        <w:rPr>
          <w:rFonts w:ascii="Times New Roman" w:hAnsi="Times New Roman" w:cs="Times New Roman"/>
          <w:sz w:val="21"/>
          <w:szCs w:val="21"/>
        </w:rPr>
        <w:t>_</w:t>
      </w:r>
      <w:r w:rsidRPr="00E81E02">
        <w:rPr>
          <w:rFonts w:ascii="Times New Roman" w:hAnsi="Times New Roman" w:cs="Times New Roman"/>
          <w:sz w:val="21"/>
          <w:szCs w:val="21"/>
          <w:lang w:val="en-GB"/>
        </w:rPr>
        <w:t>Chart</w:t>
      </w:r>
      <w:r w:rsidRPr="00E81E02">
        <w:rPr>
          <w:rFonts w:ascii="Times New Roman" w:hAnsi="Times New Roman" w:cs="Times New Roman"/>
          <w:sz w:val="21"/>
          <w:szCs w:val="21"/>
        </w:rPr>
        <w:t>/2009</w:t>
      </w:r>
      <w:r w:rsidRPr="00E81E02">
        <w:rPr>
          <w:rFonts w:ascii="Times New Roman" w:hAnsi="Times New Roman" w:cs="Times New Roman"/>
          <w:sz w:val="21"/>
          <w:szCs w:val="21"/>
          <w:lang w:val="en-GB"/>
        </w:rPr>
        <w:t>IttMig</w:t>
      </w:r>
      <w:r w:rsidRPr="00E81E02">
        <w:rPr>
          <w:rFonts w:ascii="Times New Roman" w:hAnsi="Times New Roman" w:cs="Times New Roman"/>
          <w:sz w:val="21"/>
          <w:szCs w:val="21"/>
        </w:rPr>
        <w:t>_</w:t>
      </w:r>
      <w:r w:rsidRPr="00E81E02">
        <w:rPr>
          <w:rFonts w:ascii="Times New Roman" w:hAnsi="Times New Roman" w:cs="Times New Roman"/>
          <w:sz w:val="21"/>
          <w:szCs w:val="21"/>
          <w:lang w:val="en-GB"/>
        </w:rPr>
        <w:t>chart</w:t>
      </w:r>
      <w:r w:rsidRPr="00E81E02">
        <w:rPr>
          <w:rFonts w:ascii="Times New Roman" w:hAnsi="Times New Roman" w:cs="Times New Roman"/>
          <w:sz w:val="21"/>
          <w:szCs w:val="21"/>
        </w:rPr>
        <w:t>.</w:t>
      </w:r>
      <w:r w:rsidRPr="00E81E02">
        <w:rPr>
          <w:rFonts w:ascii="Times New Roman" w:hAnsi="Times New Roman" w:cs="Times New Roman"/>
          <w:sz w:val="21"/>
          <w:szCs w:val="21"/>
          <w:lang w:val="en-GB"/>
        </w:rPr>
        <w:t>htm</w:t>
      </w:r>
      <w:bookmarkEnd w:id="330"/>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332" w:name="_Ref435186354"/>
      <w:r>
        <w:rPr>
          <w:rFonts w:ascii="Times New Roman" w:hAnsi="Times New Roman" w:cs="Times New Roman"/>
          <w:sz w:val="21"/>
          <w:szCs w:val="21"/>
          <w:lang w:val="en-GB"/>
        </w:rPr>
        <w:t>Katseli L.</w:t>
      </w:r>
      <w:r>
        <w:rPr>
          <w:rFonts w:ascii="Times New Roman" w:hAnsi="Times New Roman" w:cs="Times New Roman"/>
          <w:sz w:val="21"/>
          <w:szCs w:val="21"/>
        </w:rPr>
        <w:t xml:space="preserve"> </w:t>
      </w:r>
      <w:r>
        <w:rPr>
          <w:rFonts w:ascii="Times New Roman" w:hAnsi="Times New Roman" w:cs="Times New Roman"/>
          <w:sz w:val="21"/>
          <w:szCs w:val="21"/>
          <w:lang w:val="en-GB"/>
        </w:rPr>
        <w:t xml:space="preserve">Effects of Migration </w:t>
      </w:r>
      <w:r w:rsidRPr="00882D46">
        <w:rPr>
          <w:rFonts w:ascii="Times New Roman" w:hAnsi="Times New Roman" w:cs="Times New Roman"/>
          <w:sz w:val="21"/>
          <w:szCs w:val="21"/>
          <w:lang w:val="en-GB"/>
        </w:rPr>
        <w:t>on Sending Countries</w:t>
      </w:r>
      <w:r>
        <w:rPr>
          <w:rFonts w:ascii="Times New Roman" w:hAnsi="Times New Roman" w:cs="Times New Roman"/>
          <w:sz w:val="21"/>
          <w:szCs w:val="21"/>
        </w:rPr>
        <w:t xml:space="preserve"> </w:t>
      </w:r>
      <w:r>
        <w:rPr>
          <w:rFonts w:ascii="Times New Roman" w:hAnsi="Times New Roman" w:cs="Times New Roman"/>
          <w:sz w:val="21"/>
          <w:szCs w:val="21"/>
          <w:lang w:val="en-GB"/>
        </w:rPr>
        <w:t>: What Do We Know</w:t>
      </w:r>
      <w:r>
        <w:rPr>
          <w:rFonts w:ascii="Times New Roman" w:hAnsi="Times New Roman" w:cs="Times New Roman"/>
          <w:sz w:val="21"/>
          <w:szCs w:val="21"/>
        </w:rPr>
        <w:t xml:space="preserve"> / </w:t>
      </w:r>
      <w:r w:rsidRPr="00882D46">
        <w:rPr>
          <w:rFonts w:ascii="Times New Roman" w:hAnsi="Times New Roman" w:cs="Times New Roman"/>
          <w:sz w:val="21"/>
          <w:szCs w:val="21"/>
          <w:lang w:val="en-GB"/>
        </w:rPr>
        <w:t>L.</w:t>
      </w:r>
      <w:r>
        <w:rPr>
          <w:rFonts w:ascii="Times New Roman" w:hAnsi="Times New Roman" w:cs="Times New Roman"/>
          <w:sz w:val="21"/>
          <w:szCs w:val="21"/>
        </w:rPr>
        <w:t xml:space="preserve"> </w:t>
      </w:r>
      <w:r w:rsidRPr="00882D46">
        <w:rPr>
          <w:rFonts w:ascii="Times New Roman" w:hAnsi="Times New Roman" w:cs="Times New Roman"/>
          <w:sz w:val="21"/>
          <w:szCs w:val="21"/>
          <w:lang w:val="en-GB"/>
        </w:rPr>
        <w:t>Katseli, R.</w:t>
      </w:r>
      <w:r>
        <w:rPr>
          <w:rFonts w:ascii="Times New Roman" w:hAnsi="Times New Roman" w:cs="Times New Roman"/>
          <w:sz w:val="21"/>
          <w:szCs w:val="21"/>
        </w:rPr>
        <w:t xml:space="preserve"> </w:t>
      </w:r>
      <w:r w:rsidRPr="00882D46">
        <w:rPr>
          <w:rFonts w:ascii="Times New Roman" w:hAnsi="Times New Roman" w:cs="Times New Roman"/>
          <w:sz w:val="21"/>
          <w:szCs w:val="21"/>
          <w:lang w:val="en-GB"/>
        </w:rPr>
        <w:t xml:space="preserve">Lucas, </w:t>
      </w:r>
      <w:r>
        <w:rPr>
          <w:rFonts w:ascii="Times New Roman" w:hAnsi="Times New Roman" w:cs="Times New Roman"/>
          <w:sz w:val="21"/>
          <w:szCs w:val="21"/>
          <w:lang w:val="en-GB"/>
        </w:rPr>
        <w:t>T.</w:t>
      </w:r>
      <w:r>
        <w:rPr>
          <w:rFonts w:ascii="Times New Roman" w:hAnsi="Times New Roman" w:cs="Times New Roman"/>
          <w:sz w:val="21"/>
          <w:szCs w:val="21"/>
        </w:rPr>
        <w:t xml:space="preserve"> </w:t>
      </w:r>
      <w:r w:rsidRPr="00882D46">
        <w:rPr>
          <w:rFonts w:ascii="Times New Roman" w:hAnsi="Times New Roman" w:cs="Times New Roman"/>
          <w:sz w:val="21"/>
          <w:szCs w:val="21"/>
          <w:lang w:val="en-GB"/>
        </w:rPr>
        <w:t>Xen</w:t>
      </w:r>
      <w:r>
        <w:rPr>
          <w:rFonts w:ascii="Times New Roman" w:hAnsi="Times New Roman" w:cs="Times New Roman"/>
          <w:sz w:val="21"/>
          <w:szCs w:val="21"/>
          <w:lang w:val="en-GB"/>
        </w:rPr>
        <w:t>ogiani</w:t>
      </w:r>
      <w:r>
        <w:rPr>
          <w:rFonts w:ascii="Times New Roman" w:hAnsi="Times New Roman" w:cs="Times New Roman"/>
          <w:sz w:val="21"/>
          <w:szCs w:val="21"/>
        </w:rPr>
        <w:t xml:space="preserve"> //</w:t>
      </w:r>
      <w:r w:rsidRPr="00882D46">
        <w:rPr>
          <w:rFonts w:ascii="Times New Roman" w:hAnsi="Times New Roman" w:cs="Times New Roman"/>
          <w:sz w:val="21"/>
          <w:szCs w:val="21"/>
          <w:lang w:val="en-GB"/>
        </w:rPr>
        <w:t xml:space="preserve"> Working Paper </w:t>
      </w:r>
      <w:r>
        <w:rPr>
          <w:rFonts w:ascii="Times New Roman" w:hAnsi="Times New Roman" w:cs="Times New Roman"/>
          <w:sz w:val="21"/>
          <w:szCs w:val="21"/>
        </w:rPr>
        <w:t xml:space="preserve">– </w:t>
      </w:r>
      <w:r w:rsidRPr="00882D46">
        <w:rPr>
          <w:rFonts w:ascii="Times New Roman" w:hAnsi="Times New Roman" w:cs="Times New Roman"/>
          <w:sz w:val="21"/>
          <w:szCs w:val="21"/>
          <w:lang w:val="en-GB"/>
        </w:rPr>
        <w:t xml:space="preserve">No. 250. </w:t>
      </w:r>
      <w:r>
        <w:rPr>
          <w:rFonts w:ascii="Times New Roman" w:hAnsi="Times New Roman" w:cs="Times New Roman"/>
          <w:sz w:val="21"/>
          <w:szCs w:val="21"/>
        </w:rPr>
        <w:t xml:space="preserve">- </w:t>
      </w:r>
      <w:r w:rsidRPr="00882D46">
        <w:rPr>
          <w:rFonts w:ascii="Times New Roman" w:hAnsi="Times New Roman" w:cs="Times New Roman"/>
          <w:sz w:val="21"/>
          <w:szCs w:val="21"/>
          <w:lang w:val="en-GB"/>
        </w:rPr>
        <w:t xml:space="preserve">Paris </w:t>
      </w:r>
      <w:r>
        <w:rPr>
          <w:rFonts w:ascii="Times New Roman" w:hAnsi="Times New Roman" w:cs="Times New Roman"/>
          <w:sz w:val="21"/>
          <w:szCs w:val="21"/>
        </w:rPr>
        <w:t xml:space="preserve">: </w:t>
      </w:r>
      <w:r>
        <w:rPr>
          <w:rFonts w:ascii="Times New Roman" w:hAnsi="Times New Roman" w:cs="Times New Roman"/>
          <w:sz w:val="21"/>
          <w:szCs w:val="21"/>
          <w:lang w:val="en-GB"/>
        </w:rPr>
        <w:t>OECD Development Centre,</w:t>
      </w:r>
      <w:r w:rsidRPr="00882D46">
        <w:rPr>
          <w:rFonts w:ascii="Times New Roman" w:hAnsi="Times New Roman" w:cs="Times New Roman"/>
          <w:sz w:val="21"/>
          <w:szCs w:val="21"/>
          <w:lang w:val="en-GB"/>
        </w:rPr>
        <w:t xml:space="preserve"> 2006.</w:t>
      </w:r>
      <w:bookmarkEnd w:id="331"/>
      <w:bookmarkEnd w:id="332"/>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333" w:name="_Ref435187215"/>
      <w:r w:rsidRPr="00882D46">
        <w:rPr>
          <w:rFonts w:ascii="Times New Roman" w:hAnsi="Times New Roman" w:cs="Times New Roman"/>
          <w:sz w:val="21"/>
          <w:szCs w:val="21"/>
          <w:lang w:val="en-US"/>
        </w:rPr>
        <w:t>Kritz M</w:t>
      </w:r>
      <w:r>
        <w:rPr>
          <w:rFonts w:ascii="Times New Roman" w:hAnsi="Times New Roman" w:cs="Times New Roman"/>
          <w:sz w:val="21"/>
          <w:szCs w:val="21"/>
          <w:lang w:val="en-US"/>
        </w:rPr>
        <w:t>.</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International Migration Systems</w:t>
      </w:r>
      <w:r>
        <w:rPr>
          <w:rFonts w:ascii="Times New Roman" w:hAnsi="Times New Roman" w:cs="Times New Roman"/>
          <w:sz w:val="21"/>
          <w:szCs w:val="21"/>
        </w:rPr>
        <w:t xml:space="preserve"> </w:t>
      </w:r>
      <w:r>
        <w:rPr>
          <w:rFonts w:ascii="Times New Roman" w:hAnsi="Times New Roman" w:cs="Times New Roman"/>
          <w:sz w:val="21"/>
          <w:szCs w:val="21"/>
          <w:lang w:val="en-US"/>
        </w:rPr>
        <w:t>: a Global Approach</w:t>
      </w:r>
      <w:r>
        <w:rPr>
          <w:rFonts w:ascii="Times New Roman" w:hAnsi="Times New Roman" w:cs="Times New Roman"/>
          <w:sz w:val="21"/>
          <w:szCs w:val="21"/>
        </w:rPr>
        <w:t xml:space="preserve"> / </w:t>
      </w:r>
      <w:r w:rsidRPr="00882D46">
        <w:rPr>
          <w:rFonts w:ascii="Times New Roman" w:hAnsi="Times New Roman" w:cs="Times New Roman"/>
          <w:sz w:val="21"/>
          <w:szCs w:val="21"/>
          <w:lang w:val="en-US"/>
        </w:rPr>
        <w:t>M</w:t>
      </w:r>
      <w:r>
        <w:rPr>
          <w:rFonts w:ascii="Times New Roman" w:hAnsi="Times New Roman" w:cs="Times New Roman"/>
          <w:sz w:val="21"/>
          <w:szCs w:val="21"/>
          <w:lang w:val="en-US"/>
        </w:rPr>
        <w:t>.</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Kritz</w:t>
      </w:r>
      <w:r>
        <w:rPr>
          <w:rFonts w:ascii="Times New Roman" w:hAnsi="Times New Roman" w:cs="Times New Roman"/>
          <w:sz w:val="21"/>
          <w:szCs w:val="21"/>
          <w:lang w:val="en-US"/>
        </w:rPr>
        <w:t>, L</w:t>
      </w:r>
      <w:r>
        <w:rPr>
          <w:rFonts w:ascii="Times New Roman" w:hAnsi="Times New Roman" w:cs="Times New Roman"/>
          <w:sz w:val="21"/>
          <w:szCs w:val="21"/>
        </w:rPr>
        <w:t xml:space="preserve">. </w:t>
      </w:r>
      <w:r>
        <w:rPr>
          <w:rFonts w:ascii="Times New Roman" w:hAnsi="Times New Roman" w:cs="Times New Roman"/>
          <w:sz w:val="21"/>
          <w:szCs w:val="21"/>
          <w:lang w:val="en-US"/>
        </w:rPr>
        <w:t>Lin</w:t>
      </w:r>
      <w:r w:rsidRPr="00882D46">
        <w:rPr>
          <w:rFonts w:ascii="Times New Roman" w:hAnsi="Times New Roman" w:cs="Times New Roman"/>
          <w:sz w:val="21"/>
          <w:szCs w:val="21"/>
          <w:lang w:val="en-US"/>
        </w:rPr>
        <w:t>, H.</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Zlotnik</w:t>
      </w:r>
      <w:r>
        <w:rPr>
          <w:rFonts w:ascii="Times New Roman" w:hAnsi="Times New Roman" w:cs="Times New Roman"/>
          <w:sz w:val="21"/>
          <w:szCs w:val="21"/>
        </w:rPr>
        <w:t>. –</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New York</w:t>
      </w:r>
      <w:r>
        <w:rPr>
          <w:rFonts w:ascii="Times New Roman" w:hAnsi="Times New Roman" w:cs="Times New Roman"/>
          <w:sz w:val="21"/>
          <w:szCs w:val="21"/>
        </w:rPr>
        <w:t xml:space="preserve"> : Oxford University Press, 1992. –</w:t>
      </w:r>
      <w:r w:rsidRPr="00882D46">
        <w:rPr>
          <w:rFonts w:ascii="Times New Roman" w:hAnsi="Times New Roman" w:cs="Times New Roman"/>
          <w:sz w:val="21"/>
          <w:szCs w:val="21"/>
        </w:rPr>
        <w:t xml:space="preserve"> 354 p.</w:t>
      </w:r>
      <w:bookmarkEnd w:id="333"/>
    </w:p>
    <w:p w:rsidR="00B233DE" w:rsidRPr="00EA4A6F"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34" w:name="_Ref435182570"/>
      <w:r w:rsidRPr="00882D46">
        <w:rPr>
          <w:rFonts w:ascii="Times New Roman" w:hAnsi="Times New Roman" w:cs="Times New Roman"/>
          <w:spacing w:val="-8"/>
          <w:sz w:val="21"/>
          <w:szCs w:val="21"/>
          <w:lang w:val="en-GB"/>
        </w:rPr>
        <w:t>Leipziger M.</w:t>
      </w:r>
      <w:r>
        <w:rPr>
          <w:rFonts w:ascii="Times New Roman" w:hAnsi="Times New Roman" w:cs="Times New Roman"/>
          <w:spacing w:val="-8"/>
          <w:sz w:val="21"/>
          <w:szCs w:val="21"/>
        </w:rPr>
        <w:t xml:space="preserve"> </w:t>
      </w:r>
      <w:r>
        <w:rPr>
          <w:rFonts w:ascii="Times New Roman" w:hAnsi="Times New Roman" w:cs="Times New Roman"/>
          <w:spacing w:val="-8"/>
          <w:sz w:val="21"/>
          <w:szCs w:val="21"/>
          <w:lang w:val="en-GB"/>
        </w:rPr>
        <w:t xml:space="preserve">D. </w:t>
      </w:r>
      <w:r>
        <w:rPr>
          <w:rFonts w:ascii="Times New Roman" w:hAnsi="Times New Roman" w:cs="Times New Roman"/>
          <w:spacing w:val="-8"/>
          <w:sz w:val="21"/>
          <w:szCs w:val="21"/>
        </w:rPr>
        <w:t>«</w:t>
      </w:r>
      <w:r w:rsidRPr="00882D46">
        <w:rPr>
          <w:rFonts w:ascii="Times New Roman" w:hAnsi="Times New Roman" w:cs="Times New Roman"/>
          <w:spacing w:val="-8"/>
          <w:sz w:val="21"/>
          <w:szCs w:val="21"/>
          <w:lang w:val="en-GB"/>
        </w:rPr>
        <w:t>Brain Drain</w:t>
      </w:r>
      <w:r>
        <w:rPr>
          <w:rFonts w:ascii="Times New Roman" w:hAnsi="Times New Roman" w:cs="Times New Roman"/>
          <w:spacing w:val="-8"/>
          <w:sz w:val="21"/>
          <w:szCs w:val="21"/>
        </w:rPr>
        <w:t>»</w:t>
      </w:r>
      <w:r w:rsidRPr="00882D46">
        <w:rPr>
          <w:rFonts w:ascii="Times New Roman" w:hAnsi="Times New Roman" w:cs="Times New Roman"/>
          <w:spacing w:val="-8"/>
          <w:sz w:val="21"/>
          <w:szCs w:val="21"/>
          <w:lang w:val="en-GB"/>
        </w:rPr>
        <w:t xml:space="preserve"> and the Global M</w:t>
      </w:r>
      <w:r>
        <w:rPr>
          <w:rFonts w:ascii="Times New Roman" w:hAnsi="Times New Roman" w:cs="Times New Roman"/>
          <w:spacing w:val="-8"/>
          <w:sz w:val="21"/>
          <w:szCs w:val="21"/>
          <w:lang w:val="en-GB"/>
        </w:rPr>
        <w:t>obility of High-Skilled Talent</w:t>
      </w:r>
      <w:r>
        <w:rPr>
          <w:rFonts w:ascii="Times New Roman" w:hAnsi="Times New Roman" w:cs="Times New Roman"/>
          <w:spacing w:val="-8"/>
          <w:sz w:val="21"/>
          <w:szCs w:val="21"/>
        </w:rPr>
        <w:t xml:space="preserve"> / </w:t>
      </w:r>
      <w:r w:rsidRPr="00882D46">
        <w:rPr>
          <w:rFonts w:ascii="Times New Roman" w:hAnsi="Times New Roman" w:cs="Times New Roman"/>
          <w:spacing w:val="-8"/>
          <w:sz w:val="21"/>
          <w:szCs w:val="21"/>
          <w:lang w:val="en-GB"/>
        </w:rPr>
        <w:t>M.</w:t>
      </w:r>
      <w:r>
        <w:rPr>
          <w:rFonts w:ascii="Times New Roman" w:hAnsi="Times New Roman" w:cs="Times New Roman"/>
          <w:spacing w:val="-8"/>
          <w:sz w:val="21"/>
          <w:szCs w:val="21"/>
        </w:rPr>
        <w:t xml:space="preserve"> </w:t>
      </w:r>
      <w:r>
        <w:rPr>
          <w:rFonts w:ascii="Times New Roman" w:hAnsi="Times New Roman" w:cs="Times New Roman"/>
          <w:spacing w:val="-8"/>
          <w:sz w:val="21"/>
          <w:szCs w:val="21"/>
          <w:lang w:val="en-GB"/>
        </w:rPr>
        <w:t>D.</w:t>
      </w:r>
      <w:r>
        <w:rPr>
          <w:rFonts w:ascii="Times New Roman" w:hAnsi="Times New Roman" w:cs="Times New Roman"/>
          <w:spacing w:val="-8"/>
          <w:sz w:val="21"/>
          <w:szCs w:val="21"/>
        </w:rPr>
        <w:t xml:space="preserve"> </w:t>
      </w:r>
      <w:r w:rsidRPr="00882D46">
        <w:rPr>
          <w:rFonts w:ascii="Times New Roman" w:hAnsi="Times New Roman" w:cs="Times New Roman"/>
          <w:spacing w:val="-8"/>
          <w:sz w:val="21"/>
          <w:szCs w:val="21"/>
          <w:lang w:val="en-GB"/>
        </w:rPr>
        <w:t>Leipziger</w:t>
      </w:r>
      <w:r>
        <w:rPr>
          <w:rFonts w:ascii="Times New Roman" w:hAnsi="Times New Roman" w:cs="Times New Roman"/>
          <w:spacing w:val="-8"/>
          <w:sz w:val="21"/>
          <w:szCs w:val="21"/>
        </w:rPr>
        <w:t>. –</w:t>
      </w:r>
      <w:r w:rsidRPr="00882D46">
        <w:rPr>
          <w:rFonts w:ascii="Times New Roman" w:hAnsi="Times New Roman" w:cs="Times New Roman"/>
          <w:spacing w:val="-8"/>
          <w:sz w:val="21"/>
          <w:szCs w:val="21"/>
          <w:lang w:val="en-GB"/>
        </w:rPr>
        <w:t xml:space="preserve"> World</w:t>
      </w:r>
      <w:r w:rsidRPr="00882D46">
        <w:rPr>
          <w:rFonts w:ascii="Times New Roman" w:hAnsi="Times New Roman" w:cs="Times New Roman"/>
          <w:spacing w:val="-8"/>
          <w:sz w:val="21"/>
          <w:szCs w:val="21"/>
        </w:rPr>
        <w:t xml:space="preserve"> </w:t>
      </w:r>
      <w:r w:rsidRPr="00882D46">
        <w:rPr>
          <w:rFonts w:ascii="Times New Roman" w:hAnsi="Times New Roman" w:cs="Times New Roman"/>
          <w:spacing w:val="-8"/>
          <w:sz w:val="21"/>
          <w:szCs w:val="21"/>
          <w:lang w:val="en-GB"/>
        </w:rPr>
        <w:t>Bank</w:t>
      </w:r>
      <w:r>
        <w:rPr>
          <w:rFonts w:ascii="Times New Roman" w:hAnsi="Times New Roman" w:cs="Times New Roman"/>
          <w:spacing w:val="-8"/>
          <w:sz w:val="21"/>
          <w:szCs w:val="21"/>
        </w:rPr>
        <w:t>, 2008. – 132 р.</w:t>
      </w:r>
      <w:bookmarkEnd w:id="334"/>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35" w:name="_Ref435187496"/>
      <w:r>
        <w:rPr>
          <w:rFonts w:ascii="Times New Roman" w:hAnsi="Times New Roman" w:cs="Times New Roman"/>
          <w:sz w:val="21"/>
          <w:szCs w:val="21"/>
          <w:lang w:val="en-US"/>
        </w:rPr>
        <w:t>Mansoor A.</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Migration and Remittances</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 Eastern Europe and the Former Soviet Union</w:t>
      </w:r>
      <w:r>
        <w:rPr>
          <w:rFonts w:ascii="Times New Roman" w:hAnsi="Times New Roman" w:cs="Times New Roman"/>
          <w:sz w:val="21"/>
          <w:szCs w:val="21"/>
        </w:rPr>
        <w:t xml:space="preserve"> / </w:t>
      </w:r>
      <w:r w:rsidRPr="00882D46">
        <w:rPr>
          <w:rFonts w:ascii="Times New Roman" w:hAnsi="Times New Roman" w:cs="Times New Roman"/>
          <w:sz w:val="21"/>
          <w:szCs w:val="21"/>
          <w:lang w:val="en-US"/>
        </w:rPr>
        <w:t>A.</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Mansoor, B.</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Quillin</w:t>
      </w:r>
      <w:r>
        <w:rPr>
          <w:rFonts w:ascii="Times New Roman" w:hAnsi="Times New Roman" w:cs="Times New Roman"/>
          <w:sz w:val="21"/>
          <w:szCs w:val="21"/>
        </w:rPr>
        <w:t>. –</w:t>
      </w:r>
      <w:r w:rsidRPr="00882D46">
        <w:rPr>
          <w:rFonts w:ascii="Times New Roman" w:hAnsi="Times New Roman" w:cs="Times New Roman"/>
          <w:sz w:val="21"/>
          <w:szCs w:val="21"/>
          <w:lang w:val="en-US"/>
        </w:rPr>
        <w:t xml:space="preserve"> The World Bank, 2007</w:t>
      </w:r>
      <w:r>
        <w:rPr>
          <w:rFonts w:ascii="Times New Roman" w:hAnsi="Times New Roman" w:cs="Times New Roman"/>
          <w:sz w:val="21"/>
          <w:szCs w:val="21"/>
        </w:rPr>
        <w:t>. –</w:t>
      </w:r>
      <w:r w:rsidRPr="00882D46">
        <w:rPr>
          <w:rFonts w:ascii="Times New Roman" w:hAnsi="Times New Roman" w:cs="Times New Roman"/>
          <w:sz w:val="21"/>
          <w:szCs w:val="21"/>
          <w:lang w:val="en-US"/>
        </w:rPr>
        <w:t xml:space="preserve"> 214</w:t>
      </w:r>
      <w:r w:rsidRPr="00882D46">
        <w:rPr>
          <w:rFonts w:ascii="Times New Roman" w:hAnsi="Times New Roman" w:cs="Times New Roman"/>
          <w:sz w:val="21"/>
          <w:szCs w:val="21"/>
        </w:rPr>
        <w:t xml:space="preserve"> </w:t>
      </w:r>
      <w:r w:rsidRPr="00882D46">
        <w:rPr>
          <w:rFonts w:ascii="Times New Roman" w:hAnsi="Times New Roman" w:cs="Times New Roman"/>
          <w:sz w:val="21"/>
          <w:szCs w:val="21"/>
          <w:lang w:val="en-US"/>
        </w:rPr>
        <w:t>p.</w:t>
      </w:r>
      <w:bookmarkEnd w:id="335"/>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36" w:name="_Ref435187241"/>
      <w:r w:rsidRPr="00882D46">
        <w:rPr>
          <w:rFonts w:ascii="Times New Roman" w:hAnsi="Times New Roman" w:cs="Times New Roman"/>
          <w:iCs/>
          <w:sz w:val="21"/>
          <w:szCs w:val="21"/>
          <w:lang w:val="en-US"/>
        </w:rPr>
        <w:t>Migrant Integration Policy Index [</w:t>
      </w:r>
      <w:r w:rsidRPr="00882D46">
        <w:rPr>
          <w:rFonts w:ascii="Times New Roman" w:hAnsi="Times New Roman" w:cs="Times New Roman"/>
          <w:iCs/>
          <w:sz w:val="21"/>
          <w:szCs w:val="21"/>
        </w:rPr>
        <w:t>Електронний</w:t>
      </w:r>
      <w:r w:rsidRPr="00882D46">
        <w:rPr>
          <w:rFonts w:ascii="Times New Roman" w:hAnsi="Times New Roman" w:cs="Times New Roman"/>
          <w:iCs/>
          <w:sz w:val="21"/>
          <w:szCs w:val="21"/>
          <w:lang w:val="en-US"/>
        </w:rPr>
        <w:t xml:space="preserve"> </w:t>
      </w:r>
      <w:r w:rsidRPr="00882D46">
        <w:rPr>
          <w:rFonts w:ascii="Times New Roman" w:hAnsi="Times New Roman" w:cs="Times New Roman"/>
          <w:iCs/>
          <w:sz w:val="21"/>
          <w:szCs w:val="21"/>
        </w:rPr>
        <w:t>ресурс</w:t>
      </w:r>
      <w:r w:rsidRPr="00882D46">
        <w:rPr>
          <w:rFonts w:ascii="Times New Roman" w:hAnsi="Times New Roman" w:cs="Times New Roman"/>
          <w:iCs/>
          <w:sz w:val="21"/>
          <w:szCs w:val="21"/>
          <w:lang w:val="en-US"/>
        </w:rPr>
        <w:t xml:space="preserve">]. – </w:t>
      </w:r>
      <w:r w:rsidRPr="00882D46">
        <w:rPr>
          <w:rFonts w:ascii="Times New Roman" w:hAnsi="Times New Roman" w:cs="Times New Roman"/>
          <w:sz w:val="21"/>
          <w:szCs w:val="21"/>
        </w:rPr>
        <w:t>Режим</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доступу</w:t>
      </w:r>
      <w:r w:rsidRPr="00882D46">
        <w:rPr>
          <w:rFonts w:ascii="Times New Roman" w:hAnsi="Times New Roman" w:cs="Times New Roman"/>
          <w:sz w:val="21"/>
          <w:szCs w:val="21"/>
          <w:lang w:val="en-US"/>
        </w:rPr>
        <w:t xml:space="preserve"> : </w:t>
      </w:r>
      <w:hyperlink r:id="rId115" w:history="1">
        <w:r w:rsidRPr="00882D46">
          <w:rPr>
            <w:rFonts w:ascii="Times New Roman" w:hAnsi="Times New Roman" w:cs="Times New Roman"/>
            <w:sz w:val="21"/>
            <w:szCs w:val="21"/>
            <w:lang w:val="en-US"/>
          </w:rPr>
          <w:t>http://www.mipex.eu/</w:t>
        </w:r>
      </w:hyperlink>
      <w:bookmarkEnd w:id="336"/>
    </w:p>
    <w:p w:rsidR="00B233DE" w:rsidRPr="008342D2"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37" w:name="_Ref435186377"/>
      <w:r w:rsidRPr="00882D46">
        <w:rPr>
          <w:rFonts w:ascii="Times New Roman" w:hAnsi="Times New Roman" w:cs="Times New Roman"/>
          <w:sz w:val="21"/>
          <w:szCs w:val="21"/>
          <w:lang w:val="en-US"/>
        </w:rPr>
        <w:t>M</w:t>
      </w:r>
      <w:r>
        <w:rPr>
          <w:rFonts w:ascii="Times New Roman" w:hAnsi="Times New Roman" w:cs="Times New Roman"/>
          <w:sz w:val="21"/>
          <w:szCs w:val="21"/>
          <w:lang w:val="en-US"/>
        </w:rPr>
        <w:t>igration and Development Brief</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w:t>
      </w:r>
      <w:r w:rsidRPr="00882D46">
        <w:rPr>
          <w:rFonts w:ascii="Times New Roman" w:hAnsi="Times New Roman" w:cs="Times New Roman"/>
          <w:sz w:val="21"/>
          <w:szCs w:val="21"/>
        </w:rPr>
        <w:t>Електронний</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ресурс</w:t>
      </w:r>
      <w:r w:rsidRPr="00882D46">
        <w:rPr>
          <w:rFonts w:ascii="Times New Roman" w:hAnsi="Times New Roman" w:cs="Times New Roman"/>
          <w:sz w:val="21"/>
          <w:szCs w:val="21"/>
          <w:lang w:val="en-US"/>
        </w:rPr>
        <w:t>]</w:t>
      </w:r>
      <w:r>
        <w:rPr>
          <w:rFonts w:ascii="Times New Roman" w:hAnsi="Times New Roman" w:cs="Times New Roman"/>
          <w:sz w:val="21"/>
          <w:szCs w:val="21"/>
        </w:rPr>
        <w:t>. –</w:t>
      </w:r>
      <w:r w:rsidRPr="00882D46">
        <w:rPr>
          <w:rFonts w:ascii="Times New Roman" w:hAnsi="Times New Roman" w:cs="Times New Roman"/>
          <w:sz w:val="21"/>
          <w:szCs w:val="21"/>
          <w:lang w:val="en-US"/>
        </w:rPr>
        <w:t xml:space="preserve"> The World Bank. – </w:t>
      </w:r>
      <w:r w:rsidRPr="00882D46">
        <w:rPr>
          <w:rFonts w:ascii="Times New Roman" w:hAnsi="Times New Roman" w:cs="Times New Roman"/>
          <w:sz w:val="21"/>
          <w:szCs w:val="21"/>
        </w:rPr>
        <w:t>Режим</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доступу</w:t>
      </w:r>
      <w:r w:rsidRPr="00882D46">
        <w:rPr>
          <w:rFonts w:ascii="Times New Roman" w:hAnsi="Times New Roman" w:cs="Times New Roman"/>
          <w:sz w:val="21"/>
          <w:szCs w:val="21"/>
          <w:lang w:val="en-US"/>
        </w:rPr>
        <w:t xml:space="preserve"> : </w:t>
      </w:r>
      <w:hyperlink r:id="rId116" w:history="1">
        <w:r w:rsidRPr="00882D46">
          <w:rPr>
            <w:rFonts w:ascii="Times New Roman" w:hAnsi="Times New Roman" w:cs="Times New Roman"/>
            <w:sz w:val="21"/>
            <w:szCs w:val="21"/>
            <w:lang w:val="en-US"/>
          </w:rPr>
          <w:t>http://siteresources.worldbank.</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lastRenderedPageBreak/>
          <w:t>org</w:t>
        </w:r>
        <w:r>
          <w:rPr>
            <w:rFonts w:ascii="Times New Roman" w:hAnsi="Times New Roman" w:cs="Times New Roman"/>
            <w:sz w:val="21"/>
            <w:szCs w:val="21"/>
            <w:lang w:val="en-US"/>
          </w:rPr>
          <w:t>/INTPROSPECTS/Resources/334934</w:t>
        </w:r>
        <w:r>
          <w:rPr>
            <w:rFonts w:ascii="Times New Roman" w:hAnsi="Times New Roman" w:cs="Times New Roman"/>
            <w:sz w:val="21"/>
            <w:szCs w:val="21"/>
          </w:rPr>
          <w:t>-</w:t>
        </w:r>
        <w:r w:rsidRPr="00882D46">
          <w:rPr>
            <w:rFonts w:ascii="Times New Roman" w:hAnsi="Times New Roman" w:cs="Times New Roman"/>
            <w:sz w:val="21"/>
            <w:szCs w:val="21"/>
            <w:lang w:val="en-US"/>
          </w:rPr>
          <w:t>1288990760745/Migration</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DevelopmentBrief20.pdf</w:t>
        </w:r>
      </w:hyperlink>
      <w:bookmarkEnd w:id="337"/>
    </w:p>
    <w:p w:rsidR="00B233DE" w:rsidRPr="008342D2" w:rsidRDefault="00B233DE" w:rsidP="00B233DE">
      <w:pPr>
        <w:pStyle w:val="ad"/>
        <w:numPr>
          <w:ilvl w:val="0"/>
          <w:numId w:val="21"/>
        </w:numPr>
        <w:tabs>
          <w:tab w:val="num" w:pos="1080"/>
          <w:tab w:val="left" w:pos="1134"/>
          <w:tab w:val="num" w:pos="3102"/>
        </w:tabs>
        <w:ind w:left="0" w:firstLine="709"/>
        <w:jc w:val="both"/>
        <w:rPr>
          <w:rStyle w:val="HTML1"/>
          <w:rFonts w:ascii="Times New Roman" w:hAnsi="Times New Roman" w:cs="Times New Roman"/>
          <w:i w:val="0"/>
          <w:iCs w:val="0"/>
          <w:sz w:val="21"/>
          <w:szCs w:val="21"/>
          <w:lang w:val="en-US"/>
        </w:rPr>
      </w:pPr>
      <w:bookmarkStart w:id="338" w:name="_Ref435187541"/>
      <w:r w:rsidRPr="008342D2">
        <w:rPr>
          <w:rStyle w:val="HTML1"/>
          <w:rFonts w:ascii="Times New Roman" w:hAnsi="Times New Roman" w:cs="Times New Roman"/>
          <w:i w:val="0"/>
          <w:sz w:val="21"/>
          <w:szCs w:val="21"/>
          <w:lang w:val="en-US"/>
        </w:rPr>
        <w:t>Migration and Remittances Factbook 2008</w:t>
      </w:r>
      <w:r w:rsidRPr="008342D2">
        <w:rPr>
          <w:rStyle w:val="HTML1"/>
          <w:rFonts w:ascii="Times New Roman" w:hAnsi="Times New Roman" w:cs="Times New Roman"/>
          <w:i w:val="0"/>
          <w:sz w:val="21"/>
          <w:szCs w:val="21"/>
        </w:rPr>
        <w:t xml:space="preserve">. </w:t>
      </w:r>
      <w:r w:rsidRPr="008342D2">
        <w:rPr>
          <w:rStyle w:val="HTML1"/>
          <w:rFonts w:ascii="Times New Roman" w:hAnsi="Times New Roman" w:cs="Times New Roman"/>
          <w:i w:val="0"/>
          <w:sz w:val="21"/>
          <w:szCs w:val="21"/>
          <w:lang w:val="en-US"/>
        </w:rPr>
        <w:t>The International Bank for Reconstruction and Development</w:t>
      </w:r>
      <w:r w:rsidRPr="008342D2">
        <w:rPr>
          <w:rStyle w:val="HTML1"/>
          <w:rFonts w:ascii="Times New Roman" w:hAnsi="Times New Roman" w:cs="Times New Roman"/>
          <w:i w:val="0"/>
          <w:sz w:val="21"/>
          <w:szCs w:val="21"/>
        </w:rPr>
        <w:t>.</w:t>
      </w:r>
      <w:r w:rsidRPr="008342D2">
        <w:rPr>
          <w:rStyle w:val="HTML1"/>
          <w:rFonts w:ascii="Times New Roman" w:hAnsi="Times New Roman" w:cs="Times New Roman"/>
          <w:i w:val="0"/>
          <w:sz w:val="21"/>
          <w:szCs w:val="21"/>
          <w:lang w:val="en-US"/>
        </w:rPr>
        <w:t xml:space="preserve"> </w:t>
      </w:r>
      <w:r w:rsidRPr="008342D2">
        <w:rPr>
          <w:rStyle w:val="HTML1"/>
          <w:rFonts w:ascii="Times New Roman" w:hAnsi="Times New Roman" w:cs="Times New Roman"/>
          <w:i w:val="0"/>
          <w:sz w:val="21"/>
          <w:szCs w:val="21"/>
        </w:rPr>
        <w:t xml:space="preserve">– </w:t>
      </w:r>
      <w:r w:rsidRPr="008342D2">
        <w:rPr>
          <w:rStyle w:val="HTML1"/>
          <w:rFonts w:ascii="Times New Roman" w:hAnsi="Times New Roman" w:cs="Times New Roman"/>
          <w:i w:val="0"/>
          <w:sz w:val="21"/>
          <w:szCs w:val="21"/>
          <w:lang w:val="en-US"/>
        </w:rPr>
        <w:t>The</w:t>
      </w:r>
      <w:r w:rsidRPr="008342D2">
        <w:rPr>
          <w:rStyle w:val="HTML1"/>
          <w:rFonts w:ascii="Times New Roman" w:hAnsi="Times New Roman" w:cs="Times New Roman"/>
          <w:i w:val="0"/>
          <w:sz w:val="21"/>
          <w:szCs w:val="21"/>
        </w:rPr>
        <w:t xml:space="preserve"> </w:t>
      </w:r>
      <w:r w:rsidRPr="008342D2">
        <w:rPr>
          <w:rStyle w:val="HTML1"/>
          <w:rFonts w:ascii="Times New Roman" w:hAnsi="Times New Roman" w:cs="Times New Roman"/>
          <w:i w:val="0"/>
          <w:sz w:val="21"/>
          <w:szCs w:val="21"/>
          <w:lang w:val="en-US"/>
        </w:rPr>
        <w:t>World</w:t>
      </w:r>
      <w:r w:rsidRPr="008342D2">
        <w:rPr>
          <w:rStyle w:val="HTML1"/>
          <w:rFonts w:ascii="Times New Roman" w:hAnsi="Times New Roman" w:cs="Times New Roman"/>
          <w:i w:val="0"/>
          <w:sz w:val="21"/>
          <w:szCs w:val="21"/>
        </w:rPr>
        <w:t xml:space="preserve"> </w:t>
      </w:r>
      <w:r w:rsidRPr="008342D2">
        <w:rPr>
          <w:rStyle w:val="HTML1"/>
          <w:rFonts w:ascii="Times New Roman" w:hAnsi="Times New Roman" w:cs="Times New Roman"/>
          <w:i w:val="0"/>
          <w:sz w:val="21"/>
          <w:szCs w:val="21"/>
          <w:lang w:val="en-US"/>
        </w:rPr>
        <w:t>Bank</w:t>
      </w:r>
      <w:r w:rsidRPr="008342D2">
        <w:rPr>
          <w:rStyle w:val="HTML1"/>
          <w:rFonts w:ascii="Times New Roman" w:hAnsi="Times New Roman" w:cs="Times New Roman"/>
          <w:i w:val="0"/>
          <w:sz w:val="21"/>
          <w:szCs w:val="21"/>
        </w:rPr>
        <w:t xml:space="preserve">, 2008. – 240 </w:t>
      </w:r>
      <w:r w:rsidRPr="008342D2">
        <w:rPr>
          <w:rStyle w:val="HTML1"/>
          <w:rFonts w:ascii="Times New Roman" w:hAnsi="Times New Roman" w:cs="Times New Roman"/>
          <w:i w:val="0"/>
          <w:sz w:val="21"/>
          <w:szCs w:val="21"/>
          <w:lang w:val="en-US"/>
        </w:rPr>
        <w:t>p</w:t>
      </w:r>
      <w:r w:rsidRPr="008342D2">
        <w:rPr>
          <w:rStyle w:val="HTML1"/>
          <w:rFonts w:ascii="Times New Roman" w:hAnsi="Times New Roman" w:cs="Times New Roman"/>
          <w:i w:val="0"/>
          <w:sz w:val="21"/>
          <w:szCs w:val="21"/>
        </w:rPr>
        <w:t>.</w:t>
      </w:r>
      <w:bookmarkEnd w:id="338"/>
    </w:p>
    <w:p w:rsidR="00B233DE" w:rsidRPr="008342D2" w:rsidRDefault="00B233DE" w:rsidP="00B233DE">
      <w:pPr>
        <w:pStyle w:val="ad"/>
        <w:numPr>
          <w:ilvl w:val="0"/>
          <w:numId w:val="21"/>
        </w:numPr>
        <w:tabs>
          <w:tab w:val="num" w:pos="1080"/>
          <w:tab w:val="left" w:pos="1134"/>
          <w:tab w:val="num" w:pos="3102"/>
        </w:tabs>
        <w:ind w:left="0" w:firstLine="709"/>
        <w:jc w:val="both"/>
        <w:rPr>
          <w:rStyle w:val="HTML1"/>
          <w:rFonts w:ascii="Times New Roman" w:hAnsi="Times New Roman" w:cs="Times New Roman"/>
          <w:i w:val="0"/>
          <w:iCs w:val="0"/>
          <w:sz w:val="21"/>
          <w:szCs w:val="21"/>
          <w:lang w:val="en-US"/>
        </w:rPr>
      </w:pPr>
      <w:bookmarkStart w:id="339" w:name="_Ref435187546"/>
      <w:r w:rsidRPr="00882D46">
        <w:rPr>
          <w:rStyle w:val="HTML1"/>
          <w:rFonts w:ascii="Times New Roman" w:hAnsi="Times New Roman" w:cs="Times New Roman"/>
          <w:i w:val="0"/>
          <w:sz w:val="21"/>
          <w:szCs w:val="21"/>
          <w:lang w:val="en-US"/>
        </w:rPr>
        <w:t>Migration and Remittances Factbook 2011</w:t>
      </w:r>
      <w:r w:rsidRPr="00882D46">
        <w:rPr>
          <w:rStyle w:val="HTML1"/>
          <w:rFonts w:ascii="Times New Roman" w:hAnsi="Times New Roman" w:cs="Times New Roman"/>
          <w:i w:val="0"/>
          <w:sz w:val="21"/>
          <w:szCs w:val="21"/>
        </w:rPr>
        <w:t>.</w:t>
      </w:r>
      <w:r w:rsidRPr="00882D46">
        <w:rPr>
          <w:rStyle w:val="HTML1"/>
          <w:rFonts w:ascii="Times New Roman" w:hAnsi="Times New Roman" w:cs="Times New Roman"/>
          <w:i w:val="0"/>
          <w:sz w:val="21"/>
          <w:szCs w:val="21"/>
          <w:lang w:val="en-US"/>
        </w:rPr>
        <w:t xml:space="preserve"> The International Bank for Reconstruction and Development</w:t>
      </w:r>
      <w:r w:rsidRPr="00882D46">
        <w:rPr>
          <w:rStyle w:val="HTML1"/>
          <w:rFonts w:ascii="Times New Roman" w:hAnsi="Times New Roman" w:cs="Times New Roman"/>
          <w:i w:val="0"/>
          <w:sz w:val="21"/>
          <w:szCs w:val="21"/>
        </w:rPr>
        <w:t>.</w:t>
      </w:r>
      <w:r w:rsidRPr="00882D46">
        <w:rPr>
          <w:rStyle w:val="HTML1"/>
          <w:rFonts w:ascii="Times New Roman" w:hAnsi="Times New Roman" w:cs="Times New Roman"/>
          <w:i w:val="0"/>
          <w:sz w:val="21"/>
          <w:szCs w:val="21"/>
          <w:lang w:val="en-US"/>
        </w:rPr>
        <w:t xml:space="preserve"> </w:t>
      </w:r>
      <w:r>
        <w:rPr>
          <w:rStyle w:val="HTML1"/>
          <w:rFonts w:ascii="Times New Roman" w:hAnsi="Times New Roman" w:cs="Times New Roman"/>
          <w:i w:val="0"/>
          <w:sz w:val="21"/>
          <w:szCs w:val="21"/>
        </w:rPr>
        <w:t xml:space="preserve">– </w:t>
      </w:r>
      <w:r w:rsidRPr="00882D46">
        <w:rPr>
          <w:rStyle w:val="HTML1"/>
          <w:rFonts w:ascii="Times New Roman" w:hAnsi="Times New Roman" w:cs="Times New Roman"/>
          <w:i w:val="0"/>
          <w:sz w:val="21"/>
          <w:szCs w:val="21"/>
          <w:lang w:val="en-US"/>
        </w:rPr>
        <w:t>The</w:t>
      </w:r>
      <w:r w:rsidRPr="00882D46">
        <w:rPr>
          <w:rStyle w:val="HTML1"/>
          <w:rFonts w:ascii="Times New Roman" w:hAnsi="Times New Roman" w:cs="Times New Roman"/>
          <w:i w:val="0"/>
          <w:sz w:val="21"/>
          <w:szCs w:val="21"/>
        </w:rPr>
        <w:t xml:space="preserve"> </w:t>
      </w:r>
      <w:r w:rsidRPr="00882D46">
        <w:rPr>
          <w:rStyle w:val="HTML1"/>
          <w:rFonts w:ascii="Times New Roman" w:hAnsi="Times New Roman" w:cs="Times New Roman"/>
          <w:i w:val="0"/>
          <w:sz w:val="21"/>
          <w:szCs w:val="21"/>
          <w:lang w:val="en-US"/>
        </w:rPr>
        <w:t>World</w:t>
      </w:r>
      <w:r w:rsidRPr="00882D46">
        <w:rPr>
          <w:rStyle w:val="HTML1"/>
          <w:rFonts w:ascii="Times New Roman" w:hAnsi="Times New Roman" w:cs="Times New Roman"/>
          <w:i w:val="0"/>
          <w:sz w:val="21"/>
          <w:szCs w:val="21"/>
        </w:rPr>
        <w:t xml:space="preserve"> </w:t>
      </w:r>
      <w:r w:rsidRPr="00882D46">
        <w:rPr>
          <w:rStyle w:val="HTML1"/>
          <w:rFonts w:ascii="Times New Roman" w:hAnsi="Times New Roman" w:cs="Times New Roman"/>
          <w:i w:val="0"/>
          <w:sz w:val="21"/>
          <w:szCs w:val="21"/>
          <w:lang w:val="en-US"/>
        </w:rPr>
        <w:t>Bank</w:t>
      </w:r>
      <w:r>
        <w:rPr>
          <w:rStyle w:val="HTML1"/>
          <w:rFonts w:ascii="Times New Roman" w:hAnsi="Times New Roman" w:cs="Times New Roman"/>
          <w:i w:val="0"/>
          <w:sz w:val="21"/>
          <w:szCs w:val="21"/>
        </w:rPr>
        <w:t>,</w:t>
      </w:r>
      <w:r w:rsidRPr="00882D46">
        <w:rPr>
          <w:rStyle w:val="HTML1"/>
          <w:rFonts w:ascii="Times New Roman" w:hAnsi="Times New Roman" w:cs="Times New Roman"/>
          <w:i w:val="0"/>
          <w:sz w:val="21"/>
          <w:szCs w:val="21"/>
        </w:rPr>
        <w:t xml:space="preserve"> 2011. </w:t>
      </w:r>
      <w:r>
        <w:rPr>
          <w:rStyle w:val="HTML1"/>
          <w:rFonts w:ascii="Times New Roman" w:hAnsi="Times New Roman" w:cs="Times New Roman"/>
          <w:i w:val="0"/>
          <w:sz w:val="21"/>
          <w:szCs w:val="21"/>
        </w:rPr>
        <w:t xml:space="preserve">– </w:t>
      </w:r>
      <w:r w:rsidRPr="00882D46">
        <w:rPr>
          <w:rStyle w:val="HTML1"/>
          <w:rFonts w:ascii="Times New Roman" w:hAnsi="Times New Roman" w:cs="Times New Roman"/>
          <w:i w:val="0"/>
          <w:sz w:val="21"/>
          <w:szCs w:val="21"/>
        </w:rPr>
        <w:t xml:space="preserve">265 </w:t>
      </w:r>
      <w:r w:rsidRPr="00882D46">
        <w:rPr>
          <w:rStyle w:val="HTML1"/>
          <w:rFonts w:ascii="Times New Roman" w:hAnsi="Times New Roman" w:cs="Times New Roman"/>
          <w:i w:val="0"/>
          <w:sz w:val="21"/>
          <w:szCs w:val="21"/>
          <w:lang w:val="en-US"/>
        </w:rPr>
        <w:t>p</w:t>
      </w:r>
      <w:r w:rsidRPr="00882D46">
        <w:rPr>
          <w:rStyle w:val="HTML1"/>
          <w:rFonts w:ascii="Times New Roman" w:hAnsi="Times New Roman" w:cs="Times New Roman"/>
          <w:i w:val="0"/>
          <w:sz w:val="21"/>
          <w:szCs w:val="21"/>
        </w:rPr>
        <w:t>.</w:t>
      </w:r>
      <w:bookmarkEnd w:id="339"/>
    </w:p>
    <w:p w:rsidR="00B233DE" w:rsidRPr="008342D2"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40" w:name="_Ref435184022"/>
      <w:r w:rsidRPr="00882D46">
        <w:rPr>
          <w:rFonts w:ascii="Times New Roman" w:hAnsi="Times New Roman" w:cs="Times New Roman"/>
          <w:sz w:val="21"/>
          <w:szCs w:val="21"/>
          <w:lang w:val="en-US"/>
        </w:rPr>
        <w:t xml:space="preserve">Migration Fundamentals Social Remittances Revisited </w:t>
      </w:r>
      <w:r w:rsidRPr="00882D46">
        <w:rPr>
          <w:rFonts w:ascii="Times New Roman" w:hAnsi="Times New Roman" w:cs="Times New Roman"/>
          <w:iCs/>
          <w:sz w:val="21"/>
          <w:szCs w:val="21"/>
          <w:lang w:val="en-US"/>
        </w:rPr>
        <w:t>[</w:t>
      </w:r>
      <w:r w:rsidRPr="00882D46">
        <w:rPr>
          <w:rFonts w:ascii="Times New Roman" w:hAnsi="Times New Roman" w:cs="Times New Roman"/>
          <w:iCs/>
          <w:sz w:val="21"/>
          <w:szCs w:val="21"/>
        </w:rPr>
        <w:t>Електронний</w:t>
      </w:r>
      <w:r w:rsidRPr="00882D46">
        <w:rPr>
          <w:rFonts w:ascii="Times New Roman" w:hAnsi="Times New Roman" w:cs="Times New Roman"/>
          <w:iCs/>
          <w:sz w:val="21"/>
          <w:szCs w:val="21"/>
          <w:lang w:val="en-US"/>
        </w:rPr>
        <w:t xml:space="preserve"> </w:t>
      </w:r>
      <w:r w:rsidRPr="00882D46">
        <w:rPr>
          <w:rFonts w:ascii="Times New Roman" w:hAnsi="Times New Roman" w:cs="Times New Roman"/>
          <w:iCs/>
          <w:sz w:val="21"/>
          <w:szCs w:val="21"/>
        </w:rPr>
        <w:t>ресурс</w:t>
      </w:r>
      <w:r w:rsidRPr="00882D46">
        <w:rPr>
          <w:rFonts w:ascii="Times New Roman" w:hAnsi="Times New Roman" w:cs="Times New Roman"/>
          <w:iCs/>
          <w:sz w:val="21"/>
          <w:szCs w:val="21"/>
          <w:lang w:val="en-US"/>
        </w:rPr>
        <w:t>]</w:t>
      </w:r>
      <w:r w:rsidRPr="00882D46">
        <w:rPr>
          <w:rFonts w:ascii="Times New Roman" w:hAnsi="Times New Roman" w:cs="Times New Roman"/>
          <w:bCs/>
          <w:sz w:val="21"/>
          <w:szCs w:val="21"/>
          <w:lang w:val="en-US"/>
        </w:rPr>
        <w:t>.</w:t>
      </w:r>
      <w:r w:rsidRPr="00882D46">
        <w:rPr>
          <w:rFonts w:ascii="Times New Roman" w:hAnsi="Times New Roman" w:cs="Times New Roman"/>
          <w:bCs/>
          <w:sz w:val="21"/>
          <w:szCs w:val="21"/>
        </w:rPr>
        <w:t xml:space="preserve"> </w:t>
      </w:r>
      <w:r w:rsidRPr="00882D46">
        <w:rPr>
          <w:rFonts w:ascii="Times New Roman" w:hAnsi="Times New Roman" w:cs="Times New Roman"/>
          <w:bCs/>
          <w:sz w:val="21"/>
          <w:szCs w:val="21"/>
          <w:lang w:val="en-US"/>
        </w:rPr>
        <w:t xml:space="preserve">– </w:t>
      </w:r>
      <w:r w:rsidRPr="00882D46">
        <w:rPr>
          <w:rFonts w:ascii="Times New Roman" w:hAnsi="Times New Roman" w:cs="Times New Roman"/>
          <w:bCs/>
          <w:sz w:val="21"/>
          <w:szCs w:val="21"/>
        </w:rPr>
        <w:t>Режим</w:t>
      </w:r>
      <w:r w:rsidRPr="00882D46">
        <w:rPr>
          <w:rFonts w:ascii="Times New Roman" w:hAnsi="Times New Roman" w:cs="Times New Roman"/>
          <w:bCs/>
          <w:sz w:val="21"/>
          <w:szCs w:val="21"/>
          <w:lang w:val="en-US"/>
        </w:rPr>
        <w:t xml:space="preserve"> </w:t>
      </w:r>
      <w:r w:rsidRPr="00882D46">
        <w:rPr>
          <w:rFonts w:ascii="Times New Roman" w:hAnsi="Times New Roman" w:cs="Times New Roman"/>
          <w:bCs/>
          <w:sz w:val="21"/>
          <w:szCs w:val="21"/>
        </w:rPr>
        <w:t>доступу</w:t>
      </w:r>
      <w:r w:rsidRPr="00882D46">
        <w:rPr>
          <w:rFonts w:ascii="Times New Roman" w:hAnsi="Times New Roman" w:cs="Times New Roman"/>
          <w:bCs/>
          <w:sz w:val="21"/>
          <w:szCs w:val="21"/>
          <w:lang w:val="en-US"/>
        </w:rPr>
        <w:t xml:space="preserve"> :</w:t>
      </w:r>
      <w:r w:rsidRPr="00882D46">
        <w:rPr>
          <w:rFonts w:ascii="Times New Roman" w:hAnsi="Times New Roman" w:cs="Times New Roman"/>
          <w:bCs/>
          <w:sz w:val="21"/>
          <w:szCs w:val="21"/>
        </w:rPr>
        <w:t xml:space="preserve"> </w:t>
      </w:r>
      <w:r w:rsidRPr="00882D46">
        <w:rPr>
          <w:rFonts w:ascii="Times New Roman" w:hAnsi="Times New Roman" w:cs="Times New Roman"/>
          <w:sz w:val="21"/>
          <w:szCs w:val="21"/>
          <w:lang w:val="en-US"/>
        </w:rPr>
        <w:t>http://www.migrationinformation.org/Feature/display.cfm?id=783</w:t>
      </w:r>
      <w:bookmarkEnd w:id="340"/>
    </w:p>
    <w:p w:rsidR="00B233DE" w:rsidRPr="008342D2"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41" w:name="_Ref435187601"/>
      <w:r w:rsidRPr="00882D46">
        <w:rPr>
          <w:rFonts w:ascii="Times New Roman" w:hAnsi="Times New Roman" w:cs="Times New Roman"/>
          <w:bCs/>
          <w:spacing w:val="-2"/>
          <w:sz w:val="21"/>
          <w:szCs w:val="21"/>
          <w:lang w:val="en-US"/>
        </w:rPr>
        <w:t>Migration in Ukraine</w:t>
      </w:r>
      <w:r>
        <w:rPr>
          <w:rFonts w:ascii="Times New Roman" w:hAnsi="Times New Roman" w:cs="Times New Roman"/>
          <w:bCs/>
          <w:spacing w:val="-2"/>
          <w:sz w:val="21"/>
          <w:szCs w:val="21"/>
        </w:rPr>
        <w:t xml:space="preserve"> </w:t>
      </w:r>
      <w:r w:rsidRPr="00882D46">
        <w:rPr>
          <w:rFonts w:ascii="Times New Roman" w:hAnsi="Times New Roman" w:cs="Times New Roman"/>
          <w:bCs/>
          <w:spacing w:val="-2"/>
          <w:sz w:val="21"/>
          <w:szCs w:val="21"/>
          <w:lang w:val="en-US"/>
        </w:rPr>
        <w:t>: A Country Profile 2008</w:t>
      </w:r>
      <w:r>
        <w:rPr>
          <w:rFonts w:ascii="Times New Roman" w:hAnsi="Times New Roman" w:cs="Times New Roman"/>
          <w:bCs/>
          <w:spacing w:val="-2"/>
          <w:sz w:val="21"/>
          <w:szCs w:val="21"/>
        </w:rPr>
        <w:t xml:space="preserve"> ;</w:t>
      </w:r>
      <w:r w:rsidRPr="00882D46">
        <w:rPr>
          <w:rFonts w:ascii="Times New Roman" w:hAnsi="Times New Roman" w:cs="Times New Roman"/>
          <w:bCs/>
          <w:spacing w:val="-2"/>
          <w:sz w:val="21"/>
          <w:szCs w:val="21"/>
        </w:rPr>
        <w:t xml:space="preserve"> </w:t>
      </w:r>
      <w:r w:rsidRPr="00882D46">
        <w:rPr>
          <w:rFonts w:ascii="Times New Roman" w:hAnsi="Times New Roman" w:cs="Times New Roman"/>
          <w:spacing w:val="-2"/>
          <w:sz w:val="21"/>
          <w:szCs w:val="21"/>
          <w:lang w:val="en-US"/>
        </w:rPr>
        <w:t>ed. by</w:t>
      </w:r>
      <w:r w:rsidRPr="00882D46">
        <w:rPr>
          <w:rFonts w:ascii="Times New Roman" w:hAnsi="Times New Roman" w:cs="Times New Roman"/>
          <w:bCs/>
          <w:spacing w:val="-2"/>
          <w:sz w:val="21"/>
          <w:szCs w:val="21"/>
          <w:lang w:val="en-US"/>
        </w:rPr>
        <w:t xml:space="preserve"> </w:t>
      </w:r>
      <w:r w:rsidRPr="00882D46">
        <w:rPr>
          <w:rFonts w:ascii="Times New Roman" w:hAnsi="Times New Roman" w:cs="Times New Roman"/>
          <w:spacing w:val="-2"/>
          <w:sz w:val="21"/>
          <w:szCs w:val="21"/>
          <w:lang w:val="en-US"/>
        </w:rPr>
        <w:t>Sheila Siar</w:t>
      </w:r>
      <w:r w:rsidRPr="00882D46">
        <w:rPr>
          <w:rFonts w:ascii="Times New Roman" w:hAnsi="Times New Roman" w:cs="Times New Roman"/>
          <w:spacing w:val="-2"/>
          <w:sz w:val="21"/>
          <w:szCs w:val="21"/>
        </w:rPr>
        <w:t>.</w:t>
      </w:r>
      <w:r w:rsidRPr="00882D46">
        <w:rPr>
          <w:rFonts w:ascii="Times New Roman" w:hAnsi="Times New Roman" w:cs="Times New Roman"/>
          <w:spacing w:val="-2"/>
          <w:sz w:val="21"/>
          <w:szCs w:val="21"/>
          <w:lang w:val="en-US"/>
        </w:rPr>
        <w:t xml:space="preserve"> </w:t>
      </w:r>
      <w:r>
        <w:rPr>
          <w:rFonts w:ascii="Times New Roman" w:hAnsi="Times New Roman" w:cs="Times New Roman"/>
          <w:spacing w:val="-2"/>
          <w:sz w:val="21"/>
          <w:szCs w:val="21"/>
        </w:rPr>
        <w:t xml:space="preserve">– </w:t>
      </w:r>
      <w:r w:rsidRPr="00882D46">
        <w:rPr>
          <w:rFonts w:ascii="Times New Roman" w:hAnsi="Times New Roman" w:cs="Times New Roman"/>
          <w:spacing w:val="-2"/>
          <w:sz w:val="21"/>
          <w:szCs w:val="21"/>
          <w:lang w:val="en-US"/>
        </w:rPr>
        <w:t>Internati</w:t>
      </w:r>
      <w:r>
        <w:rPr>
          <w:rFonts w:ascii="Times New Roman" w:hAnsi="Times New Roman" w:cs="Times New Roman"/>
          <w:spacing w:val="-2"/>
          <w:sz w:val="21"/>
          <w:szCs w:val="21"/>
          <w:lang w:val="en-US"/>
        </w:rPr>
        <w:t>onal Organization for Migration</w:t>
      </w:r>
      <w:r>
        <w:rPr>
          <w:rFonts w:ascii="Times New Roman" w:hAnsi="Times New Roman" w:cs="Times New Roman"/>
          <w:spacing w:val="-2"/>
          <w:sz w:val="21"/>
          <w:szCs w:val="21"/>
        </w:rPr>
        <w:t>,</w:t>
      </w:r>
      <w:r w:rsidRPr="00882D46">
        <w:rPr>
          <w:rFonts w:ascii="Times New Roman" w:hAnsi="Times New Roman" w:cs="Times New Roman"/>
          <w:spacing w:val="-2"/>
          <w:sz w:val="21"/>
          <w:szCs w:val="21"/>
          <w:lang w:val="en-US"/>
        </w:rPr>
        <w:t xml:space="preserve"> 2008</w:t>
      </w:r>
      <w:r>
        <w:rPr>
          <w:rFonts w:ascii="Times New Roman" w:hAnsi="Times New Roman" w:cs="Times New Roman"/>
          <w:spacing w:val="-2"/>
          <w:sz w:val="21"/>
          <w:szCs w:val="21"/>
        </w:rPr>
        <w:t>. –</w:t>
      </w:r>
      <w:r w:rsidRPr="00882D46">
        <w:rPr>
          <w:rFonts w:ascii="Times New Roman" w:hAnsi="Times New Roman" w:cs="Times New Roman"/>
          <w:bCs/>
          <w:spacing w:val="-2"/>
          <w:sz w:val="21"/>
          <w:szCs w:val="21"/>
          <w:lang w:val="en-US"/>
        </w:rPr>
        <w:t xml:space="preserve"> </w:t>
      </w:r>
      <w:r>
        <w:rPr>
          <w:rFonts w:ascii="Times New Roman" w:hAnsi="Times New Roman" w:cs="Times New Roman"/>
          <w:spacing w:val="-2"/>
          <w:sz w:val="21"/>
          <w:szCs w:val="21"/>
        </w:rPr>
        <w:t>112 р.</w:t>
      </w:r>
      <w:bookmarkEnd w:id="341"/>
    </w:p>
    <w:p w:rsidR="00B233DE" w:rsidRPr="008342D2"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42" w:name="_Ref435187904"/>
      <w:r w:rsidRPr="00882D46">
        <w:rPr>
          <w:rFonts w:ascii="Times New Roman" w:hAnsi="Times New Roman" w:cs="Times New Roman"/>
          <w:iCs/>
          <w:sz w:val="21"/>
          <w:szCs w:val="21"/>
          <w:lang w:val="en-GB"/>
        </w:rPr>
        <w:t>Migration in Ukraine. Facts and Figures</w:t>
      </w:r>
      <w:r w:rsidRPr="00882D46">
        <w:rPr>
          <w:rFonts w:ascii="Times New Roman" w:hAnsi="Times New Roman" w:cs="Times New Roman"/>
          <w:iCs/>
          <w:sz w:val="21"/>
          <w:szCs w:val="21"/>
        </w:rPr>
        <w:t>.</w:t>
      </w:r>
      <w:r w:rsidRPr="00882D46">
        <w:rPr>
          <w:rFonts w:ascii="Times New Roman" w:hAnsi="Times New Roman" w:cs="Times New Roman"/>
          <w:iCs/>
          <w:sz w:val="21"/>
          <w:szCs w:val="21"/>
          <w:lang w:val="en-GB"/>
        </w:rPr>
        <w:t xml:space="preserve"> Migration For the Benefit of All</w:t>
      </w:r>
      <w:r w:rsidRPr="00882D46">
        <w:rPr>
          <w:rFonts w:ascii="Times New Roman" w:hAnsi="Times New Roman" w:cs="Times New Roman"/>
          <w:iCs/>
          <w:sz w:val="21"/>
          <w:szCs w:val="21"/>
        </w:rPr>
        <w:t>.</w:t>
      </w:r>
      <w:r>
        <w:rPr>
          <w:rFonts w:ascii="Times New Roman" w:hAnsi="Times New Roman" w:cs="Times New Roman"/>
          <w:iCs/>
          <w:sz w:val="21"/>
          <w:szCs w:val="21"/>
        </w:rPr>
        <w:t xml:space="preserve"> –</w:t>
      </w:r>
      <w:r w:rsidRPr="00882D46">
        <w:rPr>
          <w:rFonts w:ascii="Times New Roman" w:hAnsi="Times New Roman" w:cs="Times New Roman"/>
          <w:iCs/>
          <w:sz w:val="21"/>
          <w:szCs w:val="21"/>
          <w:lang w:val="en-GB"/>
        </w:rPr>
        <w:t xml:space="preserve"> International Organization fo</w:t>
      </w:r>
      <w:r>
        <w:rPr>
          <w:rFonts w:ascii="Times New Roman" w:hAnsi="Times New Roman" w:cs="Times New Roman"/>
          <w:iCs/>
          <w:sz w:val="21"/>
          <w:szCs w:val="21"/>
          <w:lang w:val="en-GB"/>
        </w:rPr>
        <w:t>r Migration. Mission</w:t>
      </w:r>
      <w:r w:rsidRPr="008342D2">
        <w:rPr>
          <w:rFonts w:ascii="Times New Roman" w:hAnsi="Times New Roman" w:cs="Times New Roman"/>
          <w:iCs/>
          <w:sz w:val="21"/>
          <w:szCs w:val="21"/>
          <w:lang w:val="ru-RU"/>
        </w:rPr>
        <w:t xml:space="preserve"> </w:t>
      </w:r>
      <w:r>
        <w:rPr>
          <w:rFonts w:ascii="Times New Roman" w:hAnsi="Times New Roman" w:cs="Times New Roman"/>
          <w:iCs/>
          <w:sz w:val="21"/>
          <w:szCs w:val="21"/>
          <w:lang w:val="en-GB"/>
        </w:rPr>
        <w:t>in</w:t>
      </w:r>
      <w:r w:rsidRPr="008342D2">
        <w:rPr>
          <w:rFonts w:ascii="Times New Roman" w:hAnsi="Times New Roman" w:cs="Times New Roman"/>
          <w:iCs/>
          <w:sz w:val="21"/>
          <w:szCs w:val="21"/>
          <w:lang w:val="ru-RU"/>
        </w:rPr>
        <w:t xml:space="preserve"> </w:t>
      </w:r>
      <w:r>
        <w:rPr>
          <w:rFonts w:ascii="Times New Roman" w:hAnsi="Times New Roman" w:cs="Times New Roman"/>
          <w:iCs/>
          <w:sz w:val="21"/>
          <w:szCs w:val="21"/>
          <w:lang w:val="en-GB"/>
        </w:rPr>
        <w:t>Ukraine</w:t>
      </w:r>
      <w:r>
        <w:rPr>
          <w:rFonts w:ascii="Times New Roman" w:hAnsi="Times New Roman" w:cs="Times New Roman"/>
          <w:iCs/>
          <w:sz w:val="21"/>
          <w:szCs w:val="21"/>
        </w:rPr>
        <w:t>,</w:t>
      </w:r>
      <w:r w:rsidRPr="008342D2">
        <w:rPr>
          <w:rFonts w:ascii="Times New Roman" w:hAnsi="Times New Roman" w:cs="Times New Roman"/>
          <w:iCs/>
          <w:sz w:val="21"/>
          <w:szCs w:val="21"/>
          <w:lang w:val="ru-RU"/>
        </w:rPr>
        <w:t xml:space="preserve"> 2011.</w:t>
      </w:r>
      <w:r>
        <w:rPr>
          <w:rFonts w:ascii="Times New Roman" w:hAnsi="Times New Roman" w:cs="Times New Roman"/>
          <w:iCs/>
          <w:sz w:val="21"/>
          <w:szCs w:val="21"/>
        </w:rPr>
        <w:t xml:space="preserve"> –</w:t>
      </w:r>
      <w:r w:rsidRPr="008342D2">
        <w:rPr>
          <w:rFonts w:ascii="Times New Roman" w:hAnsi="Times New Roman" w:cs="Times New Roman"/>
          <w:iCs/>
          <w:sz w:val="21"/>
          <w:szCs w:val="21"/>
          <w:lang w:val="ru-RU"/>
        </w:rPr>
        <w:t xml:space="preserve"> 11 </w:t>
      </w:r>
      <w:r w:rsidRPr="00882D46">
        <w:rPr>
          <w:rFonts w:ascii="Times New Roman" w:hAnsi="Times New Roman" w:cs="Times New Roman"/>
          <w:iCs/>
          <w:sz w:val="21"/>
          <w:szCs w:val="21"/>
          <w:lang w:val="en-GB"/>
        </w:rPr>
        <w:t>p</w:t>
      </w:r>
      <w:r w:rsidRPr="008342D2">
        <w:rPr>
          <w:rFonts w:ascii="Times New Roman" w:hAnsi="Times New Roman" w:cs="Times New Roman"/>
          <w:iCs/>
          <w:sz w:val="21"/>
          <w:szCs w:val="21"/>
          <w:lang w:val="ru-RU"/>
        </w:rPr>
        <w:t>.</w:t>
      </w:r>
      <w:bookmarkEnd w:id="342"/>
    </w:p>
    <w:p w:rsidR="00B233DE" w:rsidRPr="008342D2"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43" w:name="_Ref435186742"/>
      <w:r w:rsidRPr="00882D46">
        <w:rPr>
          <w:rFonts w:ascii="Times New Roman" w:hAnsi="Times New Roman" w:cs="Times New Roman"/>
          <w:sz w:val="21"/>
          <w:szCs w:val="21"/>
          <w:lang w:val="en-GB"/>
        </w:rPr>
        <w:t>Naturalization and Integration</w:t>
      </w:r>
      <w:r>
        <w:rPr>
          <w:rFonts w:ascii="Times New Roman" w:hAnsi="Times New Roman" w:cs="Times New Roman"/>
          <w:sz w:val="21"/>
          <w:szCs w:val="21"/>
        </w:rPr>
        <w:t xml:space="preserve"> </w:t>
      </w:r>
      <w:r w:rsidRPr="00882D46">
        <w:rPr>
          <w:rFonts w:ascii="Times New Roman" w:hAnsi="Times New Roman" w:cs="Times New Roman"/>
          <w:sz w:val="21"/>
          <w:szCs w:val="21"/>
          <w:lang w:val="en-GB"/>
        </w:rPr>
        <w:t xml:space="preserve">: Repairing our Broken Immigration System. </w:t>
      </w:r>
      <w:r>
        <w:rPr>
          <w:rFonts w:ascii="Times New Roman" w:hAnsi="Times New Roman" w:cs="Times New Roman"/>
          <w:sz w:val="21"/>
          <w:szCs w:val="21"/>
        </w:rPr>
        <w:t xml:space="preserve">– </w:t>
      </w:r>
      <w:r w:rsidRPr="00882D46">
        <w:rPr>
          <w:rFonts w:ascii="Times New Roman" w:hAnsi="Times New Roman" w:cs="Times New Roman"/>
          <w:sz w:val="21"/>
          <w:szCs w:val="21"/>
          <w:lang w:val="en-GB"/>
        </w:rPr>
        <w:t>I</w:t>
      </w:r>
      <w:r>
        <w:rPr>
          <w:rFonts w:ascii="Times New Roman" w:hAnsi="Times New Roman" w:cs="Times New Roman"/>
          <w:sz w:val="21"/>
          <w:szCs w:val="21"/>
          <w:lang w:val="en-GB"/>
        </w:rPr>
        <w:t>mmigration Policy Center</w:t>
      </w:r>
      <w:r>
        <w:rPr>
          <w:rFonts w:ascii="Times New Roman" w:hAnsi="Times New Roman" w:cs="Times New Roman"/>
          <w:sz w:val="21"/>
          <w:szCs w:val="21"/>
        </w:rPr>
        <w:t xml:space="preserve"> :</w:t>
      </w:r>
      <w:r>
        <w:rPr>
          <w:rFonts w:ascii="Times New Roman" w:hAnsi="Times New Roman" w:cs="Times New Roman"/>
          <w:sz w:val="21"/>
          <w:szCs w:val="21"/>
          <w:lang w:val="en-GB"/>
        </w:rPr>
        <w:t xml:space="preserve"> American Immigration council</w:t>
      </w:r>
      <w:r>
        <w:rPr>
          <w:rFonts w:ascii="Times New Roman" w:hAnsi="Times New Roman" w:cs="Times New Roman"/>
          <w:sz w:val="21"/>
          <w:szCs w:val="21"/>
        </w:rPr>
        <w:t>,</w:t>
      </w:r>
      <w:r>
        <w:rPr>
          <w:rFonts w:ascii="Times New Roman" w:hAnsi="Times New Roman" w:cs="Times New Roman"/>
          <w:sz w:val="21"/>
          <w:szCs w:val="21"/>
          <w:lang w:val="en-GB"/>
        </w:rPr>
        <w:t xml:space="preserve"> 2009</w:t>
      </w:r>
      <w:r>
        <w:rPr>
          <w:rFonts w:ascii="Times New Roman" w:hAnsi="Times New Roman" w:cs="Times New Roman"/>
          <w:sz w:val="21"/>
          <w:szCs w:val="21"/>
        </w:rPr>
        <w:t>. – 116 р.</w:t>
      </w:r>
      <w:bookmarkEnd w:id="343"/>
    </w:p>
    <w:p w:rsidR="00B233DE" w:rsidRPr="008342D2"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44" w:name="_Ref435186785"/>
      <w:r>
        <w:rPr>
          <w:rStyle w:val="HTML1"/>
          <w:rFonts w:ascii="Times New Roman" w:hAnsi="Times New Roman" w:cs="Times New Roman"/>
          <w:i w:val="0"/>
          <w:sz w:val="21"/>
          <w:szCs w:val="21"/>
          <w:lang w:val="en-US"/>
        </w:rPr>
        <w:t>Newland K</w:t>
      </w:r>
      <w:r w:rsidRPr="00882D46">
        <w:rPr>
          <w:rStyle w:val="HTML1"/>
          <w:rFonts w:ascii="Times New Roman" w:hAnsi="Times New Roman" w:cs="Times New Roman"/>
          <w:i w:val="0"/>
          <w:sz w:val="21"/>
          <w:szCs w:val="21"/>
          <w:lang w:val="en-US"/>
        </w:rPr>
        <w:t>. Learning by Doing</w:t>
      </w:r>
      <w:r>
        <w:rPr>
          <w:rStyle w:val="HTML1"/>
          <w:rFonts w:ascii="Times New Roman" w:hAnsi="Times New Roman" w:cs="Times New Roman"/>
          <w:i w:val="0"/>
          <w:sz w:val="21"/>
          <w:szCs w:val="21"/>
        </w:rPr>
        <w:t xml:space="preserve"> </w:t>
      </w:r>
      <w:r w:rsidRPr="00882D46">
        <w:rPr>
          <w:rStyle w:val="HTML1"/>
          <w:rFonts w:ascii="Times New Roman" w:hAnsi="Times New Roman" w:cs="Times New Roman"/>
          <w:i w:val="0"/>
          <w:sz w:val="21"/>
          <w:szCs w:val="21"/>
          <w:lang w:val="en-US"/>
        </w:rPr>
        <w:t>: Experiences of Circular Migration</w:t>
      </w:r>
      <w:r>
        <w:rPr>
          <w:rStyle w:val="HTML1"/>
          <w:rFonts w:ascii="Times New Roman" w:hAnsi="Times New Roman" w:cs="Times New Roman"/>
          <w:i w:val="0"/>
          <w:sz w:val="21"/>
          <w:szCs w:val="21"/>
        </w:rPr>
        <w:t xml:space="preserve"> / </w:t>
      </w:r>
      <w:r w:rsidRPr="00882D46">
        <w:rPr>
          <w:rStyle w:val="HTML1"/>
          <w:rFonts w:ascii="Times New Roman" w:hAnsi="Times New Roman" w:cs="Times New Roman"/>
          <w:i w:val="0"/>
          <w:sz w:val="21"/>
          <w:szCs w:val="21"/>
          <w:lang w:val="en-US"/>
        </w:rPr>
        <w:t>K.</w:t>
      </w:r>
      <w:r>
        <w:rPr>
          <w:rStyle w:val="HTML1"/>
          <w:rFonts w:ascii="Times New Roman" w:hAnsi="Times New Roman" w:cs="Times New Roman"/>
          <w:i w:val="0"/>
          <w:sz w:val="21"/>
          <w:szCs w:val="21"/>
        </w:rPr>
        <w:t xml:space="preserve"> </w:t>
      </w:r>
      <w:r w:rsidRPr="00882D46">
        <w:rPr>
          <w:rStyle w:val="HTML1"/>
          <w:rFonts w:ascii="Times New Roman" w:hAnsi="Times New Roman" w:cs="Times New Roman"/>
          <w:i w:val="0"/>
          <w:sz w:val="21"/>
          <w:szCs w:val="21"/>
          <w:lang w:val="en-US"/>
        </w:rPr>
        <w:t>Newland</w:t>
      </w:r>
      <w:r>
        <w:rPr>
          <w:rStyle w:val="HTML1"/>
          <w:rFonts w:ascii="Times New Roman" w:hAnsi="Times New Roman" w:cs="Times New Roman"/>
          <w:i w:val="0"/>
          <w:sz w:val="21"/>
          <w:szCs w:val="21"/>
          <w:lang w:val="en-US"/>
        </w:rPr>
        <w:t>, D.</w:t>
      </w:r>
      <w:r>
        <w:rPr>
          <w:rStyle w:val="HTML1"/>
          <w:rFonts w:ascii="Times New Roman" w:hAnsi="Times New Roman" w:cs="Times New Roman"/>
          <w:i w:val="0"/>
          <w:sz w:val="21"/>
          <w:szCs w:val="21"/>
        </w:rPr>
        <w:t xml:space="preserve"> </w:t>
      </w:r>
      <w:r>
        <w:rPr>
          <w:rStyle w:val="HTML1"/>
          <w:rFonts w:ascii="Times New Roman" w:hAnsi="Times New Roman" w:cs="Times New Roman"/>
          <w:i w:val="0"/>
          <w:sz w:val="21"/>
          <w:szCs w:val="21"/>
          <w:lang w:val="en-US"/>
        </w:rPr>
        <w:t>Agunias</w:t>
      </w:r>
      <w:r w:rsidRPr="00882D46">
        <w:rPr>
          <w:rStyle w:val="HTML1"/>
          <w:rFonts w:ascii="Times New Roman" w:hAnsi="Times New Roman" w:cs="Times New Roman"/>
          <w:i w:val="0"/>
          <w:sz w:val="21"/>
          <w:szCs w:val="21"/>
          <w:lang w:val="en-US"/>
        </w:rPr>
        <w:t>, A.</w:t>
      </w:r>
      <w:r>
        <w:rPr>
          <w:rStyle w:val="HTML1"/>
          <w:rFonts w:ascii="Times New Roman" w:hAnsi="Times New Roman" w:cs="Times New Roman"/>
          <w:i w:val="0"/>
          <w:sz w:val="21"/>
          <w:szCs w:val="21"/>
        </w:rPr>
        <w:t xml:space="preserve"> </w:t>
      </w:r>
      <w:r w:rsidRPr="00882D46">
        <w:rPr>
          <w:rStyle w:val="HTML1"/>
          <w:rFonts w:ascii="Times New Roman" w:hAnsi="Times New Roman" w:cs="Times New Roman"/>
          <w:i w:val="0"/>
          <w:sz w:val="21"/>
          <w:szCs w:val="21"/>
          <w:lang w:val="en-US"/>
        </w:rPr>
        <w:t xml:space="preserve">Terrazas. </w:t>
      </w:r>
      <w:r>
        <w:rPr>
          <w:rStyle w:val="HTML1"/>
          <w:rFonts w:ascii="Times New Roman" w:hAnsi="Times New Roman" w:cs="Times New Roman"/>
          <w:i w:val="0"/>
          <w:sz w:val="21"/>
          <w:szCs w:val="21"/>
        </w:rPr>
        <w:t xml:space="preserve">– </w:t>
      </w:r>
      <w:r w:rsidRPr="00882D46">
        <w:rPr>
          <w:rStyle w:val="HTML1"/>
          <w:rFonts w:ascii="Times New Roman" w:hAnsi="Times New Roman" w:cs="Times New Roman"/>
          <w:i w:val="0"/>
          <w:sz w:val="21"/>
          <w:szCs w:val="21"/>
          <w:lang w:val="en-US"/>
        </w:rPr>
        <w:t>Migration Policy Institute</w:t>
      </w:r>
      <w:r>
        <w:rPr>
          <w:rStyle w:val="HTML1"/>
          <w:rFonts w:ascii="Times New Roman" w:hAnsi="Times New Roman" w:cs="Times New Roman"/>
          <w:i w:val="0"/>
          <w:sz w:val="21"/>
          <w:szCs w:val="21"/>
        </w:rPr>
        <w:t>,</w:t>
      </w:r>
      <w:r>
        <w:rPr>
          <w:rStyle w:val="HTML1"/>
          <w:rFonts w:ascii="Times New Roman" w:hAnsi="Times New Roman" w:cs="Times New Roman"/>
          <w:i w:val="0"/>
          <w:sz w:val="21"/>
          <w:szCs w:val="21"/>
          <w:lang w:val="en-US"/>
        </w:rPr>
        <w:t xml:space="preserve"> 2008</w:t>
      </w:r>
      <w:r>
        <w:rPr>
          <w:rStyle w:val="HTML1"/>
          <w:rFonts w:ascii="Times New Roman" w:hAnsi="Times New Roman" w:cs="Times New Roman"/>
          <w:i w:val="0"/>
          <w:sz w:val="21"/>
          <w:szCs w:val="21"/>
        </w:rPr>
        <w:t>. – 112 р.</w:t>
      </w:r>
      <w:bookmarkEnd w:id="344"/>
    </w:p>
    <w:p w:rsidR="00B233DE" w:rsidRPr="00656EF9"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45" w:name="_Ref435187208"/>
      <w:r w:rsidRPr="008342D2">
        <w:rPr>
          <w:rFonts w:ascii="Times New Roman" w:hAnsi="Times New Roman" w:cs="Times New Roman"/>
          <w:sz w:val="21"/>
          <w:szCs w:val="21"/>
          <w:lang w:val="en-US"/>
        </w:rPr>
        <w:t>Reher</w:t>
      </w:r>
      <w:r>
        <w:rPr>
          <w:rFonts w:ascii="Times New Roman" w:hAnsi="Times New Roman" w:cs="Times New Roman"/>
          <w:sz w:val="21"/>
          <w:szCs w:val="21"/>
        </w:rPr>
        <w:t xml:space="preserve"> </w:t>
      </w:r>
      <w:r>
        <w:rPr>
          <w:rFonts w:ascii="Times New Roman" w:hAnsi="Times New Roman" w:cs="Times New Roman"/>
          <w:sz w:val="21"/>
          <w:szCs w:val="21"/>
          <w:lang w:val="en-US"/>
        </w:rPr>
        <w:t>D</w:t>
      </w:r>
      <w:r>
        <w:rPr>
          <w:rFonts w:ascii="Times New Roman" w:hAnsi="Times New Roman" w:cs="Times New Roman"/>
          <w:sz w:val="21"/>
          <w:szCs w:val="21"/>
        </w:rPr>
        <w:t>.</w:t>
      </w:r>
      <w:r>
        <w:rPr>
          <w:rFonts w:ascii="Times New Roman" w:hAnsi="Times New Roman" w:cs="Times New Roman"/>
          <w:sz w:val="21"/>
          <w:szCs w:val="21"/>
          <w:lang w:val="en-US"/>
        </w:rPr>
        <w:t xml:space="preserve"> S</w:t>
      </w:r>
      <w:r w:rsidRPr="00882D46">
        <w:rPr>
          <w:rFonts w:ascii="Times New Roman" w:hAnsi="Times New Roman" w:cs="Times New Roman"/>
          <w:sz w:val="21"/>
          <w:szCs w:val="21"/>
          <w:lang w:val="en-US"/>
        </w:rPr>
        <w:t>. Towards Long Term Population Decline</w:t>
      </w:r>
      <w:r w:rsidRPr="00882D46">
        <w:rPr>
          <w:rFonts w:ascii="Times New Roman" w:hAnsi="Times New Roman" w:cs="Times New Roman"/>
          <w:sz w:val="21"/>
          <w:szCs w:val="21"/>
        </w:rPr>
        <w:t>.</w:t>
      </w:r>
      <w:r w:rsidRPr="00882D46">
        <w:rPr>
          <w:rFonts w:ascii="Times New Roman" w:hAnsi="Times New Roman" w:cs="Times New Roman"/>
          <w:sz w:val="21"/>
          <w:szCs w:val="21"/>
          <w:lang w:val="en-US"/>
        </w:rPr>
        <w:t xml:space="preserve"> European Commission. Work session on demographic</w:t>
      </w:r>
      <w:r w:rsidRPr="00882D46">
        <w:rPr>
          <w:rFonts w:ascii="Times New Roman" w:hAnsi="Times New Roman" w:cs="Times New Roman"/>
          <w:iCs/>
          <w:sz w:val="21"/>
          <w:szCs w:val="21"/>
          <w:lang w:val="en-US"/>
        </w:rPr>
        <w:t xml:space="preserve"> </w:t>
      </w:r>
      <w:r w:rsidRPr="00882D46">
        <w:rPr>
          <w:rFonts w:ascii="Times New Roman" w:hAnsi="Times New Roman" w:cs="Times New Roman"/>
          <w:sz w:val="21"/>
          <w:szCs w:val="21"/>
          <w:lang w:val="en-US"/>
        </w:rPr>
        <w:t>projections</w:t>
      </w:r>
      <w:r>
        <w:rPr>
          <w:rFonts w:ascii="Times New Roman" w:hAnsi="Times New Roman" w:cs="Times New Roman"/>
          <w:sz w:val="21"/>
          <w:szCs w:val="21"/>
        </w:rPr>
        <w:t xml:space="preserve"> / </w:t>
      </w:r>
      <w:r>
        <w:rPr>
          <w:rFonts w:ascii="Times New Roman" w:hAnsi="Times New Roman" w:cs="Times New Roman"/>
          <w:sz w:val="21"/>
          <w:szCs w:val="21"/>
          <w:lang w:val="en-US"/>
        </w:rPr>
        <w:t>D</w:t>
      </w:r>
      <w:r>
        <w:rPr>
          <w:rFonts w:ascii="Times New Roman" w:hAnsi="Times New Roman" w:cs="Times New Roman"/>
          <w:sz w:val="21"/>
          <w:szCs w:val="21"/>
        </w:rPr>
        <w:t>. </w:t>
      </w:r>
      <w:r>
        <w:rPr>
          <w:rFonts w:ascii="Times New Roman" w:hAnsi="Times New Roman" w:cs="Times New Roman"/>
          <w:sz w:val="21"/>
          <w:szCs w:val="21"/>
          <w:lang w:val="en-US"/>
        </w:rPr>
        <w:t>S</w:t>
      </w:r>
      <w:r w:rsidRPr="00882D46">
        <w:rPr>
          <w:rFonts w:ascii="Times New Roman" w:hAnsi="Times New Roman" w:cs="Times New Roman"/>
          <w:sz w:val="21"/>
          <w:szCs w:val="21"/>
          <w:lang w:val="en-US"/>
        </w:rPr>
        <w:t>.</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 xml:space="preserve">Reher </w:t>
      </w:r>
      <w:r>
        <w:rPr>
          <w:rFonts w:ascii="Times New Roman" w:hAnsi="Times New Roman" w:cs="Times New Roman"/>
          <w:sz w:val="21"/>
          <w:szCs w:val="21"/>
        </w:rPr>
        <w:t>–</w:t>
      </w:r>
      <w:r w:rsidRPr="00882D46">
        <w:rPr>
          <w:rFonts w:ascii="Times New Roman" w:hAnsi="Times New Roman" w:cs="Times New Roman"/>
          <w:sz w:val="21"/>
          <w:szCs w:val="21"/>
          <w:lang w:val="en-US"/>
        </w:rPr>
        <w:t xml:space="preserve"> Bucharest, 10</w:t>
      </w:r>
      <w:r w:rsidRPr="00882D46">
        <w:rPr>
          <w:rFonts w:ascii="Times New Roman" w:hAnsi="Times New Roman" w:cs="Times New Roman"/>
          <w:sz w:val="21"/>
          <w:szCs w:val="21"/>
        </w:rPr>
        <w:t>–</w:t>
      </w:r>
      <w:r w:rsidRPr="00882D46">
        <w:rPr>
          <w:rFonts w:ascii="Times New Roman" w:hAnsi="Times New Roman" w:cs="Times New Roman"/>
          <w:sz w:val="21"/>
          <w:szCs w:val="21"/>
          <w:lang w:val="en-US"/>
        </w:rPr>
        <w:t xml:space="preserve">12 October 2007. </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19</w:t>
      </w:r>
      <w:r>
        <w:rPr>
          <w:rFonts w:ascii="Times New Roman" w:hAnsi="Times New Roman" w:cs="Times New Roman"/>
          <w:sz w:val="21"/>
          <w:szCs w:val="21"/>
        </w:rPr>
        <w:t xml:space="preserve"> р</w:t>
      </w:r>
      <w:r w:rsidRPr="00882D46">
        <w:rPr>
          <w:rFonts w:ascii="Times New Roman" w:hAnsi="Times New Roman" w:cs="Times New Roman"/>
          <w:sz w:val="21"/>
          <w:szCs w:val="21"/>
        </w:rPr>
        <w:t>.</w:t>
      </w:r>
      <w:bookmarkEnd w:id="345"/>
    </w:p>
    <w:p w:rsidR="00B233DE" w:rsidRPr="008342D2"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46" w:name="_Ref435187170"/>
      <w:r>
        <w:rPr>
          <w:rFonts w:ascii="Times New Roman" w:hAnsi="Times New Roman" w:cs="Times New Roman"/>
          <w:sz w:val="21"/>
          <w:szCs w:val="21"/>
          <w:lang w:val="en-US"/>
        </w:rPr>
        <w:t>Rudiger A.</w:t>
      </w:r>
      <w:r>
        <w:rPr>
          <w:rFonts w:ascii="Times New Roman" w:hAnsi="Times New Roman" w:cs="Times New Roman"/>
          <w:sz w:val="21"/>
          <w:szCs w:val="21"/>
        </w:rPr>
        <w:t xml:space="preserve"> </w:t>
      </w:r>
      <w:r w:rsidRPr="00882D46">
        <w:rPr>
          <w:rFonts w:ascii="Times New Roman" w:hAnsi="Times New Roman" w:cs="Times New Roman"/>
          <w:iCs/>
          <w:sz w:val="21"/>
          <w:szCs w:val="21"/>
          <w:lang w:val="en-US"/>
        </w:rPr>
        <w:t>Social Integration of Migrants and Ethnic Minorities. Policies to Combat Discrimination</w:t>
      </w:r>
      <w:r>
        <w:rPr>
          <w:rFonts w:ascii="Times New Roman" w:hAnsi="Times New Roman" w:cs="Times New Roman"/>
          <w:iCs/>
          <w:sz w:val="21"/>
          <w:szCs w:val="21"/>
        </w:rPr>
        <w:t xml:space="preserve"> / </w:t>
      </w:r>
      <w:r w:rsidRPr="00882D46">
        <w:rPr>
          <w:rFonts w:ascii="Times New Roman" w:hAnsi="Times New Roman" w:cs="Times New Roman"/>
          <w:sz w:val="21"/>
          <w:szCs w:val="21"/>
          <w:lang w:val="en-US"/>
        </w:rPr>
        <w:t>A.</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Rudiger</w:t>
      </w:r>
      <w:r>
        <w:rPr>
          <w:rFonts w:ascii="Times New Roman" w:hAnsi="Times New Roman" w:cs="Times New Roman"/>
          <w:sz w:val="21"/>
          <w:szCs w:val="21"/>
          <w:lang w:val="en-US"/>
        </w:rPr>
        <w:t>,</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S.</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 xml:space="preserve">Spencer  </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Brussels</w:t>
      </w:r>
      <w:r>
        <w:rPr>
          <w:rFonts w:ascii="Times New Roman" w:hAnsi="Times New Roman" w:cs="Times New Roman"/>
          <w:sz w:val="21"/>
          <w:szCs w:val="21"/>
        </w:rPr>
        <w:t xml:space="preserve"> : </w:t>
      </w:r>
      <w:r w:rsidRPr="00882D46">
        <w:rPr>
          <w:rFonts w:ascii="Times New Roman" w:hAnsi="Times New Roman" w:cs="Times New Roman"/>
          <w:sz w:val="21"/>
          <w:szCs w:val="21"/>
          <w:lang w:val="en-US"/>
        </w:rPr>
        <w:t xml:space="preserve">European Commission and the OECD Conference on </w:t>
      </w:r>
      <w:r w:rsidRPr="00882D46">
        <w:rPr>
          <w:rFonts w:ascii="Times New Roman" w:hAnsi="Times New Roman" w:cs="Times New Roman"/>
          <w:iCs/>
          <w:sz w:val="21"/>
          <w:szCs w:val="21"/>
          <w:lang w:val="en-US"/>
        </w:rPr>
        <w:t>The Economic and Social Aspects of Migration</w:t>
      </w:r>
      <w:r>
        <w:rPr>
          <w:rFonts w:ascii="Times New Roman" w:hAnsi="Times New Roman" w:cs="Times New Roman"/>
          <w:iCs/>
          <w:sz w:val="21"/>
          <w:szCs w:val="21"/>
        </w:rPr>
        <w:t>,</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2003.</w:t>
      </w:r>
      <w:r>
        <w:rPr>
          <w:rFonts w:ascii="Times New Roman" w:hAnsi="Times New Roman" w:cs="Times New Roman"/>
          <w:sz w:val="21"/>
          <w:szCs w:val="21"/>
        </w:rPr>
        <w:t xml:space="preserve"> –</w:t>
      </w:r>
      <w:r w:rsidRPr="00882D46">
        <w:rPr>
          <w:rFonts w:ascii="Times New Roman" w:hAnsi="Times New Roman" w:cs="Times New Roman"/>
          <w:sz w:val="21"/>
          <w:szCs w:val="21"/>
        </w:rPr>
        <w:t xml:space="preserve"> 43 p.</w:t>
      </w:r>
      <w:bookmarkEnd w:id="346"/>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47" w:name="_Ref435184034"/>
      <w:r w:rsidRPr="00882D46">
        <w:rPr>
          <w:rFonts w:ascii="Times New Roman" w:hAnsi="Times New Roman" w:cs="Times New Roman"/>
          <w:sz w:val="21"/>
          <w:szCs w:val="21"/>
          <w:lang w:val="en-US"/>
        </w:rPr>
        <w:t xml:space="preserve">Schapiro </w:t>
      </w:r>
      <w:r>
        <w:rPr>
          <w:rFonts w:ascii="Times New Roman" w:hAnsi="Times New Roman" w:cs="Times New Roman"/>
          <w:sz w:val="21"/>
          <w:szCs w:val="21"/>
          <w:lang w:val="en-US"/>
        </w:rPr>
        <w:t>K</w:t>
      </w:r>
      <w:r>
        <w:rPr>
          <w:rFonts w:ascii="Times New Roman" w:hAnsi="Times New Roman" w:cs="Times New Roman"/>
          <w:sz w:val="21"/>
          <w:szCs w:val="21"/>
        </w:rPr>
        <w:t>.</w:t>
      </w:r>
      <w:r w:rsidRPr="00882D46">
        <w:rPr>
          <w:rFonts w:ascii="Times New Roman" w:hAnsi="Times New Roman" w:cs="Times New Roman"/>
          <w:sz w:val="21"/>
          <w:szCs w:val="21"/>
          <w:lang w:val="en-US"/>
        </w:rPr>
        <w:t xml:space="preserve"> A. Migration and Educational Outcomes of Children Human Development Research Paper 2009/57 </w:t>
      </w:r>
      <w:r w:rsidRPr="00882D46">
        <w:rPr>
          <w:rFonts w:ascii="Times New Roman" w:hAnsi="Times New Roman" w:cs="Times New Roman"/>
          <w:iCs/>
          <w:sz w:val="21"/>
          <w:szCs w:val="21"/>
          <w:lang w:val="en-US"/>
        </w:rPr>
        <w:t>[</w:t>
      </w:r>
      <w:r w:rsidRPr="00882D46">
        <w:rPr>
          <w:rFonts w:ascii="Times New Roman" w:hAnsi="Times New Roman" w:cs="Times New Roman"/>
          <w:iCs/>
          <w:sz w:val="21"/>
          <w:szCs w:val="21"/>
        </w:rPr>
        <w:t>Електронний</w:t>
      </w:r>
      <w:r w:rsidRPr="00882D46">
        <w:rPr>
          <w:rFonts w:ascii="Times New Roman" w:hAnsi="Times New Roman" w:cs="Times New Roman"/>
          <w:iCs/>
          <w:sz w:val="21"/>
          <w:szCs w:val="21"/>
          <w:lang w:val="en-US"/>
        </w:rPr>
        <w:t xml:space="preserve"> </w:t>
      </w:r>
      <w:r w:rsidRPr="00882D46">
        <w:rPr>
          <w:rFonts w:ascii="Times New Roman" w:hAnsi="Times New Roman" w:cs="Times New Roman"/>
          <w:iCs/>
          <w:sz w:val="21"/>
          <w:szCs w:val="21"/>
        </w:rPr>
        <w:t>ресурс</w:t>
      </w:r>
      <w:r w:rsidRPr="00882D46">
        <w:rPr>
          <w:rFonts w:ascii="Times New Roman" w:hAnsi="Times New Roman" w:cs="Times New Roman"/>
          <w:iCs/>
          <w:sz w:val="21"/>
          <w:szCs w:val="21"/>
          <w:lang w:val="en-US"/>
        </w:rPr>
        <w:t>]</w:t>
      </w:r>
      <w:r w:rsidRPr="00882D46">
        <w:rPr>
          <w:rFonts w:ascii="Times New Roman" w:hAnsi="Times New Roman" w:cs="Times New Roman"/>
          <w:bCs/>
          <w:sz w:val="21"/>
          <w:szCs w:val="21"/>
          <w:lang w:val="en-US"/>
        </w:rPr>
        <w:t>.</w:t>
      </w:r>
      <w:r w:rsidRPr="00882D46">
        <w:rPr>
          <w:rFonts w:ascii="Times New Roman" w:hAnsi="Times New Roman" w:cs="Times New Roman"/>
          <w:bCs/>
          <w:sz w:val="21"/>
          <w:szCs w:val="21"/>
        </w:rPr>
        <w:t xml:space="preserve"> </w:t>
      </w:r>
      <w:r w:rsidRPr="00882D46">
        <w:rPr>
          <w:rFonts w:ascii="Times New Roman" w:hAnsi="Times New Roman" w:cs="Times New Roman"/>
          <w:bCs/>
          <w:sz w:val="21"/>
          <w:szCs w:val="21"/>
          <w:lang w:val="en-US"/>
        </w:rPr>
        <w:t xml:space="preserve">– </w:t>
      </w:r>
      <w:r w:rsidRPr="00882D46">
        <w:rPr>
          <w:rFonts w:ascii="Times New Roman" w:hAnsi="Times New Roman" w:cs="Times New Roman"/>
          <w:bCs/>
          <w:sz w:val="21"/>
          <w:szCs w:val="21"/>
        </w:rPr>
        <w:t>Режим</w:t>
      </w:r>
      <w:r w:rsidRPr="00882D46">
        <w:rPr>
          <w:rFonts w:ascii="Times New Roman" w:hAnsi="Times New Roman" w:cs="Times New Roman"/>
          <w:bCs/>
          <w:sz w:val="21"/>
          <w:szCs w:val="21"/>
          <w:lang w:val="en-US"/>
        </w:rPr>
        <w:t xml:space="preserve"> </w:t>
      </w:r>
      <w:r w:rsidRPr="00882D46">
        <w:rPr>
          <w:rFonts w:ascii="Times New Roman" w:hAnsi="Times New Roman" w:cs="Times New Roman"/>
          <w:bCs/>
          <w:sz w:val="21"/>
          <w:szCs w:val="21"/>
        </w:rPr>
        <w:t>доступу</w:t>
      </w:r>
      <w:r w:rsidRPr="00882D46">
        <w:rPr>
          <w:rFonts w:ascii="Times New Roman" w:hAnsi="Times New Roman" w:cs="Times New Roman"/>
          <w:bCs/>
          <w:sz w:val="21"/>
          <w:szCs w:val="21"/>
          <w:lang w:val="en-US"/>
        </w:rPr>
        <w:t xml:space="preserve"> :</w:t>
      </w:r>
      <w:r w:rsidRPr="00882D46">
        <w:rPr>
          <w:rFonts w:ascii="Times New Roman" w:hAnsi="Times New Roman" w:cs="Times New Roman"/>
          <w:bCs/>
          <w:sz w:val="21"/>
          <w:szCs w:val="21"/>
        </w:rPr>
        <w:t xml:space="preserve"> </w:t>
      </w:r>
      <w:hyperlink r:id="rId117" w:history="1">
        <w:r w:rsidRPr="00882D46">
          <w:rPr>
            <w:rFonts w:ascii="Times New Roman" w:hAnsi="Times New Roman" w:cs="Times New Roman"/>
            <w:sz w:val="21"/>
            <w:szCs w:val="21"/>
            <w:lang w:val="en-US"/>
          </w:rPr>
          <w:t>http://www.hdr.undp.org/en/reports/global/</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hdr2009/.../HDRP_2009_57.pdf</w:t>
        </w:r>
      </w:hyperlink>
      <w:bookmarkEnd w:id="347"/>
    </w:p>
    <w:p w:rsidR="00B233DE" w:rsidRPr="008342D2"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48" w:name="_Ref435186361"/>
      <w:r w:rsidRPr="00882D46">
        <w:rPr>
          <w:rFonts w:ascii="Times New Roman" w:hAnsi="Times New Roman" w:cs="Times New Roman"/>
          <w:sz w:val="21"/>
          <w:szCs w:val="21"/>
          <w:lang w:val="en-US"/>
        </w:rPr>
        <w:t>Somerville W.</w:t>
      </w:r>
      <w:r w:rsidRPr="00882D46">
        <w:rPr>
          <w:rFonts w:ascii="Times New Roman" w:hAnsi="Times New Roman" w:cs="Times New Roman"/>
          <w:sz w:val="21"/>
          <w:szCs w:val="21"/>
        </w:rPr>
        <w:t>,</w:t>
      </w:r>
      <w:r w:rsidRPr="00882D46">
        <w:rPr>
          <w:rFonts w:ascii="Times New Roman" w:hAnsi="Times New Roman" w:cs="Times New Roman"/>
          <w:sz w:val="21"/>
          <w:szCs w:val="21"/>
          <w:lang w:val="en-US"/>
        </w:rPr>
        <w:t xml:space="preserve"> Sumption M. Immigration and the Labour Market</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 Theory, Evidence and Policy</w:t>
      </w:r>
      <w:r>
        <w:rPr>
          <w:rFonts w:ascii="Times New Roman" w:hAnsi="Times New Roman" w:cs="Times New Roman"/>
          <w:sz w:val="21"/>
          <w:szCs w:val="21"/>
        </w:rPr>
        <w:t xml:space="preserve"> /</w:t>
      </w:r>
      <w:r w:rsidRPr="008342D2">
        <w:rPr>
          <w:rFonts w:ascii="Times New Roman" w:hAnsi="Times New Roman" w:cs="Times New Roman"/>
          <w:sz w:val="21"/>
          <w:szCs w:val="21"/>
          <w:lang w:val="en-US"/>
        </w:rPr>
        <w:t xml:space="preserve"> </w:t>
      </w:r>
      <w:r w:rsidRPr="00882D46">
        <w:rPr>
          <w:rFonts w:ascii="Times New Roman" w:hAnsi="Times New Roman" w:cs="Times New Roman"/>
          <w:sz w:val="21"/>
          <w:szCs w:val="21"/>
          <w:lang w:val="en-US"/>
        </w:rPr>
        <w:t>W.</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Somerville</w:t>
      </w:r>
      <w:r w:rsidRPr="00882D46">
        <w:rPr>
          <w:rFonts w:ascii="Times New Roman" w:hAnsi="Times New Roman" w:cs="Times New Roman"/>
          <w:sz w:val="21"/>
          <w:szCs w:val="21"/>
        </w:rPr>
        <w:t>,</w:t>
      </w:r>
      <w:r w:rsidRPr="00882D46">
        <w:rPr>
          <w:rFonts w:ascii="Times New Roman" w:hAnsi="Times New Roman" w:cs="Times New Roman"/>
          <w:sz w:val="21"/>
          <w:szCs w:val="21"/>
          <w:lang w:val="en-US"/>
        </w:rPr>
        <w:t xml:space="preserve"> M.</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Sumption</w:t>
      </w:r>
      <w:r>
        <w:rPr>
          <w:rFonts w:ascii="Times New Roman" w:hAnsi="Times New Roman" w:cs="Times New Roman"/>
          <w:sz w:val="21"/>
          <w:szCs w:val="21"/>
        </w:rPr>
        <w:t>. –</w:t>
      </w:r>
      <w:r w:rsidRPr="00882D46">
        <w:rPr>
          <w:rFonts w:ascii="Times New Roman" w:hAnsi="Times New Roman" w:cs="Times New Roman"/>
          <w:sz w:val="21"/>
          <w:szCs w:val="21"/>
          <w:lang w:val="en-US"/>
        </w:rPr>
        <w:t xml:space="preserve"> Migration Policy Institute</w:t>
      </w:r>
      <w:r>
        <w:rPr>
          <w:rFonts w:ascii="Times New Roman" w:hAnsi="Times New Roman" w:cs="Times New Roman"/>
          <w:sz w:val="21"/>
          <w:szCs w:val="21"/>
        </w:rPr>
        <w:t>, 2010. –</w:t>
      </w:r>
      <w:r w:rsidRPr="00882D46">
        <w:rPr>
          <w:rFonts w:ascii="Times New Roman" w:hAnsi="Times New Roman" w:cs="Times New Roman"/>
          <w:sz w:val="21"/>
          <w:szCs w:val="21"/>
          <w:lang w:val="en-US"/>
        </w:rPr>
        <w:t xml:space="preserve"> </w:t>
      </w:r>
      <w:r w:rsidRPr="008342D2">
        <w:rPr>
          <w:rFonts w:ascii="Times New Roman" w:hAnsi="Times New Roman" w:cs="Times New Roman"/>
          <w:sz w:val="21"/>
          <w:szCs w:val="21"/>
          <w:lang w:val="en-US"/>
        </w:rPr>
        <w:t xml:space="preserve">52 </w:t>
      </w:r>
      <w:r w:rsidRPr="00882D46">
        <w:rPr>
          <w:rFonts w:ascii="Times New Roman" w:hAnsi="Times New Roman" w:cs="Times New Roman"/>
          <w:sz w:val="21"/>
          <w:szCs w:val="21"/>
          <w:lang w:val="en-US"/>
        </w:rPr>
        <w:t>p</w:t>
      </w:r>
      <w:r w:rsidRPr="008342D2">
        <w:rPr>
          <w:rFonts w:ascii="Times New Roman" w:hAnsi="Times New Roman" w:cs="Times New Roman"/>
          <w:sz w:val="21"/>
          <w:szCs w:val="21"/>
          <w:lang w:val="en-US"/>
        </w:rPr>
        <w:t>.</w:t>
      </w:r>
      <w:bookmarkEnd w:id="348"/>
    </w:p>
    <w:p w:rsidR="00B233DE" w:rsidRPr="004B6152"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49" w:name="_Ref435186505"/>
      <w:r>
        <w:rPr>
          <w:rFonts w:ascii="Times New Roman" w:hAnsi="Times New Roman" w:cs="Times New Roman"/>
          <w:sz w:val="21"/>
          <w:szCs w:val="21"/>
          <w:lang w:val="en-US"/>
        </w:rPr>
        <w:t xml:space="preserve">Sonali J. </w:t>
      </w:r>
      <w:r w:rsidRPr="00882D46">
        <w:rPr>
          <w:rFonts w:ascii="Times New Roman" w:hAnsi="Times New Roman" w:cs="Times New Roman"/>
          <w:sz w:val="21"/>
          <w:szCs w:val="21"/>
          <w:lang w:val="en-US"/>
        </w:rPr>
        <w:t>For Love and Money</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 Second-generation I</w:t>
      </w:r>
      <w:r>
        <w:rPr>
          <w:rFonts w:ascii="Times New Roman" w:hAnsi="Times New Roman" w:cs="Times New Roman"/>
          <w:sz w:val="21"/>
          <w:szCs w:val="21"/>
          <w:lang w:val="en-US"/>
        </w:rPr>
        <w:t xml:space="preserve">ndian Americans </w:t>
      </w:r>
      <w:r>
        <w:rPr>
          <w:rFonts w:ascii="Times New Roman" w:hAnsi="Times New Roman" w:cs="Times New Roman"/>
          <w:sz w:val="21"/>
          <w:szCs w:val="21"/>
        </w:rPr>
        <w:t>«</w:t>
      </w:r>
      <w:r>
        <w:rPr>
          <w:rFonts w:ascii="Times New Roman" w:hAnsi="Times New Roman" w:cs="Times New Roman"/>
          <w:sz w:val="21"/>
          <w:szCs w:val="21"/>
          <w:lang w:val="en-US"/>
        </w:rPr>
        <w:t>Return</w:t>
      </w:r>
      <w:r>
        <w:rPr>
          <w:rFonts w:ascii="Times New Roman" w:hAnsi="Times New Roman" w:cs="Times New Roman"/>
          <w:sz w:val="21"/>
          <w:szCs w:val="21"/>
        </w:rPr>
        <w:t>»</w:t>
      </w:r>
      <w:r>
        <w:rPr>
          <w:rFonts w:ascii="Times New Roman" w:hAnsi="Times New Roman" w:cs="Times New Roman"/>
          <w:sz w:val="21"/>
          <w:szCs w:val="21"/>
          <w:lang w:val="en-US"/>
        </w:rPr>
        <w:t xml:space="preserve"> to India</w:t>
      </w:r>
      <w:r>
        <w:rPr>
          <w:rFonts w:ascii="Times New Roman" w:hAnsi="Times New Roman" w:cs="Times New Roman"/>
          <w:sz w:val="21"/>
          <w:szCs w:val="21"/>
        </w:rPr>
        <w:t xml:space="preserve"> / </w:t>
      </w:r>
      <w:r>
        <w:rPr>
          <w:rFonts w:ascii="Times New Roman" w:hAnsi="Times New Roman" w:cs="Times New Roman"/>
          <w:sz w:val="21"/>
          <w:szCs w:val="21"/>
          <w:lang w:val="en-US"/>
        </w:rPr>
        <w:t>J.</w:t>
      </w:r>
      <w:r>
        <w:rPr>
          <w:rFonts w:ascii="Times New Roman" w:hAnsi="Times New Roman" w:cs="Times New Roman"/>
          <w:sz w:val="21"/>
          <w:szCs w:val="21"/>
        </w:rPr>
        <w:t xml:space="preserve"> </w:t>
      </w:r>
      <w:r>
        <w:rPr>
          <w:rFonts w:ascii="Times New Roman" w:hAnsi="Times New Roman" w:cs="Times New Roman"/>
          <w:sz w:val="21"/>
          <w:szCs w:val="21"/>
          <w:lang w:val="en-US"/>
        </w:rPr>
        <w:t>Sonali</w:t>
      </w:r>
      <w:r>
        <w:rPr>
          <w:rFonts w:ascii="Times New Roman" w:hAnsi="Times New Roman" w:cs="Times New Roman"/>
          <w:sz w:val="21"/>
          <w:szCs w:val="21"/>
        </w:rPr>
        <w:t>. –</w:t>
      </w:r>
      <w:r>
        <w:rPr>
          <w:rFonts w:ascii="Times New Roman" w:hAnsi="Times New Roman" w:cs="Times New Roman"/>
          <w:sz w:val="21"/>
          <w:szCs w:val="21"/>
          <w:lang w:val="en-US"/>
        </w:rPr>
        <w:t xml:space="preserve"> </w:t>
      </w:r>
      <w:r w:rsidRPr="00882D46">
        <w:rPr>
          <w:rFonts w:ascii="Times New Roman" w:hAnsi="Times New Roman" w:cs="Times New Roman"/>
          <w:sz w:val="21"/>
          <w:szCs w:val="21"/>
          <w:lang w:val="en-US"/>
        </w:rPr>
        <w:t>M</w:t>
      </w:r>
      <w:r>
        <w:rPr>
          <w:rFonts w:ascii="Times New Roman" w:hAnsi="Times New Roman" w:cs="Times New Roman"/>
          <w:sz w:val="21"/>
          <w:szCs w:val="21"/>
          <w:lang w:val="en-US"/>
        </w:rPr>
        <w:t>igration Information Source</w:t>
      </w:r>
      <w:r>
        <w:rPr>
          <w:rFonts w:ascii="Times New Roman" w:hAnsi="Times New Roman" w:cs="Times New Roman"/>
          <w:sz w:val="21"/>
          <w:szCs w:val="21"/>
        </w:rPr>
        <w:t>,</w:t>
      </w:r>
      <w:r>
        <w:rPr>
          <w:rFonts w:ascii="Times New Roman" w:hAnsi="Times New Roman" w:cs="Times New Roman"/>
          <w:sz w:val="21"/>
          <w:szCs w:val="21"/>
          <w:lang w:val="en-US"/>
        </w:rPr>
        <w:t xml:space="preserve"> 2010</w:t>
      </w:r>
      <w:r>
        <w:rPr>
          <w:rFonts w:ascii="Times New Roman" w:hAnsi="Times New Roman" w:cs="Times New Roman"/>
          <w:sz w:val="21"/>
          <w:szCs w:val="21"/>
        </w:rPr>
        <w:t>. – 116 р.</w:t>
      </w:r>
      <w:bookmarkEnd w:id="349"/>
    </w:p>
    <w:p w:rsidR="00B233DE" w:rsidRPr="004B6152"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50" w:name="_Ref435182634"/>
      <w:r w:rsidRPr="00882D46">
        <w:rPr>
          <w:rStyle w:val="heading"/>
          <w:rFonts w:ascii="Times New Roman" w:hAnsi="Times New Roman" w:cs="Times New Roman"/>
          <w:sz w:val="21"/>
          <w:szCs w:val="21"/>
          <w:lang w:val="en-US"/>
        </w:rPr>
        <w:lastRenderedPageBreak/>
        <w:t>Stimulating Economies through Fostering Talent Mobility</w:t>
      </w:r>
      <w:r w:rsidRPr="00882D46">
        <w:rPr>
          <w:rFonts w:ascii="Times New Roman" w:hAnsi="Times New Roman" w:cs="Times New Roman"/>
          <w:sz w:val="21"/>
          <w:szCs w:val="21"/>
        </w:rPr>
        <w:t>.</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W</w:t>
      </w:r>
      <w:r>
        <w:rPr>
          <w:rFonts w:ascii="Times New Roman" w:hAnsi="Times New Roman" w:cs="Times New Roman"/>
          <w:sz w:val="21"/>
          <w:szCs w:val="21"/>
        </w:rPr>
        <w:t>orld Economic Forum,</w:t>
      </w:r>
      <w:r w:rsidRPr="00882D46">
        <w:rPr>
          <w:rFonts w:ascii="Times New Roman" w:hAnsi="Times New Roman" w:cs="Times New Roman"/>
          <w:sz w:val="21"/>
          <w:szCs w:val="21"/>
        </w:rPr>
        <w:t xml:space="preserve"> 2010.</w:t>
      </w:r>
      <w:r>
        <w:rPr>
          <w:rFonts w:ascii="Times New Roman" w:hAnsi="Times New Roman" w:cs="Times New Roman"/>
          <w:sz w:val="21"/>
          <w:szCs w:val="21"/>
        </w:rPr>
        <w:t xml:space="preserve"> –</w:t>
      </w:r>
      <w:r w:rsidRPr="00882D46">
        <w:rPr>
          <w:rFonts w:ascii="Times New Roman" w:hAnsi="Times New Roman" w:cs="Times New Roman"/>
          <w:sz w:val="21"/>
          <w:szCs w:val="21"/>
        </w:rPr>
        <w:t xml:space="preserve"> 55 p.</w:t>
      </w:r>
      <w:bookmarkEnd w:id="350"/>
    </w:p>
    <w:p w:rsidR="00B233DE" w:rsidRPr="00CB18A9"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51" w:name="_Ref435182274"/>
      <w:r w:rsidRPr="00882D46">
        <w:rPr>
          <w:rFonts w:ascii="Times New Roman" w:hAnsi="Times New Roman" w:cs="Times New Roman"/>
          <w:sz w:val="21"/>
          <w:szCs w:val="21"/>
          <w:lang w:val="en-GB"/>
        </w:rPr>
        <w:t>The Impact of the Global Financial Crisis. IOM Policy Brief. IOM</w:t>
      </w:r>
      <w:r>
        <w:rPr>
          <w:rFonts w:ascii="Times New Roman" w:hAnsi="Times New Roman" w:cs="Times New Roman"/>
          <w:sz w:val="21"/>
          <w:szCs w:val="21"/>
        </w:rPr>
        <w:t>. –</w:t>
      </w:r>
      <w:r w:rsidRPr="00CB18A9">
        <w:rPr>
          <w:rFonts w:ascii="Times New Roman" w:hAnsi="Times New Roman" w:cs="Times New Roman"/>
          <w:sz w:val="21"/>
          <w:szCs w:val="21"/>
          <w:lang w:val="en-US"/>
        </w:rPr>
        <w:t xml:space="preserve"> </w:t>
      </w:r>
      <w:r w:rsidRPr="00882D46">
        <w:rPr>
          <w:rFonts w:ascii="Times New Roman" w:hAnsi="Times New Roman" w:cs="Times New Roman"/>
          <w:sz w:val="21"/>
          <w:szCs w:val="21"/>
          <w:lang w:val="en-GB"/>
        </w:rPr>
        <w:t>Geneva</w:t>
      </w:r>
      <w:r w:rsidRPr="00CB18A9">
        <w:rPr>
          <w:rFonts w:ascii="Times New Roman" w:hAnsi="Times New Roman" w:cs="Times New Roman"/>
          <w:sz w:val="21"/>
          <w:szCs w:val="21"/>
          <w:lang w:val="en-US"/>
        </w:rPr>
        <w:t>, 2009.</w:t>
      </w:r>
      <w:r>
        <w:rPr>
          <w:rFonts w:ascii="Times New Roman" w:hAnsi="Times New Roman" w:cs="Times New Roman"/>
          <w:sz w:val="21"/>
          <w:szCs w:val="21"/>
        </w:rPr>
        <w:t xml:space="preserve"> –</w:t>
      </w:r>
      <w:r w:rsidRPr="00882D46">
        <w:rPr>
          <w:rFonts w:ascii="Times New Roman" w:hAnsi="Times New Roman" w:cs="Times New Roman"/>
          <w:sz w:val="21"/>
          <w:szCs w:val="21"/>
        </w:rPr>
        <w:t xml:space="preserve"> </w:t>
      </w:r>
      <w:r>
        <w:rPr>
          <w:rFonts w:ascii="Times New Roman" w:hAnsi="Times New Roman" w:cs="Times New Roman"/>
          <w:sz w:val="21"/>
          <w:szCs w:val="21"/>
        </w:rPr>
        <w:t>1</w:t>
      </w:r>
      <w:r w:rsidRPr="00882D46">
        <w:rPr>
          <w:rFonts w:ascii="Times New Roman" w:hAnsi="Times New Roman" w:cs="Times New Roman"/>
          <w:sz w:val="21"/>
          <w:szCs w:val="21"/>
        </w:rPr>
        <w:t>4</w:t>
      </w:r>
      <w:r>
        <w:rPr>
          <w:rFonts w:ascii="Times New Roman" w:hAnsi="Times New Roman" w:cs="Times New Roman"/>
          <w:sz w:val="21"/>
          <w:szCs w:val="21"/>
        </w:rPr>
        <w:t xml:space="preserve"> р.</w:t>
      </w:r>
      <w:bookmarkEnd w:id="351"/>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52" w:name="_Ref435186992"/>
      <w:r w:rsidRPr="00882D46">
        <w:rPr>
          <w:rFonts w:ascii="Times New Roman" w:hAnsi="Times New Roman" w:cs="Times New Roman"/>
          <w:sz w:val="21"/>
          <w:szCs w:val="21"/>
          <w:lang w:val="en-US"/>
        </w:rPr>
        <w:t>The Knowledge Assessment Methodology (KAM) [</w:t>
      </w:r>
      <w:r w:rsidRPr="00882D46">
        <w:rPr>
          <w:rFonts w:ascii="Times New Roman" w:hAnsi="Times New Roman" w:cs="Times New Roman"/>
          <w:sz w:val="21"/>
          <w:szCs w:val="21"/>
        </w:rPr>
        <w:t>Електронний</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ресурс</w:t>
      </w:r>
      <w:r w:rsidRPr="00882D46">
        <w:rPr>
          <w:rFonts w:ascii="Times New Roman" w:hAnsi="Times New Roman" w:cs="Times New Roman"/>
          <w:sz w:val="21"/>
          <w:szCs w:val="21"/>
          <w:lang w:val="en-US"/>
        </w:rPr>
        <w:t xml:space="preserve">]. – </w:t>
      </w:r>
      <w:r w:rsidRPr="00882D46">
        <w:rPr>
          <w:rFonts w:ascii="Times New Roman" w:hAnsi="Times New Roman" w:cs="Times New Roman"/>
          <w:sz w:val="21"/>
          <w:szCs w:val="21"/>
        </w:rPr>
        <w:t>Режим</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доступу</w:t>
      </w:r>
      <w:r w:rsidRPr="00882D46">
        <w:rPr>
          <w:rFonts w:ascii="Times New Roman" w:hAnsi="Times New Roman" w:cs="Times New Roman"/>
          <w:sz w:val="21"/>
          <w:szCs w:val="21"/>
          <w:lang w:val="en-US"/>
        </w:rPr>
        <w:t xml:space="preserve"> : http://info.worldbank.org/etools/kam2/KAM_page7.asp</w:t>
      </w:r>
      <w:bookmarkEnd w:id="352"/>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353" w:name="_Ref435182396"/>
      <w:r w:rsidRPr="00882D46">
        <w:rPr>
          <w:rFonts w:ascii="Times New Roman" w:hAnsi="Times New Roman" w:cs="Times New Roman"/>
          <w:sz w:val="21"/>
          <w:szCs w:val="21"/>
        </w:rPr>
        <w:t xml:space="preserve">The World Bank Indicators </w:t>
      </w:r>
      <w:bookmarkStart w:id="354" w:name="OLE_LINK2"/>
      <w:bookmarkStart w:id="355" w:name="OLE_LINK3"/>
      <w:r w:rsidRPr="00882D46">
        <w:rPr>
          <w:rFonts w:ascii="Times New Roman" w:hAnsi="Times New Roman" w:cs="Times New Roman"/>
          <w:sz w:val="21"/>
          <w:szCs w:val="21"/>
        </w:rPr>
        <w:t>[Електронний ресурс]. – Режим доступу : http://data.worldbank.org/indicator/</w:t>
      </w:r>
      <w:bookmarkEnd w:id="353"/>
      <w:bookmarkEnd w:id="354"/>
      <w:bookmarkEnd w:id="355"/>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56" w:name="_Ref435182462"/>
      <w:r w:rsidRPr="00882D46">
        <w:rPr>
          <w:rFonts w:ascii="Times New Roman" w:hAnsi="Times New Roman" w:cs="Times New Roman"/>
          <w:sz w:val="21"/>
          <w:szCs w:val="21"/>
          <w:lang w:val="en-US"/>
        </w:rPr>
        <w:t xml:space="preserve">The World Factbook. </w:t>
      </w:r>
      <w:r w:rsidRPr="00882D46">
        <w:rPr>
          <w:rFonts w:ascii="Times New Roman" w:hAnsi="Times New Roman" w:cs="Times New Roman"/>
          <w:sz w:val="21"/>
          <w:szCs w:val="21"/>
          <w:lang w:val="en-GB"/>
        </w:rPr>
        <w:t>Central</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lang w:val="en-GB"/>
        </w:rPr>
        <w:t>Intelligence</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lang w:val="en-GB"/>
        </w:rPr>
        <w:t>Agency</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Електронний</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ресурс</w:t>
      </w:r>
      <w:r w:rsidRPr="00882D46">
        <w:rPr>
          <w:rFonts w:ascii="Times New Roman" w:hAnsi="Times New Roman" w:cs="Times New Roman"/>
          <w:sz w:val="21"/>
          <w:szCs w:val="21"/>
          <w:lang w:val="en-US"/>
        </w:rPr>
        <w:t>]</w:t>
      </w:r>
      <w:r w:rsidRPr="00882D46">
        <w:rPr>
          <w:rFonts w:ascii="Times New Roman" w:hAnsi="Times New Roman" w:cs="Times New Roman"/>
          <w:sz w:val="21"/>
          <w:szCs w:val="21"/>
        </w:rPr>
        <w:t>. – Режим</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 xml:space="preserve">доступу </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lang w:val="en-GB"/>
        </w:rPr>
        <w:t>https</w:t>
      </w:r>
      <w:r w:rsidRPr="00882D46">
        <w:rPr>
          <w:rFonts w:ascii="Times New Roman" w:hAnsi="Times New Roman" w:cs="Times New Roman"/>
          <w:sz w:val="21"/>
          <w:szCs w:val="21"/>
          <w:lang w:val="en-US"/>
        </w:rPr>
        <w:t>://</w:t>
      </w:r>
      <w:r w:rsidRPr="00882D46">
        <w:rPr>
          <w:rFonts w:ascii="Times New Roman" w:hAnsi="Times New Roman" w:cs="Times New Roman"/>
          <w:sz w:val="21"/>
          <w:szCs w:val="21"/>
          <w:lang w:val="en-GB"/>
        </w:rPr>
        <w:t>www</w:t>
      </w:r>
      <w:r w:rsidRPr="00882D46">
        <w:rPr>
          <w:rFonts w:ascii="Times New Roman" w:hAnsi="Times New Roman" w:cs="Times New Roman"/>
          <w:sz w:val="21"/>
          <w:szCs w:val="21"/>
          <w:lang w:val="en-US"/>
        </w:rPr>
        <w:t>.</w:t>
      </w:r>
      <w:r w:rsidRPr="00882D46">
        <w:rPr>
          <w:rFonts w:ascii="Times New Roman" w:hAnsi="Times New Roman" w:cs="Times New Roman"/>
          <w:sz w:val="21"/>
          <w:szCs w:val="21"/>
          <w:lang w:val="en-GB"/>
        </w:rPr>
        <w:t>cia</w:t>
      </w:r>
      <w:r w:rsidRPr="00882D46">
        <w:rPr>
          <w:rFonts w:ascii="Times New Roman" w:hAnsi="Times New Roman" w:cs="Times New Roman"/>
          <w:sz w:val="21"/>
          <w:szCs w:val="21"/>
          <w:lang w:val="en-US"/>
        </w:rPr>
        <w:t>.</w:t>
      </w:r>
      <w:r w:rsidRPr="00882D46">
        <w:rPr>
          <w:rFonts w:ascii="Times New Roman" w:hAnsi="Times New Roman" w:cs="Times New Roman"/>
          <w:sz w:val="21"/>
          <w:szCs w:val="21"/>
          <w:lang w:val="en-GB"/>
        </w:rPr>
        <w:t>gov</w:t>
      </w:r>
      <w:r w:rsidRPr="00882D46">
        <w:rPr>
          <w:rFonts w:ascii="Times New Roman" w:hAnsi="Times New Roman" w:cs="Times New Roman"/>
          <w:sz w:val="21"/>
          <w:szCs w:val="21"/>
          <w:lang w:val="en-US"/>
        </w:rPr>
        <w:t>/</w:t>
      </w:r>
      <w:r w:rsidRPr="00882D46">
        <w:rPr>
          <w:rFonts w:ascii="Times New Roman" w:hAnsi="Times New Roman" w:cs="Times New Roman"/>
          <w:sz w:val="21"/>
          <w:szCs w:val="21"/>
          <w:lang w:val="en-GB"/>
        </w:rPr>
        <w:t>library</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w:t>
      </w:r>
      <w:r w:rsidRPr="00882D46">
        <w:rPr>
          <w:rFonts w:ascii="Times New Roman" w:hAnsi="Times New Roman" w:cs="Times New Roman"/>
          <w:sz w:val="21"/>
          <w:szCs w:val="21"/>
          <w:lang w:val="en-GB"/>
        </w:rPr>
        <w:t>publications</w:t>
      </w:r>
      <w:r w:rsidRPr="00882D46">
        <w:rPr>
          <w:rFonts w:ascii="Times New Roman" w:hAnsi="Times New Roman" w:cs="Times New Roman"/>
          <w:sz w:val="21"/>
          <w:szCs w:val="21"/>
          <w:lang w:val="en-US"/>
        </w:rPr>
        <w:t>/</w:t>
      </w:r>
      <w:r w:rsidRPr="00882D46">
        <w:rPr>
          <w:rFonts w:ascii="Times New Roman" w:hAnsi="Times New Roman" w:cs="Times New Roman"/>
          <w:sz w:val="21"/>
          <w:szCs w:val="21"/>
          <w:lang w:val="en-GB"/>
        </w:rPr>
        <w:t>the</w:t>
      </w:r>
      <w:r w:rsidRPr="00882D46">
        <w:rPr>
          <w:rFonts w:ascii="Times New Roman" w:hAnsi="Times New Roman" w:cs="Times New Roman"/>
          <w:sz w:val="21"/>
          <w:szCs w:val="21"/>
          <w:lang w:val="en-US"/>
        </w:rPr>
        <w:t>-</w:t>
      </w:r>
      <w:r w:rsidRPr="00882D46">
        <w:rPr>
          <w:rFonts w:ascii="Times New Roman" w:hAnsi="Times New Roman" w:cs="Times New Roman"/>
          <w:sz w:val="21"/>
          <w:szCs w:val="21"/>
          <w:lang w:val="en-GB"/>
        </w:rPr>
        <w:t>world</w:t>
      </w:r>
      <w:r w:rsidRPr="00882D46">
        <w:rPr>
          <w:rFonts w:ascii="Times New Roman" w:hAnsi="Times New Roman" w:cs="Times New Roman"/>
          <w:sz w:val="21"/>
          <w:szCs w:val="21"/>
          <w:lang w:val="en-US"/>
        </w:rPr>
        <w:t>-</w:t>
      </w:r>
      <w:r w:rsidRPr="00882D46">
        <w:rPr>
          <w:rFonts w:ascii="Times New Roman" w:hAnsi="Times New Roman" w:cs="Times New Roman"/>
          <w:sz w:val="21"/>
          <w:szCs w:val="21"/>
          <w:lang w:val="en-GB"/>
        </w:rPr>
        <w:t>factbook</w:t>
      </w:r>
      <w:r w:rsidRPr="00882D46">
        <w:rPr>
          <w:rFonts w:ascii="Times New Roman" w:hAnsi="Times New Roman" w:cs="Times New Roman"/>
          <w:sz w:val="21"/>
          <w:szCs w:val="21"/>
          <w:lang w:val="en-US"/>
        </w:rPr>
        <w:t>/</w:t>
      </w:r>
      <w:r w:rsidRPr="00882D46">
        <w:rPr>
          <w:rFonts w:ascii="Times New Roman" w:hAnsi="Times New Roman" w:cs="Times New Roman"/>
          <w:sz w:val="21"/>
          <w:szCs w:val="21"/>
          <w:lang w:val="en-GB"/>
        </w:rPr>
        <w:t>geos</w:t>
      </w:r>
      <w:r w:rsidRPr="00882D46">
        <w:rPr>
          <w:rFonts w:ascii="Times New Roman" w:hAnsi="Times New Roman" w:cs="Times New Roman"/>
          <w:sz w:val="21"/>
          <w:szCs w:val="21"/>
          <w:lang w:val="en-US"/>
        </w:rPr>
        <w:t>/</w:t>
      </w:r>
      <w:r w:rsidRPr="00882D46">
        <w:rPr>
          <w:rFonts w:ascii="Times New Roman" w:hAnsi="Times New Roman" w:cs="Times New Roman"/>
          <w:sz w:val="21"/>
          <w:szCs w:val="21"/>
          <w:lang w:val="en-GB"/>
        </w:rPr>
        <w:t>up</w:t>
      </w:r>
      <w:r w:rsidRPr="00882D46">
        <w:rPr>
          <w:rFonts w:ascii="Times New Roman" w:hAnsi="Times New Roman" w:cs="Times New Roman"/>
          <w:sz w:val="21"/>
          <w:szCs w:val="21"/>
          <w:lang w:val="en-US"/>
        </w:rPr>
        <w:t>.</w:t>
      </w:r>
      <w:r w:rsidRPr="00882D46">
        <w:rPr>
          <w:rFonts w:ascii="Times New Roman" w:hAnsi="Times New Roman" w:cs="Times New Roman"/>
          <w:sz w:val="21"/>
          <w:szCs w:val="21"/>
          <w:lang w:val="en-GB"/>
        </w:rPr>
        <w:t>html</w:t>
      </w:r>
      <w:bookmarkEnd w:id="356"/>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57" w:name="_Ref435187672"/>
      <w:r w:rsidRPr="00882D46">
        <w:rPr>
          <w:rFonts w:ascii="Times New Roman" w:hAnsi="Times New Roman" w:cs="Times New Roman"/>
          <w:sz w:val="21"/>
          <w:szCs w:val="21"/>
          <w:lang w:val="en-US"/>
        </w:rPr>
        <w:t>Unesco Institute for Statistics [</w:t>
      </w:r>
      <w:r w:rsidRPr="00882D46">
        <w:rPr>
          <w:rFonts w:ascii="Times New Roman" w:hAnsi="Times New Roman" w:cs="Times New Roman"/>
          <w:sz w:val="21"/>
          <w:szCs w:val="21"/>
        </w:rPr>
        <w:t>Електронний</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ресурс</w:t>
      </w:r>
      <w:r w:rsidRPr="00882D46">
        <w:rPr>
          <w:rFonts w:ascii="Times New Roman" w:hAnsi="Times New Roman" w:cs="Times New Roman"/>
          <w:sz w:val="21"/>
          <w:szCs w:val="21"/>
          <w:lang w:val="en-US"/>
        </w:rPr>
        <w:t xml:space="preserve">]. – </w:t>
      </w:r>
      <w:r w:rsidRPr="00882D46">
        <w:rPr>
          <w:rFonts w:ascii="Times New Roman" w:hAnsi="Times New Roman" w:cs="Times New Roman"/>
          <w:sz w:val="21"/>
          <w:szCs w:val="21"/>
        </w:rPr>
        <w:t>Режим</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доступу</w:t>
      </w:r>
      <w:r w:rsidRPr="00882D46">
        <w:rPr>
          <w:rFonts w:ascii="Times New Roman" w:hAnsi="Times New Roman" w:cs="Times New Roman"/>
          <w:sz w:val="21"/>
          <w:szCs w:val="21"/>
          <w:lang w:val="en-US"/>
        </w:rPr>
        <w:t xml:space="preserve"> : http://stats.uis.unesco.org/unesco/TableViewer/</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tableView</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.aspx?ReportId=167</w:t>
      </w:r>
      <w:bookmarkEnd w:id="357"/>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58" w:name="_Ref435187681"/>
      <w:r w:rsidRPr="00882D46">
        <w:rPr>
          <w:rFonts w:ascii="Times New Roman" w:hAnsi="Times New Roman" w:cs="Times New Roman"/>
          <w:sz w:val="21"/>
          <w:szCs w:val="21"/>
          <w:lang w:val="en-US"/>
        </w:rPr>
        <w:t>Ukraine Country Report. Working document</w:t>
      </w:r>
      <w:r w:rsidRPr="00882D46">
        <w:rPr>
          <w:rFonts w:ascii="Times New Roman" w:hAnsi="Times New Roman" w:cs="Times New Roman"/>
          <w:sz w:val="21"/>
          <w:szCs w:val="21"/>
        </w:rPr>
        <w:t>.</w:t>
      </w:r>
      <w:r w:rsidRPr="00882D46">
        <w:rPr>
          <w:rFonts w:ascii="Times New Roman" w:hAnsi="Times New Roman" w:cs="Times New Roman"/>
          <w:sz w:val="21"/>
          <w:szCs w:val="21"/>
          <w:lang w:val="en-US"/>
        </w:rPr>
        <w:t xml:space="preserve"> ENPI 08-14 Black Sea Labour Market Reviews</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w:t>
      </w:r>
      <w:r w:rsidRPr="00882D46">
        <w:rPr>
          <w:rFonts w:ascii="Times New Roman" w:hAnsi="Times New Roman" w:cs="Times New Roman"/>
          <w:sz w:val="21"/>
          <w:szCs w:val="21"/>
        </w:rPr>
        <w:t>Електронний</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ресурс</w:t>
      </w:r>
      <w:r w:rsidRPr="00882D46">
        <w:rPr>
          <w:rFonts w:ascii="Times New Roman" w:hAnsi="Times New Roman" w:cs="Times New Roman"/>
          <w:sz w:val="21"/>
          <w:szCs w:val="21"/>
          <w:lang w:val="en-US"/>
        </w:rPr>
        <w:t>].</w:t>
      </w:r>
      <w:r>
        <w:rPr>
          <w:rFonts w:ascii="Times New Roman" w:hAnsi="Times New Roman" w:cs="Times New Roman"/>
          <w:sz w:val="21"/>
          <w:szCs w:val="21"/>
        </w:rPr>
        <w:t xml:space="preserve"> –</w:t>
      </w:r>
      <w:r w:rsidRPr="00882D46">
        <w:rPr>
          <w:rFonts w:ascii="Times New Roman" w:hAnsi="Times New Roman" w:cs="Times New Roman"/>
          <w:iCs/>
          <w:sz w:val="21"/>
          <w:szCs w:val="21"/>
          <w:lang w:val="en-US"/>
        </w:rPr>
        <w:t xml:space="preserve"> </w:t>
      </w:r>
      <w:r w:rsidRPr="00882D46">
        <w:rPr>
          <w:rFonts w:ascii="Times New Roman" w:hAnsi="Times New Roman" w:cs="Times New Roman"/>
          <w:sz w:val="21"/>
          <w:szCs w:val="21"/>
          <w:lang w:val="en-US"/>
        </w:rPr>
        <w:t>E</w:t>
      </w:r>
      <w:r>
        <w:rPr>
          <w:rFonts w:ascii="Times New Roman" w:hAnsi="Times New Roman" w:cs="Times New Roman"/>
          <w:sz w:val="21"/>
          <w:szCs w:val="21"/>
          <w:lang w:val="en-US"/>
        </w:rPr>
        <w:t>uropean training Foundation</w:t>
      </w:r>
      <w:r>
        <w:rPr>
          <w:rFonts w:ascii="Times New Roman" w:hAnsi="Times New Roman" w:cs="Times New Roman"/>
          <w:sz w:val="21"/>
          <w:szCs w:val="21"/>
        </w:rPr>
        <w:t>,</w:t>
      </w:r>
      <w:r w:rsidRPr="00882D46">
        <w:rPr>
          <w:rFonts w:ascii="Times New Roman" w:hAnsi="Times New Roman" w:cs="Times New Roman"/>
          <w:sz w:val="21"/>
          <w:szCs w:val="21"/>
          <w:lang w:val="en-US"/>
        </w:rPr>
        <w:t xml:space="preserve"> 2009</w:t>
      </w:r>
      <w:r w:rsidRPr="00882D46">
        <w:rPr>
          <w:rFonts w:ascii="Times New Roman" w:hAnsi="Times New Roman" w:cs="Times New Roman"/>
          <w:sz w:val="21"/>
          <w:szCs w:val="21"/>
        </w:rPr>
        <w:t>. – Режим</w:t>
      </w:r>
      <w:r w:rsidRPr="00882D46">
        <w:rPr>
          <w:rFonts w:ascii="Times New Roman" w:hAnsi="Times New Roman" w:cs="Times New Roman"/>
          <w:sz w:val="21"/>
          <w:szCs w:val="21"/>
          <w:lang w:val="en-US"/>
        </w:rPr>
        <w:t xml:space="preserve"> </w:t>
      </w:r>
      <w:r w:rsidRPr="00882D46">
        <w:rPr>
          <w:rFonts w:ascii="Times New Roman" w:hAnsi="Times New Roman" w:cs="Times New Roman"/>
          <w:sz w:val="21"/>
          <w:szCs w:val="21"/>
        </w:rPr>
        <w:t xml:space="preserve">доступу </w:t>
      </w:r>
      <w:r w:rsidRPr="00882D46">
        <w:rPr>
          <w:rFonts w:ascii="Times New Roman" w:hAnsi="Times New Roman" w:cs="Times New Roman"/>
          <w:sz w:val="21"/>
          <w:szCs w:val="21"/>
          <w:lang w:val="en-US"/>
        </w:rPr>
        <w:t xml:space="preserve">: </w:t>
      </w:r>
      <w:hyperlink r:id="rId118" w:history="1">
        <w:r w:rsidRPr="00882D46">
          <w:rPr>
            <w:rFonts w:ascii="Times New Roman" w:hAnsi="Times New Roman" w:cs="Times New Roman"/>
            <w:sz w:val="21"/>
            <w:szCs w:val="21"/>
            <w:lang w:val="en-US"/>
          </w:rPr>
          <w:t>http://www.etf.europa.</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eu/pubmgmt.nsf/%28getAttachment%29/0305917BB9684A9FC125755F00460682/$File/NOTE7PBGXZ.pdf</w:t>
        </w:r>
      </w:hyperlink>
      <w:bookmarkEnd w:id="358"/>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359" w:name="_Ref435182764"/>
      <w:r w:rsidRPr="00882D46">
        <w:rPr>
          <w:rFonts w:ascii="Times New Roman" w:hAnsi="Times New Roman" w:cs="Times New Roman"/>
          <w:sz w:val="21"/>
          <w:szCs w:val="21"/>
          <w:lang w:val="en-US"/>
        </w:rPr>
        <w:t>U.S. Immigration and Economic Growth</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 xml:space="preserve">: Putting Policy on Hold. Southwest Economy. </w:t>
      </w:r>
      <w:r>
        <w:rPr>
          <w:rFonts w:ascii="Times New Roman" w:hAnsi="Times New Roman" w:cs="Times New Roman"/>
          <w:sz w:val="21"/>
          <w:szCs w:val="21"/>
        </w:rPr>
        <w:t xml:space="preserve">– </w:t>
      </w:r>
      <w:r w:rsidRPr="00882D46">
        <w:rPr>
          <w:rStyle w:val="heading4"/>
          <w:rFonts w:ascii="Times New Roman" w:hAnsi="Times New Roman" w:cs="Times New Roman"/>
          <w:sz w:val="21"/>
          <w:szCs w:val="21"/>
          <w:lang w:val="en-US"/>
        </w:rPr>
        <w:t>Federal Reserve Bank of Dallas.</w:t>
      </w:r>
      <w:r>
        <w:rPr>
          <w:rStyle w:val="heading4"/>
          <w:rFonts w:ascii="Times New Roman" w:hAnsi="Times New Roman" w:cs="Times New Roman"/>
          <w:sz w:val="21"/>
          <w:szCs w:val="21"/>
        </w:rPr>
        <w:t xml:space="preserve"> –</w:t>
      </w:r>
      <w:r w:rsidRPr="00882D46">
        <w:rPr>
          <w:rStyle w:val="heading1"/>
          <w:rFonts w:ascii="Times New Roman" w:hAnsi="Times New Roman" w:cs="Times New Roman"/>
          <w:sz w:val="21"/>
          <w:szCs w:val="21"/>
          <w:lang w:val="en-US"/>
        </w:rPr>
        <w:t xml:space="preserve"> Issue</w:t>
      </w:r>
      <w:r>
        <w:rPr>
          <w:rStyle w:val="heading1"/>
          <w:rFonts w:ascii="Times New Roman" w:hAnsi="Times New Roman" w:cs="Times New Roman"/>
          <w:sz w:val="21"/>
          <w:szCs w:val="21"/>
        </w:rPr>
        <w:t xml:space="preserve"> 6. – </w:t>
      </w:r>
      <w:r w:rsidRPr="00882D46">
        <w:rPr>
          <w:rStyle w:val="heading1"/>
          <w:rFonts w:ascii="Times New Roman" w:hAnsi="Times New Roman" w:cs="Times New Roman"/>
          <w:sz w:val="21"/>
          <w:szCs w:val="21"/>
          <w:lang w:val="en-US"/>
        </w:rPr>
        <w:t>November</w:t>
      </w:r>
      <w:r w:rsidRPr="00882D46">
        <w:rPr>
          <w:rStyle w:val="heading1"/>
          <w:rFonts w:ascii="Times New Roman" w:hAnsi="Times New Roman" w:cs="Times New Roman"/>
          <w:sz w:val="21"/>
          <w:szCs w:val="21"/>
        </w:rPr>
        <w:t>/</w:t>
      </w:r>
      <w:r w:rsidRPr="00882D46">
        <w:rPr>
          <w:rStyle w:val="heading1"/>
          <w:rFonts w:ascii="Times New Roman" w:hAnsi="Times New Roman" w:cs="Times New Roman"/>
          <w:sz w:val="21"/>
          <w:szCs w:val="21"/>
          <w:lang w:val="en-US"/>
        </w:rPr>
        <w:t>December</w:t>
      </w:r>
      <w:r>
        <w:rPr>
          <w:rStyle w:val="heading1"/>
          <w:rFonts w:ascii="Times New Roman" w:hAnsi="Times New Roman" w:cs="Times New Roman"/>
          <w:sz w:val="21"/>
          <w:szCs w:val="21"/>
        </w:rPr>
        <w:t>. –</w:t>
      </w:r>
      <w:r w:rsidRPr="00882D46">
        <w:rPr>
          <w:rStyle w:val="heading1"/>
          <w:rFonts w:ascii="Times New Roman" w:hAnsi="Times New Roman" w:cs="Times New Roman"/>
          <w:sz w:val="21"/>
          <w:szCs w:val="21"/>
        </w:rPr>
        <w:t xml:space="preserve"> 2003</w:t>
      </w:r>
      <w:bookmarkEnd w:id="359"/>
      <w:r w:rsidRPr="00882D46">
        <w:rPr>
          <w:rStyle w:val="heading1"/>
          <w:rFonts w:ascii="Times New Roman" w:hAnsi="Times New Roman" w:cs="Times New Roman"/>
          <w:sz w:val="21"/>
          <w:szCs w:val="21"/>
        </w:rPr>
        <w:t xml:space="preserve"> </w:t>
      </w:r>
    </w:p>
    <w:p w:rsidR="00B233DE" w:rsidRPr="00553E80"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60" w:name="_Ref435186859"/>
      <w:r w:rsidRPr="00882D46">
        <w:rPr>
          <w:rFonts w:ascii="Times New Roman" w:hAnsi="Times New Roman" w:cs="Times New Roman"/>
          <w:iCs/>
          <w:sz w:val="21"/>
          <w:szCs w:val="21"/>
          <w:lang w:val="en-US"/>
        </w:rPr>
        <w:t xml:space="preserve">World Migration Report </w:t>
      </w:r>
      <w:r w:rsidRPr="00882D46">
        <w:rPr>
          <w:rFonts w:ascii="Times New Roman" w:hAnsi="Times New Roman" w:cs="Times New Roman"/>
          <w:sz w:val="21"/>
          <w:szCs w:val="21"/>
          <w:lang w:val="en-US"/>
        </w:rPr>
        <w:t>2013. Migrant Well-being and Development. International Organization for Migration (IOM).</w:t>
      </w:r>
      <w:r>
        <w:rPr>
          <w:rFonts w:ascii="Times New Roman" w:hAnsi="Times New Roman" w:cs="Times New Roman"/>
          <w:sz w:val="21"/>
          <w:szCs w:val="21"/>
        </w:rPr>
        <w:t xml:space="preserve"> –</w:t>
      </w:r>
      <w:r w:rsidRPr="00882D46">
        <w:rPr>
          <w:rFonts w:ascii="Times New Roman" w:hAnsi="Times New Roman" w:cs="Times New Roman"/>
          <w:sz w:val="21"/>
          <w:szCs w:val="21"/>
          <w:lang w:val="en-US"/>
        </w:rPr>
        <w:t xml:space="preserve"> Geneva</w:t>
      </w:r>
      <w:r w:rsidRPr="00882D46">
        <w:rPr>
          <w:rFonts w:ascii="Times New Roman" w:hAnsi="Times New Roman" w:cs="Times New Roman"/>
          <w:sz w:val="21"/>
          <w:szCs w:val="21"/>
        </w:rPr>
        <w:t xml:space="preserve">, 2013. </w:t>
      </w:r>
      <w:r>
        <w:rPr>
          <w:rFonts w:ascii="Times New Roman" w:hAnsi="Times New Roman" w:cs="Times New Roman"/>
          <w:sz w:val="21"/>
          <w:szCs w:val="21"/>
        </w:rPr>
        <w:t xml:space="preserve">– </w:t>
      </w:r>
      <w:r w:rsidRPr="00882D46">
        <w:rPr>
          <w:rFonts w:ascii="Times New Roman" w:hAnsi="Times New Roman" w:cs="Times New Roman"/>
          <w:sz w:val="21"/>
          <w:szCs w:val="21"/>
        </w:rPr>
        <w:t xml:space="preserve">215 </w:t>
      </w:r>
      <w:r w:rsidRPr="00882D46">
        <w:rPr>
          <w:rFonts w:ascii="Times New Roman" w:hAnsi="Times New Roman" w:cs="Times New Roman"/>
          <w:sz w:val="21"/>
          <w:szCs w:val="21"/>
          <w:lang w:val="en-US"/>
        </w:rPr>
        <w:t>p</w:t>
      </w:r>
      <w:r w:rsidRPr="00882D46">
        <w:rPr>
          <w:rFonts w:ascii="Times New Roman" w:hAnsi="Times New Roman" w:cs="Times New Roman"/>
          <w:sz w:val="21"/>
          <w:szCs w:val="21"/>
        </w:rPr>
        <w:t>.</w:t>
      </w:r>
      <w:bookmarkEnd w:id="360"/>
    </w:p>
    <w:p w:rsidR="00B233DE" w:rsidRPr="00882D46"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61" w:name="_Ref435182644"/>
      <w:r w:rsidRPr="00553E80">
        <w:rPr>
          <w:rFonts w:ascii="Times New Roman" w:hAnsi="Times New Roman" w:cs="Times New Roman"/>
          <w:sz w:val="21"/>
          <w:szCs w:val="21"/>
          <w:lang w:val="en-GB"/>
        </w:rPr>
        <w:t xml:space="preserve">World Migration 2008. Managing Labour Mobility in the Evolving Global Economy. </w:t>
      </w:r>
      <w:r>
        <w:rPr>
          <w:rFonts w:ascii="Times New Roman" w:hAnsi="Times New Roman" w:cs="Times New Roman"/>
          <w:sz w:val="21"/>
          <w:szCs w:val="21"/>
        </w:rPr>
        <w:t>–</w:t>
      </w:r>
      <w:r w:rsidRPr="00553E80">
        <w:rPr>
          <w:rFonts w:ascii="Times New Roman" w:hAnsi="Times New Roman" w:cs="Times New Roman"/>
          <w:sz w:val="21"/>
          <w:szCs w:val="21"/>
        </w:rPr>
        <w:t xml:space="preserve"> </w:t>
      </w:r>
      <w:r w:rsidRPr="00553E80">
        <w:rPr>
          <w:rFonts w:ascii="Times New Roman" w:hAnsi="Times New Roman" w:cs="Times New Roman"/>
          <w:sz w:val="21"/>
          <w:szCs w:val="21"/>
          <w:lang w:val="en-GB"/>
        </w:rPr>
        <w:t xml:space="preserve">Geneva </w:t>
      </w:r>
      <w:r w:rsidRPr="00553E80">
        <w:rPr>
          <w:rFonts w:ascii="Times New Roman" w:hAnsi="Times New Roman" w:cs="Times New Roman"/>
          <w:sz w:val="21"/>
          <w:szCs w:val="21"/>
        </w:rPr>
        <w:t xml:space="preserve">: </w:t>
      </w:r>
      <w:r w:rsidRPr="00553E80">
        <w:rPr>
          <w:rFonts w:ascii="Times New Roman" w:hAnsi="Times New Roman" w:cs="Times New Roman"/>
          <w:sz w:val="21"/>
          <w:szCs w:val="21"/>
          <w:lang w:val="en-GB"/>
        </w:rPr>
        <w:t xml:space="preserve">International Organization for Migration, 2008. </w:t>
      </w:r>
      <w:r w:rsidRPr="00553E80">
        <w:rPr>
          <w:rFonts w:ascii="Times New Roman" w:hAnsi="Times New Roman" w:cs="Times New Roman"/>
          <w:sz w:val="21"/>
          <w:szCs w:val="21"/>
        </w:rPr>
        <w:t xml:space="preserve">– </w:t>
      </w:r>
      <w:r w:rsidRPr="00553E80">
        <w:rPr>
          <w:rFonts w:ascii="Times New Roman" w:hAnsi="Times New Roman" w:cs="Times New Roman"/>
          <w:sz w:val="21"/>
          <w:szCs w:val="21"/>
          <w:lang w:val="en-US"/>
        </w:rPr>
        <w:t xml:space="preserve">540 </w:t>
      </w:r>
      <w:r w:rsidRPr="00553E80">
        <w:rPr>
          <w:rFonts w:ascii="Times New Roman" w:hAnsi="Times New Roman" w:cs="Times New Roman"/>
          <w:sz w:val="21"/>
          <w:szCs w:val="21"/>
          <w:lang w:val="en-GB"/>
        </w:rPr>
        <w:t>p</w:t>
      </w:r>
      <w:r>
        <w:rPr>
          <w:rFonts w:ascii="Times New Roman" w:hAnsi="Times New Roman" w:cs="Times New Roman"/>
          <w:sz w:val="21"/>
          <w:szCs w:val="21"/>
          <w:lang w:val="en-US"/>
        </w:rPr>
        <w:t>.</w:t>
      </w:r>
      <w:bookmarkEnd w:id="361"/>
    </w:p>
    <w:p w:rsidR="00B233DE" w:rsidRPr="00656EF9"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lang w:val="en-US"/>
        </w:rPr>
      </w:pPr>
      <w:bookmarkStart w:id="362" w:name="_Ref435182267"/>
      <w:r w:rsidRPr="00656EF9">
        <w:rPr>
          <w:rFonts w:ascii="Times New Roman" w:hAnsi="Times New Roman" w:cs="Times New Roman"/>
          <w:sz w:val="21"/>
          <w:szCs w:val="21"/>
          <w:lang w:val="en-GB"/>
        </w:rPr>
        <w:t>World Population Prospect. The</w:t>
      </w:r>
      <w:r w:rsidRPr="00656EF9">
        <w:rPr>
          <w:rFonts w:ascii="Times New Roman" w:hAnsi="Times New Roman" w:cs="Times New Roman"/>
          <w:sz w:val="21"/>
          <w:szCs w:val="21"/>
          <w:lang w:val="en-US"/>
        </w:rPr>
        <w:t xml:space="preserve"> 2004 </w:t>
      </w:r>
      <w:r w:rsidRPr="00656EF9">
        <w:rPr>
          <w:rFonts w:ascii="Times New Roman" w:hAnsi="Times New Roman" w:cs="Times New Roman"/>
          <w:sz w:val="21"/>
          <w:szCs w:val="21"/>
          <w:lang w:val="en-GB"/>
        </w:rPr>
        <w:t>Revision</w:t>
      </w:r>
      <w:r w:rsidRPr="00656EF9">
        <w:rPr>
          <w:rFonts w:ascii="Times New Roman" w:hAnsi="Times New Roman" w:cs="Times New Roman"/>
          <w:sz w:val="21"/>
          <w:szCs w:val="21"/>
          <w:lang w:val="en-US"/>
        </w:rPr>
        <w:t>.</w:t>
      </w:r>
      <w:r w:rsidRPr="00656EF9">
        <w:rPr>
          <w:rFonts w:ascii="Times New Roman" w:hAnsi="Times New Roman" w:cs="Times New Roman"/>
          <w:sz w:val="21"/>
          <w:szCs w:val="21"/>
        </w:rPr>
        <w:t xml:space="preserve"> </w:t>
      </w:r>
      <w:r>
        <w:rPr>
          <w:rFonts w:ascii="Times New Roman" w:hAnsi="Times New Roman" w:cs="Times New Roman"/>
          <w:sz w:val="21"/>
          <w:szCs w:val="21"/>
        </w:rPr>
        <w:t>–</w:t>
      </w:r>
      <w:r w:rsidRPr="00656EF9">
        <w:rPr>
          <w:rFonts w:ascii="Times New Roman" w:hAnsi="Times New Roman" w:cs="Times New Roman"/>
          <w:sz w:val="21"/>
          <w:szCs w:val="21"/>
          <w:lang w:val="en-US"/>
        </w:rPr>
        <w:t xml:space="preserve"> </w:t>
      </w:r>
      <w:r w:rsidRPr="00882D46">
        <w:rPr>
          <w:rFonts w:ascii="Times New Roman" w:hAnsi="Times New Roman" w:cs="Times New Roman"/>
          <w:sz w:val="21"/>
          <w:szCs w:val="21"/>
          <w:lang w:val="en-GB"/>
        </w:rPr>
        <w:t>N. Y.</w:t>
      </w:r>
      <w:r>
        <w:rPr>
          <w:rFonts w:ascii="Times New Roman" w:hAnsi="Times New Roman" w:cs="Times New Roman"/>
          <w:sz w:val="21"/>
          <w:szCs w:val="21"/>
        </w:rPr>
        <w:t xml:space="preserve"> </w:t>
      </w:r>
      <w:r w:rsidRPr="00882D46">
        <w:rPr>
          <w:rFonts w:ascii="Times New Roman" w:hAnsi="Times New Roman" w:cs="Times New Roman"/>
          <w:sz w:val="21"/>
          <w:szCs w:val="21"/>
          <w:lang w:val="en-GB"/>
        </w:rPr>
        <w:t>: U. N., 2005.</w:t>
      </w:r>
      <w:r>
        <w:rPr>
          <w:rFonts w:ascii="Times New Roman" w:hAnsi="Times New Roman" w:cs="Times New Roman"/>
          <w:sz w:val="21"/>
          <w:szCs w:val="21"/>
        </w:rPr>
        <w:t xml:space="preserve"> – </w:t>
      </w:r>
      <w:r w:rsidRPr="00656EF9">
        <w:rPr>
          <w:rFonts w:ascii="Times New Roman" w:hAnsi="Times New Roman" w:cs="Times New Roman"/>
          <w:sz w:val="21"/>
          <w:szCs w:val="21"/>
          <w:lang w:val="en-GB"/>
        </w:rPr>
        <w:t>Vol</w:t>
      </w:r>
      <w:r w:rsidRPr="00656EF9">
        <w:rPr>
          <w:rFonts w:ascii="Times New Roman" w:hAnsi="Times New Roman" w:cs="Times New Roman"/>
          <w:sz w:val="21"/>
          <w:szCs w:val="21"/>
          <w:lang w:val="en-US"/>
        </w:rPr>
        <w:t>. 1, 2.</w:t>
      </w:r>
      <w:bookmarkEnd w:id="362"/>
      <w:r w:rsidRPr="00656EF9">
        <w:rPr>
          <w:rFonts w:ascii="Times New Roman" w:hAnsi="Times New Roman" w:cs="Times New Roman"/>
          <w:sz w:val="21"/>
          <w:szCs w:val="21"/>
          <w:lang w:val="en-US"/>
        </w:rPr>
        <w:t xml:space="preserve"> </w:t>
      </w:r>
    </w:p>
    <w:p w:rsidR="00B233DE" w:rsidRPr="00553E80" w:rsidRDefault="00B233DE" w:rsidP="00B233DE">
      <w:pPr>
        <w:pStyle w:val="ad"/>
        <w:numPr>
          <w:ilvl w:val="0"/>
          <w:numId w:val="21"/>
        </w:numPr>
        <w:tabs>
          <w:tab w:val="num" w:pos="1080"/>
          <w:tab w:val="left" w:pos="1134"/>
          <w:tab w:val="num" w:pos="3102"/>
        </w:tabs>
        <w:ind w:left="0" w:firstLine="709"/>
        <w:jc w:val="both"/>
        <w:rPr>
          <w:rFonts w:ascii="Times New Roman" w:hAnsi="Times New Roman" w:cs="Times New Roman"/>
          <w:sz w:val="21"/>
          <w:szCs w:val="21"/>
        </w:rPr>
      </w:pPr>
      <w:bookmarkStart w:id="363" w:name="_Ref435182759"/>
      <w:r w:rsidRPr="00553E80">
        <w:rPr>
          <w:rFonts w:ascii="Times New Roman" w:hAnsi="Times New Roman" w:cs="Times New Roman"/>
          <w:sz w:val="21"/>
          <w:szCs w:val="21"/>
          <w:lang w:val="en-US"/>
        </w:rPr>
        <w:t xml:space="preserve">Zand R. Technopoles of India? </w:t>
      </w:r>
      <w:r w:rsidRPr="00553E80">
        <w:rPr>
          <w:rFonts w:ascii="Times New Roman" w:hAnsi="Times New Roman" w:cs="Times New Roman"/>
          <w:sz w:val="21"/>
          <w:szCs w:val="21"/>
        </w:rPr>
        <w:t xml:space="preserve">[Електронний ресурс]. – Режим доступу : </w:t>
      </w:r>
      <w:hyperlink r:id="rId119" w:history="1">
        <w:r w:rsidRPr="00553E80">
          <w:rPr>
            <w:rStyle w:val="aff"/>
            <w:rFonts w:ascii="Times New Roman" w:hAnsi="Times New Roman" w:cs="Times New Roman"/>
            <w:color w:val="auto"/>
            <w:sz w:val="21"/>
            <w:szCs w:val="21"/>
            <w:u w:val="none"/>
          </w:rPr>
          <w:t>http://www.robzand.com/media/technopoles.pdf</w:t>
        </w:r>
      </w:hyperlink>
      <w:bookmarkEnd w:id="363"/>
    </w:p>
    <w:p w:rsidR="00B233DE" w:rsidRPr="00200C08" w:rsidRDefault="00B233DE" w:rsidP="00B233DE">
      <w:pPr>
        <w:tabs>
          <w:tab w:val="left" w:pos="1134"/>
        </w:tabs>
        <w:ind w:firstLine="709"/>
        <w:rPr>
          <w:rFonts w:ascii="Times New Roman" w:hAnsi="Times New Roman" w:cs="Times New Roman"/>
          <w:sz w:val="21"/>
          <w:szCs w:val="21"/>
        </w:rPr>
      </w:pPr>
    </w:p>
    <w:p w:rsidR="00B233DE" w:rsidRDefault="00B233DE" w:rsidP="00B233DE">
      <w:pPr>
        <w:rPr>
          <w:rFonts w:ascii="Times New Roman" w:hAnsi="Times New Roman" w:cs="Times New Roman"/>
          <w:sz w:val="21"/>
          <w:szCs w:val="21"/>
        </w:rPr>
      </w:pPr>
      <w:r>
        <w:rPr>
          <w:rFonts w:ascii="Times New Roman" w:hAnsi="Times New Roman" w:cs="Times New Roman"/>
          <w:sz w:val="21"/>
          <w:szCs w:val="21"/>
        </w:rPr>
        <w:br w:type="page"/>
      </w:r>
    </w:p>
    <w:p w:rsidR="00B233DE" w:rsidRDefault="00B233DE" w:rsidP="00B233DE">
      <w:pPr>
        <w:ind w:firstLine="709"/>
        <w:jc w:val="right"/>
        <w:rPr>
          <w:rFonts w:ascii="Times New Roman" w:hAnsi="Times New Roman" w:cs="Times New Roman"/>
          <w:sz w:val="21"/>
          <w:szCs w:val="21"/>
        </w:rPr>
      </w:pPr>
    </w:p>
    <w:p w:rsidR="00B233DE" w:rsidRDefault="00B233DE" w:rsidP="00B233DE">
      <w:pPr>
        <w:ind w:firstLine="709"/>
        <w:jc w:val="right"/>
        <w:rPr>
          <w:rFonts w:ascii="Times New Roman" w:hAnsi="Times New Roman" w:cs="Times New Roman"/>
          <w:sz w:val="21"/>
          <w:szCs w:val="21"/>
        </w:rPr>
      </w:pPr>
    </w:p>
    <w:p w:rsidR="00B233DE" w:rsidRDefault="00B233DE" w:rsidP="00B233DE">
      <w:pPr>
        <w:ind w:firstLine="709"/>
        <w:jc w:val="right"/>
        <w:rPr>
          <w:rFonts w:ascii="Times New Roman" w:hAnsi="Times New Roman" w:cs="Times New Roman"/>
          <w:sz w:val="21"/>
          <w:szCs w:val="21"/>
        </w:rPr>
      </w:pPr>
    </w:p>
    <w:p w:rsidR="00B233DE" w:rsidRDefault="00B233DE" w:rsidP="00B233DE">
      <w:pPr>
        <w:ind w:firstLine="709"/>
        <w:jc w:val="right"/>
        <w:rPr>
          <w:rFonts w:ascii="Times New Roman" w:hAnsi="Times New Roman" w:cs="Times New Roman"/>
          <w:sz w:val="21"/>
          <w:szCs w:val="21"/>
        </w:rPr>
      </w:pPr>
    </w:p>
    <w:p w:rsidR="00B233DE" w:rsidRDefault="00B233DE" w:rsidP="00B233DE">
      <w:pPr>
        <w:ind w:firstLine="709"/>
        <w:jc w:val="right"/>
        <w:rPr>
          <w:rFonts w:ascii="Times New Roman" w:hAnsi="Times New Roman" w:cs="Times New Roman"/>
          <w:sz w:val="21"/>
          <w:szCs w:val="21"/>
        </w:rPr>
      </w:pPr>
    </w:p>
    <w:p w:rsidR="00B233DE" w:rsidRDefault="00B233DE" w:rsidP="00B233DE">
      <w:pPr>
        <w:ind w:firstLine="709"/>
        <w:jc w:val="right"/>
        <w:rPr>
          <w:rFonts w:ascii="Times New Roman" w:hAnsi="Times New Roman" w:cs="Times New Roman"/>
          <w:sz w:val="21"/>
          <w:szCs w:val="21"/>
        </w:rPr>
      </w:pPr>
    </w:p>
    <w:p w:rsidR="00B233DE" w:rsidRDefault="00B233DE" w:rsidP="00B233DE">
      <w:pPr>
        <w:ind w:firstLine="709"/>
        <w:jc w:val="center"/>
        <w:rPr>
          <w:rFonts w:ascii="Times New Roman" w:hAnsi="Times New Roman" w:cs="Times New Roman"/>
          <w:b/>
          <w:sz w:val="21"/>
          <w:szCs w:val="21"/>
        </w:rPr>
      </w:pPr>
      <w:r w:rsidRPr="00FC5E66">
        <w:rPr>
          <w:rFonts w:ascii="Times New Roman" w:hAnsi="Times New Roman" w:cs="Times New Roman"/>
          <w:b/>
          <w:sz w:val="21"/>
          <w:szCs w:val="21"/>
        </w:rPr>
        <w:t xml:space="preserve">РОЗДІЛ </w:t>
      </w:r>
      <w:r>
        <w:rPr>
          <w:rFonts w:ascii="Times New Roman" w:hAnsi="Times New Roman" w:cs="Times New Roman"/>
          <w:b/>
          <w:sz w:val="21"/>
          <w:szCs w:val="21"/>
        </w:rPr>
        <w:t>5. РЕГІОНАЛЬНА ПОЛІТИКА РОЗВИТКУ ЛЮДСЬКОГО ПОТЕНЦІАЛУ ЗА УМОВ ПОГЛИБЛЕННЯ ІНТЕГРАЦІЙНИХ ПРОЦЕСІВ</w:t>
      </w:r>
    </w:p>
    <w:p w:rsidR="00B233DE" w:rsidRDefault="00B233DE" w:rsidP="00B233DE">
      <w:pPr>
        <w:ind w:firstLine="709"/>
        <w:jc w:val="center"/>
        <w:rPr>
          <w:rFonts w:ascii="Times New Roman" w:hAnsi="Times New Roman" w:cs="Times New Roman"/>
          <w:b/>
          <w:sz w:val="21"/>
          <w:szCs w:val="21"/>
        </w:rPr>
      </w:pPr>
    </w:p>
    <w:p w:rsidR="00B233DE" w:rsidRDefault="00B233DE" w:rsidP="00B233DE">
      <w:pPr>
        <w:ind w:firstLine="709"/>
        <w:jc w:val="center"/>
        <w:rPr>
          <w:rFonts w:ascii="Times New Roman" w:hAnsi="Times New Roman" w:cs="Times New Roman"/>
          <w:b/>
          <w:sz w:val="21"/>
          <w:szCs w:val="21"/>
        </w:rPr>
      </w:pPr>
    </w:p>
    <w:p w:rsidR="00B233DE" w:rsidRPr="00E20C1F" w:rsidRDefault="00B233DE" w:rsidP="00B233DE">
      <w:pPr>
        <w:pStyle w:val="afb"/>
        <w:shd w:val="clear" w:color="auto" w:fill="auto"/>
        <w:tabs>
          <w:tab w:val="left" w:pos="394"/>
          <w:tab w:val="left" w:pos="426"/>
        </w:tabs>
        <w:spacing w:before="0" w:line="240" w:lineRule="auto"/>
        <w:ind w:right="40" w:firstLine="709"/>
        <w:contextualSpacing/>
        <w:jc w:val="center"/>
        <w:rPr>
          <w:b/>
          <w:sz w:val="21"/>
          <w:szCs w:val="21"/>
        </w:rPr>
      </w:pPr>
      <w:r>
        <w:rPr>
          <w:rFonts w:ascii="UkrainianPeterburg" w:hAnsi="UkrainianPeterburg"/>
          <w:b/>
          <w:sz w:val="21"/>
          <w:szCs w:val="21"/>
        </w:rPr>
        <w:t>5</w:t>
      </w:r>
      <w:r w:rsidRPr="00E20C1F">
        <w:rPr>
          <w:rFonts w:ascii="UkrainianPeterburg" w:hAnsi="UkrainianPeterburg"/>
          <w:b/>
          <w:sz w:val="21"/>
          <w:szCs w:val="21"/>
        </w:rPr>
        <w:t xml:space="preserve">.1. </w:t>
      </w:r>
      <w:r>
        <w:rPr>
          <w:rFonts w:ascii="UkrainianPeterburg" w:hAnsi="UkrainianPeterburg"/>
          <w:b/>
          <w:sz w:val="21"/>
          <w:szCs w:val="21"/>
        </w:rPr>
        <w:t>Соціальна регіональна політика в управлінні розвитком людського потенціалу</w:t>
      </w:r>
    </w:p>
    <w:p w:rsidR="00B233DE" w:rsidRDefault="00B233DE" w:rsidP="00B233DE">
      <w:pPr>
        <w:ind w:firstLine="709"/>
        <w:jc w:val="both"/>
        <w:rPr>
          <w:rFonts w:ascii="Times New Roman" w:hAnsi="Times New Roman" w:cs="Times New Roman"/>
          <w:sz w:val="21"/>
          <w:szCs w:val="21"/>
        </w:rPr>
      </w:pPr>
    </w:p>
    <w:p w:rsidR="00B233DE" w:rsidRPr="00FC5E66" w:rsidRDefault="00B233DE" w:rsidP="00B233DE">
      <w:pPr>
        <w:ind w:firstLine="708"/>
        <w:jc w:val="both"/>
        <w:rPr>
          <w:rFonts w:ascii="Times New Roman" w:hAnsi="Times New Roman" w:cs="Times New Roman"/>
          <w:sz w:val="21"/>
          <w:szCs w:val="21"/>
        </w:rPr>
      </w:pP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 xml:space="preserve">Соціальна політика є однією із пріоритетних сфер внутрішньої політики держави, пов’язаної із забезпеченням життєдіяльності суспільства та розвитку людського потенціалу. На сьогодні не існує типового визначення поняття «соціальна політика». Однак, досить поширеним та певною мірою загальноприйнятим є її трактування у вузькому та широкому розумінні. </w:t>
      </w:r>
    </w:p>
    <w:p w:rsidR="00B233DE" w:rsidRPr="00FC5E66"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 xml:space="preserve">В. М. </w:t>
      </w:r>
      <w:r w:rsidRPr="00FC5E66">
        <w:rPr>
          <w:rFonts w:ascii="Times New Roman" w:hAnsi="Times New Roman" w:cs="Times New Roman"/>
          <w:sz w:val="21"/>
          <w:szCs w:val="21"/>
        </w:rPr>
        <w:t>Гриньова та М. М. Новікова визначають спрямо</w:t>
      </w:r>
      <w:r>
        <w:rPr>
          <w:rFonts w:ascii="Times New Roman" w:hAnsi="Times New Roman" w:cs="Times New Roman"/>
          <w:sz w:val="21"/>
          <w:szCs w:val="21"/>
        </w:rPr>
        <w:t>-</w:t>
      </w:r>
      <w:r w:rsidRPr="00FC5E66">
        <w:rPr>
          <w:rFonts w:ascii="Times New Roman" w:hAnsi="Times New Roman" w:cs="Times New Roman"/>
          <w:sz w:val="21"/>
          <w:szCs w:val="21"/>
        </w:rPr>
        <w:t>ваність соціальної політики на розвиток процесів і форм організації життя людей і суспільного виробництва щодо умов праці, побуту та відпочинку людини, а також розвитку особистості взагалі. На їх думку, соціальна політика є визначальним напрямом внутрішньої політики держави, який забезпечує захист прав людини, створює передумови для розширеного відтворення людиною своєї діяльності та для стабільності суспільної системи. Соціальна політика будь-якої держави передбачає визначення глибинних тенденцій розвитку в усіх сферах соціально-політичного життя, що обумовлюють процес розвитку соціального буття й соціальної безпеки людини та цілеспрямований в</w:t>
      </w:r>
      <w:r>
        <w:rPr>
          <w:rFonts w:ascii="Times New Roman" w:hAnsi="Times New Roman" w:cs="Times New Roman"/>
          <w:sz w:val="21"/>
          <w:szCs w:val="21"/>
        </w:rPr>
        <w:t>плив на них суб’</w:t>
      </w:r>
      <w:r w:rsidRPr="00FC5E66">
        <w:rPr>
          <w:rFonts w:ascii="Times New Roman" w:hAnsi="Times New Roman" w:cs="Times New Roman"/>
          <w:sz w:val="21"/>
          <w:szCs w:val="21"/>
        </w:rPr>
        <w:t>єктів регулятивної діяльності</w:t>
      </w:r>
      <w:r>
        <w:rPr>
          <w:rFonts w:ascii="Times New Roman" w:hAnsi="Times New Roman" w:cs="Times New Roman"/>
          <w:sz w:val="21"/>
          <w:szCs w:val="21"/>
        </w:rPr>
        <w:t xml:space="preserve"> </w:t>
      </w:r>
      <w:r w:rsidRPr="00FC5E66">
        <w:rPr>
          <w:rFonts w:ascii="Times New Roman" w:hAnsi="Times New Roman" w:cs="Times New Roman"/>
          <w:sz w:val="21"/>
          <w:szCs w:val="21"/>
        </w:rPr>
        <w:t>[</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_Ref435618578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25</w:t>
      </w:r>
      <w:r>
        <w:rPr>
          <w:rFonts w:ascii="Times New Roman" w:hAnsi="Times New Roman"/>
          <w:sz w:val="21"/>
          <w:szCs w:val="21"/>
          <w:highlight w:val="yellow"/>
        </w:rPr>
        <w:fldChar w:fldCharType="end"/>
      </w:r>
      <w:r w:rsidRPr="00FC5E66">
        <w:rPr>
          <w:rFonts w:ascii="Times New Roman" w:hAnsi="Times New Roman" w:cs="Times New Roman"/>
          <w:sz w:val="21"/>
          <w:szCs w:val="21"/>
        </w:rPr>
        <w:t xml:space="preserve">]. </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 xml:space="preserve">У той же час, згадані автори роблять висновок, що соціальна політика – це система управлінських, організаційних, регулятивних, саморегулятивних заходів, дій, принципів і засад, спрямованих на забезпечення визначеного соціального рівня та </w:t>
      </w:r>
      <w:r w:rsidRPr="00FC5E66">
        <w:rPr>
          <w:rFonts w:ascii="Times New Roman" w:hAnsi="Times New Roman" w:cs="Times New Roman"/>
          <w:sz w:val="21"/>
          <w:szCs w:val="21"/>
        </w:rPr>
        <w:lastRenderedPageBreak/>
        <w:t>якості життя, соціального захисту малозабезпечених верст населення, їх соціальної безпеки у суспільстві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_Ref435618578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25</w:t>
      </w:r>
      <w:r>
        <w:rPr>
          <w:rFonts w:ascii="Times New Roman" w:hAnsi="Times New Roman"/>
          <w:sz w:val="21"/>
          <w:szCs w:val="21"/>
          <w:highlight w:val="yellow"/>
        </w:rPr>
        <w:fldChar w:fldCharType="end"/>
      </w:r>
      <w:r w:rsidRPr="00FC5E66">
        <w:rPr>
          <w:rFonts w:ascii="Times New Roman" w:hAnsi="Times New Roman" w:cs="Times New Roman"/>
          <w:sz w:val="21"/>
          <w:szCs w:val="21"/>
        </w:rPr>
        <w:t>]. Такий підхід можна трактувати як вузьке розуміння сутності категорії «соціальна політика» зважаючи на його спрямованість на соціальний захист і соціальну безпеку.</w:t>
      </w:r>
    </w:p>
    <w:p w:rsidR="00B233DE" w:rsidRPr="00FC5E66" w:rsidRDefault="00B233DE" w:rsidP="00B233DE">
      <w:pPr>
        <w:pStyle w:val="aff5"/>
        <w:widowControl w:val="0"/>
        <w:spacing w:before="0" w:beforeAutospacing="0" w:after="0" w:afterAutospacing="0"/>
        <w:ind w:firstLine="709"/>
        <w:jc w:val="both"/>
        <w:rPr>
          <w:sz w:val="21"/>
          <w:szCs w:val="21"/>
        </w:rPr>
      </w:pPr>
      <w:r w:rsidRPr="00FC5E66">
        <w:rPr>
          <w:sz w:val="21"/>
          <w:szCs w:val="21"/>
        </w:rPr>
        <w:t>Соціальна політика – комплекс суспільно-економічних заходів держави, підприємств, організацій, спрямованих на послаблення нерівності у розподілі доходів та майна, на захист населення від безробіття, підвищення цін, знецінення трудових заощаджень тощо [</w:t>
      </w:r>
      <w:r>
        <w:rPr>
          <w:rStyle w:val="a9"/>
          <w:b w:val="0"/>
          <w:sz w:val="21"/>
          <w:szCs w:val="21"/>
          <w:highlight w:val="yellow"/>
        </w:rPr>
        <w:fldChar w:fldCharType="begin"/>
      </w:r>
      <w:r>
        <w:rPr>
          <w:sz w:val="21"/>
          <w:szCs w:val="21"/>
        </w:rPr>
        <w:instrText xml:space="preserve"> REF _Ref435618586 \r \h </w:instrText>
      </w:r>
      <w:r>
        <w:rPr>
          <w:rStyle w:val="a9"/>
          <w:b w:val="0"/>
          <w:sz w:val="21"/>
          <w:szCs w:val="21"/>
          <w:highlight w:val="yellow"/>
        </w:rPr>
      </w:r>
      <w:r>
        <w:rPr>
          <w:rStyle w:val="a9"/>
          <w:b w:val="0"/>
          <w:sz w:val="21"/>
          <w:szCs w:val="21"/>
          <w:highlight w:val="yellow"/>
        </w:rPr>
        <w:fldChar w:fldCharType="separate"/>
      </w:r>
      <w:r>
        <w:rPr>
          <w:sz w:val="21"/>
          <w:szCs w:val="21"/>
        </w:rPr>
        <w:t>38</w:t>
      </w:r>
      <w:r>
        <w:rPr>
          <w:rStyle w:val="a9"/>
          <w:b w:val="0"/>
          <w:sz w:val="21"/>
          <w:szCs w:val="21"/>
          <w:highlight w:val="yellow"/>
        </w:rPr>
        <w:fldChar w:fldCharType="end"/>
      </w:r>
      <w:r w:rsidRPr="00FC5E66">
        <w:rPr>
          <w:sz w:val="21"/>
          <w:szCs w:val="21"/>
        </w:rPr>
        <w:t>]. Даний колектив авт</w:t>
      </w:r>
      <w:r>
        <w:rPr>
          <w:sz w:val="21"/>
          <w:szCs w:val="21"/>
        </w:rPr>
        <w:t xml:space="preserve">орів (Білецька Л. В., Білецький О. В. і Савич В. </w:t>
      </w:r>
      <w:r w:rsidRPr="00FC5E66">
        <w:rPr>
          <w:sz w:val="21"/>
          <w:szCs w:val="21"/>
        </w:rPr>
        <w:t>І.) вважає, що здійснення соціальної політики спирається на теорію розподілу доходів, а основною формою реалізації соціальної політики є соціальний захист, що вимагає дотримання певних принципів, насамперед принципу соціальної справедливості,</w:t>
      </w:r>
      <w:r>
        <w:rPr>
          <w:sz w:val="21"/>
          <w:szCs w:val="21"/>
        </w:rPr>
        <w:t xml:space="preserve"> який тісно пов’</w:t>
      </w:r>
      <w:r w:rsidRPr="00FC5E66">
        <w:rPr>
          <w:sz w:val="21"/>
          <w:szCs w:val="21"/>
        </w:rPr>
        <w:t>язаний з мірою розподілу доходів. На їх думку, реалізація принципу соціальної справедливості здійснюється за трьома основними напрямками:</w:t>
      </w:r>
    </w:p>
    <w:p w:rsidR="00B233DE" w:rsidRPr="00FC5E66" w:rsidRDefault="00B233DE" w:rsidP="00B233DE">
      <w:pPr>
        <w:pStyle w:val="aff5"/>
        <w:widowControl w:val="0"/>
        <w:numPr>
          <w:ilvl w:val="0"/>
          <w:numId w:val="24"/>
        </w:numPr>
        <w:tabs>
          <w:tab w:val="left" w:pos="993"/>
        </w:tabs>
        <w:spacing w:before="0" w:beforeAutospacing="0" w:after="0" w:afterAutospacing="0"/>
        <w:ind w:left="0" w:firstLine="709"/>
        <w:jc w:val="both"/>
        <w:rPr>
          <w:sz w:val="21"/>
          <w:szCs w:val="21"/>
        </w:rPr>
      </w:pPr>
      <w:r w:rsidRPr="00FC5E66">
        <w:rPr>
          <w:sz w:val="21"/>
          <w:szCs w:val="21"/>
        </w:rPr>
        <w:t>соціальна справедливість полягає у рівності доходів усіх громадян;</w:t>
      </w:r>
    </w:p>
    <w:p w:rsidR="00B233DE" w:rsidRPr="00FC5E66" w:rsidRDefault="00B233DE" w:rsidP="00B233DE">
      <w:pPr>
        <w:pStyle w:val="aff5"/>
        <w:widowControl w:val="0"/>
        <w:numPr>
          <w:ilvl w:val="0"/>
          <w:numId w:val="24"/>
        </w:numPr>
        <w:tabs>
          <w:tab w:val="left" w:pos="993"/>
        </w:tabs>
        <w:spacing w:before="0" w:beforeAutospacing="0" w:after="0" w:afterAutospacing="0"/>
        <w:ind w:left="0" w:firstLine="709"/>
        <w:jc w:val="both"/>
        <w:rPr>
          <w:sz w:val="21"/>
          <w:szCs w:val="21"/>
        </w:rPr>
      </w:pPr>
      <w:r w:rsidRPr="00FC5E66">
        <w:rPr>
          <w:sz w:val="21"/>
          <w:szCs w:val="21"/>
        </w:rPr>
        <w:t>соціальна справедливість полягає у такому розподілі доходів, щоб кожен одержував у міру своєї участі або участі належних йому виробничих факторів (праці, капіталу, природних ресурсів і підприємницьких здібностей) у національному виробництві;</w:t>
      </w:r>
    </w:p>
    <w:p w:rsidR="00B233DE" w:rsidRPr="00FC5E66" w:rsidRDefault="00B233DE" w:rsidP="00B233DE">
      <w:pPr>
        <w:pStyle w:val="aff5"/>
        <w:widowControl w:val="0"/>
        <w:numPr>
          <w:ilvl w:val="0"/>
          <w:numId w:val="24"/>
        </w:numPr>
        <w:tabs>
          <w:tab w:val="left" w:pos="993"/>
        </w:tabs>
        <w:spacing w:before="0" w:beforeAutospacing="0" w:after="0" w:afterAutospacing="0"/>
        <w:ind w:left="0" w:firstLine="709"/>
        <w:jc w:val="both"/>
        <w:rPr>
          <w:sz w:val="21"/>
          <w:szCs w:val="21"/>
        </w:rPr>
      </w:pPr>
      <w:r w:rsidRPr="00FC5E66">
        <w:rPr>
          <w:sz w:val="21"/>
          <w:szCs w:val="21"/>
        </w:rPr>
        <w:t xml:space="preserve">соціальна справедливість полягає у такій диференціації доходів, яка б відбивала необхідність врахування участі кожного (належних йому факторів) у суспільному виробництві і забезпечення гідного життя для всіх. </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Отже, соціальна політика – це система заходів держави щодо досягнення соціальної справедливості у розподілі доходів і здійснення соціального захисту своїх громадян [</w:t>
      </w:r>
      <w:r>
        <w:rPr>
          <w:rStyle w:val="a9"/>
          <w:rFonts w:ascii="Times New Roman" w:hAnsi="Times New Roman"/>
          <w:b w:val="0"/>
          <w:sz w:val="21"/>
          <w:szCs w:val="21"/>
          <w:highlight w:val="yellow"/>
        </w:rPr>
        <w:fldChar w:fldCharType="begin"/>
      </w:r>
      <w:r>
        <w:rPr>
          <w:rFonts w:ascii="Times New Roman" w:hAnsi="Times New Roman" w:cs="Times New Roman"/>
          <w:sz w:val="21"/>
          <w:szCs w:val="21"/>
        </w:rPr>
        <w:instrText xml:space="preserve"> REF _Ref435618586 \r \h </w:instrText>
      </w:r>
      <w:r>
        <w:rPr>
          <w:rStyle w:val="a9"/>
          <w:rFonts w:ascii="Times New Roman" w:hAnsi="Times New Roman"/>
          <w:b w:val="0"/>
          <w:sz w:val="21"/>
          <w:szCs w:val="21"/>
          <w:highlight w:val="yellow"/>
        </w:rPr>
      </w:r>
      <w:r>
        <w:rPr>
          <w:rStyle w:val="a9"/>
          <w:rFonts w:ascii="Times New Roman" w:hAnsi="Times New Roman"/>
          <w:b w:val="0"/>
          <w:sz w:val="21"/>
          <w:szCs w:val="21"/>
          <w:highlight w:val="yellow"/>
        </w:rPr>
        <w:fldChar w:fldCharType="separate"/>
      </w:r>
      <w:r>
        <w:rPr>
          <w:rFonts w:ascii="Times New Roman" w:hAnsi="Times New Roman" w:cs="Times New Roman"/>
          <w:sz w:val="21"/>
          <w:szCs w:val="21"/>
        </w:rPr>
        <w:t>38</w:t>
      </w:r>
      <w:r>
        <w:rPr>
          <w:rStyle w:val="a9"/>
          <w:rFonts w:ascii="Times New Roman" w:hAnsi="Times New Roman"/>
          <w:b w:val="0"/>
          <w:sz w:val="21"/>
          <w:szCs w:val="21"/>
          <w:highlight w:val="yellow"/>
        </w:rPr>
        <w:fldChar w:fldCharType="end"/>
      </w:r>
      <w:r w:rsidRPr="00FC5E66">
        <w:rPr>
          <w:rFonts w:ascii="Times New Roman" w:hAnsi="Times New Roman" w:cs="Times New Roman"/>
          <w:sz w:val="21"/>
          <w:szCs w:val="21"/>
        </w:rPr>
        <w:t>]. Спрямованість такого підходу переважно на соціальний захист також відносить його до кола вузьких у трактуванні соціальної політики.</w:t>
      </w:r>
    </w:p>
    <w:p w:rsidR="00B233DE" w:rsidRPr="00FC5E66"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 xml:space="preserve">І. Ф. </w:t>
      </w:r>
      <w:r w:rsidRPr="00FC5E66">
        <w:rPr>
          <w:rFonts w:ascii="Times New Roman" w:hAnsi="Times New Roman" w:cs="Times New Roman"/>
          <w:sz w:val="21"/>
          <w:szCs w:val="21"/>
        </w:rPr>
        <w:t xml:space="preserve">Комарницький певною мірою ототожнює поняття політики соціального захисту та соціальної політики. Він зазначає, що ринковий розподіл доходів не гарантує людині достатній рівень добробуту незалежно від наявності у неї фактора виробництва і результатів економічної діяльності. Така «несправедливість ринку» зумовлює необхідність соціального захисту населення або </w:t>
      </w:r>
      <w:r w:rsidRPr="00FC5E66">
        <w:rPr>
          <w:rFonts w:ascii="Times New Roman" w:hAnsi="Times New Roman" w:cs="Times New Roman"/>
          <w:sz w:val="21"/>
          <w:szCs w:val="21"/>
        </w:rPr>
        <w:lastRenderedPageBreak/>
        <w:t>державної соціальної політики. На державу покладається завдання забезпечення права людини на відповідний стандарт добробуту і належного життя, тобто реалізацію політики соціального захисту. Заходи держави з реалізації зазначеної політики з досить значною умовністю автор пропонує розділити за такими напрямками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_Ref435618599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49</w:t>
      </w:r>
      <w:r>
        <w:rPr>
          <w:rFonts w:ascii="Times New Roman" w:hAnsi="Times New Roman"/>
          <w:sz w:val="21"/>
          <w:szCs w:val="21"/>
          <w:highlight w:val="yellow"/>
        </w:rPr>
        <w:fldChar w:fldCharType="end"/>
      </w:r>
      <w:r w:rsidRPr="00FC5E66">
        <w:rPr>
          <w:rFonts w:ascii="Times New Roman" w:hAnsi="Times New Roman" w:cs="Times New Roman"/>
          <w:sz w:val="21"/>
          <w:szCs w:val="21"/>
        </w:rPr>
        <w:t>]:</w:t>
      </w:r>
    </w:p>
    <w:p w:rsidR="00B233DE" w:rsidRPr="00FC5E66" w:rsidRDefault="00B233DE" w:rsidP="00B233DE">
      <w:pPr>
        <w:pStyle w:val="ad"/>
        <w:widowControl w:val="0"/>
        <w:numPr>
          <w:ilvl w:val="0"/>
          <w:numId w:val="25"/>
        </w:numPr>
        <w:tabs>
          <w:tab w:val="left" w:pos="993"/>
        </w:tabs>
        <w:ind w:left="0" w:firstLine="709"/>
        <w:jc w:val="both"/>
        <w:rPr>
          <w:rFonts w:ascii="Times New Roman" w:hAnsi="Times New Roman" w:cs="Times New Roman"/>
          <w:sz w:val="21"/>
          <w:szCs w:val="21"/>
          <w:lang w:eastAsia="ru-RU"/>
        </w:rPr>
      </w:pPr>
      <w:r w:rsidRPr="00FC5E66">
        <w:rPr>
          <w:rFonts w:ascii="Times New Roman" w:hAnsi="Times New Roman" w:cs="Times New Roman"/>
          <w:sz w:val="21"/>
          <w:szCs w:val="21"/>
          <w:lang w:eastAsia="ru-RU"/>
        </w:rPr>
        <w:t>досягнення загальної соціальної стабільності, соціально-економічної рівноваги та відносної соціальної справедливості у суспільстві;</w:t>
      </w:r>
    </w:p>
    <w:p w:rsidR="00B233DE" w:rsidRPr="00FC5E66" w:rsidRDefault="00B233DE" w:rsidP="00B233DE">
      <w:pPr>
        <w:pStyle w:val="ad"/>
        <w:widowControl w:val="0"/>
        <w:numPr>
          <w:ilvl w:val="0"/>
          <w:numId w:val="25"/>
        </w:numPr>
        <w:tabs>
          <w:tab w:val="left" w:pos="993"/>
        </w:tabs>
        <w:ind w:left="0" w:firstLine="709"/>
        <w:jc w:val="both"/>
        <w:rPr>
          <w:rFonts w:ascii="Times New Roman" w:hAnsi="Times New Roman" w:cs="Times New Roman"/>
          <w:sz w:val="21"/>
          <w:szCs w:val="21"/>
          <w:lang w:eastAsia="ru-RU"/>
        </w:rPr>
      </w:pPr>
      <w:r w:rsidRPr="00FC5E66">
        <w:rPr>
          <w:rFonts w:ascii="Times New Roman" w:hAnsi="Times New Roman" w:cs="Times New Roman"/>
          <w:sz w:val="21"/>
          <w:szCs w:val="21"/>
          <w:lang w:eastAsia="ru-RU"/>
        </w:rPr>
        <w:t>підтримка малозабезпечених верств населення і тих людей, які не залучені до суспільного виробництва і не спроможні самі собі допомогти (інваліди, пенсіонери, безробітні тощо);</w:t>
      </w:r>
    </w:p>
    <w:p w:rsidR="00B233DE" w:rsidRPr="00FC5E66" w:rsidRDefault="00B233DE" w:rsidP="00B233DE">
      <w:pPr>
        <w:pStyle w:val="ad"/>
        <w:widowControl w:val="0"/>
        <w:numPr>
          <w:ilvl w:val="0"/>
          <w:numId w:val="25"/>
        </w:numPr>
        <w:tabs>
          <w:tab w:val="left" w:pos="993"/>
        </w:tabs>
        <w:ind w:left="0" w:firstLine="709"/>
        <w:jc w:val="both"/>
        <w:rPr>
          <w:rFonts w:ascii="Times New Roman" w:hAnsi="Times New Roman" w:cs="Times New Roman"/>
          <w:sz w:val="21"/>
          <w:szCs w:val="21"/>
          <w:lang w:eastAsia="ru-RU"/>
        </w:rPr>
      </w:pPr>
      <w:r w:rsidRPr="00FC5E66">
        <w:rPr>
          <w:rFonts w:ascii="Times New Roman" w:hAnsi="Times New Roman" w:cs="Times New Roman"/>
          <w:sz w:val="21"/>
          <w:szCs w:val="21"/>
          <w:lang w:eastAsia="ru-RU"/>
        </w:rPr>
        <w:t xml:space="preserve">захист осіб, зайнятих у суспільному виробництві, і передусім тих, хто працює за наймом. </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При такому підході трактування сутності соціальної політики залишається «захисним», однак, стає дещо ширшим за рахунок збільшення переліку об’єктів соціальної політики від лише малозабезпеченого до економічно активного населення.</w:t>
      </w:r>
    </w:p>
    <w:p w:rsidR="00B233DE" w:rsidRPr="00FC5E66" w:rsidRDefault="00B233DE" w:rsidP="00B233DE">
      <w:pPr>
        <w:ind w:firstLine="709"/>
        <w:jc w:val="both"/>
        <w:rPr>
          <w:rFonts w:ascii="Times New Roman" w:hAnsi="Times New Roman" w:cs="Times New Roman"/>
          <w:sz w:val="21"/>
          <w:szCs w:val="21"/>
        </w:rPr>
      </w:pPr>
      <w:r>
        <w:rPr>
          <w:rFonts w:ascii="Times New Roman" w:hAnsi="Times New Roman" w:cs="Times New Roman"/>
          <w:bCs/>
          <w:sz w:val="21"/>
          <w:szCs w:val="21"/>
        </w:rPr>
        <w:t xml:space="preserve">Фединець Н. І., Миронов Ю. Б. та Гонська М. </w:t>
      </w:r>
      <w:r w:rsidRPr="00FC5E66">
        <w:rPr>
          <w:rFonts w:ascii="Times New Roman" w:hAnsi="Times New Roman" w:cs="Times New Roman"/>
          <w:bCs/>
          <w:sz w:val="21"/>
          <w:szCs w:val="21"/>
        </w:rPr>
        <w:t>Р. дають наступне визначення: соціальна політика</w:t>
      </w:r>
      <w:r w:rsidRPr="00FC5E66">
        <w:rPr>
          <w:rFonts w:ascii="Times New Roman" w:hAnsi="Times New Roman" w:cs="Times New Roman"/>
          <w:sz w:val="21"/>
          <w:szCs w:val="21"/>
        </w:rPr>
        <w:t xml:space="preserve"> – це діяльність держави щодо створення та регулювання соціально-економічних умов життя суспільства з метою підвищення добробуту членів суспільства, усунення негативних наслідків функціонування ринкових процесів, забезпечення соціальної справедливості та соціально-політичної стабільності у країні [</w:t>
      </w:r>
      <w:r>
        <w:rPr>
          <w:rFonts w:ascii="Times New Roman" w:hAnsi="Times New Roman"/>
          <w:bCs/>
          <w:sz w:val="21"/>
          <w:szCs w:val="21"/>
          <w:highlight w:val="yellow"/>
          <w:lang w:eastAsia="ru-RU"/>
        </w:rPr>
        <w:fldChar w:fldCharType="begin"/>
      </w:r>
      <w:r>
        <w:rPr>
          <w:rFonts w:ascii="Times New Roman" w:hAnsi="Times New Roman" w:cs="Times New Roman"/>
          <w:sz w:val="21"/>
          <w:szCs w:val="21"/>
        </w:rPr>
        <w:instrText xml:space="preserve"> REF _Ref435618610 \r \h </w:instrText>
      </w:r>
      <w:r>
        <w:rPr>
          <w:rFonts w:ascii="Times New Roman" w:hAnsi="Times New Roman"/>
          <w:bCs/>
          <w:sz w:val="21"/>
          <w:szCs w:val="21"/>
          <w:highlight w:val="yellow"/>
          <w:lang w:eastAsia="ru-RU"/>
        </w:rPr>
      </w:r>
      <w:r>
        <w:rPr>
          <w:rFonts w:ascii="Times New Roman" w:hAnsi="Times New Roman"/>
          <w:bCs/>
          <w:sz w:val="21"/>
          <w:szCs w:val="21"/>
          <w:highlight w:val="yellow"/>
          <w:lang w:eastAsia="ru-RU"/>
        </w:rPr>
        <w:fldChar w:fldCharType="separate"/>
      </w:r>
      <w:r>
        <w:rPr>
          <w:rFonts w:ascii="Times New Roman" w:hAnsi="Times New Roman" w:cs="Times New Roman"/>
          <w:sz w:val="21"/>
          <w:szCs w:val="21"/>
        </w:rPr>
        <w:t>134</w:t>
      </w:r>
      <w:r>
        <w:rPr>
          <w:rFonts w:ascii="Times New Roman" w:hAnsi="Times New Roman"/>
          <w:bCs/>
          <w:sz w:val="21"/>
          <w:szCs w:val="21"/>
          <w:highlight w:val="yellow"/>
          <w:lang w:eastAsia="ru-RU"/>
        </w:rPr>
        <w:fldChar w:fldCharType="end"/>
      </w:r>
      <w:r w:rsidRPr="00FC5E66">
        <w:rPr>
          <w:rFonts w:ascii="Times New Roman" w:hAnsi="Times New Roman" w:cs="Times New Roman"/>
          <w:sz w:val="21"/>
          <w:szCs w:val="21"/>
        </w:rPr>
        <w:t>]. За масштабом охоплення дане тлумачення можна розцінювати як широкий підхід, однак характерне і для деяких зазначених вище визначень зведення функцій реалізації соціальної політики лише до одного суб’єкта – до держави не дає можливості розглядати його у якості остаточного.</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Як найважливіший напрям державного регулювання економіки, органічну частину внутрішньої політики держави, спрямованої на забезпечення добробуту і всебічного розвитку його громадян та суспільства загалом</w:t>
      </w:r>
      <w:r>
        <w:rPr>
          <w:rFonts w:ascii="Times New Roman" w:hAnsi="Times New Roman" w:cs="Times New Roman"/>
          <w:sz w:val="21"/>
          <w:szCs w:val="21"/>
        </w:rPr>
        <w:t>,</w:t>
      </w:r>
      <w:r w:rsidRPr="00FC5E66">
        <w:rPr>
          <w:rFonts w:ascii="Times New Roman" w:hAnsi="Times New Roman" w:cs="Times New Roman"/>
          <w:sz w:val="21"/>
          <w:szCs w:val="21"/>
        </w:rPr>
        <w:t xml:space="preserve"> визначають соціал</w:t>
      </w:r>
      <w:r>
        <w:rPr>
          <w:rFonts w:ascii="Times New Roman" w:hAnsi="Times New Roman" w:cs="Times New Roman"/>
          <w:sz w:val="21"/>
          <w:szCs w:val="21"/>
        </w:rPr>
        <w:t xml:space="preserve">ьну політику і О. О. Бєляєв, М. І. Диба та В. І. </w:t>
      </w:r>
      <w:r w:rsidRPr="00FC5E66">
        <w:rPr>
          <w:rFonts w:ascii="Times New Roman" w:hAnsi="Times New Roman" w:cs="Times New Roman"/>
          <w:sz w:val="21"/>
          <w:szCs w:val="21"/>
        </w:rPr>
        <w:t>Кириленко [</w:t>
      </w:r>
      <w:r>
        <w:rPr>
          <w:rFonts w:ascii="Times New Roman" w:hAnsi="Times New Roman"/>
          <w:bCs/>
          <w:sz w:val="21"/>
          <w:szCs w:val="21"/>
          <w:highlight w:val="yellow"/>
          <w:lang w:eastAsia="ru-RU"/>
        </w:rPr>
        <w:fldChar w:fldCharType="begin"/>
      </w:r>
      <w:r>
        <w:rPr>
          <w:rFonts w:ascii="Times New Roman" w:hAnsi="Times New Roman" w:cs="Times New Roman"/>
          <w:sz w:val="21"/>
          <w:szCs w:val="21"/>
        </w:rPr>
        <w:instrText xml:space="preserve"> REF _Ref435618618 \r \h </w:instrText>
      </w:r>
      <w:r>
        <w:rPr>
          <w:rFonts w:ascii="Times New Roman" w:hAnsi="Times New Roman"/>
          <w:bCs/>
          <w:sz w:val="21"/>
          <w:szCs w:val="21"/>
          <w:highlight w:val="yellow"/>
          <w:lang w:eastAsia="ru-RU"/>
        </w:rPr>
      </w:r>
      <w:r>
        <w:rPr>
          <w:rFonts w:ascii="Times New Roman" w:hAnsi="Times New Roman"/>
          <w:bCs/>
          <w:sz w:val="21"/>
          <w:szCs w:val="21"/>
          <w:highlight w:val="yellow"/>
          <w:lang w:eastAsia="ru-RU"/>
        </w:rPr>
        <w:fldChar w:fldCharType="separate"/>
      </w:r>
      <w:r>
        <w:rPr>
          <w:rFonts w:ascii="Times New Roman" w:hAnsi="Times New Roman" w:cs="Times New Roman"/>
          <w:sz w:val="21"/>
          <w:szCs w:val="21"/>
        </w:rPr>
        <w:t>111</w:t>
      </w:r>
      <w:r>
        <w:rPr>
          <w:rFonts w:ascii="Times New Roman" w:hAnsi="Times New Roman"/>
          <w:bCs/>
          <w:sz w:val="21"/>
          <w:szCs w:val="21"/>
          <w:highlight w:val="yellow"/>
          <w:lang w:eastAsia="ru-RU"/>
        </w:rPr>
        <w:fldChar w:fldCharType="end"/>
      </w:r>
      <w:r w:rsidRPr="00FC5E66">
        <w:rPr>
          <w:rFonts w:ascii="Times New Roman" w:hAnsi="Times New Roman" w:cs="Times New Roman"/>
          <w:sz w:val="21"/>
          <w:szCs w:val="21"/>
        </w:rPr>
        <w:t>].</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Досить поширеним є визначення соціальної політики як діяльності держави з управління розвитком соціальної сфери суспільства, спрямованої на задоволення інтере</w:t>
      </w:r>
      <w:r>
        <w:rPr>
          <w:rFonts w:ascii="Times New Roman" w:hAnsi="Times New Roman" w:cs="Times New Roman"/>
          <w:sz w:val="21"/>
          <w:szCs w:val="21"/>
        </w:rPr>
        <w:t>сів і потреб  населення [</w:t>
      </w:r>
      <w:r>
        <w:rPr>
          <w:rFonts w:ascii="Times New Roman" w:eastAsia="Times-Roman" w:hAnsi="Times New Roman" w:cs="Times New Roman"/>
          <w:sz w:val="21"/>
          <w:szCs w:val="21"/>
          <w:highlight w:val="yellow"/>
        </w:rPr>
        <w:fldChar w:fldCharType="begin"/>
      </w:r>
      <w:r>
        <w:rPr>
          <w:rFonts w:ascii="Times New Roman" w:hAnsi="Times New Roman" w:cs="Times New Roman"/>
          <w:sz w:val="21"/>
          <w:szCs w:val="21"/>
        </w:rPr>
        <w:instrText xml:space="preserve"> REF _Ref435618626 \r \h </w:instrText>
      </w:r>
      <w:r>
        <w:rPr>
          <w:rFonts w:ascii="Times New Roman" w:eastAsia="Times-Roman" w:hAnsi="Times New Roman" w:cs="Times New Roman"/>
          <w:sz w:val="21"/>
          <w:szCs w:val="21"/>
          <w:highlight w:val="yellow"/>
        </w:rPr>
      </w:r>
      <w:r>
        <w:rPr>
          <w:rFonts w:ascii="Times New Roman" w:eastAsia="Times-Roman" w:hAnsi="Times New Roman" w:cs="Times New Roman"/>
          <w:sz w:val="21"/>
          <w:szCs w:val="21"/>
          <w:highlight w:val="yellow"/>
        </w:rPr>
        <w:fldChar w:fldCharType="separate"/>
      </w:r>
      <w:r>
        <w:rPr>
          <w:rFonts w:ascii="Times New Roman" w:hAnsi="Times New Roman" w:cs="Times New Roman"/>
          <w:sz w:val="21"/>
          <w:szCs w:val="21"/>
        </w:rPr>
        <w:t>97</w:t>
      </w:r>
      <w:r>
        <w:rPr>
          <w:rFonts w:ascii="Times New Roman" w:eastAsia="Times-Roman" w:hAnsi="Times New Roman" w:cs="Times New Roman"/>
          <w:sz w:val="21"/>
          <w:szCs w:val="21"/>
          <w:highlight w:val="yellow"/>
        </w:rPr>
        <w:fldChar w:fldCharType="end"/>
      </w:r>
      <w:r>
        <w:rPr>
          <w:rFonts w:ascii="Times New Roman" w:hAnsi="Times New Roman" w:cs="Times New Roman"/>
          <w:sz w:val="21"/>
          <w:szCs w:val="21"/>
        </w:rPr>
        <w:t xml:space="preserve">, с. </w:t>
      </w:r>
      <w:r w:rsidRPr="00FC5E66">
        <w:rPr>
          <w:rFonts w:ascii="Times New Roman" w:hAnsi="Times New Roman" w:cs="Times New Roman"/>
          <w:sz w:val="21"/>
          <w:szCs w:val="21"/>
        </w:rPr>
        <w:t>41].</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lastRenderedPageBreak/>
        <w:t>Обмеження кола суб’єктів соціальної політики звужує можливості її реалізації та знижує потенційну ефективність відповідних заходів через відстороненість безпосередніх учасників від процесу прийняття рішень і, як наслідок, їх свідоме «зняття із себе відповідальності».</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Більшість дослідників відповідної проблематики погоджуються з тим, що суб’єкти соціальної політики мають складну структуру. До них належать людина, держава, суспільство, соціальні спільноти та інститути, політичні партії, громадські організації, асоціації громадян, колективи, фонди, суб’єкти соціального захисту та суб’єкти, які здійснюють діяльність у різноманітних формах як у межах інституціональних структур, так і на громадських самодіяльних засадах. Усі вони мають різний суспільний характер, здійснюють соціальну діяльність, роботу у багатьох галузях суспільного виробництва, мають різні, неоднакові можливості, масштаби, глибину, способи та засоби впливу на розвиток соціального буття, формування соціальної безп</w:t>
      </w:r>
      <w:r>
        <w:rPr>
          <w:rFonts w:ascii="Times New Roman" w:hAnsi="Times New Roman" w:cs="Times New Roman"/>
          <w:sz w:val="21"/>
          <w:szCs w:val="21"/>
        </w:rPr>
        <w:t>еки людини і суспільства [</w:t>
      </w:r>
      <w:r>
        <w:rPr>
          <w:rFonts w:ascii="Times New Roman" w:hAnsi="Times New Roman"/>
          <w:sz w:val="21"/>
          <w:szCs w:val="21"/>
          <w:highlight w:val="yellow"/>
          <w:shd w:val="clear" w:color="auto" w:fill="FFFFFF"/>
        </w:rPr>
        <w:fldChar w:fldCharType="begin"/>
      </w:r>
      <w:r>
        <w:rPr>
          <w:rFonts w:ascii="Times New Roman" w:hAnsi="Times New Roman" w:cs="Times New Roman"/>
          <w:sz w:val="21"/>
          <w:szCs w:val="21"/>
        </w:rPr>
        <w:instrText xml:space="preserve"> REF _Ref435618634 \r \h </w:instrText>
      </w:r>
      <w:r>
        <w:rPr>
          <w:rFonts w:ascii="Times New Roman" w:hAnsi="Times New Roman"/>
          <w:sz w:val="21"/>
          <w:szCs w:val="21"/>
          <w:highlight w:val="yellow"/>
          <w:shd w:val="clear" w:color="auto" w:fill="FFFFFF"/>
        </w:rPr>
      </w:r>
      <w:r>
        <w:rPr>
          <w:rFonts w:ascii="Times New Roman" w:hAnsi="Times New Roman"/>
          <w:sz w:val="21"/>
          <w:szCs w:val="21"/>
          <w:highlight w:val="yellow"/>
          <w:shd w:val="clear" w:color="auto" w:fill="FFFFFF"/>
        </w:rPr>
        <w:fldChar w:fldCharType="separate"/>
      </w:r>
      <w:r>
        <w:rPr>
          <w:rFonts w:ascii="Times New Roman" w:hAnsi="Times New Roman" w:cs="Times New Roman"/>
          <w:sz w:val="21"/>
          <w:szCs w:val="21"/>
        </w:rPr>
        <w:t>72</w:t>
      </w:r>
      <w:r>
        <w:rPr>
          <w:rFonts w:ascii="Times New Roman" w:hAnsi="Times New Roman"/>
          <w:sz w:val="21"/>
          <w:szCs w:val="21"/>
          <w:highlight w:val="yellow"/>
          <w:shd w:val="clear" w:color="auto" w:fill="FFFFFF"/>
        </w:rPr>
        <w:fldChar w:fldCharType="end"/>
      </w:r>
      <w:r>
        <w:rPr>
          <w:rFonts w:ascii="Times New Roman" w:hAnsi="Times New Roman" w:cs="Times New Roman"/>
          <w:sz w:val="21"/>
          <w:szCs w:val="21"/>
        </w:rPr>
        <w:t xml:space="preserve">, с. </w:t>
      </w:r>
      <w:r w:rsidRPr="00FC5E66">
        <w:rPr>
          <w:rFonts w:ascii="Times New Roman" w:hAnsi="Times New Roman" w:cs="Times New Roman"/>
          <w:sz w:val="21"/>
          <w:szCs w:val="21"/>
        </w:rPr>
        <w:t>12</w:t>
      </w:r>
      <w:r>
        <w:rPr>
          <w:rFonts w:ascii="Times New Roman" w:hAnsi="Times New Roman" w:cs="Times New Roman"/>
          <w:sz w:val="21"/>
          <w:szCs w:val="21"/>
        </w:rPr>
        <w:t>–</w:t>
      </w:r>
      <w:r w:rsidRPr="00FC5E66">
        <w:rPr>
          <w:rFonts w:ascii="Times New Roman" w:hAnsi="Times New Roman" w:cs="Times New Roman"/>
          <w:sz w:val="21"/>
          <w:szCs w:val="21"/>
        </w:rPr>
        <w:t xml:space="preserve">13]. </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Існування багаторівневої структури суб’єктів соціальної політики свідчить про наявність різних рівнів самої соціальної політики, зокрема і регіонального.</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Такі науковці, як Васильченко</w:t>
      </w:r>
      <w:r>
        <w:rPr>
          <w:rFonts w:ascii="Times New Roman" w:hAnsi="Times New Roman" w:cs="Times New Roman"/>
          <w:sz w:val="21"/>
          <w:szCs w:val="21"/>
        </w:rPr>
        <w:t xml:space="preserve"> </w:t>
      </w:r>
      <w:r w:rsidRPr="00FC5E66">
        <w:rPr>
          <w:rFonts w:ascii="Times New Roman" w:hAnsi="Times New Roman" w:cs="Times New Roman"/>
          <w:sz w:val="21"/>
          <w:szCs w:val="21"/>
        </w:rPr>
        <w:t>В.</w:t>
      </w:r>
      <w:r>
        <w:rPr>
          <w:rFonts w:ascii="Times New Roman" w:hAnsi="Times New Roman" w:cs="Times New Roman"/>
          <w:sz w:val="21"/>
          <w:szCs w:val="21"/>
        </w:rPr>
        <w:t xml:space="preserve"> </w:t>
      </w:r>
      <w:r w:rsidRPr="00FC5E66">
        <w:rPr>
          <w:rFonts w:ascii="Times New Roman" w:hAnsi="Times New Roman" w:cs="Times New Roman"/>
          <w:sz w:val="21"/>
          <w:szCs w:val="21"/>
        </w:rPr>
        <w:t>С., Гриненко</w:t>
      </w:r>
      <w:r>
        <w:rPr>
          <w:rFonts w:ascii="Times New Roman" w:hAnsi="Times New Roman" w:cs="Times New Roman"/>
          <w:sz w:val="21"/>
          <w:szCs w:val="21"/>
        </w:rPr>
        <w:t xml:space="preserve"> </w:t>
      </w:r>
      <w:r w:rsidRPr="00FC5E66">
        <w:rPr>
          <w:rFonts w:ascii="Times New Roman" w:hAnsi="Times New Roman" w:cs="Times New Roman"/>
          <w:sz w:val="21"/>
          <w:szCs w:val="21"/>
        </w:rPr>
        <w:t>А.</w:t>
      </w:r>
      <w:r>
        <w:rPr>
          <w:rFonts w:ascii="Times New Roman" w:hAnsi="Times New Roman" w:cs="Times New Roman"/>
          <w:sz w:val="21"/>
          <w:szCs w:val="21"/>
        </w:rPr>
        <w:t xml:space="preserve"> </w:t>
      </w:r>
      <w:r w:rsidRPr="00FC5E66">
        <w:rPr>
          <w:rFonts w:ascii="Times New Roman" w:hAnsi="Times New Roman" w:cs="Times New Roman"/>
          <w:sz w:val="21"/>
          <w:szCs w:val="21"/>
        </w:rPr>
        <w:t>М., Грішнова</w:t>
      </w:r>
      <w:r>
        <w:rPr>
          <w:rFonts w:ascii="Times New Roman" w:hAnsi="Times New Roman" w:cs="Times New Roman"/>
          <w:sz w:val="21"/>
          <w:szCs w:val="21"/>
        </w:rPr>
        <w:t xml:space="preserve"> </w:t>
      </w:r>
      <w:r w:rsidRPr="00FC5E66">
        <w:rPr>
          <w:rFonts w:ascii="Times New Roman" w:hAnsi="Times New Roman" w:cs="Times New Roman"/>
          <w:sz w:val="21"/>
          <w:szCs w:val="21"/>
        </w:rPr>
        <w:t>О.</w:t>
      </w:r>
      <w:r>
        <w:rPr>
          <w:rFonts w:ascii="Times New Roman" w:hAnsi="Times New Roman" w:cs="Times New Roman"/>
          <w:sz w:val="21"/>
          <w:szCs w:val="21"/>
        </w:rPr>
        <w:t xml:space="preserve"> </w:t>
      </w:r>
      <w:r w:rsidRPr="00FC5E66">
        <w:rPr>
          <w:rFonts w:ascii="Times New Roman" w:hAnsi="Times New Roman" w:cs="Times New Roman"/>
          <w:sz w:val="21"/>
          <w:szCs w:val="21"/>
        </w:rPr>
        <w:t>А. та Керб</w:t>
      </w:r>
      <w:r>
        <w:rPr>
          <w:rFonts w:ascii="Times New Roman" w:hAnsi="Times New Roman" w:cs="Times New Roman"/>
          <w:sz w:val="21"/>
          <w:szCs w:val="21"/>
        </w:rPr>
        <w:t xml:space="preserve"> </w:t>
      </w:r>
      <w:r w:rsidRPr="00FC5E66">
        <w:rPr>
          <w:rFonts w:ascii="Times New Roman" w:hAnsi="Times New Roman" w:cs="Times New Roman"/>
          <w:sz w:val="21"/>
          <w:szCs w:val="21"/>
        </w:rPr>
        <w:t>Л.</w:t>
      </w:r>
      <w:r>
        <w:rPr>
          <w:rFonts w:ascii="Times New Roman" w:hAnsi="Times New Roman" w:cs="Times New Roman"/>
          <w:sz w:val="21"/>
          <w:szCs w:val="21"/>
        </w:rPr>
        <w:t xml:space="preserve"> </w:t>
      </w:r>
      <w:r w:rsidRPr="00FC5E66">
        <w:rPr>
          <w:rFonts w:ascii="Times New Roman" w:hAnsi="Times New Roman" w:cs="Times New Roman"/>
          <w:sz w:val="21"/>
          <w:szCs w:val="21"/>
        </w:rPr>
        <w:t xml:space="preserve">П. відзначають, що соціальна політика являє собою комплекс соціально-економічних заходів держави, місцевих органів влади, підприємств, організацій, спрямованих на захист населення від безробіття, підвищення цін, знецінення трудових заощаджень. Її мета – забезпечити гідний рівень життя, який виражається у певній кількості та якості споживчих благ і послуг, починаючи з «первинних», які задовольняють потреби працівників у продуктах харчування, одязі, засобах пересування, підтримки здоров’я і закінчуючи найскладнішими потребами, пов’язаними із задоволенням духовних, моральних, естетичних запитів. Головним у соціальній політиці є обов’язок держави гарантувати законодавчо, соціально й економічно нормальні для даного історичного періоду умови, які забезпечують самостійне життя, свободу вибору життєвого шляху, сфери діяльності, відповідальність за свої дії, «плату» за рівень особистого добробуту і становища у суспільстві. Соціальна політика повинна будуватись на основі взаємної відповідальності та взаємних обов’язків держави </w:t>
      </w:r>
      <w:r w:rsidRPr="00FC5E66">
        <w:rPr>
          <w:rFonts w:ascii="Times New Roman" w:hAnsi="Times New Roman" w:cs="Times New Roman"/>
          <w:sz w:val="21"/>
          <w:szCs w:val="21"/>
        </w:rPr>
        <w:lastRenderedPageBreak/>
        <w:t>і населення. В умовах нестабільного розвитку економіки вона має бути адекватною стану розвитку економіки, сприяти стабілізації виробництва та забезпечувати мінімально необхідні стандарти життєвого рівня населення [</w:t>
      </w:r>
      <w:r>
        <w:rPr>
          <w:rFonts w:ascii="Times New Roman" w:hAnsi="Times New Roman"/>
          <w:bCs/>
          <w:sz w:val="21"/>
          <w:szCs w:val="21"/>
          <w:highlight w:val="yellow"/>
          <w:lang w:eastAsia="ru-RU"/>
        </w:rPr>
        <w:fldChar w:fldCharType="begin"/>
      </w:r>
      <w:r>
        <w:rPr>
          <w:rFonts w:ascii="Times New Roman" w:hAnsi="Times New Roman" w:cs="Times New Roman"/>
          <w:sz w:val="21"/>
          <w:szCs w:val="21"/>
        </w:rPr>
        <w:instrText xml:space="preserve"> REF _Ref435618643 \r \h </w:instrText>
      </w:r>
      <w:r>
        <w:rPr>
          <w:rFonts w:ascii="Times New Roman" w:hAnsi="Times New Roman"/>
          <w:bCs/>
          <w:sz w:val="21"/>
          <w:szCs w:val="21"/>
          <w:highlight w:val="yellow"/>
          <w:lang w:eastAsia="ru-RU"/>
        </w:rPr>
      </w:r>
      <w:r>
        <w:rPr>
          <w:rFonts w:ascii="Times New Roman" w:hAnsi="Times New Roman"/>
          <w:bCs/>
          <w:sz w:val="21"/>
          <w:szCs w:val="21"/>
          <w:highlight w:val="yellow"/>
          <w:lang w:eastAsia="ru-RU"/>
        </w:rPr>
        <w:fldChar w:fldCharType="separate"/>
      </w:r>
      <w:r>
        <w:rPr>
          <w:rFonts w:ascii="Times New Roman" w:hAnsi="Times New Roman" w:cs="Times New Roman"/>
          <w:sz w:val="21"/>
          <w:szCs w:val="21"/>
        </w:rPr>
        <w:t>130</w:t>
      </w:r>
      <w:r>
        <w:rPr>
          <w:rFonts w:ascii="Times New Roman" w:hAnsi="Times New Roman"/>
          <w:bCs/>
          <w:sz w:val="21"/>
          <w:szCs w:val="21"/>
          <w:highlight w:val="yellow"/>
          <w:lang w:eastAsia="ru-RU"/>
        </w:rPr>
        <w:fldChar w:fldCharType="end"/>
      </w:r>
      <w:r w:rsidRPr="00FC5E66">
        <w:rPr>
          <w:rFonts w:ascii="Times New Roman" w:hAnsi="Times New Roman" w:cs="Times New Roman"/>
          <w:sz w:val="21"/>
          <w:szCs w:val="21"/>
        </w:rPr>
        <w:t>].</w:t>
      </w:r>
    </w:p>
    <w:p w:rsidR="00B233DE" w:rsidRPr="00FC5E66"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 xml:space="preserve">На думку Шевчука П. </w:t>
      </w:r>
      <w:r w:rsidRPr="00FC5E66">
        <w:rPr>
          <w:rFonts w:ascii="Times New Roman" w:hAnsi="Times New Roman" w:cs="Times New Roman"/>
          <w:sz w:val="21"/>
          <w:szCs w:val="21"/>
        </w:rPr>
        <w:t>І., найбільш цілісним і лаконічним є визначення соціальної політики як системи програм, служб та заходів, спрямованих на досягнення соціальних цілей. Відповідно до такого підходу соціальна політика охоплює усі сфери життєдіяльності людей – виробничу, соціальну, політичну, духовну та регулює стосунки між суспільством, колективом, громадою, особою у кожній із цих сфер та зонах їх взаємодії [</w:t>
      </w:r>
      <w:r>
        <w:rPr>
          <w:rFonts w:ascii="Times New Roman" w:hAnsi="Times New Roman"/>
          <w:sz w:val="21"/>
          <w:szCs w:val="21"/>
          <w:highlight w:val="yellow"/>
          <w:shd w:val="clear" w:color="auto" w:fill="FFFFFF"/>
        </w:rPr>
        <w:fldChar w:fldCharType="begin"/>
      </w:r>
      <w:r>
        <w:rPr>
          <w:rFonts w:ascii="Times New Roman" w:hAnsi="Times New Roman" w:cs="Times New Roman"/>
          <w:sz w:val="21"/>
          <w:szCs w:val="21"/>
        </w:rPr>
        <w:instrText xml:space="preserve"> REF _Ref435618649 \r \h </w:instrText>
      </w:r>
      <w:r>
        <w:rPr>
          <w:rFonts w:ascii="Times New Roman" w:hAnsi="Times New Roman"/>
          <w:sz w:val="21"/>
          <w:szCs w:val="21"/>
          <w:highlight w:val="yellow"/>
          <w:shd w:val="clear" w:color="auto" w:fill="FFFFFF"/>
        </w:rPr>
      </w:r>
      <w:r>
        <w:rPr>
          <w:rFonts w:ascii="Times New Roman" w:hAnsi="Times New Roman"/>
          <w:sz w:val="21"/>
          <w:szCs w:val="21"/>
          <w:highlight w:val="yellow"/>
          <w:shd w:val="clear" w:color="auto" w:fill="FFFFFF"/>
        </w:rPr>
        <w:fldChar w:fldCharType="separate"/>
      </w:r>
      <w:r>
        <w:rPr>
          <w:rFonts w:ascii="Times New Roman" w:hAnsi="Times New Roman" w:cs="Times New Roman"/>
          <w:sz w:val="21"/>
          <w:szCs w:val="21"/>
        </w:rPr>
        <w:t>141</w:t>
      </w:r>
      <w:r>
        <w:rPr>
          <w:rFonts w:ascii="Times New Roman" w:hAnsi="Times New Roman"/>
          <w:sz w:val="21"/>
          <w:szCs w:val="21"/>
          <w:highlight w:val="yellow"/>
          <w:shd w:val="clear" w:color="auto" w:fill="FFFFFF"/>
        </w:rPr>
        <w:fldChar w:fldCharType="end"/>
      </w:r>
      <w:r w:rsidRPr="00FC5E66">
        <w:rPr>
          <w:rFonts w:ascii="Times New Roman" w:hAnsi="Times New Roman" w:cs="Times New Roman"/>
          <w:sz w:val="21"/>
          <w:szCs w:val="21"/>
        </w:rPr>
        <w:t>].</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Широке трактування досліджуваної категорії наводить С. В. Мочерний: соціальна політика – це діяльність державних і громадських інститутів, суспільних груп та окремих осіб (суб’єктів соціальної політики), спрямована на реалізацію соціальних потреб людини, що забезпечують її життєдіяльність і розвиток як соціальної істоти на основі принципу соціальної справедливості за беззастережного дотримання її громадянських прав та свобод [</w:t>
      </w:r>
      <w:r>
        <w:rPr>
          <w:rFonts w:ascii="Times New Roman" w:hAnsi="Times New Roman"/>
          <w:sz w:val="21"/>
          <w:szCs w:val="21"/>
          <w:highlight w:val="yellow"/>
          <w:shd w:val="clear" w:color="auto" w:fill="FFFFFF"/>
        </w:rPr>
        <w:fldChar w:fldCharType="begin"/>
      </w:r>
      <w:r>
        <w:rPr>
          <w:rFonts w:ascii="Times New Roman" w:hAnsi="Times New Roman" w:cs="Times New Roman"/>
          <w:sz w:val="21"/>
          <w:szCs w:val="21"/>
        </w:rPr>
        <w:instrText xml:space="preserve"> REF _Ref435618634 \r \h </w:instrText>
      </w:r>
      <w:r>
        <w:rPr>
          <w:rFonts w:ascii="Times New Roman" w:hAnsi="Times New Roman"/>
          <w:sz w:val="21"/>
          <w:szCs w:val="21"/>
          <w:highlight w:val="yellow"/>
          <w:shd w:val="clear" w:color="auto" w:fill="FFFFFF"/>
        </w:rPr>
      </w:r>
      <w:r>
        <w:rPr>
          <w:rFonts w:ascii="Times New Roman" w:hAnsi="Times New Roman"/>
          <w:sz w:val="21"/>
          <w:szCs w:val="21"/>
          <w:highlight w:val="yellow"/>
          <w:shd w:val="clear" w:color="auto" w:fill="FFFFFF"/>
        </w:rPr>
        <w:fldChar w:fldCharType="separate"/>
      </w:r>
      <w:r>
        <w:rPr>
          <w:rFonts w:ascii="Times New Roman" w:hAnsi="Times New Roman" w:cs="Times New Roman"/>
          <w:sz w:val="21"/>
          <w:szCs w:val="21"/>
        </w:rPr>
        <w:t>72</w:t>
      </w:r>
      <w:r>
        <w:rPr>
          <w:rFonts w:ascii="Times New Roman" w:hAnsi="Times New Roman"/>
          <w:sz w:val="21"/>
          <w:szCs w:val="21"/>
          <w:highlight w:val="yellow"/>
          <w:shd w:val="clear" w:color="auto" w:fill="FFFFFF"/>
        </w:rPr>
        <w:fldChar w:fldCharType="end"/>
      </w:r>
      <w:r w:rsidRPr="00FC5E66">
        <w:rPr>
          <w:rFonts w:ascii="Times New Roman" w:hAnsi="Times New Roman" w:cs="Times New Roman"/>
          <w:sz w:val="21"/>
          <w:szCs w:val="21"/>
        </w:rPr>
        <w:t>].</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Найбільш всеохоплюючим, на нашу думку, є трактування поняття «соціальна політика» такими</w:t>
      </w:r>
      <w:r>
        <w:rPr>
          <w:rFonts w:ascii="Times New Roman" w:hAnsi="Times New Roman" w:cs="Times New Roman"/>
          <w:sz w:val="21"/>
          <w:szCs w:val="21"/>
        </w:rPr>
        <w:t xml:space="preserve"> дослідниками, як Скуратівський В. А., Палій О. М. та Лібанова Е. </w:t>
      </w:r>
      <w:r w:rsidRPr="00FC5E66">
        <w:rPr>
          <w:rFonts w:ascii="Times New Roman" w:hAnsi="Times New Roman" w:cs="Times New Roman"/>
          <w:sz w:val="21"/>
          <w:szCs w:val="21"/>
        </w:rPr>
        <w:t>М. За їх визначенням у вузькому розумінні соціальна політика – це цілеспрямована діяльність, що має за мету здійснення соціального захисту, створення умов для формування безпечного соціального середовища людини. Соціальна політика у такому аспекті являє собою комплекс заходів, спрямованих на створення системи соціальних амортизаторів суспільних, зокрема ринкових ризиків, формування соціальних стандартів тощо. Тобто, соціальна політика у вузькому значенні – це діяльність суб’єктів соціально-політичного життя щодо формування соціальної безпеки людини</w:t>
      </w:r>
      <w:r>
        <w:rPr>
          <w:rFonts w:ascii="Times New Roman" w:hAnsi="Times New Roman" w:cs="Times New Roman"/>
          <w:sz w:val="21"/>
          <w:szCs w:val="21"/>
        </w:rPr>
        <w:t xml:space="preserve"> і суспільства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_Ref435618670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102</w:t>
      </w:r>
      <w:r>
        <w:rPr>
          <w:rFonts w:ascii="Times New Roman" w:hAnsi="Times New Roman"/>
          <w:sz w:val="21"/>
          <w:szCs w:val="21"/>
          <w:highlight w:val="yellow"/>
        </w:rPr>
        <w:fldChar w:fldCharType="end"/>
      </w:r>
      <w:r>
        <w:rPr>
          <w:rFonts w:ascii="Times New Roman" w:hAnsi="Times New Roman" w:cs="Times New Roman"/>
          <w:sz w:val="21"/>
          <w:szCs w:val="21"/>
        </w:rPr>
        <w:t xml:space="preserve">, с. </w:t>
      </w:r>
      <w:r w:rsidRPr="00FC5E66">
        <w:rPr>
          <w:rFonts w:ascii="Times New Roman" w:hAnsi="Times New Roman" w:cs="Times New Roman"/>
          <w:sz w:val="21"/>
          <w:szCs w:val="21"/>
        </w:rPr>
        <w:t>7].</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 xml:space="preserve">У широкому розумінні соціальна політика – це система цілеспрямованої діяльності суб’єктів, що сформувалась у суспільстві на певному етапі його розвитку, здійснюється на основі певних принципів і засад, спрямована на забезпечення оптимального функціонування і розвитку соціальних відносин. У такому аспекті соціальна політика – це система управлінських, регулятивних, саморегулятивних способів та форм діяльності суб’єктів, сукупність принципів, рішень, дій, що знаходять </w:t>
      </w:r>
      <w:r w:rsidRPr="00FC5E66">
        <w:rPr>
          <w:rFonts w:ascii="Times New Roman" w:hAnsi="Times New Roman" w:cs="Times New Roman"/>
          <w:sz w:val="21"/>
          <w:szCs w:val="21"/>
        </w:rPr>
        <w:lastRenderedPageBreak/>
        <w:t>втілення у соціальних програмах і соціальній практиці з метою задоволення соціальних потреб, збалансування соціальних інтересів людини, соціальних груп суспільства, досягнення соціальних цілей. У широкому розумінні соціальна політика – це система інституційних і надінституційних, державних і громадських, суспільних і особистих, індивідуальних способів і форм діяльності, спрямованих на створення умов для всебічної самореалізації соціального потенціалу людини, її сутнісних сил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_Ref435618670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102</w:t>
      </w:r>
      <w:r>
        <w:rPr>
          <w:rFonts w:ascii="Times New Roman" w:hAnsi="Times New Roman"/>
          <w:sz w:val="21"/>
          <w:szCs w:val="21"/>
          <w:highlight w:val="yellow"/>
        </w:rPr>
        <w:fldChar w:fldCharType="end"/>
      </w:r>
      <w:r>
        <w:rPr>
          <w:rFonts w:ascii="Times New Roman" w:hAnsi="Times New Roman" w:cs="Times New Roman"/>
          <w:sz w:val="21"/>
          <w:szCs w:val="21"/>
        </w:rPr>
        <w:t xml:space="preserve">, с. </w:t>
      </w:r>
      <w:r w:rsidRPr="00FC5E66">
        <w:rPr>
          <w:rFonts w:ascii="Times New Roman" w:hAnsi="Times New Roman" w:cs="Times New Roman"/>
          <w:sz w:val="21"/>
          <w:szCs w:val="21"/>
        </w:rPr>
        <w:t>8].</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Об’єктом соціальної політики є суспільні, зокрема соціальні відносини, процеси життєдіяльності соціуму, що безпосередньо або опосередковано впливають на формування соціальної безпеки людини, задоволення нею власних соціальних потреб та інтересів, освоєння і творення соціальних цінностей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_Ref435618670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102</w:t>
      </w:r>
      <w:r>
        <w:rPr>
          <w:rFonts w:ascii="Times New Roman" w:hAnsi="Times New Roman"/>
          <w:sz w:val="21"/>
          <w:szCs w:val="21"/>
          <w:highlight w:val="yellow"/>
        </w:rPr>
        <w:fldChar w:fldCharType="end"/>
      </w:r>
      <w:r w:rsidRPr="00FC5E66">
        <w:rPr>
          <w:rFonts w:ascii="Times New Roman" w:hAnsi="Times New Roman" w:cs="Times New Roman"/>
          <w:sz w:val="21"/>
          <w:szCs w:val="21"/>
        </w:rPr>
        <w:t xml:space="preserve">, </w:t>
      </w:r>
      <w:r>
        <w:rPr>
          <w:rFonts w:ascii="Times New Roman" w:hAnsi="Times New Roman" w:cs="Times New Roman"/>
          <w:sz w:val="21"/>
          <w:szCs w:val="21"/>
        </w:rPr>
        <w:t xml:space="preserve">с. </w:t>
      </w:r>
      <w:r w:rsidRPr="00FC5E66">
        <w:rPr>
          <w:rFonts w:ascii="Times New Roman" w:hAnsi="Times New Roman" w:cs="Times New Roman"/>
          <w:sz w:val="21"/>
          <w:szCs w:val="21"/>
        </w:rPr>
        <w:t>8].</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Спрямованість соціальної політики на оптимальне функціонування і розвиток соціальних відносин вимагає більш детального розгляду даного поняття.</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 xml:space="preserve">Категорія </w:t>
      </w:r>
      <w:r w:rsidRPr="00FC5E66">
        <w:rPr>
          <w:rFonts w:ascii="Times New Roman" w:hAnsi="Times New Roman" w:cs="Times New Roman"/>
          <w:iCs/>
          <w:sz w:val="21"/>
          <w:szCs w:val="21"/>
        </w:rPr>
        <w:t xml:space="preserve">«соціальні відносини» </w:t>
      </w:r>
      <w:r w:rsidRPr="00FC5E66">
        <w:rPr>
          <w:rFonts w:ascii="Times New Roman" w:hAnsi="Times New Roman" w:cs="Times New Roman"/>
          <w:sz w:val="21"/>
          <w:szCs w:val="21"/>
        </w:rPr>
        <w:t>не має чіткого визначення у соціологічній літературі. Нерідко це поняття ототожнюють із категорією «суспільні відносини». Однак, таке ототожнення, на думку марксистських соціологів, є правомірним лише тоді, коли соціальні відносини розуміються у широкому контексті, тобто у протиставленні їх природним відносинам.</w:t>
      </w:r>
    </w:p>
    <w:p w:rsidR="00B233DE" w:rsidRPr="00FC5E66"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 xml:space="preserve">Зокрема, К. </w:t>
      </w:r>
      <w:r w:rsidRPr="00FC5E66">
        <w:rPr>
          <w:rFonts w:ascii="Times New Roman" w:hAnsi="Times New Roman" w:cs="Times New Roman"/>
          <w:sz w:val="21"/>
          <w:szCs w:val="21"/>
        </w:rPr>
        <w:t>Маркс виокремлював соціальні відносини із системи суспільних відносин (економічних, політичних, правових, духовних і т.д.), вважаючи їх специфічним і відносно самостійним видом, що відображає діяльність соціальних суб’єктів з огляду на їх неоднаковий, різний соціальний стан у суспільстві і ту неоднакову роль, яку вони відіграють у суспільному житті [</w:t>
      </w:r>
      <w:r>
        <w:rPr>
          <w:rFonts w:ascii="Times New Roman" w:eastAsia="Times-Italic" w:hAnsi="Times New Roman" w:cs="Times New Roman"/>
          <w:iCs/>
          <w:sz w:val="21"/>
          <w:szCs w:val="21"/>
          <w:highlight w:val="yellow"/>
        </w:rPr>
        <w:fldChar w:fldCharType="begin"/>
      </w:r>
      <w:r>
        <w:rPr>
          <w:rFonts w:ascii="Times New Roman" w:hAnsi="Times New Roman" w:cs="Times New Roman"/>
          <w:sz w:val="21"/>
          <w:szCs w:val="21"/>
        </w:rPr>
        <w:instrText xml:space="preserve"> REF _Ref435618690 \r \h </w:instrText>
      </w:r>
      <w:r>
        <w:rPr>
          <w:rFonts w:ascii="Times New Roman" w:eastAsia="Times-Italic" w:hAnsi="Times New Roman" w:cs="Times New Roman"/>
          <w:iCs/>
          <w:sz w:val="21"/>
          <w:szCs w:val="21"/>
          <w:highlight w:val="yellow"/>
        </w:rPr>
      </w:r>
      <w:r>
        <w:rPr>
          <w:rFonts w:ascii="Times New Roman" w:eastAsia="Times-Italic" w:hAnsi="Times New Roman" w:cs="Times New Roman"/>
          <w:iCs/>
          <w:sz w:val="21"/>
          <w:szCs w:val="21"/>
          <w:highlight w:val="yellow"/>
        </w:rPr>
        <w:fldChar w:fldCharType="separate"/>
      </w:r>
      <w:r>
        <w:rPr>
          <w:rFonts w:ascii="Times New Roman" w:hAnsi="Times New Roman" w:cs="Times New Roman"/>
          <w:sz w:val="21"/>
          <w:szCs w:val="21"/>
        </w:rPr>
        <w:t>110</w:t>
      </w:r>
      <w:r>
        <w:rPr>
          <w:rFonts w:ascii="Times New Roman" w:eastAsia="Times-Italic" w:hAnsi="Times New Roman" w:cs="Times New Roman"/>
          <w:iCs/>
          <w:sz w:val="21"/>
          <w:szCs w:val="21"/>
          <w:highlight w:val="yellow"/>
        </w:rPr>
        <w:fldChar w:fldCharType="end"/>
      </w:r>
      <w:r w:rsidRPr="00D043E3">
        <w:rPr>
          <w:rFonts w:ascii="Times New Roman" w:hAnsi="Times New Roman" w:cs="Times New Roman"/>
          <w:sz w:val="21"/>
          <w:szCs w:val="21"/>
        </w:rPr>
        <w:t xml:space="preserve">, с. </w:t>
      </w:r>
      <w:r w:rsidRPr="00FC5E66">
        <w:rPr>
          <w:rFonts w:ascii="Times New Roman" w:hAnsi="Times New Roman" w:cs="Times New Roman"/>
          <w:sz w:val="21"/>
          <w:szCs w:val="21"/>
        </w:rPr>
        <w:t>66].</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 xml:space="preserve">Складність дослідження соціальних відносин полягає у тому, що вони не є статичними, тобто застиглими формами соціальної взаємодії і завжди взаємопов’язані з іншими видами відносин, інтегрують їх, перетинаються з ними і проявляються через них. Для того, щоб виокремити </w:t>
      </w:r>
      <w:r w:rsidRPr="00FC5E66">
        <w:rPr>
          <w:rFonts w:ascii="Times New Roman" w:hAnsi="Times New Roman" w:cs="Times New Roman"/>
          <w:iCs/>
          <w:sz w:val="21"/>
          <w:szCs w:val="21"/>
        </w:rPr>
        <w:t xml:space="preserve">соціальні відносини </w:t>
      </w:r>
      <w:r w:rsidRPr="00FC5E66">
        <w:rPr>
          <w:rFonts w:ascii="Times New Roman" w:hAnsi="Times New Roman" w:cs="Times New Roman"/>
          <w:sz w:val="21"/>
          <w:szCs w:val="21"/>
        </w:rPr>
        <w:t xml:space="preserve">у їх вузькому розумінні із системи суспільних відносин, необхідно встановити причини їх утворення. Відомо, що кожний вид суспільних відносин складається і реалізується між соціальними </w:t>
      </w:r>
      <w:r w:rsidRPr="00FC5E66">
        <w:rPr>
          <w:rFonts w:ascii="Times New Roman" w:hAnsi="Times New Roman" w:cs="Times New Roman"/>
          <w:sz w:val="21"/>
          <w:szCs w:val="21"/>
        </w:rPr>
        <w:lastRenderedPageBreak/>
        <w:t>суб’єктами (індивідами і соціальними групами) через той або інший матеріальний чи духовний об’єкт. Якщо відносини складаються на основі засобів виробництва – це економічні відносини, державної влади – політичні, юридичних законів або правових нормативів – юридичні, моральних вчинків – моральні і т.д.</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 xml:space="preserve">Таким чином, </w:t>
      </w:r>
      <w:r w:rsidRPr="00FC5E66">
        <w:rPr>
          <w:rFonts w:ascii="Times New Roman" w:hAnsi="Times New Roman" w:cs="Times New Roman"/>
          <w:iCs/>
          <w:sz w:val="21"/>
          <w:szCs w:val="21"/>
        </w:rPr>
        <w:t>соціальні відносини</w:t>
      </w:r>
      <w:r w:rsidRPr="00FC5E66">
        <w:rPr>
          <w:rFonts w:ascii="Times New Roman" w:hAnsi="Times New Roman" w:cs="Times New Roman"/>
          <w:i/>
          <w:iCs/>
          <w:sz w:val="21"/>
          <w:szCs w:val="21"/>
        </w:rPr>
        <w:t xml:space="preserve"> </w:t>
      </w:r>
      <w:r w:rsidRPr="00FC5E66">
        <w:rPr>
          <w:rFonts w:ascii="Times New Roman" w:hAnsi="Times New Roman" w:cs="Times New Roman"/>
          <w:sz w:val="21"/>
          <w:szCs w:val="21"/>
        </w:rPr>
        <w:t>у вузькому сенсі утворюються внаслідок власне саме соціальної взаємодії, що виникає між індивідами і соціальними групами, які посідають різне положення в суспільстві, чим і визначається їх нерівний реальний доступ до влади, власності, інших життєво важливих благ. Усе це говорить про те, що соціальні відносини органічно пов’язані з усіма іншими видами суспільних відносин, із формами і способами соціальної діяльності людей, їх соціальних спільностей і груп, а також із їхніми соціальними інтересами і потребами [</w:t>
      </w:r>
      <w:r>
        <w:rPr>
          <w:rFonts w:ascii="Times New Roman" w:hAnsi="Times New Roman"/>
          <w:bCs/>
          <w:sz w:val="21"/>
          <w:szCs w:val="21"/>
          <w:highlight w:val="yellow"/>
          <w:lang w:eastAsia="ru-RU"/>
        </w:rPr>
        <w:fldChar w:fldCharType="begin"/>
      </w:r>
      <w:r>
        <w:rPr>
          <w:rFonts w:ascii="Times New Roman" w:hAnsi="Times New Roman" w:cs="Times New Roman"/>
          <w:sz w:val="21"/>
          <w:szCs w:val="21"/>
        </w:rPr>
        <w:instrText xml:space="preserve"> REF _Ref435618702 \r \h </w:instrText>
      </w:r>
      <w:r>
        <w:rPr>
          <w:rFonts w:ascii="Times New Roman" w:hAnsi="Times New Roman"/>
          <w:bCs/>
          <w:sz w:val="21"/>
          <w:szCs w:val="21"/>
          <w:highlight w:val="yellow"/>
          <w:lang w:eastAsia="ru-RU"/>
        </w:rPr>
      </w:r>
      <w:r>
        <w:rPr>
          <w:rFonts w:ascii="Times New Roman" w:hAnsi="Times New Roman"/>
          <w:bCs/>
          <w:sz w:val="21"/>
          <w:szCs w:val="21"/>
          <w:highlight w:val="yellow"/>
          <w:lang w:eastAsia="ru-RU"/>
        </w:rPr>
        <w:fldChar w:fldCharType="separate"/>
      </w:r>
      <w:r>
        <w:rPr>
          <w:rFonts w:ascii="Times New Roman" w:hAnsi="Times New Roman" w:cs="Times New Roman"/>
          <w:sz w:val="21"/>
          <w:szCs w:val="21"/>
        </w:rPr>
        <w:t>60</w:t>
      </w:r>
      <w:r>
        <w:rPr>
          <w:rFonts w:ascii="Times New Roman" w:hAnsi="Times New Roman"/>
          <w:bCs/>
          <w:sz w:val="21"/>
          <w:szCs w:val="21"/>
          <w:highlight w:val="yellow"/>
          <w:lang w:eastAsia="ru-RU"/>
        </w:rPr>
        <w:fldChar w:fldCharType="end"/>
      </w:r>
      <w:r w:rsidRPr="00FC5E66">
        <w:rPr>
          <w:rFonts w:ascii="Times New Roman" w:hAnsi="Times New Roman" w:cs="Times New Roman"/>
          <w:sz w:val="21"/>
          <w:szCs w:val="21"/>
        </w:rPr>
        <w:t>].</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Отже, оптимальне функціонування і розвиток соціальних відносин, на які є спрямованою соціальна політика, означає насамперед пом’якшення різними способами та засобами нерівності між індивідами і соціальними групами, спричинене їх різним положенням у суспільстві та, як наслідок, надання кожному бажаючому можливості ефективної реалізації власного соціального потенціалу.</w:t>
      </w:r>
    </w:p>
    <w:p w:rsidR="00B233DE" w:rsidRPr="00FC5E66" w:rsidRDefault="00B233DE" w:rsidP="00B233DE">
      <w:pPr>
        <w:ind w:firstLine="709"/>
        <w:jc w:val="both"/>
        <w:rPr>
          <w:rFonts w:ascii="Times New Roman" w:hAnsi="Times New Roman" w:cs="Times New Roman"/>
          <w:sz w:val="21"/>
          <w:szCs w:val="21"/>
        </w:rPr>
      </w:pPr>
      <w:r w:rsidRPr="00B6463D">
        <w:rPr>
          <w:rFonts w:ascii="Times New Roman" w:hAnsi="Times New Roman" w:cs="Times New Roman"/>
          <w:sz w:val="21"/>
          <w:szCs w:val="21"/>
        </w:rPr>
        <w:t>Метою соціальної політики</w:t>
      </w:r>
      <w:r w:rsidRPr="00FC5E66">
        <w:rPr>
          <w:rFonts w:ascii="Times New Roman" w:hAnsi="Times New Roman" w:cs="Times New Roman"/>
          <w:sz w:val="21"/>
          <w:szCs w:val="21"/>
        </w:rPr>
        <w:t xml:space="preserve"> є створення умов для формування, розвитку та оптимального функціонування соціальних відносин, всебічного розкриття, самореалізації творчого соціального потенціалу людини, особистості, її сутнісних сил, а також для задоволення людиною соціальних потреб та інтересів, освоєння соціальних цінностей, підтримання у суспільстві соціальної злагоди, стабільності та соціальної цілісності, самовідтворюваного, самодостатнього рівня соціодинаміки, соціального прогресу [</w:t>
      </w:r>
      <w:r>
        <w:rPr>
          <w:rFonts w:ascii="Times New Roman" w:hAnsi="Times New Roman"/>
          <w:sz w:val="21"/>
          <w:szCs w:val="21"/>
          <w:highlight w:val="yellow"/>
          <w:shd w:val="clear" w:color="auto" w:fill="FFFFFF"/>
        </w:rPr>
        <w:fldChar w:fldCharType="begin"/>
      </w:r>
      <w:r>
        <w:rPr>
          <w:rFonts w:ascii="Times New Roman" w:hAnsi="Times New Roman" w:cs="Times New Roman"/>
          <w:sz w:val="21"/>
          <w:szCs w:val="21"/>
        </w:rPr>
        <w:instrText xml:space="preserve"> REF _Ref435618634 \r \h </w:instrText>
      </w:r>
      <w:r>
        <w:rPr>
          <w:rFonts w:ascii="Times New Roman" w:hAnsi="Times New Roman"/>
          <w:sz w:val="21"/>
          <w:szCs w:val="21"/>
          <w:highlight w:val="yellow"/>
          <w:shd w:val="clear" w:color="auto" w:fill="FFFFFF"/>
        </w:rPr>
      </w:r>
      <w:r>
        <w:rPr>
          <w:rFonts w:ascii="Times New Roman" w:hAnsi="Times New Roman"/>
          <w:sz w:val="21"/>
          <w:szCs w:val="21"/>
          <w:highlight w:val="yellow"/>
          <w:shd w:val="clear" w:color="auto" w:fill="FFFFFF"/>
        </w:rPr>
        <w:fldChar w:fldCharType="separate"/>
      </w:r>
      <w:r>
        <w:rPr>
          <w:rFonts w:ascii="Times New Roman" w:hAnsi="Times New Roman" w:cs="Times New Roman"/>
          <w:sz w:val="21"/>
          <w:szCs w:val="21"/>
        </w:rPr>
        <w:t>72</w:t>
      </w:r>
      <w:r>
        <w:rPr>
          <w:rFonts w:ascii="Times New Roman" w:hAnsi="Times New Roman"/>
          <w:sz w:val="21"/>
          <w:szCs w:val="21"/>
          <w:highlight w:val="yellow"/>
          <w:shd w:val="clear" w:color="auto" w:fill="FFFFFF"/>
        </w:rPr>
        <w:fldChar w:fldCharType="end"/>
      </w:r>
      <w:r>
        <w:rPr>
          <w:rFonts w:ascii="Times New Roman" w:hAnsi="Times New Roman" w:cs="Times New Roman"/>
          <w:sz w:val="21"/>
          <w:szCs w:val="21"/>
        </w:rPr>
        <w:t xml:space="preserve">, с. 9; </w:t>
      </w:r>
      <w:r>
        <w:rPr>
          <w:rFonts w:ascii="Times New Roman" w:hAnsi="Times New Roman"/>
          <w:sz w:val="21"/>
          <w:szCs w:val="21"/>
          <w:highlight w:val="yellow"/>
          <w:shd w:val="clear" w:color="auto" w:fill="FFFFFF"/>
        </w:rPr>
        <w:fldChar w:fldCharType="begin"/>
      </w:r>
      <w:r>
        <w:rPr>
          <w:rFonts w:ascii="Times New Roman" w:hAnsi="Times New Roman" w:cs="Times New Roman"/>
          <w:sz w:val="21"/>
          <w:szCs w:val="21"/>
        </w:rPr>
        <w:instrText xml:space="preserve"> REF _Ref435618649 \r \h </w:instrText>
      </w:r>
      <w:r>
        <w:rPr>
          <w:rFonts w:ascii="Times New Roman" w:hAnsi="Times New Roman"/>
          <w:sz w:val="21"/>
          <w:szCs w:val="21"/>
          <w:highlight w:val="yellow"/>
          <w:shd w:val="clear" w:color="auto" w:fill="FFFFFF"/>
        </w:rPr>
      </w:r>
      <w:r>
        <w:rPr>
          <w:rFonts w:ascii="Times New Roman" w:hAnsi="Times New Roman"/>
          <w:sz w:val="21"/>
          <w:szCs w:val="21"/>
          <w:highlight w:val="yellow"/>
          <w:shd w:val="clear" w:color="auto" w:fill="FFFFFF"/>
        </w:rPr>
        <w:fldChar w:fldCharType="separate"/>
      </w:r>
      <w:r>
        <w:rPr>
          <w:rFonts w:ascii="Times New Roman" w:hAnsi="Times New Roman" w:cs="Times New Roman"/>
          <w:sz w:val="21"/>
          <w:szCs w:val="21"/>
        </w:rPr>
        <w:t>141</w:t>
      </w:r>
      <w:r>
        <w:rPr>
          <w:rFonts w:ascii="Times New Roman" w:hAnsi="Times New Roman"/>
          <w:sz w:val="21"/>
          <w:szCs w:val="21"/>
          <w:highlight w:val="yellow"/>
          <w:shd w:val="clear" w:color="auto" w:fill="FFFFFF"/>
        </w:rPr>
        <w:fldChar w:fldCharType="end"/>
      </w:r>
      <w:r>
        <w:rPr>
          <w:rFonts w:ascii="Times New Roman" w:hAnsi="Times New Roman" w:cs="Times New Roman"/>
          <w:sz w:val="21"/>
          <w:szCs w:val="21"/>
        </w:rPr>
        <w:t xml:space="preserve">, с. </w:t>
      </w:r>
      <w:r w:rsidRPr="00FC5E66">
        <w:rPr>
          <w:rFonts w:ascii="Times New Roman" w:hAnsi="Times New Roman" w:cs="Times New Roman"/>
          <w:sz w:val="21"/>
          <w:szCs w:val="21"/>
        </w:rPr>
        <w:t>15].</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 xml:space="preserve">Соціальна політика як складне і багатопланове явище регулює, насамперед, відносини, які виникають між членами суспільства і процесі задоволення ними найрізноманітніших потреб. Вона охоплює усі сфери життєдіяльності людини – працю, побут, культуру, відпочинок. Важливим принципом соціальної політики було й залишається управління інтересами і через інтереси людей. Тому часто як своєрідні, самостійні вживаються робочі поняття «соціальна політика стосовно молоді», «соціальна </w:t>
      </w:r>
      <w:r w:rsidRPr="00FC5E66">
        <w:rPr>
          <w:rFonts w:ascii="Times New Roman" w:hAnsi="Times New Roman" w:cs="Times New Roman"/>
          <w:sz w:val="21"/>
          <w:szCs w:val="21"/>
        </w:rPr>
        <w:lastRenderedPageBreak/>
        <w:t>політика щодо дітей, жіноцтва, сім’ї» та ін.</w:t>
      </w:r>
      <w:r>
        <w:rPr>
          <w:rFonts w:ascii="Times New Roman" w:hAnsi="Times New Roman" w:cs="Times New Roman"/>
          <w:sz w:val="21"/>
          <w:szCs w:val="21"/>
        </w:rPr>
        <w:t xml:space="preserve"> </w:t>
      </w:r>
      <w:r w:rsidRPr="00FC5E66">
        <w:rPr>
          <w:rFonts w:ascii="Times New Roman" w:hAnsi="Times New Roman" w:cs="Times New Roman"/>
          <w:sz w:val="21"/>
          <w:szCs w:val="21"/>
        </w:rPr>
        <w:t>[</w:t>
      </w:r>
      <w:r>
        <w:rPr>
          <w:rFonts w:ascii="Times New Roman" w:eastAsia="Times-Roman" w:hAnsi="Times New Roman" w:cs="Times New Roman"/>
          <w:sz w:val="21"/>
          <w:szCs w:val="21"/>
          <w:highlight w:val="yellow"/>
        </w:rPr>
        <w:fldChar w:fldCharType="begin"/>
      </w:r>
      <w:r>
        <w:rPr>
          <w:rFonts w:ascii="Times New Roman" w:hAnsi="Times New Roman" w:cs="Times New Roman"/>
          <w:sz w:val="21"/>
          <w:szCs w:val="21"/>
        </w:rPr>
        <w:instrText xml:space="preserve"> REF _Ref435618775 \r \h </w:instrText>
      </w:r>
      <w:r>
        <w:rPr>
          <w:rFonts w:ascii="Times New Roman" w:eastAsia="Times-Roman" w:hAnsi="Times New Roman" w:cs="Times New Roman"/>
          <w:sz w:val="21"/>
          <w:szCs w:val="21"/>
          <w:highlight w:val="yellow"/>
        </w:rPr>
      </w:r>
      <w:r>
        <w:rPr>
          <w:rFonts w:ascii="Times New Roman" w:eastAsia="Times-Roman" w:hAnsi="Times New Roman" w:cs="Times New Roman"/>
          <w:sz w:val="21"/>
          <w:szCs w:val="21"/>
          <w:highlight w:val="yellow"/>
        </w:rPr>
        <w:fldChar w:fldCharType="separate"/>
      </w:r>
      <w:r>
        <w:rPr>
          <w:rFonts w:ascii="Times New Roman" w:hAnsi="Times New Roman" w:cs="Times New Roman"/>
          <w:sz w:val="21"/>
          <w:szCs w:val="21"/>
        </w:rPr>
        <w:t>131</w:t>
      </w:r>
      <w:r>
        <w:rPr>
          <w:rFonts w:ascii="Times New Roman" w:eastAsia="Times-Roman" w:hAnsi="Times New Roman" w:cs="Times New Roman"/>
          <w:sz w:val="21"/>
          <w:szCs w:val="21"/>
          <w:highlight w:val="yellow"/>
        </w:rPr>
        <w:fldChar w:fldCharType="end"/>
      </w:r>
      <w:r>
        <w:rPr>
          <w:rFonts w:ascii="Times New Roman" w:hAnsi="Times New Roman" w:cs="Times New Roman"/>
          <w:sz w:val="21"/>
          <w:szCs w:val="21"/>
        </w:rPr>
        <w:t xml:space="preserve">, с. </w:t>
      </w:r>
      <w:r w:rsidRPr="00FC5E66">
        <w:rPr>
          <w:rFonts w:ascii="Times New Roman" w:hAnsi="Times New Roman" w:cs="Times New Roman"/>
          <w:sz w:val="21"/>
          <w:szCs w:val="21"/>
        </w:rPr>
        <w:t>5</w:t>
      </w:r>
      <w:r>
        <w:rPr>
          <w:rFonts w:ascii="Times New Roman" w:hAnsi="Times New Roman" w:cs="Times New Roman"/>
          <w:sz w:val="21"/>
          <w:szCs w:val="21"/>
        </w:rPr>
        <w:t>–</w:t>
      </w:r>
      <w:r w:rsidRPr="00FC5E66">
        <w:rPr>
          <w:rFonts w:ascii="Times New Roman" w:hAnsi="Times New Roman" w:cs="Times New Roman"/>
          <w:sz w:val="21"/>
          <w:szCs w:val="21"/>
        </w:rPr>
        <w:t xml:space="preserve">6]. Керуючись такою логікою можна виокремити інтереси населення певного регіону і відповідну їм категорію «соціальної регіональної політики». </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Відносини між суспільством і особою соціальна політика регулює головним чином через упорядкування відносин між суспільство</w:t>
      </w:r>
      <w:r>
        <w:rPr>
          <w:rFonts w:ascii="Times New Roman" w:hAnsi="Times New Roman" w:cs="Times New Roman"/>
          <w:sz w:val="21"/>
          <w:szCs w:val="21"/>
        </w:rPr>
        <w:t>м і соціальними групами [</w:t>
      </w:r>
      <w:r>
        <w:rPr>
          <w:rFonts w:ascii="Times New Roman" w:eastAsia="Times-Roman" w:hAnsi="Times New Roman" w:cs="Times New Roman"/>
          <w:sz w:val="21"/>
          <w:szCs w:val="21"/>
          <w:highlight w:val="yellow"/>
        </w:rPr>
        <w:fldChar w:fldCharType="begin"/>
      </w:r>
      <w:r>
        <w:rPr>
          <w:rFonts w:ascii="Times New Roman" w:hAnsi="Times New Roman" w:cs="Times New Roman"/>
          <w:sz w:val="21"/>
          <w:szCs w:val="21"/>
        </w:rPr>
        <w:instrText xml:space="preserve"> REF _Ref435618775 \r \h </w:instrText>
      </w:r>
      <w:r>
        <w:rPr>
          <w:rFonts w:ascii="Times New Roman" w:eastAsia="Times-Roman" w:hAnsi="Times New Roman" w:cs="Times New Roman"/>
          <w:sz w:val="21"/>
          <w:szCs w:val="21"/>
          <w:highlight w:val="yellow"/>
        </w:rPr>
      </w:r>
      <w:r>
        <w:rPr>
          <w:rFonts w:ascii="Times New Roman" w:eastAsia="Times-Roman" w:hAnsi="Times New Roman" w:cs="Times New Roman"/>
          <w:sz w:val="21"/>
          <w:szCs w:val="21"/>
          <w:highlight w:val="yellow"/>
        </w:rPr>
        <w:fldChar w:fldCharType="separate"/>
      </w:r>
      <w:r>
        <w:rPr>
          <w:rFonts w:ascii="Times New Roman" w:hAnsi="Times New Roman" w:cs="Times New Roman"/>
          <w:sz w:val="21"/>
          <w:szCs w:val="21"/>
        </w:rPr>
        <w:t>131</w:t>
      </w:r>
      <w:r>
        <w:rPr>
          <w:rFonts w:ascii="Times New Roman" w:eastAsia="Times-Roman" w:hAnsi="Times New Roman" w:cs="Times New Roman"/>
          <w:sz w:val="21"/>
          <w:szCs w:val="21"/>
          <w:highlight w:val="yellow"/>
        </w:rPr>
        <w:fldChar w:fldCharType="end"/>
      </w:r>
      <w:r>
        <w:rPr>
          <w:rFonts w:ascii="Times New Roman" w:hAnsi="Times New Roman" w:cs="Times New Roman"/>
          <w:sz w:val="21"/>
          <w:szCs w:val="21"/>
        </w:rPr>
        <w:t xml:space="preserve">, с. </w:t>
      </w:r>
      <w:r w:rsidRPr="00FC5E66">
        <w:rPr>
          <w:rFonts w:ascii="Times New Roman" w:hAnsi="Times New Roman" w:cs="Times New Roman"/>
          <w:sz w:val="21"/>
          <w:szCs w:val="21"/>
        </w:rPr>
        <w:t>6]. Отже, інструментом реалізації соціальної політики є соціальне управління та регулювання з боку її суб’єктів, спрямоване на оптимальне функціонування і розвиток соціальних відносин. Простором, у якому відбувається реалізація соціальної політики є певна сфера, яка носить назву соціальної.</w:t>
      </w:r>
    </w:p>
    <w:p w:rsidR="00B233DE" w:rsidRPr="00FC5E66" w:rsidRDefault="00B233DE" w:rsidP="00B233DE">
      <w:pPr>
        <w:autoSpaceDE w:val="0"/>
        <w:autoSpaceDN w:val="0"/>
        <w:adjustRightInd w:val="0"/>
        <w:ind w:firstLine="709"/>
        <w:jc w:val="both"/>
        <w:rPr>
          <w:rFonts w:ascii="Times New Roman" w:hAnsi="Times New Roman" w:cs="Times New Roman"/>
          <w:sz w:val="21"/>
          <w:szCs w:val="21"/>
        </w:rPr>
      </w:pPr>
      <w:r w:rsidRPr="00FC5E66">
        <w:rPr>
          <w:rStyle w:val="hps"/>
          <w:rFonts w:ascii="Times New Roman" w:hAnsi="Times New Roman"/>
          <w:sz w:val="21"/>
          <w:szCs w:val="21"/>
        </w:rPr>
        <w:t>Поняття «</w:t>
      </w:r>
      <w:r w:rsidRPr="00FC5E66">
        <w:rPr>
          <w:rFonts w:ascii="Times New Roman" w:hAnsi="Times New Roman" w:cs="Times New Roman"/>
          <w:sz w:val="21"/>
          <w:szCs w:val="21"/>
        </w:rPr>
        <w:t xml:space="preserve">соціальна </w:t>
      </w:r>
      <w:r w:rsidRPr="00FC5E66">
        <w:rPr>
          <w:rStyle w:val="hps"/>
          <w:rFonts w:ascii="Times New Roman" w:hAnsi="Times New Roman"/>
          <w:sz w:val="21"/>
          <w:szCs w:val="21"/>
        </w:rPr>
        <w:t>сфера»</w:t>
      </w:r>
      <w:r w:rsidRPr="00FC5E66">
        <w:rPr>
          <w:rFonts w:ascii="Times New Roman" w:hAnsi="Times New Roman" w:cs="Times New Roman"/>
          <w:sz w:val="21"/>
          <w:szCs w:val="21"/>
        </w:rPr>
        <w:t xml:space="preserve">, хоч </w:t>
      </w:r>
      <w:r w:rsidRPr="00FC5E66">
        <w:rPr>
          <w:rStyle w:val="hps"/>
          <w:rFonts w:ascii="Times New Roman" w:hAnsi="Times New Roman"/>
          <w:sz w:val="21"/>
          <w:szCs w:val="21"/>
        </w:rPr>
        <w:t>і</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широко вживається</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у сучасній економічній літературі</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та господарсько-</w:t>
      </w:r>
      <w:r w:rsidRPr="00FC5E66">
        <w:rPr>
          <w:rFonts w:ascii="Times New Roman" w:hAnsi="Times New Roman" w:cs="Times New Roman"/>
          <w:sz w:val="21"/>
          <w:szCs w:val="21"/>
        </w:rPr>
        <w:t xml:space="preserve">управлінській практиці, але </w:t>
      </w:r>
      <w:r w:rsidRPr="00FC5E66">
        <w:rPr>
          <w:rStyle w:val="hps"/>
          <w:rFonts w:ascii="Times New Roman" w:hAnsi="Times New Roman"/>
          <w:sz w:val="21"/>
          <w:szCs w:val="21"/>
        </w:rPr>
        <w:t>при цьому не має</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єдиного трактування</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і суворого</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теоретичного обґрунтування [</w:t>
      </w:r>
      <w:r>
        <w:rPr>
          <w:rFonts w:ascii="Times New Roman" w:hAnsi="Times New Roman" w:cs="Times New Roman"/>
          <w:sz w:val="21"/>
          <w:szCs w:val="21"/>
          <w:highlight w:val="yellow"/>
        </w:rPr>
        <w:fldChar w:fldCharType="begin"/>
      </w:r>
      <w:r>
        <w:rPr>
          <w:rStyle w:val="hps"/>
          <w:rFonts w:ascii="Times New Roman" w:hAnsi="Times New Roman"/>
          <w:sz w:val="21"/>
          <w:szCs w:val="21"/>
        </w:rPr>
        <w:instrText xml:space="preserve"> REF _Ref435618792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Style w:val="hps"/>
          <w:rFonts w:ascii="Times New Roman" w:hAnsi="Times New Roman"/>
          <w:sz w:val="21"/>
          <w:szCs w:val="21"/>
        </w:rPr>
        <w:t>145</w:t>
      </w:r>
      <w:r>
        <w:rPr>
          <w:rFonts w:ascii="Times New Roman" w:hAnsi="Times New Roman" w:cs="Times New Roman"/>
          <w:sz w:val="21"/>
          <w:szCs w:val="21"/>
          <w:highlight w:val="yellow"/>
        </w:rPr>
        <w:fldChar w:fldCharType="end"/>
      </w:r>
      <w:r w:rsidRPr="00FC5E66">
        <w:rPr>
          <w:rStyle w:val="hps"/>
          <w:rFonts w:ascii="Times New Roman" w:hAnsi="Times New Roman"/>
          <w:sz w:val="21"/>
          <w:szCs w:val="21"/>
        </w:rPr>
        <w:t>]. Основні</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існуючі</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у вітчизняній літературі</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уявлення</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про економічний зміст</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соціальної сфери</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зводяться до наступного.</w:t>
      </w:r>
    </w:p>
    <w:p w:rsidR="00B233DE" w:rsidRPr="00FC5E66" w:rsidRDefault="00B233DE" w:rsidP="00B233DE">
      <w:pPr>
        <w:autoSpaceDE w:val="0"/>
        <w:autoSpaceDN w:val="0"/>
        <w:adjustRightInd w:val="0"/>
        <w:ind w:firstLine="709"/>
        <w:jc w:val="both"/>
        <w:rPr>
          <w:rFonts w:ascii="Times New Roman" w:hAnsi="Times New Roman" w:cs="Times New Roman"/>
          <w:sz w:val="21"/>
          <w:szCs w:val="21"/>
        </w:rPr>
      </w:pPr>
      <w:r w:rsidRPr="00FC5E66">
        <w:rPr>
          <w:rFonts w:ascii="Times New Roman" w:hAnsi="Times New Roman" w:cs="Times New Roman"/>
          <w:sz w:val="21"/>
          <w:szCs w:val="21"/>
        </w:rPr>
        <w:t>Перший підхід, «традиційний», припускає, що соціальна сфера (система) «це система галузей, що являє собою у сукупності одну з основних сфер виробництва – «невиробничу сферу»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_Ref435618804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144</w:t>
      </w:r>
      <w:r>
        <w:rPr>
          <w:rFonts w:ascii="Times New Roman" w:hAnsi="Times New Roman" w:cs="Times New Roman"/>
          <w:sz w:val="21"/>
          <w:szCs w:val="21"/>
        </w:rPr>
        <w:fldChar w:fldCharType="end"/>
      </w:r>
      <w:r>
        <w:rPr>
          <w:rFonts w:ascii="Times New Roman" w:hAnsi="Times New Roman" w:cs="Times New Roman"/>
          <w:sz w:val="21"/>
          <w:szCs w:val="21"/>
        </w:rPr>
        <w:t xml:space="preserve">, с. </w:t>
      </w:r>
      <w:r w:rsidRPr="00FC5E66">
        <w:rPr>
          <w:rFonts w:ascii="Times New Roman" w:hAnsi="Times New Roman" w:cs="Times New Roman"/>
          <w:sz w:val="21"/>
          <w:szCs w:val="21"/>
        </w:rPr>
        <w:t>747]. При цьому невиробнича сфера визначається як «комплекс галузей, які, як правило, не виробляють безпосередньо відчутних матеріальних цінностей. У більшості випадків це сфери, пов’язані із задоволенням немате</w:t>
      </w:r>
      <w:r>
        <w:rPr>
          <w:rFonts w:ascii="Times New Roman" w:hAnsi="Times New Roman" w:cs="Times New Roman"/>
          <w:sz w:val="21"/>
          <w:szCs w:val="21"/>
        </w:rPr>
        <w:t>ріальних потреб людини»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_Ref435618804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144</w:t>
      </w:r>
      <w:r>
        <w:rPr>
          <w:rFonts w:ascii="Times New Roman" w:hAnsi="Times New Roman" w:cs="Times New Roman"/>
          <w:sz w:val="21"/>
          <w:szCs w:val="21"/>
        </w:rPr>
        <w:fldChar w:fldCharType="end"/>
      </w:r>
      <w:r>
        <w:rPr>
          <w:rFonts w:ascii="Times New Roman" w:hAnsi="Times New Roman" w:cs="Times New Roman"/>
          <w:sz w:val="21"/>
          <w:szCs w:val="21"/>
        </w:rPr>
        <w:t xml:space="preserve">, с. </w:t>
      </w:r>
      <w:r w:rsidRPr="00FC5E66">
        <w:rPr>
          <w:rFonts w:ascii="Times New Roman" w:hAnsi="Times New Roman" w:cs="Times New Roman"/>
          <w:sz w:val="21"/>
          <w:szCs w:val="21"/>
        </w:rPr>
        <w:t>801]. Як бачимо, у якості критерію виділення соціальної сфери тут береться нематеріальний характер результатів її діяльності. Даний підхід зводиться до одного з критеріїв розмежування продуктивної і непродуктивної праці, запропонованих ще А. Смітом.</w:t>
      </w:r>
    </w:p>
    <w:p w:rsidR="00B233DE" w:rsidRPr="00FC5E66" w:rsidRDefault="00B233DE" w:rsidP="00B233DE">
      <w:pPr>
        <w:autoSpaceDE w:val="0"/>
        <w:autoSpaceDN w:val="0"/>
        <w:adjustRightInd w:val="0"/>
        <w:ind w:firstLine="709"/>
        <w:jc w:val="both"/>
        <w:rPr>
          <w:rFonts w:ascii="Times New Roman" w:hAnsi="Times New Roman" w:cs="Times New Roman"/>
          <w:sz w:val="21"/>
          <w:szCs w:val="21"/>
        </w:rPr>
      </w:pPr>
      <w:r w:rsidRPr="00FC5E66">
        <w:rPr>
          <w:rFonts w:ascii="Times New Roman" w:hAnsi="Times New Roman" w:cs="Times New Roman"/>
          <w:sz w:val="21"/>
          <w:szCs w:val="21"/>
        </w:rPr>
        <w:t>Інший підхід до визначення економічного змісту соціальної сфери робить акцент на соціальній значущості її галузей, а також їх ролі у формуванні способу і рівня життя людей, їх добробуту та споживання [</w:t>
      </w:r>
      <w:r>
        <w:rPr>
          <w:rFonts w:ascii="Times New Roman" w:hAnsi="Times New Roman" w:cs="Times New Roman"/>
          <w:iCs/>
          <w:sz w:val="21"/>
          <w:szCs w:val="21"/>
        </w:rPr>
        <w:fldChar w:fldCharType="begin"/>
      </w:r>
      <w:r>
        <w:rPr>
          <w:rFonts w:ascii="Times New Roman" w:hAnsi="Times New Roman" w:cs="Times New Roman"/>
          <w:sz w:val="21"/>
          <w:szCs w:val="21"/>
        </w:rPr>
        <w:instrText xml:space="preserve"> REF _Ref435618823 \r \h </w:instrText>
      </w:r>
      <w:r>
        <w:rPr>
          <w:rFonts w:ascii="Times New Roman" w:hAnsi="Times New Roman" w:cs="Times New Roman"/>
          <w:iCs/>
          <w:sz w:val="21"/>
          <w:szCs w:val="21"/>
        </w:rPr>
      </w:r>
      <w:r>
        <w:rPr>
          <w:rFonts w:ascii="Times New Roman" w:hAnsi="Times New Roman" w:cs="Times New Roman"/>
          <w:iCs/>
          <w:sz w:val="21"/>
          <w:szCs w:val="21"/>
        </w:rPr>
        <w:fldChar w:fldCharType="separate"/>
      </w:r>
      <w:r>
        <w:rPr>
          <w:rFonts w:ascii="Times New Roman" w:hAnsi="Times New Roman" w:cs="Times New Roman"/>
          <w:sz w:val="21"/>
          <w:szCs w:val="21"/>
        </w:rPr>
        <w:t>40</w:t>
      </w:r>
      <w:r>
        <w:rPr>
          <w:rFonts w:ascii="Times New Roman" w:hAnsi="Times New Roman" w:cs="Times New Roman"/>
          <w:iCs/>
          <w:sz w:val="21"/>
          <w:szCs w:val="21"/>
        </w:rPr>
        <w:fldChar w:fldCharType="end"/>
      </w:r>
      <w:r>
        <w:rPr>
          <w:rFonts w:ascii="Times New Roman" w:hAnsi="Times New Roman" w:cs="Times New Roman"/>
          <w:sz w:val="21"/>
          <w:szCs w:val="21"/>
        </w:rPr>
        <w:t xml:space="preserve">, с. </w:t>
      </w:r>
      <w:r w:rsidRPr="00FC5E66">
        <w:rPr>
          <w:rFonts w:ascii="Times New Roman" w:hAnsi="Times New Roman" w:cs="Times New Roman"/>
          <w:sz w:val="21"/>
          <w:szCs w:val="21"/>
        </w:rPr>
        <w:t>160</w:t>
      </w:r>
      <w:r>
        <w:rPr>
          <w:rFonts w:ascii="Times New Roman" w:hAnsi="Times New Roman" w:cs="Times New Roman"/>
          <w:sz w:val="21"/>
          <w:szCs w:val="21"/>
        </w:rPr>
        <w:t>–</w:t>
      </w:r>
      <w:r w:rsidRPr="00FC5E66">
        <w:rPr>
          <w:rFonts w:ascii="Times New Roman" w:hAnsi="Times New Roman" w:cs="Times New Roman"/>
          <w:sz w:val="21"/>
          <w:szCs w:val="21"/>
        </w:rPr>
        <w:t xml:space="preserve">163; </w:t>
      </w:r>
      <w:r>
        <w:rPr>
          <w:rFonts w:ascii="Times New Roman" w:hAnsi="Times New Roman" w:cs="Times New Roman"/>
          <w:iCs/>
          <w:sz w:val="21"/>
          <w:szCs w:val="21"/>
        </w:rPr>
        <w:fldChar w:fldCharType="begin"/>
      </w:r>
      <w:r>
        <w:rPr>
          <w:rFonts w:ascii="Times New Roman" w:hAnsi="Times New Roman" w:cs="Times New Roman"/>
          <w:sz w:val="21"/>
          <w:szCs w:val="21"/>
        </w:rPr>
        <w:instrText xml:space="preserve"> REF _Ref435618834 \r \h </w:instrText>
      </w:r>
      <w:r>
        <w:rPr>
          <w:rFonts w:ascii="Times New Roman" w:hAnsi="Times New Roman" w:cs="Times New Roman"/>
          <w:iCs/>
          <w:sz w:val="21"/>
          <w:szCs w:val="21"/>
        </w:rPr>
      </w:r>
      <w:r>
        <w:rPr>
          <w:rFonts w:ascii="Times New Roman" w:hAnsi="Times New Roman" w:cs="Times New Roman"/>
          <w:iCs/>
          <w:sz w:val="21"/>
          <w:szCs w:val="21"/>
        </w:rPr>
        <w:fldChar w:fldCharType="separate"/>
      </w:r>
      <w:r>
        <w:rPr>
          <w:rFonts w:ascii="Times New Roman" w:hAnsi="Times New Roman" w:cs="Times New Roman"/>
          <w:sz w:val="21"/>
          <w:szCs w:val="21"/>
        </w:rPr>
        <w:t>85</w:t>
      </w:r>
      <w:r>
        <w:rPr>
          <w:rFonts w:ascii="Times New Roman" w:hAnsi="Times New Roman" w:cs="Times New Roman"/>
          <w:iCs/>
          <w:sz w:val="21"/>
          <w:szCs w:val="21"/>
        </w:rPr>
        <w:fldChar w:fldCharType="end"/>
      </w:r>
      <w:r>
        <w:rPr>
          <w:rFonts w:ascii="Times New Roman" w:hAnsi="Times New Roman" w:cs="Times New Roman"/>
          <w:sz w:val="21"/>
          <w:szCs w:val="21"/>
        </w:rPr>
        <w:t xml:space="preserve">, с. </w:t>
      </w:r>
      <w:r w:rsidRPr="00FC5E66">
        <w:rPr>
          <w:rFonts w:ascii="Times New Roman" w:hAnsi="Times New Roman" w:cs="Times New Roman"/>
          <w:sz w:val="21"/>
          <w:szCs w:val="21"/>
        </w:rPr>
        <w:t>371]. Соціальна сфера – сукупність галузей, підприємств, організацій, які безпосередньо пов’язані між собою та визначають спосіб і рівень життя людей, їх добробут та споживання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_Ref435618846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17</w:t>
      </w:r>
      <w:r>
        <w:rPr>
          <w:rFonts w:ascii="Times New Roman" w:hAnsi="Times New Roman" w:cs="Times New Roman"/>
          <w:sz w:val="21"/>
          <w:szCs w:val="21"/>
          <w:highlight w:val="yellow"/>
        </w:rPr>
        <w:fldChar w:fldCharType="end"/>
      </w:r>
      <w:r w:rsidRPr="00FC5E66">
        <w:rPr>
          <w:rFonts w:ascii="Times New Roman" w:hAnsi="Times New Roman" w:cs="Times New Roman"/>
          <w:sz w:val="21"/>
          <w:szCs w:val="21"/>
        </w:rPr>
        <w:t xml:space="preserve">]. До неї відносять, насамперед, сферу послуг (освіту, культуру, охорону здоров’я, соціальне забезпечення, фізичну культуру, громадське харчування, комунальне обслуговування, пасажирський транспорт, зв’язок). </w:t>
      </w:r>
      <w:r w:rsidRPr="00FC5E66">
        <w:rPr>
          <w:rFonts w:ascii="Times New Roman" w:hAnsi="Times New Roman" w:cs="Times New Roman"/>
          <w:sz w:val="21"/>
          <w:szCs w:val="21"/>
        </w:rPr>
        <w:lastRenderedPageBreak/>
        <w:t xml:space="preserve">Соціальна сфера охоплює весь простір життя людини – від умов його праці та побуту, здоров’я і дозвілля до соціально-класових та національних відносин. </w:t>
      </w:r>
    </w:p>
    <w:p w:rsidR="00B233DE" w:rsidRPr="00FC5E66" w:rsidRDefault="00B233DE" w:rsidP="00B233DE">
      <w:pPr>
        <w:autoSpaceDE w:val="0"/>
        <w:autoSpaceDN w:val="0"/>
        <w:adjustRightInd w:val="0"/>
        <w:ind w:firstLine="709"/>
        <w:jc w:val="both"/>
        <w:rPr>
          <w:rFonts w:ascii="Times New Roman" w:hAnsi="Times New Roman" w:cs="Times New Roman"/>
          <w:sz w:val="21"/>
          <w:szCs w:val="21"/>
        </w:rPr>
      </w:pPr>
      <w:r w:rsidRPr="00FC5E66">
        <w:rPr>
          <w:rStyle w:val="hps"/>
          <w:rFonts w:ascii="Times New Roman" w:hAnsi="Times New Roman"/>
          <w:sz w:val="21"/>
          <w:szCs w:val="21"/>
        </w:rPr>
        <w:t>Однак, дана</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точка зору</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призводить</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до розширеного тлумачення</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змісту соціальної</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сфери і</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характеризується</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невизначеністю, оскільки,</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соціальна значимість</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тієї чи іншої галузі</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економіки,</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як і її</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вплив</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на добробут</w:t>
      </w:r>
      <w:r w:rsidRPr="00FC5E66">
        <w:rPr>
          <w:rFonts w:ascii="Times New Roman" w:hAnsi="Times New Roman" w:cs="Times New Roman"/>
          <w:sz w:val="21"/>
          <w:szCs w:val="21"/>
        </w:rPr>
        <w:t xml:space="preserve">, споживання </w:t>
      </w:r>
      <w:r w:rsidRPr="00FC5E66">
        <w:rPr>
          <w:rStyle w:val="hps"/>
          <w:rFonts w:ascii="Times New Roman" w:hAnsi="Times New Roman"/>
          <w:sz w:val="21"/>
          <w:szCs w:val="21"/>
        </w:rPr>
        <w:t>і т.д.,</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самі по собі</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не можуть</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бути достатньою підставою</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для віднесення</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її</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до соціальної сфери</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Усвідомлюючи</w:t>
      </w:r>
      <w:r w:rsidRPr="00FC5E66">
        <w:rPr>
          <w:rFonts w:ascii="Times New Roman" w:hAnsi="Times New Roman" w:cs="Times New Roman"/>
          <w:sz w:val="21"/>
          <w:szCs w:val="21"/>
        </w:rPr>
        <w:t xml:space="preserve"> невизначеність </w:t>
      </w:r>
      <w:r w:rsidRPr="00FC5E66">
        <w:rPr>
          <w:rStyle w:val="hps"/>
          <w:rFonts w:ascii="Times New Roman" w:hAnsi="Times New Roman"/>
          <w:sz w:val="21"/>
          <w:szCs w:val="21"/>
        </w:rPr>
        <w:t>критерію</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соціальної значущості,</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деякі автори</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підміняють</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його</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суб’єктивним підходом</w:t>
      </w:r>
      <w:r w:rsidRPr="00FC5E66">
        <w:rPr>
          <w:rFonts w:ascii="Times New Roman" w:hAnsi="Times New Roman" w:cs="Times New Roman"/>
          <w:sz w:val="21"/>
          <w:szCs w:val="21"/>
        </w:rPr>
        <w:t xml:space="preserve">, включаючи у </w:t>
      </w:r>
      <w:r w:rsidRPr="00FC5E66">
        <w:rPr>
          <w:rStyle w:val="hps"/>
          <w:rFonts w:ascii="Times New Roman" w:hAnsi="Times New Roman"/>
          <w:sz w:val="21"/>
          <w:szCs w:val="21"/>
        </w:rPr>
        <w:t>соціальну сферу</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найбільш важливі</w:t>
      </w:r>
      <w:r w:rsidRPr="00FC5E66">
        <w:rPr>
          <w:rFonts w:ascii="Times New Roman" w:hAnsi="Times New Roman" w:cs="Times New Roman"/>
          <w:sz w:val="21"/>
          <w:szCs w:val="21"/>
        </w:rPr>
        <w:t xml:space="preserve">, з їх </w:t>
      </w:r>
      <w:r w:rsidRPr="00FC5E66">
        <w:rPr>
          <w:rStyle w:val="hps"/>
          <w:rFonts w:ascii="Times New Roman" w:hAnsi="Times New Roman"/>
          <w:sz w:val="21"/>
          <w:szCs w:val="21"/>
        </w:rPr>
        <w:t>точки</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зору</w:t>
      </w:r>
      <w:r w:rsidRPr="00FC5E66">
        <w:rPr>
          <w:rFonts w:ascii="Times New Roman" w:hAnsi="Times New Roman" w:cs="Times New Roman"/>
          <w:sz w:val="21"/>
          <w:szCs w:val="21"/>
        </w:rPr>
        <w:t>, галузі [</w:t>
      </w:r>
      <w:r>
        <w:rPr>
          <w:rFonts w:ascii="Times New Roman" w:hAnsi="Times New Roman" w:cs="Times New Roman"/>
          <w:iCs/>
          <w:sz w:val="21"/>
          <w:szCs w:val="21"/>
        </w:rPr>
        <w:fldChar w:fldCharType="begin"/>
      </w:r>
      <w:r>
        <w:rPr>
          <w:rFonts w:ascii="Times New Roman" w:hAnsi="Times New Roman" w:cs="Times New Roman"/>
          <w:sz w:val="21"/>
          <w:szCs w:val="21"/>
        </w:rPr>
        <w:instrText xml:space="preserve"> REF _Ref435618823 \r \h </w:instrText>
      </w:r>
      <w:r>
        <w:rPr>
          <w:rFonts w:ascii="Times New Roman" w:hAnsi="Times New Roman" w:cs="Times New Roman"/>
          <w:iCs/>
          <w:sz w:val="21"/>
          <w:szCs w:val="21"/>
        </w:rPr>
      </w:r>
      <w:r>
        <w:rPr>
          <w:rFonts w:ascii="Times New Roman" w:hAnsi="Times New Roman" w:cs="Times New Roman"/>
          <w:iCs/>
          <w:sz w:val="21"/>
          <w:szCs w:val="21"/>
        </w:rPr>
        <w:fldChar w:fldCharType="separate"/>
      </w:r>
      <w:r>
        <w:rPr>
          <w:rFonts w:ascii="Times New Roman" w:hAnsi="Times New Roman" w:cs="Times New Roman"/>
          <w:sz w:val="21"/>
          <w:szCs w:val="21"/>
        </w:rPr>
        <w:t>40</w:t>
      </w:r>
      <w:r>
        <w:rPr>
          <w:rFonts w:ascii="Times New Roman" w:hAnsi="Times New Roman" w:cs="Times New Roman"/>
          <w:iCs/>
          <w:sz w:val="21"/>
          <w:szCs w:val="21"/>
        </w:rPr>
        <w:fldChar w:fldCharType="end"/>
      </w:r>
      <w:r>
        <w:rPr>
          <w:rFonts w:ascii="Times New Roman" w:hAnsi="Times New Roman" w:cs="Times New Roman"/>
          <w:sz w:val="21"/>
          <w:szCs w:val="21"/>
        </w:rPr>
        <w:t xml:space="preserve">, с. </w:t>
      </w:r>
      <w:r w:rsidRPr="00FC5E66">
        <w:rPr>
          <w:rFonts w:ascii="Times New Roman" w:hAnsi="Times New Roman" w:cs="Times New Roman"/>
          <w:sz w:val="21"/>
          <w:szCs w:val="21"/>
        </w:rPr>
        <w:t>162</w:t>
      </w:r>
      <w:r>
        <w:rPr>
          <w:rFonts w:ascii="Times New Roman" w:hAnsi="Times New Roman" w:cs="Times New Roman"/>
          <w:sz w:val="21"/>
          <w:szCs w:val="21"/>
        </w:rPr>
        <w:t>–</w:t>
      </w:r>
      <w:r w:rsidRPr="00FC5E66">
        <w:rPr>
          <w:rFonts w:ascii="Times New Roman" w:hAnsi="Times New Roman" w:cs="Times New Roman"/>
          <w:sz w:val="21"/>
          <w:szCs w:val="21"/>
        </w:rPr>
        <w:t>163].</w:t>
      </w:r>
    </w:p>
    <w:p w:rsidR="00B233DE" w:rsidRPr="00FC5E66" w:rsidRDefault="00B233DE" w:rsidP="00B233DE">
      <w:pPr>
        <w:autoSpaceDE w:val="0"/>
        <w:autoSpaceDN w:val="0"/>
        <w:adjustRightInd w:val="0"/>
        <w:ind w:firstLine="709"/>
        <w:jc w:val="both"/>
        <w:rPr>
          <w:rFonts w:ascii="Times New Roman" w:hAnsi="Times New Roman" w:cs="Times New Roman"/>
          <w:sz w:val="21"/>
          <w:szCs w:val="21"/>
        </w:rPr>
      </w:pPr>
      <w:r w:rsidRPr="00FC5E66">
        <w:rPr>
          <w:rFonts w:ascii="Times New Roman" w:hAnsi="Times New Roman" w:cs="Times New Roman"/>
          <w:sz w:val="21"/>
          <w:szCs w:val="21"/>
        </w:rPr>
        <w:t>Необхідність наукового критерію соціальної сфери з теоретичної точки зору обумовлена потребою у точному визначенні її економічного змісту, галузевого складу, місця і ролі у системі відносин національного відтворення, розробці підходів до оцінки ефективності вкладень у цю сферу, результатів її функціонування тощо. З позицій практики господарювання та управління такий критерій потрібен для розробки та реалізації соціальної політики, визначення її пріоритетів, науково обґрунтованого встановлення частки ресурсів суспільства, які виділяються для розвитку соціальної сфери, побудови та налагодження механізму її фінансування.</w:t>
      </w:r>
    </w:p>
    <w:p w:rsidR="00B233DE" w:rsidRPr="00FC5E66" w:rsidRDefault="00B233DE" w:rsidP="00B233DE">
      <w:pPr>
        <w:autoSpaceDE w:val="0"/>
        <w:autoSpaceDN w:val="0"/>
        <w:adjustRightInd w:val="0"/>
        <w:ind w:firstLine="709"/>
        <w:jc w:val="both"/>
        <w:rPr>
          <w:rStyle w:val="hps"/>
          <w:rFonts w:ascii="Times New Roman" w:hAnsi="Times New Roman"/>
          <w:sz w:val="21"/>
          <w:szCs w:val="21"/>
        </w:rPr>
      </w:pPr>
      <w:r w:rsidRPr="00FC5E66">
        <w:rPr>
          <w:rStyle w:val="hps"/>
          <w:rFonts w:ascii="Times New Roman" w:hAnsi="Times New Roman"/>
          <w:sz w:val="21"/>
          <w:szCs w:val="21"/>
        </w:rPr>
        <w:t>Ми погоджуємося з науковцями, які дотримуються наступної точки зору: з урахуванням</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викладених вимог</w:t>
      </w:r>
      <w:r w:rsidRPr="00FC5E66">
        <w:rPr>
          <w:rFonts w:ascii="Times New Roman" w:hAnsi="Times New Roman" w:cs="Times New Roman"/>
          <w:sz w:val="21"/>
          <w:szCs w:val="21"/>
        </w:rPr>
        <w:t xml:space="preserve">, змістовним </w:t>
      </w:r>
      <w:r w:rsidRPr="00FC5E66">
        <w:rPr>
          <w:rStyle w:val="hps"/>
          <w:rFonts w:ascii="Times New Roman" w:hAnsi="Times New Roman"/>
          <w:sz w:val="21"/>
          <w:szCs w:val="21"/>
        </w:rPr>
        <w:t>критерієм виділення</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соціальної сфери</w:t>
      </w:r>
      <w:r w:rsidRPr="00FC5E66">
        <w:rPr>
          <w:rFonts w:ascii="Times New Roman" w:hAnsi="Times New Roman" w:cs="Times New Roman"/>
          <w:sz w:val="21"/>
          <w:szCs w:val="21"/>
        </w:rPr>
        <w:t xml:space="preserve">, який визначає </w:t>
      </w:r>
      <w:r w:rsidRPr="00FC5E66">
        <w:rPr>
          <w:rStyle w:val="hps"/>
          <w:rFonts w:ascii="Times New Roman" w:hAnsi="Times New Roman"/>
          <w:sz w:val="21"/>
          <w:szCs w:val="21"/>
        </w:rPr>
        <w:t>її межі,</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склад і структуру,</w:t>
      </w:r>
      <w:r w:rsidRPr="00FC5E66">
        <w:rPr>
          <w:rFonts w:ascii="Times New Roman" w:hAnsi="Times New Roman" w:cs="Times New Roman"/>
          <w:sz w:val="21"/>
          <w:szCs w:val="21"/>
        </w:rPr>
        <w:t xml:space="preserve"> доцільно вважати</w:t>
      </w:r>
      <w:r w:rsidRPr="00FC5E66">
        <w:rPr>
          <w:rStyle w:val="hps"/>
          <w:rFonts w:ascii="Times New Roman" w:hAnsi="Times New Roman"/>
          <w:sz w:val="21"/>
          <w:szCs w:val="21"/>
        </w:rPr>
        <w:t xml:space="preserve"> її</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функціональне призначення</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у системі</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національного</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суспільного відтворення</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Будучи</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підсистемою</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останнього,</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соціальна сфера</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виконує особливу</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економічну функцію</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вона</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забезпечує накопичення</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і</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розширене відтворення</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індивідуального</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людського капіталу та</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сукупного</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людського потенціалу</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суспільства як специфічної форми його нематеріального багатства. Відповідно</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до цього критерію</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до складу</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соціальної сфери</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повинні входити</w:t>
      </w:r>
      <w:r w:rsidRPr="00FC5E66">
        <w:rPr>
          <w:rFonts w:ascii="Times New Roman" w:hAnsi="Times New Roman" w:cs="Times New Roman"/>
          <w:sz w:val="21"/>
          <w:szCs w:val="21"/>
        </w:rPr>
        <w:t xml:space="preserve">, насамперед, </w:t>
      </w:r>
      <w:r w:rsidRPr="00FC5E66">
        <w:rPr>
          <w:rStyle w:val="hps"/>
          <w:rFonts w:ascii="Times New Roman" w:hAnsi="Times New Roman"/>
          <w:sz w:val="21"/>
          <w:szCs w:val="21"/>
        </w:rPr>
        <w:t>галузі</w:t>
      </w:r>
      <w:r w:rsidRPr="00FC5E66">
        <w:rPr>
          <w:rFonts w:ascii="Times New Roman" w:hAnsi="Times New Roman" w:cs="Times New Roman"/>
          <w:sz w:val="21"/>
          <w:szCs w:val="21"/>
        </w:rPr>
        <w:t xml:space="preserve">, які безпосередньо беруть участь </w:t>
      </w:r>
      <w:r w:rsidRPr="00FC5E66">
        <w:rPr>
          <w:rStyle w:val="hps"/>
          <w:rFonts w:ascii="Times New Roman" w:hAnsi="Times New Roman"/>
          <w:sz w:val="21"/>
          <w:szCs w:val="21"/>
        </w:rPr>
        <w:t>у виконанні цієї</w:t>
      </w:r>
      <w:r w:rsidRPr="00FC5E66">
        <w:rPr>
          <w:rFonts w:ascii="Times New Roman" w:hAnsi="Times New Roman" w:cs="Times New Roman"/>
          <w:sz w:val="21"/>
          <w:szCs w:val="21"/>
        </w:rPr>
        <w:t xml:space="preserve"> </w:t>
      </w:r>
      <w:r w:rsidRPr="00FC5E66">
        <w:rPr>
          <w:rStyle w:val="hps"/>
          <w:rFonts w:ascii="Times New Roman" w:hAnsi="Times New Roman"/>
          <w:sz w:val="21"/>
          <w:szCs w:val="21"/>
        </w:rPr>
        <w:t>функції</w:t>
      </w:r>
      <w:r w:rsidRPr="00FC5E66">
        <w:rPr>
          <w:rFonts w:ascii="Times New Roman" w:hAnsi="Times New Roman" w:cs="Times New Roman"/>
          <w:sz w:val="21"/>
          <w:szCs w:val="21"/>
        </w:rPr>
        <w:t xml:space="preserve">: освіта, наука, культурно-рекреаційний комплекс </w:t>
      </w:r>
      <w:r w:rsidRPr="00FC5E66">
        <w:rPr>
          <w:rStyle w:val="hps"/>
          <w:rFonts w:ascii="Times New Roman" w:hAnsi="Times New Roman"/>
          <w:sz w:val="21"/>
          <w:szCs w:val="21"/>
        </w:rPr>
        <w:t>та охорона здоров’я [</w:t>
      </w:r>
      <w:r>
        <w:rPr>
          <w:rFonts w:ascii="Times New Roman" w:hAnsi="Times New Roman" w:cs="Times New Roman"/>
          <w:sz w:val="21"/>
          <w:szCs w:val="21"/>
          <w:highlight w:val="yellow"/>
        </w:rPr>
        <w:fldChar w:fldCharType="begin"/>
      </w:r>
      <w:r>
        <w:rPr>
          <w:rStyle w:val="hps"/>
          <w:rFonts w:ascii="Times New Roman" w:hAnsi="Times New Roman"/>
          <w:sz w:val="21"/>
          <w:szCs w:val="21"/>
        </w:rPr>
        <w:instrText xml:space="preserve"> REF _Ref435618879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Style w:val="hps"/>
          <w:rFonts w:ascii="Times New Roman" w:hAnsi="Times New Roman"/>
          <w:sz w:val="21"/>
          <w:szCs w:val="21"/>
        </w:rPr>
        <w:t>132</w:t>
      </w:r>
      <w:r>
        <w:rPr>
          <w:rFonts w:ascii="Times New Roman" w:hAnsi="Times New Roman" w:cs="Times New Roman"/>
          <w:sz w:val="21"/>
          <w:szCs w:val="21"/>
          <w:highlight w:val="yellow"/>
        </w:rPr>
        <w:fldChar w:fldCharType="end"/>
      </w:r>
      <w:r>
        <w:rPr>
          <w:rStyle w:val="hps"/>
          <w:rFonts w:ascii="Times New Roman" w:hAnsi="Times New Roman"/>
          <w:sz w:val="21"/>
          <w:szCs w:val="21"/>
        </w:rPr>
        <w:t xml:space="preserve">, с. </w:t>
      </w:r>
      <w:r w:rsidRPr="00FC5E66">
        <w:rPr>
          <w:rStyle w:val="hps"/>
          <w:rFonts w:ascii="Times New Roman" w:hAnsi="Times New Roman"/>
          <w:sz w:val="21"/>
          <w:szCs w:val="21"/>
        </w:rPr>
        <w:t>8].</w:t>
      </w:r>
    </w:p>
    <w:p w:rsidR="00B233DE" w:rsidRPr="00FC5E66" w:rsidRDefault="00B233DE" w:rsidP="00B233DE">
      <w:pPr>
        <w:autoSpaceDE w:val="0"/>
        <w:autoSpaceDN w:val="0"/>
        <w:adjustRightInd w:val="0"/>
        <w:ind w:firstLine="709"/>
        <w:jc w:val="both"/>
        <w:rPr>
          <w:rFonts w:ascii="Times New Roman" w:hAnsi="Times New Roman" w:cs="Times New Roman"/>
          <w:sz w:val="21"/>
          <w:szCs w:val="21"/>
        </w:rPr>
      </w:pPr>
      <w:r w:rsidRPr="00FC5E66">
        <w:rPr>
          <w:rFonts w:ascii="Times New Roman" w:hAnsi="Times New Roman" w:cs="Times New Roman"/>
          <w:sz w:val="21"/>
          <w:szCs w:val="21"/>
        </w:rPr>
        <w:t xml:space="preserve">Сукупний суспільний людський потенціал являє собою не просто механічну суму індивідуальних людських капіталів. Його </w:t>
      </w:r>
      <w:r w:rsidRPr="00FC5E66">
        <w:rPr>
          <w:rFonts w:ascii="Times New Roman" w:hAnsi="Times New Roman" w:cs="Times New Roman"/>
          <w:sz w:val="21"/>
          <w:szCs w:val="21"/>
        </w:rPr>
        <w:lastRenderedPageBreak/>
        <w:t>можна визначити як особливу форму нематеріального багатства суспільства, як накопичений ним за всю історію сукупний фонд (запас) знань, умінь, навичок, здоров’я, культурних досягнень і духовних цінностей. Сукупний людський потенціал суспільства є довготривалим результатом тісної взаємодії різних сфер національного відтворення, розвитку всього соціального укладу життя людей даної країни. Однак центральну роль у цій взаємодії і, відповідно, в накопиченні та розширеному відтворенні людського потенціалу суспільства відіграє саме соціальна сфера.</w:t>
      </w:r>
    </w:p>
    <w:p w:rsidR="00B233DE" w:rsidRPr="00FC5E66" w:rsidRDefault="00B233DE" w:rsidP="00B233DE">
      <w:pPr>
        <w:autoSpaceDE w:val="0"/>
        <w:autoSpaceDN w:val="0"/>
        <w:adjustRightInd w:val="0"/>
        <w:ind w:firstLine="709"/>
        <w:jc w:val="both"/>
        <w:rPr>
          <w:rFonts w:ascii="Times New Roman" w:hAnsi="Times New Roman" w:cs="Times New Roman"/>
          <w:sz w:val="21"/>
          <w:szCs w:val="21"/>
        </w:rPr>
      </w:pPr>
      <w:r w:rsidRPr="00FC5E66">
        <w:rPr>
          <w:rFonts w:ascii="Times New Roman" w:hAnsi="Times New Roman" w:cs="Times New Roman"/>
          <w:sz w:val="21"/>
          <w:szCs w:val="21"/>
        </w:rPr>
        <w:t>Галузі освіти, охорони здоров’я, науки і культури, які є складовими даної сфери, забезпечують примноження сукупного фонду нематеріального багатства суспільства. На відміну від них такі сектори економіки, як виробництво споживчих благ, торгівля і громадське харчування, житлово-комунальне господарство, громадський пасажирський транспорт, побутове обслуговування населення і деякі інші, забезпечують переважно лише поточне особисте споживання. Хоча їх діяльність об’єктивно і сприяє формуванню загальних умов відтворення людського потенціалу, їх роль обмежена задоволенням поточних особистих потреб людей. Виконуючи свою відтворювальну функцію, соціальна сфера тим самим вносить свій внесок у досягнення сталого соціально-економічного розвитку суспільства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_Ref435618879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132</w:t>
      </w:r>
      <w:r>
        <w:rPr>
          <w:rFonts w:ascii="Times New Roman" w:hAnsi="Times New Roman" w:cs="Times New Roman"/>
          <w:sz w:val="21"/>
          <w:szCs w:val="21"/>
          <w:highlight w:val="yellow"/>
        </w:rPr>
        <w:fldChar w:fldCharType="end"/>
      </w:r>
      <w:r w:rsidRPr="00FC5E66">
        <w:rPr>
          <w:rFonts w:ascii="Times New Roman" w:hAnsi="Times New Roman" w:cs="Times New Roman"/>
          <w:sz w:val="21"/>
          <w:szCs w:val="21"/>
        </w:rPr>
        <w:t>, с. 8].</w:t>
      </w:r>
    </w:p>
    <w:p w:rsidR="00B233DE" w:rsidRPr="00FC5E66" w:rsidRDefault="00B233DE" w:rsidP="00B233DE">
      <w:pPr>
        <w:autoSpaceDE w:val="0"/>
        <w:autoSpaceDN w:val="0"/>
        <w:adjustRightInd w:val="0"/>
        <w:ind w:firstLine="709"/>
        <w:jc w:val="both"/>
        <w:rPr>
          <w:rFonts w:ascii="Times New Roman" w:hAnsi="Times New Roman" w:cs="Times New Roman"/>
          <w:sz w:val="21"/>
          <w:szCs w:val="21"/>
        </w:rPr>
      </w:pPr>
      <w:r w:rsidRPr="00FC5E66">
        <w:rPr>
          <w:rFonts w:ascii="Times New Roman" w:hAnsi="Times New Roman" w:cs="Times New Roman"/>
          <w:sz w:val="21"/>
          <w:szCs w:val="21"/>
        </w:rPr>
        <w:t>Для більш точного формулювання категорії соціальної регіональної політики необхідно звернутися до таких понять, як «регіональна економіка» та «регіональна політика».</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Теорія регіональної економіки має ґрунтуватися на системних засадах, що не завжди відтворюється у наукових працях з цієї проблематики. Серед науковців, які приділя</w:t>
      </w:r>
      <w:r>
        <w:rPr>
          <w:rFonts w:ascii="Times New Roman" w:hAnsi="Times New Roman" w:cs="Times New Roman"/>
          <w:sz w:val="21"/>
          <w:szCs w:val="21"/>
        </w:rPr>
        <w:t>ли</w:t>
      </w:r>
      <w:r w:rsidRPr="00FC5E66">
        <w:rPr>
          <w:rFonts w:ascii="Times New Roman" w:hAnsi="Times New Roman" w:cs="Times New Roman"/>
          <w:sz w:val="21"/>
          <w:szCs w:val="21"/>
        </w:rPr>
        <w:t xml:space="preserve"> значну увагу системному підходу розгляду питань регіональної економіки, необхідно відзначити, передусім представників украї</w:t>
      </w:r>
      <w:r>
        <w:rPr>
          <w:rFonts w:ascii="Times New Roman" w:hAnsi="Times New Roman" w:cs="Times New Roman"/>
          <w:sz w:val="21"/>
          <w:szCs w:val="21"/>
        </w:rPr>
        <w:t xml:space="preserve">нської школи: М. Долішнього, С. Дорогунцова, І. Лукінова, В. Поповкіна, О. Топчієва, М. Тимчука, М. </w:t>
      </w:r>
      <w:r w:rsidRPr="00FC5E66">
        <w:rPr>
          <w:rFonts w:ascii="Times New Roman" w:hAnsi="Times New Roman" w:cs="Times New Roman"/>
          <w:sz w:val="21"/>
          <w:szCs w:val="21"/>
        </w:rPr>
        <w:t xml:space="preserve">Чумаченка </w:t>
      </w:r>
      <w:r>
        <w:rPr>
          <w:rFonts w:ascii="Times New Roman" w:hAnsi="Times New Roman" w:cs="Times New Roman"/>
          <w:sz w:val="21"/>
          <w:szCs w:val="21"/>
        </w:rPr>
        <w:t>тощо</w:t>
      </w:r>
      <w:r w:rsidRPr="00FC5E66">
        <w:rPr>
          <w:rFonts w:ascii="Times New Roman" w:hAnsi="Times New Roman" w:cs="Times New Roman"/>
          <w:sz w:val="21"/>
          <w:szCs w:val="21"/>
        </w:rPr>
        <w:t>.</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Зокрема, В. Поповкін вважає, що розвиток регіональної економіки має будуватися на теоретико-філософському сприйнятті концепції єдиного об’єктивного взаємозв’язку природних, соціальних і економічних процесів, що відбувают</w:t>
      </w:r>
      <w:r>
        <w:rPr>
          <w:rFonts w:ascii="Times New Roman" w:hAnsi="Times New Roman" w:cs="Times New Roman"/>
          <w:sz w:val="21"/>
          <w:szCs w:val="21"/>
        </w:rPr>
        <w:t>ься на певній території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_Ref435618897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81</w:t>
      </w:r>
      <w:r>
        <w:rPr>
          <w:rFonts w:ascii="Times New Roman" w:hAnsi="Times New Roman" w:cs="Times New Roman"/>
          <w:sz w:val="21"/>
          <w:szCs w:val="21"/>
          <w:highlight w:val="yellow"/>
        </w:rPr>
        <w:fldChar w:fldCharType="end"/>
      </w:r>
      <w:r>
        <w:rPr>
          <w:rFonts w:ascii="Times New Roman" w:hAnsi="Times New Roman" w:cs="Times New Roman"/>
          <w:sz w:val="21"/>
          <w:szCs w:val="21"/>
        </w:rPr>
        <w:t xml:space="preserve">, с. </w:t>
      </w:r>
      <w:r w:rsidRPr="00FC5E66">
        <w:rPr>
          <w:rFonts w:ascii="Times New Roman" w:hAnsi="Times New Roman" w:cs="Times New Roman"/>
          <w:sz w:val="21"/>
          <w:szCs w:val="21"/>
        </w:rPr>
        <w:t xml:space="preserve">54]. Науковець доходить висновку, що регіон є цілісністю природного і матеріального середовища, створеного людиною, а також соціуму. Причому різні типи регіонів </w:t>
      </w:r>
      <w:r w:rsidRPr="00FC5E66">
        <w:rPr>
          <w:rFonts w:ascii="Times New Roman" w:hAnsi="Times New Roman" w:cs="Times New Roman"/>
          <w:sz w:val="21"/>
          <w:szCs w:val="21"/>
        </w:rPr>
        <w:lastRenderedPageBreak/>
        <w:t>формуються та існують завдяки певним типам взаємозв’язків між цими т</w:t>
      </w:r>
      <w:r>
        <w:rPr>
          <w:rFonts w:ascii="Times New Roman" w:hAnsi="Times New Roman" w:cs="Times New Roman"/>
          <w:sz w:val="21"/>
          <w:szCs w:val="21"/>
        </w:rPr>
        <w:t xml:space="preserve">рьома середовищами. На думку В. </w:t>
      </w:r>
      <w:r w:rsidRPr="00FC5E66">
        <w:rPr>
          <w:rFonts w:ascii="Times New Roman" w:hAnsi="Times New Roman" w:cs="Times New Roman"/>
          <w:sz w:val="21"/>
          <w:szCs w:val="21"/>
        </w:rPr>
        <w:t>Поповкіна, принципово важливим для розвитку теорії регіоналістики, яка досліджує не міфічні продуктивні сили, а людину з усією сукупністю її проблем, є акцент не на матеріальних, а на духовних силах економічного розвитку.</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Акцент на соціальну спрямованість регіональної економіки присутній і у визначенні М. Тимчука, який вважає її наукою, що вивчає тенденції й закономірності економічного розвитку і функціонування суб’єктів господарювання різних форм власності на даній території з метою більш повного забезп</w:t>
      </w:r>
      <w:r>
        <w:rPr>
          <w:rFonts w:ascii="Times New Roman" w:hAnsi="Times New Roman" w:cs="Times New Roman"/>
          <w:sz w:val="21"/>
          <w:szCs w:val="21"/>
        </w:rPr>
        <w:t>ечення потреб населення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_Ref435618904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123</w:t>
      </w:r>
      <w:r>
        <w:rPr>
          <w:rFonts w:ascii="Times New Roman" w:hAnsi="Times New Roman" w:cs="Times New Roman"/>
          <w:sz w:val="21"/>
          <w:szCs w:val="21"/>
          <w:highlight w:val="yellow"/>
        </w:rPr>
        <w:fldChar w:fldCharType="end"/>
      </w:r>
      <w:r>
        <w:rPr>
          <w:rFonts w:ascii="Times New Roman" w:hAnsi="Times New Roman" w:cs="Times New Roman"/>
          <w:sz w:val="21"/>
          <w:szCs w:val="21"/>
        </w:rPr>
        <w:t xml:space="preserve">, с. </w:t>
      </w:r>
      <w:r w:rsidRPr="00FC5E66">
        <w:rPr>
          <w:rFonts w:ascii="Times New Roman" w:hAnsi="Times New Roman" w:cs="Times New Roman"/>
          <w:sz w:val="21"/>
          <w:szCs w:val="21"/>
        </w:rPr>
        <w:t>5].</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Відомий український вчений-регіоналіст академік М. Долішній вважа</w:t>
      </w:r>
      <w:r>
        <w:rPr>
          <w:rFonts w:ascii="Times New Roman" w:hAnsi="Times New Roman" w:cs="Times New Roman"/>
          <w:sz w:val="21"/>
          <w:szCs w:val="21"/>
        </w:rPr>
        <w:t>в</w:t>
      </w:r>
      <w:r w:rsidRPr="00FC5E66">
        <w:rPr>
          <w:rFonts w:ascii="Times New Roman" w:hAnsi="Times New Roman" w:cs="Times New Roman"/>
          <w:sz w:val="21"/>
          <w:szCs w:val="21"/>
        </w:rPr>
        <w:t>, що, у разі визначення терміну регіональна політика, необхідно тлумачити це поняття в широкому та вузькому розумінні. У першому випадку це означає політику, яку провадить держава щодо регіонів і самі регіони в межах наданих їм повноважень. У другому випадку регіональна політика звужується винятково до дій держави, тому йдеться про державну регіональну політику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_Ref435618914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86</w:t>
      </w:r>
      <w:r>
        <w:rPr>
          <w:rFonts w:ascii="Times New Roman" w:hAnsi="Times New Roman" w:cs="Times New Roman"/>
          <w:sz w:val="21"/>
          <w:szCs w:val="21"/>
          <w:highlight w:val="yellow"/>
        </w:rPr>
        <w:fldChar w:fldCharType="end"/>
      </w:r>
      <w:r>
        <w:rPr>
          <w:rFonts w:ascii="Times New Roman" w:hAnsi="Times New Roman" w:cs="Times New Roman"/>
          <w:sz w:val="21"/>
          <w:szCs w:val="21"/>
        </w:rPr>
        <w:t xml:space="preserve">, с. </w:t>
      </w:r>
      <w:r w:rsidRPr="00FC5E66">
        <w:rPr>
          <w:rFonts w:ascii="Times New Roman" w:hAnsi="Times New Roman" w:cs="Times New Roman"/>
          <w:sz w:val="21"/>
          <w:szCs w:val="21"/>
        </w:rPr>
        <w:t>11].</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М. Долішній вважа</w:t>
      </w:r>
      <w:r>
        <w:rPr>
          <w:rFonts w:ascii="Times New Roman" w:hAnsi="Times New Roman" w:cs="Times New Roman"/>
          <w:sz w:val="21"/>
          <w:szCs w:val="21"/>
        </w:rPr>
        <w:t>в</w:t>
      </w:r>
      <w:r w:rsidRPr="00FC5E66">
        <w:rPr>
          <w:rFonts w:ascii="Times New Roman" w:hAnsi="Times New Roman" w:cs="Times New Roman"/>
          <w:sz w:val="21"/>
          <w:szCs w:val="21"/>
        </w:rPr>
        <w:t>, що «у широкому розумінні регіональна політика – це система цілей і дій, що спрямовані на реалізацію інтересів держави щодо регіонів та внутрішніх інтересів самих регіонів, яка реалізується за допомогою методів, що враховують історичну, етнічну, соціальну, економічну та екологічну специфіку територій»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_Ref435618960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36</w:t>
      </w:r>
      <w:r>
        <w:rPr>
          <w:rFonts w:ascii="Times New Roman" w:hAnsi="Times New Roman" w:cs="Times New Roman"/>
          <w:sz w:val="21"/>
          <w:szCs w:val="21"/>
          <w:highlight w:val="yellow"/>
        </w:rPr>
        <w:fldChar w:fldCharType="end"/>
      </w:r>
      <w:r>
        <w:rPr>
          <w:rFonts w:ascii="Times New Roman" w:hAnsi="Times New Roman" w:cs="Times New Roman"/>
          <w:sz w:val="21"/>
          <w:szCs w:val="21"/>
        </w:rPr>
        <w:t xml:space="preserve">, с. </w:t>
      </w:r>
      <w:r w:rsidRPr="00FC5E66">
        <w:rPr>
          <w:rFonts w:ascii="Times New Roman" w:hAnsi="Times New Roman" w:cs="Times New Roman"/>
          <w:sz w:val="21"/>
          <w:szCs w:val="21"/>
        </w:rPr>
        <w:t xml:space="preserve">17]. Вчений наголошує, що за сьогоднішніх умов регіональна політика стає вагомим інструментом просторового регулювання соціально-економічного розвитку, особливо в тих сферах, де дія ринкових важелів обмежена (соціальній, екологічній, науково-технічній). Тільки через механізми регіональної політики, як важливого елемента загальнонаціональної стратегії, можна активізувати внутрішні потенціали регіонів для соціально-економічного зростання територій і держави в цілому. Саме регіональна політика може стати універсальним засобом ефективного використання внутрішніх регіональних резервів, чого важко досягти за допомогою галузевих методів управління. </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 xml:space="preserve">Ще один відомий український вчений-регіоналіст В. Симоненко вважає, що «під регіональною політикою слід </w:t>
      </w:r>
      <w:r w:rsidRPr="00FC5E66">
        <w:rPr>
          <w:rFonts w:ascii="Times New Roman" w:hAnsi="Times New Roman" w:cs="Times New Roman"/>
          <w:sz w:val="21"/>
          <w:szCs w:val="21"/>
        </w:rPr>
        <w:lastRenderedPageBreak/>
        <w:t>розуміти, з одного боку, чітко опрацьовану в законодавчому аспекті практичну діяльність держави в усіх регіонах країни, а з другого, – соціально-економічну політику, здійснювану на базі загальнодержавного законодавства самими регіонами для досягнення тих чи інших регіональних і місцевих цілей і завдань»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_Ref435618971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94</w:t>
      </w:r>
      <w:r>
        <w:rPr>
          <w:rFonts w:ascii="Times New Roman" w:hAnsi="Times New Roman" w:cs="Times New Roman"/>
          <w:sz w:val="21"/>
          <w:szCs w:val="21"/>
          <w:highlight w:val="yellow"/>
        </w:rPr>
        <w:fldChar w:fldCharType="end"/>
      </w:r>
      <w:r w:rsidRPr="00A055C4">
        <w:rPr>
          <w:rFonts w:ascii="Times New Roman" w:hAnsi="Times New Roman" w:cs="Times New Roman"/>
          <w:sz w:val="21"/>
          <w:szCs w:val="21"/>
        </w:rPr>
        <w:t>,</w:t>
      </w:r>
      <w:r>
        <w:rPr>
          <w:rFonts w:ascii="Times New Roman" w:hAnsi="Times New Roman" w:cs="Times New Roman"/>
          <w:sz w:val="21"/>
          <w:szCs w:val="21"/>
        </w:rPr>
        <w:t xml:space="preserve"> с. </w:t>
      </w:r>
      <w:r w:rsidRPr="00FC5E66">
        <w:rPr>
          <w:rFonts w:ascii="Times New Roman" w:hAnsi="Times New Roman" w:cs="Times New Roman"/>
          <w:sz w:val="21"/>
          <w:szCs w:val="21"/>
        </w:rPr>
        <w:t>31]. У своїй праці «Регионы Украины: проблемы развития» (1997 р.) він визнача</w:t>
      </w:r>
      <w:r>
        <w:rPr>
          <w:rFonts w:ascii="Times New Roman" w:hAnsi="Times New Roman" w:cs="Times New Roman"/>
          <w:sz w:val="21"/>
          <w:szCs w:val="21"/>
        </w:rPr>
        <w:t>в</w:t>
      </w:r>
      <w:r w:rsidRPr="00FC5E66">
        <w:rPr>
          <w:rFonts w:ascii="Times New Roman" w:hAnsi="Times New Roman" w:cs="Times New Roman"/>
          <w:sz w:val="21"/>
          <w:szCs w:val="21"/>
        </w:rPr>
        <w:t xml:space="preserve"> регіональну соціально-економічну політику як сукупність таких економічних, правових і адміністративно-організаційних засобів і методів, які враховують і органічно пов’язують між собою увесь комплекс загальнодержавних і місцевих інтересів і спрямовані в кінцевому результаті на повноцінний і рівномірний розвиток регіонів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_Ref435618977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95</w:t>
      </w:r>
      <w:r>
        <w:rPr>
          <w:rFonts w:ascii="Times New Roman" w:hAnsi="Times New Roman" w:cs="Times New Roman"/>
          <w:sz w:val="21"/>
          <w:szCs w:val="21"/>
          <w:highlight w:val="yellow"/>
        </w:rPr>
        <w:fldChar w:fldCharType="end"/>
      </w:r>
      <w:r>
        <w:rPr>
          <w:rFonts w:ascii="Times New Roman" w:hAnsi="Times New Roman" w:cs="Times New Roman"/>
          <w:sz w:val="21"/>
          <w:szCs w:val="21"/>
        </w:rPr>
        <w:t xml:space="preserve">, с. </w:t>
      </w:r>
      <w:r w:rsidRPr="00FC5E66">
        <w:rPr>
          <w:rFonts w:ascii="Times New Roman" w:hAnsi="Times New Roman" w:cs="Times New Roman"/>
          <w:sz w:val="21"/>
          <w:szCs w:val="21"/>
        </w:rPr>
        <w:t xml:space="preserve">46]. Стратегічною метою такої політики вчений вважає підвищення життєвого рівня населення регіонів країни на основі якісного покращення використання ресурсного потенціалу регіонів, принципово нових підходів до розвитку їхніх продуктивних сил, докорінної зміни екологічної ситуації. </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Таким чином, під регіональною політикою, як правило, розуміють сферу діяльності з управління економічним, соціальним, екологічним і політичним розвитком країни в регіональному аспекті відповідно до заздалегідь розробленої програми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_Ref435618996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31</w:t>
      </w:r>
      <w:r>
        <w:rPr>
          <w:rFonts w:ascii="Times New Roman" w:hAnsi="Times New Roman" w:cs="Times New Roman"/>
          <w:sz w:val="21"/>
          <w:szCs w:val="21"/>
          <w:highlight w:val="yellow"/>
        </w:rPr>
        <w:fldChar w:fldCharType="end"/>
      </w:r>
      <w:r w:rsidRPr="00A055C4">
        <w:rPr>
          <w:rFonts w:ascii="Times New Roman" w:hAnsi="Times New Roman" w:cs="Times New Roman"/>
          <w:sz w:val="21"/>
          <w:szCs w:val="21"/>
        </w:rPr>
        <w:t>,</w:t>
      </w:r>
      <w:r>
        <w:rPr>
          <w:rFonts w:ascii="Times New Roman" w:hAnsi="Times New Roman" w:cs="Times New Roman"/>
          <w:sz w:val="21"/>
          <w:szCs w:val="21"/>
        </w:rPr>
        <w:t xml:space="preserve"> с. </w:t>
      </w:r>
      <w:r w:rsidRPr="00FC5E66">
        <w:rPr>
          <w:rFonts w:ascii="Times New Roman" w:hAnsi="Times New Roman" w:cs="Times New Roman"/>
          <w:sz w:val="21"/>
          <w:szCs w:val="21"/>
        </w:rPr>
        <w:t xml:space="preserve">28]. </w:t>
      </w:r>
    </w:p>
    <w:p w:rsidR="00B233DE" w:rsidRPr="00FC5E66" w:rsidRDefault="00B233DE" w:rsidP="00B233DE">
      <w:pPr>
        <w:autoSpaceDE w:val="0"/>
        <w:autoSpaceDN w:val="0"/>
        <w:adjustRightInd w:val="0"/>
        <w:ind w:firstLine="709"/>
        <w:jc w:val="both"/>
        <w:rPr>
          <w:rFonts w:ascii="Times New Roman" w:hAnsi="Times New Roman" w:cs="Times New Roman"/>
          <w:sz w:val="21"/>
          <w:szCs w:val="21"/>
        </w:rPr>
      </w:pPr>
      <w:r w:rsidRPr="00FC5E66">
        <w:rPr>
          <w:rFonts w:ascii="Times New Roman" w:hAnsi="Times New Roman" w:cs="Times New Roman"/>
          <w:sz w:val="21"/>
          <w:szCs w:val="21"/>
        </w:rPr>
        <w:t>У зв’язку з таким трактуванням регіональної політики логічним постає виокремлення рядом науковців різних рівнів соціальної політики. Зокрема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_Ref435619006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80</w:t>
      </w:r>
      <w:r>
        <w:rPr>
          <w:rFonts w:ascii="Times New Roman" w:hAnsi="Times New Roman" w:cs="Times New Roman"/>
          <w:sz w:val="21"/>
          <w:szCs w:val="21"/>
          <w:highlight w:val="yellow"/>
        </w:rPr>
        <w:fldChar w:fldCharType="end"/>
      </w:r>
      <w:r w:rsidRPr="00FC5E66">
        <w:rPr>
          <w:rFonts w:ascii="Times New Roman" w:hAnsi="Times New Roman" w:cs="Times New Roman"/>
          <w:sz w:val="21"/>
          <w:szCs w:val="21"/>
        </w:rPr>
        <w:t>]:</w:t>
      </w:r>
    </w:p>
    <w:p w:rsidR="00B233DE" w:rsidRPr="00FC5E66" w:rsidRDefault="00B233DE" w:rsidP="00B233DE">
      <w:pPr>
        <w:pStyle w:val="ad"/>
        <w:widowControl w:val="0"/>
        <w:numPr>
          <w:ilvl w:val="0"/>
          <w:numId w:val="22"/>
        </w:numPr>
        <w:tabs>
          <w:tab w:val="left" w:pos="993"/>
        </w:tabs>
        <w:ind w:left="0" w:firstLine="709"/>
        <w:jc w:val="both"/>
        <w:rPr>
          <w:rFonts w:ascii="Times New Roman" w:hAnsi="Times New Roman" w:cs="Times New Roman"/>
          <w:sz w:val="21"/>
          <w:szCs w:val="21"/>
          <w:lang w:eastAsia="ru-RU"/>
        </w:rPr>
      </w:pPr>
      <w:r w:rsidRPr="00FC5E66">
        <w:rPr>
          <w:rFonts w:ascii="Times New Roman" w:hAnsi="Times New Roman" w:cs="Times New Roman"/>
          <w:sz w:val="21"/>
          <w:szCs w:val="21"/>
          <w:lang w:eastAsia="ru-RU"/>
        </w:rPr>
        <w:t>загальнодержавного (врахування інтересів усього суспільства);</w:t>
      </w:r>
    </w:p>
    <w:p w:rsidR="00B233DE" w:rsidRPr="00FC5E66" w:rsidRDefault="00B233DE" w:rsidP="00B233DE">
      <w:pPr>
        <w:pStyle w:val="ad"/>
        <w:widowControl w:val="0"/>
        <w:numPr>
          <w:ilvl w:val="0"/>
          <w:numId w:val="22"/>
        </w:numPr>
        <w:tabs>
          <w:tab w:val="left" w:pos="993"/>
        </w:tabs>
        <w:ind w:left="0" w:firstLine="709"/>
        <w:jc w:val="both"/>
        <w:rPr>
          <w:rFonts w:ascii="Times New Roman" w:hAnsi="Times New Roman" w:cs="Times New Roman"/>
          <w:sz w:val="21"/>
          <w:szCs w:val="21"/>
          <w:lang w:eastAsia="ru-RU"/>
        </w:rPr>
      </w:pPr>
      <w:r w:rsidRPr="00FC5E66">
        <w:rPr>
          <w:rFonts w:ascii="Times New Roman" w:hAnsi="Times New Roman" w:cs="Times New Roman"/>
          <w:sz w:val="21"/>
          <w:szCs w:val="21"/>
          <w:lang w:eastAsia="ru-RU"/>
        </w:rPr>
        <w:t>регіонального (інтереси адміністративної одиниці);</w:t>
      </w:r>
    </w:p>
    <w:p w:rsidR="00B233DE" w:rsidRPr="00FC5E66" w:rsidRDefault="00B233DE" w:rsidP="00B233DE">
      <w:pPr>
        <w:pStyle w:val="ad"/>
        <w:widowControl w:val="0"/>
        <w:numPr>
          <w:ilvl w:val="0"/>
          <w:numId w:val="22"/>
        </w:numPr>
        <w:tabs>
          <w:tab w:val="left" w:pos="993"/>
        </w:tabs>
        <w:ind w:left="0" w:firstLine="709"/>
        <w:jc w:val="both"/>
        <w:rPr>
          <w:rFonts w:ascii="Times New Roman" w:hAnsi="Times New Roman" w:cs="Times New Roman"/>
          <w:sz w:val="21"/>
          <w:szCs w:val="21"/>
          <w:lang w:eastAsia="ru-RU"/>
        </w:rPr>
      </w:pPr>
      <w:r w:rsidRPr="00FC5E66">
        <w:rPr>
          <w:rFonts w:ascii="Times New Roman" w:hAnsi="Times New Roman" w:cs="Times New Roman"/>
          <w:sz w:val="21"/>
          <w:szCs w:val="21"/>
          <w:lang w:eastAsia="ru-RU"/>
        </w:rPr>
        <w:t>місцевого (інтереси міста, району, підприємства тощо);</w:t>
      </w:r>
    </w:p>
    <w:p w:rsidR="00B233DE" w:rsidRPr="00FC5E66" w:rsidRDefault="00B233DE" w:rsidP="00B233DE">
      <w:pPr>
        <w:pStyle w:val="ad"/>
        <w:widowControl w:val="0"/>
        <w:numPr>
          <w:ilvl w:val="0"/>
          <w:numId w:val="22"/>
        </w:numPr>
        <w:tabs>
          <w:tab w:val="left" w:pos="993"/>
        </w:tabs>
        <w:ind w:left="0" w:firstLine="709"/>
        <w:jc w:val="both"/>
        <w:rPr>
          <w:rFonts w:ascii="Times New Roman" w:hAnsi="Times New Roman" w:cs="Times New Roman"/>
          <w:sz w:val="21"/>
          <w:szCs w:val="21"/>
          <w:lang w:eastAsia="ru-RU"/>
        </w:rPr>
      </w:pPr>
      <w:r w:rsidRPr="00FC5E66">
        <w:rPr>
          <w:rFonts w:ascii="Times New Roman" w:hAnsi="Times New Roman" w:cs="Times New Roman"/>
          <w:sz w:val="21"/>
          <w:szCs w:val="21"/>
          <w:lang w:eastAsia="ru-RU"/>
        </w:rPr>
        <w:t>локального (допомога і підтримка громадянам, що постраждали від стихійного лиха).</w:t>
      </w:r>
    </w:p>
    <w:p w:rsidR="00B233DE" w:rsidRPr="00FC5E66" w:rsidRDefault="00B233DE" w:rsidP="00B233DE">
      <w:pPr>
        <w:autoSpaceDE w:val="0"/>
        <w:autoSpaceDN w:val="0"/>
        <w:adjustRightInd w:val="0"/>
        <w:ind w:firstLine="709"/>
        <w:jc w:val="both"/>
        <w:rPr>
          <w:rFonts w:ascii="Times New Roman" w:hAnsi="Times New Roman" w:cs="Times New Roman"/>
          <w:sz w:val="21"/>
          <w:szCs w:val="21"/>
        </w:rPr>
      </w:pPr>
      <w:r w:rsidRPr="00FC5E66">
        <w:rPr>
          <w:rFonts w:ascii="Times New Roman" w:hAnsi="Times New Roman" w:cs="Times New Roman"/>
          <w:sz w:val="21"/>
          <w:szCs w:val="21"/>
        </w:rPr>
        <w:t>На нашу думку, такий підхід є дещо звуженим за рахунок, по-перше, відсутності вищого за загальнодержавний рівня соціальної політики, а, по-друге, через значне звуження функцій локального рівня.</w:t>
      </w:r>
    </w:p>
    <w:p w:rsidR="00B233DE" w:rsidRPr="00FC5E66" w:rsidRDefault="00B233DE" w:rsidP="00B233DE">
      <w:pPr>
        <w:autoSpaceDE w:val="0"/>
        <w:autoSpaceDN w:val="0"/>
        <w:adjustRightInd w:val="0"/>
        <w:ind w:firstLine="709"/>
        <w:jc w:val="both"/>
        <w:rPr>
          <w:rFonts w:ascii="Times New Roman" w:hAnsi="Times New Roman" w:cs="Times New Roman"/>
          <w:sz w:val="21"/>
          <w:szCs w:val="21"/>
        </w:rPr>
      </w:pPr>
      <w:r w:rsidRPr="00FC5E66">
        <w:rPr>
          <w:rFonts w:ascii="Times New Roman" w:hAnsi="Times New Roman" w:cs="Times New Roman"/>
          <w:sz w:val="21"/>
          <w:szCs w:val="21"/>
        </w:rPr>
        <w:t>Чотири рівні розробки і реалізації с</w:t>
      </w:r>
      <w:r>
        <w:rPr>
          <w:rFonts w:ascii="Times New Roman" w:hAnsi="Times New Roman" w:cs="Times New Roman"/>
          <w:sz w:val="21"/>
          <w:szCs w:val="21"/>
        </w:rPr>
        <w:t xml:space="preserve">оціальної політики виділяють О. І. Холостова і А. С. </w:t>
      </w:r>
      <w:r w:rsidRPr="00FC5E66">
        <w:rPr>
          <w:rFonts w:ascii="Times New Roman" w:hAnsi="Times New Roman" w:cs="Times New Roman"/>
          <w:sz w:val="21"/>
          <w:szCs w:val="21"/>
        </w:rPr>
        <w:t>Сорв</w:t>
      </w:r>
      <w:r>
        <w:rPr>
          <w:rFonts w:ascii="Times New Roman" w:hAnsi="Times New Roman" w:cs="Times New Roman"/>
          <w:sz w:val="21"/>
          <w:szCs w:val="21"/>
        </w:rPr>
        <w:t>і</w:t>
      </w:r>
      <w:r w:rsidRPr="00FC5E66">
        <w:rPr>
          <w:rFonts w:ascii="Times New Roman" w:hAnsi="Times New Roman" w:cs="Times New Roman"/>
          <w:sz w:val="21"/>
          <w:szCs w:val="21"/>
        </w:rPr>
        <w:t>на: державний, регіональний, міський та рівень підприємства</w:t>
      </w:r>
      <w:r>
        <w:rPr>
          <w:rFonts w:ascii="Times New Roman" w:hAnsi="Times New Roman" w:cs="Times New Roman"/>
          <w:sz w:val="21"/>
          <w:szCs w:val="21"/>
        </w:rPr>
        <w:t>, організації, установи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_Ref435619018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108</w:t>
      </w:r>
      <w:r>
        <w:rPr>
          <w:rFonts w:ascii="Times New Roman" w:hAnsi="Times New Roman" w:cs="Times New Roman"/>
          <w:sz w:val="21"/>
          <w:szCs w:val="21"/>
          <w:highlight w:val="yellow"/>
        </w:rPr>
        <w:fldChar w:fldCharType="end"/>
      </w:r>
      <w:r>
        <w:rPr>
          <w:rFonts w:ascii="Times New Roman" w:hAnsi="Times New Roman" w:cs="Times New Roman"/>
          <w:sz w:val="21"/>
          <w:szCs w:val="21"/>
        </w:rPr>
        <w:t xml:space="preserve">, с. </w:t>
      </w:r>
      <w:r w:rsidRPr="00FC5E66">
        <w:rPr>
          <w:rFonts w:ascii="Times New Roman" w:hAnsi="Times New Roman" w:cs="Times New Roman"/>
          <w:sz w:val="21"/>
          <w:szCs w:val="21"/>
        </w:rPr>
        <w:t>343].</w:t>
      </w:r>
    </w:p>
    <w:p w:rsidR="00B233DE" w:rsidRPr="00FC5E66" w:rsidRDefault="00B233DE" w:rsidP="00B233DE">
      <w:pPr>
        <w:autoSpaceDE w:val="0"/>
        <w:autoSpaceDN w:val="0"/>
        <w:adjustRightInd w:val="0"/>
        <w:ind w:firstLine="709"/>
        <w:jc w:val="both"/>
        <w:rPr>
          <w:rFonts w:ascii="Times New Roman" w:hAnsi="Times New Roman" w:cs="Times New Roman"/>
          <w:sz w:val="21"/>
          <w:szCs w:val="21"/>
        </w:rPr>
      </w:pPr>
      <w:r>
        <w:rPr>
          <w:rFonts w:ascii="Times New Roman" w:hAnsi="Times New Roman" w:cs="Times New Roman"/>
          <w:sz w:val="21"/>
          <w:szCs w:val="21"/>
        </w:rPr>
        <w:lastRenderedPageBreak/>
        <w:t xml:space="preserve">Такі дослідники, як Ю. М. </w:t>
      </w:r>
      <w:r w:rsidRPr="00FC5E66">
        <w:rPr>
          <w:rFonts w:ascii="Times New Roman" w:hAnsi="Times New Roman" w:cs="Times New Roman"/>
          <w:sz w:val="21"/>
          <w:szCs w:val="21"/>
        </w:rPr>
        <w:t>Уманців, О.</w:t>
      </w:r>
      <w:r>
        <w:rPr>
          <w:rFonts w:ascii="Times New Roman" w:hAnsi="Times New Roman" w:cs="Times New Roman"/>
          <w:sz w:val="21"/>
          <w:szCs w:val="21"/>
        </w:rPr>
        <w:t xml:space="preserve"> І. </w:t>
      </w:r>
      <w:r w:rsidRPr="00FC5E66">
        <w:rPr>
          <w:rFonts w:ascii="Times New Roman" w:hAnsi="Times New Roman" w:cs="Times New Roman"/>
          <w:sz w:val="21"/>
          <w:szCs w:val="21"/>
        </w:rPr>
        <w:t>Міняйло та В. І. Косик у структурі соціальної політики розглядають три рівні: державний, регіональний, місцевий. Питання фінансування розвитку освіти, охорони здоров’я, культури, житлово-комунального господарства і побутового обслуговування населення, на їх думку, в основному повинні вирішуватися на рівні вищих органів державної влади. Усі три рівні (державний, регіональний, місцевий) перебувають у безперервній взаємодії, взаємообумовлені і становлять нерозривну єдність. Тому соціальну політику, яка вже на етапі формування являє собою тристоронній процес розробки взаємно погоджених принципів вирішення соціальних проблем, називають триєдиною соціальною політикою. У соціальній державі реалізація такої соціальної політики здійснюється на всіх трьох рівнях, що становлять собою цілісну систему [</w:t>
      </w:r>
      <w:r>
        <w:rPr>
          <w:rStyle w:val="a9"/>
          <w:rFonts w:ascii="Times New Roman" w:hAnsi="Times New Roman" w:cs="Times New Roman"/>
          <w:b w:val="0"/>
          <w:bCs w:val="0"/>
          <w:sz w:val="21"/>
          <w:szCs w:val="21"/>
          <w:highlight w:val="yellow"/>
        </w:rPr>
        <w:fldChar w:fldCharType="begin"/>
      </w:r>
      <w:r>
        <w:rPr>
          <w:rFonts w:ascii="Times New Roman" w:hAnsi="Times New Roman" w:cs="Times New Roman"/>
          <w:sz w:val="21"/>
          <w:szCs w:val="21"/>
        </w:rPr>
        <w:instrText xml:space="preserve"> REF _Ref435619024 \r \h </w:instrText>
      </w:r>
      <w:r>
        <w:rPr>
          <w:rStyle w:val="a9"/>
          <w:rFonts w:ascii="Times New Roman" w:hAnsi="Times New Roman" w:cs="Times New Roman"/>
          <w:b w:val="0"/>
          <w:bCs w:val="0"/>
          <w:sz w:val="21"/>
          <w:szCs w:val="21"/>
          <w:highlight w:val="yellow"/>
        </w:rPr>
      </w:r>
      <w:r>
        <w:rPr>
          <w:rStyle w:val="a9"/>
          <w:rFonts w:ascii="Times New Roman" w:hAnsi="Times New Roman" w:cs="Times New Roman"/>
          <w:b w:val="0"/>
          <w:bCs w:val="0"/>
          <w:sz w:val="21"/>
          <w:szCs w:val="21"/>
          <w:highlight w:val="yellow"/>
        </w:rPr>
        <w:fldChar w:fldCharType="separate"/>
      </w:r>
      <w:r>
        <w:rPr>
          <w:rFonts w:ascii="Times New Roman" w:hAnsi="Times New Roman" w:cs="Times New Roman"/>
          <w:sz w:val="21"/>
          <w:szCs w:val="21"/>
        </w:rPr>
        <w:t>62</w:t>
      </w:r>
      <w:r>
        <w:rPr>
          <w:rStyle w:val="a9"/>
          <w:rFonts w:ascii="Times New Roman" w:hAnsi="Times New Roman" w:cs="Times New Roman"/>
          <w:b w:val="0"/>
          <w:bCs w:val="0"/>
          <w:sz w:val="21"/>
          <w:szCs w:val="21"/>
          <w:highlight w:val="yellow"/>
        </w:rPr>
        <w:fldChar w:fldCharType="end"/>
      </w:r>
      <w:r w:rsidRPr="00FC5E66">
        <w:rPr>
          <w:rFonts w:ascii="Times New Roman" w:hAnsi="Times New Roman" w:cs="Times New Roman"/>
          <w:sz w:val="21"/>
          <w:szCs w:val="21"/>
        </w:rPr>
        <w:t>].</w:t>
      </w:r>
    </w:p>
    <w:p w:rsidR="00B233DE" w:rsidRPr="00FC5E66" w:rsidRDefault="00B233DE" w:rsidP="00B233DE">
      <w:pPr>
        <w:autoSpaceDE w:val="0"/>
        <w:autoSpaceDN w:val="0"/>
        <w:adjustRightInd w:val="0"/>
        <w:ind w:firstLine="709"/>
        <w:jc w:val="both"/>
        <w:rPr>
          <w:rFonts w:ascii="Times New Roman" w:hAnsi="Times New Roman" w:cs="Times New Roman"/>
          <w:sz w:val="21"/>
          <w:szCs w:val="21"/>
        </w:rPr>
      </w:pPr>
      <w:r w:rsidRPr="00FC5E66">
        <w:rPr>
          <w:rFonts w:ascii="Times New Roman" w:hAnsi="Times New Roman" w:cs="Times New Roman"/>
          <w:sz w:val="21"/>
          <w:szCs w:val="21"/>
        </w:rPr>
        <w:t>Ми повністю погоджуємося з тезою про триєд</w:t>
      </w:r>
      <w:r>
        <w:rPr>
          <w:rFonts w:ascii="Times New Roman" w:hAnsi="Times New Roman" w:cs="Times New Roman"/>
          <w:sz w:val="21"/>
          <w:szCs w:val="21"/>
        </w:rPr>
        <w:t>и</w:t>
      </w:r>
      <w:r w:rsidRPr="00FC5E66">
        <w:rPr>
          <w:rFonts w:ascii="Times New Roman" w:hAnsi="Times New Roman" w:cs="Times New Roman"/>
          <w:sz w:val="21"/>
          <w:szCs w:val="21"/>
        </w:rPr>
        <w:t>ність соціальної політики, хоч в сучасних реаліях, на нашу думку, питання фінансування соціально значимих сфер діяльності не доцільно зосереджувати на якомусь конкретному рівні, а спрямованість розвитку держави на децентралізацію підвищує значимість саме нижчих рівнів соціальної політики.</w:t>
      </w:r>
    </w:p>
    <w:p w:rsidR="00B233DE" w:rsidRPr="00FC5E66" w:rsidRDefault="00B233DE" w:rsidP="00B233DE">
      <w:pPr>
        <w:ind w:firstLine="709"/>
        <w:jc w:val="both"/>
        <w:rPr>
          <w:rFonts w:ascii="Times New Roman" w:hAnsi="Times New Roman" w:cs="Times New Roman"/>
          <w:sz w:val="21"/>
          <w:szCs w:val="21"/>
        </w:rPr>
      </w:pPr>
      <w:r w:rsidRPr="00FC5E66">
        <w:rPr>
          <w:rFonts w:ascii="Times New Roman" w:hAnsi="Times New Roman" w:cs="Times New Roman"/>
          <w:sz w:val="21"/>
          <w:szCs w:val="21"/>
        </w:rPr>
        <w:t xml:space="preserve">Проводячи узагальнення вищевикладеного, ми пропонуємо виділяти такі рівні (масштаби розробки і реалізації) соціальної політики (рис. </w:t>
      </w:r>
      <w:r>
        <w:rPr>
          <w:rFonts w:ascii="Times New Roman" w:hAnsi="Times New Roman" w:cs="Times New Roman"/>
          <w:sz w:val="21"/>
          <w:szCs w:val="21"/>
        </w:rPr>
        <w:t>5</w:t>
      </w:r>
      <w:r w:rsidRPr="00FC5E66">
        <w:rPr>
          <w:rFonts w:ascii="Times New Roman" w:hAnsi="Times New Roman" w:cs="Times New Roman"/>
          <w:sz w:val="21"/>
          <w:szCs w:val="21"/>
        </w:rPr>
        <w:t>.1):</w:t>
      </w:r>
    </w:p>
    <w:p w:rsidR="00B233DE" w:rsidRPr="00FC5E66" w:rsidRDefault="00B233DE" w:rsidP="00B233DE">
      <w:pPr>
        <w:pStyle w:val="ad"/>
        <w:widowControl w:val="0"/>
        <w:numPr>
          <w:ilvl w:val="0"/>
          <w:numId w:val="23"/>
        </w:numPr>
        <w:tabs>
          <w:tab w:val="left" w:pos="1134"/>
        </w:tabs>
        <w:ind w:left="0" w:firstLine="709"/>
        <w:jc w:val="both"/>
        <w:rPr>
          <w:rFonts w:ascii="Times New Roman" w:hAnsi="Times New Roman" w:cs="Times New Roman"/>
          <w:sz w:val="21"/>
          <w:szCs w:val="21"/>
          <w:lang w:eastAsia="ru-RU"/>
        </w:rPr>
      </w:pPr>
      <w:r w:rsidRPr="00FC5E66">
        <w:rPr>
          <w:rFonts w:ascii="Times New Roman" w:hAnsi="Times New Roman" w:cs="Times New Roman"/>
          <w:sz w:val="21"/>
          <w:szCs w:val="21"/>
          <w:lang w:eastAsia="ru-RU"/>
        </w:rPr>
        <w:t>Мегарівень соціальної політики – міжнародний рівень, на якому функціонують організації, установи, а також підприємства, діяльність яких носить глобальний характер і вплив на формування та реалізацію соціальної політики.</w:t>
      </w:r>
    </w:p>
    <w:p w:rsidR="00B233DE" w:rsidRPr="00FC5E66" w:rsidRDefault="00B233DE" w:rsidP="00B233DE">
      <w:pPr>
        <w:pStyle w:val="ad"/>
        <w:widowControl w:val="0"/>
        <w:numPr>
          <w:ilvl w:val="0"/>
          <w:numId w:val="23"/>
        </w:numPr>
        <w:tabs>
          <w:tab w:val="left" w:pos="1134"/>
        </w:tabs>
        <w:ind w:left="0" w:firstLine="709"/>
        <w:jc w:val="both"/>
        <w:rPr>
          <w:rFonts w:ascii="Times New Roman" w:hAnsi="Times New Roman" w:cs="Times New Roman"/>
          <w:sz w:val="21"/>
          <w:szCs w:val="21"/>
          <w:lang w:eastAsia="ru-RU"/>
        </w:rPr>
      </w:pPr>
      <w:r w:rsidRPr="00FC5E66">
        <w:rPr>
          <w:rFonts w:ascii="Times New Roman" w:hAnsi="Times New Roman" w:cs="Times New Roman"/>
          <w:sz w:val="21"/>
          <w:szCs w:val="21"/>
          <w:lang w:eastAsia="ru-RU"/>
        </w:rPr>
        <w:t>Макрорівень соціальної політики – рівень окремої країни. Основним суб’єктом соціальної політики на цьому рівні є держава, зокрема центральні органи законодавчої, виконавчої та судової влади, які здійснюють соціальну політику держави щодо регіонів. Додатковий вплив на соціальні відносини на макрорівні чинять різні комерційні і некомерційні структури загальнонаціонального масштабу.</w:t>
      </w:r>
    </w:p>
    <w:p w:rsidR="00B233DE" w:rsidRDefault="00B233DE" w:rsidP="00B233DE">
      <w:pPr>
        <w:pStyle w:val="ad"/>
        <w:widowControl w:val="0"/>
        <w:numPr>
          <w:ilvl w:val="0"/>
          <w:numId w:val="23"/>
        </w:numPr>
        <w:tabs>
          <w:tab w:val="left" w:pos="1134"/>
        </w:tabs>
        <w:ind w:left="0" w:firstLine="709"/>
        <w:jc w:val="both"/>
        <w:rPr>
          <w:rFonts w:ascii="Times New Roman" w:hAnsi="Times New Roman" w:cs="Times New Roman"/>
          <w:sz w:val="21"/>
          <w:szCs w:val="21"/>
          <w:lang w:eastAsia="ru-RU"/>
        </w:rPr>
      </w:pPr>
      <w:r w:rsidRPr="00FC5E66">
        <w:rPr>
          <w:rFonts w:ascii="Times New Roman" w:hAnsi="Times New Roman" w:cs="Times New Roman"/>
          <w:sz w:val="21"/>
          <w:szCs w:val="21"/>
          <w:lang w:eastAsia="ru-RU"/>
        </w:rPr>
        <w:t xml:space="preserve">Мезорівень соціальної політики – рівень регіону країни. Перебуваючи у сфері дії попередніх рівнів, особливістю даного є оптимальне поєднання дієздатності (наділеності повноваженнями) та наближеності до найелементарніших носіїв </w:t>
      </w:r>
      <w:r w:rsidRPr="00FC5E66">
        <w:rPr>
          <w:rFonts w:ascii="Times New Roman" w:hAnsi="Times New Roman" w:cs="Times New Roman"/>
          <w:sz w:val="21"/>
          <w:szCs w:val="21"/>
          <w:lang w:eastAsia="ru-RU"/>
        </w:rPr>
        <w:lastRenderedPageBreak/>
        <w:t xml:space="preserve">соціальних інтересів і потреб. Масштаб регіону в сучасних умовах є найбільш значимим для реалізації максимально ефективної соціальної політики. </w:t>
      </w:r>
    </w:p>
    <w:p w:rsidR="00B233DE" w:rsidRPr="00113FA4" w:rsidRDefault="00B233DE" w:rsidP="00B233DE">
      <w:pPr>
        <w:pStyle w:val="ad"/>
        <w:widowControl w:val="0"/>
        <w:numPr>
          <w:ilvl w:val="0"/>
          <w:numId w:val="23"/>
        </w:numPr>
        <w:tabs>
          <w:tab w:val="left" w:pos="1134"/>
        </w:tabs>
        <w:ind w:left="0" w:firstLine="709"/>
        <w:jc w:val="both"/>
        <w:rPr>
          <w:rFonts w:ascii="Times New Roman" w:hAnsi="Times New Roman" w:cs="Times New Roman"/>
          <w:spacing w:val="-6"/>
          <w:sz w:val="21"/>
          <w:szCs w:val="21"/>
          <w:lang w:eastAsia="ru-RU"/>
        </w:rPr>
      </w:pPr>
      <w:r w:rsidRPr="00113FA4">
        <w:rPr>
          <w:rFonts w:ascii="Times New Roman" w:hAnsi="Times New Roman" w:cs="Times New Roman"/>
          <w:spacing w:val="-6"/>
          <w:sz w:val="21"/>
          <w:szCs w:val="21"/>
          <w:lang w:eastAsia="ru-RU"/>
        </w:rPr>
        <w:t xml:space="preserve">Мікрорівень соціальної політики – рівень району в регіоні. </w:t>
      </w:r>
    </w:p>
    <w:p w:rsidR="00B233DE" w:rsidRPr="00113FA4" w:rsidRDefault="00B233DE" w:rsidP="00B233DE">
      <w:pPr>
        <w:pStyle w:val="ad"/>
        <w:widowControl w:val="0"/>
        <w:numPr>
          <w:ilvl w:val="0"/>
          <w:numId w:val="23"/>
        </w:numPr>
        <w:tabs>
          <w:tab w:val="left" w:pos="1134"/>
        </w:tabs>
        <w:ind w:left="0" w:firstLine="709"/>
        <w:jc w:val="both"/>
        <w:rPr>
          <w:rFonts w:ascii="Times New Roman" w:hAnsi="Times New Roman" w:cs="Times New Roman"/>
          <w:spacing w:val="-6"/>
          <w:sz w:val="20"/>
          <w:szCs w:val="20"/>
          <w:lang w:eastAsia="ru-RU"/>
        </w:rPr>
      </w:pPr>
      <w:r w:rsidRPr="00113FA4">
        <w:rPr>
          <w:rFonts w:ascii="Times New Roman" w:hAnsi="Times New Roman" w:cs="Times New Roman"/>
          <w:spacing w:val="-6"/>
          <w:sz w:val="20"/>
          <w:szCs w:val="20"/>
          <w:lang w:eastAsia="ru-RU"/>
        </w:rPr>
        <w:t>Нанорівень соціальної політики – рівень міста, селища, села.</w:t>
      </w:r>
    </w:p>
    <w:p w:rsidR="00B233DE" w:rsidRDefault="00B233DE" w:rsidP="00B233DE">
      <w:pPr>
        <w:pStyle w:val="ad"/>
        <w:widowControl w:val="0"/>
        <w:numPr>
          <w:ilvl w:val="0"/>
          <w:numId w:val="23"/>
        </w:numPr>
        <w:tabs>
          <w:tab w:val="left" w:pos="1134"/>
        </w:tabs>
        <w:ind w:left="0" w:firstLine="709"/>
        <w:jc w:val="both"/>
        <w:rPr>
          <w:rFonts w:ascii="Times New Roman" w:hAnsi="Times New Roman" w:cs="Times New Roman"/>
          <w:sz w:val="21"/>
          <w:szCs w:val="21"/>
          <w:lang w:eastAsia="ru-RU"/>
        </w:rPr>
      </w:pPr>
      <w:r w:rsidRPr="00FC5E66">
        <w:rPr>
          <w:rFonts w:ascii="Times New Roman" w:hAnsi="Times New Roman" w:cs="Times New Roman"/>
          <w:sz w:val="21"/>
          <w:szCs w:val="21"/>
          <w:lang w:eastAsia="ru-RU"/>
        </w:rPr>
        <w:t>Індивідуальний рівень соціальної політики – рівень підприємства, установи, організації; будь-якого формального чи неформального об’єднання громадян, мінімальний рівень виникнення соціальних відносин.</w:t>
      </w:r>
    </w:p>
    <w:p w:rsidR="00B233DE" w:rsidRPr="00A055C4" w:rsidRDefault="00B233DE" w:rsidP="00B233DE">
      <w:pPr>
        <w:widowControl w:val="0"/>
        <w:tabs>
          <w:tab w:val="left" w:pos="1134"/>
        </w:tabs>
        <w:ind w:left="709" w:firstLine="0"/>
        <w:jc w:val="both"/>
        <w:rPr>
          <w:rFonts w:ascii="Times New Roman" w:hAnsi="Times New Roman" w:cs="Times New Roman"/>
          <w:sz w:val="21"/>
          <w:szCs w:val="21"/>
          <w:lang w:eastAsia="ru-RU"/>
        </w:rPr>
      </w:pPr>
    </w:p>
    <w:p w:rsidR="00B233DE" w:rsidRDefault="00B233DE" w:rsidP="00B233DE">
      <w:pPr>
        <w:widowControl w:val="0"/>
        <w:tabs>
          <w:tab w:val="left" w:pos="1134"/>
        </w:tabs>
        <w:jc w:val="both"/>
        <w:rPr>
          <w:rFonts w:ascii="Times New Roman" w:hAnsi="Times New Roman" w:cs="Times New Roman"/>
          <w:sz w:val="21"/>
          <w:szCs w:val="21"/>
          <w:lang w:eastAsia="ru-RU"/>
        </w:rPr>
      </w:pPr>
      <w:r w:rsidRPr="00FC5E66">
        <w:rPr>
          <w:rFonts w:ascii="Times New Roman" w:hAnsi="Times New Roman" w:cs="Times New Roman"/>
          <w:noProof/>
          <w:sz w:val="21"/>
          <w:szCs w:val="21"/>
          <w:lang w:val="ru-RU" w:eastAsia="ru-RU"/>
        </w:rPr>
        <mc:AlternateContent>
          <mc:Choice Requires="wpg">
            <w:drawing>
              <wp:anchor distT="0" distB="0" distL="114300" distR="114300" simplePos="0" relativeHeight="251696128" behindDoc="0" locked="0" layoutInCell="1" allowOverlap="1" wp14:anchorId="34125849" wp14:editId="3ED1B16D">
                <wp:simplePos x="0" y="0"/>
                <wp:positionH relativeFrom="column">
                  <wp:posOffset>50165</wp:posOffset>
                </wp:positionH>
                <wp:positionV relativeFrom="paragraph">
                  <wp:posOffset>283210</wp:posOffset>
                </wp:positionV>
                <wp:extent cx="3868420" cy="3403600"/>
                <wp:effectExtent l="0" t="0" r="17780" b="25400"/>
                <wp:wrapTopAndBottom/>
                <wp:docPr id="935" name="Group 7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68420" cy="3403600"/>
                          <a:chOff x="774" y="1314"/>
                          <a:chExt cx="7282" cy="6691"/>
                        </a:xfrm>
                      </wpg:grpSpPr>
                      <wpg:grpSp>
                        <wpg:cNvPr id="936" name="Группа 50"/>
                        <wpg:cNvGrpSpPr>
                          <a:grpSpLocks/>
                        </wpg:cNvGrpSpPr>
                        <wpg:grpSpPr bwMode="auto">
                          <a:xfrm>
                            <a:off x="774" y="1353"/>
                            <a:ext cx="7282" cy="6652"/>
                            <a:chOff x="-1552" y="0"/>
                            <a:chExt cx="46237" cy="42242"/>
                          </a:xfrm>
                        </wpg:grpSpPr>
                        <wpg:grpSp>
                          <wpg:cNvPr id="937" name="Группа 1"/>
                          <wpg:cNvGrpSpPr>
                            <a:grpSpLocks/>
                          </wpg:cNvGrpSpPr>
                          <wpg:grpSpPr bwMode="auto">
                            <a:xfrm>
                              <a:off x="0" y="5952"/>
                              <a:ext cx="42786" cy="36290"/>
                              <a:chOff x="0" y="0"/>
                              <a:chExt cx="42787" cy="36296"/>
                            </a:xfrm>
                          </wpg:grpSpPr>
                          <wps:wsp>
                            <wps:cNvPr id="938" name="Овал 3"/>
                            <wps:cNvSpPr>
                              <a:spLocks noChangeArrowheads="1"/>
                            </wps:cNvSpPr>
                            <wps:spPr bwMode="auto">
                              <a:xfrm>
                                <a:off x="0" y="0"/>
                                <a:ext cx="42787" cy="36214"/>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939" name="Овал 4"/>
                            <wps:cNvSpPr>
                              <a:spLocks noChangeArrowheads="1"/>
                            </wps:cNvSpPr>
                            <wps:spPr bwMode="auto">
                              <a:xfrm>
                                <a:off x="1725" y="6211"/>
                                <a:ext cx="39336" cy="30003"/>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940" name="Овал 5"/>
                            <wps:cNvSpPr>
                              <a:spLocks noChangeArrowheads="1"/>
                            </wps:cNvSpPr>
                            <wps:spPr bwMode="auto">
                              <a:xfrm>
                                <a:off x="3623" y="12680"/>
                                <a:ext cx="35885" cy="23438"/>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941" name="Овал 6"/>
                            <wps:cNvSpPr>
                              <a:spLocks noChangeArrowheads="1"/>
                            </wps:cNvSpPr>
                            <wps:spPr bwMode="auto">
                              <a:xfrm>
                                <a:off x="5779" y="18374"/>
                                <a:ext cx="31659" cy="17748"/>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942" name="Овал 7"/>
                            <wps:cNvSpPr>
                              <a:spLocks noChangeArrowheads="1"/>
                            </wps:cNvSpPr>
                            <wps:spPr bwMode="auto">
                              <a:xfrm>
                                <a:off x="8712" y="24326"/>
                                <a:ext cx="25438" cy="11970"/>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943" name="Поле 8"/>
                            <wps:cNvSpPr txBox="1">
                              <a:spLocks noChangeArrowheads="1"/>
                            </wps:cNvSpPr>
                            <wps:spPr bwMode="auto">
                              <a:xfrm>
                                <a:off x="12680" y="26310"/>
                                <a:ext cx="17684" cy="8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Індивідуальний рівень</w:t>
                                  </w:r>
                                </w:p>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(підприємство, організація, установа; будь-яке формальне чи неформальне об’єднання громадян)</w:t>
                                  </w:r>
                                </w:p>
                              </w:txbxContent>
                            </wps:txbx>
                            <wps:bodyPr rot="0" vert="horz" wrap="square" lIns="0" tIns="0" rIns="0" bIns="0" anchor="ctr" anchorCtr="0" upright="1">
                              <a:noAutofit/>
                            </wps:bodyPr>
                          </wps:wsp>
                          <wps:wsp>
                            <wps:cNvPr id="944" name="Поле 9"/>
                            <wps:cNvSpPr txBox="1">
                              <a:spLocks noChangeArrowheads="1"/>
                            </wps:cNvSpPr>
                            <wps:spPr bwMode="auto">
                              <a:xfrm>
                                <a:off x="12680" y="19150"/>
                                <a:ext cx="17679" cy="5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Нанорівень</w:t>
                                  </w:r>
                                </w:p>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(місто, селище, село)</w:t>
                                  </w:r>
                                </w:p>
                              </w:txbxContent>
                            </wps:txbx>
                            <wps:bodyPr rot="0" vert="horz" wrap="square" lIns="91440" tIns="45720" rIns="91440" bIns="45720" anchor="t" anchorCtr="0" upright="1">
                              <a:noAutofit/>
                            </wps:bodyPr>
                          </wps:wsp>
                          <wps:wsp>
                            <wps:cNvPr id="946" name="Поле 10"/>
                            <wps:cNvSpPr txBox="1">
                              <a:spLocks noChangeArrowheads="1"/>
                            </wps:cNvSpPr>
                            <wps:spPr bwMode="auto">
                              <a:xfrm>
                                <a:off x="12680" y="13284"/>
                                <a:ext cx="17679" cy="47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Мікрорівень</w:t>
                                  </w:r>
                                </w:p>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(район)</w:t>
                                  </w:r>
                                </w:p>
                              </w:txbxContent>
                            </wps:txbx>
                            <wps:bodyPr rot="0" vert="horz" wrap="square" lIns="91440" tIns="45720" rIns="91440" bIns="45720" anchor="t" anchorCtr="0" upright="1">
                              <a:noAutofit/>
                            </wps:bodyPr>
                          </wps:wsp>
                          <wps:wsp>
                            <wps:cNvPr id="947" name="Поле 11"/>
                            <wps:cNvSpPr txBox="1">
                              <a:spLocks noChangeArrowheads="1"/>
                            </wps:cNvSpPr>
                            <wps:spPr bwMode="auto">
                              <a:xfrm>
                                <a:off x="12680" y="6901"/>
                                <a:ext cx="17679" cy="5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Мезорівень</w:t>
                                  </w:r>
                                </w:p>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(регіон країни)</w:t>
                                  </w:r>
                                </w:p>
                              </w:txbxContent>
                            </wps:txbx>
                            <wps:bodyPr rot="0" vert="horz" wrap="square" lIns="91440" tIns="45720" rIns="91440" bIns="45720" anchor="t" anchorCtr="0" upright="1">
                              <a:noAutofit/>
                            </wps:bodyPr>
                          </wps:wsp>
                          <wps:wsp>
                            <wps:cNvPr id="948" name="Поле 12"/>
                            <wps:cNvSpPr txBox="1">
                              <a:spLocks noChangeArrowheads="1"/>
                            </wps:cNvSpPr>
                            <wps:spPr bwMode="auto">
                              <a:xfrm>
                                <a:off x="12680" y="603"/>
                                <a:ext cx="17684" cy="5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Макрорівень</w:t>
                                  </w:r>
                                </w:p>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(країна)</w:t>
                                  </w:r>
                                </w:p>
                              </w:txbxContent>
                            </wps:txbx>
                            <wps:bodyPr rot="0" vert="horz" wrap="square" lIns="0" tIns="0" rIns="0" bIns="0" anchor="ctr" anchorCtr="0" upright="1">
                              <a:noAutofit/>
                            </wps:bodyPr>
                          </wps:wsp>
                        </wpg:grpSp>
                        <wps:wsp>
                          <wps:cNvPr id="949" name="Овал 29"/>
                          <wps:cNvSpPr>
                            <a:spLocks noChangeArrowheads="1"/>
                          </wps:cNvSpPr>
                          <wps:spPr bwMode="auto">
                            <a:xfrm>
                              <a:off x="-1552" y="0"/>
                              <a:ext cx="46236" cy="42061"/>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950" name="Поле 30"/>
                        <wps:cNvSpPr txBox="1">
                          <a:spLocks noChangeArrowheads="1"/>
                        </wps:cNvSpPr>
                        <wps:spPr bwMode="auto">
                          <a:xfrm>
                            <a:off x="2934" y="1314"/>
                            <a:ext cx="2785" cy="8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Мегарівень</w:t>
                              </w:r>
                            </w:p>
                            <w:p w:rsidR="00BE40F8" w:rsidRPr="00113FA4" w:rsidRDefault="00BE40F8" w:rsidP="00B233DE">
                              <w:pPr>
                                <w:jc w:val="center"/>
                                <w:rPr>
                                  <w:rFonts w:ascii="Times New Roman" w:hAnsi="Times New Roman" w:cs="Times New Roman"/>
                                  <w:sz w:val="18"/>
                                  <w:szCs w:val="18"/>
                                </w:rPr>
                              </w:pPr>
                              <w:r w:rsidRPr="00113FA4">
                                <w:rPr>
                                  <w:rFonts w:ascii="Times New Roman" w:hAnsi="Times New Roman" w:cs="Times New Roman"/>
                                  <w:sz w:val="18"/>
                                  <w:szCs w:val="18"/>
                                </w:rPr>
                                <w:t>(міжнародний рівень)</w:t>
                              </w:r>
                            </w:p>
                          </w:txbxContent>
                        </wps:txbx>
                        <wps:bodyPr rot="0" vert="horz" wrap="square" lIns="0" tIns="0" rIns="0" bIns="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125849" id="Group 793" o:spid="_x0000_s2062" style="position:absolute;left:0;text-align:left;margin-left:3.95pt;margin-top:22.3pt;width:304.6pt;height:268pt;z-index:251696128;mso-position-horizontal-relative:text;mso-position-vertical-relative:text" coordorigin="774,1314" coordsize="7282,66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">
                <v:group id="Группа 50" o:spid="_x0000_s2063" style="position:absolute;left:774;top:1353;width:7282;height:6652" coordorigin="-1552" coordsize="46237,42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">
                  <v:group id="Группа 1" o:spid="_x0000_s2064" style="position:absolute;top:5952;width:42786;height:36290" coordsize="42787,36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">
                    <v:oval id="Овал 3" o:spid="_x0000_s2065" style="position:absolute;width:42787;height:36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" filled="f" strokeweight="1pt"/>
                    <v:oval id="Овал 4" o:spid="_x0000_s2066" style="position:absolute;left:1725;top:6211;width:39336;height:30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" filled="f" strokeweight="1pt"/>
                    <v:oval id="Овал 5" o:spid="_x0000_s2067" style="position:absolute;left:3623;top:12680;width:35885;height:234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" filled="f" strokeweight="1pt"/>
                    <v:oval id="Овал 6" o:spid="_x0000_s2068" style="position:absolute;left:5779;top:18374;width:31659;height:177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" filled="f" strokeweight="1pt"/>
                    <v:oval id="Овал 7" o:spid="_x0000_s2069" style="position:absolute;left:8712;top:24326;width:25438;height:119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" filled="f" strokeweight="1pt"/>
                    <v:shape id="Поле 8" o:spid="_x0000_s2070" type="#_x0000_t202" style="position:absolute;left:12680;top:26310;width:17684;height:88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" filled="f" stroked="f" strokeweight=".5pt">
                      <v:textbox inset="0,0,0,0">
                        <w:txbxContent>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Індивідуальний рівень</w:t>
                            </w:r>
                          </w:p>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(підприємство, організація, установа; будь-яке формальне чи неформальне об’єднання громадян)</w:t>
                            </w:r>
                          </w:p>
                        </w:txbxContent>
                      </v:textbox>
                    </v:shape>
                    <v:shape id="Поле 9" o:spid="_x0000_s2071" type="#_x0000_t202" style="position:absolute;left:12680;top:19150;width:17679;height:5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" filled="f" stroked="f" strokeweight=".5pt">
                      <v:textbox>
                        <w:txbxContent>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Нанорівень</w:t>
                            </w:r>
                          </w:p>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(місто, селище, село)</w:t>
                            </w:r>
                          </w:p>
                        </w:txbxContent>
                      </v:textbox>
                    </v:shape>
                    <v:shape id="Поле 10" o:spid="_x0000_s2072" type="#_x0000_t202" style="position:absolute;left:12680;top:13284;width:17679;height:4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" filled="f" stroked="f" strokeweight=".5pt">
                      <v:textbox>
                        <w:txbxContent>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Мікрорівень</w:t>
                            </w:r>
                          </w:p>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(район)</w:t>
                            </w:r>
                          </w:p>
                        </w:txbxContent>
                      </v:textbox>
                    </v:shape>
                    <v:shape id="Поле 11" o:spid="_x0000_s2073" type="#_x0000_t202" style="position:absolute;left:12680;top:6901;width:17679;height:5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" filled="f" stroked="f" strokeweight=".5pt">
                      <v:textbox>
                        <w:txbxContent>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Мезорівень</w:t>
                            </w:r>
                          </w:p>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(регіон країни)</w:t>
                            </w:r>
                          </w:p>
                        </w:txbxContent>
                      </v:textbox>
                    </v:shape>
                    <v:shape id="Поле 12" o:spid="_x0000_s2074" type="#_x0000_t202" style="position:absolute;left:12680;top:603;width:17684;height:5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" filled="f" stroked="f" strokeweight=".5pt">
                      <v:textbox inset="0,0,0,0">
                        <w:txbxContent>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Макрорівень</w:t>
                            </w:r>
                          </w:p>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(країна)</w:t>
                            </w:r>
                          </w:p>
                        </w:txbxContent>
                      </v:textbox>
                    </v:shape>
                  </v:group>
                  <v:oval id="Овал 29" o:spid="_x0000_s2075" style="position:absolute;left:-1552;width:46236;height:420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" filled="f" strokeweight="1pt"/>
                </v:group>
                <v:shape id="Поле 30" o:spid="_x0000_s2076" type="#_x0000_t202" style="position:absolute;left:2934;top:1314;width:2785;height:8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" filled="f" stroked="f" strokeweight=".5pt">
                  <v:textbox inset="0,0,0,0">
                    <w:txbxContent>
                      <w:p w:rsidR="00BE40F8" w:rsidRPr="00113FA4" w:rsidRDefault="00BE40F8" w:rsidP="00B233DE">
                        <w:pPr>
                          <w:ind w:firstLine="0"/>
                          <w:jc w:val="center"/>
                          <w:rPr>
                            <w:rFonts w:ascii="Times New Roman" w:hAnsi="Times New Roman" w:cs="Times New Roman"/>
                            <w:sz w:val="18"/>
                            <w:szCs w:val="18"/>
                          </w:rPr>
                        </w:pPr>
                        <w:r w:rsidRPr="00113FA4">
                          <w:rPr>
                            <w:rFonts w:ascii="Times New Roman" w:hAnsi="Times New Roman" w:cs="Times New Roman"/>
                            <w:sz w:val="18"/>
                            <w:szCs w:val="18"/>
                          </w:rPr>
                          <w:t>Мегарівень</w:t>
                        </w:r>
                      </w:p>
                      <w:p w:rsidR="00BE40F8" w:rsidRPr="00113FA4" w:rsidRDefault="00BE40F8" w:rsidP="00B233DE">
                        <w:pPr>
                          <w:jc w:val="center"/>
                          <w:rPr>
                            <w:rFonts w:ascii="Times New Roman" w:hAnsi="Times New Roman" w:cs="Times New Roman"/>
                            <w:sz w:val="18"/>
                            <w:szCs w:val="18"/>
                          </w:rPr>
                        </w:pPr>
                        <w:r w:rsidRPr="00113FA4">
                          <w:rPr>
                            <w:rFonts w:ascii="Times New Roman" w:hAnsi="Times New Roman" w:cs="Times New Roman"/>
                            <w:sz w:val="18"/>
                            <w:szCs w:val="18"/>
                          </w:rPr>
                          <w:t>(міжнародний рівень)</w:t>
                        </w:r>
                      </w:p>
                    </w:txbxContent>
                  </v:textbox>
                </v:shape>
                <w10:wrap type="topAndBottom"/>
              </v:group>
            </w:pict>
          </mc:Fallback>
        </mc:AlternateContent>
      </w:r>
    </w:p>
    <w:p w:rsidR="00B233DE" w:rsidRDefault="00B233DE" w:rsidP="00B233DE">
      <w:pPr>
        <w:widowControl w:val="0"/>
        <w:tabs>
          <w:tab w:val="left" w:pos="1134"/>
        </w:tabs>
        <w:jc w:val="both"/>
        <w:rPr>
          <w:rFonts w:ascii="Times New Roman" w:hAnsi="Times New Roman" w:cs="Times New Roman"/>
          <w:sz w:val="21"/>
          <w:szCs w:val="21"/>
          <w:lang w:eastAsia="ru-RU"/>
        </w:rPr>
      </w:pPr>
    </w:p>
    <w:p w:rsidR="00B233DE" w:rsidRPr="00113FA4" w:rsidRDefault="00B233DE" w:rsidP="00B233DE">
      <w:pPr>
        <w:ind w:firstLine="709"/>
        <w:jc w:val="center"/>
        <w:rPr>
          <w:rFonts w:ascii="Times New Roman" w:hAnsi="Times New Roman" w:cs="Times New Roman"/>
          <w:b/>
          <w:sz w:val="21"/>
          <w:szCs w:val="21"/>
        </w:rPr>
      </w:pPr>
      <w:r w:rsidRPr="00113FA4">
        <w:rPr>
          <w:rFonts w:ascii="Times New Roman" w:hAnsi="Times New Roman" w:cs="Times New Roman"/>
          <w:b/>
          <w:sz w:val="21"/>
          <w:szCs w:val="21"/>
        </w:rPr>
        <w:t>Рис. 5.1. – Рівні соціальної політики</w:t>
      </w:r>
    </w:p>
    <w:p w:rsidR="00B233DE" w:rsidRDefault="00B233DE" w:rsidP="00B233DE">
      <w:pPr>
        <w:widowControl w:val="0"/>
        <w:tabs>
          <w:tab w:val="left" w:pos="1134"/>
        </w:tabs>
        <w:jc w:val="both"/>
        <w:rPr>
          <w:rFonts w:ascii="Times New Roman" w:hAnsi="Times New Roman" w:cs="Times New Roman"/>
          <w:sz w:val="21"/>
          <w:szCs w:val="21"/>
          <w:lang w:eastAsia="ru-RU"/>
        </w:rPr>
      </w:pPr>
    </w:p>
    <w:p w:rsidR="00B233DE" w:rsidRPr="00FC5E66" w:rsidRDefault="00B233DE" w:rsidP="00B233DE">
      <w:pPr>
        <w:ind w:firstLine="708"/>
        <w:jc w:val="both"/>
        <w:rPr>
          <w:rFonts w:ascii="Times New Roman" w:hAnsi="Times New Roman" w:cs="Times New Roman"/>
          <w:sz w:val="21"/>
          <w:szCs w:val="21"/>
        </w:rPr>
      </w:pPr>
      <w:r w:rsidRPr="00FC5E66">
        <w:rPr>
          <w:rFonts w:ascii="Times New Roman" w:hAnsi="Times New Roman" w:cs="Times New Roman"/>
          <w:sz w:val="21"/>
          <w:szCs w:val="21"/>
          <w:lang w:eastAsia="ru-RU"/>
        </w:rPr>
        <w:t xml:space="preserve">Кожен рівень соціальної політики характеризується певною структурою та переважаючою активністю конкретних суб’єктів. </w:t>
      </w:r>
      <w:r w:rsidRPr="00FC5E66">
        <w:rPr>
          <w:rFonts w:ascii="Times New Roman" w:hAnsi="Times New Roman" w:cs="Times New Roman"/>
          <w:sz w:val="21"/>
          <w:szCs w:val="21"/>
          <w:lang w:eastAsia="ru-RU"/>
        </w:rPr>
        <w:lastRenderedPageBreak/>
        <w:t>Для підвищення раціональності дослідження різнобічних аспектів соціальної політики ми пропонуємо використовувати різнорівневе групування суб’єктів соціальної політики, в основу якого покла</w:t>
      </w:r>
      <w:r>
        <w:rPr>
          <w:rFonts w:ascii="Times New Roman" w:hAnsi="Times New Roman" w:cs="Times New Roman"/>
          <w:sz w:val="21"/>
          <w:szCs w:val="21"/>
          <w:lang w:eastAsia="ru-RU"/>
        </w:rPr>
        <w:t>-</w:t>
      </w:r>
      <w:r w:rsidRPr="00FC5E66">
        <w:rPr>
          <w:rFonts w:ascii="Times New Roman" w:hAnsi="Times New Roman" w:cs="Times New Roman"/>
          <w:sz w:val="21"/>
          <w:szCs w:val="21"/>
          <w:lang w:eastAsia="ru-RU"/>
        </w:rPr>
        <w:t>дений їх поділ на представників державної влади, представників комерційних та некомерційних структур, а також громад, об’єдна</w:t>
      </w:r>
      <w:r>
        <w:rPr>
          <w:rFonts w:ascii="Times New Roman" w:hAnsi="Times New Roman" w:cs="Times New Roman"/>
          <w:sz w:val="21"/>
          <w:szCs w:val="21"/>
          <w:lang w:eastAsia="ru-RU"/>
        </w:rPr>
        <w:t>-</w:t>
      </w:r>
      <w:r w:rsidRPr="00FC5E66">
        <w:rPr>
          <w:rFonts w:ascii="Times New Roman" w:hAnsi="Times New Roman" w:cs="Times New Roman"/>
          <w:sz w:val="21"/>
          <w:szCs w:val="21"/>
          <w:lang w:eastAsia="ru-RU"/>
        </w:rPr>
        <w:t xml:space="preserve">них, насамперед, спільною територією проживання (рис. </w:t>
      </w:r>
      <w:r>
        <w:rPr>
          <w:rFonts w:ascii="Times New Roman" w:hAnsi="Times New Roman" w:cs="Times New Roman"/>
          <w:sz w:val="21"/>
          <w:szCs w:val="21"/>
          <w:lang w:eastAsia="ru-RU"/>
        </w:rPr>
        <w:t>5</w:t>
      </w:r>
      <w:r w:rsidRPr="00FC5E66">
        <w:rPr>
          <w:rFonts w:ascii="Times New Roman" w:hAnsi="Times New Roman" w:cs="Times New Roman"/>
          <w:sz w:val="21"/>
          <w:szCs w:val="21"/>
          <w:lang w:eastAsia="ru-RU"/>
        </w:rPr>
        <w:t>.2).</w:t>
      </w:r>
    </w:p>
    <w:p w:rsidR="00B233DE" w:rsidRPr="00337442" w:rsidRDefault="00B233DE" w:rsidP="00B233DE">
      <w:pPr>
        <w:pStyle w:val="ad"/>
        <w:widowControl w:val="0"/>
        <w:tabs>
          <w:tab w:val="left" w:pos="1134"/>
        </w:tabs>
        <w:ind w:left="0" w:firstLine="709"/>
        <w:jc w:val="both"/>
        <w:rPr>
          <w:rFonts w:ascii="Times New Roman" w:hAnsi="Times New Roman"/>
          <w:sz w:val="21"/>
          <w:szCs w:val="21"/>
          <w:lang w:eastAsia="ru-RU"/>
        </w:rPr>
      </w:pPr>
      <w:r w:rsidRPr="00337442">
        <w:rPr>
          <w:rFonts w:ascii="Times New Roman" w:hAnsi="Times New Roman"/>
          <w:sz w:val="21"/>
          <w:szCs w:val="21"/>
          <w:lang w:eastAsia="ru-RU"/>
        </w:rPr>
        <w:t>Відповідно до такого підходу серед основних груп суб’єктів соціальної політики ми виділили такі:</w:t>
      </w:r>
    </w:p>
    <w:p w:rsidR="00B233DE" w:rsidRPr="00337442" w:rsidRDefault="00B233DE" w:rsidP="00B233DE">
      <w:pPr>
        <w:pStyle w:val="ad"/>
        <w:widowControl w:val="0"/>
        <w:numPr>
          <w:ilvl w:val="0"/>
          <w:numId w:val="26"/>
        </w:numPr>
        <w:tabs>
          <w:tab w:val="left" w:pos="993"/>
        </w:tabs>
        <w:ind w:left="0" w:firstLine="709"/>
        <w:jc w:val="both"/>
        <w:rPr>
          <w:rFonts w:ascii="Times New Roman" w:hAnsi="Times New Roman"/>
          <w:sz w:val="21"/>
          <w:szCs w:val="21"/>
          <w:lang w:eastAsia="ru-RU"/>
        </w:rPr>
      </w:pPr>
      <w:r w:rsidRPr="00337442">
        <w:rPr>
          <w:rFonts w:ascii="Times New Roman" w:hAnsi="Times New Roman"/>
          <w:sz w:val="21"/>
          <w:szCs w:val="21"/>
          <w:lang w:eastAsia="ru-RU"/>
        </w:rPr>
        <w:t>державні органи законодавчої влади;</w:t>
      </w:r>
    </w:p>
    <w:p w:rsidR="00B233DE" w:rsidRPr="00337442" w:rsidRDefault="00B233DE" w:rsidP="00B233DE">
      <w:pPr>
        <w:pStyle w:val="ad"/>
        <w:widowControl w:val="0"/>
        <w:numPr>
          <w:ilvl w:val="0"/>
          <w:numId w:val="26"/>
        </w:numPr>
        <w:tabs>
          <w:tab w:val="left" w:pos="993"/>
        </w:tabs>
        <w:ind w:left="0" w:firstLine="709"/>
        <w:jc w:val="both"/>
        <w:rPr>
          <w:rFonts w:ascii="Times New Roman" w:hAnsi="Times New Roman"/>
          <w:sz w:val="21"/>
          <w:szCs w:val="21"/>
          <w:lang w:eastAsia="ru-RU"/>
        </w:rPr>
      </w:pPr>
      <w:r w:rsidRPr="00337442">
        <w:rPr>
          <w:rFonts w:ascii="Times New Roman" w:hAnsi="Times New Roman"/>
          <w:sz w:val="21"/>
          <w:szCs w:val="21"/>
          <w:lang w:eastAsia="ru-RU"/>
        </w:rPr>
        <w:t>державні органи виконавчої влади;</w:t>
      </w:r>
    </w:p>
    <w:p w:rsidR="00B233DE" w:rsidRPr="00337442" w:rsidRDefault="00B233DE" w:rsidP="00B233DE">
      <w:pPr>
        <w:pStyle w:val="ad"/>
        <w:widowControl w:val="0"/>
        <w:numPr>
          <w:ilvl w:val="0"/>
          <w:numId w:val="26"/>
        </w:numPr>
        <w:tabs>
          <w:tab w:val="left" w:pos="993"/>
        </w:tabs>
        <w:ind w:left="0" w:firstLine="709"/>
        <w:jc w:val="both"/>
        <w:rPr>
          <w:rFonts w:ascii="Times New Roman" w:hAnsi="Times New Roman"/>
          <w:sz w:val="21"/>
          <w:szCs w:val="21"/>
          <w:lang w:eastAsia="ru-RU"/>
        </w:rPr>
      </w:pPr>
      <w:r w:rsidRPr="00337442">
        <w:rPr>
          <w:rFonts w:ascii="Times New Roman" w:hAnsi="Times New Roman"/>
          <w:sz w:val="21"/>
          <w:szCs w:val="21"/>
          <w:lang w:eastAsia="ru-RU"/>
        </w:rPr>
        <w:t>державні органи судової влади;</w:t>
      </w:r>
    </w:p>
    <w:p w:rsidR="00B233DE" w:rsidRPr="00337442" w:rsidRDefault="00B233DE" w:rsidP="00B233DE">
      <w:pPr>
        <w:pStyle w:val="ad"/>
        <w:widowControl w:val="0"/>
        <w:numPr>
          <w:ilvl w:val="0"/>
          <w:numId w:val="26"/>
        </w:numPr>
        <w:tabs>
          <w:tab w:val="left" w:pos="993"/>
        </w:tabs>
        <w:ind w:left="0" w:firstLine="709"/>
        <w:jc w:val="both"/>
        <w:rPr>
          <w:rFonts w:ascii="Times New Roman" w:hAnsi="Times New Roman"/>
          <w:sz w:val="21"/>
          <w:szCs w:val="21"/>
          <w:lang w:eastAsia="ru-RU"/>
        </w:rPr>
      </w:pPr>
      <w:r w:rsidRPr="00337442">
        <w:rPr>
          <w:rFonts w:ascii="Times New Roman" w:hAnsi="Times New Roman"/>
          <w:sz w:val="21"/>
          <w:szCs w:val="21"/>
          <w:lang w:eastAsia="ru-RU"/>
        </w:rPr>
        <w:t>комерційні структури;</w:t>
      </w:r>
    </w:p>
    <w:p w:rsidR="00B233DE" w:rsidRPr="00337442" w:rsidRDefault="00B233DE" w:rsidP="00B233DE">
      <w:pPr>
        <w:pStyle w:val="ad"/>
        <w:widowControl w:val="0"/>
        <w:numPr>
          <w:ilvl w:val="0"/>
          <w:numId w:val="26"/>
        </w:numPr>
        <w:tabs>
          <w:tab w:val="left" w:pos="993"/>
        </w:tabs>
        <w:ind w:left="0" w:firstLine="709"/>
        <w:jc w:val="both"/>
        <w:rPr>
          <w:rFonts w:ascii="Times New Roman" w:hAnsi="Times New Roman"/>
          <w:sz w:val="21"/>
          <w:szCs w:val="21"/>
          <w:lang w:eastAsia="ru-RU"/>
        </w:rPr>
      </w:pPr>
      <w:r w:rsidRPr="00337442">
        <w:rPr>
          <w:rFonts w:ascii="Times New Roman" w:hAnsi="Times New Roman"/>
          <w:sz w:val="21"/>
          <w:szCs w:val="21"/>
          <w:lang w:eastAsia="ru-RU"/>
        </w:rPr>
        <w:t>некомерційні структури;</w:t>
      </w:r>
    </w:p>
    <w:p w:rsidR="00B233DE" w:rsidRPr="00FC5E66" w:rsidRDefault="00B233DE" w:rsidP="00B233DE">
      <w:pPr>
        <w:ind w:firstLine="708"/>
        <w:jc w:val="both"/>
        <w:rPr>
          <w:rFonts w:ascii="Times New Roman" w:hAnsi="Times New Roman" w:cs="Times New Roman"/>
          <w:sz w:val="21"/>
          <w:szCs w:val="21"/>
        </w:rPr>
      </w:pPr>
      <w:r w:rsidRPr="00337442">
        <w:rPr>
          <w:rFonts w:ascii="Times New Roman" w:hAnsi="Times New Roman"/>
          <w:sz w:val="21"/>
          <w:szCs w:val="21"/>
          <w:lang w:eastAsia="ru-RU"/>
        </w:rPr>
        <w:t>особливий суб’єкт соціальної політики – особу (об’єднання осіб), яка є одночасно носієм соціальних потреб та інтересів; епіцентром, у залежності від якого знаходяться усі інші рівні. На місцевому рівні особа представлена у якості територіальної грома</w:t>
      </w:r>
      <w:r>
        <w:rPr>
          <w:rFonts w:ascii="Times New Roman" w:hAnsi="Times New Roman"/>
          <w:sz w:val="21"/>
          <w:szCs w:val="21"/>
          <w:lang w:eastAsia="ru-RU"/>
        </w:rPr>
        <w:t>-</w:t>
      </w:r>
      <w:r w:rsidRPr="00337442">
        <w:rPr>
          <w:rFonts w:ascii="Times New Roman" w:hAnsi="Times New Roman"/>
          <w:sz w:val="21"/>
          <w:szCs w:val="21"/>
          <w:lang w:eastAsia="ru-RU"/>
        </w:rPr>
        <w:t>ди, на районному рівні – населенням району та об’єднанням тери</w:t>
      </w:r>
      <w:r>
        <w:rPr>
          <w:rFonts w:ascii="Times New Roman" w:hAnsi="Times New Roman"/>
          <w:sz w:val="21"/>
          <w:szCs w:val="21"/>
          <w:lang w:eastAsia="ru-RU"/>
        </w:rPr>
        <w:t>-</w:t>
      </w:r>
      <w:r w:rsidRPr="00337442">
        <w:rPr>
          <w:rFonts w:ascii="Times New Roman" w:hAnsi="Times New Roman"/>
          <w:sz w:val="21"/>
          <w:szCs w:val="21"/>
          <w:lang w:eastAsia="ru-RU"/>
        </w:rPr>
        <w:t xml:space="preserve">торіальних громад (формування останніх стала можливою після прийняття Закону України «Про </w:t>
      </w:r>
      <w:r w:rsidRPr="00337442">
        <w:rPr>
          <w:rStyle w:val="rvts23"/>
          <w:rFonts w:ascii="Times New Roman" w:hAnsi="Times New Roman"/>
          <w:sz w:val="21"/>
          <w:szCs w:val="21"/>
        </w:rPr>
        <w:t>добровільне об’єднання терито</w:t>
      </w:r>
      <w:r>
        <w:rPr>
          <w:rStyle w:val="rvts23"/>
          <w:rFonts w:ascii="Times New Roman" w:hAnsi="Times New Roman"/>
          <w:sz w:val="21"/>
          <w:szCs w:val="21"/>
        </w:rPr>
        <w:t>-</w:t>
      </w:r>
      <w:r w:rsidRPr="00337442">
        <w:rPr>
          <w:rStyle w:val="rvts23"/>
          <w:rFonts w:ascii="Times New Roman" w:hAnsi="Times New Roman"/>
          <w:sz w:val="21"/>
          <w:szCs w:val="21"/>
        </w:rPr>
        <w:t>ріа</w:t>
      </w:r>
      <w:r>
        <w:rPr>
          <w:rStyle w:val="rvts23"/>
          <w:rFonts w:ascii="Times New Roman" w:hAnsi="Times New Roman"/>
          <w:sz w:val="21"/>
          <w:szCs w:val="21"/>
        </w:rPr>
        <w:t>льних громад» у лютому 2015 р.</w:t>
      </w:r>
      <w:r w:rsidRPr="00337442">
        <w:rPr>
          <w:rStyle w:val="rvts23"/>
          <w:rFonts w:ascii="Times New Roman" w:hAnsi="Times New Roman"/>
          <w:sz w:val="21"/>
          <w:szCs w:val="21"/>
        </w:rPr>
        <w:t>)</w:t>
      </w:r>
      <w:r w:rsidRPr="00337442">
        <w:rPr>
          <w:rFonts w:ascii="Times New Roman" w:hAnsi="Times New Roman"/>
          <w:sz w:val="21"/>
          <w:szCs w:val="21"/>
          <w:lang w:eastAsia="ru-RU"/>
        </w:rPr>
        <w:t>, на регіональному рівні – насе</w:t>
      </w:r>
      <w:r>
        <w:rPr>
          <w:rFonts w:ascii="Times New Roman" w:hAnsi="Times New Roman"/>
          <w:sz w:val="21"/>
          <w:szCs w:val="21"/>
          <w:lang w:eastAsia="ru-RU"/>
        </w:rPr>
        <w:t>-</w:t>
      </w:r>
      <w:r w:rsidRPr="00337442">
        <w:rPr>
          <w:rFonts w:ascii="Times New Roman" w:hAnsi="Times New Roman"/>
          <w:sz w:val="21"/>
          <w:szCs w:val="21"/>
          <w:lang w:eastAsia="ru-RU"/>
        </w:rPr>
        <w:t xml:space="preserve">ленням регіону та об’єднаннями територіальних громад, на рівні </w:t>
      </w:r>
      <w:r w:rsidRPr="006C7057">
        <w:rPr>
          <w:rFonts w:ascii="Times New Roman" w:hAnsi="Times New Roman"/>
          <w:spacing w:val="-4"/>
          <w:sz w:val="21"/>
          <w:szCs w:val="21"/>
          <w:lang w:eastAsia="ru-RU"/>
        </w:rPr>
        <w:t>країни – її населенням, на міжнародному рівні – населенням планети.</w:t>
      </w:r>
    </w:p>
    <w:p w:rsidR="00B233DE" w:rsidRPr="00337442" w:rsidRDefault="00B233DE" w:rsidP="00B233DE">
      <w:pPr>
        <w:pStyle w:val="ad"/>
        <w:widowControl w:val="0"/>
        <w:tabs>
          <w:tab w:val="left" w:pos="1134"/>
        </w:tabs>
        <w:ind w:left="0" w:firstLine="709"/>
        <w:jc w:val="both"/>
        <w:rPr>
          <w:rFonts w:ascii="Times New Roman" w:hAnsi="Times New Roman"/>
          <w:sz w:val="21"/>
          <w:szCs w:val="21"/>
          <w:lang w:eastAsia="ru-RU"/>
        </w:rPr>
      </w:pPr>
      <w:r>
        <w:rPr>
          <w:rFonts w:ascii="Times New Roman" w:hAnsi="Times New Roman"/>
          <w:sz w:val="21"/>
          <w:szCs w:val="21"/>
          <w:lang w:eastAsia="ru-RU"/>
        </w:rPr>
        <w:t>Зображена на рис.</w:t>
      </w:r>
      <w:r w:rsidRPr="00337442">
        <w:rPr>
          <w:rFonts w:ascii="Times New Roman" w:hAnsi="Times New Roman"/>
          <w:sz w:val="21"/>
          <w:szCs w:val="21"/>
          <w:lang w:eastAsia="ru-RU"/>
        </w:rPr>
        <w:t xml:space="preserve"> </w:t>
      </w:r>
      <w:r w:rsidRPr="00113FA4">
        <w:rPr>
          <w:rFonts w:ascii="Times New Roman" w:hAnsi="Times New Roman"/>
          <w:sz w:val="21"/>
          <w:szCs w:val="21"/>
          <w:lang w:val="ru-RU" w:eastAsia="ru-RU"/>
        </w:rPr>
        <w:t>5</w:t>
      </w:r>
      <w:r>
        <w:rPr>
          <w:rFonts w:ascii="Times New Roman" w:hAnsi="Times New Roman"/>
          <w:sz w:val="21"/>
          <w:szCs w:val="21"/>
          <w:lang w:eastAsia="ru-RU"/>
        </w:rPr>
        <w:t>.</w:t>
      </w:r>
      <w:r w:rsidRPr="00337442">
        <w:rPr>
          <w:rFonts w:ascii="Times New Roman" w:hAnsi="Times New Roman"/>
          <w:sz w:val="21"/>
          <w:szCs w:val="21"/>
          <w:lang w:eastAsia="ru-RU"/>
        </w:rPr>
        <w:t>2 схема дозволяє наочно відобразити особливе становище людини, особистості, індивідуальності, яка є безпосереднім та основним суб’єктом соціальної політики. Ще Арістотель писав, що головним суб’єктом політики має бути не держава, а людина. Будь-яке, навіть просте, завдання соціального розвитку і соціальної політики не може бути вирішене, коли у його центр не буде поставлено людину, коли не будуть створені умови для самореалізації її особистісного потенціалу.</w:t>
      </w:r>
    </w:p>
    <w:p w:rsidR="00B233DE" w:rsidRPr="00FC5E66" w:rsidRDefault="00B233DE" w:rsidP="00B233DE">
      <w:pPr>
        <w:ind w:firstLine="708"/>
        <w:jc w:val="both"/>
        <w:rPr>
          <w:rFonts w:ascii="Times New Roman" w:hAnsi="Times New Roman" w:cs="Times New Roman"/>
          <w:sz w:val="21"/>
          <w:szCs w:val="21"/>
        </w:rPr>
      </w:pPr>
      <w:r w:rsidRPr="00337442">
        <w:rPr>
          <w:rFonts w:ascii="Times New Roman" w:hAnsi="Times New Roman"/>
          <w:sz w:val="21"/>
          <w:szCs w:val="21"/>
          <w:lang w:eastAsia="ru-RU"/>
        </w:rPr>
        <w:t>Неодмінною умовою оптимізації процесів соціального розвитку, здійснення ефективної соціальної політики є формування умов для утвердження самостійності людини, свободи вибору нею напрямів та форм самореалізації. Збагачення процесу соціального розвитку, виявлення нових концептуальних засад соціальної політики можливе лише за умови, коли особистість, індивідуальність перетвориться з об’єкта соціальної політики на активний творчий суб’єкт цього процесу.</w:t>
      </w:r>
    </w:p>
    <w:p w:rsidR="00B233DE" w:rsidRDefault="00B233DE" w:rsidP="00B233DE">
      <w:pPr>
        <w:ind w:firstLine="708"/>
        <w:jc w:val="both"/>
        <w:rPr>
          <w:rFonts w:ascii="Times New Roman" w:hAnsi="Times New Roman" w:cs="Times New Roman"/>
          <w:sz w:val="21"/>
          <w:szCs w:val="21"/>
        </w:rPr>
      </w:pPr>
      <w:r>
        <w:rPr>
          <w:noProof/>
          <w:sz w:val="28"/>
          <w:szCs w:val="28"/>
          <w:lang w:val="ru-RU" w:eastAsia="ru-RU"/>
        </w:rPr>
        <w:lastRenderedPageBreak/>
        <mc:AlternateContent>
          <mc:Choice Requires="wpg">
            <w:drawing>
              <wp:anchor distT="0" distB="0" distL="114300" distR="114300" simplePos="0" relativeHeight="251699200" behindDoc="0" locked="0" layoutInCell="1" allowOverlap="1" wp14:anchorId="0D907253" wp14:editId="797E97D1">
                <wp:simplePos x="0" y="0"/>
                <wp:positionH relativeFrom="column">
                  <wp:posOffset>156210</wp:posOffset>
                </wp:positionH>
                <wp:positionV relativeFrom="paragraph">
                  <wp:posOffset>-15240</wp:posOffset>
                </wp:positionV>
                <wp:extent cx="3659505" cy="5461000"/>
                <wp:effectExtent l="0" t="19050" r="17145" b="25400"/>
                <wp:wrapNone/>
                <wp:docPr id="1481" name="Группа 1481"/>
                <wp:cNvGraphicFramePr/>
                <a:graphic xmlns:a="http://schemas.openxmlformats.org/drawingml/2006/main">
                  <a:graphicData uri="http://schemas.microsoft.com/office/word/2010/wordprocessingGroup">
                    <wpg:wgp>
                      <wpg:cNvGrpSpPr/>
                      <wpg:grpSpPr>
                        <a:xfrm>
                          <a:off x="0" y="0"/>
                          <a:ext cx="3659505" cy="5461000"/>
                          <a:chOff x="0" y="0"/>
                          <a:chExt cx="5918200" cy="5918200"/>
                        </a:xfrm>
                      </wpg:grpSpPr>
                      <wps:wsp>
                        <wps:cNvPr id="1482" name="Поле 103"/>
                        <wps:cNvSpPr txBox="1">
                          <a:spLocks/>
                        </wps:cNvSpPr>
                        <wps:spPr>
                          <a:xfrm rot="18613033">
                            <a:off x="1893611" y="1698823"/>
                            <a:ext cx="1022560" cy="325543"/>
                          </a:xfrm>
                          <a:prstGeom prst="rect">
                            <a:avLst/>
                          </a:prstGeom>
                          <a:noFill/>
                          <a:ln w="6350">
                            <a:noFill/>
                          </a:ln>
                          <a:effectLst/>
                        </wps:spPr>
                        <wps:txbx>
                          <w:txbxContent>
                            <w:p w:rsidR="00BE40F8" w:rsidRPr="009E3F2B" w:rsidRDefault="00BE40F8" w:rsidP="00B233DE">
                              <w:pPr>
                                <w:spacing w:line="192" w:lineRule="auto"/>
                                <w:ind w:firstLine="0"/>
                                <w:jc w:val="center"/>
                                <w:rPr>
                                  <w:sz w:val="15"/>
                                  <w:szCs w:val="15"/>
                                </w:rPr>
                              </w:pPr>
                              <w:r w:rsidRPr="009E3F2B">
                                <w:rPr>
                                  <w:rFonts w:ascii="Times New Roman" w:hAnsi="Times New Roman" w:cs="Times New Roman"/>
                                  <w:sz w:val="15"/>
                                  <w:szCs w:val="15"/>
                                </w:rPr>
                                <w:t>Районні</w:t>
                              </w:r>
                              <w:r w:rsidRPr="009E3F2B">
                                <w:rPr>
                                  <w:sz w:val="15"/>
                                  <w:szCs w:val="15"/>
                                </w:rPr>
                                <w:t xml:space="preserve"> </w:t>
                              </w:r>
                              <w:r w:rsidRPr="009E3F2B">
                                <w:rPr>
                                  <w:rFonts w:ascii="Times New Roman" w:hAnsi="Times New Roman" w:cs="Times New Roman"/>
                                  <w:sz w:val="15"/>
                                  <w:szCs w:val="15"/>
                                </w:rPr>
                                <w:t>некомерційні</w:t>
                              </w:r>
                              <w:r w:rsidRPr="009E3F2B">
                                <w:rPr>
                                  <w:rFonts w:ascii="Times New Roman" w:hAnsi="Times New Roman" w:cs="Times New Roman"/>
                                  <w:i/>
                                  <w:sz w:val="15"/>
                                  <w:szCs w:val="15"/>
                                </w:rPr>
                                <w:t xml:space="preserve"> </w:t>
                              </w:r>
                              <w:r w:rsidRPr="009E3F2B">
                                <w:rPr>
                                  <w:rFonts w:ascii="Times New Roman" w:hAnsi="Times New Roman" w:cs="Times New Roman"/>
                                  <w:sz w:val="15"/>
                                  <w:szCs w:val="15"/>
                                </w:rPr>
                                <w:t>структури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1483" name="Группа 1483"/>
                        <wpg:cNvGrpSpPr/>
                        <wpg:grpSpPr>
                          <a:xfrm>
                            <a:off x="0" y="0"/>
                            <a:ext cx="5918200" cy="5918200"/>
                            <a:chOff x="0" y="0"/>
                            <a:chExt cx="5918200" cy="5918200"/>
                          </a:xfrm>
                        </wpg:grpSpPr>
                        <wps:wsp>
                          <wps:cNvPr id="1484" name="Поле 107"/>
                          <wps:cNvSpPr txBox="1">
                            <a:spLocks/>
                          </wps:cNvSpPr>
                          <wps:spPr>
                            <a:xfrm rot="2912769">
                              <a:off x="3043046" y="1594539"/>
                              <a:ext cx="1031670" cy="404320"/>
                            </a:xfrm>
                            <a:prstGeom prst="rect">
                              <a:avLst/>
                            </a:prstGeom>
                            <a:noFill/>
                            <a:ln w="6350">
                              <a:noFill/>
                            </a:ln>
                            <a:effectLst/>
                          </wps:spPr>
                          <wps:txbx>
                            <w:txbxContent>
                              <w:p w:rsidR="00BE40F8" w:rsidRDefault="00BE40F8" w:rsidP="00B233DE">
                                <w:pPr>
                                  <w:spacing w:line="192" w:lineRule="auto"/>
                                  <w:ind w:firstLine="0"/>
                                  <w:jc w:val="center"/>
                                </w:pPr>
                                <w:r w:rsidRPr="00220AC1">
                                  <w:rPr>
                                    <w:rFonts w:ascii="Times New Roman" w:hAnsi="Times New Roman" w:cs="Times New Roman"/>
                                    <w:sz w:val="16"/>
                                    <w:szCs w:val="16"/>
                                  </w:rPr>
                                  <w:t>Районні комерційні структури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1485" name="Группа 1485"/>
                          <wpg:cNvGrpSpPr/>
                          <wpg:grpSpPr>
                            <a:xfrm>
                              <a:off x="0" y="0"/>
                              <a:ext cx="5918200" cy="5918200"/>
                              <a:chOff x="0" y="0"/>
                              <a:chExt cx="5918200" cy="5918200"/>
                            </a:xfrm>
                          </wpg:grpSpPr>
                          <wpg:grpSp>
                            <wpg:cNvPr id="1486" name="Группа 1486"/>
                            <wpg:cNvGrpSpPr>
                              <a:grpSpLocks/>
                            </wpg:cNvGrpSpPr>
                            <wpg:grpSpPr>
                              <a:xfrm>
                                <a:off x="2054331" y="1263617"/>
                                <a:ext cx="1933335" cy="697555"/>
                                <a:chOff x="-41164" y="-620208"/>
                                <a:chExt cx="1933118" cy="811028"/>
                              </a:xfrm>
                            </wpg:grpSpPr>
                            <wps:wsp>
                              <wps:cNvPr id="1487" name="Поле 28"/>
                              <wps:cNvSpPr txBox="1"/>
                              <wps:spPr>
                                <a:xfrm rot="19178566">
                                  <a:off x="-41164" y="-145960"/>
                                  <a:ext cx="284480" cy="258444"/>
                                </a:xfrm>
                                <a:prstGeom prst="rect">
                                  <a:avLst/>
                                </a:prstGeom>
                                <a:noFill/>
                                <a:ln w="6350">
                                  <a:noFill/>
                                </a:ln>
                                <a:effectLst/>
                              </wps:spPr>
                              <wps:txbx>
                                <w:txbxContent>
                                  <w:p w:rsidR="00BE40F8" w:rsidRPr="00220AC1" w:rsidRDefault="00BE40F8" w:rsidP="00B233DE">
                                    <w:pPr>
                                      <w:ind w:right="-17" w:firstLine="0"/>
                                      <w:jc w:val="center"/>
                                      <w:rPr>
                                        <w:rFonts w:ascii="Times New Roman" w:hAnsi="Times New Roman" w:cs="Times New Roman"/>
                                        <w:sz w:val="16"/>
                                        <w:szCs w:val="16"/>
                                        <w:lang w:val="en-US"/>
                                      </w:rPr>
                                    </w:pPr>
                                    <w:r w:rsidRPr="00220AC1">
                                      <w:rPr>
                                        <w:rFonts w:ascii="Times New Roman" w:hAnsi="Times New Roman" w:cs="Times New Roman"/>
                                        <w:b/>
                                        <w:sz w:val="16"/>
                                        <w:szCs w:val="16"/>
                                      </w:rPr>
                                      <w:t>М</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488" name="Поле 14"/>
                              <wps:cNvSpPr txBox="1"/>
                              <wps:spPr>
                                <a:xfrm rot="19994231">
                                  <a:off x="69942" y="-296055"/>
                                  <a:ext cx="284480" cy="258444"/>
                                </a:xfrm>
                                <a:prstGeom prst="rect">
                                  <a:avLst/>
                                </a:prstGeom>
                                <a:noFill/>
                                <a:ln w="6350">
                                  <a:noFill/>
                                </a:ln>
                                <a:effectLst/>
                              </wps:spPr>
                              <wps:txbx>
                                <w:txbxContent>
                                  <w:p w:rsidR="00BE40F8" w:rsidRPr="00220AC1" w:rsidRDefault="00BE40F8" w:rsidP="00B233DE">
                                    <w:pPr>
                                      <w:ind w:firstLine="0"/>
                                      <w:jc w:val="center"/>
                                      <w:rPr>
                                        <w:rFonts w:ascii="Times New Roman" w:hAnsi="Times New Roman" w:cs="Times New Roman"/>
                                        <w:sz w:val="16"/>
                                        <w:szCs w:val="16"/>
                                      </w:rPr>
                                    </w:pPr>
                                    <w:r w:rsidRPr="00220AC1">
                                      <w:rPr>
                                        <w:rFonts w:ascii="Times New Roman" w:hAnsi="Times New Roman" w:cs="Times New Roman"/>
                                        <w:b/>
                                        <w:sz w:val="16"/>
                                        <w:szCs w:val="16"/>
                                      </w:rPr>
                                      <w:t>і</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489" name="Поле 20"/>
                              <wps:cNvSpPr txBox="1"/>
                              <wps:spPr>
                                <a:xfrm rot="20392999">
                                  <a:off x="260010" y="-413620"/>
                                  <a:ext cx="284480" cy="258445"/>
                                </a:xfrm>
                                <a:prstGeom prst="rect">
                                  <a:avLst/>
                                </a:prstGeom>
                                <a:noFill/>
                                <a:ln w="6350">
                                  <a:noFill/>
                                </a:ln>
                                <a:effectLst/>
                              </wps:spPr>
                              <wps:txbx>
                                <w:txbxContent>
                                  <w:p w:rsidR="00BE40F8" w:rsidRPr="00220AC1" w:rsidRDefault="00BE40F8" w:rsidP="00B233DE">
                                    <w:pPr>
                                      <w:ind w:right="-17" w:firstLine="0"/>
                                      <w:jc w:val="center"/>
                                      <w:rPr>
                                        <w:rFonts w:ascii="Times New Roman" w:hAnsi="Times New Roman" w:cs="Times New Roman"/>
                                        <w:sz w:val="16"/>
                                        <w:szCs w:val="16"/>
                                        <w:lang w:val="en-US"/>
                                      </w:rPr>
                                    </w:pPr>
                                    <w:r w:rsidRPr="00220AC1">
                                      <w:rPr>
                                        <w:rFonts w:ascii="Times New Roman" w:hAnsi="Times New Roman" w:cs="Times New Roman"/>
                                        <w:b/>
                                        <w:sz w:val="16"/>
                                        <w:szCs w:val="16"/>
                                      </w:rPr>
                                      <w:t>к</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490" name="Поле 21"/>
                              <wps:cNvSpPr txBox="1"/>
                              <wps:spPr>
                                <a:xfrm rot="20863673">
                                  <a:off x="403309" y="-543558"/>
                                  <a:ext cx="284480" cy="283210"/>
                                </a:xfrm>
                                <a:prstGeom prst="rect">
                                  <a:avLst/>
                                </a:prstGeom>
                                <a:noFill/>
                                <a:ln w="6350">
                                  <a:noFill/>
                                </a:ln>
                                <a:effectLst/>
                              </wps:spPr>
                              <wps:txbx>
                                <w:txbxContent>
                                  <w:p w:rsidR="00BE40F8" w:rsidRPr="00220AC1" w:rsidRDefault="00BE40F8" w:rsidP="00B233DE">
                                    <w:pPr>
                                      <w:ind w:right="-17" w:firstLine="0"/>
                                      <w:jc w:val="center"/>
                                      <w:rPr>
                                        <w:rFonts w:ascii="Times New Roman" w:hAnsi="Times New Roman" w:cs="Times New Roman"/>
                                        <w:sz w:val="16"/>
                                        <w:szCs w:val="16"/>
                                        <w:lang w:val="en-US"/>
                                      </w:rPr>
                                    </w:pPr>
                                    <w:r w:rsidRPr="00220AC1">
                                      <w:rPr>
                                        <w:rFonts w:ascii="Times New Roman" w:hAnsi="Times New Roman" w:cs="Times New Roman"/>
                                        <w:b/>
                                        <w:sz w:val="16"/>
                                        <w:szCs w:val="16"/>
                                      </w:rPr>
                                      <w:t>р</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491" name="Поле 22"/>
                              <wps:cNvSpPr txBox="1"/>
                              <wps:spPr>
                                <a:xfrm rot="21378494">
                                  <a:off x="638457" y="-595353"/>
                                  <a:ext cx="284480" cy="258445"/>
                                </a:xfrm>
                                <a:prstGeom prst="rect">
                                  <a:avLst/>
                                </a:prstGeom>
                                <a:noFill/>
                                <a:ln w="6350">
                                  <a:noFill/>
                                </a:ln>
                                <a:effectLst/>
                              </wps:spPr>
                              <wps:txbx>
                                <w:txbxContent>
                                  <w:p w:rsidR="00BE40F8" w:rsidRPr="00220AC1" w:rsidRDefault="00BE40F8" w:rsidP="00B233DE">
                                    <w:pPr>
                                      <w:ind w:firstLine="0"/>
                                      <w:jc w:val="center"/>
                                      <w:rPr>
                                        <w:rFonts w:ascii="Times New Roman" w:hAnsi="Times New Roman" w:cs="Times New Roman"/>
                                        <w:sz w:val="16"/>
                                        <w:szCs w:val="16"/>
                                        <w:lang w:val="en-US"/>
                                      </w:rPr>
                                    </w:pPr>
                                    <w:r w:rsidRPr="00220AC1">
                                      <w:rPr>
                                        <w:rFonts w:ascii="Times New Roman" w:hAnsi="Times New Roman" w:cs="Times New Roman"/>
                                        <w:b/>
                                        <w:sz w:val="16"/>
                                        <w:szCs w:val="16"/>
                                      </w:rPr>
                                      <w:t>о</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492" name="Поле 1492"/>
                              <wps:cNvSpPr txBox="1"/>
                              <wps:spPr>
                                <a:xfrm rot="265743">
                                  <a:off x="858622" y="-620208"/>
                                  <a:ext cx="284480" cy="319405"/>
                                </a:xfrm>
                                <a:prstGeom prst="rect">
                                  <a:avLst/>
                                </a:prstGeom>
                                <a:noFill/>
                                <a:ln w="6350">
                                  <a:noFill/>
                                </a:ln>
                                <a:effectLst/>
                              </wps:spPr>
                              <wps:txbx>
                                <w:txbxContent>
                                  <w:p w:rsidR="00BE40F8" w:rsidRPr="00220AC1" w:rsidRDefault="00BE40F8" w:rsidP="00B233DE">
                                    <w:pPr>
                                      <w:ind w:right="-17" w:firstLine="0"/>
                                      <w:jc w:val="center"/>
                                      <w:rPr>
                                        <w:rFonts w:ascii="Times New Roman" w:hAnsi="Times New Roman" w:cs="Times New Roman"/>
                                        <w:sz w:val="16"/>
                                        <w:szCs w:val="16"/>
                                        <w:lang w:val="en-US"/>
                                      </w:rPr>
                                    </w:pPr>
                                    <w:r w:rsidRPr="00220AC1">
                                      <w:rPr>
                                        <w:rFonts w:ascii="Times New Roman" w:hAnsi="Times New Roman" w:cs="Times New Roman"/>
                                        <w:b/>
                                        <w:sz w:val="16"/>
                                        <w:szCs w:val="16"/>
                                      </w:rPr>
                                      <w:t>р</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493" name="Поле 1493"/>
                              <wps:cNvSpPr txBox="1"/>
                              <wps:spPr>
                                <a:xfrm rot="606479">
                                  <a:off x="1067384" y="-571724"/>
                                  <a:ext cx="284480" cy="258445"/>
                                </a:xfrm>
                                <a:prstGeom prst="rect">
                                  <a:avLst/>
                                </a:prstGeom>
                                <a:noFill/>
                                <a:ln w="6350">
                                  <a:noFill/>
                                </a:ln>
                                <a:effectLst/>
                              </wps:spPr>
                              <wps:txbx>
                                <w:txbxContent>
                                  <w:p w:rsidR="00BE40F8" w:rsidRPr="00220AC1" w:rsidRDefault="00BE40F8" w:rsidP="00B233DE">
                                    <w:pPr>
                                      <w:ind w:firstLine="0"/>
                                      <w:jc w:val="center"/>
                                      <w:rPr>
                                        <w:rFonts w:ascii="Times New Roman" w:hAnsi="Times New Roman" w:cs="Times New Roman"/>
                                        <w:sz w:val="16"/>
                                        <w:szCs w:val="16"/>
                                        <w:lang w:val="en-US"/>
                                      </w:rPr>
                                    </w:pPr>
                                    <w:r w:rsidRPr="00220AC1">
                                      <w:rPr>
                                        <w:rFonts w:ascii="Times New Roman" w:hAnsi="Times New Roman" w:cs="Times New Roman"/>
                                        <w:b/>
                                        <w:sz w:val="16"/>
                                        <w:szCs w:val="16"/>
                                      </w:rPr>
                                      <w:t>і</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494" name="Поле 1494"/>
                              <wps:cNvSpPr txBox="1"/>
                              <wps:spPr>
                                <a:xfrm rot="1110103">
                                  <a:off x="1236762" y="-490991"/>
                                  <a:ext cx="284480" cy="258445"/>
                                </a:xfrm>
                                <a:prstGeom prst="rect">
                                  <a:avLst/>
                                </a:prstGeom>
                                <a:noFill/>
                                <a:ln w="6350">
                                  <a:noFill/>
                                </a:ln>
                                <a:effectLst/>
                              </wps:spPr>
                              <wps:txbx>
                                <w:txbxContent>
                                  <w:p w:rsidR="00BE40F8" w:rsidRPr="00220AC1" w:rsidRDefault="00BE40F8" w:rsidP="00B233DE">
                                    <w:pPr>
                                      <w:ind w:firstLine="0"/>
                                      <w:jc w:val="center"/>
                                      <w:rPr>
                                        <w:rFonts w:ascii="Times New Roman" w:hAnsi="Times New Roman" w:cs="Times New Roman"/>
                                        <w:sz w:val="16"/>
                                        <w:szCs w:val="16"/>
                                        <w:lang w:val="en-US"/>
                                      </w:rPr>
                                    </w:pPr>
                                    <w:r w:rsidRPr="00220AC1">
                                      <w:rPr>
                                        <w:rFonts w:ascii="Times New Roman" w:hAnsi="Times New Roman" w:cs="Times New Roman"/>
                                        <w:b/>
                                        <w:sz w:val="16"/>
                                        <w:szCs w:val="16"/>
                                      </w:rPr>
                                      <w:t>в</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495" name="Поле 1495"/>
                              <wps:cNvSpPr txBox="1"/>
                              <wps:spPr>
                                <a:xfrm rot="1693825">
                                  <a:off x="1370242" y="-348015"/>
                                  <a:ext cx="284480" cy="258445"/>
                                </a:xfrm>
                                <a:prstGeom prst="rect">
                                  <a:avLst/>
                                </a:prstGeom>
                                <a:noFill/>
                                <a:ln w="6350">
                                  <a:noFill/>
                                </a:ln>
                                <a:effectLst/>
                              </wps:spPr>
                              <wps:txbx>
                                <w:txbxContent>
                                  <w:p w:rsidR="00BE40F8" w:rsidRPr="00220AC1" w:rsidRDefault="00BE40F8" w:rsidP="00B233DE">
                                    <w:pPr>
                                      <w:ind w:firstLine="0"/>
                                      <w:jc w:val="center"/>
                                      <w:rPr>
                                        <w:rFonts w:ascii="Times New Roman" w:hAnsi="Times New Roman" w:cs="Times New Roman"/>
                                        <w:sz w:val="16"/>
                                        <w:szCs w:val="16"/>
                                        <w:lang w:val="en-US"/>
                                      </w:rPr>
                                    </w:pPr>
                                    <w:r w:rsidRPr="00220AC1">
                                      <w:rPr>
                                        <w:rFonts w:ascii="Times New Roman" w:hAnsi="Times New Roman" w:cs="Times New Roman"/>
                                        <w:b/>
                                        <w:sz w:val="16"/>
                                        <w:szCs w:val="16"/>
                                      </w:rPr>
                                      <w:t>е</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496" name="Поле 1496"/>
                              <wps:cNvSpPr txBox="1"/>
                              <wps:spPr>
                                <a:xfrm rot="1994648">
                                  <a:off x="1526417" y="-219181"/>
                                  <a:ext cx="204493" cy="258445"/>
                                </a:xfrm>
                                <a:prstGeom prst="rect">
                                  <a:avLst/>
                                </a:prstGeom>
                                <a:noFill/>
                                <a:ln w="6350">
                                  <a:noFill/>
                                </a:ln>
                                <a:effectLst/>
                              </wps:spPr>
                              <wps:txbx>
                                <w:txbxContent>
                                  <w:p w:rsidR="00BE40F8" w:rsidRPr="00220AC1" w:rsidRDefault="00BE40F8" w:rsidP="00B233DE">
                                    <w:pPr>
                                      <w:ind w:firstLine="0"/>
                                      <w:jc w:val="center"/>
                                      <w:rPr>
                                        <w:rFonts w:ascii="Times New Roman" w:hAnsi="Times New Roman" w:cs="Times New Roman"/>
                                        <w:sz w:val="16"/>
                                        <w:szCs w:val="16"/>
                                        <w:lang w:val="en-US"/>
                                      </w:rPr>
                                    </w:pPr>
                                    <w:r w:rsidRPr="00220AC1">
                                      <w:rPr>
                                        <w:rFonts w:ascii="Times New Roman" w:hAnsi="Times New Roman" w:cs="Times New Roman"/>
                                        <w:b/>
                                        <w:sz w:val="16"/>
                                        <w:szCs w:val="16"/>
                                      </w:rPr>
                                      <w:t>н</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497" name="Поле 1497"/>
                              <wps:cNvSpPr txBox="1"/>
                              <wps:spPr>
                                <a:xfrm rot="2197117">
                                  <a:off x="1607474" y="-67625"/>
                                  <a:ext cx="284480" cy="258445"/>
                                </a:xfrm>
                                <a:prstGeom prst="rect">
                                  <a:avLst/>
                                </a:prstGeom>
                                <a:noFill/>
                                <a:ln w="6350">
                                  <a:noFill/>
                                </a:ln>
                                <a:effectLst/>
                              </wps:spPr>
                              <wps:txbx>
                                <w:txbxContent>
                                  <w:p w:rsidR="00BE40F8" w:rsidRPr="00220AC1" w:rsidRDefault="00BE40F8" w:rsidP="00B233DE">
                                    <w:pPr>
                                      <w:ind w:firstLine="0"/>
                                      <w:jc w:val="center"/>
                                      <w:rPr>
                                        <w:rFonts w:ascii="Times New Roman" w:hAnsi="Times New Roman" w:cs="Times New Roman"/>
                                        <w:sz w:val="16"/>
                                        <w:szCs w:val="16"/>
                                        <w:lang w:val="en-US"/>
                                      </w:rPr>
                                    </w:pPr>
                                    <w:r w:rsidRPr="00220AC1">
                                      <w:rPr>
                                        <w:rFonts w:ascii="Times New Roman" w:hAnsi="Times New Roman" w:cs="Times New Roman"/>
                                        <w:b/>
                                        <w:sz w:val="16"/>
                                        <w:szCs w:val="16"/>
                                      </w:rPr>
                                      <w:t>ь</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g:cNvPr id="1498" name="Группа 1498"/>
                            <wpg:cNvGrpSpPr/>
                            <wpg:grpSpPr>
                              <a:xfrm>
                                <a:off x="0" y="0"/>
                                <a:ext cx="5918200" cy="5918200"/>
                                <a:chOff x="0" y="0"/>
                                <a:chExt cx="5918200" cy="5918200"/>
                              </a:xfrm>
                            </wpg:grpSpPr>
                            <wps:wsp>
                              <wps:cNvPr id="1499" name="Овал 18"/>
                              <wps:cNvSpPr>
                                <a:spLocks noChangeAspect="1"/>
                              </wps:cNvSpPr>
                              <wps:spPr>
                                <a:xfrm>
                                  <a:off x="2177385" y="1769110"/>
                                  <a:ext cx="1572259" cy="2537652"/>
                                </a:xfrm>
                                <a:prstGeom prst="ellipse">
                                  <a:avLst/>
                                </a:prstGeom>
                                <a:no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500" name="Группа 1500"/>
                              <wpg:cNvGrpSpPr/>
                              <wpg:grpSpPr>
                                <a:xfrm>
                                  <a:off x="0" y="0"/>
                                  <a:ext cx="5918200" cy="5918200"/>
                                  <a:chOff x="0" y="0"/>
                                  <a:chExt cx="5918200" cy="5918200"/>
                                </a:xfrm>
                              </wpg:grpSpPr>
                              <wpg:grpSp>
                                <wpg:cNvPr id="1501" name="Группа 69"/>
                                <wpg:cNvGrpSpPr>
                                  <a:grpSpLocks/>
                                </wpg:cNvGrpSpPr>
                                <wpg:grpSpPr bwMode="auto">
                                  <a:xfrm>
                                    <a:off x="1531120" y="342331"/>
                                    <a:ext cx="2997203" cy="691819"/>
                                    <a:chOff x="-1096" y="-2893"/>
                                    <a:chExt cx="19977" cy="6919"/>
                                  </a:xfrm>
                                </wpg:grpSpPr>
                                <wps:wsp>
                                  <wps:cNvPr id="1502" name="Поле 70"/>
                                  <wps:cNvSpPr txBox="1">
                                    <a:spLocks noChangeArrowheads="1"/>
                                  </wps:cNvSpPr>
                                  <wps:spPr bwMode="auto">
                                    <a:xfrm rot="19824303">
                                      <a:off x="-1096" y="933"/>
                                      <a:ext cx="2844" cy="2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AE1062" w:rsidRDefault="00BE40F8" w:rsidP="00B233DE">
                                        <w:pPr>
                                          <w:ind w:right="-23" w:firstLine="0"/>
                                          <w:jc w:val="center"/>
                                          <w:rPr>
                                            <w:rFonts w:ascii="Times New Roman" w:hAnsi="Times New Roman" w:cs="Times New Roman"/>
                                            <w:sz w:val="16"/>
                                            <w:szCs w:val="16"/>
                                            <w:lang w:val="en-US"/>
                                          </w:rPr>
                                        </w:pPr>
                                        <w:r w:rsidRPr="00AE1062">
                                          <w:rPr>
                                            <w:rFonts w:ascii="Times New Roman" w:hAnsi="Times New Roman" w:cs="Times New Roman"/>
                                            <w:b/>
                                            <w:sz w:val="16"/>
                                            <w:szCs w:val="16"/>
                                          </w:rPr>
                                          <w:t>М</w:t>
                                        </w:r>
                                      </w:p>
                                    </w:txbxContent>
                                  </wps:txbx>
                                  <wps:bodyPr rot="0" vert="horz" wrap="square" lIns="91440" tIns="45720" rIns="91440" bIns="45720" anchor="t" anchorCtr="0" upright="1">
                                    <a:noAutofit/>
                                  </wps:bodyPr>
                                </wps:wsp>
                                <wps:wsp>
                                  <wps:cNvPr id="1503" name="Поле 71"/>
                                  <wps:cNvSpPr txBox="1">
                                    <a:spLocks noChangeArrowheads="1"/>
                                  </wps:cNvSpPr>
                                  <wps:spPr bwMode="auto">
                                    <a:xfrm rot="20295549">
                                      <a:off x="903" y="-616"/>
                                      <a:ext cx="2844" cy="25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AE1062" w:rsidRDefault="00BE40F8" w:rsidP="00B233DE">
                                        <w:pPr>
                                          <w:ind w:right="-6" w:firstLine="0"/>
                                          <w:jc w:val="center"/>
                                          <w:rPr>
                                            <w:rFonts w:ascii="Times New Roman" w:hAnsi="Times New Roman" w:cs="Times New Roman"/>
                                            <w:sz w:val="16"/>
                                            <w:szCs w:val="16"/>
                                          </w:rPr>
                                        </w:pPr>
                                        <w:r w:rsidRPr="00AE1062">
                                          <w:rPr>
                                            <w:rFonts w:ascii="Times New Roman" w:hAnsi="Times New Roman" w:cs="Times New Roman"/>
                                            <w:b/>
                                            <w:sz w:val="16"/>
                                            <w:szCs w:val="16"/>
                                          </w:rPr>
                                          <w:t>а</w:t>
                                        </w:r>
                                      </w:p>
                                    </w:txbxContent>
                                  </wps:txbx>
                                  <wps:bodyPr rot="0" vert="horz" wrap="square" lIns="91440" tIns="45720" rIns="91440" bIns="45720" anchor="t" anchorCtr="0" upright="1">
                                    <a:noAutofit/>
                                  </wps:bodyPr>
                                </wps:wsp>
                                <wps:wsp>
                                  <wps:cNvPr id="1504" name="Поле 72"/>
                                  <wps:cNvSpPr txBox="1">
                                    <a:spLocks noChangeArrowheads="1"/>
                                  </wps:cNvSpPr>
                                  <wps:spPr bwMode="auto">
                                    <a:xfrm rot="20614132">
                                      <a:off x="2648" y="-1946"/>
                                      <a:ext cx="2845" cy="25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E92AB5" w:rsidRDefault="00BE40F8" w:rsidP="00B233DE">
                                        <w:pPr>
                                          <w:ind w:firstLine="0"/>
                                          <w:jc w:val="center"/>
                                          <w:rPr>
                                            <w:rFonts w:ascii="Times New Roman" w:hAnsi="Times New Roman" w:cs="Times New Roman"/>
                                            <w:sz w:val="16"/>
                                            <w:szCs w:val="16"/>
                                            <w:lang w:val="en-US"/>
                                          </w:rPr>
                                        </w:pPr>
                                        <w:r w:rsidRPr="00E92AB5">
                                          <w:rPr>
                                            <w:rFonts w:ascii="Times New Roman" w:hAnsi="Times New Roman" w:cs="Times New Roman"/>
                                            <w:b/>
                                            <w:sz w:val="16"/>
                                            <w:szCs w:val="16"/>
                                          </w:rPr>
                                          <w:t>к</w:t>
                                        </w:r>
                                      </w:p>
                                    </w:txbxContent>
                                  </wps:txbx>
                                  <wps:bodyPr rot="0" vert="horz" wrap="square" lIns="0" tIns="0" rIns="0" bIns="0" anchor="ctr" anchorCtr="0">
                                    <a:noAutofit/>
                                  </wps:bodyPr>
                                </wps:wsp>
                                <wps:wsp>
                                  <wps:cNvPr id="1505" name="Поле 73"/>
                                  <wps:cNvSpPr txBox="1">
                                    <a:spLocks noChangeArrowheads="1"/>
                                  </wps:cNvSpPr>
                                  <wps:spPr bwMode="auto">
                                    <a:xfrm rot="20969266">
                                      <a:off x="4565" y="-2542"/>
                                      <a:ext cx="2844" cy="28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AE1062" w:rsidRDefault="00BE40F8" w:rsidP="00B233DE">
                                        <w:pPr>
                                          <w:ind w:right="-11" w:firstLine="0"/>
                                          <w:jc w:val="center"/>
                                          <w:rPr>
                                            <w:rFonts w:ascii="Times New Roman" w:hAnsi="Times New Roman" w:cs="Times New Roman"/>
                                            <w:sz w:val="16"/>
                                            <w:szCs w:val="16"/>
                                            <w:lang w:val="en-US"/>
                                          </w:rPr>
                                        </w:pPr>
                                        <w:r w:rsidRPr="00AE1062">
                                          <w:rPr>
                                            <w:rFonts w:ascii="Times New Roman" w:hAnsi="Times New Roman" w:cs="Times New Roman"/>
                                            <w:b/>
                                            <w:sz w:val="16"/>
                                            <w:szCs w:val="16"/>
                                          </w:rPr>
                                          <w:t>р</w:t>
                                        </w:r>
                                      </w:p>
                                    </w:txbxContent>
                                  </wps:txbx>
                                  <wps:bodyPr rot="0" vert="horz" wrap="square" lIns="91440" tIns="45720" rIns="91440" bIns="45720" anchor="t" anchorCtr="0" upright="1">
                                    <a:noAutofit/>
                                  </wps:bodyPr>
                                </wps:wsp>
                                <wps:wsp>
                                  <wps:cNvPr id="1506" name="Поле 74"/>
                                  <wps:cNvSpPr txBox="1">
                                    <a:spLocks noChangeArrowheads="1"/>
                                  </wps:cNvSpPr>
                                  <wps:spPr bwMode="auto">
                                    <a:xfrm rot="21378494">
                                      <a:off x="6002" y="-2690"/>
                                      <a:ext cx="2845" cy="25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6363FE" w:rsidRDefault="00BE40F8" w:rsidP="00B233DE">
                                        <w:pPr>
                                          <w:ind w:firstLine="0"/>
                                          <w:jc w:val="center"/>
                                          <w:rPr>
                                            <w:sz w:val="16"/>
                                            <w:szCs w:val="16"/>
                                            <w:lang w:val="en-US"/>
                                          </w:rPr>
                                        </w:pPr>
                                        <w:r w:rsidRPr="006363FE">
                                          <w:rPr>
                                            <w:b/>
                                            <w:sz w:val="16"/>
                                            <w:szCs w:val="16"/>
                                          </w:rPr>
                                          <w:t>о</w:t>
                                        </w:r>
                                      </w:p>
                                    </w:txbxContent>
                                  </wps:txbx>
                                  <wps:bodyPr rot="0" vert="horz" wrap="square" lIns="91440" tIns="45720" rIns="91440" bIns="45720" anchor="t" anchorCtr="0" upright="1">
                                    <a:noAutofit/>
                                  </wps:bodyPr>
                                </wps:wsp>
                                <wps:wsp>
                                  <wps:cNvPr id="1507" name="Поле 75"/>
                                  <wps:cNvSpPr txBox="1">
                                    <a:spLocks noChangeArrowheads="1"/>
                                  </wps:cNvSpPr>
                                  <wps:spPr bwMode="auto">
                                    <a:xfrm rot="367951">
                                      <a:off x="8155" y="-2893"/>
                                      <a:ext cx="2844" cy="31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6363FE" w:rsidRDefault="00BE40F8" w:rsidP="00B233DE">
                                        <w:pPr>
                                          <w:ind w:right="-23" w:firstLine="0"/>
                                          <w:jc w:val="center"/>
                                          <w:rPr>
                                            <w:sz w:val="16"/>
                                            <w:szCs w:val="16"/>
                                            <w:lang w:val="en-US"/>
                                          </w:rPr>
                                        </w:pPr>
                                        <w:r w:rsidRPr="006363FE">
                                          <w:rPr>
                                            <w:b/>
                                            <w:sz w:val="16"/>
                                            <w:szCs w:val="16"/>
                                          </w:rPr>
                                          <w:t>р</w:t>
                                        </w:r>
                                      </w:p>
                                    </w:txbxContent>
                                  </wps:txbx>
                                  <wps:bodyPr rot="0" vert="horz" wrap="square" lIns="91440" tIns="45720" rIns="91440" bIns="45720" anchor="t" anchorCtr="0" upright="1">
                                    <a:noAutofit/>
                                  </wps:bodyPr>
                                </wps:wsp>
                                <wps:wsp>
                                  <wps:cNvPr id="1508" name="Поле 76"/>
                                  <wps:cNvSpPr txBox="1">
                                    <a:spLocks noChangeArrowheads="1"/>
                                  </wps:cNvSpPr>
                                  <wps:spPr bwMode="auto">
                                    <a:xfrm rot="606479">
                                      <a:off x="9927" y="-2775"/>
                                      <a:ext cx="2845" cy="25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AE1062" w:rsidRDefault="00BE40F8" w:rsidP="00B233DE">
                                        <w:pPr>
                                          <w:ind w:firstLine="0"/>
                                          <w:jc w:val="center"/>
                                          <w:rPr>
                                            <w:rFonts w:ascii="Times New Roman" w:hAnsi="Times New Roman" w:cs="Times New Roman"/>
                                            <w:sz w:val="16"/>
                                            <w:szCs w:val="16"/>
                                            <w:lang w:val="en-US"/>
                                          </w:rPr>
                                        </w:pPr>
                                        <w:r w:rsidRPr="00AE1062">
                                          <w:rPr>
                                            <w:rFonts w:ascii="Times New Roman" w:hAnsi="Times New Roman" w:cs="Times New Roman"/>
                                            <w:b/>
                                            <w:sz w:val="16"/>
                                            <w:szCs w:val="16"/>
                                          </w:rPr>
                                          <w:t>і</w:t>
                                        </w:r>
                                      </w:p>
                                    </w:txbxContent>
                                  </wps:txbx>
                                  <wps:bodyPr rot="0" vert="horz" wrap="square" lIns="91440" tIns="45720" rIns="91440" bIns="45720" anchor="t" anchorCtr="0" upright="1">
                                    <a:noAutofit/>
                                  </wps:bodyPr>
                                </wps:wsp>
                                <wps:wsp>
                                  <wps:cNvPr id="1509" name="Поле 77"/>
                                  <wps:cNvSpPr txBox="1">
                                    <a:spLocks noChangeArrowheads="1"/>
                                  </wps:cNvSpPr>
                                  <wps:spPr bwMode="auto">
                                    <a:xfrm rot="902187">
                                      <a:off x="11557" y="-1948"/>
                                      <a:ext cx="2317" cy="2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AE1062" w:rsidRDefault="00BE40F8" w:rsidP="00B233DE">
                                        <w:pPr>
                                          <w:ind w:firstLine="0"/>
                                          <w:jc w:val="center"/>
                                          <w:rPr>
                                            <w:rFonts w:ascii="Times New Roman" w:hAnsi="Times New Roman" w:cs="Times New Roman"/>
                                            <w:sz w:val="16"/>
                                            <w:szCs w:val="16"/>
                                            <w:lang w:val="en-US"/>
                                          </w:rPr>
                                        </w:pPr>
                                        <w:r w:rsidRPr="00AE1062">
                                          <w:rPr>
                                            <w:rFonts w:ascii="Times New Roman" w:hAnsi="Times New Roman" w:cs="Times New Roman"/>
                                            <w:b/>
                                            <w:sz w:val="16"/>
                                            <w:szCs w:val="16"/>
                                          </w:rPr>
                                          <w:t>в</w:t>
                                        </w:r>
                                      </w:p>
                                    </w:txbxContent>
                                  </wps:txbx>
                                  <wps:bodyPr rot="0" vert="horz" wrap="square" lIns="91440" tIns="45720" rIns="91440" bIns="45720" anchor="t" anchorCtr="0" upright="1">
                                    <a:noAutofit/>
                                  </wps:bodyPr>
                                </wps:wsp>
                                <wps:wsp>
                                  <wps:cNvPr id="1510" name="Поле 78"/>
                                  <wps:cNvSpPr txBox="1">
                                    <a:spLocks noChangeArrowheads="1"/>
                                  </wps:cNvSpPr>
                                  <wps:spPr bwMode="auto">
                                    <a:xfrm rot="1009029">
                                      <a:off x="13487" y="-954"/>
                                      <a:ext cx="1941" cy="25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AE1062" w:rsidRDefault="00BE40F8" w:rsidP="00B233DE">
                                        <w:pPr>
                                          <w:ind w:firstLine="0"/>
                                          <w:jc w:val="center"/>
                                          <w:rPr>
                                            <w:rFonts w:ascii="Times New Roman" w:hAnsi="Times New Roman" w:cs="Times New Roman"/>
                                            <w:sz w:val="16"/>
                                            <w:szCs w:val="16"/>
                                            <w:lang w:val="en-US"/>
                                          </w:rPr>
                                        </w:pPr>
                                        <w:r w:rsidRPr="00AE1062">
                                          <w:rPr>
                                            <w:rFonts w:ascii="Times New Roman" w:hAnsi="Times New Roman" w:cs="Times New Roman"/>
                                            <w:b/>
                                            <w:sz w:val="16"/>
                                            <w:szCs w:val="16"/>
                                          </w:rPr>
                                          <w:t>е</w:t>
                                        </w:r>
                                      </w:p>
                                    </w:txbxContent>
                                  </wps:txbx>
                                  <wps:bodyPr rot="0" vert="horz" wrap="square" lIns="91440" tIns="45720" rIns="91440" bIns="45720" anchor="t" anchorCtr="0" upright="1">
                                    <a:noAutofit/>
                                  </wps:bodyPr>
                                </wps:wsp>
                                <wps:wsp>
                                  <wps:cNvPr id="1511" name="Поле 79"/>
                                  <wps:cNvSpPr txBox="1">
                                    <a:spLocks noChangeArrowheads="1"/>
                                  </wps:cNvSpPr>
                                  <wps:spPr bwMode="auto">
                                    <a:xfrm rot="1407463">
                                      <a:off x="15134" y="-140"/>
                                      <a:ext cx="1843" cy="2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AE1062" w:rsidRDefault="00BE40F8" w:rsidP="00B233DE">
                                        <w:pPr>
                                          <w:ind w:right="-6" w:firstLine="0"/>
                                          <w:jc w:val="center"/>
                                          <w:rPr>
                                            <w:rFonts w:ascii="Times New Roman" w:hAnsi="Times New Roman" w:cs="Times New Roman"/>
                                            <w:sz w:val="16"/>
                                            <w:szCs w:val="16"/>
                                            <w:lang w:val="en-US"/>
                                          </w:rPr>
                                        </w:pPr>
                                        <w:r w:rsidRPr="00AE1062">
                                          <w:rPr>
                                            <w:rFonts w:ascii="Times New Roman" w:hAnsi="Times New Roman" w:cs="Times New Roman"/>
                                            <w:b/>
                                            <w:sz w:val="16"/>
                                            <w:szCs w:val="16"/>
                                          </w:rPr>
                                          <w:t>н</w:t>
                                        </w:r>
                                      </w:p>
                                    </w:txbxContent>
                                  </wps:txbx>
                                  <wps:bodyPr rot="0" vert="horz" wrap="square" lIns="0" tIns="0" rIns="0" bIns="0" anchor="ctr" anchorCtr="0" upright="1">
                                    <a:noAutofit/>
                                  </wps:bodyPr>
                                </wps:wsp>
                                <wps:wsp>
                                  <wps:cNvPr id="1512" name="Поле 80"/>
                                  <wps:cNvSpPr txBox="1">
                                    <a:spLocks noChangeArrowheads="1"/>
                                  </wps:cNvSpPr>
                                  <wps:spPr bwMode="auto">
                                    <a:xfrm rot="1826431">
                                      <a:off x="16036" y="1441"/>
                                      <a:ext cx="2845" cy="2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AE1062" w:rsidRDefault="00BE40F8" w:rsidP="00B233DE">
                                        <w:pPr>
                                          <w:ind w:right="-23" w:firstLine="0"/>
                                          <w:jc w:val="center"/>
                                          <w:rPr>
                                            <w:rFonts w:ascii="Times New Roman" w:hAnsi="Times New Roman" w:cs="Times New Roman"/>
                                            <w:sz w:val="16"/>
                                            <w:szCs w:val="16"/>
                                            <w:lang w:val="en-US"/>
                                          </w:rPr>
                                        </w:pPr>
                                        <w:r w:rsidRPr="00AE1062">
                                          <w:rPr>
                                            <w:rFonts w:ascii="Times New Roman" w:hAnsi="Times New Roman" w:cs="Times New Roman"/>
                                            <w:b/>
                                            <w:sz w:val="16"/>
                                            <w:szCs w:val="16"/>
                                          </w:rPr>
                                          <w:t>ь</w:t>
                                        </w:r>
                                      </w:p>
                                    </w:txbxContent>
                                  </wps:txbx>
                                  <wps:bodyPr rot="0" vert="horz" wrap="square" lIns="91440" tIns="45720" rIns="91440" bIns="45720" anchor="t" anchorCtr="0" upright="1">
                                    <a:noAutofit/>
                                  </wps:bodyPr>
                                </wps:wsp>
                              </wpg:grpSp>
                              <wpg:grpSp>
                                <wpg:cNvPr id="1513" name="Группа 1513"/>
                                <wpg:cNvGrpSpPr/>
                                <wpg:grpSpPr>
                                  <a:xfrm>
                                    <a:off x="0" y="0"/>
                                    <a:ext cx="5918200" cy="5918200"/>
                                    <a:chOff x="0" y="0"/>
                                    <a:chExt cx="5918200" cy="5918200"/>
                                  </a:xfrm>
                                </wpg:grpSpPr>
                                <wpg:grpSp>
                                  <wpg:cNvPr id="1514" name="Группа 1514"/>
                                  <wpg:cNvGrpSpPr>
                                    <a:grpSpLocks/>
                                  </wpg:cNvGrpSpPr>
                                  <wpg:grpSpPr>
                                    <a:xfrm>
                                      <a:off x="1643390" y="788464"/>
                                      <a:ext cx="2499787" cy="795931"/>
                                      <a:chOff x="-152323" y="-435591"/>
                                      <a:chExt cx="1985685" cy="796219"/>
                                    </a:xfrm>
                                  </wpg:grpSpPr>
                                  <wps:wsp>
                                    <wps:cNvPr id="1515" name="Поле 1515"/>
                                    <wps:cNvSpPr txBox="1"/>
                                    <wps:spPr>
                                      <a:xfrm rot="19178566">
                                        <a:off x="-152323" y="102188"/>
                                        <a:ext cx="284480" cy="258440"/>
                                      </a:xfrm>
                                      <a:prstGeom prst="rect">
                                        <a:avLst/>
                                      </a:prstGeom>
                                      <a:noFill/>
                                      <a:ln w="6350">
                                        <a:noFill/>
                                      </a:ln>
                                      <a:effectLst/>
                                    </wps:spPr>
                                    <wps:txbx>
                                      <w:txbxContent>
                                        <w:p w:rsidR="00BE40F8" w:rsidRPr="00A51D98" w:rsidRDefault="00BE40F8" w:rsidP="00B233DE">
                                          <w:pPr>
                                            <w:ind w:left="-426"/>
                                            <w:jc w:val="center"/>
                                            <w:rPr>
                                              <w:rFonts w:ascii="Times New Roman" w:hAnsi="Times New Roman" w:cs="Times New Roman"/>
                                              <w:sz w:val="16"/>
                                              <w:szCs w:val="16"/>
                                              <w:lang w:val="en-US"/>
                                            </w:rPr>
                                          </w:pPr>
                                          <w:r w:rsidRPr="00A51D98">
                                            <w:rPr>
                                              <w:rFonts w:ascii="Times New Roman" w:hAnsi="Times New Roman" w:cs="Times New Roman"/>
                                              <w:b/>
                                              <w:sz w:val="16"/>
                                              <w:szCs w:val="16"/>
                                            </w:rPr>
                                            <w:t>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16" name="Поле 1516"/>
                                    <wps:cNvSpPr txBox="1"/>
                                    <wps:spPr>
                                      <a:xfrm rot="19994231">
                                        <a:off x="210" y="-43823"/>
                                        <a:ext cx="284480" cy="258445"/>
                                      </a:xfrm>
                                      <a:prstGeom prst="rect">
                                        <a:avLst/>
                                      </a:prstGeom>
                                      <a:noFill/>
                                      <a:ln w="6350">
                                        <a:noFill/>
                                      </a:ln>
                                      <a:effectLst/>
                                    </wps:spPr>
                                    <wps:txbx>
                                      <w:txbxContent>
                                        <w:p w:rsidR="00BE40F8" w:rsidRPr="00A51D98" w:rsidRDefault="00BE40F8" w:rsidP="00B233DE">
                                          <w:pPr>
                                            <w:ind w:firstLine="0"/>
                                            <w:jc w:val="center"/>
                                            <w:rPr>
                                              <w:rFonts w:ascii="Times New Roman" w:hAnsi="Times New Roman" w:cs="Times New Roman"/>
                                              <w:sz w:val="16"/>
                                              <w:szCs w:val="16"/>
                                            </w:rPr>
                                          </w:pPr>
                                          <w:r w:rsidRPr="00A51D98">
                                            <w:rPr>
                                              <w:rFonts w:ascii="Times New Roman" w:hAnsi="Times New Roman" w:cs="Times New Roman"/>
                                              <w:b/>
                                              <w:sz w:val="16"/>
                                              <w:szCs w:val="16"/>
                                            </w:rPr>
                                            <w:t>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17" name="Поле 1517"/>
                                    <wps:cNvSpPr txBox="1"/>
                                    <wps:spPr>
                                      <a:xfrm rot="20392999">
                                        <a:off x="170633" y="-171820"/>
                                        <a:ext cx="284480" cy="258444"/>
                                      </a:xfrm>
                                      <a:prstGeom prst="rect">
                                        <a:avLst/>
                                      </a:prstGeom>
                                      <a:noFill/>
                                      <a:ln w="6350">
                                        <a:noFill/>
                                      </a:ln>
                                      <a:effectLst/>
                                    </wps:spPr>
                                    <wps:txbx>
                                      <w:txbxContent>
                                        <w:p w:rsidR="00BE40F8" w:rsidRPr="00A51D98" w:rsidRDefault="00BE40F8" w:rsidP="00B233DE">
                                          <w:pPr>
                                            <w:ind w:left="-426"/>
                                            <w:jc w:val="center"/>
                                            <w:rPr>
                                              <w:rFonts w:ascii="Times New Roman" w:hAnsi="Times New Roman" w:cs="Times New Roman"/>
                                              <w:sz w:val="16"/>
                                              <w:szCs w:val="16"/>
                                              <w:lang w:val="en-US"/>
                                            </w:rPr>
                                          </w:pPr>
                                          <w:r w:rsidRPr="00A51D98">
                                            <w:rPr>
                                              <w:rFonts w:ascii="Times New Roman" w:hAnsi="Times New Roman" w:cs="Times New Roman"/>
                                              <w:b/>
                                              <w:sz w:val="16"/>
                                              <w:szCs w:val="16"/>
                                            </w:rPr>
                                            <w:t>з</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18" name="Поле 1518"/>
                                    <wps:cNvSpPr txBox="1"/>
                                    <wps:spPr>
                                      <a:xfrm rot="20918519">
                                        <a:off x="351462" y="-285573"/>
                                        <a:ext cx="284480" cy="258445"/>
                                      </a:xfrm>
                                      <a:prstGeom prst="rect">
                                        <a:avLst/>
                                      </a:prstGeom>
                                      <a:noFill/>
                                      <a:ln w="6350">
                                        <a:noFill/>
                                      </a:ln>
                                      <a:effectLst/>
                                    </wps:spPr>
                                    <wps:txbx>
                                      <w:txbxContent>
                                        <w:p w:rsidR="00BE40F8" w:rsidRPr="00A51D98" w:rsidRDefault="00BE40F8" w:rsidP="00B233DE">
                                          <w:pPr>
                                            <w:ind w:left="-426"/>
                                            <w:jc w:val="center"/>
                                            <w:rPr>
                                              <w:rFonts w:ascii="Times New Roman" w:hAnsi="Times New Roman" w:cs="Times New Roman"/>
                                              <w:sz w:val="16"/>
                                              <w:szCs w:val="16"/>
                                              <w:lang w:val="en-US"/>
                                            </w:rPr>
                                          </w:pPr>
                                          <w:r w:rsidRPr="00A51D98">
                                            <w:rPr>
                                              <w:rFonts w:ascii="Times New Roman" w:hAnsi="Times New Roman" w:cs="Times New Roman"/>
                                              <w:b/>
                                              <w:sz w:val="16"/>
                                              <w:szCs w:val="16"/>
                                            </w:rPr>
                                            <w:t>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19" name="Поле 1519"/>
                                    <wps:cNvSpPr txBox="1"/>
                                    <wps:spPr>
                                      <a:xfrm rot="21443445">
                                        <a:off x="502358" y="-348549"/>
                                        <a:ext cx="284480" cy="208039"/>
                                      </a:xfrm>
                                      <a:prstGeom prst="rect">
                                        <a:avLst/>
                                      </a:prstGeom>
                                      <a:noFill/>
                                      <a:ln w="6350">
                                        <a:noFill/>
                                      </a:ln>
                                      <a:effectLst/>
                                    </wps:spPr>
                                    <wps:txbx>
                                      <w:txbxContent>
                                        <w:p w:rsidR="00BE40F8" w:rsidRPr="00E92AB5" w:rsidRDefault="00BE40F8" w:rsidP="00B233DE">
                                          <w:pPr>
                                            <w:ind w:firstLine="0"/>
                                            <w:jc w:val="center"/>
                                            <w:rPr>
                                              <w:rFonts w:ascii="Times New Roman" w:hAnsi="Times New Roman" w:cs="Times New Roman"/>
                                              <w:sz w:val="16"/>
                                              <w:szCs w:val="16"/>
                                              <w:lang w:val="en-US"/>
                                            </w:rPr>
                                          </w:pPr>
                                          <w:r w:rsidRPr="00E92AB5">
                                            <w:rPr>
                                              <w:rFonts w:ascii="Times New Roman" w:hAnsi="Times New Roman" w:cs="Times New Roman"/>
                                              <w:b/>
                                              <w:sz w:val="16"/>
                                              <w:szCs w:val="16"/>
                                            </w:rPr>
                                            <w:t>р</w:t>
                                          </w:r>
                                        </w:p>
                                        <w:p w:rsidR="00BE40F8" w:rsidRDefault="00BE40F8" w:rsidP="00B233DE"/>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520" name="Поле 1520"/>
                                    <wps:cNvSpPr txBox="1"/>
                                    <wps:spPr>
                                      <a:xfrm>
                                        <a:off x="688330" y="-435591"/>
                                        <a:ext cx="284480" cy="258446"/>
                                      </a:xfrm>
                                      <a:prstGeom prst="rect">
                                        <a:avLst/>
                                      </a:prstGeom>
                                      <a:noFill/>
                                      <a:ln w="6350">
                                        <a:noFill/>
                                      </a:ln>
                                      <a:effectLst/>
                                    </wps:spPr>
                                    <wps:txbx>
                                      <w:txbxContent>
                                        <w:p w:rsidR="00BE40F8" w:rsidRPr="00ED7DB1" w:rsidRDefault="00BE40F8" w:rsidP="00B233DE">
                                          <w:pPr>
                                            <w:ind w:firstLine="0"/>
                                            <w:jc w:val="center"/>
                                            <w:rPr>
                                              <w:rFonts w:ascii="Times New Roman" w:hAnsi="Times New Roman" w:cs="Times New Roman"/>
                                              <w:sz w:val="16"/>
                                              <w:szCs w:val="16"/>
                                              <w:lang w:val="en-US"/>
                                            </w:rPr>
                                          </w:pPr>
                                          <w:r w:rsidRPr="00ED7DB1">
                                            <w:rPr>
                                              <w:rFonts w:ascii="Times New Roman" w:hAnsi="Times New Roman" w:cs="Times New Roman"/>
                                              <w:b/>
                                              <w:sz w:val="16"/>
                                              <w:szCs w:val="16"/>
                                            </w:rPr>
                                            <w:t>і</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521" name="Поле 1521"/>
                                    <wps:cNvSpPr txBox="1"/>
                                    <wps:spPr>
                                      <a:xfrm rot="607817">
                                        <a:off x="923284" y="-428130"/>
                                        <a:ext cx="284480" cy="258445"/>
                                      </a:xfrm>
                                      <a:prstGeom prst="rect">
                                        <a:avLst/>
                                      </a:prstGeom>
                                      <a:noFill/>
                                      <a:ln w="6350">
                                        <a:noFill/>
                                      </a:ln>
                                      <a:effectLst/>
                                    </wps:spPr>
                                    <wps:txbx>
                                      <w:txbxContent>
                                        <w:p w:rsidR="00BE40F8" w:rsidRPr="00A51D98" w:rsidRDefault="00BE40F8" w:rsidP="00B233DE">
                                          <w:pPr>
                                            <w:ind w:firstLine="0"/>
                                            <w:jc w:val="center"/>
                                            <w:rPr>
                                              <w:rFonts w:ascii="Times New Roman" w:hAnsi="Times New Roman" w:cs="Times New Roman"/>
                                              <w:sz w:val="16"/>
                                              <w:szCs w:val="16"/>
                                              <w:lang w:val="en-US"/>
                                            </w:rPr>
                                          </w:pPr>
                                          <w:r w:rsidRPr="00A51D98">
                                            <w:rPr>
                                              <w:rFonts w:ascii="Times New Roman" w:hAnsi="Times New Roman" w:cs="Times New Roman"/>
                                              <w:b/>
                                              <w:sz w:val="16"/>
                                              <w:szCs w:val="16"/>
                                            </w:rPr>
                                            <w:t>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22" name="Поле 1522"/>
                                    <wps:cNvSpPr txBox="1"/>
                                    <wps:spPr>
                                      <a:xfrm rot="1075195">
                                        <a:off x="1135410" y="-354043"/>
                                        <a:ext cx="284480" cy="258445"/>
                                      </a:xfrm>
                                      <a:prstGeom prst="rect">
                                        <a:avLst/>
                                      </a:prstGeom>
                                      <a:noFill/>
                                      <a:ln w="6350">
                                        <a:noFill/>
                                      </a:ln>
                                      <a:effectLst/>
                                    </wps:spPr>
                                    <wps:txbx>
                                      <w:txbxContent>
                                        <w:p w:rsidR="00BE40F8" w:rsidRPr="00A51D98" w:rsidRDefault="00BE40F8" w:rsidP="00B233DE">
                                          <w:pPr>
                                            <w:ind w:firstLine="0"/>
                                            <w:jc w:val="center"/>
                                            <w:rPr>
                                              <w:rFonts w:ascii="Times New Roman" w:hAnsi="Times New Roman" w:cs="Times New Roman"/>
                                              <w:sz w:val="16"/>
                                              <w:szCs w:val="16"/>
                                              <w:lang w:val="en-US"/>
                                            </w:rPr>
                                          </w:pPr>
                                          <w:r w:rsidRPr="00A51D98">
                                            <w:rPr>
                                              <w:rFonts w:ascii="Times New Roman" w:hAnsi="Times New Roman" w:cs="Times New Roman"/>
                                              <w:b/>
                                              <w:sz w:val="16"/>
                                              <w:szCs w:val="16"/>
                                            </w:rPr>
                                            <w:t>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23" name="Поле 1523"/>
                                    <wps:cNvSpPr txBox="1"/>
                                    <wps:spPr>
                                      <a:xfrm rot="1620456">
                                        <a:off x="1356170" y="-266197"/>
                                        <a:ext cx="284480" cy="258445"/>
                                      </a:xfrm>
                                      <a:prstGeom prst="rect">
                                        <a:avLst/>
                                      </a:prstGeom>
                                      <a:noFill/>
                                      <a:ln w="6350">
                                        <a:noFill/>
                                      </a:ln>
                                      <a:effectLst/>
                                    </wps:spPr>
                                    <wps:txbx>
                                      <w:txbxContent>
                                        <w:p w:rsidR="00BE40F8" w:rsidRPr="00A51D98" w:rsidRDefault="00BE40F8" w:rsidP="00B233DE">
                                          <w:pPr>
                                            <w:ind w:firstLine="0"/>
                                            <w:jc w:val="center"/>
                                            <w:rPr>
                                              <w:rFonts w:ascii="Times New Roman" w:hAnsi="Times New Roman" w:cs="Times New Roman"/>
                                              <w:sz w:val="16"/>
                                              <w:szCs w:val="16"/>
                                              <w:lang w:val="en-US"/>
                                            </w:rPr>
                                          </w:pPr>
                                          <w:r w:rsidRPr="00A51D98">
                                            <w:rPr>
                                              <w:rFonts w:ascii="Times New Roman" w:hAnsi="Times New Roman" w:cs="Times New Roman"/>
                                              <w:b/>
                                              <w:sz w:val="16"/>
                                              <w:szCs w:val="16"/>
                                            </w:rPr>
                                            <w:t>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24" name="Поле 1524"/>
                                    <wps:cNvSpPr txBox="1"/>
                                    <wps:spPr>
                                      <a:xfrm rot="2491184">
                                        <a:off x="1548882" y="-59599"/>
                                        <a:ext cx="284480" cy="232041"/>
                                      </a:xfrm>
                                      <a:prstGeom prst="rect">
                                        <a:avLst/>
                                      </a:prstGeom>
                                      <a:noFill/>
                                      <a:ln w="6350">
                                        <a:noFill/>
                                      </a:ln>
                                      <a:effectLst/>
                                    </wps:spPr>
                                    <wps:txbx>
                                      <w:txbxContent>
                                        <w:p w:rsidR="00BE40F8" w:rsidRPr="00A51D98" w:rsidRDefault="00BE40F8" w:rsidP="00B233DE">
                                          <w:pPr>
                                            <w:ind w:firstLine="0"/>
                                            <w:jc w:val="center"/>
                                            <w:rPr>
                                              <w:rFonts w:ascii="Times New Roman" w:hAnsi="Times New Roman" w:cs="Times New Roman"/>
                                              <w:sz w:val="16"/>
                                              <w:szCs w:val="16"/>
                                              <w:lang w:val="en-US"/>
                                            </w:rPr>
                                          </w:pPr>
                                          <w:r w:rsidRPr="00A51D98">
                                            <w:rPr>
                                              <w:rFonts w:ascii="Times New Roman" w:hAnsi="Times New Roman" w:cs="Times New Roman"/>
                                              <w:b/>
                                              <w:sz w:val="16"/>
                                              <w:szCs w:val="16"/>
                                            </w:rPr>
                                            <w:t>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525" name="Группа 1525"/>
                                  <wpg:cNvGrpSpPr/>
                                  <wpg:grpSpPr>
                                    <a:xfrm>
                                      <a:off x="0" y="0"/>
                                      <a:ext cx="5918200" cy="5918200"/>
                                      <a:chOff x="0" y="0"/>
                                      <a:chExt cx="5918200" cy="5918200"/>
                                    </a:xfrm>
                                  </wpg:grpSpPr>
                                  <wps:wsp>
                                    <wps:cNvPr id="1526" name="Поле 1526"/>
                                    <wps:cNvSpPr txBox="1">
                                      <a:spLocks/>
                                    </wps:cNvSpPr>
                                    <wps:spPr>
                                      <a:xfrm rot="4238606">
                                        <a:off x="2294173" y="3460195"/>
                                        <a:ext cx="730553" cy="537112"/>
                                      </a:xfrm>
                                      <a:prstGeom prst="rect">
                                        <a:avLst/>
                                      </a:prstGeom>
                                      <a:noFill/>
                                      <a:ln w="6350">
                                        <a:noFill/>
                                      </a:ln>
                                      <a:effectLst/>
                                    </wps:spPr>
                                    <wps:txbx>
                                      <w:txbxContent>
                                        <w:p w:rsidR="00BE40F8" w:rsidRPr="00240E4E" w:rsidRDefault="00BE40F8" w:rsidP="00B233DE">
                                          <w:pPr>
                                            <w:spacing w:line="168" w:lineRule="auto"/>
                                            <w:ind w:firstLine="0"/>
                                            <w:jc w:val="center"/>
                                            <w:rPr>
                                              <w:rFonts w:ascii="Times New Roman" w:hAnsi="Times New Roman" w:cs="Times New Roman"/>
                                              <w:sz w:val="15"/>
                                              <w:szCs w:val="15"/>
                                            </w:rPr>
                                          </w:pPr>
                                          <w:r w:rsidRPr="00240E4E">
                                            <w:rPr>
                                              <w:rFonts w:ascii="Times New Roman" w:hAnsi="Times New Roman" w:cs="Times New Roman"/>
                                              <w:sz w:val="15"/>
                                              <w:szCs w:val="15"/>
                                            </w:rPr>
                                            <w:t>Місцеві органи виконавчої влади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527" name="Поле 97"/>
                                    <wps:cNvSpPr txBox="1">
                                      <a:spLocks/>
                                    </wps:cNvSpPr>
                                    <wps:spPr>
                                      <a:xfrm rot="2866397">
                                        <a:off x="3336636" y="1278789"/>
                                        <a:ext cx="1057497" cy="410611"/>
                                      </a:xfrm>
                                      <a:prstGeom prst="rect">
                                        <a:avLst/>
                                      </a:prstGeom>
                                      <a:noFill/>
                                      <a:ln w="6350">
                                        <a:noFill/>
                                      </a:ln>
                                      <a:effectLst/>
                                    </wps:spPr>
                                    <wps:txbx>
                                      <w:txbxContent>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Регіональні комерційні структури</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cNvPr id="1528" name="Группа 1528"/>
                                    <wpg:cNvGrpSpPr/>
                                    <wpg:grpSpPr>
                                      <a:xfrm>
                                        <a:off x="0" y="0"/>
                                        <a:ext cx="5918200" cy="5918200"/>
                                        <a:chOff x="0" y="0"/>
                                        <a:chExt cx="5918200" cy="5918200"/>
                                      </a:xfrm>
                                    </wpg:grpSpPr>
                                    <wps:wsp>
                                      <wps:cNvPr id="1529" name="Поле 99"/>
                                      <wps:cNvSpPr txBox="1">
                                        <a:spLocks/>
                                      </wps:cNvSpPr>
                                      <wps:spPr>
                                        <a:xfrm rot="2761029">
                                          <a:off x="3508222" y="875278"/>
                                          <a:ext cx="1362317" cy="479998"/>
                                        </a:xfrm>
                                        <a:prstGeom prst="rect">
                                          <a:avLst/>
                                        </a:prstGeom>
                                        <a:noFill/>
                                        <a:ln w="6350">
                                          <a:noFill/>
                                        </a:ln>
                                        <a:effectLst/>
                                      </wps:spPr>
                                      <wps:txbx>
                                        <w:txbxContent>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Загальнонаціональні комерційні структури</w:t>
                                            </w:r>
                                          </w:p>
                                          <w:p w:rsidR="00BE40F8" w:rsidRPr="005445F7" w:rsidRDefault="00BE40F8" w:rsidP="00B233DE">
                                            <w:pPr>
                                              <w:rPr>
                                                <w:rFonts w:ascii="Times New Roman" w:hAnsi="Times New Roman" w:cs="Times New Roman"/>
                                                <w:sz w:val="16"/>
                                                <w:szCs w:val="16"/>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1530" name="Группа 1530"/>
                                      <wpg:cNvGrpSpPr/>
                                      <wpg:grpSpPr>
                                        <a:xfrm>
                                          <a:off x="0" y="0"/>
                                          <a:ext cx="5918200" cy="5918200"/>
                                          <a:chOff x="0" y="0"/>
                                          <a:chExt cx="5918200" cy="5918200"/>
                                        </a:xfrm>
                                      </wpg:grpSpPr>
                                      <wpg:grpSp>
                                        <wpg:cNvPr id="1531" name="Group 168"/>
                                        <wpg:cNvGrpSpPr>
                                          <a:grpSpLocks/>
                                        </wpg:cNvGrpSpPr>
                                        <wpg:grpSpPr bwMode="auto">
                                          <a:xfrm>
                                            <a:off x="374650" y="796925"/>
                                            <a:ext cx="5071110" cy="4337050"/>
                                            <a:chOff x="2373" y="5575"/>
                                            <a:chExt cx="7986" cy="6830"/>
                                          </a:xfrm>
                                        </wpg:grpSpPr>
                                        <wps:wsp>
                                          <wps:cNvPr id="1532" name="Овал 16"/>
                                          <wps:cNvSpPr>
                                            <a:spLocks noChangeAspect="1"/>
                                          </wps:cNvSpPr>
                                          <wps:spPr bwMode="auto">
                                            <a:xfrm>
                                              <a:off x="3643" y="5575"/>
                                              <a:ext cx="5721" cy="6830"/>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533" name="Овал 17"/>
                                          <wps:cNvSpPr>
                                            <a:spLocks noChangeAspect="1"/>
                                          </wps:cNvSpPr>
                                          <wps:spPr bwMode="auto">
                                            <a:xfrm>
                                              <a:off x="4441" y="6299"/>
                                              <a:ext cx="4134" cy="5434"/>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534" name="Прямая соединительная линия 23"/>
                                          <wps:cNvCnPr/>
                                          <wps:spPr bwMode="auto">
                                            <a:xfrm>
                                              <a:off x="6844" y="9288"/>
                                              <a:ext cx="3380" cy="237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35" name="Прямая соединительная линия 25"/>
                                          <wps:cNvCnPr>
                                            <a:stCxn id="1543" idx="1"/>
                                            <a:endCxn id="1574" idx="1"/>
                                          </wps:cNvCnPr>
                                          <wps:spPr bwMode="auto">
                                            <a:xfrm flipH="1" flipV="1">
                                              <a:off x="2373" y="6925"/>
                                              <a:ext cx="3770" cy="175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36" name="Прямая соединительная линия 27"/>
                                          <wps:cNvCnPr>
                                            <a:endCxn id="1543" idx="3"/>
                                          </wps:cNvCnPr>
                                          <wps:spPr bwMode="auto">
                                            <a:xfrm flipV="1">
                                              <a:off x="2581" y="9346"/>
                                              <a:ext cx="3562" cy="209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537" name="Группа 81"/>
                                          <wpg:cNvGrpSpPr>
                                            <a:grpSpLocks/>
                                          </wpg:cNvGrpSpPr>
                                          <wpg:grpSpPr bwMode="auto">
                                            <a:xfrm>
                                              <a:off x="5241" y="8044"/>
                                              <a:ext cx="2429" cy="629"/>
                                              <a:chOff x="971" y="820"/>
                                              <a:chExt cx="15464" cy="4482"/>
                                            </a:xfrm>
                                          </wpg:grpSpPr>
                                          <wps:wsp>
                                            <wps:cNvPr id="1538" name="Поле 82"/>
                                            <wps:cNvSpPr txBox="1">
                                              <a:spLocks noChangeArrowheads="1"/>
                                            </wps:cNvSpPr>
                                            <wps:spPr bwMode="auto">
                                              <a:xfrm rot="-4168640">
                                                <a:off x="1638" y="2472"/>
                                                <a:ext cx="2163" cy="34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6363FE" w:rsidRDefault="00BE40F8" w:rsidP="00B233DE">
                                                  <w:pPr>
                                                    <w:jc w:val="center"/>
                                                    <w:rPr>
                                                      <w:rFonts w:ascii="Times New Roman" w:hAnsi="Times New Roman" w:cs="Times New Roman"/>
                                                      <w:b/>
                                                      <w:sz w:val="16"/>
                                                      <w:szCs w:val="16"/>
                                                    </w:rPr>
                                                  </w:pPr>
                                                  <w:r w:rsidRPr="006363FE">
                                                    <w:rPr>
                                                      <w:rFonts w:ascii="Times New Roman" w:hAnsi="Times New Roman" w:cs="Times New Roman"/>
                                                      <w:b/>
                                                      <w:sz w:val="16"/>
                                                      <w:szCs w:val="16"/>
                                                    </w:rPr>
                                                    <w:t>Н</w:t>
                                                  </w:r>
                                                </w:p>
                                              </w:txbxContent>
                                            </wps:txbx>
                                            <wps:bodyPr rot="0" vert="horz" wrap="square" lIns="91440" tIns="45720" rIns="91440" bIns="45720" anchor="t" anchorCtr="0" upright="1">
                                              <a:noAutofit/>
                                            </wps:bodyPr>
                                          </wps:wsp>
                                          <wps:wsp>
                                            <wps:cNvPr id="1539" name="Поле 83"/>
                                            <wps:cNvSpPr txBox="1">
                                              <a:spLocks noChangeArrowheads="1"/>
                                            </wps:cNvSpPr>
                                            <wps:spPr bwMode="auto">
                                              <a:xfrm rot="-3530555">
                                                <a:off x="1922" y="1150"/>
                                                <a:ext cx="2164" cy="33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6363FE" w:rsidRDefault="00BE40F8" w:rsidP="00B233DE">
                                                  <w:pPr>
                                                    <w:jc w:val="center"/>
                                                    <w:rPr>
                                                      <w:rFonts w:ascii="Times New Roman" w:hAnsi="Times New Roman" w:cs="Times New Roman"/>
                                                      <w:b/>
                                                      <w:sz w:val="16"/>
                                                      <w:szCs w:val="16"/>
                                                    </w:rPr>
                                                  </w:pPr>
                                                  <w:r w:rsidRPr="006363FE">
                                                    <w:rPr>
                                                      <w:rFonts w:ascii="Times New Roman" w:hAnsi="Times New Roman" w:cs="Times New Roman"/>
                                                      <w:b/>
                                                      <w:sz w:val="16"/>
                                                      <w:szCs w:val="16"/>
                                                    </w:rPr>
                                                    <w:t>а</w:t>
                                                  </w:r>
                                                </w:p>
                                              </w:txbxContent>
                                            </wps:txbx>
                                            <wps:bodyPr rot="0" vert="horz" wrap="square" lIns="91440" tIns="45720" rIns="91440" bIns="45720" anchor="t" anchorCtr="0" upright="1">
                                              <a:noAutofit/>
                                            </wps:bodyPr>
                                          </wps:wsp>
                                          <wps:wsp>
                                            <wps:cNvPr id="1540" name="Поле 90"/>
                                            <wps:cNvSpPr txBox="1">
                                              <a:spLocks noChangeArrowheads="1"/>
                                            </wps:cNvSpPr>
                                            <wps:spPr bwMode="auto">
                                              <a:xfrm rot="3151062">
                                                <a:off x="13156" y="671"/>
                                                <a:ext cx="2164" cy="2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6363FE" w:rsidRDefault="00BE40F8" w:rsidP="00B233DE">
                                                  <w:pPr>
                                                    <w:jc w:val="center"/>
                                                    <w:rPr>
                                                      <w:rFonts w:ascii="Times New Roman" w:hAnsi="Times New Roman" w:cs="Times New Roman"/>
                                                      <w:sz w:val="16"/>
                                                      <w:szCs w:val="16"/>
                                                      <w:lang w:val="en-US"/>
                                                    </w:rPr>
                                                  </w:pPr>
                                                  <w:r w:rsidRPr="006363FE">
                                                    <w:rPr>
                                                      <w:rFonts w:ascii="Times New Roman" w:hAnsi="Times New Roman" w:cs="Times New Roman"/>
                                                      <w:b/>
                                                      <w:sz w:val="16"/>
                                                      <w:szCs w:val="16"/>
                                                    </w:rPr>
                                                    <w:t>н</w:t>
                                                  </w:r>
                                                </w:p>
                                              </w:txbxContent>
                                            </wps:txbx>
                                            <wps:bodyPr rot="0" vert="horz" wrap="square" lIns="91440" tIns="45720" rIns="91440" bIns="45720" anchor="t" anchorCtr="0" upright="1">
                                              <a:noAutofit/>
                                            </wps:bodyPr>
                                          </wps:wsp>
                                          <wps:wsp>
                                            <wps:cNvPr id="1541" name="Поле 91"/>
                                            <wps:cNvSpPr txBox="1">
                                              <a:spLocks noChangeArrowheads="1"/>
                                            </wps:cNvSpPr>
                                            <wps:spPr bwMode="auto">
                                              <a:xfrm rot="3264882">
                                                <a:off x="14068" y="1851"/>
                                                <a:ext cx="2164" cy="2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6363FE" w:rsidRDefault="00BE40F8" w:rsidP="00B233DE">
                                                  <w:pPr>
                                                    <w:jc w:val="center"/>
                                                    <w:rPr>
                                                      <w:rFonts w:ascii="Times New Roman" w:hAnsi="Times New Roman" w:cs="Times New Roman"/>
                                                      <w:sz w:val="16"/>
                                                      <w:szCs w:val="16"/>
                                                      <w:lang w:val="en-US"/>
                                                    </w:rPr>
                                                  </w:pPr>
                                                  <w:r w:rsidRPr="006363FE">
                                                    <w:rPr>
                                                      <w:rFonts w:ascii="Times New Roman" w:hAnsi="Times New Roman" w:cs="Times New Roman"/>
                                                      <w:b/>
                                                      <w:sz w:val="16"/>
                                                      <w:szCs w:val="16"/>
                                                    </w:rPr>
                                                    <w:t>ь</w:t>
                                                  </w:r>
                                                </w:p>
                                              </w:txbxContent>
                                            </wps:txbx>
                                            <wps:bodyPr rot="0" vert="horz" wrap="square" lIns="91440" tIns="45720" rIns="91440" bIns="45720" anchor="t" anchorCtr="0" upright="1">
                                              <a:noAutofit/>
                                            </wps:bodyPr>
                                          </wps:wsp>
                                        </wpg:grpSp>
                                        <wps:wsp>
                                          <wps:cNvPr id="1542" name="Прямая соединительная линия 133"/>
                                          <wps:cNvCnPr/>
                                          <wps:spPr bwMode="auto">
                                            <a:xfrm flipV="1">
                                              <a:off x="6896" y="6502"/>
                                              <a:ext cx="3463" cy="2313"/>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43" name="Овал 102"/>
                                          <wps:cNvSpPr>
                                            <a:spLocks noChangeAspect="1"/>
                                          </wps:cNvSpPr>
                                          <wps:spPr bwMode="auto">
                                            <a:xfrm>
                                              <a:off x="5988" y="8539"/>
                                              <a:ext cx="1059" cy="946"/>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grpSp>
                                        <wpg:cNvPr id="1544" name="Group 167"/>
                                        <wpg:cNvGrpSpPr>
                                          <a:grpSpLocks/>
                                        </wpg:cNvGrpSpPr>
                                        <wpg:grpSpPr bwMode="auto">
                                          <a:xfrm>
                                            <a:off x="0" y="0"/>
                                            <a:ext cx="5918200" cy="5918200"/>
                                            <a:chOff x="1773" y="4321"/>
                                            <a:chExt cx="9320" cy="9320"/>
                                          </a:xfrm>
                                        </wpg:grpSpPr>
                                        <wps:wsp>
                                          <wps:cNvPr id="1545" name="Овал 15"/>
                                          <wps:cNvSpPr>
                                            <a:spLocks noChangeAspect="1"/>
                                          </wps:cNvSpPr>
                                          <wps:spPr bwMode="auto">
                                            <a:xfrm>
                                              <a:off x="2571" y="4878"/>
                                              <a:ext cx="7777" cy="8113"/>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546" name="Прямая соединительная линия 26"/>
                                          <wps:cNvCnPr>
                                            <a:endCxn id="1548" idx="4"/>
                                          </wps:cNvCnPr>
                                          <wps:spPr bwMode="auto">
                                            <a:xfrm flipH="1">
                                              <a:off x="6433" y="9484"/>
                                              <a:ext cx="37" cy="415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547" name="Group 166"/>
                                          <wpg:cNvGrpSpPr>
                                            <a:grpSpLocks/>
                                          </wpg:cNvGrpSpPr>
                                          <wpg:grpSpPr bwMode="auto">
                                            <a:xfrm>
                                              <a:off x="1773" y="4321"/>
                                              <a:ext cx="9320" cy="9320"/>
                                              <a:chOff x="1773" y="4321"/>
                                              <a:chExt cx="9320" cy="9320"/>
                                            </a:xfrm>
                                          </wpg:grpSpPr>
                                          <wps:wsp>
                                            <wps:cNvPr id="1548" name="Овал 13"/>
                                            <wps:cNvSpPr>
                                              <a:spLocks noChangeAspect="1"/>
                                            </wps:cNvSpPr>
                                            <wps:spPr bwMode="auto">
                                              <a:xfrm>
                                                <a:off x="1773" y="4321"/>
                                                <a:ext cx="9320" cy="9320"/>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549" name="Поле 19"/>
                                            <wps:cNvSpPr txBox="1">
                                              <a:spLocks noChangeArrowheads="1"/>
                                            </wps:cNvSpPr>
                                            <wps:spPr bwMode="auto">
                                              <a:xfrm>
                                                <a:off x="6085" y="8762"/>
                                                <a:ext cx="846" cy="5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3B5B74" w:rsidRDefault="00BE40F8" w:rsidP="00B233DE">
                                                  <w:pPr>
                                                    <w:spacing w:line="192" w:lineRule="auto"/>
                                                    <w:ind w:firstLine="0"/>
                                                    <w:jc w:val="center"/>
                                                    <w:rPr>
                                                      <w:rFonts w:ascii="Times New Roman" w:hAnsi="Times New Roman" w:cs="Times New Roman"/>
                                                      <w:sz w:val="12"/>
                                                      <w:szCs w:val="12"/>
                                                    </w:rPr>
                                                  </w:pPr>
                                                  <w:r w:rsidRPr="003B5B74">
                                                    <w:rPr>
                                                      <w:rFonts w:ascii="Times New Roman" w:hAnsi="Times New Roman" w:cs="Times New Roman"/>
                                                      <w:sz w:val="12"/>
                                                      <w:szCs w:val="12"/>
                                                    </w:rPr>
                                                    <w:t xml:space="preserve">Особа, </w:t>
                                                  </w:r>
                                                </w:p>
                                                <w:p w:rsidR="00BE40F8" w:rsidRPr="003B5B74" w:rsidRDefault="00BE40F8" w:rsidP="00B233DE">
                                                  <w:pPr>
                                                    <w:ind w:firstLine="0"/>
                                                    <w:jc w:val="center"/>
                                                    <w:rPr>
                                                      <w:rFonts w:ascii="Times New Roman" w:hAnsi="Times New Roman" w:cs="Times New Roman"/>
                                                      <w:sz w:val="12"/>
                                                      <w:szCs w:val="12"/>
                                                    </w:rPr>
                                                  </w:pPr>
                                                  <w:r w:rsidRPr="003B5B74">
                                                    <w:rPr>
                                                      <w:rFonts w:ascii="Times New Roman" w:hAnsi="Times New Roman" w:cs="Times New Roman"/>
                                                      <w:sz w:val="12"/>
                                                      <w:szCs w:val="12"/>
                                                    </w:rPr>
                                                    <w:t xml:space="preserve">колектив </w:t>
                                                  </w:r>
                                                </w:p>
                                                <w:p w:rsidR="00BE40F8" w:rsidRPr="003B5B74" w:rsidRDefault="00BE40F8" w:rsidP="00B233DE">
                                                  <w:pPr>
                                                    <w:ind w:firstLine="0"/>
                                                    <w:jc w:val="center"/>
                                                    <w:rPr>
                                                      <w:rFonts w:ascii="Times New Roman" w:hAnsi="Times New Roman" w:cs="Times New Roman"/>
                                                      <w:sz w:val="12"/>
                                                      <w:szCs w:val="12"/>
                                                    </w:rPr>
                                                  </w:pPr>
                                                  <w:r w:rsidRPr="003B5B74">
                                                    <w:rPr>
                                                      <w:rFonts w:ascii="Times New Roman" w:hAnsi="Times New Roman" w:cs="Times New Roman"/>
                                                      <w:sz w:val="12"/>
                                                      <w:szCs w:val="12"/>
                                                    </w:rPr>
                                                    <w:t>осіб</w:t>
                                                  </w:r>
                                                </w:p>
                                              </w:txbxContent>
                                            </wps:txbx>
                                            <wps:bodyPr rot="0" vert="horz" wrap="square" lIns="0" tIns="0" rIns="0" bIns="0" anchor="ctr" anchorCtr="0" upright="1">
                                              <a:noAutofit/>
                                            </wps:bodyPr>
                                          </wps:wsp>
                                          <wps:wsp>
                                            <wps:cNvPr id="1550" name="Прямая соединительная линия 24"/>
                                            <wps:cNvCnPr/>
                                            <wps:spPr bwMode="auto">
                                              <a:xfrm flipV="1">
                                                <a:off x="6470" y="4337"/>
                                                <a:ext cx="0" cy="420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1" name="Поле 32"/>
                                            <wps:cNvSpPr txBox="1">
                                              <a:spLocks noChangeArrowheads="1"/>
                                            </wps:cNvSpPr>
                                            <wps:spPr bwMode="auto">
                                              <a:xfrm rot="16412338">
                                                <a:off x="4964" y="8797"/>
                                                <a:ext cx="1371" cy="5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Default="00BE40F8" w:rsidP="00B233DE">
                                                  <w:pPr>
                                                    <w:spacing w:line="168" w:lineRule="auto"/>
                                                    <w:ind w:firstLine="0"/>
                                                    <w:jc w:val="center"/>
                                                    <w:rPr>
                                                      <w:rFonts w:ascii="Times New Roman" w:hAnsi="Times New Roman" w:cs="Times New Roman"/>
                                                      <w:sz w:val="14"/>
                                                      <w:szCs w:val="14"/>
                                                    </w:rPr>
                                                  </w:pPr>
                                                  <w:r w:rsidRPr="00D043E3">
                                                    <w:rPr>
                                                      <w:rFonts w:ascii="Times New Roman" w:hAnsi="Times New Roman" w:cs="Times New Roman"/>
                                                      <w:sz w:val="14"/>
                                                      <w:szCs w:val="14"/>
                                                    </w:rPr>
                                                    <w:t xml:space="preserve">Місцеві органи законодавчої </w:t>
                                                  </w:r>
                                                </w:p>
                                                <w:p w:rsidR="00BE40F8" w:rsidRPr="00D043E3" w:rsidRDefault="00BE40F8" w:rsidP="00B233DE">
                                                  <w:pPr>
                                                    <w:spacing w:line="168" w:lineRule="auto"/>
                                                    <w:ind w:firstLine="0"/>
                                                    <w:jc w:val="center"/>
                                                    <w:rPr>
                                                      <w:rFonts w:ascii="Times New Roman" w:hAnsi="Times New Roman" w:cs="Times New Roman"/>
                                                      <w:sz w:val="14"/>
                                                      <w:szCs w:val="14"/>
                                                    </w:rPr>
                                                  </w:pPr>
                                                  <w:r w:rsidRPr="00D043E3">
                                                    <w:rPr>
                                                      <w:rFonts w:ascii="Times New Roman" w:hAnsi="Times New Roman" w:cs="Times New Roman"/>
                                                      <w:sz w:val="14"/>
                                                      <w:szCs w:val="14"/>
                                                    </w:rPr>
                                                    <w:t>влади</w:t>
                                                  </w:r>
                                                </w:p>
                                              </w:txbxContent>
                                            </wps:txbx>
                                            <wps:bodyPr rot="0" vert="horz" wrap="square" lIns="0" tIns="0" rIns="0" bIns="0" anchor="ctr" anchorCtr="0">
                                              <a:noAutofit/>
                                            </wps:bodyPr>
                                          </wps:wsp>
                                          <wps:wsp>
                                            <wps:cNvPr id="1552" name="Поле 34"/>
                                            <wps:cNvSpPr txBox="1">
                                              <a:spLocks noChangeArrowheads="1"/>
                                            </wps:cNvSpPr>
                                            <wps:spPr bwMode="auto">
                                              <a:xfrm rot="1489098">
                                                <a:off x="6793" y="9685"/>
                                                <a:ext cx="572" cy="1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5445F7" w:rsidRDefault="00BE40F8" w:rsidP="00B233DE">
                                                  <w:pPr>
                                                    <w:spacing w:line="226" w:lineRule="auto"/>
                                                    <w:ind w:firstLine="0"/>
                                                    <w:rPr>
                                                      <w:rFonts w:ascii="Times New Roman" w:hAnsi="Times New Roman" w:cs="Times New Roman"/>
                                                      <w:sz w:val="16"/>
                                                      <w:szCs w:val="16"/>
                                                    </w:rPr>
                                                  </w:pPr>
                                                  <w:r w:rsidRPr="005445F7">
                                                    <w:rPr>
                                                      <w:rFonts w:ascii="Times New Roman" w:hAnsi="Times New Roman" w:cs="Times New Roman"/>
                                                      <w:sz w:val="16"/>
                                                      <w:szCs w:val="16"/>
                                                    </w:rPr>
                                                    <w:t>Місцеві органи судової влади</w:t>
                                                  </w:r>
                                                </w:p>
                                              </w:txbxContent>
                                            </wps:txbx>
                                            <wps:bodyPr rot="0" vert="vert270" wrap="square" lIns="0" tIns="0" rIns="0" bIns="0" anchor="ctr" anchorCtr="0">
                                              <a:noAutofit/>
                                            </wps:bodyPr>
                                          </wps:wsp>
                                          <wps:wsp>
                                            <wps:cNvPr id="1553" name="Поле 35"/>
                                            <wps:cNvSpPr txBox="1">
                                              <a:spLocks noChangeArrowheads="1"/>
                                            </wps:cNvSpPr>
                                            <wps:spPr bwMode="auto">
                                              <a:xfrm rot="17843552">
                                                <a:off x="5285" y="7459"/>
                                                <a:ext cx="1287" cy="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1F5EDA" w:rsidRDefault="00BE40F8" w:rsidP="00B233DE">
                                                  <w:pPr>
                                                    <w:spacing w:line="168" w:lineRule="auto"/>
                                                    <w:ind w:firstLine="0"/>
                                                    <w:jc w:val="center"/>
                                                    <w:rPr>
                                                      <w:rFonts w:ascii="Times New Roman" w:hAnsi="Times New Roman" w:cs="Times New Roman"/>
                                                      <w:sz w:val="16"/>
                                                      <w:szCs w:val="16"/>
                                                    </w:rPr>
                                                  </w:pPr>
                                                  <w:r w:rsidRPr="001F5EDA">
                                                    <w:rPr>
                                                      <w:rFonts w:ascii="Times New Roman" w:hAnsi="Times New Roman" w:cs="Times New Roman"/>
                                                      <w:sz w:val="16"/>
                                                      <w:szCs w:val="16"/>
                                                    </w:rPr>
                                                    <w:t xml:space="preserve">Місцеві </w:t>
                                                  </w:r>
                                                </w:p>
                                                <w:p w:rsidR="00BE40F8" w:rsidRPr="001F5EDA" w:rsidRDefault="00BE40F8" w:rsidP="00B233DE">
                                                  <w:pPr>
                                                    <w:spacing w:line="168" w:lineRule="auto"/>
                                                    <w:ind w:firstLine="0"/>
                                                    <w:jc w:val="center"/>
                                                    <w:rPr>
                                                      <w:rFonts w:ascii="Times New Roman" w:hAnsi="Times New Roman" w:cs="Times New Roman"/>
                                                      <w:sz w:val="16"/>
                                                      <w:szCs w:val="16"/>
                                                    </w:rPr>
                                                  </w:pPr>
                                                  <w:r w:rsidRPr="001F5EDA">
                                                    <w:rPr>
                                                      <w:rFonts w:ascii="Times New Roman" w:hAnsi="Times New Roman" w:cs="Times New Roman"/>
                                                      <w:sz w:val="16"/>
                                                      <w:szCs w:val="16"/>
                                                    </w:rPr>
                                                    <w:t xml:space="preserve">некомерційні </w:t>
                                                  </w:r>
                                                </w:p>
                                                <w:p w:rsidR="00BE40F8" w:rsidRPr="001F5EDA" w:rsidRDefault="00BE40F8" w:rsidP="00B233DE">
                                                  <w:pPr>
                                                    <w:spacing w:line="168" w:lineRule="auto"/>
                                                    <w:ind w:firstLine="0"/>
                                                    <w:jc w:val="center"/>
                                                    <w:rPr>
                                                      <w:rFonts w:ascii="Times New Roman" w:hAnsi="Times New Roman" w:cs="Times New Roman"/>
                                                      <w:sz w:val="16"/>
                                                      <w:szCs w:val="16"/>
                                                    </w:rPr>
                                                  </w:pPr>
                                                  <w:r w:rsidRPr="001F5EDA">
                                                    <w:rPr>
                                                      <w:rFonts w:ascii="Times New Roman" w:hAnsi="Times New Roman" w:cs="Times New Roman"/>
                                                      <w:sz w:val="16"/>
                                                      <w:szCs w:val="16"/>
                                                    </w:rPr>
                                                    <w:t>структури</w:t>
                                                  </w:r>
                                                </w:p>
                                              </w:txbxContent>
                                            </wps:txbx>
                                            <wps:bodyPr rot="0" vert="horz" wrap="square" lIns="0" tIns="0" rIns="0" bIns="0" anchor="ctr" anchorCtr="0">
                                              <a:noAutofit/>
                                            </wps:bodyPr>
                                          </wps:wsp>
                                          <wps:wsp>
                                            <wps:cNvPr id="1554" name="Поле 36"/>
                                            <wps:cNvSpPr txBox="1">
                                              <a:spLocks noChangeArrowheads="1"/>
                                            </wps:cNvSpPr>
                                            <wps:spPr bwMode="auto">
                                              <a:xfrm rot="4442916">
                                                <a:off x="6303" y="7523"/>
                                                <a:ext cx="1262" cy="7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D043E3" w:rsidRDefault="00BE40F8" w:rsidP="00B233DE">
                                                  <w:pPr>
                                                    <w:spacing w:line="168" w:lineRule="auto"/>
                                                    <w:ind w:firstLine="0"/>
                                                    <w:jc w:val="center"/>
                                                    <w:rPr>
                                                      <w:rFonts w:ascii="Times New Roman" w:hAnsi="Times New Roman" w:cs="Times New Roman"/>
                                                      <w:sz w:val="14"/>
                                                      <w:szCs w:val="14"/>
                                                    </w:rPr>
                                                  </w:pPr>
                                                  <w:r w:rsidRPr="00D043E3">
                                                    <w:rPr>
                                                      <w:rFonts w:ascii="Times New Roman" w:hAnsi="Times New Roman" w:cs="Times New Roman"/>
                                                      <w:sz w:val="14"/>
                                                      <w:szCs w:val="14"/>
                                                    </w:rPr>
                                                    <w:t>Місцеві комерційні структури</w:t>
                                                  </w:r>
                                                </w:p>
                                              </w:txbxContent>
                                            </wps:txbx>
                                            <wps:bodyPr rot="0" vert="horz" wrap="square" lIns="0" tIns="0" rIns="0" bIns="0" anchor="ctr" anchorCtr="0">
                                              <a:noAutofit/>
                                            </wps:bodyPr>
                                          </wps:wsp>
                                          <wps:wsp>
                                            <wps:cNvPr id="1555" name="Поле 37"/>
                                            <wps:cNvSpPr txBox="1">
                                              <a:spLocks noChangeArrowheads="1"/>
                                            </wps:cNvSpPr>
                                            <wps:spPr bwMode="auto">
                                              <a:xfrm rot="2905198">
                                                <a:off x="4318" y="11152"/>
                                                <a:ext cx="1845" cy="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Default="00BE40F8" w:rsidP="00B233DE">
                                                  <w:pPr>
                                                    <w:ind w:firstLine="0"/>
                                                    <w:jc w:val="center"/>
                                                    <w:rPr>
                                                      <w:sz w:val="16"/>
                                                      <w:szCs w:val="16"/>
                                                    </w:rPr>
                                                  </w:pPr>
                                                  <w:r w:rsidRPr="005445F7">
                                                    <w:rPr>
                                                      <w:rFonts w:ascii="Times New Roman" w:hAnsi="Times New Roman" w:cs="Times New Roman"/>
                                                      <w:sz w:val="16"/>
                                                      <w:szCs w:val="16"/>
                                                    </w:rPr>
                                                    <w:t xml:space="preserve">Регіональні органи </w:t>
                                                  </w:r>
                                                </w:p>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виконавчої влади</w:t>
                                                  </w:r>
                                                </w:p>
                                              </w:txbxContent>
                                            </wps:txbx>
                                            <wps:bodyPr rot="0" vert="horz" wrap="square" lIns="0" tIns="0" rIns="0" bIns="0" anchor="ctr" anchorCtr="0">
                                              <a:noAutofit/>
                                            </wps:bodyPr>
                                          </wps:wsp>
                                          <wps:wsp>
                                            <wps:cNvPr id="1556" name="Поле 38"/>
                                            <wps:cNvSpPr txBox="1">
                                              <a:spLocks noChangeArrowheads="1"/>
                                            </wps:cNvSpPr>
                                            <wps:spPr bwMode="auto">
                                              <a:xfrm rot="19532008">
                                                <a:off x="6532" y="11314"/>
                                                <a:ext cx="2176" cy="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Регіональні органи судової влади</w:t>
                                                  </w:r>
                                                </w:p>
                                              </w:txbxContent>
                                            </wps:txbx>
                                            <wps:bodyPr rot="0" vert="horz" wrap="square" lIns="0" tIns="0" rIns="0" bIns="0" anchor="ctr" anchorCtr="0">
                                              <a:noAutofit/>
                                            </wps:bodyPr>
                                          </wps:wsp>
                                          <wpg:grpSp>
                                            <wpg:cNvPr id="1557" name="Группа 58"/>
                                            <wpg:cNvGrpSpPr>
                                              <a:grpSpLocks/>
                                            </wpg:cNvGrpSpPr>
                                            <wpg:grpSpPr bwMode="auto">
                                              <a:xfrm>
                                                <a:off x="4286" y="4321"/>
                                                <a:ext cx="4678" cy="958"/>
                                                <a:chOff x="1255" y="-719"/>
                                                <a:chExt cx="16217" cy="6090"/>
                                              </a:xfrm>
                                            </wpg:grpSpPr>
                                            <wps:wsp>
                                              <wps:cNvPr id="1558" name="Поле 59"/>
                                              <wps:cNvSpPr txBox="1">
                                                <a:spLocks noChangeArrowheads="1"/>
                                              </wps:cNvSpPr>
                                              <wps:spPr bwMode="auto">
                                                <a:xfrm rot="19733272">
                                                  <a:off x="1255" y="2141"/>
                                                  <a:ext cx="1491" cy="2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6363FE" w:rsidRDefault="00BE40F8" w:rsidP="00B233DE">
                                                    <w:pPr>
                                                      <w:ind w:right="-28" w:firstLine="0"/>
                                                      <w:jc w:val="center"/>
                                                      <w:rPr>
                                                        <w:rFonts w:ascii="Times New Roman" w:hAnsi="Times New Roman" w:cs="Times New Roman"/>
                                                        <w:sz w:val="16"/>
                                                        <w:szCs w:val="16"/>
                                                        <w:lang w:val="en-US"/>
                                                      </w:rPr>
                                                    </w:pPr>
                                                    <w:r w:rsidRPr="006363FE">
                                                      <w:rPr>
                                                        <w:rFonts w:ascii="Times New Roman" w:hAnsi="Times New Roman" w:cs="Times New Roman"/>
                                                        <w:b/>
                                                        <w:sz w:val="16"/>
                                                        <w:szCs w:val="16"/>
                                                      </w:rPr>
                                                      <w:t>М</w:t>
                                                    </w:r>
                                                  </w:p>
                                                </w:txbxContent>
                                              </wps:txbx>
                                              <wps:bodyPr rot="0" vert="horz" wrap="square" lIns="0" tIns="0" rIns="0" bIns="0" anchor="ctr" anchorCtr="0" upright="1">
                                                <a:noAutofit/>
                                              </wps:bodyPr>
                                            </wps:wsp>
                                            <wps:wsp>
                                              <wps:cNvPr id="1559" name="Поле 60"/>
                                              <wps:cNvSpPr txBox="1">
                                                <a:spLocks noChangeArrowheads="1"/>
                                              </wps:cNvSpPr>
                                              <wps:spPr bwMode="auto">
                                                <a:xfrm rot="20295544">
                                                  <a:off x="2163" y="1176"/>
                                                  <a:ext cx="1828" cy="25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6363FE" w:rsidRDefault="00BE40F8" w:rsidP="00B233DE">
                                                    <w:pPr>
                                                      <w:ind w:firstLine="0"/>
                                                      <w:jc w:val="center"/>
                                                      <w:rPr>
                                                        <w:rFonts w:ascii="Times New Roman" w:hAnsi="Times New Roman" w:cs="Times New Roman"/>
                                                        <w:sz w:val="16"/>
                                                        <w:szCs w:val="16"/>
                                                      </w:rPr>
                                                    </w:pPr>
                                                    <w:r w:rsidRPr="006363FE">
                                                      <w:rPr>
                                                        <w:rFonts w:ascii="Times New Roman" w:hAnsi="Times New Roman" w:cs="Times New Roman"/>
                                                        <w:b/>
                                                        <w:sz w:val="16"/>
                                                        <w:szCs w:val="16"/>
                                                      </w:rPr>
                                                      <w:t>е</w:t>
                                                    </w:r>
                                                  </w:p>
                                                </w:txbxContent>
                                              </wps:txbx>
                                              <wps:bodyPr rot="0" vert="horz" wrap="square" lIns="0" tIns="0" rIns="0" bIns="0" anchor="ctr" anchorCtr="0" upright="1">
                                                <a:noAutofit/>
                                              </wps:bodyPr>
                                            </wps:wsp>
                                            <wps:wsp>
                                              <wps:cNvPr id="1560" name="Поле 61"/>
                                              <wps:cNvSpPr txBox="1">
                                                <a:spLocks noChangeArrowheads="1"/>
                                              </wps:cNvSpPr>
                                              <wps:spPr bwMode="auto">
                                                <a:xfrm rot="20651893">
                                                  <a:off x="3659" y="358"/>
                                                  <a:ext cx="1546" cy="25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6363FE" w:rsidRDefault="00BE40F8" w:rsidP="00B233DE">
                                                    <w:pPr>
                                                      <w:ind w:right="-17" w:firstLine="0"/>
                                                      <w:jc w:val="center"/>
                                                      <w:rPr>
                                                        <w:rFonts w:ascii="Times New Roman" w:hAnsi="Times New Roman" w:cs="Times New Roman"/>
                                                        <w:sz w:val="16"/>
                                                        <w:szCs w:val="16"/>
                                                        <w:lang w:val="en-US"/>
                                                      </w:rPr>
                                                    </w:pPr>
                                                    <w:r w:rsidRPr="006363FE">
                                                      <w:rPr>
                                                        <w:rFonts w:ascii="Times New Roman" w:hAnsi="Times New Roman" w:cs="Times New Roman"/>
                                                        <w:b/>
                                                        <w:sz w:val="16"/>
                                                        <w:szCs w:val="16"/>
                                                      </w:rPr>
                                                      <w:t>г</w:t>
                                                    </w:r>
                                                  </w:p>
                                                </w:txbxContent>
                                              </wps:txbx>
                                              <wps:bodyPr rot="0" vert="horz" wrap="square" lIns="0" tIns="0" rIns="0" bIns="0" anchor="ctr" anchorCtr="0" upright="1">
                                                <a:noAutofit/>
                                              </wps:bodyPr>
                                            </wps:wsp>
                                            <wps:wsp>
                                              <wps:cNvPr id="1561" name="Поле 62"/>
                                              <wps:cNvSpPr txBox="1">
                                                <a:spLocks noChangeArrowheads="1"/>
                                              </wps:cNvSpPr>
                                              <wps:spPr bwMode="auto">
                                                <a:xfrm rot="21035323">
                                                  <a:off x="5298" y="-317"/>
                                                  <a:ext cx="1893" cy="25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6363FE" w:rsidRDefault="00BE40F8" w:rsidP="00B233DE">
                                                    <w:pPr>
                                                      <w:ind w:firstLine="0"/>
                                                      <w:jc w:val="center"/>
                                                      <w:rPr>
                                                        <w:rFonts w:ascii="Times New Roman" w:hAnsi="Times New Roman" w:cs="Times New Roman"/>
                                                        <w:b/>
                                                        <w:sz w:val="16"/>
                                                        <w:szCs w:val="16"/>
                                                      </w:rPr>
                                                    </w:pPr>
                                                    <w:r w:rsidRPr="006363FE">
                                                      <w:rPr>
                                                        <w:rFonts w:ascii="Times New Roman" w:hAnsi="Times New Roman" w:cs="Times New Roman"/>
                                                        <w:b/>
                                                        <w:sz w:val="16"/>
                                                        <w:szCs w:val="16"/>
                                                      </w:rPr>
                                                      <w:t>а</w:t>
                                                    </w:r>
                                                  </w:p>
                                                </w:txbxContent>
                                              </wps:txbx>
                                              <wps:bodyPr rot="0" vert="horz" wrap="square" lIns="91440" tIns="45720" rIns="91440" bIns="45720" anchor="t" anchorCtr="0" upright="1">
                                                <a:noAutofit/>
                                              </wps:bodyPr>
                                            </wps:wsp>
                                            <wps:wsp>
                                              <wps:cNvPr id="1562" name="Поле 63"/>
                                              <wps:cNvSpPr txBox="1">
                                                <a:spLocks noChangeArrowheads="1"/>
                                              </wps:cNvSpPr>
                                              <wps:spPr bwMode="auto">
                                                <a:xfrm rot="-259531">
                                                  <a:off x="6577" y="-719"/>
                                                  <a:ext cx="2845" cy="31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6363FE" w:rsidRDefault="00BE40F8" w:rsidP="00B233DE">
                                                    <w:pPr>
                                                      <w:ind w:right="-57" w:firstLine="0"/>
                                                      <w:jc w:val="center"/>
                                                      <w:rPr>
                                                        <w:rFonts w:ascii="Times New Roman" w:hAnsi="Times New Roman" w:cs="Times New Roman"/>
                                                        <w:sz w:val="16"/>
                                                        <w:szCs w:val="16"/>
                                                        <w:lang w:val="en-US"/>
                                                      </w:rPr>
                                                    </w:pPr>
                                                    <w:r w:rsidRPr="006363FE">
                                                      <w:rPr>
                                                        <w:rFonts w:ascii="Times New Roman" w:hAnsi="Times New Roman" w:cs="Times New Roman"/>
                                                        <w:b/>
                                                        <w:sz w:val="16"/>
                                                        <w:szCs w:val="16"/>
                                                      </w:rPr>
                                                      <w:t>р</w:t>
                                                    </w:r>
                                                  </w:p>
                                                </w:txbxContent>
                                              </wps:txbx>
                                              <wps:bodyPr rot="0" vert="horz" wrap="square" lIns="91440" tIns="45720" rIns="91440" bIns="45720" anchor="t" anchorCtr="0" upright="1">
                                                <a:noAutofit/>
                                              </wps:bodyPr>
                                            </wps:wsp>
                                            <wps:wsp>
                                              <wps:cNvPr id="1563" name="Поле 64"/>
                                              <wps:cNvSpPr txBox="1">
                                                <a:spLocks noChangeArrowheads="1"/>
                                              </wps:cNvSpPr>
                                              <wps:spPr bwMode="auto">
                                                <a:xfrm rot="234684">
                                                  <a:off x="8205" y="-464"/>
                                                  <a:ext cx="2844" cy="25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6363FE" w:rsidRDefault="00BE40F8" w:rsidP="00B233DE">
                                                    <w:pPr>
                                                      <w:ind w:right="-57" w:firstLine="0"/>
                                                      <w:jc w:val="center"/>
                                                      <w:rPr>
                                                        <w:rFonts w:ascii="Times New Roman" w:hAnsi="Times New Roman" w:cs="Times New Roman"/>
                                                        <w:sz w:val="16"/>
                                                        <w:szCs w:val="16"/>
                                                        <w:lang w:val="en-US"/>
                                                      </w:rPr>
                                                    </w:pPr>
                                                    <w:r w:rsidRPr="006363FE">
                                                      <w:rPr>
                                                        <w:rFonts w:ascii="Times New Roman" w:hAnsi="Times New Roman" w:cs="Times New Roman"/>
                                                        <w:b/>
                                                        <w:sz w:val="16"/>
                                                        <w:szCs w:val="16"/>
                                                      </w:rPr>
                                                      <w:t>і</w:t>
                                                    </w:r>
                                                  </w:p>
                                                </w:txbxContent>
                                              </wps:txbx>
                                              <wps:bodyPr rot="0" vert="horz" wrap="square" lIns="91440" tIns="45720" rIns="91440" bIns="45720" anchor="t" anchorCtr="0" upright="1">
                                                <a:noAutofit/>
                                              </wps:bodyPr>
                                            </wps:wsp>
                                            <wps:wsp>
                                              <wps:cNvPr id="1564" name="Поле 65"/>
                                              <wps:cNvSpPr txBox="1">
                                                <a:spLocks noChangeArrowheads="1"/>
                                              </wps:cNvSpPr>
                                              <wps:spPr bwMode="auto">
                                                <a:xfrm rot="607817">
                                                  <a:off x="9927" y="-46"/>
                                                  <a:ext cx="2845" cy="22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6363FE" w:rsidRDefault="00BE40F8" w:rsidP="00B233DE">
                                                    <w:pPr>
                                                      <w:ind w:firstLine="0"/>
                                                      <w:jc w:val="center"/>
                                                      <w:rPr>
                                                        <w:rFonts w:ascii="Times New Roman" w:hAnsi="Times New Roman" w:cs="Times New Roman"/>
                                                        <w:sz w:val="16"/>
                                                        <w:szCs w:val="16"/>
                                                        <w:lang w:val="en-US"/>
                                                      </w:rPr>
                                                    </w:pPr>
                                                    <w:r w:rsidRPr="006363FE">
                                                      <w:rPr>
                                                        <w:rFonts w:ascii="Times New Roman" w:hAnsi="Times New Roman" w:cs="Times New Roman"/>
                                                        <w:b/>
                                                        <w:sz w:val="16"/>
                                                        <w:szCs w:val="16"/>
                                                      </w:rPr>
                                                      <w:t>в</w:t>
                                                    </w:r>
                                                  </w:p>
                                                </w:txbxContent>
                                              </wps:txbx>
                                              <wps:bodyPr rot="0" vert="horz" wrap="square" lIns="91440" tIns="45720" rIns="91440" bIns="45720" anchor="t" anchorCtr="0" upright="1">
                                                <a:noAutofit/>
                                              </wps:bodyPr>
                                            </wps:wsp>
                                            <wps:wsp>
                                              <wps:cNvPr id="1565" name="Поле 66"/>
                                              <wps:cNvSpPr txBox="1">
                                                <a:spLocks noChangeArrowheads="1"/>
                                              </wps:cNvSpPr>
                                              <wps:spPr bwMode="auto">
                                                <a:xfrm rot="1015233">
                                                  <a:off x="11616" y="634"/>
                                                  <a:ext cx="2845" cy="2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6363FE" w:rsidRDefault="00BE40F8" w:rsidP="00B233DE">
                                                    <w:pPr>
                                                      <w:ind w:right="-68" w:firstLine="0"/>
                                                      <w:jc w:val="center"/>
                                                      <w:rPr>
                                                        <w:rFonts w:ascii="Times New Roman" w:hAnsi="Times New Roman" w:cs="Times New Roman"/>
                                                        <w:sz w:val="16"/>
                                                        <w:szCs w:val="16"/>
                                                        <w:lang w:val="en-US"/>
                                                      </w:rPr>
                                                    </w:pPr>
                                                    <w:r w:rsidRPr="006363FE">
                                                      <w:rPr>
                                                        <w:rFonts w:ascii="Times New Roman" w:hAnsi="Times New Roman" w:cs="Times New Roman"/>
                                                        <w:b/>
                                                        <w:sz w:val="16"/>
                                                        <w:szCs w:val="16"/>
                                                      </w:rPr>
                                                      <w:t>е</w:t>
                                                    </w:r>
                                                  </w:p>
                                                </w:txbxContent>
                                              </wps:txbx>
                                              <wps:bodyPr rot="0" vert="horz" wrap="square" lIns="91440" tIns="45720" rIns="91440" bIns="45720" anchor="t" anchorCtr="0" upright="1">
                                                <a:noAutofit/>
                                              </wps:bodyPr>
                                            </wps:wsp>
                                            <wps:wsp>
                                              <wps:cNvPr id="1566" name="Поле 67"/>
                                              <wps:cNvSpPr txBox="1">
                                                <a:spLocks noChangeArrowheads="1"/>
                                              </wps:cNvSpPr>
                                              <wps:spPr bwMode="auto">
                                                <a:xfrm rot="1358148">
                                                  <a:off x="13241" y="1546"/>
                                                  <a:ext cx="2844" cy="25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6363FE" w:rsidRDefault="00BE40F8" w:rsidP="00B233DE">
                                                    <w:pPr>
                                                      <w:ind w:firstLine="0"/>
                                                      <w:jc w:val="center"/>
                                                      <w:rPr>
                                                        <w:rFonts w:ascii="Times New Roman" w:hAnsi="Times New Roman" w:cs="Times New Roman"/>
                                                        <w:sz w:val="16"/>
                                                        <w:szCs w:val="16"/>
                                                        <w:lang w:val="en-US"/>
                                                      </w:rPr>
                                                    </w:pPr>
                                                    <w:r w:rsidRPr="006363FE">
                                                      <w:rPr>
                                                        <w:rFonts w:ascii="Times New Roman" w:hAnsi="Times New Roman" w:cs="Times New Roman"/>
                                                        <w:b/>
                                                        <w:sz w:val="16"/>
                                                        <w:szCs w:val="16"/>
                                                      </w:rPr>
                                                      <w:t>н</w:t>
                                                    </w:r>
                                                  </w:p>
                                                </w:txbxContent>
                                              </wps:txbx>
                                              <wps:bodyPr rot="0" vert="horz" wrap="square" lIns="91440" tIns="45720" rIns="91440" bIns="45720" anchor="t" anchorCtr="0" upright="1">
                                                <a:noAutofit/>
                                              </wps:bodyPr>
                                            </wps:wsp>
                                            <wps:wsp>
                                              <wps:cNvPr id="1567" name="Поле 68"/>
                                              <wps:cNvSpPr txBox="1">
                                                <a:spLocks noChangeArrowheads="1"/>
                                              </wps:cNvSpPr>
                                              <wps:spPr bwMode="auto">
                                                <a:xfrm rot="1706273">
                                                  <a:off x="14627" y="2787"/>
                                                  <a:ext cx="2845" cy="25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6363FE" w:rsidRDefault="00BE40F8" w:rsidP="00B233DE">
                                                    <w:pPr>
                                                      <w:ind w:firstLine="0"/>
                                                      <w:jc w:val="center"/>
                                                      <w:rPr>
                                                        <w:rFonts w:ascii="Times New Roman" w:hAnsi="Times New Roman" w:cs="Times New Roman"/>
                                                        <w:sz w:val="16"/>
                                                        <w:szCs w:val="16"/>
                                                        <w:lang w:val="en-US"/>
                                                      </w:rPr>
                                                    </w:pPr>
                                                    <w:r w:rsidRPr="006363FE">
                                                      <w:rPr>
                                                        <w:rFonts w:ascii="Times New Roman" w:hAnsi="Times New Roman" w:cs="Times New Roman"/>
                                                        <w:b/>
                                                        <w:sz w:val="16"/>
                                                        <w:szCs w:val="16"/>
                                                      </w:rPr>
                                                      <w:t>ь</w:t>
                                                    </w:r>
                                                  </w:p>
                                                </w:txbxContent>
                                              </wps:txbx>
                                              <wps:bodyPr rot="0" vert="horz" wrap="square" lIns="91440" tIns="45720" rIns="91440" bIns="45720" anchor="t" anchorCtr="0" upright="1">
                                                <a:noAutofit/>
                                              </wps:bodyPr>
                                            </wps:wsp>
                                          </wpg:grpSp>
                                          <wps:wsp>
                                            <wps:cNvPr id="1568" name="Поле 92"/>
                                            <wps:cNvSpPr txBox="1">
                                              <a:spLocks noChangeArrowheads="1"/>
                                            </wps:cNvSpPr>
                                            <wps:spPr bwMode="auto">
                                              <a:xfrm rot="16200000">
                                                <a:off x="2971" y="8926"/>
                                                <a:ext cx="2258" cy="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Default="00BE40F8" w:rsidP="00B233DE">
                                                  <w:pPr>
                                                    <w:ind w:firstLine="0"/>
                                                    <w:jc w:val="center"/>
                                                    <w:rPr>
                                                      <w:sz w:val="16"/>
                                                      <w:szCs w:val="16"/>
                                                    </w:rPr>
                                                  </w:pPr>
                                                  <w:r w:rsidRPr="005445F7">
                                                    <w:rPr>
                                                      <w:rFonts w:ascii="Times New Roman" w:hAnsi="Times New Roman" w:cs="Times New Roman"/>
                                                      <w:sz w:val="16"/>
                                                      <w:szCs w:val="16"/>
                                                    </w:rPr>
                                                    <w:t xml:space="preserve">Регіональні органи </w:t>
                                                  </w:r>
                                                </w:p>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законодавчої влади</w:t>
                                                  </w:r>
                                                </w:p>
                                              </w:txbxContent>
                                            </wps:txbx>
                                            <wps:bodyPr rot="0" vert="horz" wrap="square" lIns="0" tIns="0" rIns="0" bIns="0" anchor="ctr" anchorCtr="0">
                                              <a:noAutofit/>
                                            </wps:bodyPr>
                                          </wps:wsp>
                                          <wps:wsp>
                                            <wps:cNvPr id="1569" name="Поле 93"/>
                                            <wps:cNvSpPr txBox="1">
                                              <a:spLocks noChangeArrowheads="1"/>
                                            </wps:cNvSpPr>
                                            <wps:spPr bwMode="auto">
                                              <a:xfrm rot="16200000">
                                                <a:off x="1332" y="8859"/>
                                                <a:ext cx="3869" cy="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5445F7" w:rsidRDefault="00BE40F8" w:rsidP="00B233DE">
                                                  <w:pPr>
                                                    <w:jc w:val="center"/>
                                                    <w:rPr>
                                                      <w:rFonts w:ascii="Times New Roman" w:hAnsi="Times New Roman" w:cs="Times New Roman"/>
                                                      <w:sz w:val="16"/>
                                                      <w:szCs w:val="16"/>
                                                    </w:rPr>
                                                  </w:pPr>
                                                  <w:r w:rsidRPr="005445F7">
                                                    <w:rPr>
                                                      <w:rFonts w:ascii="Times New Roman" w:hAnsi="Times New Roman" w:cs="Times New Roman"/>
                                                      <w:sz w:val="16"/>
                                                      <w:szCs w:val="16"/>
                                                    </w:rPr>
                                                    <w:t xml:space="preserve">Загальнодержавні органи </w:t>
                                                  </w:r>
                                                </w:p>
                                                <w:p w:rsidR="00BE40F8" w:rsidRPr="005445F7" w:rsidRDefault="00BE40F8" w:rsidP="00B233DE">
                                                  <w:pPr>
                                                    <w:jc w:val="center"/>
                                                    <w:rPr>
                                                      <w:rFonts w:ascii="Times New Roman" w:hAnsi="Times New Roman" w:cs="Times New Roman"/>
                                                      <w:sz w:val="16"/>
                                                      <w:szCs w:val="16"/>
                                                    </w:rPr>
                                                  </w:pPr>
                                                  <w:r w:rsidRPr="005445F7">
                                                    <w:rPr>
                                                      <w:rFonts w:ascii="Times New Roman" w:hAnsi="Times New Roman" w:cs="Times New Roman"/>
                                                      <w:sz w:val="16"/>
                                                      <w:szCs w:val="16"/>
                                                    </w:rPr>
                                                    <w:t>законодавчої влади</w:t>
                                                  </w:r>
                                                </w:p>
                                              </w:txbxContent>
                                            </wps:txbx>
                                            <wps:bodyPr rot="0" vert="horz" wrap="square" lIns="0" tIns="0" rIns="0" bIns="0" anchor="ctr" anchorCtr="0">
                                              <a:noAutofit/>
                                            </wps:bodyPr>
                                          </wps:wsp>
                                          <wps:wsp>
                                            <wps:cNvPr id="1570" name="Поле 94"/>
                                            <wps:cNvSpPr txBox="1">
                                              <a:spLocks noChangeArrowheads="1"/>
                                            </wps:cNvSpPr>
                                            <wps:spPr bwMode="auto">
                                              <a:xfrm rot="2718856">
                                                <a:off x="3671" y="11745"/>
                                                <a:ext cx="2376" cy="8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 xml:space="preserve">Загальнодержавні органи </w:t>
                                                  </w:r>
                                                </w:p>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виконавчої влади</w:t>
                                                  </w:r>
                                                </w:p>
                                              </w:txbxContent>
                                            </wps:txbx>
                                            <wps:bodyPr rot="0" vert="horz" wrap="square" lIns="0" tIns="0" rIns="0" bIns="0" anchor="ctr" anchorCtr="0">
                                              <a:noAutofit/>
                                            </wps:bodyPr>
                                          </wps:wsp>
                                          <wps:wsp>
                                            <wps:cNvPr id="1571" name="Поле 95"/>
                                            <wps:cNvSpPr txBox="1">
                                              <a:spLocks noChangeArrowheads="1"/>
                                            </wps:cNvSpPr>
                                            <wps:spPr bwMode="auto">
                                              <a:xfrm rot="18571256">
                                                <a:off x="7228" y="11510"/>
                                                <a:ext cx="2250" cy="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 xml:space="preserve">Загальнодержавні органи </w:t>
                                                  </w:r>
                                                </w:p>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судової влади</w:t>
                                                  </w:r>
                                                </w:p>
                                              </w:txbxContent>
                                            </wps:txbx>
                                            <wps:bodyPr rot="0" vert="horz" wrap="square" lIns="0" tIns="0" rIns="0" bIns="0" anchor="ctr" anchorCtr="0">
                                              <a:noAutofit/>
                                            </wps:bodyPr>
                                          </wps:wsp>
                                          <wps:wsp>
                                            <wps:cNvPr id="1572" name="Поле 96"/>
                                            <wps:cNvSpPr txBox="1">
                                              <a:spLocks noChangeArrowheads="1"/>
                                            </wps:cNvSpPr>
                                            <wps:spPr bwMode="auto">
                                              <a:xfrm rot="17829294">
                                                <a:off x="3760" y="6806"/>
                                                <a:ext cx="1827"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Регіональні некомерційні структури</w:t>
                                                  </w:r>
                                                </w:p>
                                              </w:txbxContent>
                                            </wps:txbx>
                                            <wps:bodyPr rot="0" vert="horz" wrap="square" lIns="0" tIns="0" rIns="0" bIns="0" anchor="ctr" anchorCtr="0">
                                              <a:noAutofit/>
                                            </wps:bodyPr>
                                          </wps:wsp>
                                          <wps:wsp>
                                            <wps:cNvPr id="1573" name="Поле 98"/>
                                            <wps:cNvSpPr txBox="1">
                                              <a:spLocks noChangeArrowheads="1"/>
                                            </wps:cNvSpPr>
                                            <wps:spPr bwMode="auto">
                                              <a:xfrm rot="18443644">
                                                <a:off x="3020" y="6211"/>
                                                <a:ext cx="2009" cy="7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Загальнонаціональні некомерційні структури</w:t>
                                                  </w:r>
                                                </w:p>
                                                <w:p w:rsidR="00BE40F8" w:rsidRPr="005445F7" w:rsidRDefault="00BE40F8" w:rsidP="00B233DE">
                                                  <w:pPr>
                                                    <w:ind w:firstLine="0"/>
                                                    <w:rPr>
                                                      <w:rFonts w:ascii="Times New Roman" w:hAnsi="Times New Roman" w:cs="Times New Roman"/>
                                                      <w:sz w:val="16"/>
                                                      <w:szCs w:val="16"/>
                                                    </w:rPr>
                                                  </w:pPr>
                                                </w:p>
                                              </w:txbxContent>
                                            </wps:txbx>
                                            <wps:bodyPr rot="0" vert="horz" wrap="square" lIns="0" tIns="0" rIns="0" bIns="0" anchor="ctr" anchorCtr="0">
                                              <a:noAutofit/>
                                            </wps:bodyPr>
                                          </wps:wsp>
                                          <wps:wsp>
                                            <wps:cNvPr id="1574" name="Поле 100"/>
                                            <wps:cNvSpPr txBox="1">
                                              <a:spLocks noChangeArrowheads="1"/>
                                            </wps:cNvSpPr>
                                            <wps:spPr bwMode="auto">
                                              <a:xfrm rot="18826669">
                                                <a:off x="2409" y="5563"/>
                                                <a:ext cx="2860" cy="6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Міжнародні некомерційні структури</w:t>
                                                  </w:r>
                                                </w:p>
                                                <w:p w:rsidR="00BE40F8" w:rsidRPr="005445F7" w:rsidRDefault="00BE40F8" w:rsidP="00B233DE">
                                                  <w:pPr>
                                                    <w:rPr>
                                                      <w:rFonts w:ascii="Times New Roman" w:hAnsi="Times New Roman" w:cs="Times New Roman"/>
                                                      <w:sz w:val="16"/>
                                                      <w:szCs w:val="16"/>
                                                    </w:rPr>
                                                  </w:pPr>
                                                </w:p>
                                              </w:txbxContent>
                                            </wps:txbx>
                                            <wps:bodyPr rot="0" vert="horz" wrap="square" lIns="0" tIns="0" rIns="0" bIns="0" anchor="ctr" anchorCtr="0">
                                              <a:noAutofit/>
                                            </wps:bodyPr>
                                          </wps:wsp>
                                          <wps:wsp>
                                            <wps:cNvPr id="1575" name="Поле 101"/>
                                            <wps:cNvSpPr txBox="1">
                                              <a:spLocks noChangeArrowheads="1"/>
                                            </wps:cNvSpPr>
                                            <wps:spPr bwMode="auto">
                                              <a:xfrm rot="2478453">
                                                <a:off x="6690" y="5420"/>
                                                <a:ext cx="4077" cy="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Міжнародні комерційні структури</w:t>
                                                  </w:r>
                                                </w:p>
                                                <w:p w:rsidR="00BE40F8" w:rsidRPr="005445F7" w:rsidRDefault="00BE40F8" w:rsidP="00B233DE">
                                                  <w:pPr>
                                                    <w:rPr>
                                                      <w:rFonts w:ascii="Times New Roman" w:hAnsi="Times New Roman" w:cs="Times New Roman"/>
                                                      <w:sz w:val="16"/>
                                                      <w:szCs w:val="16"/>
                                                    </w:rPr>
                                                  </w:pPr>
                                                </w:p>
                                              </w:txbxContent>
                                            </wps:txbx>
                                            <wps:bodyPr rot="0" vert="horz" wrap="square" lIns="0" tIns="0" rIns="0" bIns="0" anchor="ctr" anchorCtr="0">
                                              <a:noAutofit/>
                                            </wps:bodyPr>
                                          </wps:wsp>
                                          <wps:wsp>
                                            <wps:cNvPr id="1576" name="Поле 134"/>
                                            <wps:cNvSpPr txBox="1">
                                              <a:spLocks noChangeArrowheads="1"/>
                                            </wps:cNvSpPr>
                                            <wps:spPr bwMode="auto">
                                              <a:xfrm rot="16551070">
                                                <a:off x="6755" y="8771"/>
                                                <a:ext cx="1197" cy="4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D043E3" w:rsidRDefault="00BE40F8" w:rsidP="009E3F2B">
                                                  <w:pPr>
                                                    <w:ind w:firstLine="0"/>
                                                    <w:jc w:val="center"/>
                                                    <w:rPr>
                                                      <w:rFonts w:ascii="Times New Roman" w:hAnsi="Times New Roman" w:cs="Times New Roman"/>
                                                      <w:sz w:val="14"/>
                                                      <w:szCs w:val="14"/>
                                                    </w:rPr>
                                                  </w:pPr>
                                                  <w:r w:rsidRPr="00D043E3">
                                                    <w:rPr>
                                                      <w:rFonts w:ascii="Times New Roman" w:hAnsi="Times New Roman" w:cs="Times New Roman"/>
                                                      <w:sz w:val="14"/>
                                                      <w:szCs w:val="14"/>
                                                    </w:rPr>
                                                    <w:t>Територіальна громада</w:t>
                                                  </w:r>
                                                </w:p>
                                              </w:txbxContent>
                                            </wps:txbx>
                                            <wps:bodyPr rot="0" vert="horz" wrap="square" lIns="0" tIns="0" rIns="0" bIns="0" anchor="ctr" anchorCtr="0">
                                              <a:noAutofit/>
                                            </wps:bodyPr>
                                          </wps:wsp>
                                          <wps:wsp>
                                            <wps:cNvPr id="1577" name="Поле 135"/>
                                            <wps:cNvSpPr txBox="1">
                                              <a:spLocks noChangeArrowheads="1"/>
                                            </wps:cNvSpPr>
                                            <wps:spPr bwMode="auto">
                                              <a:xfrm rot="16031244">
                                                <a:off x="7672" y="8636"/>
                                                <a:ext cx="2517" cy="5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A51D98" w:rsidRDefault="00BE40F8" w:rsidP="00B233DE">
                                                  <w:pPr>
                                                    <w:spacing w:line="216" w:lineRule="auto"/>
                                                    <w:ind w:firstLine="0"/>
                                                    <w:jc w:val="center"/>
                                                    <w:rPr>
                                                      <w:rFonts w:ascii="Times New Roman" w:hAnsi="Times New Roman" w:cs="Times New Roman"/>
                                                      <w:sz w:val="16"/>
                                                      <w:szCs w:val="16"/>
                                                      <w:lang w:val="en-US"/>
                                                    </w:rPr>
                                                  </w:pPr>
                                                  <w:r w:rsidRPr="005445F7">
                                                    <w:rPr>
                                                      <w:rFonts w:ascii="Times New Roman" w:hAnsi="Times New Roman" w:cs="Times New Roman"/>
                                                      <w:sz w:val="16"/>
                                                      <w:szCs w:val="16"/>
                                                    </w:rPr>
                                                    <w:t>Населення регіону, об’єднання територіальних гро</w:t>
                                                  </w:r>
                                                  <w:r w:rsidRPr="005445F7">
                                                    <w:rPr>
                                                      <w:rFonts w:ascii="Times New Roman" w:hAnsi="Times New Roman" w:cs="Times New Roman"/>
                                                      <w:spacing w:val="-20"/>
                                                      <w:sz w:val="16"/>
                                                      <w:szCs w:val="16"/>
                                                    </w:rPr>
                                                    <w:t>мад</w:t>
                                                  </w:r>
                                                </w:p>
                                              </w:txbxContent>
                                            </wps:txbx>
                                            <wps:bodyPr rot="0" vert="horz" wrap="square" lIns="0" tIns="0" rIns="0" bIns="0" anchor="ctr" anchorCtr="0">
                                              <a:noAutofit/>
                                            </wps:bodyPr>
                                          </wps:wsp>
                                          <wps:wsp>
                                            <wps:cNvPr id="1578" name="Поле 136"/>
                                            <wps:cNvSpPr txBox="1">
                                              <a:spLocks noChangeArrowheads="1"/>
                                            </wps:cNvSpPr>
                                            <wps:spPr bwMode="auto">
                                              <a:xfrm rot="16008390">
                                                <a:off x="8598" y="8717"/>
                                                <a:ext cx="2130" cy="4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9E3F2B" w:rsidRDefault="00BE40F8" w:rsidP="00B233DE">
                                                  <w:pPr>
                                                    <w:jc w:val="center"/>
                                                    <w:rPr>
                                                      <w:rFonts w:ascii="Times New Roman" w:hAnsi="Times New Roman" w:cs="Times New Roman"/>
                                                      <w:sz w:val="16"/>
                                                      <w:szCs w:val="16"/>
                                                    </w:rPr>
                                                  </w:pPr>
                                                  <w:r w:rsidRPr="009E3F2B">
                                                    <w:rPr>
                                                      <w:rFonts w:ascii="Times New Roman" w:hAnsi="Times New Roman" w:cs="Times New Roman"/>
                                                      <w:sz w:val="16"/>
                                                      <w:szCs w:val="16"/>
                                                    </w:rPr>
                                                    <w:t>Населення країни</w:t>
                                                  </w:r>
                                                </w:p>
                                              </w:txbxContent>
                                            </wps:txbx>
                                            <wps:bodyPr rot="0" vert="horz" wrap="square" lIns="0" tIns="0" rIns="0" bIns="0" anchor="ctr" anchorCtr="0">
                                              <a:noAutofit/>
                                            </wps:bodyPr>
                                          </wps:wsp>
                                          <wps:wsp>
                                            <wps:cNvPr id="1579" name="Поле 137"/>
                                            <wps:cNvSpPr txBox="1">
                                              <a:spLocks noChangeArrowheads="1"/>
                                            </wps:cNvSpPr>
                                            <wps:spPr bwMode="auto">
                                              <a:xfrm rot="-5663405">
                                                <a:off x="9493" y="8680"/>
                                                <a:ext cx="2130" cy="4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5445F7" w:rsidRDefault="00BE40F8" w:rsidP="00B233DE">
                                                  <w:pPr>
                                                    <w:jc w:val="center"/>
                                                    <w:rPr>
                                                      <w:rFonts w:ascii="Times New Roman" w:hAnsi="Times New Roman" w:cs="Times New Roman"/>
                                                      <w:sz w:val="16"/>
                                                      <w:szCs w:val="16"/>
                                                    </w:rPr>
                                                  </w:pPr>
                                                  <w:r w:rsidRPr="005445F7">
                                                    <w:rPr>
                                                      <w:rFonts w:ascii="Times New Roman" w:hAnsi="Times New Roman" w:cs="Times New Roman"/>
                                                      <w:sz w:val="16"/>
                                                      <w:szCs w:val="16"/>
                                                    </w:rPr>
                                                    <w:t>Населення планети</w:t>
                                                  </w:r>
                                                </w:p>
                                              </w:txbxContent>
                                            </wps:txbx>
                                            <wps:bodyPr rot="0" vert="horz" wrap="square" lIns="0" tIns="0" rIns="0" bIns="0" anchor="ctr" anchorCtr="0">
                                              <a:noAutofit/>
                                            </wps:bodyPr>
                                          </wps:wsp>
                                          <wps:wsp>
                                            <wps:cNvPr id="1580" name="Поле 109"/>
                                            <wps:cNvSpPr txBox="1">
                                              <a:spLocks noChangeArrowheads="1"/>
                                            </wps:cNvSpPr>
                                            <wps:spPr bwMode="auto">
                                              <a:xfrm rot="16020290">
                                                <a:off x="7030" y="8725"/>
                                                <a:ext cx="2075" cy="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240E4E" w:rsidRDefault="00BE40F8" w:rsidP="00240E4E">
                                                  <w:pPr>
                                                    <w:spacing w:line="206" w:lineRule="auto"/>
                                                    <w:ind w:left="357" w:firstLine="0"/>
                                                    <w:rPr>
                                                      <w:rFonts w:ascii="Times New Roman" w:hAnsi="Times New Roman" w:cs="Times New Roman"/>
                                                      <w:sz w:val="16"/>
                                                      <w:szCs w:val="16"/>
                                                    </w:rPr>
                                                  </w:pPr>
                                                  <w:r w:rsidRPr="00240E4E">
                                                    <w:rPr>
                                                      <w:rFonts w:ascii="Times New Roman" w:hAnsi="Times New Roman" w:cs="Times New Roman"/>
                                                      <w:sz w:val="16"/>
                                                      <w:szCs w:val="16"/>
                                                    </w:rPr>
                                                    <w:t>Населення району,</w:t>
                                                  </w:r>
                                                </w:p>
                                                <w:p w:rsidR="00BE40F8" w:rsidRPr="00240E4E" w:rsidRDefault="00BE40F8" w:rsidP="00240E4E">
                                                  <w:pPr>
                                                    <w:spacing w:line="206" w:lineRule="auto"/>
                                                    <w:ind w:left="357" w:firstLine="0"/>
                                                    <w:rPr>
                                                      <w:rFonts w:ascii="Times New Roman" w:hAnsi="Times New Roman" w:cs="Times New Roman"/>
                                                      <w:sz w:val="16"/>
                                                      <w:szCs w:val="16"/>
                                                    </w:rPr>
                                                  </w:pPr>
                                                  <w:r w:rsidRPr="00240E4E">
                                                    <w:rPr>
                                                      <w:rFonts w:ascii="Times New Roman" w:hAnsi="Times New Roman" w:cs="Times New Roman"/>
                                                      <w:sz w:val="16"/>
                                                      <w:szCs w:val="16"/>
                                                    </w:rPr>
                                                    <w:t xml:space="preserve"> об’єднання терито</w:t>
                                                  </w:r>
                                                  <w:r w:rsidR="00240E4E">
                                                    <w:rPr>
                                                      <w:rFonts w:ascii="Times New Roman" w:hAnsi="Times New Roman" w:cs="Times New Roman"/>
                                                      <w:sz w:val="16"/>
                                                      <w:szCs w:val="16"/>
                                                    </w:rPr>
                                                    <w:t>-</w:t>
                                                  </w:r>
                                                  <w:r w:rsidRPr="00240E4E">
                                                    <w:rPr>
                                                      <w:rFonts w:ascii="Times New Roman" w:hAnsi="Times New Roman" w:cs="Times New Roman"/>
                                                      <w:sz w:val="16"/>
                                                      <w:szCs w:val="16"/>
                                                    </w:rPr>
                                                    <w:t>ріальних громад</w:t>
                                                  </w:r>
                                                </w:p>
                                              </w:txbxContent>
                                            </wps:txbx>
                                            <wps:bodyPr rot="0" vert="horz" wrap="square" lIns="0" tIns="0" rIns="0" bIns="0" anchor="ctr" anchorCtr="0">
                                              <a:noAutofit/>
                                            </wps:bodyPr>
                                          </wps:wsp>
                                          <wps:wsp>
                                            <wps:cNvPr id="1581" name="Поле 114"/>
                                            <wps:cNvSpPr txBox="1">
                                              <a:spLocks noChangeArrowheads="1"/>
                                            </wps:cNvSpPr>
                                            <wps:spPr bwMode="auto">
                                              <a:xfrm rot="18878771">
                                                <a:off x="6664" y="10754"/>
                                                <a:ext cx="1213" cy="6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240E4E" w:rsidRDefault="00BE40F8" w:rsidP="00B233DE">
                                                  <w:pPr>
                                                    <w:spacing w:line="216" w:lineRule="auto"/>
                                                    <w:ind w:firstLine="0"/>
                                                    <w:jc w:val="center"/>
                                                    <w:rPr>
                                                      <w:rFonts w:ascii="Times New Roman" w:hAnsi="Times New Roman" w:cs="Times New Roman"/>
                                                      <w:sz w:val="16"/>
                                                      <w:szCs w:val="16"/>
                                                    </w:rPr>
                                                  </w:pPr>
                                                  <w:r w:rsidRPr="00240E4E">
                                                    <w:rPr>
                                                      <w:rFonts w:ascii="Times New Roman" w:hAnsi="Times New Roman" w:cs="Times New Roman"/>
                                                      <w:sz w:val="16"/>
                                                      <w:szCs w:val="16"/>
                                                    </w:rPr>
                                                    <w:t>Районні органи судової влади</w:t>
                                                  </w:r>
                                                </w:p>
                                              </w:txbxContent>
                                            </wps:txbx>
                                            <wps:bodyPr rot="0" vert="horz" wrap="square" lIns="0" tIns="0" rIns="0" bIns="0" anchor="ctr" anchorCtr="0">
                                              <a:noAutofit/>
                                            </wps:bodyPr>
                                          </wps:wsp>
                                          <wps:wsp>
                                            <wps:cNvPr id="1582" name="Поле 115"/>
                                            <wps:cNvSpPr txBox="1">
                                              <a:spLocks noChangeArrowheads="1"/>
                                            </wps:cNvSpPr>
                                            <wps:spPr bwMode="auto">
                                              <a:xfrm rot="3343060">
                                                <a:off x="4765" y="10602"/>
                                                <a:ext cx="1714" cy="7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240E4E" w:rsidRDefault="00BE40F8" w:rsidP="00B233DE">
                                                  <w:pPr>
                                                    <w:ind w:firstLine="0"/>
                                                    <w:jc w:val="center"/>
                                                    <w:rPr>
                                                      <w:rFonts w:ascii="Times New Roman" w:hAnsi="Times New Roman" w:cs="Times New Roman"/>
                                                      <w:sz w:val="16"/>
                                                      <w:szCs w:val="16"/>
                                                    </w:rPr>
                                                  </w:pPr>
                                                  <w:r w:rsidRPr="00240E4E">
                                                    <w:rPr>
                                                      <w:rFonts w:ascii="Times New Roman" w:hAnsi="Times New Roman" w:cs="Times New Roman"/>
                                                      <w:sz w:val="16"/>
                                                      <w:szCs w:val="16"/>
                                                    </w:rPr>
                                                    <w:t xml:space="preserve">Районні органи </w:t>
                                                  </w:r>
                                                </w:p>
                                                <w:p w:rsidR="00BE40F8" w:rsidRPr="00240E4E" w:rsidRDefault="00BE40F8" w:rsidP="00B233DE">
                                                  <w:pPr>
                                                    <w:ind w:firstLine="0"/>
                                                    <w:jc w:val="center"/>
                                                    <w:rPr>
                                                      <w:rFonts w:ascii="Times New Roman" w:hAnsi="Times New Roman" w:cs="Times New Roman"/>
                                                      <w:sz w:val="16"/>
                                                      <w:szCs w:val="16"/>
                                                    </w:rPr>
                                                  </w:pPr>
                                                  <w:r w:rsidRPr="00240E4E">
                                                    <w:rPr>
                                                      <w:rFonts w:ascii="Times New Roman" w:hAnsi="Times New Roman" w:cs="Times New Roman"/>
                                                      <w:sz w:val="16"/>
                                                      <w:szCs w:val="16"/>
                                                    </w:rPr>
                                                    <w:t>виконавчої влади</w:t>
                                                  </w:r>
                                                </w:p>
                                              </w:txbxContent>
                                            </wps:txbx>
                                            <wps:bodyPr rot="0" vert="horz" wrap="square" lIns="0" tIns="0" rIns="0" bIns="0" anchor="ctr" anchorCtr="0">
                                              <a:noAutofit/>
                                            </wps:bodyPr>
                                          </wps:wsp>
                                          <wps:wsp>
                                            <wps:cNvPr id="1583" name="Поле 127"/>
                                            <wps:cNvSpPr txBox="1">
                                              <a:spLocks noChangeArrowheads="1"/>
                                            </wps:cNvSpPr>
                                            <wps:spPr bwMode="auto">
                                              <a:xfrm rot="16200000">
                                                <a:off x="4022" y="8906"/>
                                                <a:ext cx="1515" cy="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5445F7" w:rsidRDefault="00BE40F8" w:rsidP="00B233DE">
                                                  <w:pPr>
                                                    <w:spacing w:line="192" w:lineRule="auto"/>
                                                    <w:ind w:firstLine="0"/>
                                                    <w:jc w:val="center"/>
                                                    <w:rPr>
                                                      <w:rFonts w:ascii="Times New Roman" w:hAnsi="Times New Roman" w:cs="Times New Roman"/>
                                                      <w:sz w:val="16"/>
                                                      <w:szCs w:val="16"/>
                                                    </w:rPr>
                                                  </w:pPr>
                                                  <w:r w:rsidRPr="005445F7">
                                                    <w:rPr>
                                                      <w:rFonts w:ascii="Times New Roman" w:hAnsi="Times New Roman" w:cs="Times New Roman"/>
                                                      <w:sz w:val="16"/>
                                                      <w:szCs w:val="16"/>
                                                    </w:rPr>
                                                    <w:t>Районні органи законодавчої влади</w:t>
                                                  </w:r>
                                                </w:p>
                                              </w:txbxContent>
                                            </wps:txbx>
                                            <wps:bodyPr rot="0" vert="horz" wrap="square" lIns="0" tIns="0" rIns="0" bIns="0" anchor="ctr" anchorCtr="0">
                                              <a:noAutofit/>
                                            </wps:bodyPr>
                                          </wps:wsp>
                                        </wpg:grpSp>
                                      </wpg:grpSp>
                                    </wpg:grpSp>
                                  </wpg:grpSp>
                                </wpg:grpSp>
                              </wpg:grpSp>
                            </wpg:grpSp>
                          </wpg:grpSp>
                        </wpg:grpSp>
                      </wpg:grpSp>
                    </wpg:wgp>
                  </a:graphicData>
                </a:graphic>
                <wp14:sizeRelH relativeFrom="margin">
                  <wp14:pctWidth>0</wp14:pctWidth>
                </wp14:sizeRelH>
                <wp14:sizeRelV relativeFrom="margin">
                  <wp14:pctHeight>0</wp14:pctHeight>
                </wp14:sizeRelV>
              </wp:anchor>
            </w:drawing>
          </mc:Choice>
          <mc:Fallback>
            <w:pict>
              <v:group w14:anchorId="0D907253" id="Группа 1481" o:spid="_x0000_s2077" style="position:absolute;left:0;text-align:left;margin-left:12.3pt;margin-top:-1.2pt;width:288.15pt;height:430pt;z-index:251699200;mso-position-horizontal-relative:text;mso-position-vertical-relative:text;mso-width-relative:margin;mso-height-relative:margin" coordsize="59182,59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">
                <v:shape id="Поле 103" o:spid="_x0000_s2078" type="#_x0000_t202" style="position:absolute;left:18936;top:16988;width:10225;height:3255;rotation:-326256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" filled="f" stroked="f" strokeweight=".5pt">
                  <v:path arrowok="t"/>
                  <v:textbox inset="0,0,0,0">
                    <w:txbxContent>
                      <w:p w:rsidR="00BE40F8" w:rsidRPr="009E3F2B" w:rsidRDefault="00BE40F8" w:rsidP="00B233DE">
                        <w:pPr>
                          <w:spacing w:line="192" w:lineRule="auto"/>
                          <w:ind w:firstLine="0"/>
                          <w:jc w:val="center"/>
                          <w:rPr>
                            <w:sz w:val="15"/>
                            <w:szCs w:val="15"/>
                          </w:rPr>
                        </w:pPr>
                        <w:r w:rsidRPr="009E3F2B">
                          <w:rPr>
                            <w:rFonts w:ascii="Times New Roman" w:hAnsi="Times New Roman" w:cs="Times New Roman"/>
                            <w:sz w:val="15"/>
                            <w:szCs w:val="15"/>
                          </w:rPr>
                          <w:t>Районні</w:t>
                        </w:r>
                        <w:r w:rsidRPr="009E3F2B">
                          <w:rPr>
                            <w:sz w:val="15"/>
                            <w:szCs w:val="15"/>
                          </w:rPr>
                          <w:t xml:space="preserve"> </w:t>
                        </w:r>
                        <w:r w:rsidRPr="009E3F2B">
                          <w:rPr>
                            <w:rFonts w:ascii="Times New Roman" w:hAnsi="Times New Roman" w:cs="Times New Roman"/>
                            <w:sz w:val="15"/>
                            <w:szCs w:val="15"/>
                          </w:rPr>
                          <w:t>некомерційні</w:t>
                        </w:r>
                        <w:r w:rsidRPr="009E3F2B">
                          <w:rPr>
                            <w:rFonts w:ascii="Times New Roman" w:hAnsi="Times New Roman" w:cs="Times New Roman"/>
                            <w:i/>
                            <w:sz w:val="15"/>
                            <w:szCs w:val="15"/>
                          </w:rPr>
                          <w:t xml:space="preserve"> </w:t>
                        </w:r>
                        <w:r w:rsidRPr="009E3F2B">
                          <w:rPr>
                            <w:rFonts w:ascii="Times New Roman" w:hAnsi="Times New Roman" w:cs="Times New Roman"/>
                            <w:sz w:val="15"/>
                            <w:szCs w:val="15"/>
                          </w:rPr>
                          <w:t>структури</w:t>
                        </w:r>
                      </w:p>
                    </w:txbxContent>
                  </v:textbox>
                </v:shape>
                <v:group id="Группа 1483" o:spid="_x0000_s2079" style="position:absolute;width:59182;height:59182" coordsize="59182,59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">
                  <v:shape id="Поле 107" o:spid="_x0000_s2080" type="#_x0000_t202" style="position:absolute;left:30430;top:15945;width:10317;height:4043;rotation:318152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" filled="f" stroked="f" strokeweight=".5pt">
                    <v:path arrowok="t"/>
                    <v:textbox inset="0,0,0,0">
                      <w:txbxContent>
                        <w:p w:rsidR="00BE40F8" w:rsidRDefault="00BE40F8" w:rsidP="00B233DE">
                          <w:pPr>
                            <w:spacing w:line="192" w:lineRule="auto"/>
                            <w:ind w:firstLine="0"/>
                            <w:jc w:val="center"/>
                          </w:pPr>
                          <w:r w:rsidRPr="00220AC1">
                            <w:rPr>
                              <w:rFonts w:ascii="Times New Roman" w:hAnsi="Times New Roman" w:cs="Times New Roman"/>
                              <w:sz w:val="16"/>
                              <w:szCs w:val="16"/>
                            </w:rPr>
                            <w:t>Районні комерційні структури</w:t>
                          </w:r>
                        </w:p>
                      </w:txbxContent>
                    </v:textbox>
                  </v:shape>
                  <v:group id="Группа 1485" o:spid="_x0000_s2081" style="position:absolute;width:59182;height:59182" coordsize="59182,59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">
                    <v:group id="Группа 1486" o:spid="_x0000_s2082" style="position:absolute;left:20543;top:12636;width:19333;height:6975" coordorigin="-411,-6202" coordsize="19331,8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">
                      <v:shape id="Поле 28" o:spid="_x0000_s2083" type="#_x0000_t202" style="position:absolute;left:-411;top:-1459;width:2844;height:2583;rotation:-2644852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" filled="f" stroked="f" strokeweight=".5pt">
                        <v:textbox inset="0,0,0,0">
                          <w:txbxContent>
                            <w:p w:rsidR="00BE40F8" w:rsidRPr="00220AC1" w:rsidRDefault="00BE40F8" w:rsidP="00B233DE">
                              <w:pPr>
                                <w:ind w:right="-17" w:firstLine="0"/>
                                <w:jc w:val="center"/>
                                <w:rPr>
                                  <w:rFonts w:ascii="Times New Roman" w:hAnsi="Times New Roman" w:cs="Times New Roman"/>
                                  <w:sz w:val="16"/>
                                  <w:szCs w:val="16"/>
                                  <w:lang w:val="en-US"/>
                                </w:rPr>
                              </w:pPr>
                              <w:r w:rsidRPr="00220AC1">
                                <w:rPr>
                                  <w:rFonts w:ascii="Times New Roman" w:hAnsi="Times New Roman" w:cs="Times New Roman"/>
                                  <w:b/>
                                  <w:sz w:val="16"/>
                                  <w:szCs w:val="16"/>
                                </w:rPr>
                                <w:t>М</w:t>
                              </w:r>
                            </w:p>
                          </w:txbxContent>
                        </v:textbox>
                      </v:shape>
                      <v:shape id="Поле 14" o:spid="_x0000_s2084" type="#_x0000_t202" style="position:absolute;left:699;top:-2960;width:2845;height:2584;rotation:-175392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" filled="f" stroked="f" strokeweight=".5pt">
                        <v:textbox inset="0,0,0,0">
                          <w:txbxContent>
                            <w:p w:rsidR="00BE40F8" w:rsidRPr="00220AC1" w:rsidRDefault="00BE40F8" w:rsidP="00B233DE">
                              <w:pPr>
                                <w:ind w:firstLine="0"/>
                                <w:jc w:val="center"/>
                                <w:rPr>
                                  <w:rFonts w:ascii="Times New Roman" w:hAnsi="Times New Roman" w:cs="Times New Roman"/>
                                  <w:sz w:val="16"/>
                                  <w:szCs w:val="16"/>
                                </w:rPr>
                              </w:pPr>
                              <w:r w:rsidRPr="00220AC1">
                                <w:rPr>
                                  <w:rFonts w:ascii="Times New Roman" w:hAnsi="Times New Roman" w:cs="Times New Roman"/>
                                  <w:b/>
                                  <w:sz w:val="16"/>
                                  <w:szCs w:val="16"/>
                                </w:rPr>
                                <w:t>і</w:t>
                              </w:r>
                            </w:p>
                          </w:txbxContent>
                        </v:textbox>
                      </v:shape>
                      <v:shape id="Поле 20" o:spid="_x0000_s2085" type="#_x0000_t202" style="position:absolute;left:2600;top:-4136;width:2844;height:2585;rotation:-131836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" filled="f" stroked="f" strokeweight=".5pt">
                        <v:textbox inset="0,0,0,0">
                          <w:txbxContent>
                            <w:p w:rsidR="00BE40F8" w:rsidRPr="00220AC1" w:rsidRDefault="00BE40F8" w:rsidP="00B233DE">
                              <w:pPr>
                                <w:ind w:right="-17" w:firstLine="0"/>
                                <w:jc w:val="center"/>
                                <w:rPr>
                                  <w:rFonts w:ascii="Times New Roman" w:hAnsi="Times New Roman" w:cs="Times New Roman"/>
                                  <w:sz w:val="16"/>
                                  <w:szCs w:val="16"/>
                                  <w:lang w:val="en-US"/>
                                </w:rPr>
                              </w:pPr>
                              <w:r w:rsidRPr="00220AC1">
                                <w:rPr>
                                  <w:rFonts w:ascii="Times New Roman" w:hAnsi="Times New Roman" w:cs="Times New Roman"/>
                                  <w:b/>
                                  <w:sz w:val="16"/>
                                  <w:szCs w:val="16"/>
                                </w:rPr>
                                <w:t>к</w:t>
                              </w:r>
                            </w:p>
                          </w:txbxContent>
                        </v:textbox>
                      </v:shape>
                      <v:shape id="Поле 21" o:spid="_x0000_s2086" type="#_x0000_t202" style="position:absolute;left:4033;top:-5435;width:2844;height:2832;rotation:-80426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" filled="f" stroked="f" strokeweight=".5pt">
                        <v:textbox inset="0,0,0,0">
                          <w:txbxContent>
                            <w:p w:rsidR="00BE40F8" w:rsidRPr="00220AC1" w:rsidRDefault="00BE40F8" w:rsidP="00B233DE">
                              <w:pPr>
                                <w:ind w:right="-17" w:firstLine="0"/>
                                <w:jc w:val="center"/>
                                <w:rPr>
                                  <w:rFonts w:ascii="Times New Roman" w:hAnsi="Times New Roman" w:cs="Times New Roman"/>
                                  <w:sz w:val="16"/>
                                  <w:szCs w:val="16"/>
                                  <w:lang w:val="en-US"/>
                                </w:rPr>
                              </w:pPr>
                              <w:r w:rsidRPr="00220AC1">
                                <w:rPr>
                                  <w:rFonts w:ascii="Times New Roman" w:hAnsi="Times New Roman" w:cs="Times New Roman"/>
                                  <w:b/>
                                  <w:sz w:val="16"/>
                                  <w:szCs w:val="16"/>
                                </w:rPr>
                                <w:t>р</w:t>
                              </w:r>
                            </w:p>
                          </w:txbxContent>
                        </v:textbox>
                      </v:shape>
                      <v:shape id="Поле 22" o:spid="_x0000_s2087" type="#_x0000_t202" style="position:absolute;left:6384;top:-5953;width:2845;height:2584;rotation:-24194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" filled="f" stroked="f" strokeweight=".5pt">
                        <v:textbox inset="0,0,0,0">
                          <w:txbxContent>
                            <w:p w:rsidR="00BE40F8" w:rsidRPr="00220AC1" w:rsidRDefault="00BE40F8" w:rsidP="00B233DE">
                              <w:pPr>
                                <w:ind w:firstLine="0"/>
                                <w:jc w:val="center"/>
                                <w:rPr>
                                  <w:rFonts w:ascii="Times New Roman" w:hAnsi="Times New Roman" w:cs="Times New Roman"/>
                                  <w:sz w:val="16"/>
                                  <w:szCs w:val="16"/>
                                  <w:lang w:val="en-US"/>
                                </w:rPr>
                              </w:pPr>
                              <w:r w:rsidRPr="00220AC1">
                                <w:rPr>
                                  <w:rFonts w:ascii="Times New Roman" w:hAnsi="Times New Roman" w:cs="Times New Roman"/>
                                  <w:b/>
                                  <w:sz w:val="16"/>
                                  <w:szCs w:val="16"/>
                                </w:rPr>
                                <w:t>о</w:t>
                              </w:r>
                            </w:p>
                          </w:txbxContent>
                        </v:textbox>
                      </v:shape>
                      <v:shape id="Поле 1492" o:spid="_x0000_s2088" type="#_x0000_t202" style="position:absolute;left:8586;top:-6202;width:2845;height:3194;rotation:290262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" filled="f" stroked="f" strokeweight=".5pt">
                        <v:textbox inset="0,0,0,0">
                          <w:txbxContent>
                            <w:p w:rsidR="00BE40F8" w:rsidRPr="00220AC1" w:rsidRDefault="00BE40F8" w:rsidP="00B233DE">
                              <w:pPr>
                                <w:ind w:right="-17" w:firstLine="0"/>
                                <w:jc w:val="center"/>
                                <w:rPr>
                                  <w:rFonts w:ascii="Times New Roman" w:hAnsi="Times New Roman" w:cs="Times New Roman"/>
                                  <w:sz w:val="16"/>
                                  <w:szCs w:val="16"/>
                                  <w:lang w:val="en-US"/>
                                </w:rPr>
                              </w:pPr>
                              <w:r w:rsidRPr="00220AC1">
                                <w:rPr>
                                  <w:rFonts w:ascii="Times New Roman" w:hAnsi="Times New Roman" w:cs="Times New Roman"/>
                                  <w:b/>
                                  <w:sz w:val="16"/>
                                  <w:szCs w:val="16"/>
                                </w:rPr>
                                <w:t>р</w:t>
                              </w:r>
                            </w:p>
                          </w:txbxContent>
                        </v:textbox>
                      </v:shape>
                      <v:shape id="Поле 1493" o:spid="_x0000_s2089" type="#_x0000_t202" style="position:absolute;left:10673;top:-5717;width:2845;height:2585;rotation:66243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" filled="f" stroked="f" strokeweight=".5pt">
                        <v:textbox inset="0,0,0,0">
                          <w:txbxContent>
                            <w:p w:rsidR="00BE40F8" w:rsidRPr="00220AC1" w:rsidRDefault="00BE40F8" w:rsidP="00B233DE">
                              <w:pPr>
                                <w:ind w:firstLine="0"/>
                                <w:jc w:val="center"/>
                                <w:rPr>
                                  <w:rFonts w:ascii="Times New Roman" w:hAnsi="Times New Roman" w:cs="Times New Roman"/>
                                  <w:sz w:val="16"/>
                                  <w:szCs w:val="16"/>
                                  <w:lang w:val="en-US"/>
                                </w:rPr>
                              </w:pPr>
                              <w:r w:rsidRPr="00220AC1">
                                <w:rPr>
                                  <w:rFonts w:ascii="Times New Roman" w:hAnsi="Times New Roman" w:cs="Times New Roman"/>
                                  <w:b/>
                                  <w:sz w:val="16"/>
                                  <w:szCs w:val="16"/>
                                </w:rPr>
                                <w:t>і</w:t>
                              </w:r>
                            </w:p>
                          </w:txbxContent>
                        </v:textbox>
                      </v:shape>
                      <v:shape id="Поле 1494" o:spid="_x0000_s2090" type="#_x0000_t202" style="position:absolute;left:12367;top:-4909;width:2845;height:2584;rotation:121252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" filled="f" stroked="f" strokeweight=".5pt">
                        <v:textbox inset="0,0,0,0">
                          <w:txbxContent>
                            <w:p w:rsidR="00BE40F8" w:rsidRPr="00220AC1" w:rsidRDefault="00BE40F8" w:rsidP="00B233DE">
                              <w:pPr>
                                <w:ind w:firstLine="0"/>
                                <w:jc w:val="center"/>
                                <w:rPr>
                                  <w:rFonts w:ascii="Times New Roman" w:hAnsi="Times New Roman" w:cs="Times New Roman"/>
                                  <w:sz w:val="16"/>
                                  <w:szCs w:val="16"/>
                                  <w:lang w:val="en-US"/>
                                </w:rPr>
                              </w:pPr>
                              <w:r w:rsidRPr="00220AC1">
                                <w:rPr>
                                  <w:rFonts w:ascii="Times New Roman" w:hAnsi="Times New Roman" w:cs="Times New Roman"/>
                                  <w:b/>
                                  <w:sz w:val="16"/>
                                  <w:szCs w:val="16"/>
                                </w:rPr>
                                <w:t>в</w:t>
                              </w:r>
                            </w:p>
                          </w:txbxContent>
                        </v:textbox>
                      </v:shape>
                      <v:shape id="Поле 1495" o:spid="_x0000_s2091" type="#_x0000_t202" style="position:absolute;left:13702;top:-3480;width:2845;height:2585;rotation:185010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" filled="f" stroked="f" strokeweight=".5pt">
                        <v:textbox inset="0,0,0,0">
                          <w:txbxContent>
                            <w:p w:rsidR="00BE40F8" w:rsidRPr="00220AC1" w:rsidRDefault="00BE40F8" w:rsidP="00B233DE">
                              <w:pPr>
                                <w:ind w:firstLine="0"/>
                                <w:jc w:val="center"/>
                                <w:rPr>
                                  <w:rFonts w:ascii="Times New Roman" w:hAnsi="Times New Roman" w:cs="Times New Roman"/>
                                  <w:sz w:val="16"/>
                                  <w:szCs w:val="16"/>
                                  <w:lang w:val="en-US"/>
                                </w:rPr>
                              </w:pPr>
                              <w:r w:rsidRPr="00220AC1">
                                <w:rPr>
                                  <w:rFonts w:ascii="Times New Roman" w:hAnsi="Times New Roman" w:cs="Times New Roman"/>
                                  <w:b/>
                                  <w:sz w:val="16"/>
                                  <w:szCs w:val="16"/>
                                </w:rPr>
                                <w:t>е</w:t>
                              </w:r>
                            </w:p>
                          </w:txbxContent>
                        </v:textbox>
                      </v:shape>
                      <v:shape id="Поле 1496" o:spid="_x0000_s2092" type="#_x0000_t202" style="position:absolute;left:15264;top:-2191;width:2045;height:2583;rotation:217868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" filled="f" stroked="f" strokeweight=".5pt">
                        <v:textbox inset="0,0,0,0">
                          <w:txbxContent>
                            <w:p w:rsidR="00BE40F8" w:rsidRPr="00220AC1" w:rsidRDefault="00BE40F8" w:rsidP="00B233DE">
                              <w:pPr>
                                <w:ind w:firstLine="0"/>
                                <w:jc w:val="center"/>
                                <w:rPr>
                                  <w:rFonts w:ascii="Times New Roman" w:hAnsi="Times New Roman" w:cs="Times New Roman"/>
                                  <w:sz w:val="16"/>
                                  <w:szCs w:val="16"/>
                                  <w:lang w:val="en-US"/>
                                </w:rPr>
                              </w:pPr>
                              <w:r w:rsidRPr="00220AC1">
                                <w:rPr>
                                  <w:rFonts w:ascii="Times New Roman" w:hAnsi="Times New Roman" w:cs="Times New Roman"/>
                                  <w:b/>
                                  <w:sz w:val="16"/>
                                  <w:szCs w:val="16"/>
                                </w:rPr>
                                <w:t>н</w:t>
                              </w:r>
                            </w:p>
                          </w:txbxContent>
                        </v:textbox>
                      </v:shape>
                      <v:shape id="Поле 1497" o:spid="_x0000_s2093" type="#_x0000_t202" style="position:absolute;left:16074;top:-676;width:2845;height:2584;rotation:239983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" filled="f" stroked="f" strokeweight=".5pt">
                        <v:textbox inset="0,0,0,0">
                          <w:txbxContent>
                            <w:p w:rsidR="00BE40F8" w:rsidRPr="00220AC1" w:rsidRDefault="00BE40F8" w:rsidP="00B233DE">
                              <w:pPr>
                                <w:ind w:firstLine="0"/>
                                <w:jc w:val="center"/>
                                <w:rPr>
                                  <w:rFonts w:ascii="Times New Roman" w:hAnsi="Times New Roman" w:cs="Times New Roman"/>
                                  <w:sz w:val="16"/>
                                  <w:szCs w:val="16"/>
                                  <w:lang w:val="en-US"/>
                                </w:rPr>
                              </w:pPr>
                              <w:r w:rsidRPr="00220AC1">
                                <w:rPr>
                                  <w:rFonts w:ascii="Times New Roman" w:hAnsi="Times New Roman" w:cs="Times New Roman"/>
                                  <w:b/>
                                  <w:sz w:val="16"/>
                                  <w:szCs w:val="16"/>
                                </w:rPr>
                                <w:t>ь</w:t>
                              </w:r>
                            </w:p>
                          </w:txbxContent>
                        </v:textbox>
                      </v:shape>
                    </v:group>
                    <v:group id="Группа 1498" o:spid="_x0000_s2094" style="position:absolute;width:59182;height:59182" coordsize="59182,59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">
                      <v:oval id="Овал 18" o:spid="_x0000_s2095" style="position:absolute;left:21773;top:17691;width:15723;height:25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" filled="f" strokecolor="windowText" strokeweight="1pt">
                        <v:path arrowok="t"/>
                        <o:lock v:ext="edit" aspectratio="t"/>
                      </v:oval>
                      <v:group id="Группа 1500" o:spid="_x0000_s2096" style="position:absolute;width:59182;height:59182" coordsize="59182,59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">
                        <v:group id="Группа 69" o:spid="_x0000_s2097" style="position:absolute;left:15311;top:3423;width:29972;height:6918" coordorigin="-1096,-2893" coordsize="19977,69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">
                          <v:shape id="Поле 70" o:spid="_x0000_s2098" type="#_x0000_t202" style="position:absolute;left:-1096;top:933;width:2844;height:2585;rotation:-193953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" filled="f" stroked="f" strokeweight=".5pt">
                            <v:textbox>
                              <w:txbxContent>
                                <w:p w:rsidR="00BE40F8" w:rsidRPr="00AE1062" w:rsidRDefault="00BE40F8" w:rsidP="00B233DE">
                                  <w:pPr>
                                    <w:ind w:right="-23" w:firstLine="0"/>
                                    <w:jc w:val="center"/>
                                    <w:rPr>
                                      <w:rFonts w:ascii="Times New Roman" w:hAnsi="Times New Roman" w:cs="Times New Roman"/>
                                      <w:sz w:val="16"/>
                                      <w:szCs w:val="16"/>
                                      <w:lang w:val="en-US"/>
                                    </w:rPr>
                                  </w:pPr>
                                  <w:r w:rsidRPr="00AE1062">
                                    <w:rPr>
                                      <w:rFonts w:ascii="Times New Roman" w:hAnsi="Times New Roman" w:cs="Times New Roman"/>
                                      <w:b/>
                                      <w:sz w:val="16"/>
                                      <w:szCs w:val="16"/>
                                    </w:rPr>
                                    <w:t>М</w:t>
                                  </w:r>
                                </w:p>
                              </w:txbxContent>
                            </v:textbox>
                          </v:shape>
                          <v:shape id="Поле 71" o:spid="_x0000_s2099" type="#_x0000_t202" style="position:absolute;left:903;top:-616;width:2844;height:2584;rotation:-142480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" filled="f" stroked="f" strokeweight=".5pt">
                            <v:textbox>
                              <w:txbxContent>
                                <w:p w:rsidR="00BE40F8" w:rsidRPr="00AE1062" w:rsidRDefault="00BE40F8" w:rsidP="00B233DE">
                                  <w:pPr>
                                    <w:ind w:right="-6" w:firstLine="0"/>
                                    <w:jc w:val="center"/>
                                    <w:rPr>
                                      <w:rFonts w:ascii="Times New Roman" w:hAnsi="Times New Roman" w:cs="Times New Roman"/>
                                      <w:sz w:val="16"/>
                                      <w:szCs w:val="16"/>
                                    </w:rPr>
                                  </w:pPr>
                                  <w:r w:rsidRPr="00AE1062">
                                    <w:rPr>
                                      <w:rFonts w:ascii="Times New Roman" w:hAnsi="Times New Roman" w:cs="Times New Roman"/>
                                      <w:b/>
                                      <w:sz w:val="16"/>
                                      <w:szCs w:val="16"/>
                                    </w:rPr>
                                    <w:t>а</w:t>
                                  </w:r>
                                </w:p>
                              </w:txbxContent>
                            </v:textbox>
                          </v:shape>
                          <v:shape id="Поле 72" o:spid="_x0000_s2100" type="#_x0000_t202" style="position:absolute;left:2648;top:-1946;width:2845;height:2584;rotation:-107683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" filled="f" stroked="f" strokeweight=".5pt">
                            <v:textbox inset="0,0,0,0">
                              <w:txbxContent>
                                <w:p w:rsidR="00BE40F8" w:rsidRPr="00E92AB5" w:rsidRDefault="00BE40F8" w:rsidP="00B233DE">
                                  <w:pPr>
                                    <w:ind w:firstLine="0"/>
                                    <w:jc w:val="center"/>
                                    <w:rPr>
                                      <w:rFonts w:ascii="Times New Roman" w:hAnsi="Times New Roman" w:cs="Times New Roman"/>
                                      <w:sz w:val="16"/>
                                      <w:szCs w:val="16"/>
                                      <w:lang w:val="en-US"/>
                                    </w:rPr>
                                  </w:pPr>
                                  <w:r w:rsidRPr="00E92AB5">
                                    <w:rPr>
                                      <w:rFonts w:ascii="Times New Roman" w:hAnsi="Times New Roman" w:cs="Times New Roman"/>
                                      <w:b/>
                                      <w:sz w:val="16"/>
                                      <w:szCs w:val="16"/>
                                    </w:rPr>
                                    <w:t>к</w:t>
                                  </w:r>
                                </w:p>
                              </w:txbxContent>
                            </v:textbox>
                          </v:shape>
                          <v:shape id="Поле 73" o:spid="_x0000_s2101" type="#_x0000_t202" style="position:absolute;left:4565;top:-2542;width:2844;height:2831;rotation:-68893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" filled="f" stroked="f" strokeweight=".5pt">
                            <v:textbox>
                              <w:txbxContent>
                                <w:p w:rsidR="00BE40F8" w:rsidRPr="00AE1062" w:rsidRDefault="00BE40F8" w:rsidP="00B233DE">
                                  <w:pPr>
                                    <w:ind w:right="-11" w:firstLine="0"/>
                                    <w:jc w:val="center"/>
                                    <w:rPr>
                                      <w:rFonts w:ascii="Times New Roman" w:hAnsi="Times New Roman" w:cs="Times New Roman"/>
                                      <w:sz w:val="16"/>
                                      <w:szCs w:val="16"/>
                                      <w:lang w:val="en-US"/>
                                    </w:rPr>
                                  </w:pPr>
                                  <w:r w:rsidRPr="00AE1062">
                                    <w:rPr>
                                      <w:rFonts w:ascii="Times New Roman" w:hAnsi="Times New Roman" w:cs="Times New Roman"/>
                                      <w:b/>
                                      <w:sz w:val="16"/>
                                      <w:szCs w:val="16"/>
                                    </w:rPr>
                                    <w:t>р</w:t>
                                  </w:r>
                                </w:p>
                              </w:txbxContent>
                            </v:textbox>
                          </v:shape>
                          <v:shape id="Поле 74" o:spid="_x0000_s2102" type="#_x0000_t202" style="position:absolute;left:6002;top:-2690;width:2845;height:2584;rotation:-24194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" filled="f" stroked="f" strokeweight=".5pt">
                            <v:textbox>
                              <w:txbxContent>
                                <w:p w:rsidR="00BE40F8" w:rsidRPr="006363FE" w:rsidRDefault="00BE40F8" w:rsidP="00B233DE">
                                  <w:pPr>
                                    <w:ind w:firstLine="0"/>
                                    <w:jc w:val="center"/>
                                    <w:rPr>
                                      <w:sz w:val="16"/>
                                      <w:szCs w:val="16"/>
                                      <w:lang w:val="en-US"/>
                                    </w:rPr>
                                  </w:pPr>
                                  <w:r w:rsidRPr="006363FE">
                                    <w:rPr>
                                      <w:b/>
                                      <w:sz w:val="16"/>
                                      <w:szCs w:val="16"/>
                                    </w:rPr>
                                    <w:t>о</w:t>
                                  </w:r>
                                </w:p>
                              </w:txbxContent>
                            </v:textbox>
                          </v:shape>
                          <v:shape id="Поле 75" o:spid="_x0000_s2103" type="#_x0000_t202" style="position:absolute;left:8155;top:-2893;width:2844;height:3193;rotation:401901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" filled="f" stroked="f" strokeweight=".5pt">
                            <v:textbox>
                              <w:txbxContent>
                                <w:p w:rsidR="00BE40F8" w:rsidRPr="006363FE" w:rsidRDefault="00BE40F8" w:rsidP="00B233DE">
                                  <w:pPr>
                                    <w:ind w:right="-23" w:firstLine="0"/>
                                    <w:jc w:val="center"/>
                                    <w:rPr>
                                      <w:sz w:val="16"/>
                                      <w:szCs w:val="16"/>
                                      <w:lang w:val="en-US"/>
                                    </w:rPr>
                                  </w:pPr>
                                  <w:r w:rsidRPr="006363FE">
                                    <w:rPr>
                                      <w:b/>
                                      <w:sz w:val="16"/>
                                      <w:szCs w:val="16"/>
                                    </w:rPr>
                                    <w:t>р</w:t>
                                  </w:r>
                                </w:p>
                              </w:txbxContent>
                            </v:textbox>
                          </v:shape>
                          <v:shape id="Поле 76" o:spid="_x0000_s2104" type="#_x0000_t202" style="position:absolute;left:9927;top:-2775;width:2845;height:2584;rotation:66243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" filled="f" stroked="f" strokeweight=".5pt">
                            <v:textbox>
                              <w:txbxContent>
                                <w:p w:rsidR="00BE40F8" w:rsidRPr="00AE1062" w:rsidRDefault="00BE40F8" w:rsidP="00B233DE">
                                  <w:pPr>
                                    <w:ind w:firstLine="0"/>
                                    <w:jc w:val="center"/>
                                    <w:rPr>
                                      <w:rFonts w:ascii="Times New Roman" w:hAnsi="Times New Roman" w:cs="Times New Roman"/>
                                      <w:sz w:val="16"/>
                                      <w:szCs w:val="16"/>
                                      <w:lang w:val="en-US"/>
                                    </w:rPr>
                                  </w:pPr>
                                  <w:r w:rsidRPr="00AE1062">
                                    <w:rPr>
                                      <w:rFonts w:ascii="Times New Roman" w:hAnsi="Times New Roman" w:cs="Times New Roman"/>
                                      <w:b/>
                                      <w:sz w:val="16"/>
                                      <w:szCs w:val="16"/>
                                    </w:rPr>
                                    <w:t>і</w:t>
                                  </w:r>
                                </w:p>
                              </w:txbxContent>
                            </v:textbox>
                          </v:shape>
                          <v:shape id="Поле 77" o:spid="_x0000_s2105" type="#_x0000_t202" style="position:absolute;left:11557;top:-1948;width:2317;height:2585;rotation:98542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" filled="f" stroked="f" strokeweight=".5pt">
                            <v:textbox>
                              <w:txbxContent>
                                <w:p w:rsidR="00BE40F8" w:rsidRPr="00AE1062" w:rsidRDefault="00BE40F8" w:rsidP="00B233DE">
                                  <w:pPr>
                                    <w:ind w:firstLine="0"/>
                                    <w:jc w:val="center"/>
                                    <w:rPr>
                                      <w:rFonts w:ascii="Times New Roman" w:hAnsi="Times New Roman" w:cs="Times New Roman"/>
                                      <w:sz w:val="16"/>
                                      <w:szCs w:val="16"/>
                                      <w:lang w:val="en-US"/>
                                    </w:rPr>
                                  </w:pPr>
                                  <w:r w:rsidRPr="00AE1062">
                                    <w:rPr>
                                      <w:rFonts w:ascii="Times New Roman" w:hAnsi="Times New Roman" w:cs="Times New Roman"/>
                                      <w:b/>
                                      <w:sz w:val="16"/>
                                      <w:szCs w:val="16"/>
                                    </w:rPr>
                                    <w:t>в</w:t>
                                  </w:r>
                                </w:p>
                              </w:txbxContent>
                            </v:textbox>
                          </v:shape>
                          <v:shape id="Поле 78" o:spid="_x0000_s2106" type="#_x0000_t202" style="position:absolute;left:13487;top:-954;width:1941;height:2584;rotation:110212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" filled="f" stroked="f" strokeweight=".5pt">
                            <v:textbox>
                              <w:txbxContent>
                                <w:p w:rsidR="00BE40F8" w:rsidRPr="00AE1062" w:rsidRDefault="00BE40F8" w:rsidP="00B233DE">
                                  <w:pPr>
                                    <w:ind w:firstLine="0"/>
                                    <w:jc w:val="center"/>
                                    <w:rPr>
                                      <w:rFonts w:ascii="Times New Roman" w:hAnsi="Times New Roman" w:cs="Times New Roman"/>
                                      <w:sz w:val="16"/>
                                      <w:szCs w:val="16"/>
                                      <w:lang w:val="en-US"/>
                                    </w:rPr>
                                  </w:pPr>
                                  <w:r w:rsidRPr="00AE1062">
                                    <w:rPr>
                                      <w:rFonts w:ascii="Times New Roman" w:hAnsi="Times New Roman" w:cs="Times New Roman"/>
                                      <w:b/>
                                      <w:sz w:val="16"/>
                                      <w:szCs w:val="16"/>
                                    </w:rPr>
                                    <w:t>е</w:t>
                                  </w:r>
                                </w:p>
                              </w:txbxContent>
                            </v:textbox>
                          </v:shape>
                          <v:shape id="Поле 79" o:spid="_x0000_s2107" type="#_x0000_t202" style="position:absolute;left:15134;top:-140;width:1843;height:2585;rotation:153732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" filled="f" stroked="f" strokeweight=".5pt">
                            <v:textbox inset="0,0,0,0">
                              <w:txbxContent>
                                <w:p w:rsidR="00BE40F8" w:rsidRPr="00AE1062" w:rsidRDefault="00BE40F8" w:rsidP="00B233DE">
                                  <w:pPr>
                                    <w:ind w:right="-6" w:firstLine="0"/>
                                    <w:jc w:val="center"/>
                                    <w:rPr>
                                      <w:rFonts w:ascii="Times New Roman" w:hAnsi="Times New Roman" w:cs="Times New Roman"/>
                                      <w:sz w:val="16"/>
                                      <w:szCs w:val="16"/>
                                      <w:lang w:val="en-US"/>
                                    </w:rPr>
                                  </w:pPr>
                                  <w:r w:rsidRPr="00AE1062">
                                    <w:rPr>
                                      <w:rFonts w:ascii="Times New Roman" w:hAnsi="Times New Roman" w:cs="Times New Roman"/>
                                      <w:b/>
                                      <w:sz w:val="16"/>
                                      <w:szCs w:val="16"/>
                                    </w:rPr>
                                    <w:t>н</w:t>
                                  </w:r>
                                </w:p>
                              </w:txbxContent>
                            </v:textbox>
                          </v:shape>
                          <v:shape id="Поле 80" o:spid="_x0000_s2108" type="#_x0000_t202" style="position:absolute;left:16036;top:1441;width:2845;height:2585;rotation:199495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" filled="f" stroked="f" strokeweight=".5pt">
                            <v:textbox>
                              <w:txbxContent>
                                <w:p w:rsidR="00BE40F8" w:rsidRPr="00AE1062" w:rsidRDefault="00BE40F8" w:rsidP="00B233DE">
                                  <w:pPr>
                                    <w:ind w:right="-23" w:firstLine="0"/>
                                    <w:jc w:val="center"/>
                                    <w:rPr>
                                      <w:rFonts w:ascii="Times New Roman" w:hAnsi="Times New Roman" w:cs="Times New Roman"/>
                                      <w:sz w:val="16"/>
                                      <w:szCs w:val="16"/>
                                      <w:lang w:val="en-US"/>
                                    </w:rPr>
                                  </w:pPr>
                                  <w:r w:rsidRPr="00AE1062">
                                    <w:rPr>
                                      <w:rFonts w:ascii="Times New Roman" w:hAnsi="Times New Roman" w:cs="Times New Roman"/>
                                      <w:b/>
                                      <w:sz w:val="16"/>
                                      <w:szCs w:val="16"/>
                                    </w:rPr>
                                    <w:t>ь</w:t>
                                  </w:r>
                                </w:p>
                              </w:txbxContent>
                            </v:textbox>
                          </v:shape>
                        </v:group>
                        <v:group id="Группа 1513" o:spid="_x0000_s2109" style="position:absolute;width:59182;height:59182" coordsize="59182,59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">
                          <v:group id="Группа 1514" o:spid="_x0000_s2110" style="position:absolute;left:16433;top:7884;width:24998;height:7959" coordorigin="-1523,-4355" coordsize="19856,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">
                            <v:shape id="Поле 1515" o:spid="_x0000_s2111" type="#_x0000_t202" style="position:absolute;left:-1523;top:1021;width:2844;height:2585;rotation:-2644852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" filled="f" stroked="f" strokeweight=".5pt">
                              <v:textbox>
                                <w:txbxContent>
                                  <w:p w:rsidR="00BE40F8" w:rsidRPr="00A51D98" w:rsidRDefault="00BE40F8" w:rsidP="00B233DE">
                                    <w:pPr>
                                      <w:ind w:left="-426"/>
                                      <w:jc w:val="center"/>
                                      <w:rPr>
                                        <w:rFonts w:ascii="Times New Roman" w:hAnsi="Times New Roman" w:cs="Times New Roman"/>
                                        <w:sz w:val="16"/>
                                        <w:szCs w:val="16"/>
                                        <w:lang w:val="en-US"/>
                                      </w:rPr>
                                    </w:pPr>
                                    <w:r w:rsidRPr="00A51D98">
                                      <w:rPr>
                                        <w:rFonts w:ascii="Times New Roman" w:hAnsi="Times New Roman" w:cs="Times New Roman"/>
                                        <w:b/>
                                        <w:sz w:val="16"/>
                                        <w:szCs w:val="16"/>
                                      </w:rPr>
                                      <w:t>М</w:t>
                                    </w:r>
                                  </w:p>
                                </w:txbxContent>
                              </v:textbox>
                            </v:shape>
                            <v:shape id="Поле 1516" o:spid="_x0000_s2112" type="#_x0000_t202" style="position:absolute;left:2;top:-438;width:2844;height:2584;rotation:-175392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" filled="f" stroked="f" strokeweight=".5pt">
                              <v:textbox>
                                <w:txbxContent>
                                  <w:p w:rsidR="00BE40F8" w:rsidRPr="00A51D98" w:rsidRDefault="00BE40F8" w:rsidP="00B233DE">
                                    <w:pPr>
                                      <w:ind w:firstLine="0"/>
                                      <w:jc w:val="center"/>
                                      <w:rPr>
                                        <w:rFonts w:ascii="Times New Roman" w:hAnsi="Times New Roman" w:cs="Times New Roman"/>
                                        <w:sz w:val="16"/>
                                        <w:szCs w:val="16"/>
                                      </w:rPr>
                                    </w:pPr>
                                    <w:r w:rsidRPr="00A51D98">
                                      <w:rPr>
                                        <w:rFonts w:ascii="Times New Roman" w:hAnsi="Times New Roman" w:cs="Times New Roman"/>
                                        <w:b/>
                                        <w:sz w:val="16"/>
                                        <w:szCs w:val="16"/>
                                      </w:rPr>
                                      <w:t>е</w:t>
                                    </w:r>
                                  </w:p>
                                </w:txbxContent>
                              </v:textbox>
                            </v:shape>
                            <v:shape id="Поле 1517" o:spid="_x0000_s2113" type="#_x0000_t202" style="position:absolute;left:1706;top:-1718;width:2845;height:2584;rotation:-131836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" filled="f" stroked="f" strokeweight=".5pt">
                              <v:textbox>
                                <w:txbxContent>
                                  <w:p w:rsidR="00BE40F8" w:rsidRPr="00A51D98" w:rsidRDefault="00BE40F8" w:rsidP="00B233DE">
                                    <w:pPr>
                                      <w:ind w:left="-426"/>
                                      <w:jc w:val="center"/>
                                      <w:rPr>
                                        <w:rFonts w:ascii="Times New Roman" w:hAnsi="Times New Roman" w:cs="Times New Roman"/>
                                        <w:sz w:val="16"/>
                                        <w:szCs w:val="16"/>
                                        <w:lang w:val="en-US"/>
                                      </w:rPr>
                                    </w:pPr>
                                    <w:r w:rsidRPr="00A51D98">
                                      <w:rPr>
                                        <w:rFonts w:ascii="Times New Roman" w:hAnsi="Times New Roman" w:cs="Times New Roman"/>
                                        <w:b/>
                                        <w:sz w:val="16"/>
                                        <w:szCs w:val="16"/>
                                      </w:rPr>
                                      <w:t>з</w:t>
                                    </w:r>
                                  </w:p>
                                </w:txbxContent>
                              </v:textbox>
                            </v:shape>
                            <v:shape id="Поле 1518" o:spid="_x0000_s2114" type="#_x0000_t202" style="position:absolute;left:3514;top:-2855;width:2845;height:2584;rotation:-74435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" filled="f" stroked="f" strokeweight=".5pt">
                              <v:textbox>
                                <w:txbxContent>
                                  <w:p w:rsidR="00BE40F8" w:rsidRPr="00A51D98" w:rsidRDefault="00BE40F8" w:rsidP="00B233DE">
                                    <w:pPr>
                                      <w:ind w:left="-426"/>
                                      <w:jc w:val="center"/>
                                      <w:rPr>
                                        <w:rFonts w:ascii="Times New Roman" w:hAnsi="Times New Roman" w:cs="Times New Roman"/>
                                        <w:sz w:val="16"/>
                                        <w:szCs w:val="16"/>
                                        <w:lang w:val="en-US"/>
                                      </w:rPr>
                                    </w:pPr>
                                    <w:r w:rsidRPr="00A51D98">
                                      <w:rPr>
                                        <w:rFonts w:ascii="Times New Roman" w:hAnsi="Times New Roman" w:cs="Times New Roman"/>
                                        <w:b/>
                                        <w:sz w:val="16"/>
                                        <w:szCs w:val="16"/>
                                      </w:rPr>
                                      <w:t>о</w:t>
                                    </w:r>
                                  </w:p>
                                </w:txbxContent>
                              </v:textbox>
                            </v:shape>
                            <v:shape id="Поле 1519" o:spid="_x0000_s2115" type="#_x0000_t202" style="position:absolute;left:5023;top:-3485;width:2845;height:2080;rotation:-17100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" filled="f" stroked="f" strokeweight=".5pt">
                              <v:textbox inset="0,0,0,0">
                                <w:txbxContent>
                                  <w:p w:rsidR="00BE40F8" w:rsidRPr="00E92AB5" w:rsidRDefault="00BE40F8" w:rsidP="00B233DE">
                                    <w:pPr>
                                      <w:ind w:firstLine="0"/>
                                      <w:jc w:val="center"/>
                                      <w:rPr>
                                        <w:rFonts w:ascii="Times New Roman" w:hAnsi="Times New Roman" w:cs="Times New Roman"/>
                                        <w:sz w:val="16"/>
                                        <w:szCs w:val="16"/>
                                        <w:lang w:val="en-US"/>
                                      </w:rPr>
                                    </w:pPr>
                                    <w:r w:rsidRPr="00E92AB5">
                                      <w:rPr>
                                        <w:rFonts w:ascii="Times New Roman" w:hAnsi="Times New Roman" w:cs="Times New Roman"/>
                                        <w:b/>
                                        <w:sz w:val="16"/>
                                        <w:szCs w:val="16"/>
                                      </w:rPr>
                                      <w:t>р</w:t>
                                    </w:r>
                                  </w:p>
                                  <w:p w:rsidR="00BE40F8" w:rsidRDefault="00BE40F8" w:rsidP="00B233DE"/>
                                </w:txbxContent>
                              </v:textbox>
                            </v:shape>
                            <v:shape id="Поле 1520" o:spid="_x0000_s2116" type="#_x0000_t202" style="position:absolute;left:6883;top:-4355;width:2845;height:2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" filled="f" stroked="f" strokeweight=".5pt">
                              <v:textbox inset="0,0,0,0">
                                <w:txbxContent>
                                  <w:p w:rsidR="00BE40F8" w:rsidRPr="00ED7DB1" w:rsidRDefault="00BE40F8" w:rsidP="00B233DE">
                                    <w:pPr>
                                      <w:ind w:firstLine="0"/>
                                      <w:jc w:val="center"/>
                                      <w:rPr>
                                        <w:rFonts w:ascii="Times New Roman" w:hAnsi="Times New Roman" w:cs="Times New Roman"/>
                                        <w:sz w:val="16"/>
                                        <w:szCs w:val="16"/>
                                        <w:lang w:val="en-US"/>
                                      </w:rPr>
                                    </w:pPr>
                                    <w:r w:rsidRPr="00ED7DB1">
                                      <w:rPr>
                                        <w:rFonts w:ascii="Times New Roman" w:hAnsi="Times New Roman" w:cs="Times New Roman"/>
                                        <w:b/>
                                        <w:sz w:val="16"/>
                                        <w:szCs w:val="16"/>
                                      </w:rPr>
                                      <w:t>і</w:t>
                                    </w:r>
                                  </w:p>
                                </w:txbxContent>
                              </v:textbox>
                            </v:shape>
                            <v:shape id="Поле 1521" o:spid="_x0000_s2117" type="#_x0000_t202" style="position:absolute;left:9232;top:-4281;width:2845;height:2585;rotation:66389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" filled="f" stroked="f" strokeweight=".5pt">
                              <v:textbox>
                                <w:txbxContent>
                                  <w:p w:rsidR="00BE40F8" w:rsidRPr="00A51D98" w:rsidRDefault="00BE40F8" w:rsidP="00B233DE">
                                    <w:pPr>
                                      <w:ind w:firstLine="0"/>
                                      <w:jc w:val="center"/>
                                      <w:rPr>
                                        <w:rFonts w:ascii="Times New Roman" w:hAnsi="Times New Roman" w:cs="Times New Roman"/>
                                        <w:sz w:val="16"/>
                                        <w:szCs w:val="16"/>
                                        <w:lang w:val="en-US"/>
                                      </w:rPr>
                                    </w:pPr>
                                    <w:r w:rsidRPr="00A51D98">
                                      <w:rPr>
                                        <w:rFonts w:ascii="Times New Roman" w:hAnsi="Times New Roman" w:cs="Times New Roman"/>
                                        <w:b/>
                                        <w:sz w:val="16"/>
                                        <w:szCs w:val="16"/>
                                      </w:rPr>
                                      <w:t>в</w:t>
                                    </w:r>
                                  </w:p>
                                </w:txbxContent>
                              </v:textbox>
                            </v:shape>
                            <v:shape id="Поле 1522" o:spid="_x0000_s2118" type="#_x0000_t202" style="position:absolute;left:11354;top:-3540;width:2844;height:2585;rotation:117440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" filled="f" stroked="f" strokeweight=".5pt">
                              <v:textbox>
                                <w:txbxContent>
                                  <w:p w:rsidR="00BE40F8" w:rsidRPr="00A51D98" w:rsidRDefault="00BE40F8" w:rsidP="00B233DE">
                                    <w:pPr>
                                      <w:ind w:firstLine="0"/>
                                      <w:jc w:val="center"/>
                                      <w:rPr>
                                        <w:rFonts w:ascii="Times New Roman" w:hAnsi="Times New Roman" w:cs="Times New Roman"/>
                                        <w:sz w:val="16"/>
                                        <w:szCs w:val="16"/>
                                        <w:lang w:val="en-US"/>
                                      </w:rPr>
                                    </w:pPr>
                                    <w:r w:rsidRPr="00A51D98">
                                      <w:rPr>
                                        <w:rFonts w:ascii="Times New Roman" w:hAnsi="Times New Roman" w:cs="Times New Roman"/>
                                        <w:b/>
                                        <w:sz w:val="16"/>
                                        <w:szCs w:val="16"/>
                                      </w:rPr>
                                      <w:t>е</w:t>
                                    </w:r>
                                  </w:p>
                                </w:txbxContent>
                              </v:textbox>
                            </v:shape>
                            <v:shape id="Поле 1523" o:spid="_x0000_s2119" type="#_x0000_t202" style="position:absolute;left:13561;top:-2661;width:2845;height:2584;rotation:176997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" filled="f" stroked="f" strokeweight=".5pt">
                              <v:textbox>
                                <w:txbxContent>
                                  <w:p w:rsidR="00BE40F8" w:rsidRPr="00A51D98" w:rsidRDefault="00BE40F8" w:rsidP="00B233DE">
                                    <w:pPr>
                                      <w:ind w:firstLine="0"/>
                                      <w:jc w:val="center"/>
                                      <w:rPr>
                                        <w:rFonts w:ascii="Times New Roman" w:hAnsi="Times New Roman" w:cs="Times New Roman"/>
                                        <w:sz w:val="16"/>
                                        <w:szCs w:val="16"/>
                                        <w:lang w:val="en-US"/>
                                      </w:rPr>
                                    </w:pPr>
                                    <w:r w:rsidRPr="00A51D98">
                                      <w:rPr>
                                        <w:rFonts w:ascii="Times New Roman" w:hAnsi="Times New Roman" w:cs="Times New Roman"/>
                                        <w:b/>
                                        <w:sz w:val="16"/>
                                        <w:szCs w:val="16"/>
                                      </w:rPr>
                                      <w:t>н</w:t>
                                    </w:r>
                                  </w:p>
                                </w:txbxContent>
                              </v:textbox>
                            </v:shape>
                            <v:shape id="Поле 1524" o:spid="_x0000_s2120" type="#_x0000_t202" style="position:absolute;left:15488;top:-595;width:2845;height:2319;rotation:272103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" filled="f" stroked="f" strokeweight=".5pt">
                              <v:textbox>
                                <w:txbxContent>
                                  <w:p w:rsidR="00BE40F8" w:rsidRPr="00A51D98" w:rsidRDefault="00BE40F8" w:rsidP="00B233DE">
                                    <w:pPr>
                                      <w:ind w:firstLine="0"/>
                                      <w:jc w:val="center"/>
                                      <w:rPr>
                                        <w:rFonts w:ascii="Times New Roman" w:hAnsi="Times New Roman" w:cs="Times New Roman"/>
                                        <w:sz w:val="16"/>
                                        <w:szCs w:val="16"/>
                                        <w:lang w:val="en-US"/>
                                      </w:rPr>
                                    </w:pPr>
                                    <w:r w:rsidRPr="00A51D98">
                                      <w:rPr>
                                        <w:rFonts w:ascii="Times New Roman" w:hAnsi="Times New Roman" w:cs="Times New Roman"/>
                                        <w:b/>
                                        <w:sz w:val="16"/>
                                        <w:szCs w:val="16"/>
                                      </w:rPr>
                                      <w:t>ь</w:t>
                                    </w:r>
                                  </w:p>
                                </w:txbxContent>
                              </v:textbox>
                            </v:shape>
                          </v:group>
                          <v:group id="Группа 1525" o:spid="_x0000_s2121" style="position:absolute;width:59182;height:59182" coordsize="59182,59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">
                            <v:shape id="Поле 1526" o:spid="_x0000_s2122" type="#_x0000_t202" style="position:absolute;left:22941;top:34601;width:7306;height:5372;rotation:462968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" filled="f" stroked="f" strokeweight=".5pt">
                              <v:path arrowok="t"/>
                              <v:textbox inset="0,0,0,0">
                                <w:txbxContent>
                                  <w:p w:rsidR="00BE40F8" w:rsidRPr="00240E4E" w:rsidRDefault="00BE40F8" w:rsidP="00B233DE">
                                    <w:pPr>
                                      <w:spacing w:line="168" w:lineRule="auto"/>
                                      <w:ind w:firstLine="0"/>
                                      <w:jc w:val="center"/>
                                      <w:rPr>
                                        <w:rFonts w:ascii="Times New Roman" w:hAnsi="Times New Roman" w:cs="Times New Roman"/>
                                        <w:sz w:val="15"/>
                                        <w:szCs w:val="15"/>
                                      </w:rPr>
                                    </w:pPr>
                                    <w:r w:rsidRPr="00240E4E">
                                      <w:rPr>
                                        <w:rFonts w:ascii="Times New Roman" w:hAnsi="Times New Roman" w:cs="Times New Roman"/>
                                        <w:sz w:val="15"/>
                                        <w:szCs w:val="15"/>
                                      </w:rPr>
                                      <w:t>Місцеві органи виконавчої влади</w:t>
                                    </w:r>
                                  </w:p>
                                </w:txbxContent>
                              </v:textbox>
                            </v:shape>
                            <v:shape id="Поле 97" o:spid="_x0000_s2123" type="#_x0000_t202" style="position:absolute;left:33365;top:12788;width:10575;height:4106;rotation:313087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" filled="f" stroked="f" strokeweight=".5pt">
                              <v:path arrowok="t"/>
                              <v:textbox inset="0,0,0,0">
                                <w:txbxContent>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Регіональні комерційні структури</w:t>
                                    </w:r>
                                  </w:p>
                                </w:txbxContent>
                              </v:textbox>
                            </v:shape>
                            <v:group id="Группа 1528" o:spid="_x0000_s2124" style="position:absolute;width:59182;height:59182" coordsize="59182,59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">
                              <v:shape id="Поле 99" o:spid="_x0000_s2125" type="#_x0000_t202" style="position:absolute;left:35081;top:8753;width:13623;height:4800;rotation:301578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" filled="f" stroked="f" strokeweight=".5pt">
                                <v:path arrowok="t"/>
                                <v:textbox inset="0,0,0,0">
                                  <w:txbxContent>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Загальнонаціональні комерційні структури</w:t>
                                      </w:r>
                                    </w:p>
                                    <w:p w:rsidR="00BE40F8" w:rsidRPr="005445F7" w:rsidRDefault="00BE40F8" w:rsidP="00B233DE">
                                      <w:pPr>
                                        <w:rPr>
                                          <w:rFonts w:ascii="Times New Roman" w:hAnsi="Times New Roman" w:cs="Times New Roman"/>
                                          <w:sz w:val="16"/>
                                          <w:szCs w:val="16"/>
                                        </w:rPr>
                                      </w:pPr>
                                    </w:p>
                                  </w:txbxContent>
                                </v:textbox>
                              </v:shape>
                              <v:group id="Группа 1530" o:spid="_x0000_s2126" style="position:absolute;width:59182;height:59182" coordsize="59182,59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">
                                <v:group id="Group 168" o:spid="_x0000_s2127" style="position:absolute;left:3746;top:7969;width:50711;height:43370" coordorigin="2373,5575" coordsize="7986,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">
                                  <v:oval id="Овал 16" o:spid="_x0000_s2128" style="position:absolute;left:3643;top:5575;width:5721;height:68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" filled="f" strokeweight="1pt">
                                    <v:path arrowok="t"/>
                                    <o:lock v:ext="edit" aspectratio="t"/>
                                  </v:oval>
                                  <v:oval id="Овал 17" o:spid="_x0000_s2129" style="position:absolute;left:4441;top:6299;width:4134;height:54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" filled="f" strokeweight="1pt">
                                    <v:path arrowok="t"/>
                                    <o:lock v:ext="edit" aspectratio="t"/>
                                  </v:oval>
                                  <v:line id="Прямая соединительная линия 23" o:spid="_x0000_s2130" style="position:absolute;visibility:visible;mso-wrap-style:square" from="6844,9288" to="10224,116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" strokeweight="1pt"/>
                                  <v:line id="Прямая соединительная линия 25" o:spid="_x0000_s2131" style="position:absolute;flip:x y;visibility:visible;mso-wrap-style:square" from="2373,6925" to="6143,86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" strokeweight="1pt"/>
                                  <v:line id="Прямая соединительная линия 27" o:spid="_x0000_s2132" style="position:absolute;flip:y;visibility:visible;mso-wrap-style:square" from="2581,9346" to="6143,114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" strokeweight="1pt"/>
                                  <v:group id="Группа 81" o:spid="_x0000_s2133" style="position:absolute;left:5241;top:8044;width:2429;height:629" coordorigin="971,820" coordsize="15464,4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">
                                    <v:shape id="Поле 82" o:spid="_x0000_s2134" type="#_x0000_t202" style="position:absolute;left:1638;top:2472;width:2163;height:3498;rotation:-455326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" filled="f" stroked="f" strokeweight=".5pt">
                                      <v:textbox>
                                        <w:txbxContent>
                                          <w:p w:rsidR="00BE40F8" w:rsidRPr="006363FE" w:rsidRDefault="00BE40F8" w:rsidP="00B233DE">
                                            <w:pPr>
                                              <w:jc w:val="center"/>
                                              <w:rPr>
                                                <w:rFonts w:ascii="Times New Roman" w:hAnsi="Times New Roman" w:cs="Times New Roman"/>
                                                <w:b/>
                                                <w:sz w:val="16"/>
                                                <w:szCs w:val="16"/>
                                              </w:rPr>
                                            </w:pPr>
                                            <w:r w:rsidRPr="006363FE">
                                              <w:rPr>
                                                <w:rFonts w:ascii="Times New Roman" w:hAnsi="Times New Roman" w:cs="Times New Roman"/>
                                                <w:b/>
                                                <w:sz w:val="16"/>
                                                <w:szCs w:val="16"/>
                                              </w:rPr>
                                              <w:t>Н</w:t>
                                            </w:r>
                                          </w:p>
                                        </w:txbxContent>
                                      </v:textbox>
                                    </v:shape>
                                    <v:shape id="Поле 83" o:spid="_x0000_s2135" type="#_x0000_t202" style="position:absolute;left:1922;top:1150;width:2164;height:3398;rotation:-385630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" filled="f" stroked="f" strokeweight=".5pt">
                                      <v:textbox>
                                        <w:txbxContent>
                                          <w:p w:rsidR="00BE40F8" w:rsidRPr="006363FE" w:rsidRDefault="00BE40F8" w:rsidP="00B233DE">
                                            <w:pPr>
                                              <w:jc w:val="center"/>
                                              <w:rPr>
                                                <w:rFonts w:ascii="Times New Roman" w:hAnsi="Times New Roman" w:cs="Times New Roman"/>
                                                <w:b/>
                                                <w:sz w:val="16"/>
                                                <w:szCs w:val="16"/>
                                              </w:rPr>
                                            </w:pPr>
                                            <w:r w:rsidRPr="006363FE">
                                              <w:rPr>
                                                <w:rFonts w:ascii="Times New Roman" w:hAnsi="Times New Roman" w:cs="Times New Roman"/>
                                                <w:b/>
                                                <w:sz w:val="16"/>
                                                <w:szCs w:val="16"/>
                                              </w:rPr>
                                              <w:t>а</w:t>
                                            </w:r>
                                          </w:p>
                                        </w:txbxContent>
                                      </v:textbox>
                                    </v:shape>
                                    <v:shape id="Поле 90" o:spid="_x0000_s2136" type="#_x0000_t202" style="position:absolute;left:13156;top:671;width:2164;height:2461;rotation:344180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" filled="f" stroked="f" strokeweight=".5pt">
                                      <v:textbox>
                                        <w:txbxContent>
                                          <w:p w:rsidR="00BE40F8" w:rsidRPr="006363FE" w:rsidRDefault="00BE40F8" w:rsidP="00B233DE">
                                            <w:pPr>
                                              <w:jc w:val="center"/>
                                              <w:rPr>
                                                <w:rFonts w:ascii="Times New Roman" w:hAnsi="Times New Roman" w:cs="Times New Roman"/>
                                                <w:sz w:val="16"/>
                                                <w:szCs w:val="16"/>
                                                <w:lang w:val="en-US"/>
                                              </w:rPr>
                                            </w:pPr>
                                            <w:r w:rsidRPr="006363FE">
                                              <w:rPr>
                                                <w:rFonts w:ascii="Times New Roman" w:hAnsi="Times New Roman" w:cs="Times New Roman"/>
                                                <w:b/>
                                                <w:sz w:val="16"/>
                                                <w:szCs w:val="16"/>
                                              </w:rPr>
                                              <w:t>н</w:t>
                                            </w:r>
                                          </w:p>
                                        </w:txbxContent>
                                      </v:textbox>
                                    </v:shape>
                                    <v:shape id="Поле 91" o:spid="_x0000_s2137" type="#_x0000_t202" style="position:absolute;left:14068;top:1851;width:2164;height:2570;rotation:3566122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" filled="f" stroked="f" strokeweight=".5pt">
                                      <v:textbox>
                                        <w:txbxContent>
                                          <w:p w:rsidR="00BE40F8" w:rsidRPr="006363FE" w:rsidRDefault="00BE40F8" w:rsidP="00B233DE">
                                            <w:pPr>
                                              <w:jc w:val="center"/>
                                              <w:rPr>
                                                <w:rFonts w:ascii="Times New Roman" w:hAnsi="Times New Roman" w:cs="Times New Roman"/>
                                                <w:sz w:val="16"/>
                                                <w:szCs w:val="16"/>
                                                <w:lang w:val="en-US"/>
                                              </w:rPr>
                                            </w:pPr>
                                            <w:r w:rsidRPr="006363FE">
                                              <w:rPr>
                                                <w:rFonts w:ascii="Times New Roman" w:hAnsi="Times New Roman" w:cs="Times New Roman"/>
                                                <w:b/>
                                                <w:sz w:val="16"/>
                                                <w:szCs w:val="16"/>
                                              </w:rPr>
                                              <w:t>ь</w:t>
                                            </w:r>
                                          </w:p>
                                        </w:txbxContent>
                                      </v:textbox>
                                    </v:shape>
                                  </v:group>
                                  <v:line id="Прямая соединительная линия 133" o:spid="_x0000_s2138" style="position:absolute;flip:y;visibility:visible;mso-wrap-style:square" from="6896,6502" to="10359,88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" strokeweight="1pt"/>
                                  <v:oval id="Овал 102" o:spid="_x0000_s2139" style="position:absolute;left:5988;top:8539;width:1059;height:9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" filled="f">
                                    <v:path arrowok="t"/>
                                    <o:lock v:ext="edit" aspectratio="t"/>
                                  </v:oval>
                                </v:group>
                                <v:group id="Group 167" o:spid="_x0000_s2140" style="position:absolute;width:59182;height:59182" coordorigin="1773,4321" coordsize="9320,9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">
                                  <v:oval id="Овал 15" o:spid="_x0000_s2141" style="position:absolute;left:2571;top:4878;width:7777;height:81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" filled="f" strokeweight="1pt">
                                    <v:path arrowok="t"/>
                                    <o:lock v:ext="edit" aspectratio="t"/>
                                  </v:oval>
                                  <v:line id="Прямая соединительная линия 26" o:spid="_x0000_s2142" style="position:absolute;flip:x;visibility:visible;mso-wrap-style:square" from="6433,9484" to="6470,136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" strokeweight="1pt"/>
                                  <v:group id="Group 166" o:spid="_x0000_s2143" style="position:absolute;left:1773;top:4321;width:9320;height:9320" coordorigin="1773,4321" coordsize="9320,9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">
                                    <v:oval id="Овал 13" o:spid="_x0000_s2144" style="position:absolute;left:1773;top:4321;width:9320;height:9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" filled="f" strokeweight="1pt">
                                      <v:path arrowok="t"/>
                                      <o:lock v:ext="edit" aspectratio="t"/>
                                    </v:oval>
                                    <v:shape id="Поле 19" o:spid="_x0000_s2145" type="#_x0000_t202" style="position:absolute;left:6085;top:8762;width:846;height:5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" filled="f" stroked="f" strokeweight=".5pt">
                                      <v:textbox inset="0,0,0,0">
                                        <w:txbxContent>
                                          <w:p w:rsidR="00BE40F8" w:rsidRPr="003B5B74" w:rsidRDefault="00BE40F8" w:rsidP="00B233DE">
                                            <w:pPr>
                                              <w:spacing w:line="192" w:lineRule="auto"/>
                                              <w:ind w:firstLine="0"/>
                                              <w:jc w:val="center"/>
                                              <w:rPr>
                                                <w:rFonts w:ascii="Times New Roman" w:hAnsi="Times New Roman" w:cs="Times New Roman"/>
                                                <w:sz w:val="12"/>
                                                <w:szCs w:val="12"/>
                                              </w:rPr>
                                            </w:pPr>
                                            <w:r w:rsidRPr="003B5B74">
                                              <w:rPr>
                                                <w:rFonts w:ascii="Times New Roman" w:hAnsi="Times New Roman" w:cs="Times New Roman"/>
                                                <w:sz w:val="12"/>
                                                <w:szCs w:val="12"/>
                                              </w:rPr>
                                              <w:t xml:space="preserve">Особа, </w:t>
                                            </w:r>
                                          </w:p>
                                          <w:p w:rsidR="00BE40F8" w:rsidRPr="003B5B74" w:rsidRDefault="00BE40F8" w:rsidP="00B233DE">
                                            <w:pPr>
                                              <w:ind w:firstLine="0"/>
                                              <w:jc w:val="center"/>
                                              <w:rPr>
                                                <w:rFonts w:ascii="Times New Roman" w:hAnsi="Times New Roman" w:cs="Times New Roman"/>
                                                <w:sz w:val="12"/>
                                                <w:szCs w:val="12"/>
                                              </w:rPr>
                                            </w:pPr>
                                            <w:r w:rsidRPr="003B5B74">
                                              <w:rPr>
                                                <w:rFonts w:ascii="Times New Roman" w:hAnsi="Times New Roman" w:cs="Times New Roman"/>
                                                <w:sz w:val="12"/>
                                                <w:szCs w:val="12"/>
                                              </w:rPr>
                                              <w:t xml:space="preserve">колектив </w:t>
                                            </w:r>
                                          </w:p>
                                          <w:p w:rsidR="00BE40F8" w:rsidRPr="003B5B74" w:rsidRDefault="00BE40F8" w:rsidP="00B233DE">
                                            <w:pPr>
                                              <w:ind w:firstLine="0"/>
                                              <w:jc w:val="center"/>
                                              <w:rPr>
                                                <w:rFonts w:ascii="Times New Roman" w:hAnsi="Times New Roman" w:cs="Times New Roman"/>
                                                <w:sz w:val="12"/>
                                                <w:szCs w:val="12"/>
                                              </w:rPr>
                                            </w:pPr>
                                            <w:r w:rsidRPr="003B5B74">
                                              <w:rPr>
                                                <w:rFonts w:ascii="Times New Roman" w:hAnsi="Times New Roman" w:cs="Times New Roman"/>
                                                <w:sz w:val="12"/>
                                                <w:szCs w:val="12"/>
                                              </w:rPr>
                                              <w:t>осіб</w:t>
                                            </w:r>
                                          </w:p>
                                        </w:txbxContent>
                                      </v:textbox>
                                    </v:shape>
                                    <v:line id="Прямая соединительная линия 24" o:spid="_x0000_s2146" style="position:absolute;flip:y;visibility:visible;mso-wrap-style:square" from="6470,4337" to="6470,85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" strokeweight="1pt"/>
                                    <v:shape id="Поле 32" o:spid="_x0000_s2147" type="#_x0000_t202" style="position:absolute;left:4964;top:8797;width:1371;height:591;rotation:-56663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" filled="f" stroked="f" strokeweight=".5pt">
                                      <v:textbox inset="0,0,0,0">
                                        <w:txbxContent>
                                          <w:p w:rsidR="00BE40F8" w:rsidRDefault="00BE40F8" w:rsidP="00B233DE">
                                            <w:pPr>
                                              <w:spacing w:line="168" w:lineRule="auto"/>
                                              <w:ind w:firstLine="0"/>
                                              <w:jc w:val="center"/>
                                              <w:rPr>
                                                <w:rFonts w:ascii="Times New Roman" w:hAnsi="Times New Roman" w:cs="Times New Roman"/>
                                                <w:sz w:val="14"/>
                                                <w:szCs w:val="14"/>
                                              </w:rPr>
                                            </w:pPr>
                                            <w:r w:rsidRPr="00D043E3">
                                              <w:rPr>
                                                <w:rFonts w:ascii="Times New Roman" w:hAnsi="Times New Roman" w:cs="Times New Roman"/>
                                                <w:sz w:val="14"/>
                                                <w:szCs w:val="14"/>
                                              </w:rPr>
                                              <w:t xml:space="preserve">Місцеві органи законодавчої </w:t>
                                            </w:r>
                                          </w:p>
                                          <w:p w:rsidR="00BE40F8" w:rsidRPr="00D043E3" w:rsidRDefault="00BE40F8" w:rsidP="00B233DE">
                                            <w:pPr>
                                              <w:spacing w:line="168" w:lineRule="auto"/>
                                              <w:ind w:firstLine="0"/>
                                              <w:jc w:val="center"/>
                                              <w:rPr>
                                                <w:rFonts w:ascii="Times New Roman" w:hAnsi="Times New Roman" w:cs="Times New Roman"/>
                                                <w:sz w:val="14"/>
                                                <w:szCs w:val="14"/>
                                              </w:rPr>
                                            </w:pPr>
                                            <w:r w:rsidRPr="00D043E3">
                                              <w:rPr>
                                                <w:rFonts w:ascii="Times New Roman" w:hAnsi="Times New Roman" w:cs="Times New Roman"/>
                                                <w:sz w:val="14"/>
                                                <w:szCs w:val="14"/>
                                              </w:rPr>
                                              <w:t>влади</w:t>
                                            </w:r>
                                          </w:p>
                                        </w:txbxContent>
                                      </v:textbox>
                                    </v:shape>
                                    <v:shape id="Поле 34" o:spid="_x0000_s2148" type="#_x0000_t202" style="position:absolute;left:6793;top:9685;width:572;height:1197;rotation:162649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" filled="f" stroked="f" strokeweight=".5pt">
                                      <v:textbox style="layout-flow:vertical;mso-layout-flow-alt:bottom-to-top" inset="0,0,0,0">
                                        <w:txbxContent>
                                          <w:p w:rsidR="00BE40F8" w:rsidRPr="005445F7" w:rsidRDefault="00BE40F8" w:rsidP="00B233DE">
                                            <w:pPr>
                                              <w:spacing w:line="226" w:lineRule="auto"/>
                                              <w:ind w:firstLine="0"/>
                                              <w:rPr>
                                                <w:rFonts w:ascii="Times New Roman" w:hAnsi="Times New Roman" w:cs="Times New Roman"/>
                                                <w:sz w:val="16"/>
                                                <w:szCs w:val="16"/>
                                              </w:rPr>
                                            </w:pPr>
                                            <w:r w:rsidRPr="005445F7">
                                              <w:rPr>
                                                <w:rFonts w:ascii="Times New Roman" w:hAnsi="Times New Roman" w:cs="Times New Roman"/>
                                                <w:sz w:val="16"/>
                                                <w:szCs w:val="16"/>
                                              </w:rPr>
                                              <w:t>Місцеві органи судової влади</w:t>
                                            </w:r>
                                          </w:p>
                                        </w:txbxContent>
                                      </v:textbox>
                                    </v:shape>
                                    <v:shape id="Поле 35" o:spid="_x0000_s2149" type="#_x0000_t202" style="position:absolute;left:5285;top:7459;width:1287;height:925;rotation:-410304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" filled="f" stroked="f" strokeweight=".5pt">
                                      <v:textbox inset="0,0,0,0">
                                        <w:txbxContent>
                                          <w:p w:rsidR="00BE40F8" w:rsidRPr="001F5EDA" w:rsidRDefault="00BE40F8" w:rsidP="00B233DE">
                                            <w:pPr>
                                              <w:spacing w:line="168" w:lineRule="auto"/>
                                              <w:ind w:firstLine="0"/>
                                              <w:jc w:val="center"/>
                                              <w:rPr>
                                                <w:rFonts w:ascii="Times New Roman" w:hAnsi="Times New Roman" w:cs="Times New Roman"/>
                                                <w:sz w:val="16"/>
                                                <w:szCs w:val="16"/>
                                              </w:rPr>
                                            </w:pPr>
                                            <w:r w:rsidRPr="001F5EDA">
                                              <w:rPr>
                                                <w:rFonts w:ascii="Times New Roman" w:hAnsi="Times New Roman" w:cs="Times New Roman"/>
                                                <w:sz w:val="16"/>
                                                <w:szCs w:val="16"/>
                                              </w:rPr>
                                              <w:t xml:space="preserve">Місцеві </w:t>
                                            </w:r>
                                          </w:p>
                                          <w:p w:rsidR="00BE40F8" w:rsidRPr="001F5EDA" w:rsidRDefault="00BE40F8" w:rsidP="00B233DE">
                                            <w:pPr>
                                              <w:spacing w:line="168" w:lineRule="auto"/>
                                              <w:ind w:firstLine="0"/>
                                              <w:jc w:val="center"/>
                                              <w:rPr>
                                                <w:rFonts w:ascii="Times New Roman" w:hAnsi="Times New Roman" w:cs="Times New Roman"/>
                                                <w:sz w:val="16"/>
                                                <w:szCs w:val="16"/>
                                              </w:rPr>
                                            </w:pPr>
                                            <w:r w:rsidRPr="001F5EDA">
                                              <w:rPr>
                                                <w:rFonts w:ascii="Times New Roman" w:hAnsi="Times New Roman" w:cs="Times New Roman"/>
                                                <w:sz w:val="16"/>
                                                <w:szCs w:val="16"/>
                                              </w:rPr>
                                              <w:t xml:space="preserve">некомерційні </w:t>
                                            </w:r>
                                          </w:p>
                                          <w:p w:rsidR="00BE40F8" w:rsidRPr="001F5EDA" w:rsidRDefault="00BE40F8" w:rsidP="00B233DE">
                                            <w:pPr>
                                              <w:spacing w:line="168" w:lineRule="auto"/>
                                              <w:ind w:firstLine="0"/>
                                              <w:jc w:val="center"/>
                                              <w:rPr>
                                                <w:rFonts w:ascii="Times New Roman" w:hAnsi="Times New Roman" w:cs="Times New Roman"/>
                                                <w:sz w:val="16"/>
                                                <w:szCs w:val="16"/>
                                              </w:rPr>
                                            </w:pPr>
                                            <w:r w:rsidRPr="001F5EDA">
                                              <w:rPr>
                                                <w:rFonts w:ascii="Times New Roman" w:hAnsi="Times New Roman" w:cs="Times New Roman"/>
                                                <w:sz w:val="16"/>
                                                <w:szCs w:val="16"/>
                                              </w:rPr>
                                              <w:t>структури</w:t>
                                            </w:r>
                                          </w:p>
                                        </w:txbxContent>
                                      </v:textbox>
                                    </v:shape>
                                    <v:shape id="Поле 36" o:spid="_x0000_s2150" type="#_x0000_t202" style="position:absolute;left:6303;top:7523;width:1262;height:742;rotation:485284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" filled="f" stroked="f" strokeweight=".5pt">
                                      <v:textbox inset="0,0,0,0">
                                        <w:txbxContent>
                                          <w:p w:rsidR="00BE40F8" w:rsidRPr="00D043E3" w:rsidRDefault="00BE40F8" w:rsidP="00B233DE">
                                            <w:pPr>
                                              <w:spacing w:line="168" w:lineRule="auto"/>
                                              <w:ind w:firstLine="0"/>
                                              <w:jc w:val="center"/>
                                              <w:rPr>
                                                <w:rFonts w:ascii="Times New Roman" w:hAnsi="Times New Roman" w:cs="Times New Roman"/>
                                                <w:sz w:val="14"/>
                                                <w:szCs w:val="14"/>
                                              </w:rPr>
                                            </w:pPr>
                                            <w:r w:rsidRPr="00D043E3">
                                              <w:rPr>
                                                <w:rFonts w:ascii="Times New Roman" w:hAnsi="Times New Roman" w:cs="Times New Roman"/>
                                                <w:sz w:val="14"/>
                                                <w:szCs w:val="14"/>
                                              </w:rPr>
                                              <w:t>Місцеві комерційні структури</w:t>
                                            </w:r>
                                          </w:p>
                                        </w:txbxContent>
                                      </v:textbox>
                                    </v:shape>
                                    <v:shape id="Поле 37" o:spid="_x0000_s2151" type="#_x0000_t202" style="position:absolute;left:4318;top:11152;width:1845;height:925;rotation:317325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" filled="f" stroked="f" strokeweight=".5pt">
                                      <v:textbox inset="0,0,0,0">
                                        <w:txbxContent>
                                          <w:p w:rsidR="00BE40F8" w:rsidRDefault="00BE40F8" w:rsidP="00B233DE">
                                            <w:pPr>
                                              <w:ind w:firstLine="0"/>
                                              <w:jc w:val="center"/>
                                              <w:rPr>
                                                <w:sz w:val="16"/>
                                                <w:szCs w:val="16"/>
                                              </w:rPr>
                                            </w:pPr>
                                            <w:r w:rsidRPr="005445F7">
                                              <w:rPr>
                                                <w:rFonts w:ascii="Times New Roman" w:hAnsi="Times New Roman" w:cs="Times New Roman"/>
                                                <w:sz w:val="16"/>
                                                <w:szCs w:val="16"/>
                                              </w:rPr>
                                              <w:t xml:space="preserve">Регіональні органи </w:t>
                                            </w:r>
                                          </w:p>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виконавчої влади</w:t>
                                            </w:r>
                                          </w:p>
                                        </w:txbxContent>
                                      </v:textbox>
                                    </v:shape>
                                    <v:shape id="Поле 38" o:spid="_x0000_s2152" type="#_x0000_t202" style="position:absolute;left:6532;top:11314;width:2176;height:620;rotation:-225879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" filled="f" stroked="f" strokeweight=".5pt">
                                      <v:textbox inset="0,0,0,0">
                                        <w:txbxContent>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Регіональні органи судової влади</w:t>
                                            </w:r>
                                          </w:p>
                                        </w:txbxContent>
                                      </v:textbox>
                                    </v:shape>
                                    <v:group id="Группа 58" o:spid="_x0000_s2153" style="position:absolute;left:4286;top:4321;width:4678;height:958" coordorigin="1255,-719" coordsize="16217,6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">
                                      <v:shape id="Поле 59" o:spid="_x0000_s2154" type="#_x0000_t202" style="position:absolute;left:1255;top:2141;width:1491;height:2585;rotation:-203896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" filled="f" stroked="f" strokeweight=".5pt">
                                        <v:textbox inset="0,0,0,0">
                                          <w:txbxContent>
                                            <w:p w:rsidR="00BE40F8" w:rsidRPr="006363FE" w:rsidRDefault="00BE40F8" w:rsidP="00B233DE">
                                              <w:pPr>
                                                <w:ind w:right="-28" w:firstLine="0"/>
                                                <w:jc w:val="center"/>
                                                <w:rPr>
                                                  <w:rFonts w:ascii="Times New Roman" w:hAnsi="Times New Roman" w:cs="Times New Roman"/>
                                                  <w:sz w:val="16"/>
                                                  <w:szCs w:val="16"/>
                                                  <w:lang w:val="en-US"/>
                                                </w:rPr>
                                              </w:pPr>
                                              <w:r w:rsidRPr="006363FE">
                                                <w:rPr>
                                                  <w:rFonts w:ascii="Times New Roman" w:hAnsi="Times New Roman" w:cs="Times New Roman"/>
                                                  <w:b/>
                                                  <w:sz w:val="16"/>
                                                  <w:szCs w:val="16"/>
                                                </w:rPr>
                                                <w:t>М</w:t>
                                              </w:r>
                                            </w:p>
                                          </w:txbxContent>
                                        </v:textbox>
                                      </v:shape>
                                      <v:shape id="Поле 60" o:spid="_x0000_s2155" type="#_x0000_t202" style="position:absolute;left:2163;top:1176;width:1828;height:2584;rotation:-142481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" filled="f" stroked="f" strokeweight=".5pt">
                                        <v:textbox inset="0,0,0,0">
                                          <w:txbxContent>
                                            <w:p w:rsidR="00BE40F8" w:rsidRPr="006363FE" w:rsidRDefault="00BE40F8" w:rsidP="00B233DE">
                                              <w:pPr>
                                                <w:ind w:firstLine="0"/>
                                                <w:jc w:val="center"/>
                                                <w:rPr>
                                                  <w:rFonts w:ascii="Times New Roman" w:hAnsi="Times New Roman" w:cs="Times New Roman"/>
                                                  <w:sz w:val="16"/>
                                                  <w:szCs w:val="16"/>
                                                </w:rPr>
                                              </w:pPr>
                                              <w:r w:rsidRPr="006363FE">
                                                <w:rPr>
                                                  <w:rFonts w:ascii="Times New Roman" w:hAnsi="Times New Roman" w:cs="Times New Roman"/>
                                                  <w:b/>
                                                  <w:sz w:val="16"/>
                                                  <w:szCs w:val="16"/>
                                                </w:rPr>
                                                <w:t>е</w:t>
                                              </w:r>
                                            </w:p>
                                          </w:txbxContent>
                                        </v:textbox>
                                      </v:shape>
                                      <v:shape id="Поле 61" o:spid="_x0000_s2156" type="#_x0000_t202" style="position:absolute;left:3659;top:358;width:1546;height:2584;rotation:-103558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" filled="f" stroked="f" strokeweight=".5pt">
                                        <v:textbox inset="0,0,0,0">
                                          <w:txbxContent>
                                            <w:p w:rsidR="00BE40F8" w:rsidRPr="006363FE" w:rsidRDefault="00BE40F8" w:rsidP="00B233DE">
                                              <w:pPr>
                                                <w:ind w:right="-17" w:firstLine="0"/>
                                                <w:jc w:val="center"/>
                                                <w:rPr>
                                                  <w:rFonts w:ascii="Times New Roman" w:hAnsi="Times New Roman" w:cs="Times New Roman"/>
                                                  <w:sz w:val="16"/>
                                                  <w:szCs w:val="16"/>
                                                  <w:lang w:val="en-US"/>
                                                </w:rPr>
                                              </w:pPr>
                                              <w:r w:rsidRPr="006363FE">
                                                <w:rPr>
                                                  <w:rFonts w:ascii="Times New Roman" w:hAnsi="Times New Roman" w:cs="Times New Roman"/>
                                                  <w:b/>
                                                  <w:sz w:val="16"/>
                                                  <w:szCs w:val="16"/>
                                                </w:rPr>
                                                <w:t>г</w:t>
                                              </w:r>
                                            </w:p>
                                          </w:txbxContent>
                                        </v:textbox>
                                      </v:shape>
                                      <v:shape id="Поле 62" o:spid="_x0000_s2157" type="#_x0000_t202" style="position:absolute;left:5298;top:-317;width:1893;height:2584;rotation:-61677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" filled="f" stroked="f" strokeweight=".5pt">
                                        <v:textbox>
                                          <w:txbxContent>
                                            <w:p w:rsidR="00BE40F8" w:rsidRPr="006363FE" w:rsidRDefault="00BE40F8" w:rsidP="00B233DE">
                                              <w:pPr>
                                                <w:ind w:firstLine="0"/>
                                                <w:jc w:val="center"/>
                                                <w:rPr>
                                                  <w:rFonts w:ascii="Times New Roman" w:hAnsi="Times New Roman" w:cs="Times New Roman"/>
                                                  <w:b/>
                                                  <w:sz w:val="16"/>
                                                  <w:szCs w:val="16"/>
                                                </w:rPr>
                                              </w:pPr>
                                              <w:r w:rsidRPr="006363FE">
                                                <w:rPr>
                                                  <w:rFonts w:ascii="Times New Roman" w:hAnsi="Times New Roman" w:cs="Times New Roman"/>
                                                  <w:b/>
                                                  <w:sz w:val="16"/>
                                                  <w:szCs w:val="16"/>
                                                </w:rPr>
                                                <w:t>а</w:t>
                                              </w:r>
                                            </w:p>
                                          </w:txbxContent>
                                        </v:textbox>
                                      </v:shape>
                                      <v:shape id="Поле 63" o:spid="_x0000_s2158" type="#_x0000_t202" style="position:absolute;left:6577;top:-719;width:2845;height:3193;rotation:-28347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" filled="f" stroked="f" strokeweight=".5pt">
                                        <v:textbox>
                                          <w:txbxContent>
                                            <w:p w:rsidR="00BE40F8" w:rsidRPr="006363FE" w:rsidRDefault="00BE40F8" w:rsidP="00B233DE">
                                              <w:pPr>
                                                <w:ind w:right="-57" w:firstLine="0"/>
                                                <w:jc w:val="center"/>
                                                <w:rPr>
                                                  <w:rFonts w:ascii="Times New Roman" w:hAnsi="Times New Roman" w:cs="Times New Roman"/>
                                                  <w:sz w:val="16"/>
                                                  <w:szCs w:val="16"/>
                                                  <w:lang w:val="en-US"/>
                                                </w:rPr>
                                              </w:pPr>
                                              <w:r w:rsidRPr="006363FE">
                                                <w:rPr>
                                                  <w:rFonts w:ascii="Times New Roman" w:hAnsi="Times New Roman" w:cs="Times New Roman"/>
                                                  <w:b/>
                                                  <w:sz w:val="16"/>
                                                  <w:szCs w:val="16"/>
                                                </w:rPr>
                                                <w:t>р</w:t>
                                              </w:r>
                                            </w:p>
                                          </w:txbxContent>
                                        </v:textbox>
                                      </v:shape>
                                      <v:shape id="Поле 64" o:spid="_x0000_s2159" type="#_x0000_t202" style="position:absolute;left:8205;top:-464;width:2844;height:2584;rotation:25633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" filled="f" stroked="f" strokeweight=".5pt">
                                        <v:textbox>
                                          <w:txbxContent>
                                            <w:p w:rsidR="00BE40F8" w:rsidRPr="006363FE" w:rsidRDefault="00BE40F8" w:rsidP="00B233DE">
                                              <w:pPr>
                                                <w:ind w:right="-57" w:firstLine="0"/>
                                                <w:jc w:val="center"/>
                                                <w:rPr>
                                                  <w:rFonts w:ascii="Times New Roman" w:hAnsi="Times New Roman" w:cs="Times New Roman"/>
                                                  <w:sz w:val="16"/>
                                                  <w:szCs w:val="16"/>
                                                  <w:lang w:val="en-US"/>
                                                </w:rPr>
                                              </w:pPr>
                                              <w:r w:rsidRPr="006363FE">
                                                <w:rPr>
                                                  <w:rFonts w:ascii="Times New Roman" w:hAnsi="Times New Roman" w:cs="Times New Roman"/>
                                                  <w:b/>
                                                  <w:sz w:val="16"/>
                                                  <w:szCs w:val="16"/>
                                                </w:rPr>
                                                <w:t>і</w:t>
                                              </w:r>
                                            </w:p>
                                          </w:txbxContent>
                                        </v:textbox>
                                      </v:shape>
                                      <v:shape id="Поле 65" o:spid="_x0000_s2160" type="#_x0000_t202" style="position:absolute;left:9927;top:-46;width:2845;height:2237;rotation:66389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" filled="f" stroked="f" strokeweight=".5pt">
                                        <v:textbox>
                                          <w:txbxContent>
                                            <w:p w:rsidR="00BE40F8" w:rsidRPr="006363FE" w:rsidRDefault="00BE40F8" w:rsidP="00B233DE">
                                              <w:pPr>
                                                <w:ind w:firstLine="0"/>
                                                <w:jc w:val="center"/>
                                                <w:rPr>
                                                  <w:rFonts w:ascii="Times New Roman" w:hAnsi="Times New Roman" w:cs="Times New Roman"/>
                                                  <w:sz w:val="16"/>
                                                  <w:szCs w:val="16"/>
                                                  <w:lang w:val="en-US"/>
                                                </w:rPr>
                                              </w:pPr>
                                              <w:r w:rsidRPr="006363FE">
                                                <w:rPr>
                                                  <w:rFonts w:ascii="Times New Roman" w:hAnsi="Times New Roman" w:cs="Times New Roman"/>
                                                  <w:b/>
                                                  <w:sz w:val="16"/>
                                                  <w:szCs w:val="16"/>
                                                </w:rPr>
                                                <w:t>в</w:t>
                                              </w:r>
                                            </w:p>
                                          </w:txbxContent>
                                        </v:textbox>
                                      </v:shape>
                                      <v:shape id="Поле 66" o:spid="_x0000_s2161" type="#_x0000_t202" style="position:absolute;left:11616;top:634;width:2845;height:2585;rotation:110890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" filled="f" stroked="f" strokeweight=".5pt">
                                        <v:textbox>
                                          <w:txbxContent>
                                            <w:p w:rsidR="00BE40F8" w:rsidRPr="006363FE" w:rsidRDefault="00BE40F8" w:rsidP="00B233DE">
                                              <w:pPr>
                                                <w:ind w:right="-68" w:firstLine="0"/>
                                                <w:jc w:val="center"/>
                                                <w:rPr>
                                                  <w:rFonts w:ascii="Times New Roman" w:hAnsi="Times New Roman" w:cs="Times New Roman"/>
                                                  <w:sz w:val="16"/>
                                                  <w:szCs w:val="16"/>
                                                  <w:lang w:val="en-US"/>
                                                </w:rPr>
                                              </w:pPr>
                                              <w:r w:rsidRPr="006363FE">
                                                <w:rPr>
                                                  <w:rFonts w:ascii="Times New Roman" w:hAnsi="Times New Roman" w:cs="Times New Roman"/>
                                                  <w:b/>
                                                  <w:sz w:val="16"/>
                                                  <w:szCs w:val="16"/>
                                                </w:rPr>
                                                <w:t>е</w:t>
                                              </w:r>
                                            </w:p>
                                          </w:txbxContent>
                                        </v:textbox>
                                      </v:shape>
                                      <v:shape id="Поле 67" o:spid="_x0000_s2162" type="#_x0000_t202" style="position:absolute;left:13241;top:1546;width:2844;height:2584;rotation:148346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" filled="f" stroked="f" strokeweight=".5pt">
                                        <v:textbox>
                                          <w:txbxContent>
                                            <w:p w:rsidR="00BE40F8" w:rsidRPr="006363FE" w:rsidRDefault="00BE40F8" w:rsidP="00B233DE">
                                              <w:pPr>
                                                <w:ind w:firstLine="0"/>
                                                <w:jc w:val="center"/>
                                                <w:rPr>
                                                  <w:rFonts w:ascii="Times New Roman" w:hAnsi="Times New Roman" w:cs="Times New Roman"/>
                                                  <w:sz w:val="16"/>
                                                  <w:szCs w:val="16"/>
                                                  <w:lang w:val="en-US"/>
                                                </w:rPr>
                                              </w:pPr>
                                              <w:r w:rsidRPr="006363FE">
                                                <w:rPr>
                                                  <w:rFonts w:ascii="Times New Roman" w:hAnsi="Times New Roman" w:cs="Times New Roman"/>
                                                  <w:b/>
                                                  <w:sz w:val="16"/>
                                                  <w:szCs w:val="16"/>
                                                </w:rPr>
                                                <w:t>н</w:t>
                                              </w:r>
                                            </w:p>
                                          </w:txbxContent>
                                        </v:textbox>
                                      </v:shape>
                                      <v:shape id="Поле 68" o:spid="_x0000_s2163" type="#_x0000_t202" style="position:absolute;left:14627;top:2787;width:2845;height:2584;rotation:186370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" filled="f" stroked="f" strokeweight=".5pt">
                                        <v:textbox>
                                          <w:txbxContent>
                                            <w:p w:rsidR="00BE40F8" w:rsidRPr="006363FE" w:rsidRDefault="00BE40F8" w:rsidP="00B233DE">
                                              <w:pPr>
                                                <w:ind w:firstLine="0"/>
                                                <w:jc w:val="center"/>
                                                <w:rPr>
                                                  <w:rFonts w:ascii="Times New Roman" w:hAnsi="Times New Roman" w:cs="Times New Roman"/>
                                                  <w:sz w:val="16"/>
                                                  <w:szCs w:val="16"/>
                                                  <w:lang w:val="en-US"/>
                                                </w:rPr>
                                              </w:pPr>
                                              <w:r w:rsidRPr="006363FE">
                                                <w:rPr>
                                                  <w:rFonts w:ascii="Times New Roman" w:hAnsi="Times New Roman" w:cs="Times New Roman"/>
                                                  <w:b/>
                                                  <w:sz w:val="16"/>
                                                  <w:szCs w:val="16"/>
                                                </w:rPr>
                                                <w:t>ь</w:t>
                                              </w:r>
                                            </w:p>
                                          </w:txbxContent>
                                        </v:textbox>
                                      </v:shape>
                                    </v:group>
                                    <v:shape id="Поле 92" o:spid="_x0000_s2164" type="#_x0000_t202" style="position:absolute;left:2971;top:8926;width:2258;height:62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" filled="f" stroked="f" strokeweight=".5pt">
                                      <v:textbox inset="0,0,0,0">
                                        <w:txbxContent>
                                          <w:p w:rsidR="00BE40F8" w:rsidRDefault="00BE40F8" w:rsidP="00B233DE">
                                            <w:pPr>
                                              <w:ind w:firstLine="0"/>
                                              <w:jc w:val="center"/>
                                              <w:rPr>
                                                <w:sz w:val="16"/>
                                                <w:szCs w:val="16"/>
                                              </w:rPr>
                                            </w:pPr>
                                            <w:r w:rsidRPr="005445F7">
                                              <w:rPr>
                                                <w:rFonts w:ascii="Times New Roman" w:hAnsi="Times New Roman" w:cs="Times New Roman"/>
                                                <w:sz w:val="16"/>
                                                <w:szCs w:val="16"/>
                                              </w:rPr>
                                              <w:t xml:space="preserve">Регіональні органи </w:t>
                                            </w:r>
                                          </w:p>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законодавчої влади</w:t>
                                            </w:r>
                                          </w:p>
                                        </w:txbxContent>
                                      </v:textbox>
                                    </v:shape>
                                    <v:shape id="Поле 93" o:spid="_x0000_s2165" type="#_x0000_t202" style="position:absolute;left:1332;top:8859;width:3869;height:62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" filled="f" stroked="f" strokeweight=".5pt">
                                      <v:textbox inset="0,0,0,0">
                                        <w:txbxContent>
                                          <w:p w:rsidR="00BE40F8" w:rsidRPr="005445F7" w:rsidRDefault="00BE40F8" w:rsidP="00B233DE">
                                            <w:pPr>
                                              <w:jc w:val="center"/>
                                              <w:rPr>
                                                <w:rFonts w:ascii="Times New Roman" w:hAnsi="Times New Roman" w:cs="Times New Roman"/>
                                                <w:sz w:val="16"/>
                                                <w:szCs w:val="16"/>
                                              </w:rPr>
                                            </w:pPr>
                                            <w:r w:rsidRPr="005445F7">
                                              <w:rPr>
                                                <w:rFonts w:ascii="Times New Roman" w:hAnsi="Times New Roman" w:cs="Times New Roman"/>
                                                <w:sz w:val="16"/>
                                                <w:szCs w:val="16"/>
                                              </w:rPr>
                                              <w:t xml:space="preserve">Загальнодержавні органи </w:t>
                                            </w:r>
                                          </w:p>
                                          <w:p w:rsidR="00BE40F8" w:rsidRPr="005445F7" w:rsidRDefault="00BE40F8" w:rsidP="00B233DE">
                                            <w:pPr>
                                              <w:jc w:val="center"/>
                                              <w:rPr>
                                                <w:rFonts w:ascii="Times New Roman" w:hAnsi="Times New Roman" w:cs="Times New Roman"/>
                                                <w:sz w:val="16"/>
                                                <w:szCs w:val="16"/>
                                              </w:rPr>
                                            </w:pPr>
                                            <w:r w:rsidRPr="005445F7">
                                              <w:rPr>
                                                <w:rFonts w:ascii="Times New Roman" w:hAnsi="Times New Roman" w:cs="Times New Roman"/>
                                                <w:sz w:val="16"/>
                                                <w:szCs w:val="16"/>
                                              </w:rPr>
                                              <w:t>законодавчої влади</w:t>
                                            </w:r>
                                          </w:p>
                                        </w:txbxContent>
                                      </v:textbox>
                                    </v:shape>
                                    <v:shape id="Поле 94" o:spid="_x0000_s2166" type="#_x0000_t202" style="position:absolute;left:3671;top:11745;width:2376;height:837;rotation:29697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" filled="f" stroked="f" strokeweight=".5pt">
                                      <v:textbox inset="0,0,0,0">
                                        <w:txbxContent>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 xml:space="preserve">Загальнодержавні органи </w:t>
                                            </w:r>
                                          </w:p>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виконавчої влади</w:t>
                                            </w:r>
                                          </w:p>
                                        </w:txbxContent>
                                      </v:textbox>
                                    </v:shape>
                                    <v:shape id="Поле 95" o:spid="_x0000_s2167" type="#_x0000_t202" style="position:absolute;left:7228;top:11510;width:2250;height:925;rotation:-33081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" filled="f" stroked="f" strokeweight=".5pt">
                                      <v:textbox inset="0,0,0,0">
                                        <w:txbxContent>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 xml:space="preserve">Загальнодержавні органи </w:t>
                                            </w:r>
                                          </w:p>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судової влади</w:t>
                                            </w:r>
                                          </w:p>
                                        </w:txbxContent>
                                      </v:textbox>
                                    </v:shape>
                                    <v:shape id="Поле 96" o:spid="_x0000_s2168" type="#_x0000_t202" style="position:absolute;left:3760;top:6806;width:1827;height:555;rotation:-41186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" filled="f" stroked="f" strokeweight=".5pt">
                                      <v:textbox inset="0,0,0,0">
                                        <w:txbxContent>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Регіональні некомерційні структури</w:t>
                                            </w:r>
                                          </w:p>
                                        </w:txbxContent>
                                      </v:textbox>
                                    </v:shape>
                                    <v:shape id="Поле 98" o:spid="_x0000_s2169" type="#_x0000_t202" style="position:absolute;left:3020;top:6211;width:2009;height:704;rotation:-344758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" filled="f" stroked="f" strokeweight=".5pt">
                                      <v:textbox inset="0,0,0,0">
                                        <w:txbxContent>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Загальнонаціональні некомерційні структури</w:t>
                                            </w:r>
                                          </w:p>
                                          <w:p w:rsidR="00BE40F8" w:rsidRPr="005445F7" w:rsidRDefault="00BE40F8" w:rsidP="00B233DE">
                                            <w:pPr>
                                              <w:ind w:firstLine="0"/>
                                              <w:rPr>
                                                <w:rFonts w:ascii="Times New Roman" w:hAnsi="Times New Roman" w:cs="Times New Roman"/>
                                                <w:sz w:val="16"/>
                                                <w:szCs w:val="16"/>
                                              </w:rPr>
                                            </w:pPr>
                                          </w:p>
                                        </w:txbxContent>
                                      </v:textbox>
                                    </v:shape>
                                    <v:shape id="_x0000_s2170" type="#_x0000_t202" style="position:absolute;left:2409;top:5563;width:2860;height:662;rotation:-302921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" filled="f" stroked="f" strokeweight=".5pt">
                                      <v:textbox inset="0,0,0,0">
                                        <w:txbxContent>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Міжнародні некомерційні структури</w:t>
                                            </w:r>
                                          </w:p>
                                          <w:p w:rsidR="00BE40F8" w:rsidRPr="005445F7" w:rsidRDefault="00BE40F8" w:rsidP="00B233DE">
                                            <w:pPr>
                                              <w:rPr>
                                                <w:rFonts w:ascii="Times New Roman" w:hAnsi="Times New Roman" w:cs="Times New Roman"/>
                                                <w:sz w:val="16"/>
                                                <w:szCs w:val="16"/>
                                              </w:rPr>
                                            </w:pPr>
                                          </w:p>
                                        </w:txbxContent>
                                      </v:textbox>
                                    </v:shape>
                                    <v:shape id="Поле 101" o:spid="_x0000_s2171" type="#_x0000_t202" style="position:absolute;left:6690;top:5420;width:4077;height:402;rotation:27071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" filled="f" stroked="f" strokeweight=".5pt">
                                      <v:textbox inset="0,0,0,0">
                                        <w:txbxContent>
                                          <w:p w:rsidR="00BE40F8" w:rsidRPr="005445F7" w:rsidRDefault="00BE40F8" w:rsidP="00B233DE">
                                            <w:pPr>
                                              <w:ind w:firstLine="0"/>
                                              <w:jc w:val="center"/>
                                              <w:rPr>
                                                <w:rFonts w:ascii="Times New Roman" w:hAnsi="Times New Roman" w:cs="Times New Roman"/>
                                                <w:sz w:val="16"/>
                                                <w:szCs w:val="16"/>
                                              </w:rPr>
                                            </w:pPr>
                                            <w:r w:rsidRPr="005445F7">
                                              <w:rPr>
                                                <w:rFonts w:ascii="Times New Roman" w:hAnsi="Times New Roman" w:cs="Times New Roman"/>
                                                <w:sz w:val="16"/>
                                                <w:szCs w:val="16"/>
                                              </w:rPr>
                                              <w:t>Міжнародні комерційні структури</w:t>
                                            </w:r>
                                          </w:p>
                                          <w:p w:rsidR="00BE40F8" w:rsidRPr="005445F7" w:rsidRDefault="00BE40F8" w:rsidP="00B233DE">
                                            <w:pPr>
                                              <w:rPr>
                                                <w:rFonts w:ascii="Times New Roman" w:hAnsi="Times New Roman" w:cs="Times New Roman"/>
                                                <w:sz w:val="16"/>
                                                <w:szCs w:val="16"/>
                                              </w:rPr>
                                            </w:pPr>
                                          </w:p>
                                        </w:txbxContent>
                                      </v:textbox>
                                    </v:shape>
                                    <v:shape id="Поле 134" o:spid="_x0000_s2172" type="#_x0000_t202" style="position:absolute;left:6755;top:8771;width:1197;height:497;rotation:-551477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" filled="f" stroked="f" strokeweight=".5pt">
                                      <v:textbox inset="0,0,0,0">
                                        <w:txbxContent>
                                          <w:p w:rsidR="00BE40F8" w:rsidRPr="00D043E3" w:rsidRDefault="00BE40F8" w:rsidP="009E3F2B">
                                            <w:pPr>
                                              <w:ind w:firstLine="0"/>
                                              <w:jc w:val="center"/>
                                              <w:rPr>
                                                <w:rFonts w:ascii="Times New Roman" w:hAnsi="Times New Roman" w:cs="Times New Roman"/>
                                                <w:sz w:val="14"/>
                                                <w:szCs w:val="14"/>
                                              </w:rPr>
                                            </w:pPr>
                                            <w:r w:rsidRPr="00D043E3">
                                              <w:rPr>
                                                <w:rFonts w:ascii="Times New Roman" w:hAnsi="Times New Roman" w:cs="Times New Roman"/>
                                                <w:sz w:val="14"/>
                                                <w:szCs w:val="14"/>
                                              </w:rPr>
                                              <w:t>Територіальна громада</w:t>
                                            </w:r>
                                          </w:p>
                                        </w:txbxContent>
                                      </v:textbox>
                                    </v:shape>
                                    <v:shape id="Поле 135" o:spid="_x0000_s2173" type="#_x0000_t202" style="position:absolute;left:7672;top:8636;width:2517;height:557;rotation:-608256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" filled="f" stroked="f" strokeweight=".5pt">
                                      <v:textbox inset="0,0,0,0">
                                        <w:txbxContent>
                                          <w:p w:rsidR="00BE40F8" w:rsidRPr="00A51D98" w:rsidRDefault="00BE40F8" w:rsidP="00B233DE">
                                            <w:pPr>
                                              <w:spacing w:line="216" w:lineRule="auto"/>
                                              <w:ind w:firstLine="0"/>
                                              <w:jc w:val="center"/>
                                              <w:rPr>
                                                <w:rFonts w:ascii="Times New Roman" w:hAnsi="Times New Roman" w:cs="Times New Roman"/>
                                                <w:sz w:val="16"/>
                                                <w:szCs w:val="16"/>
                                                <w:lang w:val="en-US"/>
                                              </w:rPr>
                                            </w:pPr>
                                            <w:r w:rsidRPr="005445F7">
                                              <w:rPr>
                                                <w:rFonts w:ascii="Times New Roman" w:hAnsi="Times New Roman" w:cs="Times New Roman"/>
                                                <w:sz w:val="16"/>
                                                <w:szCs w:val="16"/>
                                              </w:rPr>
                                              <w:t>Населення регіону, об’єднання територіальних гро</w:t>
                                            </w:r>
                                            <w:r w:rsidRPr="005445F7">
                                              <w:rPr>
                                                <w:rFonts w:ascii="Times New Roman" w:hAnsi="Times New Roman" w:cs="Times New Roman"/>
                                                <w:spacing w:val="-20"/>
                                                <w:sz w:val="16"/>
                                                <w:szCs w:val="16"/>
                                              </w:rPr>
                                              <w:t>мад</w:t>
                                            </w:r>
                                          </w:p>
                                        </w:txbxContent>
                                      </v:textbox>
                                    </v:shape>
                                    <v:shape id="Поле 136" o:spid="_x0000_s2174" type="#_x0000_t202" style="position:absolute;left:8598;top:8717;width:2130;height:441;rotation:-610752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" filled="f" stroked="f" strokeweight=".5pt">
                                      <v:textbox inset="0,0,0,0">
                                        <w:txbxContent>
                                          <w:p w:rsidR="00BE40F8" w:rsidRPr="009E3F2B" w:rsidRDefault="00BE40F8" w:rsidP="00B233DE">
                                            <w:pPr>
                                              <w:jc w:val="center"/>
                                              <w:rPr>
                                                <w:rFonts w:ascii="Times New Roman" w:hAnsi="Times New Roman" w:cs="Times New Roman"/>
                                                <w:sz w:val="16"/>
                                                <w:szCs w:val="16"/>
                                              </w:rPr>
                                            </w:pPr>
                                            <w:r w:rsidRPr="009E3F2B">
                                              <w:rPr>
                                                <w:rFonts w:ascii="Times New Roman" w:hAnsi="Times New Roman" w:cs="Times New Roman"/>
                                                <w:sz w:val="16"/>
                                                <w:szCs w:val="16"/>
                                              </w:rPr>
                                              <w:t>Населення країни</w:t>
                                            </w:r>
                                          </w:p>
                                        </w:txbxContent>
                                      </v:textbox>
                                    </v:shape>
                                    <v:shape id="Поле 137" o:spid="_x0000_s2175" type="#_x0000_t202" style="position:absolute;left:9493;top:8680;width:2130;height:441;rotation:-618594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" filled="f" stroked="f" strokeweight=".5pt">
                                      <v:textbox inset="0,0,0,0">
                                        <w:txbxContent>
                                          <w:p w:rsidR="00BE40F8" w:rsidRPr="005445F7" w:rsidRDefault="00BE40F8" w:rsidP="00B233DE">
                                            <w:pPr>
                                              <w:jc w:val="center"/>
                                              <w:rPr>
                                                <w:rFonts w:ascii="Times New Roman" w:hAnsi="Times New Roman" w:cs="Times New Roman"/>
                                                <w:sz w:val="16"/>
                                                <w:szCs w:val="16"/>
                                              </w:rPr>
                                            </w:pPr>
                                            <w:r w:rsidRPr="005445F7">
                                              <w:rPr>
                                                <w:rFonts w:ascii="Times New Roman" w:hAnsi="Times New Roman" w:cs="Times New Roman"/>
                                                <w:sz w:val="16"/>
                                                <w:szCs w:val="16"/>
                                              </w:rPr>
                                              <w:t>Населення планети</w:t>
                                            </w:r>
                                          </w:p>
                                        </w:txbxContent>
                                      </v:textbox>
                                    </v:shape>
                                    <v:shape id="Поле 109" o:spid="_x0000_s2176" type="#_x0000_t202" style="position:absolute;left:7030;top:8725;width:2075;height:838;rotation:-609453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" filled="f" stroked="f" strokeweight=".5pt">
                                      <v:textbox inset="0,0,0,0">
                                        <w:txbxContent>
                                          <w:p w:rsidR="00240E4E" w:rsidRDefault="00BE40F8" w:rsidP="00240E4E">
                                            <w:pPr>
                                              <w:spacing w:line="206" w:lineRule="auto"/>
                                              <w:ind w:left="357" w:firstLine="0"/>
                                              <w:rPr>
                                                <w:rFonts w:ascii="Times New Roman" w:hAnsi="Times New Roman" w:cs="Times New Roman"/>
                                                <w:sz w:val="16"/>
                                                <w:szCs w:val="16"/>
                                              </w:rPr>
                                            </w:pPr>
                                            <w:r w:rsidRPr="00240E4E">
                                              <w:rPr>
                                                <w:rFonts w:ascii="Times New Roman" w:hAnsi="Times New Roman" w:cs="Times New Roman"/>
                                                <w:sz w:val="16"/>
                                                <w:szCs w:val="16"/>
                                              </w:rPr>
                                              <w:t>Населення району,</w:t>
                                            </w:r>
                                          </w:p>
                                          <w:p w:rsidR="00BE40F8" w:rsidRPr="00240E4E" w:rsidRDefault="00BE40F8" w:rsidP="00240E4E">
                                            <w:pPr>
                                              <w:spacing w:line="206" w:lineRule="auto"/>
                                              <w:ind w:left="357" w:firstLine="0"/>
                                              <w:rPr>
                                                <w:rFonts w:ascii="Times New Roman" w:hAnsi="Times New Roman" w:cs="Times New Roman"/>
                                                <w:sz w:val="16"/>
                                                <w:szCs w:val="16"/>
                                              </w:rPr>
                                            </w:pPr>
                                            <w:r w:rsidRPr="00240E4E">
                                              <w:rPr>
                                                <w:rFonts w:ascii="Times New Roman" w:hAnsi="Times New Roman" w:cs="Times New Roman"/>
                                                <w:sz w:val="16"/>
                                                <w:szCs w:val="16"/>
                                              </w:rPr>
                                              <w:t xml:space="preserve"> об’єднання терито</w:t>
                                            </w:r>
                                            <w:r w:rsidR="00240E4E">
                                              <w:rPr>
                                                <w:rFonts w:ascii="Times New Roman" w:hAnsi="Times New Roman" w:cs="Times New Roman"/>
                                                <w:sz w:val="16"/>
                                                <w:szCs w:val="16"/>
                                              </w:rPr>
                                              <w:t>-</w:t>
                                            </w:r>
                                            <w:r w:rsidRPr="00240E4E">
                                              <w:rPr>
                                                <w:rFonts w:ascii="Times New Roman" w:hAnsi="Times New Roman" w:cs="Times New Roman"/>
                                                <w:sz w:val="16"/>
                                                <w:szCs w:val="16"/>
                                              </w:rPr>
                                              <w:t>ріальних громад</w:t>
                                            </w:r>
                                          </w:p>
                                        </w:txbxContent>
                                      </v:textbox>
                                    </v:shape>
                                    <v:shape id="Поле 114" o:spid="_x0000_s2177" type="#_x0000_t202" style="position:absolute;left:6664;top:10754;width:1213;height:651;rotation:-297230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" filled="f" stroked="f" strokeweight=".5pt">
                                      <v:textbox inset="0,0,0,0">
                                        <w:txbxContent>
                                          <w:p w:rsidR="00BE40F8" w:rsidRPr="00240E4E" w:rsidRDefault="00BE40F8" w:rsidP="00B233DE">
                                            <w:pPr>
                                              <w:spacing w:line="216" w:lineRule="auto"/>
                                              <w:ind w:firstLine="0"/>
                                              <w:jc w:val="center"/>
                                              <w:rPr>
                                                <w:rFonts w:ascii="Times New Roman" w:hAnsi="Times New Roman" w:cs="Times New Roman"/>
                                                <w:sz w:val="16"/>
                                                <w:szCs w:val="16"/>
                                              </w:rPr>
                                            </w:pPr>
                                            <w:r w:rsidRPr="00240E4E">
                                              <w:rPr>
                                                <w:rFonts w:ascii="Times New Roman" w:hAnsi="Times New Roman" w:cs="Times New Roman"/>
                                                <w:sz w:val="16"/>
                                                <w:szCs w:val="16"/>
                                              </w:rPr>
                                              <w:t>Районні органи судової влади</w:t>
                                            </w:r>
                                          </w:p>
                                        </w:txbxContent>
                                      </v:textbox>
                                    </v:shape>
                                    <v:shape id="Поле 115" o:spid="_x0000_s2178" type="#_x0000_t202" style="position:absolute;left:4765;top:10602;width:1714;height:765;rotation:365151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" filled="f" stroked="f" strokeweight=".5pt">
                                      <v:textbox inset="0,0,0,0">
                                        <w:txbxContent>
                                          <w:p w:rsidR="00BE40F8" w:rsidRPr="00240E4E" w:rsidRDefault="00BE40F8" w:rsidP="00B233DE">
                                            <w:pPr>
                                              <w:ind w:firstLine="0"/>
                                              <w:jc w:val="center"/>
                                              <w:rPr>
                                                <w:rFonts w:ascii="Times New Roman" w:hAnsi="Times New Roman" w:cs="Times New Roman"/>
                                                <w:sz w:val="16"/>
                                                <w:szCs w:val="16"/>
                                              </w:rPr>
                                            </w:pPr>
                                            <w:r w:rsidRPr="00240E4E">
                                              <w:rPr>
                                                <w:rFonts w:ascii="Times New Roman" w:hAnsi="Times New Roman" w:cs="Times New Roman"/>
                                                <w:sz w:val="16"/>
                                                <w:szCs w:val="16"/>
                                              </w:rPr>
                                              <w:t xml:space="preserve">Районні органи </w:t>
                                            </w:r>
                                          </w:p>
                                          <w:p w:rsidR="00BE40F8" w:rsidRPr="00240E4E" w:rsidRDefault="00BE40F8" w:rsidP="00B233DE">
                                            <w:pPr>
                                              <w:ind w:firstLine="0"/>
                                              <w:jc w:val="center"/>
                                              <w:rPr>
                                                <w:rFonts w:ascii="Times New Roman" w:hAnsi="Times New Roman" w:cs="Times New Roman"/>
                                                <w:sz w:val="16"/>
                                                <w:szCs w:val="16"/>
                                              </w:rPr>
                                            </w:pPr>
                                            <w:r w:rsidRPr="00240E4E">
                                              <w:rPr>
                                                <w:rFonts w:ascii="Times New Roman" w:hAnsi="Times New Roman" w:cs="Times New Roman"/>
                                                <w:sz w:val="16"/>
                                                <w:szCs w:val="16"/>
                                              </w:rPr>
                                              <w:t>виконавчої влади</w:t>
                                            </w:r>
                                          </w:p>
                                        </w:txbxContent>
                                      </v:textbox>
                                    </v:shape>
                                    <v:shape id="Поле 127" o:spid="_x0000_s2179" type="#_x0000_t202" style="position:absolute;left:4022;top:8906;width:1515;height:62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" filled="f" stroked="f" strokeweight=".5pt">
                                      <v:textbox inset="0,0,0,0">
                                        <w:txbxContent>
                                          <w:p w:rsidR="00BE40F8" w:rsidRPr="005445F7" w:rsidRDefault="00BE40F8" w:rsidP="00B233DE">
                                            <w:pPr>
                                              <w:spacing w:line="192" w:lineRule="auto"/>
                                              <w:ind w:firstLine="0"/>
                                              <w:jc w:val="center"/>
                                              <w:rPr>
                                                <w:rFonts w:ascii="Times New Roman" w:hAnsi="Times New Roman" w:cs="Times New Roman"/>
                                                <w:sz w:val="16"/>
                                                <w:szCs w:val="16"/>
                                              </w:rPr>
                                            </w:pPr>
                                            <w:r w:rsidRPr="005445F7">
                                              <w:rPr>
                                                <w:rFonts w:ascii="Times New Roman" w:hAnsi="Times New Roman" w:cs="Times New Roman"/>
                                                <w:sz w:val="16"/>
                                                <w:szCs w:val="16"/>
                                              </w:rPr>
                                              <w:t>Районні органи законодавчої влади</w:t>
                                            </w:r>
                                          </w:p>
                                        </w:txbxContent>
                                      </v:textbox>
                                    </v:shape>
                                  </v:group>
                                </v:group>
                              </v:group>
                            </v:group>
                          </v:group>
                        </v:group>
                      </v:group>
                    </v:group>
                  </v:group>
                </v:group>
              </v:group>
            </w:pict>
          </mc:Fallback>
        </mc:AlternateContent>
      </w: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0"/>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r>
        <w:rPr>
          <w:noProof/>
          <w:lang w:val="ru-RU" w:eastAsia="ru-RU"/>
        </w:rPr>
        <mc:AlternateContent>
          <mc:Choice Requires="wps">
            <w:drawing>
              <wp:anchor distT="0" distB="0" distL="114300" distR="114300" simplePos="0" relativeHeight="251702272" behindDoc="0" locked="0" layoutInCell="1" allowOverlap="1" wp14:anchorId="08931993" wp14:editId="0E48DE6B">
                <wp:simplePos x="0" y="0"/>
                <wp:positionH relativeFrom="column">
                  <wp:posOffset>-594465</wp:posOffset>
                </wp:positionH>
                <wp:positionV relativeFrom="paragraph">
                  <wp:posOffset>114617</wp:posOffset>
                </wp:positionV>
                <wp:extent cx="1930400" cy="259715"/>
                <wp:effectExtent l="16192" t="2858" r="9843" b="9842"/>
                <wp:wrapNone/>
                <wp:docPr id="951" name="Поле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930400" cy="259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5445F7" w:rsidRDefault="00BE40F8" w:rsidP="00B233DE">
                            <w:pPr>
                              <w:ind w:firstLine="0"/>
                              <w:jc w:val="center"/>
                              <w:rPr>
                                <w:rFonts w:ascii="Times New Roman" w:hAnsi="Times New Roman" w:cs="Times New Roman"/>
                                <w:sz w:val="16"/>
                                <w:szCs w:val="16"/>
                              </w:rPr>
                            </w:pPr>
                            <w:r>
                              <w:rPr>
                                <w:rFonts w:ascii="Times New Roman" w:hAnsi="Times New Roman" w:cs="Times New Roman"/>
                                <w:sz w:val="16"/>
                                <w:szCs w:val="16"/>
                              </w:rPr>
                              <w:t>Міждержавні утворення (союзи, спільноти)</w:t>
                            </w:r>
                          </w:p>
                          <w:p w:rsidR="00BE40F8" w:rsidRPr="005445F7" w:rsidRDefault="00BE40F8" w:rsidP="00B233DE">
                            <w:pPr>
                              <w:rPr>
                                <w:rFonts w:ascii="Times New Roman" w:hAnsi="Times New Roman" w:cs="Times New Roman"/>
                                <w:sz w:val="16"/>
                                <w:szCs w:val="16"/>
                              </w:rPr>
                            </w:pPr>
                          </w:p>
                        </w:txbxContent>
                      </wps:txbx>
                      <wps:bodyPr rot="0" vert="horz" wrap="square" lIns="0" tIns="0" rIns="0" bIns="0" anchor="ctr" anchorCtr="0">
                        <a:noAutofit/>
                      </wps:bodyPr>
                    </wps:wsp>
                  </a:graphicData>
                </a:graphic>
                <wp14:sizeRelH relativeFrom="margin">
                  <wp14:pctWidth>0</wp14:pctWidth>
                </wp14:sizeRelH>
              </wp:anchor>
            </w:drawing>
          </mc:Choice>
          <mc:Fallback>
            <w:pict>
              <v:shape w14:anchorId="08931993" id="Поле 100" o:spid="_x0000_s2180" type="#_x0000_t202" style="position:absolute;left:0;text-align:left;margin-left:-46.8pt;margin-top:9pt;width:152pt;height:20.45pt;rotation:-90;z-index:251702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" filled="f" stroked="f" strokeweight=".5pt">
                <v:textbox inset="0,0,0,0">
                  <w:txbxContent>
                    <w:p w:rsidR="00BE40F8" w:rsidRPr="005445F7" w:rsidRDefault="00BE40F8" w:rsidP="00B233DE">
                      <w:pPr>
                        <w:ind w:firstLine="0"/>
                        <w:jc w:val="center"/>
                        <w:rPr>
                          <w:rFonts w:ascii="Times New Roman" w:hAnsi="Times New Roman" w:cs="Times New Roman"/>
                          <w:sz w:val="16"/>
                          <w:szCs w:val="16"/>
                        </w:rPr>
                      </w:pPr>
                      <w:r>
                        <w:rPr>
                          <w:rFonts w:ascii="Times New Roman" w:hAnsi="Times New Roman" w:cs="Times New Roman"/>
                          <w:sz w:val="16"/>
                          <w:szCs w:val="16"/>
                        </w:rPr>
                        <w:t>Міждержавні утворення (союзи, спільноти)</w:t>
                      </w:r>
                    </w:p>
                    <w:p w:rsidR="00BE40F8" w:rsidRPr="005445F7" w:rsidRDefault="00BE40F8" w:rsidP="00B233DE">
                      <w:pPr>
                        <w:rPr>
                          <w:rFonts w:ascii="Times New Roman" w:hAnsi="Times New Roman" w:cs="Times New Roman"/>
                          <w:sz w:val="16"/>
                          <w:szCs w:val="16"/>
                        </w:rPr>
                      </w:pPr>
                    </w:p>
                  </w:txbxContent>
                </v:textbox>
              </v:shape>
            </w:pict>
          </mc:Fallback>
        </mc:AlternateContent>
      </w: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r>
        <w:rPr>
          <w:noProof/>
          <w:lang w:val="ru-RU" w:eastAsia="ru-RU"/>
        </w:rPr>
        <mc:AlternateContent>
          <mc:Choice Requires="wps">
            <w:drawing>
              <wp:anchor distT="0" distB="0" distL="114300" distR="114300" simplePos="0" relativeHeight="251703296" behindDoc="0" locked="0" layoutInCell="1" allowOverlap="1" wp14:anchorId="1C896353" wp14:editId="5DB42052">
                <wp:simplePos x="0" y="0"/>
                <wp:positionH relativeFrom="column">
                  <wp:posOffset>2028825</wp:posOffset>
                </wp:positionH>
                <wp:positionV relativeFrom="paragraph">
                  <wp:posOffset>126365</wp:posOffset>
                </wp:positionV>
                <wp:extent cx="1675765" cy="259715"/>
                <wp:effectExtent l="555625" t="0" r="480060" b="0"/>
                <wp:wrapNone/>
                <wp:docPr id="952" name="Поле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826669">
                          <a:off x="0" y="0"/>
                          <a:ext cx="1675765" cy="259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E40F8" w:rsidRPr="005445F7" w:rsidRDefault="00BE40F8" w:rsidP="00B233DE">
                            <w:pPr>
                              <w:ind w:firstLine="0"/>
                              <w:jc w:val="center"/>
                              <w:rPr>
                                <w:rFonts w:ascii="Times New Roman" w:hAnsi="Times New Roman" w:cs="Times New Roman"/>
                                <w:sz w:val="16"/>
                                <w:szCs w:val="16"/>
                              </w:rPr>
                            </w:pPr>
                            <w:r>
                              <w:rPr>
                                <w:rFonts w:ascii="Times New Roman" w:hAnsi="Times New Roman" w:cs="Times New Roman"/>
                                <w:sz w:val="16"/>
                                <w:szCs w:val="16"/>
                              </w:rPr>
                              <w:t>Наднаціональні судові органи</w:t>
                            </w:r>
                          </w:p>
                          <w:p w:rsidR="00BE40F8" w:rsidRPr="005445F7" w:rsidRDefault="00BE40F8" w:rsidP="00B233DE">
                            <w:pPr>
                              <w:rPr>
                                <w:rFonts w:ascii="Times New Roman" w:hAnsi="Times New Roman" w:cs="Times New Roman"/>
                                <w:sz w:val="16"/>
                                <w:szCs w:val="16"/>
                              </w:rPr>
                            </w:pPr>
                          </w:p>
                        </w:txbxContent>
                      </wps:txbx>
                      <wps:bodyPr rot="0" vert="horz" wrap="square" lIns="0" tIns="0" rIns="0" bIns="0" anchor="ctr" anchorCtr="0">
                        <a:noAutofit/>
                      </wps:bodyPr>
                    </wps:wsp>
                  </a:graphicData>
                </a:graphic>
              </wp:anchor>
            </w:drawing>
          </mc:Choice>
          <mc:Fallback>
            <w:pict>
              <v:shape w14:anchorId="1C896353" id="_x0000_s2181" type="#_x0000_t202" style="position:absolute;left:0;text-align:left;margin-left:159.75pt;margin-top:9.95pt;width:131.95pt;height:20.45pt;rotation:-3029217fd;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" filled="f" stroked="f" strokeweight=".5pt">
                <v:textbox inset="0,0,0,0">
                  <w:txbxContent>
                    <w:p w:rsidR="00BE40F8" w:rsidRPr="005445F7" w:rsidRDefault="00BE40F8" w:rsidP="00B233DE">
                      <w:pPr>
                        <w:ind w:firstLine="0"/>
                        <w:jc w:val="center"/>
                        <w:rPr>
                          <w:rFonts w:ascii="Times New Roman" w:hAnsi="Times New Roman" w:cs="Times New Roman"/>
                          <w:sz w:val="16"/>
                          <w:szCs w:val="16"/>
                        </w:rPr>
                      </w:pPr>
                      <w:r>
                        <w:rPr>
                          <w:rFonts w:ascii="Times New Roman" w:hAnsi="Times New Roman" w:cs="Times New Roman"/>
                          <w:sz w:val="16"/>
                          <w:szCs w:val="16"/>
                        </w:rPr>
                        <w:t>Наднаціональні судові органи</w:t>
                      </w:r>
                    </w:p>
                    <w:p w:rsidR="00BE40F8" w:rsidRPr="005445F7" w:rsidRDefault="00BE40F8" w:rsidP="00B233DE">
                      <w:pPr>
                        <w:rPr>
                          <w:rFonts w:ascii="Times New Roman" w:hAnsi="Times New Roman" w:cs="Times New Roman"/>
                          <w:sz w:val="16"/>
                          <w:szCs w:val="16"/>
                        </w:rPr>
                      </w:pPr>
                    </w:p>
                  </w:txbxContent>
                </v:textbox>
              </v:shape>
            </w:pict>
          </mc:Fallback>
        </mc:AlternateContent>
      </w:r>
    </w:p>
    <w:p w:rsidR="00B233DE" w:rsidRDefault="00B233DE" w:rsidP="00B233DE">
      <w:pPr>
        <w:ind w:firstLine="708"/>
        <w:jc w:val="both"/>
        <w:rPr>
          <w:rFonts w:ascii="Times New Roman" w:hAnsi="Times New Roman" w:cs="Times New Roman"/>
          <w:sz w:val="21"/>
          <w:szCs w:val="21"/>
        </w:rPr>
      </w:pPr>
      <w:r>
        <w:rPr>
          <w:noProof/>
          <w:lang w:val="ru-RU" w:eastAsia="ru-RU"/>
        </w:rPr>
        <mc:AlternateContent>
          <mc:Choice Requires="wps">
            <w:drawing>
              <wp:anchor distT="0" distB="0" distL="114300" distR="114300" simplePos="0" relativeHeight="251704320" behindDoc="0" locked="0" layoutInCell="1" allowOverlap="1" wp14:anchorId="6248DA54" wp14:editId="1FECC1FA">
                <wp:simplePos x="0" y="0"/>
                <wp:positionH relativeFrom="column">
                  <wp:posOffset>398780</wp:posOffset>
                </wp:positionH>
                <wp:positionV relativeFrom="paragraph">
                  <wp:posOffset>14182</wp:posOffset>
                </wp:positionV>
                <wp:extent cx="1675765" cy="259715"/>
                <wp:effectExtent l="0" t="476250" r="0" b="483235"/>
                <wp:wrapNone/>
                <wp:docPr id="954" name="Поле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2146263">
                          <a:off x="0" y="0"/>
                          <a:ext cx="1675765" cy="259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9E3F2B" w:rsidRDefault="00BE40F8" w:rsidP="00B233DE">
                            <w:pPr>
                              <w:ind w:firstLine="0"/>
                              <w:jc w:val="center"/>
                              <w:rPr>
                                <w:rFonts w:ascii="Times New Roman" w:hAnsi="Times New Roman" w:cs="Times New Roman"/>
                                <w:sz w:val="16"/>
                                <w:szCs w:val="16"/>
                              </w:rPr>
                            </w:pPr>
                            <w:r>
                              <w:rPr>
                                <w:rFonts w:ascii="Times New Roman" w:hAnsi="Times New Roman" w:cs="Times New Roman"/>
                                <w:sz w:val="16"/>
                                <w:szCs w:val="16"/>
                              </w:rPr>
                              <w:t xml:space="preserve">Міжнародні організації </w:t>
                            </w:r>
                          </w:p>
                          <w:p w:rsidR="00BE40F8" w:rsidRPr="005445F7" w:rsidRDefault="00BE40F8" w:rsidP="00B233DE">
                            <w:pPr>
                              <w:ind w:firstLine="0"/>
                              <w:jc w:val="center"/>
                              <w:rPr>
                                <w:rFonts w:ascii="Times New Roman" w:hAnsi="Times New Roman" w:cs="Times New Roman"/>
                                <w:sz w:val="16"/>
                                <w:szCs w:val="16"/>
                              </w:rPr>
                            </w:pPr>
                            <w:r>
                              <w:rPr>
                                <w:rFonts w:ascii="Times New Roman" w:hAnsi="Times New Roman" w:cs="Times New Roman"/>
                                <w:sz w:val="16"/>
                                <w:szCs w:val="16"/>
                              </w:rPr>
                              <w:t>(ООН, СОТ, ЄС)</w:t>
                            </w:r>
                          </w:p>
                          <w:p w:rsidR="00BE40F8" w:rsidRPr="005445F7" w:rsidRDefault="00BE40F8" w:rsidP="00B233DE">
                            <w:pPr>
                              <w:rPr>
                                <w:rFonts w:ascii="Times New Roman" w:hAnsi="Times New Roman" w:cs="Times New Roman"/>
                                <w:sz w:val="16"/>
                                <w:szCs w:val="16"/>
                              </w:rPr>
                            </w:pPr>
                          </w:p>
                        </w:txbxContent>
                      </wps:txbx>
                      <wps:bodyPr rot="0" vert="horz" wrap="square" lIns="0" tIns="0" rIns="0" bIns="0" anchor="ctr" anchorCtr="0">
                        <a:noAutofit/>
                      </wps:bodyPr>
                    </wps:wsp>
                  </a:graphicData>
                </a:graphic>
              </wp:anchor>
            </w:drawing>
          </mc:Choice>
          <mc:Fallback>
            <w:pict>
              <v:shape w14:anchorId="6248DA54" id="_x0000_s2182" type="#_x0000_t202" style="position:absolute;left:0;text-align:left;margin-left:31.4pt;margin-top:1.1pt;width:131.95pt;height:20.45pt;rotation:2344292fd;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" filled="f" stroked="f" strokeweight=".5pt">
                <v:textbox inset="0,0,0,0">
                  <w:txbxContent>
                    <w:p w:rsidR="009E3F2B" w:rsidRDefault="00BE40F8" w:rsidP="00B233DE">
                      <w:pPr>
                        <w:ind w:firstLine="0"/>
                        <w:jc w:val="center"/>
                        <w:rPr>
                          <w:rFonts w:ascii="Times New Roman" w:hAnsi="Times New Roman" w:cs="Times New Roman"/>
                          <w:sz w:val="16"/>
                          <w:szCs w:val="16"/>
                        </w:rPr>
                      </w:pPr>
                      <w:r>
                        <w:rPr>
                          <w:rFonts w:ascii="Times New Roman" w:hAnsi="Times New Roman" w:cs="Times New Roman"/>
                          <w:sz w:val="16"/>
                          <w:szCs w:val="16"/>
                        </w:rPr>
                        <w:t xml:space="preserve">Міжнародні організації </w:t>
                      </w:r>
                    </w:p>
                    <w:p w:rsidR="00BE40F8" w:rsidRPr="005445F7" w:rsidRDefault="00BE40F8" w:rsidP="00B233DE">
                      <w:pPr>
                        <w:ind w:firstLine="0"/>
                        <w:jc w:val="center"/>
                        <w:rPr>
                          <w:rFonts w:ascii="Times New Roman" w:hAnsi="Times New Roman" w:cs="Times New Roman"/>
                          <w:sz w:val="16"/>
                          <w:szCs w:val="16"/>
                        </w:rPr>
                      </w:pPr>
                      <w:r>
                        <w:rPr>
                          <w:rFonts w:ascii="Times New Roman" w:hAnsi="Times New Roman" w:cs="Times New Roman"/>
                          <w:sz w:val="16"/>
                          <w:szCs w:val="16"/>
                        </w:rPr>
                        <w:t>(ООН, СОТ, ЄС)</w:t>
                      </w:r>
                    </w:p>
                    <w:p w:rsidR="00BE40F8" w:rsidRPr="005445F7" w:rsidRDefault="00BE40F8" w:rsidP="00B233DE">
                      <w:pPr>
                        <w:rPr>
                          <w:rFonts w:ascii="Times New Roman" w:hAnsi="Times New Roman" w:cs="Times New Roman"/>
                          <w:sz w:val="16"/>
                          <w:szCs w:val="16"/>
                        </w:rPr>
                      </w:pPr>
                    </w:p>
                  </w:txbxContent>
                </v:textbox>
              </v:shape>
            </w:pict>
          </mc:Fallback>
        </mc:AlternateContent>
      </w: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Pr="00220AC1" w:rsidRDefault="00B233DE" w:rsidP="00B233DE">
      <w:pPr>
        <w:autoSpaceDE w:val="0"/>
        <w:autoSpaceDN w:val="0"/>
        <w:adjustRightInd w:val="0"/>
        <w:ind w:firstLine="709"/>
        <w:jc w:val="center"/>
        <w:rPr>
          <w:rFonts w:ascii="Times New Roman" w:hAnsi="Times New Roman" w:cs="Times New Roman"/>
          <w:b/>
          <w:sz w:val="21"/>
          <w:szCs w:val="21"/>
        </w:rPr>
      </w:pPr>
      <w:r w:rsidRPr="00220AC1">
        <w:rPr>
          <w:rFonts w:ascii="Times New Roman" w:hAnsi="Times New Roman" w:cs="Times New Roman"/>
          <w:b/>
          <w:sz w:val="21"/>
          <w:szCs w:val="21"/>
        </w:rPr>
        <w:t>Рис. 5.2. Структура суб’єктів соціальної політики відповідно до масштабу її розробки та реалізації</w:t>
      </w:r>
    </w:p>
    <w:p w:rsidR="00B233DE" w:rsidRPr="00113FA4" w:rsidRDefault="00B233DE" w:rsidP="00B233DE">
      <w:pPr>
        <w:pStyle w:val="ad"/>
        <w:widowControl w:val="0"/>
        <w:tabs>
          <w:tab w:val="left" w:pos="1134"/>
        </w:tabs>
        <w:ind w:left="0" w:firstLine="709"/>
        <w:jc w:val="both"/>
        <w:rPr>
          <w:rFonts w:ascii="Times New Roman" w:hAnsi="Times New Roman" w:cs="Times New Roman"/>
          <w:sz w:val="21"/>
          <w:szCs w:val="21"/>
          <w:lang w:eastAsia="ru-RU"/>
        </w:rPr>
      </w:pPr>
      <w:r w:rsidRPr="00337442">
        <w:rPr>
          <w:rFonts w:ascii="Times New Roman" w:hAnsi="Times New Roman"/>
          <w:sz w:val="21"/>
          <w:szCs w:val="21"/>
          <w:lang w:eastAsia="ru-RU"/>
        </w:rPr>
        <w:lastRenderedPageBreak/>
        <w:t>Реалізація незатребуваного на практиці соціального потенціалу особистості органічно взаємопов’язана зі створенням у суспільстві різнобічних умов для забезпечення свободи різним соціальним верствам і групам населення, зокрема свободи їх соціального вибору як необхідної умови  реалізації творчих можливостей кожного, соціальної конкуренції, зміцнення втраченої самоцінності особистості, індивідуальності, що є основою динамічного саморозвитку, саморегулювання цінностей соціального буття [</w:t>
      </w:r>
      <w:r>
        <w:rPr>
          <w:rFonts w:ascii="Times New Roman" w:hAnsi="Times New Roman"/>
          <w:sz w:val="21"/>
          <w:szCs w:val="21"/>
          <w:highlight w:val="yellow"/>
        </w:rPr>
        <w:fldChar w:fldCharType="begin"/>
      </w:r>
      <w:r>
        <w:rPr>
          <w:rFonts w:ascii="Times New Roman" w:hAnsi="Times New Roman"/>
          <w:sz w:val="21"/>
          <w:szCs w:val="21"/>
          <w:lang w:eastAsia="ru-RU"/>
        </w:rPr>
        <w:instrText xml:space="preserve"> REF _Ref435618670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sz w:val="21"/>
          <w:szCs w:val="21"/>
          <w:lang w:eastAsia="ru-RU"/>
        </w:rPr>
        <w:t>102</w:t>
      </w:r>
      <w:r>
        <w:rPr>
          <w:rFonts w:ascii="Times New Roman" w:hAnsi="Times New Roman"/>
          <w:sz w:val="21"/>
          <w:szCs w:val="21"/>
          <w:highlight w:val="yellow"/>
        </w:rPr>
        <w:fldChar w:fldCharType="end"/>
      </w:r>
      <w:r w:rsidRPr="00337442">
        <w:rPr>
          <w:rFonts w:ascii="Times New Roman" w:hAnsi="Times New Roman"/>
          <w:sz w:val="21"/>
          <w:szCs w:val="21"/>
          <w:lang w:eastAsia="ru-RU"/>
        </w:rPr>
        <w:t xml:space="preserve">, </w:t>
      </w:r>
      <w:r>
        <w:rPr>
          <w:rFonts w:ascii="Times New Roman" w:hAnsi="Times New Roman" w:cs="Times New Roman"/>
          <w:sz w:val="21"/>
          <w:szCs w:val="21"/>
          <w:lang w:eastAsia="ru-RU"/>
        </w:rPr>
        <w:t xml:space="preserve">с. </w:t>
      </w:r>
      <w:r w:rsidRPr="00113FA4">
        <w:rPr>
          <w:rFonts w:ascii="Times New Roman" w:hAnsi="Times New Roman" w:cs="Times New Roman"/>
          <w:sz w:val="21"/>
          <w:szCs w:val="21"/>
          <w:lang w:eastAsia="ru-RU"/>
        </w:rPr>
        <w:t>14</w:t>
      </w:r>
      <w:r>
        <w:rPr>
          <w:rFonts w:ascii="Times New Roman" w:hAnsi="Times New Roman" w:cs="Times New Roman"/>
          <w:sz w:val="21"/>
          <w:szCs w:val="21"/>
          <w:lang w:eastAsia="ru-RU"/>
        </w:rPr>
        <w:t>–</w:t>
      </w:r>
      <w:r w:rsidRPr="00113FA4">
        <w:rPr>
          <w:rFonts w:ascii="Times New Roman" w:hAnsi="Times New Roman" w:cs="Times New Roman"/>
          <w:sz w:val="21"/>
          <w:szCs w:val="21"/>
          <w:lang w:eastAsia="ru-RU"/>
        </w:rPr>
        <w:t>15].</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 xml:space="preserve">Сучасна філософія державної соціальної політики має полягати у докорінній зміні змісту і форми діяльності </w:t>
      </w:r>
      <w:r w:rsidRPr="00093D2C">
        <w:rPr>
          <w:rFonts w:ascii="Times New Roman" w:hAnsi="Times New Roman" w:cs="Times New Roman"/>
          <w:sz w:val="21"/>
          <w:szCs w:val="21"/>
        </w:rPr>
        <w:t>держави як суб’єкта</w:t>
      </w:r>
      <w:r w:rsidRPr="00113FA4">
        <w:rPr>
          <w:rFonts w:ascii="Times New Roman" w:hAnsi="Times New Roman" w:cs="Times New Roman"/>
          <w:sz w:val="21"/>
          <w:szCs w:val="21"/>
        </w:rPr>
        <w:t xml:space="preserve"> у цій сфері соціального буття. В основу такої філософії мають бути покладені вироблені державою загальні принципи та орієнтири щодо реалізації соціальної політики, які б забезпечували людині, соціальним спільностям, право на повноцінний соціальний розвиток. </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Перебільшення ролі держави як суб’єкта соціальної політики, необґрунтована віра у її необмежені можливості у здійсненні соціального захисту і соціальної благодійності неминуче гальмують життєздатний потенціал особистісної реалізації соціального потенціалу людини і суспільства, ведуть до посилення тенденцій державного патерналізму. Водночас недооцінювання ролі держави як суб’єкта соціальної політики також недопустима, бо вона є головною інституціональною структурою у системі суб’єктів управління, регулювання суспільних процесів, зокрема соціального розвитку суспільства.</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Для держави, яка здійснює регулятивну діяльність із соціального розвитку, що здійснюється на засадах загальних принципів, політика у сфері соціальних відносин має стати політикою самої людини, в основу якої покладена соціальна ініціатива, самодіяльність людини. Держава ж повинна створювати умови для найпродуктивнішої самореалізації такої ініціативи, творчості у сфері соціального самоствердження.</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 xml:space="preserve">Держава не повинна нав’язувати спущені «згори» форми, способи вирішення соціальних проблем, виходячи з певної уніфікованої програми чи жорсткого шаблона. Важливим у державному регулюванні різноманітних процесів, що впливають на розвиток соціального, має стати принцип диференційованого підходу, який виходив би не з одноманітності, а з багатогранності, </w:t>
      </w:r>
      <w:r w:rsidRPr="00113FA4">
        <w:rPr>
          <w:rFonts w:ascii="Times New Roman" w:hAnsi="Times New Roman" w:cs="Times New Roman"/>
          <w:sz w:val="21"/>
          <w:szCs w:val="21"/>
        </w:rPr>
        <w:lastRenderedPageBreak/>
        <w:t>розмаїття життя певної соціальної спільності, враховував неповторність кожної конкретної ситуації, проблеми, специфіку утворення і прояву тієї чи іншої суперечності у певній сфері [</w:t>
      </w:r>
      <w:r>
        <w:rPr>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_Ref435618670 \r \h </w:instrText>
      </w:r>
      <w:r>
        <w:rPr>
          <w:rFonts w:ascii="Times New Roman" w:hAnsi="Times New Roman"/>
          <w:sz w:val="21"/>
          <w:szCs w:val="21"/>
          <w:highlight w:val="yellow"/>
        </w:rPr>
      </w:r>
      <w:r>
        <w:rPr>
          <w:rFonts w:ascii="Times New Roman" w:hAnsi="Times New Roman"/>
          <w:sz w:val="21"/>
          <w:szCs w:val="21"/>
          <w:highlight w:val="yellow"/>
        </w:rPr>
        <w:fldChar w:fldCharType="separate"/>
      </w:r>
      <w:r>
        <w:rPr>
          <w:rFonts w:ascii="Times New Roman" w:hAnsi="Times New Roman" w:cs="Times New Roman"/>
          <w:sz w:val="21"/>
          <w:szCs w:val="21"/>
        </w:rPr>
        <w:t>102</w:t>
      </w:r>
      <w:r>
        <w:rPr>
          <w:rFonts w:ascii="Times New Roman" w:hAnsi="Times New Roman"/>
          <w:sz w:val="21"/>
          <w:szCs w:val="21"/>
          <w:highlight w:val="yellow"/>
        </w:rPr>
        <w:fldChar w:fldCharType="end"/>
      </w:r>
      <w:r w:rsidRPr="00113FA4">
        <w:rPr>
          <w:rFonts w:ascii="Times New Roman" w:hAnsi="Times New Roman" w:cs="Times New Roman"/>
          <w:sz w:val="21"/>
          <w:szCs w:val="21"/>
        </w:rPr>
        <w:t>, с. 17].</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До комерційних структур відносяться усі суб’єкти соціальної політики, метою функціонування яких є одержання прибутку. Відповідно до масштабу їх діяльності, вони можуть бути міжнародними, загальнонаціональними, регіональними, районними, місцевими або мати вплив у межах одного підприємства, організації, установи або будь-якого іншого комерційного формування.</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Особливою на сьогодні є роль некомерційних структур – суб’єктів соціальної політики, адже роль різного роду громадських організацій, волонтерських формувань, об’єднань професійного, політичного, релігійного чи благодійного спрямування значно зростає в умовах формування громадянського суспільства.</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Розподіл суб’єктів за рівнями соціальної політики підтверджує тезу про їх різну активність на кожному з рівнів. З точки зору нашого дослідження, особливої уваги заслуговують відносини суб’єктів на загальнодержавному та регіональному рівнях. Логіка таких стосунків дозволяє виокремити два аспекти соціальної регіональної політики: соціальну політику щодо регіонів та соціальну політику у самих регіонах. Перша спрямована з мега- та макрорівнів на мезорівень, друга має внутрішньорегіональну дію (у тому числі з подальшим поширенням на мікро-, нано- та індивідуальний рівні). Відповідно, у межах кожного з названих аспектів необхідно розрізняти державну соціальну регіональну політику (тобто, діяльність суб’єктів соціальної політики, які входять до складу державних органів влади).</w:t>
      </w:r>
    </w:p>
    <w:p w:rsidR="00B233DE"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На нашу думку, схематично ці взаємовідносини можна відобразити за допо</w:t>
      </w:r>
      <w:r>
        <w:rPr>
          <w:rFonts w:ascii="Times New Roman" w:hAnsi="Times New Roman" w:cs="Times New Roman"/>
          <w:sz w:val="21"/>
          <w:szCs w:val="21"/>
        </w:rPr>
        <w:t>могою наступної формули (рис.</w:t>
      </w:r>
      <w:r w:rsidRPr="00113FA4">
        <w:rPr>
          <w:rFonts w:ascii="Times New Roman" w:hAnsi="Times New Roman" w:cs="Times New Roman"/>
          <w:sz w:val="21"/>
          <w:szCs w:val="21"/>
        </w:rPr>
        <w:t xml:space="preserve"> </w:t>
      </w:r>
      <w:r>
        <w:rPr>
          <w:rFonts w:ascii="Times New Roman" w:hAnsi="Times New Roman" w:cs="Times New Roman"/>
          <w:sz w:val="21"/>
          <w:szCs w:val="21"/>
        </w:rPr>
        <w:t>5</w:t>
      </w:r>
      <w:r w:rsidRPr="00113FA4">
        <w:rPr>
          <w:rFonts w:ascii="Times New Roman" w:hAnsi="Times New Roman" w:cs="Times New Roman"/>
          <w:sz w:val="21"/>
          <w:szCs w:val="21"/>
        </w:rPr>
        <w:t>.3).</w:t>
      </w:r>
    </w:p>
    <w:p w:rsidR="00B233DE"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У короткому словнику-довіднику «Соціальна держава» зазначається, що с</w:t>
      </w:r>
      <w:r w:rsidRPr="00113FA4">
        <w:rPr>
          <w:rStyle w:val="hps"/>
          <w:rFonts w:ascii="Times New Roman" w:hAnsi="Times New Roman"/>
          <w:sz w:val="21"/>
          <w:szCs w:val="21"/>
        </w:rPr>
        <w:t>оціальна політика регіону або соціальна регіональна політика являє собою</w:t>
      </w:r>
      <w:r w:rsidRPr="00113FA4">
        <w:rPr>
          <w:rFonts w:ascii="Times New Roman" w:hAnsi="Times New Roman" w:cs="Times New Roman"/>
          <w:sz w:val="21"/>
          <w:szCs w:val="21"/>
        </w:rPr>
        <w:t xml:space="preserve"> </w:t>
      </w:r>
      <w:r w:rsidRPr="00113FA4">
        <w:rPr>
          <w:rStyle w:val="hps"/>
          <w:rFonts w:ascii="Times New Roman" w:hAnsi="Times New Roman"/>
          <w:sz w:val="21"/>
          <w:szCs w:val="21"/>
        </w:rPr>
        <w:t>комплекс заходів</w:t>
      </w:r>
      <w:r w:rsidRPr="00113FA4">
        <w:rPr>
          <w:rFonts w:ascii="Times New Roman" w:hAnsi="Times New Roman" w:cs="Times New Roman"/>
          <w:sz w:val="21"/>
          <w:szCs w:val="21"/>
        </w:rPr>
        <w:t xml:space="preserve">, які розробляються </w:t>
      </w:r>
      <w:r w:rsidRPr="00113FA4">
        <w:rPr>
          <w:rStyle w:val="hps"/>
          <w:rFonts w:ascii="Times New Roman" w:hAnsi="Times New Roman"/>
          <w:sz w:val="21"/>
          <w:szCs w:val="21"/>
        </w:rPr>
        <w:t>і реалізовуються</w:t>
      </w:r>
      <w:r w:rsidRPr="00113FA4">
        <w:rPr>
          <w:rFonts w:ascii="Times New Roman" w:hAnsi="Times New Roman" w:cs="Times New Roman"/>
          <w:sz w:val="21"/>
          <w:szCs w:val="21"/>
        </w:rPr>
        <w:t xml:space="preserve"> </w:t>
      </w:r>
      <w:r w:rsidRPr="00113FA4">
        <w:rPr>
          <w:rStyle w:val="hps"/>
          <w:rFonts w:ascii="Times New Roman" w:hAnsi="Times New Roman"/>
          <w:sz w:val="21"/>
          <w:szCs w:val="21"/>
        </w:rPr>
        <w:t>органами влади</w:t>
      </w:r>
      <w:r w:rsidRPr="00113FA4">
        <w:rPr>
          <w:rFonts w:ascii="Times New Roman" w:hAnsi="Times New Roman" w:cs="Times New Roman"/>
          <w:sz w:val="21"/>
          <w:szCs w:val="21"/>
        </w:rPr>
        <w:t xml:space="preserve"> </w:t>
      </w:r>
      <w:r w:rsidRPr="00113FA4">
        <w:rPr>
          <w:rStyle w:val="hps"/>
          <w:rFonts w:ascii="Times New Roman" w:hAnsi="Times New Roman"/>
          <w:sz w:val="21"/>
          <w:szCs w:val="21"/>
        </w:rPr>
        <w:t>регіону</w:t>
      </w:r>
      <w:r w:rsidRPr="00113FA4">
        <w:rPr>
          <w:rFonts w:ascii="Times New Roman" w:hAnsi="Times New Roman" w:cs="Times New Roman"/>
          <w:sz w:val="21"/>
          <w:szCs w:val="21"/>
        </w:rPr>
        <w:t xml:space="preserve"> </w:t>
      </w:r>
      <w:r w:rsidRPr="00113FA4">
        <w:rPr>
          <w:rStyle w:val="hps"/>
          <w:rFonts w:ascii="Times New Roman" w:hAnsi="Times New Roman"/>
          <w:sz w:val="21"/>
          <w:szCs w:val="21"/>
        </w:rPr>
        <w:t>та іншими зацікавленими</w:t>
      </w:r>
      <w:r w:rsidRPr="00113FA4">
        <w:rPr>
          <w:rFonts w:ascii="Times New Roman" w:hAnsi="Times New Roman" w:cs="Times New Roman"/>
          <w:sz w:val="21"/>
          <w:szCs w:val="21"/>
        </w:rPr>
        <w:t xml:space="preserve"> </w:t>
      </w:r>
      <w:r w:rsidRPr="00113FA4">
        <w:rPr>
          <w:rStyle w:val="hps"/>
          <w:rFonts w:ascii="Times New Roman" w:hAnsi="Times New Roman"/>
          <w:sz w:val="21"/>
          <w:szCs w:val="21"/>
        </w:rPr>
        <w:t>суб’єктами</w:t>
      </w:r>
      <w:r w:rsidRPr="00113FA4">
        <w:rPr>
          <w:rFonts w:ascii="Times New Roman" w:hAnsi="Times New Roman" w:cs="Times New Roman"/>
          <w:sz w:val="21"/>
          <w:szCs w:val="21"/>
        </w:rPr>
        <w:t xml:space="preserve"> </w:t>
      </w:r>
      <w:r w:rsidRPr="00113FA4">
        <w:rPr>
          <w:rStyle w:val="hps"/>
          <w:rFonts w:ascii="Times New Roman" w:hAnsi="Times New Roman"/>
          <w:sz w:val="21"/>
          <w:szCs w:val="21"/>
        </w:rPr>
        <w:t>за участю</w:t>
      </w:r>
      <w:r w:rsidRPr="00113FA4">
        <w:rPr>
          <w:rFonts w:ascii="Times New Roman" w:hAnsi="Times New Roman" w:cs="Times New Roman"/>
          <w:sz w:val="21"/>
          <w:szCs w:val="21"/>
        </w:rPr>
        <w:t xml:space="preserve"> </w:t>
      </w:r>
      <w:r w:rsidRPr="00113FA4">
        <w:rPr>
          <w:rStyle w:val="hps"/>
          <w:rFonts w:ascii="Times New Roman" w:hAnsi="Times New Roman"/>
          <w:sz w:val="21"/>
          <w:szCs w:val="21"/>
        </w:rPr>
        <w:t>місцевого самоврядування з урахуванням</w:t>
      </w:r>
      <w:r w:rsidRPr="00113FA4">
        <w:rPr>
          <w:rFonts w:ascii="Times New Roman" w:hAnsi="Times New Roman" w:cs="Times New Roman"/>
          <w:sz w:val="21"/>
          <w:szCs w:val="21"/>
        </w:rPr>
        <w:t xml:space="preserve"> </w:t>
      </w:r>
      <w:r w:rsidRPr="00113FA4">
        <w:rPr>
          <w:rStyle w:val="hps"/>
          <w:rFonts w:ascii="Times New Roman" w:hAnsi="Times New Roman"/>
          <w:sz w:val="21"/>
          <w:szCs w:val="21"/>
        </w:rPr>
        <w:t>сформованої</w:t>
      </w:r>
      <w:r w:rsidRPr="00113FA4">
        <w:rPr>
          <w:rFonts w:ascii="Times New Roman" w:hAnsi="Times New Roman" w:cs="Times New Roman"/>
          <w:sz w:val="21"/>
          <w:szCs w:val="21"/>
        </w:rPr>
        <w:t xml:space="preserve"> </w:t>
      </w:r>
      <w:r w:rsidRPr="00113FA4">
        <w:rPr>
          <w:rStyle w:val="hps"/>
          <w:rFonts w:ascii="Times New Roman" w:hAnsi="Times New Roman"/>
          <w:sz w:val="21"/>
          <w:szCs w:val="21"/>
        </w:rPr>
        <w:t>концепції</w:t>
      </w:r>
      <w:r w:rsidRPr="00113FA4">
        <w:rPr>
          <w:rFonts w:ascii="Times New Roman" w:hAnsi="Times New Roman" w:cs="Times New Roman"/>
          <w:sz w:val="21"/>
          <w:szCs w:val="21"/>
        </w:rPr>
        <w:t xml:space="preserve"> </w:t>
      </w:r>
      <w:r w:rsidRPr="00113FA4">
        <w:rPr>
          <w:rStyle w:val="hps"/>
          <w:rFonts w:ascii="Times New Roman" w:hAnsi="Times New Roman"/>
          <w:sz w:val="21"/>
          <w:szCs w:val="21"/>
        </w:rPr>
        <w:t>регіонального</w:t>
      </w:r>
      <w:r w:rsidRPr="00113FA4">
        <w:rPr>
          <w:rFonts w:ascii="Times New Roman" w:hAnsi="Times New Roman" w:cs="Times New Roman"/>
          <w:sz w:val="21"/>
          <w:szCs w:val="21"/>
        </w:rPr>
        <w:t xml:space="preserve"> </w:t>
      </w:r>
      <w:r w:rsidRPr="00113FA4">
        <w:rPr>
          <w:rStyle w:val="hps"/>
          <w:rFonts w:ascii="Times New Roman" w:hAnsi="Times New Roman"/>
          <w:sz w:val="21"/>
          <w:szCs w:val="21"/>
        </w:rPr>
        <w:t>соціального розвитку [</w:t>
      </w:r>
      <w:r>
        <w:rPr>
          <w:rFonts w:ascii="Times New Roman" w:hAnsi="Times New Roman" w:cs="Times New Roman"/>
          <w:sz w:val="21"/>
          <w:szCs w:val="21"/>
          <w:highlight w:val="yellow"/>
        </w:rPr>
        <w:fldChar w:fldCharType="begin"/>
      </w:r>
      <w:r>
        <w:rPr>
          <w:rStyle w:val="hps"/>
          <w:rFonts w:ascii="Times New Roman" w:hAnsi="Times New Roman"/>
          <w:sz w:val="21"/>
          <w:szCs w:val="21"/>
        </w:rPr>
        <w:instrText xml:space="preserve"> REF _Ref435619234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Style w:val="hps"/>
          <w:rFonts w:ascii="Times New Roman" w:hAnsi="Times New Roman"/>
          <w:sz w:val="21"/>
          <w:szCs w:val="21"/>
        </w:rPr>
        <w:t>105</w:t>
      </w:r>
      <w:r>
        <w:rPr>
          <w:rFonts w:ascii="Times New Roman" w:hAnsi="Times New Roman" w:cs="Times New Roman"/>
          <w:sz w:val="21"/>
          <w:szCs w:val="21"/>
          <w:highlight w:val="yellow"/>
        </w:rPr>
        <w:fldChar w:fldCharType="end"/>
      </w:r>
      <w:r w:rsidRPr="00113FA4">
        <w:rPr>
          <w:rStyle w:val="hps"/>
          <w:rFonts w:ascii="Times New Roman" w:hAnsi="Times New Roman"/>
          <w:sz w:val="21"/>
          <w:szCs w:val="21"/>
        </w:rPr>
        <w:t>]</w:t>
      </w:r>
      <w:r w:rsidRPr="00113FA4">
        <w:rPr>
          <w:rFonts w:ascii="Times New Roman" w:hAnsi="Times New Roman" w:cs="Times New Roman"/>
          <w:sz w:val="21"/>
          <w:szCs w:val="21"/>
        </w:rPr>
        <w:t xml:space="preserve">. Дане визначення є досить узагальненим і не </w:t>
      </w:r>
      <w:r w:rsidRPr="00113FA4">
        <w:rPr>
          <w:rFonts w:ascii="Times New Roman" w:hAnsi="Times New Roman" w:cs="Times New Roman"/>
          <w:sz w:val="21"/>
          <w:szCs w:val="21"/>
        </w:rPr>
        <w:lastRenderedPageBreak/>
        <w:t>конкретизованим стосовно сфери застосування соціальної політики та її спрямування.</w:t>
      </w:r>
    </w:p>
    <w:p w:rsidR="00B233DE" w:rsidRDefault="00B233DE" w:rsidP="00B233DE">
      <w:pPr>
        <w:autoSpaceDE w:val="0"/>
        <w:autoSpaceDN w:val="0"/>
        <w:adjustRightInd w:val="0"/>
        <w:ind w:firstLine="709"/>
        <w:jc w:val="both"/>
        <w:rPr>
          <w:rFonts w:ascii="Times New Roman" w:hAnsi="Times New Roman" w:cs="Times New Roman"/>
          <w:sz w:val="21"/>
          <w:szCs w:val="21"/>
        </w:rPr>
      </w:pP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noProof/>
          <w:lang w:val="ru-RU" w:eastAsia="ru-RU"/>
        </w:rPr>
        <mc:AlternateContent>
          <mc:Choice Requires="wpg">
            <w:drawing>
              <wp:anchor distT="0" distB="0" distL="114300" distR="114300" simplePos="0" relativeHeight="251697152" behindDoc="0" locked="0" layoutInCell="1" allowOverlap="1" wp14:anchorId="58DA5827" wp14:editId="4B74C32F">
                <wp:simplePos x="0" y="0"/>
                <wp:positionH relativeFrom="column">
                  <wp:posOffset>-423</wp:posOffset>
                </wp:positionH>
                <wp:positionV relativeFrom="paragraph">
                  <wp:posOffset>7408</wp:posOffset>
                </wp:positionV>
                <wp:extent cx="3979333" cy="3564467"/>
                <wp:effectExtent l="0" t="0" r="21590" b="17145"/>
                <wp:wrapNone/>
                <wp:docPr id="1389" name="Группа 1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79333" cy="3564467"/>
                          <a:chOff x="0" y="0"/>
                          <a:chExt cx="59763" cy="51133"/>
                        </a:xfrm>
                      </wpg:grpSpPr>
                      <wps:wsp>
                        <wps:cNvPr id="1390" name="Прямоугольник 126"/>
                        <wps:cNvSpPr>
                          <a:spLocks noChangeArrowheads="1"/>
                        </wps:cNvSpPr>
                        <wps:spPr bwMode="auto">
                          <a:xfrm>
                            <a:off x="41916" y="22165"/>
                            <a:ext cx="16438" cy="4305"/>
                          </a:xfrm>
                          <a:prstGeom prst="rect">
                            <a:avLst/>
                          </a:prstGeom>
                          <a:solidFill>
                            <a:srgbClr val="F2F2F2"/>
                          </a:solidFill>
                          <a:ln w="9525">
                            <a:solidFill>
                              <a:srgbClr val="000000"/>
                            </a:solidFill>
                            <a:prstDash val="lgDash"/>
                            <a:miter lim="800000"/>
                            <a:headEnd/>
                            <a:tailEnd/>
                          </a:ln>
                        </wps:spPr>
                        <wps:txbx>
                          <w:txbxContent>
                            <w:p w:rsidR="00BE40F8" w:rsidRPr="00093D2C" w:rsidRDefault="00BE40F8" w:rsidP="00B233DE">
                              <w:pPr>
                                <w:ind w:firstLine="0"/>
                                <w:jc w:val="center"/>
                                <w:rPr>
                                  <w:rFonts w:ascii="Times New Roman" w:hAnsi="Times New Roman" w:cs="Times New Roman"/>
                                  <w:b/>
                                  <w:sz w:val="18"/>
                                  <w:szCs w:val="18"/>
                                </w:rPr>
                              </w:pPr>
                              <w:r w:rsidRPr="00093D2C">
                                <w:rPr>
                                  <w:rFonts w:ascii="Times New Roman" w:hAnsi="Times New Roman" w:cs="Times New Roman"/>
                                  <w:b/>
                                  <w:sz w:val="18"/>
                                  <w:szCs w:val="18"/>
                                </w:rPr>
                                <w:t>у т.ч. ДСП</w:t>
                              </w:r>
                            </w:p>
                            <w:p w:rsidR="00BE40F8" w:rsidRPr="00093D2C" w:rsidRDefault="00BE40F8" w:rsidP="00B233DE">
                              <w:pPr>
                                <w:ind w:firstLine="0"/>
                                <w:jc w:val="center"/>
                                <w:rPr>
                                  <w:rFonts w:ascii="Times New Roman" w:hAnsi="Times New Roman" w:cs="Times New Roman"/>
                                  <w:b/>
                                  <w:sz w:val="18"/>
                                  <w:szCs w:val="18"/>
                                </w:rPr>
                              </w:pPr>
                              <w:r w:rsidRPr="00093D2C">
                                <w:rPr>
                                  <w:rFonts w:ascii="Times New Roman" w:hAnsi="Times New Roman" w:cs="Times New Roman"/>
                                  <w:b/>
                                  <w:sz w:val="18"/>
                                  <w:szCs w:val="18"/>
                                </w:rPr>
                                <w:t>регіонів</w:t>
                              </w:r>
                            </w:p>
                          </w:txbxContent>
                        </wps:txbx>
                        <wps:bodyPr rot="0" vert="horz" wrap="square" lIns="0" tIns="0" rIns="0" bIns="0" anchor="ctr" anchorCtr="0" upright="1">
                          <a:noAutofit/>
                        </wps:bodyPr>
                      </wps:wsp>
                      <wps:wsp>
                        <wps:cNvPr id="1391" name="Равно 31"/>
                        <wps:cNvSpPr>
                          <a:spLocks/>
                        </wps:cNvSpPr>
                        <wps:spPr bwMode="auto">
                          <a:xfrm>
                            <a:off x="11558" y="6876"/>
                            <a:ext cx="5289" cy="7226"/>
                          </a:xfrm>
                          <a:custGeom>
                            <a:avLst/>
                            <a:gdLst>
                              <a:gd name="T0" fmla="*/ 70113 w 528955"/>
                              <a:gd name="T1" fmla="*/ 148862 h 722630"/>
                              <a:gd name="T2" fmla="*/ 458842 w 528955"/>
                              <a:gd name="T3" fmla="*/ 148862 h 722630"/>
                              <a:gd name="T4" fmla="*/ 458842 w 528955"/>
                              <a:gd name="T5" fmla="*/ 318824 h 722630"/>
                              <a:gd name="T6" fmla="*/ 70113 w 528955"/>
                              <a:gd name="T7" fmla="*/ 318824 h 722630"/>
                              <a:gd name="T8" fmla="*/ 70113 w 528955"/>
                              <a:gd name="T9" fmla="*/ 148862 h 722630"/>
                              <a:gd name="T10" fmla="*/ 70113 w 528955"/>
                              <a:gd name="T11" fmla="*/ 403806 h 722630"/>
                              <a:gd name="T12" fmla="*/ 458842 w 528955"/>
                              <a:gd name="T13" fmla="*/ 403806 h 722630"/>
                              <a:gd name="T14" fmla="*/ 458842 w 528955"/>
                              <a:gd name="T15" fmla="*/ 573768 h 722630"/>
                              <a:gd name="T16" fmla="*/ 70113 w 528955"/>
                              <a:gd name="T17" fmla="*/ 573768 h 722630"/>
                              <a:gd name="T18" fmla="*/ 70113 w 528955"/>
                              <a:gd name="T19" fmla="*/ 403806 h 72263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 name="T30" fmla="*/ 3163 w 528955"/>
                              <a:gd name="T31" fmla="*/ 3163 h 722630"/>
                              <a:gd name="T32" fmla="*/ 18437 w 528955"/>
                              <a:gd name="T33" fmla="*/ 18437 h 722630"/>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T30" t="T31" r="T32" b="T33"/>
                            <a:pathLst>
                              <a:path w="528955" h="722630">
                                <a:moveTo>
                                  <a:pt x="70113" y="148862"/>
                                </a:moveTo>
                                <a:lnTo>
                                  <a:pt x="458842" y="148862"/>
                                </a:lnTo>
                                <a:lnTo>
                                  <a:pt x="458842" y="318824"/>
                                </a:lnTo>
                                <a:lnTo>
                                  <a:pt x="70113" y="318824"/>
                                </a:lnTo>
                                <a:lnTo>
                                  <a:pt x="70113" y="148862"/>
                                </a:lnTo>
                                <a:close/>
                                <a:moveTo>
                                  <a:pt x="70113" y="403806"/>
                                </a:moveTo>
                                <a:lnTo>
                                  <a:pt x="458842" y="403806"/>
                                </a:lnTo>
                                <a:lnTo>
                                  <a:pt x="458842" y="573768"/>
                                </a:lnTo>
                                <a:lnTo>
                                  <a:pt x="70113" y="573768"/>
                                </a:lnTo>
                                <a:lnTo>
                                  <a:pt x="70113" y="403806"/>
                                </a:lnTo>
                                <a:close/>
                              </a:path>
                            </a:pathLst>
                          </a:custGeom>
                          <a:gradFill rotWithShape="1">
                            <a:gsLst>
                              <a:gs pos="0">
                                <a:srgbClr val="BCBCBC"/>
                              </a:gs>
                              <a:gs pos="35001">
                                <a:srgbClr val="D0D0D0"/>
                              </a:gs>
                              <a:gs pos="100000">
                                <a:srgbClr val="EDEDED"/>
                              </a:gs>
                            </a:gsLst>
                            <a:lin ang="16200000" scaled="1"/>
                          </a:gradFill>
                          <a:ln w="9525">
                            <a:solidFill>
                              <a:srgbClr val="000000"/>
                            </a:solidFill>
                            <a:round/>
                            <a:headEnd/>
                            <a:tailEnd/>
                          </a:ln>
                          <a:effectLst>
                            <a:outerShdw dist="20000" dir="5400000" rotWithShape="0">
                              <a:srgbClr val="000000">
                                <a:alpha val="37999"/>
                              </a:srgbClr>
                            </a:outerShdw>
                          </a:effectLst>
                        </wps:spPr>
                        <wps:bodyPr rot="0" vert="horz" wrap="square" lIns="91440" tIns="45720" rIns="91440" bIns="45720" anchor="ctr" anchorCtr="0" upright="1">
                          <a:noAutofit/>
                        </wps:bodyPr>
                      </wps:wsp>
                      <wps:wsp>
                        <wps:cNvPr id="1392" name="Багетная рамка 104"/>
                        <wps:cNvSpPr>
                          <a:spLocks noChangeArrowheads="1"/>
                        </wps:cNvSpPr>
                        <wps:spPr bwMode="auto">
                          <a:xfrm>
                            <a:off x="658" y="2926"/>
                            <a:ext cx="10954" cy="14922"/>
                          </a:xfrm>
                          <a:prstGeom prst="bevel">
                            <a:avLst>
                              <a:gd name="adj" fmla="val 12500"/>
                            </a:avLst>
                          </a:prstGeom>
                          <a:gradFill rotWithShape="1">
                            <a:gsLst>
                              <a:gs pos="0">
                                <a:srgbClr val="BCBCBC"/>
                              </a:gs>
                              <a:gs pos="35001">
                                <a:srgbClr val="D0D0D0"/>
                              </a:gs>
                              <a:gs pos="100000">
                                <a:srgbClr val="EDEDED"/>
                              </a:gs>
                            </a:gsLst>
                            <a:lin ang="16200000" scaled="1"/>
                          </a:gradFill>
                          <a:ln w="9525">
                            <a:solidFill>
                              <a:srgbClr val="000000"/>
                            </a:solidFill>
                            <a:miter lim="800000"/>
                            <a:headEnd/>
                            <a:tailEnd/>
                          </a:ln>
                          <a:effectLst>
                            <a:outerShdw dist="20000" dir="5400000" rotWithShape="0">
                              <a:srgbClr val="000000">
                                <a:alpha val="37999"/>
                              </a:srgbClr>
                            </a:outerShdw>
                          </a:effectLst>
                        </wps:spPr>
                        <wps:txbx>
                          <w:txbxContent>
                            <w:p w:rsidR="00BE40F8" w:rsidRPr="00093D2C" w:rsidRDefault="00BE40F8" w:rsidP="00B233DE">
                              <w:pPr>
                                <w:spacing w:before="240"/>
                                <w:ind w:firstLine="0"/>
                                <w:jc w:val="center"/>
                                <w:rPr>
                                  <w:rFonts w:ascii="Times New Roman" w:hAnsi="Times New Roman" w:cs="Times New Roman"/>
                                  <w:b/>
                                  <w:sz w:val="18"/>
                                  <w:szCs w:val="18"/>
                                </w:rPr>
                              </w:pPr>
                              <w:r w:rsidRPr="00093D2C">
                                <w:rPr>
                                  <w:rFonts w:ascii="Times New Roman" w:hAnsi="Times New Roman" w:cs="Times New Roman"/>
                                  <w:b/>
                                  <w:sz w:val="18"/>
                                  <w:szCs w:val="18"/>
                                </w:rPr>
                                <w:t>СРП</w:t>
                              </w:r>
                            </w:p>
                            <w:p w:rsidR="00BE40F8" w:rsidRPr="00093D2C" w:rsidRDefault="00BE40F8" w:rsidP="00B233DE">
                              <w:pPr>
                                <w:jc w:val="center"/>
                                <w:rPr>
                                  <w:rFonts w:ascii="Times New Roman" w:hAnsi="Times New Roman" w:cs="Times New Roman"/>
                                  <w:b/>
                                  <w:sz w:val="20"/>
                                  <w:szCs w:val="20"/>
                                </w:rPr>
                              </w:pPr>
                            </w:p>
                          </w:txbxContent>
                        </wps:txbx>
                        <wps:bodyPr rot="0" vert="horz" wrap="square" lIns="0" tIns="0" rIns="0" bIns="0" anchor="t" anchorCtr="0" upright="1">
                          <a:noAutofit/>
                        </wps:bodyPr>
                      </wps:wsp>
                      <wps:wsp>
                        <wps:cNvPr id="1393" name="Багетная рамка 105"/>
                        <wps:cNvSpPr>
                          <a:spLocks noChangeArrowheads="1"/>
                        </wps:cNvSpPr>
                        <wps:spPr bwMode="auto">
                          <a:xfrm>
                            <a:off x="16898" y="2999"/>
                            <a:ext cx="20555" cy="14833"/>
                          </a:xfrm>
                          <a:prstGeom prst="bevel">
                            <a:avLst>
                              <a:gd name="adj" fmla="val 12500"/>
                            </a:avLst>
                          </a:prstGeom>
                          <a:gradFill rotWithShape="1">
                            <a:gsLst>
                              <a:gs pos="0">
                                <a:srgbClr val="BCBCBC"/>
                              </a:gs>
                              <a:gs pos="35001">
                                <a:srgbClr val="D0D0D0"/>
                              </a:gs>
                              <a:gs pos="100000">
                                <a:srgbClr val="EDEDED"/>
                              </a:gs>
                            </a:gsLst>
                            <a:lin ang="16200000" scaled="1"/>
                          </a:gradFill>
                          <a:ln w="9525">
                            <a:solidFill>
                              <a:srgbClr val="000000"/>
                            </a:solidFill>
                            <a:miter lim="800000"/>
                            <a:headEnd/>
                            <a:tailEnd/>
                          </a:ln>
                          <a:effectLst>
                            <a:outerShdw dist="20000" dir="5400000" rotWithShape="0">
                              <a:srgbClr val="000000">
                                <a:alpha val="37999"/>
                              </a:srgbClr>
                            </a:outerShdw>
                          </a:effectLst>
                        </wps:spPr>
                        <wps:txbx>
                          <w:txbxContent>
                            <w:p w:rsidR="00BE40F8" w:rsidRPr="00093D2C" w:rsidRDefault="00BE40F8" w:rsidP="00B233DE">
                              <w:pPr>
                                <w:ind w:firstLine="0"/>
                                <w:jc w:val="center"/>
                                <w:rPr>
                                  <w:rFonts w:ascii="Times New Roman" w:hAnsi="Times New Roman" w:cs="Times New Roman"/>
                                  <w:b/>
                                  <w:sz w:val="18"/>
                                  <w:szCs w:val="18"/>
                                </w:rPr>
                              </w:pPr>
                              <w:r w:rsidRPr="00093D2C">
                                <w:rPr>
                                  <w:rFonts w:ascii="Times New Roman" w:hAnsi="Times New Roman" w:cs="Times New Roman"/>
                                  <w:b/>
                                  <w:sz w:val="18"/>
                                  <w:szCs w:val="18"/>
                                </w:rPr>
                                <w:t>СП щодо регіонів</w:t>
                              </w:r>
                            </w:p>
                            <w:p w:rsidR="00BE40F8" w:rsidRPr="00093D2C" w:rsidRDefault="00BE40F8" w:rsidP="00B233DE">
                              <w:pPr>
                                <w:ind w:firstLine="0"/>
                                <w:jc w:val="center"/>
                                <w:rPr>
                                  <w:rFonts w:ascii="Times New Roman" w:hAnsi="Times New Roman" w:cs="Times New Roman"/>
                                  <w:b/>
                                  <w:sz w:val="18"/>
                                  <w:szCs w:val="18"/>
                                </w:rPr>
                              </w:pPr>
                            </w:p>
                            <w:p w:rsidR="00BE40F8" w:rsidRPr="00093D2C" w:rsidRDefault="00BE40F8" w:rsidP="00B233DE">
                              <w:pPr>
                                <w:ind w:firstLine="0"/>
                                <w:jc w:val="center"/>
                                <w:rPr>
                                  <w:rFonts w:ascii="Times New Roman" w:hAnsi="Times New Roman" w:cs="Times New Roman"/>
                                  <w:b/>
                                  <w:sz w:val="18"/>
                                  <w:szCs w:val="18"/>
                                </w:rPr>
                              </w:pPr>
                            </w:p>
                            <w:p w:rsidR="00BE40F8" w:rsidRDefault="00BE40F8" w:rsidP="00B233DE">
                              <w:pPr>
                                <w:spacing w:before="240"/>
                                <w:ind w:firstLine="0"/>
                                <w:jc w:val="center"/>
                                <w:rPr>
                                  <w:rFonts w:ascii="Times New Roman" w:hAnsi="Times New Roman" w:cs="Times New Roman"/>
                                  <w:b/>
                                  <w:sz w:val="18"/>
                                  <w:szCs w:val="18"/>
                                </w:rPr>
                              </w:pPr>
                            </w:p>
                            <w:p w:rsidR="00BE40F8" w:rsidRPr="00093D2C" w:rsidRDefault="00BE40F8" w:rsidP="00B233DE">
                              <w:pPr>
                                <w:spacing w:before="240"/>
                                <w:ind w:firstLine="0"/>
                                <w:jc w:val="center"/>
                                <w:rPr>
                                  <w:rFonts w:ascii="Times New Roman" w:hAnsi="Times New Roman" w:cs="Times New Roman"/>
                                  <w:b/>
                                  <w:sz w:val="18"/>
                                  <w:szCs w:val="18"/>
                                </w:rPr>
                              </w:pPr>
                            </w:p>
                            <w:p w:rsidR="00BE40F8" w:rsidRPr="00093D2C" w:rsidRDefault="00BE40F8" w:rsidP="00B233DE">
                              <w:pPr>
                                <w:spacing w:before="240"/>
                                <w:ind w:firstLine="0"/>
                                <w:jc w:val="center"/>
                                <w:rPr>
                                  <w:rFonts w:ascii="Times New Roman" w:hAnsi="Times New Roman" w:cs="Times New Roman"/>
                                  <w:b/>
                                  <w:sz w:val="18"/>
                                  <w:szCs w:val="18"/>
                                </w:rPr>
                              </w:pPr>
                            </w:p>
                          </w:txbxContent>
                        </wps:txbx>
                        <wps:bodyPr rot="0" vert="horz" wrap="square" lIns="91440" tIns="45720" rIns="91440" bIns="45720" anchor="t" anchorCtr="0" upright="1">
                          <a:noAutofit/>
                        </wps:bodyPr>
                      </wps:wsp>
                      <wps:wsp>
                        <wps:cNvPr id="1394" name="Багетная рамка 108"/>
                        <wps:cNvSpPr>
                          <a:spLocks noChangeArrowheads="1"/>
                        </wps:cNvSpPr>
                        <wps:spPr bwMode="auto">
                          <a:xfrm>
                            <a:off x="42743" y="2926"/>
                            <a:ext cx="15575" cy="14916"/>
                          </a:xfrm>
                          <a:prstGeom prst="bevel">
                            <a:avLst>
                              <a:gd name="adj" fmla="val 12500"/>
                            </a:avLst>
                          </a:prstGeom>
                          <a:gradFill rotWithShape="1">
                            <a:gsLst>
                              <a:gs pos="0">
                                <a:srgbClr val="BCBCBC"/>
                              </a:gs>
                              <a:gs pos="35001">
                                <a:srgbClr val="D0D0D0"/>
                              </a:gs>
                              <a:gs pos="100000">
                                <a:srgbClr val="EDEDED"/>
                              </a:gs>
                            </a:gsLst>
                            <a:lin ang="16200000" scaled="1"/>
                          </a:gradFill>
                          <a:ln w="9525">
                            <a:solidFill>
                              <a:srgbClr val="000000"/>
                            </a:solidFill>
                            <a:miter lim="800000"/>
                            <a:headEnd/>
                            <a:tailEnd/>
                          </a:ln>
                          <a:effectLst>
                            <a:outerShdw dist="20000" dir="5400000" rotWithShape="0">
                              <a:srgbClr val="000000">
                                <a:alpha val="37999"/>
                              </a:srgbClr>
                            </a:outerShdw>
                          </a:effectLst>
                        </wps:spPr>
                        <wps:txbx>
                          <w:txbxContent>
                            <w:p w:rsidR="00BE40F8" w:rsidRPr="00093D2C" w:rsidRDefault="00BE40F8" w:rsidP="00B233DE">
                              <w:pPr>
                                <w:ind w:firstLine="0"/>
                                <w:jc w:val="center"/>
                                <w:rPr>
                                  <w:rFonts w:ascii="Times New Roman" w:hAnsi="Times New Roman" w:cs="Times New Roman"/>
                                  <w:b/>
                                  <w:sz w:val="18"/>
                                  <w:szCs w:val="18"/>
                                </w:rPr>
                              </w:pPr>
                              <w:r w:rsidRPr="00093D2C">
                                <w:rPr>
                                  <w:rFonts w:ascii="Times New Roman" w:hAnsi="Times New Roman" w:cs="Times New Roman"/>
                                  <w:b/>
                                  <w:sz w:val="18"/>
                                  <w:szCs w:val="18"/>
                                </w:rPr>
                                <w:t>СП регіонів</w:t>
                              </w:r>
                            </w:p>
                          </w:txbxContent>
                        </wps:txbx>
                        <wps:bodyPr rot="0" vert="horz" wrap="square" lIns="91440" tIns="45720" rIns="91440" bIns="45720" anchor="t" anchorCtr="0" upright="1">
                          <a:noAutofit/>
                        </wps:bodyPr>
                      </wps:wsp>
                      <wps:wsp>
                        <wps:cNvPr id="1395" name="Прямая соединительная линия 110"/>
                        <wps:cNvCnPr/>
                        <wps:spPr bwMode="auto">
                          <a:xfrm>
                            <a:off x="73" y="0"/>
                            <a:ext cx="5969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96" name="Прямая соединительная линия 111"/>
                        <wps:cNvCnPr/>
                        <wps:spPr bwMode="auto">
                          <a:xfrm>
                            <a:off x="73" y="0"/>
                            <a:ext cx="0" cy="5112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97" name="Прямая соединительная линия 112"/>
                        <wps:cNvCnPr/>
                        <wps:spPr bwMode="auto">
                          <a:xfrm>
                            <a:off x="0" y="51133"/>
                            <a:ext cx="5969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98" name="Прямая соединительная линия 113"/>
                        <wps:cNvCnPr/>
                        <wps:spPr bwMode="auto">
                          <a:xfrm>
                            <a:off x="59692" y="0"/>
                            <a:ext cx="0" cy="5112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99" name="Прямоугольник 116"/>
                        <wps:cNvSpPr>
                          <a:spLocks noChangeArrowheads="1"/>
                        </wps:cNvSpPr>
                        <wps:spPr bwMode="auto">
                          <a:xfrm>
                            <a:off x="2999" y="9948"/>
                            <a:ext cx="6286" cy="5353"/>
                          </a:xfrm>
                          <a:prstGeom prst="rect">
                            <a:avLst/>
                          </a:prstGeom>
                          <a:solidFill>
                            <a:srgbClr val="F2F2F2"/>
                          </a:solidFill>
                          <a:ln w="9525">
                            <a:solidFill>
                              <a:srgbClr val="000000"/>
                            </a:solidFill>
                            <a:prstDash val="lgDash"/>
                            <a:miter lim="800000"/>
                            <a:headEnd/>
                            <a:tailEnd/>
                          </a:ln>
                        </wps:spPr>
                        <wps:txbx>
                          <w:txbxContent>
                            <w:p w:rsidR="00BE40F8" w:rsidRPr="00093D2C" w:rsidRDefault="00BE40F8" w:rsidP="00B233DE">
                              <w:pPr>
                                <w:ind w:firstLine="0"/>
                                <w:jc w:val="center"/>
                                <w:rPr>
                                  <w:rFonts w:ascii="Times New Roman" w:hAnsi="Times New Roman" w:cs="Times New Roman"/>
                                  <w:b/>
                                  <w:color w:val="000000"/>
                                  <w:sz w:val="18"/>
                                  <w:szCs w:val="18"/>
                                </w:rPr>
                              </w:pPr>
                              <w:r w:rsidRPr="00093D2C">
                                <w:rPr>
                                  <w:rFonts w:ascii="Times New Roman" w:hAnsi="Times New Roman" w:cs="Times New Roman"/>
                                  <w:b/>
                                  <w:color w:val="000000"/>
                                  <w:sz w:val="18"/>
                                  <w:szCs w:val="18"/>
                                </w:rPr>
                                <w:t>у т.ч. ДСРП</w:t>
                              </w:r>
                            </w:p>
                          </w:txbxContent>
                        </wps:txbx>
                        <wps:bodyPr rot="0" vert="horz" wrap="square" lIns="0" tIns="0" rIns="0" bIns="0" anchor="t" anchorCtr="0" upright="1">
                          <a:noAutofit/>
                        </wps:bodyPr>
                      </wps:wsp>
                      <wps:wsp>
                        <wps:cNvPr id="1400" name="Прямоугольник 117"/>
                        <wps:cNvSpPr>
                          <a:spLocks noChangeArrowheads="1"/>
                        </wps:cNvSpPr>
                        <wps:spPr bwMode="auto">
                          <a:xfrm>
                            <a:off x="19604" y="9948"/>
                            <a:ext cx="15437" cy="5341"/>
                          </a:xfrm>
                          <a:prstGeom prst="rect">
                            <a:avLst/>
                          </a:prstGeom>
                          <a:solidFill>
                            <a:srgbClr val="F2F2F2"/>
                          </a:solidFill>
                          <a:ln w="9525">
                            <a:solidFill>
                              <a:srgbClr val="000000"/>
                            </a:solidFill>
                            <a:prstDash val="lgDash"/>
                            <a:miter lim="800000"/>
                            <a:headEnd/>
                            <a:tailEnd/>
                          </a:ln>
                        </wps:spPr>
                        <wps:txbx>
                          <w:txbxContent>
                            <w:p w:rsidR="00BE40F8" w:rsidRPr="00093D2C" w:rsidRDefault="00BE40F8" w:rsidP="00B233DE">
                              <w:pPr>
                                <w:ind w:firstLine="0"/>
                                <w:jc w:val="center"/>
                                <w:rPr>
                                  <w:rFonts w:ascii="Times New Roman" w:hAnsi="Times New Roman" w:cs="Times New Roman"/>
                                  <w:b/>
                                  <w:color w:val="000000"/>
                                  <w:sz w:val="18"/>
                                  <w:szCs w:val="18"/>
                                </w:rPr>
                              </w:pPr>
                              <w:r w:rsidRPr="00093D2C">
                                <w:rPr>
                                  <w:rFonts w:ascii="Times New Roman" w:hAnsi="Times New Roman" w:cs="Times New Roman"/>
                                  <w:b/>
                                  <w:color w:val="000000"/>
                                  <w:sz w:val="18"/>
                                  <w:szCs w:val="18"/>
                                </w:rPr>
                                <w:t>у т.ч. ДСП щодо регіонів</w:t>
                              </w:r>
                            </w:p>
                          </w:txbxContent>
                        </wps:txbx>
                        <wps:bodyPr rot="0" vert="horz" wrap="square" lIns="91440" tIns="45720" rIns="91440" bIns="45720" anchor="ctr" anchorCtr="0" upright="1">
                          <a:noAutofit/>
                        </wps:bodyPr>
                      </wps:wsp>
                      <wps:wsp>
                        <wps:cNvPr id="1401" name="Блок-схема: перфолента 106"/>
                        <wps:cNvSpPr>
                          <a:spLocks noChangeArrowheads="1"/>
                        </wps:cNvSpPr>
                        <wps:spPr bwMode="auto">
                          <a:xfrm rot="16200000">
                            <a:off x="32296" y="6693"/>
                            <a:ext cx="15432" cy="7842"/>
                          </a:xfrm>
                          <a:prstGeom prst="flowChartPunchedTape">
                            <a:avLst/>
                          </a:prstGeom>
                          <a:noFill/>
                          <a:ln w="25400">
                            <a:solidFill>
                              <a:srgbClr val="FFFFFF"/>
                            </a:solidFill>
                            <a:miter lim="800000"/>
                            <a:headEnd/>
                            <a:tailEnd/>
                          </a:ln>
                        </wps:spPr>
                        <wps:bodyPr rot="0" vert="horz" wrap="square" lIns="91440" tIns="45720" rIns="91440" bIns="45720" anchor="ctr" anchorCtr="0" upright="1">
                          <a:noAutofit/>
                        </wps:bodyPr>
                      </wps:wsp>
                      <wps:wsp>
                        <wps:cNvPr id="1402" name="Прямоугольник 118"/>
                        <wps:cNvSpPr>
                          <a:spLocks noChangeArrowheads="1"/>
                        </wps:cNvSpPr>
                        <wps:spPr bwMode="auto">
                          <a:xfrm>
                            <a:off x="45720" y="9948"/>
                            <a:ext cx="9665" cy="5341"/>
                          </a:xfrm>
                          <a:prstGeom prst="rect">
                            <a:avLst/>
                          </a:prstGeom>
                          <a:solidFill>
                            <a:srgbClr val="F2F2F2"/>
                          </a:solidFill>
                          <a:ln w="9525">
                            <a:solidFill>
                              <a:srgbClr val="000000"/>
                            </a:solidFill>
                            <a:prstDash val="lgDash"/>
                            <a:miter lim="800000"/>
                            <a:headEnd/>
                            <a:tailEnd/>
                          </a:ln>
                        </wps:spPr>
                        <wps:txbx>
                          <w:txbxContent>
                            <w:p w:rsidR="00BE40F8" w:rsidRPr="00093D2C" w:rsidRDefault="00BE40F8" w:rsidP="00B233DE">
                              <w:pPr>
                                <w:ind w:firstLine="0"/>
                                <w:jc w:val="center"/>
                                <w:rPr>
                                  <w:rFonts w:ascii="Times New Roman" w:hAnsi="Times New Roman" w:cs="Times New Roman"/>
                                  <w:b/>
                                  <w:color w:val="000000"/>
                                  <w:sz w:val="18"/>
                                  <w:szCs w:val="18"/>
                                </w:rPr>
                              </w:pPr>
                              <w:r w:rsidRPr="00093D2C">
                                <w:rPr>
                                  <w:rFonts w:ascii="Times New Roman" w:hAnsi="Times New Roman" w:cs="Times New Roman"/>
                                  <w:b/>
                                  <w:color w:val="000000"/>
                                  <w:sz w:val="18"/>
                                  <w:szCs w:val="18"/>
                                </w:rPr>
                                <w:t>у т.ч. ДСП регіонів</w:t>
                              </w:r>
                            </w:p>
                          </w:txbxContent>
                        </wps:txbx>
                        <wps:bodyPr rot="0" vert="horz" wrap="square" lIns="0" tIns="0" rIns="0" bIns="0" anchor="ctr" anchorCtr="0" upright="1">
                          <a:noAutofit/>
                        </wps:bodyPr>
                      </wps:wsp>
                      <wps:wsp>
                        <wps:cNvPr id="1403" name="Плюс 2"/>
                        <wps:cNvSpPr>
                          <a:spLocks/>
                        </wps:cNvSpPr>
                        <wps:spPr bwMode="auto">
                          <a:xfrm>
                            <a:off x="37453" y="8193"/>
                            <a:ext cx="5290" cy="5867"/>
                          </a:xfrm>
                          <a:custGeom>
                            <a:avLst/>
                            <a:gdLst>
                              <a:gd name="T0" fmla="*/ 70113 w 528955"/>
                              <a:gd name="T1" fmla="*/ 231165 h 586740"/>
                              <a:gd name="T2" fmla="*/ 202272 w 528955"/>
                              <a:gd name="T3" fmla="*/ 231165 h 586740"/>
                              <a:gd name="T4" fmla="*/ 202272 w 528955"/>
                              <a:gd name="T5" fmla="*/ 77772 h 586740"/>
                              <a:gd name="T6" fmla="*/ 326683 w 528955"/>
                              <a:gd name="T7" fmla="*/ 77772 h 586740"/>
                              <a:gd name="T8" fmla="*/ 326683 w 528955"/>
                              <a:gd name="T9" fmla="*/ 231165 h 586740"/>
                              <a:gd name="T10" fmla="*/ 458842 w 528955"/>
                              <a:gd name="T11" fmla="*/ 231165 h 586740"/>
                              <a:gd name="T12" fmla="*/ 458842 w 528955"/>
                              <a:gd name="T13" fmla="*/ 355575 h 586740"/>
                              <a:gd name="T14" fmla="*/ 326683 w 528955"/>
                              <a:gd name="T15" fmla="*/ 355575 h 586740"/>
                              <a:gd name="T16" fmla="*/ 326683 w 528955"/>
                              <a:gd name="T17" fmla="*/ 508968 h 586740"/>
                              <a:gd name="T18" fmla="*/ 202272 w 528955"/>
                              <a:gd name="T19" fmla="*/ 508968 h 586740"/>
                              <a:gd name="T20" fmla="*/ 202272 w 528955"/>
                              <a:gd name="T21" fmla="*/ 355575 h 586740"/>
                              <a:gd name="T22" fmla="*/ 70113 w 528955"/>
                              <a:gd name="T23" fmla="*/ 355575 h 586740"/>
                              <a:gd name="T24" fmla="*/ 70113 w 528955"/>
                              <a:gd name="T25" fmla="*/ 231165 h 5867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528955" h="586740">
                                <a:moveTo>
                                  <a:pt x="70113" y="231165"/>
                                </a:moveTo>
                                <a:lnTo>
                                  <a:pt x="202272" y="231165"/>
                                </a:lnTo>
                                <a:lnTo>
                                  <a:pt x="202272" y="77772"/>
                                </a:lnTo>
                                <a:lnTo>
                                  <a:pt x="326683" y="77772"/>
                                </a:lnTo>
                                <a:lnTo>
                                  <a:pt x="326683" y="231165"/>
                                </a:lnTo>
                                <a:lnTo>
                                  <a:pt x="458842" y="231165"/>
                                </a:lnTo>
                                <a:lnTo>
                                  <a:pt x="458842" y="355575"/>
                                </a:lnTo>
                                <a:lnTo>
                                  <a:pt x="326683" y="355575"/>
                                </a:lnTo>
                                <a:lnTo>
                                  <a:pt x="326683" y="508968"/>
                                </a:lnTo>
                                <a:lnTo>
                                  <a:pt x="202272" y="508968"/>
                                </a:lnTo>
                                <a:lnTo>
                                  <a:pt x="202272" y="355575"/>
                                </a:lnTo>
                                <a:lnTo>
                                  <a:pt x="70113" y="355575"/>
                                </a:lnTo>
                                <a:lnTo>
                                  <a:pt x="70113" y="231165"/>
                                </a:lnTo>
                                <a:close/>
                              </a:path>
                            </a:pathLst>
                          </a:custGeom>
                          <a:gradFill rotWithShape="1">
                            <a:gsLst>
                              <a:gs pos="0">
                                <a:srgbClr val="BCBCBC"/>
                              </a:gs>
                              <a:gs pos="35001">
                                <a:srgbClr val="D0D0D0"/>
                              </a:gs>
                              <a:gs pos="100000">
                                <a:srgbClr val="EDEDED"/>
                              </a:gs>
                            </a:gsLst>
                            <a:lin ang="16200000" scaled="1"/>
                          </a:gradFill>
                          <a:ln w="9525">
                            <a:solidFill>
                              <a:srgbClr val="000000"/>
                            </a:solidFill>
                            <a:round/>
                            <a:headEnd/>
                            <a:tailEnd/>
                          </a:ln>
                          <a:effectLst>
                            <a:outerShdw dist="20000" dir="5400000" rotWithShape="0">
                              <a:srgbClr val="000000">
                                <a:alpha val="37999"/>
                              </a:srgbClr>
                            </a:outerShdw>
                          </a:effectLst>
                        </wps:spPr>
                        <wps:bodyPr rot="0" vert="horz" wrap="square" lIns="91440" tIns="45720" rIns="91440" bIns="45720" anchor="ctr" anchorCtr="0" upright="1">
                          <a:noAutofit/>
                        </wps:bodyPr>
                      </wps:wsp>
                      <wps:wsp>
                        <wps:cNvPr id="1404" name="Стрелка вниз 119"/>
                        <wps:cNvSpPr>
                          <a:spLocks noChangeArrowheads="1"/>
                        </wps:cNvSpPr>
                        <wps:spPr bwMode="auto">
                          <a:xfrm>
                            <a:off x="3511" y="15288"/>
                            <a:ext cx="4845" cy="6748"/>
                          </a:xfrm>
                          <a:prstGeom prst="downArrow">
                            <a:avLst>
                              <a:gd name="adj1" fmla="val 50000"/>
                              <a:gd name="adj2" fmla="val 50005"/>
                            </a:avLst>
                          </a:prstGeom>
                          <a:solidFill>
                            <a:srgbClr val="F2F2F2"/>
                          </a:solidFill>
                          <a:ln w="9525">
                            <a:solidFill>
                              <a:srgbClr val="000000"/>
                            </a:solidFill>
                            <a:prstDash val="lgDash"/>
                            <a:miter lim="800000"/>
                            <a:headEnd/>
                            <a:tailEnd/>
                          </a:ln>
                        </wps:spPr>
                        <wps:bodyPr rot="0" vert="horz" wrap="square" lIns="91440" tIns="45720" rIns="91440" bIns="45720" anchor="ctr" anchorCtr="0" upright="1">
                          <a:noAutofit/>
                        </wps:bodyPr>
                      </wps:wsp>
                      <wps:wsp>
                        <wps:cNvPr id="1405" name="Стрелка вниз 120"/>
                        <wps:cNvSpPr>
                          <a:spLocks noChangeArrowheads="1"/>
                        </wps:cNvSpPr>
                        <wps:spPr bwMode="auto">
                          <a:xfrm>
                            <a:off x="25017" y="15215"/>
                            <a:ext cx="4846" cy="6731"/>
                          </a:xfrm>
                          <a:prstGeom prst="downArrow">
                            <a:avLst>
                              <a:gd name="adj1" fmla="val 50000"/>
                              <a:gd name="adj2" fmla="val 49990"/>
                            </a:avLst>
                          </a:prstGeom>
                          <a:solidFill>
                            <a:srgbClr val="F2F2F2"/>
                          </a:solidFill>
                          <a:ln w="9525">
                            <a:solidFill>
                              <a:srgbClr val="000000"/>
                            </a:solidFill>
                            <a:prstDash val="lgDash"/>
                            <a:miter lim="800000"/>
                            <a:headEnd/>
                            <a:tailEnd/>
                          </a:ln>
                        </wps:spPr>
                        <wps:bodyPr rot="0" vert="horz" wrap="square" lIns="91440" tIns="45720" rIns="91440" bIns="45720" anchor="ctr" anchorCtr="0" upright="1">
                          <a:noAutofit/>
                        </wps:bodyPr>
                      </wps:wsp>
                      <wps:wsp>
                        <wps:cNvPr id="1406" name="Стрелка вниз 121"/>
                        <wps:cNvSpPr>
                          <a:spLocks noChangeArrowheads="1"/>
                        </wps:cNvSpPr>
                        <wps:spPr bwMode="auto">
                          <a:xfrm>
                            <a:off x="48353" y="15215"/>
                            <a:ext cx="4845" cy="6725"/>
                          </a:xfrm>
                          <a:prstGeom prst="downArrow">
                            <a:avLst>
                              <a:gd name="adj1" fmla="val 50000"/>
                              <a:gd name="adj2" fmla="val 50001"/>
                            </a:avLst>
                          </a:prstGeom>
                          <a:solidFill>
                            <a:srgbClr val="F2F2F2"/>
                          </a:solidFill>
                          <a:ln w="9525">
                            <a:solidFill>
                              <a:srgbClr val="000000"/>
                            </a:solidFill>
                            <a:prstDash val="lgDash"/>
                            <a:miter lim="800000"/>
                            <a:headEnd/>
                            <a:tailEnd/>
                          </a:ln>
                        </wps:spPr>
                        <wps:bodyPr rot="0" vert="horz" wrap="square" lIns="91440" tIns="45720" rIns="91440" bIns="45720" anchor="ctr" anchorCtr="0" upright="1">
                          <a:noAutofit/>
                        </wps:bodyPr>
                      </wps:wsp>
                      <wps:wsp>
                        <wps:cNvPr id="1407" name="Прямоугольник 122"/>
                        <wps:cNvSpPr>
                          <a:spLocks noChangeArrowheads="1"/>
                        </wps:cNvSpPr>
                        <wps:spPr bwMode="auto">
                          <a:xfrm>
                            <a:off x="804" y="21945"/>
                            <a:ext cx="10782" cy="4566"/>
                          </a:xfrm>
                          <a:prstGeom prst="rect">
                            <a:avLst/>
                          </a:prstGeom>
                          <a:solidFill>
                            <a:srgbClr val="F2F2F2"/>
                          </a:solidFill>
                          <a:ln w="9525">
                            <a:solidFill>
                              <a:srgbClr val="000000"/>
                            </a:solidFill>
                            <a:prstDash val="lgDash"/>
                            <a:miter lim="800000"/>
                            <a:headEnd/>
                            <a:tailEnd/>
                          </a:ln>
                        </wps:spPr>
                        <wps:txbx>
                          <w:txbxContent>
                            <w:p w:rsidR="00BE40F8" w:rsidRPr="00093D2C" w:rsidRDefault="00BE40F8" w:rsidP="00B233DE">
                              <w:pPr>
                                <w:spacing w:before="120"/>
                                <w:ind w:firstLine="0"/>
                                <w:jc w:val="center"/>
                                <w:rPr>
                                  <w:rFonts w:ascii="Times New Roman" w:hAnsi="Times New Roman" w:cs="Times New Roman"/>
                                  <w:b/>
                                  <w:color w:val="000000"/>
                                  <w:sz w:val="18"/>
                                  <w:szCs w:val="18"/>
                                </w:rPr>
                              </w:pPr>
                              <w:r w:rsidRPr="00093D2C">
                                <w:rPr>
                                  <w:rFonts w:ascii="Times New Roman" w:hAnsi="Times New Roman" w:cs="Times New Roman"/>
                                  <w:b/>
                                  <w:color w:val="000000"/>
                                  <w:sz w:val="18"/>
                                  <w:szCs w:val="18"/>
                                </w:rPr>
                                <w:t>ДСРП</w:t>
                              </w:r>
                            </w:p>
                          </w:txbxContent>
                        </wps:txbx>
                        <wps:bodyPr rot="0" vert="horz" wrap="square" lIns="91440" tIns="45720" rIns="91440" bIns="45720" anchor="ctr" anchorCtr="0" upright="1">
                          <a:noAutofit/>
                        </wps:bodyPr>
                      </wps:wsp>
                      <wps:wsp>
                        <wps:cNvPr id="928" name="Равно 123"/>
                        <wps:cNvSpPr>
                          <a:spLocks/>
                        </wps:cNvSpPr>
                        <wps:spPr bwMode="auto">
                          <a:xfrm>
                            <a:off x="12362" y="22091"/>
                            <a:ext cx="3016" cy="3874"/>
                          </a:xfrm>
                          <a:custGeom>
                            <a:avLst/>
                            <a:gdLst>
                              <a:gd name="T0" fmla="*/ 39980 w 301625"/>
                              <a:gd name="T1" fmla="*/ 79794 h 387350"/>
                              <a:gd name="T2" fmla="*/ 261645 w 301625"/>
                              <a:gd name="T3" fmla="*/ 79794 h 387350"/>
                              <a:gd name="T4" fmla="*/ 261645 w 301625"/>
                              <a:gd name="T5" fmla="*/ 170899 h 387350"/>
                              <a:gd name="T6" fmla="*/ 39980 w 301625"/>
                              <a:gd name="T7" fmla="*/ 170899 h 387350"/>
                              <a:gd name="T8" fmla="*/ 39980 w 301625"/>
                              <a:gd name="T9" fmla="*/ 79794 h 387350"/>
                              <a:gd name="T10" fmla="*/ 39980 w 301625"/>
                              <a:gd name="T11" fmla="*/ 216451 h 387350"/>
                              <a:gd name="T12" fmla="*/ 261645 w 301625"/>
                              <a:gd name="T13" fmla="*/ 216451 h 387350"/>
                              <a:gd name="T14" fmla="*/ 261645 w 301625"/>
                              <a:gd name="T15" fmla="*/ 307556 h 387350"/>
                              <a:gd name="T16" fmla="*/ 39980 w 301625"/>
                              <a:gd name="T17" fmla="*/ 307556 h 387350"/>
                              <a:gd name="T18" fmla="*/ 39980 w 301625"/>
                              <a:gd name="T19" fmla="*/ 216451 h 38735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 name="T30" fmla="*/ 3163 w 301625"/>
                              <a:gd name="T31" fmla="*/ 3163 h 387350"/>
                              <a:gd name="T32" fmla="*/ 18437 w 301625"/>
                              <a:gd name="T33" fmla="*/ 18437 h 387350"/>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T30" t="T31" r="T32" b="T33"/>
                            <a:pathLst>
                              <a:path w="301625" h="387350">
                                <a:moveTo>
                                  <a:pt x="39980" y="79794"/>
                                </a:moveTo>
                                <a:lnTo>
                                  <a:pt x="261645" y="79794"/>
                                </a:lnTo>
                                <a:lnTo>
                                  <a:pt x="261645" y="170899"/>
                                </a:lnTo>
                                <a:lnTo>
                                  <a:pt x="39980" y="170899"/>
                                </a:lnTo>
                                <a:lnTo>
                                  <a:pt x="39980" y="79794"/>
                                </a:lnTo>
                                <a:close/>
                                <a:moveTo>
                                  <a:pt x="39980" y="216451"/>
                                </a:moveTo>
                                <a:lnTo>
                                  <a:pt x="261645" y="216451"/>
                                </a:lnTo>
                                <a:lnTo>
                                  <a:pt x="261645" y="307556"/>
                                </a:lnTo>
                                <a:lnTo>
                                  <a:pt x="39980" y="307556"/>
                                </a:lnTo>
                                <a:lnTo>
                                  <a:pt x="39980" y="216451"/>
                                </a:lnTo>
                                <a:close/>
                              </a:path>
                            </a:pathLst>
                          </a:custGeom>
                          <a:solidFill>
                            <a:srgbClr val="F2F2F2"/>
                          </a:solidFill>
                          <a:ln w="9525">
                            <a:solidFill>
                              <a:srgbClr val="000000"/>
                            </a:solidFill>
                            <a:round/>
                            <a:headEnd/>
                            <a:tailEnd/>
                          </a:ln>
                          <a:effectLst>
                            <a:outerShdw dist="20000" dir="5400000" rotWithShape="0">
                              <a:srgbClr val="000000">
                                <a:alpha val="37999"/>
                              </a:srgbClr>
                            </a:outerShdw>
                          </a:effectLst>
                        </wps:spPr>
                        <wps:bodyPr rot="0" vert="horz" wrap="square" lIns="91440" tIns="45720" rIns="91440" bIns="45720" anchor="ctr" anchorCtr="0" upright="1">
                          <a:noAutofit/>
                        </wps:bodyPr>
                      </wps:wsp>
                      <wps:wsp>
                        <wps:cNvPr id="929" name="Прямоугольник 124"/>
                        <wps:cNvSpPr>
                          <a:spLocks noChangeArrowheads="1"/>
                        </wps:cNvSpPr>
                        <wps:spPr bwMode="auto">
                          <a:xfrm>
                            <a:off x="16823" y="22016"/>
                            <a:ext cx="20630" cy="4476"/>
                          </a:xfrm>
                          <a:prstGeom prst="rect">
                            <a:avLst/>
                          </a:prstGeom>
                          <a:solidFill>
                            <a:srgbClr val="F2F2F2"/>
                          </a:solidFill>
                          <a:ln w="9525">
                            <a:solidFill>
                              <a:srgbClr val="000000"/>
                            </a:solidFill>
                            <a:prstDash val="lgDash"/>
                            <a:miter lim="800000"/>
                            <a:headEnd/>
                            <a:tailEnd/>
                          </a:ln>
                        </wps:spPr>
                        <wps:txbx>
                          <w:txbxContent>
                            <w:p w:rsidR="00BE40F8" w:rsidRPr="00093D2C" w:rsidRDefault="00BE40F8" w:rsidP="00B233DE">
                              <w:pPr>
                                <w:ind w:firstLine="0"/>
                                <w:jc w:val="center"/>
                                <w:rPr>
                                  <w:rFonts w:ascii="Times New Roman" w:hAnsi="Times New Roman" w:cs="Times New Roman"/>
                                  <w:b/>
                                  <w:sz w:val="18"/>
                                  <w:szCs w:val="18"/>
                                </w:rPr>
                              </w:pPr>
                              <w:r w:rsidRPr="00093D2C">
                                <w:rPr>
                                  <w:rFonts w:ascii="Times New Roman" w:hAnsi="Times New Roman" w:cs="Times New Roman"/>
                                  <w:b/>
                                  <w:sz w:val="18"/>
                                  <w:szCs w:val="18"/>
                                </w:rPr>
                                <w:t>у т.ч. ДСП</w:t>
                              </w:r>
                            </w:p>
                            <w:p w:rsidR="00BE40F8" w:rsidRPr="00093D2C" w:rsidRDefault="00BE40F8" w:rsidP="00B233DE">
                              <w:pPr>
                                <w:ind w:firstLine="0"/>
                                <w:jc w:val="center"/>
                                <w:rPr>
                                  <w:rFonts w:ascii="Times New Roman" w:hAnsi="Times New Roman" w:cs="Times New Roman"/>
                                  <w:b/>
                                  <w:sz w:val="18"/>
                                  <w:szCs w:val="18"/>
                                </w:rPr>
                              </w:pPr>
                              <w:r w:rsidRPr="00093D2C">
                                <w:rPr>
                                  <w:rFonts w:ascii="Times New Roman" w:hAnsi="Times New Roman" w:cs="Times New Roman"/>
                                  <w:b/>
                                  <w:sz w:val="18"/>
                                  <w:szCs w:val="18"/>
                                </w:rPr>
                                <w:t>щодо регіонів</w:t>
                              </w:r>
                            </w:p>
                          </w:txbxContent>
                        </wps:txbx>
                        <wps:bodyPr rot="0" vert="horz" wrap="square" lIns="0" tIns="0" rIns="0" bIns="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DA5827" id="Группа 130" o:spid="_x0000_s2183" style="position:absolute;left:0;text-align:left;margin-left:-.05pt;margin-top:.6pt;width:313.35pt;height:280.65pt;z-index:251697152;mso-position-horizontal-relative:text;mso-position-vertical-relative:text" coordsize="59763,511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">
                <v:rect id="Прямоугольник 126" o:spid="_x0000_s2184" style="position:absolute;left:41916;top:22165;width:16438;height:43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" fillcolor="#f2f2f2">
                  <v:stroke dashstyle="longDash"/>
                  <v:textbox inset="0,0,0,0">
                    <w:txbxContent>
                      <w:p w:rsidR="00BE40F8" w:rsidRPr="00093D2C" w:rsidRDefault="00BE40F8" w:rsidP="00B233DE">
                        <w:pPr>
                          <w:ind w:firstLine="0"/>
                          <w:jc w:val="center"/>
                          <w:rPr>
                            <w:rFonts w:ascii="Times New Roman" w:hAnsi="Times New Roman" w:cs="Times New Roman"/>
                            <w:b/>
                            <w:sz w:val="18"/>
                            <w:szCs w:val="18"/>
                          </w:rPr>
                        </w:pPr>
                        <w:r w:rsidRPr="00093D2C">
                          <w:rPr>
                            <w:rFonts w:ascii="Times New Roman" w:hAnsi="Times New Roman" w:cs="Times New Roman"/>
                            <w:b/>
                            <w:sz w:val="18"/>
                            <w:szCs w:val="18"/>
                          </w:rPr>
                          <w:t>у т.ч. ДСП</w:t>
                        </w:r>
                      </w:p>
                      <w:p w:rsidR="00BE40F8" w:rsidRPr="00093D2C" w:rsidRDefault="00BE40F8" w:rsidP="00B233DE">
                        <w:pPr>
                          <w:ind w:firstLine="0"/>
                          <w:jc w:val="center"/>
                          <w:rPr>
                            <w:rFonts w:ascii="Times New Roman" w:hAnsi="Times New Roman" w:cs="Times New Roman"/>
                            <w:b/>
                            <w:sz w:val="18"/>
                            <w:szCs w:val="18"/>
                          </w:rPr>
                        </w:pPr>
                        <w:r w:rsidRPr="00093D2C">
                          <w:rPr>
                            <w:rFonts w:ascii="Times New Roman" w:hAnsi="Times New Roman" w:cs="Times New Roman"/>
                            <w:b/>
                            <w:sz w:val="18"/>
                            <w:szCs w:val="18"/>
                          </w:rPr>
                          <w:t>регіонів</w:t>
                        </w:r>
                      </w:p>
                    </w:txbxContent>
                  </v:textbox>
                </v:rect>
                <v:shape id="Равно 31" o:spid="_x0000_s2185" style="position:absolute;left:11558;top:6876;width:5289;height:7226;visibility:visible;mso-wrap-style:square;v-text-anchor:middle" coordsize="528955,722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" path="m70113,148862r388729,l458842,318824r-388729,l70113,148862xm70113,403806r388729,l458842,573768r-388729,l70113,403806xe" fillcolor="#bcbcbc">
                  <v:fill color2="#ededed" rotate="t" angle="180" colors="0 #bcbcbc;22938f #d0d0d0;1 #ededed" focus="100%" type="gradient"/>
                  <v:shadow on="t" color="black" opacity="24903f" origin=",.5" offset="0,.55556mm"/>
                  <v:path arrowok="t" o:connecttype="custom" o:connectlocs="701,1489;4588,1489;4588,3188;701,3188;701,1489;701,4038;4588,4038;4588,5737;701,5737;701,4038" o:connectangles="0,0,0,0,0,0,0,0,0,0" textboxrect="3200,3200,18402,18401"/>
                </v:shape>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Багетная рамка 104" o:spid="_x0000_s2186" type="#_x0000_t84" style="position:absolute;left:658;top:2926;width:10954;height:149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" fillcolor="#bcbcbc">
                  <v:fill color2="#ededed" rotate="t" angle="180" colors="0 #bcbcbc;22938f #d0d0d0;1 #ededed" focus="100%" type="gradient"/>
                  <v:shadow on="t" color="black" opacity="24903f" origin=",.5" offset="0,.55556mm"/>
                  <v:textbox inset="0,0,0,0">
                    <w:txbxContent>
                      <w:p w:rsidR="00BE40F8" w:rsidRPr="00093D2C" w:rsidRDefault="00BE40F8" w:rsidP="00B233DE">
                        <w:pPr>
                          <w:spacing w:before="240"/>
                          <w:ind w:firstLine="0"/>
                          <w:jc w:val="center"/>
                          <w:rPr>
                            <w:rFonts w:ascii="Times New Roman" w:hAnsi="Times New Roman" w:cs="Times New Roman"/>
                            <w:b/>
                            <w:sz w:val="18"/>
                            <w:szCs w:val="18"/>
                          </w:rPr>
                        </w:pPr>
                        <w:r w:rsidRPr="00093D2C">
                          <w:rPr>
                            <w:rFonts w:ascii="Times New Roman" w:hAnsi="Times New Roman" w:cs="Times New Roman"/>
                            <w:b/>
                            <w:sz w:val="18"/>
                            <w:szCs w:val="18"/>
                          </w:rPr>
                          <w:t>СРП</w:t>
                        </w:r>
                      </w:p>
                      <w:p w:rsidR="00BE40F8" w:rsidRPr="00093D2C" w:rsidRDefault="00BE40F8" w:rsidP="00B233DE">
                        <w:pPr>
                          <w:jc w:val="center"/>
                          <w:rPr>
                            <w:rFonts w:ascii="Times New Roman" w:hAnsi="Times New Roman" w:cs="Times New Roman"/>
                            <w:b/>
                            <w:sz w:val="20"/>
                            <w:szCs w:val="20"/>
                          </w:rPr>
                        </w:pPr>
                      </w:p>
                    </w:txbxContent>
                  </v:textbox>
                </v:shape>
                <v:shape id="Багетная рамка 105" o:spid="_x0000_s2187" type="#_x0000_t84" style="position:absolute;left:16898;top:2999;width:20555;height:14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" fillcolor="#bcbcbc">
                  <v:fill color2="#ededed" rotate="t" angle="180" colors="0 #bcbcbc;22938f #d0d0d0;1 #ededed" focus="100%" type="gradient"/>
                  <v:shadow on="t" color="black" opacity="24903f" origin=",.5" offset="0,.55556mm"/>
                  <v:textbox>
                    <w:txbxContent>
                      <w:p w:rsidR="00BE40F8" w:rsidRPr="00093D2C" w:rsidRDefault="00BE40F8" w:rsidP="00B233DE">
                        <w:pPr>
                          <w:ind w:firstLine="0"/>
                          <w:jc w:val="center"/>
                          <w:rPr>
                            <w:rFonts w:ascii="Times New Roman" w:hAnsi="Times New Roman" w:cs="Times New Roman"/>
                            <w:b/>
                            <w:sz w:val="18"/>
                            <w:szCs w:val="18"/>
                          </w:rPr>
                        </w:pPr>
                        <w:r w:rsidRPr="00093D2C">
                          <w:rPr>
                            <w:rFonts w:ascii="Times New Roman" w:hAnsi="Times New Roman" w:cs="Times New Roman"/>
                            <w:b/>
                            <w:sz w:val="18"/>
                            <w:szCs w:val="18"/>
                          </w:rPr>
                          <w:t>СП щодо регіонів</w:t>
                        </w:r>
                      </w:p>
                      <w:p w:rsidR="00BE40F8" w:rsidRPr="00093D2C" w:rsidRDefault="00BE40F8" w:rsidP="00B233DE">
                        <w:pPr>
                          <w:ind w:firstLine="0"/>
                          <w:jc w:val="center"/>
                          <w:rPr>
                            <w:rFonts w:ascii="Times New Roman" w:hAnsi="Times New Roman" w:cs="Times New Roman"/>
                            <w:b/>
                            <w:sz w:val="18"/>
                            <w:szCs w:val="18"/>
                          </w:rPr>
                        </w:pPr>
                      </w:p>
                      <w:p w:rsidR="00BE40F8" w:rsidRPr="00093D2C" w:rsidRDefault="00BE40F8" w:rsidP="00B233DE">
                        <w:pPr>
                          <w:ind w:firstLine="0"/>
                          <w:jc w:val="center"/>
                          <w:rPr>
                            <w:rFonts w:ascii="Times New Roman" w:hAnsi="Times New Roman" w:cs="Times New Roman"/>
                            <w:b/>
                            <w:sz w:val="18"/>
                            <w:szCs w:val="18"/>
                          </w:rPr>
                        </w:pPr>
                      </w:p>
                      <w:p w:rsidR="00BE40F8" w:rsidRDefault="00BE40F8" w:rsidP="00B233DE">
                        <w:pPr>
                          <w:spacing w:before="240"/>
                          <w:ind w:firstLine="0"/>
                          <w:jc w:val="center"/>
                          <w:rPr>
                            <w:rFonts w:ascii="Times New Roman" w:hAnsi="Times New Roman" w:cs="Times New Roman"/>
                            <w:b/>
                            <w:sz w:val="18"/>
                            <w:szCs w:val="18"/>
                          </w:rPr>
                        </w:pPr>
                      </w:p>
                      <w:p w:rsidR="00BE40F8" w:rsidRPr="00093D2C" w:rsidRDefault="00BE40F8" w:rsidP="00B233DE">
                        <w:pPr>
                          <w:spacing w:before="240"/>
                          <w:ind w:firstLine="0"/>
                          <w:jc w:val="center"/>
                          <w:rPr>
                            <w:rFonts w:ascii="Times New Roman" w:hAnsi="Times New Roman" w:cs="Times New Roman"/>
                            <w:b/>
                            <w:sz w:val="18"/>
                            <w:szCs w:val="18"/>
                          </w:rPr>
                        </w:pPr>
                      </w:p>
                      <w:p w:rsidR="00BE40F8" w:rsidRPr="00093D2C" w:rsidRDefault="00BE40F8" w:rsidP="00B233DE">
                        <w:pPr>
                          <w:spacing w:before="240"/>
                          <w:ind w:firstLine="0"/>
                          <w:jc w:val="center"/>
                          <w:rPr>
                            <w:rFonts w:ascii="Times New Roman" w:hAnsi="Times New Roman" w:cs="Times New Roman"/>
                            <w:b/>
                            <w:sz w:val="18"/>
                            <w:szCs w:val="18"/>
                          </w:rPr>
                        </w:pPr>
                      </w:p>
                    </w:txbxContent>
                  </v:textbox>
                </v:shape>
                <v:shape id="Багетная рамка 108" o:spid="_x0000_s2188" type="#_x0000_t84" style="position:absolute;left:42743;top:2926;width:15575;height:149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" fillcolor="#bcbcbc">
                  <v:fill color2="#ededed" rotate="t" angle="180" colors="0 #bcbcbc;22938f #d0d0d0;1 #ededed" focus="100%" type="gradient"/>
                  <v:shadow on="t" color="black" opacity="24903f" origin=",.5" offset="0,.55556mm"/>
                  <v:textbox>
                    <w:txbxContent>
                      <w:p w:rsidR="00BE40F8" w:rsidRPr="00093D2C" w:rsidRDefault="00BE40F8" w:rsidP="00B233DE">
                        <w:pPr>
                          <w:ind w:firstLine="0"/>
                          <w:jc w:val="center"/>
                          <w:rPr>
                            <w:rFonts w:ascii="Times New Roman" w:hAnsi="Times New Roman" w:cs="Times New Roman"/>
                            <w:b/>
                            <w:sz w:val="18"/>
                            <w:szCs w:val="18"/>
                          </w:rPr>
                        </w:pPr>
                        <w:r w:rsidRPr="00093D2C">
                          <w:rPr>
                            <w:rFonts w:ascii="Times New Roman" w:hAnsi="Times New Roman" w:cs="Times New Roman"/>
                            <w:b/>
                            <w:sz w:val="18"/>
                            <w:szCs w:val="18"/>
                          </w:rPr>
                          <w:t>СП регіонів</w:t>
                        </w:r>
                      </w:p>
                    </w:txbxContent>
                  </v:textbox>
                </v:shape>
                <v:line id="Прямая соединительная линия 110" o:spid="_x0000_s2189" style="position:absolute;visibility:visible;mso-wrap-style:square" from="73,0" to="5976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" strokeweight="1.5pt"/>
                <v:line id="Прямая соединительная линия 111" o:spid="_x0000_s2190" style="position:absolute;visibility:visible;mso-wrap-style:square" from="73,0" to="73,51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" strokeweight="1.5pt"/>
                <v:line id="Прямая соединительная линия 112" o:spid="_x0000_s2191" style="position:absolute;visibility:visible;mso-wrap-style:square" from="0,51133" to="59690,51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" strokeweight="1.5pt"/>
                <v:line id="Прямая соединительная линия 113" o:spid="_x0000_s2192" style="position:absolute;visibility:visible;mso-wrap-style:square" from="59692,0" to="59692,51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" strokeweight="1.5pt"/>
                <v:rect id="Прямоугольник 116" o:spid="_x0000_s2193" style="position:absolute;left:2999;top:9948;width:6286;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" fillcolor="#f2f2f2">
                  <v:stroke dashstyle="longDash"/>
                  <v:textbox inset="0,0,0,0">
                    <w:txbxContent>
                      <w:p w:rsidR="00BE40F8" w:rsidRPr="00093D2C" w:rsidRDefault="00BE40F8" w:rsidP="00B233DE">
                        <w:pPr>
                          <w:ind w:firstLine="0"/>
                          <w:jc w:val="center"/>
                          <w:rPr>
                            <w:rFonts w:ascii="Times New Roman" w:hAnsi="Times New Roman" w:cs="Times New Roman"/>
                            <w:b/>
                            <w:color w:val="000000"/>
                            <w:sz w:val="18"/>
                            <w:szCs w:val="18"/>
                          </w:rPr>
                        </w:pPr>
                        <w:r w:rsidRPr="00093D2C">
                          <w:rPr>
                            <w:rFonts w:ascii="Times New Roman" w:hAnsi="Times New Roman" w:cs="Times New Roman"/>
                            <w:b/>
                            <w:color w:val="000000"/>
                            <w:sz w:val="18"/>
                            <w:szCs w:val="18"/>
                          </w:rPr>
                          <w:t>у т.ч. ДСРП</w:t>
                        </w:r>
                      </w:p>
                    </w:txbxContent>
                  </v:textbox>
                </v:rect>
                <v:rect id="Прямоугольник 117" o:spid="_x0000_s2194" style="position:absolute;left:19604;top:9948;width:15437;height:53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" fillcolor="#f2f2f2">
                  <v:stroke dashstyle="longDash"/>
                  <v:textbox>
                    <w:txbxContent>
                      <w:p w:rsidR="00BE40F8" w:rsidRPr="00093D2C" w:rsidRDefault="00BE40F8" w:rsidP="00B233DE">
                        <w:pPr>
                          <w:ind w:firstLine="0"/>
                          <w:jc w:val="center"/>
                          <w:rPr>
                            <w:rFonts w:ascii="Times New Roman" w:hAnsi="Times New Roman" w:cs="Times New Roman"/>
                            <w:b/>
                            <w:color w:val="000000"/>
                            <w:sz w:val="18"/>
                            <w:szCs w:val="18"/>
                          </w:rPr>
                        </w:pPr>
                        <w:r w:rsidRPr="00093D2C">
                          <w:rPr>
                            <w:rFonts w:ascii="Times New Roman" w:hAnsi="Times New Roman" w:cs="Times New Roman"/>
                            <w:b/>
                            <w:color w:val="000000"/>
                            <w:sz w:val="18"/>
                            <w:szCs w:val="18"/>
                          </w:rPr>
                          <w:t>у т.ч. ДСП щодо регіонів</w:t>
                        </w:r>
                      </w:p>
                    </w:txbxContent>
                  </v:textbox>
                </v:rect>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Блок-схема: перфолента 106" o:spid="_x0000_s2195" type="#_x0000_t122" style="position:absolute;left:32296;top:6693;width:15432;height:784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" filled="f" strokecolor="white" strokeweight="2pt"/>
                <v:rect id="Прямоугольник 118" o:spid="_x0000_s2196" style="position:absolute;left:45720;top:9948;width:9665;height:53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" fillcolor="#f2f2f2">
                  <v:stroke dashstyle="longDash"/>
                  <v:textbox inset="0,0,0,0">
                    <w:txbxContent>
                      <w:p w:rsidR="00BE40F8" w:rsidRPr="00093D2C" w:rsidRDefault="00BE40F8" w:rsidP="00B233DE">
                        <w:pPr>
                          <w:ind w:firstLine="0"/>
                          <w:jc w:val="center"/>
                          <w:rPr>
                            <w:rFonts w:ascii="Times New Roman" w:hAnsi="Times New Roman" w:cs="Times New Roman"/>
                            <w:b/>
                            <w:color w:val="000000"/>
                            <w:sz w:val="18"/>
                            <w:szCs w:val="18"/>
                          </w:rPr>
                        </w:pPr>
                        <w:r w:rsidRPr="00093D2C">
                          <w:rPr>
                            <w:rFonts w:ascii="Times New Roman" w:hAnsi="Times New Roman" w:cs="Times New Roman"/>
                            <w:b/>
                            <w:color w:val="000000"/>
                            <w:sz w:val="18"/>
                            <w:szCs w:val="18"/>
                          </w:rPr>
                          <w:t>у т.ч. ДСП регіонів</w:t>
                        </w:r>
                      </w:p>
                    </w:txbxContent>
                  </v:textbox>
                </v:rect>
                <v:shape id="Плюс 2" o:spid="_x0000_s2197" style="position:absolute;left:37453;top:8193;width:5290;height:5867;visibility:visible;mso-wrap-style:square;v-text-anchor:middle" coordsize="528955,586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" path="m70113,231165r132159,l202272,77772r124411,l326683,231165r132159,l458842,355575r-132159,l326683,508968r-124411,l202272,355575r-132159,l70113,231165xe" fillcolor="#bcbcbc">
                  <v:fill color2="#ededed" rotate="t" angle="180" colors="0 #bcbcbc;22938f #d0d0d0;1 #ededed" focus="100%" type="gradient"/>
                  <v:shadow on="t" color="black" opacity="24903f" origin=",.5" offset="0,.55556mm"/>
                  <v:path arrowok="t" o:connecttype="custom" o:connectlocs="701,2311;2023,2311;2023,778;3267,778;3267,2311;4589,2311;4589,3556;3267,3556;3267,5089;2023,5089;2023,3556;701,3556;701,2311" o:connectangles="0,0,0,0,0,0,0,0,0,0,0,0,0"/>
                </v:shape>
                <v:shape id="Стрелка вниз 119" o:spid="_x0000_s2198" type="#_x0000_t67" style="position:absolute;left:3511;top:15288;width:4845;height:67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" adj="13845" fillcolor="#f2f2f2">
                  <v:stroke dashstyle="longDash"/>
                </v:shape>
                <v:shape id="Стрелка вниз 120" o:spid="_x0000_s2199" type="#_x0000_t67" style="position:absolute;left:25017;top:15215;width:4846;height:6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" adj="13826" fillcolor="#f2f2f2">
                  <v:stroke dashstyle="longDash"/>
                </v:shape>
                <v:shape id="Стрелка вниз 121" o:spid="_x0000_s2200" type="#_x0000_t67" style="position:absolute;left:48353;top:15215;width:4845;height:67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" adj="13819" fillcolor="#f2f2f2">
                  <v:stroke dashstyle="longDash"/>
                </v:shape>
                <v:rect id="Прямоугольник 122" o:spid="_x0000_s2201" style="position:absolute;left:804;top:21945;width:10782;height:45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" fillcolor="#f2f2f2">
                  <v:stroke dashstyle="longDash"/>
                  <v:textbox>
                    <w:txbxContent>
                      <w:p w:rsidR="00BE40F8" w:rsidRPr="00093D2C" w:rsidRDefault="00BE40F8" w:rsidP="00B233DE">
                        <w:pPr>
                          <w:spacing w:before="120"/>
                          <w:ind w:firstLine="0"/>
                          <w:jc w:val="center"/>
                          <w:rPr>
                            <w:rFonts w:ascii="Times New Roman" w:hAnsi="Times New Roman" w:cs="Times New Roman"/>
                            <w:b/>
                            <w:color w:val="000000"/>
                            <w:sz w:val="18"/>
                            <w:szCs w:val="18"/>
                          </w:rPr>
                        </w:pPr>
                        <w:r w:rsidRPr="00093D2C">
                          <w:rPr>
                            <w:rFonts w:ascii="Times New Roman" w:hAnsi="Times New Roman" w:cs="Times New Roman"/>
                            <w:b/>
                            <w:color w:val="000000"/>
                            <w:sz w:val="18"/>
                            <w:szCs w:val="18"/>
                          </w:rPr>
                          <w:t>ДСРП</w:t>
                        </w:r>
                      </w:p>
                    </w:txbxContent>
                  </v:textbox>
                </v:rect>
                <v:shape id="Равно 123" o:spid="_x0000_s2202" style="position:absolute;left:12362;top:22091;width:3016;height:3874;visibility:visible;mso-wrap-style:square;v-text-anchor:middle" coordsize="301625,387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" path="m39980,79794r221665,l261645,170899r-221665,l39980,79794xm39980,216451r221665,l261645,307556r-221665,l39980,216451xe" fillcolor="#f2f2f2">
                  <v:shadow on="t" color="black" opacity="24903f" origin=",.5" offset="0,.55556mm"/>
                  <v:path arrowok="t" o:connecttype="custom" o:connectlocs="400,798;2616,798;2616,1709;400,1709;400,798;400,2165;2616,2165;2616,3076;400,3076;400,2165" o:connectangles="0,0,0,0,0,0,0,0,0,0" textboxrect="3200,3200,18402,18398"/>
                </v:shape>
                <v:rect id="Прямоугольник 124" o:spid="_x0000_s2203" style="position:absolute;left:16823;top:22016;width:20630;height:4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" fillcolor="#f2f2f2">
                  <v:stroke dashstyle="longDash"/>
                  <v:textbox inset="0,0,0,0">
                    <w:txbxContent>
                      <w:p w:rsidR="00BE40F8" w:rsidRPr="00093D2C" w:rsidRDefault="00BE40F8" w:rsidP="00B233DE">
                        <w:pPr>
                          <w:ind w:firstLine="0"/>
                          <w:jc w:val="center"/>
                          <w:rPr>
                            <w:rFonts w:ascii="Times New Roman" w:hAnsi="Times New Roman" w:cs="Times New Roman"/>
                            <w:b/>
                            <w:sz w:val="18"/>
                            <w:szCs w:val="18"/>
                          </w:rPr>
                        </w:pPr>
                        <w:r w:rsidRPr="00093D2C">
                          <w:rPr>
                            <w:rFonts w:ascii="Times New Roman" w:hAnsi="Times New Roman" w:cs="Times New Roman"/>
                            <w:b/>
                            <w:sz w:val="18"/>
                            <w:szCs w:val="18"/>
                          </w:rPr>
                          <w:t>у т.ч. ДСП</w:t>
                        </w:r>
                      </w:p>
                      <w:p w:rsidR="00BE40F8" w:rsidRPr="00093D2C" w:rsidRDefault="00BE40F8" w:rsidP="00B233DE">
                        <w:pPr>
                          <w:ind w:firstLine="0"/>
                          <w:jc w:val="center"/>
                          <w:rPr>
                            <w:rFonts w:ascii="Times New Roman" w:hAnsi="Times New Roman" w:cs="Times New Roman"/>
                            <w:b/>
                            <w:sz w:val="18"/>
                            <w:szCs w:val="18"/>
                          </w:rPr>
                        </w:pPr>
                        <w:r w:rsidRPr="00093D2C">
                          <w:rPr>
                            <w:rFonts w:ascii="Times New Roman" w:hAnsi="Times New Roman" w:cs="Times New Roman"/>
                            <w:b/>
                            <w:sz w:val="18"/>
                            <w:szCs w:val="18"/>
                          </w:rPr>
                          <w:t>щодо регіонів</w:t>
                        </w:r>
                      </w:p>
                    </w:txbxContent>
                  </v:textbox>
                </v:rect>
              </v:group>
            </w:pict>
          </mc:Fallback>
        </mc:AlternateConten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p>
    <w:p w:rsidR="00B233DE" w:rsidRPr="00113FA4" w:rsidRDefault="00B233DE" w:rsidP="00B233DE">
      <w:pPr>
        <w:autoSpaceDE w:val="0"/>
        <w:autoSpaceDN w:val="0"/>
        <w:adjustRightInd w:val="0"/>
        <w:ind w:right="-1" w:firstLine="709"/>
        <w:jc w:val="both"/>
        <w:rPr>
          <w:rFonts w:ascii="Times New Roman" w:hAnsi="Times New Roman" w:cs="Times New Roman"/>
          <w:sz w:val="21"/>
          <w:szCs w:val="21"/>
        </w:rPr>
      </w:pPr>
      <w:r w:rsidRPr="00113FA4">
        <w:rPr>
          <w:rFonts w:ascii="Times New Roman" w:hAnsi="Times New Roman" w:cs="Times New Roman"/>
          <w:sz w:val="21"/>
          <w:szCs w:val="21"/>
        </w:rPr>
        <w:t>,</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noProof/>
          <w:lang w:val="ru-RU" w:eastAsia="ru-RU"/>
        </w:rPr>
        <mc:AlternateContent>
          <mc:Choice Requires="wps">
            <w:drawing>
              <wp:anchor distT="0" distB="0" distL="114300" distR="114300" simplePos="0" relativeHeight="251698176" behindDoc="0" locked="0" layoutInCell="1" allowOverlap="1" wp14:anchorId="5970B4F2" wp14:editId="53DA7DB5">
                <wp:simplePos x="0" y="0"/>
                <wp:positionH relativeFrom="column">
                  <wp:posOffset>2353733</wp:posOffset>
                </wp:positionH>
                <wp:positionV relativeFrom="paragraph">
                  <wp:posOffset>48260</wp:posOffset>
                </wp:positionV>
                <wp:extent cx="362585" cy="387350"/>
                <wp:effectExtent l="0" t="0" r="18415" b="31750"/>
                <wp:wrapNone/>
                <wp:docPr id="931" name="Плюс 9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2585" cy="387350"/>
                        </a:xfrm>
                        <a:prstGeom prst="mathPlus">
                          <a:avLst/>
                        </a:prstGeom>
                        <a:solidFill>
                          <a:sysClr val="window" lastClr="FFFFFF">
                            <a:lumMod val="95000"/>
                          </a:sysClr>
                        </a:soli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8AB31C5" id="Плюс 931" o:spid="_x0000_s1026" style="position:absolute;margin-left:185.35pt;margin-top:3.8pt;width:28.55pt;height:30.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362585,387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" path="m48061,151035r90592,l138653,51343r85279,l223932,151035r90592,l314524,236315r-90592,l223932,336007r-85279,l138653,236315r-90592,l48061,151035xe" fillcolor="#f2f2f2">
                <v:shadow on="t" color="black" opacity="24903f" origin=",.5" offset="0,.55556mm"/>
                <v:path arrowok="t" o:connecttype="custom" o:connectlocs="48061,151035;138653,151035;138653,51343;223932,51343;223932,151035;314524,151035;314524,236315;223932,236315;223932,336007;138653,336007;138653,236315;48061,236315;48061,151035" o:connectangles="0,0,0,0,0,0,0,0,0,0,0,0,0"/>
              </v:shape>
            </w:pict>
          </mc:Fallback>
        </mc:AlternateConten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p>
    <w:p w:rsidR="00B233DE" w:rsidRDefault="00B233DE" w:rsidP="00B233DE">
      <w:pPr>
        <w:autoSpaceDE w:val="0"/>
        <w:autoSpaceDN w:val="0"/>
        <w:adjustRightInd w:val="0"/>
        <w:ind w:firstLine="709"/>
        <w:jc w:val="both"/>
        <w:rPr>
          <w:rFonts w:ascii="Times New Roman" w:hAnsi="Times New Roman" w:cs="Times New Roman"/>
          <w:sz w:val="21"/>
          <w:szCs w:val="21"/>
        </w:rPr>
      </w:pPr>
    </w:p>
    <w:p w:rsidR="00B233DE" w:rsidRDefault="00B233DE" w:rsidP="00B233DE">
      <w:pPr>
        <w:autoSpaceDE w:val="0"/>
        <w:autoSpaceDN w:val="0"/>
        <w:adjustRightInd w:val="0"/>
        <w:spacing w:line="230" w:lineRule="auto"/>
        <w:ind w:left="142" w:firstLine="284"/>
        <w:jc w:val="both"/>
        <w:rPr>
          <w:rFonts w:ascii="Times New Roman" w:hAnsi="Times New Roman" w:cs="Times New Roman"/>
          <w:sz w:val="21"/>
          <w:szCs w:val="21"/>
        </w:rPr>
      </w:pPr>
    </w:p>
    <w:p w:rsidR="00B233DE" w:rsidRPr="00093D2C" w:rsidRDefault="00B233DE" w:rsidP="00B233DE">
      <w:pPr>
        <w:autoSpaceDE w:val="0"/>
        <w:autoSpaceDN w:val="0"/>
        <w:adjustRightInd w:val="0"/>
        <w:spacing w:line="230" w:lineRule="auto"/>
        <w:ind w:left="142" w:firstLine="284"/>
        <w:jc w:val="both"/>
        <w:rPr>
          <w:rFonts w:ascii="Times New Roman" w:hAnsi="Times New Roman" w:cs="Times New Roman"/>
          <w:sz w:val="18"/>
          <w:szCs w:val="18"/>
        </w:rPr>
      </w:pPr>
      <w:r w:rsidRPr="00093D2C">
        <w:rPr>
          <w:rFonts w:ascii="Times New Roman" w:hAnsi="Times New Roman" w:cs="Times New Roman"/>
          <w:sz w:val="18"/>
          <w:szCs w:val="18"/>
        </w:rPr>
        <w:t>де СРП – соціальна регіональна політика;</w:t>
      </w:r>
    </w:p>
    <w:p w:rsidR="00B233DE" w:rsidRPr="00093D2C" w:rsidRDefault="00B233DE" w:rsidP="00B233DE">
      <w:pPr>
        <w:autoSpaceDE w:val="0"/>
        <w:autoSpaceDN w:val="0"/>
        <w:adjustRightInd w:val="0"/>
        <w:spacing w:line="230" w:lineRule="auto"/>
        <w:ind w:left="142" w:firstLine="284"/>
        <w:jc w:val="both"/>
        <w:rPr>
          <w:rFonts w:ascii="Times New Roman" w:hAnsi="Times New Roman" w:cs="Times New Roman"/>
          <w:sz w:val="18"/>
          <w:szCs w:val="18"/>
        </w:rPr>
      </w:pPr>
      <w:r w:rsidRPr="00093D2C">
        <w:rPr>
          <w:rFonts w:ascii="Times New Roman" w:hAnsi="Times New Roman" w:cs="Times New Roman"/>
          <w:sz w:val="18"/>
          <w:szCs w:val="18"/>
        </w:rPr>
        <w:t>СП щодо регіонів – міжнародні (мегарівень) та загальнонаціональні (макрорівень) аспекти соціальної політики стосовно регіонів країни;</w:t>
      </w:r>
    </w:p>
    <w:p w:rsidR="00B233DE" w:rsidRPr="00093D2C" w:rsidRDefault="00B233DE" w:rsidP="00B233DE">
      <w:pPr>
        <w:autoSpaceDE w:val="0"/>
        <w:autoSpaceDN w:val="0"/>
        <w:adjustRightInd w:val="0"/>
        <w:spacing w:line="230" w:lineRule="auto"/>
        <w:ind w:left="142" w:firstLine="284"/>
        <w:jc w:val="both"/>
        <w:rPr>
          <w:rFonts w:ascii="Times New Roman" w:hAnsi="Times New Roman" w:cs="Times New Roman"/>
          <w:sz w:val="18"/>
          <w:szCs w:val="18"/>
        </w:rPr>
      </w:pPr>
      <w:r w:rsidRPr="00093D2C">
        <w:rPr>
          <w:rFonts w:ascii="Times New Roman" w:hAnsi="Times New Roman" w:cs="Times New Roman"/>
          <w:sz w:val="18"/>
          <w:szCs w:val="18"/>
        </w:rPr>
        <w:t>СП регіонів – загальнорегіональні аспекти соціальної політики (у т.ч. мікро-, нано- ті індивідуальних рівнів);</w:t>
      </w:r>
    </w:p>
    <w:p w:rsidR="00B233DE" w:rsidRPr="00093D2C" w:rsidRDefault="00B233DE" w:rsidP="00B233DE">
      <w:pPr>
        <w:autoSpaceDE w:val="0"/>
        <w:autoSpaceDN w:val="0"/>
        <w:adjustRightInd w:val="0"/>
        <w:spacing w:line="230" w:lineRule="auto"/>
        <w:ind w:left="142" w:firstLine="284"/>
        <w:jc w:val="both"/>
        <w:rPr>
          <w:rFonts w:ascii="Times New Roman" w:hAnsi="Times New Roman" w:cs="Times New Roman"/>
          <w:sz w:val="18"/>
          <w:szCs w:val="18"/>
        </w:rPr>
      </w:pPr>
      <w:r w:rsidRPr="00093D2C">
        <w:rPr>
          <w:rFonts w:ascii="Times New Roman" w:hAnsi="Times New Roman" w:cs="Times New Roman"/>
          <w:sz w:val="18"/>
          <w:szCs w:val="18"/>
        </w:rPr>
        <w:t>ДСРП – державна соціальна регіональна політика;</w:t>
      </w:r>
    </w:p>
    <w:p w:rsidR="00B233DE" w:rsidRPr="00093D2C" w:rsidRDefault="00B233DE" w:rsidP="00B233DE">
      <w:pPr>
        <w:autoSpaceDE w:val="0"/>
        <w:autoSpaceDN w:val="0"/>
        <w:adjustRightInd w:val="0"/>
        <w:spacing w:line="230" w:lineRule="auto"/>
        <w:ind w:left="142" w:firstLine="284"/>
        <w:jc w:val="both"/>
        <w:rPr>
          <w:rFonts w:ascii="Times New Roman" w:hAnsi="Times New Roman" w:cs="Times New Roman"/>
          <w:sz w:val="18"/>
          <w:szCs w:val="18"/>
        </w:rPr>
      </w:pPr>
      <w:r w:rsidRPr="00093D2C">
        <w:rPr>
          <w:rFonts w:ascii="Times New Roman" w:hAnsi="Times New Roman" w:cs="Times New Roman"/>
          <w:sz w:val="18"/>
          <w:szCs w:val="18"/>
        </w:rPr>
        <w:t>ДСП щодо регіонів – загальнонаціональні (макрорівень) аспекти соціальної політики держави стосовно регіонів країни;</w:t>
      </w:r>
    </w:p>
    <w:p w:rsidR="00B233DE" w:rsidRPr="00093D2C" w:rsidRDefault="00B233DE" w:rsidP="00B233DE">
      <w:pPr>
        <w:autoSpaceDE w:val="0"/>
        <w:autoSpaceDN w:val="0"/>
        <w:adjustRightInd w:val="0"/>
        <w:spacing w:line="230" w:lineRule="auto"/>
        <w:ind w:left="142" w:firstLine="284"/>
        <w:jc w:val="both"/>
        <w:rPr>
          <w:rFonts w:ascii="Times New Roman" w:hAnsi="Times New Roman" w:cs="Times New Roman"/>
          <w:sz w:val="18"/>
          <w:szCs w:val="18"/>
        </w:rPr>
      </w:pPr>
      <w:r w:rsidRPr="00093D2C">
        <w:rPr>
          <w:rFonts w:ascii="Times New Roman" w:hAnsi="Times New Roman" w:cs="Times New Roman"/>
          <w:sz w:val="18"/>
          <w:szCs w:val="18"/>
        </w:rPr>
        <w:t>ДСП регіонів – загальнорегіональні аспекти соціальної політики з боку державних органів влади (у т.ч. мікро-, нано- та індивідуальних рівнів).</w:t>
      </w:r>
    </w:p>
    <w:p w:rsidR="00B233DE" w:rsidRPr="00113FA4" w:rsidRDefault="00B233DE" w:rsidP="00B233DE">
      <w:pPr>
        <w:autoSpaceDE w:val="0"/>
        <w:autoSpaceDN w:val="0"/>
        <w:adjustRightInd w:val="0"/>
        <w:spacing w:line="230" w:lineRule="auto"/>
        <w:ind w:left="142" w:firstLine="284"/>
        <w:jc w:val="both"/>
        <w:rPr>
          <w:rFonts w:ascii="Times New Roman" w:hAnsi="Times New Roman" w:cs="Times New Roman"/>
          <w:sz w:val="21"/>
          <w:szCs w:val="21"/>
        </w:rPr>
      </w:pP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p>
    <w:p w:rsidR="00B233DE" w:rsidRPr="00093D2C" w:rsidRDefault="00B233DE" w:rsidP="00B233DE">
      <w:pPr>
        <w:autoSpaceDE w:val="0"/>
        <w:autoSpaceDN w:val="0"/>
        <w:adjustRightInd w:val="0"/>
        <w:ind w:firstLine="709"/>
        <w:jc w:val="center"/>
        <w:rPr>
          <w:rFonts w:ascii="Times New Roman" w:hAnsi="Times New Roman" w:cs="Times New Roman"/>
          <w:b/>
          <w:sz w:val="21"/>
          <w:szCs w:val="21"/>
        </w:rPr>
      </w:pPr>
      <w:r w:rsidRPr="00093D2C">
        <w:rPr>
          <w:rFonts w:ascii="Times New Roman" w:hAnsi="Times New Roman" w:cs="Times New Roman"/>
          <w:b/>
          <w:sz w:val="21"/>
          <w:szCs w:val="21"/>
        </w:rPr>
        <w:t>Рис. 5.3. – Структура соціальної регіональної політики</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p>
    <w:p w:rsidR="00B233DE"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Частина науковців у своїх працях роблять акцент на тому, що регіональна соціальна політика є складовою соціальної політики держави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_Ref435619241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142</w:t>
      </w:r>
      <w:r>
        <w:rPr>
          <w:rFonts w:ascii="Times New Roman" w:hAnsi="Times New Roman" w:cs="Times New Roman"/>
          <w:sz w:val="21"/>
          <w:szCs w:val="21"/>
          <w:highlight w:val="yellow"/>
        </w:rPr>
        <w:fldChar w:fldCharType="end"/>
      </w:r>
      <w:r w:rsidRPr="00113FA4">
        <w:rPr>
          <w:rFonts w:ascii="Times New Roman" w:hAnsi="Times New Roman" w:cs="Times New Roman"/>
          <w:sz w:val="21"/>
          <w:szCs w:val="21"/>
        </w:rPr>
        <w:t>].</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Інші представляють її елементом регіональної політики, зауважуючи на існуванні двох рівнів останньої: політики держави стосовно регіонів (державної регіональної політики), і регіональної політики, яку здійснюють самі регіони в особі органів місцевого управління і самоврядування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_Ref435619264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118</w:t>
      </w:r>
      <w:r>
        <w:rPr>
          <w:rFonts w:ascii="Times New Roman" w:hAnsi="Times New Roman" w:cs="Times New Roman"/>
          <w:sz w:val="21"/>
          <w:szCs w:val="21"/>
          <w:highlight w:val="yellow"/>
        </w:rPr>
        <w:fldChar w:fldCharType="end"/>
      </w:r>
      <w:r w:rsidRPr="00113FA4">
        <w:rPr>
          <w:rFonts w:ascii="Times New Roman" w:hAnsi="Times New Roman" w:cs="Times New Roman"/>
          <w:sz w:val="21"/>
          <w:szCs w:val="21"/>
        </w:rPr>
        <w:t>].</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 xml:space="preserve">Як перший, так і другий підходи не охоплюють повною мірою реальний масштаб соціальної регіональної політики, </w:t>
      </w:r>
      <w:r w:rsidRPr="00113FA4">
        <w:rPr>
          <w:rFonts w:ascii="Times New Roman" w:hAnsi="Times New Roman" w:cs="Times New Roman"/>
          <w:sz w:val="21"/>
          <w:szCs w:val="21"/>
        </w:rPr>
        <w:lastRenderedPageBreak/>
        <w:t>залишаючи поза сферою її діяльності ряд важливих суб’єктів, таких як недержавні формування.</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Спільні із зазначеними поглядами риси при трактуванні регіональної соціальної політики має і позиція Ізабель Ортіз (представниці Комісії з економічних та соціальних питань ООН), яка розглядає регіональну соціальну політику як інструмент влади, який дозволяє регулювати та доповнювати ринкові механізми і соціальні структури щодо надання різноманітних соціальних послуг населенню (освіти, охорони здоров’я, зайнятості, соціального захисту) на основі принципів перерозподілу, захисту та со</w:t>
      </w:r>
      <w:r>
        <w:rPr>
          <w:rFonts w:ascii="Times New Roman" w:hAnsi="Times New Roman" w:cs="Times New Roman"/>
          <w:sz w:val="21"/>
          <w:szCs w:val="21"/>
        </w:rPr>
        <w:t>ціальної справедливості [</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_Ref435619272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150</w:t>
      </w:r>
      <w:r>
        <w:rPr>
          <w:rFonts w:ascii="Times New Roman" w:hAnsi="Times New Roman" w:cs="Times New Roman"/>
          <w:sz w:val="21"/>
          <w:szCs w:val="21"/>
          <w:highlight w:val="yellow"/>
          <w:lang w:val="en-US"/>
        </w:rPr>
        <w:fldChar w:fldCharType="end"/>
      </w:r>
      <w:r>
        <w:rPr>
          <w:rFonts w:ascii="Times New Roman" w:hAnsi="Times New Roman" w:cs="Times New Roman"/>
          <w:sz w:val="21"/>
          <w:szCs w:val="21"/>
        </w:rPr>
        <w:t xml:space="preserve">, с. </w:t>
      </w:r>
      <w:r w:rsidRPr="00113FA4">
        <w:rPr>
          <w:rFonts w:ascii="Times New Roman" w:hAnsi="Times New Roman" w:cs="Times New Roman"/>
          <w:sz w:val="21"/>
          <w:szCs w:val="21"/>
        </w:rPr>
        <w:t>6].</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Заслуговують на увагу дослідження, результати яких вказують на те, що управління реалізацією регіональної соціальної політики може бути державним, регіональним і місцевим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_Ref435619280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119</w:t>
      </w:r>
      <w:r>
        <w:rPr>
          <w:rFonts w:ascii="Times New Roman" w:hAnsi="Times New Roman" w:cs="Times New Roman"/>
          <w:sz w:val="21"/>
          <w:szCs w:val="21"/>
          <w:highlight w:val="yellow"/>
        </w:rPr>
        <w:fldChar w:fldCharType="end"/>
      </w:r>
      <w:r w:rsidRPr="00113FA4">
        <w:rPr>
          <w:rFonts w:ascii="Times New Roman" w:hAnsi="Times New Roman" w:cs="Times New Roman"/>
          <w:sz w:val="21"/>
          <w:szCs w:val="21"/>
        </w:rPr>
        <w:t>]. Це, на думку науковців, пов’язано із виділенням великих блоків: політики, спрямованої на реалізацію на території регіону державної соціальної політики для досягнення загальнодержавних цілей; власне регіональної політики, спрямованої на реалізацію цілей регіону з урахуванням специфічних регіональних чинників протікання соціальних процесів; регулювання розвитку більш дрібних частин (районів, міст області та інших територіальних одиниць) для забезпечення певних пропорцій їх розвитку. Отже, регіональну соціальну політику вони визначають як складова регіональної політики, яка являє собою комплекс заходів (соціально-економічного, правового, організаційного та культурно-морального характеру), спрямованих на вирішення соціальних проблем регіону і створення сприятливого життєвого середовища для забезпечення його (регіону) сталого соціального розвитку з врахуванням існуючих ресурсних обмежень і можливостей.</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Формулювання досліджуваної категорії – «регіональної соціальної політики» відповідним чином не містить достатньої конкретизації спрямування дії заходів соціальної політики та вкотре обмежує коло суб’єктів соціальної політики лише його державною складовою.</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 xml:space="preserve">Фахівці у сфері регіональних досліджень, зокрема науковці Інституту регіональних досліджень НАН України, визначають регіональну соціальну політику як особливу багатокомпонентну інституційно і законодавчо оформлену сферу людської діяльності (організаційну, регулятивну, контрольну), пов’язану з владою і </w:t>
      </w:r>
      <w:r w:rsidRPr="00113FA4">
        <w:rPr>
          <w:rFonts w:ascii="Times New Roman" w:hAnsi="Times New Roman" w:cs="Times New Roman"/>
          <w:sz w:val="21"/>
          <w:szCs w:val="21"/>
        </w:rPr>
        <w:lastRenderedPageBreak/>
        <w:t>націлену на територіальну організацію та розвиток соціальної сфери територіальної суспільної системи, забезпечення на цій основі добробуту її мешканців [</w:t>
      </w:r>
      <w:r>
        <w:rPr>
          <w:rFonts w:ascii="Times New Roman" w:hAnsi="Times New Roman" w:cs="Times New Roman"/>
          <w:iCs/>
          <w:sz w:val="21"/>
          <w:szCs w:val="21"/>
          <w:highlight w:val="yellow"/>
        </w:rPr>
        <w:fldChar w:fldCharType="begin"/>
      </w:r>
      <w:r>
        <w:rPr>
          <w:rFonts w:ascii="Times New Roman" w:hAnsi="Times New Roman" w:cs="Times New Roman"/>
          <w:sz w:val="21"/>
          <w:szCs w:val="21"/>
        </w:rPr>
        <w:instrText xml:space="preserve"> REF _Ref435619292 \r \h </w:instrText>
      </w:r>
      <w:r>
        <w:rPr>
          <w:rFonts w:ascii="Times New Roman" w:hAnsi="Times New Roman" w:cs="Times New Roman"/>
          <w:iCs/>
          <w:sz w:val="21"/>
          <w:szCs w:val="21"/>
          <w:highlight w:val="yellow"/>
        </w:rPr>
      </w:r>
      <w:r>
        <w:rPr>
          <w:rFonts w:ascii="Times New Roman" w:hAnsi="Times New Roman" w:cs="Times New Roman"/>
          <w:iCs/>
          <w:sz w:val="21"/>
          <w:szCs w:val="21"/>
          <w:highlight w:val="yellow"/>
        </w:rPr>
        <w:fldChar w:fldCharType="separate"/>
      </w:r>
      <w:r>
        <w:rPr>
          <w:rFonts w:ascii="Times New Roman" w:hAnsi="Times New Roman" w:cs="Times New Roman"/>
          <w:sz w:val="21"/>
          <w:szCs w:val="21"/>
        </w:rPr>
        <w:t>89</w:t>
      </w:r>
      <w:r>
        <w:rPr>
          <w:rFonts w:ascii="Times New Roman" w:hAnsi="Times New Roman" w:cs="Times New Roman"/>
          <w:iCs/>
          <w:sz w:val="21"/>
          <w:szCs w:val="21"/>
          <w:highlight w:val="yellow"/>
        </w:rPr>
        <w:fldChar w:fldCharType="end"/>
      </w:r>
      <w:r w:rsidRPr="00113FA4">
        <w:rPr>
          <w:rFonts w:ascii="Times New Roman" w:hAnsi="Times New Roman" w:cs="Times New Roman"/>
          <w:sz w:val="21"/>
          <w:szCs w:val="21"/>
        </w:rPr>
        <w:t>].</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Відповідно до такого підходу в епіцентрі уваги постають соціальні відносини, що складаються між носіями соціально-економічних інтересів (окремими людьми, соціальними групами) в межах регіону-соціуму, регіональної спільноти, а також відносини цієї спільноти з суспільством (діяльнісний тип взаємодії), державою (правовий тип взаємодії), соціумом (психо-інформаційно-енергетичний тип взаємодії). Це соціальні відносини, що стосуються змісту, стратегічних цілей, завдань, форм функціонування держави у територіальному аспекті. Їх розвиток супроводжується становленням нових інститутів та забезпеч</w:t>
      </w:r>
      <w:r>
        <w:rPr>
          <w:rFonts w:ascii="Times New Roman" w:hAnsi="Times New Roman" w:cs="Times New Roman"/>
          <w:sz w:val="21"/>
          <w:szCs w:val="21"/>
        </w:rPr>
        <w:t>уючої їх інфраструктури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_Ref435619297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90</w:t>
      </w:r>
      <w:r>
        <w:rPr>
          <w:rFonts w:ascii="Times New Roman" w:hAnsi="Times New Roman" w:cs="Times New Roman"/>
          <w:sz w:val="21"/>
          <w:szCs w:val="21"/>
          <w:highlight w:val="yellow"/>
        </w:rPr>
        <w:fldChar w:fldCharType="end"/>
      </w:r>
      <w:r>
        <w:rPr>
          <w:rFonts w:ascii="Times New Roman" w:hAnsi="Times New Roman" w:cs="Times New Roman"/>
          <w:sz w:val="21"/>
          <w:szCs w:val="21"/>
        </w:rPr>
        <w:t xml:space="preserve">, с. </w:t>
      </w:r>
      <w:r w:rsidRPr="00113FA4">
        <w:rPr>
          <w:rFonts w:ascii="Times New Roman" w:hAnsi="Times New Roman" w:cs="Times New Roman"/>
          <w:sz w:val="21"/>
          <w:szCs w:val="21"/>
        </w:rPr>
        <w:t>152].</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Таке трактування регіональної соціальної політики є одним із найбільш влучних серед існуючих; воно позбавлене суб’єктної обмеженості, притаманної попереднім визначенням. Однак, надмірна зосередженість на саме владних механізмах розробки і реалізації соціальної політики позбавляє його органічної цілісності, яка дозволяє повною мірою відчути спрямованість такої політики не просто на соціальний розвиток регіону, який забезпечить добробут його мешканців, а на самореалізацію особистості (з її ак</w:t>
      </w:r>
      <w:r>
        <w:rPr>
          <w:rFonts w:ascii="Times New Roman" w:hAnsi="Times New Roman" w:cs="Times New Roman"/>
          <w:sz w:val="21"/>
          <w:szCs w:val="21"/>
        </w:rPr>
        <w:t>-</w:t>
      </w:r>
      <w:r w:rsidRPr="006C7057">
        <w:rPr>
          <w:rFonts w:ascii="Times New Roman" w:hAnsi="Times New Roman" w:cs="Times New Roman"/>
          <w:spacing w:val="-4"/>
          <w:sz w:val="21"/>
          <w:szCs w:val="21"/>
        </w:rPr>
        <w:t>тивним началом головного суб’єкта соціальної політики, а не об’єкта).</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 xml:space="preserve">Ми вбачаємо причину таких нюансів у особливостях підходу до регіональної соціальної політики як складової саме регіональної політики, яку дуже часто ототожнюють з державною регіональною політикою. </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 xml:space="preserve">Серед недоліків існуючих визначень соціальної регіональної політики необхідно виокремити, насамперед, обмеження її масштабів через звуження кола суб’єктів такої політики, а також відсутність чіткого формулювання об’єкту, на який спрямована дія цих суб’єктів. </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На наше переконання, відправним моментом при визначення поняття «соціальна регіональна політика» має бути саме категорія «соціальна політика». Керуючись такою логікою, об’єктом соціальної регіональної політики є соціальні відносини, які: або виникають у регіоні, або їх учасниками, хоча б з одного боку, є представники даного регіону. Метою соціальної регіональ</w:t>
      </w:r>
      <w:r>
        <w:rPr>
          <w:rFonts w:ascii="Times New Roman" w:hAnsi="Times New Roman" w:cs="Times New Roman"/>
          <w:sz w:val="21"/>
          <w:szCs w:val="21"/>
        </w:rPr>
        <w:t>-</w:t>
      </w:r>
      <w:r w:rsidRPr="00113FA4">
        <w:rPr>
          <w:rFonts w:ascii="Times New Roman" w:hAnsi="Times New Roman" w:cs="Times New Roman"/>
          <w:sz w:val="21"/>
          <w:szCs w:val="21"/>
        </w:rPr>
        <w:t xml:space="preserve">ної політики є створення умов для найбільш оптимального </w:t>
      </w:r>
      <w:r w:rsidRPr="00113FA4">
        <w:rPr>
          <w:rFonts w:ascii="Times New Roman" w:hAnsi="Times New Roman" w:cs="Times New Roman"/>
          <w:sz w:val="21"/>
          <w:szCs w:val="21"/>
        </w:rPr>
        <w:lastRenderedPageBreak/>
        <w:t>функціонування та розвитку зазначених соціальних відносин, спрямованих на реалізацію соціального потенціалу особистості, колективу, регіону та суспільства у цілому.</w:t>
      </w:r>
    </w:p>
    <w:p w:rsidR="00B233DE" w:rsidRPr="00113FA4" w:rsidRDefault="00B233DE" w:rsidP="00B233DE">
      <w:pPr>
        <w:autoSpaceDE w:val="0"/>
        <w:autoSpaceDN w:val="0"/>
        <w:adjustRightInd w:val="0"/>
        <w:ind w:firstLine="709"/>
        <w:jc w:val="both"/>
        <w:rPr>
          <w:rFonts w:ascii="Times New Roman" w:hAnsi="Times New Roman" w:cs="Times New Roman"/>
          <w:sz w:val="21"/>
          <w:szCs w:val="21"/>
        </w:rPr>
      </w:pPr>
      <w:r w:rsidRPr="00113FA4">
        <w:rPr>
          <w:rFonts w:ascii="Times New Roman" w:hAnsi="Times New Roman" w:cs="Times New Roman"/>
          <w:sz w:val="21"/>
          <w:szCs w:val="21"/>
        </w:rPr>
        <w:t xml:space="preserve">Схематичне відображення структури соціальної політики відповідно до її суб’єктів та рівнів (рис. </w:t>
      </w:r>
      <w:r>
        <w:rPr>
          <w:rFonts w:ascii="Times New Roman" w:hAnsi="Times New Roman" w:cs="Times New Roman"/>
          <w:sz w:val="21"/>
          <w:szCs w:val="21"/>
        </w:rPr>
        <w:t>5</w:t>
      </w:r>
      <w:r w:rsidRPr="00113FA4">
        <w:rPr>
          <w:rFonts w:ascii="Times New Roman" w:hAnsi="Times New Roman" w:cs="Times New Roman"/>
          <w:sz w:val="21"/>
          <w:szCs w:val="21"/>
        </w:rPr>
        <w:t>.2) дозволяє зробити наступні висновки:</w:t>
      </w:r>
    </w:p>
    <w:p w:rsidR="00B233DE" w:rsidRPr="00337442" w:rsidRDefault="00B233DE" w:rsidP="00B233DE">
      <w:pPr>
        <w:pStyle w:val="ad"/>
        <w:widowControl w:val="0"/>
        <w:numPr>
          <w:ilvl w:val="0"/>
          <w:numId w:val="27"/>
        </w:numPr>
        <w:tabs>
          <w:tab w:val="left" w:pos="993"/>
        </w:tabs>
        <w:autoSpaceDE w:val="0"/>
        <w:autoSpaceDN w:val="0"/>
        <w:adjustRightInd w:val="0"/>
        <w:ind w:left="0" w:firstLine="709"/>
        <w:jc w:val="both"/>
        <w:rPr>
          <w:rFonts w:ascii="Times New Roman" w:hAnsi="Times New Roman"/>
          <w:sz w:val="21"/>
          <w:szCs w:val="21"/>
        </w:rPr>
      </w:pPr>
      <w:r w:rsidRPr="00113FA4">
        <w:rPr>
          <w:rFonts w:ascii="Times New Roman" w:hAnsi="Times New Roman" w:cs="Times New Roman"/>
          <w:sz w:val="21"/>
          <w:szCs w:val="21"/>
        </w:rPr>
        <w:t>на об’єкт</w:t>
      </w:r>
      <w:r w:rsidRPr="00337442">
        <w:rPr>
          <w:rFonts w:ascii="Times New Roman" w:hAnsi="Times New Roman"/>
          <w:sz w:val="21"/>
          <w:szCs w:val="21"/>
        </w:rPr>
        <w:t xml:space="preserve"> соціальної регіональної політики поширюється дія суб’єктів вищих рівнів (міжнародного та загальнонаціо</w:t>
      </w:r>
      <w:r>
        <w:rPr>
          <w:rFonts w:ascii="Times New Roman" w:hAnsi="Times New Roman"/>
          <w:sz w:val="21"/>
          <w:szCs w:val="21"/>
        </w:rPr>
        <w:t>-</w:t>
      </w:r>
      <w:r w:rsidRPr="00337442">
        <w:rPr>
          <w:rFonts w:ascii="Times New Roman" w:hAnsi="Times New Roman"/>
          <w:sz w:val="21"/>
          <w:szCs w:val="21"/>
        </w:rPr>
        <w:t>нального);</w:t>
      </w:r>
    </w:p>
    <w:p w:rsidR="00B233DE" w:rsidRPr="00337442" w:rsidRDefault="00B233DE" w:rsidP="00B233DE">
      <w:pPr>
        <w:pStyle w:val="ad"/>
        <w:widowControl w:val="0"/>
        <w:numPr>
          <w:ilvl w:val="0"/>
          <w:numId w:val="27"/>
        </w:numPr>
        <w:tabs>
          <w:tab w:val="left" w:pos="993"/>
        </w:tabs>
        <w:autoSpaceDE w:val="0"/>
        <w:autoSpaceDN w:val="0"/>
        <w:adjustRightInd w:val="0"/>
        <w:ind w:left="0" w:firstLine="709"/>
        <w:jc w:val="both"/>
        <w:rPr>
          <w:rFonts w:ascii="Times New Roman" w:hAnsi="Times New Roman"/>
          <w:sz w:val="21"/>
          <w:szCs w:val="21"/>
        </w:rPr>
      </w:pPr>
      <w:r w:rsidRPr="00337442">
        <w:rPr>
          <w:rFonts w:ascii="Times New Roman" w:hAnsi="Times New Roman"/>
          <w:sz w:val="21"/>
          <w:szCs w:val="21"/>
        </w:rPr>
        <w:t>об’єкт соціальної регіональної економіки є залежним від дій суб’єктів соціальної політики нижчих рівнів (районного, місцевого та внутрішньоорганізаційного) які є складовими частинами регіону.</w:t>
      </w:r>
    </w:p>
    <w:p w:rsidR="00B233DE" w:rsidRPr="00337442" w:rsidRDefault="00B233DE" w:rsidP="00B233DE">
      <w:pPr>
        <w:pStyle w:val="ad"/>
        <w:widowControl w:val="0"/>
        <w:tabs>
          <w:tab w:val="left" w:pos="1134"/>
        </w:tabs>
        <w:autoSpaceDE w:val="0"/>
        <w:autoSpaceDN w:val="0"/>
        <w:adjustRightInd w:val="0"/>
        <w:ind w:left="0" w:firstLine="709"/>
        <w:jc w:val="both"/>
        <w:rPr>
          <w:rFonts w:ascii="Times New Roman" w:hAnsi="Times New Roman"/>
          <w:sz w:val="21"/>
          <w:szCs w:val="21"/>
        </w:rPr>
      </w:pPr>
      <w:r w:rsidRPr="00337442">
        <w:rPr>
          <w:rFonts w:ascii="Times New Roman" w:hAnsi="Times New Roman"/>
          <w:sz w:val="21"/>
          <w:szCs w:val="21"/>
        </w:rPr>
        <w:t>Зважаючи на вищевикладене, можна зробити висновок, що до складу суб’єктів соціальної регіональної політики входять: безпосередньо регіональні формування, суб’єкти вищого рівня (мега- та макро), а також суб’єкти нижчих рівнів (мікро-, нано- та індивідуальних). Тобто, структура суб’єктів соціальної регіональної політики відповідає структурі соціальної політики загалом. Одразу ж необхідно відмітити, що різниця полягає у суттєвих відмінностях сили впливу даних суб’єктів на кожному з рівнів. Найбільшими повноваженнями і можливостями на мезорівні володіють саме регіональні представники.</w:t>
      </w:r>
    </w:p>
    <w:p w:rsidR="00B233DE" w:rsidRPr="00337442" w:rsidRDefault="00B233DE" w:rsidP="00B233DE">
      <w:pPr>
        <w:pStyle w:val="ad"/>
        <w:widowControl w:val="0"/>
        <w:tabs>
          <w:tab w:val="left" w:pos="1134"/>
        </w:tabs>
        <w:autoSpaceDE w:val="0"/>
        <w:autoSpaceDN w:val="0"/>
        <w:adjustRightInd w:val="0"/>
        <w:ind w:left="0" w:firstLine="709"/>
        <w:jc w:val="both"/>
        <w:rPr>
          <w:rFonts w:ascii="Times New Roman" w:hAnsi="Times New Roman"/>
          <w:sz w:val="21"/>
          <w:szCs w:val="21"/>
        </w:rPr>
      </w:pPr>
      <w:r w:rsidRPr="00337442">
        <w:rPr>
          <w:rFonts w:ascii="Times New Roman" w:hAnsi="Times New Roman"/>
          <w:sz w:val="21"/>
          <w:szCs w:val="21"/>
        </w:rPr>
        <w:t>Врахування зазначених аспектів, дозволяє сформулювати наступне визначення: соціальна регіональна політика – це система цілеспрямованої діяльності суб’єктів соціальної політики регіонального рівня, яка функціонує у сфері впливу суб’єктів інших рівнів і спрямована на регулювання соціальних відносин у соціальній сфері регіону задля забезпечення можливостей ефективного відтворення соціального потенціалу особистості, населення регіону та суспільства у цілому.</w:t>
      </w:r>
    </w:p>
    <w:p w:rsidR="00B233DE" w:rsidRPr="00337442" w:rsidRDefault="00B233DE" w:rsidP="00B233DE">
      <w:pPr>
        <w:pStyle w:val="ad"/>
        <w:widowControl w:val="0"/>
        <w:tabs>
          <w:tab w:val="left" w:pos="1134"/>
        </w:tabs>
        <w:autoSpaceDE w:val="0"/>
        <w:autoSpaceDN w:val="0"/>
        <w:adjustRightInd w:val="0"/>
        <w:ind w:left="0" w:firstLine="709"/>
        <w:jc w:val="both"/>
        <w:rPr>
          <w:rFonts w:ascii="Times New Roman" w:hAnsi="Times New Roman"/>
          <w:sz w:val="21"/>
          <w:szCs w:val="21"/>
        </w:rPr>
      </w:pPr>
      <w:r w:rsidRPr="00337442">
        <w:rPr>
          <w:rFonts w:ascii="Times New Roman" w:hAnsi="Times New Roman"/>
          <w:sz w:val="21"/>
          <w:szCs w:val="21"/>
        </w:rPr>
        <w:t>Дане визначення соціальної регіональної політики містить чітке формулювання її об’єкта; кінцевої мети здійснення, яка підкреслює насамперед орієнтацію на потреби та інтереси особистості; а також відображає дійсний масштаб даної політики, оскільки містить вичерпний перелік суб’єктів з акцентуванням на переважаючому впливі регіональних представників та їх органічному співіснуванні з представниками інших рівнів.</w:t>
      </w:r>
    </w:p>
    <w:p w:rsidR="00B233DE" w:rsidRPr="00337442" w:rsidRDefault="00B233DE" w:rsidP="00B233DE">
      <w:pPr>
        <w:pStyle w:val="ad"/>
        <w:widowControl w:val="0"/>
        <w:tabs>
          <w:tab w:val="left" w:pos="1134"/>
        </w:tabs>
        <w:autoSpaceDE w:val="0"/>
        <w:autoSpaceDN w:val="0"/>
        <w:adjustRightInd w:val="0"/>
        <w:ind w:left="0" w:firstLine="709"/>
        <w:jc w:val="both"/>
        <w:rPr>
          <w:rFonts w:ascii="Times New Roman" w:hAnsi="Times New Roman"/>
          <w:sz w:val="21"/>
          <w:szCs w:val="21"/>
        </w:rPr>
      </w:pPr>
      <w:r w:rsidRPr="00337442">
        <w:rPr>
          <w:rFonts w:ascii="Times New Roman" w:hAnsi="Times New Roman"/>
          <w:sz w:val="21"/>
          <w:szCs w:val="21"/>
        </w:rPr>
        <w:t xml:space="preserve">Конкретизація мети соціальної регіональної політики у </w:t>
      </w:r>
      <w:r w:rsidRPr="00337442">
        <w:rPr>
          <w:rFonts w:ascii="Times New Roman" w:hAnsi="Times New Roman"/>
          <w:sz w:val="21"/>
          <w:szCs w:val="21"/>
        </w:rPr>
        <w:lastRenderedPageBreak/>
        <w:t>завданнях потребує повернення до сутності поняття «соціальна сфера» як певного простору, у якому відбуваються соціальні відносини. Соціальна сфера пронизує усі сфери діяльності людей, тому для зручності практичного використання даної категорії, доцільно здійснити групування складових соціальної сфери за їх функціональним призначенням. Зокрема, пропонує</w:t>
      </w:r>
      <w:r>
        <w:rPr>
          <w:rFonts w:ascii="Times New Roman" w:hAnsi="Times New Roman"/>
          <w:sz w:val="21"/>
          <w:szCs w:val="21"/>
        </w:rPr>
        <w:t>ться</w:t>
      </w:r>
      <w:r w:rsidRPr="00337442">
        <w:rPr>
          <w:rFonts w:ascii="Times New Roman" w:hAnsi="Times New Roman"/>
          <w:sz w:val="21"/>
          <w:szCs w:val="21"/>
        </w:rPr>
        <w:t xml:space="preserve"> розрізняти соціальні відносини, які стосуються:</w:t>
      </w:r>
    </w:p>
    <w:p w:rsidR="00B233DE" w:rsidRPr="00337442" w:rsidRDefault="00B233DE" w:rsidP="00B233DE">
      <w:pPr>
        <w:pStyle w:val="ad"/>
        <w:widowControl w:val="0"/>
        <w:numPr>
          <w:ilvl w:val="0"/>
          <w:numId w:val="28"/>
        </w:numPr>
        <w:tabs>
          <w:tab w:val="left" w:pos="993"/>
        </w:tabs>
        <w:autoSpaceDE w:val="0"/>
        <w:autoSpaceDN w:val="0"/>
        <w:adjustRightInd w:val="0"/>
        <w:ind w:left="0" w:firstLine="709"/>
        <w:jc w:val="both"/>
        <w:rPr>
          <w:rFonts w:ascii="Times New Roman" w:hAnsi="Times New Roman"/>
          <w:sz w:val="21"/>
          <w:szCs w:val="21"/>
        </w:rPr>
      </w:pPr>
      <w:r w:rsidRPr="00337442">
        <w:rPr>
          <w:rFonts w:ascii="Times New Roman" w:hAnsi="Times New Roman"/>
          <w:sz w:val="21"/>
          <w:szCs w:val="21"/>
        </w:rPr>
        <w:t>виробничо-економічних аспектів – соціальні відносини, які виникають на підприємствах, в установах та організаціях комерційної сфери і які пов’язані, насамперед, зі справедливістю розподілу доходів, соціальним захистом, можливостями професійного зростання тощо;</w:t>
      </w:r>
    </w:p>
    <w:p w:rsidR="00B233DE" w:rsidRPr="00337442" w:rsidRDefault="00B233DE" w:rsidP="00B233DE">
      <w:pPr>
        <w:pStyle w:val="ad"/>
        <w:widowControl w:val="0"/>
        <w:numPr>
          <w:ilvl w:val="0"/>
          <w:numId w:val="28"/>
        </w:numPr>
        <w:tabs>
          <w:tab w:val="left" w:pos="993"/>
        </w:tabs>
        <w:autoSpaceDE w:val="0"/>
        <w:autoSpaceDN w:val="0"/>
        <w:adjustRightInd w:val="0"/>
        <w:ind w:left="0" w:firstLine="709"/>
        <w:jc w:val="both"/>
        <w:rPr>
          <w:rFonts w:ascii="Times New Roman" w:hAnsi="Times New Roman"/>
          <w:sz w:val="21"/>
          <w:szCs w:val="21"/>
        </w:rPr>
      </w:pPr>
      <w:r w:rsidRPr="00337442">
        <w:rPr>
          <w:rFonts w:ascii="Times New Roman" w:hAnsi="Times New Roman"/>
          <w:sz w:val="21"/>
          <w:szCs w:val="21"/>
        </w:rPr>
        <w:t>суспільно-політичних аспектів – соціальні відносини, пов’язані з особливостями існування у громадянському суспільстві (функціонування різного роду некомерційних структур, свобода слова, рівність, доступ до інформації тощо);</w:t>
      </w:r>
    </w:p>
    <w:p w:rsidR="00B233DE" w:rsidRPr="00337442" w:rsidRDefault="00B233DE" w:rsidP="00B233DE">
      <w:pPr>
        <w:pStyle w:val="ad"/>
        <w:widowControl w:val="0"/>
        <w:numPr>
          <w:ilvl w:val="0"/>
          <w:numId w:val="28"/>
        </w:numPr>
        <w:tabs>
          <w:tab w:val="left" w:pos="993"/>
        </w:tabs>
        <w:autoSpaceDE w:val="0"/>
        <w:autoSpaceDN w:val="0"/>
        <w:adjustRightInd w:val="0"/>
        <w:ind w:left="0" w:firstLine="709"/>
        <w:jc w:val="both"/>
        <w:rPr>
          <w:rFonts w:ascii="Times New Roman" w:hAnsi="Times New Roman"/>
          <w:sz w:val="21"/>
          <w:szCs w:val="21"/>
        </w:rPr>
      </w:pPr>
      <w:r w:rsidRPr="00337442">
        <w:rPr>
          <w:rFonts w:ascii="Times New Roman" w:hAnsi="Times New Roman"/>
          <w:sz w:val="21"/>
          <w:szCs w:val="21"/>
        </w:rPr>
        <w:t>освітньо-культурних аспектів – соціальні відносини, які безпосередньо торкаються функціонування сфер освіти, культури, охорони здоров’я, спорту тощо.</w:t>
      </w:r>
    </w:p>
    <w:p w:rsidR="00B233DE" w:rsidRPr="00337442" w:rsidRDefault="00B233DE" w:rsidP="00B233DE">
      <w:pPr>
        <w:pStyle w:val="ad"/>
        <w:widowControl w:val="0"/>
        <w:numPr>
          <w:ilvl w:val="0"/>
          <w:numId w:val="28"/>
        </w:numPr>
        <w:tabs>
          <w:tab w:val="left" w:pos="993"/>
        </w:tabs>
        <w:autoSpaceDE w:val="0"/>
        <w:autoSpaceDN w:val="0"/>
        <w:adjustRightInd w:val="0"/>
        <w:ind w:left="0" w:firstLine="709"/>
        <w:jc w:val="both"/>
        <w:rPr>
          <w:rFonts w:ascii="Times New Roman" w:hAnsi="Times New Roman"/>
          <w:sz w:val="21"/>
          <w:szCs w:val="21"/>
        </w:rPr>
      </w:pPr>
      <w:r w:rsidRPr="00337442">
        <w:rPr>
          <w:rFonts w:ascii="Times New Roman" w:hAnsi="Times New Roman"/>
          <w:sz w:val="21"/>
          <w:szCs w:val="21"/>
        </w:rPr>
        <w:t>соціально-побутових аспектів – соціальні відносини, які спричинені необхідністю діяльності житлово-комунального господарства, пасажирського транспорту, зв’язку тощо.</w:t>
      </w:r>
    </w:p>
    <w:p w:rsidR="00B233DE" w:rsidRPr="00FC5E66" w:rsidRDefault="00B233DE" w:rsidP="00B233DE">
      <w:pPr>
        <w:ind w:firstLine="708"/>
        <w:jc w:val="both"/>
        <w:rPr>
          <w:rFonts w:ascii="Times New Roman" w:hAnsi="Times New Roman" w:cs="Times New Roman"/>
          <w:sz w:val="21"/>
          <w:szCs w:val="21"/>
        </w:rPr>
      </w:pPr>
      <w:r w:rsidRPr="00337442">
        <w:rPr>
          <w:rFonts w:ascii="Times New Roman" w:hAnsi="Times New Roman"/>
          <w:sz w:val="21"/>
          <w:szCs w:val="21"/>
        </w:rPr>
        <w:t>Як уже зазначалося, відправною точкою самого існування соціальної політики та її головним суб’єктом є людина, яка у даному контексті на місцевому рівні набуває рис територіальної громади. В умовах децентралізації роль територіальної громади як суб’єкта соціальної регіональної політики важко переоцінити, вона володіє безпрецедентними можливостями регулювання окремих соціальних відносин та соціальної сфери загалом, насамперед, через інститут місцевого самоврядування та право комунальної власності.</w:t>
      </w: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Pr="00E20C1F" w:rsidRDefault="00B233DE" w:rsidP="00B233DE">
      <w:pPr>
        <w:pStyle w:val="afb"/>
        <w:shd w:val="clear" w:color="auto" w:fill="auto"/>
        <w:tabs>
          <w:tab w:val="left" w:pos="394"/>
          <w:tab w:val="left" w:pos="426"/>
        </w:tabs>
        <w:spacing w:before="0" w:line="240" w:lineRule="auto"/>
        <w:ind w:right="40" w:firstLine="709"/>
        <w:contextualSpacing/>
        <w:jc w:val="center"/>
        <w:rPr>
          <w:b/>
          <w:sz w:val="21"/>
          <w:szCs w:val="21"/>
        </w:rPr>
      </w:pPr>
      <w:r>
        <w:rPr>
          <w:rFonts w:ascii="UkrainianPeterburg" w:hAnsi="UkrainianPeterburg"/>
          <w:b/>
          <w:sz w:val="21"/>
          <w:szCs w:val="21"/>
        </w:rPr>
        <w:t>5</w:t>
      </w:r>
      <w:r w:rsidRPr="00E20C1F">
        <w:rPr>
          <w:rFonts w:ascii="UkrainianPeterburg" w:hAnsi="UkrainianPeterburg"/>
          <w:b/>
          <w:sz w:val="21"/>
          <w:szCs w:val="21"/>
        </w:rPr>
        <w:t>.</w:t>
      </w:r>
      <w:r>
        <w:rPr>
          <w:rFonts w:ascii="UkrainianPeterburg" w:hAnsi="UkrainianPeterburg"/>
          <w:b/>
          <w:sz w:val="21"/>
          <w:szCs w:val="21"/>
        </w:rPr>
        <w:t>2</w:t>
      </w:r>
      <w:r w:rsidRPr="00E20C1F">
        <w:rPr>
          <w:rFonts w:ascii="UkrainianPeterburg" w:hAnsi="UkrainianPeterburg"/>
          <w:b/>
          <w:sz w:val="21"/>
          <w:szCs w:val="21"/>
        </w:rPr>
        <w:t xml:space="preserve">. </w:t>
      </w:r>
      <w:r>
        <w:rPr>
          <w:rFonts w:ascii="UkrainianPeterburg" w:hAnsi="UkrainianPeterburg"/>
          <w:b/>
          <w:sz w:val="21"/>
          <w:szCs w:val="21"/>
        </w:rPr>
        <w:t>Концептуальні основи формування соціального капіталу регіонів</w:t>
      </w: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 xml:space="preserve">Упродовж останніх двох десятиліть проблематика соціального капіталу є предметом вивчення і жвавих дискусій в </w:t>
      </w:r>
      <w:r w:rsidRPr="008979AA">
        <w:rPr>
          <w:rFonts w:ascii="Times New Roman" w:hAnsi="Times New Roman" w:cs="Times New Roman"/>
          <w:sz w:val="21"/>
          <w:szCs w:val="21"/>
        </w:rPr>
        <w:lastRenderedPageBreak/>
        <w:t>економіці, соціології, політології. Продуктивність концепції соціального капіталу стосовно тлумачення різноманітних проблем від ефективності колективних соціальних дій і соціальних джерел економічного успіху індивідуальних і колективних акторів до дослідження проблем функціонування демократії і проблем девіантної поведінки, зробили цю концепцію важливим інструментом пізнання в соціально-економічних науках. Стрімке поширення порівняно нової концепції в різномані</w:t>
      </w:r>
      <w:r>
        <w:rPr>
          <w:rFonts w:ascii="Times New Roman" w:hAnsi="Times New Roman" w:cs="Times New Roman"/>
          <w:sz w:val="21"/>
          <w:szCs w:val="21"/>
        </w:rPr>
        <w:t>тні сфери соціальних досліджень</w:t>
      </w:r>
      <w:r w:rsidRPr="008979AA">
        <w:rPr>
          <w:rFonts w:ascii="Times New Roman" w:hAnsi="Times New Roman" w:cs="Times New Roman"/>
          <w:sz w:val="21"/>
          <w:szCs w:val="21"/>
        </w:rPr>
        <w:t xml:space="preserve"> призводить до розширення рамок теоретичного діапазону концепції соціального капіталу, диференціації і спеціалізації емпіричних досліджень цього соціального феномену.</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 xml:space="preserve">Останнім часом економісти почали активно розробляти теорію соціального капіталу, виявляти і вимірювати </w:t>
      </w:r>
      <w:r>
        <w:rPr>
          <w:rFonts w:ascii="Times New Roman" w:hAnsi="Times New Roman" w:cs="Times New Roman"/>
          <w:sz w:val="21"/>
          <w:szCs w:val="21"/>
        </w:rPr>
        <w:t>економічну значущість міжсуб’єктивних зв’</w:t>
      </w:r>
      <w:r w:rsidRPr="008979AA">
        <w:rPr>
          <w:rFonts w:ascii="Times New Roman" w:hAnsi="Times New Roman" w:cs="Times New Roman"/>
          <w:sz w:val="21"/>
          <w:szCs w:val="21"/>
        </w:rPr>
        <w:t>язків і стосунків, досліджувати як соціальна структура впливає на вибір індивіда та економічне зростання.</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Потрібно ві</w:t>
      </w:r>
      <w:r>
        <w:rPr>
          <w:rFonts w:ascii="Times New Roman" w:hAnsi="Times New Roman" w:cs="Times New Roman"/>
          <w:sz w:val="21"/>
          <w:szCs w:val="21"/>
        </w:rPr>
        <w:t>дмітити, що соціальний капітал –</w:t>
      </w:r>
      <w:r w:rsidRPr="008979AA">
        <w:rPr>
          <w:rFonts w:ascii="Times New Roman" w:hAnsi="Times New Roman" w:cs="Times New Roman"/>
          <w:sz w:val="21"/>
          <w:szCs w:val="21"/>
        </w:rPr>
        <w:t xml:space="preserve"> порівняно нове поняття, яке введене в науковий обіг західними дослідниками і досить широко використовується нині економістами. Парадигма соціального капіталу набрала найбільшу популярність в останні два десятиліття і визнана як об'єкт не лише теоретичного, але і прикладного аналізу. Яскравим підтвердженням цього є велика програма Всесвітнього банку, спрямована на дослідження соціального капіталу і вкладу його в економічне зростання. У цю програму включена безліч країн, у тому числі і з перехідною економікою.</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Існує декілька головних причин виникнення поняття соціального капіталу, а також пильного зацікавлення до нього і учених, і політиків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_Ref435619360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103</w:t>
      </w:r>
      <w:r>
        <w:rPr>
          <w:rFonts w:ascii="Times New Roman" w:hAnsi="Times New Roman" w:cs="Times New Roman"/>
          <w:sz w:val="21"/>
          <w:szCs w:val="21"/>
          <w:highlight w:val="yellow"/>
        </w:rPr>
        <w:fldChar w:fldCharType="end"/>
      </w:r>
      <w:r>
        <w:rPr>
          <w:rFonts w:ascii="Times New Roman" w:hAnsi="Times New Roman" w:cs="Times New Roman"/>
          <w:sz w:val="21"/>
          <w:szCs w:val="21"/>
        </w:rPr>
        <w:t>, с. 18]. Перша з цих причина –</w:t>
      </w:r>
      <w:r w:rsidRPr="008979AA">
        <w:rPr>
          <w:rFonts w:ascii="Times New Roman" w:hAnsi="Times New Roman" w:cs="Times New Roman"/>
          <w:sz w:val="21"/>
          <w:szCs w:val="21"/>
        </w:rPr>
        <w:t xml:space="preserve"> це криза основного напряму еконо</w:t>
      </w:r>
      <w:r>
        <w:rPr>
          <w:rFonts w:ascii="Times New Roman" w:hAnsi="Times New Roman" w:cs="Times New Roman"/>
          <w:sz w:val="21"/>
          <w:szCs w:val="21"/>
        </w:rPr>
        <w:t>мічної думки минулого століття –</w:t>
      </w:r>
      <w:r w:rsidRPr="008979AA">
        <w:rPr>
          <w:rFonts w:ascii="Times New Roman" w:hAnsi="Times New Roman" w:cs="Times New Roman"/>
          <w:sz w:val="21"/>
          <w:szCs w:val="21"/>
        </w:rPr>
        <w:t xml:space="preserve"> неокласичній теорії, в основі якої лежить принцип методологічного індивідуалізму, що редукує поведінку соціальних груп до індивідуальної поведінки. На його </w:t>
      </w:r>
      <w:r>
        <w:rPr>
          <w:rFonts w:ascii="Times New Roman" w:hAnsi="Times New Roman" w:cs="Times New Roman"/>
          <w:sz w:val="21"/>
          <w:szCs w:val="21"/>
        </w:rPr>
        <w:t>основі виникло те уявлення про «економічну людину»</w:t>
      </w:r>
      <w:r w:rsidRPr="008979AA">
        <w:rPr>
          <w:rFonts w:ascii="Times New Roman" w:hAnsi="Times New Roman" w:cs="Times New Roman"/>
          <w:sz w:val="21"/>
          <w:szCs w:val="21"/>
        </w:rPr>
        <w:t xml:space="preserve"> (Homo economicus), згідно з якою в</w:t>
      </w:r>
      <w:r>
        <w:rPr>
          <w:rFonts w:ascii="Times New Roman" w:hAnsi="Times New Roman" w:cs="Times New Roman"/>
          <w:sz w:val="21"/>
          <w:szCs w:val="21"/>
        </w:rPr>
        <w:t>она</w:t>
      </w:r>
      <w:r w:rsidRPr="008979AA">
        <w:rPr>
          <w:rFonts w:ascii="Times New Roman" w:hAnsi="Times New Roman" w:cs="Times New Roman"/>
          <w:sz w:val="21"/>
          <w:szCs w:val="21"/>
        </w:rPr>
        <w:t xml:space="preserve"> завжди </w:t>
      </w:r>
      <w:r>
        <w:rPr>
          <w:rFonts w:ascii="Times New Roman" w:hAnsi="Times New Roman" w:cs="Times New Roman"/>
          <w:sz w:val="21"/>
          <w:szCs w:val="21"/>
        </w:rPr>
        <w:t>чинить</w:t>
      </w:r>
      <w:r w:rsidRPr="008979AA">
        <w:rPr>
          <w:rFonts w:ascii="Times New Roman" w:hAnsi="Times New Roman" w:cs="Times New Roman"/>
          <w:sz w:val="21"/>
          <w:szCs w:val="21"/>
        </w:rPr>
        <w:t xml:space="preserve"> у всьому розумно, не схильн</w:t>
      </w:r>
      <w:r>
        <w:rPr>
          <w:rFonts w:ascii="Times New Roman" w:hAnsi="Times New Roman" w:cs="Times New Roman"/>
          <w:sz w:val="21"/>
          <w:szCs w:val="21"/>
        </w:rPr>
        <w:t>а</w:t>
      </w:r>
      <w:r w:rsidRPr="008979AA">
        <w:rPr>
          <w:rFonts w:ascii="Times New Roman" w:hAnsi="Times New Roman" w:cs="Times New Roman"/>
          <w:sz w:val="21"/>
          <w:szCs w:val="21"/>
        </w:rPr>
        <w:t xml:space="preserve"> до емоцій, стороннього впливу і домагається досягнення максимуму вигоди при ухваленні своїх рішень. Багато фахівців, у тому числі і самі неокласики, визнають, що у рамках цієї теорії все важче </w:t>
      </w:r>
      <w:r w:rsidRPr="008979AA">
        <w:rPr>
          <w:rFonts w:ascii="Times New Roman" w:hAnsi="Times New Roman" w:cs="Times New Roman"/>
          <w:sz w:val="21"/>
          <w:szCs w:val="21"/>
        </w:rPr>
        <w:lastRenderedPageBreak/>
        <w:t>пояснювати закономірності розвитку сучасної багатоукладної економіки, в якій посилюється роль колективних начал і нематері</w:t>
      </w:r>
      <w:r>
        <w:rPr>
          <w:rFonts w:ascii="Times New Roman" w:hAnsi="Times New Roman" w:cs="Times New Roman"/>
          <w:sz w:val="21"/>
          <w:szCs w:val="21"/>
        </w:rPr>
        <w:t>альних активів, які сприяють об’</w:t>
      </w:r>
      <w:r w:rsidRPr="008979AA">
        <w:rPr>
          <w:rFonts w:ascii="Times New Roman" w:hAnsi="Times New Roman" w:cs="Times New Roman"/>
          <w:sz w:val="21"/>
          <w:szCs w:val="21"/>
        </w:rPr>
        <w:t>єднанню зусиль багатьох ринкових агентів.</w:t>
      </w:r>
    </w:p>
    <w:p w:rsidR="00B233DE" w:rsidRPr="00A03B39"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Звернення до соціального капіталу дозволяє, з одного боку, включити в аналіз складну інституціональну структуру соціуму, в якій нерозривно переплетені ринковий сектор економіки, сукупність стосунків громадянського суспільства,</w:t>
      </w:r>
      <w:r>
        <w:rPr>
          <w:rFonts w:ascii="Times New Roman" w:hAnsi="Times New Roman" w:cs="Times New Roman"/>
          <w:sz w:val="21"/>
          <w:szCs w:val="21"/>
        </w:rPr>
        <w:t xml:space="preserve"> діяльність держави, а з іншої –</w:t>
      </w:r>
      <w:r w:rsidRPr="008979AA">
        <w:rPr>
          <w:rFonts w:ascii="Times New Roman" w:hAnsi="Times New Roman" w:cs="Times New Roman"/>
          <w:sz w:val="21"/>
          <w:szCs w:val="21"/>
        </w:rPr>
        <w:t xml:space="preserve"> притягнути увагу до ключових аспектів соціальних стосунків. Усі ці стосунки, втілені в інститутах, не можуть бути легко і переконливо вбудовані в модель, в основі якої </w:t>
      </w:r>
      <w:r>
        <w:rPr>
          <w:rFonts w:ascii="Times New Roman" w:hAnsi="Times New Roman" w:cs="Times New Roman"/>
          <w:sz w:val="21"/>
          <w:szCs w:val="21"/>
        </w:rPr>
        <w:t>–</w:t>
      </w:r>
      <w:r w:rsidRPr="008979AA">
        <w:rPr>
          <w:rFonts w:ascii="Times New Roman" w:hAnsi="Times New Roman" w:cs="Times New Roman"/>
          <w:sz w:val="21"/>
          <w:szCs w:val="21"/>
        </w:rPr>
        <w:t xml:space="preserve"> раціональний індивід, </w:t>
      </w:r>
      <w:r>
        <w:rPr>
          <w:rFonts w:ascii="Times New Roman" w:hAnsi="Times New Roman" w:cs="Times New Roman"/>
          <w:sz w:val="21"/>
          <w:szCs w:val="21"/>
        </w:rPr>
        <w:t>що</w:t>
      </w:r>
      <w:r w:rsidRPr="008979AA">
        <w:rPr>
          <w:rFonts w:ascii="Times New Roman" w:hAnsi="Times New Roman" w:cs="Times New Roman"/>
          <w:sz w:val="21"/>
          <w:szCs w:val="21"/>
        </w:rPr>
        <w:t xml:space="preserve"> переслідує тільки власний інтерес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_Ref435619369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14</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с.</w:t>
      </w:r>
      <w:r>
        <w:rPr>
          <w:rFonts w:ascii="Times New Roman" w:hAnsi="Times New Roman" w:cs="Times New Roman"/>
          <w:sz w:val="21"/>
          <w:szCs w:val="21"/>
        </w:rPr>
        <w:t xml:space="preserve"> </w:t>
      </w:r>
      <w:r w:rsidRPr="008979AA">
        <w:rPr>
          <w:rFonts w:ascii="Times New Roman" w:hAnsi="Times New Roman" w:cs="Times New Roman"/>
          <w:sz w:val="21"/>
          <w:szCs w:val="21"/>
        </w:rPr>
        <w:t xml:space="preserve">638;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_Ref435619378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88</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xml:space="preserve">; </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_Ref435619388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154</w:t>
      </w:r>
      <w:r>
        <w:rPr>
          <w:rFonts w:ascii="Times New Roman" w:hAnsi="Times New Roman" w:cs="Times New Roman"/>
          <w:sz w:val="21"/>
          <w:szCs w:val="21"/>
          <w:highlight w:val="yellow"/>
          <w:lang w:val="en-US"/>
        </w:rPr>
        <w:fldChar w:fldCharType="end"/>
      </w:r>
      <w:r w:rsidRPr="00A03B39">
        <w:rPr>
          <w:rFonts w:ascii="Times New Roman" w:hAnsi="Times New Roman" w:cs="Times New Roman"/>
          <w:sz w:val="21"/>
          <w:szCs w:val="21"/>
        </w:rPr>
        <w:t>, с.153–154].</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 xml:space="preserve">Інша причина </w:t>
      </w:r>
      <w:r>
        <w:rPr>
          <w:rFonts w:ascii="Times New Roman" w:hAnsi="Times New Roman" w:cs="Times New Roman"/>
          <w:sz w:val="21"/>
          <w:szCs w:val="21"/>
        </w:rPr>
        <w:t>–</w:t>
      </w:r>
      <w:r w:rsidRPr="008979AA">
        <w:rPr>
          <w:rFonts w:ascii="Times New Roman" w:hAnsi="Times New Roman" w:cs="Times New Roman"/>
          <w:sz w:val="21"/>
          <w:szCs w:val="21"/>
        </w:rPr>
        <w:t xml:space="preserve"> ц</w:t>
      </w:r>
      <w:r>
        <w:rPr>
          <w:rFonts w:ascii="Times New Roman" w:hAnsi="Times New Roman" w:cs="Times New Roman"/>
          <w:sz w:val="21"/>
          <w:szCs w:val="21"/>
        </w:rPr>
        <w:t>е досить чіткий взаємозв’</w:t>
      </w:r>
      <w:r w:rsidRPr="008979AA">
        <w:rPr>
          <w:rFonts w:ascii="Times New Roman" w:hAnsi="Times New Roman" w:cs="Times New Roman"/>
          <w:sz w:val="21"/>
          <w:szCs w:val="21"/>
        </w:rPr>
        <w:t xml:space="preserve">язок домінуючих в суспільстві нормативних установок, соціального клімату, з одного боку, і економічної динаміки </w:t>
      </w:r>
      <w:r>
        <w:rPr>
          <w:rFonts w:ascii="Times New Roman" w:hAnsi="Times New Roman" w:cs="Times New Roman"/>
          <w:sz w:val="21"/>
          <w:szCs w:val="21"/>
        </w:rPr>
        <w:t>–</w:t>
      </w:r>
      <w:r w:rsidRPr="008979AA">
        <w:rPr>
          <w:rFonts w:ascii="Times New Roman" w:hAnsi="Times New Roman" w:cs="Times New Roman"/>
          <w:sz w:val="21"/>
          <w:szCs w:val="21"/>
        </w:rPr>
        <w:t xml:space="preserve"> з іншо</w:t>
      </w:r>
      <w:r>
        <w:rPr>
          <w:rFonts w:ascii="Times New Roman" w:hAnsi="Times New Roman" w:cs="Times New Roman"/>
          <w:sz w:val="21"/>
          <w:szCs w:val="21"/>
        </w:rPr>
        <w:t>го</w:t>
      </w:r>
      <w:r w:rsidRPr="008979AA">
        <w:rPr>
          <w:rFonts w:ascii="Times New Roman" w:hAnsi="Times New Roman" w:cs="Times New Roman"/>
          <w:sz w:val="21"/>
          <w:szCs w:val="21"/>
        </w:rPr>
        <w:t>. Так, міжнародні дослідження дозволили виявити значні відмінності у ВВП на душу населення в країнах з приблизно рівним фізичним капіталом і рівнем утворення населення. Отримані дані вказують на існування чинників економічного зростання, ортодоксальних неокласичних досліджень, що залишаються поза увагою. До таких чинників відносять культуру взаємовідносин людей в різних суспільствах, способи їх кооперації, механізми вирішення конфліктів, які підпадають під поняття соціального капіталу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_Ref435619360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103</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с. 19].</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Роль цих чинників підтверджується тим, що стабільність, економічне зростання, високий рівень зайнятості та підвищення добробуту спостерігаються, передусім, в країнах з найбільш вираженою соціальною орієнтацією економіки.</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Проблематика соціального капіталу стає предм</w:t>
      </w:r>
      <w:r>
        <w:rPr>
          <w:rFonts w:ascii="Times New Roman" w:hAnsi="Times New Roman" w:cs="Times New Roman"/>
          <w:sz w:val="21"/>
          <w:szCs w:val="21"/>
        </w:rPr>
        <w:t>етом дискусій в середовищі</w:t>
      </w:r>
      <w:r w:rsidRPr="008979AA">
        <w:rPr>
          <w:rFonts w:ascii="Times New Roman" w:hAnsi="Times New Roman" w:cs="Times New Roman"/>
          <w:sz w:val="21"/>
          <w:szCs w:val="21"/>
        </w:rPr>
        <w:t xml:space="preserve"> як економістів, так і представників інших громадських наук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_Ref435619409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109</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До теперішнього часу представлена порівняно невелика кількість публікацій, присвячених емпіричному аналізу ролі соціального капіталу в різних економічних практиках. Інтерес представляють аналітичні розробки ролі соціального капіталу в системі неринкового обміну, що міститься в роботах Борсукової С. Ю.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_Ref435619418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_Ref435619423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5</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_Ref435619427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6</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дослідження неформальних соціальн</w:t>
      </w:r>
      <w:r>
        <w:rPr>
          <w:rFonts w:ascii="Times New Roman" w:hAnsi="Times New Roman" w:cs="Times New Roman"/>
          <w:sz w:val="21"/>
          <w:szCs w:val="21"/>
        </w:rPr>
        <w:t>их мереж в роботах Градосельскої</w:t>
      </w:r>
      <w:r w:rsidRPr="008979AA">
        <w:rPr>
          <w:rFonts w:ascii="Times New Roman" w:hAnsi="Times New Roman" w:cs="Times New Roman"/>
          <w:sz w:val="21"/>
          <w:szCs w:val="21"/>
        </w:rPr>
        <w:t xml:space="preserve"> Г. В.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_Ref435619433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7</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_Ref435619443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22</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Карас</w:t>
      </w:r>
      <w:r>
        <w:rPr>
          <w:rFonts w:ascii="Times New Roman" w:hAnsi="Times New Roman" w:cs="Times New Roman"/>
          <w:sz w:val="21"/>
          <w:szCs w:val="21"/>
        </w:rPr>
        <w:t>ьо</w:t>
      </w:r>
      <w:r w:rsidRPr="008979AA">
        <w:rPr>
          <w:rFonts w:ascii="Times New Roman" w:hAnsi="Times New Roman" w:cs="Times New Roman"/>
          <w:sz w:val="21"/>
          <w:szCs w:val="21"/>
        </w:rPr>
        <w:t>ва Ф. Г.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_Ref435619449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44</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Лебед</w:t>
      </w:r>
      <w:r>
        <w:rPr>
          <w:rFonts w:ascii="Times New Roman" w:hAnsi="Times New Roman" w:cs="Times New Roman"/>
          <w:sz w:val="21"/>
          <w:szCs w:val="21"/>
        </w:rPr>
        <w:t>є</w:t>
      </w:r>
      <w:r w:rsidRPr="008979AA">
        <w:rPr>
          <w:rFonts w:ascii="Times New Roman" w:hAnsi="Times New Roman" w:cs="Times New Roman"/>
          <w:sz w:val="21"/>
          <w:szCs w:val="21"/>
        </w:rPr>
        <w:t>во</w:t>
      </w:r>
      <w:r>
        <w:rPr>
          <w:rFonts w:ascii="Times New Roman" w:hAnsi="Times New Roman" w:cs="Times New Roman"/>
          <w:sz w:val="21"/>
          <w:szCs w:val="21"/>
        </w:rPr>
        <w:t>ї</w:t>
      </w:r>
      <w:r w:rsidRPr="008979AA">
        <w:rPr>
          <w:rFonts w:ascii="Times New Roman" w:hAnsi="Times New Roman" w:cs="Times New Roman"/>
          <w:sz w:val="21"/>
          <w:szCs w:val="21"/>
        </w:rPr>
        <w:t xml:space="preserve"> H.</w:t>
      </w:r>
      <w:r>
        <w:rPr>
          <w:rFonts w:ascii="Times New Roman" w:hAnsi="Times New Roman" w:cs="Times New Roman"/>
          <w:sz w:val="21"/>
          <w:szCs w:val="21"/>
        </w:rPr>
        <w:t xml:space="preserve"> </w:t>
      </w:r>
      <w:r w:rsidRPr="008979AA">
        <w:rPr>
          <w:rFonts w:ascii="Times New Roman" w:hAnsi="Times New Roman" w:cs="Times New Roman"/>
          <w:sz w:val="21"/>
          <w:szCs w:val="21"/>
        </w:rPr>
        <w:t>H., Ломовцево</w:t>
      </w:r>
      <w:r>
        <w:rPr>
          <w:rFonts w:ascii="Times New Roman" w:hAnsi="Times New Roman" w:cs="Times New Roman"/>
          <w:sz w:val="21"/>
          <w:szCs w:val="21"/>
        </w:rPr>
        <w:t>ї</w:t>
      </w:r>
      <w:r w:rsidRPr="008979AA">
        <w:rPr>
          <w:rFonts w:ascii="Times New Roman" w:hAnsi="Times New Roman" w:cs="Times New Roman"/>
          <w:sz w:val="21"/>
          <w:szCs w:val="21"/>
        </w:rPr>
        <w:t xml:space="preserve"> O.</w:t>
      </w:r>
      <w:r>
        <w:rPr>
          <w:rFonts w:ascii="Times New Roman" w:hAnsi="Times New Roman" w:cs="Times New Roman"/>
          <w:sz w:val="21"/>
          <w:szCs w:val="21"/>
        </w:rPr>
        <w:t xml:space="preserve"> </w:t>
      </w:r>
      <w:r w:rsidRPr="008979AA">
        <w:rPr>
          <w:rFonts w:ascii="Times New Roman" w:hAnsi="Times New Roman" w:cs="Times New Roman"/>
          <w:sz w:val="21"/>
          <w:szCs w:val="21"/>
        </w:rPr>
        <w:t>A.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_Ref435619455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57</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xml:space="preserve">], а також публікації інших авторів, що хоча і не оперують концепцією соціального капіталу </w:t>
      </w:r>
      <w:r w:rsidRPr="008979AA">
        <w:rPr>
          <w:rFonts w:ascii="Times New Roman" w:hAnsi="Times New Roman" w:cs="Times New Roman"/>
          <w:sz w:val="21"/>
          <w:szCs w:val="21"/>
        </w:rPr>
        <w:lastRenderedPageBreak/>
        <w:t>прямо, але розглядають роль різних його компоненті</w:t>
      </w:r>
      <w:r>
        <w:rPr>
          <w:rFonts w:ascii="Times New Roman" w:hAnsi="Times New Roman" w:cs="Times New Roman"/>
          <w:sz w:val="21"/>
          <w:szCs w:val="21"/>
        </w:rPr>
        <w:t>в</w:t>
      </w:r>
      <w:r w:rsidRPr="008979AA">
        <w:rPr>
          <w:rFonts w:ascii="Times New Roman" w:hAnsi="Times New Roman" w:cs="Times New Roman"/>
          <w:sz w:val="21"/>
          <w:szCs w:val="21"/>
        </w:rPr>
        <w:t xml:space="preserve"> у сфері економічної взаємодії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_Ref435619462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11</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_Ref435619470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16</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_Ref435619475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29</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xml:space="preserve">; </w:t>
      </w:r>
      <w:r w:rsidRPr="006C7057">
        <w:rPr>
          <w:rFonts w:ascii="Times New Roman" w:hAnsi="Times New Roman" w:cs="Times New Roman"/>
          <w:sz w:val="21"/>
          <w:szCs w:val="21"/>
        </w:rPr>
        <w:fldChar w:fldCharType="begin"/>
      </w:r>
      <w:r w:rsidRPr="006C7057">
        <w:rPr>
          <w:rFonts w:ascii="Times New Roman" w:hAnsi="Times New Roman" w:cs="Times New Roman"/>
          <w:sz w:val="21"/>
          <w:szCs w:val="21"/>
        </w:rPr>
        <w:instrText xml:space="preserve"> REF _Ref435619481 \r \h </w:instrText>
      </w:r>
      <w:r>
        <w:rPr>
          <w:rFonts w:ascii="Times New Roman" w:hAnsi="Times New Roman" w:cs="Times New Roman"/>
          <w:sz w:val="21"/>
          <w:szCs w:val="21"/>
        </w:rPr>
        <w:instrText xml:space="preserve"> \* MERGEFORMAT </w:instrText>
      </w:r>
      <w:r w:rsidRPr="006C7057">
        <w:rPr>
          <w:rFonts w:ascii="Times New Roman" w:hAnsi="Times New Roman" w:cs="Times New Roman"/>
          <w:sz w:val="21"/>
          <w:szCs w:val="21"/>
        </w:rPr>
      </w:r>
      <w:r w:rsidRPr="006C7057">
        <w:rPr>
          <w:rFonts w:ascii="Times New Roman" w:hAnsi="Times New Roman" w:cs="Times New Roman"/>
          <w:sz w:val="21"/>
          <w:szCs w:val="21"/>
        </w:rPr>
        <w:fldChar w:fldCharType="separate"/>
      </w:r>
      <w:r w:rsidRPr="006C7057">
        <w:rPr>
          <w:rFonts w:ascii="Times New Roman" w:hAnsi="Times New Roman" w:cs="Times New Roman"/>
          <w:sz w:val="21"/>
          <w:szCs w:val="21"/>
        </w:rPr>
        <w:t>61</w:t>
      </w:r>
      <w:r w:rsidRPr="006C7057">
        <w:rPr>
          <w:rFonts w:ascii="Times New Roman" w:hAnsi="Times New Roman" w:cs="Times New Roman"/>
          <w:sz w:val="21"/>
          <w:szCs w:val="21"/>
        </w:rPr>
        <w:fldChar w:fldCharType="end"/>
      </w:r>
      <w:r w:rsidRPr="006C7057">
        <w:rPr>
          <w:rFonts w:ascii="Times New Roman" w:hAnsi="Times New Roman" w:cs="Times New Roman"/>
          <w:sz w:val="21"/>
          <w:szCs w:val="21"/>
        </w:rPr>
        <w:t xml:space="preserve">; </w:t>
      </w:r>
      <w:r w:rsidRPr="006C7057">
        <w:rPr>
          <w:rFonts w:ascii="Times New Roman" w:hAnsi="Times New Roman" w:cs="Times New Roman"/>
          <w:sz w:val="21"/>
          <w:szCs w:val="21"/>
        </w:rPr>
        <w:fldChar w:fldCharType="begin"/>
      </w:r>
      <w:r w:rsidRPr="006C7057">
        <w:rPr>
          <w:rFonts w:ascii="Times New Roman" w:hAnsi="Times New Roman" w:cs="Times New Roman"/>
          <w:sz w:val="21"/>
          <w:szCs w:val="21"/>
        </w:rPr>
        <w:instrText xml:space="preserve"> REF _Ref435619489 \r \h </w:instrText>
      </w:r>
      <w:r>
        <w:rPr>
          <w:rFonts w:ascii="Times New Roman" w:hAnsi="Times New Roman" w:cs="Times New Roman"/>
          <w:sz w:val="21"/>
          <w:szCs w:val="21"/>
        </w:rPr>
        <w:instrText xml:space="preserve"> \* MERGEFORMAT </w:instrText>
      </w:r>
      <w:r w:rsidRPr="006C7057">
        <w:rPr>
          <w:rFonts w:ascii="Times New Roman" w:hAnsi="Times New Roman" w:cs="Times New Roman"/>
          <w:sz w:val="21"/>
          <w:szCs w:val="21"/>
        </w:rPr>
      </w:r>
      <w:r w:rsidRPr="006C7057">
        <w:rPr>
          <w:rFonts w:ascii="Times New Roman" w:hAnsi="Times New Roman" w:cs="Times New Roman"/>
          <w:sz w:val="21"/>
          <w:szCs w:val="21"/>
        </w:rPr>
        <w:fldChar w:fldCharType="separate"/>
      </w:r>
      <w:r w:rsidRPr="006C7057">
        <w:rPr>
          <w:rFonts w:ascii="Times New Roman" w:hAnsi="Times New Roman" w:cs="Times New Roman"/>
          <w:sz w:val="21"/>
          <w:szCs w:val="21"/>
        </w:rPr>
        <w:t>69</w:t>
      </w:r>
      <w:r w:rsidRPr="006C7057">
        <w:rPr>
          <w:rFonts w:ascii="Times New Roman" w:hAnsi="Times New Roman" w:cs="Times New Roman"/>
          <w:sz w:val="21"/>
          <w:szCs w:val="21"/>
        </w:rPr>
        <w:fldChar w:fldCharType="end"/>
      </w:r>
      <w:r w:rsidRPr="006C7057">
        <w:rPr>
          <w:rFonts w:ascii="Times New Roman" w:hAnsi="Times New Roman" w:cs="Times New Roman"/>
          <w:sz w:val="21"/>
          <w:szCs w:val="21"/>
        </w:rPr>
        <w:t>;</w:t>
      </w:r>
      <w:r w:rsidRPr="008979AA">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_Ref435619496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70</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r w:rsidRPr="008979AA">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_Ref435619529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100</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_Ref435619535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99</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_Ref435619542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127</w:t>
      </w:r>
      <w:r>
        <w:rPr>
          <w:rFonts w:ascii="Times New Roman" w:hAnsi="Times New Roman" w:cs="Times New Roman"/>
          <w:sz w:val="21"/>
          <w:szCs w:val="21"/>
          <w:highlight w:val="yellow"/>
        </w:rPr>
        <w:fldChar w:fldCharType="end"/>
      </w:r>
      <w:r w:rsidRPr="002003E8">
        <w:rPr>
          <w:rFonts w:ascii="Times New Roman" w:hAnsi="Times New Roman" w:cs="Times New Roman"/>
          <w:sz w:val="21"/>
          <w:szCs w:val="21"/>
        </w:rPr>
        <w:t>;</w:t>
      </w:r>
      <w:r w:rsidRPr="008979AA">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_Ref435619549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143</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 xml:space="preserve">Аналіз вітчизняної і зарубіжної літератури показує, що соціальний капітал </w:t>
      </w:r>
      <w:r>
        <w:rPr>
          <w:rFonts w:ascii="Times New Roman" w:hAnsi="Times New Roman" w:cs="Times New Roman"/>
          <w:sz w:val="21"/>
          <w:szCs w:val="21"/>
        </w:rPr>
        <w:t>–</w:t>
      </w:r>
      <w:r w:rsidRPr="008979AA">
        <w:rPr>
          <w:rFonts w:ascii="Times New Roman" w:hAnsi="Times New Roman" w:cs="Times New Roman"/>
          <w:sz w:val="21"/>
          <w:szCs w:val="21"/>
        </w:rPr>
        <w:t xml:space="preserve"> це багатопланове економічне явище, що охоплює усі сторони соціально-економічного життя суспільства і часто приймає глобальний характер. В той же час, відзначається, що соціальний капітал сприяє ліквідації конфліктів в суспільстві на його різних рівнях і в різних організаційних структурах, дозволяє уникати санкцій і витрат на їх здійснення, забезпечує встановлення </w:t>
      </w:r>
      <w:r>
        <w:rPr>
          <w:rFonts w:ascii="Times New Roman" w:hAnsi="Times New Roman" w:cs="Times New Roman"/>
          <w:sz w:val="21"/>
          <w:szCs w:val="21"/>
        </w:rPr>
        <w:t>нових зв’</w:t>
      </w:r>
      <w:r w:rsidRPr="008979AA">
        <w:rPr>
          <w:rFonts w:ascii="Times New Roman" w:hAnsi="Times New Roman" w:cs="Times New Roman"/>
          <w:sz w:val="21"/>
          <w:szCs w:val="21"/>
        </w:rPr>
        <w:t>язків, їх розширення і модернізацію соціокультурного середовища, послаблює дію негативних соціально-економічних чинників і прискорює економічну динаміку.</w:t>
      </w:r>
    </w:p>
    <w:p w:rsidR="00B233DE" w:rsidRPr="008979AA"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С</w:t>
      </w:r>
      <w:r w:rsidRPr="008979AA">
        <w:rPr>
          <w:rFonts w:ascii="Times New Roman" w:hAnsi="Times New Roman" w:cs="Times New Roman"/>
          <w:sz w:val="21"/>
          <w:szCs w:val="21"/>
        </w:rPr>
        <w:t>оціальн</w:t>
      </w:r>
      <w:r>
        <w:rPr>
          <w:rFonts w:ascii="Times New Roman" w:hAnsi="Times New Roman" w:cs="Times New Roman"/>
          <w:sz w:val="21"/>
          <w:szCs w:val="21"/>
        </w:rPr>
        <w:t>ий</w:t>
      </w:r>
      <w:r w:rsidRPr="008979AA">
        <w:rPr>
          <w:rFonts w:ascii="Times New Roman" w:hAnsi="Times New Roman" w:cs="Times New Roman"/>
          <w:sz w:val="21"/>
          <w:szCs w:val="21"/>
        </w:rPr>
        <w:t xml:space="preserve"> капітал як масове, а не епізодичне явище охоплює усе суспільство, коли в процесі його тривалого історичного розвитку в умовах ринкового господарства, виникає особливий тип людини, здатний сполучати як індивідуальні, так і колективні економічні інтереси, захищати не лише свої права, але і права</w:t>
      </w:r>
      <w:r>
        <w:rPr>
          <w:rFonts w:ascii="Times New Roman" w:hAnsi="Times New Roman" w:cs="Times New Roman"/>
          <w:sz w:val="21"/>
          <w:szCs w:val="21"/>
        </w:rPr>
        <w:t xml:space="preserve"> інших людей, мати почуття обов’</w:t>
      </w:r>
      <w:r w:rsidRPr="008979AA">
        <w:rPr>
          <w:rFonts w:ascii="Times New Roman" w:hAnsi="Times New Roman" w:cs="Times New Roman"/>
          <w:sz w:val="21"/>
          <w:szCs w:val="21"/>
        </w:rPr>
        <w:t>язку та вміти нести особисту відповідальність, бути законослухняним і вимагати такого самого відношення з боку усіх членів мікро- і макроспівтовариства. У цих умовах і народжується такий унікальний соціально-етичний феномен як загальна довіра, що лежить в основі соціального капіталу.</w:t>
      </w:r>
    </w:p>
    <w:p w:rsidR="00B233DE"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Н</w:t>
      </w:r>
      <w:r w:rsidRPr="008979AA">
        <w:rPr>
          <w:rFonts w:ascii="Times New Roman" w:hAnsi="Times New Roman" w:cs="Times New Roman"/>
          <w:sz w:val="21"/>
          <w:szCs w:val="21"/>
        </w:rPr>
        <w:t>еобхідно відмітити велику різноманітність підходів до дослідження суті соціального капіталу як соціально-економічного яви</w:t>
      </w:r>
      <w:r>
        <w:rPr>
          <w:rFonts w:ascii="Times New Roman" w:hAnsi="Times New Roman" w:cs="Times New Roman"/>
          <w:sz w:val="21"/>
          <w:szCs w:val="21"/>
        </w:rPr>
        <w:t>ща і звернути увагу на те, що :</w:t>
      </w:r>
    </w:p>
    <w:p w:rsidR="00B233DE" w:rsidRPr="00A61F87" w:rsidRDefault="00B233DE" w:rsidP="00B233DE">
      <w:pPr>
        <w:pStyle w:val="ad"/>
        <w:numPr>
          <w:ilvl w:val="0"/>
          <w:numId w:val="30"/>
        </w:numPr>
        <w:tabs>
          <w:tab w:val="left" w:pos="993"/>
        </w:tabs>
        <w:ind w:left="0" w:firstLine="709"/>
        <w:jc w:val="both"/>
        <w:rPr>
          <w:rFonts w:ascii="Times New Roman" w:hAnsi="Times New Roman" w:cs="Times New Roman"/>
          <w:sz w:val="21"/>
          <w:szCs w:val="21"/>
        </w:rPr>
      </w:pPr>
      <w:r w:rsidRPr="00A61F87">
        <w:rPr>
          <w:rFonts w:ascii="Times New Roman" w:hAnsi="Times New Roman" w:cs="Times New Roman"/>
          <w:sz w:val="21"/>
          <w:szCs w:val="21"/>
        </w:rPr>
        <w:t>усі ці автори намагаються розглянути соціальний капітал поза зв’язком з виробничим процесом, тобто вони досліджують його в широкому значенні слова;</w:t>
      </w:r>
    </w:p>
    <w:p w:rsidR="00B233DE" w:rsidRPr="00A61F87" w:rsidRDefault="00B233DE" w:rsidP="00B233DE">
      <w:pPr>
        <w:pStyle w:val="ad"/>
        <w:numPr>
          <w:ilvl w:val="0"/>
          <w:numId w:val="30"/>
        </w:numPr>
        <w:tabs>
          <w:tab w:val="left" w:pos="993"/>
        </w:tabs>
        <w:ind w:left="0" w:firstLine="709"/>
        <w:jc w:val="both"/>
        <w:rPr>
          <w:rFonts w:ascii="Times New Roman" w:hAnsi="Times New Roman" w:cs="Times New Roman"/>
          <w:sz w:val="21"/>
          <w:szCs w:val="21"/>
        </w:rPr>
      </w:pPr>
      <w:r w:rsidRPr="00A61F87">
        <w:rPr>
          <w:rFonts w:ascii="Times New Roman" w:hAnsi="Times New Roman" w:cs="Times New Roman"/>
          <w:sz w:val="21"/>
          <w:szCs w:val="21"/>
        </w:rPr>
        <w:t>в їх дослідженнях</w:t>
      </w:r>
      <w:r>
        <w:rPr>
          <w:rFonts w:ascii="Times New Roman" w:hAnsi="Times New Roman" w:cs="Times New Roman"/>
          <w:sz w:val="21"/>
          <w:szCs w:val="21"/>
        </w:rPr>
        <w:t xml:space="preserve"> соціальний капітал ніяк не пов’язаний з техноструктурою, </w:t>
      </w:r>
      <w:r w:rsidRPr="00A61F87">
        <w:rPr>
          <w:rFonts w:ascii="Times New Roman" w:hAnsi="Times New Roman" w:cs="Times New Roman"/>
          <w:sz w:val="21"/>
          <w:szCs w:val="21"/>
        </w:rPr>
        <w:t>яка існуює на конкретних підприємствах, з розподілом праці, з технологією і організацією виробництва, з його управлінням.</w:t>
      </w:r>
    </w:p>
    <w:p w:rsidR="00B233DE" w:rsidRPr="008979AA"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Вважаємо, що без взаємозв’</w:t>
      </w:r>
      <w:r w:rsidRPr="008979AA">
        <w:rPr>
          <w:rFonts w:ascii="Times New Roman" w:hAnsi="Times New Roman" w:cs="Times New Roman"/>
          <w:sz w:val="21"/>
          <w:szCs w:val="21"/>
        </w:rPr>
        <w:t>язку соціального капіталу з існуючими в суспільстві виробничими системами повністю розкрити його суть та дати його розгорнуту характеристику не можливо.</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 xml:space="preserve">Отже, соціальний капітал, в найзагальнішому вигляді, розглядається як властивість систем соціальних відносин </w:t>
      </w:r>
      <w:r w:rsidRPr="008979AA">
        <w:rPr>
          <w:rFonts w:ascii="Times New Roman" w:hAnsi="Times New Roman" w:cs="Times New Roman"/>
          <w:sz w:val="21"/>
          <w:szCs w:val="21"/>
        </w:rPr>
        <w:lastRenderedPageBreak/>
        <w:t>(соціальних мереж) забезпечувати доступ індивідів до ресурсів і підвищувати ефективність їхніх спільних дій. Соціальний капітал полягає в людських відносинах, що мають цінність як засіб, здатний бути інвестованим в різні види діяльності людини і принести вигоду у вигляді матеріальних і нематеріальних благ. Продуктивна функція соціального капіталу, на думку дослідників, може бути виражена в різноманітних формах – від ефективного пошуку праці до знаходження каналів збуту продукції виробниками, від мобілізації політичної опозиції до ефективнішого соціального контролю суспільством поведінки своїх членів. Соціальний капітал, на відміну від інших форм капіталу, не є винятковою власністю окремих осіб. Він виникає, зберігається і відтворюється тільки в системі відносин між людьми, хоча може бути використаний як в індивідуальних, так і в колективних і громадських цілях.</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Нові теорії капіталу істотно відрізняються від класичної концепції економічного капіталу: разом з розширенням сфери застосування терміну «капітал», сталося переосмислення його природи. Так, в концепціях людського і культурного капіталу найманий персонал (експлуатовані класи) може придбавати власний капітал (навички і знання у випадку з людським капіталом; система символів і значень, що засвоєна масами і розглядається ними як свої власні культурні цінності, – у випадку з культурним капіталом). Вони можуть також отримувати частину додаткової вартості, наприклад, домагаючись вигідних умов оплати робочої сили і конкуруючи на ринку праці. В той же час, нові теорії капіталу, відрізняючись від класичної теорії капіталу, мають спільну з нею фундаментальну основу: усі вони розглядають капітал як ресурс, який може бути інвестований і здатний принести дохід (що розуміється не лише в категоріях економічної цінності).</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Концепція соціального капіталу, яка належить до категорії некласичних теорій, поширює застосування цього поня</w:t>
      </w:r>
      <w:r>
        <w:rPr>
          <w:rFonts w:ascii="Times New Roman" w:hAnsi="Times New Roman" w:cs="Times New Roman"/>
          <w:sz w:val="21"/>
          <w:szCs w:val="21"/>
        </w:rPr>
        <w:t>ття до потенціалу соціальних зв’</w:t>
      </w:r>
      <w:r w:rsidRPr="008979AA">
        <w:rPr>
          <w:rFonts w:ascii="Times New Roman" w:hAnsi="Times New Roman" w:cs="Times New Roman"/>
          <w:sz w:val="21"/>
          <w:szCs w:val="21"/>
        </w:rPr>
        <w:t>язків між людьми і спільно</w:t>
      </w:r>
      <w:r>
        <w:rPr>
          <w:rFonts w:ascii="Times New Roman" w:hAnsi="Times New Roman" w:cs="Times New Roman"/>
          <w:sz w:val="21"/>
          <w:szCs w:val="21"/>
        </w:rPr>
        <w:t>тами: інвестиції в соціальні зв’</w:t>
      </w:r>
      <w:r w:rsidRPr="008979AA">
        <w:rPr>
          <w:rFonts w:ascii="Times New Roman" w:hAnsi="Times New Roman" w:cs="Times New Roman"/>
          <w:sz w:val="21"/>
          <w:szCs w:val="21"/>
        </w:rPr>
        <w:t xml:space="preserve">язки продуктивні, вони приносять дохід у вигляді ресурсів, статусних позицій, престижу і влади, підтримки, що сприяє підвищенню ефективності індивідуальних і колективних дій. Зіставлення теорій різних форм капіталу в узагальненому виді представлене в таблиці </w:t>
      </w:r>
      <w:r>
        <w:rPr>
          <w:rFonts w:ascii="Times New Roman" w:hAnsi="Times New Roman" w:cs="Times New Roman"/>
          <w:sz w:val="21"/>
          <w:szCs w:val="21"/>
        </w:rPr>
        <w:t>5.1</w:t>
      </w:r>
      <w:r w:rsidRPr="008979AA">
        <w:rPr>
          <w:rFonts w:ascii="Times New Roman" w:hAnsi="Times New Roman" w:cs="Times New Roman"/>
          <w:sz w:val="21"/>
          <w:szCs w:val="21"/>
        </w:rPr>
        <w:t>.</w:t>
      </w: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right"/>
        <w:rPr>
          <w:rFonts w:ascii="Times New Roman" w:hAnsi="Times New Roman" w:cs="Times New Roman"/>
          <w:sz w:val="21"/>
          <w:szCs w:val="21"/>
        </w:rPr>
      </w:pPr>
    </w:p>
    <w:p w:rsidR="00B233DE" w:rsidRPr="008979AA" w:rsidRDefault="00B233DE" w:rsidP="00B233DE">
      <w:pPr>
        <w:ind w:firstLine="709"/>
        <w:jc w:val="right"/>
        <w:rPr>
          <w:rFonts w:ascii="Times New Roman" w:hAnsi="Times New Roman" w:cs="Times New Roman"/>
          <w:sz w:val="21"/>
          <w:szCs w:val="21"/>
        </w:rPr>
      </w:pPr>
      <w:r w:rsidRPr="008979AA">
        <w:rPr>
          <w:rFonts w:ascii="Times New Roman" w:hAnsi="Times New Roman" w:cs="Times New Roman"/>
          <w:sz w:val="21"/>
          <w:szCs w:val="21"/>
        </w:rPr>
        <w:t xml:space="preserve">Таблиця </w:t>
      </w:r>
      <w:r>
        <w:rPr>
          <w:rFonts w:ascii="Times New Roman" w:hAnsi="Times New Roman" w:cs="Times New Roman"/>
          <w:sz w:val="21"/>
          <w:szCs w:val="21"/>
        </w:rPr>
        <w:t>5.1</w:t>
      </w:r>
    </w:p>
    <w:p w:rsidR="00B233DE" w:rsidRPr="00A61F87" w:rsidRDefault="00B233DE" w:rsidP="00B233DE">
      <w:pPr>
        <w:ind w:firstLine="709"/>
        <w:jc w:val="center"/>
        <w:rPr>
          <w:rFonts w:ascii="Times New Roman" w:hAnsi="Times New Roman" w:cs="Times New Roman"/>
          <w:b/>
          <w:sz w:val="21"/>
          <w:szCs w:val="21"/>
        </w:rPr>
      </w:pPr>
      <w:r w:rsidRPr="00A61F87">
        <w:rPr>
          <w:rFonts w:ascii="Times New Roman" w:hAnsi="Times New Roman" w:cs="Times New Roman"/>
          <w:b/>
          <w:sz w:val="21"/>
          <w:szCs w:val="21"/>
        </w:rPr>
        <w:t>Теорії капіталу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98"/>
        <w:gridCol w:w="1354"/>
        <w:gridCol w:w="1056"/>
        <w:gridCol w:w="1307"/>
        <w:gridCol w:w="1317"/>
      </w:tblGrid>
      <w:tr w:rsidR="00B233DE" w:rsidRPr="008979AA" w:rsidTr="0023489B">
        <w:tc>
          <w:tcPr>
            <w:tcW w:w="1198" w:type="dxa"/>
            <w:vAlign w:val="center"/>
          </w:tcPr>
          <w:p w:rsidR="00B233DE" w:rsidRPr="008979AA" w:rsidRDefault="00B233DE" w:rsidP="0023489B">
            <w:pPr>
              <w:ind w:right="-43" w:firstLine="0"/>
              <w:jc w:val="center"/>
              <w:rPr>
                <w:rFonts w:ascii="Times New Roman" w:hAnsi="Times New Roman" w:cs="Times New Roman"/>
                <w:sz w:val="18"/>
                <w:szCs w:val="18"/>
              </w:rPr>
            </w:pPr>
            <w:r w:rsidRPr="008979AA">
              <w:rPr>
                <w:rFonts w:ascii="Times New Roman" w:hAnsi="Times New Roman" w:cs="Times New Roman"/>
                <w:sz w:val="18"/>
                <w:szCs w:val="18"/>
              </w:rPr>
              <w:t>Форма капіталу</w:t>
            </w:r>
          </w:p>
        </w:tc>
        <w:tc>
          <w:tcPr>
            <w:tcW w:w="1354" w:type="dxa"/>
            <w:vAlign w:val="center"/>
          </w:tcPr>
          <w:p w:rsidR="00B233DE" w:rsidRPr="008979AA" w:rsidRDefault="00B233DE" w:rsidP="0023489B">
            <w:pPr>
              <w:ind w:right="-43" w:firstLine="0"/>
              <w:jc w:val="center"/>
              <w:rPr>
                <w:rFonts w:ascii="Times New Roman" w:hAnsi="Times New Roman" w:cs="Times New Roman"/>
                <w:sz w:val="18"/>
                <w:szCs w:val="18"/>
              </w:rPr>
            </w:pPr>
            <w:r w:rsidRPr="008979AA">
              <w:rPr>
                <w:rFonts w:ascii="Times New Roman" w:hAnsi="Times New Roman" w:cs="Times New Roman"/>
                <w:sz w:val="18"/>
                <w:szCs w:val="18"/>
              </w:rPr>
              <w:t>Основні теоретики</w:t>
            </w:r>
          </w:p>
        </w:tc>
        <w:tc>
          <w:tcPr>
            <w:tcW w:w="1056" w:type="dxa"/>
            <w:vAlign w:val="center"/>
          </w:tcPr>
          <w:p w:rsidR="00B233DE" w:rsidRPr="008979AA" w:rsidRDefault="00B233DE" w:rsidP="0023489B">
            <w:pPr>
              <w:ind w:right="-43" w:firstLine="0"/>
              <w:jc w:val="center"/>
              <w:rPr>
                <w:rFonts w:ascii="Times New Roman" w:hAnsi="Times New Roman" w:cs="Times New Roman"/>
                <w:sz w:val="18"/>
                <w:szCs w:val="18"/>
              </w:rPr>
            </w:pPr>
            <w:r w:rsidRPr="008979AA">
              <w:rPr>
                <w:rFonts w:ascii="Times New Roman" w:hAnsi="Times New Roman" w:cs="Times New Roman"/>
                <w:sz w:val="18"/>
                <w:szCs w:val="18"/>
              </w:rPr>
              <w:t>Джерело</w:t>
            </w:r>
          </w:p>
        </w:tc>
        <w:tc>
          <w:tcPr>
            <w:tcW w:w="1307" w:type="dxa"/>
            <w:vAlign w:val="center"/>
          </w:tcPr>
          <w:p w:rsidR="00B233DE" w:rsidRPr="008979AA" w:rsidRDefault="00B233DE" w:rsidP="0023489B">
            <w:pPr>
              <w:ind w:right="-43" w:firstLine="0"/>
              <w:jc w:val="center"/>
              <w:rPr>
                <w:rFonts w:ascii="Times New Roman" w:hAnsi="Times New Roman" w:cs="Times New Roman"/>
                <w:sz w:val="18"/>
                <w:szCs w:val="18"/>
              </w:rPr>
            </w:pPr>
            <w:r w:rsidRPr="008979AA">
              <w:rPr>
                <w:rFonts w:ascii="Times New Roman" w:hAnsi="Times New Roman" w:cs="Times New Roman"/>
                <w:sz w:val="18"/>
                <w:szCs w:val="18"/>
              </w:rPr>
              <w:t>Функції</w:t>
            </w:r>
          </w:p>
        </w:tc>
        <w:tc>
          <w:tcPr>
            <w:tcW w:w="1317" w:type="dxa"/>
            <w:vAlign w:val="center"/>
          </w:tcPr>
          <w:p w:rsidR="00B233DE" w:rsidRPr="008979AA" w:rsidRDefault="00B233DE" w:rsidP="0023489B">
            <w:pPr>
              <w:ind w:right="-43" w:firstLine="0"/>
              <w:jc w:val="center"/>
              <w:rPr>
                <w:rFonts w:ascii="Times New Roman" w:hAnsi="Times New Roman" w:cs="Times New Roman"/>
                <w:sz w:val="18"/>
                <w:szCs w:val="18"/>
              </w:rPr>
            </w:pPr>
            <w:r w:rsidRPr="008979AA">
              <w:rPr>
                <w:rFonts w:ascii="Times New Roman" w:hAnsi="Times New Roman" w:cs="Times New Roman"/>
                <w:sz w:val="18"/>
                <w:szCs w:val="18"/>
              </w:rPr>
              <w:t>Вираз</w:t>
            </w:r>
          </w:p>
        </w:tc>
      </w:tr>
      <w:tr w:rsidR="00B233DE" w:rsidRPr="008979AA" w:rsidTr="0023489B">
        <w:tc>
          <w:tcPr>
            <w:tcW w:w="1198" w:type="dxa"/>
            <w:vAlign w:val="center"/>
          </w:tcPr>
          <w:p w:rsidR="00B233DE" w:rsidRPr="008979AA" w:rsidRDefault="00B233DE" w:rsidP="0023489B">
            <w:pPr>
              <w:ind w:right="-43" w:firstLine="0"/>
              <w:jc w:val="center"/>
              <w:rPr>
                <w:rFonts w:ascii="Times New Roman" w:hAnsi="Times New Roman" w:cs="Times New Roman"/>
                <w:sz w:val="18"/>
                <w:szCs w:val="18"/>
              </w:rPr>
            </w:pPr>
            <w:r w:rsidRPr="008979AA">
              <w:rPr>
                <w:rFonts w:ascii="Times New Roman" w:hAnsi="Times New Roman" w:cs="Times New Roman"/>
                <w:sz w:val="18"/>
                <w:szCs w:val="18"/>
              </w:rPr>
              <w:t>Економічний капітал</w:t>
            </w:r>
          </w:p>
        </w:tc>
        <w:tc>
          <w:tcPr>
            <w:tcW w:w="1354" w:type="dxa"/>
            <w:vAlign w:val="center"/>
          </w:tcPr>
          <w:p w:rsidR="00B233DE" w:rsidRPr="008979AA" w:rsidRDefault="00B233DE" w:rsidP="0023489B">
            <w:pPr>
              <w:ind w:right="-43" w:firstLine="0"/>
              <w:jc w:val="center"/>
              <w:rPr>
                <w:rFonts w:ascii="Times New Roman" w:hAnsi="Times New Roman" w:cs="Times New Roman"/>
                <w:sz w:val="18"/>
                <w:szCs w:val="18"/>
              </w:rPr>
            </w:pPr>
            <w:r w:rsidRPr="008979AA">
              <w:rPr>
                <w:rFonts w:ascii="Times New Roman" w:hAnsi="Times New Roman" w:cs="Times New Roman"/>
                <w:sz w:val="18"/>
                <w:szCs w:val="18"/>
              </w:rPr>
              <w:t>К. Маркс</w:t>
            </w:r>
          </w:p>
        </w:tc>
        <w:tc>
          <w:tcPr>
            <w:tcW w:w="1056" w:type="dxa"/>
            <w:vAlign w:val="center"/>
          </w:tcPr>
          <w:p w:rsidR="00B233DE" w:rsidRPr="00A61F87" w:rsidRDefault="00B233DE" w:rsidP="0023489B">
            <w:pPr>
              <w:ind w:left="-108" w:right="-44" w:firstLine="0"/>
              <w:jc w:val="center"/>
              <w:rPr>
                <w:rFonts w:ascii="Times New Roman" w:hAnsi="Times New Roman" w:cs="Times New Roman"/>
                <w:spacing w:val="-4"/>
                <w:sz w:val="18"/>
                <w:szCs w:val="18"/>
              </w:rPr>
            </w:pPr>
            <w:r w:rsidRPr="00A61F87">
              <w:rPr>
                <w:rFonts w:ascii="Times New Roman" w:hAnsi="Times New Roman" w:cs="Times New Roman"/>
                <w:spacing w:val="-4"/>
                <w:sz w:val="18"/>
                <w:szCs w:val="18"/>
              </w:rPr>
              <w:t>Експлуатація</w:t>
            </w:r>
          </w:p>
        </w:tc>
        <w:tc>
          <w:tcPr>
            <w:tcW w:w="1307" w:type="dxa"/>
            <w:vAlign w:val="center"/>
          </w:tcPr>
          <w:p w:rsidR="00B233DE" w:rsidRPr="008979AA" w:rsidRDefault="00B233DE" w:rsidP="0023489B">
            <w:pPr>
              <w:ind w:right="-43" w:firstLine="0"/>
              <w:jc w:val="center"/>
              <w:rPr>
                <w:rFonts w:ascii="Times New Roman" w:hAnsi="Times New Roman" w:cs="Times New Roman"/>
                <w:sz w:val="18"/>
                <w:szCs w:val="18"/>
              </w:rPr>
            </w:pPr>
            <w:r w:rsidRPr="008979AA">
              <w:rPr>
                <w:rFonts w:ascii="Times New Roman" w:hAnsi="Times New Roman" w:cs="Times New Roman"/>
                <w:sz w:val="18"/>
                <w:szCs w:val="18"/>
              </w:rPr>
              <w:t>Отримання доданої вартості</w:t>
            </w:r>
          </w:p>
        </w:tc>
        <w:tc>
          <w:tcPr>
            <w:tcW w:w="1317" w:type="dxa"/>
            <w:vAlign w:val="center"/>
          </w:tcPr>
          <w:p w:rsidR="00B233DE" w:rsidRPr="008979AA" w:rsidRDefault="00B233DE" w:rsidP="0023489B">
            <w:pPr>
              <w:ind w:right="-43" w:firstLine="0"/>
              <w:jc w:val="center"/>
              <w:rPr>
                <w:rFonts w:ascii="Times New Roman" w:hAnsi="Times New Roman" w:cs="Times New Roman"/>
                <w:sz w:val="18"/>
                <w:szCs w:val="18"/>
              </w:rPr>
            </w:pPr>
            <w:r w:rsidRPr="008979AA">
              <w:rPr>
                <w:rFonts w:ascii="Times New Roman" w:hAnsi="Times New Roman" w:cs="Times New Roman"/>
                <w:sz w:val="18"/>
                <w:szCs w:val="18"/>
              </w:rPr>
              <w:t>Фінансові засоби. Матеріальні засоби виробництва. Технології</w:t>
            </w:r>
          </w:p>
        </w:tc>
      </w:tr>
      <w:tr w:rsidR="00B233DE" w:rsidRPr="008979AA" w:rsidTr="0023489B">
        <w:tc>
          <w:tcPr>
            <w:tcW w:w="1198" w:type="dxa"/>
            <w:vAlign w:val="center"/>
          </w:tcPr>
          <w:p w:rsidR="00B233DE" w:rsidRPr="008979AA" w:rsidRDefault="00B233DE" w:rsidP="0023489B">
            <w:pPr>
              <w:ind w:right="-43" w:firstLine="0"/>
              <w:jc w:val="center"/>
              <w:rPr>
                <w:rFonts w:ascii="Times New Roman" w:hAnsi="Times New Roman" w:cs="Times New Roman"/>
                <w:sz w:val="18"/>
                <w:szCs w:val="18"/>
              </w:rPr>
            </w:pPr>
            <w:r w:rsidRPr="008979AA">
              <w:rPr>
                <w:rFonts w:ascii="Times New Roman" w:hAnsi="Times New Roman" w:cs="Times New Roman"/>
                <w:sz w:val="18"/>
                <w:szCs w:val="18"/>
              </w:rPr>
              <w:t>Людський капітал</w:t>
            </w:r>
          </w:p>
        </w:tc>
        <w:tc>
          <w:tcPr>
            <w:tcW w:w="1354" w:type="dxa"/>
            <w:vAlign w:val="center"/>
          </w:tcPr>
          <w:p w:rsidR="00B233DE" w:rsidRDefault="00B233DE" w:rsidP="0023489B">
            <w:pPr>
              <w:ind w:left="-30" w:right="-108" w:firstLine="0"/>
              <w:jc w:val="center"/>
              <w:rPr>
                <w:rFonts w:ascii="Times New Roman" w:hAnsi="Times New Roman" w:cs="Times New Roman"/>
                <w:sz w:val="18"/>
                <w:szCs w:val="18"/>
              </w:rPr>
            </w:pPr>
            <w:r>
              <w:rPr>
                <w:rFonts w:ascii="Times New Roman" w:hAnsi="Times New Roman" w:cs="Times New Roman"/>
                <w:sz w:val="18"/>
                <w:szCs w:val="18"/>
              </w:rPr>
              <w:t xml:space="preserve">Г. С. </w:t>
            </w:r>
            <w:r w:rsidRPr="008979AA">
              <w:rPr>
                <w:rFonts w:ascii="Times New Roman" w:hAnsi="Times New Roman" w:cs="Times New Roman"/>
                <w:sz w:val="18"/>
                <w:szCs w:val="18"/>
              </w:rPr>
              <w:t xml:space="preserve">Беккер, </w:t>
            </w:r>
          </w:p>
          <w:p w:rsidR="00B233DE" w:rsidRPr="00A61F87" w:rsidRDefault="00B233DE" w:rsidP="0023489B">
            <w:pPr>
              <w:ind w:left="-30" w:right="-108" w:firstLine="0"/>
              <w:jc w:val="center"/>
              <w:rPr>
                <w:rFonts w:ascii="Times New Roman" w:hAnsi="Times New Roman" w:cs="Times New Roman"/>
                <w:sz w:val="18"/>
                <w:szCs w:val="18"/>
              </w:rPr>
            </w:pPr>
            <w:r w:rsidRPr="00A61F87">
              <w:rPr>
                <w:rFonts w:ascii="Times New Roman" w:hAnsi="Times New Roman" w:cs="Times New Roman"/>
                <w:sz w:val="18"/>
                <w:szCs w:val="18"/>
              </w:rPr>
              <w:t xml:space="preserve">Г. Дж. Джонсон, </w:t>
            </w:r>
          </w:p>
          <w:p w:rsidR="00B233DE" w:rsidRPr="008979AA" w:rsidRDefault="00B233DE" w:rsidP="0023489B">
            <w:pPr>
              <w:ind w:left="-30" w:right="-108" w:firstLine="0"/>
              <w:jc w:val="center"/>
              <w:rPr>
                <w:rFonts w:ascii="Times New Roman" w:hAnsi="Times New Roman" w:cs="Times New Roman"/>
                <w:sz w:val="18"/>
                <w:szCs w:val="18"/>
              </w:rPr>
            </w:pPr>
            <w:r w:rsidRPr="008979AA">
              <w:rPr>
                <w:rFonts w:ascii="Times New Roman" w:hAnsi="Times New Roman" w:cs="Times New Roman"/>
                <w:sz w:val="18"/>
                <w:szCs w:val="18"/>
              </w:rPr>
              <w:t>Т. У. Шульц</w:t>
            </w:r>
          </w:p>
        </w:tc>
        <w:tc>
          <w:tcPr>
            <w:tcW w:w="1056" w:type="dxa"/>
            <w:vAlign w:val="center"/>
          </w:tcPr>
          <w:p w:rsidR="00B233DE" w:rsidRPr="008979AA" w:rsidRDefault="00B233DE" w:rsidP="0023489B">
            <w:pPr>
              <w:ind w:right="-43" w:firstLine="0"/>
              <w:jc w:val="center"/>
              <w:rPr>
                <w:rFonts w:ascii="Times New Roman" w:hAnsi="Times New Roman" w:cs="Times New Roman"/>
                <w:sz w:val="18"/>
                <w:szCs w:val="18"/>
              </w:rPr>
            </w:pPr>
            <w:r w:rsidRPr="008979AA">
              <w:rPr>
                <w:rFonts w:ascii="Times New Roman" w:hAnsi="Times New Roman" w:cs="Times New Roman"/>
                <w:sz w:val="18"/>
                <w:szCs w:val="18"/>
              </w:rPr>
              <w:t>Навчання</w:t>
            </w:r>
          </w:p>
        </w:tc>
        <w:tc>
          <w:tcPr>
            <w:tcW w:w="1307" w:type="dxa"/>
            <w:vAlign w:val="center"/>
          </w:tcPr>
          <w:p w:rsidR="00B233DE" w:rsidRPr="008979AA" w:rsidRDefault="00B233DE" w:rsidP="0023489B">
            <w:pPr>
              <w:ind w:right="-43" w:firstLine="0"/>
              <w:jc w:val="center"/>
              <w:rPr>
                <w:rFonts w:ascii="Times New Roman" w:hAnsi="Times New Roman" w:cs="Times New Roman"/>
                <w:sz w:val="18"/>
                <w:szCs w:val="18"/>
              </w:rPr>
            </w:pPr>
            <w:r w:rsidRPr="008979AA">
              <w:rPr>
                <w:rFonts w:ascii="Times New Roman" w:hAnsi="Times New Roman" w:cs="Times New Roman"/>
                <w:sz w:val="18"/>
                <w:szCs w:val="18"/>
              </w:rPr>
              <w:t>Збільшеня вартості робочої сили. Отримання доданої вартості.</w:t>
            </w:r>
          </w:p>
        </w:tc>
        <w:tc>
          <w:tcPr>
            <w:tcW w:w="1317" w:type="dxa"/>
            <w:vAlign w:val="center"/>
          </w:tcPr>
          <w:p w:rsidR="00B233DE" w:rsidRPr="008979AA" w:rsidRDefault="00B233DE" w:rsidP="0023489B">
            <w:pPr>
              <w:ind w:right="-43" w:firstLine="0"/>
              <w:jc w:val="center"/>
              <w:rPr>
                <w:rFonts w:ascii="Times New Roman" w:hAnsi="Times New Roman" w:cs="Times New Roman"/>
                <w:sz w:val="18"/>
                <w:szCs w:val="18"/>
              </w:rPr>
            </w:pPr>
            <w:r>
              <w:rPr>
                <w:rFonts w:ascii="Times New Roman" w:hAnsi="Times New Roman" w:cs="Times New Roman"/>
                <w:sz w:val="18"/>
                <w:szCs w:val="18"/>
              </w:rPr>
              <w:t>Знання, уміння</w:t>
            </w:r>
          </w:p>
        </w:tc>
      </w:tr>
      <w:tr w:rsidR="00B233DE" w:rsidRPr="008979AA" w:rsidTr="0023489B">
        <w:tc>
          <w:tcPr>
            <w:tcW w:w="1198" w:type="dxa"/>
            <w:vAlign w:val="center"/>
          </w:tcPr>
          <w:p w:rsidR="00B233DE" w:rsidRPr="008979AA" w:rsidRDefault="00B233DE" w:rsidP="0023489B">
            <w:pPr>
              <w:ind w:right="-43" w:firstLine="0"/>
              <w:jc w:val="center"/>
              <w:rPr>
                <w:rFonts w:ascii="Times New Roman" w:hAnsi="Times New Roman" w:cs="Times New Roman"/>
                <w:sz w:val="18"/>
                <w:szCs w:val="18"/>
              </w:rPr>
            </w:pPr>
            <w:r w:rsidRPr="008979AA">
              <w:rPr>
                <w:rFonts w:ascii="Times New Roman" w:hAnsi="Times New Roman" w:cs="Times New Roman"/>
                <w:sz w:val="18"/>
                <w:szCs w:val="18"/>
              </w:rPr>
              <w:t>Культурний капітал</w:t>
            </w:r>
          </w:p>
        </w:tc>
        <w:tc>
          <w:tcPr>
            <w:tcW w:w="1354" w:type="dxa"/>
            <w:vAlign w:val="center"/>
          </w:tcPr>
          <w:p w:rsidR="00B233DE" w:rsidRPr="008979AA" w:rsidRDefault="00B233DE" w:rsidP="0023489B">
            <w:pPr>
              <w:ind w:left="-30" w:right="-108" w:firstLine="0"/>
              <w:jc w:val="center"/>
              <w:rPr>
                <w:rFonts w:ascii="Times New Roman" w:hAnsi="Times New Roman" w:cs="Times New Roman"/>
                <w:sz w:val="18"/>
                <w:szCs w:val="18"/>
              </w:rPr>
            </w:pPr>
            <w:r w:rsidRPr="008979AA">
              <w:rPr>
                <w:rFonts w:ascii="Times New Roman" w:hAnsi="Times New Roman" w:cs="Times New Roman"/>
                <w:sz w:val="18"/>
                <w:szCs w:val="18"/>
              </w:rPr>
              <w:t>П.  Бурдьє</w:t>
            </w:r>
          </w:p>
        </w:tc>
        <w:tc>
          <w:tcPr>
            <w:tcW w:w="1056" w:type="dxa"/>
            <w:vAlign w:val="center"/>
          </w:tcPr>
          <w:p w:rsidR="00B233DE" w:rsidRPr="008979AA" w:rsidRDefault="00B233DE" w:rsidP="0023489B">
            <w:pPr>
              <w:ind w:right="-43" w:firstLine="0"/>
              <w:jc w:val="center"/>
              <w:rPr>
                <w:rFonts w:ascii="Times New Roman" w:hAnsi="Times New Roman" w:cs="Times New Roman"/>
                <w:sz w:val="18"/>
                <w:szCs w:val="18"/>
              </w:rPr>
            </w:pPr>
            <w:r w:rsidRPr="008979AA">
              <w:rPr>
                <w:rFonts w:ascii="Times New Roman" w:hAnsi="Times New Roman" w:cs="Times New Roman"/>
                <w:sz w:val="18"/>
                <w:szCs w:val="18"/>
              </w:rPr>
              <w:t>Виховання</w:t>
            </w:r>
          </w:p>
        </w:tc>
        <w:tc>
          <w:tcPr>
            <w:tcW w:w="1307" w:type="dxa"/>
            <w:vAlign w:val="center"/>
          </w:tcPr>
          <w:p w:rsidR="00B233DE" w:rsidRPr="008979AA" w:rsidRDefault="00B233DE" w:rsidP="0023489B">
            <w:pPr>
              <w:ind w:right="-43" w:firstLine="0"/>
              <w:jc w:val="center"/>
              <w:rPr>
                <w:rFonts w:ascii="Times New Roman" w:hAnsi="Times New Roman" w:cs="Times New Roman"/>
                <w:sz w:val="18"/>
                <w:szCs w:val="18"/>
              </w:rPr>
            </w:pPr>
            <w:r w:rsidRPr="008979AA">
              <w:rPr>
                <w:rFonts w:ascii="Times New Roman" w:hAnsi="Times New Roman" w:cs="Times New Roman"/>
                <w:sz w:val="18"/>
                <w:szCs w:val="18"/>
              </w:rPr>
              <w:t>Відтворення домінуючих цінностей</w:t>
            </w:r>
          </w:p>
        </w:tc>
        <w:tc>
          <w:tcPr>
            <w:tcW w:w="1317" w:type="dxa"/>
            <w:vAlign w:val="center"/>
          </w:tcPr>
          <w:p w:rsidR="00B233DE" w:rsidRPr="008979AA" w:rsidRDefault="00B233DE" w:rsidP="0023489B">
            <w:pPr>
              <w:ind w:right="-43" w:firstLine="0"/>
              <w:jc w:val="center"/>
              <w:rPr>
                <w:rFonts w:ascii="Times New Roman" w:hAnsi="Times New Roman" w:cs="Times New Roman"/>
                <w:sz w:val="18"/>
                <w:szCs w:val="18"/>
              </w:rPr>
            </w:pPr>
            <w:r w:rsidRPr="008979AA">
              <w:rPr>
                <w:rFonts w:ascii="Times New Roman" w:hAnsi="Times New Roman" w:cs="Times New Roman"/>
                <w:sz w:val="18"/>
                <w:szCs w:val="18"/>
              </w:rPr>
              <w:t>Символи, значення, уявлення</w:t>
            </w:r>
          </w:p>
        </w:tc>
      </w:tr>
      <w:tr w:rsidR="00B233DE" w:rsidRPr="008979AA" w:rsidTr="0023489B">
        <w:tc>
          <w:tcPr>
            <w:tcW w:w="1198" w:type="dxa"/>
            <w:vAlign w:val="center"/>
          </w:tcPr>
          <w:p w:rsidR="00B233DE" w:rsidRPr="008979AA" w:rsidRDefault="00B233DE" w:rsidP="0023489B">
            <w:pPr>
              <w:ind w:right="-43" w:firstLine="0"/>
              <w:jc w:val="center"/>
              <w:rPr>
                <w:rFonts w:ascii="Times New Roman" w:hAnsi="Times New Roman" w:cs="Times New Roman"/>
                <w:sz w:val="18"/>
                <w:szCs w:val="18"/>
              </w:rPr>
            </w:pPr>
            <w:r w:rsidRPr="008979AA">
              <w:rPr>
                <w:rFonts w:ascii="Times New Roman" w:hAnsi="Times New Roman" w:cs="Times New Roman"/>
                <w:sz w:val="18"/>
                <w:szCs w:val="18"/>
              </w:rPr>
              <w:t>Соціальний капітал</w:t>
            </w:r>
          </w:p>
        </w:tc>
        <w:tc>
          <w:tcPr>
            <w:tcW w:w="1354" w:type="dxa"/>
            <w:vAlign w:val="center"/>
          </w:tcPr>
          <w:p w:rsidR="00B233DE" w:rsidRPr="008979AA" w:rsidRDefault="00B233DE" w:rsidP="0023489B">
            <w:pPr>
              <w:ind w:left="-30" w:right="-108" w:firstLine="0"/>
              <w:jc w:val="center"/>
              <w:rPr>
                <w:rFonts w:ascii="Times New Roman" w:hAnsi="Times New Roman" w:cs="Times New Roman"/>
                <w:sz w:val="18"/>
                <w:szCs w:val="18"/>
              </w:rPr>
            </w:pPr>
            <w:r w:rsidRPr="008979AA">
              <w:rPr>
                <w:rFonts w:ascii="Times New Roman" w:hAnsi="Times New Roman" w:cs="Times New Roman"/>
                <w:sz w:val="18"/>
                <w:szCs w:val="18"/>
              </w:rPr>
              <w:t>П.  Бурдьє, Дж. Коулман</w:t>
            </w:r>
          </w:p>
        </w:tc>
        <w:tc>
          <w:tcPr>
            <w:tcW w:w="1056" w:type="dxa"/>
            <w:vAlign w:val="center"/>
          </w:tcPr>
          <w:p w:rsidR="00B233DE" w:rsidRPr="008979AA" w:rsidRDefault="00B233DE" w:rsidP="0023489B">
            <w:pPr>
              <w:ind w:right="-43" w:firstLine="0"/>
              <w:jc w:val="center"/>
              <w:rPr>
                <w:rFonts w:ascii="Times New Roman" w:hAnsi="Times New Roman" w:cs="Times New Roman"/>
                <w:sz w:val="18"/>
                <w:szCs w:val="18"/>
              </w:rPr>
            </w:pPr>
            <w:r w:rsidRPr="008979AA">
              <w:rPr>
                <w:rFonts w:ascii="Times New Roman" w:hAnsi="Times New Roman" w:cs="Times New Roman"/>
                <w:sz w:val="18"/>
                <w:szCs w:val="18"/>
              </w:rPr>
              <w:t>Членство в соціальних мережах</w:t>
            </w:r>
          </w:p>
        </w:tc>
        <w:tc>
          <w:tcPr>
            <w:tcW w:w="1307" w:type="dxa"/>
            <w:vAlign w:val="center"/>
          </w:tcPr>
          <w:p w:rsidR="00B233DE" w:rsidRPr="008979AA" w:rsidRDefault="00B233DE" w:rsidP="0023489B">
            <w:pPr>
              <w:ind w:right="-43" w:firstLine="0"/>
              <w:jc w:val="center"/>
              <w:rPr>
                <w:rFonts w:ascii="Times New Roman" w:hAnsi="Times New Roman" w:cs="Times New Roman"/>
                <w:sz w:val="18"/>
                <w:szCs w:val="18"/>
              </w:rPr>
            </w:pPr>
            <w:r w:rsidRPr="008979AA">
              <w:rPr>
                <w:rFonts w:ascii="Times New Roman" w:hAnsi="Times New Roman" w:cs="Times New Roman"/>
                <w:sz w:val="18"/>
                <w:szCs w:val="18"/>
              </w:rPr>
              <w:t>Доступ до ресурсів. Підвищення ефективності колективної діяльності</w:t>
            </w:r>
          </w:p>
        </w:tc>
        <w:tc>
          <w:tcPr>
            <w:tcW w:w="1317" w:type="dxa"/>
            <w:vAlign w:val="center"/>
          </w:tcPr>
          <w:p w:rsidR="00B233DE" w:rsidRPr="008979AA" w:rsidRDefault="00B233DE" w:rsidP="0023489B">
            <w:pPr>
              <w:ind w:right="-43" w:firstLine="0"/>
              <w:jc w:val="center"/>
              <w:rPr>
                <w:rFonts w:ascii="Times New Roman" w:hAnsi="Times New Roman" w:cs="Times New Roman"/>
                <w:sz w:val="18"/>
                <w:szCs w:val="18"/>
              </w:rPr>
            </w:pPr>
            <w:r w:rsidRPr="008979AA">
              <w:rPr>
                <w:rFonts w:ascii="Times New Roman" w:hAnsi="Times New Roman" w:cs="Times New Roman"/>
                <w:sz w:val="18"/>
                <w:szCs w:val="18"/>
              </w:rPr>
              <w:t>Зв’язки, знайомства, відносини</w:t>
            </w:r>
          </w:p>
        </w:tc>
      </w:tr>
    </w:tbl>
    <w:p w:rsidR="00B233DE" w:rsidRPr="008979AA"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Соціальний капітал має як загальні характеристики капіталу, так і виражені відмінності, які дозволяють розглядати його як особливий соціальний феномен, суть якого не може бути зведена до простої аналогії з економічним капіталом. Концепція соціального капіталу містить елементи, що зближують її з концепціями інших форм капіталу, але одночасно, вона визначає його як особливий феномен, що має свою специфічну природу, генезис і прояви.</w:t>
      </w:r>
      <w:r>
        <w:rPr>
          <w:rFonts w:ascii="Times New Roman" w:hAnsi="Times New Roman" w:cs="Times New Roman"/>
          <w:sz w:val="21"/>
          <w:szCs w:val="21"/>
        </w:rPr>
        <w:t xml:space="preserve"> </w:t>
      </w:r>
      <w:r w:rsidRPr="008979AA">
        <w:rPr>
          <w:rFonts w:ascii="Times New Roman" w:hAnsi="Times New Roman" w:cs="Times New Roman"/>
          <w:sz w:val="21"/>
          <w:szCs w:val="21"/>
        </w:rPr>
        <w:t>Ці особливості соціального капіталу знайшли своє відображення на всьому протязі становлення цієї концепції і служать основою для продуктивного теоретичного дискурсу нині.</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 xml:space="preserve">Соціальний капітал </w:t>
      </w:r>
      <w:r>
        <w:rPr>
          <w:rFonts w:ascii="Times New Roman" w:hAnsi="Times New Roman" w:cs="Times New Roman"/>
          <w:sz w:val="21"/>
          <w:szCs w:val="21"/>
        </w:rPr>
        <w:t>–</w:t>
      </w:r>
      <w:r w:rsidRPr="008979AA">
        <w:rPr>
          <w:rFonts w:ascii="Times New Roman" w:hAnsi="Times New Roman" w:cs="Times New Roman"/>
          <w:sz w:val="21"/>
          <w:szCs w:val="21"/>
        </w:rPr>
        <w:t xml:space="preserve"> це, передусім, капітал і він повинен мати усі властивості та ознаки саме капіталу.</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 xml:space="preserve">По-перше, соціальний капітал, як </w:t>
      </w:r>
      <w:r w:rsidRPr="008979AA">
        <w:rPr>
          <w:rFonts w:ascii="Times New Roman" w:hAnsi="Times New Roman" w:cs="Times New Roman"/>
          <w:sz w:val="21"/>
          <w:szCs w:val="21"/>
          <w:shd w:val="clear" w:color="auto" w:fill="FFFFFF"/>
        </w:rPr>
        <w:t>обмежений ресурс</w:t>
      </w:r>
      <w:r w:rsidRPr="008979AA">
        <w:rPr>
          <w:rFonts w:ascii="Times New Roman" w:hAnsi="Times New Roman" w:cs="Times New Roman"/>
          <w:sz w:val="21"/>
          <w:szCs w:val="21"/>
        </w:rPr>
        <w:t xml:space="preserve">, має свої кількісні і якісні параметри. Для цієї форми капіталу вони характеризуються, з одного боку, числом учасників цієї соціальної </w:t>
      </w:r>
      <w:r w:rsidRPr="008979AA">
        <w:rPr>
          <w:rFonts w:ascii="Times New Roman" w:hAnsi="Times New Roman" w:cs="Times New Roman"/>
          <w:sz w:val="21"/>
          <w:szCs w:val="21"/>
        </w:rPr>
        <w:lastRenderedPageBreak/>
        <w:t>структури, з іншого боку, особистим ресурсом, яким володар готовий поділитися з іншими учасниками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_Ref435619584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w:t>
      </w:r>
      <w:r>
        <w:rPr>
          <w:rFonts w:ascii="Times New Roman" w:hAnsi="Times New Roman" w:cs="Times New Roman"/>
          <w:sz w:val="21"/>
          <w:szCs w:val="21"/>
          <w:highlight w:val="yellow"/>
        </w:rPr>
        <w:fldChar w:fldCharType="end"/>
      </w:r>
      <w:r w:rsidRPr="007D08AA">
        <w:rPr>
          <w:rFonts w:ascii="Times New Roman" w:hAnsi="Times New Roman" w:cs="Times New Roman"/>
          <w:sz w:val="21"/>
          <w:szCs w:val="21"/>
        </w:rPr>
        <w:t>;</w:t>
      </w:r>
      <w:r w:rsidRPr="008979AA">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_Ref435619594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20</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_Ref435619599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21</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w:t>
      </w:r>
      <w:r w:rsidRPr="008979AA">
        <w:rPr>
          <w:rFonts w:ascii="Times New Roman" w:hAnsi="Times New Roman" w:cs="Times New Roman"/>
          <w:color w:val="FF0000"/>
          <w:sz w:val="21"/>
          <w:szCs w:val="21"/>
        </w:rPr>
        <w:t xml:space="preserve"> </w:t>
      </w:r>
      <w:r w:rsidRPr="008979AA">
        <w:rPr>
          <w:rFonts w:ascii="Times New Roman" w:hAnsi="Times New Roman" w:cs="Times New Roman"/>
          <w:sz w:val="21"/>
          <w:szCs w:val="21"/>
        </w:rPr>
        <w:t>Вже сам факт такої взаємної передачі або обміну певної частини особистого ресурсу свідчить про те, що в цій соціальн</w:t>
      </w:r>
      <w:r>
        <w:rPr>
          <w:rFonts w:ascii="Times New Roman" w:hAnsi="Times New Roman" w:cs="Times New Roman"/>
          <w:sz w:val="21"/>
          <w:szCs w:val="21"/>
        </w:rPr>
        <w:t>ій структурі складаються міжсуб’єктні зв’</w:t>
      </w:r>
      <w:r w:rsidRPr="008979AA">
        <w:rPr>
          <w:rFonts w:ascii="Times New Roman" w:hAnsi="Times New Roman" w:cs="Times New Roman"/>
          <w:sz w:val="21"/>
          <w:szCs w:val="21"/>
        </w:rPr>
        <w:t>язки, які надалі за сприятливих умов утворюють соціальну мережу. Стосовно первинного виробничого колективу соціальний капітал обмежений групою фізичних осіб, в якій відбувається безпосереднє спілкування і взаємодія працівників, що мають в розпорядженні людський капітал. Він служить природною субстанцією аб</w:t>
      </w:r>
      <w:r>
        <w:rPr>
          <w:rFonts w:ascii="Times New Roman" w:hAnsi="Times New Roman" w:cs="Times New Roman"/>
          <w:sz w:val="21"/>
          <w:szCs w:val="21"/>
        </w:rPr>
        <w:t>о джерелом міжособистих зв’</w:t>
      </w:r>
      <w:r w:rsidRPr="008979AA">
        <w:rPr>
          <w:rFonts w:ascii="Times New Roman" w:hAnsi="Times New Roman" w:cs="Times New Roman"/>
          <w:sz w:val="21"/>
          <w:szCs w:val="21"/>
        </w:rPr>
        <w:t>язків, що входять в сукупність виробничих стосунків і надають їм стійкість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_Ref435619542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127</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_Ref435619614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140</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По-друге, соціальний капітал в процесі колективної виробничої діяльності нарощується, підвищуючи свій рівень, і, навпаки, зменшується, якщо організація виробництва</w:t>
      </w:r>
      <w:r>
        <w:rPr>
          <w:rFonts w:ascii="Times New Roman" w:hAnsi="Times New Roman" w:cs="Times New Roman"/>
          <w:sz w:val="21"/>
          <w:szCs w:val="21"/>
        </w:rPr>
        <w:t xml:space="preserve"> сприяє розриву міжособистих зв’</w:t>
      </w:r>
      <w:r w:rsidRPr="008979AA">
        <w:rPr>
          <w:rFonts w:ascii="Times New Roman" w:hAnsi="Times New Roman" w:cs="Times New Roman"/>
          <w:sz w:val="21"/>
          <w:szCs w:val="21"/>
        </w:rPr>
        <w:t>язків. Ця його особливість подібна до морального зносу із зворотним (позитивним) знаком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_Ref435619624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12</w:t>
      </w:r>
      <w:r>
        <w:rPr>
          <w:rFonts w:ascii="Times New Roman" w:hAnsi="Times New Roman" w:cs="Times New Roman"/>
          <w:sz w:val="21"/>
          <w:szCs w:val="21"/>
          <w:highlight w:val="yellow"/>
        </w:rPr>
        <w:fldChar w:fldCharType="end"/>
      </w:r>
      <w:r w:rsidRPr="007D08AA">
        <w:rPr>
          <w:rFonts w:ascii="Times New Roman" w:hAnsi="Times New Roman" w:cs="Times New Roman"/>
          <w:sz w:val="21"/>
          <w:szCs w:val="21"/>
        </w:rPr>
        <w:t>,</w:t>
      </w:r>
      <w:r w:rsidRPr="008979AA">
        <w:rPr>
          <w:rFonts w:ascii="Times New Roman" w:hAnsi="Times New Roman" w:cs="Times New Roman"/>
          <w:sz w:val="21"/>
          <w:szCs w:val="21"/>
        </w:rPr>
        <w:t xml:space="preserve"> с. 131]. Приріст соціального капіталу в первинному виробничому колективі відбувається за рахунок розширення мі</w:t>
      </w:r>
      <w:r>
        <w:rPr>
          <w:rFonts w:ascii="Times New Roman" w:hAnsi="Times New Roman" w:cs="Times New Roman"/>
          <w:sz w:val="21"/>
          <w:szCs w:val="21"/>
        </w:rPr>
        <w:t>жособистих зв’</w:t>
      </w:r>
      <w:r w:rsidRPr="008979AA">
        <w:rPr>
          <w:rFonts w:ascii="Times New Roman" w:hAnsi="Times New Roman" w:cs="Times New Roman"/>
          <w:sz w:val="21"/>
          <w:szCs w:val="21"/>
        </w:rPr>
        <w:t>язків, як усередині колективу, так і з різними організаційними структурами підприємства. Відсутність регулярної міжособистої взаємодії і його обмеженість призводять до відособлення і замкнутості трудового колективу, супроводжуючись наростанням професійного консерватизму працівників, що відкидають всяке нове, прогресивне і слабо реагуючих на зміни в організації виробничих стосунків або виробничої системи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_Ref435619633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47</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Наявність соціального капіталу в первинному виробничому колективі підтверджується зростанням продуктивності як індивідуальної, так і спільної праці та проявляється за відсутності гострих конфліктних ситуацій, що часто призводять до р</w:t>
      </w:r>
      <w:r>
        <w:rPr>
          <w:rFonts w:ascii="Times New Roman" w:hAnsi="Times New Roman" w:cs="Times New Roman"/>
          <w:sz w:val="21"/>
          <w:szCs w:val="21"/>
        </w:rPr>
        <w:t>озпаду внутрішньоколективних зв’</w:t>
      </w:r>
      <w:r w:rsidRPr="008979AA">
        <w:rPr>
          <w:rFonts w:ascii="Times New Roman" w:hAnsi="Times New Roman" w:cs="Times New Roman"/>
          <w:sz w:val="21"/>
          <w:szCs w:val="21"/>
        </w:rPr>
        <w:t>язків, до зростання незадоволення працівників своєю виробничою діяльністю і, як наслідок, до підвищення плинності кадрів або заміни формальних лідерів-менеджерів. Усі ці явища можна виміряти відповідними показниками, розрахунок яких спирається на конкретні фактологічні дані. Приймемо такі показники за соціально-економічні критерії оцінки соціального капіталу в первинному виробничому колективі і рівня його розвитку.</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По-третє, соціальний капітал здатний конвертуватися в інші види капіталу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_Ref435619624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12</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с.</w:t>
      </w:r>
      <w:r>
        <w:rPr>
          <w:rFonts w:ascii="Times New Roman" w:hAnsi="Times New Roman" w:cs="Times New Roman"/>
          <w:sz w:val="21"/>
          <w:szCs w:val="21"/>
        </w:rPr>
        <w:t xml:space="preserve"> </w:t>
      </w:r>
      <w:r w:rsidRPr="008979AA">
        <w:rPr>
          <w:rFonts w:ascii="Times New Roman" w:hAnsi="Times New Roman" w:cs="Times New Roman"/>
          <w:sz w:val="21"/>
          <w:szCs w:val="21"/>
        </w:rPr>
        <w:t xml:space="preserve">73] </w:t>
      </w:r>
      <w:r>
        <w:rPr>
          <w:rFonts w:ascii="Times New Roman" w:hAnsi="Times New Roman" w:cs="Times New Roman"/>
          <w:sz w:val="21"/>
          <w:szCs w:val="21"/>
        </w:rPr>
        <w:t>–</w:t>
      </w:r>
      <w:r w:rsidRPr="008979AA">
        <w:rPr>
          <w:rFonts w:ascii="Times New Roman" w:hAnsi="Times New Roman" w:cs="Times New Roman"/>
          <w:sz w:val="21"/>
          <w:szCs w:val="21"/>
        </w:rPr>
        <w:t xml:space="preserve"> економічний, політичний та інший, але і вони, у свою чергу, можуть бути конвертовані в соціальний </w:t>
      </w:r>
      <w:r w:rsidRPr="008979AA">
        <w:rPr>
          <w:rFonts w:ascii="Times New Roman" w:hAnsi="Times New Roman" w:cs="Times New Roman"/>
          <w:sz w:val="21"/>
          <w:szCs w:val="21"/>
        </w:rPr>
        <w:lastRenderedPageBreak/>
        <w:t>капітал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_Ref435619647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83</w:t>
      </w:r>
      <w:r>
        <w:rPr>
          <w:rFonts w:ascii="Times New Roman" w:hAnsi="Times New Roman" w:cs="Times New Roman"/>
          <w:sz w:val="21"/>
          <w:szCs w:val="21"/>
          <w:highlight w:val="yellow"/>
        </w:rPr>
        <w:fldChar w:fldCharType="end"/>
      </w:r>
      <w:r w:rsidRPr="007D08AA">
        <w:rPr>
          <w:rFonts w:ascii="Times New Roman" w:hAnsi="Times New Roman" w:cs="Times New Roman"/>
          <w:sz w:val="21"/>
          <w:szCs w:val="21"/>
        </w:rPr>
        <w:t>,</w:t>
      </w:r>
      <w:r w:rsidRPr="008979AA">
        <w:rPr>
          <w:rFonts w:ascii="Times New Roman" w:hAnsi="Times New Roman" w:cs="Times New Roman"/>
          <w:sz w:val="21"/>
          <w:szCs w:val="21"/>
        </w:rPr>
        <w:t xml:space="preserve"> с. 11]. В процесі міжособистого обміну інформацією по вже існуючих внутрішньоколективних зв'язках соціальний капітал насичується властивостями інформаційного капіталу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_Ref435619656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129</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с.</w:t>
      </w:r>
      <w:r>
        <w:rPr>
          <w:rFonts w:ascii="Times New Roman" w:hAnsi="Times New Roman" w:cs="Times New Roman"/>
          <w:sz w:val="21"/>
          <w:szCs w:val="21"/>
        </w:rPr>
        <w:t xml:space="preserve"> </w:t>
      </w:r>
      <w:r w:rsidRPr="008979AA">
        <w:rPr>
          <w:rFonts w:ascii="Times New Roman" w:hAnsi="Times New Roman" w:cs="Times New Roman"/>
          <w:sz w:val="21"/>
          <w:szCs w:val="21"/>
        </w:rPr>
        <w:t xml:space="preserve">60;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_Ref435619614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140</w:t>
      </w:r>
      <w:r>
        <w:rPr>
          <w:rFonts w:ascii="Times New Roman" w:hAnsi="Times New Roman" w:cs="Times New Roman"/>
          <w:sz w:val="21"/>
          <w:szCs w:val="21"/>
          <w:highlight w:val="yellow"/>
        </w:rPr>
        <w:fldChar w:fldCharType="end"/>
      </w:r>
      <w:r w:rsidRPr="007D08AA">
        <w:rPr>
          <w:rFonts w:ascii="Times New Roman" w:hAnsi="Times New Roman" w:cs="Times New Roman"/>
          <w:sz w:val="21"/>
          <w:szCs w:val="21"/>
        </w:rPr>
        <w:t>,</w:t>
      </w:r>
      <w:r w:rsidRPr="008979AA">
        <w:rPr>
          <w:rFonts w:ascii="Times New Roman" w:hAnsi="Times New Roman" w:cs="Times New Roman"/>
          <w:sz w:val="21"/>
          <w:szCs w:val="21"/>
        </w:rPr>
        <w:t xml:space="preserve"> с. 74</w:t>
      </w:r>
      <w:r>
        <w:rPr>
          <w:rFonts w:ascii="Times New Roman" w:hAnsi="Times New Roman" w:cs="Times New Roman"/>
          <w:sz w:val="21"/>
          <w:szCs w:val="21"/>
        </w:rPr>
        <w:t>–</w:t>
      </w:r>
      <w:r w:rsidRPr="008979AA">
        <w:rPr>
          <w:rFonts w:ascii="Times New Roman" w:hAnsi="Times New Roman" w:cs="Times New Roman"/>
          <w:sz w:val="21"/>
          <w:szCs w:val="21"/>
        </w:rPr>
        <w:t>76], а, сприяючи передачі знань і досвіду, набуває риси людського капіталу. Обслуговуючи єдиний технологічни</w:t>
      </w:r>
      <w:r>
        <w:rPr>
          <w:rFonts w:ascii="Times New Roman" w:hAnsi="Times New Roman" w:cs="Times New Roman"/>
          <w:sz w:val="21"/>
          <w:szCs w:val="21"/>
        </w:rPr>
        <w:t>й процес, соціальний капітал об’</w:t>
      </w:r>
      <w:r w:rsidRPr="008979AA">
        <w:rPr>
          <w:rFonts w:ascii="Times New Roman" w:hAnsi="Times New Roman" w:cs="Times New Roman"/>
          <w:sz w:val="21"/>
          <w:szCs w:val="21"/>
        </w:rPr>
        <w:t>єднує людей і прискорює підвищення ефективності функціонування економічного капіталу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_Ref435619675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128</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с.</w:t>
      </w:r>
      <w:r>
        <w:rPr>
          <w:rFonts w:ascii="Times New Roman" w:hAnsi="Times New Roman" w:cs="Times New Roman"/>
          <w:sz w:val="21"/>
          <w:szCs w:val="21"/>
        </w:rPr>
        <w:t xml:space="preserve"> </w:t>
      </w:r>
      <w:r w:rsidRPr="008979AA">
        <w:rPr>
          <w:rFonts w:ascii="Times New Roman" w:hAnsi="Times New Roman" w:cs="Times New Roman"/>
          <w:sz w:val="21"/>
          <w:szCs w:val="21"/>
        </w:rPr>
        <w:t>320], що і знаходить свій прояв у ряді економічних показників. До їх числа можна віднести фондовіддачу, витрати виробництва.</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По-четверте, в процесі відтворення соціального капіталу відбувається вдосконалення міжособистих взаємодій, утворюються ефективніші і від</w:t>
      </w:r>
      <w:r>
        <w:rPr>
          <w:rFonts w:ascii="Times New Roman" w:hAnsi="Times New Roman" w:cs="Times New Roman"/>
          <w:sz w:val="21"/>
          <w:szCs w:val="21"/>
        </w:rPr>
        <w:t>мирають неефективні мережеві зв’</w:t>
      </w:r>
      <w:r w:rsidRPr="008979AA">
        <w:rPr>
          <w:rFonts w:ascii="Times New Roman" w:hAnsi="Times New Roman" w:cs="Times New Roman"/>
          <w:sz w:val="21"/>
          <w:szCs w:val="21"/>
        </w:rPr>
        <w:t>язки, відкриваються їх нові канали, що сприяє зміні економічної поведінки людей і посиленню диференціації їх соціального статусу або соціальних ролей (диспозицій)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_Ref435619624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12</w:t>
      </w:r>
      <w:r>
        <w:rPr>
          <w:rFonts w:ascii="Times New Roman" w:hAnsi="Times New Roman" w:cs="Times New Roman"/>
          <w:sz w:val="21"/>
          <w:szCs w:val="21"/>
          <w:highlight w:val="yellow"/>
        </w:rPr>
        <w:fldChar w:fldCharType="end"/>
      </w:r>
      <w:r w:rsidRPr="007D08AA">
        <w:rPr>
          <w:rFonts w:ascii="Times New Roman" w:hAnsi="Times New Roman" w:cs="Times New Roman"/>
          <w:sz w:val="21"/>
          <w:szCs w:val="21"/>
        </w:rPr>
        <w:t>, с.</w:t>
      </w:r>
      <w:r>
        <w:rPr>
          <w:rFonts w:ascii="Times New Roman" w:hAnsi="Times New Roman" w:cs="Times New Roman"/>
          <w:sz w:val="21"/>
          <w:szCs w:val="21"/>
        </w:rPr>
        <w:t xml:space="preserve"> </w:t>
      </w:r>
      <w:r w:rsidRPr="008979AA">
        <w:rPr>
          <w:rFonts w:ascii="Times New Roman" w:hAnsi="Times New Roman" w:cs="Times New Roman"/>
          <w:sz w:val="21"/>
          <w:szCs w:val="21"/>
        </w:rPr>
        <w:t xml:space="preserve">69;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_Ref435619542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127</w:t>
      </w:r>
      <w:r>
        <w:rPr>
          <w:rFonts w:ascii="Times New Roman" w:hAnsi="Times New Roman" w:cs="Times New Roman"/>
          <w:sz w:val="21"/>
          <w:szCs w:val="21"/>
          <w:highlight w:val="yellow"/>
        </w:rPr>
        <w:fldChar w:fldCharType="end"/>
      </w:r>
      <w:r w:rsidRPr="007D08AA">
        <w:rPr>
          <w:rFonts w:ascii="Times New Roman" w:hAnsi="Times New Roman" w:cs="Times New Roman"/>
          <w:sz w:val="21"/>
          <w:szCs w:val="21"/>
        </w:rPr>
        <w:t>,</w:t>
      </w:r>
      <w:r w:rsidRPr="008979AA">
        <w:rPr>
          <w:rFonts w:ascii="Times New Roman" w:hAnsi="Times New Roman" w:cs="Times New Roman"/>
          <w:sz w:val="21"/>
          <w:szCs w:val="21"/>
        </w:rPr>
        <w:t xml:space="preserve"> с. 131]. Це проявляється в зростанні кваліфікації працівників, в </w:t>
      </w:r>
      <w:r>
        <w:rPr>
          <w:rFonts w:ascii="Times New Roman" w:hAnsi="Times New Roman" w:cs="Times New Roman"/>
          <w:sz w:val="21"/>
          <w:szCs w:val="21"/>
        </w:rPr>
        <w:t xml:space="preserve">їх професійно-кваліфікаційному </w:t>
      </w:r>
      <w:r w:rsidRPr="008979AA">
        <w:rPr>
          <w:rFonts w:ascii="Times New Roman" w:hAnsi="Times New Roman" w:cs="Times New Roman"/>
          <w:sz w:val="21"/>
          <w:szCs w:val="21"/>
        </w:rPr>
        <w:t>просуванні і навпаки.</w:t>
      </w:r>
    </w:p>
    <w:p w:rsidR="00B233DE" w:rsidRPr="008979AA"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По-п’</w:t>
      </w:r>
      <w:r w:rsidRPr="008979AA">
        <w:rPr>
          <w:rFonts w:ascii="Times New Roman" w:hAnsi="Times New Roman" w:cs="Times New Roman"/>
          <w:sz w:val="21"/>
          <w:szCs w:val="21"/>
        </w:rPr>
        <w:t>яте, соціальний капітал за сво</w:t>
      </w:r>
      <w:r>
        <w:rPr>
          <w:rFonts w:ascii="Times New Roman" w:hAnsi="Times New Roman" w:cs="Times New Roman"/>
          <w:sz w:val="21"/>
          <w:szCs w:val="21"/>
        </w:rPr>
        <w:t>єю природою підвищує якість між</w:t>
      </w:r>
      <w:r w:rsidRPr="008979AA">
        <w:rPr>
          <w:rFonts w:ascii="Times New Roman" w:hAnsi="Times New Roman" w:cs="Times New Roman"/>
          <w:sz w:val="21"/>
          <w:szCs w:val="21"/>
        </w:rPr>
        <w:t>особисти</w:t>
      </w:r>
      <w:r>
        <w:rPr>
          <w:rFonts w:ascii="Times New Roman" w:hAnsi="Times New Roman" w:cs="Times New Roman"/>
          <w:sz w:val="21"/>
          <w:szCs w:val="21"/>
        </w:rPr>
        <w:t>х стосунків, адже суть його пов’</w:t>
      </w:r>
      <w:r w:rsidRPr="008979AA">
        <w:rPr>
          <w:rFonts w:ascii="Times New Roman" w:hAnsi="Times New Roman" w:cs="Times New Roman"/>
          <w:sz w:val="21"/>
          <w:szCs w:val="21"/>
        </w:rPr>
        <w:t>язана з самозростанням їх цінності за рахунок викори</w:t>
      </w:r>
      <w:r>
        <w:rPr>
          <w:rFonts w:ascii="Times New Roman" w:hAnsi="Times New Roman" w:cs="Times New Roman"/>
          <w:sz w:val="21"/>
          <w:szCs w:val="21"/>
        </w:rPr>
        <w:t>стання внутрішньоколективних зв’</w:t>
      </w:r>
      <w:r w:rsidRPr="008979AA">
        <w:rPr>
          <w:rFonts w:ascii="Times New Roman" w:hAnsi="Times New Roman" w:cs="Times New Roman"/>
          <w:sz w:val="21"/>
          <w:szCs w:val="21"/>
        </w:rPr>
        <w:t>язків, що вже склалися, довіри і неформальних норм, сформованих в цій соціальній структурі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_Ref435619624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12</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с.73]. У ролі надвартості</w:t>
      </w:r>
      <w:r w:rsidRPr="008979AA">
        <w:rPr>
          <w:rFonts w:ascii="Times New Roman" w:hAnsi="Times New Roman" w:cs="Times New Roman"/>
          <w:color w:val="FF0000"/>
          <w:sz w:val="21"/>
          <w:szCs w:val="21"/>
        </w:rPr>
        <w:t xml:space="preserve"> </w:t>
      </w:r>
      <w:r w:rsidRPr="008979AA">
        <w:rPr>
          <w:rFonts w:ascii="Times New Roman" w:hAnsi="Times New Roman" w:cs="Times New Roman"/>
          <w:sz w:val="21"/>
          <w:szCs w:val="21"/>
        </w:rPr>
        <w:t>тут може виступати соціальна рента, яка може набувати форми таких нематеріальних субстанцій, як інформація, ділова репутація, позитивна громадська думка, престиж і привабливий імідж в очах керівництва промисловим підприємством, громадськості і співробітників, що породжують в них лояльне відношення до цього працівника. Кожна з цих субстанцій і усі вони разом в ринкових умовах мають свій вартісний еквівалент. По суті, вони функціонують як вартості і є тим ефектом, який отримає економічний агент в якості імпліцитного або поставленого доходу. Підвищення громадського престижу, приміром, комерційної фірми, торгової марки і т. п. покращує умови її ринков</w:t>
      </w:r>
      <w:r>
        <w:rPr>
          <w:rFonts w:ascii="Times New Roman" w:hAnsi="Times New Roman" w:cs="Times New Roman"/>
          <w:sz w:val="21"/>
          <w:szCs w:val="21"/>
        </w:rPr>
        <w:t>ого функціонування, збільшує об’</w:t>
      </w:r>
      <w:r w:rsidRPr="008979AA">
        <w:rPr>
          <w:rFonts w:ascii="Times New Roman" w:hAnsi="Times New Roman" w:cs="Times New Roman"/>
          <w:sz w:val="21"/>
          <w:szCs w:val="21"/>
        </w:rPr>
        <w:t xml:space="preserve">єм продажів, дозволяє випередити конкурентів і в цілому перебудовує на користь цієї фірми конкурентне середовище. В результаті фірма економить на трансакційних витратах і витратах </w:t>
      </w:r>
      <w:r>
        <w:rPr>
          <w:rFonts w:ascii="Times New Roman" w:hAnsi="Times New Roman" w:cs="Times New Roman"/>
          <w:sz w:val="21"/>
          <w:szCs w:val="21"/>
        </w:rPr>
        <w:t>обігу</w:t>
      </w:r>
      <w:r w:rsidRPr="008979AA">
        <w:rPr>
          <w:rFonts w:ascii="Times New Roman" w:hAnsi="Times New Roman" w:cs="Times New Roman"/>
          <w:sz w:val="21"/>
          <w:szCs w:val="21"/>
        </w:rPr>
        <w:t xml:space="preserve">, що примножує її фінансовий капітал. Таким чином, соціальному </w:t>
      </w:r>
      <w:r w:rsidRPr="008979AA">
        <w:rPr>
          <w:rFonts w:ascii="Times New Roman" w:hAnsi="Times New Roman" w:cs="Times New Roman"/>
          <w:sz w:val="21"/>
          <w:szCs w:val="21"/>
        </w:rPr>
        <w:lastRenderedPageBreak/>
        <w:t>капіталу вл</w:t>
      </w:r>
      <w:r>
        <w:rPr>
          <w:rFonts w:ascii="Times New Roman" w:hAnsi="Times New Roman" w:cs="Times New Roman"/>
          <w:sz w:val="21"/>
          <w:szCs w:val="21"/>
        </w:rPr>
        <w:t>астиві усі властивості капіталу</w:t>
      </w:r>
      <w:r w:rsidRPr="008979AA">
        <w:rPr>
          <w:rFonts w:ascii="Times New Roman" w:hAnsi="Times New Roman" w:cs="Times New Roman"/>
          <w:sz w:val="21"/>
          <w:szCs w:val="21"/>
        </w:rPr>
        <w:t xml:space="preserve"> і за своєю природою він ідентичний іншим його видам.</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У т</w:t>
      </w:r>
      <w:r>
        <w:rPr>
          <w:rFonts w:ascii="Times New Roman" w:hAnsi="Times New Roman" w:cs="Times New Roman"/>
          <w:sz w:val="21"/>
          <w:szCs w:val="21"/>
        </w:rPr>
        <w:t xml:space="preserve">ой </w:t>
      </w:r>
      <w:r w:rsidRPr="008979AA">
        <w:rPr>
          <w:rFonts w:ascii="Times New Roman" w:hAnsi="Times New Roman" w:cs="Times New Roman"/>
          <w:sz w:val="21"/>
          <w:szCs w:val="21"/>
        </w:rPr>
        <w:t>ж</w:t>
      </w:r>
      <w:r>
        <w:rPr>
          <w:rFonts w:ascii="Times New Roman" w:hAnsi="Times New Roman" w:cs="Times New Roman"/>
          <w:sz w:val="21"/>
          <w:szCs w:val="21"/>
        </w:rPr>
        <w:t>е</w:t>
      </w:r>
      <w:r w:rsidRPr="008979AA">
        <w:rPr>
          <w:rFonts w:ascii="Times New Roman" w:hAnsi="Times New Roman" w:cs="Times New Roman"/>
          <w:sz w:val="21"/>
          <w:szCs w:val="21"/>
        </w:rPr>
        <w:t xml:space="preserve"> час, будучи на ринку економічним ресурсом, втіленим в особі окремої людини, як носія соціального капіталу, у виробничій діяльності він набуває форми чинника виробництва, сприяючи підвищенню його ефективності. Але в трудових колективах цей чинник обмежений просторово-часовими рамками. Важливо мати на увазі, що соціальний капітал неможливо створити миттєво. Для цього потрібні витрати часу і зусиль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_Ref435619624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12</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с.</w:t>
      </w:r>
      <w:r>
        <w:rPr>
          <w:rFonts w:ascii="Times New Roman" w:hAnsi="Times New Roman" w:cs="Times New Roman"/>
          <w:sz w:val="21"/>
          <w:szCs w:val="21"/>
        </w:rPr>
        <w:t xml:space="preserve"> </w:t>
      </w:r>
      <w:r w:rsidRPr="008979AA">
        <w:rPr>
          <w:rFonts w:ascii="Times New Roman" w:hAnsi="Times New Roman" w:cs="Times New Roman"/>
          <w:sz w:val="21"/>
          <w:szCs w:val="21"/>
        </w:rPr>
        <w:t>67] на підтримку неформальних контактів з колегами по роботі, з керівництвом підприємства і адміністративно-господарськими службами.</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 xml:space="preserve">Окрім ресурсного і факторного підходу економічна теорія оцінює будь-яке явище з точки зору його економічної доцільності, яка виражена в категоріях ефективності та результативності. При </w:t>
      </w:r>
      <w:r>
        <w:rPr>
          <w:rFonts w:ascii="Times New Roman" w:hAnsi="Times New Roman" w:cs="Times New Roman"/>
          <w:sz w:val="21"/>
          <w:szCs w:val="21"/>
        </w:rPr>
        <w:t>цьому ефективність розглдається</w:t>
      </w:r>
      <w:r w:rsidRPr="008979AA">
        <w:rPr>
          <w:rFonts w:ascii="Times New Roman" w:hAnsi="Times New Roman" w:cs="Times New Roman"/>
          <w:sz w:val="21"/>
          <w:szCs w:val="21"/>
        </w:rPr>
        <w:t xml:space="preserve"> в контексті співвідношення отриманої вигоди і здійснених витрат, а результативність – співставлення цілей та досягнутих результатів.</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З позицій результативності критерієм оцінки соціального капіталу є певне положення економічного</w:t>
      </w:r>
      <w:r>
        <w:rPr>
          <w:rFonts w:ascii="Times New Roman" w:hAnsi="Times New Roman" w:cs="Times New Roman"/>
          <w:sz w:val="21"/>
          <w:szCs w:val="21"/>
        </w:rPr>
        <w:t xml:space="preserve"> агента в мережі громадських зв’</w:t>
      </w:r>
      <w:r w:rsidRPr="008979AA">
        <w:rPr>
          <w:rFonts w:ascii="Times New Roman" w:hAnsi="Times New Roman" w:cs="Times New Roman"/>
          <w:sz w:val="21"/>
          <w:szCs w:val="21"/>
        </w:rPr>
        <w:t>язків і участь його в діяльності різних соціальних структур. З цієї точки зору соціальний капітал аналізується як джерело доступу до нової інформації для індивіда, групи або фірми з метою підвищення інноваційних можливостей та впровадження нових технологій.</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У контексті ефективності вартість соціального капіталу визначається величиною тих трансак</w:t>
      </w:r>
      <w:r>
        <w:rPr>
          <w:rFonts w:ascii="Times New Roman" w:hAnsi="Times New Roman" w:cs="Times New Roman"/>
          <w:sz w:val="21"/>
          <w:szCs w:val="21"/>
        </w:rPr>
        <w:t>ційних витрат, які несе цей суб’</w:t>
      </w:r>
      <w:r w:rsidRPr="008979AA">
        <w:rPr>
          <w:rFonts w:ascii="Times New Roman" w:hAnsi="Times New Roman" w:cs="Times New Roman"/>
          <w:sz w:val="21"/>
          <w:szCs w:val="21"/>
        </w:rPr>
        <w:t>єкт, що вста</w:t>
      </w:r>
      <w:r>
        <w:rPr>
          <w:rFonts w:ascii="Times New Roman" w:hAnsi="Times New Roman" w:cs="Times New Roman"/>
          <w:sz w:val="21"/>
          <w:szCs w:val="21"/>
        </w:rPr>
        <w:t>новлює і підтримує соціальні зв’</w:t>
      </w:r>
      <w:r w:rsidRPr="008979AA">
        <w:rPr>
          <w:rFonts w:ascii="Times New Roman" w:hAnsi="Times New Roman" w:cs="Times New Roman"/>
          <w:sz w:val="21"/>
          <w:szCs w:val="21"/>
        </w:rPr>
        <w:t>язки. З цієї точки зору частина аспектів теорії соціального капіталу органічно вписується в сучасну версію неоінституціоналізму. В термінах неоінституціоналізму соціальний капітал можна коротко визначити як сукупність взаємовідносин, що мінімізують трансакційні витрати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_Ref435619713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151</w:t>
      </w:r>
      <w:r>
        <w:rPr>
          <w:rFonts w:ascii="Times New Roman" w:hAnsi="Times New Roman" w:cs="Times New Roman"/>
          <w:sz w:val="21"/>
          <w:szCs w:val="21"/>
          <w:highlight w:val="yellow"/>
        </w:rPr>
        <w:fldChar w:fldCharType="end"/>
      </w:r>
      <w:r w:rsidRPr="007D08AA">
        <w:rPr>
          <w:rFonts w:ascii="Times New Roman" w:hAnsi="Times New Roman" w:cs="Times New Roman"/>
          <w:sz w:val="21"/>
          <w:szCs w:val="21"/>
        </w:rPr>
        <w:t>,</w:t>
      </w:r>
      <w:r w:rsidRPr="008979AA">
        <w:rPr>
          <w:rFonts w:ascii="Times New Roman" w:hAnsi="Times New Roman" w:cs="Times New Roman"/>
          <w:sz w:val="21"/>
          <w:szCs w:val="21"/>
        </w:rPr>
        <w:t xml:space="preserve"> с.</w:t>
      </w:r>
      <w:r>
        <w:rPr>
          <w:rFonts w:ascii="Times New Roman" w:hAnsi="Times New Roman" w:cs="Times New Roman"/>
          <w:sz w:val="21"/>
          <w:szCs w:val="21"/>
        </w:rPr>
        <w:t xml:space="preserve"> </w:t>
      </w:r>
      <w:r w:rsidRPr="008979AA">
        <w:rPr>
          <w:rFonts w:ascii="Times New Roman" w:hAnsi="Times New Roman" w:cs="Times New Roman"/>
          <w:sz w:val="21"/>
          <w:szCs w:val="21"/>
        </w:rPr>
        <w:t>61</w:t>
      </w:r>
      <w:r>
        <w:rPr>
          <w:rFonts w:ascii="Times New Roman" w:hAnsi="Times New Roman" w:cs="Times New Roman"/>
          <w:sz w:val="21"/>
          <w:szCs w:val="21"/>
        </w:rPr>
        <w:t>–</w:t>
      </w:r>
      <w:r w:rsidRPr="008979AA">
        <w:rPr>
          <w:rFonts w:ascii="Times New Roman" w:hAnsi="Times New Roman" w:cs="Times New Roman"/>
          <w:sz w:val="21"/>
          <w:szCs w:val="21"/>
        </w:rPr>
        <w:t>89].</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 xml:space="preserve">Потрібно відмітити, що особливість соціального капіталу полягає в тому, що він може набувати неринкової форми, тобто економічне значення цього ресурсу виходить за рамки товарно-грошових стосунків і не визначається актами купівлі-продажу. В цьому випадку обмін ресурсами набуває форми прихованого </w:t>
      </w:r>
      <w:r w:rsidRPr="008979AA">
        <w:rPr>
          <w:rFonts w:ascii="Times New Roman" w:hAnsi="Times New Roman" w:cs="Times New Roman"/>
          <w:sz w:val="21"/>
          <w:szCs w:val="21"/>
        </w:rPr>
        <w:lastRenderedPageBreak/>
        <w:t>безвідплатного обміну, в основі якого лежить реципрокність (взаємність або симпатії і антипатії учасників соціальної мережі).</w:t>
      </w:r>
    </w:p>
    <w:p w:rsidR="00B233DE"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При визначенні соціального капіталу як економічного поняття необхідно вр</w:t>
      </w:r>
      <w:r>
        <w:rPr>
          <w:rFonts w:ascii="Times New Roman" w:hAnsi="Times New Roman" w:cs="Times New Roman"/>
          <w:sz w:val="21"/>
          <w:szCs w:val="21"/>
        </w:rPr>
        <w:t xml:space="preserve">аховувати його основні ознаки: </w:t>
      </w:r>
    </w:p>
    <w:p w:rsidR="00B233DE" w:rsidRDefault="00B233DE" w:rsidP="00B233DE">
      <w:pPr>
        <w:pStyle w:val="ad"/>
        <w:numPr>
          <w:ilvl w:val="0"/>
          <w:numId w:val="31"/>
        </w:numPr>
        <w:tabs>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джерелом</w:t>
      </w:r>
      <w:r w:rsidRPr="00812A8E">
        <w:rPr>
          <w:rFonts w:ascii="Times New Roman" w:hAnsi="Times New Roman" w:cs="Times New Roman"/>
          <w:sz w:val="21"/>
          <w:szCs w:val="21"/>
        </w:rPr>
        <w:t xml:space="preserve"> соціального капіталу є взаємна довіра людей, яка як масове явище виникає в гомогенному соціальному середовищі і набуває найширшого поширення в ум</w:t>
      </w:r>
      <w:r>
        <w:rPr>
          <w:rFonts w:ascii="Times New Roman" w:hAnsi="Times New Roman" w:cs="Times New Roman"/>
          <w:sz w:val="21"/>
          <w:szCs w:val="21"/>
        </w:rPr>
        <w:t>овах громадянського суспільства;</w:t>
      </w:r>
    </w:p>
    <w:p w:rsidR="00B233DE" w:rsidRDefault="00B233DE" w:rsidP="00B233DE">
      <w:pPr>
        <w:pStyle w:val="ad"/>
        <w:numPr>
          <w:ilvl w:val="0"/>
          <w:numId w:val="31"/>
        </w:numPr>
        <w:tabs>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с</w:t>
      </w:r>
      <w:r w:rsidRPr="00812A8E">
        <w:rPr>
          <w:rFonts w:ascii="Times New Roman" w:hAnsi="Times New Roman" w:cs="Times New Roman"/>
          <w:sz w:val="21"/>
          <w:szCs w:val="21"/>
        </w:rPr>
        <w:t>оціальний капітал, в основі якого лежить взаємна довіра людей, що знають і постійно спілкуються між собою, служить джерелом формування загальних економічних інтересів та чинником зміцнення тієї організації, в якій люди постійно взаємодіють між собою, ставлять спільні цілі, керуються загальним інтересом і вирішують єдині завдання. До таких соціальних організацій, передусім, відноситься первинний виробничий (трудовий) колектив, існуючий на різних підприємствах, у тому числі промислового виробництва;</w:t>
      </w:r>
    </w:p>
    <w:p w:rsidR="00B233DE" w:rsidRDefault="00B233DE" w:rsidP="00B233DE">
      <w:pPr>
        <w:pStyle w:val="ad"/>
        <w:numPr>
          <w:ilvl w:val="0"/>
          <w:numId w:val="31"/>
        </w:numPr>
        <w:tabs>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с</w:t>
      </w:r>
      <w:r w:rsidRPr="00812A8E">
        <w:rPr>
          <w:rFonts w:ascii="Times New Roman" w:hAnsi="Times New Roman" w:cs="Times New Roman"/>
          <w:sz w:val="21"/>
          <w:szCs w:val="21"/>
        </w:rPr>
        <w:t>оціальний капітал створює міцні, стабі</w:t>
      </w:r>
      <w:r>
        <w:rPr>
          <w:rFonts w:ascii="Times New Roman" w:hAnsi="Times New Roman" w:cs="Times New Roman"/>
          <w:sz w:val="21"/>
          <w:szCs w:val="21"/>
        </w:rPr>
        <w:t>льні, регулярні, міжособисті зв’</w:t>
      </w:r>
      <w:r w:rsidRPr="00812A8E">
        <w:rPr>
          <w:rFonts w:ascii="Times New Roman" w:hAnsi="Times New Roman" w:cs="Times New Roman"/>
          <w:sz w:val="21"/>
          <w:szCs w:val="21"/>
        </w:rPr>
        <w:t>язки в громадськи</w:t>
      </w:r>
      <w:r>
        <w:rPr>
          <w:rFonts w:ascii="Times New Roman" w:hAnsi="Times New Roman" w:cs="Times New Roman"/>
          <w:sz w:val="21"/>
          <w:szCs w:val="21"/>
        </w:rPr>
        <w:t>х (виробничих) стосунках. Ці зв’</w:t>
      </w:r>
      <w:r w:rsidRPr="00812A8E">
        <w:rPr>
          <w:rFonts w:ascii="Times New Roman" w:hAnsi="Times New Roman" w:cs="Times New Roman"/>
          <w:sz w:val="21"/>
          <w:szCs w:val="21"/>
        </w:rPr>
        <w:t xml:space="preserve">язки утворюють своєрідну мережу, </w:t>
      </w:r>
      <w:r>
        <w:rPr>
          <w:rFonts w:ascii="Times New Roman" w:hAnsi="Times New Roman" w:cs="Times New Roman"/>
          <w:sz w:val="21"/>
          <w:szCs w:val="21"/>
        </w:rPr>
        <w:t>що усуває багато негативних бар’</w:t>
      </w:r>
      <w:r w:rsidRPr="00812A8E">
        <w:rPr>
          <w:rFonts w:ascii="Times New Roman" w:hAnsi="Times New Roman" w:cs="Times New Roman"/>
          <w:sz w:val="21"/>
          <w:szCs w:val="21"/>
        </w:rPr>
        <w:t>єрів в процесі виробництва і сприяє найбільш швидкому просуванню економічних благ на ринку;</w:t>
      </w:r>
    </w:p>
    <w:p w:rsidR="00B233DE" w:rsidRDefault="00B233DE" w:rsidP="00B233DE">
      <w:pPr>
        <w:pStyle w:val="ad"/>
        <w:numPr>
          <w:ilvl w:val="0"/>
          <w:numId w:val="31"/>
        </w:numPr>
        <w:tabs>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с</w:t>
      </w:r>
      <w:r w:rsidRPr="00812A8E">
        <w:rPr>
          <w:rFonts w:ascii="Times New Roman" w:hAnsi="Times New Roman" w:cs="Times New Roman"/>
          <w:sz w:val="21"/>
          <w:szCs w:val="21"/>
        </w:rPr>
        <w:t>оціальний капітал активно впливає на існуючу організаційно-управлінську структуру і часто націлений на її вдосконалення;</w:t>
      </w:r>
    </w:p>
    <w:p w:rsidR="00B233DE" w:rsidRDefault="00B233DE" w:rsidP="00B233DE">
      <w:pPr>
        <w:pStyle w:val="ad"/>
        <w:numPr>
          <w:ilvl w:val="0"/>
          <w:numId w:val="31"/>
        </w:numPr>
        <w:tabs>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с</w:t>
      </w:r>
      <w:r w:rsidRPr="00812A8E">
        <w:rPr>
          <w:rFonts w:ascii="Times New Roman" w:hAnsi="Times New Roman" w:cs="Times New Roman"/>
          <w:sz w:val="21"/>
          <w:szCs w:val="21"/>
        </w:rPr>
        <w:t xml:space="preserve">оціальний капітал властивий як самому суспільству, регіону, сферам і галузям економіки, так і окремим соціальним структурам економічних і виробничих організацій </w:t>
      </w:r>
      <w:r>
        <w:rPr>
          <w:rFonts w:ascii="Times New Roman" w:hAnsi="Times New Roman" w:cs="Times New Roman"/>
          <w:sz w:val="21"/>
          <w:szCs w:val="21"/>
        </w:rPr>
        <w:t>–</w:t>
      </w:r>
      <w:r w:rsidRPr="00812A8E">
        <w:rPr>
          <w:rFonts w:ascii="Times New Roman" w:hAnsi="Times New Roman" w:cs="Times New Roman"/>
          <w:sz w:val="21"/>
          <w:szCs w:val="21"/>
        </w:rPr>
        <w:t xml:space="preserve"> первинним виробничим (трудовим) колективам і службам. Поза громадським середовищем соціальний капітал не виникає, але у будь-якому громадськом</w:t>
      </w:r>
      <w:r>
        <w:rPr>
          <w:rFonts w:ascii="Times New Roman" w:hAnsi="Times New Roman" w:cs="Times New Roman"/>
          <w:sz w:val="21"/>
          <w:szCs w:val="21"/>
        </w:rPr>
        <w:t>у середовищі складаються міжсуб’єктні зв’</w:t>
      </w:r>
      <w:r w:rsidRPr="00812A8E">
        <w:rPr>
          <w:rFonts w:ascii="Times New Roman" w:hAnsi="Times New Roman" w:cs="Times New Roman"/>
          <w:sz w:val="21"/>
          <w:szCs w:val="21"/>
        </w:rPr>
        <w:t>язки, незалежно від того, що припускають люди як відо</w:t>
      </w:r>
      <w:r>
        <w:rPr>
          <w:rFonts w:ascii="Times New Roman" w:hAnsi="Times New Roman" w:cs="Times New Roman"/>
          <w:sz w:val="21"/>
          <w:szCs w:val="21"/>
        </w:rPr>
        <w:t>соблені суб’</w:t>
      </w:r>
      <w:r w:rsidRPr="00812A8E">
        <w:rPr>
          <w:rFonts w:ascii="Times New Roman" w:hAnsi="Times New Roman" w:cs="Times New Roman"/>
          <w:sz w:val="21"/>
          <w:szCs w:val="21"/>
        </w:rPr>
        <w:t>єкти і які цілі вони переслідують. Таким чин</w:t>
      </w:r>
      <w:r>
        <w:rPr>
          <w:rFonts w:ascii="Times New Roman" w:hAnsi="Times New Roman" w:cs="Times New Roman"/>
          <w:sz w:val="21"/>
          <w:szCs w:val="21"/>
        </w:rPr>
        <w:t>ом, соціальний капітал явище об’</w:t>
      </w:r>
      <w:r w:rsidRPr="00812A8E">
        <w:rPr>
          <w:rFonts w:ascii="Times New Roman" w:hAnsi="Times New Roman" w:cs="Times New Roman"/>
          <w:sz w:val="21"/>
          <w:szCs w:val="21"/>
        </w:rPr>
        <w:t>єктивне;</w:t>
      </w:r>
    </w:p>
    <w:p w:rsidR="00B233DE" w:rsidRDefault="00B233DE" w:rsidP="00B233DE">
      <w:pPr>
        <w:pStyle w:val="ad"/>
        <w:numPr>
          <w:ilvl w:val="0"/>
          <w:numId w:val="31"/>
        </w:numPr>
        <w:tabs>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с</w:t>
      </w:r>
      <w:r w:rsidRPr="00812A8E">
        <w:rPr>
          <w:rFonts w:ascii="Times New Roman" w:hAnsi="Times New Roman" w:cs="Times New Roman"/>
          <w:sz w:val="21"/>
          <w:szCs w:val="21"/>
        </w:rPr>
        <w:t xml:space="preserve">оціальний капітал має усі ознаки капіталу як економічного поняття, але має свої особливості, в основі яких лежать неформальні стосунки (тобто нерегламентовані формальними нормами) між членами будь-якого, у тому числі </w:t>
      </w:r>
      <w:r w:rsidRPr="00812A8E">
        <w:rPr>
          <w:rFonts w:ascii="Times New Roman" w:hAnsi="Times New Roman" w:cs="Times New Roman"/>
          <w:sz w:val="21"/>
          <w:szCs w:val="21"/>
        </w:rPr>
        <w:lastRenderedPageBreak/>
        <w:t>виробничого, співтовариства (колективу), що підтримують регулярний контакт один з одним;</w:t>
      </w:r>
    </w:p>
    <w:p w:rsidR="00B233DE" w:rsidRDefault="00B233DE" w:rsidP="00B233DE">
      <w:pPr>
        <w:pStyle w:val="ad"/>
        <w:numPr>
          <w:ilvl w:val="0"/>
          <w:numId w:val="31"/>
        </w:numPr>
        <w:tabs>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с</w:t>
      </w:r>
      <w:r w:rsidRPr="00812A8E">
        <w:rPr>
          <w:rFonts w:ascii="Times New Roman" w:hAnsi="Times New Roman" w:cs="Times New Roman"/>
          <w:sz w:val="21"/>
          <w:szCs w:val="21"/>
        </w:rPr>
        <w:t>оціальний капітал, будучи неформальним явищем, виникає і в тіньових соціальних структурах, заснованих не на довірі, а на страху. У цих структурах може виникати уявний а</w:t>
      </w:r>
      <w:r>
        <w:rPr>
          <w:rFonts w:ascii="Times New Roman" w:hAnsi="Times New Roman" w:cs="Times New Roman"/>
          <w:sz w:val="21"/>
          <w:szCs w:val="21"/>
        </w:rPr>
        <w:t>бо ілюзорний соціальний капітал;</w:t>
      </w:r>
    </w:p>
    <w:p w:rsidR="00B233DE" w:rsidRDefault="00B233DE" w:rsidP="00B233DE">
      <w:pPr>
        <w:pStyle w:val="ad"/>
        <w:numPr>
          <w:ilvl w:val="0"/>
          <w:numId w:val="31"/>
        </w:numPr>
        <w:tabs>
          <w:tab w:val="left" w:pos="993"/>
        </w:tabs>
        <w:ind w:left="0" w:firstLine="709"/>
        <w:jc w:val="both"/>
        <w:rPr>
          <w:rFonts w:ascii="Times New Roman" w:hAnsi="Times New Roman" w:cs="Times New Roman"/>
          <w:sz w:val="21"/>
          <w:szCs w:val="21"/>
        </w:rPr>
      </w:pPr>
      <w:r w:rsidRPr="00812A8E">
        <w:rPr>
          <w:rFonts w:ascii="Times New Roman" w:hAnsi="Times New Roman" w:cs="Times New Roman"/>
          <w:sz w:val="21"/>
          <w:szCs w:val="21"/>
        </w:rPr>
        <w:t>оціальний капітал має тенденцію до відособлення і розширення, охоплюючи усі нові соціальні стр</w:t>
      </w:r>
      <w:r>
        <w:rPr>
          <w:rFonts w:ascii="Times New Roman" w:hAnsi="Times New Roman" w:cs="Times New Roman"/>
          <w:sz w:val="21"/>
          <w:szCs w:val="21"/>
        </w:rPr>
        <w:t>уктури і включаючи додаткові зв’</w:t>
      </w:r>
      <w:r w:rsidRPr="00812A8E">
        <w:rPr>
          <w:rFonts w:ascii="Times New Roman" w:hAnsi="Times New Roman" w:cs="Times New Roman"/>
          <w:sz w:val="21"/>
          <w:szCs w:val="21"/>
        </w:rPr>
        <w:t xml:space="preserve">язки і стосунки. Соціальний капітал вбудований в організаційно-технологічну і організаційно-економічну систему виробництва і, доповнюючи її, сприяє підвищенню ефективності, економії трансакційних витрат і при заданій ціні бере участь у збільшенні </w:t>
      </w:r>
      <w:r>
        <w:rPr>
          <w:rFonts w:ascii="Times New Roman" w:hAnsi="Times New Roman" w:cs="Times New Roman"/>
          <w:sz w:val="21"/>
          <w:szCs w:val="21"/>
        </w:rPr>
        <w:t>частки прибутку підприємства;</w:t>
      </w:r>
    </w:p>
    <w:p w:rsidR="00B233DE" w:rsidRDefault="00B233DE" w:rsidP="00B233DE">
      <w:pPr>
        <w:pStyle w:val="ad"/>
        <w:numPr>
          <w:ilvl w:val="0"/>
          <w:numId w:val="31"/>
        </w:numPr>
        <w:tabs>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р</w:t>
      </w:r>
      <w:r w:rsidRPr="00812A8E">
        <w:rPr>
          <w:rFonts w:ascii="Times New Roman" w:hAnsi="Times New Roman" w:cs="Times New Roman"/>
          <w:sz w:val="21"/>
          <w:szCs w:val="21"/>
        </w:rPr>
        <w:t>озширюючи свої масштаби, виходячи на нові сегменти ринку, соціальний капітал сприяє прискоренню пошуку більш високої ціни реалізації товарів і послуг і нижчої ціни придбання економічних ресурсів, мінімізуючи при цьому як витрати обертання, так і трансакційні витрати;</w:t>
      </w:r>
    </w:p>
    <w:p w:rsidR="00B233DE" w:rsidRDefault="00B233DE" w:rsidP="00B233DE">
      <w:pPr>
        <w:pStyle w:val="ad"/>
        <w:numPr>
          <w:ilvl w:val="0"/>
          <w:numId w:val="31"/>
        </w:numPr>
        <w:tabs>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н</w:t>
      </w:r>
      <w:r w:rsidRPr="00812A8E">
        <w:rPr>
          <w:rFonts w:ascii="Times New Roman" w:hAnsi="Times New Roman" w:cs="Times New Roman"/>
          <w:sz w:val="21"/>
          <w:szCs w:val="21"/>
        </w:rPr>
        <w:t>айяскравіше соціальний капітал проявляє себе в умовах індустріального виробництва, в трудових колективах промислових підприємств, де працівники технологічно і організаці</w:t>
      </w:r>
      <w:r>
        <w:rPr>
          <w:rFonts w:ascii="Times New Roman" w:hAnsi="Times New Roman" w:cs="Times New Roman"/>
          <w:sz w:val="21"/>
          <w:szCs w:val="21"/>
        </w:rPr>
        <w:t>йно знаходяться в регулярних зв’</w:t>
      </w:r>
      <w:r w:rsidRPr="00812A8E">
        <w:rPr>
          <w:rFonts w:ascii="Times New Roman" w:hAnsi="Times New Roman" w:cs="Times New Roman"/>
          <w:sz w:val="21"/>
          <w:szCs w:val="21"/>
        </w:rPr>
        <w:t>язках і постійно взаємодіють між собою на рівні міжособистого спілкування, що спон</w:t>
      </w:r>
      <w:r>
        <w:rPr>
          <w:rFonts w:ascii="Times New Roman" w:hAnsi="Times New Roman" w:cs="Times New Roman"/>
          <w:sz w:val="21"/>
          <w:szCs w:val="21"/>
        </w:rPr>
        <w:t>укає їх налагоджувати дружні зв’</w:t>
      </w:r>
      <w:r w:rsidRPr="00812A8E">
        <w:rPr>
          <w:rFonts w:ascii="Times New Roman" w:hAnsi="Times New Roman" w:cs="Times New Roman"/>
          <w:sz w:val="21"/>
          <w:szCs w:val="21"/>
        </w:rPr>
        <w:t>язки і стосунки, засновані на довірі;</w:t>
      </w:r>
    </w:p>
    <w:p w:rsidR="00B233DE" w:rsidRPr="00812A8E" w:rsidRDefault="00B233DE" w:rsidP="00B233DE">
      <w:pPr>
        <w:pStyle w:val="ad"/>
        <w:numPr>
          <w:ilvl w:val="0"/>
          <w:numId w:val="31"/>
        </w:numPr>
        <w:tabs>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с</w:t>
      </w:r>
      <w:r w:rsidRPr="00812A8E">
        <w:rPr>
          <w:rFonts w:ascii="Times New Roman" w:hAnsi="Times New Roman" w:cs="Times New Roman"/>
          <w:sz w:val="21"/>
          <w:szCs w:val="21"/>
        </w:rPr>
        <w:t>оціальний капітал обумовлює необхідність підбору кадрів для підприємства і розставляння їх по робочих місцях з урахуванням соціальної і психофізичної сумісності працівників, що лежить в основі формування гомогенного середовища.</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Виходячи з цих загальних і особливих ознак соціального капіталу, спробуємо дати йому власне визначення як економічного поняття:</w:t>
      </w:r>
    </w:p>
    <w:p w:rsidR="00B233DE" w:rsidRPr="008979AA" w:rsidRDefault="00B233DE" w:rsidP="00B233DE">
      <w:pPr>
        <w:ind w:firstLine="709"/>
        <w:jc w:val="both"/>
        <w:rPr>
          <w:rFonts w:ascii="Times New Roman" w:hAnsi="Times New Roman" w:cs="Times New Roman"/>
          <w:iCs/>
          <w:sz w:val="21"/>
          <w:szCs w:val="21"/>
        </w:rPr>
      </w:pPr>
      <w:r w:rsidRPr="008979AA">
        <w:rPr>
          <w:rFonts w:ascii="Times New Roman" w:hAnsi="Times New Roman" w:cs="Times New Roman"/>
          <w:iCs/>
          <w:sz w:val="21"/>
          <w:szCs w:val="21"/>
          <w:shd w:val="clear" w:color="auto" w:fill="FFFFFF"/>
        </w:rPr>
        <w:t>Соціальний капітал – це таке економічне явище, що виникає в умовах гомогенного середовища, де формується взає</w:t>
      </w:r>
      <w:r>
        <w:rPr>
          <w:rFonts w:ascii="Times New Roman" w:hAnsi="Times New Roman" w:cs="Times New Roman"/>
          <w:iCs/>
          <w:sz w:val="21"/>
          <w:szCs w:val="21"/>
          <w:shd w:val="clear" w:color="auto" w:fill="FFFFFF"/>
        </w:rPr>
        <w:t>мна довіра між економічними суб’</w:t>
      </w:r>
      <w:r w:rsidRPr="008979AA">
        <w:rPr>
          <w:rFonts w:ascii="Times New Roman" w:hAnsi="Times New Roman" w:cs="Times New Roman"/>
          <w:iCs/>
          <w:sz w:val="21"/>
          <w:szCs w:val="21"/>
          <w:shd w:val="clear" w:color="auto" w:fill="FFFFFF"/>
        </w:rPr>
        <w:t>єктами</w:t>
      </w:r>
      <w:r>
        <w:rPr>
          <w:rFonts w:ascii="Times New Roman" w:hAnsi="Times New Roman" w:cs="Times New Roman"/>
          <w:iCs/>
          <w:sz w:val="21"/>
          <w:szCs w:val="21"/>
          <w:shd w:val="clear" w:color="auto" w:fill="FFFFFF"/>
        </w:rPr>
        <w:t>, на основі якої складаються зв’</w:t>
      </w:r>
      <w:r w:rsidRPr="008979AA">
        <w:rPr>
          <w:rFonts w:ascii="Times New Roman" w:hAnsi="Times New Roman" w:cs="Times New Roman"/>
          <w:iCs/>
          <w:sz w:val="21"/>
          <w:szCs w:val="21"/>
          <w:shd w:val="clear" w:color="auto" w:fill="FFFFFF"/>
        </w:rPr>
        <w:t>язки і утворюється їх мережева структура, прискорюючи процес громадського руху економічних благ на ринку і у виробництві і мінімізуючи як трансакційні, так і трансформаційні витрати, економія яких розширює економічні можливості для виходу на вигідніші ринки збуту</w:t>
      </w:r>
      <w:r w:rsidRPr="008979AA">
        <w:rPr>
          <w:rFonts w:ascii="Times New Roman" w:hAnsi="Times New Roman" w:cs="Times New Roman"/>
          <w:iCs/>
          <w:sz w:val="21"/>
          <w:szCs w:val="21"/>
        </w:rPr>
        <w:t xml:space="preserve"> </w:t>
      </w:r>
      <w:r w:rsidRPr="008979AA">
        <w:rPr>
          <w:rFonts w:ascii="Times New Roman" w:hAnsi="Times New Roman" w:cs="Times New Roman"/>
          <w:iCs/>
          <w:sz w:val="21"/>
          <w:szCs w:val="21"/>
          <w:shd w:val="clear" w:color="auto" w:fill="FFFFFF"/>
        </w:rPr>
        <w:t>товарів</w:t>
      </w:r>
      <w:r w:rsidRPr="008979AA">
        <w:rPr>
          <w:rFonts w:ascii="Times New Roman" w:hAnsi="Times New Roman" w:cs="Times New Roman"/>
          <w:iCs/>
          <w:sz w:val="21"/>
          <w:szCs w:val="21"/>
        </w:rPr>
        <w:t xml:space="preserve"> і закупівлі ресурсів, що сприяє</w:t>
      </w:r>
      <w:r>
        <w:rPr>
          <w:rFonts w:ascii="Times New Roman" w:hAnsi="Times New Roman" w:cs="Times New Roman"/>
          <w:iCs/>
          <w:sz w:val="21"/>
          <w:szCs w:val="21"/>
        </w:rPr>
        <w:t xml:space="preserve"> </w:t>
      </w:r>
      <w:r>
        <w:rPr>
          <w:rFonts w:ascii="Times New Roman" w:hAnsi="Times New Roman" w:cs="Times New Roman"/>
          <w:iCs/>
          <w:sz w:val="21"/>
          <w:szCs w:val="21"/>
        </w:rPr>
        <w:lastRenderedPageBreak/>
        <w:t>створенню нового мережевого зв’</w:t>
      </w:r>
      <w:r w:rsidRPr="008979AA">
        <w:rPr>
          <w:rFonts w:ascii="Times New Roman" w:hAnsi="Times New Roman" w:cs="Times New Roman"/>
          <w:iCs/>
          <w:sz w:val="21"/>
          <w:szCs w:val="21"/>
        </w:rPr>
        <w:t>язку за межами підприємства і безперервному підвищенню дохо</w:t>
      </w:r>
      <w:r>
        <w:rPr>
          <w:rFonts w:ascii="Times New Roman" w:hAnsi="Times New Roman" w:cs="Times New Roman"/>
          <w:iCs/>
          <w:sz w:val="21"/>
          <w:szCs w:val="21"/>
        </w:rPr>
        <w:t>дів</w:t>
      </w:r>
      <w:r w:rsidRPr="008979AA">
        <w:rPr>
          <w:rFonts w:ascii="Times New Roman" w:hAnsi="Times New Roman" w:cs="Times New Roman"/>
          <w:iCs/>
          <w:sz w:val="21"/>
          <w:szCs w:val="21"/>
        </w:rPr>
        <w:t xml:space="preserve"> ринкових агентів.</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Таким чином, соціальний капітал коротко можна визначити як одну з форм капіталу, за</w:t>
      </w:r>
      <w:r>
        <w:rPr>
          <w:rFonts w:ascii="Times New Roman" w:hAnsi="Times New Roman" w:cs="Times New Roman"/>
          <w:sz w:val="21"/>
          <w:szCs w:val="21"/>
        </w:rPr>
        <w:t>сновану на неформальних, міжсуб’</w:t>
      </w:r>
      <w:r w:rsidRPr="008979AA">
        <w:rPr>
          <w:rFonts w:ascii="Times New Roman" w:hAnsi="Times New Roman" w:cs="Times New Roman"/>
          <w:sz w:val="21"/>
          <w:szCs w:val="21"/>
        </w:rPr>
        <w:t>єктних, міжособистих взаємодіях, що виникають у відносно обмеженому економічному просторі на постійній основі і сприяю</w:t>
      </w:r>
      <w:r>
        <w:rPr>
          <w:rFonts w:ascii="Times New Roman" w:hAnsi="Times New Roman" w:cs="Times New Roman"/>
          <w:sz w:val="21"/>
          <w:szCs w:val="21"/>
        </w:rPr>
        <w:t>ть</w:t>
      </w:r>
      <w:r w:rsidRPr="008979AA">
        <w:rPr>
          <w:rFonts w:ascii="Times New Roman" w:hAnsi="Times New Roman" w:cs="Times New Roman"/>
          <w:sz w:val="21"/>
          <w:szCs w:val="21"/>
        </w:rPr>
        <w:t xml:space="preserve"> приросту доходу (прибутку) в набагато більших розмірах і темпах, чим в іншому соціальному середовищі.</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 xml:space="preserve">Специфічність категорії соціальний капітал полягає в тому, що на відміну від традиційного фізичного капіталу, це невідчутний, низьколіквідний ресурс, </w:t>
      </w:r>
      <w:r>
        <w:rPr>
          <w:rFonts w:ascii="Times New Roman" w:hAnsi="Times New Roman" w:cs="Times New Roman"/>
          <w:sz w:val="21"/>
          <w:szCs w:val="21"/>
        </w:rPr>
        <w:t>втілений в міжособистих зв’</w:t>
      </w:r>
      <w:r w:rsidRPr="008979AA">
        <w:rPr>
          <w:rFonts w:ascii="Times New Roman" w:hAnsi="Times New Roman" w:cs="Times New Roman"/>
          <w:sz w:val="21"/>
          <w:szCs w:val="21"/>
        </w:rPr>
        <w:t>язках між людьми. І якщо фіз</w:t>
      </w:r>
      <w:r>
        <w:rPr>
          <w:rFonts w:ascii="Times New Roman" w:hAnsi="Times New Roman" w:cs="Times New Roman"/>
          <w:sz w:val="21"/>
          <w:szCs w:val="21"/>
        </w:rPr>
        <w:t>ичний капітал відноситься до об’</w:t>
      </w:r>
      <w:r w:rsidRPr="008979AA">
        <w:rPr>
          <w:rFonts w:ascii="Times New Roman" w:hAnsi="Times New Roman" w:cs="Times New Roman"/>
          <w:sz w:val="21"/>
          <w:szCs w:val="21"/>
        </w:rPr>
        <w:t>єктів, які можуть знаходитися у власності, і є «відчужуваним», тобто ця власність може передаватися від одно</w:t>
      </w:r>
      <w:r>
        <w:rPr>
          <w:rFonts w:ascii="Times New Roman" w:hAnsi="Times New Roman" w:cs="Times New Roman"/>
          <w:sz w:val="21"/>
          <w:szCs w:val="21"/>
        </w:rPr>
        <w:t>го</w:t>
      </w:r>
      <w:r w:rsidRPr="008979AA">
        <w:rPr>
          <w:rFonts w:ascii="Times New Roman" w:hAnsi="Times New Roman" w:cs="Times New Roman"/>
          <w:sz w:val="21"/>
          <w:szCs w:val="21"/>
        </w:rPr>
        <w:t xml:space="preserve"> агента до іншого, то також як і з людським капіталом передача соціального капіталу у власність неможлива.</w:t>
      </w:r>
    </w:p>
    <w:p w:rsidR="00B233DE" w:rsidRPr="008979AA"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Соціальний капітал –</w:t>
      </w:r>
      <w:r w:rsidRPr="008979AA">
        <w:rPr>
          <w:rFonts w:ascii="Times New Roman" w:hAnsi="Times New Roman" w:cs="Times New Roman"/>
          <w:sz w:val="21"/>
          <w:szCs w:val="21"/>
        </w:rPr>
        <w:t xml:space="preserve"> це загальне знання, розуміння і схеми взаємодії, які певна група людей привносить до будь-якої продуктивної діяльності. Соціальний капітал допомагає зміцнити структуру співтовариства і частенько, як побічний результат інших видів діяльності, простягає нитки інформації, довіри і міжособової солідарності.</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Соціальний капітал виступає капіталом, його соціальн</w:t>
      </w:r>
      <w:r>
        <w:rPr>
          <w:rFonts w:ascii="Times New Roman" w:hAnsi="Times New Roman" w:cs="Times New Roman"/>
          <w:sz w:val="21"/>
          <w:szCs w:val="21"/>
        </w:rPr>
        <w:t>им</w:t>
      </w:r>
      <w:r w:rsidRPr="008979AA">
        <w:rPr>
          <w:rFonts w:ascii="Times New Roman" w:hAnsi="Times New Roman" w:cs="Times New Roman"/>
          <w:sz w:val="21"/>
          <w:szCs w:val="21"/>
        </w:rPr>
        <w:t xml:space="preserve"> різновид</w:t>
      </w:r>
      <w:r>
        <w:rPr>
          <w:rFonts w:ascii="Times New Roman" w:hAnsi="Times New Roman" w:cs="Times New Roman"/>
          <w:sz w:val="21"/>
          <w:szCs w:val="21"/>
        </w:rPr>
        <w:t>ом,</w:t>
      </w:r>
      <w:r w:rsidRPr="008979AA">
        <w:rPr>
          <w:rFonts w:ascii="Times New Roman" w:hAnsi="Times New Roman" w:cs="Times New Roman"/>
          <w:sz w:val="21"/>
          <w:szCs w:val="21"/>
        </w:rPr>
        <w:t xml:space="preserve"> як результат минулої діяль</w:t>
      </w:r>
      <w:r>
        <w:rPr>
          <w:rFonts w:ascii="Times New Roman" w:hAnsi="Times New Roman" w:cs="Times New Roman"/>
          <w:sz w:val="21"/>
          <w:szCs w:val="21"/>
        </w:rPr>
        <w:t>ності у вигляді накопичених суб’</w:t>
      </w:r>
      <w:r w:rsidRPr="008979AA">
        <w:rPr>
          <w:rFonts w:ascii="Times New Roman" w:hAnsi="Times New Roman" w:cs="Times New Roman"/>
          <w:sz w:val="21"/>
          <w:szCs w:val="21"/>
        </w:rPr>
        <w:t>єктом соціаль</w:t>
      </w:r>
      <w:r>
        <w:rPr>
          <w:rFonts w:ascii="Times New Roman" w:hAnsi="Times New Roman" w:cs="Times New Roman"/>
          <w:sz w:val="21"/>
          <w:szCs w:val="21"/>
        </w:rPr>
        <w:t>них зв’</w:t>
      </w:r>
      <w:r w:rsidRPr="008979AA">
        <w:rPr>
          <w:rFonts w:ascii="Times New Roman" w:hAnsi="Times New Roman" w:cs="Times New Roman"/>
          <w:sz w:val="21"/>
          <w:szCs w:val="21"/>
        </w:rPr>
        <w:t xml:space="preserve">язків </w:t>
      </w:r>
      <w:r>
        <w:rPr>
          <w:rFonts w:ascii="Times New Roman" w:hAnsi="Times New Roman" w:cs="Times New Roman"/>
          <w:sz w:val="21"/>
          <w:szCs w:val="21"/>
        </w:rPr>
        <w:t>і як засіб досягнення цілей суб’</w:t>
      </w:r>
      <w:r w:rsidRPr="008979AA">
        <w:rPr>
          <w:rFonts w:ascii="Times New Roman" w:hAnsi="Times New Roman" w:cs="Times New Roman"/>
          <w:sz w:val="21"/>
          <w:szCs w:val="21"/>
        </w:rPr>
        <w:t>єкта. Як і будь-який інший, соціальний капітал має властивість зростати, або, навпаки, знецінюватися, тобто збільшуватися або зменшуватися залежно від свого положення в системі соціальних, ринкових стосунків між</w:t>
      </w:r>
      <w:r>
        <w:rPr>
          <w:rFonts w:ascii="Times New Roman" w:hAnsi="Times New Roman" w:cs="Times New Roman"/>
          <w:sz w:val="21"/>
          <w:szCs w:val="21"/>
        </w:rPr>
        <w:t xml:space="preserve"> суб’</w:t>
      </w:r>
      <w:r w:rsidRPr="008979AA">
        <w:rPr>
          <w:rFonts w:ascii="Times New Roman" w:hAnsi="Times New Roman" w:cs="Times New Roman"/>
          <w:sz w:val="21"/>
          <w:szCs w:val="21"/>
        </w:rPr>
        <w:t>єктами соціального процесу.</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З точки зору теорії соціальної дії соціальн</w:t>
      </w:r>
      <w:r>
        <w:rPr>
          <w:rFonts w:ascii="Times New Roman" w:hAnsi="Times New Roman" w:cs="Times New Roman"/>
          <w:sz w:val="21"/>
          <w:szCs w:val="21"/>
        </w:rPr>
        <w:t>ий</w:t>
      </w:r>
      <w:r w:rsidRPr="008979AA">
        <w:rPr>
          <w:rFonts w:ascii="Times New Roman" w:hAnsi="Times New Roman" w:cs="Times New Roman"/>
          <w:sz w:val="21"/>
          <w:szCs w:val="21"/>
        </w:rPr>
        <w:t xml:space="preserve"> капітал визна</w:t>
      </w:r>
      <w:r>
        <w:rPr>
          <w:rFonts w:ascii="Times New Roman" w:hAnsi="Times New Roman" w:cs="Times New Roman"/>
          <w:sz w:val="21"/>
          <w:szCs w:val="21"/>
        </w:rPr>
        <w:t>чається як ресурс соціальних зв’</w:t>
      </w:r>
      <w:r w:rsidRPr="008979AA">
        <w:rPr>
          <w:rFonts w:ascii="Times New Roman" w:hAnsi="Times New Roman" w:cs="Times New Roman"/>
          <w:sz w:val="21"/>
          <w:szCs w:val="21"/>
        </w:rPr>
        <w:t>язків. І в цьому сенсі соціальний капітал є прояв</w:t>
      </w:r>
      <w:r>
        <w:rPr>
          <w:rFonts w:ascii="Times New Roman" w:hAnsi="Times New Roman" w:cs="Times New Roman"/>
          <w:sz w:val="21"/>
          <w:szCs w:val="21"/>
        </w:rPr>
        <w:t>ом</w:t>
      </w:r>
      <w:r w:rsidRPr="008979AA">
        <w:rPr>
          <w:rFonts w:ascii="Times New Roman" w:hAnsi="Times New Roman" w:cs="Times New Roman"/>
          <w:sz w:val="21"/>
          <w:szCs w:val="21"/>
        </w:rPr>
        <w:t xml:space="preserve"> ресурс</w:t>
      </w:r>
      <w:r>
        <w:rPr>
          <w:rFonts w:ascii="Times New Roman" w:hAnsi="Times New Roman" w:cs="Times New Roman"/>
          <w:sz w:val="21"/>
          <w:szCs w:val="21"/>
        </w:rPr>
        <w:t>них характеристик соціальних зв’</w:t>
      </w:r>
      <w:r w:rsidRPr="008979AA">
        <w:rPr>
          <w:rFonts w:ascii="Times New Roman" w:hAnsi="Times New Roman" w:cs="Times New Roman"/>
          <w:sz w:val="21"/>
          <w:szCs w:val="21"/>
        </w:rPr>
        <w:t>язків і стосунків. Межі ефективності викор</w:t>
      </w:r>
      <w:r>
        <w:rPr>
          <w:rFonts w:ascii="Times New Roman" w:hAnsi="Times New Roman" w:cs="Times New Roman"/>
          <w:sz w:val="21"/>
          <w:szCs w:val="21"/>
        </w:rPr>
        <w:t>истання соціальних зв’</w:t>
      </w:r>
      <w:r w:rsidRPr="008979AA">
        <w:rPr>
          <w:rFonts w:ascii="Times New Roman" w:hAnsi="Times New Roman" w:cs="Times New Roman"/>
          <w:sz w:val="21"/>
          <w:szCs w:val="21"/>
        </w:rPr>
        <w:t>язків визначені тим, що логіка їх підтримки, як правило, суперечить логіці максимізації прибутку. Це суперечить критеріям ринкової ефективності, знижує стимули входження в мережу.</w:t>
      </w:r>
    </w:p>
    <w:p w:rsidR="00B233DE" w:rsidRPr="008979AA"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Соціальні зв’</w:t>
      </w:r>
      <w:r w:rsidRPr="008979AA">
        <w:rPr>
          <w:rFonts w:ascii="Times New Roman" w:hAnsi="Times New Roman" w:cs="Times New Roman"/>
          <w:sz w:val="21"/>
          <w:szCs w:val="21"/>
        </w:rPr>
        <w:t xml:space="preserve">язки вимагають інвестицій. Інвестовані вкладення в соціальний капітал можуть бути як явними, так і прихованими, імпліцитними. Приховані інвестиції в соціальний </w:t>
      </w:r>
      <w:r w:rsidRPr="008979AA">
        <w:rPr>
          <w:rFonts w:ascii="Times New Roman" w:hAnsi="Times New Roman" w:cs="Times New Roman"/>
          <w:sz w:val="21"/>
          <w:szCs w:val="21"/>
        </w:rPr>
        <w:lastRenderedPageBreak/>
        <w:t>капітал переважають над явними інвестиціями в трудових колективах і проявляються в таких елементарних формах, як взаємні симпатії, знаки уваги, поздоровлення, моральна підтримка, одностайне схвалення і навіть доброзичлива посмішка, що часто підвищує настрій людей на ефективнішу роботу. Інвестиційні вкладення в соціальний капітал можна розбити на декілька ет</w:t>
      </w:r>
      <w:r>
        <w:rPr>
          <w:rFonts w:ascii="Times New Roman" w:hAnsi="Times New Roman" w:cs="Times New Roman"/>
          <w:sz w:val="21"/>
          <w:szCs w:val="21"/>
        </w:rPr>
        <w:t>апів. Перший етап припускає зав’</w:t>
      </w:r>
      <w:r w:rsidRPr="008979AA">
        <w:rPr>
          <w:rFonts w:ascii="Times New Roman" w:hAnsi="Times New Roman" w:cs="Times New Roman"/>
          <w:sz w:val="21"/>
          <w:szCs w:val="21"/>
        </w:rPr>
        <w:t>язку соціально-трудових і економічних стосунків в процесі особисто</w:t>
      </w:r>
      <w:r>
        <w:rPr>
          <w:rFonts w:ascii="Times New Roman" w:hAnsi="Times New Roman" w:cs="Times New Roman"/>
          <w:sz w:val="21"/>
          <w:szCs w:val="21"/>
        </w:rPr>
        <w:t>го знайомства господарських суб’</w:t>
      </w:r>
      <w:r w:rsidRPr="008979AA">
        <w:rPr>
          <w:rFonts w:ascii="Times New Roman" w:hAnsi="Times New Roman" w:cs="Times New Roman"/>
          <w:sz w:val="21"/>
          <w:szCs w:val="21"/>
        </w:rPr>
        <w:t>єктів. Інвес</w:t>
      </w:r>
      <w:r>
        <w:rPr>
          <w:rFonts w:ascii="Times New Roman" w:hAnsi="Times New Roman" w:cs="Times New Roman"/>
          <w:sz w:val="21"/>
          <w:szCs w:val="21"/>
        </w:rPr>
        <w:t>тиційні вкладення в процесі зав’</w:t>
      </w:r>
      <w:r w:rsidRPr="008979AA">
        <w:rPr>
          <w:rFonts w:ascii="Times New Roman" w:hAnsi="Times New Roman" w:cs="Times New Roman"/>
          <w:sz w:val="21"/>
          <w:szCs w:val="21"/>
        </w:rPr>
        <w:t>язки стосунків, як правило, часто символічні, умовні, етичні і психологічні. Другий етап будується на подальшому відновленні між ринковими агентами соціально-економічних стосунків і спирається на взаємний обмін якими-небудь презентами або на взаємне проведення дозвілля. Третій етап виходить з необхідності підтримки соціально-трудових стосунків, включаючи такі інвестиційні вкладення, як взаємний обмін подарунками відповідно до інтересів партнерів або колег по роботі, надання допомоги один одному і моральної підтримки, що служить джерелом конкретної довіри і завершує процес формування соціального капіталу, який у свою чергу припускає відтворення соціально-трудових і економічних стосунків і нові інвестиційні вкладення в цей процес. В результаті здійснюється перехід до четвертого етапу, в якому соціальний капітал не лише відтворю</w:t>
      </w:r>
      <w:r>
        <w:rPr>
          <w:rFonts w:ascii="Times New Roman" w:hAnsi="Times New Roman" w:cs="Times New Roman"/>
          <w:sz w:val="21"/>
          <w:szCs w:val="21"/>
        </w:rPr>
        <w:t>ється</w:t>
      </w:r>
      <w:r w:rsidRPr="008979AA">
        <w:rPr>
          <w:rFonts w:ascii="Times New Roman" w:hAnsi="Times New Roman" w:cs="Times New Roman"/>
          <w:sz w:val="21"/>
          <w:szCs w:val="21"/>
        </w:rPr>
        <w:t xml:space="preserve">, але і підвищує свій рівень розвитку разом </w:t>
      </w:r>
      <w:r>
        <w:rPr>
          <w:rFonts w:ascii="Times New Roman" w:hAnsi="Times New Roman" w:cs="Times New Roman"/>
          <w:sz w:val="21"/>
          <w:szCs w:val="21"/>
        </w:rPr>
        <w:t>зі</w:t>
      </w:r>
      <w:r w:rsidRPr="008979AA">
        <w:rPr>
          <w:rFonts w:ascii="Times New Roman" w:hAnsi="Times New Roman" w:cs="Times New Roman"/>
          <w:sz w:val="21"/>
          <w:szCs w:val="21"/>
        </w:rPr>
        <w:t xml:space="preserve"> зростанням віддачі від раніше вкладених інвестицій, що проявляється в зростанні продуктивності праці, у відсутності гострих трудових конфліктів, в стабільному функціонуванні виробнич</w:t>
      </w:r>
      <w:r>
        <w:rPr>
          <w:rFonts w:ascii="Times New Roman" w:hAnsi="Times New Roman" w:cs="Times New Roman"/>
          <w:sz w:val="21"/>
          <w:szCs w:val="21"/>
        </w:rPr>
        <w:t>ої</w:t>
      </w:r>
      <w:r w:rsidRPr="008979AA">
        <w:rPr>
          <w:rFonts w:ascii="Times New Roman" w:hAnsi="Times New Roman" w:cs="Times New Roman"/>
          <w:sz w:val="21"/>
          <w:szCs w:val="21"/>
        </w:rPr>
        <w:t xml:space="preserve"> системи і в зниженні плинності кадрів. Якщо витрати на підтримку соціальних контактів перевищують вигоду від їх використання, то підприємства шукають способи залучення ресурсів на іншій основі.</w:t>
      </w:r>
    </w:p>
    <w:p w:rsidR="00B233DE" w:rsidRPr="008979AA"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Безліч соціальних зв’язків не обов’</w:t>
      </w:r>
      <w:r w:rsidRPr="008979AA">
        <w:rPr>
          <w:rFonts w:ascii="Times New Roman" w:hAnsi="Times New Roman" w:cs="Times New Roman"/>
          <w:sz w:val="21"/>
          <w:szCs w:val="21"/>
        </w:rPr>
        <w:t>язково переростає в соціальний капітал</w:t>
      </w:r>
      <w:r>
        <w:rPr>
          <w:rFonts w:ascii="Times New Roman" w:hAnsi="Times New Roman" w:cs="Times New Roman"/>
          <w:sz w:val="21"/>
          <w:szCs w:val="21"/>
        </w:rPr>
        <w:t>, а</w:t>
      </w:r>
      <w:r w:rsidRPr="008979AA">
        <w:rPr>
          <w:rFonts w:ascii="Times New Roman" w:hAnsi="Times New Roman" w:cs="Times New Roman"/>
          <w:sz w:val="21"/>
          <w:szCs w:val="21"/>
        </w:rPr>
        <w:t xml:space="preserve"> тільки тоді, </w:t>
      </w:r>
      <w:r>
        <w:rPr>
          <w:rFonts w:ascii="Times New Roman" w:hAnsi="Times New Roman" w:cs="Times New Roman"/>
          <w:sz w:val="21"/>
          <w:szCs w:val="21"/>
        </w:rPr>
        <w:t>коли ці зв’</w:t>
      </w:r>
      <w:r w:rsidRPr="008979AA">
        <w:rPr>
          <w:rFonts w:ascii="Times New Roman" w:hAnsi="Times New Roman" w:cs="Times New Roman"/>
          <w:sz w:val="21"/>
          <w:szCs w:val="21"/>
        </w:rPr>
        <w:t xml:space="preserve">язки допомагають досягти певної мети. Соціальна мережа і соціальний капітал </w:t>
      </w:r>
      <w:r>
        <w:rPr>
          <w:rFonts w:ascii="Times New Roman" w:hAnsi="Times New Roman" w:cs="Times New Roman"/>
          <w:sz w:val="21"/>
          <w:szCs w:val="21"/>
        </w:rPr>
        <w:t>–</w:t>
      </w:r>
      <w:r w:rsidRPr="008979AA">
        <w:rPr>
          <w:rFonts w:ascii="Times New Roman" w:hAnsi="Times New Roman" w:cs="Times New Roman"/>
          <w:sz w:val="21"/>
          <w:szCs w:val="21"/>
        </w:rPr>
        <w:t xml:space="preserve"> різні речі. Соціальна мережа є елементом соціального к</w:t>
      </w:r>
      <w:r>
        <w:rPr>
          <w:rFonts w:ascii="Times New Roman" w:hAnsi="Times New Roman" w:cs="Times New Roman"/>
          <w:sz w:val="21"/>
          <w:szCs w:val="21"/>
        </w:rPr>
        <w:t>апіталу, якщо його соціальні зв’</w:t>
      </w:r>
      <w:r w:rsidRPr="008979AA">
        <w:rPr>
          <w:rFonts w:ascii="Times New Roman" w:hAnsi="Times New Roman" w:cs="Times New Roman"/>
          <w:sz w:val="21"/>
          <w:szCs w:val="21"/>
        </w:rPr>
        <w:t>язки корисні. Економічний агент повинен усвідомити, що він користується соціальним капіталом. Соціальна структура, до якої належить особа, може надати певні переваги, навіть якщо воно цього не усвідомлює. Не використані доцільно переваги соціальних структур не створюють соціального капіталу.</w:t>
      </w:r>
    </w:p>
    <w:p w:rsidR="00B233DE" w:rsidRPr="008D0836"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lastRenderedPageBreak/>
        <w:t xml:space="preserve">На мікрорівні відтворення соціального капіталу реалізується здатність соціальних мереж накопичувати і розподіляти ресурси і цінності, збільшувати ефективність колективної діяльності учасників соціальної мережі і є ресурсом соціальних стосунків, що дозволяє індивідам взаємодіяти з більшою результативністю в порівнянні з результативністю індивідуальних зусиль поза системою довірчих внутрішньогрупових стосунків. Відтворення соціального капіталу на макрорівні, полягає в узгодженні і координації індивідуальних і громадських інтересів за допомогою вироблених суспільством норм і цінностей у напрямі досягнення економікою громадського </w:t>
      </w:r>
      <w:r w:rsidRPr="008D0836">
        <w:rPr>
          <w:rFonts w:ascii="Times New Roman" w:hAnsi="Times New Roman" w:cs="Times New Roman"/>
          <w:sz w:val="21"/>
          <w:szCs w:val="21"/>
        </w:rPr>
        <w:t>оптимуму і підвищення соціального добробуту.</w:t>
      </w:r>
    </w:p>
    <w:p w:rsidR="00B233DE" w:rsidRPr="007D08AA" w:rsidRDefault="00B233DE" w:rsidP="00B233DE">
      <w:pPr>
        <w:ind w:firstLine="709"/>
        <w:jc w:val="both"/>
        <w:rPr>
          <w:rFonts w:ascii="Times New Roman" w:hAnsi="Times New Roman" w:cs="Times New Roman"/>
          <w:sz w:val="21"/>
          <w:szCs w:val="21"/>
        </w:rPr>
      </w:pPr>
      <w:r w:rsidRPr="008D0836">
        <w:rPr>
          <w:rFonts w:ascii="Times New Roman" w:hAnsi="Times New Roman" w:cs="Times New Roman"/>
          <w:sz w:val="21"/>
          <w:szCs w:val="21"/>
        </w:rPr>
        <w:t>Усі суспільства мають деякий запас соціального капіталу, але вони розрізняються мірою довіри, рівнем поширення певних нор</w:t>
      </w:r>
      <w:r>
        <w:rPr>
          <w:rFonts w:ascii="Times New Roman" w:hAnsi="Times New Roman" w:cs="Times New Roman"/>
          <w:sz w:val="21"/>
          <w:szCs w:val="21"/>
        </w:rPr>
        <w:t>м співпраці на групи різного об’</w:t>
      </w:r>
      <w:r w:rsidRPr="008D0836">
        <w:rPr>
          <w:rFonts w:ascii="Times New Roman" w:hAnsi="Times New Roman" w:cs="Times New Roman"/>
          <w:sz w:val="21"/>
          <w:szCs w:val="21"/>
        </w:rPr>
        <w:t>єму і на усе суспільство в цілому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_Ref435619725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135</w:t>
      </w:r>
      <w:r>
        <w:rPr>
          <w:rFonts w:ascii="Times New Roman" w:hAnsi="Times New Roman" w:cs="Times New Roman"/>
          <w:sz w:val="21"/>
          <w:szCs w:val="21"/>
          <w:highlight w:val="yellow"/>
        </w:rPr>
        <w:fldChar w:fldCharType="end"/>
      </w:r>
      <w:r w:rsidRPr="008D0836">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_Ref435619732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126</w:t>
      </w:r>
      <w:r>
        <w:rPr>
          <w:rFonts w:ascii="Times New Roman" w:hAnsi="Times New Roman" w:cs="Times New Roman"/>
          <w:sz w:val="21"/>
          <w:szCs w:val="21"/>
          <w:highlight w:val="yellow"/>
        </w:rPr>
        <w:fldChar w:fldCharType="end"/>
      </w:r>
      <w:r w:rsidRPr="007D08AA">
        <w:rPr>
          <w:rFonts w:ascii="Times New Roman" w:hAnsi="Times New Roman" w:cs="Times New Roman"/>
          <w:sz w:val="21"/>
          <w:szCs w:val="21"/>
        </w:rPr>
        <w:t>].</w:t>
      </w:r>
    </w:p>
    <w:p w:rsidR="00B233DE" w:rsidRPr="008D0836" w:rsidRDefault="00B233DE" w:rsidP="00B233DE">
      <w:pPr>
        <w:ind w:firstLine="709"/>
        <w:jc w:val="both"/>
        <w:rPr>
          <w:rFonts w:ascii="Times New Roman" w:hAnsi="Times New Roman" w:cs="Times New Roman"/>
          <w:sz w:val="21"/>
          <w:szCs w:val="21"/>
        </w:rPr>
      </w:pPr>
      <w:r w:rsidRPr="008D0836">
        <w:rPr>
          <w:rFonts w:ascii="Times New Roman" w:hAnsi="Times New Roman" w:cs="Times New Roman"/>
          <w:sz w:val="21"/>
          <w:szCs w:val="21"/>
        </w:rPr>
        <w:t>Постіндустріальне інформаційне суспільство відрізняється стійким попитом на соціальний капітал, тому його не можна вважати виключно громадським надбанням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_Ref435619744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93</w:t>
      </w:r>
      <w:r>
        <w:rPr>
          <w:rFonts w:ascii="Times New Roman" w:hAnsi="Times New Roman" w:cs="Times New Roman"/>
          <w:sz w:val="21"/>
          <w:szCs w:val="21"/>
          <w:highlight w:val="yellow"/>
        </w:rPr>
        <w:fldChar w:fldCharType="end"/>
      </w:r>
      <w:r w:rsidRPr="007D08AA">
        <w:rPr>
          <w:rFonts w:ascii="Times New Roman" w:hAnsi="Times New Roman" w:cs="Times New Roman"/>
          <w:sz w:val="21"/>
          <w:szCs w:val="21"/>
        </w:rPr>
        <w:t>,</w:t>
      </w:r>
      <w:r w:rsidRPr="008D0836">
        <w:rPr>
          <w:rFonts w:ascii="Times New Roman" w:hAnsi="Times New Roman" w:cs="Times New Roman"/>
          <w:sz w:val="21"/>
          <w:szCs w:val="21"/>
        </w:rPr>
        <w:t xml:space="preserve"> с. 13]. У цьому сенсі треба розглядати соціальний капітал на індивідуальному, мікро- і макрорівні, оскільки формування і відтворення його на кожному з них своєрідні.</w:t>
      </w:r>
    </w:p>
    <w:p w:rsidR="00B233DE" w:rsidRPr="008979AA" w:rsidRDefault="00B233DE" w:rsidP="00B233DE">
      <w:pPr>
        <w:ind w:firstLine="709"/>
        <w:jc w:val="both"/>
        <w:rPr>
          <w:rFonts w:ascii="Times New Roman" w:hAnsi="Times New Roman" w:cs="Times New Roman"/>
          <w:sz w:val="21"/>
          <w:szCs w:val="21"/>
        </w:rPr>
      </w:pPr>
      <w:r w:rsidRPr="008D0836">
        <w:rPr>
          <w:rFonts w:ascii="Times New Roman" w:hAnsi="Times New Roman" w:cs="Times New Roman"/>
          <w:sz w:val="21"/>
          <w:szCs w:val="21"/>
        </w:rPr>
        <w:t>На індивідуальному рівні відтворення соціального капіталу реалізується здатність соціальних мереж накопичувати і розподіляти ресурси і цінності між економічними агентами, учасниками соціальної мережі. Індивідуальний рівень визначається принципом економічної раціональності відносно застосуванн</w:t>
      </w:r>
      <w:r>
        <w:rPr>
          <w:rFonts w:ascii="Times New Roman" w:hAnsi="Times New Roman" w:cs="Times New Roman"/>
          <w:sz w:val="21"/>
          <w:szCs w:val="21"/>
        </w:rPr>
        <w:t>я соціальних норм і правил. Суб’</w:t>
      </w:r>
      <w:r w:rsidRPr="008D0836">
        <w:rPr>
          <w:rFonts w:ascii="Times New Roman" w:hAnsi="Times New Roman" w:cs="Times New Roman"/>
          <w:sz w:val="21"/>
          <w:szCs w:val="21"/>
        </w:rPr>
        <w:t>єкт діє раціонально, якщо він</w:t>
      </w:r>
      <w:r>
        <w:rPr>
          <w:rFonts w:ascii="Times New Roman" w:hAnsi="Times New Roman" w:cs="Times New Roman"/>
          <w:sz w:val="21"/>
          <w:szCs w:val="21"/>
        </w:rPr>
        <w:t xml:space="preserve"> вже на стадії формування</w:t>
      </w:r>
      <w:r w:rsidRPr="008979AA">
        <w:rPr>
          <w:rFonts w:ascii="Times New Roman" w:hAnsi="Times New Roman" w:cs="Times New Roman"/>
          <w:sz w:val="21"/>
          <w:szCs w:val="21"/>
        </w:rPr>
        <w:t xml:space="preserve"> інтересів включає у свій власний інтерес громадські переваги. Інакше розбіжність приватного і загального інтересу не дозволить йому максимізувати функцію індивідуального добробуту, оскільки нескоординовані дії індивідів в умовах недосконалого ринку призводитимуть до наростання взаємних збитків і втрат в індивідуальному добробуті. І чим дії індивідів менш орієнтовані на типові, прийняті в суспільстві етичні стереотипи поведінки і чим більше вони випадкові, тим більше вірогідності негативних зовнішніх ефектів. Зрозуміло, що, з іншого боку, можливості формування соціального капіталу обмежені соціальними ресурсами особи, тобто закладеним в людині </w:t>
      </w:r>
      <w:r w:rsidRPr="008979AA">
        <w:rPr>
          <w:rFonts w:ascii="Times New Roman" w:hAnsi="Times New Roman" w:cs="Times New Roman"/>
          <w:sz w:val="21"/>
          <w:szCs w:val="21"/>
        </w:rPr>
        <w:lastRenderedPageBreak/>
        <w:t>потенціалом соціальної взаємодії, його включенням в певне соціальне середовище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_Ref435619752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124</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_Ref435619760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79</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Як вважає П. Бурдье, соціальний капітал залежить від походження індивіда, його приналежності до тієї або іншої соціальної групи, рівня матеріальних можливостей, розмірів грошового багатства і так далі. Тут велику роль грає освіта, що забезпечує певну міру соціальної капіталізації. Освіта дає не лише знання і уміння, що становлять основу інтелектуального капіталу, але і певний престиж в суспільстві, причому тим більший, чим більший соціальний капітал має відповідна освітня установа. Таким чином, розмір соціального кап</w:t>
      </w:r>
      <w:r>
        <w:rPr>
          <w:rFonts w:ascii="Times New Roman" w:hAnsi="Times New Roman" w:cs="Times New Roman"/>
          <w:sz w:val="21"/>
          <w:szCs w:val="21"/>
        </w:rPr>
        <w:t>італу індивіда визначається як «зовнішніми»</w:t>
      </w:r>
      <w:r w:rsidRPr="008979AA">
        <w:rPr>
          <w:rFonts w:ascii="Times New Roman" w:hAnsi="Times New Roman" w:cs="Times New Roman"/>
          <w:sz w:val="21"/>
          <w:szCs w:val="21"/>
        </w:rPr>
        <w:t xml:space="preserve"> витратами,</w:t>
      </w:r>
      <w:r>
        <w:rPr>
          <w:rFonts w:ascii="Times New Roman" w:hAnsi="Times New Roman" w:cs="Times New Roman"/>
          <w:sz w:val="21"/>
          <w:szCs w:val="21"/>
        </w:rPr>
        <w:t xml:space="preserve"> так і «внутрішніми» витратами, пов’</w:t>
      </w:r>
      <w:r w:rsidRPr="008979AA">
        <w:rPr>
          <w:rFonts w:ascii="Times New Roman" w:hAnsi="Times New Roman" w:cs="Times New Roman"/>
          <w:sz w:val="21"/>
          <w:szCs w:val="21"/>
        </w:rPr>
        <w:t xml:space="preserve">язаними з особливостями людини. Зовнішні витрати </w:t>
      </w:r>
      <w:r>
        <w:rPr>
          <w:rFonts w:ascii="Times New Roman" w:hAnsi="Times New Roman" w:cs="Times New Roman"/>
          <w:sz w:val="21"/>
          <w:szCs w:val="21"/>
        </w:rPr>
        <w:t>–</w:t>
      </w:r>
      <w:r w:rsidRPr="008979AA">
        <w:rPr>
          <w:rFonts w:ascii="Times New Roman" w:hAnsi="Times New Roman" w:cs="Times New Roman"/>
          <w:sz w:val="21"/>
          <w:szCs w:val="21"/>
        </w:rPr>
        <w:t xml:space="preserve"> це, наприклад, плата за здобуття престижної освіти, внутрішні витрати визначаються індивідуальними здібностями до навчання, комунікабельністю і іншими властивостями людського характеру. З позиції інтересів індивідуального агента соціальний капітал є</w:t>
      </w:r>
      <w:r>
        <w:rPr>
          <w:rFonts w:ascii="Times New Roman" w:hAnsi="Times New Roman" w:cs="Times New Roman"/>
          <w:sz w:val="21"/>
          <w:szCs w:val="21"/>
        </w:rPr>
        <w:t xml:space="preserve"> потенціалом його соціальних зв’</w:t>
      </w:r>
      <w:r w:rsidRPr="008979AA">
        <w:rPr>
          <w:rFonts w:ascii="Times New Roman" w:hAnsi="Times New Roman" w:cs="Times New Roman"/>
          <w:sz w:val="21"/>
          <w:szCs w:val="21"/>
        </w:rPr>
        <w:t>язків, який може бути активіз</w:t>
      </w:r>
      <w:r>
        <w:rPr>
          <w:rFonts w:ascii="Times New Roman" w:hAnsi="Times New Roman" w:cs="Times New Roman"/>
          <w:sz w:val="21"/>
          <w:szCs w:val="21"/>
        </w:rPr>
        <w:t>ований</w:t>
      </w:r>
      <w:r w:rsidRPr="008979AA">
        <w:rPr>
          <w:rFonts w:ascii="Times New Roman" w:hAnsi="Times New Roman" w:cs="Times New Roman"/>
          <w:sz w:val="21"/>
          <w:szCs w:val="21"/>
        </w:rPr>
        <w:t xml:space="preserve"> для досягнення</w:t>
      </w:r>
      <w:r>
        <w:rPr>
          <w:rFonts w:ascii="Times New Roman" w:hAnsi="Times New Roman" w:cs="Times New Roman"/>
          <w:sz w:val="21"/>
          <w:szCs w:val="21"/>
        </w:rPr>
        <w:t xml:space="preserve"> тих або інших особистих цілей</w:t>
      </w:r>
      <w:r w:rsidRPr="008979AA">
        <w:rPr>
          <w:rFonts w:ascii="Times New Roman" w:hAnsi="Times New Roman" w:cs="Times New Roman"/>
          <w:sz w:val="21"/>
          <w:szCs w:val="21"/>
        </w:rPr>
        <w:t>.</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 xml:space="preserve">Мікрорівень відтворення соціального капіталу визначається спільною діяльністю людей у рамках окремої фірми, підприємства, громадської організації і так далі. На мікрорівні соціалізація є подвійним процесом, спрямованим, з одного боку, на балансування інтересів усередині організованої групи, а, з іншого боку, на </w:t>
      </w:r>
      <w:r>
        <w:rPr>
          <w:rFonts w:ascii="Times New Roman" w:hAnsi="Times New Roman" w:cs="Times New Roman"/>
          <w:sz w:val="21"/>
          <w:szCs w:val="21"/>
        </w:rPr>
        <w:t>координацію інтересів і дій суб’</w:t>
      </w:r>
      <w:r w:rsidRPr="008979AA">
        <w:rPr>
          <w:rFonts w:ascii="Times New Roman" w:hAnsi="Times New Roman" w:cs="Times New Roman"/>
          <w:sz w:val="21"/>
          <w:szCs w:val="21"/>
        </w:rPr>
        <w:t>єктів економічних стосунків поза організацією. У першому випадку, соціалізація заснована на визнанні і дотриманні індивідами сукупності організаційних норм, правил, цінностей, які структурують економічні стосунки усередині певної групи, і дозволяють балансувати взаємно суперечливі з точки зору економічної і соціальної ефективності інтереси її членів. «Група, усередині якої існує повна надійність і абсолютна довіра, - вважає Дж. Коулман, - здатна вчинити набагато більше в порівнянні з групою, що не має цих якостей»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_Ref435619770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52</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с. 126]. У другому випадку, соціалізація заснована на системі явних і неявних правил та норм, які упорядковують стосунки органі</w:t>
      </w:r>
      <w:r>
        <w:rPr>
          <w:rFonts w:ascii="Times New Roman" w:hAnsi="Times New Roman" w:cs="Times New Roman"/>
          <w:sz w:val="21"/>
          <w:szCs w:val="21"/>
        </w:rPr>
        <w:t>зації з іншими економічними суб’</w:t>
      </w:r>
      <w:r w:rsidRPr="008979AA">
        <w:rPr>
          <w:rFonts w:ascii="Times New Roman" w:hAnsi="Times New Roman" w:cs="Times New Roman"/>
          <w:sz w:val="21"/>
          <w:szCs w:val="21"/>
        </w:rPr>
        <w:t>єктами в створеній ними соціальній і діловій мережі. Це сприяє координації інтересів учасників мережі і досягненню ними взаємовигідних результатів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_Ref435619776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28</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lastRenderedPageBreak/>
        <w:t>Стосовно</w:t>
      </w:r>
      <w:r>
        <w:rPr>
          <w:rFonts w:ascii="Times New Roman" w:hAnsi="Times New Roman" w:cs="Times New Roman"/>
          <w:sz w:val="21"/>
          <w:szCs w:val="21"/>
        </w:rPr>
        <w:t xml:space="preserve"> бізнесу, соціальні і ділові зв’</w:t>
      </w:r>
      <w:r w:rsidRPr="008979AA">
        <w:rPr>
          <w:rFonts w:ascii="Times New Roman" w:hAnsi="Times New Roman" w:cs="Times New Roman"/>
          <w:sz w:val="21"/>
          <w:szCs w:val="21"/>
        </w:rPr>
        <w:t>язки можуть, скорочуючи витрати, збільшити продуктивність. Прозорість бізнесу і упевненість в тому, що ти можеш довіряти партнерам, співробітникам, чиновникам і державі завжди дешевше і вигідніше. Якщо члени будь-якої групи розраховуватимуть на те, що інші поводитимуться відповідно до загальних цінностей і норм, вони зможуть довіряти один одному, а довіра здатна зробити роботу будь-якої організації ефективнішої.</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В умовах наростаючої конкуренції прибуток не є економічною метою підприємця, кожен підприємець д</w:t>
      </w:r>
      <w:r>
        <w:rPr>
          <w:rFonts w:ascii="Times New Roman" w:hAnsi="Times New Roman" w:cs="Times New Roman"/>
          <w:sz w:val="21"/>
          <w:szCs w:val="21"/>
        </w:rPr>
        <w:t>обре розуміє, що фірма залежить,</w:t>
      </w:r>
      <w:r w:rsidRPr="008979AA">
        <w:rPr>
          <w:rFonts w:ascii="Times New Roman" w:hAnsi="Times New Roman" w:cs="Times New Roman"/>
          <w:sz w:val="21"/>
          <w:szCs w:val="21"/>
        </w:rPr>
        <w:t xml:space="preserve"> з одного боку</w:t>
      </w:r>
      <w:r>
        <w:rPr>
          <w:rFonts w:ascii="Times New Roman" w:hAnsi="Times New Roman" w:cs="Times New Roman"/>
          <w:sz w:val="21"/>
          <w:szCs w:val="21"/>
        </w:rPr>
        <w:t>,</w:t>
      </w:r>
      <w:r w:rsidRPr="008979AA">
        <w:rPr>
          <w:rFonts w:ascii="Times New Roman" w:hAnsi="Times New Roman" w:cs="Times New Roman"/>
          <w:sz w:val="21"/>
          <w:szCs w:val="21"/>
        </w:rPr>
        <w:t xml:space="preserve"> від тієї позиції, яку вона займає на конкурентному ринку, зміцнюючи ці позиції, підприємство створює тим самим собі перспективи стабільного і безперешкодного витягання прибутку. У свою чергу</w:t>
      </w:r>
      <w:r>
        <w:rPr>
          <w:rFonts w:ascii="Times New Roman" w:hAnsi="Times New Roman" w:cs="Times New Roman"/>
          <w:sz w:val="21"/>
          <w:szCs w:val="21"/>
        </w:rPr>
        <w:t>,</w:t>
      </w:r>
      <w:r w:rsidRPr="008979AA">
        <w:rPr>
          <w:rFonts w:ascii="Times New Roman" w:hAnsi="Times New Roman" w:cs="Times New Roman"/>
          <w:sz w:val="21"/>
          <w:szCs w:val="21"/>
        </w:rPr>
        <w:t xml:space="preserve"> цей процес за</w:t>
      </w:r>
      <w:r>
        <w:rPr>
          <w:rFonts w:ascii="Times New Roman" w:hAnsi="Times New Roman" w:cs="Times New Roman"/>
          <w:sz w:val="21"/>
          <w:szCs w:val="21"/>
        </w:rPr>
        <w:t>лежить від тих зв’</w:t>
      </w:r>
      <w:r w:rsidRPr="008979AA">
        <w:rPr>
          <w:rFonts w:ascii="Times New Roman" w:hAnsi="Times New Roman" w:cs="Times New Roman"/>
          <w:sz w:val="21"/>
          <w:szCs w:val="21"/>
        </w:rPr>
        <w:t>язків і стосунків, які складаються між цим підприємцем і постачальниками ресурсів, між ним і продавцям</w:t>
      </w:r>
      <w:r>
        <w:rPr>
          <w:rFonts w:ascii="Times New Roman" w:hAnsi="Times New Roman" w:cs="Times New Roman"/>
          <w:sz w:val="21"/>
          <w:szCs w:val="21"/>
        </w:rPr>
        <w:t>и його товарів і послуг.</w:t>
      </w:r>
      <w:r w:rsidRPr="008979AA">
        <w:rPr>
          <w:rFonts w:ascii="Times New Roman" w:hAnsi="Times New Roman" w:cs="Times New Roman"/>
          <w:sz w:val="21"/>
          <w:szCs w:val="21"/>
        </w:rPr>
        <w:t xml:space="preserve"> </w:t>
      </w:r>
      <w:r>
        <w:rPr>
          <w:rFonts w:ascii="Times New Roman" w:hAnsi="Times New Roman" w:cs="Times New Roman"/>
          <w:sz w:val="21"/>
          <w:szCs w:val="21"/>
        </w:rPr>
        <w:t>З</w:t>
      </w:r>
      <w:r w:rsidRPr="008979AA">
        <w:rPr>
          <w:rFonts w:ascii="Times New Roman" w:hAnsi="Times New Roman" w:cs="Times New Roman"/>
          <w:sz w:val="21"/>
          <w:szCs w:val="21"/>
        </w:rPr>
        <w:t xml:space="preserve"> іншого боку </w:t>
      </w:r>
      <w:r>
        <w:rPr>
          <w:rFonts w:ascii="Times New Roman" w:hAnsi="Times New Roman" w:cs="Times New Roman"/>
          <w:sz w:val="21"/>
          <w:szCs w:val="21"/>
        </w:rPr>
        <w:t xml:space="preserve">– </w:t>
      </w:r>
      <w:r w:rsidRPr="008979AA">
        <w:rPr>
          <w:rFonts w:ascii="Times New Roman" w:hAnsi="Times New Roman" w:cs="Times New Roman"/>
          <w:sz w:val="21"/>
          <w:szCs w:val="21"/>
        </w:rPr>
        <w:t>від іміджу, від міцності позицій на ринку тієї фірми, яку цей підприємець очолює. Імідж фірми також залежить від того, наскільки він склався в цьому колективі. Таким чином, кожен підприємець ставить розвиток підприємства і міжособисті стосунки, що складаються в ньому, на довірливій основі вище, ніж поточне витягання прибутку. Він використовує перевагу соціального капіталу у своїх цілях, не протиставляючи їх цілям виробничого колективу, і розглядає їх як взаємодоповнюючий початок.</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З позиції інтересів колективних економічних агентів (груп, спільностей), соціальний капітал є ресурсом соціальних стосунків, що дозволяє індивідам взаємодіяти з більшою результативністю в порівнянні з результативністю індивідуальних зусиль поза системою довірчих внутрішньогрупових стосунків. Соціальний капітал дозволяє діставати доступ до різноманітних цінностей</w:t>
      </w:r>
      <w:r>
        <w:rPr>
          <w:rFonts w:ascii="Times New Roman" w:hAnsi="Times New Roman" w:cs="Times New Roman"/>
          <w:sz w:val="21"/>
          <w:szCs w:val="21"/>
        </w:rPr>
        <w:t xml:space="preserve"> усім учасникам таких груп, пов’</w:t>
      </w:r>
      <w:r w:rsidRPr="008979AA">
        <w:rPr>
          <w:rFonts w:ascii="Times New Roman" w:hAnsi="Times New Roman" w:cs="Times New Roman"/>
          <w:sz w:val="21"/>
          <w:szCs w:val="21"/>
        </w:rPr>
        <w:t>язаних стосунками довіри і взаємності, незалежно від розміру особистого вкладу кожного учасника в створення і підтримку цих стосунків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_Ref435619788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84</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_Ref435619795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55</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xml:space="preserve">]. На основі гнучких угод і субконтрактів вони спільно використовують велику спеціальну інформацію про стан ринку, технологій, доступності працівників потрібної кваліфікації, а також комунікаційну і соціальну інфраструктуру. Реалізація перерахованих умов на порівнянному рівні не доступна для окремо взятої, навіть великої </w:t>
      </w:r>
      <w:r w:rsidRPr="008979AA">
        <w:rPr>
          <w:rFonts w:ascii="Times New Roman" w:hAnsi="Times New Roman" w:cs="Times New Roman"/>
          <w:sz w:val="21"/>
          <w:szCs w:val="21"/>
        </w:rPr>
        <w:lastRenderedPageBreak/>
        <w:t>фірми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_Ref435619801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27</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xml:space="preserve">]. У цій ситуації опортуністична поведінка перестає бути вигідною для фірми, оскільки в цьому випадку вона ризикує піддатися остракізму і втратити очевидні переваги, що надаються </w:t>
      </w:r>
      <w:r w:rsidRPr="006E771B">
        <w:rPr>
          <w:rFonts w:ascii="Times New Roman" w:hAnsi="Times New Roman" w:cs="Times New Roman"/>
          <w:sz w:val="21"/>
          <w:szCs w:val="21"/>
        </w:rPr>
        <w:t>кооперацією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_Ref435619713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151</w:t>
      </w:r>
      <w:r>
        <w:rPr>
          <w:rFonts w:ascii="Times New Roman" w:hAnsi="Times New Roman" w:cs="Times New Roman"/>
          <w:sz w:val="21"/>
          <w:szCs w:val="21"/>
          <w:highlight w:val="yellow"/>
        </w:rPr>
        <w:fldChar w:fldCharType="end"/>
      </w:r>
      <w:r w:rsidRPr="006E771B">
        <w:rPr>
          <w:rFonts w:ascii="Times New Roman" w:hAnsi="Times New Roman" w:cs="Times New Roman"/>
          <w:sz w:val="21"/>
          <w:szCs w:val="21"/>
        </w:rPr>
        <w:t>, с. 61–89]. Тому формування міжфірмового соціального капіталу стає</w:t>
      </w:r>
      <w:r w:rsidRPr="008979AA">
        <w:rPr>
          <w:rFonts w:ascii="Times New Roman" w:hAnsi="Times New Roman" w:cs="Times New Roman"/>
          <w:sz w:val="21"/>
          <w:szCs w:val="21"/>
        </w:rPr>
        <w:t xml:space="preserve"> потужнішим чинником інноваційного процесу, чим ринкова конкуренція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_Ref435619360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103</w:t>
      </w:r>
      <w:r>
        <w:rPr>
          <w:rFonts w:ascii="Times New Roman" w:hAnsi="Times New Roman" w:cs="Times New Roman"/>
          <w:sz w:val="21"/>
          <w:szCs w:val="21"/>
          <w:highlight w:val="yellow"/>
        </w:rPr>
        <w:fldChar w:fldCharType="end"/>
      </w:r>
      <w:r>
        <w:rPr>
          <w:rFonts w:ascii="Times New Roman" w:hAnsi="Times New Roman" w:cs="Times New Roman"/>
          <w:sz w:val="21"/>
          <w:szCs w:val="21"/>
        </w:rPr>
        <w:t>, с. 19</w:t>
      </w:r>
      <w:r w:rsidRPr="008979AA">
        <w:rPr>
          <w:rFonts w:ascii="Times New Roman" w:hAnsi="Times New Roman" w:cs="Times New Roman"/>
          <w:sz w:val="21"/>
          <w:szCs w:val="21"/>
        </w:rPr>
        <w:t>].</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Проте потрібно відмітити, що соціальний капітал локальних груп, якщо він н</w:t>
      </w:r>
      <w:r>
        <w:rPr>
          <w:rFonts w:ascii="Times New Roman" w:hAnsi="Times New Roman" w:cs="Times New Roman"/>
          <w:sz w:val="21"/>
          <w:szCs w:val="21"/>
        </w:rPr>
        <w:t>е підкріплюється соціальними зв’</w:t>
      </w:r>
      <w:r w:rsidRPr="008979AA">
        <w:rPr>
          <w:rFonts w:ascii="Times New Roman" w:hAnsi="Times New Roman" w:cs="Times New Roman"/>
          <w:sz w:val="21"/>
          <w:szCs w:val="21"/>
        </w:rPr>
        <w:t>язками між локальними співтовариствами і державними інститутами, веде до переважання групової замкнутості, знижує громадську довіру на міжгруповому рівні.</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Вирішенню цієї проблеми сприяє відтворення соціального капіталу на макрорівні, яке полягає в узгодженні та координації індивідуальних і громадських інтересів за допомогою вироблених суспільством норм і цінностей у напрямі досягнення економікою громадського оптимуму і підвищення соціального добробуту. Воно враховує доступ населення до основних громадських благ (до освіти, медицини, зайнятості, культурних досягнень), соціальну справедливість в розподілі, міру довіри в суспільстві. Тому для досягнення громадського оптимуму, в якому поєднуються критерії ефективності та справедливості, необхідно, щоб індивідуальні і громадські переваги та інтереси у сфері розподілу були погоджені. Розбіжності інтересів призводять до прагнення індивідів змінити своє положення (добробут) за допомогою перерозподілу доходів, що супроводжується наростанням соціальної напруженості і нестійкістю системи економічних стосунків. Основою ефективності соціального капіталу на макрорівні є міцний соціальний порядок. Він виступає як результат довіри до соціальних інститутів і, передусім, до інституту державної влади. З іншого боку, здатність різних соціальних груп та окремих індивідів діяти у своїх інтересах докорінно залежить від підтримки (чи відсутності такої), яку вони отримують від держави. Тому роль держави полягає в тому, що вона, передусім, повинна створювати необхідні економічні умови для розширеного відтворення соціального капіталу на будь-якому рівні.</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 xml:space="preserve">Економічні, політичні, культурні досягнення не можуть бути результатом виключно індивідуальних зусиль, вони існують тільки в контексті соціуму. Тому ключовою характеристикою для адекватної оцінки результатів і можливостей стійкого розвитку </w:t>
      </w:r>
      <w:r w:rsidRPr="008979AA">
        <w:rPr>
          <w:rFonts w:ascii="Times New Roman" w:hAnsi="Times New Roman" w:cs="Times New Roman"/>
          <w:sz w:val="21"/>
          <w:szCs w:val="21"/>
        </w:rPr>
        <w:lastRenderedPageBreak/>
        <w:t>країни, корпорації або співтовариства стає рівень соціального капіталу.</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Як відмічає Ф. Фукуяма, стан соціального капіталу в конкретному суспільстві має серйозні наслідки для того, до якого роду облаштування економіки воно прийде в результаті індустріалізації. Якщо люди, працюючі разом в одній компанії, довіряють один одному в силу спільності своїх етичних норм, витрачання виробництва буде менше. Суспільство, де це відбувається, має більше можливостей впроваджувати нові форми організації, оскільки високий рівень довіри дозволяє виникати найрізноманітнішим типам соціальних контактів. Здатність компаній до переходу від великої ієрархічної структури до гнучкої мережі дрібних фірм залежатиме від міри довіри і соціального капіталу, характерного для суспільства в цілому. «Суспільство з низьким рівнем довіри може так і ніколи і не виграти від перспектив, що відкриваються інформаційними технологіями»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_Ref435619826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136</w:t>
      </w:r>
      <w:r>
        <w:rPr>
          <w:rFonts w:ascii="Times New Roman" w:hAnsi="Times New Roman" w:cs="Times New Roman"/>
          <w:sz w:val="21"/>
          <w:szCs w:val="21"/>
          <w:highlight w:val="yellow"/>
        </w:rPr>
        <w:fldChar w:fldCharType="end"/>
      </w:r>
      <w:r w:rsidRPr="008979AA">
        <w:rPr>
          <w:rFonts w:ascii="Times New Roman" w:hAnsi="Times New Roman" w:cs="Times New Roman"/>
          <w:sz w:val="21"/>
          <w:szCs w:val="21"/>
        </w:rPr>
        <w:t>, с.</w:t>
      </w:r>
      <w:r>
        <w:rPr>
          <w:rFonts w:ascii="Times New Roman" w:hAnsi="Times New Roman" w:cs="Times New Roman"/>
          <w:sz w:val="21"/>
          <w:szCs w:val="21"/>
        </w:rPr>
        <w:t xml:space="preserve"> </w:t>
      </w:r>
      <w:r w:rsidRPr="008979AA">
        <w:rPr>
          <w:rFonts w:ascii="Times New Roman" w:hAnsi="Times New Roman" w:cs="Times New Roman"/>
          <w:sz w:val="21"/>
          <w:szCs w:val="21"/>
        </w:rPr>
        <w:t>53].</w:t>
      </w:r>
    </w:p>
    <w:p w:rsidR="00B233DE" w:rsidRPr="008979AA" w:rsidRDefault="00B233DE" w:rsidP="00B233DE">
      <w:pPr>
        <w:ind w:firstLine="709"/>
        <w:jc w:val="both"/>
        <w:rPr>
          <w:rFonts w:ascii="Times New Roman" w:hAnsi="Times New Roman" w:cs="Times New Roman"/>
          <w:sz w:val="21"/>
          <w:szCs w:val="21"/>
        </w:rPr>
      </w:pPr>
      <w:r w:rsidRPr="008979AA">
        <w:rPr>
          <w:rFonts w:ascii="Times New Roman" w:hAnsi="Times New Roman" w:cs="Times New Roman"/>
          <w:sz w:val="21"/>
          <w:szCs w:val="21"/>
        </w:rPr>
        <w:t>Таким чином, звернення до соціального капіталу дозволяє, з одного боку, включити в аналіз складну інституціональну структуру соціуму, в якій переплетені ринковий сектор економіки, сукупність стосунків громадянського суспільства, діяльність держави, а з іншо</w:t>
      </w:r>
      <w:r>
        <w:rPr>
          <w:rFonts w:ascii="Times New Roman" w:hAnsi="Times New Roman" w:cs="Times New Roman"/>
          <w:sz w:val="21"/>
          <w:szCs w:val="21"/>
        </w:rPr>
        <w:t>го</w:t>
      </w:r>
      <w:r w:rsidRPr="008979AA">
        <w:rPr>
          <w:rFonts w:ascii="Times New Roman" w:hAnsi="Times New Roman" w:cs="Times New Roman"/>
          <w:sz w:val="21"/>
          <w:szCs w:val="21"/>
        </w:rPr>
        <w:t xml:space="preserve"> </w:t>
      </w:r>
      <w:r>
        <w:rPr>
          <w:rFonts w:ascii="Times New Roman" w:hAnsi="Times New Roman" w:cs="Times New Roman"/>
          <w:sz w:val="21"/>
          <w:szCs w:val="21"/>
        </w:rPr>
        <w:t>–</w:t>
      </w:r>
      <w:r w:rsidRPr="008979AA">
        <w:rPr>
          <w:rFonts w:ascii="Times New Roman" w:hAnsi="Times New Roman" w:cs="Times New Roman"/>
          <w:sz w:val="21"/>
          <w:szCs w:val="21"/>
        </w:rPr>
        <w:t xml:space="preserve"> при</w:t>
      </w:r>
      <w:r>
        <w:rPr>
          <w:rFonts w:ascii="Times New Roman" w:hAnsi="Times New Roman" w:cs="Times New Roman"/>
          <w:sz w:val="21"/>
          <w:szCs w:val="21"/>
        </w:rPr>
        <w:t>вер</w:t>
      </w:r>
      <w:r w:rsidRPr="008979AA">
        <w:rPr>
          <w:rFonts w:ascii="Times New Roman" w:hAnsi="Times New Roman" w:cs="Times New Roman"/>
          <w:sz w:val="21"/>
          <w:szCs w:val="21"/>
        </w:rPr>
        <w:t>нути увагу до ключових аспектів соціальних стосунків.</w:t>
      </w: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lang w:val="ru-RU"/>
        </w:rPr>
      </w:pPr>
    </w:p>
    <w:p w:rsidR="00B233DE" w:rsidRPr="00E97553" w:rsidRDefault="00B233DE" w:rsidP="00B233DE">
      <w:pPr>
        <w:pStyle w:val="afb"/>
        <w:shd w:val="clear" w:color="auto" w:fill="auto"/>
        <w:tabs>
          <w:tab w:val="left" w:pos="394"/>
          <w:tab w:val="left" w:pos="426"/>
        </w:tabs>
        <w:spacing w:before="0" w:line="240" w:lineRule="auto"/>
        <w:ind w:right="40" w:firstLine="709"/>
        <w:contextualSpacing/>
        <w:jc w:val="center"/>
        <w:rPr>
          <w:b/>
          <w:sz w:val="21"/>
          <w:szCs w:val="21"/>
          <w:lang w:val="ru-RU"/>
        </w:rPr>
      </w:pPr>
      <w:r w:rsidRPr="00E97553">
        <w:rPr>
          <w:rFonts w:ascii="UkrainianPeterburg" w:hAnsi="UkrainianPeterburg"/>
          <w:b/>
          <w:sz w:val="21"/>
          <w:szCs w:val="21"/>
        </w:rPr>
        <w:t>5.</w:t>
      </w:r>
      <w:r w:rsidRPr="00E97553">
        <w:rPr>
          <w:rFonts w:ascii="UkrainianPeterburg" w:hAnsi="UkrainianPeterburg"/>
          <w:b/>
          <w:sz w:val="21"/>
          <w:szCs w:val="21"/>
          <w:lang w:val="ru-RU"/>
        </w:rPr>
        <w:t>3</w:t>
      </w:r>
      <w:r w:rsidRPr="00E97553">
        <w:rPr>
          <w:rFonts w:ascii="UkrainianPeterburg" w:hAnsi="UkrainianPeterburg"/>
          <w:b/>
          <w:sz w:val="21"/>
          <w:szCs w:val="21"/>
        </w:rPr>
        <w:t xml:space="preserve">. </w:t>
      </w:r>
      <w:r w:rsidRPr="00E97553">
        <w:rPr>
          <w:rFonts w:ascii="UkrainianPeterburg" w:hAnsi="UkrainianPeterburg"/>
          <w:b/>
          <w:sz w:val="21"/>
          <w:szCs w:val="21"/>
          <w:lang w:val="ru-RU"/>
        </w:rPr>
        <w:t>Регулювання регіонального розвитку людського потенціалу засобами державної соціальної політики</w:t>
      </w:r>
    </w:p>
    <w:p w:rsidR="00B233DE" w:rsidRPr="00E97553"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lang w:val="ru-RU"/>
        </w:rPr>
      </w:pPr>
    </w:p>
    <w:p w:rsidR="00B233DE" w:rsidRPr="00E97553" w:rsidRDefault="00B233DE" w:rsidP="00B233DE">
      <w:pPr>
        <w:ind w:firstLine="709"/>
        <w:jc w:val="both"/>
        <w:rPr>
          <w:rFonts w:ascii="Times New Roman" w:hAnsi="Times New Roman" w:cs="Times New Roman"/>
          <w:sz w:val="21"/>
          <w:szCs w:val="21"/>
        </w:rPr>
      </w:pPr>
      <w:r w:rsidRPr="00E97553">
        <w:rPr>
          <w:rFonts w:ascii="Times New Roman" w:hAnsi="Times New Roman" w:cs="Times New Roman"/>
          <w:sz w:val="21"/>
          <w:szCs w:val="21"/>
        </w:rPr>
        <w:t>Ефективність соціальної політики впливає не лише на соціальну сферу в традиційному розумінні, а й на перспективу демократичного розвитку всього суспільства через кореляцію моделі соціальної політики з ліберальною чи соціалістичною ідеологіями й відповідними політичними та економічними механізмами. Соціальна політика значною мірою впливає на різноманітні суспільні інститути, як державні, та</w:t>
      </w:r>
      <w:r>
        <w:rPr>
          <w:rFonts w:ascii="Times New Roman" w:hAnsi="Times New Roman" w:cs="Times New Roman"/>
          <w:sz w:val="21"/>
          <w:szCs w:val="21"/>
        </w:rPr>
        <w:t>к і недержавні, формуючи довіру</w:t>
      </w:r>
      <w:r w:rsidRPr="00E97553">
        <w:rPr>
          <w:rFonts w:ascii="Times New Roman" w:hAnsi="Times New Roman" w:cs="Times New Roman"/>
          <w:sz w:val="21"/>
          <w:szCs w:val="21"/>
        </w:rPr>
        <w:t xml:space="preserve"> суспільства до існуючої влади, а також сприйняття населенням державної політики в інших сферах. Вона </w:t>
      </w:r>
      <w:r w:rsidRPr="00E97553">
        <w:rPr>
          <w:rFonts w:ascii="Times New Roman" w:hAnsi="Times New Roman" w:cs="Times New Roman"/>
          <w:sz w:val="21"/>
          <w:szCs w:val="21"/>
        </w:rPr>
        <w:lastRenderedPageBreak/>
        <w:t xml:space="preserve">сприяє підтримці конституційного ладу, досягненню соціальної справедливості та добробуту. </w:t>
      </w:r>
    </w:p>
    <w:p w:rsidR="00B233DE" w:rsidRPr="00E97553" w:rsidRDefault="00B233DE" w:rsidP="00B233DE">
      <w:pPr>
        <w:ind w:firstLine="709"/>
        <w:jc w:val="both"/>
        <w:rPr>
          <w:rFonts w:ascii="Times New Roman" w:hAnsi="Times New Roman" w:cs="Times New Roman"/>
          <w:sz w:val="21"/>
          <w:szCs w:val="21"/>
        </w:rPr>
      </w:pPr>
      <w:r w:rsidRPr="00E97553">
        <w:rPr>
          <w:rFonts w:ascii="Times New Roman" w:hAnsi="Times New Roman" w:cs="Times New Roman"/>
          <w:sz w:val="21"/>
          <w:szCs w:val="21"/>
        </w:rPr>
        <w:t>Інтеграційні та глобалізаційні процеси, що притаманні сучасному розвитку України, у поєднанні з кризовими періодами практично у всіх сферах життєдіяльності суспільства призвели до загострення проблем соціального спрямування, серед яких: великий розрив між рівнем доходів багатих і бідних верств населення, невідповідність рівня оплати праці її реальній продуктивності, неефективність функціонування систем охорони здоров’я та освіти, невідповідність пенсійного забезпечення зусиллям, витраченим протягом працездатного віку тощо.</w:t>
      </w:r>
    </w:p>
    <w:p w:rsidR="00B233DE" w:rsidRPr="00E97553" w:rsidRDefault="00B233DE" w:rsidP="00B233DE">
      <w:pPr>
        <w:ind w:firstLine="709"/>
        <w:jc w:val="both"/>
        <w:rPr>
          <w:rFonts w:ascii="Times New Roman" w:hAnsi="Times New Roman" w:cs="Times New Roman"/>
          <w:sz w:val="21"/>
          <w:szCs w:val="21"/>
        </w:rPr>
      </w:pPr>
      <w:r w:rsidRPr="00E97553">
        <w:rPr>
          <w:rFonts w:ascii="Times New Roman" w:hAnsi="Times New Roman" w:cs="Times New Roman"/>
          <w:sz w:val="21"/>
          <w:szCs w:val="21"/>
        </w:rPr>
        <w:t>В останні роки законодавчі і виконавчі органи державної влади України посилили увагу до цих проблем, що відобразилось у прийнятті законодавчих актів соціального спрямування, збільшенні обсягу інвестицій у людський капітал, частковому впровадженні адресних принципів підтримки різних соціальних груп тощо. Практично всі політичні блоки та партії у своїх передвиборчих програмах соціальні питання визнали ключовими. Однак, існує розбіжність між деклараціями ідей і конституційними принципами становлення соціальної держави, з одного боку, та реальною практикою забезпечення реалізації соціальних прав людини – з іншого.</w:t>
      </w:r>
    </w:p>
    <w:p w:rsidR="00B233DE" w:rsidRPr="00E97553" w:rsidRDefault="00B233DE" w:rsidP="00B233DE">
      <w:pPr>
        <w:ind w:firstLine="709"/>
        <w:jc w:val="both"/>
        <w:rPr>
          <w:rFonts w:ascii="Times New Roman" w:hAnsi="Times New Roman" w:cs="Times New Roman"/>
          <w:sz w:val="21"/>
          <w:szCs w:val="21"/>
        </w:rPr>
      </w:pPr>
      <w:r w:rsidRPr="00E97553">
        <w:rPr>
          <w:rFonts w:ascii="Times New Roman" w:hAnsi="Times New Roman" w:cs="Times New Roman"/>
          <w:sz w:val="21"/>
          <w:szCs w:val="21"/>
        </w:rPr>
        <w:t>Загалом, проблеми формування і реалізації соціальної політики держави у багатоманітних аспектах викликають інтерес у фахівців різних спеціальностей, передусім, у соціологів, юристів, філософів, економістів та державних управлінців. Так, дослідженню проблем у сфері соціальної політики з позицій державного управління присвячені праці М.</w:t>
      </w:r>
      <w:r w:rsidRPr="00D96321">
        <w:rPr>
          <w:rFonts w:ascii="Times New Roman" w:hAnsi="Times New Roman" w:cs="Times New Roman"/>
          <w:sz w:val="21"/>
          <w:szCs w:val="21"/>
        </w:rPr>
        <w:t xml:space="preserve"> </w:t>
      </w:r>
      <w:r w:rsidRPr="00E97553">
        <w:rPr>
          <w:rFonts w:ascii="Times New Roman" w:hAnsi="Times New Roman" w:cs="Times New Roman"/>
          <w:sz w:val="21"/>
          <w:szCs w:val="21"/>
        </w:rPr>
        <w:t>Білинської, Н. Діденко, Н.</w:t>
      </w:r>
      <w:r>
        <w:rPr>
          <w:rFonts w:ascii="Times New Roman" w:hAnsi="Times New Roman" w:cs="Times New Roman"/>
          <w:sz w:val="21"/>
          <w:szCs w:val="21"/>
        </w:rPr>
        <w:t xml:space="preserve"> </w:t>
      </w:r>
      <w:r w:rsidRPr="00E97553">
        <w:rPr>
          <w:rFonts w:ascii="Times New Roman" w:hAnsi="Times New Roman" w:cs="Times New Roman"/>
          <w:sz w:val="21"/>
          <w:szCs w:val="21"/>
        </w:rPr>
        <w:t>Грицяк, І.</w:t>
      </w:r>
      <w:r>
        <w:rPr>
          <w:rFonts w:ascii="Times New Roman" w:hAnsi="Times New Roman" w:cs="Times New Roman"/>
          <w:sz w:val="21"/>
          <w:szCs w:val="21"/>
        </w:rPr>
        <w:t xml:space="preserve"> </w:t>
      </w:r>
      <w:r w:rsidRPr="00E97553">
        <w:rPr>
          <w:rFonts w:ascii="Times New Roman" w:hAnsi="Times New Roman" w:cs="Times New Roman"/>
          <w:sz w:val="21"/>
          <w:szCs w:val="21"/>
        </w:rPr>
        <w:t>Калачової, Н.</w:t>
      </w:r>
      <w:r>
        <w:rPr>
          <w:rFonts w:ascii="Times New Roman" w:hAnsi="Times New Roman" w:cs="Times New Roman"/>
          <w:sz w:val="21"/>
          <w:szCs w:val="21"/>
        </w:rPr>
        <w:t xml:space="preserve"> </w:t>
      </w:r>
      <w:r w:rsidRPr="00E97553">
        <w:rPr>
          <w:rFonts w:ascii="Times New Roman" w:hAnsi="Times New Roman" w:cs="Times New Roman"/>
          <w:sz w:val="21"/>
          <w:szCs w:val="21"/>
        </w:rPr>
        <w:t>Кризиної, О.</w:t>
      </w:r>
      <w:r>
        <w:rPr>
          <w:rFonts w:ascii="Times New Roman" w:hAnsi="Times New Roman" w:cs="Times New Roman"/>
          <w:sz w:val="21"/>
          <w:szCs w:val="21"/>
        </w:rPr>
        <w:t xml:space="preserve"> </w:t>
      </w:r>
      <w:r w:rsidRPr="00E97553">
        <w:rPr>
          <w:rFonts w:ascii="Times New Roman" w:hAnsi="Times New Roman" w:cs="Times New Roman"/>
          <w:sz w:val="21"/>
          <w:szCs w:val="21"/>
        </w:rPr>
        <w:t>Кроноса, О.</w:t>
      </w:r>
      <w:r>
        <w:rPr>
          <w:rFonts w:ascii="Times New Roman" w:hAnsi="Times New Roman" w:cs="Times New Roman"/>
          <w:sz w:val="21"/>
          <w:szCs w:val="21"/>
        </w:rPr>
        <w:t xml:space="preserve"> </w:t>
      </w:r>
      <w:r w:rsidRPr="00E97553">
        <w:rPr>
          <w:rFonts w:ascii="Times New Roman" w:hAnsi="Times New Roman" w:cs="Times New Roman"/>
          <w:sz w:val="21"/>
          <w:szCs w:val="21"/>
        </w:rPr>
        <w:t>Лобаса, І.</w:t>
      </w:r>
      <w:r>
        <w:rPr>
          <w:rFonts w:ascii="Times New Roman" w:hAnsi="Times New Roman" w:cs="Times New Roman"/>
          <w:sz w:val="21"/>
          <w:szCs w:val="21"/>
        </w:rPr>
        <w:t> </w:t>
      </w:r>
      <w:r w:rsidRPr="00E97553">
        <w:rPr>
          <w:rFonts w:ascii="Times New Roman" w:hAnsi="Times New Roman" w:cs="Times New Roman"/>
          <w:sz w:val="21"/>
          <w:szCs w:val="21"/>
        </w:rPr>
        <w:t>Лопушинського, Т.</w:t>
      </w:r>
      <w:r>
        <w:rPr>
          <w:rFonts w:ascii="Times New Roman" w:hAnsi="Times New Roman" w:cs="Times New Roman"/>
          <w:sz w:val="21"/>
          <w:szCs w:val="21"/>
        </w:rPr>
        <w:t xml:space="preserve"> </w:t>
      </w:r>
      <w:r w:rsidRPr="00E97553">
        <w:rPr>
          <w:rFonts w:ascii="Times New Roman" w:hAnsi="Times New Roman" w:cs="Times New Roman"/>
          <w:sz w:val="21"/>
          <w:szCs w:val="21"/>
        </w:rPr>
        <w:t xml:space="preserve">Лукінової, </w:t>
      </w:r>
      <w:r>
        <w:rPr>
          <w:rFonts w:ascii="Times New Roman" w:hAnsi="Times New Roman" w:cs="Times New Roman"/>
          <w:sz w:val="21"/>
          <w:szCs w:val="21"/>
        </w:rPr>
        <w:t xml:space="preserve">В. Нижника, </w:t>
      </w:r>
      <w:r w:rsidRPr="00E97553">
        <w:rPr>
          <w:rFonts w:ascii="Times New Roman" w:hAnsi="Times New Roman" w:cs="Times New Roman"/>
          <w:sz w:val="21"/>
          <w:szCs w:val="21"/>
        </w:rPr>
        <w:t>В.</w:t>
      </w:r>
      <w:r>
        <w:rPr>
          <w:rFonts w:ascii="Times New Roman" w:hAnsi="Times New Roman" w:cs="Times New Roman"/>
          <w:sz w:val="21"/>
          <w:szCs w:val="21"/>
        </w:rPr>
        <w:t xml:space="preserve"> </w:t>
      </w:r>
      <w:r w:rsidRPr="00E97553">
        <w:rPr>
          <w:rFonts w:ascii="Times New Roman" w:hAnsi="Times New Roman" w:cs="Times New Roman"/>
          <w:sz w:val="21"/>
          <w:szCs w:val="21"/>
        </w:rPr>
        <w:t>Огаренко, О.</w:t>
      </w:r>
      <w:r>
        <w:rPr>
          <w:rFonts w:ascii="Times New Roman" w:hAnsi="Times New Roman" w:cs="Times New Roman"/>
          <w:sz w:val="21"/>
          <w:szCs w:val="21"/>
        </w:rPr>
        <w:t xml:space="preserve"> </w:t>
      </w:r>
      <w:r w:rsidRPr="00E97553">
        <w:rPr>
          <w:rFonts w:ascii="Times New Roman" w:hAnsi="Times New Roman" w:cs="Times New Roman"/>
          <w:sz w:val="21"/>
          <w:szCs w:val="21"/>
        </w:rPr>
        <w:t>Осауленка, Л.</w:t>
      </w:r>
      <w:r>
        <w:rPr>
          <w:rFonts w:ascii="Times New Roman" w:hAnsi="Times New Roman" w:cs="Times New Roman"/>
          <w:sz w:val="21"/>
          <w:szCs w:val="21"/>
        </w:rPr>
        <w:t> </w:t>
      </w:r>
      <w:r w:rsidRPr="00E97553">
        <w:rPr>
          <w:rFonts w:ascii="Times New Roman" w:hAnsi="Times New Roman" w:cs="Times New Roman"/>
          <w:sz w:val="21"/>
          <w:szCs w:val="21"/>
        </w:rPr>
        <w:t>Пашко, П. Петровського, Я.</w:t>
      </w:r>
      <w:r>
        <w:rPr>
          <w:rFonts w:ascii="Times New Roman" w:hAnsi="Times New Roman" w:cs="Times New Roman"/>
          <w:sz w:val="21"/>
          <w:szCs w:val="21"/>
        </w:rPr>
        <w:t xml:space="preserve"> </w:t>
      </w:r>
      <w:r w:rsidRPr="00E97553">
        <w:rPr>
          <w:rFonts w:ascii="Times New Roman" w:hAnsi="Times New Roman" w:cs="Times New Roman"/>
          <w:sz w:val="21"/>
          <w:szCs w:val="21"/>
        </w:rPr>
        <w:t>Радиша, І. Рожкової, А.</w:t>
      </w:r>
      <w:r>
        <w:rPr>
          <w:rFonts w:ascii="Times New Roman" w:hAnsi="Times New Roman" w:cs="Times New Roman"/>
          <w:sz w:val="21"/>
          <w:szCs w:val="21"/>
        </w:rPr>
        <w:t xml:space="preserve"> </w:t>
      </w:r>
      <w:r w:rsidRPr="00E97553">
        <w:rPr>
          <w:rFonts w:ascii="Times New Roman" w:hAnsi="Times New Roman" w:cs="Times New Roman"/>
          <w:sz w:val="21"/>
          <w:szCs w:val="21"/>
        </w:rPr>
        <w:t>Халецької, О.</w:t>
      </w:r>
      <w:r>
        <w:rPr>
          <w:rFonts w:ascii="Times New Roman" w:hAnsi="Times New Roman" w:cs="Times New Roman"/>
          <w:sz w:val="21"/>
          <w:szCs w:val="21"/>
        </w:rPr>
        <w:t> </w:t>
      </w:r>
      <w:r w:rsidRPr="00E97553">
        <w:rPr>
          <w:rFonts w:ascii="Times New Roman" w:hAnsi="Times New Roman" w:cs="Times New Roman"/>
          <w:sz w:val="21"/>
          <w:szCs w:val="21"/>
        </w:rPr>
        <w:t>Черниш, Н.</w:t>
      </w:r>
      <w:r>
        <w:rPr>
          <w:rFonts w:ascii="Times New Roman" w:hAnsi="Times New Roman" w:cs="Times New Roman"/>
          <w:sz w:val="21"/>
          <w:szCs w:val="21"/>
        </w:rPr>
        <w:t xml:space="preserve"> </w:t>
      </w:r>
      <w:r w:rsidRPr="00E97553">
        <w:rPr>
          <w:rFonts w:ascii="Times New Roman" w:hAnsi="Times New Roman" w:cs="Times New Roman"/>
          <w:sz w:val="21"/>
          <w:szCs w:val="21"/>
        </w:rPr>
        <w:t>Ярош та інших. В економіці початок досліджень у сфері соціальної політики пов’язують із розробкою основних економічних ідей Дж.</w:t>
      </w:r>
      <w:r>
        <w:rPr>
          <w:rFonts w:ascii="Times New Roman" w:hAnsi="Times New Roman" w:cs="Times New Roman"/>
          <w:sz w:val="21"/>
          <w:szCs w:val="21"/>
        </w:rPr>
        <w:t xml:space="preserve"> </w:t>
      </w:r>
      <w:r w:rsidRPr="00E97553">
        <w:rPr>
          <w:rFonts w:ascii="Times New Roman" w:hAnsi="Times New Roman" w:cs="Times New Roman"/>
          <w:sz w:val="21"/>
          <w:szCs w:val="21"/>
        </w:rPr>
        <w:t>Мілля (вченому були близькі ідеали загального людського блага); К.</w:t>
      </w:r>
      <w:r>
        <w:rPr>
          <w:rFonts w:ascii="Times New Roman" w:hAnsi="Times New Roman" w:cs="Times New Roman"/>
          <w:sz w:val="21"/>
          <w:szCs w:val="21"/>
        </w:rPr>
        <w:t xml:space="preserve"> Маркса, який разом із Ф. </w:t>
      </w:r>
      <w:r w:rsidRPr="00E97553">
        <w:rPr>
          <w:rFonts w:ascii="Times New Roman" w:hAnsi="Times New Roman" w:cs="Times New Roman"/>
          <w:sz w:val="21"/>
          <w:szCs w:val="21"/>
        </w:rPr>
        <w:t>Енгельсом створив цілісну і послідовну систему поглядів на світ, історію людства та розвиток суспільства; Дж.</w:t>
      </w:r>
      <w:r>
        <w:rPr>
          <w:rFonts w:ascii="Times New Roman" w:hAnsi="Times New Roman" w:cs="Times New Roman"/>
          <w:sz w:val="21"/>
          <w:szCs w:val="21"/>
        </w:rPr>
        <w:t xml:space="preserve"> </w:t>
      </w:r>
      <w:r w:rsidRPr="00E97553">
        <w:rPr>
          <w:rFonts w:ascii="Times New Roman" w:hAnsi="Times New Roman" w:cs="Times New Roman"/>
          <w:sz w:val="21"/>
          <w:szCs w:val="21"/>
        </w:rPr>
        <w:t>Кейнса (загальна теорія зайнятості, відсотк</w:t>
      </w:r>
      <w:r>
        <w:rPr>
          <w:rFonts w:ascii="Times New Roman" w:hAnsi="Times New Roman" w:cs="Times New Roman"/>
          <w:sz w:val="21"/>
          <w:szCs w:val="21"/>
        </w:rPr>
        <w:t>а</w:t>
      </w:r>
      <w:r w:rsidRPr="00E97553">
        <w:rPr>
          <w:rFonts w:ascii="Times New Roman" w:hAnsi="Times New Roman" w:cs="Times New Roman"/>
          <w:sz w:val="21"/>
          <w:szCs w:val="21"/>
        </w:rPr>
        <w:t xml:space="preserve"> і грошей) та інших відомих вчених: К.</w:t>
      </w:r>
      <w:r>
        <w:rPr>
          <w:rFonts w:ascii="Times New Roman" w:hAnsi="Times New Roman" w:cs="Times New Roman"/>
          <w:sz w:val="21"/>
          <w:szCs w:val="21"/>
        </w:rPr>
        <w:t xml:space="preserve"> </w:t>
      </w:r>
      <w:r w:rsidRPr="00E97553">
        <w:rPr>
          <w:rFonts w:ascii="Times New Roman" w:hAnsi="Times New Roman" w:cs="Times New Roman"/>
          <w:sz w:val="21"/>
          <w:szCs w:val="21"/>
        </w:rPr>
        <w:t>Менгера, А.</w:t>
      </w:r>
      <w:r>
        <w:rPr>
          <w:rFonts w:ascii="Times New Roman" w:hAnsi="Times New Roman" w:cs="Times New Roman"/>
          <w:sz w:val="21"/>
          <w:szCs w:val="21"/>
        </w:rPr>
        <w:t xml:space="preserve"> </w:t>
      </w:r>
      <w:r w:rsidRPr="00E97553">
        <w:rPr>
          <w:rFonts w:ascii="Times New Roman" w:hAnsi="Times New Roman" w:cs="Times New Roman"/>
          <w:sz w:val="21"/>
          <w:szCs w:val="21"/>
        </w:rPr>
        <w:t>Маршалла, П.</w:t>
      </w:r>
      <w:r>
        <w:rPr>
          <w:rFonts w:ascii="Times New Roman" w:hAnsi="Times New Roman" w:cs="Times New Roman"/>
          <w:sz w:val="21"/>
          <w:szCs w:val="21"/>
        </w:rPr>
        <w:t xml:space="preserve"> </w:t>
      </w:r>
      <w:r w:rsidRPr="00E97553">
        <w:rPr>
          <w:rFonts w:ascii="Times New Roman" w:hAnsi="Times New Roman" w:cs="Times New Roman"/>
          <w:sz w:val="21"/>
          <w:szCs w:val="21"/>
        </w:rPr>
        <w:t xml:space="preserve">Самуельсона. З появою </w:t>
      </w:r>
      <w:r w:rsidRPr="00E97553">
        <w:rPr>
          <w:rFonts w:ascii="Times New Roman" w:hAnsi="Times New Roman" w:cs="Times New Roman"/>
          <w:sz w:val="21"/>
          <w:szCs w:val="21"/>
        </w:rPr>
        <w:lastRenderedPageBreak/>
        <w:t>відомих соціальною спрямованістю наукових досліджень Е.</w:t>
      </w:r>
      <w:r>
        <w:rPr>
          <w:rFonts w:ascii="Times New Roman" w:hAnsi="Times New Roman" w:cs="Times New Roman"/>
          <w:sz w:val="21"/>
          <w:szCs w:val="21"/>
        </w:rPr>
        <w:t> </w:t>
      </w:r>
      <w:r w:rsidRPr="00E97553">
        <w:rPr>
          <w:rFonts w:ascii="Times New Roman" w:hAnsi="Times New Roman" w:cs="Times New Roman"/>
          <w:sz w:val="21"/>
          <w:szCs w:val="21"/>
        </w:rPr>
        <w:t>Дюр</w:t>
      </w:r>
      <w:r>
        <w:rPr>
          <w:rFonts w:ascii="Times New Roman" w:hAnsi="Times New Roman" w:cs="Times New Roman"/>
          <w:sz w:val="21"/>
          <w:szCs w:val="21"/>
        </w:rPr>
        <w:t>к</w:t>
      </w:r>
      <w:r w:rsidRPr="00E97553">
        <w:rPr>
          <w:rFonts w:ascii="Times New Roman" w:hAnsi="Times New Roman" w:cs="Times New Roman"/>
          <w:sz w:val="21"/>
          <w:szCs w:val="21"/>
        </w:rPr>
        <w:t>гейма, М.</w:t>
      </w:r>
      <w:r>
        <w:rPr>
          <w:rFonts w:ascii="Times New Roman" w:hAnsi="Times New Roman" w:cs="Times New Roman"/>
          <w:sz w:val="21"/>
          <w:szCs w:val="21"/>
        </w:rPr>
        <w:t xml:space="preserve"> </w:t>
      </w:r>
      <w:r w:rsidRPr="00E97553">
        <w:rPr>
          <w:rFonts w:ascii="Times New Roman" w:hAnsi="Times New Roman" w:cs="Times New Roman"/>
          <w:sz w:val="21"/>
          <w:szCs w:val="21"/>
        </w:rPr>
        <w:t>Вебера, К.</w:t>
      </w:r>
      <w:r>
        <w:rPr>
          <w:rFonts w:ascii="Times New Roman" w:hAnsi="Times New Roman" w:cs="Times New Roman"/>
          <w:sz w:val="21"/>
          <w:szCs w:val="21"/>
        </w:rPr>
        <w:t xml:space="preserve"> </w:t>
      </w:r>
      <w:r w:rsidRPr="00E97553">
        <w:rPr>
          <w:rFonts w:ascii="Times New Roman" w:hAnsi="Times New Roman" w:cs="Times New Roman"/>
          <w:sz w:val="21"/>
          <w:szCs w:val="21"/>
        </w:rPr>
        <w:t>Вайса, В.</w:t>
      </w:r>
      <w:r>
        <w:rPr>
          <w:rFonts w:ascii="Times New Roman" w:hAnsi="Times New Roman" w:cs="Times New Roman"/>
          <w:sz w:val="21"/>
          <w:szCs w:val="21"/>
        </w:rPr>
        <w:t xml:space="preserve"> </w:t>
      </w:r>
      <w:r w:rsidRPr="00E97553">
        <w:rPr>
          <w:rFonts w:ascii="Times New Roman" w:hAnsi="Times New Roman" w:cs="Times New Roman"/>
          <w:sz w:val="21"/>
          <w:szCs w:val="21"/>
        </w:rPr>
        <w:t>Вільямса, В.</w:t>
      </w:r>
      <w:r>
        <w:rPr>
          <w:rFonts w:ascii="Times New Roman" w:hAnsi="Times New Roman" w:cs="Times New Roman"/>
          <w:sz w:val="21"/>
          <w:szCs w:val="21"/>
        </w:rPr>
        <w:t xml:space="preserve"> </w:t>
      </w:r>
      <w:r w:rsidRPr="00E97553">
        <w:rPr>
          <w:rFonts w:ascii="Times New Roman" w:hAnsi="Times New Roman" w:cs="Times New Roman"/>
          <w:sz w:val="21"/>
          <w:szCs w:val="21"/>
        </w:rPr>
        <w:t>Парето увага до вивчення проблем соціальної політики зросла. В Україні проблеми аналізу соціальної політики з позицій економічної науки є предметом цікавих наукових досліджень, про що свідчать праці провідних учених, в яких піднімається означена проблематика, а саме: Н. Балтачеєва розглядає проблеми трансформації соціальної політики України, О. Бендасюк – соціальну політику в контексті забезпечення соціальної безпеки України, В.</w:t>
      </w:r>
      <w:r>
        <w:rPr>
          <w:rFonts w:ascii="Times New Roman" w:hAnsi="Times New Roman" w:cs="Times New Roman"/>
          <w:sz w:val="21"/>
          <w:szCs w:val="21"/>
        </w:rPr>
        <w:t xml:space="preserve"> </w:t>
      </w:r>
      <w:r w:rsidRPr="00E97553">
        <w:rPr>
          <w:rFonts w:ascii="Times New Roman" w:hAnsi="Times New Roman" w:cs="Times New Roman"/>
          <w:sz w:val="21"/>
          <w:szCs w:val="21"/>
        </w:rPr>
        <w:t>Гончаров та В.</w:t>
      </w:r>
      <w:r>
        <w:rPr>
          <w:rFonts w:ascii="Times New Roman" w:hAnsi="Times New Roman" w:cs="Times New Roman"/>
          <w:sz w:val="21"/>
          <w:szCs w:val="21"/>
        </w:rPr>
        <w:t> </w:t>
      </w:r>
      <w:r w:rsidRPr="00E97553">
        <w:rPr>
          <w:rFonts w:ascii="Times New Roman" w:hAnsi="Times New Roman" w:cs="Times New Roman"/>
          <w:sz w:val="21"/>
          <w:szCs w:val="21"/>
        </w:rPr>
        <w:t>Дорофієнко – проблеми ринку праці та її гуманізації, В.</w:t>
      </w:r>
      <w:r>
        <w:rPr>
          <w:rFonts w:ascii="Times New Roman" w:hAnsi="Times New Roman" w:cs="Times New Roman"/>
          <w:sz w:val="21"/>
          <w:szCs w:val="21"/>
        </w:rPr>
        <w:t> </w:t>
      </w:r>
      <w:r w:rsidRPr="00E97553">
        <w:rPr>
          <w:rFonts w:ascii="Times New Roman" w:hAnsi="Times New Roman" w:cs="Times New Roman"/>
          <w:sz w:val="21"/>
          <w:szCs w:val="21"/>
        </w:rPr>
        <w:t>Загорський, П.</w:t>
      </w:r>
      <w:r>
        <w:rPr>
          <w:rFonts w:ascii="Times New Roman" w:hAnsi="Times New Roman" w:cs="Times New Roman"/>
          <w:sz w:val="21"/>
          <w:szCs w:val="21"/>
        </w:rPr>
        <w:t xml:space="preserve"> </w:t>
      </w:r>
      <w:r w:rsidRPr="00E97553">
        <w:rPr>
          <w:rFonts w:ascii="Times New Roman" w:hAnsi="Times New Roman" w:cs="Times New Roman"/>
          <w:sz w:val="21"/>
          <w:szCs w:val="21"/>
        </w:rPr>
        <w:t>Куліков, В.</w:t>
      </w:r>
      <w:r>
        <w:rPr>
          <w:rFonts w:ascii="Times New Roman" w:hAnsi="Times New Roman" w:cs="Times New Roman"/>
          <w:sz w:val="21"/>
          <w:szCs w:val="21"/>
        </w:rPr>
        <w:t xml:space="preserve"> </w:t>
      </w:r>
      <w:r w:rsidRPr="00E97553">
        <w:rPr>
          <w:rFonts w:ascii="Times New Roman" w:hAnsi="Times New Roman" w:cs="Times New Roman"/>
          <w:sz w:val="21"/>
          <w:szCs w:val="21"/>
        </w:rPr>
        <w:t>Куценко – питання соціально-культурної сфери України</w:t>
      </w:r>
      <w:r>
        <w:rPr>
          <w:rFonts w:ascii="Times New Roman" w:hAnsi="Times New Roman" w:cs="Times New Roman"/>
          <w:sz w:val="21"/>
          <w:szCs w:val="21"/>
        </w:rPr>
        <w:t>;</w:t>
      </w:r>
      <w:r w:rsidRPr="00E97553">
        <w:rPr>
          <w:rFonts w:ascii="Times New Roman" w:hAnsi="Times New Roman" w:cs="Times New Roman"/>
          <w:sz w:val="21"/>
          <w:szCs w:val="21"/>
        </w:rPr>
        <w:t xml:space="preserve"> Ю.</w:t>
      </w:r>
      <w:r>
        <w:rPr>
          <w:rFonts w:ascii="Times New Roman" w:hAnsi="Times New Roman" w:cs="Times New Roman"/>
          <w:sz w:val="21"/>
          <w:szCs w:val="21"/>
        </w:rPr>
        <w:t xml:space="preserve"> </w:t>
      </w:r>
      <w:r w:rsidRPr="00E97553">
        <w:rPr>
          <w:rFonts w:ascii="Times New Roman" w:hAnsi="Times New Roman" w:cs="Times New Roman"/>
          <w:sz w:val="21"/>
          <w:szCs w:val="21"/>
        </w:rPr>
        <w:t>Канигін – питання соціального інтелекту та соціальної інформації, Т.</w:t>
      </w:r>
      <w:r>
        <w:rPr>
          <w:rFonts w:ascii="Times New Roman" w:hAnsi="Times New Roman" w:cs="Times New Roman"/>
          <w:sz w:val="21"/>
          <w:szCs w:val="21"/>
        </w:rPr>
        <w:t xml:space="preserve"> </w:t>
      </w:r>
      <w:r w:rsidRPr="00E97553">
        <w:rPr>
          <w:rFonts w:ascii="Times New Roman" w:hAnsi="Times New Roman" w:cs="Times New Roman"/>
          <w:sz w:val="21"/>
          <w:szCs w:val="21"/>
        </w:rPr>
        <w:t>Качала</w:t>
      </w:r>
      <w:r>
        <w:rPr>
          <w:rFonts w:ascii="Times New Roman" w:hAnsi="Times New Roman" w:cs="Times New Roman"/>
          <w:sz w:val="21"/>
          <w:szCs w:val="21"/>
        </w:rPr>
        <w:t xml:space="preserve"> – соціальний розвиток регіонів;</w:t>
      </w:r>
      <w:r w:rsidRPr="00E97553">
        <w:rPr>
          <w:rFonts w:ascii="Times New Roman" w:hAnsi="Times New Roman" w:cs="Times New Roman"/>
          <w:sz w:val="21"/>
          <w:szCs w:val="21"/>
        </w:rPr>
        <w:t xml:space="preserve"> А.</w:t>
      </w:r>
      <w:r>
        <w:rPr>
          <w:rFonts w:ascii="Times New Roman" w:hAnsi="Times New Roman" w:cs="Times New Roman"/>
          <w:sz w:val="21"/>
          <w:szCs w:val="21"/>
        </w:rPr>
        <w:t xml:space="preserve"> </w:t>
      </w:r>
      <w:r w:rsidRPr="00E97553">
        <w:rPr>
          <w:rFonts w:ascii="Times New Roman" w:hAnsi="Times New Roman" w:cs="Times New Roman"/>
          <w:sz w:val="21"/>
          <w:szCs w:val="21"/>
        </w:rPr>
        <w:t>Коло</w:t>
      </w:r>
      <w:r>
        <w:rPr>
          <w:rFonts w:ascii="Times New Roman" w:hAnsi="Times New Roman" w:cs="Times New Roman"/>
          <w:sz w:val="21"/>
          <w:szCs w:val="21"/>
        </w:rPr>
        <w:t>т, В. Нижник – соціально-трудові відносини;</w:t>
      </w:r>
      <w:r w:rsidRPr="00E97553">
        <w:rPr>
          <w:rFonts w:ascii="Times New Roman" w:hAnsi="Times New Roman" w:cs="Times New Roman"/>
          <w:sz w:val="21"/>
          <w:szCs w:val="21"/>
        </w:rPr>
        <w:t xml:space="preserve"> Е.</w:t>
      </w:r>
      <w:r>
        <w:rPr>
          <w:rFonts w:ascii="Times New Roman" w:hAnsi="Times New Roman" w:cs="Times New Roman"/>
          <w:sz w:val="21"/>
          <w:szCs w:val="21"/>
        </w:rPr>
        <w:t> </w:t>
      </w:r>
      <w:r w:rsidRPr="00E97553">
        <w:rPr>
          <w:rFonts w:ascii="Times New Roman" w:hAnsi="Times New Roman" w:cs="Times New Roman"/>
          <w:sz w:val="21"/>
          <w:szCs w:val="21"/>
        </w:rPr>
        <w:t>Лібанова, О.</w:t>
      </w:r>
      <w:r>
        <w:rPr>
          <w:rFonts w:ascii="Times New Roman" w:hAnsi="Times New Roman" w:cs="Times New Roman"/>
          <w:sz w:val="21"/>
          <w:szCs w:val="21"/>
        </w:rPr>
        <w:t xml:space="preserve"> </w:t>
      </w:r>
      <w:r w:rsidRPr="00E97553">
        <w:rPr>
          <w:rFonts w:ascii="Times New Roman" w:hAnsi="Times New Roman" w:cs="Times New Roman"/>
          <w:sz w:val="21"/>
          <w:szCs w:val="21"/>
        </w:rPr>
        <w:t>Макарова, В.</w:t>
      </w:r>
      <w:r>
        <w:rPr>
          <w:rFonts w:ascii="Times New Roman" w:hAnsi="Times New Roman" w:cs="Times New Roman"/>
          <w:sz w:val="21"/>
          <w:szCs w:val="21"/>
        </w:rPr>
        <w:t xml:space="preserve"> </w:t>
      </w:r>
      <w:r w:rsidRPr="00E97553">
        <w:rPr>
          <w:rFonts w:ascii="Times New Roman" w:hAnsi="Times New Roman" w:cs="Times New Roman"/>
          <w:sz w:val="21"/>
          <w:szCs w:val="21"/>
        </w:rPr>
        <w:t>Новіков, Н.</w:t>
      </w:r>
      <w:r>
        <w:rPr>
          <w:rFonts w:ascii="Times New Roman" w:hAnsi="Times New Roman" w:cs="Times New Roman"/>
          <w:sz w:val="21"/>
          <w:szCs w:val="21"/>
        </w:rPr>
        <w:t xml:space="preserve"> </w:t>
      </w:r>
      <w:r w:rsidRPr="00E97553">
        <w:rPr>
          <w:rFonts w:ascii="Times New Roman" w:hAnsi="Times New Roman" w:cs="Times New Roman"/>
          <w:sz w:val="21"/>
          <w:szCs w:val="21"/>
        </w:rPr>
        <w:t>Холод – проблеми бідності та нерівності, а тако</w:t>
      </w:r>
      <w:r>
        <w:rPr>
          <w:rFonts w:ascii="Times New Roman" w:hAnsi="Times New Roman" w:cs="Times New Roman"/>
          <w:sz w:val="21"/>
          <w:szCs w:val="21"/>
        </w:rPr>
        <w:t>ж розвитку людського потенціалу;</w:t>
      </w:r>
      <w:r w:rsidRPr="00E97553">
        <w:rPr>
          <w:rFonts w:ascii="Times New Roman" w:hAnsi="Times New Roman" w:cs="Times New Roman"/>
          <w:sz w:val="21"/>
          <w:szCs w:val="21"/>
        </w:rPr>
        <w:t xml:space="preserve"> О.</w:t>
      </w:r>
      <w:r>
        <w:rPr>
          <w:rFonts w:ascii="Times New Roman" w:hAnsi="Times New Roman" w:cs="Times New Roman"/>
          <w:sz w:val="21"/>
          <w:szCs w:val="21"/>
        </w:rPr>
        <w:t> </w:t>
      </w:r>
      <w:r w:rsidRPr="00E97553">
        <w:rPr>
          <w:rFonts w:ascii="Times New Roman" w:hAnsi="Times New Roman" w:cs="Times New Roman"/>
          <w:sz w:val="21"/>
          <w:szCs w:val="21"/>
        </w:rPr>
        <w:t>Поважний, І.</w:t>
      </w:r>
      <w:r>
        <w:rPr>
          <w:rFonts w:ascii="Times New Roman" w:hAnsi="Times New Roman" w:cs="Times New Roman"/>
          <w:sz w:val="21"/>
          <w:szCs w:val="21"/>
        </w:rPr>
        <w:t xml:space="preserve"> </w:t>
      </w:r>
      <w:r w:rsidRPr="00E97553">
        <w:rPr>
          <w:rFonts w:ascii="Times New Roman" w:hAnsi="Times New Roman" w:cs="Times New Roman"/>
          <w:sz w:val="21"/>
          <w:szCs w:val="21"/>
        </w:rPr>
        <w:t>Осипенко – проблеми житлово-комунальної сфери</w:t>
      </w:r>
      <w:r>
        <w:rPr>
          <w:rFonts w:ascii="Times New Roman" w:hAnsi="Times New Roman" w:cs="Times New Roman"/>
          <w:sz w:val="21"/>
          <w:szCs w:val="21"/>
        </w:rPr>
        <w:t>;</w:t>
      </w:r>
      <w:r w:rsidRPr="00E97553">
        <w:rPr>
          <w:rFonts w:ascii="Times New Roman" w:hAnsi="Times New Roman" w:cs="Times New Roman"/>
          <w:sz w:val="21"/>
          <w:szCs w:val="21"/>
        </w:rPr>
        <w:t xml:space="preserve"> У.</w:t>
      </w:r>
      <w:r>
        <w:rPr>
          <w:rFonts w:ascii="Times New Roman" w:hAnsi="Times New Roman" w:cs="Times New Roman"/>
          <w:sz w:val="21"/>
          <w:szCs w:val="21"/>
        </w:rPr>
        <w:t> </w:t>
      </w:r>
      <w:r w:rsidRPr="00E97553">
        <w:rPr>
          <w:rFonts w:ascii="Times New Roman" w:hAnsi="Times New Roman" w:cs="Times New Roman"/>
          <w:sz w:val="21"/>
          <w:szCs w:val="21"/>
        </w:rPr>
        <w:t>Садова – регіональн</w:t>
      </w:r>
      <w:r>
        <w:rPr>
          <w:rFonts w:ascii="Times New Roman" w:hAnsi="Times New Roman" w:cs="Times New Roman"/>
          <w:sz w:val="21"/>
          <w:szCs w:val="21"/>
        </w:rPr>
        <w:t>у</w:t>
      </w:r>
      <w:r w:rsidRPr="00E97553">
        <w:rPr>
          <w:rFonts w:ascii="Times New Roman" w:hAnsi="Times New Roman" w:cs="Times New Roman"/>
          <w:sz w:val="21"/>
          <w:szCs w:val="21"/>
        </w:rPr>
        <w:t xml:space="preserve"> соціальн</w:t>
      </w:r>
      <w:r>
        <w:rPr>
          <w:rFonts w:ascii="Times New Roman" w:hAnsi="Times New Roman" w:cs="Times New Roman"/>
          <w:sz w:val="21"/>
          <w:szCs w:val="21"/>
        </w:rPr>
        <w:t>у</w:t>
      </w:r>
      <w:r w:rsidRPr="00E97553">
        <w:rPr>
          <w:rFonts w:ascii="Times New Roman" w:hAnsi="Times New Roman" w:cs="Times New Roman"/>
          <w:sz w:val="21"/>
          <w:szCs w:val="21"/>
        </w:rPr>
        <w:t xml:space="preserve"> політик</w:t>
      </w:r>
      <w:r>
        <w:rPr>
          <w:rFonts w:ascii="Times New Roman" w:hAnsi="Times New Roman" w:cs="Times New Roman"/>
          <w:sz w:val="21"/>
          <w:szCs w:val="21"/>
        </w:rPr>
        <w:t>у</w:t>
      </w:r>
      <w:r w:rsidRPr="00E97553">
        <w:rPr>
          <w:rFonts w:ascii="Times New Roman" w:hAnsi="Times New Roman" w:cs="Times New Roman"/>
          <w:sz w:val="21"/>
          <w:szCs w:val="21"/>
        </w:rPr>
        <w:t xml:space="preserve"> </w:t>
      </w:r>
      <w:r>
        <w:rPr>
          <w:rFonts w:ascii="Times New Roman" w:hAnsi="Times New Roman" w:cs="Times New Roman"/>
          <w:sz w:val="21"/>
          <w:szCs w:val="21"/>
        </w:rPr>
        <w:t>тощо</w:t>
      </w:r>
      <w:r w:rsidRPr="00E97553">
        <w:rPr>
          <w:rFonts w:ascii="Times New Roman" w:hAnsi="Times New Roman" w:cs="Times New Roman"/>
          <w:sz w:val="21"/>
          <w:szCs w:val="21"/>
        </w:rPr>
        <w:t xml:space="preserve">. </w:t>
      </w:r>
    </w:p>
    <w:p w:rsidR="00B233DE" w:rsidRPr="00E97553" w:rsidRDefault="00B233DE" w:rsidP="00B233DE">
      <w:pPr>
        <w:ind w:firstLine="709"/>
        <w:jc w:val="both"/>
        <w:rPr>
          <w:rFonts w:ascii="Times New Roman" w:hAnsi="Times New Roman" w:cs="Times New Roman"/>
          <w:sz w:val="21"/>
          <w:szCs w:val="21"/>
        </w:rPr>
      </w:pPr>
      <w:r w:rsidRPr="00E97553">
        <w:rPr>
          <w:rFonts w:ascii="Times New Roman" w:hAnsi="Times New Roman" w:cs="Times New Roman"/>
          <w:sz w:val="21"/>
          <w:szCs w:val="21"/>
        </w:rPr>
        <w:t xml:space="preserve">Проте, незважаючи на інтенсифікацію досліджень у вказаній сфері та високий рівень вивчення цієї проблематики, вони не охоплюють усіх аспектів формування і реалізації державної соціальної політики, особливо на шляху інтеграції до Європейського Співтовариства. Незважаючи на велику кількість досліджень, теоретичні аспекти соціальної політики розроблені недостатньо. Водночас від чіткого і науково обґрунтованого осмислення сутності певного поняття на теоретичному рівні залежить будь-яка сфера наукових досліджень. </w:t>
      </w:r>
    </w:p>
    <w:p w:rsidR="00B233DE" w:rsidRPr="00E97553" w:rsidRDefault="00B233DE" w:rsidP="00B233DE">
      <w:pPr>
        <w:pStyle w:val="Maintext"/>
        <w:spacing w:line="240" w:lineRule="auto"/>
        <w:ind w:firstLine="709"/>
        <w:rPr>
          <w:sz w:val="21"/>
          <w:szCs w:val="21"/>
        </w:rPr>
      </w:pPr>
      <w:r w:rsidRPr="00E97553">
        <w:rPr>
          <w:sz w:val="21"/>
          <w:szCs w:val="21"/>
        </w:rPr>
        <w:t>Для кращого розуміння сутності державної соціальної політики розглянемо спочатку еволюц</w:t>
      </w:r>
      <w:r>
        <w:rPr>
          <w:sz w:val="21"/>
          <w:szCs w:val="21"/>
        </w:rPr>
        <w:t>ію становлення та саме поняття «соціальна політика»</w:t>
      </w:r>
      <w:r w:rsidRPr="00E97553">
        <w:rPr>
          <w:sz w:val="21"/>
          <w:szCs w:val="21"/>
        </w:rPr>
        <w:t>.</w:t>
      </w:r>
    </w:p>
    <w:p w:rsidR="00B233DE" w:rsidRPr="00E97553" w:rsidRDefault="00B233DE" w:rsidP="00B233DE">
      <w:pPr>
        <w:tabs>
          <w:tab w:val="left" w:pos="900"/>
          <w:tab w:val="left" w:pos="1036"/>
        </w:tabs>
        <w:ind w:firstLine="709"/>
        <w:jc w:val="both"/>
        <w:rPr>
          <w:rFonts w:ascii="Times New Roman" w:hAnsi="Times New Roman" w:cs="Times New Roman"/>
          <w:sz w:val="21"/>
          <w:szCs w:val="21"/>
        </w:rPr>
      </w:pPr>
      <w:r w:rsidRPr="00E97553">
        <w:rPr>
          <w:rFonts w:ascii="Times New Roman" w:hAnsi="Times New Roman" w:cs="Times New Roman"/>
          <w:sz w:val="21"/>
          <w:szCs w:val="21"/>
        </w:rPr>
        <w:t>Проблематика власне соціальної політи</w:t>
      </w:r>
      <w:r>
        <w:rPr>
          <w:rFonts w:ascii="Times New Roman" w:hAnsi="Times New Roman" w:cs="Times New Roman"/>
          <w:sz w:val="21"/>
          <w:szCs w:val="21"/>
        </w:rPr>
        <w:t>ки оформлювалася протягом ХІХ–</w:t>
      </w:r>
      <w:r w:rsidRPr="00E97553">
        <w:rPr>
          <w:rFonts w:ascii="Times New Roman" w:hAnsi="Times New Roman" w:cs="Times New Roman"/>
          <w:sz w:val="21"/>
          <w:szCs w:val="21"/>
        </w:rPr>
        <w:t xml:space="preserve">ХХ ст. у зв’язку зі зростанням масштабів державного втручання в суспільні процеси, що сприяло виокремленню її зі всього комплексу суспільного регулювання в самостійний напрям, що охоплює своїм випливом специфічну сферу людського життя і діяльності. Поява самого поняття </w:t>
      </w:r>
      <w:r w:rsidRPr="00E97553" w:rsidDel="00457EBD">
        <w:rPr>
          <w:rFonts w:ascii="Times New Roman" w:hAnsi="Times New Roman" w:cs="Times New Roman"/>
          <w:sz w:val="21"/>
          <w:szCs w:val="21"/>
        </w:rPr>
        <w:t>«</w:t>
      </w:r>
      <w:r w:rsidRPr="00E97553">
        <w:rPr>
          <w:rFonts w:ascii="Times New Roman" w:hAnsi="Times New Roman" w:cs="Times New Roman"/>
          <w:sz w:val="21"/>
          <w:szCs w:val="21"/>
        </w:rPr>
        <w:t>соціальна політика</w:t>
      </w:r>
      <w:r w:rsidRPr="00E97553" w:rsidDel="00457EBD">
        <w:rPr>
          <w:rFonts w:ascii="Times New Roman" w:hAnsi="Times New Roman" w:cs="Times New Roman"/>
          <w:sz w:val="21"/>
          <w:szCs w:val="21"/>
        </w:rPr>
        <w:t>»</w:t>
      </w:r>
      <w:r w:rsidRPr="00E97553">
        <w:rPr>
          <w:rFonts w:ascii="Times New Roman" w:hAnsi="Times New Roman" w:cs="Times New Roman"/>
          <w:sz w:val="21"/>
          <w:szCs w:val="21"/>
        </w:rPr>
        <w:t xml:space="preserve"> пов’язана з формуванням у Європі другої половини ХІХ ст. теорії і практики соціальної держави, яка активно </w:t>
      </w:r>
      <w:r w:rsidRPr="00E97553">
        <w:rPr>
          <w:rFonts w:ascii="Times New Roman" w:hAnsi="Times New Roman" w:cs="Times New Roman"/>
          <w:sz w:val="21"/>
          <w:szCs w:val="21"/>
        </w:rPr>
        <w:lastRenderedPageBreak/>
        <w:t>втручається в суспільні процеси з метою їх регулювання і стабілізації. Нові функції держави, що виникли у зв’язку з її соціалізацією і набули більш системного і якісного х</w:t>
      </w:r>
      <w:r>
        <w:rPr>
          <w:rFonts w:ascii="Times New Roman" w:hAnsi="Times New Roman" w:cs="Times New Roman"/>
          <w:sz w:val="21"/>
          <w:szCs w:val="21"/>
        </w:rPr>
        <w:t>арактеру, об’єдналися в термін «</w:t>
      </w:r>
      <w:r w:rsidRPr="00E97553">
        <w:rPr>
          <w:rFonts w:ascii="Times New Roman" w:hAnsi="Times New Roman" w:cs="Times New Roman"/>
          <w:sz w:val="21"/>
          <w:szCs w:val="21"/>
        </w:rPr>
        <w:t>соціальна політика»</w:t>
      </w:r>
      <w:r w:rsidRPr="00E97553" w:rsidDel="00457EBD">
        <w:rPr>
          <w:rFonts w:ascii="Times New Roman" w:hAnsi="Times New Roman" w:cs="Times New Roman"/>
          <w:sz w:val="21"/>
          <w:szCs w:val="21"/>
        </w:rPr>
        <w:t xml:space="preserve"> </w:t>
      </w:r>
      <w:r>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_Ref435619841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23</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 20]. На основі дослідження розвитку соціальної політики України Н. Балтачеєва виділяє три етапи її еволюції [</w:t>
      </w:r>
      <w:r w:rsidRPr="006C7057">
        <w:rPr>
          <w:rFonts w:ascii="Times New Roman" w:hAnsi="Times New Roman" w:cs="Times New Roman"/>
          <w:sz w:val="21"/>
          <w:szCs w:val="21"/>
        </w:rPr>
        <w:fldChar w:fldCharType="begin"/>
      </w:r>
      <w:r w:rsidRPr="006C7057">
        <w:rPr>
          <w:rFonts w:ascii="Times New Roman" w:hAnsi="Times New Roman" w:cs="Times New Roman"/>
          <w:sz w:val="21"/>
          <w:szCs w:val="21"/>
        </w:rPr>
        <w:instrText xml:space="preserve"> REF _Ref435619852 \r \h </w:instrText>
      </w:r>
      <w:r>
        <w:rPr>
          <w:rFonts w:ascii="Times New Roman" w:hAnsi="Times New Roman" w:cs="Times New Roman"/>
          <w:sz w:val="21"/>
          <w:szCs w:val="21"/>
        </w:rPr>
        <w:instrText xml:space="preserve"> \* MERGEFORMAT </w:instrText>
      </w:r>
      <w:r w:rsidRPr="006C7057">
        <w:rPr>
          <w:rFonts w:ascii="Times New Roman" w:hAnsi="Times New Roman" w:cs="Times New Roman"/>
          <w:sz w:val="21"/>
          <w:szCs w:val="21"/>
        </w:rPr>
      </w:r>
      <w:r w:rsidRPr="006C7057">
        <w:rPr>
          <w:rFonts w:ascii="Times New Roman" w:hAnsi="Times New Roman" w:cs="Times New Roman"/>
          <w:sz w:val="21"/>
          <w:szCs w:val="21"/>
        </w:rPr>
        <w:fldChar w:fldCharType="separate"/>
      </w:r>
      <w:r w:rsidRPr="006C7057">
        <w:rPr>
          <w:rFonts w:ascii="Times New Roman" w:hAnsi="Times New Roman" w:cs="Times New Roman"/>
          <w:sz w:val="21"/>
          <w:szCs w:val="21"/>
        </w:rPr>
        <w:t>3</w:t>
      </w:r>
      <w:r w:rsidRPr="006C7057">
        <w:rPr>
          <w:rFonts w:ascii="Times New Roman" w:hAnsi="Times New Roman" w:cs="Times New Roman"/>
          <w:sz w:val="21"/>
          <w:szCs w:val="21"/>
        </w:rPr>
        <w:fldChar w:fldCharType="end"/>
      </w:r>
      <w:r w:rsidRPr="006C7057">
        <w:rPr>
          <w:rFonts w:ascii="Times New Roman" w:hAnsi="Times New Roman" w:cs="Times New Roman"/>
          <w:sz w:val="21"/>
          <w:szCs w:val="21"/>
        </w:rPr>
        <w:t>, с. 25–27]. Пер</w:t>
      </w:r>
      <w:r w:rsidRPr="00E97553">
        <w:rPr>
          <w:rFonts w:ascii="Times New Roman" w:hAnsi="Times New Roman" w:cs="Times New Roman"/>
          <w:sz w:val="21"/>
          <w:szCs w:val="21"/>
        </w:rPr>
        <w:t>ший (188</w:t>
      </w:r>
      <w:r>
        <w:rPr>
          <w:rFonts w:ascii="Times New Roman" w:hAnsi="Times New Roman" w:cs="Times New Roman"/>
          <w:sz w:val="21"/>
          <w:szCs w:val="21"/>
        </w:rPr>
        <w:t>0–</w:t>
      </w:r>
      <w:r w:rsidRPr="00E97553">
        <w:rPr>
          <w:rFonts w:ascii="Times New Roman" w:hAnsi="Times New Roman" w:cs="Times New Roman"/>
          <w:sz w:val="21"/>
          <w:szCs w:val="21"/>
        </w:rPr>
        <w:t>1917 рр</w:t>
      </w:r>
      <w:r>
        <w:rPr>
          <w:rFonts w:ascii="Times New Roman" w:hAnsi="Times New Roman" w:cs="Times New Roman"/>
          <w:sz w:val="21"/>
          <w:szCs w:val="21"/>
        </w:rPr>
        <w:t>.</w:t>
      </w:r>
      <w:r w:rsidRPr="00E97553">
        <w:rPr>
          <w:rFonts w:ascii="Times New Roman" w:hAnsi="Times New Roman" w:cs="Times New Roman"/>
          <w:sz w:val="21"/>
          <w:szCs w:val="21"/>
        </w:rPr>
        <w:t xml:space="preserve">) характеризується створенням системи соціального страхування </w:t>
      </w:r>
      <w:r>
        <w:rPr>
          <w:rFonts w:ascii="Times New Roman" w:hAnsi="Times New Roman" w:cs="Times New Roman"/>
          <w:sz w:val="21"/>
          <w:szCs w:val="21"/>
        </w:rPr>
        <w:t>–</w:t>
      </w:r>
      <w:r w:rsidRPr="00E97553">
        <w:rPr>
          <w:rFonts w:ascii="Times New Roman" w:hAnsi="Times New Roman" w:cs="Times New Roman"/>
          <w:sz w:val="21"/>
          <w:szCs w:val="21"/>
        </w:rPr>
        <w:t xml:space="preserve"> на випадок хвороби, від нещасних випадків, при настанні інвалідності та старості. Вперше основи прогресивного соціального законодавства були підготовлені в Німеччині Отто фон Бісмар</w:t>
      </w:r>
      <w:r>
        <w:rPr>
          <w:rFonts w:ascii="Times New Roman" w:hAnsi="Times New Roman" w:cs="Times New Roman"/>
          <w:sz w:val="21"/>
          <w:szCs w:val="21"/>
        </w:rPr>
        <w:t xml:space="preserve">ком. Другий етап І. </w:t>
      </w:r>
      <w:r w:rsidRPr="00E97553">
        <w:rPr>
          <w:rFonts w:ascii="Times New Roman" w:hAnsi="Times New Roman" w:cs="Times New Roman"/>
          <w:sz w:val="21"/>
          <w:szCs w:val="21"/>
        </w:rPr>
        <w:t xml:space="preserve">Григор’єва відносить до періоду післяжовтневої революції, а також </w:t>
      </w:r>
      <w:r>
        <w:rPr>
          <w:rFonts w:ascii="Times New Roman" w:hAnsi="Times New Roman" w:cs="Times New Roman"/>
          <w:sz w:val="21"/>
          <w:szCs w:val="21"/>
        </w:rPr>
        <w:t>світової економічної кризи 1929–</w:t>
      </w:r>
      <w:r w:rsidRPr="00E97553">
        <w:rPr>
          <w:rFonts w:ascii="Times New Roman" w:hAnsi="Times New Roman" w:cs="Times New Roman"/>
          <w:sz w:val="21"/>
          <w:szCs w:val="21"/>
        </w:rPr>
        <w:t>1933 рр. та Другої світової війни. На даному етапі у багатьох європейських країнах, а також у Північній і Південній Америці, Австрії, Новій Зеландії було запроваджено страхування з безробіття. Ще однією характерною особливістю цього етапу стала розробка У. Беверіджем системи соціального страхування, яка базувалась на принципах одноманітності, універсальності та загальності. Таким чином, на</w:t>
      </w:r>
      <w:r>
        <w:rPr>
          <w:rFonts w:ascii="Times New Roman" w:hAnsi="Times New Roman" w:cs="Times New Roman"/>
          <w:sz w:val="21"/>
          <w:szCs w:val="21"/>
        </w:rPr>
        <w:t xml:space="preserve"> даному етапі «</w:t>
      </w:r>
      <w:r w:rsidRPr="00E97553">
        <w:rPr>
          <w:rFonts w:ascii="Times New Roman" w:hAnsi="Times New Roman" w:cs="Times New Roman"/>
          <w:sz w:val="21"/>
          <w:szCs w:val="21"/>
        </w:rPr>
        <w:t>…було сформульовано осн</w:t>
      </w:r>
      <w:r>
        <w:rPr>
          <w:rFonts w:ascii="Times New Roman" w:hAnsi="Times New Roman" w:cs="Times New Roman"/>
          <w:sz w:val="21"/>
          <w:szCs w:val="21"/>
        </w:rPr>
        <w:t>овні напрями теорії і практики «держави загального добробуту»</w:t>
      </w:r>
      <w:r w:rsidRPr="00E97553">
        <w:rPr>
          <w:rFonts w:ascii="Times New Roman" w:hAnsi="Times New Roman" w:cs="Times New Roman"/>
          <w:sz w:val="21"/>
          <w:szCs w:val="21"/>
        </w:rPr>
        <w:t>, які потім було покладено в основи концепцій соціально-економічної пол</w:t>
      </w:r>
      <w:r>
        <w:rPr>
          <w:rFonts w:ascii="Times New Roman" w:hAnsi="Times New Roman" w:cs="Times New Roman"/>
          <w:sz w:val="21"/>
          <w:szCs w:val="21"/>
        </w:rPr>
        <w:t>ітики інших європейських держав»</w:t>
      </w:r>
      <w:r w:rsidRPr="00E9755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_Ref435619852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w:t>
      </w:r>
      <w:r>
        <w:rPr>
          <w:rFonts w:ascii="Times New Roman" w:hAnsi="Times New Roman" w:cs="Times New Roman"/>
          <w:sz w:val="21"/>
          <w:szCs w:val="21"/>
          <w:highlight w:val="yellow"/>
        </w:rPr>
        <w:fldChar w:fldCharType="end"/>
      </w:r>
      <w:r w:rsidRPr="006C7057">
        <w:rPr>
          <w:rFonts w:ascii="Times New Roman" w:hAnsi="Times New Roman" w:cs="Times New Roman"/>
          <w:sz w:val="21"/>
          <w:szCs w:val="21"/>
        </w:rPr>
        <w:t>, с. 26]. Третій етап охоплює післявоєнний період і триває до тепер. Характеризується</w:t>
      </w:r>
      <w:r w:rsidRPr="00E97553">
        <w:rPr>
          <w:rFonts w:ascii="Times New Roman" w:hAnsi="Times New Roman" w:cs="Times New Roman"/>
          <w:sz w:val="21"/>
          <w:szCs w:val="21"/>
        </w:rPr>
        <w:t xml:space="preserve"> швидкими темпами збільшення соціальних видатків та більшою увагою вчених та політиків до питань майнової нерівності та перерозподілу суспільного продукту. </w:t>
      </w:r>
    </w:p>
    <w:p w:rsidR="00B233DE" w:rsidRPr="006C7057" w:rsidRDefault="00B233DE" w:rsidP="00B233DE">
      <w:pPr>
        <w:tabs>
          <w:tab w:val="left" w:pos="900"/>
          <w:tab w:val="left" w:pos="1428"/>
        </w:tabs>
        <w:ind w:firstLine="709"/>
        <w:jc w:val="both"/>
        <w:rPr>
          <w:rFonts w:ascii="Times New Roman" w:hAnsi="Times New Roman" w:cs="Times New Roman"/>
          <w:sz w:val="21"/>
          <w:szCs w:val="21"/>
        </w:rPr>
      </w:pPr>
      <w:r w:rsidRPr="00E97553">
        <w:rPr>
          <w:rFonts w:ascii="Times New Roman" w:hAnsi="Times New Roman" w:cs="Times New Roman"/>
          <w:sz w:val="21"/>
          <w:szCs w:val="21"/>
        </w:rPr>
        <w:t>Вагомий внесок у дослідження окремих аспектів соціальної політики внесли політологи, які здебільшого розглядали її в контексті побудови соціальної держави. Здійснюючи дослідження теоретичних засад та практичних аспектів функціонування соціальної держави з використанням інструментарію структурно-функціонального аналізу, Л.</w:t>
      </w:r>
      <w:r>
        <w:rPr>
          <w:rFonts w:ascii="Times New Roman" w:hAnsi="Times New Roman" w:cs="Times New Roman"/>
          <w:sz w:val="21"/>
          <w:szCs w:val="21"/>
        </w:rPr>
        <w:t xml:space="preserve"> </w:t>
      </w:r>
      <w:r w:rsidRPr="00E97553">
        <w:rPr>
          <w:rFonts w:ascii="Times New Roman" w:hAnsi="Times New Roman" w:cs="Times New Roman"/>
          <w:sz w:val="21"/>
          <w:szCs w:val="21"/>
        </w:rPr>
        <w:t xml:space="preserve">О. Четверікова розглядає моделі соціальної політики соціальних держав. Їх порівняльний аналіз дав змогу автору визначити, що «соціальні держави різняться передусім пропорцією участі держави та громадянського суспільства в системі соціальної політики. Якщо за соціал-демократичної моделі основним суб’єктом соціальної політики є держава, то ліберальна модель передбачає більш рівномірний розподіл функцій між державою та громадянським суспільством. </w:t>
      </w:r>
      <w:r w:rsidRPr="00E97553">
        <w:rPr>
          <w:rFonts w:ascii="Times New Roman" w:hAnsi="Times New Roman" w:cs="Times New Roman"/>
          <w:sz w:val="21"/>
          <w:szCs w:val="21"/>
        </w:rPr>
        <w:lastRenderedPageBreak/>
        <w:t>Окрім того, ліберальна модель соціальної держави більшою мірою орієнтована на індивідуальну ініціативу та відповідальність» [</w:t>
      </w:r>
      <w:r w:rsidRPr="006C7057">
        <w:rPr>
          <w:rFonts w:ascii="Times New Roman" w:hAnsi="Times New Roman" w:cs="Times New Roman"/>
          <w:sz w:val="21"/>
          <w:szCs w:val="21"/>
        </w:rPr>
        <w:fldChar w:fldCharType="begin"/>
      </w:r>
      <w:r w:rsidRPr="006C7057">
        <w:rPr>
          <w:rFonts w:ascii="Times New Roman" w:hAnsi="Times New Roman" w:cs="Times New Roman"/>
          <w:sz w:val="21"/>
          <w:szCs w:val="21"/>
        </w:rPr>
        <w:instrText xml:space="preserve"> REF _Ref435619877 \r \h </w:instrText>
      </w:r>
      <w:r>
        <w:rPr>
          <w:rFonts w:ascii="Times New Roman" w:hAnsi="Times New Roman" w:cs="Times New Roman"/>
          <w:sz w:val="21"/>
          <w:szCs w:val="21"/>
        </w:rPr>
        <w:instrText xml:space="preserve"> \* MERGEFORMAT </w:instrText>
      </w:r>
      <w:r w:rsidRPr="006C7057">
        <w:rPr>
          <w:rFonts w:ascii="Times New Roman" w:hAnsi="Times New Roman" w:cs="Times New Roman"/>
          <w:sz w:val="21"/>
          <w:szCs w:val="21"/>
        </w:rPr>
      </w:r>
      <w:r w:rsidRPr="006C7057">
        <w:rPr>
          <w:rFonts w:ascii="Times New Roman" w:hAnsi="Times New Roman" w:cs="Times New Roman"/>
          <w:sz w:val="21"/>
          <w:szCs w:val="21"/>
        </w:rPr>
        <w:fldChar w:fldCharType="separate"/>
      </w:r>
      <w:r w:rsidRPr="006C7057">
        <w:rPr>
          <w:rFonts w:ascii="Times New Roman" w:hAnsi="Times New Roman" w:cs="Times New Roman"/>
          <w:sz w:val="21"/>
          <w:szCs w:val="21"/>
        </w:rPr>
        <w:t>139</w:t>
      </w:r>
      <w:r w:rsidRPr="006C7057">
        <w:rPr>
          <w:rFonts w:ascii="Times New Roman" w:hAnsi="Times New Roman" w:cs="Times New Roman"/>
          <w:sz w:val="21"/>
          <w:szCs w:val="21"/>
        </w:rPr>
        <w:fldChar w:fldCharType="end"/>
      </w:r>
      <w:r w:rsidRPr="006C7057">
        <w:rPr>
          <w:rFonts w:ascii="Times New Roman" w:hAnsi="Times New Roman" w:cs="Times New Roman"/>
          <w:sz w:val="21"/>
          <w:szCs w:val="21"/>
        </w:rPr>
        <w:t>, с. 19].</w:t>
      </w:r>
    </w:p>
    <w:p w:rsidR="00B233DE" w:rsidRPr="00E97553" w:rsidRDefault="00B233DE" w:rsidP="00B233DE">
      <w:pPr>
        <w:tabs>
          <w:tab w:val="left" w:pos="900"/>
          <w:tab w:val="left" w:pos="1428"/>
        </w:tabs>
        <w:ind w:firstLine="709"/>
        <w:jc w:val="both"/>
        <w:rPr>
          <w:rFonts w:ascii="Times New Roman" w:hAnsi="Times New Roman" w:cs="Times New Roman"/>
          <w:sz w:val="21"/>
          <w:szCs w:val="21"/>
        </w:rPr>
      </w:pPr>
      <w:r w:rsidRPr="006C7057">
        <w:rPr>
          <w:rFonts w:ascii="Times New Roman" w:hAnsi="Times New Roman" w:cs="Times New Roman"/>
          <w:sz w:val="21"/>
          <w:szCs w:val="21"/>
        </w:rPr>
        <w:t>Продовжуючи тему аналізу моделей соціальної політики</w:t>
      </w:r>
      <w:r w:rsidRPr="00E97553">
        <w:rPr>
          <w:rFonts w:ascii="Times New Roman" w:hAnsi="Times New Roman" w:cs="Times New Roman"/>
          <w:sz w:val="21"/>
          <w:szCs w:val="21"/>
        </w:rPr>
        <w:t xml:space="preserve"> зазначимо, що у цій сфері досить важливе значення для України, яка знаходиться у пошуку дієвої моделі соціальної політики, має досвід зарубіжних економічно розвинутих країн.</w:t>
      </w:r>
      <w:r w:rsidRPr="00E97553">
        <w:rPr>
          <w:rStyle w:val="a9"/>
          <w:rFonts w:ascii="Times New Roman" w:hAnsi="Times New Roman" w:cs="Times New Roman"/>
          <w:sz w:val="21"/>
          <w:szCs w:val="21"/>
        </w:rPr>
        <w:t xml:space="preserve"> </w:t>
      </w:r>
      <w:r w:rsidRPr="00E97553">
        <w:rPr>
          <w:rStyle w:val="a9"/>
          <w:rFonts w:ascii="Times New Roman" w:hAnsi="Times New Roman" w:cs="Times New Roman"/>
          <w:b w:val="0"/>
          <w:sz w:val="21"/>
          <w:szCs w:val="21"/>
        </w:rPr>
        <w:t>Т. Семигіна виділяє</w:t>
      </w:r>
      <w:r w:rsidRPr="00E97553">
        <w:rPr>
          <w:rStyle w:val="a9"/>
          <w:rFonts w:ascii="Times New Roman" w:hAnsi="Times New Roman" w:cs="Times New Roman"/>
          <w:sz w:val="21"/>
          <w:szCs w:val="21"/>
        </w:rPr>
        <w:t xml:space="preserve"> </w:t>
      </w:r>
      <w:r>
        <w:rPr>
          <w:rStyle w:val="a9"/>
          <w:rFonts w:ascii="Times New Roman" w:hAnsi="Times New Roman" w:cs="Times New Roman"/>
          <w:b w:val="0"/>
          <w:sz w:val="21"/>
          <w:szCs w:val="21"/>
        </w:rPr>
        <w:t>«</w:t>
      </w:r>
      <w:r w:rsidRPr="00E97553">
        <w:rPr>
          <w:rStyle w:val="rvts8"/>
          <w:sz w:val="21"/>
          <w:szCs w:val="21"/>
        </w:rPr>
        <w:t>ліберальні моделі соціальної політики (Великобританія, США), у яких забезпечення нужденних здійснюється на основі залишкового принципу із фінансуванням за рахунок державних зборів і податків; корпоративістські моделі (Німеччина, Японія), що ґрунтуються на обов’язковому соціальному страхуванні, і соціал-демократичні моделі (Швеція), де перерозподіл доходів здійснюється завдяки</w:t>
      </w:r>
      <w:r>
        <w:rPr>
          <w:rStyle w:val="rvts8"/>
          <w:sz w:val="21"/>
          <w:szCs w:val="21"/>
        </w:rPr>
        <w:t xml:space="preserve"> високому рівню оподатковування»</w:t>
      </w:r>
      <w:r w:rsidRPr="00E9755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_Ref435619894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91</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 16]</w:t>
      </w:r>
      <w:r>
        <w:rPr>
          <w:rStyle w:val="rvts7"/>
          <w:sz w:val="21"/>
          <w:szCs w:val="21"/>
        </w:rPr>
        <w:t>. Водночас, вона зазначає, що «</w:t>
      </w:r>
      <w:r w:rsidRPr="00E97553">
        <w:rPr>
          <w:rFonts w:ascii="Times New Roman" w:hAnsi="Times New Roman" w:cs="Times New Roman"/>
          <w:sz w:val="21"/>
          <w:szCs w:val="21"/>
        </w:rPr>
        <w:t>на нинішньому етапі в економічно розвинутих країнах існують схожі тенденції розвитку соціальної політики, а саме: посилення орієнтації на роботу в громаді, розвиток волонтерських та комерційних організацій, що надають соціальні послуги, впровадження ринкових відносин у соціальне страхування, зокрема, поширення приватного пенсійного та медичного страхування, поглиблення адресності програм соціальної допомоги, поширення принципу перевірки матеріального становища при призначенні матеріальної допомоги, зменшення ролі профспілок у</w:t>
      </w:r>
      <w:r>
        <w:rPr>
          <w:rFonts w:ascii="Times New Roman" w:hAnsi="Times New Roman" w:cs="Times New Roman"/>
          <w:sz w:val="21"/>
          <w:szCs w:val="21"/>
        </w:rPr>
        <w:t xml:space="preserve"> регулюванні питань ринку праці»</w:t>
      </w:r>
      <w:r w:rsidRPr="00E97553">
        <w:rPr>
          <w:rFonts w:ascii="Times New Roman" w:hAnsi="Times New Roman" w:cs="Times New Roman"/>
          <w:sz w:val="21"/>
          <w:szCs w:val="21"/>
        </w:rPr>
        <w:t xml:space="preserve"> [</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_Ref435619894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91</w:t>
      </w:r>
      <w:r>
        <w:rPr>
          <w:rFonts w:ascii="Times New Roman" w:hAnsi="Times New Roman" w:cs="Times New Roman"/>
          <w:sz w:val="21"/>
          <w:szCs w:val="21"/>
        </w:rPr>
        <w:fldChar w:fldCharType="end"/>
      </w:r>
      <w:r w:rsidRPr="00E97553">
        <w:rPr>
          <w:rFonts w:ascii="Times New Roman" w:hAnsi="Times New Roman" w:cs="Times New Roman"/>
          <w:sz w:val="21"/>
          <w:szCs w:val="21"/>
        </w:rPr>
        <w:t xml:space="preserve">]. Однак, слід зауважити, що більшість з цих тенденцій для України непритаманні. </w:t>
      </w:r>
    </w:p>
    <w:p w:rsidR="00B233DE" w:rsidRPr="00E97553" w:rsidRDefault="00B233DE" w:rsidP="00B233DE">
      <w:pPr>
        <w:tabs>
          <w:tab w:val="left" w:pos="900"/>
          <w:tab w:val="left" w:pos="1400"/>
        </w:tabs>
        <w:ind w:firstLine="709"/>
        <w:jc w:val="both"/>
        <w:rPr>
          <w:rFonts w:ascii="Times New Roman" w:hAnsi="Times New Roman" w:cs="Times New Roman"/>
          <w:sz w:val="21"/>
          <w:szCs w:val="21"/>
        </w:rPr>
      </w:pPr>
      <w:r w:rsidRPr="00E97553">
        <w:rPr>
          <w:rFonts w:ascii="Times New Roman" w:hAnsi="Times New Roman" w:cs="Times New Roman"/>
          <w:sz w:val="21"/>
          <w:szCs w:val="21"/>
        </w:rPr>
        <w:t>Спроби пошуку вирішення соціальних проблем в Україні посилили увагу вчених до соціальної політики як наукової дисципліни. Проголошуючи у 1996</w:t>
      </w:r>
      <w:r>
        <w:rPr>
          <w:rFonts w:ascii="Times New Roman" w:hAnsi="Times New Roman" w:cs="Times New Roman"/>
          <w:sz w:val="21"/>
          <w:szCs w:val="21"/>
        </w:rPr>
        <w:t xml:space="preserve"> </w:t>
      </w:r>
      <w:r w:rsidRPr="00E97553">
        <w:rPr>
          <w:rFonts w:ascii="Times New Roman" w:hAnsi="Times New Roman" w:cs="Times New Roman"/>
          <w:sz w:val="21"/>
          <w:szCs w:val="21"/>
        </w:rPr>
        <w:t>р. Україну соціальною державою, шляхів побудови тако</w:t>
      </w:r>
      <w:r>
        <w:rPr>
          <w:rFonts w:ascii="Times New Roman" w:hAnsi="Times New Roman" w:cs="Times New Roman"/>
          <w:sz w:val="21"/>
          <w:szCs w:val="21"/>
        </w:rPr>
        <w:t>ї держави не було визначено. Я. </w:t>
      </w:r>
      <w:r w:rsidRPr="00E97553">
        <w:rPr>
          <w:rFonts w:ascii="Times New Roman" w:hAnsi="Times New Roman" w:cs="Times New Roman"/>
          <w:sz w:val="21"/>
          <w:szCs w:val="21"/>
        </w:rPr>
        <w:t>Ягодка</w:t>
      </w:r>
      <w:r>
        <w:rPr>
          <w:rFonts w:ascii="Times New Roman" w:hAnsi="Times New Roman" w:cs="Times New Roman"/>
          <w:sz w:val="21"/>
          <w:szCs w:val="21"/>
        </w:rPr>
        <w:t xml:space="preserve"> пропонував її створення через «</w:t>
      </w:r>
      <w:r w:rsidRPr="00E97553">
        <w:rPr>
          <w:rFonts w:ascii="Times New Roman" w:hAnsi="Times New Roman" w:cs="Times New Roman"/>
          <w:sz w:val="21"/>
          <w:szCs w:val="21"/>
        </w:rPr>
        <w:t>забезпечення збалансованого функціонування суспільства без струсів і потрясінь, досягнення в суспільстві злагоди, стабільності та соціальної цілісно</w:t>
      </w:r>
      <w:r>
        <w:rPr>
          <w:rFonts w:ascii="Times New Roman" w:hAnsi="Times New Roman" w:cs="Times New Roman"/>
          <w:sz w:val="21"/>
          <w:szCs w:val="21"/>
        </w:rPr>
        <w:t>сті…»</w:t>
      </w:r>
      <w:r w:rsidRPr="00E9755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_Ref435619905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147</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 19], В.</w:t>
      </w:r>
      <w:r>
        <w:t> </w:t>
      </w:r>
      <w:r w:rsidRPr="00E97553">
        <w:rPr>
          <w:rFonts w:ascii="Times New Roman" w:hAnsi="Times New Roman" w:cs="Times New Roman"/>
          <w:sz w:val="21"/>
          <w:szCs w:val="21"/>
        </w:rPr>
        <w:t>Піча та Н. Хома – через підвищення вартості національної робочої сили, підвищення платоспроможного попиту населення, посилення мотивації праці, тощо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_Ref435619915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76</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 120], але більшість вчених схилялися до думки побудови соціальної держави через створення чи</w:t>
      </w:r>
      <w:r w:rsidRPr="00E97553">
        <w:rPr>
          <w:rFonts w:ascii="Times New Roman" w:hAnsi="Times New Roman" w:cs="Times New Roman"/>
          <w:sz w:val="21"/>
          <w:szCs w:val="21"/>
          <w:lang w:val="en-US"/>
        </w:rPr>
        <w:t>c</w:t>
      </w:r>
      <w:r w:rsidRPr="00E97553">
        <w:rPr>
          <w:rFonts w:ascii="Times New Roman" w:hAnsi="Times New Roman" w:cs="Times New Roman"/>
          <w:sz w:val="21"/>
          <w:szCs w:val="21"/>
        </w:rPr>
        <w:t xml:space="preserve">ленного </w:t>
      </w:r>
      <w:r w:rsidRPr="00E97553">
        <w:rPr>
          <w:rFonts w:ascii="Times New Roman" w:hAnsi="Times New Roman" w:cs="Times New Roman"/>
          <w:sz w:val="21"/>
          <w:szCs w:val="21"/>
          <w:lang w:val="en-US"/>
        </w:rPr>
        <w:t>c</w:t>
      </w:r>
      <w:r w:rsidRPr="00E97553">
        <w:rPr>
          <w:rFonts w:ascii="Times New Roman" w:hAnsi="Times New Roman" w:cs="Times New Roman"/>
          <w:sz w:val="21"/>
          <w:szCs w:val="21"/>
        </w:rPr>
        <w:t>ереднього кла</w:t>
      </w:r>
      <w:r w:rsidRPr="00E97553">
        <w:rPr>
          <w:rFonts w:ascii="Times New Roman" w:hAnsi="Times New Roman" w:cs="Times New Roman"/>
          <w:sz w:val="21"/>
          <w:szCs w:val="21"/>
          <w:lang w:val="en-US"/>
        </w:rPr>
        <w:t>c</w:t>
      </w:r>
      <w:r w:rsidRPr="00E97553">
        <w:rPr>
          <w:rFonts w:ascii="Times New Roman" w:hAnsi="Times New Roman" w:cs="Times New Roman"/>
          <w:sz w:val="21"/>
          <w:szCs w:val="21"/>
        </w:rPr>
        <w:t xml:space="preserve">у. Однак жоден з цих </w:t>
      </w:r>
      <w:r w:rsidRPr="00E97553">
        <w:rPr>
          <w:rFonts w:ascii="Times New Roman" w:hAnsi="Times New Roman" w:cs="Times New Roman"/>
          <w:sz w:val="21"/>
          <w:szCs w:val="21"/>
        </w:rPr>
        <w:lastRenderedPageBreak/>
        <w:t xml:space="preserve">шляхів так і не був реалізований в повному обсязі. Отже завдання для науковців різних галузей залишається відкритим. </w:t>
      </w:r>
    </w:p>
    <w:p w:rsidR="00B233DE" w:rsidRPr="00E97553" w:rsidRDefault="00B233DE" w:rsidP="00B233DE">
      <w:pPr>
        <w:tabs>
          <w:tab w:val="left" w:pos="900"/>
          <w:tab w:val="left" w:pos="1414"/>
        </w:tabs>
        <w:ind w:firstLine="709"/>
        <w:jc w:val="both"/>
        <w:rPr>
          <w:rFonts w:ascii="Times New Roman" w:hAnsi="Times New Roman" w:cs="Times New Roman"/>
          <w:sz w:val="21"/>
          <w:szCs w:val="21"/>
        </w:rPr>
      </w:pPr>
      <w:r w:rsidRPr="00E97553">
        <w:rPr>
          <w:rFonts w:ascii="Times New Roman" w:hAnsi="Times New Roman" w:cs="Times New Roman"/>
          <w:sz w:val="21"/>
          <w:szCs w:val="21"/>
        </w:rPr>
        <w:t>Підкреслимо, що соціальна функція є однією з головних функцій соціальної держави, оскільки основними її цінностями, за твердженнями представників класичного лібералізму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_Ref435619925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35</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_Ref435619931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65</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_Ref435619937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133</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та представників позитивізму</w:t>
      </w:r>
      <w:r>
        <w:rPr>
          <w:rFonts w:ascii="Times New Roman" w:hAnsi="Times New Roman" w:cs="Times New Roman"/>
          <w:sz w:val="21"/>
          <w:szCs w:val="21"/>
        </w:rPr>
        <w:t xml:space="preserve"> </w:t>
      </w:r>
      <w:r w:rsidRPr="00E97553">
        <w:rPr>
          <w:rFonts w:ascii="Times New Roman" w:hAnsi="Times New Roman" w:cs="Times New Roman"/>
          <w:sz w:val="21"/>
          <w:szCs w:val="21"/>
        </w:rPr>
        <w:t>[</w:t>
      </w:r>
      <w:r>
        <w:rPr>
          <w:rStyle w:val="citation"/>
          <w:rFonts w:ascii="Times New Roman" w:hAnsi="Times New Roman"/>
          <w:sz w:val="21"/>
          <w:szCs w:val="21"/>
          <w:highlight w:val="yellow"/>
        </w:rPr>
        <w:fldChar w:fldCharType="begin"/>
      </w:r>
      <w:r>
        <w:rPr>
          <w:rFonts w:ascii="Times New Roman" w:hAnsi="Times New Roman" w:cs="Times New Roman"/>
          <w:sz w:val="21"/>
          <w:szCs w:val="21"/>
        </w:rPr>
        <w:instrText xml:space="preserve"> REF _Ref435619945 \r \h </w:instrText>
      </w:r>
      <w:r>
        <w:rPr>
          <w:rStyle w:val="citation"/>
          <w:rFonts w:ascii="Times New Roman" w:hAnsi="Times New Roman"/>
          <w:sz w:val="21"/>
          <w:szCs w:val="21"/>
          <w:highlight w:val="yellow"/>
        </w:rPr>
      </w:r>
      <w:r>
        <w:rPr>
          <w:rStyle w:val="citation"/>
          <w:rFonts w:ascii="Times New Roman" w:hAnsi="Times New Roman"/>
          <w:sz w:val="21"/>
          <w:szCs w:val="21"/>
          <w:highlight w:val="yellow"/>
        </w:rPr>
        <w:fldChar w:fldCharType="separate"/>
      </w:r>
      <w:r>
        <w:rPr>
          <w:rFonts w:ascii="Times New Roman" w:hAnsi="Times New Roman" w:cs="Times New Roman"/>
          <w:sz w:val="21"/>
          <w:szCs w:val="21"/>
        </w:rPr>
        <w:t>51</w:t>
      </w:r>
      <w:r>
        <w:rPr>
          <w:rStyle w:val="citation"/>
          <w:rFonts w:ascii="Times New Roman" w:hAnsi="Times New Roman"/>
          <w:sz w:val="21"/>
          <w:szCs w:val="21"/>
          <w:highlight w:val="yellow"/>
        </w:rPr>
        <w:fldChar w:fldCharType="end"/>
      </w:r>
      <w:r w:rsidRPr="00E97553">
        <w:rPr>
          <w:rFonts w:ascii="Times New Roman" w:hAnsi="Times New Roman" w:cs="Times New Roman"/>
          <w:sz w:val="21"/>
          <w:szCs w:val="21"/>
        </w:rPr>
        <w:t>], є свобода, рівність, справедливість та солідарність. Нового гуманного змісту ці цінності набули завдяки представникам течії соціального лібералізму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_Ref435619951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63</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_Ref435619960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96</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_Ref435619967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117</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які пропонували за допомогою держави пом’якшити суспільну нерівність. Політику держави, спрямовану на пом’якшення не</w:t>
      </w:r>
      <w:r>
        <w:rPr>
          <w:rFonts w:ascii="Times New Roman" w:hAnsi="Times New Roman" w:cs="Times New Roman"/>
          <w:sz w:val="21"/>
          <w:szCs w:val="21"/>
        </w:rPr>
        <w:t>рівності в розподілі доходів В. </w:t>
      </w:r>
      <w:r w:rsidRPr="00E97553">
        <w:rPr>
          <w:rFonts w:ascii="Times New Roman" w:hAnsi="Times New Roman" w:cs="Times New Roman"/>
          <w:sz w:val="21"/>
          <w:szCs w:val="21"/>
        </w:rPr>
        <w:t>Новіков називає соціальною політикою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_Ref435619974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68</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w:t>
      </w:r>
      <w:r w:rsidRPr="00E97553" w:rsidDel="004F6D8B">
        <w:rPr>
          <w:rFonts w:ascii="Times New Roman" w:hAnsi="Times New Roman" w:cs="Times New Roman"/>
          <w:sz w:val="21"/>
          <w:szCs w:val="21"/>
        </w:rPr>
        <w:t xml:space="preserve"> </w:t>
      </w:r>
      <w:r w:rsidRPr="00E97553">
        <w:rPr>
          <w:rFonts w:ascii="Times New Roman" w:hAnsi="Times New Roman" w:cs="Times New Roman"/>
          <w:sz w:val="21"/>
          <w:szCs w:val="21"/>
        </w:rPr>
        <w:t>23].</w:t>
      </w:r>
    </w:p>
    <w:p w:rsidR="00B233DE" w:rsidRDefault="00B233DE" w:rsidP="00B233DE">
      <w:pPr>
        <w:ind w:firstLine="709"/>
        <w:jc w:val="both"/>
        <w:rPr>
          <w:rFonts w:ascii="Times New Roman" w:hAnsi="Times New Roman" w:cs="Times New Roman"/>
          <w:spacing w:val="-4"/>
          <w:sz w:val="21"/>
          <w:szCs w:val="21"/>
        </w:rPr>
      </w:pPr>
      <w:r w:rsidRPr="00E97553">
        <w:rPr>
          <w:rFonts w:ascii="Times New Roman" w:hAnsi="Times New Roman" w:cs="Times New Roman"/>
          <w:sz w:val="21"/>
          <w:szCs w:val="21"/>
        </w:rPr>
        <w:t xml:space="preserve">Незважаючи на велику кількість її трактувань, </w:t>
      </w:r>
      <w:r w:rsidRPr="00E97553">
        <w:rPr>
          <w:rFonts w:ascii="Times New Roman" w:hAnsi="Times New Roman" w:cs="Times New Roman"/>
          <w:spacing w:val="-4"/>
          <w:sz w:val="21"/>
          <w:szCs w:val="21"/>
        </w:rPr>
        <w:t>загальноприйнятого або найширше вживаного визначен</w:t>
      </w:r>
      <w:r>
        <w:rPr>
          <w:rFonts w:ascii="Times New Roman" w:hAnsi="Times New Roman" w:cs="Times New Roman"/>
          <w:spacing w:val="-4"/>
          <w:sz w:val="21"/>
          <w:szCs w:val="21"/>
        </w:rPr>
        <w:t>ня соціальної політики не існує (табл. 5.2).</w:t>
      </w:r>
    </w:p>
    <w:p w:rsidR="00B233DE" w:rsidRPr="00E97553" w:rsidRDefault="00B233DE" w:rsidP="00B233DE">
      <w:pPr>
        <w:ind w:firstLine="709"/>
        <w:jc w:val="both"/>
        <w:rPr>
          <w:rFonts w:ascii="Times New Roman" w:hAnsi="Times New Roman" w:cs="Times New Roman"/>
          <w:spacing w:val="-4"/>
          <w:sz w:val="21"/>
          <w:szCs w:val="21"/>
        </w:rPr>
      </w:pPr>
    </w:p>
    <w:p w:rsidR="00B233DE" w:rsidRPr="00E97553" w:rsidRDefault="00B233DE" w:rsidP="00B233DE">
      <w:pPr>
        <w:ind w:firstLine="709"/>
        <w:jc w:val="right"/>
        <w:rPr>
          <w:rFonts w:ascii="Times New Roman" w:hAnsi="Times New Roman" w:cs="Times New Roman"/>
          <w:spacing w:val="-4"/>
          <w:sz w:val="21"/>
          <w:szCs w:val="21"/>
        </w:rPr>
      </w:pPr>
      <w:r w:rsidRPr="00E97553">
        <w:rPr>
          <w:rFonts w:ascii="Times New Roman" w:hAnsi="Times New Roman" w:cs="Times New Roman"/>
          <w:spacing w:val="-4"/>
          <w:sz w:val="21"/>
          <w:szCs w:val="21"/>
        </w:rPr>
        <w:t xml:space="preserve">Таблиця </w:t>
      </w:r>
      <w:r>
        <w:rPr>
          <w:rFonts w:ascii="Times New Roman" w:hAnsi="Times New Roman" w:cs="Times New Roman"/>
          <w:spacing w:val="-4"/>
          <w:sz w:val="21"/>
          <w:szCs w:val="21"/>
        </w:rPr>
        <w:t>5</w:t>
      </w:r>
      <w:r w:rsidRPr="00E97553">
        <w:rPr>
          <w:rFonts w:ascii="Times New Roman" w:hAnsi="Times New Roman" w:cs="Times New Roman"/>
          <w:spacing w:val="-4"/>
          <w:sz w:val="21"/>
          <w:szCs w:val="21"/>
        </w:rPr>
        <w:t>.</w:t>
      </w:r>
      <w:r>
        <w:rPr>
          <w:rFonts w:ascii="Times New Roman" w:hAnsi="Times New Roman" w:cs="Times New Roman"/>
          <w:spacing w:val="-4"/>
          <w:sz w:val="21"/>
          <w:szCs w:val="21"/>
        </w:rPr>
        <w:t>2</w:t>
      </w:r>
      <w:r w:rsidRPr="00E97553">
        <w:rPr>
          <w:rFonts w:ascii="Times New Roman" w:hAnsi="Times New Roman" w:cs="Times New Roman"/>
          <w:spacing w:val="-4"/>
          <w:sz w:val="21"/>
          <w:szCs w:val="21"/>
        </w:rPr>
        <w:t xml:space="preserve">. </w:t>
      </w:r>
    </w:p>
    <w:p w:rsidR="00B233DE" w:rsidRPr="00C964F8" w:rsidRDefault="00B233DE" w:rsidP="00B233DE">
      <w:pPr>
        <w:tabs>
          <w:tab w:val="left" w:pos="3705"/>
        </w:tabs>
        <w:ind w:firstLine="709"/>
        <w:jc w:val="center"/>
        <w:rPr>
          <w:rFonts w:ascii="Times New Roman" w:hAnsi="Times New Roman" w:cs="Times New Roman"/>
          <w:b/>
          <w:spacing w:val="-4"/>
          <w:sz w:val="21"/>
          <w:szCs w:val="21"/>
        </w:rPr>
      </w:pPr>
      <w:r w:rsidRPr="00C964F8">
        <w:rPr>
          <w:rFonts w:ascii="Times New Roman" w:hAnsi="Times New Roman" w:cs="Times New Roman"/>
          <w:b/>
          <w:spacing w:val="-4"/>
          <w:sz w:val="21"/>
          <w:szCs w:val="21"/>
        </w:rPr>
        <w:t>Зміст поняття «соціальна політика»</w:t>
      </w:r>
    </w:p>
    <w:tbl>
      <w:tblPr>
        <w:tblStyle w:val="afe"/>
        <w:tblW w:w="6096" w:type="dxa"/>
        <w:tblInd w:w="108" w:type="dxa"/>
        <w:tblLayout w:type="fixed"/>
        <w:tblLook w:val="01E0" w:firstRow="1" w:lastRow="1" w:firstColumn="1" w:lastColumn="1" w:noHBand="0" w:noVBand="0"/>
      </w:tblPr>
      <w:tblGrid>
        <w:gridCol w:w="993"/>
        <w:gridCol w:w="992"/>
        <w:gridCol w:w="4111"/>
      </w:tblGrid>
      <w:tr w:rsidR="00B233DE" w:rsidRPr="00DA60BC" w:rsidTr="0023489B">
        <w:tc>
          <w:tcPr>
            <w:tcW w:w="993" w:type="dxa"/>
            <w:vAlign w:val="center"/>
          </w:tcPr>
          <w:p w:rsidR="00B233DE" w:rsidRPr="00DA60BC" w:rsidRDefault="00B233DE" w:rsidP="0023489B">
            <w:pPr>
              <w:jc w:val="center"/>
              <w:rPr>
                <w:sz w:val="16"/>
                <w:szCs w:val="16"/>
              </w:rPr>
            </w:pPr>
            <w:r w:rsidRPr="00DA60BC">
              <w:rPr>
                <w:sz w:val="16"/>
                <w:szCs w:val="16"/>
              </w:rPr>
              <w:t>Наукова дисципліна</w:t>
            </w:r>
          </w:p>
        </w:tc>
        <w:tc>
          <w:tcPr>
            <w:tcW w:w="992" w:type="dxa"/>
            <w:vAlign w:val="center"/>
          </w:tcPr>
          <w:p w:rsidR="00B233DE" w:rsidRPr="00DA60BC" w:rsidRDefault="00B233DE" w:rsidP="0023489B">
            <w:pPr>
              <w:jc w:val="center"/>
              <w:rPr>
                <w:sz w:val="16"/>
                <w:szCs w:val="16"/>
              </w:rPr>
            </w:pPr>
            <w:r w:rsidRPr="00DA60BC">
              <w:rPr>
                <w:sz w:val="16"/>
                <w:szCs w:val="16"/>
              </w:rPr>
              <w:t>Автор</w:t>
            </w:r>
          </w:p>
        </w:tc>
        <w:tc>
          <w:tcPr>
            <w:tcW w:w="4111" w:type="dxa"/>
            <w:vAlign w:val="center"/>
          </w:tcPr>
          <w:p w:rsidR="00B233DE" w:rsidRPr="00DA60BC" w:rsidRDefault="00B233DE" w:rsidP="0023489B">
            <w:pPr>
              <w:ind w:right="-135"/>
              <w:jc w:val="center"/>
              <w:rPr>
                <w:sz w:val="16"/>
                <w:szCs w:val="16"/>
              </w:rPr>
            </w:pPr>
            <w:r w:rsidRPr="00DA60BC">
              <w:rPr>
                <w:sz w:val="16"/>
                <w:szCs w:val="16"/>
              </w:rPr>
              <w:t>Зміст поняття</w:t>
            </w:r>
          </w:p>
        </w:tc>
      </w:tr>
      <w:tr w:rsidR="00B233DE" w:rsidRPr="00DA60BC" w:rsidTr="0023489B">
        <w:tc>
          <w:tcPr>
            <w:tcW w:w="993" w:type="dxa"/>
            <w:vAlign w:val="center"/>
          </w:tcPr>
          <w:p w:rsidR="00B233DE" w:rsidRPr="00DA60BC" w:rsidRDefault="00B233DE" w:rsidP="0023489B">
            <w:pPr>
              <w:jc w:val="center"/>
              <w:rPr>
                <w:sz w:val="16"/>
                <w:szCs w:val="16"/>
              </w:rPr>
            </w:pPr>
            <w:r>
              <w:rPr>
                <w:sz w:val="16"/>
                <w:szCs w:val="16"/>
              </w:rPr>
              <w:t>1</w:t>
            </w:r>
          </w:p>
        </w:tc>
        <w:tc>
          <w:tcPr>
            <w:tcW w:w="992" w:type="dxa"/>
            <w:vAlign w:val="center"/>
          </w:tcPr>
          <w:p w:rsidR="00B233DE" w:rsidRPr="00DA60BC" w:rsidRDefault="00B233DE" w:rsidP="0023489B">
            <w:pPr>
              <w:jc w:val="center"/>
              <w:rPr>
                <w:sz w:val="16"/>
                <w:szCs w:val="16"/>
              </w:rPr>
            </w:pPr>
            <w:r>
              <w:rPr>
                <w:sz w:val="16"/>
                <w:szCs w:val="16"/>
              </w:rPr>
              <w:t>2</w:t>
            </w:r>
          </w:p>
        </w:tc>
        <w:tc>
          <w:tcPr>
            <w:tcW w:w="4111" w:type="dxa"/>
            <w:vAlign w:val="center"/>
          </w:tcPr>
          <w:p w:rsidR="00B233DE" w:rsidRPr="00DA60BC" w:rsidRDefault="00B233DE" w:rsidP="0023489B">
            <w:pPr>
              <w:ind w:right="-135"/>
              <w:jc w:val="center"/>
              <w:rPr>
                <w:sz w:val="16"/>
                <w:szCs w:val="16"/>
              </w:rPr>
            </w:pPr>
            <w:r>
              <w:rPr>
                <w:sz w:val="16"/>
                <w:szCs w:val="16"/>
              </w:rPr>
              <w:t>3</w:t>
            </w:r>
          </w:p>
        </w:tc>
      </w:tr>
      <w:tr w:rsidR="00B233DE" w:rsidRPr="00DA60BC" w:rsidTr="0023489B">
        <w:tc>
          <w:tcPr>
            <w:tcW w:w="993" w:type="dxa"/>
            <w:vMerge w:val="restart"/>
            <w:vAlign w:val="center"/>
          </w:tcPr>
          <w:p w:rsidR="00B233DE" w:rsidRPr="00DA60BC" w:rsidRDefault="00B233DE" w:rsidP="0023489B">
            <w:pPr>
              <w:jc w:val="center"/>
              <w:rPr>
                <w:sz w:val="16"/>
                <w:szCs w:val="16"/>
              </w:rPr>
            </w:pPr>
            <w:r w:rsidRPr="00DA60BC">
              <w:rPr>
                <w:sz w:val="16"/>
                <w:szCs w:val="16"/>
              </w:rPr>
              <w:t>Державне управління</w:t>
            </w:r>
          </w:p>
        </w:tc>
        <w:tc>
          <w:tcPr>
            <w:tcW w:w="992" w:type="dxa"/>
            <w:vAlign w:val="center"/>
          </w:tcPr>
          <w:p w:rsidR="00B233DE" w:rsidRPr="00DA60BC" w:rsidRDefault="00B233DE" w:rsidP="0023489B">
            <w:pPr>
              <w:ind w:left="-108" w:right="-108"/>
              <w:jc w:val="center"/>
              <w:rPr>
                <w:sz w:val="16"/>
                <w:szCs w:val="16"/>
              </w:rPr>
            </w:pPr>
            <w:r w:rsidRPr="00DA60BC">
              <w:rPr>
                <w:sz w:val="16"/>
                <w:szCs w:val="16"/>
              </w:rPr>
              <w:t>О. Новікова,</w:t>
            </w:r>
          </w:p>
          <w:p w:rsidR="00B233DE" w:rsidRPr="00DA60BC" w:rsidRDefault="00B233DE" w:rsidP="0023489B">
            <w:pPr>
              <w:ind w:left="-108" w:right="-108"/>
              <w:jc w:val="center"/>
              <w:rPr>
                <w:sz w:val="16"/>
                <w:szCs w:val="16"/>
              </w:rPr>
            </w:pPr>
            <w:r w:rsidRPr="00DA60BC">
              <w:rPr>
                <w:sz w:val="16"/>
                <w:szCs w:val="16"/>
              </w:rPr>
              <w:t>[</w:t>
            </w:r>
            <w:r>
              <w:rPr>
                <w:sz w:val="16"/>
                <w:szCs w:val="16"/>
              </w:rPr>
              <w:fldChar w:fldCharType="begin"/>
            </w:r>
            <w:r>
              <w:rPr>
                <w:sz w:val="16"/>
                <w:szCs w:val="16"/>
              </w:rPr>
              <w:instrText xml:space="preserve"> REF _Ref435619986 \r \h  \* MERGEFORMAT </w:instrText>
            </w:r>
            <w:r>
              <w:rPr>
                <w:sz w:val="16"/>
                <w:szCs w:val="16"/>
              </w:rPr>
            </w:r>
            <w:r>
              <w:rPr>
                <w:sz w:val="16"/>
                <w:szCs w:val="16"/>
              </w:rPr>
              <w:fldChar w:fldCharType="separate"/>
            </w:r>
            <w:r>
              <w:rPr>
                <w:sz w:val="16"/>
                <w:szCs w:val="16"/>
              </w:rPr>
              <w:t>67</w:t>
            </w:r>
            <w:r>
              <w:rPr>
                <w:sz w:val="16"/>
                <w:szCs w:val="16"/>
              </w:rPr>
              <w:fldChar w:fldCharType="end"/>
            </w:r>
            <w:r w:rsidRPr="00DA60BC">
              <w:rPr>
                <w:sz w:val="16"/>
                <w:szCs w:val="16"/>
              </w:rPr>
              <w:t>, с. 54]</w:t>
            </w:r>
          </w:p>
        </w:tc>
        <w:tc>
          <w:tcPr>
            <w:tcW w:w="4111" w:type="dxa"/>
          </w:tcPr>
          <w:p w:rsidR="00B233DE" w:rsidRPr="00DA60BC" w:rsidRDefault="00B233DE" w:rsidP="0023489B">
            <w:pPr>
              <w:ind w:right="-108"/>
              <w:jc w:val="both"/>
              <w:rPr>
                <w:sz w:val="16"/>
                <w:szCs w:val="16"/>
              </w:rPr>
            </w:pPr>
            <w:r w:rsidRPr="00DA60BC">
              <w:rPr>
                <w:sz w:val="16"/>
                <w:szCs w:val="16"/>
              </w:rPr>
              <w:t>«…підсистема політики держави, спрямована на регу</w:t>
            </w:r>
            <w:r>
              <w:rPr>
                <w:sz w:val="16"/>
                <w:szCs w:val="16"/>
              </w:rPr>
              <w:t>-</w:t>
            </w:r>
            <w:r w:rsidRPr="00DA60BC">
              <w:rPr>
                <w:sz w:val="16"/>
                <w:szCs w:val="16"/>
              </w:rPr>
              <w:t>лювання системи соціальних відносин, соціальний розвиток та забезпечення соціальної перспективи»</w:t>
            </w:r>
          </w:p>
        </w:tc>
      </w:tr>
      <w:tr w:rsidR="00B233DE" w:rsidRPr="00DA60BC" w:rsidTr="0023489B">
        <w:tc>
          <w:tcPr>
            <w:tcW w:w="993" w:type="dxa"/>
            <w:vMerge/>
            <w:vAlign w:val="center"/>
          </w:tcPr>
          <w:p w:rsidR="00B233DE" w:rsidRPr="00DA60BC" w:rsidRDefault="00B233DE" w:rsidP="0023489B">
            <w:pPr>
              <w:jc w:val="center"/>
              <w:rPr>
                <w:sz w:val="16"/>
                <w:szCs w:val="16"/>
              </w:rPr>
            </w:pPr>
          </w:p>
        </w:tc>
        <w:tc>
          <w:tcPr>
            <w:tcW w:w="992" w:type="dxa"/>
            <w:vAlign w:val="center"/>
          </w:tcPr>
          <w:p w:rsidR="00B233DE" w:rsidRPr="00DA60BC" w:rsidRDefault="00B233DE" w:rsidP="0023489B">
            <w:pPr>
              <w:ind w:left="-108" w:right="-108"/>
              <w:jc w:val="center"/>
              <w:rPr>
                <w:sz w:val="16"/>
                <w:szCs w:val="16"/>
              </w:rPr>
            </w:pPr>
            <w:r w:rsidRPr="00DA60BC">
              <w:rPr>
                <w:sz w:val="16"/>
                <w:szCs w:val="16"/>
              </w:rPr>
              <w:t>В. Капіцин [</w:t>
            </w:r>
            <w:r>
              <w:rPr>
                <w:sz w:val="16"/>
                <w:szCs w:val="16"/>
              </w:rPr>
              <w:fldChar w:fldCharType="begin"/>
            </w:r>
            <w:r>
              <w:rPr>
                <w:sz w:val="16"/>
                <w:szCs w:val="16"/>
              </w:rPr>
              <w:instrText xml:space="preserve"> REF _Ref435619992 \r \h  \* MERGEFORMAT </w:instrText>
            </w:r>
            <w:r>
              <w:rPr>
                <w:sz w:val="16"/>
                <w:szCs w:val="16"/>
              </w:rPr>
            </w:r>
            <w:r>
              <w:rPr>
                <w:sz w:val="16"/>
                <w:szCs w:val="16"/>
              </w:rPr>
              <w:fldChar w:fldCharType="separate"/>
            </w:r>
            <w:r>
              <w:rPr>
                <w:sz w:val="16"/>
                <w:szCs w:val="16"/>
              </w:rPr>
              <w:t>43</w:t>
            </w:r>
            <w:r>
              <w:rPr>
                <w:sz w:val="16"/>
                <w:szCs w:val="16"/>
              </w:rPr>
              <w:fldChar w:fldCharType="end"/>
            </w:r>
            <w:r w:rsidRPr="00DA60BC">
              <w:rPr>
                <w:sz w:val="16"/>
                <w:szCs w:val="16"/>
              </w:rPr>
              <w:t>, с. 22]</w:t>
            </w:r>
          </w:p>
        </w:tc>
        <w:tc>
          <w:tcPr>
            <w:tcW w:w="4111" w:type="dxa"/>
          </w:tcPr>
          <w:p w:rsidR="00B233DE" w:rsidRPr="00DA60BC" w:rsidRDefault="00B233DE" w:rsidP="0023489B">
            <w:pPr>
              <w:ind w:right="-108"/>
              <w:jc w:val="both"/>
              <w:rPr>
                <w:sz w:val="16"/>
                <w:szCs w:val="16"/>
              </w:rPr>
            </w:pPr>
            <w:r w:rsidRPr="00DA60BC">
              <w:rPr>
                <w:sz w:val="16"/>
                <w:szCs w:val="16"/>
              </w:rPr>
              <w:t>«Соціальна політика» в широкому розумінні означає керуючу дію держави, яка заснована на системі правил (норм), нормативних структур, які приймають рішення та організують діяльність, що сприяє залученню в полі</w:t>
            </w:r>
            <w:r>
              <w:rPr>
                <w:sz w:val="16"/>
                <w:szCs w:val="16"/>
              </w:rPr>
              <w:t>-</w:t>
            </w:r>
            <w:r w:rsidRPr="00DA60BC">
              <w:rPr>
                <w:sz w:val="16"/>
                <w:szCs w:val="16"/>
              </w:rPr>
              <w:t>тичні процеси різних суб’єктів</w:t>
            </w:r>
          </w:p>
        </w:tc>
      </w:tr>
      <w:tr w:rsidR="00B233DE" w:rsidRPr="00DA60BC" w:rsidTr="0023489B">
        <w:tc>
          <w:tcPr>
            <w:tcW w:w="993" w:type="dxa"/>
            <w:vMerge/>
            <w:vAlign w:val="center"/>
          </w:tcPr>
          <w:p w:rsidR="00B233DE" w:rsidRPr="00DA60BC" w:rsidRDefault="00B233DE" w:rsidP="0023489B">
            <w:pPr>
              <w:jc w:val="center"/>
              <w:rPr>
                <w:sz w:val="16"/>
                <w:szCs w:val="16"/>
              </w:rPr>
            </w:pPr>
          </w:p>
        </w:tc>
        <w:tc>
          <w:tcPr>
            <w:tcW w:w="992" w:type="dxa"/>
            <w:vAlign w:val="center"/>
          </w:tcPr>
          <w:p w:rsidR="00B233DE" w:rsidRPr="00DA60BC" w:rsidRDefault="00B233DE" w:rsidP="0023489B">
            <w:pPr>
              <w:ind w:left="-108" w:right="-108"/>
              <w:jc w:val="center"/>
              <w:rPr>
                <w:sz w:val="16"/>
                <w:szCs w:val="16"/>
              </w:rPr>
            </w:pPr>
            <w:r w:rsidRPr="00DA60BC">
              <w:rPr>
                <w:sz w:val="16"/>
                <w:szCs w:val="16"/>
              </w:rPr>
              <w:t>І.Лавриненко, [</w:t>
            </w:r>
            <w:r>
              <w:rPr>
                <w:sz w:val="16"/>
                <w:szCs w:val="16"/>
              </w:rPr>
              <w:fldChar w:fldCharType="begin"/>
            </w:r>
            <w:r>
              <w:rPr>
                <w:sz w:val="16"/>
                <w:szCs w:val="16"/>
              </w:rPr>
              <w:instrText xml:space="preserve"> REF _Ref435620001 \r \h  \* MERGEFORMAT </w:instrText>
            </w:r>
            <w:r>
              <w:rPr>
                <w:sz w:val="16"/>
                <w:szCs w:val="16"/>
              </w:rPr>
            </w:r>
            <w:r>
              <w:rPr>
                <w:sz w:val="16"/>
                <w:szCs w:val="16"/>
              </w:rPr>
              <w:fldChar w:fldCharType="separate"/>
            </w:r>
            <w:r>
              <w:rPr>
                <w:sz w:val="16"/>
                <w:szCs w:val="16"/>
              </w:rPr>
              <w:t>56</w:t>
            </w:r>
            <w:r>
              <w:rPr>
                <w:sz w:val="16"/>
                <w:szCs w:val="16"/>
              </w:rPr>
              <w:fldChar w:fldCharType="end"/>
            </w:r>
            <w:r w:rsidRPr="00DA60BC">
              <w:rPr>
                <w:sz w:val="16"/>
                <w:szCs w:val="16"/>
              </w:rPr>
              <w:t>]</w:t>
            </w:r>
          </w:p>
        </w:tc>
        <w:tc>
          <w:tcPr>
            <w:tcW w:w="4111" w:type="dxa"/>
          </w:tcPr>
          <w:p w:rsidR="00B233DE" w:rsidRPr="00DA60BC" w:rsidRDefault="00B233DE" w:rsidP="0023489B">
            <w:pPr>
              <w:ind w:right="-108"/>
              <w:jc w:val="both"/>
              <w:rPr>
                <w:sz w:val="16"/>
                <w:szCs w:val="16"/>
              </w:rPr>
            </w:pPr>
            <w:r w:rsidRPr="00DA60BC">
              <w:rPr>
                <w:sz w:val="16"/>
                <w:szCs w:val="16"/>
              </w:rPr>
              <w:t xml:space="preserve">«… це діяльність з управління соціальною сферою </w:t>
            </w:r>
            <w:r w:rsidRPr="006C7057">
              <w:rPr>
                <w:spacing w:val="-4"/>
                <w:sz w:val="16"/>
                <w:szCs w:val="16"/>
              </w:rPr>
              <w:t>суспільства, покликана забезпечити життя і відтворення</w:t>
            </w:r>
            <w:r w:rsidRPr="00DA60BC">
              <w:rPr>
                <w:sz w:val="16"/>
                <w:szCs w:val="16"/>
              </w:rPr>
              <w:t xml:space="preserve"> нових поколінь, створити передумови для стабільності і розвитку суспільної системи і гідного життя людей»</w:t>
            </w:r>
          </w:p>
        </w:tc>
      </w:tr>
      <w:tr w:rsidR="00B233DE" w:rsidRPr="00DA60BC" w:rsidTr="0023489B">
        <w:tc>
          <w:tcPr>
            <w:tcW w:w="993" w:type="dxa"/>
            <w:vMerge/>
            <w:vAlign w:val="center"/>
          </w:tcPr>
          <w:p w:rsidR="00B233DE" w:rsidRPr="00DA60BC" w:rsidRDefault="00B233DE" w:rsidP="0023489B">
            <w:pPr>
              <w:jc w:val="center"/>
              <w:rPr>
                <w:sz w:val="16"/>
                <w:szCs w:val="16"/>
              </w:rPr>
            </w:pPr>
          </w:p>
        </w:tc>
        <w:tc>
          <w:tcPr>
            <w:tcW w:w="992" w:type="dxa"/>
            <w:vAlign w:val="center"/>
          </w:tcPr>
          <w:p w:rsidR="00B233DE" w:rsidRPr="00DA60BC" w:rsidRDefault="00B233DE" w:rsidP="0023489B">
            <w:pPr>
              <w:ind w:left="-108" w:right="-108"/>
              <w:jc w:val="center"/>
              <w:rPr>
                <w:sz w:val="16"/>
                <w:szCs w:val="16"/>
              </w:rPr>
            </w:pPr>
            <w:r w:rsidRPr="00DA60BC">
              <w:rPr>
                <w:sz w:val="16"/>
                <w:szCs w:val="16"/>
              </w:rPr>
              <w:t>Є. Холостова,</w:t>
            </w:r>
          </w:p>
          <w:p w:rsidR="00B233DE" w:rsidRPr="00DA60BC" w:rsidRDefault="00B233DE" w:rsidP="0023489B">
            <w:pPr>
              <w:ind w:left="-108" w:right="-108"/>
              <w:jc w:val="center"/>
              <w:rPr>
                <w:sz w:val="16"/>
                <w:szCs w:val="16"/>
              </w:rPr>
            </w:pPr>
            <w:r w:rsidRPr="00DA60BC">
              <w:rPr>
                <w:sz w:val="16"/>
                <w:szCs w:val="16"/>
              </w:rPr>
              <w:t>[</w:t>
            </w:r>
            <w:r>
              <w:rPr>
                <w:sz w:val="16"/>
                <w:szCs w:val="16"/>
              </w:rPr>
              <w:fldChar w:fldCharType="begin"/>
            </w:r>
            <w:r>
              <w:rPr>
                <w:sz w:val="16"/>
                <w:szCs w:val="16"/>
              </w:rPr>
              <w:instrText xml:space="preserve"> REF _Ref435620010 \r \h  \* MERGEFORMAT </w:instrText>
            </w:r>
            <w:r>
              <w:rPr>
                <w:sz w:val="16"/>
                <w:szCs w:val="16"/>
              </w:rPr>
            </w:r>
            <w:r>
              <w:rPr>
                <w:sz w:val="16"/>
                <w:szCs w:val="16"/>
              </w:rPr>
              <w:fldChar w:fldCharType="separate"/>
            </w:r>
            <w:r>
              <w:rPr>
                <w:sz w:val="16"/>
                <w:szCs w:val="16"/>
              </w:rPr>
              <w:t>137</w:t>
            </w:r>
            <w:r>
              <w:rPr>
                <w:sz w:val="16"/>
                <w:szCs w:val="16"/>
              </w:rPr>
              <w:fldChar w:fldCharType="end"/>
            </w:r>
            <w:r w:rsidRPr="00DA60BC">
              <w:rPr>
                <w:sz w:val="16"/>
                <w:szCs w:val="16"/>
              </w:rPr>
              <w:t>, с. 20–21]</w:t>
            </w:r>
          </w:p>
        </w:tc>
        <w:tc>
          <w:tcPr>
            <w:tcW w:w="4111" w:type="dxa"/>
          </w:tcPr>
          <w:p w:rsidR="00B233DE" w:rsidRPr="00DA60BC" w:rsidRDefault="00B233DE" w:rsidP="0023489B">
            <w:pPr>
              <w:ind w:right="-108"/>
              <w:jc w:val="both"/>
              <w:rPr>
                <w:sz w:val="16"/>
                <w:szCs w:val="16"/>
              </w:rPr>
            </w:pPr>
            <w:r w:rsidRPr="006C7057">
              <w:rPr>
                <w:spacing w:val="-6"/>
                <w:sz w:val="16"/>
                <w:szCs w:val="16"/>
              </w:rPr>
              <w:t>«…сукупність ідеологічних уявлень суспільства і держави про цілі соціального розвитку і діяльність щодо досяг-</w:t>
            </w:r>
            <w:r w:rsidRPr="00DA60BC">
              <w:rPr>
                <w:sz w:val="16"/>
                <w:szCs w:val="16"/>
              </w:rPr>
              <w:t>нення соціальних показників, які відповідають цим цілям»</w:t>
            </w:r>
          </w:p>
        </w:tc>
      </w:tr>
      <w:tr w:rsidR="00B233DE" w:rsidRPr="00DA60BC" w:rsidTr="0023489B">
        <w:tc>
          <w:tcPr>
            <w:tcW w:w="993" w:type="dxa"/>
            <w:vMerge w:val="restart"/>
            <w:vAlign w:val="center"/>
          </w:tcPr>
          <w:p w:rsidR="00B233DE" w:rsidRPr="00DA60BC" w:rsidRDefault="00B233DE" w:rsidP="0023489B">
            <w:pPr>
              <w:ind w:left="-108" w:right="-108"/>
              <w:jc w:val="center"/>
              <w:rPr>
                <w:sz w:val="16"/>
                <w:szCs w:val="16"/>
              </w:rPr>
            </w:pPr>
            <w:r w:rsidRPr="00DA60BC">
              <w:rPr>
                <w:sz w:val="16"/>
                <w:szCs w:val="16"/>
              </w:rPr>
              <w:t>Економіка</w:t>
            </w:r>
          </w:p>
          <w:p w:rsidR="00B233DE" w:rsidRPr="00DA60BC" w:rsidRDefault="00B233DE" w:rsidP="0023489B">
            <w:pPr>
              <w:ind w:left="-108" w:right="-108"/>
              <w:jc w:val="center"/>
              <w:rPr>
                <w:sz w:val="16"/>
                <w:szCs w:val="16"/>
              </w:rPr>
            </w:pPr>
            <w:r w:rsidRPr="00DA60BC">
              <w:rPr>
                <w:sz w:val="16"/>
                <w:szCs w:val="16"/>
              </w:rPr>
              <w:t>Політологія</w:t>
            </w:r>
          </w:p>
        </w:tc>
        <w:tc>
          <w:tcPr>
            <w:tcW w:w="992" w:type="dxa"/>
            <w:vAlign w:val="center"/>
          </w:tcPr>
          <w:p w:rsidR="00B233DE" w:rsidRPr="00DA60BC" w:rsidRDefault="00B233DE" w:rsidP="0023489B">
            <w:pPr>
              <w:ind w:left="-108" w:right="-108"/>
              <w:jc w:val="center"/>
              <w:rPr>
                <w:sz w:val="16"/>
                <w:szCs w:val="16"/>
              </w:rPr>
            </w:pPr>
            <w:r w:rsidRPr="00DA60BC">
              <w:rPr>
                <w:sz w:val="16"/>
                <w:szCs w:val="16"/>
              </w:rPr>
              <w:t>А. Крупник,</w:t>
            </w:r>
          </w:p>
          <w:p w:rsidR="00B233DE" w:rsidRPr="00DA60BC" w:rsidRDefault="00B233DE" w:rsidP="0023489B">
            <w:pPr>
              <w:ind w:left="-108" w:right="-108"/>
              <w:jc w:val="center"/>
              <w:rPr>
                <w:sz w:val="16"/>
                <w:szCs w:val="16"/>
              </w:rPr>
            </w:pPr>
            <w:r w:rsidRPr="00DA60BC">
              <w:rPr>
                <w:sz w:val="16"/>
                <w:szCs w:val="16"/>
              </w:rPr>
              <w:t>[</w:t>
            </w:r>
            <w:r>
              <w:rPr>
                <w:sz w:val="16"/>
                <w:szCs w:val="16"/>
              </w:rPr>
              <w:fldChar w:fldCharType="begin"/>
            </w:r>
            <w:r>
              <w:rPr>
                <w:sz w:val="16"/>
                <w:szCs w:val="16"/>
              </w:rPr>
              <w:instrText xml:space="preserve"> REF _Ref435620020 \r \h  \* MERGEFORMAT </w:instrText>
            </w:r>
            <w:r>
              <w:rPr>
                <w:sz w:val="16"/>
                <w:szCs w:val="16"/>
              </w:rPr>
            </w:r>
            <w:r>
              <w:rPr>
                <w:sz w:val="16"/>
                <w:szCs w:val="16"/>
              </w:rPr>
              <w:fldChar w:fldCharType="separate"/>
            </w:r>
            <w:r>
              <w:rPr>
                <w:sz w:val="16"/>
                <w:szCs w:val="16"/>
              </w:rPr>
              <w:t>54</w:t>
            </w:r>
            <w:r>
              <w:rPr>
                <w:sz w:val="16"/>
                <w:szCs w:val="16"/>
              </w:rPr>
              <w:fldChar w:fldCharType="end"/>
            </w:r>
            <w:r w:rsidRPr="00DA60BC">
              <w:rPr>
                <w:sz w:val="16"/>
                <w:szCs w:val="16"/>
              </w:rPr>
              <w:t>, с. 9]</w:t>
            </w:r>
          </w:p>
        </w:tc>
        <w:tc>
          <w:tcPr>
            <w:tcW w:w="4111" w:type="dxa"/>
          </w:tcPr>
          <w:p w:rsidR="00B233DE" w:rsidRPr="00DA60BC" w:rsidRDefault="00B233DE" w:rsidP="0023489B">
            <w:pPr>
              <w:ind w:right="-108"/>
              <w:jc w:val="both"/>
              <w:rPr>
                <w:sz w:val="16"/>
                <w:szCs w:val="16"/>
              </w:rPr>
            </w:pPr>
            <w:r w:rsidRPr="00DA60BC">
              <w:rPr>
                <w:sz w:val="16"/>
                <w:szCs w:val="16"/>
              </w:rPr>
              <w:t>«…комплекс заходів, що здійснюються державними інститутами та недержавними суб’єктами з виявлення, задоволення та узгодження потреб та інтересів громадян, соціальних груп, територіальних громад»</w:t>
            </w:r>
          </w:p>
        </w:tc>
      </w:tr>
      <w:tr w:rsidR="00B233DE" w:rsidRPr="00DA60BC" w:rsidTr="0023489B">
        <w:tc>
          <w:tcPr>
            <w:tcW w:w="993" w:type="dxa"/>
            <w:vMerge/>
          </w:tcPr>
          <w:p w:rsidR="00B233DE" w:rsidRPr="00DA60BC" w:rsidRDefault="00B233DE" w:rsidP="0023489B">
            <w:pPr>
              <w:rPr>
                <w:sz w:val="16"/>
                <w:szCs w:val="16"/>
              </w:rPr>
            </w:pPr>
          </w:p>
        </w:tc>
        <w:tc>
          <w:tcPr>
            <w:tcW w:w="992" w:type="dxa"/>
            <w:vAlign w:val="center"/>
          </w:tcPr>
          <w:p w:rsidR="00B233DE" w:rsidRPr="00DA60BC" w:rsidRDefault="00B233DE" w:rsidP="0023489B">
            <w:pPr>
              <w:ind w:left="-108" w:right="-108"/>
              <w:jc w:val="center"/>
              <w:rPr>
                <w:sz w:val="16"/>
                <w:szCs w:val="16"/>
              </w:rPr>
            </w:pPr>
            <w:r w:rsidRPr="00DA60BC">
              <w:rPr>
                <w:sz w:val="16"/>
                <w:szCs w:val="16"/>
              </w:rPr>
              <w:t>Н. А. Волгін</w:t>
            </w:r>
          </w:p>
          <w:p w:rsidR="00B233DE" w:rsidRPr="00DA60BC" w:rsidRDefault="00B233DE" w:rsidP="0023489B">
            <w:pPr>
              <w:ind w:left="-108" w:right="-108"/>
              <w:jc w:val="center"/>
              <w:rPr>
                <w:sz w:val="16"/>
                <w:szCs w:val="16"/>
              </w:rPr>
            </w:pPr>
            <w:r w:rsidRPr="00DA60BC">
              <w:rPr>
                <w:sz w:val="16"/>
                <w:szCs w:val="16"/>
              </w:rPr>
              <w:t>[</w:t>
            </w:r>
            <w:r>
              <w:rPr>
                <w:sz w:val="16"/>
                <w:szCs w:val="16"/>
              </w:rPr>
              <w:fldChar w:fldCharType="begin"/>
            </w:r>
            <w:r>
              <w:rPr>
                <w:sz w:val="16"/>
                <w:szCs w:val="16"/>
              </w:rPr>
              <w:instrText xml:space="preserve"> REF _Ref435620032 \r \h  \* MERGEFORMAT </w:instrText>
            </w:r>
            <w:r>
              <w:rPr>
                <w:sz w:val="16"/>
                <w:szCs w:val="16"/>
              </w:rPr>
            </w:r>
            <w:r>
              <w:rPr>
                <w:sz w:val="16"/>
                <w:szCs w:val="16"/>
              </w:rPr>
              <w:fldChar w:fldCharType="separate"/>
            </w:r>
            <w:r>
              <w:rPr>
                <w:sz w:val="16"/>
                <w:szCs w:val="16"/>
              </w:rPr>
              <w:t>107</w:t>
            </w:r>
            <w:r>
              <w:rPr>
                <w:sz w:val="16"/>
                <w:szCs w:val="16"/>
              </w:rPr>
              <w:fldChar w:fldCharType="end"/>
            </w:r>
            <w:r w:rsidRPr="00DA60BC">
              <w:rPr>
                <w:sz w:val="16"/>
                <w:szCs w:val="16"/>
              </w:rPr>
              <w:t>, с. 21–22]</w:t>
            </w:r>
          </w:p>
        </w:tc>
        <w:tc>
          <w:tcPr>
            <w:tcW w:w="4111" w:type="dxa"/>
          </w:tcPr>
          <w:p w:rsidR="00B233DE" w:rsidRPr="00DA60BC" w:rsidRDefault="00B233DE" w:rsidP="0023489B">
            <w:pPr>
              <w:ind w:right="-108"/>
              <w:jc w:val="both"/>
              <w:rPr>
                <w:sz w:val="16"/>
                <w:szCs w:val="16"/>
              </w:rPr>
            </w:pPr>
            <w:r w:rsidRPr="006C7057">
              <w:rPr>
                <w:spacing w:val="-4"/>
                <w:sz w:val="16"/>
                <w:szCs w:val="16"/>
              </w:rPr>
              <w:t>«…це взаємовідносини соціальних груп з приводу збере-ження та зміни соціального становища населення в ціло</w:t>
            </w:r>
            <w:r w:rsidRPr="00DA60BC">
              <w:rPr>
                <w:sz w:val="16"/>
                <w:szCs w:val="16"/>
              </w:rPr>
              <w:t>му та класів, прошарків, соціальних, соціально-демогра</w:t>
            </w:r>
            <w:r>
              <w:rPr>
                <w:sz w:val="16"/>
                <w:szCs w:val="16"/>
              </w:rPr>
              <w:t>-</w:t>
            </w:r>
            <w:r w:rsidRPr="00DA60BC">
              <w:rPr>
                <w:sz w:val="16"/>
                <w:szCs w:val="16"/>
              </w:rPr>
              <w:t>фічних, соціально-професійних груп, соціальних спіль</w:t>
            </w:r>
            <w:r>
              <w:rPr>
                <w:sz w:val="16"/>
                <w:szCs w:val="16"/>
              </w:rPr>
              <w:t>-</w:t>
            </w:r>
            <w:r w:rsidRPr="00DA60BC">
              <w:rPr>
                <w:sz w:val="16"/>
                <w:szCs w:val="16"/>
              </w:rPr>
              <w:t>нот (сім’ї, народи, населення міст, селищ, регіо</w:t>
            </w:r>
            <w:r>
              <w:rPr>
                <w:sz w:val="16"/>
                <w:szCs w:val="16"/>
              </w:rPr>
              <w:t>ну</w:t>
            </w:r>
            <w:r w:rsidRPr="00DA60BC">
              <w:rPr>
                <w:sz w:val="16"/>
                <w:szCs w:val="16"/>
              </w:rPr>
              <w:t xml:space="preserve">), що складають </w:t>
            </w:r>
            <w:r w:rsidRPr="00DA60BC">
              <w:rPr>
                <w:sz w:val="16"/>
                <w:szCs w:val="16"/>
              </w:rPr>
              <w:lastRenderedPageBreak/>
              <w:t>його»</w:t>
            </w:r>
          </w:p>
        </w:tc>
      </w:tr>
      <w:tr w:rsidR="00B233DE" w:rsidRPr="00DA60BC" w:rsidTr="0023489B">
        <w:tc>
          <w:tcPr>
            <w:tcW w:w="993" w:type="dxa"/>
            <w:vMerge/>
          </w:tcPr>
          <w:p w:rsidR="00B233DE" w:rsidRPr="00DA60BC" w:rsidRDefault="00B233DE" w:rsidP="0023489B">
            <w:pPr>
              <w:rPr>
                <w:sz w:val="16"/>
                <w:szCs w:val="16"/>
              </w:rPr>
            </w:pPr>
          </w:p>
        </w:tc>
        <w:tc>
          <w:tcPr>
            <w:tcW w:w="992" w:type="dxa"/>
            <w:vAlign w:val="center"/>
          </w:tcPr>
          <w:p w:rsidR="00B233DE" w:rsidRPr="00DA60BC" w:rsidRDefault="00B233DE" w:rsidP="0023489B">
            <w:pPr>
              <w:ind w:left="-108" w:right="-108"/>
              <w:jc w:val="center"/>
              <w:rPr>
                <w:sz w:val="16"/>
                <w:szCs w:val="16"/>
              </w:rPr>
            </w:pPr>
            <w:r w:rsidRPr="00DA60BC">
              <w:rPr>
                <w:sz w:val="16"/>
                <w:szCs w:val="16"/>
              </w:rPr>
              <w:t>Н. Балтачеєва [</w:t>
            </w:r>
            <w:r>
              <w:rPr>
                <w:sz w:val="16"/>
                <w:szCs w:val="16"/>
              </w:rPr>
              <w:fldChar w:fldCharType="begin"/>
            </w:r>
            <w:r>
              <w:rPr>
                <w:sz w:val="16"/>
                <w:szCs w:val="16"/>
              </w:rPr>
              <w:instrText xml:space="preserve"> REF _Ref435619852 \r \h  \* MERGEFORMAT </w:instrText>
            </w:r>
            <w:r>
              <w:rPr>
                <w:sz w:val="16"/>
                <w:szCs w:val="16"/>
              </w:rPr>
            </w:r>
            <w:r>
              <w:rPr>
                <w:sz w:val="16"/>
                <w:szCs w:val="16"/>
              </w:rPr>
              <w:fldChar w:fldCharType="separate"/>
            </w:r>
            <w:r>
              <w:rPr>
                <w:sz w:val="16"/>
                <w:szCs w:val="16"/>
              </w:rPr>
              <w:t>3</w:t>
            </w:r>
            <w:r>
              <w:rPr>
                <w:sz w:val="16"/>
                <w:szCs w:val="16"/>
              </w:rPr>
              <w:fldChar w:fldCharType="end"/>
            </w:r>
            <w:r w:rsidRPr="00DA60BC">
              <w:rPr>
                <w:sz w:val="16"/>
                <w:szCs w:val="16"/>
              </w:rPr>
              <w:t>]</w:t>
            </w:r>
          </w:p>
        </w:tc>
        <w:tc>
          <w:tcPr>
            <w:tcW w:w="4111" w:type="dxa"/>
          </w:tcPr>
          <w:p w:rsidR="00B233DE" w:rsidRPr="00DA60BC" w:rsidRDefault="00B233DE" w:rsidP="0023489B">
            <w:pPr>
              <w:ind w:right="-108"/>
              <w:jc w:val="both"/>
              <w:rPr>
                <w:sz w:val="16"/>
                <w:szCs w:val="16"/>
              </w:rPr>
            </w:pPr>
            <w:r w:rsidRPr="00DA60BC">
              <w:rPr>
                <w:sz w:val="16"/>
                <w:szCs w:val="16"/>
              </w:rPr>
              <w:t xml:space="preserve">«соціальна політика є одним із найважливіших напрямів державного регулювання економіки, оскільки кінцевою </w:t>
            </w:r>
          </w:p>
        </w:tc>
      </w:tr>
    </w:tbl>
    <w:p w:rsidR="00B233DE" w:rsidRDefault="00B233DE" w:rsidP="00B233DE">
      <w:pPr>
        <w:ind w:firstLine="709"/>
        <w:jc w:val="right"/>
        <w:rPr>
          <w:rFonts w:ascii="Times New Roman" w:hAnsi="Times New Roman" w:cs="Times New Roman"/>
          <w:spacing w:val="-4"/>
          <w:sz w:val="21"/>
          <w:szCs w:val="21"/>
        </w:rPr>
      </w:pPr>
      <w:r>
        <w:rPr>
          <w:rFonts w:ascii="Times New Roman" w:hAnsi="Times New Roman" w:cs="Times New Roman"/>
          <w:spacing w:val="-4"/>
          <w:sz w:val="21"/>
          <w:szCs w:val="21"/>
        </w:rPr>
        <w:t>Продовження табл. 5.2</w:t>
      </w:r>
    </w:p>
    <w:tbl>
      <w:tblPr>
        <w:tblStyle w:val="afe"/>
        <w:tblW w:w="6096" w:type="dxa"/>
        <w:tblInd w:w="108" w:type="dxa"/>
        <w:tblLayout w:type="fixed"/>
        <w:tblLook w:val="01E0" w:firstRow="1" w:lastRow="1" w:firstColumn="1" w:lastColumn="1" w:noHBand="0" w:noVBand="0"/>
      </w:tblPr>
      <w:tblGrid>
        <w:gridCol w:w="1134"/>
        <w:gridCol w:w="993"/>
        <w:gridCol w:w="3969"/>
      </w:tblGrid>
      <w:tr w:rsidR="00B233DE" w:rsidRPr="00DA60BC" w:rsidTr="0023489B">
        <w:tc>
          <w:tcPr>
            <w:tcW w:w="1134" w:type="dxa"/>
            <w:vAlign w:val="center"/>
          </w:tcPr>
          <w:p w:rsidR="00B233DE" w:rsidRPr="00DA60BC" w:rsidRDefault="00B233DE" w:rsidP="0023489B">
            <w:pPr>
              <w:jc w:val="center"/>
              <w:rPr>
                <w:sz w:val="16"/>
                <w:szCs w:val="16"/>
              </w:rPr>
            </w:pPr>
            <w:r>
              <w:rPr>
                <w:sz w:val="16"/>
                <w:szCs w:val="16"/>
              </w:rPr>
              <w:t>1</w:t>
            </w:r>
          </w:p>
        </w:tc>
        <w:tc>
          <w:tcPr>
            <w:tcW w:w="993" w:type="dxa"/>
            <w:vAlign w:val="center"/>
          </w:tcPr>
          <w:p w:rsidR="00B233DE" w:rsidRPr="00DA60BC" w:rsidRDefault="00B233DE" w:rsidP="0023489B">
            <w:pPr>
              <w:jc w:val="center"/>
              <w:rPr>
                <w:sz w:val="16"/>
                <w:szCs w:val="16"/>
              </w:rPr>
            </w:pPr>
            <w:r>
              <w:rPr>
                <w:sz w:val="16"/>
                <w:szCs w:val="16"/>
              </w:rPr>
              <w:t>2</w:t>
            </w:r>
          </w:p>
        </w:tc>
        <w:tc>
          <w:tcPr>
            <w:tcW w:w="3969" w:type="dxa"/>
            <w:vAlign w:val="center"/>
          </w:tcPr>
          <w:p w:rsidR="00B233DE" w:rsidRPr="00DA60BC" w:rsidRDefault="00B233DE" w:rsidP="0023489B">
            <w:pPr>
              <w:ind w:right="-135"/>
              <w:jc w:val="center"/>
              <w:rPr>
                <w:sz w:val="16"/>
                <w:szCs w:val="16"/>
              </w:rPr>
            </w:pPr>
            <w:r>
              <w:rPr>
                <w:sz w:val="16"/>
                <w:szCs w:val="16"/>
              </w:rPr>
              <w:t>3</w:t>
            </w:r>
          </w:p>
        </w:tc>
      </w:tr>
      <w:tr w:rsidR="00B233DE" w:rsidRPr="00DA60BC" w:rsidTr="0023489B">
        <w:tc>
          <w:tcPr>
            <w:tcW w:w="1134" w:type="dxa"/>
            <w:vMerge w:val="restart"/>
          </w:tcPr>
          <w:p w:rsidR="00B233DE" w:rsidRPr="00DA60BC" w:rsidRDefault="00B233DE" w:rsidP="0023489B">
            <w:pPr>
              <w:rPr>
                <w:sz w:val="16"/>
                <w:szCs w:val="16"/>
              </w:rPr>
            </w:pPr>
          </w:p>
        </w:tc>
        <w:tc>
          <w:tcPr>
            <w:tcW w:w="993" w:type="dxa"/>
            <w:vAlign w:val="center"/>
          </w:tcPr>
          <w:p w:rsidR="00B233DE" w:rsidRPr="00DA60BC" w:rsidRDefault="00B233DE" w:rsidP="0023489B">
            <w:pPr>
              <w:ind w:left="-108" w:right="-108"/>
              <w:jc w:val="center"/>
              <w:rPr>
                <w:sz w:val="16"/>
                <w:szCs w:val="16"/>
              </w:rPr>
            </w:pPr>
          </w:p>
        </w:tc>
        <w:tc>
          <w:tcPr>
            <w:tcW w:w="3969" w:type="dxa"/>
          </w:tcPr>
          <w:p w:rsidR="00B233DE" w:rsidRPr="00DA60BC" w:rsidRDefault="00B233DE" w:rsidP="0023489B">
            <w:pPr>
              <w:ind w:right="-108"/>
              <w:jc w:val="both"/>
              <w:rPr>
                <w:sz w:val="16"/>
                <w:szCs w:val="16"/>
              </w:rPr>
            </w:pPr>
            <w:r w:rsidRPr="00DA60BC">
              <w:rPr>
                <w:sz w:val="16"/>
                <w:szCs w:val="16"/>
              </w:rPr>
              <w:t>метою діяльності держави є досягнення високого рівня добробуту суспільства і створення умов для його подальшого розвитку, а соціальна політика має безпосереднє відношення  до вирішення цього завдання»</w:t>
            </w:r>
          </w:p>
        </w:tc>
      </w:tr>
      <w:tr w:rsidR="00B233DE" w:rsidRPr="00DA60BC" w:rsidTr="0023489B">
        <w:tc>
          <w:tcPr>
            <w:tcW w:w="1134" w:type="dxa"/>
            <w:vMerge/>
          </w:tcPr>
          <w:p w:rsidR="00B233DE" w:rsidRPr="00DA60BC" w:rsidRDefault="00B233DE" w:rsidP="0023489B">
            <w:pPr>
              <w:rPr>
                <w:sz w:val="16"/>
                <w:szCs w:val="16"/>
              </w:rPr>
            </w:pPr>
          </w:p>
        </w:tc>
        <w:tc>
          <w:tcPr>
            <w:tcW w:w="993" w:type="dxa"/>
            <w:vAlign w:val="center"/>
          </w:tcPr>
          <w:p w:rsidR="00B233DE" w:rsidRPr="00DA60BC" w:rsidRDefault="00B233DE" w:rsidP="0023489B">
            <w:pPr>
              <w:ind w:left="-108" w:right="-108"/>
              <w:jc w:val="center"/>
              <w:rPr>
                <w:sz w:val="16"/>
                <w:szCs w:val="16"/>
              </w:rPr>
            </w:pPr>
            <w:r w:rsidRPr="00DA60BC">
              <w:rPr>
                <w:sz w:val="16"/>
                <w:szCs w:val="16"/>
              </w:rPr>
              <w:t>В. Піча, Н. Хома [</w:t>
            </w:r>
            <w:r>
              <w:rPr>
                <w:sz w:val="16"/>
                <w:szCs w:val="16"/>
              </w:rPr>
              <w:fldChar w:fldCharType="begin"/>
            </w:r>
            <w:r>
              <w:rPr>
                <w:sz w:val="16"/>
                <w:szCs w:val="16"/>
              </w:rPr>
              <w:instrText xml:space="preserve"> REF _Ref435619915 \r \h  \* MERGEFORMAT </w:instrText>
            </w:r>
            <w:r>
              <w:rPr>
                <w:sz w:val="16"/>
                <w:szCs w:val="16"/>
              </w:rPr>
            </w:r>
            <w:r>
              <w:rPr>
                <w:sz w:val="16"/>
                <w:szCs w:val="16"/>
              </w:rPr>
              <w:fldChar w:fldCharType="separate"/>
            </w:r>
            <w:r>
              <w:rPr>
                <w:sz w:val="16"/>
                <w:szCs w:val="16"/>
              </w:rPr>
              <w:t>76</w:t>
            </w:r>
            <w:r>
              <w:rPr>
                <w:sz w:val="16"/>
                <w:szCs w:val="16"/>
              </w:rPr>
              <w:fldChar w:fldCharType="end"/>
            </w:r>
            <w:r w:rsidRPr="00DA60BC">
              <w:rPr>
                <w:sz w:val="16"/>
                <w:szCs w:val="16"/>
              </w:rPr>
              <w:t>]</w:t>
            </w:r>
          </w:p>
        </w:tc>
        <w:tc>
          <w:tcPr>
            <w:tcW w:w="3969" w:type="dxa"/>
          </w:tcPr>
          <w:p w:rsidR="00B233DE" w:rsidRPr="00DA60BC" w:rsidRDefault="00B233DE" w:rsidP="0023489B">
            <w:pPr>
              <w:ind w:right="-108"/>
              <w:jc w:val="both"/>
              <w:rPr>
                <w:sz w:val="16"/>
                <w:szCs w:val="16"/>
              </w:rPr>
            </w:pPr>
            <w:r w:rsidRPr="00DA60BC">
              <w:rPr>
                <w:sz w:val="16"/>
                <w:szCs w:val="16"/>
              </w:rPr>
              <w:t>«діяльність держави щодо збалансування розвитку суспільства, забезпечення державного правління, соціального захисту населення, створення сприятливих умов для існування індивідів і соціальних спільнот»</w:t>
            </w:r>
          </w:p>
        </w:tc>
      </w:tr>
      <w:tr w:rsidR="00B233DE" w:rsidRPr="00DA60BC" w:rsidTr="0023489B">
        <w:tc>
          <w:tcPr>
            <w:tcW w:w="1134" w:type="dxa"/>
            <w:vMerge/>
          </w:tcPr>
          <w:p w:rsidR="00B233DE" w:rsidRPr="00DA60BC" w:rsidRDefault="00B233DE" w:rsidP="0023489B">
            <w:pPr>
              <w:rPr>
                <w:sz w:val="16"/>
                <w:szCs w:val="16"/>
              </w:rPr>
            </w:pPr>
          </w:p>
        </w:tc>
        <w:tc>
          <w:tcPr>
            <w:tcW w:w="993" w:type="dxa"/>
            <w:vAlign w:val="center"/>
          </w:tcPr>
          <w:p w:rsidR="00B233DE" w:rsidRPr="00DA60BC" w:rsidRDefault="00B233DE" w:rsidP="0023489B">
            <w:pPr>
              <w:ind w:left="-108" w:right="-108"/>
              <w:jc w:val="center"/>
              <w:rPr>
                <w:sz w:val="16"/>
                <w:szCs w:val="16"/>
              </w:rPr>
            </w:pPr>
            <w:r w:rsidRPr="00DA60BC">
              <w:rPr>
                <w:sz w:val="16"/>
                <w:szCs w:val="16"/>
              </w:rPr>
              <w:t>С. Тетерський</w:t>
            </w:r>
          </w:p>
          <w:p w:rsidR="00B233DE" w:rsidRPr="00DA60BC" w:rsidRDefault="00B233DE" w:rsidP="0023489B">
            <w:pPr>
              <w:ind w:left="-108" w:right="-108"/>
              <w:jc w:val="center"/>
              <w:rPr>
                <w:sz w:val="16"/>
                <w:szCs w:val="16"/>
              </w:rPr>
            </w:pPr>
            <w:r w:rsidRPr="00DA60BC">
              <w:rPr>
                <w:sz w:val="16"/>
                <w:szCs w:val="16"/>
              </w:rPr>
              <w:t>[</w:t>
            </w:r>
            <w:r>
              <w:rPr>
                <w:sz w:val="16"/>
                <w:szCs w:val="16"/>
              </w:rPr>
              <w:fldChar w:fldCharType="begin"/>
            </w:r>
            <w:r>
              <w:rPr>
                <w:sz w:val="16"/>
                <w:szCs w:val="16"/>
              </w:rPr>
              <w:instrText xml:space="preserve"> REF _Ref435620069 \r \h  \* MERGEFORMAT </w:instrText>
            </w:r>
            <w:r>
              <w:rPr>
                <w:sz w:val="16"/>
                <w:szCs w:val="16"/>
              </w:rPr>
            </w:r>
            <w:r>
              <w:rPr>
                <w:sz w:val="16"/>
                <w:szCs w:val="16"/>
              </w:rPr>
              <w:fldChar w:fldCharType="separate"/>
            </w:r>
            <w:r>
              <w:rPr>
                <w:sz w:val="16"/>
                <w:szCs w:val="16"/>
              </w:rPr>
              <w:t>122</w:t>
            </w:r>
            <w:r>
              <w:rPr>
                <w:sz w:val="16"/>
                <w:szCs w:val="16"/>
              </w:rPr>
              <w:fldChar w:fldCharType="end"/>
            </w:r>
            <w:r w:rsidRPr="00DA60BC">
              <w:rPr>
                <w:sz w:val="16"/>
                <w:szCs w:val="16"/>
              </w:rPr>
              <w:t>, с. 103].</w:t>
            </w:r>
          </w:p>
        </w:tc>
        <w:tc>
          <w:tcPr>
            <w:tcW w:w="3969" w:type="dxa"/>
          </w:tcPr>
          <w:p w:rsidR="00B233DE" w:rsidRPr="00DA60BC" w:rsidRDefault="00B233DE" w:rsidP="0023489B">
            <w:pPr>
              <w:ind w:right="-108"/>
              <w:jc w:val="both"/>
              <w:rPr>
                <w:sz w:val="16"/>
                <w:szCs w:val="16"/>
              </w:rPr>
            </w:pPr>
            <w:r w:rsidRPr="00DA60BC">
              <w:rPr>
                <w:sz w:val="16"/>
                <w:szCs w:val="16"/>
              </w:rPr>
              <w:t>«…як складова частина внутрішньої політики держави, що регулює стосунки в суспільстві в інтересах та через інтереси основних соціальних груп населення»</w:t>
            </w:r>
          </w:p>
        </w:tc>
      </w:tr>
      <w:tr w:rsidR="00B233DE" w:rsidRPr="00DA60BC" w:rsidTr="0023489B">
        <w:tc>
          <w:tcPr>
            <w:tcW w:w="1134" w:type="dxa"/>
            <w:vMerge/>
          </w:tcPr>
          <w:p w:rsidR="00B233DE" w:rsidRPr="00DA60BC" w:rsidRDefault="00B233DE" w:rsidP="0023489B">
            <w:pPr>
              <w:rPr>
                <w:sz w:val="16"/>
                <w:szCs w:val="16"/>
              </w:rPr>
            </w:pPr>
          </w:p>
        </w:tc>
        <w:tc>
          <w:tcPr>
            <w:tcW w:w="993" w:type="dxa"/>
            <w:vAlign w:val="center"/>
          </w:tcPr>
          <w:p w:rsidR="00B233DE" w:rsidRPr="00DA60BC" w:rsidRDefault="00B233DE" w:rsidP="0023489B">
            <w:pPr>
              <w:ind w:left="-108" w:right="-108"/>
              <w:jc w:val="center"/>
              <w:rPr>
                <w:sz w:val="16"/>
                <w:szCs w:val="16"/>
              </w:rPr>
            </w:pPr>
            <w:r w:rsidRPr="00DA60BC">
              <w:rPr>
                <w:sz w:val="16"/>
                <w:szCs w:val="16"/>
              </w:rPr>
              <w:t>А.Сіленко [</w:t>
            </w:r>
            <w:r>
              <w:rPr>
                <w:sz w:val="16"/>
                <w:szCs w:val="16"/>
              </w:rPr>
              <w:fldChar w:fldCharType="begin"/>
            </w:r>
            <w:r>
              <w:rPr>
                <w:sz w:val="16"/>
                <w:szCs w:val="16"/>
              </w:rPr>
              <w:instrText xml:space="preserve"> REF _Ref435620075 \r \h  \* MERGEFORMAT </w:instrText>
            </w:r>
            <w:r>
              <w:rPr>
                <w:sz w:val="16"/>
                <w:szCs w:val="16"/>
              </w:rPr>
            </w:r>
            <w:r>
              <w:rPr>
                <w:sz w:val="16"/>
                <w:szCs w:val="16"/>
              </w:rPr>
              <w:fldChar w:fldCharType="separate"/>
            </w:r>
            <w:r>
              <w:rPr>
                <w:sz w:val="16"/>
                <w:szCs w:val="16"/>
              </w:rPr>
              <w:t>98</w:t>
            </w:r>
            <w:r>
              <w:rPr>
                <w:sz w:val="16"/>
                <w:szCs w:val="16"/>
              </w:rPr>
              <w:fldChar w:fldCharType="end"/>
            </w:r>
            <w:r w:rsidRPr="00DA60BC">
              <w:rPr>
                <w:sz w:val="16"/>
                <w:szCs w:val="16"/>
              </w:rPr>
              <w:t>, с. 120]</w:t>
            </w:r>
          </w:p>
        </w:tc>
        <w:tc>
          <w:tcPr>
            <w:tcW w:w="3969" w:type="dxa"/>
          </w:tcPr>
          <w:p w:rsidR="00B233DE" w:rsidRPr="00DA60BC" w:rsidRDefault="00B233DE" w:rsidP="0023489B">
            <w:pPr>
              <w:ind w:right="-108"/>
              <w:jc w:val="both"/>
              <w:rPr>
                <w:sz w:val="16"/>
                <w:szCs w:val="16"/>
              </w:rPr>
            </w:pPr>
            <w:r w:rsidRPr="00DA60BC">
              <w:rPr>
                <w:sz w:val="16"/>
                <w:szCs w:val="16"/>
              </w:rPr>
              <w:t>«система взаємодії державної влади, що постійно оновлюється, недержавних структур, самої особистості щодо життєзабезпечення та розвитку людини»</w:t>
            </w:r>
          </w:p>
        </w:tc>
      </w:tr>
      <w:tr w:rsidR="00B233DE" w:rsidRPr="00DA60BC" w:rsidTr="0023489B">
        <w:tc>
          <w:tcPr>
            <w:tcW w:w="1134" w:type="dxa"/>
            <w:vMerge/>
          </w:tcPr>
          <w:p w:rsidR="00B233DE" w:rsidRPr="00DA60BC" w:rsidRDefault="00B233DE" w:rsidP="0023489B">
            <w:pPr>
              <w:rPr>
                <w:sz w:val="16"/>
                <w:szCs w:val="16"/>
              </w:rPr>
            </w:pPr>
          </w:p>
        </w:tc>
        <w:tc>
          <w:tcPr>
            <w:tcW w:w="993" w:type="dxa"/>
            <w:vAlign w:val="center"/>
          </w:tcPr>
          <w:p w:rsidR="00B233DE" w:rsidRPr="006C7057" w:rsidRDefault="00B233DE" w:rsidP="0023489B">
            <w:pPr>
              <w:ind w:left="-108" w:right="-108"/>
              <w:jc w:val="center"/>
              <w:rPr>
                <w:spacing w:val="-6"/>
                <w:sz w:val="16"/>
                <w:szCs w:val="16"/>
              </w:rPr>
            </w:pPr>
            <w:r w:rsidRPr="006C7057">
              <w:rPr>
                <w:spacing w:val="-6"/>
                <w:sz w:val="16"/>
                <w:szCs w:val="16"/>
              </w:rPr>
              <w:t>Г. Зборовський,</w:t>
            </w:r>
          </w:p>
          <w:p w:rsidR="00B233DE" w:rsidRPr="00DA60BC" w:rsidRDefault="00B233DE" w:rsidP="0023489B">
            <w:pPr>
              <w:ind w:left="-108" w:right="-108"/>
              <w:jc w:val="center"/>
              <w:rPr>
                <w:sz w:val="16"/>
                <w:szCs w:val="16"/>
              </w:rPr>
            </w:pPr>
            <w:r w:rsidRPr="00DA60BC">
              <w:rPr>
                <w:sz w:val="16"/>
                <w:szCs w:val="16"/>
              </w:rPr>
              <w:t>Н. Костіна [</w:t>
            </w:r>
            <w:r>
              <w:rPr>
                <w:sz w:val="16"/>
                <w:szCs w:val="16"/>
              </w:rPr>
              <w:fldChar w:fldCharType="begin"/>
            </w:r>
            <w:r>
              <w:rPr>
                <w:sz w:val="16"/>
                <w:szCs w:val="16"/>
              </w:rPr>
              <w:instrText xml:space="preserve"> REF _Ref435620083 \r \h  \* MERGEFORMAT </w:instrText>
            </w:r>
            <w:r>
              <w:rPr>
                <w:sz w:val="16"/>
                <w:szCs w:val="16"/>
              </w:rPr>
            </w:r>
            <w:r>
              <w:rPr>
                <w:sz w:val="16"/>
                <w:szCs w:val="16"/>
              </w:rPr>
              <w:fldChar w:fldCharType="separate"/>
            </w:r>
            <w:r>
              <w:rPr>
                <w:sz w:val="16"/>
                <w:szCs w:val="16"/>
              </w:rPr>
              <w:t>42</w:t>
            </w:r>
            <w:r>
              <w:rPr>
                <w:sz w:val="16"/>
                <w:szCs w:val="16"/>
              </w:rPr>
              <w:fldChar w:fldCharType="end"/>
            </w:r>
            <w:r w:rsidRPr="00DA60BC">
              <w:rPr>
                <w:sz w:val="16"/>
                <w:szCs w:val="16"/>
              </w:rPr>
              <w:t>, с. 113]</w:t>
            </w:r>
          </w:p>
        </w:tc>
        <w:tc>
          <w:tcPr>
            <w:tcW w:w="3969" w:type="dxa"/>
          </w:tcPr>
          <w:p w:rsidR="00B233DE" w:rsidRPr="00DA60BC" w:rsidRDefault="00B233DE" w:rsidP="0023489B">
            <w:pPr>
              <w:ind w:right="-108"/>
              <w:jc w:val="both"/>
              <w:rPr>
                <w:sz w:val="16"/>
                <w:szCs w:val="16"/>
              </w:rPr>
            </w:pPr>
            <w:r w:rsidRPr="00DA60BC">
              <w:rPr>
                <w:sz w:val="16"/>
                <w:szCs w:val="16"/>
              </w:rPr>
              <w:t>«діяльність політичних і громадських організацій різних рівнів, яка направлена на запобігання (подолання) соціальної напруги, стійке відтворення і розвиток соціальної сфери, забезпечення задоволення життєвих потреб людей, підвищення рівня і поліпшення якості життя, надання соціальної допомоги тим соціальним групам, які її потребують»</w:t>
            </w:r>
          </w:p>
        </w:tc>
      </w:tr>
      <w:tr w:rsidR="00B233DE" w:rsidRPr="00DA60BC" w:rsidTr="0023489B">
        <w:tc>
          <w:tcPr>
            <w:tcW w:w="1134" w:type="dxa"/>
            <w:vMerge w:val="restart"/>
            <w:vAlign w:val="center"/>
          </w:tcPr>
          <w:p w:rsidR="00B233DE" w:rsidRPr="00DA60BC" w:rsidRDefault="00B233DE" w:rsidP="0023489B">
            <w:pPr>
              <w:jc w:val="center"/>
              <w:rPr>
                <w:sz w:val="16"/>
                <w:szCs w:val="16"/>
              </w:rPr>
            </w:pPr>
            <w:r w:rsidRPr="00DA60BC">
              <w:rPr>
                <w:sz w:val="16"/>
                <w:szCs w:val="16"/>
              </w:rPr>
              <w:t>Соціологія</w:t>
            </w:r>
          </w:p>
        </w:tc>
        <w:tc>
          <w:tcPr>
            <w:tcW w:w="993" w:type="dxa"/>
            <w:vAlign w:val="center"/>
          </w:tcPr>
          <w:p w:rsidR="00B233DE" w:rsidRPr="00DA60BC" w:rsidRDefault="00B233DE" w:rsidP="0023489B">
            <w:pPr>
              <w:ind w:left="-108" w:right="-108"/>
              <w:jc w:val="center"/>
              <w:rPr>
                <w:sz w:val="16"/>
                <w:szCs w:val="16"/>
              </w:rPr>
            </w:pPr>
            <w:r w:rsidRPr="00DA60BC">
              <w:rPr>
                <w:sz w:val="16"/>
                <w:szCs w:val="16"/>
              </w:rPr>
              <w:t>І. Григор’єва</w:t>
            </w:r>
          </w:p>
          <w:p w:rsidR="00B233DE" w:rsidRPr="00DA60BC" w:rsidRDefault="00B233DE" w:rsidP="0023489B">
            <w:pPr>
              <w:ind w:left="-108" w:right="-108"/>
              <w:jc w:val="center"/>
              <w:rPr>
                <w:sz w:val="16"/>
                <w:szCs w:val="16"/>
              </w:rPr>
            </w:pPr>
            <w:r w:rsidRPr="00DA60BC">
              <w:rPr>
                <w:sz w:val="16"/>
                <w:szCs w:val="16"/>
              </w:rPr>
              <w:t>[</w:t>
            </w:r>
            <w:r>
              <w:rPr>
                <w:sz w:val="16"/>
                <w:szCs w:val="16"/>
              </w:rPr>
              <w:fldChar w:fldCharType="begin"/>
            </w:r>
            <w:r>
              <w:rPr>
                <w:sz w:val="16"/>
                <w:szCs w:val="16"/>
              </w:rPr>
              <w:instrText xml:space="preserve"> REF _Ref435620094 \r \h  \* MERGEFORMAT </w:instrText>
            </w:r>
            <w:r>
              <w:rPr>
                <w:sz w:val="16"/>
                <w:szCs w:val="16"/>
              </w:rPr>
            </w:r>
            <w:r>
              <w:rPr>
                <w:sz w:val="16"/>
                <w:szCs w:val="16"/>
              </w:rPr>
              <w:fldChar w:fldCharType="separate"/>
            </w:r>
            <w:r>
              <w:rPr>
                <w:sz w:val="16"/>
                <w:szCs w:val="16"/>
              </w:rPr>
              <w:t>24</w:t>
            </w:r>
            <w:r>
              <w:rPr>
                <w:sz w:val="16"/>
                <w:szCs w:val="16"/>
              </w:rPr>
              <w:fldChar w:fldCharType="end"/>
            </w:r>
            <w:r w:rsidRPr="00DA60BC">
              <w:rPr>
                <w:sz w:val="16"/>
                <w:szCs w:val="16"/>
              </w:rPr>
              <w:t>, с. 26]</w:t>
            </w:r>
          </w:p>
        </w:tc>
        <w:tc>
          <w:tcPr>
            <w:tcW w:w="3969" w:type="dxa"/>
          </w:tcPr>
          <w:p w:rsidR="00B233DE" w:rsidRPr="00DA60BC" w:rsidRDefault="00B233DE" w:rsidP="0023489B">
            <w:pPr>
              <w:ind w:right="-108"/>
              <w:jc w:val="both"/>
              <w:rPr>
                <w:sz w:val="16"/>
                <w:szCs w:val="16"/>
              </w:rPr>
            </w:pPr>
            <w:r w:rsidRPr="00DA60BC">
              <w:rPr>
                <w:sz w:val="16"/>
                <w:szCs w:val="16"/>
              </w:rPr>
              <w:t>«…діяльність держави та/або суспільства (суспільних інститутів) з узгодження інтересів різних соціальних груп та соціально-територіальних громад у сфері виробництва, розподілу та споживання, які  дають змогу узгоджувати інтереси цих груп з інтересами людини та довготерміновими цілями суспільства»</w:t>
            </w:r>
          </w:p>
        </w:tc>
      </w:tr>
      <w:tr w:rsidR="00B233DE" w:rsidRPr="00DA60BC" w:rsidTr="0023489B">
        <w:tc>
          <w:tcPr>
            <w:tcW w:w="1134" w:type="dxa"/>
            <w:vMerge/>
            <w:vAlign w:val="center"/>
          </w:tcPr>
          <w:p w:rsidR="00B233DE" w:rsidRPr="00DA60BC" w:rsidRDefault="00B233DE" w:rsidP="0023489B">
            <w:pPr>
              <w:jc w:val="center"/>
              <w:rPr>
                <w:sz w:val="16"/>
                <w:szCs w:val="16"/>
              </w:rPr>
            </w:pPr>
          </w:p>
        </w:tc>
        <w:tc>
          <w:tcPr>
            <w:tcW w:w="993" w:type="dxa"/>
            <w:vAlign w:val="center"/>
          </w:tcPr>
          <w:p w:rsidR="00B233DE" w:rsidRPr="00DA60BC" w:rsidRDefault="00B233DE" w:rsidP="0023489B">
            <w:pPr>
              <w:ind w:left="-108" w:right="-108"/>
              <w:jc w:val="center"/>
              <w:rPr>
                <w:sz w:val="16"/>
                <w:szCs w:val="16"/>
              </w:rPr>
            </w:pPr>
            <w:r w:rsidRPr="00DA60BC">
              <w:rPr>
                <w:sz w:val="16"/>
                <w:szCs w:val="16"/>
              </w:rPr>
              <w:t>Г. Осадча</w:t>
            </w:r>
          </w:p>
          <w:p w:rsidR="00B233DE" w:rsidRPr="00DA60BC" w:rsidRDefault="00B233DE" w:rsidP="0023489B">
            <w:pPr>
              <w:ind w:left="-108" w:right="-108"/>
              <w:jc w:val="center"/>
              <w:rPr>
                <w:sz w:val="16"/>
                <w:szCs w:val="16"/>
              </w:rPr>
            </w:pPr>
            <w:r w:rsidRPr="00DA60BC">
              <w:rPr>
                <w:sz w:val="16"/>
                <w:szCs w:val="16"/>
              </w:rPr>
              <w:t>[</w:t>
            </w:r>
            <w:r>
              <w:rPr>
                <w:sz w:val="16"/>
                <w:szCs w:val="16"/>
              </w:rPr>
              <w:fldChar w:fldCharType="begin"/>
            </w:r>
            <w:r>
              <w:rPr>
                <w:sz w:val="16"/>
                <w:szCs w:val="16"/>
              </w:rPr>
              <w:instrText xml:space="preserve"> REF _Ref435620104 \r \h  \* MERGEFORMAT </w:instrText>
            </w:r>
            <w:r>
              <w:rPr>
                <w:sz w:val="16"/>
                <w:szCs w:val="16"/>
              </w:rPr>
            </w:r>
            <w:r>
              <w:rPr>
                <w:sz w:val="16"/>
                <w:szCs w:val="16"/>
              </w:rPr>
              <w:fldChar w:fldCharType="separate"/>
            </w:r>
            <w:r>
              <w:rPr>
                <w:sz w:val="16"/>
                <w:szCs w:val="16"/>
              </w:rPr>
              <w:t>71</w:t>
            </w:r>
            <w:r>
              <w:rPr>
                <w:sz w:val="16"/>
                <w:szCs w:val="16"/>
              </w:rPr>
              <w:fldChar w:fldCharType="end"/>
            </w:r>
            <w:r w:rsidRPr="00DA60BC">
              <w:rPr>
                <w:sz w:val="16"/>
                <w:szCs w:val="16"/>
              </w:rPr>
              <w:t>, с. 145]</w:t>
            </w:r>
          </w:p>
        </w:tc>
        <w:tc>
          <w:tcPr>
            <w:tcW w:w="3969" w:type="dxa"/>
          </w:tcPr>
          <w:p w:rsidR="00B233DE" w:rsidRPr="00DA60BC" w:rsidRDefault="00B233DE" w:rsidP="0023489B">
            <w:pPr>
              <w:ind w:right="-108"/>
              <w:jc w:val="both"/>
              <w:rPr>
                <w:sz w:val="16"/>
                <w:szCs w:val="16"/>
              </w:rPr>
            </w:pPr>
            <w:r w:rsidRPr="00DA60BC">
              <w:rPr>
                <w:sz w:val="16"/>
                <w:szCs w:val="16"/>
              </w:rPr>
              <w:t>«…це один із напрямів суспільного регулювання, спрямований на зменшення суперечностей у всіх сферах».</w:t>
            </w:r>
          </w:p>
        </w:tc>
      </w:tr>
    </w:tbl>
    <w:p w:rsidR="00B233DE" w:rsidRDefault="00B233DE" w:rsidP="00B233DE">
      <w:pPr>
        <w:ind w:firstLine="709"/>
        <w:jc w:val="both"/>
        <w:rPr>
          <w:rFonts w:ascii="Times New Roman" w:hAnsi="Times New Roman" w:cs="Times New Roman"/>
          <w:spacing w:val="-4"/>
          <w:sz w:val="21"/>
          <w:szCs w:val="21"/>
        </w:rPr>
      </w:pPr>
    </w:p>
    <w:p w:rsidR="00B233DE" w:rsidRPr="00E97553" w:rsidRDefault="00B233DE" w:rsidP="00B233DE">
      <w:pPr>
        <w:ind w:firstLine="709"/>
        <w:jc w:val="both"/>
        <w:rPr>
          <w:rFonts w:ascii="Times New Roman" w:hAnsi="Times New Roman" w:cs="Times New Roman"/>
          <w:spacing w:val="-4"/>
          <w:sz w:val="21"/>
          <w:szCs w:val="21"/>
        </w:rPr>
      </w:pPr>
      <w:r w:rsidRPr="00E97553">
        <w:rPr>
          <w:rFonts w:ascii="Times New Roman" w:hAnsi="Times New Roman" w:cs="Times New Roman"/>
          <w:spacing w:val="-4"/>
          <w:sz w:val="21"/>
          <w:szCs w:val="21"/>
        </w:rPr>
        <w:t xml:space="preserve">Визначення, наведені в таблиці </w:t>
      </w:r>
      <w:r>
        <w:rPr>
          <w:rFonts w:ascii="Times New Roman" w:hAnsi="Times New Roman" w:cs="Times New Roman"/>
          <w:spacing w:val="-4"/>
          <w:sz w:val="21"/>
          <w:szCs w:val="21"/>
        </w:rPr>
        <w:t>5</w:t>
      </w:r>
      <w:r w:rsidRPr="00E97553">
        <w:rPr>
          <w:rFonts w:ascii="Times New Roman" w:hAnsi="Times New Roman" w:cs="Times New Roman"/>
          <w:spacing w:val="-4"/>
          <w:sz w:val="21"/>
          <w:szCs w:val="21"/>
        </w:rPr>
        <w:t>.</w:t>
      </w:r>
      <w:r>
        <w:rPr>
          <w:rFonts w:ascii="Times New Roman" w:hAnsi="Times New Roman" w:cs="Times New Roman"/>
          <w:spacing w:val="-4"/>
          <w:sz w:val="21"/>
          <w:szCs w:val="21"/>
        </w:rPr>
        <w:t>2</w:t>
      </w:r>
      <w:r w:rsidRPr="00E97553">
        <w:rPr>
          <w:rFonts w:ascii="Times New Roman" w:hAnsi="Times New Roman" w:cs="Times New Roman"/>
          <w:spacing w:val="-4"/>
          <w:sz w:val="21"/>
          <w:szCs w:val="21"/>
        </w:rPr>
        <w:t>, ми згрупували за певними аспек</w:t>
      </w:r>
      <w:r>
        <w:rPr>
          <w:rFonts w:ascii="Times New Roman" w:hAnsi="Times New Roman" w:cs="Times New Roman"/>
          <w:spacing w:val="-4"/>
          <w:sz w:val="21"/>
          <w:szCs w:val="21"/>
        </w:rPr>
        <w:t>тами, які б відображали окремі «сегменти»</w:t>
      </w:r>
      <w:r w:rsidRPr="00E97553">
        <w:rPr>
          <w:rFonts w:ascii="Times New Roman" w:hAnsi="Times New Roman" w:cs="Times New Roman"/>
          <w:spacing w:val="-4"/>
          <w:sz w:val="21"/>
          <w:szCs w:val="21"/>
        </w:rPr>
        <w:t xml:space="preserve"> певної наукової дисципліни, в межах яких і досліджується соціальна політика, а саме: 1) управлінський аспект; 2) економічний аспект; 3) політологічний аспект; 4) правовий аспект; 5) соціологічний аспект; 6) екологічний аспект.</w:t>
      </w:r>
    </w:p>
    <w:p w:rsidR="00B233DE" w:rsidRPr="00E97553" w:rsidRDefault="00B233DE" w:rsidP="00B233DE">
      <w:pPr>
        <w:tabs>
          <w:tab w:val="left" w:pos="900"/>
          <w:tab w:val="left" w:pos="1080"/>
          <w:tab w:val="left" w:pos="1400"/>
        </w:tabs>
        <w:ind w:firstLine="709"/>
        <w:jc w:val="both"/>
        <w:rPr>
          <w:rFonts w:ascii="Times New Roman" w:hAnsi="Times New Roman" w:cs="Times New Roman"/>
          <w:sz w:val="21"/>
          <w:szCs w:val="21"/>
        </w:rPr>
      </w:pPr>
      <w:r w:rsidRPr="00E97553">
        <w:rPr>
          <w:rFonts w:ascii="Times New Roman" w:hAnsi="Times New Roman" w:cs="Times New Roman"/>
          <w:spacing w:val="-4"/>
          <w:sz w:val="21"/>
          <w:szCs w:val="21"/>
        </w:rPr>
        <w:t>Але наведений у таблиці перелік визначень далеко не повний, його можна значно розширити. Оскільки соціальну політику здебільшого розглядають як пе</w:t>
      </w:r>
      <w:r>
        <w:rPr>
          <w:rFonts w:ascii="Times New Roman" w:hAnsi="Times New Roman" w:cs="Times New Roman"/>
          <w:spacing w:val="-4"/>
          <w:sz w:val="21"/>
          <w:szCs w:val="21"/>
        </w:rPr>
        <w:t>вну діяльність, а управління – «</w:t>
      </w:r>
      <w:r w:rsidRPr="00E97553">
        <w:rPr>
          <w:rFonts w:ascii="Times New Roman" w:hAnsi="Times New Roman" w:cs="Times New Roman"/>
          <w:spacing w:val="-4"/>
          <w:sz w:val="21"/>
          <w:szCs w:val="21"/>
        </w:rPr>
        <w:t xml:space="preserve">це сфера людської діяльності, яка виникла в результаті розподілу праці, з </w:t>
      </w:r>
      <w:r w:rsidRPr="00E97553">
        <w:rPr>
          <w:rFonts w:ascii="Times New Roman" w:hAnsi="Times New Roman" w:cs="Times New Roman"/>
          <w:spacing w:val="-4"/>
          <w:sz w:val="21"/>
          <w:szCs w:val="21"/>
        </w:rPr>
        <w:lastRenderedPageBreak/>
        <w:t>допомогою якої людина впливає на технологічні, економічні і соціальні проц</w:t>
      </w:r>
      <w:r>
        <w:rPr>
          <w:rFonts w:ascii="Times New Roman" w:hAnsi="Times New Roman" w:cs="Times New Roman"/>
          <w:spacing w:val="-4"/>
          <w:sz w:val="21"/>
          <w:szCs w:val="21"/>
        </w:rPr>
        <w:t>еси для досягнення певних цілей»</w:t>
      </w:r>
      <w:r w:rsidRPr="00E97553">
        <w:rPr>
          <w:rFonts w:ascii="Times New Roman" w:hAnsi="Times New Roman" w:cs="Times New Roman"/>
          <w:spacing w:val="-4"/>
          <w:sz w:val="21"/>
          <w:szCs w:val="21"/>
        </w:rPr>
        <w:t xml:space="preserve"> </w:t>
      </w:r>
      <w:r w:rsidRPr="00E97553">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_Ref435620486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33</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w:t>
      </w:r>
      <w:r>
        <w:rPr>
          <w:rFonts w:ascii="Times New Roman" w:hAnsi="Times New Roman" w:cs="Times New Roman"/>
          <w:spacing w:val="-4"/>
          <w:sz w:val="21"/>
          <w:szCs w:val="21"/>
        </w:rPr>
        <w:t>; державне управління – це «</w:t>
      </w:r>
      <w:r w:rsidRPr="00E97553">
        <w:rPr>
          <w:rFonts w:ascii="Times New Roman" w:hAnsi="Times New Roman" w:cs="Times New Roman"/>
          <w:spacing w:val="-4"/>
          <w:sz w:val="21"/>
          <w:szCs w:val="21"/>
        </w:rPr>
        <w:t>сукупніст</w:t>
      </w:r>
      <w:r>
        <w:rPr>
          <w:rFonts w:ascii="Times New Roman" w:hAnsi="Times New Roman" w:cs="Times New Roman"/>
          <w:spacing w:val="-4"/>
          <w:sz w:val="21"/>
          <w:szCs w:val="21"/>
        </w:rPr>
        <w:t>ь усіх видів діяльності держави»</w:t>
      </w:r>
      <w:r w:rsidRPr="00E97553">
        <w:rPr>
          <w:rFonts w:ascii="Times New Roman" w:hAnsi="Times New Roman" w:cs="Times New Roman"/>
          <w:spacing w:val="-4"/>
          <w:sz w:val="21"/>
          <w:szCs w:val="21"/>
        </w:rPr>
        <w:t xml:space="preserve"> </w:t>
      </w:r>
      <w:r w:rsidRPr="00E97553">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_Ref435620492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 131]</w:t>
      </w:r>
      <w:r w:rsidRPr="00E97553">
        <w:rPr>
          <w:rFonts w:ascii="Times New Roman" w:hAnsi="Times New Roman" w:cs="Times New Roman"/>
          <w:spacing w:val="-4"/>
          <w:sz w:val="21"/>
          <w:szCs w:val="21"/>
        </w:rPr>
        <w:t xml:space="preserve">, то такі визначеннявіднесемо до першої групи. Так, наприклад, Дж. Стюарт (Великобританія) трактує соціальну політику як </w:t>
      </w:r>
      <w:r>
        <w:rPr>
          <w:rFonts w:ascii="Times New Roman" w:hAnsi="Times New Roman" w:cs="Times New Roman"/>
          <w:spacing w:val="-4"/>
          <w:sz w:val="21"/>
          <w:szCs w:val="21"/>
        </w:rPr>
        <w:t>«</w:t>
      </w:r>
      <w:r w:rsidRPr="00E97553">
        <w:rPr>
          <w:rFonts w:ascii="Times New Roman" w:hAnsi="Times New Roman" w:cs="Times New Roman"/>
          <w:spacing w:val="-4"/>
          <w:sz w:val="21"/>
          <w:szCs w:val="21"/>
        </w:rPr>
        <w:t>сферу державної діяльності</w:t>
      </w:r>
      <w:r w:rsidRPr="00E97553">
        <w:rPr>
          <w:rFonts w:ascii="Times New Roman" w:hAnsi="Times New Roman" w:cs="Times New Roman"/>
          <w:spacing w:val="-2"/>
          <w:sz w:val="21"/>
          <w:szCs w:val="21"/>
        </w:rPr>
        <w:t>, відповідальну за створення та надання соціального захисту, що включає соціальні послуги та виплати</w:t>
      </w:r>
      <w:r>
        <w:rPr>
          <w:rFonts w:ascii="Times New Roman" w:hAnsi="Times New Roman" w:cs="Times New Roman"/>
          <w:spacing w:val="-4"/>
          <w:sz w:val="21"/>
          <w:szCs w:val="21"/>
        </w:rPr>
        <w:t>»</w:t>
      </w:r>
      <w:r w:rsidRPr="00E97553">
        <w:rPr>
          <w:rFonts w:ascii="Times New Roman" w:hAnsi="Times New Roman" w:cs="Times New Roman"/>
          <w:spacing w:val="-4"/>
          <w:sz w:val="21"/>
          <w:szCs w:val="21"/>
        </w:rPr>
        <w:t xml:space="preserve"> </w:t>
      </w:r>
      <w:r w:rsidRPr="00E97553">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_Ref435620502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148</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w:t>
      </w:r>
      <w:r w:rsidRPr="00E97553">
        <w:rPr>
          <w:rFonts w:ascii="Times New Roman" w:hAnsi="Times New Roman" w:cs="Times New Roman"/>
          <w:spacing w:val="-4"/>
          <w:sz w:val="21"/>
          <w:szCs w:val="21"/>
        </w:rPr>
        <w:t xml:space="preserve">. </w:t>
      </w:r>
      <w:r w:rsidRPr="00E97553">
        <w:rPr>
          <w:rFonts w:ascii="Times New Roman" w:hAnsi="Times New Roman" w:cs="Times New Roman"/>
          <w:sz w:val="21"/>
          <w:szCs w:val="21"/>
        </w:rPr>
        <w:t>С.</w:t>
      </w:r>
      <w:r>
        <w:rPr>
          <w:rFonts w:ascii="Times New Roman" w:hAnsi="Times New Roman" w:cs="Times New Roman"/>
          <w:sz w:val="21"/>
          <w:szCs w:val="21"/>
        </w:rPr>
        <w:t xml:space="preserve"> </w:t>
      </w:r>
      <w:r w:rsidRPr="00E97553">
        <w:rPr>
          <w:rFonts w:ascii="Times New Roman" w:hAnsi="Times New Roman" w:cs="Times New Roman"/>
          <w:sz w:val="21"/>
          <w:szCs w:val="21"/>
        </w:rPr>
        <w:t xml:space="preserve">Тетерський розглядає соціальну політику як складову частину внутрішньої політики держави, що </w:t>
      </w:r>
      <w:r>
        <w:rPr>
          <w:rFonts w:ascii="Times New Roman" w:hAnsi="Times New Roman" w:cs="Times New Roman"/>
          <w:spacing w:val="-4"/>
          <w:sz w:val="21"/>
          <w:szCs w:val="21"/>
        </w:rPr>
        <w:t>«</w:t>
      </w:r>
      <w:r w:rsidRPr="00E97553">
        <w:rPr>
          <w:rFonts w:ascii="Times New Roman" w:hAnsi="Times New Roman" w:cs="Times New Roman"/>
          <w:sz w:val="21"/>
          <w:szCs w:val="21"/>
        </w:rPr>
        <w:t>…регулює стосунки в суспільстві в інтересах та через інтереси основних соціальних груп населення</w:t>
      </w:r>
      <w:r>
        <w:rPr>
          <w:rFonts w:ascii="Times New Roman" w:hAnsi="Times New Roman" w:cs="Times New Roman"/>
          <w:spacing w:val="-4"/>
          <w:sz w:val="21"/>
          <w:szCs w:val="21"/>
        </w:rPr>
        <w:t>»</w:t>
      </w:r>
      <w:r w:rsidRPr="00E97553">
        <w:rPr>
          <w:rFonts w:ascii="Times New Roman" w:hAnsi="Times New Roman" w:cs="Times New Roman"/>
          <w:spacing w:val="-4"/>
          <w:sz w:val="21"/>
          <w:szCs w:val="21"/>
        </w:rPr>
        <w:t xml:space="preserve"> </w:t>
      </w:r>
      <w:r w:rsidRPr="00E97553">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_Ref435620069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122</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 103]</w:t>
      </w:r>
      <w:r>
        <w:rPr>
          <w:rFonts w:ascii="Times New Roman" w:hAnsi="Times New Roman" w:cs="Times New Roman"/>
          <w:spacing w:val="-4"/>
          <w:sz w:val="21"/>
          <w:szCs w:val="21"/>
        </w:rPr>
        <w:t>, а Н. Сазонова вважає такою «</w:t>
      </w:r>
      <w:r w:rsidRPr="00E97553">
        <w:rPr>
          <w:rFonts w:ascii="Times New Roman" w:hAnsi="Times New Roman" w:cs="Times New Roman"/>
          <w:sz w:val="21"/>
          <w:szCs w:val="21"/>
        </w:rPr>
        <w:t>…діяльність держави з управління соціальним розвитком суспільства, задоволення матеріальних і культурних потреб його членів, а також регулювання процесів соціальної диференціації суспільства з метою стабілізації суспільної системи</w:t>
      </w:r>
      <w:r>
        <w:rPr>
          <w:rFonts w:ascii="Times New Roman" w:hAnsi="Times New Roman" w:cs="Times New Roman"/>
          <w:spacing w:val="-4"/>
          <w:sz w:val="21"/>
          <w:szCs w:val="21"/>
        </w:rPr>
        <w:t>»</w:t>
      </w:r>
      <w:r w:rsidRPr="00E97553">
        <w:rPr>
          <w:rFonts w:ascii="Times New Roman" w:hAnsi="Times New Roman" w:cs="Times New Roman"/>
          <w:spacing w:val="-4"/>
          <w:sz w:val="21"/>
          <w:szCs w:val="21"/>
        </w:rPr>
        <w:t xml:space="preserve"> </w:t>
      </w:r>
      <w:r w:rsidRPr="00E97553">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_Ref435620518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78</w:t>
      </w:r>
      <w:r>
        <w:rPr>
          <w:rFonts w:ascii="Times New Roman" w:hAnsi="Times New Roman" w:cs="Times New Roman"/>
          <w:sz w:val="21"/>
          <w:szCs w:val="21"/>
          <w:highlight w:val="yellow"/>
        </w:rPr>
        <w:fldChar w:fldCharType="end"/>
      </w:r>
      <w:r>
        <w:rPr>
          <w:rFonts w:ascii="Times New Roman" w:hAnsi="Times New Roman" w:cs="Times New Roman"/>
          <w:sz w:val="21"/>
          <w:szCs w:val="21"/>
        </w:rPr>
        <w:t>, с. 620–</w:t>
      </w:r>
      <w:r w:rsidRPr="00E97553">
        <w:rPr>
          <w:rFonts w:ascii="Times New Roman" w:hAnsi="Times New Roman" w:cs="Times New Roman"/>
          <w:sz w:val="21"/>
          <w:szCs w:val="21"/>
        </w:rPr>
        <w:t>621]</w:t>
      </w:r>
      <w:r w:rsidRPr="00E97553">
        <w:rPr>
          <w:rFonts w:ascii="Times New Roman" w:hAnsi="Times New Roman" w:cs="Times New Roman"/>
          <w:spacing w:val="-4"/>
          <w:sz w:val="21"/>
          <w:szCs w:val="21"/>
        </w:rPr>
        <w:t xml:space="preserve">. </w:t>
      </w:r>
      <w:r w:rsidRPr="00E97553">
        <w:rPr>
          <w:rFonts w:ascii="Times New Roman" w:hAnsi="Times New Roman" w:cs="Times New Roman"/>
          <w:sz w:val="21"/>
          <w:szCs w:val="21"/>
        </w:rPr>
        <w:t>На відміну від Дж.</w:t>
      </w:r>
      <w:r>
        <w:rPr>
          <w:rFonts w:ascii="Times New Roman" w:hAnsi="Times New Roman" w:cs="Times New Roman"/>
          <w:sz w:val="21"/>
          <w:szCs w:val="21"/>
        </w:rPr>
        <w:t xml:space="preserve"> Стюарта, С. Тетерського, Н. </w:t>
      </w:r>
      <w:r w:rsidRPr="00E97553">
        <w:rPr>
          <w:rFonts w:ascii="Times New Roman" w:hAnsi="Times New Roman" w:cs="Times New Roman"/>
          <w:sz w:val="21"/>
          <w:szCs w:val="21"/>
        </w:rPr>
        <w:t xml:space="preserve">Сазонової та інших, на думку яких соціальна політика – це діяльність виключно держави, </w:t>
      </w:r>
      <w:r>
        <w:rPr>
          <w:rFonts w:ascii="Times New Roman" w:hAnsi="Times New Roman" w:cs="Times New Roman"/>
          <w:spacing w:val="-4"/>
          <w:sz w:val="21"/>
          <w:szCs w:val="21"/>
        </w:rPr>
        <w:t>О. Яременко стверджує, що «</w:t>
      </w:r>
      <w:r w:rsidRPr="00E97553">
        <w:rPr>
          <w:rFonts w:ascii="Times New Roman" w:hAnsi="Times New Roman" w:cs="Times New Roman"/>
          <w:sz w:val="21"/>
          <w:szCs w:val="21"/>
        </w:rPr>
        <w:t>в широкому розумінні – соціальна політика – це цілеспрямована діяльність держави та інших політичних інститутів і громадських об’єднань, спрямована на вдосконалення</w:t>
      </w:r>
      <w:r w:rsidRPr="00E97553">
        <w:rPr>
          <w:rFonts w:ascii="Times New Roman" w:hAnsi="Times New Roman" w:cs="Times New Roman"/>
          <w:spacing w:val="-4"/>
          <w:sz w:val="21"/>
          <w:szCs w:val="21"/>
        </w:rPr>
        <w:t xml:space="preserve">. </w:t>
      </w:r>
      <w:r w:rsidRPr="00E97553">
        <w:rPr>
          <w:rFonts w:ascii="Times New Roman" w:hAnsi="Times New Roman" w:cs="Times New Roman"/>
          <w:sz w:val="21"/>
          <w:szCs w:val="21"/>
        </w:rPr>
        <w:t>В вузькому розумінні – діяльність суб’єктів соціальної політики, спрямована на захист груп населення, неспроможних до самозахисту та самозабезпечення, організація соціальних служб</w:t>
      </w:r>
      <w:r>
        <w:rPr>
          <w:rFonts w:ascii="Times New Roman" w:hAnsi="Times New Roman" w:cs="Times New Roman"/>
          <w:spacing w:val="-4"/>
          <w:sz w:val="21"/>
          <w:szCs w:val="21"/>
        </w:rPr>
        <w:t>»</w:t>
      </w:r>
      <w:r w:rsidRPr="00E97553">
        <w:rPr>
          <w:rFonts w:ascii="Times New Roman" w:hAnsi="Times New Roman" w:cs="Times New Roman"/>
          <w:spacing w:val="-4"/>
          <w:sz w:val="21"/>
          <w:szCs w:val="21"/>
        </w:rPr>
        <w:t xml:space="preserve"> </w:t>
      </w:r>
      <w:r w:rsidRPr="00E97553">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_Ref435620502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148</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 27]</w:t>
      </w:r>
      <w:r w:rsidRPr="00E97553">
        <w:rPr>
          <w:rFonts w:ascii="Times New Roman" w:hAnsi="Times New Roman" w:cs="Times New Roman"/>
          <w:spacing w:val="-4"/>
          <w:sz w:val="21"/>
          <w:szCs w:val="21"/>
        </w:rPr>
        <w:t xml:space="preserve">. </w:t>
      </w:r>
      <w:r w:rsidRPr="00E97553">
        <w:rPr>
          <w:rFonts w:ascii="Times New Roman" w:hAnsi="Times New Roman" w:cs="Times New Roman"/>
          <w:sz w:val="21"/>
          <w:szCs w:val="21"/>
        </w:rPr>
        <w:t>Деякі</w:t>
      </w:r>
      <w:r w:rsidRPr="00E97553">
        <w:rPr>
          <w:rFonts w:ascii="Times New Roman" w:hAnsi="Times New Roman" w:cs="Times New Roman"/>
          <w:spacing w:val="-4"/>
          <w:sz w:val="21"/>
          <w:szCs w:val="21"/>
        </w:rPr>
        <w:t xml:space="preserve"> автори </w:t>
      </w:r>
      <w:r w:rsidRPr="00E97553">
        <w:rPr>
          <w:rFonts w:ascii="Times New Roman" w:hAnsi="Times New Roman" w:cs="Times New Roman"/>
          <w:sz w:val="21"/>
          <w:szCs w:val="21"/>
        </w:rPr>
        <w:t xml:space="preserve">не акцентують увагу на суб’єктах, вважаючи, що соціальна політика – це </w:t>
      </w:r>
      <w:r>
        <w:rPr>
          <w:rFonts w:ascii="Times New Roman" w:hAnsi="Times New Roman" w:cs="Times New Roman"/>
          <w:spacing w:val="-4"/>
          <w:sz w:val="21"/>
          <w:szCs w:val="21"/>
        </w:rPr>
        <w:t>«</w:t>
      </w:r>
      <w:r w:rsidRPr="00E97553">
        <w:rPr>
          <w:rFonts w:ascii="Times New Roman" w:hAnsi="Times New Roman" w:cs="Times New Roman"/>
          <w:sz w:val="21"/>
          <w:szCs w:val="21"/>
        </w:rPr>
        <w:t>…причинно обумовлена, ситуативна, динамічна за формою та орієнтацією діяльність з практичної організації соціальної безпеки людей, які прагнуть реалізувати свої потреби та інтереси в суспільстві</w:t>
      </w:r>
      <w:r>
        <w:rPr>
          <w:rFonts w:ascii="Times New Roman" w:hAnsi="Times New Roman" w:cs="Times New Roman"/>
          <w:spacing w:val="-4"/>
          <w:sz w:val="21"/>
          <w:szCs w:val="21"/>
        </w:rPr>
        <w:t>»</w:t>
      </w:r>
      <w:r w:rsidRPr="00E97553">
        <w:rPr>
          <w:rFonts w:ascii="Times New Roman" w:hAnsi="Times New Roman" w:cs="Times New Roman"/>
          <w:spacing w:val="-4"/>
          <w:sz w:val="21"/>
          <w:szCs w:val="21"/>
        </w:rPr>
        <w:t xml:space="preserve"> </w:t>
      </w:r>
      <w:r w:rsidRPr="00E97553">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_Ref435620532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120</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 93]</w:t>
      </w:r>
      <w:r w:rsidRPr="00E97553">
        <w:rPr>
          <w:rFonts w:ascii="Times New Roman" w:hAnsi="Times New Roman" w:cs="Times New Roman"/>
          <w:spacing w:val="-4"/>
          <w:sz w:val="21"/>
          <w:szCs w:val="21"/>
        </w:rPr>
        <w:t>.</w:t>
      </w:r>
    </w:p>
    <w:p w:rsidR="00B233DE" w:rsidRPr="00E97553" w:rsidRDefault="00B233DE" w:rsidP="00B233DE">
      <w:pPr>
        <w:tabs>
          <w:tab w:val="left" w:pos="900"/>
          <w:tab w:val="left" w:pos="1400"/>
        </w:tabs>
        <w:ind w:firstLine="709"/>
        <w:jc w:val="both"/>
        <w:rPr>
          <w:rFonts w:ascii="Times New Roman" w:hAnsi="Times New Roman" w:cs="Times New Roman"/>
          <w:sz w:val="21"/>
          <w:szCs w:val="21"/>
        </w:rPr>
      </w:pPr>
      <w:r w:rsidRPr="00E97553">
        <w:rPr>
          <w:rFonts w:ascii="Times New Roman" w:hAnsi="Times New Roman" w:cs="Times New Roman"/>
          <w:sz w:val="21"/>
          <w:szCs w:val="21"/>
        </w:rPr>
        <w:t>В деяких визначеннях чітко простежується економічний підхід до соціальної політики як діяльності, спрямованої на удосконалення соціально-трудових і розподільчих відносин у суспільстві. Тому їх можна віднести до другої групи. Так, А.</w:t>
      </w:r>
      <w:r>
        <w:rPr>
          <w:rFonts w:ascii="Times New Roman" w:hAnsi="Times New Roman" w:cs="Times New Roman"/>
          <w:sz w:val="21"/>
          <w:szCs w:val="21"/>
        </w:rPr>
        <w:t> </w:t>
      </w:r>
      <w:r w:rsidRPr="00E97553">
        <w:rPr>
          <w:rFonts w:ascii="Times New Roman" w:hAnsi="Times New Roman" w:cs="Times New Roman"/>
          <w:sz w:val="21"/>
          <w:szCs w:val="21"/>
        </w:rPr>
        <w:t>Ягодка соціальною пол</w:t>
      </w:r>
      <w:r>
        <w:rPr>
          <w:rFonts w:ascii="Times New Roman" w:hAnsi="Times New Roman" w:cs="Times New Roman"/>
          <w:sz w:val="21"/>
          <w:szCs w:val="21"/>
        </w:rPr>
        <w:t>ітикою вважає «</w:t>
      </w:r>
      <w:r w:rsidRPr="00E97553">
        <w:rPr>
          <w:rFonts w:ascii="Times New Roman" w:hAnsi="Times New Roman" w:cs="Times New Roman"/>
          <w:sz w:val="21"/>
          <w:szCs w:val="21"/>
        </w:rPr>
        <w:t>…вирішення проблем, пов’язаних із поліпшенням матеріального добробуту населення, продуктивною занятістю, гарантуванням прав громадян на працю, соціальний захист, освіту, охорону здоров’я, житло, із соціальною підтримкою найуразливіших верств населення, підвищенням тривалості життя, поліпш</w:t>
      </w:r>
      <w:r>
        <w:rPr>
          <w:rFonts w:ascii="Times New Roman" w:hAnsi="Times New Roman" w:cs="Times New Roman"/>
          <w:sz w:val="21"/>
          <w:szCs w:val="21"/>
        </w:rPr>
        <w:t>енням соціальної інфраструктури»</w:t>
      </w:r>
      <w:r w:rsidRPr="00E9755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_Ref435620538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146</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w:t>
      </w:r>
      <w:r>
        <w:rPr>
          <w:rFonts w:ascii="Times New Roman" w:hAnsi="Times New Roman" w:cs="Times New Roman"/>
          <w:sz w:val="21"/>
          <w:szCs w:val="21"/>
        </w:rPr>
        <w:t xml:space="preserve"> </w:t>
      </w:r>
      <w:r w:rsidRPr="00E97553">
        <w:rPr>
          <w:rFonts w:ascii="Times New Roman" w:hAnsi="Times New Roman" w:cs="Times New Roman"/>
          <w:sz w:val="21"/>
          <w:szCs w:val="21"/>
        </w:rPr>
        <w:lastRenderedPageBreak/>
        <w:t>20], а Т.</w:t>
      </w:r>
      <w:r>
        <w:rPr>
          <w:rFonts w:ascii="Times New Roman" w:hAnsi="Times New Roman" w:cs="Times New Roman"/>
          <w:sz w:val="21"/>
          <w:szCs w:val="21"/>
        </w:rPr>
        <w:t xml:space="preserve"> </w:t>
      </w:r>
      <w:r w:rsidRPr="00E97553">
        <w:rPr>
          <w:rFonts w:ascii="Times New Roman" w:hAnsi="Times New Roman" w:cs="Times New Roman"/>
          <w:sz w:val="21"/>
          <w:szCs w:val="21"/>
        </w:rPr>
        <w:t>Перглер взагалі стверджує, що це сфера переважно економічних досягнень [</w:t>
      </w:r>
      <w:r>
        <w:rPr>
          <w:rStyle w:val="rvts6"/>
          <w:sz w:val="21"/>
          <w:szCs w:val="21"/>
          <w:highlight w:val="yellow"/>
        </w:rPr>
        <w:fldChar w:fldCharType="begin"/>
      </w:r>
      <w:r>
        <w:rPr>
          <w:rFonts w:ascii="Times New Roman" w:hAnsi="Times New Roman" w:cs="Times New Roman"/>
          <w:sz w:val="21"/>
          <w:szCs w:val="21"/>
        </w:rPr>
        <w:instrText xml:space="preserve"> REF _Ref435620546 \r \h </w:instrText>
      </w:r>
      <w:r>
        <w:rPr>
          <w:rStyle w:val="rvts6"/>
          <w:sz w:val="21"/>
          <w:szCs w:val="21"/>
          <w:highlight w:val="yellow"/>
        </w:rPr>
      </w:r>
      <w:r>
        <w:rPr>
          <w:rStyle w:val="rvts6"/>
          <w:sz w:val="21"/>
          <w:szCs w:val="21"/>
          <w:highlight w:val="yellow"/>
        </w:rPr>
        <w:fldChar w:fldCharType="separate"/>
      </w:r>
      <w:r>
        <w:rPr>
          <w:rFonts w:ascii="Times New Roman" w:hAnsi="Times New Roman" w:cs="Times New Roman"/>
          <w:sz w:val="21"/>
          <w:szCs w:val="21"/>
        </w:rPr>
        <w:t>75</w:t>
      </w:r>
      <w:r>
        <w:rPr>
          <w:rStyle w:val="rvts6"/>
          <w:sz w:val="21"/>
          <w:szCs w:val="21"/>
          <w:highlight w:val="yellow"/>
        </w:rPr>
        <w:fldChar w:fldCharType="end"/>
      </w:r>
      <w:r>
        <w:rPr>
          <w:rFonts w:ascii="Times New Roman" w:hAnsi="Times New Roman" w:cs="Times New Roman"/>
          <w:sz w:val="21"/>
          <w:szCs w:val="21"/>
        </w:rPr>
        <w:t>]. У монографії «</w:t>
      </w:r>
      <w:r w:rsidRPr="00E97553">
        <w:rPr>
          <w:rFonts w:ascii="Times New Roman" w:hAnsi="Times New Roman" w:cs="Times New Roman"/>
          <w:spacing w:val="-2"/>
          <w:sz w:val="21"/>
          <w:szCs w:val="21"/>
        </w:rPr>
        <w:t>Стратегія економічного</w:t>
      </w:r>
      <w:r>
        <w:rPr>
          <w:rFonts w:ascii="Times New Roman" w:hAnsi="Times New Roman" w:cs="Times New Roman"/>
          <w:spacing w:val="-2"/>
          <w:sz w:val="21"/>
          <w:szCs w:val="21"/>
        </w:rPr>
        <w:t xml:space="preserve"> розвитку в умовах глобалізації»</w:t>
      </w:r>
      <w:r w:rsidRPr="00E97553">
        <w:rPr>
          <w:rFonts w:ascii="Times New Roman" w:hAnsi="Times New Roman" w:cs="Times New Roman"/>
          <w:spacing w:val="-2"/>
          <w:sz w:val="21"/>
          <w:szCs w:val="21"/>
        </w:rPr>
        <w:t>, колектив авторів розглядає соціальну політику «</w:t>
      </w:r>
      <w:r w:rsidRPr="00E97553">
        <w:rPr>
          <w:rFonts w:ascii="Times New Roman" w:hAnsi="Times New Roman" w:cs="Times New Roman"/>
          <w:sz w:val="21"/>
          <w:szCs w:val="21"/>
        </w:rPr>
        <w:t xml:space="preserve">по-перше, як один із видів саме економічної політики; по-друге, як цілісну автономну систему в системі економічної політики, що дозволяє виділити мінімум два напрямки у цій системі: перший, пов’язаний із забезпеченням ефективності реалізації цілей інших видів економічної політики, другий – із забезпеченням соціального захисту тих верств населення, індивідів, які потребують саме захисту, підтримки з боку суспільства </w:t>
      </w:r>
      <w:r>
        <w:rPr>
          <w:rFonts w:ascii="Times New Roman" w:hAnsi="Times New Roman" w:cs="Times New Roman"/>
          <w:sz w:val="21"/>
          <w:szCs w:val="21"/>
        </w:rPr>
        <w:t>у прямому розумінні цього слова»</w:t>
      </w:r>
      <w:r w:rsidRPr="00E97553">
        <w:rPr>
          <w:rFonts w:ascii="Times New Roman" w:hAnsi="Times New Roman" w:cs="Times New Roman"/>
          <w:sz w:val="21"/>
          <w:szCs w:val="21"/>
        </w:rPr>
        <w:t xml:space="preserve"> [</w:t>
      </w:r>
      <w:r>
        <w:rPr>
          <w:rStyle w:val="st1"/>
          <w:rFonts w:ascii="Times New Roman" w:hAnsi="Times New Roman"/>
          <w:bCs/>
          <w:color w:val="000000"/>
          <w:sz w:val="21"/>
          <w:szCs w:val="21"/>
          <w:highlight w:val="yellow"/>
        </w:rPr>
        <w:fldChar w:fldCharType="begin"/>
      </w:r>
      <w:r>
        <w:rPr>
          <w:rFonts w:ascii="Times New Roman" w:hAnsi="Times New Roman" w:cs="Times New Roman"/>
          <w:sz w:val="21"/>
          <w:szCs w:val="21"/>
        </w:rPr>
        <w:instrText xml:space="preserve"> REF _Ref435620556 \r \h </w:instrText>
      </w:r>
      <w:r>
        <w:rPr>
          <w:rStyle w:val="st1"/>
          <w:rFonts w:ascii="Times New Roman" w:hAnsi="Times New Roman"/>
          <w:bCs/>
          <w:color w:val="000000"/>
          <w:sz w:val="21"/>
          <w:szCs w:val="21"/>
          <w:highlight w:val="yellow"/>
        </w:rPr>
      </w:r>
      <w:r>
        <w:rPr>
          <w:rStyle w:val="st1"/>
          <w:rFonts w:ascii="Times New Roman" w:hAnsi="Times New Roman"/>
          <w:bCs/>
          <w:color w:val="000000"/>
          <w:sz w:val="21"/>
          <w:szCs w:val="21"/>
          <w:highlight w:val="yellow"/>
        </w:rPr>
        <w:fldChar w:fldCharType="separate"/>
      </w:r>
      <w:r>
        <w:rPr>
          <w:rFonts w:ascii="Times New Roman" w:hAnsi="Times New Roman" w:cs="Times New Roman"/>
          <w:sz w:val="21"/>
          <w:szCs w:val="21"/>
        </w:rPr>
        <w:t>116</w:t>
      </w:r>
      <w:r>
        <w:rPr>
          <w:rStyle w:val="st1"/>
          <w:rFonts w:ascii="Times New Roman" w:hAnsi="Times New Roman"/>
          <w:bCs/>
          <w:color w:val="000000"/>
          <w:sz w:val="21"/>
          <w:szCs w:val="21"/>
          <w:highlight w:val="yellow"/>
        </w:rPr>
        <w:fldChar w:fldCharType="end"/>
      </w:r>
      <w:r w:rsidRPr="00E97553">
        <w:rPr>
          <w:rFonts w:ascii="Times New Roman" w:hAnsi="Times New Roman" w:cs="Times New Roman"/>
          <w:sz w:val="21"/>
          <w:szCs w:val="21"/>
        </w:rPr>
        <w:t>, с. 97]</w:t>
      </w:r>
      <w:r>
        <w:rPr>
          <w:rFonts w:ascii="Times New Roman" w:hAnsi="Times New Roman" w:cs="Times New Roman"/>
          <w:spacing w:val="-2"/>
          <w:sz w:val="21"/>
          <w:szCs w:val="21"/>
        </w:rPr>
        <w:t xml:space="preserve">. </w:t>
      </w:r>
      <w:r w:rsidRPr="00E97553">
        <w:rPr>
          <w:rFonts w:ascii="Times New Roman" w:hAnsi="Times New Roman" w:cs="Times New Roman"/>
          <w:spacing w:val="-2"/>
          <w:sz w:val="21"/>
          <w:szCs w:val="21"/>
        </w:rPr>
        <w:t>Ми поділяємо думку тих дослідників, які вважають, що розгляд соціальної політики як складової екон</w:t>
      </w:r>
      <w:r>
        <w:rPr>
          <w:rFonts w:ascii="Times New Roman" w:hAnsi="Times New Roman" w:cs="Times New Roman"/>
          <w:spacing w:val="-2"/>
          <w:sz w:val="21"/>
          <w:szCs w:val="21"/>
        </w:rPr>
        <w:t>омічної політики є хибним і що «</w:t>
      </w:r>
      <w:r w:rsidRPr="00E97553">
        <w:rPr>
          <w:rFonts w:ascii="Times New Roman" w:hAnsi="Times New Roman" w:cs="Times New Roman"/>
          <w:spacing w:val="-2"/>
          <w:sz w:val="21"/>
          <w:szCs w:val="21"/>
        </w:rPr>
        <w:t xml:space="preserve">соціальна політика є одним із найважливіших напрямів державного регулювання економіки, </w:t>
      </w:r>
      <w:r w:rsidRPr="00E97553">
        <w:rPr>
          <w:rFonts w:ascii="Times New Roman" w:hAnsi="Times New Roman" w:cs="Times New Roman"/>
          <w:iCs/>
          <w:spacing w:val="-2"/>
          <w:sz w:val="21"/>
          <w:szCs w:val="21"/>
        </w:rPr>
        <w:t>оскільки</w:t>
      </w:r>
      <w:r w:rsidRPr="00E97553">
        <w:rPr>
          <w:rFonts w:ascii="Times New Roman" w:hAnsi="Times New Roman" w:cs="Times New Roman"/>
          <w:spacing w:val="-2"/>
          <w:sz w:val="21"/>
          <w:szCs w:val="21"/>
        </w:rPr>
        <w:t xml:space="preserve"> кінцевою метою діяльності держави є досягнення високого рівня добробуту суспільства і створення умов для його подальшого розвитку, а соціальна політика має безпосереднє відноше</w:t>
      </w:r>
      <w:r>
        <w:rPr>
          <w:rFonts w:ascii="Times New Roman" w:hAnsi="Times New Roman" w:cs="Times New Roman"/>
          <w:spacing w:val="-2"/>
          <w:sz w:val="21"/>
          <w:szCs w:val="21"/>
        </w:rPr>
        <w:t>ння до вирішення цього завдання»</w:t>
      </w:r>
      <w:r w:rsidRPr="00E97553">
        <w:rPr>
          <w:rFonts w:ascii="Times New Roman" w:hAnsi="Times New Roman" w:cs="Times New Roman"/>
          <w:spacing w:val="-2"/>
          <w:sz w:val="21"/>
          <w:szCs w:val="21"/>
        </w:rPr>
        <w:t xml:space="preserve"> </w:t>
      </w:r>
      <w:r w:rsidRPr="00E97553">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_Ref435619852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 43].</w:t>
      </w:r>
    </w:p>
    <w:p w:rsidR="00B233DE" w:rsidRPr="00E97553" w:rsidRDefault="00B233DE" w:rsidP="00B233DE">
      <w:pPr>
        <w:tabs>
          <w:tab w:val="left" w:pos="900"/>
          <w:tab w:val="left" w:pos="1358"/>
          <w:tab w:val="left" w:pos="1400"/>
        </w:tabs>
        <w:ind w:firstLine="709"/>
        <w:jc w:val="both"/>
        <w:rPr>
          <w:rFonts w:ascii="Times New Roman" w:hAnsi="Times New Roman" w:cs="Times New Roman"/>
          <w:sz w:val="21"/>
          <w:szCs w:val="21"/>
        </w:rPr>
      </w:pPr>
      <w:r w:rsidRPr="00E97553">
        <w:rPr>
          <w:rFonts w:ascii="Times New Roman" w:hAnsi="Times New Roman" w:cs="Times New Roman"/>
          <w:spacing w:val="-4"/>
          <w:sz w:val="21"/>
          <w:szCs w:val="21"/>
        </w:rPr>
        <w:t xml:space="preserve">Виділяючи у визначеннях соціальної політики політологічний аспект, необхідно звернути увагу на те, що політологи зосереджують свою увагу на суб’єкті соціальної політики – державі та об’єкті – суспільстві. На їх думку, соціальна політика </w:t>
      </w:r>
      <w:r w:rsidRPr="00E97553">
        <w:rPr>
          <w:rFonts w:ascii="Times New Roman" w:hAnsi="Times New Roman" w:cs="Times New Roman"/>
          <w:sz w:val="21"/>
          <w:szCs w:val="21"/>
        </w:rPr>
        <w:t>–</w:t>
      </w:r>
      <w:r>
        <w:rPr>
          <w:rFonts w:ascii="Times New Roman" w:hAnsi="Times New Roman" w:cs="Times New Roman"/>
          <w:spacing w:val="-4"/>
          <w:sz w:val="21"/>
          <w:szCs w:val="21"/>
        </w:rPr>
        <w:t xml:space="preserve"> це «</w:t>
      </w:r>
      <w:r w:rsidRPr="00E97553">
        <w:rPr>
          <w:rFonts w:ascii="Times New Roman" w:hAnsi="Times New Roman" w:cs="Times New Roman"/>
          <w:sz w:val="21"/>
          <w:szCs w:val="21"/>
        </w:rPr>
        <w:t xml:space="preserve">діяльність держави щодо збалансування розвитку суспільства, забезпечення державного правління, соціального захисту населення, створення сприятливих умов для існування </w:t>
      </w:r>
      <w:r>
        <w:rPr>
          <w:rFonts w:ascii="Times New Roman" w:hAnsi="Times New Roman" w:cs="Times New Roman"/>
          <w:sz w:val="21"/>
          <w:szCs w:val="21"/>
        </w:rPr>
        <w:t xml:space="preserve">індивідів і соціальних спільнот» </w:t>
      </w:r>
      <w:r w:rsidRPr="00E97553">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_Ref435619915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76</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w:t>
      </w:r>
      <w:r>
        <w:rPr>
          <w:rFonts w:ascii="Times New Roman" w:hAnsi="Times New Roman" w:cs="Times New Roman"/>
          <w:sz w:val="21"/>
          <w:szCs w:val="21"/>
        </w:rPr>
        <w:t xml:space="preserve"> </w:t>
      </w:r>
      <w:r w:rsidRPr="00E97553">
        <w:rPr>
          <w:rFonts w:ascii="Times New Roman" w:hAnsi="Times New Roman" w:cs="Times New Roman"/>
          <w:sz w:val="21"/>
          <w:szCs w:val="21"/>
        </w:rPr>
        <w:t>114]</w:t>
      </w:r>
      <w:r w:rsidRPr="00E97553">
        <w:rPr>
          <w:rFonts w:ascii="Times New Roman" w:hAnsi="Times New Roman" w:cs="Times New Roman"/>
          <w:spacing w:val="-4"/>
          <w:sz w:val="21"/>
          <w:szCs w:val="21"/>
        </w:rPr>
        <w:t xml:space="preserve"> </w:t>
      </w:r>
      <w:r w:rsidRPr="00E97553">
        <w:rPr>
          <w:rFonts w:ascii="Times New Roman" w:hAnsi="Times New Roman" w:cs="Times New Roman"/>
          <w:spacing w:val="-2"/>
          <w:sz w:val="21"/>
          <w:szCs w:val="21"/>
        </w:rPr>
        <w:t xml:space="preserve">або </w:t>
      </w:r>
      <w:r>
        <w:rPr>
          <w:rFonts w:ascii="Times New Roman" w:hAnsi="Times New Roman" w:cs="Times New Roman"/>
          <w:sz w:val="21"/>
          <w:szCs w:val="21"/>
        </w:rPr>
        <w:t>«</w:t>
      </w:r>
      <w:r w:rsidRPr="00E97553">
        <w:rPr>
          <w:rFonts w:ascii="Times New Roman" w:hAnsi="Times New Roman" w:cs="Times New Roman"/>
          <w:sz w:val="21"/>
          <w:szCs w:val="21"/>
        </w:rPr>
        <w:t xml:space="preserve">діяльність держави з управління соціальним розвитком суспільства, задоволення матеріальних і культурних потреб його членів, а також регулювання процесів соціальної диференціації суспільства з метою </w:t>
      </w:r>
      <w:r>
        <w:rPr>
          <w:rFonts w:ascii="Times New Roman" w:hAnsi="Times New Roman" w:cs="Times New Roman"/>
          <w:sz w:val="21"/>
          <w:szCs w:val="21"/>
        </w:rPr>
        <w:t>стабілізації суспільної системи»</w:t>
      </w:r>
      <w:r w:rsidRPr="00E9755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_Ref435620518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78</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xml:space="preserve">, </w:t>
      </w:r>
      <w:r>
        <w:rPr>
          <w:rFonts w:ascii="Times New Roman" w:hAnsi="Times New Roman" w:cs="Times New Roman"/>
          <w:sz w:val="21"/>
          <w:szCs w:val="21"/>
        </w:rPr>
        <w:t xml:space="preserve">с. </w:t>
      </w:r>
      <w:r w:rsidRPr="00E97553">
        <w:rPr>
          <w:rFonts w:ascii="Times New Roman" w:hAnsi="Times New Roman" w:cs="Times New Roman"/>
          <w:sz w:val="21"/>
          <w:szCs w:val="21"/>
        </w:rPr>
        <w:t>621]</w:t>
      </w:r>
      <w:r w:rsidRPr="00E97553">
        <w:rPr>
          <w:rFonts w:ascii="Times New Roman" w:hAnsi="Times New Roman" w:cs="Times New Roman"/>
          <w:spacing w:val="-4"/>
          <w:sz w:val="21"/>
          <w:szCs w:val="21"/>
        </w:rPr>
        <w:t xml:space="preserve">. Найбільш виражений правовий аспект соціальної політики через відображення значення системи норм і нормативних структур у формуванні та впровадженні завдань соціальної політики. У розумінні В. Капіцина, соціальна політика </w:t>
      </w:r>
      <w:r w:rsidRPr="00E97553">
        <w:rPr>
          <w:rFonts w:ascii="Times New Roman" w:hAnsi="Times New Roman" w:cs="Times New Roman"/>
          <w:sz w:val="21"/>
          <w:szCs w:val="21"/>
        </w:rPr>
        <w:t>означає керівну дію держави, яка заснована на системі правил (норм), нормативних структур, які приймають рішення та організують діяльність, що сприяє залученню в політичні процеси  різних суб’єктів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_Ref435619992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43</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w:t>
      </w:r>
      <w:r>
        <w:rPr>
          <w:rFonts w:ascii="Times New Roman" w:hAnsi="Times New Roman" w:cs="Times New Roman"/>
          <w:sz w:val="21"/>
          <w:szCs w:val="21"/>
        </w:rPr>
        <w:t xml:space="preserve"> </w:t>
      </w:r>
      <w:r w:rsidRPr="00E97553">
        <w:rPr>
          <w:rFonts w:ascii="Times New Roman" w:hAnsi="Times New Roman" w:cs="Times New Roman"/>
          <w:sz w:val="21"/>
          <w:szCs w:val="21"/>
        </w:rPr>
        <w:t>22]</w:t>
      </w:r>
      <w:r w:rsidRPr="00E97553">
        <w:rPr>
          <w:rFonts w:ascii="Times New Roman" w:hAnsi="Times New Roman" w:cs="Times New Roman"/>
          <w:spacing w:val="-4"/>
          <w:sz w:val="21"/>
          <w:szCs w:val="21"/>
        </w:rPr>
        <w:t>.</w:t>
      </w:r>
    </w:p>
    <w:p w:rsidR="00B233DE" w:rsidRPr="00E97553" w:rsidRDefault="00B233DE" w:rsidP="00B233DE">
      <w:pPr>
        <w:tabs>
          <w:tab w:val="left" w:pos="900"/>
          <w:tab w:val="left" w:pos="1190"/>
        </w:tabs>
        <w:ind w:firstLine="709"/>
        <w:jc w:val="both"/>
        <w:rPr>
          <w:rFonts w:ascii="Times New Roman" w:hAnsi="Times New Roman" w:cs="Times New Roman"/>
          <w:spacing w:val="-4"/>
          <w:sz w:val="21"/>
          <w:szCs w:val="21"/>
        </w:rPr>
      </w:pPr>
      <w:r w:rsidRPr="00E97553">
        <w:rPr>
          <w:rFonts w:ascii="Times New Roman" w:hAnsi="Times New Roman" w:cs="Times New Roman"/>
          <w:spacing w:val="-4"/>
          <w:sz w:val="21"/>
          <w:szCs w:val="21"/>
        </w:rPr>
        <w:t xml:space="preserve">Враховуючи те, що соціологія може розглядати соціальне явище або процес на прикладному, галузевому чи макрорівні та з різних концептуальних позицій, до п’ятої групи можна віднести </w:t>
      </w:r>
      <w:r w:rsidRPr="00E97553">
        <w:rPr>
          <w:rFonts w:ascii="Times New Roman" w:hAnsi="Times New Roman" w:cs="Times New Roman"/>
          <w:spacing w:val="-4"/>
          <w:sz w:val="21"/>
          <w:szCs w:val="21"/>
        </w:rPr>
        <w:lastRenderedPageBreak/>
        <w:t>практично всі визначення соціальної п</w:t>
      </w:r>
      <w:r>
        <w:rPr>
          <w:rFonts w:ascii="Times New Roman" w:hAnsi="Times New Roman" w:cs="Times New Roman"/>
          <w:spacing w:val="-4"/>
          <w:sz w:val="21"/>
          <w:szCs w:val="21"/>
        </w:rPr>
        <w:t>олітики, адже, соціологія – це «…вчення про суспільство», «</w:t>
      </w:r>
      <w:r w:rsidRPr="00E97553">
        <w:rPr>
          <w:rFonts w:ascii="Times New Roman" w:hAnsi="Times New Roman" w:cs="Times New Roman"/>
          <w:spacing w:val="-4"/>
          <w:sz w:val="21"/>
          <w:szCs w:val="21"/>
        </w:rPr>
        <w:t>наука, яка вивчає форми, закони і закономірності конструювання, функціонування і розвитку соціальної реальності суспільства через їх переломлення у взаємодіях індивідів і людських спі</w:t>
      </w:r>
      <w:r>
        <w:rPr>
          <w:rFonts w:ascii="Times New Roman" w:hAnsi="Times New Roman" w:cs="Times New Roman"/>
          <w:spacing w:val="-4"/>
          <w:sz w:val="21"/>
          <w:szCs w:val="21"/>
        </w:rPr>
        <w:t>льнот»</w:t>
      </w:r>
      <w:r w:rsidRPr="00E97553">
        <w:rPr>
          <w:rFonts w:ascii="Times New Roman" w:hAnsi="Times New Roman" w:cs="Times New Roman"/>
          <w:spacing w:val="-4"/>
          <w:sz w:val="21"/>
          <w:szCs w:val="21"/>
        </w:rPr>
        <w:t xml:space="preserve"> </w:t>
      </w:r>
      <w:r w:rsidRPr="00E97553">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_Ref435620593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18</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 410]</w:t>
      </w:r>
      <w:r w:rsidRPr="00E97553">
        <w:rPr>
          <w:rFonts w:ascii="Times New Roman" w:hAnsi="Times New Roman" w:cs="Times New Roman"/>
          <w:spacing w:val="-4"/>
          <w:sz w:val="21"/>
          <w:szCs w:val="21"/>
        </w:rPr>
        <w:t xml:space="preserve">. Зокрема, </w:t>
      </w:r>
      <w:r w:rsidRPr="00E97553">
        <w:rPr>
          <w:rFonts w:ascii="Times New Roman" w:hAnsi="Times New Roman" w:cs="Times New Roman"/>
          <w:sz w:val="21"/>
          <w:szCs w:val="21"/>
        </w:rPr>
        <w:t>Б.</w:t>
      </w:r>
      <w:r>
        <w:rPr>
          <w:rFonts w:ascii="Times New Roman" w:hAnsi="Times New Roman" w:cs="Times New Roman"/>
          <w:sz w:val="21"/>
          <w:szCs w:val="21"/>
        </w:rPr>
        <w:t xml:space="preserve"> </w:t>
      </w:r>
      <w:r w:rsidRPr="00E97553">
        <w:rPr>
          <w:rFonts w:ascii="Times New Roman" w:hAnsi="Times New Roman" w:cs="Times New Roman"/>
          <w:sz w:val="21"/>
          <w:szCs w:val="21"/>
        </w:rPr>
        <w:t>Гаєвський наголошує, що в організаційному розумінні соціальна політика становить систему принципів, заходів і методів задоволення за допомогою політики основних потреб людини, соціальних прошарків, усього населення країни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_Ref435620598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15</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 164]</w:t>
      </w:r>
      <w:r w:rsidRPr="00E97553">
        <w:rPr>
          <w:rFonts w:ascii="Times New Roman" w:hAnsi="Times New Roman" w:cs="Times New Roman"/>
          <w:spacing w:val="-4"/>
          <w:sz w:val="21"/>
          <w:szCs w:val="21"/>
        </w:rPr>
        <w:t>.</w:t>
      </w:r>
      <w:r w:rsidRPr="00E97553">
        <w:rPr>
          <w:rFonts w:ascii="Times New Roman" w:hAnsi="Times New Roman" w:cs="Times New Roman"/>
          <w:sz w:val="21"/>
          <w:szCs w:val="21"/>
        </w:rPr>
        <w:t xml:space="preserve"> </w:t>
      </w:r>
    </w:p>
    <w:p w:rsidR="00B233DE" w:rsidRPr="00E97553" w:rsidRDefault="00B233DE" w:rsidP="00B233DE">
      <w:pPr>
        <w:tabs>
          <w:tab w:val="left" w:pos="900"/>
          <w:tab w:val="left" w:pos="1400"/>
        </w:tabs>
        <w:ind w:firstLine="709"/>
        <w:jc w:val="both"/>
        <w:rPr>
          <w:rFonts w:ascii="Times New Roman" w:hAnsi="Times New Roman" w:cs="Times New Roman"/>
          <w:sz w:val="21"/>
          <w:szCs w:val="21"/>
        </w:rPr>
      </w:pPr>
      <w:r w:rsidRPr="00E97553">
        <w:rPr>
          <w:rFonts w:ascii="Times New Roman" w:hAnsi="Times New Roman" w:cs="Times New Roman"/>
          <w:spacing w:val="-4"/>
          <w:sz w:val="21"/>
          <w:szCs w:val="21"/>
        </w:rPr>
        <w:t xml:space="preserve">До шостої групи ми можемо віднести тільки два відомі нам визначення, де присутній екологічний аспект. </w:t>
      </w:r>
      <w:r w:rsidRPr="00E97553">
        <w:rPr>
          <w:rFonts w:ascii="Times New Roman" w:hAnsi="Times New Roman" w:cs="Times New Roman"/>
          <w:sz w:val="21"/>
          <w:szCs w:val="21"/>
        </w:rPr>
        <w:t xml:space="preserve">У словнику </w:t>
      </w:r>
      <w:r>
        <w:rPr>
          <w:rFonts w:ascii="Times New Roman" w:hAnsi="Times New Roman" w:cs="Times New Roman"/>
          <w:spacing w:val="-4"/>
          <w:sz w:val="21"/>
          <w:szCs w:val="21"/>
        </w:rPr>
        <w:t>«</w:t>
      </w:r>
      <w:r w:rsidRPr="00E97553">
        <w:rPr>
          <w:rFonts w:ascii="Times New Roman" w:hAnsi="Times New Roman" w:cs="Times New Roman"/>
          <w:spacing w:val="-4"/>
          <w:sz w:val="21"/>
          <w:szCs w:val="21"/>
        </w:rPr>
        <w:t>Социальная пол</w:t>
      </w:r>
      <w:r>
        <w:rPr>
          <w:rFonts w:ascii="Times New Roman" w:hAnsi="Times New Roman" w:cs="Times New Roman"/>
          <w:spacing w:val="-4"/>
          <w:sz w:val="21"/>
          <w:szCs w:val="21"/>
        </w:rPr>
        <w:t>итика, уровень и качество жизни»</w:t>
      </w:r>
      <w:r w:rsidRPr="00E97553">
        <w:rPr>
          <w:rStyle w:val="affd"/>
          <w:rFonts w:ascii="Times New Roman" w:hAnsi="Times New Roman"/>
          <w:sz w:val="21"/>
          <w:szCs w:val="21"/>
        </w:rPr>
        <w:t xml:space="preserve"> </w:t>
      </w:r>
      <w:r w:rsidRPr="00E97553">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_Ref435620606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106</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 197]</w:t>
      </w:r>
      <w:r w:rsidRPr="00E97553">
        <w:rPr>
          <w:rFonts w:ascii="Times New Roman" w:hAnsi="Times New Roman" w:cs="Times New Roman"/>
          <w:spacing w:val="-4"/>
          <w:sz w:val="21"/>
          <w:szCs w:val="21"/>
        </w:rPr>
        <w:t xml:space="preserve"> </w:t>
      </w:r>
      <w:r w:rsidRPr="00E97553">
        <w:rPr>
          <w:rFonts w:ascii="Times New Roman" w:hAnsi="Times New Roman" w:cs="Times New Roman"/>
          <w:sz w:val="21"/>
          <w:szCs w:val="21"/>
        </w:rPr>
        <w:t xml:space="preserve">зазначено, що соціальна політика – це діяльність держави та інститутів громадянського суспільства, спрямована на управління соціальним розвитком, збільшенням і розподілом матеріальних та духовних благ для забезпечення належного рівня якості життя усіх верств населення, кожної людини. Саме </w:t>
      </w:r>
      <w:r w:rsidRPr="00E97553">
        <w:rPr>
          <w:rFonts w:ascii="Times New Roman" w:hAnsi="Times New Roman" w:cs="Times New Roman"/>
          <w:spacing w:val="-4"/>
          <w:sz w:val="21"/>
          <w:szCs w:val="21"/>
        </w:rPr>
        <w:t>забезпечення гідного рівня життя усіх верств населення і передбачає проживання кожної людини в екологічно чистих районах, харчування екологічно чистими продуктами тощо.</w:t>
      </w:r>
      <w:r w:rsidRPr="00E97553">
        <w:rPr>
          <w:rFonts w:ascii="Times New Roman" w:hAnsi="Times New Roman" w:cs="Times New Roman"/>
          <w:sz w:val="21"/>
          <w:szCs w:val="21"/>
        </w:rPr>
        <w:t xml:space="preserve"> </w:t>
      </w:r>
    </w:p>
    <w:p w:rsidR="00B233DE" w:rsidRPr="00E97553" w:rsidRDefault="00B233DE" w:rsidP="00B233DE">
      <w:pPr>
        <w:ind w:firstLine="709"/>
        <w:jc w:val="both"/>
        <w:rPr>
          <w:rFonts w:ascii="Times New Roman" w:hAnsi="Times New Roman" w:cs="Times New Roman"/>
          <w:spacing w:val="-4"/>
          <w:sz w:val="21"/>
          <w:szCs w:val="21"/>
        </w:rPr>
      </w:pPr>
      <w:r w:rsidRPr="00E97553">
        <w:rPr>
          <w:rFonts w:ascii="Times New Roman" w:hAnsi="Times New Roman" w:cs="Times New Roman"/>
          <w:spacing w:val="-4"/>
          <w:sz w:val="21"/>
          <w:szCs w:val="21"/>
        </w:rPr>
        <w:t xml:space="preserve">Як бачимо, деякі визначення можна віднести до декількох груп, що не дивно, оскільки соціальна політика не може розглядатися однобоко, враховуючи тільки один чи два перелічені аспекти. Її доцільно розглядати, на нашу думку, як інтегроване наукове поняття. </w:t>
      </w:r>
    </w:p>
    <w:p w:rsidR="00B233DE" w:rsidRPr="00E97553" w:rsidRDefault="00B233DE" w:rsidP="00B233DE">
      <w:pPr>
        <w:ind w:firstLine="709"/>
        <w:jc w:val="both"/>
        <w:rPr>
          <w:rFonts w:ascii="Times New Roman" w:hAnsi="Times New Roman" w:cs="Times New Roman"/>
          <w:spacing w:val="-4"/>
          <w:sz w:val="21"/>
          <w:szCs w:val="21"/>
        </w:rPr>
      </w:pPr>
      <w:r w:rsidRPr="00E97553">
        <w:rPr>
          <w:rFonts w:ascii="Times New Roman" w:hAnsi="Times New Roman" w:cs="Times New Roman"/>
          <w:sz w:val="21"/>
          <w:szCs w:val="21"/>
        </w:rPr>
        <w:t xml:space="preserve">Соціальна політика – це діяльність, яка </w:t>
      </w:r>
      <w:r w:rsidRPr="00E97553">
        <w:rPr>
          <w:rFonts w:ascii="Times New Roman" w:hAnsi="Times New Roman" w:cs="Times New Roman"/>
          <w:spacing w:val="-4"/>
          <w:sz w:val="21"/>
          <w:szCs w:val="21"/>
        </w:rPr>
        <w:t>відображає суспільний устрій і регулює взаємовідносини в суспільстві для забезпечення гідного рівня життя населення, визначається їх цілями та інтересами.</w:t>
      </w:r>
    </w:p>
    <w:p w:rsidR="00B233DE" w:rsidRPr="00E97553" w:rsidRDefault="00B233DE" w:rsidP="00B233DE">
      <w:pPr>
        <w:ind w:firstLine="709"/>
        <w:jc w:val="both"/>
        <w:rPr>
          <w:rFonts w:ascii="Times New Roman" w:hAnsi="Times New Roman" w:cs="Times New Roman"/>
          <w:spacing w:val="-4"/>
          <w:sz w:val="21"/>
          <w:szCs w:val="21"/>
        </w:rPr>
      </w:pPr>
      <w:r w:rsidRPr="00E97553">
        <w:rPr>
          <w:rFonts w:ascii="Times New Roman" w:hAnsi="Times New Roman" w:cs="Times New Roman"/>
          <w:spacing w:val="-4"/>
          <w:sz w:val="21"/>
          <w:szCs w:val="21"/>
        </w:rPr>
        <w:t>На нашу думку, у соціальній політиці держави загалом належить розрізняти державну соціальну політику і недержавну соціальну політику.</w:t>
      </w:r>
    </w:p>
    <w:p w:rsidR="00B233DE" w:rsidRPr="00E97553" w:rsidRDefault="00B233DE" w:rsidP="00B233DE">
      <w:pPr>
        <w:ind w:firstLine="709"/>
        <w:jc w:val="both"/>
        <w:rPr>
          <w:rFonts w:ascii="Times New Roman" w:hAnsi="Times New Roman" w:cs="Times New Roman"/>
          <w:sz w:val="21"/>
          <w:szCs w:val="21"/>
        </w:rPr>
      </w:pPr>
      <w:r w:rsidRPr="00E97553">
        <w:rPr>
          <w:rFonts w:ascii="Times New Roman" w:hAnsi="Times New Roman" w:cs="Times New Roman"/>
          <w:sz w:val="21"/>
          <w:szCs w:val="21"/>
        </w:rPr>
        <w:t>Недержавна соціальна політика – це діяльність різних організацій, які здійснюють вплив на формування соціальних відносин у державі.</w:t>
      </w:r>
    </w:p>
    <w:p w:rsidR="00B233DE" w:rsidRPr="00E97553" w:rsidRDefault="00B233DE" w:rsidP="00B233DE">
      <w:pPr>
        <w:ind w:firstLine="709"/>
        <w:jc w:val="both"/>
        <w:rPr>
          <w:rFonts w:ascii="Times New Roman" w:hAnsi="Times New Roman" w:cs="Times New Roman"/>
          <w:spacing w:val="-4"/>
          <w:sz w:val="21"/>
          <w:szCs w:val="21"/>
        </w:rPr>
      </w:pPr>
      <w:r w:rsidRPr="00E97553">
        <w:rPr>
          <w:rFonts w:ascii="Times New Roman" w:hAnsi="Times New Roman" w:cs="Times New Roman"/>
          <w:spacing w:val="-4"/>
          <w:sz w:val="21"/>
          <w:szCs w:val="21"/>
        </w:rPr>
        <w:t>Державна соціальна політика є однією з складових соціальної політики, а вона, своєю чергою, є складовою політики держави. Саме тому їй будуть притаманні ознаки, які є властивими й державній політиці.</w:t>
      </w:r>
    </w:p>
    <w:p w:rsidR="00B233DE" w:rsidRPr="00E97553" w:rsidRDefault="00B233DE" w:rsidP="00B233DE">
      <w:pPr>
        <w:tabs>
          <w:tab w:val="left" w:pos="900"/>
          <w:tab w:val="left" w:pos="1400"/>
        </w:tabs>
        <w:ind w:firstLine="709"/>
        <w:jc w:val="both"/>
        <w:rPr>
          <w:rFonts w:ascii="Times New Roman" w:hAnsi="Times New Roman" w:cs="Times New Roman"/>
          <w:sz w:val="21"/>
          <w:szCs w:val="21"/>
        </w:rPr>
      </w:pPr>
      <w:r w:rsidRPr="00E97553">
        <w:rPr>
          <w:rFonts w:ascii="Times New Roman" w:hAnsi="Times New Roman" w:cs="Times New Roman"/>
          <w:sz w:val="21"/>
          <w:szCs w:val="21"/>
        </w:rPr>
        <w:lastRenderedPageBreak/>
        <w:t xml:space="preserve">Колектив авторів за редакцією </w:t>
      </w:r>
      <w:r>
        <w:rPr>
          <w:rFonts w:ascii="Times New Roman" w:hAnsi="Times New Roman" w:cs="Times New Roman"/>
          <w:sz w:val="21"/>
          <w:szCs w:val="21"/>
        </w:rPr>
        <w:t>М</w:t>
      </w:r>
      <w:r w:rsidRPr="00E97553">
        <w:rPr>
          <w:rFonts w:ascii="Times New Roman" w:hAnsi="Times New Roman" w:cs="Times New Roman"/>
          <w:sz w:val="21"/>
          <w:szCs w:val="21"/>
        </w:rPr>
        <w:t>.</w:t>
      </w:r>
      <w:r>
        <w:rPr>
          <w:rFonts w:ascii="Times New Roman" w:hAnsi="Times New Roman" w:cs="Times New Roman"/>
          <w:sz w:val="21"/>
          <w:szCs w:val="21"/>
        </w:rPr>
        <w:t xml:space="preserve"> </w:t>
      </w:r>
      <w:r w:rsidRPr="00E97553">
        <w:rPr>
          <w:rFonts w:ascii="Times New Roman" w:hAnsi="Times New Roman" w:cs="Times New Roman"/>
          <w:sz w:val="21"/>
          <w:szCs w:val="21"/>
        </w:rPr>
        <w:t>Волгіна вважають, що державна соціальна політика – це дії держави в соціальній сфері, мета яких співзвучна з конкретно-історичними обставинами, підкріплена необхідними організаційними і пропагандистськими зусиллями, фінансовими ресурсами і розраховані на визначені поетапні соціальні результа</w:t>
      </w:r>
      <w:r>
        <w:rPr>
          <w:rFonts w:ascii="Times New Roman" w:hAnsi="Times New Roman" w:cs="Times New Roman"/>
          <w:sz w:val="21"/>
          <w:szCs w:val="21"/>
        </w:rPr>
        <w:t>ти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_Ref435620032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107</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w:t>
      </w:r>
      <w:r>
        <w:rPr>
          <w:rFonts w:ascii="Times New Roman" w:hAnsi="Times New Roman" w:cs="Times New Roman"/>
          <w:sz w:val="21"/>
          <w:szCs w:val="21"/>
        </w:rPr>
        <w:t xml:space="preserve"> </w:t>
      </w:r>
      <w:r w:rsidRPr="00E97553">
        <w:rPr>
          <w:rFonts w:ascii="Times New Roman" w:hAnsi="Times New Roman" w:cs="Times New Roman"/>
          <w:sz w:val="21"/>
          <w:szCs w:val="21"/>
        </w:rPr>
        <w:t xml:space="preserve">33]. Ми не можемо повністю погодитися з цим визначенням, оскільки державна соціальна політика, як і соціальна політика загалом, охоплює не тільки соціальну сферу, але й систему соціального захисту та інші заходи держави, спрямовані на покращання добробуту всього населення. </w:t>
      </w:r>
    </w:p>
    <w:p w:rsidR="00B233DE" w:rsidRPr="00E97553" w:rsidRDefault="00B233DE" w:rsidP="00B233DE">
      <w:pPr>
        <w:tabs>
          <w:tab w:val="left" w:pos="900"/>
          <w:tab w:val="left" w:pos="1400"/>
        </w:tabs>
        <w:ind w:firstLine="709"/>
        <w:jc w:val="both"/>
        <w:rPr>
          <w:rFonts w:ascii="Times New Roman" w:hAnsi="Times New Roman" w:cs="Times New Roman"/>
          <w:sz w:val="21"/>
          <w:szCs w:val="21"/>
        </w:rPr>
      </w:pPr>
      <w:r w:rsidRPr="00E97553">
        <w:rPr>
          <w:rFonts w:ascii="Times New Roman" w:hAnsi="Times New Roman" w:cs="Times New Roman"/>
          <w:sz w:val="21"/>
          <w:szCs w:val="21"/>
        </w:rPr>
        <w:t>Як стверджує П. Павленко, державна соціальна політика – це певна орієнтація держави та система заходів із оптимізації соціального розвитку суспільства, відносин між соціальними та іншими групами, створення умов для задоволення життєвих потреб їхніх представників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_Ref435620623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74</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w:t>
      </w:r>
    </w:p>
    <w:p w:rsidR="00B233DE" w:rsidRPr="00E97553" w:rsidRDefault="00B233DE" w:rsidP="00B233DE">
      <w:pPr>
        <w:tabs>
          <w:tab w:val="left" w:pos="900"/>
          <w:tab w:val="left" w:pos="1358"/>
          <w:tab w:val="left" w:pos="1428"/>
        </w:tabs>
        <w:ind w:firstLine="709"/>
        <w:jc w:val="both"/>
        <w:rPr>
          <w:rFonts w:ascii="Times New Roman" w:hAnsi="Times New Roman" w:cs="Times New Roman"/>
          <w:sz w:val="21"/>
          <w:szCs w:val="21"/>
        </w:rPr>
      </w:pPr>
      <w:r w:rsidRPr="00E97553">
        <w:rPr>
          <w:rFonts w:ascii="Times New Roman" w:hAnsi="Times New Roman" w:cs="Times New Roman"/>
          <w:spacing w:val="-4"/>
          <w:sz w:val="21"/>
          <w:szCs w:val="21"/>
        </w:rPr>
        <w:t>У визначенні суті державної соціальної політики, на нашу думку, потрібно виходити з положення Конституції України, відповідно до якого Україна є соціальною державою. Найвищою соціальною</w:t>
      </w:r>
      <w:r>
        <w:rPr>
          <w:rFonts w:ascii="Times New Roman" w:hAnsi="Times New Roman" w:cs="Times New Roman"/>
          <w:spacing w:val="-4"/>
          <w:sz w:val="21"/>
          <w:szCs w:val="21"/>
        </w:rPr>
        <w:t xml:space="preserve"> цінністю в Україні визнаються «</w:t>
      </w:r>
      <w:r w:rsidRPr="00E97553">
        <w:rPr>
          <w:rFonts w:ascii="Times New Roman" w:hAnsi="Times New Roman" w:cs="Times New Roman"/>
          <w:spacing w:val="-4"/>
          <w:sz w:val="21"/>
          <w:szCs w:val="21"/>
        </w:rPr>
        <w:t>людина, її життя і здоров’я, честь і гід</w:t>
      </w:r>
      <w:r>
        <w:rPr>
          <w:rFonts w:ascii="Times New Roman" w:hAnsi="Times New Roman" w:cs="Times New Roman"/>
          <w:spacing w:val="-4"/>
          <w:sz w:val="21"/>
          <w:szCs w:val="21"/>
        </w:rPr>
        <w:t>ність, недоторканість і безпека»</w:t>
      </w:r>
      <w:r w:rsidRPr="00E97553">
        <w:rPr>
          <w:rFonts w:ascii="Times New Roman" w:hAnsi="Times New Roman" w:cs="Times New Roman"/>
          <w:spacing w:val="-4"/>
          <w:sz w:val="21"/>
          <w:szCs w:val="21"/>
        </w:rPr>
        <w:t xml:space="preserve"> </w:t>
      </w:r>
      <w:r>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_Ref435620632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50</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w:t>
      </w:r>
      <w:r w:rsidRPr="00E97553">
        <w:rPr>
          <w:rFonts w:ascii="Times New Roman" w:hAnsi="Times New Roman" w:cs="Times New Roman"/>
          <w:spacing w:val="-4"/>
          <w:sz w:val="21"/>
          <w:szCs w:val="21"/>
        </w:rPr>
        <w:t>, а основним обов’язком держави є утвердження та забезпечення прав і свобод людини. Усе це і є основою державної політики.</w:t>
      </w:r>
    </w:p>
    <w:p w:rsidR="00B233DE" w:rsidRPr="00E97553" w:rsidRDefault="00B233DE" w:rsidP="00B233DE">
      <w:pPr>
        <w:tabs>
          <w:tab w:val="left" w:pos="900"/>
          <w:tab w:val="left" w:pos="1218"/>
        </w:tabs>
        <w:ind w:firstLine="709"/>
        <w:jc w:val="both"/>
        <w:rPr>
          <w:rFonts w:ascii="Times New Roman" w:hAnsi="Times New Roman" w:cs="Times New Roman"/>
          <w:sz w:val="21"/>
          <w:szCs w:val="21"/>
        </w:rPr>
      </w:pPr>
      <w:r w:rsidRPr="00E97553">
        <w:rPr>
          <w:rFonts w:ascii="Times New Roman" w:hAnsi="Times New Roman" w:cs="Times New Roman"/>
          <w:sz w:val="21"/>
          <w:szCs w:val="21"/>
        </w:rPr>
        <w:t>Державна політика – це діяльність органів державної влади та органів місцевого самоврядування, що відображає суспільний устрій та економічну структуру держави, а також діяльність партій, суспільних організацій і об’єднань та визначається їх цілями та інтересами [</w:t>
      </w:r>
      <w:r>
        <w:rPr>
          <w:rFonts w:ascii="Times New Roman" w:hAnsi="Times New Roman" w:cs="Times New Roman"/>
          <w:noProof/>
          <w:sz w:val="21"/>
          <w:szCs w:val="21"/>
          <w:highlight w:val="yellow"/>
        </w:rPr>
        <w:fldChar w:fldCharType="begin"/>
      </w:r>
      <w:r>
        <w:rPr>
          <w:rFonts w:ascii="Times New Roman" w:hAnsi="Times New Roman" w:cs="Times New Roman"/>
          <w:sz w:val="21"/>
          <w:szCs w:val="21"/>
        </w:rPr>
        <w:instrText xml:space="preserve"> REF _Ref435620638 \r \h </w:instrText>
      </w:r>
      <w:r>
        <w:rPr>
          <w:rFonts w:ascii="Times New Roman" w:hAnsi="Times New Roman" w:cs="Times New Roman"/>
          <w:noProof/>
          <w:sz w:val="21"/>
          <w:szCs w:val="21"/>
          <w:highlight w:val="yellow"/>
        </w:rPr>
      </w:r>
      <w:r>
        <w:rPr>
          <w:rFonts w:ascii="Times New Roman" w:hAnsi="Times New Roman" w:cs="Times New Roman"/>
          <w:noProof/>
          <w:sz w:val="21"/>
          <w:szCs w:val="21"/>
          <w:highlight w:val="yellow"/>
        </w:rPr>
        <w:fldChar w:fldCharType="separate"/>
      </w:r>
      <w:r>
        <w:rPr>
          <w:rFonts w:ascii="Times New Roman" w:hAnsi="Times New Roman" w:cs="Times New Roman"/>
          <w:sz w:val="21"/>
          <w:szCs w:val="21"/>
        </w:rPr>
        <w:t>32</w:t>
      </w:r>
      <w:r>
        <w:rPr>
          <w:rFonts w:ascii="Times New Roman" w:hAnsi="Times New Roman" w:cs="Times New Roman"/>
          <w:noProof/>
          <w:sz w:val="21"/>
          <w:szCs w:val="21"/>
          <w:highlight w:val="yellow"/>
        </w:rPr>
        <w:fldChar w:fldCharType="end"/>
      </w:r>
      <w:r w:rsidRPr="00E97553">
        <w:rPr>
          <w:rFonts w:ascii="Times New Roman" w:hAnsi="Times New Roman" w:cs="Times New Roman"/>
          <w:sz w:val="21"/>
          <w:szCs w:val="21"/>
        </w:rPr>
        <w:t>, с.</w:t>
      </w:r>
      <w:r>
        <w:rPr>
          <w:rFonts w:ascii="Times New Roman" w:hAnsi="Times New Roman" w:cs="Times New Roman"/>
          <w:sz w:val="21"/>
          <w:szCs w:val="21"/>
        </w:rPr>
        <w:t xml:space="preserve"> </w:t>
      </w:r>
      <w:r w:rsidRPr="00E97553">
        <w:rPr>
          <w:rFonts w:ascii="Times New Roman" w:hAnsi="Times New Roman" w:cs="Times New Roman"/>
          <w:sz w:val="21"/>
          <w:szCs w:val="21"/>
        </w:rPr>
        <w:t>264]</w:t>
      </w:r>
      <w:r w:rsidRPr="00E97553">
        <w:rPr>
          <w:rFonts w:ascii="Times New Roman" w:hAnsi="Times New Roman" w:cs="Times New Roman"/>
          <w:spacing w:val="-4"/>
          <w:sz w:val="21"/>
          <w:szCs w:val="21"/>
        </w:rPr>
        <w:t xml:space="preserve">. </w:t>
      </w:r>
    </w:p>
    <w:p w:rsidR="00B233DE" w:rsidRPr="00E97553" w:rsidRDefault="00B233DE" w:rsidP="00B233DE">
      <w:pPr>
        <w:tabs>
          <w:tab w:val="left" w:pos="900"/>
          <w:tab w:val="left" w:pos="1428"/>
        </w:tabs>
        <w:ind w:firstLine="709"/>
        <w:jc w:val="both"/>
        <w:rPr>
          <w:rFonts w:ascii="Times New Roman" w:hAnsi="Times New Roman" w:cs="Times New Roman"/>
          <w:sz w:val="21"/>
          <w:szCs w:val="21"/>
        </w:rPr>
      </w:pPr>
      <w:r w:rsidRPr="00E97553">
        <w:rPr>
          <w:rFonts w:ascii="Times New Roman" w:hAnsi="Times New Roman" w:cs="Times New Roman"/>
          <w:spacing w:val="-4"/>
          <w:sz w:val="21"/>
          <w:szCs w:val="21"/>
        </w:rPr>
        <w:t>Розглянувши трактування п</w:t>
      </w:r>
      <w:r>
        <w:rPr>
          <w:rFonts w:ascii="Times New Roman" w:hAnsi="Times New Roman" w:cs="Times New Roman"/>
          <w:spacing w:val="-4"/>
          <w:sz w:val="21"/>
          <w:szCs w:val="21"/>
        </w:rPr>
        <w:t>онять «соціальна політика», «політика», «державна політика», «соціальний» для визначення «державної соціальної політики»</w:t>
      </w:r>
      <w:r w:rsidRPr="00E97553">
        <w:rPr>
          <w:rFonts w:ascii="Times New Roman" w:hAnsi="Times New Roman" w:cs="Times New Roman"/>
          <w:spacing w:val="-4"/>
          <w:sz w:val="21"/>
          <w:szCs w:val="21"/>
        </w:rPr>
        <w:t xml:space="preserve"> доцільно врахувати ще три компоненти, які були виділені у Британській енциклопедії соціально</w:t>
      </w:r>
      <w:r>
        <w:rPr>
          <w:rFonts w:ascii="Times New Roman" w:hAnsi="Times New Roman" w:cs="Times New Roman"/>
          <w:spacing w:val="-4"/>
          <w:sz w:val="21"/>
          <w:szCs w:val="21"/>
        </w:rPr>
        <w:t>ї роботи (2000). Ці компоненти «</w:t>
      </w:r>
      <w:r w:rsidRPr="00E97553">
        <w:rPr>
          <w:rFonts w:ascii="Times New Roman" w:hAnsi="Times New Roman" w:cs="Times New Roman"/>
          <w:spacing w:val="-4"/>
          <w:sz w:val="21"/>
          <w:szCs w:val="21"/>
        </w:rPr>
        <w:t>…дають змогу чітко визначити, що є державною соціальною політикою, а що ні: 1) політика повинна бути зафіксована в письмовій формі; 2) політика має бути ратифікована однією зі структур влади – законодавчою, виконавчою, судовою; 3) політика повинна керувати процесом прийняття рішень і во</w:t>
      </w:r>
      <w:r>
        <w:rPr>
          <w:rFonts w:ascii="Times New Roman" w:hAnsi="Times New Roman" w:cs="Times New Roman"/>
          <w:spacing w:val="-4"/>
          <w:sz w:val="21"/>
          <w:szCs w:val="21"/>
        </w:rPr>
        <w:t>дночас бути результатом процесу»</w:t>
      </w:r>
      <w:r w:rsidRPr="00E97553">
        <w:rPr>
          <w:rFonts w:ascii="Times New Roman" w:hAnsi="Times New Roman" w:cs="Times New Roman"/>
          <w:spacing w:val="-4"/>
          <w:sz w:val="21"/>
          <w:szCs w:val="21"/>
        </w:rPr>
        <w:t xml:space="preserve"> </w:t>
      </w:r>
      <w:r w:rsidRPr="00E97553">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_Ref435620593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18</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w:t>
      </w:r>
      <w:r>
        <w:rPr>
          <w:rFonts w:ascii="Times New Roman" w:hAnsi="Times New Roman" w:cs="Times New Roman"/>
          <w:sz w:val="21"/>
          <w:szCs w:val="21"/>
        </w:rPr>
        <w:t xml:space="preserve"> </w:t>
      </w:r>
      <w:r w:rsidRPr="00E97553">
        <w:rPr>
          <w:rFonts w:ascii="Times New Roman" w:hAnsi="Times New Roman" w:cs="Times New Roman"/>
          <w:sz w:val="21"/>
          <w:szCs w:val="21"/>
        </w:rPr>
        <w:t>386]</w:t>
      </w:r>
      <w:r w:rsidRPr="00E97553">
        <w:rPr>
          <w:rFonts w:ascii="Times New Roman" w:hAnsi="Times New Roman" w:cs="Times New Roman"/>
          <w:spacing w:val="-4"/>
          <w:sz w:val="21"/>
          <w:szCs w:val="21"/>
        </w:rPr>
        <w:t>. Найбільше враховані ці компоненти у визначенні, наведеному у термі</w:t>
      </w:r>
      <w:r>
        <w:rPr>
          <w:rFonts w:ascii="Times New Roman" w:hAnsi="Times New Roman" w:cs="Times New Roman"/>
          <w:spacing w:val="-4"/>
          <w:sz w:val="21"/>
          <w:szCs w:val="21"/>
        </w:rPr>
        <w:t>нологічно-понятійному словнику «</w:t>
      </w:r>
      <w:r w:rsidRPr="00E97553">
        <w:rPr>
          <w:rFonts w:ascii="Times New Roman" w:hAnsi="Times New Roman" w:cs="Times New Roman"/>
          <w:spacing w:val="-4"/>
          <w:sz w:val="21"/>
          <w:szCs w:val="21"/>
        </w:rPr>
        <w:t>Соціал</w:t>
      </w:r>
      <w:r>
        <w:rPr>
          <w:rFonts w:ascii="Times New Roman" w:hAnsi="Times New Roman" w:cs="Times New Roman"/>
          <w:spacing w:val="-4"/>
          <w:sz w:val="21"/>
          <w:szCs w:val="21"/>
        </w:rPr>
        <w:t>ьна політика і соціальна робота»</w:t>
      </w:r>
      <w:r w:rsidRPr="00E97553">
        <w:rPr>
          <w:rFonts w:ascii="Times New Roman" w:hAnsi="Times New Roman" w:cs="Times New Roman"/>
          <w:spacing w:val="-4"/>
          <w:sz w:val="21"/>
          <w:szCs w:val="21"/>
        </w:rPr>
        <w:t xml:space="preserve">, в якому зазначено, </w:t>
      </w:r>
      <w:r w:rsidRPr="00E97553">
        <w:rPr>
          <w:rFonts w:ascii="Times New Roman" w:hAnsi="Times New Roman" w:cs="Times New Roman"/>
          <w:spacing w:val="-4"/>
          <w:sz w:val="21"/>
          <w:szCs w:val="21"/>
        </w:rPr>
        <w:lastRenderedPageBreak/>
        <w:t>що де</w:t>
      </w:r>
      <w:r>
        <w:rPr>
          <w:rFonts w:ascii="Times New Roman" w:hAnsi="Times New Roman" w:cs="Times New Roman"/>
          <w:spacing w:val="-4"/>
          <w:sz w:val="21"/>
          <w:szCs w:val="21"/>
        </w:rPr>
        <w:t>ржавна соціальна політика – це «</w:t>
      </w:r>
      <w:r w:rsidRPr="00E97553">
        <w:rPr>
          <w:rFonts w:ascii="Times New Roman" w:hAnsi="Times New Roman" w:cs="Times New Roman"/>
          <w:spacing w:val="-4"/>
          <w:sz w:val="21"/>
          <w:szCs w:val="21"/>
        </w:rPr>
        <w:t xml:space="preserve">ідея, втілена в конкретний документ, затверджений законодавчою владою, який є керівництвом до дії і, у свою чергу, </w:t>
      </w:r>
      <w:r>
        <w:rPr>
          <w:rFonts w:ascii="Times New Roman" w:hAnsi="Times New Roman" w:cs="Times New Roman"/>
          <w:spacing w:val="-4"/>
          <w:sz w:val="21"/>
          <w:szCs w:val="21"/>
        </w:rPr>
        <w:t>результатом політичного процесу»</w:t>
      </w:r>
      <w:r w:rsidRPr="00E97553">
        <w:rPr>
          <w:rFonts w:ascii="Times New Roman" w:hAnsi="Times New Roman" w:cs="Times New Roman"/>
          <w:spacing w:val="-4"/>
          <w:sz w:val="21"/>
          <w:szCs w:val="21"/>
        </w:rPr>
        <w:t xml:space="preserve"> </w:t>
      </w:r>
      <w:r w:rsidRPr="00E97553">
        <w:rPr>
          <w:rFonts w:ascii="Times New Roman" w:hAnsi="Times New Roman" w:cs="Times New Roman"/>
          <w:sz w:val="21"/>
          <w:szCs w:val="21"/>
        </w:rPr>
        <w:t>[</w:t>
      </w:r>
      <w:r>
        <w:rPr>
          <w:rFonts w:ascii="Times New Roman" w:hAnsi="Times New Roman" w:cs="Times New Roman"/>
          <w:sz w:val="21"/>
          <w:szCs w:val="21"/>
          <w:highlight w:val="yellow"/>
          <w:lang w:val="en-GB"/>
        </w:rPr>
        <w:fldChar w:fldCharType="begin"/>
      </w:r>
      <w:r>
        <w:rPr>
          <w:rFonts w:ascii="Times New Roman" w:hAnsi="Times New Roman" w:cs="Times New Roman"/>
          <w:sz w:val="21"/>
          <w:szCs w:val="21"/>
        </w:rPr>
        <w:instrText xml:space="preserve"> REF _Ref435620652 \r \h </w:instrText>
      </w:r>
      <w:r>
        <w:rPr>
          <w:rFonts w:ascii="Times New Roman" w:hAnsi="Times New Roman" w:cs="Times New Roman"/>
          <w:sz w:val="21"/>
          <w:szCs w:val="21"/>
          <w:highlight w:val="yellow"/>
          <w:lang w:val="en-GB"/>
        </w:rPr>
      </w:r>
      <w:r>
        <w:rPr>
          <w:rFonts w:ascii="Times New Roman" w:hAnsi="Times New Roman" w:cs="Times New Roman"/>
          <w:sz w:val="21"/>
          <w:szCs w:val="21"/>
          <w:highlight w:val="yellow"/>
          <w:lang w:val="en-GB"/>
        </w:rPr>
        <w:fldChar w:fldCharType="separate"/>
      </w:r>
      <w:r>
        <w:rPr>
          <w:rFonts w:ascii="Times New Roman" w:hAnsi="Times New Roman" w:cs="Times New Roman"/>
          <w:sz w:val="21"/>
          <w:szCs w:val="21"/>
        </w:rPr>
        <w:t>152</w:t>
      </w:r>
      <w:r>
        <w:rPr>
          <w:rFonts w:ascii="Times New Roman" w:hAnsi="Times New Roman" w:cs="Times New Roman"/>
          <w:sz w:val="21"/>
          <w:szCs w:val="21"/>
          <w:highlight w:val="yellow"/>
          <w:lang w:val="en-GB"/>
        </w:rPr>
        <w:fldChar w:fldCharType="end"/>
      </w:r>
      <w:r w:rsidRPr="00E97553">
        <w:rPr>
          <w:rFonts w:ascii="Times New Roman" w:hAnsi="Times New Roman" w:cs="Times New Roman"/>
          <w:sz w:val="21"/>
          <w:szCs w:val="21"/>
        </w:rPr>
        <w:t>, с.</w:t>
      </w:r>
      <w:r>
        <w:rPr>
          <w:rFonts w:ascii="Times New Roman" w:hAnsi="Times New Roman" w:cs="Times New Roman"/>
          <w:sz w:val="21"/>
          <w:szCs w:val="21"/>
        </w:rPr>
        <w:t xml:space="preserve"> </w:t>
      </w:r>
      <w:r w:rsidRPr="00E97553">
        <w:rPr>
          <w:rFonts w:ascii="Times New Roman" w:hAnsi="Times New Roman" w:cs="Times New Roman"/>
          <w:sz w:val="21"/>
          <w:szCs w:val="21"/>
        </w:rPr>
        <w:t>386]</w:t>
      </w:r>
      <w:r w:rsidRPr="00E97553">
        <w:rPr>
          <w:rFonts w:ascii="Times New Roman" w:hAnsi="Times New Roman" w:cs="Times New Roman"/>
          <w:spacing w:val="-4"/>
          <w:sz w:val="21"/>
          <w:szCs w:val="21"/>
        </w:rPr>
        <w:t>.</w:t>
      </w:r>
    </w:p>
    <w:p w:rsidR="00B233DE" w:rsidRPr="00E97553" w:rsidRDefault="00B233DE" w:rsidP="00B233DE">
      <w:pPr>
        <w:tabs>
          <w:tab w:val="left" w:pos="900"/>
          <w:tab w:val="left" w:pos="1400"/>
        </w:tabs>
        <w:ind w:firstLine="709"/>
        <w:jc w:val="both"/>
        <w:rPr>
          <w:rFonts w:ascii="Times New Roman" w:hAnsi="Times New Roman" w:cs="Times New Roman"/>
          <w:sz w:val="21"/>
          <w:szCs w:val="21"/>
        </w:rPr>
      </w:pPr>
      <w:r w:rsidRPr="00E97553">
        <w:rPr>
          <w:rFonts w:ascii="Times New Roman" w:hAnsi="Times New Roman" w:cs="Times New Roman"/>
          <w:spacing w:val="-4"/>
          <w:sz w:val="21"/>
          <w:szCs w:val="21"/>
        </w:rPr>
        <w:t>На нашу думку не зовсім коректним є формульовання наведене у словнику, що державна соціальна політика – це ідея, нехай і втілена в документ</w:t>
      </w:r>
      <w:r>
        <w:rPr>
          <w:rFonts w:ascii="Times New Roman" w:hAnsi="Times New Roman" w:cs="Times New Roman"/>
          <w:spacing w:val="-4"/>
          <w:sz w:val="21"/>
          <w:szCs w:val="21"/>
        </w:rPr>
        <w:t>і</w:t>
      </w:r>
      <w:r w:rsidRPr="00E97553">
        <w:rPr>
          <w:rFonts w:ascii="Times New Roman" w:hAnsi="Times New Roman" w:cs="Times New Roman"/>
          <w:spacing w:val="-4"/>
          <w:sz w:val="21"/>
          <w:szCs w:val="21"/>
        </w:rPr>
        <w:t xml:space="preserve"> та затверджена законодавчо. Як уже зазначалося, будь-яка політика – це, насамперед, діяльність, тому ми вважаємо, що під державною соціальною політикою слід розуміти діяльність органів державної влади та органів місцевого самоврядування, а також діяльність партій, громадських організацій, об’єднань, державних установ і організацій, яка регулюється відповідними законодавчими та нормативними актами, віддзеркалює суспільний устрій і регулює взаємовідносини в суспільстві для забезпечення достойного рівня життя населення та визначається їх цілями та інтересами </w:t>
      </w:r>
      <w:r w:rsidRPr="00E97553">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_Ref435620667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59</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 43]</w:t>
      </w:r>
      <w:r w:rsidRPr="00E97553">
        <w:rPr>
          <w:rFonts w:ascii="Times New Roman" w:hAnsi="Times New Roman" w:cs="Times New Roman"/>
          <w:spacing w:val="-4"/>
          <w:sz w:val="21"/>
          <w:szCs w:val="21"/>
        </w:rPr>
        <w:t>.</w:t>
      </w:r>
    </w:p>
    <w:p w:rsidR="00B233DE" w:rsidRPr="00E97553" w:rsidRDefault="00B233DE" w:rsidP="00B233DE">
      <w:pPr>
        <w:tabs>
          <w:tab w:val="left" w:pos="900"/>
          <w:tab w:val="left" w:pos="1400"/>
        </w:tabs>
        <w:ind w:firstLine="709"/>
        <w:jc w:val="both"/>
        <w:rPr>
          <w:rFonts w:ascii="Times New Roman" w:hAnsi="Times New Roman" w:cs="Times New Roman"/>
          <w:sz w:val="21"/>
          <w:szCs w:val="21"/>
        </w:rPr>
      </w:pPr>
      <w:r>
        <w:rPr>
          <w:rFonts w:ascii="Times New Roman" w:hAnsi="Times New Roman" w:cs="Times New Roman"/>
          <w:spacing w:val="-4"/>
          <w:sz w:val="21"/>
          <w:szCs w:val="21"/>
        </w:rPr>
        <w:t>Як відомо, «</w:t>
      </w:r>
      <w:r w:rsidRPr="00E97553">
        <w:rPr>
          <w:rFonts w:ascii="Times New Roman" w:hAnsi="Times New Roman" w:cs="Times New Roman"/>
          <w:spacing w:val="-4"/>
          <w:sz w:val="21"/>
          <w:szCs w:val="21"/>
        </w:rPr>
        <w:t xml:space="preserve">державна політика, зокрема й соціальна, утворюється політичною системою суспільства, а державне управління – це своєрідна форма і засіб практичного втілення в життя </w:t>
      </w:r>
      <w:r>
        <w:rPr>
          <w:rFonts w:ascii="Times New Roman" w:hAnsi="Times New Roman" w:cs="Times New Roman"/>
          <w:spacing w:val="-4"/>
          <w:sz w:val="21"/>
          <w:szCs w:val="21"/>
        </w:rPr>
        <w:t>державної політики»</w:t>
      </w:r>
      <w:r w:rsidRPr="00E97553">
        <w:rPr>
          <w:rFonts w:ascii="Times New Roman" w:hAnsi="Times New Roman" w:cs="Times New Roman"/>
          <w:spacing w:val="-4"/>
          <w:sz w:val="21"/>
          <w:szCs w:val="21"/>
        </w:rPr>
        <w:t xml:space="preserve"> </w:t>
      </w:r>
      <w:r w:rsidRPr="00E97553">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_Ref435620674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53</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 44]</w:t>
      </w:r>
      <w:r w:rsidRPr="00E97553">
        <w:rPr>
          <w:rFonts w:ascii="Times New Roman" w:hAnsi="Times New Roman" w:cs="Times New Roman"/>
          <w:spacing w:val="-4"/>
          <w:sz w:val="21"/>
          <w:szCs w:val="21"/>
        </w:rPr>
        <w:t xml:space="preserve">. Однак, як зауважує В. Вілсон, управлінські питання не є політичними, але при цьому політика нічого не варта без підтримки управління </w:t>
      </w:r>
      <w:r w:rsidRPr="00E97553">
        <w:rPr>
          <w:rFonts w:ascii="Times New Roman" w:hAnsi="Times New Roman" w:cs="Times New Roman"/>
          <w:sz w:val="21"/>
          <w:szCs w:val="21"/>
        </w:rPr>
        <w:t>[</w:t>
      </w:r>
      <w:r>
        <w:rPr>
          <w:rFonts w:ascii="Times New Roman" w:hAnsi="Times New Roman" w:cs="Times New Roman"/>
          <w:sz w:val="21"/>
          <w:szCs w:val="21"/>
          <w:highlight w:val="yellow"/>
          <w:lang w:val="en-US"/>
        </w:rPr>
        <w:fldChar w:fldCharType="begin"/>
      </w:r>
      <w:r>
        <w:rPr>
          <w:rFonts w:ascii="Times New Roman" w:hAnsi="Times New Roman" w:cs="Times New Roman"/>
          <w:sz w:val="21"/>
          <w:szCs w:val="21"/>
        </w:rPr>
        <w:instrText xml:space="preserve"> REF _Ref435620683 \r \h </w:instrText>
      </w:r>
      <w:r>
        <w:rPr>
          <w:rFonts w:ascii="Times New Roman" w:hAnsi="Times New Roman" w:cs="Times New Roman"/>
          <w:sz w:val="21"/>
          <w:szCs w:val="21"/>
          <w:highlight w:val="yellow"/>
          <w:lang w:val="en-US"/>
        </w:rPr>
      </w:r>
      <w:r>
        <w:rPr>
          <w:rFonts w:ascii="Times New Roman" w:hAnsi="Times New Roman" w:cs="Times New Roman"/>
          <w:sz w:val="21"/>
          <w:szCs w:val="21"/>
          <w:highlight w:val="yellow"/>
          <w:lang w:val="en-US"/>
        </w:rPr>
        <w:fldChar w:fldCharType="separate"/>
      </w:r>
      <w:r>
        <w:rPr>
          <w:rFonts w:ascii="Times New Roman" w:hAnsi="Times New Roman" w:cs="Times New Roman"/>
          <w:sz w:val="21"/>
          <w:szCs w:val="21"/>
        </w:rPr>
        <w:t>153</w:t>
      </w:r>
      <w:r>
        <w:rPr>
          <w:rFonts w:ascii="Times New Roman" w:hAnsi="Times New Roman" w:cs="Times New Roman"/>
          <w:sz w:val="21"/>
          <w:szCs w:val="21"/>
          <w:highlight w:val="yellow"/>
          <w:lang w:val="en-US"/>
        </w:rPr>
        <w:fldChar w:fldCharType="end"/>
      </w:r>
      <w:r>
        <w:rPr>
          <w:rFonts w:ascii="Times New Roman" w:hAnsi="Times New Roman" w:cs="Times New Roman"/>
          <w:sz w:val="21"/>
          <w:szCs w:val="21"/>
        </w:rPr>
        <w:t>, с. 28–</w:t>
      </w:r>
      <w:r w:rsidRPr="00E97553">
        <w:rPr>
          <w:rFonts w:ascii="Times New Roman" w:hAnsi="Times New Roman" w:cs="Times New Roman"/>
          <w:sz w:val="21"/>
          <w:szCs w:val="21"/>
        </w:rPr>
        <w:t>29]</w:t>
      </w:r>
      <w:r w:rsidRPr="00E97553">
        <w:rPr>
          <w:rFonts w:ascii="Times New Roman" w:hAnsi="Times New Roman" w:cs="Times New Roman"/>
          <w:spacing w:val="-4"/>
          <w:sz w:val="21"/>
          <w:szCs w:val="21"/>
        </w:rPr>
        <w:t xml:space="preserve">. Державне управління у функціональному аспекті повинно охоплювати: обов’язкове, адекватне та своєчасне виконання політичних рішень; оптимальне використання виділених ресурсів для реалізації політичних рішень; обов’язкове, адекватне та своєчасне інформаційно-аналітичне забезпечення політичного керівництва </w:t>
      </w:r>
      <w:r w:rsidRPr="00E97553">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_Ref435620689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125</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w:t>
      </w:r>
      <w:r w:rsidRPr="00E97553">
        <w:rPr>
          <w:rFonts w:ascii="Times New Roman" w:hAnsi="Times New Roman" w:cs="Times New Roman"/>
          <w:spacing w:val="-4"/>
          <w:sz w:val="21"/>
          <w:szCs w:val="21"/>
        </w:rPr>
        <w:t xml:space="preserve">. Усе це необхідно враховувати, визначаючи сутність державної соціальної політики. </w:t>
      </w:r>
    </w:p>
    <w:p w:rsidR="00B233DE" w:rsidRPr="00E97553" w:rsidRDefault="00B233DE" w:rsidP="00B233DE">
      <w:pPr>
        <w:ind w:firstLine="709"/>
        <w:jc w:val="both"/>
        <w:rPr>
          <w:rFonts w:ascii="Times New Roman" w:hAnsi="Times New Roman" w:cs="Times New Roman"/>
          <w:spacing w:val="-4"/>
          <w:sz w:val="21"/>
          <w:szCs w:val="21"/>
        </w:rPr>
      </w:pPr>
      <w:r w:rsidRPr="00E97553">
        <w:rPr>
          <w:rFonts w:ascii="Times New Roman" w:hAnsi="Times New Roman" w:cs="Times New Roman"/>
          <w:spacing w:val="-4"/>
          <w:sz w:val="21"/>
          <w:szCs w:val="21"/>
        </w:rPr>
        <w:t>Оскільки державній соціальній політиці притаманні ознаки, які є властивими і для державної політики, то її здійснення передбачає:</w:t>
      </w:r>
    </w:p>
    <w:p w:rsidR="00B233DE" w:rsidRPr="00E97553" w:rsidRDefault="00B233DE" w:rsidP="00B233DE">
      <w:pPr>
        <w:ind w:firstLine="709"/>
        <w:jc w:val="both"/>
        <w:rPr>
          <w:rFonts w:ascii="Times New Roman" w:hAnsi="Times New Roman" w:cs="Times New Roman"/>
          <w:spacing w:val="-4"/>
          <w:sz w:val="21"/>
          <w:szCs w:val="21"/>
        </w:rPr>
      </w:pPr>
      <w:r>
        <w:rPr>
          <w:rFonts w:ascii="Times New Roman" w:hAnsi="Times New Roman" w:cs="Times New Roman"/>
          <w:spacing w:val="-4"/>
          <w:sz w:val="21"/>
          <w:szCs w:val="21"/>
        </w:rPr>
        <w:t>– «</w:t>
      </w:r>
      <w:r w:rsidRPr="00E97553">
        <w:rPr>
          <w:rFonts w:ascii="Times New Roman" w:hAnsi="Times New Roman" w:cs="Times New Roman"/>
          <w:spacing w:val="-4"/>
          <w:sz w:val="21"/>
          <w:szCs w:val="21"/>
        </w:rPr>
        <w:t>…наукове обґрунтування концепції та формулювання стратегічної мети, визначення перспективних цілей і завдань з урахуванням потреб та інтересів основної продуктивної сили – людини;</w:t>
      </w:r>
    </w:p>
    <w:p w:rsidR="00B233DE" w:rsidRPr="00E97553" w:rsidRDefault="00B233DE" w:rsidP="00B233DE">
      <w:pPr>
        <w:ind w:firstLine="709"/>
        <w:jc w:val="both"/>
        <w:rPr>
          <w:rFonts w:ascii="Times New Roman" w:hAnsi="Times New Roman" w:cs="Times New Roman"/>
          <w:spacing w:val="-4"/>
          <w:sz w:val="21"/>
          <w:szCs w:val="21"/>
        </w:rPr>
      </w:pPr>
      <w:r w:rsidRPr="00E97553">
        <w:rPr>
          <w:rFonts w:ascii="Times New Roman" w:hAnsi="Times New Roman" w:cs="Times New Roman"/>
          <w:spacing w:val="-4"/>
          <w:sz w:val="21"/>
          <w:szCs w:val="21"/>
        </w:rPr>
        <w:t>– обґрунтування засобів і методів досягнення мети (а також співвідношення мети і засобів її досягнення), а також розробку оптимальних форм суспільної діяльності та організації, за допомогою яких стратегічна мета може бути досягнута;</w:t>
      </w:r>
    </w:p>
    <w:p w:rsidR="00B233DE" w:rsidRPr="00E97553" w:rsidRDefault="00B233DE" w:rsidP="00B233DE">
      <w:pPr>
        <w:tabs>
          <w:tab w:val="left" w:pos="720"/>
          <w:tab w:val="left" w:pos="900"/>
        </w:tabs>
        <w:ind w:firstLine="709"/>
        <w:jc w:val="both"/>
        <w:rPr>
          <w:rFonts w:ascii="Times New Roman" w:hAnsi="Times New Roman" w:cs="Times New Roman"/>
          <w:sz w:val="21"/>
          <w:szCs w:val="21"/>
        </w:rPr>
      </w:pPr>
      <w:r w:rsidRPr="00E97553">
        <w:rPr>
          <w:rFonts w:ascii="Times New Roman" w:hAnsi="Times New Roman" w:cs="Times New Roman"/>
          <w:spacing w:val="-4"/>
          <w:sz w:val="21"/>
          <w:szCs w:val="21"/>
        </w:rPr>
        <w:lastRenderedPageBreak/>
        <w:tab/>
        <w:t>– ретельний підбір, підготовку і розстановку кадрів, спроможних реал</w:t>
      </w:r>
      <w:r>
        <w:rPr>
          <w:rFonts w:ascii="Times New Roman" w:hAnsi="Times New Roman" w:cs="Times New Roman"/>
          <w:spacing w:val="-4"/>
          <w:sz w:val="21"/>
          <w:szCs w:val="21"/>
        </w:rPr>
        <w:t>ізувати таку мету»</w:t>
      </w:r>
      <w:r w:rsidRPr="00E97553">
        <w:rPr>
          <w:rFonts w:ascii="Times New Roman" w:hAnsi="Times New Roman" w:cs="Times New Roman"/>
          <w:spacing w:val="-4"/>
          <w:sz w:val="21"/>
          <w:szCs w:val="21"/>
        </w:rPr>
        <w:t xml:space="preserve"> </w:t>
      </w:r>
      <w:r w:rsidRPr="00E97553">
        <w:rPr>
          <w:rFonts w:ascii="Times New Roman" w:hAnsi="Times New Roman" w:cs="Times New Roman"/>
          <w:sz w:val="21"/>
          <w:szCs w:val="21"/>
        </w:rPr>
        <w:t>[</w:t>
      </w:r>
      <w:r>
        <w:rPr>
          <w:rFonts w:ascii="Times New Roman" w:hAnsi="Times New Roman" w:cs="Times New Roman"/>
          <w:sz w:val="21"/>
          <w:szCs w:val="21"/>
        </w:rPr>
        <w:fldChar w:fldCharType="begin"/>
      </w:r>
      <w:r>
        <w:rPr>
          <w:rFonts w:ascii="Times New Roman" w:hAnsi="Times New Roman" w:cs="Times New Roman"/>
          <w:sz w:val="21"/>
          <w:szCs w:val="21"/>
        </w:rPr>
        <w:instrText xml:space="preserve"> REF _Ref435620700 \r \h </w:instrText>
      </w:r>
      <w:r>
        <w:rPr>
          <w:rFonts w:ascii="Times New Roman" w:hAnsi="Times New Roman" w:cs="Times New Roman"/>
          <w:sz w:val="21"/>
          <w:szCs w:val="21"/>
        </w:rPr>
      </w:r>
      <w:r>
        <w:rPr>
          <w:rFonts w:ascii="Times New Roman" w:hAnsi="Times New Roman" w:cs="Times New Roman"/>
          <w:sz w:val="21"/>
          <w:szCs w:val="21"/>
        </w:rPr>
        <w:fldChar w:fldCharType="separate"/>
      </w:r>
      <w:r>
        <w:rPr>
          <w:rFonts w:ascii="Times New Roman" w:hAnsi="Times New Roman" w:cs="Times New Roman"/>
          <w:sz w:val="21"/>
          <w:szCs w:val="21"/>
        </w:rPr>
        <w:t>37</w:t>
      </w:r>
      <w:r>
        <w:rPr>
          <w:rFonts w:ascii="Times New Roman" w:hAnsi="Times New Roman" w:cs="Times New Roman"/>
          <w:sz w:val="21"/>
          <w:szCs w:val="21"/>
        </w:rPr>
        <w:fldChar w:fldCharType="end"/>
      </w:r>
      <w:r>
        <w:rPr>
          <w:rFonts w:ascii="Times New Roman" w:hAnsi="Times New Roman" w:cs="Times New Roman"/>
          <w:sz w:val="21"/>
          <w:szCs w:val="21"/>
        </w:rPr>
        <w:t>, с. 796–</w:t>
      </w:r>
      <w:r w:rsidRPr="00E97553">
        <w:rPr>
          <w:rFonts w:ascii="Times New Roman" w:hAnsi="Times New Roman" w:cs="Times New Roman"/>
          <w:sz w:val="21"/>
          <w:szCs w:val="21"/>
        </w:rPr>
        <w:t>797]</w:t>
      </w:r>
      <w:r w:rsidRPr="00E97553">
        <w:rPr>
          <w:rFonts w:ascii="Times New Roman" w:hAnsi="Times New Roman" w:cs="Times New Roman"/>
          <w:spacing w:val="-4"/>
          <w:sz w:val="21"/>
          <w:szCs w:val="21"/>
        </w:rPr>
        <w:t>.</w:t>
      </w:r>
    </w:p>
    <w:p w:rsidR="00B233DE" w:rsidRPr="00E97553" w:rsidRDefault="00B233DE" w:rsidP="00B233DE">
      <w:pPr>
        <w:ind w:firstLine="709"/>
        <w:jc w:val="both"/>
        <w:rPr>
          <w:rFonts w:ascii="Times New Roman" w:hAnsi="Times New Roman" w:cs="Times New Roman"/>
          <w:sz w:val="21"/>
          <w:szCs w:val="21"/>
        </w:rPr>
      </w:pPr>
      <w:r w:rsidRPr="00E97553">
        <w:rPr>
          <w:rFonts w:ascii="Times New Roman" w:hAnsi="Times New Roman" w:cs="Times New Roman"/>
          <w:spacing w:val="-4"/>
          <w:sz w:val="21"/>
          <w:szCs w:val="21"/>
        </w:rPr>
        <w:t xml:space="preserve">Визначивши сутність державної соціальної політики, перейдемо до осмислення її змісту, який полягає у визначенні курсу, завдань і напрямів діяльності держави у сферах соціального захисту населення, </w:t>
      </w:r>
      <w:r w:rsidRPr="00E97553">
        <w:rPr>
          <w:rFonts w:ascii="Times New Roman" w:hAnsi="Times New Roman" w:cs="Times New Roman"/>
          <w:sz w:val="21"/>
          <w:szCs w:val="21"/>
        </w:rPr>
        <w:t xml:space="preserve">праці та трудових відносин, розвитку сучасної соціальної інфраструктури, міграційної політики, безпеки життєдіяльності, молодіжної політики тощо. </w:t>
      </w:r>
    </w:p>
    <w:p w:rsidR="00B233DE" w:rsidRPr="00E97553" w:rsidRDefault="00B233DE" w:rsidP="00B233DE">
      <w:pPr>
        <w:ind w:firstLine="709"/>
        <w:jc w:val="both"/>
        <w:rPr>
          <w:rFonts w:ascii="Times New Roman" w:hAnsi="Times New Roman" w:cs="Times New Roman"/>
          <w:spacing w:val="-4"/>
          <w:sz w:val="21"/>
          <w:szCs w:val="21"/>
        </w:rPr>
      </w:pPr>
      <w:r w:rsidRPr="00E97553">
        <w:rPr>
          <w:rFonts w:ascii="Times New Roman" w:hAnsi="Times New Roman" w:cs="Times New Roman"/>
          <w:spacing w:val="-4"/>
          <w:sz w:val="21"/>
          <w:szCs w:val="21"/>
        </w:rPr>
        <w:t>Відповідно до змісту соціальної політики держави, вітчизняними і зарубіжними науковцями та практиками сформовані її основні завдання:</w:t>
      </w:r>
    </w:p>
    <w:p w:rsidR="00B233DE" w:rsidRPr="00E97553" w:rsidRDefault="00B233DE" w:rsidP="00B233DE">
      <w:pPr>
        <w:ind w:firstLine="709"/>
        <w:jc w:val="both"/>
        <w:rPr>
          <w:rFonts w:ascii="Times New Roman" w:hAnsi="Times New Roman" w:cs="Times New Roman"/>
          <w:spacing w:val="-4"/>
          <w:sz w:val="21"/>
          <w:szCs w:val="21"/>
        </w:rPr>
      </w:pPr>
      <w:r>
        <w:rPr>
          <w:rFonts w:ascii="Times New Roman" w:hAnsi="Times New Roman" w:cs="Times New Roman"/>
          <w:spacing w:val="-4"/>
          <w:sz w:val="21"/>
          <w:szCs w:val="21"/>
        </w:rPr>
        <w:t>–«</w:t>
      </w:r>
      <w:r w:rsidRPr="00E97553">
        <w:rPr>
          <w:rFonts w:ascii="Times New Roman" w:hAnsi="Times New Roman" w:cs="Times New Roman"/>
          <w:spacing w:val="-4"/>
          <w:sz w:val="21"/>
          <w:szCs w:val="21"/>
        </w:rPr>
        <w:t xml:space="preserve">…забезпечення чіткого функціонування всієї системи соціально-політичних інститутів – суб’єктів такої політики; </w:t>
      </w:r>
    </w:p>
    <w:p w:rsidR="00B233DE" w:rsidRPr="00E97553" w:rsidRDefault="00B233DE" w:rsidP="00B233DE">
      <w:pPr>
        <w:ind w:firstLine="709"/>
        <w:jc w:val="both"/>
        <w:rPr>
          <w:rFonts w:ascii="Times New Roman" w:hAnsi="Times New Roman" w:cs="Times New Roman"/>
          <w:spacing w:val="-4"/>
          <w:sz w:val="21"/>
          <w:szCs w:val="21"/>
        </w:rPr>
      </w:pPr>
      <w:r w:rsidRPr="00E97553">
        <w:rPr>
          <w:rFonts w:ascii="Times New Roman" w:hAnsi="Times New Roman" w:cs="Times New Roman"/>
          <w:spacing w:val="-4"/>
          <w:sz w:val="21"/>
          <w:szCs w:val="21"/>
        </w:rPr>
        <w:t xml:space="preserve">– координація функціонування різних елементів системи; </w:t>
      </w:r>
    </w:p>
    <w:p w:rsidR="00B233DE" w:rsidRPr="00E97553" w:rsidRDefault="00B233DE" w:rsidP="00B233DE">
      <w:pPr>
        <w:tabs>
          <w:tab w:val="left" w:pos="900"/>
          <w:tab w:val="left" w:pos="1428"/>
        </w:tabs>
        <w:ind w:firstLine="709"/>
        <w:jc w:val="both"/>
        <w:rPr>
          <w:rFonts w:ascii="Times New Roman" w:hAnsi="Times New Roman" w:cs="Times New Roman"/>
          <w:spacing w:val="-4"/>
          <w:sz w:val="21"/>
          <w:szCs w:val="21"/>
        </w:rPr>
      </w:pPr>
      <w:r w:rsidRPr="00E97553">
        <w:rPr>
          <w:rFonts w:ascii="Times New Roman" w:hAnsi="Times New Roman" w:cs="Times New Roman"/>
          <w:spacing w:val="-4"/>
          <w:sz w:val="21"/>
          <w:szCs w:val="21"/>
        </w:rPr>
        <w:t>– формування оптимального співвідношення між різними формами, методами, засобами з метою о</w:t>
      </w:r>
      <w:r>
        <w:rPr>
          <w:rFonts w:ascii="Times New Roman" w:hAnsi="Times New Roman" w:cs="Times New Roman"/>
          <w:spacing w:val="-4"/>
          <w:sz w:val="21"/>
          <w:szCs w:val="21"/>
        </w:rPr>
        <w:t>держання очікуваних результатів»</w:t>
      </w:r>
      <w:r w:rsidRPr="00E97553">
        <w:rPr>
          <w:rFonts w:ascii="Times New Roman" w:hAnsi="Times New Roman" w:cs="Times New Roman"/>
          <w:spacing w:val="-4"/>
          <w:sz w:val="21"/>
          <w:szCs w:val="21"/>
        </w:rPr>
        <w:t xml:space="preserve"> </w:t>
      </w:r>
      <w:r w:rsidRPr="00E97553">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_Ref435620711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138</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 15]</w:t>
      </w:r>
      <w:r w:rsidRPr="00E97553">
        <w:rPr>
          <w:rFonts w:ascii="Times New Roman" w:hAnsi="Times New Roman" w:cs="Times New Roman"/>
          <w:spacing w:val="-4"/>
          <w:sz w:val="21"/>
          <w:szCs w:val="21"/>
        </w:rPr>
        <w:t>;</w:t>
      </w:r>
    </w:p>
    <w:p w:rsidR="00B233DE" w:rsidRPr="00E97553" w:rsidRDefault="00B233DE" w:rsidP="00B233DE">
      <w:pPr>
        <w:tabs>
          <w:tab w:val="left" w:pos="900"/>
          <w:tab w:val="left" w:pos="1260"/>
          <w:tab w:val="left" w:pos="1428"/>
        </w:tabs>
        <w:ind w:firstLine="709"/>
        <w:jc w:val="both"/>
        <w:rPr>
          <w:rFonts w:ascii="Times New Roman" w:hAnsi="Times New Roman" w:cs="Times New Roman"/>
          <w:sz w:val="21"/>
          <w:szCs w:val="21"/>
        </w:rPr>
      </w:pPr>
      <w:r>
        <w:rPr>
          <w:rFonts w:ascii="Times New Roman" w:hAnsi="Times New Roman" w:cs="Times New Roman"/>
          <w:spacing w:val="-4"/>
          <w:sz w:val="21"/>
          <w:szCs w:val="21"/>
        </w:rPr>
        <w:t>– «</w:t>
      </w:r>
      <w:r w:rsidRPr="00E97553">
        <w:rPr>
          <w:rFonts w:ascii="Times New Roman" w:hAnsi="Times New Roman" w:cs="Times New Roman"/>
          <w:spacing w:val="-4"/>
          <w:sz w:val="21"/>
          <w:szCs w:val="21"/>
        </w:rPr>
        <w:t>…адресна (тобто призначена для конкретних груп населення) соціальна підтримка зі сторони держави, в першу</w:t>
      </w:r>
      <w:r>
        <w:rPr>
          <w:rFonts w:ascii="Times New Roman" w:hAnsi="Times New Roman" w:cs="Times New Roman"/>
          <w:spacing w:val="-4"/>
          <w:sz w:val="21"/>
          <w:szCs w:val="21"/>
        </w:rPr>
        <w:t xml:space="preserve"> чергу найменш захищених верств» </w:t>
      </w:r>
      <w:r w:rsidRPr="00E97553">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_Ref435620721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73</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w:t>
      </w:r>
      <w:r w:rsidRPr="00E97553">
        <w:rPr>
          <w:rFonts w:ascii="Times New Roman" w:hAnsi="Times New Roman" w:cs="Times New Roman"/>
          <w:spacing w:val="-4"/>
          <w:sz w:val="21"/>
          <w:szCs w:val="21"/>
        </w:rPr>
        <w:t>;</w:t>
      </w:r>
    </w:p>
    <w:p w:rsidR="00B233DE" w:rsidRPr="00E97553" w:rsidRDefault="00B233DE" w:rsidP="00B233DE">
      <w:pPr>
        <w:tabs>
          <w:tab w:val="left" w:pos="1260"/>
        </w:tabs>
        <w:ind w:firstLine="709"/>
        <w:jc w:val="both"/>
        <w:rPr>
          <w:rFonts w:ascii="Times New Roman" w:hAnsi="Times New Roman" w:cs="Times New Roman"/>
          <w:spacing w:val="-4"/>
          <w:sz w:val="21"/>
          <w:szCs w:val="21"/>
        </w:rPr>
      </w:pPr>
      <w:r>
        <w:rPr>
          <w:rFonts w:ascii="Times New Roman" w:hAnsi="Times New Roman" w:cs="Times New Roman"/>
          <w:spacing w:val="-4"/>
          <w:sz w:val="21"/>
          <w:szCs w:val="21"/>
        </w:rPr>
        <w:t>–«</w:t>
      </w:r>
      <w:r w:rsidRPr="00E97553">
        <w:rPr>
          <w:rFonts w:ascii="Times New Roman" w:hAnsi="Times New Roman" w:cs="Times New Roman"/>
          <w:spacing w:val="-4"/>
          <w:sz w:val="21"/>
          <w:szCs w:val="21"/>
        </w:rPr>
        <w:t>…діяльність державних та громадських інститутів, соціальних груп та окремих осіб (суб’єктів соціальної політики), яка спрямована на реалізацію соціальних потреб людини на основі принципу соціальної справедливості при дотриманні її громадянських прав та сво</w:t>
      </w:r>
      <w:r>
        <w:rPr>
          <w:rFonts w:ascii="Times New Roman" w:hAnsi="Times New Roman" w:cs="Times New Roman"/>
          <w:spacing w:val="-4"/>
          <w:sz w:val="21"/>
          <w:szCs w:val="21"/>
        </w:rPr>
        <w:t>бод»;</w:t>
      </w:r>
    </w:p>
    <w:p w:rsidR="00B233DE" w:rsidRPr="00E97553" w:rsidRDefault="00B233DE" w:rsidP="00B233DE">
      <w:pPr>
        <w:tabs>
          <w:tab w:val="left" w:pos="1260"/>
        </w:tabs>
        <w:ind w:firstLine="709"/>
        <w:jc w:val="both"/>
        <w:rPr>
          <w:rFonts w:ascii="Times New Roman" w:hAnsi="Times New Roman" w:cs="Times New Roman"/>
          <w:spacing w:val="-4"/>
          <w:sz w:val="21"/>
          <w:szCs w:val="21"/>
        </w:rPr>
      </w:pPr>
      <w:r>
        <w:rPr>
          <w:rFonts w:ascii="Times New Roman" w:hAnsi="Times New Roman" w:cs="Times New Roman"/>
          <w:spacing w:val="-4"/>
          <w:sz w:val="21"/>
          <w:szCs w:val="21"/>
        </w:rPr>
        <w:t>–«</w:t>
      </w:r>
      <w:r w:rsidRPr="00E97553">
        <w:rPr>
          <w:rFonts w:ascii="Times New Roman" w:hAnsi="Times New Roman" w:cs="Times New Roman"/>
          <w:spacing w:val="-4"/>
          <w:sz w:val="21"/>
          <w:szCs w:val="21"/>
        </w:rPr>
        <w:t>…досягнення відповідності, адекватної цілеспрямованості діяльності її суб’єктів з освоєння і творення соціального буття, розвитку соціальної сфери вимогам об’єктивних закономірностей суспільного прогресу, сучасній логіці розвитку цивілізацій</w:t>
      </w:r>
      <w:r>
        <w:rPr>
          <w:rFonts w:ascii="Times New Roman" w:hAnsi="Times New Roman" w:cs="Times New Roman"/>
          <w:spacing w:val="-4"/>
          <w:sz w:val="21"/>
          <w:szCs w:val="21"/>
        </w:rPr>
        <w:t>»</w:t>
      </w:r>
      <w:r w:rsidRPr="00E97553">
        <w:rPr>
          <w:rFonts w:ascii="Times New Roman" w:hAnsi="Times New Roman" w:cs="Times New Roman"/>
          <w:spacing w:val="-4"/>
          <w:sz w:val="21"/>
          <w:szCs w:val="21"/>
        </w:rPr>
        <w:t>;</w:t>
      </w:r>
    </w:p>
    <w:p w:rsidR="00B233DE" w:rsidRPr="00E97553" w:rsidRDefault="00B233DE" w:rsidP="00B233DE">
      <w:pPr>
        <w:tabs>
          <w:tab w:val="left" w:pos="1260"/>
        </w:tabs>
        <w:ind w:firstLine="709"/>
        <w:jc w:val="both"/>
        <w:rPr>
          <w:rFonts w:ascii="Times New Roman" w:hAnsi="Times New Roman" w:cs="Times New Roman"/>
          <w:spacing w:val="-4"/>
          <w:sz w:val="21"/>
          <w:szCs w:val="21"/>
        </w:rPr>
      </w:pPr>
      <w:r w:rsidRPr="00E97553">
        <w:rPr>
          <w:rFonts w:ascii="Times New Roman" w:hAnsi="Times New Roman" w:cs="Times New Roman"/>
          <w:spacing w:val="-4"/>
          <w:sz w:val="21"/>
          <w:szCs w:val="21"/>
        </w:rPr>
        <w:t>–сприяння розвитку соціальних відносин;</w:t>
      </w:r>
    </w:p>
    <w:p w:rsidR="00B233DE" w:rsidRPr="00E97553" w:rsidDel="002E5A26" w:rsidRDefault="00B233DE" w:rsidP="00B233DE">
      <w:pPr>
        <w:tabs>
          <w:tab w:val="left" w:pos="1260"/>
        </w:tabs>
        <w:ind w:firstLine="709"/>
        <w:jc w:val="both"/>
        <w:rPr>
          <w:rFonts w:ascii="Times New Roman" w:hAnsi="Times New Roman" w:cs="Times New Roman"/>
          <w:spacing w:val="-4"/>
          <w:sz w:val="21"/>
          <w:szCs w:val="21"/>
        </w:rPr>
      </w:pPr>
      <w:r w:rsidRPr="00E97553">
        <w:rPr>
          <w:rFonts w:ascii="Times New Roman" w:hAnsi="Times New Roman" w:cs="Times New Roman"/>
          <w:spacing w:val="-4"/>
          <w:sz w:val="21"/>
          <w:szCs w:val="21"/>
        </w:rPr>
        <w:t>–реформування системи соціального захисту;</w:t>
      </w:r>
    </w:p>
    <w:p w:rsidR="00B233DE" w:rsidRPr="00E97553" w:rsidRDefault="00B233DE" w:rsidP="00B233DE">
      <w:pPr>
        <w:tabs>
          <w:tab w:val="left" w:pos="1260"/>
        </w:tabs>
        <w:ind w:firstLine="709"/>
        <w:jc w:val="both"/>
        <w:rPr>
          <w:rFonts w:ascii="Times New Roman" w:hAnsi="Times New Roman" w:cs="Times New Roman"/>
          <w:spacing w:val="-4"/>
          <w:sz w:val="21"/>
          <w:szCs w:val="21"/>
        </w:rPr>
      </w:pPr>
      <w:r w:rsidRPr="00E97553">
        <w:rPr>
          <w:rFonts w:ascii="Times New Roman" w:hAnsi="Times New Roman" w:cs="Times New Roman"/>
          <w:spacing w:val="-4"/>
          <w:sz w:val="21"/>
          <w:szCs w:val="21"/>
        </w:rPr>
        <w:t>–створення умов для реалізації потенціалу людини, тобто системи її внутрішніх ресурсів, які виявляються в діяльності, направленій на отримання соціально важливих результатів;</w:t>
      </w:r>
    </w:p>
    <w:p w:rsidR="00B233DE" w:rsidRPr="00E97553" w:rsidRDefault="00B233DE" w:rsidP="00B233DE">
      <w:pPr>
        <w:tabs>
          <w:tab w:val="left" w:pos="1260"/>
        </w:tabs>
        <w:ind w:firstLine="709"/>
        <w:jc w:val="both"/>
        <w:rPr>
          <w:rFonts w:ascii="Times New Roman" w:hAnsi="Times New Roman" w:cs="Times New Roman"/>
          <w:spacing w:val="-4"/>
          <w:sz w:val="21"/>
          <w:szCs w:val="21"/>
        </w:rPr>
      </w:pPr>
      <w:r w:rsidRPr="00E97553">
        <w:rPr>
          <w:rFonts w:ascii="Times New Roman" w:hAnsi="Times New Roman" w:cs="Times New Roman"/>
          <w:spacing w:val="-4"/>
          <w:sz w:val="21"/>
          <w:szCs w:val="21"/>
        </w:rPr>
        <w:t>–створення нової системи соціального страхування;</w:t>
      </w:r>
    </w:p>
    <w:p w:rsidR="00B233DE" w:rsidRPr="00E97553" w:rsidRDefault="00B233DE" w:rsidP="00B233DE">
      <w:pPr>
        <w:tabs>
          <w:tab w:val="left" w:pos="900"/>
          <w:tab w:val="left" w:pos="1400"/>
        </w:tabs>
        <w:ind w:firstLine="709"/>
        <w:jc w:val="both"/>
        <w:rPr>
          <w:rFonts w:ascii="Times New Roman" w:hAnsi="Times New Roman" w:cs="Times New Roman"/>
          <w:sz w:val="21"/>
          <w:szCs w:val="21"/>
        </w:rPr>
      </w:pPr>
      <w:r w:rsidRPr="00E97553">
        <w:rPr>
          <w:rFonts w:ascii="Times New Roman" w:hAnsi="Times New Roman" w:cs="Times New Roman"/>
          <w:spacing w:val="-4"/>
          <w:sz w:val="21"/>
          <w:szCs w:val="21"/>
        </w:rPr>
        <w:t>–посилення адресності підтримки соціаль</w:t>
      </w:r>
      <w:r>
        <w:rPr>
          <w:rFonts w:ascii="Times New Roman" w:hAnsi="Times New Roman" w:cs="Times New Roman"/>
          <w:spacing w:val="-4"/>
          <w:sz w:val="21"/>
          <w:szCs w:val="21"/>
        </w:rPr>
        <w:t>но незахищених верств населення»</w:t>
      </w:r>
      <w:r w:rsidRPr="00E9755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_Ref435620740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66</w:t>
      </w:r>
      <w:r>
        <w:rPr>
          <w:rFonts w:ascii="Times New Roman" w:hAnsi="Times New Roman" w:cs="Times New Roman"/>
          <w:sz w:val="21"/>
          <w:szCs w:val="21"/>
          <w:highlight w:val="yellow"/>
        </w:rPr>
        <w:fldChar w:fldCharType="end"/>
      </w:r>
      <w:r>
        <w:rPr>
          <w:rFonts w:ascii="Times New Roman" w:hAnsi="Times New Roman" w:cs="Times New Roman"/>
          <w:sz w:val="21"/>
          <w:szCs w:val="21"/>
        </w:rPr>
        <w:t>, с. 34–</w:t>
      </w:r>
      <w:r w:rsidRPr="00E97553">
        <w:rPr>
          <w:rFonts w:ascii="Times New Roman" w:hAnsi="Times New Roman" w:cs="Times New Roman"/>
          <w:sz w:val="21"/>
          <w:szCs w:val="21"/>
        </w:rPr>
        <w:t>3</w:t>
      </w:r>
      <w:r>
        <w:rPr>
          <w:rFonts w:ascii="Times New Roman" w:hAnsi="Times New Roman" w:cs="Times New Roman"/>
          <w:sz w:val="21"/>
          <w:szCs w:val="21"/>
        </w:rPr>
        <w:t>5</w:t>
      </w:r>
      <w:r w:rsidRPr="00E97553">
        <w:rPr>
          <w:rFonts w:ascii="Times New Roman" w:hAnsi="Times New Roman" w:cs="Times New Roman"/>
          <w:sz w:val="21"/>
          <w:szCs w:val="21"/>
        </w:rPr>
        <w:t>]</w:t>
      </w:r>
      <w:r w:rsidRPr="00E97553">
        <w:rPr>
          <w:rFonts w:ascii="Times New Roman" w:hAnsi="Times New Roman" w:cs="Times New Roman"/>
          <w:spacing w:val="-4"/>
          <w:sz w:val="21"/>
          <w:szCs w:val="21"/>
        </w:rPr>
        <w:t>.</w:t>
      </w:r>
    </w:p>
    <w:p w:rsidR="00B233DE" w:rsidRPr="00E97553" w:rsidRDefault="00B233DE" w:rsidP="00B233DE">
      <w:pPr>
        <w:tabs>
          <w:tab w:val="left" w:pos="1260"/>
        </w:tabs>
        <w:ind w:firstLine="709"/>
        <w:jc w:val="both"/>
        <w:rPr>
          <w:rFonts w:ascii="Times New Roman" w:hAnsi="Times New Roman" w:cs="Times New Roman"/>
          <w:spacing w:val="-4"/>
          <w:sz w:val="21"/>
          <w:szCs w:val="21"/>
        </w:rPr>
      </w:pPr>
      <w:r w:rsidRPr="00E97553">
        <w:rPr>
          <w:rFonts w:ascii="Times New Roman" w:hAnsi="Times New Roman" w:cs="Times New Roman"/>
          <w:spacing w:val="-4"/>
          <w:sz w:val="21"/>
          <w:szCs w:val="21"/>
        </w:rPr>
        <w:t xml:space="preserve">У науковій літературі ці завдання доповнюються, уточнюються, однак абсолютна більшість дослідників і практиків </w:t>
      </w:r>
      <w:r w:rsidRPr="00E97553">
        <w:rPr>
          <w:rFonts w:ascii="Times New Roman" w:hAnsi="Times New Roman" w:cs="Times New Roman"/>
          <w:spacing w:val="-4"/>
          <w:sz w:val="21"/>
          <w:szCs w:val="21"/>
        </w:rPr>
        <w:lastRenderedPageBreak/>
        <w:t>стверджують, що основні завдання державної</w:t>
      </w:r>
      <w:r>
        <w:rPr>
          <w:rFonts w:ascii="Times New Roman" w:hAnsi="Times New Roman" w:cs="Times New Roman"/>
          <w:spacing w:val="-4"/>
          <w:sz w:val="21"/>
          <w:szCs w:val="21"/>
        </w:rPr>
        <w:t xml:space="preserve"> соціальної політики полягають «</w:t>
      </w:r>
      <w:r w:rsidRPr="00E97553">
        <w:rPr>
          <w:rFonts w:ascii="Times New Roman" w:hAnsi="Times New Roman" w:cs="Times New Roman"/>
          <w:spacing w:val="-4"/>
          <w:sz w:val="21"/>
          <w:szCs w:val="21"/>
        </w:rPr>
        <w:t>…у реалізації основної мети – забезпеченні належного життєвого рівня населення відп</w:t>
      </w:r>
      <w:r>
        <w:rPr>
          <w:rFonts w:ascii="Times New Roman" w:hAnsi="Times New Roman" w:cs="Times New Roman"/>
          <w:spacing w:val="-4"/>
          <w:sz w:val="21"/>
          <w:szCs w:val="21"/>
        </w:rPr>
        <w:t>овідно до соціальних стандартів»</w:t>
      </w:r>
      <w:r w:rsidRPr="00E97553">
        <w:rPr>
          <w:rFonts w:ascii="Times New Roman" w:hAnsi="Times New Roman" w:cs="Times New Roman"/>
          <w:spacing w:val="-4"/>
          <w:sz w:val="21"/>
          <w:szCs w:val="21"/>
        </w:rPr>
        <w:t xml:space="preserve"> </w:t>
      </w:r>
      <w:r w:rsidRPr="00E97553">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_Ref435620758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30</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 165]</w:t>
      </w:r>
      <w:r w:rsidRPr="00E97553">
        <w:rPr>
          <w:rFonts w:ascii="Times New Roman" w:hAnsi="Times New Roman" w:cs="Times New Roman"/>
          <w:spacing w:val="-4"/>
          <w:sz w:val="21"/>
          <w:szCs w:val="21"/>
        </w:rPr>
        <w:t>.</w:t>
      </w:r>
    </w:p>
    <w:p w:rsidR="00B233DE" w:rsidRPr="00E97553" w:rsidRDefault="00B233DE" w:rsidP="00B233DE">
      <w:pPr>
        <w:tabs>
          <w:tab w:val="left" w:pos="900"/>
          <w:tab w:val="left" w:pos="1400"/>
        </w:tabs>
        <w:ind w:firstLine="709"/>
        <w:jc w:val="both"/>
        <w:rPr>
          <w:rFonts w:ascii="Times New Roman" w:hAnsi="Times New Roman" w:cs="Times New Roman"/>
          <w:sz w:val="21"/>
          <w:szCs w:val="21"/>
        </w:rPr>
      </w:pPr>
      <w:r w:rsidRPr="00E97553">
        <w:rPr>
          <w:rFonts w:ascii="Times New Roman" w:hAnsi="Times New Roman" w:cs="Times New Roman"/>
          <w:sz w:val="21"/>
          <w:szCs w:val="21"/>
        </w:rPr>
        <w:t>Об’єднуючи ці завдання здійснення державної соціальної політики, науковці виділяють такі три її основні функції: економічну (економічно забезпечує політичні перетворення, створює умови для реалізації практичних політичних заходів, стимулює різні види економічної діяльності), соціальну (створює соціально-економічні ум</w:t>
      </w:r>
      <w:r>
        <w:rPr>
          <w:rFonts w:ascii="Times New Roman" w:hAnsi="Times New Roman" w:cs="Times New Roman"/>
          <w:sz w:val="21"/>
          <w:szCs w:val="21"/>
        </w:rPr>
        <w:t>ови для збереження та розвитку «людського капіталу»</w:t>
      </w:r>
      <w:r w:rsidRPr="00E97553">
        <w:rPr>
          <w:rFonts w:ascii="Times New Roman" w:hAnsi="Times New Roman" w:cs="Times New Roman"/>
          <w:sz w:val="21"/>
          <w:szCs w:val="21"/>
        </w:rPr>
        <w:t>, забезпечує необхідний рівень життя для всіх груп населення, доступ до медичного обслуговування, освіти, культурних цінностей) та стратегічну (створює соціально-економічні передумови для розвитку суспільства і збереження стабільності в ньому)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_Ref435620765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64</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 44].</w:t>
      </w:r>
    </w:p>
    <w:p w:rsidR="00B233DE" w:rsidRPr="00E97553" w:rsidRDefault="00B233DE" w:rsidP="00B233DE">
      <w:pPr>
        <w:tabs>
          <w:tab w:val="left" w:pos="900"/>
          <w:tab w:val="left" w:pos="1442"/>
        </w:tabs>
        <w:ind w:firstLine="709"/>
        <w:jc w:val="both"/>
        <w:rPr>
          <w:rFonts w:ascii="Times New Roman" w:hAnsi="Times New Roman" w:cs="Times New Roman"/>
          <w:sz w:val="21"/>
          <w:szCs w:val="21"/>
        </w:rPr>
      </w:pPr>
      <w:r w:rsidRPr="00E97553">
        <w:rPr>
          <w:rFonts w:ascii="Times New Roman" w:hAnsi="Times New Roman" w:cs="Times New Roman"/>
          <w:sz w:val="21"/>
          <w:szCs w:val="21"/>
        </w:rPr>
        <w:t>Ми підтримуємо думку О. Яременка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_Ref435620502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148</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xml:space="preserve">, с. 23], що соціальна політика є, передусім, регулятором соціальних процесів і соціальних перетворень й </w:t>
      </w:r>
      <w:r>
        <w:rPr>
          <w:rFonts w:ascii="Times New Roman" w:hAnsi="Times New Roman" w:cs="Times New Roman"/>
          <w:sz w:val="21"/>
          <w:szCs w:val="21"/>
        </w:rPr>
        <w:t>охоплює такі основні складові: «</w:t>
      </w:r>
      <w:r w:rsidRPr="00E97553">
        <w:rPr>
          <w:rFonts w:ascii="Times New Roman" w:hAnsi="Times New Roman" w:cs="Times New Roman"/>
          <w:sz w:val="21"/>
          <w:szCs w:val="21"/>
        </w:rPr>
        <w:t>… суб’єкти, які розробляють і впроваджують соціальні програми, об’єкти, які підлягають регулюванню, кан</w:t>
      </w:r>
      <w:r>
        <w:rPr>
          <w:rFonts w:ascii="Times New Roman" w:hAnsi="Times New Roman" w:cs="Times New Roman"/>
          <w:sz w:val="21"/>
          <w:szCs w:val="21"/>
        </w:rPr>
        <w:t>али впливу суб’єктів на об’єкти»</w:t>
      </w:r>
      <w:r w:rsidRPr="00E9755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_Ref435620502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148</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 26].</w:t>
      </w:r>
    </w:p>
    <w:p w:rsidR="00B233DE" w:rsidRPr="00E97553" w:rsidRDefault="00B233DE" w:rsidP="00B233DE">
      <w:pPr>
        <w:tabs>
          <w:tab w:val="left" w:pos="900"/>
          <w:tab w:val="left" w:pos="1442"/>
        </w:tabs>
        <w:ind w:firstLine="709"/>
        <w:jc w:val="both"/>
        <w:rPr>
          <w:rFonts w:ascii="Times New Roman" w:hAnsi="Times New Roman" w:cs="Times New Roman"/>
          <w:sz w:val="21"/>
          <w:szCs w:val="21"/>
        </w:rPr>
      </w:pPr>
      <w:r w:rsidRPr="00E97553">
        <w:rPr>
          <w:rFonts w:ascii="Times New Roman" w:hAnsi="Times New Roman" w:cs="Times New Roman"/>
          <w:sz w:val="21"/>
          <w:szCs w:val="21"/>
        </w:rPr>
        <w:t>Більшість науковців до суб’єктів соціальної політики відносять державні інститути, політичні партії, профспілки, громадські рухи, громади. Ми не підтримуємо думку тих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_Ref435620786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39</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xml:space="preserve">, с. 27], хто до суб’єктів соціальної політики відносить виключно державні органи, оскільки такий підхід, на нашу думку, не підходить навіть до визначення суб’єктів державної соціальної політики. Наприклад, курс державної соціальної політики напряму залежить від концепцій тих політичних партій, які знаходяться при владі і безпосередньо впливають на визначення цього курсу. Окрім того, дуже часто влада може змінювати напрями соціальної політики під впливом найактивніших громадських організацій, об’єднань. Тому пропонуємо до суб’єктів державної соціальної політики відносити: </w:t>
      </w:r>
      <w:r w:rsidRPr="00E97553">
        <w:rPr>
          <w:rFonts w:ascii="Times New Roman" w:hAnsi="Times New Roman" w:cs="Times New Roman"/>
          <w:spacing w:val="-4"/>
          <w:sz w:val="21"/>
          <w:szCs w:val="21"/>
        </w:rPr>
        <w:t>органи державної влади, органи місцевого самоврядування, політичні партії, громадські організації, об’єднання, державні установи та організації.</w:t>
      </w:r>
    </w:p>
    <w:p w:rsidR="00B233DE" w:rsidRPr="00E97553" w:rsidRDefault="00B233DE" w:rsidP="00B233DE">
      <w:pPr>
        <w:tabs>
          <w:tab w:val="left" w:pos="900"/>
          <w:tab w:val="left" w:pos="1442"/>
        </w:tabs>
        <w:ind w:firstLine="709"/>
        <w:jc w:val="both"/>
        <w:rPr>
          <w:rFonts w:ascii="Times New Roman" w:hAnsi="Times New Roman" w:cs="Times New Roman"/>
          <w:sz w:val="21"/>
          <w:szCs w:val="21"/>
        </w:rPr>
      </w:pPr>
      <w:r w:rsidRPr="00E97553">
        <w:rPr>
          <w:rFonts w:ascii="Times New Roman" w:hAnsi="Times New Roman" w:cs="Times New Roman"/>
          <w:sz w:val="21"/>
          <w:szCs w:val="21"/>
        </w:rPr>
        <w:t>Дещо складніше з визначенням об’єкта соціальної політики. Зокрема, П.</w:t>
      </w:r>
      <w:r>
        <w:rPr>
          <w:rFonts w:ascii="Times New Roman" w:hAnsi="Times New Roman" w:cs="Times New Roman"/>
          <w:sz w:val="21"/>
          <w:szCs w:val="21"/>
        </w:rPr>
        <w:t xml:space="preserve"> </w:t>
      </w:r>
      <w:r w:rsidRPr="00E97553">
        <w:rPr>
          <w:rFonts w:ascii="Times New Roman" w:hAnsi="Times New Roman" w:cs="Times New Roman"/>
          <w:sz w:val="21"/>
          <w:szCs w:val="21"/>
        </w:rPr>
        <w:t>Спікер відносить до об’єкта соціальної політики соціальний захист і соціальні служб</w:t>
      </w:r>
      <w:r>
        <w:rPr>
          <w:rFonts w:ascii="Times New Roman" w:hAnsi="Times New Roman" w:cs="Times New Roman"/>
          <w:sz w:val="21"/>
          <w:szCs w:val="21"/>
        </w:rPr>
        <w:t>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_Ref435620799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113</w:t>
      </w:r>
      <w:r>
        <w:rPr>
          <w:rFonts w:ascii="Times New Roman" w:hAnsi="Times New Roman" w:cs="Times New Roman"/>
          <w:sz w:val="21"/>
          <w:szCs w:val="21"/>
          <w:highlight w:val="yellow"/>
        </w:rPr>
        <w:fldChar w:fldCharType="end"/>
      </w:r>
      <w:r>
        <w:rPr>
          <w:rFonts w:ascii="Times New Roman" w:hAnsi="Times New Roman" w:cs="Times New Roman"/>
          <w:sz w:val="21"/>
          <w:szCs w:val="21"/>
        </w:rPr>
        <w:t>, с. 4–</w:t>
      </w:r>
      <w:r w:rsidRPr="00E97553">
        <w:rPr>
          <w:rFonts w:ascii="Times New Roman" w:hAnsi="Times New Roman" w:cs="Times New Roman"/>
          <w:sz w:val="21"/>
          <w:szCs w:val="21"/>
        </w:rPr>
        <w:t>5]</w:t>
      </w:r>
      <w:r>
        <w:rPr>
          <w:rFonts w:ascii="Times New Roman" w:hAnsi="Times New Roman" w:cs="Times New Roman"/>
          <w:sz w:val="21"/>
          <w:szCs w:val="21"/>
        </w:rPr>
        <w:t xml:space="preserve">, М. </w:t>
      </w:r>
      <w:r>
        <w:rPr>
          <w:rFonts w:ascii="Times New Roman" w:hAnsi="Times New Roman" w:cs="Times New Roman"/>
          <w:sz w:val="21"/>
          <w:szCs w:val="21"/>
        </w:rPr>
        <w:lastRenderedPageBreak/>
        <w:t>Головатий та М. Панасюк – «</w:t>
      </w:r>
      <w:r w:rsidRPr="00E97553">
        <w:rPr>
          <w:rFonts w:ascii="Times New Roman" w:hAnsi="Times New Roman" w:cs="Times New Roman"/>
          <w:sz w:val="21"/>
          <w:szCs w:val="21"/>
        </w:rPr>
        <w:t>…соціальне забезпечення (пенсійне забезпечення у старості, у випадку інвалідності тощо), систему охорони здоров’я, освіти, науки і культури та запобігання  злочинності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_Ref435620593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18</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w:t>
      </w:r>
      <w:r>
        <w:rPr>
          <w:rFonts w:ascii="Times New Roman" w:hAnsi="Times New Roman" w:cs="Times New Roman"/>
          <w:sz w:val="21"/>
          <w:szCs w:val="21"/>
        </w:rPr>
        <w:t xml:space="preserve"> </w:t>
      </w:r>
      <w:r w:rsidRPr="00E97553">
        <w:rPr>
          <w:rFonts w:ascii="Times New Roman" w:hAnsi="Times New Roman" w:cs="Times New Roman"/>
          <w:sz w:val="21"/>
          <w:szCs w:val="21"/>
        </w:rPr>
        <w:t>с. 386], П.</w:t>
      </w:r>
      <w:r>
        <w:rPr>
          <w:rFonts w:ascii="Times New Roman" w:hAnsi="Times New Roman" w:cs="Times New Roman"/>
          <w:sz w:val="21"/>
          <w:szCs w:val="21"/>
        </w:rPr>
        <w:t xml:space="preserve"> Шевчук – «</w:t>
      </w:r>
      <w:r w:rsidRPr="00E97553">
        <w:rPr>
          <w:rFonts w:ascii="Times New Roman" w:hAnsi="Times New Roman" w:cs="Times New Roman"/>
          <w:sz w:val="21"/>
          <w:szCs w:val="21"/>
        </w:rPr>
        <w:t xml:space="preserve">…окремі особи, групи або спільноти, які потребують певної </w:t>
      </w:r>
      <w:r>
        <w:rPr>
          <w:rFonts w:ascii="Times New Roman" w:hAnsi="Times New Roman" w:cs="Times New Roman"/>
          <w:sz w:val="21"/>
          <w:szCs w:val="21"/>
        </w:rPr>
        <w:t>соціальної підтримки чи захисту»</w:t>
      </w:r>
      <w:r w:rsidRPr="00E9755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_Ref435620593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18</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 17]. Як бачимо, перелік об’єктів соціальної політики різноманітний, однак найточніший з-посеред них, на нашу думку, є перелік, запропонований О.</w:t>
      </w:r>
      <w:r>
        <w:rPr>
          <w:rFonts w:ascii="Times New Roman" w:hAnsi="Times New Roman" w:cs="Times New Roman"/>
          <w:sz w:val="21"/>
          <w:szCs w:val="21"/>
        </w:rPr>
        <w:t xml:space="preserve"> </w:t>
      </w:r>
      <w:r w:rsidRPr="00E97553">
        <w:rPr>
          <w:rFonts w:ascii="Times New Roman" w:hAnsi="Times New Roman" w:cs="Times New Roman"/>
          <w:sz w:val="21"/>
          <w:szCs w:val="21"/>
        </w:rPr>
        <w:t>Яременком, який до таких об’єктів відносить соціальну структуру (вивчення со</w:t>
      </w:r>
      <w:r>
        <w:rPr>
          <w:rFonts w:ascii="Times New Roman" w:hAnsi="Times New Roman" w:cs="Times New Roman"/>
          <w:sz w:val="21"/>
          <w:szCs w:val="21"/>
        </w:rPr>
        <w:t>ціального складу,</w:t>
      </w:r>
      <w:r w:rsidRPr="00E97553">
        <w:rPr>
          <w:rFonts w:ascii="Times New Roman" w:hAnsi="Times New Roman" w:cs="Times New Roman"/>
          <w:sz w:val="21"/>
          <w:szCs w:val="21"/>
        </w:rPr>
        <w:t xml:space="preserve"> усталеності, стабільності організації, режиму керування, системи мотивації, символіки, традицій, способу життя), соціальні умови праці і життя, соціальні відносини, соціальні норми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_Ref435620502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148</w:t>
      </w:r>
      <w:r>
        <w:rPr>
          <w:rFonts w:ascii="Times New Roman" w:hAnsi="Times New Roman" w:cs="Times New Roman"/>
          <w:sz w:val="21"/>
          <w:szCs w:val="21"/>
          <w:highlight w:val="yellow"/>
        </w:rPr>
        <w:fldChar w:fldCharType="end"/>
      </w:r>
      <w:r w:rsidRPr="00E97553">
        <w:rPr>
          <w:rFonts w:ascii="Times New Roman" w:hAnsi="Times New Roman" w:cs="Times New Roman"/>
          <w:sz w:val="21"/>
          <w:szCs w:val="21"/>
        </w:rPr>
        <w:t>, с. 36]. Окрім зазначених, автор відносить до об’єктів соціальної політики і соціальні служби, з чим ми погодитися не можемо, позаяк вважаємо, що їх доцільніше було б віднести до суб’єктів соціальної політики. Перелічені об’єкти пропонуємо відносити і до об’єктів державної соціальної політики.</w:t>
      </w:r>
    </w:p>
    <w:p w:rsidR="00B233DE" w:rsidRDefault="00B233DE" w:rsidP="00B233DE">
      <w:pPr>
        <w:pStyle w:val="afc"/>
        <w:spacing w:line="240" w:lineRule="auto"/>
        <w:rPr>
          <w:sz w:val="21"/>
          <w:szCs w:val="21"/>
        </w:rPr>
      </w:pPr>
      <w:r w:rsidRPr="00E97553">
        <w:rPr>
          <w:sz w:val="21"/>
          <w:szCs w:val="21"/>
        </w:rPr>
        <w:t xml:space="preserve">Враховуючи наші підходи до трактування суті державної соціальної політики, а також напрацювання вчених у цьому напрямку, пропонуємо класифікувати її за видами (рис. </w:t>
      </w:r>
      <w:r>
        <w:rPr>
          <w:sz w:val="21"/>
          <w:szCs w:val="21"/>
        </w:rPr>
        <w:t>5.5).</w:t>
      </w:r>
    </w:p>
    <w:p w:rsidR="00B233DE" w:rsidRDefault="00B233DE" w:rsidP="00B233DE">
      <w:pPr>
        <w:pStyle w:val="afc"/>
        <w:spacing w:line="240" w:lineRule="auto"/>
        <w:rPr>
          <w:sz w:val="21"/>
          <w:szCs w:val="21"/>
        </w:rPr>
      </w:pPr>
    </w:p>
    <w:p w:rsidR="00B233DE" w:rsidRDefault="00B233DE" w:rsidP="00B233DE">
      <w:pPr>
        <w:pStyle w:val="afc"/>
        <w:spacing w:line="240" w:lineRule="auto"/>
        <w:rPr>
          <w:sz w:val="21"/>
          <w:szCs w:val="21"/>
        </w:rPr>
      </w:pPr>
      <w:r>
        <w:rPr>
          <w:noProof/>
          <w:lang w:val="ru-RU" w:eastAsia="ru-RU"/>
        </w:rPr>
        <mc:AlternateContent>
          <mc:Choice Requires="wpg">
            <w:drawing>
              <wp:anchor distT="0" distB="0" distL="114300" distR="114300" simplePos="0" relativeHeight="251700224" behindDoc="0" locked="0" layoutInCell="1" allowOverlap="1" wp14:anchorId="0A8574C7" wp14:editId="3CDDB6B2">
                <wp:simplePos x="0" y="0"/>
                <wp:positionH relativeFrom="column">
                  <wp:posOffset>185843</wp:posOffset>
                </wp:positionH>
                <wp:positionV relativeFrom="paragraph">
                  <wp:posOffset>97578</wp:posOffset>
                </wp:positionV>
                <wp:extent cx="3686045" cy="2734734"/>
                <wp:effectExtent l="0" t="0" r="10160" b="27940"/>
                <wp:wrapNone/>
                <wp:docPr id="1472" name="Группа 1472"/>
                <wp:cNvGraphicFramePr/>
                <a:graphic xmlns:a="http://schemas.openxmlformats.org/drawingml/2006/main">
                  <a:graphicData uri="http://schemas.microsoft.com/office/word/2010/wordprocessingGroup">
                    <wpg:wgp>
                      <wpg:cNvGrpSpPr/>
                      <wpg:grpSpPr>
                        <a:xfrm>
                          <a:off x="0" y="0"/>
                          <a:ext cx="3686045" cy="2734734"/>
                          <a:chOff x="0" y="47624"/>
                          <a:chExt cx="3686045" cy="3267076"/>
                        </a:xfrm>
                      </wpg:grpSpPr>
                      <wps:wsp>
                        <wps:cNvPr id="1473" name="Rectangle 917"/>
                        <wps:cNvSpPr>
                          <a:spLocks noChangeArrowheads="1"/>
                        </wps:cNvSpPr>
                        <wps:spPr bwMode="auto">
                          <a:xfrm>
                            <a:off x="0" y="47624"/>
                            <a:ext cx="3686045" cy="295275"/>
                          </a:xfrm>
                          <a:prstGeom prst="rect">
                            <a:avLst/>
                          </a:prstGeom>
                          <a:solidFill>
                            <a:srgbClr val="FFFFFF"/>
                          </a:solidFill>
                          <a:ln w="9525">
                            <a:solidFill>
                              <a:srgbClr val="000000"/>
                            </a:solidFill>
                            <a:miter lim="800000"/>
                            <a:headEnd/>
                            <a:tailEnd/>
                          </a:ln>
                        </wps:spPr>
                        <wps:txbx>
                          <w:txbxContent>
                            <w:p w:rsidR="00BE40F8" w:rsidRPr="00DE0F9A" w:rsidRDefault="00BE40F8" w:rsidP="00B233DE">
                              <w:pPr>
                                <w:jc w:val="center"/>
                                <w:rPr>
                                  <w:rFonts w:ascii="Times New Roman" w:hAnsi="Times New Roman" w:cs="Times New Roman"/>
                                  <w:b/>
                                  <w:sz w:val="16"/>
                                  <w:szCs w:val="16"/>
                                </w:rPr>
                              </w:pPr>
                              <w:r w:rsidRPr="00DE0F9A">
                                <w:rPr>
                                  <w:rFonts w:ascii="Times New Roman" w:hAnsi="Times New Roman" w:cs="Times New Roman"/>
                                  <w:b/>
                                  <w:sz w:val="16"/>
                                  <w:szCs w:val="16"/>
                                </w:rPr>
                                <w:t>ДЕРЖАВНА СОЦІАЛЬНА ПОЛІТИКА</w:t>
                              </w:r>
                            </w:p>
                          </w:txbxContent>
                        </wps:txbx>
                        <wps:bodyPr rot="0" vert="horz" wrap="square" lIns="0" tIns="0" rIns="0" bIns="0" anchor="ctr" anchorCtr="0" upright="1">
                          <a:noAutofit/>
                        </wps:bodyPr>
                      </wps:wsp>
                      <wps:wsp>
                        <wps:cNvPr id="1474" name="Rectangle 918"/>
                        <wps:cNvSpPr>
                          <a:spLocks noChangeArrowheads="1"/>
                        </wps:cNvSpPr>
                        <wps:spPr bwMode="auto">
                          <a:xfrm>
                            <a:off x="0" y="457200"/>
                            <a:ext cx="381000" cy="2857500"/>
                          </a:xfrm>
                          <a:prstGeom prst="rect">
                            <a:avLst/>
                          </a:prstGeom>
                          <a:solidFill>
                            <a:srgbClr val="FFFFFF"/>
                          </a:solidFill>
                          <a:ln w="9525">
                            <a:solidFill>
                              <a:srgbClr val="000000"/>
                            </a:solidFill>
                            <a:miter lim="800000"/>
                            <a:headEnd/>
                            <a:tailEnd/>
                          </a:ln>
                        </wps:spPr>
                        <wps:txbx>
                          <w:txbxContent>
                            <w:p w:rsidR="00BE40F8" w:rsidRPr="00DE0F9A" w:rsidRDefault="00BE40F8" w:rsidP="00B233DE">
                              <w:pPr>
                                <w:ind w:firstLine="0"/>
                                <w:jc w:val="center"/>
                                <w:rPr>
                                  <w:rFonts w:ascii="Times New Roman" w:hAnsi="Times New Roman" w:cs="Times New Roman"/>
                                  <w:sz w:val="16"/>
                                  <w:szCs w:val="16"/>
                                </w:rPr>
                              </w:pPr>
                              <w:r w:rsidRPr="00DE0F9A">
                                <w:rPr>
                                  <w:rFonts w:ascii="Times New Roman" w:hAnsi="Times New Roman" w:cs="Times New Roman"/>
                                  <w:sz w:val="16"/>
                                  <w:szCs w:val="16"/>
                                </w:rPr>
                                <w:t xml:space="preserve">Політика </w:t>
                              </w:r>
                              <w:r w:rsidRPr="00DE0F9A">
                                <w:rPr>
                                  <w:rFonts w:ascii="Times New Roman" w:hAnsi="Times New Roman" w:cs="Times New Roman"/>
                                  <w:iCs/>
                                  <w:sz w:val="16"/>
                                  <w:szCs w:val="16"/>
                                </w:rPr>
                                <w:t>розподілу і перерозподілу суспільного продукту</w:t>
                              </w:r>
                            </w:p>
                          </w:txbxContent>
                        </wps:txbx>
                        <wps:bodyPr rot="0" vert="vert270" wrap="square" lIns="0" tIns="0" rIns="0" bIns="0" anchor="ctr" anchorCtr="0" upright="1">
                          <a:noAutofit/>
                        </wps:bodyPr>
                      </wps:wsp>
                      <wps:wsp>
                        <wps:cNvPr id="1475" name="Rectangle 919"/>
                        <wps:cNvSpPr>
                          <a:spLocks noChangeArrowheads="1"/>
                        </wps:cNvSpPr>
                        <wps:spPr bwMode="auto">
                          <a:xfrm>
                            <a:off x="485258" y="457200"/>
                            <a:ext cx="410092" cy="2857500"/>
                          </a:xfrm>
                          <a:prstGeom prst="rect">
                            <a:avLst/>
                          </a:prstGeom>
                          <a:solidFill>
                            <a:srgbClr val="FFFFFF"/>
                          </a:solidFill>
                          <a:ln w="9525">
                            <a:solidFill>
                              <a:srgbClr val="000000"/>
                            </a:solidFill>
                            <a:miter lim="800000"/>
                            <a:headEnd/>
                            <a:tailEnd/>
                          </a:ln>
                        </wps:spPr>
                        <wps:txbx>
                          <w:txbxContent>
                            <w:p w:rsidR="00BE40F8" w:rsidRPr="00DE0F9A" w:rsidRDefault="00BE40F8" w:rsidP="00B233DE">
                              <w:pPr>
                                <w:jc w:val="center"/>
                                <w:rPr>
                                  <w:rFonts w:ascii="Times New Roman" w:hAnsi="Times New Roman" w:cs="Times New Roman"/>
                                  <w:sz w:val="16"/>
                                  <w:szCs w:val="16"/>
                                </w:rPr>
                              </w:pPr>
                              <w:r w:rsidRPr="00DE0F9A">
                                <w:rPr>
                                  <w:rFonts w:ascii="Times New Roman" w:hAnsi="Times New Roman" w:cs="Times New Roman"/>
                                  <w:sz w:val="16"/>
                                  <w:szCs w:val="16"/>
                                </w:rPr>
                                <w:t>Державна політика зайнятості і охорони праці</w:t>
                              </w:r>
                            </w:p>
                          </w:txbxContent>
                        </wps:txbx>
                        <wps:bodyPr rot="0" vert="vert270" wrap="square" lIns="0" tIns="0" rIns="0" bIns="0" anchor="ctr" anchorCtr="0" upright="1">
                          <a:noAutofit/>
                        </wps:bodyPr>
                      </wps:wsp>
                      <wps:wsp>
                        <wps:cNvPr id="1476" name="Rectangle 920"/>
                        <wps:cNvSpPr>
                          <a:spLocks noChangeArrowheads="1"/>
                        </wps:cNvSpPr>
                        <wps:spPr bwMode="auto">
                          <a:xfrm>
                            <a:off x="990859" y="457200"/>
                            <a:ext cx="428365" cy="2857500"/>
                          </a:xfrm>
                          <a:prstGeom prst="rect">
                            <a:avLst/>
                          </a:prstGeom>
                          <a:solidFill>
                            <a:srgbClr val="FFFFFF"/>
                          </a:solidFill>
                          <a:ln w="9525">
                            <a:solidFill>
                              <a:srgbClr val="000000"/>
                            </a:solidFill>
                            <a:miter lim="800000"/>
                            <a:headEnd/>
                            <a:tailEnd/>
                          </a:ln>
                        </wps:spPr>
                        <wps:txbx>
                          <w:txbxContent>
                            <w:p w:rsidR="00BE40F8" w:rsidRPr="00DE0F9A" w:rsidRDefault="00BE40F8" w:rsidP="00B233DE">
                              <w:pPr>
                                <w:jc w:val="center"/>
                                <w:rPr>
                                  <w:rFonts w:ascii="Times New Roman" w:hAnsi="Times New Roman" w:cs="Times New Roman"/>
                                  <w:sz w:val="16"/>
                                  <w:szCs w:val="16"/>
                                </w:rPr>
                              </w:pPr>
                              <w:r w:rsidRPr="00DE0F9A">
                                <w:rPr>
                                  <w:rFonts w:ascii="Times New Roman" w:hAnsi="Times New Roman" w:cs="Times New Roman"/>
                                  <w:sz w:val="16"/>
                                  <w:szCs w:val="16"/>
                                </w:rPr>
                                <w:t xml:space="preserve">Державна політика </w:t>
                              </w:r>
                            </w:p>
                            <w:p w:rsidR="00BE40F8" w:rsidRPr="00DE0F9A" w:rsidRDefault="00BE40F8" w:rsidP="00B233DE">
                              <w:pPr>
                                <w:jc w:val="center"/>
                                <w:rPr>
                                  <w:rFonts w:ascii="Times New Roman" w:hAnsi="Times New Roman" w:cs="Times New Roman"/>
                                  <w:sz w:val="16"/>
                                  <w:szCs w:val="16"/>
                                </w:rPr>
                              </w:pPr>
                              <w:r w:rsidRPr="00DE0F9A">
                                <w:rPr>
                                  <w:rFonts w:ascii="Times New Roman" w:hAnsi="Times New Roman" w:cs="Times New Roman"/>
                                  <w:sz w:val="16"/>
                                  <w:szCs w:val="16"/>
                                </w:rPr>
                                <w:t>у соціально-культурній сфері</w:t>
                              </w:r>
                            </w:p>
                          </w:txbxContent>
                        </wps:txbx>
                        <wps:bodyPr rot="0" vert="vert270" wrap="square" lIns="0" tIns="0" rIns="0" bIns="0" anchor="ctr" anchorCtr="0" upright="1">
                          <a:noAutofit/>
                        </wps:bodyPr>
                      </wps:wsp>
                      <wps:wsp>
                        <wps:cNvPr id="1477" name="Rectangle 921"/>
                        <wps:cNvSpPr>
                          <a:spLocks noChangeArrowheads="1"/>
                        </wps:cNvSpPr>
                        <wps:spPr bwMode="auto">
                          <a:xfrm>
                            <a:off x="1514591" y="457200"/>
                            <a:ext cx="424276" cy="2857500"/>
                          </a:xfrm>
                          <a:prstGeom prst="rect">
                            <a:avLst/>
                          </a:prstGeom>
                          <a:solidFill>
                            <a:srgbClr val="FFFFFF"/>
                          </a:solidFill>
                          <a:ln w="9525">
                            <a:solidFill>
                              <a:srgbClr val="000000"/>
                            </a:solidFill>
                            <a:miter lim="800000"/>
                            <a:headEnd/>
                            <a:tailEnd/>
                          </a:ln>
                        </wps:spPr>
                        <wps:txbx>
                          <w:txbxContent>
                            <w:p w:rsidR="00BE40F8" w:rsidRPr="00DE0F9A" w:rsidRDefault="00BE40F8" w:rsidP="00B233DE">
                              <w:pPr>
                                <w:jc w:val="center"/>
                                <w:rPr>
                                  <w:rFonts w:ascii="Times New Roman" w:hAnsi="Times New Roman" w:cs="Times New Roman"/>
                                  <w:sz w:val="16"/>
                                  <w:szCs w:val="16"/>
                                </w:rPr>
                              </w:pPr>
                              <w:r w:rsidRPr="00DE0F9A">
                                <w:rPr>
                                  <w:rFonts w:ascii="Times New Roman" w:hAnsi="Times New Roman" w:cs="Times New Roman"/>
                                  <w:sz w:val="16"/>
                                  <w:szCs w:val="16"/>
                                </w:rPr>
                                <w:t xml:space="preserve">Демографічна політика </w:t>
                              </w:r>
                            </w:p>
                          </w:txbxContent>
                        </wps:txbx>
                        <wps:bodyPr rot="0" vert="vert270" wrap="square" lIns="0" tIns="0" rIns="0" bIns="0" anchor="ctr" anchorCtr="0" upright="1">
                          <a:noAutofit/>
                        </wps:bodyPr>
                      </wps:wsp>
                      <wps:wsp>
                        <wps:cNvPr id="1478" name="Rectangle 922"/>
                        <wps:cNvSpPr>
                          <a:spLocks noChangeArrowheads="1"/>
                        </wps:cNvSpPr>
                        <wps:spPr bwMode="auto">
                          <a:xfrm>
                            <a:off x="2052446" y="457200"/>
                            <a:ext cx="445219" cy="2857500"/>
                          </a:xfrm>
                          <a:prstGeom prst="rect">
                            <a:avLst/>
                          </a:prstGeom>
                          <a:solidFill>
                            <a:srgbClr val="FFFFFF"/>
                          </a:solidFill>
                          <a:ln w="9525">
                            <a:solidFill>
                              <a:srgbClr val="000000"/>
                            </a:solidFill>
                            <a:miter lim="800000"/>
                            <a:headEnd/>
                            <a:tailEnd/>
                          </a:ln>
                        </wps:spPr>
                        <wps:txbx>
                          <w:txbxContent>
                            <w:p w:rsidR="00BE40F8" w:rsidRPr="00DE0F9A" w:rsidRDefault="00BE40F8" w:rsidP="00B233DE">
                              <w:pPr>
                                <w:jc w:val="center"/>
                                <w:rPr>
                                  <w:rFonts w:ascii="Times New Roman" w:hAnsi="Times New Roman" w:cs="Times New Roman"/>
                                  <w:sz w:val="16"/>
                                  <w:szCs w:val="16"/>
                                </w:rPr>
                              </w:pPr>
                              <w:r w:rsidRPr="00DE0F9A">
                                <w:rPr>
                                  <w:rFonts w:ascii="Times New Roman" w:hAnsi="Times New Roman" w:cs="Times New Roman"/>
                                  <w:sz w:val="16"/>
                                  <w:szCs w:val="16"/>
                                </w:rPr>
                                <w:t xml:space="preserve">Державна соціекологічна політика </w:t>
                              </w:r>
                            </w:p>
                          </w:txbxContent>
                        </wps:txbx>
                        <wps:bodyPr rot="0" vert="vert270" wrap="square" lIns="0" tIns="0" rIns="0" bIns="0" anchor="ctr" anchorCtr="0" upright="1">
                          <a:noAutofit/>
                        </wps:bodyPr>
                      </wps:wsp>
                      <wps:wsp>
                        <wps:cNvPr id="1479" name="Rectangle 923"/>
                        <wps:cNvSpPr>
                          <a:spLocks noChangeArrowheads="1"/>
                        </wps:cNvSpPr>
                        <wps:spPr bwMode="auto">
                          <a:xfrm>
                            <a:off x="2615812" y="457199"/>
                            <a:ext cx="419487" cy="2857500"/>
                          </a:xfrm>
                          <a:prstGeom prst="rect">
                            <a:avLst/>
                          </a:prstGeom>
                          <a:solidFill>
                            <a:srgbClr val="FFFFFF"/>
                          </a:solidFill>
                          <a:ln w="9525">
                            <a:solidFill>
                              <a:srgbClr val="000000"/>
                            </a:solidFill>
                            <a:miter lim="800000"/>
                            <a:headEnd/>
                            <a:tailEnd/>
                          </a:ln>
                        </wps:spPr>
                        <wps:txbx>
                          <w:txbxContent>
                            <w:p w:rsidR="00BE40F8" w:rsidRPr="00DE0F9A" w:rsidRDefault="00BE40F8" w:rsidP="00B233DE">
                              <w:pPr>
                                <w:jc w:val="center"/>
                                <w:rPr>
                                  <w:rFonts w:ascii="Times New Roman" w:hAnsi="Times New Roman" w:cs="Times New Roman"/>
                                  <w:sz w:val="16"/>
                                  <w:szCs w:val="16"/>
                                </w:rPr>
                              </w:pPr>
                              <w:r w:rsidRPr="00DE0F9A">
                                <w:rPr>
                                  <w:rFonts w:ascii="Times New Roman" w:hAnsi="Times New Roman" w:cs="Times New Roman"/>
                                  <w:sz w:val="16"/>
                                  <w:szCs w:val="16"/>
                                </w:rPr>
                                <w:t>Державна політика у сфері соціального захисту населення</w:t>
                              </w:r>
                            </w:p>
                          </w:txbxContent>
                        </wps:txbx>
                        <wps:bodyPr rot="0" vert="vert270" wrap="square" lIns="0" tIns="0" rIns="0" bIns="0" anchor="ctr" anchorCtr="0" upright="1">
                          <a:noAutofit/>
                        </wps:bodyPr>
                      </wps:wsp>
                      <wps:wsp>
                        <wps:cNvPr id="1480" name="Rectangle 924"/>
                        <wps:cNvSpPr>
                          <a:spLocks noChangeArrowheads="1"/>
                        </wps:cNvSpPr>
                        <wps:spPr bwMode="auto">
                          <a:xfrm>
                            <a:off x="3149600" y="457200"/>
                            <a:ext cx="535940" cy="2857500"/>
                          </a:xfrm>
                          <a:prstGeom prst="rect">
                            <a:avLst/>
                          </a:prstGeom>
                          <a:solidFill>
                            <a:srgbClr val="FFFFFF"/>
                          </a:solidFill>
                          <a:ln w="9525">
                            <a:solidFill>
                              <a:srgbClr val="000000"/>
                            </a:solidFill>
                            <a:miter lim="800000"/>
                            <a:headEnd/>
                            <a:tailEnd/>
                          </a:ln>
                        </wps:spPr>
                        <wps:txbx>
                          <w:txbxContent>
                            <w:p w:rsidR="00BE40F8" w:rsidRPr="00DE0F9A" w:rsidRDefault="00BE40F8" w:rsidP="00B233DE">
                              <w:pPr>
                                <w:jc w:val="center"/>
                                <w:rPr>
                                  <w:rFonts w:ascii="Times New Roman" w:hAnsi="Times New Roman" w:cs="Times New Roman"/>
                                  <w:sz w:val="16"/>
                                  <w:szCs w:val="16"/>
                                </w:rPr>
                              </w:pPr>
                              <w:r w:rsidRPr="00DE0F9A">
                                <w:rPr>
                                  <w:rFonts w:ascii="Times New Roman" w:hAnsi="Times New Roman" w:cs="Times New Roman"/>
                                  <w:sz w:val="16"/>
                                  <w:szCs w:val="16"/>
                                </w:rPr>
                                <w:t>Політика  гармонізації соціально-економічних інтересів</w:t>
                              </w:r>
                            </w:p>
                          </w:txbxContent>
                        </wps:txbx>
                        <wps:bodyPr rot="0" vert="vert270" wrap="square" lIns="0" tIns="0" rIns="0" bIns="0" anchor="ctr" anchorCtr="0" upright="1">
                          <a:noAutofit/>
                        </wps:bodyPr>
                      </wps:wsp>
                      <wps:wsp>
                        <wps:cNvPr id="1584" name="Line 925"/>
                        <wps:cNvCnPr/>
                        <wps:spPr bwMode="auto">
                          <a:xfrm>
                            <a:off x="161472" y="34290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85" name="Line 926"/>
                        <wps:cNvCnPr/>
                        <wps:spPr bwMode="auto">
                          <a:xfrm>
                            <a:off x="704721" y="34290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86" name="Line 927"/>
                        <wps:cNvCnPr/>
                        <wps:spPr bwMode="auto">
                          <a:xfrm>
                            <a:off x="1199956" y="34290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87" name="Line 928"/>
                        <wps:cNvCnPr/>
                        <wps:spPr bwMode="auto">
                          <a:xfrm>
                            <a:off x="1733291" y="342899"/>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88" name="Line 929"/>
                        <wps:cNvCnPr/>
                        <wps:spPr bwMode="auto">
                          <a:xfrm>
                            <a:off x="2236194" y="342899"/>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89" name="Line 930"/>
                        <wps:cNvCnPr/>
                        <wps:spPr bwMode="auto">
                          <a:xfrm>
                            <a:off x="2838450" y="34290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90" name="Line 931"/>
                        <wps:cNvCnPr/>
                        <wps:spPr bwMode="auto">
                          <a:xfrm>
                            <a:off x="3391094" y="342899"/>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V relativeFrom="margin">
                  <wp14:pctHeight>0</wp14:pctHeight>
                </wp14:sizeRelV>
              </wp:anchor>
            </w:drawing>
          </mc:Choice>
          <mc:Fallback>
            <w:pict>
              <v:group w14:anchorId="0A8574C7" id="Группа 1472" o:spid="_x0000_s2204" style="position:absolute;left:0;text-align:left;margin-left:14.65pt;margin-top:7.7pt;width:290.25pt;height:215.35pt;z-index:251700224;mso-position-horizontal-relative:text;mso-position-vertical-relative:text;mso-height-relative:margin" coordorigin=",476" coordsize="36860,326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">
                <v:rect id="Rectangle 917" o:spid="_x0000_s2205" style="position:absolute;top:476;width:36860;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">
                  <v:textbox inset="0,0,0,0">
                    <w:txbxContent>
                      <w:p w:rsidR="00BE40F8" w:rsidRPr="00DE0F9A" w:rsidRDefault="00BE40F8" w:rsidP="00B233DE">
                        <w:pPr>
                          <w:jc w:val="center"/>
                          <w:rPr>
                            <w:rFonts w:ascii="Times New Roman" w:hAnsi="Times New Roman" w:cs="Times New Roman"/>
                            <w:b/>
                            <w:sz w:val="16"/>
                            <w:szCs w:val="16"/>
                          </w:rPr>
                        </w:pPr>
                        <w:r w:rsidRPr="00DE0F9A">
                          <w:rPr>
                            <w:rFonts w:ascii="Times New Roman" w:hAnsi="Times New Roman" w:cs="Times New Roman"/>
                            <w:b/>
                            <w:sz w:val="16"/>
                            <w:szCs w:val="16"/>
                          </w:rPr>
                          <w:t>ДЕРЖАВНА СОЦІАЛЬНА ПОЛІТИКА</w:t>
                        </w:r>
                      </w:p>
                    </w:txbxContent>
                  </v:textbox>
                </v:rect>
                <v:rect id="Rectangle 918" o:spid="_x0000_s2206" style="position:absolute;top:4572;width:3810;height:285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">
                  <v:textbox style="layout-flow:vertical;mso-layout-flow-alt:bottom-to-top" inset="0,0,0,0">
                    <w:txbxContent>
                      <w:p w:rsidR="00BE40F8" w:rsidRPr="00DE0F9A" w:rsidRDefault="00BE40F8" w:rsidP="00B233DE">
                        <w:pPr>
                          <w:ind w:firstLine="0"/>
                          <w:jc w:val="center"/>
                          <w:rPr>
                            <w:rFonts w:ascii="Times New Roman" w:hAnsi="Times New Roman" w:cs="Times New Roman"/>
                            <w:sz w:val="16"/>
                            <w:szCs w:val="16"/>
                          </w:rPr>
                        </w:pPr>
                        <w:r w:rsidRPr="00DE0F9A">
                          <w:rPr>
                            <w:rFonts w:ascii="Times New Roman" w:hAnsi="Times New Roman" w:cs="Times New Roman"/>
                            <w:sz w:val="16"/>
                            <w:szCs w:val="16"/>
                          </w:rPr>
                          <w:t xml:space="preserve">Політика </w:t>
                        </w:r>
                        <w:r w:rsidRPr="00DE0F9A">
                          <w:rPr>
                            <w:rFonts w:ascii="Times New Roman" w:hAnsi="Times New Roman" w:cs="Times New Roman"/>
                            <w:iCs/>
                            <w:sz w:val="16"/>
                            <w:szCs w:val="16"/>
                          </w:rPr>
                          <w:t>розподілу і перерозподілу суспільного продукту</w:t>
                        </w:r>
                      </w:p>
                    </w:txbxContent>
                  </v:textbox>
                </v:rect>
                <v:rect id="Rectangle 919" o:spid="_x0000_s2207" style="position:absolute;left:4852;top:4572;width:4101;height:285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">
                  <v:textbox style="layout-flow:vertical;mso-layout-flow-alt:bottom-to-top" inset="0,0,0,0">
                    <w:txbxContent>
                      <w:p w:rsidR="00BE40F8" w:rsidRPr="00DE0F9A" w:rsidRDefault="00BE40F8" w:rsidP="00B233DE">
                        <w:pPr>
                          <w:jc w:val="center"/>
                          <w:rPr>
                            <w:rFonts w:ascii="Times New Roman" w:hAnsi="Times New Roman" w:cs="Times New Roman"/>
                            <w:sz w:val="16"/>
                            <w:szCs w:val="16"/>
                          </w:rPr>
                        </w:pPr>
                        <w:r w:rsidRPr="00DE0F9A">
                          <w:rPr>
                            <w:rFonts w:ascii="Times New Roman" w:hAnsi="Times New Roman" w:cs="Times New Roman"/>
                            <w:sz w:val="16"/>
                            <w:szCs w:val="16"/>
                          </w:rPr>
                          <w:t>Державна політика зайнятості і охорони праці</w:t>
                        </w:r>
                      </w:p>
                    </w:txbxContent>
                  </v:textbox>
                </v:rect>
                <v:rect id="Rectangle 920" o:spid="_x0000_s2208" style="position:absolute;left:9908;top:4572;width:4284;height:285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">
                  <v:textbox style="layout-flow:vertical;mso-layout-flow-alt:bottom-to-top" inset="0,0,0,0">
                    <w:txbxContent>
                      <w:p w:rsidR="00BE40F8" w:rsidRPr="00DE0F9A" w:rsidRDefault="00BE40F8" w:rsidP="00B233DE">
                        <w:pPr>
                          <w:jc w:val="center"/>
                          <w:rPr>
                            <w:rFonts w:ascii="Times New Roman" w:hAnsi="Times New Roman" w:cs="Times New Roman"/>
                            <w:sz w:val="16"/>
                            <w:szCs w:val="16"/>
                          </w:rPr>
                        </w:pPr>
                        <w:r w:rsidRPr="00DE0F9A">
                          <w:rPr>
                            <w:rFonts w:ascii="Times New Roman" w:hAnsi="Times New Roman" w:cs="Times New Roman"/>
                            <w:sz w:val="16"/>
                            <w:szCs w:val="16"/>
                          </w:rPr>
                          <w:t xml:space="preserve">Державна політика </w:t>
                        </w:r>
                      </w:p>
                      <w:p w:rsidR="00BE40F8" w:rsidRPr="00DE0F9A" w:rsidRDefault="00BE40F8" w:rsidP="00B233DE">
                        <w:pPr>
                          <w:jc w:val="center"/>
                          <w:rPr>
                            <w:rFonts w:ascii="Times New Roman" w:hAnsi="Times New Roman" w:cs="Times New Roman"/>
                            <w:sz w:val="16"/>
                            <w:szCs w:val="16"/>
                          </w:rPr>
                        </w:pPr>
                        <w:r w:rsidRPr="00DE0F9A">
                          <w:rPr>
                            <w:rFonts w:ascii="Times New Roman" w:hAnsi="Times New Roman" w:cs="Times New Roman"/>
                            <w:sz w:val="16"/>
                            <w:szCs w:val="16"/>
                          </w:rPr>
                          <w:t>у соціально-культурній сфері</w:t>
                        </w:r>
                      </w:p>
                    </w:txbxContent>
                  </v:textbox>
                </v:rect>
                <v:rect id="Rectangle 921" o:spid="_x0000_s2209" style="position:absolute;left:15145;top:4572;width:4243;height:285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">
                  <v:textbox style="layout-flow:vertical;mso-layout-flow-alt:bottom-to-top" inset="0,0,0,0">
                    <w:txbxContent>
                      <w:p w:rsidR="00BE40F8" w:rsidRPr="00DE0F9A" w:rsidRDefault="00BE40F8" w:rsidP="00B233DE">
                        <w:pPr>
                          <w:jc w:val="center"/>
                          <w:rPr>
                            <w:rFonts w:ascii="Times New Roman" w:hAnsi="Times New Roman" w:cs="Times New Roman"/>
                            <w:sz w:val="16"/>
                            <w:szCs w:val="16"/>
                          </w:rPr>
                        </w:pPr>
                        <w:r w:rsidRPr="00DE0F9A">
                          <w:rPr>
                            <w:rFonts w:ascii="Times New Roman" w:hAnsi="Times New Roman" w:cs="Times New Roman"/>
                            <w:sz w:val="16"/>
                            <w:szCs w:val="16"/>
                          </w:rPr>
                          <w:t xml:space="preserve">Демографічна політика </w:t>
                        </w:r>
                      </w:p>
                    </w:txbxContent>
                  </v:textbox>
                </v:rect>
                <v:rect id="Rectangle 922" o:spid="_x0000_s2210" style="position:absolute;left:20524;top:4572;width:4452;height:285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">
                  <v:textbox style="layout-flow:vertical;mso-layout-flow-alt:bottom-to-top" inset="0,0,0,0">
                    <w:txbxContent>
                      <w:p w:rsidR="00BE40F8" w:rsidRPr="00DE0F9A" w:rsidRDefault="00BE40F8" w:rsidP="00B233DE">
                        <w:pPr>
                          <w:jc w:val="center"/>
                          <w:rPr>
                            <w:rFonts w:ascii="Times New Roman" w:hAnsi="Times New Roman" w:cs="Times New Roman"/>
                            <w:sz w:val="16"/>
                            <w:szCs w:val="16"/>
                          </w:rPr>
                        </w:pPr>
                        <w:r w:rsidRPr="00DE0F9A">
                          <w:rPr>
                            <w:rFonts w:ascii="Times New Roman" w:hAnsi="Times New Roman" w:cs="Times New Roman"/>
                            <w:sz w:val="16"/>
                            <w:szCs w:val="16"/>
                          </w:rPr>
                          <w:t xml:space="preserve">Державна соціекологічна політика </w:t>
                        </w:r>
                      </w:p>
                    </w:txbxContent>
                  </v:textbox>
                </v:rect>
                <v:rect id="Rectangle 923" o:spid="_x0000_s2211" style="position:absolute;left:26158;top:4571;width:4194;height:285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">
                  <v:textbox style="layout-flow:vertical;mso-layout-flow-alt:bottom-to-top" inset="0,0,0,0">
                    <w:txbxContent>
                      <w:p w:rsidR="00BE40F8" w:rsidRPr="00DE0F9A" w:rsidRDefault="00BE40F8" w:rsidP="00B233DE">
                        <w:pPr>
                          <w:jc w:val="center"/>
                          <w:rPr>
                            <w:rFonts w:ascii="Times New Roman" w:hAnsi="Times New Roman" w:cs="Times New Roman"/>
                            <w:sz w:val="16"/>
                            <w:szCs w:val="16"/>
                          </w:rPr>
                        </w:pPr>
                        <w:r w:rsidRPr="00DE0F9A">
                          <w:rPr>
                            <w:rFonts w:ascii="Times New Roman" w:hAnsi="Times New Roman" w:cs="Times New Roman"/>
                            <w:sz w:val="16"/>
                            <w:szCs w:val="16"/>
                          </w:rPr>
                          <w:t>Державна політика у сфері соціального захисту населення</w:t>
                        </w:r>
                      </w:p>
                    </w:txbxContent>
                  </v:textbox>
                </v:rect>
                <v:rect id="Rectangle 924" o:spid="_x0000_s2212" style="position:absolute;left:31496;top:4572;width:5359;height:285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">
                  <v:textbox style="layout-flow:vertical;mso-layout-flow-alt:bottom-to-top" inset="0,0,0,0">
                    <w:txbxContent>
                      <w:p w:rsidR="00BE40F8" w:rsidRPr="00DE0F9A" w:rsidRDefault="00BE40F8" w:rsidP="00B233DE">
                        <w:pPr>
                          <w:jc w:val="center"/>
                          <w:rPr>
                            <w:rFonts w:ascii="Times New Roman" w:hAnsi="Times New Roman" w:cs="Times New Roman"/>
                            <w:sz w:val="16"/>
                            <w:szCs w:val="16"/>
                          </w:rPr>
                        </w:pPr>
                        <w:r w:rsidRPr="00DE0F9A">
                          <w:rPr>
                            <w:rFonts w:ascii="Times New Roman" w:hAnsi="Times New Roman" w:cs="Times New Roman"/>
                            <w:sz w:val="16"/>
                            <w:szCs w:val="16"/>
                          </w:rPr>
                          <w:t>Політика  гармонізації соціально-економічних інтересів</w:t>
                        </w:r>
                      </w:p>
                    </w:txbxContent>
                  </v:textbox>
                </v:rect>
                <v:line id="Line 925" o:spid="_x0000_s2213" style="position:absolute;visibility:visible;mso-wrap-style:square" from="1614,3429" to="1614,4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">
                  <v:stroke endarrow="block"/>
                </v:line>
                <v:line id="Line 926" o:spid="_x0000_s2214" style="position:absolute;visibility:visible;mso-wrap-style:square" from="7047,3429" to="7047,4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">
                  <v:stroke endarrow="block"/>
                </v:line>
                <v:line id="Line 927" o:spid="_x0000_s2215" style="position:absolute;visibility:visible;mso-wrap-style:square" from="11999,3429" to="11999,4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">
                  <v:stroke endarrow="block"/>
                </v:line>
                <v:line id="Line 928" o:spid="_x0000_s2216" style="position:absolute;visibility:visible;mso-wrap-style:square" from="17332,3428" to="17332,45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">
                  <v:stroke endarrow="block"/>
                </v:line>
                <v:line id="Line 929" o:spid="_x0000_s2217" style="position:absolute;visibility:visible;mso-wrap-style:square" from="22361,3428" to="22361,45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">
                  <v:stroke endarrow="block"/>
                </v:line>
                <v:line id="Line 930" o:spid="_x0000_s2218" style="position:absolute;visibility:visible;mso-wrap-style:square" from="28384,3429" to="28384,4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">
                  <v:stroke endarrow="block"/>
                </v:line>
                <v:line id="Line 931" o:spid="_x0000_s2219" style="position:absolute;visibility:visible;mso-wrap-style:square" from="33910,3428" to="33910,45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">
                  <v:stroke endarrow="block"/>
                </v:line>
              </v:group>
            </w:pict>
          </mc:Fallback>
        </mc:AlternateContent>
      </w:r>
    </w:p>
    <w:p w:rsidR="00B233DE" w:rsidRDefault="00B233DE" w:rsidP="00B233DE">
      <w:pPr>
        <w:pStyle w:val="afc"/>
        <w:spacing w:line="240" w:lineRule="auto"/>
        <w:rPr>
          <w:sz w:val="21"/>
          <w:szCs w:val="21"/>
        </w:rPr>
      </w:pPr>
    </w:p>
    <w:p w:rsidR="00B233DE" w:rsidRDefault="00B233DE" w:rsidP="00B233DE">
      <w:pPr>
        <w:pStyle w:val="afc"/>
        <w:spacing w:line="240" w:lineRule="auto"/>
        <w:rPr>
          <w:sz w:val="21"/>
          <w:szCs w:val="21"/>
        </w:rPr>
      </w:pPr>
    </w:p>
    <w:p w:rsidR="00B233DE" w:rsidRDefault="00B233DE" w:rsidP="00B233DE">
      <w:pPr>
        <w:pStyle w:val="afc"/>
        <w:spacing w:line="240" w:lineRule="auto"/>
        <w:rPr>
          <w:sz w:val="21"/>
          <w:szCs w:val="21"/>
        </w:rPr>
      </w:pPr>
    </w:p>
    <w:p w:rsidR="00B233DE" w:rsidRDefault="00B233DE" w:rsidP="00B233DE">
      <w:pPr>
        <w:pStyle w:val="afc"/>
        <w:spacing w:line="240" w:lineRule="auto"/>
        <w:rPr>
          <w:sz w:val="21"/>
          <w:szCs w:val="21"/>
        </w:rPr>
      </w:pPr>
    </w:p>
    <w:p w:rsidR="00B233DE" w:rsidRDefault="00B233DE" w:rsidP="00B233DE">
      <w:pPr>
        <w:pStyle w:val="afc"/>
        <w:spacing w:line="240" w:lineRule="auto"/>
        <w:rPr>
          <w:sz w:val="21"/>
          <w:szCs w:val="21"/>
        </w:rPr>
      </w:pPr>
    </w:p>
    <w:p w:rsidR="00B233DE" w:rsidRDefault="00B233DE" w:rsidP="00B233DE">
      <w:pPr>
        <w:pStyle w:val="afc"/>
        <w:spacing w:line="240" w:lineRule="auto"/>
        <w:rPr>
          <w:sz w:val="21"/>
          <w:szCs w:val="21"/>
        </w:rPr>
      </w:pPr>
    </w:p>
    <w:p w:rsidR="00B233DE" w:rsidRDefault="00B233DE" w:rsidP="00B233DE">
      <w:pPr>
        <w:pStyle w:val="afc"/>
        <w:spacing w:line="240" w:lineRule="auto"/>
        <w:rPr>
          <w:sz w:val="21"/>
          <w:szCs w:val="21"/>
        </w:rPr>
      </w:pPr>
    </w:p>
    <w:p w:rsidR="00B233DE" w:rsidRDefault="00B233DE" w:rsidP="00B233DE">
      <w:pPr>
        <w:pStyle w:val="afc"/>
        <w:spacing w:line="240" w:lineRule="auto"/>
        <w:rPr>
          <w:sz w:val="21"/>
          <w:szCs w:val="21"/>
        </w:rPr>
      </w:pPr>
    </w:p>
    <w:p w:rsidR="00B233DE" w:rsidRPr="00E97553" w:rsidRDefault="00B233DE" w:rsidP="00B233DE">
      <w:pPr>
        <w:pStyle w:val="afc"/>
        <w:spacing w:line="240" w:lineRule="auto"/>
        <w:rPr>
          <w:sz w:val="21"/>
          <w:szCs w:val="21"/>
        </w:rPr>
      </w:pPr>
    </w:p>
    <w:p w:rsidR="00B233DE" w:rsidRDefault="00B233DE" w:rsidP="00B233DE">
      <w:pPr>
        <w:ind w:firstLine="708"/>
        <w:jc w:val="both"/>
        <w:rPr>
          <w:rFonts w:ascii="Times New Roman" w:hAnsi="Times New Roman" w:cs="Times New Roman"/>
          <w:sz w:val="21"/>
          <w:szCs w:val="21"/>
        </w:rPr>
      </w:pPr>
    </w:p>
    <w:p w:rsidR="00B233DE" w:rsidRDefault="00B233DE" w:rsidP="00B233DE">
      <w:pPr>
        <w:ind w:firstLine="708"/>
        <w:jc w:val="both"/>
        <w:rPr>
          <w:rFonts w:ascii="Times New Roman" w:hAnsi="Times New Roman" w:cs="Times New Roman"/>
          <w:sz w:val="21"/>
          <w:szCs w:val="21"/>
        </w:rPr>
      </w:pPr>
    </w:p>
    <w:p w:rsidR="00B233DE" w:rsidRPr="00FC5E66" w:rsidRDefault="00B233DE" w:rsidP="00B233DE">
      <w:pPr>
        <w:ind w:firstLine="708"/>
        <w:jc w:val="both"/>
        <w:rPr>
          <w:rFonts w:ascii="Times New Roman" w:hAnsi="Times New Roman" w:cs="Times New Roman"/>
          <w:sz w:val="21"/>
          <w:szCs w:val="21"/>
        </w:rPr>
      </w:pPr>
    </w:p>
    <w:p w:rsidR="00B233DE" w:rsidRPr="00F9695A" w:rsidRDefault="00B233DE" w:rsidP="00B233DE">
      <w:pPr>
        <w:widowControl w:val="0"/>
        <w:spacing w:line="233" w:lineRule="auto"/>
        <w:ind w:firstLine="709"/>
        <w:contextualSpacing/>
        <w:jc w:val="both"/>
        <w:rPr>
          <w:rFonts w:ascii="Times New Roman" w:hAnsi="Times New Roman" w:cs="Times New Roman"/>
          <w:sz w:val="21"/>
          <w:szCs w:val="21"/>
        </w:rPr>
      </w:pPr>
    </w:p>
    <w:p w:rsidR="00B233DE" w:rsidRPr="00F9695A" w:rsidRDefault="00B233DE" w:rsidP="00B233DE">
      <w:pPr>
        <w:widowControl w:val="0"/>
        <w:spacing w:line="233" w:lineRule="auto"/>
        <w:ind w:firstLine="709"/>
        <w:contextualSpacing/>
        <w:jc w:val="both"/>
        <w:rPr>
          <w:rFonts w:ascii="Times New Roman" w:hAnsi="Times New Roman" w:cs="Times New Roman"/>
          <w:sz w:val="21"/>
          <w:szCs w:val="21"/>
        </w:rPr>
      </w:pPr>
    </w:p>
    <w:p w:rsidR="00B233DE" w:rsidRDefault="00B233DE" w:rsidP="00B233DE">
      <w:pPr>
        <w:widowControl w:val="0"/>
        <w:spacing w:line="233" w:lineRule="auto"/>
        <w:ind w:firstLine="709"/>
        <w:contextualSpacing/>
        <w:jc w:val="center"/>
        <w:rPr>
          <w:rFonts w:ascii="UkrainianPeterburg" w:hAnsi="UkrainianPeterburg"/>
          <w:b/>
          <w:sz w:val="21"/>
          <w:szCs w:val="21"/>
        </w:rPr>
      </w:pPr>
    </w:p>
    <w:p w:rsidR="00B233DE" w:rsidRDefault="00B233DE" w:rsidP="00B233DE">
      <w:pPr>
        <w:widowControl w:val="0"/>
        <w:spacing w:line="233" w:lineRule="auto"/>
        <w:ind w:firstLine="709"/>
        <w:contextualSpacing/>
        <w:jc w:val="center"/>
        <w:rPr>
          <w:rFonts w:ascii="UkrainianPeterburg" w:hAnsi="UkrainianPeterburg"/>
          <w:b/>
          <w:sz w:val="21"/>
          <w:szCs w:val="21"/>
        </w:rPr>
      </w:pPr>
    </w:p>
    <w:p w:rsidR="00B233DE" w:rsidRDefault="00B233DE" w:rsidP="00B233DE">
      <w:pPr>
        <w:widowControl w:val="0"/>
        <w:spacing w:line="233" w:lineRule="auto"/>
        <w:ind w:firstLine="709"/>
        <w:contextualSpacing/>
        <w:jc w:val="center"/>
        <w:rPr>
          <w:rFonts w:ascii="UkrainianPeterburg" w:hAnsi="UkrainianPeterburg"/>
          <w:b/>
          <w:sz w:val="21"/>
          <w:szCs w:val="21"/>
        </w:rPr>
      </w:pPr>
    </w:p>
    <w:p w:rsidR="00B233DE" w:rsidRDefault="00B233DE" w:rsidP="00B233DE">
      <w:pPr>
        <w:widowControl w:val="0"/>
        <w:spacing w:line="233" w:lineRule="auto"/>
        <w:ind w:firstLine="709"/>
        <w:contextualSpacing/>
        <w:jc w:val="center"/>
        <w:rPr>
          <w:rFonts w:ascii="UkrainianPeterburg" w:hAnsi="UkrainianPeterburg"/>
          <w:b/>
          <w:sz w:val="21"/>
          <w:szCs w:val="21"/>
        </w:rPr>
      </w:pPr>
    </w:p>
    <w:p w:rsidR="00B233DE" w:rsidRPr="00356174" w:rsidRDefault="00B233DE" w:rsidP="00B233DE">
      <w:pPr>
        <w:tabs>
          <w:tab w:val="left" w:pos="900"/>
          <w:tab w:val="left" w:pos="1232"/>
        </w:tabs>
        <w:ind w:firstLine="709"/>
        <w:jc w:val="center"/>
        <w:rPr>
          <w:rFonts w:ascii="Times New Roman" w:hAnsi="Times New Roman" w:cs="Times New Roman"/>
          <w:b/>
          <w:sz w:val="21"/>
          <w:szCs w:val="21"/>
        </w:rPr>
      </w:pPr>
      <w:r w:rsidRPr="00356174">
        <w:rPr>
          <w:rFonts w:ascii="Times New Roman" w:hAnsi="Times New Roman" w:cs="Times New Roman"/>
          <w:b/>
          <w:sz w:val="21"/>
          <w:szCs w:val="21"/>
        </w:rPr>
        <w:t>Рис. 5.5. Класифікація видів державної соціальної політики [</w:t>
      </w:r>
      <w:r>
        <w:rPr>
          <w:rFonts w:ascii="Times New Roman" w:hAnsi="Times New Roman" w:cs="Times New Roman"/>
          <w:b/>
          <w:bCs/>
          <w:kern w:val="36"/>
          <w:sz w:val="21"/>
          <w:szCs w:val="21"/>
          <w:highlight w:val="yellow"/>
        </w:rPr>
        <w:fldChar w:fldCharType="begin"/>
      </w:r>
      <w:r>
        <w:rPr>
          <w:rFonts w:ascii="Times New Roman" w:hAnsi="Times New Roman" w:cs="Times New Roman"/>
          <w:b/>
          <w:sz w:val="21"/>
          <w:szCs w:val="21"/>
        </w:rPr>
        <w:instrText xml:space="preserve"> REF _Ref435620837 \r \h </w:instrText>
      </w:r>
      <w:r>
        <w:rPr>
          <w:rFonts w:ascii="Times New Roman" w:hAnsi="Times New Roman" w:cs="Times New Roman"/>
          <w:b/>
          <w:bCs/>
          <w:kern w:val="36"/>
          <w:sz w:val="21"/>
          <w:szCs w:val="21"/>
          <w:highlight w:val="yellow"/>
        </w:rPr>
      </w:r>
      <w:r>
        <w:rPr>
          <w:rFonts w:ascii="Times New Roman" w:hAnsi="Times New Roman" w:cs="Times New Roman"/>
          <w:b/>
          <w:bCs/>
          <w:kern w:val="36"/>
          <w:sz w:val="21"/>
          <w:szCs w:val="21"/>
          <w:highlight w:val="yellow"/>
        </w:rPr>
        <w:fldChar w:fldCharType="separate"/>
      </w:r>
      <w:r>
        <w:rPr>
          <w:rFonts w:ascii="Times New Roman" w:hAnsi="Times New Roman" w:cs="Times New Roman"/>
          <w:b/>
          <w:sz w:val="21"/>
          <w:szCs w:val="21"/>
        </w:rPr>
        <w:t>41</w:t>
      </w:r>
      <w:r>
        <w:rPr>
          <w:rFonts w:ascii="Times New Roman" w:hAnsi="Times New Roman" w:cs="Times New Roman"/>
          <w:b/>
          <w:bCs/>
          <w:kern w:val="36"/>
          <w:sz w:val="21"/>
          <w:szCs w:val="21"/>
          <w:highlight w:val="yellow"/>
        </w:rPr>
        <w:fldChar w:fldCharType="end"/>
      </w:r>
      <w:r w:rsidRPr="00356174">
        <w:rPr>
          <w:rFonts w:ascii="Times New Roman" w:hAnsi="Times New Roman" w:cs="Times New Roman"/>
          <w:b/>
          <w:sz w:val="21"/>
          <w:szCs w:val="21"/>
        </w:rPr>
        <w:t>, с. 17]</w:t>
      </w:r>
    </w:p>
    <w:p w:rsidR="00B233DE" w:rsidRPr="00356174" w:rsidRDefault="00B233DE" w:rsidP="00B233DE">
      <w:pPr>
        <w:pStyle w:val="afc"/>
        <w:spacing w:line="240" w:lineRule="auto"/>
        <w:rPr>
          <w:sz w:val="21"/>
          <w:szCs w:val="21"/>
        </w:rPr>
      </w:pPr>
    </w:p>
    <w:p w:rsidR="00B233DE" w:rsidRDefault="00B233DE" w:rsidP="00B233DE">
      <w:pPr>
        <w:tabs>
          <w:tab w:val="left" w:pos="900"/>
          <w:tab w:val="left" w:pos="1400"/>
          <w:tab w:val="left" w:pos="1428"/>
        </w:tabs>
        <w:ind w:firstLine="709"/>
        <w:jc w:val="both"/>
        <w:rPr>
          <w:rFonts w:ascii="Times New Roman" w:hAnsi="Times New Roman" w:cs="Times New Roman"/>
          <w:sz w:val="21"/>
          <w:szCs w:val="21"/>
        </w:rPr>
      </w:pPr>
      <w:r>
        <w:rPr>
          <w:rFonts w:ascii="Times New Roman" w:hAnsi="Times New Roman" w:cs="Times New Roman"/>
          <w:sz w:val="21"/>
          <w:szCs w:val="21"/>
        </w:rPr>
        <w:t>П</w:t>
      </w:r>
      <w:r w:rsidRPr="00356174">
        <w:rPr>
          <w:rFonts w:ascii="Times New Roman" w:hAnsi="Times New Roman" w:cs="Times New Roman"/>
          <w:sz w:val="21"/>
          <w:szCs w:val="21"/>
        </w:rPr>
        <w:t xml:space="preserve">олітика </w:t>
      </w:r>
      <w:r w:rsidRPr="00356174">
        <w:rPr>
          <w:rFonts w:ascii="Times New Roman" w:hAnsi="Times New Roman" w:cs="Times New Roman"/>
          <w:iCs/>
          <w:sz w:val="21"/>
          <w:szCs w:val="21"/>
        </w:rPr>
        <w:t>розподілу і пер</w:t>
      </w:r>
      <w:r>
        <w:rPr>
          <w:rFonts w:ascii="Times New Roman" w:hAnsi="Times New Roman" w:cs="Times New Roman"/>
          <w:iCs/>
          <w:sz w:val="21"/>
          <w:szCs w:val="21"/>
        </w:rPr>
        <w:t>ерозподілу суспільного продукту</w:t>
      </w:r>
      <w:r w:rsidRPr="00356174">
        <w:rPr>
          <w:rFonts w:ascii="Times New Roman" w:hAnsi="Times New Roman" w:cs="Times New Roman"/>
          <w:iCs/>
          <w:sz w:val="21"/>
          <w:szCs w:val="21"/>
        </w:rPr>
        <w:t xml:space="preserve"> охоплює </w:t>
      </w:r>
      <w:r w:rsidRPr="00356174">
        <w:rPr>
          <w:rFonts w:ascii="Times New Roman" w:hAnsi="Times New Roman" w:cs="Times New Roman"/>
          <w:sz w:val="21"/>
          <w:szCs w:val="21"/>
        </w:rPr>
        <w:t>політику формування доходів населення, політику стимулювання найманої праці, політику оподаткува</w:t>
      </w:r>
      <w:r>
        <w:rPr>
          <w:rFonts w:ascii="Times New Roman" w:hAnsi="Times New Roman" w:cs="Times New Roman"/>
          <w:sz w:val="21"/>
          <w:szCs w:val="21"/>
        </w:rPr>
        <w:t xml:space="preserve">ння доходів і майна населення, </w:t>
      </w:r>
      <w:r w:rsidRPr="00356174">
        <w:rPr>
          <w:rFonts w:ascii="Times New Roman" w:hAnsi="Times New Roman" w:cs="Times New Roman"/>
          <w:sz w:val="21"/>
          <w:szCs w:val="21"/>
        </w:rPr>
        <w:t>політику прямого і непрямого оподаткування доходів, політику оподаткування нерухомості, політику індексації доходів населення, політику надання пільг (компенсацій та привілеїв),</w:t>
      </w:r>
      <w:r>
        <w:rPr>
          <w:rFonts w:ascii="Times New Roman" w:hAnsi="Times New Roman" w:cs="Times New Roman"/>
          <w:sz w:val="21"/>
          <w:szCs w:val="21"/>
        </w:rPr>
        <w:t xml:space="preserve"> політику обмеження «тіньових»</w:t>
      </w:r>
      <w:r w:rsidRPr="00356174">
        <w:rPr>
          <w:rFonts w:ascii="Times New Roman" w:hAnsi="Times New Roman" w:cs="Times New Roman"/>
          <w:sz w:val="21"/>
          <w:szCs w:val="21"/>
        </w:rPr>
        <w:t xml:space="preserve"> доходів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_Ref435620845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115</w:t>
      </w:r>
      <w:r>
        <w:rPr>
          <w:rFonts w:ascii="Times New Roman" w:hAnsi="Times New Roman" w:cs="Times New Roman"/>
          <w:sz w:val="21"/>
          <w:szCs w:val="21"/>
          <w:highlight w:val="yellow"/>
        </w:rPr>
        <w:fldChar w:fldCharType="end"/>
      </w:r>
      <w:r>
        <w:rPr>
          <w:rFonts w:ascii="Times New Roman" w:hAnsi="Times New Roman" w:cs="Times New Roman"/>
          <w:sz w:val="21"/>
          <w:szCs w:val="21"/>
        </w:rPr>
        <w:t>].</w:t>
      </w:r>
    </w:p>
    <w:p w:rsidR="00B233DE" w:rsidRDefault="00B233DE" w:rsidP="00B233DE">
      <w:pPr>
        <w:tabs>
          <w:tab w:val="left" w:pos="900"/>
          <w:tab w:val="left" w:pos="1400"/>
          <w:tab w:val="left" w:pos="1428"/>
        </w:tabs>
        <w:ind w:firstLine="709"/>
        <w:jc w:val="both"/>
        <w:rPr>
          <w:rFonts w:ascii="Times New Roman" w:hAnsi="Times New Roman" w:cs="Times New Roman"/>
          <w:sz w:val="21"/>
          <w:szCs w:val="21"/>
        </w:rPr>
      </w:pPr>
      <w:r>
        <w:rPr>
          <w:rFonts w:ascii="Times New Roman" w:hAnsi="Times New Roman" w:cs="Times New Roman"/>
          <w:sz w:val="21"/>
          <w:szCs w:val="21"/>
        </w:rPr>
        <w:t>Д</w:t>
      </w:r>
      <w:r w:rsidRPr="00356174">
        <w:rPr>
          <w:rFonts w:ascii="Times New Roman" w:hAnsi="Times New Roman" w:cs="Times New Roman"/>
          <w:sz w:val="21"/>
          <w:szCs w:val="21"/>
        </w:rPr>
        <w:t>ержавна політи</w:t>
      </w:r>
      <w:r>
        <w:rPr>
          <w:rFonts w:ascii="Times New Roman" w:hAnsi="Times New Roman" w:cs="Times New Roman"/>
          <w:sz w:val="21"/>
          <w:szCs w:val="21"/>
        </w:rPr>
        <w:t xml:space="preserve">ка зайнятості та охорони праці </w:t>
      </w:r>
      <w:r w:rsidRPr="00356174">
        <w:rPr>
          <w:rFonts w:ascii="Times New Roman" w:hAnsi="Times New Roman" w:cs="Times New Roman"/>
          <w:sz w:val="21"/>
          <w:szCs w:val="21"/>
        </w:rPr>
        <w:t xml:space="preserve">охоплює політику регулювання ринку праці й забезпечення ефективної зайнятості населення, політику організації та нормування праці, політику забезпечення безпечних умов праці, політику страхування </w:t>
      </w:r>
      <w:r w:rsidRPr="006C7057">
        <w:rPr>
          <w:rFonts w:ascii="Times New Roman" w:hAnsi="Times New Roman" w:cs="Times New Roman"/>
          <w:spacing w:val="-4"/>
          <w:sz w:val="21"/>
          <w:szCs w:val="21"/>
        </w:rPr>
        <w:t>праці (в разі безробіття, хвороби або каліцтва), політику забезпечен</w:t>
      </w:r>
      <w:r w:rsidRPr="00356174">
        <w:rPr>
          <w:rFonts w:ascii="Times New Roman" w:hAnsi="Times New Roman" w:cs="Times New Roman"/>
          <w:sz w:val="21"/>
          <w:szCs w:val="21"/>
        </w:rPr>
        <w:t>ня справедливого вирішення виробничих колективн</w:t>
      </w:r>
      <w:r>
        <w:rPr>
          <w:rFonts w:ascii="Times New Roman" w:hAnsi="Times New Roman" w:cs="Times New Roman"/>
          <w:sz w:val="21"/>
          <w:szCs w:val="21"/>
        </w:rPr>
        <w:t>их спорів і трудо-вих конфліктів.</w:t>
      </w:r>
    </w:p>
    <w:p w:rsidR="00B233DE" w:rsidRDefault="00B233DE" w:rsidP="00B233DE">
      <w:pPr>
        <w:tabs>
          <w:tab w:val="left" w:pos="900"/>
          <w:tab w:val="left" w:pos="1400"/>
          <w:tab w:val="left" w:pos="1428"/>
        </w:tabs>
        <w:ind w:firstLine="709"/>
        <w:jc w:val="both"/>
        <w:rPr>
          <w:rFonts w:ascii="Times New Roman" w:hAnsi="Times New Roman" w:cs="Times New Roman"/>
          <w:sz w:val="21"/>
          <w:szCs w:val="21"/>
        </w:rPr>
      </w:pPr>
      <w:r>
        <w:rPr>
          <w:rFonts w:ascii="Times New Roman" w:hAnsi="Times New Roman" w:cs="Times New Roman"/>
          <w:sz w:val="21"/>
          <w:szCs w:val="21"/>
        </w:rPr>
        <w:t>Д</w:t>
      </w:r>
      <w:r w:rsidRPr="00356174">
        <w:rPr>
          <w:rFonts w:ascii="Times New Roman" w:hAnsi="Times New Roman" w:cs="Times New Roman"/>
          <w:sz w:val="21"/>
          <w:szCs w:val="21"/>
        </w:rPr>
        <w:t>ержавна політик</w:t>
      </w:r>
      <w:r>
        <w:rPr>
          <w:rFonts w:ascii="Times New Roman" w:hAnsi="Times New Roman" w:cs="Times New Roman"/>
          <w:sz w:val="21"/>
          <w:szCs w:val="21"/>
        </w:rPr>
        <w:t xml:space="preserve">а у соціально-культурній сфері має </w:t>
      </w:r>
      <w:r w:rsidRPr="00356174">
        <w:rPr>
          <w:rFonts w:ascii="Times New Roman" w:hAnsi="Times New Roman" w:cs="Times New Roman"/>
          <w:sz w:val="21"/>
          <w:szCs w:val="21"/>
        </w:rPr>
        <w:t>підвидами: державна політика у сфері освіти і науки, державна політика у сфері охорони здоров’я, житлова політика держави, державна політика у сфері культури та мистецтва, державна політика у сф</w:t>
      </w:r>
      <w:r>
        <w:rPr>
          <w:rFonts w:ascii="Times New Roman" w:hAnsi="Times New Roman" w:cs="Times New Roman"/>
          <w:sz w:val="21"/>
          <w:szCs w:val="21"/>
        </w:rPr>
        <w:t>ері фізичної культури та спорту.</w:t>
      </w:r>
    </w:p>
    <w:p w:rsidR="00B233DE" w:rsidRDefault="00B233DE" w:rsidP="00B233DE">
      <w:pPr>
        <w:tabs>
          <w:tab w:val="left" w:pos="900"/>
          <w:tab w:val="left" w:pos="1400"/>
          <w:tab w:val="left" w:pos="1428"/>
        </w:tabs>
        <w:ind w:firstLine="709"/>
        <w:jc w:val="both"/>
        <w:rPr>
          <w:rFonts w:ascii="Times New Roman" w:hAnsi="Times New Roman" w:cs="Times New Roman"/>
          <w:sz w:val="21"/>
          <w:szCs w:val="21"/>
        </w:rPr>
      </w:pPr>
      <w:r>
        <w:rPr>
          <w:rFonts w:ascii="Times New Roman" w:hAnsi="Times New Roman" w:cs="Times New Roman"/>
          <w:sz w:val="21"/>
          <w:szCs w:val="21"/>
        </w:rPr>
        <w:t>Д</w:t>
      </w:r>
      <w:r w:rsidRPr="00356174">
        <w:rPr>
          <w:rFonts w:ascii="Times New Roman" w:hAnsi="Times New Roman" w:cs="Times New Roman"/>
          <w:sz w:val="21"/>
          <w:szCs w:val="21"/>
        </w:rPr>
        <w:t>емографічна політика де</w:t>
      </w:r>
      <w:r>
        <w:rPr>
          <w:rFonts w:ascii="Times New Roman" w:hAnsi="Times New Roman" w:cs="Times New Roman"/>
          <w:sz w:val="21"/>
          <w:szCs w:val="21"/>
        </w:rPr>
        <w:t>ржави</w:t>
      </w:r>
      <w:r w:rsidRPr="00356174">
        <w:rPr>
          <w:rFonts w:ascii="Times New Roman" w:hAnsi="Times New Roman" w:cs="Times New Roman"/>
          <w:sz w:val="21"/>
          <w:szCs w:val="21"/>
        </w:rPr>
        <w:t xml:space="preserve"> охоплює політику стиму</w:t>
      </w:r>
      <w:r>
        <w:rPr>
          <w:rFonts w:ascii="Times New Roman" w:hAnsi="Times New Roman" w:cs="Times New Roman"/>
          <w:sz w:val="21"/>
          <w:szCs w:val="21"/>
        </w:rPr>
        <w:t>-</w:t>
      </w:r>
      <w:r w:rsidRPr="00356174">
        <w:rPr>
          <w:rFonts w:ascii="Times New Roman" w:hAnsi="Times New Roman" w:cs="Times New Roman"/>
          <w:sz w:val="21"/>
          <w:szCs w:val="21"/>
        </w:rPr>
        <w:t>лювання репродуктивного зростання населення, політику держав</w:t>
      </w:r>
      <w:r>
        <w:rPr>
          <w:rFonts w:ascii="Times New Roman" w:hAnsi="Times New Roman" w:cs="Times New Roman"/>
          <w:sz w:val="21"/>
          <w:szCs w:val="21"/>
        </w:rPr>
        <w:t>-</w:t>
      </w:r>
      <w:r w:rsidRPr="006C7057">
        <w:rPr>
          <w:rFonts w:ascii="Times New Roman" w:hAnsi="Times New Roman" w:cs="Times New Roman"/>
          <w:spacing w:val="-4"/>
          <w:sz w:val="21"/>
          <w:szCs w:val="21"/>
        </w:rPr>
        <w:t>ної допомоги сім’ї, геронтологічну політику та міграційну політику.</w:t>
      </w:r>
    </w:p>
    <w:p w:rsidR="00B233DE" w:rsidRDefault="00B233DE" w:rsidP="00B233DE">
      <w:pPr>
        <w:tabs>
          <w:tab w:val="left" w:pos="900"/>
          <w:tab w:val="left" w:pos="1400"/>
          <w:tab w:val="left" w:pos="1428"/>
        </w:tabs>
        <w:ind w:firstLine="709"/>
        <w:jc w:val="both"/>
        <w:rPr>
          <w:rFonts w:ascii="Times New Roman" w:hAnsi="Times New Roman" w:cs="Times New Roman"/>
          <w:sz w:val="21"/>
          <w:szCs w:val="21"/>
        </w:rPr>
      </w:pPr>
      <w:r>
        <w:rPr>
          <w:rFonts w:ascii="Times New Roman" w:hAnsi="Times New Roman" w:cs="Times New Roman"/>
          <w:sz w:val="21"/>
          <w:szCs w:val="21"/>
        </w:rPr>
        <w:t>Д</w:t>
      </w:r>
      <w:r w:rsidRPr="00356174">
        <w:rPr>
          <w:rFonts w:ascii="Times New Roman" w:hAnsi="Times New Roman" w:cs="Times New Roman"/>
          <w:sz w:val="21"/>
          <w:szCs w:val="21"/>
        </w:rPr>
        <w:t>ержавна політика у сфері</w:t>
      </w:r>
      <w:r>
        <w:rPr>
          <w:rFonts w:ascii="Times New Roman" w:hAnsi="Times New Roman" w:cs="Times New Roman"/>
          <w:sz w:val="21"/>
          <w:szCs w:val="21"/>
        </w:rPr>
        <w:t xml:space="preserve"> соціального захисту населення у своєму складі має: </w:t>
      </w:r>
      <w:r w:rsidRPr="00356174">
        <w:rPr>
          <w:rFonts w:ascii="Times New Roman" w:hAnsi="Times New Roman" w:cs="Times New Roman"/>
          <w:sz w:val="21"/>
          <w:szCs w:val="21"/>
        </w:rPr>
        <w:t>державн</w:t>
      </w:r>
      <w:r>
        <w:rPr>
          <w:rFonts w:ascii="Times New Roman" w:hAnsi="Times New Roman" w:cs="Times New Roman"/>
          <w:sz w:val="21"/>
          <w:szCs w:val="21"/>
        </w:rPr>
        <w:t>у</w:t>
      </w:r>
      <w:r w:rsidRPr="00356174">
        <w:rPr>
          <w:rFonts w:ascii="Times New Roman" w:hAnsi="Times New Roman" w:cs="Times New Roman"/>
          <w:sz w:val="21"/>
          <w:szCs w:val="21"/>
        </w:rPr>
        <w:t xml:space="preserve"> політик</w:t>
      </w:r>
      <w:r>
        <w:rPr>
          <w:rFonts w:ascii="Times New Roman" w:hAnsi="Times New Roman" w:cs="Times New Roman"/>
          <w:sz w:val="21"/>
          <w:szCs w:val="21"/>
        </w:rPr>
        <w:t>у</w:t>
      </w:r>
      <w:r w:rsidRPr="00356174">
        <w:rPr>
          <w:rFonts w:ascii="Times New Roman" w:hAnsi="Times New Roman" w:cs="Times New Roman"/>
          <w:sz w:val="21"/>
          <w:szCs w:val="21"/>
        </w:rPr>
        <w:t xml:space="preserve"> соціального забезпечення населення (політика пенсійного забезпечення держави, політика державної соціальної допомоги, політика у сфері надання соціаль</w:t>
      </w:r>
      <w:r>
        <w:rPr>
          <w:rFonts w:ascii="Times New Roman" w:hAnsi="Times New Roman" w:cs="Times New Roman"/>
          <w:sz w:val="21"/>
          <w:szCs w:val="21"/>
        </w:rPr>
        <w:t>-</w:t>
      </w:r>
      <w:r w:rsidRPr="00356174">
        <w:rPr>
          <w:rFonts w:ascii="Times New Roman" w:hAnsi="Times New Roman" w:cs="Times New Roman"/>
          <w:sz w:val="21"/>
          <w:szCs w:val="21"/>
        </w:rPr>
        <w:t>них послуг), державн</w:t>
      </w:r>
      <w:r>
        <w:rPr>
          <w:rFonts w:ascii="Times New Roman" w:hAnsi="Times New Roman" w:cs="Times New Roman"/>
          <w:sz w:val="21"/>
          <w:szCs w:val="21"/>
        </w:rPr>
        <w:t>у</w:t>
      </w:r>
      <w:r w:rsidRPr="00356174">
        <w:rPr>
          <w:rFonts w:ascii="Times New Roman" w:hAnsi="Times New Roman" w:cs="Times New Roman"/>
          <w:sz w:val="21"/>
          <w:szCs w:val="21"/>
        </w:rPr>
        <w:t xml:space="preserve"> політик</w:t>
      </w:r>
      <w:r>
        <w:rPr>
          <w:rFonts w:ascii="Times New Roman" w:hAnsi="Times New Roman" w:cs="Times New Roman"/>
          <w:sz w:val="21"/>
          <w:szCs w:val="21"/>
        </w:rPr>
        <w:t>у</w:t>
      </w:r>
      <w:r w:rsidRPr="00356174">
        <w:rPr>
          <w:rFonts w:ascii="Times New Roman" w:hAnsi="Times New Roman" w:cs="Times New Roman"/>
          <w:sz w:val="21"/>
          <w:szCs w:val="21"/>
        </w:rPr>
        <w:t xml:space="preserve"> у сфері обов’язкового соціального страхування та політик</w:t>
      </w:r>
      <w:r>
        <w:rPr>
          <w:rFonts w:ascii="Times New Roman" w:hAnsi="Times New Roman" w:cs="Times New Roman"/>
          <w:sz w:val="21"/>
          <w:szCs w:val="21"/>
        </w:rPr>
        <w:t>у</w:t>
      </w:r>
      <w:r w:rsidRPr="00356174">
        <w:rPr>
          <w:rFonts w:ascii="Times New Roman" w:hAnsi="Times New Roman" w:cs="Times New Roman"/>
          <w:sz w:val="21"/>
          <w:szCs w:val="21"/>
        </w:rPr>
        <w:t xml:space="preserve"> у сфері</w:t>
      </w:r>
      <w:r>
        <w:rPr>
          <w:rFonts w:ascii="Times New Roman" w:hAnsi="Times New Roman" w:cs="Times New Roman"/>
          <w:sz w:val="21"/>
          <w:szCs w:val="21"/>
        </w:rPr>
        <w:t xml:space="preserve"> державних соціальних гарантій).</w:t>
      </w:r>
    </w:p>
    <w:p w:rsidR="00B233DE" w:rsidRDefault="00B233DE" w:rsidP="00B233DE">
      <w:pPr>
        <w:tabs>
          <w:tab w:val="left" w:pos="900"/>
          <w:tab w:val="left" w:pos="1400"/>
          <w:tab w:val="left" w:pos="1428"/>
        </w:tabs>
        <w:ind w:firstLine="709"/>
        <w:jc w:val="both"/>
        <w:rPr>
          <w:rFonts w:ascii="Times New Roman" w:hAnsi="Times New Roman" w:cs="Times New Roman"/>
          <w:sz w:val="21"/>
          <w:szCs w:val="21"/>
        </w:rPr>
      </w:pPr>
      <w:r>
        <w:rPr>
          <w:rFonts w:ascii="Times New Roman" w:hAnsi="Times New Roman" w:cs="Times New Roman"/>
          <w:sz w:val="21"/>
          <w:szCs w:val="21"/>
        </w:rPr>
        <w:t>С</w:t>
      </w:r>
      <w:r w:rsidRPr="00356174">
        <w:rPr>
          <w:rFonts w:ascii="Times New Roman" w:hAnsi="Times New Roman" w:cs="Times New Roman"/>
          <w:sz w:val="21"/>
          <w:szCs w:val="21"/>
        </w:rPr>
        <w:t>оціо</w:t>
      </w:r>
      <w:r>
        <w:rPr>
          <w:rFonts w:ascii="Times New Roman" w:hAnsi="Times New Roman" w:cs="Times New Roman"/>
          <w:sz w:val="21"/>
          <w:szCs w:val="21"/>
        </w:rPr>
        <w:t>екологічна політика держави</w:t>
      </w:r>
      <w:r w:rsidRPr="00356174">
        <w:rPr>
          <w:rFonts w:ascii="Times New Roman" w:hAnsi="Times New Roman" w:cs="Times New Roman"/>
          <w:sz w:val="21"/>
          <w:szCs w:val="21"/>
        </w:rPr>
        <w:t xml:space="preserve"> спрямована на створен</w:t>
      </w:r>
      <w:r>
        <w:rPr>
          <w:rFonts w:ascii="Times New Roman" w:hAnsi="Times New Roman" w:cs="Times New Roman"/>
          <w:sz w:val="21"/>
          <w:szCs w:val="21"/>
        </w:rPr>
        <w:t>-</w:t>
      </w:r>
      <w:r w:rsidRPr="00356174">
        <w:rPr>
          <w:rFonts w:ascii="Times New Roman" w:hAnsi="Times New Roman" w:cs="Times New Roman"/>
          <w:sz w:val="21"/>
          <w:szCs w:val="21"/>
        </w:rPr>
        <w:t>ня здорових, сприятливих умов для праці, життя та відпочин</w:t>
      </w:r>
      <w:r>
        <w:rPr>
          <w:rFonts w:ascii="Times New Roman" w:hAnsi="Times New Roman" w:cs="Times New Roman"/>
          <w:sz w:val="21"/>
          <w:szCs w:val="21"/>
        </w:rPr>
        <w:t>ку.</w:t>
      </w:r>
    </w:p>
    <w:p w:rsidR="00B233DE" w:rsidRPr="00356174" w:rsidRDefault="00B233DE" w:rsidP="00B233DE">
      <w:pPr>
        <w:tabs>
          <w:tab w:val="left" w:pos="900"/>
          <w:tab w:val="left" w:pos="1400"/>
          <w:tab w:val="left" w:pos="1428"/>
        </w:tabs>
        <w:ind w:firstLine="709"/>
        <w:jc w:val="both"/>
        <w:rPr>
          <w:rFonts w:ascii="Times New Roman" w:hAnsi="Times New Roman" w:cs="Times New Roman"/>
          <w:sz w:val="21"/>
          <w:szCs w:val="21"/>
        </w:rPr>
      </w:pPr>
      <w:r>
        <w:rPr>
          <w:rFonts w:ascii="Times New Roman" w:hAnsi="Times New Roman" w:cs="Times New Roman"/>
          <w:sz w:val="21"/>
          <w:szCs w:val="21"/>
        </w:rPr>
        <w:t>П</w:t>
      </w:r>
      <w:r w:rsidRPr="00356174">
        <w:rPr>
          <w:rFonts w:ascii="Times New Roman" w:hAnsi="Times New Roman" w:cs="Times New Roman"/>
          <w:sz w:val="21"/>
          <w:szCs w:val="21"/>
        </w:rPr>
        <w:t>олітика гармонізації с</w:t>
      </w:r>
      <w:r>
        <w:rPr>
          <w:rFonts w:ascii="Times New Roman" w:hAnsi="Times New Roman" w:cs="Times New Roman"/>
          <w:sz w:val="21"/>
          <w:szCs w:val="21"/>
        </w:rPr>
        <w:t xml:space="preserve">оціально-економічних інтересів </w:t>
      </w:r>
      <w:r w:rsidRPr="00356174">
        <w:rPr>
          <w:rFonts w:ascii="Times New Roman" w:hAnsi="Times New Roman" w:cs="Times New Roman"/>
          <w:sz w:val="21"/>
          <w:szCs w:val="21"/>
        </w:rPr>
        <w:t>охоплює молодіжну політику, гендерну політику, сімейну політику, політику захисту прав споживачів.</w:t>
      </w:r>
    </w:p>
    <w:p w:rsidR="00B233DE" w:rsidRPr="00356174" w:rsidRDefault="00B233DE" w:rsidP="00B233DE">
      <w:pPr>
        <w:pStyle w:val="afc"/>
        <w:spacing w:line="240" w:lineRule="auto"/>
        <w:rPr>
          <w:sz w:val="21"/>
          <w:szCs w:val="21"/>
        </w:rPr>
      </w:pPr>
      <w:r w:rsidRPr="00356174">
        <w:rPr>
          <w:sz w:val="21"/>
          <w:szCs w:val="21"/>
        </w:rPr>
        <w:t xml:space="preserve">Зaпропoнoвaнa клacифікaція державної cоціальнoї політики дозволить cтруктуризувати найважливіші напрями і заходи цієї </w:t>
      </w:r>
      <w:r w:rsidRPr="00356174">
        <w:rPr>
          <w:sz w:val="21"/>
          <w:szCs w:val="21"/>
        </w:rPr>
        <w:lastRenderedPageBreak/>
        <w:t>політики, оптимізувати її cкладoві відпoвіднo дo мети, принципів, зaвдaнь, суб’єктів та об’єктів із урахуванням ефективності реалізації.</w:t>
      </w:r>
    </w:p>
    <w:p w:rsidR="00B233DE" w:rsidRPr="00356174"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t>Соціальна політика є однією з найбільш значущих сфер інтересів сучасного суспільства і найважливішою частиною діяльності с</w:t>
      </w:r>
      <w:r>
        <w:rPr>
          <w:rFonts w:ascii="Times New Roman" w:hAnsi="Times New Roman" w:cs="Times New Roman"/>
          <w:sz w:val="21"/>
          <w:szCs w:val="21"/>
        </w:rPr>
        <w:t>учасної держави. Вона тісно пов’</w:t>
      </w:r>
      <w:r w:rsidRPr="00356174">
        <w:rPr>
          <w:rFonts w:ascii="Times New Roman" w:hAnsi="Times New Roman" w:cs="Times New Roman"/>
          <w:sz w:val="21"/>
          <w:szCs w:val="21"/>
        </w:rPr>
        <w:t>язана з типом суспільства і рівнем його розвитку, з пануючою ментальністю населення, з тими цілями і завданнями, які ставить суспільство перед собою. Стабілізація і підвищення життєвого рівня населення, на наш погляд, є одними з пріоритетних завдань державної політики і потребують формулювання чіткої і зваженої соціальної стратегії.</w:t>
      </w:r>
    </w:p>
    <w:p w:rsidR="00B233DE" w:rsidRPr="00356174"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t>Створення оптимальної соціальної політики особлив</w:t>
      </w:r>
      <w:r>
        <w:rPr>
          <w:rFonts w:ascii="Times New Roman" w:hAnsi="Times New Roman" w:cs="Times New Roman"/>
          <w:sz w:val="21"/>
          <w:szCs w:val="21"/>
        </w:rPr>
        <w:t>о</w:t>
      </w:r>
      <w:r w:rsidRPr="00356174">
        <w:rPr>
          <w:rFonts w:ascii="Times New Roman" w:hAnsi="Times New Roman" w:cs="Times New Roman"/>
          <w:sz w:val="21"/>
          <w:szCs w:val="21"/>
        </w:rPr>
        <w:t xml:space="preserve"> актуальн</w:t>
      </w:r>
      <w:r>
        <w:rPr>
          <w:rFonts w:ascii="Times New Roman" w:hAnsi="Times New Roman" w:cs="Times New Roman"/>
          <w:sz w:val="21"/>
          <w:szCs w:val="21"/>
        </w:rPr>
        <w:t>е</w:t>
      </w:r>
      <w:r w:rsidRPr="00356174">
        <w:rPr>
          <w:rFonts w:ascii="Times New Roman" w:hAnsi="Times New Roman" w:cs="Times New Roman"/>
          <w:sz w:val="21"/>
          <w:szCs w:val="21"/>
        </w:rPr>
        <w:t xml:space="preserve"> для країн перехідного типу, до яких певною мірою належить і Україна. Відсутність чіткої концепції соціальної політики в Україні упродовж тривалого періоду привела до зростання соціальної напруги і поглиблення соціальних протиріч. Тому проблема формування </w:t>
      </w:r>
      <w:r>
        <w:rPr>
          <w:rFonts w:ascii="Times New Roman" w:hAnsi="Times New Roman" w:cs="Times New Roman"/>
          <w:sz w:val="21"/>
          <w:szCs w:val="21"/>
        </w:rPr>
        <w:t>ефективної</w:t>
      </w:r>
      <w:r w:rsidRPr="00356174">
        <w:rPr>
          <w:rFonts w:ascii="Times New Roman" w:hAnsi="Times New Roman" w:cs="Times New Roman"/>
          <w:sz w:val="21"/>
          <w:szCs w:val="21"/>
        </w:rPr>
        <w:t xml:space="preserve"> і скоординованої соціаль</w:t>
      </w:r>
      <w:r>
        <w:rPr>
          <w:rFonts w:ascii="Times New Roman" w:hAnsi="Times New Roman" w:cs="Times New Roman"/>
          <w:sz w:val="21"/>
          <w:szCs w:val="21"/>
        </w:rPr>
        <w:t xml:space="preserve">ної політики є украй важливою.  </w:t>
      </w:r>
      <w:r w:rsidRPr="00356174">
        <w:rPr>
          <w:rFonts w:ascii="Times New Roman" w:hAnsi="Times New Roman" w:cs="Times New Roman"/>
          <w:sz w:val="21"/>
          <w:szCs w:val="21"/>
        </w:rPr>
        <w:t>Україна потребує коригування системи соціального захисту і формування власної моделі соціальної політики з урахуванням, як зарубіжного досвіду, так і національних особливостей.</w:t>
      </w:r>
    </w:p>
    <w:p w:rsidR="00B233DE" w:rsidRPr="00356174"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t>Цілі соціальної політики значною мірою визначаються тим концептуальним базисом, який використовується для аналізу ситуації і вибору пріоритетних напрямів соціального розвитку. Можна виділити стійкі підходи до формулювання цілей соціальної політики, що реалізовуються в термінах теорії національної безпеки, соціології, політології, а також економіки і фінансів.</w:t>
      </w:r>
    </w:p>
    <w:p w:rsidR="00B233DE" w:rsidRPr="00356174"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t xml:space="preserve">Вибрані концептуальні підходи визначають не лише формулювання цілей соціальної політики держави, але й методи їх реалізації, а також критерії оцінки ефективності планів і програм соціального розвитку. </w:t>
      </w:r>
    </w:p>
    <w:p w:rsidR="00B233DE" w:rsidRPr="00356174"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t>Завданнями соціальної політики, у рамках підходу державного регулювання, є: розподіл прибутків, товарів, послуг, матеріальних і соціальних умов відтворення населення; обмеження масштабності абсолютної бідності і нерівності; забезпечення мате</w:t>
      </w:r>
      <w:r>
        <w:rPr>
          <w:rFonts w:ascii="Times New Roman" w:hAnsi="Times New Roman" w:cs="Times New Roman"/>
          <w:sz w:val="21"/>
          <w:szCs w:val="21"/>
        </w:rPr>
        <w:t>-</w:t>
      </w:r>
      <w:r w:rsidRPr="00356174">
        <w:rPr>
          <w:rFonts w:ascii="Times New Roman" w:hAnsi="Times New Roman" w:cs="Times New Roman"/>
          <w:sz w:val="21"/>
          <w:szCs w:val="21"/>
        </w:rPr>
        <w:t xml:space="preserve">ріальних джерел існування тим, хто з незалежних від них причин їх </w:t>
      </w:r>
      <w:r w:rsidRPr="006C7057">
        <w:rPr>
          <w:rFonts w:ascii="Times New Roman" w:hAnsi="Times New Roman" w:cs="Times New Roman"/>
          <w:spacing w:val="-6"/>
          <w:sz w:val="21"/>
          <w:szCs w:val="21"/>
        </w:rPr>
        <w:t>не має; надання медичних і освітніх послуг; розширення мережі і поліп-</w:t>
      </w:r>
      <w:r w:rsidRPr="00356174">
        <w:rPr>
          <w:rFonts w:ascii="Times New Roman" w:hAnsi="Times New Roman" w:cs="Times New Roman"/>
          <w:sz w:val="21"/>
          <w:szCs w:val="21"/>
        </w:rPr>
        <w:t>шення якості транспортних послуг; оздоровлення довкілля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_Ref435620855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19</w:t>
      </w:r>
      <w:r>
        <w:rPr>
          <w:rFonts w:ascii="Times New Roman" w:hAnsi="Times New Roman" w:cs="Times New Roman"/>
          <w:sz w:val="21"/>
          <w:szCs w:val="21"/>
          <w:highlight w:val="yellow"/>
        </w:rPr>
        <w:fldChar w:fldCharType="end"/>
      </w:r>
      <w:r w:rsidRPr="00356174">
        <w:rPr>
          <w:rFonts w:ascii="Times New Roman" w:hAnsi="Times New Roman" w:cs="Times New Roman"/>
          <w:sz w:val="21"/>
          <w:szCs w:val="21"/>
        </w:rPr>
        <w:t xml:space="preserve">]. </w:t>
      </w:r>
    </w:p>
    <w:p w:rsidR="00B233DE" w:rsidRPr="00356174"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lastRenderedPageBreak/>
        <w:t>У теорії державного управління соціальна політика забезпечує взаємодію усіх сфер життєдіяльності суспільства в рішенні соціальних проблем, виказуючи свої властивості: універсальності (всеосяжний характер дії соціальної політики на усі сфери соціального відтворення людей); всеохоплюючого характеру (можливість проникати в усі сфери життєдіяльності) і атрибутивності (здатність поєднуватися з будь-якими громадськими стосунками, громадськими феноменами і сферами).</w:t>
      </w:r>
    </w:p>
    <w:p w:rsidR="00B233DE" w:rsidRPr="00356174"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t>Сучасні моделі соціальної політики відрізняються по мірі втручання держави в соціально-економічну сферу суспільства, по мірі соціальної захищеності громадян, по рівню забезпеченості свободи соціального вибору у різних верств населення, по впливу соціальних процесів на економічний розвиток країни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_Ref435620855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19</w:t>
      </w:r>
      <w:r>
        <w:rPr>
          <w:rFonts w:ascii="Times New Roman" w:hAnsi="Times New Roman" w:cs="Times New Roman"/>
          <w:sz w:val="21"/>
          <w:szCs w:val="21"/>
          <w:highlight w:val="yellow"/>
        </w:rPr>
        <w:fldChar w:fldCharType="end"/>
      </w:r>
      <w:r w:rsidRPr="00356174">
        <w:rPr>
          <w:rFonts w:ascii="Times New Roman" w:hAnsi="Times New Roman" w:cs="Times New Roman"/>
          <w:sz w:val="21"/>
          <w:szCs w:val="21"/>
        </w:rPr>
        <w:t xml:space="preserve">, с. 48]. </w:t>
      </w:r>
    </w:p>
    <w:p w:rsidR="00B233DE"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t>Відповідно до цих критеріїв виділяють наступні моделі соціальної політики: патерналістично-соціалістичну модель, шведську моде</w:t>
      </w:r>
      <w:r>
        <w:rPr>
          <w:rFonts w:ascii="Times New Roman" w:hAnsi="Times New Roman" w:cs="Times New Roman"/>
          <w:sz w:val="21"/>
          <w:szCs w:val="21"/>
        </w:rPr>
        <w:t>ль соціальної політики, модель «держави добробуту»</w:t>
      </w:r>
      <w:r w:rsidRPr="00356174">
        <w:rPr>
          <w:rFonts w:ascii="Times New Roman" w:hAnsi="Times New Roman" w:cs="Times New Roman"/>
          <w:sz w:val="21"/>
          <w:szCs w:val="21"/>
        </w:rPr>
        <w:t>, модель соціально-орієнтованого ринкового господарства, ринкову соціальну модель. Ці моделі характерні більшою мірою для індустріальних суспільств, в яких соціа</w:t>
      </w:r>
      <w:r>
        <w:rPr>
          <w:rFonts w:ascii="Times New Roman" w:hAnsi="Times New Roman" w:cs="Times New Roman"/>
          <w:sz w:val="21"/>
          <w:szCs w:val="21"/>
        </w:rPr>
        <w:t>льна складова розглядається як «центр витрат»</w:t>
      </w:r>
      <w:r w:rsidRPr="00356174">
        <w:rPr>
          <w:rFonts w:ascii="Times New Roman" w:hAnsi="Times New Roman" w:cs="Times New Roman"/>
          <w:sz w:val="21"/>
          <w:szCs w:val="21"/>
        </w:rPr>
        <w:t>, повністю залежний в</w:t>
      </w:r>
      <w:r>
        <w:rPr>
          <w:rFonts w:ascii="Times New Roman" w:hAnsi="Times New Roman" w:cs="Times New Roman"/>
          <w:sz w:val="21"/>
          <w:szCs w:val="21"/>
        </w:rPr>
        <w:t>ід ефективності функціонування «</w:t>
      </w:r>
      <w:r w:rsidRPr="00356174">
        <w:rPr>
          <w:rFonts w:ascii="Times New Roman" w:hAnsi="Times New Roman" w:cs="Times New Roman"/>
          <w:sz w:val="21"/>
          <w:szCs w:val="21"/>
        </w:rPr>
        <w:t>центру</w:t>
      </w:r>
      <w:r>
        <w:rPr>
          <w:rFonts w:ascii="Times New Roman" w:hAnsi="Times New Roman" w:cs="Times New Roman"/>
          <w:sz w:val="21"/>
          <w:szCs w:val="21"/>
        </w:rPr>
        <w:t xml:space="preserve"> прибутку»</w:t>
      </w:r>
      <w:r w:rsidRPr="00356174">
        <w:rPr>
          <w:rFonts w:ascii="Times New Roman" w:hAnsi="Times New Roman" w:cs="Times New Roman"/>
          <w:sz w:val="21"/>
          <w:szCs w:val="21"/>
        </w:rPr>
        <w:t xml:space="preserve"> - економіки цього суспільства. При цьому підході ідеальною моделлю являється модель держави добробуту, де потреби відтворення економічних і соціальних процесів задоволені і збалансовані. У рамках ринкового господарства дослідники виділяють три базові моделі соціальної політики, відтворені в класифікації Г. Еспінга-Андерсена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_Ref435620868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92</w:t>
      </w:r>
      <w:r>
        <w:rPr>
          <w:rFonts w:ascii="Times New Roman" w:hAnsi="Times New Roman" w:cs="Times New Roman"/>
          <w:sz w:val="21"/>
          <w:szCs w:val="21"/>
          <w:highlight w:val="yellow"/>
        </w:rPr>
        <w:fldChar w:fldCharType="end"/>
      </w:r>
      <w:r w:rsidRPr="00356174">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_Ref435620875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104</w:t>
      </w:r>
      <w:r>
        <w:rPr>
          <w:rFonts w:ascii="Times New Roman" w:hAnsi="Times New Roman" w:cs="Times New Roman"/>
          <w:sz w:val="21"/>
          <w:szCs w:val="21"/>
          <w:highlight w:val="yellow"/>
        </w:rPr>
        <w:fldChar w:fldCharType="end"/>
      </w:r>
      <w:r>
        <w:rPr>
          <w:rFonts w:ascii="Times New Roman" w:hAnsi="Times New Roman" w:cs="Times New Roman"/>
          <w:sz w:val="21"/>
          <w:szCs w:val="21"/>
        </w:rPr>
        <w:t>] (табл</w:t>
      </w:r>
      <w:r w:rsidRPr="00356174">
        <w:rPr>
          <w:rFonts w:ascii="Times New Roman" w:hAnsi="Times New Roman" w:cs="Times New Roman"/>
          <w:sz w:val="21"/>
          <w:szCs w:val="21"/>
        </w:rPr>
        <w:t xml:space="preserve">. </w:t>
      </w:r>
      <w:r>
        <w:rPr>
          <w:rFonts w:ascii="Times New Roman" w:hAnsi="Times New Roman" w:cs="Times New Roman"/>
          <w:sz w:val="21"/>
          <w:szCs w:val="21"/>
        </w:rPr>
        <w:t>5</w:t>
      </w:r>
      <w:r w:rsidRPr="00356174">
        <w:rPr>
          <w:rFonts w:ascii="Times New Roman" w:hAnsi="Times New Roman" w:cs="Times New Roman"/>
          <w:sz w:val="21"/>
          <w:szCs w:val="21"/>
        </w:rPr>
        <w:t>.</w:t>
      </w:r>
      <w:r>
        <w:rPr>
          <w:rFonts w:ascii="Times New Roman" w:hAnsi="Times New Roman" w:cs="Times New Roman"/>
          <w:sz w:val="21"/>
          <w:szCs w:val="21"/>
        </w:rPr>
        <w:t>3</w:t>
      </w:r>
      <w:r w:rsidRPr="00356174">
        <w:rPr>
          <w:rFonts w:ascii="Times New Roman" w:hAnsi="Times New Roman" w:cs="Times New Roman"/>
          <w:sz w:val="21"/>
          <w:szCs w:val="21"/>
        </w:rPr>
        <w:t xml:space="preserve">). </w:t>
      </w:r>
    </w:p>
    <w:p w:rsidR="00B233DE" w:rsidRPr="00356174"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t>Представлена таблиця може бути основою для формування адаптаційної моделі соціальної політики України на різних етапах розвитку суспільства. Спроба класифікувати моделі соціальної політики на основі виділення переважно економічних показників зроблена також Р. Мишра. Він використовує наступні критерії: міра втручання держави, потреби як основа для соціальних програм, охоплення населення соціальними програмами, розмір соціальних виплат, відсоток національного прибутку, який витрачається на соціальну сферу, застосування перевірки відповідних підстав під час призначення соціальної допомоги, статус клієнтів, роль недержавних організацій тощо.</w:t>
      </w:r>
    </w:p>
    <w:p w:rsidR="00B233DE"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lastRenderedPageBreak/>
        <w:t>Залежно від цих критеріїв Р. Мишра виділив залишкову, інституціональну і соціалістичну моделі. При цьому особливу увагу дослідник приділив доказу того, що самі моделі мають історичну основу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_Ref435620882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149</w:t>
      </w:r>
      <w:r>
        <w:rPr>
          <w:rFonts w:ascii="Times New Roman" w:hAnsi="Times New Roman" w:cs="Times New Roman"/>
          <w:sz w:val="21"/>
          <w:szCs w:val="21"/>
          <w:highlight w:val="yellow"/>
        </w:rPr>
        <w:fldChar w:fldCharType="end"/>
      </w:r>
      <w:r w:rsidRPr="00356174">
        <w:rPr>
          <w:rFonts w:ascii="Times New Roman" w:hAnsi="Times New Roman" w:cs="Times New Roman"/>
          <w:sz w:val="21"/>
          <w:szCs w:val="21"/>
        </w:rPr>
        <w:t>, с. 101</w:t>
      </w:r>
      <w:r>
        <w:rPr>
          <w:rFonts w:ascii="Times New Roman" w:hAnsi="Times New Roman" w:cs="Times New Roman"/>
          <w:sz w:val="21"/>
          <w:szCs w:val="21"/>
        </w:rPr>
        <w:t>–</w:t>
      </w:r>
      <w:r w:rsidRPr="00356174">
        <w:rPr>
          <w:rFonts w:ascii="Times New Roman" w:hAnsi="Times New Roman" w:cs="Times New Roman"/>
          <w:sz w:val="21"/>
          <w:szCs w:val="21"/>
        </w:rPr>
        <w:t>134.].</w:t>
      </w:r>
    </w:p>
    <w:p w:rsidR="00B233DE" w:rsidRPr="00356174" w:rsidRDefault="00B233DE" w:rsidP="00B233DE">
      <w:pPr>
        <w:ind w:firstLine="709"/>
        <w:jc w:val="right"/>
        <w:rPr>
          <w:rFonts w:ascii="Times New Roman" w:hAnsi="Times New Roman" w:cs="Times New Roman"/>
          <w:sz w:val="21"/>
          <w:szCs w:val="21"/>
        </w:rPr>
      </w:pPr>
      <w:r w:rsidRPr="00356174">
        <w:rPr>
          <w:rFonts w:ascii="Times New Roman" w:hAnsi="Times New Roman" w:cs="Times New Roman"/>
          <w:sz w:val="21"/>
          <w:szCs w:val="21"/>
        </w:rPr>
        <w:t xml:space="preserve">Таблиця </w:t>
      </w:r>
      <w:r>
        <w:rPr>
          <w:rFonts w:ascii="Times New Roman" w:hAnsi="Times New Roman" w:cs="Times New Roman"/>
          <w:sz w:val="21"/>
          <w:szCs w:val="21"/>
        </w:rPr>
        <w:t>5</w:t>
      </w:r>
      <w:r w:rsidRPr="00356174">
        <w:rPr>
          <w:rFonts w:ascii="Times New Roman" w:hAnsi="Times New Roman" w:cs="Times New Roman"/>
          <w:sz w:val="21"/>
          <w:szCs w:val="21"/>
        </w:rPr>
        <w:t>.</w:t>
      </w:r>
      <w:r>
        <w:rPr>
          <w:rFonts w:ascii="Times New Roman" w:hAnsi="Times New Roman" w:cs="Times New Roman"/>
          <w:sz w:val="21"/>
          <w:szCs w:val="21"/>
        </w:rPr>
        <w:t>3</w:t>
      </w:r>
    </w:p>
    <w:p w:rsidR="00B233DE" w:rsidRPr="00433BC0" w:rsidRDefault="00B233DE" w:rsidP="00B233DE">
      <w:pPr>
        <w:ind w:firstLine="709"/>
        <w:jc w:val="center"/>
        <w:rPr>
          <w:rFonts w:ascii="Times New Roman" w:hAnsi="Times New Roman" w:cs="Times New Roman"/>
          <w:b/>
          <w:sz w:val="21"/>
          <w:szCs w:val="21"/>
        </w:rPr>
      </w:pPr>
      <w:r w:rsidRPr="00433BC0">
        <w:rPr>
          <w:rFonts w:ascii="Times New Roman" w:hAnsi="Times New Roman" w:cs="Times New Roman"/>
          <w:b/>
          <w:sz w:val="21"/>
          <w:szCs w:val="21"/>
        </w:rPr>
        <w:t>Порівняльна характеристика моделей соціальної політики</w:t>
      </w:r>
      <w:r>
        <w:rPr>
          <w:rFonts w:ascii="Times New Roman" w:hAnsi="Times New Roman" w:cs="Times New Roman"/>
          <w:b/>
          <w:sz w:val="21"/>
          <w:szCs w:val="21"/>
        </w:rPr>
        <w:t xml:space="preserve"> згідно</w:t>
      </w:r>
      <w:r w:rsidRPr="00433BC0">
        <w:rPr>
          <w:rFonts w:ascii="Times New Roman" w:hAnsi="Times New Roman" w:cs="Times New Roman"/>
          <w:b/>
          <w:sz w:val="21"/>
          <w:szCs w:val="21"/>
        </w:rPr>
        <w:t xml:space="preserve"> Г. Еспінг</w:t>
      </w:r>
      <w:r>
        <w:rPr>
          <w:rFonts w:ascii="Times New Roman" w:hAnsi="Times New Roman" w:cs="Times New Roman"/>
          <w:b/>
          <w:sz w:val="21"/>
          <w:szCs w:val="21"/>
        </w:rPr>
        <w:t>а</w:t>
      </w:r>
      <w:r w:rsidRPr="00433BC0">
        <w:rPr>
          <w:rFonts w:ascii="Times New Roman" w:hAnsi="Times New Roman" w:cs="Times New Roman"/>
          <w:b/>
          <w:sz w:val="21"/>
          <w:szCs w:val="21"/>
        </w:rPr>
        <w:t>-Андерсен</w:t>
      </w:r>
      <w:r>
        <w:rPr>
          <w:rFonts w:ascii="Times New Roman" w:hAnsi="Times New Roman" w:cs="Times New Roman"/>
          <w:b/>
          <w:sz w:val="21"/>
          <w:szCs w:val="21"/>
        </w:rPr>
        <w:t>а</w:t>
      </w:r>
    </w:p>
    <w:tbl>
      <w:tblPr>
        <w:tblW w:w="6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51"/>
        <w:gridCol w:w="2268"/>
        <w:gridCol w:w="1985"/>
      </w:tblGrid>
      <w:tr w:rsidR="00B233DE" w:rsidRPr="00433BC0" w:rsidTr="0023489B">
        <w:tc>
          <w:tcPr>
            <w:tcW w:w="1951" w:type="dxa"/>
            <w:vAlign w:val="center"/>
          </w:tcPr>
          <w:p w:rsidR="00B233DE" w:rsidRPr="00433BC0" w:rsidRDefault="00B233DE" w:rsidP="0023489B">
            <w:pPr>
              <w:ind w:firstLine="0"/>
              <w:jc w:val="center"/>
              <w:rPr>
                <w:rFonts w:ascii="Times New Roman" w:hAnsi="Times New Roman" w:cs="Times New Roman"/>
                <w:sz w:val="16"/>
                <w:szCs w:val="16"/>
              </w:rPr>
            </w:pPr>
            <w:r w:rsidRPr="00433BC0">
              <w:rPr>
                <w:rFonts w:ascii="Times New Roman" w:hAnsi="Times New Roman" w:cs="Times New Roman"/>
                <w:sz w:val="16"/>
                <w:szCs w:val="16"/>
              </w:rPr>
              <w:t>Ліберальна</w:t>
            </w:r>
          </w:p>
          <w:p w:rsidR="00B233DE" w:rsidRPr="00433BC0" w:rsidRDefault="00B233DE" w:rsidP="0023489B">
            <w:pPr>
              <w:ind w:firstLine="0"/>
              <w:jc w:val="center"/>
              <w:rPr>
                <w:rFonts w:ascii="Times New Roman" w:hAnsi="Times New Roman" w:cs="Times New Roman"/>
                <w:sz w:val="16"/>
                <w:szCs w:val="16"/>
              </w:rPr>
            </w:pPr>
            <w:r>
              <w:rPr>
                <w:rFonts w:ascii="Times New Roman" w:hAnsi="Times New Roman" w:cs="Times New Roman"/>
                <w:sz w:val="16"/>
                <w:szCs w:val="16"/>
              </w:rPr>
              <w:t>(</w:t>
            </w:r>
            <w:r w:rsidRPr="00433BC0">
              <w:rPr>
                <w:rFonts w:ascii="Times New Roman" w:hAnsi="Times New Roman" w:cs="Times New Roman"/>
                <w:sz w:val="16"/>
                <w:szCs w:val="16"/>
              </w:rPr>
              <w:t>англо-саксонська) модель соціальної політики (США, Канада, Австралія, Нова Зеландія)</w:t>
            </w:r>
          </w:p>
        </w:tc>
        <w:tc>
          <w:tcPr>
            <w:tcW w:w="2268" w:type="dxa"/>
            <w:vAlign w:val="center"/>
          </w:tcPr>
          <w:p w:rsidR="00B233DE" w:rsidRPr="00433BC0" w:rsidRDefault="00B233DE" w:rsidP="0023489B">
            <w:pPr>
              <w:ind w:firstLine="0"/>
              <w:jc w:val="center"/>
              <w:rPr>
                <w:rFonts w:ascii="Times New Roman" w:hAnsi="Times New Roman" w:cs="Times New Roman"/>
                <w:sz w:val="16"/>
                <w:szCs w:val="16"/>
              </w:rPr>
            </w:pPr>
            <w:r w:rsidRPr="00433BC0">
              <w:rPr>
                <w:rFonts w:ascii="Times New Roman" w:hAnsi="Times New Roman" w:cs="Times New Roman"/>
                <w:sz w:val="16"/>
                <w:szCs w:val="16"/>
              </w:rPr>
              <w:t>Консервативна (корпоративн</w:t>
            </w:r>
            <w:r>
              <w:rPr>
                <w:rFonts w:ascii="Times New Roman" w:hAnsi="Times New Roman" w:cs="Times New Roman"/>
                <w:sz w:val="16"/>
                <w:szCs w:val="16"/>
              </w:rPr>
              <w:t>а) модель соціальної політики (к</w:t>
            </w:r>
            <w:r w:rsidRPr="00433BC0">
              <w:rPr>
                <w:rFonts w:ascii="Times New Roman" w:hAnsi="Times New Roman" w:cs="Times New Roman"/>
                <w:sz w:val="16"/>
                <w:szCs w:val="16"/>
              </w:rPr>
              <w:t>онтинентальна Європа, Японія)</w:t>
            </w:r>
          </w:p>
        </w:tc>
        <w:tc>
          <w:tcPr>
            <w:tcW w:w="1985" w:type="dxa"/>
            <w:vAlign w:val="center"/>
          </w:tcPr>
          <w:p w:rsidR="00B233DE" w:rsidRPr="00433BC0" w:rsidRDefault="00B233DE" w:rsidP="0023489B">
            <w:pPr>
              <w:ind w:firstLine="0"/>
              <w:jc w:val="center"/>
              <w:rPr>
                <w:rFonts w:ascii="Times New Roman" w:hAnsi="Times New Roman" w:cs="Times New Roman"/>
                <w:sz w:val="16"/>
                <w:szCs w:val="16"/>
              </w:rPr>
            </w:pPr>
            <w:r w:rsidRPr="00433BC0">
              <w:rPr>
                <w:rFonts w:ascii="Times New Roman" w:hAnsi="Times New Roman" w:cs="Times New Roman"/>
                <w:sz w:val="16"/>
                <w:szCs w:val="16"/>
              </w:rPr>
              <w:t>Соціально-демократ</w:t>
            </w:r>
            <w:r>
              <w:rPr>
                <w:rFonts w:ascii="Times New Roman" w:hAnsi="Times New Roman" w:cs="Times New Roman"/>
                <w:sz w:val="16"/>
                <w:szCs w:val="16"/>
              </w:rPr>
              <w:t>ична модель соціальної політики (н</w:t>
            </w:r>
            <w:r w:rsidRPr="00433BC0">
              <w:rPr>
                <w:rFonts w:ascii="Times New Roman" w:hAnsi="Times New Roman" w:cs="Times New Roman"/>
                <w:sz w:val="16"/>
                <w:szCs w:val="16"/>
              </w:rPr>
              <w:t>ордичні країни, Нідерланди, Швейцарія)</w:t>
            </w:r>
          </w:p>
        </w:tc>
      </w:tr>
      <w:tr w:rsidR="00B233DE" w:rsidRPr="00433BC0" w:rsidTr="0023489B">
        <w:tc>
          <w:tcPr>
            <w:tcW w:w="1951" w:type="dxa"/>
          </w:tcPr>
          <w:p w:rsidR="00B233DE" w:rsidRPr="00433BC0" w:rsidRDefault="00B233DE" w:rsidP="0023489B">
            <w:pPr>
              <w:ind w:firstLine="0"/>
              <w:jc w:val="both"/>
              <w:rPr>
                <w:rFonts w:ascii="Times New Roman" w:hAnsi="Times New Roman" w:cs="Times New Roman"/>
                <w:sz w:val="16"/>
                <w:szCs w:val="16"/>
              </w:rPr>
            </w:pPr>
            <w:r w:rsidRPr="00433BC0">
              <w:rPr>
                <w:rFonts w:ascii="Times New Roman" w:hAnsi="Times New Roman" w:cs="Times New Roman"/>
                <w:sz w:val="16"/>
                <w:szCs w:val="16"/>
              </w:rPr>
              <w:t>Мінімальна роль держа</w:t>
            </w:r>
            <w:r>
              <w:rPr>
                <w:rFonts w:ascii="Times New Roman" w:hAnsi="Times New Roman" w:cs="Times New Roman"/>
                <w:sz w:val="16"/>
                <w:szCs w:val="16"/>
              </w:rPr>
              <w:t>-</w:t>
            </w:r>
            <w:r w:rsidRPr="00433BC0">
              <w:rPr>
                <w:rFonts w:ascii="Times New Roman" w:hAnsi="Times New Roman" w:cs="Times New Roman"/>
                <w:sz w:val="16"/>
                <w:szCs w:val="16"/>
              </w:rPr>
              <w:t>ви. Характерні пасивний характер державної полі</w:t>
            </w:r>
            <w:r>
              <w:rPr>
                <w:rFonts w:ascii="Times New Roman" w:hAnsi="Times New Roman" w:cs="Times New Roman"/>
                <w:sz w:val="16"/>
                <w:szCs w:val="16"/>
              </w:rPr>
              <w:t>-</w:t>
            </w:r>
            <w:r w:rsidRPr="00433BC0">
              <w:rPr>
                <w:rFonts w:ascii="Times New Roman" w:hAnsi="Times New Roman" w:cs="Times New Roman"/>
                <w:sz w:val="16"/>
                <w:szCs w:val="16"/>
              </w:rPr>
              <w:t>тики зайнятості.</w:t>
            </w:r>
          </w:p>
        </w:tc>
        <w:tc>
          <w:tcPr>
            <w:tcW w:w="2268" w:type="dxa"/>
          </w:tcPr>
          <w:p w:rsidR="00B233DE" w:rsidRPr="00433BC0" w:rsidRDefault="00B233DE" w:rsidP="0023489B">
            <w:pPr>
              <w:ind w:firstLine="0"/>
              <w:jc w:val="both"/>
              <w:rPr>
                <w:rFonts w:ascii="Times New Roman" w:hAnsi="Times New Roman" w:cs="Times New Roman"/>
                <w:sz w:val="16"/>
                <w:szCs w:val="16"/>
              </w:rPr>
            </w:pPr>
            <w:r w:rsidRPr="00433BC0">
              <w:rPr>
                <w:rFonts w:ascii="Times New Roman" w:hAnsi="Times New Roman" w:cs="Times New Roman"/>
                <w:sz w:val="16"/>
                <w:szCs w:val="16"/>
              </w:rPr>
              <w:t>Координуюча роль держави.</w:t>
            </w:r>
          </w:p>
        </w:tc>
        <w:tc>
          <w:tcPr>
            <w:tcW w:w="1985" w:type="dxa"/>
          </w:tcPr>
          <w:p w:rsidR="00B233DE" w:rsidRPr="00433BC0" w:rsidRDefault="00B233DE" w:rsidP="0023489B">
            <w:pPr>
              <w:ind w:firstLine="0"/>
              <w:jc w:val="both"/>
              <w:rPr>
                <w:rFonts w:ascii="Times New Roman" w:hAnsi="Times New Roman" w:cs="Times New Roman"/>
                <w:sz w:val="16"/>
                <w:szCs w:val="16"/>
              </w:rPr>
            </w:pPr>
            <w:r w:rsidRPr="00433BC0">
              <w:rPr>
                <w:rFonts w:ascii="Times New Roman" w:hAnsi="Times New Roman" w:cs="Times New Roman"/>
                <w:spacing w:val="-6"/>
                <w:sz w:val="16"/>
                <w:szCs w:val="16"/>
              </w:rPr>
              <w:t>Максимально активна роль держави.</w:t>
            </w:r>
            <w:r>
              <w:rPr>
                <w:rFonts w:ascii="Times New Roman" w:hAnsi="Times New Roman" w:cs="Times New Roman"/>
                <w:sz w:val="16"/>
                <w:szCs w:val="16"/>
              </w:rPr>
              <w:t xml:space="preserve"> Характерна </w:t>
            </w:r>
            <w:r w:rsidRPr="00433BC0">
              <w:rPr>
                <w:rFonts w:ascii="Times New Roman" w:hAnsi="Times New Roman" w:cs="Times New Roman"/>
                <w:sz w:val="16"/>
                <w:szCs w:val="16"/>
              </w:rPr>
              <w:t>активна соціальна по</w:t>
            </w:r>
            <w:r>
              <w:rPr>
                <w:rFonts w:ascii="Times New Roman" w:hAnsi="Times New Roman" w:cs="Times New Roman"/>
                <w:sz w:val="16"/>
                <w:szCs w:val="16"/>
              </w:rPr>
              <w:t>-</w:t>
            </w:r>
            <w:r w:rsidRPr="00433BC0">
              <w:rPr>
                <w:rFonts w:ascii="Times New Roman" w:hAnsi="Times New Roman" w:cs="Times New Roman"/>
                <w:sz w:val="16"/>
                <w:szCs w:val="16"/>
              </w:rPr>
              <w:t xml:space="preserve">літика, яка носить попереджуючий характер. Амбіції держави в сфері </w:t>
            </w:r>
            <w:r w:rsidRPr="00433BC0">
              <w:rPr>
                <w:rFonts w:ascii="Times New Roman" w:hAnsi="Times New Roman" w:cs="Times New Roman"/>
                <w:spacing w:val="-6"/>
                <w:sz w:val="16"/>
                <w:szCs w:val="16"/>
              </w:rPr>
              <w:t>соціальної політики максималістські.</w:t>
            </w:r>
          </w:p>
        </w:tc>
      </w:tr>
      <w:tr w:rsidR="00B233DE" w:rsidRPr="00433BC0" w:rsidTr="0023489B">
        <w:tc>
          <w:tcPr>
            <w:tcW w:w="1951" w:type="dxa"/>
            <w:vAlign w:val="center"/>
          </w:tcPr>
          <w:p w:rsidR="00B233DE" w:rsidRPr="00433BC0" w:rsidRDefault="00B233DE" w:rsidP="0023489B">
            <w:pPr>
              <w:ind w:right="-108" w:firstLine="0"/>
              <w:jc w:val="both"/>
              <w:rPr>
                <w:rFonts w:ascii="Times New Roman" w:hAnsi="Times New Roman" w:cs="Times New Roman"/>
                <w:sz w:val="16"/>
                <w:szCs w:val="16"/>
              </w:rPr>
            </w:pPr>
            <w:r w:rsidRPr="00433BC0">
              <w:rPr>
                <w:rFonts w:ascii="Times New Roman" w:hAnsi="Times New Roman" w:cs="Times New Roman"/>
                <w:sz w:val="16"/>
                <w:szCs w:val="16"/>
              </w:rPr>
              <w:t xml:space="preserve">Рівень державних витрат </w:t>
            </w:r>
            <w:r w:rsidRPr="00433BC0">
              <w:rPr>
                <w:rFonts w:ascii="Times New Roman" w:hAnsi="Times New Roman" w:cs="Times New Roman"/>
                <w:spacing w:val="-6"/>
                <w:sz w:val="16"/>
                <w:szCs w:val="16"/>
              </w:rPr>
              <w:t>на соціальну сферу низький</w:t>
            </w:r>
          </w:p>
        </w:tc>
        <w:tc>
          <w:tcPr>
            <w:tcW w:w="2268" w:type="dxa"/>
            <w:vAlign w:val="center"/>
          </w:tcPr>
          <w:p w:rsidR="00B233DE" w:rsidRPr="00433BC0" w:rsidRDefault="00B233DE" w:rsidP="0023489B">
            <w:pPr>
              <w:ind w:firstLine="0"/>
              <w:jc w:val="both"/>
              <w:rPr>
                <w:rFonts w:ascii="Times New Roman" w:hAnsi="Times New Roman" w:cs="Times New Roman"/>
                <w:sz w:val="16"/>
                <w:szCs w:val="16"/>
              </w:rPr>
            </w:pPr>
            <w:r w:rsidRPr="00433BC0">
              <w:rPr>
                <w:rFonts w:ascii="Times New Roman" w:hAnsi="Times New Roman" w:cs="Times New Roman"/>
                <w:sz w:val="16"/>
                <w:szCs w:val="16"/>
              </w:rPr>
              <w:t>Рівень державних витрат на соці</w:t>
            </w:r>
            <w:r>
              <w:rPr>
                <w:rFonts w:ascii="Times New Roman" w:hAnsi="Times New Roman" w:cs="Times New Roman"/>
                <w:sz w:val="16"/>
                <w:szCs w:val="16"/>
              </w:rPr>
              <w:t>-</w:t>
            </w:r>
            <w:r w:rsidRPr="00433BC0">
              <w:rPr>
                <w:rFonts w:ascii="Times New Roman" w:hAnsi="Times New Roman" w:cs="Times New Roman"/>
                <w:sz w:val="16"/>
                <w:szCs w:val="16"/>
              </w:rPr>
              <w:t>альну сферу високий</w:t>
            </w:r>
          </w:p>
        </w:tc>
        <w:tc>
          <w:tcPr>
            <w:tcW w:w="1985" w:type="dxa"/>
            <w:vAlign w:val="center"/>
          </w:tcPr>
          <w:p w:rsidR="00B233DE" w:rsidRPr="00433BC0" w:rsidRDefault="00B233DE" w:rsidP="0023489B">
            <w:pPr>
              <w:ind w:firstLine="0"/>
              <w:jc w:val="both"/>
              <w:rPr>
                <w:rFonts w:ascii="Times New Roman" w:hAnsi="Times New Roman" w:cs="Times New Roman"/>
                <w:sz w:val="16"/>
                <w:szCs w:val="16"/>
              </w:rPr>
            </w:pPr>
            <w:r w:rsidRPr="00433BC0">
              <w:rPr>
                <w:rFonts w:ascii="Times New Roman" w:hAnsi="Times New Roman" w:cs="Times New Roman"/>
                <w:sz w:val="16"/>
                <w:szCs w:val="16"/>
              </w:rPr>
              <w:t>Рівень державних витрат на соці</w:t>
            </w:r>
            <w:r>
              <w:rPr>
                <w:rFonts w:ascii="Times New Roman" w:hAnsi="Times New Roman" w:cs="Times New Roman"/>
                <w:sz w:val="16"/>
                <w:szCs w:val="16"/>
              </w:rPr>
              <w:t>-</w:t>
            </w:r>
            <w:r w:rsidRPr="00433BC0">
              <w:rPr>
                <w:rFonts w:ascii="Times New Roman" w:hAnsi="Times New Roman" w:cs="Times New Roman"/>
                <w:sz w:val="16"/>
                <w:szCs w:val="16"/>
              </w:rPr>
              <w:t>альну сферу високий</w:t>
            </w:r>
          </w:p>
        </w:tc>
      </w:tr>
      <w:tr w:rsidR="00B233DE" w:rsidRPr="00433BC0" w:rsidTr="0023489B">
        <w:tc>
          <w:tcPr>
            <w:tcW w:w="1951" w:type="dxa"/>
            <w:vAlign w:val="center"/>
          </w:tcPr>
          <w:p w:rsidR="00B233DE" w:rsidRPr="00433BC0" w:rsidRDefault="00B233DE" w:rsidP="0023489B">
            <w:pPr>
              <w:ind w:firstLine="0"/>
              <w:jc w:val="both"/>
              <w:rPr>
                <w:rFonts w:ascii="Times New Roman" w:hAnsi="Times New Roman" w:cs="Times New Roman"/>
                <w:sz w:val="16"/>
                <w:szCs w:val="16"/>
              </w:rPr>
            </w:pPr>
            <w:r w:rsidRPr="00433BC0">
              <w:rPr>
                <w:rFonts w:ascii="Times New Roman" w:hAnsi="Times New Roman" w:cs="Times New Roman"/>
                <w:sz w:val="16"/>
                <w:szCs w:val="16"/>
              </w:rPr>
              <w:t xml:space="preserve">Політична основа </w:t>
            </w:r>
            <w:r>
              <w:rPr>
                <w:rFonts w:ascii="Times New Roman" w:hAnsi="Times New Roman" w:cs="Times New Roman"/>
                <w:sz w:val="16"/>
                <w:szCs w:val="16"/>
              </w:rPr>
              <w:t>–</w:t>
            </w:r>
            <w:r w:rsidRPr="00433BC0">
              <w:rPr>
                <w:rFonts w:ascii="Times New Roman" w:hAnsi="Times New Roman" w:cs="Times New Roman"/>
                <w:sz w:val="16"/>
                <w:szCs w:val="16"/>
              </w:rPr>
              <w:t xml:space="preserve"> вільний ринок</w:t>
            </w:r>
          </w:p>
        </w:tc>
        <w:tc>
          <w:tcPr>
            <w:tcW w:w="2268" w:type="dxa"/>
            <w:vAlign w:val="center"/>
          </w:tcPr>
          <w:p w:rsidR="00B233DE" w:rsidRPr="00433BC0" w:rsidRDefault="00B233DE" w:rsidP="0023489B">
            <w:pPr>
              <w:ind w:firstLine="0"/>
              <w:jc w:val="both"/>
              <w:rPr>
                <w:rFonts w:ascii="Times New Roman" w:hAnsi="Times New Roman" w:cs="Times New Roman"/>
                <w:sz w:val="16"/>
                <w:szCs w:val="16"/>
              </w:rPr>
            </w:pPr>
            <w:r w:rsidRPr="00433BC0">
              <w:rPr>
                <w:rFonts w:ascii="Times New Roman" w:hAnsi="Times New Roman" w:cs="Times New Roman"/>
                <w:spacing w:val="-6"/>
                <w:sz w:val="16"/>
                <w:szCs w:val="16"/>
              </w:rPr>
              <w:t>Політична основа – коаліція між працедавцями і працівниками</w:t>
            </w:r>
          </w:p>
        </w:tc>
        <w:tc>
          <w:tcPr>
            <w:tcW w:w="1985" w:type="dxa"/>
            <w:vAlign w:val="center"/>
          </w:tcPr>
          <w:p w:rsidR="00B233DE" w:rsidRPr="00433BC0" w:rsidRDefault="00B233DE" w:rsidP="0023489B">
            <w:pPr>
              <w:ind w:firstLine="0"/>
              <w:jc w:val="both"/>
              <w:rPr>
                <w:rFonts w:ascii="Times New Roman" w:hAnsi="Times New Roman" w:cs="Times New Roman"/>
                <w:sz w:val="16"/>
                <w:szCs w:val="16"/>
              </w:rPr>
            </w:pPr>
            <w:r w:rsidRPr="00433BC0">
              <w:rPr>
                <w:rFonts w:ascii="Times New Roman" w:hAnsi="Times New Roman" w:cs="Times New Roman"/>
                <w:sz w:val="16"/>
                <w:szCs w:val="16"/>
              </w:rPr>
              <w:t xml:space="preserve">Політична основа </w:t>
            </w:r>
            <w:r>
              <w:rPr>
                <w:rFonts w:ascii="Times New Roman" w:hAnsi="Times New Roman" w:cs="Times New Roman"/>
                <w:sz w:val="16"/>
                <w:szCs w:val="16"/>
              </w:rPr>
              <w:t>–</w:t>
            </w:r>
            <w:r w:rsidRPr="00433BC0">
              <w:rPr>
                <w:rFonts w:ascii="Times New Roman" w:hAnsi="Times New Roman" w:cs="Times New Roman"/>
                <w:sz w:val="16"/>
                <w:szCs w:val="16"/>
              </w:rPr>
              <w:t xml:space="preserve"> широкий компроміс</w:t>
            </w:r>
          </w:p>
        </w:tc>
      </w:tr>
      <w:tr w:rsidR="00B233DE" w:rsidRPr="00433BC0" w:rsidTr="0023489B">
        <w:tc>
          <w:tcPr>
            <w:tcW w:w="1951" w:type="dxa"/>
            <w:vAlign w:val="center"/>
          </w:tcPr>
          <w:p w:rsidR="00B233DE" w:rsidRPr="00433BC0" w:rsidRDefault="00B233DE" w:rsidP="0023489B">
            <w:pPr>
              <w:ind w:firstLine="0"/>
              <w:jc w:val="both"/>
              <w:rPr>
                <w:rFonts w:ascii="Times New Roman" w:hAnsi="Times New Roman" w:cs="Times New Roman"/>
                <w:sz w:val="16"/>
                <w:szCs w:val="16"/>
              </w:rPr>
            </w:pPr>
            <w:r w:rsidRPr="00433BC0">
              <w:rPr>
                <w:rFonts w:ascii="Times New Roman" w:hAnsi="Times New Roman" w:cs="Times New Roman"/>
                <w:sz w:val="16"/>
                <w:szCs w:val="16"/>
              </w:rPr>
              <w:t>Високий рівень зайнято</w:t>
            </w:r>
            <w:r>
              <w:rPr>
                <w:rFonts w:ascii="Times New Roman" w:hAnsi="Times New Roman" w:cs="Times New Roman"/>
                <w:sz w:val="16"/>
                <w:szCs w:val="16"/>
              </w:rPr>
              <w:t>-</w:t>
            </w:r>
            <w:r w:rsidRPr="00433BC0">
              <w:rPr>
                <w:rFonts w:ascii="Times New Roman" w:hAnsi="Times New Roman" w:cs="Times New Roman"/>
                <w:spacing w:val="-6"/>
                <w:sz w:val="16"/>
                <w:szCs w:val="16"/>
              </w:rPr>
              <w:t>сті, низька заробітна плата</w:t>
            </w:r>
          </w:p>
        </w:tc>
        <w:tc>
          <w:tcPr>
            <w:tcW w:w="2268" w:type="dxa"/>
            <w:vAlign w:val="center"/>
          </w:tcPr>
          <w:p w:rsidR="00B233DE" w:rsidRPr="00433BC0" w:rsidRDefault="00B233DE" w:rsidP="0023489B">
            <w:pPr>
              <w:ind w:firstLine="0"/>
              <w:jc w:val="both"/>
              <w:rPr>
                <w:rFonts w:ascii="Times New Roman" w:hAnsi="Times New Roman" w:cs="Times New Roman"/>
                <w:sz w:val="16"/>
                <w:szCs w:val="16"/>
              </w:rPr>
            </w:pPr>
            <w:r w:rsidRPr="00433BC0">
              <w:rPr>
                <w:rFonts w:ascii="Times New Roman" w:hAnsi="Times New Roman" w:cs="Times New Roman"/>
                <w:sz w:val="16"/>
                <w:szCs w:val="16"/>
              </w:rPr>
              <w:t>Низький рівень зайнятості, висока заробітна плата</w:t>
            </w:r>
          </w:p>
        </w:tc>
        <w:tc>
          <w:tcPr>
            <w:tcW w:w="1985" w:type="dxa"/>
            <w:vAlign w:val="center"/>
          </w:tcPr>
          <w:p w:rsidR="00B233DE" w:rsidRPr="00433BC0" w:rsidRDefault="00B233DE" w:rsidP="0023489B">
            <w:pPr>
              <w:ind w:firstLine="0"/>
              <w:jc w:val="both"/>
              <w:rPr>
                <w:rFonts w:ascii="Times New Roman" w:hAnsi="Times New Roman" w:cs="Times New Roman"/>
                <w:sz w:val="16"/>
                <w:szCs w:val="16"/>
              </w:rPr>
            </w:pPr>
            <w:r w:rsidRPr="00433BC0">
              <w:rPr>
                <w:rFonts w:ascii="Times New Roman" w:hAnsi="Times New Roman" w:cs="Times New Roman"/>
                <w:sz w:val="16"/>
                <w:szCs w:val="16"/>
              </w:rPr>
              <w:t>Високий рівень зайнятості, висока заробітна плата</w:t>
            </w:r>
          </w:p>
        </w:tc>
      </w:tr>
      <w:tr w:rsidR="00B233DE" w:rsidRPr="00433BC0" w:rsidTr="0023489B">
        <w:tc>
          <w:tcPr>
            <w:tcW w:w="1951" w:type="dxa"/>
            <w:vAlign w:val="center"/>
          </w:tcPr>
          <w:p w:rsidR="00B233DE" w:rsidRPr="00433BC0" w:rsidRDefault="00B233DE" w:rsidP="0023489B">
            <w:pPr>
              <w:ind w:right="-108" w:firstLine="0"/>
              <w:jc w:val="both"/>
              <w:rPr>
                <w:rFonts w:ascii="Times New Roman" w:hAnsi="Times New Roman" w:cs="Times New Roman"/>
                <w:sz w:val="16"/>
                <w:szCs w:val="16"/>
              </w:rPr>
            </w:pPr>
            <w:r w:rsidRPr="00433BC0">
              <w:rPr>
                <w:rFonts w:ascii="Times New Roman" w:hAnsi="Times New Roman" w:cs="Times New Roman"/>
                <w:sz w:val="16"/>
                <w:szCs w:val="16"/>
              </w:rPr>
              <w:t xml:space="preserve">Принцип надання послуг соціального забезпечення </w:t>
            </w:r>
            <w:r>
              <w:rPr>
                <w:rFonts w:ascii="Times New Roman" w:hAnsi="Times New Roman" w:cs="Times New Roman"/>
                <w:sz w:val="16"/>
                <w:szCs w:val="16"/>
              </w:rPr>
              <w:t>–</w:t>
            </w:r>
            <w:r w:rsidRPr="00433BC0">
              <w:rPr>
                <w:rFonts w:ascii="Times New Roman" w:hAnsi="Times New Roman" w:cs="Times New Roman"/>
                <w:sz w:val="16"/>
                <w:szCs w:val="16"/>
              </w:rPr>
              <w:t xml:space="preserve"> з</w:t>
            </w:r>
            <w:r>
              <w:rPr>
                <w:rFonts w:ascii="Times New Roman" w:hAnsi="Times New Roman" w:cs="Times New Roman"/>
                <w:sz w:val="16"/>
                <w:szCs w:val="16"/>
              </w:rPr>
              <w:t xml:space="preserve">а залишковим </w:t>
            </w:r>
            <w:r w:rsidRPr="00433BC0">
              <w:rPr>
                <w:rFonts w:ascii="Times New Roman" w:hAnsi="Times New Roman" w:cs="Times New Roman"/>
                <w:sz w:val="16"/>
                <w:szCs w:val="16"/>
              </w:rPr>
              <w:t>принци</w:t>
            </w:r>
            <w:r>
              <w:rPr>
                <w:rFonts w:ascii="Times New Roman" w:hAnsi="Times New Roman" w:cs="Times New Roman"/>
                <w:sz w:val="16"/>
                <w:szCs w:val="16"/>
              </w:rPr>
              <w:t>-</w:t>
            </w:r>
            <w:r w:rsidRPr="00433BC0">
              <w:rPr>
                <w:rFonts w:ascii="Times New Roman" w:hAnsi="Times New Roman" w:cs="Times New Roman"/>
                <w:sz w:val="16"/>
                <w:szCs w:val="16"/>
              </w:rPr>
              <w:t>пом (вибірковий)</w:t>
            </w:r>
          </w:p>
        </w:tc>
        <w:tc>
          <w:tcPr>
            <w:tcW w:w="2268" w:type="dxa"/>
            <w:vAlign w:val="center"/>
          </w:tcPr>
          <w:p w:rsidR="00B233DE" w:rsidRPr="00433BC0" w:rsidRDefault="00B233DE" w:rsidP="0023489B">
            <w:pPr>
              <w:ind w:firstLine="0"/>
              <w:jc w:val="both"/>
              <w:rPr>
                <w:rFonts w:ascii="Times New Roman" w:hAnsi="Times New Roman" w:cs="Times New Roman"/>
                <w:sz w:val="16"/>
                <w:szCs w:val="16"/>
              </w:rPr>
            </w:pPr>
            <w:r w:rsidRPr="00433BC0">
              <w:rPr>
                <w:rFonts w:ascii="Times New Roman" w:hAnsi="Times New Roman" w:cs="Times New Roman"/>
                <w:sz w:val="16"/>
                <w:szCs w:val="16"/>
              </w:rPr>
              <w:t xml:space="preserve">Принцип надання послуг соціального забезпечення </w:t>
            </w:r>
            <w:r>
              <w:rPr>
                <w:rFonts w:ascii="Times New Roman" w:hAnsi="Times New Roman" w:cs="Times New Roman"/>
                <w:sz w:val="16"/>
                <w:szCs w:val="16"/>
              </w:rPr>
              <w:t>–</w:t>
            </w:r>
            <w:r w:rsidRPr="00433BC0">
              <w:rPr>
                <w:rFonts w:ascii="Times New Roman" w:hAnsi="Times New Roman" w:cs="Times New Roman"/>
                <w:sz w:val="16"/>
                <w:szCs w:val="16"/>
              </w:rPr>
              <w:t xml:space="preserve"> за місцем роботи</w:t>
            </w:r>
          </w:p>
        </w:tc>
        <w:tc>
          <w:tcPr>
            <w:tcW w:w="1985" w:type="dxa"/>
            <w:vAlign w:val="center"/>
          </w:tcPr>
          <w:p w:rsidR="00B233DE" w:rsidRPr="00433BC0" w:rsidRDefault="00B233DE" w:rsidP="0023489B">
            <w:pPr>
              <w:ind w:firstLine="0"/>
              <w:jc w:val="both"/>
              <w:rPr>
                <w:rFonts w:ascii="Times New Roman" w:hAnsi="Times New Roman" w:cs="Times New Roman"/>
                <w:sz w:val="16"/>
                <w:szCs w:val="16"/>
              </w:rPr>
            </w:pPr>
            <w:r w:rsidRPr="00433BC0">
              <w:rPr>
                <w:rFonts w:ascii="Times New Roman" w:hAnsi="Times New Roman" w:cs="Times New Roman"/>
                <w:sz w:val="16"/>
                <w:szCs w:val="16"/>
              </w:rPr>
              <w:t xml:space="preserve">Принцип надання послуг соціального забезпечення </w:t>
            </w:r>
            <w:r>
              <w:rPr>
                <w:rFonts w:ascii="Times New Roman" w:hAnsi="Times New Roman" w:cs="Times New Roman"/>
                <w:sz w:val="16"/>
                <w:szCs w:val="16"/>
              </w:rPr>
              <w:t>–</w:t>
            </w:r>
            <w:r w:rsidRPr="00433BC0">
              <w:rPr>
                <w:rFonts w:ascii="Times New Roman" w:hAnsi="Times New Roman" w:cs="Times New Roman"/>
                <w:sz w:val="16"/>
                <w:szCs w:val="16"/>
              </w:rPr>
              <w:t xml:space="preserve"> універсальний </w:t>
            </w:r>
          </w:p>
        </w:tc>
      </w:tr>
      <w:tr w:rsidR="00B233DE" w:rsidRPr="00433BC0" w:rsidTr="0023489B">
        <w:tc>
          <w:tcPr>
            <w:tcW w:w="1951" w:type="dxa"/>
          </w:tcPr>
          <w:p w:rsidR="00B233DE" w:rsidRPr="00433BC0" w:rsidRDefault="00B233DE" w:rsidP="0023489B">
            <w:pPr>
              <w:ind w:right="-108" w:firstLine="0"/>
              <w:jc w:val="both"/>
              <w:rPr>
                <w:rFonts w:ascii="Times New Roman" w:hAnsi="Times New Roman" w:cs="Times New Roman"/>
                <w:sz w:val="16"/>
                <w:szCs w:val="16"/>
              </w:rPr>
            </w:pPr>
            <w:r w:rsidRPr="00433BC0">
              <w:rPr>
                <w:rFonts w:ascii="Times New Roman" w:hAnsi="Times New Roman" w:cs="Times New Roman"/>
                <w:sz w:val="16"/>
                <w:szCs w:val="16"/>
              </w:rPr>
              <w:t>Внески працедавців, спон</w:t>
            </w:r>
            <w:r>
              <w:rPr>
                <w:rFonts w:ascii="Times New Roman" w:hAnsi="Times New Roman" w:cs="Times New Roman"/>
                <w:sz w:val="16"/>
                <w:szCs w:val="16"/>
              </w:rPr>
              <w:t>-</w:t>
            </w:r>
            <w:r w:rsidRPr="00433BC0">
              <w:rPr>
                <w:rFonts w:ascii="Times New Roman" w:hAnsi="Times New Roman" w:cs="Times New Roman"/>
                <w:spacing w:val="-6"/>
                <w:sz w:val="16"/>
                <w:szCs w:val="16"/>
              </w:rPr>
              <w:t>сорів, частково держбюджет.</w:t>
            </w:r>
            <w:r w:rsidRPr="00433BC0">
              <w:rPr>
                <w:rFonts w:ascii="Times New Roman" w:hAnsi="Times New Roman" w:cs="Times New Roman"/>
                <w:sz w:val="16"/>
                <w:szCs w:val="16"/>
              </w:rPr>
              <w:t xml:space="preserve"> </w:t>
            </w:r>
          </w:p>
          <w:p w:rsidR="00B233DE" w:rsidRPr="00433BC0" w:rsidRDefault="00B233DE" w:rsidP="0023489B">
            <w:pPr>
              <w:ind w:right="-108" w:firstLine="0"/>
              <w:jc w:val="both"/>
              <w:rPr>
                <w:rFonts w:ascii="Times New Roman" w:hAnsi="Times New Roman" w:cs="Times New Roman"/>
                <w:sz w:val="16"/>
                <w:szCs w:val="16"/>
              </w:rPr>
            </w:pPr>
            <w:r w:rsidRPr="00433BC0">
              <w:rPr>
                <w:rFonts w:ascii="Times New Roman" w:hAnsi="Times New Roman" w:cs="Times New Roman"/>
                <w:sz w:val="16"/>
                <w:szCs w:val="16"/>
              </w:rPr>
              <w:t>Рівень перерозподілу не більше 40</w:t>
            </w:r>
            <w:r>
              <w:rPr>
                <w:rFonts w:ascii="Times New Roman" w:hAnsi="Times New Roman" w:cs="Times New Roman"/>
                <w:sz w:val="16"/>
                <w:szCs w:val="16"/>
              </w:rPr>
              <w:t xml:space="preserve"> </w:t>
            </w:r>
            <w:r w:rsidRPr="00433BC0">
              <w:rPr>
                <w:rFonts w:ascii="Times New Roman" w:hAnsi="Times New Roman" w:cs="Times New Roman"/>
                <w:sz w:val="16"/>
                <w:szCs w:val="16"/>
              </w:rPr>
              <w:t xml:space="preserve">%. </w:t>
            </w:r>
          </w:p>
        </w:tc>
        <w:tc>
          <w:tcPr>
            <w:tcW w:w="2268" w:type="dxa"/>
          </w:tcPr>
          <w:p w:rsidR="00B233DE" w:rsidRPr="00433BC0" w:rsidRDefault="00B233DE" w:rsidP="0023489B">
            <w:pPr>
              <w:ind w:right="-108" w:firstLine="0"/>
              <w:jc w:val="both"/>
              <w:rPr>
                <w:rFonts w:ascii="Times New Roman" w:hAnsi="Times New Roman" w:cs="Times New Roman"/>
                <w:sz w:val="16"/>
                <w:szCs w:val="16"/>
              </w:rPr>
            </w:pPr>
            <w:r w:rsidRPr="00433BC0">
              <w:rPr>
                <w:rFonts w:ascii="Times New Roman" w:hAnsi="Times New Roman" w:cs="Times New Roman"/>
                <w:sz w:val="16"/>
                <w:szCs w:val="16"/>
              </w:rPr>
              <w:t>Внески працедавців переважа</w:t>
            </w:r>
            <w:r>
              <w:rPr>
                <w:rFonts w:ascii="Times New Roman" w:hAnsi="Times New Roman" w:cs="Times New Roman"/>
                <w:sz w:val="16"/>
                <w:szCs w:val="16"/>
              </w:rPr>
              <w:t>-</w:t>
            </w:r>
            <w:r w:rsidRPr="00433BC0">
              <w:rPr>
                <w:rFonts w:ascii="Times New Roman" w:hAnsi="Times New Roman" w:cs="Times New Roman"/>
                <w:sz w:val="16"/>
                <w:szCs w:val="16"/>
              </w:rPr>
              <w:t>ють, держбюджет, спонсорські внески. Рівень перерозподілу не більше 50</w:t>
            </w:r>
            <w:r>
              <w:rPr>
                <w:rFonts w:ascii="Times New Roman" w:hAnsi="Times New Roman" w:cs="Times New Roman"/>
                <w:sz w:val="16"/>
                <w:szCs w:val="16"/>
              </w:rPr>
              <w:t xml:space="preserve"> </w:t>
            </w:r>
            <w:r w:rsidRPr="00433BC0">
              <w:rPr>
                <w:rFonts w:ascii="Times New Roman" w:hAnsi="Times New Roman" w:cs="Times New Roman"/>
                <w:sz w:val="16"/>
                <w:szCs w:val="16"/>
              </w:rPr>
              <w:t xml:space="preserve">%. </w:t>
            </w:r>
          </w:p>
        </w:tc>
        <w:tc>
          <w:tcPr>
            <w:tcW w:w="1985" w:type="dxa"/>
          </w:tcPr>
          <w:p w:rsidR="00B233DE" w:rsidRPr="00433BC0" w:rsidRDefault="00B233DE" w:rsidP="0023489B">
            <w:pPr>
              <w:ind w:right="-108" w:firstLine="0"/>
              <w:jc w:val="both"/>
              <w:rPr>
                <w:rFonts w:ascii="Times New Roman" w:hAnsi="Times New Roman" w:cs="Times New Roman"/>
                <w:sz w:val="16"/>
                <w:szCs w:val="16"/>
              </w:rPr>
            </w:pPr>
            <w:r w:rsidRPr="00433BC0">
              <w:rPr>
                <w:rFonts w:ascii="Times New Roman" w:hAnsi="Times New Roman" w:cs="Times New Roman"/>
                <w:sz w:val="16"/>
                <w:szCs w:val="16"/>
              </w:rPr>
              <w:t xml:space="preserve">Держбюджет </w:t>
            </w:r>
            <w:r>
              <w:rPr>
                <w:rFonts w:ascii="Times New Roman" w:hAnsi="Times New Roman" w:cs="Times New Roman"/>
                <w:sz w:val="16"/>
                <w:szCs w:val="16"/>
              </w:rPr>
              <w:t xml:space="preserve">переважає, внески працедавців. </w:t>
            </w:r>
            <w:r w:rsidRPr="00433BC0">
              <w:rPr>
                <w:rFonts w:ascii="Times New Roman" w:hAnsi="Times New Roman" w:cs="Times New Roman"/>
                <w:sz w:val="16"/>
                <w:szCs w:val="16"/>
              </w:rPr>
              <w:t>Об'єм перерозподілу до 60</w:t>
            </w:r>
            <w:r>
              <w:rPr>
                <w:rFonts w:ascii="Times New Roman" w:hAnsi="Times New Roman" w:cs="Times New Roman"/>
                <w:sz w:val="16"/>
                <w:szCs w:val="16"/>
              </w:rPr>
              <w:t xml:space="preserve"> % від рівня ВВП</w:t>
            </w:r>
          </w:p>
        </w:tc>
      </w:tr>
      <w:tr w:rsidR="00B233DE" w:rsidRPr="00433BC0" w:rsidTr="0023489B">
        <w:tc>
          <w:tcPr>
            <w:tcW w:w="1951" w:type="dxa"/>
          </w:tcPr>
          <w:p w:rsidR="00B233DE" w:rsidRPr="00433BC0" w:rsidRDefault="00B233DE" w:rsidP="0023489B">
            <w:pPr>
              <w:ind w:right="-108" w:firstLine="0"/>
              <w:jc w:val="both"/>
              <w:rPr>
                <w:rFonts w:ascii="Times New Roman" w:hAnsi="Times New Roman" w:cs="Times New Roman"/>
                <w:sz w:val="16"/>
                <w:szCs w:val="16"/>
              </w:rPr>
            </w:pPr>
            <w:r w:rsidRPr="00433BC0">
              <w:rPr>
                <w:rFonts w:ascii="Times New Roman" w:hAnsi="Times New Roman" w:cs="Times New Roman"/>
                <w:sz w:val="16"/>
                <w:szCs w:val="16"/>
              </w:rPr>
              <w:t>Соціальне страхування</w:t>
            </w:r>
            <w:r>
              <w:rPr>
                <w:rFonts w:ascii="Times New Roman" w:hAnsi="Times New Roman" w:cs="Times New Roman"/>
                <w:sz w:val="16"/>
                <w:szCs w:val="16"/>
              </w:rPr>
              <w:t xml:space="preserve"> </w:t>
            </w:r>
            <w:r w:rsidRPr="00433BC0">
              <w:rPr>
                <w:rFonts w:ascii="Times New Roman" w:hAnsi="Times New Roman" w:cs="Times New Roman"/>
                <w:sz w:val="16"/>
                <w:szCs w:val="16"/>
              </w:rPr>
              <w:t xml:space="preserve"> охоплює деякі групи насе</w:t>
            </w:r>
            <w:r>
              <w:rPr>
                <w:rFonts w:ascii="Times New Roman" w:hAnsi="Times New Roman" w:cs="Times New Roman"/>
                <w:sz w:val="16"/>
                <w:szCs w:val="16"/>
              </w:rPr>
              <w:t>-лення, не є обов’язковим</w:t>
            </w:r>
          </w:p>
        </w:tc>
        <w:tc>
          <w:tcPr>
            <w:tcW w:w="2268" w:type="dxa"/>
          </w:tcPr>
          <w:p w:rsidR="00B233DE" w:rsidRPr="00433BC0" w:rsidRDefault="00B233DE" w:rsidP="0023489B">
            <w:pPr>
              <w:ind w:right="-108" w:firstLine="0"/>
              <w:jc w:val="both"/>
              <w:rPr>
                <w:rFonts w:ascii="Times New Roman" w:hAnsi="Times New Roman" w:cs="Times New Roman"/>
                <w:sz w:val="16"/>
                <w:szCs w:val="16"/>
              </w:rPr>
            </w:pPr>
            <w:r w:rsidRPr="00433BC0">
              <w:rPr>
                <w:rFonts w:ascii="Times New Roman" w:hAnsi="Times New Roman" w:cs="Times New Roman"/>
                <w:sz w:val="16"/>
                <w:szCs w:val="16"/>
              </w:rPr>
              <w:t>Соціальне страхування  охоп</w:t>
            </w:r>
            <w:r>
              <w:rPr>
                <w:rFonts w:ascii="Times New Roman" w:hAnsi="Times New Roman" w:cs="Times New Roman"/>
                <w:sz w:val="16"/>
                <w:szCs w:val="16"/>
              </w:rPr>
              <w:t>-</w:t>
            </w:r>
            <w:r w:rsidRPr="00433BC0">
              <w:rPr>
                <w:rFonts w:ascii="Times New Roman" w:hAnsi="Times New Roman" w:cs="Times New Roman"/>
                <w:sz w:val="16"/>
                <w:szCs w:val="16"/>
              </w:rPr>
              <w:t>лює усіх хто працює та їх сім'ї</w:t>
            </w:r>
          </w:p>
        </w:tc>
        <w:tc>
          <w:tcPr>
            <w:tcW w:w="1985" w:type="dxa"/>
          </w:tcPr>
          <w:p w:rsidR="00B233DE" w:rsidRPr="00433BC0" w:rsidRDefault="00B233DE" w:rsidP="0023489B">
            <w:pPr>
              <w:ind w:right="-108" w:firstLine="0"/>
              <w:jc w:val="both"/>
              <w:rPr>
                <w:rFonts w:ascii="Times New Roman" w:hAnsi="Times New Roman" w:cs="Times New Roman"/>
                <w:sz w:val="16"/>
                <w:szCs w:val="16"/>
              </w:rPr>
            </w:pPr>
            <w:r>
              <w:rPr>
                <w:rFonts w:ascii="Times New Roman" w:hAnsi="Times New Roman" w:cs="Times New Roman"/>
                <w:sz w:val="16"/>
                <w:szCs w:val="16"/>
              </w:rPr>
              <w:t>Соціальне страхування охоплює  усе населення</w:t>
            </w:r>
          </w:p>
        </w:tc>
      </w:tr>
      <w:tr w:rsidR="00B233DE" w:rsidRPr="00433BC0" w:rsidTr="0023489B">
        <w:tc>
          <w:tcPr>
            <w:tcW w:w="1951" w:type="dxa"/>
          </w:tcPr>
          <w:p w:rsidR="00B233DE" w:rsidRPr="00433BC0" w:rsidRDefault="00B233DE" w:rsidP="0023489B">
            <w:pPr>
              <w:ind w:right="-108" w:firstLine="0"/>
              <w:jc w:val="both"/>
              <w:rPr>
                <w:rFonts w:ascii="Times New Roman" w:hAnsi="Times New Roman" w:cs="Times New Roman"/>
                <w:sz w:val="16"/>
                <w:szCs w:val="16"/>
              </w:rPr>
            </w:pPr>
            <w:r w:rsidRPr="00433BC0">
              <w:rPr>
                <w:rFonts w:ascii="Times New Roman" w:hAnsi="Times New Roman" w:cs="Times New Roman"/>
                <w:sz w:val="16"/>
                <w:szCs w:val="16"/>
              </w:rPr>
              <w:t>Поширена церковна та ін</w:t>
            </w:r>
            <w:r>
              <w:rPr>
                <w:rFonts w:ascii="Times New Roman" w:hAnsi="Times New Roman" w:cs="Times New Roman"/>
                <w:sz w:val="16"/>
                <w:szCs w:val="16"/>
              </w:rPr>
              <w:t>-</w:t>
            </w:r>
            <w:r w:rsidRPr="00433BC0">
              <w:rPr>
                <w:rFonts w:ascii="Times New Roman" w:hAnsi="Times New Roman" w:cs="Times New Roman"/>
                <w:sz w:val="16"/>
                <w:szCs w:val="16"/>
              </w:rPr>
              <w:t>ші види доброд</w:t>
            </w:r>
            <w:r>
              <w:rPr>
                <w:rFonts w:ascii="Times New Roman" w:hAnsi="Times New Roman" w:cs="Times New Roman"/>
                <w:sz w:val="16"/>
                <w:szCs w:val="16"/>
              </w:rPr>
              <w:t>ійності</w:t>
            </w:r>
          </w:p>
        </w:tc>
        <w:tc>
          <w:tcPr>
            <w:tcW w:w="2268" w:type="dxa"/>
          </w:tcPr>
          <w:p w:rsidR="00B233DE" w:rsidRPr="00433BC0" w:rsidRDefault="00B233DE" w:rsidP="0023489B">
            <w:pPr>
              <w:ind w:right="-108" w:firstLine="0"/>
              <w:jc w:val="both"/>
              <w:rPr>
                <w:rFonts w:ascii="Times New Roman" w:hAnsi="Times New Roman" w:cs="Times New Roman"/>
                <w:sz w:val="16"/>
                <w:szCs w:val="16"/>
              </w:rPr>
            </w:pPr>
            <w:r w:rsidRPr="00433BC0">
              <w:rPr>
                <w:rFonts w:ascii="Times New Roman" w:hAnsi="Times New Roman" w:cs="Times New Roman"/>
                <w:sz w:val="16"/>
                <w:szCs w:val="16"/>
              </w:rPr>
              <w:t>Поширена пр</w:t>
            </w:r>
            <w:r>
              <w:rPr>
                <w:rFonts w:ascii="Times New Roman" w:hAnsi="Times New Roman" w:cs="Times New Roman"/>
                <w:sz w:val="16"/>
                <w:szCs w:val="16"/>
              </w:rPr>
              <w:t>иватна і церковна добродійність</w:t>
            </w:r>
          </w:p>
        </w:tc>
        <w:tc>
          <w:tcPr>
            <w:tcW w:w="1985" w:type="dxa"/>
          </w:tcPr>
          <w:p w:rsidR="00B233DE" w:rsidRPr="00433BC0" w:rsidRDefault="00B233DE" w:rsidP="0023489B">
            <w:pPr>
              <w:ind w:right="-108" w:firstLine="0"/>
              <w:jc w:val="both"/>
              <w:rPr>
                <w:rFonts w:ascii="Times New Roman" w:hAnsi="Times New Roman" w:cs="Times New Roman"/>
                <w:sz w:val="16"/>
                <w:szCs w:val="16"/>
              </w:rPr>
            </w:pPr>
            <w:r w:rsidRPr="00433BC0">
              <w:rPr>
                <w:rFonts w:ascii="Times New Roman" w:hAnsi="Times New Roman" w:cs="Times New Roman"/>
                <w:sz w:val="16"/>
                <w:szCs w:val="16"/>
              </w:rPr>
              <w:t>Добр</w:t>
            </w:r>
            <w:r>
              <w:rPr>
                <w:rFonts w:ascii="Times New Roman" w:hAnsi="Times New Roman" w:cs="Times New Roman"/>
                <w:sz w:val="16"/>
                <w:szCs w:val="16"/>
              </w:rPr>
              <w:t>одійність практично не поширена</w:t>
            </w:r>
          </w:p>
        </w:tc>
      </w:tr>
      <w:tr w:rsidR="00B233DE" w:rsidRPr="00433BC0" w:rsidTr="0023489B">
        <w:tc>
          <w:tcPr>
            <w:tcW w:w="1951" w:type="dxa"/>
          </w:tcPr>
          <w:p w:rsidR="00B233DE" w:rsidRPr="00433BC0" w:rsidRDefault="00B233DE" w:rsidP="0023489B">
            <w:pPr>
              <w:ind w:right="-108" w:firstLine="0"/>
              <w:jc w:val="both"/>
              <w:rPr>
                <w:rFonts w:ascii="Times New Roman" w:hAnsi="Times New Roman" w:cs="Times New Roman"/>
                <w:sz w:val="16"/>
                <w:szCs w:val="16"/>
              </w:rPr>
            </w:pPr>
            <w:r w:rsidRPr="00433BC0">
              <w:rPr>
                <w:rFonts w:ascii="Times New Roman" w:hAnsi="Times New Roman" w:cs="Times New Roman"/>
                <w:sz w:val="16"/>
                <w:szCs w:val="16"/>
              </w:rPr>
              <w:t>Функціонування соціаль</w:t>
            </w:r>
            <w:r>
              <w:rPr>
                <w:rFonts w:ascii="Times New Roman" w:hAnsi="Times New Roman" w:cs="Times New Roman"/>
                <w:sz w:val="16"/>
                <w:szCs w:val="16"/>
              </w:rPr>
              <w:t>-</w:t>
            </w:r>
            <w:r w:rsidRPr="00433BC0">
              <w:rPr>
                <w:rFonts w:ascii="Times New Roman" w:hAnsi="Times New Roman" w:cs="Times New Roman"/>
                <w:sz w:val="16"/>
                <w:szCs w:val="16"/>
              </w:rPr>
              <w:t xml:space="preserve">ного сервісу </w:t>
            </w:r>
            <w:r>
              <w:rPr>
                <w:rFonts w:ascii="Times New Roman" w:hAnsi="Times New Roman" w:cs="Times New Roman"/>
                <w:sz w:val="16"/>
                <w:szCs w:val="16"/>
              </w:rPr>
              <w:t>–</w:t>
            </w:r>
            <w:r w:rsidRPr="00433BC0">
              <w:rPr>
                <w:rFonts w:ascii="Times New Roman" w:hAnsi="Times New Roman" w:cs="Times New Roman"/>
                <w:sz w:val="16"/>
                <w:szCs w:val="16"/>
              </w:rPr>
              <w:t xml:space="preserve"> в основно</w:t>
            </w:r>
            <w:r>
              <w:rPr>
                <w:rFonts w:ascii="Times New Roman" w:hAnsi="Times New Roman" w:cs="Times New Roman"/>
                <w:sz w:val="16"/>
                <w:szCs w:val="16"/>
              </w:rPr>
              <w:t xml:space="preserve">-му приватний. </w:t>
            </w:r>
            <w:r w:rsidRPr="00433BC0">
              <w:rPr>
                <w:rFonts w:ascii="Times New Roman" w:hAnsi="Times New Roman" w:cs="Times New Roman"/>
                <w:sz w:val="16"/>
                <w:szCs w:val="16"/>
              </w:rPr>
              <w:t>Держпро</w:t>
            </w:r>
            <w:r>
              <w:rPr>
                <w:rFonts w:ascii="Times New Roman" w:hAnsi="Times New Roman" w:cs="Times New Roman"/>
                <w:sz w:val="16"/>
                <w:szCs w:val="16"/>
              </w:rPr>
              <w:t>-</w:t>
            </w:r>
            <w:r w:rsidRPr="00433BC0">
              <w:rPr>
                <w:rFonts w:ascii="Times New Roman" w:hAnsi="Times New Roman" w:cs="Times New Roman"/>
                <w:sz w:val="16"/>
                <w:szCs w:val="16"/>
              </w:rPr>
              <w:t>грами ох</w:t>
            </w:r>
            <w:r>
              <w:rPr>
                <w:rFonts w:ascii="Times New Roman" w:hAnsi="Times New Roman" w:cs="Times New Roman"/>
                <w:sz w:val="16"/>
                <w:szCs w:val="16"/>
              </w:rPr>
              <w:t>оплюють деякі верстви населення</w:t>
            </w:r>
          </w:p>
        </w:tc>
        <w:tc>
          <w:tcPr>
            <w:tcW w:w="2268" w:type="dxa"/>
          </w:tcPr>
          <w:p w:rsidR="00B233DE" w:rsidRPr="00433BC0" w:rsidRDefault="00B233DE" w:rsidP="0023489B">
            <w:pPr>
              <w:ind w:right="-108" w:firstLine="0"/>
              <w:jc w:val="both"/>
              <w:rPr>
                <w:rFonts w:ascii="Times New Roman" w:hAnsi="Times New Roman" w:cs="Times New Roman"/>
                <w:sz w:val="16"/>
                <w:szCs w:val="16"/>
              </w:rPr>
            </w:pPr>
            <w:r w:rsidRPr="00433BC0">
              <w:rPr>
                <w:rFonts w:ascii="Times New Roman" w:hAnsi="Times New Roman" w:cs="Times New Roman"/>
                <w:sz w:val="16"/>
                <w:szCs w:val="16"/>
              </w:rPr>
              <w:t>Функціонування соціального сервісу – здебільш</w:t>
            </w:r>
            <w:r>
              <w:rPr>
                <w:rFonts w:ascii="Times New Roman" w:hAnsi="Times New Roman" w:cs="Times New Roman"/>
                <w:sz w:val="16"/>
                <w:szCs w:val="16"/>
              </w:rPr>
              <w:t>ого</w:t>
            </w:r>
            <w:r w:rsidRPr="00433BC0">
              <w:rPr>
                <w:rFonts w:ascii="Times New Roman" w:hAnsi="Times New Roman" w:cs="Times New Roman"/>
                <w:sz w:val="16"/>
                <w:szCs w:val="16"/>
              </w:rPr>
              <w:t xml:space="preserve"> у рамках со</w:t>
            </w:r>
            <w:r>
              <w:rPr>
                <w:rFonts w:ascii="Times New Roman" w:hAnsi="Times New Roman" w:cs="Times New Roman"/>
                <w:sz w:val="16"/>
                <w:szCs w:val="16"/>
              </w:rPr>
              <w:t>ціального страхування</w:t>
            </w:r>
          </w:p>
        </w:tc>
        <w:tc>
          <w:tcPr>
            <w:tcW w:w="1985" w:type="dxa"/>
          </w:tcPr>
          <w:p w:rsidR="00B233DE" w:rsidRPr="00433BC0" w:rsidRDefault="00B233DE" w:rsidP="0023489B">
            <w:pPr>
              <w:ind w:right="-108" w:firstLine="0"/>
              <w:jc w:val="both"/>
              <w:rPr>
                <w:rFonts w:ascii="Times New Roman" w:hAnsi="Times New Roman" w:cs="Times New Roman"/>
                <w:sz w:val="16"/>
                <w:szCs w:val="16"/>
              </w:rPr>
            </w:pPr>
            <w:r w:rsidRPr="00433BC0">
              <w:rPr>
                <w:rFonts w:ascii="Times New Roman" w:hAnsi="Times New Roman" w:cs="Times New Roman"/>
                <w:sz w:val="16"/>
                <w:szCs w:val="16"/>
              </w:rPr>
              <w:t>Функціонування</w:t>
            </w:r>
            <w:r>
              <w:rPr>
                <w:rFonts w:ascii="Times New Roman" w:hAnsi="Times New Roman" w:cs="Times New Roman"/>
                <w:sz w:val="16"/>
                <w:szCs w:val="16"/>
              </w:rPr>
              <w:t xml:space="preserve"> соціального сервісу – здебільшого державними орга-нізаціями</w:t>
            </w:r>
          </w:p>
        </w:tc>
      </w:tr>
      <w:tr w:rsidR="00B233DE" w:rsidRPr="00433BC0" w:rsidTr="0023489B">
        <w:tc>
          <w:tcPr>
            <w:tcW w:w="1951" w:type="dxa"/>
          </w:tcPr>
          <w:p w:rsidR="00B233DE" w:rsidRPr="00433BC0" w:rsidRDefault="00B233DE" w:rsidP="0023489B">
            <w:pPr>
              <w:ind w:right="-108" w:firstLine="0"/>
              <w:jc w:val="both"/>
              <w:rPr>
                <w:rFonts w:ascii="Times New Roman" w:hAnsi="Times New Roman" w:cs="Times New Roman"/>
                <w:sz w:val="16"/>
                <w:szCs w:val="16"/>
              </w:rPr>
            </w:pPr>
            <w:r w:rsidRPr="00433BC0">
              <w:rPr>
                <w:rFonts w:ascii="Times New Roman" w:hAnsi="Times New Roman" w:cs="Times New Roman"/>
                <w:sz w:val="16"/>
                <w:szCs w:val="16"/>
              </w:rPr>
              <w:t>Рівень соціальної допо</w:t>
            </w:r>
            <w:r>
              <w:rPr>
                <w:rFonts w:ascii="Times New Roman" w:hAnsi="Times New Roman" w:cs="Times New Roman"/>
                <w:sz w:val="16"/>
                <w:szCs w:val="16"/>
              </w:rPr>
              <w:t>-</w:t>
            </w:r>
            <w:r w:rsidRPr="00433BC0">
              <w:rPr>
                <w:rFonts w:ascii="Times New Roman" w:hAnsi="Times New Roman" w:cs="Times New Roman"/>
                <w:sz w:val="16"/>
                <w:szCs w:val="16"/>
              </w:rPr>
              <w:lastRenderedPageBreak/>
              <w:t>моги</w:t>
            </w:r>
            <w:r>
              <w:rPr>
                <w:rFonts w:ascii="Times New Roman" w:hAnsi="Times New Roman" w:cs="Times New Roman"/>
                <w:sz w:val="16"/>
                <w:szCs w:val="16"/>
              </w:rPr>
              <w:t xml:space="preserve"> – </w:t>
            </w:r>
            <w:r w:rsidRPr="00433BC0">
              <w:rPr>
                <w:rFonts w:ascii="Times New Roman" w:hAnsi="Times New Roman" w:cs="Times New Roman"/>
                <w:sz w:val="16"/>
                <w:szCs w:val="16"/>
              </w:rPr>
              <w:t>мінімальний стан</w:t>
            </w:r>
            <w:r>
              <w:rPr>
                <w:rFonts w:ascii="Times New Roman" w:hAnsi="Times New Roman" w:cs="Times New Roman"/>
                <w:sz w:val="16"/>
                <w:szCs w:val="16"/>
              </w:rPr>
              <w:t>-дарт, нетривалий час</w:t>
            </w:r>
          </w:p>
        </w:tc>
        <w:tc>
          <w:tcPr>
            <w:tcW w:w="2268" w:type="dxa"/>
          </w:tcPr>
          <w:p w:rsidR="00B233DE" w:rsidRPr="00433BC0" w:rsidRDefault="00B233DE" w:rsidP="0023489B">
            <w:pPr>
              <w:ind w:right="-108" w:firstLine="0"/>
              <w:jc w:val="both"/>
              <w:rPr>
                <w:rFonts w:ascii="Times New Roman" w:hAnsi="Times New Roman" w:cs="Times New Roman"/>
                <w:sz w:val="16"/>
                <w:szCs w:val="16"/>
              </w:rPr>
            </w:pPr>
            <w:r w:rsidRPr="00433BC0">
              <w:rPr>
                <w:rFonts w:ascii="Times New Roman" w:hAnsi="Times New Roman" w:cs="Times New Roman"/>
                <w:sz w:val="16"/>
                <w:szCs w:val="16"/>
              </w:rPr>
              <w:lastRenderedPageBreak/>
              <w:t xml:space="preserve">Рівень соціальної допомоги </w:t>
            </w:r>
            <w:r>
              <w:rPr>
                <w:rFonts w:ascii="Times New Roman" w:hAnsi="Times New Roman" w:cs="Times New Roman"/>
                <w:sz w:val="16"/>
                <w:szCs w:val="16"/>
              </w:rPr>
              <w:t>–</w:t>
            </w:r>
            <w:r w:rsidRPr="00433BC0">
              <w:rPr>
                <w:rFonts w:ascii="Times New Roman" w:hAnsi="Times New Roman" w:cs="Times New Roman"/>
                <w:sz w:val="16"/>
                <w:szCs w:val="16"/>
              </w:rPr>
              <w:t xml:space="preserve"> </w:t>
            </w:r>
            <w:r w:rsidRPr="00433BC0">
              <w:rPr>
                <w:rFonts w:ascii="Times New Roman" w:hAnsi="Times New Roman" w:cs="Times New Roman"/>
                <w:sz w:val="16"/>
                <w:szCs w:val="16"/>
              </w:rPr>
              <w:lastRenderedPageBreak/>
              <w:t>с</w:t>
            </w:r>
            <w:r>
              <w:rPr>
                <w:rFonts w:ascii="Times New Roman" w:hAnsi="Times New Roman" w:cs="Times New Roman"/>
                <w:sz w:val="16"/>
                <w:szCs w:val="16"/>
              </w:rPr>
              <w:t>тандарт «безпеки»</w:t>
            </w:r>
          </w:p>
        </w:tc>
        <w:tc>
          <w:tcPr>
            <w:tcW w:w="1985" w:type="dxa"/>
          </w:tcPr>
          <w:p w:rsidR="00B233DE" w:rsidRPr="00433BC0" w:rsidRDefault="00B233DE" w:rsidP="0023489B">
            <w:pPr>
              <w:ind w:right="-108" w:firstLine="0"/>
              <w:jc w:val="both"/>
              <w:rPr>
                <w:rFonts w:ascii="Times New Roman" w:hAnsi="Times New Roman" w:cs="Times New Roman"/>
                <w:sz w:val="16"/>
                <w:szCs w:val="16"/>
              </w:rPr>
            </w:pPr>
            <w:r w:rsidRPr="00433BC0">
              <w:rPr>
                <w:rFonts w:ascii="Times New Roman" w:hAnsi="Times New Roman" w:cs="Times New Roman"/>
                <w:sz w:val="16"/>
                <w:szCs w:val="16"/>
              </w:rPr>
              <w:lastRenderedPageBreak/>
              <w:t xml:space="preserve">Рівень соціальної </w:t>
            </w:r>
            <w:r w:rsidRPr="00433BC0">
              <w:rPr>
                <w:rFonts w:ascii="Times New Roman" w:hAnsi="Times New Roman" w:cs="Times New Roman"/>
                <w:sz w:val="16"/>
                <w:szCs w:val="16"/>
              </w:rPr>
              <w:lastRenderedPageBreak/>
              <w:t xml:space="preserve">допомоги </w:t>
            </w:r>
            <w:r>
              <w:rPr>
                <w:rFonts w:ascii="Times New Roman" w:hAnsi="Times New Roman" w:cs="Times New Roman"/>
                <w:sz w:val="16"/>
                <w:szCs w:val="16"/>
              </w:rPr>
              <w:t>–</w:t>
            </w:r>
            <w:r w:rsidRPr="00433BC0">
              <w:rPr>
                <w:rFonts w:ascii="Times New Roman" w:hAnsi="Times New Roman" w:cs="Times New Roman"/>
                <w:sz w:val="16"/>
                <w:szCs w:val="16"/>
              </w:rPr>
              <w:t xml:space="preserve"> стандарт мінімального рівня життя</w:t>
            </w:r>
          </w:p>
        </w:tc>
      </w:tr>
      <w:tr w:rsidR="00B233DE" w:rsidRPr="00433BC0" w:rsidTr="0023489B">
        <w:tc>
          <w:tcPr>
            <w:tcW w:w="1951" w:type="dxa"/>
          </w:tcPr>
          <w:p w:rsidR="00B233DE" w:rsidRPr="00433BC0" w:rsidRDefault="00B233DE" w:rsidP="0023489B">
            <w:pPr>
              <w:ind w:right="-108" w:firstLine="0"/>
              <w:jc w:val="both"/>
              <w:rPr>
                <w:rFonts w:ascii="Times New Roman" w:hAnsi="Times New Roman" w:cs="Times New Roman"/>
                <w:sz w:val="16"/>
                <w:szCs w:val="16"/>
              </w:rPr>
            </w:pPr>
            <w:r w:rsidRPr="00433BC0">
              <w:rPr>
                <w:rFonts w:ascii="Times New Roman" w:hAnsi="Times New Roman" w:cs="Times New Roman"/>
                <w:sz w:val="16"/>
                <w:szCs w:val="16"/>
              </w:rPr>
              <w:lastRenderedPageBreak/>
              <w:t>Перевірка потреби в під</w:t>
            </w:r>
            <w:r>
              <w:rPr>
                <w:rFonts w:ascii="Times New Roman" w:hAnsi="Times New Roman" w:cs="Times New Roman"/>
                <w:sz w:val="16"/>
                <w:szCs w:val="16"/>
              </w:rPr>
              <w:t>-тримці обов’</w:t>
            </w:r>
            <w:r w:rsidRPr="00433BC0">
              <w:rPr>
                <w:rFonts w:ascii="Times New Roman" w:hAnsi="Times New Roman" w:cs="Times New Roman"/>
                <w:sz w:val="16"/>
                <w:szCs w:val="16"/>
              </w:rPr>
              <w:t>язкова</w:t>
            </w:r>
          </w:p>
        </w:tc>
        <w:tc>
          <w:tcPr>
            <w:tcW w:w="2268" w:type="dxa"/>
          </w:tcPr>
          <w:p w:rsidR="00B233DE" w:rsidRPr="00433BC0" w:rsidRDefault="00B233DE" w:rsidP="0023489B">
            <w:pPr>
              <w:ind w:right="-108" w:firstLine="0"/>
              <w:jc w:val="both"/>
              <w:rPr>
                <w:rFonts w:ascii="Times New Roman" w:hAnsi="Times New Roman" w:cs="Times New Roman"/>
                <w:sz w:val="16"/>
                <w:szCs w:val="16"/>
              </w:rPr>
            </w:pPr>
            <w:r w:rsidRPr="00433BC0">
              <w:rPr>
                <w:rFonts w:ascii="Times New Roman" w:hAnsi="Times New Roman" w:cs="Times New Roman"/>
                <w:sz w:val="16"/>
                <w:szCs w:val="16"/>
              </w:rPr>
              <w:t>Пер</w:t>
            </w:r>
            <w:r>
              <w:rPr>
                <w:rFonts w:ascii="Times New Roman" w:hAnsi="Times New Roman" w:cs="Times New Roman"/>
                <w:sz w:val="16"/>
                <w:szCs w:val="16"/>
              </w:rPr>
              <w:t>евірка потреби в підтримці обов’</w:t>
            </w:r>
            <w:r w:rsidRPr="00433BC0">
              <w:rPr>
                <w:rFonts w:ascii="Times New Roman" w:hAnsi="Times New Roman" w:cs="Times New Roman"/>
                <w:sz w:val="16"/>
                <w:szCs w:val="16"/>
              </w:rPr>
              <w:t>язкова</w:t>
            </w:r>
          </w:p>
        </w:tc>
        <w:tc>
          <w:tcPr>
            <w:tcW w:w="1985" w:type="dxa"/>
          </w:tcPr>
          <w:p w:rsidR="00B233DE" w:rsidRPr="00433BC0" w:rsidRDefault="00B233DE" w:rsidP="0023489B">
            <w:pPr>
              <w:ind w:right="-108" w:firstLine="0"/>
              <w:jc w:val="both"/>
              <w:rPr>
                <w:rFonts w:ascii="Times New Roman" w:hAnsi="Times New Roman" w:cs="Times New Roman"/>
                <w:sz w:val="16"/>
                <w:szCs w:val="16"/>
              </w:rPr>
            </w:pPr>
            <w:r w:rsidRPr="00433BC0">
              <w:rPr>
                <w:rFonts w:ascii="Times New Roman" w:hAnsi="Times New Roman" w:cs="Times New Roman"/>
                <w:sz w:val="16"/>
                <w:szCs w:val="16"/>
              </w:rPr>
              <w:t>Перевірка потреби в підтримці другорядна</w:t>
            </w:r>
          </w:p>
        </w:tc>
      </w:tr>
    </w:tbl>
    <w:p w:rsidR="00B233DE" w:rsidRPr="00B618E3" w:rsidRDefault="00B233DE" w:rsidP="00B233DE">
      <w:pPr>
        <w:ind w:firstLine="709"/>
        <w:jc w:val="both"/>
        <w:rPr>
          <w:rFonts w:ascii="Times New Roman" w:hAnsi="Times New Roman" w:cs="Times New Roman"/>
          <w:sz w:val="21"/>
          <w:szCs w:val="21"/>
        </w:rPr>
      </w:pPr>
      <w:r w:rsidRPr="00B618E3">
        <w:rPr>
          <w:rFonts w:ascii="Times New Roman" w:hAnsi="Times New Roman" w:cs="Times New Roman"/>
          <w:sz w:val="21"/>
          <w:szCs w:val="21"/>
        </w:rPr>
        <w:t>Таким чином, при виділенні економічного чинника як базового в процесі формування соціальної політики о</w:t>
      </w:r>
      <w:r>
        <w:rPr>
          <w:rFonts w:ascii="Times New Roman" w:hAnsi="Times New Roman" w:cs="Times New Roman"/>
          <w:sz w:val="21"/>
          <w:szCs w:val="21"/>
        </w:rPr>
        <w:t>сновний наголос ставиться на об’</w:t>
      </w:r>
      <w:r w:rsidRPr="00B618E3">
        <w:rPr>
          <w:rFonts w:ascii="Times New Roman" w:hAnsi="Times New Roman" w:cs="Times New Roman"/>
          <w:sz w:val="21"/>
          <w:szCs w:val="21"/>
        </w:rPr>
        <w:t xml:space="preserve">єм засобів, що витрачаються на підтримку переважно нужденних верств населення, а також </w:t>
      </w:r>
      <w:r>
        <w:rPr>
          <w:rFonts w:ascii="Times New Roman" w:hAnsi="Times New Roman" w:cs="Times New Roman"/>
          <w:sz w:val="21"/>
          <w:szCs w:val="21"/>
        </w:rPr>
        <w:t>–</w:t>
      </w:r>
      <w:r w:rsidRPr="00B618E3">
        <w:rPr>
          <w:rFonts w:ascii="Times New Roman" w:hAnsi="Times New Roman" w:cs="Times New Roman"/>
          <w:sz w:val="21"/>
          <w:szCs w:val="21"/>
        </w:rPr>
        <w:t xml:space="preserve"> на фінансування галузей соціальної сфери життєдіяльності суспільства. При цьому цілі соціальної політики формулюються в термінах мінімально необхідних і достатніх витрат, для чого визначаються межові значення у вигляді показників прожиткового мінімуму, мінімальної заробітної плати, споживчого кошику тощо.</w:t>
      </w:r>
    </w:p>
    <w:p w:rsidR="00B233DE" w:rsidRPr="00B618E3"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Взаємозв’</w:t>
      </w:r>
      <w:r w:rsidRPr="00B618E3">
        <w:rPr>
          <w:rFonts w:ascii="Times New Roman" w:hAnsi="Times New Roman" w:cs="Times New Roman"/>
          <w:sz w:val="21"/>
          <w:szCs w:val="21"/>
        </w:rPr>
        <w:t>язок і взаємозалежність економіки і соціальної політики очевидний, проте акцент, як правило, ставиться на залежність другої від першої і не враховується, що при правильному підході сама соціальна політика може і повинна активно впливати на економічне зростання, фінансові потоки і бюджетну політику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_Ref435620032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107</w:t>
      </w:r>
      <w:r>
        <w:rPr>
          <w:rFonts w:ascii="Times New Roman" w:hAnsi="Times New Roman" w:cs="Times New Roman"/>
          <w:sz w:val="21"/>
          <w:szCs w:val="21"/>
          <w:highlight w:val="yellow"/>
        </w:rPr>
        <w:fldChar w:fldCharType="end"/>
      </w:r>
      <w:r w:rsidRPr="00B618E3">
        <w:rPr>
          <w:rFonts w:ascii="Times New Roman" w:hAnsi="Times New Roman" w:cs="Times New Roman"/>
          <w:sz w:val="21"/>
          <w:szCs w:val="21"/>
        </w:rPr>
        <w:t>, c.</w:t>
      </w:r>
      <w:r>
        <w:rPr>
          <w:rFonts w:ascii="Times New Roman" w:hAnsi="Times New Roman" w:cs="Times New Roman"/>
          <w:sz w:val="21"/>
          <w:szCs w:val="21"/>
        </w:rPr>
        <w:t xml:space="preserve"> </w:t>
      </w:r>
      <w:r w:rsidRPr="00B618E3">
        <w:rPr>
          <w:rFonts w:ascii="Times New Roman" w:hAnsi="Times New Roman" w:cs="Times New Roman"/>
          <w:sz w:val="21"/>
          <w:szCs w:val="21"/>
        </w:rPr>
        <w:t xml:space="preserve">11]. Зворотний вплив соціальної політики на економіку, фінанси, бюджет росте з підвищенням її ефективності в соціально-трудовій сфері, виправдовуючи вкладені в неї кошти. </w:t>
      </w:r>
    </w:p>
    <w:p w:rsidR="00B233DE" w:rsidRPr="00356174"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У порівнянні категорій «соціальна політика», «ринкова економіка» і «соціальна ринкова економіка»</w:t>
      </w:r>
      <w:r w:rsidRPr="00B618E3">
        <w:rPr>
          <w:rFonts w:ascii="Times New Roman" w:hAnsi="Times New Roman" w:cs="Times New Roman"/>
          <w:sz w:val="21"/>
          <w:szCs w:val="21"/>
        </w:rPr>
        <w:t xml:space="preserve"> існують</w:t>
      </w:r>
      <w:r>
        <w:rPr>
          <w:rFonts w:ascii="Times New Roman" w:hAnsi="Times New Roman" w:cs="Times New Roman"/>
          <w:sz w:val="21"/>
          <w:szCs w:val="21"/>
        </w:rPr>
        <w:t xml:space="preserve"> об’</w:t>
      </w:r>
      <w:r w:rsidRPr="00B618E3">
        <w:rPr>
          <w:rFonts w:ascii="Times New Roman" w:hAnsi="Times New Roman" w:cs="Times New Roman"/>
          <w:sz w:val="21"/>
          <w:szCs w:val="21"/>
        </w:rPr>
        <w:t>єктивні протиріччя. Розбіжність в меті і орієнтирах призводить до того,</w:t>
      </w:r>
      <w:r w:rsidRPr="00356174">
        <w:rPr>
          <w:rFonts w:ascii="Times New Roman" w:hAnsi="Times New Roman" w:cs="Times New Roman"/>
          <w:sz w:val="21"/>
          <w:szCs w:val="21"/>
        </w:rPr>
        <w:t xml:space="preserve"> що ідеї прибутку і конкуренції до певної міри витісняються критеріями соціальної справедливості, соціального захисту через втручання держави в економіку. Таким чином, соціальна політика заради соціальної згоди забезпечує пріоритет соціальних характеристик перед економічною ефективністю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_Ref435620032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107</w:t>
      </w:r>
      <w:r>
        <w:rPr>
          <w:rFonts w:ascii="Times New Roman" w:hAnsi="Times New Roman" w:cs="Times New Roman"/>
          <w:sz w:val="21"/>
          <w:szCs w:val="21"/>
          <w:highlight w:val="yellow"/>
        </w:rPr>
        <w:fldChar w:fldCharType="end"/>
      </w:r>
      <w:r w:rsidRPr="00356174">
        <w:rPr>
          <w:rFonts w:ascii="Times New Roman" w:hAnsi="Times New Roman" w:cs="Times New Roman"/>
          <w:sz w:val="21"/>
          <w:szCs w:val="21"/>
        </w:rPr>
        <w:t>, c.</w:t>
      </w:r>
      <w:r>
        <w:rPr>
          <w:rFonts w:ascii="Times New Roman" w:hAnsi="Times New Roman" w:cs="Times New Roman"/>
          <w:sz w:val="21"/>
          <w:szCs w:val="21"/>
        </w:rPr>
        <w:t xml:space="preserve"> </w:t>
      </w:r>
      <w:r w:rsidRPr="00356174">
        <w:rPr>
          <w:rFonts w:ascii="Times New Roman" w:hAnsi="Times New Roman" w:cs="Times New Roman"/>
          <w:sz w:val="21"/>
          <w:szCs w:val="21"/>
        </w:rPr>
        <w:t xml:space="preserve">17]. Проте це вірно тільки до деякої міри, більше того </w:t>
      </w:r>
      <w:r>
        <w:rPr>
          <w:rFonts w:ascii="Times New Roman" w:hAnsi="Times New Roman" w:cs="Times New Roman"/>
          <w:sz w:val="21"/>
          <w:szCs w:val="21"/>
        </w:rPr>
        <w:t>–</w:t>
      </w:r>
      <w:r w:rsidRPr="00356174">
        <w:rPr>
          <w:rFonts w:ascii="Times New Roman" w:hAnsi="Times New Roman" w:cs="Times New Roman"/>
          <w:sz w:val="21"/>
          <w:szCs w:val="21"/>
        </w:rPr>
        <w:t xml:space="preserve"> досвід західного підприємництва включає соціальний чинник в коло інструментів підвищення ефективності використання людського капіталу і як наслідок </w:t>
      </w:r>
      <w:r>
        <w:rPr>
          <w:rFonts w:ascii="Times New Roman" w:hAnsi="Times New Roman" w:cs="Times New Roman"/>
          <w:sz w:val="21"/>
          <w:szCs w:val="21"/>
        </w:rPr>
        <w:t>–</w:t>
      </w:r>
      <w:r w:rsidRPr="00356174">
        <w:rPr>
          <w:rFonts w:ascii="Times New Roman" w:hAnsi="Times New Roman" w:cs="Times New Roman"/>
          <w:sz w:val="21"/>
          <w:szCs w:val="21"/>
        </w:rPr>
        <w:t xml:space="preserve"> зростання економічної ефективності.</w:t>
      </w:r>
    </w:p>
    <w:p w:rsidR="00B233DE" w:rsidRPr="00356174"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t xml:space="preserve">В усіх концепціях і теоріях економічна ефективність </w:t>
      </w:r>
      <w:r>
        <w:rPr>
          <w:rFonts w:ascii="Times New Roman" w:hAnsi="Times New Roman" w:cs="Times New Roman"/>
          <w:sz w:val="21"/>
          <w:szCs w:val="21"/>
        </w:rPr>
        <w:t>–</w:t>
      </w:r>
      <w:r w:rsidRPr="00356174">
        <w:rPr>
          <w:rFonts w:ascii="Times New Roman" w:hAnsi="Times New Roman" w:cs="Times New Roman"/>
          <w:sz w:val="21"/>
          <w:szCs w:val="21"/>
        </w:rPr>
        <w:t xml:space="preserve"> основа і умова соціальної політики, запорука можливості державного управління соціальною політикою як формою перерозподілу для реалізації соціальної справедливості. Тільки загальна і цілісна ефективність </w:t>
      </w:r>
      <w:r>
        <w:rPr>
          <w:rFonts w:ascii="Times New Roman" w:hAnsi="Times New Roman" w:cs="Times New Roman"/>
          <w:sz w:val="21"/>
          <w:szCs w:val="21"/>
        </w:rPr>
        <w:t>–</w:t>
      </w:r>
      <w:r w:rsidRPr="00356174">
        <w:rPr>
          <w:rFonts w:ascii="Times New Roman" w:hAnsi="Times New Roman" w:cs="Times New Roman"/>
          <w:sz w:val="21"/>
          <w:szCs w:val="21"/>
        </w:rPr>
        <w:t xml:space="preserve"> соціальна і економічна </w:t>
      </w:r>
      <w:r>
        <w:rPr>
          <w:rFonts w:ascii="Times New Roman" w:hAnsi="Times New Roman" w:cs="Times New Roman"/>
          <w:sz w:val="21"/>
          <w:szCs w:val="21"/>
        </w:rPr>
        <w:t>–</w:t>
      </w:r>
      <w:r w:rsidRPr="00356174">
        <w:rPr>
          <w:rFonts w:ascii="Times New Roman" w:hAnsi="Times New Roman" w:cs="Times New Roman"/>
          <w:sz w:val="21"/>
          <w:szCs w:val="21"/>
        </w:rPr>
        <w:t xml:space="preserve"> може бути критерієм розвитку.</w:t>
      </w:r>
    </w:p>
    <w:p w:rsidR="00B233DE" w:rsidRPr="00356174"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lastRenderedPageBreak/>
        <w:t xml:space="preserve">Недооцінка такого підходу може привести до тяжких наслідків і втрат, як економічних, так і соціально-політичних. </w:t>
      </w:r>
    </w:p>
    <w:p w:rsidR="00B233DE" w:rsidRPr="00356174"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Саме категорія «соціальна політика»</w:t>
      </w:r>
      <w:r w:rsidRPr="00356174">
        <w:rPr>
          <w:rFonts w:ascii="Times New Roman" w:hAnsi="Times New Roman" w:cs="Times New Roman"/>
          <w:sz w:val="21"/>
          <w:szCs w:val="21"/>
        </w:rPr>
        <w:t xml:space="preserve"> несе змістовні (концептуальні стратегії) і політико-організуючі (практична соціальна полі</w:t>
      </w:r>
      <w:r>
        <w:rPr>
          <w:rFonts w:ascii="Times New Roman" w:hAnsi="Times New Roman" w:cs="Times New Roman"/>
          <w:sz w:val="21"/>
          <w:szCs w:val="21"/>
        </w:rPr>
        <w:t>тика) навантаження в повному об’</w:t>
      </w:r>
      <w:r w:rsidRPr="00356174">
        <w:rPr>
          <w:rFonts w:ascii="Times New Roman" w:hAnsi="Times New Roman" w:cs="Times New Roman"/>
          <w:sz w:val="21"/>
          <w:szCs w:val="21"/>
        </w:rPr>
        <w:t>ємі і є на сучасному етапі стрижнем і критерієм якості демократії і успішності перетворень, оцінюючи потенціал політичної еліти, влади і опозиції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_Ref435621017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121</w:t>
      </w:r>
      <w:r>
        <w:rPr>
          <w:rFonts w:ascii="Times New Roman" w:hAnsi="Times New Roman" w:cs="Times New Roman"/>
          <w:sz w:val="21"/>
          <w:szCs w:val="21"/>
          <w:highlight w:val="yellow"/>
        </w:rPr>
        <w:fldChar w:fldCharType="end"/>
      </w:r>
      <w:r w:rsidRPr="00356174">
        <w:rPr>
          <w:rFonts w:ascii="Times New Roman" w:hAnsi="Times New Roman" w:cs="Times New Roman"/>
          <w:sz w:val="21"/>
          <w:szCs w:val="21"/>
        </w:rPr>
        <w:t xml:space="preserve">, c. 247]. </w:t>
      </w:r>
    </w:p>
    <w:p w:rsidR="00B233DE" w:rsidRPr="00356174"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t xml:space="preserve">В термінах соціології цілі соціальної політики визначаються цінностями правлячої політичної еліти і досліджуються в термінах соціальної диференціації і соціальної нерівності. При цьому основною метою соціальної політики в даному випадку є забезпечення стійкості суспільства, зниження рівня соціальної напруженості. </w:t>
      </w:r>
    </w:p>
    <w:p w:rsidR="00B233DE" w:rsidRPr="00356174"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t>Соціальна політика, метою якої є надання рівних прав і можлив</w:t>
      </w:r>
      <w:r>
        <w:rPr>
          <w:rFonts w:ascii="Times New Roman" w:hAnsi="Times New Roman" w:cs="Times New Roman"/>
          <w:sz w:val="21"/>
          <w:szCs w:val="21"/>
        </w:rPr>
        <w:t>остей, є об’</w:t>
      </w:r>
      <w:r w:rsidRPr="00356174">
        <w:rPr>
          <w:rFonts w:ascii="Times New Roman" w:hAnsi="Times New Roman" w:cs="Times New Roman"/>
          <w:sz w:val="21"/>
          <w:szCs w:val="21"/>
        </w:rPr>
        <w:t>єктом вивчення у рамках політології. Так, кожен з видів політичного устрою припускає адекватний йому тип соціальної політики. Зокрема, Г. К. Губерна і А.</w:t>
      </w:r>
      <w:r>
        <w:rPr>
          <w:rFonts w:ascii="Times New Roman" w:hAnsi="Times New Roman" w:cs="Times New Roman"/>
          <w:sz w:val="21"/>
          <w:szCs w:val="21"/>
        </w:rPr>
        <w:t xml:space="preserve"> П. Ткаченко відмічають, що «</w:t>
      </w:r>
      <w:r w:rsidRPr="00356174">
        <w:rPr>
          <w:rFonts w:ascii="Times New Roman" w:hAnsi="Times New Roman" w:cs="Times New Roman"/>
          <w:sz w:val="21"/>
          <w:szCs w:val="21"/>
        </w:rPr>
        <w:t>в країнах, де велика частина населення живе за межами стандартів мінімального життєзаб</w:t>
      </w:r>
      <w:r>
        <w:rPr>
          <w:rFonts w:ascii="Times New Roman" w:hAnsi="Times New Roman" w:cs="Times New Roman"/>
          <w:sz w:val="21"/>
          <w:szCs w:val="21"/>
        </w:rPr>
        <w:t>езпечення, демократія неможлива»</w:t>
      </w:r>
      <w:r w:rsidRPr="00356174">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_Ref435621027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26</w:t>
      </w:r>
      <w:r>
        <w:rPr>
          <w:rFonts w:ascii="Times New Roman" w:hAnsi="Times New Roman" w:cs="Times New Roman"/>
          <w:sz w:val="21"/>
          <w:szCs w:val="21"/>
          <w:highlight w:val="yellow"/>
        </w:rPr>
        <w:fldChar w:fldCharType="end"/>
      </w:r>
      <w:r w:rsidRPr="00356174">
        <w:rPr>
          <w:rFonts w:ascii="Times New Roman" w:hAnsi="Times New Roman" w:cs="Times New Roman"/>
          <w:sz w:val="21"/>
          <w:szCs w:val="21"/>
        </w:rPr>
        <w:t>, с. 119</w:t>
      </w:r>
      <w:r>
        <w:rPr>
          <w:rFonts w:ascii="Times New Roman" w:hAnsi="Times New Roman" w:cs="Times New Roman"/>
          <w:sz w:val="21"/>
          <w:szCs w:val="21"/>
        </w:rPr>
        <w:t>–</w:t>
      </w:r>
      <w:r w:rsidRPr="00356174">
        <w:rPr>
          <w:rFonts w:ascii="Times New Roman" w:hAnsi="Times New Roman" w:cs="Times New Roman"/>
          <w:sz w:val="21"/>
          <w:szCs w:val="21"/>
        </w:rPr>
        <w:t xml:space="preserve">120]. </w:t>
      </w:r>
    </w:p>
    <w:p w:rsidR="00B233DE" w:rsidRPr="00356174"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t>При виборі політології як концептуального базису формулювання цілей соціальної політики спост</w:t>
      </w:r>
      <w:r>
        <w:rPr>
          <w:rFonts w:ascii="Times New Roman" w:hAnsi="Times New Roman" w:cs="Times New Roman"/>
          <w:sz w:val="21"/>
          <w:szCs w:val="21"/>
        </w:rPr>
        <w:t>ерігається чіткий взаємозв’</w:t>
      </w:r>
      <w:r w:rsidRPr="00356174">
        <w:rPr>
          <w:rFonts w:ascii="Times New Roman" w:hAnsi="Times New Roman" w:cs="Times New Roman"/>
          <w:sz w:val="21"/>
          <w:szCs w:val="21"/>
        </w:rPr>
        <w:t xml:space="preserve">язок соціальних ініціатив держави і основних фаз політичного циклу, що протікає від одних виборів до наступних. </w:t>
      </w:r>
    </w:p>
    <w:p w:rsidR="00B233DE" w:rsidRPr="00356174"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t>У рамках концептуального підходу, що враховує як основу політологію, сформовані клас</w:t>
      </w:r>
      <w:r>
        <w:rPr>
          <w:rFonts w:ascii="Times New Roman" w:hAnsi="Times New Roman" w:cs="Times New Roman"/>
          <w:sz w:val="21"/>
          <w:szCs w:val="21"/>
        </w:rPr>
        <w:t>ифікації соціальної політики В. </w:t>
      </w:r>
      <w:r w:rsidRPr="00356174">
        <w:rPr>
          <w:rFonts w:ascii="Times New Roman" w:hAnsi="Times New Roman" w:cs="Times New Roman"/>
          <w:sz w:val="21"/>
          <w:szCs w:val="21"/>
        </w:rPr>
        <w:t>Д</w:t>
      </w:r>
      <w:r>
        <w:rPr>
          <w:rFonts w:ascii="Times New Roman" w:hAnsi="Times New Roman" w:cs="Times New Roman"/>
          <w:sz w:val="21"/>
          <w:szCs w:val="21"/>
        </w:rPr>
        <w:t xml:space="preserve">жорджа і Р. Уілдінга, а також </w:t>
      </w:r>
      <w:r w:rsidRPr="00356174">
        <w:rPr>
          <w:rFonts w:ascii="Times New Roman" w:hAnsi="Times New Roman" w:cs="Times New Roman"/>
          <w:sz w:val="21"/>
          <w:szCs w:val="21"/>
        </w:rPr>
        <w:t>Ф.</w:t>
      </w:r>
      <w:r>
        <w:rPr>
          <w:rFonts w:ascii="Times New Roman" w:hAnsi="Times New Roman" w:cs="Times New Roman"/>
          <w:sz w:val="21"/>
          <w:szCs w:val="21"/>
        </w:rPr>
        <w:t xml:space="preserve"> </w:t>
      </w:r>
      <w:r w:rsidRPr="00356174">
        <w:rPr>
          <w:rFonts w:ascii="Times New Roman" w:hAnsi="Times New Roman" w:cs="Times New Roman"/>
          <w:sz w:val="21"/>
          <w:szCs w:val="21"/>
        </w:rPr>
        <w:t xml:space="preserve">Уільямс. </w:t>
      </w:r>
    </w:p>
    <w:p w:rsidR="00B233DE" w:rsidRPr="00356174"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t xml:space="preserve">В. Джордж і Р. Уілдінг побудували свою класифікацію, спираючись на те, як впливають на соціальну політику ідеологія і нормативні політичні принципи. Вони розрізняють такі моделі, як антиколективістська (у основі її лежить ліберальна ідеологія правого крила), вимушено соціалістична (спирається на віру в те, що можливе ефективне державне регулювання ринкової економіки і прагматизм в наданні соціальних послуг), фабіанський соціалізм (прихильність ідеям економічної рівності, демократичним процесам і сильній системі соціального захисту), марксистська (розподіл громадських благ відповідно до потреб людей). </w:t>
      </w:r>
    </w:p>
    <w:p w:rsidR="00B233DE" w:rsidRPr="00356174"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lastRenderedPageBreak/>
        <w:t>Схожий підхід спостерігається і у Ф.</w:t>
      </w:r>
      <w:r>
        <w:rPr>
          <w:rFonts w:ascii="Times New Roman" w:hAnsi="Times New Roman" w:cs="Times New Roman"/>
          <w:sz w:val="21"/>
          <w:szCs w:val="21"/>
        </w:rPr>
        <w:t xml:space="preserve"> Уільямс, яка відмічає взаємозв’</w:t>
      </w:r>
      <w:r w:rsidRPr="00356174">
        <w:rPr>
          <w:rFonts w:ascii="Times New Roman" w:hAnsi="Times New Roman" w:cs="Times New Roman"/>
          <w:sz w:val="21"/>
          <w:szCs w:val="21"/>
        </w:rPr>
        <w:t>язок між цінностями, політичними ідеологіями і відповідною організацією державної системи соціального захисту. Вона виділяє наступні моделі соціальної політики: антиколективістську, несоціалістичний колективізм загального добробуту, модель радикального соціального управління, модель політичної економі</w:t>
      </w:r>
      <w:r>
        <w:rPr>
          <w:rFonts w:ascii="Times New Roman" w:hAnsi="Times New Roman" w:cs="Times New Roman"/>
          <w:sz w:val="21"/>
          <w:szCs w:val="21"/>
        </w:rPr>
        <w:t>ї «загального добробуту»</w:t>
      </w:r>
      <w:r w:rsidRPr="00356174">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_Ref435621035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77</w:t>
      </w:r>
      <w:r>
        <w:rPr>
          <w:rFonts w:ascii="Times New Roman" w:hAnsi="Times New Roman" w:cs="Times New Roman"/>
          <w:sz w:val="21"/>
          <w:szCs w:val="21"/>
          <w:highlight w:val="yellow"/>
        </w:rPr>
        <w:fldChar w:fldCharType="end"/>
      </w:r>
      <w:r w:rsidRPr="00356174">
        <w:rPr>
          <w:rFonts w:ascii="Times New Roman" w:hAnsi="Times New Roman" w:cs="Times New Roman"/>
          <w:sz w:val="21"/>
          <w:szCs w:val="21"/>
        </w:rPr>
        <w:t xml:space="preserve">, с. 39]. Суть виділених якісних станів ідентична наведеній вище класифікації В. Джорджа і Р. Уілдінга. </w:t>
      </w:r>
    </w:p>
    <w:p w:rsidR="00B233DE" w:rsidRPr="00356174"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t>В термінах теорії безпеки, формулювання цілей соціальної політики реалізується на основі аналізу погроз. Сформульовані явні і потенційні погрози визначають актуальні цілі і завдання соціальної політики держави як складової політики національної безпеки.</w:t>
      </w:r>
    </w:p>
    <w:p w:rsidR="00B233DE" w:rsidRPr="00356174"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t>Таким чином, вибір концептуально</w:t>
      </w:r>
      <w:r>
        <w:rPr>
          <w:rFonts w:ascii="Times New Roman" w:hAnsi="Times New Roman" w:cs="Times New Roman"/>
          <w:sz w:val="21"/>
          <w:szCs w:val="21"/>
        </w:rPr>
        <w:t>го базису визначає ті базові об’</w:t>
      </w:r>
      <w:r w:rsidRPr="00356174">
        <w:rPr>
          <w:rFonts w:ascii="Times New Roman" w:hAnsi="Times New Roman" w:cs="Times New Roman"/>
          <w:sz w:val="21"/>
          <w:szCs w:val="21"/>
        </w:rPr>
        <w:t>єкти, які піддаються управлінській дії з метою їх трансформації, або збереження існуючих параметрів їх стану. У</w:t>
      </w:r>
      <w:r>
        <w:rPr>
          <w:rFonts w:ascii="Times New Roman" w:hAnsi="Times New Roman" w:cs="Times New Roman"/>
          <w:sz w:val="21"/>
          <w:szCs w:val="21"/>
        </w:rPr>
        <w:t>правління процесом поведінки об’</w:t>
      </w:r>
      <w:r w:rsidRPr="00356174">
        <w:rPr>
          <w:rFonts w:ascii="Times New Roman" w:hAnsi="Times New Roman" w:cs="Times New Roman"/>
          <w:sz w:val="21"/>
          <w:szCs w:val="21"/>
        </w:rPr>
        <w:t>єкт</w:t>
      </w:r>
      <w:r>
        <w:rPr>
          <w:rFonts w:ascii="Times New Roman" w:hAnsi="Times New Roman" w:cs="Times New Roman"/>
          <w:sz w:val="21"/>
          <w:szCs w:val="21"/>
        </w:rPr>
        <w:t>а</w:t>
      </w:r>
      <w:r w:rsidRPr="00356174">
        <w:rPr>
          <w:rFonts w:ascii="Times New Roman" w:hAnsi="Times New Roman" w:cs="Times New Roman"/>
          <w:sz w:val="21"/>
          <w:szCs w:val="21"/>
        </w:rPr>
        <w:t xml:space="preserve"> управління в часі визначає цілі соціальної політики в контексті динаміки,</w:t>
      </w:r>
      <w:r>
        <w:rPr>
          <w:rFonts w:ascii="Times New Roman" w:hAnsi="Times New Roman" w:cs="Times New Roman"/>
          <w:sz w:val="21"/>
          <w:szCs w:val="21"/>
        </w:rPr>
        <w:t xml:space="preserve"> стану і структури вибраного об’єкта (об’</w:t>
      </w:r>
      <w:r w:rsidRPr="00356174">
        <w:rPr>
          <w:rFonts w:ascii="Times New Roman" w:hAnsi="Times New Roman" w:cs="Times New Roman"/>
          <w:sz w:val="21"/>
          <w:szCs w:val="21"/>
        </w:rPr>
        <w:t>єктів). Реалізація поставлених цілей здійснюється шляхом вибору методів здійснення соціальної політики, адекватних вибраному концептуальному базису. Вибір критеріїв оцінки ефективності соціальної політики держави робиться відповідно до поставлених цілей. Незважаючи на той факт, що вибір методів (інструментів) здійснюється на етапі формування соціальної політики держави, їх використання є основою функціонування механізму реалізації соціальної політики.</w:t>
      </w:r>
    </w:p>
    <w:p w:rsidR="00B233DE" w:rsidRPr="00356174"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t>Аналізуючи модель соціальної політики із застосуванням соціологічного базису, можна збагнути її передумови; використання ж економічних підходів дає можливість оцінити її результат. Застосування підходів політології, теорії державного управління і національної безпеки забезпечує аналіз процесу формування принципів і вибору інструментів соціальної політики держави. Соціологічний підхід є первинним при визначенні моделі соціальної політики, оскільки базується на обліку передісторії громадського розвитку, культурних особливостей суспільства, світогляду і цінностей громадян в даний період часу.</w:t>
      </w:r>
    </w:p>
    <w:p w:rsidR="00B233DE" w:rsidRPr="00356174" w:rsidRDefault="00B233DE" w:rsidP="00B233DE">
      <w:pPr>
        <w:ind w:firstLine="709"/>
        <w:jc w:val="both"/>
        <w:rPr>
          <w:rFonts w:ascii="Times New Roman" w:hAnsi="Times New Roman" w:cs="Times New Roman"/>
          <w:sz w:val="21"/>
          <w:szCs w:val="21"/>
        </w:rPr>
      </w:pPr>
      <w:r w:rsidRPr="00356174">
        <w:rPr>
          <w:rFonts w:ascii="Times New Roman" w:hAnsi="Times New Roman" w:cs="Times New Roman"/>
          <w:sz w:val="21"/>
          <w:szCs w:val="21"/>
        </w:rPr>
        <w:t xml:space="preserve">Таким чином, можна зробити висновок про те, що формування соціальної політики в Україні повинне базуватися на </w:t>
      </w:r>
      <w:r w:rsidRPr="00356174">
        <w:rPr>
          <w:rFonts w:ascii="Times New Roman" w:hAnsi="Times New Roman" w:cs="Times New Roman"/>
          <w:sz w:val="21"/>
          <w:szCs w:val="21"/>
        </w:rPr>
        <w:lastRenderedPageBreak/>
        <w:t xml:space="preserve">основі концептуальних підходів соціологічного базису, економічних оцінок, теорій державного управління і національної безпеки, адаптованих до цінностей громадян України на сучасному етапі. </w:t>
      </w:r>
    </w:p>
    <w:p w:rsidR="00B233DE" w:rsidRPr="00356174" w:rsidRDefault="00B233DE" w:rsidP="00B233DE">
      <w:pPr>
        <w:widowControl w:val="0"/>
        <w:spacing w:line="233" w:lineRule="auto"/>
        <w:ind w:firstLine="709"/>
        <w:contextualSpacing/>
        <w:jc w:val="both"/>
        <w:rPr>
          <w:rFonts w:ascii="Times New Roman" w:hAnsi="Times New Roman" w:cs="Times New Roman"/>
          <w:sz w:val="21"/>
          <w:szCs w:val="21"/>
        </w:rPr>
      </w:pPr>
      <w:r w:rsidRPr="00356174">
        <w:rPr>
          <w:rFonts w:ascii="Times New Roman" w:hAnsi="Times New Roman" w:cs="Times New Roman"/>
          <w:sz w:val="21"/>
          <w:szCs w:val="21"/>
        </w:rPr>
        <w:t>Досліджуючи різні аспекти соціальної нерівності в сучасній Україні з метою знаходження оптимальної комбінації щодо вирішення проблем сьогодення, включаючи розкриття стратегії виживання окремих соціальних груп, І. Ільчук справедливо вважає, що від подолання надлишкової соціальної нерівності в Україні багато в чому залежить майбутнє</w:t>
      </w:r>
      <w:r>
        <w:rPr>
          <w:rFonts w:ascii="Times New Roman" w:hAnsi="Times New Roman" w:cs="Times New Roman"/>
          <w:sz w:val="21"/>
          <w:szCs w:val="21"/>
        </w:rPr>
        <w:t xml:space="preserve"> нашої держави. </w:t>
      </w:r>
      <w:r w:rsidRPr="00356174">
        <w:rPr>
          <w:rFonts w:ascii="Times New Roman" w:hAnsi="Times New Roman" w:cs="Times New Roman"/>
          <w:sz w:val="21"/>
          <w:szCs w:val="21"/>
        </w:rPr>
        <w:t>Вчений зазначає, що «параметри соціальної нерівності повинні бути об’єктом безпосереднього й опосередкованого (не прямого) державного впливу в тій ступені, в якій вони не підривають механізми ринкового регулювання, але в свою чергу нейтралізують його можливі негативні наслідки для економічної динаміки, добробуту й політичної стабільності суспільства»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_Ref435621043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112</w:t>
      </w:r>
      <w:r>
        <w:rPr>
          <w:rFonts w:ascii="Times New Roman" w:hAnsi="Times New Roman" w:cs="Times New Roman"/>
          <w:sz w:val="21"/>
          <w:szCs w:val="21"/>
          <w:highlight w:val="yellow"/>
        </w:rPr>
        <w:fldChar w:fldCharType="end"/>
      </w:r>
      <w:r w:rsidRPr="00356174">
        <w:rPr>
          <w:rFonts w:ascii="Times New Roman" w:hAnsi="Times New Roman" w:cs="Times New Roman"/>
          <w:sz w:val="21"/>
          <w:szCs w:val="21"/>
        </w:rPr>
        <w:t>, с. 6]. Отже, вирішення вказаної проблеми є одним із основни</w:t>
      </w:r>
      <w:r>
        <w:rPr>
          <w:rFonts w:ascii="Times New Roman" w:hAnsi="Times New Roman" w:cs="Times New Roman"/>
          <w:sz w:val="21"/>
          <w:szCs w:val="21"/>
        </w:rPr>
        <w:t xml:space="preserve">х завдань державної соціальної </w:t>
      </w:r>
      <w:r w:rsidRPr="00356174">
        <w:rPr>
          <w:rFonts w:ascii="Times New Roman" w:hAnsi="Times New Roman" w:cs="Times New Roman"/>
          <w:sz w:val="21"/>
          <w:szCs w:val="21"/>
        </w:rPr>
        <w:t>політики в Україні.</w:t>
      </w:r>
    </w:p>
    <w:p w:rsidR="00B233DE" w:rsidRPr="008A63BB"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 xml:space="preserve">На думку А. </w:t>
      </w:r>
      <w:r w:rsidRPr="008A63BB">
        <w:rPr>
          <w:rFonts w:ascii="Times New Roman" w:hAnsi="Times New Roman" w:cs="Times New Roman"/>
          <w:sz w:val="21"/>
          <w:szCs w:val="21"/>
        </w:rPr>
        <w:t xml:space="preserve">Колота, об’єктом соціальної політики виступає все населення країни з акцентом на найбільш уразливі та малозабезпечені верстви. Безумовно, вони потребують </w:t>
      </w:r>
      <w:r>
        <w:rPr>
          <w:rFonts w:ascii="Times New Roman" w:hAnsi="Times New Roman" w:cs="Times New Roman"/>
          <w:sz w:val="21"/>
          <w:szCs w:val="21"/>
        </w:rPr>
        <w:t>уваги з боку держави, але умови</w:t>
      </w:r>
      <w:r w:rsidRPr="008A63BB">
        <w:rPr>
          <w:rFonts w:ascii="Times New Roman" w:hAnsi="Times New Roman" w:cs="Times New Roman"/>
          <w:sz w:val="21"/>
          <w:szCs w:val="21"/>
        </w:rPr>
        <w:t>, необхідні для підтримки соціально уразливих груп непрацюючого населення, створюються зайнятими в суспільному виробництві, на яких можуть і повинні поширюватися заходи щодо їх соціальної підтримки та розвитку. Це підтверджується і досвідом розвинених країн, який свідчить, що в умовах інноваційного розвитку збільшення суспільного та індивідуального багатства, а також розвиток самого суспільства неможливі без проведення активної</w:t>
      </w:r>
      <w:r>
        <w:rPr>
          <w:rFonts w:ascii="Times New Roman" w:hAnsi="Times New Roman" w:cs="Times New Roman"/>
          <w:sz w:val="21"/>
          <w:szCs w:val="21"/>
        </w:rPr>
        <w:t xml:space="preserve">, системної соціальної політики </w:t>
      </w:r>
      <w:r w:rsidRPr="008A63BB">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_Ref435621050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48</w:t>
      </w:r>
      <w:r>
        <w:rPr>
          <w:rFonts w:ascii="Times New Roman" w:hAnsi="Times New Roman" w:cs="Times New Roman"/>
          <w:sz w:val="21"/>
          <w:szCs w:val="21"/>
          <w:highlight w:val="yellow"/>
        </w:rPr>
        <w:fldChar w:fldCharType="end"/>
      </w:r>
      <w:r w:rsidRPr="008A63BB">
        <w:rPr>
          <w:rFonts w:ascii="Times New Roman" w:hAnsi="Times New Roman" w:cs="Times New Roman"/>
          <w:sz w:val="21"/>
          <w:szCs w:val="21"/>
        </w:rPr>
        <w:t>].</w:t>
      </w:r>
    </w:p>
    <w:p w:rsidR="00B233DE" w:rsidRPr="008A63BB" w:rsidRDefault="00B233DE" w:rsidP="00B233DE">
      <w:pPr>
        <w:ind w:firstLine="709"/>
        <w:jc w:val="both"/>
        <w:rPr>
          <w:rFonts w:ascii="Times New Roman" w:hAnsi="Times New Roman" w:cs="Times New Roman"/>
          <w:sz w:val="21"/>
          <w:szCs w:val="21"/>
        </w:rPr>
      </w:pPr>
      <w:r w:rsidRPr="008A63BB">
        <w:rPr>
          <w:rFonts w:ascii="Times New Roman" w:hAnsi="Times New Roman" w:cs="Times New Roman"/>
          <w:sz w:val="21"/>
          <w:szCs w:val="21"/>
        </w:rPr>
        <w:t>Більш конкретизованою класифікацією об’єктів соціальної політики у напрямі регулювання розвитку людського потенціалу населення є наступна:</w:t>
      </w:r>
    </w:p>
    <w:p w:rsidR="00B233DE" w:rsidRPr="008A63BB" w:rsidRDefault="00B233DE" w:rsidP="00B233DE">
      <w:pPr>
        <w:numPr>
          <w:ilvl w:val="0"/>
          <w:numId w:val="32"/>
        </w:numPr>
        <w:tabs>
          <w:tab w:val="clear" w:pos="900"/>
          <w:tab w:val="num" w:pos="851"/>
        </w:tabs>
        <w:ind w:left="0" w:firstLine="540"/>
        <w:jc w:val="both"/>
        <w:rPr>
          <w:rFonts w:ascii="Times New Roman" w:hAnsi="Times New Roman" w:cs="Times New Roman"/>
          <w:sz w:val="21"/>
          <w:szCs w:val="21"/>
        </w:rPr>
      </w:pPr>
      <w:r w:rsidRPr="008A63BB">
        <w:rPr>
          <w:rFonts w:ascii="Times New Roman" w:hAnsi="Times New Roman" w:cs="Times New Roman"/>
          <w:sz w:val="21"/>
          <w:szCs w:val="21"/>
        </w:rPr>
        <w:t>економічно-активне населення (зайняте населення і безробітні);</w:t>
      </w:r>
    </w:p>
    <w:p w:rsidR="00B233DE" w:rsidRPr="008A63BB" w:rsidRDefault="00B233DE" w:rsidP="00B233DE">
      <w:pPr>
        <w:numPr>
          <w:ilvl w:val="0"/>
          <w:numId w:val="32"/>
        </w:numPr>
        <w:tabs>
          <w:tab w:val="clear" w:pos="900"/>
          <w:tab w:val="num" w:pos="851"/>
        </w:tabs>
        <w:ind w:left="0" w:firstLine="540"/>
        <w:jc w:val="both"/>
        <w:rPr>
          <w:rFonts w:ascii="Times New Roman" w:hAnsi="Times New Roman" w:cs="Times New Roman"/>
          <w:sz w:val="21"/>
          <w:szCs w:val="21"/>
        </w:rPr>
      </w:pPr>
      <w:r w:rsidRPr="008A63BB">
        <w:rPr>
          <w:rFonts w:ascii="Times New Roman" w:hAnsi="Times New Roman" w:cs="Times New Roman"/>
          <w:sz w:val="21"/>
          <w:szCs w:val="21"/>
        </w:rPr>
        <w:t>економічно-неактивне населення (домогосподарки, інваліди, що не працюють, учні і студенти у працездатному віці, такі, що не працюють і не шукають роботи, пенсіонери, що не працюють та ін.);</w:t>
      </w:r>
    </w:p>
    <w:p w:rsidR="00B233DE" w:rsidRPr="008A63BB" w:rsidRDefault="00B233DE" w:rsidP="00B233DE">
      <w:pPr>
        <w:numPr>
          <w:ilvl w:val="0"/>
          <w:numId w:val="32"/>
        </w:numPr>
        <w:tabs>
          <w:tab w:val="clear" w:pos="900"/>
          <w:tab w:val="num" w:pos="851"/>
        </w:tabs>
        <w:ind w:left="0" w:firstLine="540"/>
        <w:jc w:val="both"/>
        <w:rPr>
          <w:rFonts w:ascii="Times New Roman" w:hAnsi="Times New Roman" w:cs="Times New Roman"/>
          <w:sz w:val="21"/>
          <w:szCs w:val="21"/>
        </w:rPr>
      </w:pPr>
      <w:r w:rsidRPr="008A63BB">
        <w:rPr>
          <w:rFonts w:ascii="Times New Roman" w:hAnsi="Times New Roman" w:cs="Times New Roman"/>
          <w:sz w:val="21"/>
          <w:szCs w:val="21"/>
        </w:rPr>
        <w:lastRenderedPageBreak/>
        <w:t>безробітні (особи, що досягли визначеного віку, прийнятого в країні, тобто 16 років, і протягом зазначеного періоду не мали роботи – прибуткового заняття);</w:t>
      </w:r>
    </w:p>
    <w:p w:rsidR="00B233DE" w:rsidRPr="008A63BB" w:rsidRDefault="00B233DE" w:rsidP="00B233DE">
      <w:pPr>
        <w:numPr>
          <w:ilvl w:val="0"/>
          <w:numId w:val="32"/>
        </w:numPr>
        <w:tabs>
          <w:tab w:val="clear" w:pos="900"/>
          <w:tab w:val="num" w:pos="851"/>
        </w:tabs>
        <w:ind w:left="0" w:firstLine="540"/>
        <w:jc w:val="both"/>
        <w:rPr>
          <w:rFonts w:ascii="Times New Roman" w:hAnsi="Times New Roman" w:cs="Times New Roman"/>
          <w:sz w:val="21"/>
          <w:szCs w:val="21"/>
        </w:rPr>
      </w:pPr>
      <w:r w:rsidRPr="008A63BB">
        <w:rPr>
          <w:rFonts w:ascii="Times New Roman" w:hAnsi="Times New Roman" w:cs="Times New Roman"/>
          <w:sz w:val="21"/>
          <w:szCs w:val="21"/>
        </w:rPr>
        <w:t>особи, що активно шукали роботу (через службу зайнятості чи самостійно) і були готові приступити до неї негайно або протягом періоду, вказаному в законодавстві).</w:t>
      </w:r>
    </w:p>
    <w:p w:rsidR="00B233DE" w:rsidRPr="008A63BB" w:rsidRDefault="00B233DE" w:rsidP="00B233DE">
      <w:pPr>
        <w:ind w:firstLine="709"/>
        <w:jc w:val="both"/>
        <w:rPr>
          <w:rFonts w:ascii="Times New Roman" w:hAnsi="Times New Roman" w:cs="Times New Roman"/>
          <w:sz w:val="21"/>
          <w:szCs w:val="21"/>
        </w:rPr>
      </w:pPr>
      <w:r w:rsidRPr="008A63BB">
        <w:rPr>
          <w:rFonts w:ascii="Times New Roman" w:hAnsi="Times New Roman" w:cs="Times New Roman"/>
          <w:sz w:val="21"/>
          <w:szCs w:val="21"/>
        </w:rPr>
        <w:t>Така класифікація, на нашу думку, є більш деталізованою, і у своїх дослідженнях більшу увагу ми приділяємо саме економічно активному населенню, в числі саме зайнятих, оскільки саме вони є основою формування соціальної допомоги непрацюючим.</w:t>
      </w:r>
    </w:p>
    <w:p w:rsidR="00B233DE" w:rsidRPr="008A63BB" w:rsidRDefault="00B233DE" w:rsidP="00B233DE">
      <w:pPr>
        <w:ind w:firstLine="709"/>
        <w:jc w:val="both"/>
        <w:rPr>
          <w:rFonts w:ascii="Times New Roman" w:hAnsi="Times New Roman" w:cs="Times New Roman"/>
          <w:sz w:val="21"/>
          <w:szCs w:val="21"/>
        </w:rPr>
      </w:pPr>
      <w:r w:rsidRPr="008A63BB">
        <w:rPr>
          <w:rFonts w:ascii="Times New Roman" w:hAnsi="Times New Roman" w:cs="Times New Roman"/>
          <w:sz w:val="21"/>
          <w:szCs w:val="21"/>
        </w:rPr>
        <w:t>Соціальна політика держави формується з урахуванням конкретно-історичних умов країни, які впливають на характер і особливості таких аспектів соціальної політики, як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_Ref435621058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34</w:t>
      </w:r>
      <w:r>
        <w:rPr>
          <w:rFonts w:ascii="Times New Roman" w:hAnsi="Times New Roman" w:cs="Times New Roman"/>
          <w:sz w:val="21"/>
          <w:szCs w:val="21"/>
          <w:highlight w:val="yellow"/>
        </w:rPr>
        <w:fldChar w:fldCharType="end"/>
      </w:r>
      <w:r w:rsidRPr="008A63BB">
        <w:rPr>
          <w:rFonts w:ascii="Times New Roman" w:hAnsi="Times New Roman" w:cs="Times New Roman"/>
          <w:sz w:val="21"/>
          <w:szCs w:val="21"/>
        </w:rPr>
        <w:t>, с. 57]:</w:t>
      </w:r>
    </w:p>
    <w:p w:rsidR="00B233DE" w:rsidRPr="008A63BB" w:rsidRDefault="00B233DE" w:rsidP="00B233DE">
      <w:pPr>
        <w:numPr>
          <w:ilvl w:val="0"/>
          <w:numId w:val="33"/>
        </w:numPr>
        <w:tabs>
          <w:tab w:val="clear" w:pos="1395"/>
          <w:tab w:val="num" w:pos="993"/>
        </w:tabs>
        <w:ind w:left="0" w:firstLine="709"/>
        <w:jc w:val="both"/>
        <w:rPr>
          <w:rFonts w:ascii="Times New Roman" w:hAnsi="Times New Roman" w:cs="Times New Roman"/>
          <w:sz w:val="21"/>
          <w:szCs w:val="21"/>
        </w:rPr>
      </w:pPr>
      <w:r w:rsidRPr="008A63BB">
        <w:rPr>
          <w:rFonts w:ascii="Times New Roman" w:hAnsi="Times New Roman" w:cs="Times New Roman"/>
          <w:sz w:val="21"/>
          <w:szCs w:val="21"/>
        </w:rPr>
        <w:t>політика доходів населення (життєвий рівень, споживчий кошик, матеріальний добробут);</w:t>
      </w:r>
    </w:p>
    <w:p w:rsidR="00B233DE" w:rsidRPr="008A63BB" w:rsidRDefault="00B233DE" w:rsidP="00B233DE">
      <w:pPr>
        <w:numPr>
          <w:ilvl w:val="0"/>
          <w:numId w:val="33"/>
        </w:numPr>
        <w:tabs>
          <w:tab w:val="clear" w:pos="1395"/>
          <w:tab w:val="num" w:pos="993"/>
        </w:tabs>
        <w:ind w:left="0" w:firstLine="709"/>
        <w:jc w:val="both"/>
        <w:rPr>
          <w:rFonts w:ascii="Times New Roman" w:hAnsi="Times New Roman" w:cs="Times New Roman"/>
          <w:sz w:val="21"/>
          <w:szCs w:val="21"/>
        </w:rPr>
      </w:pPr>
      <w:r w:rsidRPr="008A63BB">
        <w:rPr>
          <w:rFonts w:ascii="Times New Roman" w:hAnsi="Times New Roman" w:cs="Times New Roman"/>
          <w:sz w:val="21"/>
          <w:szCs w:val="21"/>
        </w:rPr>
        <w:t>політика у сфері праці та трудових відносин (оплата праці, охорона праці та соціальне страхування, зайнятість населення тощо);</w:t>
      </w:r>
    </w:p>
    <w:p w:rsidR="00B233DE" w:rsidRPr="008A63BB" w:rsidRDefault="00B233DE" w:rsidP="00B233DE">
      <w:pPr>
        <w:numPr>
          <w:ilvl w:val="0"/>
          <w:numId w:val="33"/>
        </w:numPr>
        <w:tabs>
          <w:tab w:val="clear" w:pos="1395"/>
          <w:tab w:val="num" w:pos="993"/>
        </w:tabs>
        <w:ind w:left="0" w:firstLine="709"/>
        <w:jc w:val="both"/>
        <w:rPr>
          <w:rFonts w:ascii="Times New Roman" w:hAnsi="Times New Roman" w:cs="Times New Roman"/>
          <w:sz w:val="21"/>
          <w:szCs w:val="21"/>
        </w:rPr>
      </w:pPr>
      <w:r w:rsidRPr="008A63BB">
        <w:rPr>
          <w:rFonts w:ascii="Times New Roman" w:hAnsi="Times New Roman" w:cs="Times New Roman"/>
          <w:sz w:val="21"/>
          <w:szCs w:val="21"/>
        </w:rPr>
        <w:t>соціальна підтримка та захист непрацездатних і малозабезпечених верств населення (пенсійне забезпечення, соціальне обслуговування, надання соціальних гарантій та ін.);</w:t>
      </w:r>
    </w:p>
    <w:p w:rsidR="00B233DE" w:rsidRPr="008A63BB" w:rsidRDefault="00B233DE" w:rsidP="00B233DE">
      <w:pPr>
        <w:numPr>
          <w:ilvl w:val="0"/>
          <w:numId w:val="33"/>
        </w:numPr>
        <w:tabs>
          <w:tab w:val="clear" w:pos="1395"/>
          <w:tab w:val="num" w:pos="993"/>
        </w:tabs>
        <w:ind w:left="0" w:firstLine="709"/>
        <w:jc w:val="both"/>
        <w:rPr>
          <w:rFonts w:ascii="Times New Roman" w:hAnsi="Times New Roman" w:cs="Times New Roman"/>
          <w:sz w:val="21"/>
          <w:szCs w:val="21"/>
        </w:rPr>
      </w:pPr>
      <w:r w:rsidRPr="008A63BB">
        <w:rPr>
          <w:rFonts w:ascii="Times New Roman" w:hAnsi="Times New Roman" w:cs="Times New Roman"/>
          <w:sz w:val="21"/>
          <w:szCs w:val="21"/>
        </w:rPr>
        <w:t>темпи і пріоритети розвитку галузей соціальної сфери (охорони здоров’я, освіти, науки, культури, фізичної культури та спорту);</w:t>
      </w:r>
    </w:p>
    <w:p w:rsidR="00B233DE" w:rsidRPr="008A63BB" w:rsidRDefault="00B233DE" w:rsidP="00B233DE">
      <w:pPr>
        <w:numPr>
          <w:ilvl w:val="0"/>
          <w:numId w:val="33"/>
        </w:numPr>
        <w:tabs>
          <w:tab w:val="clear" w:pos="1395"/>
          <w:tab w:val="num" w:pos="993"/>
        </w:tabs>
        <w:ind w:left="0" w:firstLine="709"/>
        <w:jc w:val="both"/>
        <w:rPr>
          <w:rFonts w:ascii="Times New Roman" w:hAnsi="Times New Roman" w:cs="Times New Roman"/>
          <w:sz w:val="21"/>
          <w:szCs w:val="21"/>
        </w:rPr>
      </w:pPr>
      <w:r w:rsidRPr="008A63BB">
        <w:rPr>
          <w:rFonts w:ascii="Times New Roman" w:hAnsi="Times New Roman" w:cs="Times New Roman"/>
          <w:sz w:val="21"/>
          <w:szCs w:val="21"/>
        </w:rPr>
        <w:t>соціоекологічна політика (створення здорових, сприятливих умов для праці, життя та відпочинку);</w:t>
      </w:r>
    </w:p>
    <w:p w:rsidR="00B233DE" w:rsidRPr="008A63BB" w:rsidRDefault="00B233DE" w:rsidP="00B233DE">
      <w:pPr>
        <w:numPr>
          <w:ilvl w:val="0"/>
          <w:numId w:val="33"/>
        </w:numPr>
        <w:tabs>
          <w:tab w:val="clear" w:pos="1395"/>
          <w:tab w:val="num" w:pos="993"/>
        </w:tabs>
        <w:ind w:left="0" w:firstLine="709"/>
        <w:jc w:val="both"/>
        <w:rPr>
          <w:rFonts w:ascii="Times New Roman" w:hAnsi="Times New Roman" w:cs="Times New Roman"/>
          <w:sz w:val="21"/>
          <w:szCs w:val="21"/>
        </w:rPr>
      </w:pPr>
      <w:r w:rsidRPr="008A63BB">
        <w:rPr>
          <w:rFonts w:ascii="Times New Roman" w:hAnsi="Times New Roman" w:cs="Times New Roman"/>
          <w:sz w:val="21"/>
          <w:szCs w:val="21"/>
        </w:rPr>
        <w:t>політика у сфері розвитку сучасної інфраструктури (житло, транспорт, дороги, зв’язок, торговельне та побутове обслуговування);</w:t>
      </w:r>
    </w:p>
    <w:p w:rsidR="00B233DE" w:rsidRPr="008A63BB" w:rsidRDefault="00B233DE" w:rsidP="00B233DE">
      <w:pPr>
        <w:numPr>
          <w:ilvl w:val="0"/>
          <w:numId w:val="33"/>
        </w:numPr>
        <w:tabs>
          <w:tab w:val="clear" w:pos="1395"/>
          <w:tab w:val="num" w:pos="993"/>
        </w:tabs>
        <w:ind w:left="0" w:firstLine="709"/>
        <w:jc w:val="both"/>
        <w:rPr>
          <w:rFonts w:ascii="Times New Roman" w:hAnsi="Times New Roman" w:cs="Times New Roman"/>
          <w:sz w:val="21"/>
          <w:szCs w:val="21"/>
        </w:rPr>
      </w:pPr>
      <w:r w:rsidRPr="008A63BB">
        <w:rPr>
          <w:rFonts w:ascii="Times New Roman" w:hAnsi="Times New Roman" w:cs="Times New Roman"/>
          <w:sz w:val="21"/>
          <w:szCs w:val="21"/>
        </w:rPr>
        <w:t>міграційна політика (вимушена міграція, захист прав та інтересів співвітчизників за кордоном, зовнішня трудова міграція);</w:t>
      </w:r>
    </w:p>
    <w:p w:rsidR="00B233DE" w:rsidRPr="008A63BB" w:rsidRDefault="00B233DE" w:rsidP="00B233DE">
      <w:pPr>
        <w:numPr>
          <w:ilvl w:val="0"/>
          <w:numId w:val="33"/>
        </w:numPr>
        <w:tabs>
          <w:tab w:val="clear" w:pos="1395"/>
          <w:tab w:val="num" w:pos="993"/>
        </w:tabs>
        <w:ind w:left="0" w:firstLine="709"/>
        <w:jc w:val="both"/>
        <w:rPr>
          <w:rFonts w:ascii="Times New Roman" w:hAnsi="Times New Roman" w:cs="Times New Roman"/>
          <w:sz w:val="21"/>
          <w:szCs w:val="21"/>
        </w:rPr>
      </w:pPr>
      <w:r w:rsidRPr="008A63BB">
        <w:rPr>
          <w:rFonts w:ascii="Times New Roman" w:hAnsi="Times New Roman" w:cs="Times New Roman"/>
          <w:sz w:val="21"/>
          <w:szCs w:val="21"/>
        </w:rPr>
        <w:t>політика щодо окремих категорій населення (сімейна, молодіжна, політика щодо літніх, інвалідів та ін.).</w:t>
      </w:r>
    </w:p>
    <w:p w:rsidR="00B233DE" w:rsidRPr="008A63BB" w:rsidRDefault="00B233DE" w:rsidP="00B233DE">
      <w:pPr>
        <w:ind w:firstLine="709"/>
        <w:jc w:val="both"/>
        <w:rPr>
          <w:rFonts w:ascii="Times New Roman" w:hAnsi="Times New Roman" w:cs="Times New Roman"/>
          <w:sz w:val="21"/>
          <w:szCs w:val="21"/>
        </w:rPr>
      </w:pPr>
      <w:r w:rsidRPr="008A63BB">
        <w:rPr>
          <w:rFonts w:ascii="Times New Roman" w:hAnsi="Times New Roman" w:cs="Times New Roman"/>
          <w:sz w:val="21"/>
          <w:szCs w:val="21"/>
        </w:rPr>
        <w:t xml:space="preserve">На усіх етапах як формування, так і реалізації соціальної політики особливе значення має також створення та вдосконалення системи соціальних показників, норм, критеріїв, відповідно до яких будуть проводитися необхідні оцінки соціального стану, пріоритетних напрямів діяльності, способів реалізації. Причому </w:t>
      </w:r>
      <w:r w:rsidRPr="008A63BB">
        <w:rPr>
          <w:rFonts w:ascii="Times New Roman" w:hAnsi="Times New Roman" w:cs="Times New Roman"/>
          <w:sz w:val="21"/>
          <w:szCs w:val="21"/>
        </w:rPr>
        <w:lastRenderedPageBreak/>
        <w:t>починати роб</w:t>
      </w:r>
      <w:r>
        <w:rPr>
          <w:rFonts w:ascii="Times New Roman" w:hAnsi="Times New Roman" w:cs="Times New Roman"/>
          <w:sz w:val="21"/>
          <w:szCs w:val="21"/>
        </w:rPr>
        <w:t>оту</w:t>
      </w:r>
      <w:r w:rsidRPr="008A63BB">
        <w:rPr>
          <w:rFonts w:ascii="Times New Roman" w:hAnsi="Times New Roman" w:cs="Times New Roman"/>
          <w:sz w:val="21"/>
          <w:szCs w:val="21"/>
        </w:rPr>
        <w:t xml:space="preserve"> слід ще на етапі формування соціальної політики, продовжуючи цей процес на наступних етапах. Соціальні показники необхідні і для того, щоб оцінити наслідки реалізації намічених цілей. Тут застосовуються, головним чином, методи статистичного аналізу, побудови динамічних рядів з подальшою екстраполяцією, експертних оцінок, математичного моделювання. Використання нових технологій забезпечує розробку і реалізацію соціальної політики в регіонах, сприяє підвищенню її ефективності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_Ref435621068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w:t>
      </w:r>
      <w:r>
        <w:rPr>
          <w:rFonts w:ascii="Times New Roman" w:hAnsi="Times New Roman" w:cs="Times New Roman"/>
          <w:sz w:val="21"/>
          <w:szCs w:val="21"/>
          <w:highlight w:val="yellow"/>
        </w:rPr>
        <w:fldChar w:fldCharType="end"/>
      </w:r>
      <w:r w:rsidRPr="008A63BB">
        <w:rPr>
          <w:rFonts w:ascii="Times New Roman" w:hAnsi="Times New Roman" w:cs="Times New Roman"/>
          <w:sz w:val="21"/>
          <w:szCs w:val="21"/>
        </w:rPr>
        <w:t>, с. 109].</w:t>
      </w:r>
    </w:p>
    <w:p w:rsidR="00B233DE" w:rsidRPr="008A63BB" w:rsidRDefault="00B233DE" w:rsidP="00B233DE">
      <w:pPr>
        <w:ind w:firstLine="709"/>
        <w:jc w:val="both"/>
        <w:rPr>
          <w:rFonts w:ascii="Times New Roman" w:hAnsi="Times New Roman" w:cs="Times New Roman"/>
          <w:sz w:val="21"/>
          <w:szCs w:val="21"/>
        </w:rPr>
      </w:pPr>
      <w:r w:rsidRPr="008A63BB">
        <w:rPr>
          <w:rFonts w:ascii="Times New Roman" w:hAnsi="Times New Roman" w:cs="Times New Roman"/>
          <w:sz w:val="21"/>
          <w:szCs w:val="21"/>
        </w:rPr>
        <w:t>Головною стратегічною метою соціальної політики є досягнення високого рівня життя кожного громадянина незалежно від місця його проживання та на основі забезпечення стабільного соціально-економічного розвитку держави. А для цього потрібно аби соціальна політика базувалася на певних принципах, які допоможуть у досягненні цілей. Проаналізувавши ряд принципів, висвітлених рядом науковців, ми виділили основні, що мають стати «фундаментом» для побудови ефективної соціальної політики, а саме:</w:t>
      </w:r>
    </w:p>
    <w:p w:rsidR="00B233DE" w:rsidRPr="008A63BB" w:rsidRDefault="00B233DE" w:rsidP="00B233DE">
      <w:pPr>
        <w:numPr>
          <w:ilvl w:val="0"/>
          <w:numId w:val="34"/>
        </w:numPr>
        <w:tabs>
          <w:tab w:val="left" w:pos="993"/>
        </w:tabs>
        <w:ind w:left="0" w:firstLine="709"/>
        <w:jc w:val="both"/>
        <w:rPr>
          <w:rFonts w:ascii="Times New Roman" w:hAnsi="Times New Roman" w:cs="Times New Roman"/>
          <w:sz w:val="21"/>
          <w:szCs w:val="21"/>
        </w:rPr>
      </w:pPr>
      <w:r w:rsidRPr="008A63BB">
        <w:rPr>
          <w:rFonts w:ascii="Times New Roman" w:hAnsi="Times New Roman" w:cs="Times New Roman"/>
          <w:sz w:val="21"/>
          <w:szCs w:val="21"/>
        </w:rPr>
        <w:t>при</w:t>
      </w:r>
      <w:r>
        <w:rPr>
          <w:rFonts w:ascii="Times New Roman" w:hAnsi="Times New Roman" w:cs="Times New Roman"/>
          <w:sz w:val="21"/>
          <w:szCs w:val="21"/>
        </w:rPr>
        <w:t>нцип відкритості</w:t>
      </w:r>
      <w:r w:rsidRPr="008A63BB">
        <w:rPr>
          <w:rFonts w:ascii="Times New Roman" w:hAnsi="Times New Roman" w:cs="Times New Roman"/>
          <w:sz w:val="21"/>
          <w:szCs w:val="21"/>
        </w:rPr>
        <w:t xml:space="preserve"> полягає в можливості активних дій громадян та їх об’єднань щодо такої політики;</w:t>
      </w:r>
    </w:p>
    <w:p w:rsidR="00B233DE" w:rsidRPr="008A63BB" w:rsidRDefault="00B233DE" w:rsidP="00B233DE">
      <w:pPr>
        <w:numPr>
          <w:ilvl w:val="0"/>
          <w:numId w:val="34"/>
        </w:numPr>
        <w:tabs>
          <w:tab w:val="left" w:pos="993"/>
        </w:tabs>
        <w:ind w:left="0" w:firstLine="709"/>
        <w:jc w:val="both"/>
        <w:rPr>
          <w:rFonts w:ascii="Times New Roman" w:hAnsi="Times New Roman" w:cs="Times New Roman"/>
          <w:sz w:val="21"/>
          <w:szCs w:val="21"/>
        </w:rPr>
      </w:pPr>
      <w:r w:rsidRPr="008A63BB">
        <w:rPr>
          <w:rFonts w:ascii="Times New Roman" w:hAnsi="Times New Roman" w:cs="Times New Roman"/>
          <w:sz w:val="21"/>
          <w:szCs w:val="21"/>
        </w:rPr>
        <w:t>принцип прозорості полягає в нормативному врегулюванні процедур діяльності органів державної влади та дотриманні цих процедур у повсякденній діяльності. Слід також зазначити, що принципи прозорості та відкритості мають бути взаємно узгодженими, оскільки без прозорості як належної обізнаності громадян та їхніх колективів з обумовленістю та змістом діяльності органів державної влади у сфері державної соціальної політики неможливий свідомий та результативний вплив громадськості на цю діяльність;</w:t>
      </w:r>
    </w:p>
    <w:p w:rsidR="00B233DE" w:rsidRPr="008A63BB" w:rsidRDefault="00B233DE" w:rsidP="00B233DE">
      <w:pPr>
        <w:pStyle w:val="ad"/>
        <w:numPr>
          <w:ilvl w:val="0"/>
          <w:numId w:val="34"/>
        </w:numPr>
        <w:tabs>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принцип відповідальності полягає</w:t>
      </w:r>
      <w:r w:rsidRPr="008A63BB">
        <w:rPr>
          <w:rFonts w:ascii="Times New Roman" w:hAnsi="Times New Roman" w:cs="Times New Roman"/>
          <w:sz w:val="21"/>
          <w:szCs w:val="21"/>
        </w:rPr>
        <w:t xml:space="preserve"> у </w:t>
      </w:r>
      <w:r>
        <w:rPr>
          <w:rFonts w:ascii="Times New Roman" w:hAnsi="Times New Roman" w:cs="Times New Roman"/>
          <w:sz w:val="21"/>
          <w:szCs w:val="21"/>
        </w:rPr>
        <w:t xml:space="preserve">тому, що в </w:t>
      </w:r>
      <w:r w:rsidRPr="008A63BB">
        <w:rPr>
          <w:rFonts w:ascii="Times New Roman" w:hAnsi="Times New Roman" w:cs="Times New Roman"/>
          <w:sz w:val="21"/>
          <w:szCs w:val="21"/>
        </w:rPr>
        <w:t xml:space="preserve">процесі формування та реалізації державної соціальної політики всі її суб’єкти мають прагнути досягнення запланованих цілей і максимального результату при залученні мінімального обсягу бюджетних коштів; </w:t>
      </w:r>
    </w:p>
    <w:p w:rsidR="00B233DE" w:rsidRPr="008A63BB" w:rsidRDefault="00B233DE" w:rsidP="00B233DE">
      <w:pPr>
        <w:pStyle w:val="ad"/>
        <w:numPr>
          <w:ilvl w:val="0"/>
          <w:numId w:val="34"/>
        </w:numPr>
        <w:tabs>
          <w:tab w:val="left" w:pos="993"/>
        </w:tabs>
        <w:ind w:left="0" w:firstLine="709"/>
        <w:jc w:val="both"/>
        <w:rPr>
          <w:rFonts w:ascii="Times New Roman" w:hAnsi="Times New Roman" w:cs="Times New Roman"/>
          <w:sz w:val="21"/>
          <w:szCs w:val="21"/>
        </w:rPr>
      </w:pPr>
      <w:r w:rsidRPr="008A63BB">
        <w:rPr>
          <w:rFonts w:ascii="Times New Roman" w:hAnsi="Times New Roman" w:cs="Times New Roman"/>
          <w:sz w:val="21"/>
          <w:szCs w:val="21"/>
        </w:rPr>
        <w:t>принцип узгодженості (погодженості) передбачає врахування інтересів інших видів державної політики, які вливають на формування та реалізацію державної соціальної політики або зазнають вплив</w:t>
      </w:r>
      <w:r>
        <w:rPr>
          <w:rFonts w:ascii="Times New Roman" w:hAnsi="Times New Roman" w:cs="Times New Roman"/>
          <w:sz w:val="21"/>
          <w:szCs w:val="21"/>
        </w:rPr>
        <w:t>у від неї;</w:t>
      </w:r>
      <w:r w:rsidRPr="008A63BB">
        <w:rPr>
          <w:rFonts w:ascii="Times New Roman" w:hAnsi="Times New Roman" w:cs="Times New Roman"/>
          <w:sz w:val="21"/>
          <w:szCs w:val="21"/>
        </w:rPr>
        <w:t xml:space="preserve"> </w:t>
      </w:r>
    </w:p>
    <w:p w:rsidR="00B233DE" w:rsidRPr="008A63BB" w:rsidRDefault="00B233DE" w:rsidP="00B233DE">
      <w:pPr>
        <w:pStyle w:val="ad"/>
        <w:numPr>
          <w:ilvl w:val="0"/>
          <w:numId w:val="34"/>
        </w:numPr>
        <w:tabs>
          <w:tab w:val="left" w:pos="993"/>
        </w:tabs>
        <w:ind w:left="0" w:firstLine="709"/>
        <w:jc w:val="both"/>
        <w:rPr>
          <w:rFonts w:ascii="Times New Roman" w:hAnsi="Times New Roman" w:cs="Times New Roman"/>
          <w:sz w:val="21"/>
          <w:szCs w:val="21"/>
        </w:rPr>
      </w:pPr>
      <w:r w:rsidRPr="008A63BB">
        <w:rPr>
          <w:rFonts w:ascii="Times New Roman" w:hAnsi="Times New Roman" w:cs="Times New Roman"/>
          <w:sz w:val="21"/>
          <w:szCs w:val="21"/>
        </w:rPr>
        <w:lastRenderedPageBreak/>
        <w:t xml:space="preserve">принцип соціальних гарантій </w:t>
      </w:r>
      <w:r>
        <w:rPr>
          <w:rFonts w:ascii="Times New Roman" w:hAnsi="Times New Roman" w:cs="Times New Roman"/>
          <w:sz w:val="21"/>
          <w:szCs w:val="21"/>
        </w:rPr>
        <w:t>–</w:t>
      </w:r>
      <w:r w:rsidRPr="008A63BB">
        <w:rPr>
          <w:rFonts w:ascii="Times New Roman" w:hAnsi="Times New Roman" w:cs="Times New Roman"/>
          <w:sz w:val="21"/>
          <w:szCs w:val="21"/>
        </w:rPr>
        <w:t xml:space="preserve"> держава повинна гарантувати людям таку життєдіяльність, за якої їхній добробут має залежати тіл</w:t>
      </w:r>
      <w:r>
        <w:rPr>
          <w:rFonts w:ascii="Times New Roman" w:hAnsi="Times New Roman" w:cs="Times New Roman"/>
          <w:sz w:val="21"/>
          <w:szCs w:val="21"/>
        </w:rPr>
        <w:t xml:space="preserve">ьки від їхньої праці, розумових здібностей, </w:t>
      </w:r>
      <w:r w:rsidRPr="008A63BB">
        <w:rPr>
          <w:rFonts w:ascii="Times New Roman" w:hAnsi="Times New Roman" w:cs="Times New Roman"/>
          <w:sz w:val="21"/>
          <w:szCs w:val="21"/>
        </w:rPr>
        <w:t>відповідальності, свідом</w:t>
      </w:r>
      <w:r>
        <w:rPr>
          <w:rFonts w:ascii="Times New Roman" w:hAnsi="Times New Roman" w:cs="Times New Roman"/>
          <w:sz w:val="21"/>
          <w:szCs w:val="21"/>
        </w:rPr>
        <w:t>ого ставлення до своєї свободи;</w:t>
      </w:r>
    </w:p>
    <w:p w:rsidR="00B233DE" w:rsidRPr="008A63BB" w:rsidRDefault="00B233DE" w:rsidP="00B233DE">
      <w:pPr>
        <w:pStyle w:val="ad"/>
        <w:numPr>
          <w:ilvl w:val="0"/>
          <w:numId w:val="34"/>
        </w:numPr>
        <w:tabs>
          <w:tab w:val="left" w:pos="993"/>
        </w:tabs>
        <w:ind w:left="0" w:firstLine="709"/>
        <w:jc w:val="both"/>
        <w:rPr>
          <w:rFonts w:ascii="Times New Roman" w:hAnsi="Times New Roman" w:cs="Times New Roman"/>
          <w:sz w:val="21"/>
          <w:szCs w:val="21"/>
        </w:rPr>
      </w:pPr>
      <w:r w:rsidRPr="008A63BB">
        <w:rPr>
          <w:rFonts w:ascii="Times New Roman" w:hAnsi="Times New Roman" w:cs="Times New Roman"/>
          <w:sz w:val="21"/>
          <w:szCs w:val="21"/>
        </w:rPr>
        <w:t>принцип соці</w:t>
      </w:r>
      <w:r>
        <w:rPr>
          <w:rFonts w:ascii="Times New Roman" w:hAnsi="Times New Roman" w:cs="Times New Roman"/>
          <w:sz w:val="21"/>
          <w:szCs w:val="21"/>
        </w:rPr>
        <w:t xml:space="preserve">альної справедливості </w:t>
      </w:r>
      <w:r w:rsidRPr="008A63BB">
        <w:rPr>
          <w:rFonts w:ascii="Times New Roman" w:hAnsi="Times New Roman" w:cs="Times New Roman"/>
          <w:sz w:val="21"/>
          <w:szCs w:val="21"/>
        </w:rPr>
        <w:t xml:space="preserve">передбачає розумну централізацію коштів і їх перерозподіл для забезпечення тих, </w:t>
      </w:r>
      <w:r>
        <w:rPr>
          <w:rFonts w:ascii="Times New Roman" w:hAnsi="Times New Roman" w:cs="Times New Roman"/>
          <w:sz w:val="21"/>
          <w:szCs w:val="21"/>
        </w:rPr>
        <w:t>хто без них неспроможний вижити;</w:t>
      </w:r>
      <w:r w:rsidRPr="008A63BB">
        <w:rPr>
          <w:rFonts w:ascii="Times New Roman" w:hAnsi="Times New Roman" w:cs="Times New Roman"/>
          <w:sz w:val="21"/>
          <w:szCs w:val="21"/>
        </w:rPr>
        <w:t xml:space="preserve"> </w:t>
      </w:r>
    </w:p>
    <w:p w:rsidR="00B233DE" w:rsidRPr="008A63BB" w:rsidRDefault="00B233DE" w:rsidP="00B233DE">
      <w:pPr>
        <w:pStyle w:val="ad"/>
        <w:numPr>
          <w:ilvl w:val="0"/>
          <w:numId w:val="34"/>
        </w:numPr>
        <w:tabs>
          <w:tab w:val="left" w:pos="993"/>
        </w:tabs>
        <w:ind w:left="0" w:firstLine="709"/>
        <w:jc w:val="both"/>
        <w:rPr>
          <w:rFonts w:ascii="Times New Roman" w:hAnsi="Times New Roman" w:cs="Times New Roman"/>
          <w:sz w:val="21"/>
          <w:szCs w:val="21"/>
        </w:rPr>
      </w:pPr>
      <w:r w:rsidRPr="008A63BB">
        <w:rPr>
          <w:rFonts w:ascii="Times New Roman" w:hAnsi="Times New Roman" w:cs="Times New Roman"/>
          <w:sz w:val="21"/>
          <w:szCs w:val="21"/>
        </w:rPr>
        <w:t>принцип об’єктивності, він означає необхідність врахування під час розробки найважливіших напрямів державної соціальної політики всіх можливих чинників, які впливають на кількісні та якісні показники та вимог об’єктивних закономірностей і реал</w:t>
      </w:r>
      <w:r>
        <w:rPr>
          <w:rFonts w:ascii="Times New Roman" w:hAnsi="Times New Roman" w:cs="Times New Roman"/>
          <w:sz w:val="21"/>
          <w:szCs w:val="21"/>
        </w:rPr>
        <w:t>ьних можливостей суспільних сил;</w:t>
      </w:r>
    </w:p>
    <w:p w:rsidR="00B233DE" w:rsidRPr="008A63BB" w:rsidRDefault="00B233DE" w:rsidP="00B233DE">
      <w:pPr>
        <w:pStyle w:val="ad"/>
        <w:numPr>
          <w:ilvl w:val="0"/>
          <w:numId w:val="34"/>
        </w:numPr>
        <w:tabs>
          <w:tab w:val="left" w:pos="993"/>
        </w:tabs>
        <w:ind w:left="0" w:firstLine="709"/>
        <w:jc w:val="both"/>
        <w:rPr>
          <w:rFonts w:ascii="Times New Roman" w:hAnsi="Times New Roman" w:cs="Times New Roman"/>
          <w:sz w:val="21"/>
          <w:szCs w:val="21"/>
        </w:rPr>
      </w:pPr>
      <w:r w:rsidRPr="008A63BB">
        <w:rPr>
          <w:rFonts w:ascii="Times New Roman" w:hAnsi="Times New Roman" w:cs="Times New Roman"/>
          <w:sz w:val="21"/>
          <w:szCs w:val="21"/>
        </w:rPr>
        <w:t>принцип раціональності – досягнення найкращого співвідношення мети соціальної політики та засобів її реалізації;</w:t>
      </w:r>
    </w:p>
    <w:p w:rsidR="00B233DE" w:rsidRPr="008A63BB" w:rsidRDefault="00B233DE" w:rsidP="00B233DE">
      <w:pPr>
        <w:pStyle w:val="ad"/>
        <w:numPr>
          <w:ilvl w:val="0"/>
          <w:numId w:val="34"/>
        </w:numPr>
        <w:tabs>
          <w:tab w:val="left" w:pos="993"/>
        </w:tabs>
        <w:ind w:left="0" w:firstLine="709"/>
        <w:jc w:val="both"/>
        <w:rPr>
          <w:rFonts w:ascii="Times New Roman" w:hAnsi="Times New Roman" w:cs="Times New Roman"/>
          <w:sz w:val="21"/>
          <w:szCs w:val="21"/>
        </w:rPr>
      </w:pPr>
      <w:r w:rsidRPr="008A63BB">
        <w:rPr>
          <w:rFonts w:ascii="Times New Roman" w:hAnsi="Times New Roman" w:cs="Times New Roman"/>
          <w:sz w:val="21"/>
          <w:szCs w:val="21"/>
        </w:rPr>
        <w:t>п</w:t>
      </w:r>
      <w:r>
        <w:rPr>
          <w:rFonts w:ascii="Times New Roman" w:hAnsi="Times New Roman" w:cs="Times New Roman"/>
          <w:sz w:val="21"/>
          <w:szCs w:val="21"/>
        </w:rPr>
        <w:t xml:space="preserve">ринцип демократизму передбачає </w:t>
      </w:r>
      <w:r w:rsidRPr="008A63BB">
        <w:rPr>
          <w:rFonts w:ascii="Times New Roman" w:hAnsi="Times New Roman" w:cs="Times New Roman"/>
          <w:sz w:val="21"/>
          <w:szCs w:val="21"/>
        </w:rPr>
        <w:t>залучення до</w:t>
      </w:r>
      <w:r>
        <w:rPr>
          <w:rFonts w:ascii="Times New Roman" w:hAnsi="Times New Roman" w:cs="Times New Roman"/>
          <w:sz w:val="21"/>
          <w:szCs w:val="21"/>
        </w:rPr>
        <w:t xml:space="preserve"> розробки основних засад такої політики</w:t>
      </w:r>
      <w:r w:rsidRPr="008A63BB">
        <w:rPr>
          <w:rFonts w:ascii="Times New Roman" w:hAnsi="Times New Roman" w:cs="Times New Roman"/>
          <w:sz w:val="21"/>
          <w:szCs w:val="21"/>
        </w:rPr>
        <w:t xml:space="preserve"> широких верств населення, політичних партій, рухів, інших громадських об’єднань;</w:t>
      </w:r>
    </w:p>
    <w:p w:rsidR="00B233DE" w:rsidRPr="008A63BB" w:rsidRDefault="00B233DE" w:rsidP="00B233DE">
      <w:pPr>
        <w:pStyle w:val="ad"/>
        <w:numPr>
          <w:ilvl w:val="0"/>
          <w:numId w:val="34"/>
        </w:numPr>
        <w:tabs>
          <w:tab w:val="left" w:pos="993"/>
        </w:tabs>
        <w:ind w:left="0" w:firstLine="709"/>
        <w:jc w:val="both"/>
        <w:rPr>
          <w:rFonts w:ascii="Times New Roman" w:hAnsi="Times New Roman" w:cs="Times New Roman"/>
          <w:sz w:val="21"/>
          <w:szCs w:val="21"/>
        </w:rPr>
      </w:pPr>
      <w:r w:rsidRPr="008A63BB">
        <w:rPr>
          <w:rFonts w:ascii="Times New Roman" w:hAnsi="Times New Roman" w:cs="Times New Roman"/>
          <w:sz w:val="21"/>
          <w:szCs w:val="21"/>
        </w:rPr>
        <w:t>принцип соціальної безпеки – передбачуваність певних життєвих ризиків;</w:t>
      </w:r>
    </w:p>
    <w:p w:rsidR="00B233DE" w:rsidRPr="008A63BB" w:rsidRDefault="00B233DE" w:rsidP="00B233DE">
      <w:pPr>
        <w:pStyle w:val="ad"/>
        <w:numPr>
          <w:ilvl w:val="0"/>
          <w:numId w:val="34"/>
        </w:numPr>
        <w:tabs>
          <w:tab w:val="left" w:pos="993"/>
        </w:tabs>
        <w:ind w:left="0" w:firstLine="709"/>
        <w:jc w:val="both"/>
        <w:rPr>
          <w:rFonts w:ascii="Times New Roman" w:hAnsi="Times New Roman" w:cs="Times New Roman"/>
          <w:sz w:val="21"/>
          <w:szCs w:val="21"/>
        </w:rPr>
      </w:pPr>
      <w:r w:rsidRPr="008A63BB">
        <w:rPr>
          <w:rFonts w:ascii="Times New Roman" w:hAnsi="Times New Roman" w:cs="Times New Roman"/>
          <w:sz w:val="21"/>
          <w:szCs w:val="21"/>
        </w:rPr>
        <w:t xml:space="preserve">принцип соціального партнерства </w:t>
      </w:r>
      <w:r>
        <w:rPr>
          <w:rFonts w:ascii="Times New Roman" w:hAnsi="Times New Roman" w:cs="Times New Roman"/>
          <w:sz w:val="21"/>
          <w:szCs w:val="21"/>
        </w:rPr>
        <w:t>–</w:t>
      </w:r>
      <w:r w:rsidRPr="008A63BB">
        <w:rPr>
          <w:rFonts w:ascii="Times New Roman" w:hAnsi="Times New Roman" w:cs="Times New Roman"/>
          <w:sz w:val="21"/>
          <w:szCs w:val="21"/>
        </w:rPr>
        <w:t xml:space="preserve"> суть цього принципу зводиться до рівноправності сторін на переговорах і при прийнятті  рішень; рівної для всіх сторін обов’язковості виконання домовленостей; обов’язкової й рівної відповідальності сторін за виконання прийнятих зобов’язань;</w:t>
      </w:r>
    </w:p>
    <w:p w:rsidR="00B233DE" w:rsidRPr="008A63BB" w:rsidRDefault="00B233DE" w:rsidP="00B233DE">
      <w:pPr>
        <w:pStyle w:val="ad"/>
        <w:numPr>
          <w:ilvl w:val="0"/>
          <w:numId w:val="34"/>
        </w:numPr>
        <w:tabs>
          <w:tab w:val="left" w:pos="993"/>
        </w:tabs>
        <w:ind w:left="0" w:firstLine="709"/>
        <w:jc w:val="both"/>
        <w:rPr>
          <w:rFonts w:ascii="Times New Roman" w:hAnsi="Times New Roman" w:cs="Times New Roman"/>
          <w:sz w:val="21"/>
          <w:szCs w:val="21"/>
        </w:rPr>
      </w:pPr>
      <w:r w:rsidRPr="008A63BB">
        <w:rPr>
          <w:rFonts w:ascii="Times New Roman" w:hAnsi="Times New Roman" w:cs="Times New Roman"/>
          <w:sz w:val="21"/>
          <w:szCs w:val="21"/>
        </w:rPr>
        <w:t>принцип взаємозв’язку передбачає формування державної соціальної політики в тісному взаємозв’язку з усіма видами державної політики (економічної, в тому числі бюджетної, інвестиційної, інноваційної, митної та ін.);</w:t>
      </w:r>
    </w:p>
    <w:p w:rsidR="00B233DE" w:rsidRPr="008A63BB" w:rsidRDefault="00B233DE" w:rsidP="00B233DE">
      <w:pPr>
        <w:pStyle w:val="ad"/>
        <w:numPr>
          <w:ilvl w:val="0"/>
          <w:numId w:val="34"/>
        </w:numPr>
        <w:tabs>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 xml:space="preserve">принцип </w:t>
      </w:r>
      <w:r w:rsidRPr="008A63BB">
        <w:rPr>
          <w:rFonts w:ascii="Times New Roman" w:hAnsi="Times New Roman" w:cs="Times New Roman"/>
          <w:sz w:val="21"/>
          <w:szCs w:val="21"/>
        </w:rPr>
        <w:t>гнучкості полягає в можливості змінювати окремі тактичні дії відповідно до конкретних ситуацій, що виникають на пев</w:t>
      </w:r>
      <w:r>
        <w:rPr>
          <w:rFonts w:ascii="Times New Roman" w:hAnsi="Times New Roman" w:cs="Times New Roman"/>
          <w:sz w:val="21"/>
          <w:szCs w:val="21"/>
        </w:rPr>
        <w:t>ному етапі розвитку суспільства.</w:t>
      </w:r>
    </w:p>
    <w:p w:rsidR="00B233DE" w:rsidRPr="008A63BB" w:rsidRDefault="00B233DE" w:rsidP="00B233DE">
      <w:pPr>
        <w:ind w:firstLine="709"/>
        <w:jc w:val="both"/>
        <w:rPr>
          <w:rFonts w:ascii="Times New Roman" w:hAnsi="Times New Roman" w:cs="Times New Roman"/>
          <w:sz w:val="21"/>
          <w:szCs w:val="21"/>
        </w:rPr>
      </w:pPr>
      <w:r w:rsidRPr="008A63BB">
        <w:rPr>
          <w:rFonts w:ascii="Times New Roman" w:hAnsi="Times New Roman" w:cs="Times New Roman"/>
          <w:sz w:val="21"/>
          <w:szCs w:val="21"/>
        </w:rPr>
        <w:t xml:space="preserve">Урахування цих теоретичних підходів до трактування принципів і розуміння їх суті дозволить на практиці більш ефективно формувати і реалізовувати соціальну політику, що, у свою чергу, суттєво вплине на розвиток суспільних відносин, збільшення тривалості життя населення, зменшення рівня безробіття, удосконалення системи соціального захисту і </w:t>
      </w:r>
      <w:r w:rsidRPr="008A63BB">
        <w:rPr>
          <w:rFonts w:ascii="Times New Roman" w:hAnsi="Times New Roman" w:cs="Times New Roman"/>
          <w:sz w:val="21"/>
          <w:szCs w:val="21"/>
        </w:rPr>
        <w:lastRenderedPageBreak/>
        <w:t>соціального забезпечення населення, підвищення рівня освіченості і здоров’я нації, збільшення доходів громадян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_Ref435621077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58</w:t>
      </w:r>
      <w:r>
        <w:rPr>
          <w:rFonts w:ascii="Times New Roman" w:hAnsi="Times New Roman" w:cs="Times New Roman"/>
          <w:sz w:val="21"/>
          <w:szCs w:val="21"/>
          <w:highlight w:val="yellow"/>
        </w:rPr>
        <w:fldChar w:fldCharType="end"/>
      </w:r>
      <w:r w:rsidRPr="00B37A0B">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_Ref435621085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13</w:t>
      </w:r>
      <w:r>
        <w:rPr>
          <w:rFonts w:ascii="Times New Roman" w:hAnsi="Times New Roman" w:cs="Times New Roman"/>
          <w:sz w:val="21"/>
          <w:szCs w:val="21"/>
          <w:highlight w:val="yellow"/>
        </w:rPr>
        <w:fldChar w:fldCharType="end"/>
      </w:r>
      <w:r w:rsidRPr="008A63BB">
        <w:rPr>
          <w:rFonts w:ascii="Times New Roman" w:hAnsi="Times New Roman" w:cs="Times New Roman"/>
          <w:sz w:val="21"/>
          <w:szCs w:val="21"/>
        </w:rPr>
        <w:t xml:space="preserve">]. </w:t>
      </w:r>
    </w:p>
    <w:p w:rsidR="00B233DE" w:rsidRPr="008A63BB" w:rsidRDefault="00B233DE" w:rsidP="00B233DE">
      <w:pPr>
        <w:widowControl w:val="0"/>
        <w:spacing w:line="233" w:lineRule="auto"/>
        <w:ind w:firstLine="709"/>
        <w:contextualSpacing/>
        <w:jc w:val="both"/>
        <w:rPr>
          <w:rFonts w:ascii="Times New Roman" w:hAnsi="Times New Roman" w:cs="Times New Roman"/>
          <w:sz w:val="21"/>
          <w:szCs w:val="21"/>
        </w:rPr>
      </w:pPr>
      <w:r w:rsidRPr="008A63BB">
        <w:rPr>
          <w:rFonts w:ascii="Times New Roman" w:hAnsi="Times New Roman" w:cs="Times New Roman"/>
          <w:sz w:val="21"/>
          <w:szCs w:val="21"/>
        </w:rPr>
        <w:t>Огляд наведених визначень соціальної політики, сформульованих різними вченими, показує їх спільність у тому, що всі вони акцентують увагу на головних ознаках соціального стану населення і забезпеченні умов його стабільного розвитку та спроможності задоволення потреб. Соціальну політику слід розглядати як багаторівневу і багатофункціональну систему, яка зможе забезпечити соціальний і економічний розвиток держави шляхом активізації людського капіталу та максимальної реалізації його інноваційного потенціалу.</w:t>
      </w:r>
    </w:p>
    <w:p w:rsidR="00B233DE" w:rsidRDefault="00B233DE" w:rsidP="00B233DE">
      <w:pPr>
        <w:widowControl w:val="0"/>
        <w:spacing w:line="233" w:lineRule="auto"/>
        <w:ind w:firstLine="709"/>
        <w:contextualSpacing/>
        <w:jc w:val="both"/>
        <w:rPr>
          <w:rFonts w:ascii="Times New Roman" w:hAnsi="Times New Roman" w:cs="Times New Roman"/>
          <w:sz w:val="21"/>
          <w:szCs w:val="21"/>
        </w:rPr>
      </w:pPr>
    </w:p>
    <w:p w:rsidR="00B233DE" w:rsidRDefault="00B233DE" w:rsidP="00B233DE">
      <w:pPr>
        <w:widowControl w:val="0"/>
        <w:spacing w:line="233" w:lineRule="auto"/>
        <w:ind w:firstLine="709"/>
        <w:contextualSpacing/>
        <w:jc w:val="both"/>
        <w:rPr>
          <w:rFonts w:ascii="Times New Roman" w:hAnsi="Times New Roman" w:cs="Times New Roman"/>
          <w:sz w:val="21"/>
          <w:szCs w:val="21"/>
        </w:rPr>
      </w:pPr>
    </w:p>
    <w:p w:rsidR="00B233DE" w:rsidRPr="00E97553" w:rsidRDefault="00B233DE" w:rsidP="00B233DE">
      <w:pPr>
        <w:pStyle w:val="afb"/>
        <w:shd w:val="clear" w:color="auto" w:fill="auto"/>
        <w:tabs>
          <w:tab w:val="left" w:pos="394"/>
          <w:tab w:val="left" w:pos="426"/>
        </w:tabs>
        <w:spacing w:before="0" w:line="240" w:lineRule="auto"/>
        <w:ind w:right="40" w:firstLine="709"/>
        <w:contextualSpacing/>
        <w:jc w:val="center"/>
        <w:rPr>
          <w:b/>
          <w:sz w:val="21"/>
          <w:szCs w:val="21"/>
          <w:lang w:val="ru-RU"/>
        </w:rPr>
      </w:pPr>
      <w:r w:rsidRPr="00E97553">
        <w:rPr>
          <w:rFonts w:ascii="UkrainianPeterburg" w:hAnsi="UkrainianPeterburg"/>
          <w:b/>
          <w:sz w:val="21"/>
          <w:szCs w:val="21"/>
        </w:rPr>
        <w:t>5.</w:t>
      </w:r>
      <w:r>
        <w:rPr>
          <w:rFonts w:ascii="UkrainianPeterburg" w:hAnsi="UkrainianPeterburg"/>
          <w:b/>
          <w:sz w:val="21"/>
          <w:szCs w:val="21"/>
          <w:lang w:val="ru-RU"/>
        </w:rPr>
        <w:t>4</w:t>
      </w:r>
      <w:r w:rsidRPr="00E97553">
        <w:rPr>
          <w:rFonts w:ascii="UkrainianPeterburg" w:hAnsi="UkrainianPeterburg"/>
          <w:b/>
          <w:sz w:val="21"/>
          <w:szCs w:val="21"/>
        </w:rPr>
        <w:t xml:space="preserve">. </w:t>
      </w:r>
      <w:r>
        <w:rPr>
          <w:rFonts w:ascii="UkrainianPeterburg" w:hAnsi="UkrainianPeterburg"/>
          <w:b/>
          <w:sz w:val="21"/>
          <w:szCs w:val="21"/>
          <w:lang w:val="ru-RU"/>
        </w:rPr>
        <w:t>Окремі аспекти управління людським потенціалом в процесі його реалізації</w:t>
      </w:r>
    </w:p>
    <w:p w:rsidR="00B233DE" w:rsidRPr="0064578A" w:rsidRDefault="00B233DE" w:rsidP="00B233DE">
      <w:pPr>
        <w:widowControl w:val="0"/>
        <w:spacing w:line="233" w:lineRule="auto"/>
        <w:ind w:firstLine="709"/>
        <w:contextualSpacing/>
        <w:jc w:val="both"/>
        <w:rPr>
          <w:rFonts w:ascii="Times New Roman" w:hAnsi="Times New Roman" w:cs="Times New Roman"/>
          <w:sz w:val="21"/>
          <w:szCs w:val="21"/>
          <w:lang w:val="ru-RU"/>
        </w:rPr>
      </w:pPr>
    </w:p>
    <w:p w:rsidR="00B233DE" w:rsidRDefault="00B233DE" w:rsidP="00B233DE">
      <w:pPr>
        <w:widowControl w:val="0"/>
        <w:spacing w:line="233" w:lineRule="auto"/>
        <w:ind w:firstLine="709"/>
        <w:contextualSpacing/>
        <w:jc w:val="both"/>
        <w:rPr>
          <w:rFonts w:ascii="Times New Roman" w:hAnsi="Times New Roman" w:cs="Times New Roman"/>
          <w:sz w:val="21"/>
          <w:szCs w:val="21"/>
        </w:rPr>
      </w:pPr>
    </w:p>
    <w:p w:rsidR="00B233DE" w:rsidRPr="0064578A" w:rsidRDefault="00B233DE" w:rsidP="00B233DE">
      <w:pPr>
        <w:shd w:val="clear" w:color="auto" w:fill="FFFFFF"/>
        <w:ind w:firstLine="709"/>
        <w:jc w:val="both"/>
        <w:rPr>
          <w:rFonts w:ascii="Times New Roman" w:hAnsi="Times New Roman" w:cs="Times New Roman"/>
          <w:sz w:val="21"/>
          <w:szCs w:val="21"/>
        </w:rPr>
      </w:pPr>
      <w:r w:rsidRPr="0064578A">
        <w:rPr>
          <w:rFonts w:ascii="Times New Roman" w:hAnsi="Times New Roman" w:cs="Times New Roman"/>
          <w:sz w:val="21"/>
          <w:szCs w:val="21"/>
        </w:rPr>
        <w:t xml:space="preserve">Процвітання кожної держави й людства значною мірою визначається ступенем розвитку й використання людського потенціалу усіх громадян, включаючи людей з обмеженими можливостями. Значні структурні зміни, що відбуваються у сучасному суспільстві, потребують створення нових, різноманітних соціальних форм. Насамперед це зміна відношення до інвалідів. Шлях до подолання розриву між ними та рештою населення </w:t>
      </w:r>
      <w:r>
        <w:rPr>
          <w:rFonts w:ascii="Times New Roman" w:hAnsi="Times New Roman" w:cs="Times New Roman"/>
          <w:sz w:val="21"/>
          <w:szCs w:val="21"/>
        </w:rPr>
        <w:t>–</w:t>
      </w:r>
      <w:r w:rsidRPr="0064578A">
        <w:rPr>
          <w:rFonts w:ascii="Times New Roman" w:hAnsi="Times New Roman" w:cs="Times New Roman"/>
          <w:sz w:val="21"/>
          <w:szCs w:val="21"/>
        </w:rPr>
        <w:t xml:space="preserve"> реабілітація. Це поняття часто використовується як синонім суспільної опіки, професійної перекваліфікації, медичного лікування тощо. Насправді реабілітація – це активний соціально-культурний процес, що обумовлює взаємодію двох сторін </w:t>
      </w:r>
      <w:r>
        <w:rPr>
          <w:rFonts w:ascii="Times New Roman" w:hAnsi="Times New Roman" w:cs="Times New Roman"/>
          <w:sz w:val="21"/>
          <w:szCs w:val="21"/>
        </w:rPr>
        <w:t>–</w:t>
      </w:r>
      <w:r w:rsidRPr="0064578A">
        <w:rPr>
          <w:rFonts w:ascii="Times New Roman" w:hAnsi="Times New Roman" w:cs="Times New Roman"/>
          <w:sz w:val="21"/>
          <w:szCs w:val="21"/>
        </w:rPr>
        <w:t xml:space="preserve"> суспільства та людей з особливими потребами. У комплексній системі реабілітації інвалідів професійна реабілітація </w:t>
      </w:r>
      <w:r>
        <w:rPr>
          <w:rFonts w:ascii="Times New Roman" w:hAnsi="Times New Roman" w:cs="Times New Roman"/>
          <w:sz w:val="21"/>
          <w:szCs w:val="21"/>
        </w:rPr>
        <w:t>та наступна трудова зайнятість –</w:t>
      </w:r>
      <w:r w:rsidRPr="0064578A">
        <w:rPr>
          <w:rFonts w:ascii="Times New Roman" w:hAnsi="Times New Roman" w:cs="Times New Roman"/>
          <w:sz w:val="21"/>
          <w:szCs w:val="21"/>
        </w:rPr>
        <w:t xml:space="preserve"> одні з найважливіших засобів інтеграції в суспільство людей з обмеженими фізичними можливостями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_Ref435621108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46</w:t>
      </w:r>
      <w:r>
        <w:rPr>
          <w:rFonts w:ascii="Times New Roman" w:hAnsi="Times New Roman" w:cs="Times New Roman"/>
          <w:sz w:val="21"/>
          <w:szCs w:val="21"/>
          <w:highlight w:val="yellow"/>
        </w:rPr>
        <w:fldChar w:fldCharType="end"/>
      </w:r>
      <w:r w:rsidRPr="0064578A">
        <w:rPr>
          <w:rFonts w:ascii="Times New Roman" w:hAnsi="Times New Roman" w:cs="Times New Roman"/>
          <w:sz w:val="21"/>
          <w:szCs w:val="21"/>
        </w:rPr>
        <w:t>]. З одного боку, це сприяє їх самозабезпеченню та матер</w:t>
      </w:r>
      <w:r>
        <w:rPr>
          <w:rFonts w:ascii="Times New Roman" w:hAnsi="Times New Roman" w:cs="Times New Roman"/>
          <w:sz w:val="21"/>
          <w:szCs w:val="21"/>
        </w:rPr>
        <w:t>іальній незалежності, з іншого –</w:t>
      </w:r>
      <w:r w:rsidRPr="0064578A">
        <w:rPr>
          <w:rFonts w:ascii="Times New Roman" w:hAnsi="Times New Roman" w:cs="Times New Roman"/>
          <w:sz w:val="21"/>
          <w:szCs w:val="21"/>
        </w:rPr>
        <w:t xml:space="preserve"> є засобом самоствердження особистості, досягнення вищого рівня соціалізації,</w:t>
      </w:r>
      <w:r>
        <w:rPr>
          <w:rFonts w:ascii="Times New Roman" w:hAnsi="Times New Roman" w:cs="Times New Roman"/>
          <w:sz w:val="21"/>
          <w:szCs w:val="21"/>
        </w:rPr>
        <w:t xml:space="preserve"> адже працевлаштований інвалід –</w:t>
      </w:r>
      <w:r w:rsidRPr="0064578A">
        <w:rPr>
          <w:rFonts w:ascii="Times New Roman" w:hAnsi="Times New Roman" w:cs="Times New Roman"/>
          <w:sz w:val="21"/>
          <w:szCs w:val="21"/>
        </w:rPr>
        <w:t xml:space="preserve"> це підвищення </w:t>
      </w:r>
      <w:r>
        <w:rPr>
          <w:rFonts w:ascii="Times New Roman" w:hAnsi="Times New Roman" w:cs="Times New Roman"/>
          <w:sz w:val="21"/>
          <w:szCs w:val="21"/>
        </w:rPr>
        <w:t>суспільної продуктивності, розв’</w:t>
      </w:r>
      <w:r w:rsidRPr="0064578A">
        <w:rPr>
          <w:rFonts w:ascii="Times New Roman" w:hAnsi="Times New Roman" w:cs="Times New Roman"/>
          <w:sz w:val="21"/>
          <w:szCs w:val="21"/>
        </w:rPr>
        <w:t xml:space="preserve">язання багатьох соціальних проблем. </w:t>
      </w:r>
      <w:r>
        <w:rPr>
          <w:rFonts w:ascii="Times New Roman" w:hAnsi="Times New Roman" w:cs="Times New Roman"/>
          <w:color w:val="000000"/>
          <w:sz w:val="21"/>
          <w:szCs w:val="21"/>
        </w:rPr>
        <w:t>Комплексне розв’</w:t>
      </w:r>
      <w:r w:rsidRPr="0064578A">
        <w:rPr>
          <w:rFonts w:ascii="Times New Roman" w:hAnsi="Times New Roman" w:cs="Times New Roman"/>
          <w:color w:val="000000"/>
          <w:sz w:val="21"/>
          <w:szCs w:val="21"/>
        </w:rPr>
        <w:t>язання проблем інвалідності передбачає:</w:t>
      </w:r>
    </w:p>
    <w:p w:rsidR="00B233DE" w:rsidRPr="0064578A" w:rsidRDefault="00B233DE" w:rsidP="00B233DE">
      <w:pPr>
        <w:numPr>
          <w:ilvl w:val="0"/>
          <w:numId w:val="35"/>
        </w:numPr>
        <w:shd w:val="clear" w:color="auto" w:fill="FFFFFF"/>
        <w:tabs>
          <w:tab w:val="clear" w:pos="1287"/>
          <w:tab w:val="num" w:pos="993"/>
        </w:tabs>
        <w:ind w:left="0" w:firstLine="709"/>
        <w:jc w:val="both"/>
        <w:rPr>
          <w:rFonts w:ascii="Times New Roman" w:hAnsi="Times New Roman" w:cs="Times New Roman"/>
          <w:sz w:val="21"/>
          <w:szCs w:val="21"/>
        </w:rPr>
      </w:pPr>
      <w:r w:rsidRPr="0064578A">
        <w:rPr>
          <w:rFonts w:ascii="Times New Roman" w:hAnsi="Times New Roman" w:cs="Times New Roman"/>
          <w:color w:val="000000"/>
          <w:sz w:val="21"/>
          <w:szCs w:val="21"/>
        </w:rPr>
        <w:lastRenderedPageBreak/>
        <w:t>правове регулювання соціальної політики щодо інвалідів;</w:t>
      </w:r>
    </w:p>
    <w:p w:rsidR="00B233DE" w:rsidRPr="0064578A" w:rsidRDefault="00B233DE" w:rsidP="00B233DE">
      <w:pPr>
        <w:numPr>
          <w:ilvl w:val="0"/>
          <w:numId w:val="35"/>
        </w:numPr>
        <w:shd w:val="clear" w:color="auto" w:fill="FFFFFF"/>
        <w:tabs>
          <w:tab w:val="clear" w:pos="1287"/>
          <w:tab w:val="num" w:pos="993"/>
        </w:tabs>
        <w:ind w:left="0" w:firstLine="709"/>
        <w:jc w:val="both"/>
        <w:rPr>
          <w:rFonts w:ascii="Times New Roman" w:hAnsi="Times New Roman" w:cs="Times New Roman"/>
          <w:sz w:val="21"/>
          <w:szCs w:val="21"/>
        </w:rPr>
      </w:pPr>
      <w:r w:rsidRPr="0064578A">
        <w:rPr>
          <w:rFonts w:ascii="Times New Roman" w:hAnsi="Times New Roman" w:cs="Times New Roman"/>
          <w:color w:val="000000"/>
          <w:sz w:val="21"/>
          <w:szCs w:val="21"/>
        </w:rPr>
        <w:t>матеріальне, соціально-побутове та медичне забезпечення;</w:t>
      </w:r>
    </w:p>
    <w:p w:rsidR="00B233DE" w:rsidRPr="0064578A" w:rsidRDefault="00B233DE" w:rsidP="00B233DE">
      <w:pPr>
        <w:numPr>
          <w:ilvl w:val="0"/>
          <w:numId w:val="35"/>
        </w:numPr>
        <w:shd w:val="clear" w:color="auto" w:fill="FFFFFF"/>
        <w:tabs>
          <w:tab w:val="clear" w:pos="1287"/>
          <w:tab w:val="num" w:pos="993"/>
        </w:tabs>
        <w:ind w:left="0" w:firstLine="709"/>
        <w:jc w:val="both"/>
        <w:rPr>
          <w:rFonts w:ascii="Times New Roman" w:hAnsi="Times New Roman" w:cs="Times New Roman"/>
          <w:sz w:val="21"/>
          <w:szCs w:val="21"/>
        </w:rPr>
      </w:pPr>
      <w:r w:rsidRPr="0064578A">
        <w:rPr>
          <w:rFonts w:ascii="Times New Roman" w:hAnsi="Times New Roman" w:cs="Times New Roman"/>
          <w:color w:val="000000"/>
          <w:sz w:val="21"/>
          <w:szCs w:val="21"/>
        </w:rPr>
        <w:t>комплексну багатопрофільну реабілітацію (абілітацію), створення реабілітаційної медичної, соціальної та професійної інфраструктури;</w:t>
      </w:r>
    </w:p>
    <w:p w:rsidR="00B233DE" w:rsidRPr="0064578A" w:rsidRDefault="00B233DE" w:rsidP="00B233DE">
      <w:pPr>
        <w:numPr>
          <w:ilvl w:val="0"/>
          <w:numId w:val="35"/>
        </w:numPr>
        <w:shd w:val="clear" w:color="auto" w:fill="FFFFFF"/>
        <w:tabs>
          <w:tab w:val="clear" w:pos="1287"/>
          <w:tab w:val="num" w:pos="993"/>
        </w:tabs>
        <w:ind w:left="0" w:firstLine="709"/>
        <w:jc w:val="both"/>
        <w:rPr>
          <w:rFonts w:ascii="Times New Roman" w:hAnsi="Times New Roman" w:cs="Times New Roman"/>
          <w:sz w:val="21"/>
          <w:szCs w:val="21"/>
        </w:rPr>
      </w:pPr>
      <w:r w:rsidRPr="0064578A">
        <w:rPr>
          <w:rFonts w:ascii="Times New Roman" w:hAnsi="Times New Roman" w:cs="Times New Roman"/>
          <w:color w:val="000000"/>
          <w:sz w:val="21"/>
          <w:szCs w:val="21"/>
        </w:rPr>
        <w:t>освіту та фахову підготовку;</w:t>
      </w:r>
    </w:p>
    <w:p w:rsidR="00B233DE" w:rsidRPr="0064578A" w:rsidRDefault="00B233DE" w:rsidP="00B233DE">
      <w:pPr>
        <w:numPr>
          <w:ilvl w:val="0"/>
          <w:numId w:val="35"/>
        </w:numPr>
        <w:shd w:val="clear" w:color="auto" w:fill="FFFFFF"/>
        <w:tabs>
          <w:tab w:val="clear" w:pos="1287"/>
          <w:tab w:val="num" w:pos="993"/>
        </w:tabs>
        <w:ind w:left="0" w:firstLine="709"/>
        <w:jc w:val="both"/>
        <w:rPr>
          <w:rFonts w:ascii="Times New Roman" w:hAnsi="Times New Roman" w:cs="Times New Roman"/>
          <w:sz w:val="21"/>
          <w:szCs w:val="21"/>
        </w:rPr>
      </w:pPr>
      <w:r w:rsidRPr="0064578A">
        <w:rPr>
          <w:rFonts w:ascii="Times New Roman" w:hAnsi="Times New Roman" w:cs="Times New Roman"/>
          <w:color w:val="000000"/>
          <w:sz w:val="21"/>
          <w:szCs w:val="21"/>
        </w:rPr>
        <w:t>працевлаштування та зайнятість інвалідів;</w:t>
      </w:r>
    </w:p>
    <w:p w:rsidR="00B233DE" w:rsidRPr="0064578A" w:rsidRDefault="00B233DE" w:rsidP="00B233DE">
      <w:pPr>
        <w:numPr>
          <w:ilvl w:val="0"/>
          <w:numId w:val="35"/>
        </w:numPr>
        <w:shd w:val="clear" w:color="auto" w:fill="FFFFFF"/>
        <w:tabs>
          <w:tab w:val="clear" w:pos="1287"/>
          <w:tab w:val="num" w:pos="993"/>
        </w:tabs>
        <w:ind w:left="0" w:firstLine="709"/>
        <w:jc w:val="both"/>
        <w:rPr>
          <w:rFonts w:ascii="Times New Roman" w:hAnsi="Times New Roman" w:cs="Times New Roman"/>
          <w:sz w:val="21"/>
          <w:szCs w:val="21"/>
        </w:rPr>
      </w:pPr>
      <w:r w:rsidRPr="0064578A">
        <w:rPr>
          <w:rFonts w:ascii="Times New Roman" w:hAnsi="Times New Roman" w:cs="Times New Roman"/>
          <w:color w:val="000000"/>
          <w:sz w:val="21"/>
          <w:szCs w:val="21"/>
        </w:rPr>
        <w:t xml:space="preserve">інформаційне забезпечення </w:t>
      </w:r>
      <w:r w:rsidRPr="0064578A">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_Ref435621116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82</w:t>
      </w:r>
      <w:r>
        <w:rPr>
          <w:rFonts w:ascii="Times New Roman" w:hAnsi="Times New Roman" w:cs="Times New Roman"/>
          <w:sz w:val="21"/>
          <w:szCs w:val="21"/>
          <w:highlight w:val="yellow"/>
        </w:rPr>
        <w:fldChar w:fldCharType="end"/>
      </w:r>
      <w:r w:rsidRPr="0064578A">
        <w:rPr>
          <w:rFonts w:ascii="Times New Roman" w:hAnsi="Times New Roman" w:cs="Times New Roman"/>
          <w:sz w:val="21"/>
          <w:szCs w:val="21"/>
        </w:rPr>
        <w:t>].</w:t>
      </w:r>
    </w:p>
    <w:p w:rsidR="00B233DE" w:rsidRPr="0064578A" w:rsidRDefault="00B233DE" w:rsidP="00B233DE">
      <w:pPr>
        <w:shd w:val="clear" w:color="auto" w:fill="FFFFFF"/>
        <w:ind w:firstLine="709"/>
        <w:jc w:val="both"/>
        <w:rPr>
          <w:rFonts w:ascii="Times New Roman" w:hAnsi="Times New Roman" w:cs="Times New Roman"/>
          <w:sz w:val="21"/>
          <w:szCs w:val="21"/>
        </w:rPr>
      </w:pPr>
      <w:r w:rsidRPr="0064578A">
        <w:rPr>
          <w:rFonts w:ascii="Times New Roman" w:hAnsi="Times New Roman" w:cs="Times New Roman"/>
          <w:sz w:val="21"/>
          <w:szCs w:val="21"/>
        </w:rPr>
        <w:t>Від середини XX століття в більшості країн світу соціальна політика відносно осіб з особливими пот</w:t>
      </w:r>
      <w:r>
        <w:rPr>
          <w:rFonts w:ascii="Times New Roman" w:hAnsi="Times New Roman" w:cs="Times New Roman"/>
          <w:sz w:val="21"/>
          <w:szCs w:val="21"/>
        </w:rPr>
        <w:t>ребами ґрунтується на принципі «рівних можливостей»</w:t>
      </w:r>
      <w:r w:rsidRPr="0064578A">
        <w:rPr>
          <w:rFonts w:ascii="Times New Roman" w:hAnsi="Times New Roman" w:cs="Times New Roman"/>
          <w:sz w:val="21"/>
          <w:szCs w:val="21"/>
        </w:rPr>
        <w:t>. Серед основних сфер реалізації принципу</w:t>
      </w:r>
      <w:r>
        <w:rPr>
          <w:rFonts w:ascii="Times New Roman" w:hAnsi="Times New Roman" w:cs="Times New Roman"/>
          <w:sz w:val="21"/>
          <w:szCs w:val="21"/>
        </w:rPr>
        <w:t xml:space="preserve"> «рівних можливостей»</w:t>
      </w:r>
      <w:r w:rsidRPr="0064578A">
        <w:rPr>
          <w:rFonts w:ascii="Times New Roman" w:hAnsi="Times New Roman" w:cs="Times New Roman"/>
          <w:sz w:val="21"/>
          <w:szCs w:val="21"/>
        </w:rPr>
        <w:t xml:space="preserve"> молодих інвалідів є доступність освіти з подальшим працевлаштуванням. Здобуття повноцінної освіти, професійне визначення є дуже важливим чинником у житті кожної людини, а для інваліда набуває особливого значення. Опанування інвалідами фахових навичок дає їм можливість реалізувати свої здібності, частково або повністю адаптуватися у суспільстві. Створення максимально сприятливих умов для навчання та зайнятості інвалідів – це обов’язок будь-якого суспільства, яке прагне бути демократичним та забезпечувати умови для активної участі у розвитку цього суспільства для усіх, без винятку, громадян.</w:t>
      </w:r>
      <w:r w:rsidRPr="0064578A">
        <w:rPr>
          <w:rFonts w:ascii="Times New Roman" w:hAnsi="Times New Roman" w:cs="Times New Roman"/>
          <w:color w:val="000000"/>
          <w:sz w:val="21"/>
          <w:szCs w:val="21"/>
        </w:rPr>
        <w:t xml:space="preserve"> Стандартні правила забезпечення рівних можливостей для інвалідів проголосили: кожна людина та її потреби важливі для суспільства – права людини універсальні</w:t>
      </w:r>
      <w:r>
        <w:rPr>
          <w:rFonts w:ascii="Times New Roman" w:hAnsi="Times New Roman" w:cs="Times New Roman"/>
          <w:color w:val="000000"/>
          <w:sz w:val="21"/>
          <w:szCs w:val="21"/>
        </w:rPr>
        <w:t xml:space="preserve"> </w:t>
      </w:r>
      <w:r w:rsidRPr="0064578A">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_Ref435621124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114</w:t>
      </w:r>
      <w:r>
        <w:rPr>
          <w:rFonts w:ascii="Times New Roman" w:hAnsi="Times New Roman" w:cs="Times New Roman"/>
          <w:sz w:val="21"/>
          <w:szCs w:val="21"/>
          <w:highlight w:val="yellow"/>
        </w:rPr>
        <w:fldChar w:fldCharType="end"/>
      </w:r>
      <w:r w:rsidRPr="0064578A">
        <w:rPr>
          <w:rFonts w:ascii="Times New Roman" w:hAnsi="Times New Roman" w:cs="Times New Roman"/>
          <w:sz w:val="21"/>
          <w:szCs w:val="21"/>
        </w:rPr>
        <w:t xml:space="preserve">]. </w:t>
      </w:r>
      <w:r w:rsidRPr="0064578A">
        <w:rPr>
          <w:rFonts w:ascii="Times New Roman" w:hAnsi="Times New Roman" w:cs="Times New Roman"/>
          <w:color w:val="000000"/>
          <w:sz w:val="21"/>
          <w:szCs w:val="21"/>
        </w:rPr>
        <w:t>Для цього, на нашу думку, необхідно:</w:t>
      </w:r>
    </w:p>
    <w:p w:rsidR="00B233DE" w:rsidRPr="0064578A" w:rsidRDefault="00B233DE" w:rsidP="00B233DE">
      <w:pPr>
        <w:numPr>
          <w:ilvl w:val="0"/>
          <w:numId w:val="36"/>
        </w:numPr>
        <w:shd w:val="clear" w:color="auto" w:fill="FFFFFF"/>
        <w:tabs>
          <w:tab w:val="clear" w:pos="720"/>
          <w:tab w:val="num" w:pos="993"/>
        </w:tabs>
        <w:ind w:left="0" w:firstLine="709"/>
        <w:jc w:val="both"/>
        <w:rPr>
          <w:rFonts w:ascii="Times New Roman" w:hAnsi="Times New Roman" w:cs="Times New Roman"/>
          <w:sz w:val="21"/>
          <w:szCs w:val="21"/>
        </w:rPr>
      </w:pPr>
      <w:r w:rsidRPr="0064578A">
        <w:rPr>
          <w:rFonts w:ascii="Times New Roman" w:hAnsi="Times New Roman" w:cs="Times New Roman"/>
          <w:color w:val="000000"/>
          <w:sz w:val="21"/>
          <w:szCs w:val="21"/>
        </w:rPr>
        <w:t>розробляти національні програми реабілітації для всіх груп інвалідів, які б базувались на фактичних потребах інвалідів та принципах всебічної участі їх у житті суспільства та рівності;</w:t>
      </w:r>
    </w:p>
    <w:p w:rsidR="00B233DE" w:rsidRPr="0064578A" w:rsidRDefault="00B233DE" w:rsidP="00B233DE">
      <w:pPr>
        <w:numPr>
          <w:ilvl w:val="0"/>
          <w:numId w:val="36"/>
        </w:numPr>
        <w:shd w:val="clear" w:color="auto" w:fill="FFFFFF"/>
        <w:tabs>
          <w:tab w:val="clear" w:pos="720"/>
          <w:tab w:val="num" w:pos="993"/>
        </w:tabs>
        <w:ind w:left="0" w:firstLine="709"/>
        <w:jc w:val="both"/>
        <w:rPr>
          <w:rFonts w:ascii="Times New Roman" w:hAnsi="Times New Roman" w:cs="Times New Roman"/>
          <w:sz w:val="21"/>
          <w:szCs w:val="21"/>
        </w:rPr>
      </w:pPr>
      <w:r w:rsidRPr="0064578A">
        <w:rPr>
          <w:rFonts w:ascii="Times New Roman" w:hAnsi="Times New Roman" w:cs="Times New Roman"/>
          <w:color w:val="000000"/>
          <w:sz w:val="21"/>
          <w:szCs w:val="21"/>
        </w:rPr>
        <w:t>нести відповідальність за створення правової основи для вжиття заходів з метою забезпечення повноцінної участі інвалідів в житті суспільства та їх рівноправності. Держави повинні забезпечувати участь організацій інвалідів у розробленні національного законодавства, що стосується прав інвалідів, а також в оцінюванні цього законодавства. Держави несуть відповідальність за надання соціального забезпечення інвалідам та підтримк</w:t>
      </w:r>
      <w:r>
        <w:rPr>
          <w:rFonts w:ascii="Times New Roman" w:hAnsi="Times New Roman" w:cs="Times New Roman"/>
          <w:color w:val="000000"/>
          <w:sz w:val="21"/>
          <w:szCs w:val="21"/>
        </w:rPr>
        <w:t>у рівня</w:t>
      </w:r>
      <w:r w:rsidRPr="0064578A">
        <w:rPr>
          <w:rFonts w:ascii="Times New Roman" w:hAnsi="Times New Roman" w:cs="Times New Roman"/>
          <w:color w:val="000000"/>
          <w:sz w:val="21"/>
          <w:szCs w:val="21"/>
        </w:rPr>
        <w:t xml:space="preserve"> їхніх доходів;</w:t>
      </w:r>
    </w:p>
    <w:p w:rsidR="00B233DE" w:rsidRPr="0064578A" w:rsidRDefault="00B233DE" w:rsidP="00B233DE">
      <w:pPr>
        <w:numPr>
          <w:ilvl w:val="0"/>
          <w:numId w:val="36"/>
        </w:numPr>
        <w:shd w:val="clear" w:color="auto" w:fill="FFFFFF"/>
        <w:tabs>
          <w:tab w:val="clear" w:pos="720"/>
          <w:tab w:val="num" w:pos="993"/>
        </w:tabs>
        <w:ind w:left="0" w:firstLine="709"/>
        <w:jc w:val="both"/>
        <w:rPr>
          <w:rFonts w:ascii="Times New Roman" w:hAnsi="Times New Roman" w:cs="Times New Roman"/>
          <w:sz w:val="21"/>
          <w:szCs w:val="21"/>
        </w:rPr>
      </w:pPr>
      <w:r w:rsidRPr="0064578A">
        <w:rPr>
          <w:rFonts w:ascii="Times New Roman" w:hAnsi="Times New Roman" w:cs="Times New Roman"/>
          <w:color w:val="000000"/>
          <w:sz w:val="21"/>
          <w:szCs w:val="21"/>
        </w:rPr>
        <w:lastRenderedPageBreak/>
        <w:t>забезпечити через компетентні органи розповсюдження з-поміж інвалідів, їх сімей, відповідних спеціалістів та широкої громадськості інформації щодо програм і послуг, призначених для інвалідів, в доступній формі;</w:t>
      </w:r>
    </w:p>
    <w:p w:rsidR="00B233DE" w:rsidRPr="0089508F" w:rsidRDefault="00B233DE" w:rsidP="00B233DE">
      <w:pPr>
        <w:numPr>
          <w:ilvl w:val="0"/>
          <w:numId w:val="36"/>
        </w:numPr>
        <w:shd w:val="clear" w:color="auto" w:fill="FFFFFF"/>
        <w:tabs>
          <w:tab w:val="clear" w:pos="720"/>
          <w:tab w:val="num" w:pos="993"/>
        </w:tabs>
        <w:ind w:left="0" w:firstLine="709"/>
        <w:jc w:val="both"/>
        <w:rPr>
          <w:rFonts w:ascii="Times New Roman" w:hAnsi="Times New Roman" w:cs="Times New Roman"/>
          <w:sz w:val="21"/>
          <w:szCs w:val="21"/>
        </w:rPr>
      </w:pPr>
      <w:r w:rsidRPr="0064578A">
        <w:rPr>
          <w:rFonts w:ascii="Times New Roman" w:hAnsi="Times New Roman" w:cs="Times New Roman"/>
          <w:sz w:val="21"/>
          <w:szCs w:val="21"/>
        </w:rPr>
        <w:t>сформувати позитивне ставлення у суспільстві до осіб з інвалідністю,</w:t>
      </w:r>
      <w:r w:rsidRPr="0064578A">
        <w:rPr>
          <w:rFonts w:ascii="Times New Roman" w:hAnsi="Times New Roman" w:cs="Times New Roman"/>
          <w:color w:val="000000"/>
          <w:sz w:val="21"/>
          <w:szCs w:val="21"/>
        </w:rPr>
        <w:t xml:space="preserve"> досягнути усвідомлення суспільством проблем, що стосуються проблем інвалідів та політики щодо них, усвідомлення та розуміння того, що інваліди є громадянами</w:t>
      </w:r>
      <w:r>
        <w:rPr>
          <w:rFonts w:ascii="Times New Roman" w:hAnsi="Times New Roman" w:cs="Times New Roman"/>
          <w:color w:val="000000"/>
          <w:sz w:val="21"/>
          <w:szCs w:val="21"/>
        </w:rPr>
        <w:t xml:space="preserve"> з такими самими правами й обов’</w:t>
      </w:r>
      <w:r w:rsidRPr="0064578A">
        <w:rPr>
          <w:rFonts w:ascii="Times New Roman" w:hAnsi="Times New Roman" w:cs="Times New Roman"/>
          <w:color w:val="000000"/>
          <w:sz w:val="21"/>
          <w:szCs w:val="21"/>
        </w:rPr>
        <w:t>язками, як і інші громадяни; Необхідно спонукати засоби масової інформації, телебачення, радіо та газети, забезпечувати</w:t>
      </w:r>
      <w:r>
        <w:rPr>
          <w:rFonts w:ascii="Times New Roman" w:hAnsi="Times New Roman" w:cs="Times New Roman"/>
          <w:color w:val="000000"/>
          <w:sz w:val="21"/>
          <w:szCs w:val="21"/>
        </w:rPr>
        <w:t xml:space="preserve"> </w:t>
      </w:r>
      <w:r w:rsidRPr="0089508F">
        <w:rPr>
          <w:rFonts w:ascii="Times New Roman" w:hAnsi="Times New Roman" w:cs="Times New Roman"/>
          <w:color w:val="000000"/>
          <w:sz w:val="21"/>
          <w:szCs w:val="21"/>
        </w:rPr>
        <w:t xml:space="preserve">доступність послуг </w:t>
      </w:r>
      <w:r>
        <w:rPr>
          <w:rFonts w:ascii="Times New Roman" w:hAnsi="Times New Roman" w:cs="Times New Roman"/>
          <w:color w:val="000000"/>
          <w:sz w:val="21"/>
          <w:szCs w:val="21"/>
        </w:rPr>
        <w:t>ЗМІ</w:t>
      </w:r>
      <w:r w:rsidRPr="0089508F">
        <w:rPr>
          <w:rFonts w:ascii="Times New Roman" w:hAnsi="Times New Roman" w:cs="Times New Roman"/>
          <w:color w:val="000000"/>
          <w:sz w:val="21"/>
          <w:szCs w:val="21"/>
        </w:rPr>
        <w:t xml:space="preserve"> для інвалідів;</w:t>
      </w:r>
    </w:p>
    <w:p w:rsidR="00B233DE" w:rsidRPr="0064578A" w:rsidRDefault="00B233DE" w:rsidP="00B233DE">
      <w:pPr>
        <w:numPr>
          <w:ilvl w:val="0"/>
          <w:numId w:val="36"/>
        </w:numPr>
        <w:shd w:val="clear" w:color="auto" w:fill="FFFFFF"/>
        <w:tabs>
          <w:tab w:val="clear" w:pos="720"/>
          <w:tab w:val="num" w:pos="993"/>
        </w:tabs>
        <w:ind w:left="0" w:firstLine="709"/>
        <w:jc w:val="both"/>
        <w:rPr>
          <w:rFonts w:ascii="Times New Roman" w:hAnsi="Times New Roman" w:cs="Times New Roman"/>
          <w:sz w:val="21"/>
          <w:szCs w:val="21"/>
        </w:rPr>
      </w:pPr>
      <w:r w:rsidRPr="0064578A">
        <w:rPr>
          <w:rFonts w:ascii="Times New Roman" w:hAnsi="Times New Roman" w:cs="Times New Roman"/>
          <w:sz w:val="21"/>
          <w:szCs w:val="21"/>
        </w:rPr>
        <w:t>створити рівні можливості для людей з особливими потребами забезпечити їх доступність до участі в усіх сферах життя суспільства;</w:t>
      </w:r>
    </w:p>
    <w:p w:rsidR="00B233DE" w:rsidRPr="0064578A" w:rsidRDefault="00B233DE" w:rsidP="00B233DE">
      <w:pPr>
        <w:numPr>
          <w:ilvl w:val="0"/>
          <w:numId w:val="36"/>
        </w:numPr>
        <w:shd w:val="clear" w:color="auto" w:fill="FFFFFF"/>
        <w:tabs>
          <w:tab w:val="clear" w:pos="720"/>
          <w:tab w:val="num" w:pos="993"/>
        </w:tabs>
        <w:ind w:left="0" w:firstLine="709"/>
        <w:jc w:val="both"/>
        <w:rPr>
          <w:rFonts w:ascii="Times New Roman" w:hAnsi="Times New Roman" w:cs="Times New Roman"/>
          <w:sz w:val="21"/>
          <w:szCs w:val="21"/>
        </w:rPr>
      </w:pPr>
      <w:r w:rsidRPr="0064578A">
        <w:rPr>
          <w:rFonts w:ascii="Times New Roman" w:hAnsi="Times New Roman" w:cs="Times New Roman"/>
          <w:sz w:val="21"/>
          <w:szCs w:val="21"/>
        </w:rPr>
        <w:t>створити для осіб з інвал</w:t>
      </w:r>
      <w:r>
        <w:rPr>
          <w:rFonts w:ascii="Times New Roman" w:hAnsi="Times New Roman" w:cs="Times New Roman"/>
          <w:sz w:val="21"/>
          <w:szCs w:val="21"/>
        </w:rPr>
        <w:t>ідністю умови доступності до об’</w:t>
      </w:r>
      <w:r w:rsidRPr="0064578A">
        <w:rPr>
          <w:rFonts w:ascii="Times New Roman" w:hAnsi="Times New Roman" w:cs="Times New Roman"/>
          <w:sz w:val="21"/>
          <w:szCs w:val="21"/>
        </w:rPr>
        <w:t>єктів фізичного оточення, транспорту, інформації та зв’язку, а також до освіти, культури, фізичної культури та спорту;</w:t>
      </w:r>
    </w:p>
    <w:p w:rsidR="00B233DE" w:rsidRPr="0064578A" w:rsidRDefault="00B233DE" w:rsidP="00B233DE">
      <w:pPr>
        <w:numPr>
          <w:ilvl w:val="0"/>
          <w:numId w:val="36"/>
        </w:numPr>
        <w:shd w:val="clear" w:color="auto" w:fill="FFFFFF"/>
        <w:tabs>
          <w:tab w:val="clear" w:pos="720"/>
          <w:tab w:val="num" w:pos="993"/>
        </w:tabs>
        <w:ind w:left="0" w:firstLine="709"/>
        <w:jc w:val="both"/>
        <w:rPr>
          <w:rFonts w:ascii="Times New Roman" w:hAnsi="Times New Roman" w:cs="Times New Roman"/>
          <w:sz w:val="21"/>
          <w:szCs w:val="21"/>
        </w:rPr>
      </w:pPr>
      <w:r w:rsidRPr="0064578A">
        <w:rPr>
          <w:rFonts w:ascii="Times New Roman" w:hAnsi="Times New Roman" w:cs="Times New Roman"/>
          <w:color w:val="000000"/>
          <w:sz w:val="21"/>
          <w:szCs w:val="21"/>
        </w:rPr>
        <w:t>активно підтримувати входження інвалідів у вільний ринок праці, реалізувати права інвалідів у сфері зайнятості;</w:t>
      </w:r>
    </w:p>
    <w:p w:rsidR="00B233DE" w:rsidRPr="0064578A" w:rsidRDefault="00B233DE" w:rsidP="00B233DE">
      <w:pPr>
        <w:numPr>
          <w:ilvl w:val="0"/>
          <w:numId w:val="36"/>
        </w:numPr>
        <w:shd w:val="clear" w:color="auto" w:fill="FFFFFF"/>
        <w:tabs>
          <w:tab w:val="clear" w:pos="720"/>
          <w:tab w:val="num" w:pos="993"/>
        </w:tabs>
        <w:ind w:left="0" w:firstLine="709"/>
        <w:jc w:val="both"/>
        <w:rPr>
          <w:rFonts w:ascii="Times New Roman" w:hAnsi="Times New Roman" w:cs="Times New Roman"/>
          <w:sz w:val="21"/>
          <w:szCs w:val="21"/>
        </w:rPr>
      </w:pPr>
      <w:r w:rsidRPr="0064578A">
        <w:rPr>
          <w:rFonts w:ascii="Times New Roman" w:hAnsi="Times New Roman" w:cs="Times New Roman"/>
          <w:color w:val="000000"/>
          <w:sz w:val="21"/>
          <w:szCs w:val="21"/>
        </w:rPr>
        <w:t>заохочувати налагодження зв’язків між організаціями інвалідів;</w:t>
      </w:r>
    </w:p>
    <w:p w:rsidR="00B233DE" w:rsidRPr="0064578A" w:rsidRDefault="00B233DE" w:rsidP="00B233DE">
      <w:pPr>
        <w:numPr>
          <w:ilvl w:val="0"/>
          <w:numId w:val="36"/>
        </w:numPr>
        <w:shd w:val="clear" w:color="auto" w:fill="FFFFFF"/>
        <w:tabs>
          <w:tab w:val="clear" w:pos="720"/>
          <w:tab w:val="num" w:pos="993"/>
        </w:tabs>
        <w:ind w:left="0" w:firstLine="709"/>
        <w:jc w:val="both"/>
        <w:rPr>
          <w:rFonts w:ascii="Times New Roman" w:hAnsi="Times New Roman" w:cs="Times New Roman"/>
          <w:sz w:val="21"/>
          <w:szCs w:val="21"/>
        </w:rPr>
      </w:pPr>
      <w:r w:rsidRPr="0064578A">
        <w:rPr>
          <w:rFonts w:ascii="Times New Roman" w:hAnsi="Times New Roman" w:cs="Times New Roman"/>
          <w:sz w:val="21"/>
          <w:szCs w:val="21"/>
        </w:rPr>
        <w:t>запровадити відповідальність за дискримінацію за ознакою інвалідності тощо.</w:t>
      </w:r>
    </w:p>
    <w:p w:rsidR="00B233DE" w:rsidRPr="0064578A" w:rsidRDefault="00B233DE" w:rsidP="00B233DE">
      <w:pPr>
        <w:tabs>
          <w:tab w:val="left" w:pos="709"/>
        </w:tabs>
        <w:ind w:firstLine="709"/>
        <w:jc w:val="both"/>
        <w:rPr>
          <w:rFonts w:ascii="Times New Roman" w:hAnsi="Times New Roman" w:cs="Times New Roman"/>
          <w:sz w:val="21"/>
          <w:szCs w:val="21"/>
        </w:rPr>
      </w:pPr>
      <w:r w:rsidRPr="0064578A">
        <w:rPr>
          <w:rFonts w:ascii="Times New Roman" w:hAnsi="Times New Roman" w:cs="Times New Roman"/>
          <w:sz w:val="21"/>
          <w:szCs w:val="21"/>
        </w:rPr>
        <w:t>Двигуном реабілітації є переконання, що великі групи людей, які, як правило, мають мінімум можливостей щодо користування сучасними соціальними і культурними цінностями, при цьому усвідомлюють себе членами суспільства. Таким чином починається процес інтеграції, який потребує глибоких змін схем мислення і нормативних настанов. В багатьох країнах вважається, що за умов запровадження висококваліфікованого лікування та комплексної реабілітації інвалід може повернутися в суспільство і бути повністю інтегрованим в усіх сферах суспільного життя. Реабілітація інвалідів – ск</w:t>
      </w:r>
      <w:r>
        <w:rPr>
          <w:rFonts w:ascii="Times New Roman" w:hAnsi="Times New Roman" w:cs="Times New Roman"/>
          <w:sz w:val="21"/>
          <w:szCs w:val="21"/>
        </w:rPr>
        <w:t>ладна багатоаспектна проблема, в якій особливе місце займає</w:t>
      </w:r>
      <w:r w:rsidRPr="0064578A">
        <w:rPr>
          <w:rFonts w:ascii="Times New Roman" w:hAnsi="Times New Roman" w:cs="Times New Roman"/>
          <w:sz w:val="21"/>
          <w:szCs w:val="21"/>
        </w:rPr>
        <w:t xml:space="preserve"> професійна реабілітація. Це пов’язано з тим, що баланс прав, о</w:t>
      </w:r>
      <w:r>
        <w:rPr>
          <w:rFonts w:ascii="Times New Roman" w:hAnsi="Times New Roman" w:cs="Times New Roman"/>
          <w:sz w:val="21"/>
          <w:szCs w:val="21"/>
        </w:rPr>
        <w:t>бов’язків та інтересів громадян</w:t>
      </w:r>
      <w:r w:rsidRPr="0064578A">
        <w:rPr>
          <w:rFonts w:ascii="Times New Roman" w:hAnsi="Times New Roman" w:cs="Times New Roman"/>
          <w:sz w:val="21"/>
          <w:szCs w:val="21"/>
        </w:rPr>
        <w:t xml:space="preserve"> може бути витриманий в разі створення умов, коли людина сама може розпоряджатися власною долею, мати матеріальну незалежність і реалізовувати здатність до самозабезпечення.</w:t>
      </w:r>
      <w:r w:rsidRPr="0064578A">
        <w:rPr>
          <w:rFonts w:ascii="Times New Roman" w:hAnsi="Times New Roman" w:cs="Times New Roman"/>
          <w:i/>
          <w:sz w:val="21"/>
          <w:szCs w:val="21"/>
        </w:rPr>
        <w:t xml:space="preserve"> </w:t>
      </w:r>
    </w:p>
    <w:p w:rsidR="00B233DE" w:rsidRPr="0064578A" w:rsidRDefault="00B233DE" w:rsidP="00B233DE">
      <w:pPr>
        <w:ind w:firstLine="709"/>
        <w:jc w:val="both"/>
        <w:rPr>
          <w:rFonts w:ascii="Times New Roman" w:hAnsi="Times New Roman" w:cs="Times New Roman"/>
          <w:sz w:val="21"/>
          <w:szCs w:val="21"/>
        </w:rPr>
      </w:pPr>
      <w:r w:rsidRPr="0064578A">
        <w:rPr>
          <w:rFonts w:ascii="Times New Roman" w:hAnsi="Times New Roman" w:cs="Times New Roman"/>
          <w:sz w:val="21"/>
          <w:szCs w:val="21"/>
        </w:rPr>
        <w:lastRenderedPageBreak/>
        <w:t>Законом У</w:t>
      </w:r>
      <w:r>
        <w:rPr>
          <w:rFonts w:ascii="Times New Roman" w:hAnsi="Times New Roman" w:cs="Times New Roman"/>
          <w:sz w:val="21"/>
          <w:szCs w:val="21"/>
        </w:rPr>
        <w:t>країни «</w:t>
      </w:r>
      <w:r w:rsidRPr="0064578A">
        <w:rPr>
          <w:rFonts w:ascii="Times New Roman" w:hAnsi="Times New Roman" w:cs="Times New Roman"/>
          <w:sz w:val="21"/>
          <w:szCs w:val="21"/>
        </w:rPr>
        <w:t>Про р</w:t>
      </w:r>
      <w:r>
        <w:rPr>
          <w:rFonts w:ascii="Times New Roman" w:hAnsi="Times New Roman" w:cs="Times New Roman"/>
          <w:sz w:val="21"/>
          <w:szCs w:val="21"/>
        </w:rPr>
        <w:t>еабілітацію інвалідів в Україні» визначено що «</w:t>
      </w:r>
      <w:r w:rsidRPr="0064578A">
        <w:rPr>
          <w:rFonts w:ascii="Times New Roman" w:hAnsi="Times New Roman" w:cs="Times New Roman"/>
          <w:sz w:val="21"/>
          <w:szCs w:val="21"/>
        </w:rPr>
        <w:t>професійна реабілітація – це система заходів, спрямованих на підготовку особи до професійної діяльності, відновлення чи здобуття професійної працездатності шляхом адаптації, навчання, перенавчання чи перекваліфікації з можли</w:t>
      </w:r>
      <w:r>
        <w:rPr>
          <w:rFonts w:ascii="Times New Roman" w:hAnsi="Times New Roman" w:cs="Times New Roman"/>
          <w:sz w:val="21"/>
          <w:szCs w:val="21"/>
        </w:rPr>
        <w:t>вим подальшим працевлаштуванням»</w:t>
      </w:r>
      <w:r w:rsidRPr="0064578A">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_Ref435621116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82</w:t>
      </w:r>
      <w:r>
        <w:rPr>
          <w:rFonts w:ascii="Times New Roman" w:hAnsi="Times New Roman" w:cs="Times New Roman"/>
          <w:sz w:val="21"/>
          <w:szCs w:val="21"/>
          <w:highlight w:val="yellow"/>
        </w:rPr>
        <w:fldChar w:fldCharType="end"/>
      </w:r>
      <w:r w:rsidRPr="0064578A">
        <w:rPr>
          <w:rFonts w:ascii="Times New Roman" w:hAnsi="Times New Roman" w:cs="Times New Roman"/>
          <w:sz w:val="21"/>
          <w:szCs w:val="21"/>
        </w:rPr>
        <w:t xml:space="preserve">]. Професійна реабілітація має на меті забезпечити конкурентоспроможність інвалідів на ринку праці, їх працевлаштування як у звичайних виробничих умовах, так і у спеціально створених умовах праці. Основним міжнародним документом, що стосується зазначеної категорії осіб, є Конвенція про права інвалідів (далі </w:t>
      </w:r>
      <w:r>
        <w:rPr>
          <w:rFonts w:ascii="Times New Roman" w:hAnsi="Times New Roman" w:cs="Times New Roman"/>
          <w:sz w:val="21"/>
          <w:szCs w:val="21"/>
        </w:rPr>
        <w:t>–</w:t>
      </w:r>
      <w:r w:rsidRPr="0064578A">
        <w:rPr>
          <w:rFonts w:ascii="Times New Roman" w:hAnsi="Times New Roman" w:cs="Times New Roman"/>
          <w:sz w:val="21"/>
          <w:szCs w:val="21"/>
        </w:rPr>
        <w:t xml:space="preserve"> Конвенція). У Всесвітній доповіді про інвалідність до числа головних бар’єрів, які не дозволяють особам з інвалідністю відчувати себе на рівні з іншими, віднесено: неадекватні заходи політики та стандарти; негативне відношення до людей з інвалідністю; нестачу послуг і проблеми з їх наданням; недостатнє фінансування; відсутність безперешкодного середовища; неадекватність інформації та комунікації; відсутність консультування та включення у суспільне життя; брак досвіду та даних. Перелічені проблеми характерні також і для нашої держави.</w:t>
      </w:r>
    </w:p>
    <w:p w:rsidR="00B233DE" w:rsidRPr="0064578A" w:rsidRDefault="00B233DE" w:rsidP="00B233DE">
      <w:pPr>
        <w:tabs>
          <w:tab w:val="left" w:pos="709"/>
        </w:tabs>
        <w:ind w:firstLine="709"/>
        <w:jc w:val="both"/>
        <w:rPr>
          <w:rFonts w:ascii="Times New Roman" w:hAnsi="Times New Roman" w:cs="Times New Roman"/>
          <w:sz w:val="21"/>
          <w:szCs w:val="21"/>
        </w:rPr>
      </w:pPr>
      <w:r w:rsidRPr="0064578A">
        <w:rPr>
          <w:rFonts w:ascii="Times New Roman" w:hAnsi="Times New Roman" w:cs="Times New Roman"/>
          <w:sz w:val="21"/>
          <w:szCs w:val="21"/>
        </w:rPr>
        <w:t>На даний час національне законодавство не повною мірою відповідає вимогам Конвенції, не забезпечує в повному обсязі реалізацію інвалідами своїх прав у всіх сферах життєдіяльності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_Ref435621145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w:t>
      </w:r>
      <w:r>
        <w:rPr>
          <w:rFonts w:ascii="Times New Roman" w:hAnsi="Times New Roman" w:cs="Times New Roman"/>
          <w:sz w:val="21"/>
          <w:szCs w:val="21"/>
          <w:highlight w:val="yellow"/>
        </w:rPr>
        <w:fldChar w:fldCharType="end"/>
      </w:r>
      <w:r w:rsidRPr="0064578A">
        <w:rPr>
          <w:rFonts w:ascii="Times New Roman" w:hAnsi="Times New Roman" w:cs="Times New Roman"/>
          <w:sz w:val="21"/>
          <w:szCs w:val="21"/>
        </w:rPr>
        <w:t>]. Конвенцією визначено принципи соціальної моделі інвалідності, що передбачає залучення інвалідів до ефективної участі в житті суспільства нарівні з іншими громадянами. Проте на сьогодні у сфері забезпечення реалізації прав і задоволення потреб інвалідів передбачено дотримання принципів медичної моделі інвалідності, згідно</w:t>
      </w:r>
      <w:r>
        <w:rPr>
          <w:rFonts w:ascii="Times New Roman" w:hAnsi="Times New Roman" w:cs="Times New Roman"/>
          <w:sz w:val="21"/>
          <w:szCs w:val="21"/>
        </w:rPr>
        <w:t xml:space="preserve"> з якою проблеми інвалідів розв’</w:t>
      </w:r>
      <w:r w:rsidRPr="0064578A">
        <w:rPr>
          <w:rFonts w:ascii="Times New Roman" w:hAnsi="Times New Roman" w:cs="Times New Roman"/>
          <w:sz w:val="21"/>
          <w:szCs w:val="21"/>
        </w:rPr>
        <w:t>язуються як такі, що зумовлені їх об</w:t>
      </w:r>
      <w:r>
        <w:rPr>
          <w:rFonts w:ascii="Times New Roman" w:hAnsi="Times New Roman" w:cs="Times New Roman"/>
          <w:sz w:val="21"/>
          <w:szCs w:val="21"/>
        </w:rPr>
        <w:t>меженими внаслідок стану здоров’</w:t>
      </w:r>
      <w:r w:rsidRPr="0064578A">
        <w:rPr>
          <w:rFonts w:ascii="Times New Roman" w:hAnsi="Times New Roman" w:cs="Times New Roman"/>
          <w:sz w:val="21"/>
          <w:szCs w:val="21"/>
        </w:rPr>
        <w:t>я фізичними можливостями. Оскільки реабілітаційні заходи вимагають від держави значних матеріальних витрат, виникає гостра необхідність розробки соціально і економічно обґрунтованих підходів до їх змісту і механізмів реалізації.</w:t>
      </w:r>
    </w:p>
    <w:p w:rsidR="00B233DE" w:rsidRPr="0064578A" w:rsidRDefault="00B233DE" w:rsidP="00B233DE">
      <w:pPr>
        <w:tabs>
          <w:tab w:val="left" w:pos="709"/>
        </w:tabs>
        <w:ind w:firstLine="709"/>
        <w:jc w:val="both"/>
        <w:rPr>
          <w:rFonts w:ascii="Times New Roman" w:hAnsi="Times New Roman" w:cs="Times New Roman"/>
          <w:sz w:val="21"/>
          <w:szCs w:val="21"/>
        </w:rPr>
      </w:pPr>
      <w:r w:rsidRPr="0064578A">
        <w:rPr>
          <w:rFonts w:ascii="Times New Roman" w:hAnsi="Times New Roman" w:cs="Times New Roman"/>
          <w:sz w:val="21"/>
          <w:szCs w:val="21"/>
        </w:rPr>
        <w:t>З метою проведення послідовної політики у сфері забезпечення реалізації прав і задоволення потреб інвалідів Верховна Рада України 16 грудня 2009 р. ратифікувала Конвенцію та Факультативний протокол до неї, а розпорядженням КМ від 30 березня 2011 р. № 245-р (</w:t>
      </w:r>
      <w:r>
        <w:rPr>
          <w:rStyle w:val="rvts0"/>
          <w:rFonts w:ascii="Times New Roman" w:hAnsi="Times New Roman"/>
          <w:sz w:val="21"/>
          <w:szCs w:val="21"/>
        </w:rPr>
        <w:t>зі</w:t>
      </w:r>
      <w:r w:rsidRPr="0064578A">
        <w:rPr>
          <w:rStyle w:val="rvts0"/>
          <w:rFonts w:ascii="Times New Roman" w:hAnsi="Times New Roman"/>
          <w:sz w:val="21"/>
          <w:szCs w:val="21"/>
        </w:rPr>
        <w:t xml:space="preserve"> змінами, внесеними згідно з Постановою КМ №659 від 25.07.2012) </w:t>
      </w:r>
      <w:r w:rsidRPr="0064578A">
        <w:rPr>
          <w:rFonts w:ascii="Times New Roman" w:hAnsi="Times New Roman" w:cs="Times New Roman"/>
          <w:sz w:val="21"/>
          <w:szCs w:val="21"/>
        </w:rPr>
        <w:t>Про схвалення Концепц</w:t>
      </w:r>
      <w:r>
        <w:rPr>
          <w:rFonts w:ascii="Times New Roman" w:hAnsi="Times New Roman" w:cs="Times New Roman"/>
          <w:sz w:val="21"/>
          <w:szCs w:val="21"/>
        </w:rPr>
        <w:t xml:space="preserve">ії </w:t>
      </w:r>
      <w:r>
        <w:rPr>
          <w:rFonts w:ascii="Times New Roman" w:hAnsi="Times New Roman" w:cs="Times New Roman"/>
          <w:sz w:val="21"/>
          <w:szCs w:val="21"/>
        </w:rPr>
        <w:lastRenderedPageBreak/>
        <w:t>Державної цільової програми «</w:t>
      </w:r>
      <w:r w:rsidRPr="0064578A">
        <w:rPr>
          <w:rFonts w:ascii="Times New Roman" w:hAnsi="Times New Roman" w:cs="Times New Roman"/>
          <w:sz w:val="21"/>
          <w:szCs w:val="21"/>
        </w:rPr>
        <w:t>Національний план дій з реалізаці</w:t>
      </w:r>
      <w:r>
        <w:rPr>
          <w:rFonts w:ascii="Times New Roman" w:hAnsi="Times New Roman" w:cs="Times New Roman"/>
          <w:sz w:val="21"/>
          <w:szCs w:val="21"/>
        </w:rPr>
        <w:t>ї Конвенції про права інвалідів»</w:t>
      </w:r>
      <w:r w:rsidRPr="0064578A">
        <w:rPr>
          <w:rFonts w:ascii="Times New Roman" w:hAnsi="Times New Roman" w:cs="Times New Roman"/>
          <w:sz w:val="21"/>
          <w:szCs w:val="21"/>
        </w:rPr>
        <w:t xml:space="preserve"> на період до 2020 року (далі Програма) визначила проблеми інтеграції в суспільство інвалідів та механізми їх на </w:t>
      </w:r>
      <w:r>
        <w:rPr>
          <w:rFonts w:ascii="Times New Roman" w:hAnsi="Times New Roman" w:cs="Times New Roman"/>
          <w:sz w:val="21"/>
          <w:szCs w:val="21"/>
        </w:rPr>
        <w:t xml:space="preserve">розв’язання. </w:t>
      </w:r>
      <w:r w:rsidRPr="0064578A">
        <w:rPr>
          <w:rFonts w:ascii="Times New Roman" w:hAnsi="Times New Roman" w:cs="Times New Roman"/>
          <w:sz w:val="21"/>
          <w:szCs w:val="21"/>
        </w:rPr>
        <w:t>Метою Програми є забезпечення реалізації прав і задоволення потреб інвалідів нарівні з іншими громадянами, поліпшення умов їх життєдіяльності згідно з Конвенцією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_Ref435621155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87</w:t>
      </w:r>
      <w:r>
        <w:rPr>
          <w:rFonts w:ascii="Times New Roman" w:hAnsi="Times New Roman" w:cs="Times New Roman"/>
          <w:sz w:val="21"/>
          <w:szCs w:val="21"/>
          <w:highlight w:val="yellow"/>
        </w:rPr>
        <w:fldChar w:fldCharType="end"/>
      </w:r>
      <w:r w:rsidRPr="0064578A">
        <w:rPr>
          <w:rFonts w:ascii="Times New Roman" w:hAnsi="Times New Roman" w:cs="Times New Roman"/>
          <w:sz w:val="21"/>
          <w:szCs w:val="21"/>
        </w:rPr>
        <w:t>], розробка механізмів соціального статусу та захисту зазначених категорій. Одним з найбільш ефективних механізмів підвищення соціального статусу і захищеності інвалідів є здобуття ними повно</w:t>
      </w:r>
      <w:r>
        <w:rPr>
          <w:rFonts w:ascii="Times New Roman" w:hAnsi="Times New Roman" w:cs="Times New Roman"/>
          <w:sz w:val="21"/>
          <w:szCs w:val="21"/>
        </w:rPr>
        <w:t>цінної професійної освіти. У зв’</w:t>
      </w:r>
      <w:r w:rsidRPr="0064578A">
        <w:rPr>
          <w:rFonts w:ascii="Times New Roman" w:hAnsi="Times New Roman" w:cs="Times New Roman"/>
          <w:sz w:val="21"/>
          <w:szCs w:val="21"/>
        </w:rPr>
        <w:t>язку з цим створені установи професійної освіти, які покликані виконувати важливу роль в становленні нової державної системи соціального захисту інвалідів. Первинна професійна підготовка і професійна освіта інвалідів, як і інших громадян, на початковому рівні здійснюється в порядку і на умовах, визначених чинним законодавством про освіту відповідно до державних освітніх стандартів на основі освітніх програм, адаптованих для навчання інвалідів.</w:t>
      </w:r>
    </w:p>
    <w:p w:rsidR="00B233DE" w:rsidRPr="0064578A" w:rsidRDefault="00B233DE" w:rsidP="00B233DE">
      <w:pPr>
        <w:ind w:firstLine="709"/>
        <w:jc w:val="both"/>
        <w:rPr>
          <w:rFonts w:ascii="Times New Roman" w:hAnsi="Times New Roman" w:cs="Times New Roman"/>
          <w:spacing w:val="-6"/>
          <w:sz w:val="21"/>
          <w:szCs w:val="21"/>
        </w:rPr>
      </w:pPr>
      <w:r w:rsidRPr="0064578A">
        <w:rPr>
          <w:rFonts w:ascii="Times New Roman" w:hAnsi="Times New Roman" w:cs="Times New Roman"/>
          <w:sz w:val="21"/>
          <w:szCs w:val="21"/>
        </w:rPr>
        <w:t>Окремо слід спинитися на проблемі працевлаштування інвалідів. Практика показує, що залучення громадян з інвалідністю до сфери праці важливе як для них самих, так і для держави, оскільки підвищується життєвий рівень інвалідів, збільшується їх платоспроможність, а також можливість самореалізації. Політика держави полягає в максимальній активізації потенційних сил осіб з обмеженими можливостями у контексті професійної, трудової реабілітації та працевлаштування. У багатьох країнах створені такі умови, що працюючі інваліди складають у середньому половину осіб від загальної кількості людей з обмеженими можливостями. Так, у США працюють 29</w:t>
      </w:r>
      <w:r>
        <w:rPr>
          <w:rFonts w:ascii="Times New Roman" w:hAnsi="Times New Roman" w:cs="Times New Roman"/>
          <w:sz w:val="21"/>
          <w:szCs w:val="21"/>
        </w:rPr>
        <w:t xml:space="preserve"> </w:t>
      </w:r>
      <w:r w:rsidRPr="0064578A">
        <w:rPr>
          <w:rFonts w:ascii="Times New Roman" w:hAnsi="Times New Roman" w:cs="Times New Roman"/>
          <w:sz w:val="21"/>
          <w:szCs w:val="21"/>
        </w:rPr>
        <w:t>% громадян, які мають порушення здоров’я, у Великобританії – 40</w:t>
      </w:r>
      <w:r>
        <w:rPr>
          <w:rFonts w:ascii="Times New Roman" w:hAnsi="Times New Roman" w:cs="Times New Roman"/>
          <w:sz w:val="21"/>
          <w:szCs w:val="21"/>
        </w:rPr>
        <w:t xml:space="preserve"> </w:t>
      </w:r>
      <w:r w:rsidRPr="0064578A">
        <w:rPr>
          <w:rFonts w:ascii="Times New Roman" w:hAnsi="Times New Roman" w:cs="Times New Roman"/>
          <w:sz w:val="21"/>
          <w:szCs w:val="21"/>
        </w:rPr>
        <w:t>%, Італії – 55</w:t>
      </w:r>
      <w:r>
        <w:rPr>
          <w:rFonts w:ascii="Times New Roman" w:hAnsi="Times New Roman" w:cs="Times New Roman"/>
          <w:sz w:val="21"/>
          <w:szCs w:val="21"/>
        </w:rPr>
        <w:t xml:space="preserve"> </w:t>
      </w:r>
      <w:r w:rsidRPr="0064578A">
        <w:rPr>
          <w:rFonts w:ascii="Times New Roman" w:hAnsi="Times New Roman" w:cs="Times New Roman"/>
          <w:sz w:val="21"/>
          <w:szCs w:val="21"/>
        </w:rPr>
        <w:t>%, Швеції – 60</w:t>
      </w:r>
      <w:r>
        <w:rPr>
          <w:rFonts w:ascii="Times New Roman" w:hAnsi="Times New Roman" w:cs="Times New Roman"/>
          <w:sz w:val="21"/>
          <w:szCs w:val="21"/>
        </w:rPr>
        <w:t xml:space="preserve"> </w:t>
      </w:r>
      <w:r w:rsidRPr="0064578A">
        <w:rPr>
          <w:rFonts w:ascii="Times New Roman" w:hAnsi="Times New Roman" w:cs="Times New Roman"/>
          <w:sz w:val="21"/>
          <w:szCs w:val="21"/>
        </w:rPr>
        <w:t>%, Китаї – 80</w:t>
      </w:r>
      <w:r>
        <w:rPr>
          <w:rFonts w:ascii="Times New Roman" w:hAnsi="Times New Roman" w:cs="Times New Roman"/>
          <w:sz w:val="21"/>
          <w:szCs w:val="21"/>
        </w:rPr>
        <w:t xml:space="preserve"> </w:t>
      </w:r>
      <w:r w:rsidRPr="0064578A">
        <w:rPr>
          <w:rFonts w:ascii="Times New Roman" w:hAnsi="Times New Roman" w:cs="Times New Roman"/>
          <w:sz w:val="21"/>
          <w:szCs w:val="21"/>
        </w:rPr>
        <w:t>%. В Україні частка працюючих інвалідів нараховується близько 20</w:t>
      </w:r>
      <w:r>
        <w:rPr>
          <w:rFonts w:ascii="Times New Roman" w:hAnsi="Times New Roman" w:cs="Times New Roman"/>
          <w:sz w:val="21"/>
          <w:szCs w:val="21"/>
        </w:rPr>
        <w:t xml:space="preserve"> </w:t>
      </w:r>
      <w:r w:rsidRPr="0064578A">
        <w:rPr>
          <w:rFonts w:ascii="Times New Roman" w:hAnsi="Times New Roman" w:cs="Times New Roman"/>
          <w:sz w:val="21"/>
          <w:szCs w:val="21"/>
        </w:rPr>
        <w:t>%, при тому, що кількість інвалідів серед населення працездатного віку становить 1,5 млн осіб, серед яких працює майже 443 тис.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_Ref435621162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101</w:t>
      </w:r>
      <w:r>
        <w:rPr>
          <w:rFonts w:ascii="Times New Roman" w:hAnsi="Times New Roman" w:cs="Times New Roman"/>
          <w:sz w:val="21"/>
          <w:szCs w:val="21"/>
          <w:highlight w:val="yellow"/>
        </w:rPr>
        <w:fldChar w:fldCharType="end"/>
      </w:r>
      <w:r w:rsidRPr="0064578A">
        <w:rPr>
          <w:rFonts w:ascii="Times New Roman" w:hAnsi="Times New Roman" w:cs="Times New Roman"/>
          <w:sz w:val="21"/>
          <w:szCs w:val="21"/>
        </w:rPr>
        <w:t xml:space="preserve">]. </w:t>
      </w:r>
      <w:r w:rsidRPr="0064578A">
        <w:rPr>
          <w:rFonts w:ascii="Times New Roman" w:hAnsi="Times New Roman" w:cs="Times New Roman"/>
          <w:spacing w:val="-6"/>
          <w:sz w:val="21"/>
          <w:szCs w:val="21"/>
        </w:rPr>
        <w:t xml:space="preserve">Серед причин, які стримують процес створення ефективних робочих місць для інвалідів в Україні: недосконалість механізму прогнозування створення нових робочих місць для працевлаштування інвалідів; відсутність механізму стимулювання роботодавців щодо створення робочих місць для інвалідів; недосконалість методики формування потреби в робочих місцях для </w:t>
      </w:r>
      <w:r w:rsidRPr="0064578A">
        <w:rPr>
          <w:rFonts w:ascii="Times New Roman" w:hAnsi="Times New Roman" w:cs="Times New Roman"/>
          <w:spacing w:val="-6"/>
          <w:sz w:val="21"/>
          <w:szCs w:val="21"/>
        </w:rPr>
        <w:lastRenderedPageBreak/>
        <w:t>інвалідів в регіональному розрізі; недосконалість роз’яснювальної роботи з роботодавцями щодо створення робочих місць для людей з обмеженими фізичними можливостями; недостатня підтримка підприємств громадських організацій осіб з особливими потребами як джерела спеціалізованих робочих місць для інвалідів; порівняно низький рівень освіти даної категорії населення.</w:t>
      </w:r>
    </w:p>
    <w:p w:rsidR="00B233DE" w:rsidRPr="0064578A" w:rsidRDefault="00B233DE" w:rsidP="00B233DE">
      <w:pPr>
        <w:widowControl w:val="0"/>
        <w:spacing w:line="233" w:lineRule="auto"/>
        <w:ind w:firstLine="709"/>
        <w:contextualSpacing/>
        <w:jc w:val="both"/>
        <w:rPr>
          <w:rFonts w:ascii="Times New Roman" w:hAnsi="Times New Roman" w:cs="Times New Roman"/>
          <w:sz w:val="21"/>
          <w:szCs w:val="21"/>
        </w:rPr>
      </w:pPr>
      <w:r w:rsidRPr="0064578A">
        <w:rPr>
          <w:rFonts w:ascii="Times New Roman" w:hAnsi="Times New Roman" w:cs="Times New Roman"/>
          <w:noProof/>
          <w:sz w:val="21"/>
          <w:szCs w:val="21"/>
        </w:rPr>
        <w:t xml:space="preserve">Сфера професійної реабілітації та працевлаштування людей з обмеженими можливостями ще недостатньо розвинута в нашій країні. Держава пропонує інвалідам переважно робітничі професії, які не потребують глибоких знань, передбачають монотонну й низькооплачувану працю. Звичайно, громадські організації в змозі запропонувати нові підходи до процесу професійної реабілітації людей з особливими потребами та скласти серйозну конкуренцію державній системі надання послуг у цій сфері. Однак вони поки що не надто переймаються саме цим напрямом роботи. </w:t>
      </w:r>
      <w:r w:rsidRPr="0064578A">
        <w:rPr>
          <w:rFonts w:ascii="Times New Roman" w:hAnsi="Times New Roman" w:cs="Times New Roman"/>
          <w:sz w:val="21"/>
          <w:szCs w:val="21"/>
        </w:rPr>
        <w:t>З точки зору створення оптимальних умов для реабілітації та інтеграції інвалідів до соціуму важливим є надання їм можливості відчувати свою незалежність, значимість і корисність для оточуючих та суспільства.</w:t>
      </w:r>
    </w:p>
    <w:p w:rsidR="00B233DE" w:rsidRPr="00321CC3" w:rsidRDefault="00B233DE" w:rsidP="00B233DE">
      <w:pPr>
        <w:ind w:firstLine="709"/>
        <w:jc w:val="both"/>
        <w:rPr>
          <w:rFonts w:ascii="Times New Roman" w:hAnsi="Times New Roman" w:cs="Times New Roman"/>
          <w:sz w:val="21"/>
          <w:szCs w:val="21"/>
        </w:rPr>
      </w:pPr>
      <w:r w:rsidRPr="00321CC3">
        <w:rPr>
          <w:rFonts w:ascii="Times New Roman" w:hAnsi="Times New Roman" w:cs="Times New Roman"/>
          <w:sz w:val="21"/>
          <w:szCs w:val="21"/>
        </w:rPr>
        <w:t>Нині в Україні проживає майже 3 млн. інвалідів, або 6,3</w:t>
      </w:r>
      <w:r>
        <w:rPr>
          <w:rFonts w:ascii="Times New Roman" w:hAnsi="Times New Roman" w:cs="Times New Roman"/>
          <w:sz w:val="21"/>
          <w:szCs w:val="21"/>
        </w:rPr>
        <w:t xml:space="preserve"> </w:t>
      </w:r>
      <w:r w:rsidRPr="00321CC3">
        <w:rPr>
          <w:rFonts w:ascii="Times New Roman" w:hAnsi="Times New Roman" w:cs="Times New Roman"/>
          <w:sz w:val="21"/>
          <w:szCs w:val="21"/>
        </w:rPr>
        <w:t>% від чисельності усього населення, з них більше 80</w:t>
      </w:r>
      <w:r>
        <w:rPr>
          <w:rFonts w:ascii="Times New Roman" w:hAnsi="Times New Roman" w:cs="Times New Roman"/>
          <w:sz w:val="21"/>
          <w:szCs w:val="21"/>
        </w:rPr>
        <w:t xml:space="preserve"> </w:t>
      </w:r>
      <w:r w:rsidRPr="00321CC3">
        <w:rPr>
          <w:rFonts w:ascii="Times New Roman" w:hAnsi="Times New Roman" w:cs="Times New Roman"/>
          <w:sz w:val="21"/>
          <w:szCs w:val="21"/>
        </w:rPr>
        <w:t xml:space="preserve">% працездатного віку. Одним із регіонів країни, де зосереджена найбільша кількість інвалідів і гостро постала проблема їх працевлаштування, соціально-психологічного супроводу та професійної реабілітації, є Вінниччина. Тут мешкає </w:t>
      </w:r>
      <w:r>
        <w:rPr>
          <w:rFonts w:ascii="Times New Roman" w:hAnsi="Times New Roman" w:cs="Times New Roman"/>
          <w:sz w:val="21"/>
          <w:szCs w:val="21"/>
          <w:shd w:val="clear" w:color="auto" w:fill="FFFFFF"/>
        </w:rPr>
        <w:t xml:space="preserve">113 </w:t>
      </w:r>
      <w:r w:rsidRPr="00321CC3">
        <w:rPr>
          <w:rFonts w:ascii="Times New Roman" w:hAnsi="Times New Roman" w:cs="Times New Roman"/>
          <w:sz w:val="21"/>
          <w:szCs w:val="21"/>
        </w:rPr>
        <w:t xml:space="preserve">тис. осіб з обмеженими фізичними можливостями і кожного року зростає їх кількість (майже на 8 тис. осіб у віці 16 років і старше) та ступінь інвалідності, причому вищими темпами, ніж в середньому по Україні. </w:t>
      </w:r>
    </w:p>
    <w:p w:rsidR="00B233DE" w:rsidRPr="00321CC3" w:rsidRDefault="00B233DE" w:rsidP="00B233DE">
      <w:pPr>
        <w:ind w:firstLine="709"/>
        <w:jc w:val="both"/>
        <w:rPr>
          <w:rFonts w:ascii="Times New Roman" w:hAnsi="Times New Roman" w:cs="Times New Roman"/>
          <w:sz w:val="21"/>
          <w:szCs w:val="21"/>
        </w:rPr>
      </w:pPr>
      <w:r w:rsidRPr="00321CC3">
        <w:rPr>
          <w:rFonts w:ascii="Times New Roman" w:hAnsi="Times New Roman" w:cs="Times New Roman"/>
          <w:sz w:val="21"/>
          <w:szCs w:val="21"/>
        </w:rPr>
        <w:t>Проте тільки два інваліда із ста, які проходять повторний огляд, відновлюють свою здатність до праці та не відчувають психологічного дискомфорту при виконанні своїх професійних обов’язків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_Ref435621145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w:t>
      </w:r>
      <w:r>
        <w:rPr>
          <w:rFonts w:ascii="Times New Roman" w:hAnsi="Times New Roman" w:cs="Times New Roman"/>
          <w:sz w:val="21"/>
          <w:szCs w:val="21"/>
          <w:highlight w:val="yellow"/>
        </w:rPr>
        <w:fldChar w:fldCharType="end"/>
      </w:r>
      <w:r w:rsidRPr="00321CC3">
        <w:rPr>
          <w:rFonts w:ascii="Times New Roman" w:hAnsi="Times New Roman" w:cs="Times New Roman"/>
          <w:sz w:val="21"/>
          <w:szCs w:val="21"/>
        </w:rPr>
        <w:t xml:space="preserve">]. Це спричиняє соціальну напругу, бідність, незахищеність, матеріальну і моральну деградацію осіб з обмеженими фізичними можливостями та їх сімей. Тому необхідною умовою досягнення сприятливого духовного стану розвитку нації, високого рівня соціальної зрілості і моральності суспільства є працевлаштування, соціально-психологічний супровід та професійна реабілітація інвалідів. Це зумовлює </w:t>
      </w:r>
      <w:r w:rsidRPr="00321CC3">
        <w:rPr>
          <w:rFonts w:ascii="Times New Roman" w:hAnsi="Times New Roman" w:cs="Times New Roman"/>
          <w:sz w:val="21"/>
          <w:szCs w:val="21"/>
        </w:rPr>
        <w:lastRenderedPageBreak/>
        <w:t xml:space="preserve">необхідність дослідження цих процесів та обґрунтування напрямів їх покращання, що є надзвичайно складною проблемою. </w:t>
      </w:r>
    </w:p>
    <w:p w:rsidR="00B233DE" w:rsidRPr="00321CC3" w:rsidRDefault="00B233DE" w:rsidP="00B233DE">
      <w:pPr>
        <w:ind w:firstLine="709"/>
        <w:jc w:val="both"/>
        <w:rPr>
          <w:rFonts w:ascii="Times New Roman" w:hAnsi="Times New Roman" w:cs="Times New Roman"/>
          <w:sz w:val="21"/>
          <w:szCs w:val="21"/>
        </w:rPr>
      </w:pPr>
      <w:r w:rsidRPr="00321CC3">
        <w:rPr>
          <w:rFonts w:ascii="Times New Roman" w:hAnsi="Times New Roman" w:cs="Times New Roman"/>
          <w:sz w:val="21"/>
          <w:szCs w:val="21"/>
        </w:rPr>
        <w:t>Для України питання соціальної захищеності та психологічного супроводу осіб з обмеженими фізичними можливостями надзвичайно актуальне. Це викликано рядом причин, основними з яких є демографічні, соціально-економічні, політичні і психологічні</w:t>
      </w:r>
      <w:r>
        <w:rPr>
          <w:rFonts w:ascii="Times New Roman" w:hAnsi="Times New Roman" w:cs="Times New Roman"/>
          <w:sz w:val="21"/>
          <w:szCs w:val="21"/>
        </w:rPr>
        <w:t xml:space="preserve"> </w:t>
      </w:r>
      <w:r w:rsidRPr="00321CC3">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_Ref435621108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46</w:t>
      </w:r>
      <w:r>
        <w:rPr>
          <w:rFonts w:ascii="Times New Roman" w:hAnsi="Times New Roman" w:cs="Times New Roman"/>
          <w:sz w:val="21"/>
          <w:szCs w:val="21"/>
          <w:highlight w:val="yellow"/>
        </w:rPr>
        <w:fldChar w:fldCharType="end"/>
      </w:r>
      <w:r w:rsidRPr="00321CC3">
        <w:rPr>
          <w:rFonts w:ascii="Times New Roman" w:hAnsi="Times New Roman" w:cs="Times New Roman"/>
          <w:sz w:val="21"/>
          <w:szCs w:val="21"/>
        </w:rPr>
        <w:t xml:space="preserve">]. </w:t>
      </w:r>
    </w:p>
    <w:p w:rsidR="00B233DE" w:rsidRPr="00321CC3" w:rsidRDefault="00B233DE" w:rsidP="00B233DE">
      <w:pPr>
        <w:ind w:firstLine="709"/>
        <w:jc w:val="both"/>
        <w:rPr>
          <w:rFonts w:ascii="Times New Roman" w:hAnsi="Times New Roman" w:cs="Times New Roman"/>
          <w:sz w:val="21"/>
          <w:szCs w:val="21"/>
        </w:rPr>
      </w:pPr>
      <w:r w:rsidRPr="00321CC3">
        <w:rPr>
          <w:rFonts w:ascii="Times New Roman" w:hAnsi="Times New Roman" w:cs="Times New Roman"/>
          <w:sz w:val="21"/>
          <w:szCs w:val="21"/>
        </w:rPr>
        <w:t xml:space="preserve">По-перше, спостерігаються негативні тенденції відтворення людського капіталу, розширення зони його деградації, що загрожує соціально-економічній безпеці держави насамперед через збільшення чисельності інвалідів, особливо працездатного віку, при гострій депопуляції населення. </w:t>
      </w:r>
    </w:p>
    <w:p w:rsidR="00B233DE" w:rsidRPr="00321CC3" w:rsidRDefault="00B233DE" w:rsidP="00B233DE">
      <w:pPr>
        <w:ind w:firstLine="709"/>
        <w:jc w:val="both"/>
        <w:rPr>
          <w:rFonts w:ascii="Times New Roman" w:hAnsi="Times New Roman" w:cs="Times New Roman"/>
          <w:sz w:val="21"/>
          <w:szCs w:val="21"/>
        </w:rPr>
      </w:pPr>
      <w:r w:rsidRPr="00321CC3">
        <w:rPr>
          <w:rFonts w:ascii="Times New Roman" w:hAnsi="Times New Roman" w:cs="Times New Roman"/>
          <w:sz w:val="21"/>
          <w:szCs w:val="21"/>
        </w:rPr>
        <w:t>Основними причинами збільшення кількості інвалідів, особливо дітей є: зубожіння значної частини населення, що значною мірою вплину</w:t>
      </w:r>
      <w:r>
        <w:rPr>
          <w:rFonts w:ascii="Times New Roman" w:hAnsi="Times New Roman" w:cs="Times New Roman"/>
          <w:sz w:val="21"/>
          <w:szCs w:val="21"/>
        </w:rPr>
        <w:t>ло на погіршення його здоров’я,</w:t>
      </w:r>
      <w:r w:rsidRPr="00321CC3">
        <w:rPr>
          <w:rFonts w:ascii="Times New Roman" w:hAnsi="Times New Roman" w:cs="Times New Roman"/>
          <w:sz w:val="21"/>
          <w:szCs w:val="21"/>
        </w:rPr>
        <w:t xml:space="preserve"> а також незадовільний стан довкілля, насамперед викликаний згубними наслідками Чорнобильської катастрофи, травматизм через військовий конфлікт на сході країни, на виробництві і в побуті, зростання злочинності. </w:t>
      </w:r>
    </w:p>
    <w:p w:rsidR="00B233DE" w:rsidRPr="00321CC3" w:rsidRDefault="00B233DE" w:rsidP="00B233DE">
      <w:pPr>
        <w:ind w:firstLine="709"/>
        <w:jc w:val="both"/>
        <w:rPr>
          <w:rFonts w:ascii="Times New Roman" w:hAnsi="Times New Roman" w:cs="Times New Roman"/>
          <w:sz w:val="21"/>
          <w:szCs w:val="21"/>
        </w:rPr>
      </w:pPr>
      <w:r w:rsidRPr="00321CC3">
        <w:rPr>
          <w:rFonts w:ascii="Times New Roman" w:hAnsi="Times New Roman" w:cs="Times New Roman"/>
          <w:sz w:val="21"/>
          <w:szCs w:val="21"/>
        </w:rPr>
        <w:t xml:space="preserve">По–друге, зростання бідності, в перше чергу серед соціально вразливих верств населення, до яких належать також інваліди, спонукали їх змінити свою психологічну поведінку часто від спостережної, очікувальної та пасивної до вимушеного наполегливого пошуку роботи для отримання доходів на утримання себе і своєї сім’ї. Тобто почав змінюватися розподіл ролей всередині сім’ї </w:t>
      </w:r>
      <w:r>
        <w:rPr>
          <w:rFonts w:ascii="Times New Roman" w:hAnsi="Times New Roman" w:cs="Times New Roman"/>
          <w:sz w:val="21"/>
          <w:szCs w:val="21"/>
        </w:rPr>
        <w:t>–</w:t>
      </w:r>
      <w:r w:rsidRPr="00321CC3">
        <w:rPr>
          <w:rFonts w:ascii="Times New Roman" w:hAnsi="Times New Roman" w:cs="Times New Roman"/>
          <w:sz w:val="21"/>
          <w:szCs w:val="21"/>
        </w:rPr>
        <w:t xml:space="preserve"> інваліди переходять із категорії утриманців до годувальників.</w:t>
      </w:r>
    </w:p>
    <w:p w:rsidR="00B233DE" w:rsidRPr="00321CC3" w:rsidRDefault="00B233DE" w:rsidP="00B233DE">
      <w:pPr>
        <w:ind w:firstLine="709"/>
        <w:jc w:val="both"/>
        <w:rPr>
          <w:rFonts w:ascii="Times New Roman" w:hAnsi="Times New Roman" w:cs="Times New Roman"/>
          <w:sz w:val="21"/>
          <w:szCs w:val="21"/>
        </w:rPr>
      </w:pPr>
      <w:r w:rsidRPr="00321CC3">
        <w:rPr>
          <w:rFonts w:ascii="Times New Roman" w:hAnsi="Times New Roman" w:cs="Times New Roman"/>
          <w:sz w:val="21"/>
          <w:szCs w:val="21"/>
        </w:rPr>
        <w:t>По-третє, інваліди н</w:t>
      </w:r>
      <w:r>
        <w:rPr>
          <w:rFonts w:ascii="Times New Roman" w:hAnsi="Times New Roman" w:cs="Times New Roman"/>
          <w:sz w:val="21"/>
          <w:szCs w:val="21"/>
        </w:rPr>
        <w:t xml:space="preserve">алежать до соціально вразливих </w:t>
      </w:r>
      <w:r w:rsidRPr="00321CC3">
        <w:rPr>
          <w:rFonts w:ascii="Times New Roman" w:hAnsi="Times New Roman" w:cs="Times New Roman"/>
          <w:sz w:val="21"/>
          <w:szCs w:val="21"/>
        </w:rPr>
        <w:t>верст</w:t>
      </w:r>
      <w:r>
        <w:rPr>
          <w:rFonts w:ascii="Times New Roman" w:hAnsi="Times New Roman" w:cs="Times New Roman"/>
          <w:sz w:val="21"/>
          <w:szCs w:val="21"/>
        </w:rPr>
        <w:t>в</w:t>
      </w:r>
      <w:r w:rsidRPr="00321CC3">
        <w:rPr>
          <w:rFonts w:ascii="Times New Roman" w:hAnsi="Times New Roman" w:cs="Times New Roman"/>
          <w:sz w:val="21"/>
          <w:szCs w:val="21"/>
        </w:rPr>
        <w:t xml:space="preserve"> населення, які не можуть конкурувати на ринку праці на рівні з іншими особами через свої фізичні чи психічні вади, тим більше, що кон’юнктура ринку праці нині не сприятлива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_Ref435621186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45</w:t>
      </w:r>
      <w:r>
        <w:rPr>
          <w:rFonts w:ascii="Times New Roman" w:hAnsi="Times New Roman" w:cs="Times New Roman"/>
          <w:sz w:val="21"/>
          <w:szCs w:val="21"/>
          <w:highlight w:val="yellow"/>
        </w:rPr>
        <w:fldChar w:fldCharType="end"/>
      </w:r>
      <w:r w:rsidRPr="00321CC3">
        <w:rPr>
          <w:rFonts w:ascii="Times New Roman" w:hAnsi="Times New Roman" w:cs="Times New Roman"/>
          <w:sz w:val="21"/>
          <w:szCs w:val="21"/>
        </w:rPr>
        <w:t xml:space="preserve">]. </w:t>
      </w:r>
    </w:p>
    <w:p w:rsidR="00B233DE" w:rsidRPr="00321CC3" w:rsidRDefault="00B233DE" w:rsidP="00B233DE">
      <w:pPr>
        <w:ind w:firstLine="709"/>
        <w:jc w:val="both"/>
        <w:rPr>
          <w:rFonts w:ascii="Times New Roman" w:hAnsi="Times New Roman" w:cs="Times New Roman"/>
          <w:sz w:val="21"/>
          <w:szCs w:val="21"/>
        </w:rPr>
      </w:pPr>
      <w:r w:rsidRPr="00321CC3">
        <w:rPr>
          <w:rFonts w:ascii="Times New Roman" w:hAnsi="Times New Roman" w:cs="Times New Roman"/>
          <w:sz w:val="21"/>
          <w:szCs w:val="21"/>
        </w:rPr>
        <w:t>По-четверте, в нинішніх соціально-економічних умовах, перебудови системи працевлаштування, професійної підготовки, соціального захисту тощо виникла гостра потреба у наданні допомоги щодо соціально-психологічної адаптації громадян до нових економічних і політичних умов, а також їх реабілітації. Звичайно, в першу чергу це стосується інвалідів.</w:t>
      </w:r>
    </w:p>
    <w:p w:rsidR="00B233DE" w:rsidRPr="00321CC3" w:rsidRDefault="00B233DE" w:rsidP="00B233DE">
      <w:pPr>
        <w:ind w:firstLine="709"/>
        <w:jc w:val="both"/>
        <w:rPr>
          <w:rFonts w:ascii="Times New Roman" w:hAnsi="Times New Roman" w:cs="Times New Roman"/>
          <w:sz w:val="21"/>
          <w:szCs w:val="21"/>
        </w:rPr>
      </w:pPr>
      <w:r w:rsidRPr="00321CC3">
        <w:rPr>
          <w:rFonts w:ascii="Times New Roman" w:hAnsi="Times New Roman" w:cs="Times New Roman"/>
          <w:sz w:val="21"/>
          <w:szCs w:val="21"/>
        </w:rPr>
        <w:t xml:space="preserve">Не дивлячись на значні зрушення по забезпеченню соціального захисту інвалідів у попередні роки, Україна перебуває </w:t>
      </w:r>
      <w:r w:rsidRPr="00321CC3">
        <w:rPr>
          <w:rFonts w:ascii="Times New Roman" w:hAnsi="Times New Roman" w:cs="Times New Roman"/>
          <w:sz w:val="21"/>
          <w:szCs w:val="21"/>
        </w:rPr>
        <w:lastRenderedPageBreak/>
        <w:t>по даному питанню на початковому етапі свого розвитку і робить перші кроки по наближенню до міжнародних стандартів</w:t>
      </w:r>
      <w:r>
        <w:rPr>
          <w:rFonts w:ascii="Times New Roman" w:hAnsi="Times New Roman" w:cs="Times New Roman"/>
          <w:sz w:val="21"/>
          <w:szCs w:val="21"/>
        </w:rPr>
        <w:t xml:space="preserve"> </w:t>
      </w:r>
      <w:r w:rsidRPr="00321CC3">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_Ref435621116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82</w:t>
      </w:r>
      <w:r>
        <w:rPr>
          <w:rFonts w:ascii="Times New Roman" w:hAnsi="Times New Roman" w:cs="Times New Roman"/>
          <w:sz w:val="21"/>
          <w:szCs w:val="21"/>
          <w:highlight w:val="yellow"/>
        </w:rPr>
        <w:fldChar w:fldCharType="end"/>
      </w:r>
      <w:r w:rsidRPr="00321CC3">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_Ref435621124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114</w:t>
      </w:r>
      <w:r>
        <w:rPr>
          <w:rFonts w:ascii="Times New Roman" w:hAnsi="Times New Roman" w:cs="Times New Roman"/>
          <w:sz w:val="21"/>
          <w:szCs w:val="21"/>
          <w:highlight w:val="yellow"/>
        </w:rPr>
        <w:fldChar w:fldCharType="end"/>
      </w:r>
      <w:r w:rsidRPr="00321CC3">
        <w:rPr>
          <w:rFonts w:ascii="Times New Roman" w:hAnsi="Times New Roman" w:cs="Times New Roman"/>
          <w:sz w:val="21"/>
          <w:szCs w:val="21"/>
        </w:rPr>
        <w:t>]. Тому ще наявний великий спектр нагальних проблем та відсутній відповідний механізм у їх вирішені.</w:t>
      </w:r>
    </w:p>
    <w:p w:rsidR="00B233DE" w:rsidRPr="00321CC3" w:rsidRDefault="00B233DE" w:rsidP="00B233DE">
      <w:pPr>
        <w:ind w:firstLine="709"/>
        <w:jc w:val="both"/>
        <w:rPr>
          <w:rFonts w:ascii="Times New Roman" w:hAnsi="Times New Roman" w:cs="Times New Roman"/>
          <w:sz w:val="21"/>
          <w:szCs w:val="21"/>
        </w:rPr>
      </w:pPr>
      <w:r w:rsidRPr="00321CC3">
        <w:rPr>
          <w:rFonts w:ascii="Times New Roman" w:hAnsi="Times New Roman" w:cs="Times New Roman"/>
          <w:sz w:val="21"/>
          <w:szCs w:val="21"/>
        </w:rPr>
        <w:t>У першу чергу, не розроблений і не впроваджений дієвий механізм втілення в життя прийнятих законів. Тому не виконуються вимоги законодавства щодо соціально-психологічного супроводу, професійної реабілітації, зайнятості т</w:t>
      </w:r>
      <w:r>
        <w:rPr>
          <w:rFonts w:ascii="Times New Roman" w:hAnsi="Times New Roman" w:cs="Times New Roman"/>
          <w:sz w:val="21"/>
          <w:szCs w:val="21"/>
        </w:rPr>
        <w:t>а забезпечення життєдіяльності у</w:t>
      </w:r>
      <w:r w:rsidRPr="00321CC3">
        <w:rPr>
          <w:rFonts w:ascii="Times New Roman" w:hAnsi="Times New Roman" w:cs="Times New Roman"/>
          <w:sz w:val="21"/>
          <w:szCs w:val="21"/>
        </w:rPr>
        <w:t xml:space="preserve"> всіх сферах існування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_Ref435621145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9</w:t>
      </w:r>
      <w:r>
        <w:rPr>
          <w:rFonts w:ascii="Times New Roman" w:hAnsi="Times New Roman" w:cs="Times New Roman"/>
          <w:sz w:val="21"/>
          <w:szCs w:val="21"/>
          <w:highlight w:val="yellow"/>
        </w:rPr>
        <w:fldChar w:fldCharType="end"/>
      </w:r>
      <w:r w:rsidRPr="00321CC3">
        <w:rPr>
          <w:rFonts w:ascii="Times New Roman" w:hAnsi="Times New Roman" w:cs="Times New Roman"/>
          <w:sz w:val="21"/>
          <w:szCs w:val="21"/>
        </w:rPr>
        <w:t>;</w:t>
      </w:r>
      <w:r>
        <w:rPr>
          <w:rFonts w:ascii="Times New Roman" w:hAnsi="Times New Roman" w:cs="Times New Roman"/>
          <w:sz w:val="21"/>
          <w:szCs w:val="21"/>
        </w:rPr>
        <w:t xml:space="preserve">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_Ref435621155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87</w:t>
      </w:r>
      <w:r>
        <w:rPr>
          <w:rFonts w:ascii="Times New Roman" w:hAnsi="Times New Roman" w:cs="Times New Roman"/>
          <w:sz w:val="21"/>
          <w:szCs w:val="21"/>
          <w:highlight w:val="yellow"/>
        </w:rPr>
        <w:fldChar w:fldCharType="end"/>
      </w:r>
      <w:r w:rsidRPr="00321CC3">
        <w:rPr>
          <w:rFonts w:ascii="Times New Roman" w:hAnsi="Times New Roman" w:cs="Times New Roman"/>
          <w:sz w:val="21"/>
          <w:szCs w:val="21"/>
        </w:rPr>
        <w:t>].</w:t>
      </w:r>
    </w:p>
    <w:p w:rsidR="00B233DE" w:rsidRPr="00321CC3" w:rsidRDefault="00B233DE" w:rsidP="00B233DE">
      <w:pPr>
        <w:ind w:firstLine="709"/>
        <w:jc w:val="both"/>
        <w:rPr>
          <w:rFonts w:ascii="Times New Roman" w:hAnsi="Times New Roman" w:cs="Times New Roman"/>
          <w:sz w:val="21"/>
          <w:szCs w:val="21"/>
        </w:rPr>
      </w:pPr>
      <w:r w:rsidRPr="00321CC3">
        <w:rPr>
          <w:rFonts w:ascii="Times New Roman" w:hAnsi="Times New Roman" w:cs="Times New Roman"/>
          <w:sz w:val="21"/>
          <w:szCs w:val="21"/>
        </w:rPr>
        <w:t>Формування ефективної системи мотивації до праці та професійної реабілітації є необхідною передум</w:t>
      </w:r>
      <w:r>
        <w:rPr>
          <w:rFonts w:ascii="Times New Roman" w:hAnsi="Times New Roman" w:cs="Times New Roman"/>
          <w:sz w:val="21"/>
          <w:szCs w:val="21"/>
        </w:rPr>
        <w:t xml:space="preserve">овою забезпечення продуктивної </w:t>
      </w:r>
      <w:r w:rsidRPr="00321CC3">
        <w:rPr>
          <w:rFonts w:ascii="Times New Roman" w:hAnsi="Times New Roman" w:cs="Times New Roman"/>
          <w:sz w:val="21"/>
          <w:szCs w:val="21"/>
        </w:rPr>
        <w:t>зайнятості та професійного навчання, пе</w:t>
      </w:r>
      <w:r>
        <w:rPr>
          <w:rFonts w:ascii="Times New Roman" w:hAnsi="Times New Roman" w:cs="Times New Roman"/>
          <w:sz w:val="21"/>
          <w:szCs w:val="21"/>
        </w:rPr>
        <w:t>ренавчання інвалідів і в цілому</w:t>
      </w:r>
      <w:r w:rsidRPr="00321CC3">
        <w:rPr>
          <w:rFonts w:ascii="Times New Roman" w:hAnsi="Times New Roman" w:cs="Times New Roman"/>
          <w:sz w:val="21"/>
          <w:szCs w:val="21"/>
        </w:rPr>
        <w:t xml:space="preserve"> підвищення якості їх життя. Крім того, мотивацію діяльності можна успішно використовувати для регулювання ринку праці інвалідів, а саме: попиту, пропозиції, ціни робочої сили.</w:t>
      </w:r>
    </w:p>
    <w:p w:rsidR="00B233DE" w:rsidRPr="00321CC3" w:rsidRDefault="00B233DE" w:rsidP="00B233DE">
      <w:pPr>
        <w:ind w:firstLine="709"/>
        <w:jc w:val="both"/>
        <w:rPr>
          <w:rFonts w:ascii="Times New Roman" w:hAnsi="Times New Roman" w:cs="Times New Roman"/>
          <w:sz w:val="21"/>
          <w:szCs w:val="21"/>
        </w:rPr>
      </w:pPr>
      <w:r w:rsidRPr="00321CC3">
        <w:rPr>
          <w:rFonts w:ascii="Times New Roman" w:hAnsi="Times New Roman" w:cs="Times New Roman"/>
          <w:sz w:val="21"/>
          <w:szCs w:val="21"/>
        </w:rPr>
        <w:t>Проте як і раніше, так і нині проблемам трудової мотивації та професійної реабілітації осіб з обмеженими фізичними можливостями в Україні не приділяється достатньої уваги. Основна причина такого стану є стереотип пасивного інваліда, що вже давно склався в суспільстві. Здебільшого проявляється жалібно пасивне відношення до інваліда, як до людини, що фізично і психологічно не</w:t>
      </w:r>
      <w:r>
        <w:rPr>
          <w:rFonts w:ascii="Times New Roman" w:hAnsi="Times New Roman" w:cs="Times New Roman"/>
          <w:sz w:val="21"/>
          <w:szCs w:val="21"/>
        </w:rPr>
        <w:t xml:space="preserve"> готова працювати у громадській</w:t>
      </w:r>
      <w:r w:rsidRPr="00321CC3">
        <w:rPr>
          <w:rFonts w:ascii="Times New Roman" w:hAnsi="Times New Roman" w:cs="Times New Roman"/>
          <w:sz w:val="21"/>
          <w:szCs w:val="21"/>
        </w:rPr>
        <w:t xml:space="preserve"> сфері виробництва. Цьому сприяли зокрема тривале замовчування від суспільства справжніх масштабів проблем інвалідів, негласна соціальна ізоляція більшості із них. Здебільшого ці люди залишалися наодинці зі своїми проблемами і практично не перетинали порога місця проживання. Все піклування зводилося до надання грошової допомоги і частині з них </w:t>
      </w:r>
      <w:r>
        <w:rPr>
          <w:rFonts w:ascii="Times New Roman" w:hAnsi="Times New Roman" w:cs="Times New Roman"/>
          <w:sz w:val="21"/>
          <w:szCs w:val="21"/>
        </w:rPr>
        <w:t>–</w:t>
      </w:r>
      <w:r w:rsidRPr="00321CC3">
        <w:rPr>
          <w:rFonts w:ascii="Times New Roman" w:hAnsi="Times New Roman" w:cs="Times New Roman"/>
          <w:sz w:val="21"/>
          <w:szCs w:val="21"/>
        </w:rPr>
        <w:t xml:space="preserve"> професійної освіти та робочих місць на державних підприємствах і в організаціях. </w:t>
      </w:r>
    </w:p>
    <w:p w:rsidR="00B233DE" w:rsidRPr="00321CC3" w:rsidRDefault="00B233DE" w:rsidP="00B233DE">
      <w:pPr>
        <w:ind w:firstLine="709"/>
        <w:jc w:val="both"/>
        <w:rPr>
          <w:rFonts w:ascii="Times New Roman" w:hAnsi="Times New Roman" w:cs="Times New Roman"/>
          <w:sz w:val="21"/>
          <w:szCs w:val="21"/>
        </w:rPr>
      </w:pPr>
      <w:r w:rsidRPr="00321CC3">
        <w:rPr>
          <w:rFonts w:ascii="Times New Roman" w:hAnsi="Times New Roman" w:cs="Times New Roman"/>
          <w:sz w:val="21"/>
          <w:szCs w:val="21"/>
        </w:rPr>
        <w:t>Особи з обмеженими фізичними можливостями з точки зору мотивації до праці являють собою дуже різнорідну групу: у деяких з них ця мотивація достатньо висока, у декого – ні, у декого – відсутня взагалі. При цьому немає прямої залежності між рівнем мотивації до праці та ступенем або характером інвалідизації.</w:t>
      </w:r>
    </w:p>
    <w:p w:rsidR="00B233DE" w:rsidRPr="00321CC3" w:rsidRDefault="00B233DE" w:rsidP="00B233DE">
      <w:pPr>
        <w:ind w:firstLine="709"/>
        <w:jc w:val="both"/>
        <w:rPr>
          <w:rFonts w:ascii="Times New Roman" w:hAnsi="Times New Roman" w:cs="Times New Roman"/>
          <w:sz w:val="21"/>
          <w:szCs w:val="21"/>
        </w:rPr>
      </w:pPr>
      <w:r w:rsidRPr="00321CC3">
        <w:rPr>
          <w:rFonts w:ascii="Times New Roman" w:hAnsi="Times New Roman" w:cs="Times New Roman"/>
          <w:sz w:val="21"/>
          <w:szCs w:val="21"/>
        </w:rPr>
        <w:t xml:space="preserve">У певної частини осіб з інвалідністю спостерігається недостатній рівень мотивації до праці – і саме це є однією з головних перешкод до забезпечення їхньої трудової реабілітації та зайнятості. Причому в даному випадку більш коректно говорити не </w:t>
      </w:r>
      <w:r w:rsidRPr="00321CC3">
        <w:rPr>
          <w:rFonts w:ascii="Times New Roman" w:hAnsi="Times New Roman" w:cs="Times New Roman"/>
          <w:sz w:val="21"/>
          <w:szCs w:val="21"/>
        </w:rPr>
        <w:lastRenderedPageBreak/>
        <w:t>про низьку, а саме про недостатньо високу мотивацію, адже цим людям, порівняно з іншими необхідно подолати більше перешкод, прикласти більше зусиль для того, щоб працевлаштуватися й працювати. Отже, і мотивація до праці в них має бути вищою, ніж у інших.</w:t>
      </w:r>
    </w:p>
    <w:p w:rsidR="00B233DE" w:rsidRPr="00321CC3" w:rsidRDefault="00B233DE" w:rsidP="00B233DE">
      <w:pPr>
        <w:ind w:firstLine="709"/>
        <w:jc w:val="both"/>
        <w:rPr>
          <w:rFonts w:ascii="Times New Roman" w:hAnsi="Times New Roman" w:cs="Times New Roman"/>
          <w:sz w:val="21"/>
          <w:szCs w:val="21"/>
        </w:rPr>
      </w:pPr>
      <w:r w:rsidRPr="00321CC3">
        <w:rPr>
          <w:rFonts w:ascii="Times New Roman" w:hAnsi="Times New Roman" w:cs="Times New Roman"/>
          <w:sz w:val="21"/>
          <w:szCs w:val="21"/>
        </w:rPr>
        <w:t>Нами наведени</w:t>
      </w:r>
      <w:r>
        <w:rPr>
          <w:rFonts w:ascii="Times New Roman" w:hAnsi="Times New Roman" w:cs="Times New Roman"/>
          <w:sz w:val="21"/>
          <w:szCs w:val="21"/>
        </w:rPr>
        <w:t>й орієнтовний перелік взаємопов’</w:t>
      </w:r>
      <w:r w:rsidRPr="00321CC3">
        <w:rPr>
          <w:rFonts w:ascii="Times New Roman" w:hAnsi="Times New Roman" w:cs="Times New Roman"/>
          <w:sz w:val="21"/>
          <w:szCs w:val="21"/>
        </w:rPr>
        <w:t>язаних мотивів (смислів) трудової зайнятості, що можуть бути важливими для людини з інвалідністю:</w:t>
      </w:r>
    </w:p>
    <w:p w:rsidR="00B233DE" w:rsidRPr="00321CC3" w:rsidRDefault="00B233DE" w:rsidP="00B233DE">
      <w:pPr>
        <w:pStyle w:val="ad"/>
        <w:numPr>
          <w:ilvl w:val="2"/>
          <w:numId w:val="37"/>
        </w:numPr>
        <w:tabs>
          <w:tab w:val="left" w:pos="993"/>
        </w:tabs>
        <w:ind w:left="0" w:firstLine="709"/>
        <w:jc w:val="both"/>
        <w:rPr>
          <w:rFonts w:ascii="Times New Roman" w:hAnsi="Times New Roman" w:cs="Times New Roman"/>
          <w:sz w:val="21"/>
          <w:szCs w:val="21"/>
        </w:rPr>
      </w:pPr>
      <w:r w:rsidRPr="00321CC3">
        <w:rPr>
          <w:rFonts w:ascii="Times New Roman" w:hAnsi="Times New Roman" w:cs="Times New Roman"/>
          <w:sz w:val="21"/>
          <w:szCs w:val="21"/>
        </w:rPr>
        <w:t xml:space="preserve">покращення матеріального стану; </w:t>
      </w:r>
    </w:p>
    <w:p w:rsidR="00B233DE" w:rsidRPr="00321CC3" w:rsidRDefault="00B233DE" w:rsidP="00B233DE">
      <w:pPr>
        <w:pStyle w:val="ad"/>
        <w:numPr>
          <w:ilvl w:val="2"/>
          <w:numId w:val="37"/>
        </w:numPr>
        <w:tabs>
          <w:tab w:val="left" w:pos="993"/>
        </w:tabs>
        <w:ind w:left="0" w:firstLine="709"/>
        <w:jc w:val="both"/>
        <w:rPr>
          <w:rFonts w:ascii="Times New Roman" w:hAnsi="Times New Roman" w:cs="Times New Roman"/>
          <w:sz w:val="21"/>
          <w:szCs w:val="21"/>
        </w:rPr>
      </w:pPr>
      <w:r w:rsidRPr="00321CC3">
        <w:rPr>
          <w:rFonts w:ascii="Times New Roman" w:hAnsi="Times New Roman" w:cs="Times New Roman"/>
          <w:sz w:val="21"/>
          <w:szCs w:val="21"/>
        </w:rPr>
        <w:t xml:space="preserve">можливість спілкування з колегами по роботі, відчуття належності до трудового колективу; </w:t>
      </w:r>
    </w:p>
    <w:p w:rsidR="00B233DE" w:rsidRPr="00321CC3" w:rsidRDefault="00B233DE" w:rsidP="00B233DE">
      <w:pPr>
        <w:pStyle w:val="ad"/>
        <w:numPr>
          <w:ilvl w:val="2"/>
          <w:numId w:val="37"/>
        </w:numPr>
        <w:tabs>
          <w:tab w:val="left" w:pos="993"/>
        </w:tabs>
        <w:ind w:left="0" w:firstLine="709"/>
        <w:jc w:val="both"/>
        <w:rPr>
          <w:rFonts w:ascii="Times New Roman" w:hAnsi="Times New Roman" w:cs="Times New Roman"/>
          <w:sz w:val="21"/>
          <w:szCs w:val="21"/>
        </w:rPr>
      </w:pPr>
      <w:r w:rsidRPr="00321CC3">
        <w:rPr>
          <w:rFonts w:ascii="Times New Roman" w:hAnsi="Times New Roman" w:cs="Times New Roman"/>
          <w:sz w:val="21"/>
          <w:szCs w:val="21"/>
        </w:rPr>
        <w:t xml:space="preserve">можливість самореалізаціїї, отримання задоволення від праці; </w:t>
      </w:r>
    </w:p>
    <w:p w:rsidR="00B233DE" w:rsidRPr="00321CC3" w:rsidRDefault="00B233DE" w:rsidP="00B233DE">
      <w:pPr>
        <w:pStyle w:val="ad"/>
        <w:numPr>
          <w:ilvl w:val="2"/>
          <w:numId w:val="37"/>
        </w:numPr>
        <w:tabs>
          <w:tab w:val="left" w:pos="993"/>
        </w:tabs>
        <w:ind w:left="0" w:firstLine="709"/>
        <w:jc w:val="both"/>
        <w:rPr>
          <w:rFonts w:ascii="Times New Roman" w:hAnsi="Times New Roman" w:cs="Times New Roman"/>
          <w:sz w:val="21"/>
          <w:szCs w:val="21"/>
        </w:rPr>
      </w:pPr>
      <w:r w:rsidRPr="00321CC3">
        <w:rPr>
          <w:rFonts w:ascii="Times New Roman" w:hAnsi="Times New Roman" w:cs="Times New Roman"/>
          <w:sz w:val="21"/>
          <w:szCs w:val="21"/>
        </w:rPr>
        <w:t>відчуття своєї корисності іншім людям;</w:t>
      </w:r>
    </w:p>
    <w:p w:rsidR="00B233DE" w:rsidRPr="00321CC3" w:rsidRDefault="00B233DE" w:rsidP="00B233DE">
      <w:pPr>
        <w:pStyle w:val="ad"/>
        <w:numPr>
          <w:ilvl w:val="2"/>
          <w:numId w:val="37"/>
        </w:numPr>
        <w:tabs>
          <w:tab w:val="left" w:pos="993"/>
        </w:tabs>
        <w:ind w:left="0" w:firstLine="709"/>
        <w:jc w:val="both"/>
        <w:rPr>
          <w:rFonts w:ascii="Times New Roman" w:hAnsi="Times New Roman" w:cs="Times New Roman"/>
          <w:sz w:val="21"/>
          <w:szCs w:val="21"/>
        </w:rPr>
      </w:pPr>
      <w:r w:rsidRPr="00321CC3">
        <w:rPr>
          <w:rFonts w:ascii="Times New Roman" w:hAnsi="Times New Roman" w:cs="Times New Roman"/>
          <w:sz w:val="21"/>
          <w:szCs w:val="21"/>
        </w:rPr>
        <w:t xml:space="preserve">зміна соціального статусу людини з інвалідністю – отримання підстав для соціального визнання, самоповаги; </w:t>
      </w:r>
    </w:p>
    <w:p w:rsidR="00B233DE" w:rsidRPr="00321CC3" w:rsidRDefault="00B233DE" w:rsidP="00B233DE">
      <w:pPr>
        <w:pStyle w:val="ad"/>
        <w:numPr>
          <w:ilvl w:val="2"/>
          <w:numId w:val="37"/>
        </w:numPr>
        <w:tabs>
          <w:tab w:val="left" w:pos="993"/>
        </w:tabs>
        <w:ind w:left="0" w:firstLine="709"/>
        <w:jc w:val="both"/>
        <w:rPr>
          <w:rFonts w:ascii="Times New Roman" w:hAnsi="Times New Roman" w:cs="Times New Roman"/>
          <w:sz w:val="21"/>
          <w:szCs w:val="21"/>
        </w:rPr>
      </w:pPr>
      <w:r w:rsidRPr="00321CC3">
        <w:rPr>
          <w:rFonts w:ascii="Times New Roman" w:hAnsi="Times New Roman" w:cs="Times New Roman"/>
          <w:sz w:val="21"/>
          <w:szCs w:val="21"/>
        </w:rPr>
        <w:t xml:space="preserve">можливість кар'єрного зростання. </w:t>
      </w:r>
    </w:p>
    <w:p w:rsidR="00B233DE" w:rsidRPr="00321CC3" w:rsidRDefault="00B233DE" w:rsidP="00B233DE">
      <w:pPr>
        <w:pStyle w:val="ad"/>
        <w:numPr>
          <w:ilvl w:val="2"/>
          <w:numId w:val="37"/>
        </w:numPr>
        <w:tabs>
          <w:tab w:val="left" w:pos="993"/>
        </w:tabs>
        <w:ind w:left="0" w:firstLine="709"/>
        <w:jc w:val="both"/>
        <w:rPr>
          <w:rFonts w:ascii="Times New Roman" w:hAnsi="Times New Roman" w:cs="Times New Roman"/>
          <w:sz w:val="21"/>
          <w:szCs w:val="21"/>
        </w:rPr>
      </w:pPr>
      <w:r w:rsidRPr="00321CC3">
        <w:rPr>
          <w:rFonts w:ascii="Times New Roman" w:hAnsi="Times New Roman" w:cs="Times New Roman"/>
          <w:sz w:val="21"/>
          <w:szCs w:val="21"/>
        </w:rPr>
        <w:t>можливість встановлення б</w:t>
      </w:r>
      <w:r>
        <w:rPr>
          <w:rFonts w:ascii="Times New Roman" w:hAnsi="Times New Roman" w:cs="Times New Roman"/>
          <w:sz w:val="21"/>
          <w:szCs w:val="21"/>
        </w:rPr>
        <w:t>лизьких відносин, створення сім’</w:t>
      </w:r>
      <w:r w:rsidRPr="00321CC3">
        <w:rPr>
          <w:rFonts w:ascii="Times New Roman" w:hAnsi="Times New Roman" w:cs="Times New Roman"/>
          <w:sz w:val="21"/>
          <w:szCs w:val="21"/>
        </w:rPr>
        <w:t xml:space="preserve">ї. </w:t>
      </w:r>
    </w:p>
    <w:p w:rsidR="00B233DE" w:rsidRPr="00321CC3" w:rsidRDefault="00B233DE" w:rsidP="00B233DE">
      <w:pPr>
        <w:pStyle w:val="ad"/>
        <w:numPr>
          <w:ilvl w:val="2"/>
          <w:numId w:val="37"/>
        </w:numPr>
        <w:tabs>
          <w:tab w:val="left" w:pos="993"/>
        </w:tabs>
        <w:ind w:left="0" w:firstLine="709"/>
        <w:jc w:val="both"/>
        <w:rPr>
          <w:rFonts w:ascii="Times New Roman" w:hAnsi="Times New Roman" w:cs="Times New Roman"/>
          <w:sz w:val="21"/>
          <w:szCs w:val="21"/>
        </w:rPr>
      </w:pPr>
      <w:r w:rsidRPr="00321CC3">
        <w:rPr>
          <w:rFonts w:ascii="Times New Roman" w:hAnsi="Times New Roman" w:cs="Times New Roman"/>
          <w:sz w:val="21"/>
          <w:szCs w:val="21"/>
        </w:rPr>
        <w:t xml:space="preserve">можливість урізноманітнити життя, зробити його змістовним, наповненим, тощо. </w:t>
      </w:r>
    </w:p>
    <w:p w:rsidR="00B233DE" w:rsidRPr="00321CC3" w:rsidRDefault="00B233DE" w:rsidP="00B233DE">
      <w:pPr>
        <w:ind w:firstLine="709"/>
        <w:jc w:val="both"/>
        <w:rPr>
          <w:rFonts w:ascii="Times New Roman" w:hAnsi="Times New Roman" w:cs="Times New Roman"/>
          <w:sz w:val="21"/>
          <w:szCs w:val="21"/>
        </w:rPr>
      </w:pPr>
      <w:r w:rsidRPr="00321CC3">
        <w:rPr>
          <w:rFonts w:ascii="Times New Roman" w:hAnsi="Times New Roman" w:cs="Times New Roman"/>
          <w:sz w:val="21"/>
          <w:szCs w:val="21"/>
        </w:rPr>
        <w:t>На нашу думку, в роботі з мотивування до праці осіб з інвалідністю необхідно запустити процеси активізації вже існуючої мотивації, що знаходи</w:t>
      </w:r>
      <w:r>
        <w:rPr>
          <w:rFonts w:ascii="Times New Roman" w:hAnsi="Times New Roman" w:cs="Times New Roman"/>
          <w:sz w:val="21"/>
          <w:szCs w:val="21"/>
        </w:rPr>
        <w:t>ться у людини в неактуальному, «</w:t>
      </w:r>
      <w:r w:rsidRPr="00321CC3">
        <w:rPr>
          <w:rFonts w:ascii="Times New Roman" w:hAnsi="Times New Roman" w:cs="Times New Roman"/>
          <w:sz w:val="21"/>
          <w:szCs w:val="21"/>
        </w:rPr>
        <w:t>сплячому</w:t>
      </w:r>
      <w:r>
        <w:rPr>
          <w:rFonts w:ascii="Times New Roman" w:hAnsi="Times New Roman" w:cs="Times New Roman"/>
          <w:sz w:val="21"/>
          <w:szCs w:val="21"/>
        </w:rPr>
        <w:t>»</w:t>
      </w:r>
      <w:r w:rsidRPr="00321CC3">
        <w:rPr>
          <w:rFonts w:ascii="Times New Roman" w:hAnsi="Times New Roman" w:cs="Times New Roman"/>
          <w:sz w:val="21"/>
          <w:szCs w:val="21"/>
        </w:rPr>
        <w:t xml:space="preserve"> стані, направити хід її думок у потрібному напрямі, необхідно створити такі умови, щоб вона відшукувала їх самостійно, визначилась щодо їх значення для себе.</w:t>
      </w:r>
    </w:p>
    <w:p w:rsidR="00B233DE" w:rsidRPr="00321CC3" w:rsidRDefault="00B233DE" w:rsidP="00B233DE">
      <w:pPr>
        <w:ind w:firstLine="709"/>
        <w:jc w:val="both"/>
        <w:rPr>
          <w:rFonts w:ascii="Times New Roman" w:hAnsi="Times New Roman" w:cs="Times New Roman"/>
          <w:sz w:val="21"/>
          <w:szCs w:val="21"/>
        </w:rPr>
      </w:pPr>
      <w:r w:rsidRPr="00321CC3">
        <w:rPr>
          <w:rFonts w:ascii="Times New Roman" w:hAnsi="Times New Roman" w:cs="Times New Roman"/>
          <w:sz w:val="21"/>
          <w:szCs w:val="21"/>
        </w:rPr>
        <w:t>Один з основних прийомів, що доповнює виявлення мотивів до зайнятості, є обговорення з людиною з інвалідністю відповідності її поточного професійного вибору життєвій перспективі. Якщо молода людина усвідомить, що її рішення щодо працевлашту</w:t>
      </w:r>
      <w:r>
        <w:rPr>
          <w:rFonts w:ascii="Times New Roman" w:hAnsi="Times New Roman" w:cs="Times New Roman"/>
          <w:sz w:val="21"/>
          <w:szCs w:val="21"/>
        </w:rPr>
        <w:t>вання є однією із складових її «життєвого проекту»</w:t>
      </w:r>
      <w:r w:rsidRPr="00321CC3">
        <w:rPr>
          <w:rFonts w:ascii="Times New Roman" w:hAnsi="Times New Roman" w:cs="Times New Roman"/>
          <w:sz w:val="21"/>
          <w:szCs w:val="21"/>
        </w:rPr>
        <w:t>, із більшою ймовірністю можна сподіватися на активність у пошуку роботи та вдале працевлаштування.</w:t>
      </w:r>
    </w:p>
    <w:p w:rsidR="00B233DE" w:rsidRPr="00321CC3" w:rsidRDefault="00B233DE" w:rsidP="00B233DE">
      <w:pPr>
        <w:ind w:firstLine="709"/>
        <w:jc w:val="both"/>
        <w:rPr>
          <w:rFonts w:ascii="Times New Roman" w:hAnsi="Times New Roman" w:cs="Times New Roman"/>
          <w:sz w:val="21"/>
          <w:szCs w:val="21"/>
        </w:rPr>
      </w:pPr>
      <w:r w:rsidRPr="00321CC3">
        <w:rPr>
          <w:rFonts w:ascii="Times New Roman" w:hAnsi="Times New Roman" w:cs="Times New Roman"/>
          <w:sz w:val="21"/>
          <w:szCs w:val="21"/>
        </w:rPr>
        <w:t>Також, на нашу думк</w:t>
      </w:r>
      <w:r>
        <w:rPr>
          <w:rFonts w:ascii="Times New Roman" w:hAnsi="Times New Roman" w:cs="Times New Roman"/>
          <w:sz w:val="21"/>
          <w:szCs w:val="21"/>
        </w:rPr>
        <w:t>у</w:t>
      </w:r>
      <w:r w:rsidRPr="00321CC3">
        <w:rPr>
          <w:rFonts w:ascii="Times New Roman" w:hAnsi="Times New Roman" w:cs="Times New Roman"/>
          <w:sz w:val="21"/>
          <w:szCs w:val="21"/>
        </w:rPr>
        <w:t>, необхідно зупинитись на випадку, коли мотивація до працевлаштування є надвисокою, тобто коли для люд</w:t>
      </w:r>
      <w:r>
        <w:rPr>
          <w:rFonts w:ascii="Times New Roman" w:hAnsi="Times New Roman" w:cs="Times New Roman"/>
          <w:sz w:val="21"/>
          <w:szCs w:val="21"/>
        </w:rPr>
        <w:t>ини влаштування на роботу стає «питанням життя чи смерті»</w:t>
      </w:r>
      <w:r w:rsidRPr="00321CC3">
        <w:rPr>
          <w:rFonts w:ascii="Times New Roman" w:hAnsi="Times New Roman" w:cs="Times New Roman"/>
          <w:sz w:val="21"/>
          <w:szCs w:val="21"/>
        </w:rPr>
        <w:t xml:space="preserve">, це призводить до надмірного напруження й стресу, адже кожна невдача у пошуку роботи викличе в неї велике розчарування. В </w:t>
      </w:r>
      <w:r w:rsidRPr="00321CC3">
        <w:rPr>
          <w:rFonts w:ascii="Times New Roman" w:hAnsi="Times New Roman" w:cs="Times New Roman"/>
          <w:sz w:val="21"/>
          <w:szCs w:val="21"/>
        </w:rPr>
        <w:lastRenderedPageBreak/>
        <w:t xml:space="preserve">результаті така людина може взагалі зневіритись, відмовитися від намірів працевлаштуватися. Отже, такій категорії осіб необхідно приділяти підвищену увагу в психологічній підтримці пошуку роботи. </w:t>
      </w:r>
    </w:p>
    <w:p w:rsidR="00B233DE" w:rsidRPr="00321CC3" w:rsidRDefault="00B233DE" w:rsidP="00B233DE">
      <w:pPr>
        <w:ind w:firstLine="709"/>
        <w:jc w:val="both"/>
        <w:rPr>
          <w:rFonts w:ascii="Times New Roman" w:hAnsi="Times New Roman" w:cs="Times New Roman"/>
          <w:sz w:val="21"/>
          <w:szCs w:val="21"/>
        </w:rPr>
      </w:pPr>
      <w:r w:rsidRPr="00321CC3">
        <w:rPr>
          <w:rFonts w:ascii="Times New Roman" w:hAnsi="Times New Roman" w:cs="Times New Roman"/>
          <w:sz w:val="21"/>
          <w:szCs w:val="21"/>
        </w:rPr>
        <w:t xml:space="preserve">Ще одним напрямом мотиваційної роботи може бути розгляд страхів </w:t>
      </w:r>
      <w:r>
        <w:rPr>
          <w:rFonts w:ascii="Times New Roman" w:hAnsi="Times New Roman" w:cs="Times New Roman"/>
          <w:sz w:val="21"/>
          <w:szCs w:val="21"/>
        </w:rPr>
        <w:t>о</w:t>
      </w:r>
      <w:r w:rsidRPr="00321CC3">
        <w:rPr>
          <w:rFonts w:ascii="Times New Roman" w:hAnsi="Times New Roman" w:cs="Times New Roman"/>
          <w:sz w:val="21"/>
          <w:szCs w:val="21"/>
        </w:rPr>
        <w:t>сіб з обмеженими фізичними можливостями. Такі особи можуть не працювати та не виявляти активності у пошуку роботи через те, що їх лякають якісь аспекти майбутнього працевлаштування: неприйняття трудовим колективом, нездатність впоратися із виробничими завд</w:t>
      </w:r>
      <w:r>
        <w:rPr>
          <w:rFonts w:ascii="Times New Roman" w:hAnsi="Times New Roman" w:cs="Times New Roman"/>
          <w:sz w:val="21"/>
          <w:szCs w:val="21"/>
        </w:rPr>
        <w:t>аннями, страх погіршення здоров’</w:t>
      </w:r>
      <w:r w:rsidRPr="00321CC3">
        <w:rPr>
          <w:rFonts w:ascii="Times New Roman" w:hAnsi="Times New Roman" w:cs="Times New Roman"/>
          <w:sz w:val="21"/>
          <w:szCs w:val="21"/>
        </w:rPr>
        <w:t xml:space="preserve">я, побоювання втратити пенсію (допомогу) тощо. </w:t>
      </w:r>
    </w:p>
    <w:p w:rsidR="00B233DE" w:rsidRPr="00321CC3" w:rsidRDefault="00B233DE" w:rsidP="00B233DE">
      <w:pPr>
        <w:widowControl w:val="0"/>
        <w:spacing w:line="233" w:lineRule="auto"/>
        <w:ind w:firstLine="709"/>
        <w:contextualSpacing/>
        <w:jc w:val="both"/>
        <w:rPr>
          <w:rFonts w:ascii="Times New Roman" w:hAnsi="Times New Roman" w:cs="Times New Roman"/>
          <w:sz w:val="21"/>
          <w:szCs w:val="21"/>
        </w:rPr>
      </w:pPr>
      <w:r w:rsidRPr="00321CC3">
        <w:rPr>
          <w:rFonts w:ascii="Times New Roman" w:hAnsi="Times New Roman" w:cs="Times New Roman"/>
          <w:sz w:val="21"/>
          <w:szCs w:val="21"/>
        </w:rPr>
        <w:t>Таким чином, формування мотивації до праці у осіб з обмеженими фізичними можливостями є досить складним процесом, кінцевою метою якого є ефективне працевлаштування інвалідів.</w:t>
      </w:r>
    </w:p>
    <w:p w:rsidR="00B233DE" w:rsidRPr="004C34A1" w:rsidRDefault="00B233DE" w:rsidP="00B233DE">
      <w:pPr>
        <w:ind w:firstLine="709"/>
        <w:jc w:val="both"/>
        <w:rPr>
          <w:rFonts w:ascii="Times New Roman" w:hAnsi="Times New Roman" w:cs="Times New Roman"/>
          <w:sz w:val="21"/>
          <w:szCs w:val="21"/>
        </w:rPr>
      </w:pPr>
      <w:r w:rsidRPr="004C34A1">
        <w:rPr>
          <w:rFonts w:ascii="Times New Roman" w:hAnsi="Times New Roman" w:cs="Times New Roman"/>
          <w:sz w:val="21"/>
          <w:szCs w:val="21"/>
        </w:rPr>
        <w:t>Одним із інструментів ефективного використання людського потенціалу в управлінні соціально-трудовою сферою є контролінг, що полягає в орієнтації управлінського процесу на виконання умов колективного договору шляхом виявлення причинно-наслідкових зв’язків при порівнянні кількості і якості праці та затрат, пов’язаних із соціально-трудовими відносинами, а також вжиття заходів із регулювання відхилень, які виникли.</w:t>
      </w:r>
    </w:p>
    <w:p w:rsidR="00B233DE" w:rsidRPr="004C34A1" w:rsidRDefault="00B233DE" w:rsidP="00B233DE">
      <w:pPr>
        <w:ind w:firstLine="709"/>
        <w:jc w:val="both"/>
        <w:rPr>
          <w:rFonts w:ascii="Times New Roman" w:hAnsi="Times New Roman" w:cs="Times New Roman"/>
          <w:sz w:val="21"/>
          <w:szCs w:val="21"/>
        </w:rPr>
      </w:pPr>
      <w:r w:rsidRPr="004C34A1">
        <w:rPr>
          <w:rFonts w:ascii="Times New Roman" w:hAnsi="Times New Roman" w:cs="Times New Roman"/>
          <w:sz w:val="21"/>
          <w:szCs w:val="21"/>
        </w:rPr>
        <w:t>Складність вирішення соціальних проблем визначається:</w:t>
      </w:r>
    </w:p>
    <w:p w:rsidR="00B233DE" w:rsidRPr="004C34A1" w:rsidRDefault="00B233DE" w:rsidP="00B233DE">
      <w:pPr>
        <w:pStyle w:val="ad"/>
        <w:numPr>
          <w:ilvl w:val="0"/>
          <w:numId w:val="38"/>
        </w:numPr>
        <w:tabs>
          <w:tab w:val="left" w:pos="993"/>
        </w:tabs>
        <w:ind w:left="0" w:firstLine="709"/>
        <w:jc w:val="both"/>
        <w:rPr>
          <w:rFonts w:ascii="Times New Roman" w:hAnsi="Times New Roman" w:cs="Times New Roman"/>
          <w:sz w:val="21"/>
          <w:szCs w:val="21"/>
        </w:rPr>
      </w:pPr>
      <w:r w:rsidRPr="004C34A1">
        <w:rPr>
          <w:rFonts w:ascii="Times New Roman" w:hAnsi="Times New Roman" w:cs="Times New Roman"/>
          <w:sz w:val="21"/>
          <w:szCs w:val="21"/>
        </w:rPr>
        <w:t>необхідністю розробки взаємоузгоджених стратегічних цільових соціальних програм на національному, регіональному та місцевому рівнях, а також формування єдиної системи численних соціальних функцій держави з урахуванням їх пріоритетності;</w:t>
      </w:r>
    </w:p>
    <w:p w:rsidR="00B233DE" w:rsidRPr="004C34A1" w:rsidRDefault="00B233DE" w:rsidP="00B233DE">
      <w:pPr>
        <w:pStyle w:val="ad"/>
        <w:numPr>
          <w:ilvl w:val="0"/>
          <w:numId w:val="38"/>
        </w:numPr>
        <w:tabs>
          <w:tab w:val="left" w:pos="993"/>
        </w:tabs>
        <w:ind w:left="0" w:firstLine="709"/>
        <w:jc w:val="both"/>
        <w:rPr>
          <w:rFonts w:ascii="Times New Roman" w:hAnsi="Times New Roman" w:cs="Times New Roman"/>
          <w:sz w:val="21"/>
          <w:szCs w:val="21"/>
        </w:rPr>
      </w:pPr>
      <w:r>
        <w:rPr>
          <w:rFonts w:ascii="Times New Roman" w:hAnsi="Times New Roman" w:cs="Times New Roman"/>
          <w:sz w:val="21"/>
          <w:szCs w:val="21"/>
        </w:rPr>
        <w:t>множинністю суб’</w:t>
      </w:r>
      <w:r w:rsidRPr="004C34A1">
        <w:rPr>
          <w:rFonts w:ascii="Times New Roman" w:hAnsi="Times New Roman" w:cs="Times New Roman"/>
          <w:sz w:val="21"/>
          <w:szCs w:val="21"/>
        </w:rPr>
        <w:t>єктів реалізації соціальних програм, що вимагає встановлення їх прав і повноважень, методів контролю виконання функцій, узгодження механізмів їх взаємодії та співпідпорядкованості по вертикалі і горизонталі.</w:t>
      </w:r>
    </w:p>
    <w:p w:rsidR="00B233DE" w:rsidRPr="004C34A1" w:rsidRDefault="00B233DE" w:rsidP="00B233DE">
      <w:pPr>
        <w:ind w:firstLine="709"/>
        <w:jc w:val="both"/>
        <w:rPr>
          <w:rFonts w:ascii="Times New Roman" w:hAnsi="Times New Roman" w:cs="Times New Roman"/>
          <w:sz w:val="21"/>
          <w:szCs w:val="21"/>
        </w:rPr>
      </w:pPr>
      <w:r w:rsidRPr="004C34A1">
        <w:rPr>
          <w:rFonts w:ascii="Times New Roman" w:hAnsi="Times New Roman" w:cs="Times New Roman"/>
          <w:sz w:val="21"/>
          <w:szCs w:val="21"/>
        </w:rPr>
        <w:t xml:space="preserve">Виконання цього комплексу умов було б найбільш успішним при створенні єдиного координаційно-консультаційного та інформаційно-аналітичного центру, організаційним прообразом якого може служити модель контролінгу, використовуваного в системі управління підприємствами. Виникнення і функціонування контролінгу обумовлено потребами в координації діяльності підприємницьких структур. В умовах посилення конкуренції і невизначеності факторів зовнішнього середовища менеджмент у </w:t>
      </w:r>
      <w:r w:rsidRPr="004C34A1">
        <w:rPr>
          <w:rFonts w:ascii="Times New Roman" w:hAnsi="Times New Roman" w:cs="Times New Roman"/>
          <w:sz w:val="21"/>
          <w:szCs w:val="21"/>
        </w:rPr>
        <w:lastRenderedPageBreak/>
        <w:t>підприємництві розробляє нові механізми та інструменти, покликані забезпечити більш високу ефективність управління підприємством. Таким новим інструментом є контролінг, що виник у першій половині ХХ ст. в США, Німеччині та інших країнах. Контролінг як окремий напрям економічної роботи на підприємстві став виконувати функції:</w:t>
      </w:r>
    </w:p>
    <w:p w:rsidR="00B233DE" w:rsidRPr="004C34A1" w:rsidRDefault="00B233DE" w:rsidP="00B233DE">
      <w:pPr>
        <w:pStyle w:val="ad"/>
        <w:numPr>
          <w:ilvl w:val="0"/>
          <w:numId w:val="39"/>
        </w:numPr>
        <w:tabs>
          <w:tab w:val="left" w:pos="993"/>
        </w:tabs>
        <w:ind w:left="0" w:firstLine="709"/>
        <w:jc w:val="both"/>
        <w:rPr>
          <w:rFonts w:ascii="Times New Roman" w:hAnsi="Times New Roman" w:cs="Times New Roman"/>
          <w:sz w:val="21"/>
          <w:szCs w:val="21"/>
        </w:rPr>
      </w:pPr>
      <w:r w:rsidRPr="004C34A1">
        <w:rPr>
          <w:rFonts w:ascii="Times New Roman" w:hAnsi="Times New Roman" w:cs="Times New Roman"/>
          <w:sz w:val="21"/>
          <w:szCs w:val="21"/>
        </w:rPr>
        <w:t>координації управлінської діяльності з досягнення цілей підприємства;</w:t>
      </w:r>
    </w:p>
    <w:p w:rsidR="00B233DE" w:rsidRPr="004C34A1" w:rsidRDefault="00B233DE" w:rsidP="00B233DE">
      <w:pPr>
        <w:pStyle w:val="ad"/>
        <w:numPr>
          <w:ilvl w:val="0"/>
          <w:numId w:val="39"/>
        </w:numPr>
        <w:tabs>
          <w:tab w:val="left" w:pos="993"/>
        </w:tabs>
        <w:ind w:left="0" w:firstLine="709"/>
        <w:jc w:val="both"/>
        <w:rPr>
          <w:rFonts w:ascii="Times New Roman" w:hAnsi="Times New Roman" w:cs="Times New Roman"/>
          <w:sz w:val="21"/>
          <w:szCs w:val="21"/>
        </w:rPr>
      </w:pPr>
      <w:r w:rsidRPr="004C34A1">
        <w:rPr>
          <w:rFonts w:ascii="Times New Roman" w:hAnsi="Times New Roman" w:cs="Times New Roman"/>
          <w:sz w:val="21"/>
          <w:szCs w:val="21"/>
        </w:rPr>
        <w:t>інформаційної та консультаційної підтримки прийняття управлінських рішень;</w:t>
      </w:r>
    </w:p>
    <w:p w:rsidR="00B233DE" w:rsidRPr="004C34A1" w:rsidRDefault="00B233DE" w:rsidP="00B233DE">
      <w:pPr>
        <w:pStyle w:val="ad"/>
        <w:numPr>
          <w:ilvl w:val="0"/>
          <w:numId w:val="39"/>
        </w:numPr>
        <w:tabs>
          <w:tab w:val="left" w:pos="993"/>
        </w:tabs>
        <w:ind w:left="0" w:firstLine="709"/>
        <w:jc w:val="both"/>
        <w:rPr>
          <w:rFonts w:ascii="Times New Roman" w:hAnsi="Times New Roman" w:cs="Times New Roman"/>
          <w:sz w:val="21"/>
          <w:szCs w:val="21"/>
        </w:rPr>
      </w:pPr>
      <w:r w:rsidRPr="004C34A1">
        <w:rPr>
          <w:rFonts w:ascii="Times New Roman" w:hAnsi="Times New Roman" w:cs="Times New Roman"/>
          <w:sz w:val="21"/>
          <w:szCs w:val="21"/>
        </w:rPr>
        <w:t>формування інформаційної системи управління і забезпечення раціональності управлінського процесу.</w:t>
      </w:r>
    </w:p>
    <w:p w:rsidR="00B233DE" w:rsidRPr="004C34A1" w:rsidRDefault="00B233DE" w:rsidP="00B233DE">
      <w:pPr>
        <w:ind w:firstLine="709"/>
        <w:jc w:val="both"/>
        <w:rPr>
          <w:rFonts w:ascii="Times New Roman" w:hAnsi="Times New Roman" w:cs="Times New Roman"/>
          <w:sz w:val="21"/>
          <w:szCs w:val="21"/>
        </w:rPr>
      </w:pPr>
      <w:r w:rsidRPr="004C34A1">
        <w:rPr>
          <w:rFonts w:ascii="Times New Roman" w:hAnsi="Times New Roman" w:cs="Times New Roman"/>
          <w:sz w:val="21"/>
          <w:szCs w:val="21"/>
        </w:rPr>
        <w:t>На нашу думку, реалізація принципів системного підходу в механізмах державного управління є не менш актуальною, ніж у механізмах</w:t>
      </w:r>
      <w:r>
        <w:rPr>
          <w:rFonts w:ascii="Times New Roman" w:hAnsi="Times New Roman" w:cs="Times New Roman"/>
          <w:sz w:val="21"/>
          <w:szCs w:val="21"/>
        </w:rPr>
        <w:t xml:space="preserve"> управління підприємством. У зв’</w:t>
      </w:r>
      <w:r w:rsidRPr="004C34A1">
        <w:rPr>
          <w:rFonts w:ascii="Times New Roman" w:hAnsi="Times New Roman" w:cs="Times New Roman"/>
          <w:sz w:val="21"/>
          <w:szCs w:val="21"/>
        </w:rPr>
        <w:t>язку з цим, правомірно розглянути питання про доцільність адаптації принципів контролінгу до державного управління соціальною сферою.</w:t>
      </w:r>
    </w:p>
    <w:p w:rsidR="00B233DE" w:rsidRPr="004C34A1" w:rsidRDefault="00B233DE" w:rsidP="00B233DE">
      <w:pPr>
        <w:ind w:firstLine="709"/>
        <w:jc w:val="both"/>
        <w:rPr>
          <w:rFonts w:ascii="Times New Roman" w:hAnsi="Times New Roman" w:cs="Times New Roman"/>
          <w:sz w:val="21"/>
          <w:szCs w:val="21"/>
        </w:rPr>
      </w:pPr>
      <w:r w:rsidRPr="004C34A1">
        <w:rPr>
          <w:rFonts w:ascii="Times New Roman" w:hAnsi="Times New Roman" w:cs="Times New Roman"/>
          <w:sz w:val="21"/>
          <w:szCs w:val="21"/>
        </w:rPr>
        <w:t>Як інструмент системного аналізу, контролінг у сфері державного соціального регулювання крім вирішення спеціальних завдань повинен забезпечувати моніторинг та аналіз соціальної сфери України за такими основними напрямками:</w:t>
      </w:r>
    </w:p>
    <w:p w:rsidR="00B233DE" w:rsidRPr="004C34A1" w:rsidRDefault="00B233DE" w:rsidP="00B233DE">
      <w:pPr>
        <w:pStyle w:val="ad"/>
        <w:numPr>
          <w:ilvl w:val="0"/>
          <w:numId w:val="40"/>
        </w:numPr>
        <w:tabs>
          <w:tab w:val="left" w:pos="993"/>
        </w:tabs>
        <w:ind w:left="0" w:firstLine="709"/>
        <w:jc w:val="both"/>
        <w:rPr>
          <w:rFonts w:ascii="Times New Roman" w:hAnsi="Times New Roman" w:cs="Times New Roman"/>
          <w:sz w:val="21"/>
          <w:szCs w:val="21"/>
        </w:rPr>
      </w:pPr>
      <w:r w:rsidRPr="004C34A1">
        <w:rPr>
          <w:rFonts w:ascii="Times New Roman" w:hAnsi="Times New Roman" w:cs="Times New Roman"/>
          <w:sz w:val="21"/>
          <w:szCs w:val="21"/>
        </w:rPr>
        <w:t>вивчення характерних системних властивостей, їх динаміки і диференціації (аналіз сутності);</w:t>
      </w:r>
    </w:p>
    <w:p w:rsidR="00B233DE" w:rsidRPr="004C34A1" w:rsidRDefault="00B233DE" w:rsidP="00B233DE">
      <w:pPr>
        <w:pStyle w:val="ad"/>
        <w:numPr>
          <w:ilvl w:val="0"/>
          <w:numId w:val="40"/>
        </w:numPr>
        <w:tabs>
          <w:tab w:val="left" w:pos="993"/>
        </w:tabs>
        <w:ind w:left="0" w:firstLine="709"/>
        <w:jc w:val="both"/>
        <w:rPr>
          <w:rFonts w:ascii="Times New Roman" w:hAnsi="Times New Roman" w:cs="Times New Roman"/>
          <w:sz w:val="21"/>
          <w:szCs w:val="21"/>
        </w:rPr>
      </w:pPr>
      <w:r w:rsidRPr="004C34A1">
        <w:rPr>
          <w:rFonts w:ascii="Times New Roman" w:hAnsi="Times New Roman" w:cs="Times New Roman"/>
          <w:sz w:val="21"/>
          <w:szCs w:val="21"/>
        </w:rPr>
        <w:t>кількісні та якісні характеристики складових частин (аналіз складу);</w:t>
      </w:r>
    </w:p>
    <w:p w:rsidR="00B233DE" w:rsidRPr="004C34A1" w:rsidRDefault="00B233DE" w:rsidP="00B233DE">
      <w:pPr>
        <w:pStyle w:val="ad"/>
        <w:numPr>
          <w:ilvl w:val="0"/>
          <w:numId w:val="40"/>
        </w:numPr>
        <w:tabs>
          <w:tab w:val="left" w:pos="993"/>
        </w:tabs>
        <w:ind w:left="0" w:firstLine="709"/>
        <w:jc w:val="both"/>
        <w:rPr>
          <w:rFonts w:ascii="Times New Roman" w:hAnsi="Times New Roman" w:cs="Times New Roman"/>
          <w:sz w:val="21"/>
          <w:szCs w:val="21"/>
        </w:rPr>
      </w:pPr>
      <w:r w:rsidRPr="004C34A1">
        <w:rPr>
          <w:rFonts w:ascii="Times New Roman" w:hAnsi="Times New Roman" w:cs="Times New Roman"/>
          <w:sz w:val="21"/>
          <w:szCs w:val="21"/>
        </w:rPr>
        <w:t>дослідження взаємозв’язків у соціальній діяльності держави (аналіз структури), стійких зв’язків і способів взаємодії елементів системи, що визначають її цілісність;</w:t>
      </w:r>
    </w:p>
    <w:p w:rsidR="00B233DE" w:rsidRPr="004C34A1" w:rsidRDefault="00B233DE" w:rsidP="00B233DE">
      <w:pPr>
        <w:pStyle w:val="ad"/>
        <w:numPr>
          <w:ilvl w:val="0"/>
          <w:numId w:val="40"/>
        </w:numPr>
        <w:tabs>
          <w:tab w:val="left" w:pos="993"/>
        </w:tabs>
        <w:ind w:left="0" w:firstLine="709"/>
        <w:jc w:val="both"/>
        <w:rPr>
          <w:rFonts w:ascii="Times New Roman" w:hAnsi="Times New Roman" w:cs="Times New Roman"/>
          <w:sz w:val="21"/>
          <w:szCs w:val="21"/>
        </w:rPr>
      </w:pPr>
      <w:r w:rsidRPr="004C34A1">
        <w:rPr>
          <w:rFonts w:ascii="Times New Roman" w:hAnsi="Times New Roman" w:cs="Times New Roman"/>
          <w:sz w:val="21"/>
          <w:szCs w:val="21"/>
        </w:rPr>
        <w:t>аналіз активності, способів функціонування, «поведінки» суб’єктів соціальної політики держави (аналіз функцій);</w:t>
      </w:r>
    </w:p>
    <w:p w:rsidR="00B233DE" w:rsidRPr="004C34A1" w:rsidRDefault="00B233DE" w:rsidP="00B233DE">
      <w:pPr>
        <w:pStyle w:val="ad"/>
        <w:numPr>
          <w:ilvl w:val="0"/>
          <w:numId w:val="40"/>
        </w:numPr>
        <w:tabs>
          <w:tab w:val="left" w:pos="993"/>
        </w:tabs>
        <w:ind w:left="0" w:firstLine="709"/>
        <w:jc w:val="both"/>
        <w:rPr>
          <w:rFonts w:ascii="Times New Roman" w:hAnsi="Times New Roman" w:cs="Times New Roman"/>
          <w:sz w:val="21"/>
          <w:szCs w:val="21"/>
        </w:rPr>
      </w:pPr>
      <w:r w:rsidRPr="004C34A1">
        <w:rPr>
          <w:rFonts w:ascii="Times New Roman" w:hAnsi="Times New Roman" w:cs="Times New Roman"/>
          <w:sz w:val="21"/>
          <w:szCs w:val="21"/>
        </w:rPr>
        <w:t>дослідження інтегральних системних факторів – механізмів забезпечення цілісності, взаємодії, вдосконалення і розвитку соціальної сфери;</w:t>
      </w:r>
    </w:p>
    <w:p w:rsidR="00B233DE" w:rsidRPr="004C34A1" w:rsidRDefault="00B233DE" w:rsidP="00B233DE">
      <w:pPr>
        <w:pStyle w:val="ad"/>
        <w:numPr>
          <w:ilvl w:val="0"/>
          <w:numId w:val="40"/>
        </w:numPr>
        <w:tabs>
          <w:tab w:val="left" w:pos="993"/>
        </w:tabs>
        <w:ind w:left="0" w:firstLine="709"/>
        <w:jc w:val="both"/>
        <w:rPr>
          <w:rFonts w:ascii="Times New Roman" w:hAnsi="Times New Roman" w:cs="Times New Roman"/>
          <w:sz w:val="21"/>
          <w:szCs w:val="21"/>
        </w:rPr>
      </w:pPr>
      <w:r w:rsidRPr="004C34A1">
        <w:rPr>
          <w:rFonts w:ascii="Times New Roman" w:hAnsi="Times New Roman" w:cs="Times New Roman"/>
          <w:sz w:val="21"/>
          <w:szCs w:val="21"/>
        </w:rPr>
        <w:t>вивчення комунікацій між суб’єктами та об’єктами соціальної політики держави;</w:t>
      </w:r>
    </w:p>
    <w:p w:rsidR="00B233DE" w:rsidRPr="004C34A1" w:rsidRDefault="00B233DE" w:rsidP="00B233DE">
      <w:pPr>
        <w:pStyle w:val="ad"/>
        <w:numPr>
          <w:ilvl w:val="0"/>
          <w:numId w:val="40"/>
        </w:numPr>
        <w:tabs>
          <w:tab w:val="left" w:pos="993"/>
        </w:tabs>
        <w:ind w:left="0" w:firstLine="709"/>
        <w:jc w:val="both"/>
        <w:rPr>
          <w:rFonts w:ascii="Times New Roman" w:hAnsi="Times New Roman" w:cs="Times New Roman"/>
          <w:sz w:val="21"/>
          <w:szCs w:val="21"/>
        </w:rPr>
      </w:pPr>
      <w:r w:rsidRPr="004C34A1">
        <w:rPr>
          <w:rFonts w:ascii="Times New Roman" w:hAnsi="Times New Roman" w:cs="Times New Roman"/>
          <w:sz w:val="21"/>
          <w:szCs w:val="21"/>
        </w:rPr>
        <w:t>оцінка ресурсного потенціалу, що забезпечує вирішення соціальних завдань, і його динаміки;</w:t>
      </w:r>
    </w:p>
    <w:p w:rsidR="00B233DE" w:rsidRPr="004C34A1" w:rsidRDefault="00B233DE" w:rsidP="00B233DE">
      <w:pPr>
        <w:pStyle w:val="ad"/>
        <w:numPr>
          <w:ilvl w:val="0"/>
          <w:numId w:val="40"/>
        </w:numPr>
        <w:tabs>
          <w:tab w:val="left" w:pos="993"/>
        </w:tabs>
        <w:ind w:left="0" w:firstLine="709"/>
        <w:jc w:val="both"/>
        <w:rPr>
          <w:rFonts w:ascii="Times New Roman" w:hAnsi="Times New Roman" w:cs="Times New Roman"/>
          <w:sz w:val="21"/>
          <w:szCs w:val="21"/>
        </w:rPr>
      </w:pPr>
      <w:r w:rsidRPr="004C34A1">
        <w:rPr>
          <w:rFonts w:ascii="Times New Roman" w:hAnsi="Times New Roman" w:cs="Times New Roman"/>
          <w:sz w:val="21"/>
          <w:szCs w:val="21"/>
        </w:rPr>
        <w:lastRenderedPageBreak/>
        <w:t>аналіз становлення, тенденцій та перспектив розвитку системи реалізації соціальних програм національного і регіонального рівнів.</w:t>
      </w:r>
    </w:p>
    <w:p w:rsidR="00B233DE" w:rsidRPr="004C34A1" w:rsidRDefault="00B233DE" w:rsidP="00B233DE">
      <w:pPr>
        <w:ind w:firstLine="709"/>
        <w:jc w:val="both"/>
        <w:rPr>
          <w:rFonts w:ascii="Times New Roman" w:hAnsi="Times New Roman" w:cs="Times New Roman"/>
          <w:sz w:val="21"/>
          <w:szCs w:val="21"/>
        </w:rPr>
      </w:pPr>
      <w:r w:rsidRPr="004C34A1">
        <w:rPr>
          <w:rFonts w:ascii="Times New Roman" w:hAnsi="Times New Roman" w:cs="Times New Roman"/>
          <w:sz w:val="21"/>
          <w:szCs w:val="21"/>
        </w:rPr>
        <w:t>Наведений перелік являє собою загальну схему аналізу, яка конкретизується в кожному окремому випадку відповідно до цілей дослідження соціальної сфери і в залежності від того, які саме види підсистем вивчаються. Ефективне державне регулювання соціальної сфери за своєю складністю не йде в порівняння з управлінням підприємством. Але, в той же час, в системі державного соціального управління збільшується значимість контролінгу як особливого інструмента, який забезпечує прийняття оптимальних рішень і досягнення поставлених цілей.</w:t>
      </w:r>
    </w:p>
    <w:p w:rsidR="00B233DE" w:rsidRPr="004C34A1" w:rsidRDefault="00B233DE" w:rsidP="00B233DE">
      <w:pPr>
        <w:ind w:firstLine="709"/>
        <w:jc w:val="both"/>
        <w:rPr>
          <w:rFonts w:ascii="Times New Roman" w:hAnsi="Times New Roman" w:cs="Times New Roman"/>
          <w:sz w:val="21"/>
          <w:szCs w:val="21"/>
        </w:rPr>
      </w:pPr>
      <w:r w:rsidRPr="004C34A1">
        <w:rPr>
          <w:rFonts w:ascii="Times New Roman" w:hAnsi="Times New Roman" w:cs="Times New Roman"/>
          <w:sz w:val="21"/>
          <w:szCs w:val="21"/>
        </w:rPr>
        <w:t>Отже, складність системи державного соціального регулювання зумовлює необхідність системного підходу до проектування контролінгу. На нашу думку, основні методологічні вимоги до методів управління соціальною сферою можна сформулювати наступним чином:</w:t>
      </w:r>
    </w:p>
    <w:p w:rsidR="00B233DE" w:rsidRPr="004C34A1" w:rsidRDefault="00B233DE" w:rsidP="00B233DE">
      <w:pPr>
        <w:ind w:firstLine="709"/>
        <w:jc w:val="both"/>
        <w:rPr>
          <w:rFonts w:ascii="Times New Roman" w:hAnsi="Times New Roman" w:cs="Times New Roman"/>
          <w:sz w:val="21"/>
          <w:szCs w:val="21"/>
        </w:rPr>
      </w:pPr>
      <w:r w:rsidRPr="004C34A1">
        <w:rPr>
          <w:rFonts w:ascii="Times New Roman" w:hAnsi="Times New Roman" w:cs="Times New Roman"/>
          <w:sz w:val="21"/>
          <w:szCs w:val="21"/>
        </w:rPr>
        <w:t>1) властивість цілісності керованої системи припускає обов'язковий</w:t>
      </w:r>
      <w:r>
        <w:rPr>
          <w:rFonts w:ascii="Times New Roman" w:hAnsi="Times New Roman" w:cs="Times New Roman"/>
          <w:sz w:val="21"/>
          <w:szCs w:val="21"/>
        </w:rPr>
        <w:t xml:space="preserve"> розгляд її як єдиного об’</w:t>
      </w:r>
      <w:r w:rsidRPr="004C34A1">
        <w:rPr>
          <w:rFonts w:ascii="Times New Roman" w:hAnsi="Times New Roman" w:cs="Times New Roman"/>
          <w:sz w:val="21"/>
          <w:szCs w:val="21"/>
        </w:rPr>
        <w:t>єкта з урахуванням</w:t>
      </w:r>
      <w:r>
        <w:rPr>
          <w:rFonts w:ascii="Times New Roman" w:hAnsi="Times New Roman" w:cs="Times New Roman"/>
          <w:sz w:val="21"/>
          <w:szCs w:val="21"/>
        </w:rPr>
        <w:t xml:space="preserve"> його внутрішніх і зовнішніх зв’</w:t>
      </w:r>
      <w:r w:rsidRPr="004C34A1">
        <w:rPr>
          <w:rFonts w:ascii="Times New Roman" w:hAnsi="Times New Roman" w:cs="Times New Roman"/>
          <w:sz w:val="21"/>
          <w:szCs w:val="21"/>
        </w:rPr>
        <w:t>язків та орієнтацією на системоутворюючі властивості;</w:t>
      </w:r>
    </w:p>
    <w:p w:rsidR="00B233DE" w:rsidRPr="004C34A1" w:rsidRDefault="00B233DE" w:rsidP="00B233DE">
      <w:pPr>
        <w:ind w:firstLine="709"/>
        <w:jc w:val="both"/>
        <w:rPr>
          <w:rFonts w:ascii="Times New Roman" w:hAnsi="Times New Roman" w:cs="Times New Roman"/>
          <w:sz w:val="21"/>
          <w:szCs w:val="21"/>
        </w:rPr>
      </w:pPr>
      <w:r>
        <w:rPr>
          <w:rFonts w:ascii="Times New Roman" w:hAnsi="Times New Roman" w:cs="Times New Roman"/>
          <w:sz w:val="21"/>
          <w:szCs w:val="21"/>
        </w:rPr>
        <w:t>2) зв’</w:t>
      </w:r>
      <w:r w:rsidRPr="004C34A1">
        <w:rPr>
          <w:rFonts w:ascii="Times New Roman" w:hAnsi="Times New Roman" w:cs="Times New Roman"/>
          <w:sz w:val="21"/>
          <w:szCs w:val="21"/>
        </w:rPr>
        <w:t>язки і відносини елементів, що визначають функціонування соціальної сфери, повинні бути структуровані і ранжовані за своєю значимістю. Особливої уваги по</w:t>
      </w:r>
      <w:r>
        <w:rPr>
          <w:rFonts w:ascii="Times New Roman" w:hAnsi="Times New Roman" w:cs="Times New Roman"/>
          <w:sz w:val="21"/>
          <w:szCs w:val="21"/>
        </w:rPr>
        <w:t>требують неявні, але суттєві зв’</w:t>
      </w:r>
      <w:r w:rsidRPr="004C34A1">
        <w:rPr>
          <w:rFonts w:ascii="Times New Roman" w:hAnsi="Times New Roman" w:cs="Times New Roman"/>
          <w:sz w:val="21"/>
          <w:szCs w:val="21"/>
        </w:rPr>
        <w:t>язки і відносини;</w:t>
      </w:r>
    </w:p>
    <w:p w:rsidR="00B233DE" w:rsidRPr="004C34A1" w:rsidRDefault="00B233DE" w:rsidP="00B233DE">
      <w:pPr>
        <w:ind w:firstLine="709"/>
        <w:jc w:val="both"/>
        <w:rPr>
          <w:rFonts w:ascii="Times New Roman" w:hAnsi="Times New Roman" w:cs="Times New Roman"/>
          <w:sz w:val="21"/>
          <w:szCs w:val="21"/>
        </w:rPr>
      </w:pPr>
      <w:r w:rsidRPr="004C34A1">
        <w:rPr>
          <w:rFonts w:ascii="Times New Roman" w:hAnsi="Times New Roman" w:cs="Times New Roman"/>
          <w:sz w:val="21"/>
          <w:szCs w:val="21"/>
        </w:rPr>
        <w:t>3) управління соціальною сферою як складною системою неможливо без розмежування (за функціональним, структурним і організаційним ознаками) її підсистем першого, другого і т.д. порядків в рамках цілісності всієї системи;</w:t>
      </w:r>
    </w:p>
    <w:p w:rsidR="00B233DE" w:rsidRPr="004C34A1" w:rsidRDefault="00B233DE" w:rsidP="00B233DE">
      <w:pPr>
        <w:ind w:firstLine="709"/>
        <w:jc w:val="both"/>
        <w:rPr>
          <w:rFonts w:ascii="Times New Roman" w:hAnsi="Times New Roman" w:cs="Times New Roman"/>
          <w:sz w:val="21"/>
          <w:szCs w:val="21"/>
        </w:rPr>
      </w:pPr>
      <w:r w:rsidRPr="004C34A1">
        <w:rPr>
          <w:rFonts w:ascii="Times New Roman" w:hAnsi="Times New Roman" w:cs="Times New Roman"/>
          <w:sz w:val="21"/>
          <w:szCs w:val="21"/>
        </w:rPr>
        <w:t>4) ефективне управління складною системою неможливе без урахування цільової спрямованості (загальної та окремих структурних елементів);</w:t>
      </w:r>
    </w:p>
    <w:p w:rsidR="00B233DE" w:rsidRPr="004C34A1" w:rsidRDefault="00B233DE" w:rsidP="00B233DE">
      <w:pPr>
        <w:ind w:firstLine="709"/>
        <w:jc w:val="both"/>
        <w:rPr>
          <w:rFonts w:ascii="Times New Roman" w:hAnsi="Times New Roman" w:cs="Times New Roman"/>
          <w:sz w:val="21"/>
          <w:szCs w:val="21"/>
        </w:rPr>
      </w:pPr>
      <w:r w:rsidRPr="004C34A1">
        <w:rPr>
          <w:rFonts w:ascii="Times New Roman" w:hAnsi="Times New Roman" w:cs="Times New Roman"/>
          <w:sz w:val="21"/>
          <w:szCs w:val="21"/>
        </w:rPr>
        <w:t>5) динамічна природа соціальної сфери зумовлює необхідність аналізу тренду і чинників її попереднього розвитку, планування (поточного і стратегічного) і прогнозування траєкторії руху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_Ref435621249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10</w:t>
      </w:r>
      <w:r>
        <w:rPr>
          <w:rFonts w:ascii="Times New Roman" w:hAnsi="Times New Roman" w:cs="Times New Roman"/>
          <w:sz w:val="21"/>
          <w:szCs w:val="21"/>
          <w:highlight w:val="yellow"/>
        </w:rPr>
        <w:fldChar w:fldCharType="end"/>
      </w:r>
      <w:r w:rsidRPr="004C34A1">
        <w:rPr>
          <w:rFonts w:ascii="Times New Roman" w:hAnsi="Times New Roman" w:cs="Times New Roman"/>
          <w:sz w:val="21"/>
          <w:szCs w:val="21"/>
        </w:rPr>
        <w:t>].</w:t>
      </w:r>
    </w:p>
    <w:p w:rsidR="00B233DE" w:rsidRPr="004C34A1" w:rsidRDefault="00B233DE" w:rsidP="00B233DE">
      <w:pPr>
        <w:ind w:firstLine="709"/>
        <w:jc w:val="both"/>
        <w:rPr>
          <w:rFonts w:ascii="Times New Roman" w:hAnsi="Times New Roman" w:cs="Times New Roman"/>
          <w:sz w:val="21"/>
          <w:szCs w:val="21"/>
        </w:rPr>
      </w:pPr>
      <w:r w:rsidRPr="004C34A1">
        <w:rPr>
          <w:rFonts w:ascii="Times New Roman" w:hAnsi="Times New Roman" w:cs="Times New Roman"/>
          <w:sz w:val="21"/>
          <w:szCs w:val="21"/>
        </w:rPr>
        <w:t xml:space="preserve">Зауважимо, що контролінг охоплює весь процес управління від формування стратегії та розробки планів до аналізу фактичного досягнення поставлених цілей. Тому, для реалізації відповідних </w:t>
      </w:r>
      <w:r w:rsidRPr="004C34A1">
        <w:rPr>
          <w:rFonts w:ascii="Times New Roman" w:hAnsi="Times New Roman" w:cs="Times New Roman"/>
          <w:sz w:val="21"/>
          <w:szCs w:val="21"/>
        </w:rPr>
        <w:lastRenderedPageBreak/>
        <w:t xml:space="preserve">завдань (рис. </w:t>
      </w:r>
      <w:r>
        <w:rPr>
          <w:rFonts w:ascii="Times New Roman" w:hAnsi="Times New Roman" w:cs="Times New Roman"/>
          <w:sz w:val="21"/>
          <w:szCs w:val="21"/>
        </w:rPr>
        <w:t>5.6</w:t>
      </w:r>
      <w:r w:rsidRPr="004C34A1">
        <w:rPr>
          <w:rFonts w:ascii="Times New Roman" w:hAnsi="Times New Roman" w:cs="Times New Roman"/>
          <w:sz w:val="21"/>
          <w:szCs w:val="21"/>
        </w:rPr>
        <w:t>) необхідно використовувати специфічні інструменти та методи, завдяки яким поставлена мета може бути досягнута з максимально позитивним резу</w:t>
      </w:r>
      <w:r>
        <w:rPr>
          <w:rFonts w:ascii="Times New Roman" w:hAnsi="Times New Roman" w:cs="Times New Roman"/>
          <w:sz w:val="21"/>
          <w:szCs w:val="21"/>
        </w:rPr>
        <w:t>льтатом і в найкоротший термін</w:t>
      </w:r>
      <w:r w:rsidRPr="004C34A1">
        <w:rPr>
          <w:rFonts w:ascii="Times New Roman" w:hAnsi="Times New Roman" w:cs="Times New Roman"/>
          <w:sz w:val="21"/>
          <w:szCs w:val="21"/>
        </w:rPr>
        <w:t>.</w:t>
      </w:r>
    </w:p>
    <w:p w:rsidR="00B233DE" w:rsidRPr="004C34A1"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noProof/>
          <w:sz w:val="21"/>
          <w:szCs w:val="21"/>
          <w:lang w:eastAsia="uk-UA"/>
        </w:rPr>
      </w:pPr>
      <w:r w:rsidRPr="004C34A1">
        <w:rPr>
          <w:rFonts w:ascii="Times New Roman" w:hAnsi="Times New Roman" w:cs="Times New Roman"/>
          <w:noProof/>
          <w:sz w:val="21"/>
          <w:szCs w:val="21"/>
          <w:lang w:val="ru-RU" w:eastAsia="ru-RU"/>
        </w:rPr>
        <mc:AlternateContent>
          <mc:Choice Requires="wpg">
            <w:drawing>
              <wp:anchor distT="0" distB="0" distL="114300" distR="114300" simplePos="0" relativeHeight="251701248" behindDoc="0" locked="0" layoutInCell="1" allowOverlap="1" wp14:anchorId="6ED0BB74" wp14:editId="58B441C2">
                <wp:simplePos x="0" y="0"/>
                <wp:positionH relativeFrom="column">
                  <wp:posOffset>118110</wp:posOffset>
                </wp:positionH>
                <wp:positionV relativeFrom="paragraph">
                  <wp:posOffset>10795</wp:posOffset>
                </wp:positionV>
                <wp:extent cx="3784600" cy="2655781"/>
                <wp:effectExtent l="19050" t="38100" r="25400" b="11430"/>
                <wp:wrapNone/>
                <wp:docPr id="1591" name="Group 9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84600" cy="2655781"/>
                          <a:chOff x="3102" y="4201"/>
                          <a:chExt cx="5374" cy="4249"/>
                        </a:xfrm>
                      </wpg:grpSpPr>
                      <wps:wsp>
                        <wps:cNvPr id="1592" name="AutoShape 933"/>
                        <wps:cNvSpPr>
                          <a:spLocks noChangeArrowheads="1"/>
                        </wps:cNvSpPr>
                        <wps:spPr bwMode="auto">
                          <a:xfrm>
                            <a:off x="3963" y="4201"/>
                            <a:ext cx="4052" cy="621"/>
                          </a:xfrm>
                          <a:prstGeom prst="flowChartPunchedTape">
                            <a:avLst/>
                          </a:prstGeom>
                          <a:solidFill>
                            <a:srgbClr val="FFFFFF"/>
                          </a:solidFill>
                          <a:ln w="9525">
                            <a:solidFill>
                              <a:srgbClr val="000000"/>
                            </a:solidFill>
                            <a:miter lim="800000"/>
                            <a:headEnd/>
                            <a:tailEnd/>
                          </a:ln>
                        </wps:spPr>
                        <wps:txbx>
                          <w:txbxContent>
                            <w:p w:rsidR="00BE40F8" w:rsidRPr="004C34A1" w:rsidRDefault="00BE40F8" w:rsidP="00B233DE">
                              <w:pPr>
                                <w:jc w:val="center"/>
                                <w:rPr>
                                  <w:rFonts w:ascii="Times New Roman" w:hAnsi="Times New Roman" w:cs="Times New Roman"/>
                                  <w:sz w:val="18"/>
                                  <w:szCs w:val="18"/>
                                </w:rPr>
                              </w:pPr>
                              <w:r w:rsidRPr="004C34A1">
                                <w:rPr>
                                  <w:rFonts w:ascii="Times New Roman" w:hAnsi="Times New Roman" w:cs="Times New Roman"/>
                                  <w:b/>
                                  <w:sz w:val="18"/>
                                  <w:szCs w:val="18"/>
                                </w:rPr>
                                <w:t>Завдання контролінгу:</w:t>
                              </w:r>
                            </w:p>
                          </w:txbxContent>
                        </wps:txbx>
                        <wps:bodyPr rot="0" vert="horz" wrap="square" lIns="91440" tIns="10800" rIns="91440" bIns="10800" anchor="t" anchorCtr="0" upright="1">
                          <a:noAutofit/>
                        </wps:bodyPr>
                      </wps:wsp>
                      <wpg:grpSp>
                        <wpg:cNvPr id="1593" name="Group 934"/>
                        <wpg:cNvGrpSpPr>
                          <a:grpSpLocks/>
                        </wpg:cNvGrpSpPr>
                        <wpg:grpSpPr bwMode="auto">
                          <a:xfrm>
                            <a:off x="3102" y="4512"/>
                            <a:ext cx="5374" cy="3938"/>
                            <a:chOff x="3102" y="4512"/>
                            <a:chExt cx="5374" cy="3938"/>
                          </a:xfrm>
                        </wpg:grpSpPr>
                        <wps:wsp>
                          <wps:cNvPr id="1594" name="Rectangle 935"/>
                          <wps:cNvSpPr>
                            <a:spLocks noChangeArrowheads="1"/>
                          </wps:cNvSpPr>
                          <wps:spPr bwMode="auto">
                            <a:xfrm>
                              <a:off x="3368" y="8169"/>
                              <a:ext cx="5108" cy="281"/>
                            </a:xfrm>
                            <a:prstGeom prst="rect">
                              <a:avLst/>
                            </a:prstGeom>
                            <a:solidFill>
                              <a:srgbClr val="FFFFFF"/>
                            </a:solidFill>
                            <a:ln w="9525">
                              <a:solidFill>
                                <a:srgbClr val="000000"/>
                              </a:solidFill>
                              <a:miter lim="800000"/>
                              <a:headEnd/>
                              <a:tailEnd/>
                            </a:ln>
                          </wps:spPr>
                          <wps:txbx>
                            <w:txbxContent>
                              <w:p w:rsidR="00BE40F8" w:rsidRPr="004C34A1" w:rsidRDefault="00BE40F8" w:rsidP="00B233DE">
                                <w:pPr>
                                  <w:ind w:firstLine="0"/>
                                  <w:jc w:val="center"/>
                                  <w:rPr>
                                    <w:rFonts w:ascii="Times New Roman" w:hAnsi="Times New Roman" w:cs="Times New Roman"/>
                                    <w:sz w:val="18"/>
                                    <w:szCs w:val="18"/>
                                  </w:rPr>
                                </w:pPr>
                                <w:r w:rsidRPr="004C34A1">
                                  <w:rPr>
                                    <w:rFonts w:ascii="Times New Roman" w:hAnsi="Times New Roman" w:cs="Times New Roman"/>
                                    <w:sz w:val="18"/>
                                    <w:szCs w:val="18"/>
                                  </w:rPr>
                                  <w:t>Виявлення тенденцій розвитку підприємства</w:t>
                                </w:r>
                              </w:p>
                            </w:txbxContent>
                          </wps:txbx>
                          <wps:bodyPr rot="0" vert="horz" wrap="square" lIns="91440" tIns="10800" rIns="91440" bIns="10800" anchor="t" anchorCtr="0" upright="1">
                            <a:noAutofit/>
                          </wps:bodyPr>
                        </wps:wsp>
                        <wps:wsp>
                          <wps:cNvPr id="1595" name="Rectangle 936"/>
                          <wps:cNvSpPr>
                            <a:spLocks noChangeArrowheads="1"/>
                          </wps:cNvSpPr>
                          <wps:spPr bwMode="auto">
                            <a:xfrm>
                              <a:off x="3368" y="4896"/>
                              <a:ext cx="5108" cy="750"/>
                            </a:xfrm>
                            <a:prstGeom prst="rect">
                              <a:avLst/>
                            </a:prstGeom>
                            <a:solidFill>
                              <a:srgbClr val="FFFFFF"/>
                            </a:solidFill>
                            <a:ln w="9525">
                              <a:solidFill>
                                <a:srgbClr val="000000"/>
                              </a:solidFill>
                              <a:miter lim="800000"/>
                              <a:headEnd/>
                              <a:tailEnd/>
                            </a:ln>
                          </wps:spPr>
                          <wps:txbx>
                            <w:txbxContent>
                              <w:p w:rsidR="00BE40F8" w:rsidRPr="004C34A1" w:rsidRDefault="00BE40F8" w:rsidP="00B233DE">
                                <w:pPr>
                                  <w:ind w:firstLine="0"/>
                                  <w:jc w:val="center"/>
                                  <w:rPr>
                                    <w:rFonts w:ascii="Times New Roman" w:hAnsi="Times New Roman" w:cs="Times New Roman"/>
                                    <w:sz w:val="18"/>
                                    <w:szCs w:val="18"/>
                                  </w:rPr>
                                </w:pPr>
                                <w:r w:rsidRPr="004C34A1">
                                  <w:rPr>
                                    <w:rFonts w:ascii="Times New Roman" w:hAnsi="Times New Roman" w:cs="Times New Roman"/>
                                    <w:sz w:val="18"/>
                                    <w:szCs w:val="18"/>
                                  </w:rPr>
                                  <w:t>Забезпечення керівництва та адміністрації інструментами та інформацією, необхідною для проведення процедур планування, контролю та прийняття управлінських рішень</w:t>
                                </w:r>
                              </w:p>
                            </w:txbxContent>
                          </wps:txbx>
                          <wps:bodyPr rot="0" vert="horz" wrap="square" lIns="91440" tIns="10800" rIns="91440" bIns="10800" anchor="t" anchorCtr="0" upright="1">
                            <a:noAutofit/>
                          </wps:bodyPr>
                        </wps:wsp>
                        <wps:wsp>
                          <wps:cNvPr id="1596" name="Rectangle 937"/>
                          <wps:cNvSpPr>
                            <a:spLocks noChangeArrowheads="1"/>
                          </wps:cNvSpPr>
                          <wps:spPr bwMode="auto">
                            <a:xfrm>
                              <a:off x="3368" y="5751"/>
                              <a:ext cx="5108" cy="589"/>
                            </a:xfrm>
                            <a:prstGeom prst="rect">
                              <a:avLst/>
                            </a:prstGeom>
                            <a:solidFill>
                              <a:srgbClr val="FFFFFF"/>
                            </a:solidFill>
                            <a:ln w="9525">
                              <a:solidFill>
                                <a:srgbClr val="000000"/>
                              </a:solidFill>
                              <a:miter lim="800000"/>
                              <a:headEnd/>
                              <a:tailEnd/>
                            </a:ln>
                          </wps:spPr>
                          <wps:txbx>
                            <w:txbxContent>
                              <w:p w:rsidR="00BE40F8" w:rsidRPr="004C34A1" w:rsidRDefault="00BE40F8" w:rsidP="00B233DE">
                                <w:pPr>
                                  <w:ind w:firstLine="0"/>
                                  <w:jc w:val="center"/>
                                  <w:rPr>
                                    <w:rFonts w:ascii="Times New Roman" w:hAnsi="Times New Roman" w:cs="Times New Roman"/>
                                    <w:sz w:val="18"/>
                                    <w:szCs w:val="18"/>
                                  </w:rPr>
                                </w:pPr>
                                <w:r w:rsidRPr="004C34A1">
                                  <w:rPr>
                                    <w:rFonts w:ascii="Times New Roman" w:hAnsi="Times New Roman" w:cs="Times New Roman"/>
                                    <w:sz w:val="18"/>
                                    <w:szCs w:val="18"/>
                                  </w:rPr>
                                  <w:t>Припущення (моделювання) наслідків прийняття різних управлінських рішень</w:t>
                                </w:r>
                              </w:p>
                            </w:txbxContent>
                          </wps:txbx>
                          <wps:bodyPr rot="0" vert="horz" wrap="square" lIns="91440" tIns="10800" rIns="91440" bIns="10800" anchor="t" anchorCtr="0" upright="1">
                            <a:noAutofit/>
                          </wps:bodyPr>
                        </wps:wsp>
                        <wps:wsp>
                          <wps:cNvPr id="1597" name="Rectangle 938"/>
                          <wps:cNvSpPr>
                            <a:spLocks noChangeArrowheads="1"/>
                          </wps:cNvSpPr>
                          <wps:spPr bwMode="auto">
                            <a:xfrm>
                              <a:off x="3368" y="6427"/>
                              <a:ext cx="5108" cy="735"/>
                            </a:xfrm>
                            <a:prstGeom prst="rect">
                              <a:avLst/>
                            </a:prstGeom>
                            <a:solidFill>
                              <a:srgbClr val="FFFFFF"/>
                            </a:solidFill>
                            <a:ln w="9525">
                              <a:solidFill>
                                <a:srgbClr val="000000"/>
                              </a:solidFill>
                              <a:miter lim="800000"/>
                              <a:headEnd/>
                              <a:tailEnd/>
                            </a:ln>
                          </wps:spPr>
                          <wps:txbx>
                            <w:txbxContent>
                              <w:p w:rsidR="00BE40F8" w:rsidRPr="004C34A1" w:rsidRDefault="00BE40F8" w:rsidP="00B233DE">
                                <w:pPr>
                                  <w:ind w:right="-198" w:firstLine="0"/>
                                  <w:jc w:val="center"/>
                                  <w:rPr>
                                    <w:rFonts w:ascii="Times New Roman" w:hAnsi="Times New Roman" w:cs="Times New Roman"/>
                                    <w:sz w:val="18"/>
                                    <w:szCs w:val="18"/>
                                  </w:rPr>
                                </w:pPr>
                                <w:r w:rsidRPr="004C34A1">
                                  <w:rPr>
                                    <w:rFonts w:ascii="Times New Roman" w:hAnsi="Times New Roman" w:cs="Times New Roman"/>
                                    <w:sz w:val="18"/>
                                    <w:szCs w:val="18"/>
                                  </w:rPr>
                                  <w:t>Проведення аналізу відхилень, а особливо передбачення майбутніх потенційних відхилень, аналіз можливих причин їх виникнення та надання допомоги з метою їх вдалого уникнення</w:t>
                                </w:r>
                              </w:p>
                            </w:txbxContent>
                          </wps:txbx>
                          <wps:bodyPr rot="0" vert="horz" wrap="square" lIns="91440" tIns="10800" rIns="91440" bIns="10800" anchor="t" anchorCtr="0" upright="1">
                            <a:noAutofit/>
                          </wps:bodyPr>
                        </wps:wsp>
                        <wps:wsp>
                          <wps:cNvPr id="1598" name="Rectangle 939"/>
                          <wps:cNvSpPr>
                            <a:spLocks noChangeArrowheads="1"/>
                          </wps:cNvSpPr>
                          <wps:spPr bwMode="auto">
                            <a:xfrm>
                              <a:off x="3368" y="7259"/>
                              <a:ext cx="5108" cy="735"/>
                            </a:xfrm>
                            <a:prstGeom prst="rect">
                              <a:avLst/>
                            </a:prstGeom>
                            <a:solidFill>
                              <a:srgbClr val="FFFFFF"/>
                            </a:solidFill>
                            <a:ln w="9525">
                              <a:solidFill>
                                <a:srgbClr val="000000"/>
                              </a:solidFill>
                              <a:miter lim="800000"/>
                              <a:headEnd/>
                              <a:tailEnd/>
                            </a:ln>
                          </wps:spPr>
                          <wps:txbx>
                            <w:txbxContent>
                              <w:p w:rsidR="00BE40F8" w:rsidRPr="004C34A1" w:rsidRDefault="00BE40F8" w:rsidP="00B233DE">
                                <w:pPr>
                                  <w:autoSpaceDE w:val="0"/>
                                  <w:autoSpaceDN w:val="0"/>
                                  <w:adjustRightInd w:val="0"/>
                                  <w:ind w:firstLine="0"/>
                                  <w:jc w:val="center"/>
                                  <w:rPr>
                                    <w:rFonts w:ascii="Times New Roman" w:hAnsi="Times New Roman" w:cs="Times New Roman"/>
                                    <w:sz w:val="18"/>
                                    <w:szCs w:val="18"/>
                                  </w:rPr>
                                </w:pPr>
                                <w:r w:rsidRPr="004C34A1">
                                  <w:rPr>
                                    <w:rFonts w:ascii="Times New Roman" w:hAnsi="Times New Roman" w:cs="Times New Roman"/>
                                    <w:sz w:val="18"/>
                                    <w:szCs w:val="18"/>
                                    <w:lang w:eastAsia="uk-UA"/>
                                  </w:rPr>
                                  <w:t>Забезпечення оптимізації взаємозв’язків і залежностей інформаційних потоків між всіма основними функціями управління</w:t>
                                </w:r>
                              </w:p>
                            </w:txbxContent>
                          </wps:txbx>
                          <wps:bodyPr rot="0" vert="horz" wrap="square" lIns="91440" tIns="10800" rIns="91440" bIns="10800" anchor="ctr" anchorCtr="0" upright="1">
                            <a:noAutofit/>
                          </wps:bodyPr>
                        </wps:wsp>
                        <wps:wsp>
                          <wps:cNvPr id="1599" name="AutoShape 940"/>
                          <wps:cNvCnPr/>
                          <wps:spPr bwMode="auto">
                            <a:xfrm>
                              <a:off x="3102" y="6074"/>
                              <a:ext cx="266"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0" name="AutoShape 941"/>
                          <wps:cNvCnPr/>
                          <wps:spPr bwMode="auto">
                            <a:xfrm>
                              <a:off x="3102" y="6754"/>
                              <a:ext cx="266"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2" name="AutoShape 942"/>
                          <wps:cNvCnPr/>
                          <wps:spPr bwMode="auto">
                            <a:xfrm>
                              <a:off x="3102" y="7614"/>
                              <a:ext cx="266" cy="1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3" name="AutoShape 943"/>
                          <wps:cNvCnPr/>
                          <wps:spPr bwMode="auto">
                            <a:xfrm rot="10800000" flipV="1">
                              <a:off x="3368" y="4512"/>
                              <a:ext cx="595" cy="3798"/>
                            </a:xfrm>
                            <a:prstGeom prst="bentConnector3">
                              <a:avLst>
                                <a:gd name="adj1" fmla="val 145685"/>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934" name="AutoShape 944"/>
                          <wps:cNvCnPr/>
                          <wps:spPr bwMode="auto">
                            <a:xfrm>
                              <a:off x="3102" y="5269"/>
                              <a:ext cx="266" cy="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6ED0BB74" id="Group 932" o:spid="_x0000_s2220" style="position:absolute;left:0;text-align:left;margin-left:9.3pt;margin-top:.85pt;width:298pt;height:209.1pt;z-index:251701248;mso-position-horizontal-relative:text;mso-position-vertical-relative:text" coordorigin="3102,4201" coordsize="5374,42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">
                <v:shape id="AutoShape 933" o:spid="_x0000_s2221" type="#_x0000_t122" style="position:absolute;left:3963;top:4201;width:4052;height:6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">
                  <v:textbox inset=",.3mm,,.3mm">
                    <w:txbxContent>
                      <w:p w:rsidR="00BE40F8" w:rsidRPr="004C34A1" w:rsidRDefault="00BE40F8" w:rsidP="00B233DE">
                        <w:pPr>
                          <w:jc w:val="center"/>
                          <w:rPr>
                            <w:rFonts w:ascii="Times New Roman" w:hAnsi="Times New Roman" w:cs="Times New Roman"/>
                            <w:sz w:val="18"/>
                            <w:szCs w:val="18"/>
                          </w:rPr>
                        </w:pPr>
                        <w:r w:rsidRPr="004C34A1">
                          <w:rPr>
                            <w:rFonts w:ascii="Times New Roman" w:hAnsi="Times New Roman" w:cs="Times New Roman"/>
                            <w:b/>
                            <w:sz w:val="18"/>
                            <w:szCs w:val="18"/>
                          </w:rPr>
                          <w:t>Завдання контролінгу:</w:t>
                        </w:r>
                      </w:p>
                    </w:txbxContent>
                  </v:textbox>
                </v:shape>
                <v:group id="Group 934" o:spid="_x0000_s2222" style="position:absolute;left:3102;top:4512;width:5374;height:3938" coordorigin="3102,4512" coordsize="5374,39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">
                  <v:rect id="Rectangle 935" o:spid="_x0000_s2223" style="position:absolute;left:3368;top:8169;width:5108;height:2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">
                    <v:textbox inset=",.3mm,,.3mm">
                      <w:txbxContent>
                        <w:p w:rsidR="00BE40F8" w:rsidRPr="004C34A1" w:rsidRDefault="00BE40F8" w:rsidP="00B233DE">
                          <w:pPr>
                            <w:ind w:firstLine="0"/>
                            <w:jc w:val="center"/>
                            <w:rPr>
                              <w:rFonts w:ascii="Times New Roman" w:hAnsi="Times New Roman" w:cs="Times New Roman"/>
                              <w:sz w:val="18"/>
                              <w:szCs w:val="18"/>
                            </w:rPr>
                          </w:pPr>
                          <w:r w:rsidRPr="004C34A1">
                            <w:rPr>
                              <w:rFonts w:ascii="Times New Roman" w:hAnsi="Times New Roman" w:cs="Times New Roman"/>
                              <w:sz w:val="18"/>
                              <w:szCs w:val="18"/>
                            </w:rPr>
                            <w:t>Виявлення тенденцій розвитку підприємства</w:t>
                          </w:r>
                        </w:p>
                      </w:txbxContent>
                    </v:textbox>
                  </v:rect>
                  <v:rect id="Rectangle 936" o:spid="_x0000_s2224" style="position:absolute;left:3368;top:4896;width:5108;height: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">
                    <v:textbox inset=",.3mm,,.3mm">
                      <w:txbxContent>
                        <w:p w:rsidR="00BE40F8" w:rsidRPr="004C34A1" w:rsidRDefault="00BE40F8" w:rsidP="00B233DE">
                          <w:pPr>
                            <w:ind w:firstLine="0"/>
                            <w:jc w:val="center"/>
                            <w:rPr>
                              <w:rFonts w:ascii="Times New Roman" w:hAnsi="Times New Roman" w:cs="Times New Roman"/>
                              <w:sz w:val="18"/>
                              <w:szCs w:val="18"/>
                            </w:rPr>
                          </w:pPr>
                          <w:r w:rsidRPr="004C34A1">
                            <w:rPr>
                              <w:rFonts w:ascii="Times New Roman" w:hAnsi="Times New Roman" w:cs="Times New Roman"/>
                              <w:sz w:val="18"/>
                              <w:szCs w:val="18"/>
                            </w:rPr>
                            <w:t>Забезпечення керівництва та адміністрації інструментами та інформацією, необхідною для проведення процедур планування, контролю та прийняття управлінських рішень</w:t>
                          </w:r>
                        </w:p>
                      </w:txbxContent>
                    </v:textbox>
                  </v:rect>
                  <v:rect id="Rectangle 937" o:spid="_x0000_s2225" style="position:absolute;left:3368;top:5751;width:5108;height:5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">
                    <v:textbox inset=",.3mm,,.3mm">
                      <w:txbxContent>
                        <w:p w:rsidR="00BE40F8" w:rsidRPr="004C34A1" w:rsidRDefault="00BE40F8" w:rsidP="00B233DE">
                          <w:pPr>
                            <w:ind w:firstLine="0"/>
                            <w:jc w:val="center"/>
                            <w:rPr>
                              <w:rFonts w:ascii="Times New Roman" w:hAnsi="Times New Roman" w:cs="Times New Roman"/>
                              <w:sz w:val="18"/>
                              <w:szCs w:val="18"/>
                            </w:rPr>
                          </w:pPr>
                          <w:r w:rsidRPr="004C34A1">
                            <w:rPr>
                              <w:rFonts w:ascii="Times New Roman" w:hAnsi="Times New Roman" w:cs="Times New Roman"/>
                              <w:sz w:val="18"/>
                              <w:szCs w:val="18"/>
                            </w:rPr>
                            <w:t>Припущення (моделювання) наслідків прийняття різних управлінських рішень</w:t>
                          </w:r>
                        </w:p>
                      </w:txbxContent>
                    </v:textbox>
                  </v:rect>
                  <v:rect id="Rectangle 938" o:spid="_x0000_s2226" style="position:absolute;left:3368;top:6427;width:5108;height:7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">
                    <v:textbox inset=",.3mm,,.3mm">
                      <w:txbxContent>
                        <w:p w:rsidR="00BE40F8" w:rsidRPr="004C34A1" w:rsidRDefault="00BE40F8" w:rsidP="00B233DE">
                          <w:pPr>
                            <w:ind w:right="-198" w:firstLine="0"/>
                            <w:jc w:val="center"/>
                            <w:rPr>
                              <w:rFonts w:ascii="Times New Roman" w:hAnsi="Times New Roman" w:cs="Times New Roman"/>
                              <w:sz w:val="18"/>
                              <w:szCs w:val="18"/>
                            </w:rPr>
                          </w:pPr>
                          <w:r w:rsidRPr="004C34A1">
                            <w:rPr>
                              <w:rFonts w:ascii="Times New Roman" w:hAnsi="Times New Roman" w:cs="Times New Roman"/>
                              <w:sz w:val="18"/>
                              <w:szCs w:val="18"/>
                            </w:rPr>
                            <w:t>Проведення аналізу відхилень, а особливо передбачення майбутніх потенційних відхилень, аналіз можливих причин їх виникнення та надання допомоги з метою їх вдалого уникнення</w:t>
                          </w:r>
                        </w:p>
                      </w:txbxContent>
                    </v:textbox>
                  </v:rect>
                  <v:rect id="Rectangle 939" o:spid="_x0000_s2227" style="position:absolute;left:3368;top:7259;width:5108;height:7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">
                    <v:textbox inset=",.3mm,,.3mm">
                      <w:txbxContent>
                        <w:p w:rsidR="00BE40F8" w:rsidRPr="004C34A1" w:rsidRDefault="00BE40F8" w:rsidP="00B233DE">
                          <w:pPr>
                            <w:autoSpaceDE w:val="0"/>
                            <w:autoSpaceDN w:val="0"/>
                            <w:adjustRightInd w:val="0"/>
                            <w:ind w:firstLine="0"/>
                            <w:jc w:val="center"/>
                            <w:rPr>
                              <w:rFonts w:ascii="Times New Roman" w:hAnsi="Times New Roman" w:cs="Times New Roman"/>
                              <w:sz w:val="18"/>
                              <w:szCs w:val="18"/>
                            </w:rPr>
                          </w:pPr>
                          <w:r w:rsidRPr="004C34A1">
                            <w:rPr>
                              <w:rFonts w:ascii="Times New Roman" w:hAnsi="Times New Roman" w:cs="Times New Roman"/>
                              <w:sz w:val="18"/>
                              <w:szCs w:val="18"/>
                              <w:lang w:eastAsia="uk-UA"/>
                            </w:rPr>
                            <w:t>Забезпечення оптимізації взаємозв’язків і залежностей інформаційних потоків між всіма основними функціями управління</w:t>
                          </w:r>
                        </w:p>
                      </w:txbxContent>
                    </v:textbox>
                  </v:rect>
                  <v:shape id="AutoShape 940" o:spid="_x0000_s2228" type="#_x0000_t32" style="position:absolute;left:3102;top:6074;width:266;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"/>
                  <v:shape id="AutoShape 941" o:spid="_x0000_s2229" type="#_x0000_t32" style="position:absolute;left:3102;top:6754;width:266;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"/>
                  <v:shape id="AutoShape 942" o:spid="_x0000_s2230" type="#_x0000_t32" style="position:absolute;left:3102;top:7614;width:266;height: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"/>
                  <v:shape id="AutoShape 943" o:spid="_x0000_s2231" type="#_x0000_t34" style="position:absolute;left:3368;top:4512;width:595;height:3798;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" adj="31468"/>
                  <v:shape id="AutoShape 944" o:spid="_x0000_s2232" type="#_x0000_t32" style="position:absolute;left:3102;top:5269;width:266;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"/>
                </v:group>
              </v:group>
            </w:pict>
          </mc:Fallback>
        </mc:AlternateContent>
      </w:r>
    </w:p>
    <w:p w:rsidR="00B233DE" w:rsidRDefault="00B233DE" w:rsidP="00B233DE">
      <w:pPr>
        <w:ind w:firstLine="709"/>
        <w:jc w:val="both"/>
        <w:rPr>
          <w:rFonts w:ascii="Times New Roman" w:hAnsi="Times New Roman" w:cs="Times New Roman"/>
          <w:noProof/>
          <w:sz w:val="21"/>
          <w:szCs w:val="21"/>
          <w:lang w:eastAsia="uk-UA"/>
        </w:rPr>
      </w:pPr>
    </w:p>
    <w:p w:rsidR="00B233DE" w:rsidRDefault="00B233DE" w:rsidP="00B233DE">
      <w:pPr>
        <w:ind w:firstLine="709"/>
        <w:jc w:val="both"/>
        <w:rPr>
          <w:rFonts w:ascii="Times New Roman" w:hAnsi="Times New Roman" w:cs="Times New Roman"/>
          <w:noProof/>
          <w:sz w:val="21"/>
          <w:szCs w:val="21"/>
          <w:lang w:eastAsia="uk-UA"/>
        </w:rPr>
      </w:pPr>
    </w:p>
    <w:p w:rsidR="00B233DE" w:rsidRDefault="00B233DE" w:rsidP="00B233DE">
      <w:pPr>
        <w:ind w:firstLine="709"/>
        <w:jc w:val="both"/>
        <w:rPr>
          <w:rFonts w:ascii="Times New Roman" w:hAnsi="Times New Roman" w:cs="Times New Roman"/>
          <w:noProof/>
          <w:sz w:val="21"/>
          <w:szCs w:val="21"/>
          <w:lang w:eastAsia="uk-UA"/>
        </w:rPr>
      </w:pPr>
    </w:p>
    <w:p w:rsidR="00B233DE" w:rsidRDefault="00B233DE" w:rsidP="00B233DE">
      <w:pPr>
        <w:ind w:firstLine="709"/>
        <w:jc w:val="both"/>
        <w:rPr>
          <w:rFonts w:ascii="Times New Roman" w:hAnsi="Times New Roman" w:cs="Times New Roman"/>
          <w:noProof/>
          <w:sz w:val="21"/>
          <w:szCs w:val="21"/>
          <w:lang w:eastAsia="uk-UA"/>
        </w:rPr>
      </w:pPr>
    </w:p>
    <w:p w:rsidR="00B233DE" w:rsidRDefault="00B233DE" w:rsidP="00B233DE">
      <w:pPr>
        <w:ind w:firstLine="709"/>
        <w:jc w:val="both"/>
        <w:rPr>
          <w:rFonts w:ascii="Times New Roman" w:hAnsi="Times New Roman" w:cs="Times New Roman"/>
          <w:noProof/>
          <w:sz w:val="21"/>
          <w:szCs w:val="21"/>
          <w:lang w:eastAsia="uk-UA"/>
        </w:rPr>
      </w:pPr>
    </w:p>
    <w:p w:rsidR="00B233DE" w:rsidRDefault="00B233DE" w:rsidP="00B233DE">
      <w:pPr>
        <w:ind w:firstLine="709"/>
        <w:jc w:val="both"/>
        <w:rPr>
          <w:rFonts w:ascii="Times New Roman" w:hAnsi="Times New Roman" w:cs="Times New Roman"/>
          <w:noProof/>
          <w:sz w:val="21"/>
          <w:szCs w:val="21"/>
          <w:lang w:eastAsia="uk-UA"/>
        </w:rPr>
      </w:pPr>
    </w:p>
    <w:p w:rsidR="00B233DE" w:rsidRDefault="00B233DE" w:rsidP="00B233DE">
      <w:pPr>
        <w:ind w:firstLine="709"/>
        <w:jc w:val="both"/>
        <w:rPr>
          <w:rFonts w:ascii="Times New Roman" w:hAnsi="Times New Roman" w:cs="Times New Roman"/>
          <w:noProof/>
          <w:sz w:val="21"/>
          <w:szCs w:val="21"/>
          <w:lang w:eastAsia="uk-UA"/>
        </w:rPr>
      </w:pPr>
    </w:p>
    <w:p w:rsidR="00B233DE" w:rsidRDefault="00B233DE" w:rsidP="00B233DE">
      <w:pPr>
        <w:ind w:firstLine="709"/>
        <w:jc w:val="both"/>
        <w:rPr>
          <w:rFonts w:ascii="Times New Roman" w:hAnsi="Times New Roman" w:cs="Times New Roman"/>
          <w:noProof/>
          <w:sz w:val="21"/>
          <w:szCs w:val="21"/>
          <w:lang w:eastAsia="uk-UA"/>
        </w:rPr>
      </w:pPr>
    </w:p>
    <w:p w:rsidR="00B233DE" w:rsidRDefault="00B233DE" w:rsidP="00B233DE">
      <w:pPr>
        <w:ind w:firstLine="709"/>
        <w:jc w:val="both"/>
        <w:rPr>
          <w:rFonts w:ascii="Times New Roman" w:hAnsi="Times New Roman" w:cs="Times New Roman"/>
          <w:noProof/>
          <w:sz w:val="21"/>
          <w:szCs w:val="21"/>
          <w:lang w:eastAsia="uk-UA"/>
        </w:rPr>
      </w:pPr>
    </w:p>
    <w:p w:rsidR="00B233DE" w:rsidRDefault="00B233DE" w:rsidP="00B233DE">
      <w:pPr>
        <w:ind w:firstLine="709"/>
        <w:jc w:val="both"/>
        <w:rPr>
          <w:rFonts w:ascii="Times New Roman" w:hAnsi="Times New Roman" w:cs="Times New Roman"/>
          <w:noProof/>
          <w:sz w:val="21"/>
          <w:szCs w:val="21"/>
          <w:lang w:eastAsia="uk-UA"/>
        </w:rPr>
      </w:pPr>
    </w:p>
    <w:p w:rsidR="00B233DE" w:rsidRDefault="00B233DE" w:rsidP="00B233DE">
      <w:pPr>
        <w:ind w:firstLine="709"/>
        <w:jc w:val="both"/>
        <w:rPr>
          <w:rFonts w:ascii="Times New Roman" w:hAnsi="Times New Roman" w:cs="Times New Roman"/>
          <w:noProof/>
          <w:sz w:val="21"/>
          <w:szCs w:val="21"/>
          <w:lang w:eastAsia="uk-UA"/>
        </w:rPr>
      </w:pPr>
    </w:p>
    <w:p w:rsidR="00B233DE" w:rsidRDefault="00B233DE" w:rsidP="00B233DE">
      <w:pPr>
        <w:ind w:firstLine="709"/>
        <w:jc w:val="both"/>
        <w:rPr>
          <w:rFonts w:ascii="Times New Roman" w:hAnsi="Times New Roman" w:cs="Times New Roman"/>
          <w:noProof/>
          <w:sz w:val="21"/>
          <w:szCs w:val="21"/>
          <w:lang w:eastAsia="uk-UA"/>
        </w:rPr>
      </w:pPr>
    </w:p>
    <w:p w:rsidR="00B233DE" w:rsidRDefault="00B233DE" w:rsidP="00B233DE">
      <w:pPr>
        <w:ind w:firstLine="709"/>
        <w:jc w:val="both"/>
        <w:rPr>
          <w:rFonts w:ascii="Times New Roman" w:hAnsi="Times New Roman" w:cs="Times New Roman"/>
          <w:noProof/>
          <w:sz w:val="21"/>
          <w:szCs w:val="21"/>
          <w:lang w:eastAsia="uk-UA"/>
        </w:rPr>
      </w:pPr>
    </w:p>
    <w:p w:rsidR="00B233DE" w:rsidRDefault="00B233DE" w:rsidP="00B233DE">
      <w:pPr>
        <w:ind w:firstLine="709"/>
        <w:jc w:val="both"/>
        <w:rPr>
          <w:rFonts w:ascii="Times New Roman" w:hAnsi="Times New Roman" w:cs="Times New Roman"/>
          <w:noProof/>
          <w:sz w:val="21"/>
          <w:szCs w:val="21"/>
          <w:lang w:eastAsia="uk-UA"/>
        </w:rPr>
      </w:pPr>
    </w:p>
    <w:p w:rsidR="00B233DE" w:rsidRDefault="00B233DE" w:rsidP="00B233DE">
      <w:pPr>
        <w:ind w:firstLine="709"/>
        <w:jc w:val="both"/>
        <w:rPr>
          <w:rFonts w:ascii="Times New Roman" w:hAnsi="Times New Roman" w:cs="Times New Roman"/>
          <w:noProof/>
          <w:sz w:val="21"/>
          <w:szCs w:val="21"/>
          <w:lang w:eastAsia="uk-UA"/>
        </w:rPr>
      </w:pPr>
    </w:p>
    <w:p w:rsidR="00B233DE" w:rsidRDefault="00B233DE" w:rsidP="00B233DE">
      <w:pPr>
        <w:ind w:firstLine="709"/>
        <w:jc w:val="both"/>
        <w:rPr>
          <w:rFonts w:ascii="Times New Roman" w:hAnsi="Times New Roman" w:cs="Times New Roman"/>
          <w:noProof/>
          <w:sz w:val="21"/>
          <w:szCs w:val="21"/>
          <w:lang w:eastAsia="uk-UA"/>
        </w:rPr>
      </w:pPr>
    </w:p>
    <w:p w:rsidR="00B233DE" w:rsidRPr="004C34A1" w:rsidRDefault="00B233DE" w:rsidP="00B233DE">
      <w:pPr>
        <w:ind w:firstLine="709"/>
        <w:jc w:val="both"/>
        <w:rPr>
          <w:rFonts w:ascii="Times New Roman" w:hAnsi="Times New Roman" w:cs="Times New Roman"/>
          <w:sz w:val="21"/>
          <w:szCs w:val="21"/>
        </w:rPr>
      </w:pPr>
    </w:p>
    <w:p w:rsidR="00B233DE" w:rsidRPr="004C34A1" w:rsidRDefault="00B233DE" w:rsidP="00B233DE">
      <w:pPr>
        <w:ind w:firstLine="709"/>
        <w:jc w:val="center"/>
        <w:rPr>
          <w:rFonts w:ascii="Times New Roman" w:hAnsi="Times New Roman" w:cs="Times New Roman"/>
          <w:b/>
          <w:sz w:val="21"/>
          <w:szCs w:val="21"/>
        </w:rPr>
      </w:pPr>
      <w:r w:rsidRPr="004C34A1">
        <w:rPr>
          <w:rFonts w:ascii="Times New Roman" w:hAnsi="Times New Roman" w:cs="Times New Roman"/>
          <w:b/>
          <w:sz w:val="21"/>
          <w:szCs w:val="21"/>
        </w:rPr>
        <w:t>Рис. 5.6. Завдання контролінгу</w:t>
      </w:r>
    </w:p>
    <w:p w:rsidR="00B233DE" w:rsidRPr="004C34A1" w:rsidRDefault="00B233DE" w:rsidP="00B233DE">
      <w:pPr>
        <w:ind w:firstLine="709"/>
        <w:jc w:val="both"/>
        <w:rPr>
          <w:rFonts w:ascii="Times New Roman" w:hAnsi="Times New Roman" w:cs="Times New Roman"/>
          <w:sz w:val="21"/>
          <w:szCs w:val="21"/>
        </w:rPr>
      </w:pPr>
    </w:p>
    <w:p w:rsidR="00B233DE" w:rsidRPr="004C34A1" w:rsidRDefault="00B233DE" w:rsidP="00B233DE">
      <w:pPr>
        <w:ind w:firstLine="709"/>
        <w:jc w:val="both"/>
        <w:rPr>
          <w:rFonts w:ascii="Times New Roman" w:hAnsi="Times New Roman" w:cs="Times New Roman"/>
          <w:sz w:val="21"/>
          <w:szCs w:val="21"/>
        </w:rPr>
      </w:pPr>
      <w:r w:rsidRPr="004C34A1">
        <w:rPr>
          <w:rFonts w:ascii="Times New Roman" w:hAnsi="Times New Roman" w:cs="Times New Roman"/>
          <w:sz w:val="21"/>
          <w:szCs w:val="21"/>
        </w:rPr>
        <w:t>Розробка та реалізація державних соціальних програм має спиратися на системний аналіз, що забезпечує прийняття науково обгрунтованих управлінських рішень. Одним з методів такого аналізу є контролінг. При цьому він як підсистема державного управління має відповідати визначеному комплексу методологічних вимог.</w:t>
      </w:r>
    </w:p>
    <w:p w:rsidR="00B233DE" w:rsidRDefault="00B233DE" w:rsidP="00B233DE">
      <w:pPr>
        <w:widowControl w:val="0"/>
        <w:spacing w:line="233" w:lineRule="auto"/>
        <w:ind w:firstLine="709"/>
        <w:contextualSpacing/>
        <w:jc w:val="center"/>
        <w:rPr>
          <w:rFonts w:ascii="UkrainianPeterburg" w:hAnsi="UkrainianPeterburg"/>
          <w:b/>
          <w:sz w:val="21"/>
          <w:szCs w:val="21"/>
        </w:rPr>
      </w:pPr>
    </w:p>
    <w:p w:rsidR="00B233DE" w:rsidRDefault="00B233DE" w:rsidP="00B233DE">
      <w:pPr>
        <w:widowControl w:val="0"/>
        <w:spacing w:line="233" w:lineRule="auto"/>
        <w:ind w:firstLine="709"/>
        <w:contextualSpacing/>
        <w:jc w:val="center"/>
        <w:rPr>
          <w:rFonts w:ascii="UkrainianPeterburg" w:hAnsi="UkrainianPeterburg"/>
          <w:b/>
          <w:sz w:val="21"/>
          <w:szCs w:val="21"/>
        </w:rPr>
      </w:pPr>
    </w:p>
    <w:p w:rsidR="00B233DE" w:rsidRDefault="00B233DE" w:rsidP="00B233DE">
      <w:pPr>
        <w:widowControl w:val="0"/>
        <w:spacing w:line="233" w:lineRule="auto"/>
        <w:ind w:firstLine="709"/>
        <w:contextualSpacing/>
        <w:jc w:val="center"/>
        <w:rPr>
          <w:rFonts w:ascii="UkrainianPeterburg" w:hAnsi="UkrainianPeterburg"/>
          <w:b/>
          <w:sz w:val="21"/>
          <w:szCs w:val="21"/>
        </w:rPr>
      </w:pPr>
      <w:r w:rsidRPr="00EA63EC">
        <w:rPr>
          <w:rFonts w:ascii="UkrainianPeterburg" w:hAnsi="UkrainianPeterburg"/>
          <w:b/>
          <w:sz w:val="21"/>
          <w:szCs w:val="21"/>
        </w:rPr>
        <w:t>Список використаних джерел</w:t>
      </w:r>
    </w:p>
    <w:p w:rsidR="00B233DE" w:rsidRDefault="00B233DE" w:rsidP="00B233DE">
      <w:pPr>
        <w:ind w:firstLine="709"/>
        <w:jc w:val="both"/>
        <w:rPr>
          <w:rFonts w:ascii="Times New Roman" w:hAnsi="Times New Roman" w:cs="Times New Roman"/>
          <w:sz w:val="21"/>
          <w:szCs w:val="21"/>
        </w:rPr>
      </w:pPr>
    </w:p>
    <w:p w:rsidR="00B233DE" w:rsidRDefault="00B233DE" w:rsidP="00B233DE">
      <w:pPr>
        <w:ind w:firstLine="709"/>
        <w:jc w:val="both"/>
        <w:rPr>
          <w:rFonts w:ascii="Times New Roman" w:hAnsi="Times New Roman" w:cs="Times New Roman"/>
          <w:sz w:val="21"/>
          <w:szCs w:val="21"/>
        </w:rPr>
      </w:pPr>
    </w:p>
    <w:p w:rsidR="00B233DE" w:rsidRPr="00954FE8"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64" w:name="_Ref435620492"/>
      <w:r w:rsidRPr="00954FE8">
        <w:rPr>
          <w:rFonts w:ascii="Times New Roman" w:hAnsi="Times New Roman" w:cs="Times New Roman"/>
          <w:sz w:val="21"/>
          <w:szCs w:val="21"/>
        </w:rPr>
        <w:t xml:space="preserve">Авер’янов В. Б. Державне управління : європейські стандарти, досвід та адміністративне право / [В. Авер’янов, </w:t>
      </w:r>
      <w:r w:rsidRPr="00954FE8">
        <w:rPr>
          <w:rFonts w:ascii="Times New Roman" w:hAnsi="Times New Roman" w:cs="Times New Roman"/>
          <w:sz w:val="21"/>
          <w:szCs w:val="21"/>
        </w:rPr>
        <w:lastRenderedPageBreak/>
        <w:t>В. Дерець, А. Школик та ін.] ; за заг. ред. Авер’янова В. Б. – К. : Юстініан, 2007. – 288 с.</w:t>
      </w:r>
      <w:bookmarkEnd w:id="364"/>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65" w:name="_Ref435619584"/>
      <w:r w:rsidRPr="006E771B">
        <w:rPr>
          <w:rFonts w:ascii="Times New Roman" w:hAnsi="Times New Roman" w:cs="Times New Roman"/>
          <w:sz w:val="21"/>
          <w:szCs w:val="21"/>
        </w:rPr>
        <w:t>Апарина Н.</w:t>
      </w:r>
      <w:r>
        <w:rPr>
          <w:rFonts w:ascii="Times New Roman" w:hAnsi="Times New Roman" w:cs="Times New Roman"/>
          <w:sz w:val="21"/>
          <w:szCs w:val="21"/>
        </w:rPr>
        <w:t xml:space="preserve"> </w:t>
      </w:r>
      <w:r w:rsidRPr="006E771B">
        <w:rPr>
          <w:rFonts w:ascii="Times New Roman" w:hAnsi="Times New Roman" w:cs="Times New Roman"/>
          <w:sz w:val="21"/>
          <w:szCs w:val="21"/>
        </w:rPr>
        <w:t>Ф. Межфирменные сети</w:t>
      </w:r>
      <w:r>
        <w:rPr>
          <w:rFonts w:ascii="Times New Roman" w:hAnsi="Times New Roman" w:cs="Times New Roman"/>
          <w:sz w:val="21"/>
          <w:szCs w:val="21"/>
        </w:rPr>
        <w:t xml:space="preserve"> </w:t>
      </w:r>
      <w:r w:rsidRPr="006E771B">
        <w:rPr>
          <w:rFonts w:ascii="Times New Roman" w:hAnsi="Times New Roman" w:cs="Times New Roman"/>
          <w:sz w:val="21"/>
          <w:szCs w:val="21"/>
        </w:rPr>
        <w:t>: проблема отношенческих контрактов [</w:t>
      </w:r>
      <w:r>
        <w:rPr>
          <w:rFonts w:ascii="Times New Roman" w:hAnsi="Times New Roman" w:cs="Times New Roman"/>
          <w:sz w:val="21"/>
          <w:szCs w:val="21"/>
        </w:rPr>
        <w:t>Е</w:t>
      </w:r>
      <w:r w:rsidRPr="006E771B">
        <w:rPr>
          <w:rFonts w:ascii="Times New Roman" w:hAnsi="Times New Roman" w:cs="Times New Roman"/>
          <w:sz w:val="21"/>
          <w:szCs w:val="21"/>
        </w:rPr>
        <w:t>лектронн</w:t>
      </w:r>
      <w:r>
        <w:rPr>
          <w:rFonts w:ascii="Times New Roman" w:hAnsi="Times New Roman" w:cs="Times New Roman"/>
          <w:sz w:val="21"/>
          <w:szCs w:val="21"/>
        </w:rPr>
        <w:t>и</w:t>
      </w:r>
      <w:r w:rsidRPr="006E771B">
        <w:rPr>
          <w:rFonts w:ascii="Times New Roman" w:hAnsi="Times New Roman" w:cs="Times New Roman"/>
          <w:sz w:val="21"/>
          <w:szCs w:val="21"/>
        </w:rPr>
        <w:t xml:space="preserve">й ресурс] / </w:t>
      </w:r>
      <w:r>
        <w:rPr>
          <w:rFonts w:ascii="Times New Roman" w:hAnsi="Times New Roman" w:cs="Times New Roman"/>
          <w:sz w:val="21"/>
          <w:szCs w:val="21"/>
        </w:rPr>
        <w:t>Н. Ф. Апарина</w:t>
      </w:r>
      <w:r w:rsidRPr="006E771B">
        <w:rPr>
          <w:rFonts w:ascii="Times New Roman" w:hAnsi="Times New Roman" w:cs="Times New Roman"/>
          <w:sz w:val="21"/>
          <w:szCs w:val="21"/>
        </w:rPr>
        <w:t xml:space="preserve">. </w:t>
      </w:r>
      <w:r>
        <w:rPr>
          <w:rFonts w:ascii="Times New Roman" w:hAnsi="Times New Roman" w:cs="Times New Roman"/>
          <w:sz w:val="21"/>
          <w:szCs w:val="21"/>
        </w:rPr>
        <w:t xml:space="preserve">– Режим доступу </w:t>
      </w:r>
      <w:r w:rsidRPr="002D2FA4">
        <w:rPr>
          <w:rFonts w:ascii="Times New Roman" w:hAnsi="Times New Roman" w:cs="Times New Roman"/>
          <w:sz w:val="21"/>
          <w:szCs w:val="21"/>
        </w:rPr>
        <w:t xml:space="preserve">: </w:t>
      </w:r>
      <w:hyperlink r:id="rId120" w:history="1">
        <w:r w:rsidRPr="002D2FA4">
          <w:rPr>
            <w:rStyle w:val="aff"/>
            <w:rFonts w:ascii="Times New Roman" w:hAnsi="Times New Roman" w:cs="Times New Roman"/>
            <w:color w:val="auto"/>
            <w:sz w:val="21"/>
            <w:szCs w:val="21"/>
            <w:u w:val="none"/>
            <w:lang w:val="en-US"/>
          </w:rPr>
          <w:t>http</w:t>
        </w:r>
        <w:r w:rsidRPr="002D2FA4">
          <w:rPr>
            <w:rStyle w:val="aff"/>
            <w:rFonts w:ascii="Times New Roman" w:hAnsi="Times New Roman" w:cs="Times New Roman"/>
            <w:color w:val="auto"/>
            <w:sz w:val="21"/>
            <w:szCs w:val="21"/>
            <w:u w:val="none"/>
          </w:rPr>
          <w:t>://</w:t>
        </w:r>
        <w:r w:rsidRPr="002D2FA4">
          <w:rPr>
            <w:rStyle w:val="aff"/>
            <w:rFonts w:ascii="Times New Roman" w:hAnsi="Times New Roman" w:cs="Times New Roman"/>
            <w:color w:val="auto"/>
            <w:sz w:val="21"/>
            <w:szCs w:val="21"/>
            <w:u w:val="none"/>
            <w:lang w:val="en-US"/>
          </w:rPr>
          <w:t>www</w:t>
        </w:r>
        <w:r w:rsidRPr="002D2FA4">
          <w:rPr>
            <w:rStyle w:val="aff"/>
            <w:rFonts w:ascii="Times New Roman" w:hAnsi="Times New Roman" w:cs="Times New Roman"/>
            <w:color w:val="auto"/>
            <w:sz w:val="21"/>
            <w:szCs w:val="21"/>
            <w:u w:val="none"/>
          </w:rPr>
          <w:t>.</w:t>
        </w:r>
        <w:r w:rsidRPr="002D2FA4">
          <w:rPr>
            <w:rStyle w:val="aff"/>
            <w:rFonts w:ascii="Times New Roman" w:hAnsi="Times New Roman" w:cs="Times New Roman"/>
            <w:color w:val="auto"/>
            <w:sz w:val="21"/>
            <w:szCs w:val="21"/>
            <w:u w:val="none"/>
            <w:lang w:val="en-US"/>
          </w:rPr>
          <w:t>ecsocman</w:t>
        </w:r>
        <w:r w:rsidRPr="002D2FA4">
          <w:rPr>
            <w:rStyle w:val="aff"/>
            <w:rFonts w:ascii="Times New Roman" w:hAnsi="Times New Roman" w:cs="Times New Roman"/>
            <w:color w:val="auto"/>
            <w:sz w:val="21"/>
            <w:szCs w:val="21"/>
            <w:u w:val="none"/>
          </w:rPr>
          <w:t>.</w:t>
        </w:r>
        <w:r w:rsidRPr="002D2FA4">
          <w:rPr>
            <w:rStyle w:val="aff"/>
            <w:rFonts w:ascii="Times New Roman" w:hAnsi="Times New Roman" w:cs="Times New Roman"/>
            <w:color w:val="auto"/>
            <w:sz w:val="21"/>
            <w:szCs w:val="21"/>
            <w:u w:val="none"/>
            <w:lang w:val="en-US"/>
          </w:rPr>
          <w:t>edu</w:t>
        </w:r>
        <w:r w:rsidRPr="002D2FA4">
          <w:rPr>
            <w:rStyle w:val="aff"/>
            <w:rFonts w:ascii="Times New Roman" w:hAnsi="Times New Roman" w:cs="Times New Roman"/>
            <w:color w:val="auto"/>
            <w:sz w:val="21"/>
            <w:szCs w:val="21"/>
            <w:u w:val="none"/>
          </w:rPr>
          <w:t>.</w:t>
        </w:r>
        <w:r w:rsidRPr="002D2FA4">
          <w:rPr>
            <w:rStyle w:val="aff"/>
            <w:rFonts w:ascii="Times New Roman" w:hAnsi="Times New Roman" w:cs="Times New Roman"/>
            <w:color w:val="auto"/>
            <w:sz w:val="21"/>
            <w:szCs w:val="21"/>
            <w:u w:val="none"/>
            <w:lang w:val="en-US"/>
          </w:rPr>
          <w:t>ru</w:t>
        </w:r>
        <w:r w:rsidRPr="002D2FA4">
          <w:rPr>
            <w:rStyle w:val="aff"/>
            <w:rFonts w:ascii="Times New Roman" w:hAnsi="Times New Roman" w:cs="Times New Roman"/>
            <w:color w:val="auto"/>
            <w:sz w:val="21"/>
            <w:szCs w:val="21"/>
            <w:u w:val="none"/>
          </w:rPr>
          <w:t>/</w:t>
        </w:r>
        <w:r w:rsidRPr="002D2FA4">
          <w:rPr>
            <w:rStyle w:val="aff"/>
            <w:rFonts w:ascii="Times New Roman" w:hAnsi="Times New Roman" w:cs="Times New Roman"/>
            <w:color w:val="auto"/>
            <w:sz w:val="21"/>
            <w:szCs w:val="21"/>
            <w:u w:val="none"/>
            <w:lang w:val="en-US"/>
          </w:rPr>
          <w:t>db</w:t>
        </w:r>
        <w:r w:rsidRPr="002D2FA4">
          <w:rPr>
            <w:rStyle w:val="aff"/>
            <w:rFonts w:ascii="Times New Roman" w:hAnsi="Times New Roman" w:cs="Times New Roman"/>
            <w:color w:val="auto"/>
            <w:sz w:val="21"/>
            <w:szCs w:val="21"/>
            <w:u w:val="none"/>
          </w:rPr>
          <w:t>/</w:t>
        </w:r>
        <w:r w:rsidRPr="002D2FA4">
          <w:rPr>
            <w:rStyle w:val="aff"/>
            <w:rFonts w:ascii="Times New Roman" w:hAnsi="Times New Roman" w:cs="Times New Roman"/>
            <w:color w:val="auto"/>
            <w:sz w:val="21"/>
            <w:szCs w:val="21"/>
            <w:u w:val="none"/>
            <w:lang w:val="en-US"/>
          </w:rPr>
          <w:t>msg</w:t>
        </w:r>
        <w:r w:rsidRPr="002D2FA4">
          <w:rPr>
            <w:rStyle w:val="aff"/>
            <w:rFonts w:ascii="Times New Roman" w:hAnsi="Times New Roman" w:cs="Times New Roman"/>
            <w:color w:val="auto"/>
            <w:sz w:val="21"/>
            <w:szCs w:val="21"/>
            <w:u w:val="none"/>
          </w:rPr>
          <w:t>/293990.</w:t>
        </w:r>
        <w:r w:rsidRPr="002D2FA4">
          <w:rPr>
            <w:rStyle w:val="aff"/>
            <w:rFonts w:ascii="Times New Roman" w:hAnsi="Times New Roman" w:cs="Times New Roman"/>
            <w:color w:val="auto"/>
            <w:sz w:val="21"/>
            <w:szCs w:val="21"/>
            <w:u w:val="none"/>
            <w:lang w:val="en-US"/>
          </w:rPr>
          <w:t>html</w:t>
        </w:r>
      </w:hyperlink>
      <w:r w:rsidRPr="002D2FA4">
        <w:rPr>
          <w:rFonts w:ascii="Times New Roman" w:hAnsi="Times New Roman" w:cs="Times New Roman"/>
          <w:sz w:val="21"/>
          <w:szCs w:val="21"/>
        </w:rPr>
        <w:t>.</w:t>
      </w:r>
      <w:bookmarkEnd w:id="365"/>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66" w:name="_Ref435619852"/>
      <w:r w:rsidRPr="00954FE8">
        <w:rPr>
          <w:rFonts w:ascii="Times New Roman" w:hAnsi="Times New Roman" w:cs="Times New Roman"/>
          <w:sz w:val="21"/>
          <w:szCs w:val="21"/>
        </w:rPr>
        <w:t>Балтачеєва Н. А. Теорія та практика формування і реалізації соціальної політики в Україні : монографія / Н. А. Балтачеєва. – Донецьк : ДонНУ, 2010. – 433 с.</w:t>
      </w:r>
      <w:bookmarkEnd w:id="366"/>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67" w:name="_Ref435619418"/>
      <w:r w:rsidRPr="00721589">
        <w:rPr>
          <w:rFonts w:ascii="Times New Roman" w:hAnsi="Times New Roman" w:cs="Times New Roman"/>
          <w:sz w:val="21"/>
          <w:szCs w:val="21"/>
        </w:rPr>
        <w:t xml:space="preserve">Барсукова С. Ю. Неформальная экономика России в </w:t>
      </w:r>
      <w:r w:rsidRPr="00721589">
        <w:rPr>
          <w:rFonts w:ascii="Times New Roman" w:hAnsi="Times New Roman" w:cs="Times New Roman"/>
          <w:spacing w:val="-2"/>
          <w:sz w:val="21"/>
          <w:szCs w:val="21"/>
        </w:rPr>
        <w:t>контексте теории социального капитала / Отв. ред. Т. И. Заславская,</w:t>
      </w:r>
      <w:r w:rsidRPr="00721589">
        <w:rPr>
          <w:rFonts w:ascii="Times New Roman" w:hAnsi="Times New Roman" w:cs="Times New Roman"/>
          <w:sz w:val="21"/>
          <w:szCs w:val="21"/>
        </w:rPr>
        <w:t xml:space="preserve"> З. И. Калугина. – Новосибирск : Наука, 2003. – С. 252–270.</w:t>
      </w:r>
      <w:bookmarkEnd w:id="367"/>
    </w:p>
    <w:p w:rsidR="00B233DE" w:rsidRPr="00721589"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68" w:name="_Ref435619423"/>
      <w:r w:rsidRPr="00721589">
        <w:rPr>
          <w:rFonts w:ascii="Times New Roman" w:hAnsi="Times New Roman" w:cs="Times New Roman"/>
          <w:sz w:val="21"/>
          <w:szCs w:val="21"/>
        </w:rPr>
        <w:t>Барсукова С. Ю. Реципрокное взаимодействие. Сущность, функции, специфика / С. Ю. Барсукова // Социологические исследования. – 2004. – № 9. – С. 20–30.</w:t>
      </w:r>
      <w:bookmarkEnd w:id="368"/>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69" w:name="_Ref435619427"/>
      <w:r w:rsidRPr="006E771B">
        <w:rPr>
          <w:rFonts w:ascii="Times New Roman" w:hAnsi="Times New Roman" w:cs="Times New Roman"/>
          <w:sz w:val="21"/>
          <w:szCs w:val="21"/>
        </w:rPr>
        <w:t>Барсукова С.</w:t>
      </w:r>
      <w:r>
        <w:rPr>
          <w:rFonts w:ascii="Times New Roman" w:hAnsi="Times New Roman" w:cs="Times New Roman"/>
          <w:sz w:val="21"/>
          <w:szCs w:val="21"/>
        </w:rPr>
        <w:t xml:space="preserve"> </w:t>
      </w:r>
      <w:r w:rsidRPr="006E771B">
        <w:rPr>
          <w:rFonts w:ascii="Times New Roman" w:hAnsi="Times New Roman" w:cs="Times New Roman"/>
          <w:sz w:val="21"/>
          <w:szCs w:val="21"/>
        </w:rPr>
        <w:t>Ю. Сетевая взаимопомощь российских домохозяйств</w:t>
      </w:r>
      <w:r>
        <w:rPr>
          <w:rFonts w:ascii="Times New Roman" w:hAnsi="Times New Roman" w:cs="Times New Roman"/>
          <w:sz w:val="21"/>
          <w:szCs w:val="21"/>
        </w:rPr>
        <w:t xml:space="preserve"> </w:t>
      </w:r>
      <w:r w:rsidRPr="006E771B">
        <w:rPr>
          <w:rFonts w:ascii="Times New Roman" w:hAnsi="Times New Roman" w:cs="Times New Roman"/>
          <w:sz w:val="21"/>
          <w:szCs w:val="21"/>
        </w:rPr>
        <w:t xml:space="preserve">: теория и практика экономики дара </w:t>
      </w:r>
      <w:r>
        <w:rPr>
          <w:rFonts w:ascii="Times New Roman" w:hAnsi="Times New Roman" w:cs="Times New Roman"/>
          <w:sz w:val="21"/>
          <w:szCs w:val="21"/>
        </w:rPr>
        <w:t xml:space="preserve">/ С. Ю. Барсукова </w:t>
      </w:r>
      <w:r w:rsidRPr="006E771B">
        <w:rPr>
          <w:rFonts w:ascii="Times New Roman" w:hAnsi="Times New Roman" w:cs="Times New Roman"/>
          <w:sz w:val="21"/>
          <w:szCs w:val="21"/>
        </w:rPr>
        <w:t xml:space="preserve">// Мир России. </w:t>
      </w:r>
      <w:r>
        <w:rPr>
          <w:rFonts w:ascii="Times New Roman" w:hAnsi="Times New Roman" w:cs="Times New Roman"/>
          <w:sz w:val="21"/>
          <w:szCs w:val="21"/>
        </w:rPr>
        <w:t>–</w:t>
      </w:r>
      <w:r w:rsidRPr="006E771B">
        <w:rPr>
          <w:rFonts w:ascii="Times New Roman" w:hAnsi="Times New Roman" w:cs="Times New Roman"/>
          <w:sz w:val="21"/>
          <w:szCs w:val="21"/>
        </w:rPr>
        <w:t xml:space="preserve"> 2</w:t>
      </w:r>
      <w:r>
        <w:rPr>
          <w:rFonts w:ascii="Times New Roman" w:hAnsi="Times New Roman" w:cs="Times New Roman"/>
          <w:sz w:val="21"/>
          <w:szCs w:val="21"/>
        </w:rPr>
        <w:t>003</w:t>
      </w:r>
      <w:r w:rsidRPr="006E771B">
        <w:rPr>
          <w:rFonts w:ascii="Times New Roman" w:hAnsi="Times New Roman" w:cs="Times New Roman"/>
          <w:sz w:val="21"/>
          <w:szCs w:val="21"/>
        </w:rPr>
        <w:t xml:space="preserve">. </w:t>
      </w:r>
      <w:r>
        <w:rPr>
          <w:rFonts w:ascii="Times New Roman" w:hAnsi="Times New Roman" w:cs="Times New Roman"/>
          <w:sz w:val="21"/>
          <w:szCs w:val="21"/>
        </w:rPr>
        <w:t xml:space="preserve">– № </w:t>
      </w:r>
      <w:r w:rsidRPr="006E771B">
        <w:rPr>
          <w:rFonts w:ascii="Times New Roman" w:hAnsi="Times New Roman" w:cs="Times New Roman"/>
          <w:sz w:val="21"/>
          <w:szCs w:val="21"/>
        </w:rPr>
        <w:t xml:space="preserve">2. </w:t>
      </w:r>
      <w:r>
        <w:rPr>
          <w:rFonts w:ascii="Times New Roman" w:hAnsi="Times New Roman" w:cs="Times New Roman"/>
          <w:sz w:val="21"/>
          <w:szCs w:val="21"/>
        </w:rPr>
        <w:t>–</w:t>
      </w:r>
      <w:r w:rsidRPr="006E771B">
        <w:rPr>
          <w:rFonts w:ascii="Times New Roman" w:hAnsi="Times New Roman" w:cs="Times New Roman"/>
          <w:sz w:val="21"/>
          <w:szCs w:val="21"/>
        </w:rPr>
        <w:t xml:space="preserve"> С. 81</w:t>
      </w:r>
      <w:r>
        <w:rPr>
          <w:rFonts w:ascii="Times New Roman" w:hAnsi="Times New Roman" w:cs="Times New Roman"/>
          <w:sz w:val="21"/>
          <w:szCs w:val="21"/>
        </w:rPr>
        <w:t>–</w:t>
      </w:r>
      <w:r w:rsidRPr="006E771B">
        <w:rPr>
          <w:rFonts w:ascii="Times New Roman" w:hAnsi="Times New Roman" w:cs="Times New Roman"/>
          <w:sz w:val="21"/>
          <w:szCs w:val="21"/>
        </w:rPr>
        <w:t>122.</w:t>
      </w:r>
      <w:bookmarkEnd w:id="369"/>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70" w:name="_Ref435619433"/>
      <w:r w:rsidRPr="006E771B">
        <w:rPr>
          <w:rFonts w:ascii="Times New Roman" w:hAnsi="Times New Roman" w:cs="Times New Roman"/>
          <w:sz w:val="21"/>
          <w:szCs w:val="21"/>
        </w:rPr>
        <w:t>Батыгин Г.</w:t>
      </w:r>
      <w:r>
        <w:rPr>
          <w:rFonts w:ascii="Times New Roman" w:hAnsi="Times New Roman" w:cs="Times New Roman"/>
          <w:sz w:val="21"/>
          <w:szCs w:val="21"/>
        </w:rPr>
        <w:t xml:space="preserve"> С.</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Сетевые взаимосвязи в профессиональном сообществе социологов</w:t>
      </w:r>
      <w:r>
        <w:rPr>
          <w:rFonts w:ascii="Times New Roman" w:hAnsi="Times New Roman" w:cs="Times New Roman"/>
          <w:sz w:val="21"/>
          <w:szCs w:val="21"/>
        </w:rPr>
        <w:t xml:space="preserve"> </w:t>
      </w:r>
      <w:r w:rsidRPr="006E771B">
        <w:rPr>
          <w:rFonts w:ascii="Times New Roman" w:hAnsi="Times New Roman" w:cs="Times New Roman"/>
          <w:sz w:val="21"/>
          <w:szCs w:val="21"/>
        </w:rPr>
        <w:t>: методика контент-аналитического исследования биографий</w:t>
      </w:r>
      <w:r>
        <w:rPr>
          <w:rFonts w:ascii="Times New Roman" w:hAnsi="Times New Roman" w:cs="Times New Roman"/>
          <w:sz w:val="21"/>
          <w:szCs w:val="21"/>
        </w:rPr>
        <w:t xml:space="preserve"> / Г. С. </w:t>
      </w:r>
      <w:r>
        <w:rPr>
          <w:rFonts w:ascii="Times New Roman" w:hAnsi="Times New Roman" w:cs="Times New Roman"/>
          <w:sz w:val="21"/>
          <w:szCs w:val="21"/>
          <w:lang w:val="ru-RU"/>
        </w:rPr>
        <w:t>Батыгин, Г. В. Градосельская</w:t>
      </w:r>
      <w:r w:rsidRPr="006E771B">
        <w:rPr>
          <w:rFonts w:ascii="Times New Roman" w:hAnsi="Times New Roman" w:cs="Times New Roman"/>
          <w:sz w:val="21"/>
          <w:szCs w:val="21"/>
        </w:rPr>
        <w:t xml:space="preserve"> // Социологический журнал. </w:t>
      </w:r>
      <w:r>
        <w:rPr>
          <w:rFonts w:ascii="Times New Roman" w:hAnsi="Times New Roman" w:cs="Times New Roman"/>
          <w:sz w:val="21"/>
          <w:szCs w:val="21"/>
        </w:rPr>
        <w:t>–</w:t>
      </w:r>
      <w:r w:rsidRPr="006E771B">
        <w:rPr>
          <w:rFonts w:ascii="Times New Roman" w:hAnsi="Times New Roman" w:cs="Times New Roman"/>
          <w:sz w:val="21"/>
          <w:szCs w:val="21"/>
        </w:rPr>
        <w:t xml:space="preserve"> 2001. </w:t>
      </w:r>
      <w:r>
        <w:rPr>
          <w:rFonts w:ascii="Times New Roman" w:hAnsi="Times New Roman" w:cs="Times New Roman"/>
          <w:sz w:val="21"/>
          <w:szCs w:val="21"/>
          <w:lang w:val="ru-RU"/>
        </w:rPr>
        <w:t xml:space="preserve">– </w:t>
      </w:r>
      <w:r>
        <w:rPr>
          <w:rFonts w:ascii="Times New Roman" w:hAnsi="Times New Roman" w:cs="Times New Roman"/>
          <w:sz w:val="21"/>
          <w:szCs w:val="21"/>
        </w:rPr>
        <w:t xml:space="preserve">№ 1. </w:t>
      </w:r>
      <w:r>
        <w:rPr>
          <w:rFonts w:ascii="Times New Roman" w:hAnsi="Times New Roman" w:cs="Times New Roman"/>
          <w:sz w:val="21"/>
          <w:szCs w:val="21"/>
          <w:lang w:val="ru-RU"/>
        </w:rPr>
        <w:t>–</w:t>
      </w:r>
      <w:r w:rsidRPr="006E771B">
        <w:rPr>
          <w:rFonts w:ascii="Times New Roman" w:hAnsi="Times New Roman" w:cs="Times New Roman"/>
          <w:sz w:val="21"/>
          <w:szCs w:val="21"/>
        </w:rPr>
        <w:t xml:space="preserve"> С. 156</w:t>
      </w:r>
      <w:r>
        <w:rPr>
          <w:rFonts w:ascii="Times New Roman" w:hAnsi="Times New Roman" w:cs="Times New Roman"/>
          <w:sz w:val="21"/>
          <w:szCs w:val="21"/>
        </w:rPr>
        <w:t>–</w:t>
      </w:r>
      <w:r w:rsidRPr="006E771B">
        <w:rPr>
          <w:rFonts w:ascii="Times New Roman" w:hAnsi="Times New Roman" w:cs="Times New Roman"/>
          <w:sz w:val="21"/>
          <w:szCs w:val="21"/>
        </w:rPr>
        <w:t>163.</w:t>
      </w:r>
      <w:bookmarkEnd w:id="370"/>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71" w:name="_Ref435621068"/>
      <w:r>
        <w:rPr>
          <w:rFonts w:ascii="Times New Roman" w:hAnsi="Times New Roman" w:cs="Times New Roman"/>
          <w:sz w:val="21"/>
          <w:szCs w:val="21"/>
        </w:rPr>
        <w:t xml:space="preserve">Богуславська С. </w:t>
      </w:r>
      <w:r w:rsidRPr="00B37A0B">
        <w:rPr>
          <w:rFonts w:ascii="Times New Roman" w:hAnsi="Times New Roman" w:cs="Times New Roman"/>
          <w:sz w:val="21"/>
          <w:szCs w:val="21"/>
        </w:rPr>
        <w:t>І. Соціальна політика в умовах ринк</w:t>
      </w:r>
      <w:r>
        <w:rPr>
          <w:rFonts w:ascii="Times New Roman" w:hAnsi="Times New Roman" w:cs="Times New Roman"/>
          <w:sz w:val="21"/>
          <w:szCs w:val="21"/>
        </w:rPr>
        <w:t xml:space="preserve">ових відносин / С. І. </w:t>
      </w:r>
      <w:r w:rsidRPr="00B37A0B">
        <w:rPr>
          <w:rFonts w:ascii="Times New Roman" w:hAnsi="Times New Roman" w:cs="Times New Roman"/>
          <w:sz w:val="21"/>
          <w:szCs w:val="21"/>
        </w:rPr>
        <w:t xml:space="preserve">Богуславська // Фінансовий простір. </w:t>
      </w:r>
      <w:r>
        <w:rPr>
          <w:rFonts w:ascii="Times New Roman" w:hAnsi="Times New Roman" w:cs="Times New Roman"/>
          <w:sz w:val="21"/>
          <w:szCs w:val="21"/>
        </w:rPr>
        <w:t xml:space="preserve">– </w:t>
      </w:r>
      <w:r w:rsidRPr="00B37A0B">
        <w:rPr>
          <w:rFonts w:ascii="Times New Roman" w:hAnsi="Times New Roman" w:cs="Times New Roman"/>
          <w:sz w:val="21"/>
          <w:szCs w:val="21"/>
        </w:rPr>
        <w:t xml:space="preserve">2013. </w:t>
      </w:r>
      <w:r>
        <w:rPr>
          <w:rFonts w:ascii="Times New Roman" w:hAnsi="Times New Roman" w:cs="Times New Roman"/>
          <w:sz w:val="21"/>
          <w:szCs w:val="21"/>
        </w:rPr>
        <w:t>–</w:t>
      </w:r>
      <w:r w:rsidRPr="00B37A0B">
        <w:rPr>
          <w:rFonts w:ascii="Times New Roman" w:hAnsi="Times New Roman" w:cs="Times New Roman"/>
          <w:sz w:val="21"/>
          <w:szCs w:val="21"/>
        </w:rPr>
        <w:t xml:space="preserve"> №</w:t>
      </w:r>
      <w:r>
        <w:rPr>
          <w:rFonts w:ascii="Times New Roman" w:hAnsi="Times New Roman" w:cs="Times New Roman"/>
          <w:sz w:val="21"/>
          <w:szCs w:val="21"/>
        </w:rPr>
        <w:t xml:space="preserve"> 2 (10). – С</w:t>
      </w:r>
      <w:r w:rsidRPr="00B37A0B">
        <w:rPr>
          <w:rFonts w:ascii="Times New Roman" w:hAnsi="Times New Roman" w:cs="Times New Roman"/>
          <w:sz w:val="21"/>
          <w:szCs w:val="21"/>
        </w:rPr>
        <w:t>.</w:t>
      </w:r>
      <w:r>
        <w:rPr>
          <w:rFonts w:ascii="Times New Roman" w:hAnsi="Times New Roman" w:cs="Times New Roman"/>
          <w:sz w:val="21"/>
          <w:szCs w:val="21"/>
        </w:rPr>
        <w:t xml:space="preserve"> </w:t>
      </w:r>
      <w:r w:rsidRPr="00B37A0B">
        <w:rPr>
          <w:rFonts w:ascii="Times New Roman" w:hAnsi="Times New Roman" w:cs="Times New Roman"/>
          <w:sz w:val="21"/>
          <w:szCs w:val="21"/>
        </w:rPr>
        <w:t>106</w:t>
      </w:r>
      <w:r>
        <w:rPr>
          <w:rFonts w:ascii="Times New Roman" w:hAnsi="Times New Roman" w:cs="Times New Roman"/>
          <w:sz w:val="21"/>
          <w:szCs w:val="21"/>
        </w:rPr>
        <w:t>–</w:t>
      </w:r>
      <w:r w:rsidRPr="00B37A0B">
        <w:rPr>
          <w:rFonts w:ascii="Times New Roman" w:hAnsi="Times New Roman" w:cs="Times New Roman"/>
          <w:sz w:val="21"/>
          <w:szCs w:val="21"/>
        </w:rPr>
        <w:t>110.</w:t>
      </w:r>
      <w:bookmarkEnd w:id="371"/>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72" w:name="_Ref435621145"/>
      <w:r w:rsidRPr="00181A11">
        <w:rPr>
          <w:rFonts w:ascii="Times New Roman" w:hAnsi="Times New Roman" w:cs="Times New Roman"/>
          <w:sz w:val="21"/>
          <w:szCs w:val="21"/>
        </w:rPr>
        <w:t xml:space="preserve">Боднарчук К. Напрямки удосконалення нормативно-правової бази для забезпечення зайнятості інвалідів </w:t>
      </w:r>
      <w:r>
        <w:rPr>
          <w:rFonts w:ascii="Times New Roman" w:hAnsi="Times New Roman" w:cs="Times New Roman"/>
          <w:sz w:val="21"/>
          <w:szCs w:val="21"/>
        </w:rPr>
        <w:t xml:space="preserve">/ К. Бондарчук </w:t>
      </w:r>
      <w:r w:rsidRPr="00181A11">
        <w:rPr>
          <w:rFonts w:ascii="Times New Roman" w:hAnsi="Times New Roman" w:cs="Times New Roman"/>
          <w:sz w:val="21"/>
          <w:szCs w:val="21"/>
        </w:rPr>
        <w:t>// Економ</w:t>
      </w:r>
      <w:r>
        <w:rPr>
          <w:rFonts w:ascii="Times New Roman" w:hAnsi="Times New Roman" w:cs="Times New Roman"/>
          <w:sz w:val="21"/>
          <w:szCs w:val="21"/>
        </w:rPr>
        <w:t>іка України. – 2003. – № 11. – С</w:t>
      </w:r>
      <w:r w:rsidRPr="00181A11">
        <w:rPr>
          <w:rFonts w:ascii="Times New Roman" w:hAnsi="Times New Roman" w:cs="Times New Roman"/>
          <w:sz w:val="21"/>
          <w:szCs w:val="21"/>
        </w:rPr>
        <w:t>. 69–73.</w:t>
      </w:r>
      <w:bookmarkEnd w:id="372"/>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73" w:name="_Ref435621249"/>
      <w:r w:rsidRPr="004C34A1">
        <w:rPr>
          <w:rFonts w:ascii="Times New Roman" w:hAnsi="Times New Roman" w:cs="Times New Roman"/>
          <w:sz w:val="21"/>
          <w:szCs w:val="21"/>
        </w:rPr>
        <w:t>Бородушко И.</w:t>
      </w:r>
      <w:r>
        <w:rPr>
          <w:rFonts w:ascii="Times New Roman" w:hAnsi="Times New Roman" w:cs="Times New Roman"/>
          <w:sz w:val="21"/>
          <w:szCs w:val="21"/>
        </w:rPr>
        <w:t xml:space="preserve"> </w:t>
      </w:r>
      <w:r w:rsidRPr="004C34A1">
        <w:rPr>
          <w:rFonts w:ascii="Times New Roman" w:hAnsi="Times New Roman" w:cs="Times New Roman"/>
          <w:sz w:val="21"/>
          <w:szCs w:val="21"/>
        </w:rPr>
        <w:t xml:space="preserve">В. Использование контроллинга в государственном управлении </w:t>
      </w:r>
      <w:r>
        <w:rPr>
          <w:rFonts w:ascii="Times New Roman" w:hAnsi="Times New Roman" w:cs="Times New Roman"/>
          <w:sz w:val="21"/>
          <w:szCs w:val="21"/>
        </w:rPr>
        <w:t xml:space="preserve">/ И. В. Бородушко </w:t>
      </w:r>
      <w:r w:rsidRPr="004C34A1">
        <w:rPr>
          <w:rFonts w:ascii="Times New Roman" w:hAnsi="Times New Roman" w:cs="Times New Roman"/>
          <w:sz w:val="21"/>
          <w:szCs w:val="21"/>
        </w:rPr>
        <w:t>// Р</w:t>
      </w:r>
      <w:r>
        <w:rPr>
          <w:rFonts w:ascii="Times New Roman" w:hAnsi="Times New Roman" w:cs="Times New Roman"/>
          <w:sz w:val="21"/>
          <w:szCs w:val="21"/>
        </w:rPr>
        <w:t>оссийское предпринимательство. –</w:t>
      </w:r>
      <w:r w:rsidRPr="004C34A1">
        <w:rPr>
          <w:rFonts w:ascii="Times New Roman" w:hAnsi="Times New Roman" w:cs="Times New Roman"/>
          <w:sz w:val="21"/>
          <w:szCs w:val="21"/>
        </w:rPr>
        <w:t xml:space="preserve"> 2</w:t>
      </w:r>
      <w:r>
        <w:rPr>
          <w:rFonts w:ascii="Times New Roman" w:hAnsi="Times New Roman" w:cs="Times New Roman"/>
          <w:sz w:val="21"/>
          <w:szCs w:val="21"/>
        </w:rPr>
        <w:t>005. –</w:t>
      </w:r>
      <w:r w:rsidRPr="004C34A1">
        <w:rPr>
          <w:rFonts w:ascii="Times New Roman" w:hAnsi="Times New Roman" w:cs="Times New Roman"/>
          <w:sz w:val="21"/>
          <w:szCs w:val="21"/>
        </w:rPr>
        <w:t xml:space="preserve"> №</w:t>
      </w:r>
      <w:r>
        <w:rPr>
          <w:rFonts w:ascii="Times New Roman" w:hAnsi="Times New Roman" w:cs="Times New Roman"/>
          <w:sz w:val="21"/>
          <w:szCs w:val="21"/>
        </w:rPr>
        <w:t xml:space="preserve"> 12 (72). – С</w:t>
      </w:r>
      <w:r w:rsidRPr="004C34A1">
        <w:rPr>
          <w:rFonts w:ascii="Times New Roman" w:hAnsi="Times New Roman" w:cs="Times New Roman"/>
          <w:sz w:val="21"/>
          <w:szCs w:val="21"/>
        </w:rPr>
        <w:t>. 15</w:t>
      </w:r>
      <w:r>
        <w:rPr>
          <w:rFonts w:ascii="Times New Roman" w:hAnsi="Times New Roman" w:cs="Times New Roman"/>
          <w:sz w:val="21"/>
          <w:szCs w:val="21"/>
        </w:rPr>
        <w:t>–</w:t>
      </w:r>
      <w:r w:rsidRPr="004C34A1">
        <w:rPr>
          <w:rFonts w:ascii="Times New Roman" w:hAnsi="Times New Roman" w:cs="Times New Roman"/>
          <w:sz w:val="21"/>
          <w:szCs w:val="21"/>
        </w:rPr>
        <w:t>18</w:t>
      </w:r>
      <w:r>
        <w:rPr>
          <w:rFonts w:ascii="Times New Roman" w:hAnsi="Times New Roman" w:cs="Times New Roman"/>
          <w:sz w:val="21"/>
          <w:szCs w:val="21"/>
        </w:rPr>
        <w:t>.</w:t>
      </w:r>
      <w:bookmarkEnd w:id="373"/>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74" w:name="_Ref435619462"/>
      <w:r>
        <w:rPr>
          <w:rFonts w:ascii="Times New Roman" w:hAnsi="Times New Roman" w:cs="Times New Roman"/>
          <w:sz w:val="21"/>
          <w:szCs w:val="21"/>
        </w:rPr>
        <w:t>Бредникова О.</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Этничность «этнической экономики» и социальные сети мигрантов капитала </w:t>
      </w:r>
      <w:r>
        <w:rPr>
          <w:rFonts w:ascii="Times New Roman" w:hAnsi="Times New Roman" w:cs="Times New Roman"/>
          <w:sz w:val="21"/>
          <w:szCs w:val="21"/>
          <w:lang w:val="ru-RU"/>
        </w:rPr>
        <w:t xml:space="preserve">/ О. Бредникова, О. Панченков </w:t>
      </w:r>
      <w:r w:rsidRPr="006E771B">
        <w:rPr>
          <w:rFonts w:ascii="Times New Roman" w:hAnsi="Times New Roman" w:cs="Times New Roman"/>
          <w:sz w:val="21"/>
          <w:szCs w:val="21"/>
        </w:rPr>
        <w:t xml:space="preserve">// Экономическая социология. </w:t>
      </w:r>
      <w:r>
        <w:rPr>
          <w:rFonts w:ascii="Times New Roman" w:hAnsi="Times New Roman" w:cs="Times New Roman"/>
          <w:sz w:val="21"/>
          <w:szCs w:val="21"/>
        </w:rPr>
        <w:t>–</w:t>
      </w:r>
      <w:r w:rsidRPr="006E771B">
        <w:rPr>
          <w:rFonts w:ascii="Times New Roman" w:hAnsi="Times New Roman" w:cs="Times New Roman"/>
          <w:sz w:val="21"/>
          <w:szCs w:val="21"/>
        </w:rPr>
        <w:t xml:space="preserve"> 2002. </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2</w:t>
      </w:r>
      <w:r>
        <w:rPr>
          <w:rFonts w:ascii="Times New Roman" w:hAnsi="Times New Roman" w:cs="Times New Roman"/>
          <w:sz w:val="21"/>
          <w:szCs w:val="21"/>
          <w:lang w:val="ru-RU"/>
        </w:rPr>
        <w:t>, т</w:t>
      </w:r>
      <w:r w:rsidRPr="006E771B">
        <w:rPr>
          <w:rFonts w:ascii="Times New Roman" w:hAnsi="Times New Roman" w:cs="Times New Roman"/>
          <w:sz w:val="21"/>
          <w:szCs w:val="21"/>
        </w:rPr>
        <w:t>. 3.</w:t>
      </w:r>
      <w:r>
        <w:rPr>
          <w:rFonts w:ascii="Times New Roman" w:hAnsi="Times New Roman" w:cs="Times New Roman"/>
          <w:sz w:val="21"/>
          <w:szCs w:val="21"/>
          <w:lang w:val="ru-RU"/>
        </w:rPr>
        <w:t xml:space="preserve"> </w:t>
      </w:r>
      <w:r>
        <w:rPr>
          <w:rFonts w:ascii="Times New Roman" w:hAnsi="Times New Roman" w:cs="Times New Roman"/>
          <w:sz w:val="21"/>
          <w:szCs w:val="21"/>
        </w:rPr>
        <w:t>–</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С. 74</w:t>
      </w:r>
      <w:r>
        <w:rPr>
          <w:rFonts w:ascii="Times New Roman" w:hAnsi="Times New Roman" w:cs="Times New Roman"/>
          <w:sz w:val="21"/>
          <w:szCs w:val="21"/>
        </w:rPr>
        <w:t>–</w:t>
      </w:r>
      <w:r w:rsidRPr="006E771B">
        <w:rPr>
          <w:rFonts w:ascii="Times New Roman" w:hAnsi="Times New Roman" w:cs="Times New Roman"/>
          <w:sz w:val="21"/>
          <w:szCs w:val="21"/>
        </w:rPr>
        <w:t>81.</w:t>
      </w:r>
      <w:bookmarkEnd w:id="374"/>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75" w:name="_Ref435619624"/>
      <w:r w:rsidRPr="006E771B">
        <w:rPr>
          <w:rFonts w:ascii="Times New Roman" w:hAnsi="Times New Roman" w:cs="Times New Roman"/>
          <w:sz w:val="21"/>
          <w:szCs w:val="21"/>
        </w:rPr>
        <w:t xml:space="preserve">Бурдье П. Формы капитала </w:t>
      </w:r>
      <w:r>
        <w:rPr>
          <w:rFonts w:ascii="Times New Roman" w:hAnsi="Times New Roman" w:cs="Times New Roman"/>
          <w:sz w:val="21"/>
          <w:szCs w:val="21"/>
          <w:lang w:val="ru-RU"/>
        </w:rPr>
        <w:t xml:space="preserve">/ П. Бурдье </w:t>
      </w:r>
      <w:r w:rsidRPr="006E771B">
        <w:rPr>
          <w:rFonts w:ascii="Times New Roman" w:hAnsi="Times New Roman" w:cs="Times New Roman"/>
          <w:sz w:val="21"/>
          <w:szCs w:val="21"/>
        </w:rPr>
        <w:t xml:space="preserve">// Экономическая социология. </w:t>
      </w:r>
      <w:r>
        <w:rPr>
          <w:rFonts w:ascii="Times New Roman" w:hAnsi="Times New Roman" w:cs="Times New Roman"/>
          <w:sz w:val="21"/>
          <w:szCs w:val="21"/>
        </w:rPr>
        <w:t>–</w:t>
      </w:r>
      <w:r w:rsidRPr="006E771B">
        <w:rPr>
          <w:rFonts w:ascii="Times New Roman" w:hAnsi="Times New Roman" w:cs="Times New Roman"/>
          <w:sz w:val="21"/>
          <w:szCs w:val="21"/>
        </w:rPr>
        <w:t xml:space="preserve"> 2002. </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5</w:t>
      </w:r>
      <w:r>
        <w:rPr>
          <w:rFonts w:ascii="Times New Roman" w:hAnsi="Times New Roman" w:cs="Times New Roman"/>
          <w:sz w:val="21"/>
          <w:szCs w:val="21"/>
          <w:lang w:val="ru-RU"/>
        </w:rPr>
        <w:t>, т. 3</w:t>
      </w:r>
      <w:r w:rsidRPr="006E771B">
        <w:rPr>
          <w:rFonts w:ascii="Times New Roman" w:hAnsi="Times New Roman" w:cs="Times New Roman"/>
          <w:sz w:val="21"/>
          <w:szCs w:val="21"/>
        </w:rPr>
        <w:t xml:space="preserve">. </w:t>
      </w:r>
      <w:r>
        <w:rPr>
          <w:rFonts w:ascii="Times New Roman" w:hAnsi="Times New Roman" w:cs="Times New Roman"/>
          <w:sz w:val="21"/>
          <w:szCs w:val="21"/>
        </w:rPr>
        <w:t>–</w:t>
      </w:r>
      <w:r w:rsidRPr="006E771B">
        <w:rPr>
          <w:rFonts w:ascii="Times New Roman" w:hAnsi="Times New Roman" w:cs="Times New Roman"/>
          <w:sz w:val="21"/>
          <w:szCs w:val="21"/>
        </w:rPr>
        <w:t xml:space="preserve"> С. 60</w:t>
      </w:r>
      <w:r>
        <w:rPr>
          <w:rFonts w:ascii="Times New Roman" w:hAnsi="Times New Roman" w:cs="Times New Roman"/>
          <w:sz w:val="21"/>
          <w:szCs w:val="21"/>
        </w:rPr>
        <w:t>–</w:t>
      </w:r>
      <w:r w:rsidRPr="006E771B">
        <w:rPr>
          <w:rFonts w:ascii="Times New Roman" w:hAnsi="Times New Roman" w:cs="Times New Roman"/>
          <w:sz w:val="21"/>
          <w:szCs w:val="21"/>
        </w:rPr>
        <w:t>74.</w:t>
      </w:r>
      <w:bookmarkEnd w:id="375"/>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76" w:name="_Ref435621085"/>
      <w:r>
        <w:rPr>
          <w:rFonts w:ascii="Times New Roman" w:hAnsi="Times New Roman" w:cs="Times New Roman"/>
          <w:sz w:val="21"/>
          <w:szCs w:val="21"/>
        </w:rPr>
        <w:lastRenderedPageBreak/>
        <w:t xml:space="preserve">Васильченко В. </w:t>
      </w:r>
      <w:r w:rsidRPr="00B37A0B">
        <w:rPr>
          <w:rFonts w:ascii="Times New Roman" w:hAnsi="Times New Roman" w:cs="Times New Roman"/>
          <w:sz w:val="21"/>
          <w:szCs w:val="21"/>
        </w:rPr>
        <w:t xml:space="preserve">С. Управління трудовим потенціалом : навч. посібник / </w:t>
      </w:r>
      <w:r>
        <w:rPr>
          <w:rFonts w:ascii="Times New Roman" w:hAnsi="Times New Roman" w:cs="Times New Roman"/>
          <w:sz w:val="21"/>
          <w:szCs w:val="21"/>
        </w:rPr>
        <w:t>[</w:t>
      </w:r>
      <w:r w:rsidRPr="00B37A0B">
        <w:rPr>
          <w:rFonts w:ascii="Times New Roman" w:hAnsi="Times New Roman" w:cs="Times New Roman"/>
          <w:sz w:val="21"/>
          <w:szCs w:val="21"/>
        </w:rPr>
        <w:t>В.</w:t>
      </w:r>
      <w:r>
        <w:rPr>
          <w:rFonts w:ascii="Times New Roman" w:hAnsi="Times New Roman" w:cs="Times New Roman"/>
          <w:sz w:val="21"/>
          <w:szCs w:val="21"/>
        </w:rPr>
        <w:t xml:space="preserve"> С. Васильченко, А. М. Гриненко, О. </w:t>
      </w:r>
      <w:r w:rsidRPr="00B37A0B">
        <w:rPr>
          <w:rFonts w:ascii="Times New Roman" w:hAnsi="Times New Roman" w:cs="Times New Roman"/>
          <w:sz w:val="21"/>
          <w:szCs w:val="21"/>
        </w:rPr>
        <w:t>А. Гріш</w:t>
      </w:r>
      <w:r>
        <w:rPr>
          <w:rFonts w:ascii="Times New Roman" w:hAnsi="Times New Roman" w:cs="Times New Roman"/>
          <w:sz w:val="21"/>
          <w:szCs w:val="21"/>
        </w:rPr>
        <w:t xml:space="preserve">-нова, Л. </w:t>
      </w:r>
      <w:r w:rsidRPr="00B37A0B">
        <w:rPr>
          <w:rFonts w:ascii="Times New Roman" w:hAnsi="Times New Roman" w:cs="Times New Roman"/>
          <w:sz w:val="21"/>
          <w:szCs w:val="21"/>
        </w:rPr>
        <w:t>П. Керб та ін.</w:t>
      </w:r>
      <w:r>
        <w:rPr>
          <w:rFonts w:ascii="Times New Roman" w:hAnsi="Times New Roman" w:cs="Times New Roman"/>
          <w:sz w:val="21"/>
          <w:szCs w:val="21"/>
        </w:rPr>
        <w:t>]</w:t>
      </w:r>
      <w:r w:rsidRPr="00B37A0B">
        <w:rPr>
          <w:rFonts w:ascii="Times New Roman" w:hAnsi="Times New Roman" w:cs="Times New Roman"/>
          <w:sz w:val="21"/>
          <w:szCs w:val="21"/>
        </w:rPr>
        <w:t xml:space="preserve"> – К. : КНЕУ, 2003. – 403 с.</w:t>
      </w:r>
      <w:bookmarkEnd w:id="376"/>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77" w:name="_Ref435619369"/>
      <w:r w:rsidRPr="006E771B">
        <w:rPr>
          <w:rFonts w:ascii="Times New Roman" w:hAnsi="Times New Roman" w:cs="Times New Roman"/>
          <w:sz w:val="21"/>
          <w:szCs w:val="21"/>
        </w:rPr>
        <w:t>Вебер М. Протестантские Секты и Дух Капитализма / Избранные произведения</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пер. с нем. сост., общ. ред. и послесл. Ю. Н. Давыдова</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предисл. П. П. Гайденко.</w:t>
      </w:r>
      <w:r>
        <w:rPr>
          <w:rFonts w:ascii="Times New Roman" w:hAnsi="Times New Roman" w:cs="Times New Roman"/>
          <w:sz w:val="21"/>
          <w:szCs w:val="21"/>
          <w:lang w:val="ru-RU"/>
        </w:rPr>
        <w:t xml:space="preserve"> </w:t>
      </w:r>
      <w:r>
        <w:rPr>
          <w:rFonts w:ascii="Times New Roman" w:hAnsi="Times New Roman" w:cs="Times New Roman"/>
          <w:sz w:val="21"/>
          <w:szCs w:val="21"/>
        </w:rPr>
        <w:t>–</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М.</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 Прогресс, 1990. </w:t>
      </w:r>
      <w:r>
        <w:rPr>
          <w:rFonts w:ascii="Times New Roman" w:hAnsi="Times New Roman" w:cs="Times New Roman"/>
          <w:sz w:val="21"/>
          <w:szCs w:val="21"/>
        </w:rPr>
        <w:t>–</w:t>
      </w:r>
      <w:r w:rsidRPr="006E771B">
        <w:rPr>
          <w:rFonts w:ascii="Times New Roman" w:hAnsi="Times New Roman" w:cs="Times New Roman"/>
          <w:sz w:val="21"/>
          <w:szCs w:val="21"/>
        </w:rPr>
        <w:t>808 с.</w:t>
      </w:r>
      <w:bookmarkEnd w:id="377"/>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78" w:name="_Ref435620598"/>
      <w:r w:rsidRPr="00954FE8">
        <w:rPr>
          <w:rFonts w:ascii="Times New Roman" w:hAnsi="Times New Roman" w:cs="Times New Roman"/>
          <w:sz w:val="21"/>
          <w:szCs w:val="21"/>
        </w:rPr>
        <w:t>Гаєвський Б. А. Сучасна українська політологія</w:t>
      </w:r>
      <w:r w:rsidRPr="00954FE8">
        <w:rPr>
          <w:rFonts w:ascii="Times New Roman" w:hAnsi="Times New Roman" w:cs="Times New Roman"/>
          <w:bCs/>
          <w:sz w:val="21"/>
          <w:szCs w:val="21"/>
        </w:rPr>
        <w:t xml:space="preserve"> </w:t>
      </w:r>
      <w:r w:rsidRPr="00954FE8">
        <w:rPr>
          <w:rFonts w:ascii="Times New Roman" w:hAnsi="Times New Roman" w:cs="Times New Roman"/>
          <w:sz w:val="21"/>
          <w:szCs w:val="21"/>
        </w:rPr>
        <w:t>/ Б. А. Гаєвський. – К. : МАУП, 1999. – 265 с.</w:t>
      </w:r>
      <w:bookmarkEnd w:id="378"/>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79" w:name="_Ref435619470"/>
      <w:r w:rsidRPr="006E771B">
        <w:rPr>
          <w:rFonts w:ascii="Times New Roman" w:hAnsi="Times New Roman" w:cs="Times New Roman"/>
          <w:sz w:val="21"/>
          <w:szCs w:val="21"/>
        </w:rPr>
        <w:t>Гибало Н.</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П. Инвестиции в человеческий капитал как системообразующее направление новой политэкономии </w:t>
      </w:r>
      <w:r>
        <w:rPr>
          <w:rFonts w:ascii="Times New Roman" w:hAnsi="Times New Roman" w:cs="Times New Roman"/>
          <w:sz w:val="21"/>
          <w:szCs w:val="21"/>
          <w:lang w:val="ru-RU"/>
        </w:rPr>
        <w:t xml:space="preserve">/ Н. П. Гибало </w:t>
      </w:r>
      <w:r w:rsidRPr="006E771B">
        <w:rPr>
          <w:rFonts w:ascii="Times New Roman" w:hAnsi="Times New Roman" w:cs="Times New Roman"/>
          <w:sz w:val="21"/>
          <w:szCs w:val="21"/>
        </w:rPr>
        <w:t>// Вестник Костромского государственного</w:t>
      </w:r>
      <w:r>
        <w:rPr>
          <w:rFonts w:ascii="Times New Roman" w:hAnsi="Times New Roman" w:cs="Times New Roman"/>
          <w:sz w:val="21"/>
          <w:szCs w:val="21"/>
        </w:rPr>
        <w:t xml:space="preserve"> педагогического университета. </w:t>
      </w:r>
      <w:r>
        <w:rPr>
          <w:rFonts w:ascii="Times New Roman" w:hAnsi="Times New Roman" w:cs="Times New Roman"/>
          <w:sz w:val="21"/>
          <w:szCs w:val="21"/>
          <w:lang w:val="ru-RU"/>
        </w:rPr>
        <w:t>–</w:t>
      </w:r>
      <w:r w:rsidRPr="006E771B">
        <w:rPr>
          <w:rFonts w:ascii="Times New Roman" w:hAnsi="Times New Roman" w:cs="Times New Roman"/>
          <w:sz w:val="21"/>
          <w:szCs w:val="21"/>
        </w:rPr>
        <w:t xml:space="preserve"> 1999. </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w:t>
      </w:r>
      <w:r>
        <w:rPr>
          <w:rFonts w:ascii="Times New Roman" w:hAnsi="Times New Roman" w:cs="Times New Roman"/>
          <w:sz w:val="21"/>
          <w:szCs w:val="21"/>
          <w:lang w:val="ru-RU"/>
        </w:rPr>
        <w:t xml:space="preserve"> </w:t>
      </w:r>
      <w:r>
        <w:rPr>
          <w:rFonts w:ascii="Times New Roman" w:hAnsi="Times New Roman" w:cs="Times New Roman"/>
          <w:sz w:val="21"/>
          <w:szCs w:val="21"/>
        </w:rPr>
        <w:t xml:space="preserve">3. </w:t>
      </w:r>
      <w:r>
        <w:rPr>
          <w:rFonts w:ascii="Times New Roman" w:hAnsi="Times New Roman" w:cs="Times New Roman"/>
          <w:sz w:val="21"/>
          <w:szCs w:val="21"/>
          <w:lang w:val="ru-RU"/>
        </w:rPr>
        <w:t>–</w:t>
      </w:r>
      <w:r w:rsidRPr="006E771B">
        <w:rPr>
          <w:rFonts w:ascii="Times New Roman" w:hAnsi="Times New Roman" w:cs="Times New Roman"/>
          <w:sz w:val="21"/>
          <w:szCs w:val="21"/>
        </w:rPr>
        <w:t xml:space="preserve"> С. 68</w:t>
      </w:r>
      <w:r>
        <w:rPr>
          <w:rFonts w:ascii="Times New Roman" w:hAnsi="Times New Roman" w:cs="Times New Roman"/>
          <w:sz w:val="21"/>
          <w:szCs w:val="21"/>
        </w:rPr>
        <w:t>–</w:t>
      </w:r>
      <w:r w:rsidRPr="006E771B">
        <w:rPr>
          <w:rFonts w:ascii="Times New Roman" w:hAnsi="Times New Roman" w:cs="Times New Roman"/>
          <w:sz w:val="21"/>
          <w:szCs w:val="21"/>
        </w:rPr>
        <w:t>75.</w:t>
      </w:r>
      <w:bookmarkEnd w:id="379"/>
    </w:p>
    <w:p w:rsidR="00B233DE" w:rsidRPr="00721589"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80" w:name="_Ref435618846"/>
      <w:r>
        <w:rPr>
          <w:rFonts w:ascii="Times New Roman" w:hAnsi="Times New Roman" w:cs="Times New Roman"/>
          <w:sz w:val="21"/>
          <w:szCs w:val="21"/>
        </w:rPr>
        <w:t xml:space="preserve">Глоссарий.ру </w:t>
      </w:r>
      <w:r w:rsidRPr="00CB07DF">
        <w:rPr>
          <w:rFonts w:ascii="Times New Roman" w:hAnsi="Times New Roman" w:cs="Times New Roman"/>
          <w:sz w:val="21"/>
          <w:szCs w:val="21"/>
        </w:rPr>
        <w:t xml:space="preserve">: Электронный словарь. </w:t>
      </w:r>
      <w:r>
        <w:rPr>
          <w:rFonts w:ascii="Times New Roman" w:hAnsi="Times New Roman" w:cs="Times New Roman"/>
          <w:sz w:val="21"/>
          <w:szCs w:val="21"/>
        </w:rPr>
        <w:t xml:space="preserve">[Електронний ресурс]. - Режим доступу </w:t>
      </w:r>
      <w:r w:rsidRPr="00035E3F">
        <w:rPr>
          <w:rFonts w:ascii="Times New Roman" w:hAnsi="Times New Roman" w:cs="Times New Roman"/>
          <w:color w:val="000000" w:themeColor="text1"/>
          <w:sz w:val="21"/>
          <w:szCs w:val="21"/>
        </w:rPr>
        <w:t xml:space="preserve">: </w:t>
      </w:r>
      <w:hyperlink r:id="rId121" w:history="1">
        <w:r w:rsidRPr="00035E3F">
          <w:rPr>
            <w:rStyle w:val="aff"/>
            <w:rFonts w:ascii="Times New Roman" w:hAnsi="Times New Roman" w:cs="Times New Roman"/>
            <w:color w:val="000000" w:themeColor="text1"/>
            <w:sz w:val="21"/>
            <w:szCs w:val="21"/>
            <w:u w:val="none"/>
          </w:rPr>
          <w:t>http://www.glossary.ru/cgi"bin/gl_sch2. cgi?RRu.ogr;tg9!x(lwg</w:t>
        </w:r>
      </w:hyperlink>
      <w:r w:rsidRPr="00035E3F">
        <w:rPr>
          <w:rFonts w:ascii="Times New Roman" w:hAnsi="Times New Roman" w:cs="Times New Roman"/>
          <w:color w:val="000000" w:themeColor="text1"/>
          <w:sz w:val="21"/>
          <w:szCs w:val="21"/>
        </w:rPr>
        <w:t>.</w:t>
      </w:r>
      <w:bookmarkEnd w:id="380"/>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81" w:name="_Ref435620593"/>
      <w:r w:rsidRPr="00954FE8">
        <w:rPr>
          <w:rFonts w:ascii="Times New Roman" w:hAnsi="Times New Roman" w:cs="Times New Roman"/>
          <w:sz w:val="21"/>
          <w:szCs w:val="21"/>
        </w:rPr>
        <w:t>Головатий М. Ф. Соціальна політика і соціальна робота : термінол.-понят. слов. / М. Ф. Головатий, М. Б. Панасюк. – К. : МАУП, 2005. – 560 с.</w:t>
      </w:r>
      <w:bookmarkEnd w:id="381"/>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82" w:name="_Ref435620855"/>
      <w:r w:rsidRPr="00954FE8">
        <w:rPr>
          <w:rFonts w:ascii="Times New Roman" w:hAnsi="Times New Roman" w:cs="Times New Roman"/>
          <w:sz w:val="21"/>
          <w:szCs w:val="21"/>
        </w:rPr>
        <w:t>Государственное регулирование экономики : учеб. пособие для вузов / [Т. Г.Морозова, Ю. М. Дурдыев, В. Ф. Тихонов и др.] ; под ред. проф. Т. Г.Морозовой. – М. : ЮНИТИ-ДАНА, 2001. – 255 с.</w:t>
      </w:r>
      <w:bookmarkEnd w:id="382"/>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83" w:name="_Ref435619594"/>
      <w:r w:rsidRPr="00721589">
        <w:rPr>
          <w:rFonts w:ascii="Times New Roman" w:hAnsi="Times New Roman" w:cs="Times New Roman"/>
          <w:sz w:val="21"/>
          <w:szCs w:val="21"/>
        </w:rPr>
        <w:t>Градосельская Г. В. Сетевые измерения в социологии</w:t>
      </w:r>
      <w:r w:rsidRPr="00721589">
        <w:rPr>
          <w:rFonts w:ascii="Times New Roman" w:hAnsi="Times New Roman" w:cs="Times New Roman"/>
          <w:sz w:val="21"/>
          <w:szCs w:val="21"/>
          <w:lang w:val="ru-RU"/>
        </w:rPr>
        <w:t xml:space="preserve"> </w:t>
      </w:r>
      <w:r w:rsidRPr="00721589">
        <w:rPr>
          <w:rFonts w:ascii="Times New Roman" w:hAnsi="Times New Roman" w:cs="Times New Roman"/>
          <w:sz w:val="21"/>
          <w:szCs w:val="21"/>
        </w:rPr>
        <w:t xml:space="preserve">: </w:t>
      </w:r>
      <w:r w:rsidRPr="00721589">
        <w:rPr>
          <w:rFonts w:ascii="Times New Roman" w:hAnsi="Times New Roman" w:cs="Times New Roman"/>
          <w:sz w:val="21"/>
          <w:szCs w:val="21"/>
          <w:lang w:val="ru-RU"/>
        </w:rPr>
        <w:t>у</w:t>
      </w:r>
      <w:r w:rsidRPr="00721589">
        <w:rPr>
          <w:rFonts w:ascii="Times New Roman" w:hAnsi="Times New Roman" w:cs="Times New Roman"/>
          <w:sz w:val="21"/>
          <w:szCs w:val="21"/>
        </w:rPr>
        <w:t xml:space="preserve">чебное пособие / Под ред. Г. С. Батыгина. </w:t>
      </w:r>
      <w:r w:rsidRPr="00721589">
        <w:rPr>
          <w:rFonts w:ascii="Times New Roman" w:hAnsi="Times New Roman" w:cs="Times New Roman"/>
          <w:sz w:val="21"/>
          <w:szCs w:val="21"/>
          <w:lang w:val="ru-RU"/>
        </w:rPr>
        <w:t>–</w:t>
      </w:r>
      <w:r w:rsidRPr="00721589">
        <w:rPr>
          <w:rFonts w:ascii="Times New Roman" w:hAnsi="Times New Roman" w:cs="Times New Roman"/>
          <w:sz w:val="21"/>
          <w:szCs w:val="21"/>
        </w:rPr>
        <w:t xml:space="preserve"> М.</w:t>
      </w:r>
      <w:r w:rsidRPr="00721589">
        <w:rPr>
          <w:rFonts w:ascii="Times New Roman" w:hAnsi="Times New Roman" w:cs="Times New Roman"/>
          <w:sz w:val="21"/>
          <w:szCs w:val="21"/>
          <w:lang w:val="ru-RU"/>
        </w:rPr>
        <w:t xml:space="preserve"> </w:t>
      </w:r>
      <w:r w:rsidRPr="00721589">
        <w:rPr>
          <w:rFonts w:ascii="Times New Roman" w:hAnsi="Times New Roman" w:cs="Times New Roman"/>
          <w:sz w:val="21"/>
          <w:szCs w:val="21"/>
        </w:rPr>
        <w:t>: Новый учебник, 2004. – 248</w:t>
      </w:r>
      <w:r w:rsidRPr="00721589">
        <w:rPr>
          <w:rFonts w:ascii="Times New Roman" w:hAnsi="Times New Roman" w:cs="Times New Roman"/>
          <w:sz w:val="21"/>
          <w:szCs w:val="21"/>
          <w:lang w:val="ru-RU"/>
        </w:rPr>
        <w:t xml:space="preserve"> </w:t>
      </w:r>
      <w:r w:rsidRPr="00721589">
        <w:rPr>
          <w:rFonts w:ascii="Times New Roman" w:hAnsi="Times New Roman" w:cs="Times New Roman"/>
          <w:sz w:val="21"/>
          <w:szCs w:val="21"/>
        </w:rPr>
        <w:t>с.</w:t>
      </w:r>
      <w:bookmarkEnd w:id="383"/>
    </w:p>
    <w:p w:rsidR="00B233DE" w:rsidRPr="00721589"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84" w:name="_Ref435619599"/>
      <w:r w:rsidRPr="00721589">
        <w:rPr>
          <w:rFonts w:ascii="Times New Roman" w:hAnsi="Times New Roman" w:cs="Times New Roman"/>
          <w:sz w:val="21"/>
          <w:szCs w:val="21"/>
        </w:rPr>
        <w:t>Градосельская Г.</w:t>
      </w:r>
      <w:r w:rsidRPr="00721589">
        <w:rPr>
          <w:rFonts w:ascii="Times New Roman" w:hAnsi="Times New Roman" w:cs="Times New Roman"/>
          <w:sz w:val="21"/>
          <w:szCs w:val="21"/>
          <w:lang w:val="ru-RU"/>
        </w:rPr>
        <w:t xml:space="preserve"> </w:t>
      </w:r>
      <w:r w:rsidRPr="00721589">
        <w:rPr>
          <w:rFonts w:ascii="Times New Roman" w:hAnsi="Times New Roman" w:cs="Times New Roman"/>
          <w:sz w:val="21"/>
          <w:szCs w:val="21"/>
        </w:rPr>
        <w:t>В. Сетевизация в бизнесе</w:t>
      </w:r>
      <w:r w:rsidRPr="00721589">
        <w:rPr>
          <w:rFonts w:ascii="Times New Roman" w:hAnsi="Times New Roman" w:cs="Times New Roman"/>
          <w:sz w:val="21"/>
          <w:szCs w:val="21"/>
          <w:lang w:val="ru-RU"/>
        </w:rPr>
        <w:t xml:space="preserve"> </w:t>
      </w:r>
      <w:r w:rsidRPr="00721589">
        <w:rPr>
          <w:rFonts w:ascii="Times New Roman" w:hAnsi="Times New Roman" w:cs="Times New Roman"/>
          <w:sz w:val="21"/>
          <w:szCs w:val="21"/>
        </w:rPr>
        <w:t>: внутри- и внефирменные взаимодействия [</w:t>
      </w:r>
      <w:r w:rsidRPr="00721589">
        <w:rPr>
          <w:rFonts w:ascii="Times New Roman" w:hAnsi="Times New Roman" w:cs="Times New Roman"/>
          <w:sz w:val="21"/>
          <w:szCs w:val="21"/>
          <w:lang w:val="ru-RU"/>
        </w:rPr>
        <w:t>Е</w:t>
      </w:r>
      <w:r w:rsidRPr="00721589">
        <w:rPr>
          <w:rFonts w:ascii="Times New Roman" w:hAnsi="Times New Roman" w:cs="Times New Roman"/>
          <w:sz w:val="21"/>
          <w:szCs w:val="21"/>
        </w:rPr>
        <w:t>лектронний ресурс] /</w:t>
      </w:r>
      <w:r w:rsidRPr="00721589">
        <w:rPr>
          <w:rFonts w:ascii="Times New Roman" w:hAnsi="Times New Roman" w:cs="Times New Roman"/>
          <w:sz w:val="21"/>
          <w:szCs w:val="21"/>
          <w:lang w:val="ru-RU"/>
        </w:rPr>
        <w:t xml:space="preserve"> Г. В. Градосельская. – Режим доступу : </w:t>
      </w:r>
      <w:hyperlink r:id="rId122" w:history="1">
        <w:r w:rsidRPr="00721589">
          <w:rPr>
            <w:rStyle w:val="aff"/>
            <w:rFonts w:ascii="Times New Roman" w:hAnsi="Times New Roman" w:cs="Times New Roman"/>
            <w:color w:val="auto"/>
            <w:sz w:val="21"/>
            <w:szCs w:val="21"/>
            <w:u w:val="none"/>
            <w:lang w:val="en-US"/>
          </w:rPr>
          <w:t>http</w:t>
        </w:r>
        <w:r w:rsidRPr="00721589">
          <w:rPr>
            <w:rStyle w:val="aff"/>
            <w:rFonts w:ascii="Times New Roman" w:hAnsi="Times New Roman" w:cs="Times New Roman"/>
            <w:color w:val="auto"/>
            <w:sz w:val="21"/>
            <w:szCs w:val="21"/>
            <w:u w:val="none"/>
          </w:rPr>
          <w:t>://</w:t>
        </w:r>
        <w:r w:rsidRPr="00721589">
          <w:rPr>
            <w:rStyle w:val="aff"/>
            <w:rFonts w:ascii="Times New Roman" w:hAnsi="Times New Roman" w:cs="Times New Roman"/>
            <w:color w:val="auto"/>
            <w:sz w:val="21"/>
            <w:szCs w:val="21"/>
            <w:u w:val="none"/>
            <w:lang w:val="en-US"/>
          </w:rPr>
          <w:t>www</w:t>
        </w:r>
        <w:r w:rsidRPr="00721589">
          <w:rPr>
            <w:rStyle w:val="aff"/>
            <w:rFonts w:ascii="Times New Roman" w:hAnsi="Times New Roman" w:cs="Times New Roman"/>
            <w:color w:val="auto"/>
            <w:sz w:val="21"/>
            <w:szCs w:val="21"/>
            <w:u w:val="none"/>
          </w:rPr>
          <w:t>.</w:t>
        </w:r>
        <w:r w:rsidRPr="00721589">
          <w:rPr>
            <w:rStyle w:val="aff"/>
            <w:rFonts w:ascii="Times New Roman" w:hAnsi="Times New Roman" w:cs="Times New Roman"/>
            <w:color w:val="auto"/>
            <w:sz w:val="21"/>
            <w:szCs w:val="21"/>
            <w:u w:val="none"/>
            <w:lang w:val="en-US"/>
          </w:rPr>
          <w:t>ecsocman</w:t>
        </w:r>
        <w:r w:rsidRPr="00721589">
          <w:rPr>
            <w:rStyle w:val="aff"/>
            <w:rFonts w:ascii="Times New Roman" w:hAnsi="Times New Roman" w:cs="Times New Roman"/>
            <w:color w:val="auto"/>
            <w:sz w:val="21"/>
            <w:szCs w:val="21"/>
            <w:u w:val="none"/>
          </w:rPr>
          <w:t>.</w:t>
        </w:r>
        <w:r w:rsidRPr="00721589">
          <w:rPr>
            <w:rStyle w:val="aff"/>
            <w:rFonts w:ascii="Times New Roman" w:hAnsi="Times New Roman" w:cs="Times New Roman"/>
            <w:color w:val="auto"/>
            <w:sz w:val="21"/>
            <w:szCs w:val="21"/>
            <w:u w:val="none"/>
            <w:lang w:val="en-US"/>
          </w:rPr>
          <w:t>edu</w:t>
        </w:r>
        <w:r w:rsidRPr="00721589">
          <w:rPr>
            <w:rStyle w:val="aff"/>
            <w:rFonts w:ascii="Times New Roman" w:hAnsi="Times New Roman" w:cs="Times New Roman"/>
            <w:color w:val="auto"/>
            <w:sz w:val="21"/>
            <w:szCs w:val="21"/>
            <w:u w:val="none"/>
          </w:rPr>
          <w:t>.</w:t>
        </w:r>
        <w:r w:rsidRPr="00721589">
          <w:rPr>
            <w:rStyle w:val="aff"/>
            <w:rFonts w:ascii="Times New Roman" w:hAnsi="Times New Roman" w:cs="Times New Roman"/>
            <w:color w:val="auto"/>
            <w:sz w:val="21"/>
            <w:szCs w:val="21"/>
            <w:u w:val="none"/>
            <w:lang w:val="en-US"/>
          </w:rPr>
          <w:t>ru</w:t>
        </w:r>
        <w:r w:rsidRPr="00721589">
          <w:rPr>
            <w:rStyle w:val="aff"/>
            <w:rFonts w:ascii="Times New Roman" w:hAnsi="Times New Roman" w:cs="Times New Roman"/>
            <w:color w:val="auto"/>
            <w:sz w:val="21"/>
            <w:szCs w:val="21"/>
            <w:u w:val="none"/>
          </w:rPr>
          <w:t>/</w:t>
        </w:r>
        <w:r w:rsidRPr="00721589">
          <w:rPr>
            <w:rStyle w:val="aff"/>
            <w:rFonts w:ascii="Times New Roman" w:hAnsi="Times New Roman" w:cs="Times New Roman"/>
            <w:color w:val="auto"/>
            <w:sz w:val="21"/>
            <w:szCs w:val="21"/>
            <w:u w:val="none"/>
            <w:lang w:val="en-US"/>
          </w:rPr>
          <w:t>db</w:t>
        </w:r>
        <w:r w:rsidRPr="00721589">
          <w:rPr>
            <w:rStyle w:val="aff"/>
            <w:rFonts w:ascii="Times New Roman" w:hAnsi="Times New Roman" w:cs="Times New Roman"/>
            <w:color w:val="auto"/>
            <w:sz w:val="21"/>
            <w:szCs w:val="21"/>
            <w:u w:val="none"/>
          </w:rPr>
          <w:t xml:space="preserve"> /</w:t>
        </w:r>
        <w:r w:rsidRPr="00721589">
          <w:rPr>
            <w:rStyle w:val="aff"/>
            <w:rFonts w:ascii="Times New Roman" w:hAnsi="Times New Roman" w:cs="Times New Roman"/>
            <w:color w:val="auto"/>
            <w:sz w:val="21"/>
            <w:szCs w:val="21"/>
            <w:u w:val="none"/>
            <w:lang w:val="en-US"/>
          </w:rPr>
          <w:t>msg</w:t>
        </w:r>
        <w:r w:rsidRPr="00721589">
          <w:rPr>
            <w:rStyle w:val="aff"/>
            <w:rFonts w:ascii="Times New Roman" w:hAnsi="Times New Roman" w:cs="Times New Roman"/>
            <w:color w:val="auto"/>
            <w:sz w:val="21"/>
            <w:szCs w:val="21"/>
            <w:u w:val="none"/>
          </w:rPr>
          <w:t>/153802.</w:t>
        </w:r>
        <w:r w:rsidRPr="00721589">
          <w:rPr>
            <w:rStyle w:val="aff"/>
            <w:rFonts w:ascii="Times New Roman" w:hAnsi="Times New Roman" w:cs="Times New Roman"/>
            <w:color w:val="auto"/>
            <w:sz w:val="21"/>
            <w:szCs w:val="21"/>
            <w:u w:val="none"/>
            <w:lang w:val="en-US"/>
          </w:rPr>
          <w:t>html</w:t>
        </w:r>
      </w:hyperlink>
      <w:r w:rsidRPr="00721589">
        <w:rPr>
          <w:rFonts w:ascii="Times New Roman" w:hAnsi="Times New Roman" w:cs="Times New Roman"/>
          <w:sz w:val="21"/>
          <w:szCs w:val="21"/>
        </w:rPr>
        <w:t>;</w:t>
      </w:r>
      <w:bookmarkEnd w:id="384"/>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85" w:name="_Ref435619443"/>
      <w:r w:rsidRPr="006E771B">
        <w:rPr>
          <w:rFonts w:ascii="Times New Roman" w:hAnsi="Times New Roman" w:cs="Times New Roman"/>
          <w:sz w:val="21"/>
          <w:szCs w:val="21"/>
        </w:rPr>
        <w:t>Градосельская Г.</w:t>
      </w:r>
      <w:r>
        <w:rPr>
          <w:rFonts w:ascii="Times New Roman" w:hAnsi="Times New Roman" w:cs="Times New Roman"/>
          <w:sz w:val="21"/>
          <w:szCs w:val="21"/>
        </w:rPr>
        <w:t xml:space="preserve"> </w:t>
      </w:r>
      <w:r w:rsidRPr="006E771B">
        <w:rPr>
          <w:rFonts w:ascii="Times New Roman" w:hAnsi="Times New Roman" w:cs="Times New Roman"/>
          <w:sz w:val="21"/>
          <w:szCs w:val="21"/>
        </w:rPr>
        <w:t>В. Социальные сети</w:t>
      </w:r>
      <w:r>
        <w:rPr>
          <w:rFonts w:ascii="Times New Roman" w:hAnsi="Times New Roman" w:cs="Times New Roman"/>
          <w:sz w:val="21"/>
          <w:szCs w:val="21"/>
        </w:rPr>
        <w:t xml:space="preserve"> </w:t>
      </w:r>
      <w:r w:rsidRPr="006E771B">
        <w:rPr>
          <w:rFonts w:ascii="Times New Roman" w:hAnsi="Times New Roman" w:cs="Times New Roman"/>
          <w:sz w:val="21"/>
          <w:szCs w:val="21"/>
        </w:rPr>
        <w:t>: обмен частными трансфертами</w:t>
      </w:r>
      <w:r>
        <w:rPr>
          <w:rFonts w:ascii="Times New Roman" w:hAnsi="Times New Roman" w:cs="Times New Roman"/>
          <w:sz w:val="21"/>
          <w:szCs w:val="21"/>
        </w:rPr>
        <w:t xml:space="preserve"> / Г. В. Градосельская</w:t>
      </w:r>
      <w:r w:rsidRPr="006E771B">
        <w:rPr>
          <w:rFonts w:ascii="Times New Roman" w:hAnsi="Times New Roman" w:cs="Times New Roman"/>
          <w:sz w:val="21"/>
          <w:szCs w:val="21"/>
        </w:rPr>
        <w:t xml:space="preserve"> // Социологический журнал. - 1999. </w:t>
      </w:r>
      <w:r>
        <w:rPr>
          <w:rFonts w:ascii="Times New Roman" w:hAnsi="Times New Roman" w:cs="Times New Roman"/>
          <w:sz w:val="21"/>
          <w:szCs w:val="21"/>
        </w:rPr>
        <w:t>– № 1/2. –</w:t>
      </w:r>
      <w:r w:rsidRPr="006E771B">
        <w:rPr>
          <w:rFonts w:ascii="Times New Roman" w:hAnsi="Times New Roman" w:cs="Times New Roman"/>
          <w:sz w:val="21"/>
          <w:szCs w:val="21"/>
        </w:rPr>
        <w:t xml:space="preserve"> С. 156</w:t>
      </w:r>
      <w:r>
        <w:rPr>
          <w:rFonts w:ascii="Times New Roman" w:hAnsi="Times New Roman" w:cs="Times New Roman"/>
          <w:sz w:val="21"/>
          <w:szCs w:val="21"/>
        </w:rPr>
        <w:t>–</w:t>
      </w:r>
      <w:r w:rsidRPr="006E771B">
        <w:rPr>
          <w:rFonts w:ascii="Times New Roman" w:hAnsi="Times New Roman" w:cs="Times New Roman"/>
          <w:sz w:val="21"/>
          <w:szCs w:val="21"/>
        </w:rPr>
        <w:t>163.</w:t>
      </w:r>
      <w:bookmarkEnd w:id="385"/>
    </w:p>
    <w:p w:rsidR="00B233DE" w:rsidRPr="000D0858"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86" w:name="_Ref435619841"/>
      <w:r w:rsidRPr="000D0858">
        <w:rPr>
          <w:rFonts w:ascii="Times New Roman" w:hAnsi="Times New Roman" w:cs="Times New Roman"/>
          <w:sz w:val="21"/>
          <w:szCs w:val="21"/>
        </w:rPr>
        <w:t>Григорьева И. А. Социальная политика и социальное реформирование в России в 90-х годах / И. А. Григорьева. – СПб. : 1998. – С.</w:t>
      </w:r>
      <w:r w:rsidRPr="000D0858" w:rsidDel="001B6430">
        <w:rPr>
          <w:rFonts w:ascii="Times New Roman" w:hAnsi="Times New Roman" w:cs="Times New Roman"/>
          <w:sz w:val="21"/>
          <w:szCs w:val="21"/>
        </w:rPr>
        <w:t xml:space="preserve"> </w:t>
      </w:r>
      <w:r w:rsidRPr="000D0858">
        <w:rPr>
          <w:rFonts w:ascii="Times New Roman" w:hAnsi="Times New Roman" w:cs="Times New Roman"/>
          <w:sz w:val="21"/>
          <w:szCs w:val="21"/>
        </w:rPr>
        <w:t>20–31.</w:t>
      </w:r>
      <w:bookmarkEnd w:id="386"/>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87" w:name="_Ref435620094"/>
      <w:r w:rsidRPr="00954FE8">
        <w:rPr>
          <w:rFonts w:ascii="Times New Roman" w:hAnsi="Times New Roman" w:cs="Times New Roman"/>
          <w:sz w:val="21"/>
          <w:szCs w:val="21"/>
        </w:rPr>
        <w:t>Григорьева И. А. Социальная политика : основные понятия / И. А. Григорьева // Журнал исследований социальной политики. – 2003. – № 1. – С. 40–45.</w:t>
      </w:r>
      <w:bookmarkEnd w:id="387"/>
    </w:p>
    <w:p w:rsidR="00B233DE" w:rsidRPr="00D65E9A"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88" w:name="_Ref435618578"/>
      <w:r>
        <w:rPr>
          <w:rFonts w:ascii="Times New Roman" w:hAnsi="Times New Roman" w:cs="Times New Roman"/>
          <w:sz w:val="21"/>
          <w:szCs w:val="21"/>
        </w:rPr>
        <w:lastRenderedPageBreak/>
        <w:t>Гриньова</w:t>
      </w:r>
      <w:r w:rsidRPr="00CB07DF">
        <w:rPr>
          <w:rFonts w:ascii="Times New Roman" w:hAnsi="Times New Roman" w:cs="Times New Roman"/>
          <w:sz w:val="21"/>
          <w:szCs w:val="21"/>
        </w:rPr>
        <w:t xml:space="preserve"> В. М. Державне регулюв</w:t>
      </w:r>
      <w:r>
        <w:rPr>
          <w:rFonts w:ascii="Times New Roman" w:hAnsi="Times New Roman" w:cs="Times New Roman"/>
          <w:sz w:val="21"/>
          <w:szCs w:val="21"/>
        </w:rPr>
        <w:t xml:space="preserve">ання економіки : підручник / В. М. </w:t>
      </w:r>
      <w:r w:rsidRPr="00CB07DF">
        <w:rPr>
          <w:rFonts w:ascii="Times New Roman" w:hAnsi="Times New Roman" w:cs="Times New Roman"/>
          <w:sz w:val="21"/>
          <w:szCs w:val="21"/>
        </w:rPr>
        <w:t>Гриньова, М. М. Новік</w:t>
      </w:r>
      <w:r>
        <w:rPr>
          <w:rFonts w:ascii="Times New Roman" w:hAnsi="Times New Roman" w:cs="Times New Roman"/>
          <w:sz w:val="21"/>
          <w:szCs w:val="21"/>
        </w:rPr>
        <w:t xml:space="preserve">ова. – К. : Знання, 2008. – 398 </w:t>
      </w:r>
      <w:r w:rsidRPr="00CB07DF">
        <w:rPr>
          <w:rFonts w:ascii="Times New Roman" w:hAnsi="Times New Roman" w:cs="Times New Roman"/>
          <w:sz w:val="21"/>
          <w:szCs w:val="21"/>
        </w:rPr>
        <w:t>c.</w:t>
      </w:r>
      <w:bookmarkEnd w:id="388"/>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89" w:name="_Ref435621027"/>
      <w:r w:rsidRPr="00954FE8">
        <w:rPr>
          <w:rFonts w:ascii="Times New Roman" w:hAnsi="Times New Roman" w:cs="Times New Roman"/>
          <w:sz w:val="21"/>
          <w:szCs w:val="21"/>
        </w:rPr>
        <w:t>Губерная Г. К. О значении социальной составляющей рыночных реформ / Г. К. Губерная, А. П. Ткаченко // Рыночное реформирование управления экономикой : сб. науч. трудов ДонГАУ. Серия «Экономика». – Донецк, 2000. – Вып. 1, т. 1. – С. 119–131.</w:t>
      </w:r>
      <w:bookmarkEnd w:id="389"/>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90" w:name="_Ref435619801"/>
      <w:r>
        <w:rPr>
          <w:rFonts w:ascii="Times New Roman" w:hAnsi="Times New Roman" w:cs="Times New Roman"/>
          <w:sz w:val="21"/>
          <w:szCs w:val="21"/>
        </w:rPr>
        <w:t xml:space="preserve">Гурков И. </w:t>
      </w:r>
      <w:r w:rsidRPr="006E771B">
        <w:rPr>
          <w:rFonts w:ascii="Times New Roman" w:hAnsi="Times New Roman" w:cs="Times New Roman"/>
          <w:sz w:val="21"/>
          <w:szCs w:val="21"/>
        </w:rPr>
        <w:t xml:space="preserve">Конкурентоспособность и инновационность российских промышленных предприятий (по результатам массового опроса их руководителей) </w:t>
      </w:r>
      <w:r>
        <w:rPr>
          <w:rFonts w:ascii="Times New Roman" w:hAnsi="Times New Roman" w:cs="Times New Roman"/>
          <w:sz w:val="21"/>
          <w:szCs w:val="21"/>
        </w:rPr>
        <w:t>/ И. Гурков, Е. Аврамова, В. Турбалов // Вопросы экономики. –</w:t>
      </w:r>
      <w:r w:rsidRPr="006E771B">
        <w:rPr>
          <w:rFonts w:ascii="Times New Roman" w:hAnsi="Times New Roman" w:cs="Times New Roman"/>
          <w:sz w:val="21"/>
          <w:szCs w:val="21"/>
        </w:rPr>
        <w:t xml:space="preserve"> 2005. </w:t>
      </w:r>
      <w:r>
        <w:rPr>
          <w:rFonts w:ascii="Times New Roman" w:hAnsi="Times New Roman" w:cs="Times New Roman"/>
          <w:sz w:val="21"/>
          <w:szCs w:val="21"/>
        </w:rPr>
        <w:t xml:space="preserve">– </w:t>
      </w:r>
      <w:r w:rsidRPr="006E771B">
        <w:rPr>
          <w:rFonts w:ascii="Times New Roman" w:hAnsi="Times New Roman" w:cs="Times New Roman"/>
          <w:sz w:val="21"/>
          <w:szCs w:val="21"/>
        </w:rPr>
        <w:t>№</w:t>
      </w:r>
      <w:r>
        <w:rPr>
          <w:rFonts w:ascii="Times New Roman" w:hAnsi="Times New Roman" w:cs="Times New Roman"/>
          <w:sz w:val="21"/>
          <w:szCs w:val="21"/>
        </w:rPr>
        <w:t xml:space="preserve"> </w:t>
      </w:r>
      <w:r w:rsidRPr="006E771B">
        <w:rPr>
          <w:rFonts w:ascii="Times New Roman" w:hAnsi="Times New Roman" w:cs="Times New Roman"/>
          <w:sz w:val="21"/>
          <w:szCs w:val="21"/>
        </w:rPr>
        <w:t xml:space="preserve">2. </w:t>
      </w:r>
      <w:r>
        <w:rPr>
          <w:rFonts w:ascii="Times New Roman" w:hAnsi="Times New Roman" w:cs="Times New Roman"/>
          <w:sz w:val="21"/>
          <w:szCs w:val="21"/>
        </w:rPr>
        <w:t>–</w:t>
      </w:r>
      <w:r w:rsidRPr="006E771B">
        <w:rPr>
          <w:rFonts w:ascii="Times New Roman" w:hAnsi="Times New Roman" w:cs="Times New Roman"/>
          <w:sz w:val="21"/>
          <w:szCs w:val="21"/>
        </w:rPr>
        <w:t xml:space="preserve"> С.40</w:t>
      </w:r>
      <w:r>
        <w:rPr>
          <w:rFonts w:ascii="Times New Roman" w:hAnsi="Times New Roman" w:cs="Times New Roman"/>
          <w:sz w:val="21"/>
          <w:szCs w:val="21"/>
        </w:rPr>
        <w:t>–</w:t>
      </w:r>
      <w:r w:rsidRPr="006E771B">
        <w:rPr>
          <w:rFonts w:ascii="Times New Roman" w:hAnsi="Times New Roman" w:cs="Times New Roman"/>
          <w:sz w:val="21"/>
          <w:szCs w:val="21"/>
        </w:rPr>
        <w:t>52.</w:t>
      </w:r>
      <w:bookmarkEnd w:id="390"/>
    </w:p>
    <w:p w:rsidR="00B233DE" w:rsidRPr="00D65E9A"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91" w:name="_Ref435619776"/>
      <w:r w:rsidRPr="006E771B">
        <w:rPr>
          <w:rFonts w:ascii="Times New Roman" w:hAnsi="Times New Roman" w:cs="Times New Roman"/>
          <w:sz w:val="21"/>
          <w:szCs w:val="21"/>
        </w:rPr>
        <w:t>Давыденко В.</w:t>
      </w:r>
      <w:r>
        <w:rPr>
          <w:rFonts w:ascii="Times New Roman" w:hAnsi="Times New Roman" w:cs="Times New Roman"/>
          <w:sz w:val="21"/>
          <w:szCs w:val="21"/>
        </w:rPr>
        <w:t xml:space="preserve"> А.</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Моделирование социальных сетей </w:t>
      </w:r>
      <w:r>
        <w:rPr>
          <w:rFonts w:ascii="Times New Roman" w:hAnsi="Times New Roman" w:cs="Times New Roman"/>
          <w:sz w:val="21"/>
          <w:szCs w:val="21"/>
        </w:rPr>
        <w:t>/ В.</w:t>
      </w:r>
      <w:r>
        <w:rPr>
          <w:rFonts w:ascii="Times New Roman" w:hAnsi="Times New Roman" w:cs="Times New Roman"/>
          <w:sz w:val="21"/>
          <w:szCs w:val="21"/>
          <w:lang w:val="ru-RU"/>
        </w:rPr>
        <w:t> </w:t>
      </w:r>
      <w:r>
        <w:rPr>
          <w:rFonts w:ascii="Times New Roman" w:hAnsi="Times New Roman" w:cs="Times New Roman"/>
          <w:sz w:val="21"/>
          <w:szCs w:val="21"/>
        </w:rPr>
        <w:t>А.</w:t>
      </w:r>
      <w:r>
        <w:rPr>
          <w:rFonts w:ascii="Times New Roman" w:hAnsi="Times New Roman" w:cs="Times New Roman"/>
          <w:sz w:val="21"/>
          <w:szCs w:val="21"/>
          <w:lang w:val="ru-RU"/>
        </w:rPr>
        <w:t xml:space="preserve"> Давыденко, Г. Ф. Ромашкина, С. Н. Чуканов </w:t>
      </w:r>
      <w:r w:rsidRPr="006E771B">
        <w:rPr>
          <w:rFonts w:ascii="Times New Roman" w:hAnsi="Times New Roman" w:cs="Times New Roman"/>
          <w:sz w:val="21"/>
          <w:szCs w:val="21"/>
        </w:rPr>
        <w:t>// Вестник Тюменского государственного университет</w:t>
      </w:r>
      <w:r>
        <w:rPr>
          <w:rFonts w:ascii="Times New Roman" w:hAnsi="Times New Roman" w:cs="Times New Roman"/>
          <w:sz w:val="21"/>
          <w:szCs w:val="21"/>
        </w:rPr>
        <w:t xml:space="preserve">а. </w:t>
      </w:r>
      <w:r>
        <w:rPr>
          <w:rFonts w:ascii="Times New Roman" w:hAnsi="Times New Roman" w:cs="Times New Roman"/>
          <w:sz w:val="21"/>
          <w:szCs w:val="21"/>
          <w:lang w:val="ru-RU"/>
        </w:rPr>
        <w:t>–</w:t>
      </w:r>
      <w:r w:rsidRPr="006E771B">
        <w:rPr>
          <w:rFonts w:ascii="Times New Roman" w:hAnsi="Times New Roman" w:cs="Times New Roman"/>
          <w:sz w:val="21"/>
          <w:szCs w:val="21"/>
        </w:rPr>
        <w:t xml:space="preserve"> 2005. </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 1. </w:t>
      </w:r>
      <w:r>
        <w:rPr>
          <w:rFonts w:ascii="Times New Roman" w:hAnsi="Times New Roman" w:cs="Times New Roman"/>
          <w:sz w:val="21"/>
          <w:szCs w:val="21"/>
        </w:rPr>
        <w:t>–</w:t>
      </w:r>
      <w:r w:rsidRPr="006E771B">
        <w:rPr>
          <w:rFonts w:ascii="Times New Roman" w:hAnsi="Times New Roman" w:cs="Times New Roman"/>
          <w:sz w:val="21"/>
          <w:szCs w:val="21"/>
        </w:rPr>
        <w:t xml:space="preserve"> С.</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68</w:t>
      </w:r>
      <w:r>
        <w:rPr>
          <w:rFonts w:ascii="Times New Roman" w:hAnsi="Times New Roman" w:cs="Times New Roman"/>
          <w:sz w:val="21"/>
          <w:szCs w:val="21"/>
        </w:rPr>
        <w:t>–</w:t>
      </w:r>
      <w:r w:rsidRPr="006E771B">
        <w:rPr>
          <w:rFonts w:ascii="Times New Roman" w:hAnsi="Times New Roman" w:cs="Times New Roman"/>
          <w:sz w:val="21"/>
          <w:szCs w:val="21"/>
        </w:rPr>
        <w:t>79.</w:t>
      </w:r>
      <w:bookmarkEnd w:id="391"/>
    </w:p>
    <w:p w:rsidR="00B233DE" w:rsidRPr="00D65E9A"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92" w:name="_Ref435619475"/>
      <w:r w:rsidRPr="006E771B">
        <w:rPr>
          <w:rFonts w:ascii="Times New Roman" w:hAnsi="Times New Roman" w:cs="Times New Roman"/>
          <w:sz w:val="21"/>
          <w:szCs w:val="21"/>
        </w:rPr>
        <w:t>Демин А.</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Н. Возможности использования человеком индивидуальных и социальных ресурсов в ситуации отсутствия работы </w:t>
      </w:r>
      <w:r>
        <w:rPr>
          <w:rFonts w:ascii="Times New Roman" w:hAnsi="Times New Roman" w:cs="Times New Roman"/>
          <w:sz w:val="21"/>
          <w:szCs w:val="21"/>
          <w:lang w:val="ru-RU"/>
        </w:rPr>
        <w:t xml:space="preserve">/ А. Н. Демин </w:t>
      </w:r>
      <w:r w:rsidRPr="006E771B">
        <w:rPr>
          <w:rFonts w:ascii="Times New Roman" w:hAnsi="Times New Roman" w:cs="Times New Roman"/>
          <w:sz w:val="21"/>
          <w:szCs w:val="21"/>
        </w:rPr>
        <w:t xml:space="preserve">// Экономическая социология. </w:t>
      </w:r>
      <w:r>
        <w:rPr>
          <w:rFonts w:ascii="Times New Roman" w:hAnsi="Times New Roman" w:cs="Times New Roman"/>
          <w:sz w:val="21"/>
          <w:szCs w:val="21"/>
        </w:rPr>
        <w:t>–</w:t>
      </w:r>
      <w:r w:rsidRPr="006E771B">
        <w:rPr>
          <w:rFonts w:ascii="Times New Roman" w:hAnsi="Times New Roman" w:cs="Times New Roman"/>
          <w:sz w:val="21"/>
          <w:szCs w:val="21"/>
        </w:rPr>
        <w:t xml:space="preserve"> 2000. </w:t>
      </w:r>
      <w:r>
        <w:rPr>
          <w:rFonts w:ascii="Times New Roman" w:hAnsi="Times New Roman" w:cs="Times New Roman"/>
          <w:sz w:val="21"/>
          <w:szCs w:val="21"/>
          <w:lang w:val="ru-RU"/>
        </w:rPr>
        <w:t xml:space="preserve">– </w:t>
      </w:r>
      <w:r>
        <w:rPr>
          <w:rFonts w:ascii="Times New Roman" w:hAnsi="Times New Roman" w:cs="Times New Roman"/>
          <w:sz w:val="21"/>
          <w:szCs w:val="21"/>
        </w:rPr>
        <w:t>№ 1</w:t>
      </w:r>
      <w:r>
        <w:rPr>
          <w:rFonts w:ascii="Times New Roman" w:hAnsi="Times New Roman" w:cs="Times New Roman"/>
          <w:sz w:val="21"/>
          <w:szCs w:val="21"/>
          <w:lang w:val="ru-RU"/>
        </w:rPr>
        <w:t>, т</w:t>
      </w:r>
      <w:r w:rsidRPr="006E771B">
        <w:rPr>
          <w:rFonts w:ascii="Times New Roman" w:hAnsi="Times New Roman" w:cs="Times New Roman"/>
          <w:sz w:val="21"/>
          <w:szCs w:val="21"/>
        </w:rPr>
        <w:t>.</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1. </w:t>
      </w:r>
      <w:r>
        <w:rPr>
          <w:rFonts w:ascii="Times New Roman" w:hAnsi="Times New Roman" w:cs="Times New Roman"/>
          <w:sz w:val="21"/>
          <w:szCs w:val="21"/>
        </w:rPr>
        <w:t>–</w:t>
      </w:r>
      <w:r w:rsidRPr="006E771B">
        <w:rPr>
          <w:rFonts w:ascii="Times New Roman" w:hAnsi="Times New Roman" w:cs="Times New Roman"/>
          <w:sz w:val="21"/>
          <w:szCs w:val="21"/>
        </w:rPr>
        <w:t xml:space="preserve"> С.</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37</w:t>
      </w:r>
      <w:r>
        <w:rPr>
          <w:rFonts w:ascii="Times New Roman" w:hAnsi="Times New Roman" w:cs="Times New Roman"/>
          <w:sz w:val="21"/>
          <w:szCs w:val="21"/>
        </w:rPr>
        <w:t>–</w:t>
      </w:r>
      <w:r w:rsidRPr="006E771B">
        <w:rPr>
          <w:rFonts w:ascii="Times New Roman" w:hAnsi="Times New Roman" w:cs="Times New Roman"/>
          <w:sz w:val="21"/>
          <w:szCs w:val="21"/>
        </w:rPr>
        <w:t>47.</w:t>
      </w:r>
      <w:bookmarkEnd w:id="392"/>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93" w:name="_Ref435620758"/>
      <w:r w:rsidRPr="00954FE8">
        <w:rPr>
          <w:rFonts w:ascii="Times New Roman" w:hAnsi="Times New Roman" w:cs="Times New Roman"/>
          <w:sz w:val="21"/>
          <w:szCs w:val="21"/>
        </w:rPr>
        <w:t>Дем’янишин В. Г. Теоретична концептуалізація та практична реалізація бюджетної доктрини України : монографія / В. Г. Дем’янишин. – Тернопіль : ТНЕУ, 2008. – 496 с.</w:t>
      </w:r>
      <w:bookmarkEnd w:id="393"/>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94" w:name="_Ref435618996"/>
      <w:r w:rsidRPr="00CB07DF">
        <w:rPr>
          <w:rFonts w:ascii="Times New Roman" w:hAnsi="Times New Roman" w:cs="Times New Roman"/>
          <w:sz w:val="21"/>
          <w:szCs w:val="21"/>
        </w:rPr>
        <w:t>Держав</w:t>
      </w:r>
      <w:r>
        <w:rPr>
          <w:rFonts w:ascii="Times New Roman" w:hAnsi="Times New Roman" w:cs="Times New Roman"/>
          <w:sz w:val="21"/>
          <w:szCs w:val="21"/>
        </w:rPr>
        <w:t xml:space="preserve">на регіональна політика України </w:t>
      </w:r>
      <w:r w:rsidRPr="00CB07DF">
        <w:rPr>
          <w:rFonts w:ascii="Times New Roman" w:hAnsi="Times New Roman" w:cs="Times New Roman"/>
          <w:sz w:val="21"/>
          <w:szCs w:val="21"/>
        </w:rPr>
        <w:t>: особли</w:t>
      </w:r>
      <w:r>
        <w:rPr>
          <w:rFonts w:ascii="Times New Roman" w:hAnsi="Times New Roman" w:cs="Times New Roman"/>
          <w:sz w:val="21"/>
          <w:szCs w:val="21"/>
        </w:rPr>
        <w:t xml:space="preserve">вості та стратегічні пріоритети : монографія / за ред. З. С. Варналія. – К. </w:t>
      </w:r>
      <w:r w:rsidRPr="00CB07DF">
        <w:rPr>
          <w:rFonts w:ascii="Times New Roman" w:hAnsi="Times New Roman" w:cs="Times New Roman"/>
          <w:sz w:val="21"/>
          <w:szCs w:val="21"/>
        </w:rPr>
        <w:t>: НІСД,</w:t>
      </w:r>
      <w:r>
        <w:rPr>
          <w:rFonts w:ascii="Times New Roman" w:hAnsi="Times New Roman" w:cs="Times New Roman"/>
          <w:sz w:val="21"/>
          <w:szCs w:val="21"/>
        </w:rPr>
        <w:t xml:space="preserve"> 2007. – 820 </w:t>
      </w:r>
      <w:r w:rsidRPr="00CB07DF">
        <w:rPr>
          <w:rFonts w:ascii="Times New Roman" w:hAnsi="Times New Roman" w:cs="Times New Roman"/>
          <w:sz w:val="21"/>
          <w:szCs w:val="21"/>
        </w:rPr>
        <w:t>с.</w:t>
      </w:r>
      <w:bookmarkEnd w:id="394"/>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95" w:name="_Ref435620638"/>
      <w:r w:rsidRPr="00954FE8">
        <w:rPr>
          <w:rFonts w:ascii="Times New Roman" w:hAnsi="Times New Roman" w:cs="Times New Roman"/>
          <w:noProof/>
          <w:sz w:val="21"/>
          <w:szCs w:val="21"/>
        </w:rPr>
        <w:t>Державне управління в Україні : наукові, правові, кадрові та організаційні засади : навч. посіб. / за заг. ред. Н. Р. Нижник, В. М. Олуйка. – Львів : Вид-во Нац. ун-ту «Львівська політехніка», 2002. – 352 с.</w:t>
      </w:r>
      <w:bookmarkEnd w:id="395"/>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96" w:name="_Ref435620486"/>
      <w:r w:rsidRPr="00954FE8">
        <w:rPr>
          <w:rFonts w:ascii="Times New Roman" w:hAnsi="Times New Roman" w:cs="Times New Roman"/>
          <w:sz w:val="21"/>
          <w:szCs w:val="21"/>
        </w:rPr>
        <w:t xml:space="preserve">Державне управління та державна служба : словн.-довід / [уклад. О. Ю.Оболенський]. </w:t>
      </w:r>
      <w:r w:rsidRPr="00954FE8">
        <w:rPr>
          <w:rFonts w:ascii="Times New Roman" w:hAnsi="Times New Roman" w:cs="Times New Roman"/>
          <w:spacing w:val="-4"/>
          <w:sz w:val="21"/>
          <w:szCs w:val="21"/>
        </w:rPr>
        <w:t xml:space="preserve">– </w:t>
      </w:r>
      <w:r w:rsidRPr="00954FE8">
        <w:rPr>
          <w:rFonts w:ascii="Times New Roman" w:hAnsi="Times New Roman" w:cs="Times New Roman"/>
          <w:sz w:val="21"/>
          <w:szCs w:val="21"/>
        </w:rPr>
        <w:t xml:space="preserve">К. : КНЕУ, 2005. </w:t>
      </w:r>
      <w:r w:rsidRPr="00954FE8">
        <w:rPr>
          <w:rFonts w:ascii="Times New Roman" w:hAnsi="Times New Roman" w:cs="Times New Roman"/>
          <w:spacing w:val="-4"/>
          <w:sz w:val="21"/>
          <w:szCs w:val="21"/>
        </w:rPr>
        <w:t xml:space="preserve">– </w:t>
      </w:r>
      <w:r w:rsidRPr="00954FE8">
        <w:rPr>
          <w:rFonts w:ascii="Times New Roman" w:hAnsi="Times New Roman" w:cs="Times New Roman"/>
          <w:sz w:val="21"/>
          <w:szCs w:val="21"/>
        </w:rPr>
        <w:t>391 с.</w:t>
      </w:r>
      <w:bookmarkEnd w:id="396"/>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97" w:name="_Ref435621058"/>
      <w:r>
        <w:rPr>
          <w:rFonts w:ascii="Times New Roman" w:hAnsi="Times New Roman" w:cs="Times New Roman"/>
          <w:sz w:val="21"/>
          <w:szCs w:val="21"/>
        </w:rPr>
        <w:t xml:space="preserve">Дєгтяр О. </w:t>
      </w:r>
      <w:r w:rsidRPr="00B37A0B">
        <w:rPr>
          <w:rFonts w:ascii="Times New Roman" w:hAnsi="Times New Roman" w:cs="Times New Roman"/>
          <w:sz w:val="21"/>
          <w:szCs w:val="21"/>
        </w:rPr>
        <w:t>А. Теоретичні аспекти формування та розвитку дер</w:t>
      </w:r>
      <w:r>
        <w:rPr>
          <w:rFonts w:ascii="Times New Roman" w:hAnsi="Times New Roman" w:cs="Times New Roman"/>
          <w:sz w:val="21"/>
          <w:szCs w:val="21"/>
        </w:rPr>
        <w:t xml:space="preserve">жавної соціальної політики / О. </w:t>
      </w:r>
      <w:r w:rsidRPr="00B37A0B">
        <w:rPr>
          <w:rFonts w:ascii="Times New Roman" w:hAnsi="Times New Roman" w:cs="Times New Roman"/>
          <w:sz w:val="21"/>
          <w:szCs w:val="21"/>
        </w:rPr>
        <w:t xml:space="preserve">А. Дєгтяр // Держава та регіони. – 2013. </w:t>
      </w:r>
      <w:r>
        <w:rPr>
          <w:rFonts w:ascii="Times New Roman" w:hAnsi="Times New Roman" w:cs="Times New Roman"/>
          <w:sz w:val="21"/>
          <w:szCs w:val="21"/>
        </w:rPr>
        <w:t>–</w:t>
      </w:r>
      <w:r w:rsidRPr="00B37A0B">
        <w:rPr>
          <w:rFonts w:ascii="Times New Roman" w:hAnsi="Times New Roman" w:cs="Times New Roman"/>
          <w:sz w:val="21"/>
          <w:szCs w:val="21"/>
        </w:rPr>
        <w:t xml:space="preserve"> №</w:t>
      </w:r>
      <w:r>
        <w:rPr>
          <w:rFonts w:ascii="Times New Roman" w:hAnsi="Times New Roman" w:cs="Times New Roman"/>
          <w:sz w:val="21"/>
          <w:szCs w:val="21"/>
        </w:rPr>
        <w:t xml:space="preserve"> 1 (41). – С</w:t>
      </w:r>
      <w:r w:rsidRPr="00B37A0B">
        <w:rPr>
          <w:rFonts w:ascii="Times New Roman" w:hAnsi="Times New Roman" w:cs="Times New Roman"/>
          <w:sz w:val="21"/>
          <w:szCs w:val="21"/>
        </w:rPr>
        <w:t>.</w:t>
      </w:r>
      <w:r>
        <w:rPr>
          <w:rFonts w:ascii="Times New Roman" w:hAnsi="Times New Roman" w:cs="Times New Roman"/>
          <w:sz w:val="21"/>
          <w:szCs w:val="21"/>
        </w:rPr>
        <w:t xml:space="preserve"> </w:t>
      </w:r>
      <w:r w:rsidRPr="00B37A0B">
        <w:rPr>
          <w:rFonts w:ascii="Times New Roman" w:hAnsi="Times New Roman" w:cs="Times New Roman"/>
          <w:sz w:val="21"/>
          <w:szCs w:val="21"/>
        </w:rPr>
        <w:t>54</w:t>
      </w:r>
      <w:r>
        <w:rPr>
          <w:rFonts w:ascii="Times New Roman" w:hAnsi="Times New Roman" w:cs="Times New Roman"/>
          <w:sz w:val="21"/>
          <w:szCs w:val="21"/>
        </w:rPr>
        <w:t>–</w:t>
      </w:r>
      <w:r w:rsidRPr="00B37A0B">
        <w:rPr>
          <w:rFonts w:ascii="Times New Roman" w:hAnsi="Times New Roman" w:cs="Times New Roman"/>
          <w:sz w:val="21"/>
          <w:szCs w:val="21"/>
        </w:rPr>
        <w:t>59.</w:t>
      </w:r>
      <w:bookmarkEnd w:id="397"/>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98" w:name="_Ref435619925"/>
      <w:r w:rsidRPr="00954FE8">
        <w:rPr>
          <w:rFonts w:ascii="Times New Roman" w:hAnsi="Times New Roman" w:cs="Times New Roman"/>
          <w:sz w:val="21"/>
          <w:szCs w:val="21"/>
        </w:rPr>
        <w:t>Дидро Д. Избранные произведения / Д. Дидро. – М. ; Л. : Гослитиздат, 1951. – 412 с.</w:t>
      </w:r>
      <w:bookmarkEnd w:id="398"/>
    </w:p>
    <w:p w:rsidR="00B233DE" w:rsidRPr="00CB07DF"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399" w:name="_Ref435618960"/>
      <w:r w:rsidRPr="00CB07DF">
        <w:rPr>
          <w:rFonts w:ascii="Times New Roman" w:hAnsi="Times New Roman" w:cs="Times New Roman"/>
          <w:sz w:val="21"/>
          <w:szCs w:val="21"/>
        </w:rPr>
        <w:lastRenderedPageBreak/>
        <w:t>Долішній М. І. Регіональна політика на рубежі ХХ-ХХІ століть</w:t>
      </w:r>
      <w:r>
        <w:rPr>
          <w:rFonts w:ascii="Times New Roman" w:hAnsi="Times New Roman" w:cs="Times New Roman"/>
          <w:sz w:val="21"/>
          <w:szCs w:val="21"/>
        </w:rPr>
        <w:t xml:space="preserve"> : нові пріоритети / М. І. Долішній – К. </w:t>
      </w:r>
      <w:r w:rsidRPr="00CB07DF">
        <w:rPr>
          <w:rFonts w:ascii="Times New Roman" w:hAnsi="Times New Roman" w:cs="Times New Roman"/>
          <w:sz w:val="21"/>
          <w:szCs w:val="21"/>
        </w:rPr>
        <w:t>: Наукова думка, 2006.</w:t>
      </w:r>
      <w:r>
        <w:rPr>
          <w:rFonts w:ascii="Times New Roman" w:hAnsi="Times New Roman" w:cs="Times New Roman"/>
          <w:sz w:val="21"/>
          <w:szCs w:val="21"/>
        </w:rPr>
        <w:t xml:space="preserve"> – 308 с.</w:t>
      </w:r>
      <w:bookmarkEnd w:id="399"/>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00" w:name="_Ref435620700"/>
      <w:r w:rsidRPr="00954FE8">
        <w:rPr>
          <w:rFonts w:ascii="Times New Roman" w:hAnsi="Times New Roman" w:cs="Times New Roman"/>
          <w:sz w:val="21"/>
          <w:szCs w:val="21"/>
        </w:rPr>
        <w:t>Економічна енциклопедія : у 3 т. Т. 2 / [відп. ред. С. В. Мочерний та ін.]. – К. : Академія, 2001. – 848 с.</w:t>
      </w:r>
      <w:bookmarkEnd w:id="400"/>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01" w:name="_Ref435618586"/>
      <w:r w:rsidRPr="00CB07DF">
        <w:rPr>
          <w:rFonts w:ascii="Times New Roman" w:hAnsi="Times New Roman" w:cs="Times New Roman"/>
          <w:sz w:val="21"/>
          <w:szCs w:val="21"/>
        </w:rPr>
        <w:t xml:space="preserve">Економічна теорія (Політекономія. </w:t>
      </w:r>
      <w:r>
        <w:rPr>
          <w:rFonts w:ascii="Times New Roman" w:hAnsi="Times New Roman" w:cs="Times New Roman"/>
          <w:sz w:val="21"/>
          <w:szCs w:val="21"/>
        </w:rPr>
        <w:t>Мікроекономіка. Макроекономіка) : н</w:t>
      </w:r>
      <w:r w:rsidRPr="00CB07DF">
        <w:rPr>
          <w:rFonts w:ascii="Times New Roman" w:hAnsi="Times New Roman" w:cs="Times New Roman"/>
          <w:sz w:val="21"/>
          <w:szCs w:val="21"/>
        </w:rPr>
        <w:t>авч. посібник</w:t>
      </w:r>
      <w:r>
        <w:rPr>
          <w:rFonts w:ascii="Times New Roman" w:hAnsi="Times New Roman" w:cs="Times New Roman"/>
          <w:sz w:val="21"/>
          <w:szCs w:val="21"/>
        </w:rPr>
        <w:t>. –</w:t>
      </w:r>
      <w:r w:rsidRPr="00CB07DF">
        <w:rPr>
          <w:rFonts w:ascii="Times New Roman" w:hAnsi="Times New Roman" w:cs="Times New Roman"/>
          <w:sz w:val="21"/>
          <w:szCs w:val="21"/>
        </w:rPr>
        <w:t xml:space="preserve"> 2-ге вид. перероб. та доп. / </w:t>
      </w:r>
      <w:r>
        <w:rPr>
          <w:rFonts w:ascii="Times New Roman" w:hAnsi="Times New Roman" w:cs="Times New Roman"/>
          <w:sz w:val="21"/>
          <w:szCs w:val="21"/>
        </w:rPr>
        <w:t>Л. В. Білецька</w:t>
      </w:r>
      <w:r w:rsidRPr="00CB07DF">
        <w:rPr>
          <w:rFonts w:ascii="Times New Roman" w:hAnsi="Times New Roman" w:cs="Times New Roman"/>
          <w:sz w:val="21"/>
          <w:szCs w:val="21"/>
        </w:rPr>
        <w:t xml:space="preserve">, </w:t>
      </w:r>
      <w:r>
        <w:rPr>
          <w:rFonts w:ascii="Times New Roman" w:hAnsi="Times New Roman" w:cs="Times New Roman"/>
          <w:sz w:val="21"/>
          <w:szCs w:val="21"/>
        </w:rPr>
        <w:t>О. В. Білецький</w:t>
      </w:r>
      <w:r w:rsidRPr="00CB07DF">
        <w:rPr>
          <w:rFonts w:ascii="Times New Roman" w:hAnsi="Times New Roman" w:cs="Times New Roman"/>
          <w:sz w:val="21"/>
          <w:szCs w:val="21"/>
        </w:rPr>
        <w:t xml:space="preserve">, </w:t>
      </w:r>
      <w:r>
        <w:rPr>
          <w:rFonts w:ascii="Times New Roman" w:hAnsi="Times New Roman" w:cs="Times New Roman"/>
          <w:sz w:val="21"/>
          <w:szCs w:val="21"/>
        </w:rPr>
        <w:t xml:space="preserve">В. І. Савич. – К. </w:t>
      </w:r>
      <w:r w:rsidRPr="00CB07DF">
        <w:rPr>
          <w:rFonts w:ascii="Times New Roman" w:hAnsi="Times New Roman" w:cs="Times New Roman"/>
          <w:sz w:val="21"/>
          <w:szCs w:val="21"/>
        </w:rPr>
        <w:t xml:space="preserve">: Центр </w:t>
      </w:r>
      <w:r>
        <w:rPr>
          <w:rFonts w:ascii="Times New Roman" w:hAnsi="Times New Roman" w:cs="Times New Roman"/>
          <w:sz w:val="21"/>
          <w:szCs w:val="21"/>
        </w:rPr>
        <w:t xml:space="preserve">учбової літератури, 2009. – 688 </w:t>
      </w:r>
      <w:r w:rsidRPr="00CB07DF">
        <w:rPr>
          <w:rFonts w:ascii="Times New Roman" w:hAnsi="Times New Roman" w:cs="Times New Roman"/>
          <w:sz w:val="21"/>
          <w:szCs w:val="21"/>
        </w:rPr>
        <w:t>с.</w:t>
      </w:r>
      <w:bookmarkEnd w:id="401"/>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02" w:name="_Ref435620786"/>
      <w:r w:rsidRPr="00954FE8">
        <w:rPr>
          <w:rFonts w:ascii="Times New Roman" w:hAnsi="Times New Roman" w:cs="Times New Roman"/>
          <w:sz w:val="21"/>
          <w:szCs w:val="21"/>
        </w:rPr>
        <w:t>Єрмоленко Д. О. Правовий статус людини і громадянина в Україні як соціальній державі : автореф. дис. ... к. ю. н. / Національна академія внутрішніх справ України. – Х., 2002. – 16 с.</w:t>
      </w:r>
      <w:bookmarkEnd w:id="402"/>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03" w:name="_Ref435618823"/>
      <w:r w:rsidRPr="00035E3F">
        <w:rPr>
          <w:rFonts w:ascii="Times New Roman" w:hAnsi="Times New Roman" w:cs="Times New Roman"/>
          <w:spacing w:val="-6"/>
          <w:sz w:val="21"/>
          <w:szCs w:val="21"/>
        </w:rPr>
        <w:t>Жеребин В. М. Уровень жизни населения / В. М. Жербин</w:t>
      </w:r>
      <w:r w:rsidRPr="00CB07DF">
        <w:rPr>
          <w:rFonts w:ascii="Times New Roman" w:hAnsi="Times New Roman" w:cs="Times New Roman"/>
          <w:sz w:val="21"/>
          <w:szCs w:val="21"/>
        </w:rPr>
        <w:t>, А. Н. Романов. – М., 2002.</w:t>
      </w:r>
      <w:r>
        <w:rPr>
          <w:rFonts w:ascii="Times New Roman" w:hAnsi="Times New Roman" w:cs="Times New Roman"/>
          <w:sz w:val="21"/>
          <w:szCs w:val="21"/>
        </w:rPr>
        <w:t xml:space="preserve"> – 314 с.</w:t>
      </w:r>
      <w:bookmarkEnd w:id="403"/>
    </w:p>
    <w:p w:rsidR="00B233DE" w:rsidRPr="000D0858"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04" w:name="_Ref435620837"/>
      <w:r w:rsidRPr="000D0858">
        <w:rPr>
          <w:rFonts w:ascii="Times New Roman" w:hAnsi="Times New Roman" w:cs="Times New Roman"/>
          <w:bCs/>
          <w:kern w:val="36"/>
          <w:sz w:val="21"/>
          <w:szCs w:val="21"/>
        </w:rPr>
        <w:t>Загорський В. Концептуальні засади державної соціальної політики</w:t>
      </w:r>
      <w:r w:rsidRPr="000D0858">
        <w:rPr>
          <w:rFonts w:ascii="Times New Roman" w:hAnsi="Times New Roman" w:cs="Times New Roman"/>
          <w:sz w:val="21"/>
          <w:szCs w:val="21"/>
        </w:rPr>
        <w:t xml:space="preserve"> </w:t>
      </w:r>
      <w:r w:rsidRPr="000D0858">
        <w:rPr>
          <w:rFonts w:ascii="Times New Roman" w:hAnsi="Times New Roman" w:cs="Times New Roman"/>
          <w:bCs/>
          <w:kern w:val="36"/>
          <w:sz w:val="21"/>
          <w:szCs w:val="21"/>
        </w:rPr>
        <w:t xml:space="preserve">/ В. Загорський, Г. Лопушняк </w:t>
      </w:r>
      <w:r w:rsidRPr="000D0858">
        <w:rPr>
          <w:rFonts w:ascii="Times New Roman" w:hAnsi="Times New Roman" w:cs="Times New Roman"/>
          <w:sz w:val="21"/>
          <w:szCs w:val="21"/>
        </w:rPr>
        <w:t>// Ефективність державного управління : зб. наук. пр. – Вип. 21 / за заг. ред. чл.-кор. НАН України В. С.Загорського, доц. А. В. Ліпенцева. – Львів : ЛРІДУ НАДУ, 2009. – С. 13–20.</w:t>
      </w:r>
      <w:bookmarkEnd w:id="404"/>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05" w:name="_Ref435620083"/>
      <w:r w:rsidRPr="00954FE8">
        <w:rPr>
          <w:rFonts w:ascii="Times New Roman" w:hAnsi="Times New Roman" w:cs="Times New Roman"/>
          <w:sz w:val="21"/>
          <w:szCs w:val="21"/>
        </w:rPr>
        <w:t xml:space="preserve">Загорський В. С. Управління фінансовими ресурсами закладів охорони здоров’я : монографія / В. С.Загорський, </w:t>
      </w:r>
      <w:r w:rsidRPr="00954FE8">
        <w:rPr>
          <w:rFonts w:ascii="Times New Roman" w:hAnsi="Times New Roman" w:cs="Times New Roman"/>
          <w:spacing w:val="-4"/>
          <w:sz w:val="21"/>
          <w:szCs w:val="21"/>
        </w:rPr>
        <w:t>З. М. Лободіна, Г. С.Лопушняк. – Львів : ЛРІДУ НАДУ, 2010. – 276 с.</w:t>
      </w:r>
      <w:bookmarkEnd w:id="405"/>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06" w:name="_Ref435619992"/>
      <w:r w:rsidRPr="00954FE8">
        <w:rPr>
          <w:rFonts w:ascii="Times New Roman" w:hAnsi="Times New Roman" w:cs="Times New Roman"/>
          <w:sz w:val="21"/>
          <w:szCs w:val="21"/>
        </w:rPr>
        <w:t>Капицын В. Социальная политика и право : сущность и взаимозависимости / В. Капицын // Российский журнал социальной работы. – 1998. – № 8. – С. 18–28.</w:t>
      </w:r>
      <w:bookmarkEnd w:id="406"/>
    </w:p>
    <w:p w:rsidR="00B233DE" w:rsidRPr="00EB0141"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07" w:name="_Ref435619449"/>
      <w:r w:rsidRPr="006E771B">
        <w:rPr>
          <w:rFonts w:ascii="Times New Roman" w:hAnsi="Times New Roman" w:cs="Times New Roman"/>
          <w:sz w:val="21"/>
          <w:szCs w:val="21"/>
        </w:rPr>
        <w:t>Карасев Ф.</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Г. Социальный капитал соседских сообществ / </w:t>
      </w:r>
      <w:r>
        <w:rPr>
          <w:rFonts w:ascii="Times New Roman" w:hAnsi="Times New Roman" w:cs="Times New Roman"/>
          <w:sz w:val="21"/>
          <w:szCs w:val="21"/>
          <w:lang w:val="ru-RU"/>
        </w:rPr>
        <w:t>Ф. Г. Карасев ; н</w:t>
      </w:r>
      <w:r w:rsidRPr="006E771B">
        <w:rPr>
          <w:rFonts w:ascii="Times New Roman" w:hAnsi="Times New Roman" w:cs="Times New Roman"/>
          <w:sz w:val="21"/>
          <w:szCs w:val="21"/>
        </w:rPr>
        <w:t>ауч. ред. И.</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Е</w:t>
      </w:r>
      <w:r>
        <w:rPr>
          <w:rFonts w:ascii="Times New Roman" w:hAnsi="Times New Roman" w:cs="Times New Roman"/>
          <w:sz w:val="21"/>
          <w:szCs w:val="21"/>
          <w:lang w:val="ru-RU"/>
        </w:rPr>
        <w:t>.</w:t>
      </w:r>
      <w:r w:rsidRPr="006E771B">
        <w:rPr>
          <w:rFonts w:ascii="Times New Roman" w:hAnsi="Times New Roman" w:cs="Times New Roman"/>
          <w:sz w:val="21"/>
          <w:szCs w:val="21"/>
        </w:rPr>
        <w:t xml:space="preserve"> Кокарев. </w:t>
      </w:r>
      <w:r>
        <w:rPr>
          <w:rFonts w:ascii="Times New Roman" w:hAnsi="Times New Roman" w:cs="Times New Roman"/>
          <w:sz w:val="21"/>
          <w:szCs w:val="21"/>
        </w:rPr>
        <w:t>–</w:t>
      </w:r>
      <w:r w:rsidRPr="006E771B">
        <w:rPr>
          <w:rFonts w:ascii="Times New Roman" w:hAnsi="Times New Roman" w:cs="Times New Roman"/>
          <w:sz w:val="21"/>
          <w:szCs w:val="21"/>
        </w:rPr>
        <w:t xml:space="preserve"> М.</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 Прометей, 2001. </w:t>
      </w:r>
      <w:r>
        <w:rPr>
          <w:rFonts w:ascii="Times New Roman" w:hAnsi="Times New Roman" w:cs="Times New Roman"/>
          <w:sz w:val="21"/>
          <w:szCs w:val="21"/>
        </w:rPr>
        <w:t>–</w:t>
      </w:r>
      <w:r w:rsidRPr="006E771B">
        <w:rPr>
          <w:rFonts w:ascii="Times New Roman" w:hAnsi="Times New Roman" w:cs="Times New Roman"/>
          <w:sz w:val="21"/>
          <w:szCs w:val="21"/>
        </w:rPr>
        <w:t xml:space="preserve"> 96</w:t>
      </w:r>
      <w:r>
        <w:rPr>
          <w:rFonts w:ascii="Times New Roman" w:hAnsi="Times New Roman" w:cs="Times New Roman"/>
          <w:sz w:val="21"/>
          <w:szCs w:val="21"/>
          <w:lang w:val="ru-RU"/>
        </w:rPr>
        <w:t> </w:t>
      </w:r>
      <w:r w:rsidRPr="006E771B">
        <w:rPr>
          <w:rFonts w:ascii="Times New Roman" w:hAnsi="Times New Roman" w:cs="Times New Roman"/>
          <w:sz w:val="21"/>
          <w:szCs w:val="21"/>
        </w:rPr>
        <w:t>с.</w:t>
      </w:r>
      <w:bookmarkEnd w:id="407"/>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08" w:name="_Ref435621186"/>
      <w:r w:rsidRPr="00321CC3">
        <w:rPr>
          <w:rFonts w:ascii="Times New Roman" w:hAnsi="Times New Roman" w:cs="Times New Roman"/>
          <w:sz w:val="21"/>
          <w:szCs w:val="21"/>
        </w:rPr>
        <w:t>Киктенко А.</w:t>
      </w:r>
      <w:r>
        <w:rPr>
          <w:rFonts w:ascii="Times New Roman" w:hAnsi="Times New Roman" w:cs="Times New Roman"/>
          <w:sz w:val="21"/>
          <w:szCs w:val="21"/>
        </w:rPr>
        <w:t xml:space="preserve"> </w:t>
      </w:r>
      <w:r w:rsidRPr="00321CC3">
        <w:rPr>
          <w:rFonts w:ascii="Times New Roman" w:hAnsi="Times New Roman" w:cs="Times New Roman"/>
          <w:sz w:val="21"/>
          <w:szCs w:val="21"/>
        </w:rPr>
        <w:t>И. Технология саморазвивающего обучения студентов с инвалидностью</w:t>
      </w:r>
      <w:r>
        <w:rPr>
          <w:rFonts w:ascii="Times New Roman" w:hAnsi="Times New Roman" w:cs="Times New Roman"/>
          <w:sz w:val="21"/>
          <w:szCs w:val="21"/>
        </w:rPr>
        <w:t xml:space="preserve"> </w:t>
      </w:r>
      <w:r w:rsidRPr="00321CC3">
        <w:rPr>
          <w:rFonts w:ascii="Times New Roman" w:hAnsi="Times New Roman" w:cs="Times New Roman"/>
          <w:sz w:val="21"/>
          <w:szCs w:val="21"/>
        </w:rPr>
        <w:t xml:space="preserve">: возможности, опыт, перспективы, (в контексте «Я концепции») </w:t>
      </w:r>
      <w:r>
        <w:rPr>
          <w:rFonts w:ascii="Times New Roman" w:hAnsi="Times New Roman" w:cs="Times New Roman"/>
          <w:sz w:val="21"/>
          <w:szCs w:val="21"/>
        </w:rPr>
        <w:t xml:space="preserve">/ А. И. Киктенко </w:t>
      </w:r>
      <w:r w:rsidRPr="00321CC3">
        <w:rPr>
          <w:rFonts w:ascii="Times New Roman" w:hAnsi="Times New Roman" w:cs="Times New Roman"/>
          <w:sz w:val="21"/>
          <w:szCs w:val="21"/>
        </w:rPr>
        <w:t>// Актуальні проблеми навчання та виховання людей з особливими потребами</w:t>
      </w:r>
      <w:r>
        <w:rPr>
          <w:rFonts w:ascii="Times New Roman" w:hAnsi="Times New Roman" w:cs="Times New Roman"/>
          <w:sz w:val="21"/>
          <w:szCs w:val="21"/>
        </w:rPr>
        <w:t xml:space="preserve"> </w:t>
      </w:r>
      <w:r w:rsidRPr="00321CC3">
        <w:rPr>
          <w:rFonts w:ascii="Times New Roman" w:hAnsi="Times New Roman" w:cs="Times New Roman"/>
          <w:sz w:val="21"/>
          <w:szCs w:val="21"/>
        </w:rPr>
        <w:t xml:space="preserve">: </w:t>
      </w:r>
      <w:r>
        <w:rPr>
          <w:rFonts w:ascii="Times New Roman" w:hAnsi="Times New Roman" w:cs="Times New Roman"/>
          <w:sz w:val="21"/>
          <w:szCs w:val="21"/>
        </w:rPr>
        <w:t>з</w:t>
      </w:r>
      <w:r w:rsidRPr="00321CC3">
        <w:rPr>
          <w:rFonts w:ascii="Times New Roman" w:hAnsi="Times New Roman" w:cs="Times New Roman"/>
          <w:sz w:val="21"/>
          <w:szCs w:val="21"/>
        </w:rPr>
        <w:t xml:space="preserve">бірник наукових праць </w:t>
      </w:r>
      <w:r>
        <w:rPr>
          <w:rFonts w:ascii="Times New Roman" w:hAnsi="Times New Roman" w:cs="Times New Roman"/>
          <w:sz w:val="21"/>
          <w:szCs w:val="21"/>
        </w:rPr>
        <w:t>–</w:t>
      </w:r>
      <w:r w:rsidRPr="00321CC3">
        <w:rPr>
          <w:rFonts w:ascii="Times New Roman" w:hAnsi="Times New Roman" w:cs="Times New Roman"/>
          <w:sz w:val="21"/>
          <w:szCs w:val="21"/>
        </w:rPr>
        <w:t xml:space="preserve"> К.</w:t>
      </w:r>
      <w:r>
        <w:rPr>
          <w:rFonts w:ascii="Times New Roman" w:hAnsi="Times New Roman" w:cs="Times New Roman"/>
          <w:sz w:val="21"/>
          <w:szCs w:val="21"/>
        </w:rPr>
        <w:t xml:space="preserve"> : Університет «Україна»</w:t>
      </w:r>
      <w:r w:rsidRPr="00321CC3">
        <w:rPr>
          <w:rFonts w:ascii="Times New Roman" w:hAnsi="Times New Roman" w:cs="Times New Roman"/>
          <w:sz w:val="21"/>
          <w:szCs w:val="21"/>
        </w:rPr>
        <w:t>, 2004.</w:t>
      </w:r>
      <w:r>
        <w:rPr>
          <w:rFonts w:ascii="Times New Roman" w:hAnsi="Times New Roman" w:cs="Times New Roman"/>
          <w:sz w:val="21"/>
          <w:szCs w:val="21"/>
        </w:rPr>
        <w:t xml:space="preserve"> –</w:t>
      </w:r>
      <w:r w:rsidRPr="00321CC3">
        <w:rPr>
          <w:rFonts w:ascii="Times New Roman" w:hAnsi="Times New Roman" w:cs="Times New Roman"/>
          <w:sz w:val="21"/>
          <w:szCs w:val="21"/>
        </w:rPr>
        <w:t xml:space="preserve"> 448 с.</w:t>
      </w:r>
      <w:bookmarkEnd w:id="408"/>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09" w:name="_Ref435621108"/>
      <w:r w:rsidRPr="00181A11">
        <w:rPr>
          <w:rFonts w:ascii="Times New Roman" w:hAnsi="Times New Roman" w:cs="Times New Roman"/>
          <w:sz w:val="21"/>
          <w:szCs w:val="21"/>
        </w:rPr>
        <w:t>Кобець В. Трудова реабілітація інвалідів</w:t>
      </w:r>
      <w:r>
        <w:rPr>
          <w:rFonts w:ascii="Times New Roman" w:hAnsi="Times New Roman" w:cs="Times New Roman"/>
          <w:sz w:val="21"/>
          <w:szCs w:val="21"/>
        </w:rPr>
        <w:t xml:space="preserve"> </w:t>
      </w:r>
      <w:r w:rsidRPr="00181A11">
        <w:rPr>
          <w:rFonts w:ascii="Times New Roman" w:hAnsi="Times New Roman" w:cs="Times New Roman"/>
          <w:sz w:val="21"/>
          <w:szCs w:val="21"/>
        </w:rPr>
        <w:t xml:space="preserve">: потрібні увага та розуміння </w:t>
      </w:r>
      <w:r>
        <w:rPr>
          <w:rFonts w:ascii="Times New Roman" w:hAnsi="Times New Roman" w:cs="Times New Roman"/>
          <w:sz w:val="21"/>
          <w:szCs w:val="21"/>
        </w:rPr>
        <w:t xml:space="preserve">/ В. Кобець </w:t>
      </w:r>
      <w:r w:rsidRPr="00181A11">
        <w:rPr>
          <w:rFonts w:ascii="Times New Roman" w:hAnsi="Times New Roman" w:cs="Times New Roman"/>
          <w:sz w:val="21"/>
          <w:szCs w:val="21"/>
        </w:rPr>
        <w:t xml:space="preserve">// </w:t>
      </w:r>
      <w:r>
        <w:rPr>
          <w:rFonts w:ascii="Times New Roman" w:hAnsi="Times New Roman" w:cs="Times New Roman"/>
          <w:sz w:val="21"/>
          <w:szCs w:val="21"/>
        </w:rPr>
        <w:t>О</w:t>
      </w:r>
      <w:r w:rsidRPr="00181A11">
        <w:rPr>
          <w:rFonts w:ascii="Times New Roman" w:hAnsi="Times New Roman" w:cs="Times New Roman"/>
          <w:sz w:val="21"/>
          <w:szCs w:val="21"/>
        </w:rPr>
        <w:t>хорона праці. –</w:t>
      </w:r>
      <w:r>
        <w:rPr>
          <w:rFonts w:ascii="Times New Roman" w:hAnsi="Times New Roman" w:cs="Times New Roman"/>
          <w:sz w:val="21"/>
          <w:szCs w:val="21"/>
        </w:rPr>
        <w:t xml:space="preserve"> 2003. – № 4. – С</w:t>
      </w:r>
      <w:r w:rsidRPr="00181A11">
        <w:rPr>
          <w:rFonts w:ascii="Times New Roman" w:hAnsi="Times New Roman" w:cs="Times New Roman"/>
          <w:sz w:val="21"/>
          <w:szCs w:val="21"/>
        </w:rPr>
        <w:t>. 44–46.</w:t>
      </w:r>
      <w:bookmarkEnd w:id="409"/>
    </w:p>
    <w:p w:rsidR="00B233DE" w:rsidRPr="00EB0141"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10" w:name="_Ref435619633"/>
      <w:r w:rsidRPr="006E771B">
        <w:rPr>
          <w:rFonts w:ascii="Times New Roman" w:hAnsi="Times New Roman" w:cs="Times New Roman"/>
          <w:sz w:val="21"/>
          <w:szCs w:val="21"/>
        </w:rPr>
        <w:lastRenderedPageBreak/>
        <w:t>Колодий-Тяжов Л. А. Организационно-экономические особенности развития трудового потенциала работников промышленных предприятий</w:t>
      </w:r>
      <w:r>
        <w:rPr>
          <w:rFonts w:ascii="Times New Roman" w:hAnsi="Times New Roman" w:cs="Times New Roman"/>
          <w:sz w:val="21"/>
          <w:szCs w:val="21"/>
          <w:lang w:val="ru-RU"/>
        </w:rPr>
        <w:t xml:space="preserve"> </w:t>
      </w:r>
      <w:r>
        <w:rPr>
          <w:rFonts w:ascii="Times New Roman" w:hAnsi="Times New Roman" w:cs="Times New Roman"/>
          <w:sz w:val="21"/>
          <w:szCs w:val="21"/>
        </w:rPr>
        <w:t xml:space="preserve">: </w:t>
      </w:r>
      <w:r>
        <w:rPr>
          <w:rFonts w:ascii="Times New Roman" w:hAnsi="Times New Roman" w:cs="Times New Roman"/>
          <w:sz w:val="21"/>
          <w:szCs w:val="21"/>
          <w:lang w:val="ru-RU"/>
        </w:rPr>
        <w:t>д</w:t>
      </w:r>
      <w:r w:rsidRPr="006E771B">
        <w:rPr>
          <w:rFonts w:ascii="Times New Roman" w:hAnsi="Times New Roman" w:cs="Times New Roman"/>
          <w:sz w:val="21"/>
          <w:szCs w:val="21"/>
        </w:rPr>
        <w:t>иссертация на соискание ученой степе</w:t>
      </w:r>
      <w:r>
        <w:rPr>
          <w:rFonts w:ascii="Times New Roman" w:hAnsi="Times New Roman" w:cs="Times New Roman"/>
          <w:sz w:val="21"/>
          <w:szCs w:val="21"/>
        </w:rPr>
        <w:t>ни кандидата экономических наук</w:t>
      </w:r>
      <w:r>
        <w:rPr>
          <w:rFonts w:ascii="Times New Roman" w:hAnsi="Times New Roman" w:cs="Times New Roman"/>
          <w:sz w:val="21"/>
          <w:szCs w:val="21"/>
          <w:lang w:val="ru-RU"/>
        </w:rPr>
        <w:t xml:space="preserve"> / Л. А. Колодий-Тяжов.</w:t>
      </w:r>
      <w:r w:rsidRPr="006E771B">
        <w:rPr>
          <w:rFonts w:ascii="Times New Roman" w:hAnsi="Times New Roman" w:cs="Times New Roman"/>
          <w:sz w:val="21"/>
          <w:szCs w:val="21"/>
        </w:rPr>
        <w:t xml:space="preserve"> </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К</w:t>
      </w:r>
      <w:r>
        <w:rPr>
          <w:rFonts w:ascii="Times New Roman" w:hAnsi="Times New Roman" w:cs="Times New Roman"/>
          <w:sz w:val="21"/>
          <w:szCs w:val="21"/>
        </w:rPr>
        <w:t>острома</w:t>
      </w:r>
      <w:r>
        <w:rPr>
          <w:rFonts w:ascii="Times New Roman" w:hAnsi="Times New Roman" w:cs="Times New Roman"/>
          <w:sz w:val="21"/>
          <w:szCs w:val="21"/>
          <w:lang w:val="ru-RU"/>
        </w:rPr>
        <w:t>,</w:t>
      </w:r>
      <w:r>
        <w:rPr>
          <w:rFonts w:ascii="Times New Roman" w:hAnsi="Times New Roman" w:cs="Times New Roman"/>
          <w:sz w:val="21"/>
          <w:szCs w:val="21"/>
        </w:rPr>
        <w:t xml:space="preserve"> 2006 </w:t>
      </w:r>
      <w:r>
        <w:rPr>
          <w:rFonts w:ascii="Times New Roman" w:hAnsi="Times New Roman" w:cs="Times New Roman"/>
          <w:sz w:val="21"/>
          <w:szCs w:val="21"/>
          <w:lang w:val="ru-RU"/>
        </w:rPr>
        <w:t>–</w:t>
      </w:r>
      <w:r w:rsidRPr="006E771B">
        <w:rPr>
          <w:rFonts w:ascii="Times New Roman" w:hAnsi="Times New Roman" w:cs="Times New Roman"/>
          <w:sz w:val="21"/>
          <w:szCs w:val="21"/>
        </w:rPr>
        <w:t xml:space="preserve"> 182 с.</w:t>
      </w:r>
      <w:bookmarkEnd w:id="410"/>
    </w:p>
    <w:p w:rsidR="00B233DE" w:rsidRPr="00EB4FBD"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11" w:name="_Ref435621050"/>
      <w:r w:rsidRPr="00B37A0B">
        <w:rPr>
          <w:rFonts w:ascii="Times New Roman" w:hAnsi="Times New Roman" w:cs="Times New Roman"/>
          <w:sz w:val="21"/>
          <w:szCs w:val="21"/>
        </w:rPr>
        <w:t>Колот А. Міфи соціальної політики або з чого слід розпочати формування нової моделі / А. Колот // Дзеркало тижня. – 2010. – 23</w:t>
      </w:r>
      <w:r>
        <w:rPr>
          <w:rFonts w:ascii="Times New Roman" w:hAnsi="Times New Roman" w:cs="Times New Roman"/>
          <w:sz w:val="21"/>
          <w:szCs w:val="21"/>
        </w:rPr>
        <w:t>–</w:t>
      </w:r>
      <w:r w:rsidRPr="00B37A0B">
        <w:rPr>
          <w:rFonts w:ascii="Times New Roman" w:hAnsi="Times New Roman" w:cs="Times New Roman"/>
          <w:sz w:val="21"/>
          <w:szCs w:val="21"/>
        </w:rPr>
        <w:t xml:space="preserve">29 січ. </w:t>
      </w:r>
      <w:r>
        <w:rPr>
          <w:rFonts w:ascii="Times New Roman" w:hAnsi="Times New Roman" w:cs="Times New Roman"/>
          <w:sz w:val="21"/>
          <w:szCs w:val="21"/>
        </w:rPr>
        <w:t>–</w:t>
      </w:r>
      <w:r w:rsidRPr="00B37A0B">
        <w:rPr>
          <w:rFonts w:ascii="Times New Roman" w:hAnsi="Times New Roman" w:cs="Times New Roman"/>
          <w:sz w:val="21"/>
          <w:szCs w:val="21"/>
        </w:rPr>
        <w:t xml:space="preserve"> №</w:t>
      </w:r>
      <w:r>
        <w:rPr>
          <w:rFonts w:ascii="Times New Roman" w:hAnsi="Times New Roman" w:cs="Times New Roman"/>
          <w:sz w:val="21"/>
          <w:szCs w:val="21"/>
        </w:rPr>
        <w:t xml:space="preserve"> </w:t>
      </w:r>
      <w:r w:rsidRPr="00B37A0B">
        <w:rPr>
          <w:rFonts w:ascii="Times New Roman" w:hAnsi="Times New Roman" w:cs="Times New Roman"/>
          <w:sz w:val="21"/>
          <w:szCs w:val="21"/>
        </w:rPr>
        <w:t>2</w:t>
      </w:r>
      <w:r>
        <w:rPr>
          <w:rFonts w:ascii="Times New Roman" w:hAnsi="Times New Roman" w:cs="Times New Roman"/>
          <w:sz w:val="21"/>
          <w:szCs w:val="21"/>
        </w:rPr>
        <w:t xml:space="preserve"> (781)</w:t>
      </w:r>
      <w:r w:rsidRPr="00B37A0B">
        <w:rPr>
          <w:rFonts w:ascii="Times New Roman" w:hAnsi="Times New Roman" w:cs="Times New Roman"/>
          <w:sz w:val="21"/>
          <w:szCs w:val="21"/>
        </w:rPr>
        <w:t>. – Режим доступу : http://gazeta.dt.ua/SOCIETY/mifi_sotsialnoyi_politiki,__abo_z_chogo_slid_rozpochati_formuvannya_novoyi_modeli.html</w:t>
      </w:r>
      <w:bookmarkEnd w:id="411"/>
    </w:p>
    <w:p w:rsidR="00B233DE" w:rsidRPr="00CB07DF"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12" w:name="_Ref435618599"/>
      <w:r w:rsidRPr="00CB07DF">
        <w:rPr>
          <w:rFonts w:ascii="Times New Roman" w:hAnsi="Times New Roman" w:cs="Times New Roman"/>
          <w:spacing w:val="-4"/>
          <w:sz w:val="21"/>
          <w:szCs w:val="21"/>
        </w:rPr>
        <w:t>Комарницький І. Ф. Економічна теорія / І. Ф. Комарниць-</w:t>
      </w:r>
      <w:r>
        <w:rPr>
          <w:rFonts w:ascii="Times New Roman" w:hAnsi="Times New Roman" w:cs="Times New Roman"/>
          <w:sz w:val="21"/>
          <w:szCs w:val="21"/>
        </w:rPr>
        <w:t xml:space="preserve">кий. – Чернівці, 2006. – 334 </w:t>
      </w:r>
      <w:r w:rsidRPr="00CB07DF">
        <w:rPr>
          <w:rFonts w:ascii="Times New Roman" w:hAnsi="Times New Roman" w:cs="Times New Roman"/>
          <w:sz w:val="21"/>
          <w:szCs w:val="21"/>
        </w:rPr>
        <w:t>с.</w:t>
      </w:r>
      <w:bookmarkEnd w:id="412"/>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13" w:name="_Ref435620632"/>
      <w:r w:rsidRPr="00954FE8">
        <w:rPr>
          <w:rFonts w:ascii="Times New Roman" w:hAnsi="Times New Roman" w:cs="Times New Roman"/>
          <w:sz w:val="21"/>
          <w:szCs w:val="21"/>
        </w:rPr>
        <w:t>Конституція України [Електронний ресурс] : затверджена Законом України № 254к/96-ВР від 28.06.1996 р. –</w:t>
      </w:r>
      <w:r w:rsidRPr="00954FE8">
        <w:rPr>
          <w:rFonts w:ascii="Times New Roman" w:hAnsi="Times New Roman" w:cs="Times New Roman"/>
          <w:bCs/>
          <w:sz w:val="21"/>
          <w:szCs w:val="21"/>
        </w:rPr>
        <w:t xml:space="preserve"> </w:t>
      </w:r>
      <w:r w:rsidRPr="00954FE8">
        <w:rPr>
          <w:rFonts w:ascii="Times New Roman" w:hAnsi="Times New Roman" w:cs="Times New Roman"/>
          <w:sz w:val="21"/>
          <w:szCs w:val="21"/>
        </w:rPr>
        <w:t>Режим доступу : http://zakon1.rada.gov.ua/cgi-bin/laws/main.cgi.</w:t>
      </w:r>
      <w:bookmarkEnd w:id="413"/>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14" w:name="_Ref435619945"/>
      <w:r w:rsidRPr="00954FE8">
        <w:rPr>
          <w:rStyle w:val="citation"/>
          <w:rFonts w:ascii="Times New Roman" w:hAnsi="Times New Roman"/>
          <w:sz w:val="21"/>
          <w:szCs w:val="21"/>
        </w:rPr>
        <w:t>Конт О. Общий обзор позитивизма / Огюст Конт ; пер. с фр. И. А. Шапиро ; под ред. Э. Л. Радлова</w:t>
      </w:r>
      <w:r w:rsidRPr="00954FE8">
        <w:rPr>
          <w:rFonts w:ascii="Times New Roman" w:hAnsi="Times New Roman" w:cs="Times New Roman"/>
          <w:sz w:val="21"/>
          <w:szCs w:val="21"/>
        </w:rPr>
        <w:t xml:space="preserve">. – </w:t>
      </w:r>
      <w:r w:rsidRPr="00954FE8">
        <w:rPr>
          <w:rStyle w:val="citation"/>
          <w:rFonts w:ascii="Times New Roman" w:hAnsi="Times New Roman"/>
          <w:sz w:val="21"/>
          <w:szCs w:val="21"/>
        </w:rPr>
        <w:t xml:space="preserve">изд. 2-е. </w:t>
      </w:r>
      <w:r w:rsidRPr="00954FE8">
        <w:rPr>
          <w:rFonts w:ascii="Times New Roman" w:hAnsi="Times New Roman" w:cs="Times New Roman"/>
          <w:sz w:val="21"/>
          <w:szCs w:val="21"/>
        </w:rPr>
        <w:t xml:space="preserve">– </w:t>
      </w:r>
      <w:r w:rsidRPr="00954FE8">
        <w:rPr>
          <w:rStyle w:val="citation"/>
          <w:rFonts w:ascii="Times New Roman" w:hAnsi="Times New Roman"/>
          <w:sz w:val="21"/>
          <w:szCs w:val="21"/>
        </w:rPr>
        <w:t>М. : ЛИБРОКОМ, 2011. – 296 с.</w:t>
      </w:r>
      <w:bookmarkEnd w:id="414"/>
    </w:p>
    <w:p w:rsidR="00B233DE" w:rsidRPr="00EB0141"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15" w:name="_Ref435619770"/>
      <w:r w:rsidRPr="006E771B">
        <w:rPr>
          <w:rFonts w:ascii="Times New Roman" w:hAnsi="Times New Roman" w:cs="Times New Roman"/>
          <w:sz w:val="21"/>
          <w:szCs w:val="21"/>
        </w:rPr>
        <w:t xml:space="preserve">Коулман Дж. Капитал социальный и человеческий </w:t>
      </w:r>
      <w:r>
        <w:rPr>
          <w:rFonts w:ascii="Times New Roman" w:hAnsi="Times New Roman" w:cs="Times New Roman"/>
          <w:sz w:val="21"/>
          <w:szCs w:val="21"/>
          <w:lang w:val="ru-RU"/>
        </w:rPr>
        <w:t xml:space="preserve">/ Дж. Коулман </w:t>
      </w:r>
      <w:r w:rsidRPr="006E771B">
        <w:rPr>
          <w:rFonts w:ascii="Times New Roman" w:hAnsi="Times New Roman" w:cs="Times New Roman"/>
          <w:sz w:val="21"/>
          <w:szCs w:val="21"/>
        </w:rPr>
        <w:t xml:space="preserve">// Общественные науки и современность. </w:t>
      </w:r>
      <w:r>
        <w:rPr>
          <w:rFonts w:ascii="Times New Roman" w:hAnsi="Times New Roman" w:cs="Times New Roman"/>
          <w:sz w:val="21"/>
          <w:szCs w:val="21"/>
        </w:rPr>
        <w:t>–</w:t>
      </w:r>
      <w:r w:rsidRPr="006E771B">
        <w:rPr>
          <w:rFonts w:ascii="Times New Roman" w:hAnsi="Times New Roman" w:cs="Times New Roman"/>
          <w:sz w:val="21"/>
          <w:szCs w:val="21"/>
        </w:rPr>
        <w:t xml:space="preserve"> 2001. </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3. </w:t>
      </w:r>
      <w:r>
        <w:rPr>
          <w:rFonts w:ascii="Times New Roman" w:hAnsi="Times New Roman" w:cs="Times New Roman"/>
          <w:sz w:val="21"/>
          <w:szCs w:val="21"/>
        </w:rPr>
        <w:t>–</w:t>
      </w:r>
      <w:r w:rsidRPr="006E771B">
        <w:rPr>
          <w:rFonts w:ascii="Times New Roman" w:hAnsi="Times New Roman" w:cs="Times New Roman"/>
          <w:sz w:val="21"/>
          <w:szCs w:val="21"/>
        </w:rPr>
        <w:t xml:space="preserve"> С. 121</w:t>
      </w:r>
      <w:r>
        <w:rPr>
          <w:rFonts w:ascii="Times New Roman" w:hAnsi="Times New Roman" w:cs="Times New Roman"/>
          <w:sz w:val="21"/>
          <w:szCs w:val="21"/>
        </w:rPr>
        <w:t>–</w:t>
      </w:r>
      <w:r w:rsidRPr="006E771B">
        <w:rPr>
          <w:rFonts w:ascii="Times New Roman" w:hAnsi="Times New Roman" w:cs="Times New Roman"/>
          <w:sz w:val="21"/>
          <w:szCs w:val="21"/>
        </w:rPr>
        <w:t>139.</w:t>
      </w:r>
      <w:bookmarkEnd w:id="415"/>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16" w:name="_Ref435620674"/>
      <w:r w:rsidRPr="00954FE8">
        <w:rPr>
          <w:rFonts w:ascii="Times New Roman" w:hAnsi="Times New Roman" w:cs="Times New Roman"/>
          <w:sz w:val="21"/>
          <w:szCs w:val="21"/>
        </w:rPr>
        <w:t>Крентовська О. П. Управління державними соціальними гарантіями в Україні : дис. на здоб. наук. ступ. канд. держ. упр.: спец. 25.00.02 «Механізми державного управління» / О. П. Крентовська. – К. : НАДУ, 2005. – 222 с.</w:t>
      </w:r>
      <w:bookmarkEnd w:id="416"/>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17" w:name="_Ref435620020"/>
      <w:r w:rsidRPr="00954FE8">
        <w:rPr>
          <w:rFonts w:ascii="Times New Roman" w:hAnsi="Times New Roman" w:cs="Times New Roman"/>
          <w:sz w:val="21"/>
          <w:szCs w:val="21"/>
        </w:rPr>
        <w:t>Крупник А. С. Соціально-захисна спрямованість державної соціальної політики в умовах трансформації українського суспільства : дис. на здобуття наук. ступеня канд. політ. наук / А. С. Крупник. – Одеса : 2002. – 169 с.</w:t>
      </w:r>
      <w:bookmarkEnd w:id="417"/>
    </w:p>
    <w:p w:rsidR="00B233DE" w:rsidRPr="00EB0141"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18" w:name="_Ref435619795"/>
      <w:r>
        <w:rPr>
          <w:rFonts w:ascii="Times New Roman" w:hAnsi="Times New Roman" w:cs="Times New Roman"/>
          <w:sz w:val="21"/>
          <w:szCs w:val="21"/>
        </w:rPr>
        <w:t>Кущ С. П.</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Маркетинговые аспекты развития межфирменных сетей</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 российский опыт </w:t>
      </w:r>
      <w:r>
        <w:rPr>
          <w:rFonts w:ascii="Times New Roman" w:hAnsi="Times New Roman" w:cs="Times New Roman"/>
          <w:sz w:val="21"/>
          <w:szCs w:val="21"/>
          <w:lang w:val="ru-RU"/>
        </w:rPr>
        <w:t xml:space="preserve">/ С. П. Кущ, А. А. Афанасьев </w:t>
      </w:r>
      <w:r w:rsidRPr="006E771B">
        <w:rPr>
          <w:rFonts w:ascii="Times New Roman" w:hAnsi="Times New Roman" w:cs="Times New Roman"/>
          <w:sz w:val="21"/>
          <w:szCs w:val="21"/>
        </w:rPr>
        <w:t xml:space="preserve">// Российский журнал менеджмента. </w:t>
      </w:r>
      <w:r>
        <w:rPr>
          <w:rFonts w:ascii="Times New Roman" w:hAnsi="Times New Roman" w:cs="Times New Roman"/>
          <w:sz w:val="21"/>
          <w:szCs w:val="21"/>
        </w:rPr>
        <w:t>–</w:t>
      </w:r>
      <w:r w:rsidRPr="006E771B">
        <w:rPr>
          <w:rFonts w:ascii="Times New Roman" w:hAnsi="Times New Roman" w:cs="Times New Roman"/>
          <w:sz w:val="21"/>
          <w:szCs w:val="21"/>
        </w:rPr>
        <w:t xml:space="preserve"> 2004. </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1. </w:t>
      </w:r>
      <w:r>
        <w:rPr>
          <w:rFonts w:ascii="Times New Roman" w:hAnsi="Times New Roman" w:cs="Times New Roman"/>
          <w:sz w:val="21"/>
          <w:szCs w:val="21"/>
        </w:rPr>
        <w:t>–</w:t>
      </w:r>
      <w:r w:rsidRPr="006E771B">
        <w:rPr>
          <w:rFonts w:ascii="Times New Roman" w:hAnsi="Times New Roman" w:cs="Times New Roman"/>
          <w:sz w:val="21"/>
          <w:szCs w:val="21"/>
        </w:rPr>
        <w:t xml:space="preserve"> С.</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33</w:t>
      </w:r>
      <w:r>
        <w:rPr>
          <w:rFonts w:ascii="Times New Roman" w:hAnsi="Times New Roman" w:cs="Times New Roman"/>
          <w:sz w:val="21"/>
          <w:szCs w:val="21"/>
        </w:rPr>
        <w:t>–</w:t>
      </w:r>
      <w:r w:rsidRPr="006E771B">
        <w:rPr>
          <w:rFonts w:ascii="Times New Roman" w:hAnsi="Times New Roman" w:cs="Times New Roman"/>
          <w:sz w:val="21"/>
          <w:szCs w:val="21"/>
        </w:rPr>
        <w:t>52.</w:t>
      </w:r>
      <w:bookmarkEnd w:id="418"/>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19" w:name="_Ref435620001"/>
      <w:r w:rsidRPr="00954FE8">
        <w:rPr>
          <w:rFonts w:ascii="Times New Roman" w:hAnsi="Times New Roman" w:cs="Times New Roman"/>
          <w:sz w:val="21"/>
          <w:szCs w:val="21"/>
        </w:rPr>
        <w:t xml:space="preserve">Лавриненко И. М. Государственная социальная политика Российской Федерации : опыт и проблемы трансформации (80-е – первая половина 90-х годов ХХ столетия) : автореф. дис. на соиск. </w:t>
      </w:r>
      <w:r w:rsidRPr="00954FE8">
        <w:rPr>
          <w:rFonts w:ascii="Times New Roman" w:hAnsi="Times New Roman" w:cs="Times New Roman"/>
          <w:spacing w:val="-4"/>
          <w:sz w:val="21"/>
          <w:szCs w:val="21"/>
        </w:rPr>
        <w:t>уч. степ. д. ист. наук. 07.00.02 / И. М. Лавриненко. – М. : 2000. – 49 с.</w:t>
      </w:r>
      <w:bookmarkEnd w:id="419"/>
    </w:p>
    <w:p w:rsidR="00B233DE" w:rsidRPr="00EB0141"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20" w:name="_Ref435619455"/>
      <w:r w:rsidRPr="006E771B">
        <w:rPr>
          <w:rFonts w:ascii="Times New Roman" w:hAnsi="Times New Roman" w:cs="Times New Roman"/>
          <w:sz w:val="21"/>
          <w:szCs w:val="21"/>
        </w:rPr>
        <w:lastRenderedPageBreak/>
        <w:t xml:space="preserve">Лебедева </w:t>
      </w:r>
      <w:r w:rsidRPr="006E771B">
        <w:rPr>
          <w:rFonts w:ascii="Times New Roman" w:hAnsi="Times New Roman" w:cs="Times New Roman"/>
          <w:sz w:val="21"/>
          <w:szCs w:val="21"/>
          <w:lang w:val="en-US"/>
        </w:rPr>
        <w:t>H</w:t>
      </w:r>
      <w:r w:rsidRPr="006E771B">
        <w:rPr>
          <w:rFonts w:ascii="Times New Roman" w:hAnsi="Times New Roman" w:cs="Times New Roman"/>
          <w:sz w:val="21"/>
          <w:szCs w:val="21"/>
        </w:rPr>
        <w:t>.</w:t>
      </w:r>
      <w:r>
        <w:rPr>
          <w:rFonts w:ascii="Times New Roman" w:hAnsi="Times New Roman" w:cs="Times New Roman"/>
          <w:sz w:val="21"/>
          <w:szCs w:val="21"/>
          <w:lang w:val="ru-RU"/>
        </w:rPr>
        <w:t xml:space="preserve"> </w:t>
      </w:r>
      <w:r w:rsidRPr="006E771B">
        <w:rPr>
          <w:rFonts w:ascii="Times New Roman" w:hAnsi="Times New Roman" w:cs="Times New Roman"/>
          <w:sz w:val="21"/>
          <w:szCs w:val="21"/>
          <w:lang w:val="en-US"/>
        </w:rPr>
        <w:t>H</w:t>
      </w:r>
      <w:r>
        <w:rPr>
          <w:rFonts w:ascii="Times New Roman" w:hAnsi="Times New Roman" w:cs="Times New Roman"/>
          <w:sz w:val="21"/>
          <w:szCs w:val="21"/>
        </w:rPr>
        <w:t>.</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Социальный капитал и модернизация Юга России</w:t>
      </w:r>
      <w:r>
        <w:rPr>
          <w:rFonts w:ascii="Times New Roman" w:hAnsi="Times New Roman" w:cs="Times New Roman"/>
          <w:sz w:val="21"/>
          <w:szCs w:val="21"/>
          <w:lang w:val="ru-RU"/>
        </w:rPr>
        <w:t xml:space="preserve"> / Н. Н. Лебедева, О. А. Ломовцева</w:t>
      </w:r>
      <w:r w:rsidRPr="006E771B">
        <w:rPr>
          <w:rFonts w:ascii="Times New Roman" w:hAnsi="Times New Roman" w:cs="Times New Roman"/>
          <w:sz w:val="21"/>
          <w:szCs w:val="21"/>
        </w:rPr>
        <w:t xml:space="preserve"> // Общественные науки и современность. </w:t>
      </w:r>
      <w:r>
        <w:rPr>
          <w:rFonts w:ascii="Times New Roman" w:hAnsi="Times New Roman" w:cs="Times New Roman"/>
          <w:sz w:val="21"/>
          <w:szCs w:val="21"/>
        </w:rPr>
        <w:t>–</w:t>
      </w:r>
      <w:r w:rsidRPr="006E771B">
        <w:rPr>
          <w:rFonts w:ascii="Times New Roman" w:hAnsi="Times New Roman" w:cs="Times New Roman"/>
          <w:sz w:val="21"/>
          <w:szCs w:val="21"/>
        </w:rPr>
        <w:t xml:space="preserve"> 2006. </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 2. </w:t>
      </w:r>
      <w:r>
        <w:rPr>
          <w:rFonts w:ascii="Times New Roman" w:hAnsi="Times New Roman" w:cs="Times New Roman"/>
          <w:sz w:val="21"/>
          <w:szCs w:val="21"/>
        </w:rPr>
        <w:t>–</w:t>
      </w:r>
      <w:r w:rsidRPr="006E771B">
        <w:rPr>
          <w:rFonts w:ascii="Times New Roman" w:hAnsi="Times New Roman" w:cs="Times New Roman"/>
          <w:sz w:val="21"/>
          <w:szCs w:val="21"/>
        </w:rPr>
        <w:t xml:space="preserve"> С.</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109</w:t>
      </w:r>
      <w:r>
        <w:rPr>
          <w:rFonts w:ascii="Times New Roman" w:hAnsi="Times New Roman" w:cs="Times New Roman"/>
          <w:sz w:val="21"/>
          <w:szCs w:val="21"/>
        </w:rPr>
        <w:t>–</w:t>
      </w:r>
      <w:r w:rsidRPr="006E771B">
        <w:rPr>
          <w:rFonts w:ascii="Times New Roman" w:hAnsi="Times New Roman" w:cs="Times New Roman"/>
          <w:sz w:val="21"/>
          <w:szCs w:val="21"/>
        </w:rPr>
        <w:t>117.</w:t>
      </w:r>
      <w:bookmarkEnd w:id="420"/>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21" w:name="_Ref435621077"/>
      <w:r>
        <w:rPr>
          <w:rFonts w:ascii="Times New Roman" w:hAnsi="Times New Roman" w:cs="Times New Roman"/>
          <w:sz w:val="21"/>
          <w:szCs w:val="21"/>
        </w:rPr>
        <w:t xml:space="preserve">Лопушняк Г. </w:t>
      </w:r>
      <w:r w:rsidRPr="00B37A0B">
        <w:rPr>
          <w:rFonts w:ascii="Times New Roman" w:hAnsi="Times New Roman" w:cs="Times New Roman"/>
          <w:sz w:val="21"/>
          <w:szCs w:val="21"/>
        </w:rPr>
        <w:t>С. Принципи формування та реалізації дер</w:t>
      </w:r>
      <w:r>
        <w:rPr>
          <w:rFonts w:ascii="Times New Roman" w:hAnsi="Times New Roman" w:cs="Times New Roman"/>
          <w:sz w:val="21"/>
          <w:szCs w:val="21"/>
        </w:rPr>
        <w:t xml:space="preserve">жавної соціальної політики / Г. </w:t>
      </w:r>
      <w:r w:rsidRPr="00B37A0B">
        <w:rPr>
          <w:rFonts w:ascii="Times New Roman" w:hAnsi="Times New Roman" w:cs="Times New Roman"/>
          <w:sz w:val="21"/>
          <w:szCs w:val="21"/>
        </w:rPr>
        <w:t xml:space="preserve">С. Лопушняк // Актуальні проблеми державного управління. – 2010. </w:t>
      </w:r>
      <w:r>
        <w:rPr>
          <w:rFonts w:ascii="Times New Roman" w:hAnsi="Times New Roman" w:cs="Times New Roman"/>
          <w:sz w:val="21"/>
          <w:szCs w:val="21"/>
        </w:rPr>
        <w:t>–</w:t>
      </w:r>
      <w:r w:rsidRPr="00B37A0B">
        <w:rPr>
          <w:rFonts w:ascii="Times New Roman" w:hAnsi="Times New Roman" w:cs="Times New Roman"/>
          <w:sz w:val="21"/>
          <w:szCs w:val="21"/>
        </w:rPr>
        <w:t xml:space="preserve"> №</w:t>
      </w:r>
      <w:r>
        <w:rPr>
          <w:rFonts w:ascii="Times New Roman" w:hAnsi="Times New Roman" w:cs="Times New Roman"/>
          <w:sz w:val="21"/>
          <w:szCs w:val="21"/>
        </w:rPr>
        <w:t xml:space="preserve"> </w:t>
      </w:r>
      <w:r w:rsidRPr="00B37A0B">
        <w:rPr>
          <w:rFonts w:ascii="Times New Roman" w:hAnsi="Times New Roman" w:cs="Times New Roman"/>
          <w:sz w:val="21"/>
          <w:szCs w:val="21"/>
        </w:rPr>
        <w:t>1 (37). –</w:t>
      </w:r>
      <w:r>
        <w:rPr>
          <w:rFonts w:ascii="Times New Roman" w:hAnsi="Times New Roman" w:cs="Times New Roman"/>
          <w:sz w:val="21"/>
          <w:szCs w:val="21"/>
        </w:rPr>
        <w:t xml:space="preserve"> С. 28–32.</w:t>
      </w:r>
      <w:bookmarkEnd w:id="421"/>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22" w:name="_Ref435620667"/>
      <w:r w:rsidRPr="00954FE8">
        <w:rPr>
          <w:rFonts w:ascii="Times New Roman" w:hAnsi="Times New Roman" w:cs="Times New Roman"/>
          <w:sz w:val="21"/>
          <w:szCs w:val="21"/>
        </w:rPr>
        <w:t xml:space="preserve">Лопушняк Г. Теоретичні підходи до трактування поняття державної соціальної політики / Г. Лопушняк // Ефективність державного управління : зб.наук. пр. </w:t>
      </w:r>
      <w:r w:rsidRPr="00954FE8">
        <w:rPr>
          <w:rFonts w:ascii="Times New Roman" w:hAnsi="Times New Roman" w:cs="Times New Roman"/>
          <w:bCs/>
          <w:kern w:val="36"/>
          <w:sz w:val="21"/>
          <w:szCs w:val="21"/>
        </w:rPr>
        <w:t>–</w:t>
      </w:r>
      <w:r w:rsidRPr="00954FE8">
        <w:rPr>
          <w:rFonts w:ascii="Times New Roman" w:hAnsi="Times New Roman" w:cs="Times New Roman"/>
          <w:sz w:val="21"/>
          <w:szCs w:val="21"/>
        </w:rPr>
        <w:t xml:space="preserve"> Вип. 20 / за заг. ред. чл.-кор. НАН України В. С. Загорського, доц. А. В. Ліпенцева. </w:t>
      </w:r>
      <w:r w:rsidRPr="00954FE8">
        <w:rPr>
          <w:rFonts w:ascii="Times New Roman" w:hAnsi="Times New Roman" w:cs="Times New Roman"/>
          <w:bCs/>
          <w:kern w:val="36"/>
          <w:sz w:val="21"/>
          <w:szCs w:val="21"/>
        </w:rPr>
        <w:t>–</w:t>
      </w:r>
      <w:r w:rsidRPr="00954FE8">
        <w:rPr>
          <w:rFonts w:ascii="Times New Roman" w:hAnsi="Times New Roman" w:cs="Times New Roman"/>
          <w:sz w:val="21"/>
          <w:szCs w:val="21"/>
        </w:rPr>
        <w:t xml:space="preserve"> Львів : ЛРІДУ НАДУ, 2009. </w:t>
      </w:r>
      <w:r w:rsidRPr="00954FE8">
        <w:rPr>
          <w:rFonts w:ascii="Times New Roman" w:hAnsi="Times New Roman" w:cs="Times New Roman"/>
          <w:bCs/>
          <w:kern w:val="36"/>
          <w:sz w:val="21"/>
          <w:szCs w:val="21"/>
        </w:rPr>
        <w:t xml:space="preserve">– </w:t>
      </w:r>
      <w:r w:rsidRPr="00954FE8">
        <w:rPr>
          <w:rFonts w:ascii="Times New Roman" w:hAnsi="Times New Roman" w:cs="Times New Roman"/>
          <w:kern w:val="36"/>
          <w:sz w:val="21"/>
          <w:szCs w:val="21"/>
        </w:rPr>
        <w:t>С. 39–44.</w:t>
      </w:r>
      <w:bookmarkEnd w:id="422"/>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23" w:name="_Ref435618702"/>
      <w:r w:rsidRPr="00CB07DF">
        <w:rPr>
          <w:rFonts w:ascii="Times New Roman" w:hAnsi="Times New Roman" w:cs="Times New Roman"/>
          <w:sz w:val="21"/>
          <w:szCs w:val="21"/>
        </w:rPr>
        <w:t>Лу</w:t>
      </w:r>
      <w:r>
        <w:rPr>
          <w:rFonts w:ascii="Times New Roman" w:hAnsi="Times New Roman" w:cs="Times New Roman"/>
          <w:sz w:val="21"/>
          <w:szCs w:val="21"/>
        </w:rPr>
        <w:t xml:space="preserve">кашевич М. </w:t>
      </w:r>
      <w:r w:rsidRPr="00CB07DF">
        <w:rPr>
          <w:rFonts w:ascii="Times New Roman" w:hAnsi="Times New Roman" w:cs="Times New Roman"/>
          <w:sz w:val="21"/>
          <w:szCs w:val="21"/>
        </w:rPr>
        <w:t xml:space="preserve">П. </w:t>
      </w:r>
      <w:r>
        <w:rPr>
          <w:rFonts w:ascii="Times New Roman" w:hAnsi="Times New Roman" w:cs="Times New Roman"/>
          <w:sz w:val="21"/>
          <w:szCs w:val="21"/>
        </w:rPr>
        <w:t>Соціологія. Загальний курс :</w:t>
      </w:r>
      <w:r w:rsidRPr="00CB07DF">
        <w:rPr>
          <w:rFonts w:ascii="Times New Roman" w:hAnsi="Times New Roman" w:cs="Times New Roman"/>
          <w:sz w:val="21"/>
          <w:szCs w:val="21"/>
        </w:rPr>
        <w:t xml:space="preserve"> </w:t>
      </w:r>
      <w:r>
        <w:rPr>
          <w:rFonts w:ascii="Times New Roman" w:hAnsi="Times New Roman" w:cs="Times New Roman"/>
          <w:sz w:val="21"/>
          <w:szCs w:val="21"/>
        </w:rPr>
        <w:t xml:space="preserve">навчальний посібник / М. П. Лукашевич, М. В. Туленков. – К. : Каравела, 2006. – 408 </w:t>
      </w:r>
      <w:r w:rsidRPr="00CB07DF">
        <w:rPr>
          <w:rFonts w:ascii="Times New Roman" w:hAnsi="Times New Roman" w:cs="Times New Roman"/>
          <w:sz w:val="21"/>
          <w:szCs w:val="21"/>
        </w:rPr>
        <w:t>c.</w:t>
      </w:r>
      <w:bookmarkEnd w:id="423"/>
    </w:p>
    <w:p w:rsidR="00B233DE" w:rsidRPr="00EB0141"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24" w:name="_Ref435619481"/>
      <w:r w:rsidRPr="006E771B">
        <w:rPr>
          <w:rFonts w:ascii="Times New Roman" w:hAnsi="Times New Roman" w:cs="Times New Roman"/>
          <w:sz w:val="21"/>
          <w:szCs w:val="21"/>
        </w:rPr>
        <w:t>Ляско А.</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К. Доверие и трансакционные издержки </w:t>
      </w:r>
      <w:r>
        <w:rPr>
          <w:rFonts w:ascii="Times New Roman" w:hAnsi="Times New Roman" w:cs="Times New Roman"/>
          <w:sz w:val="21"/>
          <w:szCs w:val="21"/>
          <w:lang w:val="ru-RU"/>
        </w:rPr>
        <w:t xml:space="preserve">/ А. К. Ляско </w:t>
      </w:r>
      <w:r w:rsidRPr="006E771B">
        <w:rPr>
          <w:rFonts w:ascii="Times New Roman" w:hAnsi="Times New Roman" w:cs="Times New Roman"/>
          <w:sz w:val="21"/>
          <w:szCs w:val="21"/>
        </w:rPr>
        <w:t xml:space="preserve">// Вопросы экономики. </w:t>
      </w:r>
      <w:r>
        <w:rPr>
          <w:rFonts w:ascii="Times New Roman" w:hAnsi="Times New Roman" w:cs="Times New Roman"/>
          <w:sz w:val="21"/>
          <w:szCs w:val="21"/>
        </w:rPr>
        <w:t>–</w:t>
      </w:r>
      <w:r w:rsidRPr="006E771B">
        <w:rPr>
          <w:rFonts w:ascii="Times New Roman" w:hAnsi="Times New Roman" w:cs="Times New Roman"/>
          <w:sz w:val="21"/>
          <w:szCs w:val="21"/>
        </w:rPr>
        <w:t xml:space="preserve"> 2003. </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 1. </w:t>
      </w:r>
      <w:r>
        <w:rPr>
          <w:rFonts w:ascii="Times New Roman" w:hAnsi="Times New Roman" w:cs="Times New Roman"/>
          <w:sz w:val="21"/>
          <w:szCs w:val="21"/>
        </w:rPr>
        <w:t>–</w:t>
      </w:r>
      <w:r w:rsidRPr="006E771B">
        <w:rPr>
          <w:rFonts w:ascii="Times New Roman" w:hAnsi="Times New Roman" w:cs="Times New Roman"/>
          <w:sz w:val="21"/>
          <w:szCs w:val="21"/>
        </w:rPr>
        <w:t xml:space="preserve"> С.</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42</w:t>
      </w:r>
      <w:r>
        <w:rPr>
          <w:rFonts w:ascii="Times New Roman" w:hAnsi="Times New Roman" w:cs="Times New Roman"/>
          <w:sz w:val="21"/>
          <w:szCs w:val="21"/>
        </w:rPr>
        <w:t>–</w:t>
      </w:r>
      <w:r w:rsidRPr="006E771B">
        <w:rPr>
          <w:rFonts w:ascii="Times New Roman" w:hAnsi="Times New Roman" w:cs="Times New Roman"/>
          <w:sz w:val="21"/>
          <w:szCs w:val="21"/>
        </w:rPr>
        <w:t>58.</w:t>
      </w:r>
      <w:bookmarkEnd w:id="424"/>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25" w:name="_Ref435619024"/>
      <w:r>
        <w:rPr>
          <w:rFonts w:ascii="Times New Roman" w:hAnsi="Times New Roman" w:cs="Times New Roman"/>
          <w:sz w:val="21"/>
          <w:szCs w:val="21"/>
        </w:rPr>
        <w:t>Механізм економічної політики : н</w:t>
      </w:r>
      <w:r w:rsidRPr="00CB07DF">
        <w:rPr>
          <w:rFonts w:ascii="Times New Roman" w:hAnsi="Times New Roman" w:cs="Times New Roman"/>
          <w:sz w:val="21"/>
          <w:szCs w:val="21"/>
        </w:rPr>
        <w:t xml:space="preserve">авчальний посібник / </w:t>
      </w:r>
      <w:r>
        <w:rPr>
          <w:rFonts w:ascii="Times New Roman" w:hAnsi="Times New Roman" w:cs="Times New Roman"/>
          <w:sz w:val="21"/>
          <w:szCs w:val="21"/>
        </w:rPr>
        <w:t xml:space="preserve">Ю. М. Уманців, О. І. Міняйло, В. І. </w:t>
      </w:r>
      <w:r w:rsidRPr="00CB07DF">
        <w:rPr>
          <w:rFonts w:ascii="Times New Roman" w:hAnsi="Times New Roman" w:cs="Times New Roman"/>
          <w:sz w:val="21"/>
          <w:szCs w:val="21"/>
        </w:rPr>
        <w:t>Кос</w:t>
      </w:r>
      <w:r>
        <w:rPr>
          <w:rFonts w:ascii="Times New Roman" w:hAnsi="Times New Roman" w:cs="Times New Roman"/>
          <w:sz w:val="21"/>
          <w:szCs w:val="21"/>
        </w:rPr>
        <w:t xml:space="preserve">ик. – Івано-Франківськ : Місто НВ, 2010. – 436 </w:t>
      </w:r>
      <w:r w:rsidRPr="00CB07DF">
        <w:rPr>
          <w:rFonts w:ascii="Times New Roman" w:hAnsi="Times New Roman" w:cs="Times New Roman"/>
          <w:sz w:val="21"/>
          <w:szCs w:val="21"/>
        </w:rPr>
        <w:t>с.</w:t>
      </w:r>
      <w:bookmarkEnd w:id="425"/>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26" w:name="_Ref435619951"/>
      <w:r w:rsidRPr="000D0858">
        <w:rPr>
          <w:rFonts w:ascii="Times New Roman" w:hAnsi="Times New Roman" w:cs="Times New Roman"/>
          <w:spacing w:val="-6"/>
          <w:sz w:val="21"/>
          <w:szCs w:val="21"/>
        </w:rPr>
        <w:t>Милль Дж. С. Основы политической экономии / Дж. С. Милль</w:t>
      </w:r>
      <w:r w:rsidRPr="000D0858">
        <w:rPr>
          <w:rFonts w:ascii="Times New Roman" w:hAnsi="Times New Roman" w:cs="Times New Roman"/>
          <w:sz w:val="21"/>
          <w:szCs w:val="21"/>
        </w:rPr>
        <w:t xml:space="preserve"> // Экономическая мысль Запада : в 3 т. – Т. 3. – М. : Прогресс, 1981. – 447 с.</w:t>
      </w:r>
      <w:bookmarkEnd w:id="426"/>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27" w:name="_Ref435620765"/>
      <w:r w:rsidRPr="000D0858">
        <w:rPr>
          <w:rFonts w:ascii="Times New Roman" w:hAnsi="Times New Roman" w:cs="Times New Roman"/>
          <w:sz w:val="21"/>
          <w:szCs w:val="21"/>
        </w:rPr>
        <w:t>Мкртчян Т. Социальное партнерство, трипартизм и генеральные соглашения / Т. Мкртчян, И. Чистяков // Общество и экономика. – 1998. – № 10/11. – С. 43–49.</w:t>
      </w:r>
      <w:bookmarkEnd w:id="427"/>
    </w:p>
    <w:p w:rsidR="00B233DE" w:rsidRPr="000D0858"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28" w:name="_Ref435619931"/>
      <w:r w:rsidRPr="000D0858">
        <w:rPr>
          <w:rFonts w:ascii="Times New Roman" w:hAnsi="Times New Roman" w:cs="Times New Roman"/>
          <w:spacing w:val="-6"/>
          <w:sz w:val="21"/>
          <w:szCs w:val="21"/>
        </w:rPr>
        <w:t>Монтескье Ш. Л. Избранные произведения / Ш. Л. Монтескье.</w:t>
      </w:r>
      <w:r w:rsidRPr="000D0858">
        <w:rPr>
          <w:rFonts w:ascii="Times New Roman" w:hAnsi="Times New Roman" w:cs="Times New Roman"/>
          <w:sz w:val="21"/>
          <w:szCs w:val="21"/>
        </w:rPr>
        <w:t xml:space="preserve"> – М. : Госполитиздат, 1955. – 800 с.</w:t>
      </w:r>
      <w:bookmarkEnd w:id="428"/>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29" w:name="_Ref435620740"/>
      <w:r w:rsidRPr="00954FE8">
        <w:rPr>
          <w:rFonts w:ascii="Times New Roman" w:hAnsi="Times New Roman" w:cs="Times New Roman"/>
          <w:sz w:val="21"/>
          <w:szCs w:val="21"/>
        </w:rPr>
        <w:t>Мужикова Н. М. Адаптація соціальної політики і трудового законодавства до європейських стандартів ЄС : навч. посіб. / Н. М. Мужикова, В. Ф. Пузирний, Л. А. Семиног. – Чернігів : Деснянська правда, 2007. – 169 с.</w:t>
      </w:r>
      <w:bookmarkEnd w:id="429"/>
    </w:p>
    <w:p w:rsidR="00B233DE" w:rsidRPr="000D0858"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30" w:name="_Ref435619986"/>
      <w:r w:rsidRPr="000D0858">
        <w:rPr>
          <w:rFonts w:ascii="Times New Roman" w:hAnsi="Times New Roman" w:cs="Times New Roman"/>
          <w:sz w:val="21"/>
          <w:szCs w:val="21"/>
        </w:rPr>
        <w:t>Новікова О. Ф. Соціальна безпека : організаційно-економічні проблеми і шляхи вирішення / О. Новікова. – Донецьк : ІЕП НАН України, 1997. – 460 с.</w:t>
      </w:r>
      <w:bookmarkEnd w:id="430"/>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31" w:name="_Ref435619974"/>
      <w:r w:rsidRPr="00954FE8">
        <w:rPr>
          <w:rFonts w:ascii="Times New Roman" w:hAnsi="Times New Roman" w:cs="Times New Roman"/>
          <w:sz w:val="21"/>
          <w:szCs w:val="21"/>
        </w:rPr>
        <w:t>Новіков В. Подолання бідності – нагальна проблема соціальної політики / В. Новіков // Україна : аспекти праці. – 2001. – № 1. – С. 23–26.</w:t>
      </w:r>
      <w:bookmarkEnd w:id="431"/>
    </w:p>
    <w:p w:rsidR="00B233DE" w:rsidRPr="00EB0141"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32" w:name="_Ref435619489"/>
      <w:r w:rsidRPr="006E771B">
        <w:rPr>
          <w:rFonts w:ascii="Times New Roman" w:hAnsi="Times New Roman" w:cs="Times New Roman"/>
          <w:sz w:val="21"/>
          <w:szCs w:val="21"/>
        </w:rPr>
        <w:t>Олейник А.</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Н. Институциональная экономика</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 </w:t>
      </w:r>
      <w:r>
        <w:rPr>
          <w:rFonts w:ascii="Times New Roman" w:hAnsi="Times New Roman" w:cs="Times New Roman"/>
          <w:sz w:val="21"/>
          <w:szCs w:val="21"/>
          <w:lang w:val="ru-RU"/>
        </w:rPr>
        <w:t>у</w:t>
      </w:r>
      <w:r>
        <w:rPr>
          <w:rFonts w:ascii="Times New Roman" w:hAnsi="Times New Roman" w:cs="Times New Roman"/>
          <w:sz w:val="21"/>
          <w:szCs w:val="21"/>
        </w:rPr>
        <w:t>чеб. Пособие</w:t>
      </w:r>
      <w:r>
        <w:rPr>
          <w:rFonts w:ascii="Times New Roman" w:hAnsi="Times New Roman" w:cs="Times New Roman"/>
          <w:sz w:val="21"/>
          <w:szCs w:val="21"/>
          <w:lang w:val="ru-RU"/>
        </w:rPr>
        <w:t xml:space="preserve"> / А. Н. Олейник.</w:t>
      </w:r>
      <w:r w:rsidRPr="006E771B">
        <w:rPr>
          <w:rFonts w:ascii="Times New Roman" w:hAnsi="Times New Roman" w:cs="Times New Roman"/>
          <w:sz w:val="21"/>
          <w:szCs w:val="21"/>
        </w:rPr>
        <w:t xml:space="preserve"> </w:t>
      </w:r>
      <w:r>
        <w:rPr>
          <w:rFonts w:ascii="Times New Roman" w:hAnsi="Times New Roman" w:cs="Times New Roman"/>
          <w:sz w:val="21"/>
          <w:szCs w:val="21"/>
        </w:rPr>
        <w:t>–</w:t>
      </w:r>
      <w:r w:rsidRPr="006E771B">
        <w:rPr>
          <w:rFonts w:ascii="Times New Roman" w:hAnsi="Times New Roman" w:cs="Times New Roman"/>
          <w:sz w:val="21"/>
          <w:szCs w:val="21"/>
        </w:rPr>
        <w:t xml:space="preserve"> М.</w:t>
      </w:r>
      <w:r>
        <w:rPr>
          <w:rFonts w:ascii="Times New Roman" w:hAnsi="Times New Roman" w:cs="Times New Roman"/>
          <w:sz w:val="21"/>
          <w:szCs w:val="21"/>
          <w:lang w:val="ru-RU"/>
        </w:rPr>
        <w:t xml:space="preserve"> </w:t>
      </w:r>
      <w:r>
        <w:rPr>
          <w:rFonts w:ascii="Times New Roman" w:hAnsi="Times New Roman" w:cs="Times New Roman"/>
          <w:sz w:val="21"/>
          <w:szCs w:val="21"/>
        </w:rPr>
        <w:t xml:space="preserve">: </w:t>
      </w:r>
      <w:r w:rsidRPr="006E771B">
        <w:rPr>
          <w:rFonts w:ascii="Times New Roman" w:hAnsi="Times New Roman" w:cs="Times New Roman"/>
          <w:sz w:val="21"/>
          <w:szCs w:val="21"/>
        </w:rPr>
        <w:t xml:space="preserve">ИНФРА-М, 2000. </w:t>
      </w:r>
      <w:r>
        <w:rPr>
          <w:rFonts w:ascii="Times New Roman" w:hAnsi="Times New Roman" w:cs="Times New Roman"/>
          <w:sz w:val="21"/>
          <w:szCs w:val="21"/>
        </w:rPr>
        <w:t>–</w:t>
      </w:r>
      <w:r w:rsidRPr="006E771B">
        <w:rPr>
          <w:rFonts w:ascii="Times New Roman" w:hAnsi="Times New Roman" w:cs="Times New Roman"/>
          <w:sz w:val="21"/>
          <w:szCs w:val="21"/>
        </w:rPr>
        <w:t xml:space="preserve"> 415</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с.</w:t>
      </w:r>
      <w:bookmarkEnd w:id="432"/>
    </w:p>
    <w:p w:rsidR="00B233DE" w:rsidRPr="00D17283"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33" w:name="_Ref435619496"/>
      <w:r w:rsidRPr="006E771B">
        <w:rPr>
          <w:rFonts w:ascii="Times New Roman" w:hAnsi="Times New Roman" w:cs="Times New Roman"/>
          <w:sz w:val="21"/>
          <w:szCs w:val="21"/>
        </w:rPr>
        <w:lastRenderedPageBreak/>
        <w:t>Олейник А.</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Н. Модель сетевого капитализма </w:t>
      </w:r>
      <w:r>
        <w:rPr>
          <w:rFonts w:ascii="Times New Roman" w:hAnsi="Times New Roman" w:cs="Times New Roman"/>
          <w:sz w:val="21"/>
          <w:szCs w:val="21"/>
          <w:lang w:val="ru-RU"/>
        </w:rPr>
        <w:t xml:space="preserve">/ А. Н. Олейник </w:t>
      </w:r>
      <w:r w:rsidRPr="006E771B">
        <w:rPr>
          <w:rFonts w:ascii="Times New Roman" w:hAnsi="Times New Roman" w:cs="Times New Roman"/>
          <w:sz w:val="21"/>
          <w:szCs w:val="21"/>
        </w:rPr>
        <w:t xml:space="preserve">// Вопросы экономики. </w:t>
      </w:r>
      <w:r>
        <w:rPr>
          <w:rFonts w:ascii="Times New Roman" w:hAnsi="Times New Roman" w:cs="Times New Roman"/>
          <w:sz w:val="21"/>
          <w:szCs w:val="21"/>
        </w:rPr>
        <w:t>–</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2003. </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8.</w:t>
      </w:r>
      <w:r>
        <w:rPr>
          <w:rFonts w:ascii="Times New Roman" w:hAnsi="Times New Roman" w:cs="Times New Roman"/>
          <w:sz w:val="21"/>
          <w:szCs w:val="21"/>
          <w:lang w:val="ru-RU"/>
        </w:rPr>
        <w:t xml:space="preserve"> </w:t>
      </w:r>
      <w:r>
        <w:rPr>
          <w:rFonts w:ascii="Times New Roman" w:hAnsi="Times New Roman" w:cs="Times New Roman"/>
          <w:sz w:val="21"/>
          <w:szCs w:val="21"/>
        </w:rPr>
        <w:t>–</w:t>
      </w:r>
      <w:r w:rsidRPr="006E771B">
        <w:rPr>
          <w:rFonts w:ascii="Times New Roman" w:hAnsi="Times New Roman" w:cs="Times New Roman"/>
          <w:sz w:val="21"/>
          <w:szCs w:val="21"/>
        </w:rPr>
        <w:t xml:space="preserve"> С.</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132</w:t>
      </w:r>
      <w:r>
        <w:rPr>
          <w:rFonts w:ascii="Times New Roman" w:hAnsi="Times New Roman" w:cs="Times New Roman"/>
          <w:sz w:val="21"/>
          <w:szCs w:val="21"/>
        </w:rPr>
        <w:t>–</w:t>
      </w:r>
      <w:r w:rsidRPr="006E771B">
        <w:rPr>
          <w:rFonts w:ascii="Times New Roman" w:hAnsi="Times New Roman" w:cs="Times New Roman"/>
          <w:sz w:val="21"/>
          <w:szCs w:val="21"/>
        </w:rPr>
        <w:t>149.</w:t>
      </w:r>
      <w:bookmarkEnd w:id="433"/>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34" w:name="_Ref435620104"/>
      <w:r w:rsidRPr="00954FE8">
        <w:rPr>
          <w:rFonts w:ascii="Times New Roman" w:hAnsi="Times New Roman" w:cs="Times New Roman"/>
          <w:sz w:val="21"/>
          <w:szCs w:val="21"/>
        </w:rPr>
        <w:t>Осадчая Г. И. Социология социальной сферы / Г. И. Осад-чая. – М. : Союз, 1999. – 279 с.</w:t>
      </w:r>
      <w:bookmarkEnd w:id="434"/>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35" w:name="_Ref435618634"/>
      <w:r w:rsidRPr="00CB07DF">
        <w:rPr>
          <w:rFonts w:ascii="Times New Roman" w:hAnsi="Times New Roman" w:cs="Times New Roman"/>
          <w:sz w:val="21"/>
          <w:szCs w:val="21"/>
        </w:rPr>
        <w:t>Основи економічної теорії / За р</w:t>
      </w:r>
      <w:r>
        <w:rPr>
          <w:rFonts w:ascii="Times New Roman" w:hAnsi="Times New Roman" w:cs="Times New Roman"/>
          <w:sz w:val="21"/>
          <w:szCs w:val="21"/>
        </w:rPr>
        <w:t xml:space="preserve">ед. проф. С. В. Мочерного. – К. </w:t>
      </w:r>
      <w:r w:rsidRPr="00CB07DF">
        <w:rPr>
          <w:rFonts w:ascii="Times New Roman" w:hAnsi="Times New Roman" w:cs="Times New Roman"/>
          <w:sz w:val="21"/>
          <w:szCs w:val="21"/>
        </w:rPr>
        <w:t xml:space="preserve">: </w:t>
      </w:r>
      <w:r>
        <w:rPr>
          <w:rFonts w:ascii="Times New Roman" w:hAnsi="Times New Roman" w:cs="Times New Roman"/>
          <w:sz w:val="21"/>
          <w:szCs w:val="21"/>
        </w:rPr>
        <w:t xml:space="preserve">Академія, 1998. – 298 </w:t>
      </w:r>
      <w:r w:rsidRPr="00CB07DF">
        <w:rPr>
          <w:rFonts w:ascii="Times New Roman" w:hAnsi="Times New Roman" w:cs="Times New Roman"/>
          <w:sz w:val="21"/>
          <w:szCs w:val="21"/>
        </w:rPr>
        <w:t>с.</w:t>
      </w:r>
      <w:bookmarkEnd w:id="435"/>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36" w:name="_Ref435620721"/>
      <w:r w:rsidRPr="00954FE8">
        <w:rPr>
          <w:rFonts w:ascii="Times New Roman" w:hAnsi="Times New Roman" w:cs="Times New Roman"/>
          <w:sz w:val="21"/>
          <w:szCs w:val="21"/>
        </w:rPr>
        <w:t>Основи економічної теорії : навч. посіб. / [А. А. Григорук, М. С. Палюх, Л. М.Литвин та ін.] ; за ред. А. А. Григорука, М. С. Палюха]. – Т., 2002. – 304 с.</w:t>
      </w:r>
      <w:bookmarkEnd w:id="436"/>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37" w:name="_Ref435620623"/>
      <w:r w:rsidRPr="00954FE8">
        <w:rPr>
          <w:rFonts w:ascii="Times New Roman" w:hAnsi="Times New Roman" w:cs="Times New Roman"/>
          <w:sz w:val="21"/>
          <w:szCs w:val="21"/>
        </w:rPr>
        <w:t>Основы социальной работы / отв. ред. П. Павленко. – М., 1997. – 86 с.</w:t>
      </w:r>
      <w:bookmarkEnd w:id="437"/>
    </w:p>
    <w:p w:rsidR="00B233DE" w:rsidRDefault="00B233DE" w:rsidP="00B233DE">
      <w:pPr>
        <w:pStyle w:val="ad"/>
        <w:numPr>
          <w:ilvl w:val="0"/>
          <w:numId w:val="29"/>
        </w:numPr>
        <w:tabs>
          <w:tab w:val="left" w:pos="1134"/>
        </w:tabs>
        <w:ind w:left="0" w:firstLine="709"/>
        <w:jc w:val="both"/>
        <w:rPr>
          <w:rStyle w:val="rvts6"/>
          <w:sz w:val="21"/>
          <w:szCs w:val="21"/>
        </w:rPr>
      </w:pPr>
      <w:bookmarkStart w:id="438" w:name="_Ref435620546"/>
      <w:r w:rsidRPr="000D0858">
        <w:rPr>
          <w:rStyle w:val="rvts6"/>
          <w:sz w:val="21"/>
          <w:szCs w:val="21"/>
        </w:rPr>
        <w:t>Перглер Т. І. Роль соціально-правової держави Німеччини у стабілізації суспільства</w:t>
      </w:r>
      <w:r w:rsidRPr="000D0858">
        <w:rPr>
          <w:rFonts w:ascii="Times New Roman" w:hAnsi="Times New Roman" w:cs="Times New Roman"/>
          <w:sz w:val="21"/>
          <w:szCs w:val="21"/>
        </w:rPr>
        <w:t xml:space="preserve"> </w:t>
      </w:r>
      <w:r w:rsidRPr="000D0858">
        <w:rPr>
          <w:rStyle w:val="rvts6"/>
          <w:sz w:val="21"/>
          <w:szCs w:val="21"/>
        </w:rPr>
        <w:t xml:space="preserve">: автореф. дис. на здоб. наук. ступ. к. політ. н. : 23.00.02 / Т. І. Перглер ; Ін-т держави і права ім. В. М. Корець-кого НАН України. </w:t>
      </w:r>
      <w:r w:rsidRPr="000D0858">
        <w:rPr>
          <w:rFonts w:ascii="Times New Roman" w:hAnsi="Times New Roman" w:cs="Times New Roman"/>
          <w:sz w:val="21"/>
          <w:szCs w:val="21"/>
        </w:rPr>
        <w:t>–</w:t>
      </w:r>
      <w:r w:rsidRPr="000D0858">
        <w:rPr>
          <w:rStyle w:val="FontStyle22"/>
          <w:sz w:val="21"/>
          <w:szCs w:val="21"/>
        </w:rPr>
        <w:t xml:space="preserve"> </w:t>
      </w:r>
      <w:r w:rsidRPr="000D0858">
        <w:rPr>
          <w:rStyle w:val="rvts6"/>
          <w:sz w:val="21"/>
          <w:szCs w:val="21"/>
        </w:rPr>
        <w:t xml:space="preserve">К. </w:t>
      </w:r>
      <w:r w:rsidRPr="000D0858">
        <w:rPr>
          <w:rFonts w:ascii="Times New Roman" w:hAnsi="Times New Roman" w:cs="Times New Roman"/>
          <w:sz w:val="21"/>
          <w:szCs w:val="21"/>
        </w:rPr>
        <w:t>:</w:t>
      </w:r>
      <w:r w:rsidRPr="000D0858">
        <w:rPr>
          <w:rStyle w:val="rvts6"/>
          <w:sz w:val="21"/>
          <w:szCs w:val="21"/>
        </w:rPr>
        <w:t xml:space="preserve"> 1998. </w:t>
      </w:r>
      <w:r w:rsidRPr="000D0858">
        <w:rPr>
          <w:rFonts w:ascii="Times New Roman" w:hAnsi="Times New Roman" w:cs="Times New Roman"/>
          <w:sz w:val="21"/>
          <w:szCs w:val="21"/>
        </w:rPr>
        <w:t>–</w:t>
      </w:r>
      <w:r w:rsidRPr="000D0858">
        <w:rPr>
          <w:rStyle w:val="FontStyle22"/>
          <w:sz w:val="21"/>
          <w:szCs w:val="21"/>
        </w:rPr>
        <w:t xml:space="preserve"> </w:t>
      </w:r>
      <w:r w:rsidRPr="000D0858">
        <w:rPr>
          <w:rStyle w:val="rvts6"/>
          <w:sz w:val="21"/>
          <w:szCs w:val="21"/>
        </w:rPr>
        <w:t>20 с.</w:t>
      </w:r>
      <w:bookmarkEnd w:id="438"/>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39" w:name="_Ref435619915"/>
      <w:r w:rsidRPr="000D0858">
        <w:rPr>
          <w:rFonts w:ascii="Times New Roman" w:hAnsi="Times New Roman" w:cs="Times New Roman"/>
          <w:sz w:val="21"/>
          <w:szCs w:val="21"/>
        </w:rPr>
        <w:t>Піча В. М. Політологія : навч. посіб. для студ. ВЗО І–І</w:t>
      </w:r>
      <w:r w:rsidRPr="000D0858">
        <w:rPr>
          <w:rFonts w:ascii="Times New Roman" w:hAnsi="Times New Roman" w:cs="Times New Roman"/>
          <w:sz w:val="21"/>
          <w:szCs w:val="21"/>
          <w:lang w:val="en-US"/>
        </w:rPr>
        <w:t>V</w:t>
      </w:r>
      <w:r w:rsidRPr="000D0858">
        <w:rPr>
          <w:rFonts w:ascii="Times New Roman" w:hAnsi="Times New Roman" w:cs="Times New Roman"/>
          <w:sz w:val="21"/>
          <w:szCs w:val="21"/>
        </w:rPr>
        <w:t xml:space="preserve"> рівнів акредитації / В. Піча, Н. Хома. –</w:t>
      </w:r>
      <w:r w:rsidRPr="000D0858">
        <w:rPr>
          <w:rStyle w:val="FontStyle22"/>
          <w:sz w:val="21"/>
          <w:szCs w:val="21"/>
        </w:rPr>
        <w:t xml:space="preserve"> </w:t>
      </w:r>
      <w:r w:rsidRPr="000D0858">
        <w:rPr>
          <w:rFonts w:ascii="Times New Roman" w:hAnsi="Times New Roman" w:cs="Times New Roman"/>
          <w:sz w:val="21"/>
          <w:szCs w:val="21"/>
        </w:rPr>
        <w:t>2-ге вид. –</w:t>
      </w:r>
      <w:r w:rsidRPr="000D0858">
        <w:rPr>
          <w:rStyle w:val="FontStyle22"/>
          <w:sz w:val="21"/>
          <w:szCs w:val="21"/>
        </w:rPr>
        <w:t xml:space="preserve"> </w:t>
      </w:r>
      <w:r w:rsidRPr="000D0858">
        <w:rPr>
          <w:rFonts w:ascii="Times New Roman" w:hAnsi="Times New Roman" w:cs="Times New Roman"/>
          <w:sz w:val="21"/>
          <w:szCs w:val="21"/>
        </w:rPr>
        <w:t>К. : Каравелла, 2001. –</w:t>
      </w:r>
      <w:r w:rsidRPr="000D0858">
        <w:rPr>
          <w:rStyle w:val="FontStyle22"/>
          <w:sz w:val="21"/>
          <w:szCs w:val="21"/>
        </w:rPr>
        <w:t xml:space="preserve"> </w:t>
      </w:r>
      <w:r w:rsidRPr="000D0858">
        <w:rPr>
          <w:rFonts w:ascii="Times New Roman" w:hAnsi="Times New Roman" w:cs="Times New Roman"/>
          <w:sz w:val="21"/>
          <w:szCs w:val="21"/>
        </w:rPr>
        <w:t>344</w:t>
      </w:r>
      <w:r w:rsidRPr="000D0858" w:rsidDel="00B6212C">
        <w:rPr>
          <w:rFonts w:ascii="Times New Roman" w:hAnsi="Times New Roman" w:cs="Times New Roman"/>
          <w:sz w:val="21"/>
          <w:szCs w:val="21"/>
        </w:rPr>
        <w:t xml:space="preserve"> </w:t>
      </w:r>
      <w:r w:rsidRPr="000D0858">
        <w:rPr>
          <w:rFonts w:ascii="Times New Roman" w:hAnsi="Times New Roman" w:cs="Times New Roman"/>
          <w:sz w:val="21"/>
          <w:szCs w:val="21"/>
        </w:rPr>
        <w:t>с.</w:t>
      </w:r>
      <w:bookmarkEnd w:id="439"/>
    </w:p>
    <w:p w:rsidR="00B233DE" w:rsidRPr="000D0858"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40" w:name="_Ref435621035"/>
      <w:r w:rsidRPr="000D0858">
        <w:rPr>
          <w:rFonts w:ascii="Times New Roman" w:hAnsi="Times New Roman" w:cs="Times New Roman"/>
          <w:sz w:val="21"/>
          <w:szCs w:val="21"/>
        </w:rPr>
        <w:t>Плотинский Ю. М. Модели социальных процессов : учебное пособие для высших учебных заведений / Ю. М. Пло-тинский ; изд. 2-е, перераб. и доп. – M. : Логос, 2001. – 296 с.</w:t>
      </w:r>
      <w:bookmarkEnd w:id="440"/>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41" w:name="_Ref435620518"/>
      <w:r w:rsidRPr="00954FE8">
        <w:rPr>
          <w:rFonts w:ascii="Times New Roman" w:hAnsi="Times New Roman" w:cs="Times New Roman"/>
          <w:sz w:val="21"/>
          <w:szCs w:val="21"/>
        </w:rPr>
        <w:t>Политология : учеб. пособ. для вуз. / сост. и ред. Н. Сазонова. – Х. : Фолио, 2001. – 831 с.</w:t>
      </w:r>
      <w:bookmarkEnd w:id="441"/>
    </w:p>
    <w:p w:rsidR="00B233DE" w:rsidRPr="00D17283"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42" w:name="_Ref435619760"/>
      <w:r w:rsidRPr="006E771B">
        <w:rPr>
          <w:rFonts w:ascii="Times New Roman" w:hAnsi="Times New Roman" w:cs="Times New Roman"/>
          <w:sz w:val="21"/>
          <w:szCs w:val="21"/>
        </w:rPr>
        <w:t>Полищук Е.</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А. Социальный капитал и его роль в экономическом развитии </w:t>
      </w:r>
      <w:r>
        <w:rPr>
          <w:rFonts w:ascii="Times New Roman" w:hAnsi="Times New Roman" w:cs="Times New Roman"/>
          <w:sz w:val="21"/>
          <w:szCs w:val="21"/>
          <w:lang w:val="ru-RU"/>
        </w:rPr>
        <w:t xml:space="preserve">/ Е. А. Полищук </w:t>
      </w:r>
      <w:r w:rsidRPr="006E771B">
        <w:rPr>
          <w:rFonts w:ascii="Times New Roman" w:hAnsi="Times New Roman" w:cs="Times New Roman"/>
          <w:sz w:val="21"/>
          <w:szCs w:val="21"/>
        </w:rPr>
        <w:t>// Вестник Санкт-Петербургского</w:t>
      </w:r>
      <w:r>
        <w:rPr>
          <w:rFonts w:ascii="Times New Roman" w:hAnsi="Times New Roman" w:cs="Times New Roman"/>
          <w:sz w:val="21"/>
          <w:szCs w:val="21"/>
        </w:rPr>
        <w:t xml:space="preserve"> университета. </w:t>
      </w:r>
      <w:r>
        <w:rPr>
          <w:rFonts w:ascii="Times New Roman" w:hAnsi="Times New Roman" w:cs="Times New Roman"/>
          <w:sz w:val="21"/>
          <w:szCs w:val="21"/>
          <w:lang w:val="ru-RU"/>
        </w:rPr>
        <w:t>–</w:t>
      </w:r>
      <w:r w:rsidRPr="006E771B">
        <w:rPr>
          <w:rFonts w:ascii="Times New Roman" w:hAnsi="Times New Roman" w:cs="Times New Roman"/>
          <w:sz w:val="21"/>
          <w:szCs w:val="21"/>
        </w:rPr>
        <w:t xml:space="preserve"> 2005. </w:t>
      </w:r>
      <w:r>
        <w:rPr>
          <w:rFonts w:ascii="Times New Roman" w:hAnsi="Times New Roman" w:cs="Times New Roman"/>
          <w:sz w:val="21"/>
          <w:szCs w:val="21"/>
          <w:lang w:val="ru-RU"/>
        </w:rPr>
        <w:t xml:space="preserve">– </w:t>
      </w:r>
      <w:r>
        <w:rPr>
          <w:rFonts w:ascii="Times New Roman" w:hAnsi="Times New Roman" w:cs="Times New Roman"/>
          <w:sz w:val="21"/>
          <w:szCs w:val="21"/>
        </w:rPr>
        <w:t>Вып.1</w:t>
      </w:r>
      <w:r>
        <w:rPr>
          <w:rFonts w:ascii="Times New Roman" w:hAnsi="Times New Roman" w:cs="Times New Roman"/>
          <w:sz w:val="21"/>
          <w:szCs w:val="21"/>
          <w:lang w:val="ru-RU"/>
        </w:rPr>
        <w:t>, с</w:t>
      </w:r>
      <w:r w:rsidRPr="006E771B">
        <w:rPr>
          <w:rFonts w:ascii="Times New Roman" w:hAnsi="Times New Roman" w:cs="Times New Roman"/>
          <w:sz w:val="21"/>
          <w:szCs w:val="21"/>
        </w:rPr>
        <w:t xml:space="preserve">ер.5. </w:t>
      </w:r>
      <w:r>
        <w:rPr>
          <w:rFonts w:ascii="Times New Roman" w:hAnsi="Times New Roman" w:cs="Times New Roman"/>
          <w:sz w:val="21"/>
          <w:szCs w:val="21"/>
        </w:rPr>
        <w:t>–</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С.</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10</w:t>
      </w:r>
      <w:r>
        <w:rPr>
          <w:rFonts w:ascii="Times New Roman" w:hAnsi="Times New Roman" w:cs="Times New Roman"/>
          <w:sz w:val="21"/>
          <w:szCs w:val="21"/>
        </w:rPr>
        <w:t>–</w:t>
      </w:r>
      <w:r w:rsidRPr="006E771B">
        <w:rPr>
          <w:rFonts w:ascii="Times New Roman" w:hAnsi="Times New Roman" w:cs="Times New Roman"/>
          <w:sz w:val="21"/>
          <w:szCs w:val="21"/>
        </w:rPr>
        <w:t>16.</w:t>
      </w:r>
      <w:bookmarkEnd w:id="442"/>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43" w:name="_Ref435619006"/>
      <w:r>
        <w:rPr>
          <w:rFonts w:ascii="Times New Roman" w:hAnsi="Times New Roman" w:cs="Times New Roman"/>
          <w:sz w:val="21"/>
          <w:szCs w:val="21"/>
        </w:rPr>
        <w:t xml:space="preserve">Політологія </w:t>
      </w:r>
      <w:r w:rsidRPr="00CB07DF">
        <w:rPr>
          <w:rFonts w:ascii="Times New Roman" w:hAnsi="Times New Roman" w:cs="Times New Roman"/>
          <w:sz w:val="21"/>
          <w:szCs w:val="21"/>
        </w:rPr>
        <w:t xml:space="preserve">: курс лекцій </w:t>
      </w:r>
      <w:r>
        <w:rPr>
          <w:rFonts w:ascii="Times New Roman" w:hAnsi="Times New Roman" w:cs="Times New Roman"/>
          <w:sz w:val="21"/>
          <w:szCs w:val="21"/>
        </w:rPr>
        <w:t>: н</w:t>
      </w:r>
      <w:r w:rsidRPr="00CB07DF">
        <w:rPr>
          <w:rFonts w:ascii="Times New Roman" w:hAnsi="Times New Roman" w:cs="Times New Roman"/>
          <w:sz w:val="21"/>
          <w:szCs w:val="21"/>
        </w:rPr>
        <w:t xml:space="preserve">авчальний посібник. – </w:t>
      </w:r>
      <w:r>
        <w:rPr>
          <w:rFonts w:ascii="Times New Roman" w:hAnsi="Times New Roman" w:cs="Times New Roman"/>
          <w:sz w:val="21"/>
          <w:szCs w:val="21"/>
        </w:rPr>
        <w:t>Тернопіль : Магнолія плюс</w:t>
      </w:r>
      <w:r w:rsidRPr="00CB07DF">
        <w:rPr>
          <w:rFonts w:ascii="Times New Roman" w:hAnsi="Times New Roman" w:cs="Times New Roman"/>
          <w:sz w:val="21"/>
          <w:szCs w:val="21"/>
        </w:rPr>
        <w:t xml:space="preserve">, 2004. – </w:t>
      </w:r>
      <w:r>
        <w:rPr>
          <w:rFonts w:ascii="Times New Roman" w:hAnsi="Times New Roman" w:cs="Times New Roman"/>
          <w:sz w:val="21"/>
          <w:szCs w:val="21"/>
        </w:rPr>
        <w:t xml:space="preserve">236 </w:t>
      </w:r>
      <w:r w:rsidRPr="00CB07DF">
        <w:rPr>
          <w:rFonts w:ascii="Times New Roman" w:hAnsi="Times New Roman" w:cs="Times New Roman"/>
          <w:sz w:val="21"/>
          <w:szCs w:val="21"/>
        </w:rPr>
        <w:t>c.</w:t>
      </w:r>
      <w:bookmarkEnd w:id="443"/>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44" w:name="_Ref435618897"/>
      <w:r>
        <w:rPr>
          <w:rFonts w:ascii="Times New Roman" w:hAnsi="Times New Roman" w:cs="Times New Roman"/>
          <w:sz w:val="21"/>
          <w:szCs w:val="21"/>
        </w:rPr>
        <w:t xml:space="preserve">Поповкін В. </w:t>
      </w:r>
      <w:r w:rsidRPr="00CB07DF">
        <w:rPr>
          <w:rFonts w:ascii="Times New Roman" w:hAnsi="Times New Roman" w:cs="Times New Roman"/>
          <w:sz w:val="21"/>
          <w:szCs w:val="21"/>
        </w:rPr>
        <w:t>А. Регіонал</w:t>
      </w:r>
      <w:r>
        <w:rPr>
          <w:rFonts w:ascii="Times New Roman" w:hAnsi="Times New Roman" w:cs="Times New Roman"/>
          <w:sz w:val="21"/>
          <w:szCs w:val="21"/>
        </w:rPr>
        <w:t xml:space="preserve">ьно-цілісний підхід в економіці </w:t>
      </w:r>
      <w:r w:rsidRPr="00CB07DF">
        <w:rPr>
          <w:rFonts w:ascii="Times New Roman" w:hAnsi="Times New Roman" w:cs="Times New Roman"/>
          <w:sz w:val="21"/>
          <w:szCs w:val="21"/>
        </w:rPr>
        <w:t>: монографія /</w:t>
      </w:r>
      <w:r>
        <w:rPr>
          <w:rFonts w:ascii="Times New Roman" w:hAnsi="Times New Roman" w:cs="Times New Roman"/>
          <w:sz w:val="21"/>
          <w:szCs w:val="21"/>
        </w:rPr>
        <w:t xml:space="preserve"> В. А. Поповкін. – К. </w:t>
      </w:r>
      <w:r w:rsidRPr="00CB07DF">
        <w:rPr>
          <w:rFonts w:ascii="Times New Roman" w:hAnsi="Times New Roman" w:cs="Times New Roman"/>
          <w:sz w:val="21"/>
          <w:szCs w:val="21"/>
        </w:rPr>
        <w:t>: Наукова думка, 1993.</w:t>
      </w:r>
      <w:r>
        <w:rPr>
          <w:rFonts w:ascii="Times New Roman" w:hAnsi="Times New Roman" w:cs="Times New Roman"/>
          <w:sz w:val="21"/>
          <w:szCs w:val="21"/>
        </w:rPr>
        <w:t xml:space="preserve"> – 214 с.</w:t>
      </w:r>
      <w:bookmarkEnd w:id="444"/>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45" w:name="_Ref435621116"/>
      <w:r w:rsidRPr="00181A11">
        <w:rPr>
          <w:rFonts w:ascii="Times New Roman" w:hAnsi="Times New Roman" w:cs="Times New Roman"/>
          <w:sz w:val="21"/>
          <w:szCs w:val="21"/>
        </w:rPr>
        <w:t>Про реабілітацію інвалідів в Україні</w:t>
      </w:r>
      <w:r>
        <w:rPr>
          <w:rFonts w:ascii="Times New Roman" w:hAnsi="Times New Roman" w:cs="Times New Roman"/>
          <w:sz w:val="21"/>
          <w:szCs w:val="21"/>
        </w:rPr>
        <w:t xml:space="preserve">: закон України, </w:t>
      </w:r>
      <w:r w:rsidRPr="00181A11">
        <w:rPr>
          <w:rFonts w:ascii="Times New Roman" w:hAnsi="Times New Roman" w:cs="Times New Roman"/>
          <w:sz w:val="21"/>
          <w:szCs w:val="21"/>
        </w:rPr>
        <w:t>прийнят</w:t>
      </w:r>
      <w:r>
        <w:rPr>
          <w:rFonts w:ascii="Times New Roman" w:hAnsi="Times New Roman" w:cs="Times New Roman"/>
          <w:sz w:val="21"/>
          <w:szCs w:val="21"/>
        </w:rPr>
        <w:t xml:space="preserve">ий Верховною Радою 06.10.2005 р. </w:t>
      </w:r>
      <w:r w:rsidRPr="00181A11">
        <w:rPr>
          <w:rFonts w:ascii="Times New Roman" w:hAnsi="Times New Roman" w:cs="Times New Roman"/>
          <w:sz w:val="21"/>
          <w:szCs w:val="21"/>
        </w:rPr>
        <w:t>: офіц. вид.</w:t>
      </w:r>
      <w:r>
        <w:rPr>
          <w:rFonts w:ascii="Times New Roman" w:hAnsi="Times New Roman" w:cs="Times New Roman"/>
          <w:sz w:val="21"/>
          <w:szCs w:val="21"/>
        </w:rPr>
        <w:t xml:space="preserve"> </w:t>
      </w:r>
      <w:r w:rsidRPr="00181A11">
        <w:rPr>
          <w:rFonts w:ascii="Times New Roman" w:hAnsi="Times New Roman" w:cs="Times New Roman"/>
          <w:sz w:val="21"/>
          <w:szCs w:val="21"/>
        </w:rPr>
        <w:t>: за станом на 05 черв. 2009 року / Верховна Рада України. – К.</w:t>
      </w:r>
      <w:r>
        <w:rPr>
          <w:rFonts w:ascii="Times New Roman" w:hAnsi="Times New Roman" w:cs="Times New Roman"/>
          <w:sz w:val="21"/>
          <w:szCs w:val="21"/>
        </w:rPr>
        <w:t xml:space="preserve"> </w:t>
      </w:r>
      <w:r w:rsidRPr="00181A11">
        <w:rPr>
          <w:rFonts w:ascii="Times New Roman" w:hAnsi="Times New Roman" w:cs="Times New Roman"/>
          <w:sz w:val="21"/>
          <w:szCs w:val="21"/>
        </w:rPr>
        <w:t>: Парлам. вид-во, 2009. – 32 с.</w:t>
      </w:r>
      <w:bookmarkEnd w:id="445"/>
    </w:p>
    <w:p w:rsidR="00B233DE" w:rsidRPr="00D17283"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46" w:name="_Ref435619647"/>
      <w:r w:rsidRPr="006E771B">
        <w:rPr>
          <w:rFonts w:ascii="Times New Roman" w:hAnsi="Times New Roman" w:cs="Times New Roman"/>
          <w:sz w:val="21"/>
          <w:szCs w:val="21"/>
        </w:rPr>
        <w:t>Радаев В.</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В. Понятие капитала, формы капиталов и их конвертация </w:t>
      </w:r>
      <w:r>
        <w:rPr>
          <w:rFonts w:ascii="Times New Roman" w:hAnsi="Times New Roman" w:cs="Times New Roman"/>
          <w:sz w:val="21"/>
          <w:szCs w:val="21"/>
          <w:lang w:val="ru-RU"/>
        </w:rPr>
        <w:t xml:space="preserve">/ В. В. Радаев </w:t>
      </w:r>
      <w:r w:rsidRPr="006E771B">
        <w:rPr>
          <w:rFonts w:ascii="Times New Roman" w:hAnsi="Times New Roman" w:cs="Times New Roman"/>
          <w:sz w:val="21"/>
          <w:szCs w:val="21"/>
        </w:rPr>
        <w:t xml:space="preserve">// Общественные науки и современность. </w:t>
      </w:r>
      <w:r>
        <w:rPr>
          <w:rFonts w:ascii="Times New Roman" w:hAnsi="Times New Roman" w:cs="Times New Roman"/>
          <w:sz w:val="21"/>
          <w:szCs w:val="21"/>
        </w:rPr>
        <w:t>–</w:t>
      </w:r>
      <w:r w:rsidRPr="006E771B">
        <w:rPr>
          <w:rFonts w:ascii="Times New Roman" w:hAnsi="Times New Roman" w:cs="Times New Roman"/>
          <w:sz w:val="21"/>
          <w:szCs w:val="21"/>
        </w:rPr>
        <w:t xml:space="preserve"> 2002.</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 № 4</w:t>
      </w:r>
      <w:r>
        <w:rPr>
          <w:rFonts w:ascii="Times New Roman" w:hAnsi="Times New Roman" w:cs="Times New Roman"/>
          <w:sz w:val="21"/>
          <w:szCs w:val="21"/>
          <w:lang w:val="ru-RU"/>
        </w:rPr>
        <w:t>, т</w:t>
      </w:r>
      <w:r>
        <w:rPr>
          <w:rFonts w:ascii="Times New Roman" w:hAnsi="Times New Roman" w:cs="Times New Roman"/>
          <w:sz w:val="21"/>
          <w:szCs w:val="21"/>
        </w:rPr>
        <w:t xml:space="preserve">. 3. </w:t>
      </w:r>
      <w:r>
        <w:rPr>
          <w:rFonts w:ascii="Times New Roman" w:hAnsi="Times New Roman" w:cs="Times New Roman"/>
          <w:sz w:val="21"/>
          <w:szCs w:val="21"/>
          <w:lang w:val="ru-RU"/>
        </w:rPr>
        <w:t>–</w:t>
      </w:r>
      <w:r w:rsidRPr="006E771B">
        <w:rPr>
          <w:rFonts w:ascii="Times New Roman" w:hAnsi="Times New Roman" w:cs="Times New Roman"/>
          <w:sz w:val="21"/>
          <w:szCs w:val="21"/>
        </w:rPr>
        <w:t xml:space="preserve"> С. 5</w:t>
      </w:r>
      <w:r>
        <w:rPr>
          <w:rFonts w:ascii="Times New Roman" w:hAnsi="Times New Roman" w:cs="Times New Roman"/>
          <w:sz w:val="21"/>
          <w:szCs w:val="21"/>
        </w:rPr>
        <w:t>–</w:t>
      </w:r>
      <w:r w:rsidRPr="006E771B">
        <w:rPr>
          <w:rFonts w:ascii="Times New Roman" w:hAnsi="Times New Roman" w:cs="Times New Roman"/>
          <w:sz w:val="21"/>
          <w:szCs w:val="21"/>
        </w:rPr>
        <w:t>16.</w:t>
      </w:r>
      <w:bookmarkEnd w:id="446"/>
    </w:p>
    <w:p w:rsidR="00B233DE" w:rsidRPr="00D17283"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47" w:name="_Ref435619788"/>
      <w:r w:rsidRPr="006E771B">
        <w:rPr>
          <w:rFonts w:ascii="Times New Roman" w:hAnsi="Times New Roman" w:cs="Times New Roman"/>
          <w:sz w:val="21"/>
          <w:szCs w:val="21"/>
        </w:rPr>
        <w:lastRenderedPageBreak/>
        <w:t>Разумная А.</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М. Факторы, оказывающие влияние на поддержание сетей взаимодействующих фирм [</w:t>
      </w:r>
      <w:r>
        <w:rPr>
          <w:rFonts w:ascii="Times New Roman" w:hAnsi="Times New Roman" w:cs="Times New Roman"/>
          <w:sz w:val="21"/>
          <w:szCs w:val="21"/>
          <w:lang w:val="ru-RU"/>
        </w:rPr>
        <w:t>Е</w:t>
      </w:r>
      <w:r w:rsidRPr="006E771B">
        <w:rPr>
          <w:rFonts w:ascii="Times New Roman" w:hAnsi="Times New Roman" w:cs="Times New Roman"/>
          <w:sz w:val="21"/>
          <w:szCs w:val="21"/>
        </w:rPr>
        <w:t>лектронн</w:t>
      </w:r>
      <w:r>
        <w:rPr>
          <w:rFonts w:ascii="Times New Roman" w:hAnsi="Times New Roman" w:cs="Times New Roman"/>
          <w:sz w:val="21"/>
          <w:szCs w:val="21"/>
          <w:lang w:val="ru-RU"/>
        </w:rPr>
        <w:t>и</w:t>
      </w:r>
      <w:r w:rsidRPr="006E771B">
        <w:rPr>
          <w:rFonts w:ascii="Times New Roman" w:hAnsi="Times New Roman" w:cs="Times New Roman"/>
          <w:sz w:val="21"/>
          <w:szCs w:val="21"/>
        </w:rPr>
        <w:t xml:space="preserve">й ресурс] </w:t>
      </w:r>
      <w:r>
        <w:rPr>
          <w:rFonts w:ascii="Times New Roman" w:hAnsi="Times New Roman" w:cs="Times New Roman"/>
          <w:sz w:val="21"/>
          <w:szCs w:val="21"/>
          <w:lang w:val="ru-RU"/>
        </w:rPr>
        <w:t xml:space="preserve">/ А. М. Разумная </w:t>
      </w:r>
      <w:r>
        <w:rPr>
          <w:rFonts w:ascii="Times New Roman" w:hAnsi="Times New Roman" w:cs="Times New Roman"/>
          <w:sz w:val="21"/>
          <w:szCs w:val="21"/>
        </w:rPr>
        <w:t>//</w:t>
      </w:r>
      <w:r w:rsidRPr="006E771B">
        <w:rPr>
          <w:rFonts w:ascii="Times New Roman" w:hAnsi="Times New Roman" w:cs="Times New Roman"/>
          <w:sz w:val="21"/>
          <w:szCs w:val="21"/>
        </w:rPr>
        <w:t xml:space="preserve"> Сетевые формы межфирменной кооперации: стратегические вызовы и конкурентные преимущества новых организаций XXI века </w:t>
      </w:r>
      <w:r>
        <w:rPr>
          <w:rFonts w:ascii="Times New Roman" w:hAnsi="Times New Roman" w:cs="Times New Roman"/>
          <w:sz w:val="21"/>
          <w:szCs w:val="21"/>
          <w:lang w:val="ru-RU"/>
        </w:rPr>
        <w:t>: материалы и</w:t>
      </w:r>
      <w:r>
        <w:rPr>
          <w:rFonts w:ascii="Times New Roman" w:hAnsi="Times New Roman" w:cs="Times New Roman"/>
          <w:sz w:val="21"/>
          <w:szCs w:val="21"/>
        </w:rPr>
        <w:t>нтернет-</w:t>
      </w:r>
      <w:r w:rsidRPr="006E771B">
        <w:rPr>
          <w:rFonts w:ascii="Times New Roman" w:hAnsi="Times New Roman" w:cs="Times New Roman"/>
          <w:sz w:val="21"/>
          <w:szCs w:val="21"/>
        </w:rPr>
        <w:t>конференци</w:t>
      </w:r>
      <w:r>
        <w:rPr>
          <w:rFonts w:ascii="Times New Roman" w:hAnsi="Times New Roman" w:cs="Times New Roman"/>
          <w:sz w:val="21"/>
          <w:szCs w:val="21"/>
          <w:lang w:val="ru-RU"/>
        </w:rPr>
        <w:t>и</w:t>
      </w:r>
      <w:r w:rsidRPr="006E771B">
        <w:rPr>
          <w:rFonts w:ascii="Times New Roman" w:hAnsi="Times New Roman" w:cs="Times New Roman"/>
          <w:sz w:val="21"/>
          <w:szCs w:val="21"/>
        </w:rPr>
        <w:t xml:space="preserve"> (с 10.03.04 по 29.04.04). </w:t>
      </w:r>
      <w:r>
        <w:rPr>
          <w:rFonts w:ascii="Times New Roman" w:hAnsi="Times New Roman" w:cs="Times New Roman"/>
          <w:sz w:val="21"/>
          <w:szCs w:val="21"/>
        </w:rPr>
        <w:t>–</w:t>
      </w:r>
      <w:r>
        <w:rPr>
          <w:rFonts w:ascii="Times New Roman" w:hAnsi="Times New Roman" w:cs="Times New Roman"/>
          <w:sz w:val="21"/>
          <w:szCs w:val="21"/>
          <w:lang w:val="ru-RU"/>
        </w:rPr>
        <w:t xml:space="preserve"> Режим доступу : </w:t>
      </w:r>
      <w:r w:rsidRPr="006E771B">
        <w:rPr>
          <w:rFonts w:ascii="Times New Roman" w:hAnsi="Times New Roman" w:cs="Times New Roman"/>
          <w:sz w:val="21"/>
          <w:szCs w:val="21"/>
        </w:rPr>
        <w:t>11йр://ес5остап.еаи.ги:</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8100/аЬ/т5е/153906.html</w:t>
      </w:r>
      <w:bookmarkEnd w:id="447"/>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48" w:name="_Ref435618834"/>
      <w:r>
        <w:rPr>
          <w:rFonts w:ascii="Times New Roman" w:hAnsi="Times New Roman" w:cs="Times New Roman"/>
          <w:sz w:val="21"/>
          <w:szCs w:val="21"/>
        </w:rPr>
        <w:t>Райзберг Б. А.</w:t>
      </w:r>
      <w:r w:rsidRPr="00CB07DF">
        <w:rPr>
          <w:rFonts w:ascii="Times New Roman" w:hAnsi="Times New Roman" w:cs="Times New Roman"/>
          <w:sz w:val="21"/>
          <w:szCs w:val="21"/>
        </w:rPr>
        <w:t xml:space="preserve"> Современный экономический словарь.</w:t>
      </w:r>
      <w:r>
        <w:rPr>
          <w:rFonts w:ascii="Times New Roman" w:hAnsi="Times New Roman" w:cs="Times New Roman"/>
          <w:sz w:val="21"/>
          <w:szCs w:val="21"/>
        </w:rPr>
        <w:t xml:space="preserve"> –</w:t>
      </w:r>
      <w:r w:rsidRPr="00CB07DF">
        <w:rPr>
          <w:rFonts w:ascii="Times New Roman" w:hAnsi="Times New Roman" w:cs="Times New Roman"/>
          <w:sz w:val="21"/>
          <w:szCs w:val="21"/>
        </w:rPr>
        <w:t xml:space="preserve"> 3-е изд.</w:t>
      </w:r>
      <w:r>
        <w:rPr>
          <w:rFonts w:ascii="Times New Roman" w:hAnsi="Times New Roman" w:cs="Times New Roman"/>
          <w:sz w:val="21"/>
          <w:szCs w:val="21"/>
        </w:rPr>
        <w:t xml:space="preserve"> / Б. А. Райзберг, Л. Ш. Лозовский, Е. Б. Стародубцева.</w:t>
      </w:r>
      <w:r w:rsidRPr="00CB07DF">
        <w:rPr>
          <w:rFonts w:ascii="Times New Roman" w:hAnsi="Times New Roman" w:cs="Times New Roman"/>
          <w:sz w:val="21"/>
          <w:szCs w:val="21"/>
        </w:rPr>
        <w:t xml:space="preserve"> – М., 2001.</w:t>
      </w:r>
      <w:r>
        <w:rPr>
          <w:rFonts w:ascii="Times New Roman" w:hAnsi="Times New Roman" w:cs="Times New Roman"/>
          <w:sz w:val="21"/>
          <w:szCs w:val="21"/>
        </w:rPr>
        <w:t xml:space="preserve"> – 418 с.</w:t>
      </w:r>
      <w:bookmarkEnd w:id="448"/>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49" w:name="_Ref435618914"/>
      <w:r>
        <w:rPr>
          <w:rFonts w:ascii="Times New Roman" w:hAnsi="Times New Roman" w:cs="Times New Roman"/>
          <w:sz w:val="21"/>
          <w:szCs w:val="21"/>
        </w:rPr>
        <w:t xml:space="preserve">Регіональна політика </w:t>
      </w:r>
      <w:r w:rsidRPr="00CB07DF">
        <w:rPr>
          <w:rFonts w:ascii="Times New Roman" w:hAnsi="Times New Roman" w:cs="Times New Roman"/>
          <w:sz w:val="21"/>
          <w:szCs w:val="21"/>
        </w:rPr>
        <w:t>: методологія, методи, практика / НАН України, І</w:t>
      </w:r>
      <w:r>
        <w:rPr>
          <w:rFonts w:ascii="Times New Roman" w:hAnsi="Times New Roman" w:cs="Times New Roman"/>
          <w:sz w:val="21"/>
          <w:szCs w:val="21"/>
        </w:rPr>
        <w:t xml:space="preserve">нститут регіональних досліджень </w:t>
      </w:r>
      <w:r w:rsidRPr="00CB07DF">
        <w:rPr>
          <w:rFonts w:ascii="Times New Roman" w:hAnsi="Times New Roman" w:cs="Times New Roman"/>
          <w:sz w:val="21"/>
          <w:szCs w:val="21"/>
        </w:rPr>
        <w:t xml:space="preserve">; Відповід. ред. М. Долішній. – Львів, 2001. </w:t>
      </w:r>
      <w:r>
        <w:rPr>
          <w:rFonts w:ascii="Times New Roman" w:hAnsi="Times New Roman" w:cs="Times New Roman"/>
          <w:sz w:val="21"/>
          <w:szCs w:val="21"/>
        </w:rPr>
        <w:t>– 374 с.</w:t>
      </w:r>
      <w:bookmarkEnd w:id="449"/>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50" w:name="_Ref435621155"/>
      <w:r w:rsidRPr="00181A11">
        <w:rPr>
          <w:rFonts w:ascii="Times New Roman" w:hAnsi="Times New Roman" w:cs="Times New Roman"/>
          <w:sz w:val="21"/>
          <w:szCs w:val="21"/>
        </w:rPr>
        <w:t>Розпорядження КМ від від 30 березня 2011 р. № 245-р Про схвалення Концепц</w:t>
      </w:r>
      <w:r>
        <w:rPr>
          <w:rFonts w:ascii="Times New Roman" w:hAnsi="Times New Roman" w:cs="Times New Roman"/>
          <w:sz w:val="21"/>
          <w:szCs w:val="21"/>
        </w:rPr>
        <w:t>ії Державної цільової програми «</w:t>
      </w:r>
      <w:r w:rsidRPr="00181A11">
        <w:rPr>
          <w:rFonts w:ascii="Times New Roman" w:hAnsi="Times New Roman" w:cs="Times New Roman"/>
          <w:sz w:val="21"/>
          <w:szCs w:val="21"/>
        </w:rPr>
        <w:t>Національний план дій з реалізації Конвенції про права інвалідів</w:t>
      </w:r>
      <w:r>
        <w:rPr>
          <w:rFonts w:ascii="Times New Roman" w:hAnsi="Times New Roman" w:cs="Times New Roman"/>
          <w:sz w:val="21"/>
          <w:szCs w:val="21"/>
        </w:rPr>
        <w:t>»</w:t>
      </w:r>
      <w:r w:rsidRPr="00181A11">
        <w:rPr>
          <w:rFonts w:ascii="Times New Roman" w:hAnsi="Times New Roman" w:cs="Times New Roman"/>
          <w:sz w:val="21"/>
          <w:szCs w:val="21"/>
        </w:rPr>
        <w:t xml:space="preserve"> на період до 2020 року (</w:t>
      </w:r>
      <w:r w:rsidRPr="00181A11">
        <w:rPr>
          <w:rStyle w:val="rvts0"/>
          <w:rFonts w:ascii="Times New Roman" w:hAnsi="Times New Roman"/>
          <w:sz w:val="21"/>
          <w:szCs w:val="21"/>
        </w:rPr>
        <w:t>Із змінами, внесеними згідно з Постановою КМ №659 від 25.07.2012).</w:t>
      </w:r>
      <w:bookmarkEnd w:id="450"/>
    </w:p>
    <w:p w:rsidR="00B233DE" w:rsidRPr="00D17283"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51" w:name="_Ref435619378"/>
      <w:r w:rsidRPr="006E771B">
        <w:rPr>
          <w:rFonts w:ascii="Times New Roman" w:hAnsi="Times New Roman" w:cs="Times New Roman"/>
          <w:sz w:val="21"/>
          <w:szCs w:val="21"/>
        </w:rPr>
        <w:t>Рузавин Г. И. Теория рационального выбора и границы ее применения в социально-гуманитарном познании [</w:t>
      </w:r>
      <w:r>
        <w:rPr>
          <w:rFonts w:ascii="Times New Roman" w:hAnsi="Times New Roman" w:cs="Times New Roman"/>
          <w:sz w:val="21"/>
          <w:szCs w:val="21"/>
          <w:lang w:val="ru-RU"/>
        </w:rPr>
        <w:t>Е</w:t>
      </w:r>
      <w:r w:rsidRPr="006E771B">
        <w:rPr>
          <w:rFonts w:ascii="Times New Roman" w:hAnsi="Times New Roman" w:cs="Times New Roman"/>
          <w:sz w:val="21"/>
          <w:szCs w:val="21"/>
        </w:rPr>
        <w:t>лектронн</w:t>
      </w:r>
      <w:r>
        <w:rPr>
          <w:rFonts w:ascii="Times New Roman" w:hAnsi="Times New Roman" w:cs="Times New Roman"/>
          <w:sz w:val="21"/>
          <w:szCs w:val="21"/>
          <w:lang w:val="ru-RU"/>
        </w:rPr>
        <w:t>и</w:t>
      </w:r>
      <w:r w:rsidRPr="006E771B">
        <w:rPr>
          <w:rFonts w:ascii="Times New Roman" w:hAnsi="Times New Roman" w:cs="Times New Roman"/>
          <w:sz w:val="21"/>
          <w:szCs w:val="21"/>
        </w:rPr>
        <w:t xml:space="preserve">й ресурс] </w:t>
      </w:r>
      <w:r>
        <w:rPr>
          <w:rFonts w:ascii="Times New Roman" w:hAnsi="Times New Roman" w:cs="Times New Roman"/>
          <w:sz w:val="21"/>
          <w:szCs w:val="21"/>
          <w:lang w:val="ru-RU"/>
        </w:rPr>
        <w:t xml:space="preserve">/ Г. И. Рузавин. – Режим доступу </w:t>
      </w:r>
      <w:r w:rsidRPr="00D17283">
        <w:rPr>
          <w:rFonts w:ascii="Times New Roman" w:hAnsi="Times New Roman" w:cs="Times New Roman"/>
          <w:sz w:val="21"/>
          <w:szCs w:val="21"/>
          <w:lang w:val="ru-RU"/>
        </w:rPr>
        <w:t>:</w:t>
      </w:r>
      <w:r w:rsidRPr="00D17283">
        <w:rPr>
          <w:rFonts w:ascii="Times New Roman" w:hAnsi="Times New Roman" w:cs="Times New Roman"/>
          <w:sz w:val="21"/>
          <w:szCs w:val="21"/>
        </w:rPr>
        <w:t xml:space="preserve"> </w:t>
      </w:r>
      <w:hyperlink r:id="rId123" w:history="1">
        <w:r w:rsidRPr="00D17283">
          <w:rPr>
            <w:rStyle w:val="aff"/>
            <w:rFonts w:ascii="Times New Roman" w:hAnsi="Times New Roman" w:cs="Times New Roman"/>
            <w:color w:val="auto"/>
            <w:sz w:val="21"/>
            <w:szCs w:val="21"/>
            <w:u w:val="none"/>
            <w:lang w:val="en-US"/>
          </w:rPr>
          <w:t>http</w:t>
        </w:r>
        <w:r w:rsidRPr="00D17283">
          <w:rPr>
            <w:rStyle w:val="aff"/>
            <w:rFonts w:ascii="Times New Roman" w:hAnsi="Times New Roman" w:cs="Times New Roman"/>
            <w:color w:val="auto"/>
            <w:sz w:val="21"/>
            <w:szCs w:val="21"/>
            <w:u w:val="none"/>
          </w:rPr>
          <w:t>://</w:t>
        </w:r>
        <w:r w:rsidRPr="00D17283">
          <w:rPr>
            <w:rStyle w:val="aff"/>
            <w:rFonts w:ascii="Times New Roman" w:hAnsi="Times New Roman" w:cs="Times New Roman"/>
            <w:color w:val="auto"/>
            <w:sz w:val="21"/>
            <w:szCs w:val="21"/>
            <w:u w:val="none"/>
            <w:lang w:val="en-US"/>
          </w:rPr>
          <w:t>www</w:t>
        </w:r>
        <w:r w:rsidRPr="00D17283">
          <w:rPr>
            <w:rStyle w:val="aff"/>
            <w:rFonts w:ascii="Times New Roman" w:hAnsi="Times New Roman" w:cs="Times New Roman"/>
            <w:color w:val="auto"/>
            <w:sz w:val="21"/>
            <w:szCs w:val="21"/>
            <w:u w:val="none"/>
          </w:rPr>
          <w:t>.</w:t>
        </w:r>
        <w:r w:rsidRPr="00D17283">
          <w:rPr>
            <w:rStyle w:val="aff"/>
            <w:rFonts w:ascii="Times New Roman" w:hAnsi="Times New Roman" w:cs="Times New Roman"/>
            <w:color w:val="auto"/>
            <w:sz w:val="21"/>
            <w:szCs w:val="21"/>
            <w:u w:val="none"/>
            <w:lang w:val="en-US"/>
          </w:rPr>
          <w:t>portalus</w:t>
        </w:r>
        <w:r w:rsidRPr="00D17283">
          <w:rPr>
            <w:rStyle w:val="aff"/>
            <w:rFonts w:ascii="Times New Roman" w:hAnsi="Times New Roman" w:cs="Times New Roman"/>
            <w:color w:val="auto"/>
            <w:sz w:val="21"/>
            <w:szCs w:val="21"/>
            <w:u w:val="none"/>
          </w:rPr>
          <w:t>.</w:t>
        </w:r>
        <w:r w:rsidRPr="00D17283">
          <w:rPr>
            <w:rStyle w:val="aff"/>
            <w:rFonts w:ascii="Times New Roman" w:hAnsi="Times New Roman" w:cs="Times New Roman"/>
            <w:color w:val="auto"/>
            <w:sz w:val="21"/>
            <w:szCs w:val="21"/>
            <w:u w:val="none"/>
            <w:lang w:val="en-US"/>
          </w:rPr>
          <w:t>ru</w:t>
        </w:r>
        <w:r w:rsidRPr="00D17283">
          <w:rPr>
            <w:rStyle w:val="aff"/>
            <w:rFonts w:ascii="Times New Roman" w:hAnsi="Times New Roman" w:cs="Times New Roman"/>
            <w:color w:val="auto"/>
            <w:sz w:val="21"/>
            <w:szCs w:val="21"/>
            <w:u w:val="none"/>
          </w:rPr>
          <w:t>/</w:t>
        </w:r>
        <w:r w:rsidRPr="00D17283">
          <w:rPr>
            <w:rStyle w:val="aff"/>
            <w:rFonts w:ascii="Times New Roman" w:hAnsi="Times New Roman" w:cs="Times New Roman"/>
            <w:color w:val="auto"/>
            <w:sz w:val="21"/>
            <w:szCs w:val="21"/>
            <w:u w:val="none"/>
            <w:lang w:val="ru-RU"/>
          </w:rPr>
          <w:t xml:space="preserve"> </w:t>
        </w:r>
        <w:r w:rsidRPr="00D17283">
          <w:rPr>
            <w:rStyle w:val="aff"/>
            <w:rFonts w:ascii="Times New Roman" w:hAnsi="Times New Roman" w:cs="Times New Roman"/>
            <w:color w:val="auto"/>
            <w:sz w:val="21"/>
            <w:szCs w:val="21"/>
            <w:u w:val="none"/>
            <w:lang w:val="en-US"/>
          </w:rPr>
          <w:t>modiiles</w:t>
        </w:r>
        <w:r w:rsidRPr="00D17283">
          <w:rPr>
            <w:rStyle w:val="aff"/>
            <w:rFonts w:ascii="Times New Roman" w:hAnsi="Times New Roman" w:cs="Times New Roman"/>
            <w:color w:val="auto"/>
            <w:sz w:val="21"/>
            <w:szCs w:val="21"/>
            <w:u w:val="none"/>
          </w:rPr>
          <w:t>/</w:t>
        </w:r>
        <w:r w:rsidRPr="00D17283">
          <w:rPr>
            <w:rStyle w:val="aff"/>
            <w:rFonts w:ascii="Times New Roman" w:hAnsi="Times New Roman" w:cs="Times New Roman"/>
            <w:color w:val="auto"/>
            <w:sz w:val="21"/>
            <w:szCs w:val="21"/>
            <w:u w:val="none"/>
            <w:lang w:val="en-US"/>
          </w:rPr>
          <w:t>philosophy</w:t>
        </w:r>
        <w:r w:rsidRPr="00D17283">
          <w:rPr>
            <w:rStyle w:val="aff"/>
            <w:rFonts w:ascii="Times New Roman" w:hAnsi="Times New Roman" w:cs="Times New Roman"/>
            <w:color w:val="auto"/>
            <w:sz w:val="21"/>
            <w:szCs w:val="21"/>
            <w:u w:val="none"/>
          </w:rPr>
          <w:t>/</w:t>
        </w:r>
      </w:hyperlink>
      <w:bookmarkEnd w:id="451"/>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52" w:name="_Ref435619292"/>
      <w:r>
        <w:rPr>
          <w:rFonts w:ascii="Times New Roman" w:hAnsi="Times New Roman" w:cs="Times New Roman"/>
          <w:sz w:val="21"/>
          <w:szCs w:val="21"/>
        </w:rPr>
        <w:t xml:space="preserve">Садова У. </w:t>
      </w:r>
      <w:r w:rsidRPr="00CB07DF">
        <w:rPr>
          <w:rFonts w:ascii="Times New Roman" w:hAnsi="Times New Roman" w:cs="Times New Roman"/>
          <w:sz w:val="21"/>
          <w:szCs w:val="21"/>
        </w:rPr>
        <w:t>Я. Соціальна по</w:t>
      </w:r>
      <w:r>
        <w:rPr>
          <w:rFonts w:ascii="Times New Roman" w:hAnsi="Times New Roman" w:cs="Times New Roman"/>
          <w:sz w:val="21"/>
          <w:szCs w:val="21"/>
        </w:rPr>
        <w:t xml:space="preserve">літика в Україні </w:t>
      </w:r>
      <w:r w:rsidRPr="00CB07DF">
        <w:rPr>
          <w:rFonts w:ascii="Times New Roman" w:hAnsi="Times New Roman" w:cs="Times New Roman"/>
          <w:sz w:val="21"/>
          <w:szCs w:val="21"/>
        </w:rPr>
        <w:t>: регіональні дос</w:t>
      </w:r>
      <w:r>
        <w:rPr>
          <w:rFonts w:ascii="Times New Roman" w:hAnsi="Times New Roman" w:cs="Times New Roman"/>
          <w:sz w:val="21"/>
          <w:szCs w:val="21"/>
        </w:rPr>
        <w:t xml:space="preserve">лідження і перспективи розвитку : монографія / У. Я. Садова. – Львів </w:t>
      </w:r>
      <w:r w:rsidRPr="00CB07DF">
        <w:rPr>
          <w:rFonts w:ascii="Times New Roman" w:hAnsi="Times New Roman" w:cs="Times New Roman"/>
          <w:sz w:val="21"/>
          <w:szCs w:val="21"/>
        </w:rPr>
        <w:t>: ІРД НАН України, 2005. – 408 с.</w:t>
      </w:r>
      <w:bookmarkEnd w:id="452"/>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53" w:name="_Ref435619297"/>
      <w:r>
        <w:rPr>
          <w:rFonts w:ascii="Times New Roman" w:hAnsi="Times New Roman" w:cs="Times New Roman"/>
          <w:sz w:val="21"/>
          <w:szCs w:val="21"/>
        </w:rPr>
        <w:t xml:space="preserve">Садова У. </w:t>
      </w:r>
      <w:r w:rsidRPr="00CB07DF">
        <w:rPr>
          <w:rFonts w:ascii="Times New Roman" w:hAnsi="Times New Roman" w:cs="Times New Roman"/>
          <w:sz w:val="21"/>
          <w:szCs w:val="21"/>
        </w:rPr>
        <w:t>Я. Регіональ</w:t>
      </w:r>
      <w:r>
        <w:rPr>
          <w:rFonts w:ascii="Times New Roman" w:hAnsi="Times New Roman" w:cs="Times New Roman"/>
          <w:sz w:val="21"/>
          <w:szCs w:val="21"/>
        </w:rPr>
        <w:t xml:space="preserve">на соціальна політика в Україні </w:t>
      </w:r>
      <w:r w:rsidRPr="00CB07DF">
        <w:rPr>
          <w:rFonts w:ascii="Times New Roman" w:hAnsi="Times New Roman" w:cs="Times New Roman"/>
          <w:sz w:val="21"/>
          <w:szCs w:val="21"/>
        </w:rPr>
        <w:t>: критерії оцінювання</w:t>
      </w:r>
      <w:r>
        <w:rPr>
          <w:rFonts w:ascii="Times New Roman" w:hAnsi="Times New Roman" w:cs="Times New Roman"/>
          <w:sz w:val="21"/>
          <w:szCs w:val="21"/>
        </w:rPr>
        <w:t xml:space="preserve"> та показники ефективності / У. Я. </w:t>
      </w:r>
      <w:r w:rsidRPr="00CB07DF">
        <w:rPr>
          <w:rFonts w:ascii="Times New Roman" w:hAnsi="Times New Roman" w:cs="Times New Roman"/>
          <w:sz w:val="21"/>
          <w:szCs w:val="21"/>
        </w:rPr>
        <w:t>Садова // Демографія та с</w:t>
      </w:r>
      <w:r>
        <w:rPr>
          <w:rFonts w:ascii="Times New Roman" w:hAnsi="Times New Roman" w:cs="Times New Roman"/>
          <w:sz w:val="21"/>
          <w:szCs w:val="21"/>
        </w:rPr>
        <w:t xml:space="preserve">оціальна економіка. – 2008. – № 1. – С. </w:t>
      </w:r>
      <w:r w:rsidRPr="00CB07DF">
        <w:rPr>
          <w:rFonts w:ascii="Times New Roman" w:hAnsi="Times New Roman" w:cs="Times New Roman"/>
          <w:sz w:val="21"/>
          <w:szCs w:val="21"/>
        </w:rPr>
        <w:t>151</w:t>
      </w:r>
      <w:r>
        <w:rPr>
          <w:rFonts w:ascii="Times New Roman" w:hAnsi="Times New Roman" w:cs="Times New Roman"/>
          <w:sz w:val="21"/>
          <w:szCs w:val="21"/>
        </w:rPr>
        <w:t>–</w:t>
      </w:r>
      <w:r w:rsidRPr="00CB07DF">
        <w:rPr>
          <w:rFonts w:ascii="Times New Roman" w:hAnsi="Times New Roman" w:cs="Times New Roman"/>
          <w:sz w:val="21"/>
          <w:szCs w:val="21"/>
        </w:rPr>
        <w:t>165.</w:t>
      </w:r>
      <w:bookmarkEnd w:id="453"/>
    </w:p>
    <w:p w:rsidR="00B233DE" w:rsidRPr="000D0858"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54" w:name="_Ref435619894"/>
      <w:r w:rsidRPr="000D0858">
        <w:rPr>
          <w:rFonts w:ascii="Times New Roman" w:hAnsi="Times New Roman" w:cs="Times New Roman"/>
          <w:sz w:val="21"/>
          <w:szCs w:val="21"/>
        </w:rPr>
        <w:t>Семигіна Т. В. Моделі соціальної політики економічно розвинутих країн: історія та сучасний розвиток : автореф. дис. на здоб. наук. ступ. к. політ. н. : спец. 23.00.01 – теорія та історія політичної науки / Т. В. Семигіна. – К. : НПУ ім. М. П. Драгоманова. – 2007. – 22 с.</w:t>
      </w:r>
      <w:bookmarkEnd w:id="454"/>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55" w:name="_Ref435620868"/>
      <w:r w:rsidRPr="00954FE8">
        <w:rPr>
          <w:rFonts w:ascii="Times New Roman" w:hAnsi="Times New Roman" w:cs="Times New Roman"/>
          <w:sz w:val="21"/>
          <w:szCs w:val="21"/>
        </w:rPr>
        <w:t>Семигіна Т. В. Порівняльна соціальна політика : навч. посіб. / Т. В. Семигіна. – К. : МАУП, 2005. – 276 с.</w:t>
      </w:r>
      <w:bookmarkEnd w:id="455"/>
    </w:p>
    <w:p w:rsidR="00B233DE" w:rsidRPr="00D17283"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56" w:name="_Ref435619744"/>
      <w:r w:rsidRPr="006E771B">
        <w:rPr>
          <w:rFonts w:ascii="Times New Roman" w:hAnsi="Times New Roman" w:cs="Times New Roman"/>
          <w:sz w:val="21"/>
          <w:szCs w:val="21"/>
        </w:rPr>
        <w:t>Сидоров В.</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А. Социальный капитал</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 глобальный контекст и новая парадигма / </w:t>
      </w:r>
      <w:r>
        <w:rPr>
          <w:rFonts w:ascii="Times New Roman" w:hAnsi="Times New Roman" w:cs="Times New Roman"/>
          <w:sz w:val="21"/>
          <w:szCs w:val="21"/>
          <w:lang w:val="ru-RU"/>
        </w:rPr>
        <w:t xml:space="preserve">В. А. Сидоров // </w:t>
      </w:r>
      <w:r w:rsidRPr="006E771B">
        <w:rPr>
          <w:rFonts w:ascii="Times New Roman" w:hAnsi="Times New Roman" w:cs="Times New Roman"/>
          <w:sz w:val="21"/>
          <w:szCs w:val="21"/>
        </w:rPr>
        <w:t>Актуальные проблемы экономической теории и практики</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 </w:t>
      </w:r>
      <w:r>
        <w:rPr>
          <w:rFonts w:ascii="Times New Roman" w:hAnsi="Times New Roman" w:cs="Times New Roman"/>
          <w:sz w:val="21"/>
          <w:szCs w:val="21"/>
          <w:lang w:val="ru-RU"/>
        </w:rPr>
        <w:t>с</w:t>
      </w:r>
      <w:r w:rsidRPr="006E771B">
        <w:rPr>
          <w:rFonts w:ascii="Times New Roman" w:hAnsi="Times New Roman" w:cs="Times New Roman"/>
          <w:sz w:val="21"/>
          <w:szCs w:val="21"/>
        </w:rPr>
        <w:t xml:space="preserve">б. науч. тр. </w:t>
      </w:r>
      <w:r>
        <w:rPr>
          <w:rFonts w:ascii="Times New Roman" w:hAnsi="Times New Roman" w:cs="Times New Roman"/>
          <w:sz w:val="21"/>
          <w:szCs w:val="21"/>
        </w:rPr>
        <w:t>–</w:t>
      </w:r>
      <w:r w:rsidRPr="006E771B">
        <w:rPr>
          <w:rFonts w:ascii="Times New Roman" w:hAnsi="Times New Roman" w:cs="Times New Roman"/>
          <w:sz w:val="21"/>
          <w:szCs w:val="21"/>
        </w:rPr>
        <w:t xml:space="preserve"> Краснодар</w:t>
      </w:r>
      <w:r>
        <w:rPr>
          <w:rFonts w:ascii="Times New Roman" w:hAnsi="Times New Roman" w:cs="Times New Roman"/>
          <w:sz w:val="21"/>
          <w:szCs w:val="21"/>
          <w:lang w:val="ru-RU"/>
        </w:rPr>
        <w:t xml:space="preserve"> </w:t>
      </w:r>
      <w:r>
        <w:rPr>
          <w:rFonts w:ascii="Times New Roman" w:hAnsi="Times New Roman" w:cs="Times New Roman"/>
          <w:sz w:val="21"/>
          <w:szCs w:val="21"/>
        </w:rPr>
        <w:t xml:space="preserve">: Кубанский гос. ун-т, 2006. </w:t>
      </w:r>
      <w:r>
        <w:rPr>
          <w:rFonts w:ascii="Times New Roman" w:hAnsi="Times New Roman" w:cs="Times New Roman"/>
          <w:sz w:val="21"/>
          <w:szCs w:val="21"/>
          <w:lang w:val="ru-RU"/>
        </w:rPr>
        <w:t>–</w:t>
      </w:r>
      <w:r w:rsidRPr="006E771B">
        <w:rPr>
          <w:rFonts w:ascii="Times New Roman" w:hAnsi="Times New Roman" w:cs="Times New Roman"/>
          <w:sz w:val="21"/>
          <w:szCs w:val="21"/>
        </w:rPr>
        <w:t xml:space="preserve"> С.</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8</w:t>
      </w:r>
      <w:r>
        <w:rPr>
          <w:rFonts w:ascii="Times New Roman" w:hAnsi="Times New Roman" w:cs="Times New Roman"/>
          <w:sz w:val="21"/>
          <w:szCs w:val="21"/>
        </w:rPr>
        <w:t>–</w:t>
      </w:r>
      <w:r w:rsidRPr="006E771B">
        <w:rPr>
          <w:rFonts w:ascii="Times New Roman" w:hAnsi="Times New Roman" w:cs="Times New Roman"/>
          <w:sz w:val="21"/>
          <w:szCs w:val="21"/>
        </w:rPr>
        <w:t>22.</w:t>
      </w:r>
      <w:bookmarkEnd w:id="456"/>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57" w:name="_Ref435618971"/>
      <w:r w:rsidRPr="00CB07DF">
        <w:rPr>
          <w:rFonts w:ascii="Times New Roman" w:hAnsi="Times New Roman" w:cs="Times New Roman"/>
          <w:sz w:val="21"/>
          <w:szCs w:val="21"/>
        </w:rPr>
        <w:lastRenderedPageBreak/>
        <w:t>Симон</w:t>
      </w:r>
      <w:r>
        <w:rPr>
          <w:rFonts w:ascii="Times New Roman" w:hAnsi="Times New Roman" w:cs="Times New Roman"/>
          <w:sz w:val="21"/>
          <w:szCs w:val="21"/>
        </w:rPr>
        <w:t xml:space="preserve">енко В. К. Регіональна політика : системний підхід / В. К. </w:t>
      </w:r>
      <w:r w:rsidRPr="00CB07DF">
        <w:rPr>
          <w:rFonts w:ascii="Times New Roman" w:hAnsi="Times New Roman" w:cs="Times New Roman"/>
          <w:sz w:val="21"/>
          <w:szCs w:val="21"/>
        </w:rPr>
        <w:t>Симорнеко // Економіка Украї</w:t>
      </w:r>
      <w:r>
        <w:rPr>
          <w:rFonts w:ascii="Times New Roman" w:hAnsi="Times New Roman" w:cs="Times New Roman"/>
          <w:sz w:val="21"/>
          <w:szCs w:val="21"/>
        </w:rPr>
        <w:t xml:space="preserve">ни. – 1996. – № </w:t>
      </w:r>
      <w:r w:rsidRPr="00CB07DF">
        <w:rPr>
          <w:rFonts w:ascii="Times New Roman" w:hAnsi="Times New Roman" w:cs="Times New Roman"/>
          <w:sz w:val="21"/>
          <w:szCs w:val="21"/>
        </w:rPr>
        <w:t>6.</w:t>
      </w:r>
      <w:r>
        <w:rPr>
          <w:rFonts w:ascii="Times New Roman" w:hAnsi="Times New Roman" w:cs="Times New Roman"/>
          <w:sz w:val="21"/>
          <w:szCs w:val="21"/>
        </w:rPr>
        <w:t xml:space="preserve"> – С. 32–38.</w:t>
      </w:r>
      <w:bookmarkEnd w:id="457"/>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58" w:name="_Ref435618977"/>
      <w:r>
        <w:rPr>
          <w:rFonts w:ascii="Times New Roman" w:hAnsi="Times New Roman" w:cs="Times New Roman"/>
          <w:sz w:val="21"/>
          <w:szCs w:val="21"/>
        </w:rPr>
        <w:t xml:space="preserve">Симоненко В. К. Регионы Украины : проблемы развития / В. К. Симоненко. – К. </w:t>
      </w:r>
      <w:r w:rsidRPr="00CB07DF">
        <w:rPr>
          <w:rFonts w:ascii="Times New Roman" w:hAnsi="Times New Roman" w:cs="Times New Roman"/>
          <w:sz w:val="21"/>
          <w:szCs w:val="21"/>
        </w:rPr>
        <w:t xml:space="preserve">: Наукова думка, 1997. </w:t>
      </w:r>
      <w:r>
        <w:rPr>
          <w:rFonts w:ascii="Times New Roman" w:hAnsi="Times New Roman" w:cs="Times New Roman"/>
          <w:sz w:val="21"/>
          <w:szCs w:val="21"/>
        </w:rPr>
        <w:t>– 166 с.</w:t>
      </w:r>
      <w:bookmarkEnd w:id="458"/>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59" w:name="_Ref435619960"/>
      <w:r w:rsidRPr="00954FE8">
        <w:rPr>
          <w:rFonts w:ascii="Times New Roman" w:hAnsi="Times New Roman" w:cs="Times New Roman"/>
          <w:sz w:val="21"/>
          <w:szCs w:val="21"/>
        </w:rPr>
        <w:t xml:space="preserve">Сисмонди Ж. С. Новые начала политической экономии / Ж. С. Сисмонди // Библіотека экономистовъ. – Вып. </w:t>
      </w:r>
      <w:r w:rsidRPr="00954FE8">
        <w:rPr>
          <w:rFonts w:ascii="Times New Roman" w:hAnsi="Times New Roman" w:cs="Times New Roman"/>
          <w:sz w:val="21"/>
          <w:szCs w:val="21"/>
          <w:lang w:val="en-US"/>
        </w:rPr>
        <w:t>V</w:t>
      </w:r>
      <w:r w:rsidRPr="00954FE8">
        <w:rPr>
          <w:rFonts w:ascii="Times New Roman" w:hAnsi="Times New Roman" w:cs="Times New Roman"/>
          <w:sz w:val="21"/>
          <w:szCs w:val="21"/>
        </w:rPr>
        <w:t>ІІІ. – М. : Товарищество типографий А. И. Мамонтова, 1897. – 354 с.</w:t>
      </w:r>
      <w:bookmarkEnd w:id="459"/>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60" w:name="_Ref435618626"/>
      <w:r w:rsidRPr="00CB07DF">
        <w:rPr>
          <w:rFonts w:ascii="Times New Roman" w:hAnsi="Times New Roman" w:cs="Times New Roman"/>
          <w:sz w:val="21"/>
          <w:szCs w:val="21"/>
        </w:rPr>
        <w:t>Система социологического зн</w:t>
      </w:r>
      <w:r>
        <w:rPr>
          <w:rFonts w:ascii="Times New Roman" w:hAnsi="Times New Roman" w:cs="Times New Roman"/>
          <w:sz w:val="21"/>
          <w:szCs w:val="21"/>
        </w:rPr>
        <w:t xml:space="preserve">ания </w:t>
      </w:r>
      <w:r w:rsidRPr="00CB07DF">
        <w:rPr>
          <w:rFonts w:ascii="Times New Roman" w:hAnsi="Times New Roman" w:cs="Times New Roman"/>
          <w:sz w:val="21"/>
          <w:szCs w:val="21"/>
        </w:rPr>
        <w:t>: учеб. пособие. – 3-е изд. / Сост. Г. В. Щёкин. – К., 1998.</w:t>
      </w:r>
      <w:r>
        <w:rPr>
          <w:rFonts w:ascii="Times New Roman" w:hAnsi="Times New Roman" w:cs="Times New Roman"/>
          <w:sz w:val="21"/>
          <w:szCs w:val="21"/>
        </w:rPr>
        <w:t xml:space="preserve"> – 426 с.</w:t>
      </w:r>
      <w:bookmarkEnd w:id="460"/>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61" w:name="_Ref435620075"/>
      <w:r w:rsidRPr="00954FE8">
        <w:rPr>
          <w:rFonts w:ascii="Times New Roman" w:hAnsi="Times New Roman" w:cs="Times New Roman"/>
          <w:sz w:val="21"/>
          <w:szCs w:val="21"/>
        </w:rPr>
        <w:t>Сіленко А. Соціальна політика та її пріоритети у перехідному суспільстві / А. Сіленко // Людина і політика. – 2003. – № 1. – С. 118–128.</w:t>
      </w:r>
      <w:bookmarkEnd w:id="461"/>
    </w:p>
    <w:p w:rsidR="00B233DE" w:rsidRPr="00BB0FF8"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62" w:name="_Ref435619535"/>
      <w:r w:rsidRPr="006E771B">
        <w:rPr>
          <w:rFonts w:ascii="Times New Roman" w:hAnsi="Times New Roman" w:cs="Times New Roman"/>
          <w:sz w:val="21"/>
          <w:szCs w:val="21"/>
        </w:rPr>
        <w:t>Скаржинский М.</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И. Теория факторов производства в новой политической экономии </w:t>
      </w:r>
      <w:r>
        <w:rPr>
          <w:rFonts w:ascii="Times New Roman" w:hAnsi="Times New Roman" w:cs="Times New Roman"/>
          <w:sz w:val="21"/>
          <w:szCs w:val="21"/>
          <w:lang w:val="ru-RU"/>
        </w:rPr>
        <w:t xml:space="preserve">/ М. И. Скаржинский </w:t>
      </w:r>
      <w:r w:rsidRPr="006E771B">
        <w:rPr>
          <w:rFonts w:ascii="Times New Roman" w:hAnsi="Times New Roman" w:cs="Times New Roman"/>
          <w:sz w:val="21"/>
          <w:szCs w:val="21"/>
        </w:rPr>
        <w:t xml:space="preserve">// Проблемы новой политической экономии. </w:t>
      </w:r>
      <w:r>
        <w:rPr>
          <w:rFonts w:ascii="Times New Roman" w:hAnsi="Times New Roman" w:cs="Times New Roman"/>
          <w:sz w:val="21"/>
          <w:szCs w:val="21"/>
        </w:rPr>
        <w:t>–</w:t>
      </w:r>
      <w:r w:rsidRPr="006E771B">
        <w:rPr>
          <w:rFonts w:ascii="Times New Roman" w:hAnsi="Times New Roman" w:cs="Times New Roman"/>
          <w:sz w:val="21"/>
          <w:szCs w:val="21"/>
        </w:rPr>
        <w:t xml:space="preserve"> 2000. </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1.</w:t>
      </w:r>
      <w:r>
        <w:rPr>
          <w:rFonts w:ascii="Times New Roman" w:hAnsi="Times New Roman" w:cs="Times New Roman"/>
          <w:sz w:val="21"/>
          <w:szCs w:val="21"/>
          <w:lang w:val="ru-RU"/>
        </w:rPr>
        <w:t xml:space="preserve"> </w:t>
      </w:r>
      <w:r>
        <w:rPr>
          <w:rFonts w:ascii="Times New Roman" w:hAnsi="Times New Roman" w:cs="Times New Roman"/>
          <w:sz w:val="21"/>
          <w:szCs w:val="21"/>
        </w:rPr>
        <w:t>–</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С. 42</w:t>
      </w:r>
      <w:r>
        <w:rPr>
          <w:rFonts w:ascii="Times New Roman" w:hAnsi="Times New Roman" w:cs="Times New Roman"/>
          <w:sz w:val="21"/>
          <w:szCs w:val="21"/>
        </w:rPr>
        <w:t>–</w:t>
      </w:r>
      <w:r w:rsidRPr="006E771B">
        <w:rPr>
          <w:rFonts w:ascii="Times New Roman" w:hAnsi="Times New Roman" w:cs="Times New Roman"/>
          <w:sz w:val="21"/>
          <w:szCs w:val="21"/>
        </w:rPr>
        <w:t>48.</w:t>
      </w:r>
      <w:bookmarkEnd w:id="462"/>
    </w:p>
    <w:p w:rsidR="00B233DE" w:rsidRPr="00D17283"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63" w:name="_Ref435619529"/>
      <w:r w:rsidRPr="006E771B">
        <w:rPr>
          <w:rFonts w:ascii="Times New Roman" w:hAnsi="Times New Roman" w:cs="Times New Roman"/>
          <w:sz w:val="21"/>
          <w:szCs w:val="21"/>
        </w:rPr>
        <w:t>Скаржинский М.</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И. Трудовой потенциал как экономическая категория / </w:t>
      </w:r>
      <w:r>
        <w:rPr>
          <w:rFonts w:ascii="Times New Roman" w:hAnsi="Times New Roman" w:cs="Times New Roman"/>
          <w:sz w:val="21"/>
          <w:szCs w:val="21"/>
          <w:lang w:val="ru-RU"/>
        </w:rPr>
        <w:t xml:space="preserve">М. И. Скаржинский // </w:t>
      </w:r>
      <w:r w:rsidRPr="006E771B">
        <w:rPr>
          <w:rFonts w:ascii="Times New Roman" w:hAnsi="Times New Roman" w:cs="Times New Roman"/>
          <w:sz w:val="21"/>
          <w:szCs w:val="21"/>
        </w:rPr>
        <w:t xml:space="preserve">Трудовой потенциал социалистического общества. </w:t>
      </w:r>
      <w:r>
        <w:rPr>
          <w:rFonts w:ascii="Times New Roman" w:hAnsi="Times New Roman" w:cs="Times New Roman"/>
          <w:sz w:val="21"/>
          <w:szCs w:val="21"/>
        </w:rPr>
        <w:t>–</w:t>
      </w:r>
      <w:r w:rsidRPr="006E771B">
        <w:rPr>
          <w:rFonts w:ascii="Times New Roman" w:hAnsi="Times New Roman" w:cs="Times New Roman"/>
          <w:sz w:val="21"/>
          <w:szCs w:val="21"/>
        </w:rPr>
        <w:t xml:space="preserve"> Ярославль, 1986.</w:t>
      </w:r>
      <w:r>
        <w:rPr>
          <w:rFonts w:ascii="Times New Roman" w:hAnsi="Times New Roman" w:cs="Times New Roman"/>
          <w:sz w:val="21"/>
          <w:szCs w:val="21"/>
          <w:lang w:val="ru-RU"/>
        </w:rPr>
        <w:t xml:space="preserve"> </w:t>
      </w:r>
      <w:r>
        <w:rPr>
          <w:rFonts w:ascii="Times New Roman" w:hAnsi="Times New Roman" w:cs="Times New Roman"/>
          <w:sz w:val="21"/>
          <w:szCs w:val="21"/>
        </w:rPr>
        <w:t>–</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С. 8</w:t>
      </w:r>
      <w:r>
        <w:rPr>
          <w:rFonts w:ascii="Times New Roman" w:hAnsi="Times New Roman" w:cs="Times New Roman"/>
          <w:sz w:val="21"/>
          <w:szCs w:val="21"/>
        </w:rPr>
        <w:t>–</w:t>
      </w:r>
      <w:r w:rsidRPr="006E771B">
        <w:rPr>
          <w:rFonts w:ascii="Times New Roman" w:hAnsi="Times New Roman" w:cs="Times New Roman"/>
          <w:sz w:val="21"/>
          <w:szCs w:val="21"/>
        </w:rPr>
        <w:t>12.</w:t>
      </w:r>
      <w:bookmarkEnd w:id="463"/>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64" w:name="_Ref435621162"/>
      <w:r w:rsidRPr="00181A11">
        <w:rPr>
          <w:rFonts w:ascii="Times New Roman" w:hAnsi="Times New Roman" w:cs="Times New Roman"/>
          <w:sz w:val="21"/>
          <w:szCs w:val="21"/>
        </w:rPr>
        <w:t xml:space="preserve">Скібінський Е. Нові обрії працевлаштування інвалідів </w:t>
      </w:r>
      <w:r>
        <w:rPr>
          <w:rFonts w:ascii="Times New Roman" w:hAnsi="Times New Roman" w:cs="Times New Roman"/>
          <w:sz w:val="21"/>
          <w:szCs w:val="21"/>
        </w:rPr>
        <w:t xml:space="preserve">/ Е. Скібінський </w:t>
      </w:r>
      <w:r w:rsidRPr="00181A11">
        <w:rPr>
          <w:rFonts w:ascii="Times New Roman" w:hAnsi="Times New Roman" w:cs="Times New Roman"/>
          <w:sz w:val="21"/>
          <w:szCs w:val="21"/>
        </w:rPr>
        <w:t>// Соціал</w:t>
      </w:r>
      <w:r>
        <w:rPr>
          <w:rFonts w:ascii="Times New Roman" w:hAnsi="Times New Roman" w:cs="Times New Roman"/>
          <w:sz w:val="21"/>
          <w:szCs w:val="21"/>
        </w:rPr>
        <w:t>ьний захист. – 2006. – № 11. – С. 13–</w:t>
      </w:r>
      <w:r w:rsidRPr="00181A11">
        <w:rPr>
          <w:rFonts w:ascii="Times New Roman" w:hAnsi="Times New Roman" w:cs="Times New Roman"/>
          <w:sz w:val="21"/>
          <w:szCs w:val="21"/>
        </w:rPr>
        <w:t>14.</w:t>
      </w:r>
      <w:bookmarkEnd w:id="464"/>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65" w:name="_Ref435618670"/>
      <w:r>
        <w:rPr>
          <w:rFonts w:ascii="Times New Roman" w:hAnsi="Times New Roman" w:cs="Times New Roman"/>
          <w:sz w:val="21"/>
          <w:szCs w:val="21"/>
        </w:rPr>
        <w:t xml:space="preserve">Скуратівський В. </w:t>
      </w:r>
      <w:r w:rsidRPr="00CB07DF">
        <w:rPr>
          <w:rFonts w:ascii="Times New Roman" w:hAnsi="Times New Roman" w:cs="Times New Roman"/>
          <w:sz w:val="21"/>
          <w:szCs w:val="21"/>
        </w:rPr>
        <w:t>А. Соц</w:t>
      </w:r>
      <w:r>
        <w:rPr>
          <w:rFonts w:ascii="Times New Roman" w:hAnsi="Times New Roman" w:cs="Times New Roman"/>
          <w:sz w:val="21"/>
          <w:szCs w:val="21"/>
        </w:rPr>
        <w:t xml:space="preserve">іальна політика / В. А. Скуратівський, О. М. Палій, Е. М. </w:t>
      </w:r>
      <w:r w:rsidRPr="00CB07DF">
        <w:rPr>
          <w:rFonts w:ascii="Times New Roman" w:hAnsi="Times New Roman" w:cs="Times New Roman"/>
          <w:sz w:val="21"/>
          <w:szCs w:val="21"/>
        </w:rPr>
        <w:t>Лібанова</w:t>
      </w:r>
      <w:r>
        <w:rPr>
          <w:rFonts w:ascii="Times New Roman" w:hAnsi="Times New Roman" w:cs="Times New Roman"/>
          <w:sz w:val="21"/>
          <w:szCs w:val="21"/>
        </w:rPr>
        <w:t xml:space="preserve"> – 2-</w:t>
      </w:r>
      <w:r w:rsidRPr="00CB07DF">
        <w:rPr>
          <w:rFonts w:ascii="Times New Roman" w:hAnsi="Times New Roman" w:cs="Times New Roman"/>
          <w:sz w:val="21"/>
          <w:szCs w:val="21"/>
        </w:rPr>
        <w:t>ге в</w:t>
      </w:r>
      <w:r>
        <w:rPr>
          <w:rFonts w:ascii="Times New Roman" w:hAnsi="Times New Roman" w:cs="Times New Roman"/>
          <w:sz w:val="21"/>
          <w:szCs w:val="21"/>
        </w:rPr>
        <w:t xml:space="preserve">идання доповнене та перероблене. – К., 2003. – 366 </w:t>
      </w:r>
      <w:r w:rsidRPr="00CB07DF">
        <w:rPr>
          <w:rFonts w:ascii="Times New Roman" w:hAnsi="Times New Roman" w:cs="Times New Roman"/>
          <w:sz w:val="21"/>
          <w:szCs w:val="21"/>
        </w:rPr>
        <w:t>с.</w:t>
      </w:r>
      <w:bookmarkEnd w:id="465"/>
    </w:p>
    <w:p w:rsidR="00B233DE" w:rsidRPr="00B41D08"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66" w:name="_Ref435619360"/>
      <w:r w:rsidRPr="006E771B">
        <w:rPr>
          <w:rFonts w:ascii="Times New Roman" w:hAnsi="Times New Roman" w:cs="Times New Roman"/>
          <w:sz w:val="21"/>
          <w:szCs w:val="21"/>
        </w:rPr>
        <w:t>Соболева И.</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В. Социальный капитал или социальный ресурс? </w:t>
      </w:r>
      <w:r>
        <w:rPr>
          <w:rFonts w:ascii="Times New Roman" w:hAnsi="Times New Roman" w:cs="Times New Roman"/>
          <w:sz w:val="21"/>
          <w:szCs w:val="21"/>
          <w:lang w:val="ru-RU"/>
        </w:rPr>
        <w:t xml:space="preserve">/ И. В. Соболева </w:t>
      </w:r>
      <w:r w:rsidRPr="006E771B">
        <w:rPr>
          <w:rFonts w:ascii="Times New Roman" w:hAnsi="Times New Roman" w:cs="Times New Roman"/>
          <w:sz w:val="21"/>
          <w:szCs w:val="21"/>
        </w:rPr>
        <w:t xml:space="preserve">// Экономическая наука современной России. </w:t>
      </w:r>
      <w:r>
        <w:rPr>
          <w:rFonts w:ascii="Times New Roman" w:hAnsi="Times New Roman" w:cs="Times New Roman"/>
          <w:sz w:val="21"/>
          <w:szCs w:val="21"/>
        </w:rPr>
        <w:t>–</w:t>
      </w:r>
      <w:r w:rsidRPr="006E771B">
        <w:rPr>
          <w:rFonts w:ascii="Times New Roman" w:hAnsi="Times New Roman" w:cs="Times New Roman"/>
          <w:sz w:val="21"/>
          <w:szCs w:val="21"/>
        </w:rPr>
        <w:t xml:space="preserve"> 2006. </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3 (34). </w:t>
      </w:r>
      <w:r>
        <w:rPr>
          <w:rFonts w:ascii="Times New Roman" w:hAnsi="Times New Roman" w:cs="Times New Roman"/>
          <w:sz w:val="21"/>
          <w:szCs w:val="21"/>
        </w:rPr>
        <w:t>–</w:t>
      </w:r>
      <w:r w:rsidRPr="006E771B">
        <w:rPr>
          <w:rFonts w:ascii="Times New Roman" w:hAnsi="Times New Roman" w:cs="Times New Roman"/>
          <w:sz w:val="21"/>
          <w:szCs w:val="21"/>
        </w:rPr>
        <w:t xml:space="preserve"> С. 16</w:t>
      </w:r>
      <w:r>
        <w:rPr>
          <w:rFonts w:ascii="Times New Roman" w:hAnsi="Times New Roman" w:cs="Times New Roman"/>
          <w:sz w:val="21"/>
          <w:szCs w:val="21"/>
        </w:rPr>
        <w:t>–</w:t>
      </w:r>
      <w:r w:rsidRPr="006E771B">
        <w:rPr>
          <w:rFonts w:ascii="Times New Roman" w:hAnsi="Times New Roman" w:cs="Times New Roman"/>
          <w:sz w:val="21"/>
          <w:szCs w:val="21"/>
        </w:rPr>
        <w:t>29.</w:t>
      </w:r>
      <w:bookmarkEnd w:id="466"/>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67" w:name="_Ref435620875"/>
      <w:r w:rsidRPr="00954FE8">
        <w:rPr>
          <w:rFonts w:ascii="Times New Roman" w:hAnsi="Times New Roman" w:cs="Times New Roman"/>
          <w:sz w:val="21"/>
          <w:szCs w:val="21"/>
        </w:rPr>
        <w:t xml:space="preserve">Соколова М. С. Основы социальной политики : учебно-методический комплекс для бакалавров / М. С. Соколова, О. В. Ящерицына – М. : </w:t>
      </w:r>
      <w:r>
        <w:rPr>
          <w:rFonts w:ascii="Times New Roman" w:hAnsi="Times New Roman" w:cs="Times New Roman"/>
          <w:sz w:val="21"/>
          <w:szCs w:val="21"/>
        </w:rPr>
        <w:t>АТИСО, 2008. – 78 с.</w:t>
      </w:r>
      <w:bookmarkEnd w:id="467"/>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68" w:name="_Ref435619234"/>
      <w:r w:rsidRPr="00CB07DF">
        <w:rPr>
          <w:rFonts w:ascii="Times New Roman" w:hAnsi="Times New Roman" w:cs="Times New Roman"/>
          <w:sz w:val="21"/>
          <w:szCs w:val="21"/>
        </w:rPr>
        <w:t xml:space="preserve">Социальная политика региональная // Социальное государство. Краткий словарь-правочник. – М., 2002. </w:t>
      </w:r>
      <w:r>
        <w:rPr>
          <w:rFonts w:ascii="Times New Roman" w:hAnsi="Times New Roman" w:cs="Times New Roman"/>
          <w:sz w:val="21"/>
          <w:szCs w:val="21"/>
        </w:rPr>
        <w:t>– 318 с.</w:t>
      </w:r>
      <w:bookmarkEnd w:id="468"/>
    </w:p>
    <w:p w:rsidR="00B233DE" w:rsidRPr="000D0858"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69" w:name="_Ref435620606"/>
      <w:r w:rsidRPr="000D0858">
        <w:rPr>
          <w:rFonts w:ascii="Times New Roman" w:hAnsi="Times New Roman" w:cs="Times New Roman"/>
          <w:sz w:val="21"/>
          <w:szCs w:val="21"/>
        </w:rPr>
        <w:t>Социальная политика, уровень и качество жизни : словарь. – М. : Изд-во ВЦУЖ, 2001. – 288 с.</w:t>
      </w:r>
      <w:bookmarkEnd w:id="469"/>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70" w:name="_Ref435620032"/>
      <w:r w:rsidRPr="00954FE8">
        <w:rPr>
          <w:rFonts w:ascii="Times New Roman" w:hAnsi="Times New Roman" w:cs="Times New Roman"/>
          <w:sz w:val="21"/>
          <w:szCs w:val="21"/>
        </w:rPr>
        <w:t>Социальная политика : учебник / под общ. ред. Н. А. Волгина. – М. : Экзамен, 2002. – 736 с.</w:t>
      </w:r>
      <w:bookmarkEnd w:id="470"/>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71" w:name="_Ref435619018"/>
      <w:r>
        <w:rPr>
          <w:rFonts w:ascii="Times New Roman" w:hAnsi="Times New Roman" w:cs="Times New Roman"/>
          <w:sz w:val="21"/>
          <w:szCs w:val="21"/>
        </w:rPr>
        <w:lastRenderedPageBreak/>
        <w:t xml:space="preserve">Социальная работа : теория и практика : учеб. пособие / отв. ред. Е. И. Холостова, А. С. Сорвина. – М. : ИНФРА-М, 2002. – 427 </w:t>
      </w:r>
      <w:r w:rsidRPr="00CB07DF">
        <w:rPr>
          <w:rFonts w:ascii="Times New Roman" w:hAnsi="Times New Roman" w:cs="Times New Roman"/>
          <w:sz w:val="21"/>
          <w:szCs w:val="21"/>
        </w:rPr>
        <w:t>с.</w:t>
      </w:r>
      <w:bookmarkEnd w:id="471"/>
    </w:p>
    <w:p w:rsidR="00B233DE" w:rsidRPr="00E97553"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72" w:name="_Ref435619409"/>
      <w:r w:rsidRPr="006E771B">
        <w:rPr>
          <w:rFonts w:ascii="Times New Roman" w:hAnsi="Times New Roman" w:cs="Times New Roman"/>
          <w:sz w:val="21"/>
          <w:szCs w:val="21"/>
        </w:rPr>
        <w:t xml:space="preserve">Социальный капитал как научная категория («круглый стол») // Общественные науки и современность. </w:t>
      </w:r>
      <w:r>
        <w:rPr>
          <w:rFonts w:ascii="Times New Roman" w:hAnsi="Times New Roman" w:cs="Times New Roman"/>
          <w:sz w:val="21"/>
          <w:szCs w:val="21"/>
        </w:rPr>
        <w:t>–</w:t>
      </w:r>
      <w:r w:rsidRPr="006E771B">
        <w:rPr>
          <w:rFonts w:ascii="Times New Roman" w:hAnsi="Times New Roman" w:cs="Times New Roman"/>
          <w:sz w:val="21"/>
          <w:szCs w:val="21"/>
        </w:rPr>
        <w:t xml:space="preserve"> 2004. </w:t>
      </w:r>
      <w:r>
        <w:rPr>
          <w:rFonts w:ascii="Times New Roman" w:hAnsi="Times New Roman" w:cs="Times New Roman"/>
          <w:sz w:val="21"/>
          <w:szCs w:val="21"/>
          <w:lang w:val="ru-RU"/>
        </w:rPr>
        <w:t xml:space="preserve">– </w:t>
      </w:r>
      <w:r>
        <w:rPr>
          <w:rFonts w:ascii="Times New Roman" w:hAnsi="Times New Roman" w:cs="Times New Roman"/>
          <w:sz w:val="21"/>
          <w:szCs w:val="21"/>
        </w:rPr>
        <w:t xml:space="preserve">№ 4. </w:t>
      </w:r>
      <w:r>
        <w:rPr>
          <w:rFonts w:ascii="Times New Roman" w:hAnsi="Times New Roman" w:cs="Times New Roman"/>
          <w:sz w:val="21"/>
          <w:szCs w:val="21"/>
          <w:lang w:val="ru-RU"/>
        </w:rPr>
        <w:t>–</w:t>
      </w:r>
      <w:r w:rsidRPr="006E771B">
        <w:rPr>
          <w:rFonts w:ascii="Times New Roman" w:hAnsi="Times New Roman" w:cs="Times New Roman"/>
          <w:sz w:val="21"/>
          <w:szCs w:val="21"/>
        </w:rPr>
        <w:t xml:space="preserve"> С.</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4</w:t>
      </w:r>
      <w:r>
        <w:rPr>
          <w:rFonts w:ascii="Times New Roman" w:hAnsi="Times New Roman" w:cs="Times New Roman"/>
          <w:sz w:val="21"/>
          <w:szCs w:val="21"/>
        </w:rPr>
        <w:t>–</w:t>
      </w:r>
      <w:r w:rsidRPr="006E771B">
        <w:rPr>
          <w:rFonts w:ascii="Times New Roman" w:hAnsi="Times New Roman" w:cs="Times New Roman"/>
          <w:sz w:val="21"/>
          <w:szCs w:val="21"/>
        </w:rPr>
        <w:t>23.</w:t>
      </w:r>
      <w:bookmarkEnd w:id="472"/>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73" w:name="_Ref435618690"/>
      <w:r w:rsidRPr="00CB07DF">
        <w:rPr>
          <w:rFonts w:ascii="Times New Roman" w:hAnsi="Times New Roman" w:cs="Times New Roman"/>
          <w:sz w:val="21"/>
          <w:szCs w:val="21"/>
        </w:rPr>
        <w:t>Социологический справочник / Под</w:t>
      </w:r>
      <w:r>
        <w:rPr>
          <w:rFonts w:ascii="Times New Roman" w:hAnsi="Times New Roman" w:cs="Times New Roman"/>
          <w:sz w:val="21"/>
          <w:szCs w:val="21"/>
        </w:rPr>
        <w:t xml:space="preserve"> общ. ред. В. И. Воловича. – К. </w:t>
      </w:r>
      <w:r w:rsidRPr="00CB07DF">
        <w:rPr>
          <w:rFonts w:ascii="Times New Roman" w:hAnsi="Times New Roman" w:cs="Times New Roman"/>
          <w:sz w:val="21"/>
          <w:szCs w:val="21"/>
        </w:rPr>
        <w:t>: Политиздат Украины, 1990.</w:t>
      </w:r>
      <w:r>
        <w:rPr>
          <w:rFonts w:ascii="Times New Roman" w:hAnsi="Times New Roman" w:cs="Times New Roman"/>
          <w:sz w:val="21"/>
          <w:szCs w:val="21"/>
        </w:rPr>
        <w:t xml:space="preserve"> – 318 с.</w:t>
      </w:r>
      <w:bookmarkEnd w:id="473"/>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74" w:name="_Ref435618618"/>
      <w:r>
        <w:rPr>
          <w:rFonts w:ascii="Times New Roman" w:hAnsi="Times New Roman" w:cs="Times New Roman"/>
          <w:sz w:val="21"/>
          <w:szCs w:val="21"/>
        </w:rPr>
        <w:t>Соціальна економіка :</w:t>
      </w:r>
      <w:r w:rsidRPr="00CB07DF">
        <w:rPr>
          <w:rFonts w:ascii="Times New Roman" w:hAnsi="Times New Roman" w:cs="Times New Roman"/>
          <w:sz w:val="21"/>
          <w:szCs w:val="21"/>
        </w:rPr>
        <w:t xml:space="preserve"> </w:t>
      </w:r>
      <w:r>
        <w:rPr>
          <w:rFonts w:ascii="Times New Roman" w:hAnsi="Times New Roman" w:cs="Times New Roman"/>
          <w:sz w:val="21"/>
          <w:szCs w:val="21"/>
        </w:rPr>
        <w:t>н</w:t>
      </w:r>
      <w:r w:rsidRPr="00CB07DF">
        <w:rPr>
          <w:rFonts w:ascii="Times New Roman" w:hAnsi="Times New Roman" w:cs="Times New Roman"/>
          <w:sz w:val="21"/>
          <w:szCs w:val="21"/>
        </w:rPr>
        <w:t>авч. посі</w:t>
      </w:r>
      <w:r>
        <w:rPr>
          <w:rFonts w:ascii="Times New Roman" w:hAnsi="Times New Roman" w:cs="Times New Roman"/>
          <w:sz w:val="21"/>
          <w:szCs w:val="21"/>
        </w:rPr>
        <w:t xml:space="preserve">б. / Кол. авт. О. О. Бєляєв, М. І. Диба, В. І. Кириленко та ін. – К. : КНЕУ, 2005. – 196 </w:t>
      </w:r>
      <w:r w:rsidRPr="00CB07DF">
        <w:rPr>
          <w:rFonts w:ascii="Times New Roman" w:hAnsi="Times New Roman" w:cs="Times New Roman"/>
          <w:sz w:val="21"/>
          <w:szCs w:val="21"/>
        </w:rPr>
        <w:t>с.</w:t>
      </w:r>
      <w:bookmarkEnd w:id="474"/>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75" w:name="_Ref435621043"/>
      <w:r w:rsidRPr="00954FE8">
        <w:rPr>
          <w:rFonts w:ascii="Times New Roman" w:hAnsi="Times New Roman" w:cs="Times New Roman"/>
          <w:sz w:val="21"/>
          <w:szCs w:val="21"/>
        </w:rPr>
        <w:t>Соціальна політика в умовах поглиблення соціальної нерівності в Україні : монографія / за ред. І. Ільчука. – К. ; Херсон : Вишемирський В. С., 2010. – 376 с.</w:t>
      </w:r>
      <w:bookmarkEnd w:id="475"/>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76" w:name="_Ref435620799"/>
      <w:r w:rsidRPr="00954FE8">
        <w:rPr>
          <w:rFonts w:ascii="Times New Roman" w:hAnsi="Times New Roman" w:cs="Times New Roman"/>
          <w:sz w:val="21"/>
          <w:szCs w:val="21"/>
        </w:rPr>
        <w:t>Спікер П. Соціальна політика. Теми та підходи / пер. з англ. П. Спікер. – К. : Фенікс, 2000. – 400 с.</w:t>
      </w:r>
      <w:bookmarkEnd w:id="476"/>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77" w:name="_Ref435621124"/>
      <w:r w:rsidRPr="00181A11">
        <w:rPr>
          <w:rFonts w:ascii="Times New Roman" w:hAnsi="Times New Roman" w:cs="Times New Roman"/>
          <w:sz w:val="21"/>
          <w:szCs w:val="21"/>
        </w:rPr>
        <w:t>Стандартні правила забезпечення рі</w:t>
      </w:r>
      <w:r>
        <w:rPr>
          <w:rFonts w:ascii="Times New Roman" w:hAnsi="Times New Roman" w:cs="Times New Roman"/>
          <w:sz w:val="21"/>
          <w:szCs w:val="21"/>
        </w:rPr>
        <w:t xml:space="preserve">вних можливостей для інвалідів : </w:t>
      </w:r>
      <w:r w:rsidRPr="00181A11">
        <w:rPr>
          <w:rFonts w:ascii="Times New Roman" w:hAnsi="Times New Roman" w:cs="Times New Roman"/>
          <w:sz w:val="21"/>
          <w:szCs w:val="21"/>
        </w:rPr>
        <w:t>Резолюція Генеральної Асамблеї ООН № 48/96. – К.</w:t>
      </w:r>
      <w:r>
        <w:rPr>
          <w:rFonts w:ascii="Times New Roman" w:hAnsi="Times New Roman" w:cs="Times New Roman"/>
          <w:sz w:val="21"/>
          <w:szCs w:val="21"/>
        </w:rPr>
        <w:t xml:space="preserve"> </w:t>
      </w:r>
      <w:r w:rsidRPr="00181A11">
        <w:rPr>
          <w:rFonts w:ascii="Times New Roman" w:hAnsi="Times New Roman" w:cs="Times New Roman"/>
          <w:sz w:val="21"/>
          <w:szCs w:val="21"/>
        </w:rPr>
        <w:t>: ВГСПО «НАІ України», 2003. – 40 с.</w:t>
      </w:r>
      <w:bookmarkEnd w:id="477"/>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78" w:name="_Ref435620845"/>
      <w:r w:rsidRPr="000D0858">
        <w:rPr>
          <w:rFonts w:ascii="Times New Roman" w:hAnsi="Times New Roman" w:cs="Times New Roman"/>
          <w:sz w:val="21"/>
          <w:szCs w:val="21"/>
        </w:rPr>
        <w:t>Сторожук Р. П. Державна молодіжна політика в контексті європейського вибору України : механізми реалізації : дис. на здоб. наук. ступ. канд. держ. упр. : спец. 25.00.02 «Механізми державного управління» / Р. П. Сторожук. – Одеса : ОРІДУ НАДУ, 2007. – 202 с.</w:t>
      </w:r>
      <w:bookmarkEnd w:id="478"/>
    </w:p>
    <w:p w:rsidR="00B233DE" w:rsidRPr="000D0858"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79" w:name="_Ref435620556"/>
      <w:r w:rsidRPr="000D0858">
        <w:rPr>
          <w:rStyle w:val="st1"/>
          <w:rFonts w:ascii="Times New Roman" w:hAnsi="Times New Roman"/>
          <w:bCs/>
          <w:color w:val="000000"/>
          <w:sz w:val="21"/>
          <w:szCs w:val="21"/>
        </w:rPr>
        <w:t>Стратегічне планування</w:t>
      </w:r>
      <w:r w:rsidRPr="000D0858">
        <w:rPr>
          <w:rFonts w:ascii="Times New Roman" w:hAnsi="Times New Roman" w:cs="Times New Roman"/>
          <w:sz w:val="21"/>
          <w:szCs w:val="21"/>
        </w:rPr>
        <w:t xml:space="preserve"> :</w:t>
      </w:r>
      <w:r w:rsidRPr="000D0858">
        <w:rPr>
          <w:rStyle w:val="st1"/>
          <w:rFonts w:ascii="Times New Roman" w:hAnsi="Times New Roman"/>
          <w:sz w:val="21"/>
          <w:szCs w:val="21"/>
        </w:rPr>
        <w:t xml:space="preserve"> навч. посіб. / О. Берданова, В. </w:t>
      </w:r>
      <w:r w:rsidRPr="000D0858">
        <w:rPr>
          <w:rStyle w:val="st1"/>
          <w:rFonts w:ascii="Times New Roman" w:hAnsi="Times New Roman"/>
          <w:bCs/>
          <w:color w:val="000000"/>
          <w:sz w:val="21"/>
          <w:szCs w:val="21"/>
        </w:rPr>
        <w:t>Вакуленко</w:t>
      </w:r>
      <w:r w:rsidRPr="000D0858">
        <w:rPr>
          <w:rStyle w:val="st1"/>
          <w:rFonts w:ascii="Times New Roman" w:hAnsi="Times New Roman"/>
          <w:sz w:val="21"/>
          <w:szCs w:val="21"/>
        </w:rPr>
        <w:t>, В. Тертичка. – Львів : ЗУКЦ, 2008. – 138 с.</w:t>
      </w:r>
      <w:bookmarkEnd w:id="479"/>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80" w:name="_Ref435619967"/>
      <w:r w:rsidRPr="00954FE8">
        <w:rPr>
          <w:rFonts w:ascii="Times New Roman" w:hAnsi="Times New Roman" w:cs="Times New Roman"/>
          <w:sz w:val="21"/>
          <w:szCs w:val="21"/>
        </w:rPr>
        <w:t xml:space="preserve">Сэй Ж. Б. Трактат политической экономии / С. Ж. Батистъ // Библиотека экономистовъ. – Вып. </w:t>
      </w:r>
      <w:r w:rsidRPr="00954FE8">
        <w:rPr>
          <w:rFonts w:ascii="Times New Roman" w:hAnsi="Times New Roman" w:cs="Times New Roman"/>
          <w:sz w:val="21"/>
          <w:szCs w:val="21"/>
          <w:lang w:val="en-US"/>
        </w:rPr>
        <w:t>V</w:t>
      </w:r>
      <w:r w:rsidRPr="00954FE8">
        <w:rPr>
          <w:rFonts w:ascii="Times New Roman" w:hAnsi="Times New Roman" w:cs="Times New Roman"/>
          <w:sz w:val="21"/>
          <w:szCs w:val="21"/>
        </w:rPr>
        <w:t>ІІ. – М. : Типо-Литографія О. И. Лашкевичъ и К, 1896. – 136 с.</w:t>
      </w:r>
      <w:bookmarkEnd w:id="480"/>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81" w:name="_Ref435619264"/>
      <w:r>
        <w:rPr>
          <w:rFonts w:ascii="Times New Roman" w:hAnsi="Times New Roman" w:cs="Times New Roman"/>
          <w:sz w:val="21"/>
          <w:szCs w:val="21"/>
        </w:rPr>
        <w:t xml:space="preserve">Тамм А. </w:t>
      </w:r>
      <w:r w:rsidRPr="00CB07DF">
        <w:rPr>
          <w:rFonts w:ascii="Times New Roman" w:hAnsi="Times New Roman" w:cs="Times New Roman"/>
          <w:sz w:val="21"/>
          <w:szCs w:val="21"/>
        </w:rPr>
        <w:t>Є. Деякі аспекти регіональної соціальної політики в трансформаційних умовах українського суспіл</w:t>
      </w:r>
      <w:r>
        <w:rPr>
          <w:rFonts w:ascii="Times New Roman" w:hAnsi="Times New Roman" w:cs="Times New Roman"/>
          <w:sz w:val="21"/>
          <w:szCs w:val="21"/>
        </w:rPr>
        <w:t xml:space="preserve">ьства [Електронний ресурс] / А. </w:t>
      </w:r>
      <w:r w:rsidRPr="00CB07DF">
        <w:rPr>
          <w:rFonts w:ascii="Times New Roman" w:hAnsi="Times New Roman" w:cs="Times New Roman"/>
          <w:sz w:val="21"/>
          <w:szCs w:val="21"/>
        </w:rPr>
        <w:t xml:space="preserve">Є. Тамм. </w:t>
      </w:r>
      <w:r>
        <w:rPr>
          <w:rFonts w:ascii="Times New Roman" w:hAnsi="Times New Roman" w:cs="Times New Roman"/>
          <w:sz w:val="21"/>
          <w:szCs w:val="21"/>
        </w:rPr>
        <w:t xml:space="preserve">– </w:t>
      </w:r>
      <w:r w:rsidRPr="00CB07DF">
        <w:rPr>
          <w:rFonts w:ascii="Times New Roman" w:hAnsi="Times New Roman" w:cs="Times New Roman"/>
          <w:sz w:val="21"/>
          <w:szCs w:val="21"/>
        </w:rPr>
        <w:t>Режим доступу</w:t>
      </w:r>
      <w:r>
        <w:rPr>
          <w:rFonts w:ascii="Times New Roman" w:hAnsi="Times New Roman" w:cs="Times New Roman"/>
          <w:sz w:val="21"/>
          <w:szCs w:val="21"/>
        </w:rPr>
        <w:t xml:space="preserve"> </w:t>
      </w:r>
      <w:r w:rsidRPr="00CB07DF">
        <w:rPr>
          <w:rFonts w:ascii="Times New Roman" w:hAnsi="Times New Roman" w:cs="Times New Roman"/>
          <w:sz w:val="21"/>
          <w:szCs w:val="21"/>
        </w:rPr>
        <w:t xml:space="preserve">: </w:t>
      </w:r>
      <w:hyperlink r:id="rId124" w:history="1">
        <w:r w:rsidRPr="00A55B4F">
          <w:rPr>
            <w:rStyle w:val="aff"/>
            <w:rFonts w:ascii="Times New Roman" w:hAnsi="Times New Roman" w:cs="Times New Roman"/>
            <w:color w:val="000000" w:themeColor="text1"/>
            <w:sz w:val="21"/>
            <w:szCs w:val="21"/>
            <w:u w:val="none"/>
          </w:rPr>
          <w:t>http://nbuv.gov.ua/j-pdf/DeBu_2012_2_50.pdf</w:t>
        </w:r>
      </w:hyperlink>
      <w:r w:rsidRPr="00A55B4F">
        <w:rPr>
          <w:rFonts w:ascii="Times New Roman" w:hAnsi="Times New Roman" w:cs="Times New Roman"/>
          <w:color w:val="000000" w:themeColor="text1"/>
          <w:sz w:val="21"/>
          <w:szCs w:val="21"/>
        </w:rPr>
        <w:t>.</w:t>
      </w:r>
      <w:bookmarkEnd w:id="481"/>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82" w:name="_Ref435619280"/>
      <w:r>
        <w:rPr>
          <w:rFonts w:ascii="Times New Roman" w:hAnsi="Times New Roman" w:cs="Times New Roman"/>
          <w:sz w:val="21"/>
          <w:szCs w:val="21"/>
        </w:rPr>
        <w:t xml:space="preserve">Татаревська М. </w:t>
      </w:r>
      <w:r w:rsidRPr="00CB07DF">
        <w:rPr>
          <w:rFonts w:ascii="Times New Roman" w:hAnsi="Times New Roman" w:cs="Times New Roman"/>
          <w:sz w:val="21"/>
          <w:szCs w:val="21"/>
        </w:rPr>
        <w:t>С.</w:t>
      </w:r>
      <w:r>
        <w:rPr>
          <w:rFonts w:ascii="Times New Roman" w:hAnsi="Times New Roman" w:cs="Times New Roman"/>
          <w:sz w:val="21"/>
          <w:szCs w:val="21"/>
        </w:rPr>
        <w:t xml:space="preserve"> Регіональна соціальна політика </w:t>
      </w:r>
      <w:r w:rsidRPr="00CB07DF">
        <w:rPr>
          <w:rFonts w:ascii="Times New Roman" w:hAnsi="Times New Roman" w:cs="Times New Roman"/>
          <w:sz w:val="21"/>
          <w:szCs w:val="21"/>
        </w:rPr>
        <w:t>: особливост</w:t>
      </w:r>
      <w:r>
        <w:rPr>
          <w:rFonts w:ascii="Times New Roman" w:hAnsi="Times New Roman" w:cs="Times New Roman"/>
          <w:sz w:val="21"/>
          <w:szCs w:val="21"/>
        </w:rPr>
        <w:t xml:space="preserve">і формування та реалізації / М. С. </w:t>
      </w:r>
      <w:r w:rsidRPr="00CB07DF">
        <w:rPr>
          <w:rFonts w:ascii="Times New Roman" w:hAnsi="Times New Roman" w:cs="Times New Roman"/>
          <w:sz w:val="21"/>
          <w:szCs w:val="21"/>
        </w:rPr>
        <w:t>Татаревська, О. О. Лосікова // Dynamika naukowych badań – 2013 : materialy IX Międzynarodowej naukowi-praktycznej konferencji (07-15 lipca 201</w:t>
      </w:r>
      <w:r>
        <w:rPr>
          <w:rFonts w:ascii="Times New Roman" w:hAnsi="Times New Roman" w:cs="Times New Roman"/>
          <w:sz w:val="21"/>
          <w:szCs w:val="21"/>
        </w:rPr>
        <w:t xml:space="preserve">3 roku). – 2013. – Vol. 2. – S. </w:t>
      </w:r>
      <w:r w:rsidRPr="00CB07DF">
        <w:rPr>
          <w:rFonts w:ascii="Times New Roman" w:hAnsi="Times New Roman" w:cs="Times New Roman"/>
          <w:sz w:val="21"/>
          <w:szCs w:val="21"/>
        </w:rPr>
        <w:t>27</w:t>
      </w:r>
      <w:r>
        <w:rPr>
          <w:rFonts w:ascii="Times New Roman" w:hAnsi="Times New Roman" w:cs="Times New Roman"/>
          <w:sz w:val="21"/>
          <w:szCs w:val="21"/>
        </w:rPr>
        <w:t>–</w:t>
      </w:r>
      <w:r w:rsidRPr="00CB07DF">
        <w:rPr>
          <w:rFonts w:ascii="Times New Roman" w:hAnsi="Times New Roman" w:cs="Times New Roman"/>
          <w:sz w:val="21"/>
          <w:szCs w:val="21"/>
        </w:rPr>
        <w:t>32.</w:t>
      </w:r>
      <w:bookmarkEnd w:id="482"/>
    </w:p>
    <w:p w:rsidR="00B233DE" w:rsidRPr="000D0858"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83" w:name="_Ref435620532"/>
      <w:r w:rsidRPr="000D0858">
        <w:rPr>
          <w:rFonts w:ascii="Times New Roman" w:hAnsi="Times New Roman" w:cs="Times New Roman"/>
          <w:sz w:val="21"/>
          <w:szCs w:val="21"/>
        </w:rPr>
        <w:lastRenderedPageBreak/>
        <w:t>Теория и методика социальной работы : в 2 ч. Ч. 2 / под. ред. П. Д. Павленка. – М. : 1995. – С. 93–99.</w:t>
      </w:r>
      <w:bookmarkEnd w:id="483"/>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84" w:name="_Ref435621017"/>
      <w:r w:rsidRPr="00954FE8">
        <w:rPr>
          <w:rFonts w:ascii="Times New Roman" w:hAnsi="Times New Roman" w:cs="Times New Roman"/>
          <w:sz w:val="21"/>
          <w:szCs w:val="21"/>
        </w:rPr>
        <w:t>Теоса В. Практические социальные политики в сфере труда Республики Молдова в условиях глобализации (политологический анализ) : дис. доктора политических наук. 23.00.01 / В. Теоса / Государственный Университет Молдовы. – Кишинэу, 2007. – 380 с.</w:t>
      </w:r>
      <w:bookmarkEnd w:id="484"/>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85" w:name="_Ref435620069"/>
      <w:r w:rsidRPr="00954FE8">
        <w:rPr>
          <w:rFonts w:ascii="Times New Roman" w:hAnsi="Times New Roman" w:cs="Times New Roman"/>
          <w:sz w:val="21"/>
          <w:szCs w:val="21"/>
        </w:rPr>
        <w:t>Тетерский С. В. Введение в социальную работу / С. Тетерський. – М. : Академический проспект, 2000. – 496 с.</w:t>
      </w:r>
      <w:bookmarkEnd w:id="485"/>
    </w:p>
    <w:p w:rsidR="00B233DE" w:rsidRPr="00CB07DF"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86" w:name="_Ref435618904"/>
      <w:r>
        <w:rPr>
          <w:rFonts w:ascii="Times New Roman" w:hAnsi="Times New Roman" w:cs="Times New Roman"/>
          <w:sz w:val="21"/>
          <w:szCs w:val="21"/>
        </w:rPr>
        <w:t xml:space="preserve">Тимчук М. Ф. Регіональна економіка : конспект лекцій / М. Ф. Тимчук. – К. </w:t>
      </w:r>
      <w:r w:rsidRPr="00CB07DF">
        <w:rPr>
          <w:rFonts w:ascii="Times New Roman" w:hAnsi="Times New Roman" w:cs="Times New Roman"/>
          <w:sz w:val="21"/>
          <w:szCs w:val="21"/>
        </w:rPr>
        <w:t xml:space="preserve">: ІММБ, 1998. </w:t>
      </w:r>
      <w:r>
        <w:rPr>
          <w:rFonts w:ascii="Times New Roman" w:hAnsi="Times New Roman" w:cs="Times New Roman"/>
          <w:sz w:val="21"/>
          <w:szCs w:val="21"/>
        </w:rPr>
        <w:t>– 128 с.</w:t>
      </w:r>
      <w:bookmarkEnd w:id="486"/>
    </w:p>
    <w:p w:rsidR="00B233DE" w:rsidRPr="00E97553"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87" w:name="_Ref435619752"/>
      <w:r w:rsidRPr="006E771B">
        <w:rPr>
          <w:rFonts w:ascii="Times New Roman" w:hAnsi="Times New Roman" w:cs="Times New Roman"/>
          <w:sz w:val="21"/>
          <w:szCs w:val="21"/>
        </w:rPr>
        <w:t>Тихонова Н.</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Е. Социальный капитал как фактор неравенства </w:t>
      </w:r>
      <w:r>
        <w:rPr>
          <w:rFonts w:ascii="Times New Roman" w:hAnsi="Times New Roman" w:cs="Times New Roman"/>
          <w:sz w:val="21"/>
          <w:szCs w:val="21"/>
          <w:lang w:val="ru-RU"/>
        </w:rPr>
        <w:t xml:space="preserve">/ Н. Е. Тихонова </w:t>
      </w:r>
      <w:r w:rsidRPr="006E771B">
        <w:rPr>
          <w:rFonts w:ascii="Times New Roman" w:hAnsi="Times New Roman" w:cs="Times New Roman"/>
          <w:sz w:val="21"/>
          <w:szCs w:val="21"/>
        </w:rPr>
        <w:t xml:space="preserve">// Общественные науки и современность. </w:t>
      </w:r>
      <w:r>
        <w:rPr>
          <w:rFonts w:ascii="Times New Roman" w:hAnsi="Times New Roman" w:cs="Times New Roman"/>
          <w:sz w:val="21"/>
          <w:szCs w:val="21"/>
        </w:rPr>
        <w:t>–</w:t>
      </w:r>
      <w:r w:rsidRPr="006E771B">
        <w:rPr>
          <w:rFonts w:ascii="Times New Roman" w:hAnsi="Times New Roman" w:cs="Times New Roman"/>
          <w:sz w:val="21"/>
          <w:szCs w:val="21"/>
        </w:rPr>
        <w:t xml:space="preserve"> 2004. </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 </w:t>
      </w:r>
      <w:r>
        <w:rPr>
          <w:rFonts w:ascii="Times New Roman" w:hAnsi="Times New Roman" w:cs="Times New Roman"/>
          <w:sz w:val="21"/>
          <w:szCs w:val="21"/>
        </w:rPr>
        <w:t xml:space="preserve">4. </w:t>
      </w:r>
      <w:r>
        <w:rPr>
          <w:rFonts w:ascii="Times New Roman" w:hAnsi="Times New Roman" w:cs="Times New Roman"/>
          <w:sz w:val="21"/>
          <w:szCs w:val="21"/>
          <w:lang w:val="ru-RU"/>
        </w:rPr>
        <w:t>–</w:t>
      </w:r>
      <w:r w:rsidRPr="006E771B">
        <w:rPr>
          <w:rFonts w:ascii="Times New Roman" w:hAnsi="Times New Roman" w:cs="Times New Roman"/>
          <w:sz w:val="21"/>
          <w:szCs w:val="21"/>
        </w:rPr>
        <w:t xml:space="preserve"> С. 24</w:t>
      </w:r>
      <w:r>
        <w:rPr>
          <w:rFonts w:ascii="Times New Roman" w:hAnsi="Times New Roman" w:cs="Times New Roman"/>
          <w:sz w:val="21"/>
          <w:szCs w:val="21"/>
        </w:rPr>
        <w:t>–</w:t>
      </w:r>
      <w:r w:rsidRPr="006E771B">
        <w:rPr>
          <w:rFonts w:ascii="Times New Roman" w:hAnsi="Times New Roman" w:cs="Times New Roman"/>
          <w:sz w:val="21"/>
          <w:szCs w:val="21"/>
        </w:rPr>
        <w:t>35.</w:t>
      </w:r>
      <w:bookmarkEnd w:id="487"/>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88" w:name="_Ref435620689"/>
      <w:r w:rsidRPr="00954FE8">
        <w:rPr>
          <w:rFonts w:ascii="Times New Roman" w:hAnsi="Times New Roman" w:cs="Times New Roman"/>
          <w:sz w:val="21"/>
          <w:szCs w:val="21"/>
        </w:rPr>
        <w:t>Токовенко В. В. Політичне представництво і державне управління : проблеми взаємовідносин та оптимізації взаємодії : монографія / В. В. Токовенко. – К. : УАДУ, 2001. – 253 с.</w:t>
      </w:r>
      <w:bookmarkEnd w:id="488"/>
    </w:p>
    <w:p w:rsidR="00B233DE" w:rsidRPr="00E97553"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89" w:name="_Ref435619732"/>
      <w:r w:rsidRPr="006E771B">
        <w:rPr>
          <w:rFonts w:ascii="Times New Roman" w:hAnsi="Times New Roman" w:cs="Times New Roman"/>
          <w:sz w:val="21"/>
          <w:szCs w:val="21"/>
        </w:rPr>
        <w:t>Тюрин Г. Корпорации, социальный капитал и модернизация страны [</w:t>
      </w:r>
      <w:r>
        <w:rPr>
          <w:rFonts w:ascii="Times New Roman" w:hAnsi="Times New Roman" w:cs="Times New Roman"/>
          <w:sz w:val="21"/>
          <w:szCs w:val="21"/>
          <w:lang w:val="ru-RU"/>
        </w:rPr>
        <w:t>Е</w:t>
      </w:r>
      <w:r w:rsidRPr="006E771B">
        <w:rPr>
          <w:rFonts w:ascii="Times New Roman" w:hAnsi="Times New Roman" w:cs="Times New Roman"/>
          <w:sz w:val="21"/>
          <w:szCs w:val="21"/>
        </w:rPr>
        <w:t>лектронн</w:t>
      </w:r>
      <w:r>
        <w:rPr>
          <w:rFonts w:ascii="Times New Roman" w:hAnsi="Times New Roman" w:cs="Times New Roman"/>
          <w:sz w:val="21"/>
          <w:szCs w:val="21"/>
          <w:lang w:val="ru-RU"/>
        </w:rPr>
        <w:t>и</w:t>
      </w:r>
      <w:r w:rsidRPr="006E771B">
        <w:rPr>
          <w:rFonts w:ascii="Times New Roman" w:hAnsi="Times New Roman" w:cs="Times New Roman"/>
          <w:sz w:val="21"/>
          <w:szCs w:val="21"/>
        </w:rPr>
        <w:t xml:space="preserve">й ресурс] </w:t>
      </w:r>
      <w:r>
        <w:rPr>
          <w:rFonts w:ascii="Times New Roman" w:hAnsi="Times New Roman" w:cs="Times New Roman"/>
          <w:sz w:val="21"/>
          <w:szCs w:val="21"/>
          <w:lang w:val="ru-RU"/>
        </w:rPr>
        <w:t xml:space="preserve">/ Г. Тюрин </w:t>
      </w:r>
      <w:r w:rsidRPr="006E771B">
        <w:rPr>
          <w:rFonts w:ascii="Times New Roman" w:hAnsi="Times New Roman" w:cs="Times New Roman"/>
          <w:sz w:val="21"/>
          <w:szCs w:val="21"/>
        </w:rPr>
        <w:t xml:space="preserve">// «Неприкосновенный запас». </w:t>
      </w:r>
      <w:r>
        <w:rPr>
          <w:rFonts w:ascii="Times New Roman" w:hAnsi="Times New Roman" w:cs="Times New Roman"/>
          <w:sz w:val="21"/>
          <w:szCs w:val="21"/>
        </w:rPr>
        <w:t>–</w:t>
      </w:r>
      <w:r w:rsidRPr="006E771B">
        <w:rPr>
          <w:rFonts w:ascii="Times New Roman" w:hAnsi="Times New Roman" w:cs="Times New Roman"/>
          <w:sz w:val="21"/>
          <w:szCs w:val="21"/>
        </w:rPr>
        <w:t xml:space="preserve"> 2006. </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4</w:t>
      </w:r>
      <w:r>
        <w:rPr>
          <w:rFonts w:ascii="Times New Roman" w:hAnsi="Times New Roman" w:cs="Times New Roman"/>
          <w:sz w:val="21"/>
          <w:szCs w:val="21"/>
        </w:rPr>
        <w:t>–</w:t>
      </w:r>
      <w:r w:rsidRPr="006E771B">
        <w:rPr>
          <w:rFonts w:ascii="Times New Roman" w:hAnsi="Times New Roman" w:cs="Times New Roman"/>
          <w:sz w:val="21"/>
          <w:szCs w:val="21"/>
        </w:rPr>
        <w:t>5</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(48</w:t>
      </w:r>
      <w:r>
        <w:rPr>
          <w:rFonts w:ascii="Times New Roman" w:hAnsi="Times New Roman" w:cs="Times New Roman"/>
          <w:sz w:val="21"/>
          <w:szCs w:val="21"/>
        </w:rPr>
        <w:t>–</w:t>
      </w:r>
      <w:r w:rsidRPr="006E771B">
        <w:rPr>
          <w:rFonts w:ascii="Times New Roman" w:hAnsi="Times New Roman" w:cs="Times New Roman"/>
          <w:sz w:val="21"/>
          <w:szCs w:val="21"/>
        </w:rPr>
        <w:t xml:space="preserve">49). </w:t>
      </w:r>
      <w:r>
        <w:rPr>
          <w:rFonts w:ascii="Times New Roman" w:hAnsi="Times New Roman" w:cs="Times New Roman"/>
          <w:sz w:val="21"/>
          <w:szCs w:val="21"/>
        </w:rPr>
        <w:t>–</w:t>
      </w:r>
      <w:r w:rsidRPr="006E771B">
        <w:rPr>
          <w:rFonts w:ascii="Times New Roman" w:hAnsi="Times New Roman" w:cs="Times New Roman"/>
          <w:sz w:val="21"/>
          <w:szCs w:val="21"/>
        </w:rPr>
        <w:t xml:space="preserve"> </w:t>
      </w:r>
      <w:r>
        <w:rPr>
          <w:rFonts w:ascii="Times New Roman" w:hAnsi="Times New Roman" w:cs="Times New Roman"/>
          <w:sz w:val="21"/>
          <w:szCs w:val="21"/>
          <w:lang w:val="ru-RU"/>
        </w:rPr>
        <w:t xml:space="preserve">Режим доступу </w:t>
      </w:r>
      <w:r w:rsidRPr="00EF03AF">
        <w:rPr>
          <w:rFonts w:ascii="Times New Roman" w:hAnsi="Times New Roman" w:cs="Times New Roman"/>
          <w:sz w:val="21"/>
          <w:szCs w:val="21"/>
          <w:lang w:val="ru-RU"/>
        </w:rPr>
        <w:t xml:space="preserve">: </w:t>
      </w:r>
      <w:hyperlink r:id="rId125" w:history="1">
        <w:r w:rsidRPr="00EF03AF">
          <w:rPr>
            <w:rStyle w:val="aff"/>
            <w:rFonts w:ascii="Times New Roman" w:hAnsi="Times New Roman" w:cs="Times New Roman"/>
            <w:color w:val="auto"/>
            <w:sz w:val="21"/>
            <w:szCs w:val="21"/>
            <w:u w:val="none"/>
          </w:rPr>
          <w:t>http://rnagazines.russ.ru/nz/2006/48/tul9.html</w:t>
        </w:r>
      </w:hyperlink>
      <w:r w:rsidRPr="00EF03AF">
        <w:rPr>
          <w:rFonts w:ascii="Times New Roman" w:hAnsi="Times New Roman" w:cs="Times New Roman"/>
          <w:sz w:val="21"/>
          <w:szCs w:val="21"/>
        </w:rPr>
        <w:t>.</w:t>
      </w:r>
      <w:bookmarkEnd w:id="489"/>
    </w:p>
    <w:p w:rsidR="00B233DE" w:rsidRPr="00E97553"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90" w:name="_Ref435619542"/>
      <w:r w:rsidRPr="006E771B">
        <w:rPr>
          <w:rFonts w:ascii="Times New Roman" w:hAnsi="Times New Roman" w:cs="Times New Roman"/>
          <w:sz w:val="21"/>
          <w:szCs w:val="21"/>
        </w:rPr>
        <w:t>Тяжов А.</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И. Индивидуальный</w:t>
      </w:r>
      <w:r>
        <w:rPr>
          <w:rFonts w:ascii="Times New Roman" w:hAnsi="Times New Roman" w:cs="Times New Roman"/>
          <w:sz w:val="21"/>
          <w:szCs w:val="21"/>
        </w:rPr>
        <w:t xml:space="preserve"> трудовой потенциал и политико-</w:t>
      </w:r>
      <w:r w:rsidRPr="006E771B">
        <w:rPr>
          <w:rFonts w:ascii="Times New Roman" w:hAnsi="Times New Roman" w:cs="Times New Roman"/>
          <w:sz w:val="21"/>
          <w:szCs w:val="21"/>
        </w:rPr>
        <w:t>экономическая концепция человеческих сп</w:t>
      </w:r>
      <w:r>
        <w:rPr>
          <w:rFonts w:ascii="Times New Roman" w:hAnsi="Times New Roman" w:cs="Times New Roman"/>
          <w:sz w:val="21"/>
          <w:szCs w:val="21"/>
        </w:rPr>
        <w:t>особностей</w:t>
      </w:r>
      <w:r>
        <w:rPr>
          <w:rFonts w:ascii="Times New Roman" w:hAnsi="Times New Roman" w:cs="Times New Roman"/>
          <w:sz w:val="21"/>
          <w:szCs w:val="21"/>
          <w:lang w:val="ru-RU"/>
        </w:rPr>
        <w:t xml:space="preserve"> / А. И. Тяжов.</w:t>
      </w:r>
      <w:r w:rsidRPr="006E771B">
        <w:rPr>
          <w:rFonts w:ascii="Times New Roman" w:hAnsi="Times New Roman" w:cs="Times New Roman"/>
          <w:sz w:val="21"/>
          <w:szCs w:val="21"/>
        </w:rPr>
        <w:t xml:space="preserve"> </w:t>
      </w:r>
      <w:r>
        <w:rPr>
          <w:rFonts w:ascii="Times New Roman" w:hAnsi="Times New Roman" w:cs="Times New Roman"/>
          <w:sz w:val="21"/>
          <w:szCs w:val="21"/>
        </w:rPr>
        <w:t>–</w:t>
      </w:r>
      <w:r w:rsidRPr="006E771B">
        <w:rPr>
          <w:rFonts w:ascii="Times New Roman" w:hAnsi="Times New Roman" w:cs="Times New Roman"/>
          <w:sz w:val="21"/>
          <w:szCs w:val="21"/>
        </w:rPr>
        <w:t xml:space="preserve"> Кострома</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 Изд-во КГПУ им. </w:t>
      </w:r>
      <w:r w:rsidRPr="006E771B">
        <w:rPr>
          <w:rFonts w:ascii="Times New Roman" w:hAnsi="Times New Roman" w:cs="Times New Roman"/>
          <w:sz w:val="21"/>
          <w:szCs w:val="21"/>
          <w:lang w:val="en-US"/>
        </w:rPr>
        <w:t>H</w:t>
      </w:r>
      <w:r w:rsidRPr="006E771B">
        <w:rPr>
          <w:rFonts w:ascii="Times New Roman" w:hAnsi="Times New Roman" w:cs="Times New Roman"/>
          <w:sz w:val="21"/>
          <w:szCs w:val="21"/>
        </w:rPr>
        <w:t>.</w:t>
      </w:r>
      <w:r w:rsidRPr="006E771B">
        <w:rPr>
          <w:rFonts w:ascii="Times New Roman" w:hAnsi="Times New Roman" w:cs="Times New Roman"/>
          <w:sz w:val="21"/>
          <w:szCs w:val="21"/>
          <w:lang w:val="en-US"/>
        </w:rPr>
        <w:t>A</w:t>
      </w:r>
      <w:r w:rsidRPr="006E771B">
        <w:rPr>
          <w:rFonts w:ascii="Times New Roman" w:hAnsi="Times New Roman" w:cs="Times New Roman"/>
          <w:sz w:val="21"/>
          <w:szCs w:val="21"/>
        </w:rPr>
        <w:t xml:space="preserve">. Некрасова, 1999. </w:t>
      </w:r>
      <w:r>
        <w:rPr>
          <w:rFonts w:ascii="Times New Roman" w:hAnsi="Times New Roman" w:cs="Times New Roman"/>
          <w:sz w:val="21"/>
          <w:szCs w:val="21"/>
        </w:rPr>
        <w:t>–</w:t>
      </w:r>
      <w:r w:rsidRPr="006E771B">
        <w:rPr>
          <w:rFonts w:ascii="Times New Roman" w:hAnsi="Times New Roman" w:cs="Times New Roman"/>
          <w:sz w:val="21"/>
          <w:szCs w:val="21"/>
        </w:rPr>
        <w:t xml:space="preserve"> 320 с.</w:t>
      </w:r>
      <w:bookmarkEnd w:id="490"/>
    </w:p>
    <w:p w:rsidR="00B233DE" w:rsidRPr="00E97553"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91" w:name="_Ref435619675"/>
      <w:r w:rsidRPr="006E771B">
        <w:rPr>
          <w:rFonts w:ascii="Times New Roman" w:hAnsi="Times New Roman" w:cs="Times New Roman"/>
          <w:sz w:val="21"/>
          <w:szCs w:val="21"/>
        </w:rPr>
        <w:t>Тяжов А.</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И. Индивидуальны</w:t>
      </w:r>
      <w:r>
        <w:rPr>
          <w:rFonts w:ascii="Times New Roman" w:hAnsi="Times New Roman" w:cs="Times New Roman"/>
          <w:sz w:val="21"/>
          <w:szCs w:val="21"/>
        </w:rPr>
        <w:t>й трудовой потенциал (политико-экономическое исследование)</w:t>
      </w:r>
      <w:r>
        <w:rPr>
          <w:rFonts w:ascii="Times New Roman" w:hAnsi="Times New Roman" w:cs="Times New Roman"/>
          <w:sz w:val="21"/>
          <w:szCs w:val="21"/>
          <w:lang w:val="ru-RU"/>
        </w:rPr>
        <w:t xml:space="preserve"> :</w:t>
      </w:r>
      <w:r>
        <w:rPr>
          <w:rFonts w:ascii="Times New Roman" w:hAnsi="Times New Roman" w:cs="Times New Roman"/>
          <w:sz w:val="21"/>
          <w:szCs w:val="21"/>
        </w:rPr>
        <w:t xml:space="preserve"> </w:t>
      </w:r>
      <w:r>
        <w:rPr>
          <w:rFonts w:ascii="Times New Roman" w:hAnsi="Times New Roman" w:cs="Times New Roman"/>
          <w:sz w:val="21"/>
          <w:szCs w:val="21"/>
          <w:lang w:val="ru-RU"/>
        </w:rPr>
        <w:t>д</w:t>
      </w:r>
      <w:r w:rsidRPr="006E771B">
        <w:rPr>
          <w:rFonts w:ascii="Times New Roman" w:hAnsi="Times New Roman" w:cs="Times New Roman"/>
          <w:sz w:val="21"/>
          <w:szCs w:val="21"/>
        </w:rPr>
        <w:t>ис. н</w:t>
      </w:r>
      <w:r>
        <w:rPr>
          <w:rFonts w:ascii="Times New Roman" w:hAnsi="Times New Roman" w:cs="Times New Roman"/>
          <w:sz w:val="21"/>
          <w:szCs w:val="21"/>
        </w:rPr>
        <w:t xml:space="preserve">а соиск. уч. степени докт. </w:t>
      </w:r>
      <w:r>
        <w:rPr>
          <w:rFonts w:ascii="Times New Roman" w:hAnsi="Times New Roman" w:cs="Times New Roman"/>
          <w:sz w:val="21"/>
          <w:szCs w:val="21"/>
          <w:lang w:val="ru-RU"/>
        </w:rPr>
        <w:t>э</w:t>
      </w:r>
      <w:r>
        <w:rPr>
          <w:rFonts w:ascii="Times New Roman" w:hAnsi="Times New Roman" w:cs="Times New Roman"/>
          <w:sz w:val="21"/>
          <w:szCs w:val="21"/>
        </w:rPr>
        <w:t>кон</w:t>
      </w:r>
      <w:r>
        <w:rPr>
          <w:rFonts w:ascii="Times New Roman" w:hAnsi="Times New Roman" w:cs="Times New Roman"/>
          <w:sz w:val="21"/>
          <w:szCs w:val="21"/>
          <w:lang w:val="ru-RU"/>
        </w:rPr>
        <w:t>.</w:t>
      </w:r>
      <w:r w:rsidRPr="006E771B">
        <w:rPr>
          <w:rFonts w:ascii="Times New Roman" w:hAnsi="Times New Roman" w:cs="Times New Roman"/>
          <w:sz w:val="21"/>
          <w:szCs w:val="21"/>
        </w:rPr>
        <w:t xml:space="preserve"> наук. </w:t>
      </w:r>
      <w:r>
        <w:rPr>
          <w:rFonts w:ascii="Times New Roman" w:hAnsi="Times New Roman" w:cs="Times New Roman"/>
          <w:sz w:val="21"/>
          <w:szCs w:val="21"/>
          <w:lang w:val="ru-RU"/>
        </w:rPr>
        <w:t xml:space="preserve">/ А. И. Тяжов. – </w:t>
      </w:r>
      <w:r w:rsidRPr="006E771B">
        <w:rPr>
          <w:rFonts w:ascii="Times New Roman" w:hAnsi="Times New Roman" w:cs="Times New Roman"/>
          <w:sz w:val="21"/>
          <w:szCs w:val="21"/>
        </w:rPr>
        <w:t>К</w:t>
      </w:r>
      <w:r>
        <w:rPr>
          <w:rFonts w:ascii="Times New Roman" w:hAnsi="Times New Roman" w:cs="Times New Roman"/>
          <w:sz w:val="21"/>
          <w:szCs w:val="21"/>
        </w:rPr>
        <w:t>острома</w:t>
      </w:r>
      <w:r>
        <w:rPr>
          <w:rFonts w:ascii="Times New Roman" w:hAnsi="Times New Roman" w:cs="Times New Roman"/>
          <w:sz w:val="21"/>
          <w:szCs w:val="21"/>
          <w:lang w:val="ru-RU"/>
        </w:rPr>
        <w:t>,</w:t>
      </w:r>
      <w:r w:rsidRPr="006E771B">
        <w:rPr>
          <w:rFonts w:ascii="Times New Roman" w:hAnsi="Times New Roman" w:cs="Times New Roman"/>
          <w:sz w:val="21"/>
          <w:szCs w:val="21"/>
        </w:rPr>
        <w:t xml:space="preserve"> 2000. </w:t>
      </w:r>
      <w:r>
        <w:rPr>
          <w:rFonts w:ascii="Times New Roman" w:hAnsi="Times New Roman" w:cs="Times New Roman"/>
          <w:sz w:val="21"/>
          <w:szCs w:val="21"/>
        </w:rPr>
        <w:t>–</w:t>
      </w:r>
      <w:r w:rsidRPr="006E771B">
        <w:rPr>
          <w:rFonts w:ascii="Times New Roman" w:hAnsi="Times New Roman" w:cs="Times New Roman"/>
          <w:sz w:val="21"/>
          <w:szCs w:val="21"/>
        </w:rPr>
        <w:t xml:space="preserve"> 345 с.</w:t>
      </w:r>
      <w:bookmarkEnd w:id="491"/>
    </w:p>
    <w:p w:rsidR="00B233DE" w:rsidRPr="00E97553"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92" w:name="_Ref435619656"/>
      <w:r w:rsidRPr="006E771B">
        <w:rPr>
          <w:rFonts w:ascii="Times New Roman" w:hAnsi="Times New Roman" w:cs="Times New Roman"/>
          <w:sz w:val="21"/>
          <w:szCs w:val="21"/>
        </w:rPr>
        <w:t>Тяжов А.</w:t>
      </w:r>
      <w:r>
        <w:rPr>
          <w:rFonts w:ascii="Times New Roman" w:hAnsi="Times New Roman" w:cs="Times New Roman"/>
          <w:sz w:val="21"/>
          <w:szCs w:val="21"/>
          <w:lang w:val="ru-RU"/>
        </w:rPr>
        <w:t xml:space="preserve"> </w:t>
      </w:r>
      <w:r>
        <w:rPr>
          <w:rFonts w:ascii="Times New Roman" w:hAnsi="Times New Roman" w:cs="Times New Roman"/>
          <w:sz w:val="21"/>
          <w:szCs w:val="21"/>
        </w:rPr>
        <w:t>И.</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Капитал в трансформирующемся экономическом пространстве / </w:t>
      </w:r>
      <w:r>
        <w:rPr>
          <w:rFonts w:ascii="Times New Roman" w:hAnsi="Times New Roman" w:cs="Times New Roman"/>
          <w:sz w:val="21"/>
          <w:szCs w:val="21"/>
          <w:lang w:val="ru-RU"/>
        </w:rPr>
        <w:t xml:space="preserve">А. И. Тяжов, В. В. Михайлов, Е. В. Харитонов ; </w:t>
      </w:r>
      <w:r w:rsidRPr="006E771B">
        <w:rPr>
          <w:rFonts w:ascii="Times New Roman" w:hAnsi="Times New Roman" w:cs="Times New Roman"/>
          <w:sz w:val="21"/>
          <w:szCs w:val="21"/>
        </w:rPr>
        <w:t>под общей ред. д.э.н. профессора А.</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И. Тяжова. </w:t>
      </w:r>
      <w:r>
        <w:rPr>
          <w:rFonts w:ascii="Times New Roman" w:hAnsi="Times New Roman" w:cs="Times New Roman"/>
          <w:sz w:val="21"/>
          <w:szCs w:val="21"/>
        </w:rPr>
        <w:t>–</w:t>
      </w:r>
      <w:r w:rsidRPr="006E771B">
        <w:rPr>
          <w:rFonts w:ascii="Times New Roman" w:hAnsi="Times New Roman" w:cs="Times New Roman"/>
          <w:sz w:val="21"/>
          <w:szCs w:val="21"/>
        </w:rPr>
        <w:t xml:space="preserve"> Кострома</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 КГТУ, 2006. </w:t>
      </w:r>
      <w:r>
        <w:rPr>
          <w:rFonts w:ascii="Times New Roman" w:hAnsi="Times New Roman" w:cs="Times New Roman"/>
          <w:sz w:val="21"/>
          <w:szCs w:val="21"/>
        </w:rPr>
        <w:t>–</w:t>
      </w:r>
      <w:r w:rsidRPr="006E771B">
        <w:rPr>
          <w:rFonts w:ascii="Times New Roman" w:hAnsi="Times New Roman" w:cs="Times New Roman"/>
          <w:sz w:val="21"/>
          <w:szCs w:val="21"/>
        </w:rPr>
        <w:t xml:space="preserve"> 124 с.</w:t>
      </w:r>
      <w:bookmarkEnd w:id="492"/>
    </w:p>
    <w:p w:rsidR="00B233DE" w:rsidRPr="00CB07DF"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93" w:name="_Ref435618643"/>
      <w:r w:rsidRPr="00CB07DF">
        <w:rPr>
          <w:rFonts w:ascii="Times New Roman" w:hAnsi="Times New Roman" w:cs="Times New Roman"/>
          <w:sz w:val="21"/>
          <w:szCs w:val="21"/>
        </w:rPr>
        <w:t>Управління трудовим потенціалом</w:t>
      </w:r>
      <w:r>
        <w:rPr>
          <w:rFonts w:ascii="Times New Roman" w:hAnsi="Times New Roman" w:cs="Times New Roman"/>
          <w:sz w:val="21"/>
          <w:szCs w:val="21"/>
        </w:rPr>
        <w:t xml:space="preserve"> : навч. посіб.</w:t>
      </w:r>
      <w:r w:rsidRPr="00CB07DF">
        <w:rPr>
          <w:rFonts w:ascii="Times New Roman" w:hAnsi="Times New Roman" w:cs="Times New Roman"/>
          <w:sz w:val="21"/>
          <w:szCs w:val="21"/>
        </w:rPr>
        <w:t xml:space="preserve"> / </w:t>
      </w:r>
      <w:r>
        <w:rPr>
          <w:rFonts w:ascii="Times New Roman" w:hAnsi="Times New Roman" w:cs="Times New Roman"/>
          <w:sz w:val="21"/>
          <w:szCs w:val="21"/>
        </w:rPr>
        <w:t>В. С. Васильченко</w:t>
      </w:r>
      <w:r w:rsidRPr="00CB07DF">
        <w:rPr>
          <w:rFonts w:ascii="Times New Roman" w:hAnsi="Times New Roman" w:cs="Times New Roman"/>
          <w:sz w:val="21"/>
          <w:szCs w:val="21"/>
        </w:rPr>
        <w:t xml:space="preserve">, </w:t>
      </w:r>
      <w:r>
        <w:rPr>
          <w:rFonts w:ascii="Times New Roman" w:hAnsi="Times New Roman" w:cs="Times New Roman"/>
          <w:sz w:val="21"/>
          <w:szCs w:val="21"/>
        </w:rPr>
        <w:t>А. М. Гриненко</w:t>
      </w:r>
      <w:r w:rsidRPr="00CB07DF">
        <w:rPr>
          <w:rFonts w:ascii="Times New Roman" w:hAnsi="Times New Roman" w:cs="Times New Roman"/>
          <w:sz w:val="21"/>
          <w:szCs w:val="21"/>
        </w:rPr>
        <w:t xml:space="preserve">, </w:t>
      </w:r>
      <w:r>
        <w:rPr>
          <w:rFonts w:ascii="Times New Roman" w:hAnsi="Times New Roman" w:cs="Times New Roman"/>
          <w:sz w:val="21"/>
          <w:szCs w:val="21"/>
        </w:rPr>
        <w:t>О. А. Грішнова</w:t>
      </w:r>
      <w:r w:rsidRPr="00CB07DF">
        <w:rPr>
          <w:rFonts w:ascii="Times New Roman" w:hAnsi="Times New Roman" w:cs="Times New Roman"/>
          <w:sz w:val="21"/>
          <w:szCs w:val="21"/>
        </w:rPr>
        <w:t xml:space="preserve">, </w:t>
      </w:r>
      <w:r>
        <w:rPr>
          <w:rFonts w:ascii="Times New Roman" w:hAnsi="Times New Roman" w:cs="Times New Roman"/>
          <w:sz w:val="21"/>
          <w:szCs w:val="21"/>
        </w:rPr>
        <w:t>Л. П. Керб</w:t>
      </w:r>
      <w:r w:rsidRPr="00CB07DF">
        <w:rPr>
          <w:rFonts w:ascii="Times New Roman" w:hAnsi="Times New Roman" w:cs="Times New Roman"/>
          <w:sz w:val="21"/>
          <w:szCs w:val="21"/>
        </w:rPr>
        <w:t>. –</w:t>
      </w:r>
      <w:r>
        <w:rPr>
          <w:rFonts w:ascii="Times New Roman" w:hAnsi="Times New Roman" w:cs="Times New Roman"/>
          <w:sz w:val="21"/>
          <w:szCs w:val="21"/>
        </w:rPr>
        <w:t xml:space="preserve"> К. : КНЕУ, 2005. – 403 </w:t>
      </w:r>
      <w:r w:rsidRPr="00CB07DF">
        <w:rPr>
          <w:rFonts w:ascii="Times New Roman" w:hAnsi="Times New Roman" w:cs="Times New Roman"/>
          <w:sz w:val="21"/>
          <w:szCs w:val="21"/>
        </w:rPr>
        <w:t>с.</w:t>
      </w:r>
      <w:bookmarkEnd w:id="493"/>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94" w:name="_Ref435618775"/>
      <w:r w:rsidRPr="00CB07DF">
        <w:rPr>
          <w:rFonts w:ascii="Times New Roman" w:hAnsi="Times New Roman" w:cs="Times New Roman"/>
          <w:sz w:val="21"/>
          <w:szCs w:val="21"/>
        </w:rPr>
        <w:t>Управлі</w:t>
      </w:r>
      <w:r>
        <w:rPr>
          <w:rFonts w:ascii="Times New Roman" w:hAnsi="Times New Roman" w:cs="Times New Roman"/>
          <w:sz w:val="21"/>
          <w:szCs w:val="21"/>
        </w:rPr>
        <w:t xml:space="preserve">нські аспекти соціальної роботи </w:t>
      </w:r>
      <w:r w:rsidRPr="00CB07DF">
        <w:rPr>
          <w:rFonts w:ascii="Times New Roman" w:hAnsi="Times New Roman" w:cs="Times New Roman"/>
          <w:sz w:val="21"/>
          <w:szCs w:val="21"/>
        </w:rPr>
        <w:t>: курс лекцій / М. Ф.</w:t>
      </w:r>
      <w:r>
        <w:rPr>
          <w:rFonts w:ascii="Times New Roman" w:hAnsi="Times New Roman" w:cs="Times New Roman"/>
          <w:sz w:val="21"/>
          <w:szCs w:val="21"/>
        </w:rPr>
        <w:t xml:space="preserve"> Головатий (кер. авт. кол.), М. П. Лукашевич, Г. А. Дмитренко та ін. – К. : МАУП, 2004. – 368 </w:t>
      </w:r>
      <w:r w:rsidRPr="00CB07DF">
        <w:rPr>
          <w:rFonts w:ascii="Times New Roman" w:hAnsi="Times New Roman" w:cs="Times New Roman"/>
          <w:sz w:val="21"/>
          <w:szCs w:val="21"/>
        </w:rPr>
        <w:t>с.</w:t>
      </w:r>
      <w:bookmarkEnd w:id="494"/>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95" w:name="_Ref435618879"/>
      <w:r>
        <w:rPr>
          <w:rFonts w:ascii="Times New Roman" w:hAnsi="Times New Roman" w:cs="Times New Roman"/>
          <w:sz w:val="21"/>
          <w:szCs w:val="21"/>
        </w:rPr>
        <w:lastRenderedPageBreak/>
        <w:t xml:space="preserve">Фахрутдинова Е. </w:t>
      </w:r>
      <w:r w:rsidRPr="00CB07DF">
        <w:rPr>
          <w:rFonts w:ascii="Times New Roman" w:hAnsi="Times New Roman" w:cs="Times New Roman"/>
          <w:sz w:val="21"/>
          <w:szCs w:val="21"/>
        </w:rPr>
        <w:t xml:space="preserve">В. Роль социальной сферы и социальной политики в обеспечении устойчивого социально-экономического развития страны // </w:t>
      </w:r>
      <w:r>
        <w:rPr>
          <w:rFonts w:ascii="Times New Roman" w:hAnsi="Times New Roman" w:cs="Times New Roman"/>
          <w:sz w:val="21"/>
          <w:szCs w:val="21"/>
        </w:rPr>
        <w:t xml:space="preserve">Экономические науки. – 2009. – № 8 (57). – С. </w:t>
      </w:r>
      <w:r w:rsidRPr="00CB07DF">
        <w:rPr>
          <w:rFonts w:ascii="Times New Roman" w:hAnsi="Times New Roman" w:cs="Times New Roman"/>
          <w:sz w:val="21"/>
          <w:szCs w:val="21"/>
        </w:rPr>
        <w:t>7</w:t>
      </w:r>
      <w:r>
        <w:rPr>
          <w:rFonts w:ascii="Times New Roman" w:hAnsi="Times New Roman" w:cs="Times New Roman"/>
          <w:sz w:val="21"/>
          <w:szCs w:val="21"/>
        </w:rPr>
        <w:t>–</w:t>
      </w:r>
      <w:r w:rsidRPr="00CB07DF">
        <w:rPr>
          <w:rFonts w:ascii="Times New Roman" w:hAnsi="Times New Roman" w:cs="Times New Roman"/>
          <w:sz w:val="21"/>
          <w:szCs w:val="21"/>
        </w:rPr>
        <w:t>11.</w:t>
      </w:r>
      <w:bookmarkEnd w:id="495"/>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96" w:name="_Ref435619937"/>
      <w:r w:rsidRPr="00954FE8">
        <w:rPr>
          <w:rFonts w:ascii="Times New Roman" w:hAnsi="Times New Roman" w:cs="Times New Roman"/>
          <w:sz w:val="21"/>
          <w:szCs w:val="21"/>
        </w:rPr>
        <w:t>Федералист. политические эссе Александра Гамильтона, Джеймса Мэдисона и Джона Грея. – М. : Прогресс ; Литера, 1993. – 590 с.</w:t>
      </w:r>
      <w:bookmarkEnd w:id="496"/>
    </w:p>
    <w:p w:rsidR="00B233DE" w:rsidRPr="00E97553"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97" w:name="_Ref435618610"/>
      <w:r>
        <w:rPr>
          <w:rFonts w:ascii="Times New Roman" w:hAnsi="Times New Roman" w:cs="Times New Roman"/>
          <w:sz w:val="21"/>
          <w:szCs w:val="21"/>
        </w:rPr>
        <w:t xml:space="preserve">Фединець Н. І. Соціологія ринку : навчальний посібник / Н. І. Фединець, Ю. Б. Миронов, М. Р. Гонська. – Львів </w:t>
      </w:r>
      <w:r w:rsidRPr="00CB07DF">
        <w:rPr>
          <w:rFonts w:ascii="Times New Roman" w:hAnsi="Times New Roman" w:cs="Times New Roman"/>
          <w:sz w:val="21"/>
          <w:szCs w:val="21"/>
        </w:rPr>
        <w:t xml:space="preserve">: </w:t>
      </w:r>
      <w:r>
        <w:rPr>
          <w:rFonts w:ascii="Times New Roman" w:hAnsi="Times New Roman" w:cs="Times New Roman"/>
          <w:sz w:val="21"/>
          <w:szCs w:val="21"/>
        </w:rPr>
        <w:t xml:space="preserve">ЛКА, 2011. – 226 </w:t>
      </w:r>
      <w:r w:rsidRPr="00CB07DF">
        <w:rPr>
          <w:rFonts w:ascii="Times New Roman" w:hAnsi="Times New Roman" w:cs="Times New Roman"/>
          <w:sz w:val="21"/>
          <w:szCs w:val="21"/>
        </w:rPr>
        <w:t>с.</w:t>
      </w:r>
      <w:bookmarkEnd w:id="497"/>
    </w:p>
    <w:p w:rsidR="00B233DE" w:rsidRPr="00E97553" w:rsidRDefault="00B233DE" w:rsidP="00B233DE">
      <w:pPr>
        <w:pStyle w:val="ad"/>
        <w:numPr>
          <w:ilvl w:val="0"/>
          <w:numId w:val="29"/>
        </w:numPr>
        <w:tabs>
          <w:tab w:val="left" w:pos="1134"/>
        </w:tabs>
        <w:ind w:left="0" w:firstLine="709"/>
        <w:jc w:val="both"/>
        <w:rPr>
          <w:rStyle w:val="aff"/>
          <w:rFonts w:ascii="Times New Roman" w:hAnsi="Times New Roman" w:cs="Times New Roman"/>
          <w:color w:val="auto"/>
          <w:sz w:val="21"/>
          <w:szCs w:val="21"/>
          <w:u w:val="none"/>
        </w:rPr>
      </w:pPr>
      <w:bookmarkStart w:id="498" w:name="_Ref435619725"/>
      <w:r w:rsidRPr="00E97553">
        <w:rPr>
          <w:rFonts w:ascii="Times New Roman" w:hAnsi="Times New Roman" w:cs="Times New Roman"/>
          <w:sz w:val="21"/>
          <w:szCs w:val="21"/>
        </w:rPr>
        <w:t>Фролова H.</w:t>
      </w:r>
      <w:r w:rsidRPr="00E97553">
        <w:rPr>
          <w:rFonts w:ascii="Times New Roman" w:hAnsi="Times New Roman" w:cs="Times New Roman"/>
          <w:sz w:val="21"/>
          <w:szCs w:val="21"/>
          <w:lang w:val="ru-RU"/>
        </w:rPr>
        <w:t xml:space="preserve"> </w:t>
      </w:r>
      <w:r w:rsidRPr="00E97553">
        <w:rPr>
          <w:rFonts w:ascii="Times New Roman" w:hAnsi="Times New Roman" w:cs="Times New Roman"/>
          <w:sz w:val="21"/>
          <w:szCs w:val="21"/>
        </w:rPr>
        <w:t>A. Социальный капитал как ресурс экономического развития общества [</w:t>
      </w:r>
      <w:r w:rsidRPr="00E97553">
        <w:rPr>
          <w:rFonts w:ascii="Times New Roman" w:hAnsi="Times New Roman" w:cs="Times New Roman"/>
          <w:sz w:val="21"/>
          <w:szCs w:val="21"/>
          <w:lang w:val="ru-RU"/>
        </w:rPr>
        <w:t>Е</w:t>
      </w:r>
      <w:r w:rsidRPr="00E97553">
        <w:rPr>
          <w:rFonts w:ascii="Times New Roman" w:hAnsi="Times New Roman" w:cs="Times New Roman"/>
          <w:sz w:val="21"/>
          <w:szCs w:val="21"/>
        </w:rPr>
        <w:t>лектронн</w:t>
      </w:r>
      <w:r w:rsidRPr="00E97553">
        <w:rPr>
          <w:rFonts w:ascii="Times New Roman" w:hAnsi="Times New Roman" w:cs="Times New Roman"/>
          <w:sz w:val="21"/>
          <w:szCs w:val="21"/>
          <w:lang w:val="ru-RU"/>
        </w:rPr>
        <w:t>и</w:t>
      </w:r>
      <w:r w:rsidRPr="00E97553">
        <w:rPr>
          <w:rFonts w:ascii="Times New Roman" w:hAnsi="Times New Roman" w:cs="Times New Roman"/>
          <w:sz w:val="21"/>
          <w:szCs w:val="21"/>
        </w:rPr>
        <w:t>й ресурс]</w:t>
      </w:r>
      <w:r w:rsidRPr="00E97553">
        <w:rPr>
          <w:rFonts w:ascii="Times New Roman" w:hAnsi="Times New Roman" w:cs="Times New Roman"/>
          <w:sz w:val="21"/>
          <w:szCs w:val="21"/>
          <w:lang w:val="ru-RU"/>
        </w:rPr>
        <w:t xml:space="preserve"> / Н. А. Фролова</w:t>
      </w:r>
      <w:r w:rsidRPr="00E97553">
        <w:rPr>
          <w:rFonts w:ascii="Times New Roman" w:hAnsi="Times New Roman" w:cs="Times New Roman"/>
          <w:sz w:val="21"/>
          <w:szCs w:val="21"/>
        </w:rPr>
        <w:t xml:space="preserve"> // Интеллектуальные силы человечества и гармония мирового развития </w:t>
      </w:r>
      <w:r w:rsidRPr="00E97553">
        <w:rPr>
          <w:rFonts w:ascii="Times New Roman" w:hAnsi="Times New Roman" w:cs="Times New Roman"/>
          <w:sz w:val="21"/>
          <w:szCs w:val="21"/>
          <w:lang w:val="ru-RU"/>
        </w:rPr>
        <w:t>: материалы и</w:t>
      </w:r>
      <w:r w:rsidRPr="00E97553">
        <w:rPr>
          <w:rFonts w:ascii="Times New Roman" w:hAnsi="Times New Roman" w:cs="Times New Roman"/>
          <w:sz w:val="21"/>
          <w:szCs w:val="21"/>
        </w:rPr>
        <w:t>нтернет-</w:t>
      </w:r>
      <w:r w:rsidRPr="00E97553">
        <w:rPr>
          <w:rFonts w:ascii="Times New Roman" w:hAnsi="Times New Roman" w:cs="Times New Roman"/>
          <w:sz w:val="21"/>
          <w:szCs w:val="21"/>
          <w:lang w:val="ru-RU"/>
        </w:rPr>
        <w:t>к</w:t>
      </w:r>
      <w:r w:rsidRPr="00E97553">
        <w:rPr>
          <w:rFonts w:ascii="Times New Roman" w:hAnsi="Times New Roman" w:cs="Times New Roman"/>
          <w:sz w:val="21"/>
          <w:szCs w:val="21"/>
        </w:rPr>
        <w:t>онференци</w:t>
      </w:r>
      <w:r w:rsidRPr="00E97553">
        <w:rPr>
          <w:rFonts w:ascii="Times New Roman" w:hAnsi="Times New Roman" w:cs="Times New Roman"/>
          <w:sz w:val="21"/>
          <w:szCs w:val="21"/>
          <w:lang w:val="ru-RU"/>
        </w:rPr>
        <w:t>и. – Режим доступу :</w:t>
      </w:r>
      <w:r w:rsidRPr="00E97553">
        <w:rPr>
          <w:rFonts w:ascii="Times New Roman" w:hAnsi="Times New Roman" w:cs="Times New Roman"/>
          <w:sz w:val="21"/>
          <w:szCs w:val="21"/>
        </w:rPr>
        <w:t xml:space="preserve"> </w:t>
      </w:r>
      <w:hyperlink r:id="rId126" w:history="1">
        <w:r w:rsidRPr="00E97553">
          <w:rPr>
            <w:rStyle w:val="aff"/>
            <w:rFonts w:ascii="Times New Roman" w:hAnsi="Times New Roman" w:cs="Times New Roman"/>
            <w:color w:val="auto"/>
            <w:sz w:val="21"/>
            <w:szCs w:val="21"/>
            <w:u w:val="none"/>
          </w:rPr>
          <w:t>www.pbroiect.ru/planetarv02.php</w:t>
        </w:r>
      </w:hyperlink>
      <w:bookmarkEnd w:id="498"/>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499" w:name="_Ref435619826"/>
      <w:r>
        <w:rPr>
          <w:rFonts w:ascii="Times New Roman" w:hAnsi="Times New Roman" w:cs="Times New Roman"/>
          <w:sz w:val="21"/>
          <w:szCs w:val="21"/>
        </w:rPr>
        <w:t>Фукуяма</w:t>
      </w:r>
      <w:r>
        <w:rPr>
          <w:rFonts w:ascii="Times New Roman" w:hAnsi="Times New Roman" w:cs="Times New Roman"/>
          <w:sz w:val="21"/>
          <w:szCs w:val="21"/>
          <w:lang w:val="ru-RU"/>
        </w:rPr>
        <w:t xml:space="preserve"> </w:t>
      </w:r>
      <w:r>
        <w:rPr>
          <w:rFonts w:ascii="Times New Roman" w:hAnsi="Times New Roman" w:cs="Times New Roman"/>
          <w:sz w:val="21"/>
          <w:szCs w:val="21"/>
        </w:rPr>
        <w:t>Ф. Социальный капитал</w:t>
      </w:r>
      <w:r>
        <w:rPr>
          <w:rFonts w:ascii="Times New Roman" w:hAnsi="Times New Roman" w:cs="Times New Roman"/>
          <w:sz w:val="21"/>
          <w:szCs w:val="21"/>
          <w:lang w:val="ru-RU"/>
        </w:rPr>
        <w:t>.</w:t>
      </w:r>
      <w:r w:rsidRPr="006E771B">
        <w:rPr>
          <w:rFonts w:ascii="Times New Roman" w:hAnsi="Times New Roman" w:cs="Times New Roman"/>
          <w:sz w:val="21"/>
          <w:szCs w:val="21"/>
        </w:rPr>
        <w:t xml:space="preserve"> Культура имеет значение. Каким образом ценности способствуют общественному прогрессу / </w:t>
      </w:r>
      <w:r>
        <w:rPr>
          <w:rFonts w:ascii="Times New Roman" w:hAnsi="Times New Roman" w:cs="Times New Roman"/>
          <w:sz w:val="21"/>
          <w:szCs w:val="21"/>
          <w:lang w:val="ru-RU"/>
        </w:rPr>
        <w:t>Ф. Фукуяма ; п</w:t>
      </w:r>
      <w:r w:rsidRPr="006E771B">
        <w:rPr>
          <w:rFonts w:ascii="Times New Roman" w:hAnsi="Times New Roman" w:cs="Times New Roman"/>
          <w:sz w:val="21"/>
          <w:szCs w:val="21"/>
        </w:rPr>
        <w:t xml:space="preserve">од ред. Л. Харрисона, С. Хантингтона. </w:t>
      </w:r>
      <w:r>
        <w:rPr>
          <w:rFonts w:ascii="Times New Roman" w:hAnsi="Times New Roman" w:cs="Times New Roman"/>
          <w:sz w:val="21"/>
          <w:szCs w:val="21"/>
        </w:rPr>
        <w:t>–</w:t>
      </w:r>
      <w:r w:rsidRPr="006E771B">
        <w:rPr>
          <w:rFonts w:ascii="Times New Roman" w:hAnsi="Times New Roman" w:cs="Times New Roman"/>
          <w:sz w:val="21"/>
          <w:szCs w:val="21"/>
        </w:rPr>
        <w:t xml:space="preserve"> М.</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 Московская школа политических исследований, 2002. </w:t>
      </w:r>
      <w:r>
        <w:rPr>
          <w:rFonts w:ascii="Times New Roman" w:hAnsi="Times New Roman" w:cs="Times New Roman"/>
          <w:sz w:val="21"/>
          <w:szCs w:val="21"/>
        </w:rPr>
        <w:t>–</w:t>
      </w:r>
      <w:r w:rsidRPr="006E771B">
        <w:rPr>
          <w:rFonts w:ascii="Times New Roman" w:hAnsi="Times New Roman" w:cs="Times New Roman"/>
          <w:sz w:val="21"/>
          <w:szCs w:val="21"/>
        </w:rPr>
        <w:t xml:space="preserve"> С.</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129</w:t>
      </w:r>
      <w:r>
        <w:rPr>
          <w:rFonts w:ascii="Times New Roman" w:hAnsi="Times New Roman" w:cs="Times New Roman"/>
          <w:sz w:val="21"/>
          <w:szCs w:val="21"/>
        </w:rPr>
        <w:t>–</w:t>
      </w:r>
      <w:r w:rsidRPr="006E771B">
        <w:rPr>
          <w:rFonts w:ascii="Times New Roman" w:hAnsi="Times New Roman" w:cs="Times New Roman"/>
          <w:sz w:val="21"/>
          <w:szCs w:val="21"/>
        </w:rPr>
        <w:t>149.</w:t>
      </w:r>
      <w:bookmarkEnd w:id="499"/>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500" w:name="_Ref435620010"/>
      <w:r w:rsidRPr="000D0858">
        <w:rPr>
          <w:rFonts w:ascii="Times New Roman" w:hAnsi="Times New Roman" w:cs="Times New Roman"/>
          <w:sz w:val="21"/>
          <w:szCs w:val="21"/>
        </w:rPr>
        <w:t>Холостова Е. И. Социальная политика : учеб. пособ./ Е. И. Холостова. – М. : ИНФРА–М, 2001. – 204 с.</w:t>
      </w:r>
      <w:bookmarkEnd w:id="500"/>
    </w:p>
    <w:p w:rsidR="00B233DE" w:rsidRPr="000D0858"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501" w:name="_Ref435620711"/>
      <w:r w:rsidRPr="000D0858">
        <w:rPr>
          <w:rFonts w:ascii="Times New Roman" w:hAnsi="Times New Roman" w:cs="Times New Roman"/>
          <w:sz w:val="21"/>
          <w:szCs w:val="21"/>
        </w:rPr>
        <w:t>Черниш О. І. Теоретико-методологічні засади формування нових механізмів державного регулювання в сфері соціально значимих послуг : автореф. дис... д-ра наук з держ. упр. : 25.00.02 / О. І. Черниш ; Донецький держ. ун-т управління. – Донецьк, 2006. – 39 с.</w:t>
      </w:r>
      <w:bookmarkEnd w:id="501"/>
    </w:p>
    <w:p w:rsidR="00B233DE" w:rsidRPr="00E97553"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502" w:name="_Ref435619877"/>
      <w:r w:rsidRPr="00954FE8">
        <w:rPr>
          <w:rFonts w:ascii="Times New Roman" w:hAnsi="Times New Roman" w:cs="Times New Roman"/>
          <w:sz w:val="21"/>
          <w:szCs w:val="21"/>
        </w:rPr>
        <w:t xml:space="preserve">Четверікова Л. О. Соціальна держава : структурно-функціональний аналіз </w:t>
      </w:r>
      <w:r w:rsidRPr="00954FE8">
        <w:rPr>
          <w:rStyle w:val="rvts6"/>
          <w:sz w:val="21"/>
          <w:szCs w:val="21"/>
        </w:rPr>
        <w:t xml:space="preserve">: автореф. дис. на здоб. наук. ступ. к. політ. н. : 23.00.02 / Л. О. Четверікова. </w:t>
      </w:r>
      <w:r w:rsidRPr="00954FE8">
        <w:rPr>
          <w:rFonts w:ascii="Times New Roman" w:hAnsi="Times New Roman" w:cs="Times New Roman"/>
          <w:sz w:val="21"/>
          <w:szCs w:val="21"/>
        </w:rPr>
        <w:t>–</w:t>
      </w:r>
      <w:r w:rsidRPr="00954FE8">
        <w:rPr>
          <w:rStyle w:val="rvts6"/>
          <w:sz w:val="21"/>
          <w:szCs w:val="21"/>
        </w:rPr>
        <w:t xml:space="preserve"> Львів : Львівський національний університет ім. Івана Франка, 2006. </w:t>
      </w:r>
      <w:r w:rsidRPr="00954FE8">
        <w:rPr>
          <w:rFonts w:ascii="Times New Roman" w:hAnsi="Times New Roman" w:cs="Times New Roman"/>
          <w:sz w:val="21"/>
          <w:szCs w:val="21"/>
        </w:rPr>
        <w:t xml:space="preserve">– </w:t>
      </w:r>
      <w:r w:rsidRPr="00954FE8">
        <w:rPr>
          <w:rStyle w:val="rvts6"/>
          <w:sz w:val="21"/>
          <w:szCs w:val="21"/>
        </w:rPr>
        <w:t>21 с.</w:t>
      </w:r>
      <w:bookmarkEnd w:id="502"/>
    </w:p>
    <w:p w:rsidR="00B233DE" w:rsidRPr="00E97553"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503" w:name="_Ref435619614"/>
      <w:r w:rsidRPr="006E771B">
        <w:rPr>
          <w:rFonts w:ascii="Times New Roman" w:hAnsi="Times New Roman" w:cs="Times New Roman"/>
          <w:sz w:val="21"/>
          <w:szCs w:val="21"/>
        </w:rPr>
        <w:t>Шапошникова В.</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В. Экономическая значимость социального капитала </w:t>
      </w:r>
      <w:r>
        <w:rPr>
          <w:rFonts w:ascii="Times New Roman" w:hAnsi="Times New Roman" w:cs="Times New Roman"/>
          <w:sz w:val="21"/>
          <w:szCs w:val="21"/>
          <w:lang w:val="ru-RU"/>
        </w:rPr>
        <w:t xml:space="preserve">/ В. В. Шапошникова </w:t>
      </w:r>
      <w:r w:rsidRPr="006E771B">
        <w:rPr>
          <w:rFonts w:ascii="Times New Roman" w:hAnsi="Times New Roman" w:cs="Times New Roman"/>
          <w:sz w:val="21"/>
          <w:szCs w:val="21"/>
        </w:rPr>
        <w:t xml:space="preserve">// Вестник Костромского государственного технологического университета. </w:t>
      </w:r>
      <w:r>
        <w:rPr>
          <w:rFonts w:ascii="Times New Roman" w:hAnsi="Times New Roman" w:cs="Times New Roman"/>
          <w:sz w:val="21"/>
          <w:szCs w:val="21"/>
        </w:rPr>
        <w:t>–</w:t>
      </w:r>
      <w:r w:rsidRPr="006E771B">
        <w:rPr>
          <w:rFonts w:ascii="Times New Roman" w:hAnsi="Times New Roman" w:cs="Times New Roman"/>
          <w:sz w:val="21"/>
          <w:szCs w:val="21"/>
        </w:rPr>
        <w:t xml:space="preserve"> 2006. </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2 (14). </w:t>
      </w:r>
      <w:r>
        <w:rPr>
          <w:rFonts w:ascii="Times New Roman" w:hAnsi="Times New Roman" w:cs="Times New Roman"/>
          <w:sz w:val="21"/>
          <w:szCs w:val="21"/>
        </w:rPr>
        <w:t>–</w:t>
      </w:r>
      <w:r w:rsidRPr="006E771B">
        <w:rPr>
          <w:rFonts w:ascii="Times New Roman" w:hAnsi="Times New Roman" w:cs="Times New Roman"/>
          <w:sz w:val="21"/>
          <w:szCs w:val="21"/>
        </w:rPr>
        <w:t xml:space="preserve"> С.</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74</w:t>
      </w:r>
      <w:r>
        <w:rPr>
          <w:rFonts w:ascii="Times New Roman" w:hAnsi="Times New Roman" w:cs="Times New Roman"/>
          <w:sz w:val="21"/>
          <w:szCs w:val="21"/>
        </w:rPr>
        <w:t>–</w:t>
      </w:r>
      <w:r w:rsidRPr="006E771B">
        <w:rPr>
          <w:rFonts w:ascii="Times New Roman" w:hAnsi="Times New Roman" w:cs="Times New Roman"/>
          <w:sz w:val="21"/>
          <w:szCs w:val="21"/>
        </w:rPr>
        <w:t>76.</w:t>
      </w:r>
      <w:bookmarkEnd w:id="503"/>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504" w:name="_Ref435618649"/>
      <w:r>
        <w:rPr>
          <w:rFonts w:ascii="Times New Roman" w:hAnsi="Times New Roman" w:cs="Times New Roman"/>
          <w:sz w:val="21"/>
          <w:szCs w:val="21"/>
        </w:rPr>
        <w:t xml:space="preserve">Шевчук П. І. Соціальна політика / П. І. Шевчук. – Львів : Світ, 2003. – 400 </w:t>
      </w:r>
      <w:r w:rsidRPr="00CB07DF">
        <w:rPr>
          <w:rFonts w:ascii="Times New Roman" w:hAnsi="Times New Roman" w:cs="Times New Roman"/>
          <w:sz w:val="21"/>
          <w:szCs w:val="21"/>
        </w:rPr>
        <w:t>с.</w:t>
      </w:r>
      <w:bookmarkEnd w:id="504"/>
    </w:p>
    <w:p w:rsidR="00B233DE" w:rsidRPr="00CB07DF"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505" w:name="_Ref435619241"/>
      <w:r>
        <w:rPr>
          <w:rFonts w:ascii="Times New Roman" w:hAnsi="Times New Roman" w:cs="Times New Roman"/>
          <w:sz w:val="21"/>
          <w:szCs w:val="21"/>
        </w:rPr>
        <w:t xml:space="preserve">Шиманський О. </w:t>
      </w:r>
      <w:r w:rsidRPr="00CB07DF">
        <w:rPr>
          <w:rFonts w:ascii="Times New Roman" w:hAnsi="Times New Roman" w:cs="Times New Roman"/>
          <w:sz w:val="21"/>
          <w:szCs w:val="21"/>
        </w:rPr>
        <w:t>О. Теоретико-методологічні основи регіональної соціально</w:t>
      </w:r>
      <w:r>
        <w:rPr>
          <w:rFonts w:ascii="Times New Roman" w:hAnsi="Times New Roman" w:cs="Times New Roman"/>
          <w:sz w:val="21"/>
          <w:szCs w:val="21"/>
        </w:rPr>
        <w:t xml:space="preserve">ї політики [Електронний ресурс] / О. О. </w:t>
      </w:r>
      <w:r>
        <w:rPr>
          <w:rFonts w:ascii="Times New Roman" w:hAnsi="Times New Roman" w:cs="Times New Roman"/>
          <w:sz w:val="21"/>
          <w:szCs w:val="21"/>
        </w:rPr>
        <w:lastRenderedPageBreak/>
        <w:t xml:space="preserve">Шиманський. – Режим доступу </w:t>
      </w:r>
      <w:r w:rsidRPr="00CB07DF">
        <w:rPr>
          <w:rFonts w:ascii="Times New Roman" w:hAnsi="Times New Roman" w:cs="Times New Roman"/>
          <w:sz w:val="21"/>
          <w:szCs w:val="21"/>
        </w:rPr>
        <w:t xml:space="preserve">: </w:t>
      </w:r>
      <w:hyperlink r:id="rId127" w:history="1">
        <w:r w:rsidRPr="00A55B4F">
          <w:rPr>
            <w:rStyle w:val="aff"/>
            <w:rFonts w:ascii="Times New Roman" w:hAnsi="Times New Roman" w:cs="Times New Roman"/>
            <w:color w:val="000000" w:themeColor="text1"/>
            <w:sz w:val="21"/>
            <w:szCs w:val="21"/>
            <w:u w:val="none"/>
          </w:rPr>
          <w:t>http://www.nbuv.gov.ua/portal/ Soc_gum/aprer/2010_6_2/32.pdf</w:t>
        </w:r>
      </w:hyperlink>
      <w:r w:rsidRPr="00A55B4F">
        <w:rPr>
          <w:rFonts w:ascii="Times New Roman" w:hAnsi="Times New Roman" w:cs="Times New Roman"/>
          <w:color w:val="000000" w:themeColor="text1"/>
          <w:sz w:val="21"/>
          <w:szCs w:val="21"/>
        </w:rPr>
        <w:t>.</w:t>
      </w:r>
      <w:bookmarkEnd w:id="505"/>
    </w:p>
    <w:p w:rsidR="00B233DE" w:rsidRPr="00E97553"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506" w:name="_Ref435619549"/>
      <w:r w:rsidRPr="006E771B">
        <w:rPr>
          <w:rFonts w:ascii="Times New Roman" w:hAnsi="Times New Roman" w:cs="Times New Roman"/>
          <w:sz w:val="21"/>
          <w:szCs w:val="21"/>
        </w:rPr>
        <w:t>Шматко Н.</w:t>
      </w:r>
      <w:r>
        <w:rPr>
          <w:rFonts w:ascii="Times New Roman" w:hAnsi="Times New Roman" w:cs="Times New Roman"/>
          <w:sz w:val="21"/>
          <w:szCs w:val="21"/>
          <w:lang w:val="ru-RU"/>
        </w:rPr>
        <w:t xml:space="preserve"> </w:t>
      </w:r>
      <w:r w:rsidRPr="006E771B">
        <w:rPr>
          <w:rFonts w:ascii="Times New Roman" w:hAnsi="Times New Roman" w:cs="Times New Roman"/>
          <w:sz w:val="21"/>
          <w:szCs w:val="21"/>
        </w:rPr>
        <w:t xml:space="preserve">А. Конверсия бюрократического капитала в постсоветской России / </w:t>
      </w:r>
      <w:r>
        <w:rPr>
          <w:rFonts w:ascii="Times New Roman" w:hAnsi="Times New Roman" w:cs="Times New Roman"/>
          <w:sz w:val="21"/>
          <w:szCs w:val="21"/>
          <w:lang w:val="ru-RU"/>
        </w:rPr>
        <w:t>Н. А. Шматко</w:t>
      </w:r>
      <w:r w:rsidRPr="006E771B">
        <w:rPr>
          <w:rFonts w:ascii="Times New Roman" w:hAnsi="Times New Roman" w:cs="Times New Roman"/>
          <w:sz w:val="21"/>
          <w:szCs w:val="21"/>
        </w:rPr>
        <w:t xml:space="preserve">. </w:t>
      </w:r>
      <w:r>
        <w:rPr>
          <w:rFonts w:ascii="Times New Roman" w:hAnsi="Times New Roman" w:cs="Times New Roman"/>
          <w:sz w:val="21"/>
          <w:szCs w:val="21"/>
          <w:lang w:val="ru-RU"/>
        </w:rPr>
        <w:t xml:space="preserve">– </w:t>
      </w:r>
      <w:r w:rsidRPr="006E771B">
        <w:rPr>
          <w:rFonts w:ascii="Times New Roman" w:hAnsi="Times New Roman" w:cs="Times New Roman"/>
          <w:sz w:val="21"/>
          <w:szCs w:val="21"/>
          <w:lang w:val="en-US"/>
        </w:rPr>
        <w:t>M</w:t>
      </w:r>
      <w:r w:rsidRPr="00813E2B">
        <w:rPr>
          <w:rFonts w:ascii="Times New Roman" w:hAnsi="Times New Roman" w:cs="Times New Roman"/>
          <w:sz w:val="21"/>
          <w:szCs w:val="21"/>
          <w:lang w:val="ru-RU"/>
        </w:rPr>
        <w:t>.</w:t>
      </w:r>
      <w:r>
        <w:rPr>
          <w:rFonts w:ascii="Times New Roman" w:hAnsi="Times New Roman" w:cs="Times New Roman"/>
          <w:sz w:val="21"/>
          <w:szCs w:val="21"/>
          <w:lang w:val="ru-RU"/>
        </w:rPr>
        <w:t xml:space="preserve"> </w:t>
      </w:r>
      <w:r w:rsidRPr="00813E2B">
        <w:rPr>
          <w:rFonts w:ascii="Times New Roman" w:hAnsi="Times New Roman" w:cs="Times New Roman"/>
          <w:sz w:val="21"/>
          <w:szCs w:val="21"/>
          <w:lang w:val="ru-RU"/>
        </w:rPr>
        <w:t xml:space="preserve">: </w:t>
      </w:r>
      <w:r w:rsidRPr="006E771B">
        <w:rPr>
          <w:rFonts w:ascii="Times New Roman" w:hAnsi="Times New Roman" w:cs="Times New Roman"/>
          <w:sz w:val="21"/>
          <w:szCs w:val="21"/>
          <w:lang w:val="en-US"/>
        </w:rPr>
        <w:t>Socio</w:t>
      </w:r>
      <w:r w:rsidRPr="00813E2B">
        <w:rPr>
          <w:rFonts w:ascii="Times New Roman" w:hAnsi="Times New Roman" w:cs="Times New Roman"/>
          <w:sz w:val="21"/>
          <w:szCs w:val="21"/>
          <w:lang w:val="ru-RU"/>
        </w:rPr>
        <w:t>-</w:t>
      </w:r>
      <w:r w:rsidRPr="006E771B">
        <w:rPr>
          <w:rFonts w:ascii="Times New Roman" w:hAnsi="Times New Roman" w:cs="Times New Roman"/>
          <w:sz w:val="21"/>
          <w:szCs w:val="21"/>
          <w:lang w:val="en-US"/>
        </w:rPr>
        <w:t>Logos</w:t>
      </w:r>
      <w:r w:rsidRPr="00813E2B">
        <w:rPr>
          <w:rFonts w:ascii="Times New Roman" w:hAnsi="Times New Roman" w:cs="Times New Roman"/>
          <w:sz w:val="21"/>
          <w:szCs w:val="21"/>
          <w:lang w:val="ru-RU"/>
        </w:rPr>
        <w:t>, 1996.</w:t>
      </w:r>
      <w:r>
        <w:rPr>
          <w:rFonts w:ascii="Times New Roman" w:hAnsi="Times New Roman" w:cs="Times New Roman"/>
          <w:sz w:val="21"/>
          <w:szCs w:val="21"/>
          <w:lang w:val="ru-RU"/>
        </w:rPr>
        <w:t xml:space="preserve"> – </w:t>
      </w:r>
      <w:r w:rsidRPr="006E771B">
        <w:rPr>
          <w:rFonts w:ascii="Times New Roman" w:hAnsi="Times New Roman" w:cs="Times New Roman"/>
          <w:sz w:val="21"/>
          <w:szCs w:val="21"/>
        </w:rPr>
        <w:t>С</w:t>
      </w:r>
      <w:r w:rsidRPr="00813E2B">
        <w:rPr>
          <w:rFonts w:ascii="Times New Roman" w:hAnsi="Times New Roman" w:cs="Times New Roman"/>
          <w:sz w:val="21"/>
          <w:szCs w:val="21"/>
          <w:lang w:val="ru-RU"/>
        </w:rPr>
        <w:t>. 115</w:t>
      </w:r>
      <w:r>
        <w:rPr>
          <w:rFonts w:ascii="Times New Roman" w:hAnsi="Times New Roman" w:cs="Times New Roman"/>
          <w:sz w:val="21"/>
          <w:szCs w:val="21"/>
          <w:lang w:val="ru-RU"/>
        </w:rPr>
        <w:t>–</w:t>
      </w:r>
      <w:r w:rsidRPr="00813E2B">
        <w:rPr>
          <w:rFonts w:ascii="Times New Roman" w:hAnsi="Times New Roman" w:cs="Times New Roman"/>
          <w:sz w:val="21"/>
          <w:szCs w:val="21"/>
          <w:lang w:val="ru-RU"/>
        </w:rPr>
        <w:t>144.</w:t>
      </w:r>
      <w:bookmarkEnd w:id="506"/>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507" w:name="_Ref435618804"/>
      <w:r w:rsidRPr="00CB07DF">
        <w:rPr>
          <w:rFonts w:ascii="Times New Roman" w:hAnsi="Times New Roman" w:cs="Times New Roman"/>
          <w:sz w:val="21"/>
          <w:szCs w:val="21"/>
        </w:rPr>
        <w:t>Экономиче</w:t>
      </w:r>
      <w:r>
        <w:rPr>
          <w:rFonts w:ascii="Times New Roman" w:hAnsi="Times New Roman" w:cs="Times New Roman"/>
          <w:sz w:val="21"/>
          <w:szCs w:val="21"/>
        </w:rPr>
        <w:t xml:space="preserve">ская энциклопедия / Под ред. Л. И. </w:t>
      </w:r>
      <w:r w:rsidRPr="00CB07DF">
        <w:rPr>
          <w:rFonts w:ascii="Times New Roman" w:hAnsi="Times New Roman" w:cs="Times New Roman"/>
          <w:sz w:val="21"/>
          <w:szCs w:val="21"/>
        </w:rPr>
        <w:t>Абалкина. – М., 1999.</w:t>
      </w:r>
      <w:r>
        <w:rPr>
          <w:rFonts w:ascii="Times New Roman" w:hAnsi="Times New Roman" w:cs="Times New Roman"/>
          <w:sz w:val="21"/>
          <w:szCs w:val="21"/>
        </w:rPr>
        <w:t xml:space="preserve"> – 614 с.</w:t>
      </w:r>
      <w:bookmarkEnd w:id="507"/>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508" w:name="_Ref435618792"/>
      <w:r w:rsidRPr="00CB07DF">
        <w:rPr>
          <w:rFonts w:ascii="Times New Roman" w:hAnsi="Times New Roman" w:cs="Times New Roman"/>
          <w:sz w:val="21"/>
          <w:szCs w:val="21"/>
        </w:rPr>
        <w:t>Экономический рост и вектор развития с</w:t>
      </w:r>
      <w:r>
        <w:rPr>
          <w:rFonts w:ascii="Times New Roman" w:hAnsi="Times New Roman" w:cs="Times New Roman"/>
          <w:sz w:val="21"/>
          <w:szCs w:val="21"/>
        </w:rPr>
        <w:t xml:space="preserve">овременной России / Под ред. К. А. </w:t>
      </w:r>
      <w:r w:rsidRPr="00CB07DF">
        <w:rPr>
          <w:rFonts w:ascii="Times New Roman" w:hAnsi="Times New Roman" w:cs="Times New Roman"/>
          <w:sz w:val="21"/>
          <w:szCs w:val="21"/>
        </w:rPr>
        <w:t>Хубиева. – М., 2004.</w:t>
      </w:r>
      <w:r>
        <w:rPr>
          <w:rFonts w:ascii="Times New Roman" w:hAnsi="Times New Roman" w:cs="Times New Roman"/>
          <w:sz w:val="21"/>
          <w:szCs w:val="21"/>
        </w:rPr>
        <w:t xml:space="preserve"> – 116 с.</w:t>
      </w:r>
      <w:bookmarkEnd w:id="508"/>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509" w:name="_Ref435620538"/>
      <w:r w:rsidRPr="00954FE8">
        <w:rPr>
          <w:rFonts w:ascii="Times New Roman" w:hAnsi="Times New Roman" w:cs="Times New Roman"/>
          <w:sz w:val="21"/>
          <w:szCs w:val="21"/>
        </w:rPr>
        <w:t>Юрій С. І. Соціальне страхування / С. І. Юрій, М. П. Шаварина, Н. В. Шаманська. – К. : Кондор, 2006. – 464 с.</w:t>
      </w:r>
      <w:bookmarkEnd w:id="509"/>
    </w:p>
    <w:p w:rsidR="00B233DE" w:rsidRPr="008A63BB"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510" w:name="_Ref435619905"/>
      <w:r w:rsidRPr="008A63BB">
        <w:rPr>
          <w:rFonts w:ascii="Times New Roman" w:hAnsi="Times New Roman" w:cs="Times New Roman"/>
          <w:sz w:val="21"/>
          <w:szCs w:val="21"/>
        </w:rPr>
        <w:t>Ягодка А. Г. Соціальна інфраструктура і політика : навч. посіб. / А. Ягодка. – К. : КНЕУ, 2000. – 212 с.</w:t>
      </w:r>
      <w:bookmarkEnd w:id="510"/>
    </w:p>
    <w:p w:rsidR="00B233DE" w:rsidRPr="00CB07DF"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511" w:name="_Ref435620502"/>
      <w:r w:rsidRPr="00954FE8">
        <w:rPr>
          <w:rFonts w:ascii="Times New Roman" w:hAnsi="Times New Roman" w:cs="Times New Roman"/>
          <w:sz w:val="21"/>
          <w:szCs w:val="21"/>
        </w:rPr>
        <w:t>Яременко О. О. Соціальна політика : теоретико-методологічні основи дослідження процесів формування та ефективності реалізації : монографія / О. О. Яременко. – К. : Ін-т економіки та прогнозування НАН України ; УІСД ім. О. Яременка, 2006. – 480 с.</w:t>
      </w:r>
      <w:bookmarkEnd w:id="511"/>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512" w:name="_Ref435620882"/>
      <w:r w:rsidRPr="00954FE8">
        <w:rPr>
          <w:rFonts w:ascii="Times New Roman" w:hAnsi="Times New Roman" w:cs="Times New Roman"/>
          <w:sz w:val="21"/>
          <w:szCs w:val="21"/>
        </w:rPr>
        <w:t>Mishra R. Society and Social Policy : Theories and practice of welfare / R. Mishra ; 2d ed. – Atlantic highlands : Humanities Press, 1981. – Р. 101–134.</w:t>
      </w:r>
      <w:bookmarkEnd w:id="512"/>
    </w:p>
    <w:p w:rsidR="00B233DE" w:rsidRPr="00E97553"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513" w:name="_Ref435619272"/>
      <w:r w:rsidRPr="00CB07DF">
        <w:rPr>
          <w:rFonts w:ascii="Times New Roman" w:hAnsi="Times New Roman" w:cs="Times New Roman"/>
          <w:sz w:val="21"/>
          <w:szCs w:val="21"/>
        </w:rPr>
        <w:t>Ortiz</w:t>
      </w:r>
      <w:r>
        <w:rPr>
          <w:rFonts w:ascii="Times New Roman" w:hAnsi="Times New Roman" w:cs="Times New Roman"/>
          <w:sz w:val="21"/>
          <w:szCs w:val="21"/>
        </w:rPr>
        <w:t xml:space="preserve"> I</w:t>
      </w:r>
      <w:r w:rsidRPr="00CB07DF">
        <w:rPr>
          <w:rFonts w:ascii="Times New Roman" w:hAnsi="Times New Roman" w:cs="Times New Roman"/>
          <w:sz w:val="21"/>
          <w:szCs w:val="21"/>
        </w:rPr>
        <w:t>. Politique sociale. Note d’orientation</w:t>
      </w:r>
      <w:r>
        <w:rPr>
          <w:rFonts w:ascii="Times New Roman" w:hAnsi="Times New Roman" w:cs="Times New Roman"/>
          <w:sz w:val="21"/>
          <w:szCs w:val="21"/>
        </w:rPr>
        <w:t xml:space="preserve"> / I</w:t>
      </w:r>
      <w:r w:rsidRPr="00CB07DF">
        <w:rPr>
          <w:rFonts w:ascii="Times New Roman" w:hAnsi="Times New Roman" w:cs="Times New Roman"/>
          <w:sz w:val="21"/>
          <w:szCs w:val="21"/>
        </w:rPr>
        <w:t>.</w:t>
      </w:r>
      <w:r>
        <w:rPr>
          <w:rFonts w:ascii="Times New Roman" w:hAnsi="Times New Roman" w:cs="Times New Roman"/>
          <w:sz w:val="21"/>
          <w:szCs w:val="21"/>
        </w:rPr>
        <w:t xml:space="preserve"> </w:t>
      </w:r>
      <w:r w:rsidRPr="00CB07DF">
        <w:rPr>
          <w:rFonts w:ascii="Times New Roman" w:hAnsi="Times New Roman" w:cs="Times New Roman"/>
          <w:sz w:val="21"/>
          <w:szCs w:val="21"/>
        </w:rPr>
        <w:t>Ortiz</w:t>
      </w:r>
      <w:r>
        <w:rPr>
          <w:rFonts w:ascii="Times New Roman" w:hAnsi="Times New Roman" w:cs="Times New Roman"/>
          <w:sz w:val="21"/>
          <w:szCs w:val="21"/>
        </w:rPr>
        <w:t>.</w:t>
      </w:r>
      <w:r w:rsidRPr="00CB07DF">
        <w:rPr>
          <w:rFonts w:ascii="Times New Roman" w:hAnsi="Times New Roman" w:cs="Times New Roman"/>
          <w:sz w:val="21"/>
          <w:szCs w:val="21"/>
        </w:rPr>
        <w:t xml:space="preserve"> –</w:t>
      </w:r>
      <w:r>
        <w:rPr>
          <w:rFonts w:ascii="Times New Roman" w:hAnsi="Times New Roman" w:cs="Times New Roman"/>
          <w:sz w:val="21"/>
          <w:szCs w:val="21"/>
        </w:rPr>
        <w:t xml:space="preserve"> </w:t>
      </w:r>
      <w:r w:rsidRPr="00CB07DF">
        <w:rPr>
          <w:rFonts w:ascii="Times New Roman" w:hAnsi="Times New Roman" w:cs="Times New Roman"/>
          <w:sz w:val="21"/>
          <w:szCs w:val="21"/>
        </w:rPr>
        <w:t>New York</w:t>
      </w:r>
      <w:r>
        <w:rPr>
          <w:rFonts w:ascii="Times New Roman" w:hAnsi="Times New Roman" w:cs="Times New Roman"/>
          <w:sz w:val="21"/>
          <w:szCs w:val="21"/>
        </w:rPr>
        <w:t>,</w:t>
      </w:r>
      <w:r w:rsidRPr="00CB07DF">
        <w:rPr>
          <w:rFonts w:ascii="Times New Roman" w:hAnsi="Times New Roman" w:cs="Times New Roman"/>
          <w:sz w:val="21"/>
          <w:szCs w:val="21"/>
        </w:rPr>
        <w:t xml:space="preserve"> 2007.</w:t>
      </w:r>
      <w:r>
        <w:rPr>
          <w:rFonts w:ascii="Times New Roman" w:hAnsi="Times New Roman" w:cs="Times New Roman"/>
          <w:sz w:val="21"/>
          <w:szCs w:val="21"/>
        </w:rPr>
        <w:t xml:space="preserve"> –</w:t>
      </w:r>
      <w:r w:rsidRPr="00CB07DF">
        <w:rPr>
          <w:rFonts w:ascii="Times New Roman" w:hAnsi="Times New Roman" w:cs="Times New Roman"/>
          <w:sz w:val="21"/>
          <w:szCs w:val="21"/>
        </w:rPr>
        <w:t xml:space="preserve"> 24</w:t>
      </w:r>
      <w:r>
        <w:rPr>
          <w:rFonts w:ascii="Times New Roman" w:hAnsi="Times New Roman" w:cs="Times New Roman"/>
          <w:sz w:val="21"/>
          <w:szCs w:val="21"/>
        </w:rPr>
        <w:t xml:space="preserve"> р</w:t>
      </w:r>
      <w:r w:rsidRPr="00CB07DF">
        <w:rPr>
          <w:rFonts w:ascii="Times New Roman" w:hAnsi="Times New Roman" w:cs="Times New Roman"/>
          <w:sz w:val="21"/>
          <w:szCs w:val="21"/>
        </w:rPr>
        <w:t>.</w:t>
      </w:r>
      <w:bookmarkEnd w:id="513"/>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514" w:name="_Ref435619713"/>
      <w:r w:rsidRPr="00E97553">
        <w:rPr>
          <w:rFonts w:ascii="Times New Roman" w:hAnsi="Times New Roman" w:cs="Times New Roman"/>
          <w:sz w:val="21"/>
          <w:szCs w:val="21"/>
        </w:rPr>
        <w:t>Szreter S. Social Capital, the Economy, and Education in Historical Perspective / S.</w:t>
      </w:r>
      <w:r w:rsidRPr="00E97553">
        <w:rPr>
          <w:rFonts w:ascii="Times New Roman" w:hAnsi="Times New Roman" w:cs="Times New Roman"/>
          <w:sz w:val="21"/>
          <w:szCs w:val="21"/>
          <w:lang w:val="en-US"/>
        </w:rPr>
        <w:t xml:space="preserve"> </w:t>
      </w:r>
      <w:r w:rsidRPr="00E97553">
        <w:rPr>
          <w:rFonts w:ascii="Times New Roman" w:hAnsi="Times New Roman" w:cs="Times New Roman"/>
          <w:sz w:val="21"/>
          <w:szCs w:val="21"/>
        </w:rPr>
        <w:t xml:space="preserve">Szreter </w:t>
      </w:r>
      <w:r w:rsidRPr="00E97553">
        <w:rPr>
          <w:rFonts w:ascii="Times New Roman" w:hAnsi="Times New Roman" w:cs="Times New Roman"/>
          <w:sz w:val="21"/>
          <w:szCs w:val="21"/>
          <w:lang w:val="en-US"/>
        </w:rPr>
        <w:t xml:space="preserve">; </w:t>
      </w:r>
      <w:r w:rsidRPr="00E97553">
        <w:rPr>
          <w:rFonts w:ascii="Times New Roman" w:hAnsi="Times New Roman" w:cs="Times New Roman"/>
          <w:sz w:val="21"/>
          <w:szCs w:val="21"/>
          <w:lang w:val="ru-RU"/>
        </w:rPr>
        <w:t>е</w:t>
      </w:r>
      <w:r w:rsidRPr="00E97553">
        <w:rPr>
          <w:rFonts w:ascii="Times New Roman" w:hAnsi="Times New Roman" w:cs="Times New Roman"/>
          <w:sz w:val="21"/>
          <w:szCs w:val="21"/>
        </w:rPr>
        <w:t>ds. S. Baron, J. Field, T. Schuller. – Oxford</w:t>
      </w:r>
      <w:r w:rsidRPr="00E97553">
        <w:rPr>
          <w:rFonts w:ascii="Times New Roman" w:hAnsi="Times New Roman" w:cs="Times New Roman"/>
          <w:sz w:val="21"/>
          <w:szCs w:val="21"/>
          <w:lang w:val="en-US"/>
        </w:rPr>
        <w:t xml:space="preserve"> </w:t>
      </w:r>
      <w:r w:rsidRPr="00E97553">
        <w:rPr>
          <w:rFonts w:ascii="Times New Roman" w:hAnsi="Times New Roman" w:cs="Times New Roman"/>
          <w:sz w:val="21"/>
          <w:szCs w:val="21"/>
        </w:rPr>
        <w:t>: Oxford University Press, 2000. –</w:t>
      </w:r>
      <w:r w:rsidRPr="00E97553">
        <w:rPr>
          <w:rFonts w:ascii="Times New Roman" w:hAnsi="Times New Roman" w:cs="Times New Roman"/>
          <w:sz w:val="21"/>
          <w:szCs w:val="21"/>
          <w:lang w:val="en-US"/>
        </w:rPr>
        <w:t xml:space="preserve"> </w:t>
      </w:r>
      <w:r w:rsidRPr="00E97553">
        <w:rPr>
          <w:rFonts w:ascii="Times New Roman" w:hAnsi="Times New Roman" w:cs="Times New Roman"/>
          <w:sz w:val="21"/>
          <w:szCs w:val="21"/>
        </w:rPr>
        <w:t>318</w:t>
      </w:r>
      <w:r w:rsidRPr="00E97553">
        <w:rPr>
          <w:rFonts w:ascii="Times New Roman" w:hAnsi="Times New Roman" w:cs="Times New Roman"/>
          <w:sz w:val="21"/>
          <w:szCs w:val="21"/>
          <w:lang w:val="en-US"/>
        </w:rPr>
        <w:t xml:space="preserve"> </w:t>
      </w:r>
      <w:r w:rsidRPr="00E97553">
        <w:rPr>
          <w:rFonts w:ascii="Times New Roman" w:hAnsi="Times New Roman" w:cs="Times New Roman"/>
          <w:sz w:val="21"/>
          <w:szCs w:val="21"/>
        </w:rPr>
        <w:t>p.</w:t>
      </w:r>
      <w:bookmarkEnd w:id="514"/>
    </w:p>
    <w:p w:rsidR="00B233DE" w:rsidRPr="00E97553"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515" w:name="_Ref435620652"/>
      <w:r w:rsidRPr="00954FE8">
        <w:rPr>
          <w:rFonts w:ascii="Times New Roman" w:hAnsi="Times New Roman" w:cs="Times New Roman"/>
          <w:sz w:val="21"/>
          <w:szCs w:val="21"/>
          <w:lang w:val="en-GB"/>
        </w:rPr>
        <w:t>The</w:t>
      </w:r>
      <w:r w:rsidRPr="00954FE8">
        <w:rPr>
          <w:rFonts w:ascii="Times New Roman" w:hAnsi="Times New Roman" w:cs="Times New Roman"/>
          <w:sz w:val="21"/>
          <w:szCs w:val="21"/>
          <w:lang w:val="en-US"/>
        </w:rPr>
        <w:t xml:space="preserve"> </w:t>
      </w:r>
      <w:r w:rsidRPr="00954FE8">
        <w:rPr>
          <w:rFonts w:ascii="Times New Roman" w:hAnsi="Times New Roman" w:cs="Times New Roman"/>
          <w:sz w:val="21"/>
          <w:szCs w:val="21"/>
          <w:lang w:val="en-GB"/>
        </w:rPr>
        <w:t>Blackwell</w:t>
      </w:r>
      <w:r w:rsidRPr="00954FE8">
        <w:rPr>
          <w:rFonts w:ascii="Times New Roman" w:hAnsi="Times New Roman" w:cs="Times New Roman"/>
          <w:sz w:val="21"/>
          <w:szCs w:val="21"/>
          <w:lang w:val="en-US"/>
        </w:rPr>
        <w:t xml:space="preserve"> </w:t>
      </w:r>
      <w:r w:rsidRPr="00954FE8">
        <w:rPr>
          <w:rFonts w:ascii="Times New Roman" w:hAnsi="Times New Roman" w:cs="Times New Roman"/>
          <w:sz w:val="21"/>
          <w:szCs w:val="21"/>
          <w:lang w:val="en-GB"/>
        </w:rPr>
        <w:t>Encyclopedia</w:t>
      </w:r>
      <w:r w:rsidRPr="00954FE8">
        <w:rPr>
          <w:rFonts w:ascii="Times New Roman" w:hAnsi="Times New Roman" w:cs="Times New Roman"/>
          <w:sz w:val="21"/>
          <w:szCs w:val="21"/>
          <w:lang w:val="en-US"/>
        </w:rPr>
        <w:t xml:space="preserve"> </w:t>
      </w:r>
      <w:r w:rsidRPr="00954FE8">
        <w:rPr>
          <w:rFonts w:ascii="Times New Roman" w:hAnsi="Times New Roman" w:cs="Times New Roman"/>
          <w:sz w:val="21"/>
          <w:szCs w:val="21"/>
          <w:lang w:val="en-GB"/>
        </w:rPr>
        <w:t>of</w:t>
      </w:r>
      <w:r w:rsidRPr="00954FE8">
        <w:rPr>
          <w:rFonts w:ascii="Times New Roman" w:hAnsi="Times New Roman" w:cs="Times New Roman"/>
          <w:sz w:val="21"/>
          <w:szCs w:val="21"/>
          <w:lang w:val="en-US"/>
        </w:rPr>
        <w:t xml:space="preserve"> </w:t>
      </w:r>
      <w:r w:rsidRPr="00954FE8">
        <w:rPr>
          <w:rFonts w:ascii="Times New Roman" w:hAnsi="Times New Roman" w:cs="Times New Roman"/>
          <w:sz w:val="21"/>
          <w:szCs w:val="21"/>
          <w:lang w:val="en-GB"/>
        </w:rPr>
        <w:t>Social</w:t>
      </w:r>
      <w:r w:rsidRPr="00954FE8">
        <w:rPr>
          <w:rFonts w:ascii="Times New Roman" w:hAnsi="Times New Roman" w:cs="Times New Roman"/>
          <w:sz w:val="21"/>
          <w:szCs w:val="21"/>
          <w:lang w:val="en-US"/>
        </w:rPr>
        <w:t xml:space="preserve"> </w:t>
      </w:r>
      <w:r w:rsidRPr="00954FE8">
        <w:rPr>
          <w:rFonts w:ascii="Times New Roman" w:hAnsi="Times New Roman" w:cs="Times New Roman"/>
          <w:sz w:val="21"/>
          <w:szCs w:val="21"/>
          <w:lang w:val="en-GB"/>
        </w:rPr>
        <w:t>Work</w:t>
      </w:r>
      <w:r w:rsidRPr="00954FE8">
        <w:rPr>
          <w:rFonts w:ascii="Times New Roman" w:hAnsi="Times New Roman" w:cs="Times New Roman"/>
          <w:sz w:val="21"/>
          <w:szCs w:val="21"/>
          <w:lang w:val="en-US"/>
        </w:rPr>
        <w:t xml:space="preserve"> / </w:t>
      </w:r>
      <w:r w:rsidRPr="00954FE8">
        <w:rPr>
          <w:rFonts w:ascii="Times New Roman" w:hAnsi="Times New Roman" w:cs="Times New Roman"/>
          <w:sz w:val="21"/>
          <w:szCs w:val="21"/>
        </w:rPr>
        <w:t>е</w:t>
      </w:r>
      <w:r w:rsidRPr="00954FE8">
        <w:rPr>
          <w:rFonts w:ascii="Times New Roman" w:hAnsi="Times New Roman" w:cs="Times New Roman"/>
          <w:sz w:val="21"/>
          <w:szCs w:val="21"/>
          <w:lang w:val="en-GB"/>
        </w:rPr>
        <w:t>d</w:t>
      </w:r>
      <w:r w:rsidRPr="00954FE8">
        <w:rPr>
          <w:rFonts w:ascii="Times New Roman" w:hAnsi="Times New Roman" w:cs="Times New Roman"/>
          <w:sz w:val="21"/>
          <w:szCs w:val="21"/>
          <w:lang w:val="en-US"/>
        </w:rPr>
        <w:t xml:space="preserve">. </w:t>
      </w:r>
      <w:r w:rsidRPr="00954FE8">
        <w:rPr>
          <w:rFonts w:ascii="Times New Roman" w:hAnsi="Times New Roman" w:cs="Times New Roman"/>
          <w:sz w:val="21"/>
          <w:szCs w:val="21"/>
          <w:lang w:val="en-GB"/>
        </w:rPr>
        <w:t>by</w:t>
      </w:r>
      <w:r w:rsidRPr="00954FE8">
        <w:rPr>
          <w:rFonts w:ascii="Times New Roman" w:hAnsi="Times New Roman" w:cs="Times New Roman"/>
          <w:sz w:val="21"/>
          <w:szCs w:val="21"/>
          <w:lang w:val="en-US"/>
        </w:rPr>
        <w:t xml:space="preserve"> </w:t>
      </w:r>
      <w:r w:rsidRPr="00954FE8">
        <w:rPr>
          <w:rFonts w:ascii="Times New Roman" w:hAnsi="Times New Roman" w:cs="Times New Roman"/>
          <w:sz w:val="21"/>
          <w:szCs w:val="21"/>
          <w:lang w:val="en-GB"/>
        </w:rPr>
        <w:t>M</w:t>
      </w:r>
      <w:r w:rsidRPr="00954FE8">
        <w:rPr>
          <w:rFonts w:ascii="Times New Roman" w:hAnsi="Times New Roman" w:cs="Times New Roman"/>
          <w:sz w:val="21"/>
          <w:szCs w:val="21"/>
          <w:lang w:val="en-US"/>
        </w:rPr>
        <w:t>.</w:t>
      </w:r>
      <w:r w:rsidRPr="00954FE8">
        <w:rPr>
          <w:rFonts w:ascii="Times New Roman" w:hAnsi="Times New Roman" w:cs="Times New Roman"/>
          <w:sz w:val="21"/>
          <w:szCs w:val="21"/>
        </w:rPr>
        <w:t xml:space="preserve"> </w:t>
      </w:r>
      <w:r w:rsidRPr="00954FE8">
        <w:rPr>
          <w:rFonts w:ascii="Times New Roman" w:hAnsi="Times New Roman" w:cs="Times New Roman"/>
          <w:sz w:val="21"/>
          <w:szCs w:val="21"/>
          <w:lang w:val="en-GB"/>
        </w:rPr>
        <w:t>Davies</w:t>
      </w:r>
      <w:r w:rsidRPr="00954FE8">
        <w:rPr>
          <w:rFonts w:ascii="Times New Roman" w:hAnsi="Times New Roman" w:cs="Times New Roman"/>
          <w:sz w:val="21"/>
          <w:szCs w:val="21"/>
          <w:lang w:val="en-US"/>
        </w:rPr>
        <w:t xml:space="preserve"> </w:t>
      </w:r>
      <w:r w:rsidRPr="00954FE8">
        <w:rPr>
          <w:rFonts w:ascii="Times New Roman" w:hAnsi="Times New Roman" w:cs="Times New Roman"/>
          <w:sz w:val="21"/>
          <w:szCs w:val="21"/>
        </w:rPr>
        <w:t>–</w:t>
      </w:r>
      <w:r w:rsidRPr="00954FE8">
        <w:rPr>
          <w:rFonts w:ascii="Times New Roman" w:hAnsi="Times New Roman" w:cs="Times New Roman"/>
          <w:sz w:val="21"/>
          <w:szCs w:val="21"/>
          <w:lang w:val="en-US"/>
        </w:rPr>
        <w:t xml:space="preserve"> </w:t>
      </w:r>
      <w:r w:rsidRPr="00954FE8">
        <w:rPr>
          <w:rFonts w:ascii="Times New Roman" w:hAnsi="Times New Roman" w:cs="Times New Roman"/>
          <w:sz w:val="21"/>
          <w:szCs w:val="21"/>
          <w:lang w:val="en-GB"/>
        </w:rPr>
        <w:t>Oxford</w:t>
      </w:r>
      <w:r w:rsidRPr="00954FE8">
        <w:rPr>
          <w:rFonts w:ascii="Times New Roman" w:hAnsi="Times New Roman" w:cs="Times New Roman"/>
          <w:sz w:val="21"/>
          <w:szCs w:val="21"/>
          <w:lang w:val="en-US"/>
        </w:rPr>
        <w:t xml:space="preserve"> : </w:t>
      </w:r>
      <w:r w:rsidRPr="00954FE8">
        <w:rPr>
          <w:rFonts w:ascii="Times New Roman" w:hAnsi="Times New Roman" w:cs="Times New Roman"/>
          <w:sz w:val="21"/>
          <w:szCs w:val="21"/>
          <w:lang w:val="en-GB"/>
        </w:rPr>
        <w:t>Blackwell</w:t>
      </w:r>
      <w:r w:rsidRPr="00954FE8">
        <w:rPr>
          <w:rFonts w:ascii="Times New Roman" w:hAnsi="Times New Roman" w:cs="Times New Roman"/>
          <w:sz w:val="21"/>
          <w:szCs w:val="21"/>
          <w:lang w:val="en-US"/>
        </w:rPr>
        <w:t xml:space="preserve"> </w:t>
      </w:r>
      <w:r w:rsidRPr="00954FE8">
        <w:rPr>
          <w:rFonts w:ascii="Times New Roman" w:hAnsi="Times New Roman" w:cs="Times New Roman"/>
          <w:sz w:val="21"/>
          <w:szCs w:val="21"/>
          <w:lang w:val="en-GB"/>
        </w:rPr>
        <w:t>Publishers</w:t>
      </w:r>
      <w:r w:rsidRPr="00954FE8">
        <w:rPr>
          <w:rFonts w:ascii="Times New Roman" w:hAnsi="Times New Roman" w:cs="Times New Roman"/>
          <w:sz w:val="21"/>
          <w:szCs w:val="21"/>
          <w:lang w:val="en-US"/>
        </w:rPr>
        <w:t xml:space="preserve">, 2000. </w:t>
      </w:r>
      <w:r w:rsidRPr="00954FE8">
        <w:rPr>
          <w:rFonts w:ascii="Times New Roman" w:hAnsi="Times New Roman" w:cs="Times New Roman"/>
          <w:sz w:val="21"/>
          <w:szCs w:val="21"/>
        </w:rPr>
        <w:t>–</w:t>
      </w:r>
      <w:r w:rsidRPr="00954FE8">
        <w:rPr>
          <w:rFonts w:ascii="Times New Roman" w:hAnsi="Times New Roman" w:cs="Times New Roman"/>
          <w:sz w:val="21"/>
          <w:szCs w:val="21"/>
          <w:lang w:val="en-US"/>
        </w:rPr>
        <w:t xml:space="preserve"> 480 </w:t>
      </w:r>
      <w:r w:rsidRPr="00954FE8">
        <w:rPr>
          <w:rFonts w:ascii="Times New Roman" w:hAnsi="Times New Roman" w:cs="Times New Roman"/>
          <w:sz w:val="21"/>
          <w:szCs w:val="21"/>
          <w:lang w:val="en-GB"/>
        </w:rPr>
        <w:t>p</w:t>
      </w:r>
      <w:r w:rsidRPr="00954FE8">
        <w:rPr>
          <w:rFonts w:ascii="Times New Roman" w:hAnsi="Times New Roman" w:cs="Times New Roman"/>
          <w:sz w:val="21"/>
          <w:szCs w:val="21"/>
          <w:lang w:val="en-US"/>
        </w:rPr>
        <w:t>.</w:t>
      </w:r>
      <w:bookmarkEnd w:id="515"/>
    </w:p>
    <w:p w:rsidR="00B233DE" w:rsidRDefault="00B233DE" w:rsidP="00B233DE">
      <w:pPr>
        <w:pStyle w:val="ad"/>
        <w:numPr>
          <w:ilvl w:val="0"/>
          <w:numId w:val="29"/>
        </w:numPr>
        <w:tabs>
          <w:tab w:val="left" w:pos="1134"/>
        </w:tabs>
        <w:ind w:left="0" w:firstLine="709"/>
        <w:jc w:val="both"/>
        <w:rPr>
          <w:rFonts w:ascii="Times New Roman" w:hAnsi="Times New Roman" w:cs="Times New Roman"/>
          <w:sz w:val="21"/>
          <w:szCs w:val="21"/>
        </w:rPr>
      </w:pPr>
      <w:bookmarkStart w:id="516" w:name="_Ref435620683"/>
      <w:r w:rsidRPr="00954FE8">
        <w:rPr>
          <w:rFonts w:ascii="Times New Roman" w:hAnsi="Times New Roman" w:cs="Times New Roman"/>
          <w:sz w:val="21"/>
          <w:szCs w:val="21"/>
          <w:lang w:val="en-US"/>
        </w:rPr>
        <w:t>Wilson V.</w:t>
      </w:r>
      <w:r w:rsidRPr="00954FE8">
        <w:rPr>
          <w:rFonts w:ascii="Times New Roman" w:hAnsi="Times New Roman" w:cs="Times New Roman"/>
          <w:sz w:val="21"/>
          <w:szCs w:val="21"/>
        </w:rPr>
        <w:t xml:space="preserve"> </w:t>
      </w:r>
      <w:r w:rsidRPr="00954FE8">
        <w:rPr>
          <w:rFonts w:ascii="Times New Roman" w:hAnsi="Times New Roman" w:cs="Times New Roman"/>
          <w:sz w:val="21"/>
          <w:szCs w:val="21"/>
          <w:lang w:val="en-US"/>
        </w:rPr>
        <w:t>S. Canadian Public Policy and Administration</w:t>
      </w:r>
      <w:r w:rsidRPr="00954FE8">
        <w:rPr>
          <w:rFonts w:ascii="Times New Roman" w:hAnsi="Times New Roman" w:cs="Times New Roman"/>
          <w:sz w:val="21"/>
          <w:szCs w:val="21"/>
        </w:rPr>
        <w:t xml:space="preserve"> </w:t>
      </w:r>
      <w:r w:rsidRPr="00954FE8">
        <w:rPr>
          <w:rFonts w:ascii="Times New Roman" w:hAnsi="Times New Roman" w:cs="Times New Roman"/>
          <w:sz w:val="21"/>
          <w:szCs w:val="21"/>
          <w:lang w:val="en-US"/>
        </w:rPr>
        <w:t>: Theory and Environment / V.</w:t>
      </w:r>
      <w:r w:rsidRPr="00954FE8">
        <w:rPr>
          <w:rFonts w:ascii="Times New Roman" w:hAnsi="Times New Roman" w:cs="Times New Roman"/>
          <w:sz w:val="21"/>
          <w:szCs w:val="21"/>
        </w:rPr>
        <w:t xml:space="preserve"> </w:t>
      </w:r>
      <w:r w:rsidRPr="00954FE8">
        <w:rPr>
          <w:rFonts w:ascii="Times New Roman" w:hAnsi="Times New Roman" w:cs="Times New Roman"/>
          <w:sz w:val="21"/>
          <w:szCs w:val="21"/>
          <w:lang w:val="en-US"/>
        </w:rPr>
        <w:t xml:space="preserve">S. Wilson. </w:t>
      </w:r>
      <w:r w:rsidRPr="00954FE8">
        <w:rPr>
          <w:rFonts w:ascii="Times New Roman" w:hAnsi="Times New Roman" w:cs="Times New Roman"/>
          <w:sz w:val="21"/>
          <w:szCs w:val="21"/>
        </w:rPr>
        <w:t>–</w:t>
      </w:r>
      <w:r w:rsidRPr="00954FE8">
        <w:rPr>
          <w:rFonts w:ascii="Times New Roman" w:hAnsi="Times New Roman" w:cs="Times New Roman"/>
          <w:sz w:val="21"/>
          <w:szCs w:val="21"/>
          <w:lang w:val="en-US"/>
        </w:rPr>
        <w:t xml:space="preserve"> Toronto ; N.-Y. : McGraw-Hill Ryerson, 1981. </w:t>
      </w:r>
      <w:r w:rsidRPr="00954FE8">
        <w:rPr>
          <w:rFonts w:ascii="Times New Roman" w:hAnsi="Times New Roman" w:cs="Times New Roman"/>
          <w:sz w:val="21"/>
          <w:szCs w:val="21"/>
        </w:rPr>
        <w:t>–</w:t>
      </w:r>
      <w:r w:rsidRPr="00954FE8">
        <w:rPr>
          <w:rFonts w:ascii="Times New Roman" w:hAnsi="Times New Roman" w:cs="Times New Roman"/>
          <w:sz w:val="21"/>
          <w:szCs w:val="21"/>
          <w:lang w:val="en-US"/>
        </w:rPr>
        <w:t xml:space="preserve"> 442 p.</w:t>
      </w:r>
      <w:bookmarkEnd w:id="516"/>
    </w:p>
    <w:p w:rsidR="00B233DE" w:rsidRPr="001973D8" w:rsidRDefault="00B233DE" w:rsidP="00B233DE">
      <w:pPr>
        <w:pStyle w:val="ad"/>
        <w:numPr>
          <w:ilvl w:val="0"/>
          <w:numId w:val="29"/>
        </w:numPr>
        <w:tabs>
          <w:tab w:val="left" w:pos="0"/>
          <w:tab w:val="left" w:pos="180"/>
          <w:tab w:val="left" w:pos="993"/>
          <w:tab w:val="left" w:pos="1134"/>
        </w:tabs>
        <w:ind w:left="0" w:firstLine="720"/>
        <w:jc w:val="both"/>
        <w:rPr>
          <w:rFonts w:ascii="Times New Roman" w:hAnsi="Times New Roman" w:cs="Times New Roman"/>
          <w:b/>
          <w:sz w:val="21"/>
          <w:szCs w:val="21"/>
        </w:rPr>
      </w:pPr>
      <w:bookmarkStart w:id="517" w:name="_Ref435619388"/>
      <w:r w:rsidRPr="00826CD7">
        <w:rPr>
          <w:rFonts w:ascii="Times New Roman" w:hAnsi="Times New Roman" w:cs="Times New Roman"/>
          <w:sz w:val="21"/>
          <w:szCs w:val="21"/>
          <w:lang w:val="en-US"/>
        </w:rPr>
        <w:t>Woolcock M. Social Capital and Economic Development : Toward a Theoretical Synthesis and Policy Framework / M. Woolcock // Theory and Society. – 1998. – Vol. 27. – P. 151–208.</w:t>
      </w:r>
      <w:bookmarkEnd w:id="517"/>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rPr>
          <w:rFonts w:ascii="Times New Roman" w:hAnsi="Times New Roman" w:cs="Times New Roman"/>
          <w:sz w:val="21"/>
          <w:szCs w:val="21"/>
        </w:rPr>
      </w:pPr>
      <w:r>
        <w:rPr>
          <w:rFonts w:ascii="Times New Roman" w:hAnsi="Times New Roman" w:cs="Times New Roman"/>
          <w:sz w:val="21"/>
          <w:szCs w:val="21"/>
        </w:rPr>
        <w:br w:type="page"/>
      </w: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Default="00B233DE" w:rsidP="00B233DE">
      <w:pPr>
        <w:ind w:firstLine="709"/>
        <w:rPr>
          <w:rFonts w:ascii="Times New Roman" w:hAnsi="Times New Roman" w:cs="Times New Roman"/>
          <w:sz w:val="21"/>
          <w:szCs w:val="21"/>
        </w:rPr>
      </w:pPr>
    </w:p>
    <w:p w:rsidR="00B233DE" w:rsidRPr="00306A48" w:rsidRDefault="00B233DE" w:rsidP="00B233DE">
      <w:pPr>
        <w:ind w:firstLine="709"/>
        <w:rPr>
          <w:rFonts w:ascii="Times New Roman" w:hAnsi="Times New Roman" w:cs="Times New Roman"/>
          <w:sz w:val="21"/>
          <w:szCs w:val="21"/>
          <w:lang w:val="en-US"/>
        </w:rPr>
      </w:pPr>
    </w:p>
    <w:p w:rsidR="00B233DE" w:rsidRPr="00306A48" w:rsidRDefault="00B233DE" w:rsidP="00B233DE">
      <w:pPr>
        <w:ind w:firstLine="709"/>
        <w:rPr>
          <w:rFonts w:ascii="Times New Roman" w:hAnsi="Times New Roman" w:cs="Times New Roman"/>
          <w:sz w:val="21"/>
          <w:szCs w:val="21"/>
          <w:lang w:val="en-US"/>
        </w:rPr>
      </w:pPr>
    </w:p>
    <w:p w:rsidR="00B233DE" w:rsidRPr="00306A48" w:rsidRDefault="00B233DE" w:rsidP="00B233DE">
      <w:pPr>
        <w:ind w:firstLine="709"/>
        <w:rPr>
          <w:rFonts w:ascii="Times New Roman" w:hAnsi="Times New Roman" w:cs="Times New Roman"/>
          <w:sz w:val="21"/>
          <w:szCs w:val="21"/>
          <w:lang w:val="en-US"/>
        </w:rPr>
      </w:pPr>
    </w:p>
    <w:p w:rsidR="00B233DE" w:rsidRDefault="00B233DE" w:rsidP="00B233DE">
      <w:pPr>
        <w:ind w:firstLine="709"/>
        <w:jc w:val="center"/>
        <w:rPr>
          <w:rFonts w:ascii="Times New Roman" w:hAnsi="Times New Roman" w:cs="Times New Roman"/>
          <w:b/>
          <w:sz w:val="21"/>
          <w:szCs w:val="21"/>
        </w:rPr>
      </w:pPr>
      <w:r w:rsidRPr="006135E8">
        <w:rPr>
          <w:rFonts w:ascii="Times New Roman" w:hAnsi="Times New Roman" w:cs="Times New Roman"/>
          <w:b/>
          <w:sz w:val="21"/>
          <w:szCs w:val="21"/>
        </w:rPr>
        <w:t xml:space="preserve">РОЗДІЛ </w:t>
      </w:r>
      <w:r>
        <w:rPr>
          <w:rFonts w:ascii="Times New Roman" w:hAnsi="Times New Roman" w:cs="Times New Roman"/>
          <w:b/>
          <w:sz w:val="21"/>
          <w:szCs w:val="21"/>
        </w:rPr>
        <w:t>6. ШЛЯХИ РЕФОРМУВАННЯ КОМУНАЛЬНОЇ ВЛАСНОСТІ У ПІДВИЩЕННІ ЛЮДСЬКОГО ПОТЕНЦІАЛУ ТЕРИТОРІАЛЬНИХ ГРОМАД</w:t>
      </w:r>
    </w:p>
    <w:p w:rsidR="00B233DE" w:rsidRDefault="00B233DE" w:rsidP="00B233DE">
      <w:pPr>
        <w:ind w:firstLine="709"/>
        <w:jc w:val="center"/>
        <w:rPr>
          <w:rFonts w:ascii="Times New Roman" w:hAnsi="Times New Roman" w:cs="Times New Roman"/>
          <w:b/>
          <w:sz w:val="21"/>
          <w:szCs w:val="21"/>
        </w:rPr>
      </w:pPr>
    </w:p>
    <w:p w:rsidR="00B233DE" w:rsidRDefault="00B233DE" w:rsidP="00B233DE">
      <w:pPr>
        <w:ind w:firstLine="709"/>
        <w:jc w:val="center"/>
        <w:rPr>
          <w:rFonts w:ascii="Times New Roman" w:hAnsi="Times New Roman" w:cs="Times New Roman"/>
          <w:b/>
          <w:sz w:val="21"/>
          <w:szCs w:val="21"/>
        </w:rPr>
      </w:pPr>
    </w:p>
    <w:p w:rsidR="00B233DE" w:rsidRPr="00073EA1" w:rsidRDefault="00B233DE" w:rsidP="00B233DE">
      <w:pPr>
        <w:pStyle w:val="afb"/>
        <w:shd w:val="clear" w:color="auto" w:fill="auto"/>
        <w:tabs>
          <w:tab w:val="left" w:pos="394"/>
          <w:tab w:val="left" w:pos="426"/>
        </w:tabs>
        <w:spacing w:before="0" w:line="240" w:lineRule="auto"/>
        <w:ind w:right="40" w:firstLine="709"/>
        <w:contextualSpacing/>
        <w:jc w:val="center"/>
        <w:rPr>
          <w:b/>
          <w:sz w:val="21"/>
          <w:szCs w:val="21"/>
        </w:rPr>
      </w:pPr>
      <w:r>
        <w:rPr>
          <w:rFonts w:ascii="UkrainianPeterburg" w:hAnsi="UkrainianPeterburg"/>
          <w:b/>
          <w:sz w:val="21"/>
          <w:szCs w:val="21"/>
        </w:rPr>
        <w:t>6</w:t>
      </w:r>
      <w:r w:rsidRPr="00073EA1">
        <w:rPr>
          <w:rFonts w:ascii="UkrainianPeterburg" w:hAnsi="UkrainianPeterburg"/>
          <w:b/>
          <w:sz w:val="21"/>
          <w:szCs w:val="21"/>
        </w:rPr>
        <w:t xml:space="preserve">.1. </w:t>
      </w:r>
      <w:r>
        <w:rPr>
          <w:rFonts w:ascii="UkrainianPeterburg" w:hAnsi="UkrainianPeterburg"/>
          <w:b/>
          <w:sz w:val="21"/>
          <w:szCs w:val="21"/>
        </w:rPr>
        <w:t>Реформування комунальної власності в умовах трансформації місцевого самоврядування та територіальної реорганізації</w:t>
      </w:r>
    </w:p>
    <w:p w:rsidR="00B233DE" w:rsidRPr="00F8667D" w:rsidRDefault="00B233DE" w:rsidP="00B233DE">
      <w:pPr>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Одним з пріоритетів сучасного суспільства є соціальна спрямованість економіки, у якій визначальним є розвиток соціальної сфери на найближчому до людини – місцевому рівні. З метою максимально ефективної реалізації людиною свого соціального потенціалу суб’єкти соціальної політики мають забезпечити відповідну я</w:t>
      </w:r>
      <w:r w:rsidR="00291F85">
        <w:rPr>
          <w:rFonts w:ascii="Times New Roman" w:hAnsi="Times New Roman"/>
          <w:sz w:val="21"/>
          <w:szCs w:val="21"/>
        </w:rPr>
        <w:t>кість надання соціальних послуг</w:t>
      </w:r>
      <w:r w:rsidRPr="00894944">
        <w:rPr>
          <w:rFonts w:ascii="Times New Roman" w:hAnsi="Times New Roman"/>
          <w:sz w:val="21"/>
          <w:szCs w:val="21"/>
        </w:rPr>
        <w:t xml:space="preserve"> і</w:t>
      </w:r>
      <w:r w:rsidR="00291F85">
        <w:rPr>
          <w:rFonts w:ascii="Times New Roman" w:hAnsi="Times New Roman"/>
          <w:sz w:val="21"/>
          <w:szCs w:val="21"/>
        </w:rPr>
        <w:t>, у першу чергу,</w:t>
      </w:r>
      <w:r w:rsidRPr="00894944">
        <w:rPr>
          <w:rFonts w:ascii="Times New Roman" w:hAnsi="Times New Roman"/>
          <w:sz w:val="21"/>
          <w:szCs w:val="21"/>
        </w:rPr>
        <w:t xml:space="preserve"> через удосконалення системи управління соціальним розвитком територій. При цьому реформування управлінських підходів у сфері соціального розвитку стосується більшою мірою не центральних, а місцевих органів влади та органів місцевого самоврядування.</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Основна проблема у цьому аспекті полягає в оптимальному поєднанні місцевих і загальнонаціональних інтересів та у реалізації цілеспрямованої соціальної політики на місцях в умовах обмеженості комунальних та інших ресурсів.</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При цьому саме на рівні громад досягається більша ефективність прийняття управлінських рішень, результативність соціальної політики, а також можливість залучення громадян не лише до процесу споживання послуг, а й їх виробництва у тому числі на основі залучення комунальної власності.</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Елементи соціальної регіональної політики, співвідно</w:t>
      </w:r>
      <w:r>
        <w:rPr>
          <w:rFonts w:ascii="Times New Roman" w:hAnsi="Times New Roman"/>
          <w:sz w:val="21"/>
          <w:szCs w:val="21"/>
        </w:rPr>
        <w:t>-</w:t>
      </w:r>
      <w:r w:rsidRPr="00894944">
        <w:rPr>
          <w:rFonts w:ascii="Times New Roman" w:hAnsi="Times New Roman"/>
          <w:sz w:val="21"/>
          <w:szCs w:val="21"/>
        </w:rPr>
        <w:t xml:space="preserve">шення функцій і повноважень різних рівнів влади та органів </w:t>
      </w:r>
      <w:r w:rsidRPr="00894944">
        <w:rPr>
          <w:rFonts w:ascii="Times New Roman" w:hAnsi="Times New Roman"/>
          <w:sz w:val="21"/>
          <w:szCs w:val="21"/>
        </w:rPr>
        <w:lastRenderedPageBreak/>
        <w:t>місцевого самоврядування досить широко досліджуються у працях вітчизняних учених: О</w:t>
      </w:r>
      <w:r w:rsidR="00291F85">
        <w:rPr>
          <w:rFonts w:ascii="Times New Roman" w:hAnsi="Times New Roman"/>
          <w:sz w:val="21"/>
          <w:szCs w:val="21"/>
        </w:rPr>
        <w:t>. І</w:t>
      </w:r>
      <w:r w:rsidRPr="00894944">
        <w:rPr>
          <w:rFonts w:ascii="Times New Roman" w:hAnsi="Times New Roman"/>
          <w:sz w:val="21"/>
          <w:szCs w:val="21"/>
        </w:rPr>
        <w:t>. Амоші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_Ref436211240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2</w:t>
      </w:r>
      <w:r w:rsidR="00FC3E63">
        <w:rPr>
          <w:rFonts w:ascii="Times New Roman" w:hAnsi="Times New Roman" w:cs="Times New Roman"/>
          <w:bCs/>
          <w:color w:val="000000" w:themeColor="text1"/>
          <w:sz w:val="21"/>
          <w:szCs w:val="21"/>
          <w:highlight w:val="yellow"/>
        </w:rPr>
        <w:fldChar w:fldCharType="end"/>
      </w:r>
      <w:r w:rsidR="00291F85">
        <w:rPr>
          <w:rFonts w:ascii="Times New Roman" w:hAnsi="Times New Roman"/>
          <w:sz w:val="21"/>
          <w:szCs w:val="21"/>
        </w:rPr>
        <w:t xml:space="preserve">], О. С. </w:t>
      </w:r>
      <w:r w:rsidRPr="00894944">
        <w:rPr>
          <w:rFonts w:ascii="Times New Roman" w:hAnsi="Times New Roman"/>
          <w:sz w:val="21"/>
          <w:szCs w:val="21"/>
        </w:rPr>
        <w:t>Власюка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_Ref436211256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22</w:t>
      </w:r>
      <w:r w:rsidR="00FC3E63">
        <w:rPr>
          <w:rFonts w:ascii="Times New Roman" w:hAnsi="Times New Roman" w:cs="Times New Roman"/>
          <w:bCs/>
          <w:color w:val="000000" w:themeColor="text1"/>
          <w:sz w:val="21"/>
          <w:szCs w:val="21"/>
          <w:highlight w:val="yellow"/>
        </w:rPr>
        <w:fldChar w:fldCharType="end"/>
      </w:r>
      <w:r w:rsidRPr="00894944">
        <w:rPr>
          <w:rFonts w:ascii="Times New Roman" w:hAnsi="Times New Roman"/>
          <w:sz w:val="21"/>
          <w:szCs w:val="21"/>
        </w:rPr>
        <w:t>], М. І. Долішнього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_Ref436211265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43</w:t>
      </w:r>
      <w:r w:rsidR="00FC3E63">
        <w:rPr>
          <w:rFonts w:ascii="Times New Roman" w:hAnsi="Times New Roman" w:cs="Times New Roman"/>
          <w:bCs/>
          <w:color w:val="000000" w:themeColor="text1"/>
          <w:sz w:val="21"/>
          <w:szCs w:val="21"/>
          <w:highlight w:val="yellow"/>
        </w:rPr>
        <w:fldChar w:fldCharType="end"/>
      </w:r>
      <w:r w:rsidRPr="00894944">
        <w:rPr>
          <w:rFonts w:ascii="Times New Roman" w:hAnsi="Times New Roman"/>
          <w:sz w:val="21"/>
          <w:szCs w:val="21"/>
        </w:rPr>
        <w:t>], Е. М. Лібанової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_Ref436211273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21</w:t>
      </w:r>
      <w:r w:rsidR="00FC3E63">
        <w:rPr>
          <w:rFonts w:ascii="Times New Roman" w:hAnsi="Times New Roman" w:cs="Times New Roman"/>
          <w:bCs/>
          <w:color w:val="000000" w:themeColor="text1"/>
          <w:sz w:val="21"/>
          <w:szCs w:val="21"/>
          <w:highlight w:val="yellow"/>
        </w:rPr>
        <w:fldChar w:fldCharType="end"/>
      </w:r>
      <w:r w:rsidRPr="00894944">
        <w:rPr>
          <w:rFonts w:ascii="Times New Roman" w:hAnsi="Times New Roman"/>
          <w:sz w:val="21"/>
          <w:szCs w:val="21"/>
        </w:rPr>
        <w:t>] та інших.</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Однак, серед науковців відсутня єдина точка зору щодо співвідношення загальнонаціональних та регіональних повноважень у сфері управління соціальним розвитком кожної окремої території. Дійсно, більшу частину «соціальних» повноважень і управлінських функцій держава залишає за собою, передаючи на регіональний рівень лише певною мірою «транзитні» функції. Але цілком очевидно, що низька результативність соціальної політики відображається у вигляді посилення соціального напруження саме на місцевому рівні та може використовуватися як засіб політичної боротьби. Так, «при функціонуванні будь-якого суспільства інтереси місцевого соціального середовища є самостійним значущим чинником політичного тиску»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_Ref436211282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48</w:t>
      </w:r>
      <w:r w:rsidR="00FC3E63">
        <w:rPr>
          <w:rFonts w:ascii="Times New Roman" w:hAnsi="Times New Roman" w:cs="Times New Roman"/>
          <w:bCs/>
          <w:color w:val="000000" w:themeColor="text1"/>
          <w:sz w:val="21"/>
          <w:szCs w:val="21"/>
          <w:highlight w:val="yellow"/>
        </w:rPr>
        <w:fldChar w:fldCharType="end"/>
      </w:r>
      <w:r w:rsidRPr="00894944">
        <w:rPr>
          <w:rFonts w:ascii="Times New Roman" w:hAnsi="Times New Roman"/>
          <w:sz w:val="21"/>
          <w:szCs w:val="21"/>
        </w:rPr>
        <w:t>]. Особливу увагу дослідників завжди привертало питання регіональної нерівномірності у забезпеченні послуг соціальної сфери: «У будь-якій продуктивно працюючій системі є лідери і є аутсайдери, але у соціальній системі ми маємо забезпечити єдині національні стандарти рівня життя, єдині національні соціальні стандарти» [</w:t>
      </w:r>
      <w:r w:rsidR="00FC3E63">
        <w:rPr>
          <w:rFonts w:ascii="Times New Roman" w:hAnsi="Times New Roman" w:cs="Times New Roman"/>
          <w:bCs/>
          <w:color w:val="000000" w:themeColor="text1"/>
          <w:sz w:val="21"/>
          <w:szCs w:val="21"/>
        </w:rPr>
        <w:fldChar w:fldCharType="begin"/>
      </w:r>
      <w:r w:rsidR="00FC3E63">
        <w:rPr>
          <w:rFonts w:ascii="Times New Roman" w:hAnsi="Times New Roman"/>
          <w:sz w:val="21"/>
          <w:szCs w:val="21"/>
        </w:rPr>
        <w:instrText xml:space="preserve"> REF _Ref436211301 \r \h </w:instrText>
      </w:r>
      <w:r w:rsidR="00FC3E63">
        <w:rPr>
          <w:rFonts w:ascii="Times New Roman" w:hAnsi="Times New Roman" w:cs="Times New Roman"/>
          <w:bCs/>
          <w:color w:val="000000" w:themeColor="text1"/>
          <w:sz w:val="21"/>
          <w:szCs w:val="21"/>
        </w:rPr>
      </w:r>
      <w:r w:rsidR="00FC3E63">
        <w:rPr>
          <w:rFonts w:ascii="Times New Roman" w:hAnsi="Times New Roman" w:cs="Times New Roman"/>
          <w:bCs/>
          <w:color w:val="000000" w:themeColor="text1"/>
          <w:sz w:val="21"/>
          <w:szCs w:val="21"/>
        </w:rPr>
        <w:fldChar w:fldCharType="separate"/>
      </w:r>
      <w:r w:rsidR="00FC3E63">
        <w:rPr>
          <w:rFonts w:ascii="Times New Roman" w:hAnsi="Times New Roman"/>
          <w:sz w:val="21"/>
          <w:szCs w:val="21"/>
        </w:rPr>
        <w:t>1</w:t>
      </w:r>
      <w:r w:rsidR="00FC3E63">
        <w:rPr>
          <w:rFonts w:ascii="Times New Roman" w:hAnsi="Times New Roman" w:cs="Times New Roman"/>
          <w:bCs/>
          <w:color w:val="000000" w:themeColor="text1"/>
          <w:sz w:val="21"/>
          <w:szCs w:val="21"/>
        </w:rPr>
        <w:fldChar w:fldCharType="end"/>
      </w:r>
      <w:r w:rsidRPr="00894944">
        <w:rPr>
          <w:rFonts w:ascii="Times New Roman" w:hAnsi="Times New Roman"/>
          <w:sz w:val="21"/>
          <w:szCs w:val="21"/>
        </w:rPr>
        <w:t>].</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 xml:space="preserve">Динамічний розвиток середовища життєдіяльності людини, потреба систематичного підвищення соціальних стандартів вимагають зміни пріоритетів соціальної політики на регіональному і місцевому рівнях, а також перегляду повноважень органів влади різних рівнів та органів місцевого самоврядування як різнорівневих суб’єктів соціальної регіональної політики. </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Державною стратегією регіонального розвитку на період до 2015 р. було визначено, що метою реформування системи державного управління та місцевого самоврядування має стати створення децентралізованої моделі організації влади, спроможної ефективно впливати на процеси соціально-економічного і культурного розвитку територій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_Ref436211309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9</w:t>
      </w:r>
      <w:r w:rsidR="00FC3E63">
        <w:rPr>
          <w:rFonts w:ascii="Times New Roman" w:hAnsi="Times New Roman" w:cs="Times New Roman"/>
          <w:bCs/>
          <w:color w:val="000000" w:themeColor="text1"/>
          <w:sz w:val="21"/>
          <w:szCs w:val="21"/>
          <w:highlight w:val="yellow"/>
        </w:rPr>
        <w:fldChar w:fldCharType="end"/>
      </w:r>
      <w:r w:rsidRPr="00894944">
        <w:rPr>
          <w:rFonts w:ascii="Times New Roman" w:hAnsi="Times New Roman"/>
          <w:sz w:val="21"/>
          <w:szCs w:val="21"/>
        </w:rPr>
        <w:t>], у тому числі на основі права комунальної власності. Більшість повноважень, які безпосередньо стосуються розвитку особистості, за принципом субсидіарності має бути передано для забезпечення на рівень громад, що підтверджується Державною стратегією регіонального розвитку на період до 2020 року, затвердженою постановою Кабінету Міністрів України від 6 серпня 2014 р. № 385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_Ref436211317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31</w:t>
      </w:r>
      <w:r w:rsidR="00FC3E63">
        <w:rPr>
          <w:rFonts w:ascii="Times New Roman" w:hAnsi="Times New Roman" w:cs="Times New Roman"/>
          <w:bCs/>
          <w:color w:val="000000" w:themeColor="text1"/>
          <w:sz w:val="21"/>
          <w:szCs w:val="21"/>
          <w:highlight w:val="yellow"/>
        </w:rPr>
        <w:fldChar w:fldCharType="end"/>
      </w:r>
      <w:r w:rsidRPr="00894944">
        <w:rPr>
          <w:rFonts w:ascii="Times New Roman" w:hAnsi="Times New Roman"/>
          <w:sz w:val="21"/>
          <w:szCs w:val="21"/>
        </w:rPr>
        <w:t xml:space="preserve">]. Натомість практика </w:t>
      </w:r>
      <w:r w:rsidRPr="00894944">
        <w:rPr>
          <w:rFonts w:ascii="Times New Roman" w:hAnsi="Times New Roman"/>
          <w:sz w:val="21"/>
          <w:szCs w:val="21"/>
        </w:rPr>
        <w:lastRenderedPageBreak/>
        <w:t>управління соціальним розвитком регіонів засвідчила, що повноцінної децентралізації цих повноважень на користь органів місцевого самоврядування досі не відбулося. Крім того, дієвість регіональної соціальної політики залишається вкрай низькою через недосконалість розвитку міжбюджетних відносин у державі, власна ж соціальна політика регіонів ще не набрала системного вигляду. Це призводить до розмивання головної мети будь-яких трансформацій – створення умов для всебічного людського розвитку, і у першу чергу – на рівні територіальних громад.</w:t>
      </w:r>
    </w:p>
    <w:p w:rsidR="00B233DE" w:rsidRPr="00894944" w:rsidRDefault="00B233DE" w:rsidP="00B233DE">
      <w:pPr>
        <w:pStyle w:val="aff5"/>
        <w:widowControl w:val="0"/>
        <w:spacing w:before="0" w:beforeAutospacing="0" w:after="0" w:afterAutospacing="0"/>
        <w:ind w:firstLine="709"/>
        <w:jc w:val="both"/>
        <w:rPr>
          <w:sz w:val="21"/>
          <w:szCs w:val="21"/>
        </w:rPr>
      </w:pPr>
      <w:r w:rsidRPr="00894944">
        <w:rPr>
          <w:sz w:val="21"/>
          <w:szCs w:val="21"/>
        </w:rPr>
        <w:t>У нормативно-статутарному аспекті слід зазначити, що в Україні закладено конституційні засади місцевого самоврядування, ратифіковано Європейську хартію місцевого самоврядування 1985 року, ухвалено низку базових нормативно-правових актів, які передбачають правові та фінансові основи його діяльності. Але систематичний аналіз вказаних нормативних джерел виявляє в них одну загальну рису: наявність «розриву» між нормативним закріпленням та практикою реалізації. Конституційні засади місцевого самоврядування в Україні є, але вони загалом суперечать нормативним засадам місцевого самоврядування (хоча мали б їм відповідати), бо в Конституції держави закладена громадівська модель місцевого самоврядування, а в законодавстві переважають риси державницької моделі. Усе це суперечить принципам Європейської хартії місцевого самоврядування 1985 року, через що вона не має шансів закріпитися в нормативному масиві країни, бо фактично є антагоністичною реаліям, створеним нормативним регулюванням локальної демократії.</w:t>
      </w:r>
    </w:p>
    <w:p w:rsidR="00B233DE" w:rsidRPr="00894944" w:rsidRDefault="00B233DE" w:rsidP="00B233DE">
      <w:pPr>
        <w:pStyle w:val="aff5"/>
        <w:widowControl w:val="0"/>
        <w:spacing w:before="0" w:beforeAutospacing="0" w:after="0" w:afterAutospacing="0"/>
        <w:ind w:firstLine="709"/>
        <w:jc w:val="both"/>
        <w:rPr>
          <w:sz w:val="21"/>
          <w:szCs w:val="21"/>
        </w:rPr>
      </w:pPr>
      <w:r w:rsidRPr="00894944">
        <w:rPr>
          <w:sz w:val="21"/>
          <w:szCs w:val="21"/>
        </w:rPr>
        <w:t>Слід також наголосити, що з часу ухвалення Конституції України 1996 року та базових для місцевого самоврядування нормативно-правових актів (1997</w:t>
      </w:r>
      <w:r>
        <w:rPr>
          <w:sz w:val="21"/>
          <w:szCs w:val="21"/>
        </w:rPr>
        <w:t>–</w:t>
      </w:r>
      <w:r w:rsidRPr="00894944">
        <w:rPr>
          <w:sz w:val="21"/>
          <w:szCs w:val="21"/>
        </w:rPr>
        <w:t>2004) перманентний розвиток місцевого самоврядування фактично зупинився на рівні територіальних громад – міст обласного значення. Оскільки переважна більшість територіальних громад через їхню надмірну подрібненість та надзвичайно слабку фінансову базу виявилися не тільки неспроможними виконувати повноваження місцевого самоврядування, а й фактично перетворилися на його модель, яка існує, але не функціонує.</w:t>
      </w:r>
    </w:p>
    <w:p w:rsidR="00B233DE" w:rsidRPr="00894944" w:rsidRDefault="00B233DE" w:rsidP="00B233DE">
      <w:pPr>
        <w:pStyle w:val="aff5"/>
        <w:widowControl w:val="0"/>
        <w:spacing w:before="0" w:beforeAutospacing="0" w:after="0" w:afterAutospacing="0"/>
        <w:ind w:firstLine="709"/>
        <w:jc w:val="both"/>
        <w:rPr>
          <w:sz w:val="21"/>
          <w:szCs w:val="21"/>
        </w:rPr>
      </w:pPr>
      <w:r w:rsidRPr="00894944">
        <w:rPr>
          <w:sz w:val="21"/>
          <w:szCs w:val="21"/>
        </w:rPr>
        <w:t xml:space="preserve">Такий висновок підтверджується тим, що майже 70 % територіальних громад мають населення менш як дві тисячі осіб, що об’єктивно й істотно ускладнює надання їм необхідного </w:t>
      </w:r>
      <w:r w:rsidRPr="00894944">
        <w:rPr>
          <w:sz w:val="21"/>
          <w:szCs w:val="21"/>
        </w:rPr>
        <w:lastRenderedPageBreak/>
        <w:t xml:space="preserve">переліку послуг. У разі незначної кількості населення у громаді виникають системні проблеми, пов’язані із забезпеченням комплексом так званих муніципальних послуг. Тобто постає проблема оптимізації територіальних громад, виходячи з їхньої практичної можливості забезпечити своїх членів відповідними послугами. І тут компетенція місцевого самоврядування напряму пов’язана не тільки з кількістю жителів, а й з «наповненістю» відповідної території такими послугами, як функціонування дошкільних та шкільних закладів, наявність структур медичного обслуговування, торговельної і транспортної інфраструктури тощо. </w:t>
      </w:r>
    </w:p>
    <w:p w:rsidR="00B233DE" w:rsidRPr="00894944" w:rsidRDefault="00B233DE" w:rsidP="00B233DE">
      <w:pPr>
        <w:pStyle w:val="aff5"/>
        <w:widowControl w:val="0"/>
        <w:spacing w:before="0" w:beforeAutospacing="0" w:after="0" w:afterAutospacing="0"/>
        <w:ind w:firstLine="709"/>
        <w:jc w:val="both"/>
        <w:rPr>
          <w:sz w:val="21"/>
          <w:szCs w:val="21"/>
        </w:rPr>
      </w:pPr>
      <w:r w:rsidRPr="00894944">
        <w:rPr>
          <w:sz w:val="21"/>
          <w:szCs w:val="21"/>
        </w:rPr>
        <w:t xml:space="preserve">Отже, система місцевого самоврядування в Україні є неефективною, економічно й логістично необґрунтованою, фінансово обтяжливою та не відповідає потребам суспільства. </w:t>
      </w:r>
    </w:p>
    <w:p w:rsidR="00B233DE" w:rsidRPr="00894944" w:rsidRDefault="00B233DE" w:rsidP="00B233DE">
      <w:pPr>
        <w:pStyle w:val="aff5"/>
        <w:widowControl w:val="0"/>
        <w:spacing w:before="0" w:beforeAutospacing="0" w:after="0" w:afterAutospacing="0"/>
        <w:ind w:firstLine="709"/>
        <w:jc w:val="both"/>
        <w:rPr>
          <w:sz w:val="21"/>
          <w:szCs w:val="21"/>
        </w:rPr>
      </w:pPr>
      <w:r w:rsidRPr="00894944">
        <w:rPr>
          <w:sz w:val="21"/>
          <w:szCs w:val="21"/>
        </w:rPr>
        <w:t>Тому функціонування місцевого самоврядування не спрямоване на реалізацію його головного призначення – створення та підтримання сприятливого життєвого середовища, необхідного для всебічного розвитку людини, надання мешканцям територіальних громад якісних і доступних публічних послуг на основі сталого розвитку дієздатної громади та належної їй комунальної власності.</w:t>
      </w:r>
    </w:p>
    <w:p w:rsidR="00B233DE" w:rsidRPr="00894944" w:rsidRDefault="00B233DE" w:rsidP="00B233DE">
      <w:pPr>
        <w:pStyle w:val="aff5"/>
        <w:widowControl w:val="0"/>
        <w:spacing w:before="0" w:beforeAutospacing="0" w:after="0" w:afterAutospacing="0"/>
        <w:ind w:firstLine="709"/>
        <w:jc w:val="both"/>
        <w:rPr>
          <w:sz w:val="21"/>
          <w:szCs w:val="21"/>
        </w:rPr>
      </w:pPr>
      <w:r w:rsidRPr="00894944">
        <w:rPr>
          <w:sz w:val="21"/>
          <w:szCs w:val="21"/>
        </w:rPr>
        <w:t>Задля ефективної реалізації соціальної регіональної політики на основі раціонального використання комунальної власності в умовах реформування локальної демократії перед місцевим самоврядуванням постали виклики, які потребують ефективного та швидкого реагування і на організаційному, і на нормативному рівнях, а саме [</w:t>
      </w:r>
      <w:r w:rsidR="00FC3E63">
        <w:rPr>
          <w:bCs/>
          <w:color w:val="000000" w:themeColor="text1"/>
          <w:sz w:val="21"/>
          <w:szCs w:val="21"/>
          <w:highlight w:val="yellow"/>
        </w:rPr>
        <w:fldChar w:fldCharType="begin"/>
      </w:r>
      <w:r w:rsidR="00FC3E63">
        <w:rPr>
          <w:sz w:val="21"/>
          <w:szCs w:val="21"/>
        </w:rPr>
        <w:instrText xml:space="preserve"> REF _Ref436211326 \r \h </w:instrText>
      </w:r>
      <w:r w:rsidR="00FC3E63">
        <w:rPr>
          <w:bCs/>
          <w:color w:val="000000" w:themeColor="text1"/>
          <w:sz w:val="21"/>
          <w:szCs w:val="21"/>
          <w:highlight w:val="yellow"/>
        </w:rPr>
      </w:r>
      <w:r w:rsidR="00FC3E63">
        <w:rPr>
          <w:bCs/>
          <w:color w:val="000000" w:themeColor="text1"/>
          <w:sz w:val="21"/>
          <w:szCs w:val="21"/>
          <w:highlight w:val="yellow"/>
        </w:rPr>
        <w:fldChar w:fldCharType="separate"/>
      </w:r>
      <w:r w:rsidR="00FC3E63">
        <w:rPr>
          <w:sz w:val="21"/>
          <w:szCs w:val="21"/>
        </w:rPr>
        <w:t>3</w:t>
      </w:r>
      <w:r w:rsidR="00FC3E63">
        <w:rPr>
          <w:bCs/>
          <w:color w:val="000000" w:themeColor="text1"/>
          <w:sz w:val="21"/>
          <w:szCs w:val="21"/>
          <w:highlight w:val="yellow"/>
        </w:rPr>
        <w:fldChar w:fldCharType="end"/>
      </w:r>
      <w:r w:rsidRPr="00894944">
        <w:rPr>
          <w:sz w:val="21"/>
          <w:szCs w:val="21"/>
        </w:rPr>
        <w:t>]:</w:t>
      </w:r>
    </w:p>
    <w:p w:rsidR="00B233DE" w:rsidRPr="00894944" w:rsidRDefault="00B233DE" w:rsidP="00B233DE">
      <w:pPr>
        <w:pStyle w:val="aff5"/>
        <w:widowControl w:val="0"/>
        <w:numPr>
          <w:ilvl w:val="0"/>
          <w:numId w:val="43"/>
        </w:numPr>
        <w:tabs>
          <w:tab w:val="left" w:pos="993"/>
        </w:tabs>
        <w:spacing w:before="0" w:beforeAutospacing="0" w:after="0" w:afterAutospacing="0"/>
        <w:ind w:left="0" w:firstLine="709"/>
        <w:jc w:val="both"/>
        <w:rPr>
          <w:sz w:val="21"/>
          <w:szCs w:val="21"/>
        </w:rPr>
      </w:pPr>
      <w:r w:rsidRPr="00894944">
        <w:rPr>
          <w:sz w:val="21"/>
          <w:szCs w:val="21"/>
        </w:rPr>
        <w:t>розв’язання проблеми економічної неспроможності більшості територіальних громад, органів місцевого самоврядування щодо здійснення власних і делегованих повноважень у сфері соціальної політики (економічний чинник);</w:t>
      </w:r>
    </w:p>
    <w:p w:rsidR="00B233DE" w:rsidRPr="00894944" w:rsidRDefault="00B233DE" w:rsidP="00B233DE">
      <w:pPr>
        <w:pStyle w:val="aff5"/>
        <w:widowControl w:val="0"/>
        <w:numPr>
          <w:ilvl w:val="0"/>
          <w:numId w:val="43"/>
        </w:numPr>
        <w:tabs>
          <w:tab w:val="left" w:pos="993"/>
        </w:tabs>
        <w:spacing w:before="0" w:beforeAutospacing="0" w:after="0" w:afterAutospacing="0"/>
        <w:ind w:left="0" w:firstLine="709"/>
        <w:jc w:val="both"/>
        <w:rPr>
          <w:sz w:val="21"/>
          <w:szCs w:val="21"/>
        </w:rPr>
      </w:pPr>
      <w:r w:rsidRPr="00894944">
        <w:rPr>
          <w:sz w:val="21"/>
          <w:szCs w:val="21"/>
        </w:rPr>
        <w:t>розв’язання проблеми обмеженості ресурсів у бюджетах розвитку територіальних громад для інвестицій в інфраструктуру (ресурсний чинник);</w:t>
      </w:r>
    </w:p>
    <w:p w:rsidR="00B233DE" w:rsidRPr="00894944" w:rsidRDefault="00B233DE" w:rsidP="00B233DE">
      <w:pPr>
        <w:pStyle w:val="aff5"/>
        <w:widowControl w:val="0"/>
        <w:numPr>
          <w:ilvl w:val="0"/>
          <w:numId w:val="43"/>
        </w:numPr>
        <w:tabs>
          <w:tab w:val="left" w:pos="993"/>
        </w:tabs>
        <w:spacing w:before="0" w:beforeAutospacing="0" w:after="0" w:afterAutospacing="0"/>
        <w:ind w:left="0" w:firstLine="709"/>
        <w:jc w:val="both"/>
        <w:rPr>
          <w:sz w:val="21"/>
          <w:szCs w:val="21"/>
        </w:rPr>
      </w:pPr>
      <w:r w:rsidRPr="00894944">
        <w:rPr>
          <w:sz w:val="21"/>
          <w:szCs w:val="21"/>
        </w:rPr>
        <w:t>ефективне подолання кризи комунальної інфраструктури, загрозливої зношеності теплових, водноканалізаційних, водопостачальних мереж та житлового фонду, що детермінує виникнення техногенних катастроф (інфраструктурний чинник);</w:t>
      </w:r>
    </w:p>
    <w:p w:rsidR="00B233DE" w:rsidRPr="00894944" w:rsidRDefault="00B233DE" w:rsidP="00B233DE">
      <w:pPr>
        <w:pStyle w:val="aff5"/>
        <w:widowControl w:val="0"/>
        <w:numPr>
          <w:ilvl w:val="0"/>
          <w:numId w:val="43"/>
        </w:numPr>
        <w:tabs>
          <w:tab w:val="left" w:pos="993"/>
        </w:tabs>
        <w:spacing w:before="0" w:beforeAutospacing="0" w:after="0" w:afterAutospacing="0"/>
        <w:ind w:left="0" w:firstLine="709"/>
        <w:jc w:val="both"/>
        <w:rPr>
          <w:sz w:val="21"/>
          <w:szCs w:val="21"/>
        </w:rPr>
      </w:pPr>
      <w:r w:rsidRPr="00894944">
        <w:rPr>
          <w:sz w:val="21"/>
          <w:szCs w:val="21"/>
        </w:rPr>
        <w:t xml:space="preserve">необхідність здійснення «компетенційної революції», </w:t>
      </w:r>
      <w:r w:rsidRPr="00894944">
        <w:rPr>
          <w:sz w:val="21"/>
          <w:szCs w:val="21"/>
        </w:rPr>
        <w:lastRenderedPageBreak/>
        <w:t>що зумовлена відсутністю чіткого розподілу повноважень між рівнями, органами та посадовими особами місцевого самоврядування, внаслідок чого виникає дублювання повноважень, конкуренція компетенцій та багато підстав для виникнення компетенційних суперечок між названими суб’єктами різного рівня (компетенційний чинник);</w:t>
      </w:r>
    </w:p>
    <w:p w:rsidR="00B233DE" w:rsidRPr="00894944" w:rsidRDefault="00B233DE" w:rsidP="00B233DE">
      <w:pPr>
        <w:pStyle w:val="aff5"/>
        <w:widowControl w:val="0"/>
        <w:numPr>
          <w:ilvl w:val="0"/>
          <w:numId w:val="43"/>
        </w:numPr>
        <w:tabs>
          <w:tab w:val="left" w:pos="993"/>
        </w:tabs>
        <w:spacing w:before="0" w:beforeAutospacing="0" w:after="0" w:afterAutospacing="0"/>
        <w:ind w:left="0" w:firstLine="709"/>
        <w:jc w:val="both"/>
        <w:rPr>
          <w:sz w:val="21"/>
          <w:szCs w:val="21"/>
        </w:rPr>
      </w:pPr>
      <w:r w:rsidRPr="00894944">
        <w:rPr>
          <w:sz w:val="21"/>
          <w:szCs w:val="21"/>
        </w:rPr>
        <w:t>подолання суспільної недовіри та відчуженості органів місцевого самоврядування від населення та їхньої корпоратизації, закритості й непрозорості діяльності, неефективного використання комунальної власності, земельних ресурсів, корупції, патерналізму у стосунках із населенням (комунікаційно-суб’єктивний чинник);</w:t>
      </w:r>
    </w:p>
    <w:p w:rsidR="00B233DE" w:rsidRPr="00894944" w:rsidRDefault="00B233DE" w:rsidP="00B233DE">
      <w:pPr>
        <w:pStyle w:val="aff5"/>
        <w:widowControl w:val="0"/>
        <w:numPr>
          <w:ilvl w:val="0"/>
          <w:numId w:val="43"/>
        </w:numPr>
        <w:tabs>
          <w:tab w:val="left" w:pos="993"/>
        </w:tabs>
        <w:spacing w:before="0" w:beforeAutospacing="0" w:after="0" w:afterAutospacing="0"/>
        <w:ind w:left="0" w:firstLine="709"/>
        <w:jc w:val="both"/>
        <w:rPr>
          <w:sz w:val="21"/>
          <w:szCs w:val="21"/>
        </w:rPr>
      </w:pPr>
      <w:r w:rsidRPr="00894944">
        <w:rPr>
          <w:sz w:val="21"/>
          <w:szCs w:val="21"/>
        </w:rPr>
        <w:t>подолання кризи у кадровій політиці місцевого самоврядування, системі підготовки, перепідготовки, підвищення кваліфікації посадових осіб, службовців органів місцевого самоврядування, депутатів місцевих рад (кадровий чинник);</w:t>
      </w:r>
    </w:p>
    <w:p w:rsidR="00B233DE" w:rsidRPr="00894944" w:rsidRDefault="00B233DE" w:rsidP="00B233DE">
      <w:pPr>
        <w:pStyle w:val="aff5"/>
        <w:widowControl w:val="0"/>
        <w:numPr>
          <w:ilvl w:val="0"/>
          <w:numId w:val="43"/>
        </w:numPr>
        <w:tabs>
          <w:tab w:val="left" w:pos="993"/>
        </w:tabs>
        <w:spacing w:before="0" w:beforeAutospacing="0" w:after="0" w:afterAutospacing="0"/>
        <w:ind w:left="0" w:firstLine="709"/>
        <w:jc w:val="both"/>
        <w:rPr>
          <w:sz w:val="21"/>
          <w:szCs w:val="21"/>
        </w:rPr>
      </w:pPr>
      <w:r w:rsidRPr="00894944">
        <w:rPr>
          <w:sz w:val="21"/>
          <w:szCs w:val="21"/>
        </w:rPr>
        <w:t>подолання нерозвиненості незалежного суспільного сектору соціальних ініціатив і соціальної економіки з виробництва соціальних, культурних, побутових, інформаційних та інших послуг для населення; створення належних умов для використання ресурсного потенціалу цього сектору в місцевому розвитку (чинник нерозвиненості інфраструктури територіальної громади);</w:t>
      </w:r>
    </w:p>
    <w:p w:rsidR="00B233DE" w:rsidRPr="00894944" w:rsidRDefault="00B233DE" w:rsidP="00B233DE">
      <w:pPr>
        <w:pStyle w:val="aff5"/>
        <w:widowControl w:val="0"/>
        <w:numPr>
          <w:ilvl w:val="0"/>
          <w:numId w:val="43"/>
        </w:numPr>
        <w:tabs>
          <w:tab w:val="left" w:pos="993"/>
        </w:tabs>
        <w:spacing w:before="0" w:beforeAutospacing="0" w:after="0" w:afterAutospacing="0"/>
        <w:ind w:left="0" w:firstLine="709"/>
        <w:jc w:val="both"/>
        <w:rPr>
          <w:sz w:val="21"/>
          <w:szCs w:val="21"/>
        </w:rPr>
      </w:pPr>
      <w:r w:rsidRPr="00894944">
        <w:rPr>
          <w:sz w:val="21"/>
          <w:szCs w:val="21"/>
        </w:rPr>
        <w:t>ефективний розвиток форм прямої демократії, сприяння набуттю мешканцями навичок безпосередньої участі у вирішенні соціальних питань місцевого значення (чинник дефіциту партисипативної демократїї);</w:t>
      </w:r>
    </w:p>
    <w:p w:rsidR="00B233DE" w:rsidRPr="00894944" w:rsidRDefault="00B233DE" w:rsidP="00B233DE">
      <w:pPr>
        <w:pStyle w:val="aff5"/>
        <w:widowControl w:val="0"/>
        <w:numPr>
          <w:ilvl w:val="0"/>
          <w:numId w:val="43"/>
        </w:numPr>
        <w:tabs>
          <w:tab w:val="left" w:pos="993"/>
        </w:tabs>
        <w:spacing w:before="0" w:beforeAutospacing="0" w:after="0" w:afterAutospacing="0"/>
        <w:ind w:left="0" w:firstLine="709"/>
        <w:jc w:val="both"/>
        <w:rPr>
          <w:sz w:val="21"/>
          <w:szCs w:val="21"/>
        </w:rPr>
      </w:pPr>
      <w:r w:rsidRPr="00894944">
        <w:rPr>
          <w:sz w:val="21"/>
          <w:szCs w:val="21"/>
        </w:rPr>
        <w:t>подолання соціальної дезінтегрованості територіальних громад та неспроможності жителів до солідарних дій із захисту своїх прав і відстоювання інтересів у співпраці з органами місцевого самоврядування та місцевими органами виконавчої влади і досягнення спільних цілей розвитку спільнот (мотиваційний чинник);</w:t>
      </w:r>
    </w:p>
    <w:p w:rsidR="00B233DE" w:rsidRPr="00894944" w:rsidRDefault="00B233DE" w:rsidP="00B233DE">
      <w:pPr>
        <w:pStyle w:val="aff5"/>
        <w:widowControl w:val="0"/>
        <w:numPr>
          <w:ilvl w:val="0"/>
          <w:numId w:val="43"/>
        </w:numPr>
        <w:tabs>
          <w:tab w:val="left" w:pos="993"/>
        </w:tabs>
        <w:spacing w:before="0" w:beforeAutospacing="0" w:after="0" w:afterAutospacing="0"/>
        <w:ind w:left="0" w:firstLine="709"/>
        <w:jc w:val="both"/>
        <w:rPr>
          <w:sz w:val="21"/>
          <w:szCs w:val="21"/>
        </w:rPr>
      </w:pPr>
      <w:r w:rsidRPr="00894944">
        <w:rPr>
          <w:sz w:val="21"/>
          <w:szCs w:val="21"/>
        </w:rPr>
        <w:t xml:space="preserve">подолання складної демографічної ситуації в більшості територіальних громад, яка характеризується погіршенням кількісних та якісних параметрів людських ресурсів (демографічний чинник). </w:t>
      </w:r>
    </w:p>
    <w:p w:rsidR="00B233DE" w:rsidRPr="00894944" w:rsidRDefault="00B233DE" w:rsidP="00B233DE">
      <w:pPr>
        <w:pStyle w:val="aff5"/>
        <w:widowControl w:val="0"/>
        <w:spacing w:before="0" w:beforeAutospacing="0" w:after="0" w:afterAutospacing="0"/>
        <w:ind w:firstLine="709"/>
        <w:jc w:val="both"/>
        <w:rPr>
          <w:sz w:val="21"/>
          <w:szCs w:val="21"/>
        </w:rPr>
      </w:pPr>
      <w:r w:rsidRPr="00894944">
        <w:rPr>
          <w:sz w:val="21"/>
          <w:szCs w:val="21"/>
        </w:rPr>
        <w:t xml:space="preserve">Міжнародний досвід реформ публічної влади свідчить, що перерозподілити повноваження та ресурси між органами виконавчої влади і органами місцевого самоврядування на користь останніх неможливо без їхнього посилення (укрупнення) чисельно </w:t>
      </w:r>
      <w:r w:rsidRPr="00894944">
        <w:rPr>
          <w:sz w:val="21"/>
          <w:szCs w:val="21"/>
        </w:rPr>
        <w:lastRenderedPageBreak/>
        <w:t xml:space="preserve">та територіально. </w:t>
      </w:r>
    </w:p>
    <w:p w:rsidR="00B233DE" w:rsidRPr="00894944" w:rsidRDefault="00B233DE" w:rsidP="00B233DE">
      <w:pPr>
        <w:pStyle w:val="aff5"/>
        <w:widowControl w:val="0"/>
        <w:spacing w:before="0" w:beforeAutospacing="0" w:after="0" w:afterAutospacing="0"/>
        <w:ind w:firstLine="709"/>
        <w:jc w:val="both"/>
        <w:rPr>
          <w:sz w:val="21"/>
          <w:szCs w:val="21"/>
        </w:rPr>
      </w:pPr>
      <w:r w:rsidRPr="00894944">
        <w:rPr>
          <w:sz w:val="21"/>
          <w:szCs w:val="21"/>
        </w:rPr>
        <w:t>Децентралізація є, по суті, політичною ідеєю, яка означає, що субнаціональні органи влади отримують певну політичну автономію разом із новими функціями і ресурсами, що зумовлює настання відповідної економічної автономії.</w:t>
      </w:r>
    </w:p>
    <w:p w:rsidR="00B233DE" w:rsidRPr="00894944" w:rsidRDefault="00B233DE" w:rsidP="00B233DE">
      <w:pPr>
        <w:pStyle w:val="aff5"/>
        <w:widowControl w:val="0"/>
        <w:spacing w:before="0" w:beforeAutospacing="0" w:after="0" w:afterAutospacing="0"/>
        <w:ind w:firstLine="709"/>
        <w:jc w:val="both"/>
        <w:rPr>
          <w:sz w:val="21"/>
          <w:szCs w:val="21"/>
        </w:rPr>
      </w:pPr>
      <w:r w:rsidRPr="00894944">
        <w:rPr>
          <w:sz w:val="21"/>
          <w:szCs w:val="21"/>
        </w:rPr>
        <w:t xml:space="preserve">Децентралізація влади може називатися також муніципалізацією. У більшості країн вона набуває форми загального поділу сфер компетенції, що дає місцевій владі право вирішувати місцеві питання, які потрапляють до їхньої сфери відповідальності та виконання яких супроводжується відповідним фінансово-ресурсним супроводженням і забезпеченням. Муніципалізація може мати певні рамки, які встановлюють самі місцеві ради. Більше того, втручання держави у муніципальні справи зазвичай законодавчо обмежується. </w:t>
      </w:r>
    </w:p>
    <w:p w:rsidR="00B233DE" w:rsidRPr="00894944" w:rsidRDefault="00B233DE" w:rsidP="00B233DE">
      <w:pPr>
        <w:pStyle w:val="aff5"/>
        <w:widowControl w:val="0"/>
        <w:spacing w:before="0" w:beforeAutospacing="0" w:after="0" w:afterAutospacing="0"/>
        <w:ind w:firstLine="709"/>
        <w:jc w:val="both"/>
        <w:rPr>
          <w:sz w:val="21"/>
          <w:szCs w:val="21"/>
        </w:rPr>
      </w:pPr>
      <w:r w:rsidRPr="00894944">
        <w:rPr>
          <w:sz w:val="21"/>
          <w:szCs w:val="21"/>
        </w:rPr>
        <w:t>Під час застосування феномену децентралізації насамперед об’єктивно постає питання, у який спосіб проводити децентралізацію повноважень: або методом їх деконцентрації, коли повноваження виконавчої гілки влади передаються на рівень територіальних громад і фактично входять до кола їхніх власних повноважень, або методом деволюції, коли зазначені повноваження делегуються центральною виконавчою владою на рівень місцевого самоврядування на відповідний термін.</w:t>
      </w:r>
    </w:p>
    <w:p w:rsidR="00B233DE" w:rsidRPr="00894944" w:rsidRDefault="00B233DE" w:rsidP="00B233DE">
      <w:pPr>
        <w:pStyle w:val="aff5"/>
        <w:widowControl w:val="0"/>
        <w:spacing w:before="0" w:beforeAutospacing="0" w:after="0" w:afterAutospacing="0"/>
        <w:ind w:firstLine="709"/>
        <w:jc w:val="both"/>
        <w:rPr>
          <w:sz w:val="21"/>
          <w:szCs w:val="21"/>
        </w:rPr>
      </w:pPr>
      <w:r w:rsidRPr="00894944">
        <w:rPr>
          <w:sz w:val="21"/>
          <w:szCs w:val="21"/>
        </w:rPr>
        <w:t xml:space="preserve">Класична деконцентрація – це переважно адміністративний концепт, який означає передачу адміністративних функцій на нижчі рівні. У своїй найбільш чіткій формі це відбувається як створення спеціальних органів центральної виконавчої влади на місцевому рівні. Створення, наприклад, підрозділів міністерств на місцях, які певною мірою є незалежними, але підпорядковані міністерству в субординаційному аспекті, являє собою типову деконцентрацію. Ще одним важливим типом деконцентрації є так звана обмежена муніципалізація, коли місцевій владі передаються деякі державні завдання. Виконання таких завдань відрізняється від того, що зазвичай робить місцева влада. По-перше, місцеві ради часто некомпетентні у вирішенні таких питань. По-друге, нагляд і контроль за їх виконанням з боку держави доходить до прямого втручання. У результаті органи місцевого самоврядування та їхні посадові особи діють практично як агенти центральної влади на місцях і фактично включаються в державну адміністрацію. Такий стан справ склався і в Україні у питанні виконання органами </w:t>
      </w:r>
      <w:r w:rsidRPr="00894944">
        <w:rPr>
          <w:sz w:val="21"/>
          <w:szCs w:val="21"/>
        </w:rPr>
        <w:lastRenderedPageBreak/>
        <w:t>місцевого самоврядування делегованих повноважень органів виконавчої влади, у процесі якого вони є підконтрольними та підзвітними органам державної виконавчої влади і більше виступають як агенти центральної влади на місцях, аніж органи територіальних громад.</w:t>
      </w:r>
    </w:p>
    <w:p w:rsidR="00B233DE" w:rsidRPr="00894944" w:rsidRDefault="00B233DE" w:rsidP="00B233DE">
      <w:pPr>
        <w:pStyle w:val="aff5"/>
        <w:widowControl w:val="0"/>
        <w:spacing w:before="0" w:beforeAutospacing="0" w:after="0" w:afterAutospacing="0"/>
        <w:ind w:firstLine="709"/>
        <w:jc w:val="both"/>
        <w:rPr>
          <w:sz w:val="21"/>
          <w:szCs w:val="21"/>
        </w:rPr>
      </w:pPr>
      <w:r w:rsidRPr="00894944">
        <w:rPr>
          <w:sz w:val="21"/>
          <w:szCs w:val="21"/>
        </w:rPr>
        <w:t>Фактично сьогодні Україна вже має деволюцію повноважень: делеговані повноваження надаються органам місцевого самоврядування виконавчою владою. Проте «найдохідніші» з них, а саме питання землі, реєстрації комунальної власності, встановлення тарифів на комунально</w:t>
      </w:r>
      <w:r w:rsidRPr="00894944">
        <w:rPr>
          <w:sz w:val="21"/>
          <w:szCs w:val="21"/>
        </w:rPr>
        <w:softHyphen/>
        <w:t>побутові послуги, виконавча влада забирає з рівня місцевого самоврядування до центру, що завдає нищівного удару по місцевих бюджетах.</w:t>
      </w:r>
    </w:p>
    <w:p w:rsidR="00B233DE" w:rsidRPr="00894944" w:rsidRDefault="00B233DE" w:rsidP="00B233DE">
      <w:pPr>
        <w:pStyle w:val="aff5"/>
        <w:widowControl w:val="0"/>
        <w:spacing w:before="0" w:beforeAutospacing="0" w:after="0" w:afterAutospacing="0"/>
        <w:ind w:firstLine="709"/>
        <w:jc w:val="both"/>
        <w:rPr>
          <w:sz w:val="21"/>
          <w:szCs w:val="21"/>
        </w:rPr>
      </w:pPr>
      <w:r w:rsidRPr="00894944">
        <w:rPr>
          <w:sz w:val="21"/>
          <w:szCs w:val="21"/>
        </w:rPr>
        <w:t xml:space="preserve">Отже, найефективнішою для України є деконцентрація повноважень виконавчої влади з наступною передачею їх до органів місцевого самоврядування. Важливим у цьому процесі є застосування принципу субсидіарності, який, виконуючи роль ефективного інструментального методу децентралізації, забезпечить як повсюдність місцевого самоврядування, так і його реальність і ефективність. </w:t>
      </w:r>
    </w:p>
    <w:p w:rsidR="00B233DE" w:rsidRPr="00894944" w:rsidRDefault="00B233DE" w:rsidP="00B233DE">
      <w:pPr>
        <w:pStyle w:val="aff5"/>
        <w:widowControl w:val="0"/>
        <w:spacing w:before="0" w:beforeAutospacing="0" w:after="0" w:afterAutospacing="0"/>
        <w:ind w:firstLine="709"/>
        <w:jc w:val="both"/>
        <w:rPr>
          <w:sz w:val="21"/>
          <w:szCs w:val="21"/>
        </w:rPr>
      </w:pPr>
      <w:r w:rsidRPr="00894944">
        <w:rPr>
          <w:sz w:val="21"/>
          <w:szCs w:val="21"/>
        </w:rPr>
        <w:t xml:space="preserve">Тобто саме субсидіарність напряму формує компетенцію місцевого самоврядування, повноваження його суб’єктів та органів різних рівнів. Згідно з цим принципом проблеми соціальної політики мають розв’язуватися на найнижчому або на найвіддаленішому від центру рівні, на якому це можливо й ефективно: центральна влада має відігравати «субсидіарну» (допоміжну), а не «субординативну» (підрядну) роль, беручись тільки за ті завдання, які не можуть бути ефективно виконані на місцевому/локальному рівні. </w:t>
      </w:r>
    </w:p>
    <w:p w:rsidR="00B233DE" w:rsidRPr="00894944" w:rsidRDefault="00B233DE" w:rsidP="00B233DE">
      <w:pPr>
        <w:pStyle w:val="aff5"/>
        <w:widowControl w:val="0"/>
        <w:spacing w:before="0" w:beforeAutospacing="0" w:after="0" w:afterAutospacing="0"/>
        <w:ind w:firstLine="709"/>
        <w:jc w:val="both"/>
        <w:rPr>
          <w:sz w:val="21"/>
          <w:szCs w:val="21"/>
        </w:rPr>
      </w:pPr>
      <w:r w:rsidRPr="00894944">
        <w:rPr>
          <w:sz w:val="21"/>
          <w:szCs w:val="21"/>
        </w:rPr>
        <w:t>Цей принцип, по-перше, виступає своєрідним «ситом» для виокремлення компетенційних повноважень, що спроможні виконувати органи місцевого самоврядування, які формуються територіальною громадою на локальному рівні соціуму; по-друге, має великий позитивний потенціал для подальшого розвитку загальної компетенції органів місцевого самоврядування, бо допомагає планувати та опановувати нові сфери діяльності і нові повноваження по мірі зростання фінансової самостійності та спроможності таких органів.</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 xml:space="preserve">Зважаючи на вищесказане, ми доходимо висновку про можливість підвищення ефективності соціальної регіональної </w:t>
      </w:r>
      <w:r w:rsidRPr="00894944">
        <w:rPr>
          <w:rFonts w:ascii="Times New Roman" w:hAnsi="Times New Roman"/>
          <w:sz w:val="21"/>
          <w:szCs w:val="21"/>
        </w:rPr>
        <w:lastRenderedPageBreak/>
        <w:t>політики лише за умови реформування системи місцевого самоврядування, що спирається, насамперед, на реформу його матеріального і фінансового забезпечення, основною частиною якого має бути комунальна власність територіальних громад.</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 xml:space="preserve">Урядом України 1 квітня 2014 року була схвалена Концепція реформування місцевого самоврядування та територіальної організації влади в Україні (розпорядження КМУ № 333-р) та затверджено План заходів з її реалізації (розпорядження КМУ № 591-р від 18.06.2014 р.). </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Відповідно до цього плану було внесено зміни до Бюджетного та Податкового кодексів України, якими здійснено перший етап бюджетної децентралізації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_Ref436211337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28</w:t>
      </w:r>
      <w:r w:rsidR="00FC3E63">
        <w:rPr>
          <w:rFonts w:ascii="Times New Roman" w:hAnsi="Times New Roman" w:cs="Times New Roman"/>
          <w:bCs/>
          <w:color w:val="000000" w:themeColor="text1"/>
          <w:sz w:val="21"/>
          <w:szCs w:val="21"/>
          <w:highlight w:val="yellow"/>
        </w:rPr>
        <w:fldChar w:fldCharType="end"/>
      </w:r>
      <w:r w:rsidRPr="00894944">
        <w:rPr>
          <w:rFonts w:ascii="Times New Roman" w:hAnsi="Times New Roman"/>
          <w:sz w:val="21"/>
          <w:szCs w:val="21"/>
        </w:rPr>
        <w:t xml:space="preserve">]. </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 xml:space="preserve">Так, зміни до Бюджетного кодексу фактично є основою для стимулювання громад до об’єднання та підвищення їхньої спроможності через механізм переходу бюджетів об’єднаних громад на прямі міжбюджетні відносини з державним бюджетом. У разі об’єднання такі громади наділяються повноваженнями та ресурсами, як у міст обласного значення. </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 xml:space="preserve">Натомість територіальні громади, які не візьмуть участь у об’єднанні, залишаються осторонь цього процесу та позбавляються права на виконання делегованих державою повноважень органів місцевого самоврядування в селах, селищах, містах районного значення, що не об’єдналися. </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 xml:space="preserve">Отже, об’єднання територіальних громад є запорукою переходу місцевого самоврядування на якісно новий рівень. Парламентом ухвалено Закон України «Про добровільне об’єднання територіальних громад (№ 157-VIII від 05.02.2015 р.), а Урядом для забезпечення його реалізації затверджено Методику формування спроможних територіальних (постанова КМУ № 214 від 08.04.2015 р.). Саме ці акти визначають, яким чином має відбуватись об’єднання громад для того щоб вони стали спроможними. </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Спроможною територіальною громадою є така громада, у якій місцеві джерела наповнення бюджету, інфраструктурні та кадрові ресурси є достатніми для вирішення її органами місцевого самоврядування питань місцевого значення, передбачених законодавством, в інтересах жителів громади.</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 xml:space="preserve">Методика містить ширше визначення спроможної територіальної громади – «територіальні громади сіл (селищ, міст), </w:t>
      </w:r>
      <w:r w:rsidRPr="00894944">
        <w:rPr>
          <w:rFonts w:ascii="Times New Roman" w:hAnsi="Times New Roman"/>
          <w:sz w:val="21"/>
          <w:szCs w:val="21"/>
        </w:rPr>
        <w:lastRenderedPageBreak/>
        <w:t xml:space="preserve">які у результаті добровільного об’єднання здатні самостійно або через відповідні органи місцевого самоврядування забезпечити належний рівень надання послуг, зокрема у сфері освіти, культури, охорони здоров’я, соціального захисту, житлово-комунального господарства, з урахуванням кадрових ресурсів, фінансового забезпечення та розвитку інфраструктури відповідної адміністративно-територіальної одиниці». За Європейською хартією місцевого самоврядування, яка є частиною законодавства України, місцеве самоврядування – це «право і спроможність органів місцевого самоврядування ... здійснювати регулювання і управління суттєвою часткою суспільних справ, які належать до їхньої компетенції, в інтересах місцевого населення». </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 xml:space="preserve">На сьогодні переважна більшість територіальних громад України, маючи право вирішувати питання місцевого значення, неспроможна їх виконувати через брак власних коштів, занепад або відсутність інфраструктури (необхідних будівель, споруд, доріг тощо), а також брак кадрів відповідної кваліфікації. Тому значна частина питань місцевого значення не вирішується належним чином – не утримуються приміщення шкіл і лікарень та інші будівлі комунальної власності, не забезпечується благоустрій території, нічне освітлення вулиць тощо. Метою реформи місцевого самоврядування є, передусім, забезпечення його спроможності самостійно, за рахунок власних ресурсів, вирішувати питання місцевого значення. </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 xml:space="preserve">Йдеться про наділення територіальних громад більшими ресурсами та про мобілізацію їхніх внутрішніх резервів. </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 xml:space="preserve">Перш за все мова йде про зарахування до їхніх бюджетів 60 % податку на доходи громадян. З додаткових ресурсів у ході реформи місцеві ради отримують власний земельний податок, ставки якого на своїй території кожна рада встановлюватиме самостійно. При цьому до юрисдикції кожної ради передаються всі землі відповідної громади, у тому числі й за межами населених пунктів. Також запроваджується обов’язковий у країнах зі спроможним місцевим самоврядуванням місцевий податок на нерухоме майно. Рішення про його запровадження та про його ставки кожна місцева рада теж приймає самостійно. Громада отримує також 5 % від продажу пального на АЗС, алкогольних та тютюнових виробів. Крім того, за бюджетами місцевого самоврядування залишаються такі джерела, як раніше закріплені </w:t>
      </w:r>
      <w:r w:rsidRPr="00894944">
        <w:rPr>
          <w:rFonts w:ascii="Times New Roman" w:hAnsi="Times New Roman"/>
          <w:sz w:val="21"/>
          <w:szCs w:val="21"/>
        </w:rPr>
        <w:lastRenderedPageBreak/>
        <w:t xml:space="preserve">місцеві податки і збори. </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 xml:space="preserve">Однак навіть наділення цими ресурсами переважної більшості наявних дрібних територіальних громад їхньої спроможності не забезпечить. Надмірна частина ресурсів у таких громадах і далі витрачатиметься на утримання управлінського апарату, а для реалізації серйозних проектів місцевого розвитку коштів не вистачатиме. Тому реформа місцевого самоврядування, враховуючи позитивний як європейський, так і власний історичний досвід, передбачає об’єднання (укрупнення) територіальних громад. При цьому за кошти платників податків утримуватиметься одна рада, один голова, один виконком, а не декілька – що збереже кошти для реальних справ. З більшої території до місцевого бюджету можна зібрати значно більші податкові обсяги. Це дозволить місцевим радам об’єднаних громад вже у найближчому майбутньому забезпечити додатковими робочими місцями їх жителів та значно покращити стан населених пунктів, а значить, і якість життя громадян. </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 xml:space="preserve">Однак укрупнення території громад не може бути довільним, воно має свої логічні межі. Відстань від центру громади до її найдальшого населеного пункту має бути такою, щоб у екстрених випадках її не довше ніж за 30 хвилин могли подолати пожежна команда, швидка допомога, поліцейський патруль. Допомога, надана через більший проміжок часу, різко втрачає ефективність. </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 xml:space="preserve">Питання визначення меж нових, об’єднаних громад має вирішуватися органами влади обласного рівня з урахуванням як об’єктивних критеріїв, так і думки громадян. </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 xml:space="preserve">Після консолідації громад села, які не матимуть власних сільрад, мають бути представлені у місцевій раді своїми депутатами, а у виконкомі – сільськими старостами. Старости та депутати повинні здійснювати зв’язок між односельцями і владою громади та вирішувати різні проблеми його жителів у раді та виконкомі. </w:t>
      </w:r>
    </w:p>
    <w:p w:rsidR="00B233DE" w:rsidRPr="00894944" w:rsidRDefault="00B233DE" w:rsidP="00B233DE">
      <w:pPr>
        <w:widowControl w:val="0"/>
        <w:autoSpaceDE w:val="0"/>
        <w:autoSpaceDN w:val="0"/>
        <w:adjustRightInd w:val="0"/>
        <w:ind w:firstLine="709"/>
        <w:jc w:val="both"/>
        <w:rPr>
          <w:rFonts w:ascii="Times New Roman" w:hAnsi="Times New Roman"/>
          <w:sz w:val="21"/>
          <w:szCs w:val="21"/>
        </w:rPr>
      </w:pPr>
      <w:r w:rsidRPr="00894944">
        <w:rPr>
          <w:rFonts w:ascii="Times New Roman" w:hAnsi="Times New Roman"/>
          <w:sz w:val="21"/>
          <w:szCs w:val="21"/>
        </w:rPr>
        <w:t xml:space="preserve">До центрів спроможних громад (тобто ближче до громадян, які живуть поза райцентрами) мають бути перенесені з районних центрів місця надання низки важливих послуг – адміністративних, соціальної допомоги через територіальні центри, пожежні, правоохоронні, санітарно-епідеміологічної служби тощо. У разі нестачі приміщень, інших елементів інфраструктури для надання </w:t>
      </w:r>
      <w:r w:rsidRPr="00894944">
        <w:rPr>
          <w:rFonts w:ascii="Times New Roman" w:hAnsi="Times New Roman"/>
          <w:sz w:val="21"/>
          <w:szCs w:val="21"/>
        </w:rPr>
        <w:lastRenderedPageBreak/>
        <w:t xml:space="preserve">всіх необхідних послуг громадам повинна надаватися допомога з державного бюджету на їх придбання чи побудову. </w:t>
      </w:r>
    </w:p>
    <w:p w:rsidR="00B233DE" w:rsidRPr="00894944" w:rsidRDefault="00B233DE" w:rsidP="00B233DE">
      <w:pPr>
        <w:ind w:firstLine="709"/>
        <w:jc w:val="both"/>
        <w:rPr>
          <w:rFonts w:ascii="Times New Roman" w:hAnsi="Times New Roman"/>
          <w:sz w:val="21"/>
          <w:szCs w:val="21"/>
        </w:rPr>
      </w:pPr>
      <w:r w:rsidRPr="00894944">
        <w:rPr>
          <w:rFonts w:ascii="Times New Roman" w:hAnsi="Times New Roman"/>
          <w:sz w:val="21"/>
          <w:szCs w:val="21"/>
        </w:rPr>
        <w:t>Концепцією передбачено закріплення за громадами (села, селища, міста) найбільшого переліку повноважень відповідно до принципу субсидіарності. Органи місцевого самоврядування повинні отримати необхідні кадрові та фінансові ресурси, а також інфраструктурний потенціал для належного виконання повноважень.</w:t>
      </w:r>
    </w:p>
    <w:p w:rsidR="00B233DE" w:rsidRPr="00894944" w:rsidRDefault="00B233DE" w:rsidP="00B233DE">
      <w:pPr>
        <w:ind w:firstLine="709"/>
        <w:jc w:val="both"/>
        <w:rPr>
          <w:rFonts w:ascii="Times New Roman" w:hAnsi="Times New Roman"/>
          <w:sz w:val="21"/>
          <w:szCs w:val="21"/>
        </w:rPr>
      </w:pPr>
      <w:r w:rsidRPr="00894944">
        <w:rPr>
          <w:rFonts w:ascii="Times New Roman" w:hAnsi="Times New Roman"/>
          <w:sz w:val="21"/>
          <w:szCs w:val="21"/>
        </w:rPr>
        <w:t>Відповідно до Концепції реформування місцевого самоврядування та територіальної організації влади в Україні об’єднані громади отримають наступі повноваження:</w:t>
      </w:r>
    </w:p>
    <w:p w:rsidR="00B233DE" w:rsidRPr="00894944" w:rsidRDefault="00B233DE" w:rsidP="00B233DE">
      <w:pPr>
        <w:ind w:firstLine="709"/>
        <w:jc w:val="both"/>
        <w:rPr>
          <w:rFonts w:ascii="Times New Roman" w:hAnsi="Times New Roman"/>
          <w:sz w:val="21"/>
          <w:szCs w:val="21"/>
        </w:rPr>
      </w:pPr>
      <w:r w:rsidRPr="00894944">
        <w:rPr>
          <w:rFonts w:ascii="Times New Roman" w:hAnsi="Times New Roman"/>
          <w:sz w:val="21"/>
          <w:szCs w:val="21"/>
        </w:rPr>
        <w:t>1. Власні повноваження:</w:t>
      </w:r>
    </w:p>
    <w:p w:rsidR="00B233DE" w:rsidRPr="00894944" w:rsidRDefault="00B233DE" w:rsidP="00B233DE">
      <w:pPr>
        <w:pStyle w:val="ad"/>
        <w:numPr>
          <w:ilvl w:val="0"/>
          <w:numId w:val="41"/>
        </w:numPr>
        <w:tabs>
          <w:tab w:val="left" w:pos="993"/>
        </w:tabs>
        <w:ind w:left="0" w:firstLine="709"/>
        <w:jc w:val="both"/>
        <w:rPr>
          <w:rFonts w:ascii="Times New Roman" w:hAnsi="Times New Roman"/>
          <w:sz w:val="21"/>
          <w:szCs w:val="21"/>
        </w:rPr>
      </w:pPr>
      <w:r w:rsidRPr="00894944">
        <w:rPr>
          <w:rFonts w:ascii="Times New Roman" w:hAnsi="Times New Roman"/>
          <w:sz w:val="21"/>
          <w:szCs w:val="21"/>
        </w:rPr>
        <w:t>планування розвитку громади та формування бюджету;</w:t>
      </w:r>
    </w:p>
    <w:p w:rsidR="00B233DE" w:rsidRPr="00894944" w:rsidRDefault="00B233DE" w:rsidP="00B233DE">
      <w:pPr>
        <w:pStyle w:val="ad"/>
        <w:numPr>
          <w:ilvl w:val="0"/>
          <w:numId w:val="41"/>
        </w:numPr>
        <w:tabs>
          <w:tab w:val="left" w:pos="993"/>
        </w:tabs>
        <w:ind w:left="0" w:firstLine="709"/>
        <w:jc w:val="both"/>
        <w:rPr>
          <w:rFonts w:ascii="Times New Roman" w:hAnsi="Times New Roman"/>
          <w:sz w:val="21"/>
          <w:szCs w:val="21"/>
        </w:rPr>
      </w:pPr>
      <w:r w:rsidRPr="00894944">
        <w:rPr>
          <w:rFonts w:ascii="Times New Roman" w:hAnsi="Times New Roman"/>
          <w:sz w:val="21"/>
          <w:szCs w:val="21"/>
        </w:rPr>
        <w:t>економічний розвиток, залучення інвестицій, розвиток підприємництва;</w:t>
      </w:r>
    </w:p>
    <w:p w:rsidR="00B233DE" w:rsidRPr="00894944" w:rsidRDefault="00B233DE" w:rsidP="00B233DE">
      <w:pPr>
        <w:pStyle w:val="ad"/>
        <w:numPr>
          <w:ilvl w:val="0"/>
          <w:numId w:val="41"/>
        </w:numPr>
        <w:tabs>
          <w:tab w:val="left" w:pos="993"/>
        </w:tabs>
        <w:ind w:left="0" w:firstLine="709"/>
        <w:jc w:val="both"/>
        <w:rPr>
          <w:rFonts w:ascii="Times New Roman" w:hAnsi="Times New Roman"/>
          <w:sz w:val="21"/>
          <w:szCs w:val="21"/>
        </w:rPr>
      </w:pPr>
      <w:r w:rsidRPr="00894944">
        <w:rPr>
          <w:rFonts w:ascii="Times New Roman" w:hAnsi="Times New Roman"/>
          <w:sz w:val="21"/>
          <w:szCs w:val="21"/>
        </w:rPr>
        <w:t>управління земельними ресурсами, надання дозволів на будівництво, прийняття будівель в експлуатацію;</w:t>
      </w:r>
    </w:p>
    <w:p w:rsidR="00B233DE" w:rsidRPr="00894944" w:rsidRDefault="00B233DE" w:rsidP="00B233DE">
      <w:pPr>
        <w:pStyle w:val="ad"/>
        <w:numPr>
          <w:ilvl w:val="0"/>
          <w:numId w:val="41"/>
        </w:numPr>
        <w:tabs>
          <w:tab w:val="left" w:pos="993"/>
        </w:tabs>
        <w:ind w:left="0" w:firstLine="709"/>
        <w:jc w:val="both"/>
        <w:rPr>
          <w:rFonts w:ascii="Times New Roman" w:hAnsi="Times New Roman"/>
          <w:sz w:val="21"/>
          <w:szCs w:val="21"/>
        </w:rPr>
      </w:pPr>
      <w:r w:rsidRPr="00894944">
        <w:rPr>
          <w:rFonts w:ascii="Times New Roman" w:hAnsi="Times New Roman"/>
          <w:sz w:val="21"/>
          <w:szCs w:val="21"/>
        </w:rPr>
        <w:t>розвиток місцевої інфраструктури: утримання та будівництво доріг, водо-, тепло, газопостачання і водовідведення та благоустрій територій;</w:t>
      </w:r>
    </w:p>
    <w:p w:rsidR="00B233DE" w:rsidRPr="00894944" w:rsidRDefault="00B233DE" w:rsidP="00B233DE">
      <w:pPr>
        <w:pStyle w:val="ad"/>
        <w:numPr>
          <w:ilvl w:val="0"/>
          <w:numId w:val="41"/>
        </w:numPr>
        <w:tabs>
          <w:tab w:val="left" w:pos="993"/>
        </w:tabs>
        <w:ind w:left="0" w:firstLine="709"/>
        <w:jc w:val="both"/>
        <w:rPr>
          <w:rFonts w:ascii="Times New Roman" w:hAnsi="Times New Roman"/>
          <w:sz w:val="21"/>
          <w:szCs w:val="21"/>
        </w:rPr>
      </w:pPr>
      <w:r w:rsidRPr="00894944">
        <w:rPr>
          <w:rFonts w:ascii="Times New Roman" w:hAnsi="Times New Roman"/>
          <w:sz w:val="21"/>
          <w:szCs w:val="21"/>
        </w:rPr>
        <w:t>надання житлово-комунальних послуг (теплопостачання і водовідведення, управління відходами, утримання об’єктів комунальної власності);</w:t>
      </w:r>
    </w:p>
    <w:p w:rsidR="00B233DE" w:rsidRPr="00894944" w:rsidRDefault="00B233DE" w:rsidP="00B233DE">
      <w:pPr>
        <w:pStyle w:val="ad"/>
        <w:numPr>
          <w:ilvl w:val="0"/>
          <w:numId w:val="41"/>
        </w:numPr>
        <w:tabs>
          <w:tab w:val="left" w:pos="993"/>
        </w:tabs>
        <w:ind w:left="0" w:firstLine="709"/>
        <w:jc w:val="both"/>
        <w:rPr>
          <w:rFonts w:ascii="Times New Roman" w:hAnsi="Times New Roman"/>
          <w:sz w:val="21"/>
          <w:szCs w:val="21"/>
        </w:rPr>
      </w:pPr>
      <w:r w:rsidRPr="00894944">
        <w:rPr>
          <w:rFonts w:ascii="Times New Roman" w:hAnsi="Times New Roman"/>
          <w:sz w:val="21"/>
          <w:szCs w:val="21"/>
        </w:rPr>
        <w:t>утримання вулиць і доріг на території громади;</w:t>
      </w:r>
    </w:p>
    <w:p w:rsidR="00B233DE" w:rsidRPr="00894944" w:rsidRDefault="00B233DE" w:rsidP="00B233DE">
      <w:pPr>
        <w:pStyle w:val="ad"/>
        <w:numPr>
          <w:ilvl w:val="0"/>
          <w:numId w:val="41"/>
        </w:numPr>
        <w:tabs>
          <w:tab w:val="left" w:pos="993"/>
        </w:tabs>
        <w:ind w:left="0" w:firstLine="709"/>
        <w:jc w:val="both"/>
        <w:rPr>
          <w:rFonts w:ascii="Times New Roman" w:hAnsi="Times New Roman"/>
          <w:sz w:val="21"/>
          <w:szCs w:val="21"/>
        </w:rPr>
      </w:pPr>
      <w:r w:rsidRPr="00894944">
        <w:rPr>
          <w:rFonts w:ascii="Times New Roman" w:hAnsi="Times New Roman"/>
          <w:sz w:val="21"/>
          <w:szCs w:val="21"/>
        </w:rPr>
        <w:t>організація пасажирських перевезень на території громади;</w:t>
      </w:r>
    </w:p>
    <w:p w:rsidR="00B233DE" w:rsidRPr="00894944" w:rsidRDefault="00B233DE" w:rsidP="00B233DE">
      <w:pPr>
        <w:pStyle w:val="ad"/>
        <w:numPr>
          <w:ilvl w:val="0"/>
          <w:numId w:val="41"/>
        </w:numPr>
        <w:tabs>
          <w:tab w:val="left" w:pos="993"/>
        </w:tabs>
        <w:ind w:left="0" w:firstLine="709"/>
        <w:jc w:val="both"/>
        <w:rPr>
          <w:rFonts w:ascii="Times New Roman" w:hAnsi="Times New Roman"/>
          <w:sz w:val="21"/>
          <w:szCs w:val="21"/>
        </w:rPr>
      </w:pPr>
      <w:r w:rsidRPr="00894944">
        <w:rPr>
          <w:rFonts w:ascii="Times New Roman" w:hAnsi="Times New Roman"/>
          <w:sz w:val="21"/>
          <w:szCs w:val="21"/>
        </w:rPr>
        <w:t>громадська безпека силами муніципальної поліції;</w:t>
      </w:r>
    </w:p>
    <w:p w:rsidR="00B233DE" w:rsidRPr="00894944" w:rsidRDefault="00B233DE" w:rsidP="00B233DE">
      <w:pPr>
        <w:pStyle w:val="ad"/>
        <w:numPr>
          <w:ilvl w:val="0"/>
          <w:numId w:val="41"/>
        </w:numPr>
        <w:tabs>
          <w:tab w:val="left" w:pos="993"/>
        </w:tabs>
        <w:ind w:left="0" w:firstLine="709"/>
        <w:jc w:val="both"/>
        <w:rPr>
          <w:rFonts w:ascii="Times New Roman" w:hAnsi="Times New Roman"/>
          <w:sz w:val="21"/>
          <w:szCs w:val="21"/>
        </w:rPr>
      </w:pPr>
      <w:r w:rsidRPr="00894944">
        <w:rPr>
          <w:rFonts w:ascii="Times New Roman" w:hAnsi="Times New Roman"/>
          <w:sz w:val="21"/>
          <w:szCs w:val="21"/>
        </w:rPr>
        <w:t>пожежна охорона.</w:t>
      </w:r>
    </w:p>
    <w:p w:rsidR="00B233DE" w:rsidRPr="00894944" w:rsidRDefault="00B233DE" w:rsidP="00B233DE">
      <w:pPr>
        <w:ind w:firstLine="709"/>
        <w:jc w:val="both"/>
        <w:rPr>
          <w:rFonts w:ascii="Times New Roman" w:hAnsi="Times New Roman"/>
          <w:sz w:val="21"/>
          <w:szCs w:val="21"/>
        </w:rPr>
      </w:pPr>
      <w:r w:rsidRPr="00894944">
        <w:rPr>
          <w:rFonts w:ascii="Times New Roman" w:hAnsi="Times New Roman"/>
          <w:sz w:val="21"/>
          <w:szCs w:val="21"/>
        </w:rPr>
        <w:t>2. Делеговані повноваження:</w:t>
      </w:r>
    </w:p>
    <w:p w:rsidR="00B233DE" w:rsidRPr="00894944" w:rsidRDefault="00B233DE" w:rsidP="00B233DE">
      <w:pPr>
        <w:pStyle w:val="ad"/>
        <w:numPr>
          <w:ilvl w:val="0"/>
          <w:numId w:val="42"/>
        </w:numPr>
        <w:tabs>
          <w:tab w:val="left" w:pos="993"/>
        </w:tabs>
        <w:ind w:left="0" w:firstLine="709"/>
        <w:jc w:val="both"/>
        <w:rPr>
          <w:rFonts w:ascii="Times New Roman" w:hAnsi="Times New Roman"/>
          <w:sz w:val="21"/>
          <w:szCs w:val="21"/>
        </w:rPr>
      </w:pPr>
      <w:r w:rsidRPr="00894944">
        <w:rPr>
          <w:rFonts w:ascii="Times New Roman" w:hAnsi="Times New Roman"/>
          <w:sz w:val="21"/>
          <w:szCs w:val="21"/>
        </w:rPr>
        <w:t>соціальна допомога через територіальні центри (у громадах);</w:t>
      </w:r>
    </w:p>
    <w:p w:rsidR="00B233DE" w:rsidRPr="00894944" w:rsidRDefault="00B233DE" w:rsidP="00B233DE">
      <w:pPr>
        <w:pStyle w:val="ad"/>
        <w:numPr>
          <w:ilvl w:val="0"/>
          <w:numId w:val="42"/>
        </w:numPr>
        <w:tabs>
          <w:tab w:val="left" w:pos="993"/>
        </w:tabs>
        <w:ind w:left="0" w:firstLine="709"/>
        <w:jc w:val="both"/>
        <w:rPr>
          <w:rFonts w:ascii="Times New Roman" w:hAnsi="Times New Roman"/>
          <w:sz w:val="21"/>
          <w:szCs w:val="21"/>
        </w:rPr>
      </w:pPr>
      <w:r w:rsidRPr="00894944">
        <w:rPr>
          <w:rFonts w:ascii="Times New Roman" w:hAnsi="Times New Roman"/>
          <w:sz w:val="21"/>
          <w:szCs w:val="21"/>
        </w:rPr>
        <w:t>адміністративні послуги через центри їх надання (у громадах);</w:t>
      </w:r>
    </w:p>
    <w:p w:rsidR="00B233DE" w:rsidRPr="00894944" w:rsidRDefault="00B233DE" w:rsidP="00B233DE">
      <w:pPr>
        <w:pStyle w:val="ad"/>
        <w:numPr>
          <w:ilvl w:val="0"/>
          <w:numId w:val="42"/>
        </w:numPr>
        <w:tabs>
          <w:tab w:val="left" w:pos="993"/>
        </w:tabs>
        <w:ind w:left="0" w:firstLine="709"/>
        <w:jc w:val="both"/>
        <w:rPr>
          <w:rFonts w:ascii="Times New Roman" w:hAnsi="Times New Roman"/>
          <w:sz w:val="21"/>
          <w:szCs w:val="21"/>
        </w:rPr>
      </w:pPr>
      <w:r w:rsidRPr="00894944">
        <w:rPr>
          <w:rFonts w:ascii="Times New Roman" w:hAnsi="Times New Roman"/>
          <w:sz w:val="21"/>
          <w:szCs w:val="21"/>
        </w:rPr>
        <w:t>управління школами і дитсадками;</w:t>
      </w:r>
    </w:p>
    <w:p w:rsidR="00B233DE" w:rsidRPr="00894944" w:rsidRDefault="00B233DE" w:rsidP="00B233DE">
      <w:pPr>
        <w:pStyle w:val="ad"/>
        <w:numPr>
          <w:ilvl w:val="0"/>
          <w:numId w:val="42"/>
        </w:numPr>
        <w:tabs>
          <w:tab w:val="left" w:pos="993"/>
        </w:tabs>
        <w:ind w:left="0" w:firstLine="709"/>
        <w:jc w:val="both"/>
        <w:rPr>
          <w:rFonts w:ascii="Times New Roman" w:hAnsi="Times New Roman"/>
          <w:sz w:val="21"/>
          <w:szCs w:val="21"/>
        </w:rPr>
      </w:pPr>
      <w:r w:rsidRPr="00894944">
        <w:rPr>
          <w:rFonts w:ascii="Times New Roman" w:hAnsi="Times New Roman"/>
          <w:sz w:val="21"/>
          <w:szCs w:val="21"/>
        </w:rPr>
        <w:t>первинна медична допомога;</w:t>
      </w:r>
    </w:p>
    <w:p w:rsidR="00B233DE" w:rsidRPr="00894944" w:rsidRDefault="00B233DE" w:rsidP="00B233DE">
      <w:pPr>
        <w:pStyle w:val="ad"/>
        <w:numPr>
          <w:ilvl w:val="0"/>
          <w:numId w:val="42"/>
        </w:numPr>
        <w:tabs>
          <w:tab w:val="left" w:pos="993"/>
        </w:tabs>
        <w:ind w:left="0" w:firstLine="709"/>
        <w:jc w:val="both"/>
        <w:rPr>
          <w:rFonts w:ascii="Times New Roman" w:hAnsi="Times New Roman"/>
          <w:sz w:val="21"/>
          <w:szCs w:val="21"/>
        </w:rPr>
      </w:pPr>
      <w:r w:rsidRPr="00894944">
        <w:rPr>
          <w:rFonts w:ascii="Times New Roman" w:hAnsi="Times New Roman"/>
          <w:sz w:val="21"/>
          <w:szCs w:val="21"/>
        </w:rPr>
        <w:t>утримання та організація роботи будинків культури, клубів, бібліотек, стадіонів, спортивних майданчиків.</w:t>
      </w:r>
    </w:p>
    <w:p w:rsidR="00B233DE" w:rsidRPr="00894944" w:rsidRDefault="00B233DE" w:rsidP="00B233DE">
      <w:pPr>
        <w:spacing w:line="245" w:lineRule="auto"/>
        <w:ind w:firstLine="709"/>
        <w:jc w:val="both"/>
        <w:rPr>
          <w:rFonts w:ascii="Times New Roman" w:hAnsi="Times New Roman"/>
          <w:sz w:val="21"/>
          <w:szCs w:val="21"/>
        </w:rPr>
      </w:pPr>
      <w:r w:rsidRPr="00894944">
        <w:rPr>
          <w:rFonts w:ascii="Times New Roman" w:hAnsi="Times New Roman"/>
          <w:sz w:val="21"/>
          <w:szCs w:val="21"/>
        </w:rPr>
        <w:lastRenderedPageBreak/>
        <w:t>Об’єднані відповідно до законодавства громади мають отримати весь спектр повноважень, що їх сьогодні мають міста обласного значення. Докладно про перелік видаткових повноважень об</w:t>
      </w:r>
      <w:r w:rsidR="00A61E33">
        <w:rPr>
          <w:rFonts w:ascii="Times New Roman" w:hAnsi="Times New Roman"/>
          <w:sz w:val="21"/>
          <w:szCs w:val="21"/>
        </w:rPr>
        <w:t xml:space="preserve">’єднаних громад зазначено у ст. </w:t>
      </w:r>
      <w:r w:rsidRPr="00894944">
        <w:rPr>
          <w:rFonts w:ascii="Times New Roman" w:hAnsi="Times New Roman"/>
          <w:sz w:val="21"/>
          <w:szCs w:val="21"/>
        </w:rPr>
        <w:t>89, 91 Бюджетного кодексу України.</w:t>
      </w:r>
    </w:p>
    <w:p w:rsidR="00B233DE" w:rsidRPr="00894944" w:rsidRDefault="00B233DE" w:rsidP="00B233DE">
      <w:pPr>
        <w:spacing w:line="245" w:lineRule="auto"/>
        <w:ind w:firstLine="709"/>
        <w:jc w:val="both"/>
        <w:rPr>
          <w:rFonts w:ascii="Times New Roman" w:hAnsi="Times New Roman"/>
          <w:sz w:val="21"/>
          <w:szCs w:val="21"/>
        </w:rPr>
      </w:pPr>
      <w:r w:rsidRPr="00894944">
        <w:rPr>
          <w:rFonts w:ascii="Times New Roman" w:hAnsi="Times New Roman"/>
          <w:sz w:val="21"/>
          <w:szCs w:val="21"/>
        </w:rPr>
        <w:t xml:space="preserve">Крім того, </w:t>
      </w:r>
      <w:r w:rsidR="00291F85">
        <w:rPr>
          <w:rFonts w:ascii="Times New Roman" w:hAnsi="Times New Roman"/>
          <w:sz w:val="21"/>
          <w:szCs w:val="21"/>
        </w:rPr>
        <w:t>в</w:t>
      </w:r>
      <w:r w:rsidRPr="00894944">
        <w:rPr>
          <w:rFonts w:ascii="Times New Roman" w:hAnsi="Times New Roman"/>
          <w:sz w:val="21"/>
          <w:szCs w:val="21"/>
        </w:rPr>
        <w:t xml:space="preserve"> об’єднаних громадах мешканці забезпечуватимуться послугами, які надаються органами державної влади: виплата пенсій, субсидій, забезпечення пільгами; казначейське обслуговування; реєстрація актів цивільного стану; контроль санітарного та епізоотичного стану.</w:t>
      </w:r>
    </w:p>
    <w:p w:rsidR="00B233DE" w:rsidRPr="00894944" w:rsidRDefault="00B233DE" w:rsidP="00B233DE">
      <w:pPr>
        <w:spacing w:line="245" w:lineRule="auto"/>
        <w:ind w:firstLine="709"/>
        <w:jc w:val="both"/>
        <w:rPr>
          <w:rFonts w:ascii="Times New Roman" w:hAnsi="Times New Roman"/>
          <w:sz w:val="21"/>
          <w:szCs w:val="21"/>
        </w:rPr>
      </w:pPr>
      <w:r w:rsidRPr="00894944">
        <w:rPr>
          <w:rFonts w:ascii="Times New Roman" w:hAnsi="Times New Roman"/>
          <w:sz w:val="21"/>
          <w:szCs w:val="21"/>
        </w:rPr>
        <w:t>Отже, основними наслідками проведення реформи місцевого самоврядування і територіальної організації влади в України для відносин комунальної власності стануть, насамперед:</w:t>
      </w:r>
    </w:p>
    <w:p w:rsidR="00B233DE" w:rsidRPr="00894944" w:rsidRDefault="00B233DE" w:rsidP="00B233DE">
      <w:pPr>
        <w:pStyle w:val="ad"/>
        <w:numPr>
          <w:ilvl w:val="0"/>
          <w:numId w:val="44"/>
        </w:numPr>
        <w:tabs>
          <w:tab w:val="left" w:pos="993"/>
        </w:tabs>
        <w:spacing w:line="245" w:lineRule="auto"/>
        <w:ind w:left="0" w:firstLine="709"/>
        <w:jc w:val="both"/>
        <w:rPr>
          <w:rFonts w:ascii="Times New Roman" w:hAnsi="Times New Roman"/>
          <w:sz w:val="21"/>
          <w:szCs w:val="21"/>
        </w:rPr>
      </w:pPr>
      <w:r w:rsidRPr="00894944">
        <w:rPr>
          <w:rFonts w:ascii="Times New Roman" w:hAnsi="Times New Roman"/>
          <w:sz w:val="21"/>
          <w:szCs w:val="21"/>
        </w:rPr>
        <w:t>зміна переліку суб’єктів управління комунальною власністю, зокрема, за рахунок надання можливості районним і обласним радам формувати відповідні виконавчі органи, наділені повноцінними повноваженнями щодо управління спільною комунальною власністю територіальних громад;</w:t>
      </w:r>
    </w:p>
    <w:p w:rsidR="00B233DE" w:rsidRPr="00894944" w:rsidRDefault="00B233DE" w:rsidP="00B233DE">
      <w:pPr>
        <w:pStyle w:val="ad"/>
        <w:numPr>
          <w:ilvl w:val="0"/>
          <w:numId w:val="44"/>
        </w:numPr>
        <w:tabs>
          <w:tab w:val="left" w:pos="993"/>
        </w:tabs>
        <w:spacing w:line="245" w:lineRule="auto"/>
        <w:ind w:left="0" w:firstLine="709"/>
        <w:jc w:val="both"/>
        <w:rPr>
          <w:rFonts w:ascii="Times New Roman" w:hAnsi="Times New Roman"/>
          <w:sz w:val="21"/>
          <w:szCs w:val="21"/>
        </w:rPr>
      </w:pPr>
      <w:r w:rsidRPr="00894944">
        <w:rPr>
          <w:rFonts w:ascii="Times New Roman" w:hAnsi="Times New Roman"/>
          <w:sz w:val="21"/>
          <w:szCs w:val="21"/>
        </w:rPr>
        <w:t xml:space="preserve">розмежування сфер відповідальності за рівнями місцевого самоврядування. Зокрема, у віданні органів місцевого самоврядування обласного рівня перебуватимуть забезпечення охорони навколишнього природного середовища; розвитку обласної інфраструктури, насамперед обласних автомобільних доріг, мережі міжрайонних та міжобласних маршрутів транспорту загального користування; професійно-технічної освіти; надання високоспеціалізованої медичної допомоги. На районному рівні органи місцевого самоврядування будуть покликані забезпечувати виховання і навчання дітей у школах-інтернатах загального профілю та надання медичних послуг вторинного рівня. Серед повноважень органів місцевого самоврядування базового рівня визначено забезпечення: </w:t>
      </w:r>
      <w:bookmarkStart w:id="518" w:name="n67"/>
      <w:bookmarkStart w:id="519" w:name="n68"/>
      <w:bookmarkEnd w:id="518"/>
      <w:bookmarkEnd w:id="519"/>
      <w:r w:rsidRPr="00894944">
        <w:rPr>
          <w:rFonts w:ascii="Times New Roman" w:hAnsi="Times New Roman"/>
          <w:sz w:val="21"/>
          <w:szCs w:val="21"/>
        </w:rPr>
        <w:t xml:space="preserve">розвитку місцевої інфраструктури, зокрема доріг, мереж водо-, тепло-, газо-, електропостачання і водовідведення, інформаційних мереж, об’єктів соціального та культурного призначення; </w:t>
      </w:r>
      <w:bookmarkStart w:id="520" w:name="n69"/>
      <w:bookmarkStart w:id="521" w:name="n70"/>
      <w:bookmarkStart w:id="522" w:name="n71"/>
      <w:bookmarkEnd w:id="520"/>
      <w:bookmarkEnd w:id="521"/>
      <w:bookmarkEnd w:id="522"/>
      <w:r w:rsidRPr="00894944">
        <w:rPr>
          <w:rFonts w:ascii="Times New Roman" w:hAnsi="Times New Roman"/>
          <w:sz w:val="21"/>
          <w:szCs w:val="21"/>
        </w:rPr>
        <w:t xml:space="preserve">благоустрою території; </w:t>
      </w:r>
      <w:bookmarkStart w:id="523" w:name="n72"/>
      <w:bookmarkEnd w:id="523"/>
      <w:r w:rsidRPr="00894944">
        <w:rPr>
          <w:rFonts w:ascii="Times New Roman" w:hAnsi="Times New Roman"/>
          <w:sz w:val="21"/>
          <w:szCs w:val="21"/>
        </w:rPr>
        <w:t xml:space="preserve">надання житлово-комунальних послуг (централізоване водо-, теплопостачання і водовідведення, вивезення та утилізація відходів, утримання будинків і споруд, прибудинкових територій комунальної власності); </w:t>
      </w:r>
      <w:bookmarkStart w:id="524" w:name="n73"/>
      <w:bookmarkEnd w:id="524"/>
      <w:r w:rsidRPr="00894944">
        <w:rPr>
          <w:rFonts w:ascii="Times New Roman" w:hAnsi="Times New Roman"/>
          <w:sz w:val="21"/>
          <w:szCs w:val="21"/>
        </w:rPr>
        <w:t xml:space="preserve">організації пасажирських перевезень на </w:t>
      </w:r>
      <w:r w:rsidRPr="00894944">
        <w:rPr>
          <w:rFonts w:ascii="Times New Roman" w:hAnsi="Times New Roman"/>
          <w:sz w:val="21"/>
          <w:szCs w:val="21"/>
        </w:rPr>
        <w:lastRenderedPageBreak/>
        <w:t xml:space="preserve">території громади; </w:t>
      </w:r>
      <w:bookmarkStart w:id="525" w:name="n74"/>
      <w:bookmarkEnd w:id="525"/>
      <w:r w:rsidRPr="00894944">
        <w:rPr>
          <w:rFonts w:ascii="Times New Roman" w:hAnsi="Times New Roman"/>
          <w:sz w:val="21"/>
          <w:szCs w:val="21"/>
        </w:rPr>
        <w:t xml:space="preserve">утримання вулиць і доріг у населених пунктах; </w:t>
      </w:r>
      <w:bookmarkStart w:id="526" w:name="n75"/>
      <w:bookmarkEnd w:id="526"/>
      <w:r w:rsidRPr="00894944">
        <w:rPr>
          <w:rFonts w:ascii="Times New Roman" w:hAnsi="Times New Roman"/>
          <w:sz w:val="21"/>
          <w:szCs w:val="21"/>
        </w:rPr>
        <w:t xml:space="preserve">громадської безпеки; </w:t>
      </w:r>
      <w:bookmarkStart w:id="527" w:name="n76"/>
      <w:bookmarkEnd w:id="527"/>
      <w:r w:rsidRPr="00894944">
        <w:rPr>
          <w:rFonts w:ascii="Times New Roman" w:hAnsi="Times New Roman"/>
          <w:sz w:val="21"/>
          <w:szCs w:val="21"/>
        </w:rPr>
        <w:t xml:space="preserve">гасіння пожеж; </w:t>
      </w:r>
      <w:bookmarkStart w:id="528" w:name="n77"/>
      <w:bookmarkEnd w:id="528"/>
      <w:r w:rsidRPr="00894944">
        <w:rPr>
          <w:rFonts w:ascii="Times New Roman" w:hAnsi="Times New Roman"/>
          <w:sz w:val="21"/>
          <w:szCs w:val="21"/>
        </w:rPr>
        <w:t xml:space="preserve">управління закладами середньої, дошкільної та позашкільної освіти; </w:t>
      </w:r>
      <w:bookmarkStart w:id="529" w:name="n78"/>
      <w:bookmarkEnd w:id="529"/>
      <w:r w:rsidRPr="00894944">
        <w:rPr>
          <w:rFonts w:ascii="Times New Roman" w:hAnsi="Times New Roman"/>
          <w:sz w:val="21"/>
          <w:szCs w:val="21"/>
        </w:rPr>
        <w:t xml:space="preserve">надання послуг швидкої медичної допомоги, первинної охорони здоров’я, з профілактики хвороб; </w:t>
      </w:r>
      <w:bookmarkStart w:id="530" w:name="n79"/>
      <w:bookmarkEnd w:id="530"/>
      <w:r w:rsidRPr="00894944">
        <w:rPr>
          <w:rFonts w:ascii="Times New Roman" w:hAnsi="Times New Roman"/>
          <w:sz w:val="21"/>
          <w:szCs w:val="21"/>
        </w:rPr>
        <w:t>розвитку культури та фізичної культури (утримання та організація роботи будинків культури, клубів, бібліотек, стадіонів, спортивних майданчиків)</w:t>
      </w:r>
      <w:bookmarkStart w:id="531" w:name="n80"/>
      <w:bookmarkEnd w:id="531"/>
      <w:r w:rsidRPr="00894944">
        <w:rPr>
          <w:rFonts w:ascii="Times New Roman" w:hAnsi="Times New Roman"/>
          <w:sz w:val="21"/>
          <w:szCs w:val="21"/>
        </w:rPr>
        <w:t>.</w:t>
      </w:r>
    </w:p>
    <w:p w:rsidR="00B233DE" w:rsidRPr="00CE078B" w:rsidRDefault="00B233DE" w:rsidP="00B233DE">
      <w:pPr>
        <w:pStyle w:val="ad"/>
        <w:tabs>
          <w:tab w:val="left" w:pos="1134"/>
        </w:tabs>
        <w:spacing w:line="245" w:lineRule="auto"/>
        <w:ind w:left="0" w:firstLine="709"/>
        <w:jc w:val="both"/>
        <w:rPr>
          <w:rStyle w:val="rvts0"/>
          <w:rFonts w:ascii="Times New Roman" w:hAnsi="Times New Roman"/>
          <w:sz w:val="21"/>
          <w:szCs w:val="21"/>
        </w:rPr>
      </w:pPr>
      <w:r w:rsidRPr="00CE078B">
        <w:rPr>
          <w:rStyle w:val="rvts0"/>
          <w:rFonts w:ascii="Times New Roman" w:hAnsi="Times New Roman"/>
          <w:sz w:val="21"/>
          <w:szCs w:val="21"/>
        </w:rPr>
        <w:t xml:space="preserve">Зважаючи на це, суб’єкти соціальної регіональної політики на місцях матимуть не лише права, а й реальні засоби для досягнення поставлених завдань та чітко окреслені межі впливу. </w:t>
      </w:r>
    </w:p>
    <w:p w:rsidR="00B233DE" w:rsidRPr="00CE078B" w:rsidRDefault="00B233DE" w:rsidP="00B233DE">
      <w:pPr>
        <w:pStyle w:val="ad"/>
        <w:tabs>
          <w:tab w:val="left" w:pos="1134"/>
        </w:tabs>
        <w:spacing w:line="245" w:lineRule="auto"/>
        <w:ind w:left="0" w:firstLine="709"/>
        <w:jc w:val="both"/>
        <w:rPr>
          <w:rStyle w:val="rvts0"/>
          <w:rFonts w:ascii="Times New Roman" w:hAnsi="Times New Roman"/>
          <w:sz w:val="21"/>
          <w:szCs w:val="21"/>
        </w:rPr>
      </w:pPr>
      <w:r w:rsidRPr="00CE078B">
        <w:rPr>
          <w:rStyle w:val="rvts0"/>
          <w:rFonts w:ascii="Times New Roman" w:hAnsi="Times New Roman"/>
          <w:sz w:val="21"/>
          <w:szCs w:val="21"/>
        </w:rPr>
        <w:t>Суттєвий вплив на реалізацію соціальної політики на рівнях району та регіону матиме надання можливості районним та обласним радам формувати відповідні виконавчі органи, наділені повноцінними повноваженнями щодо управління майном спільної комунальної власності територіальних громад. Це надасть змогу вирішити проблему дублювання функцій між різними гілками влади та місцевого самоврядування, а також знизити рівень протистояння між державними адміністраціями відповідних рівнів і органами місцевого самоврядування та наділити останніх природно приналежними їм функціями.</w:t>
      </w:r>
    </w:p>
    <w:p w:rsidR="00B233DE" w:rsidRDefault="00B233DE" w:rsidP="00B233DE">
      <w:pPr>
        <w:pStyle w:val="ad"/>
        <w:tabs>
          <w:tab w:val="left" w:pos="1134"/>
        </w:tabs>
        <w:spacing w:line="245" w:lineRule="auto"/>
        <w:ind w:left="0" w:firstLine="709"/>
        <w:jc w:val="both"/>
        <w:rPr>
          <w:rStyle w:val="rvts0"/>
          <w:rFonts w:ascii="Times New Roman" w:hAnsi="Times New Roman"/>
          <w:sz w:val="21"/>
          <w:szCs w:val="21"/>
        </w:rPr>
      </w:pPr>
      <w:r w:rsidRPr="00CE078B">
        <w:rPr>
          <w:rStyle w:val="rvts0"/>
          <w:rFonts w:ascii="Times New Roman" w:hAnsi="Times New Roman"/>
          <w:sz w:val="21"/>
          <w:szCs w:val="21"/>
        </w:rPr>
        <w:t xml:space="preserve">Важливим є розподіл повноважень серед суб’єктів соціальної регіональної політики щодо управління об’єктами комунальної власності сфер освіти (з поділом на управління закладами середньої, дошкільної та позашкільної освіти, виховання і навчання дітей у школах-інтернатах загального профілю, а також управління професійно-технічною освітою) та охорони здоров’я (з поділом на надання послуг швидкої медичної допомоги, первинної охорони здоров’я, надання медичних послуг вторинного рівня та надання високоспеціалізованої медичної допомоги </w:t>
      </w:r>
      <w:r w:rsidRPr="00CE078B">
        <w:rPr>
          <w:rFonts w:ascii="Times New Roman" w:hAnsi="Times New Roman"/>
          <w:sz w:val="21"/>
          <w:szCs w:val="21"/>
        </w:rPr>
        <w:t xml:space="preserve">(рис. </w:t>
      </w:r>
      <w:r>
        <w:rPr>
          <w:rFonts w:ascii="Times New Roman" w:hAnsi="Times New Roman"/>
          <w:sz w:val="21"/>
          <w:szCs w:val="21"/>
        </w:rPr>
        <w:t>6</w:t>
      </w:r>
      <w:r w:rsidRPr="00CE078B">
        <w:rPr>
          <w:rFonts w:ascii="Times New Roman" w:hAnsi="Times New Roman"/>
          <w:sz w:val="21"/>
          <w:szCs w:val="21"/>
        </w:rPr>
        <w:t>.1)</w:t>
      </w:r>
      <w:r w:rsidRPr="00CE078B">
        <w:rPr>
          <w:rStyle w:val="rvts0"/>
          <w:rFonts w:ascii="Times New Roman" w:hAnsi="Times New Roman"/>
          <w:sz w:val="21"/>
          <w:szCs w:val="21"/>
        </w:rPr>
        <w:t>.</w:t>
      </w:r>
    </w:p>
    <w:p w:rsidR="00B233DE" w:rsidRDefault="00B233DE" w:rsidP="00B233DE">
      <w:pPr>
        <w:pStyle w:val="ad"/>
        <w:tabs>
          <w:tab w:val="left" w:pos="1134"/>
        </w:tabs>
        <w:spacing w:line="245" w:lineRule="auto"/>
        <w:ind w:left="0" w:firstLine="709"/>
        <w:jc w:val="both"/>
        <w:rPr>
          <w:rStyle w:val="rvts0"/>
          <w:rFonts w:ascii="Times New Roman" w:hAnsi="Times New Roman"/>
          <w:sz w:val="21"/>
          <w:szCs w:val="21"/>
        </w:rPr>
      </w:pPr>
      <w:r w:rsidRPr="00DC4493">
        <w:rPr>
          <w:rFonts w:ascii="Times New Roman" w:hAnsi="Times New Roman"/>
          <w:sz w:val="21"/>
          <w:szCs w:val="21"/>
        </w:rPr>
        <w:t>Отже, реформування комунальної власності як матеріальної і фінансової основи соціальної регіональної політики за умов проведення реформи місцевого самоврядування та територіальної організації влади у країні потребує врахування, насамперед, принципу субсидіарності – передання повноважень на найбільш наближений до конкретного споживача послуг рівень. Ця позиція є вагомим кроком для досягнення реформуванням максимальної ефективності.</w:t>
      </w:r>
    </w:p>
    <w:p w:rsidR="00B233DE" w:rsidRDefault="00B233DE" w:rsidP="00B233DE">
      <w:pPr>
        <w:pStyle w:val="ad"/>
        <w:tabs>
          <w:tab w:val="left" w:pos="1134"/>
        </w:tabs>
        <w:ind w:left="0" w:firstLine="709"/>
        <w:jc w:val="both"/>
        <w:rPr>
          <w:rStyle w:val="rvts0"/>
          <w:rFonts w:ascii="Times New Roman" w:hAnsi="Times New Roman"/>
          <w:sz w:val="21"/>
          <w:szCs w:val="21"/>
        </w:rPr>
      </w:pPr>
    </w:p>
    <w:p w:rsidR="00B233DE" w:rsidRPr="00CE078B" w:rsidRDefault="00B233DE" w:rsidP="00B233DE">
      <w:pPr>
        <w:pStyle w:val="ad"/>
        <w:tabs>
          <w:tab w:val="left" w:pos="1134"/>
        </w:tabs>
        <w:spacing w:line="360" w:lineRule="auto"/>
        <w:ind w:left="0" w:firstLine="709"/>
        <w:jc w:val="both"/>
        <w:rPr>
          <w:rStyle w:val="rvts0"/>
          <w:rFonts w:ascii="Times New Roman" w:hAnsi="Times New Roman"/>
          <w:sz w:val="28"/>
          <w:szCs w:val="28"/>
        </w:rPr>
      </w:pPr>
      <w:r>
        <w:rPr>
          <w:rFonts w:ascii="Times New Roman" w:hAnsi="Times New Roman" w:cs="Times New Roman"/>
          <w:noProof/>
          <w:sz w:val="28"/>
          <w:szCs w:val="28"/>
          <w:lang w:val="ru-RU" w:eastAsia="ru-RU"/>
        </w:rPr>
        <w:lastRenderedPageBreak/>
        <mc:AlternateContent>
          <mc:Choice Requires="wpg">
            <w:drawing>
              <wp:anchor distT="0" distB="0" distL="114300" distR="114300" simplePos="0" relativeHeight="251705344" behindDoc="0" locked="0" layoutInCell="1" allowOverlap="1" wp14:anchorId="7C95036B" wp14:editId="7BB11E46">
                <wp:simplePos x="0" y="0"/>
                <wp:positionH relativeFrom="column">
                  <wp:posOffset>-8890</wp:posOffset>
                </wp:positionH>
                <wp:positionV relativeFrom="paragraph">
                  <wp:posOffset>8043</wp:posOffset>
                </wp:positionV>
                <wp:extent cx="3912870" cy="4809067"/>
                <wp:effectExtent l="0" t="0" r="11430" b="10795"/>
                <wp:wrapNone/>
                <wp:docPr id="1265" name="Группа 1265"/>
                <wp:cNvGraphicFramePr/>
                <a:graphic xmlns:a="http://schemas.openxmlformats.org/drawingml/2006/main">
                  <a:graphicData uri="http://schemas.microsoft.com/office/word/2010/wordprocessingGroup">
                    <wpg:wgp>
                      <wpg:cNvGrpSpPr/>
                      <wpg:grpSpPr>
                        <a:xfrm>
                          <a:off x="0" y="0"/>
                          <a:ext cx="3912870" cy="4809067"/>
                          <a:chOff x="0" y="0"/>
                          <a:chExt cx="3912870" cy="3122295"/>
                        </a:xfrm>
                      </wpg:grpSpPr>
                      <wpg:grpSp>
                        <wpg:cNvPr id="1255" name="Группа 1255"/>
                        <wpg:cNvGrpSpPr>
                          <a:grpSpLocks/>
                        </wpg:cNvGrpSpPr>
                        <wpg:grpSpPr bwMode="auto">
                          <a:xfrm>
                            <a:off x="0" y="0"/>
                            <a:ext cx="3912870" cy="3122295"/>
                            <a:chOff x="0" y="0"/>
                            <a:chExt cx="5678302" cy="5304419"/>
                          </a:xfrm>
                        </wpg:grpSpPr>
                        <wps:wsp>
                          <wps:cNvPr id="1256" name="Прямоугольник 13"/>
                          <wps:cNvSpPr>
                            <a:spLocks noChangeArrowheads="1"/>
                          </wps:cNvSpPr>
                          <wps:spPr bwMode="auto">
                            <a:xfrm>
                              <a:off x="0" y="3800104"/>
                              <a:ext cx="2837815" cy="150431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BE40F8" w:rsidRPr="00A01760" w:rsidRDefault="00BE40F8" w:rsidP="00B233DE">
                                <w:pPr>
                                  <w:ind w:right="1484" w:firstLine="0"/>
                                  <w:jc w:val="center"/>
                                  <w:rPr>
                                    <w:rFonts w:ascii="Times New Roman" w:hAnsi="Times New Roman"/>
                                    <w:color w:val="000000"/>
                                    <w:sz w:val="16"/>
                                    <w:szCs w:val="16"/>
                                  </w:rPr>
                                </w:pPr>
                                <w:r w:rsidRPr="00A01760">
                                  <w:rPr>
                                    <w:rFonts w:ascii="Times New Roman" w:hAnsi="Times New Roman"/>
                                    <w:color w:val="000000"/>
                                    <w:sz w:val="16"/>
                                    <w:szCs w:val="16"/>
                                  </w:rPr>
                                  <w:t xml:space="preserve">Територіальні громади, </w:t>
                                </w:r>
                              </w:p>
                              <w:p w:rsidR="00BE40F8" w:rsidRPr="00A01760" w:rsidRDefault="00BE40F8" w:rsidP="00B233DE">
                                <w:pPr>
                                  <w:ind w:right="1484" w:firstLine="0"/>
                                  <w:jc w:val="center"/>
                                  <w:rPr>
                                    <w:rFonts w:ascii="Times New Roman" w:hAnsi="Times New Roman"/>
                                    <w:color w:val="000000"/>
                                    <w:sz w:val="16"/>
                                    <w:szCs w:val="16"/>
                                    <w:u w:val="single"/>
                                  </w:rPr>
                                </w:pPr>
                                <w:r w:rsidRPr="00A01760">
                                  <w:rPr>
                                    <w:rFonts w:ascii="Times New Roman" w:hAnsi="Times New Roman"/>
                                    <w:color w:val="000000"/>
                                    <w:sz w:val="16"/>
                                    <w:szCs w:val="16"/>
                                  </w:rPr>
                                  <w:t>місцеві ради та</w:t>
                                </w:r>
                                <w:r w:rsidRPr="00A01760">
                                  <w:rPr>
                                    <w:rFonts w:ascii="Times New Roman" w:hAnsi="Times New Roman"/>
                                    <w:i/>
                                    <w:color w:val="000000"/>
                                    <w:sz w:val="16"/>
                                    <w:szCs w:val="16"/>
                                  </w:rPr>
                                  <w:t xml:space="preserve"> </w:t>
                                </w:r>
                                <w:r w:rsidRPr="00A01760">
                                  <w:rPr>
                                    <w:rFonts w:ascii="Times New Roman" w:hAnsi="Times New Roman"/>
                                    <w:i/>
                                    <w:color w:val="000000"/>
                                    <w:sz w:val="16"/>
                                    <w:szCs w:val="16"/>
                                    <w:u w:val="single"/>
                                  </w:rPr>
                                  <w:t>виконавчі органи місцевих рад</w:t>
                                </w:r>
                              </w:p>
                            </w:txbxContent>
                          </wps:txbx>
                          <wps:bodyPr rot="0" vert="horz" wrap="square" lIns="91440" tIns="45720" rIns="91440" bIns="45720" anchor="ctr" anchorCtr="0" upright="1">
                            <a:noAutofit/>
                          </wps:bodyPr>
                        </wps:wsp>
                        <wps:wsp>
                          <wps:cNvPr id="1257" name="Прямоугольник 7"/>
                          <wps:cNvSpPr>
                            <a:spLocks noChangeArrowheads="1"/>
                          </wps:cNvSpPr>
                          <wps:spPr bwMode="auto">
                            <a:xfrm>
                              <a:off x="0" y="0"/>
                              <a:ext cx="2811780" cy="92265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BE40F8" w:rsidRPr="00CE078B" w:rsidRDefault="00BE40F8" w:rsidP="00B233DE">
                                <w:pPr>
                                  <w:ind w:firstLine="0"/>
                                  <w:jc w:val="center"/>
                                  <w:rPr>
                                    <w:rFonts w:ascii="Times New Roman" w:hAnsi="Times New Roman"/>
                                    <w:b/>
                                    <w:color w:val="000000"/>
                                    <w:sz w:val="18"/>
                                    <w:szCs w:val="18"/>
                                  </w:rPr>
                                </w:pPr>
                                <w:r w:rsidRPr="00CE078B">
                                  <w:rPr>
                                    <w:rFonts w:ascii="Times New Roman" w:hAnsi="Times New Roman"/>
                                    <w:b/>
                                    <w:color w:val="000000"/>
                                    <w:sz w:val="18"/>
                                    <w:szCs w:val="18"/>
                                  </w:rPr>
                                  <w:t>Зміна переліку суб’єктів управління об’єктами комунальної власності</w:t>
                                </w:r>
                              </w:p>
                            </w:txbxContent>
                          </wps:txbx>
                          <wps:bodyPr rot="0" vert="horz" wrap="square" lIns="91440" tIns="45720" rIns="91440" bIns="45720" anchor="ctr" anchorCtr="0" upright="1">
                            <a:noAutofit/>
                          </wps:bodyPr>
                        </wps:wsp>
                        <wps:wsp>
                          <wps:cNvPr id="1258" name="Прямоугольник 8"/>
                          <wps:cNvSpPr>
                            <a:spLocks noChangeArrowheads="1"/>
                          </wps:cNvSpPr>
                          <wps:spPr bwMode="auto">
                            <a:xfrm>
                              <a:off x="2814452" y="0"/>
                              <a:ext cx="2863850" cy="91376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BE40F8" w:rsidRPr="00CE078B" w:rsidRDefault="00BE40F8" w:rsidP="00B233DE">
                                <w:pPr>
                                  <w:ind w:firstLine="0"/>
                                  <w:jc w:val="center"/>
                                  <w:rPr>
                                    <w:rFonts w:ascii="Times New Roman" w:hAnsi="Times New Roman"/>
                                    <w:b/>
                                    <w:color w:val="000000"/>
                                    <w:sz w:val="18"/>
                                    <w:szCs w:val="18"/>
                                  </w:rPr>
                                </w:pPr>
                                <w:r w:rsidRPr="00CE078B">
                                  <w:rPr>
                                    <w:rFonts w:ascii="Times New Roman" w:hAnsi="Times New Roman"/>
                                    <w:b/>
                                    <w:color w:val="000000"/>
                                    <w:sz w:val="18"/>
                                    <w:szCs w:val="18"/>
                                  </w:rPr>
                                  <w:t>Розмежування сфер відповідальності за рівнями місцевого самоврядування</w:t>
                                </w:r>
                              </w:p>
                            </w:txbxContent>
                          </wps:txbx>
                          <wps:bodyPr rot="0" vert="horz" wrap="square" lIns="91440" tIns="45720" rIns="91440" bIns="45720" anchor="ctr" anchorCtr="0" upright="1">
                            <a:noAutofit/>
                          </wps:bodyPr>
                        </wps:wsp>
                        <wps:wsp>
                          <wps:cNvPr id="1259" name="Прямоугольник 11"/>
                          <wps:cNvSpPr>
                            <a:spLocks noChangeArrowheads="1"/>
                          </wps:cNvSpPr>
                          <wps:spPr bwMode="auto">
                            <a:xfrm>
                              <a:off x="0" y="926276"/>
                              <a:ext cx="2837815" cy="139382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BE40F8" w:rsidRPr="00CE078B" w:rsidRDefault="00BE40F8" w:rsidP="00B233DE">
                                <w:pPr>
                                  <w:ind w:right="1484" w:firstLine="0"/>
                                  <w:jc w:val="center"/>
                                  <w:rPr>
                                    <w:rFonts w:ascii="Times New Roman" w:hAnsi="Times New Roman"/>
                                    <w:color w:val="000000"/>
                                    <w:sz w:val="16"/>
                                    <w:szCs w:val="16"/>
                                    <w:u w:val="single"/>
                                  </w:rPr>
                                </w:pPr>
                                <w:r>
                                  <w:rPr>
                                    <w:rFonts w:ascii="Times New Roman" w:hAnsi="Times New Roman"/>
                                    <w:color w:val="000000"/>
                                    <w:sz w:val="16"/>
                                    <w:szCs w:val="16"/>
                                  </w:rPr>
                                  <w:t xml:space="preserve">Територіальні </w:t>
                                </w:r>
                                <w:r w:rsidRPr="00CE078B">
                                  <w:rPr>
                                    <w:rFonts w:ascii="Times New Roman" w:hAnsi="Times New Roman"/>
                                    <w:color w:val="000000"/>
                                    <w:sz w:val="16"/>
                                    <w:szCs w:val="16"/>
                                  </w:rPr>
                                  <w:t>громади, обласні ради та</w:t>
                                </w:r>
                                <w:r w:rsidRPr="00CE078B">
                                  <w:rPr>
                                    <w:rFonts w:ascii="Times New Roman" w:hAnsi="Times New Roman"/>
                                    <w:i/>
                                    <w:color w:val="000000"/>
                                    <w:sz w:val="16"/>
                                    <w:szCs w:val="16"/>
                                  </w:rPr>
                                  <w:t xml:space="preserve"> </w:t>
                                </w:r>
                                <w:r w:rsidRPr="00CE078B">
                                  <w:rPr>
                                    <w:rFonts w:ascii="Times New Roman" w:hAnsi="Times New Roman"/>
                                    <w:i/>
                                    <w:color w:val="000000"/>
                                    <w:sz w:val="16"/>
                                    <w:szCs w:val="16"/>
                                    <w:u w:val="single"/>
                                  </w:rPr>
                                  <w:t xml:space="preserve">виконавчі органи обласних </w:t>
                                </w:r>
                                <w:r>
                                  <w:rPr>
                                    <w:rFonts w:ascii="Times New Roman" w:hAnsi="Times New Roman"/>
                                    <w:i/>
                                    <w:color w:val="000000"/>
                                    <w:sz w:val="16"/>
                                    <w:szCs w:val="16"/>
                                    <w:u w:val="single"/>
                                  </w:rPr>
                                  <w:t>адміністрацій</w:t>
                                </w:r>
                              </w:p>
                            </w:txbxContent>
                          </wps:txbx>
                          <wps:bodyPr rot="0" vert="horz" wrap="square" lIns="91440" tIns="45720" rIns="91440" bIns="45720" anchor="ctr" anchorCtr="0" upright="1">
                            <a:noAutofit/>
                          </wps:bodyPr>
                        </wps:wsp>
                        <wps:wsp>
                          <wps:cNvPr id="1260" name="Прямоугольник 12"/>
                          <wps:cNvSpPr>
                            <a:spLocks noChangeArrowheads="1"/>
                          </wps:cNvSpPr>
                          <wps:spPr bwMode="auto">
                            <a:xfrm>
                              <a:off x="0" y="2315689"/>
                              <a:ext cx="2837815" cy="1475117"/>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BE40F8" w:rsidRPr="00A01760" w:rsidRDefault="00BE40F8" w:rsidP="00B233DE">
                                <w:pPr>
                                  <w:ind w:right="1484" w:firstLine="0"/>
                                  <w:jc w:val="center"/>
                                  <w:rPr>
                                    <w:rFonts w:ascii="Times New Roman" w:hAnsi="Times New Roman"/>
                                    <w:color w:val="000000"/>
                                    <w:sz w:val="16"/>
                                    <w:szCs w:val="16"/>
                                  </w:rPr>
                                </w:pPr>
                                <w:r w:rsidRPr="00A01760">
                                  <w:rPr>
                                    <w:rFonts w:ascii="Times New Roman" w:hAnsi="Times New Roman"/>
                                    <w:color w:val="000000"/>
                                    <w:sz w:val="16"/>
                                    <w:szCs w:val="16"/>
                                  </w:rPr>
                                  <w:t xml:space="preserve">Територіальні громади, </w:t>
                                </w:r>
                              </w:p>
                              <w:p w:rsidR="00BE40F8" w:rsidRPr="00A01760" w:rsidRDefault="00BE40F8" w:rsidP="00B233DE">
                                <w:pPr>
                                  <w:ind w:right="1484" w:firstLine="0"/>
                                  <w:jc w:val="center"/>
                                  <w:rPr>
                                    <w:rFonts w:ascii="Times New Roman" w:hAnsi="Times New Roman"/>
                                    <w:color w:val="000000"/>
                                    <w:sz w:val="16"/>
                                    <w:szCs w:val="16"/>
                                    <w:u w:val="single"/>
                                  </w:rPr>
                                </w:pPr>
                                <w:r w:rsidRPr="00A01760">
                                  <w:rPr>
                                    <w:rFonts w:ascii="Times New Roman" w:hAnsi="Times New Roman"/>
                                    <w:color w:val="000000"/>
                                    <w:sz w:val="16"/>
                                    <w:szCs w:val="16"/>
                                  </w:rPr>
                                  <w:t>районні ради та</w:t>
                                </w:r>
                                <w:r w:rsidRPr="00A01760">
                                  <w:rPr>
                                    <w:rFonts w:ascii="Times New Roman" w:hAnsi="Times New Roman"/>
                                    <w:i/>
                                    <w:color w:val="000000"/>
                                    <w:sz w:val="16"/>
                                    <w:szCs w:val="16"/>
                                  </w:rPr>
                                  <w:t xml:space="preserve"> </w:t>
                                </w:r>
                                <w:r w:rsidRPr="00A01760">
                                  <w:rPr>
                                    <w:rFonts w:ascii="Times New Roman" w:hAnsi="Times New Roman"/>
                                    <w:i/>
                                    <w:color w:val="000000"/>
                                    <w:sz w:val="16"/>
                                    <w:szCs w:val="16"/>
                                    <w:u w:val="single"/>
                                  </w:rPr>
                                  <w:t>виконавчі органи районних рад</w:t>
                                </w:r>
                              </w:p>
                            </w:txbxContent>
                          </wps:txbx>
                          <wps:bodyPr rot="0" vert="horz" wrap="square" lIns="91440" tIns="45720" rIns="91440" bIns="45720" anchor="ctr" anchorCtr="0" upright="1">
                            <a:noAutofit/>
                          </wps:bodyPr>
                        </wps:wsp>
                        <wps:wsp>
                          <wps:cNvPr id="1261" name="Прямоугольник 14"/>
                          <wps:cNvSpPr>
                            <a:spLocks noChangeArrowheads="1"/>
                          </wps:cNvSpPr>
                          <wps:spPr bwMode="auto">
                            <a:xfrm>
                              <a:off x="2838203" y="914400"/>
                              <a:ext cx="2837815" cy="1402451"/>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BE40F8" w:rsidRDefault="00BE40F8" w:rsidP="00B233DE">
                                <w:pPr>
                                  <w:spacing w:line="228" w:lineRule="auto"/>
                                  <w:ind w:left="142" w:right="45" w:firstLine="0"/>
                                  <w:jc w:val="center"/>
                                  <w:rPr>
                                    <w:rStyle w:val="rvts0"/>
                                    <w:rFonts w:ascii="Times New Roman" w:hAnsi="Times New Roman"/>
                                    <w:color w:val="000000"/>
                                    <w:sz w:val="16"/>
                                    <w:szCs w:val="16"/>
                                  </w:rPr>
                                </w:pPr>
                                <w:r w:rsidRPr="004846D4">
                                  <w:rPr>
                                    <w:rFonts w:ascii="Times New Roman" w:hAnsi="Times New Roman"/>
                                    <w:color w:val="000000"/>
                                    <w:sz w:val="16"/>
                                    <w:szCs w:val="16"/>
                                  </w:rPr>
                                  <w:t xml:space="preserve">Забезпечення </w:t>
                                </w:r>
                                <w:r w:rsidRPr="004846D4">
                                  <w:rPr>
                                    <w:rStyle w:val="rvts0"/>
                                    <w:rFonts w:ascii="Times New Roman" w:hAnsi="Times New Roman"/>
                                    <w:color w:val="000000"/>
                                    <w:sz w:val="16"/>
                                    <w:szCs w:val="16"/>
                                  </w:rPr>
                                  <w:t>охорони навко</w:t>
                                </w:r>
                                <w:r>
                                  <w:rPr>
                                    <w:rStyle w:val="rvts0"/>
                                    <w:rFonts w:ascii="Times New Roman" w:hAnsi="Times New Roman"/>
                                    <w:color w:val="000000"/>
                                    <w:sz w:val="16"/>
                                    <w:szCs w:val="16"/>
                                  </w:rPr>
                                  <w:t>-</w:t>
                                </w:r>
                              </w:p>
                              <w:p w:rsidR="00BE40F8" w:rsidRDefault="00BE40F8" w:rsidP="00B233DE">
                                <w:pPr>
                                  <w:spacing w:line="228" w:lineRule="auto"/>
                                  <w:ind w:left="142" w:right="45" w:firstLine="0"/>
                                  <w:jc w:val="both"/>
                                  <w:rPr>
                                    <w:rStyle w:val="rvts0"/>
                                    <w:rFonts w:ascii="Times New Roman" w:hAnsi="Times New Roman"/>
                                    <w:color w:val="000000"/>
                                    <w:sz w:val="16"/>
                                    <w:szCs w:val="16"/>
                                  </w:rPr>
                                </w:pPr>
                                <w:r>
                                  <w:rPr>
                                    <w:rStyle w:val="rvts0"/>
                                    <w:rFonts w:ascii="Times New Roman" w:hAnsi="Times New Roman"/>
                                    <w:color w:val="000000"/>
                                    <w:sz w:val="16"/>
                                    <w:szCs w:val="16"/>
                                  </w:rPr>
                                  <w:t xml:space="preserve">          </w:t>
                                </w:r>
                                <w:r w:rsidRPr="004846D4">
                                  <w:rPr>
                                    <w:rStyle w:val="rvts0"/>
                                    <w:rFonts w:ascii="Times New Roman" w:hAnsi="Times New Roman"/>
                                    <w:color w:val="000000"/>
                                    <w:sz w:val="16"/>
                                    <w:szCs w:val="16"/>
                                  </w:rPr>
                                  <w:t>лишнього природного середо</w:t>
                                </w:r>
                                <w:r>
                                  <w:rPr>
                                    <w:rStyle w:val="rvts0"/>
                                    <w:rFonts w:ascii="Times New Roman" w:hAnsi="Times New Roman"/>
                                    <w:color w:val="000000"/>
                                    <w:sz w:val="16"/>
                                    <w:szCs w:val="16"/>
                                  </w:rPr>
                                  <w:t>-</w:t>
                                </w:r>
                              </w:p>
                              <w:p w:rsidR="00BE40F8" w:rsidRDefault="00BE40F8" w:rsidP="00B233DE">
                                <w:pPr>
                                  <w:spacing w:line="228" w:lineRule="auto"/>
                                  <w:ind w:left="142" w:right="45" w:firstLine="0"/>
                                  <w:jc w:val="both"/>
                                  <w:rPr>
                                    <w:rStyle w:val="rvts0"/>
                                    <w:rFonts w:ascii="Times New Roman" w:hAnsi="Times New Roman"/>
                                    <w:color w:val="000000"/>
                                    <w:sz w:val="16"/>
                                    <w:szCs w:val="16"/>
                                  </w:rPr>
                                </w:pPr>
                                <w:r>
                                  <w:rPr>
                                    <w:rStyle w:val="rvts0"/>
                                    <w:rFonts w:ascii="Times New Roman" w:hAnsi="Times New Roman"/>
                                    <w:color w:val="000000"/>
                                    <w:sz w:val="16"/>
                                    <w:szCs w:val="16"/>
                                  </w:rPr>
                                  <w:t xml:space="preserve">              </w:t>
                                </w:r>
                                <w:r w:rsidRPr="004846D4">
                                  <w:rPr>
                                    <w:rStyle w:val="rvts0"/>
                                    <w:rFonts w:ascii="Times New Roman" w:hAnsi="Times New Roman"/>
                                    <w:color w:val="000000"/>
                                    <w:sz w:val="16"/>
                                    <w:szCs w:val="16"/>
                                  </w:rPr>
                                  <w:t>вища; розвитку обласної</w:t>
                                </w:r>
                              </w:p>
                              <w:p w:rsidR="00BE40F8" w:rsidRDefault="00BE40F8" w:rsidP="00B233DE">
                                <w:pPr>
                                  <w:spacing w:line="228" w:lineRule="auto"/>
                                  <w:ind w:left="142" w:right="45" w:firstLine="0"/>
                                  <w:jc w:val="both"/>
                                  <w:rPr>
                                    <w:rStyle w:val="rvts0"/>
                                    <w:rFonts w:ascii="Times New Roman" w:hAnsi="Times New Roman"/>
                                    <w:color w:val="000000"/>
                                    <w:sz w:val="16"/>
                                    <w:szCs w:val="16"/>
                                  </w:rPr>
                                </w:pPr>
                                <w:r>
                                  <w:rPr>
                                    <w:rStyle w:val="rvts0"/>
                                    <w:rFonts w:ascii="Times New Roman" w:hAnsi="Times New Roman"/>
                                    <w:color w:val="000000"/>
                                    <w:sz w:val="16"/>
                                    <w:szCs w:val="16"/>
                                  </w:rPr>
                                  <w:t xml:space="preserve">                </w:t>
                                </w:r>
                                <w:r w:rsidRPr="004846D4">
                                  <w:rPr>
                                    <w:rStyle w:val="rvts0"/>
                                    <w:rFonts w:ascii="Times New Roman" w:hAnsi="Times New Roman"/>
                                    <w:color w:val="000000"/>
                                    <w:sz w:val="16"/>
                                    <w:szCs w:val="16"/>
                                  </w:rPr>
                                  <w:t xml:space="preserve"> інфраструктури (обласних </w:t>
                                </w:r>
                              </w:p>
                              <w:p w:rsidR="00BE40F8" w:rsidRDefault="00BE40F8" w:rsidP="00B233DE">
                                <w:pPr>
                                  <w:spacing w:line="228" w:lineRule="auto"/>
                                  <w:ind w:left="142" w:right="45" w:firstLine="0"/>
                                  <w:jc w:val="both"/>
                                  <w:rPr>
                                    <w:rStyle w:val="rvts0"/>
                                    <w:rFonts w:ascii="Times New Roman" w:hAnsi="Times New Roman"/>
                                    <w:color w:val="000000"/>
                                    <w:sz w:val="16"/>
                                    <w:szCs w:val="16"/>
                                  </w:rPr>
                                </w:pPr>
                                <w:r>
                                  <w:rPr>
                                    <w:rStyle w:val="rvts0"/>
                                    <w:rFonts w:ascii="Times New Roman" w:hAnsi="Times New Roman"/>
                                    <w:color w:val="000000"/>
                                    <w:sz w:val="16"/>
                                    <w:szCs w:val="16"/>
                                  </w:rPr>
                                  <w:t xml:space="preserve">                </w:t>
                                </w:r>
                                <w:r w:rsidRPr="004846D4">
                                  <w:rPr>
                                    <w:rStyle w:val="rvts0"/>
                                    <w:rFonts w:ascii="Times New Roman" w:hAnsi="Times New Roman"/>
                                    <w:color w:val="000000"/>
                                    <w:sz w:val="16"/>
                                    <w:szCs w:val="16"/>
                                  </w:rPr>
                                  <w:t xml:space="preserve">автодоріг, мережі </w:t>
                                </w:r>
                                <w:r>
                                  <w:rPr>
                                    <w:rStyle w:val="rvts0"/>
                                    <w:rFonts w:ascii="Times New Roman" w:hAnsi="Times New Roman"/>
                                    <w:color w:val="000000"/>
                                    <w:sz w:val="16"/>
                                    <w:szCs w:val="16"/>
                                  </w:rPr>
                                  <w:t>маршру-</w:t>
                                </w:r>
                              </w:p>
                              <w:p w:rsidR="00BE40F8" w:rsidRDefault="00BE40F8" w:rsidP="00B233DE">
                                <w:pPr>
                                  <w:spacing w:line="228" w:lineRule="auto"/>
                                  <w:ind w:left="142" w:right="45" w:firstLine="0"/>
                                  <w:jc w:val="both"/>
                                  <w:rPr>
                                    <w:rStyle w:val="rvts0"/>
                                    <w:rFonts w:ascii="Times New Roman" w:hAnsi="Times New Roman"/>
                                    <w:color w:val="000000"/>
                                    <w:sz w:val="16"/>
                                    <w:szCs w:val="16"/>
                                  </w:rPr>
                                </w:pPr>
                                <w:r>
                                  <w:rPr>
                                    <w:rStyle w:val="rvts0"/>
                                    <w:rFonts w:ascii="Times New Roman" w:hAnsi="Times New Roman"/>
                                    <w:color w:val="000000"/>
                                    <w:sz w:val="16"/>
                                    <w:szCs w:val="16"/>
                                  </w:rPr>
                                  <w:t xml:space="preserve">                 тів транс</w:t>
                                </w:r>
                                <w:r w:rsidRPr="004846D4">
                                  <w:rPr>
                                    <w:rStyle w:val="rvts0"/>
                                    <w:rFonts w:ascii="Times New Roman" w:hAnsi="Times New Roman"/>
                                    <w:color w:val="000000"/>
                                    <w:sz w:val="16"/>
                                    <w:szCs w:val="16"/>
                                  </w:rPr>
                                  <w:t xml:space="preserve">порту загального </w:t>
                                </w:r>
                              </w:p>
                              <w:p w:rsidR="00BE40F8" w:rsidRDefault="00BE40F8" w:rsidP="00B233DE">
                                <w:pPr>
                                  <w:spacing w:line="228" w:lineRule="auto"/>
                                  <w:ind w:left="142" w:right="45" w:firstLine="0"/>
                                  <w:jc w:val="both"/>
                                  <w:rPr>
                                    <w:rStyle w:val="rvts0"/>
                                    <w:rFonts w:ascii="Times New Roman" w:hAnsi="Times New Roman"/>
                                    <w:color w:val="000000"/>
                                    <w:sz w:val="16"/>
                                    <w:szCs w:val="16"/>
                                  </w:rPr>
                                </w:pPr>
                                <w:r>
                                  <w:rPr>
                                    <w:rStyle w:val="rvts0"/>
                                    <w:rFonts w:ascii="Times New Roman" w:hAnsi="Times New Roman"/>
                                    <w:color w:val="000000"/>
                                    <w:sz w:val="16"/>
                                    <w:szCs w:val="16"/>
                                  </w:rPr>
                                  <w:t xml:space="preserve">                  </w:t>
                                </w:r>
                                <w:r w:rsidRPr="004846D4">
                                  <w:rPr>
                                    <w:rStyle w:val="rvts0"/>
                                    <w:rFonts w:ascii="Times New Roman" w:hAnsi="Times New Roman"/>
                                    <w:color w:val="000000"/>
                                    <w:sz w:val="16"/>
                                    <w:szCs w:val="16"/>
                                  </w:rPr>
                                  <w:t>користування; професійно-</w:t>
                                </w:r>
                              </w:p>
                              <w:p w:rsidR="00BE40F8" w:rsidRDefault="00BE40F8" w:rsidP="00B233DE">
                                <w:pPr>
                                  <w:spacing w:line="228" w:lineRule="auto"/>
                                  <w:ind w:left="142" w:right="45" w:firstLine="0"/>
                                  <w:jc w:val="both"/>
                                  <w:rPr>
                                    <w:rStyle w:val="rvts0"/>
                                    <w:rFonts w:ascii="Times New Roman" w:hAnsi="Times New Roman"/>
                                    <w:color w:val="000000"/>
                                    <w:sz w:val="16"/>
                                    <w:szCs w:val="16"/>
                                  </w:rPr>
                                </w:pPr>
                                <w:r>
                                  <w:rPr>
                                    <w:rStyle w:val="rvts0"/>
                                    <w:rFonts w:ascii="Times New Roman" w:hAnsi="Times New Roman"/>
                                    <w:color w:val="000000"/>
                                    <w:sz w:val="16"/>
                                    <w:szCs w:val="16"/>
                                  </w:rPr>
                                  <w:t xml:space="preserve">                    </w:t>
                                </w:r>
                                <w:r w:rsidRPr="004846D4">
                                  <w:rPr>
                                    <w:rStyle w:val="rvts0"/>
                                    <w:rFonts w:ascii="Times New Roman" w:hAnsi="Times New Roman"/>
                                    <w:color w:val="000000"/>
                                    <w:sz w:val="16"/>
                                    <w:szCs w:val="16"/>
                                  </w:rPr>
                                  <w:t>технічної</w:t>
                                </w:r>
                                <w:r w:rsidRPr="00894944">
                                  <w:rPr>
                                    <w:rStyle w:val="rvts0"/>
                                    <w:color w:val="000000"/>
                                  </w:rPr>
                                  <w:t xml:space="preserve"> </w:t>
                                </w:r>
                                <w:r w:rsidRPr="0063684C">
                                  <w:rPr>
                                    <w:rStyle w:val="rvts0"/>
                                    <w:rFonts w:ascii="Times New Roman" w:hAnsi="Times New Roman"/>
                                    <w:color w:val="000000"/>
                                    <w:sz w:val="16"/>
                                    <w:szCs w:val="16"/>
                                  </w:rPr>
                                  <w:t xml:space="preserve">освіти; надання </w:t>
                                </w:r>
                              </w:p>
                              <w:p w:rsidR="00BE40F8" w:rsidRDefault="00BE40F8" w:rsidP="00B233DE">
                                <w:pPr>
                                  <w:spacing w:line="228" w:lineRule="auto"/>
                                  <w:ind w:left="142" w:right="45" w:firstLine="0"/>
                                  <w:jc w:val="both"/>
                                  <w:rPr>
                                    <w:rStyle w:val="rvts0"/>
                                    <w:rFonts w:ascii="Times New Roman" w:hAnsi="Times New Roman"/>
                                    <w:color w:val="000000"/>
                                    <w:sz w:val="16"/>
                                    <w:szCs w:val="16"/>
                                  </w:rPr>
                                </w:pPr>
                                <w:r>
                                  <w:rPr>
                                    <w:rStyle w:val="rvts0"/>
                                    <w:rFonts w:ascii="Times New Roman" w:hAnsi="Times New Roman"/>
                                    <w:color w:val="000000"/>
                                    <w:sz w:val="16"/>
                                    <w:szCs w:val="16"/>
                                  </w:rPr>
                                  <w:t xml:space="preserve">                    високоспеціалізова</w:t>
                                </w:r>
                                <w:r w:rsidRPr="0063684C">
                                  <w:rPr>
                                    <w:rStyle w:val="rvts0"/>
                                    <w:rFonts w:ascii="Times New Roman" w:hAnsi="Times New Roman"/>
                                    <w:color w:val="000000"/>
                                    <w:sz w:val="16"/>
                                    <w:szCs w:val="16"/>
                                  </w:rPr>
                                  <w:t xml:space="preserve">ної </w:t>
                                </w:r>
                              </w:p>
                              <w:p w:rsidR="00BE40F8" w:rsidRPr="0063684C" w:rsidRDefault="00BE40F8" w:rsidP="00B233DE">
                                <w:pPr>
                                  <w:spacing w:line="228" w:lineRule="auto"/>
                                  <w:ind w:left="142" w:right="45" w:firstLine="0"/>
                                  <w:jc w:val="both"/>
                                  <w:rPr>
                                    <w:rFonts w:ascii="Times New Roman" w:hAnsi="Times New Roman" w:cs="Times New Roman"/>
                                    <w:color w:val="000000"/>
                                    <w:sz w:val="16"/>
                                    <w:szCs w:val="16"/>
                                  </w:rPr>
                                </w:pPr>
                                <w:r>
                                  <w:rPr>
                                    <w:rStyle w:val="rvts0"/>
                                    <w:rFonts w:ascii="Times New Roman" w:hAnsi="Times New Roman"/>
                                    <w:color w:val="000000"/>
                                    <w:sz w:val="16"/>
                                    <w:szCs w:val="16"/>
                                  </w:rPr>
                                  <w:t xml:space="preserve">                         </w:t>
                                </w:r>
                                <w:r w:rsidRPr="0063684C">
                                  <w:rPr>
                                    <w:rStyle w:val="rvts0"/>
                                    <w:rFonts w:ascii="Times New Roman" w:hAnsi="Times New Roman"/>
                                    <w:color w:val="000000"/>
                                    <w:sz w:val="16"/>
                                    <w:szCs w:val="16"/>
                                  </w:rPr>
                                  <w:t>медичної допомоги</w:t>
                                </w:r>
                              </w:p>
                            </w:txbxContent>
                          </wps:txbx>
                          <wps:bodyPr rot="0" vert="horz" wrap="square" lIns="91440" tIns="45720" rIns="91440" bIns="45720" anchor="ctr" anchorCtr="0" upright="1">
                            <a:noAutofit/>
                          </wps:bodyPr>
                        </wps:wsp>
                        <wps:wsp>
                          <wps:cNvPr id="1262" name="Прямоугольник 15"/>
                          <wps:cNvSpPr>
                            <a:spLocks noChangeArrowheads="1"/>
                          </wps:cNvSpPr>
                          <wps:spPr bwMode="auto">
                            <a:xfrm>
                              <a:off x="2838203" y="2315689"/>
                              <a:ext cx="2837815" cy="1475117"/>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BE40F8" w:rsidRPr="0063684C" w:rsidRDefault="00BE40F8" w:rsidP="00B233DE">
                                <w:pPr>
                                  <w:spacing w:line="228" w:lineRule="auto"/>
                                  <w:ind w:left="1276" w:right="45" w:firstLine="0"/>
                                  <w:jc w:val="center"/>
                                  <w:rPr>
                                    <w:rFonts w:ascii="Times New Roman" w:hAnsi="Times New Roman"/>
                                    <w:color w:val="000000"/>
                                    <w:sz w:val="16"/>
                                    <w:szCs w:val="16"/>
                                    <w:u w:val="single"/>
                                  </w:rPr>
                                </w:pPr>
                                <w:r w:rsidRPr="0063684C">
                                  <w:rPr>
                                    <w:rFonts w:ascii="Times New Roman" w:hAnsi="Times New Roman"/>
                                    <w:color w:val="000000"/>
                                    <w:sz w:val="16"/>
                                    <w:szCs w:val="16"/>
                                  </w:rPr>
                                  <w:t>Забезпечення виховання і навчання дітей у школах-інтернатах загального профілю та надання медичних послуг вторинного рівня</w:t>
                                </w:r>
                              </w:p>
                            </w:txbxContent>
                          </wps:txbx>
                          <wps:bodyPr rot="0" vert="horz" wrap="square" lIns="91440" tIns="45720" rIns="91440" bIns="45720" anchor="ctr" anchorCtr="0" upright="1">
                            <a:noAutofit/>
                          </wps:bodyPr>
                        </wps:wsp>
                        <wps:wsp>
                          <wps:cNvPr id="1263" name="Прямоугольник 16"/>
                          <wps:cNvSpPr>
                            <a:spLocks noChangeArrowheads="1"/>
                          </wps:cNvSpPr>
                          <wps:spPr bwMode="auto">
                            <a:xfrm>
                              <a:off x="2838203" y="3800104"/>
                              <a:ext cx="2837815" cy="1483360"/>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BE40F8" w:rsidRDefault="00BE40F8" w:rsidP="00B233DE">
                                <w:pPr>
                                  <w:spacing w:line="228" w:lineRule="auto"/>
                                  <w:ind w:left="851" w:right="45" w:firstLine="283"/>
                                  <w:jc w:val="center"/>
                                  <w:rPr>
                                    <w:rFonts w:ascii="Times New Roman" w:hAnsi="Times New Roman"/>
                                    <w:color w:val="000000"/>
                                    <w:sz w:val="16"/>
                                    <w:szCs w:val="16"/>
                                  </w:rPr>
                                </w:pPr>
                                <w:r>
                                  <w:rPr>
                                    <w:rFonts w:ascii="Times New Roman" w:hAnsi="Times New Roman"/>
                                    <w:color w:val="000000"/>
                                    <w:sz w:val="16"/>
                                    <w:szCs w:val="16"/>
                                  </w:rPr>
                                  <w:t xml:space="preserve">Забезпечення </w:t>
                                </w:r>
                                <w:r w:rsidRPr="0063684C">
                                  <w:rPr>
                                    <w:rFonts w:ascii="Times New Roman" w:hAnsi="Times New Roman"/>
                                    <w:color w:val="000000"/>
                                    <w:sz w:val="16"/>
                                    <w:szCs w:val="16"/>
                                  </w:rPr>
                                  <w:t xml:space="preserve">розвитку </w:t>
                                </w:r>
                                <w:r>
                                  <w:rPr>
                                    <w:rFonts w:ascii="Times New Roman" w:hAnsi="Times New Roman"/>
                                    <w:color w:val="000000"/>
                                    <w:sz w:val="16"/>
                                    <w:szCs w:val="16"/>
                                  </w:rPr>
                                  <w:t xml:space="preserve">  </w:t>
                                </w:r>
                              </w:p>
                              <w:p w:rsidR="00BE40F8" w:rsidRDefault="00BE40F8" w:rsidP="00B233DE">
                                <w:pPr>
                                  <w:spacing w:line="228" w:lineRule="auto"/>
                                  <w:ind w:left="851" w:right="45" w:firstLine="0"/>
                                  <w:jc w:val="center"/>
                                  <w:rPr>
                                    <w:rFonts w:ascii="Times New Roman" w:hAnsi="Times New Roman"/>
                                    <w:color w:val="000000"/>
                                    <w:sz w:val="16"/>
                                    <w:szCs w:val="16"/>
                                  </w:rPr>
                                </w:pPr>
                                <w:r>
                                  <w:rPr>
                                    <w:rFonts w:ascii="Times New Roman" w:hAnsi="Times New Roman"/>
                                    <w:color w:val="000000"/>
                                    <w:sz w:val="16"/>
                                    <w:szCs w:val="16"/>
                                  </w:rPr>
                                  <w:t xml:space="preserve">    </w:t>
                                </w:r>
                                <w:r w:rsidRPr="0063684C">
                                  <w:rPr>
                                    <w:rFonts w:ascii="Times New Roman" w:hAnsi="Times New Roman"/>
                                    <w:color w:val="000000"/>
                                    <w:sz w:val="16"/>
                                    <w:szCs w:val="16"/>
                                  </w:rPr>
                                  <w:t>місцевої інфраструктури,</w:t>
                                </w:r>
                              </w:p>
                              <w:p w:rsidR="00BE40F8" w:rsidRDefault="00BE40F8" w:rsidP="00B233DE">
                                <w:pPr>
                                  <w:spacing w:line="228" w:lineRule="auto"/>
                                  <w:ind w:left="851" w:right="45" w:firstLine="0"/>
                                  <w:jc w:val="center"/>
                                  <w:rPr>
                                    <w:rFonts w:ascii="Times New Roman" w:hAnsi="Times New Roman"/>
                                    <w:color w:val="000000"/>
                                    <w:sz w:val="16"/>
                                    <w:szCs w:val="16"/>
                                  </w:rPr>
                                </w:pPr>
                                <w:r>
                                  <w:rPr>
                                    <w:rFonts w:ascii="Times New Roman" w:hAnsi="Times New Roman"/>
                                    <w:color w:val="000000"/>
                                    <w:sz w:val="16"/>
                                    <w:szCs w:val="16"/>
                                  </w:rPr>
                                  <w:t xml:space="preserve"> </w:t>
                                </w:r>
                                <w:r w:rsidRPr="0063684C">
                                  <w:rPr>
                                    <w:rFonts w:ascii="Times New Roman" w:hAnsi="Times New Roman"/>
                                    <w:color w:val="000000"/>
                                    <w:sz w:val="16"/>
                                    <w:szCs w:val="16"/>
                                  </w:rPr>
                                  <w:t xml:space="preserve">надання житлово-комунальних послуг, організації пасажирських перевезень на території </w:t>
                                </w:r>
                                <w:r>
                                  <w:rPr>
                                    <w:rFonts w:ascii="Times New Roman" w:hAnsi="Times New Roman"/>
                                    <w:color w:val="000000"/>
                                    <w:sz w:val="16"/>
                                    <w:szCs w:val="16"/>
                                  </w:rPr>
                                  <w:t xml:space="preserve">  </w:t>
                                </w:r>
                              </w:p>
                              <w:p w:rsidR="00BE40F8" w:rsidRPr="0063684C" w:rsidRDefault="00BE40F8" w:rsidP="00B233DE">
                                <w:pPr>
                                  <w:spacing w:line="228" w:lineRule="auto"/>
                                  <w:ind w:left="851" w:right="45" w:firstLine="0"/>
                                  <w:jc w:val="center"/>
                                  <w:rPr>
                                    <w:rFonts w:ascii="Times New Roman" w:hAnsi="Times New Roman"/>
                                    <w:color w:val="000000"/>
                                    <w:sz w:val="16"/>
                                    <w:szCs w:val="16"/>
                                  </w:rPr>
                                </w:pPr>
                                <w:r>
                                  <w:rPr>
                                    <w:rFonts w:ascii="Times New Roman" w:hAnsi="Times New Roman"/>
                                    <w:color w:val="000000"/>
                                    <w:sz w:val="16"/>
                                    <w:szCs w:val="16"/>
                                  </w:rPr>
                                  <w:t xml:space="preserve"> </w:t>
                                </w:r>
                                <w:r w:rsidRPr="0063684C">
                                  <w:rPr>
                                    <w:rFonts w:ascii="Times New Roman" w:hAnsi="Times New Roman"/>
                                    <w:color w:val="000000"/>
                                    <w:sz w:val="16"/>
                                    <w:szCs w:val="16"/>
                                  </w:rPr>
                                  <w:t>громади, управління закла</w:t>
                                </w:r>
                                <w:r>
                                  <w:rPr>
                                    <w:rFonts w:ascii="Times New Roman" w:hAnsi="Times New Roman"/>
                                    <w:color w:val="000000"/>
                                    <w:sz w:val="16"/>
                                    <w:szCs w:val="16"/>
                                  </w:rPr>
                                  <w:t>-</w:t>
                                </w:r>
                                <w:r w:rsidRPr="0063684C">
                                  <w:rPr>
                                    <w:rFonts w:ascii="Times New Roman" w:hAnsi="Times New Roman"/>
                                    <w:color w:val="000000"/>
                                    <w:sz w:val="16"/>
                                    <w:szCs w:val="16"/>
                                  </w:rPr>
                                  <w:t>дами</w:t>
                                </w:r>
                                <w:r w:rsidRPr="00894944">
                                  <w:rPr>
                                    <w:rFonts w:ascii="Times New Roman" w:hAnsi="Times New Roman"/>
                                    <w:color w:val="000000"/>
                                    <w:sz w:val="20"/>
                                    <w:szCs w:val="20"/>
                                  </w:rPr>
                                  <w:t xml:space="preserve"> </w:t>
                                </w:r>
                                <w:r w:rsidRPr="0063684C">
                                  <w:rPr>
                                    <w:rFonts w:ascii="Times New Roman" w:hAnsi="Times New Roman"/>
                                    <w:color w:val="000000"/>
                                    <w:sz w:val="16"/>
                                    <w:szCs w:val="16"/>
                                  </w:rPr>
                                  <w:t>середньої, дошкільної</w:t>
                                </w:r>
                              </w:p>
                              <w:p w:rsidR="00BE40F8" w:rsidRPr="0063684C" w:rsidRDefault="00BE40F8" w:rsidP="00B233DE">
                                <w:pPr>
                                  <w:spacing w:line="228" w:lineRule="auto"/>
                                  <w:ind w:left="851" w:right="45" w:firstLine="0"/>
                                  <w:jc w:val="both"/>
                                  <w:rPr>
                                    <w:rFonts w:ascii="Times New Roman" w:hAnsi="Times New Roman"/>
                                    <w:color w:val="000000"/>
                                    <w:sz w:val="16"/>
                                    <w:szCs w:val="16"/>
                                    <w:u w:val="single"/>
                                  </w:rPr>
                                </w:pPr>
                                <w:r w:rsidRPr="0063684C">
                                  <w:rPr>
                                    <w:rFonts w:ascii="Times New Roman" w:hAnsi="Times New Roman"/>
                                    <w:color w:val="000000"/>
                                    <w:sz w:val="16"/>
                                    <w:szCs w:val="16"/>
                                  </w:rPr>
                                  <w:t>та позашкільної освіти, надан</w:t>
                                </w:r>
                                <w:r>
                                  <w:rPr>
                                    <w:rFonts w:ascii="Times New Roman" w:hAnsi="Times New Roman"/>
                                    <w:color w:val="000000"/>
                                    <w:sz w:val="16"/>
                                    <w:szCs w:val="16"/>
                                  </w:rPr>
                                  <w:t>-</w:t>
                                </w:r>
                                <w:r w:rsidRPr="0063684C">
                                  <w:rPr>
                                    <w:rFonts w:ascii="Times New Roman" w:hAnsi="Times New Roman"/>
                                    <w:color w:val="000000"/>
                                    <w:sz w:val="16"/>
                                    <w:szCs w:val="16"/>
                                  </w:rPr>
                                  <w:t>ня послуг швидкої медичної допомоги, первинної охорони здоров’я та ін</w:t>
                                </w:r>
                              </w:p>
                            </w:txbxContent>
                          </wps:txbx>
                          <wps:bodyPr rot="0" vert="horz" wrap="square" lIns="0" tIns="0" rIns="0" bIns="0" anchor="ctr" anchorCtr="0" upright="1">
                            <a:noAutofit/>
                          </wps:bodyPr>
                        </wps:wsp>
                        <wps:wsp>
                          <wps:cNvPr id="1264" name="Овал 5"/>
                          <wps:cNvSpPr>
                            <a:spLocks/>
                          </wps:cNvSpPr>
                          <wps:spPr bwMode="auto">
                            <a:xfrm>
                              <a:off x="1626920" y="926276"/>
                              <a:ext cx="2354580" cy="4373782"/>
                            </a:xfrm>
                            <a:prstGeom prst="ellipse">
                              <a:avLst/>
                            </a:prstGeom>
                            <a:gradFill rotWithShape="1">
                              <a:gsLst>
                                <a:gs pos="0">
                                  <a:srgbClr val="959595"/>
                                </a:gs>
                                <a:gs pos="50000">
                                  <a:srgbClr val="D6D6D6"/>
                                </a:gs>
                                <a:gs pos="100000">
                                  <a:srgbClr val="FFFFFF"/>
                                </a:gs>
                              </a:gsLst>
                              <a:lin ang="5400000" scaled="1"/>
                            </a:gradFill>
                            <a:ln w="12700" algn="ctr">
                              <a:solidFill>
                                <a:srgbClr val="000000"/>
                              </a:solidFill>
                              <a:round/>
                              <a:headEnd/>
                              <a:tailEnd/>
                            </a:ln>
                          </wps:spPr>
                          <wps:txbx>
                            <w:txbxContent>
                              <w:p w:rsidR="00BE40F8" w:rsidRPr="00DC4493" w:rsidRDefault="00BE40F8" w:rsidP="00B233DE">
                                <w:pPr>
                                  <w:widowControl w:val="0"/>
                                  <w:ind w:right="57" w:firstLine="0"/>
                                  <w:jc w:val="center"/>
                                  <w:rPr>
                                    <w:rFonts w:ascii="Times New Roman" w:hAnsi="Times New Roman"/>
                                    <w:color w:val="000000"/>
                                    <w:sz w:val="16"/>
                                    <w:szCs w:val="16"/>
                                  </w:rPr>
                                </w:pPr>
                                <w:r w:rsidRPr="00DC4493">
                                  <w:rPr>
                                    <w:rFonts w:ascii="Times New Roman" w:hAnsi="Times New Roman"/>
                                    <w:color w:val="000000"/>
                                    <w:sz w:val="16"/>
                                    <w:szCs w:val="16"/>
                                  </w:rPr>
                                  <w:t>Спільна комунальна власність територіальних</w:t>
                                </w:r>
                                <w:r>
                                  <w:rPr>
                                    <w:rFonts w:ascii="Times New Roman" w:hAnsi="Times New Roman"/>
                                    <w:color w:val="000000"/>
                                    <w:sz w:val="16"/>
                                    <w:szCs w:val="16"/>
                                  </w:rPr>
                                  <w:t xml:space="preserve"> </w:t>
                                </w:r>
                              </w:p>
                              <w:p w:rsidR="00BE40F8" w:rsidRDefault="00BE40F8" w:rsidP="00B233DE">
                                <w:pPr>
                                  <w:widowControl w:val="0"/>
                                  <w:ind w:left="-284" w:right="-307" w:firstLine="0"/>
                                  <w:jc w:val="center"/>
                                  <w:rPr>
                                    <w:rFonts w:ascii="Times New Roman" w:hAnsi="Times New Roman"/>
                                    <w:color w:val="000000"/>
                                    <w:sz w:val="16"/>
                                    <w:szCs w:val="16"/>
                                  </w:rPr>
                                </w:pPr>
                                <w:r w:rsidRPr="00DC4493">
                                  <w:rPr>
                                    <w:rFonts w:ascii="Times New Roman" w:hAnsi="Times New Roman"/>
                                    <w:color w:val="000000"/>
                                    <w:sz w:val="16"/>
                                    <w:szCs w:val="16"/>
                                  </w:rPr>
                                  <w:t>громад області</w:t>
                                </w: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Pr="00DC4493"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ind w:firstLine="0"/>
                                </w:pPr>
                              </w:p>
                            </w:txbxContent>
                          </wps:txbx>
                          <wps:bodyPr rot="0" vert="horz" wrap="square" lIns="18000" tIns="0" rIns="18000" bIns="0" anchor="t" anchorCtr="0" upright="1">
                            <a:noAutofit/>
                          </wps:bodyPr>
                        </wps:wsp>
                      </wpg:grpSp>
                      <wps:wsp>
                        <wps:cNvPr id="1234" name="Овал 1234"/>
                        <wps:cNvSpPr>
                          <a:spLocks/>
                        </wps:cNvSpPr>
                        <wps:spPr>
                          <a:xfrm>
                            <a:off x="1236133" y="1354667"/>
                            <a:ext cx="1418590" cy="1756410"/>
                          </a:xfrm>
                          <a:prstGeom prst="ellipse">
                            <a:avLst/>
                          </a:prstGeom>
                          <a:noFill/>
                          <a:ln w="12700" cap="flat" cmpd="sng" algn="ctr">
                            <a:solidFill>
                              <a:sysClr val="windowText" lastClr="000000"/>
                            </a:solidFill>
                            <a:prstDash val="solid"/>
                          </a:ln>
                          <a:effectLst/>
                        </wps:spPr>
                        <wps:txbx>
                          <w:txbxContent>
                            <w:p w:rsidR="00BE40F8" w:rsidRPr="00DC4493" w:rsidRDefault="00BE40F8" w:rsidP="00B233DE">
                              <w:pPr>
                                <w:widowControl w:val="0"/>
                                <w:ind w:right="-57" w:firstLine="0"/>
                                <w:jc w:val="center"/>
                                <w:rPr>
                                  <w:rFonts w:ascii="Times New Roman" w:hAnsi="Times New Roman"/>
                                  <w:color w:val="000000"/>
                                  <w:sz w:val="16"/>
                                  <w:szCs w:val="16"/>
                                </w:rPr>
                              </w:pPr>
                              <w:r w:rsidRPr="00DC4493">
                                <w:rPr>
                                  <w:rFonts w:ascii="Times New Roman" w:hAnsi="Times New Roman"/>
                                  <w:color w:val="000000"/>
                                  <w:sz w:val="16"/>
                                  <w:szCs w:val="16"/>
                                </w:rPr>
                                <w:t xml:space="preserve">Спільна комунальна власність територіальних </w:t>
                              </w:r>
                            </w:p>
                            <w:p w:rsidR="00BE40F8" w:rsidRDefault="00BE40F8" w:rsidP="00B233DE">
                              <w:pPr>
                                <w:widowControl w:val="0"/>
                                <w:ind w:right="-57" w:firstLine="0"/>
                                <w:jc w:val="center"/>
                              </w:pPr>
                              <w:r w:rsidRPr="00DC4493">
                                <w:rPr>
                                  <w:rFonts w:ascii="Times New Roman" w:hAnsi="Times New Roman"/>
                                  <w:color w:val="000000"/>
                                  <w:sz w:val="16"/>
                                  <w:szCs w:val="16"/>
                                </w:rPr>
                                <w:t>громад району</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957" name="Овал 957"/>
                        <wps:cNvSpPr>
                          <a:spLocks/>
                        </wps:cNvSpPr>
                        <wps:spPr>
                          <a:xfrm>
                            <a:off x="1405466" y="2234928"/>
                            <a:ext cx="1066801" cy="873125"/>
                          </a:xfrm>
                          <a:prstGeom prst="ellipse">
                            <a:avLst/>
                          </a:prstGeom>
                          <a:noFill/>
                          <a:ln w="12700" cap="flat" cmpd="sng" algn="ctr">
                            <a:solidFill>
                              <a:sysClr val="windowText" lastClr="000000"/>
                            </a:solidFill>
                            <a:prstDash val="solid"/>
                          </a:ln>
                          <a:effectLst/>
                        </wps:spPr>
                        <wps:txbx>
                          <w:txbxContent>
                            <w:p w:rsidR="00BE40F8" w:rsidRDefault="00BE40F8" w:rsidP="00B233DE">
                              <w:pPr>
                                <w:widowControl w:val="0"/>
                                <w:spacing w:line="228" w:lineRule="auto"/>
                                <w:ind w:right="-11" w:firstLine="0"/>
                                <w:jc w:val="center"/>
                              </w:pPr>
                              <w:r w:rsidRPr="00DC4493">
                                <w:rPr>
                                  <w:rFonts w:ascii="Times New Roman" w:hAnsi="Times New Roman"/>
                                  <w:color w:val="000000"/>
                                  <w:sz w:val="16"/>
                                  <w:szCs w:val="16"/>
                                </w:rPr>
                                <w:t>Комунальна власність спроможної територіальної громади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7C95036B" id="Группа 1265" o:spid="_x0000_s2233" style="position:absolute;left:0;text-align:left;margin-left:-.7pt;margin-top:.65pt;width:308.1pt;height:378.65pt;z-index:251705344;mso-position-horizontal-relative:text;mso-position-vertical-relative:text;mso-height-relative:margin" coordsize="39128,31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">
                <v:group id="Группа 1255" o:spid="_x0000_s2234" style="position:absolute;width:39128;height:31222" coordsize="56783,53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">
                  <v:rect id="Прямоугольник 13" o:spid="_x0000_s2235" style="position:absolute;top:38001;width:28378;height:150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" filled="f" strokeweight="1pt">
                    <v:textbox>
                      <w:txbxContent>
                        <w:p w:rsidR="00BE40F8" w:rsidRPr="00A01760" w:rsidRDefault="00BE40F8" w:rsidP="00B233DE">
                          <w:pPr>
                            <w:ind w:right="1484" w:firstLine="0"/>
                            <w:jc w:val="center"/>
                            <w:rPr>
                              <w:rFonts w:ascii="Times New Roman" w:hAnsi="Times New Roman"/>
                              <w:color w:val="000000"/>
                              <w:sz w:val="16"/>
                              <w:szCs w:val="16"/>
                            </w:rPr>
                          </w:pPr>
                          <w:r w:rsidRPr="00A01760">
                            <w:rPr>
                              <w:rFonts w:ascii="Times New Roman" w:hAnsi="Times New Roman"/>
                              <w:color w:val="000000"/>
                              <w:sz w:val="16"/>
                              <w:szCs w:val="16"/>
                            </w:rPr>
                            <w:t xml:space="preserve">Територіальні громади, </w:t>
                          </w:r>
                        </w:p>
                        <w:p w:rsidR="00BE40F8" w:rsidRPr="00A01760" w:rsidRDefault="00BE40F8" w:rsidP="00B233DE">
                          <w:pPr>
                            <w:ind w:right="1484" w:firstLine="0"/>
                            <w:jc w:val="center"/>
                            <w:rPr>
                              <w:rFonts w:ascii="Times New Roman" w:hAnsi="Times New Roman"/>
                              <w:color w:val="000000"/>
                              <w:sz w:val="16"/>
                              <w:szCs w:val="16"/>
                              <w:u w:val="single"/>
                            </w:rPr>
                          </w:pPr>
                          <w:r w:rsidRPr="00A01760">
                            <w:rPr>
                              <w:rFonts w:ascii="Times New Roman" w:hAnsi="Times New Roman"/>
                              <w:color w:val="000000"/>
                              <w:sz w:val="16"/>
                              <w:szCs w:val="16"/>
                            </w:rPr>
                            <w:t>місцеві ради та</w:t>
                          </w:r>
                          <w:r w:rsidRPr="00A01760">
                            <w:rPr>
                              <w:rFonts w:ascii="Times New Roman" w:hAnsi="Times New Roman"/>
                              <w:i/>
                              <w:color w:val="000000"/>
                              <w:sz w:val="16"/>
                              <w:szCs w:val="16"/>
                            </w:rPr>
                            <w:t xml:space="preserve"> </w:t>
                          </w:r>
                          <w:r w:rsidRPr="00A01760">
                            <w:rPr>
                              <w:rFonts w:ascii="Times New Roman" w:hAnsi="Times New Roman"/>
                              <w:i/>
                              <w:color w:val="000000"/>
                              <w:sz w:val="16"/>
                              <w:szCs w:val="16"/>
                              <w:u w:val="single"/>
                            </w:rPr>
                            <w:t>виконавчі органи місцевих рад</w:t>
                          </w:r>
                        </w:p>
                      </w:txbxContent>
                    </v:textbox>
                  </v:rect>
                  <v:rect id="Прямоугольник 7" o:spid="_x0000_s2236" style="position:absolute;width:28117;height:92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" filled="f" strokeweight="1pt">
                    <v:textbox>
                      <w:txbxContent>
                        <w:p w:rsidR="00BE40F8" w:rsidRPr="00CE078B" w:rsidRDefault="00BE40F8" w:rsidP="00B233DE">
                          <w:pPr>
                            <w:ind w:firstLine="0"/>
                            <w:jc w:val="center"/>
                            <w:rPr>
                              <w:rFonts w:ascii="Times New Roman" w:hAnsi="Times New Roman"/>
                              <w:b/>
                              <w:color w:val="000000"/>
                              <w:sz w:val="18"/>
                              <w:szCs w:val="18"/>
                            </w:rPr>
                          </w:pPr>
                          <w:r w:rsidRPr="00CE078B">
                            <w:rPr>
                              <w:rFonts w:ascii="Times New Roman" w:hAnsi="Times New Roman"/>
                              <w:b/>
                              <w:color w:val="000000"/>
                              <w:sz w:val="18"/>
                              <w:szCs w:val="18"/>
                            </w:rPr>
                            <w:t>Зміна переліку суб’єктів управління об’єктами комунальної власності</w:t>
                          </w:r>
                        </w:p>
                      </w:txbxContent>
                    </v:textbox>
                  </v:rect>
                  <v:rect id="Прямоугольник 8" o:spid="_x0000_s2237" style="position:absolute;left:28144;width:28639;height:91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" filled="f" strokeweight="1pt">
                    <v:textbox>
                      <w:txbxContent>
                        <w:p w:rsidR="00BE40F8" w:rsidRPr="00CE078B" w:rsidRDefault="00BE40F8" w:rsidP="00B233DE">
                          <w:pPr>
                            <w:ind w:firstLine="0"/>
                            <w:jc w:val="center"/>
                            <w:rPr>
                              <w:rFonts w:ascii="Times New Roman" w:hAnsi="Times New Roman"/>
                              <w:b/>
                              <w:color w:val="000000"/>
                              <w:sz w:val="18"/>
                              <w:szCs w:val="18"/>
                            </w:rPr>
                          </w:pPr>
                          <w:r w:rsidRPr="00CE078B">
                            <w:rPr>
                              <w:rFonts w:ascii="Times New Roman" w:hAnsi="Times New Roman"/>
                              <w:b/>
                              <w:color w:val="000000"/>
                              <w:sz w:val="18"/>
                              <w:szCs w:val="18"/>
                            </w:rPr>
                            <w:t>Розмежування сфер відповідальності за рівнями місцевого самоврядування</w:t>
                          </w:r>
                        </w:p>
                      </w:txbxContent>
                    </v:textbox>
                  </v:rect>
                  <v:rect id="Прямоугольник 11" o:spid="_x0000_s2238" style="position:absolute;top:9262;width:28378;height:139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" filled="f" strokeweight="1pt">
                    <v:textbox>
                      <w:txbxContent>
                        <w:p w:rsidR="00BE40F8" w:rsidRPr="00CE078B" w:rsidRDefault="00BE40F8" w:rsidP="00B233DE">
                          <w:pPr>
                            <w:ind w:right="1484" w:firstLine="0"/>
                            <w:jc w:val="center"/>
                            <w:rPr>
                              <w:rFonts w:ascii="Times New Roman" w:hAnsi="Times New Roman"/>
                              <w:color w:val="000000"/>
                              <w:sz w:val="16"/>
                              <w:szCs w:val="16"/>
                              <w:u w:val="single"/>
                            </w:rPr>
                          </w:pPr>
                          <w:r>
                            <w:rPr>
                              <w:rFonts w:ascii="Times New Roman" w:hAnsi="Times New Roman"/>
                              <w:color w:val="000000"/>
                              <w:sz w:val="16"/>
                              <w:szCs w:val="16"/>
                            </w:rPr>
                            <w:t xml:space="preserve">Територіальні </w:t>
                          </w:r>
                          <w:r w:rsidRPr="00CE078B">
                            <w:rPr>
                              <w:rFonts w:ascii="Times New Roman" w:hAnsi="Times New Roman"/>
                              <w:color w:val="000000"/>
                              <w:sz w:val="16"/>
                              <w:szCs w:val="16"/>
                            </w:rPr>
                            <w:t>громади, обласні ради та</w:t>
                          </w:r>
                          <w:r w:rsidRPr="00CE078B">
                            <w:rPr>
                              <w:rFonts w:ascii="Times New Roman" w:hAnsi="Times New Roman"/>
                              <w:i/>
                              <w:color w:val="000000"/>
                              <w:sz w:val="16"/>
                              <w:szCs w:val="16"/>
                            </w:rPr>
                            <w:t xml:space="preserve"> </w:t>
                          </w:r>
                          <w:r w:rsidRPr="00CE078B">
                            <w:rPr>
                              <w:rFonts w:ascii="Times New Roman" w:hAnsi="Times New Roman"/>
                              <w:i/>
                              <w:color w:val="000000"/>
                              <w:sz w:val="16"/>
                              <w:szCs w:val="16"/>
                              <w:u w:val="single"/>
                            </w:rPr>
                            <w:t xml:space="preserve">виконавчі органи обласних </w:t>
                          </w:r>
                          <w:r>
                            <w:rPr>
                              <w:rFonts w:ascii="Times New Roman" w:hAnsi="Times New Roman"/>
                              <w:i/>
                              <w:color w:val="000000"/>
                              <w:sz w:val="16"/>
                              <w:szCs w:val="16"/>
                              <w:u w:val="single"/>
                            </w:rPr>
                            <w:t>адміністрацій</w:t>
                          </w:r>
                        </w:p>
                      </w:txbxContent>
                    </v:textbox>
                  </v:rect>
                  <v:rect id="Прямоугольник 12" o:spid="_x0000_s2239" style="position:absolute;top:23156;width:28378;height:147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" filled="f" strokeweight="1pt">
                    <v:textbox>
                      <w:txbxContent>
                        <w:p w:rsidR="00BE40F8" w:rsidRPr="00A01760" w:rsidRDefault="00BE40F8" w:rsidP="00B233DE">
                          <w:pPr>
                            <w:ind w:right="1484" w:firstLine="0"/>
                            <w:jc w:val="center"/>
                            <w:rPr>
                              <w:rFonts w:ascii="Times New Roman" w:hAnsi="Times New Roman"/>
                              <w:color w:val="000000"/>
                              <w:sz w:val="16"/>
                              <w:szCs w:val="16"/>
                            </w:rPr>
                          </w:pPr>
                          <w:r w:rsidRPr="00A01760">
                            <w:rPr>
                              <w:rFonts w:ascii="Times New Roman" w:hAnsi="Times New Roman"/>
                              <w:color w:val="000000"/>
                              <w:sz w:val="16"/>
                              <w:szCs w:val="16"/>
                            </w:rPr>
                            <w:t xml:space="preserve">Територіальні громади, </w:t>
                          </w:r>
                        </w:p>
                        <w:p w:rsidR="00BE40F8" w:rsidRPr="00A01760" w:rsidRDefault="00BE40F8" w:rsidP="00B233DE">
                          <w:pPr>
                            <w:ind w:right="1484" w:firstLine="0"/>
                            <w:jc w:val="center"/>
                            <w:rPr>
                              <w:rFonts w:ascii="Times New Roman" w:hAnsi="Times New Roman"/>
                              <w:color w:val="000000"/>
                              <w:sz w:val="16"/>
                              <w:szCs w:val="16"/>
                              <w:u w:val="single"/>
                            </w:rPr>
                          </w:pPr>
                          <w:r w:rsidRPr="00A01760">
                            <w:rPr>
                              <w:rFonts w:ascii="Times New Roman" w:hAnsi="Times New Roman"/>
                              <w:color w:val="000000"/>
                              <w:sz w:val="16"/>
                              <w:szCs w:val="16"/>
                            </w:rPr>
                            <w:t>районні ради та</w:t>
                          </w:r>
                          <w:r w:rsidRPr="00A01760">
                            <w:rPr>
                              <w:rFonts w:ascii="Times New Roman" w:hAnsi="Times New Roman"/>
                              <w:i/>
                              <w:color w:val="000000"/>
                              <w:sz w:val="16"/>
                              <w:szCs w:val="16"/>
                            </w:rPr>
                            <w:t xml:space="preserve"> </w:t>
                          </w:r>
                          <w:r w:rsidRPr="00A01760">
                            <w:rPr>
                              <w:rFonts w:ascii="Times New Roman" w:hAnsi="Times New Roman"/>
                              <w:i/>
                              <w:color w:val="000000"/>
                              <w:sz w:val="16"/>
                              <w:szCs w:val="16"/>
                              <w:u w:val="single"/>
                            </w:rPr>
                            <w:t>виконавчі органи районних рад</w:t>
                          </w:r>
                        </w:p>
                      </w:txbxContent>
                    </v:textbox>
                  </v:rect>
                  <v:rect id="Прямоугольник 14" o:spid="_x0000_s2240" style="position:absolute;left:28382;top:9144;width:28378;height:140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" filled="f" strokeweight="1pt">
                    <v:textbox>
                      <w:txbxContent>
                        <w:p w:rsidR="00BE40F8" w:rsidRDefault="00BE40F8" w:rsidP="00B233DE">
                          <w:pPr>
                            <w:spacing w:line="228" w:lineRule="auto"/>
                            <w:ind w:left="142" w:right="45" w:firstLine="0"/>
                            <w:jc w:val="center"/>
                            <w:rPr>
                              <w:rStyle w:val="rvts0"/>
                              <w:rFonts w:ascii="Times New Roman" w:hAnsi="Times New Roman"/>
                              <w:color w:val="000000"/>
                              <w:sz w:val="16"/>
                              <w:szCs w:val="16"/>
                            </w:rPr>
                          </w:pPr>
                          <w:r w:rsidRPr="004846D4">
                            <w:rPr>
                              <w:rFonts w:ascii="Times New Roman" w:hAnsi="Times New Roman"/>
                              <w:color w:val="000000"/>
                              <w:sz w:val="16"/>
                              <w:szCs w:val="16"/>
                            </w:rPr>
                            <w:t xml:space="preserve">Забезпечення </w:t>
                          </w:r>
                          <w:r w:rsidRPr="004846D4">
                            <w:rPr>
                              <w:rStyle w:val="rvts0"/>
                              <w:rFonts w:ascii="Times New Roman" w:hAnsi="Times New Roman"/>
                              <w:color w:val="000000"/>
                              <w:sz w:val="16"/>
                              <w:szCs w:val="16"/>
                            </w:rPr>
                            <w:t>охорони навко</w:t>
                          </w:r>
                          <w:r>
                            <w:rPr>
                              <w:rStyle w:val="rvts0"/>
                              <w:rFonts w:ascii="Times New Roman" w:hAnsi="Times New Roman"/>
                              <w:color w:val="000000"/>
                              <w:sz w:val="16"/>
                              <w:szCs w:val="16"/>
                            </w:rPr>
                            <w:t>-</w:t>
                          </w:r>
                        </w:p>
                        <w:p w:rsidR="00BE40F8" w:rsidRDefault="00BE40F8" w:rsidP="00B233DE">
                          <w:pPr>
                            <w:spacing w:line="228" w:lineRule="auto"/>
                            <w:ind w:left="142" w:right="45" w:firstLine="0"/>
                            <w:jc w:val="both"/>
                            <w:rPr>
                              <w:rStyle w:val="rvts0"/>
                              <w:rFonts w:ascii="Times New Roman" w:hAnsi="Times New Roman"/>
                              <w:color w:val="000000"/>
                              <w:sz w:val="16"/>
                              <w:szCs w:val="16"/>
                            </w:rPr>
                          </w:pPr>
                          <w:r>
                            <w:rPr>
                              <w:rStyle w:val="rvts0"/>
                              <w:rFonts w:ascii="Times New Roman" w:hAnsi="Times New Roman"/>
                              <w:color w:val="000000"/>
                              <w:sz w:val="16"/>
                              <w:szCs w:val="16"/>
                            </w:rPr>
                            <w:t xml:space="preserve">          </w:t>
                          </w:r>
                          <w:r w:rsidRPr="004846D4">
                            <w:rPr>
                              <w:rStyle w:val="rvts0"/>
                              <w:rFonts w:ascii="Times New Roman" w:hAnsi="Times New Roman"/>
                              <w:color w:val="000000"/>
                              <w:sz w:val="16"/>
                              <w:szCs w:val="16"/>
                            </w:rPr>
                            <w:t>лишнього природного середо</w:t>
                          </w:r>
                          <w:r>
                            <w:rPr>
                              <w:rStyle w:val="rvts0"/>
                              <w:rFonts w:ascii="Times New Roman" w:hAnsi="Times New Roman"/>
                              <w:color w:val="000000"/>
                              <w:sz w:val="16"/>
                              <w:szCs w:val="16"/>
                            </w:rPr>
                            <w:t>-</w:t>
                          </w:r>
                        </w:p>
                        <w:p w:rsidR="00BE40F8" w:rsidRDefault="00BE40F8" w:rsidP="00B233DE">
                          <w:pPr>
                            <w:spacing w:line="228" w:lineRule="auto"/>
                            <w:ind w:left="142" w:right="45" w:firstLine="0"/>
                            <w:jc w:val="both"/>
                            <w:rPr>
                              <w:rStyle w:val="rvts0"/>
                              <w:rFonts w:ascii="Times New Roman" w:hAnsi="Times New Roman"/>
                              <w:color w:val="000000"/>
                              <w:sz w:val="16"/>
                              <w:szCs w:val="16"/>
                            </w:rPr>
                          </w:pPr>
                          <w:r>
                            <w:rPr>
                              <w:rStyle w:val="rvts0"/>
                              <w:rFonts w:ascii="Times New Roman" w:hAnsi="Times New Roman"/>
                              <w:color w:val="000000"/>
                              <w:sz w:val="16"/>
                              <w:szCs w:val="16"/>
                            </w:rPr>
                            <w:t xml:space="preserve">              </w:t>
                          </w:r>
                          <w:r w:rsidRPr="004846D4">
                            <w:rPr>
                              <w:rStyle w:val="rvts0"/>
                              <w:rFonts w:ascii="Times New Roman" w:hAnsi="Times New Roman"/>
                              <w:color w:val="000000"/>
                              <w:sz w:val="16"/>
                              <w:szCs w:val="16"/>
                            </w:rPr>
                            <w:t>вища; розвитку обласної</w:t>
                          </w:r>
                        </w:p>
                        <w:p w:rsidR="00BE40F8" w:rsidRDefault="00BE40F8" w:rsidP="00B233DE">
                          <w:pPr>
                            <w:spacing w:line="228" w:lineRule="auto"/>
                            <w:ind w:left="142" w:right="45" w:firstLine="0"/>
                            <w:jc w:val="both"/>
                            <w:rPr>
                              <w:rStyle w:val="rvts0"/>
                              <w:rFonts w:ascii="Times New Roman" w:hAnsi="Times New Roman"/>
                              <w:color w:val="000000"/>
                              <w:sz w:val="16"/>
                              <w:szCs w:val="16"/>
                            </w:rPr>
                          </w:pPr>
                          <w:r>
                            <w:rPr>
                              <w:rStyle w:val="rvts0"/>
                              <w:rFonts w:ascii="Times New Roman" w:hAnsi="Times New Roman"/>
                              <w:color w:val="000000"/>
                              <w:sz w:val="16"/>
                              <w:szCs w:val="16"/>
                            </w:rPr>
                            <w:t xml:space="preserve">                </w:t>
                          </w:r>
                          <w:r w:rsidRPr="004846D4">
                            <w:rPr>
                              <w:rStyle w:val="rvts0"/>
                              <w:rFonts w:ascii="Times New Roman" w:hAnsi="Times New Roman"/>
                              <w:color w:val="000000"/>
                              <w:sz w:val="16"/>
                              <w:szCs w:val="16"/>
                            </w:rPr>
                            <w:t xml:space="preserve"> інфраструктури (обласних </w:t>
                          </w:r>
                        </w:p>
                        <w:p w:rsidR="00BE40F8" w:rsidRDefault="00BE40F8" w:rsidP="00B233DE">
                          <w:pPr>
                            <w:spacing w:line="228" w:lineRule="auto"/>
                            <w:ind w:left="142" w:right="45" w:firstLine="0"/>
                            <w:jc w:val="both"/>
                            <w:rPr>
                              <w:rStyle w:val="rvts0"/>
                              <w:rFonts w:ascii="Times New Roman" w:hAnsi="Times New Roman"/>
                              <w:color w:val="000000"/>
                              <w:sz w:val="16"/>
                              <w:szCs w:val="16"/>
                            </w:rPr>
                          </w:pPr>
                          <w:r>
                            <w:rPr>
                              <w:rStyle w:val="rvts0"/>
                              <w:rFonts w:ascii="Times New Roman" w:hAnsi="Times New Roman"/>
                              <w:color w:val="000000"/>
                              <w:sz w:val="16"/>
                              <w:szCs w:val="16"/>
                            </w:rPr>
                            <w:t xml:space="preserve">                </w:t>
                          </w:r>
                          <w:r w:rsidRPr="004846D4">
                            <w:rPr>
                              <w:rStyle w:val="rvts0"/>
                              <w:rFonts w:ascii="Times New Roman" w:hAnsi="Times New Roman"/>
                              <w:color w:val="000000"/>
                              <w:sz w:val="16"/>
                              <w:szCs w:val="16"/>
                            </w:rPr>
                            <w:t xml:space="preserve">автодоріг, мережі </w:t>
                          </w:r>
                          <w:r>
                            <w:rPr>
                              <w:rStyle w:val="rvts0"/>
                              <w:rFonts w:ascii="Times New Roman" w:hAnsi="Times New Roman"/>
                              <w:color w:val="000000"/>
                              <w:sz w:val="16"/>
                              <w:szCs w:val="16"/>
                            </w:rPr>
                            <w:t>маршру-</w:t>
                          </w:r>
                        </w:p>
                        <w:p w:rsidR="00BE40F8" w:rsidRDefault="00BE40F8" w:rsidP="00B233DE">
                          <w:pPr>
                            <w:spacing w:line="228" w:lineRule="auto"/>
                            <w:ind w:left="142" w:right="45" w:firstLine="0"/>
                            <w:jc w:val="both"/>
                            <w:rPr>
                              <w:rStyle w:val="rvts0"/>
                              <w:rFonts w:ascii="Times New Roman" w:hAnsi="Times New Roman"/>
                              <w:color w:val="000000"/>
                              <w:sz w:val="16"/>
                              <w:szCs w:val="16"/>
                            </w:rPr>
                          </w:pPr>
                          <w:r>
                            <w:rPr>
                              <w:rStyle w:val="rvts0"/>
                              <w:rFonts w:ascii="Times New Roman" w:hAnsi="Times New Roman"/>
                              <w:color w:val="000000"/>
                              <w:sz w:val="16"/>
                              <w:szCs w:val="16"/>
                            </w:rPr>
                            <w:t xml:space="preserve">                 тів транс</w:t>
                          </w:r>
                          <w:r w:rsidRPr="004846D4">
                            <w:rPr>
                              <w:rStyle w:val="rvts0"/>
                              <w:rFonts w:ascii="Times New Roman" w:hAnsi="Times New Roman"/>
                              <w:color w:val="000000"/>
                              <w:sz w:val="16"/>
                              <w:szCs w:val="16"/>
                            </w:rPr>
                            <w:t xml:space="preserve">порту загального </w:t>
                          </w:r>
                        </w:p>
                        <w:p w:rsidR="00BE40F8" w:rsidRDefault="00BE40F8" w:rsidP="00B233DE">
                          <w:pPr>
                            <w:spacing w:line="228" w:lineRule="auto"/>
                            <w:ind w:left="142" w:right="45" w:firstLine="0"/>
                            <w:jc w:val="both"/>
                            <w:rPr>
                              <w:rStyle w:val="rvts0"/>
                              <w:rFonts w:ascii="Times New Roman" w:hAnsi="Times New Roman"/>
                              <w:color w:val="000000"/>
                              <w:sz w:val="16"/>
                              <w:szCs w:val="16"/>
                            </w:rPr>
                          </w:pPr>
                          <w:r>
                            <w:rPr>
                              <w:rStyle w:val="rvts0"/>
                              <w:rFonts w:ascii="Times New Roman" w:hAnsi="Times New Roman"/>
                              <w:color w:val="000000"/>
                              <w:sz w:val="16"/>
                              <w:szCs w:val="16"/>
                            </w:rPr>
                            <w:t xml:space="preserve">                  </w:t>
                          </w:r>
                          <w:r w:rsidRPr="004846D4">
                            <w:rPr>
                              <w:rStyle w:val="rvts0"/>
                              <w:rFonts w:ascii="Times New Roman" w:hAnsi="Times New Roman"/>
                              <w:color w:val="000000"/>
                              <w:sz w:val="16"/>
                              <w:szCs w:val="16"/>
                            </w:rPr>
                            <w:t>користування; професійно-</w:t>
                          </w:r>
                        </w:p>
                        <w:p w:rsidR="00BE40F8" w:rsidRDefault="00BE40F8" w:rsidP="00B233DE">
                          <w:pPr>
                            <w:spacing w:line="228" w:lineRule="auto"/>
                            <w:ind w:left="142" w:right="45" w:firstLine="0"/>
                            <w:jc w:val="both"/>
                            <w:rPr>
                              <w:rStyle w:val="rvts0"/>
                              <w:rFonts w:ascii="Times New Roman" w:hAnsi="Times New Roman"/>
                              <w:color w:val="000000"/>
                              <w:sz w:val="16"/>
                              <w:szCs w:val="16"/>
                            </w:rPr>
                          </w:pPr>
                          <w:r>
                            <w:rPr>
                              <w:rStyle w:val="rvts0"/>
                              <w:rFonts w:ascii="Times New Roman" w:hAnsi="Times New Roman"/>
                              <w:color w:val="000000"/>
                              <w:sz w:val="16"/>
                              <w:szCs w:val="16"/>
                            </w:rPr>
                            <w:t xml:space="preserve">                    </w:t>
                          </w:r>
                          <w:r w:rsidRPr="004846D4">
                            <w:rPr>
                              <w:rStyle w:val="rvts0"/>
                              <w:rFonts w:ascii="Times New Roman" w:hAnsi="Times New Roman"/>
                              <w:color w:val="000000"/>
                              <w:sz w:val="16"/>
                              <w:szCs w:val="16"/>
                            </w:rPr>
                            <w:t>технічної</w:t>
                          </w:r>
                          <w:r w:rsidRPr="00894944">
                            <w:rPr>
                              <w:rStyle w:val="rvts0"/>
                              <w:color w:val="000000"/>
                            </w:rPr>
                            <w:t xml:space="preserve"> </w:t>
                          </w:r>
                          <w:r w:rsidRPr="0063684C">
                            <w:rPr>
                              <w:rStyle w:val="rvts0"/>
                              <w:rFonts w:ascii="Times New Roman" w:hAnsi="Times New Roman"/>
                              <w:color w:val="000000"/>
                              <w:sz w:val="16"/>
                              <w:szCs w:val="16"/>
                            </w:rPr>
                            <w:t xml:space="preserve">освіти; надання </w:t>
                          </w:r>
                        </w:p>
                        <w:p w:rsidR="00BE40F8" w:rsidRDefault="00BE40F8" w:rsidP="00B233DE">
                          <w:pPr>
                            <w:spacing w:line="228" w:lineRule="auto"/>
                            <w:ind w:left="142" w:right="45" w:firstLine="0"/>
                            <w:jc w:val="both"/>
                            <w:rPr>
                              <w:rStyle w:val="rvts0"/>
                              <w:rFonts w:ascii="Times New Roman" w:hAnsi="Times New Roman"/>
                              <w:color w:val="000000"/>
                              <w:sz w:val="16"/>
                              <w:szCs w:val="16"/>
                            </w:rPr>
                          </w:pPr>
                          <w:r>
                            <w:rPr>
                              <w:rStyle w:val="rvts0"/>
                              <w:rFonts w:ascii="Times New Roman" w:hAnsi="Times New Roman"/>
                              <w:color w:val="000000"/>
                              <w:sz w:val="16"/>
                              <w:szCs w:val="16"/>
                            </w:rPr>
                            <w:t xml:space="preserve">                    високоспеціалізова</w:t>
                          </w:r>
                          <w:r w:rsidRPr="0063684C">
                            <w:rPr>
                              <w:rStyle w:val="rvts0"/>
                              <w:rFonts w:ascii="Times New Roman" w:hAnsi="Times New Roman"/>
                              <w:color w:val="000000"/>
                              <w:sz w:val="16"/>
                              <w:szCs w:val="16"/>
                            </w:rPr>
                            <w:t xml:space="preserve">ної </w:t>
                          </w:r>
                        </w:p>
                        <w:p w:rsidR="00BE40F8" w:rsidRPr="0063684C" w:rsidRDefault="00BE40F8" w:rsidP="00B233DE">
                          <w:pPr>
                            <w:spacing w:line="228" w:lineRule="auto"/>
                            <w:ind w:left="142" w:right="45" w:firstLine="0"/>
                            <w:jc w:val="both"/>
                            <w:rPr>
                              <w:rFonts w:ascii="Times New Roman" w:hAnsi="Times New Roman" w:cs="Times New Roman"/>
                              <w:color w:val="000000"/>
                              <w:sz w:val="16"/>
                              <w:szCs w:val="16"/>
                            </w:rPr>
                          </w:pPr>
                          <w:r>
                            <w:rPr>
                              <w:rStyle w:val="rvts0"/>
                              <w:rFonts w:ascii="Times New Roman" w:hAnsi="Times New Roman"/>
                              <w:color w:val="000000"/>
                              <w:sz w:val="16"/>
                              <w:szCs w:val="16"/>
                            </w:rPr>
                            <w:t xml:space="preserve">                         </w:t>
                          </w:r>
                          <w:r w:rsidRPr="0063684C">
                            <w:rPr>
                              <w:rStyle w:val="rvts0"/>
                              <w:rFonts w:ascii="Times New Roman" w:hAnsi="Times New Roman"/>
                              <w:color w:val="000000"/>
                              <w:sz w:val="16"/>
                              <w:szCs w:val="16"/>
                            </w:rPr>
                            <w:t>медичної допомоги</w:t>
                          </w:r>
                        </w:p>
                      </w:txbxContent>
                    </v:textbox>
                  </v:rect>
                  <v:rect id="Прямоугольник 15" o:spid="_x0000_s2241" style="position:absolute;left:28382;top:23156;width:28378;height:147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" filled="f" strokeweight="1pt">
                    <v:textbox>
                      <w:txbxContent>
                        <w:p w:rsidR="00BE40F8" w:rsidRPr="0063684C" w:rsidRDefault="00BE40F8" w:rsidP="00B233DE">
                          <w:pPr>
                            <w:spacing w:line="228" w:lineRule="auto"/>
                            <w:ind w:left="1276" w:right="45" w:firstLine="0"/>
                            <w:jc w:val="center"/>
                            <w:rPr>
                              <w:rFonts w:ascii="Times New Roman" w:hAnsi="Times New Roman"/>
                              <w:color w:val="000000"/>
                              <w:sz w:val="16"/>
                              <w:szCs w:val="16"/>
                              <w:u w:val="single"/>
                            </w:rPr>
                          </w:pPr>
                          <w:r w:rsidRPr="0063684C">
                            <w:rPr>
                              <w:rFonts w:ascii="Times New Roman" w:hAnsi="Times New Roman"/>
                              <w:color w:val="000000"/>
                              <w:sz w:val="16"/>
                              <w:szCs w:val="16"/>
                            </w:rPr>
                            <w:t>Забезпечення виховання і навчання дітей у школах-інтернатах загального профілю та надання медичних послуг вторинного рівня</w:t>
                          </w:r>
                        </w:p>
                      </w:txbxContent>
                    </v:textbox>
                  </v:rect>
                  <v:rect id="Прямоугольник 16" o:spid="_x0000_s2242" style="position:absolute;left:28382;top:38001;width:28378;height:148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" filled="f" strokeweight="1pt">
                    <v:textbox inset="0,0,0,0">
                      <w:txbxContent>
                        <w:p w:rsidR="00BE40F8" w:rsidRDefault="00BE40F8" w:rsidP="00B233DE">
                          <w:pPr>
                            <w:spacing w:line="228" w:lineRule="auto"/>
                            <w:ind w:left="851" w:right="45" w:firstLine="283"/>
                            <w:jc w:val="center"/>
                            <w:rPr>
                              <w:rFonts w:ascii="Times New Roman" w:hAnsi="Times New Roman"/>
                              <w:color w:val="000000"/>
                              <w:sz w:val="16"/>
                              <w:szCs w:val="16"/>
                            </w:rPr>
                          </w:pPr>
                          <w:r>
                            <w:rPr>
                              <w:rFonts w:ascii="Times New Roman" w:hAnsi="Times New Roman"/>
                              <w:color w:val="000000"/>
                              <w:sz w:val="16"/>
                              <w:szCs w:val="16"/>
                            </w:rPr>
                            <w:t xml:space="preserve">Забезпечення </w:t>
                          </w:r>
                          <w:r w:rsidRPr="0063684C">
                            <w:rPr>
                              <w:rFonts w:ascii="Times New Roman" w:hAnsi="Times New Roman"/>
                              <w:color w:val="000000"/>
                              <w:sz w:val="16"/>
                              <w:szCs w:val="16"/>
                            </w:rPr>
                            <w:t xml:space="preserve">розвитку </w:t>
                          </w:r>
                          <w:r>
                            <w:rPr>
                              <w:rFonts w:ascii="Times New Roman" w:hAnsi="Times New Roman"/>
                              <w:color w:val="000000"/>
                              <w:sz w:val="16"/>
                              <w:szCs w:val="16"/>
                            </w:rPr>
                            <w:t xml:space="preserve">  </w:t>
                          </w:r>
                        </w:p>
                        <w:p w:rsidR="00BE40F8" w:rsidRDefault="00BE40F8" w:rsidP="00B233DE">
                          <w:pPr>
                            <w:spacing w:line="228" w:lineRule="auto"/>
                            <w:ind w:left="851" w:right="45" w:firstLine="0"/>
                            <w:jc w:val="center"/>
                            <w:rPr>
                              <w:rFonts w:ascii="Times New Roman" w:hAnsi="Times New Roman"/>
                              <w:color w:val="000000"/>
                              <w:sz w:val="16"/>
                              <w:szCs w:val="16"/>
                            </w:rPr>
                          </w:pPr>
                          <w:r>
                            <w:rPr>
                              <w:rFonts w:ascii="Times New Roman" w:hAnsi="Times New Roman"/>
                              <w:color w:val="000000"/>
                              <w:sz w:val="16"/>
                              <w:szCs w:val="16"/>
                            </w:rPr>
                            <w:t xml:space="preserve">    </w:t>
                          </w:r>
                          <w:r w:rsidRPr="0063684C">
                            <w:rPr>
                              <w:rFonts w:ascii="Times New Roman" w:hAnsi="Times New Roman"/>
                              <w:color w:val="000000"/>
                              <w:sz w:val="16"/>
                              <w:szCs w:val="16"/>
                            </w:rPr>
                            <w:t>місцевої інфраструктури,</w:t>
                          </w:r>
                        </w:p>
                        <w:p w:rsidR="00BE40F8" w:rsidRDefault="00BE40F8" w:rsidP="00B233DE">
                          <w:pPr>
                            <w:spacing w:line="228" w:lineRule="auto"/>
                            <w:ind w:left="851" w:right="45" w:firstLine="0"/>
                            <w:jc w:val="center"/>
                            <w:rPr>
                              <w:rFonts w:ascii="Times New Roman" w:hAnsi="Times New Roman"/>
                              <w:color w:val="000000"/>
                              <w:sz w:val="16"/>
                              <w:szCs w:val="16"/>
                            </w:rPr>
                          </w:pPr>
                          <w:r>
                            <w:rPr>
                              <w:rFonts w:ascii="Times New Roman" w:hAnsi="Times New Roman"/>
                              <w:color w:val="000000"/>
                              <w:sz w:val="16"/>
                              <w:szCs w:val="16"/>
                            </w:rPr>
                            <w:t xml:space="preserve"> </w:t>
                          </w:r>
                          <w:r w:rsidRPr="0063684C">
                            <w:rPr>
                              <w:rFonts w:ascii="Times New Roman" w:hAnsi="Times New Roman"/>
                              <w:color w:val="000000"/>
                              <w:sz w:val="16"/>
                              <w:szCs w:val="16"/>
                            </w:rPr>
                            <w:t xml:space="preserve">надання житлово-комунальних послуг, організації пасажирських перевезень на території </w:t>
                          </w:r>
                          <w:r>
                            <w:rPr>
                              <w:rFonts w:ascii="Times New Roman" w:hAnsi="Times New Roman"/>
                              <w:color w:val="000000"/>
                              <w:sz w:val="16"/>
                              <w:szCs w:val="16"/>
                            </w:rPr>
                            <w:t xml:space="preserve">  </w:t>
                          </w:r>
                        </w:p>
                        <w:p w:rsidR="00BE40F8" w:rsidRPr="0063684C" w:rsidRDefault="00BE40F8" w:rsidP="00B233DE">
                          <w:pPr>
                            <w:spacing w:line="228" w:lineRule="auto"/>
                            <w:ind w:left="851" w:right="45" w:firstLine="0"/>
                            <w:jc w:val="center"/>
                            <w:rPr>
                              <w:rFonts w:ascii="Times New Roman" w:hAnsi="Times New Roman"/>
                              <w:color w:val="000000"/>
                              <w:sz w:val="16"/>
                              <w:szCs w:val="16"/>
                            </w:rPr>
                          </w:pPr>
                          <w:r>
                            <w:rPr>
                              <w:rFonts w:ascii="Times New Roman" w:hAnsi="Times New Roman"/>
                              <w:color w:val="000000"/>
                              <w:sz w:val="16"/>
                              <w:szCs w:val="16"/>
                            </w:rPr>
                            <w:t xml:space="preserve"> </w:t>
                          </w:r>
                          <w:r w:rsidRPr="0063684C">
                            <w:rPr>
                              <w:rFonts w:ascii="Times New Roman" w:hAnsi="Times New Roman"/>
                              <w:color w:val="000000"/>
                              <w:sz w:val="16"/>
                              <w:szCs w:val="16"/>
                            </w:rPr>
                            <w:t>громади, управління закла</w:t>
                          </w:r>
                          <w:r>
                            <w:rPr>
                              <w:rFonts w:ascii="Times New Roman" w:hAnsi="Times New Roman"/>
                              <w:color w:val="000000"/>
                              <w:sz w:val="16"/>
                              <w:szCs w:val="16"/>
                            </w:rPr>
                            <w:t>-</w:t>
                          </w:r>
                          <w:r w:rsidRPr="0063684C">
                            <w:rPr>
                              <w:rFonts w:ascii="Times New Roman" w:hAnsi="Times New Roman"/>
                              <w:color w:val="000000"/>
                              <w:sz w:val="16"/>
                              <w:szCs w:val="16"/>
                            </w:rPr>
                            <w:t>дами</w:t>
                          </w:r>
                          <w:r w:rsidRPr="00894944">
                            <w:rPr>
                              <w:rFonts w:ascii="Times New Roman" w:hAnsi="Times New Roman"/>
                              <w:color w:val="000000"/>
                              <w:sz w:val="20"/>
                              <w:szCs w:val="20"/>
                            </w:rPr>
                            <w:t xml:space="preserve"> </w:t>
                          </w:r>
                          <w:r w:rsidRPr="0063684C">
                            <w:rPr>
                              <w:rFonts w:ascii="Times New Roman" w:hAnsi="Times New Roman"/>
                              <w:color w:val="000000"/>
                              <w:sz w:val="16"/>
                              <w:szCs w:val="16"/>
                            </w:rPr>
                            <w:t>середньої, дошкільної</w:t>
                          </w:r>
                        </w:p>
                        <w:p w:rsidR="00BE40F8" w:rsidRPr="0063684C" w:rsidRDefault="00BE40F8" w:rsidP="00B233DE">
                          <w:pPr>
                            <w:spacing w:line="228" w:lineRule="auto"/>
                            <w:ind w:left="851" w:right="45" w:firstLine="0"/>
                            <w:jc w:val="both"/>
                            <w:rPr>
                              <w:rFonts w:ascii="Times New Roman" w:hAnsi="Times New Roman"/>
                              <w:color w:val="000000"/>
                              <w:sz w:val="16"/>
                              <w:szCs w:val="16"/>
                              <w:u w:val="single"/>
                            </w:rPr>
                          </w:pPr>
                          <w:r w:rsidRPr="0063684C">
                            <w:rPr>
                              <w:rFonts w:ascii="Times New Roman" w:hAnsi="Times New Roman"/>
                              <w:color w:val="000000"/>
                              <w:sz w:val="16"/>
                              <w:szCs w:val="16"/>
                            </w:rPr>
                            <w:t>та позашкільної освіти, надан</w:t>
                          </w:r>
                          <w:r>
                            <w:rPr>
                              <w:rFonts w:ascii="Times New Roman" w:hAnsi="Times New Roman"/>
                              <w:color w:val="000000"/>
                              <w:sz w:val="16"/>
                              <w:szCs w:val="16"/>
                            </w:rPr>
                            <w:t>-</w:t>
                          </w:r>
                          <w:r w:rsidRPr="0063684C">
                            <w:rPr>
                              <w:rFonts w:ascii="Times New Roman" w:hAnsi="Times New Roman"/>
                              <w:color w:val="000000"/>
                              <w:sz w:val="16"/>
                              <w:szCs w:val="16"/>
                            </w:rPr>
                            <w:t>ня послуг швидкої медичної допомоги, первинної охорони здоров’я та ін</w:t>
                          </w:r>
                        </w:p>
                      </w:txbxContent>
                    </v:textbox>
                  </v:rect>
                  <v:oval id="Овал 5" o:spid="_x0000_s2243" style="position:absolute;left:16269;top:9262;width:23546;height:43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" fillcolor="#959595" strokeweight="1pt">
                    <v:fill rotate="t" colors="0 #959595;.5 #d6d6d6;1 white" focus="100%" type="gradient"/>
                    <v:path arrowok="t"/>
                    <v:textbox inset=".5mm,0,.5mm,0">
                      <w:txbxContent>
                        <w:p w:rsidR="00BE40F8" w:rsidRPr="00DC4493" w:rsidRDefault="00BE40F8" w:rsidP="00B233DE">
                          <w:pPr>
                            <w:widowControl w:val="0"/>
                            <w:ind w:right="57" w:firstLine="0"/>
                            <w:jc w:val="center"/>
                            <w:rPr>
                              <w:rFonts w:ascii="Times New Roman" w:hAnsi="Times New Roman"/>
                              <w:color w:val="000000"/>
                              <w:sz w:val="16"/>
                              <w:szCs w:val="16"/>
                            </w:rPr>
                          </w:pPr>
                          <w:r w:rsidRPr="00DC4493">
                            <w:rPr>
                              <w:rFonts w:ascii="Times New Roman" w:hAnsi="Times New Roman"/>
                              <w:color w:val="000000"/>
                              <w:sz w:val="16"/>
                              <w:szCs w:val="16"/>
                            </w:rPr>
                            <w:t>Спільна комунальна власність територіальних</w:t>
                          </w:r>
                          <w:r>
                            <w:rPr>
                              <w:rFonts w:ascii="Times New Roman" w:hAnsi="Times New Roman"/>
                              <w:color w:val="000000"/>
                              <w:sz w:val="16"/>
                              <w:szCs w:val="16"/>
                            </w:rPr>
                            <w:t xml:space="preserve"> </w:t>
                          </w:r>
                        </w:p>
                        <w:p w:rsidR="00BE40F8" w:rsidRDefault="00BE40F8" w:rsidP="00B233DE">
                          <w:pPr>
                            <w:widowControl w:val="0"/>
                            <w:ind w:left="-284" w:right="-307" w:firstLine="0"/>
                            <w:jc w:val="center"/>
                            <w:rPr>
                              <w:rFonts w:ascii="Times New Roman" w:hAnsi="Times New Roman"/>
                              <w:color w:val="000000"/>
                              <w:sz w:val="16"/>
                              <w:szCs w:val="16"/>
                            </w:rPr>
                          </w:pPr>
                          <w:r w:rsidRPr="00DC4493">
                            <w:rPr>
                              <w:rFonts w:ascii="Times New Roman" w:hAnsi="Times New Roman"/>
                              <w:color w:val="000000"/>
                              <w:sz w:val="16"/>
                              <w:szCs w:val="16"/>
                            </w:rPr>
                            <w:t>громад області</w:t>
                          </w: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widowControl w:val="0"/>
                            <w:ind w:left="-284" w:right="-307" w:firstLine="0"/>
                            <w:jc w:val="center"/>
                            <w:rPr>
                              <w:rFonts w:ascii="Times New Roman" w:hAnsi="Times New Roman"/>
                              <w:color w:val="000000"/>
                              <w:sz w:val="16"/>
                              <w:szCs w:val="16"/>
                            </w:rPr>
                          </w:pPr>
                        </w:p>
                        <w:p w:rsidR="00BE40F8" w:rsidRPr="00DC4493" w:rsidRDefault="00BE40F8" w:rsidP="00B233DE">
                          <w:pPr>
                            <w:widowControl w:val="0"/>
                            <w:ind w:left="-284" w:right="-307" w:firstLine="0"/>
                            <w:jc w:val="center"/>
                            <w:rPr>
                              <w:rFonts w:ascii="Times New Roman" w:hAnsi="Times New Roman"/>
                              <w:color w:val="000000"/>
                              <w:sz w:val="16"/>
                              <w:szCs w:val="16"/>
                            </w:rPr>
                          </w:pPr>
                        </w:p>
                        <w:p w:rsidR="00BE40F8" w:rsidRDefault="00BE40F8" w:rsidP="00B233DE">
                          <w:pPr>
                            <w:ind w:firstLine="0"/>
                          </w:pPr>
                        </w:p>
                      </w:txbxContent>
                    </v:textbox>
                  </v:oval>
                </v:group>
                <v:oval id="Овал 1234" o:spid="_x0000_s2244" style="position:absolute;left:12361;top:13546;width:14186;height:17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" filled="f" strokecolor="windowText" strokeweight="1pt">
                  <v:path arrowok="t"/>
                  <v:textbox inset="0,0,0,0">
                    <w:txbxContent>
                      <w:p w:rsidR="00BE40F8" w:rsidRPr="00DC4493" w:rsidRDefault="00BE40F8" w:rsidP="00B233DE">
                        <w:pPr>
                          <w:widowControl w:val="0"/>
                          <w:ind w:right="-57" w:firstLine="0"/>
                          <w:jc w:val="center"/>
                          <w:rPr>
                            <w:rFonts w:ascii="Times New Roman" w:hAnsi="Times New Roman"/>
                            <w:color w:val="000000"/>
                            <w:sz w:val="16"/>
                            <w:szCs w:val="16"/>
                          </w:rPr>
                        </w:pPr>
                        <w:r w:rsidRPr="00DC4493">
                          <w:rPr>
                            <w:rFonts w:ascii="Times New Roman" w:hAnsi="Times New Roman"/>
                            <w:color w:val="000000"/>
                            <w:sz w:val="16"/>
                            <w:szCs w:val="16"/>
                          </w:rPr>
                          <w:t xml:space="preserve">Спільна комунальна власність територіальних </w:t>
                        </w:r>
                      </w:p>
                      <w:p w:rsidR="00BE40F8" w:rsidRDefault="00BE40F8" w:rsidP="00B233DE">
                        <w:pPr>
                          <w:widowControl w:val="0"/>
                          <w:ind w:right="-57" w:firstLine="0"/>
                          <w:jc w:val="center"/>
                        </w:pPr>
                        <w:r w:rsidRPr="00DC4493">
                          <w:rPr>
                            <w:rFonts w:ascii="Times New Roman" w:hAnsi="Times New Roman"/>
                            <w:color w:val="000000"/>
                            <w:sz w:val="16"/>
                            <w:szCs w:val="16"/>
                          </w:rPr>
                          <w:t>громад району</w:t>
                        </w:r>
                      </w:p>
                    </w:txbxContent>
                  </v:textbox>
                </v:oval>
                <v:oval id="Овал 957" o:spid="_x0000_s2245" style="position:absolute;left:14054;top:22349;width:10668;height:8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" filled="f" strokecolor="windowText" strokeweight="1pt">
                  <v:path arrowok="t"/>
                  <v:textbox inset="0,0,0,0">
                    <w:txbxContent>
                      <w:p w:rsidR="00BE40F8" w:rsidRDefault="00BE40F8" w:rsidP="00B233DE">
                        <w:pPr>
                          <w:widowControl w:val="0"/>
                          <w:spacing w:line="228" w:lineRule="auto"/>
                          <w:ind w:right="-11" w:firstLine="0"/>
                          <w:jc w:val="center"/>
                        </w:pPr>
                        <w:r w:rsidRPr="00DC4493">
                          <w:rPr>
                            <w:rFonts w:ascii="Times New Roman" w:hAnsi="Times New Roman"/>
                            <w:color w:val="000000"/>
                            <w:sz w:val="16"/>
                            <w:szCs w:val="16"/>
                          </w:rPr>
                          <w:t>Комунальна власність спроможної територіальної громади</w:t>
                        </w:r>
                      </w:p>
                    </w:txbxContent>
                  </v:textbox>
                </v:oval>
              </v:group>
            </w:pict>
          </mc:Fallback>
        </mc:AlternateContent>
      </w:r>
    </w:p>
    <w:p w:rsidR="00B233DE" w:rsidRPr="00F06E6B" w:rsidRDefault="00B233DE" w:rsidP="00B233DE">
      <w:pPr>
        <w:spacing w:line="360" w:lineRule="auto"/>
        <w:ind w:firstLine="709"/>
        <w:jc w:val="center"/>
        <w:rPr>
          <w:rFonts w:ascii="Times New Roman" w:hAnsi="Times New Roman"/>
          <w:sz w:val="28"/>
          <w:szCs w:val="28"/>
        </w:rPr>
      </w:pPr>
    </w:p>
    <w:p w:rsidR="00B233DE" w:rsidRPr="00F06E6B" w:rsidRDefault="00B233DE" w:rsidP="00B233DE">
      <w:pPr>
        <w:spacing w:line="360" w:lineRule="auto"/>
        <w:ind w:firstLine="709"/>
        <w:jc w:val="center"/>
        <w:rPr>
          <w:rFonts w:ascii="Times New Roman" w:hAnsi="Times New Roman"/>
          <w:sz w:val="28"/>
          <w:szCs w:val="28"/>
        </w:rPr>
      </w:pPr>
    </w:p>
    <w:p w:rsidR="00B233DE" w:rsidRPr="00F06E6B" w:rsidRDefault="00B233DE" w:rsidP="00B233DE">
      <w:pPr>
        <w:spacing w:line="360" w:lineRule="auto"/>
        <w:ind w:firstLine="709"/>
        <w:jc w:val="center"/>
        <w:rPr>
          <w:rFonts w:ascii="Times New Roman" w:hAnsi="Times New Roman"/>
          <w:sz w:val="28"/>
          <w:szCs w:val="28"/>
        </w:rPr>
      </w:pPr>
    </w:p>
    <w:p w:rsidR="00B233DE" w:rsidRPr="00F06E6B" w:rsidRDefault="00B233DE" w:rsidP="00B233DE">
      <w:pPr>
        <w:spacing w:line="360" w:lineRule="auto"/>
        <w:ind w:firstLine="709"/>
        <w:jc w:val="center"/>
        <w:rPr>
          <w:rFonts w:ascii="Times New Roman" w:hAnsi="Times New Roman"/>
          <w:sz w:val="28"/>
          <w:szCs w:val="28"/>
        </w:rPr>
      </w:pPr>
    </w:p>
    <w:p w:rsidR="00B233DE" w:rsidRPr="00F06E6B" w:rsidRDefault="00B233DE" w:rsidP="00B233DE">
      <w:pPr>
        <w:spacing w:line="360" w:lineRule="auto"/>
        <w:ind w:firstLine="709"/>
        <w:jc w:val="center"/>
        <w:rPr>
          <w:rFonts w:ascii="Times New Roman" w:hAnsi="Times New Roman"/>
          <w:sz w:val="28"/>
          <w:szCs w:val="28"/>
        </w:rPr>
      </w:pPr>
    </w:p>
    <w:p w:rsidR="00B233DE" w:rsidRPr="00F06E6B" w:rsidRDefault="00B233DE" w:rsidP="00B233DE">
      <w:pPr>
        <w:spacing w:line="360" w:lineRule="auto"/>
        <w:ind w:firstLine="709"/>
        <w:jc w:val="center"/>
        <w:rPr>
          <w:rFonts w:ascii="Times New Roman" w:hAnsi="Times New Roman"/>
          <w:sz w:val="28"/>
          <w:szCs w:val="28"/>
        </w:rPr>
      </w:pPr>
      <w:r>
        <w:rPr>
          <w:noProof/>
          <w:lang w:val="ru-RU" w:eastAsia="ru-RU"/>
        </w:rPr>
        <mc:AlternateContent>
          <mc:Choice Requires="wps">
            <w:drawing>
              <wp:anchor distT="4294967295" distB="4294967295" distL="114300" distR="114300" simplePos="0" relativeHeight="251708416" behindDoc="0" locked="0" layoutInCell="1" allowOverlap="1" wp14:anchorId="54E34DC1" wp14:editId="2F2AB55D">
                <wp:simplePos x="0" y="0"/>
                <wp:positionH relativeFrom="column">
                  <wp:posOffset>945515</wp:posOffset>
                </wp:positionH>
                <wp:positionV relativeFrom="paragraph">
                  <wp:posOffset>266065</wp:posOffset>
                </wp:positionV>
                <wp:extent cx="2207895" cy="0"/>
                <wp:effectExtent l="0" t="0" r="20955" b="19050"/>
                <wp:wrapNone/>
                <wp:docPr id="959" name="Прямая соединительная линия 9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07895" cy="0"/>
                        </a:xfrm>
                        <a:prstGeom prst="line">
                          <a:avLst/>
                        </a:prstGeom>
                        <a:noFill/>
                        <a:ln w="12700" cap="flat" cmpd="sng" algn="ctr">
                          <a:solidFill>
                            <a:sysClr val="windowText" lastClr="000000"/>
                          </a:solidFill>
                          <a:prstDash val="dash"/>
                        </a:ln>
                        <a:effectLst/>
                      </wps:spPr>
                      <wps:bodyPr/>
                    </wps:wsp>
                  </a:graphicData>
                </a:graphic>
                <wp14:sizeRelH relativeFrom="page">
                  <wp14:pctWidth>0</wp14:pctWidth>
                </wp14:sizeRelH>
                <wp14:sizeRelV relativeFrom="page">
                  <wp14:pctHeight>0</wp14:pctHeight>
                </wp14:sizeRelV>
              </wp:anchor>
            </w:drawing>
          </mc:Choice>
          <mc:Fallback>
            <w:pict>
              <v:line w14:anchorId="378001B1" id="Прямая соединительная линия 959" o:spid="_x0000_s1026" style="position:absolute;z-index:2517084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4.45pt,20.95pt" to="248.3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" strokecolor="windowText" strokeweight="1pt">
                <v:stroke dashstyle="dash"/>
                <o:lock v:ext="edit" shapetype="f"/>
              </v:line>
            </w:pict>
          </mc:Fallback>
        </mc:AlternateContent>
      </w:r>
    </w:p>
    <w:p w:rsidR="00B233DE" w:rsidRPr="00F06E6B" w:rsidRDefault="00B233DE" w:rsidP="00B233DE">
      <w:pPr>
        <w:spacing w:line="360" w:lineRule="auto"/>
        <w:ind w:firstLine="709"/>
        <w:jc w:val="center"/>
        <w:rPr>
          <w:rFonts w:ascii="Times New Roman" w:hAnsi="Times New Roman"/>
          <w:sz w:val="28"/>
          <w:szCs w:val="28"/>
        </w:rPr>
      </w:pPr>
    </w:p>
    <w:p w:rsidR="00B233DE" w:rsidRPr="00F06E6B" w:rsidRDefault="00B233DE" w:rsidP="00B233DE">
      <w:pPr>
        <w:spacing w:line="360" w:lineRule="auto"/>
        <w:ind w:firstLine="709"/>
        <w:jc w:val="center"/>
        <w:rPr>
          <w:rFonts w:ascii="Times New Roman" w:hAnsi="Times New Roman"/>
          <w:sz w:val="28"/>
          <w:szCs w:val="28"/>
        </w:rPr>
      </w:pPr>
    </w:p>
    <w:p w:rsidR="00B233DE" w:rsidRPr="00F06E6B" w:rsidRDefault="00B233DE" w:rsidP="00B233DE">
      <w:pPr>
        <w:spacing w:line="360" w:lineRule="auto"/>
        <w:ind w:firstLine="709"/>
        <w:jc w:val="center"/>
        <w:rPr>
          <w:rFonts w:ascii="Times New Roman" w:hAnsi="Times New Roman"/>
          <w:sz w:val="28"/>
          <w:szCs w:val="28"/>
        </w:rPr>
      </w:pPr>
    </w:p>
    <w:p w:rsidR="00B233DE" w:rsidRPr="00F06E6B" w:rsidRDefault="00B233DE" w:rsidP="00B233DE">
      <w:pPr>
        <w:spacing w:line="360" w:lineRule="auto"/>
        <w:ind w:firstLine="709"/>
        <w:jc w:val="center"/>
        <w:rPr>
          <w:rFonts w:ascii="Times New Roman" w:hAnsi="Times New Roman"/>
          <w:sz w:val="28"/>
          <w:szCs w:val="28"/>
        </w:rPr>
      </w:pPr>
    </w:p>
    <w:p w:rsidR="00B233DE" w:rsidRDefault="00B233DE" w:rsidP="00B233DE">
      <w:pPr>
        <w:ind w:firstLine="709"/>
        <w:jc w:val="center"/>
        <w:rPr>
          <w:rFonts w:ascii="Times New Roman" w:hAnsi="Times New Roman"/>
          <w:b/>
          <w:sz w:val="21"/>
          <w:szCs w:val="21"/>
        </w:rPr>
      </w:pPr>
      <w:r>
        <w:rPr>
          <w:noProof/>
          <w:lang w:val="ru-RU" w:eastAsia="ru-RU"/>
        </w:rPr>
        <mc:AlternateContent>
          <mc:Choice Requires="wps">
            <w:drawing>
              <wp:anchor distT="4294967295" distB="4294967295" distL="114300" distR="114300" simplePos="0" relativeHeight="251707392" behindDoc="0" locked="0" layoutInCell="1" allowOverlap="1" wp14:anchorId="147C78DF" wp14:editId="0635AC73">
                <wp:simplePos x="0" y="0"/>
                <wp:positionH relativeFrom="column">
                  <wp:posOffset>945515</wp:posOffset>
                </wp:positionH>
                <wp:positionV relativeFrom="paragraph">
                  <wp:posOffset>76405</wp:posOffset>
                </wp:positionV>
                <wp:extent cx="2288540" cy="0"/>
                <wp:effectExtent l="0" t="0" r="16510" b="19050"/>
                <wp:wrapNone/>
                <wp:docPr id="958" name="Прямая соединительная линия 9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88540" cy="0"/>
                        </a:xfrm>
                        <a:prstGeom prst="line">
                          <a:avLst/>
                        </a:prstGeom>
                        <a:noFill/>
                        <a:ln w="12700" cap="flat" cmpd="sng" algn="ctr">
                          <a:solidFill>
                            <a:sysClr val="windowText" lastClr="000000"/>
                          </a:solidFill>
                          <a:prstDash val="dash"/>
                        </a:ln>
                        <a:effectLst/>
                      </wps:spPr>
                      <wps:bodyPr/>
                    </wps:wsp>
                  </a:graphicData>
                </a:graphic>
                <wp14:sizeRelH relativeFrom="margin">
                  <wp14:pctWidth>0</wp14:pctWidth>
                </wp14:sizeRelH>
                <wp14:sizeRelV relativeFrom="margin">
                  <wp14:pctHeight>0</wp14:pctHeight>
                </wp14:sizeRelV>
              </wp:anchor>
            </w:drawing>
          </mc:Choice>
          <mc:Fallback>
            <w:pict>
              <v:line w14:anchorId="4A890A92" id="Прямая соединительная линия 958" o:spid="_x0000_s1026" style="position:absolute;z-index:2517073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74.45pt,6pt" to="254.6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" strokecolor="windowText" strokeweight="1pt">
                <v:stroke dashstyle="dash"/>
                <o:lock v:ext="edit" shapetype="f"/>
              </v:line>
            </w:pict>
          </mc:Fallback>
        </mc:AlternateContent>
      </w:r>
    </w:p>
    <w:p w:rsidR="00B233DE" w:rsidRDefault="00B233DE" w:rsidP="00B233DE">
      <w:pPr>
        <w:ind w:firstLine="709"/>
        <w:jc w:val="center"/>
        <w:rPr>
          <w:rFonts w:ascii="Times New Roman" w:hAnsi="Times New Roman"/>
          <w:b/>
          <w:sz w:val="21"/>
          <w:szCs w:val="21"/>
        </w:rPr>
      </w:pPr>
    </w:p>
    <w:p w:rsidR="00B233DE" w:rsidRDefault="00B233DE" w:rsidP="00B233DE">
      <w:pPr>
        <w:ind w:firstLine="709"/>
        <w:jc w:val="center"/>
        <w:rPr>
          <w:rFonts w:ascii="Times New Roman" w:hAnsi="Times New Roman"/>
          <w:b/>
          <w:sz w:val="21"/>
          <w:szCs w:val="21"/>
        </w:rPr>
      </w:pPr>
    </w:p>
    <w:p w:rsidR="00B233DE" w:rsidRDefault="00B233DE" w:rsidP="00B233DE">
      <w:pPr>
        <w:ind w:firstLine="709"/>
        <w:jc w:val="center"/>
        <w:rPr>
          <w:rFonts w:ascii="Times New Roman" w:hAnsi="Times New Roman"/>
          <w:b/>
          <w:sz w:val="21"/>
          <w:szCs w:val="21"/>
        </w:rPr>
      </w:pPr>
    </w:p>
    <w:p w:rsidR="00B233DE" w:rsidRDefault="00B233DE" w:rsidP="00B233DE">
      <w:pPr>
        <w:ind w:firstLine="709"/>
        <w:jc w:val="center"/>
        <w:rPr>
          <w:rFonts w:ascii="Times New Roman" w:hAnsi="Times New Roman"/>
          <w:b/>
          <w:sz w:val="21"/>
          <w:szCs w:val="21"/>
        </w:rPr>
      </w:pPr>
    </w:p>
    <w:p w:rsidR="00B233DE" w:rsidRDefault="00B233DE" w:rsidP="00B233DE">
      <w:pPr>
        <w:ind w:firstLine="709"/>
        <w:jc w:val="center"/>
        <w:rPr>
          <w:rFonts w:ascii="Times New Roman" w:hAnsi="Times New Roman"/>
          <w:b/>
          <w:sz w:val="21"/>
          <w:szCs w:val="21"/>
        </w:rPr>
      </w:pPr>
    </w:p>
    <w:p w:rsidR="00B233DE" w:rsidRDefault="00B233DE" w:rsidP="00B233DE">
      <w:pPr>
        <w:ind w:firstLine="709"/>
        <w:jc w:val="center"/>
        <w:rPr>
          <w:rFonts w:ascii="Times New Roman" w:hAnsi="Times New Roman"/>
          <w:b/>
          <w:sz w:val="21"/>
          <w:szCs w:val="21"/>
        </w:rPr>
      </w:pPr>
    </w:p>
    <w:p w:rsidR="00B233DE" w:rsidRDefault="00B233DE" w:rsidP="00B233DE">
      <w:pPr>
        <w:ind w:firstLine="709"/>
        <w:jc w:val="center"/>
        <w:rPr>
          <w:rFonts w:ascii="Times New Roman" w:hAnsi="Times New Roman"/>
          <w:b/>
          <w:sz w:val="21"/>
          <w:szCs w:val="21"/>
        </w:rPr>
      </w:pPr>
    </w:p>
    <w:p w:rsidR="00B233DE" w:rsidRDefault="00B233DE" w:rsidP="00B233DE">
      <w:pPr>
        <w:ind w:firstLine="709"/>
        <w:jc w:val="center"/>
        <w:rPr>
          <w:rFonts w:ascii="Times New Roman" w:hAnsi="Times New Roman"/>
          <w:b/>
          <w:sz w:val="21"/>
          <w:szCs w:val="21"/>
        </w:rPr>
      </w:pPr>
    </w:p>
    <w:p w:rsidR="00B233DE" w:rsidRDefault="00B233DE" w:rsidP="00B233DE">
      <w:pPr>
        <w:ind w:firstLine="709"/>
        <w:jc w:val="center"/>
        <w:rPr>
          <w:rFonts w:ascii="Times New Roman" w:hAnsi="Times New Roman"/>
          <w:b/>
          <w:sz w:val="21"/>
          <w:szCs w:val="21"/>
        </w:rPr>
      </w:pPr>
    </w:p>
    <w:p w:rsidR="00B233DE" w:rsidRPr="004846D4" w:rsidRDefault="00B233DE" w:rsidP="00B233DE">
      <w:pPr>
        <w:ind w:firstLine="709"/>
        <w:jc w:val="center"/>
        <w:rPr>
          <w:rFonts w:ascii="Times New Roman" w:hAnsi="Times New Roman"/>
          <w:b/>
          <w:sz w:val="21"/>
          <w:szCs w:val="21"/>
        </w:rPr>
      </w:pPr>
      <w:r w:rsidRPr="004846D4">
        <w:rPr>
          <w:rFonts w:ascii="Times New Roman" w:hAnsi="Times New Roman"/>
          <w:b/>
          <w:sz w:val="21"/>
          <w:szCs w:val="21"/>
        </w:rPr>
        <w:t>Рис. 6.1. Основні наслідки проведення реформи місцевого самоврядування і територіал</w:t>
      </w:r>
      <w:r w:rsidR="00291F85">
        <w:rPr>
          <w:rFonts w:ascii="Times New Roman" w:hAnsi="Times New Roman"/>
          <w:b/>
          <w:sz w:val="21"/>
          <w:szCs w:val="21"/>
        </w:rPr>
        <w:t>ьної організації влади в Україні</w:t>
      </w:r>
      <w:r w:rsidRPr="004846D4">
        <w:rPr>
          <w:rFonts w:ascii="Times New Roman" w:hAnsi="Times New Roman"/>
          <w:b/>
          <w:sz w:val="21"/>
          <w:szCs w:val="21"/>
        </w:rPr>
        <w:t xml:space="preserve"> для відносин комунальної власності</w:t>
      </w:r>
    </w:p>
    <w:p w:rsidR="00B233DE" w:rsidRPr="00DC4493" w:rsidRDefault="00B233DE" w:rsidP="00B233DE">
      <w:pPr>
        <w:widowControl w:val="0"/>
        <w:ind w:firstLine="709"/>
        <w:jc w:val="both"/>
        <w:rPr>
          <w:rFonts w:ascii="Times New Roman" w:hAnsi="Times New Roman"/>
          <w:sz w:val="21"/>
          <w:szCs w:val="21"/>
        </w:rPr>
      </w:pPr>
    </w:p>
    <w:p w:rsidR="00B233DE" w:rsidRPr="00DC4493" w:rsidRDefault="00B233DE" w:rsidP="00B233DE">
      <w:pPr>
        <w:widowControl w:val="0"/>
        <w:ind w:firstLine="709"/>
        <w:jc w:val="both"/>
        <w:rPr>
          <w:rFonts w:ascii="Times New Roman" w:hAnsi="Times New Roman"/>
          <w:sz w:val="21"/>
          <w:szCs w:val="21"/>
        </w:rPr>
      </w:pPr>
      <w:r w:rsidRPr="00DC4493">
        <w:rPr>
          <w:rFonts w:ascii="Times New Roman" w:hAnsi="Times New Roman"/>
          <w:sz w:val="21"/>
          <w:szCs w:val="21"/>
        </w:rPr>
        <w:t xml:space="preserve">Однак, вона потребує врахування такого суттєвого у даній ситуації фактору, як людський, а саме: усвідомлення кожною людиною і суспільством загалом необхідності реформ та готовності </w:t>
      </w:r>
      <w:r w:rsidRPr="00DC4493">
        <w:rPr>
          <w:rFonts w:ascii="Times New Roman" w:hAnsi="Times New Roman"/>
          <w:sz w:val="21"/>
          <w:szCs w:val="21"/>
        </w:rPr>
        <w:lastRenderedPageBreak/>
        <w:t>стати активними і відповідальними суб’єктами, а не об’єктами</w:t>
      </w:r>
      <w:r>
        <w:rPr>
          <w:rFonts w:ascii="Times New Roman" w:hAnsi="Times New Roman"/>
          <w:sz w:val="21"/>
          <w:szCs w:val="21"/>
        </w:rPr>
        <w:t xml:space="preserve"> змін, які відбуваються (рис.</w:t>
      </w:r>
      <w:r w:rsidRPr="00DC4493">
        <w:rPr>
          <w:rFonts w:ascii="Times New Roman" w:hAnsi="Times New Roman"/>
          <w:sz w:val="21"/>
          <w:szCs w:val="21"/>
        </w:rPr>
        <w:t xml:space="preserve"> </w:t>
      </w:r>
      <w:r>
        <w:rPr>
          <w:rFonts w:ascii="Times New Roman" w:hAnsi="Times New Roman"/>
          <w:sz w:val="21"/>
          <w:szCs w:val="21"/>
        </w:rPr>
        <w:t>6</w:t>
      </w:r>
      <w:r w:rsidRPr="00DC4493">
        <w:rPr>
          <w:rFonts w:ascii="Times New Roman" w:hAnsi="Times New Roman"/>
          <w:sz w:val="21"/>
          <w:szCs w:val="21"/>
        </w:rPr>
        <w:t xml:space="preserve">.2). </w:t>
      </w:r>
    </w:p>
    <w:p w:rsidR="00B233DE" w:rsidRDefault="00B233DE" w:rsidP="00B233DE">
      <w:pPr>
        <w:rPr>
          <w:rFonts w:ascii="Times New Roman" w:hAnsi="Times New Roman"/>
          <w:sz w:val="28"/>
          <w:szCs w:val="28"/>
        </w:rPr>
      </w:pPr>
    </w:p>
    <w:p w:rsidR="00B233DE" w:rsidRPr="00E76E5D" w:rsidRDefault="00B233DE" w:rsidP="00B233DE">
      <w:pPr>
        <w:spacing w:line="360" w:lineRule="auto"/>
        <w:ind w:firstLine="0"/>
        <w:rPr>
          <w:rFonts w:ascii="Times New Roman" w:hAnsi="Times New Roman"/>
          <w:sz w:val="28"/>
          <w:szCs w:val="28"/>
        </w:rPr>
      </w:pPr>
      <w:r>
        <w:rPr>
          <w:noProof/>
          <w:lang w:val="ru-RU" w:eastAsia="ru-RU"/>
        </w:rPr>
        <mc:AlternateContent>
          <mc:Choice Requires="wpg">
            <w:drawing>
              <wp:anchor distT="0" distB="0" distL="114300" distR="114300" simplePos="0" relativeHeight="251706368" behindDoc="0" locked="0" layoutInCell="1" allowOverlap="1" wp14:anchorId="54257C69" wp14:editId="3D22B0AC">
                <wp:simplePos x="0" y="0"/>
                <wp:positionH relativeFrom="column">
                  <wp:posOffset>3810</wp:posOffset>
                </wp:positionH>
                <wp:positionV relativeFrom="paragraph">
                  <wp:posOffset>45085</wp:posOffset>
                </wp:positionV>
                <wp:extent cx="3867785" cy="3950758"/>
                <wp:effectExtent l="0" t="0" r="18415" b="12065"/>
                <wp:wrapNone/>
                <wp:docPr id="245" name="Группа 2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67785" cy="3950758"/>
                          <a:chOff x="-104768" y="0"/>
                          <a:chExt cx="6077547" cy="4136085"/>
                        </a:xfrm>
                      </wpg:grpSpPr>
                      <wps:wsp>
                        <wps:cNvPr id="249" name="Овал 34"/>
                        <wps:cNvSpPr>
                          <a:spLocks noChangeArrowheads="1"/>
                        </wps:cNvSpPr>
                        <wps:spPr bwMode="auto">
                          <a:xfrm>
                            <a:off x="1504950" y="1314450"/>
                            <a:ext cx="3062377" cy="1569768"/>
                          </a:xfrm>
                          <a:prstGeom prst="ellipse">
                            <a:avLst/>
                          </a:prstGeom>
                          <a:noFill/>
                          <a:ln>
                            <a:noFill/>
                          </a:ln>
                          <a:extLst>
                            <a:ext uri="{91240B29-F687-4F45-9708-019B960494DF}">
                              <a14:hiddenLine xmlns:a14="http://schemas.microsoft.com/office/drawing/2010/main" w="12700" algn="ctr">
                                <a:solidFill>
                                  <a:srgbClr val="000000"/>
                                </a:solidFill>
                                <a:round/>
                                <a:headEnd/>
                                <a:tailEnd/>
                              </a14:hiddenLine>
                            </a:ext>
                          </a:extLst>
                        </wps:spPr>
                        <wps:bodyPr rot="0" vert="horz" wrap="square" lIns="91440" tIns="45720" rIns="91440" bIns="45720" anchor="ctr" anchorCtr="0" upright="1">
                          <a:noAutofit/>
                        </wps:bodyPr>
                      </wps:wsp>
                      <wps:wsp>
                        <wps:cNvPr id="263" name="Полилиния 6"/>
                        <wps:cNvSpPr>
                          <a:spLocks/>
                        </wps:cNvSpPr>
                        <wps:spPr bwMode="auto">
                          <a:xfrm>
                            <a:off x="0" y="638175"/>
                            <a:ext cx="5925820" cy="2337435"/>
                          </a:xfrm>
                          <a:custGeom>
                            <a:avLst/>
                            <a:gdLst>
                              <a:gd name="T0" fmla="*/ 0 w 5926347"/>
                              <a:gd name="T1" fmla="*/ 8625 h 2337759"/>
                              <a:gd name="T2" fmla="*/ 3010351 w 5926347"/>
                              <a:gd name="T3" fmla="*/ 2337434 h 2337759"/>
                              <a:gd name="T4" fmla="*/ 5925820 w 5926347"/>
                              <a:gd name="T5" fmla="*/ 0 h 2337759"/>
                              <a:gd name="T6" fmla="*/ 0 60000 65536"/>
                              <a:gd name="T7" fmla="*/ 0 60000 65536"/>
                              <a:gd name="T8" fmla="*/ 0 60000 65536"/>
                            </a:gdLst>
                            <a:ahLst/>
                            <a:cxnLst>
                              <a:cxn ang="T6">
                                <a:pos x="T0" y="T1"/>
                              </a:cxn>
                              <a:cxn ang="T7">
                                <a:pos x="T2" y="T3"/>
                              </a:cxn>
                              <a:cxn ang="T8">
                                <a:pos x="T4" y="T5"/>
                              </a:cxn>
                            </a:cxnLst>
                            <a:rect l="0" t="0" r="r" b="b"/>
                            <a:pathLst>
                              <a:path w="5926347" h="2337759">
                                <a:moveTo>
                                  <a:pt x="0" y="8626"/>
                                </a:moveTo>
                                <a:cubicBezTo>
                                  <a:pt x="1011447" y="1173911"/>
                                  <a:pt x="2022895" y="2339196"/>
                                  <a:pt x="3010619" y="2337758"/>
                                </a:cubicBezTo>
                                <a:cubicBezTo>
                                  <a:pt x="3998343" y="2336320"/>
                                  <a:pt x="4962345" y="1168160"/>
                                  <a:pt x="5926347" y="0"/>
                                </a:cubicBezTo>
                              </a:path>
                            </a:pathLst>
                          </a:custGeom>
                          <a:noFill/>
                          <a:ln w="12700" cap="flat" cmpd="sng" algn="ctr">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84" name="Полилиния 9"/>
                        <wps:cNvSpPr>
                          <a:spLocks/>
                        </wps:cNvSpPr>
                        <wps:spPr bwMode="auto">
                          <a:xfrm flipV="1">
                            <a:off x="-104768" y="1218936"/>
                            <a:ext cx="6077547" cy="2221337"/>
                          </a:xfrm>
                          <a:custGeom>
                            <a:avLst/>
                            <a:gdLst>
                              <a:gd name="T0" fmla="*/ 0 w 5926347"/>
                              <a:gd name="T1" fmla="*/ 8658 h 2337759"/>
                              <a:gd name="T2" fmla="*/ 3010351 w 5926347"/>
                              <a:gd name="T3" fmla="*/ 2346324 h 2337759"/>
                              <a:gd name="T4" fmla="*/ 5925820 w 5926347"/>
                              <a:gd name="T5" fmla="*/ 0 h 2337759"/>
                              <a:gd name="T6" fmla="*/ 0 60000 65536"/>
                              <a:gd name="T7" fmla="*/ 0 60000 65536"/>
                              <a:gd name="T8" fmla="*/ 0 60000 65536"/>
                            </a:gdLst>
                            <a:ahLst/>
                            <a:cxnLst>
                              <a:cxn ang="T6">
                                <a:pos x="T0" y="T1"/>
                              </a:cxn>
                              <a:cxn ang="T7">
                                <a:pos x="T2" y="T3"/>
                              </a:cxn>
                              <a:cxn ang="T8">
                                <a:pos x="T4" y="T5"/>
                              </a:cxn>
                            </a:cxnLst>
                            <a:rect l="0" t="0" r="r" b="b"/>
                            <a:pathLst>
                              <a:path w="5926347" h="2337759">
                                <a:moveTo>
                                  <a:pt x="0" y="8626"/>
                                </a:moveTo>
                                <a:cubicBezTo>
                                  <a:pt x="1011447" y="1173911"/>
                                  <a:pt x="2022895" y="2339196"/>
                                  <a:pt x="3010619" y="2337758"/>
                                </a:cubicBezTo>
                                <a:cubicBezTo>
                                  <a:pt x="3998343" y="2336320"/>
                                  <a:pt x="4962345" y="1168160"/>
                                  <a:pt x="5926347" y="0"/>
                                </a:cubicBezTo>
                              </a:path>
                            </a:pathLst>
                          </a:custGeom>
                          <a:noFill/>
                          <a:ln w="12700" cap="flat" cmpd="sng" algn="ctr">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85" name="Выноска со стрелкой вниз 20"/>
                        <wps:cNvSpPr>
                          <a:spLocks noChangeArrowheads="1"/>
                        </wps:cNvSpPr>
                        <wps:spPr bwMode="auto">
                          <a:xfrm>
                            <a:off x="1209675" y="0"/>
                            <a:ext cx="3571336" cy="1233026"/>
                          </a:xfrm>
                          <a:prstGeom prst="downArrowCallout">
                            <a:avLst>
                              <a:gd name="adj1" fmla="val 24995"/>
                              <a:gd name="adj2" fmla="val 24995"/>
                              <a:gd name="adj3" fmla="val 25000"/>
                              <a:gd name="adj4" fmla="val 64977"/>
                            </a:avLst>
                          </a:prstGeom>
                          <a:noFill/>
                          <a:ln w="12700" cmpd="tri" algn="ctr">
                            <a:solidFill>
                              <a:srgbClr val="000000"/>
                            </a:solidFill>
                            <a:prstDash val="dash"/>
                            <a:miter lim="800000"/>
                            <a:headEnd/>
                            <a:tailEnd/>
                          </a:ln>
                        </wps:spPr>
                        <wps:txbx>
                          <w:txbxContent>
                            <w:p w:rsidR="00BE40F8" w:rsidRPr="00DC4493" w:rsidRDefault="00BE40F8" w:rsidP="00B233DE">
                              <w:pPr>
                                <w:ind w:firstLine="0"/>
                                <w:jc w:val="center"/>
                                <w:rPr>
                                  <w:rFonts w:ascii="Times New Roman" w:hAnsi="Times New Roman"/>
                                  <w:b/>
                                  <w:caps/>
                                  <w:color w:val="000000"/>
                                  <w:sz w:val="16"/>
                                  <w:szCs w:val="16"/>
                                </w:rPr>
                              </w:pPr>
                              <w:r w:rsidRPr="00DC4493">
                                <w:rPr>
                                  <w:rFonts w:ascii="Times New Roman" w:hAnsi="Times New Roman"/>
                                  <w:b/>
                                  <w:caps/>
                                  <w:color w:val="000000"/>
                                  <w:sz w:val="16"/>
                                  <w:szCs w:val="16"/>
                                  <w:u w:val="single"/>
                                </w:rPr>
                                <w:t>Людський фактор</w:t>
                              </w:r>
                              <w:r w:rsidRPr="00DC4493">
                                <w:rPr>
                                  <w:rFonts w:ascii="Times New Roman" w:hAnsi="Times New Roman"/>
                                  <w:b/>
                                  <w:caps/>
                                  <w:color w:val="000000"/>
                                  <w:sz w:val="16"/>
                                  <w:szCs w:val="16"/>
                                </w:rPr>
                                <w:t xml:space="preserve"> </w:t>
                              </w:r>
                            </w:p>
                            <w:p w:rsidR="00BE40F8" w:rsidRPr="00894944" w:rsidRDefault="00BE40F8" w:rsidP="00B233DE">
                              <w:pPr>
                                <w:ind w:firstLine="0"/>
                                <w:jc w:val="center"/>
                                <w:rPr>
                                  <w:rFonts w:ascii="Times New Roman" w:hAnsi="Times New Roman"/>
                                  <w:b/>
                                  <w:color w:val="000000"/>
                                  <w:sz w:val="24"/>
                                  <w:szCs w:val="24"/>
                                </w:rPr>
                              </w:pPr>
                              <w:r w:rsidRPr="00DC4493">
                                <w:rPr>
                                  <w:rFonts w:ascii="Times New Roman" w:hAnsi="Times New Roman"/>
                                  <w:b/>
                                  <w:caps/>
                                  <w:color w:val="000000"/>
                                  <w:sz w:val="16"/>
                                  <w:szCs w:val="16"/>
                                </w:rPr>
                                <w:t xml:space="preserve">– </w:t>
                              </w:r>
                              <w:r w:rsidRPr="00DC4493">
                                <w:rPr>
                                  <w:rFonts w:ascii="Times New Roman" w:hAnsi="Times New Roman"/>
                                  <w:b/>
                                  <w:color w:val="000000"/>
                                  <w:sz w:val="16"/>
                                  <w:szCs w:val="16"/>
                                </w:rPr>
                                <w:t>усвідомлення необхідності реформ, готовність стати активними відповідальними суб’єктами</w:t>
                              </w:r>
                              <w:r w:rsidRPr="00894944">
                                <w:rPr>
                                  <w:rFonts w:ascii="Times New Roman" w:hAnsi="Times New Roman"/>
                                  <w:b/>
                                  <w:color w:val="000000"/>
                                  <w:sz w:val="24"/>
                                  <w:szCs w:val="24"/>
                                </w:rPr>
                                <w:t xml:space="preserve"> </w:t>
                              </w:r>
                              <w:r w:rsidRPr="00DC4493">
                                <w:rPr>
                                  <w:rFonts w:ascii="Times New Roman" w:hAnsi="Times New Roman"/>
                                  <w:b/>
                                  <w:color w:val="000000"/>
                                  <w:sz w:val="16"/>
                                  <w:szCs w:val="16"/>
                                </w:rPr>
                                <w:t>реформування</w:t>
                              </w:r>
                            </w:p>
                          </w:txbxContent>
                        </wps:txbx>
                        <wps:bodyPr rot="0" vert="horz" wrap="square" lIns="91440" tIns="45720" rIns="91440" bIns="45720" anchor="ctr" anchorCtr="0" upright="1">
                          <a:noAutofit/>
                        </wps:bodyPr>
                      </wps:wsp>
                      <wps:wsp>
                        <wps:cNvPr id="286" name="Выноска со стрелкой вверх 22"/>
                        <wps:cNvSpPr>
                          <a:spLocks noChangeArrowheads="1"/>
                        </wps:cNvSpPr>
                        <wps:spPr bwMode="auto">
                          <a:xfrm rot="2986454">
                            <a:off x="857437" y="2371305"/>
                            <a:ext cx="609227" cy="1372439"/>
                          </a:xfrm>
                          <a:prstGeom prst="upArrowCallout">
                            <a:avLst>
                              <a:gd name="adj1" fmla="val 25000"/>
                              <a:gd name="adj2" fmla="val 25000"/>
                              <a:gd name="adj3" fmla="val 25000"/>
                              <a:gd name="adj4" fmla="val 64977"/>
                            </a:avLst>
                          </a:prstGeom>
                          <a:noFill/>
                          <a:ln w="12700" algn="ctr">
                            <a:solidFill>
                              <a:srgbClr val="000000"/>
                            </a:solidFill>
                            <a:miter lim="800000"/>
                            <a:headEnd/>
                            <a:tailEnd/>
                          </a:ln>
                        </wps:spPr>
                        <wps:txbx>
                          <w:txbxContent>
                            <w:p w:rsidR="00BE40F8" w:rsidRPr="00DC4493" w:rsidRDefault="00BE40F8" w:rsidP="00B233DE">
                              <w:pPr>
                                <w:ind w:firstLine="0"/>
                                <w:jc w:val="center"/>
                                <w:rPr>
                                  <w:rFonts w:ascii="Times New Roman" w:hAnsi="Times New Roman"/>
                                  <w:color w:val="000000"/>
                                  <w:sz w:val="16"/>
                                  <w:szCs w:val="16"/>
                                </w:rPr>
                              </w:pPr>
                              <w:r w:rsidRPr="00DC4493">
                                <w:rPr>
                                  <w:rFonts w:ascii="Times New Roman" w:hAnsi="Times New Roman"/>
                                  <w:color w:val="000000"/>
                                  <w:sz w:val="16"/>
                                  <w:szCs w:val="16"/>
                                </w:rPr>
                                <w:t>Економічні фактори</w:t>
                              </w:r>
                            </w:p>
                          </w:txbxContent>
                        </wps:txbx>
                        <wps:bodyPr rot="0" vert="horz" wrap="square" lIns="0" tIns="0" rIns="0" bIns="0" anchor="ctr" anchorCtr="0">
                          <a:noAutofit/>
                        </wps:bodyPr>
                      </wps:wsp>
                      <wps:wsp>
                        <wps:cNvPr id="287" name="Выноска со стрелкой вверх 23"/>
                        <wps:cNvSpPr>
                          <a:spLocks noChangeArrowheads="1"/>
                        </wps:cNvSpPr>
                        <wps:spPr bwMode="auto">
                          <a:xfrm>
                            <a:off x="2549976" y="3221685"/>
                            <a:ext cx="914400" cy="914400"/>
                          </a:xfrm>
                          <a:prstGeom prst="upArrowCallout">
                            <a:avLst>
                              <a:gd name="adj1" fmla="val 25000"/>
                              <a:gd name="adj2" fmla="val 25000"/>
                              <a:gd name="adj3" fmla="val 25000"/>
                              <a:gd name="adj4" fmla="val 64977"/>
                            </a:avLst>
                          </a:prstGeom>
                          <a:noFill/>
                          <a:ln w="12700" algn="ctr">
                            <a:solidFill>
                              <a:srgbClr val="000000"/>
                            </a:solidFill>
                            <a:miter lim="800000"/>
                            <a:headEnd/>
                            <a:tailEnd/>
                          </a:ln>
                        </wps:spPr>
                        <wps:txbx>
                          <w:txbxContent>
                            <w:p w:rsidR="00BE40F8" w:rsidRPr="00DC4493" w:rsidRDefault="00BE40F8" w:rsidP="00B233DE">
                              <w:pPr>
                                <w:ind w:firstLine="0"/>
                                <w:jc w:val="center"/>
                                <w:rPr>
                                  <w:rFonts w:ascii="Times New Roman" w:hAnsi="Times New Roman"/>
                                  <w:color w:val="000000"/>
                                  <w:sz w:val="16"/>
                                  <w:szCs w:val="16"/>
                                </w:rPr>
                              </w:pPr>
                              <w:r w:rsidRPr="00DC4493">
                                <w:rPr>
                                  <w:rFonts w:ascii="Times New Roman" w:hAnsi="Times New Roman"/>
                                  <w:color w:val="000000"/>
                                  <w:sz w:val="16"/>
                                  <w:szCs w:val="16"/>
                                </w:rPr>
                                <w:t>Фінансові фактори</w:t>
                              </w:r>
                            </w:p>
                          </w:txbxContent>
                        </wps:txbx>
                        <wps:bodyPr rot="0" vert="horz" wrap="square" lIns="0" tIns="0" rIns="0" bIns="0" anchor="ctr" anchorCtr="0">
                          <a:noAutofit/>
                        </wps:bodyPr>
                      </wps:wsp>
                      <wps:wsp>
                        <wps:cNvPr id="293" name="Выноска со стрелкой вверх 24"/>
                        <wps:cNvSpPr>
                          <a:spLocks noChangeArrowheads="1"/>
                        </wps:cNvSpPr>
                        <wps:spPr bwMode="auto">
                          <a:xfrm rot="18588664">
                            <a:off x="4534086" y="2371305"/>
                            <a:ext cx="609227" cy="1372439"/>
                          </a:xfrm>
                          <a:prstGeom prst="upArrowCallout">
                            <a:avLst>
                              <a:gd name="adj1" fmla="val 25000"/>
                              <a:gd name="adj2" fmla="val 25000"/>
                              <a:gd name="adj3" fmla="val 25000"/>
                              <a:gd name="adj4" fmla="val 64977"/>
                            </a:avLst>
                          </a:prstGeom>
                          <a:noFill/>
                          <a:ln w="12700" algn="ctr">
                            <a:solidFill>
                              <a:srgbClr val="000000"/>
                            </a:solidFill>
                            <a:miter lim="800000"/>
                            <a:headEnd/>
                            <a:tailEnd/>
                          </a:ln>
                        </wps:spPr>
                        <wps:txbx>
                          <w:txbxContent>
                            <w:p w:rsidR="00BE40F8" w:rsidRDefault="00BE40F8" w:rsidP="00B233DE">
                              <w:pPr>
                                <w:ind w:left="-142" w:right="-135" w:firstLine="0"/>
                                <w:jc w:val="center"/>
                                <w:rPr>
                                  <w:rFonts w:ascii="Times New Roman" w:hAnsi="Times New Roman"/>
                                  <w:color w:val="000000"/>
                                  <w:sz w:val="16"/>
                                  <w:szCs w:val="16"/>
                                </w:rPr>
                              </w:pPr>
                            </w:p>
                            <w:p w:rsidR="000B0D3C" w:rsidRDefault="00BE40F8" w:rsidP="00B233DE">
                              <w:pPr>
                                <w:ind w:left="-142" w:right="-135" w:firstLine="0"/>
                                <w:jc w:val="center"/>
                                <w:rPr>
                                  <w:rFonts w:ascii="Times New Roman" w:hAnsi="Times New Roman"/>
                                  <w:color w:val="000000"/>
                                  <w:sz w:val="16"/>
                                  <w:szCs w:val="16"/>
                                </w:rPr>
                              </w:pPr>
                              <w:r w:rsidRPr="00DC4493">
                                <w:rPr>
                                  <w:rFonts w:ascii="Times New Roman" w:hAnsi="Times New Roman"/>
                                  <w:color w:val="000000"/>
                                  <w:sz w:val="16"/>
                                  <w:szCs w:val="16"/>
                                </w:rPr>
                                <w:t xml:space="preserve">Законодавчі фактори </w:t>
                              </w:r>
                            </w:p>
                            <w:p w:rsidR="00BE40F8" w:rsidRPr="00DC4493" w:rsidRDefault="00BE40F8" w:rsidP="00B233DE">
                              <w:pPr>
                                <w:ind w:left="-142" w:right="-135" w:firstLine="0"/>
                                <w:jc w:val="center"/>
                                <w:rPr>
                                  <w:rFonts w:ascii="Times New Roman" w:hAnsi="Times New Roman"/>
                                  <w:color w:val="000000"/>
                                  <w:sz w:val="16"/>
                                  <w:szCs w:val="16"/>
                                </w:rPr>
                              </w:pPr>
                              <w:r w:rsidRPr="00DC4493">
                                <w:rPr>
                                  <w:rFonts w:ascii="Times New Roman" w:hAnsi="Times New Roman"/>
                                  <w:color w:val="000000"/>
                                  <w:sz w:val="16"/>
                                  <w:szCs w:val="16"/>
                                </w:rPr>
                                <w:t>та ін</w:t>
                              </w:r>
                              <w:r w:rsidR="000B0D3C">
                                <w:rPr>
                                  <w:rFonts w:ascii="Times New Roman" w:hAnsi="Times New Roman"/>
                                  <w:color w:val="000000"/>
                                  <w:sz w:val="16"/>
                                  <w:szCs w:val="16"/>
                                </w:rPr>
                                <w:t>ші</w:t>
                              </w:r>
                            </w:p>
                          </w:txbxContent>
                        </wps:txbx>
                        <wps:bodyPr rot="0" vert="horz" wrap="square" lIns="0" tIns="0" rIns="0" bIns="0" anchor="ctr" anchorCtr="0">
                          <a:noAutofit/>
                        </wps:bodyPr>
                      </wps:wsp>
                      <wps:wsp>
                        <wps:cNvPr id="294" name="Выноска со стрелкой вверх 25"/>
                        <wps:cNvSpPr>
                          <a:spLocks noChangeArrowheads="1"/>
                        </wps:cNvSpPr>
                        <wps:spPr bwMode="auto">
                          <a:xfrm rot="1752342">
                            <a:off x="1498150" y="3076576"/>
                            <a:ext cx="914400" cy="914400"/>
                          </a:xfrm>
                          <a:prstGeom prst="upArrowCallout">
                            <a:avLst>
                              <a:gd name="adj1" fmla="val 25000"/>
                              <a:gd name="adj2" fmla="val 25000"/>
                              <a:gd name="adj3" fmla="val 25000"/>
                              <a:gd name="adj4" fmla="val 64977"/>
                            </a:avLst>
                          </a:prstGeom>
                          <a:noFill/>
                          <a:ln w="12700" algn="ctr">
                            <a:solidFill>
                              <a:srgbClr val="000000"/>
                            </a:solidFill>
                            <a:miter lim="800000"/>
                            <a:headEnd/>
                            <a:tailEnd/>
                          </a:ln>
                        </wps:spPr>
                        <wps:txbx>
                          <w:txbxContent>
                            <w:p w:rsidR="00BE40F8" w:rsidRPr="00DC4493" w:rsidRDefault="00BE40F8" w:rsidP="00B233DE">
                              <w:pPr>
                                <w:ind w:firstLine="0"/>
                                <w:jc w:val="center"/>
                                <w:rPr>
                                  <w:rFonts w:ascii="Times New Roman" w:hAnsi="Times New Roman"/>
                                  <w:color w:val="000000"/>
                                  <w:sz w:val="16"/>
                                  <w:szCs w:val="16"/>
                                </w:rPr>
                              </w:pPr>
                              <w:r w:rsidRPr="00DC4493">
                                <w:rPr>
                                  <w:rFonts w:ascii="Times New Roman" w:hAnsi="Times New Roman"/>
                                  <w:color w:val="000000"/>
                                  <w:sz w:val="16"/>
                                  <w:szCs w:val="16"/>
                                </w:rPr>
                                <w:t>Організа-ційні фактори</w:t>
                              </w:r>
                            </w:p>
                          </w:txbxContent>
                        </wps:txbx>
                        <wps:bodyPr rot="0" vert="horz" wrap="square" lIns="0" tIns="0" rIns="0" bIns="0" anchor="ctr" anchorCtr="0">
                          <a:noAutofit/>
                        </wps:bodyPr>
                      </wps:wsp>
                      <wps:wsp>
                        <wps:cNvPr id="955" name="Выноска со стрелкой вверх 26"/>
                        <wps:cNvSpPr>
                          <a:spLocks noChangeArrowheads="1"/>
                        </wps:cNvSpPr>
                        <wps:spPr bwMode="auto">
                          <a:xfrm rot="20010067">
                            <a:off x="3555542" y="3067050"/>
                            <a:ext cx="914400" cy="914400"/>
                          </a:xfrm>
                          <a:prstGeom prst="upArrowCallout">
                            <a:avLst>
                              <a:gd name="adj1" fmla="val 25000"/>
                              <a:gd name="adj2" fmla="val 25000"/>
                              <a:gd name="adj3" fmla="val 25000"/>
                              <a:gd name="adj4" fmla="val 64977"/>
                            </a:avLst>
                          </a:prstGeom>
                          <a:noFill/>
                          <a:ln w="12700" algn="ctr">
                            <a:solidFill>
                              <a:srgbClr val="000000"/>
                            </a:solidFill>
                            <a:miter lim="800000"/>
                            <a:headEnd/>
                            <a:tailEnd/>
                          </a:ln>
                        </wps:spPr>
                        <wps:txbx>
                          <w:txbxContent>
                            <w:p w:rsidR="00BE40F8" w:rsidRPr="00894944" w:rsidRDefault="00BE40F8" w:rsidP="00B233DE">
                              <w:pPr>
                                <w:ind w:firstLine="0"/>
                                <w:jc w:val="center"/>
                                <w:rPr>
                                  <w:rFonts w:ascii="Times New Roman" w:hAnsi="Times New Roman"/>
                                  <w:color w:val="000000"/>
                                </w:rPr>
                              </w:pPr>
                              <w:r w:rsidRPr="00DC4493">
                                <w:rPr>
                                  <w:rFonts w:ascii="Times New Roman" w:hAnsi="Times New Roman"/>
                                  <w:color w:val="000000"/>
                                  <w:sz w:val="16"/>
                                  <w:szCs w:val="16"/>
                                </w:rPr>
                                <w:t>Природні фактори</w:t>
                              </w:r>
                            </w:p>
                          </w:txbxContent>
                        </wps:txbx>
                        <wps:bodyPr rot="0" vert="horz" wrap="square" lIns="0" tIns="0" rIns="0" bIns="0" anchor="ctr" anchorCtr="0">
                          <a:noAutofit/>
                        </wps:bodyPr>
                      </wps:wsp>
                      <wps:wsp>
                        <wps:cNvPr id="956" name="Прямоугольник 29"/>
                        <wps:cNvSpPr>
                          <a:spLocks noChangeArrowheads="1"/>
                        </wps:cNvSpPr>
                        <wps:spPr bwMode="auto">
                          <a:xfrm>
                            <a:off x="1733550" y="1552575"/>
                            <a:ext cx="2510287" cy="11473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lgn="ctr">
                                <a:solidFill>
                                  <a:srgbClr val="000000"/>
                                </a:solidFill>
                                <a:miter lim="800000"/>
                                <a:headEnd/>
                                <a:tailEnd/>
                              </a14:hiddenLine>
                            </a:ext>
                          </a:extLst>
                        </wps:spPr>
                        <wps:txbx>
                          <w:txbxContent>
                            <w:p w:rsidR="000B0D3C" w:rsidRDefault="00BE40F8" w:rsidP="00B233DE">
                              <w:pPr>
                                <w:ind w:firstLine="0"/>
                                <w:jc w:val="center"/>
                                <w:rPr>
                                  <w:rFonts w:ascii="Times New Roman" w:hAnsi="Times New Roman"/>
                                  <w:color w:val="000000"/>
                                  <w:sz w:val="16"/>
                                  <w:szCs w:val="16"/>
                                </w:rPr>
                              </w:pPr>
                              <w:r w:rsidRPr="00DC4493">
                                <w:rPr>
                                  <w:rFonts w:ascii="Times New Roman" w:hAnsi="Times New Roman"/>
                                  <w:color w:val="000000"/>
                                  <w:sz w:val="16"/>
                                  <w:szCs w:val="16"/>
                                </w:rPr>
                                <w:t xml:space="preserve">Ефективне реформування комунальної власності </w:t>
                              </w:r>
                            </w:p>
                            <w:p w:rsidR="000B0D3C" w:rsidRDefault="00BE40F8" w:rsidP="00B233DE">
                              <w:pPr>
                                <w:ind w:firstLine="0"/>
                                <w:jc w:val="center"/>
                                <w:rPr>
                                  <w:rFonts w:ascii="Times New Roman" w:hAnsi="Times New Roman"/>
                                  <w:color w:val="000000"/>
                                  <w:sz w:val="16"/>
                                  <w:szCs w:val="16"/>
                                </w:rPr>
                              </w:pPr>
                              <w:r w:rsidRPr="00DC4493">
                                <w:rPr>
                                  <w:rFonts w:ascii="Times New Roman" w:hAnsi="Times New Roman"/>
                                  <w:color w:val="000000"/>
                                  <w:sz w:val="16"/>
                                  <w:szCs w:val="16"/>
                                </w:rPr>
                                <w:t xml:space="preserve">як матеріальної і фінансової основи соціальної </w:t>
                              </w:r>
                            </w:p>
                            <w:p w:rsidR="00BE40F8" w:rsidRPr="00DC4493" w:rsidRDefault="00BE40F8" w:rsidP="00B233DE">
                              <w:pPr>
                                <w:ind w:firstLine="0"/>
                                <w:jc w:val="center"/>
                                <w:rPr>
                                  <w:rFonts w:ascii="Times New Roman" w:hAnsi="Times New Roman"/>
                                  <w:color w:val="000000"/>
                                  <w:sz w:val="16"/>
                                  <w:szCs w:val="16"/>
                                </w:rPr>
                              </w:pPr>
                              <w:r w:rsidRPr="00DC4493">
                                <w:rPr>
                                  <w:rFonts w:ascii="Times New Roman" w:hAnsi="Times New Roman"/>
                                  <w:color w:val="000000"/>
                                  <w:sz w:val="16"/>
                                  <w:szCs w:val="16"/>
                                </w:rPr>
                                <w:t>регіональної політики</w:t>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257C69" id="Группа 245" o:spid="_x0000_s2246" style="position:absolute;margin-left:.3pt;margin-top:3.55pt;width:304.55pt;height:311.1pt;z-index:251706368;mso-position-horizontal-relative:text;mso-position-vertical-relative:text" coordorigin="-1047" coordsize="60775,41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">
                <v:oval id="Овал 34" o:spid="_x0000_s2247" style="position:absolute;left:15049;top:13144;width:30624;height:156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" filled="f" stroked="f" strokeweight="1pt"/>
                <v:shape id="Полилиния 6" o:spid="_x0000_s2248" style="position:absolute;top:6381;width:59258;height:23375;visibility:visible;mso-wrap-style:square;v-text-anchor:middle" coordsize="5926347,23377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" path="m,8626c1011447,1173911,2022895,2339196,3010619,2337758,3998343,2336320,4962345,1168160,5926347,e" filled="f" strokeweight="1pt">
                  <v:path arrowok="t" o:connecttype="custom" o:connectlocs="0,8624;3010083,2337110;5925293,0" o:connectangles="0,0,0"/>
                </v:shape>
                <v:shape id="Полилиния 9" o:spid="_x0000_s2249" style="position:absolute;left:-1047;top:12189;width:60774;height:22213;flip:y;visibility:visible;mso-wrap-style:square;v-text-anchor:middle" coordsize="5926347,23377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" path="m,8626c1011447,1173911,2022895,2339196,3010619,2337758,3998343,2336320,4962345,1168160,5926347,e" filled="f" strokeweight="1pt">
                  <v:path arrowok="t" o:connecttype="custom" o:connectlocs="0,8227;3087155,2229475;6077007,0" o:connectangles="0,0,0"/>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Выноска со стрелкой вниз 20" o:spid="_x0000_s2250" type="#_x0000_t80" style="position:absolute;left:12096;width:35714;height:123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" adj="14035,8936,16200,9868" filled="f" strokeweight="1pt">
                  <v:stroke dashstyle="dash" linestyle="thickBetweenThin"/>
                  <v:textbox>
                    <w:txbxContent>
                      <w:p w:rsidR="00BE40F8" w:rsidRPr="00DC4493" w:rsidRDefault="00BE40F8" w:rsidP="00B233DE">
                        <w:pPr>
                          <w:ind w:firstLine="0"/>
                          <w:jc w:val="center"/>
                          <w:rPr>
                            <w:rFonts w:ascii="Times New Roman" w:hAnsi="Times New Roman"/>
                            <w:b/>
                            <w:caps/>
                            <w:color w:val="000000"/>
                            <w:sz w:val="16"/>
                            <w:szCs w:val="16"/>
                          </w:rPr>
                        </w:pPr>
                        <w:r w:rsidRPr="00DC4493">
                          <w:rPr>
                            <w:rFonts w:ascii="Times New Roman" w:hAnsi="Times New Roman"/>
                            <w:b/>
                            <w:caps/>
                            <w:color w:val="000000"/>
                            <w:sz w:val="16"/>
                            <w:szCs w:val="16"/>
                            <w:u w:val="single"/>
                          </w:rPr>
                          <w:t>Людський фактор</w:t>
                        </w:r>
                        <w:r w:rsidRPr="00DC4493">
                          <w:rPr>
                            <w:rFonts w:ascii="Times New Roman" w:hAnsi="Times New Roman"/>
                            <w:b/>
                            <w:caps/>
                            <w:color w:val="000000"/>
                            <w:sz w:val="16"/>
                            <w:szCs w:val="16"/>
                          </w:rPr>
                          <w:t xml:space="preserve"> </w:t>
                        </w:r>
                      </w:p>
                      <w:p w:rsidR="00BE40F8" w:rsidRPr="00894944" w:rsidRDefault="00BE40F8" w:rsidP="00B233DE">
                        <w:pPr>
                          <w:ind w:firstLine="0"/>
                          <w:jc w:val="center"/>
                          <w:rPr>
                            <w:rFonts w:ascii="Times New Roman" w:hAnsi="Times New Roman"/>
                            <w:b/>
                            <w:color w:val="000000"/>
                            <w:sz w:val="24"/>
                            <w:szCs w:val="24"/>
                          </w:rPr>
                        </w:pPr>
                        <w:r w:rsidRPr="00DC4493">
                          <w:rPr>
                            <w:rFonts w:ascii="Times New Roman" w:hAnsi="Times New Roman"/>
                            <w:b/>
                            <w:caps/>
                            <w:color w:val="000000"/>
                            <w:sz w:val="16"/>
                            <w:szCs w:val="16"/>
                          </w:rPr>
                          <w:t xml:space="preserve">– </w:t>
                        </w:r>
                        <w:r w:rsidRPr="00DC4493">
                          <w:rPr>
                            <w:rFonts w:ascii="Times New Roman" w:hAnsi="Times New Roman"/>
                            <w:b/>
                            <w:color w:val="000000"/>
                            <w:sz w:val="16"/>
                            <w:szCs w:val="16"/>
                          </w:rPr>
                          <w:t>усвідомлення необхідності реформ, готовність стати активними відповідальними суб’єктами</w:t>
                        </w:r>
                        <w:r w:rsidRPr="00894944">
                          <w:rPr>
                            <w:rFonts w:ascii="Times New Roman" w:hAnsi="Times New Roman"/>
                            <w:b/>
                            <w:color w:val="000000"/>
                            <w:sz w:val="24"/>
                            <w:szCs w:val="24"/>
                          </w:rPr>
                          <w:t xml:space="preserve"> </w:t>
                        </w:r>
                        <w:r w:rsidRPr="00DC4493">
                          <w:rPr>
                            <w:rFonts w:ascii="Times New Roman" w:hAnsi="Times New Roman"/>
                            <w:b/>
                            <w:color w:val="000000"/>
                            <w:sz w:val="16"/>
                            <w:szCs w:val="16"/>
                          </w:rPr>
                          <w:t>реформування</w:t>
                        </w:r>
                      </w:p>
                    </w:txbxContent>
                  </v:textbox>
                </v:shape>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Выноска со стрелкой вверх 22" o:spid="_x0000_s2251" type="#_x0000_t79" style="position:absolute;left:8574;top:23713;width:6092;height:13724;rotation:326200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" adj="7565,,2397" filled="f" strokeweight="1pt">
                  <v:textbox inset="0,0,0,0">
                    <w:txbxContent>
                      <w:p w:rsidR="00BE40F8" w:rsidRPr="00DC4493" w:rsidRDefault="00BE40F8" w:rsidP="00B233DE">
                        <w:pPr>
                          <w:ind w:firstLine="0"/>
                          <w:jc w:val="center"/>
                          <w:rPr>
                            <w:rFonts w:ascii="Times New Roman" w:hAnsi="Times New Roman"/>
                            <w:color w:val="000000"/>
                            <w:sz w:val="16"/>
                            <w:szCs w:val="16"/>
                          </w:rPr>
                        </w:pPr>
                        <w:r w:rsidRPr="00DC4493">
                          <w:rPr>
                            <w:rFonts w:ascii="Times New Roman" w:hAnsi="Times New Roman"/>
                            <w:color w:val="000000"/>
                            <w:sz w:val="16"/>
                            <w:szCs w:val="16"/>
                          </w:rPr>
                          <w:t>Економічні фактори</w:t>
                        </w:r>
                      </w:p>
                    </w:txbxContent>
                  </v:textbox>
                </v:shape>
                <v:shape id="Выноска со стрелкой вверх 23" o:spid="_x0000_s2252" type="#_x0000_t79" style="position:absolute;left:25499;top:32216;width:914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" adj="7565,,5400" filled="f" strokeweight="1pt">
                  <v:textbox inset="0,0,0,0">
                    <w:txbxContent>
                      <w:p w:rsidR="00BE40F8" w:rsidRPr="00DC4493" w:rsidRDefault="00BE40F8" w:rsidP="00B233DE">
                        <w:pPr>
                          <w:ind w:firstLine="0"/>
                          <w:jc w:val="center"/>
                          <w:rPr>
                            <w:rFonts w:ascii="Times New Roman" w:hAnsi="Times New Roman"/>
                            <w:color w:val="000000"/>
                            <w:sz w:val="16"/>
                            <w:szCs w:val="16"/>
                          </w:rPr>
                        </w:pPr>
                        <w:r w:rsidRPr="00DC4493">
                          <w:rPr>
                            <w:rFonts w:ascii="Times New Roman" w:hAnsi="Times New Roman"/>
                            <w:color w:val="000000"/>
                            <w:sz w:val="16"/>
                            <w:szCs w:val="16"/>
                          </w:rPr>
                          <w:t>Фінансові фактори</w:t>
                        </w:r>
                      </w:p>
                    </w:txbxContent>
                  </v:textbox>
                </v:shape>
                <v:shape id="Выноска со стрелкой вверх 24" o:spid="_x0000_s2253" type="#_x0000_t79" style="position:absolute;left:45341;top:23712;width:6092;height:13725;rotation:-328918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" adj="7565,,2397" filled="f" strokeweight="1pt">
                  <v:textbox inset="0,0,0,0">
                    <w:txbxContent>
                      <w:p w:rsidR="00BE40F8" w:rsidRDefault="00BE40F8" w:rsidP="00B233DE">
                        <w:pPr>
                          <w:ind w:left="-142" w:right="-135" w:firstLine="0"/>
                          <w:jc w:val="center"/>
                          <w:rPr>
                            <w:rFonts w:ascii="Times New Roman" w:hAnsi="Times New Roman"/>
                            <w:color w:val="000000"/>
                            <w:sz w:val="16"/>
                            <w:szCs w:val="16"/>
                          </w:rPr>
                        </w:pPr>
                      </w:p>
                      <w:p w:rsidR="000B0D3C" w:rsidRDefault="00BE40F8" w:rsidP="00B233DE">
                        <w:pPr>
                          <w:ind w:left="-142" w:right="-135" w:firstLine="0"/>
                          <w:jc w:val="center"/>
                          <w:rPr>
                            <w:rFonts w:ascii="Times New Roman" w:hAnsi="Times New Roman"/>
                            <w:color w:val="000000"/>
                            <w:sz w:val="16"/>
                            <w:szCs w:val="16"/>
                          </w:rPr>
                        </w:pPr>
                        <w:r w:rsidRPr="00DC4493">
                          <w:rPr>
                            <w:rFonts w:ascii="Times New Roman" w:hAnsi="Times New Roman"/>
                            <w:color w:val="000000"/>
                            <w:sz w:val="16"/>
                            <w:szCs w:val="16"/>
                          </w:rPr>
                          <w:t xml:space="preserve">Законодавчі фактори </w:t>
                        </w:r>
                      </w:p>
                      <w:p w:rsidR="00BE40F8" w:rsidRPr="00DC4493" w:rsidRDefault="00BE40F8" w:rsidP="00B233DE">
                        <w:pPr>
                          <w:ind w:left="-142" w:right="-135" w:firstLine="0"/>
                          <w:jc w:val="center"/>
                          <w:rPr>
                            <w:rFonts w:ascii="Times New Roman" w:hAnsi="Times New Roman"/>
                            <w:color w:val="000000"/>
                            <w:sz w:val="16"/>
                            <w:szCs w:val="16"/>
                          </w:rPr>
                        </w:pPr>
                        <w:r w:rsidRPr="00DC4493">
                          <w:rPr>
                            <w:rFonts w:ascii="Times New Roman" w:hAnsi="Times New Roman"/>
                            <w:color w:val="000000"/>
                            <w:sz w:val="16"/>
                            <w:szCs w:val="16"/>
                          </w:rPr>
                          <w:t>та ін</w:t>
                        </w:r>
                        <w:r w:rsidR="000B0D3C">
                          <w:rPr>
                            <w:rFonts w:ascii="Times New Roman" w:hAnsi="Times New Roman"/>
                            <w:color w:val="000000"/>
                            <w:sz w:val="16"/>
                            <w:szCs w:val="16"/>
                          </w:rPr>
                          <w:t>ші</w:t>
                        </w:r>
                      </w:p>
                    </w:txbxContent>
                  </v:textbox>
                </v:shape>
                <v:shape id="Выноска со стрелкой вверх 25" o:spid="_x0000_s2254" type="#_x0000_t79" style="position:absolute;left:14981;top:30765;width:9144;height:9144;rotation:191402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" adj="7565,,5400" filled="f" strokeweight="1pt">
                  <v:textbox inset="0,0,0,0">
                    <w:txbxContent>
                      <w:p w:rsidR="00BE40F8" w:rsidRPr="00DC4493" w:rsidRDefault="00BE40F8" w:rsidP="00B233DE">
                        <w:pPr>
                          <w:ind w:firstLine="0"/>
                          <w:jc w:val="center"/>
                          <w:rPr>
                            <w:rFonts w:ascii="Times New Roman" w:hAnsi="Times New Roman"/>
                            <w:color w:val="000000"/>
                            <w:sz w:val="16"/>
                            <w:szCs w:val="16"/>
                          </w:rPr>
                        </w:pPr>
                        <w:r w:rsidRPr="00DC4493">
                          <w:rPr>
                            <w:rFonts w:ascii="Times New Roman" w:hAnsi="Times New Roman"/>
                            <w:color w:val="000000"/>
                            <w:sz w:val="16"/>
                            <w:szCs w:val="16"/>
                          </w:rPr>
                          <w:t>Організа-ційні фактори</w:t>
                        </w:r>
                      </w:p>
                    </w:txbxContent>
                  </v:textbox>
                </v:shape>
                <v:shape id="Выноска со стрелкой вверх 26" o:spid="_x0000_s2255" type="#_x0000_t79" style="position:absolute;left:35555;top:30670;width:9144;height:9144;rotation:-173663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" adj="7565,,5400" filled="f" strokeweight="1pt">
                  <v:textbox inset="0,0,0,0">
                    <w:txbxContent>
                      <w:p w:rsidR="00BE40F8" w:rsidRPr="00894944" w:rsidRDefault="00BE40F8" w:rsidP="00B233DE">
                        <w:pPr>
                          <w:ind w:firstLine="0"/>
                          <w:jc w:val="center"/>
                          <w:rPr>
                            <w:rFonts w:ascii="Times New Roman" w:hAnsi="Times New Roman"/>
                            <w:color w:val="000000"/>
                          </w:rPr>
                        </w:pPr>
                        <w:r w:rsidRPr="00DC4493">
                          <w:rPr>
                            <w:rFonts w:ascii="Times New Roman" w:hAnsi="Times New Roman"/>
                            <w:color w:val="000000"/>
                            <w:sz w:val="16"/>
                            <w:szCs w:val="16"/>
                          </w:rPr>
                          <w:t>Природні фактори</w:t>
                        </w:r>
                      </w:p>
                    </w:txbxContent>
                  </v:textbox>
                </v:shape>
                <v:rect id="Прямоугольник 29" o:spid="_x0000_s2256" style="position:absolute;left:17335;top:15525;width:25103;height:114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" filled="f" stroked="f" strokeweight="2pt">
                  <v:textbox>
                    <w:txbxContent>
                      <w:p w:rsidR="000B0D3C" w:rsidRDefault="00BE40F8" w:rsidP="00B233DE">
                        <w:pPr>
                          <w:ind w:firstLine="0"/>
                          <w:jc w:val="center"/>
                          <w:rPr>
                            <w:rFonts w:ascii="Times New Roman" w:hAnsi="Times New Roman"/>
                            <w:color w:val="000000"/>
                            <w:sz w:val="16"/>
                            <w:szCs w:val="16"/>
                          </w:rPr>
                        </w:pPr>
                        <w:r w:rsidRPr="00DC4493">
                          <w:rPr>
                            <w:rFonts w:ascii="Times New Roman" w:hAnsi="Times New Roman"/>
                            <w:color w:val="000000"/>
                            <w:sz w:val="16"/>
                            <w:szCs w:val="16"/>
                          </w:rPr>
                          <w:t xml:space="preserve">Ефективне реформування комунальної власності </w:t>
                        </w:r>
                      </w:p>
                      <w:p w:rsidR="000B0D3C" w:rsidRDefault="00BE40F8" w:rsidP="00B233DE">
                        <w:pPr>
                          <w:ind w:firstLine="0"/>
                          <w:jc w:val="center"/>
                          <w:rPr>
                            <w:rFonts w:ascii="Times New Roman" w:hAnsi="Times New Roman"/>
                            <w:color w:val="000000"/>
                            <w:sz w:val="16"/>
                            <w:szCs w:val="16"/>
                          </w:rPr>
                        </w:pPr>
                        <w:r w:rsidRPr="00DC4493">
                          <w:rPr>
                            <w:rFonts w:ascii="Times New Roman" w:hAnsi="Times New Roman"/>
                            <w:color w:val="000000"/>
                            <w:sz w:val="16"/>
                            <w:szCs w:val="16"/>
                          </w:rPr>
                          <w:t xml:space="preserve">як матеріальної і фінансової основи соціальної </w:t>
                        </w:r>
                      </w:p>
                      <w:p w:rsidR="00BE40F8" w:rsidRPr="00DC4493" w:rsidRDefault="00BE40F8" w:rsidP="00B233DE">
                        <w:pPr>
                          <w:ind w:firstLine="0"/>
                          <w:jc w:val="center"/>
                          <w:rPr>
                            <w:rFonts w:ascii="Times New Roman" w:hAnsi="Times New Roman"/>
                            <w:color w:val="000000"/>
                            <w:sz w:val="16"/>
                            <w:szCs w:val="16"/>
                          </w:rPr>
                        </w:pPr>
                        <w:r w:rsidRPr="00DC4493">
                          <w:rPr>
                            <w:rFonts w:ascii="Times New Roman" w:hAnsi="Times New Roman"/>
                            <w:color w:val="000000"/>
                            <w:sz w:val="16"/>
                            <w:szCs w:val="16"/>
                          </w:rPr>
                          <w:t>регіональної політики</w:t>
                        </w:r>
                      </w:p>
                    </w:txbxContent>
                  </v:textbox>
                </v:rect>
              </v:group>
            </w:pict>
          </mc:Fallback>
        </mc:AlternateContent>
      </w:r>
    </w:p>
    <w:p w:rsidR="00B233DE" w:rsidRPr="00E76E5D" w:rsidRDefault="00B233DE" w:rsidP="00B233DE">
      <w:pPr>
        <w:spacing w:line="360" w:lineRule="auto"/>
        <w:ind w:firstLine="709"/>
        <w:jc w:val="center"/>
        <w:rPr>
          <w:rFonts w:ascii="Times New Roman" w:hAnsi="Times New Roman"/>
          <w:sz w:val="28"/>
          <w:szCs w:val="28"/>
        </w:rPr>
      </w:pPr>
    </w:p>
    <w:p w:rsidR="00B233DE" w:rsidRPr="00E76E5D" w:rsidRDefault="00B233DE" w:rsidP="00B233DE">
      <w:pPr>
        <w:spacing w:line="360" w:lineRule="auto"/>
        <w:ind w:firstLine="709"/>
        <w:jc w:val="center"/>
        <w:rPr>
          <w:rFonts w:ascii="Times New Roman" w:hAnsi="Times New Roman"/>
          <w:sz w:val="28"/>
          <w:szCs w:val="28"/>
        </w:rPr>
      </w:pPr>
    </w:p>
    <w:p w:rsidR="00B233DE" w:rsidRPr="00E76E5D" w:rsidRDefault="00B233DE" w:rsidP="00B233DE">
      <w:pPr>
        <w:spacing w:line="360" w:lineRule="auto"/>
        <w:ind w:firstLine="709"/>
        <w:jc w:val="center"/>
        <w:rPr>
          <w:rFonts w:ascii="Times New Roman" w:hAnsi="Times New Roman"/>
          <w:sz w:val="28"/>
          <w:szCs w:val="28"/>
        </w:rPr>
      </w:pPr>
    </w:p>
    <w:p w:rsidR="00B233DE" w:rsidRPr="00E76E5D" w:rsidRDefault="00B233DE" w:rsidP="00B233DE">
      <w:pPr>
        <w:spacing w:line="360" w:lineRule="auto"/>
        <w:ind w:firstLine="709"/>
        <w:jc w:val="center"/>
        <w:rPr>
          <w:rFonts w:ascii="Times New Roman" w:hAnsi="Times New Roman"/>
          <w:sz w:val="28"/>
          <w:szCs w:val="28"/>
        </w:rPr>
      </w:pPr>
    </w:p>
    <w:p w:rsidR="00B233DE" w:rsidRPr="00E76E5D" w:rsidRDefault="00B233DE" w:rsidP="00B233DE">
      <w:pPr>
        <w:spacing w:line="360" w:lineRule="auto"/>
        <w:ind w:firstLine="709"/>
        <w:jc w:val="center"/>
        <w:rPr>
          <w:rFonts w:ascii="Times New Roman" w:hAnsi="Times New Roman"/>
          <w:sz w:val="28"/>
          <w:szCs w:val="28"/>
        </w:rPr>
      </w:pPr>
    </w:p>
    <w:p w:rsidR="00B233DE" w:rsidRPr="00E76E5D" w:rsidRDefault="00B233DE" w:rsidP="00B233DE">
      <w:pPr>
        <w:spacing w:line="360" w:lineRule="auto"/>
        <w:ind w:firstLine="709"/>
        <w:jc w:val="center"/>
        <w:rPr>
          <w:rFonts w:ascii="Times New Roman" w:hAnsi="Times New Roman"/>
          <w:sz w:val="28"/>
          <w:szCs w:val="28"/>
        </w:rPr>
      </w:pPr>
    </w:p>
    <w:p w:rsidR="00B233DE" w:rsidRPr="00E76E5D" w:rsidRDefault="00B233DE" w:rsidP="00B233DE">
      <w:pPr>
        <w:spacing w:line="360" w:lineRule="auto"/>
        <w:ind w:firstLine="709"/>
        <w:jc w:val="center"/>
        <w:rPr>
          <w:rFonts w:ascii="Times New Roman" w:hAnsi="Times New Roman"/>
          <w:sz w:val="28"/>
          <w:szCs w:val="28"/>
        </w:rPr>
      </w:pPr>
    </w:p>
    <w:p w:rsidR="00B233DE" w:rsidRPr="00E76E5D" w:rsidRDefault="00B233DE" w:rsidP="00B233DE">
      <w:pPr>
        <w:spacing w:line="360" w:lineRule="auto"/>
        <w:ind w:firstLine="709"/>
        <w:jc w:val="center"/>
        <w:rPr>
          <w:rFonts w:ascii="Times New Roman" w:hAnsi="Times New Roman"/>
          <w:sz w:val="28"/>
          <w:szCs w:val="28"/>
        </w:rPr>
      </w:pPr>
    </w:p>
    <w:p w:rsidR="00B233DE" w:rsidRPr="00E76E5D" w:rsidRDefault="00B233DE" w:rsidP="00B233DE">
      <w:pPr>
        <w:tabs>
          <w:tab w:val="left" w:pos="5787"/>
        </w:tabs>
        <w:spacing w:line="360" w:lineRule="auto"/>
        <w:ind w:firstLine="709"/>
        <w:jc w:val="center"/>
        <w:rPr>
          <w:rFonts w:ascii="Times New Roman" w:hAnsi="Times New Roman"/>
          <w:sz w:val="28"/>
          <w:szCs w:val="28"/>
        </w:rPr>
      </w:pPr>
    </w:p>
    <w:p w:rsidR="00B233DE" w:rsidRPr="00E76E5D" w:rsidRDefault="00B233DE" w:rsidP="00B233DE">
      <w:pPr>
        <w:spacing w:line="360" w:lineRule="auto"/>
        <w:ind w:firstLine="709"/>
        <w:jc w:val="center"/>
        <w:rPr>
          <w:rFonts w:ascii="Times New Roman" w:hAnsi="Times New Roman"/>
          <w:sz w:val="28"/>
          <w:szCs w:val="28"/>
        </w:rPr>
      </w:pPr>
    </w:p>
    <w:p w:rsidR="00B233DE" w:rsidRDefault="00B233DE" w:rsidP="00B233DE">
      <w:pPr>
        <w:ind w:firstLine="709"/>
        <w:jc w:val="center"/>
        <w:rPr>
          <w:rFonts w:ascii="Times New Roman" w:hAnsi="Times New Roman"/>
          <w:sz w:val="21"/>
          <w:szCs w:val="21"/>
        </w:rPr>
      </w:pPr>
    </w:p>
    <w:p w:rsidR="00B233DE" w:rsidRDefault="00B233DE" w:rsidP="00B233DE">
      <w:pPr>
        <w:ind w:firstLine="709"/>
        <w:jc w:val="center"/>
        <w:rPr>
          <w:rFonts w:ascii="Times New Roman" w:hAnsi="Times New Roman"/>
          <w:sz w:val="21"/>
          <w:szCs w:val="21"/>
        </w:rPr>
      </w:pPr>
    </w:p>
    <w:p w:rsidR="00B233DE" w:rsidRDefault="00B233DE" w:rsidP="00B233DE">
      <w:pPr>
        <w:ind w:firstLine="709"/>
        <w:jc w:val="center"/>
        <w:rPr>
          <w:rFonts w:ascii="Times New Roman" w:hAnsi="Times New Roman"/>
          <w:sz w:val="21"/>
          <w:szCs w:val="21"/>
        </w:rPr>
      </w:pPr>
    </w:p>
    <w:p w:rsidR="00B233DE" w:rsidRDefault="00B233DE" w:rsidP="00B233DE">
      <w:pPr>
        <w:ind w:firstLine="709"/>
        <w:jc w:val="center"/>
        <w:rPr>
          <w:rFonts w:ascii="Times New Roman" w:hAnsi="Times New Roman"/>
          <w:sz w:val="21"/>
          <w:szCs w:val="21"/>
        </w:rPr>
      </w:pPr>
    </w:p>
    <w:p w:rsidR="00B233DE" w:rsidRPr="0063684C" w:rsidRDefault="00B233DE" w:rsidP="00B233DE">
      <w:pPr>
        <w:ind w:firstLine="709"/>
        <w:jc w:val="center"/>
        <w:rPr>
          <w:rFonts w:ascii="Times New Roman" w:hAnsi="Times New Roman"/>
          <w:b/>
          <w:sz w:val="21"/>
          <w:szCs w:val="21"/>
        </w:rPr>
      </w:pPr>
      <w:r w:rsidRPr="0063684C">
        <w:rPr>
          <w:rFonts w:ascii="Times New Roman" w:hAnsi="Times New Roman"/>
          <w:b/>
          <w:sz w:val="21"/>
          <w:szCs w:val="21"/>
        </w:rPr>
        <w:t xml:space="preserve">Рис. 6.2. Людський фактор у реформуванні комунальної власності як матеріальної </w:t>
      </w:r>
      <w:r w:rsidR="00291F85">
        <w:rPr>
          <w:rFonts w:ascii="Times New Roman" w:hAnsi="Times New Roman"/>
          <w:b/>
          <w:sz w:val="21"/>
          <w:szCs w:val="21"/>
        </w:rPr>
        <w:t>та</w:t>
      </w:r>
      <w:r w:rsidRPr="0063684C">
        <w:rPr>
          <w:rFonts w:ascii="Times New Roman" w:hAnsi="Times New Roman"/>
          <w:b/>
          <w:sz w:val="21"/>
          <w:szCs w:val="21"/>
        </w:rPr>
        <w:t xml:space="preserve"> фінансової основи соціальної регіональної політики</w:t>
      </w:r>
    </w:p>
    <w:p w:rsidR="00B233DE" w:rsidRDefault="00B233DE" w:rsidP="00B233DE">
      <w:pPr>
        <w:pStyle w:val="ad"/>
        <w:widowControl w:val="0"/>
        <w:tabs>
          <w:tab w:val="left" w:pos="1134"/>
        </w:tabs>
        <w:ind w:left="0" w:firstLine="709"/>
        <w:jc w:val="both"/>
        <w:rPr>
          <w:rStyle w:val="rvts0"/>
          <w:rFonts w:ascii="Times New Roman" w:hAnsi="Times New Roman"/>
          <w:sz w:val="21"/>
          <w:szCs w:val="21"/>
        </w:rPr>
      </w:pPr>
    </w:p>
    <w:p w:rsidR="00B233DE" w:rsidRPr="00E34C14" w:rsidRDefault="00B233DE" w:rsidP="00B233DE">
      <w:pPr>
        <w:pStyle w:val="ad"/>
        <w:widowControl w:val="0"/>
        <w:tabs>
          <w:tab w:val="left" w:pos="1134"/>
        </w:tabs>
        <w:ind w:left="0" w:firstLine="709"/>
        <w:jc w:val="both"/>
        <w:rPr>
          <w:rStyle w:val="rvts0"/>
          <w:rFonts w:ascii="Times New Roman" w:hAnsi="Times New Roman"/>
          <w:sz w:val="21"/>
          <w:szCs w:val="21"/>
        </w:rPr>
      </w:pPr>
      <w:r w:rsidRPr="00E34C14">
        <w:rPr>
          <w:rStyle w:val="rvts0"/>
          <w:rFonts w:ascii="Times New Roman" w:hAnsi="Times New Roman"/>
          <w:sz w:val="21"/>
          <w:szCs w:val="21"/>
        </w:rPr>
        <w:t>У такому контексті слід підкреслити виключно важливе значення органів самоорганізації населення як інституту, що забезпечує ефективне використання різних форм прямої демократії та поліпшення якості громадських послуг, що надаються населенню у системі місцевого самоврядування.</w:t>
      </w:r>
    </w:p>
    <w:p w:rsidR="00B233DE" w:rsidRPr="00E34C14" w:rsidRDefault="00B233DE" w:rsidP="00B233DE">
      <w:pPr>
        <w:pStyle w:val="ad"/>
        <w:widowControl w:val="0"/>
        <w:tabs>
          <w:tab w:val="left" w:pos="1134"/>
        </w:tabs>
        <w:ind w:left="0" w:firstLine="709"/>
        <w:jc w:val="both"/>
        <w:rPr>
          <w:rStyle w:val="rvts0"/>
          <w:rFonts w:ascii="Times New Roman" w:hAnsi="Times New Roman"/>
          <w:sz w:val="21"/>
          <w:szCs w:val="21"/>
        </w:rPr>
      </w:pPr>
      <w:r w:rsidRPr="00E34C14">
        <w:rPr>
          <w:rStyle w:val="rvts0"/>
          <w:rFonts w:ascii="Times New Roman" w:hAnsi="Times New Roman"/>
          <w:sz w:val="21"/>
          <w:szCs w:val="21"/>
        </w:rPr>
        <w:t xml:space="preserve">Відповідно до Закону України «Про органи самоорганізації </w:t>
      </w:r>
      <w:r w:rsidRPr="00E34C14">
        <w:rPr>
          <w:rStyle w:val="rvts0"/>
          <w:rFonts w:ascii="Times New Roman" w:hAnsi="Times New Roman"/>
          <w:sz w:val="21"/>
          <w:szCs w:val="21"/>
        </w:rPr>
        <w:lastRenderedPageBreak/>
        <w:t>населення» органи самоорганізації населення – це представницькі органи, що створюються жителями, які на законних під</w:t>
      </w:r>
      <w:r w:rsidR="00A61E33">
        <w:rPr>
          <w:rStyle w:val="rvts0"/>
          <w:rFonts w:ascii="Times New Roman" w:hAnsi="Times New Roman"/>
          <w:sz w:val="21"/>
          <w:szCs w:val="21"/>
        </w:rPr>
        <w:t xml:space="preserve">ставах проживають на території </w:t>
      </w:r>
      <w:r w:rsidRPr="00E34C14">
        <w:rPr>
          <w:rStyle w:val="rvts0"/>
          <w:rFonts w:ascii="Times New Roman" w:hAnsi="Times New Roman"/>
          <w:sz w:val="21"/>
          <w:szCs w:val="21"/>
        </w:rPr>
        <w:t>села, селища, міста або їх частин, для вирішення таких завдань:</w:t>
      </w:r>
    </w:p>
    <w:p w:rsidR="00B233DE" w:rsidRPr="00E34C14" w:rsidRDefault="00B233DE" w:rsidP="00B233DE">
      <w:pPr>
        <w:pStyle w:val="ad"/>
        <w:widowControl w:val="0"/>
        <w:numPr>
          <w:ilvl w:val="0"/>
          <w:numId w:val="47"/>
        </w:numPr>
        <w:tabs>
          <w:tab w:val="left" w:pos="993"/>
        </w:tabs>
        <w:ind w:left="0" w:firstLine="709"/>
        <w:jc w:val="both"/>
        <w:rPr>
          <w:rStyle w:val="rvts0"/>
          <w:rFonts w:ascii="Times New Roman" w:hAnsi="Times New Roman"/>
          <w:sz w:val="21"/>
          <w:szCs w:val="21"/>
        </w:rPr>
      </w:pPr>
      <w:r w:rsidRPr="00E34C14">
        <w:rPr>
          <w:rStyle w:val="rvts0"/>
          <w:rFonts w:ascii="Times New Roman" w:hAnsi="Times New Roman"/>
          <w:sz w:val="21"/>
          <w:szCs w:val="21"/>
        </w:rPr>
        <w:t xml:space="preserve">створення умов для участі жителів у вирішенні питань місцевого значення в межах Конституції і законів України; </w:t>
      </w:r>
    </w:p>
    <w:p w:rsidR="00B233DE" w:rsidRPr="00E34C14" w:rsidRDefault="00B233DE" w:rsidP="00B233DE">
      <w:pPr>
        <w:pStyle w:val="ad"/>
        <w:widowControl w:val="0"/>
        <w:numPr>
          <w:ilvl w:val="0"/>
          <w:numId w:val="47"/>
        </w:numPr>
        <w:tabs>
          <w:tab w:val="left" w:pos="993"/>
        </w:tabs>
        <w:ind w:left="0" w:firstLine="709"/>
        <w:jc w:val="both"/>
        <w:rPr>
          <w:rStyle w:val="rvts0"/>
          <w:rFonts w:ascii="Times New Roman" w:hAnsi="Times New Roman"/>
          <w:sz w:val="21"/>
          <w:szCs w:val="21"/>
        </w:rPr>
      </w:pPr>
      <w:bookmarkStart w:id="532" w:name="o19"/>
      <w:bookmarkEnd w:id="532"/>
      <w:r w:rsidRPr="00E34C14">
        <w:rPr>
          <w:rStyle w:val="rvts0"/>
          <w:rFonts w:ascii="Times New Roman" w:hAnsi="Times New Roman"/>
          <w:sz w:val="21"/>
          <w:szCs w:val="21"/>
        </w:rPr>
        <w:t xml:space="preserve">задоволення соціальних, культурних, побутових та інших потреб жителів шляхом сприяння у наданні їм відповідних послуг; </w:t>
      </w:r>
    </w:p>
    <w:p w:rsidR="00B233DE" w:rsidRPr="00E34C14" w:rsidRDefault="00B233DE" w:rsidP="00B233DE">
      <w:pPr>
        <w:pStyle w:val="ad"/>
        <w:widowControl w:val="0"/>
        <w:numPr>
          <w:ilvl w:val="0"/>
          <w:numId w:val="47"/>
        </w:numPr>
        <w:tabs>
          <w:tab w:val="left" w:pos="993"/>
        </w:tabs>
        <w:ind w:left="0" w:firstLine="709"/>
        <w:jc w:val="both"/>
        <w:rPr>
          <w:rStyle w:val="rvts0"/>
          <w:rFonts w:ascii="Times New Roman" w:hAnsi="Times New Roman"/>
          <w:sz w:val="21"/>
          <w:szCs w:val="21"/>
        </w:rPr>
      </w:pPr>
      <w:bookmarkStart w:id="533" w:name="o20"/>
      <w:bookmarkEnd w:id="533"/>
      <w:r w:rsidRPr="00E34C14">
        <w:rPr>
          <w:rStyle w:val="rvts0"/>
          <w:rFonts w:ascii="Times New Roman" w:hAnsi="Times New Roman"/>
          <w:sz w:val="21"/>
          <w:szCs w:val="21"/>
        </w:rPr>
        <w:t>участь у реалізації соціально-економічного, культурного розвитку відповідної території, інших місцевих програм</w:t>
      </w:r>
      <w:r w:rsidR="00FC3E63">
        <w:rPr>
          <w:rStyle w:val="rvts0"/>
          <w:rFonts w:ascii="Times New Roman" w:hAnsi="Times New Roman"/>
          <w:sz w:val="21"/>
          <w:szCs w:val="21"/>
        </w:rPr>
        <w:t xml:space="preserve"> </w:t>
      </w:r>
      <w:r w:rsidR="00FC3E63" w:rsidRPr="00E34C14">
        <w:rPr>
          <w:rStyle w:val="rvts0"/>
          <w:rFonts w:ascii="Times New Roman" w:hAnsi="Times New Roman"/>
          <w:sz w:val="21"/>
          <w:szCs w:val="21"/>
        </w:rPr>
        <w:t>[</w:t>
      </w:r>
      <w:r w:rsidR="00FC3E63">
        <w:rPr>
          <w:rFonts w:ascii="Times New Roman" w:hAnsi="Times New Roman" w:cs="Times New Roman"/>
          <w:bCs/>
          <w:color w:val="000000" w:themeColor="text1"/>
          <w:sz w:val="21"/>
          <w:szCs w:val="21"/>
          <w:highlight w:val="yellow"/>
        </w:rPr>
        <w:fldChar w:fldCharType="begin"/>
      </w:r>
      <w:r w:rsidR="00FC3E63">
        <w:rPr>
          <w:rStyle w:val="rvts0"/>
          <w:rFonts w:ascii="Times New Roman" w:hAnsi="Times New Roman"/>
          <w:sz w:val="21"/>
          <w:szCs w:val="21"/>
        </w:rPr>
        <w:instrText xml:space="preserve"> REF _Ref436211351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Style w:val="rvts0"/>
          <w:rFonts w:ascii="Times New Roman" w:hAnsi="Times New Roman"/>
          <w:sz w:val="21"/>
          <w:szCs w:val="21"/>
        </w:rPr>
        <w:t>36</w:t>
      </w:r>
      <w:r w:rsidR="00FC3E63">
        <w:rPr>
          <w:rFonts w:ascii="Times New Roman" w:hAnsi="Times New Roman" w:cs="Times New Roman"/>
          <w:bCs/>
          <w:color w:val="000000" w:themeColor="text1"/>
          <w:sz w:val="21"/>
          <w:szCs w:val="21"/>
          <w:highlight w:val="yellow"/>
        </w:rPr>
        <w:fldChar w:fldCharType="end"/>
      </w:r>
      <w:r w:rsidR="00FC3E63" w:rsidRPr="00E34C14">
        <w:rPr>
          <w:rStyle w:val="rvts0"/>
          <w:rFonts w:ascii="Times New Roman" w:hAnsi="Times New Roman"/>
          <w:sz w:val="21"/>
          <w:szCs w:val="21"/>
        </w:rPr>
        <w:t>]</w:t>
      </w:r>
      <w:r w:rsidRPr="00E34C14">
        <w:rPr>
          <w:rStyle w:val="rvts0"/>
          <w:rFonts w:ascii="Times New Roman" w:hAnsi="Times New Roman"/>
          <w:sz w:val="21"/>
          <w:szCs w:val="21"/>
        </w:rPr>
        <w:t>.</w:t>
      </w:r>
    </w:p>
    <w:p w:rsidR="00B233DE" w:rsidRPr="00E34C14" w:rsidRDefault="00B233DE" w:rsidP="00B233DE">
      <w:pPr>
        <w:pStyle w:val="ad"/>
        <w:widowControl w:val="0"/>
        <w:tabs>
          <w:tab w:val="left" w:pos="1134"/>
        </w:tabs>
        <w:ind w:left="0" w:firstLine="709"/>
        <w:jc w:val="both"/>
        <w:rPr>
          <w:rStyle w:val="rvts0"/>
          <w:rFonts w:ascii="Times New Roman" w:hAnsi="Times New Roman"/>
          <w:sz w:val="21"/>
          <w:szCs w:val="21"/>
        </w:rPr>
      </w:pPr>
      <w:r w:rsidRPr="00E34C14">
        <w:rPr>
          <w:rStyle w:val="rvts0"/>
          <w:rFonts w:ascii="Times New Roman" w:hAnsi="Times New Roman"/>
          <w:sz w:val="21"/>
          <w:szCs w:val="21"/>
        </w:rPr>
        <w:t xml:space="preserve">Орган самоорганізації населення створюється за територіальною ознакою. </w:t>
      </w:r>
      <w:bookmarkStart w:id="534" w:name="o39"/>
      <w:bookmarkEnd w:id="534"/>
      <w:r w:rsidRPr="00E34C14">
        <w:rPr>
          <w:rStyle w:val="rvts0"/>
          <w:rFonts w:ascii="Times New Roman" w:hAnsi="Times New Roman"/>
          <w:sz w:val="21"/>
          <w:szCs w:val="21"/>
        </w:rPr>
        <w:t xml:space="preserve">Територією, у межах якої діє орган самоорганізації населення, може бути частина території села, селища, міста, району у місті, у межах якої проживають жителі, які обрали цей орган. </w:t>
      </w:r>
    </w:p>
    <w:p w:rsidR="00B233DE" w:rsidRPr="00E34C14" w:rsidRDefault="00B233DE" w:rsidP="00B233DE">
      <w:pPr>
        <w:pStyle w:val="ad"/>
        <w:widowControl w:val="0"/>
        <w:tabs>
          <w:tab w:val="left" w:pos="1134"/>
        </w:tabs>
        <w:ind w:left="0" w:firstLine="709"/>
        <w:jc w:val="both"/>
        <w:rPr>
          <w:rStyle w:val="rvts0"/>
          <w:rFonts w:ascii="Times New Roman" w:hAnsi="Times New Roman"/>
          <w:sz w:val="21"/>
          <w:szCs w:val="21"/>
        </w:rPr>
      </w:pPr>
      <w:bookmarkStart w:id="535" w:name="o40"/>
      <w:bookmarkEnd w:id="535"/>
      <w:r w:rsidRPr="00E34C14">
        <w:rPr>
          <w:rStyle w:val="rvts0"/>
          <w:rFonts w:ascii="Times New Roman" w:hAnsi="Times New Roman"/>
          <w:sz w:val="21"/>
          <w:szCs w:val="21"/>
        </w:rPr>
        <w:t xml:space="preserve">Територія, у межах якої діє орган самоорганізації населення, визначається рішенням ради, яка дала дозвіл на створення: </w:t>
      </w:r>
    </w:p>
    <w:p w:rsidR="00B233DE" w:rsidRPr="00E34C14" w:rsidRDefault="00B233DE" w:rsidP="00B233DE">
      <w:pPr>
        <w:pStyle w:val="ad"/>
        <w:widowControl w:val="0"/>
        <w:numPr>
          <w:ilvl w:val="0"/>
          <w:numId w:val="48"/>
        </w:numPr>
        <w:tabs>
          <w:tab w:val="left" w:pos="993"/>
        </w:tabs>
        <w:ind w:left="0" w:firstLine="709"/>
        <w:jc w:val="both"/>
        <w:rPr>
          <w:rStyle w:val="rvts0"/>
          <w:rFonts w:ascii="Times New Roman" w:hAnsi="Times New Roman"/>
          <w:sz w:val="21"/>
          <w:szCs w:val="21"/>
        </w:rPr>
      </w:pPr>
      <w:bookmarkStart w:id="536" w:name="o41"/>
      <w:bookmarkEnd w:id="536"/>
      <w:r w:rsidRPr="00E34C14">
        <w:rPr>
          <w:rStyle w:val="rvts0"/>
          <w:rFonts w:ascii="Times New Roman" w:hAnsi="Times New Roman"/>
          <w:sz w:val="21"/>
          <w:szCs w:val="21"/>
        </w:rPr>
        <w:t xml:space="preserve">сільського, селищного комітету – у межах території села, селища; </w:t>
      </w:r>
    </w:p>
    <w:p w:rsidR="00B233DE" w:rsidRPr="00E34C14" w:rsidRDefault="00B233DE" w:rsidP="00B233DE">
      <w:pPr>
        <w:pStyle w:val="ad"/>
        <w:widowControl w:val="0"/>
        <w:numPr>
          <w:ilvl w:val="0"/>
          <w:numId w:val="48"/>
        </w:numPr>
        <w:tabs>
          <w:tab w:val="left" w:pos="993"/>
        </w:tabs>
        <w:ind w:left="0" w:firstLine="709"/>
        <w:jc w:val="both"/>
        <w:rPr>
          <w:rStyle w:val="rvts0"/>
          <w:rFonts w:ascii="Times New Roman" w:hAnsi="Times New Roman"/>
          <w:sz w:val="21"/>
          <w:szCs w:val="21"/>
        </w:rPr>
      </w:pPr>
      <w:bookmarkStart w:id="537" w:name="o42"/>
      <w:bookmarkEnd w:id="537"/>
      <w:r w:rsidRPr="00E34C14">
        <w:rPr>
          <w:rStyle w:val="rvts0"/>
          <w:rFonts w:ascii="Times New Roman" w:hAnsi="Times New Roman"/>
          <w:sz w:val="21"/>
          <w:szCs w:val="21"/>
        </w:rPr>
        <w:t xml:space="preserve">вуличного, квартального комітету – у межах території кварталу, кількох, однієї або частини вулиці з прилеглими провулками у місцях індивідуальної забудови; </w:t>
      </w:r>
    </w:p>
    <w:p w:rsidR="00B233DE" w:rsidRPr="00E34C14" w:rsidRDefault="00B233DE" w:rsidP="00B233DE">
      <w:pPr>
        <w:pStyle w:val="ad"/>
        <w:widowControl w:val="0"/>
        <w:numPr>
          <w:ilvl w:val="0"/>
          <w:numId w:val="48"/>
        </w:numPr>
        <w:tabs>
          <w:tab w:val="left" w:pos="993"/>
        </w:tabs>
        <w:ind w:left="0" w:firstLine="709"/>
        <w:jc w:val="both"/>
        <w:rPr>
          <w:rStyle w:val="rvts0"/>
          <w:rFonts w:ascii="Times New Roman" w:hAnsi="Times New Roman"/>
          <w:sz w:val="21"/>
          <w:szCs w:val="21"/>
        </w:rPr>
      </w:pPr>
      <w:bookmarkStart w:id="538" w:name="o43"/>
      <w:bookmarkEnd w:id="538"/>
      <w:r w:rsidRPr="00E34C14">
        <w:rPr>
          <w:rStyle w:val="rvts0"/>
          <w:rFonts w:ascii="Times New Roman" w:hAnsi="Times New Roman"/>
          <w:sz w:val="21"/>
          <w:szCs w:val="21"/>
        </w:rPr>
        <w:t xml:space="preserve">комітету мікрорайону – у межах території окремого мікрорайону, житлово-експлуатаційної організації у містах; </w:t>
      </w:r>
    </w:p>
    <w:p w:rsidR="00B233DE" w:rsidRPr="00E34C14" w:rsidRDefault="00B233DE" w:rsidP="00B233DE">
      <w:pPr>
        <w:pStyle w:val="ad"/>
        <w:widowControl w:val="0"/>
        <w:numPr>
          <w:ilvl w:val="0"/>
          <w:numId w:val="48"/>
        </w:numPr>
        <w:tabs>
          <w:tab w:val="left" w:pos="993"/>
        </w:tabs>
        <w:ind w:left="0" w:firstLine="709"/>
        <w:jc w:val="both"/>
        <w:rPr>
          <w:rStyle w:val="rvts0"/>
          <w:rFonts w:ascii="Times New Roman" w:hAnsi="Times New Roman"/>
          <w:sz w:val="21"/>
          <w:szCs w:val="21"/>
        </w:rPr>
      </w:pPr>
      <w:bookmarkStart w:id="539" w:name="o44"/>
      <w:bookmarkEnd w:id="539"/>
      <w:r w:rsidRPr="00E34C14">
        <w:rPr>
          <w:rStyle w:val="rvts0"/>
          <w:rFonts w:ascii="Times New Roman" w:hAnsi="Times New Roman"/>
          <w:sz w:val="21"/>
          <w:szCs w:val="21"/>
        </w:rPr>
        <w:t xml:space="preserve">будинкового комітету – у межах будинку (кількох будинків) у державному і громадському житловому фонді та фонді житлово-будівельних кооперативів; </w:t>
      </w:r>
    </w:p>
    <w:p w:rsidR="00B233DE" w:rsidRPr="00E34C14" w:rsidRDefault="00B233DE" w:rsidP="00B233DE">
      <w:pPr>
        <w:pStyle w:val="ad"/>
        <w:widowControl w:val="0"/>
        <w:numPr>
          <w:ilvl w:val="0"/>
          <w:numId w:val="48"/>
        </w:numPr>
        <w:tabs>
          <w:tab w:val="left" w:pos="993"/>
        </w:tabs>
        <w:ind w:left="0" w:firstLine="709"/>
        <w:jc w:val="both"/>
        <w:rPr>
          <w:rStyle w:val="rvts0"/>
          <w:rFonts w:ascii="Times New Roman" w:hAnsi="Times New Roman"/>
          <w:sz w:val="21"/>
          <w:szCs w:val="21"/>
        </w:rPr>
      </w:pPr>
      <w:bookmarkStart w:id="540" w:name="o45"/>
      <w:bookmarkEnd w:id="540"/>
      <w:r w:rsidRPr="00E34C14">
        <w:rPr>
          <w:rStyle w:val="rvts0"/>
          <w:rFonts w:ascii="Times New Roman" w:hAnsi="Times New Roman"/>
          <w:sz w:val="21"/>
          <w:szCs w:val="21"/>
        </w:rPr>
        <w:t>комітету району у місті – у межах одного або кількох районів у місті.</w:t>
      </w:r>
    </w:p>
    <w:p w:rsidR="00B233DE" w:rsidRPr="00E34C14" w:rsidRDefault="00B233DE" w:rsidP="00B233DE">
      <w:pPr>
        <w:pStyle w:val="ad"/>
        <w:widowControl w:val="0"/>
        <w:tabs>
          <w:tab w:val="left" w:pos="1134"/>
        </w:tabs>
        <w:ind w:left="0" w:firstLine="709"/>
        <w:jc w:val="both"/>
        <w:rPr>
          <w:rStyle w:val="rvts0"/>
          <w:rFonts w:ascii="Times New Roman" w:hAnsi="Times New Roman"/>
          <w:sz w:val="21"/>
          <w:szCs w:val="21"/>
        </w:rPr>
      </w:pPr>
      <w:r w:rsidRPr="00E34C14">
        <w:rPr>
          <w:rStyle w:val="rvts0"/>
          <w:rFonts w:ascii="Times New Roman" w:hAnsi="Times New Roman"/>
          <w:sz w:val="21"/>
          <w:szCs w:val="21"/>
        </w:rPr>
        <w:t xml:space="preserve">Органу самоорганізації населення у межах території його діяльності під час його утворення можуть надаватися такі повноваження: </w:t>
      </w:r>
    </w:p>
    <w:p w:rsidR="00B233DE" w:rsidRPr="00E34C14" w:rsidRDefault="00B233DE" w:rsidP="00B233DE">
      <w:pPr>
        <w:pStyle w:val="ad"/>
        <w:widowControl w:val="0"/>
        <w:numPr>
          <w:ilvl w:val="0"/>
          <w:numId w:val="49"/>
        </w:numPr>
        <w:tabs>
          <w:tab w:val="left" w:pos="993"/>
        </w:tabs>
        <w:ind w:left="0" w:firstLine="709"/>
        <w:jc w:val="both"/>
        <w:rPr>
          <w:rStyle w:val="rvts0"/>
          <w:rFonts w:ascii="Times New Roman" w:hAnsi="Times New Roman"/>
          <w:sz w:val="21"/>
          <w:szCs w:val="21"/>
        </w:rPr>
      </w:pPr>
      <w:bookmarkStart w:id="541" w:name="o106"/>
      <w:bookmarkEnd w:id="541"/>
      <w:r w:rsidRPr="00E34C14">
        <w:rPr>
          <w:rStyle w:val="rvts0"/>
          <w:rFonts w:ascii="Times New Roman" w:hAnsi="Times New Roman"/>
          <w:sz w:val="21"/>
          <w:szCs w:val="21"/>
        </w:rPr>
        <w:t xml:space="preserve">представляти разом з депутатами інтереси жителів будинку, вулиці, мікрорайону, села, селища, міста у відповідній місцевій раді та її органах, місцевих органах виконавчої влади; </w:t>
      </w:r>
    </w:p>
    <w:p w:rsidR="00B233DE" w:rsidRPr="00E34C14" w:rsidRDefault="00B233DE" w:rsidP="00B233DE">
      <w:pPr>
        <w:pStyle w:val="ad"/>
        <w:widowControl w:val="0"/>
        <w:numPr>
          <w:ilvl w:val="0"/>
          <w:numId w:val="49"/>
        </w:numPr>
        <w:tabs>
          <w:tab w:val="left" w:pos="993"/>
        </w:tabs>
        <w:ind w:left="0" w:firstLine="709"/>
        <w:jc w:val="both"/>
        <w:rPr>
          <w:rStyle w:val="rvts0"/>
          <w:rFonts w:ascii="Times New Roman" w:hAnsi="Times New Roman"/>
          <w:sz w:val="21"/>
          <w:szCs w:val="21"/>
        </w:rPr>
      </w:pPr>
      <w:bookmarkStart w:id="542" w:name="o107"/>
      <w:bookmarkEnd w:id="542"/>
      <w:r w:rsidRPr="00E34C14">
        <w:rPr>
          <w:rStyle w:val="rvts0"/>
          <w:rFonts w:ascii="Times New Roman" w:hAnsi="Times New Roman"/>
          <w:sz w:val="21"/>
          <w:szCs w:val="21"/>
        </w:rPr>
        <w:t xml:space="preserve">сприяти додержанню Конституції та законів України, </w:t>
      </w:r>
      <w:r w:rsidRPr="00E34C14">
        <w:rPr>
          <w:rStyle w:val="rvts0"/>
          <w:rFonts w:ascii="Times New Roman" w:hAnsi="Times New Roman"/>
          <w:sz w:val="21"/>
          <w:szCs w:val="21"/>
        </w:rPr>
        <w:lastRenderedPageBreak/>
        <w:t xml:space="preserve">реалізації інших нормативно-правових документів органів виконавчої влади та місцевого самоврядування; </w:t>
      </w:r>
    </w:p>
    <w:p w:rsidR="00B233DE" w:rsidRPr="00E34C14" w:rsidRDefault="00B233DE" w:rsidP="00B233DE">
      <w:pPr>
        <w:pStyle w:val="ad"/>
        <w:widowControl w:val="0"/>
        <w:numPr>
          <w:ilvl w:val="0"/>
          <w:numId w:val="49"/>
        </w:numPr>
        <w:tabs>
          <w:tab w:val="left" w:pos="993"/>
        </w:tabs>
        <w:ind w:left="0" w:firstLine="709"/>
        <w:jc w:val="both"/>
        <w:rPr>
          <w:rStyle w:val="rvts0"/>
          <w:rFonts w:ascii="Times New Roman" w:hAnsi="Times New Roman"/>
          <w:sz w:val="21"/>
          <w:szCs w:val="21"/>
        </w:rPr>
      </w:pPr>
      <w:bookmarkStart w:id="543" w:name="o108"/>
      <w:bookmarkEnd w:id="543"/>
      <w:r w:rsidRPr="00E34C14">
        <w:rPr>
          <w:rStyle w:val="rvts0"/>
          <w:rFonts w:ascii="Times New Roman" w:hAnsi="Times New Roman"/>
          <w:sz w:val="21"/>
          <w:szCs w:val="21"/>
        </w:rPr>
        <w:t xml:space="preserve">вносити у встановленому порядку пропозиції до проектів місцевих програм соціально-економічного і культурного розвитку відповідних адміністративно-територіальних одиниць та проектів місцевих бюджетів; </w:t>
      </w:r>
    </w:p>
    <w:p w:rsidR="00B233DE" w:rsidRPr="00E34C14" w:rsidRDefault="00B233DE" w:rsidP="00B233DE">
      <w:pPr>
        <w:pStyle w:val="ad"/>
        <w:widowControl w:val="0"/>
        <w:numPr>
          <w:ilvl w:val="0"/>
          <w:numId w:val="49"/>
        </w:numPr>
        <w:tabs>
          <w:tab w:val="left" w:pos="993"/>
        </w:tabs>
        <w:ind w:left="0" w:firstLine="709"/>
        <w:jc w:val="both"/>
        <w:rPr>
          <w:rStyle w:val="rvts0"/>
          <w:rFonts w:ascii="Times New Roman" w:hAnsi="Times New Roman"/>
          <w:sz w:val="21"/>
          <w:szCs w:val="21"/>
        </w:rPr>
      </w:pPr>
      <w:bookmarkStart w:id="544" w:name="o109"/>
      <w:bookmarkEnd w:id="544"/>
      <w:r w:rsidRPr="00E34C14">
        <w:rPr>
          <w:rStyle w:val="rvts0"/>
          <w:rFonts w:ascii="Times New Roman" w:hAnsi="Times New Roman"/>
          <w:sz w:val="21"/>
          <w:szCs w:val="21"/>
        </w:rPr>
        <w:t xml:space="preserve">організовувати на добровільних засадах участь населення у здійсненні заходів щодо охорони навколишнього природного середовища, проведення робіт з благоустрою ліквідації наслідків стихійного лиха, будівництва і ремонту шляхів, тротуарів, комунальних мереж, об’єктів загального користування; </w:t>
      </w:r>
    </w:p>
    <w:p w:rsidR="00B233DE" w:rsidRPr="00E34C14" w:rsidRDefault="00B233DE" w:rsidP="00B233DE">
      <w:pPr>
        <w:pStyle w:val="ad"/>
        <w:widowControl w:val="0"/>
        <w:numPr>
          <w:ilvl w:val="0"/>
          <w:numId w:val="49"/>
        </w:numPr>
        <w:tabs>
          <w:tab w:val="left" w:pos="993"/>
        </w:tabs>
        <w:ind w:left="0" w:firstLine="709"/>
        <w:jc w:val="both"/>
        <w:rPr>
          <w:rStyle w:val="rvts0"/>
          <w:rFonts w:ascii="Times New Roman" w:hAnsi="Times New Roman"/>
          <w:sz w:val="21"/>
          <w:szCs w:val="21"/>
        </w:rPr>
      </w:pPr>
      <w:bookmarkStart w:id="545" w:name="o111"/>
      <w:bookmarkEnd w:id="545"/>
      <w:r w:rsidRPr="00E34C14">
        <w:rPr>
          <w:rStyle w:val="rvts0"/>
          <w:rFonts w:ascii="Times New Roman" w:hAnsi="Times New Roman"/>
          <w:sz w:val="21"/>
          <w:szCs w:val="21"/>
        </w:rPr>
        <w:t xml:space="preserve">здійснювати контроль за якістю житлово-комунальних послуг та за якістю проведених у зазначених житлових будинках ремонтних робіт; </w:t>
      </w:r>
    </w:p>
    <w:p w:rsidR="00B233DE" w:rsidRPr="00E34C14" w:rsidRDefault="00B233DE" w:rsidP="00B233DE">
      <w:pPr>
        <w:pStyle w:val="ad"/>
        <w:widowControl w:val="0"/>
        <w:numPr>
          <w:ilvl w:val="0"/>
          <w:numId w:val="49"/>
        </w:numPr>
        <w:tabs>
          <w:tab w:val="left" w:pos="993"/>
        </w:tabs>
        <w:ind w:left="0" w:firstLine="709"/>
        <w:jc w:val="both"/>
        <w:rPr>
          <w:rStyle w:val="rvts0"/>
          <w:rFonts w:ascii="Times New Roman" w:hAnsi="Times New Roman"/>
          <w:sz w:val="21"/>
          <w:szCs w:val="21"/>
        </w:rPr>
      </w:pPr>
      <w:bookmarkStart w:id="546" w:name="o112"/>
      <w:bookmarkEnd w:id="546"/>
      <w:r w:rsidRPr="00E34C14">
        <w:rPr>
          <w:rStyle w:val="rvts0"/>
          <w:rFonts w:ascii="Times New Roman" w:hAnsi="Times New Roman"/>
          <w:sz w:val="21"/>
          <w:szCs w:val="21"/>
        </w:rPr>
        <w:t xml:space="preserve">надавати допомогу навчальним закладам, та організаціям культури, фізичної культури і спорту у проведенні культурно-освітньої, спортивно-оздоровчої та виховної роботи серед населення, розвитку художньої творчості, фізичної культури і спорту; сприяти збереженню культурної спадщини, традицій народної культури, охороні пам’яток історії та культури, впровадженню в побут нових обрядів; </w:t>
      </w:r>
    </w:p>
    <w:p w:rsidR="00B233DE" w:rsidRPr="00E34C14" w:rsidRDefault="00B233DE" w:rsidP="00B233DE">
      <w:pPr>
        <w:pStyle w:val="ad"/>
        <w:widowControl w:val="0"/>
        <w:numPr>
          <w:ilvl w:val="0"/>
          <w:numId w:val="49"/>
        </w:numPr>
        <w:tabs>
          <w:tab w:val="left" w:pos="993"/>
        </w:tabs>
        <w:ind w:left="0" w:firstLine="709"/>
        <w:jc w:val="both"/>
        <w:rPr>
          <w:rStyle w:val="rvts0"/>
          <w:rFonts w:ascii="Times New Roman" w:hAnsi="Times New Roman"/>
          <w:sz w:val="21"/>
          <w:szCs w:val="21"/>
        </w:rPr>
      </w:pPr>
      <w:bookmarkStart w:id="547" w:name="o113"/>
      <w:bookmarkEnd w:id="547"/>
      <w:r w:rsidRPr="00E34C14">
        <w:rPr>
          <w:rStyle w:val="rvts0"/>
          <w:rFonts w:ascii="Times New Roman" w:hAnsi="Times New Roman"/>
          <w:sz w:val="21"/>
          <w:szCs w:val="21"/>
        </w:rPr>
        <w:t xml:space="preserve">організовувати допомогу громадянам похилого віку, інвалідам, сім’ям загиблих воїнів, партизанів та військовослужбовців, малозабезпеченим та багатодітним сім’ям, а також самотнім громадянам, дітям-сиротам та дітям, позбавленим батьківського піклування, вносити пропозиції з цих питань до органів місцевого самоврядування; </w:t>
      </w:r>
    </w:p>
    <w:p w:rsidR="00B233DE" w:rsidRPr="00E34C14" w:rsidRDefault="00B233DE" w:rsidP="00B233DE">
      <w:pPr>
        <w:pStyle w:val="ad"/>
        <w:widowControl w:val="0"/>
        <w:numPr>
          <w:ilvl w:val="0"/>
          <w:numId w:val="49"/>
        </w:numPr>
        <w:tabs>
          <w:tab w:val="left" w:pos="993"/>
        </w:tabs>
        <w:ind w:left="0" w:firstLine="709"/>
        <w:jc w:val="both"/>
        <w:rPr>
          <w:rStyle w:val="rvts0"/>
          <w:rFonts w:ascii="Times New Roman" w:hAnsi="Times New Roman"/>
          <w:sz w:val="21"/>
          <w:szCs w:val="21"/>
        </w:rPr>
      </w:pPr>
      <w:bookmarkStart w:id="548" w:name="o114"/>
      <w:bookmarkStart w:id="549" w:name="o115"/>
      <w:bookmarkEnd w:id="548"/>
      <w:bookmarkEnd w:id="549"/>
      <w:r w:rsidRPr="00E34C14">
        <w:rPr>
          <w:rStyle w:val="rvts0"/>
          <w:rFonts w:ascii="Times New Roman" w:hAnsi="Times New Roman"/>
          <w:sz w:val="21"/>
          <w:szCs w:val="21"/>
        </w:rPr>
        <w:t xml:space="preserve">сприяти відповідно до законодавства правоохоронним органам у забезпеченні ними охорони громадського порядку; </w:t>
      </w:r>
    </w:p>
    <w:p w:rsidR="00B233DE" w:rsidRPr="00E34C14" w:rsidRDefault="00B233DE" w:rsidP="00B233DE">
      <w:pPr>
        <w:pStyle w:val="ad"/>
        <w:widowControl w:val="0"/>
        <w:numPr>
          <w:ilvl w:val="0"/>
          <w:numId w:val="49"/>
        </w:numPr>
        <w:tabs>
          <w:tab w:val="left" w:pos="993"/>
        </w:tabs>
        <w:ind w:left="0" w:firstLine="709"/>
        <w:jc w:val="both"/>
        <w:rPr>
          <w:rStyle w:val="rvts0"/>
          <w:rFonts w:ascii="Times New Roman" w:hAnsi="Times New Roman"/>
          <w:sz w:val="21"/>
          <w:szCs w:val="21"/>
        </w:rPr>
      </w:pPr>
      <w:bookmarkStart w:id="550" w:name="o116"/>
      <w:bookmarkEnd w:id="550"/>
      <w:r w:rsidRPr="00E34C14">
        <w:rPr>
          <w:rStyle w:val="rvts0"/>
          <w:rFonts w:ascii="Times New Roman" w:hAnsi="Times New Roman"/>
          <w:sz w:val="21"/>
          <w:szCs w:val="21"/>
        </w:rPr>
        <w:t xml:space="preserve">розглядати звернення громадян, вести прийом громадян; </w:t>
      </w:r>
    </w:p>
    <w:p w:rsidR="00B233DE" w:rsidRPr="00E34C14" w:rsidRDefault="00B233DE" w:rsidP="00B233DE">
      <w:pPr>
        <w:pStyle w:val="ad"/>
        <w:widowControl w:val="0"/>
        <w:numPr>
          <w:ilvl w:val="0"/>
          <w:numId w:val="49"/>
        </w:numPr>
        <w:tabs>
          <w:tab w:val="left" w:pos="993"/>
        </w:tabs>
        <w:ind w:left="0" w:firstLine="709"/>
        <w:jc w:val="both"/>
        <w:rPr>
          <w:rStyle w:val="rvts0"/>
          <w:rFonts w:ascii="Times New Roman" w:hAnsi="Times New Roman"/>
          <w:sz w:val="21"/>
          <w:szCs w:val="21"/>
        </w:rPr>
      </w:pPr>
      <w:bookmarkStart w:id="551" w:name="o117"/>
      <w:bookmarkEnd w:id="551"/>
      <w:r w:rsidRPr="00E34C14">
        <w:rPr>
          <w:rStyle w:val="rvts0"/>
          <w:rFonts w:ascii="Times New Roman" w:hAnsi="Times New Roman"/>
          <w:sz w:val="21"/>
          <w:szCs w:val="21"/>
        </w:rPr>
        <w:t xml:space="preserve">вести облік громадян за віком, місцем роботи чи навчання, які мешкають у межах території діяльності органу самоорганізації населення; </w:t>
      </w:r>
    </w:p>
    <w:p w:rsidR="00B233DE" w:rsidRPr="00E34C14" w:rsidRDefault="00B233DE" w:rsidP="00B233DE">
      <w:pPr>
        <w:pStyle w:val="ad"/>
        <w:widowControl w:val="0"/>
        <w:tabs>
          <w:tab w:val="left" w:pos="1134"/>
        </w:tabs>
        <w:ind w:left="0" w:firstLine="709"/>
        <w:jc w:val="both"/>
        <w:rPr>
          <w:rStyle w:val="rvts0"/>
          <w:rFonts w:ascii="Times New Roman" w:hAnsi="Times New Roman"/>
          <w:sz w:val="21"/>
          <w:szCs w:val="21"/>
        </w:rPr>
      </w:pPr>
      <w:bookmarkStart w:id="552" w:name="o118"/>
      <w:bookmarkStart w:id="553" w:name="o119"/>
      <w:bookmarkEnd w:id="552"/>
      <w:bookmarkEnd w:id="553"/>
      <w:r w:rsidRPr="00E34C14">
        <w:rPr>
          <w:rStyle w:val="rvts0"/>
          <w:rFonts w:ascii="Times New Roman" w:hAnsi="Times New Roman"/>
          <w:sz w:val="21"/>
          <w:szCs w:val="21"/>
        </w:rPr>
        <w:t xml:space="preserve">Сільська, селищна, міська, районна у місті рада може додатково наділяти частиною своїх повноважень орган самоорганізації населення з одночасною передачею йому додаткових коштів, а також матеріально-технічних та інших ресурсів, необхідних для здійснення цих повноважень. </w:t>
      </w:r>
    </w:p>
    <w:p w:rsidR="00B233DE" w:rsidRPr="00E34C14" w:rsidRDefault="00B233DE" w:rsidP="00B233DE">
      <w:pPr>
        <w:pStyle w:val="ad"/>
        <w:widowControl w:val="0"/>
        <w:tabs>
          <w:tab w:val="left" w:pos="1134"/>
        </w:tabs>
        <w:ind w:left="0" w:firstLine="709"/>
        <w:jc w:val="both"/>
        <w:rPr>
          <w:rStyle w:val="rvts0"/>
          <w:rFonts w:ascii="Times New Roman" w:hAnsi="Times New Roman"/>
          <w:sz w:val="21"/>
          <w:szCs w:val="21"/>
        </w:rPr>
      </w:pPr>
      <w:r w:rsidRPr="00E34C14">
        <w:rPr>
          <w:rStyle w:val="rvts0"/>
          <w:rFonts w:ascii="Times New Roman" w:hAnsi="Times New Roman"/>
          <w:sz w:val="21"/>
          <w:szCs w:val="21"/>
        </w:rPr>
        <w:t xml:space="preserve">Фінансовою основою діяльності органу самоорганізації </w:t>
      </w:r>
      <w:r w:rsidRPr="00E34C14">
        <w:rPr>
          <w:rStyle w:val="rvts0"/>
          <w:rFonts w:ascii="Times New Roman" w:hAnsi="Times New Roman"/>
          <w:sz w:val="21"/>
          <w:szCs w:val="21"/>
        </w:rPr>
        <w:lastRenderedPageBreak/>
        <w:t xml:space="preserve">населення є: </w:t>
      </w:r>
      <w:bookmarkStart w:id="554" w:name="o132"/>
      <w:bookmarkEnd w:id="554"/>
      <w:r w:rsidRPr="00E34C14">
        <w:rPr>
          <w:rStyle w:val="rvts0"/>
          <w:rFonts w:ascii="Times New Roman" w:hAnsi="Times New Roman"/>
          <w:sz w:val="21"/>
          <w:szCs w:val="21"/>
        </w:rPr>
        <w:t xml:space="preserve">кошти відповідного місцевого бюджету, які надаються йому сільською, селищною, міською, районною у місті радою для здійснення наданих органу самоорганізації населення повноважень; </w:t>
      </w:r>
      <w:bookmarkStart w:id="555" w:name="o133"/>
      <w:bookmarkEnd w:id="555"/>
      <w:r w:rsidRPr="00E34C14">
        <w:rPr>
          <w:rStyle w:val="rvts0"/>
          <w:rFonts w:ascii="Times New Roman" w:hAnsi="Times New Roman"/>
          <w:sz w:val="21"/>
          <w:szCs w:val="21"/>
        </w:rPr>
        <w:t xml:space="preserve">добровільні внески фізичних і юридичних осіб та </w:t>
      </w:r>
      <w:bookmarkStart w:id="556" w:name="o134"/>
      <w:bookmarkEnd w:id="556"/>
      <w:r w:rsidRPr="00E34C14">
        <w:rPr>
          <w:rStyle w:val="rvts0"/>
          <w:rFonts w:ascii="Times New Roman" w:hAnsi="Times New Roman"/>
          <w:sz w:val="21"/>
          <w:szCs w:val="21"/>
        </w:rPr>
        <w:t>інші надходження, не заборонені законодавством.</w:t>
      </w:r>
    </w:p>
    <w:p w:rsidR="00B233DE" w:rsidRPr="00E34C14" w:rsidRDefault="00B233DE" w:rsidP="00B233DE">
      <w:pPr>
        <w:pStyle w:val="ad"/>
        <w:widowControl w:val="0"/>
        <w:tabs>
          <w:tab w:val="left" w:pos="1134"/>
        </w:tabs>
        <w:ind w:left="0" w:firstLine="709"/>
        <w:jc w:val="both"/>
        <w:rPr>
          <w:rStyle w:val="rvts0"/>
          <w:rFonts w:ascii="Times New Roman" w:hAnsi="Times New Roman"/>
          <w:sz w:val="21"/>
          <w:szCs w:val="21"/>
        </w:rPr>
      </w:pPr>
      <w:r w:rsidRPr="00E34C14">
        <w:rPr>
          <w:rStyle w:val="rvts0"/>
          <w:rFonts w:ascii="Times New Roman" w:hAnsi="Times New Roman"/>
          <w:sz w:val="21"/>
          <w:szCs w:val="21"/>
        </w:rPr>
        <w:t xml:space="preserve">Матеріальною основою діяльності органу самоорганізації населення є майно, передане йому радою в оперативне управління. </w:t>
      </w:r>
    </w:p>
    <w:p w:rsidR="00B233DE" w:rsidRPr="00E34C14" w:rsidRDefault="00B233DE" w:rsidP="00B233DE">
      <w:pPr>
        <w:pStyle w:val="ad"/>
        <w:widowControl w:val="0"/>
        <w:tabs>
          <w:tab w:val="left" w:pos="1134"/>
        </w:tabs>
        <w:ind w:left="0" w:firstLine="709"/>
        <w:jc w:val="both"/>
        <w:rPr>
          <w:rStyle w:val="rvts0"/>
          <w:rFonts w:ascii="Times New Roman" w:hAnsi="Times New Roman"/>
          <w:sz w:val="21"/>
          <w:szCs w:val="21"/>
        </w:rPr>
      </w:pPr>
      <w:r w:rsidRPr="00E34C14">
        <w:rPr>
          <w:rStyle w:val="rvts0"/>
          <w:rFonts w:ascii="Times New Roman" w:hAnsi="Times New Roman"/>
          <w:sz w:val="21"/>
          <w:szCs w:val="21"/>
        </w:rPr>
        <w:t>Органи самоорганізації населення за своєю природою, як зазначає у своїх працях В. В. Кравченко [</w:t>
      </w:r>
      <w:r w:rsidR="00FC3E63">
        <w:rPr>
          <w:rFonts w:ascii="Times New Roman" w:hAnsi="Times New Roman" w:cs="Times New Roman"/>
          <w:bCs/>
          <w:color w:val="000000" w:themeColor="text1"/>
          <w:sz w:val="21"/>
          <w:szCs w:val="21"/>
          <w:highlight w:val="yellow"/>
        </w:rPr>
        <w:fldChar w:fldCharType="begin"/>
      </w:r>
      <w:r w:rsidR="00FC3E63">
        <w:rPr>
          <w:rStyle w:val="rvts0"/>
          <w:rFonts w:ascii="Times New Roman" w:hAnsi="Times New Roman"/>
          <w:sz w:val="21"/>
          <w:szCs w:val="21"/>
        </w:rPr>
        <w:instrText xml:space="preserve"> REF _Ref436211374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Style w:val="rvts0"/>
          <w:rFonts w:ascii="Times New Roman" w:hAnsi="Times New Roman"/>
          <w:sz w:val="21"/>
          <w:szCs w:val="21"/>
        </w:rPr>
        <w:t>47</w:t>
      </w:r>
      <w:r w:rsidR="00FC3E63">
        <w:rPr>
          <w:rFonts w:ascii="Times New Roman" w:hAnsi="Times New Roman" w:cs="Times New Roman"/>
          <w:bCs/>
          <w:color w:val="000000" w:themeColor="text1"/>
          <w:sz w:val="21"/>
          <w:szCs w:val="21"/>
          <w:highlight w:val="yellow"/>
        </w:rPr>
        <w:fldChar w:fldCharType="end"/>
      </w:r>
      <w:r>
        <w:rPr>
          <w:rStyle w:val="rvts0"/>
          <w:rFonts w:ascii="Times New Roman" w:hAnsi="Times New Roman"/>
          <w:sz w:val="21"/>
          <w:szCs w:val="21"/>
        </w:rPr>
        <w:t xml:space="preserve">, с. </w:t>
      </w:r>
      <w:r w:rsidRPr="00E34C14">
        <w:rPr>
          <w:rStyle w:val="rvts0"/>
          <w:rFonts w:ascii="Times New Roman" w:hAnsi="Times New Roman"/>
          <w:sz w:val="21"/>
          <w:szCs w:val="21"/>
        </w:rPr>
        <w:t>146], поєднують у собі риси як органу публічної влади, так і громадської організації.</w:t>
      </w:r>
    </w:p>
    <w:p w:rsidR="00B233DE" w:rsidRPr="00E34C14" w:rsidRDefault="00B233DE" w:rsidP="00B233DE">
      <w:pPr>
        <w:pStyle w:val="ad"/>
        <w:widowControl w:val="0"/>
        <w:tabs>
          <w:tab w:val="left" w:pos="1134"/>
        </w:tabs>
        <w:ind w:left="0" w:firstLine="709"/>
        <w:jc w:val="both"/>
        <w:rPr>
          <w:rStyle w:val="rvts0"/>
          <w:rFonts w:ascii="Times New Roman" w:hAnsi="Times New Roman"/>
          <w:sz w:val="21"/>
          <w:szCs w:val="21"/>
        </w:rPr>
      </w:pPr>
      <w:r w:rsidRPr="00E34C14">
        <w:rPr>
          <w:rStyle w:val="rvts0"/>
          <w:rFonts w:ascii="Times New Roman" w:hAnsi="Times New Roman"/>
          <w:sz w:val="21"/>
          <w:szCs w:val="21"/>
        </w:rPr>
        <w:t xml:space="preserve">Так, з органами публічної влади їх об’єднує те, що: </w:t>
      </w:r>
    </w:p>
    <w:p w:rsidR="00B233DE" w:rsidRPr="00E34C14" w:rsidRDefault="00B233DE" w:rsidP="00B233DE">
      <w:pPr>
        <w:pStyle w:val="ad"/>
        <w:widowControl w:val="0"/>
        <w:numPr>
          <w:ilvl w:val="0"/>
          <w:numId w:val="45"/>
        </w:numPr>
        <w:tabs>
          <w:tab w:val="left" w:pos="993"/>
        </w:tabs>
        <w:ind w:left="0" w:firstLine="709"/>
        <w:jc w:val="both"/>
        <w:rPr>
          <w:rStyle w:val="rvts0"/>
          <w:rFonts w:ascii="Times New Roman" w:hAnsi="Times New Roman"/>
          <w:sz w:val="21"/>
          <w:szCs w:val="21"/>
        </w:rPr>
      </w:pPr>
      <w:r w:rsidRPr="00E34C14">
        <w:rPr>
          <w:rStyle w:val="rvts0"/>
          <w:rFonts w:ascii="Times New Roman" w:hAnsi="Times New Roman"/>
          <w:sz w:val="21"/>
          <w:szCs w:val="21"/>
        </w:rPr>
        <w:t>по-перше, вони беруть участь у виконанні публічних (громадських, тобто таких, що мають суспільне значення) функцій, пов’язаних з вирішенням питань місцевого значення. Здійснення публічних функцій, у свою чергу, передбачає наявність в органу самоорганізації населення відповідних повноважень, якими він наділяється місцевою радою, що дає підстави характеризувати їх як владні структури, які мають певні спільні риси з органами місцевого самоврядування;</w:t>
      </w:r>
    </w:p>
    <w:p w:rsidR="00B233DE" w:rsidRPr="00E34C14" w:rsidRDefault="00B233DE" w:rsidP="00B233DE">
      <w:pPr>
        <w:pStyle w:val="ad"/>
        <w:widowControl w:val="0"/>
        <w:numPr>
          <w:ilvl w:val="0"/>
          <w:numId w:val="45"/>
        </w:numPr>
        <w:tabs>
          <w:tab w:val="left" w:pos="993"/>
        </w:tabs>
        <w:ind w:left="0" w:firstLine="709"/>
        <w:jc w:val="both"/>
        <w:rPr>
          <w:rStyle w:val="rvts0"/>
          <w:rFonts w:ascii="Times New Roman" w:hAnsi="Times New Roman"/>
          <w:sz w:val="21"/>
          <w:szCs w:val="21"/>
        </w:rPr>
      </w:pPr>
      <w:r w:rsidRPr="00E34C14">
        <w:rPr>
          <w:rStyle w:val="rvts0"/>
          <w:rFonts w:ascii="Times New Roman" w:hAnsi="Times New Roman"/>
          <w:sz w:val="21"/>
          <w:szCs w:val="21"/>
        </w:rPr>
        <w:t>по-друге, як і органи публічної влади, органи самоорганізації населення здійснюють свої функції виключно в межах відповідної території.</w:t>
      </w:r>
    </w:p>
    <w:p w:rsidR="00B233DE" w:rsidRPr="00E34C14" w:rsidRDefault="00B233DE" w:rsidP="00B233DE">
      <w:pPr>
        <w:pStyle w:val="ad"/>
        <w:widowControl w:val="0"/>
        <w:tabs>
          <w:tab w:val="left" w:pos="993"/>
        </w:tabs>
        <w:ind w:left="0" w:firstLine="709"/>
        <w:jc w:val="both"/>
        <w:rPr>
          <w:rStyle w:val="rvts0"/>
          <w:rFonts w:ascii="Times New Roman" w:hAnsi="Times New Roman"/>
          <w:sz w:val="21"/>
          <w:szCs w:val="21"/>
        </w:rPr>
      </w:pPr>
      <w:r w:rsidRPr="00E34C14">
        <w:rPr>
          <w:rStyle w:val="rvts0"/>
          <w:rFonts w:ascii="Times New Roman" w:hAnsi="Times New Roman"/>
          <w:sz w:val="21"/>
          <w:szCs w:val="21"/>
        </w:rPr>
        <w:t>Водночас, подібно до громадських об’єднань, органи самоорганізації населення працюють на громадських засадах, їх діяльність базується на засадах добровільності щодо взяття на себе окремих повноважень органів місцевого самоврядування [</w:t>
      </w:r>
      <w:r w:rsidR="00FC3E63">
        <w:rPr>
          <w:rFonts w:ascii="Times New Roman" w:hAnsi="Times New Roman" w:cs="Times New Roman"/>
          <w:bCs/>
          <w:color w:val="000000" w:themeColor="text1"/>
          <w:sz w:val="21"/>
          <w:szCs w:val="21"/>
          <w:highlight w:val="yellow"/>
        </w:rPr>
        <w:fldChar w:fldCharType="begin"/>
      </w:r>
      <w:r w:rsidR="00FC3E63">
        <w:rPr>
          <w:rStyle w:val="rvts0"/>
          <w:rFonts w:ascii="Times New Roman" w:hAnsi="Times New Roman"/>
          <w:sz w:val="21"/>
          <w:szCs w:val="21"/>
        </w:rPr>
        <w:instrText xml:space="preserve"> REF _Ref436211380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Style w:val="rvts0"/>
          <w:rFonts w:ascii="Times New Roman" w:hAnsi="Times New Roman"/>
          <w:sz w:val="21"/>
          <w:szCs w:val="21"/>
        </w:rPr>
        <w:t>44</w:t>
      </w:r>
      <w:r w:rsidR="00FC3E63">
        <w:rPr>
          <w:rFonts w:ascii="Times New Roman" w:hAnsi="Times New Roman" w:cs="Times New Roman"/>
          <w:bCs/>
          <w:color w:val="000000" w:themeColor="text1"/>
          <w:sz w:val="21"/>
          <w:szCs w:val="21"/>
          <w:highlight w:val="yellow"/>
        </w:rPr>
        <w:fldChar w:fldCharType="end"/>
      </w:r>
      <w:r w:rsidRPr="00E34C14">
        <w:rPr>
          <w:rStyle w:val="rvts0"/>
          <w:rFonts w:ascii="Times New Roman" w:hAnsi="Times New Roman"/>
          <w:sz w:val="21"/>
          <w:szCs w:val="21"/>
        </w:rPr>
        <w:t xml:space="preserve">, с. 118]. </w:t>
      </w:r>
    </w:p>
    <w:p w:rsidR="00B233DE" w:rsidRPr="00E34C14" w:rsidRDefault="00B233DE" w:rsidP="00B233DE">
      <w:pPr>
        <w:pStyle w:val="ad"/>
        <w:widowControl w:val="0"/>
        <w:tabs>
          <w:tab w:val="left" w:pos="1134"/>
        </w:tabs>
        <w:ind w:left="0" w:firstLine="709"/>
        <w:jc w:val="both"/>
        <w:rPr>
          <w:rStyle w:val="rvts0"/>
          <w:rFonts w:ascii="Times New Roman" w:hAnsi="Times New Roman"/>
          <w:sz w:val="21"/>
          <w:szCs w:val="21"/>
        </w:rPr>
      </w:pPr>
      <w:r w:rsidRPr="00E34C14">
        <w:rPr>
          <w:rStyle w:val="rvts0"/>
          <w:rFonts w:ascii="Times New Roman" w:hAnsi="Times New Roman"/>
          <w:sz w:val="21"/>
          <w:szCs w:val="21"/>
        </w:rPr>
        <w:t>Таким чином, органи самоорганізації населення характеризуються як окремими рисами органу публічної влади, так і рисами громадської організації, а необхідність та доцільність їх існування обумовлена двома факторами [</w:t>
      </w:r>
      <w:r w:rsidR="00FC3E63">
        <w:rPr>
          <w:rFonts w:ascii="Times New Roman" w:hAnsi="Times New Roman" w:cs="Times New Roman"/>
          <w:bCs/>
          <w:color w:val="000000" w:themeColor="text1"/>
          <w:sz w:val="21"/>
          <w:szCs w:val="21"/>
          <w:highlight w:val="yellow"/>
        </w:rPr>
        <w:fldChar w:fldCharType="begin"/>
      </w:r>
      <w:r w:rsidR="00FC3E63">
        <w:rPr>
          <w:rStyle w:val="rvts0"/>
          <w:rFonts w:ascii="Times New Roman" w:hAnsi="Times New Roman"/>
          <w:sz w:val="21"/>
          <w:szCs w:val="21"/>
        </w:rPr>
        <w:instrText xml:space="preserve"> REF _Ref436211385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Style w:val="rvts0"/>
          <w:rFonts w:ascii="Times New Roman" w:hAnsi="Times New Roman"/>
          <w:sz w:val="21"/>
          <w:szCs w:val="21"/>
        </w:rPr>
        <w:t>51</w:t>
      </w:r>
      <w:r w:rsidR="00FC3E63">
        <w:rPr>
          <w:rFonts w:ascii="Times New Roman" w:hAnsi="Times New Roman" w:cs="Times New Roman"/>
          <w:bCs/>
          <w:color w:val="000000" w:themeColor="text1"/>
          <w:sz w:val="21"/>
          <w:szCs w:val="21"/>
          <w:highlight w:val="yellow"/>
        </w:rPr>
        <w:fldChar w:fldCharType="end"/>
      </w:r>
      <w:r w:rsidRPr="00E34C14">
        <w:rPr>
          <w:rStyle w:val="rvts0"/>
          <w:rFonts w:ascii="Times New Roman" w:hAnsi="Times New Roman"/>
          <w:sz w:val="21"/>
          <w:szCs w:val="21"/>
        </w:rPr>
        <w:t>]:</w:t>
      </w:r>
    </w:p>
    <w:p w:rsidR="00B233DE" w:rsidRPr="00E34C14" w:rsidRDefault="00B233DE" w:rsidP="00B233DE">
      <w:pPr>
        <w:pStyle w:val="ad"/>
        <w:widowControl w:val="0"/>
        <w:numPr>
          <w:ilvl w:val="0"/>
          <w:numId w:val="46"/>
        </w:numPr>
        <w:tabs>
          <w:tab w:val="left" w:pos="993"/>
        </w:tabs>
        <w:ind w:left="0" w:firstLine="709"/>
        <w:jc w:val="both"/>
        <w:rPr>
          <w:rStyle w:val="rvts0"/>
          <w:rFonts w:ascii="Times New Roman" w:hAnsi="Times New Roman"/>
          <w:sz w:val="21"/>
          <w:szCs w:val="21"/>
        </w:rPr>
      </w:pPr>
      <w:r w:rsidRPr="00E34C14">
        <w:rPr>
          <w:rStyle w:val="rvts0"/>
          <w:rFonts w:ascii="Times New Roman" w:hAnsi="Times New Roman"/>
          <w:sz w:val="21"/>
          <w:szCs w:val="21"/>
        </w:rPr>
        <w:t>по-перше, прагненням створити реальні можливості для розгортання місцевої демократії, залучення членів територіальної громади до безпосередньої участі у вирішенні окремих питань місцевого значення (і тим самим наблизити процес прийняття рішень щодо надання відповідних громадських послуг до їх споживачів);</w:t>
      </w:r>
    </w:p>
    <w:p w:rsidR="00B233DE" w:rsidRPr="00E34C14" w:rsidRDefault="00B233DE" w:rsidP="00B233DE">
      <w:pPr>
        <w:pStyle w:val="ad"/>
        <w:widowControl w:val="0"/>
        <w:numPr>
          <w:ilvl w:val="0"/>
          <w:numId w:val="46"/>
        </w:numPr>
        <w:tabs>
          <w:tab w:val="left" w:pos="993"/>
        </w:tabs>
        <w:ind w:left="0" w:firstLine="709"/>
        <w:jc w:val="both"/>
        <w:rPr>
          <w:rStyle w:val="rvts0"/>
          <w:rFonts w:ascii="Times New Roman" w:hAnsi="Times New Roman"/>
          <w:sz w:val="21"/>
          <w:szCs w:val="21"/>
        </w:rPr>
      </w:pPr>
      <w:r w:rsidRPr="00E34C14">
        <w:rPr>
          <w:rStyle w:val="rvts0"/>
          <w:rFonts w:ascii="Times New Roman" w:hAnsi="Times New Roman"/>
          <w:sz w:val="21"/>
          <w:szCs w:val="21"/>
        </w:rPr>
        <w:t xml:space="preserve">по-друге, намаганням розвантажити органи місцевого самоврядування від вирішення тих питань місцевого значення, які </w:t>
      </w:r>
      <w:r w:rsidRPr="00E34C14">
        <w:rPr>
          <w:rStyle w:val="rvts0"/>
          <w:rFonts w:ascii="Times New Roman" w:hAnsi="Times New Roman"/>
          <w:sz w:val="21"/>
          <w:szCs w:val="21"/>
        </w:rPr>
        <w:lastRenderedPageBreak/>
        <w:t>можуть бути успішно вирішені самим населенням, шляхом передачі відповідних повноважень місцевих рад разом з необхідними фінансовими та матеріальними ресурсами органам самоорганізації населення.</w:t>
      </w:r>
    </w:p>
    <w:p w:rsidR="00B233DE" w:rsidRPr="00E34C14" w:rsidRDefault="00B233DE" w:rsidP="00B233DE">
      <w:pPr>
        <w:pStyle w:val="ad"/>
        <w:widowControl w:val="0"/>
        <w:tabs>
          <w:tab w:val="left" w:pos="1134"/>
        </w:tabs>
        <w:ind w:left="0" w:firstLine="709"/>
        <w:jc w:val="both"/>
        <w:rPr>
          <w:rStyle w:val="rvts0"/>
          <w:rFonts w:ascii="Times New Roman" w:hAnsi="Times New Roman"/>
          <w:sz w:val="21"/>
          <w:szCs w:val="21"/>
        </w:rPr>
      </w:pPr>
      <w:r w:rsidRPr="00E34C14">
        <w:rPr>
          <w:rStyle w:val="rvts0"/>
          <w:rFonts w:ascii="Times New Roman" w:hAnsi="Times New Roman"/>
          <w:sz w:val="21"/>
          <w:szCs w:val="21"/>
        </w:rPr>
        <w:t>Як свідчить проведений аналіз, органи самоорганізації населення є в умовах реформування комунальної власності та місцевого самоврядування важливим суб’єктом соціальної регіональної політики, який безпосередньо зацікавлений у зростанні ефективності регулювання соціальних відносин на найближчому до кожної особи рівні на основі раціонального використання об’єктів комунальної власності, що відповідає принципу субсидіарності.</w:t>
      </w: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r w:rsidRPr="00E34C14">
        <w:rPr>
          <w:rFonts w:ascii="Times New Roman" w:hAnsi="Times New Roman"/>
          <w:sz w:val="21"/>
          <w:szCs w:val="21"/>
        </w:rPr>
        <w:t xml:space="preserve">Ми вважаємо, що проведена за принципом субсидіарності децентралізація місцевого самоврядування та влади в Україні сприятиме зростанню дієвості соціальної політики зі зниженням рівня її реалізації, оскільки це означатиме наближення до споживача послуг такої політики, а також максимальну насиченість сфери її реалізації регулюючим впливом суб’єктів різних рівнів та одночасним зростанням ролі суб’єктів, які діють на найнижчих рівнях (рис. </w:t>
      </w:r>
      <w:r>
        <w:rPr>
          <w:rFonts w:ascii="Times New Roman" w:hAnsi="Times New Roman"/>
          <w:sz w:val="21"/>
          <w:szCs w:val="21"/>
        </w:rPr>
        <w:t>6</w:t>
      </w:r>
      <w:r w:rsidRPr="00E34C14">
        <w:rPr>
          <w:rFonts w:ascii="Times New Roman" w:hAnsi="Times New Roman"/>
          <w:sz w:val="21"/>
          <w:szCs w:val="21"/>
        </w:rPr>
        <w:t>.3)</w:t>
      </w:r>
      <w:r w:rsidRPr="00DC4493">
        <w:rPr>
          <w:rFonts w:ascii="Times New Roman" w:hAnsi="Times New Roman"/>
          <w:sz w:val="16"/>
          <w:szCs w:val="16"/>
        </w:rPr>
        <w:t>.</w:t>
      </w: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r w:rsidRPr="00894281">
        <w:rPr>
          <w:rFonts w:ascii="Times New Roman" w:hAnsi="Times New Roman" w:cs="Times New Roman"/>
          <w:sz w:val="21"/>
          <w:szCs w:val="21"/>
        </w:rPr>
        <w:t>В умовах зростання ролі територіальних громад та органів місцевого самоврядування у розробці та реалізації соціальної регіональної політики на основі ефективного використання права комунальної власності для досягнення спроможності реалізовувати необхідні соціальні заходи, підвищується як роль суб’єктів соціальної регіональної політики на найнижчих рівнях, так і виникає необхідність формування загальнонаціонального органу, який би міг представляти і відстоювати інтереси територіальних громад на рівні країни.</w:t>
      </w:r>
      <w:r>
        <w:rPr>
          <w:rFonts w:ascii="Times New Roman" w:hAnsi="Times New Roman" w:cs="Times New Roman"/>
          <w:sz w:val="21"/>
          <w:szCs w:val="21"/>
        </w:rPr>
        <w:t xml:space="preserve"> </w:t>
      </w:r>
      <w:r w:rsidRPr="00894281">
        <w:rPr>
          <w:rFonts w:ascii="Times New Roman" w:hAnsi="Times New Roman" w:cs="Times New Roman"/>
          <w:sz w:val="21"/>
          <w:szCs w:val="21"/>
        </w:rPr>
        <w:t>На нашу думку, доцільним є формування єдиного координуючого органу, наприклад, Асоціації територіальних громад України, рівноправними учасниками якого мають стати усі територіальні громади країни.</w:t>
      </w:r>
    </w:p>
    <w:p w:rsidR="00B233DE" w:rsidRPr="00894281"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r w:rsidRPr="00894281">
        <w:rPr>
          <w:rFonts w:ascii="Times New Roman" w:hAnsi="Times New Roman" w:cs="Times New Roman"/>
          <w:sz w:val="21"/>
          <w:szCs w:val="21"/>
        </w:rPr>
        <w:t>Досвід країн із розвинутим місцевим самоврядуванням, зокрема, Фінляндії, Норвегії, Швеції та інших, засвідчує ефективність такого кроку за умови виконання цією організацією функцій, пов’язаних із прогресивним розвитком територіальних громад, у тому числі, щодо координації комерційної діяльності на основі комунальної власності.</w:t>
      </w:r>
    </w:p>
    <w:p w:rsidR="00B233DE" w:rsidRPr="00894281"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0"/>
        <w:jc w:val="both"/>
        <w:rPr>
          <w:rFonts w:ascii="Times New Roman" w:hAnsi="Times New Roman" w:cs="Times New Roman"/>
          <w:sz w:val="21"/>
          <w:szCs w:val="21"/>
        </w:rPr>
      </w:pPr>
      <w:r>
        <w:rPr>
          <w:rFonts w:ascii="Times New Roman" w:hAnsi="Times New Roman" w:cs="Times New Roman"/>
          <w:b/>
          <w:noProof/>
          <w:sz w:val="28"/>
          <w:szCs w:val="28"/>
          <w:lang w:val="ru-RU" w:eastAsia="ru-RU"/>
        </w:rPr>
        <w:lastRenderedPageBreak/>
        <mc:AlternateContent>
          <mc:Choice Requires="wpg">
            <w:drawing>
              <wp:anchor distT="0" distB="0" distL="114300" distR="114300" simplePos="0" relativeHeight="251709440" behindDoc="0" locked="0" layoutInCell="1" allowOverlap="1" wp14:anchorId="751615DF" wp14:editId="6B51FCA0">
                <wp:simplePos x="0" y="0"/>
                <wp:positionH relativeFrom="column">
                  <wp:posOffset>24977</wp:posOffset>
                </wp:positionH>
                <wp:positionV relativeFrom="paragraph">
                  <wp:posOffset>50377</wp:posOffset>
                </wp:positionV>
                <wp:extent cx="3861805" cy="5571066"/>
                <wp:effectExtent l="0" t="38100" r="24765" b="10795"/>
                <wp:wrapNone/>
                <wp:docPr id="1266" name="Группа 1266"/>
                <wp:cNvGraphicFramePr/>
                <a:graphic xmlns:a="http://schemas.openxmlformats.org/drawingml/2006/main">
                  <a:graphicData uri="http://schemas.microsoft.com/office/word/2010/wordprocessingGroup">
                    <wpg:wgp>
                      <wpg:cNvGrpSpPr/>
                      <wpg:grpSpPr>
                        <a:xfrm>
                          <a:off x="0" y="0"/>
                          <a:ext cx="3861805" cy="5571066"/>
                          <a:chOff x="0" y="0"/>
                          <a:chExt cx="6076950" cy="8391525"/>
                        </a:xfrm>
                      </wpg:grpSpPr>
                      <wps:wsp>
                        <wps:cNvPr id="1267" name="Прямая со стрелкой 1267"/>
                        <wps:cNvCnPr/>
                        <wps:spPr>
                          <a:xfrm flipV="1">
                            <a:off x="1152525" y="0"/>
                            <a:ext cx="0" cy="487553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grpSp>
                        <wpg:cNvPr id="1328" name="Группа 1328"/>
                        <wpg:cNvGrpSpPr/>
                        <wpg:grpSpPr>
                          <a:xfrm>
                            <a:off x="0" y="0"/>
                            <a:ext cx="6076950" cy="8391525"/>
                            <a:chOff x="0" y="0"/>
                            <a:chExt cx="6076950" cy="8391525"/>
                          </a:xfrm>
                        </wpg:grpSpPr>
                        <wps:wsp>
                          <wps:cNvPr id="1329" name="Прямая соединительная линия 1329"/>
                          <wps:cNvCnPr/>
                          <wps:spPr>
                            <a:xfrm flipH="1">
                              <a:off x="1066800" y="1133475"/>
                              <a:ext cx="857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cNvPr id="1332" name="Группа 1332"/>
                          <wpg:cNvGrpSpPr/>
                          <wpg:grpSpPr>
                            <a:xfrm>
                              <a:off x="0" y="0"/>
                              <a:ext cx="6076950" cy="8391525"/>
                              <a:chOff x="0" y="0"/>
                              <a:chExt cx="6076950" cy="8391525"/>
                            </a:xfrm>
                          </wpg:grpSpPr>
                          <wps:wsp>
                            <wps:cNvPr id="1370" name="Прямая соединительная линия 1370"/>
                            <wps:cNvCnPr/>
                            <wps:spPr>
                              <a:xfrm>
                                <a:off x="3952875" y="3457575"/>
                                <a:ext cx="0" cy="1419225"/>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600" name="Прямая соединительная линия 1600"/>
                            <wps:cNvCnPr/>
                            <wps:spPr>
                              <a:xfrm flipH="1">
                                <a:off x="3076575" y="4752975"/>
                                <a:ext cx="118746" cy="127000"/>
                              </a:xfrm>
                              <a:prstGeom prst="line">
                                <a:avLst/>
                              </a:prstGeom>
                              <a:ln>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g:grpSp>
                            <wpg:cNvPr id="1601" name="Группа 1601"/>
                            <wpg:cNvGrpSpPr/>
                            <wpg:grpSpPr>
                              <a:xfrm>
                                <a:off x="0" y="0"/>
                                <a:ext cx="6076950" cy="8391525"/>
                                <a:chOff x="0" y="0"/>
                                <a:chExt cx="6076950" cy="8391525"/>
                              </a:xfrm>
                            </wpg:grpSpPr>
                            <wps:wsp>
                              <wps:cNvPr id="1602" name="Прямая соединительная линия 1602"/>
                              <wps:cNvCnPr/>
                              <wps:spPr>
                                <a:xfrm>
                                  <a:off x="1828800" y="1123950"/>
                                  <a:ext cx="635" cy="383794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603" name="Прямая соединительная линия 1603"/>
                              <wps:cNvCnPr/>
                              <wps:spPr>
                                <a:xfrm>
                                  <a:off x="3200400" y="2895600"/>
                                  <a:ext cx="0" cy="207137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g:grpSp>
                              <wpg:cNvPr id="1604" name="Группа 1604"/>
                              <wpg:cNvGrpSpPr/>
                              <wpg:grpSpPr>
                                <a:xfrm>
                                  <a:off x="0" y="0"/>
                                  <a:ext cx="6076950" cy="8391525"/>
                                  <a:chOff x="0" y="0"/>
                                  <a:chExt cx="6076950" cy="8391525"/>
                                </a:xfrm>
                              </wpg:grpSpPr>
                              <wps:wsp>
                                <wps:cNvPr id="1605" name="Прямоугольник 1605"/>
                                <wps:cNvSpPr/>
                                <wps:spPr>
                                  <a:xfrm>
                                    <a:off x="1152525" y="1619250"/>
                                    <a:ext cx="681103" cy="3259455"/>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AE56E7" w:rsidRDefault="00BE40F8" w:rsidP="00B233DE">
                                      <w:pPr>
                                        <w:jc w:val="center"/>
                                        <w:rPr>
                                          <w:rFonts w:ascii="Times New Roman" w:hAnsi="Times New Roman" w:cs="Times New Roman"/>
                                          <w:i/>
                                          <w:color w:val="000000" w:themeColor="text1"/>
                                          <w:sz w:val="16"/>
                                          <w:szCs w:val="16"/>
                                        </w:rPr>
                                      </w:pPr>
                                      <w:r w:rsidRPr="00AE56E7">
                                        <w:rPr>
                                          <w:rFonts w:ascii="Times New Roman" w:hAnsi="Times New Roman" w:cs="Times New Roman"/>
                                          <w:i/>
                                          <w:color w:val="000000" w:themeColor="text1"/>
                                          <w:sz w:val="16"/>
                                          <w:szCs w:val="16"/>
                                        </w:rPr>
                                        <w:t>Комунальна власність, яка знаходиться в управлінні безпосередньо територіальних громад і місцевих органів місцевого самоврядування</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1606" name="Прямоугольник 1606"/>
                                <wps:cNvSpPr/>
                                <wps:spPr>
                                  <a:xfrm>
                                    <a:off x="1847850" y="2552700"/>
                                    <a:ext cx="680720" cy="2327275"/>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AE56E7" w:rsidRDefault="00BE40F8" w:rsidP="00B233DE">
                                      <w:pPr>
                                        <w:jc w:val="center"/>
                                        <w:rPr>
                                          <w:rFonts w:ascii="Times New Roman" w:hAnsi="Times New Roman" w:cs="Times New Roman"/>
                                          <w:i/>
                                          <w:color w:val="000000" w:themeColor="text1"/>
                                          <w:sz w:val="16"/>
                                          <w:szCs w:val="16"/>
                                        </w:rPr>
                                      </w:pPr>
                                      <w:r w:rsidRPr="00AE56E7">
                                        <w:rPr>
                                          <w:rFonts w:ascii="Times New Roman" w:hAnsi="Times New Roman" w:cs="Times New Roman"/>
                                          <w:i/>
                                          <w:color w:val="000000" w:themeColor="text1"/>
                                          <w:sz w:val="16"/>
                                          <w:szCs w:val="16"/>
                                        </w:rPr>
                                        <w:t>Комунальна власність, яка знаходиться в управлінні районних органів місцевого самоврядування</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1607" name="Прямоугольник 1607"/>
                                <wps:cNvSpPr/>
                                <wps:spPr>
                                  <a:xfrm>
                                    <a:off x="2514600" y="3133725"/>
                                    <a:ext cx="680720" cy="1748790"/>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AE56E7" w:rsidRDefault="00BE40F8" w:rsidP="00B233DE">
                                      <w:pPr>
                                        <w:spacing w:line="192" w:lineRule="auto"/>
                                        <w:jc w:val="center"/>
                                        <w:rPr>
                                          <w:rFonts w:ascii="Times New Roman" w:hAnsi="Times New Roman" w:cs="Times New Roman"/>
                                          <w:i/>
                                          <w:color w:val="000000" w:themeColor="text1"/>
                                          <w:sz w:val="16"/>
                                          <w:szCs w:val="16"/>
                                        </w:rPr>
                                      </w:pPr>
                                      <w:r w:rsidRPr="00AE56E7">
                                        <w:rPr>
                                          <w:rFonts w:ascii="Times New Roman" w:hAnsi="Times New Roman" w:cs="Times New Roman"/>
                                          <w:i/>
                                          <w:color w:val="000000" w:themeColor="text1"/>
                                          <w:sz w:val="16"/>
                                          <w:szCs w:val="16"/>
                                        </w:rPr>
                                        <w:t>Комунальна власність, яка знаходиться в управлінні обласних органів місцевого самоврядування</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1608" name="Полилиния 1608"/>
                                <wps:cNvSpPr/>
                                <wps:spPr>
                                  <a:xfrm>
                                    <a:off x="1485900" y="542925"/>
                                    <a:ext cx="4364355" cy="4018915"/>
                                  </a:xfrm>
                                  <a:custGeom>
                                    <a:avLst/>
                                    <a:gdLst>
                                      <a:gd name="connsiteX0" fmla="*/ 0 w 4580627"/>
                                      <a:gd name="connsiteY0" fmla="*/ 0 h 3666227"/>
                                      <a:gd name="connsiteX1" fmla="*/ 1768416 w 4580627"/>
                                      <a:gd name="connsiteY1" fmla="*/ 2087593 h 3666227"/>
                                      <a:gd name="connsiteX2" fmla="*/ 4580627 w 4580627"/>
                                      <a:gd name="connsiteY2" fmla="*/ 3666227 h 3666227"/>
                                    </a:gdLst>
                                    <a:ahLst/>
                                    <a:cxnLst>
                                      <a:cxn ang="0">
                                        <a:pos x="connsiteX0" y="connsiteY0"/>
                                      </a:cxn>
                                      <a:cxn ang="0">
                                        <a:pos x="connsiteX1" y="connsiteY1"/>
                                      </a:cxn>
                                      <a:cxn ang="0">
                                        <a:pos x="connsiteX2" y="connsiteY2"/>
                                      </a:cxn>
                                    </a:cxnLst>
                                    <a:rect l="l" t="t" r="r" b="b"/>
                                    <a:pathLst>
                                      <a:path w="4580627" h="3666227">
                                        <a:moveTo>
                                          <a:pt x="0" y="0"/>
                                        </a:moveTo>
                                        <a:cubicBezTo>
                                          <a:pt x="502489" y="738277"/>
                                          <a:pt x="1004978" y="1476555"/>
                                          <a:pt x="1768416" y="2087593"/>
                                        </a:cubicBezTo>
                                        <a:cubicBezTo>
                                          <a:pt x="2531854" y="2698631"/>
                                          <a:pt x="3556240" y="3182429"/>
                                          <a:pt x="4580627" y="3666227"/>
                                        </a:cubicBezTo>
                                      </a:path>
                                    </a:pathLst>
                                  </a:custGeom>
                                  <a:ln w="15875">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09" name="Поле 1609"/>
                                <wps:cNvSpPr txBox="1"/>
                                <wps:spPr>
                                  <a:xfrm>
                                    <a:off x="4000500" y="2390775"/>
                                    <a:ext cx="2076450" cy="98996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E40F8" w:rsidRPr="00AE56E7" w:rsidRDefault="00BE40F8" w:rsidP="00B233DE">
                                      <w:pPr>
                                        <w:ind w:firstLine="0"/>
                                        <w:jc w:val="center"/>
                                        <w:rPr>
                                          <w:rFonts w:ascii="Times New Roman" w:hAnsi="Times New Roman" w:cs="Times New Roman"/>
                                          <w:b/>
                                          <w:sz w:val="16"/>
                                          <w:szCs w:val="16"/>
                                        </w:rPr>
                                      </w:pPr>
                                      <w:r w:rsidRPr="00AE56E7">
                                        <w:rPr>
                                          <w:rFonts w:ascii="Times New Roman" w:hAnsi="Times New Roman" w:cs="Times New Roman"/>
                                          <w:b/>
                                          <w:sz w:val="16"/>
                                          <w:szCs w:val="16"/>
                                        </w:rPr>
                                        <w:t xml:space="preserve">Крива дієвості соціальної політики відповідно до головного принципу децентралізації – </w:t>
                                      </w:r>
                                    </w:p>
                                    <w:p w:rsidR="00BE40F8" w:rsidRPr="00AE56E7" w:rsidRDefault="00BE40F8" w:rsidP="00B233DE">
                                      <w:pPr>
                                        <w:ind w:firstLine="0"/>
                                        <w:jc w:val="center"/>
                                        <w:rPr>
                                          <w:rFonts w:ascii="Times New Roman" w:hAnsi="Times New Roman" w:cs="Times New Roman"/>
                                          <w:b/>
                                          <w:sz w:val="16"/>
                                          <w:szCs w:val="16"/>
                                        </w:rPr>
                                      </w:pPr>
                                      <w:r w:rsidRPr="00AE56E7">
                                        <w:rPr>
                                          <w:rFonts w:ascii="Times New Roman" w:hAnsi="Times New Roman" w:cs="Times New Roman"/>
                                          <w:b/>
                                          <w:sz w:val="16"/>
                                          <w:szCs w:val="16"/>
                                        </w:rPr>
                                        <w:t>субсидіарності</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610" name="Прямая со стрелкой 1610"/>
                                <wps:cNvCnPr/>
                                <wps:spPr>
                                  <a:xfrm>
                                    <a:off x="1152525" y="4876800"/>
                                    <a:ext cx="4804913"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611" name="Прямая соединительная линия 1611"/>
                                <wps:cNvCnPr/>
                                <wps:spPr>
                                  <a:xfrm>
                                    <a:off x="2524125" y="2171700"/>
                                    <a:ext cx="0" cy="279781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612" name="Прямая соединительная линия 1612"/>
                                <wps:cNvCnPr/>
                                <wps:spPr>
                                  <a:xfrm>
                                    <a:off x="4562475" y="3848100"/>
                                    <a:ext cx="0" cy="102743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613" name="Прямоугольник 1613"/>
                                <wps:cNvSpPr/>
                                <wps:spPr>
                                  <a:xfrm>
                                    <a:off x="1666717" y="4962336"/>
                                    <a:ext cx="327708" cy="2000175"/>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AE56E7" w:rsidRDefault="00BE40F8" w:rsidP="00B233DE">
                                      <w:pPr>
                                        <w:ind w:firstLine="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Pr="00AE56E7">
                                        <w:rPr>
                                          <w:rFonts w:ascii="Times New Roman" w:hAnsi="Times New Roman" w:cs="Times New Roman"/>
                                          <w:color w:val="000000" w:themeColor="text1"/>
                                          <w:sz w:val="16"/>
                                          <w:szCs w:val="16"/>
                                        </w:rPr>
                                        <w:t>Територіальна громада</w:t>
                                      </w:r>
                                    </w:p>
                                  </w:txbxContent>
                                </wps:txbx>
                                <wps:bodyPr rot="0" spcFirstLastPara="0" vertOverflow="overflow" horzOverflow="overflow" vert="vert270" wrap="square" lIns="0" tIns="0" rIns="0" bIns="0" numCol="1" spcCol="0" rtlCol="0" fromWordArt="0" anchor="ctr" anchorCtr="0" forceAA="0" compatLnSpc="1">
                                  <a:prstTxWarp prst="textNoShape">
                                    <a:avLst/>
                                  </a:prstTxWarp>
                                  <a:noAutofit/>
                                </wps:bodyPr>
                              </wps:wsp>
                              <wps:wsp>
                                <wps:cNvPr id="1614" name="Прямоугольник 1614"/>
                                <wps:cNvSpPr/>
                                <wps:spPr>
                                  <a:xfrm>
                                    <a:off x="2343150" y="4962525"/>
                                    <a:ext cx="327660" cy="1500505"/>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AE56E7" w:rsidRDefault="00BE40F8" w:rsidP="00B233DE">
                                      <w:pPr>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Pr="00AE56E7">
                                        <w:rPr>
                                          <w:rFonts w:ascii="Times New Roman" w:hAnsi="Times New Roman" w:cs="Times New Roman"/>
                                          <w:color w:val="000000" w:themeColor="text1"/>
                                          <w:sz w:val="16"/>
                                          <w:szCs w:val="16"/>
                                        </w:rPr>
                                        <w:t>Район</w:t>
                                      </w:r>
                                    </w:p>
                                  </w:txbxContent>
                                </wps:txbx>
                                <wps:bodyPr rot="0" spcFirstLastPara="0" vertOverflow="overflow" horzOverflow="overflow" vert="vert270" wrap="square" lIns="0" tIns="0" rIns="0" bIns="0" numCol="1" spcCol="0" rtlCol="0" fromWordArt="0" anchor="ctr" anchorCtr="0" forceAA="0" compatLnSpc="1">
                                  <a:prstTxWarp prst="textNoShape">
                                    <a:avLst/>
                                  </a:prstTxWarp>
                                  <a:noAutofit/>
                                </wps:bodyPr>
                              </wps:wsp>
                              <wps:wsp>
                                <wps:cNvPr id="1615" name="Прямоугольник 1615"/>
                                <wps:cNvSpPr/>
                                <wps:spPr>
                                  <a:xfrm>
                                    <a:off x="3028950" y="4962525"/>
                                    <a:ext cx="327660" cy="1500505"/>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AE56E7" w:rsidRDefault="00BE40F8" w:rsidP="00B233DE">
                                      <w:pPr>
                                        <w:rPr>
                                          <w:rFonts w:ascii="Times New Roman" w:hAnsi="Times New Roman" w:cs="Times New Roman"/>
                                          <w:color w:val="000000" w:themeColor="text1"/>
                                          <w:sz w:val="16"/>
                                          <w:szCs w:val="16"/>
                                        </w:rPr>
                                      </w:pPr>
                                      <w:r w:rsidRPr="00AE56E7">
                                        <w:rPr>
                                          <w:rFonts w:ascii="Times New Roman" w:hAnsi="Times New Roman" w:cs="Times New Roman"/>
                                          <w:color w:val="000000" w:themeColor="text1"/>
                                          <w:sz w:val="16"/>
                                          <w:szCs w:val="16"/>
                                        </w:rPr>
                                        <w:t>Область (регіон)</w:t>
                                      </w:r>
                                    </w:p>
                                  </w:txbxContent>
                                </wps:txbx>
                                <wps:bodyPr rot="0" spcFirstLastPara="0" vertOverflow="overflow" horzOverflow="overflow" vert="vert270" wrap="square" lIns="0" tIns="0" rIns="0" bIns="0" numCol="1" spcCol="0" rtlCol="0" fromWordArt="0" anchor="ctr" anchorCtr="0" forceAA="0" compatLnSpc="1">
                                  <a:prstTxWarp prst="textNoShape">
                                    <a:avLst/>
                                  </a:prstTxWarp>
                                  <a:noAutofit/>
                                </wps:bodyPr>
                              </wps:wsp>
                              <wps:wsp>
                                <wps:cNvPr id="1616" name="Прямоугольник 1616"/>
                                <wps:cNvSpPr/>
                                <wps:spPr>
                                  <a:xfrm>
                                    <a:off x="3714750" y="4962525"/>
                                    <a:ext cx="327660" cy="1500505"/>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AE56E7" w:rsidRDefault="00BE40F8" w:rsidP="00B233DE">
                                      <w:pPr>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Pr="00AE56E7">
                                        <w:rPr>
                                          <w:rFonts w:ascii="Times New Roman" w:hAnsi="Times New Roman" w:cs="Times New Roman"/>
                                          <w:color w:val="000000" w:themeColor="text1"/>
                                          <w:sz w:val="16"/>
                                          <w:szCs w:val="16"/>
                                        </w:rPr>
                                        <w:t>Країна</w:t>
                                      </w:r>
                                    </w:p>
                                  </w:txbxContent>
                                </wps:txbx>
                                <wps:bodyPr rot="0" spcFirstLastPara="0" vertOverflow="overflow" horzOverflow="overflow" vert="vert270" wrap="square" lIns="0" tIns="0" rIns="0" bIns="0" numCol="1" spcCol="0" rtlCol="0" fromWordArt="0" anchor="ctr" anchorCtr="0" forceAA="0" compatLnSpc="1">
                                  <a:prstTxWarp prst="textNoShape">
                                    <a:avLst/>
                                  </a:prstTxWarp>
                                  <a:noAutofit/>
                                </wps:bodyPr>
                              </wps:wsp>
                              <wps:wsp>
                                <wps:cNvPr id="1617" name="Прямоугольник 1617"/>
                                <wps:cNvSpPr/>
                                <wps:spPr>
                                  <a:xfrm>
                                    <a:off x="4381500" y="4962525"/>
                                    <a:ext cx="327660" cy="1500505"/>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AE56E7" w:rsidRDefault="00BE40F8" w:rsidP="00B233DE">
                                      <w:pPr>
                                        <w:ind w:firstLine="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Pr="00AE56E7">
                                        <w:rPr>
                                          <w:rFonts w:ascii="Times New Roman" w:hAnsi="Times New Roman" w:cs="Times New Roman"/>
                                          <w:color w:val="000000" w:themeColor="text1"/>
                                          <w:sz w:val="16"/>
                                          <w:szCs w:val="16"/>
                                        </w:rPr>
                                        <w:t>Міжнародний рівень</w:t>
                                      </w:r>
                                    </w:p>
                                  </w:txbxContent>
                                </wps:txbx>
                                <wps:bodyPr rot="0" spcFirstLastPara="0" vertOverflow="overflow" horzOverflow="overflow" vert="vert270" wrap="square" lIns="0" tIns="0" rIns="0" bIns="0" numCol="1" spcCol="0" rtlCol="0" fromWordArt="0" anchor="ctr" anchorCtr="0" forceAA="0" compatLnSpc="1">
                                  <a:prstTxWarp prst="textNoShape">
                                    <a:avLst/>
                                  </a:prstTxWarp>
                                  <a:noAutofit/>
                                </wps:bodyPr>
                              </wps:wsp>
                              <wps:wsp>
                                <wps:cNvPr id="1618" name="Прямоугольник 1618"/>
                                <wps:cNvSpPr/>
                                <wps:spPr>
                                  <a:xfrm>
                                    <a:off x="4933950" y="4962525"/>
                                    <a:ext cx="1026933" cy="681487"/>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AE56E7" w:rsidRDefault="00BE40F8" w:rsidP="00B233DE">
                                      <w:pPr>
                                        <w:ind w:firstLine="0"/>
                                        <w:jc w:val="center"/>
                                        <w:rPr>
                                          <w:rFonts w:ascii="Times New Roman" w:hAnsi="Times New Roman" w:cs="Times New Roman"/>
                                          <w:caps/>
                                          <w:color w:val="000000" w:themeColor="text1"/>
                                          <w:sz w:val="16"/>
                                          <w:szCs w:val="16"/>
                                        </w:rPr>
                                      </w:pPr>
                                      <w:r w:rsidRPr="00AE56E7">
                                        <w:rPr>
                                          <w:rFonts w:ascii="Times New Roman" w:hAnsi="Times New Roman" w:cs="Times New Roman"/>
                                          <w:caps/>
                                          <w:color w:val="000000" w:themeColor="text1"/>
                                          <w:sz w:val="16"/>
                                          <w:szCs w:val="16"/>
                                        </w:rPr>
                                        <w:t>Рівень соціальної політики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619" name="Прямоугольник 1619"/>
                                <wps:cNvSpPr/>
                                <wps:spPr>
                                  <a:xfrm>
                                    <a:off x="0" y="800100"/>
                                    <a:ext cx="1059815" cy="609924"/>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AE56E7" w:rsidRDefault="00BE40F8" w:rsidP="00B233DE">
                                      <w:pPr>
                                        <w:spacing w:line="216" w:lineRule="auto"/>
                                        <w:ind w:firstLine="0"/>
                                        <w:jc w:val="center"/>
                                        <w:rPr>
                                          <w:rFonts w:ascii="Times New Roman" w:hAnsi="Times New Roman" w:cs="Times New Roman"/>
                                          <w:color w:val="000000" w:themeColor="text1"/>
                                          <w:sz w:val="16"/>
                                          <w:szCs w:val="16"/>
                                        </w:rPr>
                                      </w:pPr>
                                      <w:r w:rsidRPr="00AE56E7">
                                        <w:rPr>
                                          <w:rFonts w:ascii="Times New Roman" w:hAnsi="Times New Roman" w:cs="Times New Roman"/>
                                          <w:color w:val="000000" w:themeColor="text1"/>
                                          <w:sz w:val="16"/>
                                          <w:szCs w:val="16"/>
                                        </w:rPr>
                                        <w:t>Соціальні від</w:t>
                                      </w:r>
                                      <w:r>
                                        <w:rPr>
                                          <w:rFonts w:ascii="Times New Roman" w:hAnsi="Times New Roman" w:cs="Times New Roman"/>
                                          <w:color w:val="000000" w:themeColor="text1"/>
                                          <w:sz w:val="16"/>
                                          <w:szCs w:val="16"/>
                                        </w:rPr>
                                        <w:t xml:space="preserve">-носини у </w:t>
                                      </w:r>
                                      <w:r w:rsidRPr="00AE56E7">
                                        <w:rPr>
                                          <w:rFonts w:ascii="Times New Roman" w:hAnsi="Times New Roman" w:cs="Times New Roman"/>
                                          <w:color w:val="000000" w:themeColor="text1"/>
                                          <w:sz w:val="16"/>
                                          <w:szCs w:val="16"/>
                                        </w:rPr>
                                        <w:t>ме</w:t>
                                      </w:r>
                                      <w:r>
                                        <w:rPr>
                                          <w:rFonts w:ascii="Times New Roman" w:hAnsi="Times New Roman" w:cs="Times New Roman"/>
                                          <w:color w:val="000000" w:themeColor="text1"/>
                                          <w:sz w:val="16"/>
                                          <w:szCs w:val="16"/>
                                        </w:rPr>
                                        <w:t>-</w:t>
                                      </w:r>
                                      <w:r w:rsidRPr="00AE56E7">
                                        <w:rPr>
                                          <w:rFonts w:ascii="Times New Roman" w:hAnsi="Times New Roman" w:cs="Times New Roman"/>
                                          <w:color w:val="000000" w:themeColor="text1"/>
                                          <w:sz w:val="16"/>
                                          <w:szCs w:val="16"/>
                                        </w:rPr>
                                        <w:t>жах територі</w:t>
                                      </w:r>
                                      <w:r>
                                        <w:rPr>
                                          <w:rFonts w:ascii="Times New Roman" w:hAnsi="Times New Roman" w:cs="Times New Roman"/>
                                          <w:color w:val="000000" w:themeColor="text1"/>
                                          <w:sz w:val="16"/>
                                          <w:szCs w:val="16"/>
                                        </w:rPr>
                                        <w:t>-</w:t>
                                      </w:r>
                                      <w:r w:rsidRPr="00AE56E7">
                                        <w:rPr>
                                          <w:rFonts w:ascii="Times New Roman" w:hAnsi="Times New Roman" w:cs="Times New Roman"/>
                                          <w:color w:val="000000" w:themeColor="text1"/>
                                          <w:sz w:val="16"/>
                                          <w:szCs w:val="16"/>
                                        </w:rPr>
                                        <w:t>альної громади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620" name="Прямоугольник 1620"/>
                                <wps:cNvSpPr/>
                                <wps:spPr>
                                  <a:xfrm>
                                    <a:off x="0" y="1695386"/>
                                    <a:ext cx="1059816" cy="476231"/>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AE56E7" w:rsidRDefault="00BE40F8" w:rsidP="00B233DE">
                                      <w:pPr>
                                        <w:spacing w:line="216" w:lineRule="auto"/>
                                        <w:ind w:firstLine="0"/>
                                        <w:jc w:val="center"/>
                                        <w:rPr>
                                          <w:rFonts w:ascii="Times New Roman" w:hAnsi="Times New Roman" w:cs="Times New Roman"/>
                                          <w:color w:val="000000" w:themeColor="text1"/>
                                          <w:sz w:val="16"/>
                                          <w:szCs w:val="16"/>
                                        </w:rPr>
                                      </w:pPr>
                                      <w:r w:rsidRPr="00AE56E7">
                                        <w:rPr>
                                          <w:rFonts w:ascii="Times New Roman" w:hAnsi="Times New Roman" w:cs="Times New Roman"/>
                                          <w:color w:val="000000" w:themeColor="text1"/>
                                          <w:sz w:val="16"/>
                                          <w:szCs w:val="16"/>
                                        </w:rPr>
                                        <w:t>Соціальні відносини у межах району</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621" name="Прямоугольник 1621"/>
                                <wps:cNvSpPr/>
                                <wps:spPr>
                                  <a:xfrm>
                                    <a:off x="0" y="2343060"/>
                                    <a:ext cx="1059816" cy="638152"/>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AE56E7" w:rsidRDefault="00BE40F8" w:rsidP="00B233DE">
                                      <w:pPr>
                                        <w:spacing w:line="216" w:lineRule="auto"/>
                                        <w:ind w:firstLine="0"/>
                                        <w:jc w:val="center"/>
                                        <w:rPr>
                                          <w:rFonts w:ascii="Times New Roman" w:hAnsi="Times New Roman" w:cs="Times New Roman"/>
                                          <w:color w:val="000000" w:themeColor="text1"/>
                                          <w:sz w:val="16"/>
                                          <w:szCs w:val="16"/>
                                        </w:rPr>
                                      </w:pPr>
                                      <w:r w:rsidRPr="00AE56E7">
                                        <w:rPr>
                                          <w:rFonts w:ascii="Times New Roman" w:hAnsi="Times New Roman" w:cs="Times New Roman"/>
                                          <w:color w:val="000000" w:themeColor="text1"/>
                                          <w:sz w:val="16"/>
                                          <w:szCs w:val="16"/>
                                        </w:rPr>
                                        <w:t>Соціальні відносини у межах області (регіону)</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622" name="Прямоугольник 1622"/>
                                <wps:cNvSpPr/>
                                <wps:spPr>
                                  <a:xfrm>
                                    <a:off x="0" y="3133725"/>
                                    <a:ext cx="1059815" cy="508959"/>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AE56E7" w:rsidRDefault="00BE40F8" w:rsidP="00B233DE">
                                      <w:pPr>
                                        <w:spacing w:line="216" w:lineRule="auto"/>
                                        <w:ind w:firstLine="0"/>
                                        <w:jc w:val="center"/>
                                        <w:rPr>
                                          <w:rFonts w:ascii="Times New Roman" w:hAnsi="Times New Roman" w:cs="Times New Roman"/>
                                          <w:color w:val="000000" w:themeColor="text1"/>
                                          <w:sz w:val="16"/>
                                          <w:szCs w:val="16"/>
                                        </w:rPr>
                                      </w:pPr>
                                      <w:r w:rsidRPr="00AE56E7">
                                        <w:rPr>
                                          <w:rFonts w:ascii="Times New Roman" w:hAnsi="Times New Roman" w:cs="Times New Roman"/>
                                          <w:color w:val="000000" w:themeColor="text1"/>
                                          <w:sz w:val="16"/>
                                          <w:szCs w:val="16"/>
                                        </w:rPr>
                                        <w:t>Соціальні відносини у межах країни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623" name="Прямоугольник 1623"/>
                                <wps:cNvSpPr/>
                                <wps:spPr>
                                  <a:xfrm>
                                    <a:off x="0" y="3943050"/>
                                    <a:ext cx="1059816" cy="684652"/>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AE56E7" w:rsidRDefault="00BE40F8" w:rsidP="00B233DE">
                                      <w:pPr>
                                        <w:spacing w:line="216" w:lineRule="auto"/>
                                        <w:ind w:firstLine="0"/>
                                        <w:jc w:val="center"/>
                                        <w:rPr>
                                          <w:rFonts w:ascii="Times New Roman" w:hAnsi="Times New Roman" w:cs="Times New Roman"/>
                                          <w:color w:val="000000" w:themeColor="text1"/>
                                          <w:sz w:val="16"/>
                                          <w:szCs w:val="16"/>
                                        </w:rPr>
                                      </w:pPr>
                                      <w:r w:rsidRPr="00AE56E7">
                                        <w:rPr>
                                          <w:rFonts w:ascii="Times New Roman" w:hAnsi="Times New Roman" w:cs="Times New Roman"/>
                                          <w:color w:val="000000" w:themeColor="text1"/>
                                          <w:sz w:val="16"/>
                                          <w:szCs w:val="16"/>
                                        </w:rPr>
                                        <w:t>Соціальні відносини міжнародного рівня</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624" name="Прямая соединительная линия 1624"/>
                                <wps:cNvCnPr/>
                                <wps:spPr>
                                  <a:xfrm flipH="1">
                                    <a:off x="1152525" y="57150"/>
                                    <a:ext cx="1104900" cy="1363980"/>
                                  </a:xfrm>
                                  <a:prstGeom prst="line">
                                    <a:avLst/>
                                  </a:prstGeom>
                                  <a:ln>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1625" name="Прямая соединительная линия 1625"/>
                                <wps:cNvCnPr/>
                                <wps:spPr>
                                  <a:xfrm flipH="1">
                                    <a:off x="1152525" y="57150"/>
                                    <a:ext cx="1704340" cy="2111375"/>
                                  </a:xfrm>
                                  <a:prstGeom prst="line">
                                    <a:avLst/>
                                  </a:prstGeom>
                                  <a:ln>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1626" name="Прямая соединительная линия 1626"/>
                                <wps:cNvCnPr/>
                                <wps:spPr>
                                  <a:xfrm flipH="1">
                                    <a:off x="1162050" y="495300"/>
                                    <a:ext cx="2030095" cy="2421890"/>
                                  </a:xfrm>
                                  <a:prstGeom prst="line">
                                    <a:avLst/>
                                  </a:prstGeom>
                                  <a:ln>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1627" name="Прямая соединительная линия 1627"/>
                                <wps:cNvCnPr/>
                                <wps:spPr>
                                  <a:xfrm flipH="1">
                                    <a:off x="1152525" y="1333500"/>
                                    <a:ext cx="2047875" cy="2412365"/>
                                  </a:xfrm>
                                  <a:prstGeom prst="line">
                                    <a:avLst/>
                                  </a:prstGeom>
                                  <a:ln>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1628" name="Прямая соединительная линия 1628"/>
                                <wps:cNvCnPr/>
                                <wps:spPr>
                                  <a:xfrm flipH="1">
                                    <a:off x="1152525" y="2171700"/>
                                    <a:ext cx="2038985" cy="2456180"/>
                                  </a:xfrm>
                                  <a:prstGeom prst="line">
                                    <a:avLst/>
                                  </a:prstGeom>
                                  <a:ln>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1629" name="Прямая соединительная линия 1629"/>
                                <wps:cNvCnPr/>
                                <wps:spPr>
                                  <a:xfrm flipH="1">
                                    <a:off x="1704975" y="2981325"/>
                                    <a:ext cx="1500505" cy="1901825"/>
                                  </a:xfrm>
                                  <a:prstGeom prst="line">
                                    <a:avLst/>
                                  </a:prstGeom>
                                  <a:ln>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1630" name="Прямая соединительная линия 1630"/>
                                <wps:cNvCnPr/>
                                <wps:spPr>
                                  <a:xfrm flipH="1">
                                    <a:off x="2400300" y="3943350"/>
                                    <a:ext cx="791845" cy="946150"/>
                                  </a:xfrm>
                                  <a:prstGeom prst="line">
                                    <a:avLst/>
                                  </a:prstGeom>
                                  <a:ln>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wps:wsp>
                                <wps:cNvPr id="1631" name="Прямая со стрелкой 1631"/>
                                <wps:cNvCnPr/>
                                <wps:spPr>
                                  <a:xfrm>
                                    <a:off x="4562475" y="3714750"/>
                                    <a:ext cx="327025" cy="21399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632" name="Прямая со стрелкой 1632"/>
                                <wps:cNvCnPr/>
                                <wps:spPr>
                                  <a:xfrm flipH="1" flipV="1">
                                    <a:off x="3876675" y="3248025"/>
                                    <a:ext cx="361950" cy="2762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633" name="Прямоугольник 1633"/>
                                <wps:cNvSpPr/>
                                <wps:spPr>
                                  <a:xfrm rot="2457881">
                                    <a:off x="3324225" y="2933700"/>
                                    <a:ext cx="675640" cy="269240"/>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AE56E7" w:rsidRDefault="00BE40F8" w:rsidP="00B233DE">
                                      <w:pPr>
                                        <w:ind w:firstLine="0"/>
                                        <w:jc w:val="center"/>
                                        <w:rPr>
                                          <w:rFonts w:ascii="Times New Roman" w:hAnsi="Times New Roman" w:cs="Times New Roman"/>
                                          <w:b/>
                                          <w:color w:val="000000" w:themeColor="text1"/>
                                          <w:sz w:val="16"/>
                                          <w:szCs w:val="16"/>
                                          <w:lang w:val="en-US"/>
                                        </w:rPr>
                                      </w:pPr>
                                      <w:r w:rsidRPr="00AE56E7">
                                        <w:rPr>
                                          <w:rFonts w:ascii="Times New Roman" w:hAnsi="Times New Roman" w:cs="Times New Roman"/>
                                          <w:b/>
                                          <w:color w:val="000000" w:themeColor="text1"/>
                                          <w:sz w:val="16"/>
                                          <w:szCs w:val="16"/>
                                          <w:lang w:val="en-US"/>
                                        </w:rPr>
                                        <w:t>max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34" name="Прямоугольник 1634"/>
                                <wps:cNvSpPr/>
                                <wps:spPr>
                                  <a:xfrm rot="1532190">
                                    <a:off x="4819650" y="3905250"/>
                                    <a:ext cx="675640" cy="269240"/>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AE56E7" w:rsidRDefault="00BE40F8" w:rsidP="00B233DE">
                                      <w:pPr>
                                        <w:ind w:firstLine="0"/>
                                        <w:jc w:val="center"/>
                                        <w:rPr>
                                          <w:rFonts w:ascii="Times New Roman" w:hAnsi="Times New Roman" w:cs="Times New Roman"/>
                                          <w:b/>
                                          <w:color w:val="000000" w:themeColor="text1"/>
                                          <w:sz w:val="16"/>
                                          <w:szCs w:val="16"/>
                                          <w:lang w:val="en-US"/>
                                        </w:rPr>
                                      </w:pPr>
                                      <w:r w:rsidRPr="00AE56E7">
                                        <w:rPr>
                                          <w:rFonts w:ascii="Times New Roman" w:hAnsi="Times New Roman" w:cs="Times New Roman"/>
                                          <w:b/>
                                          <w:color w:val="000000" w:themeColor="text1"/>
                                          <w:sz w:val="16"/>
                                          <w:szCs w:val="16"/>
                                          <w:lang w:val="en-US"/>
                                        </w:rPr>
                                        <w:t>min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35" name="Прямая со стрелкой 1635"/>
                                <wps:cNvCnPr/>
                                <wps:spPr>
                                  <a:xfrm flipH="1">
                                    <a:off x="4381500" y="3381375"/>
                                    <a:ext cx="256540" cy="33401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636" name="Прямоугольник 1636"/>
                                <wps:cNvSpPr/>
                                <wps:spPr>
                                  <a:xfrm>
                                    <a:off x="0" y="0"/>
                                    <a:ext cx="1123315" cy="500380"/>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AE56E7" w:rsidRDefault="00BE40F8" w:rsidP="00B233DE">
                                      <w:pPr>
                                        <w:spacing w:line="216" w:lineRule="auto"/>
                                        <w:ind w:left="-142" w:right="-188" w:firstLine="0"/>
                                        <w:jc w:val="center"/>
                                        <w:rPr>
                                          <w:rFonts w:ascii="Times New Roman" w:hAnsi="Times New Roman" w:cs="Times New Roman"/>
                                          <w:caps/>
                                          <w:color w:val="000000" w:themeColor="text1"/>
                                          <w:sz w:val="16"/>
                                          <w:szCs w:val="16"/>
                                        </w:rPr>
                                      </w:pPr>
                                      <w:r w:rsidRPr="00AE56E7">
                                        <w:rPr>
                                          <w:rFonts w:ascii="Times New Roman" w:hAnsi="Times New Roman" w:cs="Times New Roman"/>
                                          <w:caps/>
                                          <w:color w:val="000000" w:themeColor="text1"/>
                                          <w:sz w:val="16"/>
                                          <w:szCs w:val="16"/>
                                        </w:rPr>
                                        <w:t>Об’єкт соціальної політики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637" name="Прямая со стрелкой 1637"/>
                                <wps:cNvCnPr/>
                                <wps:spPr>
                                  <a:xfrm>
                                    <a:off x="2857500" y="4886325"/>
                                    <a:ext cx="0" cy="2076450"/>
                                  </a:xfrm>
                                  <a:prstGeom prst="straightConnector1">
                                    <a:avLst/>
                                  </a:prstGeom>
                                  <a:ln w="12700">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wps:wsp>
                                <wps:cNvPr id="1638" name="Поле 1638"/>
                                <wps:cNvSpPr txBox="1"/>
                                <wps:spPr>
                                  <a:xfrm>
                                    <a:off x="2609850" y="6962775"/>
                                    <a:ext cx="2182495" cy="4857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E40F8" w:rsidRPr="00AE56E7" w:rsidRDefault="00BE40F8" w:rsidP="00B233DE">
                                      <w:pPr>
                                        <w:ind w:firstLine="0"/>
                                        <w:jc w:val="center"/>
                                        <w:rPr>
                                          <w:rFonts w:ascii="Times New Roman" w:hAnsi="Times New Roman" w:cs="Times New Roman"/>
                                          <w:sz w:val="16"/>
                                          <w:szCs w:val="16"/>
                                        </w:rPr>
                                      </w:pPr>
                                      <w:r w:rsidRPr="00AE56E7">
                                        <w:rPr>
                                          <w:rFonts w:ascii="Times New Roman" w:hAnsi="Times New Roman" w:cs="Times New Roman"/>
                                          <w:sz w:val="16"/>
                                          <w:szCs w:val="16"/>
                                        </w:rPr>
                                        <w:t>Обласні ради, їх виконавчі органи, територіальні громади</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639" name="Поле 1639"/>
                                <wps:cNvSpPr txBox="1"/>
                                <wps:spPr>
                                  <a:xfrm>
                                    <a:off x="1933575" y="7439025"/>
                                    <a:ext cx="2858770" cy="4857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E40F8" w:rsidRPr="00AE56E7" w:rsidRDefault="00BE40F8" w:rsidP="00B233DE">
                                      <w:pPr>
                                        <w:ind w:firstLine="0"/>
                                        <w:jc w:val="center"/>
                                        <w:rPr>
                                          <w:rFonts w:ascii="Times New Roman" w:hAnsi="Times New Roman" w:cs="Times New Roman"/>
                                          <w:sz w:val="16"/>
                                          <w:szCs w:val="16"/>
                                        </w:rPr>
                                      </w:pPr>
                                      <w:r w:rsidRPr="00AE56E7">
                                        <w:rPr>
                                          <w:rFonts w:ascii="Times New Roman" w:hAnsi="Times New Roman" w:cs="Times New Roman"/>
                                          <w:sz w:val="16"/>
                                          <w:szCs w:val="16"/>
                                        </w:rPr>
                                        <w:t>Районні ради, їх виконавчі органи, територіальні громади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40" name="Поле 1640"/>
                                <wps:cNvSpPr txBox="1"/>
                                <wps:spPr>
                                  <a:xfrm>
                                    <a:off x="1171575" y="7915275"/>
                                    <a:ext cx="3620770" cy="4762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E40F8" w:rsidRPr="00AE56E7" w:rsidRDefault="00BE40F8" w:rsidP="00B233DE">
                                      <w:pPr>
                                        <w:ind w:firstLine="0"/>
                                        <w:jc w:val="center"/>
                                        <w:rPr>
                                          <w:rFonts w:ascii="Times New Roman" w:hAnsi="Times New Roman" w:cs="Times New Roman"/>
                                          <w:sz w:val="16"/>
                                          <w:szCs w:val="16"/>
                                        </w:rPr>
                                      </w:pPr>
                                      <w:r w:rsidRPr="00AE56E7">
                                        <w:rPr>
                                          <w:rFonts w:ascii="Times New Roman" w:hAnsi="Times New Roman" w:cs="Times New Roman"/>
                                          <w:sz w:val="16"/>
                                          <w:szCs w:val="16"/>
                                        </w:rPr>
                                        <w:t>Місцеві ради, їх виконавчі органи, органи самоорганізації населення, територіальні громади</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641" name="Прямая со стрелкой 1641"/>
                                <wps:cNvCnPr/>
                                <wps:spPr>
                                  <a:xfrm>
                                    <a:off x="2190750" y="4886325"/>
                                    <a:ext cx="0" cy="2562225"/>
                                  </a:xfrm>
                                  <a:prstGeom prst="straightConnector1">
                                    <a:avLst/>
                                  </a:prstGeom>
                                  <a:ln w="12700">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wps:wsp>
                                <wps:cNvPr id="1642" name="Прямая со стрелкой 1642"/>
                                <wps:cNvCnPr/>
                                <wps:spPr>
                                  <a:xfrm>
                                    <a:off x="1485900" y="4886325"/>
                                    <a:ext cx="0" cy="3028950"/>
                                  </a:xfrm>
                                  <a:prstGeom prst="straightConnector1">
                                    <a:avLst/>
                                  </a:prstGeom>
                                  <a:ln w="12700">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wps:wsp>
                                <wps:cNvPr id="1643" name="Правая фигурная скобка 1643"/>
                                <wps:cNvSpPr/>
                                <wps:spPr>
                                  <a:xfrm>
                                    <a:off x="4867275" y="6391275"/>
                                    <a:ext cx="190500" cy="2000250"/>
                                  </a:xfrm>
                                  <a:prstGeom prst="righ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44" name="Поле 1644"/>
                                <wps:cNvSpPr txBox="1"/>
                                <wps:spPr>
                                  <a:xfrm>
                                    <a:off x="5057775" y="6391275"/>
                                    <a:ext cx="897255" cy="20002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E40F8" w:rsidRPr="00AE56E7" w:rsidRDefault="00BE40F8" w:rsidP="00B233DE">
                                      <w:pPr>
                                        <w:spacing w:line="216" w:lineRule="auto"/>
                                        <w:ind w:firstLine="0"/>
                                        <w:jc w:val="center"/>
                                        <w:rPr>
                                          <w:rFonts w:ascii="Times New Roman" w:hAnsi="Times New Roman" w:cs="Times New Roman"/>
                                          <w:sz w:val="16"/>
                                          <w:szCs w:val="16"/>
                                        </w:rPr>
                                      </w:pPr>
                                      <w:r w:rsidRPr="00AE56E7">
                                        <w:rPr>
                                          <w:rFonts w:ascii="Times New Roman" w:hAnsi="Times New Roman" w:cs="Times New Roman"/>
                                          <w:sz w:val="16"/>
                                          <w:szCs w:val="16"/>
                                        </w:rPr>
                                        <w:t>Суб’єкти соціальної регіональної політики, в управлінні яких знаходиться комунальна власність</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wps:wsp>
                                <wps:cNvPr id="1645" name="Поле 1645"/>
                                <wps:cNvSpPr txBox="1"/>
                                <wps:spPr>
                                  <a:xfrm>
                                    <a:off x="3238500" y="6391275"/>
                                    <a:ext cx="1550035" cy="5715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E40F8" w:rsidRPr="00AE56E7" w:rsidRDefault="00BE40F8" w:rsidP="00B233DE">
                                      <w:pPr>
                                        <w:jc w:val="center"/>
                                        <w:rPr>
                                          <w:rFonts w:ascii="Times New Roman" w:hAnsi="Times New Roman" w:cs="Times New Roman"/>
                                          <w:sz w:val="16"/>
                                          <w:szCs w:val="16"/>
                                        </w:rPr>
                                      </w:pPr>
                                      <w:r w:rsidRPr="00AE56E7">
                                        <w:rPr>
                                          <w:rFonts w:ascii="Times New Roman" w:hAnsi="Times New Roman" w:cs="Times New Roman"/>
                                          <w:sz w:val="16"/>
                                          <w:szCs w:val="16"/>
                                        </w:rPr>
                                        <w:t>Асоціація територіальних громад України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646" name="Прямая со стрелкой 1646"/>
                                <wps:cNvCnPr/>
                                <wps:spPr>
                                  <a:xfrm>
                                    <a:off x="3533775" y="4886325"/>
                                    <a:ext cx="0" cy="1504950"/>
                                  </a:xfrm>
                                  <a:prstGeom prst="straightConnector1">
                                    <a:avLst/>
                                  </a:prstGeom>
                                  <a:ln w="12700">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wps:wsp>
                                <wps:cNvPr id="1647" name="Прямоугольник 1647"/>
                                <wps:cNvSpPr/>
                                <wps:spPr>
                                  <a:xfrm>
                                    <a:off x="3205480" y="3381375"/>
                                    <a:ext cx="671195" cy="1495425"/>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AE56E7" w:rsidRDefault="00BE40F8" w:rsidP="00B233DE">
                                      <w:pPr>
                                        <w:spacing w:line="192" w:lineRule="auto"/>
                                        <w:jc w:val="center"/>
                                        <w:rPr>
                                          <w:rFonts w:ascii="Times New Roman" w:hAnsi="Times New Roman" w:cs="Times New Roman"/>
                                          <w:i/>
                                          <w:color w:val="000000" w:themeColor="text1"/>
                                          <w:sz w:val="16"/>
                                          <w:szCs w:val="16"/>
                                        </w:rPr>
                                      </w:pPr>
                                      <w:r w:rsidRPr="00AE56E7">
                                        <w:rPr>
                                          <w:rFonts w:ascii="Times New Roman" w:hAnsi="Times New Roman" w:cs="Times New Roman"/>
                                          <w:i/>
                                          <w:color w:val="000000" w:themeColor="text1"/>
                                          <w:sz w:val="16"/>
                                          <w:szCs w:val="16"/>
                                        </w:rPr>
                                        <w:t>Представництво тери-торіальних громад у розробці базових правил функціонування комунальної власності</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1648" name="Выноска со стрелкой влево 1648"/>
                                <wps:cNvSpPr/>
                                <wps:spPr>
                                  <a:xfrm>
                                    <a:off x="3028950" y="0"/>
                                    <a:ext cx="2923540" cy="1516380"/>
                                  </a:xfrm>
                                  <a:prstGeom prst="leftArrowCallout">
                                    <a:avLst>
                                      <a:gd name="adj1" fmla="val 7514"/>
                                      <a:gd name="adj2" fmla="val 12432"/>
                                      <a:gd name="adj3" fmla="val 25000"/>
                                      <a:gd name="adj4" fmla="val 83326"/>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E40F8" w:rsidRPr="00AE56E7" w:rsidRDefault="00BE40F8" w:rsidP="00B233DE">
                                      <w:pPr>
                                        <w:ind w:firstLine="0"/>
                                        <w:jc w:val="center"/>
                                        <w:rPr>
                                          <w:rFonts w:ascii="Times New Roman" w:hAnsi="Times New Roman" w:cs="Times New Roman"/>
                                          <w:caps/>
                                          <w:color w:val="000000" w:themeColor="text1"/>
                                          <w:sz w:val="16"/>
                                          <w:szCs w:val="16"/>
                                          <w:u w:val="single"/>
                                        </w:rPr>
                                      </w:pPr>
                                      <w:r w:rsidRPr="00AE56E7">
                                        <w:rPr>
                                          <w:rFonts w:ascii="Times New Roman" w:hAnsi="Times New Roman" w:cs="Times New Roman"/>
                                          <w:caps/>
                                          <w:color w:val="000000" w:themeColor="text1"/>
                                          <w:sz w:val="16"/>
                                          <w:szCs w:val="16"/>
                                          <w:u w:val="single"/>
                                        </w:rPr>
                                        <w:t>Сфера функціонування соціальної регіональної політики:</w:t>
                                      </w:r>
                                    </w:p>
                                    <w:p w:rsidR="00BE40F8" w:rsidRPr="00AE56E7" w:rsidRDefault="00BE40F8" w:rsidP="00B233DE">
                                      <w:pPr>
                                        <w:ind w:firstLine="0"/>
                                        <w:jc w:val="center"/>
                                        <w:rPr>
                                          <w:rFonts w:ascii="Times New Roman" w:hAnsi="Times New Roman" w:cs="Times New Roman"/>
                                          <w:b/>
                                          <w:color w:val="000000" w:themeColor="text1"/>
                                          <w:sz w:val="16"/>
                                          <w:szCs w:val="16"/>
                                        </w:rPr>
                                      </w:pPr>
                                      <w:r w:rsidRPr="00AE56E7">
                                        <w:rPr>
                                          <w:rFonts w:ascii="Times New Roman" w:hAnsi="Times New Roman" w:cs="Times New Roman"/>
                                          <w:b/>
                                          <w:color w:val="000000" w:themeColor="text1"/>
                                          <w:sz w:val="16"/>
                                          <w:szCs w:val="16"/>
                                        </w:rPr>
                                        <w:t>застосування принципу «дозволено все, що не заборонено»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grpSp>
                    </wpg:wgp>
                  </a:graphicData>
                </a:graphic>
                <wp14:sizeRelH relativeFrom="margin">
                  <wp14:pctWidth>0</wp14:pctWidth>
                </wp14:sizeRelH>
                <wp14:sizeRelV relativeFrom="margin">
                  <wp14:pctHeight>0</wp14:pctHeight>
                </wp14:sizeRelV>
              </wp:anchor>
            </w:drawing>
          </mc:Choice>
          <mc:Fallback>
            <w:pict>
              <v:group w14:anchorId="751615DF" id="Группа 1266" o:spid="_x0000_s2257" style="position:absolute;left:0;text-align:left;margin-left:1.95pt;margin-top:3.95pt;width:304.1pt;height:438.65pt;z-index:251709440;mso-position-horizontal-relative:text;mso-position-vertical-relative:text;mso-width-relative:margin;mso-height-relative:margin" coordsize="60769,839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">
                <v:shape id="Прямая со стрелкой 1267" o:spid="_x0000_s2258" type="#_x0000_t32" style="position:absolute;left:11525;width:0;height:4875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" strokecolor="black [3213]">
                  <v:stroke endarrow="open"/>
                </v:shape>
                <v:group id="Группа 1328" o:spid="_x0000_s2259" style="position:absolute;width:60769;height:83915" coordsize="60769,83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">
                  <v:line id="Прямая соединительная линия 1329" o:spid="_x0000_s2260" style="position:absolute;flip:x;visibility:visible;mso-wrap-style:square" from="10668,11334" to="11525,11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" strokecolor="black [3213]"/>
                  <v:group id="Группа 1332" o:spid="_x0000_s2261" style="position:absolute;width:60769;height:83915" coordsize="60769,83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">
                    <v:line id="Прямая соединительная линия 1370" o:spid="_x0000_s2262" style="position:absolute;visibility:visible;mso-wrap-style:square" from="39528,34575" to="39528,48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" strokecolor="black [3213]">
                      <v:stroke dashstyle="dash"/>
                    </v:line>
                    <v:line id="Прямая соединительная линия 1600" o:spid="_x0000_s2263" style="position:absolute;flip:x;visibility:visible;mso-wrap-style:square" from="30765,47529" to="31953,48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" strokecolor="black [3213]">
                      <v:stroke dashstyle="1 1"/>
                    </v:line>
                    <v:group id="Группа 1601" o:spid="_x0000_s2264" style="position:absolute;width:60769;height:83915" coordsize="60769,83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">
                      <v:line id="Прямая соединительная линия 1602" o:spid="_x0000_s2265" style="position:absolute;visibility:visible;mso-wrap-style:square" from="18288,11239" to="18294,49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" strokecolor="black [3213]">
                        <v:stroke dashstyle="dash"/>
                      </v:line>
                      <v:line id="Прямая соединительная линия 1603" o:spid="_x0000_s2266" style="position:absolute;visibility:visible;mso-wrap-style:square" from="32004,28956" to="32004,496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" strokecolor="black [3213]">
                        <v:stroke dashstyle="dash"/>
                      </v:line>
                      <v:group id="Группа 1604" o:spid="_x0000_s2267" style="position:absolute;width:60769;height:83915" coordsize="60769,83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">
                        <v:rect id="Прямоугольник 1605" o:spid="_x0000_s2268" style="position:absolute;left:11525;top:16192;width:6811;height:325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" filled="f" stroked="f" strokeweight="1pt">
                          <v:textbox style="layout-flow:vertical;mso-layout-flow-alt:bottom-to-top">
                            <w:txbxContent>
                              <w:p w:rsidR="00BE40F8" w:rsidRPr="00AE56E7" w:rsidRDefault="00BE40F8" w:rsidP="00B233DE">
                                <w:pPr>
                                  <w:jc w:val="center"/>
                                  <w:rPr>
                                    <w:rFonts w:ascii="Times New Roman" w:hAnsi="Times New Roman" w:cs="Times New Roman"/>
                                    <w:i/>
                                    <w:color w:val="000000" w:themeColor="text1"/>
                                    <w:sz w:val="16"/>
                                    <w:szCs w:val="16"/>
                                  </w:rPr>
                                </w:pPr>
                                <w:r w:rsidRPr="00AE56E7">
                                  <w:rPr>
                                    <w:rFonts w:ascii="Times New Roman" w:hAnsi="Times New Roman" w:cs="Times New Roman"/>
                                    <w:i/>
                                    <w:color w:val="000000" w:themeColor="text1"/>
                                    <w:sz w:val="16"/>
                                    <w:szCs w:val="16"/>
                                  </w:rPr>
                                  <w:t>Комунальна власність, яка знаходиться в управлінні безпосередньо територіальних громад і місцевих органів місцевого самоврядування</w:t>
                                </w:r>
                              </w:p>
                            </w:txbxContent>
                          </v:textbox>
                        </v:rect>
                        <v:rect id="Прямоугольник 1606" o:spid="_x0000_s2269" style="position:absolute;left:18478;top:25527;width:6807;height:23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" filled="f" stroked="f" strokeweight="1pt">
                          <v:textbox style="layout-flow:vertical;mso-layout-flow-alt:bottom-to-top">
                            <w:txbxContent>
                              <w:p w:rsidR="00BE40F8" w:rsidRPr="00AE56E7" w:rsidRDefault="00BE40F8" w:rsidP="00B233DE">
                                <w:pPr>
                                  <w:jc w:val="center"/>
                                  <w:rPr>
                                    <w:rFonts w:ascii="Times New Roman" w:hAnsi="Times New Roman" w:cs="Times New Roman"/>
                                    <w:i/>
                                    <w:color w:val="000000" w:themeColor="text1"/>
                                    <w:sz w:val="16"/>
                                    <w:szCs w:val="16"/>
                                  </w:rPr>
                                </w:pPr>
                                <w:r w:rsidRPr="00AE56E7">
                                  <w:rPr>
                                    <w:rFonts w:ascii="Times New Roman" w:hAnsi="Times New Roman" w:cs="Times New Roman"/>
                                    <w:i/>
                                    <w:color w:val="000000" w:themeColor="text1"/>
                                    <w:sz w:val="16"/>
                                    <w:szCs w:val="16"/>
                                  </w:rPr>
                                  <w:t>Комунальна власність, яка знаходиться в управлінні районних органів місцевого самоврядування</w:t>
                                </w:r>
                              </w:p>
                            </w:txbxContent>
                          </v:textbox>
                        </v:rect>
                        <v:rect id="Прямоугольник 1607" o:spid="_x0000_s2270" style="position:absolute;left:25146;top:31337;width:6807;height:174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" filled="f" stroked="f" strokeweight="1pt">
                          <v:textbox style="layout-flow:vertical;mso-layout-flow-alt:bottom-to-top">
                            <w:txbxContent>
                              <w:p w:rsidR="00BE40F8" w:rsidRPr="00AE56E7" w:rsidRDefault="00BE40F8" w:rsidP="00B233DE">
                                <w:pPr>
                                  <w:spacing w:line="192" w:lineRule="auto"/>
                                  <w:jc w:val="center"/>
                                  <w:rPr>
                                    <w:rFonts w:ascii="Times New Roman" w:hAnsi="Times New Roman" w:cs="Times New Roman"/>
                                    <w:i/>
                                    <w:color w:val="000000" w:themeColor="text1"/>
                                    <w:sz w:val="16"/>
                                    <w:szCs w:val="16"/>
                                  </w:rPr>
                                </w:pPr>
                                <w:r w:rsidRPr="00AE56E7">
                                  <w:rPr>
                                    <w:rFonts w:ascii="Times New Roman" w:hAnsi="Times New Roman" w:cs="Times New Roman"/>
                                    <w:i/>
                                    <w:color w:val="000000" w:themeColor="text1"/>
                                    <w:sz w:val="16"/>
                                    <w:szCs w:val="16"/>
                                  </w:rPr>
                                  <w:t>Комунальна власність, яка знаходиться в управлінні обласних органів місцевого самоврядування</w:t>
                                </w:r>
                              </w:p>
                            </w:txbxContent>
                          </v:textbox>
                        </v:rect>
                        <v:shape id="Полилиния 1608" o:spid="_x0000_s2271" style="position:absolute;left:14859;top:5429;width:43643;height:40189;visibility:visible;mso-wrap-style:square;v-text-anchor:middle" coordsize="4580627,36662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" path="m,c502489,738277,1004978,1476555,1768416,2087593v763438,611038,1787824,1094836,2812211,1578634e" filled="f" strokecolor="black [3213]" strokeweight="1.25pt">
                          <v:path arrowok="t" o:connecttype="custom" o:connectlocs="0,0;1684921,2288418;4364355,4018915" o:connectangles="0,0,0"/>
                        </v:shape>
                        <v:shape id="Поле 1609" o:spid="_x0000_s2272" type="#_x0000_t202" style="position:absolute;left:40005;top:23907;width:20764;height:9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" fillcolor="white [3201]" stroked="f" strokeweight=".5pt">
                          <v:textbox inset="0,0,0,0">
                            <w:txbxContent>
                              <w:p w:rsidR="00BE40F8" w:rsidRPr="00AE56E7" w:rsidRDefault="00BE40F8" w:rsidP="00B233DE">
                                <w:pPr>
                                  <w:ind w:firstLine="0"/>
                                  <w:jc w:val="center"/>
                                  <w:rPr>
                                    <w:rFonts w:ascii="Times New Roman" w:hAnsi="Times New Roman" w:cs="Times New Roman"/>
                                    <w:b/>
                                    <w:sz w:val="16"/>
                                    <w:szCs w:val="16"/>
                                  </w:rPr>
                                </w:pPr>
                                <w:r w:rsidRPr="00AE56E7">
                                  <w:rPr>
                                    <w:rFonts w:ascii="Times New Roman" w:hAnsi="Times New Roman" w:cs="Times New Roman"/>
                                    <w:b/>
                                    <w:sz w:val="16"/>
                                    <w:szCs w:val="16"/>
                                  </w:rPr>
                                  <w:t xml:space="preserve">Крива дієвості соціальної політики відповідно до головного принципу децентралізації – </w:t>
                                </w:r>
                              </w:p>
                              <w:p w:rsidR="00BE40F8" w:rsidRPr="00AE56E7" w:rsidRDefault="00BE40F8" w:rsidP="00B233DE">
                                <w:pPr>
                                  <w:ind w:firstLine="0"/>
                                  <w:jc w:val="center"/>
                                  <w:rPr>
                                    <w:rFonts w:ascii="Times New Roman" w:hAnsi="Times New Roman" w:cs="Times New Roman"/>
                                    <w:b/>
                                    <w:sz w:val="16"/>
                                    <w:szCs w:val="16"/>
                                  </w:rPr>
                                </w:pPr>
                                <w:r w:rsidRPr="00AE56E7">
                                  <w:rPr>
                                    <w:rFonts w:ascii="Times New Roman" w:hAnsi="Times New Roman" w:cs="Times New Roman"/>
                                    <w:b/>
                                    <w:sz w:val="16"/>
                                    <w:szCs w:val="16"/>
                                  </w:rPr>
                                  <w:t>субсидіарності</w:t>
                                </w:r>
                              </w:p>
                            </w:txbxContent>
                          </v:textbox>
                        </v:shape>
                        <v:shape id="Прямая со стрелкой 1610" o:spid="_x0000_s2273" type="#_x0000_t32" style="position:absolute;left:11525;top:48768;width:480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" strokecolor="black [3213]">
                          <v:stroke endarrow="open"/>
                        </v:shape>
                        <v:line id="Прямая соединительная линия 1611" o:spid="_x0000_s2274" style="position:absolute;visibility:visible;mso-wrap-style:square" from="25241,21717" to="25241,496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" strokecolor="black [3213]">
                          <v:stroke dashstyle="dash"/>
                        </v:line>
                        <v:line id="Прямая соединительная линия 1612" o:spid="_x0000_s2275" style="position:absolute;visibility:visible;mso-wrap-style:square" from="45624,38481" to="45624,48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" strokecolor="black [3213]">
                          <v:stroke dashstyle="dash"/>
                        </v:line>
                        <v:rect id="Прямоугольник 1613" o:spid="_x0000_s2276" style="position:absolute;left:16667;top:49623;width:3277;height:20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" filled="f" stroked="f" strokeweight="1pt">
                          <v:textbox style="layout-flow:vertical;mso-layout-flow-alt:bottom-to-top" inset="0,0,0,0">
                            <w:txbxContent>
                              <w:p w:rsidR="00BE40F8" w:rsidRPr="00AE56E7" w:rsidRDefault="00BE40F8" w:rsidP="00B233DE">
                                <w:pPr>
                                  <w:ind w:firstLine="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Pr="00AE56E7">
                                  <w:rPr>
                                    <w:rFonts w:ascii="Times New Roman" w:hAnsi="Times New Roman" w:cs="Times New Roman"/>
                                    <w:color w:val="000000" w:themeColor="text1"/>
                                    <w:sz w:val="16"/>
                                    <w:szCs w:val="16"/>
                                  </w:rPr>
                                  <w:t>Територіальна громада</w:t>
                                </w:r>
                              </w:p>
                            </w:txbxContent>
                          </v:textbox>
                        </v:rect>
                        <v:rect id="Прямоугольник 1614" o:spid="_x0000_s2277" style="position:absolute;left:23431;top:49625;width:3277;height:150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" filled="f" stroked="f" strokeweight="1pt">
                          <v:textbox style="layout-flow:vertical;mso-layout-flow-alt:bottom-to-top" inset="0,0,0,0">
                            <w:txbxContent>
                              <w:p w:rsidR="00BE40F8" w:rsidRPr="00AE56E7" w:rsidRDefault="00BE40F8" w:rsidP="00B233DE">
                                <w:pPr>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Pr="00AE56E7">
                                  <w:rPr>
                                    <w:rFonts w:ascii="Times New Roman" w:hAnsi="Times New Roman" w:cs="Times New Roman"/>
                                    <w:color w:val="000000" w:themeColor="text1"/>
                                    <w:sz w:val="16"/>
                                    <w:szCs w:val="16"/>
                                  </w:rPr>
                                  <w:t>Район</w:t>
                                </w:r>
                              </w:p>
                            </w:txbxContent>
                          </v:textbox>
                        </v:rect>
                        <v:rect id="Прямоугольник 1615" o:spid="_x0000_s2278" style="position:absolute;left:30289;top:49625;width:3277;height:150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" filled="f" stroked="f" strokeweight="1pt">
                          <v:textbox style="layout-flow:vertical;mso-layout-flow-alt:bottom-to-top" inset="0,0,0,0">
                            <w:txbxContent>
                              <w:p w:rsidR="00BE40F8" w:rsidRPr="00AE56E7" w:rsidRDefault="00BE40F8" w:rsidP="00B233DE">
                                <w:pPr>
                                  <w:rPr>
                                    <w:rFonts w:ascii="Times New Roman" w:hAnsi="Times New Roman" w:cs="Times New Roman"/>
                                    <w:color w:val="000000" w:themeColor="text1"/>
                                    <w:sz w:val="16"/>
                                    <w:szCs w:val="16"/>
                                  </w:rPr>
                                </w:pPr>
                                <w:r w:rsidRPr="00AE56E7">
                                  <w:rPr>
                                    <w:rFonts w:ascii="Times New Roman" w:hAnsi="Times New Roman" w:cs="Times New Roman"/>
                                    <w:color w:val="000000" w:themeColor="text1"/>
                                    <w:sz w:val="16"/>
                                    <w:szCs w:val="16"/>
                                  </w:rPr>
                                  <w:t>Область (регіон)</w:t>
                                </w:r>
                              </w:p>
                            </w:txbxContent>
                          </v:textbox>
                        </v:rect>
                        <v:rect id="Прямоугольник 1616" o:spid="_x0000_s2279" style="position:absolute;left:37147;top:49625;width:3277;height:150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" filled="f" stroked="f" strokeweight="1pt">
                          <v:textbox style="layout-flow:vertical;mso-layout-flow-alt:bottom-to-top" inset="0,0,0,0">
                            <w:txbxContent>
                              <w:p w:rsidR="00BE40F8" w:rsidRPr="00AE56E7" w:rsidRDefault="00BE40F8" w:rsidP="00B233DE">
                                <w:pPr>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Pr="00AE56E7">
                                  <w:rPr>
                                    <w:rFonts w:ascii="Times New Roman" w:hAnsi="Times New Roman" w:cs="Times New Roman"/>
                                    <w:color w:val="000000" w:themeColor="text1"/>
                                    <w:sz w:val="16"/>
                                    <w:szCs w:val="16"/>
                                  </w:rPr>
                                  <w:t>Країна</w:t>
                                </w:r>
                              </w:p>
                            </w:txbxContent>
                          </v:textbox>
                        </v:rect>
                        <v:rect id="Прямоугольник 1617" o:spid="_x0000_s2280" style="position:absolute;left:43815;top:49625;width:3276;height:150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" filled="f" stroked="f" strokeweight="1pt">
                          <v:textbox style="layout-flow:vertical;mso-layout-flow-alt:bottom-to-top" inset="0,0,0,0">
                            <w:txbxContent>
                              <w:p w:rsidR="00BE40F8" w:rsidRPr="00AE56E7" w:rsidRDefault="00BE40F8" w:rsidP="00B233DE">
                                <w:pPr>
                                  <w:ind w:firstLine="0"/>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Pr="00AE56E7">
                                  <w:rPr>
                                    <w:rFonts w:ascii="Times New Roman" w:hAnsi="Times New Roman" w:cs="Times New Roman"/>
                                    <w:color w:val="000000" w:themeColor="text1"/>
                                    <w:sz w:val="16"/>
                                    <w:szCs w:val="16"/>
                                  </w:rPr>
                                  <w:t>Міжнародний рівень</w:t>
                                </w:r>
                              </w:p>
                            </w:txbxContent>
                          </v:textbox>
                        </v:rect>
                        <v:rect id="Прямоугольник 1618" o:spid="_x0000_s2281" style="position:absolute;left:49339;top:49625;width:10269;height:68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" filled="f" stroked="f" strokeweight="1pt">
                          <v:textbox inset="0,0,0,0">
                            <w:txbxContent>
                              <w:p w:rsidR="00BE40F8" w:rsidRPr="00AE56E7" w:rsidRDefault="00BE40F8" w:rsidP="00B233DE">
                                <w:pPr>
                                  <w:ind w:firstLine="0"/>
                                  <w:jc w:val="center"/>
                                  <w:rPr>
                                    <w:rFonts w:ascii="Times New Roman" w:hAnsi="Times New Roman" w:cs="Times New Roman"/>
                                    <w:caps/>
                                    <w:color w:val="000000" w:themeColor="text1"/>
                                    <w:sz w:val="16"/>
                                    <w:szCs w:val="16"/>
                                  </w:rPr>
                                </w:pPr>
                                <w:r w:rsidRPr="00AE56E7">
                                  <w:rPr>
                                    <w:rFonts w:ascii="Times New Roman" w:hAnsi="Times New Roman" w:cs="Times New Roman"/>
                                    <w:caps/>
                                    <w:color w:val="000000" w:themeColor="text1"/>
                                    <w:sz w:val="16"/>
                                    <w:szCs w:val="16"/>
                                  </w:rPr>
                                  <w:t>Рівень соціальної політики</w:t>
                                </w:r>
                              </w:p>
                            </w:txbxContent>
                          </v:textbox>
                        </v:rect>
                        <v:rect id="Прямоугольник 1619" o:spid="_x0000_s2282" style="position:absolute;top:8001;width:10598;height:60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" filled="f" stroked="f" strokeweight="1pt">
                          <v:textbox inset="0,0,0,0">
                            <w:txbxContent>
                              <w:p w:rsidR="00BE40F8" w:rsidRPr="00AE56E7" w:rsidRDefault="00BE40F8" w:rsidP="00B233DE">
                                <w:pPr>
                                  <w:spacing w:line="216" w:lineRule="auto"/>
                                  <w:ind w:firstLine="0"/>
                                  <w:jc w:val="center"/>
                                  <w:rPr>
                                    <w:rFonts w:ascii="Times New Roman" w:hAnsi="Times New Roman" w:cs="Times New Roman"/>
                                    <w:color w:val="000000" w:themeColor="text1"/>
                                    <w:sz w:val="16"/>
                                    <w:szCs w:val="16"/>
                                  </w:rPr>
                                </w:pPr>
                                <w:r w:rsidRPr="00AE56E7">
                                  <w:rPr>
                                    <w:rFonts w:ascii="Times New Roman" w:hAnsi="Times New Roman" w:cs="Times New Roman"/>
                                    <w:color w:val="000000" w:themeColor="text1"/>
                                    <w:sz w:val="16"/>
                                    <w:szCs w:val="16"/>
                                  </w:rPr>
                                  <w:t>Соціальні від</w:t>
                                </w:r>
                                <w:r>
                                  <w:rPr>
                                    <w:rFonts w:ascii="Times New Roman" w:hAnsi="Times New Roman" w:cs="Times New Roman"/>
                                    <w:color w:val="000000" w:themeColor="text1"/>
                                    <w:sz w:val="16"/>
                                    <w:szCs w:val="16"/>
                                  </w:rPr>
                                  <w:t xml:space="preserve">-носини у </w:t>
                                </w:r>
                                <w:r w:rsidRPr="00AE56E7">
                                  <w:rPr>
                                    <w:rFonts w:ascii="Times New Roman" w:hAnsi="Times New Roman" w:cs="Times New Roman"/>
                                    <w:color w:val="000000" w:themeColor="text1"/>
                                    <w:sz w:val="16"/>
                                    <w:szCs w:val="16"/>
                                  </w:rPr>
                                  <w:t>ме</w:t>
                                </w:r>
                                <w:r>
                                  <w:rPr>
                                    <w:rFonts w:ascii="Times New Roman" w:hAnsi="Times New Roman" w:cs="Times New Roman"/>
                                    <w:color w:val="000000" w:themeColor="text1"/>
                                    <w:sz w:val="16"/>
                                    <w:szCs w:val="16"/>
                                  </w:rPr>
                                  <w:t>-</w:t>
                                </w:r>
                                <w:r w:rsidRPr="00AE56E7">
                                  <w:rPr>
                                    <w:rFonts w:ascii="Times New Roman" w:hAnsi="Times New Roman" w:cs="Times New Roman"/>
                                    <w:color w:val="000000" w:themeColor="text1"/>
                                    <w:sz w:val="16"/>
                                    <w:szCs w:val="16"/>
                                  </w:rPr>
                                  <w:t>жах територі</w:t>
                                </w:r>
                                <w:r>
                                  <w:rPr>
                                    <w:rFonts w:ascii="Times New Roman" w:hAnsi="Times New Roman" w:cs="Times New Roman"/>
                                    <w:color w:val="000000" w:themeColor="text1"/>
                                    <w:sz w:val="16"/>
                                    <w:szCs w:val="16"/>
                                  </w:rPr>
                                  <w:t>-</w:t>
                                </w:r>
                                <w:r w:rsidRPr="00AE56E7">
                                  <w:rPr>
                                    <w:rFonts w:ascii="Times New Roman" w:hAnsi="Times New Roman" w:cs="Times New Roman"/>
                                    <w:color w:val="000000" w:themeColor="text1"/>
                                    <w:sz w:val="16"/>
                                    <w:szCs w:val="16"/>
                                  </w:rPr>
                                  <w:t>альної громади</w:t>
                                </w:r>
                              </w:p>
                            </w:txbxContent>
                          </v:textbox>
                        </v:rect>
                        <v:rect id="Прямоугольник 1620" o:spid="_x0000_s2283" style="position:absolute;top:16953;width:10598;height:4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" filled="f" stroked="f" strokeweight="1pt">
                          <v:textbox inset="0,0,0,0">
                            <w:txbxContent>
                              <w:p w:rsidR="00BE40F8" w:rsidRPr="00AE56E7" w:rsidRDefault="00BE40F8" w:rsidP="00B233DE">
                                <w:pPr>
                                  <w:spacing w:line="216" w:lineRule="auto"/>
                                  <w:ind w:firstLine="0"/>
                                  <w:jc w:val="center"/>
                                  <w:rPr>
                                    <w:rFonts w:ascii="Times New Roman" w:hAnsi="Times New Roman" w:cs="Times New Roman"/>
                                    <w:color w:val="000000" w:themeColor="text1"/>
                                    <w:sz w:val="16"/>
                                    <w:szCs w:val="16"/>
                                  </w:rPr>
                                </w:pPr>
                                <w:r w:rsidRPr="00AE56E7">
                                  <w:rPr>
                                    <w:rFonts w:ascii="Times New Roman" w:hAnsi="Times New Roman" w:cs="Times New Roman"/>
                                    <w:color w:val="000000" w:themeColor="text1"/>
                                    <w:sz w:val="16"/>
                                    <w:szCs w:val="16"/>
                                  </w:rPr>
                                  <w:t>Соціальні відносини у межах району</w:t>
                                </w:r>
                              </w:p>
                            </w:txbxContent>
                          </v:textbox>
                        </v:rect>
                        <v:rect id="Прямоугольник 1621" o:spid="_x0000_s2284" style="position:absolute;top:23430;width:10598;height:6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" filled="f" stroked="f" strokeweight="1pt">
                          <v:textbox inset="0,0,0,0">
                            <w:txbxContent>
                              <w:p w:rsidR="00BE40F8" w:rsidRPr="00AE56E7" w:rsidRDefault="00BE40F8" w:rsidP="00B233DE">
                                <w:pPr>
                                  <w:spacing w:line="216" w:lineRule="auto"/>
                                  <w:ind w:firstLine="0"/>
                                  <w:jc w:val="center"/>
                                  <w:rPr>
                                    <w:rFonts w:ascii="Times New Roman" w:hAnsi="Times New Roman" w:cs="Times New Roman"/>
                                    <w:color w:val="000000" w:themeColor="text1"/>
                                    <w:sz w:val="16"/>
                                    <w:szCs w:val="16"/>
                                  </w:rPr>
                                </w:pPr>
                                <w:r w:rsidRPr="00AE56E7">
                                  <w:rPr>
                                    <w:rFonts w:ascii="Times New Roman" w:hAnsi="Times New Roman" w:cs="Times New Roman"/>
                                    <w:color w:val="000000" w:themeColor="text1"/>
                                    <w:sz w:val="16"/>
                                    <w:szCs w:val="16"/>
                                  </w:rPr>
                                  <w:t>Соціальні відносини у межах області (регіону)</w:t>
                                </w:r>
                              </w:p>
                            </w:txbxContent>
                          </v:textbox>
                        </v:rect>
                        <v:rect id="Прямоугольник 1622" o:spid="_x0000_s2285" style="position:absolute;top:31337;width:10598;height:50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" filled="f" stroked="f" strokeweight="1pt">
                          <v:textbox inset="0,0,0,0">
                            <w:txbxContent>
                              <w:p w:rsidR="00BE40F8" w:rsidRPr="00AE56E7" w:rsidRDefault="00BE40F8" w:rsidP="00B233DE">
                                <w:pPr>
                                  <w:spacing w:line="216" w:lineRule="auto"/>
                                  <w:ind w:firstLine="0"/>
                                  <w:jc w:val="center"/>
                                  <w:rPr>
                                    <w:rFonts w:ascii="Times New Roman" w:hAnsi="Times New Roman" w:cs="Times New Roman"/>
                                    <w:color w:val="000000" w:themeColor="text1"/>
                                    <w:sz w:val="16"/>
                                    <w:szCs w:val="16"/>
                                  </w:rPr>
                                </w:pPr>
                                <w:r w:rsidRPr="00AE56E7">
                                  <w:rPr>
                                    <w:rFonts w:ascii="Times New Roman" w:hAnsi="Times New Roman" w:cs="Times New Roman"/>
                                    <w:color w:val="000000" w:themeColor="text1"/>
                                    <w:sz w:val="16"/>
                                    <w:szCs w:val="16"/>
                                  </w:rPr>
                                  <w:t>Соціальні відносини у межах країни</w:t>
                                </w:r>
                              </w:p>
                            </w:txbxContent>
                          </v:textbox>
                        </v:rect>
                        <v:rect id="Прямоугольник 1623" o:spid="_x0000_s2286" style="position:absolute;top:39430;width:10598;height:68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" filled="f" stroked="f" strokeweight="1pt">
                          <v:textbox inset="0,0,0,0">
                            <w:txbxContent>
                              <w:p w:rsidR="00BE40F8" w:rsidRPr="00AE56E7" w:rsidRDefault="00BE40F8" w:rsidP="00B233DE">
                                <w:pPr>
                                  <w:spacing w:line="216" w:lineRule="auto"/>
                                  <w:ind w:firstLine="0"/>
                                  <w:jc w:val="center"/>
                                  <w:rPr>
                                    <w:rFonts w:ascii="Times New Roman" w:hAnsi="Times New Roman" w:cs="Times New Roman"/>
                                    <w:color w:val="000000" w:themeColor="text1"/>
                                    <w:sz w:val="16"/>
                                    <w:szCs w:val="16"/>
                                  </w:rPr>
                                </w:pPr>
                                <w:r w:rsidRPr="00AE56E7">
                                  <w:rPr>
                                    <w:rFonts w:ascii="Times New Roman" w:hAnsi="Times New Roman" w:cs="Times New Roman"/>
                                    <w:color w:val="000000" w:themeColor="text1"/>
                                    <w:sz w:val="16"/>
                                    <w:szCs w:val="16"/>
                                  </w:rPr>
                                  <w:t>Соціальні відносини міжнародного рівня</w:t>
                                </w:r>
                              </w:p>
                            </w:txbxContent>
                          </v:textbox>
                        </v:rect>
                        <v:line id="Прямая соединительная линия 1624" o:spid="_x0000_s2287" style="position:absolute;flip:x;visibility:visible;mso-wrap-style:square" from="11525,571" to="22574,14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" strokecolor="black [3213]">
                          <v:stroke dashstyle="1 1"/>
                        </v:line>
                        <v:line id="Прямая соединительная линия 1625" o:spid="_x0000_s2288" style="position:absolute;flip:x;visibility:visible;mso-wrap-style:square" from="11525,571" to="28568,216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" strokecolor="black [3213]">
                          <v:stroke dashstyle="1 1"/>
                        </v:line>
                        <v:line id="Прямая соединительная линия 1626" o:spid="_x0000_s2289" style="position:absolute;flip:x;visibility:visible;mso-wrap-style:square" from="11620,4953" to="31921,291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" strokecolor="black [3213]">
                          <v:stroke dashstyle="1 1"/>
                        </v:line>
                        <v:line id="Прямая соединительная линия 1627" o:spid="_x0000_s2290" style="position:absolute;flip:x;visibility:visible;mso-wrap-style:square" from="11525,13335" to="32004,374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" strokecolor="black [3213]">
                          <v:stroke dashstyle="1 1"/>
                        </v:line>
                        <v:line id="Прямая соединительная линия 1628" o:spid="_x0000_s2291" style="position:absolute;flip:x;visibility:visible;mso-wrap-style:square" from="11525,21717" to="31915,46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" strokecolor="black [3213]">
                          <v:stroke dashstyle="1 1"/>
                        </v:line>
                        <v:line id="Прямая соединительная линия 1629" o:spid="_x0000_s2292" style="position:absolute;flip:x;visibility:visible;mso-wrap-style:square" from="17049,29813" to="32054,488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" strokecolor="black [3213]">
                          <v:stroke dashstyle="1 1"/>
                        </v:line>
                        <v:line id="Прямая соединительная линия 1630" o:spid="_x0000_s2293" style="position:absolute;flip:x;visibility:visible;mso-wrap-style:square" from="24003,39433" to="31921,48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" strokecolor="black [3213]">
                          <v:stroke dashstyle="1 1"/>
                        </v:line>
                        <v:shape id="Прямая со стрелкой 1631" o:spid="_x0000_s2294" type="#_x0000_t32" style="position:absolute;left:45624;top:37147;width:3271;height:21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" strokecolor="black [3213]">
                          <v:stroke endarrow="open"/>
                        </v:shape>
                        <v:shape id="Прямая со стрелкой 1632" o:spid="_x0000_s2295" type="#_x0000_t32" style="position:absolute;left:38766;top:32480;width:3620;height:276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" strokecolor="black [3213]">
                          <v:stroke endarrow="open"/>
                        </v:shape>
                        <v:rect id="Прямоугольник 1633" o:spid="_x0000_s2296" style="position:absolute;left:33242;top:29337;width:6756;height:2692;rotation:268466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" filled="f" stroked="f" strokeweight="1pt">
                          <v:textbox>
                            <w:txbxContent>
                              <w:p w:rsidR="00BE40F8" w:rsidRPr="00AE56E7" w:rsidRDefault="00BE40F8" w:rsidP="00B233DE">
                                <w:pPr>
                                  <w:ind w:firstLine="0"/>
                                  <w:jc w:val="center"/>
                                  <w:rPr>
                                    <w:rFonts w:ascii="Times New Roman" w:hAnsi="Times New Roman" w:cs="Times New Roman"/>
                                    <w:b/>
                                    <w:color w:val="000000" w:themeColor="text1"/>
                                    <w:sz w:val="16"/>
                                    <w:szCs w:val="16"/>
                                    <w:lang w:val="en-US"/>
                                  </w:rPr>
                                </w:pPr>
                                <w:r w:rsidRPr="00AE56E7">
                                  <w:rPr>
                                    <w:rFonts w:ascii="Times New Roman" w:hAnsi="Times New Roman" w:cs="Times New Roman"/>
                                    <w:b/>
                                    <w:color w:val="000000" w:themeColor="text1"/>
                                    <w:sz w:val="16"/>
                                    <w:szCs w:val="16"/>
                                    <w:lang w:val="en-US"/>
                                  </w:rPr>
                                  <w:t>max</w:t>
                                </w:r>
                              </w:p>
                            </w:txbxContent>
                          </v:textbox>
                        </v:rect>
                        <v:rect id="Прямоугольник 1634" o:spid="_x0000_s2297" style="position:absolute;left:48196;top:39052;width:6756;height:2692;rotation:167356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" filled="f" stroked="f" strokeweight="1pt">
                          <v:textbox>
                            <w:txbxContent>
                              <w:p w:rsidR="00BE40F8" w:rsidRPr="00AE56E7" w:rsidRDefault="00BE40F8" w:rsidP="00B233DE">
                                <w:pPr>
                                  <w:ind w:firstLine="0"/>
                                  <w:jc w:val="center"/>
                                  <w:rPr>
                                    <w:rFonts w:ascii="Times New Roman" w:hAnsi="Times New Roman" w:cs="Times New Roman"/>
                                    <w:b/>
                                    <w:color w:val="000000" w:themeColor="text1"/>
                                    <w:sz w:val="16"/>
                                    <w:szCs w:val="16"/>
                                    <w:lang w:val="en-US"/>
                                  </w:rPr>
                                </w:pPr>
                                <w:r w:rsidRPr="00AE56E7">
                                  <w:rPr>
                                    <w:rFonts w:ascii="Times New Roman" w:hAnsi="Times New Roman" w:cs="Times New Roman"/>
                                    <w:b/>
                                    <w:color w:val="000000" w:themeColor="text1"/>
                                    <w:sz w:val="16"/>
                                    <w:szCs w:val="16"/>
                                    <w:lang w:val="en-US"/>
                                  </w:rPr>
                                  <w:t>min</w:t>
                                </w:r>
                              </w:p>
                            </w:txbxContent>
                          </v:textbox>
                        </v:rect>
                        <v:shape id="Прямая со стрелкой 1635" o:spid="_x0000_s2298" type="#_x0000_t32" style="position:absolute;left:43815;top:33813;width:2565;height:334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" strokecolor="black [3213]">
                          <v:stroke endarrow="open"/>
                        </v:shape>
                        <v:rect id="Прямоугольник 1636" o:spid="_x0000_s2299" style="position:absolute;width:11233;height:5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" filled="f" stroked="f" strokeweight="1pt">
                          <v:textbox inset="0,0,0,0">
                            <w:txbxContent>
                              <w:p w:rsidR="00BE40F8" w:rsidRPr="00AE56E7" w:rsidRDefault="00BE40F8" w:rsidP="00B233DE">
                                <w:pPr>
                                  <w:spacing w:line="216" w:lineRule="auto"/>
                                  <w:ind w:left="-142" w:right="-188" w:firstLine="0"/>
                                  <w:jc w:val="center"/>
                                  <w:rPr>
                                    <w:rFonts w:ascii="Times New Roman" w:hAnsi="Times New Roman" w:cs="Times New Roman"/>
                                    <w:caps/>
                                    <w:color w:val="000000" w:themeColor="text1"/>
                                    <w:sz w:val="16"/>
                                    <w:szCs w:val="16"/>
                                  </w:rPr>
                                </w:pPr>
                                <w:r w:rsidRPr="00AE56E7">
                                  <w:rPr>
                                    <w:rFonts w:ascii="Times New Roman" w:hAnsi="Times New Roman" w:cs="Times New Roman"/>
                                    <w:caps/>
                                    <w:color w:val="000000" w:themeColor="text1"/>
                                    <w:sz w:val="16"/>
                                    <w:szCs w:val="16"/>
                                  </w:rPr>
                                  <w:t>Об’єкт соціальної політики</w:t>
                                </w:r>
                              </w:p>
                            </w:txbxContent>
                          </v:textbox>
                        </v:rect>
                        <v:shape id="Прямая со стрелкой 1637" o:spid="_x0000_s2300" type="#_x0000_t32" style="position:absolute;left:28575;top:48863;width:0;height:207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" strokecolor="black [3213]" strokeweight="1pt">
                          <v:stroke startarrow="open"/>
                        </v:shape>
                        <v:shape id="Поле 1638" o:spid="_x0000_s2301" type="#_x0000_t202" style="position:absolute;left:26098;top:69627;width:21825;height:4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" fillcolor="white [3201]" strokeweight=".5pt">
                          <v:textbox inset="0,0,0,0">
                            <w:txbxContent>
                              <w:p w:rsidR="00BE40F8" w:rsidRPr="00AE56E7" w:rsidRDefault="00BE40F8" w:rsidP="00B233DE">
                                <w:pPr>
                                  <w:ind w:firstLine="0"/>
                                  <w:jc w:val="center"/>
                                  <w:rPr>
                                    <w:rFonts w:ascii="Times New Roman" w:hAnsi="Times New Roman" w:cs="Times New Roman"/>
                                    <w:sz w:val="16"/>
                                    <w:szCs w:val="16"/>
                                  </w:rPr>
                                </w:pPr>
                                <w:r w:rsidRPr="00AE56E7">
                                  <w:rPr>
                                    <w:rFonts w:ascii="Times New Roman" w:hAnsi="Times New Roman" w:cs="Times New Roman"/>
                                    <w:sz w:val="16"/>
                                    <w:szCs w:val="16"/>
                                  </w:rPr>
                                  <w:t>Обласні ради, їх виконавчі органи, територіальні громади</w:t>
                                </w:r>
                              </w:p>
                            </w:txbxContent>
                          </v:textbox>
                        </v:shape>
                        <v:shape id="Поле 1639" o:spid="_x0000_s2302" type="#_x0000_t202" style="position:absolute;left:19335;top:74390;width:28588;height:4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" fillcolor="white [3201]" strokeweight=".5pt">
                          <v:textbox>
                            <w:txbxContent>
                              <w:p w:rsidR="00BE40F8" w:rsidRPr="00AE56E7" w:rsidRDefault="00BE40F8" w:rsidP="00B233DE">
                                <w:pPr>
                                  <w:ind w:firstLine="0"/>
                                  <w:jc w:val="center"/>
                                  <w:rPr>
                                    <w:rFonts w:ascii="Times New Roman" w:hAnsi="Times New Roman" w:cs="Times New Roman"/>
                                    <w:sz w:val="16"/>
                                    <w:szCs w:val="16"/>
                                  </w:rPr>
                                </w:pPr>
                                <w:r w:rsidRPr="00AE56E7">
                                  <w:rPr>
                                    <w:rFonts w:ascii="Times New Roman" w:hAnsi="Times New Roman" w:cs="Times New Roman"/>
                                    <w:sz w:val="16"/>
                                    <w:szCs w:val="16"/>
                                  </w:rPr>
                                  <w:t>Районні ради, їх виконавчі органи, територіальні громади</w:t>
                                </w:r>
                              </w:p>
                            </w:txbxContent>
                          </v:textbox>
                        </v:shape>
                        <v:shape id="Поле 1640" o:spid="_x0000_s2303" type="#_x0000_t202" style="position:absolute;left:11715;top:79152;width:36208;height:4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" fillcolor="white [3201]" strokeweight=".5pt">
                          <v:textbox inset="0,0,0,0">
                            <w:txbxContent>
                              <w:p w:rsidR="00BE40F8" w:rsidRPr="00AE56E7" w:rsidRDefault="00BE40F8" w:rsidP="00B233DE">
                                <w:pPr>
                                  <w:ind w:firstLine="0"/>
                                  <w:jc w:val="center"/>
                                  <w:rPr>
                                    <w:rFonts w:ascii="Times New Roman" w:hAnsi="Times New Roman" w:cs="Times New Roman"/>
                                    <w:sz w:val="16"/>
                                    <w:szCs w:val="16"/>
                                  </w:rPr>
                                </w:pPr>
                                <w:r w:rsidRPr="00AE56E7">
                                  <w:rPr>
                                    <w:rFonts w:ascii="Times New Roman" w:hAnsi="Times New Roman" w:cs="Times New Roman"/>
                                    <w:sz w:val="16"/>
                                    <w:szCs w:val="16"/>
                                  </w:rPr>
                                  <w:t>Місцеві ради, їх виконавчі органи, органи самоорганізації населення, територіальні громади</w:t>
                                </w:r>
                              </w:p>
                            </w:txbxContent>
                          </v:textbox>
                        </v:shape>
                        <v:shape id="Прямая со стрелкой 1641" o:spid="_x0000_s2304" type="#_x0000_t32" style="position:absolute;left:21907;top:48863;width:0;height:256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" strokecolor="black [3213]" strokeweight="1pt">
                          <v:stroke startarrow="open"/>
                        </v:shape>
                        <v:shape id="Прямая со стрелкой 1642" o:spid="_x0000_s2305" type="#_x0000_t32" style="position:absolute;left:14859;top:48863;width:0;height:302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" strokecolor="black [3213]" strokeweight="1pt">
                          <v:stroke startarrow="open"/>
                        </v:shape>
                        <v:shape id="Правая фигурная скобка 1643" o:spid="_x0000_s2306" type="#_x0000_t88" style="position:absolute;left:48672;top:63912;width:1905;height:20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" adj="171" strokecolor="black [3213]"/>
                        <v:shape id="Поле 1644" o:spid="_x0000_s2307" type="#_x0000_t202" style="position:absolute;left:50577;top:63912;width:8973;height:200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" fillcolor="white [3201]" strokeweight=".5pt">
                          <v:textbox style="layout-flow:vertical;mso-layout-flow-alt:bottom-to-top" inset="0,0,0,0">
                            <w:txbxContent>
                              <w:p w:rsidR="00BE40F8" w:rsidRPr="00AE56E7" w:rsidRDefault="00BE40F8" w:rsidP="00B233DE">
                                <w:pPr>
                                  <w:spacing w:line="216" w:lineRule="auto"/>
                                  <w:ind w:firstLine="0"/>
                                  <w:jc w:val="center"/>
                                  <w:rPr>
                                    <w:rFonts w:ascii="Times New Roman" w:hAnsi="Times New Roman" w:cs="Times New Roman"/>
                                    <w:sz w:val="16"/>
                                    <w:szCs w:val="16"/>
                                  </w:rPr>
                                </w:pPr>
                                <w:r w:rsidRPr="00AE56E7">
                                  <w:rPr>
                                    <w:rFonts w:ascii="Times New Roman" w:hAnsi="Times New Roman" w:cs="Times New Roman"/>
                                    <w:sz w:val="16"/>
                                    <w:szCs w:val="16"/>
                                  </w:rPr>
                                  <w:t>Суб’єкти соціальної регіональної політики, в управлінні яких знаходиться комунальна власність</w:t>
                                </w:r>
                              </w:p>
                            </w:txbxContent>
                          </v:textbox>
                        </v:shape>
                        <v:shape id="Поле 1645" o:spid="_x0000_s2308" type="#_x0000_t202" style="position:absolute;left:32385;top:63912;width:15500;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" fillcolor="white [3201]" strokeweight=".5pt">
                          <v:textbox inset="0,0,0,0">
                            <w:txbxContent>
                              <w:p w:rsidR="00BE40F8" w:rsidRPr="00AE56E7" w:rsidRDefault="00BE40F8" w:rsidP="00B233DE">
                                <w:pPr>
                                  <w:jc w:val="center"/>
                                  <w:rPr>
                                    <w:rFonts w:ascii="Times New Roman" w:hAnsi="Times New Roman" w:cs="Times New Roman"/>
                                    <w:sz w:val="16"/>
                                    <w:szCs w:val="16"/>
                                  </w:rPr>
                                </w:pPr>
                                <w:r w:rsidRPr="00AE56E7">
                                  <w:rPr>
                                    <w:rFonts w:ascii="Times New Roman" w:hAnsi="Times New Roman" w:cs="Times New Roman"/>
                                    <w:sz w:val="16"/>
                                    <w:szCs w:val="16"/>
                                  </w:rPr>
                                  <w:t>Асоціація територіальних громад України</w:t>
                                </w:r>
                              </w:p>
                            </w:txbxContent>
                          </v:textbox>
                        </v:shape>
                        <v:shape id="Прямая со стрелкой 1646" o:spid="_x0000_s2309" type="#_x0000_t32" style="position:absolute;left:35337;top:48863;width:0;height:150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" strokecolor="black [3213]" strokeweight="1pt">
                          <v:stroke startarrow="open"/>
                        </v:shape>
                        <v:rect id="Прямоугольник 1647" o:spid="_x0000_s2310" style="position:absolute;left:32054;top:33813;width:6712;height:14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" filled="f" stroked="f" strokeweight="1pt">
                          <v:textbox style="layout-flow:vertical;mso-layout-flow-alt:bottom-to-top">
                            <w:txbxContent>
                              <w:p w:rsidR="00BE40F8" w:rsidRPr="00AE56E7" w:rsidRDefault="00BE40F8" w:rsidP="00B233DE">
                                <w:pPr>
                                  <w:spacing w:line="192" w:lineRule="auto"/>
                                  <w:jc w:val="center"/>
                                  <w:rPr>
                                    <w:rFonts w:ascii="Times New Roman" w:hAnsi="Times New Roman" w:cs="Times New Roman"/>
                                    <w:i/>
                                    <w:color w:val="000000" w:themeColor="text1"/>
                                    <w:sz w:val="16"/>
                                    <w:szCs w:val="16"/>
                                  </w:rPr>
                                </w:pPr>
                                <w:r w:rsidRPr="00AE56E7">
                                  <w:rPr>
                                    <w:rFonts w:ascii="Times New Roman" w:hAnsi="Times New Roman" w:cs="Times New Roman"/>
                                    <w:i/>
                                    <w:color w:val="000000" w:themeColor="text1"/>
                                    <w:sz w:val="16"/>
                                    <w:szCs w:val="16"/>
                                  </w:rPr>
                                  <w:t>Представництво тери-торіальних громад у розробці базових правил функціонування комунальної власності</w:t>
                                </w:r>
                              </w:p>
                            </w:txbxContent>
                          </v:textbox>
                        </v:rect>
                        <v:shapetype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Выноска со стрелкой влево 1648" o:spid="_x0000_s2311" type="#_x0000_t77" style="position:absolute;left:30289;width:29235;height:151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" adj="3602,8115,2801,9988" filled="f" strokecolor="black [3213]" strokeweight="1pt">
                          <v:textbox>
                            <w:txbxContent>
                              <w:p w:rsidR="00BE40F8" w:rsidRPr="00AE56E7" w:rsidRDefault="00BE40F8" w:rsidP="00B233DE">
                                <w:pPr>
                                  <w:ind w:firstLine="0"/>
                                  <w:jc w:val="center"/>
                                  <w:rPr>
                                    <w:rFonts w:ascii="Times New Roman" w:hAnsi="Times New Roman" w:cs="Times New Roman"/>
                                    <w:caps/>
                                    <w:color w:val="000000" w:themeColor="text1"/>
                                    <w:sz w:val="16"/>
                                    <w:szCs w:val="16"/>
                                    <w:u w:val="single"/>
                                  </w:rPr>
                                </w:pPr>
                                <w:r w:rsidRPr="00AE56E7">
                                  <w:rPr>
                                    <w:rFonts w:ascii="Times New Roman" w:hAnsi="Times New Roman" w:cs="Times New Roman"/>
                                    <w:caps/>
                                    <w:color w:val="000000" w:themeColor="text1"/>
                                    <w:sz w:val="16"/>
                                    <w:szCs w:val="16"/>
                                    <w:u w:val="single"/>
                                  </w:rPr>
                                  <w:t>Сфера функціонування соціальної регіональної політики:</w:t>
                                </w:r>
                              </w:p>
                              <w:p w:rsidR="00BE40F8" w:rsidRPr="00AE56E7" w:rsidRDefault="00BE40F8" w:rsidP="00B233DE">
                                <w:pPr>
                                  <w:ind w:firstLine="0"/>
                                  <w:jc w:val="center"/>
                                  <w:rPr>
                                    <w:rFonts w:ascii="Times New Roman" w:hAnsi="Times New Roman" w:cs="Times New Roman"/>
                                    <w:b/>
                                    <w:color w:val="000000" w:themeColor="text1"/>
                                    <w:sz w:val="16"/>
                                    <w:szCs w:val="16"/>
                                  </w:rPr>
                                </w:pPr>
                                <w:r w:rsidRPr="00AE56E7">
                                  <w:rPr>
                                    <w:rFonts w:ascii="Times New Roman" w:hAnsi="Times New Roman" w:cs="Times New Roman"/>
                                    <w:b/>
                                    <w:color w:val="000000" w:themeColor="text1"/>
                                    <w:sz w:val="16"/>
                                    <w:szCs w:val="16"/>
                                  </w:rPr>
                                  <w:t>застосування принципу «дозволено все, що не заборонено»</w:t>
                                </w:r>
                              </w:p>
                            </w:txbxContent>
                          </v:textbox>
                        </v:shape>
                      </v:group>
                    </v:group>
                  </v:group>
                </v:group>
              </v:group>
            </w:pict>
          </mc:Fallback>
        </mc:AlternateContent>
      </w: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Pr="00894281" w:rsidRDefault="00B233DE" w:rsidP="00B233DE">
      <w:pPr>
        <w:ind w:firstLine="709"/>
        <w:jc w:val="center"/>
        <w:rPr>
          <w:rFonts w:ascii="Times New Roman" w:hAnsi="Times New Roman"/>
          <w:b/>
          <w:sz w:val="21"/>
          <w:szCs w:val="21"/>
        </w:rPr>
      </w:pPr>
      <w:r w:rsidRPr="00894281">
        <w:rPr>
          <w:b/>
          <w:noProof/>
          <w:sz w:val="21"/>
          <w:szCs w:val="21"/>
          <w:lang w:val="ru-RU" w:eastAsia="ru-RU"/>
        </w:rPr>
        <mc:AlternateContent>
          <mc:Choice Requires="wps">
            <w:drawing>
              <wp:anchor distT="0" distB="0" distL="114300" distR="114300" simplePos="0" relativeHeight="251711488" behindDoc="0" locked="0" layoutInCell="1" allowOverlap="1" wp14:anchorId="435586A1" wp14:editId="431A95BF">
                <wp:simplePos x="0" y="0"/>
                <wp:positionH relativeFrom="column">
                  <wp:posOffset>5053965</wp:posOffset>
                </wp:positionH>
                <wp:positionV relativeFrom="paragraph">
                  <wp:posOffset>280670</wp:posOffset>
                </wp:positionV>
                <wp:extent cx="897255" cy="2000250"/>
                <wp:effectExtent l="0" t="0" r="17145" b="19050"/>
                <wp:wrapNone/>
                <wp:docPr id="1719" name="Поле 17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97255" cy="2000250"/>
                        </a:xfrm>
                        <a:prstGeom prst="rect">
                          <a:avLst/>
                        </a:prstGeom>
                        <a:solidFill>
                          <a:sysClr val="window" lastClr="FFFFFF"/>
                        </a:solidFill>
                        <a:ln w="6350">
                          <a:solidFill>
                            <a:prstClr val="black"/>
                          </a:solidFill>
                        </a:ln>
                        <a:effectLst/>
                      </wps:spPr>
                      <wps:txbx>
                        <w:txbxContent>
                          <w:p w:rsidR="00BE40F8" w:rsidRPr="009E6C6E" w:rsidRDefault="00BE40F8" w:rsidP="00B233DE">
                            <w:pPr>
                              <w:spacing w:line="216" w:lineRule="auto"/>
                              <w:jc w:val="center"/>
                              <w:rPr>
                                <w:rFonts w:ascii="Times New Roman" w:hAnsi="Times New Roman"/>
                              </w:rPr>
                            </w:pPr>
                            <w:r>
                              <w:rPr>
                                <w:rFonts w:ascii="Times New Roman" w:hAnsi="Times New Roman"/>
                              </w:rPr>
                              <w:t>Суб’єкти соціальної регіональної політики, в управлінні яких знаходиться комунальна власність</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5586A1" id="Поле 1719" o:spid="_x0000_s2312" type="#_x0000_t202" style="position:absolute;left:0;text-align:left;margin-left:397.95pt;margin-top:22.1pt;width:70.65pt;height:15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" fillcolor="window" strokeweight=".5pt">
                <v:path arrowok="t"/>
                <v:textbox style="layout-flow:vertical;mso-layout-flow-alt:bottom-to-top">
                  <w:txbxContent>
                    <w:p w:rsidR="00BE40F8" w:rsidRPr="009E6C6E" w:rsidRDefault="00BE40F8" w:rsidP="00B233DE">
                      <w:pPr>
                        <w:spacing w:line="216" w:lineRule="auto"/>
                        <w:jc w:val="center"/>
                        <w:rPr>
                          <w:rFonts w:ascii="Times New Roman" w:hAnsi="Times New Roman"/>
                        </w:rPr>
                      </w:pPr>
                      <w:r>
                        <w:rPr>
                          <w:rFonts w:ascii="Times New Roman" w:hAnsi="Times New Roman"/>
                        </w:rPr>
                        <w:t>Суб’єкти соціальної регіональної політики, в управлінні яких знаходиться комунальна власність</w:t>
                      </w:r>
                    </w:p>
                  </w:txbxContent>
                </v:textbox>
              </v:shape>
            </w:pict>
          </mc:Fallback>
        </mc:AlternateContent>
      </w:r>
      <w:r w:rsidRPr="00894281">
        <w:rPr>
          <w:b/>
          <w:noProof/>
          <w:sz w:val="21"/>
          <w:szCs w:val="21"/>
          <w:lang w:val="ru-RU" w:eastAsia="ru-RU"/>
        </w:rPr>
        <mc:AlternateContent>
          <mc:Choice Requires="wps">
            <w:drawing>
              <wp:anchor distT="0" distB="0" distL="114300" distR="114300" simplePos="0" relativeHeight="251710464" behindDoc="0" locked="0" layoutInCell="1" allowOverlap="1" wp14:anchorId="6DEF9042" wp14:editId="1A7E25F2">
                <wp:simplePos x="0" y="0"/>
                <wp:positionH relativeFrom="column">
                  <wp:posOffset>4863465</wp:posOffset>
                </wp:positionH>
                <wp:positionV relativeFrom="paragraph">
                  <wp:posOffset>280670</wp:posOffset>
                </wp:positionV>
                <wp:extent cx="190500" cy="2000250"/>
                <wp:effectExtent l="0" t="0" r="19050" b="19050"/>
                <wp:wrapNone/>
                <wp:docPr id="1718" name="Правая фигурная скобка 17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 cy="2000250"/>
                        </a:xfrm>
                        <a:prstGeom prst="rightBrace">
                          <a:avLst/>
                        </a:prstGeom>
                        <a:no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997E90" id="Правая фигурная скобка 1718" o:spid="_x0000_s1026" type="#_x0000_t88" style="position:absolute;margin-left:382.95pt;margin-top:22.1pt;width:15pt;height:15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" adj="171" strokecolor="windowText"/>
            </w:pict>
          </mc:Fallback>
        </mc:AlternateContent>
      </w:r>
      <w:r w:rsidRPr="00894281">
        <w:rPr>
          <w:rFonts w:ascii="Times New Roman" w:hAnsi="Times New Roman"/>
          <w:b/>
          <w:sz w:val="21"/>
          <w:szCs w:val="21"/>
        </w:rPr>
        <w:t xml:space="preserve">Рис. </w:t>
      </w:r>
      <w:r>
        <w:rPr>
          <w:rFonts w:ascii="Times New Roman" w:hAnsi="Times New Roman"/>
          <w:b/>
          <w:sz w:val="21"/>
          <w:szCs w:val="21"/>
        </w:rPr>
        <w:t>6</w:t>
      </w:r>
      <w:r w:rsidRPr="00894281">
        <w:rPr>
          <w:rFonts w:ascii="Times New Roman" w:hAnsi="Times New Roman"/>
          <w:b/>
          <w:sz w:val="21"/>
          <w:szCs w:val="21"/>
        </w:rPr>
        <w:t>.3</w:t>
      </w:r>
      <w:r>
        <w:rPr>
          <w:rFonts w:ascii="Times New Roman" w:hAnsi="Times New Roman"/>
          <w:b/>
          <w:sz w:val="21"/>
          <w:szCs w:val="21"/>
        </w:rPr>
        <w:t>.</w:t>
      </w:r>
      <w:r w:rsidRPr="00894281">
        <w:rPr>
          <w:rFonts w:ascii="Times New Roman" w:hAnsi="Times New Roman"/>
          <w:b/>
          <w:sz w:val="21"/>
          <w:szCs w:val="21"/>
        </w:rPr>
        <w:t xml:space="preserve"> Схема функціонування соціальної регіональної політики відповідно до принципу субсидіарності</w:t>
      </w:r>
    </w:p>
    <w:p w:rsidR="00B233DE" w:rsidRPr="00182552" w:rsidRDefault="00B233DE" w:rsidP="00B233DE">
      <w:pPr>
        <w:pStyle w:val="aff5"/>
        <w:widowControl w:val="0"/>
        <w:spacing w:before="0" w:beforeAutospacing="0" w:after="0" w:afterAutospacing="0"/>
        <w:ind w:firstLine="709"/>
        <w:jc w:val="both"/>
        <w:rPr>
          <w:sz w:val="21"/>
          <w:szCs w:val="21"/>
        </w:rPr>
      </w:pPr>
      <w:r w:rsidRPr="00182552">
        <w:rPr>
          <w:sz w:val="21"/>
          <w:szCs w:val="21"/>
        </w:rPr>
        <w:lastRenderedPageBreak/>
        <w:t>Ще одним важливим аспектом, який потребує врахування при проведенні реформування комунальної власності в умовах трансформації місцевого самоврядування і спирається на положення Європейської хартії місцевого самоврядування, є необхідність чіткого закріплення положення про те, що стосовно питань місцевого значення (у тому числі щодо комунальної власності) територіальна громада, органи та посадові особи місцевого самоврядування повинні мати всі функції та повноваження, за винятком тих, які покладені на органи державної влади Конституцією та законами України.</w:t>
      </w:r>
    </w:p>
    <w:p w:rsidR="00B233DE" w:rsidRPr="00182552" w:rsidRDefault="00B233DE" w:rsidP="00B233DE">
      <w:pPr>
        <w:pStyle w:val="aff5"/>
        <w:widowControl w:val="0"/>
        <w:spacing w:before="0" w:beforeAutospacing="0" w:after="0" w:afterAutospacing="0"/>
        <w:ind w:firstLine="709"/>
        <w:jc w:val="both"/>
        <w:rPr>
          <w:sz w:val="21"/>
          <w:szCs w:val="21"/>
        </w:rPr>
      </w:pPr>
      <w:r w:rsidRPr="00182552">
        <w:rPr>
          <w:sz w:val="21"/>
          <w:szCs w:val="21"/>
        </w:rPr>
        <w:t>Необхідно закріпити норму, згідно з якою перелік окремих функцій і повноважень територіальної громади, її органів та посадових осіб, який встановлюється законами України, не може тлумачитися як обмеження їхніх функцій і повноважень та прав і свобод жителів – членів територіальної громади [</w:t>
      </w:r>
      <w:r w:rsidR="00FC3E63">
        <w:rPr>
          <w:bCs/>
          <w:color w:val="000000" w:themeColor="text1"/>
          <w:sz w:val="21"/>
          <w:szCs w:val="21"/>
          <w:highlight w:val="yellow"/>
        </w:rPr>
        <w:fldChar w:fldCharType="begin"/>
      </w:r>
      <w:r w:rsidR="00FC3E63">
        <w:rPr>
          <w:sz w:val="21"/>
          <w:szCs w:val="21"/>
        </w:rPr>
        <w:instrText xml:space="preserve"> REF _Ref436211395 \r \h </w:instrText>
      </w:r>
      <w:r w:rsidR="00FC3E63">
        <w:rPr>
          <w:bCs/>
          <w:color w:val="000000" w:themeColor="text1"/>
          <w:sz w:val="21"/>
          <w:szCs w:val="21"/>
          <w:highlight w:val="yellow"/>
        </w:rPr>
      </w:r>
      <w:r w:rsidR="00FC3E63">
        <w:rPr>
          <w:bCs/>
          <w:color w:val="000000" w:themeColor="text1"/>
          <w:sz w:val="21"/>
          <w:szCs w:val="21"/>
          <w:highlight w:val="yellow"/>
        </w:rPr>
        <w:fldChar w:fldCharType="separate"/>
      </w:r>
      <w:r w:rsidR="00FC3E63">
        <w:rPr>
          <w:sz w:val="21"/>
          <w:szCs w:val="21"/>
        </w:rPr>
        <w:t>5</w:t>
      </w:r>
      <w:r w:rsidR="00FC3E63">
        <w:rPr>
          <w:bCs/>
          <w:color w:val="000000" w:themeColor="text1"/>
          <w:sz w:val="21"/>
          <w:szCs w:val="21"/>
          <w:highlight w:val="yellow"/>
        </w:rPr>
        <w:fldChar w:fldCharType="end"/>
      </w:r>
      <w:r w:rsidRPr="00182552">
        <w:rPr>
          <w:sz w:val="21"/>
          <w:szCs w:val="21"/>
        </w:rPr>
        <w:t>].</w:t>
      </w:r>
    </w:p>
    <w:p w:rsidR="00B233DE" w:rsidRPr="00182552" w:rsidRDefault="00B233DE" w:rsidP="00B233DE">
      <w:pPr>
        <w:pStyle w:val="aff5"/>
        <w:widowControl w:val="0"/>
        <w:spacing w:before="0" w:beforeAutospacing="0" w:after="0" w:afterAutospacing="0"/>
        <w:ind w:firstLine="709"/>
        <w:jc w:val="both"/>
        <w:rPr>
          <w:sz w:val="21"/>
          <w:szCs w:val="21"/>
        </w:rPr>
      </w:pPr>
      <w:r w:rsidRPr="00182552">
        <w:rPr>
          <w:sz w:val="21"/>
          <w:szCs w:val="21"/>
        </w:rPr>
        <w:t>Такі пропозиції ґрунтуються на тому, що в Україні відбулося лише конституційно-декларативне визнання наявності питань місцевого значення у вигляді встановлення принципу регулювання повноважень органів місцевого самоврядування за схемою «дозволено лише те, що передбачено законом». До того ж в основу наявного порядку встановлення функцій та повноважень органів місцевого самоврядування покладено традиційно-галузевий (фактично радянський) принцип законодавчої фіксації. По суті, муніципальна влада первинно «зорієнтована» на сфери місцевого господарства, а не питання місцевого значення.</w:t>
      </w:r>
    </w:p>
    <w:p w:rsidR="00B233DE" w:rsidRPr="00182552" w:rsidRDefault="00B233DE" w:rsidP="00B233DE">
      <w:pPr>
        <w:pStyle w:val="aff5"/>
        <w:widowControl w:val="0"/>
        <w:spacing w:before="0" w:beforeAutospacing="0" w:after="0" w:afterAutospacing="0"/>
        <w:ind w:firstLine="709"/>
        <w:jc w:val="both"/>
        <w:rPr>
          <w:sz w:val="21"/>
          <w:szCs w:val="21"/>
        </w:rPr>
      </w:pPr>
      <w:r w:rsidRPr="00182552">
        <w:rPr>
          <w:sz w:val="21"/>
          <w:szCs w:val="21"/>
        </w:rPr>
        <w:t>Упровадження в Україні відомого світовій муніципальній практиці методу негативного регулювання діяльності місцевого самоврядування – «дозволено все, що не заборонено» – створить конституційно-правові умови для активізації життєдіяльності територіальних громад та включення до питань місцевого значення широкого кола соціальних відносин, які постають на локальному рівні, сприятиме децентралізації публічної влади, розмежуванню функцій та повноважень органів виконавчої влади і органів місцевого самоврядування, розширенню самостійності та відповідальності територіальних громад у вирішенні завдань життєзабезпечення і розвитку міст, селищ та сіл з огляду на місцеву специфіку, соціально-економічні особливості та культурно-історичні традиції.</w:t>
      </w: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r w:rsidRPr="00182552">
        <w:rPr>
          <w:rFonts w:ascii="Times New Roman" w:hAnsi="Times New Roman"/>
          <w:sz w:val="21"/>
          <w:szCs w:val="21"/>
        </w:rPr>
        <w:lastRenderedPageBreak/>
        <w:t>Як підсумок, можна зазначити, що реформа місцевого самоврядування за принципом децентралізації є основою ефективного використання та розвитку комунальної власності як міцної основи дієвої реалізації соціальної регіональної політики. Саме на рівні регіону (області), району та територіальної громади матеріальним і фінансовим підґрунтям здійснення заходів соціальної політики є комунальна власність, що потребує розробки заходів щодо активізації її розвитку та продуктивного використання, у тому числі на основі активізації людського фактору та формування відповідних організаційних структур.</w:t>
      </w:r>
    </w:p>
    <w:p w:rsidR="00B233DE" w:rsidRPr="00B33F8E" w:rsidRDefault="00B233DE" w:rsidP="00B233DE">
      <w:pPr>
        <w:widowControl w:val="0"/>
        <w:ind w:firstLine="709"/>
        <w:jc w:val="both"/>
        <w:rPr>
          <w:rFonts w:ascii="Times New Roman" w:hAnsi="Times New Roman"/>
          <w:sz w:val="21"/>
          <w:szCs w:val="21"/>
        </w:rPr>
      </w:pPr>
    </w:p>
    <w:p w:rsidR="00B233DE" w:rsidRPr="00B33F8E" w:rsidRDefault="00B233DE" w:rsidP="00B233DE">
      <w:pPr>
        <w:widowControl w:val="0"/>
        <w:ind w:firstLine="709"/>
        <w:jc w:val="both"/>
        <w:rPr>
          <w:rFonts w:ascii="Times New Roman" w:hAnsi="Times New Roman"/>
          <w:sz w:val="21"/>
          <w:szCs w:val="21"/>
        </w:rPr>
      </w:pPr>
    </w:p>
    <w:p w:rsidR="00B233DE" w:rsidRPr="00182552" w:rsidRDefault="00B233DE" w:rsidP="00B233DE">
      <w:pPr>
        <w:widowControl w:val="0"/>
        <w:autoSpaceDE w:val="0"/>
        <w:autoSpaceDN w:val="0"/>
        <w:adjustRightInd w:val="0"/>
        <w:ind w:firstLine="709"/>
        <w:jc w:val="both"/>
        <w:rPr>
          <w:rFonts w:ascii="Times New Roman" w:hAnsi="Times New Roman"/>
          <w:b/>
          <w:sz w:val="21"/>
          <w:szCs w:val="21"/>
        </w:rPr>
      </w:pPr>
      <w:r w:rsidRPr="00182552">
        <w:rPr>
          <w:rFonts w:ascii="Times New Roman" w:hAnsi="Times New Roman"/>
          <w:b/>
          <w:sz w:val="21"/>
          <w:szCs w:val="21"/>
        </w:rPr>
        <w:t>6.2. Удосконалення системи фінансування соціальної регіональної політики на основі розвитку комунальної власності</w:t>
      </w:r>
    </w:p>
    <w:p w:rsidR="00B233DE" w:rsidRPr="00B33F8E" w:rsidRDefault="00B233DE" w:rsidP="00B233DE">
      <w:pPr>
        <w:widowControl w:val="0"/>
        <w:autoSpaceDE w:val="0"/>
        <w:autoSpaceDN w:val="0"/>
        <w:adjustRightInd w:val="0"/>
        <w:ind w:firstLine="709"/>
        <w:jc w:val="both"/>
        <w:rPr>
          <w:rFonts w:ascii="Times New Roman" w:hAnsi="Times New Roman"/>
          <w:sz w:val="21"/>
          <w:szCs w:val="21"/>
        </w:rPr>
      </w:pPr>
    </w:p>
    <w:p w:rsidR="00B233DE" w:rsidRPr="00B33F8E" w:rsidRDefault="00B233DE" w:rsidP="00B233DE">
      <w:pPr>
        <w:widowControl w:val="0"/>
        <w:autoSpaceDE w:val="0"/>
        <w:autoSpaceDN w:val="0"/>
        <w:adjustRightInd w:val="0"/>
        <w:ind w:firstLine="709"/>
        <w:jc w:val="both"/>
        <w:rPr>
          <w:rFonts w:ascii="Times New Roman" w:hAnsi="Times New Roman"/>
          <w:sz w:val="21"/>
          <w:szCs w:val="21"/>
        </w:rPr>
      </w:pPr>
    </w:p>
    <w:p w:rsidR="00B233DE" w:rsidRPr="00182552" w:rsidRDefault="00B233DE" w:rsidP="00B233DE">
      <w:pPr>
        <w:widowControl w:val="0"/>
        <w:autoSpaceDE w:val="0"/>
        <w:autoSpaceDN w:val="0"/>
        <w:adjustRightInd w:val="0"/>
        <w:ind w:firstLine="709"/>
        <w:jc w:val="both"/>
        <w:rPr>
          <w:rFonts w:ascii="Times New Roman" w:hAnsi="Times New Roman"/>
          <w:sz w:val="21"/>
          <w:szCs w:val="21"/>
        </w:rPr>
      </w:pPr>
      <w:r w:rsidRPr="00182552">
        <w:rPr>
          <w:rFonts w:ascii="Times New Roman" w:hAnsi="Times New Roman"/>
          <w:sz w:val="21"/>
          <w:szCs w:val="21"/>
        </w:rPr>
        <w:t>Соціальний регіональний розвиток на сьогодні потребує особливо ретельних підходів під час регулювання, насамперед через невисоку ефективність економіки у багатьох регіонах України, а також через необхідність перерозподілу доходів для досягнення приблизно однакового рівня надання соціальних послуг по всій країні. Ефективність досягнення цілей регулювання місцевих систем фінансування соціальної політики залежить від набору форм, методів, інструментів, принципів регулювання, а головне – їх обґрунтованого та комплексного поєднання. Таке поєднання форм, методів, інструментів та принципів і утворює механізм регулювання системи фінансування соціальної політики.</w:t>
      </w:r>
    </w:p>
    <w:p w:rsidR="00B233DE" w:rsidRPr="00182552" w:rsidRDefault="00B233DE" w:rsidP="00B233DE">
      <w:pPr>
        <w:widowControl w:val="0"/>
        <w:autoSpaceDE w:val="0"/>
        <w:autoSpaceDN w:val="0"/>
        <w:adjustRightInd w:val="0"/>
        <w:ind w:firstLine="709"/>
        <w:jc w:val="both"/>
        <w:rPr>
          <w:rFonts w:ascii="Times New Roman" w:hAnsi="Times New Roman"/>
          <w:sz w:val="21"/>
          <w:szCs w:val="21"/>
        </w:rPr>
      </w:pPr>
      <w:r w:rsidRPr="00182552">
        <w:rPr>
          <w:rFonts w:ascii="Times New Roman" w:hAnsi="Times New Roman"/>
          <w:sz w:val="21"/>
          <w:szCs w:val="21"/>
        </w:rPr>
        <w:t>До основних форм регулювання системи фінансування соціальної регіональної політики можна віднести: комплексне планування економічного та соціального розвитку регіону; реалізацію регіональних і цільових комплексних програм; управління господарською діяльністю комунальних підприємств; бюджетно-податкову, грошово-кредитну та амортизаційну політику; систему соціального захисту населення.</w:t>
      </w:r>
    </w:p>
    <w:p w:rsidR="00B233DE" w:rsidRPr="00182552" w:rsidRDefault="00B233DE" w:rsidP="00B233DE">
      <w:pPr>
        <w:widowControl w:val="0"/>
        <w:autoSpaceDE w:val="0"/>
        <w:autoSpaceDN w:val="0"/>
        <w:adjustRightInd w:val="0"/>
        <w:ind w:firstLine="709"/>
        <w:jc w:val="both"/>
        <w:rPr>
          <w:rFonts w:ascii="Times New Roman" w:hAnsi="Times New Roman"/>
          <w:sz w:val="21"/>
          <w:szCs w:val="21"/>
        </w:rPr>
      </w:pPr>
      <w:r w:rsidRPr="00182552">
        <w:rPr>
          <w:rFonts w:ascii="Times New Roman" w:hAnsi="Times New Roman"/>
          <w:sz w:val="21"/>
          <w:szCs w:val="21"/>
        </w:rPr>
        <w:t>За формами впливу методи регулювання поділяються на дві групи: методи прямого та непрямого впливу. Залежно від засобів впливу виділяють правові, адміністративні, економічні та пропагандистські методи.</w:t>
      </w:r>
    </w:p>
    <w:p w:rsidR="00B233DE" w:rsidRPr="00182552" w:rsidRDefault="00B233DE" w:rsidP="00B233DE">
      <w:pPr>
        <w:widowControl w:val="0"/>
        <w:autoSpaceDE w:val="0"/>
        <w:autoSpaceDN w:val="0"/>
        <w:adjustRightInd w:val="0"/>
        <w:ind w:firstLine="709"/>
        <w:jc w:val="both"/>
        <w:rPr>
          <w:rFonts w:ascii="Times New Roman" w:hAnsi="Times New Roman"/>
          <w:sz w:val="21"/>
          <w:szCs w:val="21"/>
        </w:rPr>
      </w:pPr>
      <w:r w:rsidRPr="00182552">
        <w:rPr>
          <w:rFonts w:ascii="Times New Roman" w:hAnsi="Times New Roman"/>
          <w:sz w:val="21"/>
          <w:szCs w:val="21"/>
        </w:rPr>
        <w:lastRenderedPageBreak/>
        <w:t>Прямі та непрямі методи регулювання загалом, так стосовно системи фінансування соціальної регіональної політики зокрема – методи прямого впливу, що безпосередньо позначаються на функціонуванні суб’єктів. Такий вплив справляється за допомогою адміністративно-правових інструментів, що регламентують діяльність відповідних суб’єктів, та економічних інструментів прямого впливу. Основними інструментами прямого регулювання</w:t>
      </w:r>
      <w:r w:rsidRPr="00182552">
        <w:rPr>
          <w:rFonts w:ascii="Times New Roman" w:hAnsi="Times New Roman"/>
          <w:i/>
          <w:sz w:val="21"/>
          <w:szCs w:val="21"/>
        </w:rPr>
        <w:t xml:space="preserve"> </w:t>
      </w:r>
      <w:r w:rsidRPr="00182552">
        <w:rPr>
          <w:rFonts w:ascii="Times New Roman" w:hAnsi="Times New Roman"/>
          <w:sz w:val="21"/>
          <w:szCs w:val="21"/>
        </w:rPr>
        <w:t xml:space="preserve">є нормативно-правові акти, регіональні та місцеві плани, цільові комплексні програми. </w:t>
      </w:r>
    </w:p>
    <w:p w:rsidR="00B233DE" w:rsidRPr="00182552" w:rsidRDefault="00B233DE" w:rsidP="00B233DE">
      <w:pPr>
        <w:widowControl w:val="0"/>
        <w:autoSpaceDE w:val="0"/>
        <w:autoSpaceDN w:val="0"/>
        <w:adjustRightInd w:val="0"/>
        <w:ind w:firstLine="709"/>
        <w:jc w:val="both"/>
        <w:rPr>
          <w:rFonts w:ascii="Times New Roman" w:hAnsi="Times New Roman"/>
          <w:sz w:val="21"/>
          <w:szCs w:val="21"/>
        </w:rPr>
      </w:pPr>
      <w:r w:rsidRPr="00182552">
        <w:rPr>
          <w:rFonts w:ascii="Times New Roman" w:hAnsi="Times New Roman"/>
          <w:sz w:val="21"/>
          <w:szCs w:val="21"/>
        </w:rPr>
        <w:t xml:space="preserve">Методи непрямого регулювання регламентують поведінку суб’єктів не безпосередньо, а через створення певного економічного середовища, що змушує їх діяти у необхідному напрямі. Опосередковане регулювання передбачає вплив на економічні інтереси. </w:t>
      </w:r>
      <w:r w:rsidRPr="00B33F8E">
        <w:rPr>
          <w:rFonts w:ascii="Times New Roman" w:hAnsi="Times New Roman"/>
          <w:sz w:val="21"/>
          <w:szCs w:val="21"/>
        </w:rPr>
        <w:t xml:space="preserve">До методів непрямого регулювання належать інструменти </w:t>
      </w:r>
      <w:r w:rsidRPr="00182552">
        <w:rPr>
          <w:rFonts w:ascii="Times New Roman" w:hAnsi="Times New Roman"/>
          <w:sz w:val="21"/>
          <w:szCs w:val="21"/>
        </w:rPr>
        <w:t>фіскальної, бюджетної, грошово-кредитної, інноваційної економічної політики, окремі елементи інвестиційної політики.</w:t>
      </w:r>
    </w:p>
    <w:p w:rsidR="00B233DE" w:rsidRPr="00182552" w:rsidRDefault="00B233DE" w:rsidP="00B233DE">
      <w:pPr>
        <w:widowControl w:val="0"/>
        <w:autoSpaceDE w:val="0"/>
        <w:autoSpaceDN w:val="0"/>
        <w:adjustRightInd w:val="0"/>
        <w:ind w:firstLine="709"/>
        <w:jc w:val="both"/>
        <w:rPr>
          <w:rFonts w:ascii="Times New Roman" w:hAnsi="Times New Roman"/>
          <w:sz w:val="21"/>
          <w:szCs w:val="21"/>
        </w:rPr>
      </w:pPr>
      <w:r w:rsidRPr="00182552">
        <w:rPr>
          <w:rFonts w:ascii="Times New Roman" w:hAnsi="Times New Roman"/>
          <w:sz w:val="21"/>
          <w:szCs w:val="21"/>
        </w:rPr>
        <w:t>Правові методи регулювання у цілому, та у тому числі системи фінансового забезпечення соціальної регіональної політики, полягають у діяльності щодо встановлення обов’язкових для виконання юридичних норм (правил) поведінки суб’єктів права. Необхідний у цьому разі примус забезпечується розвитком громадської свідомості та силою державної влади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_Ref436211403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7</w:t>
      </w:r>
      <w:r w:rsidR="00FC3E63">
        <w:rPr>
          <w:rFonts w:ascii="Times New Roman" w:hAnsi="Times New Roman" w:cs="Times New Roman"/>
          <w:bCs/>
          <w:color w:val="000000" w:themeColor="text1"/>
          <w:sz w:val="21"/>
          <w:szCs w:val="21"/>
          <w:highlight w:val="yellow"/>
        </w:rPr>
        <w:fldChar w:fldCharType="end"/>
      </w:r>
      <w:r w:rsidRPr="00182552">
        <w:rPr>
          <w:rFonts w:ascii="Times New Roman" w:hAnsi="Times New Roman"/>
          <w:sz w:val="21"/>
          <w:szCs w:val="21"/>
        </w:rPr>
        <w:t>].</w:t>
      </w:r>
    </w:p>
    <w:p w:rsidR="00B233DE" w:rsidRPr="00182552" w:rsidRDefault="00B233DE" w:rsidP="00B233DE">
      <w:pPr>
        <w:widowControl w:val="0"/>
        <w:autoSpaceDE w:val="0"/>
        <w:autoSpaceDN w:val="0"/>
        <w:adjustRightInd w:val="0"/>
        <w:ind w:firstLine="709"/>
        <w:jc w:val="both"/>
        <w:rPr>
          <w:rFonts w:ascii="Times New Roman" w:hAnsi="Times New Roman"/>
          <w:sz w:val="21"/>
          <w:szCs w:val="21"/>
        </w:rPr>
      </w:pPr>
      <w:r w:rsidRPr="00182552">
        <w:rPr>
          <w:rFonts w:ascii="Times New Roman" w:hAnsi="Times New Roman"/>
          <w:sz w:val="21"/>
          <w:szCs w:val="21"/>
        </w:rPr>
        <w:t>З набуттям незалежності України, а отже, з початком усіх структурних перетворень в економіці держави, зросли вимоги до кількості і якості суспільних послуг, які надаються місцевими органами виконавчої влади та місцевого самоврядування. Поточні видатки місцевих бюджетів – заробітна плата працівникам бюджетної сфери, утримання медичних та дошкільних закладів, соціальні виплати тощо є вкрай важкими для самостійного виконання органами місцевого самоврядування в Україні. Основною метою реформування може бути лише чітке визначення та збалансування фінансових відносин між різними рівнями бюджетної системи держави.</w:t>
      </w:r>
    </w:p>
    <w:p w:rsidR="00B233DE" w:rsidRPr="00182552" w:rsidRDefault="00B233DE" w:rsidP="00B233DE">
      <w:pPr>
        <w:widowControl w:val="0"/>
        <w:autoSpaceDE w:val="0"/>
        <w:autoSpaceDN w:val="0"/>
        <w:adjustRightInd w:val="0"/>
        <w:ind w:firstLine="709"/>
        <w:jc w:val="both"/>
        <w:rPr>
          <w:rFonts w:ascii="Times New Roman" w:hAnsi="Times New Roman"/>
          <w:sz w:val="21"/>
          <w:szCs w:val="21"/>
        </w:rPr>
      </w:pPr>
      <w:r w:rsidRPr="00182552">
        <w:rPr>
          <w:rFonts w:ascii="Times New Roman" w:hAnsi="Times New Roman"/>
          <w:sz w:val="21"/>
          <w:szCs w:val="21"/>
        </w:rPr>
        <w:t xml:space="preserve">Самостійність місцевих бюджетів в Україні означає закріплення за ними на стабільній основі часток загальнодержавних податків, місцевих податків та зборів і надання права самостійно визначати напрями використання бюджетних коштів. Однак мізерні надходження від місцевих податків та зборів, </w:t>
      </w:r>
      <w:r w:rsidRPr="00182552">
        <w:rPr>
          <w:rFonts w:ascii="Times New Roman" w:hAnsi="Times New Roman"/>
          <w:sz w:val="21"/>
          <w:szCs w:val="21"/>
        </w:rPr>
        <w:lastRenderedPageBreak/>
        <w:t>а також досить низький ступінь незалежності органів місцевого самоврядування та органів місцевої виконавчої влади щодо розпорядження власними надходженнями не дозволяють забезпечити розвиток соціальної регіональної політики на належному рівні.</w:t>
      </w:r>
    </w:p>
    <w:p w:rsidR="00B233DE" w:rsidRPr="00182552" w:rsidRDefault="00B233DE" w:rsidP="00B233DE">
      <w:pPr>
        <w:widowControl w:val="0"/>
        <w:autoSpaceDE w:val="0"/>
        <w:autoSpaceDN w:val="0"/>
        <w:adjustRightInd w:val="0"/>
        <w:ind w:firstLine="709"/>
        <w:jc w:val="both"/>
        <w:rPr>
          <w:rFonts w:ascii="Times New Roman" w:hAnsi="Times New Roman"/>
          <w:sz w:val="21"/>
          <w:szCs w:val="21"/>
        </w:rPr>
      </w:pPr>
      <w:r w:rsidRPr="00182552">
        <w:rPr>
          <w:rFonts w:ascii="Times New Roman" w:hAnsi="Times New Roman"/>
          <w:sz w:val="21"/>
          <w:szCs w:val="21"/>
        </w:rPr>
        <w:t>Для того, щоб побудувати бюджетну систему, при функціонуванні якої враховувалися б інтереси регіонального розвитку і, н</w:t>
      </w:r>
      <w:r>
        <w:rPr>
          <w:rFonts w:ascii="Times New Roman" w:hAnsi="Times New Roman"/>
          <w:sz w:val="21"/>
          <w:szCs w:val="21"/>
        </w:rPr>
        <w:t>асамперед, соціальної політики,</w:t>
      </w:r>
      <w:r w:rsidRPr="00182552">
        <w:rPr>
          <w:rFonts w:ascii="Times New Roman" w:hAnsi="Times New Roman"/>
          <w:sz w:val="21"/>
          <w:szCs w:val="21"/>
        </w:rPr>
        <w:t xml:space="preserve"> необхідно, на нашу думку, звернути увагу на принципи теорії бюджетного феде</w:t>
      </w:r>
      <w:r w:rsidR="00FC3E63">
        <w:rPr>
          <w:rFonts w:ascii="Times New Roman" w:hAnsi="Times New Roman"/>
          <w:sz w:val="21"/>
          <w:szCs w:val="21"/>
        </w:rPr>
        <w:t>-</w:t>
      </w:r>
      <w:r w:rsidRPr="00182552">
        <w:rPr>
          <w:rFonts w:ascii="Times New Roman" w:hAnsi="Times New Roman"/>
          <w:sz w:val="21"/>
          <w:szCs w:val="21"/>
        </w:rPr>
        <w:t>ралізму. Засновниками даної теорії у США вважають державних діячів, вчених А. Гамільтона, Дж. Джея, Дж. Медісона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_Ref436211411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50</w:t>
      </w:r>
      <w:r w:rsidR="00FC3E63">
        <w:rPr>
          <w:rFonts w:ascii="Times New Roman" w:hAnsi="Times New Roman" w:cs="Times New Roman"/>
          <w:bCs/>
          <w:color w:val="000000" w:themeColor="text1"/>
          <w:sz w:val="21"/>
          <w:szCs w:val="21"/>
          <w:highlight w:val="yellow"/>
        </w:rPr>
        <w:fldChar w:fldCharType="end"/>
      </w:r>
      <w:r w:rsidRPr="00182552">
        <w:rPr>
          <w:rFonts w:ascii="Times New Roman" w:hAnsi="Times New Roman"/>
          <w:sz w:val="21"/>
          <w:szCs w:val="21"/>
        </w:rPr>
        <w:t>].</w:t>
      </w:r>
    </w:p>
    <w:p w:rsidR="00B233DE" w:rsidRPr="00182552" w:rsidRDefault="00B233DE" w:rsidP="00B233DE">
      <w:pPr>
        <w:widowControl w:val="0"/>
        <w:autoSpaceDE w:val="0"/>
        <w:autoSpaceDN w:val="0"/>
        <w:adjustRightInd w:val="0"/>
        <w:ind w:firstLine="709"/>
        <w:jc w:val="both"/>
        <w:rPr>
          <w:rFonts w:ascii="Times New Roman" w:hAnsi="Times New Roman"/>
          <w:sz w:val="21"/>
          <w:szCs w:val="21"/>
        </w:rPr>
      </w:pPr>
      <w:r w:rsidRPr="00182552">
        <w:rPr>
          <w:rFonts w:ascii="Times New Roman" w:hAnsi="Times New Roman"/>
          <w:sz w:val="21"/>
          <w:szCs w:val="21"/>
        </w:rPr>
        <w:t>Серед сучасних західних учених проблемами бюджетного федералізму займаються Ч. Тібу, Р. Масгрейв, У. Оатс [</w:t>
      </w:r>
      <w:r w:rsidR="00FC3E63">
        <w:rPr>
          <w:rFonts w:ascii="Times New Roman" w:hAnsi="Times New Roman" w:cs="Times New Roman"/>
          <w:bCs/>
          <w:color w:val="000000" w:themeColor="text1"/>
          <w:sz w:val="21"/>
          <w:szCs w:val="21"/>
          <w:highlight w:val="yellow"/>
          <w:lang w:val="en-US"/>
        </w:rPr>
        <w:fldChar w:fldCharType="begin"/>
      </w:r>
      <w:r w:rsidR="00FC3E63">
        <w:rPr>
          <w:rFonts w:ascii="Times New Roman" w:hAnsi="Times New Roman"/>
          <w:sz w:val="21"/>
          <w:szCs w:val="21"/>
        </w:rPr>
        <w:instrText xml:space="preserve"> REF _Ref436211417 \r \h </w:instrText>
      </w:r>
      <w:r w:rsidR="00FC3E63">
        <w:rPr>
          <w:rFonts w:ascii="Times New Roman" w:hAnsi="Times New Roman" w:cs="Times New Roman"/>
          <w:bCs/>
          <w:color w:val="000000" w:themeColor="text1"/>
          <w:sz w:val="21"/>
          <w:szCs w:val="21"/>
          <w:highlight w:val="yellow"/>
          <w:lang w:val="en-US"/>
        </w:rPr>
      </w:r>
      <w:r w:rsidR="00FC3E63">
        <w:rPr>
          <w:rFonts w:ascii="Times New Roman" w:hAnsi="Times New Roman" w:cs="Times New Roman"/>
          <w:bCs/>
          <w:color w:val="000000" w:themeColor="text1"/>
          <w:sz w:val="21"/>
          <w:szCs w:val="21"/>
          <w:highlight w:val="yellow"/>
          <w:lang w:val="en-US"/>
        </w:rPr>
        <w:fldChar w:fldCharType="separate"/>
      </w:r>
      <w:r w:rsidR="00FC3E63">
        <w:rPr>
          <w:rFonts w:ascii="Times New Roman" w:hAnsi="Times New Roman"/>
          <w:sz w:val="21"/>
          <w:szCs w:val="21"/>
        </w:rPr>
        <w:t>55</w:t>
      </w:r>
      <w:r w:rsidR="00FC3E63">
        <w:rPr>
          <w:rFonts w:ascii="Times New Roman" w:hAnsi="Times New Roman" w:cs="Times New Roman"/>
          <w:bCs/>
          <w:color w:val="000000" w:themeColor="text1"/>
          <w:sz w:val="21"/>
          <w:szCs w:val="21"/>
          <w:highlight w:val="yellow"/>
          <w:lang w:val="en-US"/>
        </w:rPr>
        <w:fldChar w:fldCharType="end"/>
      </w:r>
      <w:r w:rsidR="00FC3E63">
        <w:rPr>
          <w:rFonts w:ascii="Times New Roman" w:hAnsi="Times New Roman" w:cs="Times New Roman"/>
          <w:bCs/>
          <w:color w:val="000000" w:themeColor="text1"/>
          <w:sz w:val="21"/>
          <w:szCs w:val="21"/>
        </w:rPr>
        <w:t xml:space="preserve">; </w:t>
      </w:r>
      <w:r w:rsidR="00FC3E63">
        <w:rPr>
          <w:rFonts w:ascii="Times New Roman" w:hAnsi="Times New Roman" w:cs="Times New Roman"/>
          <w:bCs/>
          <w:color w:val="000000" w:themeColor="text1"/>
          <w:sz w:val="21"/>
          <w:szCs w:val="21"/>
          <w:lang w:val="en-US"/>
        </w:rPr>
        <w:fldChar w:fldCharType="begin"/>
      </w:r>
      <w:r w:rsidR="00FC3E63">
        <w:rPr>
          <w:rFonts w:ascii="Times New Roman" w:hAnsi="Times New Roman" w:cs="Times New Roman"/>
          <w:bCs/>
          <w:color w:val="000000" w:themeColor="text1"/>
          <w:sz w:val="21"/>
          <w:szCs w:val="21"/>
        </w:rPr>
        <w:instrText xml:space="preserve"> REF _Ref436211892 \r \h </w:instrText>
      </w:r>
      <w:r w:rsidR="00FC3E63">
        <w:rPr>
          <w:rFonts w:ascii="Times New Roman" w:hAnsi="Times New Roman" w:cs="Times New Roman"/>
          <w:bCs/>
          <w:color w:val="000000" w:themeColor="text1"/>
          <w:sz w:val="21"/>
          <w:szCs w:val="21"/>
          <w:lang w:val="en-US"/>
        </w:rPr>
      </w:r>
      <w:r w:rsidR="00FC3E63">
        <w:rPr>
          <w:rFonts w:ascii="Times New Roman" w:hAnsi="Times New Roman" w:cs="Times New Roman"/>
          <w:bCs/>
          <w:color w:val="000000" w:themeColor="text1"/>
          <w:sz w:val="21"/>
          <w:szCs w:val="21"/>
          <w:lang w:val="en-US"/>
        </w:rPr>
        <w:fldChar w:fldCharType="separate"/>
      </w:r>
      <w:r w:rsidR="00FC3E63">
        <w:rPr>
          <w:rFonts w:ascii="Times New Roman" w:hAnsi="Times New Roman" w:cs="Times New Roman"/>
          <w:bCs/>
          <w:color w:val="000000" w:themeColor="text1"/>
          <w:sz w:val="21"/>
          <w:szCs w:val="21"/>
        </w:rPr>
        <w:t>57</w:t>
      </w:r>
      <w:r w:rsidR="00FC3E63">
        <w:rPr>
          <w:rFonts w:ascii="Times New Roman" w:hAnsi="Times New Roman" w:cs="Times New Roman"/>
          <w:bCs/>
          <w:color w:val="000000" w:themeColor="text1"/>
          <w:sz w:val="21"/>
          <w:szCs w:val="21"/>
          <w:lang w:val="en-US"/>
        </w:rPr>
        <w:fldChar w:fldCharType="end"/>
      </w:r>
      <w:r w:rsidRPr="00182552">
        <w:rPr>
          <w:rFonts w:ascii="Times New Roman" w:hAnsi="Times New Roman"/>
          <w:sz w:val="21"/>
          <w:szCs w:val="21"/>
        </w:rPr>
        <w:t>]. Дана теорія побудована на принципі децентралізації, тому що багато функцій щодо надання суспільних благ мають надаватися саме місцевими органами влади і місцевого самоврядування, адже на місцевому рівні можна повніше врахувати потреби мешканців територіальної громади. Втілення принципів бюджетного федералізму як у федеративних, так і в унітарних державах гарантує отримання громадянами визначеного державою мінімуму соціальних благ у всіх регіонах.</w:t>
      </w:r>
    </w:p>
    <w:p w:rsidR="00B233DE" w:rsidRPr="00182552" w:rsidRDefault="00B233DE" w:rsidP="00B233DE">
      <w:pPr>
        <w:widowControl w:val="0"/>
        <w:autoSpaceDE w:val="0"/>
        <w:autoSpaceDN w:val="0"/>
        <w:adjustRightInd w:val="0"/>
        <w:ind w:firstLine="709"/>
        <w:jc w:val="both"/>
        <w:rPr>
          <w:rFonts w:ascii="Times New Roman" w:hAnsi="Times New Roman"/>
          <w:sz w:val="21"/>
          <w:szCs w:val="21"/>
        </w:rPr>
      </w:pPr>
      <w:r w:rsidRPr="00182552">
        <w:rPr>
          <w:rFonts w:ascii="Times New Roman" w:hAnsi="Times New Roman"/>
          <w:sz w:val="21"/>
          <w:szCs w:val="21"/>
        </w:rPr>
        <w:t>Головним є те, що бюджетний федералізм дозволяє в умовах відносної самостійності кожного бюджету поєднувати фіскальні, соціальні й економічні інтереси центру з інтересами адміністративно-територіальних одиниць та органів місцевого самоврядування.</w:t>
      </w:r>
    </w:p>
    <w:p w:rsidR="00B233DE" w:rsidRPr="00182552" w:rsidRDefault="00B233DE" w:rsidP="00B233DE">
      <w:pPr>
        <w:widowControl w:val="0"/>
        <w:autoSpaceDE w:val="0"/>
        <w:autoSpaceDN w:val="0"/>
        <w:adjustRightInd w:val="0"/>
        <w:ind w:firstLine="709"/>
        <w:jc w:val="both"/>
        <w:rPr>
          <w:rFonts w:ascii="Times New Roman" w:hAnsi="Times New Roman"/>
          <w:sz w:val="21"/>
          <w:szCs w:val="21"/>
        </w:rPr>
      </w:pPr>
      <w:r w:rsidRPr="00182552">
        <w:rPr>
          <w:rFonts w:ascii="Times New Roman" w:hAnsi="Times New Roman"/>
          <w:sz w:val="21"/>
          <w:szCs w:val="21"/>
        </w:rPr>
        <w:t>Однак при цьому треба зазначити, що основи фінансової самостійності полягають у оптимальному врахуванні та поєднанні інтересів держави, органів місцевого самоврядування, суб’єктів підприємницької діяльності та населення. Нічим не обмежена фінансова незалежність має таку саму негативну суть, як і надмірна централізація у використанні фінансових ресурсів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_Ref436211423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10</w:t>
      </w:r>
      <w:r w:rsidR="00FC3E63">
        <w:rPr>
          <w:rFonts w:ascii="Times New Roman" w:hAnsi="Times New Roman" w:cs="Times New Roman"/>
          <w:bCs/>
          <w:color w:val="000000" w:themeColor="text1"/>
          <w:sz w:val="21"/>
          <w:szCs w:val="21"/>
          <w:highlight w:val="yellow"/>
        </w:rPr>
        <w:fldChar w:fldCharType="end"/>
      </w:r>
      <w:r w:rsidRPr="00182552">
        <w:rPr>
          <w:rFonts w:ascii="Times New Roman" w:hAnsi="Times New Roman"/>
          <w:sz w:val="21"/>
          <w:szCs w:val="21"/>
        </w:rPr>
        <w:t>].</w:t>
      </w:r>
    </w:p>
    <w:p w:rsidR="00B233DE" w:rsidRPr="00182552" w:rsidRDefault="00B233DE" w:rsidP="00B233DE">
      <w:pPr>
        <w:widowControl w:val="0"/>
        <w:autoSpaceDE w:val="0"/>
        <w:autoSpaceDN w:val="0"/>
        <w:adjustRightInd w:val="0"/>
        <w:ind w:firstLine="709"/>
        <w:jc w:val="both"/>
        <w:rPr>
          <w:rFonts w:ascii="Times New Roman" w:hAnsi="Times New Roman"/>
          <w:sz w:val="21"/>
          <w:szCs w:val="21"/>
        </w:rPr>
      </w:pPr>
      <w:r w:rsidRPr="00182552">
        <w:rPr>
          <w:rFonts w:ascii="Times New Roman" w:hAnsi="Times New Roman"/>
          <w:sz w:val="21"/>
          <w:szCs w:val="21"/>
        </w:rPr>
        <w:t xml:space="preserve">Незначна увага владних структур до проблем системи фінансування соціальної регіональної політики призводить до посилення утриманських настроїв окремих регіонів відносно держави, незацікавленості збільшення прибутковості комунальних підприємств та запровадження ефективної взаємодії з приватним сектором у інших регіонах, неефективного розподілу коштів та їх витрачання. Тому реформування системи фінансування соціальної </w:t>
      </w:r>
      <w:r w:rsidRPr="00182552">
        <w:rPr>
          <w:rFonts w:ascii="Times New Roman" w:hAnsi="Times New Roman"/>
          <w:sz w:val="21"/>
          <w:szCs w:val="21"/>
        </w:rPr>
        <w:lastRenderedPageBreak/>
        <w:t>регіональної політики, насамперед, на основі трансформації системи міжбюджетних відносин має відбуватися з урахуванням усіх існуючих проблем, з метою раціоналізації цієї системи та підвищення ефективності функціонування її складових задля досягнення максимального соціального ефекту.</w:t>
      </w:r>
    </w:p>
    <w:p w:rsidR="00B233DE" w:rsidRPr="00182552" w:rsidRDefault="00B233DE" w:rsidP="00B233DE">
      <w:pPr>
        <w:widowControl w:val="0"/>
        <w:autoSpaceDE w:val="0"/>
        <w:autoSpaceDN w:val="0"/>
        <w:adjustRightInd w:val="0"/>
        <w:ind w:firstLine="709"/>
        <w:jc w:val="both"/>
        <w:rPr>
          <w:rFonts w:ascii="Times New Roman" w:hAnsi="Times New Roman"/>
          <w:sz w:val="21"/>
          <w:szCs w:val="21"/>
        </w:rPr>
      </w:pPr>
      <w:r w:rsidRPr="00182552">
        <w:rPr>
          <w:rFonts w:ascii="Times New Roman" w:hAnsi="Times New Roman"/>
          <w:sz w:val="21"/>
          <w:szCs w:val="21"/>
        </w:rPr>
        <w:t>Проблема виконання бюджетів місцевого самоврядування за доходами виходить за межі суто фінансово-правового регулювання. Від доходів бюджетів територіальних громад значною мірою залежать особливості фінансово-економічного стану відповідної території, соціально-політична, демографічна ситуація. Зазначена проблема має комплексний характер, а тому потребує системного підходу. Особливого значення питання фінансового забезпечення місцевого самоврядування набуває у контексті євроінтеграційного курсу України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_Ref436211431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41</w:t>
      </w:r>
      <w:r w:rsidR="00FC3E63">
        <w:rPr>
          <w:rFonts w:ascii="Times New Roman" w:hAnsi="Times New Roman" w:cs="Times New Roman"/>
          <w:bCs/>
          <w:color w:val="000000" w:themeColor="text1"/>
          <w:sz w:val="21"/>
          <w:szCs w:val="21"/>
          <w:highlight w:val="yellow"/>
        </w:rPr>
        <w:fldChar w:fldCharType="end"/>
      </w:r>
      <w:r w:rsidRPr="00182552">
        <w:rPr>
          <w:rFonts w:ascii="Times New Roman" w:hAnsi="Times New Roman"/>
          <w:sz w:val="21"/>
          <w:szCs w:val="21"/>
        </w:rPr>
        <w:t xml:space="preserve">]. </w:t>
      </w:r>
    </w:p>
    <w:p w:rsidR="00B233DE" w:rsidRPr="00182552" w:rsidRDefault="00B233DE" w:rsidP="00B233DE">
      <w:pPr>
        <w:widowControl w:val="0"/>
        <w:autoSpaceDE w:val="0"/>
        <w:autoSpaceDN w:val="0"/>
        <w:adjustRightInd w:val="0"/>
        <w:ind w:firstLine="709"/>
        <w:jc w:val="both"/>
        <w:rPr>
          <w:rFonts w:ascii="Times New Roman" w:hAnsi="Times New Roman"/>
          <w:sz w:val="21"/>
          <w:szCs w:val="21"/>
        </w:rPr>
      </w:pPr>
      <w:r w:rsidRPr="00182552">
        <w:rPr>
          <w:rFonts w:ascii="Times New Roman" w:hAnsi="Times New Roman"/>
          <w:sz w:val="21"/>
          <w:szCs w:val="21"/>
        </w:rPr>
        <w:t>Європейська хартія місцевого самоврядування від 15 жовтня 1985 р., ратифікована Законом України від 15.07.1997 р. № 452/97-ВР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_Ref436211436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38</w:t>
      </w:r>
      <w:r w:rsidR="00FC3E63">
        <w:rPr>
          <w:rFonts w:ascii="Times New Roman" w:hAnsi="Times New Roman" w:cs="Times New Roman"/>
          <w:bCs/>
          <w:color w:val="000000" w:themeColor="text1"/>
          <w:sz w:val="21"/>
          <w:szCs w:val="21"/>
          <w:highlight w:val="yellow"/>
        </w:rPr>
        <w:fldChar w:fldCharType="end"/>
      </w:r>
      <w:r w:rsidRPr="00182552">
        <w:rPr>
          <w:rFonts w:ascii="Times New Roman" w:hAnsi="Times New Roman"/>
          <w:sz w:val="21"/>
          <w:szCs w:val="21"/>
        </w:rPr>
        <w:t>], визначає, що органи місцевого самоврядування мають право у рамках національної економічної політики на свої власні адекватні фінансові ресурси, якими вони можуть вільно розпоряджатися у межах своїх повноважень. Обсяг фінансових ресурсів органів місцевого самоврядування відповідає функціям, передбаченим конституцією або законом. Актуальним для України є положення, закріплене у ч. 3 ст. 9 Європейської хартії, яким передбачено, що принаймні частина фінансових ресурсів органів місцевого самоврядування формується за рахунок місцевих податків та зборів, розмір яких вони мають повноваження встановлювати у межах закону. Місцеві податки і збори мають поступово перетворитися з атрибуту місцевого самоврядування на потужний фіскальний важіль, основний чинник формування дохідних частин місцевих бюджетів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_Ref436211443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12</w:t>
      </w:r>
      <w:r w:rsidR="00FC3E63">
        <w:rPr>
          <w:rFonts w:ascii="Times New Roman" w:hAnsi="Times New Roman" w:cs="Times New Roman"/>
          <w:bCs/>
          <w:color w:val="000000" w:themeColor="text1"/>
          <w:sz w:val="21"/>
          <w:szCs w:val="21"/>
          <w:highlight w:val="yellow"/>
        </w:rPr>
        <w:fldChar w:fldCharType="end"/>
      </w:r>
      <w:r w:rsidRPr="00182552">
        <w:rPr>
          <w:rFonts w:ascii="Times New Roman" w:hAnsi="Times New Roman"/>
          <w:sz w:val="21"/>
          <w:szCs w:val="21"/>
        </w:rPr>
        <w:t xml:space="preserve">]. </w:t>
      </w:r>
    </w:p>
    <w:p w:rsidR="00B233DE" w:rsidRPr="00182552" w:rsidRDefault="00B233DE" w:rsidP="00B233DE">
      <w:pPr>
        <w:widowControl w:val="0"/>
        <w:autoSpaceDE w:val="0"/>
        <w:autoSpaceDN w:val="0"/>
        <w:adjustRightInd w:val="0"/>
        <w:ind w:firstLine="709"/>
        <w:jc w:val="both"/>
        <w:rPr>
          <w:rFonts w:ascii="Times New Roman" w:hAnsi="Times New Roman"/>
          <w:sz w:val="21"/>
          <w:szCs w:val="21"/>
        </w:rPr>
      </w:pPr>
      <w:r w:rsidRPr="00182552">
        <w:rPr>
          <w:rFonts w:ascii="Times New Roman" w:hAnsi="Times New Roman"/>
          <w:sz w:val="21"/>
          <w:szCs w:val="21"/>
        </w:rPr>
        <w:t>В Україні майже 12 тисяч територіальних громад. З-поміж них понад 6 тисяч має до 3 тисяч осіб населення, близько 5 тисяч – до тисячі осіб, приблизно тисяча громад налічує до 500 осіб населення. У більшості з них немає виконавчих органів сільрад, бюджетних установ, комунальних підприємств. Органи місцевого самоврядування таких громад практично не можуть здійснювати надані їм законом повноваження. Дотаційність 5419 бюджетів місцевого самоврядування становить понад 70 %, 483 громади утримуються за рахунок держбюджету на 90 %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_Ref436211449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27</w:t>
      </w:r>
      <w:r w:rsidR="00FC3E63">
        <w:rPr>
          <w:rFonts w:ascii="Times New Roman" w:hAnsi="Times New Roman" w:cs="Times New Roman"/>
          <w:bCs/>
          <w:color w:val="000000" w:themeColor="text1"/>
          <w:sz w:val="21"/>
          <w:szCs w:val="21"/>
          <w:highlight w:val="yellow"/>
        </w:rPr>
        <w:fldChar w:fldCharType="end"/>
      </w:r>
      <w:r w:rsidRPr="00182552">
        <w:rPr>
          <w:rFonts w:ascii="Times New Roman" w:hAnsi="Times New Roman"/>
          <w:sz w:val="21"/>
          <w:szCs w:val="21"/>
        </w:rPr>
        <w:t>].</w:t>
      </w:r>
    </w:p>
    <w:p w:rsidR="00B233DE" w:rsidRPr="00182552" w:rsidRDefault="00B233DE" w:rsidP="00B233DE">
      <w:pPr>
        <w:widowControl w:val="0"/>
        <w:autoSpaceDE w:val="0"/>
        <w:autoSpaceDN w:val="0"/>
        <w:adjustRightInd w:val="0"/>
        <w:ind w:firstLine="709"/>
        <w:jc w:val="both"/>
        <w:rPr>
          <w:rFonts w:ascii="Times New Roman" w:hAnsi="Times New Roman"/>
          <w:sz w:val="21"/>
          <w:szCs w:val="21"/>
        </w:rPr>
      </w:pPr>
      <w:r w:rsidRPr="00182552">
        <w:rPr>
          <w:rFonts w:ascii="Times New Roman" w:hAnsi="Times New Roman"/>
          <w:sz w:val="21"/>
          <w:szCs w:val="21"/>
        </w:rPr>
        <w:lastRenderedPageBreak/>
        <w:t xml:space="preserve">У зв’язку з цим із затвердженням у 2014 р. </w:t>
      </w:r>
      <w:r w:rsidRPr="00182552">
        <w:rPr>
          <w:rStyle w:val="rvts23"/>
          <w:rFonts w:ascii="Times New Roman" w:hAnsi="Times New Roman"/>
          <w:sz w:val="21"/>
          <w:szCs w:val="21"/>
        </w:rPr>
        <w:t>Концепції реформування місцевого самоврядування та територіальної організації влади в Україні</w:t>
      </w:r>
      <w:r w:rsidRPr="00182552">
        <w:rPr>
          <w:rFonts w:ascii="Times New Roman" w:hAnsi="Times New Roman"/>
          <w:sz w:val="21"/>
          <w:szCs w:val="21"/>
        </w:rPr>
        <w:t xml:space="preserve"> були започатковані докорінні зміни у системі фінансування соціальної регіональної політики</w:t>
      </w:r>
      <w:r w:rsidRPr="00182552">
        <w:rPr>
          <w:rStyle w:val="rvts23"/>
          <w:rFonts w:ascii="Times New Roman" w:hAnsi="Times New Roman"/>
          <w:sz w:val="21"/>
          <w:szCs w:val="21"/>
        </w:rPr>
        <w:t xml:space="preserve">. Відповідно до основних положень даної реформи об’єднана територіальна </w:t>
      </w:r>
      <w:r w:rsidRPr="00182552">
        <w:rPr>
          <w:rFonts w:ascii="Times New Roman" w:hAnsi="Times New Roman"/>
          <w:sz w:val="21"/>
          <w:szCs w:val="21"/>
        </w:rPr>
        <w:t>громада одержує додаткові фінансові та майнові ресурси, у тому числі на заходи соціальної регіональної політики. Основні з них:</w:t>
      </w:r>
    </w:p>
    <w:p w:rsidR="00B233DE" w:rsidRPr="00182552" w:rsidRDefault="00B233DE" w:rsidP="00B233DE">
      <w:pPr>
        <w:pStyle w:val="ad"/>
        <w:widowControl w:val="0"/>
        <w:numPr>
          <w:ilvl w:val="0"/>
          <w:numId w:val="50"/>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60 % з податку на доходи фізичних осіб;</w:t>
      </w:r>
    </w:p>
    <w:p w:rsidR="00B233DE" w:rsidRPr="00182552" w:rsidRDefault="00B233DE" w:rsidP="00B233DE">
      <w:pPr>
        <w:pStyle w:val="ad"/>
        <w:widowControl w:val="0"/>
        <w:numPr>
          <w:ilvl w:val="0"/>
          <w:numId w:val="50"/>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державні субвенції (медична, освітня);</w:t>
      </w:r>
    </w:p>
    <w:p w:rsidR="00B233DE" w:rsidRPr="00182552" w:rsidRDefault="00B233DE" w:rsidP="00B233DE">
      <w:pPr>
        <w:pStyle w:val="ad"/>
        <w:widowControl w:val="0"/>
        <w:numPr>
          <w:ilvl w:val="0"/>
          <w:numId w:val="50"/>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право розпоряджатися землями на території об’єднаної громади.</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Детальний перелік податкових і неподаткових надходжень до місцевих бюджетів об’єднаних громад наведено у ст. 64, 69-1 та 71 Бюджетного кодексу України.</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Основними податковими надходженнями мають стати:</w:t>
      </w:r>
    </w:p>
    <w:p w:rsidR="00B233DE" w:rsidRPr="00182552" w:rsidRDefault="00B233DE" w:rsidP="00B233DE">
      <w:pPr>
        <w:pStyle w:val="ad"/>
        <w:widowControl w:val="0"/>
        <w:numPr>
          <w:ilvl w:val="0"/>
          <w:numId w:val="51"/>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60 % з податку на доходи фізичних осіб;</w:t>
      </w:r>
    </w:p>
    <w:p w:rsidR="00B233DE" w:rsidRPr="00182552" w:rsidRDefault="00B233DE" w:rsidP="00B233DE">
      <w:pPr>
        <w:pStyle w:val="ad"/>
        <w:widowControl w:val="0"/>
        <w:numPr>
          <w:ilvl w:val="0"/>
          <w:numId w:val="51"/>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25 % екологічного податку;</w:t>
      </w:r>
    </w:p>
    <w:p w:rsidR="00B233DE" w:rsidRPr="00182552" w:rsidRDefault="00B233DE" w:rsidP="00B233DE">
      <w:pPr>
        <w:pStyle w:val="ad"/>
        <w:widowControl w:val="0"/>
        <w:numPr>
          <w:ilvl w:val="0"/>
          <w:numId w:val="51"/>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5 % акцизного податку з реалізації підакцизних товарів:</w:t>
      </w:r>
    </w:p>
    <w:p w:rsidR="00B233DE" w:rsidRPr="00182552" w:rsidRDefault="00B233DE" w:rsidP="00B233DE">
      <w:pPr>
        <w:pStyle w:val="ad"/>
        <w:widowControl w:val="0"/>
        <w:numPr>
          <w:ilvl w:val="0"/>
          <w:numId w:val="51"/>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100 % єдиного податку;</w:t>
      </w:r>
    </w:p>
    <w:p w:rsidR="00B233DE" w:rsidRPr="00182552" w:rsidRDefault="00B233DE" w:rsidP="00B233DE">
      <w:pPr>
        <w:pStyle w:val="ad"/>
        <w:widowControl w:val="0"/>
        <w:numPr>
          <w:ilvl w:val="0"/>
          <w:numId w:val="51"/>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100 % податку на прибуток підприємств та фінансових установ комунальної власності;</w:t>
      </w:r>
    </w:p>
    <w:p w:rsidR="00B233DE" w:rsidRPr="00182552" w:rsidRDefault="00B233DE" w:rsidP="00B233DE">
      <w:pPr>
        <w:pStyle w:val="ad"/>
        <w:widowControl w:val="0"/>
        <w:numPr>
          <w:ilvl w:val="0"/>
          <w:numId w:val="51"/>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100 % податку на майно (нерухомість, землю, транспорт).</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Серед зборів і платежів, які поповнюватимуть бюджети об’єднаних територіальних громад, необхідно відмітити:</w:t>
      </w:r>
    </w:p>
    <w:p w:rsidR="00B233DE" w:rsidRPr="00182552" w:rsidRDefault="00B233DE" w:rsidP="00B233DE">
      <w:pPr>
        <w:pStyle w:val="ad"/>
        <w:widowControl w:val="0"/>
        <w:numPr>
          <w:ilvl w:val="0"/>
          <w:numId w:val="52"/>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державне мито;</w:t>
      </w:r>
    </w:p>
    <w:p w:rsidR="00B233DE" w:rsidRPr="00182552" w:rsidRDefault="00B233DE" w:rsidP="00B233DE">
      <w:pPr>
        <w:pStyle w:val="ad"/>
        <w:widowControl w:val="0"/>
        <w:numPr>
          <w:ilvl w:val="0"/>
          <w:numId w:val="52"/>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плата за надання адміністративних послуг; адміністративні штрафи та штрафні санкції;</w:t>
      </w:r>
    </w:p>
    <w:p w:rsidR="00B233DE" w:rsidRPr="00182552" w:rsidRDefault="00B233DE" w:rsidP="00B233DE">
      <w:pPr>
        <w:pStyle w:val="ad"/>
        <w:widowControl w:val="0"/>
        <w:numPr>
          <w:ilvl w:val="0"/>
          <w:numId w:val="52"/>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збір за місця для паркування транспортних засобів;</w:t>
      </w:r>
    </w:p>
    <w:p w:rsidR="00B233DE" w:rsidRPr="00182552" w:rsidRDefault="00B233DE" w:rsidP="00B233DE">
      <w:pPr>
        <w:pStyle w:val="ad"/>
        <w:widowControl w:val="0"/>
        <w:numPr>
          <w:ilvl w:val="0"/>
          <w:numId w:val="52"/>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туристичний збір;</w:t>
      </w:r>
    </w:p>
    <w:p w:rsidR="00B233DE" w:rsidRPr="00182552" w:rsidRDefault="00B233DE" w:rsidP="00B233DE">
      <w:pPr>
        <w:pStyle w:val="ad"/>
        <w:widowControl w:val="0"/>
        <w:numPr>
          <w:ilvl w:val="0"/>
          <w:numId w:val="52"/>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плата за ліцензії і сертифікати на певні види господарської діяльності;</w:t>
      </w:r>
    </w:p>
    <w:p w:rsidR="00B233DE" w:rsidRPr="00182552" w:rsidRDefault="00B233DE" w:rsidP="00B233DE">
      <w:pPr>
        <w:pStyle w:val="ad"/>
        <w:widowControl w:val="0"/>
        <w:numPr>
          <w:ilvl w:val="0"/>
          <w:numId w:val="52"/>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надходження від орендної плати за користування майновим комплексом та іншим майном, яке перебуває у комунальній власності;</w:t>
      </w:r>
    </w:p>
    <w:p w:rsidR="00B233DE" w:rsidRPr="00182552" w:rsidRDefault="00B233DE" w:rsidP="00B233DE">
      <w:pPr>
        <w:pStyle w:val="ad"/>
        <w:widowControl w:val="0"/>
        <w:numPr>
          <w:ilvl w:val="0"/>
          <w:numId w:val="52"/>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рентні плати за користування надрами (у тому числі для видобування корисних копалин), за спеціальне використання води та водних об’єктів, лісових ресурсів;</w:t>
      </w:r>
    </w:p>
    <w:p w:rsidR="00B233DE" w:rsidRPr="00182552" w:rsidRDefault="00B233DE" w:rsidP="00B233DE">
      <w:pPr>
        <w:pStyle w:val="ad"/>
        <w:widowControl w:val="0"/>
        <w:numPr>
          <w:ilvl w:val="0"/>
          <w:numId w:val="52"/>
        </w:numPr>
        <w:tabs>
          <w:tab w:val="left" w:pos="993"/>
        </w:tabs>
        <w:ind w:left="0" w:firstLine="709"/>
        <w:jc w:val="both"/>
        <w:rPr>
          <w:rFonts w:ascii="Times New Roman" w:hAnsi="Times New Roman"/>
          <w:sz w:val="21"/>
          <w:szCs w:val="21"/>
        </w:rPr>
      </w:pPr>
      <w:r w:rsidRPr="00182552">
        <w:rPr>
          <w:rFonts w:ascii="Times New Roman" w:hAnsi="Times New Roman"/>
          <w:sz w:val="21"/>
          <w:szCs w:val="21"/>
        </w:rPr>
        <w:lastRenderedPageBreak/>
        <w:t>орендна плата за водні об’єкти (їх частини);</w:t>
      </w:r>
    </w:p>
    <w:p w:rsidR="00B233DE" w:rsidRPr="00182552" w:rsidRDefault="00B233DE" w:rsidP="00B233DE">
      <w:pPr>
        <w:pStyle w:val="ad"/>
        <w:widowControl w:val="0"/>
        <w:numPr>
          <w:ilvl w:val="0"/>
          <w:numId w:val="52"/>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плата за розміщення тимчасово вільних коштів місцевих бюджетів (банківські депозити);</w:t>
      </w:r>
    </w:p>
    <w:p w:rsidR="00B233DE" w:rsidRPr="00182552" w:rsidRDefault="00B233DE" w:rsidP="00B233DE">
      <w:pPr>
        <w:pStyle w:val="ad"/>
        <w:widowControl w:val="0"/>
        <w:numPr>
          <w:ilvl w:val="0"/>
          <w:numId w:val="52"/>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концесійні платежі щодо об’єктів комунальної власності;</w:t>
      </w:r>
    </w:p>
    <w:p w:rsidR="00B233DE" w:rsidRPr="00182552" w:rsidRDefault="00B233DE" w:rsidP="00B233DE">
      <w:pPr>
        <w:pStyle w:val="ad"/>
        <w:widowControl w:val="0"/>
        <w:numPr>
          <w:ilvl w:val="0"/>
          <w:numId w:val="52"/>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80 % коштів, отриманих підприємствами, установами та організаціями, які утримуються за рахунок бюджетів об’єднаних територіальних громад за здані золото, платину, метали платинової групи у вигляді брухту та відходів, дорогоцінне каміння, і 50 % коштів за здане ними у вигляді брухту і відходів срібло;</w:t>
      </w:r>
    </w:p>
    <w:p w:rsidR="00B233DE" w:rsidRPr="00182552" w:rsidRDefault="00B233DE" w:rsidP="00B233DE">
      <w:pPr>
        <w:pStyle w:val="ad"/>
        <w:widowControl w:val="0"/>
        <w:numPr>
          <w:ilvl w:val="0"/>
          <w:numId w:val="52"/>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75 % коштів від відшкодування коштів втрат сільськогосподарського і лісогосподарського виробництва;</w:t>
      </w:r>
    </w:p>
    <w:p w:rsidR="00B233DE" w:rsidRPr="00182552" w:rsidRDefault="00B233DE" w:rsidP="00B233DE">
      <w:pPr>
        <w:pStyle w:val="ad"/>
        <w:widowControl w:val="0"/>
        <w:numPr>
          <w:ilvl w:val="0"/>
          <w:numId w:val="52"/>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50 % грошових стягнень за шкоду, заподіяну порушенням законодавства про охорону навколишнього природного середовища внаслідок господарської та іншої діяльності;</w:t>
      </w:r>
    </w:p>
    <w:p w:rsidR="00B233DE" w:rsidRPr="00182552" w:rsidRDefault="00B233DE" w:rsidP="00B233DE">
      <w:pPr>
        <w:pStyle w:val="ad"/>
        <w:widowControl w:val="0"/>
        <w:numPr>
          <w:ilvl w:val="0"/>
          <w:numId w:val="52"/>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10 % вартості питної води від суб’єктів підприємницької діяльності, які здійснюють реалізацію питної води через системи централізованого водопостачання з відхиленням від відповідних стандартів;</w:t>
      </w:r>
    </w:p>
    <w:p w:rsidR="00B233DE" w:rsidRPr="00182552" w:rsidRDefault="00B233DE" w:rsidP="00B233DE">
      <w:pPr>
        <w:pStyle w:val="ad"/>
        <w:widowControl w:val="0"/>
        <w:numPr>
          <w:ilvl w:val="0"/>
          <w:numId w:val="52"/>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плата за надання місцевих гарантів;</w:t>
      </w:r>
    </w:p>
    <w:p w:rsidR="00B233DE" w:rsidRPr="00182552" w:rsidRDefault="00B233DE" w:rsidP="00B233DE">
      <w:pPr>
        <w:pStyle w:val="ad"/>
        <w:widowControl w:val="0"/>
        <w:numPr>
          <w:ilvl w:val="0"/>
          <w:numId w:val="52"/>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1,5 % коштів від використання (реалізації) частини виробленої продукції, яка залишається у власності держави відповідно до угод про розподіл продукції, та/або коштів у вигляді грошового еквівалента такої державної частини продукції, на території громад, де знаходиться відповідна ділянка надр (газ, нафта);</w:t>
      </w:r>
    </w:p>
    <w:p w:rsidR="00B233DE" w:rsidRPr="00182552" w:rsidRDefault="00B233DE" w:rsidP="00B233DE">
      <w:pPr>
        <w:pStyle w:val="ad"/>
        <w:widowControl w:val="0"/>
        <w:numPr>
          <w:ilvl w:val="0"/>
          <w:numId w:val="52"/>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55 % коштів від продажу земельних ділянок несільськогосподарського призначення або прав на них, що перебувають у державній власності до розмежування земель державної і комунальної власності.</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Додаткові надходження до бюджетів об’єднаних територіальних громад покликані забезпечити такі доходи, як:</w:t>
      </w:r>
    </w:p>
    <w:p w:rsidR="00B233DE" w:rsidRPr="00182552" w:rsidRDefault="00B233DE" w:rsidP="00B233DE">
      <w:pPr>
        <w:pStyle w:val="ad"/>
        <w:widowControl w:val="0"/>
        <w:numPr>
          <w:ilvl w:val="0"/>
          <w:numId w:val="53"/>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різноманітні трансферти (базова дотація, медична і освітня субвенції, інші субвенції, капітальні трансферти);</w:t>
      </w:r>
    </w:p>
    <w:p w:rsidR="00B233DE" w:rsidRPr="00182552" w:rsidRDefault="00B233DE" w:rsidP="00B233DE">
      <w:pPr>
        <w:pStyle w:val="ad"/>
        <w:widowControl w:val="0"/>
        <w:numPr>
          <w:ilvl w:val="0"/>
          <w:numId w:val="53"/>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власні надходження бюджетних установ;</w:t>
      </w:r>
    </w:p>
    <w:p w:rsidR="00B233DE" w:rsidRPr="00182552" w:rsidRDefault="00B233DE" w:rsidP="00B233DE">
      <w:pPr>
        <w:pStyle w:val="ad"/>
        <w:widowControl w:val="0"/>
        <w:numPr>
          <w:ilvl w:val="0"/>
          <w:numId w:val="53"/>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 xml:space="preserve">цільові та добровільні внески підприємств, установ, організацій і громадян до місцевих фондів охорони навколишнього </w:t>
      </w:r>
      <w:r w:rsidRPr="00182552">
        <w:rPr>
          <w:rFonts w:ascii="Times New Roman" w:hAnsi="Times New Roman"/>
          <w:sz w:val="21"/>
          <w:szCs w:val="21"/>
        </w:rPr>
        <w:lastRenderedPageBreak/>
        <w:t>природнього середовища; надходження з інших цільових фондів;</w:t>
      </w:r>
    </w:p>
    <w:p w:rsidR="00B233DE" w:rsidRPr="00182552" w:rsidRDefault="00B233DE" w:rsidP="00B233DE">
      <w:pPr>
        <w:pStyle w:val="ad"/>
        <w:widowControl w:val="0"/>
        <w:numPr>
          <w:ilvl w:val="0"/>
          <w:numId w:val="53"/>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надходження у рамках програм допомоги і грантів міжнародних фінансових організацій та Європейського Союзу;</w:t>
      </w:r>
    </w:p>
    <w:p w:rsidR="00B233DE" w:rsidRPr="00182552" w:rsidRDefault="00B233DE" w:rsidP="00B233DE">
      <w:pPr>
        <w:pStyle w:val="ad"/>
        <w:widowControl w:val="0"/>
        <w:numPr>
          <w:ilvl w:val="0"/>
          <w:numId w:val="53"/>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кошти пайової участі у розвитку інфраструктури населеного пункту;</w:t>
      </w:r>
    </w:p>
    <w:p w:rsidR="00B233DE" w:rsidRPr="00182552" w:rsidRDefault="00B233DE" w:rsidP="00B233DE">
      <w:pPr>
        <w:pStyle w:val="ad"/>
        <w:widowControl w:val="0"/>
        <w:numPr>
          <w:ilvl w:val="0"/>
          <w:numId w:val="53"/>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кошти від відчуження комунального майна та від продажу земельних ділянок несільськогосподарського призначення або прав на них;</w:t>
      </w:r>
    </w:p>
    <w:p w:rsidR="00B233DE" w:rsidRPr="00182552" w:rsidRDefault="00B233DE" w:rsidP="00B233DE">
      <w:pPr>
        <w:pStyle w:val="ad"/>
        <w:widowControl w:val="0"/>
        <w:numPr>
          <w:ilvl w:val="0"/>
          <w:numId w:val="53"/>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дивіденди (дохід), нараховані на акції (частки, паї) господарських товариств, у статутних капіталах яких є комунальна власність;</w:t>
      </w:r>
    </w:p>
    <w:p w:rsidR="00B233DE" w:rsidRPr="00182552" w:rsidRDefault="00B233DE" w:rsidP="00B233DE">
      <w:pPr>
        <w:pStyle w:val="ad"/>
        <w:widowControl w:val="0"/>
        <w:numPr>
          <w:ilvl w:val="0"/>
          <w:numId w:val="53"/>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повернення кредитів, наданих з місцевих бюджетів: індивідуальним сільським забудовникам; молодим сім’ям та одиноким молодим громадянам на будівництво (реконструкцію) та придбання житла, а також пеня і відсотки за користування ними;</w:t>
      </w:r>
    </w:p>
    <w:p w:rsidR="00B233DE" w:rsidRPr="00182552" w:rsidRDefault="00B233DE" w:rsidP="00B233DE">
      <w:pPr>
        <w:pStyle w:val="ad"/>
        <w:widowControl w:val="0"/>
        <w:numPr>
          <w:ilvl w:val="0"/>
          <w:numId w:val="53"/>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кошти від реалізації безхазяйного майна, знахідок, спадкового майна;</w:t>
      </w:r>
    </w:p>
    <w:p w:rsidR="00B233DE" w:rsidRPr="00182552" w:rsidRDefault="00B233DE" w:rsidP="00B233DE">
      <w:pPr>
        <w:pStyle w:val="ad"/>
        <w:widowControl w:val="0"/>
        <w:numPr>
          <w:ilvl w:val="0"/>
          <w:numId w:val="53"/>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частина чистого прибутку (доходу) комунальних підприємств та їх об’єднань, яка вилучається до бюджету;</w:t>
      </w:r>
    </w:p>
    <w:p w:rsidR="00B233DE" w:rsidRPr="00182552" w:rsidRDefault="00B233DE" w:rsidP="00B233DE">
      <w:pPr>
        <w:pStyle w:val="ad"/>
        <w:widowControl w:val="0"/>
        <w:numPr>
          <w:ilvl w:val="0"/>
          <w:numId w:val="53"/>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місцеві запозичення;</w:t>
      </w:r>
    </w:p>
    <w:p w:rsidR="00B233DE" w:rsidRPr="00182552" w:rsidRDefault="00B233DE" w:rsidP="00B233DE">
      <w:pPr>
        <w:pStyle w:val="ad"/>
        <w:widowControl w:val="0"/>
        <w:numPr>
          <w:ilvl w:val="0"/>
          <w:numId w:val="53"/>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кошти від повернення кредитів, наданих з відповідного бюджету, та відсотки, сплачені за користування ними;</w:t>
      </w:r>
    </w:p>
    <w:p w:rsidR="00B233DE" w:rsidRPr="00182552" w:rsidRDefault="00B233DE" w:rsidP="00B233DE">
      <w:pPr>
        <w:pStyle w:val="ad"/>
        <w:widowControl w:val="0"/>
        <w:numPr>
          <w:ilvl w:val="0"/>
          <w:numId w:val="53"/>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кошти, отримані у процесі здійснення державних закупівель;</w:t>
      </w:r>
    </w:p>
    <w:p w:rsidR="00B233DE" w:rsidRPr="00182552" w:rsidRDefault="00B233DE" w:rsidP="00B233DE">
      <w:pPr>
        <w:pStyle w:val="ad"/>
        <w:widowControl w:val="0"/>
        <w:numPr>
          <w:ilvl w:val="0"/>
          <w:numId w:val="53"/>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інші доходи.</w:t>
      </w:r>
    </w:p>
    <w:p w:rsidR="00B233DE"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Такий підхід дозволяє виділити у структурі надходжень системи фінансування соціальної регіональної політики такі основ</w:t>
      </w:r>
      <w:r>
        <w:rPr>
          <w:rFonts w:ascii="Times New Roman" w:hAnsi="Times New Roman"/>
          <w:sz w:val="21"/>
          <w:szCs w:val="21"/>
        </w:rPr>
        <w:t>-</w:t>
      </w:r>
      <w:r w:rsidRPr="00182552">
        <w:rPr>
          <w:rFonts w:ascii="Times New Roman" w:hAnsi="Times New Roman"/>
          <w:sz w:val="21"/>
          <w:szCs w:val="21"/>
        </w:rPr>
        <w:t>ні складові, як податкові надходження, збори і платежі, трансфер</w:t>
      </w:r>
      <w:r>
        <w:rPr>
          <w:rFonts w:ascii="Times New Roman" w:hAnsi="Times New Roman"/>
          <w:sz w:val="21"/>
          <w:szCs w:val="21"/>
        </w:rPr>
        <w:t>-</w:t>
      </w:r>
      <w:r w:rsidRPr="00B33F8E">
        <w:rPr>
          <w:rFonts w:ascii="Times New Roman" w:hAnsi="Times New Roman"/>
          <w:spacing w:val="-4"/>
          <w:sz w:val="21"/>
          <w:szCs w:val="21"/>
        </w:rPr>
        <w:t>ти, надходження від комунальної власності та інші доходи (рис. 6.4).</w:t>
      </w:r>
    </w:p>
    <w:p w:rsidR="00B233DE"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Аналізуючи названі елементи з точки зору перспектив їх нарощування, можна дійти висновку про найвищу перспективність у даному контексті мають надходження від комунальної власності.</w:t>
      </w:r>
    </w:p>
    <w:p w:rsidR="00B233DE"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Інтенсивні процеси роздержавлення підприємств комунальної форми власності призводять до зменшення кількості об’єктів, які перебувають у розпорядженні місцевих органів самоврядування. Однак досвід інших країн засвідчив, що кількість підприємств комунальної форми власності є показником рівня економічної децентралізації.</w:t>
      </w:r>
    </w:p>
    <w:p w:rsidR="00B233DE" w:rsidRDefault="00B233DE" w:rsidP="00B233DE">
      <w:pPr>
        <w:widowControl w:val="0"/>
        <w:spacing w:line="360" w:lineRule="auto"/>
        <w:jc w:val="center"/>
        <w:rPr>
          <w:rFonts w:ascii="Times New Roman" w:hAnsi="Times New Roman"/>
          <w:sz w:val="10"/>
          <w:szCs w:val="10"/>
        </w:rPr>
      </w:pPr>
    </w:p>
    <w:p w:rsidR="00B233DE" w:rsidRPr="00B33F8E" w:rsidRDefault="00B233DE" w:rsidP="00B233DE">
      <w:pPr>
        <w:widowControl w:val="0"/>
        <w:spacing w:line="360" w:lineRule="auto"/>
        <w:jc w:val="center"/>
        <w:rPr>
          <w:rFonts w:ascii="Times New Roman" w:hAnsi="Times New Roman"/>
          <w:sz w:val="10"/>
          <w:szCs w:val="10"/>
        </w:rPr>
      </w:pPr>
      <w:r w:rsidRPr="00B33F8E">
        <w:rPr>
          <w:noProof/>
          <w:sz w:val="10"/>
          <w:szCs w:val="10"/>
          <w:lang w:val="ru-RU" w:eastAsia="ru-RU"/>
        </w:rPr>
        <w:lastRenderedPageBreak/>
        <mc:AlternateContent>
          <mc:Choice Requires="wpg">
            <w:drawing>
              <wp:anchor distT="0" distB="0" distL="114300" distR="114300" simplePos="0" relativeHeight="251712512" behindDoc="0" locked="0" layoutInCell="1" allowOverlap="1" wp14:anchorId="0C1E46F6" wp14:editId="0095013F">
                <wp:simplePos x="0" y="0"/>
                <wp:positionH relativeFrom="column">
                  <wp:posOffset>110067</wp:posOffset>
                </wp:positionH>
                <wp:positionV relativeFrom="paragraph">
                  <wp:posOffset>87630</wp:posOffset>
                </wp:positionV>
                <wp:extent cx="3911600" cy="2025015"/>
                <wp:effectExtent l="0" t="0" r="12700" b="13335"/>
                <wp:wrapNone/>
                <wp:docPr id="1705" name="Группа 17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11600" cy="2025015"/>
                          <a:chOff x="1715" y="5741"/>
                          <a:chExt cx="8259" cy="3858"/>
                        </a:xfrm>
                      </wpg:grpSpPr>
                      <wps:wsp>
                        <wps:cNvPr id="1706" name="Прямая со стрелкой 77"/>
                        <wps:cNvCnPr>
                          <a:cxnSpLocks noChangeShapeType="1"/>
                        </wps:cNvCnPr>
                        <wps:spPr bwMode="auto">
                          <a:xfrm>
                            <a:off x="5885" y="6651"/>
                            <a:ext cx="0" cy="2351"/>
                          </a:xfrm>
                          <a:prstGeom prst="straightConnector1">
                            <a:avLst/>
                          </a:prstGeom>
                          <a:noFill/>
                          <a:ln w="12700" algn="ctr">
                            <a:solidFill>
                              <a:srgbClr val="000000"/>
                            </a:solidFill>
                            <a:round/>
                            <a:headEnd/>
                            <a:tailEnd type="arrow" w="med" len="med"/>
                          </a:ln>
                          <a:extLst>
                            <a:ext uri="{909E8E84-426E-40DD-AFC4-6F175D3DCCD1}">
                              <a14:hiddenFill xmlns:a14="http://schemas.microsoft.com/office/drawing/2010/main">
                                <a:noFill/>
                              </a14:hiddenFill>
                            </a:ext>
                          </a:extLst>
                        </wps:spPr>
                        <wps:bodyPr/>
                      </wps:wsp>
                      <wpg:grpSp>
                        <wpg:cNvPr id="1707" name="Группа 36"/>
                        <wpg:cNvGrpSpPr>
                          <a:grpSpLocks/>
                        </wpg:cNvGrpSpPr>
                        <wpg:grpSpPr bwMode="auto">
                          <a:xfrm>
                            <a:off x="1715" y="5741"/>
                            <a:ext cx="8259" cy="3858"/>
                            <a:chOff x="0" y="0"/>
                            <a:chExt cx="5244369" cy="2449901"/>
                          </a:xfrm>
                        </wpg:grpSpPr>
                        <wps:wsp>
                          <wps:cNvPr id="1708" name="Скругленный прямоугольник 39"/>
                          <wps:cNvSpPr>
                            <a:spLocks noChangeArrowheads="1"/>
                          </wps:cNvSpPr>
                          <wps:spPr bwMode="auto">
                            <a:xfrm>
                              <a:off x="0" y="2070339"/>
                              <a:ext cx="5244369" cy="379562"/>
                            </a:xfrm>
                            <a:prstGeom prst="roundRect">
                              <a:avLst>
                                <a:gd name="adj" fmla="val 16667"/>
                              </a:avLst>
                            </a:prstGeom>
                            <a:blipFill dpi="0" rotWithShape="1">
                              <a:blip r:embed="rId128"/>
                              <a:srcRect/>
                              <a:tile tx="0" ty="0" sx="100000" sy="100000" flip="none" algn="tl"/>
                            </a:blipFill>
                            <a:ln w="12700" cmpd="tri" algn="ctr">
                              <a:solidFill>
                                <a:srgbClr val="000000"/>
                              </a:solidFill>
                              <a:round/>
                              <a:headEnd/>
                              <a:tailEnd/>
                            </a:ln>
                          </wps:spPr>
                          <wps:txbx>
                            <w:txbxContent>
                              <w:p w:rsidR="00BE40F8" w:rsidRPr="00236F06" w:rsidRDefault="00BE40F8" w:rsidP="00B233DE">
                                <w:pPr>
                                  <w:ind w:firstLine="0"/>
                                  <w:jc w:val="center"/>
                                  <w:rPr>
                                    <w:rFonts w:ascii="Times New Roman" w:hAnsi="Times New Roman"/>
                                    <w:caps/>
                                    <w:color w:val="000000"/>
                                    <w:sz w:val="16"/>
                                    <w:szCs w:val="16"/>
                                  </w:rPr>
                                </w:pPr>
                                <w:r w:rsidRPr="00236F06">
                                  <w:rPr>
                                    <w:rFonts w:ascii="Times New Roman" w:hAnsi="Times New Roman"/>
                                    <w:caps/>
                                    <w:color w:val="000000"/>
                                    <w:sz w:val="16"/>
                                    <w:szCs w:val="16"/>
                                  </w:rPr>
                                  <w:t>Система фінансування соціальної регіональної політики</w:t>
                                </w:r>
                              </w:p>
                            </w:txbxContent>
                          </wps:txbx>
                          <wps:bodyPr rot="0" vert="horz" wrap="square" lIns="91440" tIns="45720" rIns="91440" bIns="45720" anchor="ctr" anchorCtr="0" upright="1">
                            <a:noAutofit/>
                          </wps:bodyPr>
                        </wps:wsp>
                        <wps:wsp>
                          <wps:cNvPr id="1709" name="Скругленный прямоугольник 40"/>
                          <wps:cNvSpPr>
                            <a:spLocks noChangeArrowheads="1"/>
                          </wps:cNvSpPr>
                          <wps:spPr bwMode="auto">
                            <a:xfrm>
                              <a:off x="17253" y="1328468"/>
                              <a:ext cx="1957705" cy="568325"/>
                            </a:xfrm>
                            <a:prstGeom prst="roundRect">
                              <a:avLst>
                                <a:gd name="adj" fmla="val 16667"/>
                              </a:avLst>
                            </a:prstGeom>
                            <a:noFill/>
                            <a:ln w="12700" algn="ctr">
                              <a:solidFill>
                                <a:srgbClr val="000000"/>
                              </a:solidFill>
                              <a:prstDash val="lgDashDot"/>
                              <a:round/>
                              <a:headEnd/>
                              <a:tailEnd/>
                            </a:ln>
                            <a:extLst>
                              <a:ext uri="{909E8E84-426E-40DD-AFC4-6F175D3DCCD1}">
                                <a14:hiddenFill xmlns:a14="http://schemas.microsoft.com/office/drawing/2010/main">
                                  <a:solidFill>
                                    <a:srgbClr val="FFFFFF"/>
                                  </a:solidFill>
                                </a14:hiddenFill>
                              </a:ext>
                            </a:extLst>
                          </wps:spPr>
                          <wps:txbx>
                            <w:txbxContent>
                              <w:p w:rsidR="00BE40F8" w:rsidRPr="003D6B97" w:rsidRDefault="00BE40F8" w:rsidP="00B233DE">
                                <w:pPr>
                                  <w:ind w:firstLine="0"/>
                                  <w:jc w:val="center"/>
                                  <w:rPr>
                                    <w:rFonts w:ascii="Times New Roman" w:hAnsi="Times New Roman"/>
                                    <w:color w:val="000000"/>
                                    <w:sz w:val="20"/>
                                    <w:szCs w:val="20"/>
                                  </w:rPr>
                                </w:pPr>
                                <w:r w:rsidRPr="003D6B97">
                                  <w:rPr>
                                    <w:rFonts w:ascii="Times New Roman" w:hAnsi="Times New Roman"/>
                                    <w:color w:val="000000"/>
                                    <w:sz w:val="20"/>
                                    <w:szCs w:val="20"/>
                                  </w:rPr>
                                  <w:t>Податкові надходження</w:t>
                                </w:r>
                              </w:p>
                            </w:txbxContent>
                          </wps:txbx>
                          <wps:bodyPr rot="0" vert="horz" wrap="square" lIns="91440" tIns="45720" rIns="91440" bIns="45720" anchor="ctr" anchorCtr="0" upright="1">
                            <a:noAutofit/>
                          </wps:bodyPr>
                        </wps:wsp>
                        <wps:wsp>
                          <wps:cNvPr id="1710" name="Скругленный прямоугольник 41"/>
                          <wps:cNvSpPr>
                            <a:spLocks noChangeArrowheads="1"/>
                          </wps:cNvSpPr>
                          <wps:spPr bwMode="auto">
                            <a:xfrm>
                              <a:off x="560717" y="664234"/>
                              <a:ext cx="1957705" cy="577215"/>
                            </a:xfrm>
                            <a:prstGeom prst="roundRect">
                              <a:avLst>
                                <a:gd name="adj" fmla="val 16667"/>
                              </a:avLst>
                            </a:prstGeom>
                            <a:noFill/>
                            <a:ln w="12700" algn="ctr">
                              <a:solidFill>
                                <a:srgbClr val="000000"/>
                              </a:solidFill>
                              <a:prstDash val="lgDashDot"/>
                              <a:round/>
                              <a:headEnd/>
                              <a:tailEnd/>
                            </a:ln>
                            <a:extLst>
                              <a:ext uri="{909E8E84-426E-40DD-AFC4-6F175D3DCCD1}">
                                <a14:hiddenFill xmlns:a14="http://schemas.microsoft.com/office/drawing/2010/main">
                                  <a:solidFill>
                                    <a:srgbClr val="FFFFFF"/>
                                  </a:solidFill>
                                </a14:hiddenFill>
                              </a:ext>
                            </a:extLst>
                          </wps:spPr>
                          <wps:txbx>
                            <w:txbxContent>
                              <w:p w:rsidR="00BE40F8" w:rsidRPr="003D6B97" w:rsidRDefault="00BE40F8" w:rsidP="00B233DE">
                                <w:pPr>
                                  <w:ind w:firstLine="0"/>
                                  <w:jc w:val="center"/>
                                  <w:rPr>
                                    <w:rFonts w:ascii="Times New Roman" w:hAnsi="Times New Roman"/>
                                    <w:color w:val="000000"/>
                                    <w:sz w:val="20"/>
                                    <w:szCs w:val="20"/>
                                  </w:rPr>
                                </w:pPr>
                                <w:r w:rsidRPr="003D6B97">
                                  <w:rPr>
                                    <w:rFonts w:ascii="Times New Roman" w:hAnsi="Times New Roman"/>
                                    <w:color w:val="000000"/>
                                    <w:sz w:val="20"/>
                                    <w:szCs w:val="20"/>
                                  </w:rPr>
                                  <w:t>Збори і платежі</w:t>
                                </w:r>
                              </w:p>
                            </w:txbxContent>
                          </wps:txbx>
                          <wps:bodyPr rot="0" vert="horz" wrap="square" lIns="0" tIns="0" rIns="0" bIns="0" anchor="ctr" anchorCtr="0" upright="1">
                            <a:noAutofit/>
                          </wps:bodyPr>
                        </wps:wsp>
                        <wps:wsp>
                          <wps:cNvPr id="1711" name="Скругленный прямоугольник 45"/>
                          <wps:cNvSpPr>
                            <a:spLocks noChangeArrowheads="1"/>
                          </wps:cNvSpPr>
                          <wps:spPr bwMode="auto">
                            <a:xfrm>
                              <a:off x="2794958" y="664234"/>
                              <a:ext cx="1957705" cy="568325"/>
                            </a:xfrm>
                            <a:prstGeom prst="roundRect">
                              <a:avLst>
                                <a:gd name="adj" fmla="val 16667"/>
                              </a:avLst>
                            </a:prstGeom>
                            <a:noFill/>
                            <a:ln w="12700" algn="ctr">
                              <a:solidFill>
                                <a:srgbClr val="000000"/>
                              </a:solidFill>
                              <a:prstDash val="lgDashDot"/>
                              <a:round/>
                              <a:headEnd/>
                              <a:tailEnd/>
                            </a:ln>
                            <a:extLst>
                              <a:ext uri="{909E8E84-426E-40DD-AFC4-6F175D3DCCD1}">
                                <a14:hiddenFill xmlns:a14="http://schemas.microsoft.com/office/drawing/2010/main">
                                  <a:solidFill>
                                    <a:srgbClr val="FFFFFF"/>
                                  </a:solidFill>
                                </a14:hiddenFill>
                              </a:ext>
                            </a:extLst>
                          </wps:spPr>
                          <wps:txbx>
                            <w:txbxContent>
                              <w:p w:rsidR="00BE40F8" w:rsidRPr="003D6B97" w:rsidRDefault="00BE40F8" w:rsidP="00B233DE">
                                <w:pPr>
                                  <w:ind w:firstLine="0"/>
                                  <w:jc w:val="center"/>
                                  <w:rPr>
                                    <w:rFonts w:ascii="Times New Roman" w:hAnsi="Times New Roman"/>
                                    <w:color w:val="000000"/>
                                    <w:sz w:val="20"/>
                                    <w:szCs w:val="20"/>
                                  </w:rPr>
                                </w:pPr>
                                <w:r w:rsidRPr="003D6B97">
                                  <w:rPr>
                                    <w:rFonts w:ascii="Times New Roman" w:hAnsi="Times New Roman"/>
                                    <w:color w:val="000000"/>
                                    <w:sz w:val="20"/>
                                    <w:szCs w:val="20"/>
                                  </w:rPr>
                                  <w:t>Трансферти</w:t>
                                </w:r>
                              </w:p>
                            </w:txbxContent>
                          </wps:txbx>
                          <wps:bodyPr rot="0" vert="horz" wrap="square" lIns="91440" tIns="45720" rIns="91440" bIns="45720" anchor="ctr" anchorCtr="0" upright="1">
                            <a:noAutofit/>
                          </wps:bodyPr>
                        </wps:wsp>
                        <wps:wsp>
                          <wps:cNvPr id="1712" name="Скругленный прямоугольник 56"/>
                          <wps:cNvSpPr>
                            <a:spLocks noChangeArrowheads="1"/>
                          </wps:cNvSpPr>
                          <wps:spPr bwMode="auto">
                            <a:xfrm>
                              <a:off x="1682151" y="0"/>
                              <a:ext cx="1957705" cy="577850"/>
                            </a:xfrm>
                            <a:prstGeom prst="roundRect">
                              <a:avLst>
                                <a:gd name="adj" fmla="val 16667"/>
                              </a:avLst>
                            </a:prstGeom>
                            <a:noFill/>
                            <a:ln w="12700" algn="ctr">
                              <a:solidFill>
                                <a:srgbClr val="000000"/>
                              </a:solidFill>
                              <a:prstDash val="lgDashDot"/>
                              <a:round/>
                              <a:headEnd/>
                              <a:tailEnd/>
                            </a:ln>
                            <a:extLst>
                              <a:ext uri="{909E8E84-426E-40DD-AFC4-6F175D3DCCD1}">
                                <a14:hiddenFill xmlns:a14="http://schemas.microsoft.com/office/drawing/2010/main">
                                  <a:solidFill>
                                    <a:srgbClr val="FFFFFF"/>
                                  </a:solidFill>
                                </a14:hiddenFill>
                              </a:ext>
                            </a:extLst>
                          </wps:spPr>
                          <wps:txbx>
                            <w:txbxContent>
                              <w:p w:rsidR="00BE40F8" w:rsidRPr="003D6B97" w:rsidRDefault="00BE40F8" w:rsidP="00B233DE">
                                <w:pPr>
                                  <w:ind w:firstLine="0"/>
                                  <w:jc w:val="center"/>
                                  <w:rPr>
                                    <w:rFonts w:ascii="Times New Roman" w:hAnsi="Times New Roman"/>
                                    <w:color w:val="000000"/>
                                    <w:sz w:val="20"/>
                                    <w:szCs w:val="20"/>
                                  </w:rPr>
                                </w:pPr>
                                <w:r w:rsidRPr="003D6B97">
                                  <w:rPr>
                                    <w:rFonts w:ascii="Times New Roman" w:hAnsi="Times New Roman"/>
                                    <w:color w:val="000000"/>
                                    <w:sz w:val="20"/>
                                    <w:szCs w:val="20"/>
                                  </w:rPr>
                                  <w:t>Надходження від комунальної власності</w:t>
                                </w:r>
                              </w:p>
                            </w:txbxContent>
                          </wps:txbx>
                          <wps:bodyPr rot="0" vert="horz" wrap="square" lIns="0" tIns="0" rIns="0" bIns="0" anchor="ctr" anchorCtr="0" upright="1">
                            <a:noAutofit/>
                          </wps:bodyPr>
                        </wps:wsp>
                        <wps:wsp>
                          <wps:cNvPr id="1713" name="Скругленный прямоугольник 57"/>
                          <wps:cNvSpPr>
                            <a:spLocks noChangeArrowheads="1"/>
                          </wps:cNvSpPr>
                          <wps:spPr bwMode="auto">
                            <a:xfrm>
                              <a:off x="3286664" y="1328468"/>
                              <a:ext cx="1957705" cy="577215"/>
                            </a:xfrm>
                            <a:prstGeom prst="roundRect">
                              <a:avLst>
                                <a:gd name="adj" fmla="val 16667"/>
                              </a:avLst>
                            </a:prstGeom>
                            <a:noFill/>
                            <a:ln w="12700" algn="ctr">
                              <a:solidFill>
                                <a:srgbClr val="000000"/>
                              </a:solidFill>
                              <a:prstDash val="lgDashDot"/>
                              <a:round/>
                              <a:headEnd/>
                              <a:tailEnd/>
                            </a:ln>
                            <a:extLst>
                              <a:ext uri="{909E8E84-426E-40DD-AFC4-6F175D3DCCD1}">
                                <a14:hiddenFill xmlns:a14="http://schemas.microsoft.com/office/drawing/2010/main">
                                  <a:solidFill>
                                    <a:srgbClr val="FFFFFF"/>
                                  </a:solidFill>
                                </a14:hiddenFill>
                              </a:ext>
                            </a:extLst>
                          </wps:spPr>
                          <wps:txbx>
                            <w:txbxContent>
                              <w:p w:rsidR="00BE40F8" w:rsidRPr="003D6B97" w:rsidRDefault="00BE40F8" w:rsidP="00B233DE">
                                <w:pPr>
                                  <w:ind w:firstLine="0"/>
                                  <w:jc w:val="center"/>
                                  <w:rPr>
                                    <w:rFonts w:ascii="Times New Roman" w:hAnsi="Times New Roman"/>
                                    <w:color w:val="000000"/>
                                    <w:sz w:val="20"/>
                                    <w:szCs w:val="20"/>
                                  </w:rPr>
                                </w:pPr>
                                <w:r w:rsidRPr="003D6B97">
                                  <w:rPr>
                                    <w:rFonts w:ascii="Times New Roman" w:hAnsi="Times New Roman"/>
                                    <w:color w:val="000000"/>
                                    <w:sz w:val="20"/>
                                    <w:szCs w:val="20"/>
                                  </w:rPr>
                                  <w:t>Інші доходи</w:t>
                                </w:r>
                              </w:p>
                            </w:txbxContent>
                          </wps:txbx>
                          <wps:bodyPr rot="0" vert="horz" wrap="square" lIns="91440" tIns="45720" rIns="91440" bIns="45720" anchor="ctr" anchorCtr="0" upright="1">
                            <a:noAutofit/>
                          </wps:bodyPr>
                        </wps:wsp>
                        <wps:wsp>
                          <wps:cNvPr id="1714" name="Прямая со стрелкой 58"/>
                          <wps:cNvCnPr>
                            <a:cxnSpLocks noChangeShapeType="1"/>
                          </wps:cNvCnPr>
                          <wps:spPr bwMode="auto">
                            <a:xfrm>
                              <a:off x="2225615" y="1242203"/>
                              <a:ext cx="0" cy="828890"/>
                            </a:xfrm>
                            <a:prstGeom prst="straightConnector1">
                              <a:avLst/>
                            </a:prstGeom>
                            <a:noFill/>
                            <a:ln w="12700"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715" name="Прямая со стрелкой 59"/>
                          <wps:cNvCnPr>
                            <a:cxnSpLocks noChangeShapeType="1"/>
                          </wps:cNvCnPr>
                          <wps:spPr bwMode="auto">
                            <a:xfrm>
                              <a:off x="3036498" y="1233577"/>
                              <a:ext cx="0" cy="828675"/>
                            </a:xfrm>
                            <a:prstGeom prst="straightConnector1">
                              <a:avLst/>
                            </a:prstGeom>
                            <a:noFill/>
                            <a:ln w="12700"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716" name="Прямая со стрелкой 60"/>
                          <wps:cNvCnPr>
                            <a:cxnSpLocks noChangeShapeType="1"/>
                          </wps:cNvCnPr>
                          <wps:spPr bwMode="auto">
                            <a:xfrm>
                              <a:off x="1337094" y="1897811"/>
                              <a:ext cx="0" cy="164561"/>
                            </a:xfrm>
                            <a:prstGeom prst="straightConnector1">
                              <a:avLst/>
                            </a:prstGeom>
                            <a:noFill/>
                            <a:ln w="12700"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717" name="Прямая со стрелкой 61"/>
                          <wps:cNvCnPr>
                            <a:cxnSpLocks noChangeShapeType="1"/>
                          </wps:cNvCnPr>
                          <wps:spPr bwMode="auto">
                            <a:xfrm>
                              <a:off x="3942271" y="1897811"/>
                              <a:ext cx="0" cy="173367"/>
                            </a:xfrm>
                            <a:prstGeom prst="straightConnector1">
                              <a:avLst/>
                            </a:prstGeom>
                            <a:noFill/>
                            <a:ln w="12700" algn="ctr">
                              <a:solidFill>
                                <a:srgbClr val="000000"/>
                              </a:solidFill>
                              <a:round/>
                              <a:headEnd/>
                              <a:tailEnd type="arrow"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0C1E46F6" id="Группа 1705" o:spid="_x0000_s2313" style="position:absolute;left:0;text-align:left;margin-left:8.65pt;margin-top:6.9pt;width:308pt;height:159.45pt;z-index:251712512;mso-position-horizontal-relative:text;mso-position-vertical-relative:text" coordorigin="1715,5741" coordsize="8259,385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">
                <v:shape id="Прямая со стрелкой 77" o:spid="_x0000_s2314" type="#_x0000_t32" style="position:absolute;left:5885;top:6651;width:0;height:23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" strokeweight="1pt">
                  <v:stroke endarrow="open"/>
                </v:shape>
                <v:group id="Группа 36" o:spid="_x0000_s2315" style="position:absolute;left:1715;top:5741;width:8259;height:3858" coordsize="52443,244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">
                  <v:roundrect id="Скругленный прямоугольник 39" o:spid="_x0000_s2316" style="position:absolute;top:20703;width:52443;height:379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" strokeweight="1pt">
                    <v:fill r:id="rId129" o:title="" recolor="t" rotate="t" type="tile"/>
                    <v:stroke linestyle="thickBetweenThin"/>
                    <v:textbox>
                      <w:txbxContent>
                        <w:p w:rsidR="00BE40F8" w:rsidRPr="00236F06" w:rsidRDefault="00BE40F8" w:rsidP="00B233DE">
                          <w:pPr>
                            <w:ind w:firstLine="0"/>
                            <w:jc w:val="center"/>
                            <w:rPr>
                              <w:rFonts w:ascii="Times New Roman" w:hAnsi="Times New Roman"/>
                              <w:caps/>
                              <w:color w:val="000000"/>
                              <w:sz w:val="16"/>
                              <w:szCs w:val="16"/>
                            </w:rPr>
                          </w:pPr>
                          <w:r w:rsidRPr="00236F06">
                            <w:rPr>
                              <w:rFonts w:ascii="Times New Roman" w:hAnsi="Times New Roman"/>
                              <w:caps/>
                              <w:color w:val="000000"/>
                              <w:sz w:val="16"/>
                              <w:szCs w:val="16"/>
                            </w:rPr>
                            <w:t>Система фінансування соціальної регіональної політики</w:t>
                          </w:r>
                        </w:p>
                      </w:txbxContent>
                    </v:textbox>
                  </v:roundrect>
                  <v:roundrect id="Скругленный прямоугольник 40" o:spid="_x0000_s2317" style="position:absolute;left:172;top:13284;width:19577;height:568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" filled="f" strokeweight="1pt">
                    <v:stroke dashstyle="longDashDot"/>
                    <v:textbox>
                      <w:txbxContent>
                        <w:p w:rsidR="00BE40F8" w:rsidRPr="003D6B97" w:rsidRDefault="00BE40F8" w:rsidP="00B233DE">
                          <w:pPr>
                            <w:ind w:firstLine="0"/>
                            <w:jc w:val="center"/>
                            <w:rPr>
                              <w:rFonts w:ascii="Times New Roman" w:hAnsi="Times New Roman"/>
                              <w:color w:val="000000"/>
                              <w:sz w:val="20"/>
                              <w:szCs w:val="20"/>
                            </w:rPr>
                          </w:pPr>
                          <w:r w:rsidRPr="003D6B97">
                            <w:rPr>
                              <w:rFonts w:ascii="Times New Roman" w:hAnsi="Times New Roman"/>
                              <w:color w:val="000000"/>
                              <w:sz w:val="20"/>
                              <w:szCs w:val="20"/>
                            </w:rPr>
                            <w:t>Податкові надходження</w:t>
                          </w:r>
                        </w:p>
                      </w:txbxContent>
                    </v:textbox>
                  </v:roundrect>
                  <v:roundrect id="Скругленный прямоугольник 41" o:spid="_x0000_s2318" style="position:absolute;left:5607;top:6642;width:19577;height:577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" filled="f" strokeweight="1pt">
                    <v:stroke dashstyle="longDashDot"/>
                    <v:textbox inset="0,0,0,0">
                      <w:txbxContent>
                        <w:p w:rsidR="00BE40F8" w:rsidRPr="003D6B97" w:rsidRDefault="00BE40F8" w:rsidP="00B233DE">
                          <w:pPr>
                            <w:ind w:firstLine="0"/>
                            <w:jc w:val="center"/>
                            <w:rPr>
                              <w:rFonts w:ascii="Times New Roman" w:hAnsi="Times New Roman"/>
                              <w:color w:val="000000"/>
                              <w:sz w:val="20"/>
                              <w:szCs w:val="20"/>
                            </w:rPr>
                          </w:pPr>
                          <w:r w:rsidRPr="003D6B97">
                            <w:rPr>
                              <w:rFonts w:ascii="Times New Roman" w:hAnsi="Times New Roman"/>
                              <w:color w:val="000000"/>
                              <w:sz w:val="20"/>
                              <w:szCs w:val="20"/>
                            </w:rPr>
                            <w:t>Збори і платежі</w:t>
                          </w:r>
                        </w:p>
                      </w:txbxContent>
                    </v:textbox>
                  </v:roundrect>
                  <v:roundrect id="Скругленный прямоугольник 45" o:spid="_x0000_s2319" style="position:absolute;left:27949;top:6642;width:19577;height:568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" filled="f" strokeweight="1pt">
                    <v:stroke dashstyle="longDashDot"/>
                    <v:textbox>
                      <w:txbxContent>
                        <w:p w:rsidR="00BE40F8" w:rsidRPr="003D6B97" w:rsidRDefault="00BE40F8" w:rsidP="00B233DE">
                          <w:pPr>
                            <w:ind w:firstLine="0"/>
                            <w:jc w:val="center"/>
                            <w:rPr>
                              <w:rFonts w:ascii="Times New Roman" w:hAnsi="Times New Roman"/>
                              <w:color w:val="000000"/>
                              <w:sz w:val="20"/>
                              <w:szCs w:val="20"/>
                            </w:rPr>
                          </w:pPr>
                          <w:r w:rsidRPr="003D6B97">
                            <w:rPr>
                              <w:rFonts w:ascii="Times New Roman" w:hAnsi="Times New Roman"/>
                              <w:color w:val="000000"/>
                              <w:sz w:val="20"/>
                              <w:szCs w:val="20"/>
                            </w:rPr>
                            <w:t>Трансферти</w:t>
                          </w:r>
                        </w:p>
                      </w:txbxContent>
                    </v:textbox>
                  </v:roundrect>
                  <v:roundrect id="Скругленный прямоугольник 56" o:spid="_x0000_s2320" style="position:absolute;left:16821;width:19577;height:577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" filled="f" strokeweight="1pt">
                    <v:stroke dashstyle="longDashDot"/>
                    <v:textbox inset="0,0,0,0">
                      <w:txbxContent>
                        <w:p w:rsidR="00BE40F8" w:rsidRPr="003D6B97" w:rsidRDefault="00BE40F8" w:rsidP="00B233DE">
                          <w:pPr>
                            <w:ind w:firstLine="0"/>
                            <w:jc w:val="center"/>
                            <w:rPr>
                              <w:rFonts w:ascii="Times New Roman" w:hAnsi="Times New Roman"/>
                              <w:color w:val="000000"/>
                              <w:sz w:val="20"/>
                              <w:szCs w:val="20"/>
                            </w:rPr>
                          </w:pPr>
                          <w:r w:rsidRPr="003D6B97">
                            <w:rPr>
                              <w:rFonts w:ascii="Times New Roman" w:hAnsi="Times New Roman"/>
                              <w:color w:val="000000"/>
                              <w:sz w:val="20"/>
                              <w:szCs w:val="20"/>
                            </w:rPr>
                            <w:t>Надходження від комунальної власності</w:t>
                          </w:r>
                        </w:p>
                      </w:txbxContent>
                    </v:textbox>
                  </v:roundrect>
                  <v:roundrect id="Скругленный прямоугольник 57" o:spid="_x0000_s2321" style="position:absolute;left:32866;top:13284;width:19577;height:577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" filled="f" strokeweight="1pt">
                    <v:stroke dashstyle="longDashDot"/>
                    <v:textbox>
                      <w:txbxContent>
                        <w:p w:rsidR="00BE40F8" w:rsidRPr="003D6B97" w:rsidRDefault="00BE40F8" w:rsidP="00B233DE">
                          <w:pPr>
                            <w:ind w:firstLine="0"/>
                            <w:jc w:val="center"/>
                            <w:rPr>
                              <w:rFonts w:ascii="Times New Roman" w:hAnsi="Times New Roman"/>
                              <w:color w:val="000000"/>
                              <w:sz w:val="20"/>
                              <w:szCs w:val="20"/>
                            </w:rPr>
                          </w:pPr>
                          <w:r w:rsidRPr="003D6B97">
                            <w:rPr>
                              <w:rFonts w:ascii="Times New Roman" w:hAnsi="Times New Roman"/>
                              <w:color w:val="000000"/>
                              <w:sz w:val="20"/>
                              <w:szCs w:val="20"/>
                            </w:rPr>
                            <w:t>Інші доходи</w:t>
                          </w:r>
                        </w:p>
                      </w:txbxContent>
                    </v:textbox>
                  </v:roundrect>
                  <v:shape id="Прямая со стрелкой 58" o:spid="_x0000_s2322" type="#_x0000_t32" style="position:absolute;left:22256;top:12422;width:0;height:82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" strokeweight="1pt">
                    <v:stroke endarrow="open"/>
                  </v:shape>
                  <v:shape id="Прямая со стрелкой 59" o:spid="_x0000_s2323" type="#_x0000_t32" style="position:absolute;left:30364;top:12335;width:0;height:828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" strokeweight="1pt">
                    <v:stroke endarrow="open"/>
                  </v:shape>
                  <v:shape id="Прямая со стрелкой 60" o:spid="_x0000_s2324" type="#_x0000_t32" style="position:absolute;left:13370;top:18978;width:0;height:16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" strokeweight="1pt">
                    <v:stroke endarrow="open"/>
                  </v:shape>
                  <v:shape id="Прямая со стрелкой 61" o:spid="_x0000_s2325" type="#_x0000_t32" style="position:absolute;left:39422;top:18978;width:0;height:17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" strokeweight="1pt">
                    <v:stroke endarrow="open"/>
                  </v:shape>
                </v:group>
              </v:group>
            </w:pict>
          </mc:Fallback>
        </mc:AlternateContent>
      </w:r>
    </w:p>
    <w:p w:rsidR="00B233DE" w:rsidRDefault="00B233DE" w:rsidP="00B233DE">
      <w:pPr>
        <w:widowControl w:val="0"/>
        <w:spacing w:line="360" w:lineRule="auto"/>
        <w:jc w:val="center"/>
        <w:rPr>
          <w:rFonts w:ascii="Times New Roman" w:hAnsi="Times New Roman"/>
          <w:sz w:val="28"/>
          <w:szCs w:val="28"/>
        </w:rPr>
      </w:pPr>
    </w:p>
    <w:p w:rsidR="00B233DE" w:rsidRDefault="00B233DE" w:rsidP="00B233DE">
      <w:pPr>
        <w:widowControl w:val="0"/>
        <w:spacing w:line="360" w:lineRule="auto"/>
        <w:jc w:val="center"/>
        <w:rPr>
          <w:rFonts w:ascii="Times New Roman" w:hAnsi="Times New Roman"/>
          <w:sz w:val="28"/>
          <w:szCs w:val="28"/>
        </w:rPr>
      </w:pPr>
    </w:p>
    <w:p w:rsidR="00B233DE" w:rsidRDefault="00B233DE" w:rsidP="00B233DE">
      <w:pPr>
        <w:widowControl w:val="0"/>
        <w:spacing w:line="360" w:lineRule="auto"/>
        <w:jc w:val="center"/>
        <w:rPr>
          <w:rFonts w:ascii="Times New Roman" w:hAnsi="Times New Roman"/>
          <w:sz w:val="28"/>
          <w:szCs w:val="28"/>
        </w:rPr>
      </w:pPr>
    </w:p>
    <w:p w:rsidR="00B233DE" w:rsidRDefault="00B233DE" w:rsidP="00B233DE">
      <w:pPr>
        <w:widowControl w:val="0"/>
        <w:spacing w:line="360" w:lineRule="auto"/>
        <w:jc w:val="center"/>
        <w:rPr>
          <w:rFonts w:ascii="Times New Roman" w:hAnsi="Times New Roman"/>
          <w:sz w:val="28"/>
          <w:szCs w:val="28"/>
        </w:rPr>
      </w:pPr>
    </w:p>
    <w:p w:rsidR="00B233DE" w:rsidRDefault="00B233DE" w:rsidP="00B233DE">
      <w:pPr>
        <w:widowControl w:val="0"/>
        <w:spacing w:line="360" w:lineRule="auto"/>
        <w:jc w:val="center"/>
        <w:rPr>
          <w:rFonts w:ascii="Times New Roman" w:hAnsi="Times New Roman"/>
          <w:sz w:val="28"/>
          <w:szCs w:val="28"/>
        </w:rPr>
      </w:pPr>
    </w:p>
    <w:p w:rsidR="00B233DE" w:rsidRDefault="00B233DE" w:rsidP="00B233DE">
      <w:pPr>
        <w:widowControl w:val="0"/>
        <w:spacing w:line="360" w:lineRule="auto"/>
        <w:jc w:val="center"/>
        <w:rPr>
          <w:rFonts w:ascii="Times New Roman" w:hAnsi="Times New Roman"/>
          <w:sz w:val="28"/>
          <w:szCs w:val="28"/>
        </w:rPr>
      </w:pPr>
    </w:p>
    <w:p w:rsidR="00B233DE" w:rsidRDefault="00B233DE" w:rsidP="00B233DE">
      <w:pPr>
        <w:widowControl w:val="0"/>
        <w:spacing w:line="360" w:lineRule="auto"/>
        <w:jc w:val="center"/>
        <w:rPr>
          <w:rFonts w:ascii="Times New Roman" w:hAnsi="Times New Roman"/>
          <w:sz w:val="28"/>
          <w:szCs w:val="28"/>
        </w:rPr>
      </w:pPr>
    </w:p>
    <w:p w:rsidR="00B233DE" w:rsidRPr="00B33F8E" w:rsidRDefault="00B233DE" w:rsidP="00B233DE">
      <w:pPr>
        <w:widowControl w:val="0"/>
        <w:jc w:val="center"/>
        <w:rPr>
          <w:rFonts w:ascii="Times New Roman" w:hAnsi="Times New Roman"/>
          <w:b/>
          <w:sz w:val="21"/>
          <w:szCs w:val="21"/>
        </w:rPr>
      </w:pPr>
      <w:r w:rsidRPr="00B33F8E">
        <w:rPr>
          <w:rFonts w:ascii="Times New Roman" w:hAnsi="Times New Roman"/>
          <w:b/>
          <w:sz w:val="21"/>
          <w:szCs w:val="21"/>
        </w:rPr>
        <w:t>Рис. 6.4. Структура надходжень у системі фінансування соціальної регіональної політики</w:t>
      </w:r>
    </w:p>
    <w:p w:rsidR="00B233DE" w:rsidRPr="00182552" w:rsidRDefault="00B233DE" w:rsidP="00B233DE">
      <w:pPr>
        <w:widowControl w:val="0"/>
        <w:ind w:firstLine="709"/>
        <w:jc w:val="both"/>
        <w:rPr>
          <w:rFonts w:ascii="Times New Roman" w:hAnsi="Times New Roman"/>
          <w:sz w:val="21"/>
          <w:szCs w:val="21"/>
        </w:rPr>
      </w:pP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Тому з метою підвищення рівня та якості надання послуг соціального характеру місцеві органи самоврядування повинні знаходити раціональні пропорції між комунальними підприємствами та суто приватними об’єктами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_Ref436211460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49</w:t>
      </w:r>
      <w:r w:rsidR="00FC3E63">
        <w:rPr>
          <w:rFonts w:ascii="Times New Roman" w:hAnsi="Times New Roman" w:cs="Times New Roman"/>
          <w:bCs/>
          <w:color w:val="000000" w:themeColor="text1"/>
          <w:sz w:val="21"/>
          <w:szCs w:val="21"/>
          <w:highlight w:val="yellow"/>
        </w:rPr>
        <w:fldChar w:fldCharType="end"/>
      </w:r>
      <w:r w:rsidRPr="00182552">
        <w:rPr>
          <w:rFonts w:ascii="Times New Roman" w:hAnsi="Times New Roman"/>
          <w:sz w:val="21"/>
          <w:szCs w:val="21"/>
        </w:rPr>
        <w:t>].</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Доходи від операцій із комунальною (муніципальною) власністю у розвинених країнах створюють фінансову базу місцевих органів самоврядування, зокрема, податкову базу місцевих бюджетів. Комунальне майно виступає заставою для отримання кредитів і випуску місцевих позик, є об’єктом продажу. В Україні податок на прибуток підприємств комунальної форми власності зараховується до місцевих бюджетів і не враховується при визначенні обсягу міжбюджетних трансфертів. Однак надходження від нього не перевищують сьогодні 1</w:t>
      </w:r>
      <w:r>
        <w:rPr>
          <w:rFonts w:ascii="Times New Roman" w:hAnsi="Times New Roman"/>
          <w:sz w:val="21"/>
          <w:szCs w:val="21"/>
        </w:rPr>
        <w:t>–</w:t>
      </w:r>
      <w:r w:rsidRPr="00182552">
        <w:rPr>
          <w:rFonts w:ascii="Times New Roman" w:hAnsi="Times New Roman"/>
          <w:sz w:val="21"/>
          <w:szCs w:val="21"/>
        </w:rPr>
        <w:t>2 % у доходах місцевих бюджетів. Тим не менш, не маючи значного фіскального значення, об’єкти комунальної власності є основними ланками, через які держава має змогу забезпечувати надання послуг соціальної сфери, а органи місцевого самоврядування – впливати на соціально-економічний розвиток території. А із подальшим впровадженням у практику нововведень, пов’язаних із реформою децентралізації, роль об’єктів комунальної власності зросте ще більше.</w:t>
      </w:r>
    </w:p>
    <w:p w:rsidR="00B233DE"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lastRenderedPageBreak/>
        <w:t>Різносторонні функції комунальних підприємств дозволяють говорити про виокремлення двох груп у сукупності самих об’єктів комунальної форми власності – об’єктів соціального характеру та суто комерційних об’єктів. Перша категорія об’єднує у собі об’єкти, які забезпечують життєдіяльність територіальної громади та забезпечують надання соціальних послуг населенню – мережу забезпечення населення комунальними послугами, заклади освіти та охорони здоров’я, об’єкти інженерно-технічної інфраструктури міста, житловий фонд тощо. До другої категорії належить вся комунальна власність, функціонування якої безпосередньо не пов’язано з виконанням певних соціальних функцій – нерухомість офісного, торгівельного та складського при</w:t>
      </w:r>
      <w:r>
        <w:rPr>
          <w:rFonts w:ascii="Times New Roman" w:hAnsi="Times New Roman"/>
          <w:sz w:val="21"/>
          <w:szCs w:val="21"/>
        </w:rPr>
        <w:t>-</w:t>
      </w:r>
      <w:r w:rsidRPr="00182552">
        <w:rPr>
          <w:rFonts w:ascii="Times New Roman" w:hAnsi="Times New Roman"/>
          <w:sz w:val="21"/>
          <w:szCs w:val="21"/>
        </w:rPr>
        <w:t>значення, підприємства комунальної форми власності, які не є при</w:t>
      </w:r>
      <w:r>
        <w:rPr>
          <w:rFonts w:ascii="Times New Roman" w:hAnsi="Times New Roman"/>
          <w:sz w:val="21"/>
          <w:szCs w:val="21"/>
        </w:rPr>
        <w:t>-</w:t>
      </w:r>
      <w:r w:rsidRPr="00182552">
        <w:rPr>
          <w:rFonts w:ascii="Times New Roman" w:hAnsi="Times New Roman"/>
          <w:sz w:val="21"/>
          <w:szCs w:val="21"/>
        </w:rPr>
        <w:t>родними монополіями та працюють на ринку (наприклад, бу</w:t>
      </w:r>
      <w:r>
        <w:rPr>
          <w:rFonts w:ascii="Times New Roman" w:hAnsi="Times New Roman"/>
          <w:sz w:val="21"/>
          <w:szCs w:val="21"/>
        </w:rPr>
        <w:t>-</w:t>
      </w:r>
      <w:r w:rsidRPr="00182552">
        <w:rPr>
          <w:rFonts w:ascii="Times New Roman" w:hAnsi="Times New Roman"/>
          <w:sz w:val="21"/>
          <w:szCs w:val="21"/>
        </w:rPr>
        <w:t>дівельні компанії). Такий поділ потребує різних підходів до управ</w:t>
      </w:r>
      <w:r>
        <w:rPr>
          <w:rFonts w:ascii="Times New Roman" w:hAnsi="Times New Roman"/>
          <w:sz w:val="21"/>
          <w:szCs w:val="21"/>
        </w:rPr>
        <w:t>-</w:t>
      </w:r>
      <w:r w:rsidRPr="00182552">
        <w:rPr>
          <w:rFonts w:ascii="Times New Roman" w:hAnsi="Times New Roman"/>
          <w:sz w:val="21"/>
          <w:szCs w:val="21"/>
        </w:rPr>
        <w:t xml:space="preserve">ління цими підприємствами, оскільки вони виконують різні ролі у системі фінансування соціальної регіональної політики (рис. </w:t>
      </w:r>
      <w:r>
        <w:rPr>
          <w:rFonts w:ascii="Times New Roman" w:hAnsi="Times New Roman"/>
          <w:sz w:val="21"/>
          <w:szCs w:val="21"/>
        </w:rPr>
        <w:t>6</w:t>
      </w:r>
      <w:r w:rsidRPr="00182552">
        <w:rPr>
          <w:rFonts w:ascii="Times New Roman" w:hAnsi="Times New Roman"/>
          <w:sz w:val="21"/>
          <w:szCs w:val="21"/>
        </w:rPr>
        <w:t xml:space="preserve">.5). </w:t>
      </w:r>
    </w:p>
    <w:p w:rsidR="00B233DE"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Головним принципом діяльності комунальних об’єктів соціального призначення є надання якісних соціальних послуг, доступних (у тому числі фінансово) для різних прошарків населення. Як відомо, до цієї групи комунального майна належать установи охорони здоров’я, заклади освіти, соціального захисту, культури, спорту, житлово-комунальної сфери та інфраструктури. Зважаючи на своє соціальне призначення, такі об’єкти часто є збитковими та дотаційними. Закордонний досвід свідчить, що політика встановлення занижених тарифів задля досягнення соціального ефекту часто є свідомим кроком органів місцевого самоврядування. У такому випадку різниця покривається за рахунок інших джерел, у тому числі, за рахунок прибутку від діяльності комерційних об’єктів комунальної власності. Тарифи можуть встановлюватися також на рівнях, які забезпечуватимуть беззбитковість або прибутковість діяльності.</w:t>
      </w:r>
    </w:p>
    <w:p w:rsidR="00B233DE"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 xml:space="preserve">Такий підхід найчастіше </w:t>
      </w:r>
      <w:r w:rsidR="00291F85">
        <w:rPr>
          <w:rFonts w:ascii="Times New Roman" w:hAnsi="Times New Roman"/>
          <w:sz w:val="21"/>
          <w:szCs w:val="21"/>
        </w:rPr>
        <w:t>може</w:t>
      </w:r>
      <w:r w:rsidRPr="00182552">
        <w:rPr>
          <w:rFonts w:ascii="Times New Roman" w:hAnsi="Times New Roman"/>
          <w:sz w:val="21"/>
          <w:szCs w:val="21"/>
        </w:rPr>
        <w:t xml:space="preserve"> застосувати</w:t>
      </w:r>
      <w:r w:rsidR="00291F85">
        <w:rPr>
          <w:rFonts w:ascii="Times New Roman" w:hAnsi="Times New Roman"/>
          <w:sz w:val="21"/>
          <w:szCs w:val="21"/>
        </w:rPr>
        <w:t>сь</w:t>
      </w:r>
      <w:r w:rsidRPr="00182552">
        <w:rPr>
          <w:rFonts w:ascii="Times New Roman" w:hAnsi="Times New Roman"/>
          <w:sz w:val="21"/>
          <w:szCs w:val="21"/>
        </w:rPr>
        <w:t xml:space="preserve"> у сфері житлово-комунального господарства. Однак, відповідно до законодавства України, сфери освіти і охорони здоров’я у нашій країні є безкоштовними, тому проблеми розвитку комунальних об’єктів у цих областях є досить частими явищами (це ж стосується сфер культури, а також фізичної культури і спорту), де відсутнє навіть часткове покриття витрат за рахунок встановлених тарифів.</w:t>
      </w:r>
    </w:p>
    <w:p w:rsidR="00B233DE" w:rsidRDefault="00B233DE" w:rsidP="00B233DE">
      <w:pPr>
        <w:widowControl w:val="0"/>
        <w:spacing w:line="360" w:lineRule="auto"/>
        <w:jc w:val="center"/>
        <w:rPr>
          <w:rFonts w:ascii="Times New Roman" w:hAnsi="Times New Roman"/>
          <w:sz w:val="28"/>
          <w:szCs w:val="28"/>
        </w:rPr>
      </w:pPr>
      <w:r>
        <w:rPr>
          <w:rFonts w:ascii="Times New Roman" w:hAnsi="Times New Roman"/>
          <w:noProof/>
          <w:sz w:val="28"/>
          <w:szCs w:val="28"/>
          <w:lang w:val="ru-RU" w:eastAsia="ru-RU"/>
        </w:rPr>
        <w:lastRenderedPageBreak/>
        <mc:AlternateContent>
          <mc:Choice Requires="wpg">
            <w:drawing>
              <wp:anchor distT="0" distB="0" distL="114300" distR="114300" simplePos="0" relativeHeight="251719680" behindDoc="0" locked="0" layoutInCell="1" allowOverlap="1" wp14:anchorId="6F5D7200" wp14:editId="6EEB58F8">
                <wp:simplePos x="0" y="0"/>
                <wp:positionH relativeFrom="column">
                  <wp:posOffset>-423</wp:posOffset>
                </wp:positionH>
                <wp:positionV relativeFrom="paragraph">
                  <wp:posOffset>24976</wp:posOffset>
                </wp:positionV>
                <wp:extent cx="3911600" cy="5579533"/>
                <wp:effectExtent l="0" t="0" r="12700" b="21590"/>
                <wp:wrapNone/>
                <wp:docPr id="1722" name="Группа 1722"/>
                <wp:cNvGraphicFramePr/>
                <a:graphic xmlns:a="http://schemas.openxmlformats.org/drawingml/2006/main">
                  <a:graphicData uri="http://schemas.microsoft.com/office/word/2010/wordprocessingGroup">
                    <wpg:wgp>
                      <wpg:cNvGrpSpPr/>
                      <wpg:grpSpPr>
                        <a:xfrm>
                          <a:off x="0" y="0"/>
                          <a:ext cx="3911600" cy="5579533"/>
                          <a:chOff x="0" y="0"/>
                          <a:chExt cx="3911600" cy="5182446"/>
                        </a:xfrm>
                      </wpg:grpSpPr>
                      <wpg:grpSp>
                        <wpg:cNvPr id="1721" name="Группа 1721"/>
                        <wpg:cNvGrpSpPr/>
                        <wpg:grpSpPr>
                          <a:xfrm>
                            <a:off x="0" y="0"/>
                            <a:ext cx="3911600" cy="5182446"/>
                            <a:chOff x="0" y="0"/>
                            <a:chExt cx="4500668" cy="5182446"/>
                          </a:xfrm>
                        </wpg:grpSpPr>
                        <wps:wsp>
                          <wps:cNvPr id="1697" name="Прямая соединительная линия 1697"/>
                          <wps:cNvCnPr>
                            <a:cxnSpLocks/>
                          </wps:cNvCnPr>
                          <wps:spPr>
                            <a:xfrm flipV="1">
                              <a:off x="279400" y="635000"/>
                              <a:ext cx="0" cy="2880995"/>
                            </a:xfrm>
                            <a:prstGeom prst="line">
                              <a:avLst/>
                            </a:prstGeom>
                            <a:noFill/>
                            <a:ln w="12700" cap="flat" cmpd="sng" algn="ctr">
                              <a:solidFill>
                                <a:sysClr val="windowText" lastClr="000000"/>
                              </a:solidFill>
                              <a:prstDash val="solid"/>
                            </a:ln>
                            <a:effectLst/>
                          </wps:spPr>
                          <wps:bodyPr/>
                        </wps:wsp>
                        <wpg:grpSp>
                          <wpg:cNvPr id="1720" name="Группа 1720"/>
                          <wpg:cNvGrpSpPr/>
                          <wpg:grpSpPr>
                            <a:xfrm>
                              <a:off x="0" y="0"/>
                              <a:ext cx="4500668" cy="5182446"/>
                              <a:chOff x="0" y="0"/>
                              <a:chExt cx="4500668" cy="5182446"/>
                            </a:xfrm>
                          </wpg:grpSpPr>
                          <wps:wsp>
                            <wps:cNvPr id="1694" name="Прямоугольник 1694"/>
                            <wps:cNvSpPr>
                              <a:spLocks/>
                            </wps:cNvSpPr>
                            <wps:spPr>
                              <a:xfrm>
                                <a:off x="0" y="1303866"/>
                                <a:ext cx="2035810" cy="3878580"/>
                              </a:xfrm>
                              <a:prstGeom prst="rect">
                                <a:avLst/>
                              </a:prstGeom>
                              <a:solidFill>
                                <a:sysClr val="window" lastClr="FFFFFF">
                                  <a:lumMod val="95000"/>
                                </a:sysClr>
                              </a:solid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95" name="Прямоугольник 1695"/>
                            <wps:cNvSpPr>
                              <a:spLocks/>
                            </wps:cNvSpPr>
                            <wps:spPr>
                              <a:xfrm>
                                <a:off x="2218266" y="1303866"/>
                                <a:ext cx="2280920" cy="3877945"/>
                              </a:xfrm>
                              <a:prstGeom prst="rect">
                                <a:avLst/>
                              </a:prstGeom>
                              <a:solidFill>
                                <a:sysClr val="window" lastClr="FFFFFF">
                                  <a:lumMod val="95000"/>
                                </a:sysClr>
                              </a:solid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04" name="Поле 1704"/>
                            <wps:cNvSpPr txBox="1">
                              <a:spLocks/>
                            </wps:cNvSpPr>
                            <wps:spPr>
                              <a:xfrm>
                                <a:off x="1727200" y="0"/>
                                <a:ext cx="1546225" cy="1026160"/>
                              </a:xfrm>
                              <a:prstGeom prst="rect">
                                <a:avLst/>
                              </a:prstGeom>
                              <a:solidFill>
                                <a:sysClr val="window" lastClr="FFFFFF">
                                  <a:lumMod val="85000"/>
                                </a:sysClr>
                              </a:solidFill>
                              <a:ln w="6350">
                                <a:solidFill>
                                  <a:prstClr val="black"/>
                                </a:solidFill>
                              </a:ln>
                              <a:effectLst/>
                            </wps:spPr>
                            <wps:txbx>
                              <w:txbxContent>
                                <w:p w:rsidR="00BE40F8" w:rsidRPr="00614E42" w:rsidRDefault="00BE40F8" w:rsidP="00B233DE">
                                  <w:pPr>
                                    <w:ind w:firstLine="0"/>
                                    <w:jc w:val="center"/>
                                    <w:rPr>
                                      <w:rFonts w:ascii="Times New Roman" w:hAnsi="Times New Roman"/>
                                      <w:sz w:val="16"/>
                                      <w:szCs w:val="16"/>
                                    </w:rPr>
                                  </w:pPr>
                                  <w:r w:rsidRPr="00614E42">
                                    <w:rPr>
                                      <w:rFonts w:ascii="Times New Roman" w:hAnsi="Times New Roman"/>
                                      <w:sz w:val="16"/>
                                      <w:szCs w:val="16"/>
                                    </w:rPr>
                                    <w:t xml:space="preserve">Надходження від </w:t>
                                  </w:r>
                                </w:p>
                                <w:p w:rsidR="00BE40F8" w:rsidRPr="00614E42" w:rsidRDefault="00BE40F8" w:rsidP="00B233DE">
                                  <w:pPr>
                                    <w:ind w:firstLine="0"/>
                                    <w:jc w:val="center"/>
                                    <w:rPr>
                                      <w:rFonts w:ascii="Times New Roman" w:hAnsi="Times New Roman"/>
                                      <w:b/>
                                      <w:sz w:val="16"/>
                                      <w:szCs w:val="16"/>
                                    </w:rPr>
                                  </w:pPr>
                                  <w:r w:rsidRPr="00614E42">
                                    <w:rPr>
                                      <w:rFonts w:ascii="Times New Roman" w:hAnsi="Times New Roman"/>
                                      <w:b/>
                                      <w:sz w:val="16"/>
                                      <w:szCs w:val="16"/>
                                    </w:rPr>
                                    <w:t>комунальної власності</w:t>
                                  </w:r>
                                </w:p>
                                <w:p w:rsidR="00BE40F8" w:rsidRPr="00614E42" w:rsidRDefault="00BE40F8" w:rsidP="00B233DE">
                                  <w:pPr>
                                    <w:ind w:firstLine="0"/>
                                    <w:jc w:val="center"/>
                                    <w:rPr>
                                      <w:rFonts w:ascii="Times New Roman" w:hAnsi="Times New Roman"/>
                                      <w:b/>
                                      <w:sz w:val="16"/>
                                      <w:szCs w:val="16"/>
                                      <w:u w:val="single"/>
                                    </w:rPr>
                                  </w:pPr>
                                  <w:r w:rsidRPr="00614E42">
                                    <w:rPr>
                                      <w:rFonts w:ascii="Times New Roman" w:hAnsi="Times New Roman"/>
                                      <w:sz w:val="16"/>
                                      <w:szCs w:val="16"/>
                                    </w:rPr>
                                    <w:t xml:space="preserve"> до системи фінансування </w:t>
                                  </w:r>
                                  <w:r w:rsidRPr="00614E42">
                                    <w:rPr>
                                      <w:rFonts w:ascii="Times New Roman" w:hAnsi="Times New Roman"/>
                                      <w:b/>
                                      <w:sz w:val="16"/>
                                      <w:szCs w:val="16"/>
                                      <w:u w:val="single"/>
                                    </w:rPr>
                                    <w:t>соціальної регіональної політики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96" name="Прямая соединительная линия 1696"/>
                            <wps:cNvCnPr>
                              <a:cxnSpLocks/>
                            </wps:cNvCnPr>
                            <wps:spPr>
                              <a:xfrm>
                                <a:off x="2421466" y="1024466"/>
                                <a:ext cx="0" cy="180975"/>
                              </a:xfrm>
                              <a:prstGeom prst="line">
                                <a:avLst/>
                              </a:prstGeom>
                              <a:noFill/>
                              <a:ln w="12700" cap="flat" cmpd="sng" algn="ctr">
                                <a:solidFill>
                                  <a:sysClr val="windowText" lastClr="000000"/>
                                </a:solidFill>
                                <a:prstDash val="solid"/>
                              </a:ln>
                              <a:effectLst/>
                            </wps:spPr>
                            <wps:bodyPr/>
                          </wps:wsp>
                          <wps:wsp>
                            <wps:cNvPr id="1692" name="Прямая соединительная линия 1692"/>
                            <wps:cNvCnPr>
                              <a:cxnSpLocks/>
                            </wps:cNvCnPr>
                            <wps:spPr>
                              <a:xfrm>
                                <a:off x="1151466" y="1210733"/>
                                <a:ext cx="2119630" cy="0"/>
                              </a:xfrm>
                              <a:prstGeom prst="line">
                                <a:avLst/>
                              </a:prstGeom>
                              <a:noFill/>
                              <a:ln w="12700" cap="flat" cmpd="sng" algn="ctr">
                                <a:solidFill>
                                  <a:sysClr val="windowText" lastClr="000000"/>
                                </a:solidFill>
                                <a:prstDash val="solid"/>
                              </a:ln>
                              <a:effectLst/>
                            </wps:spPr>
                            <wps:bodyPr/>
                          </wps:wsp>
                          <wps:wsp>
                            <wps:cNvPr id="1690" name="Прямая со стрелкой 1690"/>
                            <wps:cNvCnPr>
                              <a:cxnSpLocks/>
                            </wps:cNvCnPr>
                            <wps:spPr>
                              <a:xfrm>
                                <a:off x="1151466" y="1202266"/>
                                <a:ext cx="0" cy="215265"/>
                              </a:xfrm>
                              <a:prstGeom prst="straightConnector1">
                                <a:avLst/>
                              </a:prstGeom>
                              <a:noFill/>
                              <a:ln w="12700" cap="flat" cmpd="sng" algn="ctr">
                                <a:solidFill>
                                  <a:sysClr val="windowText" lastClr="000000"/>
                                </a:solidFill>
                                <a:prstDash val="solid"/>
                                <a:tailEnd type="arrow"/>
                              </a:ln>
                              <a:effectLst/>
                            </wps:spPr>
                            <wps:bodyPr/>
                          </wps:wsp>
                          <wps:wsp>
                            <wps:cNvPr id="1691" name="Прямая со стрелкой 1691"/>
                            <wps:cNvCnPr>
                              <a:cxnSpLocks/>
                            </wps:cNvCnPr>
                            <wps:spPr>
                              <a:xfrm>
                                <a:off x="3268133" y="1210733"/>
                                <a:ext cx="0" cy="215265"/>
                              </a:xfrm>
                              <a:prstGeom prst="straightConnector1">
                                <a:avLst/>
                              </a:prstGeom>
                              <a:noFill/>
                              <a:ln w="12700" cap="flat" cmpd="sng" algn="ctr">
                                <a:solidFill>
                                  <a:sysClr val="windowText" lastClr="000000"/>
                                </a:solidFill>
                                <a:prstDash val="solid"/>
                                <a:tailEnd type="arrow"/>
                              </a:ln>
                              <a:effectLst/>
                            </wps:spPr>
                            <wps:bodyPr/>
                          </wps:wsp>
                          <wps:wsp>
                            <wps:cNvPr id="1693" name="Поле 1693"/>
                            <wps:cNvSpPr txBox="1">
                              <a:spLocks/>
                            </wps:cNvSpPr>
                            <wps:spPr>
                              <a:xfrm>
                                <a:off x="2667000" y="1422400"/>
                                <a:ext cx="1517015" cy="344805"/>
                              </a:xfrm>
                              <a:prstGeom prst="rect">
                                <a:avLst/>
                              </a:prstGeom>
                              <a:gradFill flip="none" rotWithShape="1">
                                <a:gsLst>
                                  <a:gs pos="0">
                                    <a:sysClr val="window" lastClr="FFFFFF">
                                      <a:shade val="30000"/>
                                      <a:satMod val="115000"/>
                                    </a:sysClr>
                                  </a:gs>
                                  <a:gs pos="50000">
                                    <a:sysClr val="window" lastClr="FFFFFF">
                                      <a:shade val="67500"/>
                                      <a:satMod val="115000"/>
                                    </a:sysClr>
                                  </a:gs>
                                  <a:gs pos="100000">
                                    <a:sysClr val="window" lastClr="FFFFFF">
                                      <a:shade val="100000"/>
                                      <a:satMod val="115000"/>
                                    </a:sysClr>
                                  </a:gs>
                                </a:gsLst>
                                <a:lin ang="5400000" scaled="1"/>
                                <a:tileRect/>
                              </a:gradFill>
                              <a:ln w="6350">
                                <a:solidFill>
                                  <a:prstClr val="black"/>
                                </a:solidFill>
                              </a:ln>
                              <a:effectLst/>
                            </wps:spPr>
                            <wps:txbx>
                              <w:txbxContent>
                                <w:p w:rsidR="00BE40F8" w:rsidRPr="00614E42" w:rsidRDefault="00BE40F8" w:rsidP="00B233DE">
                                  <w:pPr>
                                    <w:ind w:firstLine="0"/>
                                    <w:jc w:val="center"/>
                                    <w:rPr>
                                      <w:rFonts w:ascii="Times New Roman" w:hAnsi="Times New Roman"/>
                                      <w:caps/>
                                      <w:sz w:val="16"/>
                                      <w:szCs w:val="16"/>
                                    </w:rPr>
                                  </w:pPr>
                                  <w:r w:rsidRPr="00614E42">
                                    <w:rPr>
                                      <w:rFonts w:ascii="Times New Roman" w:hAnsi="Times New Roman"/>
                                      <w:caps/>
                                      <w:sz w:val="16"/>
                                      <w:szCs w:val="16"/>
                                    </w:rPr>
                                    <w:t>Комерційні об’єкти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678" name="Группа 1678"/>
                            <wpg:cNvGrpSpPr>
                              <a:grpSpLocks/>
                            </wpg:cNvGrpSpPr>
                            <wpg:grpSpPr bwMode="auto">
                              <a:xfrm>
                                <a:off x="397933" y="1422400"/>
                                <a:ext cx="1380490" cy="1880235"/>
                                <a:chOff x="0" y="0"/>
                                <a:chExt cx="1854632" cy="1880306"/>
                              </a:xfrm>
                            </wpg:grpSpPr>
                            <wps:wsp>
                              <wps:cNvPr id="1679" name="Поле 107"/>
                              <wps:cNvSpPr txBox="1">
                                <a:spLocks noChangeArrowheads="1"/>
                              </wps:cNvSpPr>
                              <wps:spPr bwMode="auto">
                                <a:xfrm>
                                  <a:off x="0" y="0"/>
                                  <a:ext cx="1854632" cy="345056"/>
                                </a:xfrm>
                                <a:prstGeom prst="rect">
                                  <a:avLst/>
                                </a:prstGeom>
                                <a:gradFill rotWithShape="1">
                                  <a:gsLst>
                                    <a:gs pos="0">
                                      <a:srgbClr val="959595"/>
                                    </a:gs>
                                    <a:gs pos="50000">
                                      <a:srgbClr val="D6D6D6"/>
                                    </a:gs>
                                    <a:gs pos="100000">
                                      <a:srgbClr val="FFFFFF"/>
                                    </a:gs>
                                  </a:gsLst>
                                  <a:lin ang="5400000" scaled="1"/>
                                </a:gradFill>
                                <a:ln w="6350">
                                  <a:solidFill>
                                    <a:srgbClr val="000000"/>
                                  </a:solidFill>
                                  <a:miter lim="800000"/>
                                  <a:headEnd/>
                                  <a:tailEnd/>
                                </a:ln>
                              </wps:spPr>
                              <wps:txbx>
                                <w:txbxContent>
                                  <w:p w:rsidR="00BE40F8" w:rsidRPr="00614E42" w:rsidRDefault="00BE40F8" w:rsidP="00B233DE">
                                    <w:pPr>
                                      <w:ind w:firstLine="0"/>
                                      <w:jc w:val="center"/>
                                      <w:rPr>
                                        <w:rFonts w:ascii="Times New Roman" w:hAnsi="Times New Roman"/>
                                        <w:caps/>
                                        <w:sz w:val="16"/>
                                        <w:szCs w:val="16"/>
                                      </w:rPr>
                                    </w:pPr>
                                    <w:r w:rsidRPr="00614E42">
                                      <w:rPr>
                                        <w:rFonts w:ascii="Times New Roman" w:hAnsi="Times New Roman"/>
                                        <w:caps/>
                                        <w:sz w:val="16"/>
                                        <w:szCs w:val="16"/>
                                      </w:rPr>
                                      <w:t>Соціальні об’єкти</w:t>
                                    </w:r>
                                  </w:p>
                                </w:txbxContent>
                              </wps:txbx>
                              <wps:bodyPr rot="0" vert="horz" wrap="square" lIns="0" tIns="0" rIns="0" bIns="0" anchor="t" anchorCtr="0" upright="1">
                                <a:noAutofit/>
                              </wps:bodyPr>
                            </wps:wsp>
                            <wps:wsp>
                              <wps:cNvPr id="1680" name="Прямая соединительная линия 108"/>
                              <wps:cNvCnPr>
                                <a:cxnSpLocks noChangeShapeType="1"/>
                              </wps:cNvCnPr>
                              <wps:spPr bwMode="auto">
                                <a:xfrm>
                                  <a:off x="940280" y="1086928"/>
                                  <a:ext cx="0" cy="215900"/>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s:wsp>
                              <wps:cNvPr id="1681" name="Прямая соединительная линия 109"/>
                              <wps:cNvCnPr>
                                <a:cxnSpLocks noChangeShapeType="1"/>
                              </wps:cNvCnPr>
                              <wps:spPr bwMode="auto">
                                <a:xfrm flipV="1">
                                  <a:off x="319178" y="1302588"/>
                                  <a:ext cx="1250494" cy="240"/>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s:wsp>
                              <wps:cNvPr id="1682" name="Прямая со стрелкой 110"/>
                              <wps:cNvCnPr>
                                <a:cxnSpLocks noChangeShapeType="1"/>
                              </wps:cNvCnPr>
                              <wps:spPr bwMode="auto">
                                <a:xfrm>
                                  <a:off x="1570008" y="1302588"/>
                                  <a:ext cx="0" cy="215265"/>
                                </a:xfrm>
                                <a:prstGeom prst="straightConnector1">
                                  <a:avLst/>
                                </a:prstGeom>
                                <a:noFill/>
                                <a:ln w="12700"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683" name="Прямая со стрелкой 111"/>
                              <wps:cNvCnPr>
                                <a:cxnSpLocks noChangeShapeType="1"/>
                              </wps:cNvCnPr>
                              <wps:spPr bwMode="auto">
                                <a:xfrm>
                                  <a:off x="940280" y="1302588"/>
                                  <a:ext cx="0" cy="215265"/>
                                </a:xfrm>
                                <a:prstGeom prst="straightConnector1">
                                  <a:avLst/>
                                </a:prstGeom>
                                <a:noFill/>
                                <a:ln w="12700"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684" name="Прямая со стрелкой 112"/>
                              <wps:cNvCnPr>
                                <a:cxnSpLocks noChangeShapeType="1"/>
                              </wps:cNvCnPr>
                              <wps:spPr bwMode="auto">
                                <a:xfrm>
                                  <a:off x="319178" y="1302588"/>
                                  <a:ext cx="0" cy="215265"/>
                                </a:xfrm>
                                <a:prstGeom prst="straightConnector1">
                                  <a:avLst/>
                                </a:prstGeom>
                                <a:noFill/>
                                <a:ln w="12700"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685" name="Поле 113"/>
                              <wps:cNvSpPr txBox="1">
                                <a:spLocks noChangeArrowheads="1"/>
                              </wps:cNvSpPr>
                              <wps:spPr bwMode="auto">
                                <a:xfrm>
                                  <a:off x="0" y="560717"/>
                                  <a:ext cx="1854200" cy="517584"/>
                                </a:xfrm>
                                <a:prstGeom prst="rect">
                                  <a:avLst/>
                                </a:prstGeom>
                                <a:solidFill>
                                  <a:srgbClr val="FFFFFF"/>
                                </a:solidFill>
                                <a:ln w="6350">
                                  <a:solidFill>
                                    <a:srgbClr val="000000"/>
                                  </a:solidFill>
                                  <a:miter lim="800000"/>
                                  <a:headEnd/>
                                  <a:tailEnd/>
                                </a:ln>
                              </wps:spPr>
                              <wps:txbx>
                                <w:txbxContent>
                                  <w:p w:rsidR="00BE40F8" w:rsidRPr="00614E42" w:rsidRDefault="00BE40F8" w:rsidP="00B233DE">
                                    <w:pPr>
                                      <w:ind w:firstLine="0"/>
                                      <w:jc w:val="center"/>
                                      <w:rPr>
                                        <w:rFonts w:ascii="Times New Roman" w:hAnsi="Times New Roman"/>
                                        <w:sz w:val="16"/>
                                        <w:szCs w:val="16"/>
                                      </w:rPr>
                                    </w:pPr>
                                    <w:r w:rsidRPr="00614E42">
                                      <w:rPr>
                                        <w:rFonts w:ascii="Times New Roman" w:hAnsi="Times New Roman"/>
                                        <w:sz w:val="16"/>
                                        <w:szCs w:val="16"/>
                                      </w:rPr>
                                      <w:t>Фінансовий результат діяльності</w:t>
                                    </w:r>
                                  </w:p>
                                </w:txbxContent>
                              </wps:txbx>
                              <wps:bodyPr rot="0" vert="horz" wrap="square" lIns="91440" tIns="45720" rIns="91440" bIns="45720" anchor="t" anchorCtr="0" upright="1">
                                <a:noAutofit/>
                              </wps:bodyPr>
                            </wps:wsp>
                            <wps:wsp>
                              <wps:cNvPr id="1686" name="Прямая со стрелкой 114"/>
                              <wps:cNvCnPr>
                                <a:cxnSpLocks noChangeShapeType="1"/>
                              </wps:cNvCnPr>
                              <wps:spPr bwMode="auto">
                                <a:xfrm>
                                  <a:off x="940280" y="345056"/>
                                  <a:ext cx="0" cy="215265"/>
                                </a:xfrm>
                                <a:prstGeom prst="straightConnector1">
                                  <a:avLst/>
                                </a:prstGeom>
                                <a:noFill/>
                                <a:ln w="12700"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687" name="Поле 115"/>
                              <wps:cNvSpPr txBox="1">
                                <a:spLocks noChangeArrowheads="1"/>
                              </wps:cNvSpPr>
                              <wps:spPr bwMode="auto">
                                <a:xfrm>
                                  <a:off x="77638" y="1535501"/>
                                  <a:ext cx="448262" cy="344805"/>
                                </a:xfrm>
                                <a:prstGeom prst="rect">
                                  <a:avLst/>
                                </a:prstGeom>
                                <a:solidFill>
                                  <a:srgbClr val="FFFFFF"/>
                                </a:solidFill>
                                <a:ln w="6350">
                                  <a:solidFill>
                                    <a:srgbClr val="000000"/>
                                  </a:solidFill>
                                  <a:miter lim="800000"/>
                                  <a:headEnd/>
                                  <a:tailEnd/>
                                </a:ln>
                              </wps:spPr>
                              <wps:txbx>
                                <w:txbxContent>
                                  <w:p w:rsidR="00BE40F8" w:rsidRPr="00614E42" w:rsidRDefault="00BE40F8" w:rsidP="00B233DE">
                                    <w:pPr>
                                      <w:jc w:val="center"/>
                                      <w:rPr>
                                        <w:rFonts w:ascii="Times New Roman" w:hAnsi="Times New Roman"/>
                                        <w:b/>
                                        <w:sz w:val="16"/>
                                        <w:szCs w:val="16"/>
                                      </w:rPr>
                                    </w:pPr>
                                    <w:r w:rsidRPr="00614E42">
                                      <w:rPr>
                                        <w:rFonts w:ascii="Times New Roman" w:hAnsi="Times New Roman"/>
                                        <w:b/>
                                        <w:sz w:val="16"/>
                                        <w:szCs w:val="16"/>
                                      </w:rPr>
                                      <w:t>«+»</w:t>
                                    </w:r>
                                  </w:p>
                                </w:txbxContent>
                              </wps:txbx>
                              <wps:bodyPr rot="0" vert="horz" wrap="square" lIns="91440" tIns="45720" rIns="91440" bIns="45720" anchor="t" anchorCtr="0" upright="1">
                                <a:noAutofit/>
                              </wps:bodyPr>
                            </wps:wsp>
                            <wps:wsp>
                              <wps:cNvPr id="1688" name="Поле 116"/>
                              <wps:cNvSpPr txBox="1">
                                <a:spLocks noChangeArrowheads="1"/>
                              </wps:cNvSpPr>
                              <wps:spPr bwMode="auto">
                                <a:xfrm>
                                  <a:off x="733246" y="1535501"/>
                                  <a:ext cx="448310" cy="344805"/>
                                </a:xfrm>
                                <a:prstGeom prst="rect">
                                  <a:avLst/>
                                </a:prstGeom>
                                <a:solidFill>
                                  <a:srgbClr val="FFFFFF"/>
                                </a:solidFill>
                                <a:ln w="6350">
                                  <a:solidFill>
                                    <a:srgbClr val="000000"/>
                                  </a:solidFill>
                                  <a:miter lim="800000"/>
                                  <a:headEnd/>
                                  <a:tailEnd/>
                                </a:ln>
                              </wps:spPr>
                              <wps:txbx>
                                <w:txbxContent>
                                  <w:p w:rsidR="00BE40F8" w:rsidRPr="00614E42" w:rsidRDefault="00BE40F8" w:rsidP="00B233DE">
                                    <w:pPr>
                                      <w:jc w:val="center"/>
                                      <w:rPr>
                                        <w:rFonts w:ascii="Times New Roman" w:hAnsi="Times New Roman"/>
                                        <w:b/>
                                        <w:sz w:val="16"/>
                                        <w:szCs w:val="16"/>
                                      </w:rPr>
                                    </w:pPr>
                                    <w:r w:rsidRPr="00614E42">
                                      <w:rPr>
                                        <w:rFonts w:ascii="Times New Roman" w:hAnsi="Times New Roman"/>
                                        <w:b/>
                                        <w:sz w:val="16"/>
                                        <w:szCs w:val="16"/>
                                      </w:rPr>
                                      <w:t>«0»</w:t>
                                    </w:r>
                                  </w:p>
                                </w:txbxContent>
                              </wps:txbx>
                              <wps:bodyPr rot="0" vert="horz" wrap="square" lIns="91440" tIns="45720" rIns="91440" bIns="45720" anchor="t" anchorCtr="0" upright="1">
                                <a:noAutofit/>
                              </wps:bodyPr>
                            </wps:wsp>
                            <wps:wsp>
                              <wps:cNvPr id="1689" name="Поле 117"/>
                              <wps:cNvSpPr txBox="1">
                                <a:spLocks noChangeArrowheads="1"/>
                              </wps:cNvSpPr>
                              <wps:spPr bwMode="auto">
                                <a:xfrm>
                                  <a:off x="1380227" y="1535501"/>
                                  <a:ext cx="405130" cy="344805"/>
                                </a:xfrm>
                                <a:prstGeom prst="rect">
                                  <a:avLst/>
                                </a:prstGeom>
                                <a:solidFill>
                                  <a:srgbClr val="FFFFFF"/>
                                </a:solidFill>
                                <a:ln w="6350">
                                  <a:solidFill>
                                    <a:srgbClr val="000000"/>
                                  </a:solidFill>
                                  <a:miter lim="800000"/>
                                  <a:headEnd/>
                                  <a:tailEnd/>
                                </a:ln>
                              </wps:spPr>
                              <wps:txbx>
                                <w:txbxContent>
                                  <w:p w:rsidR="00BE40F8" w:rsidRPr="00614E42" w:rsidRDefault="00BE40F8" w:rsidP="00B233DE">
                                    <w:pPr>
                                      <w:jc w:val="center"/>
                                      <w:rPr>
                                        <w:rFonts w:ascii="Times New Roman" w:hAnsi="Times New Roman"/>
                                        <w:b/>
                                        <w:sz w:val="16"/>
                                        <w:szCs w:val="16"/>
                                      </w:rPr>
                                    </w:pPr>
                                    <w:r w:rsidRPr="00614E42">
                                      <w:rPr>
                                        <w:rFonts w:ascii="Times New Roman" w:hAnsi="Times New Roman"/>
                                        <w:b/>
                                        <w:sz w:val="16"/>
                                        <w:szCs w:val="16"/>
                                      </w:rPr>
                                      <w:t>«-»</w:t>
                                    </w:r>
                                  </w:p>
                                </w:txbxContent>
                              </wps:txbx>
                              <wps:bodyPr rot="0" vert="horz" wrap="square" lIns="91440" tIns="45720" rIns="91440" bIns="45720" anchor="t" anchorCtr="0" upright="1">
                                <a:noAutofit/>
                              </wps:bodyPr>
                            </wps:wsp>
                          </wpg:grpSp>
                          <wps:wsp>
                            <wps:cNvPr id="1673" name="Прямая со стрелкой 1673"/>
                            <wps:cNvCnPr>
                              <a:cxnSpLocks/>
                            </wps:cNvCnPr>
                            <wps:spPr>
                              <a:xfrm>
                                <a:off x="2658533" y="2015066"/>
                                <a:ext cx="0" cy="215265"/>
                              </a:xfrm>
                              <a:prstGeom prst="straightConnector1">
                                <a:avLst/>
                              </a:prstGeom>
                              <a:noFill/>
                              <a:ln w="12700" cap="flat" cmpd="sng" algn="ctr">
                                <a:solidFill>
                                  <a:sysClr val="windowText" lastClr="000000"/>
                                </a:solidFill>
                                <a:prstDash val="solid"/>
                                <a:tailEnd type="arrow"/>
                              </a:ln>
                              <a:effectLst/>
                            </wps:spPr>
                            <wps:bodyPr/>
                          </wps:wsp>
                          <wps:wsp>
                            <wps:cNvPr id="1677" name="Прямая соединительная линия 1677"/>
                            <wps:cNvCnPr>
                              <a:cxnSpLocks noChangeShapeType="1"/>
                            </wps:cNvCnPr>
                            <wps:spPr bwMode="auto">
                              <a:xfrm>
                                <a:off x="3412066" y="1769533"/>
                                <a:ext cx="0" cy="215900"/>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s:wsp>
                            <wps:cNvPr id="1674" name="Прямая соединительная линия 1674"/>
                            <wps:cNvCnPr>
                              <a:cxnSpLocks/>
                            </wps:cNvCnPr>
                            <wps:spPr>
                              <a:xfrm>
                                <a:off x="2667000" y="1981200"/>
                                <a:ext cx="1520825" cy="2540"/>
                              </a:xfrm>
                              <a:prstGeom prst="line">
                                <a:avLst/>
                              </a:prstGeom>
                              <a:noFill/>
                              <a:ln w="12700" cap="flat" cmpd="sng" algn="ctr">
                                <a:solidFill>
                                  <a:sysClr val="windowText" lastClr="000000"/>
                                </a:solidFill>
                                <a:prstDash val="solid"/>
                              </a:ln>
                              <a:effectLst/>
                            </wps:spPr>
                            <wps:bodyPr/>
                          </wps:wsp>
                          <wps:wsp>
                            <wps:cNvPr id="1675" name="Прямая со стрелкой 1675"/>
                            <wps:cNvCnPr>
                              <a:cxnSpLocks/>
                            </wps:cNvCnPr>
                            <wps:spPr>
                              <a:xfrm>
                                <a:off x="3327400" y="2015066"/>
                                <a:ext cx="0" cy="215265"/>
                              </a:xfrm>
                              <a:prstGeom prst="straightConnector1">
                                <a:avLst/>
                              </a:prstGeom>
                              <a:noFill/>
                              <a:ln w="12700" cap="flat" cmpd="sng" algn="ctr">
                                <a:solidFill>
                                  <a:sysClr val="windowText" lastClr="000000"/>
                                </a:solidFill>
                                <a:prstDash val="solid"/>
                                <a:tailEnd type="arrow"/>
                              </a:ln>
                              <a:effectLst/>
                            </wps:spPr>
                            <wps:bodyPr/>
                          </wps:wsp>
                          <wps:wsp>
                            <wps:cNvPr id="1669" name="Поле 1669"/>
                            <wps:cNvSpPr txBox="1">
                              <a:spLocks/>
                            </wps:cNvSpPr>
                            <wps:spPr>
                              <a:xfrm>
                                <a:off x="2336800" y="2226733"/>
                                <a:ext cx="600710" cy="1437640"/>
                              </a:xfrm>
                              <a:prstGeom prst="rect">
                                <a:avLst/>
                              </a:prstGeom>
                              <a:solidFill>
                                <a:sysClr val="window" lastClr="FFFFFF"/>
                              </a:solidFill>
                              <a:ln w="6350">
                                <a:solidFill>
                                  <a:prstClr val="black"/>
                                </a:solidFill>
                              </a:ln>
                              <a:effectLst/>
                            </wps:spPr>
                            <wps:txbx>
                              <w:txbxContent>
                                <w:p w:rsidR="00BE40F8" w:rsidRPr="00614E42" w:rsidRDefault="00BE40F8" w:rsidP="00B233DE">
                                  <w:pPr>
                                    <w:spacing w:line="216" w:lineRule="auto"/>
                                    <w:ind w:firstLine="0"/>
                                    <w:jc w:val="center"/>
                                    <w:rPr>
                                      <w:rFonts w:ascii="Times New Roman" w:hAnsi="Times New Roman"/>
                                      <w:sz w:val="16"/>
                                      <w:szCs w:val="16"/>
                                    </w:rPr>
                                  </w:pPr>
                                  <w:r w:rsidRPr="00614E42">
                                    <w:rPr>
                                      <w:rFonts w:ascii="Times New Roman" w:hAnsi="Times New Roman"/>
                                      <w:sz w:val="16"/>
                                      <w:szCs w:val="16"/>
                                    </w:rPr>
                                    <w:t>Частина чистого прибутку (доходу) комуналь</w:t>
                                  </w:r>
                                  <w:r>
                                    <w:rPr>
                                      <w:rFonts w:ascii="Times New Roman" w:hAnsi="Times New Roman"/>
                                      <w:sz w:val="16"/>
                                      <w:szCs w:val="16"/>
                                    </w:rPr>
                                    <w:t>-</w:t>
                                  </w:r>
                                  <w:r w:rsidRPr="00614E42">
                                    <w:rPr>
                                      <w:rFonts w:ascii="Times New Roman" w:hAnsi="Times New Roman"/>
                                      <w:sz w:val="16"/>
                                      <w:szCs w:val="16"/>
                                    </w:rPr>
                                    <w:t>них під</w:t>
                                  </w:r>
                                  <w:r>
                                    <w:rPr>
                                      <w:rFonts w:ascii="Times New Roman" w:hAnsi="Times New Roman"/>
                                      <w:sz w:val="16"/>
                                      <w:szCs w:val="16"/>
                                    </w:rPr>
                                    <w:t>-</w:t>
                                  </w:r>
                                  <w:r w:rsidRPr="00614E42">
                                    <w:rPr>
                                      <w:rFonts w:ascii="Times New Roman" w:hAnsi="Times New Roman"/>
                                      <w:sz w:val="16"/>
                                      <w:szCs w:val="16"/>
                                    </w:rPr>
                                    <w:t>приємств, яка вилу</w:t>
                                  </w:r>
                                  <w:r>
                                    <w:rPr>
                                      <w:rFonts w:ascii="Times New Roman" w:hAnsi="Times New Roman"/>
                                      <w:sz w:val="16"/>
                                      <w:szCs w:val="16"/>
                                    </w:rPr>
                                    <w:t>-</w:t>
                                  </w:r>
                                  <w:r w:rsidRPr="00614E42">
                                    <w:rPr>
                                      <w:rFonts w:ascii="Times New Roman" w:hAnsi="Times New Roman"/>
                                      <w:sz w:val="16"/>
                                      <w:szCs w:val="16"/>
                                    </w:rPr>
                                    <w:t>чається до бюджету</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670" name="Поле 1670"/>
                            <wps:cNvSpPr txBox="1">
                              <a:spLocks/>
                            </wps:cNvSpPr>
                            <wps:spPr>
                              <a:xfrm>
                                <a:off x="3039533" y="2226733"/>
                                <a:ext cx="683895" cy="1428750"/>
                              </a:xfrm>
                              <a:prstGeom prst="rect">
                                <a:avLst/>
                              </a:prstGeom>
                              <a:solidFill>
                                <a:sysClr val="window" lastClr="FFFFFF"/>
                              </a:solidFill>
                              <a:ln w="6350">
                                <a:solidFill>
                                  <a:prstClr val="black"/>
                                </a:solidFill>
                              </a:ln>
                              <a:effectLst/>
                            </wps:spPr>
                            <wps:txbx>
                              <w:txbxContent>
                                <w:p w:rsidR="00BE40F8" w:rsidRPr="00614E42" w:rsidRDefault="00BE40F8" w:rsidP="00B233DE">
                                  <w:pPr>
                                    <w:spacing w:line="206" w:lineRule="auto"/>
                                    <w:ind w:firstLine="0"/>
                                    <w:jc w:val="center"/>
                                    <w:rPr>
                                      <w:rFonts w:ascii="Times New Roman" w:hAnsi="Times New Roman"/>
                                      <w:sz w:val="16"/>
                                      <w:szCs w:val="16"/>
                                    </w:rPr>
                                  </w:pPr>
                                  <w:r w:rsidRPr="00614E42">
                                    <w:rPr>
                                      <w:rFonts w:ascii="Times New Roman" w:hAnsi="Times New Roman"/>
                                      <w:sz w:val="16"/>
                                      <w:szCs w:val="16"/>
                                    </w:rPr>
                                    <w:t>Дивіденди (дохід), нараховані на акції господарсь-ких това</w:t>
                                  </w:r>
                                  <w:r>
                                    <w:rPr>
                                      <w:rFonts w:ascii="Times New Roman" w:hAnsi="Times New Roman"/>
                                      <w:sz w:val="16"/>
                                      <w:szCs w:val="16"/>
                                    </w:rPr>
                                    <w:t>-</w:t>
                                  </w:r>
                                  <w:r w:rsidRPr="00614E42">
                                    <w:rPr>
                                      <w:rFonts w:ascii="Times New Roman" w:hAnsi="Times New Roman"/>
                                      <w:sz w:val="16"/>
                                      <w:szCs w:val="16"/>
                                    </w:rPr>
                                    <w:t>риств, у ста</w:t>
                                  </w:r>
                                  <w:r>
                                    <w:rPr>
                                      <w:rFonts w:ascii="Times New Roman" w:hAnsi="Times New Roman"/>
                                      <w:sz w:val="16"/>
                                      <w:szCs w:val="16"/>
                                    </w:rPr>
                                    <w:t>-</w:t>
                                  </w:r>
                                  <w:r w:rsidRPr="00614E42">
                                    <w:rPr>
                                      <w:rFonts w:ascii="Times New Roman" w:hAnsi="Times New Roman"/>
                                      <w:sz w:val="16"/>
                                      <w:szCs w:val="16"/>
                                    </w:rPr>
                                    <w:t>тутних капі</w:t>
                                  </w:r>
                                  <w:r>
                                    <w:rPr>
                                      <w:rFonts w:ascii="Times New Roman" w:hAnsi="Times New Roman"/>
                                      <w:sz w:val="16"/>
                                      <w:szCs w:val="16"/>
                                    </w:rPr>
                                    <w:t>-</w:t>
                                  </w:r>
                                  <w:r w:rsidRPr="00614E42">
                                    <w:rPr>
                                      <w:rFonts w:ascii="Times New Roman" w:hAnsi="Times New Roman"/>
                                      <w:sz w:val="16"/>
                                      <w:szCs w:val="16"/>
                                    </w:rPr>
                                    <w:t>талах яких є комунальна власність</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698" name="Соединительная линия уступом 1698"/>
                            <wps:cNvCnPr>
                              <a:cxnSpLocks noChangeShapeType="1"/>
                            </wps:cNvCnPr>
                            <wps:spPr bwMode="auto">
                              <a:xfrm>
                                <a:off x="279400" y="635000"/>
                                <a:ext cx="1433830" cy="5715"/>
                              </a:xfrm>
                              <a:prstGeom prst="bentConnector3">
                                <a:avLst>
                                  <a:gd name="adj1" fmla="val 50000"/>
                                </a:avLst>
                              </a:prstGeom>
                              <a:noFill/>
                              <a:ln w="12700"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1703" name="Прямая соединительная линия 1703"/>
                            <wps:cNvCnPr>
                              <a:cxnSpLocks/>
                            </wps:cNvCnPr>
                            <wps:spPr>
                              <a:xfrm flipH="1" flipV="1">
                                <a:off x="143933" y="440266"/>
                                <a:ext cx="1578610" cy="635"/>
                              </a:xfrm>
                              <a:prstGeom prst="line">
                                <a:avLst/>
                              </a:prstGeom>
                              <a:noFill/>
                              <a:ln w="12700" cap="flat" cmpd="sng" algn="ctr">
                                <a:solidFill>
                                  <a:sysClr val="windowText" lastClr="000000"/>
                                </a:solidFill>
                                <a:prstDash val="dash"/>
                                <a:tailEnd type="none"/>
                              </a:ln>
                              <a:effectLst/>
                            </wps:spPr>
                            <wps:bodyPr/>
                          </wps:wsp>
                          <wps:wsp>
                            <wps:cNvPr id="1701" name="Прямая соединительная линия 1701"/>
                            <wps:cNvCnPr>
                              <a:cxnSpLocks/>
                            </wps:cNvCnPr>
                            <wps:spPr>
                              <a:xfrm>
                                <a:off x="143933" y="440266"/>
                                <a:ext cx="0" cy="3303905"/>
                              </a:xfrm>
                              <a:prstGeom prst="line">
                                <a:avLst/>
                              </a:prstGeom>
                              <a:noFill/>
                              <a:ln w="12700" cap="flat" cmpd="sng" algn="ctr">
                                <a:solidFill>
                                  <a:sysClr val="windowText" lastClr="000000"/>
                                </a:solidFill>
                                <a:prstDash val="dash"/>
                                <a:tailEnd type="none"/>
                              </a:ln>
                              <a:effectLst/>
                            </wps:spPr>
                            <wps:bodyPr/>
                          </wps:wsp>
                          <wps:wsp>
                            <wps:cNvPr id="1667" name="Прямая со стрелкой 1667"/>
                            <wps:cNvCnPr>
                              <a:cxnSpLocks/>
                            </wps:cNvCnPr>
                            <wps:spPr>
                              <a:xfrm flipH="1" flipV="1">
                                <a:off x="1557866" y="3310466"/>
                                <a:ext cx="635" cy="440055"/>
                              </a:xfrm>
                              <a:prstGeom prst="straightConnector1">
                                <a:avLst/>
                              </a:prstGeom>
                              <a:noFill/>
                              <a:ln w="12700" cap="flat" cmpd="sng" algn="ctr">
                                <a:solidFill>
                                  <a:sysClr val="windowText" lastClr="000000"/>
                                </a:solidFill>
                                <a:prstDash val="dash"/>
                                <a:tailEnd type="arrow"/>
                              </a:ln>
                              <a:effectLst/>
                            </wps:spPr>
                            <wps:bodyPr/>
                          </wps:wsp>
                          <wps:wsp>
                            <wps:cNvPr id="1661" name="Поле 1661"/>
                            <wps:cNvSpPr txBox="1">
                              <a:spLocks/>
                            </wps:cNvSpPr>
                            <wps:spPr>
                              <a:xfrm>
                                <a:off x="143933" y="3793066"/>
                                <a:ext cx="1830705" cy="608965"/>
                              </a:xfrm>
                              <a:prstGeom prst="rect">
                                <a:avLst/>
                              </a:prstGeom>
                              <a:solidFill>
                                <a:sysClr val="window" lastClr="FFFFFF"/>
                              </a:solidFill>
                              <a:ln w="6350">
                                <a:solidFill>
                                  <a:prstClr val="black"/>
                                </a:solidFill>
                                <a:prstDash val="dash"/>
                              </a:ln>
                              <a:effectLst/>
                            </wps:spPr>
                            <wps:txbx>
                              <w:txbxContent>
                                <w:p w:rsidR="00BE40F8" w:rsidRPr="00614E42" w:rsidRDefault="00BE40F8" w:rsidP="00B233DE">
                                  <w:pPr>
                                    <w:spacing w:line="216" w:lineRule="auto"/>
                                    <w:ind w:firstLine="0"/>
                                    <w:jc w:val="center"/>
                                    <w:rPr>
                                      <w:rFonts w:ascii="Times New Roman" w:hAnsi="Times New Roman"/>
                                      <w:i/>
                                      <w:sz w:val="16"/>
                                      <w:szCs w:val="16"/>
                                    </w:rPr>
                                  </w:pPr>
                                  <w:r w:rsidRPr="00614E42">
                                    <w:rPr>
                                      <w:rFonts w:ascii="Times New Roman" w:hAnsi="Times New Roman"/>
                                      <w:i/>
                                      <w:sz w:val="16"/>
                                      <w:szCs w:val="16"/>
                                    </w:rPr>
                                    <w:t>Часткове покриття збиткової діяльності соціальних об’єктів за рахунок прибутку комерційних об’єктів комунальної власності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55" name="Поле 1655"/>
                            <wps:cNvSpPr txBox="1">
                              <a:spLocks/>
                            </wps:cNvSpPr>
                            <wps:spPr>
                              <a:xfrm>
                                <a:off x="143933" y="4461568"/>
                                <a:ext cx="1830705" cy="652298"/>
                              </a:xfrm>
                              <a:prstGeom prst="rect">
                                <a:avLst/>
                              </a:prstGeom>
                              <a:solidFill>
                                <a:sysClr val="window" lastClr="FFFFFF"/>
                              </a:solidFill>
                              <a:ln w="6350">
                                <a:solidFill>
                                  <a:prstClr val="black"/>
                                </a:solidFill>
                              </a:ln>
                              <a:effectLst/>
                            </wps:spPr>
                            <wps:txbx>
                              <w:txbxContent>
                                <w:p w:rsidR="00BE40F8" w:rsidRPr="0073139B" w:rsidRDefault="00BE40F8" w:rsidP="00B233DE">
                                  <w:pPr>
                                    <w:ind w:firstLine="0"/>
                                    <w:jc w:val="center"/>
                                    <w:rPr>
                                      <w:rFonts w:ascii="Times New Roman" w:hAnsi="Times New Roman"/>
                                      <w:b/>
                                      <w:sz w:val="15"/>
                                      <w:szCs w:val="15"/>
                                    </w:rPr>
                                  </w:pPr>
                                  <w:r w:rsidRPr="0073139B">
                                    <w:rPr>
                                      <w:rFonts w:ascii="Times New Roman" w:hAnsi="Times New Roman"/>
                                      <w:b/>
                                      <w:sz w:val="15"/>
                                      <w:szCs w:val="15"/>
                                      <w:u w:val="single"/>
                                    </w:rPr>
                                    <w:t>Головний принцип діяльності</w:t>
                                  </w:r>
                                  <w:r w:rsidRPr="0073139B">
                                    <w:rPr>
                                      <w:rFonts w:ascii="Times New Roman" w:hAnsi="Times New Roman"/>
                                      <w:b/>
                                      <w:sz w:val="15"/>
                                      <w:szCs w:val="15"/>
                                    </w:rPr>
                                    <w:t xml:space="preserve"> – надання якісних соціальних послуг, доступних (у т.ч. фінансово) для різних прошарків населення регіону</w:t>
                                  </w:r>
                                  <w:r>
                                    <w:rPr>
                                      <w:rFonts w:ascii="Times New Roman" w:hAnsi="Times New Roman"/>
                                      <w:b/>
                                      <w:sz w:val="15"/>
                                      <w:szCs w:val="15"/>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56" name="Поле 1656"/>
                            <wps:cNvSpPr txBox="1">
                              <a:spLocks/>
                            </wps:cNvSpPr>
                            <wps:spPr>
                              <a:xfrm>
                                <a:off x="2336800" y="4461933"/>
                                <a:ext cx="2004060" cy="592455"/>
                              </a:xfrm>
                              <a:prstGeom prst="rect">
                                <a:avLst/>
                              </a:prstGeom>
                              <a:solidFill>
                                <a:sysClr val="window" lastClr="FFFFFF"/>
                              </a:solidFill>
                              <a:ln w="6350">
                                <a:solidFill>
                                  <a:prstClr val="black"/>
                                </a:solidFill>
                              </a:ln>
                              <a:effectLst/>
                            </wps:spPr>
                            <wps:txbx>
                              <w:txbxContent>
                                <w:p w:rsidR="00BE40F8" w:rsidRPr="0073139B" w:rsidRDefault="00BE40F8" w:rsidP="00B233DE">
                                  <w:pPr>
                                    <w:ind w:firstLine="0"/>
                                    <w:jc w:val="center"/>
                                    <w:rPr>
                                      <w:rFonts w:ascii="Times New Roman" w:hAnsi="Times New Roman"/>
                                      <w:b/>
                                      <w:sz w:val="15"/>
                                      <w:szCs w:val="15"/>
                                    </w:rPr>
                                  </w:pPr>
                                  <w:r w:rsidRPr="0073139B">
                                    <w:rPr>
                                      <w:rFonts w:ascii="Times New Roman" w:hAnsi="Times New Roman"/>
                                      <w:b/>
                                      <w:sz w:val="15"/>
                                      <w:szCs w:val="15"/>
                                      <w:u w:val="single"/>
                                    </w:rPr>
                                    <w:t>Головний принцип діяльності</w:t>
                                  </w:r>
                                  <w:r w:rsidRPr="0073139B">
                                    <w:rPr>
                                      <w:rFonts w:ascii="Times New Roman" w:hAnsi="Times New Roman"/>
                                      <w:b/>
                                      <w:sz w:val="15"/>
                                      <w:szCs w:val="15"/>
                                    </w:rPr>
                                    <w:t xml:space="preserve"> – прибутковість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99" name="Прямая со стрелкой 1699"/>
                            <wps:cNvCnPr>
                              <a:cxnSpLocks noChangeShapeType="1"/>
                            </wps:cNvCnPr>
                            <wps:spPr bwMode="auto">
                              <a:xfrm flipH="1">
                                <a:off x="3268133" y="635000"/>
                                <a:ext cx="1232535" cy="63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671" name="Поле 1671"/>
                            <wps:cNvSpPr txBox="1">
                              <a:spLocks/>
                            </wps:cNvSpPr>
                            <wps:spPr>
                              <a:xfrm>
                                <a:off x="3793066" y="2226733"/>
                                <a:ext cx="617855" cy="1878330"/>
                              </a:xfrm>
                              <a:prstGeom prst="rect">
                                <a:avLst/>
                              </a:prstGeom>
                              <a:solidFill>
                                <a:sysClr val="window" lastClr="FFFFFF"/>
                              </a:solidFill>
                              <a:ln w="6350">
                                <a:solidFill>
                                  <a:prstClr val="black"/>
                                </a:solidFill>
                              </a:ln>
                              <a:effectLst/>
                            </wps:spPr>
                            <wps:txbx>
                              <w:txbxContent>
                                <w:p w:rsidR="00BE40F8" w:rsidRDefault="00BE40F8" w:rsidP="00B233DE">
                                  <w:pPr>
                                    <w:spacing w:line="216" w:lineRule="auto"/>
                                    <w:ind w:firstLine="0"/>
                                    <w:jc w:val="center"/>
                                    <w:rPr>
                                      <w:rFonts w:ascii="Times New Roman" w:hAnsi="Times New Roman"/>
                                      <w:sz w:val="16"/>
                                      <w:szCs w:val="16"/>
                                    </w:rPr>
                                  </w:pPr>
                                  <w:r w:rsidRPr="008F5E7E">
                                    <w:rPr>
                                      <w:rFonts w:ascii="Times New Roman" w:hAnsi="Times New Roman"/>
                                      <w:sz w:val="16"/>
                                      <w:szCs w:val="16"/>
                                    </w:rPr>
                                    <w:t xml:space="preserve">Кошти від відчуження комунально-го майна </w:t>
                                  </w:r>
                                </w:p>
                                <w:p w:rsidR="00BE40F8" w:rsidRPr="00EF4283" w:rsidRDefault="00BE40F8" w:rsidP="00B233DE">
                                  <w:pPr>
                                    <w:spacing w:line="216" w:lineRule="auto"/>
                                    <w:ind w:firstLine="0"/>
                                    <w:jc w:val="center"/>
                                    <w:rPr>
                                      <w:rFonts w:ascii="Times New Roman" w:hAnsi="Times New Roman"/>
                                    </w:rPr>
                                  </w:pPr>
                                  <w:r w:rsidRPr="008F5E7E">
                                    <w:rPr>
                                      <w:rFonts w:ascii="Times New Roman" w:hAnsi="Times New Roman"/>
                                      <w:sz w:val="16"/>
                                      <w:szCs w:val="16"/>
                                    </w:rPr>
                                    <w:t>та від про</w:t>
                                  </w:r>
                                  <w:r>
                                    <w:rPr>
                                      <w:rFonts w:ascii="Times New Roman" w:hAnsi="Times New Roman"/>
                                      <w:sz w:val="16"/>
                                      <w:szCs w:val="16"/>
                                    </w:rPr>
                                    <w:t>-</w:t>
                                  </w:r>
                                  <w:r w:rsidRPr="008F5E7E">
                                    <w:rPr>
                                      <w:rFonts w:ascii="Times New Roman" w:hAnsi="Times New Roman"/>
                                      <w:sz w:val="16"/>
                                      <w:szCs w:val="16"/>
                                    </w:rPr>
                                    <w:t>дажу зе</w:t>
                                  </w:r>
                                  <w:r>
                                    <w:rPr>
                                      <w:rFonts w:ascii="Times New Roman" w:hAnsi="Times New Roman"/>
                                      <w:sz w:val="16"/>
                                      <w:szCs w:val="16"/>
                                    </w:rPr>
                                    <w:t>-</w:t>
                                  </w:r>
                                  <w:r w:rsidRPr="008F5E7E">
                                    <w:rPr>
                                      <w:rFonts w:ascii="Times New Roman" w:hAnsi="Times New Roman"/>
                                      <w:sz w:val="16"/>
                                      <w:szCs w:val="16"/>
                                    </w:rPr>
                                    <w:t>мельних ділянок несільськ</w:t>
                                  </w:r>
                                  <w:r w:rsidRPr="008F5E7E">
                                    <w:rPr>
                                      <w:rFonts w:ascii="Times New Roman" w:hAnsi="Times New Roman"/>
                                      <w:spacing w:val="-20"/>
                                      <w:sz w:val="16"/>
                                      <w:szCs w:val="16"/>
                                    </w:rPr>
                                    <w:t>о</w:t>
                                  </w:r>
                                  <w:r>
                                    <w:rPr>
                                      <w:rFonts w:ascii="Times New Roman" w:hAnsi="Times New Roman"/>
                                      <w:spacing w:val="-20"/>
                                      <w:sz w:val="16"/>
                                      <w:szCs w:val="16"/>
                                    </w:rPr>
                                    <w:t>-</w:t>
                                  </w:r>
                                  <w:r w:rsidRPr="008F5E7E">
                                    <w:rPr>
                                      <w:rFonts w:ascii="Times New Roman" w:hAnsi="Times New Roman"/>
                                      <w:spacing w:val="-20"/>
                                      <w:sz w:val="16"/>
                                      <w:szCs w:val="16"/>
                                    </w:rPr>
                                    <w:t>го</w:t>
                                  </w:r>
                                  <w:r w:rsidRPr="008F5E7E">
                                    <w:rPr>
                                      <w:rFonts w:ascii="Times New Roman" w:hAnsi="Times New Roman"/>
                                      <w:sz w:val="16"/>
                                      <w:szCs w:val="16"/>
                                    </w:rPr>
                                    <w:t>сподарсь</w:t>
                                  </w:r>
                                  <w:r>
                                    <w:rPr>
                                      <w:rFonts w:ascii="Times New Roman" w:hAnsi="Times New Roman"/>
                                      <w:sz w:val="16"/>
                                      <w:szCs w:val="16"/>
                                    </w:rPr>
                                    <w:t>-</w:t>
                                  </w:r>
                                  <w:r w:rsidRPr="008F5E7E">
                                    <w:rPr>
                                      <w:rFonts w:ascii="Times New Roman" w:hAnsi="Times New Roman"/>
                                      <w:sz w:val="16"/>
                                      <w:szCs w:val="16"/>
                                    </w:rPr>
                                    <w:t>кого при</w:t>
                                  </w:r>
                                  <w:r>
                                    <w:rPr>
                                      <w:rFonts w:ascii="Times New Roman" w:hAnsi="Times New Roman"/>
                                      <w:sz w:val="16"/>
                                      <w:szCs w:val="16"/>
                                    </w:rPr>
                                    <w:t>-</w:t>
                                  </w:r>
                                  <w:r w:rsidRPr="008F5E7E">
                                    <w:rPr>
                                      <w:rFonts w:ascii="Times New Roman" w:hAnsi="Times New Roman"/>
                                      <w:sz w:val="16"/>
                                      <w:szCs w:val="16"/>
                                    </w:rPr>
                                    <w:t>значення</w:t>
                                  </w:r>
                                  <w:r>
                                    <w:rPr>
                                      <w:rFonts w:ascii="Times New Roman" w:hAnsi="Times New Roman"/>
                                    </w:rPr>
                                    <w:t xml:space="preserve"> </w:t>
                                  </w:r>
                                </w:p>
                                <w:p w:rsidR="00BE40F8" w:rsidRPr="00614E42" w:rsidRDefault="00BE40F8" w:rsidP="00B233DE">
                                  <w:pPr>
                                    <w:spacing w:line="206" w:lineRule="auto"/>
                                    <w:jc w:val="center"/>
                                    <w:rPr>
                                      <w:rFonts w:ascii="Times New Roman" w:hAnsi="Times New Roman"/>
                                      <w:sz w:val="16"/>
                                      <w:szCs w:val="1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676" name="Прямая со стрелкой 1676"/>
                            <wps:cNvCnPr>
                              <a:cxnSpLocks/>
                            </wps:cNvCnPr>
                            <wps:spPr>
                              <a:xfrm>
                                <a:off x="4140200" y="2015066"/>
                                <a:ext cx="0" cy="215265"/>
                              </a:xfrm>
                              <a:prstGeom prst="straightConnector1">
                                <a:avLst/>
                              </a:prstGeom>
                              <a:noFill/>
                              <a:ln w="12700" cap="flat" cmpd="sng" algn="ctr">
                                <a:solidFill>
                                  <a:sysClr val="windowText" lastClr="000000"/>
                                </a:solidFill>
                                <a:prstDash val="solid"/>
                                <a:tailEnd type="arrow"/>
                              </a:ln>
                              <a:effectLst/>
                            </wps:spPr>
                            <wps:bodyPr/>
                          </wps:wsp>
                          <wps:wsp>
                            <wps:cNvPr id="1700" name="Прямая со стрелкой 1700"/>
                            <wps:cNvCnPr>
                              <a:cxnSpLocks noChangeShapeType="1"/>
                            </wps:cNvCnPr>
                            <wps:spPr bwMode="auto">
                              <a:xfrm>
                                <a:off x="4495800" y="643466"/>
                                <a:ext cx="0" cy="39408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62" name="Прямая со стрелкой 1662"/>
                            <wps:cNvCnPr>
                              <a:cxnSpLocks noChangeShapeType="1"/>
                            </wps:cNvCnPr>
                            <wps:spPr bwMode="auto">
                              <a:xfrm>
                                <a:off x="3412066" y="3666066"/>
                                <a:ext cx="0" cy="5397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63" name="Прямая со стрелкой 1663"/>
                            <wps:cNvCnPr>
                              <a:cxnSpLocks noChangeShapeType="1"/>
                            </wps:cNvCnPr>
                            <wps:spPr bwMode="auto">
                              <a:xfrm>
                                <a:off x="3412066" y="3666066"/>
                                <a:ext cx="0" cy="2311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58" name="Прямая со стрелкой 1658"/>
                            <wps:cNvCnPr>
                              <a:cxnSpLocks noChangeShapeType="1"/>
                            </wps:cNvCnPr>
                            <wps:spPr bwMode="auto">
                              <a:xfrm>
                                <a:off x="4072466" y="4097866"/>
                                <a:ext cx="635" cy="990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64" name="Прямая со стрелкой 1664"/>
                            <wps:cNvCnPr>
                              <a:cxnSpLocks noChangeShapeType="1"/>
                            </wps:cNvCnPr>
                            <wps:spPr bwMode="auto">
                              <a:xfrm>
                                <a:off x="2573866" y="3649133"/>
                                <a:ext cx="0" cy="5486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s:wsp>
                        <wps:cNvPr id="1659" name="Прямая со стрелкой 1659"/>
                        <wps:cNvCnPr>
                          <a:cxnSpLocks noChangeShapeType="1"/>
                        </wps:cNvCnPr>
                        <wps:spPr bwMode="auto">
                          <a:xfrm flipV="1">
                            <a:off x="2235200" y="4199466"/>
                            <a:ext cx="1304795" cy="271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V relativeFrom="margin">
                  <wp14:pctHeight>0</wp14:pctHeight>
                </wp14:sizeRelV>
              </wp:anchor>
            </w:drawing>
          </mc:Choice>
          <mc:Fallback>
            <w:pict>
              <v:group w14:anchorId="6F5D7200" id="Группа 1722" o:spid="_x0000_s2326" style="position:absolute;left:0;text-align:left;margin-left:-.05pt;margin-top:1.95pt;width:308pt;height:439.35pt;z-index:251719680;mso-position-horizontal-relative:text;mso-position-vertical-relative:text;mso-height-relative:margin" coordsize="39116,518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">
                <v:group id="Группа 1721" o:spid="_x0000_s2327" style="position:absolute;width:39116;height:51824" coordsize="45006,5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">
                  <v:line id="Прямая соединительная линия 1697" o:spid="_x0000_s2328" style="position:absolute;flip:y;visibility:visible;mso-wrap-style:square" from="2794,6350" to="2794,35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" strokecolor="windowText" strokeweight="1pt">
                    <o:lock v:ext="edit" shapetype="f"/>
                  </v:line>
                  <v:group id="Группа 1720" o:spid="_x0000_s2329" style="position:absolute;width:45006;height:51824" coordsize="45006,5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">
                    <v:rect id="Прямоугольник 1694" o:spid="_x0000_s2330" style="position:absolute;top:13038;width:20358;height:387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" fillcolor="#f2f2f2" strokecolor="windowText" strokeweight="1.25pt">
                      <v:path arrowok="t"/>
                    </v:rect>
                    <v:rect id="Прямоугольник 1695" o:spid="_x0000_s2331" style="position:absolute;left:22182;top:13038;width:22809;height:387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" fillcolor="#f2f2f2" strokecolor="windowText" strokeweight="1.25pt">
                      <v:path arrowok="t"/>
                    </v:rect>
                    <v:shape id="Поле 1704" o:spid="_x0000_s2332" type="#_x0000_t202" style="position:absolute;left:17272;width:15462;height:10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" fillcolor="#d9d9d9" strokeweight=".5pt">
                      <v:path arrowok="t"/>
                      <v:textbox>
                        <w:txbxContent>
                          <w:p w:rsidR="00BE40F8" w:rsidRPr="00614E42" w:rsidRDefault="00BE40F8" w:rsidP="00B233DE">
                            <w:pPr>
                              <w:ind w:firstLine="0"/>
                              <w:jc w:val="center"/>
                              <w:rPr>
                                <w:rFonts w:ascii="Times New Roman" w:hAnsi="Times New Roman"/>
                                <w:sz w:val="16"/>
                                <w:szCs w:val="16"/>
                              </w:rPr>
                            </w:pPr>
                            <w:r w:rsidRPr="00614E42">
                              <w:rPr>
                                <w:rFonts w:ascii="Times New Roman" w:hAnsi="Times New Roman"/>
                                <w:sz w:val="16"/>
                                <w:szCs w:val="16"/>
                              </w:rPr>
                              <w:t xml:space="preserve">Надходження від </w:t>
                            </w:r>
                          </w:p>
                          <w:p w:rsidR="00BE40F8" w:rsidRPr="00614E42" w:rsidRDefault="00BE40F8" w:rsidP="00B233DE">
                            <w:pPr>
                              <w:ind w:firstLine="0"/>
                              <w:jc w:val="center"/>
                              <w:rPr>
                                <w:rFonts w:ascii="Times New Roman" w:hAnsi="Times New Roman"/>
                                <w:b/>
                                <w:sz w:val="16"/>
                                <w:szCs w:val="16"/>
                              </w:rPr>
                            </w:pPr>
                            <w:r w:rsidRPr="00614E42">
                              <w:rPr>
                                <w:rFonts w:ascii="Times New Roman" w:hAnsi="Times New Roman"/>
                                <w:b/>
                                <w:sz w:val="16"/>
                                <w:szCs w:val="16"/>
                              </w:rPr>
                              <w:t>комунальної власності</w:t>
                            </w:r>
                          </w:p>
                          <w:p w:rsidR="00BE40F8" w:rsidRPr="00614E42" w:rsidRDefault="00BE40F8" w:rsidP="00B233DE">
                            <w:pPr>
                              <w:ind w:firstLine="0"/>
                              <w:jc w:val="center"/>
                              <w:rPr>
                                <w:rFonts w:ascii="Times New Roman" w:hAnsi="Times New Roman"/>
                                <w:b/>
                                <w:sz w:val="16"/>
                                <w:szCs w:val="16"/>
                                <w:u w:val="single"/>
                              </w:rPr>
                            </w:pPr>
                            <w:r w:rsidRPr="00614E42">
                              <w:rPr>
                                <w:rFonts w:ascii="Times New Roman" w:hAnsi="Times New Roman"/>
                                <w:sz w:val="16"/>
                                <w:szCs w:val="16"/>
                              </w:rPr>
                              <w:t xml:space="preserve"> до системи фінансування </w:t>
                            </w:r>
                            <w:r w:rsidRPr="00614E42">
                              <w:rPr>
                                <w:rFonts w:ascii="Times New Roman" w:hAnsi="Times New Roman"/>
                                <w:b/>
                                <w:sz w:val="16"/>
                                <w:szCs w:val="16"/>
                                <w:u w:val="single"/>
                              </w:rPr>
                              <w:t>соціальної регіональної політики</w:t>
                            </w:r>
                          </w:p>
                        </w:txbxContent>
                      </v:textbox>
                    </v:shape>
                    <v:line id="Прямая соединительная линия 1696" o:spid="_x0000_s2333" style="position:absolute;visibility:visible;mso-wrap-style:square" from="24214,10244" to="24214,12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" strokecolor="windowText" strokeweight="1pt">
                      <o:lock v:ext="edit" shapetype="f"/>
                    </v:line>
                    <v:line id="Прямая соединительная линия 1692" o:spid="_x0000_s2334" style="position:absolute;visibility:visible;mso-wrap-style:square" from="11514,12107" to="32710,121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" strokecolor="windowText" strokeweight="1pt">
                      <o:lock v:ext="edit" shapetype="f"/>
                    </v:line>
                    <v:shape id="Прямая со стрелкой 1690" o:spid="_x0000_s2335" type="#_x0000_t32" style="position:absolute;left:11514;top:12022;width:0;height:21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" strokecolor="windowText" strokeweight="1pt">
                      <v:stroke endarrow="open"/>
                      <o:lock v:ext="edit" shapetype="f"/>
                    </v:shape>
                    <v:shape id="Прямая со стрелкой 1691" o:spid="_x0000_s2336" type="#_x0000_t32" style="position:absolute;left:32681;top:12107;width:0;height:21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" strokecolor="windowText" strokeweight="1pt">
                      <v:stroke endarrow="open"/>
                      <o:lock v:ext="edit" shapetype="f"/>
                    </v:shape>
                    <v:shape id="Поле 1693" o:spid="_x0000_s2337" type="#_x0000_t202" style="position:absolute;left:26670;top:14224;width:15170;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" fillcolor="#959595" strokeweight=".5pt">
                      <v:fill rotate="t" colors="0 #959595;.5 #d6d6d6;1 white" focus="100%" type="gradient"/>
                      <v:path arrowok="t"/>
                      <v:textbox>
                        <w:txbxContent>
                          <w:p w:rsidR="00BE40F8" w:rsidRPr="00614E42" w:rsidRDefault="00BE40F8" w:rsidP="00B233DE">
                            <w:pPr>
                              <w:ind w:firstLine="0"/>
                              <w:jc w:val="center"/>
                              <w:rPr>
                                <w:rFonts w:ascii="Times New Roman" w:hAnsi="Times New Roman"/>
                                <w:caps/>
                                <w:sz w:val="16"/>
                                <w:szCs w:val="16"/>
                              </w:rPr>
                            </w:pPr>
                            <w:r w:rsidRPr="00614E42">
                              <w:rPr>
                                <w:rFonts w:ascii="Times New Roman" w:hAnsi="Times New Roman"/>
                                <w:caps/>
                                <w:sz w:val="16"/>
                                <w:szCs w:val="16"/>
                              </w:rPr>
                              <w:t>Комерційні об’єкти</w:t>
                            </w:r>
                          </w:p>
                        </w:txbxContent>
                      </v:textbox>
                    </v:shape>
                    <v:group id="Группа 1678" o:spid="_x0000_s2338" style="position:absolute;left:3979;top:14224;width:13805;height:18802" coordsize="18546,18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">
                      <v:shape id="Поле 107" o:spid="_x0000_s2339" type="#_x0000_t202" style="position:absolute;width:18546;height:3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" fillcolor="#959595" strokeweight=".5pt">
                        <v:fill rotate="t" colors="0 #959595;.5 #d6d6d6;1 white" focus="100%" type="gradient"/>
                        <v:textbox inset="0,0,0,0">
                          <w:txbxContent>
                            <w:p w:rsidR="00BE40F8" w:rsidRPr="00614E42" w:rsidRDefault="00BE40F8" w:rsidP="00B233DE">
                              <w:pPr>
                                <w:ind w:firstLine="0"/>
                                <w:jc w:val="center"/>
                                <w:rPr>
                                  <w:rFonts w:ascii="Times New Roman" w:hAnsi="Times New Roman"/>
                                  <w:caps/>
                                  <w:sz w:val="16"/>
                                  <w:szCs w:val="16"/>
                                </w:rPr>
                              </w:pPr>
                              <w:r w:rsidRPr="00614E42">
                                <w:rPr>
                                  <w:rFonts w:ascii="Times New Roman" w:hAnsi="Times New Roman"/>
                                  <w:caps/>
                                  <w:sz w:val="16"/>
                                  <w:szCs w:val="16"/>
                                </w:rPr>
                                <w:t>Соціальні об’єкти</w:t>
                              </w:r>
                            </w:p>
                          </w:txbxContent>
                        </v:textbox>
                      </v:shape>
                      <v:line id="Прямая соединительная линия 108" o:spid="_x0000_s2340" style="position:absolute;visibility:visible;mso-wrap-style:square" from="9402,10869" to="9402,13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" strokeweight="1pt"/>
                      <v:line id="Прямая соединительная линия 109" o:spid="_x0000_s2341" style="position:absolute;flip:y;visibility:visible;mso-wrap-style:square" from="3191,13025" to="15696,13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" strokeweight="1pt"/>
                      <v:shape id="Прямая со стрелкой 110" o:spid="_x0000_s2342" type="#_x0000_t32" style="position:absolute;left:15700;top:13025;width:0;height:21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" strokeweight="1pt">
                        <v:stroke endarrow="open"/>
                      </v:shape>
                      <v:shape id="Прямая со стрелкой 111" o:spid="_x0000_s2343" type="#_x0000_t32" style="position:absolute;left:9402;top:13025;width:0;height:21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" strokeweight="1pt">
                        <v:stroke endarrow="open"/>
                      </v:shape>
                      <v:shape id="Прямая со стрелкой 112" o:spid="_x0000_s2344" type="#_x0000_t32" style="position:absolute;left:3191;top:13025;width:0;height:21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" strokeweight="1pt">
                        <v:stroke endarrow="open"/>
                      </v:shape>
                      <v:shape id="Поле 113" o:spid="_x0000_s2345" type="#_x0000_t202" style="position:absolute;top:5607;width:18542;height:5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" strokeweight=".5pt">
                        <v:textbox>
                          <w:txbxContent>
                            <w:p w:rsidR="00BE40F8" w:rsidRPr="00614E42" w:rsidRDefault="00BE40F8" w:rsidP="00B233DE">
                              <w:pPr>
                                <w:ind w:firstLine="0"/>
                                <w:jc w:val="center"/>
                                <w:rPr>
                                  <w:rFonts w:ascii="Times New Roman" w:hAnsi="Times New Roman"/>
                                  <w:sz w:val="16"/>
                                  <w:szCs w:val="16"/>
                                </w:rPr>
                              </w:pPr>
                              <w:r w:rsidRPr="00614E42">
                                <w:rPr>
                                  <w:rFonts w:ascii="Times New Roman" w:hAnsi="Times New Roman"/>
                                  <w:sz w:val="16"/>
                                  <w:szCs w:val="16"/>
                                </w:rPr>
                                <w:t>Фінансовий результат діяльності</w:t>
                              </w:r>
                            </w:p>
                          </w:txbxContent>
                        </v:textbox>
                      </v:shape>
                      <v:shape id="Прямая со стрелкой 114" o:spid="_x0000_s2346" type="#_x0000_t32" style="position:absolute;left:9402;top:3450;width:0;height:21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" strokeweight="1pt">
                        <v:stroke endarrow="open"/>
                      </v:shape>
                      <v:shape id="Поле 115" o:spid="_x0000_s2347" type="#_x0000_t202" style="position:absolute;left:776;top:15355;width:4483;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" strokeweight=".5pt">
                        <v:textbox>
                          <w:txbxContent>
                            <w:p w:rsidR="00BE40F8" w:rsidRPr="00614E42" w:rsidRDefault="00BE40F8" w:rsidP="00B233DE">
                              <w:pPr>
                                <w:jc w:val="center"/>
                                <w:rPr>
                                  <w:rFonts w:ascii="Times New Roman" w:hAnsi="Times New Roman"/>
                                  <w:b/>
                                  <w:sz w:val="16"/>
                                  <w:szCs w:val="16"/>
                                </w:rPr>
                              </w:pPr>
                              <w:r w:rsidRPr="00614E42">
                                <w:rPr>
                                  <w:rFonts w:ascii="Times New Roman" w:hAnsi="Times New Roman"/>
                                  <w:b/>
                                  <w:sz w:val="16"/>
                                  <w:szCs w:val="16"/>
                                </w:rPr>
                                <w:t>«+»</w:t>
                              </w:r>
                            </w:p>
                          </w:txbxContent>
                        </v:textbox>
                      </v:shape>
                      <v:shape id="Поле 116" o:spid="_x0000_s2348" type="#_x0000_t202" style="position:absolute;left:7332;top:15355;width:4483;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" strokeweight=".5pt">
                        <v:textbox>
                          <w:txbxContent>
                            <w:p w:rsidR="00BE40F8" w:rsidRPr="00614E42" w:rsidRDefault="00BE40F8" w:rsidP="00B233DE">
                              <w:pPr>
                                <w:jc w:val="center"/>
                                <w:rPr>
                                  <w:rFonts w:ascii="Times New Roman" w:hAnsi="Times New Roman"/>
                                  <w:b/>
                                  <w:sz w:val="16"/>
                                  <w:szCs w:val="16"/>
                                </w:rPr>
                              </w:pPr>
                              <w:r w:rsidRPr="00614E42">
                                <w:rPr>
                                  <w:rFonts w:ascii="Times New Roman" w:hAnsi="Times New Roman"/>
                                  <w:b/>
                                  <w:sz w:val="16"/>
                                  <w:szCs w:val="16"/>
                                </w:rPr>
                                <w:t>«0»</w:t>
                              </w:r>
                            </w:p>
                          </w:txbxContent>
                        </v:textbox>
                      </v:shape>
                      <v:shape id="Поле 117" o:spid="_x0000_s2349" type="#_x0000_t202" style="position:absolute;left:13802;top:15355;width:4051;height:3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" strokeweight=".5pt">
                        <v:textbox>
                          <w:txbxContent>
                            <w:p w:rsidR="00BE40F8" w:rsidRPr="00614E42" w:rsidRDefault="00BE40F8" w:rsidP="00B233DE">
                              <w:pPr>
                                <w:jc w:val="center"/>
                                <w:rPr>
                                  <w:rFonts w:ascii="Times New Roman" w:hAnsi="Times New Roman"/>
                                  <w:b/>
                                  <w:sz w:val="16"/>
                                  <w:szCs w:val="16"/>
                                </w:rPr>
                              </w:pPr>
                              <w:r w:rsidRPr="00614E42">
                                <w:rPr>
                                  <w:rFonts w:ascii="Times New Roman" w:hAnsi="Times New Roman"/>
                                  <w:b/>
                                  <w:sz w:val="16"/>
                                  <w:szCs w:val="16"/>
                                </w:rPr>
                                <w:t>«-»</w:t>
                              </w:r>
                            </w:p>
                          </w:txbxContent>
                        </v:textbox>
                      </v:shape>
                    </v:group>
                    <v:shape id="Прямая со стрелкой 1673" o:spid="_x0000_s2350" type="#_x0000_t32" style="position:absolute;left:26585;top:20150;width:0;height:21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" strokecolor="windowText" strokeweight="1pt">
                      <v:stroke endarrow="open"/>
                      <o:lock v:ext="edit" shapetype="f"/>
                    </v:shape>
                    <v:line id="Прямая соединительная линия 1677" o:spid="_x0000_s2351" style="position:absolute;visibility:visible;mso-wrap-style:square" from="34120,17695" to="34120,19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" strokeweight="1pt"/>
                    <v:line id="Прямая соединительная линия 1674" o:spid="_x0000_s2352" style="position:absolute;visibility:visible;mso-wrap-style:square" from="26670,19812" to="41878,19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" strokecolor="windowText" strokeweight="1pt">
                      <o:lock v:ext="edit" shapetype="f"/>
                    </v:line>
                    <v:shape id="Прямая со стрелкой 1675" o:spid="_x0000_s2353" type="#_x0000_t32" style="position:absolute;left:33274;top:20150;width:0;height:21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" strokecolor="windowText" strokeweight="1pt">
                      <v:stroke endarrow="open"/>
                      <o:lock v:ext="edit" shapetype="f"/>
                    </v:shape>
                    <v:shape id="Поле 1669" o:spid="_x0000_s2354" type="#_x0000_t202" style="position:absolute;left:23368;top:22267;width:6007;height:14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" fillcolor="window" strokeweight=".5pt">
                      <v:path arrowok="t"/>
                      <v:textbox inset="0,0,0,0">
                        <w:txbxContent>
                          <w:p w:rsidR="00BE40F8" w:rsidRPr="00614E42" w:rsidRDefault="00BE40F8" w:rsidP="00B233DE">
                            <w:pPr>
                              <w:spacing w:line="216" w:lineRule="auto"/>
                              <w:ind w:firstLine="0"/>
                              <w:jc w:val="center"/>
                              <w:rPr>
                                <w:rFonts w:ascii="Times New Roman" w:hAnsi="Times New Roman"/>
                                <w:sz w:val="16"/>
                                <w:szCs w:val="16"/>
                              </w:rPr>
                            </w:pPr>
                            <w:r w:rsidRPr="00614E42">
                              <w:rPr>
                                <w:rFonts w:ascii="Times New Roman" w:hAnsi="Times New Roman"/>
                                <w:sz w:val="16"/>
                                <w:szCs w:val="16"/>
                              </w:rPr>
                              <w:t>Частина чистого прибутку (доходу) комуналь</w:t>
                            </w:r>
                            <w:r>
                              <w:rPr>
                                <w:rFonts w:ascii="Times New Roman" w:hAnsi="Times New Roman"/>
                                <w:sz w:val="16"/>
                                <w:szCs w:val="16"/>
                              </w:rPr>
                              <w:t>-</w:t>
                            </w:r>
                            <w:r w:rsidRPr="00614E42">
                              <w:rPr>
                                <w:rFonts w:ascii="Times New Roman" w:hAnsi="Times New Roman"/>
                                <w:sz w:val="16"/>
                                <w:szCs w:val="16"/>
                              </w:rPr>
                              <w:t>них під</w:t>
                            </w:r>
                            <w:r>
                              <w:rPr>
                                <w:rFonts w:ascii="Times New Roman" w:hAnsi="Times New Roman"/>
                                <w:sz w:val="16"/>
                                <w:szCs w:val="16"/>
                              </w:rPr>
                              <w:t>-</w:t>
                            </w:r>
                            <w:r w:rsidRPr="00614E42">
                              <w:rPr>
                                <w:rFonts w:ascii="Times New Roman" w:hAnsi="Times New Roman"/>
                                <w:sz w:val="16"/>
                                <w:szCs w:val="16"/>
                              </w:rPr>
                              <w:t>приємств, яка вилу</w:t>
                            </w:r>
                            <w:r>
                              <w:rPr>
                                <w:rFonts w:ascii="Times New Roman" w:hAnsi="Times New Roman"/>
                                <w:sz w:val="16"/>
                                <w:szCs w:val="16"/>
                              </w:rPr>
                              <w:t>-</w:t>
                            </w:r>
                            <w:r w:rsidRPr="00614E42">
                              <w:rPr>
                                <w:rFonts w:ascii="Times New Roman" w:hAnsi="Times New Roman"/>
                                <w:sz w:val="16"/>
                                <w:szCs w:val="16"/>
                              </w:rPr>
                              <w:t>чається до бюджету</w:t>
                            </w:r>
                          </w:p>
                        </w:txbxContent>
                      </v:textbox>
                    </v:shape>
                    <v:shape id="Поле 1670" o:spid="_x0000_s2355" type="#_x0000_t202" style="position:absolute;left:30395;top:22267;width:6839;height:14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" fillcolor="window" strokeweight=".5pt">
                      <v:path arrowok="t"/>
                      <v:textbox inset="0,0,0,0">
                        <w:txbxContent>
                          <w:p w:rsidR="00BE40F8" w:rsidRPr="00614E42" w:rsidRDefault="00BE40F8" w:rsidP="00B233DE">
                            <w:pPr>
                              <w:spacing w:line="206" w:lineRule="auto"/>
                              <w:ind w:firstLine="0"/>
                              <w:jc w:val="center"/>
                              <w:rPr>
                                <w:rFonts w:ascii="Times New Roman" w:hAnsi="Times New Roman"/>
                                <w:sz w:val="16"/>
                                <w:szCs w:val="16"/>
                              </w:rPr>
                            </w:pPr>
                            <w:r w:rsidRPr="00614E42">
                              <w:rPr>
                                <w:rFonts w:ascii="Times New Roman" w:hAnsi="Times New Roman"/>
                                <w:sz w:val="16"/>
                                <w:szCs w:val="16"/>
                              </w:rPr>
                              <w:t>Дивіденди (дохід), нараховані на акції господарсь-ких това</w:t>
                            </w:r>
                            <w:r>
                              <w:rPr>
                                <w:rFonts w:ascii="Times New Roman" w:hAnsi="Times New Roman"/>
                                <w:sz w:val="16"/>
                                <w:szCs w:val="16"/>
                              </w:rPr>
                              <w:t>-</w:t>
                            </w:r>
                            <w:r w:rsidRPr="00614E42">
                              <w:rPr>
                                <w:rFonts w:ascii="Times New Roman" w:hAnsi="Times New Roman"/>
                                <w:sz w:val="16"/>
                                <w:szCs w:val="16"/>
                              </w:rPr>
                              <w:t>риств, у ста</w:t>
                            </w:r>
                            <w:r>
                              <w:rPr>
                                <w:rFonts w:ascii="Times New Roman" w:hAnsi="Times New Roman"/>
                                <w:sz w:val="16"/>
                                <w:szCs w:val="16"/>
                              </w:rPr>
                              <w:t>-</w:t>
                            </w:r>
                            <w:r w:rsidRPr="00614E42">
                              <w:rPr>
                                <w:rFonts w:ascii="Times New Roman" w:hAnsi="Times New Roman"/>
                                <w:sz w:val="16"/>
                                <w:szCs w:val="16"/>
                              </w:rPr>
                              <w:t>тутних капі</w:t>
                            </w:r>
                            <w:r>
                              <w:rPr>
                                <w:rFonts w:ascii="Times New Roman" w:hAnsi="Times New Roman"/>
                                <w:sz w:val="16"/>
                                <w:szCs w:val="16"/>
                              </w:rPr>
                              <w:t>-</w:t>
                            </w:r>
                            <w:r w:rsidRPr="00614E42">
                              <w:rPr>
                                <w:rFonts w:ascii="Times New Roman" w:hAnsi="Times New Roman"/>
                                <w:sz w:val="16"/>
                                <w:szCs w:val="16"/>
                              </w:rPr>
                              <w:t>талах яких є комунальна власність</w:t>
                            </w:r>
                          </w:p>
                        </w:txbxContent>
                      </v:textbox>
                    </v:shape>
                    <v:shape id="Соединительная линия уступом 1698" o:spid="_x0000_s2356" type="#_x0000_t34" style="position:absolute;left:2794;top:6350;width:14338;height:5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" strokeweight="1pt">
                      <v:stroke endarrow="open"/>
                    </v:shape>
                    <v:line id="Прямая соединительная линия 1703" o:spid="_x0000_s2357" style="position:absolute;flip:x y;visibility:visible;mso-wrap-style:square" from="1439,4402" to="17225,4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" strokecolor="windowText" strokeweight="1pt">
                      <v:stroke dashstyle="dash"/>
                      <o:lock v:ext="edit" shapetype="f"/>
                    </v:line>
                    <v:line id="Прямая соединительная линия 1701" o:spid="_x0000_s2358" style="position:absolute;visibility:visible;mso-wrap-style:square" from="1439,4402" to="1439,37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" strokecolor="windowText" strokeweight="1pt">
                      <v:stroke dashstyle="dash"/>
                      <o:lock v:ext="edit" shapetype="f"/>
                    </v:line>
                    <v:shape id="Прямая со стрелкой 1667" o:spid="_x0000_s2359" type="#_x0000_t32" style="position:absolute;left:15578;top:33104;width:7;height:440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" strokecolor="windowText" strokeweight="1pt">
                      <v:stroke dashstyle="dash" endarrow="open"/>
                      <o:lock v:ext="edit" shapetype="f"/>
                    </v:shape>
                    <v:shape id="Поле 1661" o:spid="_x0000_s2360" type="#_x0000_t202" style="position:absolute;left:1439;top:37930;width:18307;height:60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" fillcolor="window" strokeweight=".5pt">
                      <v:stroke dashstyle="dash"/>
                      <v:path arrowok="t"/>
                      <v:textbox>
                        <w:txbxContent>
                          <w:p w:rsidR="00BE40F8" w:rsidRPr="00614E42" w:rsidRDefault="00BE40F8" w:rsidP="00B233DE">
                            <w:pPr>
                              <w:spacing w:line="216" w:lineRule="auto"/>
                              <w:ind w:firstLine="0"/>
                              <w:jc w:val="center"/>
                              <w:rPr>
                                <w:rFonts w:ascii="Times New Roman" w:hAnsi="Times New Roman"/>
                                <w:i/>
                                <w:sz w:val="16"/>
                                <w:szCs w:val="16"/>
                              </w:rPr>
                            </w:pPr>
                            <w:r w:rsidRPr="00614E42">
                              <w:rPr>
                                <w:rFonts w:ascii="Times New Roman" w:hAnsi="Times New Roman"/>
                                <w:i/>
                                <w:sz w:val="16"/>
                                <w:szCs w:val="16"/>
                              </w:rPr>
                              <w:t>Часткове покриття збиткової діяльності соціальних об’єктів за рахунок прибутку комерційних об’єктів комунальної власності</w:t>
                            </w:r>
                          </w:p>
                        </w:txbxContent>
                      </v:textbox>
                    </v:shape>
                    <v:shape id="Поле 1655" o:spid="_x0000_s2361" type="#_x0000_t202" style="position:absolute;left:1439;top:44615;width:18307;height:65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" fillcolor="window" strokeweight=".5pt">
                      <v:path arrowok="t"/>
                      <v:textbox>
                        <w:txbxContent>
                          <w:p w:rsidR="00BE40F8" w:rsidRPr="0073139B" w:rsidRDefault="00BE40F8" w:rsidP="00B233DE">
                            <w:pPr>
                              <w:ind w:firstLine="0"/>
                              <w:jc w:val="center"/>
                              <w:rPr>
                                <w:rFonts w:ascii="Times New Roman" w:hAnsi="Times New Roman"/>
                                <w:b/>
                                <w:sz w:val="15"/>
                                <w:szCs w:val="15"/>
                              </w:rPr>
                            </w:pPr>
                            <w:r w:rsidRPr="0073139B">
                              <w:rPr>
                                <w:rFonts w:ascii="Times New Roman" w:hAnsi="Times New Roman"/>
                                <w:b/>
                                <w:sz w:val="15"/>
                                <w:szCs w:val="15"/>
                                <w:u w:val="single"/>
                              </w:rPr>
                              <w:t>Головний принцип діяльності</w:t>
                            </w:r>
                            <w:r w:rsidRPr="0073139B">
                              <w:rPr>
                                <w:rFonts w:ascii="Times New Roman" w:hAnsi="Times New Roman"/>
                                <w:b/>
                                <w:sz w:val="15"/>
                                <w:szCs w:val="15"/>
                              </w:rPr>
                              <w:t xml:space="preserve"> – надання якісних соціальних послуг, доступних (у т.ч. фінансово) для різних прошарків населення регіону</w:t>
                            </w:r>
                            <w:r>
                              <w:rPr>
                                <w:rFonts w:ascii="Times New Roman" w:hAnsi="Times New Roman"/>
                                <w:b/>
                                <w:sz w:val="15"/>
                                <w:szCs w:val="15"/>
                              </w:rPr>
                              <w:t>)</w:t>
                            </w:r>
                          </w:p>
                        </w:txbxContent>
                      </v:textbox>
                    </v:shape>
                    <v:shape id="Поле 1656" o:spid="_x0000_s2362" type="#_x0000_t202" style="position:absolute;left:23368;top:44619;width:20040;height:59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" fillcolor="window" strokeweight=".5pt">
                      <v:path arrowok="t"/>
                      <v:textbox>
                        <w:txbxContent>
                          <w:p w:rsidR="00BE40F8" w:rsidRPr="0073139B" w:rsidRDefault="00BE40F8" w:rsidP="00B233DE">
                            <w:pPr>
                              <w:ind w:firstLine="0"/>
                              <w:jc w:val="center"/>
                              <w:rPr>
                                <w:rFonts w:ascii="Times New Roman" w:hAnsi="Times New Roman"/>
                                <w:b/>
                                <w:sz w:val="15"/>
                                <w:szCs w:val="15"/>
                              </w:rPr>
                            </w:pPr>
                            <w:r w:rsidRPr="0073139B">
                              <w:rPr>
                                <w:rFonts w:ascii="Times New Roman" w:hAnsi="Times New Roman"/>
                                <w:b/>
                                <w:sz w:val="15"/>
                                <w:szCs w:val="15"/>
                                <w:u w:val="single"/>
                              </w:rPr>
                              <w:t>Головний принцип діяльності</w:t>
                            </w:r>
                            <w:r w:rsidRPr="0073139B">
                              <w:rPr>
                                <w:rFonts w:ascii="Times New Roman" w:hAnsi="Times New Roman"/>
                                <w:b/>
                                <w:sz w:val="15"/>
                                <w:szCs w:val="15"/>
                              </w:rPr>
                              <w:t xml:space="preserve"> – прибутковість</w:t>
                            </w:r>
                          </w:p>
                        </w:txbxContent>
                      </v:textbox>
                    </v:shape>
                    <v:shape id="Прямая со стрелкой 1699" o:spid="_x0000_s2363" type="#_x0000_t32" style="position:absolute;left:32681;top:6350;width:12325;height: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">
                      <v:stroke endarrow="open"/>
                    </v:shape>
                    <v:shape id="Поле 1671" o:spid="_x0000_s2364" type="#_x0000_t202" style="position:absolute;left:37930;top:22267;width:6179;height:1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" fillcolor="window" strokeweight=".5pt">
                      <v:path arrowok="t"/>
                      <v:textbox inset="0,0,0,0">
                        <w:txbxContent>
                          <w:p w:rsidR="00BE40F8" w:rsidRDefault="00BE40F8" w:rsidP="00B233DE">
                            <w:pPr>
                              <w:spacing w:line="216" w:lineRule="auto"/>
                              <w:ind w:firstLine="0"/>
                              <w:jc w:val="center"/>
                              <w:rPr>
                                <w:rFonts w:ascii="Times New Roman" w:hAnsi="Times New Roman"/>
                                <w:sz w:val="16"/>
                                <w:szCs w:val="16"/>
                              </w:rPr>
                            </w:pPr>
                            <w:r w:rsidRPr="008F5E7E">
                              <w:rPr>
                                <w:rFonts w:ascii="Times New Roman" w:hAnsi="Times New Roman"/>
                                <w:sz w:val="16"/>
                                <w:szCs w:val="16"/>
                              </w:rPr>
                              <w:t xml:space="preserve">Кошти від відчуження комунально-го майна </w:t>
                            </w:r>
                          </w:p>
                          <w:p w:rsidR="00BE40F8" w:rsidRPr="00EF4283" w:rsidRDefault="00BE40F8" w:rsidP="00B233DE">
                            <w:pPr>
                              <w:spacing w:line="216" w:lineRule="auto"/>
                              <w:ind w:firstLine="0"/>
                              <w:jc w:val="center"/>
                              <w:rPr>
                                <w:rFonts w:ascii="Times New Roman" w:hAnsi="Times New Roman"/>
                              </w:rPr>
                            </w:pPr>
                            <w:r w:rsidRPr="008F5E7E">
                              <w:rPr>
                                <w:rFonts w:ascii="Times New Roman" w:hAnsi="Times New Roman"/>
                                <w:sz w:val="16"/>
                                <w:szCs w:val="16"/>
                              </w:rPr>
                              <w:t>та від про</w:t>
                            </w:r>
                            <w:r>
                              <w:rPr>
                                <w:rFonts w:ascii="Times New Roman" w:hAnsi="Times New Roman"/>
                                <w:sz w:val="16"/>
                                <w:szCs w:val="16"/>
                              </w:rPr>
                              <w:t>-</w:t>
                            </w:r>
                            <w:r w:rsidRPr="008F5E7E">
                              <w:rPr>
                                <w:rFonts w:ascii="Times New Roman" w:hAnsi="Times New Roman"/>
                                <w:sz w:val="16"/>
                                <w:szCs w:val="16"/>
                              </w:rPr>
                              <w:t>дажу зе</w:t>
                            </w:r>
                            <w:r>
                              <w:rPr>
                                <w:rFonts w:ascii="Times New Roman" w:hAnsi="Times New Roman"/>
                                <w:sz w:val="16"/>
                                <w:szCs w:val="16"/>
                              </w:rPr>
                              <w:t>-</w:t>
                            </w:r>
                            <w:r w:rsidRPr="008F5E7E">
                              <w:rPr>
                                <w:rFonts w:ascii="Times New Roman" w:hAnsi="Times New Roman"/>
                                <w:sz w:val="16"/>
                                <w:szCs w:val="16"/>
                              </w:rPr>
                              <w:t>мельних ділянок несільськ</w:t>
                            </w:r>
                            <w:r w:rsidRPr="008F5E7E">
                              <w:rPr>
                                <w:rFonts w:ascii="Times New Roman" w:hAnsi="Times New Roman"/>
                                <w:spacing w:val="-20"/>
                                <w:sz w:val="16"/>
                                <w:szCs w:val="16"/>
                              </w:rPr>
                              <w:t>о</w:t>
                            </w:r>
                            <w:r>
                              <w:rPr>
                                <w:rFonts w:ascii="Times New Roman" w:hAnsi="Times New Roman"/>
                                <w:spacing w:val="-20"/>
                                <w:sz w:val="16"/>
                                <w:szCs w:val="16"/>
                              </w:rPr>
                              <w:t>-</w:t>
                            </w:r>
                            <w:r w:rsidRPr="008F5E7E">
                              <w:rPr>
                                <w:rFonts w:ascii="Times New Roman" w:hAnsi="Times New Roman"/>
                                <w:spacing w:val="-20"/>
                                <w:sz w:val="16"/>
                                <w:szCs w:val="16"/>
                              </w:rPr>
                              <w:t>го</w:t>
                            </w:r>
                            <w:r w:rsidRPr="008F5E7E">
                              <w:rPr>
                                <w:rFonts w:ascii="Times New Roman" w:hAnsi="Times New Roman"/>
                                <w:sz w:val="16"/>
                                <w:szCs w:val="16"/>
                              </w:rPr>
                              <w:t>сподарсь</w:t>
                            </w:r>
                            <w:r>
                              <w:rPr>
                                <w:rFonts w:ascii="Times New Roman" w:hAnsi="Times New Roman"/>
                                <w:sz w:val="16"/>
                                <w:szCs w:val="16"/>
                              </w:rPr>
                              <w:t>-</w:t>
                            </w:r>
                            <w:r w:rsidRPr="008F5E7E">
                              <w:rPr>
                                <w:rFonts w:ascii="Times New Roman" w:hAnsi="Times New Roman"/>
                                <w:sz w:val="16"/>
                                <w:szCs w:val="16"/>
                              </w:rPr>
                              <w:t>кого при</w:t>
                            </w:r>
                            <w:r>
                              <w:rPr>
                                <w:rFonts w:ascii="Times New Roman" w:hAnsi="Times New Roman"/>
                                <w:sz w:val="16"/>
                                <w:szCs w:val="16"/>
                              </w:rPr>
                              <w:t>-</w:t>
                            </w:r>
                            <w:r w:rsidRPr="008F5E7E">
                              <w:rPr>
                                <w:rFonts w:ascii="Times New Roman" w:hAnsi="Times New Roman"/>
                                <w:sz w:val="16"/>
                                <w:szCs w:val="16"/>
                              </w:rPr>
                              <w:t>значення</w:t>
                            </w:r>
                            <w:r>
                              <w:rPr>
                                <w:rFonts w:ascii="Times New Roman" w:hAnsi="Times New Roman"/>
                              </w:rPr>
                              <w:t xml:space="preserve"> </w:t>
                            </w:r>
                          </w:p>
                          <w:p w:rsidR="00BE40F8" w:rsidRPr="00614E42" w:rsidRDefault="00BE40F8" w:rsidP="00B233DE">
                            <w:pPr>
                              <w:spacing w:line="206" w:lineRule="auto"/>
                              <w:jc w:val="center"/>
                              <w:rPr>
                                <w:rFonts w:ascii="Times New Roman" w:hAnsi="Times New Roman"/>
                                <w:sz w:val="16"/>
                                <w:szCs w:val="16"/>
                              </w:rPr>
                            </w:pPr>
                          </w:p>
                        </w:txbxContent>
                      </v:textbox>
                    </v:shape>
                    <v:shape id="Прямая со стрелкой 1676" o:spid="_x0000_s2365" type="#_x0000_t32" style="position:absolute;left:41402;top:20150;width:0;height:21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" strokecolor="windowText" strokeweight="1pt">
                      <v:stroke endarrow="open"/>
                      <o:lock v:ext="edit" shapetype="f"/>
                    </v:shape>
                    <v:shape id="Прямая со стрелкой 1700" o:spid="_x0000_s2366" type="#_x0000_t32" style="position:absolute;left:44958;top:6434;width:0;height:394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"/>
                    <v:shape id="Прямая со стрелкой 1662" o:spid="_x0000_s2367" type="#_x0000_t32" style="position:absolute;left:34120;top:36660;width:0;height:53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"/>
                    <v:shape id="Прямая со стрелкой 1663" o:spid="_x0000_s2368" type="#_x0000_t32" style="position:absolute;left:34120;top:36660;width:0;height:23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">
                      <v:stroke endarrow="block"/>
                    </v:shape>
                    <v:shape id="Прямая со стрелкой 1658" o:spid="_x0000_s2369" type="#_x0000_t32" style="position:absolute;left:40724;top:40978;width:7;height:9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">
                      <v:stroke endarrow="block"/>
                    </v:shape>
                    <v:shape id="Прямая со стрелкой 1664" o:spid="_x0000_s2370" type="#_x0000_t32" style="position:absolute;left:25738;top:36491;width:0;height:54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">
                      <v:stroke endarrow="block"/>
                    </v:shape>
                  </v:group>
                </v:group>
                <v:shape id="Прямая со стрелкой 1659" o:spid="_x0000_s2371" type="#_x0000_t32" style="position:absolute;left:22352;top:41994;width:13047;height:2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"/>
              </v:group>
            </w:pict>
          </mc:Fallback>
        </mc:AlternateContent>
      </w:r>
    </w:p>
    <w:p w:rsidR="00B233DE" w:rsidRDefault="00B233DE" w:rsidP="00B233DE">
      <w:pPr>
        <w:widowControl w:val="0"/>
        <w:spacing w:line="360" w:lineRule="auto"/>
        <w:jc w:val="center"/>
        <w:rPr>
          <w:rFonts w:ascii="Times New Roman" w:hAnsi="Times New Roman"/>
          <w:sz w:val="28"/>
          <w:szCs w:val="28"/>
        </w:rPr>
      </w:pPr>
      <w:r>
        <w:rPr>
          <w:noProof/>
          <w:lang w:val="ru-RU" w:eastAsia="ru-RU"/>
        </w:rPr>
        <mc:AlternateContent>
          <mc:Choice Requires="wps">
            <w:drawing>
              <wp:anchor distT="0" distB="0" distL="114300" distR="114300" simplePos="0" relativeHeight="251716608" behindDoc="0" locked="0" layoutInCell="1" allowOverlap="1" wp14:anchorId="55C107C5" wp14:editId="6953FD23">
                <wp:simplePos x="0" y="0"/>
                <wp:positionH relativeFrom="column">
                  <wp:posOffset>5785485</wp:posOffset>
                </wp:positionH>
                <wp:positionV relativeFrom="paragraph">
                  <wp:posOffset>266065</wp:posOffset>
                </wp:positionV>
                <wp:extent cx="2540" cy="3913505"/>
                <wp:effectExtent l="0" t="0" r="35560" b="10795"/>
                <wp:wrapNone/>
                <wp:docPr id="1702" name="Прямая соединительная линия 17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540" cy="3913505"/>
                        </a:xfrm>
                        <a:prstGeom prst="line">
                          <a:avLst/>
                        </a:prstGeom>
                        <a:noFill/>
                        <a:ln w="12700" cap="flat" cmpd="sng" algn="ctr">
                          <a:solidFill>
                            <a:sysClr val="windowText" lastClr="000000"/>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7F2BBE9C" id="Прямая соединительная линия 1702" o:spid="_x0000_s1026" style="position:absolute;flip:x y;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455.55pt,20.95pt" to="455.75pt,32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" strokecolor="windowText" strokeweight="1pt">
                <o:lock v:ext="edit" shapetype="f"/>
              </v:line>
            </w:pict>
          </mc:Fallback>
        </mc:AlternateContent>
      </w:r>
    </w:p>
    <w:p w:rsidR="00B233DE" w:rsidRDefault="00B233DE" w:rsidP="00B233DE">
      <w:pPr>
        <w:widowControl w:val="0"/>
        <w:spacing w:line="360" w:lineRule="auto"/>
        <w:jc w:val="center"/>
        <w:rPr>
          <w:rFonts w:ascii="Times New Roman" w:hAnsi="Times New Roman"/>
          <w:sz w:val="28"/>
          <w:szCs w:val="28"/>
        </w:rPr>
      </w:pPr>
    </w:p>
    <w:p w:rsidR="00B233DE" w:rsidRDefault="00B233DE" w:rsidP="00B233DE">
      <w:pPr>
        <w:widowControl w:val="0"/>
        <w:spacing w:line="360" w:lineRule="auto"/>
        <w:jc w:val="center"/>
        <w:rPr>
          <w:rFonts w:ascii="Times New Roman" w:hAnsi="Times New Roman"/>
          <w:sz w:val="28"/>
          <w:szCs w:val="28"/>
        </w:rPr>
      </w:pPr>
    </w:p>
    <w:p w:rsidR="00B233DE" w:rsidRDefault="00B233DE" w:rsidP="00B233DE">
      <w:pPr>
        <w:widowControl w:val="0"/>
        <w:spacing w:line="360" w:lineRule="auto"/>
        <w:jc w:val="center"/>
        <w:rPr>
          <w:rFonts w:ascii="Times New Roman" w:hAnsi="Times New Roman"/>
          <w:sz w:val="28"/>
          <w:szCs w:val="28"/>
        </w:rPr>
      </w:pPr>
    </w:p>
    <w:p w:rsidR="00B233DE" w:rsidRDefault="00B233DE" w:rsidP="00B233DE">
      <w:pPr>
        <w:widowControl w:val="0"/>
        <w:spacing w:line="360" w:lineRule="auto"/>
        <w:jc w:val="center"/>
        <w:rPr>
          <w:rFonts w:ascii="Times New Roman" w:hAnsi="Times New Roman"/>
          <w:sz w:val="28"/>
          <w:szCs w:val="28"/>
        </w:rPr>
      </w:pPr>
    </w:p>
    <w:p w:rsidR="00B233DE" w:rsidRDefault="00B233DE" w:rsidP="00B233DE">
      <w:pPr>
        <w:widowControl w:val="0"/>
        <w:spacing w:line="360" w:lineRule="auto"/>
        <w:jc w:val="center"/>
        <w:rPr>
          <w:rFonts w:ascii="Times New Roman" w:hAnsi="Times New Roman"/>
          <w:sz w:val="28"/>
          <w:szCs w:val="28"/>
        </w:rPr>
      </w:pPr>
      <w:r>
        <w:rPr>
          <w:noProof/>
          <w:lang w:val="ru-RU" w:eastAsia="ru-RU"/>
        </w:rPr>
        <mc:AlternateContent>
          <mc:Choice Requires="wps">
            <w:drawing>
              <wp:anchor distT="0" distB="0" distL="114299" distR="114299" simplePos="0" relativeHeight="251713536" behindDoc="0" locked="0" layoutInCell="1" allowOverlap="1" wp14:anchorId="5623091F" wp14:editId="1921C933">
                <wp:simplePos x="0" y="0"/>
                <wp:positionH relativeFrom="column">
                  <wp:posOffset>5118099</wp:posOffset>
                </wp:positionH>
                <wp:positionV relativeFrom="paragraph">
                  <wp:posOffset>165735</wp:posOffset>
                </wp:positionV>
                <wp:extent cx="0" cy="215265"/>
                <wp:effectExtent l="95250" t="0" r="57150" b="51435"/>
                <wp:wrapNone/>
                <wp:docPr id="1672" name="Прямая со стрелкой 16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5265"/>
                        </a:xfrm>
                        <a:prstGeom prst="straightConnector1">
                          <a:avLst/>
                        </a:prstGeom>
                        <a:noFill/>
                        <a:ln w="12700" cap="flat" cmpd="sng" algn="ctr">
                          <a:solidFill>
                            <a:sysClr val="windowText" lastClr="000000"/>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6C68C7AA" id="Прямая со стрелкой 1672" o:spid="_x0000_s1026" type="#_x0000_t32" style="position:absolute;margin-left:403pt;margin-top:13.05pt;width:0;height:16.95pt;z-index:2517135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" strokecolor="windowText" strokeweight="1pt">
                <v:stroke endarrow="open"/>
                <o:lock v:ext="edit" shapetype="f"/>
              </v:shape>
            </w:pict>
          </mc:Fallback>
        </mc:AlternateContent>
      </w:r>
    </w:p>
    <w:p w:rsidR="00B233DE" w:rsidRDefault="00B233DE" w:rsidP="00B233DE">
      <w:pPr>
        <w:widowControl w:val="0"/>
        <w:spacing w:line="360" w:lineRule="auto"/>
        <w:jc w:val="center"/>
        <w:rPr>
          <w:rFonts w:ascii="Times New Roman" w:hAnsi="Times New Roman"/>
          <w:sz w:val="28"/>
          <w:szCs w:val="28"/>
        </w:rPr>
      </w:pPr>
      <w:r>
        <w:rPr>
          <w:noProof/>
          <w:lang w:val="ru-RU" w:eastAsia="ru-RU"/>
        </w:rPr>
        <mc:AlternateContent>
          <mc:Choice Requires="wps">
            <w:drawing>
              <wp:anchor distT="0" distB="0" distL="114300" distR="114300" simplePos="0" relativeHeight="251714560" behindDoc="0" locked="0" layoutInCell="1" allowOverlap="1" wp14:anchorId="40306253" wp14:editId="1B38D7DB">
                <wp:simplePos x="0" y="0"/>
                <wp:positionH relativeFrom="column">
                  <wp:posOffset>4620895</wp:posOffset>
                </wp:positionH>
                <wp:positionV relativeFrom="paragraph">
                  <wp:posOffset>102870</wp:posOffset>
                </wp:positionV>
                <wp:extent cx="991870" cy="1578610"/>
                <wp:effectExtent l="0" t="0" r="17780" b="21590"/>
                <wp:wrapNone/>
                <wp:docPr id="1668" name="Поле 16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91870" cy="1578610"/>
                        </a:xfrm>
                        <a:prstGeom prst="rect">
                          <a:avLst/>
                        </a:prstGeom>
                        <a:solidFill>
                          <a:sysClr val="window" lastClr="FFFFFF"/>
                        </a:solidFill>
                        <a:ln w="6350">
                          <a:solidFill>
                            <a:prstClr val="black"/>
                          </a:solidFill>
                        </a:ln>
                        <a:effectLst/>
                      </wps:spPr>
                      <wps:txbx>
                        <w:txbxContent>
                          <w:p w:rsidR="00BE40F8" w:rsidRPr="00EF4283" w:rsidRDefault="00BE40F8" w:rsidP="00B233DE">
                            <w:pPr>
                              <w:spacing w:line="216" w:lineRule="auto"/>
                              <w:jc w:val="center"/>
                              <w:rPr>
                                <w:rFonts w:ascii="Times New Roman" w:hAnsi="Times New Roman"/>
                              </w:rPr>
                            </w:pPr>
                            <w:r w:rsidRPr="00EF4283">
                              <w:rPr>
                                <w:rFonts w:ascii="Times New Roman" w:hAnsi="Times New Roman"/>
                              </w:rPr>
                              <w:t xml:space="preserve">Кошти </w:t>
                            </w:r>
                            <w:r>
                              <w:rPr>
                                <w:rFonts w:ascii="Times New Roman" w:hAnsi="Times New Roman"/>
                              </w:rPr>
                              <w:t>від відчуження комунально-го майна та від продажу земельних ділянок несільськ</w:t>
                            </w:r>
                            <w:r w:rsidRPr="00EF4283">
                              <w:rPr>
                                <w:rFonts w:ascii="Times New Roman" w:hAnsi="Times New Roman"/>
                                <w:spacing w:val="-20"/>
                              </w:rPr>
                              <w:t>ого</w:t>
                            </w:r>
                            <w:r>
                              <w:rPr>
                                <w:rFonts w:ascii="Times New Roman" w:hAnsi="Times New Roman"/>
                              </w:rPr>
                              <w:t xml:space="preserve">-сподарського призначення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306253" id="Поле 1668" o:spid="_x0000_s2372" type="#_x0000_t202" style="position:absolute;left:0;text-align:left;margin-left:363.85pt;margin-top:8.1pt;width:78.1pt;height:124.3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" fillcolor="window" strokeweight=".5pt">
                <v:path arrowok="t"/>
                <v:textbox>
                  <w:txbxContent>
                    <w:p w:rsidR="00BE40F8" w:rsidRPr="00EF4283" w:rsidRDefault="00BE40F8" w:rsidP="00B233DE">
                      <w:pPr>
                        <w:spacing w:line="216" w:lineRule="auto"/>
                        <w:jc w:val="center"/>
                        <w:rPr>
                          <w:rFonts w:ascii="Times New Roman" w:hAnsi="Times New Roman"/>
                        </w:rPr>
                      </w:pPr>
                      <w:r w:rsidRPr="00EF4283">
                        <w:rPr>
                          <w:rFonts w:ascii="Times New Roman" w:hAnsi="Times New Roman"/>
                        </w:rPr>
                        <w:t xml:space="preserve">Кошти </w:t>
                      </w:r>
                      <w:r>
                        <w:rPr>
                          <w:rFonts w:ascii="Times New Roman" w:hAnsi="Times New Roman"/>
                        </w:rPr>
                        <w:t>від відчуження комунально-го майна та від продажу земельних ділянок несільськ</w:t>
                      </w:r>
                      <w:r w:rsidRPr="00EF4283">
                        <w:rPr>
                          <w:rFonts w:ascii="Times New Roman" w:hAnsi="Times New Roman"/>
                          <w:spacing w:val="-20"/>
                        </w:rPr>
                        <w:t>ого</w:t>
                      </w:r>
                      <w:r>
                        <w:rPr>
                          <w:rFonts w:ascii="Times New Roman" w:hAnsi="Times New Roman"/>
                        </w:rPr>
                        <w:t xml:space="preserve">-сподарського призначення </w:t>
                      </w:r>
                    </w:p>
                  </w:txbxContent>
                </v:textbox>
              </v:shape>
            </w:pict>
          </mc:Fallback>
        </mc:AlternateContent>
      </w:r>
    </w:p>
    <w:p w:rsidR="00B233DE" w:rsidRDefault="00B233DE" w:rsidP="00B233DE">
      <w:pPr>
        <w:widowControl w:val="0"/>
        <w:spacing w:line="360" w:lineRule="auto"/>
        <w:jc w:val="center"/>
        <w:rPr>
          <w:rFonts w:ascii="Times New Roman" w:hAnsi="Times New Roman"/>
          <w:sz w:val="28"/>
          <w:szCs w:val="28"/>
        </w:rPr>
      </w:pPr>
    </w:p>
    <w:p w:rsidR="00B233DE" w:rsidRDefault="00B233DE" w:rsidP="00B233DE">
      <w:pPr>
        <w:widowControl w:val="0"/>
        <w:spacing w:line="360" w:lineRule="auto"/>
        <w:jc w:val="center"/>
        <w:rPr>
          <w:rFonts w:ascii="Times New Roman" w:hAnsi="Times New Roman"/>
          <w:sz w:val="28"/>
          <w:szCs w:val="28"/>
        </w:rPr>
      </w:pPr>
    </w:p>
    <w:p w:rsidR="00B233DE" w:rsidRDefault="00B233DE" w:rsidP="00B233DE">
      <w:pPr>
        <w:widowControl w:val="0"/>
        <w:spacing w:line="360" w:lineRule="auto"/>
        <w:jc w:val="center"/>
        <w:rPr>
          <w:rFonts w:ascii="Times New Roman" w:hAnsi="Times New Roman"/>
          <w:sz w:val="28"/>
          <w:szCs w:val="28"/>
        </w:rPr>
      </w:pPr>
      <w:r>
        <w:rPr>
          <w:noProof/>
          <w:lang w:val="ru-RU" w:eastAsia="ru-RU"/>
        </w:rPr>
        <mc:AlternateContent>
          <mc:Choice Requires="wps">
            <w:drawing>
              <wp:anchor distT="0" distB="0" distL="114299" distR="114299" simplePos="0" relativeHeight="251717632" behindDoc="0" locked="0" layoutInCell="1" allowOverlap="1" wp14:anchorId="6EBDADE5" wp14:editId="7DC51303">
                <wp:simplePos x="0" y="0"/>
                <wp:positionH relativeFrom="column">
                  <wp:posOffset>714374</wp:posOffset>
                </wp:positionH>
                <wp:positionV relativeFrom="paragraph">
                  <wp:posOffset>261620</wp:posOffset>
                </wp:positionV>
                <wp:extent cx="0" cy="215900"/>
                <wp:effectExtent l="0" t="0" r="19050" b="12700"/>
                <wp:wrapNone/>
                <wp:docPr id="1666" name="Прямая соединительная линия 16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5900"/>
                        </a:xfrm>
                        <a:prstGeom prst="line">
                          <a:avLst/>
                        </a:prstGeom>
                        <a:noFill/>
                        <a:ln w="12700"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06909D82" id="Прямая соединительная линия 1666" o:spid="_x0000_s1026" style="position:absolute;z-index:2517176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6.25pt,20.6pt" to="56.25pt,3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" strokecolor="windowText" strokeweight="1pt">
                <o:lock v:ext="edit" shapetype="f"/>
              </v:line>
            </w:pict>
          </mc:Fallback>
        </mc:AlternateContent>
      </w:r>
    </w:p>
    <w:p w:rsidR="00B233DE" w:rsidRDefault="00B233DE" w:rsidP="00B233DE">
      <w:pPr>
        <w:widowControl w:val="0"/>
        <w:spacing w:line="360" w:lineRule="auto"/>
        <w:jc w:val="center"/>
        <w:rPr>
          <w:rFonts w:ascii="Times New Roman" w:hAnsi="Times New Roman"/>
          <w:sz w:val="28"/>
          <w:szCs w:val="28"/>
        </w:rPr>
      </w:pPr>
      <w:r>
        <w:rPr>
          <w:noProof/>
          <w:lang w:val="ru-RU" w:eastAsia="ru-RU"/>
        </w:rPr>
        <mc:AlternateContent>
          <mc:Choice Requires="wps">
            <w:drawing>
              <wp:anchor distT="0" distB="0" distL="114300" distR="114300" simplePos="0" relativeHeight="251718656" behindDoc="0" locked="0" layoutInCell="1" allowOverlap="1" wp14:anchorId="0C775ECB" wp14:editId="5A7C393B">
                <wp:simplePos x="0" y="0"/>
                <wp:positionH relativeFrom="column">
                  <wp:posOffset>280670</wp:posOffset>
                </wp:positionH>
                <wp:positionV relativeFrom="paragraph">
                  <wp:posOffset>165735</wp:posOffset>
                </wp:positionV>
                <wp:extent cx="436245" cy="635"/>
                <wp:effectExtent l="0" t="0" r="20955" b="37465"/>
                <wp:wrapNone/>
                <wp:docPr id="1665" name="Прямая соединительная линия 16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436245" cy="635"/>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42D4A946" id="Прямая соединительная линия 1665" o:spid="_x0000_s1026" style="position:absolute;flip:x y;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22.1pt,13.05pt" to="56.45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" strokecolor="windowText" strokeweight="1pt">
                <o:lock v:ext="edit" shapetype="f"/>
              </v:line>
            </w:pict>
          </mc:Fallback>
        </mc:AlternateContent>
      </w:r>
    </w:p>
    <w:p w:rsidR="00B233DE" w:rsidRDefault="00B233DE" w:rsidP="00B233DE">
      <w:pPr>
        <w:widowControl w:val="0"/>
        <w:spacing w:line="360" w:lineRule="auto"/>
        <w:jc w:val="center"/>
        <w:rPr>
          <w:rFonts w:ascii="Times New Roman" w:hAnsi="Times New Roman"/>
          <w:sz w:val="28"/>
          <w:szCs w:val="28"/>
        </w:rPr>
      </w:pPr>
      <w:r>
        <w:rPr>
          <w:noProof/>
          <w:lang w:val="ru-RU" w:eastAsia="ru-RU"/>
        </w:rPr>
        <mc:AlternateContent>
          <mc:Choice Requires="wps">
            <w:drawing>
              <wp:anchor distT="0" distB="0" distL="114299" distR="114299" simplePos="0" relativeHeight="251715584" behindDoc="0" locked="0" layoutInCell="1" allowOverlap="1" wp14:anchorId="6AAC8212" wp14:editId="7706CD1E">
                <wp:simplePos x="0" y="0"/>
                <wp:positionH relativeFrom="column">
                  <wp:posOffset>5109844</wp:posOffset>
                </wp:positionH>
                <wp:positionV relativeFrom="paragraph">
                  <wp:posOffset>145415</wp:posOffset>
                </wp:positionV>
                <wp:extent cx="0" cy="482600"/>
                <wp:effectExtent l="95250" t="0" r="76200" b="50800"/>
                <wp:wrapNone/>
                <wp:docPr id="1660" name="Прямая со стрелкой 16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82600"/>
                        </a:xfrm>
                        <a:prstGeom prst="straightConnector1">
                          <a:avLst/>
                        </a:prstGeom>
                        <a:noFill/>
                        <a:ln w="12700" cap="flat" cmpd="sng" algn="ctr">
                          <a:solidFill>
                            <a:sysClr val="windowText" lastClr="000000"/>
                          </a:solidFill>
                          <a:prstDash val="solid"/>
                          <a:tailEnd type="arrow"/>
                        </a:ln>
                        <a:effectLst/>
                      </wps:spPr>
                      <wps:bodyPr/>
                    </wps:wsp>
                  </a:graphicData>
                </a:graphic>
                <wp14:sizeRelH relativeFrom="page">
                  <wp14:pctWidth>0</wp14:pctWidth>
                </wp14:sizeRelH>
                <wp14:sizeRelV relativeFrom="margin">
                  <wp14:pctHeight>0</wp14:pctHeight>
                </wp14:sizeRelV>
              </wp:anchor>
            </w:drawing>
          </mc:Choice>
          <mc:Fallback>
            <w:pict>
              <v:shape w14:anchorId="17E4FEAE" id="Прямая со стрелкой 1660" o:spid="_x0000_s1026" type="#_x0000_t32" style="position:absolute;margin-left:402.35pt;margin-top:11.45pt;width:0;height:38pt;z-index:2517155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" strokecolor="windowText" strokeweight="1pt">
                <v:stroke endarrow="open"/>
                <o:lock v:ext="edit" shapetype="f"/>
              </v:shape>
            </w:pict>
          </mc:Fallback>
        </mc:AlternateContent>
      </w:r>
    </w:p>
    <w:p w:rsidR="00B233DE" w:rsidRDefault="00B233DE" w:rsidP="00B233DE">
      <w:pPr>
        <w:widowControl w:val="0"/>
        <w:spacing w:line="360" w:lineRule="auto"/>
        <w:jc w:val="center"/>
        <w:rPr>
          <w:rFonts w:ascii="Times New Roman" w:hAnsi="Times New Roman"/>
          <w:sz w:val="28"/>
          <w:szCs w:val="28"/>
        </w:rPr>
      </w:pPr>
    </w:p>
    <w:p w:rsidR="00B233DE" w:rsidRDefault="00B233DE" w:rsidP="00B233DE">
      <w:pPr>
        <w:widowControl w:val="0"/>
        <w:spacing w:line="360" w:lineRule="auto"/>
        <w:jc w:val="center"/>
        <w:rPr>
          <w:rFonts w:ascii="Times New Roman" w:hAnsi="Times New Roman"/>
          <w:sz w:val="28"/>
          <w:szCs w:val="28"/>
        </w:rPr>
      </w:pPr>
    </w:p>
    <w:p w:rsidR="00B233DE" w:rsidRDefault="00B233DE" w:rsidP="00B233DE">
      <w:pPr>
        <w:widowControl w:val="0"/>
        <w:jc w:val="center"/>
        <w:rPr>
          <w:rFonts w:ascii="Times New Roman" w:hAnsi="Times New Roman"/>
          <w:sz w:val="21"/>
          <w:szCs w:val="21"/>
        </w:rPr>
      </w:pPr>
    </w:p>
    <w:p w:rsidR="00B233DE" w:rsidRDefault="00B233DE" w:rsidP="00B233DE">
      <w:pPr>
        <w:widowControl w:val="0"/>
        <w:jc w:val="center"/>
        <w:rPr>
          <w:rFonts w:ascii="Times New Roman" w:hAnsi="Times New Roman"/>
          <w:sz w:val="21"/>
          <w:szCs w:val="21"/>
        </w:rPr>
      </w:pPr>
    </w:p>
    <w:p w:rsidR="00B233DE" w:rsidRDefault="00B233DE" w:rsidP="00B233DE">
      <w:pPr>
        <w:widowControl w:val="0"/>
        <w:jc w:val="center"/>
        <w:rPr>
          <w:rFonts w:ascii="Times New Roman" w:hAnsi="Times New Roman"/>
          <w:sz w:val="21"/>
          <w:szCs w:val="21"/>
        </w:rPr>
      </w:pPr>
    </w:p>
    <w:p w:rsidR="00B233DE" w:rsidRDefault="00B233DE" w:rsidP="00B233DE">
      <w:pPr>
        <w:widowControl w:val="0"/>
        <w:jc w:val="center"/>
        <w:rPr>
          <w:rFonts w:ascii="Times New Roman" w:hAnsi="Times New Roman"/>
          <w:sz w:val="21"/>
          <w:szCs w:val="21"/>
        </w:rPr>
      </w:pPr>
    </w:p>
    <w:p w:rsidR="00B233DE" w:rsidRDefault="00B233DE" w:rsidP="00B233DE">
      <w:pPr>
        <w:widowControl w:val="0"/>
        <w:jc w:val="center"/>
        <w:rPr>
          <w:rFonts w:ascii="Times New Roman" w:hAnsi="Times New Roman"/>
          <w:sz w:val="21"/>
          <w:szCs w:val="21"/>
        </w:rPr>
      </w:pPr>
    </w:p>
    <w:p w:rsidR="00B233DE" w:rsidRDefault="00B233DE" w:rsidP="00B233DE">
      <w:pPr>
        <w:widowControl w:val="0"/>
        <w:ind w:firstLine="709"/>
        <w:jc w:val="center"/>
        <w:rPr>
          <w:rFonts w:ascii="Times New Roman" w:hAnsi="Times New Roman"/>
          <w:b/>
          <w:sz w:val="21"/>
          <w:szCs w:val="21"/>
        </w:rPr>
      </w:pPr>
    </w:p>
    <w:p w:rsidR="00B233DE" w:rsidRDefault="00B233DE" w:rsidP="00B233DE">
      <w:pPr>
        <w:widowControl w:val="0"/>
        <w:ind w:firstLine="709"/>
        <w:jc w:val="center"/>
        <w:rPr>
          <w:rFonts w:ascii="Times New Roman" w:hAnsi="Times New Roman"/>
          <w:b/>
          <w:sz w:val="21"/>
          <w:szCs w:val="21"/>
        </w:rPr>
      </w:pPr>
    </w:p>
    <w:p w:rsidR="00B233DE" w:rsidRPr="00714232" w:rsidRDefault="00B233DE" w:rsidP="00B233DE">
      <w:pPr>
        <w:widowControl w:val="0"/>
        <w:ind w:firstLine="709"/>
        <w:jc w:val="center"/>
        <w:rPr>
          <w:rFonts w:ascii="Times New Roman" w:hAnsi="Times New Roman"/>
          <w:b/>
          <w:sz w:val="21"/>
          <w:szCs w:val="21"/>
        </w:rPr>
      </w:pPr>
      <w:r w:rsidRPr="00714232">
        <w:rPr>
          <w:rFonts w:ascii="Times New Roman" w:hAnsi="Times New Roman"/>
          <w:b/>
          <w:sz w:val="21"/>
          <w:szCs w:val="21"/>
        </w:rPr>
        <w:t>Рис. 6.5. Схема фінансових надходжень від груп об’єктів комунальної власності за їх призначенням</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lastRenderedPageBreak/>
        <w:t>Тому розвиток таких об’єктів покладається повністю на місцеві та державний бюджети, що через відсутність у них відповідних ресурсів призводить до занедбання майна комунальної власності соціального призначення.</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У таких випадках виникає потреба застосування альтернативних джерел фінансування розвитку комунальної власності територіальних громад регіону, об’єкти якої виконують безпосередньо функції соціальної регіональної політики у визначених соціальних сферах.</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Пошук адекватної відповіді на ці виклики призвів до розроблення та впровадження в розвинених країнах світу Концепції розвитку державно-приватного партнерства (public–private partnership). У більшості європейських країн державно-приватне партнерство дедалі частіше розглядається як один з ефективних механізмів подолання дефіциту коштів та управлінського вміння для розвитку інфраструктури, що включає, зокрема, такі об’єкти: автодороги, залізниці, лікарні, школи тощо.</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Отже, державно-приватні партнерства – це угоди між організаціями державного та приватного секторів стосовно надання послуг у таких сферах, як створення суспільної інфраструктури, спорудження громадських об’єктів та надання інших споріднених послуг. Найуспішніші партнерства використовують сильні сторони державного та приватного секторів для налагодження додаткових стосунків між секторами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_Ref436211491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58</w:t>
      </w:r>
      <w:r w:rsidR="00FC3E63">
        <w:rPr>
          <w:rFonts w:ascii="Times New Roman" w:hAnsi="Times New Roman" w:cs="Times New Roman"/>
          <w:bCs/>
          <w:color w:val="000000" w:themeColor="text1"/>
          <w:sz w:val="21"/>
          <w:szCs w:val="21"/>
          <w:highlight w:val="yellow"/>
        </w:rPr>
        <w:fldChar w:fldCharType="end"/>
      </w:r>
      <w:r w:rsidRPr="00182552">
        <w:rPr>
          <w:rFonts w:ascii="Times New Roman" w:hAnsi="Times New Roman"/>
          <w:sz w:val="21"/>
          <w:szCs w:val="21"/>
        </w:rPr>
        <w:t>].</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 xml:space="preserve">У сучасному розумінні державно-приватні партнерства – це інституціональний і організаційний альянс між державою та бізнесом з метою реалізації національних і міжнародних, масштабних і локальних, але завжди суспільно значущих проектів у широкому спектрі видів діяльності: від розвитку стратегічно важливих галузей промисловості та науково-дослідних конструкторських робіт до забезпечення суспільних послуг. Зазвичай кожний альянс державно-приватного партнерства створюється на певний термін з метою реалізації конкретного проекту і припиняє своє існування після його реалізації. В рамках державно-приватного партнерства оформлюється контракт між державним та приватним сектором. Приватний сектор використовує свій капітал і управлінський потенціал для реалізації визначеного в рамках державно-приватного партнерства проекту відповідно до встановлених часових рамок і бюджету, у той час як </w:t>
      </w:r>
      <w:r w:rsidRPr="00182552">
        <w:rPr>
          <w:rFonts w:ascii="Times New Roman" w:hAnsi="Times New Roman"/>
          <w:sz w:val="21"/>
          <w:szCs w:val="21"/>
        </w:rPr>
        <w:lastRenderedPageBreak/>
        <w:t>державний сектор зберігає відповідальність за забезпечення населення цими послугами і цим впливає на економічний розвиток і підвищення якості життя населення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_Ref436211423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10</w:t>
      </w:r>
      <w:r w:rsidR="00FC3E63">
        <w:rPr>
          <w:rFonts w:ascii="Times New Roman" w:hAnsi="Times New Roman" w:cs="Times New Roman"/>
          <w:bCs/>
          <w:color w:val="000000" w:themeColor="text1"/>
          <w:sz w:val="21"/>
          <w:szCs w:val="21"/>
          <w:highlight w:val="yellow"/>
        </w:rPr>
        <w:fldChar w:fldCharType="end"/>
      </w:r>
      <w:r w:rsidRPr="00182552">
        <w:rPr>
          <w:rFonts w:ascii="Times New Roman" w:hAnsi="Times New Roman"/>
          <w:sz w:val="21"/>
          <w:szCs w:val="21"/>
        </w:rPr>
        <w:t>].</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Виділяють дві основні категорії державно-приватного партнерства: інституціональне державно-приватне партнерство, яке охоплює всі форми спільних підприємств між державними та приватними учасниками; і контрактне державно-приватне партнерства. Останнім часом у світі особливого розвитку набуло контрактне державно-приватне партнерство у формі концесії, у рамках якої за послуги «платить споживач». Концесії являють собою контрактну модель організації відносин між державою та бізнесом, за якої державний сектор передає об’єкт (наприклад, нерухомість) або право надавати послугу приватному суб’єкту, який і здійснює управління об’єктом державно-приватного партнерства протягом певного, наперед визначеного сторонами, періоду часу.</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Згідно із Законом України «Про концесії» концесія – надання з метою задоволення громадських потреб уповноваженим органом виконавчої влади чи органом місцевого самоврядування на підставі концесійного договору на платній та строковій основі юридичній або фізичній особі (суб’єкту підприємницької діяльності) права на створення (будівництво) та (або) управління (експлуатацію) об’єкта концесії (строкове платне володіння), за умови взяття суб’єктом підприємницької діяльності (концесіонером) на себе зобов’язань зі створення (будівництва) та (або) управління (експлуатації) об’єктом концесії, майнової відповідальності та можливого підприємницького ризику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_Ref436211507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34</w:t>
      </w:r>
      <w:r w:rsidR="00FC3E63">
        <w:rPr>
          <w:rFonts w:ascii="Times New Roman" w:hAnsi="Times New Roman" w:cs="Times New Roman"/>
          <w:bCs/>
          <w:color w:val="000000" w:themeColor="text1"/>
          <w:sz w:val="21"/>
          <w:szCs w:val="21"/>
          <w:highlight w:val="yellow"/>
        </w:rPr>
        <w:fldChar w:fldCharType="end"/>
      </w:r>
      <w:r w:rsidRPr="00182552">
        <w:rPr>
          <w:rFonts w:ascii="Times New Roman" w:hAnsi="Times New Roman"/>
          <w:sz w:val="21"/>
          <w:szCs w:val="21"/>
        </w:rPr>
        <w:t>].</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Концесія за своєю сутністю дещо нагадує оренду. Відпо</w:t>
      </w:r>
      <w:r>
        <w:rPr>
          <w:rFonts w:ascii="Times New Roman" w:hAnsi="Times New Roman"/>
          <w:sz w:val="21"/>
          <w:szCs w:val="21"/>
        </w:rPr>
        <w:t>-</w:t>
      </w:r>
      <w:r w:rsidRPr="00182552">
        <w:rPr>
          <w:rFonts w:ascii="Times New Roman" w:hAnsi="Times New Roman"/>
          <w:sz w:val="21"/>
          <w:szCs w:val="21"/>
        </w:rPr>
        <w:t>відно до Закону України «Про оренду державного та комунального майна» орендою є засноване на договорі строкове платне корис</w:t>
      </w:r>
      <w:r>
        <w:rPr>
          <w:rFonts w:ascii="Times New Roman" w:hAnsi="Times New Roman"/>
          <w:sz w:val="21"/>
          <w:szCs w:val="21"/>
        </w:rPr>
        <w:t>-</w:t>
      </w:r>
      <w:r w:rsidRPr="00182552">
        <w:rPr>
          <w:rFonts w:ascii="Times New Roman" w:hAnsi="Times New Roman"/>
          <w:sz w:val="21"/>
          <w:szCs w:val="21"/>
        </w:rPr>
        <w:t>тування майном, необхідним орендареві для здійснення підприєм</w:t>
      </w:r>
      <w:r>
        <w:rPr>
          <w:rFonts w:ascii="Times New Roman" w:hAnsi="Times New Roman"/>
          <w:sz w:val="21"/>
          <w:szCs w:val="21"/>
        </w:rPr>
        <w:t>-</w:t>
      </w:r>
      <w:r w:rsidRPr="00182552">
        <w:rPr>
          <w:rFonts w:ascii="Times New Roman" w:hAnsi="Times New Roman"/>
          <w:sz w:val="21"/>
          <w:szCs w:val="21"/>
        </w:rPr>
        <w:t>ницької та іншої діяльності [</w:t>
      </w:r>
      <w:r w:rsidR="00FC3E63">
        <w:rPr>
          <w:rFonts w:ascii="Times New Roman" w:hAnsi="Times New Roman" w:cs="Times New Roman"/>
          <w:color w:val="000000" w:themeColor="text1"/>
          <w:sz w:val="21"/>
          <w:szCs w:val="21"/>
          <w:highlight w:val="yellow"/>
        </w:rPr>
        <w:fldChar w:fldCharType="begin"/>
      </w:r>
      <w:r w:rsidR="00FC3E63">
        <w:rPr>
          <w:rFonts w:ascii="Times New Roman" w:hAnsi="Times New Roman"/>
          <w:sz w:val="21"/>
          <w:szCs w:val="21"/>
        </w:rPr>
        <w:instrText xml:space="preserve"> REF _Ref436211512 \r \h </w:instrText>
      </w:r>
      <w:r w:rsidR="00FC3E63">
        <w:rPr>
          <w:rFonts w:ascii="Times New Roman" w:hAnsi="Times New Roman" w:cs="Times New Roman"/>
          <w:color w:val="000000" w:themeColor="text1"/>
          <w:sz w:val="21"/>
          <w:szCs w:val="21"/>
          <w:highlight w:val="yellow"/>
        </w:rPr>
      </w:r>
      <w:r w:rsidR="00FC3E63">
        <w:rPr>
          <w:rFonts w:ascii="Times New Roman" w:hAnsi="Times New Roman" w:cs="Times New Roman"/>
          <w:color w:val="000000" w:themeColor="text1"/>
          <w:sz w:val="21"/>
          <w:szCs w:val="21"/>
          <w:highlight w:val="yellow"/>
        </w:rPr>
        <w:fldChar w:fldCharType="separate"/>
      </w:r>
      <w:r w:rsidR="00FC3E63">
        <w:rPr>
          <w:rFonts w:ascii="Times New Roman" w:hAnsi="Times New Roman"/>
          <w:sz w:val="21"/>
          <w:szCs w:val="21"/>
        </w:rPr>
        <w:t>37</w:t>
      </w:r>
      <w:r w:rsidR="00FC3E63">
        <w:rPr>
          <w:rFonts w:ascii="Times New Roman" w:hAnsi="Times New Roman" w:cs="Times New Roman"/>
          <w:color w:val="000000" w:themeColor="text1"/>
          <w:sz w:val="21"/>
          <w:szCs w:val="21"/>
          <w:highlight w:val="yellow"/>
        </w:rPr>
        <w:fldChar w:fldCharType="end"/>
      </w:r>
      <w:r w:rsidRPr="00182552">
        <w:rPr>
          <w:rFonts w:ascii="Times New Roman" w:hAnsi="Times New Roman"/>
          <w:sz w:val="21"/>
          <w:szCs w:val="21"/>
        </w:rPr>
        <w:t>]. Тобто, оренда як і концесія перед</w:t>
      </w:r>
      <w:r>
        <w:rPr>
          <w:rFonts w:ascii="Times New Roman" w:hAnsi="Times New Roman"/>
          <w:sz w:val="21"/>
          <w:szCs w:val="21"/>
        </w:rPr>
        <w:t>-</w:t>
      </w:r>
      <w:r w:rsidRPr="00182552">
        <w:rPr>
          <w:rFonts w:ascii="Times New Roman" w:hAnsi="Times New Roman"/>
          <w:sz w:val="21"/>
          <w:szCs w:val="21"/>
        </w:rPr>
        <w:t>бачає строкові майнові відносини щодо користування майном дер</w:t>
      </w:r>
      <w:r>
        <w:rPr>
          <w:rFonts w:ascii="Times New Roman" w:hAnsi="Times New Roman"/>
          <w:sz w:val="21"/>
          <w:szCs w:val="21"/>
        </w:rPr>
        <w:t>-</w:t>
      </w:r>
      <w:r w:rsidRPr="00182552">
        <w:rPr>
          <w:rFonts w:ascii="Times New Roman" w:hAnsi="Times New Roman"/>
          <w:sz w:val="21"/>
          <w:szCs w:val="21"/>
        </w:rPr>
        <w:t>жавної або комунальної форми власності для здійснення підприєм</w:t>
      </w:r>
      <w:r>
        <w:rPr>
          <w:rFonts w:ascii="Times New Roman" w:hAnsi="Times New Roman"/>
          <w:sz w:val="21"/>
          <w:szCs w:val="21"/>
        </w:rPr>
        <w:t>-</w:t>
      </w:r>
      <w:r w:rsidRPr="00182552">
        <w:rPr>
          <w:rFonts w:ascii="Times New Roman" w:hAnsi="Times New Roman"/>
          <w:sz w:val="21"/>
          <w:szCs w:val="21"/>
        </w:rPr>
        <w:t>ницької діяльності з метою отримання прибутку. Однак, концесія суттєво відрізняється від оренди, зокрема тим, що при здійсненні концесійних відносин управління (експлуатації) об’єктом концесії здійснюється у першу чергу для задоволення громадських потреб, а підприємницький ризик концесіонер покриває за рахунок прибут</w:t>
      </w:r>
      <w:r>
        <w:rPr>
          <w:rFonts w:ascii="Times New Roman" w:hAnsi="Times New Roman"/>
          <w:sz w:val="21"/>
          <w:szCs w:val="21"/>
        </w:rPr>
        <w:t>-</w:t>
      </w:r>
      <w:r w:rsidRPr="00714232">
        <w:rPr>
          <w:rFonts w:ascii="Times New Roman" w:hAnsi="Times New Roman"/>
          <w:spacing w:val="-4"/>
          <w:sz w:val="21"/>
          <w:szCs w:val="21"/>
        </w:rPr>
        <w:lastRenderedPageBreak/>
        <w:t>ку, який він отримує у результаті здійснення концесійної діяльності.</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До основних переваг концесії порівняно з орендою відносяться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_Ref436211519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23</w:t>
      </w:r>
      <w:r w:rsidR="00FC3E63">
        <w:rPr>
          <w:rFonts w:ascii="Times New Roman" w:hAnsi="Times New Roman" w:cs="Times New Roman"/>
          <w:bCs/>
          <w:color w:val="000000" w:themeColor="text1"/>
          <w:sz w:val="21"/>
          <w:szCs w:val="21"/>
          <w:highlight w:val="yellow"/>
        </w:rPr>
        <w:fldChar w:fldCharType="end"/>
      </w:r>
      <w:r w:rsidRPr="00182552">
        <w:rPr>
          <w:rFonts w:ascii="Times New Roman" w:hAnsi="Times New Roman"/>
          <w:sz w:val="21"/>
          <w:szCs w:val="21"/>
        </w:rPr>
        <w:t xml:space="preserve">]: </w:t>
      </w:r>
    </w:p>
    <w:p w:rsidR="00B233DE" w:rsidRPr="00182552" w:rsidRDefault="00B233DE" w:rsidP="00B233DE">
      <w:pPr>
        <w:pStyle w:val="ad"/>
        <w:widowControl w:val="0"/>
        <w:numPr>
          <w:ilvl w:val="0"/>
          <w:numId w:val="54"/>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можливість модернізації та технічного переоснащення основних фондів комунальних підприємств;</w:t>
      </w:r>
    </w:p>
    <w:p w:rsidR="00B233DE" w:rsidRPr="00182552" w:rsidRDefault="00B233DE" w:rsidP="00B233DE">
      <w:pPr>
        <w:pStyle w:val="ad"/>
        <w:widowControl w:val="0"/>
        <w:numPr>
          <w:ilvl w:val="0"/>
          <w:numId w:val="54"/>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погашення концесіонером кредиторської заборгованості об’єкта концесії (у першу чергу податкової заборгованості комунальних підприємств);</w:t>
      </w:r>
    </w:p>
    <w:p w:rsidR="00B233DE" w:rsidRPr="00182552" w:rsidRDefault="00B233DE" w:rsidP="00B233DE">
      <w:pPr>
        <w:pStyle w:val="ad"/>
        <w:widowControl w:val="0"/>
        <w:numPr>
          <w:ilvl w:val="0"/>
          <w:numId w:val="54"/>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підвищення якості послуг за рахунок залучення коштів інвестора;</w:t>
      </w:r>
    </w:p>
    <w:p w:rsidR="00B233DE" w:rsidRPr="00182552" w:rsidRDefault="00B233DE" w:rsidP="00B233DE">
      <w:pPr>
        <w:pStyle w:val="ad"/>
        <w:widowControl w:val="0"/>
        <w:numPr>
          <w:ilvl w:val="0"/>
          <w:numId w:val="54"/>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можливість отримання додаткових коштів, які надійдуть до місцевого бюджету у якості концесійних платежів;</w:t>
      </w:r>
    </w:p>
    <w:p w:rsidR="00B233DE" w:rsidRPr="00182552" w:rsidRDefault="00B233DE" w:rsidP="00B233DE">
      <w:pPr>
        <w:pStyle w:val="ad"/>
        <w:widowControl w:val="0"/>
        <w:numPr>
          <w:ilvl w:val="0"/>
          <w:numId w:val="54"/>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повний контроль за діяльністю концесіонера стосовно використання об’єкта концесії та надання комунальних послуг протягом усього терміну дії концесійного договору;</w:t>
      </w:r>
    </w:p>
    <w:p w:rsidR="00B233DE" w:rsidRPr="00182552" w:rsidRDefault="00B233DE" w:rsidP="00B233DE">
      <w:pPr>
        <w:pStyle w:val="ad"/>
        <w:widowControl w:val="0"/>
        <w:numPr>
          <w:ilvl w:val="0"/>
          <w:numId w:val="54"/>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збереження комунальної форми власності на переданий концесіонеру об’єкт та на створене і придбане майно у межах концесійного договору тощо.</w:t>
      </w:r>
    </w:p>
    <w:p w:rsidR="00B233DE"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 xml:space="preserve">За кордоном приватно-державне партнерство є досить поширеним явищем. Серед країн, які активно використовують його можливості, необхідно відзначити Великобританію, Австралію, Ірландію, Фінляндію, Німеччину, Японію, Грецію та ряд інших (табл. </w:t>
      </w:r>
      <w:r>
        <w:rPr>
          <w:rFonts w:ascii="Times New Roman" w:hAnsi="Times New Roman"/>
          <w:sz w:val="21"/>
          <w:szCs w:val="21"/>
        </w:rPr>
        <w:t>6</w:t>
      </w:r>
      <w:r w:rsidRPr="00182552">
        <w:rPr>
          <w:rFonts w:ascii="Times New Roman" w:hAnsi="Times New Roman"/>
          <w:sz w:val="21"/>
          <w:szCs w:val="21"/>
        </w:rPr>
        <w:t>.1).</w:t>
      </w:r>
    </w:p>
    <w:p w:rsidR="00B233DE"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Отже, концесія є дієвим засобом підвищення ефективності управління комунальним майном, який дозволяє отримати необхідні інвестиції у комунальне господарство з боку приватного сектору, а також модернізувати існуюче підприємство. Концесія, як і будь-яке нововведення, потребує значних зусиль з боку його учасників для отримання позитивного результату, яким у даному випадку є досягнення головної мети соціальної регіональної політики – якнайповніше задоволення потреб територіальної громади та сприяння розвитку потенціалу кожного її члена.</w:t>
      </w:r>
    </w:p>
    <w:p w:rsidR="00B233DE"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Проблема нестачі коштів для вирішення завдань соціальної регіональної політики є типовим явищем для органів місцевого самоврядування. У цих умовах вихід на ринок місцевих запозичень є чи не найбільш ефективним, актуальним та доволі зручним інструментом вирішення проблем, пов’язаних із залученням необхідних коштів для фінансування тих чи інших інвестиційних проектів, спрямованих на покращення соціальної інфраструктури.</w:t>
      </w:r>
    </w:p>
    <w:p w:rsidR="00B233DE" w:rsidRPr="00182552" w:rsidRDefault="00B233DE" w:rsidP="00B233DE">
      <w:pPr>
        <w:widowControl w:val="0"/>
        <w:ind w:firstLine="709"/>
        <w:jc w:val="right"/>
        <w:rPr>
          <w:rFonts w:ascii="Times New Roman" w:hAnsi="Times New Roman"/>
          <w:sz w:val="21"/>
          <w:szCs w:val="21"/>
        </w:rPr>
      </w:pPr>
      <w:r w:rsidRPr="00182552">
        <w:rPr>
          <w:rFonts w:ascii="Times New Roman" w:hAnsi="Times New Roman"/>
          <w:sz w:val="21"/>
          <w:szCs w:val="21"/>
        </w:rPr>
        <w:lastRenderedPageBreak/>
        <w:t xml:space="preserve">Таблиця </w:t>
      </w:r>
      <w:r>
        <w:rPr>
          <w:rFonts w:ascii="Times New Roman" w:hAnsi="Times New Roman"/>
          <w:sz w:val="21"/>
          <w:szCs w:val="21"/>
        </w:rPr>
        <w:t>6.</w:t>
      </w:r>
      <w:r w:rsidRPr="00182552">
        <w:rPr>
          <w:rFonts w:ascii="Times New Roman" w:hAnsi="Times New Roman"/>
          <w:sz w:val="21"/>
          <w:szCs w:val="21"/>
        </w:rPr>
        <w:t>1</w:t>
      </w:r>
    </w:p>
    <w:p w:rsidR="00B233DE" w:rsidRPr="00714232" w:rsidRDefault="00B233DE" w:rsidP="00B233DE">
      <w:pPr>
        <w:widowControl w:val="0"/>
        <w:ind w:firstLine="709"/>
        <w:jc w:val="center"/>
        <w:rPr>
          <w:rFonts w:ascii="Times New Roman" w:hAnsi="Times New Roman"/>
          <w:b/>
          <w:sz w:val="21"/>
          <w:szCs w:val="21"/>
        </w:rPr>
      </w:pPr>
      <w:r w:rsidRPr="00714232">
        <w:rPr>
          <w:rFonts w:ascii="Times New Roman" w:hAnsi="Times New Roman"/>
          <w:b/>
          <w:sz w:val="21"/>
          <w:szCs w:val="21"/>
        </w:rPr>
        <w:t>Поширення державно-приватного партнерства у світі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b/>
          <w:sz w:val="21"/>
          <w:szCs w:val="21"/>
        </w:rPr>
        <w:instrText xml:space="preserve"> REF _Ref436211525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b/>
          <w:sz w:val="21"/>
          <w:szCs w:val="21"/>
        </w:rPr>
        <w:t>19</w:t>
      </w:r>
      <w:r w:rsidR="00FC3E63">
        <w:rPr>
          <w:rFonts w:ascii="Times New Roman" w:hAnsi="Times New Roman" w:cs="Times New Roman"/>
          <w:bCs/>
          <w:color w:val="000000" w:themeColor="text1"/>
          <w:sz w:val="21"/>
          <w:szCs w:val="21"/>
          <w:highlight w:val="yellow"/>
        </w:rPr>
        <w:fldChar w:fldCharType="end"/>
      </w:r>
      <w:r w:rsidRPr="00714232">
        <w:rPr>
          <w:rFonts w:ascii="Times New Roman" w:hAnsi="Times New Roman"/>
          <w:b/>
          <w:sz w:val="21"/>
          <w:szCs w:val="21"/>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9"/>
        <w:gridCol w:w="4903"/>
      </w:tblGrid>
      <w:tr w:rsidR="00B233DE" w:rsidRPr="00714232" w:rsidTr="0023489B">
        <w:trPr>
          <w:jc w:val="center"/>
        </w:trPr>
        <w:tc>
          <w:tcPr>
            <w:tcW w:w="1329" w:type="dxa"/>
            <w:shd w:val="clear" w:color="auto" w:fill="auto"/>
            <w:vAlign w:val="center"/>
          </w:tcPr>
          <w:p w:rsidR="00B233DE" w:rsidRPr="00714232" w:rsidRDefault="00B233DE" w:rsidP="0023489B">
            <w:pPr>
              <w:widowControl w:val="0"/>
              <w:ind w:firstLine="0"/>
              <w:jc w:val="center"/>
              <w:rPr>
                <w:rFonts w:ascii="Times New Roman" w:eastAsia="Times New Roman" w:hAnsi="Times New Roman"/>
                <w:b/>
                <w:sz w:val="18"/>
                <w:szCs w:val="18"/>
              </w:rPr>
            </w:pPr>
            <w:r w:rsidRPr="00714232">
              <w:rPr>
                <w:rFonts w:ascii="Times New Roman" w:eastAsia="Times New Roman" w:hAnsi="Times New Roman"/>
                <w:b/>
                <w:sz w:val="18"/>
                <w:szCs w:val="18"/>
              </w:rPr>
              <w:t>Країна</w:t>
            </w:r>
          </w:p>
        </w:tc>
        <w:tc>
          <w:tcPr>
            <w:tcW w:w="4903" w:type="dxa"/>
            <w:shd w:val="clear" w:color="auto" w:fill="auto"/>
            <w:vAlign w:val="center"/>
          </w:tcPr>
          <w:p w:rsidR="00B233DE" w:rsidRPr="00714232" w:rsidRDefault="00B233DE" w:rsidP="0023489B">
            <w:pPr>
              <w:widowControl w:val="0"/>
              <w:ind w:firstLine="0"/>
              <w:jc w:val="center"/>
              <w:rPr>
                <w:rFonts w:ascii="Times New Roman" w:eastAsia="Times New Roman" w:hAnsi="Times New Roman"/>
                <w:b/>
                <w:sz w:val="18"/>
                <w:szCs w:val="18"/>
              </w:rPr>
            </w:pPr>
            <w:r w:rsidRPr="00714232">
              <w:rPr>
                <w:rFonts w:ascii="Times New Roman" w:eastAsia="Times New Roman" w:hAnsi="Times New Roman"/>
                <w:b/>
                <w:sz w:val="18"/>
                <w:szCs w:val="18"/>
              </w:rPr>
              <w:t>Сектори, у яких впроваджується державно-приватне партнерство</w:t>
            </w:r>
          </w:p>
        </w:tc>
      </w:tr>
      <w:tr w:rsidR="00B233DE" w:rsidRPr="00714232" w:rsidTr="0023489B">
        <w:trPr>
          <w:jc w:val="center"/>
        </w:trPr>
        <w:tc>
          <w:tcPr>
            <w:tcW w:w="1329" w:type="dxa"/>
            <w:shd w:val="clear" w:color="auto" w:fill="auto"/>
          </w:tcPr>
          <w:p w:rsidR="00B233DE" w:rsidRPr="00714232" w:rsidRDefault="00B233DE" w:rsidP="0023489B">
            <w:pPr>
              <w:widowControl w:val="0"/>
              <w:ind w:firstLine="0"/>
              <w:rPr>
                <w:rFonts w:ascii="Times New Roman" w:eastAsia="Times New Roman" w:hAnsi="Times New Roman"/>
                <w:sz w:val="18"/>
                <w:szCs w:val="18"/>
              </w:rPr>
            </w:pPr>
            <w:r w:rsidRPr="00714232">
              <w:rPr>
                <w:rFonts w:ascii="Times New Roman" w:eastAsia="Times New Roman" w:hAnsi="Times New Roman"/>
                <w:iCs/>
                <w:sz w:val="18"/>
                <w:szCs w:val="18"/>
              </w:rPr>
              <w:t>Фінляндія</w:t>
            </w:r>
          </w:p>
        </w:tc>
        <w:tc>
          <w:tcPr>
            <w:tcW w:w="4903" w:type="dxa"/>
            <w:shd w:val="clear" w:color="auto" w:fill="auto"/>
          </w:tcPr>
          <w:p w:rsidR="00B233DE" w:rsidRPr="00714232" w:rsidRDefault="00B233DE" w:rsidP="0023489B">
            <w:pPr>
              <w:widowControl w:val="0"/>
              <w:ind w:firstLine="0"/>
              <w:jc w:val="both"/>
              <w:rPr>
                <w:rFonts w:ascii="Times New Roman" w:eastAsia="Times New Roman" w:hAnsi="Times New Roman"/>
                <w:sz w:val="18"/>
                <w:szCs w:val="18"/>
              </w:rPr>
            </w:pPr>
            <w:r w:rsidRPr="00714232">
              <w:rPr>
                <w:rFonts w:ascii="Times New Roman" w:eastAsia="Times New Roman" w:hAnsi="Times New Roman"/>
                <w:sz w:val="18"/>
                <w:szCs w:val="18"/>
              </w:rPr>
              <w:t>Дорожні концесії, школи і вища освіта</w:t>
            </w:r>
          </w:p>
        </w:tc>
      </w:tr>
      <w:tr w:rsidR="00B233DE" w:rsidRPr="00714232" w:rsidTr="0023489B">
        <w:trPr>
          <w:jc w:val="center"/>
        </w:trPr>
        <w:tc>
          <w:tcPr>
            <w:tcW w:w="1329" w:type="dxa"/>
            <w:shd w:val="clear" w:color="auto" w:fill="auto"/>
          </w:tcPr>
          <w:p w:rsidR="00B233DE" w:rsidRPr="00714232" w:rsidRDefault="00B233DE" w:rsidP="0023489B">
            <w:pPr>
              <w:widowControl w:val="0"/>
              <w:ind w:firstLine="0"/>
              <w:rPr>
                <w:rFonts w:ascii="Times New Roman" w:eastAsia="Times New Roman" w:hAnsi="Times New Roman"/>
                <w:sz w:val="18"/>
                <w:szCs w:val="18"/>
              </w:rPr>
            </w:pPr>
            <w:r w:rsidRPr="00714232">
              <w:rPr>
                <w:rFonts w:ascii="Times New Roman" w:eastAsia="Times New Roman" w:hAnsi="Times New Roman"/>
                <w:iCs/>
                <w:sz w:val="18"/>
                <w:szCs w:val="18"/>
              </w:rPr>
              <w:t>Франція</w:t>
            </w:r>
          </w:p>
        </w:tc>
        <w:tc>
          <w:tcPr>
            <w:tcW w:w="4903" w:type="dxa"/>
            <w:shd w:val="clear" w:color="auto" w:fill="auto"/>
          </w:tcPr>
          <w:p w:rsidR="00B233DE" w:rsidRPr="00714232" w:rsidRDefault="00B233DE" w:rsidP="0023489B">
            <w:pPr>
              <w:autoSpaceDE w:val="0"/>
              <w:autoSpaceDN w:val="0"/>
              <w:adjustRightInd w:val="0"/>
              <w:ind w:firstLine="0"/>
              <w:jc w:val="both"/>
              <w:rPr>
                <w:rFonts w:ascii="Times New Roman" w:eastAsia="Times New Roman" w:hAnsi="Times New Roman"/>
                <w:sz w:val="18"/>
                <w:szCs w:val="18"/>
              </w:rPr>
            </w:pPr>
            <w:r w:rsidRPr="00714232">
              <w:rPr>
                <w:rFonts w:ascii="Times New Roman" w:eastAsia="Times New Roman" w:hAnsi="Times New Roman"/>
                <w:sz w:val="18"/>
                <w:szCs w:val="18"/>
              </w:rPr>
              <w:t>Концесії на спорудження автомагістралей, концесії на водопостачання</w:t>
            </w:r>
          </w:p>
        </w:tc>
      </w:tr>
      <w:tr w:rsidR="00B233DE" w:rsidRPr="00714232" w:rsidTr="0023489B">
        <w:trPr>
          <w:jc w:val="center"/>
        </w:trPr>
        <w:tc>
          <w:tcPr>
            <w:tcW w:w="1329" w:type="dxa"/>
            <w:shd w:val="clear" w:color="auto" w:fill="auto"/>
          </w:tcPr>
          <w:p w:rsidR="00B233DE" w:rsidRPr="00714232" w:rsidRDefault="00B233DE" w:rsidP="0023489B">
            <w:pPr>
              <w:widowControl w:val="0"/>
              <w:ind w:firstLine="0"/>
              <w:rPr>
                <w:rFonts w:ascii="Times New Roman" w:eastAsia="Times New Roman" w:hAnsi="Times New Roman"/>
                <w:sz w:val="18"/>
                <w:szCs w:val="18"/>
              </w:rPr>
            </w:pPr>
            <w:r w:rsidRPr="00714232">
              <w:rPr>
                <w:rFonts w:ascii="Times New Roman" w:eastAsia="Times New Roman" w:hAnsi="Times New Roman"/>
                <w:iCs/>
                <w:sz w:val="18"/>
                <w:szCs w:val="18"/>
              </w:rPr>
              <w:t>Греція</w:t>
            </w:r>
          </w:p>
        </w:tc>
        <w:tc>
          <w:tcPr>
            <w:tcW w:w="4903" w:type="dxa"/>
            <w:shd w:val="clear" w:color="auto" w:fill="auto"/>
          </w:tcPr>
          <w:p w:rsidR="00B233DE" w:rsidRPr="00714232" w:rsidRDefault="00B233DE" w:rsidP="0023489B">
            <w:pPr>
              <w:autoSpaceDE w:val="0"/>
              <w:autoSpaceDN w:val="0"/>
              <w:adjustRightInd w:val="0"/>
              <w:ind w:firstLine="0"/>
              <w:jc w:val="both"/>
              <w:rPr>
                <w:rFonts w:ascii="Times New Roman" w:eastAsia="Times New Roman" w:hAnsi="Times New Roman"/>
                <w:sz w:val="18"/>
                <w:szCs w:val="18"/>
              </w:rPr>
            </w:pPr>
            <w:r w:rsidRPr="00714232">
              <w:rPr>
                <w:rFonts w:ascii="Times New Roman" w:eastAsia="Times New Roman" w:hAnsi="Times New Roman"/>
                <w:sz w:val="18"/>
                <w:szCs w:val="18"/>
              </w:rPr>
              <w:t>Концесії на спорудження доріг, залізниця полегшеного типу у Фесалоніках</w:t>
            </w:r>
          </w:p>
        </w:tc>
      </w:tr>
      <w:tr w:rsidR="00B233DE" w:rsidRPr="00714232" w:rsidTr="0023489B">
        <w:trPr>
          <w:jc w:val="center"/>
        </w:trPr>
        <w:tc>
          <w:tcPr>
            <w:tcW w:w="1329" w:type="dxa"/>
            <w:shd w:val="clear" w:color="auto" w:fill="auto"/>
          </w:tcPr>
          <w:p w:rsidR="00B233DE" w:rsidRPr="00714232" w:rsidRDefault="00B233DE" w:rsidP="0023489B">
            <w:pPr>
              <w:widowControl w:val="0"/>
              <w:ind w:firstLine="0"/>
              <w:rPr>
                <w:rFonts w:ascii="Times New Roman" w:eastAsia="Times New Roman" w:hAnsi="Times New Roman"/>
                <w:sz w:val="18"/>
                <w:szCs w:val="18"/>
              </w:rPr>
            </w:pPr>
            <w:r w:rsidRPr="00714232">
              <w:rPr>
                <w:rFonts w:ascii="Times New Roman" w:eastAsia="Times New Roman" w:hAnsi="Times New Roman"/>
                <w:iCs/>
                <w:sz w:val="18"/>
                <w:szCs w:val="18"/>
              </w:rPr>
              <w:t>Ірландія</w:t>
            </w:r>
          </w:p>
        </w:tc>
        <w:tc>
          <w:tcPr>
            <w:tcW w:w="4903" w:type="dxa"/>
            <w:shd w:val="clear" w:color="auto" w:fill="auto"/>
          </w:tcPr>
          <w:p w:rsidR="00B233DE" w:rsidRPr="00714232" w:rsidRDefault="00B233DE" w:rsidP="0023489B">
            <w:pPr>
              <w:autoSpaceDE w:val="0"/>
              <w:autoSpaceDN w:val="0"/>
              <w:adjustRightInd w:val="0"/>
              <w:ind w:firstLine="0"/>
              <w:jc w:val="both"/>
              <w:rPr>
                <w:rFonts w:ascii="Times New Roman" w:eastAsia="Times New Roman" w:hAnsi="Times New Roman"/>
                <w:sz w:val="18"/>
                <w:szCs w:val="18"/>
              </w:rPr>
            </w:pPr>
            <w:r w:rsidRPr="00714232">
              <w:rPr>
                <w:rFonts w:ascii="Times New Roman" w:eastAsia="Times New Roman" w:hAnsi="Times New Roman"/>
                <w:sz w:val="18"/>
                <w:szCs w:val="18"/>
              </w:rPr>
              <w:t>Транспорт, освіта, водопостачання, управління відходами</w:t>
            </w:r>
          </w:p>
        </w:tc>
      </w:tr>
      <w:tr w:rsidR="00B233DE" w:rsidRPr="00714232" w:rsidTr="0023489B">
        <w:trPr>
          <w:jc w:val="center"/>
        </w:trPr>
        <w:tc>
          <w:tcPr>
            <w:tcW w:w="1329" w:type="dxa"/>
            <w:shd w:val="clear" w:color="auto" w:fill="auto"/>
          </w:tcPr>
          <w:p w:rsidR="00B233DE" w:rsidRPr="00714232" w:rsidRDefault="00B233DE" w:rsidP="0023489B">
            <w:pPr>
              <w:widowControl w:val="0"/>
              <w:ind w:firstLine="0"/>
              <w:rPr>
                <w:rFonts w:ascii="Times New Roman" w:eastAsia="Times New Roman" w:hAnsi="Times New Roman"/>
                <w:sz w:val="18"/>
                <w:szCs w:val="18"/>
              </w:rPr>
            </w:pPr>
            <w:r w:rsidRPr="00714232">
              <w:rPr>
                <w:rFonts w:ascii="Times New Roman" w:eastAsia="Times New Roman" w:hAnsi="Times New Roman"/>
                <w:iCs/>
                <w:sz w:val="18"/>
                <w:szCs w:val="18"/>
              </w:rPr>
              <w:t>Італія</w:t>
            </w:r>
          </w:p>
        </w:tc>
        <w:tc>
          <w:tcPr>
            <w:tcW w:w="4903" w:type="dxa"/>
            <w:shd w:val="clear" w:color="auto" w:fill="auto"/>
          </w:tcPr>
          <w:p w:rsidR="00B233DE" w:rsidRPr="00714232" w:rsidRDefault="00B233DE" w:rsidP="0023489B">
            <w:pPr>
              <w:widowControl w:val="0"/>
              <w:ind w:firstLine="0"/>
              <w:jc w:val="both"/>
              <w:rPr>
                <w:rFonts w:ascii="Times New Roman" w:eastAsia="Times New Roman" w:hAnsi="Times New Roman"/>
                <w:sz w:val="18"/>
                <w:szCs w:val="18"/>
              </w:rPr>
            </w:pPr>
            <w:r w:rsidRPr="00714232">
              <w:rPr>
                <w:rFonts w:ascii="Times New Roman" w:eastAsia="Times New Roman" w:hAnsi="Times New Roman"/>
                <w:sz w:val="18"/>
                <w:szCs w:val="18"/>
              </w:rPr>
              <w:t>Лікарні, транспорт, управління відходами</w:t>
            </w:r>
          </w:p>
        </w:tc>
      </w:tr>
      <w:tr w:rsidR="00B233DE" w:rsidRPr="00714232" w:rsidTr="0023489B">
        <w:trPr>
          <w:jc w:val="center"/>
        </w:trPr>
        <w:tc>
          <w:tcPr>
            <w:tcW w:w="1329" w:type="dxa"/>
            <w:shd w:val="clear" w:color="auto" w:fill="auto"/>
          </w:tcPr>
          <w:p w:rsidR="00B233DE" w:rsidRPr="00714232" w:rsidRDefault="00B233DE" w:rsidP="0023489B">
            <w:pPr>
              <w:widowControl w:val="0"/>
              <w:ind w:firstLine="0"/>
              <w:rPr>
                <w:rFonts w:ascii="Times New Roman" w:eastAsia="Times New Roman" w:hAnsi="Times New Roman"/>
                <w:sz w:val="18"/>
                <w:szCs w:val="18"/>
              </w:rPr>
            </w:pPr>
            <w:r w:rsidRPr="00714232">
              <w:rPr>
                <w:rFonts w:ascii="Times New Roman" w:eastAsia="Times New Roman" w:hAnsi="Times New Roman"/>
                <w:iCs/>
                <w:sz w:val="18"/>
                <w:szCs w:val="18"/>
              </w:rPr>
              <w:t>Нідерланди</w:t>
            </w:r>
          </w:p>
        </w:tc>
        <w:tc>
          <w:tcPr>
            <w:tcW w:w="4903" w:type="dxa"/>
            <w:shd w:val="clear" w:color="auto" w:fill="auto"/>
          </w:tcPr>
          <w:p w:rsidR="00B233DE" w:rsidRPr="00714232" w:rsidRDefault="00B233DE" w:rsidP="0023489B">
            <w:pPr>
              <w:widowControl w:val="0"/>
              <w:ind w:firstLine="0"/>
              <w:jc w:val="both"/>
              <w:rPr>
                <w:rFonts w:ascii="Times New Roman" w:eastAsia="Times New Roman" w:hAnsi="Times New Roman"/>
                <w:sz w:val="18"/>
                <w:szCs w:val="18"/>
              </w:rPr>
            </w:pPr>
            <w:r w:rsidRPr="00714232">
              <w:rPr>
                <w:rFonts w:ascii="Times New Roman" w:eastAsia="Times New Roman" w:hAnsi="Times New Roman"/>
                <w:sz w:val="18"/>
                <w:szCs w:val="18"/>
              </w:rPr>
              <w:t>Водопостачання, швидкісні залізничні магістралі</w:t>
            </w:r>
          </w:p>
        </w:tc>
      </w:tr>
      <w:tr w:rsidR="00B233DE" w:rsidRPr="00714232" w:rsidTr="0023489B">
        <w:trPr>
          <w:jc w:val="center"/>
        </w:trPr>
        <w:tc>
          <w:tcPr>
            <w:tcW w:w="1329" w:type="dxa"/>
            <w:shd w:val="clear" w:color="auto" w:fill="auto"/>
          </w:tcPr>
          <w:p w:rsidR="00B233DE" w:rsidRPr="00714232" w:rsidRDefault="00B233DE" w:rsidP="0023489B">
            <w:pPr>
              <w:widowControl w:val="0"/>
              <w:ind w:firstLine="0"/>
              <w:rPr>
                <w:rFonts w:ascii="Times New Roman" w:eastAsia="Times New Roman" w:hAnsi="Times New Roman"/>
                <w:sz w:val="18"/>
                <w:szCs w:val="18"/>
              </w:rPr>
            </w:pPr>
            <w:r w:rsidRPr="00714232">
              <w:rPr>
                <w:rFonts w:ascii="Times New Roman" w:eastAsia="Times New Roman" w:hAnsi="Times New Roman"/>
                <w:iCs/>
                <w:sz w:val="18"/>
                <w:szCs w:val="18"/>
              </w:rPr>
              <w:t>Португалія</w:t>
            </w:r>
          </w:p>
        </w:tc>
        <w:tc>
          <w:tcPr>
            <w:tcW w:w="4903" w:type="dxa"/>
            <w:shd w:val="clear" w:color="auto" w:fill="auto"/>
          </w:tcPr>
          <w:p w:rsidR="00B233DE" w:rsidRPr="00714232" w:rsidRDefault="00B233DE" w:rsidP="0023489B">
            <w:pPr>
              <w:widowControl w:val="0"/>
              <w:ind w:firstLine="0"/>
              <w:jc w:val="both"/>
              <w:rPr>
                <w:rFonts w:ascii="Times New Roman" w:eastAsia="Times New Roman" w:hAnsi="Times New Roman"/>
                <w:sz w:val="18"/>
                <w:szCs w:val="18"/>
              </w:rPr>
            </w:pPr>
            <w:r w:rsidRPr="00714232">
              <w:rPr>
                <w:rFonts w:ascii="Times New Roman" w:eastAsia="Times New Roman" w:hAnsi="Times New Roman"/>
                <w:sz w:val="18"/>
                <w:szCs w:val="18"/>
              </w:rPr>
              <w:t>Аеропорти, дорожні концесії</w:t>
            </w:r>
          </w:p>
        </w:tc>
      </w:tr>
      <w:tr w:rsidR="00B233DE" w:rsidRPr="00714232" w:rsidTr="0023489B">
        <w:trPr>
          <w:jc w:val="center"/>
        </w:trPr>
        <w:tc>
          <w:tcPr>
            <w:tcW w:w="1329" w:type="dxa"/>
            <w:shd w:val="clear" w:color="auto" w:fill="auto"/>
          </w:tcPr>
          <w:p w:rsidR="00B233DE" w:rsidRPr="00714232" w:rsidRDefault="00B233DE" w:rsidP="0023489B">
            <w:pPr>
              <w:widowControl w:val="0"/>
              <w:ind w:firstLine="0"/>
              <w:rPr>
                <w:rFonts w:ascii="Times New Roman" w:eastAsia="Times New Roman" w:hAnsi="Times New Roman"/>
                <w:sz w:val="18"/>
                <w:szCs w:val="18"/>
              </w:rPr>
            </w:pPr>
            <w:r w:rsidRPr="00714232">
              <w:rPr>
                <w:rFonts w:ascii="Times New Roman" w:eastAsia="Times New Roman" w:hAnsi="Times New Roman"/>
                <w:iCs/>
                <w:sz w:val="18"/>
                <w:szCs w:val="18"/>
              </w:rPr>
              <w:t>Іспанія</w:t>
            </w:r>
          </w:p>
        </w:tc>
        <w:tc>
          <w:tcPr>
            <w:tcW w:w="4903" w:type="dxa"/>
            <w:shd w:val="clear" w:color="auto" w:fill="auto"/>
          </w:tcPr>
          <w:p w:rsidR="00B233DE" w:rsidRPr="00714232" w:rsidRDefault="00B233DE" w:rsidP="0023489B">
            <w:pPr>
              <w:autoSpaceDE w:val="0"/>
              <w:autoSpaceDN w:val="0"/>
              <w:adjustRightInd w:val="0"/>
              <w:ind w:firstLine="0"/>
              <w:jc w:val="both"/>
              <w:rPr>
                <w:rFonts w:ascii="Times New Roman" w:eastAsia="Times New Roman" w:hAnsi="Times New Roman"/>
                <w:sz w:val="18"/>
                <w:szCs w:val="18"/>
              </w:rPr>
            </w:pPr>
            <w:r w:rsidRPr="00714232">
              <w:rPr>
                <w:rFonts w:ascii="Times New Roman" w:eastAsia="Times New Roman" w:hAnsi="Times New Roman"/>
                <w:sz w:val="18"/>
                <w:szCs w:val="18"/>
              </w:rPr>
              <w:t>Концесії на спорудження автомагістралей, концесії на спорудження регіональних доріг</w:t>
            </w:r>
          </w:p>
        </w:tc>
      </w:tr>
      <w:tr w:rsidR="00B233DE" w:rsidRPr="00714232" w:rsidTr="0023489B">
        <w:trPr>
          <w:jc w:val="center"/>
        </w:trPr>
        <w:tc>
          <w:tcPr>
            <w:tcW w:w="1329" w:type="dxa"/>
            <w:shd w:val="clear" w:color="auto" w:fill="auto"/>
          </w:tcPr>
          <w:p w:rsidR="00B233DE" w:rsidRPr="00714232" w:rsidRDefault="00B233DE" w:rsidP="0023489B">
            <w:pPr>
              <w:widowControl w:val="0"/>
              <w:ind w:firstLine="0"/>
              <w:rPr>
                <w:rFonts w:ascii="Times New Roman" w:eastAsia="Times New Roman" w:hAnsi="Times New Roman"/>
                <w:sz w:val="18"/>
                <w:szCs w:val="18"/>
              </w:rPr>
            </w:pPr>
            <w:r w:rsidRPr="00714232">
              <w:rPr>
                <w:rFonts w:ascii="Times New Roman" w:eastAsia="Times New Roman" w:hAnsi="Times New Roman"/>
                <w:iCs/>
                <w:sz w:val="18"/>
                <w:szCs w:val="18"/>
              </w:rPr>
              <w:t>Японія</w:t>
            </w:r>
          </w:p>
        </w:tc>
        <w:tc>
          <w:tcPr>
            <w:tcW w:w="4903" w:type="dxa"/>
            <w:shd w:val="clear" w:color="auto" w:fill="auto"/>
          </w:tcPr>
          <w:p w:rsidR="00B233DE" w:rsidRPr="00714232" w:rsidRDefault="00B233DE" w:rsidP="0023489B">
            <w:pPr>
              <w:autoSpaceDE w:val="0"/>
              <w:autoSpaceDN w:val="0"/>
              <w:adjustRightInd w:val="0"/>
              <w:ind w:firstLine="0"/>
              <w:jc w:val="both"/>
              <w:rPr>
                <w:rFonts w:ascii="Times New Roman" w:eastAsia="Times New Roman" w:hAnsi="Times New Roman"/>
                <w:sz w:val="18"/>
                <w:szCs w:val="18"/>
              </w:rPr>
            </w:pPr>
            <w:r w:rsidRPr="00714232">
              <w:rPr>
                <w:rFonts w:ascii="Times New Roman" w:eastAsia="Times New Roman" w:hAnsi="Times New Roman"/>
                <w:sz w:val="18"/>
                <w:szCs w:val="18"/>
              </w:rPr>
              <w:t>Охорона здоров’я, житло, інформаційні технології та транспорт на регіональному рівні</w:t>
            </w:r>
          </w:p>
        </w:tc>
      </w:tr>
      <w:tr w:rsidR="00B233DE" w:rsidRPr="00714232" w:rsidTr="0023489B">
        <w:trPr>
          <w:jc w:val="center"/>
        </w:trPr>
        <w:tc>
          <w:tcPr>
            <w:tcW w:w="1329" w:type="dxa"/>
            <w:shd w:val="clear" w:color="auto" w:fill="auto"/>
          </w:tcPr>
          <w:p w:rsidR="00B233DE" w:rsidRPr="00714232" w:rsidRDefault="00B233DE" w:rsidP="0023489B">
            <w:pPr>
              <w:widowControl w:val="0"/>
              <w:ind w:firstLine="0"/>
              <w:rPr>
                <w:rFonts w:ascii="Times New Roman" w:eastAsia="Times New Roman" w:hAnsi="Times New Roman"/>
                <w:sz w:val="18"/>
                <w:szCs w:val="18"/>
              </w:rPr>
            </w:pPr>
            <w:r w:rsidRPr="00714232">
              <w:rPr>
                <w:rFonts w:ascii="Times New Roman" w:eastAsia="Times New Roman" w:hAnsi="Times New Roman"/>
                <w:iCs/>
                <w:sz w:val="18"/>
                <w:szCs w:val="18"/>
              </w:rPr>
              <w:t>Австралія</w:t>
            </w:r>
          </w:p>
        </w:tc>
        <w:tc>
          <w:tcPr>
            <w:tcW w:w="4903" w:type="dxa"/>
            <w:shd w:val="clear" w:color="auto" w:fill="auto"/>
          </w:tcPr>
          <w:p w:rsidR="00B233DE" w:rsidRPr="00714232" w:rsidRDefault="00B233DE" w:rsidP="0023489B">
            <w:pPr>
              <w:autoSpaceDE w:val="0"/>
              <w:autoSpaceDN w:val="0"/>
              <w:adjustRightInd w:val="0"/>
              <w:ind w:firstLine="0"/>
              <w:jc w:val="both"/>
              <w:rPr>
                <w:rFonts w:ascii="Times New Roman" w:eastAsia="Times New Roman" w:hAnsi="Times New Roman"/>
                <w:sz w:val="18"/>
                <w:szCs w:val="18"/>
              </w:rPr>
            </w:pPr>
            <w:r w:rsidRPr="00714232">
              <w:rPr>
                <w:rFonts w:ascii="Times New Roman" w:eastAsia="Times New Roman" w:hAnsi="Times New Roman"/>
                <w:sz w:val="18"/>
                <w:szCs w:val="18"/>
              </w:rPr>
              <w:t>Дороги (Мельбурн), лікарні (штати Вікторія та Новий Південний Вельс), в’язниці (штати Вікторія та Західна Австралія)</w:t>
            </w:r>
          </w:p>
        </w:tc>
      </w:tr>
    </w:tbl>
    <w:p w:rsidR="00B233DE" w:rsidRPr="00182552" w:rsidRDefault="00B233DE" w:rsidP="00B233DE">
      <w:pPr>
        <w:widowControl w:val="0"/>
        <w:ind w:firstLine="709"/>
        <w:jc w:val="both"/>
        <w:rPr>
          <w:rFonts w:ascii="Times New Roman" w:hAnsi="Times New Roman"/>
          <w:sz w:val="21"/>
          <w:szCs w:val="21"/>
        </w:rPr>
      </w:pP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У країнах з розвиненою ринковою економікою та сильним місцевим самоврядуванням, місцеві запозичення є одним з основних джерел фінансування довгострокових та дорогих інвестиційних проектів на місцевому рівні.</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Муніципальні позики – це операції, пов’язані з одержанням коштів на умовах повернення, платності і строковості, у результаті яких з’являються зобов’язання перед бюджетом, пов’язані з поверненням цих коштів. Позики до місцевого бюджету можуть здійснюватися лише у бюджет розвитку або для покриття тимчасових касових розривів у період виконання місцевого бюджету.</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Місцеві позики виникають у таких формах:</w:t>
      </w:r>
    </w:p>
    <w:p w:rsidR="00B233DE" w:rsidRPr="00182552" w:rsidRDefault="00B233DE" w:rsidP="00B233DE">
      <w:pPr>
        <w:pStyle w:val="ad"/>
        <w:widowControl w:val="0"/>
        <w:numPr>
          <w:ilvl w:val="1"/>
          <w:numId w:val="55"/>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позики (позички) з бюджетів вищого рівня;</w:t>
      </w:r>
    </w:p>
    <w:p w:rsidR="00B233DE" w:rsidRPr="00182552" w:rsidRDefault="00B233DE" w:rsidP="00B233DE">
      <w:pPr>
        <w:pStyle w:val="ad"/>
        <w:widowControl w:val="0"/>
        <w:numPr>
          <w:ilvl w:val="1"/>
          <w:numId w:val="55"/>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позики у комерційних банках;</w:t>
      </w:r>
    </w:p>
    <w:p w:rsidR="00B233DE" w:rsidRPr="00182552" w:rsidRDefault="00B233DE" w:rsidP="00B233DE">
      <w:pPr>
        <w:pStyle w:val="ad"/>
        <w:widowControl w:val="0"/>
        <w:numPr>
          <w:ilvl w:val="1"/>
          <w:numId w:val="55"/>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бюджетні гарантії при позиках комерційних структур, у тому числі на потреби дохідної частини місцевого бюджету (у частині будівництва шкіл, лікарень і т. ін.)</w:t>
      </w:r>
    </w:p>
    <w:p w:rsidR="00B233DE" w:rsidRPr="00182552" w:rsidRDefault="00B233DE" w:rsidP="00B233DE">
      <w:pPr>
        <w:pStyle w:val="ad"/>
        <w:widowControl w:val="0"/>
        <w:numPr>
          <w:ilvl w:val="1"/>
          <w:numId w:val="55"/>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випуск муніципальних цінних паперів [</w:t>
      </w:r>
      <w:r w:rsidR="00FC3E63">
        <w:rPr>
          <w:rStyle w:val="rvts64"/>
          <w:rFonts w:ascii="Times New Roman" w:hAnsi="Times New Roman" w:cs="Times New Roman"/>
          <w:color w:val="000000" w:themeColor="text1"/>
          <w:sz w:val="21"/>
          <w:szCs w:val="21"/>
          <w:highlight w:val="yellow"/>
        </w:rPr>
        <w:fldChar w:fldCharType="begin"/>
      </w:r>
      <w:r w:rsidR="00FC3E63">
        <w:rPr>
          <w:rFonts w:ascii="Times New Roman" w:hAnsi="Times New Roman"/>
          <w:sz w:val="21"/>
          <w:szCs w:val="21"/>
        </w:rPr>
        <w:instrText xml:space="preserve"> REF _Ref436211533 \r \h </w:instrText>
      </w:r>
      <w:r w:rsidR="00FC3E63">
        <w:rPr>
          <w:rStyle w:val="rvts64"/>
          <w:rFonts w:ascii="Times New Roman" w:hAnsi="Times New Roman" w:cs="Times New Roman"/>
          <w:color w:val="000000" w:themeColor="text1"/>
          <w:sz w:val="21"/>
          <w:szCs w:val="21"/>
          <w:highlight w:val="yellow"/>
        </w:rPr>
      </w:r>
      <w:r w:rsidR="00FC3E63">
        <w:rPr>
          <w:rStyle w:val="rvts64"/>
          <w:rFonts w:ascii="Times New Roman" w:hAnsi="Times New Roman" w:cs="Times New Roman"/>
          <w:color w:val="000000" w:themeColor="text1"/>
          <w:sz w:val="21"/>
          <w:szCs w:val="21"/>
          <w:highlight w:val="yellow"/>
        </w:rPr>
        <w:fldChar w:fldCharType="separate"/>
      </w:r>
      <w:r w:rsidR="00FC3E63">
        <w:rPr>
          <w:rFonts w:ascii="Times New Roman" w:hAnsi="Times New Roman"/>
          <w:sz w:val="21"/>
          <w:szCs w:val="21"/>
        </w:rPr>
        <w:t>6</w:t>
      </w:r>
      <w:r w:rsidR="00FC3E63">
        <w:rPr>
          <w:rStyle w:val="rvts64"/>
          <w:rFonts w:ascii="Times New Roman" w:hAnsi="Times New Roman" w:cs="Times New Roman"/>
          <w:color w:val="000000" w:themeColor="text1"/>
          <w:sz w:val="21"/>
          <w:szCs w:val="21"/>
          <w:highlight w:val="yellow"/>
        </w:rPr>
        <w:fldChar w:fldCharType="end"/>
      </w:r>
      <w:r w:rsidRPr="00182552">
        <w:rPr>
          <w:rFonts w:ascii="Times New Roman" w:hAnsi="Times New Roman"/>
          <w:sz w:val="21"/>
          <w:szCs w:val="21"/>
        </w:rPr>
        <w:t>].</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 xml:space="preserve">Кошти, залучені шляхом взяття місцевої позики, </w:t>
      </w:r>
      <w:r w:rsidRPr="00182552">
        <w:rPr>
          <w:rFonts w:ascii="Times New Roman" w:hAnsi="Times New Roman"/>
          <w:sz w:val="21"/>
          <w:szCs w:val="21"/>
        </w:rPr>
        <w:lastRenderedPageBreak/>
        <w:t>використовуються для спорудження та утримання низки об’єктів, функціонування яких має важливе значення для відповідної територіальної громади, зокрема лікарень, шкіл, місцевих електростанцій тощо, а також для фінансування різного роду міських проектів: реконструкції системи освітлення, будівництва житла, мостів, очисних споруд, насосних станцій, системи водозабезпечення.</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Позики з державного бюджету надаються місцевим бюджетам для покриття тимчасових касових розривів у період виконання загального фонду бюджету протягом бюджетного року. Часто такі позики перетворюються в непрямі форми дотації місцевих бюджетів, оскільки вони або пролонговуються, або зовсім списуються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_Ref436211554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15</w:t>
      </w:r>
      <w:r w:rsidR="00FC3E63">
        <w:rPr>
          <w:rFonts w:ascii="Times New Roman" w:hAnsi="Times New Roman" w:cs="Times New Roman"/>
          <w:bCs/>
          <w:color w:val="000000" w:themeColor="text1"/>
          <w:sz w:val="21"/>
          <w:szCs w:val="21"/>
          <w:highlight w:val="yellow"/>
        </w:rPr>
        <w:fldChar w:fldCharType="end"/>
      </w:r>
      <w:r w:rsidRPr="00182552">
        <w:rPr>
          <w:rFonts w:ascii="Times New Roman" w:hAnsi="Times New Roman"/>
          <w:sz w:val="21"/>
          <w:szCs w:val="21"/>
        </w:rPr>
        <w:t>].</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Відсутність широкої практики залучення кредитів для фінансування бюджетних потреб органами місцевого самоврядування зумовлена високими процентними ставками, що призводять до значного додаткового бюджетного навантаження при виконанні видаткової частини.</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Ще однією з форм виникнення зобов’язань місцевих бюджетів є надання ними гарантій під позики комерційних банків. У випадку несвоєчасного погашення кредитів банкам, бюджетна гарантія набирає сили. Крім того, місцеві органи влади можуть проводити цільові муніципальні позики під конкретні заходи, у яких зацікавлені територіальні об’єднання громадян (наприклад, будівництво доріг і т. ін.).</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За термінами погашення позикових коштів позики поділяються на короткострокові (до 5 років) і довгострокові (понад 5 років).</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Держава не несе відповідальності по зобов’язаннях щодо запозичень до місцевих бюджетів. Видатки на обслуговування боргу здійснюються за рахунок коштів загального фонду бюджету і не можуть щорічно перевищувати 10 % обсягу видатків загального фонду відповідного місцевого бюджету протягом будь-якого бюджетного періоду, коли планується обслуговування боргу.</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Якщо у процесі погашення основної суми боргу та платежів щодо його обслуговування, обумовленої договором між кредитором та позичальником, має місце порушення графіка погашення з вини позичальника, відповідна рада не має права здійснювати нові запозичення протягом 5 наступних років [</w:t>
      </w:r>
      <w:r w:rsidR="00FC3E63">
        <w:rPr>
          <w:rStyle w:val="rvts64"/>
          <w:rFonts w:ascii="Times New Roman" w:hAnsi="Times New Roman" w:cs="Times New Roman"/>
          <w:color w:val="000000" w:themeColor="text1"/>
          <w:sz w:val="21"/>
          <w:szCs w:val="21"/>
          <w:highlight w:val="yellow"/>
        </w:rPr>
        <w:fldChar w:fldCharType="begin"/>
      </w:r>
      <w:r w:rsidR="00FC3E63">
        <w:rPr>
          <w:rFonts w:ascii="Times New Roman" w:hAnsi="Times New Roman"/>
          <w:sz w:val="21"/>
          <w:szCs w:val="21"/>
        </w:rPr>
        <w:instrText xml:space="preserve"> REF _Ref436211533 \r \h </w:instrText>
      </w:r>
      <w:r w:rsidR="00FC3E63">
        <w:rPr>
          <w:rStyle w:val="rvts64"/>
          <w:rFonts w:ascii="Times New Roman" w:hAnsi="Times New Roman" w:cs="Times New Roman"/>
          <w:color w:val="000000" w:themeColor="text1"/>
          <w:sz w:val="21"/>
          <w:szCs w:val="21"/>
          <w:highlight w:val="yellow"/>
        </w:rPr>
      </w:r>
      <w:r w:rsidR="00FC3E63">
        <w:rPr>
          <w:rStyle w:val="rvts64"/>
          <w:rFonts w:ascii="Times New Roman" w:hAnsi="Times New Roman" w:cs="Times New Roman"/>
          <w:color w:val="000000" w:themeColor="text1"/>
          <w:sz w:val="21"/>
          <w:szCs w:val="21"/>
          <w:highlight w:val="yellow"/>
        </w:rPr>
        <w:fldChar w:fldCharType="separate"/>
      </w:r>
      <w:r w:rsidR="00FC3E63">
        <w:rPr>
          <w:rFonts w:ascii="Times New Roman" w:hAnsi="Times New Roman"/>
          <w:sz w:val="21"/>
          <w:szCs w:val="21"/>
        </w:rPr>
        <w:t>6</w:t>
      </w:r>
      <w:r w:rsidR="00FC3E63">
        <w:rPr>
          <w:rStyle w:val="rvts64"/>
          <w:rFonts w:ascii="Times New Roman" w:hAnsi="Times New Roman" w:cs="Times New Roman"/>
          <w:color w:val="000000" w:themeColor="text1"/>
          <w:sz w:val="21"/>
          <w:szCs w:val="21"/>
          <w:highlight w:val="yellow"/>
        </w:rPr>
        <w:fldChar w:fldCharType="end"/>
      </w:r>
      <w:r w:rsidRPr="00182552">
        <w:rPr>
          <w:rFonts w:ascii="Times New Roman" w:hAnsi="Times New Roman"/>
          <w:sz w:val="21"/>
          <w:szCs w:val="21"/>
        </w:rPr>
        <w:t>].</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lastRenderedPageBreak/>
        <w:t>Запозичення до місцевих бюджетів здійснюються на визначену мету і можуть бути включені лише до бюджету розвитку, який є складовою частиною спеціального фонду місцевих бюджетів.</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У зарубіжних країнах місцеві позики – основний спосіб капіталовкладень, які здійснюються місцевими органами влади. Місцеві позики є нетрадиційним джерелом залучення фінансових ресурсів у місцевий бюджет для зміцнення фінансової самостійності місцевого самоврядування та прогресивним механізмом інвестиційної і грошово-кредитної політики. Використовуючи такий механізм, можна впливати на регіональну політику шляхом мобілізації заощаджень та накопичень у суб’єктів господарювання, головною метою яких є реалізація соціально-інвестиційних програм на місцевому рівні.</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У багатьох країнах розміщення місцевих позик підлягає погодженню чи реєстрації центральними органами, які підтверджують законність запозичення і гарантують, що предмети застави і спеціально обумовлені механізми захисту прав кредиторів не суперечать національному (регіональному) законодавству. Як правило, центральний уряд не гарантує виконання зобов’язань за місцевими боргами з метою уникнення проблеми морального ризику: муніципалітети, які очікують на таку підтримку, не мають стимулів для проведення здорової економічної політики і зваженого управління своїм боргом, в той час як кредитори не приділяють належної уваги аналізу кредитоспроможності позичальника. Відсутність гарантій центрального уряду за місцевими позиками зафіксована у національному законодавстві Південної Африки, Мексики і деяких інших країн. Обмеження, які накладаються центральним урядом на муніципальні борги і позики, застосовуються щодо суми та обсягу запозичення, мети запозичення і напрямів використання коштів, видів забезпечення і способів захисту порушених прав кредиторів.</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 xml:space="preserve">«Золоте правило» (використання запозичених коштів виключно на фінансування капітальних видатків) зафіксоване у законодавстві Бразилії, Південної Африки, Індії. Правила, які обмежують позики місцевих органів влади інвестиційними цілями, застосовуються також у Канаді, США, Австрії, Німеччині, Франції, Швейцарії, Нідерландах, Швеції. Так, у Нідерландах муніципалітетам дозволено залучати ресурси на ринку капіталів </w:t>
      </w:r>
      <w:r w:rsidRPr="00182552">
        <w:rPr>
          <w:rFonts w:ascii="Times New Roman" w:hAnsi="Times New Roman"/>
          <w:sz w:val="21"/>
          <w:szCs w:val="21"/>
        </w:rPr>
        <w:lastRenderedPageBreak/>
        <w:t>лише з метою фінансування закупівлі основних засобів. У Швеції муніципальні позики можуть застосовуватися лише для фінансування проектів капітального будівництва. Найчастіше такі проекти реалізуються у галузях освіти, охорони здоров’я, енергопостачання, газопостачання, водопостачання, будівництво електростанцій, реконструкцію міських споруд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_Ref436211545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40</w:t>
      </w:r>
      <w:r w:rsidR="00FC3E63">
        <w:rPr>
          <w:rFonts w:ascii="Times New Roman" w:hAnsi="Times New Roman" w:cs="Times New Roman"/>
          <w:bCs/>
          <w:color w:val="000000" w:themeColor="text1"/>
          <w:sz w:val="21"/>
          <w:szCs w:val="21"/>
          <w:highlight w:val="yellow"/>
        </w:rPr>
        <w:fldChar w:fldCharType="end"/>
      </w:r>
      <w:r>
        <w:rPr>
          <w:rFonts w:ascii="Times New Roman" w:hAnsi="Times New Roman"/>
          <w:sz w:val="21"/>
          <w:szCs w:val="21"/>
        </w:rPr>
        <w:t xml:space="preserve">, с. </w:t>
      </w:r>
      <w:r w:rsidRPr="00182552">
        <w:rPr>
          <w:rFonts w:ascii="Times New Roman" w:hAnsi="Times New Roman"/>
          <w:sz w:val="21"/>
          <w:szCs w:val="21"/>
        </w:rPr>
        <w:t>45].</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У США муніципалітети, поряд з облігаціями під загальне забезпечення, випускають дохідні облігації (геvenues bоnds), що емітуються під певний проект і забезпечені доходами від реалізації проекту. Американські дохідні облігації використовуються для фінансування проектів у галузях транспорту (автошляхи, порти, аеропорти) і житлово-комунального господарства (системи водопостачання і водовідведення, постачання електроенергії та природного газу).</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Використання запозичень органами місцевого самоврядування в Україні чітко регулюється державою. Без погодження Міністерства фінансів України, яке оцінює доцільність запозичень і здатність муніципалітету виконати взяті на себе фінансові зобов’язання, випуск муніципальних облігацій неможливий. Міністерство фінансів також стежить за цільовим використанням залучених коштів та вчасними розрахунками.</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Регіональні суб’єкти соціальної політики дедалі частіше починають використовувати такий інструмент, як місцеві позики. Зокрема, Вінницька міська влада вперше залучила до бюджету розвитку додаткові кошти у вигляді запозичень у формі облігацій внутрішньої місцевої позики у 2006 році. Отримані кошти були спрямовані на реконструкцію доріг обласного центру. Протягом трьох років на капітальний ремонт автошляхів було спрямовано 45 мільйонів запозичених коштів. У результаті за період з 2006 до 2009 року за рахунок цих коштів та інших джерел фіна</w:t>
      </w:r>
      <w:r>
        <w:rPr>
          <w:rFonts w:ascii="Times New Roman" w:hAnsi="Times New Roman"/>
          <w:sz w:val="21"/>
          <w:szCs w:val="21"/>
        </w:rPr>
        <w:t xml:space="preserve">нсування приведено до ладу 44,6 км або 25,6 </w:t>
      </w:r>
      <w:r w:rsidRPr="00182552">
        <w:rPr>
          <w:rFonts w:ascii="Times New Roman" w:hAnsi="Times New Roman"/>
          <w:sz w:val="21"/>
          <w:szCs w:val="21"/>
        </w:rPr>
        <w:t>% від загальної протяжності доріг міста з асфальтобетонним покриттям.</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Водночас існує низка чинників, які перешкоджають успішному функціонуванню вітчизняної системи муніципальних запозичень, а саме:</w:t>
      </w:r>
    </w:p>
    <w:p w:rsidR="00B233DE" w:rsidRPr="00182552" w:rsidRDefault="00B233DE" w:rsidP="00B233DE">
      <w:pPr>
        <w:pStyle w:val="ad"/>
        <w:widowControl w:val="0"/>
        <w:numPr>
          <w:ilvl w:val="1"/>
          <w:numId w:val="56"/>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низька фінансова автономність органів місцевого самоврядування;</w:t>
      </w:r>
    </w:p>
    <w:p w:rsidR="00B233DE" w:rsidRPr="00182552" w:rsidRDefault="00B233DE" w:rsidP="00B233DE">
      <w:pPr>
        <w:pStyle w:val="ad"/>
        <w:widowControl w:val="0"/>
        <w:numPr>
          <w:ilvl w:val="1"/>
          <w:numId w:val="56"/>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недостатньо розвинуті ринок місцевих запозичень та фінансовий ринок загалом, їхня інфраструктура;</w:t>
      </w:r>
    </w:p>
    <w:p w:rsidR="00B233DE" w:rsidRPr="00182552" w:rsidRDefault="00B233DE" w:rsidP="00B233DE">
      <w:pPr>
        <w:pStyle w:val="ad"/>
        <w:widowControl w:val="0"/>
        <w:numPr>
          <w:ilvl w:val="1"/>
          <w:numId w:val="56"/>
        </w:numPr>
        <w:tabs>
          <w:tab w:val="left" w:pos="993"/>
        </w:tabs>
        <w:ind w:left="0" w:firstLine="709"/>
        <w:jc w:val="both"/>
        <w:rPr>
          <w:rFonts w:ascii="Times New Roman" w:hAnsi="Times New Roman"/>
          <w:sz w:val="21"/>
          <w:szCs w:val="21"/>
        </w:rPr>
      </w:pPr>
      <w:r w:rsidRPr="00182552">
        <w:rPr>
          <w:rFonts w:ascii="Times New Roman" w:hAnsi="Times New Roman"/>
          <w:sz w:val="21"/>
          <w:szCs w:val="21"/>
        </w:rPr>
        <w:lastRenderedPageBreak/>
        <w:t>слабкий захист прав кредиторів у випадку дефолтів місцевих органів влади, зумовлений відсутністю належних правових норм, низькою ліквідністю предметів застави, неефективністю судової системи;</w:t>
      </w:r>
    </w:p>
    <w:p w:rsidR="00B233DE" w:rsidRPr="00182552" w:rsidRDefault="00B233DE" w:rsidP="00B233DE">
      <w:pPr>
        <w:pStyle w:val="ad"/>
        <w:widowControl w:val="0"/>
        <w:numPr>
          <w:ilvl w:val="1"/>
          <w:numId w:val="56"/>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складний процес оцінки ризиків і моніторингу інвестиційного проекту;</w:t>
      </w:r>
    </w:p>
    <w:p w:rsidR="00B233DE" w:rsidRPr="00182552" w:rsidRDefault="00B233DE" w:rsidP="00B233DE">
      <w:pPr>
        <w:pStyle w:val="ad"/>
        <w:widowControl w:val="0"/>
        <w:numPr>
          <w:ilvl w:val="1"/>
          <w:numId w:val="56"/>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касовий метод бюджетного обліку, який застосовується в Україні, не дає можливості отримувати повну та об’єктивну інформацію про фінансовий стан позичальників;</w:t>
      </w:r>
    </w:p>
    <w:p w:rsidR="00B233DE" w:rsidRPr="00182552" w:rsidRDefault="00B233DE" w:rsidP="00B233DE">
      <w:pPr>
        <w:pStyle w:val="ad"/>
        <w:widowControl w:val="0"/>
        <w:numPr>
          <w:ilvl w:val="1"/>
          <w:numId w:val="56"/>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висока ймовірність неефективного використання запозичених коштів, викликана відсутністю навичок управління проектами на місцевому рівні</w:t>
      </w:r>
      <w:r>
        <w:rPr>
          <w:rFonts w:ascii="Times New Roman" w:hAnsi="Times New Roman"/>
          <w:sz w:val="21"/>
          <w:szCs w:val="21"/>
        </w:rPr>
        <w:t xml:space="preserve"> </w:t>
      </w:r>
      <w:r w:rsidRPr="00182552">
        <w:rPr>
          <w:rFonts w:ascii="Times New Roman" w:hAnsi="Times New Roman"/>
          <w:sz w:val="21"/>
          <w:szCs w:val="21"/>
        </w:rPr>
        <w:t>[</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_Ref436211554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15</w:t>
      </w:r>
      <w:r w:rsidR="00FC3E63">
        <w:rPr>
          <w:rFonts w:ascii="Times New Roman" w:hAnsi="Times New Roman" w:cs="Times New Roman"/>
          <w:bCs/>
          <w:color w:val="000000" w:themeColor="text1"/>
          <w:sz w:val="21"/>
          <w:szCs w:val="21"/>
          <w:highlight w:val="yellow"/>
        </w:rPr>
        <w:fldChar w:fldCharType="end"/>
      </w:r>
      <w:r w:rsidRPr="00182552">
        <w:rPr>
          <w:rFonts w:ascii="Times New Roman" w:hAnsi="Times New Roman"/>
          <w:sz w:val="21"/>
          <w:szCs w:val="21"/>
        </w:rPr>
        <w:t xml:space="preserve">;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_Ref436211569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42</w:t>
      </w:r>
      <w:r w:rsidR="00FC3E63">
        <w:rPr>
          <w:rFonts w:ascii="Times New Roman" w:hAnsi="Times New Roman" w:cs="Times New Roman"/>
          <w:bCs/>
          <w:color w:val="000000" w:themeColor="text1"/>
          <w:sz w:val="21"/>
          <w:szCs w:val="21"/>
          <w:highlight w:val="yellow"/>
        </w:rPr>
        <w:fldChar w:fldCharType="end"/>
      </w:r>
      <w:r w:rsidRPr="00182552">
        <w:rPr>
          <w:rFonts w:ascii="Times New Roman" w:hAnsi="Times New Roman"/>
          <w:sz w:val="21"/>
          <w:szCs w:val="21"/>
        </w:rPr>
        <w:t>].</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З огляду на вищезазначені обґрунтування, вважаємо, що регулювання місцевих запозичень повинно зосереджуватися на гарантуванні фіскальної стабільності і захисті прав кредиторів. Крім відсутності державних гарантій за місцевими позиками, таке регулювання повинно передбачати обмеження на суму запозичень, цільове використання запозичених коштів, регламентацію предметів застави і процедуру врегулювання дефолтів.</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 xml:space="preserve">Одним із перспективних способів удосконалення інструментарію місцевих запозичень може стати кредит, коли позичальником виступає об’єднання, створене за участю органу місцевого самоврядування та комерційної структури. Як свідчить зарубіжний досвід, таке об’єднання має ряд наступних переваг: на якісно вищому рівні здійснюється оцінка доцільності інвестицій та можливих ризиків, забезпечується більша ефективність використання фінансових ресурсів. Менеджмент проекту на стадії його експлуатації в такому разі перебуває на значно вищому рівні, що сприяє отриманню коштів для повернення боргу, а також інтеграція вітчизняних нормативних актів і процедур у сфері муніципальних запозичень у міжнародне законодавство </w:t>
      </w:r>
      <w:r>
        <w:rPr>
          <w:rFonts w:ascii="Times New Roman" w:hAnsi="Times New Roman"/>
          <w:sz w:val="21"/>
          <w:szCs w:val="21"/>
        </w:rPr>
        <w:t>і міжнародні стандарти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_Ref436211545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40</w:t>
      </w:r>
      <w:r w:rsidR="00FC3E63">
        <w:rPr>
          <w:rFonts w:ascii="Times New Roman" w:hAnsi="Times New Roman" w:cs="Times New Roman"/>
          <w:bCs/>
          <w:color w:val="000000" w:themeColor="text1"/>
          <w:sz w:val="21"/>
          <w:szCs w:val="21"/>
          <w:highlight w:val="yellow"/>
        </w:rPr>
        <w:fldChar w:fldCharType="end"/>
      </w:r>
      <w:r>
        <w:rPr>
          <w:rFonts w:ascii="Times New Roman" w:hAnsi="Times New Roman"/>
          <w:sz w:val="21"/>
          <w:szCs w:val="21"/>
        </w:rPr>
        <w:t xml:space="preserve">, с. </w:t>
      </w:r>
      <w:r w:rsidRPr="00182552">
        <w:rPr>
          <w:rFonts w:ascii="Times New Roman" w:hAnsi="Times New Roman"/>
          <w:sz w:val="21"/>
          <w:szCs w:val="21"/>
        </w:rPr>
        <w:t>46].</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 xml:space="preserve">Одночасно із питаннями, пов’язаними із кредитами для органів місцевого самоврядування, постає питання можливої застави. У багатьох країнах у якості останньої муніципальними органами влади використовуються землі, які знаходяться у їх власності. Загальновідомим є те, що на сьогодні органи місцевого самоврядування України не мають достатніх повноважень для повноцінної діяльності на своїй території та для забезпечення </w:t>
      </w:r>
      <w:r w:rsidRPr="00182552">
        <w:rPr>
          <w:rFonts w:ascii="Times New Roman" w:hAnsi="Times New Roman"/>
          <w:sz w:val="21"/>
          <w:szCs w:val="21"/>
        </w:rPr>
        <w:lastRenderedPageBreak/>
        <w:t>якісного виконання завдань соціальної регіональної політики. У зв’язку з цим децентралізація владних повноважень (передача частини повноважень органів центральної влади на регіональний та місцевий рівень) є найкращим засобом забезпечення ефективного державного управління та якісного надання соціальних послуг населенню. Це стосується і функцій з розпорядження землями державної власності.</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У вересні 2012 р. Верховною Радою України було прийнято Закон України «Про внесення змін до деяких законодавчих актів України щодо розмежування земель державної та комунальної власності», згідно якого, починаючи з 1 січня 2013 р. усі землі в Україні вважаються розмежованими у силу Закону.</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У результаті розмежування більше 40 відсотків земельного фонду України залишилося у державній власності і трохи більше 4 відсотків перейшло до комунальної власності.</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Обмеження юрисдикції органів місцевого самоврядування щодо розпорядження землями лише у межах населених пунктів зменшує матеріальну основу місцевого самоврядування.</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Розпорошення повноважень із розпорядження землями державної власності, розташованими за межами населених пунктів, між багатьма органами виконавчої влади не сприяє доступності адміністративних послуг, які вони надають, для населення.</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Склалась ситуація, при якій, з одного боку органи місцевого самоврядування стимулюються Бюджетним кодексом до пошуку якомога кращої ціни оренди земельних ділянок, а з іншого – вони позбавлені будь-якого впливу на рішення щодо передачі землі в оренду.</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Відсутність можливості у місцевих рад розпоряджатись землями поза межами населених пунктів, також створює перешкоди щодо розвитку сільських та міських територій. Часто органи місцевого самоврядування, з метою розбудови соціальної інфраструктури, змушені шукати шляхи для розширення території населених пунктів, що є затратним та тривалим процесом.</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З метою врегулювання зазначених проблемних питань та відповідно до пункту 213 Плану заходів з виконання Програми діяльності Кабінету Міністрів України та Стратегії сталого розвитку «Україна-2020» у 2015 році, затвердженого розпорядженням Кабінету Міністрів України від 04 березня 2015 року № 213-р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_Ref436211583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32</w:t>
      </w:r>
      <w:r w:rsidR="00FC3E63">
        <w:rPr>
          <w:rFonts w:ascii="Times New Roman" w:hAnsi="Times New Roman" w:cs="Times New Roman"/>
          <w:bCs/>
          <w:color w:val="000000" w:themeColor="text1"/>
          <w:sz w:val="21"/>
          <w:szCs w:val="21"/>
          <w:highlight w:val="yellow"/>
        </w:rPr>
        <w:fldChar w:fldCharType="end"/>
      </w:r>
      <w:r w:rsidRPr="00182552">
        <w:rPr>
          <w:rFonts w:ascii="Times New Roman" w:hAnsi="Times New Roman"/>
          <w:sz w:val="21"/>
          <w:szCs w:val="21"/>
        </w:rPr>
        <w:t xml:space="preserve">], яким передбачено законодавче врегулювання </w:t>
      </w:r>
      <w:r w:rsidRPr="00182552">
        <w:rPr>
          <w:rFonts w:ascii="Times New Roman" w:hAnsi="Times New Roman"/>
          <w:sz w:val="21"/>
          <w:szCs w:val="21"/>
        </w:rPr>
        <w:lastRenderedPageBreak/>
        <w:t xml:space="preserve">питань передачі у комунальну власність земель державної власності, розташованих за межами населених пунктів, крім тих, на яких розташовані об’єкти державної власності, Держгеокадастром було розроблено проект Закону України «Про внесення змін до деяких законодавчих актів України щодо делегування повноважень органам місцевого самоврядування з розпорядження землями державної власності і посилення державного контролю за використанням та охороною земель». </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Прийняття даного проекту Закону забезпечить впровадження ефективної системи державного управління та місцевого самоврядування шляхом делегування органам місцевого самоврядування повноважень з розпорядження землями державної власності, визначення правового режиму земель колективної власності, відумерлої спадщини та невитребуваних земельних часток (паїв), запровадження дієвого контролю зі сторони держави за дотриманням норм законодавства при здійсненні цих повноважень, а також посилення державного контролю за використанням та охороною земель усіх форм власності.</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Зокрема, вказаним законопроектом пропонується удосконалити земельні відносини шляхом :</w:t>
      </w:r>
    </w:p>
    <w:p w:rsidR="00B233DE" w:rsidRPr="00182552" w:rsidRDefault="00B233DE" w:rsidP="00B233DE">
      <w:pPr>
        <w:pStyle w:val="ad"/>
        <w:widowControl w:val="0"/>
        <w:numPr>
          <w:ilvl w:val="0"/>
          <w:numId w:val="58"/>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делегування повноважень органам місцевого самоврядування з розпорядження землями державної власності;</w:t>
      </w:r>
    </w:p>
    <w:p w:rsidR="00B233DE" w:rsidRPr="00182552" w:rsidRDefault="00B233DE" w:rsidP="00B233DE">
      <w:pPr>
        <w:pStyle w:val="ad"/>
        <w:widowControl w:val="0"/>
        <w:numPr>
          <w:ilvl w:val="0"/>
          <w:numId w:val="58"/>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передачі від районних державних адміністрацій до сільських, селищних, міських рад повноваження щодо виділення земельних часток (паїв) у натурі (на місцевості) та зміни цільового призначення земельних ділянок приватної власності;</w:t>
      </w:r>
    </w:p>
    <w:p w:rsidR="00B233DE" w:rsidRPr="00182552" w:rsidRDefault="00B233DE" w:rsidP="00B233DE">
      <w:pPr>
        <w:pStyle w:val="ad"/>
        <w:widowControl w:val="0"/>
        <w:numPr>
          <w:ilvl w:val="0"/>
          <w:numId w:val="58"/>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визначення правового режиму земель колективної власності шляхом визначення правових засад переходу таких земель та інших земельних ділянок сільськогосподарського призначення, які судом визнані відумерлою спадщиною, та невитребуваних земельних часток (паїв) у комунальну власність;</w:t>
      </w:r>
    </w:p>
    <w:p w:rsidR="00B233DE" w:rsidRPr="00182552" w:rsidRDefault="00B233DE" w:rsidP="00B233DE">
      <w:pPr>
        <w:pStyle w:val="ad"/>
        <w:widowControl w:val="0"/>
        <w:numPr>
          <w:ilvl w:val="0"/>
          <w:numId w:val="58"/>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спрощення процедури отримання земельних ділянок у власність та користування, на яких розташовані будівлі, споруди, інші об’єкти нерухомого майна, право власності на які зареєстровано за набувачем земельної ділянки, шляхом скасування необхідності отримувати дозвіл на розроблення відповідної документації із землеустрою;</w:t>
      </w:r>
    </w:p>
    <w:p w:rsidR="00B233DE" w:rsidRPr="00182552" w:rsidRDefault="00B233DE" w:rsidP="00B233DE">
      <w:pPr>
        <w:pStyle w:val="ad"/>
        <w:widowControl w:val="0"/>
        <w:numPr>
          <w:ilvl w:val="0"/>
          <w:numId w:val="58"/>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 xml:space="preserve">посилення державного контролю за використанням та охороною земель державної, комунальної та приватної форми </w:t>
      </w:r>
      <w:r w:rsidRPr="00182552">
        <w:rPr>
          <w:rFonts w:ascii="Times New Roman" w:hAnsi="Times New Roman"/>
          <w:sz w:val="21"/>
          <w:szCs w:val="21"/>
        </w:rPr>
        <w:lastRenderedPageBreak/>
        <w:t xml:space="preserve">власності, усунення дублювання функцій та скорочення наглядових органів шляхом визначення єдиного органу виконавчої влади, який здійснюватиме такий контроль та надання йому більш широких повноважень. </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Удосконалення земельних відносин в аспекті розширення повноважень органів місцевого самоврядування щодо розпорядження землями державної і комунальної власності сприятиме зміцненню матеріальної основи місцевого самоврядування та зростанню можливості повноцінного фінансування заходів соціальної регіональної політики.</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В сучасних умовах інвестиційна діяльність є важелем пожвавлення розвитку регіональної соціально-економічної політики. Диспропорції перерозподілу інвестиційних ресурсів на рівні регіональної економіки не можна пояснити тільки фінансово-економічними чинниками, які впливають на формування уподобань потенційних інвесторів (насамперед йдеться про розвиненість інфраструктури і швидкість обороту капіталу). Інвестиційна діяльність на рівні регіонів віддзеркалює макроекономічні тенденції, проте зазнає впливу економічної ситуації та об’єктивно складених соціально-економічних умов у регіонах. Це потребує коригування і регулювання, тому вагомим чинником активізації інвестиційних процесів є сприяння з боку органів місцевого самоврядування.</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Нерівномірність інвестиційної діяльності, а також подальше розшарування регіонів за рівнем інвестиційної активності стає перепоною на шляху до формування єдиного господарського простору країни, зміцнення господарських зв’язків, становлення регіонів як суб’єктів міжнародної інвестиційної діяльності. Слабкі інвестиційні позиції окремих регіонів не дають змогу розширювати виробництво, відповідно не розвивається соціальна сфера та звужуються можливості для реалізації заходів соціальної регіональної політики. Регіони стають утриманцями відносно держави і не мають економічних стимулів розвивати господарський комплекс території. Пошук регіонами власних можливостей збільшення інвестиційних потоків натомість сприяє їх економічному зростанню.</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Використання прямих державних інвестицій</w:t>
      </w:r>
      <w:r w:rsidRPr="00182552">
        <w:rPr>
          <w:rFonts w:ascii="Times New Roman" w:hAnsi="Times New Roman"/>
          <w:i/>
          <w:sz w:val="21"/>
          <w:szCs w:val="21"/>
        </w:rPr>
        <w:t xml:space="preserve"> </w:t>
      </w:r>
      <w:r w:rsidRPr="00182552">
        <w:rPr>
          <w:rFonts w:ascii="Times New Roman" w:hAnsi="Times New Roman"/>
          <w:sz w:val="21"/>
          <w:szCs w:val="21"/>
        </w:rPr>
        <w:t xml:space="preserve">на реалізацію різних проектів місцевого значення є одним із важелів економічного забезпечення розвитку регіонів. Таке використання </w:t>
      </w:r>
      <w:r w:rsidRPr="00182552">
        <w:rPr>
          <w:rFonts w:ascii="Times New Roman" w:hAnsi="Times New Roman"/>
          <w:sz w:val="21"/>
          <w:szCs w:val="21"/>
        </w:rPr>
        <w:lastRenderedPageBreak/>
        <w:t>прямих інвестицій є одним з інструментів досягнення цілей сталого розвитку регіонів, і зокрема економічного та соціального зростання.</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Провідна роль у процесі підвищення інвестиційної привабливості регіонів України має належати державі, яка володіє для цього необхідними коштами бюджету та позабюджетних фондів і здатна у масштабах усієї країни визначити перспективні напрями та об’єкти інвестування. Зокрема, за допомогою важелів державного регулювання доцільно розширювати число об’єктів інвестування.</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Несприятливий інвестиційний клімат впливає на обсяги залучених інвестиційних ресурсів, які різняться за регіонами. Тому зміни в інвестиційній сфері передбачають зміни принципів інвестиційного забезпечення кожного регіону. Це передбачає приділення значної уваги дослідженню ролі місцевих органів самоврядування до залучення інвестицій і потребує залучення значною мірою адміністративних, ніж економічних методів управління для підвищення інвестиційної привабливості регіону.</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Значущість роботи органів місцевого самоврядування з підвищення інвестиційної привабливості полягає у тому, що вихідна інвестиційна привабливість того чи іншого регіону (та, яка склалася без активної участі органів влади) є досить відмінною у різних регіонах.</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На місцях володіють більшим обсягом інформації стосовно перспектив впровадження тих чи інших адміністративних заходів, спрямованих на формування сприятливого інвестиційного клімату. Органи місцевого самоврядування створюють імідж своїх територій як місця життєдіяльності та об’єкти вигідного вкладення капіталу. Головний акцент при цьому робиться на перевагах природних, економічних, соціальних, екологічних, культурних умов, а також на результатах людської діяльності. Всі ці елементи можуть бути об’єктами вкладання капіталу інвесторів, об’єктами купівлі-продажу. Органи місцевого самоврядування мають розробляти основні напрями інвестиційної політики на території регіону щодо залучення коштів під перспективні інвестиційні, у тому числі соціальні, проекти, сприяти у визначенні основних пріоритетів інвестування регіону, координувати інвестиційні проекти, контролювати раціональне використання отриманих фінансових ресурсів.</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lastRenderedPageBreak/>
        <w:t>Значну роль в активізації інвестиційної діяльності можуть відіграти структурні елементи Асоціації територіальних громад України у регіонах, наприклад, Асоціація територіальних громад Вінницької області, які виконуватимуть з-поміж іншого роль агентств регіонального розвитку – офісів, які надаватимуть іноземним інвесторам інформаційні та консультаційні послуги, а також допомагатимуть в отриманні різних дозволів, необхідних для реалізації інвестиційних проектів. Такі установи позитивно зарекомендували себе у світовій практиці. Регіональні асоціації мають стати акумулятором інвестиційних пропозицій та проектів і визначати перспективи для створення інтегрованих підприємницьких структур-кластерів, зокрема у традиційних для даного регіону галузях,а також сприяти формуванню і розвитку соціальних кластерів.</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Серед інноваційних інструментів місцевого розвитку особливо слід відмітити ефективність кластерного підходу (вставка), використання якого у розвинених країнах все частіше розглядають як необхідну передумову забезпечення конкурентоздатності. Кластери у сфері надання соціальних послуг мають свої особливості, пов’язані як з їх економічною природою, так і з особливою соціальною значимістю, необхідністю поєднувати приватні та суспільні інтереси.</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Еволюція кластерної теорії своїми витоками на</w:t>
      </w:r>
      <w:r>
        <w:rPr>
          <w:rFonts w:ascii="Times New Roman" w:hAnsi="Times New Roman"/>
          <w:sz w:val="21"/>
          <w:szCs w:val="21"/>
        </w:rPr>
        <w:t>лежить до теорій А. Сміта, Д. Рі</w:t>
      </w:r>
      <w:r w:rsidRPr="00182552">
        <w:rPr>
          <w:rFonts w:ascii="Times New Roman" w:hAnsi="Times New Roman"/>
          <w:sz w:val="21"/>
          <w:szCs w:val="21"/>
        </w:rPr>
        <w:t>кардо. Поняття «кластеру» використовували автори, які займалися дослідженням технологічного зв’язку різних галузей. Поняття «кластеру» розглядалися в публікаціях Е. Дамена та Л. Метсона, які підкреслювали важливість поєднання здатностей різних секторів для досягнення вищих показників прогресу. Визначальний внесок у розвиток кластерної теорії здійснив М. Портер. Він одним з перших визначив концептуальні основи цього феномену і завдяки цьому став засновником кластерної теорії у її сучасному розумінні. Портер розглядав кластер як «групу сусідніх взаємопов’язаних кампаній та організацій, які характеризуються спільною діяльністю у певній сфері та взаємодоповнюють одна одну».</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 xml:space="preserve">Соціальний кластер у сучасному розумінні є одним із способів самоорганізації громади для забезпечення конкурентоспроможності в умовах жорсткої конкуренції. Ще його визначають як стійке територіально-галузеве партнерство, яке </w:t>
      </w:r>
      <w:r w:rsidRPr="00182552">
        <w:rPr>
          <w:rFonts w:ascii="Times New Roman" w:hAnsi="Times New Roman"/>
          <w:sz w:val="21"/>
          <w:szCs w:val="21"/>
        </w:rPr>
        <w:lastRenderedPageBreak/>
        <w:t>об’єднується впровадженням інноваційних технологій з метою досягнення конкурентоспроможності та ефективності функціонування учасників кластеру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_Ref436211592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26</w:t>
      </w:r>
      <w:r w:rsidR="00FC3E63">
        <w:rPr>
          <w:rFonts w:ascii="Times New Roman" w:hAnsi="Times New Roman" w:cs="Times New Roman"/>
          <w:bCs/>
          <w:color w:val="000000" w:themeColor="text1"/>
          <w:sz w:val="21"/>
          <w:szCs w:val="21"/>
          <w:highlight w:val="yellow"/>
        </w:rPr>
        <w:fldChar w:fldCharType="end"/>
      </w:r>
      <w:r w:rsidRPr="00182552">
        <w:rPr>
          <w:rFonts w:ascii="Times New Roman" w:hAnsi="Times New Roman"/>
          <w:sz w:val="21"/>
          <w:szCs w:val="21"/>
        </w:rPr>
        <w:t>].</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Складовими соціального кластеру можуть бути освітні заклади, медичні, соціальні, культурні. Взаємодія елементів соціального кластеру забезпечує обмін інформацією та ресурсами, професійним досвідом та знаннями, усуває дублювання функції, забезпечує спрямованість на досягнення спільної мети.</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Організаційна структура соціального кластеру визначається відповідно до традиційного підходу кластерної побудови – необхідності наявності ядра і супутників.</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У регіоні ядро соціального кластеру, його домінанту формує, насамперед, населення даної території, тобто, сфера життєдіяльності і розвитку соціуму (сфери освіти, охорони здоров’я тощо), які притягують до себе інші кластери-супутники: житлово-комунального господарства, транспортний, екологічний, переробки твердих побутових відходів, аграрно-харчовий, кластер побутового обслуговування тощо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_Ref436211599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14</w:t>
      </w:r>
      <w:r w:rsidR="00FC3E63">
        <w:rPr>
          <w:rFonts w:ascii="Times New Roman" w:hAnsi="Times New Roman" w:cs="Times New Roman"/>
          <w:bCs/>
          <w:color w:val="000000" w:themeColor="text1"/>
          <w:sz w:val="21"/>
          <w:szCs w:val="21"/>
          <w:highlight w:val="yellow"/>
        </w:rPr>
        <w:fldChar w:fldCharType="end"/>
      </w:r>
      <w:r w:rsidRPr="00182552">
        <w:rPr>
          <w:rFonts w:ascii="Times New Roman" w:hAnsi="Times New Roman"/>
          <w:sz w:val="21"/>
          <w:szCs w:val="21"/>
        </w:rPr>
        <w:t>].</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Тісна взаємодія між собою установ, організацій, підприємств – усіх учасників соціального кластеру призводить до обміну знаннями, інформацією, ресурсами і досвідом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_Ref436211605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24</w:t>
      </w:r>
      <w:r w:rsidR="00FC3E63">
        <w:rPr>
          <w:rFonts w:ascii="Times New Roman" w:hAnsi="Times New Roman" w:cs="Times New Roman"/>
          <w:bCs/>
          <w:color w:val="000000" w:themeColor="text1"/>
          <w:sz w:val="21"/>
          <w:szCs w:val="21"/>
          <w:highlight w:val="yellow"/>
        </w:rPr>
        <w:fldChar w:fldCharType="end"/>
      </w:r>
      <w:r w:rsidRPr="00182552">
        <w:rPr>
          <w:rFonts w:ascii="Times New Roman" w:hAnsi="Times New Roman"/>
          <w:sz w:val="21"/>
          <w:szCs w:val="21"/>
        </w:rPr>
        <w:t>].</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Для соціального кластеру характерні такі ж переваги, як і для промислового. Це можливе розширення мережі постачальників соціальних послуг і споживачів, спрощений доступ до вітчизняного і міжнародного ринків праці і капіталу. Сюди ж можна віднести співпрацю з фінансовими організаціями, яке сприяє залученню грошових коштів на створення нових інвестиційних проектів соціального призначення. Важливою перевагою може бути активна співпраця з органами влади та місцевого самоврядування з метою захисту соціальних інтересів на законодавчому рівні, а також отримання різних пільг та субсидій.</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 xml:space="preserve">Для формування регіональних соціальних кластерів необхідна теоретична база, яка повинна базуватися на детальному вивченні ринкової економіки та географічно-кліматичних, історичних, національних і етнічних особливостей регіону. Тому на стадії формування соціальних кластерів з боку органів місцевого самоврядування, зокрема, з боку Асоціації територіальних громад та її регіональних підрозділів повинна надаватися значна допомога у вигляді кластер них ініціатив, координації процесу створення </w:t>
      </w:r>
      <w:r w:rsidRPr="00182552">
        <w:rPr>
          <w:rFonts w:ascii="Times New Roman" w:hAnsi="Times New Roman"/>
          <w:sz w:val="21"/>
          <w:szCs w:val="21"/>
        </w:rPr>
        <w:lastRenderedPageBreak/>
        <w:t>кластеру, надання фінансових та адміністративних ресурсів, формування нових соціально-економічних мотивацій.</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Одним із вдалих прикладів функціонування соціальних кластерів за кордоном є Медиконова долина («Medicon Valley»), яка знаходиться на границі Данії та Швеції. Спеціалізацією цього кластеру є фармацевтичні та біомедицинські технології. До його складу входять представники таких сфер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_Ref436211614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25</w:t>
      </w:r>
      <w:r w:rsidR="00FC3E63">
        <w:rPr>
          <w:rFonts w:ascii="Times New Roman" w:hAnsi="Times New Roman" w:cs="Times New Roman"/>
          <w:bCs/>
          <w:color w:val="000000" w:themeColor="text1"/>
          <w:sz w:val="21"/>
          <w:szCs w:val="21"/>
          <w:highlight w:val="yellow"/>
        </w:rPr>
        <w:fldChar w:fldCharType="end"/>
      </w:r>
      <w:r w:rsidRPr="00182552">
        <w:rPr>
          <w:rFonts w:ascii="Times New Roman" w:hAnsi="Times New Roman"/>
          <w:sz w:val="21"/>
          <w:szCs w:val="21"/>
        </w:rPr>
        <w:t xml:space="preserve">]: </w:t>
      </w:r>
    </w:p>
    <w:p w:rsidR="00B233DE" w:rsidRPr="00182552" w:rsidRDefault="00B233DE" w:rsidP="00B233DE">
      <w:pPr>
        <w:pStyle w:val="ad"/>
        <w:widowControl w:val="0"/>
        <w:numPr>
          <w:ilvl w:val="0"/>
          <w:numId w:val="57"/>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наука: 12 університетів та 11 університетських клінік;</w:t>
      </w:r>
    </w:p>
    <w:p w:rsidR="00B233DE" w:rsidRPr="00182552" w:rsidRDefault="00B233DE" w:rsidP="00B233DE">
      <w:pPr>
        <w:pStyle w:val="ad"/>
        <w:widowControl w:val="0"/>
        <w:numPr>
          <w:ilvl w:val="0"/>
          <w:numId w:val="57"/>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влада: Агенство інноваційних систем Швеції (VINNOVA, the Swedish Governmental Agency for Innovation Systems), Агенство економічного і регіонального розвитку Швеції (Swedish Agency for Economic and Regional Growth — Tillvaxtverket), Агенство кооперації регіонів Зеландія та Сконе-Ересунн комітет (The Oresund Committee);</w:t>
      </w:r>
    </w:p>
    <w:p w:rsidR="00B233DE" w:rsidRPr="00182552" w:rsidRDefault="00B233DE" w:rsidP="00B233DE">
      <w:pPr>
        <w:pStyle w:val="ad"/>
        <w:widowControl w:val="0"/>
        <w:numPr>
          <w:ilvl w:val="0"/>
          <w:numId w:val="57"/>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бізнес: 471 фірма (350 природничо-наукових компаній зі штатом більше 250 осіб, 119 біотехнологічних компаній, 24 фармацевтичні компанії і 183 компанії, які займаються медичними технологіями (шведські компанії спеціалізуються на медичних технологіях, датські – на фармацевтиці і медичних приладах), 21 лікарня (більше 300 чоловік біологів, медичного та технічного персоналу).</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Інноваційною ідеєю цього кластеру є концепція персональної медицини, іншими словами, формування індивідуального лікування та ліків для кожного пацієнта.</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Отже, результатом застосування інноваційних підходів до організації надання усього спектра соціальних послуг на місцевому рівні (зокрема, шляхом створення соціальних кластерів) має стати досягнення вищих стандартів якості життя населення регіону, досягнення більшої соціальної справедливості та згуртованості суспільства.</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 xml:space="preserve">Тому серед основних заходів удосконалення фінансування соціальної регіональної політики в сучасних умовах доцільно викоремити: </w:t>
      </w:r>
    </w:p>
    <w:p w:rsidR="00B233DE" w:rsidRPr="00182552" w:rsidRDefault="00B233DE" w:rsidP="00B233DE">
      <w:pPr>
        <w:pStyle w:val="ad"/>
        <w:widowControl w:val="0"/>
        <w:numPr>
          <w:ilvl w:val="0"/>
          <w:numId w:val="59"/>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 xml:space="preserve">використання державно-приватного партнерства і, зокрема, його контрактної форми – концесії; </w:t>
      </w:r>
    </w:p>
    <w:p w:rsidR="00B233DE" w:rsidRPr="00182552" w:rsidRDefault="00B233DE" w:rsidP="00B233DE">
      <w:pPr>
        <w:pStyle w:val="ad"/>
        <w:widowControl w:val="0"/>
        <w:numPr>
          <w:ilvl w:val="0"/>
          <w:numId w:val="59"/>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 xml:space="preserve">залучення муніципальних позик у формі муніципальних цінних паперів та спільних з приватними структурами кредитів; </w:t>
      </w:r>
    </w:p>
    <w:p w:rsidR="00B233DE" w:rsidRPr="00182552" w:rsidRDefault="00B233DE" w:rsidP="00B233DE">
      <w:pPr>
        <w:pStyle w:val="ad"/>
        <w:widowControl w:val="0"/>
        <w:numPr>
          <w:ilvl w:val="0"/>
          <w:numId w:val="59"/>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 xml:space="preserve">розвиток підприємницької діяльності на основі комерційних об’єктів комунальної власності шляхом підвищення </w:t>
      </w:r>
      <w:r w:rsidRPr="00182552">
        <w:rPr>
          <w:rFonts w:ascii="Times New Roman" w:hAnsi="Times New Roman"/>
          <w:sz w:val="21"/>
          <w:szCs w:val="21"/>
        </w:rPr>
        <w:lastRenderedPageBreak/>
        <w:t xml:space="preserve">інвестиційної привабливості регіону з допомогою спеціального формування – Асоціації територіальних громад, наділеної функціями агенції регіонального розвитку; </w:t>
      </w:r>
    </w:p>
    <w:p w:rsidR="00B233DE" w:rsidRPr="00182552" w:rsidRDefault="00B233DE" w:rsidP="00B233DE">
      <w:pPr>
        <w:pStyle w:val="ad"/>
        <w:widowControl w:val="0"/>
        <w:numPr>
          <w:ilvl w:val="0"/>
          <w:numId w:val="59"/>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 xml:space="preserve">сприяння формуванню соціальних кластерів; </w:t>
      </w:r>
    </w:p>
    <w:p w:rsidR="00B233DE" w:rsidRPr="00182552" w:rsidRDefault="00B233DE" w:rsidP="00B233DE">
      <w:pPr>
        <w:pStyle w:val="ad"/>
        <w:widowControl w:val="0"/>
        <w:numPr>
          <w:ilvl w:val="0"/>
          <w:numId w:val="59"/>
        </w:numPr>
        <w:tabs>
          <w:tab w:val="left" w:pos="993"/>
        </w:tabs>
        <w:ind w:left="0" w:firstLine="709"/>
        <w:jc w:val="both"/>
        <w:rPr>
          <w:rFonts w:ascii="Times New Roman" w:hAnsi="Times New Roman"/>
          <w:sz w:val="21"/>
          <w:szCs w:val="21"/>
        </w:rPr>
      </w:pPr>
      <w:r w:rsidRPr="00182552">
        <w:rPr>
          <w:rFonts w:ascii="Times New Roman" w:hAnsi="Times New Roman"/>
          <w:sz w:val="21"/>
          <w:szCs w:val="21"/>
        </w:rPr>
        <w:t>законодавче удосконалення земельних відносин на користь органів місцевого самоврядування.</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 xml:space="preserve">Комплексне впровадження цих заходів сприятиме наповненню місцевих бюджетів, що потребує відповідного контролю за їх витрачанням. </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З точки зору провідних принципів соціоекономіки, важливу роль сьогодні відіграє соціалізація розподілу благ, яка може розглядатися як інтегральний результат закономірної форми адаптації суб’єктів економіки до нового етапу їх розвитку, нового місця людини у сучасному виробництві.</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Соціалізація економіки відображає формування таких пропорцій розподілу ресурсів і доходів, інститутів, правил і норм взаємодії економічних суб’єктів, які перетворюють економіку на інструмент поліпшення добробуту різних верств населення.</w:t>
      </w:r>
    </w:p>
    <w:p w:rsidR="00B233DE" w:rsidRPr="00182552" w:rsidRDefault="00B233DE" w:rsidP="00B233DE">
      <w:pPr>
        <w:widowControl w:val="0"/>
        <w:ind w:firstLine="709"/>
        <w:jc w:val="both"/>
        <w:rPr>
          <w:rFonts w:ascii="Times New Roman" w:hAnsi="Times New Roman"/>
          <w:sz w:val="21"/>
          <w:szCs w:val="21"/>
        </w:rPr>
      </w:pPr>
      <w:r w:rsidRPr="00182552">
        <w:rPr>
          <w:rFonts w:ascii="Times New Roman" w:hAnsi="Times New Roman"/>
          <w:sz w:val="21"/>
          <w:szCs w:val="21"/>
        </w:rPr>
        <w:t>Таким чином, на нашу думку, доцільним є розрахунок коефіцієнта соціалізації витрат бюджетів місцевого самоврядування шляхом співвідношення витрат з бюджетів місцевого самоврядування на заходи соціальної регіональної політики та загальних витрат таких бюджетів:</w:t>
      </w:r>
    </w:p>
    <w:p w:rsidR="00B233DE" w:rsidRPr="00182552" w:rsidRDefault="00B233DE" w:rsidP="00B233DE">
      <w:pPr>
        <w:widowControl w:val="0"/>
        <w:ind w:firstLine="709"/>
        <w:jc w:val="both"/>
        <w:rPr>
          <w:rFonts w:ascii="Times New Roman" w:hAnsi="Times New Roman"/>
          <w:sz w:val="21"/>
          <w:szCs w:val="21"/>
        </w:rPr>
      </w:pPr>
    </w:p>
    <w:tbl>
      <w:tblPr>
        <w:tblW w:w="0" w:type="auto"/>
        <w:jc w:val="center"/>
        <w:tblLook w:val="04A0" w:firstRow="1" w:lastRow="0" w:firstColumn="1" w:lastColumn="0" w:noHBand="0" w:noVBand="1"/>
      </w:tblPr>
      <w:tblGrid>
        <w:gridCol w:w="5778"/>
        <w:gridCol w:w="562"/>
      </w:tblGrid>
      <w:tr w:rsidR="00B233DE" w:rsidRPr="00182552" w:rsidTr="0023489B">
        <w:trPr>
          <w:jc w:val="center"/>
        </w:trPr>
        <w:tc>
          <w:tcPr>
            <w:tcW w:w="5778" w:type="dxa"/>
            <w:shd w:val="clear" w:color="auto" w:fill="auto"/>
          </w:tcPr>
          <w:p w:rsidR="00B233DE" w:rsidRPr="00714232" w:rsidRDefault="00EC2A0E" w:rsidP="0023489B">
            <w:pPr>
              <w:widowControl w:val="0"/>
              <w:tabs>
                <w:tab w:val="left" w:pos="8789"/>
              </w:tabs>
              <w:jc w:val="center"/>
              <w:rPr>
                <w:rFonts w:ascii="Times New Roman" w:eastAsia="Times New Roman" w:hAnsi="Times New Roman"/>
                <w:sz w:val="21"/>
                <w:szCs w:val="21"/>
              </w:rPr>
            </w:pPr>
            <m:oMathPara>
              <m:oMath>
                <m:sSubSup>
                  <m:sSubSupPr>
                    <m:ctrlPr>
                      <w:rPr>
                        <w:rFonts w:ascii="Cambria Math" w:hAnsi="Cambria Math"/>
                        <w:i/>
                        <w:sz w:val="21"/>
                        <w:szCs w:val="21"/>
                      </w:rPr>
                    </m:ctrlPr>
                  </m:sSubSupPr>
                  <m:e>
                    <m:r>
                      <w:rPr>
                        <w:rFonts w:ascii="Cambria Math" w:hAnsi="Cambria Math"/>
                        <w:sz w:val="21"/>
                        <w:szCs w:val="21"/>
                      </w:rPr>
                      <m:t>К</m:t>
                    </m:r>
                  </m:e>
                  <m:sub>
                    <m:r>
                      <w:rPr>
                        <w:rFonts w:ascii="Cambria Math" w:hAnsi="Cambria Math"/>
                        <w:sz w:val="21"/>
                        <w:szCs w:val="21"/>
                      </w:rPr>
                      <m:t>СВ</m:t>
                    </m:r>
                  </m:sub>
                  <m:sup>
                    <m:r>
                      <w:rPr>
                        <w:rFonts w:ascii="Cambria Math" w:hAnsi="Cambria Math"/>
                        <w:sz w:val="21"/>
                        <w:szCs w:val="21"/>
                      </w:rPr>
                      <m:t>МС</m:t>
                    </m:r>
                  </m:sup>
                </m:sSubSup>
                <m:r>
                  <w:rPr>
                    <w:rFonts w:ascii="Cambria Math" w:hAnsi="Cambria Math"/>
                    <w:sz w:val="21"/>
                    <w:szCs w:val="21"/>
                  </w:rPr>
                  <m:t>=</m:t>
                </m:r>
                <m:f>
                  <m:fPr>
                    <m:ctrlPr>
                      <w:rPr>
                        <w:rFonts w:ascii="Cambria Math" w:hAnsi="Cambria Math"/>
                        <w:i/>
                        <w:sz w:val="21"/>
                        <w:szCs w:val="21"/>
                      </w:rPr>
                    </m:ctrlPr>
                  </m:fPr>
                  <m:num>
                    <m:sSup>
                      <m:sSupPr>
                        <m:ctrlPr>
                          <w:rPr>
                            <w:rFonts w:ascii="Cambria Math" w:hAnsi="Cambria Math"/>
                            <w:i/>
                            <w:sz w:val="21"/>
                            <w:szCs w:val="21"/>
                          </w:rPr>
                        </m:ctrlPr>
                      </m:sSupPr>
                      <m:e>
                        <m:r>
                          <w:rPr>
                            <w:rFonts w:ascii="Cambria Math" w:hAnsi="Cambria Math"/>
                            <w:sz w:val="21"/>
                            <w:szCs w:val="21"/>
                          </w:rPr>
                          <m:t>В</m:t>
                        </m:r>
                      </m:e>
                      <m:sup>
                        <m:r>
                          <w:rPr>
                            <w:rFonts w:ascii="Cambria Math" w:hAnsi="Cambria Math"/>
                            <w:sz w:val="21"/>
                            <w:szCs w:val="21"/>
                          </w:rPr>
                          <m:t>СРП</m:t>
                        </m:r>
                      </m:sup>
                    </m:sSup>
                  </m:num>
                  <m:den>
                    <m:sSup>
                      <m:sSupPr>
                        <m:ctrlPr>
                          <w:rPr>
                            <w:rFonts w:ascii="Cambria Math" w:hAnsi="Cambria Math"/>
                            <w:i/>
                            <w:sz w:val="21"/>
                            <w:szCs w:val="21"/>
                          </w:rPr>
                        </m:ctrlPr>
                      </m:sSupPr>
                      <m:e>
                        <m:r>
                          <w:rPr>
                            <w:rFonts w:ascii="Cambria Math" w:hAnsi="Cambria Math"/>
                            <w:sz w:val="21"/>
                            <w:szCs w:val="21"/>
                          </w:rPr>
                          <m:t>В</m:t>
                        </m:r>
                      </m:e>
                      <m:sup>
                        <m:r>
                          <w:rPr>
                            <w:rFonts w:ascii="Cambria Math" w:hAnsi="Cambria Math"/>
                            <w:sz w:val="21"/>
                            <w:szCs w:val="21"/>
                          </w:rPr>
                          <m:t>З</m:t>
                        </m:r>
                      </m:sup>
                    </m:sSup>
                  </m:den>
                </m:f>
              </m:oMath>
            </m:oMathPara>
          </w:p>
        </w:tc>
        <w:tc>
          <w:tcPr>
            <w:tcW w:w="562" w:type="dxa"/>
            <w:shd w:val="clear" w:color="auto" w:fill="auto"/>
            <w:vAlign w:val="center"/>
          </w:tcPr>
          <w:p w:rsidR="00B233DE" w:rsidRPr="00182552" w:rsidRDefault="00B233DE" w:rsidP="0023489B">
            <w:pPr>
              <w:widowControl w:val="0"/>
              <w:ind w:left="-161" w:right="-196" w:firstLine="0"/>
              <w:rPr>
                <w:rFonts w:ascii="Times New Roman" w:eastAsia="Times New Roman" w:hAnsi="Times New Roman"/>
                <w:sz w:val="21"/>
                <w:szCs w:val="21"/>
              </w:rPr>
            </w:pPr>
            <w:r>
              <w:rPr>
                <w:rFonts w:ascii="Times New Roman" w:eastAsia="Times New Roman" w:hAnsi="Times New Roman"/>
                <w:sz w:val="21"/>
                <w:szCs w:val="21"/>
              </w:rPr>
              <w:t xml:space="preserve">  </w:t>
            </w:r>
            <w:r w:rsidRPr="00182552">
              <w:rPr>
                <w:rFonts w:ascii="Times New Roman" w:eastAsia="Times New Roman" w:hAnsi="Times New Roman"/>
                <w:sz w:val="21"/>
                <w:szCs w:val="21"/>
              </w:rPr>
              <w:t>(</w:t>
            </w:r>
            <w:r>
              <w:rPr>
                <w:rFonts w:ascii="Times New Roman" w:eastAsia="Times New Roman" w:hAnsi="Times New Roman"/>
                <w:sz w:val="21"/>
                <w:szCs w:val="21"/>
              </w:rPr>
              <w:t>6</w:t>
            </w:r>
            <w:r w:rsidRPr="00182552">
              <w:rPr>
                <w:rFonts w:ascii="Times New Roman" w:eastAsia="Times New Roman" w:hAnsi="Times New Roman"/>
                <w:sz w:val="21"/>
                <w:szCs w:val="21"/>
              </w:rPr>
              <w:t>.1)</w:t>
            </w:r>
          </w:p>
        </w:tc>
      </w:tr>
    </w:tbl>
    <w:p w:rsidR="00B233DE" w:rsidRPr="00182552" w:rsidRDefault="00B233DE" w:rsidP="00B233DE">
      <w:pPr>
        <w:widowControl w:val="0"/>
        <w:ind w:firstLine="709"/>
        <w:jc w:val="both"/>
        <w:rPr>
          <w:rFonts w:ascii="Times New Roman" w:hAnsi="Times New Roman"/>
          <w:sz w:val="21"/>
          <w:szCs w:val="21"/>
        </w:rPr>
      </w:pPr>
    </w:p>
    <w:p w:rsidR="00B233DE" w:rsidRPr="00714232" w:rsidRDefault="00B233DE" w:rsidP="00B233DE">
      <w:pPr>
        <w:widowControl w:val="0"/>
        <w:ind w:firstLine="709"/>
        <w:jc w:val="both"/>
        <w:rPr>
          <w:rFonts w:ascii="Times New Roman" w:eastAsia="Times New Roman" w:hAnsi="Times New Roman" w:cs="Times New Roman"/>
          <w:sz w:val="21"/>
          <w:szCs w:val="21"/>
        </w:rPr>
      </w:pPr>
      <w:r w:rsidRPr="00714232">
        <w:rPr>
          <w:rFonts w:ascii="Times New Roman" w:hAnsi="Times New Roman" w:cs="Times New Roman"/>
          <w:sz w:val="21"/>
          <w:szCs w:val="21"/>
        </w:rPr>
        <w:t xml:space="preserve">де </w:t>
      </w:r>
      <m:oMath>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СВ</m:t>
            </m:r>
          </m:sub>
          <m:sup>
            <m:r>
              <w:rPr>
                <w:rFonts w:ascii="Cambria Math" w:hAnsi="Cambria Math" w:cs="Times New Roman"/>
                <w:sz w:val="21"/>
                <w:szCs w:val="21"/>
              </w:rPr>
              <m:t>МС</m:t>
            </m:r>
          </m:sup>
        </m:sSubSup>
      </m:oMath>
      <w:r w:rsidRPr="00714232">
        <w:rPr>
          <w:rFonts w:ascii="Times New Roman" w:eastAsia="Times New Roman" w:hAnsi="Times New Roman" w:cs="Times New Roman"/>
          <w:sz w:val="21"/>
          <w:szCs w:val="21"/>
        </w:rPr>
        <w:t xml:space="preserve"> – коефіцієнт соціалізації витрат бюджету місцевого самоврядування;</w:t>
      </w:r>
    </w:p>
    <w:p w:rsidR="00B233DE" w:rsidRPr="00714232" w:rsidRDefault="00B233DE" w:rsidP="00B233DE">
      <w:pPr>
        <w:widowControl w:val="0"/>
        <w:ind w:firstLine="709"/>
        <w:jc w:val="both"/>
        <w:rPr>
          <w:rFonts w:ascii="Times New Roman" w:hAnsi="Times New Roman" w:cs="Times New Roman"/>
          <w:sz w:val="21"/>
          <w:szCs w:val="21"/>
        </w:rPr>
      </w:pPr>
      <w:r w:rsidRPr="00714232">
        <w:rPr>
          <w:rFonts w:ascii="Times New Roman" w:hAnsi="Times New Roman" w:cs="Times New Roman"/>
          <w:sz w:val="21"/>
          <w:szCs w:val="21"/>
        </w:rPr>
        <w:t>В</w:t>
      </w:r>
      <w:r w:rsidRPr="00714232">
        <w:rPr>
          <w:rFonts w:ascii="Times New Roman" w:hAnsi="Times New Roman" w:cs="Times New Roman"/>
          <w:sz w:val="21"/>
          <w:szCs w:val="21"/>
          <w:vertAlign w:val="superscript"/>
        </w:rPr>
        <w:t>СРП</w:t>
      </w:r>
      <w:r w:rsidRPr="00714232">
        <w:rPr>
          <w:rFonts w:ascii="Times New Roman" w:hAnsi="Times New Roman" w:cs="Times New Roman"/>
          <w:sz w:val="21"/>
          <w:szCs w:val="21"/>
        </w:rPr>
        <w:t xml:space="preserve"> – витрати з бюджетів місцевого самоврядування на заходи соціальної регіональної політики, грн;</w:t>
      </w:r>
    </w:p>
    <w:p w:rsidR="00B233DE" w:rsidRPr="00714232" w:rsidRDefault="00B233DE" w:rsidP="00B233DE">
      <w:pPr>
        <w:widowControl w:val="0"/>
        <w:ind w:firstLine="709"/>
        <w:jc w:val="both"/>
        <w:rPr>
          <w:rFonts w:ascii="Times New Roman" w:hAnsi="Times New Roman" w:cs="Times New Roman"/>
          <w:sz w:val="21"/>
          <w:szCs w:val="21"/>
        </w:rPr>
      </w:pPr>
      <w:r w:rsidRPr="00714232">
        <w:rPr>
          <w:rFonts w:ascii="Times New Roman" w:hAnsi="Times New Roman" w:cs="Times New Roman"/>
          <w:sz w:val="21"/>
          <w:szCs w:val="21"/>
        </w:rPr>
        <w:t>В</w:t>
      </w:r>
      <w:r w:rsidRPr="00714232">
        <w:rPr>
          <w:rFonts w:ascii="Times New Roman" w:hAnsi="Times New Roman" w:cs="Times New Roman"/>
          <w:sz w:val="21"/>
          <w:szCs w:val="21"/>
          <w:vertAlign w:val="superscript"/>
        </w:rPr>
        <w:t>З</w:t>
      </w:r>
      <w:r w:rsidRPr="00714232">
        <w:rPr>
          <w:rFonts w:ascii="Times New Roman" w:hAnsi="Times New Roman" w:cs="Times New Roman"/>
          <w:sz w:val="21"/>
          <w:szCs w:val="21"/>
        </w:rPr>
        <w:t xml:space="preserve"> – загальні витрати бюджетів місцевого самоврядування, грн.</w:t>
      </w:r>
    </w:p>
    <w:p w:rsidR="00B233DE" w:rsidRPr="00182552" w:rsidRDefault="00B233DE" w:rsidP="00B233DE">
      <w:pPr>
        <w:widowControl w:val="0"/>
        <w:ind w:firstLine="709"/>
        <w:jc w:val="both"/>
        <w:rPr>
          <w:rFonts w:ascii="Times New Roman" w:hAnsi="Times New Roman"/>
          <w:sz w:val="21"/>
          <w:szCs w:val="21"/>
        </w:rPr>
      </w:pPr>
      <w:r w:rsidRPr="00714232">
        <w:rPr>
          <w:rFonts w:ascii="Times New Roman" w:hAnsi="Times New Roman" w:cs="Times New Roman"/>
          <w:sz w:val="21"/>
          <w:szCs w:val="21"/>
        </w:rPr>
        <w:t>Додатково виникає</w:t>
      </w:r>
      <w:r w:rsidRPr="00182552">
        <w:rPr>
          <w:rFonts w:ascii="Times New Roman" w:hAnsi="Times New Roman"/>
          <w:sz w:val="21"/>
          <w:szCs w:val="21"/>
        </w:rPr>
        <w:t xml:space="preserve"> доцільність розрахунку коефіцієнта соціалізації витрат, які здійснюються на основі надходжень від комунальної власності, як індикатора соціальної ефективності використання таких об’єктів шляхом співвідношення витрат на заходи соціальної регіональної політики з числа надходжень від комунальної власності територіальних громад до загального </w:t>
      </w:r>
      <w:r w:rsidRPr="00182552">
        <w:rPr>
          <w:rFonts w:ascii="Times New Roman" w:hAnsi="Times New Roman"/>
          <w:sz w:val="21"/>
          <w:szCs w:val="21"/>
        </w:rPr>
        <w:lastRenderedPageBreak/>
        <w:t>розміру таких витрат:</w:t>
      </w:r>
    </w:p>
    <w:p w:rsidR="00B233DE" w:rsidRPr="00182552" w:rsidRDefault="00B233DE" w:rsidP="00B233DE">
      <w:pPr>
        <w:widowControl w:val="0"/>
        <w:ind w:firstLine="709"/>
        <w:jc w:val="both"/>
        <w:rPr>
          <w:rFonts w:ascii="Times New Roman" w:hAnsi="Times New Roman"/>
          <w:sz w:val="21"/>
          <w:szCs w:val="21"/>
        </w:rPr>
      </w:pPr>
    </w:p>
    <w:tbl>
      <w:tblPr>
        <w:tblW w:w="0" w:type="auto"/>
        <w:jc w:val="center"/>
        <w:tblLook w:val="04A0" w:firstRow="1" w:lastRow="0" w:firstColumn="1" w:lastColumn="0" w:noHBand="0" w:noVBand="1"/>
      </w:tblPr>
      <w:tblGrid>
        <w:gridCol w:w="5778"/>
        <w:gridCol w:w="562"/>
      </w:tblGrid>
      <w:tr w:rsidR="00B233DE" w:rsidRPr="00714232" w:rsidTr="0023489B">
        <w:trPr>
          <w:jc w:val="center"/>
        </w:trPr>
        <w:tc>
          <w:tcPr>
            <w:tcW w:w="5778" w:type="dxa"/>
            <w:shd w:val="clear" w:color="auto" w:fill="auto"/>
          </w:tcPr>
          <w:p w:rsidR="00B233DE" w:rsidRPr="00714232" w:rsidRDefault="00EC2A0E" w:rsidP="0023489B">
            <w:pPr>
              <w:widowControl w:val="0"/>
              <w:tabs>
                <w:tab w:val="left" w:pos="8789"/>
              </w:tabs>
              <w:ind w:firstLine="0"/>
              <w:jc w:val="center"/>
              <w:rPr>
                <w:rFonts w:ascii="Times New Roman" w:eastAsia="Times New Roman" w:hAnsi="Times New Roman" w:cs="Times New Roman"/>
                <w:sz w:val="21"/>
                <w:szCs w:val="21"/>
              </w:rPr>
            </w:pPr>
            <m:oMathPara>
              <m:oMathParaPr>
                <m:jc m:val="center"/>
              </m:oMathParaPr>
              <m:oMath>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СВ</m:t>
                    </m:r>
                  </m:sub>
                  <m:sup>
                    <m:r>
                      <w:rPr>
                        <w:rFonts w:ascii="Cambria Math" w:hAnsi="Cambria Math" w:cs="Times New Roman"/>
                        <w:sz w:val="21"/>
                        <w:szCs w:val="21"/>
                      </w:rPr>
                      <m:t>КВ</m:t>
                    </m:r>
                  </m:sup>
                </m:sSubSup>
                <m:r>
                  <w:rPr>
                    <w:rFonts w:ascii="Cambria Math" w:hAnsi="Cambria Math" w:cs="Times New Roman"/>
                    <w:sz w:val="21"/>
                    <w:szCs w:val="21"/>
                  </w:rPr>
                  <m:t>=</m:t>
                </m:r>
                <m:f>
                  <m:fPr>
                    <m:ctrlPr>
                      <w:rPr>
                        <w:rFonts w:ascii="Cambria Math" w:hAnsi="Cambria Math" w:cs="Times New Roman"/>
                        <w:i/>
                        <w:sz w:val="21"/>
                        <w:szCs w:val="21"/>
                      </w:rPr>
                    </m:ctrlPr>
                  </m:fPr>
                  <m:num>
                    <m:sSubSup>
                      <m:sSubSupPr>
                        <m:ctrlPr>
                          <w:rPr>
                            <w:rFonts w:ascii="Cambria Math" w:hAnsi="Cambria Math" w:cs="Times New Roman"/>
                            <w:i/>
                            <w:sz w:val="21"/>
                            <w:szCs w:val="21"/>
                          </w:rPr>
                        </m:ctrlPr>
                      </m:sSubSupPr>
                      <m:e>
                        <m:r>
                          <w:rPr>
                            <w:rFonts w:ascii="Cambria Math" w:hAnsi="Cambria Math" w:cs="Times New Roman"/>
                            <w:sz w:val="21"/>
                            <w:szCs w:val="21"/>
                          </w:rPr>
                          <m:t>В</m:t>
                        </m:r>
                      </m:e>
                      <m:sub>
                        <m:r>
                          <w:rPr>
                            <w:rFonts w:ascii="Cambria Math" w:hAnsi="Cambria Math" w:cs="Times New Roman"/>
                            <w:sz w:val="21"/>
                            <w:szCs w:val="21"/>
                          </w:rPr>
                          <m:t>КВ</m:t>
                        </m:r>
                      </m:sub>
                      <m:sup>
                        <m:r>
                          <w:rPr>
                            <w:rFonts w:ascii="Cambria Math" w:hAnsi="Cambria Math" w:cs="Times New Roman"/>
                            <w:sz w:val="21"/>
                            <w:szCs w:val="21"/>
                          </w:rPr>
                          <m:t>СРП</m:t>
                        </m:r>
                      </m:sup>
                    </m:sSubSup>
                  </m:num>
                  <m:den>
                    <m:sSubSup>
                      <m:sSubSupPr>
                        <m:ctrlPr>
                          <w:rPr>
                            <w:rFonts w:ascii="Cambria Math" w:hAnsi="Cambria Math" w:cs="Times New Roman"/>
                            <w:i/>
                            <w:sz w:val="21"/>
                            <w:szCs w:val="21"/>
                          </w:rPr>
                        </m:ctrlPr>
                      </m:sSubSupPr>
                      <m:e>
                        <m:r>
                          <w:rPr>
                            <w:rFonts w:ascii="Cambria Math" w:hAnsi="Cambria Math" w:cs="Times New Roman"/>
                            <w:sz w:val="21"/>
                            <w:szCs w:val="21"/>
                          </w:rPr>
                          <m:t>В</m:t>
                        </m:r>
                      </m:e>
                      <m:sub>
                        <m:r>
                          <w:rPr>
                            <w:rFonts w:ascii="Cambria Math" w:hAnsi="Cambria Math" w:cs="Times New Roman"/>
                            <w:sz w:val="21"/>
                            <w:szCs w:val="21"/>
                          </w:rPr>
                          <m:t>КВ</m:t>
                        </m:r>
                      </m:sub>
                      <m:sup>
                        <m:r>
                          <w:rPr>
                            <w:rFonts w:ascii="Cambria Math" w:hAnsi="Cambria Math" w:cs="Times New Roman"/>
                            <w:sz w:val="21"/>
                            <w:szCs w:val="21"/>
                          </w:rPr>
                          <m:t>З</m:t>
                        </m:r>
                      </m:sup>
                    </m:sSubSup>
                  </m:den>
                </m:f>
              </m:oMath>
            </m:oMathPara>
          </w:p>
        </w:tc>
        <w:tc>
          <w:tcPr>
            <w:tcW w:w="562" w:type="dxa"/>
            <w:shd w:val="clear" w:color="auto" w:fill="auto"/>
            <w:vAlign w:val="center"/>
          </w:tcPr>
          <w:p w:rsidR="00B233DE" w:rsidRPr="00714232" w:rsidRDefault="00B233DE" w:rsidP="0023489B">
            <w:pPr>
              <w:widowControl w:val="0"/>
              <w:ind w:left="-161" w:right="-196" w:firstLine="0"/>
              <w:rPr>
                <w:rFonts w:ascii="Times New Roman" w:eastAsia="Times New Roman" w:hAnsi="Times New Roman" w:cs="Times New Roman"/>
                <w:sz w:val="21"/>
                <w:szCs w:val="21"/>
              </w:rPr>
            </w:pPr>
            <w:r>
              <w:rPr>
                <w:rFonts w:ascii="Times New Roman" w:eastAsia="Times New Roman" w:hAnsi="Times New Roman" w:cs="Times New Roman"/>
                <w:sz w:val="21"/>
                <w:szCs w:val="21"/>
              </w:rPr>
              <w:t xml:space="preserve">  </w:t>
            </w:r>
            <w:r w:rsidRPr="00714232">
              <w:rPr>
                <w:rFonts w:ascii="Times New Roman" w:eastAsia="Times New Roman" w:hAnsi="Times New Roman" w:cs="Times New Roman"/>
                <w:sz w:val="21"/>
                <w:szCs w:val="21"/>
              </w:rPr>
              <w:t>(</w:t>
            </w:r>
            <w:r>
              <w:rPr>
                <w:rFonts w:ascii="Times New Roman" w:eastAsia="Times New Roman" w:hAnsi="Times New Roman" w:cs="Times New Roman"/>
                <w:sz w:val="21"/>
                <w:szCs w:val="21"/>
              </w:rPr>
              <w:t>6</w:t>
            </w:r>
            <w:r w:rsidRPr="00714232">
              <w:rPr>
                <w:rFonts w:ascii="Times New Roman" w:eastAsia="Times New Roman" w:hAnsi="Times New Roman" w:cs="Times New Roman"/>
                <w:sz w:val="21"/>
                <w:szCs w:val="21"/>
              </w:rPr>
              <w:t>.2)</w:t>
            </w:r>
          </w:p>
        </w:tc>
      </w:tr>
    </w:tbl>
    <w:p w:rsidR="00B233DE" w:rsidRPr="00714232" w:rsidRDefault="00B233DE" w:rsidP="00B233DE">
      <w:pPr>
        <w:widowControl w:val="0"/>
        <w:ind w:firstLine="709"/>
        <w:jc w:val="both"/>
        <w:rPr>
          <w:rFonts w:ascii="Times New Roman" w:hAnsi="Times New Roman" w:cs="Times New Roman"/>
          <w:sz w:val="21"/>
          <w:szCs w:val="21"/>
        </w:rPr>
      </w:pPr>
    </w:p>
    <w:p w:rsidR="00B233DE" w:rsidRPr="00714232" w:rsidRDefault="00B233DE" w:rsidP="00B233DE">
      <w:pPr>
        <w:widowControl w:val="0"/>
        <w:ind w:firstLine="709"/>
        <w:jc w:val="both"/>
        <w:rPr>
          <w:rFonts w:ascii="Times New Roman" w:eastAsia="Times New Roman" w:hAnsi="Times New Roman" w:cs="Times New Roman"/>
          <w:sz w:val="21"/>
          <w:szCs w:val="21"/>
        </w:rPr>
      </w:pPr>
      <w:r w:rsidRPr="00714232">
        <w:rPr>
          <w:rFonts w:ascii="Times New Roman" w:hAnsi="Times New Roman" w:cs="Times New Roman"/>
          <w:sz w:val="21"/>
          <w:szCs w:val="21"/>
        </w:rPr>
        <w:t xml:space="preserve">де </w:t>
      </w:r>
      <m:oMath>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СВ</m:t>
            </m:r>
          </m:sub>
          <m:sup>
            <m:r>
              <w:rPr>
                <w:rFonts w:ascii="Cambria Math" w:hAnsi="Cambria Math" w:cs="Times New Roman"/>
                <w:sz w:val="21"/>
                <w:szCs w:val="21"/>
              </w:rPr>
              <m:t>КВ</m:t>
            </m:r>
          </m:sup>
        </m:sSubSup>
      </m:oMath>
      <w:r w:rsidRPr="00714232">
        <w:rPr>
          <w:rFonts w:ascii="Times New Roman" w:eastAsia="Times New Roman" w:hAnsi="Times New Roman" w:cs="Times New Roman"/>
          <w:sz w:val="21"/>
          <w:szCs w:val="21"/>
        </w:rPr>
        <w:t xml:space="preserve"> – коефіцієнт соціалізації витрат, </w:t>
      </w:r>
      <w:r w:rsidRPr="00714232">
        <w:rPr>
          <w:rFonts w:ascii="Times New Roman" w:hAnsi="Times New Roman" w:cs="Times New Roman"/>
          <w:sz w:val="21"/>
          <w:szCs w:val="21"/>
        </w:rPr>
        <w:t>які здійснюються на основі надходжень від комунальної власності;</w:t>
      </w:r>
    </w:p>
    <w:p w:rsidR="00B233DE" w:rsidRPr="00714232" w:rsidRDefault="00EC2A0E" w:rsidP="00B233DE">
      <w:pPr>
        <w:widowControl w:val="0"/>
        <w:ind w:firstLine="709"/>
        <w:jc w:val="both"/>
        <w:rPr>
          <w:rFonts w:ascii="Times New Roman" w:hAnsi="Times New Roman" w:cs="Times New Roman"/>
          <w:sz w:val="21"/>
          <w:szCs w:val="21"/>
        </w:rPr>
      </w:pPr>
      <m:oMath>
        <m:sSubSup>
          <m:sSubSupPr>
            <m:ctrlPr>
              <w:rPr>
                <w:rFonts w:ascii="Cambria Math" w:hAnsi="Cambria Math" w:cs="Times New Roman"/>
                <w:i/>
                <w:sz w:val="21"/>
                <w:szCs w:val="21"/>
              </w:rPr>
            </m:ctrlPr>
          </m:sSubSupPr>
          <m:e>
            <m:r>
              <w:rPr>
                <w:rFonts w:ascii="Cambria Math" w:hAnsi="Cambria Math" w:cs="Times New Roman"/>
                <w:sz w:val="21"/>
                <w:szCs w:val="21"/>
              </w:rPr>
              <m:t>В</m:t>
            </m:r>
          </m:e>
          <m:sub>
            <m:r>
              <w:rPr>
                <w:rFonts w:ascii="Cambria Math" w:hAnsi="Cambria Math" w:cs="Times New Roman"/>
                <w:sz w:val="21"/>
                <w:szCs w:val="21"/>
              </w:rPr>
              <m:t>КВ</m:t>
            </m:r>
          </m:sub>
          <m:sup>
            <m:r>
              <w:rPr>
                <w:rFonts w:ascii="Cambria Math" w:hAnsi="Cambria Math" w:cs="Times New Roman"/>
                <w:sz w:val="21"/>
                <w:szCs w:val="21"/>
              </w:rPr>
              <m:t>СРП</m:t>
            </m:r>
          </m:sup>
        </m:sSubSup>
      </m:oMath>
      <w:r w:rsidR="00B233DE" w:rsidRPr="00714232">
        <w:rPr>
          <w:rFonts w:ascii="Times New Roman" w:eastAsia="Times New Roman" w:hAnsi="Times New Roman" w:cs="Times New Roman"/>
          <w:sz w:val="21"/>
          <w:szCs w:val="21"/>
        </w:rPr>
        <w:t xml:space="preserve"> </w:t>
      </w:r>
      <w:r w:rsidR="00B233DE" w:rsidRPr="00714232">
        <w:rPr>
          <w:rFonts w:ascii="Times New Roman" w:hAnsi="Times New Roman" w:cs="Times New Roman"/>
          <w:sz w:val="21"/>
          <w:szCs w:val="21"/>
        </w:rPr>
        <w:t>– витрати на заходи соціальної регіональної політики, які здійснюються на основі надходжень від комунальної власності, грн;</w:t>
      </w:r>
    </w:p>
    <w:p w:rsidR="00B233DE" w:rsidRPr="00714232" w:rsidRDefault="00EC2A0E" w:rsidP="00B233DE">
      <w:pPr>
        <w:widowControl w:val="0"/>
        <w:ind w:firstLine="709"/>
        <w:jc w:val="both"/>
        <w:rPr>
          <w:rFonts w:ascii="Times New Roman" w:hAnsi="Times New Roman" w:cs="Times New Roman"/>
          <w:sz w:val="21"/>
          <w:szCs w:val="21"/>
        </w:rPr>
      </w:pPr>
      <m:oMath>
        <m:sSubSup>
          <m:sSubSupPr>
            <m:ctrlPr>
              <w:rPr>
                <w:rFonts w:ascii="Cambria Math" w:hAnsi="Cambria Math" w:cs="Times New Roman"/>
                <w:i/>
                <w:sz w:val="21"/>
                <w:szCs w:val="21"/>
              </w:rPr>
            </m:ctrlPr>
          </m:sSubSupPr>
          <m:e>
            <m:r>
              <w:rPr>
                <w:rFonts w:ascii="Cambria Math" w:hAnsi="Cambria Math" w:cs="Times New Roman"/>
                <w:sz w:val="21"/>
                <w:szCs w:val="21"/>
              </w:rPr>
              <m:t>В</m:t>
            </m:r>
          </m:e>
          <m:sub>
            <m:r>
              <w:rPr>
                <w:rFonts w:ascii="Cambria Math" w:hAnsi="Cambria Math" w:cs="Times New Roman"/>
                <w:sz w:val="21"/>
                <w:szCs w:val="21"/>
              </w:rPr>
              <m:t>КВ</m:t>
            </m:r>
          </m:sub>
          <m:sup>
            <m:r>
              <w:rPr>
                <w:rFonts w:ascii="Cambria Math" w:hAnsi="Cambria Math" w:cs="Times New Roman"/>
                <w:sz w:val="21"/>
                <w:szCs w:val="21"/>
              </w:rPr>
              <m:t>З</m:t>
            </m:r>
          </m:sup>
        </m:sSubSup>
      </m:oMath>
      <w:r w:rsidR="00B233DE" w:rsidRPr="00714232">
        <w:rPr>
          <w:rFonts w:ascii="Times New Roman" w:eastAsia="Times New Roman" w:hAnsi="Times New Roman" w:cs="Times New Roman"/>
          <w:sz w:val="21"/>
          <w:szCs w:val="21"/>
        </w:rPr>
        <w:t xml:space="preserve"> </w:t>
      </w:r>
      <w:r w:rsidR="00B233DE" w:rsidRPr="00714232">
        <w:rPr>
          <w:rFonts w:ascii="Times New Roman" w:hAnsi="Times New Roman" w:cs="Times New Roman"/>
          <w:sz w:val="21"/>
          <w:szCs w:val="21"/>
        </w:rPr>
        <w:t>– загальні витрати, які здійснюються на основі надходжень від комунальної власності, грн.</w:t>
      </w:r>
    </w:p>
    <w:p w:rsidR="00B233DE" w:rsidRPr="00714232" w:rsidRDefault="00B233DE" w:rsidP="00B233DE">
      <w:pPr>
        <w:widowControl w:val="0"/>
        <w:ind w:firstLine="709"/>
        <w:jc w:val="both"/>
        <w:rPr>
          <w:rFonts w:ascii="Times New Roman" w:hAnsi="Times New Roman" w:cs="Times New Roman"/>
          <w:sz w:val="21"/>
          <w:szCs w:val="21"/>
        </w:rPr>
      </w:pPr>
      <w:r w:rsidRPr="00714232">
        <w:rPr>
          <w:rFonts w:ascii="Times New Roman" w:hAnsi="Times New Roman" w:cs="Times New Roman"/>
          <w:sz w:val="21"/>
          <w:szCs w:val="21"/>
        </w:rPr>
        <w:t>Розрахунок даних коефіцієнтів варто здійснювати у розрізі регіону, його районів та окремих територіальних громад.</w:t>
      </w: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FC3E63" w:rsidRDefault="00FC3E63"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Pr="00AE63CB" w:rsidRDefault="00B233DE" w:rsidP="00B233DE">
      <w:pPr>
        <w:widowControl w:val="0"/>
        <w:autoSpaceDE w:val="0"/>
        <w:autoSpaceDN w:val="0"/>
        <w:adjustRightInd w:val="0"/>
        <w:ind w:firstLine="709"/>
        <w:jc w:val="center"/>
        <w:rPr>
          <w:rFonts w:ascii="Times New Roman" w:hAnsi="Times New Roman"/>
          <w:b/>
          <w:sz w:val="21"/>
          <w:szCs w:val="21"/>
        </w:rPr>
      </w:pPr>
      <w:r w:rsidRPr="00D558C2">
        <w:rPr>
          <w:rFonts w:ascii="Times New Roman" w:hAnsi="Times New Roman"/>
          <w:b/>
          <w:sz w:val="21"/>
          <w:szCs w:val="21"/>
          <w:lang w:val="ru-RU"/>
        </w:rPr>
        <w:t>6</w:t>
      </w:r>
      <w:r w:rsidRPr="00AE63CB">
        <w:rPr>
          <w:rFonts w:ascii="Times New Roman" w:hAnsi="Times New Roman"/>
          <w:b/>
          <w:sz w:val="21"/>
          <w:szCs w:val="21"/>
        </w:rPr>
        <w:t>.3</w:t>
      </w:r>
      <w:r>
        <w:rPr>
          <w:rFonts w:ascii="Times New Roman" w:hAnsi="Times New Roman"/>
          <w:b/>
          <w:sz w:val="21"/>
          <w:szCs w:val="21"/>
        </w:rPr>
        <w:t>.</w:t>
      </w:r>
      <w:r w:rsidRPr="00AE63CB">
        <w:rPr>
          <w:rFonts w:ascii="Times New Roman" w:hAnsi="Times New Roman"/>
          <w:b/>
          <w:sz w:val="21"/>
          <w:szCs w:val="21"/>
        </w:rPr>
        <w:t> Громадський контроль за використанням комунальної власності як основа соціального розвитку територіальних громад</w:t>
      </w:r>
    </w:p>
    <w:p w:rsidR="00B233DE" w:rsidRDefault="00B233DE" w:rsidP="00B233DE">
      <w:pPr>
        <w:widowControl w:val="0"/>
        <w:autoSpaceDE w:val="0"/>
        <w:autoSpaceDN w:val="0"/>
        <w:adjustRightInd w:val="0"/>
        <w:ind w:firstLine="709"/>
        <w:jc w:val="both"/>
        <w:rPr>
          <w:rFonts w:ascii="Times New Roman" w:hAnsi="Times New Roman"/>
          <w:sz w:val="21"/>
          <w:szCs w:val="21"/>
        </w:rPr>
      </w:pP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Однією з передумов ефективної реалізації соціальної регіональної політики, заснованої на раціональному використанні комунальної власності територіальних громад, є наявність дієвого громадського контролю за соціальною спрямованістю діяльності органів місцевого самоврядування. Цей інститут є інструментом узгодження рішень органів місцевого самоврядування з інтересами та потребами членів територіальних громад. Розвиток інституцій громадського контролю є важливою передумовою подолання відчуження громадян від публічної влади на місцях.</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Громадський контроль, визначаючи, оцінюючи та розповсюджуючи інформацію про відхилення від поставлених цілей, є інструментом демократичного управління, що дозволяє забезпечити додержання вимог законодавства, попередити та виявити порушення законодавства.</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 xml:space="preserve">Ефективність роботи органів місцевого самоврядування та попередження практики зловживань у процесі вирішення соціально-економічних проблем місцевого розвитку, своєчасне та </w:t>
      </w:r>
      <w:r w:rsidRPr="00AE63CB">
        <w:rPr>
          <w:rFonts w:ascii="Times New Roman" w:hAnsi="Times New Roman"/>
          <w:sz w:val="21"/>
          <w:szCs w:val="21"/>
        </w:rPr>
        <w:lastRenderedPageBreak/>
        <w:t xml:space="preserve">якісне виконання доручень громади та надання її членам якісних соціальних послуг значною мірою залежать від наявності дієвого громадського контролю. </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Як свідчить досвід розвинених країн світу, громадський контроль забезпечує реальну відповідальність органів місцевого самоврядування за покладені на них обов’язки.</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 xml:space="preserve">Формування дієздатних та самодостатніх громад у країнах Європи було б неможливим без широкої участі громадськості у прийнятті управлінських рішень. Європейський досвід </w:t>
      </w:r>
      <w:r w:rsidRPr="00AE63CB">
        <w:rPr>
          <w:rFonts w:ascii="Times New Roman" w:hAnsi="Times New Roman"/>
          <w:iCs/>
          <w:sz w:val="21"/>
          <w:szCs w:val="21"/>
        </w:rPr>
        <w:t xml:space="preserve">організації громадського контролю за соціальною спрямованістю діяльності органів місцевого самоврядування та ефективністю використання комунальної власності </w:t>
      </w:r>
      <w:r w:rsidRPr="00AE63CB">
        <w:rPr>
          <w:rFonts w:ascii="Times New Roman" w:hAnsi="Times New Roman"/>
          <w:sz w:val="21"/>
          <w:szCs w:val="21"/>
        </w:rPr>
        <w:t>свідчить, що успішною і результативною ця форма участі громадян у публічному управлінні може бути за таких умов:</w:t>
      </w:r>
    </w:p>
    <w:p w:rsidR="00B233DE" w:rsidRPr="00AE63CB" w:rsidRDefault="00B233DE" w:rsidP="00B233DE">
      <w:pPr>
        <w:pStyle w:val="ad"/>
        <w:widowControl w:val="0"/>
        <w:numPr>
          <w:ilvl w:val="0"/>
          <w:numId w:val="60"/>
        </w:numPr>
        <w:tabs>
          <w:tab w:val="left" w:pos="993"/>
        </w:tabs>
        <w:autoSpaceDE w:val="0"/>
        <w:autoSpaceDN w:val="0"/>
        <w:adjustRightInd w:val="0"/>
        <w:ind w:left="0" w:firstLine="709"/>
        <w:jc w:val="both"/>
        <w:rPr>
          <w:rFonts w:ascii="Times New Roman" w:hAnsi="Times New Roman"/>
          <w:sz w:val="21"/>
          <w:szCs w:val="21"/>
        </w:rPr>
      </w:pPr>
      <w:r w:rsidRPr="00AE63CB">
        <w:rPr>
          <w:rFonts w:ascii="Times New Roman" w:hAnsi="Times New Roman"/>
          <w:sz w:val="21"/>
          <w:szCs w:val="21"/>
        </w:rPr>
        <w:t>усвідомлення органами публічної влади (та посадовими особами) необхідності громадського контролю як форми публічного управління, що забезпечує зворотній зв’язок та зовнішнє оцінювання прийнятих рішень;</w:t>
      </w:r>
    </w:p>
    <w:p w:rsidR="00B233DE" w:rsidRPr="00AE63CB" w:rsidRDefault="00B233DE" w:rsidP="00B233DE">
      <w:pPr>
        <w:pStyle w:val="ad"/>
        <w:widowControl w:val="0"/>
        <w:numPr>
          <w:ilvl w:val="0"/>
          <w:numId w:val="60"/>
        </w:numPr>
        <w:tabs>
          <w:tab w:val="left" w:pos="993"/>
        </w:tabs>
        <w:autoSpaceDE w:val="0"/>
        <w:autoSpaceDN w:val="0"/>
        <w:adjustRightInd w:val="0"/>
        <w:ind w:left="0" w:firstLine="709"/>
        <w:jc w:val="both"/>
        <w:rPr>
          <w:rFonts w:ascii="Times New Roman" w:hAnsi="Times New Roman"/>
          <w:sz w:val="21"/>
          <w:szCs w:val="21"/>
        </w:rPr>
      </w:pPr>
      <w:r w:rsidRPr="00AE63CB">
        <w:rPr>
          <w:rFonts w:ascii="Times New Roman" w:hAnsi="Times New Roman"/>
          <w:sz w:val="21"/>
          <w:szCs w:val="21"/>
        </w:rPr>
        <w:t>усвідомлення громадянами, громадськими об’єднаннями, територіальними громадами своєї відповідальності за стан справ на власній території, що має спонукати активних та небайдужих громадян добровільно брати участь у здійсненні громадського контролю;</w:t>
      </w:r>
    </w:p>
    <w:p w:rsidR="00B233DE" w:rsidRPr="00AE63CB" w:rsidRDefault="00B233DE" w:rsidP="00B233DE">
      <w:pPr>
        <w:pStyle w:val="ad"/>
        <w:widowControl w:val="0"/>
        <w:numPr>
          <w:ilvl w:val="0"/>
          <w:numId w:val="60"/>
        </w:numPr>
        <w:tabs>
          <w:tab w:val="left" w:pos="993"/>
        </w:tabs>
        <w:autoSpaceDE w:val="0"/>
        <w:autoSpaceDN w:val="0"/>
        <w:adjustRightInd w:val="0"/>
        <w:ind w:left="0" w:firstLine="709"/>
        <w:jc w:val="both"/>
        <w:rPr>
          <w:rFonts w:ascii="Times New Roman" w:hAnsi="Times New Roman"/>
          <w:sz w:val="21"/>
          <w:szCs w:val="21"/>
        </w:rPr>
      </w:pPr>
      <w:r w:rsidRPr="00AE63CB">
        <w:rPr>
          <w:rFonts w:ascii="Times New Roman" w:hAnsi="Times New Roman"/>
          <w:sz w:val="21"/>
          <w:szCs w:val="21"/>
        </w:rPr>
        <w:t>наявність розвиненої законодавчої бази, що передбачає обов’язковість для органів місцевого самоврядування залучати представників громадськості до вироблення та реалізації публічної політики (на стадіях підготовлення, ухвалення та виконання управлінських рішень);</w:t>
      </w:r>
    </w:p>
    <w:p w:rsidR="00B233DE" w:rsidRPr="00AE63CB" w:rsidRDefault="00B233DE" w:rsidP="00B233DE">
      <w:pPr>
        <w:pStyle w:val="ad"/>
        <w:widowControl w:val="0"/>
        <w:numPr>
          <w:ilvl w:val="0"/>
          <w:numId w:val="60"/>
        </w:numPr>
        <w:tabs>
          <w:tab w:val="left" w:pos="993"/>
        </w:tabs>
        <w:autoSpaceDE w:val="0"/>
        <w:autoSpaceDN w:val="0"/>
        <w:adjustRightInd w:val="0"/>
        <w:ind w:left="0" w:firstLine="709"/>
        <w:jc w:val="both"/>
        <w:rPr>
          <w:rFonts w:ascii="Times New Roman" w:hAnsi="Times New Roman"/>
          <w:sz w:val="21"/>
          <w:szCs w:val="21"/>
        </w:rPr>
      </w:pPr>
      <w:r w:rsidRPr="00AE63CB">
        <w:rPr>
          <w:rFonts w:ascii="Times New Roman" w:hAnsi="Times New Roman"/>
          <w:sz w:val="21"/>
          <w:szCs w:val="21"/>
        </w:rPr>
        <w:t>законодавче унормування порядку задіяння механізмів громадського контролю;</w:t>
      </w:r>
    </w:p>
    <w:p w:rsidR="00B233DE" w:rsidRPr="00AE63CB" w:rsidRDefault="00B233DE" w:rsidP="00B233DE">
      <w:pPr>
        <w:pStyle w:val="ad"/>
        <w:widowControl w:val="0"/>
        <w:numPr>
          <w:ilvl w:val="0"/>
          <w:numId w:val="60"/>
        </w:numPr>
        <w:tabs>
          <w:tab w:val="left" w:pos="993"/>
        </w:tabs>
        <w:autoSpaceDE w:val="0"/>
        <w:autoSpaceDN w:val="0"/>
        <w:adjustRightInd w:val="0"/>
        <w:ind w:left="0" w:firstLine="709"/>
        <w:jc w:val="both"/>
        <w:rPr>
          <w:rFonts w:ascii="Times New Roman" w:hAnsi="Times New Roman"/>
          <w:sz w:val="21"/>
          <w:szCs w:val="21"/>
        </w:rPr>
      </w:pPr>
      <w:r w:rsidRPr="00AE63CB">
        <w:rPr>
          <w:rFonts w:ascii="Times New Roman" w:hAnsi="Times New Roman"/>
          <w:sz w:val="21"/>
          <w:szCs w:val="21"/>
        </w:rPr>
        <w:t>забезпечення фахової підготовки та організації постійно діючої системи навчання і підвищення кваліфікації осіб – громадських експертів, які беруть участь у здійсненні громадського контролю, забезпечення їх необхідними нормативно-методичними матеріалами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_Ref436211626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18</w:t>
      </w:r>
      <w:r w:rsidR="00FC3E63">
        <w:rPr>
          <w:rFonts w:ascii="Times New Roman" w:hAnsi="Times New Roman" w:cs="Times New Roman"/>
          <w:bCs/>
          <w:color w:val="000000" w:themeColor="text1"/>
          <w:sz w:val="21"/>
          <w:szCs w:val="21"/>
          <w:highlight w:val="yellow"/>
        </w:rPr>
        <w:fldChar w:fldCharType="end"/>
      </w:r>
      <w:r w:rsidRPr="00AE63CB">
        <w:rPr>
          <w:rFonts w:ascii="Times New Roman" w:hAnsi="Times New Roman"/>
          <w:sz w:val="21"/>
          <w:szCs w:val="21"/>
        </w:rPr>
        <w:t>].</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 xml:space="preserve">Одним з найвідоміших механізмів громадського контролю у європейських країнах є інститут місцевих уповноважених з прав людини. Процедура його застосування чітко виписана у Рекомендаціях Конгресу місцевих і регіональних влад Ради Європи </w:t>
      </w:r>
      <w:r w:rsidRPr="00AE63CB">
        <w:rPr>
          <w:rFonts w:ascii="Times New Roman" w:hAnsi="Times New Roman"/>
          <w:sz w:val="21"/>
          <w:szCs w:val="21"/>
        </w:rPr>
        <w:lastRenderedPageBreak/>
        <w:t>№ 61 (1999)</w:t>
      </w:r>
      <w:r>
        <w:rPr>
          <w:rFonts w:ascii="Times New Roman" w:hAnsi="Times New Roman"/>
          <w:sz w:val="21"/>
          <w:szCs w:val="21"/>
        </w:rPr>
        <w:t xml:space="preserve"> </w:t>
      </w:r>
      <w:r>
        <w:rPr>
          <w:rFonts w:ascii="Times New Roman" w:hAnsi="Times New Roman" w:cs="Times New Roman"/>
          <w:sz w:val="21"/>
          <w:szCs w:val="21"/>
        </w:rPr>
        <w:t>[</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cs="Times New Roman"/>
          <w:sz w:val="21"/>
          <w:szCs w:val="21"/>
        </w:rPr>
        <w:instrText xml:space="preserve"> REF _Ref436211632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cs="Times New Roman"/>
          <w:sz w:val="21"/>
          <w:szCs w:val="21"/>
        </w:rPr>
        <w:t>13</w:t>
      </w:r>
      <w:r w:rsidR="00FC3E63">
        <w:rPr>
          <w:rFonts w:ascii="Times New Roman" w:hAnsi="Times New Roman" w:cs="Times New Roman"/>
          <w:bCs/>
          <w:color w:val="000000" w:themeColor="text1"/>
          <w:sz w:val="21"/>
          <w:szCs w:val="21"/>
          <w:highlight w:val="yellow"/>
        </w:rPr>
        <w:fldChar w:fldCharType="end"/>
      </w:r>
      <w:r>
        <w:rPr>
          <w:rFonts w:ascii="Times New Roman" w:hAnsi="Times New Roman" w:cs="Times New Roman"/>
          <w:sz w:val="21"/>
          <w:szCs w:val="21"/>
        </w:rPr>
        <w:t>]</w:t>
      </w:r>
      <w:r w:rsidRPr="00AE63CB">
        <w:rPr>
          <w:rFonts w:ascii="Times New Roman" w:hAnsi="Times New Roman"/>
          <w:sz w:val="21"/>
          <w:szCs w:val="21"/>
        </w:rPr>
        <w:t xml:space="preserve">. За умов зростаючої складності функціонування адміністративних систем та завантаженості адміністративних судів, Конгрес підтримав створення Бюро Уповноваженого з прав людини та запровадження </w:t>
      </w:r>
      <w:r w:rsidRPr="00AE63CB">
        <w:rPr>
          <w:rFonts w:ascii="Times New Roman" w:hAnsi="Times New Roman"/>
          <w:iCs/>
          <w:sz w:val="21"/>
          <w:szCs w:val="21"/>
        </w:rPr>
        <w:t>посад місцевих і регіональних омбудсменів</w:t>
      </w:r>
      <w:r w:rsidRPr="00AE63CB">
        <w:rPr>
          <w:rFonts w:ascii="Times New Roman" w:hAnsi="Times New Roman"/>
          <w:sz w:val="21"/>
          <w:szCs w:val="21"/>
        </w:rPr>
        <w:t>, що дозволяє уникнути занадто тривалих і дорогих судових процедур, скоротити їх кількість та бюрократичну «відстань» між громадянами й органами влади та місцевого самоврядування; сприяє кращому захисту прав людей та урахуванню потреб громадян.</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В Україні сформовано законодавчі засади реалізації прав громадян контролювати діяльність органів місцевого самоврядування.</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Основними нормативно-правовими актами у сфері громадського контролю є чинна Конституція України [</w:t>
      </w:r>
      <w:r w:rsidR="00FC3E63">
        <w:rPr>
          <w:rFonts w:ascii="Times New Roman" w:hAnsi="Times New Roman" w:cs="Times New Roman"/>
          <w:color w:val="000000" w:themeColor="text1"/>
          <w:sz w:val="21"/>
          <w:szCs w:val="21"/>
          <w:highlight w:val="yellow"/>
        </w:rPr>
        <w:fldChar w:fldCharType="begin"/>
      </w:r>
      <w:r w:rsidR="00FC3E63">
        <w:rPr>
          <w:rFonts w:ascii="Times New Roman" w:hAnsi="Times New Roman"/>
          <w:sz w:val="21"/>
          <w:szCs w:val="21"/>
        </w:rPr>
        <w:instrText xml:space="preserve"> REF _Ref436211647 \r \h </w:instrText>
      </w:r>
      <w:r w:rsidR="00FC3E63">
        <w:rPr>
          <w:rFonts w:ascii="Times New Roman" w:hAnsi="Times New Roman" w:cs="Times New Roman"/>
          <w:color w:val="000000" w:themeColor="text1"/>
          <w:sz w:val="21"/>
          <w:szCs w:val="21"/>
          <w:highlight w:val="yellow"/>
        </w:rPr>
      </w:r>
      <w:r w:rsidR="00FC3E63">
        <w:rPr>
          <w:rFonts w:ascii="Times New Roman" w:hAnsi="Times New Roman" w:cs="Times New Roman"/>
          <w:color w:val="000000" w:themeColor="text1"/>
          <w:sz w:val="21"/>
          <w:szCs w:val="21"/>
          <w:highlight w:val="yellow"/>
        </w:rPr>
        <w:fldChar w:fldCharType="separate"/>
      </w:r>
      <w:r w:rsidR="00FC3E63">
        <w:rPr>
          <w:rFonts w:ascii="Times New Roman" w:hAnsi="Times New Roman"/>
          <w:sz w:val="21"/>
          <w:szCs w:val="21"/>
        </w:rPr>
        <w:t>16</w:t>
      </w:r>
      <w:r w:rsidR="00FC3E63">
        <w:rPr>
          <w:rFonts w:ascii="Times New Roman" w:hAnsi="Times New Roman" w:cs="Times New Roman"/>
          <w:color w:val="000000" w:themeColor="text1"/>
          <w:sz w:val="21"/>
          <w:szCs w:val="21"/>
          <w:highlight w:val="yellow"/>
        </w:rPr>
        <w:fldChar w:fldCharType="end"/>
      </w:r>
      <w:r w:rsidRPr="00AE63CB">
        <w:rPr>
          <w:rFonts w:ascii="Times New Roman" w:hAnsi="Times New Roman"/>
          <w:sz w:val="21"/>
          <w:szCs w:val="21"/>
        </w:rPr>
        <w:t>], закони України «Про звернення громадян»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_Ref436211656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33</w:t>
      </w:r>
      <w:r w:rsidR="00FC3E63">
        <w:rPr>
          <w:rFonts w:ascii="Times New Roman" w:hAnsi="Times New Roman" w:cs="Times New Roman"/>
          <w:bCs/>
          <w:color w:val="000000" w:themeColor="text1"/>
          <w:sz w:val="21"/>
          <w:szCs w:val="21"/>
          <w:highlight w:val="yellow"/>
        </w:rPr>
        <w:fldChar w:fldCharType="end"/>
      </w:r>
      <w:r w:rsidRPr="00AE63CB">
        <w:rPr>
          <w:rFonts w:ascii="Times New Roman" w:hAnsi="Times New Roman"/>
          <w:sz w:val="21"/>
          <w:szCs w:val="21"/>
        </w:rPr>
        <w:t>], «Про місцеве самоврядування в Україні» [</w:t>
      </w:r>
      <w:r w:rsidR="00FC3E63">
        <w:rPr>
          <w:rStyle w:val="rvts0"/>
          <w:rFonts w:ascii="Times New Roman" w:hAnsi="Times New Roman"/>
          <w:color w:val="000000" w:themeColor="text1"/>
          <w:sz w:val="21"/>
          <w:szCs w:val="21"/>
          <w:highlight w:val="yellow"/>
        </w:rPr>
        <w:fldChar w:fldCharType="begin"/>
      </w:r>
      <w:r w:rsidR="00FC3E63">
        <w:rPr>
          <w:rFonts w:ascii="Times New Roman" w:hAnsi="Times New Roman"/>
          <w:sz w:val="21"/>
          <w:szCs w:val="21"/>
        </w:rPr>
        <w:instrText xml:space="preserve"> REF _Ref436211677 \r \h </w:instrText>
      </w:r>
      <w:r w:rsidR="00FC3E63">
        <w:rPr>
          <w:rStyle w:val="rvts0"/>
          <w:rFonts w:ascii="Times New Roman" w:hAnsi="Times New Roman"/>
          <w:color w:val="000000" w:themeColor="text1"/>
          <w:sz w:val="21"/>
          <w:szCs w:val="21"/>
          <w:highlight w:val="yellow"/>
        </w:rPr>
      </w:r>
      <w:r w:rsidR="00FC3E63">
        <w:rPr>
          <w:rStyle w:val="rvts0"/>
          <w:rFonts w:ascii="Times New Roman" w:hAnsi="Times New Roman"/>
          <w:color w:val="000000" w:themeColor="text1"/>
          <w:sz w:val="21"/>
          <w:szCs w:val="21"/>
          <w:highlight w:val="yellow"/>
        </w:rPr>
        <w:fldChar w:fldCharType="separate"/>
      </w:r>
      <w:r w:rsidR="00FC3E63">
        <w:rPr>
          <w:rFonts w:ascii="Times New Roman" w:hAnsi="Times New Roman"/>
          <w:sz w:val="21"/>
          <w:szCs w:val="21"/>
        </w:rPr>
        <w:t>35</w:t>
      </w:r>
      <w:r w:rsidR="00FC3E63">
        <w:rPr>
          <w:rStyle w:val="rvts0"/>
          <w:rFonts w:ascii="Times New Roman" w:hAnsi="Times New Roman"/>
          <w:color w:val="000000" w:themeColor="text1"/>
          <w:sz w:val="21"/>
          <w:szCs w:val="21"/>
          <w:highlight w:val="yellow"/>
        </w:rPr>
        <w:fldChar w:fldCharType="end"/>
      </w:r>
      <w:r w:rsidRPr="00AE63CB">
        <w:rPr>
          <w:rFonts w:ascii="Times New Roman" w:hAnsi="Times New Roman"/>
          <w:sz w:val="21"/>
          <w:szCs w:val="21"/>
        </w:rPr>
        <w:t>] тощо.</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 xml:space="preserve">Так, за допомогою </w:t>
      </w:r>
      <w:r w:rsidRPr="00AE63CB">
        <w:rPr>
          <w:rFonts w:ascii="Times New Roman" w:hAnsi="Times New Roman"/>
          <w:iCs/>
          <w:sz w:val="21"/>
          <w:szCs w:val="21"/>
        </w:rPr>
        <w:t xml:space="preserve">звернень </w:t>
      </w:r>
      <w:r w:rsidRPr="00AE63CB">
        <w:rPr>
          <w:rFonts w:ascii="Times New Roman" w:hAnsi="Times New Roman"/>
          <w:sz w:val="21"/>
          <w:szCs w:val="21"/>
        </w:rPr>
        <w:t>у режимі зворотного зв’язку громадяни повідомляють органи державної влади та місцевого самоврядування про невиконання або неналежне виконання останніми (або підвідомчими їм органами чи установами) своїх функцій; вимагають ужити відповідних заходів.</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 xml:space="preserve">Ефективною формою громадського контролю за діяльністю органів місцевого самоврядування є </w:t>
      </w:r>
      <w:r w:rsidRPr="00AE63CB">
        <w:rPr>
          <w:rFonts w:ascii="Times New Roman" w:hAnsi="Times New Roman"/>
          <w:iCs/>
          <w:sz w:val="21"/>
          <w:szCs w:val="21"/>
        </w:rPr>
        <w:t>громадські експертизи нормативно-правових актів</w:t>
      </w:r>
      <w:r w:rsidRPr="00AE63CB">
        <w:rPr>
          <w:rFonts w:ascii="Times New Roman" w:hAnsi="Times New Roman"/>
          <w:sz w:val="21"/>
          <w:szCs w:val="21"/>
        </w:rPr>
        <w:t>, ухвалених органами самоврядування. «Громадська експертиза є механізмом громадської експертної діяльності з аналізу й оцінки впливу нормативних та інших управлінських рішень влади усіх рівнів на умови життя і реалізацію прав та законних інтересів широких верств громадян і конкретних соціальних груп»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_Ref436211683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46</w:t>
      </w:r>
      <w:r w:rsidR="00FC3E63">
        <w:rPr>
          <w:rFonts w:ascii="Times New Roman" w:hAnsi="Times New Roman" w:cs="Times New Roman"/>
          <w:bCs/>
          <w:color w:val="000000" w:themeColor="text1"/>
          <w:sz w:val="21"/>
          <w:szCs w:val="21"/>
          <w:highlight w:val="yellow"/>
        </w:rPr>
        <w:fldChar w:fldCharType="end"/>
      </w:r>
      <w:r w:rsidRPr="00AE63CB">
        <w:rPr>
          <w:rFonts w:ascii="Times New Roman" w:hAnsi="Times New Roman"/>
          <w:sz w:val="21"/>
          <w:szCs w:val="21"/>
        </w:rPr>
        <w:t xml:space="preserve">]. Залежно від предмету дослідження експертиза стосується: 1) нормативно-правових актів; 2) програм перспективного розвитку територій (певних напрямів у сфері соціально-економічної діяльності); 3) окремих рішень органів місцевого самоврядування. До того ж громадська експертиза може здійснюватися як стосовно </w:t>
      </w:r>
      <w:r w:rsidRPr="00AE63CB">
        <w:rPr>
          <w:rFonts w:ascii="Times New Roman" w:hAnsi="Times New Roman"/>
          <w:iCs/>
          <w:sz w:val="21"/>
          <w:szCs w:val="21"/>
        </w:rPr>
        <w:t xml:space="preserve">проектів </w:t>
      </w:r>
      <w:r w:rsidRPr="00AE63CB">
        <w:rPr>
          <w:rFonts w:ascii="Times New Roman" w:hAnsi="Times New Roman"/>
          <w:sz w:val="21"/>
          <w:szCs w:val="21"/>
        </w:rPr>
        <w:t xml:space="preserve">вказаних видів актів, так і </w:t>
      </w:r>
      <w:r w:rsidRPr="00AE63CB">
        <w:rPr>
          <w:rFonts w:ascii="Times New Roman" w:hAnsi="Times New Roman"/>
          <w:iCs/>
          <w:sz w:val="21"/>
          <w:szCs w:val="21"/>
        </w:rPr>
        <w:t>документів, що вже набрали законної сили</w:t>
      </w:r>
      <w:r w:rsidRPr="00AE63CB">
        <w:rPr>
          <w:rFonts w:ascii="Times New Roman" w:hAnsi="Times New Roman"/>
          <w:sz w:val="21"/>
          <w:szCs w:val="21"/>
        </w:rPr>
        <w:t>. Громадська експертиза дозволяє громадськості та владі і органам місцевого самоврядування ефективно взаємодіяти, переходячи від взаємних звинувачень до конструктивного діалогу.</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 xml:space="preserve">Ст. 13 Закону України «Про місцеве самоврядування в </w:t>
      </w:r>
      <w:r w:rsidRPr="00AE63CB">
        <w:rPr>
          <w:rFonts w:ascii="Times New Roman" w:hAnsi="Times New Roman"/>
          <w:sz w:val="21"/>
          <w:szCs w:val="21"/>
        </w:rPr>
        <w:lastRenderedPageBreak/>
        <w:t xml:space="preserve">Україні» передбачено проведення </w:t>
      </w:r>
      <w:r w:rsidRPr="00AE63CB">
        <w:rPr>
          <w:rFonts w:ascii="Times New Roman" w:hAnsi="Times New Roman"/>
          <w:iCs/>
          <w:sz w:val="21"/>
          <w:szCs w:val="21"/>
        </w:rPr>
        <w:t xml:space="preserve">громадських слухань </w:t>
      </w:r>
      <w:r w:rsidRPr="00AE63CB">
        <w:rPr>
          <w:rFonts w:ascii="Times New Roman" w:hAnsi="Times New Roman"/>
          <w:sz w:val="21"/>
          <w:szCs w:val="21"/>
        </w:rPr>
        <w:t>з актуальних питань місцевого розвитку як механізму громадської участі та контролю за діяльністю органів місцевого самоврядування. Це стосується різних сфер життєдіяльності громади, у тому числі йдеться і про організацію бюджетних слухань, що сприяє залученню громадськості до бюджетного процесу.</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 xml:space="preserve">Відповідно до Закону України «Про об’єднання громадян» та з метою запобігання порушень у діяльності органів місцевого самоврядування </w:t>
      </w:r>
      <w:r w:rsidRPr="00AE63CB">
        <w:rPr>
          <w:rFonts w:ascii="Times New Roman" w:hAnsi="Times New Roman"/>
          <w:iCs/>
          <w:sz w:val="21"/>
          <w:szCs w:val="21"/>
        </w:rPr>
        <w:t xml:space="preserve">громадські об’єднання </w:t>
      </w:r>
      <w:r w:rsidRPr="00AE63CB">
        <w:rPr>
          <w:rFonts w:ascii="Times New Roman" w:hAnsi="Times New Roman"/>
          <w:sz w:val="21"/>
          <w:szCs w:val="21"/>
        </w:rPr>
        <w:t>можуть здійснювати перевірку виконання норм Конституції України, законів України та інших нормативно-правових актів, управлінських рішень, прийнятих органами місцевого самоврядування. За результатами такої перевірки та на підставі складених при цьому протоколів і актів, громадськість інформується про виявлені порушення; вносяться пропозиції щодо притягнення правопорушників до відповідальності. Водночас контрольні повноваження громадських об’єднань в Україні не мають юридично-владного змісту, а рішення, прийняті за результатами перевірок, як правило, мають рекомендаційний характер.</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Одним з напрямів зміцнення системи громадського контролю стало рішення щодо контролю за дотриманням органами місцевого самоврядування при розробленні проектів нормативно-правових актів, а також процедур, передбачених законами України «Про засади державної регуляторної політики у сфері господарської діяльності»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_Ref436211731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30</w:t>
      </w:r>
      <w:r w:rsidR="00FC3E63">
        <w:rPr>
          <w:rFonts w:ascii="Times New Roman" w:hAnsi="Times New Roman" w:cs="Times New Roman"/>
          <w:bCs/>
          <w:color w:val="000000" w:themeColor="text1"/>
          <w:sz w:val="21"/>
          <w:szCs w:val="21"/>
          <w:highlight w:val="yellow"/>
        </w:rPr>
        <w:fldChar w:fldCharType="end"/>
      </w:r>
      <w:r w:rsidRPr="00AE63CB">
        <w:rPr>
          <w:rFonts w:ascii="Times New Roman" w:hAnsi="Times New Roman"/>
          <w:sz w:val="21"/>
          <w:szCs w:val="21"/>
        </w:rPr>
        <w:t>] та «Про дозвільну систему у сфері господарської діяльності»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_Ref436211738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29</w:t>
      </w:r>
      <w:r w:rsidR="00FC3E63">
        <w:rPr>
          <w:rFonts w:ascii="Times New Roman" w:hAnsi="Times New Roman" w:cs="Times New Roman"/>
          <w:bCs/>
          <w:color w:val="000000" w:themeColor="text1"/>
          <w:sz w:val="21"/>
          <w:szCs w:val="21"/>
          <w:highlight w:val="yellow"/>
        </w:rPr>
        <w:fldChar w:fldCharType="end"/>
      </w:r>
      <w:r w:rsidRPr="00AE63CB">
        <w:rPr>
          <w:rFonts w:ascii="Times New Roman" w:hAnsi="Times New Roman"/>
          <w:sz w:val="21"/>
          <w:szCs w:val="21"/>
        </w:rPr>
        <w:t>].</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Представники галузевих рад підприємців мають право брати участь у проведенні щорічної оцінки виконання посадовими особами місцевого самоврядування покладених на них завдань і обов’язків, пов’язаних з регулюванням підприємницької діяльності.</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Невід’ємною характеристикою здійснення місцевого управління на засадах демократії, важливою передумовою проведення громадського контролю є відкритість органів місцевого самоврядування, доступність до інформації зі сторони громадськості. Неабияке значення мають відкритість рішень місцевих рад, інформаційна наповненість, зручність у користуванні та зв’язок органу місцевого самоврядування з користувачами представництв рад (сайтів).</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lastRenderedPageBreak/>
        <w:t>Окремим питанням, яке безпосередньо пов’язане із ефективністю використання комунальної власності та здійсненням контролю з боку територіальної громади за соціальною спрямованістю рішень органів місцевого самоврядування, є питання повноцінного обліку об’єктів комунальної власності. Незважаючи на те, що реформування комунальної власності розпочалося в Україні більше двох десятків років назад, облік об’єктів комунальної власності територіальних громад до сьогодні є актуальною проблемою для місцевого самоврядування, яка стає на перешкоді ефективному використанню потенціалу такої власності для задоволення соціальних потреб.</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На рівні держави так і не було створено єдиного реєстру об’єктів комунальної власності, який дав би не тільки чітку уяву про те, що являє собою комунальна власність територіальних громад України, але й можливість відповісти на питання, якою є балансова та залишкова вартість основних засобів підприємств, установ, закладів та інших організацій комунальної форми власності, відсоток їх зносу, якою є площа нерухомого майна, та робити чіткі економічні прогнози щодо надходження коштів від оренди або відчуження комунального майна до обласних, районних, міських, селищних і сільських бюджетів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_Ref436211745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8</w:t>
      </w:r>
      <w:r w:rsidR="00FC3E63">
        <w:rPr>
          <w:rFonts w:ascii="Times New Roman" w:hAnsi="Times New Roman" w:cs="Times New Roman"/>
          <w:bCs/>
          <w:color w:val="000000" w:themeColor="text1"/>
          <w:sz w:val="21"/>
          <w:szCs w:val="21"/>
          <w:highlight w:val="yellow"/>
        </w:rPr>
        <w:fldChar w:fldCharType="end"/>
      </w:r>
      <w:r w:rsidRPr="00AE63CB">
        <w:rPr>
          <w:rFonts w:ascii="Times New Roman" w:hAnsi="Times New Roman"/>
          <w:sz w:val="21"/>
          <w:szCs w:val="21"/>
        </w:rPr>
        <w:t>].</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Оскільки управління комунальною власністю визначається як сукупність ефективних дій власника, спрямованих на збереження її об’єктів, то одним з основних недоліків структури управління комунальною власністю є відсутність системного підходу до обліку основних засобів підприємств, установ, закладів та інших організацій, які належать до комунальної власності територіальних громад. Невизначеність, пов’язана з їх обліком, не сприяє ні належному збереженню, ні належному використанню об’єктів комунальної власності в інтересах територіальних громад.</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 xml:space="preserve">Ще однією проблемою є відсутність документів, які б підтверджували право власності на будівлі та споруди підприємств, установ, закладів та інших організацій, які належать до комунальної власності територіальних громад (свідоцтва на право власності, технічні паспорти тощо). Більшість нерухомого майна, яке перебуває на балансі зазначених суб’єктів і фактичним власником якого є територіальні громади, не зареєстровано в установленому порядку у Реєстрі прав власності на нерухоме майно Міністерства юстиції України. Одна з головних причин – </w:t>
      </w:r>
      <w:r w:rsidRPr="00AE63CB">
        <w:rPr>
          <w:rFonts w:ascii="Times New Roman" w:hAnsi="Times New Roman"/>
          <w:sz w:val="21"/>
          <w:szCs w:val="21"/>
        </w:rPr>
        <w:lastRenderedPageBreak/>
        <w:t>брак коштів на здійснення відповідних заходів з виготовлення правовстановлюючих документів.</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Водночас, необхідно відмітити роботу окремих органів місцевого самоврядування щодо інвентаризації та обліку комунального майна територіальних громад, зокрема, це стосується Управління спільної комунальної власності територіальних громад Вінницької області.</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Однак, доцільним є проведення суцільної інвентаризації основних засобів підприємств, установ, закладів та інших організацій комунальної форми власності та створити Єдиний реєстр об’єктів комунальної власності, визначивши на законодавчому рівні його як автоматизовану систему зберігання, обліку, накопичення, обробки, захисту та надання інформації про рухоме та нерухоме майно, у тому числі передану в оренду, лізинг, концесію або заставу комунальних підприємств, установ, закладів та інших організацій.</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Ведення обліку основних закладів, які належать територіальним громадам, здійснення контролю за повнотою даних реєстру та відповідність встановленим вимогам повинні забезпечувати органи місцевого самоврядування.</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Питання обліку комунального майна є особливо актуальним у сучасних умовах необхідності пошуку альтернативних шляхів розвитку територіальних громад, як одного з головних суб’єктів соціальної регіональної політики, ефективність роботи якого безпосередньо пов’язана з ефективністю реалізації соціального потенціалу кожного жителя регіону.</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Значення територіальної громади для суспільства, держави важко переоцінити. Французький державний діяч А. Токвіль був впевнений, що «саме в громаді розміщена сила вільних народів. Інститути громади … відкривають народу шлях до свободи і вчать його користуватися цією свободою, насолоджуватися її мирним характером. Без інститутів громади нація може сформувати вільний уряд, проте дійсного духу свобод</w:t>
      </w:r>
      <w:r>
        <w:rPr>
          <w:rFonts w:ascii="Times New Roman" w:hAnsi="Times New Roman"/>
          <w:sz w:val="21"/>
          <w:szCs w:val="21"/>
        </w:rPr>
        <w:t xml:space="preserve"> вона так і не набуде»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_Ref436211754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45</w:t>
      </w:r>
      <w:r w:rsidR="00FC3E63">
        <w:rPr>
          <w:rFonts w:ascii="Times New Roman" w:hAnsi="Times New Roman" w:cs="Times New Roman"/>
          <w:bCs/>
          <w:color w:val="000000" w:themeColor="text1"/>
          <w:sz w:val="21"/>
          <w:szCs w:val="21"/>
          <w:highlight w:val="yellow"/>
        </w:rPr>
        <w:fldChar w:fldCharType="end"/>
      </w:r>
      <w:r>
        <w:rPr>
          <w:rFonts w:ascii="Times New Roman" w:hAnsi="Times New Roman"/>
          <w:sz w:val="21"/>
          <w:szCs w:val="21"/>
        </w:rPr>
        <w:t xml:space="preserve">, с. </w:t>
      </w:r>
      <w:r w:rsidRPr="00AE63CB">
        <w:rPr>
          <w:rFonts w:ascii="Times New Roman" w:hAnsi="Times New Roman"/>
          <w:sz w:val="21"/>
          <w:szCs w:val="21"/>
        </w:rPr>
        <w:t>65].</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Проте, багато вітчизняних дослідників відзначають</w:t>
      </w:r>
      <w:r>
        <w:rPr>
          <w:rFonts w:ascii="Times New Roman" w:hAnsi="Times New Roman"/>
          <w:sz w:val="21"/>
          <w:szCs w:val="21"/>
        </w:rPr>
        <w:t xml:space="preserve"> </w:t>
      </w:r>
      <w:r w:rsidRPr="00AE63CB">
        <w:rPr>
          <w:rFonts w:ascii="Times New Roman" w:hAnsi="Times New Roman"/>
          <w:sz w:val="21"/>
          <w:szCs w:val="21"/>
        </w:rPr>
        <w:t xml:space="preserve">відсутність в Україні дієздатних місцевих спільнот. Так, В. В. Кравченко зауважує, що «…значною мірою територіальні громади в Україні сьогодні існують лише на папері, вони ще не стали спільностями людей, об’єднаних не лише спільним проживанням, а й спільними інтересами та спільною участю у </w:t>
      </w:r>
      <w:r w:rsidRPr="00AE63CB">
        <w:rPr>
          <w:rFonts w:ascii="Times New Roman" w:hAnsi="Times New Roman"/>
          <w:sz w:val="21"/>
          <w:szCs w:val="21"/>
        </w:rPr>
        <w:lastRenderedPageBreak/>
        <w:t>вирішенні питань місцевого значення, спільною відповідальністю за розвиток села, селища, міста, а в суспільній свідомості місцеве самоврядування ще ототожнюється з місцевими органами влади та їхніми посадовими особами»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_Ref436211760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17</w:t>
      </w:r>
      <w:r w:rsidR="00FC3E63">
        <w:rPr>
          <w:rFonts w:ascii="Times New Roman" w:hAnsi="Times New Roman" w:cs="Times New Roman"/>
          <w:bCs/>
          <w:color w:val="000000" w:themeColor="text1"/>
          <w:sz w:val="21"/>
          <w:szCs w:val="21"/>
          <w:highlight w:val="yellow"/>
        </w:rPr>
        <w:fldChar w:fldCharType="end"/>
      </w:r>
      <w:r>
        <w:rPr>
          <w:rFonts w:ascii="Times New Roman" w:hAnsi="Times New Roman"/>
          <w:sz w:val="21"/>
          <w:szCs w:val="21"/>
        </w:rPr>
        <w:t xml:space="preserve">, с. </w:t>
      </w:r>
      <w:r w:rsidRPr="00AE63CB">
        <w:rPr>
          <w:rFonts w:ascii="Times New Roman" w:hAnsi="Times New Roman"/>
          <w:sz w:val="21"/>
          <w:szCs w:val="21"/>
        </w:rPr>
        <w:t>428]. Подібного висновку доходить і В. Б. Авер’янов, стверджуючи, що не сформований первинний суб’єкт місцевого самоврядування – «…територіальна громада – саме у якості соціальної спільності, яка здійснює безпосередньо або через представницькі органи функції</w:t>
      </w:r>
      <w:r>
        <w:rPr>
          <w:rFonts w:ascii="Times New Roman" w:hAnsi="Times New Roman"/>
          <w:sz w:val="21"/>
          <w:szCs w:val="21"/>
        </w:rPr>
        <w:t xml:space="preserve"> та повноваження самоврядування»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_Ref436211768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11</w:t>
      </w:r>
      <w:r w:rsidR="00FC3E63">
        <w:rPr>
          <w:rFonts w:ascii="Times New Roman" w:hAnsi="Times New Roman" w:cs="Times New Roman"/>
          <w:bCs/>
          <w:color w:val="000000" w:themeColor="text1"/>
          <w:sz w:val="21"/>
          <w:szCs w:val="21"/>
          <w:highlight w:val="yellow"/>
        </w:rPr>
        <w:fldChar w:fldCharType="end"/>
      </w:r>
      <w:r>
        <w:rPr>
          <w:rFonts w:ascii="Times New Roman" w:hAnsi="Times New Roman"/>
          <w:sz w:val="21"/>
          <w:szCs w:val="21"/>
        </w:rPr>
        <w:t xml:space="preserve">, с. </w:t>
      </w:r>
      <w:r w:rsidRPr="00AE63CB">
        <w:rPr>
          <w:rFonts w:ascii="Times New Roman" w:hAnsi="Times New Roman"/>
          <w:sz w:val="21"/>
          <w:szCs w:val="21"/>
        </w:rPr>
        <w:t>113]. О. Батанов відзначає, що у сучасній Україні існують лише деякі передумови для формування територіальних громад, самі ж вони відсутні. Вчений наголошує на необхідності усвідомлення населенням своїх місцевих (індивідуальних та корпоративних інтересів,) досягнення ним певного ступеня соціальної зрілості, яка і визначається як місцеві спільноти. «Формування повноцінних (реальних) територіальних громад пов’язане з подоланням багатьох негативних наслідків попереднього централізованог</w:t>
      </w:r>
      <w:r>
        <w:rPr>
          <w:rFonts w:ascii="Times New Roman" w:hAnsi="Times New Roman"/>
          <w:sz w:val="21"/>
          <w:szCs w:val="21"/>
        </w:rPr>
        <w:t>о керівництва країною»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_Ref436211774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4</w:t>
      </w:r>
      <w:r w:rsidR="00FC3E63">
        <w:rPr>
          <w:rFonts w:ascii="Times New Roman" w:hAnsi="Times New Roman" w:cs="Times New Roman"/>
          <w:bCs/>
          <w:color w:val="000000" w:themeColor="text1"/>
          <w:sz w:val="21"/>
          <w:szCs w:val="21"/>
          <w:highlight w:val="yellow"/>
        </w:rPr>
        <w:fldChar w:fldCharType="end"/>
      </w:r>
      <w:r>
        <w:rPr>
          <w:rFonts w:ascii="Times New Roman" w:hAnsi="Times New Roman"/>
          <w:sz w:val="21"/>
          <w:szCs w:val="21"/>
        </w:rPr>
        <w:t xml:space="preserve">, с. </w:t>
      </w:r>
      <w:r w:rsidRPr="00AE63CB">
        <w:rPr>
          <w:rFonts w:ascii="Times New Roman" w:hAnsi="Times New Roman"/>
          <w:sz w:val="21"/>
          <w:szCs w:val="21"/>
        </w:rPr>
        <w:t>79].</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Аналіз закордонних джерел показує, що зміст поняття «територіальна громада» та пов’язаних з ним термінів за останнє десятиріччя кардинально змінився у західній науковій думці, що, відповідно, привело до нового розуміння та нових стратегій розвитку територіальних громад, заснованих на нових підходах до використання комунальної власності. Це викликано, передусім, децентралізацією та покладенням відповідальності за розвиток територіальних одиниць саме на місцевих жителів, усвідомленням ними своєї причетності до ефективності реалізації соціальної регіональної політики. Також відбувається трансформація теорії та практики розвитку територіальних громад. Процес розвитку територіальної громади має різноманітні форми і може проходити різними шляхами. Це може бути єдиний, який охоплює всю громаду, всебічний процес стратегічного планування, який залучає представників від всіх частин громади і проводиться органами і посадовими особами місцевого самоврядування. Це також може бути будь-яка ініціатива будь-якого масштабу щодо будь-якого питання, яка залучає різні групи (як формальні, так і неформальні). Єдине, що їх об’єднує – це спільна орієнтація на покращення якості життя у їх громаді [</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_Ref436211779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20</w:t>
      </w:r>
      <w:r w:rsidR="00FC3E63">
        <w:rPr>
          <w:rFonts w:ascii="Times New Roman" w:hAnsi="Times New Roman" w:cs="Times New Roman"/>
          <w:bCs/>
          <w:color w:val="000000" w:themeColor="text1"/>
          <w:sz w:val="21"/>
          <w:szCs w:val="21"/>
          <w:highlight w:val="yellow"/>
        </w:rPr>
        <w:fldChar w:fldCharType="end"/>
      </w:r>
      <w:r w:rsidRPr="00AE63CB">
        <w:rPr>
          <w:rFonts w:ascii="Times New Roman" w:hAnsi="Times New Roman"/>
          <w:sz w:val="21"/>
          <w:szCs w:val="21"/>
        </w:rPr>
        <w:t xml:space="preserve">]. «Розвиток громади має два суттєві елементи: безпосередня участь людей у зусиллях поліпшити якість </w:t>
      </w:r>
      <w:r w:rsidRPr="00AE63CB">
        <w:rPr>
          <w:rFonts w:ascii="Times New Roman" w:hAnsi="Times New Roman"/>
          <w:sz w:val="21"/>
          <w:szCs w:val="21"/>
        </w:rPr>
        <w:lastRenderedPageBreak/>
        <w:t>їх життя і надання технічних та інших послуг таким чином, щоб підтримати ініціативи, самодопомогу і взаємодопомогу та зробити</w:t>
      </w:r>
      <w:r>
        <w:rPr>
          <w:rFonts w:ascii="Times New Roman" w:hAnsi="Times New Roman"/>
          <w:sz w:val="21"/>
          <w:szCs w:val="21"/>
        </w:rPr>
        <w:t xml:space="preserve"> їх більш ефективними» [</w:t>
      </w:r>
      <w:r w:rsidR="00FC3E63">
        <w:rPr>
          <w:rFonts w:ascii="Times New Roman" w:hAnsi="Times New Roman" w:cs="Times New Roman"/>
          <w:bCs/>
          <w:color w:val="000000" w:themeColor="text1"/>
          <w:sz w:val="21"/>
          <w:szCs w:val="21"/>
          <w:highlight w:val="yellow"/>
          <w:lang w:val="en-US"/>
        </w:rPr>
        <w:fldChar w:fldCharType="begin"/>
      </w:r>
      <w:r w:rsidR="00FC3E63">
        <w:rPr>
          <w:rFonts w:ascii="Times New Roman" w:hAnsi="Times New Roman"/>
          <w:sz w:val="21"/>
          <w:szCs w:val="21"/>
        </w:rPr>
        <w:instrText xml:space="preserve"> REF _Ref436211788 \r \h </w:instrText>
      </w:r>
      <w:r w:rsidR="00FC3E63">
        <w:rPr>
          <w:rFonts w:ascii="Times New Roman" w:hAnsi="Times New Roman" w:cs="Times New Roman"/>
          <w:bCs/>
          <w:color w:val="000000" w:themeColor="text1"/>
          <w:sz w:val="21"/>
          <w:szCs w:val="21"/>
          <w:highlight w:val="yellow"/>
          <w:lang w:val="en-US"/>
        </w:rPr>
      </w:r>
      <w:r w:rsidR="00FC3E63">
        <w:rPr>
          <w:rFonts w:ascii="Times New Roman" w:hAnsi="Times New Roman" w:cs="Times New Roman"/>
          <w:bCs/>
          <w:color w:val="000000" w:themeColor="text1"/>
          <w:sz w:val="21"/>
          <w:szCs w:val="21"/>
          <w:highlight w:val="yellow"/>
          <w:lang w:val="en-US"/>
        </w:rPr>
        <w:fldChar w:fldCharType="separate"/>
      </w:r>
      <w:r w:rsidR="00FC3E63">
        <w:rPr>
          <w:rFonts w:ascii="Times New Roman" w:hAnsi="Times New Roman"/>
          <w:sz w:val="21"/>
          <w:szCs w:val="21"/>
        </w:rPr>
        <w:t>53</w:t>
      </w:r>
      <w:r w:rsidR="00FC3E63">
        <w:rPr>
          <w:rFonts w:ascii="Times New Roman" w:hAnsi="Times New Roman" w:cs="Times New Roman"/>
          <w:bCs/>
          <w:color w:val="000000" w:themeColor="text1"/>
          <w:sz w:val="21"/>
          <w:szCs w:val="21"/>
          <w:highlight w:val="yellow"/>
          <w:lang w:val="en-US"/>
        </w:rPr>
        <w:fldChar w:fldCharType="end"/>
      </w:r>
      <w:r>
        <w:rPr>
          <w:rFonts w:ascii="Times New Roman" w:hAnsi="Times New Roman"/>
          <w:sz w:val="21"/>
          <w:szCs w:val="21"/>
        </w:rPr>
        <w:t xml:space="preserve">, с. </w:t>
      </w:r>
      <w:r w:rsidRPr="00AE63CB">
        <w:rPr>
          <w:rFonts w:ascii="Times New Roman" w:hAnsi="Times New Roman"/>
          <w:sz w:val="21"/>
          <w:szCs w:val="21"/>
        </w:rPr>
        <w:t>5</w:t>
      </w:r>
      <w:r>
        <w:rPr>
          <w:rFonts w:ascii="Times New Roman" w:hAnsi="Times New Roman"/>
          <w:sz w:val="21"/>
          <w:szCs w:val="21"/>
        </w:rPr>
        <w:t>–</w:t>
      </w:r>
      <w:r w:rsidRPr="00AE63CB">
        <w:rPr>
          <w:rFonts w:ascii="Times New Roman" w:hAnsi="Times New Roman"/>
          <w:sz w:val="21"/>
          <w:szCs w:val="21"/>
        </w:rPr>
        <w:t>6].</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Західні вчені виділяють два підходи до розвитку територіальної громади – традиційний та альтернативний, який передбачає нове філософське ставлення до місцевої спільноти та основоположниками якого вважаються американські вчені Д. Крецман (John P. Kretzman) та Д. Макнайт (John L. McKnight) [</w:t>
      </w:r>
      <w:r w:rsidR="00FC3E63">
        <w:rPr>
          <w:rFonts w:ascii="Times New Roman" w:hAnsi="Times New Roman" w:cs="Times New Roman"/>
          <w:bCs/>
          <w:color w:val="000000" w:themeColor="text1"/>
          <w:sz w:val="21"/>
          <w:szCs w:val="21"/>
          <w:highlight w:val="yellow"/>
          <w:lang w:val="en-US"/>
        </w:rPr>
        <w:fldChar w:fldCharType="begin"/>
      </w:r>
      <w:r w:rsidR="00FC3E63">
        <w:rPr>
          <w:rFonts w:ascii="Times New Roman" w:hAnsi="Times New Roman"/>
          <w:sz w:val="21"/>
          <w:szCs w:val="21"/>
        </w:rPr>
        <w:instrText xml:space="preserve"> REF _Ref436211793 \r \h </w:instrText>
      </w:r>
      <w:r w:rsidR="00FC3E63">
        <w:rPr>
          <w:rFonts w:ascii="Times New Roman" w:hAnsi="Times New Roman" w:cs="Times New Roman"/>
          <w:bCs/>
          <w:color w:val="000000" w:themeColor="text1"/>
          <w:sz w:val="21"/>
          <w:szCs w:val="21"/>
          <w:highlight w:val="yellow"/>
          <w:lang w:val="en-US"/>
        </w:rPr>
      </w:r>
      <w:r w:rsidR="00FC3E63">
        <w:rPr>
          <w:rFonts w:ascii="Times New Roman" w:hAnsi="Times New Roman" w:cs="Times New Roman"/>
          <w:bCs/>
          <w:color w:val="000000" w:themeColor="text1"/>
          <w:sz w:val="21"/>
          <w:szCs w:val="21"/>
          <w:highlight w:val="yellow"/>
          <w:lang w:val="en-US"/>
        </w:rPr>
        <w:fldChar w:fldCharType="separate"/>
      </w:r>
      <w:r w:rsidR="00FC3E63">
        <w:rPr>
          <w:rFonts w:ascii="Times New Roman" w:hAnsi="Times New Roman"/>
          <w:sz w:val="21"/>
          <w:szCs w:val="21"/>
        </w:rPr>
        <w:t>52</w:t>
      </w:r>
      <w:r w:rsidR="00FC3E63">
        <w:rPr>
          <w:rFonts w:ascii="Times New Roman" w:hAnsi="Times New Roman" w:cs="Times New Roman"/>
          <w:bCs/>
          <w:color w:val="000000" w:themeColor="text1"/>
          <w:sz w:val="21"/>
          <w:szCs w:val="21"/>
          <w:highlight w:val="yellow"/>
          <w:lang w:val="en-US"/>
        </w:rPr>
        <w:fldChar w:fldCharType="end"/>
      </w:r>
      <w:r w:rsidRPr="00AE63CB">
        <w:rPr>
          <w:rFonts w:ascii="Times New Roman" w:hAnsi="Times New Roman"/>
          <w:sz w:val="21"/>
          <w:szCs w:val="21"/>
        </w:rPr>
        <w:t>].</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Джон Макнайт (John McKnight) був одним з перших, хто вказав на слабкі сторони підходу оцінки потреб «needs assessment» у розвитку територіальних громад на прикладі міських районів. У своїх працях він розрізняє два підходи – традиційний, орієнтований на виявлення потреб територіальної громади, та альтернативний, спрямований на мобілізацію ресурсів громади [</w:t>
      </w:r>
      <w:r w:rsidR="00FC3E63">
        <w:rPr>
          <w:rFonts w:ascii="Times New Roman" w:hAnsi="Times New Roman" w:cs="Times New Roman"/>
          <w:bCs/>
          <w:color w:val="000000" w:themeColor="text1"/>
          <w:sz w:val="21"/>
          <w:szCs w:val="21"/>
          <w:highlight w:val="yellow"/>
          <w:lang w:val="en-US"/>
        </w:rPr>
        <w:fldChar w:fldCharType="begin"/>
      </w:r>
      <w:r w:rsidR="00FC3E63">
        <w:rPr>
          <w:rFonts w:ascii="Times New Roman" w:hAnsi="Times New Roman"/>
          <w:sz w:val="21"/>
          <w:szCs w:val="21"/>
        </w:rPr>
        <w:instrText xml:space="preserve"> REF _Ref436211805 \r \h </w:instrText>
      </w:r>
      <w:r w:rsidR="00FC3E63">
        <w:rPr>
          <w:rFonts w:ascii="Times New Roman" w:hAnsi="Times New Roman" w:cs="Times New Roman"/>
          <w:bCs/>
          <w:color w:val="000000" w:themeColor="text1"/>
          <w:sz w:val="21"/>
          <w:szCs w:val="21"/>
          <w:highlight w:val="yellow"/>
          <w:lang w:val="en-US"/>
        </w:rPr>
      </w:r>
      <w:r w:rsidR="00FC3E63">
        <w:rPr>
          <w:rFonts w:ascii="Times New Roman" w:hAnsi="Times New Roman" w:cs="Times New Roman"/>
          <w:bCs/>
          <w:color w:val="000000" w:themeColor="text1"/>
          <w:sz w:val="21"/>
          <w:szCs w:val="21"/>
          <w:highlight w:val="yellow"/>
          <w:lang w:val="en-US"/>
        </w:rPr>
        <w:fldChar w:fldCharType="separate"/>
      </w:r>
      <w:r w:rsidR="00FC3E63">
        <w:rPr>
          <w:rFonts w:ascii="Times New Roman" w:hAnsi="Times New Roman"/>
          <w:sz w:val="21"/>
          <w:szCs w:val="21"/>
        </w:rPr>
        <w:t>56</w:t>
      </w:r>
      <w:r w:rsidR="00FC3E63">
        <w:rPr>
          <w:rFonts w:ascii="Times New Roman" w:hAnsi="Times New Roman" w:cs="Times New Roman"/>
          <w:bCs/>
          <w:color w:val="000000" w:themeColor="text1"/>
          <w:sz w:val="21"/>
          <w:szCs w:val="21"/>
          <w:highlight w:val="yellow"/>
          <w:lang w:val="en-US"/>
        </w:rPr>
        <w:fldChar w:fldCharType="end"/>
      </w:r>
      <w:r w:rsidRPr="00AE63CB">
        <w:rPr>
          <w:rFonts w:ascii="Times New Roman" w:hAnsi="Times New Roman"/>
          <w:sz w:val="21"/>
          <w:szCs w:val="21"/>
        </w:rPr>
        <w:t>]. При першому підході методологія оцінки потреб базується на визначенні запитів громади та формуванні переліку питань, які треба вирішити. Визнання потреб пріоритетними тільки посилює скруту та надію жителів на те, що хтось вирішить ці потреби за них.</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Працюючи з Джоном Крецманом (John P. Kretzmann), Д. Макнайт розробив методологію для зміни орієнтирів від того, чого «немає» у громаді, до того, що «наявне» у громаді [</w:t>
      </w:r>
      <w:r w:rsidR="00FC3E63">
        <w:rPr>
          <w:rFonts w:ascii="Times New Roman" w:hAnsi="Times New Roman" w:cs="Times New Roman"/>
          <w:bCs/>
          <w:color w:val="000000" w:themeColor="text1"/>
          <w:sz w:val="21"/>
          <w:szCs w:val="21"/>
          <w:highlight w:val="yellow"/>
          <w:lang w:val="en-US"/>
        </w:rPr>
        <w:fldChar w:fldCharType="begin"/>
      </w:r>
      <w:r w:rsidR="00FC3E63">
        <w:rPr>
          <w:rFonts w:ascii="Times New Roman" w:hAnsi="Times New Roman"/>
          <w:sz w:val="21"/>
          <w:szCs w:val="21"/>
        </w:rPr>
        <w:instrText xml:space="preserve"> REF _Ref436211811 \r \h </w:instrText>
      </w:r>
      <w:r w:rsidR="00FC3E63">
        <w:rPr>
          <w:rFonts w:ascii="Times New Roman" w:hAnsi="Times New Roman" w:cs="Times New Roman"/>
          <w:bCs/>
          <w:color w:val="000000" w:themeColor="text1"/>
          <w:sz w:val="21"/>
          <w:szCs w:val="21"/>
          <w:highlight w:val="yellow"/>
          <w:lang w:val="en-US"/>
        </w:rPr>
      </w:r>
      <w:r w:rsidR="00FC3E63">
        <w:rPr>
          <w:rFonts w:ascii="Times New Roman" w:hAnsi="Times New Roman" w:cs="Times New Roman"/>
          <w:bCs/>
          <w:color w:val="000000" w:themeColor="text1"/>
          <w:sz w:val="21"/>
          <w:szCs w:val="21"/>
          <w:highlight w:val="yellow"/>
          <w:lang w:val="en-US"/>
        </w:rPr>
        <w:fldChar w:fldCharType="separate"/>
      </w:r>
      <w:r w:rsidR="00FC3E63">
        <w:rPr>
          <w:rFonts w:ascii="Times New Roman" w:hAnsi="Times New Roman"/>
          <w:sz w:val="21"/>
          <w:szCs w:val="21"/>
        </w:rPr>
        <w:t>54</w:t>
      </w:r>
      <w:r w:rsidR="00FC3E63">
        <w:rPr>
          <w:rFonts w:ascii="Times New Roman" w:hAnsi="Times New Roman" w:cs="Times New Roman"/>
          <w:bCs/>
          <w:color w:val="000000" w:themeColor="text1"/>
          <w:sz w:val="21"/>
          <w:szCs w:val="21"/>
          <w:highlight w:val="yellow"/>
          <w:lang w:val="en-US"/>
        </w:rPr>
        <w:fldChar w:fldCharType="end"/>
      </w:r>
      <w:r w:rsidRPr="00AE63CB">
        <w:rPr>
          <w:rFonts w:ascii="Times New Roman" w:hAnsi="Times New Roman"/>
          <w:sz w:val="21"/>
          <w:szCs w:val="21"/>
        </w:rPr>
        <w:t>]. За допомогою складання переліку можливостей індивідуумів та активів асоціацій і установ, виявляють нові можливості та ресурси, які можна використати. Так, якщо «традиційний» шлях базується на виявленні таких проблем: безробіття, злочинність, розлучення, брак житла, дитяча жорстокість, неписьменність і т. д., то альтернативний підхід виявляє «приховані» ресурси громади – молодь, люди з особливими потребами, церкви, школи, парки, бізнес, бібліотеки, клуби, лікарні, комерційні об’єкти комунальної власності та інше [</w:t>
      </w:r>
      <w:r w:rsidR="00FC3E63">
        <w:rPr>
          <w:rFonts w:ascii="Times New Roman" w:hAnsi="Times New Roman" w:cs="Times New Roman"/>
          <w:bCs/>
          <w:color w:val="000000" w:themeColor="text1"/>
          <w:sz w:val="21"/>
          <w:szCs w:val="21"/>
          <w:highlight w:val="yellow"/>
          <w:lang w:val="en-US"/>
        </w:rPr>
        <w:fldChar w:fldCharType="begin"/>
      </w:r>
      <w:r w:rsidR="00FC3E63">
        <w:rPr>
          <w:rFonts w:ascii="Times New Roman" w:hAnsi="Times New Roman"/>
          <w:sz w:val="21"/>
          <w:szCs w:val="21"/>
        </w:rPr>
        <w:instrText xml:space="preserve"> REF _Ref436211793 \r \h </w:instrText>
      </w:r>
      <w:r w:rsidR="00FC3E63">
        <w:rPr>
          <w:rFonts w:ascii="Times New Roman" w:hAnsi="Times New Roman" w:cs="Times New Roman"/>
          <w:bCs/>
          <w:color w:val="000000" w:themeColor="text1"/>
          <w:sz w:val="21"/>
          <w:szCs w:val="21"/>
          <w:highlight w:val="yellow"/>
          <w:lang w:val="en-US"/>
        </w:rPr>
      </w:r>
      <w:r w:rsidR="00FC3E63">
        <w:rPr>
          <w:rFonts w:ascii="Times New Roman" w:hAnsi="Times New Roman" w:cs="Times New Roman"/>
          <w:bCs/>
          <w:color w:val="000000" w:themeColor="text1"/>
          <w:sz w:val="21"/>
          <w:szCs w:val="21"/>
          <w:highlight w:val="yellow"/>
          <w:lang w:val="en-US"/>
        </w:rPr>
        <w:fldChar w:fldCharType="separate"/>
      </w:r>
      <w:r w:rsidR="00FC3E63">
        <w:rPr>
          <w:rFonts w:ascii="Times New Roman" w:hAnsi="Times New Roman"/>
          <w:sz w:val="21"/>
          <w:szCs w:val="21"/>
        </w:rPr>
        <w:t>52</w:t>
      </w:r>
      <w:r w:rsidR="00FC3E63">
        <w:rPr>
          <w:rFonts w:ascii="Times New Roman" w:hAnsi="Times New Roman" w:cs="Times New Roman"/>
          <w:bCs/>
          <w:color w:val="000000" w:themeColor="text1"/>
          <w:sz w:val="21"/>
          <w:szCs w:val="21"/>
          <w:highlight w:val="yellow"/>
          <w:lang w:val="en-US"/>
        </w:rPr>
        <w:fldChar w:fldCharType="end"/>
      </w:r>
      <w:r w:rsidRPr="00AE63CB">
        <w:rPr>
          <w:rFonts w:ascii="Times New Roman" w:hAnsi="Times New Roman"/>
          <w:sz w:val="21"/>
          <w:szCs w:val="21"/>
        </w:rPr>
        <w:t>].</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На нашу думку, підхід до розвитку територіальної громади з точки зору «наявних переваг» забезпечить максимальну реалізацію заходів соціальної регіональної політики саме на основі використання як переваги об’єктів комунальної власності, які у сукупності із людськими ресурсами забезпечать соціальний розвиток територіальних громад регіону.</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 xml:space="preserve">Громадський контроль за використанням власності територіальних громад потребує оцінки соціальної ефективності управління комунальним майном. </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lastRenderedPageBreak/>
        <w:t>У процесі оцінки соціальної ефективності управління комунальною власністю береться до уваги не тільки результат, який досягається у результаті управління, але одночасно враховуються і витрати на отримання цього результату. Відповідно ефективність визначається як відношення результату до витрат усіх видів ресурсів (матеріальних, трудових, фінансових, інформаційних), які зумовили досягнення ефекту. Так як період здійснення витрат і отримання результату найчастіше не збігаються, то для об’єктивної оцінки ефективності необхідно враховувати зміну результатів і витрат у часі, у зв’язку з чим сама ефективність стає функцією часу. Найчастіше при зіставленні результатів і витрат застосовується процедура їх приведення до одного моменту часу, іменована дисконтуванням.</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При оцінці соціальної ефективності управління чисельник дробу виражений соціальним ефектом у вигляді поліпшення умов життя, соціальних благ, вигод, одержуваних регіоном та територіальною громадою, державою і суспільством за рахунок функціонування і використання об’єктів власності. На відміну від економічного ефекту соціальний результат важче піддається кількісній оцінці, його складніше виміряти у грошовому обчисленні, щоб зіставити з витратами на досягнення цього результату. Стосовно досліджуваної проблеми економічна ефективність може поєднуватися з соціальною, наприклад, в умовах, коли грошові надходження до бюджету за рахунок комунального майна у подальшому витрачаються на соціальні потреби. Але можливі й розбіжності між економічною і соціальною ефективністю, якщо прагнення до отримання економічного ефекту від комунальної власності призводить до соціального збитку. Найчастіше подібне спостерігається в умовах, коли сприятливий економічний результат у вигляді, наприклад, отримання бюджетних доходів від рентної плати за користування надрами (у тому числі для видобування корисних копалин), за спеціальне використання води та водних об’єктів, лісових ресурсів пов’язане з погіршенням довкілля людей. У цьому випадку позитивна економічна ефективність пов’язана з негативною соціальною ефективністю управління комунальною власністю, обумовленою негативними соціальними наслідками.</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Style w:val="hps"/>
          <w:rFonts w:ascii="Times New Roman" w:hAnsi="Times New Roman"/>
          <w:sz w:val="21"/>
          <w:szCs w:val="21"/>
        </w:rPr>
        <w:t>Отже, соціальну</w:t>
      </w:r>
      <w:r w:rsidRPr="00AE63CB">
        <w:rPr>
          <w:rFonts w:ascii="Times New Roman" w:hAnsi="Times New Roman"/>
          <w:sz w:val="21"/>
          <w:szCs w:val="21"/>
        </w:rPr>
        <w:t xml:space="preserve"> </w:t>
      </w:r>
      <w:r w:rsidRPr="00AE63CB">
        <w:rPr>
          <w:rStyle w:val="hps"/>
          <w:rFonts w:ascii="Times New Roman" w:hAnsi="Times New Roman"/>
          <w:sz w:val="21"/>
          <w:szCs w:val="21"/>
        </w:rPr>
        <w:t>ефективність</w:t>
      </w:r>
      <w:r w:rsidRPr="00AE63CB">
        <w:rPr>
          <w:rFonts w:ascii="Times New Roman" w:hAnsi="Times New Roman"/>
          <w:sz w:val="21"/>
          <w:szCs w:val="21"/>
        </w:rPr>
        <w:t xml:space="preserve"> можна трактувати як ефективність, обумовлену </w:t>
      </w:r>
      <w:r w:rsidRPr="00AE63CB">
        <w:rPr>
          <w:rStyle w:val="hps"/>
          <w:rFonts w:ascii="Times New Roman" w:hAnsi="Times New Roman"/>
          <w:sz w:val="21"/>
          <w:szCs w:val="21"/>
        </w:rPr>
        <w:t>відношенням</w:t>
      </w:r>
      <w:r w:rsidRPr="00AE63CB">
        <w:rPr>
          <w:rFonts w:ascii="Times New Roman" w:hAnsi="Times New Roman"/>
          <w:sz w:val="21"/>
          <w:szCs w:val="21"/>
        </w:rPr>
        <w:t xml:space="preserve"> </w:t>
      </w:r>
      <w:r w:rsidRPr="00AE63CB">
        <w:rPr>
          <w:rStyle w:val="hps"/>
          <w:rFonts w:ascii="Times New Roman" w:hAnsi="Times New Roman"/>
          <w:sz w:val="21"/>
          <w:szCs w:val="21"/>
        </w:rPr>
        <w:t>соціальних результатів</w:t>
      </w:r>
      <w:r w:rsidRPr="00AE63CB">
        <w:rPr>
          <w:rFonts w:ascii="Times New Roman" w:hAnsi="Times New Roman"/>
          <w:sz w:val="21"/>
          <w:szCs w:val="21"/>
        </w:rPr>
        <w:t xml:space="preserve">, </w:t>
      </w:r>
      <w:r w:rsidRPr="00AE63CB">
        <w:rPr>
          <w:rFonts w:ascii="Times New Roman" w:hAnsi="Times New Roman"/>
          <w:sz w:val="21"/>
          <w:szCs w:val="21"/>
        </w:rPr>
        <w:lastRenderedPageBreak/>
        <w:t xml:space="preserve">отриманих за результатами використання </w:t>
      </w:r>
      <w:r w:rsidRPr="00AE63CB">
        <w:rPr>
          <w:rStyle w:val="hps"/>
          <w:rFonts w:ascii="Times New Roman" w:hAnsi="Times New Roman"/>
          <w:sz w:val="21"/>
          <w:szCs w:val="21"/>
        </w:rPr>
        <w:t>об’єктів комунальної власності</w:t>
      </w:r>
      <w:r w:rsidRPr="00AE63CB">
        <w:rPr>
          <w:rFonts w:ascii="Times New Roman" w:hAnsi="Times New Roman"/>
          <w:sz w:val="21"/>
          <w:szCs w:val="21"/>
        </w:rPr>
        <w:t xml:space="preserve"> </w:t>
      </w:r>
      <w:r w:rsidRPr="00AE63CB">
        <w:rPr>
          <w:rStyle w:val="hps"/>
          <w:rFonts w:ascii="Times New Roman" w:hAnsi="Times New Roman"/>
          <w:sz w:val="21"/>
          <w:szCs w:val="21"/>
        </w:rPr>
        <w:t>за певний період часу</w:t>
      </w:r>
      <w:r w:rsidRPr="00AE63CB">
        <w:rPr>
          <w:rFonts w:ascii="Times New Roman" w:hAnsi="Times New Roman"/>
          <w:sz w:val="21"/>
          <w:szCs w:val="21"/>
        </w:rPr>
        <w:t xml:space="preserve">, виміряних у </w:t>
      </w:r>
      <w:r w:rsidRPr="00AE63CB">
        <w:rPr>
          <w:rStyle w:val="hps"/>
          <w:rFonts w:ascii="Times New Roman" w:hAnsi="Times New Roman"/>
          <w:sz w:val="21"/>
          <w:szCs w:val="21"/>
        </w:rPr>
        <w:t>грошовому вираженні</w:t>
      </w:r>
      <w:r w:rsidRPr="00AE63CB">
        <w:rPr>
          <w:rFonts w:ascii="Times New Roman" w:hAnsi="Times New Roman"/>
          <w:sz w:val="21"/>
          <w:szCs w:val="21"/>
        </w:rPr>
        <w:t xml:space="preserve">, до витрат </w:t>
      </w:r>
      <w:r w:rsidRPr="00AE63CB">
        <w:rPr>
          <w:rStyle w:val="hps"/>
          <w:rFonts w:ascii="Times New Roman" w:hAnsi="Times New Roman"/>
          <w:sz w:val="21"/>
          <w:szCs w:val="21"/>
        </w:rPr>
        <w:t>на отримання цих</w:t>
      </w:r>
      <w:r w:rsidRPr="00AE63CB">
        <w:rPr>
          <w:rFonts w:ascii="Times New Roman" w:hAnsi="Times New Roman"/>
          <w:sz w:val="21"/>
          <w:szCs w:val="21"/>
        </w:rPr>
        <w:t xml:space="preserve"> </w:t>
      </w:r>
      <w:r w:rsidRPr="00AE63CB">
        <w:rPr>
          <w:rStyle w:val="hps"/>
          <w:rFonts w:ascii="Times New Roman" w:hAnsi="Times New Roman"/>
          <w:sz w:val="21"/>
          <w:szCs w:val="21"/>
        </w:rPr>
        <w:t>результатів</w:t>
      </w:r>
      <w:r w:rsidRPr="00AE63CB">
        <w:rPr>
          <w:rFonts w:ascii="Times New Roman" w:hAnsi="Times New Roman"/>
          <w:sz w:val="21"/>
          <w:szCs w:val="21"/>
        </w:rPr>
        <w:t xml:space="preserve"> </w:t>
      </w:r>
      <w:r w:rsidRPr="00AE63CB">
        <w:rPr>
          <w:rStyle w:val="hps"/>
          <w:rFonts w:ascii="Times New Roman" w:hAnsi="Times New Roman"/>
          <w:sz w:val="21"/>
          <w:szCs w:val="21"/>
        </w:rPr>
        <w:t>або, що</w:t>
      </w:r>
      <w:r w:rsidRPr="00AE63CB">
        <w:rPr>
          <w:rFonts w:ascii="Times New Roman" w:hAnsi="Times New Roman"/>
          <w:sz w:val="21"/>
          <w:szCs w:val="21"/>
        </w:rPr>
        <w:t xml:space="preserve"> </w:t>
      </w:r>
      <w:r w:rsidRPr="00AE63CB">
        <w:rPr>
          <w:rStyle w:val="hps"/>
          <w:rFonts w:ascii="Times New Roman" w:hAnsi="Times New Roman"/>
          <w:sz w:val="21"/>
          <w:szCs w:val="21"/>
        </w:rPr>
        <w:t>простіше,</w:t>
      </w:r>
      <w:r w:rsidRPr="00AE63CB">
        <w:rPr>
          <w:rFonts w:ascii="Times New Roman" w:hAnsi="Times New Roman"/>
          <w:sz w:val="21"/>
          <w:szCs w:val="21"/>
        </w:rPr>
        <w:t xml:space="preserve"> </w:t>
      </w:r>
      <w:r w:rsidRPr="00AE63CB">
        <w:rPr>
          <w:rStyle w:val="hps"/>
          <w:rFonts w:ascii="Times New Roman" w:hAnsi="Times New Roman"/>
          <w:sz w:val="21"/>
          <w:szCs w:val="21"/>
        </w:rPr>
        <w:t>до грошової оцінки</w:t>
      </w:r>
      <w:r w:rsidRPr="00AE63CB">
        <w:rPr>
          <w:rFonts w:ascii="Times New Roman" w:hAnsi="Times New Roman"/>
          <w:sz w:val="21"/>
          <w:szCs w:val="21"/>
        </w:rPr>
        <w:t xml:space="preserve"> </w:t>
      </w:r>
      <w:r w:rsidRPr="00AE63CB">
        <w:rPr>
          <w:rStyle w:val="hps"/>
          <w:rFonts w:ascii="Times New Roman" w:hAnsi="Times New Roman"/>
          <w:sz w:val="21"/>
          <w:szCs w:val="21"/>
        </w:rPr>
        <w:t>вартості даних</w:t>
      </w:r>
      <w:r w:rsidRPr="00AE63CB">
        <w:rPr>
          <w:rFonts w:ascii="Times New Roman" w:hAnsi="Times New Roman"/>
          <w:sz w:val="21"/>
          <w:szCs w:val="21"/>
        </w:rPr>
        <w:t xml:space="preserve"> </w:t>
      </w:r>
      <w:r w:rsidRPr="00AE63CB">
        <w:rPr>
          <w:rStyle w:val="hps"/>
          <w:rFonts w:ascii="Times New Roman" w:hAnsi="Times New Roman"/>
          <w:sz w:val="21"/>
          <w:szCs w:val="21"/>
        </w:rPr>
        <w:t>об’єктів.</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До числа основних соціальних ефектів, які досягаються за рахунок комунальної власності, слід віднести:</w:t>
      </w:r>
    </w:p>
    <w:p w:rsidR="00B233DE" w:rsidRPr="00AE63CB" w:rsidRDefault="00B233DE" w:rsidP="00B233DE">
      <w:pPr>
        <w:pStyle w:val="ad"/>
        <w:widowControl w:val="0"/>
        <w:numPr>
          <w:ilvl w:val="0"/>
          <w:numId w:val="61"/>
        </w:numPr>
        <w:tabs>
          <w:tab w:val="left" w:pos="993"/>
        </w:tabs>
        <w:autoSpaceDE w:val="0"/>
        <w:autoSpaceDN w:val="0"/>
        <w:adjustRightInd w:val="0"/>
        <w:ind w:left="0" w:firstLine="709"/>
        <w:jc w:val="both"/>
        <w:rPr>
          <w:rFonts w:ascii="Times New Roman" w:hAnsi="Times New Roman"/>
          <w:sz w:val="21"/>
          <w:szCs w:val="21"/>
        </w:rPr>
      </w:pPr>
      <w:r w:rsidRPr="00AE63CB">
        <w:rPr>
          <w:rFonts w:ascii="Times New Roman" w:hAnsi="Times New Roman"/>
          <w:sz w:val="21"/>
          <w:szCs w:val="21"/>
        </w:rPr>
        <w:t>підвищення рівня і якості життя, задоволення матеріальних і духовних потреб населення безпосередньо і шляхом розвитку сфери соціальних послуг (культури, освіти, охорони здоров’я, фізичної культури) за рахунок надання можливості безкоштовного і частково оплачуваного користування комунальним майном;</w:t>
      </w:r>
    </w:p>
    <w:p w:rsidR="00B233DE" w:rsidRPr="00AE63CB" w:rsidRDefault="00B233DE" w:rsidP="00B233DE">
      <w:pPr>
        <w:pStyle w:val="ad"/>
        <w:widowControl w:val="0"/>
        <w:numPr>
          <w:ilvl w:val="0"/>
          <w:numId w:val="61"/>
        </w:numPr>
        <w:tabs>
          <w:tab w:val="left" w:pos="993"/>
        </w:tabs>
        <w:autoSpaceDE w:val="0"/>
        <w:autoSpaceDN w:val="0"/>
        <w:adjustRightInd w:val="0"/>
        <w:ind w:left="0" w:firstLine="709"/>
        <w:jc w:val="both"/>
        <w:rPr>
          <w:rFonts w:ascii="Times New Roman" w:hAnsi="Times New Roman"/>
          <w:sz w:val="21"/>
          <w:szCs w:val="21"/>
        </w:rPr>
      </w:pPr>
      <w:r w:rsidRPr="00AE63CB">
        <w:rPr>
          <w:rFonts w:ascii="Times New Roman" w:hAnsi="Times New Roman"/>
          <w:sz w:val="21"/>
          <w:szCs w:val="21"/>
        </w:rPr>
        <w:t>витрачання на соціальні потреби частини доходу, отриманого від використання комунального майна;</w:t>
      </w:r>
    </w:p>
    <w:p w:rsidR="00B233DE" w:rsidRPr="00AE63CB" w:rsidRDefault="00B233DE" w:rsidP="00B233DE">
      <w:pPr>
        <w:pStyle w:val="ad"/>
        <w:widowControl w:val="0"/>
        <w:numPr>
          <w:ilvl w:val="0"/>
          <w:numId w:val="61"/>
        </w:numPr>
        <w:tabs>
          <w:tab w:val="left" w:pos="993"/>
        </w:tabs>
        <w:autoSpaceDE w:val="0"/>
        <w:autoSpaceDN w:val="0"/>
        <w:adjustRightInd w:val="0"/>
        <w:ind w:left="0" w:firstLine="709"/>
        <w:jc w:val="both"/>
        <w:rPr>
          <w:rFonts w:ascii="Times New Roman" w:hAnsi="Times New Roman"/>
          <w:sz w:val="21"/>
          <w:szCs w:val="21"/>
        </w:rPr>
      </w:pPr>
      <w:r w:rsidRPr="00AE63CB">
        <w:rPr>
          <w:rFonts w:ascii="Times New Roman" w:hAnsi="Times New Roman"/>
          <w:sz w:val="21"/>
          <w:szCs w:val="21"/>
        </w:rPr>
        <w:t>підвищення доходів і зниження витрат найбільш нужденних, соціально незахищених верств населення за допомогою надання обмеженого права користування об’єктами комунальної власності в особистих цілях і інтересах;</w:t>
      </w:r>
    </w:p>
    <w:p w:rsidR="00B233DE" w:rsidRPr="00AE63CB" w:rsidRDefault="00B233DE" w:rsidP="00B233DE">
      <w:pPr>
        <w:pStyle w:val="ad"/>
        <w:widowControl w:val="0"/>
        <w:numPr>
          <w:ilvl w:val="0"/>
          <w:numId w:val="61"/>
        </w:numPr>
        <w:tabs>
          <w:tab w:val="left" w:pos="993"/>
        </w:tabs>
        <w:autoSpaceDE w:val="0"/>
        <w:autoSpaceDN w:val="0"/>
        <w:adjustRightInd w:val="0"/>
        <w:ind w:left="0" w:firstLine="709"/>
        <w:jc w:val="both"/>
        <w:rPr>
          <w:rFonts w:ascii="Times New Roman" w:hAnsi="Times New Roman"/>
          <w:sz w:val="21"/>
          <w:szCs w:val="21"/>
        </w:rPr>
      </w:pPr>
      <w:r w:rsidRPr="00AE63CB">
        <w:rPr>
          <w:rFonts w:ascii="Times New Roman" w:hAnsi="Times New Roman"/>
          <w:sz w:val="21"/>
          <w:szCs w:val="21"/>
        </w:rPr>
        <w:t>забезпечення соціального захисту та соціальної безпеки громадян з використанням об’єктів комунальної власності, запобігання несприятливих соціальних наслідків функціонування об’єктів комунальної власності;</w:t>
      </w:r>
    </w:p>
    <w:p w:rsidR="00B233DE" w:rsidRPr="00AE63CB" w:rsidRDefault="00B233DE" w:rsidP="00B233DE">
      <w:pPr>
        <w:pStyle w:val="ad"/>
        <w:widowControl w:val="0"/>
        <w:numPr>
          <w:ilvl w:val="0"/>
          <w:numId w:val="61"/>
        </w:numPr>
        <w:tabs>
          <w:tab w:val="left" w:pos="993"/>
        </w:tabs>
        <w:autoSpaceDE w:val="0"/>
        <w:autoSpaceDN w:val="0"/>
        <w:adjustRightInd w:val="0"/>
        <w:ind w:left="0" w:firstLine="709"/>
        <w:jc w:val="both"/>
        <w:rPr>
          <w:rFonts w:ascii="Times New Roman" w:hAnsi="Times New Roman"/>
          <w:sz w:val="21"/>
          <w:szCs w:val="21"/>
        </w:rPr>
      </w:pPr>
      <w:r w:rsidRPr="00AE63CB">
        <w:rPr>
          <w:rFonts w:ascii="Times New Roman" w:hAnsi="Times New Roman"/>
          <w:sz w:val="21"/>
          <w:szCs w:val="21"/>
        </w:rPr>
        <w:t>надання соціальної допомоги за рахунок коштів місцевих бюджетів;</w:t>
      </w:r>
    </w:p>
    <w:p w:rsidR="00B233DE" w:rsidRPr="00AE63CB" w:rsidRDefault="00B233DE" w:rsidP="00B233DE">
      <w:pPr>
        <w:pStyle w:val="ad"/>
        <w:widowControl w:val="0"/>
        <w:numPr>
          <w:ilvl w:val="0"/>
          <w:numId w:val="61"/>
        </w:numPr>
        <w:tabs>
          <w:tab w:val="left" w:pos="993"/>
        </w:tabs>
        <w:autoSpaceDE w:val="0"/>
        <w:autoSpaceDN w:val="0"/>
        <w:adjustRightInd w:val="0"/>
        <w:ind w:left="0" w:firstLine="709"/>
        <w:jc w:val="both"/>
        <w:rPr>
          <w:rFonts w:ascii="Times New Roman" w:hAnsi="Times New Roman"/>
          <w:sz w:val="21"/>
          <w:szCs w:val="21"/>
        </w:rPr>
      </w:pPr>
      <w:r w:rsidRPr="00AE63CB">
        <w:rPr>
          <w:rFonts w:ascii="Times New Roman" w:hAnsi="Times New Roman"/>
          <w:sz w:val="21"/>
          <w:szCs w:val="21"/>
        </w:rPr>
        <w:t>підвищення рівня зайнятості працездатного населення, яке потребує роботи, за рахунок залучення у господарський оборот об’єктів комунальної власності;</w:t>
      </w:r>
    </w:p>
    <w:p w:rsidR="00B233DE" w:rsidRPr="00AE63CB" w:rsidRDefault="00B233DE" w:rsidP="00B233DE">
      <w:pPr>
        <w:pStyle w:val="ad"/>
        <w:widowControl w:val="0"/>
        <w:numPr>
          <w:ilvl w:val="0"/>
          <w:numId w:val="61"/>
        </w:numPr>
        <w:tabs>
          <w:tab w:val="left" w:pos="993"/>
        </w:tabs>
        <w:autoSpaceDE w:val="0"/>
        <w:autoSpaceDN w:val="0"/>
        <w:adjustRightInd w:val="0"/>
        <w:ind w:left="0" w:firstLine="709"/>
        <w:jc w:val="both"/>
        <w:rPr>
          <w:rFonts w:ascii="Times New Roman" w:hAnsi="Times New Roman"/>
          <w:sz w:val="21"/>
          <w:szCs w:val="21"/>
        </w:rPr>
      </w:pPr>
      <w:r w:rsidRPr="00AE63CB">
        <w:rPr>
          <w:rFonts w:ascii="Times New Roman" w:hAnsi="Times New Roman"/>
          <w:sz w:val="21"/>
          <w:szCs w:val="21"/>
        </w:rPr>
        <w:t>додання більшої соціальної орієнтації створенню, застосуванню, використанню об’єктів комунальної власності</w:t>
      </w:r>
      <w:r w:rsidR="005C5CD0">
        <w:rPr>
          <w:rFonts w:ascii="Times New Roman" w:hAnsi="Times New Roman"/>
          <w:sz w:val="21"/>
          <w:szCs w:val="21"/>
        </w:rPr>
        <w:t xml:space="preserve"> </w:t>
      </w:r>
      <w:r w:rsidR="005C5CD0" w:rsidRPr="00AE63CB">
        <w:rPr>
          <w:rFonts w:ascii="Times New Roman" w:hAnsi="Times New Roman"/>
          <w:sz w:val="21"/>
          <w:szCs w:val="21"/>
        </w:rPr>
        <w:t>[</w:t>
      </w:r>
      <w:r w:rsidR="00FC3E63">
        <w:rPr>
          <w:rFonts w:ascii="Times New Roman" w:hAnsi="Times New Roman" w:cs="Times New Roman"/>
          <w:bCs/>
          <w:color w:val="000000" w:themeColor="text1"/>
          <w:sz w:val="21"/>
          <w:szCs w:val="21"/>
          <w:highlight w:val="yellow"/>
        </w:rPr>
        <w:fldChar w:fldCharType="begin"/>
      </w:r>
      <w:r w:rsidR="00FC3E63">
        <w:rPr>
          <w:rFonts w:ascii="Times New Roman" w:hAnsi="Times New Roman"/>
          <w:sz w:val="21"/>
          <w:szCs w:val="21"/>
        </w:rPr>
        <w:instrText xml:space="preserve"> REF _Ref436211829 \r \h </w:instrText>
      </w:r>
      <w:r w:rsidR="00FC3E63">
        <w:rPr>
          <w:rFonts w:ascii="Times New Roman" w:hAnsi="Times New Roman" w:cs="Times New Roman"/>
          <w:bCs/>
          <w:color w:val="000000" w:themeColor="text1"/>
          <w:sz w:val="21"/>
          <w:szCs w:val="21"/>
          <w:highlight w:val="yellow"/>
        </w:rPr>
      </w:r>
      <w:r w:rsidR="00FC3E63">
        <w:rPr>
          <w:rFonts w:ascii="Times New Roman" w:hAnsi="Times New Roman" w:cs="Times New Roman"/>
          <w:bCs/>
          <w:color w:val="000000" w:themeColor="text1"/>
          <w:sz w:val="21"/>
          <w:szCs w:val="21"/>
          <w:highlight w:val="yellow"/>
        </w:rPr>
        <w:fldChar w:fldCharType="separate"/>
      </w:r>
      <w:r w:rsidR="00FC3E63">
        <w:rPr>
          <w:rFonts w:ascii="Times New Roman" w:hAnsi="Times New Roman"/>
          <w:sz w:val="21"/>
          <w:szCs w:val="21"/>
        </w:rPr>
        <w:t>39</w:t>
      </w:r>
      <w:r w:rsidR="00FC3E63">
        <w:rPr>
          <w:rFonts w:ascii="Times New Roman" w:hAnsi="Times New Roman" w:cs="Times New Roman"/>
          <w:bCs/>
          <w:color w:val="000000" w:themeColor="text1"/>
          <w:sz w:val="21"/>
          <w:szCs w:val="21"/>
          <w:highlight w:val="yellow"/>
        </w:rPr>
        <w:fldChar w:fldCharType="end"/>
      </w:r>
      <w:r w:rsidR="005C5CD0" w:rsidRPr="00AE63CB">
        <w:rPr>
          <w:rFonts w:ascii="Times New Roman" w:hAnsi="Times New Roman"/>
          <w:sz w:val="21"/>
          <w:szCs w:val="21"/>
        </w:rPr>
        <w:t>]</w:t>
      </w:r>
      <w:r w:rsidRPr="00AE63CB">
        <w:rPr>
          <w:rFonts w:ascii="Times New Roman" w:hAnsi="Times New Roman"/>
          <w:sz w:val="21"/>
          <w:szCs w:val="21"/>
        </w:rPr>
        <w:t>.</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 xml:space="preserve">Оцінити кількісно, виміряти у грошовому вираженні за допомогою досить універсальних методів розрахунку вдається лише незначну частину перерахованих вище соціальних ефектів, які потенційно досягаються за рахунок об’єктів комунальної власності. Разом з тим, у міру зміщення з макроекономічного на мікроекономічний рівень, тобто стосовно конкретних індивідуальних об’єктів комунального майна і способів соціального використання цих об’єктів наближені кількісні оцінки різних видів соціального ефекту, які володіють прийнятним рівнем достовірності, цілком можливі та необхідні. Безсумнівно, що поряд </w:t>
      </w:r>
      <w:r w:rsidRPr="00AE63CB">
        <w:rPr>
          <w:rFonts w:ascii="Times New Roman" w:hAnsi="Times New Roman"/>
          <w:sz w:val="21"/>
          <w:szCs w:val="21"/>
        </w:rPr>
        <w:lastRenderedPageBreak/>
        <w:t>з такими кількісними оцінками соціальних ефектів (як позитивних, так і негативних) необхідні якісні оцінки, які виконуються фахівцями-експертами, або групами експертів, що відображають колективне судження.</w:t>
      </w:r>
    </w:p>
    <w:p w:rsidR="00B233DE" w:rsidRPr="00AE63CB" w:rsidRDefault="00B233DE" w:rsidP="00B84813">
      <w:pPr>
        <w:widowControl w:val="0"/>
        <w:autoSpaceDE w:val="0"/>
        <w:autoSpaceDN w:val="0"/>
        <w:adjustRightInd w:val="0"/>
        <w:spacing w:line="252" w:lineRule="auto"/>
        <w:ind w:firstLine="709"/>
        <w:jc w:val="both"/>
        <w:rPr>
          <w:rFonts w:ascii="Times New Roman" w:hAnsi="Times New Roman"/>
          <w:sz w:val="21"/>
          <w:szCs w:val="21"/>
        </w:rPr>
      </w:pPr>
      <w:r w:rsidRPr="00AE63CB">
        <w:rPr>
          <w:rFonts w:ascii="Times New Roman" w:hAnsi="Times New Roman"/>
          <w:sz w:val="21"/>
          <w:szCs w:val="21"/>
        </w:rPr>
        <w:t>Навіть за відсутності методів безпосередньої оцінки вели</w:t>
      </w:r>
      <w:r>
        <w:rPr>
          <w:rFonts w:ascii="Times New Roman" w:hAnsi="Times New Roman"/>
          <w:sz w:val="21"/>
          <w:szCs w:val="21"/>
        </w:rPr>
        <w:t>-</w:t>
      </w:r>
      <w:r w:rsidRPr="00AE63CB">
        <w:rPr>
          <w:rFonts w:ascii="Times New Roman" w:hAnsi="Times New Roman"/>
          <w:sz w:val="21"/>
          <w:szCs w:val="21"/>
        </w:rPr>
        <w:t>чини перерахованих соціальни</w:t>
      </w:r>
      <w:r>
        <w:rPr>
          <w:rFonts w:ascii="Times New Roman" w:hAnsi="Times New Roman"/>
          <w:sz w:val="21"/>
          <w:szCs w:val="21"/>
        </w:rPr>
        <w:t>х ефектів, які одержуються за ра</w:t>
      </w:r>
      <w:r w:rsidRPr="00AE63CB">
        <w:rPr>
          <w:rFonts w:ascii="Times New Roman" w:hAnsi="Times New Roman"/>
          <w:sz w:val="21"/>
          <w:szCs w:val="21"/>
        </w:rPr>
        <w:t>ху</w:t>
      </w:r>
      <w:r>
        <w:rPr>
          <w:rFonts w:ascii="Times New Roman" w:hAnsi="Times New Roman"/>
          <w:sz w:val="21"/>
          <w:szCs w:val="21"/>
        </w:rPr>
        <w:t>-</w:t>
      </w:r>
      <w:r w:rsidRPr="00AE63CB">
        <w:rPr>
          <w:rFonts w:ascii="Times New Roman" w:hAnsi="Times New Roman"/>
          <w:sz w:val="21"/>
          <w:szCs w:val="21"/>
        </w:rPr>
        <w:t>нок об’єктів комунальної власності, сам факт їх виявлення та облі</w:t>
      </w:r>
      <w:r>
        <w:rPr>
          <w:rFonts w:ascii="Times New Roman" w:hAnsi="Times New Roman"/>
          <w:sz w:val="21"/>
          <w:szCs w:val="21"/>
        </w:rPr>
        <w:t>-</w:t>
      </w:r>
      <w:r w:rsidRPr="00AE63CB">
        <w:rPr>
          <w:rFonts w:ascii="Times New Roman" w:hAnsi="Times New Roman"/>
          <w:sz w:val="21"/>
          <w:szCs w:val="21"/>
        </w:rPr>
        <w:t>ку, з’ясування хоча б знаку ефекту (додатній або від’ємний) пови</w:t>
      </w:r>
      <w:r>
        <w:rPr>
          <w:rFonts w:ascii="Times New Roman" w:hAnsi="Times New Roman"/>
          <w:sz w:val="21"/>
          <w:szCs w:val="21"/>
        </w:rPr>
        <w:t>-</w:t>
      </w:r>
      <w:r w:rsidRPr="00AD574E">
        <w:rPr>
          <w:rFonts w:ascii="Times New Roman" w:hAnsi="Times New Roman"/>
          <w:spacing w:val="-4"/>
          <w:sz w:val="21"/>
          <w:szCs w:val="21"/>
        </w:rPr>
        <w:t>нен прийматися до уваги у процесах управління комунальним майном.</w:t>
      </w:r>
    </w:p>
    <w:p w:rsidR="00B233DE" w:rsidRPr="00AE63CB" w:rsidRDefault="00B233DE" w:rsidP="00B84813">
      <w:pPr>
        <w:widowControl w:val="0"/>
        <w:autoSpaceDE w:val="0"/>
        <w:autoSpaceDN w:val="0"/>
        <w:adjustRightInd w:val="0"/>
        <w:spacing w:line="252" w:lineRule="auto"/>
        <w:ind w:firstLine="709"/>
        <w:jc w:val="both"/>
        <w:rPr>
          <w:rFonts w:ascii="Times New Roman" w:hAnsi="Times New Roman"/>
          <w:sz w:val="21"/>
          <w:szCs w:val="21"/>
        </w:rPr>
      </w:pPr>
      <w:r w:rsidRPr="00AE63CB">
        <w:rPr>
          <w:rFonts w:ascii="Times New Roman" w:hAnsi="Times New Roman"/>
          <w:sz w:val="21"/>
          <w:szCs w:val="21"/>
        </w:rPr>
        <w:t>Очевидно також, що послідовний перехід до соціально-орієнтованої економіки потребує розвитку і вдосконалення методів оцінки соціальних результатів, які досягаються у процесі господарського застосування об’єктів комунальної власності.</w:t>
      </w:r>
    </w:p>
    <w:p w:rsidR="00B233DE" w:rsidRPr="00AE63CB" w:rsidRDefault="00B233DE" w:rsidP="00B84813">
      <w:pPr>
        <w:widowControl w:val="0"/>
        <w:autoSpaceDE w:val="0"/>
        <w:autoSpaceDN w:val="0"/>
        <w:adjustRightInd w:val="0"/>
        <w:spacing w:line="252" w:lineRule="auto"/>
        <w:ind w:firstLine="709"/>
        <w:jc w:val="both"/>
        <w:rPr>
          <w:rFonts w:ascii="Times New Roman" w:hAnsi="Times New Roman"/>
          <w:sz w:val="21"/>
          <w:szCs w:val="21"/>
        </w:rPr>
      </w:pPr>
      <w:r w:rsidRPr="00AE63CB">
        <w:rPr>
          <w:rFonts w:ascii="Times New Roman" w:hAnsi="Times New Roman"/>
          <w:sz w:val="21"/>
          <w:szCs w:val="21"/>
        </w:rPr>
        <w:t>Оцінка витрат територіальної громади на об’єкти комунальної власності необхідна для зіставлення, віднесення ефекту до витрат на його отримання, що власне і представляє собою суть оцінки ефективності. Суворо кажучи, ефект потрібно зіставляти не з витратами на об’єкт власності взагалі, а з витратами, які зумовили отримання даного ефекту, хоча виділити саме ці витрати у загальному обсязі витрат далеко не завжди вдається. Тому часто доводиться економічні та соціальні ефекти, одержувані протягом певного періоду часу, порівнювати з витратами на функціонування об’єкта за той же період часу, з капіталом, вкладеним в об’єкт, або навіть вартістю майнового об’єкта.</w:t>
      </w:r>
    </w:p>
    <w:p w:rsidR="00B233DE" w:rsidRPr="00AD574E" w:rsidRDefault="00B233DE" w:rsidP="00B84813">
      <w:pPr>
        <w:tabs>
          <w:tab w:val="left" w:pos="0"/>
          <w:tab w:val="left" w:pos="180"/>
          <w:tab w:val="left" w:pos="993"/>
          <w:tab w:val="left" w:pos="1134"/>
        </w:tabs>
        <w:spacing w:line="252" w:lineRule="auto"/>
        <w:ind w:firstLine="709"/>
        <w:jc w:val="both"/>
        <w:rPr>
          <w:rFonts w:ascii="Times New Roman" w:hAnsi="Times New Roman" w:cs="Times New Roman"/>
          <w:sz w:val="21"/>
          <w:szCs w:val="21"/>
        </w:rPr>
      </w:pPr>
      <w:r w:rsidRPr="00AE63CB">
        <w:rPr>
          <w:rFonts w:ascii="Times New Roman" w:hAnsi="Times New Roman"/>
          <w:sz w:val="21"/>
          <w:szCs w:val="21"/>
        </w:rPr>
        <w:t>Для конкретизації витрат, з якими слід зіставляти результат функціонування комунальної власності, недостатньо поділу їх за видами на матеріальні, трудові, фінансові або на поточні і капітальні, як це прийнято робити в оцінках ефективності виробництва. Ефект, віддача об’єктів комунальної власності допускають квантифікацію за роками або іншими періодами часу, тоді як витрати, пов’язані зі створенням і функціонуванням цих об’єктів, розтягнуті у часі більшою мірою і не прив’язані настільки чітко, як у матеріальному виробництві, до одержуваного</w:t>
      </w:r>
      <w:r>
        <w:rPr>
          <w:rFonts w:ascii="Times New Roman" w:hAnsi="Times New Roman" w:cs="Times New Roman"/>
          <w:sz w:val="21"/>
          <w:szCs w:val="21"/>
        </w:rPr>
        <w:t xml:space="preserve"> </w:t>
      </w:r>
      <w:r w:rsidRPr="00AE63CB">
        <w:rPr>
          <w:rFonts w:ascii="Times New Roman" w:hAnsi="Times New Roman"/>
          <w:sz w:val="21"/>
          <w:szCs w:val="21"/>
        </w:rPr>
        <w:t>результату.</w:t>
      </w:r>
    </w:p>
    <w:p w:rsidR="00B233DE" w:rsidRPr="00AE63CB" w:rsidRDefault="00B233DE" w:rsidP="00B84813">
      <w:pPr>
        <w:widowControl w:val="0"/>
        <w:autoSpaceDE w:val="0"/>
        <w:autoSpaceDN w:val="0"/>
        <w:adjustRightInd w:val="0"/>
        <w:spacing w:line="252" w:lineRule="auto"/>
        <w:ind w:firstLine="709"/>
        <w:jc w:val="both"/>
        <w:rPr>
          <w:rFonts w:ascii="Times New Roman" w:hAnsi="Times New Roman"/>
          <w:sz w:val="21"/>
          <w:szCs w:val="21"/>
        </w:rPr>
      </w:pPr>
      <w:r w:rsidRPr="00AE63CB">
        <w:rPr>
          <w:rFonts w:ascii="Times New Roman" w:hAnsi="Times New Roman"/>
          <w:sz w:val="21"/>
          <w:szCs w:val="21"/>
        </w:rPr>
        <w:t xml:space="preserve">У зв’язку з цим, на нашу думку, доцільно розрізняти види оцінок соціальної ефективності управління комунальною власністю в залежності від тривалості охоплюваного періоду часу і </w:t>
      </w:r>
      <w:r w:rsidRPr="00AE63CB">
        <w:rPr>
          <w:rFonts w:ascii="Times New Roman" w:hAnsi="Times New Roman"/>
          <w:sz w:val="21"/>
          <w:szCs w:val="21"/>
        </w:rPr>
        <w:lastRenderedPageBreak/>
        <w:t>відповідним чином обирати базу порівняння.</w:t>
      </w:r>
    </w:p>
    <w:p w:rsidR="00B233DE" w:rsidRPr="00AE63CB" w:rsidRDefault="00B233DE" w:rsidP="00B84813">
      <w:pPr>
        <w:widowControl w:val="0"/>
        <w:autoSpaceDE w:val="0"/>
        <w:autoSpaceDN w:val="0"/>
        <w:adjustRightInd w:val="0"/>
        <w:spacing w:line="252" w:lineRule="auto"/>
        <w:ind w:firstLine="709"/>
        <w:jc w:val="both"/>
        <w:rPr>
          <w:rFonts w:ascii="Times New Roman" w:hAnsi="Times New Roman"/>
          <w:sz w:val="21"/>
          <w:szCs w:val="21"/>
        </w:rPr>
      </w:pPr>
      <w:r w:rsidRPr="00AE63CB">
        <w:rPr>
          <w:rFonts w:ascii="Times New Roman" w:hAnsi="Times New Roman"/>
          <w:sz w:val="21"/>
          <w:szCs w:val="21"/>
        </w:rPr>
        <w:t>Стосовно поточного, оперативного управління соціальний ефект управління за певний, досить нетривалий період, наприклад, до одного року, можна відносити до витрат на утримання, функціонування, управління за той же період. Оцінка ефективності управління за досить тривалий минулий або майбутній прогнозний період, вимірюваний роками, вимагає віднесення ефекту до сумарних капіталовкладенням в об’єкти комунальної власності, які передували отриманню результату. Якщо отримуваний ефект від використання комунальної власності не пов’язаний очевидним чином з величиною поточних витрат і інвестицій в об’єкт, то ефективність управління і функціонування об’єкта пропонується оцінювати шляхом ділення результату, одержуваного від майна за аналізований період часу, до поточної ринкової вартості майна, у якій акумульовані попередні витрати. В останньому випадку показник соціальної ефективності буде виражати частку ринкової вартості комунального майна, яка втілилася за аналізований період часу у соціальний результат.</w:t>
      </w:r>
    </w:p>
    <w:p w:rsidR="00B233DE" w:rsidRPr="00AE63CB" w:rsidRDefault="00B233DE" w:rsidP="00B84813">
      <w:pPr>
        <w:widowControl w:val="0"/>
        <w:autoSpaceDE w:val="0"/>
        <w:autoSpaceDN w:val="0"/>
        <w:adjustRightInd w:val="0"/>
        <w:spacing w:line="252" w:lineRule="auto"/>
        <w:ind w:firstLine="709"/>
        <w:jc w:val="both"/>
        <w:rPr>
          <w:rFonts w:ascii="Times New Roman" w:hAnsi="Times New Roman"/>
          <w:sz w:val="21"/>
          <w:szCs w:val="21"/>
        </w:rPr>
      </w:pPr>
      <w:r w:rsidRPr="00AE63CB">
        <w:rPr>
          <w:rFonts w:ascii="Times New Roman" w:hAnsi="Times New Roman"/>
          <w:sz w:val="21"/>
          <w:szCs w:val="21"/>
        </w:rPr>
        <w:t>Для більш чіткого трактування, інтерпретації одержуваних таким способом оцінок соціальної ефективності бажано розробити нормативи соціальної віддачі типових груп об’єктів комунальної власності, такі нормативи можуть бути виражені, наприклад, у виг</w:t>
      </w:r>
      <w:r>
        <w:rPr>
          <w:rFonts w:ascii="Times New Roman" w:hAnsi="Times New Roman"/>
          <w:sz w:val="21"/>
          <w:szCs w:val="21"/>
        </w:rPr>
        <w:t>-</w:t>
      </w:r>
      <w:r w:rsidRPr="00AE63CB">
        <w:rPr>
          <w:rFonts w:ascii="Times New Roman" w:hAnsi="Times New Roman"/>
          <w:sz w:val="21"/>
          <w:szCs w:val="21"/>
        </w:rPr>
        <w:t xml:space="preserve">ляді річної частки вартості майнового комплексу даного виду, яка </w:t>
      </w:r>
      <w:r w:rsidRPr="0028380E">
        <w:rPr>
          <w:rFonts w:ascii="Times New Roman" w:hAnsi="Times New Roman"/>
          <w:spacing w:val="-4"/>
          <w:sz w:val="21"/>
          <w:szCs w:val="21"/>
        </w:rPr>
        <w:t>повинна бути отримана як результат його соціального застосування.</w:t>
      </w:r>
    </w:p>
    <w:p w:rsidR="00B233DE" w:rsidRPr="00AE63CB" w:rsidRDefault="00B233DE" w:rsidP="00B84813">
      <w:pPr>
        <w:widowControl w:val="0"/>
        <w:autoSpaceDE w:val="0"/>
        <w:autoSpaceDN w:val="0"/>
        <w:adjustRightInd w:val="0"/>
        <w:spacing w:line="252" w:lineRule="auto"/>
        <w:ind w:firstLine="709"/>
        <w:jc w:val="both"/>
        <w:rPr>
          <w:rFonts w:ascii="Times New Roman" w:hAnsi="Times New Roman"/>
          <w:sz w:val="21"/>
          <w:szCs w:val="21"/>
        </w:rPr>
      </w:pPr>
      <w:r w:rsidRPr="00AE63CB">
        <w:rPr>
          <w:rFonts w:ascii="Times New Roman" w:hAnsi="Times New Roman"/>
          <w:sz w:val="21"/>
          <w:szCs w:val="21"/>
        </w:rPr>
        <w:t xml:space="preserve">Таким чином, підходи до соціальної ефективності управління комунальним майном територіальних громад залежно від призначення таких об’єктів значно відрізняються. На нашу думку, оцінити соціальну ефективність комерційних об’єктів комунальної власності можна на основі співставлення частки доходу від їх діяльності, яка спрямовується на соціальні цілі, до ринкової вартості таких об’єктів, як показника сумарних витрат на його формування. У таблиці </w:t>
      </w:r>
      <w:r>
        <w:rPr>
          <w:rFonts w:ascii="Times New Roman" w:hAnsi="Times New Roman"/>
          <w:sz w:val="21"/>
          <w:szCs w:val="21"/>
        </w:rPr>
        <w:t>6</w:t>
      </w:r>
      <w:r w:rsidRPr="00AE63CB">
        <w:rPr>
          <w:rFonts w:ascii="Times New Roman" w:hAnsi="Times New Roman"/>
          <w:sz w:val="21"/>
          <w:szCs w:val="21"/>
        </w:rPr>
        <w:t>.2 представлено варіанти розрахунку соціальної ефективності комерційних об’єктів комунальної власності у разі їх здачі в оренду та безпосереднього управління з боку власників і їх уповноважених органів.</w:t>
      </w:r>
    </w:p>
    <w:p w:rsidR="00B233DE" w:rsidRDefault="00B233DE" w:rsidP="00B233DE">
      <w:pPr>
        <w:widowControl w:val="0"/>
        <w:autoSpaceDE w:val="0"/>
        <w:autoSpaceDN w:val="0"/>
        <w:adjustRightInd w:val="0"/>
        <w:ind w:firstLine="709"/>
        <w:jc w:val="right"/>
        <w:rPr>
          <w:rFonts w:ascii="Times New Roman" w:hAnsi="Times New Roman"/>
          <w:sz w:val="21"/>
          <w:szCs w:val="21"/>
        </w:rPr>
      </w:pPr>
    </w:p>
    <w:p w:rsidR="00B84813" w:rsidRDefault="00B84813" w:rsidP="00B233DE">
      <w:pPr>
        <w:widowControl w:val="0"/>
        <w:autoSpaceDE w:val="0"/>
        <w:autoSpaceDN w:val="0"/>
        <w:adjustRightInd w:val="0"/>
        <w:ind w:firstLine="709"/>
        <w:jc w:val="right"/>
        <w:rPr>
          <w:rFonts w:ascii="Times New Roman" w:hAnsi="Times New Roman"/>
          <w:sz w:val="21"/>
          <w:szCs w:val="21"/>
        </w:rPr>
      </w:pPr>
    </w:p>
    <w:p w:rsidR="00B233DE" w:rsidRDefault="00B233DE" w:rsidP="00B233DE">
      <w:pPr>
        <w:widowControl w:val="0"/>
        <w:autoSpaceDE w:val="0"/>
        <w:autoSpaceDN w:val="0"/>
        <w:adjustRightInd w:val="0"/>
        <w:ind w:firstLine="709"/>
        <w:jc w:val="right"/>
        <w:rPr>
          <w:rFonts w:ascii="Times New Roman" w:hAnsi="Times New Roman"/>
          <w:sz w:val="21"/>
          <w:szCs w:val="21"/>
        </w:rPr>
      </w:pPr>
      <w:r>
        <w:rPr>
          <w:rFonts w:ascii="Times New Roman" w:hAnsi="Times New Roman"/>
          <w:sz w:val="21"/>
          <w:szCs w:val="21"/>
        </w:rPr>
        <w:lastRenderedPageBreak/>
        <w:t xml:space="preserve">Таблиця 6.2 </w:t>
      </w:r>
    </w:p>
    <w:p w:rsidR="00B233DE" w:rsidRPr="0028380E" w:rsidRDefault="00B233DE" w:rsidP="00B233DE">
      <w:pPr>
        <w:widowControl w:val="0"/>
        <w:autoSpaceDE w:val="0"/>
        <w:autoSpaceDN w:val="0"/>
        <w:adjustRightInd w:val="0"/>
        <w:ind w:firstLine="709"/>
        <w:jc w:val="center"/>
        <w:rPr>
          <w:rFonts w:ascii="Times New Roman" w:hAnsi="Times New Roman"/>
          <w:b/>
          <w:sz w:val="21"/>
          <w:szCs w:val="21"/>
        </w:rPr>
      </w:pPr>
      <w:r w:rsidRPr="0028380E">
        <w:rPr>
          <w:rFonts w:ascii="Times New Roman" w:hAnsi="Times New Roman"/>
          <w:b/>
          <w:sz w:val="21"/>
          <w:szCs w:val="21"/>
        </w:rPr>
        <w:t>Розрахунок соціальної ефективності комерційних об’єктів комунальної власності територіальних громад</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4"/>
        <w:gridCol w:w="4516"/>
      </w:tblGrid>
      <w:tr w:rsidR="00B233DE" w:rsidRPr="0028380E" w:rsidTr="0023489B">
        <w:trPr>
          <w:jc w:val="center"/>
        </w:trPr>
        <w:tc>
          <w:tcPr>
            <w:tcW w:w="1824" w:type="dxa"/>
            <w:shd w:val="clear" w:color="auto" w:fill="auto"/>
          </w:tcPr>
          <w:p w:rsidR="00B233DE" w:rsidRPr="0028380E" w:rsidRDefault="00B233DE" w:rsidP="0023489B">
            <w:pPr>
              <w:widowControl w:val="0"/>
              <w:autoSpaceDE w:val="0"/>
              <w:autoSpaceDN w:val="0"/>
              <w:adjustRightInd w:val="0"/>
              <w:ind w:firstLine="0"/>
              <w:jc w:val="center"/>
              <w:rPr>
                <w:rFonts w:ascii="Times New Roman" w:eastAsia="Times New Roman" w:hAnsi="Times New Roman" w:cs="Times New Roman"/>
                <w:sz w:val="17"/>
                <w:szCs w:val="17"/>
              </w:rPr>
            </w:pPr>
            <w:r w:rsidRPr="0028380E">
              <w:rPr>
                <w:rFonts w:ascii="Times New Roman" w:eastAsia="Times New Roman" w:hAnsi="Times New Roman" w:cs="Times New Roman"/>
                <w:sz w:val="17"/>
                <w:szCs w:val="17"/>
              </w:rPr>
              <w:t>Варіант управління</w:t>
            </w:r>
          </w:p>
        </w:tc>
        <w:tc>
          <w:tcPr>
            <w:tcW w:w="4516" w:type="dxa"/>
            <w:shd w:val="clear" w:color="auto" w:fill="auto"/>
          </w:tcPr>
          <w:p w:rsidR="00B233DE" w:rsidRPr="0028380E" w:rsidRDefault="00B233DE" w:rsidP="0023489B">
            <w:pPr>
              <w:widowControl w:val="0"/>
              <w:autoSpaceDE w:val="0"/>
              <w:autoSpaceDN w:val="0"/>
              <w:adjustRightInd w:val="0"/>
              <w:ind w:firstLine="0"/>
              <w:jc w:val="center"/>
              <w:rPr>
                <w:rFonts w:ascii="Times New Roman" w:eastAsia="Times New Roman" w:hAnsi="Times New Roman" w:cs="Times New Roman"/>
                <w:sz w:val="17"/>
                <w:szCs w:val="17"/>
              </w:rPr>
            </w:pPr>
            <w:r w:rsidRPr="0028380E">
              <w:rPr>
                <w:rFonts w:ascii="Times New Roman" w:eastAsia="Times New Roman" w:hAnsi="Times New Roman" w:cs="Times New Roman"/>
                <w:sz w:val="17"/>
                <w:szCs w:val="17"/>
              </w:rPr>
              <w:t>Розрахунок соціальної ефективності комерційних об’єктів комунальної власності</w:t>
            </w:r>
          </w:p>
        </w:tc>
      </w:tr>
      <w:tr w:rsidR="00B233DE" w:rsidRPr="0028380E" w:rsidTr="0023489B">
        <w:trPr>
          <w:jc w:val="center"/>
        </w:trPr>
        <w:tc>
          <w:tcPr>
            <w:tcW w:w="1824" w:type="dxa"/>
            <w:shd w:val="clear" w:color="auto" w:fill="auto"/>
          </w:tcPr>
          <w:p w:rsidR="00B233DE" w:rsidRPr="0028380E" w:rsidRDefault="00B233DE" w:rsidP="0023489B">
            <w:pPr>
              <w:widowControl w:val="0"/>
              <w:autoSpaceDE w:val="0"/>
              <w:autoSpaceDN w:val="0"/>
              <w:adjustRightInd w:val="0"/>
              <w:ind w:firstLine="0"/>
              <w:jc w:val="center"/>
              <w:rPr>
                <w:rFonts w:ascii="Times New Roman" w:eastAsia="Times New Roman" w:hAnsi="Times New Roman" w:cs="Times New Roman"/>
                <w:sz w:val="17"/>
                <w:szCs w:val="17"/>
              </w:rPr>
            </w:pPr>
            <w:r w:rsidRPr="0028380E">
              <w:rPr>
                <w:rFonts w:ascii="Times New Roman" w:eastAsia="Times New Roman" w:hAnsi="Times New Roman" w:cs="Times New Roman"/>
                <w:sz w:val="17"/>
                <w:szCs w:val="17"/>
              </w:rPr>
              <w:t>1</w:t>
            </w:r>
          </w:p>
        </w:tc>
        <w:tc>
          <w:tcPr>
            <w:tcW w:w="4516" w:type="dxa"/>
            <w:shd w:val="clear" w:color="auto" w:fill="auto"/>
          </w:tcPr>
          <w:p w:rsidR="00B233DE" w:rsidRPr="0028380E" w:rsidRDefault="00B233DE" w:rsidP="0023489B">
            <w:pPr>
              <w:widowControl w:val="0"/>
              <w:autoSpaceDE w:val="0"/>
              <w:autoSpaceDN w:val="0"/>
              <w:adjustRightInd w:val="0"/>
              <w:ind w:firstLine="0"/>
              <w:jc w:val="center"/>
              <w:rPr>
                <w:rFonts w:ascii="Times New Roman" w:eastAsia="Times New Roman" w:hAnsi="Times New Roman" w:cs="Times New Roman"/>
                <w:sz w:val="17"/>
                <w:szCs w:val="17"/>
              </w:rPr>
            </w:pPr>
            <w:r w:rsidRPr="0028380E">
              <w:rPr>
                <w:rFonts w:ascii="Times New Roman" w:eastAsia="Times New Roman" w:hAnsi="Times New Roman" w:cs="Times New Roman"/>
                <w:sz w:val="17"/>
                <w:szCs w:val="17"/>
              </w:rPr>
              <w:t>2</w:t>
            </w:r>
          </w:p>
        </w:tc>
      </w:tr>
      <w:tr w:rsidR="00B233DE" w:rsidRPr="0028380E" w:rsidTr="0023489B">
        <w:trPr>
          <w:trHeight w:val="3338"/>
          <w:jc w:val="center"/>
        </w:trPr>
        <w:tc>
          <w:tcPr>
            <w:tcW w:w="1824" w:type="dxa"/>
            <w:vMerge w:val="restart"/>
            <w:shd w:val="clear" w:color="auto" w:fill="auto"/>
            <w:vAlign w:val="center"/>
          </w:tcPr>
          <w:p w:rsidR="00B233DE" w:rsidRPr="0028380E" w:rsidRDefault="00B233DE" w:rsidP="0023489B">
            <w:pPr>
              <w:widowControl w:val="0"/>
              <w:autoSpaceDE w:val="0"/>
              <w:autoSpaceDN w:val="0"/>
              <w:adjustRightInd w:val="0"/>
              <w:ind w:firstLine="0"/>
              <w:jc w:val="center"/>
              <w:rPr>
                <w:rFonts w:ascii="Times New Roman" w:eastAsia="Times New Roman" w:hAnsi="Times New Roman" w:cs="Times New Roman"/>
                <w:sz w:val="17"/>
                <w:szCs w:val="17"/>
              </w:rPr>
            </w:pPr>
          </w:p>
          <w:p w:rsidR="00B233DE" w:rsidRPr="0028380E" w:rsidRDefault="00B233DE" w:rsidP="0023489B">
            <w:pPr>
              <w:widowControl w:val="0"/>
              <w:autoSpaceDE w:val="0"/>
              <w:autoSpaceDN w:val="0"/>
              <w:adjustRightInd w:val="0"/>
              <w:ind w:firstLine="0"/>
              <w:jc w:val="center"/>
              <w:rPr>
                <w:rFonts w:ascii="Times New Roman" w:eastAsia="Times New Roman" w:hAnsi="Times New Roman" w:cs="Times New Roman"/>
                <w:sz w:val="17"/>
                <w:szCs w:val="17"/>
              </w:rPr>
            </w:pPr>
            <w:r w:rsidRPr="0028380E">
              <w:rPr>
                <w:rFonts w:ascii="Times New Roman" w:eastAsia="Times New Roman" w:hAnsi="Times New Roman" w:cs="Times New Roman"/>
                <w:sz w:val="17"/>
                <w:szCs w:val="17"/>
              </w:rPr>
              <w:t>1. Безпосередньо територіальною громадою або органами місцевого самоврядування</w:t>
            </w:r>
          </w:p>
          <w:p w:rsidR="00B233DE" w:rsidRPr="0028380E" w:rsidRDefault="00B233DE" w:rsidP="0023489B">
            <w:pPr>
              <w:widowControl w:val="0"/>
              <w:autoSpaceDE w:val="0"/>
              <w:autoSpaceDN w:val="0"/>
              <w:adjustRightInd w:val="0"/>
              <w:ind w:firstLine="0"/>
              <w:jc w:val="center"/>
              <w:rPr>
                <w:rFonts w:ascii="Times New Roman" w:eastAsia="Times New Roman" w:hAnsi="Times New Roman" w:cs="Times New Roman"/>
                <w:sz w:val="17"/>
                <w:szCs w:val="17"/>
              </w:rPr>
            </w:pPr>
          </w:p>
        </w:tc>
        <w:tc>
          <w:tcPr>
            <w:tcW w:w="4516" w:type="dxa"/>
            <w:shd w:val="clear" w:color="auto" w:fill="auto"/>
          </w:tcPr>
          <w:p w:rsidR="00B233DE" w:rsidRPr="0028380E" w:rsidRDefault="00B233DE" w:rsidP="0023489B">
            <w:pPr>
              <w:widowControl w:val="0"/>
              <w:autoSpaceDE w:val="0"/>
              <w:autoSpaceDN w:val="0"/>
              <w:adjustRightInd w:val="0"/>
              <w:ind w:firstLine="0"/>
              <w:jc w:val="center"/>
              <w:rPr>
                <w:rFonts w:ascii="Times New Roman" w:eastAsia="Times New Roman" w:hAnsi="Times New Roman" w:cs="Times New Roman"/>
                <w:sz w:val="17"/>
                <w:szCs w:val="17"/>
              </w:rPr>
            </w:pPr>
            <w:r w:rsidRPr="0028380E">
              <w:rPr>
                <w:rFonts w:ascii="Times New Roman" w:eastAsia="Times New Roman" w:hAnsi="Times New Roman" w:cs="Times New Roman"/>
                <w:noProof/>
                <w:sz w:val="17"/>
                <w:szCs w:val="17"/>
                <w:lang w:val="ru-RU" w:eastAsia="ru-RU"/>
              </w:rPr>
              <mc:AlternateContent>
                <mc:Choice Requires="wps">
                  <w:drawing>
                    <wp:anchor distT="0" distB="0" distL="114300" distR="114300" simplePos="0" relativeHeight="251721728" behindDoc="0" locked="0" layoutInCell="1" allowOverlap="1" wp14:anchorId="5AF7FD45" wp14:editId="76BC2631">
                      <wp:simplePos x="0" y="0"/>
                      <wp:positionH relativeFrom="column">
                        <wp:posOffset>4135755</wp:posOffset>
                      </wp:positionH>
                      <wp:positionV relativeFrom="paragraph">
                        <wp:posOffset>49530</wp:posOffset>
                      </wp:positionV>
                      <wp:extent cx="495300" cy="609600"/>
                      <wp:effectExtent l="0" t="0" r="0" b="0"/>
                      <wp:wrapNone/>
                      <wp:docPr id="1651" name="Поле 16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300" cy="609600"/>
                              </a:xfrm>
                              <a:prstGeom prst="rect">
                                <a:avLst/>
                              </a:prstGeom>
                              <a:noFill/>
                              <a:ln w="6350">
                                <a:noFill/>
                              </a:ln>
                              <a:effectLst/>
                            </wps:spPr>
                            <wps:txbx>
                              <w:txbxContent>
                                <w:p w:rsidR="00BE40F8" w:rsidRPr="00E34A4E" w:rsidRDefault="00BE40F8" w:rsidP="00B233DE">
                                  <w:pPr>
                                    <w:rPr>
                                      <w:rFonts w:ascii="Times New Roman" w:hAnsi="Times New Roman"/>
                                    </w:rPr>
                                  </w:pPr>
                                  <w:r>
                                    <w:rPr>
                                      <w:rFonts w:ascii="Times New Roman" w:hAnsi="Times New Roman"/>
                                    </w:rPr>
                                    <w:t>(</w:t>
                                  </w:r>
                                  <w:r w:rsidRPr="00E34A4E">
                                    <w:rPr>
                                      <w:rFonts w:ascii="Times New Roman" w:hAnsi="Times New Roman"/>
                                    </w:rPr>
                                    <w:t>3.</w:t>
                                  </w:r>
                                  <w:r>
                                    <w:rPr>
                                      <w:rFonts w:ascii="Times New Roman" w:hAnsi="Times New Roman"/>
                                    </w:rPr>
                                    <w:t>3)</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F7FD45" id="Поле 1651" o:spid="_x0000_s2373" type="#_x0000_t202" style="position:absolute;left:0;text-align:left;margin-left:325.65pt;margin-top:3.9pt;width:39pt;height:48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" filled="f" stroked="f" strokeweight=".5pt">
                      <v:path arrowok="t"/>
                      <v:textbox>
                        <w:txbxContent>
                          <w:p w:rsidR="00BE40F8" w:rsidRPr="00E34A4E" w:rsidRDefault="00BE40F8" w:rsidP="00B233DE">
                            <w:pPr>
                              <w:rPr>
                                <w:rFonts w:ascii="Times New Roman" w:hAnsi="Times New Roman"/>
                              </w:rPr>
                            </w:pPr>
                            <w:r>
                              <w:rPr>
                                <w:rFonts w:ascii="Times New Roman" w:hAnsi="Times New Roman"/>
                              </w:rPr>
                              <w:t>(</w:t>
                            </w:r>
                            <w:r w:rsidRPr="00E34A4E">
                              <w:rPr>
                                <w:rFonts w:ascii="Times New Roman" w:hAnsi="Times New Roman"/>
                              </w:rPr>
                              <w:t>3.</w:t>
                            </w:r>
                            <w:r>
                              <w:rPr>
                                <w:rFonts w:ascii="Times New Roman" w:hAnsi="Times New Roman"/>
                              </w:rPr>
                              <w:t>3)</w:t>
                            </w:r>
                          </w:p>
                        </w:txbxContent>
                      </v:textbox>
                    </v:shape>
                  </w:pict>
                </mc:Fallback>
              </mc:AlternateContent>
            </w:r>
          </w:p>
          <w:p w:rsidR="00B233DE" w:rsidRPr="0028380E" w:rsidRDefault="00B233DE" w:rsidP="0023489B">
            <w:pPr>
              <w:widowControl w:val="0"/>
              <w:autoSpaceDE w:val="0"/>
              <w:autoSpaceDN w:val="0"/>
              <w:adjustRightInd w:val="0"/>
              <w:ind w:firstLine="0"/>
              <w:jc w:val="center"/>
              <w:rPr>
                <w:rFonts w:ascii="Times New Roman" w:eastAsia="Times New Roman" w:hAnsi="Times New Roman" w:cs="Times New Roman"/>
                <w:sz w:val="17"/>
                <w:szCs w:val="17"/>
              </w:rPr>
            </w:pPr>
            <w:r>
              <w:rPr>
                <w:rFonts w:ascii="Times New Roman" w:eastAsia="Times New Roman" w:hAnsi="Times New Roman" w:cs="Times New Roman"/>
                <w:sz w:val="17"/>
                <w:szCs w:val="17"/>
              </w:rPr>
              <w:t xml:space="preserve">                       </w:t>
            </w:r>
            <m:oMath>
              <m:sSubSup>
                <m:sSubSupPr>
                  <m:ctrlPr>
                    <w:rPr>
                      <w:rFonts w:ascii="Cambria Math" w:eastAsia="Times New Roman" w:hAnsi="Cambria Math" w:cs="Times New Roman"/>
                      <w:i/>
                      <w:sz w:val="18"/>
                      <w:szCs w:val="18"/>
                    </w:rPr>
                  </m:ctrlPr>
                </m:sSubSupPr>
                <m:e>
                  <m:r>
                    <w:rPr>
                      <w:rFonts w:ascii="Cambria Math" w:eastAsia="Times New Roman" w:hAnsi="Cambria Math" w:cs="Times New Roman"/>
                      <w:sz w:val="18"/>
                      <w:szCs w:val="18"/>
                    </w:rPr>
                    <m:t>Е</m:t>
                  </m:r>
                </m:e>
                <m:sub>
                  <m:r>
                    <w:rPr>
                      <w:rFonts w:ascii="Cambria Math" w:eastAsia="Times New Roman" w:hAnsi="Cambria Math" w:cs="Times New Roman"/>
                      <w:sz w:val="18"/>
                      <w:szCs w:val="18"/>
                    </w:rPr>
                    <m:t>соц</m:t>
                  </m:r>
                </m:sub>
                <m:sup>
                  <m:r>
                    <w:rPr>
                      <w:rFonts w:ascii="Cambria Math" w:eastAsia="Times New Roman" w:hAnsi="Cambria Math" w:cs="Times New Roman"/>
                      <w:sz w:val="18"/>
                      <w:szCs w:val="18"/>
                    </w:rPr>
                    <m:t>ККВ</m:t>
                  </m:r>
                </m:sup>
              </m:sSubSup>
              <m:r>
                <w:rPr>
                  <w:rFonts w:ascii="Cambria Math" w:eastAsia="Times New Roman" w:hAnsi="Cambria Math" w:cs="Times New Roman"/>
                  <w:sz w:val="18"/>
                  <w:szCs w:val="18"/>
                </w:rPr>
                <m:t>=</m:t>
              </m:r>
              <m:f>
                <m:fPr>
                  <m:ctrlPr>
                    <w:rPr>
                      <w:rFonts w:ascii="Cambria Math" w:eastAsia="Times New Roman" w:hAnsi="Cambria Math" w:cs="Times New Roman"/>
                      <w:i/>
                      <w:sz w:val="18"/>
                      <w:szCs w:val="18"/>
                    </w:rPr>
                  </m:ctrlPr>
                </m:fPr>
                <m:num>
                  <m:r>
                    <w:rPr>
                      <w:rFonts w:ascii="Cambria Math" w:eastAsia="Times New Roman" w:hAnsi="Cambria Math" w:cs="Times New Roman"/>
                      <w:sz w:val="18"/>
                      <w:szCs w:val="18"/>
                    </w:rPr>
                    <m:t>ЧП∙</m:t>
                  </m:r>
                  <m:sSub>
                    <m:sSubPr>
                      <m:ctrlPr>
                        <w:rPr>
                          <w:rFonts w:ascii="Cambria Math" w:eastAsia="Times New Roman" w:hAnsi="Cambria Math" w:cs="Times New Roman"/>
                          <w:i/>
                          <w:sz w:val="18"/>
                          <w:szCs w:val="18"/>
                          <w:lang w:val="en-US"/>
                        </w:rPr>
                      </m:ctrlPr>
                    </m:sSubPr>
                    <m:e>
                      <m:r>
                        <w:rPr>
                          <w:rFonts w:ascii="Cambria Math" w:eastAsia="Times New Roman" w:hAnsi="Cambria Math" w:cs="Times New Roman"/>
                          <w:sz w:val="18"/>
                          <w:szCs w:val="18"/>
                          <w:lang w:val="en-US"/>
                        </w:rPr>
                        <m:t>d</m:t>
                      </m:r>
                    </m:e>
                    <m:sub>
                      <m:r>
                        <w:rPr>
                          <w:rFonts w:ascii="Cambria Math" w:eastAsia="Times New Roman" w:hAnsi="Cambria Math" w:cs="Times New Roman"/>
                          <w:sz w:val="18"/>
                          <w:szCs w:val="18"/>
                        </w:rPr>
                        <m:t>МБ</m:t>
                      </m:r>
                    </m:sub>
                  </m:sSub>
                  <m:r>
                    <w:rPr>
                      <w:rFonts w:ascii="Cambria Math" w:eastAsia="Times New Roman" w:hAnsi="Cambria Math" w:cs="Times New Roman"/>
                      <w:sz w:val="18"/>
                      <w:szCs w:val="18"/>
                    </w:rPr>
                    <m:t>∙</m:t>
                  </m:r>
                  <m:sSubSup>
                    <m:sSubSupPr>
                      <m:ctrlPr>
                        <w:rPr>
                          <w:rFonts w:ascii="Cambria Math" w:eastAsia="Times New Roman" w:hAnsi="Cambria Math" w:cs="Times New Roman"/>
                          <w:i/>
                          <w:sz w:val="18"/>
                          <w:szCs w:val="18"/>
                          <w:lang w:val="en-US"/>
                        </w:rPr>
                      </m:ctrlPr>
                    </m:sSubSupPr>
                    <m:e>
                      <m:r>
                        <w:rPr>
                          <w:rFonts w:ascii="Cambria Math" w:eastAsia="Times New Roman" w:hAnsi="Cambria Math" w:cs="Times New Roman"/>
                          <w:sz w:val="18"/>
                          <w:szCs w:val="18"/>
                          <w:lang w:val="en-US"/>
                        </w:rPr>
                        <m:t>d</m:t>
                      </m:r>
                    </m:e>
                    <m:sub>
                      <m:r>
                        <w:rPr>
                          <w:rFonts w:ascii="Cambria Math" w:eastAsia="Times New Roman" w:hAnsi="Cambria Math" w:cs="Times New Roman"/>
                          <w:sz w:val="18"/>
                          <w:szCs w:val="18"/>
                        </w:rPr>
                        <m:t>соц</m:t>
                      </m:r>
                    </m:sub>
                    <m:sup>
                      <m:r>
                        <w:rPr>
                          <w:rFonts w:ascii="Cambria Math" w:eastAsia="Times New Roman" w:hAnsi="Cambria Math" w:cs="Times New Roman"/>
                          <w:sz w:val="18"/>
                          <w:szCs w:val="18"/>
                        </w:rPr>
                        <m:t>1</m:t>
                      </m:r>
                    </m:sup>
                  </m:sSubSup>
                  <m:r>
                    <w:rPr>
                      <w:rFonts w:ascii="Cambria Math" w:eastAsia="Times New Roman" w:hAnsi="Cambria Math" w:cs="Times New Roman"/>
                      <w:sz w:val="18"/>
                      <w:szCs w:val="18"/>
                    </w:rPr>
                    <m:t>+ЧП∙</m:t>
                  </m:r>
                  <m:sSub>
                    <m:sSubPr>
                      <m:ctrlPr>
                        <w:rPr>
                          <w:rFonts w:ascii="Cambria Math" w:eastAsia="Times New Roman" w:hAnsi="Cambria Math" w:cs="Times New Roman"/>
                          <w:i/>
                          <w:sz w:val="18"/>
                          <w:szCs w:val="18"/>
                          <w:lang w:val="en-US"/>
                        </w:rPr>
                      </m:ctrlPr>
                    </m:sSubPr>
                    <m:e>
                      <m:r>
                        <w:rPr>
                          <w:rFonts w:ascii="Cambria Math" w:eastAsia="Times New Roman" w:hAnsi="Cambria Math" w:cs="Times New Roman"/>
                          <w:sz w:val="18"/>
                          <w:szCs w:val="18"/>
                          <w:lang w:val="en-US"/>
                        </w:rPr>
                        <m:t>d</m:t>
                      </m:r>
                    </m:e>
                    <m:sub>
                      <m:r>
                        <w:rPr>
                          <w:rFonts w:ascii="Cambria Math" w:eastAsia="Times New Roman" w:hAnsi="Cambria Math" w:cs="Times New Roman"/>
                          <w:sz w:val="18"/>
                          <w:szCs w:val="18"/>
                        </w:rPr>
                        <m:t>ККВ</m:t>
                      </m:r>
                    </m:sub>
                  </m:sSub>
                  <m:r>
                    <w:rPr>
                      <w:rFonts w:ascii="Cambria Math" w:eastAsia="Times New Roman" w:hAnsi="Cambria Math" w:cs="Times New Roman"/>
                      <w:sz w:val="18"/>
                      <w:szCs w:val="18"/>
                    </w:rPr>
                    <m:t>∙</m:t>
                  </m:r>
                  <m:sSubSup>
                    <m:sSubSupPr>
                      <m:ctrlPr>
                        <w:rPr>
                          <w:rFonts w:ascii="Cambria Math" w:eastAsia="Times New Roman" w:hAnsi="Cambria Math" w:cs="Times New Roman"/>
                          <w:i/>
                          <w:sz w:val="18"/>
                          <w:szCs w:val="18"/>
                          <w:lang w:val="en-US"/>
                        </w:rPr>
                      </m:ctrlPr>
                    </m:sSubSupPr>
                    <m:e>
                      <m:r>
                        <w:rPr>
                          <w:rFonts w:ascii="Cambria Math" w:eastAsia="Times New Roman" w:hAnsi="Cambria Math" w:cs="Times New Roman"/>
                          <w:sz w:val="18"/>
                          <w:szCs w:val="18"/>
                          <w:lang w:val="en-US"/>
                        </w:rPr>
                        <m:t>d</m:t>
                      </m:r>
                    </m:e>
                    <m:sub>
                      <m:r>
                        <w:rPr>
                          <w:rFonts w:ascii="Cambria Math" w:eastAsia="Times New Roman" w:hAnsi="Cambria Math" w:cs="Times New Roman"/>
                          <w:sz w:val="18"/>
                          <w:szCs w:val="18"/>
                        </w:rPr>
                        <m:t>соц</m:t>
                      </m:r>
                    </m:sub>
                    <m:sup>
                      <m:r>
                        <w:rPr>
                          <w:rFonts w:ascii="Cambria Math" w:eastAsia="Times New Roman" w:hAnsi="Cambria Math" w:cs="Times New Roman"/>
                          <w:sz w:val="18"/>
                          <w:szCs w:val="18"/>
                        </w:rPr>
                        <m:t>2</m:t>
                      </m:r>
                    </m:sup>
                  </m:sSubSup>
                </m:num>
                <m:den>
                  <m:r>
                    <w:rPr>
                      <w:rFonts w:ascii="Cambria Math" w:eastAsia="Times New Roman" w:hAnsi="Cambria Math" w:cs="Times New Roman"/>
                      <w:sz w:val="18"/>
                      <w:szCs w:val="18"/>
                    </w:rPr>
                    <m:t>В+К</m:t>
                  </m:r>
                </m:den>
              </m:f>
            </m:oMath>
            <w:r>
              <w:rPr>
                <w:rFonts w:ascii="Times New Roman" w:eastAsia="Times New Roman" w:hAnsi="Times New Roman" w:cs="Times New Roman"/>
                <w:sz w:val="17"/>
                <w:szCs w:val="17"/>
              </w:rPr>
              <w:t xml:space="preserve">                (6.3)</w:t>
            </w:r>
          </w:p>
          <w:p w:rsidR="00B233DE" w:rsidRPr="0028380E" w:rsidRDefault="00B233DE" w:rsidP="0023489B">
            <w:pPr>
              <w:ind w:firstLine="0"/>
              <w:rPr>
                <w:rFonts w:ascii="Times New Roman" w:eastAsia="Times New Roman" w:hAnsi="Times New Roman" w:cs="Times New Roman"/>
                <w:sz w:val="17"/>
                <w:szCs w:val="17"/>
              </w:rPr>
            </w:pPr>
          </w:p>
          <w:p w:rsidR="00B233DE" w:rsidRPr="0028380E" w:rsidRDefault="00B233DE" w:rsidP="0023489B">
            <w:pPr>
              <w:ind w:firstLine="303"/>
              <w:jc w:val="both"/>
              <w:rPr>
                <w:rFonts w:ascii="Times New Roman" w:eastAsia="Times New Roman" w:hAnsi="Times New Roman" w:cs="Times New Roman"/>
                <w:sz w:val="17"/>
                <w:szCs w:val="17"/>
              </w:rPr>
            </w:pPr>
            <w:r w:rsidRPr="0028380E">
              <w:rPr>
                <w:rFonts w:ascii="Times New Roman" w:eastAsia="Times New Roman" w:hAnsi="Times New Roman" w:cs="Times New Roman"/>
                <w:sz w:val="17"/>
                <w:szCs w:val="17"/>
              </w:rPr>
              <w:t xml:space="preserve">де </w:t>
            </w:r>
            <m:oMath>
              <m:sSubSup>
                <m:sSubSupPr>
                  <m:ctrlPr>
                    <w:rPr>
                      <w:rFonts w:ascii="Cambria Math" w:hAnsi="Cambria Math" w:cs="Times New Roman"/>
                      <w:i/>
                      <w:sz w:val="17"/>
                      <w:szCs w:val="17"/>
                    </w:rPr>
                  </m:ctrlPr>
                </m:sSubSupPr>
                <m:e>
                  <m:r>
                    <w:rPr>
                      <w:rFonts w:ascii="Cambria Math" w:hAnsi="Cambria Math" w:cs="Times New Roman"/>
                      <w:sz w:val="17"/>
                      <w:szCs w:val="17"/>
                    </w:rPr>
                    <m:t>Е</m:t>
                  </m:r>
                </m:e>
                <m:sub>
                  <m:r>
                    <w:rPr>
                      <w:rFonts w:ascii="Cambria Math" w:hAnsi="Cambria Math" w:cs="Times New Roman"/>
                      <w:sz w:val="17"/>
                      <w:szCs w:val="17"/>
                    </w:rPr>
                    <m:t>соц</m:t>
                  </m:r>
                </m:sub>
                <m:sup>
                  <m:r>
                    <w:rPr>
                      <w:rFonts w:ascii="Cambria Math" w:hAnsi="Cambria Math" w:cs="Times New Roman"/>
                      <w:sz w:val="17"/>
                      <w:szCs w:val="17"/>
                    </w:rPr>
                    <m:t>ККВ</m:t>
                  </m:r>
                </m:sup>
              </m:sSubSup>
            </m:oMath>
            <w:r w:rsidRPr="0028380E">
              <w:rPr>
                <w:rFonts w:ascii="Times New Roman" w:eastAsia="Times New Roman" w:hAnsi="Times New Roman" w:cs="Times New Roman"/>
                <w:sz w:val="17"/>
                <w:szCs w:val="17"/>
              </w:rPr>
              <w:t xml:space="preserve"> – соціальна ефективність комерційного об’єкта комунальної власності за певний період;</w:t>
            </w:r>
          </w:p>
          <w:p w:rsidR="00B233DE" w:rsidRPr="0028380E" w:rsidRDefault="00B233DE" w:rsidP="0023489B">
            <w:pPr>
              <w:ind w:firstLine="303"/>
              <w:jc w:val="both"/>
              <w:rPr>
                <w:rFonts w:ascii="Times New Roman" w:eastAsia="Times New Roman" w:hAnsi="Times New Roman" w:cs="Times New Roman"/>
                <w:sz w:val="17"/>
                <w:szCs w:val="17"/>
              </w:rPr>
            </w:pPr>
            <w:r w:rsidRPr="0028380E">
              <w:rPr>
                <w:rFonts w:ascii="Times New Roman" w:eastAsia="Times New Roman" w:hAnsi="Times New Roman" w:cs="Times New Roman"/>
                <w:sz w:val="17"/>
                <w:szCs w:val="17"/>
              </w:rPr>
              <w:t>ЧП – чистий прибуток комерційного об’єкта комунальної власності за певний період;</w:t>
            </w:r>
          </w:p>
          <w:p w:rsidR="00B233DE" w:rsidRPr="0028380E" w:rsidRDefault="00EC2A0E" w:rsidP="0023489B">
            <w:pPr>
              <w:ind w:firstLine="303"/>
              <w:jc w:val="both"/>
              <w:rPr>
                <w:rFonts w:ascii="Times New Roman" w:eastAsia="Times New Roman" w:hAnsi="Times New Roman" w:cs="Times New Roman"/>
                <w:sz w:val="17"/>
                <w:szCs w:val="17"/>
              </w:rPr>
            </w:pPr>
            <m:oMath>
              <m:sSub>
                <m:sSubPr>
                  <m:ctrlPr>
                    <w:rPr>
                      <w:rFonts w:ascii="Cambria Math" w:hAnsi="Cambria Math" w:cs="Times New Roman"/>
                      <w:i/>
                      <w:sz w:val="17"/>
                      <w:szCs w:val="17"/>
                    </w:rPr>
                  </m:ctrlPr>
                </m:sSubPr>
                <m:e>
                  <m:r>
                    <w:rPr>
                      <w:rFonts w:ascii="Cambria Math" w:hAnsi="Cambria Math" w:cs="Times New Roman"/>
                      <w:sz w:val="17"/>
                      <w:szCs w:val="17"/>
                      <w:lang w:val="en-US"/>
                    </w:rPr>
                    <m:t>d</m:t>
                  </m:r>
                </m:e>
                <m:sub>
                  <m:r>
                    <w:rPr>
                      <w:rFonts w:ascii="Cambria Math" w:hAnsi="Cambria Math" w:cs="Times New Roman"/>
                      <w:sz w:val="17"/>
                      <w:szCs w:val="17"/>
                    </w:rPr>
                    <m:t>МБ</m:t>
                  </m:r>
                </m:sub>
              </m:sSub>
            </m:oMath>
            <w:r w:rsidR="00B233DE" w:rsidRPr="0028380E">
              <w:rPr>
                <w:rFonts w:ascii="Times New Roman" w:eastAsia="Times New Roman" w:hAnsi="Times New Roman" w:cs="Times New Roman"/>
                <w:sz w:val="17"/>
                <w:szCs w:val="17"/>
              </w:rPr>
              <w:t xml:space="preserve"> – частка чистого прибутку, яка надходить до місцевого бюджету у певному періоді;</w:t>
            </w:r>
          </w:p>
          <w:p w:rsidR="00B233DE" w:rsidRPr="0028380E" w:rsidRDefault="00EC2A0E" w:rsidP="0023489B">
            <w:pPr>
              <w:ind w:firstLine="303"/>
              <w:jc w:val="both"/>
              <w:rPr>
                <w:rFonts w:ascii="Times New Roman" w:eastAsia="Times New Roman" w:hAnsi="Times New Roman" w:cs="Times New Roman"/>
                <w:sz w:val="17"/>
                <w:szCs w:val="17"/>
              </w:rPr>
            </w:pPr>
            <m:oMath>
              <m:sSubSup>
                <m:sSubSupPr>
                  <m:ctrlPr>
                    <w:rPr>
                      <w:rFonts w:ascii="Cambria Math" w:hAnsi="Cambria Math" w:cs="Times New Roman"/>
                      <w:i/>
                      <w:sz w:val="17"/>
                      <w:szCs w:val="17"/>
                    </w:rPr>
                  </m:ctrlPr>
                </m:sSubSupPr>
                <m:e>
                  <m:r>
                    <w:rPr>
                      <w:rFonts w:ascii="Cambria Math" w:hAnsi="Cambria Math" w:cs="Times New Roman"/>
                      <w:sz w:val="17"/>
                      <w:szCs w:val="17"/>
                      <w:lang w:val="en-US"/>
                    </w:rPr>
                    <m:t>d</m:t>
                  </m:r>
                </m:e>
                <m:sub>
                  <m:r>
                    <w:rPr>
                      <w:rFonts w:ascii="Cambria Math" w:hAnsi="Cambria Math" w:cs="Times New Roman"/>
                      <w:sz w:val="17"/>
                      <w:szCs w:val="17"/>
                    </w:rPr>
                    <m:t>соц</m:t>
                  </m:r>
                </m:sub>
                <m:sup>
                  <m:r>
                    <w:rPr>
                      <w:rFonts w:ascii="Cambria Math" w:hAnsi="Cambria Math" w:cs="Times New Roman"/>
                      <w:sz w:val="17"/>
                      <w:szCs w:val="17"/>
                    </w:rPr>
                    <m:t>1</m:t>
                  </m:r>
                </m:sup>
              </m:sSubSup>
            </m:oMath>
            <w:r w:rsidR="00B233DE" w:rsidRPr="0028380E">
              <w:rPr>
                <w:rFonts w:ascii="Times New Roman" w:eastAsia="Times New Roman" w:hAnsi="Times New Roman" w:cs="Times New Roman"/>
                <w:sz w:val="17"/>
                <w:szCs w:val="17"/>
              </w:rPr>
              <w:t xml:space="preserve"> – частка чистого прибутку, який надходять до місцевого бюджету, спрямована на соціальні цілі у певному періоді;</w:t>
            </w:r>
          </w:p>
          <w:p w:rsidR="00B233DE" w:rsidRDefault="00EC2A0E" w:rsidP="0023489B">
            <w:pPr>
              <w:ind w:firstLine="303"/>
              <w:jc w:val="both"/>
              <w:rPr>
                <w:rFonts w:ascii="Times New Roman" w:eastAsia="Times New Roman" w:hAnsi="Times New Roman" w:cs="Times New Roman"/>
                <w:sz w:val="17"/>
                <w:szCs w:val="17"/>
              </w:rPr>
            </w:pPr>
            <m:oMath>
              <m:sSub>
                <m:sSubPr>
                  <m:ctrlPr>
                    <w:rPr>
                      <w:rFonts w:ascii="Cambria Math" w:hAnsi="Cambria Math" w:cs="Times New Roman"/>
                      <w:i/>
                      <w:sz w:val="17"/>
                      <w:szCs w:val="17"/>
                    </w:rPr>
                  </m:ctrlPr>
                </m:sSubPr>
                <m:e>
                  <m:r>
                    <w:rPr>
                      <w:rFonts w:ascii="Cambria Math" w:hAnsi="Cambria Math" w:cs="Times New Roman"/>
                      <w:sz w:val="17"/>
                      <w:szCs w:val="17"/>
                      <w:lang w:val="en-US"/>
                    </w:rPr>
                    <m:t>d</m:t>
                  </m:r>
                </m:e>
                <m:sub>
                  <m:r>
                    <w:rPr>
                      <w:rFonts w:ascii="Cambria Math" w:hAnsi="Cambria Math" w:cs="Times New Roman"/>
                      <w:sz w:val="17"/>
                      <w:szCs w:val="17"/>
                    </w:rPr>
                    <m:t>ККВ</m:t>
                  </m:r>
                </m:sub>
              </m:sSub>
            </m:oMath>
            <w:r w:rsidR="00B233DE" w:rsidRPr="0028380E">
              <w:rPr>
                <w:rFonts w:ascii="Times New Roman" w:eastAsia="Times New Roman" w:hAnsi="Times New Roman" w:cs="Times New Roman"/>
                <w:sz w:val="17"/>
                <w:szCs w:val="17"/>
              </w:rPr>
              <w:t xml:space="preserve"> – частка чистого прибутку, яка залишається розпорядженні комерційного об’єкта комунальної власності у певному періоді;</w:t>
            </w:r>
          </w:p>
          <w:p w:rsidR="00B233DE" w:rsidRPr="0028380E" w:rsidRDefault="00EC2A0E" w:rsidP="0023489B">
            <w:pPr>
              <w:ind w:firstLine="244"/>
              <w:jc w:val="both"/>
              <w:rPr>
                <w:rFonts w:ascii="Times New Roman" w:eastAsia="Times New Roman" w:hAnsi="Times New Roman" w:cs="Times New Roman"/>
                <w:sz w:val="17"/>
                <w:szCs w:val="17"/>
              </w:rPr>
            </w:pPr>
            <m:oMath>
              <m:sSubSup>
                <m:sSubSupPr>
                  <m:ctrlPr>
                    <w:rPr>
                      <w:rFonts w:ascii="Cambria Math" w:hAnsi="Cambria Math" w:cs="Times New Roman"/>
                      <w:i/>
                      <w:sz w:val="17"/>
                      <w:szCs w:val="17"/>
                    </w:rPr>
                  </m:ctrlPr>
                </m:sSubSupPr>
                <m:e>
                  <m:r>
                    <w:rPr>
                      <w:rFonts w:ascii="Cambria Math" w:hAnsi="Cambria Math" w:cs="Times New Roman"/>
                      <w:sz w:val="17"/>
                      <w:szCs w:val="17"/>
                      <w:lang w:val="en-US"/>
                    </w:rPr>
                    <m:t>d</m:t>
                  </m:r>
                </m:e>
                <m:sub>
                  <m:r>
                    <w:rPr>
                      <w:rFonts w:ascii="Cambria Math" w:hAnsi="Cambria Math" w:cs="Times New Roman"/>
                      <w:sz w:val="17"/>
                      <w:szCs w:val="17"/>
                    </w:rPr>
                    <m:t>соц</m:t>
                  </m:r>
                </m:sub>
                <m:sup>
                  <m:r>
                    <w:rPr>
                      <w:rFonts w:ascii="Cambria Math" w:hAnsi="Cambria Math" w:cs="Times New Roman"/>
                      <w:sz w:val="17"/>
                      <w:szCs w:val="17"/>
                    </w:rPr>
                    <m:t>2</m:t>
                  </m:r>
                </m:sup>
              </m:sSubSup>
            </m:oMath>
            <w:r w:rsidR="00B233DE" w:rsidRPr="0028380E">
              <w:rPr>
                <w:rFonts w:ascii="Times New Roman" w:eastAsia="Times New Roman" w:hAnsi="Times New Roman" w:cs="Times New Roman"/>
                <w:sz w:val="17"/>
                <w:szCs w:val="17"/>
              </w:rPr>
              <w:t xml:space="preserve"> – частка чистого прибутку, яка залишається розпорядженні комерційного об’єкта комунальної власності, спрямована на соціальні цілі у певному періоді;</w:t>
            </w:r>
          </w:p>
          <w:p w:rsidR="00B233DE" w:rsidRPr="0028380E" w:rsidRDefault="00B233DE" w:rsidP="0023489B">
            <w:pPr>
              <w:ind w:firstLine="244"/>
              <w:jc w:val="both"/>
              <w:rPr>
                <w:rFonts w:ascii="Times New Roman" w:eastAsia="Times New Roman" w:hAnsi="Times New Roman" w:cs="Times New Roman"/>
                <w:sz w:val="17"/>
                <w:szCs w:val="17"/>
              </w:rPr>
            </w:pPr>
            <w:r w:rsidRPr="0028380E">
              <w:rPr>
                <w:rFonts w:ascii="Times New Roman" w:eastAsia="Times New Roman" w:hAnsi="Times New Roman" w:cs="Times New Roman"/>
                <w:sz w:val="17"/>
                <w:szCs w:val="17"/>
              </w:rPr>
              <w:t>В – витрати на функціонування комерційного об’єкта комунальної власності у певному періоді, грн;</w:t>
            </w:r>
          </w:p>
          <w:p w:rsidR="00B233DE" w:rsidRPr="0028380E" w:rsidRDefault="00B233DE" w:rsidP="0023489B">
            <w:pPr>
              <w:ind w:firstLine="244"/>
              <w:jc w:val="both"/>
              <w:rPr>
                <w:rFonts w:ascii="Times New Roman" w:eastAsia="Times New Roman" w:hAnsi="Times New Roman" w:cs="Times New Roman"/>
                <w:sz w:val="17"/>
                <w:szCs w:val="17"/>
              </w:rPr>
            </w:pPr>
            <w:r w:rsidRPr="0028380E">
              <w:rPr>
                <w:rFonts w:ascii="Times New Roman" w:eastAsia="Times New Roman" w:hAnsi="Times New Roman" w:cs="Times New Roman"/>
                <w:sz w:val="17"/>
                <w:szCs w:val="17"/>
              </w:rPr>
              <w:t>К – капіталовкладення у комерційних об’єкт комунальної власності у певному періоді, грн.</w:t>
            </w:r>
          </w:p>
          <w:p w:rsidR="00B233DE" w:rsidRPr="0028380E" w:rsidRDefault="00B233DE" w:rsidP="0023489B">
            <w:pPr>
              <w:ind w:firstLine="303"/>
              <w:jc w:val="both"/>
              <w:rPr>
                <w:rFonts w:ascii="Times New Roman" w:eastAsia="Times New Roman" w:hAnsi="Times New Roman" w:cs="Times New Roman"/>
                <w:sz w:val="17"/>
                <w:szCs w:val="17"/>
              </w:rPr>
            </w:pPr>
          </w:p>
        </w:tc>
      </w:tr>
      <w:tr w:rsidR="00B233DE" w:rsidRPr="0028380E" w:rsidTr="0023489B">
        <w:trPr>
          <w:trHeight w:val="2813"/>
          <w:jc w:val="center"/>
        </w:trPr>
        <w:tc>
          <w:tcPr>
            <w:tcW w:w="1824" w:type="dxa"/>
            <w:vMerge/>
            <w:shd w:val="clear" w:color="auto" w:fill="auto"/>
            <w:vAlign w:val="center"/>
          </w:tcPr>
          <w:p w:rsidR="00B233DE" w:rsidRPr="0028380E" w:rsidRDefault="00B233DE" w:rsidP="0023489B">
            <w:pPr>
              <w:widowControl w:val="0"/>
              <w:autoSpaceDE w:val="0"/>
              <w:autoSpaceDN w:val="0"/>
              <w:adjustRightInd w:val="0"/>
              <w:ind w:firstLine="0"/>
              <w:jc w:val="center"/>
              <w:rPr>
                <w:rFonts w:ascii="Times New Roman" w:eastAsia="Times New Roman" w:hAnsi="Times New Roman" w:cs="Times New Roman"/>
                <w:sz w:val="17"/>
                <w:szCs w:val="17"/>
              </w:rPr>
            </w:pPr>
          </w:p>
        </w:tc>
        <w:tc>
          <w:tcPr>
            <w:tcW w:w="4516" w:type="dxa"/>
            <w:shd w:val="clear" w:color="auto" w:fill="auto"/>
          </w:tcPr>
          <w:p w:rsidR="00B233DE" w:rsidRPr="0028380E" w:rsidRDefault="00B233DE" w:rsidP="0023489B">
            <w:pPr>
              <w:ind w:firstLine="244"/>
              <w:jc w:val="both"/>
              <w:rPr>
                <w:rFonts w:ascii="Times New Roman" w:eastAsia="Times New Roman" w:hAnsi="Times New Roman" w:cs="Times New Roman"/>
                <w:sz w:val="17"/>
                <w:szCs w:val="17"/>
              </w:rPr>
            </w:pPr>
          </w:p>
          <w:p w:rsidR="00B233DE" w:rsidRPr="0028380E" w:rsidRDefault="00B233DE" w:rsidP="0023489B">
            <w:pPr>
              <w:ind w:firstLine="244"/>
              <w:jc w:val="both"/>
              <w:rPr>
                <w:rFonts w:ascii="Times New Roman" w:eastAsia="Times New Roman" w:hAnsi="Times New Roman" w:cs="Times New Roman"/>
                <w:sz w:val="17"/>
                <w:szCs w:val="17"/>
              </w:rPr>
            </w:pPr>
            <w:r w:rsidRPr="0028380E">
              <w:rPr>
                <w:rFonts w:ascii="Times New Roman" w:eastAsia="Times New Roman" w:hAnsi="Times New Roman" w:cs="Times New Roman"/>
                <w:sz w:val="17"/>
                <w:szCs w:val="17"/>
              </w:rPr>
              <w:t>Задля досягнення порівнюваності результатів при визначенні альтернативних варіантів використання комерційного об’єкта комунальної власності (безпосереднє управління або здача в оренду) віднесення соціального ефекту може відбуватися до ринкової вартості комерційного об’єкта комунальної власності, як вираження сукупних витрат на його формування. У такому випадку формула набуватиме наступного вигляду:</w:t>
            </w:r>
          </w:p>
          <w:p w:rsidR="00B233DE" w:rsidRPr="0028380E" w:rsidRDefault="00B233DE" w:rsidP="0023489B">
            <w:pPr>
              <w:ind w:firstLine="244"/>
              <w:jc w:val="both"/>
              <w:rPr>
                <w:rFonts w:ascii="Times New Roman" w:eastAsia="Times New Roman" w:hAnsi="Times New Roman" w:cs="Times New Roman"/>
                <w:sz w:val="17"/>
                <w:szCs w:val="17"/>
              </w:rPr>
            </w:pPr>
            <w:r w:rsidRPr="0028380E">
              <w:rPr>
                <w:rFonts w:ascii="Times New Roman" w:eastAsia="Times New Roman" w:hAnsi="Times New Roman" w:cs="Times New Roman"/>
                <w:noProof/>
                <w:sz w:val="17"/>
                <w:szCs w:val="17"/>
                <w:lang w:val="ru-RU" w:eastAsia="ru-RU"/>
              </w:rPr>
              <mc:AlternateContent>
                <mc:Choice Requires="wps">
                  <w:drawing>
                    <wp:anchor distT="0" distB="0" distL="114300" distR="114300" simplePos="0" relativeHeight="251722752" behindDoc="0" locked="0" layoutInCell="1" allowOverlap="1" wp14:anchorId="2B1215BF" wp14:editId="6FD90219">
                      <wp:simplePos x="0" y="0"/>
                      <wp:positionH relativeFrom="column">
                        <wp:posOffset>4173855</wp:posOffset>
                      </wp:positionH>
                      <wp:positionV relativeFrom="paragraph">
                        <wp:posOffset>5080</wp:posOffset>
                      </wp:positionV>
                      <wp:extent cx="495300" cy="609600"/>
                      <wp:effectExtent l="0" t="0" r="0" b="0"/>
                      <wp:wrapNone/>
                      <wp:docPr id="1650" name="Поле 16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300" cy="609600"/>
                              </a:xfrm>
                              <a:prstGeom prst="rect">
                                <a:avLst/>
                              </a:prstGeom>
                              <a:noFill/>
                              <a:ln w="6350">
                                <a:noFill/>
                              </a:ln>
                              <a:effectLst/>
                            </wps:spPr>
                            <wps:txbx>
                              <w:txbxContent>
                                <w:p w:rsidR="00BE40F8" w:rsidRPr="00E34A4E" w:rsidRDefault="00BE40F8" w:rsidP="00B233DE">
                                  <w:pPr>
                                    <w:rPr>
                                      <w:rFonts w:ascii="Times New Roman" w:hAnsi="Times New Roman"/>
                                    </w:rPr>
                                  </w:pPr>
                                  <w:r>
                                    <w:rPr>
                                      <w:rFonts w:ascii="Times New Roman" w:hAnsi="Times New Roman"/>
                                    </w:rPr>
                                    <w:t>(</w:t>
                                  </w:r>
                                  <w:r w:rsidRPr="00E34A4E">
                                    <w:rPr>
                                      <w:rFonts w:ascii="Times New Roman" w:hAnsi="Times New Roman"/>
                                    </w:rPr>
                                    <w:t>3.</w:t>
                                  </w:r>
                                  <w:r>
                                    <w:rPr>
                                      <w:rFonts w:ascii="Times New Roman" w:hAnsi="Times New Roman"/>
                                    </w:rPr>
                                    <w:t>4)</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1215BF" id="Поле 1650" o:spid="_x0000_s2374" type="#_x0000_t202" style="position:absolute;left:0;text-align:left;margin-left:328.65pt;margin-top:.4pt;width:39pt;height:48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" filled="f" stroked="f" strokeweight=".5pt">
                      <v:path arrowok="t"/>
                      <v:textbox>
                        <w:txbxContent>
                          <w:p w:rsidR="00BE40F8" w:rsidRPr="00E34A4E" w:rsidRDefault="00BE40F8" w:rsidP="00B233DE">
                            <w:pPr>
                              <w:rPr>
                                <w:rFonts w:ascii="Times New Roman" w:hAnsi="Times New Roman"/>
                              </w:rPr>
                            </w:pPr>
                            <w:r>
                              <w:rPr>
                                <w:rFonts w:ascii="Times New Roman" w:hAnsi="Times New Roman"/>
                              </w:rPr>
                              <w:t>(</w:t>
                            </w:r>
                            <w:r w:rsidRPr="00E34A4E">
                              <w:rPr>
                                <w:rFonts w:ascii="Times New Roman" w:hAnsi="Times New Roman"/>
                              </w:rPr>
                              <w:t>3.</w:t>
                            </w:r>
                            <w:r>
                              <w:rPr>
                                <w:rFonts w:ascii="Times New Roman" w:hAnsi="Times New Roman"/>
                              </w:rPr>
                              <w:t>4)</w:t>
                            </w:r>
                          </w:p>
                        </w:txbxContent>
                      </v:textbox>
                    </v:shape>
                  </w:pict>
                </mc:Fallback>
              </mc:AlternateContent>
            </w:r>
          </w:p>
          <w:p w:rsidR="00B233DE" w:rsidRPr="0028380E" w:rsidRDefault="00B233DE" w:rsidP="0023489B">
            <w:pPr>
              <w:widowControl w:val="0"/>
              <w:autoSpaceDE w:val="0"/>
              <w:autoSpaceDN w:val="0"/>
              <w:adjustRightInd w:val="0"/>
              <w:jc w:val="center"/>
              <w:rPr>
                <w:rFonts w:ascii="Times New Roman" w:eastAsia="Times New Roman" w:hAnsi="Times New Roman" w:cs="Times New Roman"/>
                <w:sz w:val="17"/>
                <w:szCs w:val="17"/>
              </w:rPr>
            </w:pPr>
            <w:r>
              <w:rPr>
                <w:rFonts w:ascii="Times New Roman" w:eastAsia="Times New Roman" w:hAnsi="Times New Roman" w:cs="Times New Roman"/>
                <w:sz w:val="17"/>
                <w:szCs w:val="17"/>
              </w:rPr>
              <w:t xml:space="preserve">         </w:t>
            </w:r>
            <m:oMath>
              <m:sSubSup>
                <m:sSubSupPr>
                  <m:ctrlPr>
                    <w:rPr>
                      <w:rFonts w:ascii="Cambria Math" w:eastAsia="Times New Roman" w:hAnsi="Cambria Math" w:cs="Times New Roman"/>
                      <w:i/>
                      <w:sz w:val="18"/>
                      <w:szCs w:val="18"/>
                    </w:rPr>
                  </m:ctrlPr>
                </m:sSubSupPr>
                <m:e>
                  <m:r>
                    <w:rPr>
                      <w:rFonts w:ascii="Cambria Math" w:eastAsia="Times New Roman" w:hAnsi="Cambria Math" w:cs="Times New Roman"/>
                      <w:sz w:val="18"/>
                      <w:szCs w:val="18"/>
                    </w:rPr>
                    <m:t>Е</m:t>
                  </m:r>
                </m:e>
                <m:sub>
                  <m:r>
                    <w:rPr>
                      <w:rFonts w:ascii="Cambria Math" w:eastAsia="Times New Roman" w:hAnsi="Cambria Math" w:cs="Times New Roman"/>
                      <w:sz w:val="18"/>
                      <w:szCs w:val="18"/>
                    </w:rPr>
                    <m:t>соц</m:t>
                  </m:r>
                </m:sub>
                <m:sup>
                  <m:r>
                    <w:rPr>
                      <w:rFonts w:ascii="Cambria Math" w:eastAsia="Times New Roman" w:hAnsi="Cambria Math" w:cs="Times New Roman"/>
                      <w:sz w:val="18"/>
                      <w:szCs w:val="18"/>
                    </w:rPr>
                    <m:t>ККВ</m:t>
                  </m:r>
                </m:sup>
              </m:sSubSup>
              <m:r>
                <w:rPr>
                  <w:rFonts w:ascii="Cambria Math" w:eastAsia="Times New Roman" w:hAnsi="Cambria Math" w:cs="Times New Roman"/>
                  <w:sz w:val="18"/>
                  <w:szCs w:val="18"/>
                </w:rPr>
                <m:t>=</m:t>
              </m:r>
              <m:f>
                <m:fPr>
                  <m:ctrlPr>
                    <w:rPr>
                      <w:rFonts w:ascii="Cambria Math" w:eastAsia="Times New Roman" w:hAnsi="Cambria Math" w:cs="Times New Roman"/>
                      <w:i/>
                      <w:sz w:val="18"/>
                      <w:szCs w:val="18"/>
                    </w:rPr>
                  </m:ctrlPr>
                </m:fPr>
                <m:num>
                  <m:r>
                    <w:rPr>
                      <w:rFonts w:ascii="Cambria Math" w:eastAsia="Times New Roman" w:hAnsi="Cambria Math" w:cs="Times New Roman"/>
                      <w:sz w:val="18"/>
                      <w:szCs w:val="18"/>
                    </w:rPr>
                    <m:t>ЧП∙</m:t>
                  </m:r>
                  <m:sSub>
                    <m:sSubPr>
                      <m:ctrlPr>
                        <w:rPr>
                          <w:rFonts w:ascii="Cambria Math" w:eastAsia="Times New Roman" w:hAnsi="Cambria Math" w:cs="Times New Roman"/>
                          <w:i/>
                          <w:sz w:val="18"/>
                          <w:szCs w:val="18"/>
                          <w:lang w:val="en-US"/>
                        </w:rPr>
                      </m:ctrlPr>
                    </m:sSubPr>
                    <m:e>
                      <m:r>
                        <w:rPr>
                          <w:rFonts w:ascii="Cambria Math" w:eastAsia="Times New Roman" w:hAnsi="Cambria Math" w:cs="Times New Roman"/>
                          <w:sz w:val="18"/>
                          <w:szCs w:val="18"/>
                          <w:lang w:val="en-US"/>
                        </w:rPr>
                        <m:t>d</m:t>
                      </m:r>
                    </m:e>
                    <m:sub>
                      <m:r>
                        <w:rPr>
                          <w:rFonts w:ascii="Cambria Math" w:eastAsia="Times New Roman" w:hAnsi="Cambria Math" w:cs="Times New Roman"/>
                          <w:sz w:val="18"/>
                          <w:szCs w:val="18"/>
                        </w:rPr>
                        <m:t>МБ</m:t>
                      </m:r>
                    </m:sub>
                  </m:sSub>
                  <m:r>
                    <w:rPr>
                      <w:rFonts w:ascii="Cambria Math" w:eastAsia="Times New Roman" w:hAnsi="Cambria Math" w:cs="Times New Roman"/>
                      <w:sz w:val="18"/>
                      <w:szCs w:val="18"/>
                    </w:rPr>
                    <m:t>∙</m:t>
                  </m:r>
                  <m:sSubSup>
                    <m:sSubSupPr>
                      <m:ctrlPr>
                        <w:rPr>
                          <w:rFonts w:ascii="Cambria Math" w:eastAsia="Times New Roman" w:hAnsi="Cambria Math" w:cs="Times New Roman"/>
                          <w:i/>
                          <w:sz w:val="18"/>
                          <w:szCs w:val="18"/>
                          <w:lang w:val="en-US"/>
                        </w:rPr>
                      </m:ctrlPr>
                    </m:sSubSupPr>
                    <m:e>
                      <m:r>
                        <w:rPr>
                          <w:rFonts w:ascii="Cambria Math" w:eastAsia="Times New Roman" w:hAnsi="Cambria Math" w:cs="Times New Roman"/>
                          <w:sz w:val="18"/>
                          <w:szCs w:val="18"/>
                          <w:lang w:val="en-US"/>
                        </w:rPr>
                        <m:t>d</m:t>
                      </m:r>
                    </m:e>
                    <m:sub>
                      <m:r>
                        <w:rPr>
                          <w:rFonts w:ascii="Cambria Math" w:eastAsia="Times New Roman" w:hAnsi="Cambria Math" w:cs="Times New Roman"/>
                          <w:sz w:val="18"/>
                          <w:szCs w:val="18"/>
                        </w:rPr>
                        <m:t>соц</m:t>
                      </m:r>
                    </m:sub>
                    <m:sup>
                      <m:r>
                        <w:rPr>
                          <w:rFonts w:ascii="Cambria Math" w:eastAsia="Times New Roman" w:hAnsi="Cambria Math" w:cs="Times New Roman"/>
                          <w:sz w:val="18"/>
                          <w:szCs w:val="18"/>
                        </w:rPr>
                        <m:t>1</m:t>
                      </m:r>
                    </m:sup>
                  </m:sSubSup>
                  <m:r>
                    <w:rPr>
                      <w:rFonts w:ascii="Cambria Math" w:eastAsia="Times New Roman" w:hAnsi="Cambria Math" w:cs="Times New Roman"/>
                      <w:sz w:val="18"/>
                      <w:szCs w:val="18"/>
                    </w:rPr>
                    <m:t>+ЧП∙</m:t>
                  </m:r>
                  <m:sSub>
                    <m:sSubPr>
                      <m:ctrlPr>
                        <w:rPr>
                          <w:rFonts w:ascii="Cambria Math" w:eastAsia="Times New Roman" w:hAnsi="Cambria Math" w:cs="Times New Roman"/>
                          <w:i/>
                          <w:sz w:val="18"/>
                          <w:szCs w:val="18"/>
                          <w:lang w:val="en-US"/>
                        </w:rPr>
                      </m:ctrlPr>
                    </m:sSubPr>
                    <m:e>
                      <m:r>
                        <w:rPr>
                          <w:rFonts w:ascii="Cambria Math" w:eastAsia="Times New Roman" w:hAnsi="Cambria Math" w:cs="Times New Roman"/>
                          <w:sz w:val="18"/>
                          <w:szCs w:val="18"/>
                          <w:lang w:val="en-US"/>
                        </w:rPr>
                        <m:t>d</m:t>
                      </m:r>
                    </m:e>
                    <m:sub>
                      <m:r>
                        <w:rPr>
                          <w:rFonts w:ascii="Cambria Math" w:eastAsia="Times New Roman" w:hAnsi="Cambria Math" w:cs="Times New Roman"/>
                          <w:sz w:val="18"/>
                          <w:szCs w:val="18"/>
                        </w:rPr>
                        <m:t>ККВ</m:t>
                      </m:r>
                    </m:sub>
                  </m:sSub>
                  <m:r>
                    <w:rPr>
                      <w:rFonts w:ascii="Cambria Math" w:eastAsia="Times New Roman" w:hAnsi="Cambria Math" w:cs="Times New Roman"/>
                      <w:sz w:val="18"/>
                      <w:szCs w:val="18"/>
                    </w:rPr>
                    <m:t>∙</m:t>
                  </m:r>
                  <m:sSubSup>
                    <m:sSubSupPr>
                      <m:ctrlPr>
                        <w:rPr>
                          <w:rFonts w:ascii="Cambria Math" w:eastAsia="Times New Roman" w:hAnsi="Cambria Math" w:cs="Times New Roman"/>
                          <w:i/>
                          <w:sz w:val="18"/>
                          <w:szCs w:val="18"/>
                          <w:lang w:val="en-US"/>
                        </w:rPr>
                      </m:ctrlPr>
                    </m:sSubSupPr>
                    <m:e>
                      <m:r>
                        <w:rPr>
                          <w:rFonts w:ascii="Cambria Math" w:eastAsia="Times New Roman" w:hAnsi="Cambria Math" w:cs="Times New Roman"/>
                          <w:sz w:val="18"/>
                          <w:szCs w:val="18"/>
                          <w:lang w:val="en-US"/>
                        </w:rPr>
                        <m:t>d</m:t>
                      </m:r>
                    </m:e>
                    <m:sub>
                      <m:r>
                        <w:rPr>
                          <w:rFonts w:ascii="Cambria Math" w:eastAsia="Times New Roman" w:hAnsi="Cambria Math" w:cs="Times New Roman"/>
                          <w:sz w:val="18"/>
                          <w:szCs w:val="18"/>
                        </w:rPr>
                        <m:t>соц</m:t>
                      </m:r>
                    </m:sub>
                    <m:sup>
                      <m:r>
                        <w:rPr>
                          <w:rFonts w:ascii="Cambria Math" w:eastAsia="Times New Roman" w:hAnsi="Cambria Math" w:cs="Times New Roman"/>
                          <w:sz w:val="18"/>
                          <w:szCs w:val="18"/>
                        </w:rPr>
                        <m:t>2</m:t>
                      </m:r>
                    </m:sup>
                  </m:sSubSup>
                </m:num>
                <m:den>
                  <m:sSub>
                    <m:sSubPr>
                      <m:ctrlPr>
                        <w:rPr>
                          <w:rFonts w:ascii="Cambria Math" w:eastAsia="Times New Roman" w:hAnsi="Cambria Math" w:cs="Times New Roman"/>
                          <w:i/>
                          <w:sz w:val="18"/>
                          <w:szCs w:val="18"/>
                        </w:rPr>
                      </m:ctrlPr>
                    </m:sSubPr>
                    <m:e>
                      <m:r>
                        <w:rPr>
                          <w:rFonts w:ascii="Cambria Math" w:eastAsia="Times New Roman" w:hAnsi="Cambria Math" w:cs="Times New Roman"/>
                          <w:sz w:val="18"/>
                          <w:szCs w:val="18"/>
                        </w:rPr>
                        <m:t>Вр</m:t>
                      </m:r>
                    </m:e>
                    <m:sub>
                      <m:r>
                        <w:rPr>
                          <w:rFonts w:ascii="Cambria Math" w:eastAsia="Times New Roman" w:hAnsi="Cambria Math" w:cs="Times New Roman"/>
                          <w:sz w:val="18"/>
                          <w:szCs w:val="18"/>
                        </w:rPr>
                        <m:t>ринк</m:t>
                      </m:r>
                    </m:sub>
                  </m:sSub>
                </m:den>
              </m:f>
            </m:oMath>
            <w:r>
              <w:rPr>
                <w:rFonts w:ascii="Times New Roman" w:eastAsia="Times New Roman" w:hAnsi="Times New Roman" w:cs="Times New Roman"/>
                <w:sz w:val="17"/>
                <w:szCs w:val="17"/>
              </w:rPr>
              <w:t xml:space="preserve">                  (6.4)</w:t>
            </w:r>
          </w:p>
          <w:p w:rsidR="00B233DE" w:rsidRPr="0028380E" w:rsidRDefault="00B233DE" w:rsidP="0023489B">
            <w:pPr>
              <w:ind w:firstLine="244"/>
              <w:jc w:val="both"/>
              <w:rPr>
                <w:rFonts w:ascii="Times New Roman" w:eastAsia="Times New Roman" w:hAnsi="Times New Roman" w:cs="Times New Roman"/>
                <w:sz w:val="17"/>
                <w:szCs w:val="17"/>
              </w:rPr>
            </w:pPr>
          </w:p>
          <w:p w:rsidR="00B233DE" w:rsidRPr="0028380E" w:rsidRDefault="00B233DE" w:rsidP="0023489B">
            <w:pPr>
              <w:ind w:firstLine="244"/>
              <w:jc w:val="both"/>
              <w:rPr>
                <w:rFonts w:ascii="Times New Roman" w:eastAsia="Times New Roman" w:hAnsi="Times New Roman" w:cs="Times New Roman"/>
                <w:sz w:val="17"/>
                <w:szCs w:val="17"/>
              </w:rPr>
            </w:pPr>
            <w:r w:rsidRPr="0028380E">
              <w:rPr>
                <w:rFonts w:ascii="Times New Roman" w:eastAsia="Times New Roman" w:hAnsi="Times New Roman" w:cs="Times New Roman"/>
                <w:sz w:val="17"/>
                <w:szCs w:val="17"/>
              </w:rPr>
              <w:t xml:space="preserve">де </w:t>
            </w:r>
            <m:oMath>
              <m:sSub>
                <m:sSubPr>
                  <m:ctrlPr>
                    <w:rPr>
                      <w:rFonts w:ascii="Cambria Math" w:hAnsi="Cambria Math" w:cs="Times New Roman"/>
                      <w:i/>
                      <w:sz w:val="17"/>
                      <w:szCs w:val="17"/>
                    </w:rPr>
                  </m:ctrlPr>
                </m:sSubPr>
                <m:e>
                  <m:r>
                    <w:rPr>
                      <w:rFonts w:ascii="Cambria Math" w:hAnsi="Cambria Math" w:cs="Times New Roman"/>
                      <w:sz w:val="17"/>
                      <w:szCs w:val="17"/>
                    </w:rPr>
                    <m:t>Вр</m:t>
                  </m:r>
                </m:e>
                <m:sub>
                  <m:r>
                    <w:rPr>
                      <w:rFonts w:ascii="Cambria Math" w:hAnsi="Cambria Math" w:cs="Times New Roman"/>
                      <w:sz w:val="17"/>
                      <w:szCs w:val="17"/>
                    </w:rPr>
                    <m:t>ринк</m:t>
                  </m:r>
                </m:sub>
              </m:sSub>
            </m:oMath>
            <w:r w:rsidRPr="0028380E">
              <w:rPr>
                <w:rFonts w:ascii="Times New Roman" w:eastAsia="Times New Roman" w:hAnsi="Times New Roman" w:cs="Times New Roman"/>
                <w:sz w:val="17"/>
                <w:szCs w:val="17"/>
              </w:rPr>
              <w:t xml:space="preserve"> – ринкова вартість комерційного об’єкта комунальної власності, грн.</w:t>
            </w:r>
          </w:p>
          <w:p w:rsidR="00B233DE" w:rsidRPr="0028380E" w:rsidRDefault="00B233DE" w:rsidP="0023489B">
            <w:pPr>
              <w:widowControl w:val="0"/>
              <w:autoSpaceDE w:val="0"/>
              <w:autoSpaceDN w:val="0"/>
              <w:adjustRightInd w:val="0"/>
              <w:ind w:firstLine="0"/>
              <w:jc w:val="center"/>
              <w:rPr>
                <w:rFonts w:ascii="Times New Roman" w:eastAsia="Times New Roman" w:hAnsi="Times New Roman" w:cs="Times New Roman"/>
                <w:noProof/>
                <w:sz w:val="17"/>
                <w:szCs w:val="17"/>
                <w:lang w:eastAsia="uk-UA"/>
              </w:rPr>
            </w:pPr>
          </w:p>
        </w:tc>
      </w:tr>
    </w:tbl>
    <w:p w:rsidR="00B233DE" w:rsidRDefault="00B233DE" w:rsidP="00B233DE">
      <w:pPr>
        <w:ind w:firstLine="709"/>
        <w:jc w:val="right"/>
        <w:rPr>
          <w:rFonts w:ascii="Times New Roman" w:hAnsi="Times New Roman"/>
          <w:sz w:val="21"/>
          <w:szCs w:val="21"/>
        </w:rPr>
      </w:pPr>
    </w:p>
    <w:p w:rsidR="00B233DE" w:rsidRPr="00AE63CB" w:rsidRDefault="00B233DE" w:rsidP="00B233DE">
      <w:pPr>
        <w:ind w:firstLine="709"/>
        <w:jc w:val="right"/>
        <w:rPr>
          <w:rFonts w:ascii="Times New Roman" w:hAnsi="Times New Roman"/>
          <w:sz w:val="21"/>
          <w:szCs w:val="21"/>
        </w:rPr>
      </w:pPr>
      <w:r>
        <w:rPr>
          <w:rFonts w:ascii="Times New Roman" w:hAnsi="Times New Roman"/>
          <w:sz w:val="21"/>
          <w:szCs w:val="21"/>
        </w:rPr>
        <w:lastRenderedPageBreak/>
        <w:t>Продовження табл.</w:t>
      </w:r>
      <w:r w:rsidRPr="00AE63CB">
        <w:rPr>
          <w:rFonts w:ascii="Times New Roman" w:hAnsi="Times New Roman"/>
          <w:sz w:val="21"/>
          <w:szCs w:val="21"/>
        </w:rPr>
        <w:t xml:space="preserve"> </w:t>
      </w:r>
      <w:r>
        <w:rPr>
          <w:rFonts w:ascii="Times New Roman" w:hAnsi="Times New Roman"/>
          <w:sz w:val="21"/>
          <w:szCs w:val="21"/>
        </w:rPr>
        <w:t>6</w:t>
      </w:r>
      <w:r w:rsidRPr="00AE63CB">
        <w:rPr>
          <w:rFonts w:ascii="Times New Roman" w:hAnsi="Times New Roman"/>
          <w:sz w:val="21"/>
          <w:szCs w:val="21"/>
        </w:rPr>
        <w:t>.2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4"/>
        <w:gridCol w:w="5056"/>
      </w:tblGrid>
      <w:tr w:rsidR="00B233DE" w:rsidRPr="0028380E" w:rsidTr="0023489B">
        <w:trPr>
          <w:trHeight w:val="70"/>
          <w:jc w:val="center"/>
        </w:trPr>
        <w:tc>
          <w:tcPr>
            <w:tcW w:w="1284" w:type="dxa"/>
            <w:shd w:val="clear" w:color="auto" w:fill="auto"/>
            <w:vAlign w:val="center"/>
          </w:tcPr>
          <w:p w:rsidR="00B233DE" w:rsidRPr="0028380E" w:rsidRDefault="00B233DE" w:rsidP="0023489B">
            <w:pPr>
              <w:widowControl w:val="0"/>
              <w:autoSpaceDE w:val="0"/>
              <w:autoSpaceDN w:val="0"/>
              <w:adjustRightInd w:val="0"/>
              <w:jc w:val="center"/>
              <w:rPr>
                <w:rFonts w:ascii="Times New Roman" w:eastAsia="Times New Roman" w:hAnsi="Times New Roman" w:cs="Times New Roman"/>
                <w:sz w:val="17"/>
                <w:szCs w:val="17"/>
              </w:rPr>
            </w:pPr>
            <w:r w:rsidRPr="0028380E">
              <w:rPr>
                <w:rFonts w:ascii="Times New Roman" w:eastAsia="Times New Roman" w:hAnsi="Times New Roman" w:cs="Times New Roman"/>
                <w:sz w:val="17"/>
                <w:szCs w:val="17"/>
              </w:rPr>
              <w:t>1</w:t>
            </w:r>
          </w:p>
        </w:tc>
        <w:tc>
          <w:tcPr>
            <w:tcW w:w="5056" w:type="dxa"/>
            <w:shd w:val="clear" w:color="auto" w:fill="auto"/>
          </w:tcPr>
          <w:p w:rsidR="00B233DE" w:rsidRPr="0028380E" w:rsidRDefault="00B233DE" w:rsidP="0023489B">
            <w:pPr>
              <w:ind w:firstLine="244"/>
              <w:jc w:val="center"/>
              <w:rPr>
                <w:rFonts w:ascii="Times New Roman" w:hAnsi="Times New Roman" w:cs="Times New Roman"/>
                <w:sz w:val="17"/>
                <w:szCs w:val="17"/>
              </w:rPr>
            </w:pPr>
            <w:r w:rsidRPr="0028380E">
              <w:rPr>
                <w:rFonts w:ascii="Times New Roman" w:hAnsi="Times New Roman" w:cs="Times New Roman"/>
                <w:sz w:val="17"/>
                <w:szCs w:val="17"/>
              </w:rPr>
              <w:t>2</w:t>
            </w:r>
          </w:p>
        </w:tc>
      </w:tr>
      <w:tr w:rsidR="00B233DE" w:rsidRPr="0028380E" w:rsidTr="0023489B">
        <w:trPr>
          <w:jc w:val="center"/>
        </w:trPr>
        <w:tc>
          <w:tcPr>
            <w:tcW w:w="1284" w:type="dxa"/>
            <w:shd w:val="clear" w:color="auto" w:fill="auto"/>
            <w:vAlign w:val="center"/>
          </w:tcPr>
          <w:p w:rsidR="00B233DE" w:rsidRPr="0028380E" w:rsidRDefault="00B233DE" w:rsidP="0023489B">
            <w:pPr>
              <w:widowControl w:val="0"/>
              <w:autoSpaceDE w:val="0"/>
              <w:autoSpaceDN w:val="0"/>
              <w:adjustRightInd w:val="0"/>
              <w:ind w:firstLine="0"/>
              <w:jc w:val="center"/>
              <w:rPr>
                <w:rFonts w:ascii="Times New Roman" w:eastAsia="Times New Roman" w:hAnsi="Times New Roman" w:cs="Times New Roman"/>
                <w:sz w:val="17"/>
                <w:szCs w:val="17"/>
              </w:rPr>
            </w:pPr>
            <w:r w:rsidRPr="0028380E">
              <w:rPr>
                <w:rFonts w:ascii="Times New Roman" w:eastAsia="Times New Roman" w:hAnsi="Times New Roman" w:cs="Times New Roman"/>
                <w:sz w:val="17"/>
                <w:szCs w:val="17"/>
              </w:rPr>
              <w:t>2. Здача в оренду</w:t>
            </w:r>
          </w:p>
        </w:tc>
        <w:tc>
          <w:tcPr>
            <w:tcW w:w="5056" w:type="dxa"/>
            <w:shd w:val="clear" w:color="auto" w:fill="auto"/>
          </w:tcPr>
          <w:p w:rsidR="00B233DE" w:rsidRPr="0028380E" w:rsidRDefault="00B233DE" w:rsidP="0023489B">
            <w:pPr>
              <w:widowControl w:val="0"/>
              <w:autoSpaceDE w:val="0"/>
              <w:autoSpaceDN w:val="0"/>
              <w:adjustRightInd w:val="0"/>
              <w:jc w:val="center"/>
              <w:rPr>
                <w:rFonts w:ascii="Times New Roman" w:eastAsia="Times New Roman" w:hAnsi="Times New Roman" w:cs="Times New Roman"/>
                <w:sz w:val="17"/>
                <w:szCs w:val="17"/>
              </w:rPr>
            </w:pPr>
            <w:r w:rsidRPr="0028380E">
              <w:rPr>
                <w:rFonts w:ascii="Times New Roman" w:eastAsia="Times New Roman" w:hAnsi="Times New Roman" w:cs="Times New Roman"/>
                <w:noProof/>
                <w:sz w:val="17"/>
                <w:szCs w:val="17"/>
                <w:lang w:val="ru-RU" w:eastAsia="ru-RU"/>
              </w:rPr>
              <mc:AlternateContent>
                <mc:Choice Requires="wps">
                  <w:drawing>
                    <wp:anchor distT="0" distB="0" distL="114300" distR="114300" simplePos="0" relativeHeight="251720704" behindDoc="0" locked="0" layoutInCell="1" allowOverlap="1" wp14:anchorId="73325E62" wp14:editId="6E5BC59E">
                      <wp:simplePos x="0" y="0"/>
                      <wp:positionH relativeFrom="column">
                        <wp:posOffset>4173855</wp:posOffset>
                      </wp:positionH>
                      <wp:positionV relativeFrom="paragraph">
                        <wp:posOffset>35560</wp:posOffset>
                      </wp:positionV>
                      <wp:extent cx="495300" cy="609600"/>
                      <wp:effectExtent l="0" t="0" r="0" b="0"/>
                      <wp:wrapNone/>
                      <wp:docPr id="1649" name="Поле 16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300" cy="609600"/>
                              </a:xfrm>
                              <a:prstGeom prst="rect">
                                <a:avLst/>
                              </a:prstGeom>
                              <a:noFill/>
                              <a:ln w="6350">
                                <a:noFill/>
                              </a:ln>
                              <a:effectLst/>
                            </wps:spPr>
                            <wps:txbx>
                              <w:txbxContent>
                                <w:p w:rsidR="00BE40F8" w:rsidRPr="00E34A4E" w:rsidRDefault="00BE40F8" w:rsidP="00B233DE">
                                  <w:pPr>
                                    <w:rPr>
                                      <w:rFonts w:ascii="Times New Roman" w:hAnsi="Times New Roman"/>
                                    </w:rPr>
                                  </w:pPr>
                                  <w:r>
                                    <w:rPr>
                                      <w:rFonts w:ascii="Times New Roman" w:hAnsi="Times New Roman"/>
                                    </w:rPr>
                                    <w:t>(</w:t>
                                  </w:r>
                                  <w:r w:rsidRPr="00E34A4E">
                                    <w:rPr>
                                      <w:rFonts w:ascii="Times New Roman" w:hAnsi="Times New Roman"/>
                                    </w:rPr>
                                    <w:t>3.5</w:t>
                                  </w:r>
                                  <w:r>
                                    <w:rPr>
                                      <w:rFonts w:ascii="Times New Roman" w:hAnsi="Times New Roman"/>
                                    </w:rPr>
                                    <w:t>)</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325E62" id="Поле 1649" o:spid="_x0000_s2375" type="#_x0000_t202" style="position:absolute;left:0;text-align:left;margin-left:328.65pt;margin-top:2.8pt;width:39pt;height:48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" filled="f" stroked="f" strokeweight=".5pt">
                      <v:path arrowok="t"/>
                      <v:textbox>
                        <w:txbxContent>
                          <w:p w:rsidR="00BE40F8" w:rsidRPr="00E34A4E" w:rsidRDefault="00BE40F8" w:rsidP="00B233DE">
                            <w:pPr>
                              <w:rPr>
                                <w:rFonts w:ascii="Times New Roman" w:hAnsi="Times New Roman"/>
                              </w:rPr>
                            </w:pPr>
                            <w:r>
                              <w:rPr>
                                <w:rFonts w:ascii="Times New Roman" w:hAnsi="Times New Roman"/>
                              </w:rPr>
                              <w:t>(</w:t>
                            </w:r>
                            <w:r w:rsidRPr="00E34A4E">
                              <w:rPr>
                                <w:rFonts w:ascii="Times New Roman" w:hAnsi="Times New Roman"/>
                              </w:rPr>
                              <w:t>3.5</w:t>
                            </w:r>
                            <w:r>
                              <w:rPr>
                                <w:rFonts w:ascii="Times New Roman" w:hAnsi="Times New Roman"/>
                              </w:rPr>
                              <w:t>)</w:t>
                            </w:r>
                          </w:p>
                        </w:txbxContent>
                      </v:textbox>
                    </v:shape>
                  </w:pict>
                </mc:Fallback>
              </mc:AlternateContent>
            </w:r>
          </w:p>
          <w:p w:rsidR="00B233DE" w:rsidRPr="0028380E" w:rsidRDefault="00B233DE" w:rsidP="0023489B">
            <w:pPr>
              <w:widowControl w:val="0"/>
              <w:autoSpaceDE w:val="0"/>
              <w:autoSpaceDN w:val="0"/>
              <w:adjustRightInd w:val="0"/>
              <w:jc w:val="center"/>
              <w:rPr>
                <w:rFonts w:ascii="Times New Roman" w:eastAsia="Times New Roman" w:hAnsi="Times New Roman" w:cs="Times New Roman"/>
                <w:sz w:val="17"/>
                <w:szCs w:val="17"/>
              </w:rPr>
            </w:pPr>
            <w:r>
              <w:rPr>
                <w:rFonts w:ascii="Times New Roman" w:eastAsia="Times New Roman" w:hAnsi="Times New Roman" w:cs="Times New Roman"/>
                <w:sz w:val="17"/>
                <w:szCs w:val="17"/>
              </w:rPr>
              <w:t xml:space="preserve">        </w:t>
            </w:r>
            <m:oMath>
              <m:sSubSup>
                <m:sSubSupPr>
                  <m:ctrlPr>
                    <w:rPr>
                      <w:rFonts w:ascii="Cambria Math" w:hAnsi="Cambria Math" w:cs="Times New Roman"/>
                      <w:i/>
                      <w:sz w:val="18"/>
                      <w:szCs w:val="18"/>
                    </w:rPr>
                  </m:ctrlPr>
                </m:sSubSupPr>
                <m:e>
                  <m:r>
                    <w:rPr>
                      <w:rFonts w:ascii="Cambria Math" w:hAnsi="Cambria Math" w:cs="Times New Roman"/>
                      <w:sz w:val="18"/>
                      <w:szCs w:val="18"/>
                    </w:rPr>
                    <m:t>Е</m:t>
                  </m:r>
                </m:e>
                <m:sub>
                  <m:r>
                    <w:rPr>
                      <w:rFonts w:ascii="Cambria Math" w:hAnsi="Cambria Math" w:cs="Times New Roman"/>
                      <w:sz w:val="18"/>
                      <w:szCs w:val="18"/>
                    </w:rPr>
                    <m:t>соц</m:t>
                  </m:r>
                </m:sub>
                <m:sup>
                  <m:r>
                    <w:rPr>
                      <w:rFonts w:ascii="Cambria Math" w:hAnsi="Cambria Math" w:cs="Times New Roman"/>
                      <w:sz w:val="18"/>
                      <w:szCs w:val="18"/>
                    </w:rPr>
                    <m:t>ККВ</m:t>
                  </m:r>
                </m:sup>
              </m:sSubSup>
              <m:r>
                <w:rPr>
                  <w:rFonts w:ascii="Cambria Math" w:hAnsi="Cambria Math" w:cs="Times New Roman"/>
                  <w:sz w:val="18"/>
                  <w:szCs w:val="18"/>
                </w:rPr>
                <m:t>=</m:t>
              </m:r>
              <m:f>
                <m:fPr>
                  <m:ctrlPr>
                    <w:rPr>
                      <w:rFonts w:ascii="Cambria Math" w:hAnsi="Cambria Math" w:cs="Times New Roman"/>
                      <w:i/>
                      <w:sz w:val="18"/>
                      <w:szCs w:val="18"/>
                    </w:rPr>
                  </m:ctrlPr>
                </m:fPr>
                <m:num>
                  <m:d>
                    <m:dPr>
                      <m:ctrlPr>
                        <w:rPr>
                          <w:rFonts w:ascii="Cambria Math" w:hAnsi="Cambria Math" w:cs="Times New Roman"/>
                          <w:i/>
                          <w:sz w:val="18"/>
                          <w:szCs w:val="18"/>
                        </w:rPr>
                      </m:ctrlPr>
                    </m:dPr>
                    <m:e>
                      <m:sSub>
                        <m:sSubPr>
                          <m:ctrlPr>
                            <w:rPr>
                              <w:rFonts w:ascii="Cambria Math" w:hAnsi="Cambria Math" w:cs="Times New Roman"/>
                              <w:i/>
                              <w:sz w:val="18"/>
                              <w:szCs w:val="18"/>
                            </w:rPr>
                          </m:ctrlPr>
                        </m:sSubPr>
                        <m:e>
                          <m:r>
                            <w:rPr>
                              <w:rFonts w:ascii="Cambria Math" w:hAnsi="Cambria Math" w:cs="Times New Roman"/>
                              <w:sz w:val="18"/>
                              <w:szCs w:val="18"/>
                            </w:rPr>
                            <m:t>О</m:t>
                          </m:r>
                        </m:e>
                        <m:sub>
                          <m:r>
                            <w:rPr>
                              <w:rFonts w:ascii="Cambria Math" w:hAnsi="Cambria Math" w:cs="Times New Roman"/>
                              <w:sz w:val="18"/>
                              <w:szCs w:val="18"/>
                            </w:rPr>
                            <m:t>річ</m:t>
                          </m:r>
                        </m:sub>
                      </m:sSub>
                      <m:r>
                        <w:rPr>
                          <w:rFonts w:ascii="Cambria Math" w:hAnsi="Cambria Math" w:cs="Times New Roman"/>
                          <w:sz w:val="18"/>
                          <w:szCs w:val="18"/>
                        </w:rPr>
                        <m:t>∙</m:t>
                      </m:r>
                      <m:sSub>
                        <m:sSubPr>
                          <m:ctrlPr>
                            <w:rPr>
                              <w:rFonts w:ascii="Cambria Math" w:hAnsi="Cambria Math" w:cs="Times New Roman"/>
                              <w:i/>
                              <w:sz w:val="18"/>
                              <w:szCs w:val="18"/>
                              <w:lang w:val="en-US"/>
                            </w:rPr>
                          </m:ctrlPr>
                        </m:sSubPr>
                        <m:e>
                          <m:r>
                            <w:rPr>
                              <w:rFonts w:ascii="Cambria Math" w:hAnsi="Cambria Math" w:cs="Times New Roman"/>
                              <w:sz w:val="18"/>
                              <w:szCs w:val="18"/>
                              <w:lang w:val="en-US"/>
                            </w:rPr>
                            <m:t>d</m:t>
                          </m:r>
                        </m:e>
                        <m:sub>
                          <m:r>
                            <w:rPr>
                              <w:rFonts w:ascii="Cambria Math" w:hAnsi="Cambria Math" w:cs="Times New Roman"/>
                              <w:sz w:val="18"/>
                              <w:szCs w:val="18"/>
                            </w:rPr>
                            <m:t>МБ</m:t>
                          </m:r>
                        </m:sub>
                      </m:sSub>
                      <m:r>
                        <w:rPr>
                          <w:rFonts w:ascii="Cambria Math" w:hAnsi="Cambria Math" w:cs="Times New Roman"/>
                          <w:sz w:val="18"/>
                          <w:szCs w:val="18"/>
                        </w:rPr>
                        <m:t>-</m:t>
                      </m:r>
                      <m:sSub>
                        <m:sSubPr>
                          <m:ctrlPr>
                            <w:rPr>
                              <w:rFonts w:ascii="Cambria Math" w:hAnsi="Cambria Math" w:cs="Times New Roman"/>
                              <w:i/>
                              <w:sz w:val="18"/>
                              <w:szCs w:val="18"/>
                              <w:lang w:val="en-US"/>
                            </w:rPr>
                          </m:ctrlPr>
                        </m:sSubPr>
                        <m:e>
                          <m:r>
                            <w:rPr>
                              <w:rFonts w:ascii="Cambria Math" w:hAnsi="Cambria Math" w:cs="Times New Roman"/>
                              <w:sz w:val="18"/>
                              <w:szCs w:val="18"/>
                            </w:rPr>
                            <m:t>В</m:t>
                          </m:r>
                        </m:e>
                        <m:sub>
                          <m:r>
                            <w:rPr>
                              <w:rFonts w:ascii="Cambria Math" w:hAnsi="Cambria Math" w:cs="Times New Roman"/>
                              <w:sz w:val="18"/>
                              <w:szCs w:val="18"/>
                            </w:rPr>
                            <m:t>О</m:t>
                          </m:r>
                        </m:sub>
                      </m:sSub>
                    </m:e>
                  </m:d>
                  <m:r>
                    <w:rPr>
                      <w:rFonts w:ascii="Cambria Math" w:hAnsi="Cambria Math" w:cs="Times New Roman"/>
                      <w:sz w:val="18"/>
                      <w:szCs w:val="18"/>
                    </w:rPr>
                    <m:t>∙Т∙</m:t>
                  </m:r>
                  <m:sSubSup>
                    <m:sSubSupPr>
                      <m:ctrlPr>
                        <w:rPr>
                          <w:rFonts w:ascii="Cambria Math" w:hAnsi="Cambria Math" w:cs="Times New Roman"/>
                          <w:i/>
                          <w:sz w:val="18"/>
                          <w:szCs w:val="18"/>
                          <w:lang w:val="en-US"/>
                        </w:rPr>
                      </m:ctrlPr>
                    </m:sSubSupPr>
                    <m:e>
                      <m:r>
                        <w:rPr>
                          <w:rFonts w:ascii="Cambria Math" w:hAnsi="Cambria Math" w:cs="Times New Roman"/>
                          <w:sz w:val="18"/>
                          <w:szCs w:val="18"/>
                          <w:lang w:val="en-US"/>
                        </w:rPr>
                        <m:t>d</m:t>
                      </m:r>
                    </m:e>
                    <m:sub>
                      <m:r>
                        <w:rPr>
                          <w:rFonts w:ascii="Cambria Math" w:hAnsi="Cambria Math" w:cs="Times New Roman"/>
                          <w:sz w:val="18"/>
                          <w:szCs w:val="18"/>
                        </w:rPr>
                        <m:t>соц</m:t>
                      </m:r>
                    </m:sub>
                    <m:sup>
                      <m:r>
                        <w:rPr>
                          <w:rFonts w:ascii="Cambria Math" w:hAnsi="Cambria Math" w:cs="Times New Roman"/>
                          <w:sz w:val="18"/>
                          <w:szCs w:val="18"/>
                        </w:rPr>
                        <m:t>1</m:t>
                      </m:r>
                    </m:sup>
                  </m:sSubSup>
                  <m:r>
                    <w:rPr>
                      <w:rFonts w:ascii="Cambria Math" w:hAnsi="Cambria Math" w:cs="Times New Roman"/>
                      <w:sz w:val="18"/>
                      <w:szCs w:val="18"/>
                    </w:rPr>
                    <m:t>+</m:t>
                  </m:r>
                  <m:sSub>
                    <m:sSubPr>
                      <m:ctrlPr>
                        <w:rPr>
                          <w:rFonts w:ascii="Cambria Math" w:hAnsi="Cambria Math" w:cs="Times New Roman"/>
                          <w:i/>
                          <w:sz w:val="18"/>
                          <w:szCs w:val="18"/>
                          <w:lang w:val="en-US"/>
                        </w:rPr>
                      </m:ctrlPr>
                    </m:sSubPr>
                    <m:e>
                      <m:nary>
                        <m:naryPr>
                          <m:chr m:val="∑"/>
                          <m:limLoc m:val="undOvr"/>
                          <m:ctrlPr>
                            <w:rPr>
                              <w:rFonts w:ascii="Cambria Math" w:hAnsi="Cambria Math" w:cs="Times New Roman"/>
                              <w:i/>
                              <w:sz w:val="18"/>
                              <w:szCs w:val="18"/>
                              <w:lang w:val="en-US"/>
                            </w:rPr>
                          </m:ctrlPr>
                        </m:naryPr>
                        <m:sub>
                          <m:r>
                            <w:rPr>
                              <w:rFonts w:ascii="Cambria Math" w:hAnsi="Cambria Math" w:cs="Times New Roman"/>
                              <w:sz w:val="18"/>
                              <w:szCs w:val="18"/>
                            </w:rPr>
                            <m:t>і=1</m:t>
                          </m:r>
                        </m:sub>
                        <m:sup>
                          <m:r>
                            <w:rPr>
                              <w:rFonts w:ascii="Cambria Math" w:hAnsi="Cambria Math" w:cs="Times New Roman"/>
                              <w:sz w:val="18"/>
                              <w:szCs w:val="18"/>
                            </w:rPr>
                            <m:t>Т</m:t>
                          </m:r>
                        </m:sup>
                        <m:e>
                          <m:r>
                            <w:rPr>
                              <w:rFonts w:ascii="Cambria Math" w:hAnsi="Cambria Math" w:cs="Times New Roman"/>
                              <w:sz w:val="18"/>
                              <w:szCs w:val="18"/>
                            </w:rPr>
                            <m:t>(</m:t>
                          </m:r>
                        </m:e>
                      </m:nary>
                      <m:r>
                        <w:rPr>
                          <w:rFonts w:ascii="Cambria Math" w:hAnsi="Cambria Math" w:cs="Times New Roman"/>
                          <w:sz w:val="18"/>
                          <w:szCs w:val="18"/>
                        </w:rPr>
                        <m:t>ЧП</m:t>
                      </m:r>
                    </m:e>
                    <m:sub>
                      <m:r>
                        <w:rPr>
                          <w:rFonts w:ascii="Cambria Math" w:hAnsi="Cambria Math" w:cs="Times New Roman"/>
                          <w:sz w:val="18"/>
                          <w:szCs w:val="18"/>
                        </w:rPr>
                        <m:t xml:space="preserve">річ </m:t>
                      </m:r>
                      <m:r>
                        <m:rPr>
                          <m:sty m:val="bi"/>
                        </m:rPr>
                        <w:rPr>
                          <w:rFonts w:ascii="Cambria Math" w:hAnsi="Cambria Math" w:cs="Times New Roman"/>
                          <w:sz w:val="18"/>
                          <w:szCs w:val="18"/>
                        </w:rPr>
                        <m:t>і</m:t>
                      </m:r>
                    </m:sub>
                  </m:sSub>
                  <m:sSubSup>
                    <m:sSubSupPr>
                      <m:ctrlPr>
                        <w:rPr>
                          <w:rFonts w:ascii="Cambria Math" w:hAnsi="Cambria Math" w:cs="Times New Roman"/>
                          <w:i/>
                          <w:sz w:val="18"/>
                          <w:szCs w:val="18"/>
                          <w:lang w:val="en-US"/>
                        </w:rPr>
                      </m:ctrlPr>
                    </m:sSubSupPr>
                    <m:e>
                      <m:r>
                        <w:rPr>
                          <w:rFonts w:ascii="Cambria Math" w:hAnsi="Cambria Math" w:cs="Times New Roman"/>
                          <w:sz w:val="18"/>
                          <w:szCs w:val="18"/>
                        </w:rPr>
                        <m:t>∙</m:t>
                      </m:r>
                      <m:r>
                        <w:rPr>
                          <w:rFonts w:ascii="Cambria Math" w:hAnsi="Cambria Math" w:cs="Times New Roman"/>
                          <w:sz w:val="18"/>
                          <w:szCs w:val="18"/>
                          <w:lang w:val="en-US"/>
                        </w:rPr>
                        <m:t>d</m:t>
                      </m:r>
                    </m:e>
                    <m:sub>
                      <m:r>
                        <w:rPr>
                          <w:rFonts w:ascii="Cambria Math" w:hAnsi="Cambria Math" w:cs="Times New Roman"/>
                          <w:sz w:val="18"/>
                          <w:szCs w:val="18"/>
                        </w:rPr>
                        <m:t>соц</m:t>
                      </m:r>
                      <m:r>
                        <m:rPr>
                          <m:sty m:val="bi"/>
                        </m:rPr>
                        <w:rPr>
                          <w:rFonts w:ascii="Cambria Math" w:hAnsi="Cambria Math" w:cs="Times New Roman"/>
                          <w:sz w:val="18"/>
                          <w:szCs w:val="18"/>
                        </w:rPr>
                        <m:t xml:space="preserve"> і</m:t>
                      </m:r>
                    </m:sub>
                    <m:sup>
                      <m:r>
                        <w:rPr>
                          <w:rFonts w:ascii="Cambria Math" w:hAnsi="Cambria Math" w:cs="Times New Roman"/>
                          <w:sz w:val="18"/>
                          <w:szCs w:val="18"/>
                        </w:rPr>
                        <m:t>2</m:t>
                      </m:r>
                    </m:sup>
                  </m:sSubSup>
                  <m:r>
                    <w:rPr>
                      <w:rFonts w:ascii="Cambria Math" w:hAnsi="Cambria Math" w:cs="Times New Roman"/>
                      <w:sz w:val="18"/>
                      <w:szCs w:val="18"/>
                    </w:rPr>
                    <m:t>)</m:t>
                  </m:r>
                </m:num>
                <m:den>
                  <m:sSub>
                    <m:sSubPr>
                      <m:ctrlPr>
                        <w:rPr>
                          <w:rFonts w:ascii="Cambria Math" w:hAnsi="Cambria Math" w:cs="Times New Roman"/>
                          <w:i/>
                          <w:sz w:val="18"/>
                          <w:szCs w:val="18"/>
                        </w:rPr>
                      </m:ctrlPr>
                    </m:sSubPr>
                    <m:e>
                      <m:r>
                        <w:rPr>
                          <w:rFonts w:ascii="Cambria Math" w:hAnsi="Cambria Math" w:cs="Times New Roman"/>
                          <w:sz w:val="18"/>
                          <w:szCs w:val="18"/>
                        </w:rPr>
                        <m:t>Вр</m:t>
                      </m:r>
                    </m:e>
                    <m:sub>
                      <m:r>
                        <w:rPr>
                          <w:rFonts w:ascii="Cambria Math" w:hAnsi="Cambria Math" w:cs="Times New Roman"/>
                          <w:sz w:val="18"/>
                          <w:szCs w:val="18"/>
                        </w:rPr>
                        <m:t>ринк</m:t>
                      </m:r>
                    </m:sub>
                  </m:sSub>
                </m:den>
              </m:f>
            </m:oMath>
            <w:r>
              <w:rPr>
                <w:rFonts w:ascii="Times New Roman" w:eastAsia="Times New Roman" w:hAnsi="Times New Roman" w:cs="Times New Roman"/>
                <w:sz w:val="17"/>
                <w:szCs w:val="17"/>
              </w:rPr>
              <w:t xml:space="preserve">             (6.5)</w:t>
            </w:r>
          </w:p>
          <w:p w:rsidR="00B233DE" w:rsidRPr="0028380E" w:rsidRDefault="00B233DE" w:rsidP="0023489B">
            <w:pPr>
              <w:ind w:firstLine="192"/>
              <w:rPr>
                <w:rFonts w:ascii="Times New Roman" w:eastAsia="Times New Roman" w:hAnsi="Times New Roman" w:cs="Times New Roman"/>
                <w:sz w:val="17"/>
                <w:szCs w:val="17"/>
              </w:rPr>
            </w:pPr>
          </w:p>
          <w:p w:rsidR="00B233DE" w:rsidRPr="0028380E" w:rsidRDefault="00B233DE" w:rsidP="0023489B">
            <w:pPr>
              <w:ind w:firstLine="244"/>
              <w:jc w:val="both"/>
              <w:rPr>
                <w:rFonts w:ascii="Times New Roman" w:eastAsia="Times New Roman" w:hAnsi="Times New Roman" w:cs="Times New Roman"/>
                <w:sz w:val="17"/>
                <w:szCs w:val="17"/>
              </w:rPr>
            </w:pPr>
            <w:r w:rsidRPr="0028380E">
              <w:rPr>
                <w:rFonts w:ascii="Times New Roman" w:eastAsia="Times New Roman" w:hAnsi="Times New Roman" w:cs="Times New Roman"/>
                <w:sz w:val="17"/>
                <w:szCs w:val="17"/>
              </w:rPr>
              <w:t xml:space="preserve">де </w:t>
            </w:r>
            <m:oMath>
              <m:sSubSup>
                <m:sSubSupPr>
                  <m:ctrlPr>
                    <w:rPr>
                      <w:rFonts w:ascii="Cambria Math" w:hAnsi="Cambria Math" w:cs="Times New Roman"/>
                      <w:i/>
                      <w:sz w:val="18"/>
                      <w:szCs w:val="18"/>
                    </w:rPr>
                  </m:ctrlPr>
                </m:sSubSupPr>
                <m:e>
                  <m:r>
                    <w:rPr>
                      <w:rFonts w:ascii="Cambria Math" w:hAnsi="Cambria Math" w:cs="Times New Roman"/>
                      <w:sz w:val="18"/>
                      <w:szCs w:val="18"/>
                    </w:rPr>
                    <m:t>Е</m:t>
                  </m:r>
                </m:e>
                <m:sub>
                  <m:r>
                    <w:rPr>
                      <w:rFonts w:ascii="Cambria Math" w:hAnsi="Cambria Math" w:cs="Times New Roman"/>
                      <w:sz w:val="18"/>
                      <w:szCs w:val="18"/>
                    </w:rPr>
                    <m:t>соц</m:t>
                  </m:r>
                </m:sub>
                <m:sup>
                  <m:r>
                    <w:rPr>
                      <w:rFonts w:ascii="Cambria Math" w:hAnsi="Cambria Math" w:cs="Times New Roman"/>
                      <w:sz w:val="18"/>
                      <w:szCs w:val="18"/>
                    </w:rPr>
                    <m:t>ККВ</m:t>
                  </m:r>
                </m:sup>
              </m:sSubSup>
            </m:oMath>
            <w:r w:rsidRPr="0028380E">
              <w:rPr>
                <w:rFonts w:ascii="Times New Roman" w:eastAsia="Times New Roman" w:hAnsi="Times New Roman" w:cs="Times New Roman"/>
                <w:sz w:val="17"/>
                <w:szCs w:val="17"/>
              </w:rPr>
              <w:t xml:space="preserve"> – соціальна ефективність комерційного об’єкта комунальної власності;</w:t>
            </w:r>
          </w:p>
          <w:p w:rsidR="00B233DE" w:rsidRPr="0028380E" w:rsidRDefault="00EC2A0E" w:rsidP="0023489B">
            <w:pPr>
              <w:ind w:firstLine="244"/>
              <w:jc w:val="both"/>
              <w:rPr>
                <w:rFonts w:ascii="Times New Roman" w:eastAsia="Times New Roman" w:hAnsi="Times New Roman" w:cs="Times New Roman"/>
                <w:sz w:val="17"/>
                <w:szCs w:val="17"/>
              </w:rPr>
            </w:pPr>
            <m:oMath>
              <m:sSub>
                <m:sSubPr>
                  <m:ctrlPr>
                    <w:rPr>
                      <w:rFonts w:ascii="Cambria Math" w:hAnsi="Cambria Math" w:cs="Times New Roman"/>
                      <w:i/>
                      <w:sz w:val="17"/>
                      <w:szCs w:val="17"/>
                    </w:rPr>
                  </m:ctrlPr>
                </m:sSubPr>
                <m:e>
                  <m:r>
                    <w:rPr>
                      <w:rFonts w:ascii="Cambria Math" w:hAnsi="Cambria Math" w:cs="Times New Roman"/>
                      <w:sz w:val="17"/>
                      <w:szCs w:val="17"/>
                    </w:rPr>
                    <m:t>О</m:t>
                  </m:r>
                </m:e>
                <m:sub>
                  <m:r>
                    <w:rPr>
                      <w:rFonts w:ascii="Cambria Math" w:hAnsi="Cambria Math" w:cs="Times New Roman"/>
                      <w:sz w:val="17"/>
                      <w:szCs w:val="17"/>
                    </w:rPr>
                    <m:t>річ</m:t>
                  </m:r>
                </m:sub>
              </m:sSub>
            </m:oMath>
            <w:r w:rsidR="00B233DE" w:rsidRPr="0028380E">
              <w:rPr>
                <w:rFonts w:ascii="Times New Roman" w:eastAsia="Times New Roman" w:hAnsi="Times New Roman" w:cs="Times New Roman"/>
                <w:sz w:val="17"/>
                <w:szCs w:val="17"/>
              </w:rPr>
              <w:t xml:space="preserve"> – річна орендна плата, яку сплачує орендар, грн;</w:t>
            </w:r>
          </w:p>
          <w:p w:rsidR="00B233DE" w:rsidRPr="0028380E" w:rsidRDefault="00EC2A0E" w:rsidP="0023489B">
            <w:pPr>
              <w:ind w:firstLine="244"/>
              <w:jc w:val="both"/>
              <w:rPr>
                <w:rFonts w:ascii="Times New Roman" w:eastAsia="Times New Roman" w:hAnsi="Times New Roman" w:cs="Times New Roman"/>
                <w:sz w:val="17"/>
                <w:szCs w:val="17"/>
              </w:rPr>
            </w:pPr>
            <m:oMath>
              <m:sSub>
                <m:sSubPr>
                  <m:ctrlPr>
                    <w:rPr>
                      <w:rFonts w:ascii="Cambria Math" w:hAnsi="Cambria Math" w:cs="Times New Roman"/>
                      <w:i/>
                      <w:sz w:val="17"/>
                      <w:szCs w:val="17"/>
                    </w:rPr>
                  </m:ctrlPr>
                </m:sSubPr>
                <m:e>
                  <m:r>
                    <w:rPr>
                      <w:rFonts w:ascii="Cambria Math" w:hAnsi="Cambria Math" w:cs="Times New Roman"/>
                      <w:sz w:val="17"/>
                      <w:szCs w:val="17"/>
                      <w:lang w:val="en-US"/>
                    </w:rPr>
                    <m:t>d</m:t>
                  </m:r>
                </m:e>
                <m:sub>
                  <m:r>
                    <w:rPr>
                      <w:rFonts w:ascii="Cambria Math" w:hAnsi="Cambria Math" w:cs="Times New Roman"/>
                      <w:sz w:val="17"/>
                      <w:szCs w:val="17"/>
                    </w:rPr>
                    <m:t>МБ</m:t>
                  </m:r>
                </m:sub>
              </m:sSub>
            </m:oMath>
            <w:r w:rsidR="00B233DE" w:rsidRPr="0028380E">
              <w:rPr>
                <w:rFonts w:ascii="Times New Roman" w:eastAsia="Times New Roman" w:hAnsi="Times New Roman" w:cs="Times New Roman"/>
                <w:sz w:val="17"/>
                <w:szCs w:val="17"/>
              </w:rPr>
              <w:t xml:space="preserve"> – частка орендної плати, яка надходить до місцевого бюджету;</w:t>
            </w:r>
          </w:p>
          <w:p w:rsidR="00B233DE" w:rsidRPr="0028380E" w:rsidRDefault="00EC2A0E" w:rsidP="0023489B">
            <w:pPr>
              <w:ind w:firstLine="244"/>
              <w:jc w:val="both"/>
              <w:rPr>
                <w:rFonts w:ascii="Times New Roman" w:eastAsia="Times New Roman" w:hAnsi="Times New Roman" w:cs="Times New Roman"/>
                <w:sz w:val="17"/>
                <w:szCs w:val="17"/>
              </w:rPr>
            </w:pPr>
            <m:oMath>
              <m:sSub>
                <m:sSubPr>
                  <m:ctrlPr>
                    <w:rPr>
                      <w:rFonts w:ascii="Cambria Math" w:hAnsi="Cambria Math" w:cs="Times New Roman"/>
                      <w:i/>
                      <w:sz w:val="17"/>
                      <w:szCs w:val="17"/>
                    </w:rPr>
                  </m:ctrlPr>
                </m:sSubPr>
                <m:e>
                  <m:r>
                    <w:rPr>
                      <w:rFonts w:ascii="Cambria Math" w:hAnsi="Cambria Math" w:cs="Times New Roman"/>
                      <w:sz w:val="17"/>
                      <w:szCs w:val="17"/>
                    </w:rPr>
                    <m:t>В</m:t>
                  </m:r>
                </m:e>
                <m:sub>
                  <m:r>
                    <w:rPr>
                      <w:rFonts w:ascii="Cambria Math" w:hAnsi="Cambria Math" w:cs="Times New Roman"/>
                      <w:sz w:val="17"/>
                      <w:szCs w:val="17"/>
                    </w:rPr>
                    <m:t>О</m:t>
                  </m:r>
                </m:sub>
              </m:sSub>
            </m:oMath>
            <w:r w:rsidR="00B233DE" w:rsidRPr="0028380E">
              <w:rPr>
                <w:rFonts w:ascii="Times New Roman" w:eastAsia="Times New Roman" w:hAnsi="Times New Roman" w:cs="Times New Roman"/>
                <w:sz w:val="17"/>
                <w:szCs w:val="17"/>
              </w:rPr>
              <w:t xml:space="preserve"> – річні бюджетні витрати орендодавця, пов’язані з амортизацією, яка не компенсується орендарем, та витратами на утримання об’єкта, грн;</w:t>
            </w:r>
          </w:p>
          <w:p w:rsidR="00B233DE" w:rsidRPr="0028380E" w:rsidRDefault="00B233DE" w:rsidP="0023489B">
            <w:pPr>
              <w:ind w:firstLine="244"/>
              <w:jc w:val="both"/>
              <w:rPr>
                <w:rFonts w:ascii="Times New Roman" w:eastAsia="Times New Roman" w:hAnsi="Times New Roman" w:cs="Times New Roman"/>
                <w:sz w:val="17"/>
                <w:szCs w:val="17"/>
              </w:rPr>
            </w:pPr>
            <w:r w:rsidRPr="0028380E">
              <w:rPr>
                <w:rFonts w:ascii="Times New Roman" w:eastAsia="Times New Roman" w:hAnsi="Times New Roman" w:cs="Times New Roman"/>
                <w:sz w:val="17"/>
                <w:szCs w:val="17"/>
              </w:rPr>
              <w:t>Т – тривалість періоду оренди, років;</w:t>
            </w:r>
          </w:p>
          <w:p w:rsidR="00B233DE" w:rsidRPr="0028380E" w:rsidRDefault="00EC2A0E" w:rsidP="0023489B">
            <w:pPr>
              <w:ind w:firstLine="244"/>
              <w:jc w:val="both"/>
              <w:rPr>
                <w:rFonts w:ascii="Times New Roman" w:eastAsia="Times New Roman" w:hAnsi="Times New Roman" w:cs="Times New Roman"/>
                <w:sz w:val="17"/>
                <w:szCs w:val="17"/>
              </w:rPr>
            </w:pPr>
            <m:oMath>
              <m:sSubSup>
                <m:sSubSupPr>
                  <m:ctrlPr>
                    <w:rPr>
                      <w:rFonts w:ascii="Cambria Math" w:hAnsi="Cambria Math" w:cs="Times New Roman"/>
                      <w:i/>
                      <w:sz w:val="17"/>
                      <w:szCs w:val="17"/>
                    </w:rPr>
                  </m:ctrlPr>
                </m:sSubSupPr>
                <m:e>
                  <m:r>
                    <w:rPr>
                      <w:rFonts w:ascii="Cambria Math" w:hAnsi="Cambria Math" w:cs="Times New Roman"/>
                      <w:sz w:val="17"/>
                      <w:szCs w:val="17"/>
                      <w:lang w:val="en-US"/>
                    </w:rPr>
                    <m:t>d</m:t>
                  </m:r>
                </m:e>
                <m:sub>
                  <m:r>
                    <w:rPr>
                      <w:rFonts w:ascii="Cambria Math" w:hAnsi="Cambria Math" w:cs="Times New Roman"/>
                      <w:sz w:val="17"/>
                      <w:szCs w:val="17"/>
                    </w:rPr>
                    <m:t>соц</m:t>
                  </m:r>
                </m:sub>
                <m:sup>
                  <m:r>
                    <w:rPr>
                      <w:rFonts w:ascii="Cambria Math" w:hAnsi="Cambria Math" w:cs="Times New Roman"/>
                      <w:sz w:val="17"/>
                      <w:szCs w:val="17"/>
                    </w:rPr>
                    <m:t>1</m:t>
                  </m:r>
                </m:sup>
              </m:sSubSup>
            </m:oMath>
            <w:r w:rsidR="00B233DE" w:rsidRPr="0028380E">
              <w:rPr>
                <w:rFonts w:ascii="Times New Roman" w:eastAsia="Times New Roman" w:hAnsi="Times New Roman" w:cs="Times New Roman"/>
                <w:sz w:val="17"/>
                <w:szCs w:val="17"/>
              </w:rPr>
              <w:t xml:space="preserve"> – частка орендної плати, яка надходять до місцевого бюджету, спрямована на соціальні цілі;</w:t>
            </w:r>
          </w:p>
          <w:p w:rsidR="00B233DE" w:rsidRPr="0028380E" w:rsidRDefault="00EC2A0E" w:rsidP="0023489B">
            <w:pPr>
              <w:ind w:firstLine="244"/>
              <w:jc w:val="both"/>
              <w:rPr>
                <w:rFonts w:ascii="Times New Roman" w:eastAsia="Times New Roman" w:hAnsi="Times New Roman" w:cs="Times New Roman"/>
                <w:sz w:val="17"/>
                <w:szCs w:val="17"/>
              </w:rPr>
            </w:pPr>
            <m:oMath>
              <m:sSub>
                <m:sSubPr>
                  <m:ctrlPr>
                    <w:rPr>
                      <w:rFonts w:ascii="Cambria Math" w:hAnsi="Cambria Math" w:cs="Times New Roman"/>
                      <w:i/>
                      <w:sz w:val="17"/>
                      <w:szCs w:val="17"/>
                    </w:rPr>
                  </m:ctrlPr>
                </m:sSubPr>
                <m:e>
                  <m:r>
                    <w:rPr>
                      <w:rFonts w:ascii="Cambria Math" w:hAnsi="Cambria Math" w:cs="Times New Roman"/>
                      <w:sz w:val="17"/>
                      <w:szCs w:val="17"/>
                    </w:rPr>
                    <m:t>ЧП</m:t>
                  </m:r>
                </m:e>
                <m:sub>
                  <m:r>
                    <w:rPr>
                      <w:rFonts w:ascii="Cambria Math" w:hAnsi="Cambria Math" w:cs="Times New Roman"/>
                      <w:sz w:val="17"/>
                      <w:szCs w:val="17"/>
                    </w:rPr>
                    <m:t xml:space="preserve">річ </m:t>
                  </m:r>
                  <m:r>
                    <m:rPr>
                      <m:sty m:val="bi"/>
                    </m:rPr>
                    <w:rPr>
                      <w:rFonts w:ascii="Cambria Math" w:hAnsi="Cambria Math" w:cs="Times New Roman"/>
                      <w:sz w:val="17"/>
                      <w:szCs w:val="17"/>
                    </w:rPr>
                    <m:t>і</m:t>
                  </m:r>
                </m:sub>
              </m:sSub>
            </m:oMath>
            <w:r w:rsidR="00B233DE" w:rsidRPr="0028380E">
              <w:rPr>
                <w:rFonts w:ascii="Times New Roman" w:eastAsia="Times New Roman" w:hAnsi="Times New Roman" w:cs="Times New Roman"/>
                <w:sz w:val="17"/>
                <w:szCs w:val="17"/>
              </w:rPr>
              <w:t xml:space="preserve"> – річний чистий прибуток комерційного об’єкта комунальної власності у і-тому році, грн;</w:t>
            </w:r>
          </w:p>
          <w:p w:rsidR="00B233DE" w:rsidRPr="0028380E" w:rsidRDefault="00EC2A0E" w:rsidP="0023489B">
            <w:pPr>
              <w:ind w:firstLine="244"/>
              <w:jc w:val="both"/>
              <w:rPr>
                <w:rFonts w:ascii="Times New Roman" w:eastAsia="Times New Roman" w:hAnsi="Times New Roman" w:cs="Times New Roman"/>
                <w:sz w:val="17"/>
                <w:szCs w:val="17"/>
              </w:rPr>
            </w:pPr>
            <m:oMath>
              <m:sSubSup>
                <m:sSubSupPr>
                  <m:ctrlPr>
                    <w:rPr>
                      <w:rFonts w:ascii="Cambria Math" w:eastAsia="Times New Roman" w:hAnsi="Cambria Math" w:cs="Times New Roman"/>
                      <w:i/>
                      <w:sz w:val="17"/>
                      <w:szCs w:val="17"/>
                    </w:rPr>
                  </m:ctrlPr>
                </m:sSubSupPr>
                <m:e>
                  <m:r>
                    <w:rPr>
                      <w:rFonts w:ascii="Cambria Math" w:eastAsia="Times New Roman" w:hAnsi="Cambria Math" w:cs="Times New Roman"/>
                      <w:sz w:val="17"/>
                      <w:szCs w:val="17"/>
                      <w:lang w:val="en-US"/>
                    </w:rPr>
                    <m:t>d</m:t>
                  </m:r>
                </m:e>
                <m:sub>
                  <m:r>
                    <w:rPr>
                      <w:rFonts w:ascii="Cambria Math" w:eastAsia="Times New Roman" w:hAnsi="Cambria Math" w:cs="Times New Roman"/>
                      <w:sz w:val="17"/>
                      <w:szCs w:val="17"/>
                    </w:rPr>
                    <m:t xml:space="preserve">соц </m:t>
                  </m:r>
                  <m:r>
                    <m:rPr>
                      <m:sty m:val="bi"/>
                    </m:rPr>
                    <w:rPr>
                      <w:rFonts w:ascii="Cambria Math" w:eastAsia="Times New Roman" w:hAnsi="Cambria Math" w:cs="Times New Roman"/>
                      <w:sz w:val="17"/>
                      <w:szCs w:val="17"/>
                    </w:rPr>
                    <m:t>і</m:t>
                  </m:r>
                </m:sub>
                <m:sup>
                  <m:r>
                    <w:rPr>
                      <w:rFonts w:ascii="Cambria Math" w:eastAsia="Times New Roman" w:hAnsi="Cambria Math" w:cs="Times New Roman"/>
                      <w:sz w:val="17"/>
                      <w:szCs w:val="17"/>
                    </w:rPr>
                    <m:t>2</m:t>
                  </m:r>
                </m:sup>
              </m:sSubSup>
            </m:oMath>
            <w:r w:rsidR="00B233DE" w:rsidRPr="0028380E">
              <w:rPr>
                <w:rFonts w:ascii="Times New Roman" w:eastAsia="Times New Roman" w:hAnsi="Times New Roman" w:cs="Times New Roman"/>
                <w:sz w:val="17"/>
                <w:szCs w:val="17"/>
              </w:rPr>
              <w:t xml:space="preserve"> – частка чистого прибутку комерційного об’єкта комунальної власності, яку орендар спрямовує на соціальні цілі, у і-тому періоді;</w:t>
            </w:r>
          </w:p>
          <w:p w:rsidR="00B233DE" w:rsidRPr="0028380E" w:rsidRDefault="00EC2A0E" w:rsidP="0023489B">
            <w:pPr>
              <w:ind w:firstLine="244"/>
              <w:jc w:val="both"/>
              <w:rPr>
                <w:rFonts w:ascii="Times New Roman" w:eastAsia="Times New Roman" w:hAnsi="Times New Roman" w:cs="Times New Roman"/>
                <w:sz w:val="17"/>
                <w:szCs w:val="17"/>
              </w:rPr>
            </w:pPr>
            <m:oMath>
              <m:sSub>
                <m:sSubPr>
                  <m:ctrlPr>
                    <w:rPr>
                      <w:rFonts w:ascii="Cambria Math" w:hAnsi="Cambria Math" w:cs="Times New Roman"/>
                      <w:i/>
                      <w:sz w:val="17"/>
                      <w:szCs w:val="17"/>
                    </w:rPr>
                  </m:ctrlPr>
                </m:sSubPr>
                <m:e>
                  <m:r>
                    <w:rPr>
                      <w:rFonts w:ascii="Cambria Math" w:hAnsi="Cambria Math" w:cs="Times New Roman"/>
                      <w:sz w:val="17"/>
                      <w:szCs w:val="17"/>
                    </w:rPr>
                    <m:t>Вр</m:t>
                  </m:r>
                </m:e>
                <m:sub>
                  <m:r>
                    <w:rPr>
                      <w:rFonts w:ascii="Cambria Math" w:hAnsi="Cambria Math" w:cs="Times New Roman"/>
                      <w:sz w:val="17"/>
                      <w:szCs w:val="17"/>
                    </w:rPr>
                    <m:t>ринк</m:t>
                  </m:r>
                </m:sub>
              </m:sSub>
            </m:oMath>
            <w:r w:rsidR="00B233DE" w:rsidRPr="0028380E">
              <w:rPr>
                <w:rFonts w:ascii="Times New Roman" w:eastAsia="Times New Roman" w:hAnsi="Times New Roman" w:cs="Times New Roman"/>
                <w:sz w:val="17"/>
                <w:szCs w:val="17"/>
              </w:rPr>
              <w:t xml:space="preserve"> – ринкова вартість комерційного об’є</w:t>
            </w:r>
            <w:r w:rsidR="00B233DE">
              <w:rPr>
                <w:rFonts w:ascii="Times New Roman" w:eastAsia="Times New Roman" w:hAnsi="Times New Roman" w:cs="Times New Roman"/>
                <w:sz w:val="17"/>
                <w:szCs w:val="17"/>
              </w:rPr>
              <w:t>кта комунальної власності, грн.</w:t>
            </w:r>
          </w:p>
        </w:tc>
      </w:tr>
    </w:tbl>
    <w:p w:rsidR="00B233DE" w:rsidRDefault="00B233DE" w:rsidP="00B233DE">
      <w:pPr>
        <w:widowControl w:val="0"/>
        <w:autoSpaceDE w:val="0"/>
        <w:autoSpaceDN w:val="0"/>
        <w:adjustRightInd w:val="0"/>
        <w:spacing w:line="360" w:lineRule="auto"/>
        <w:ind w:firstLine="709"/>
        <w:jc w:val="both"/>
        <w:rPr>
          <w:rFonts w:ascii="Times New Roman" w:hAnsi="Times New Roman"/>
          <w:sz w:val="21"/>
          <w:szCs w:val="21"/>
        </w:rPr>
      </w:pP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Таким чином, соціальний ефект функціонування комерційних об’єктів комунальної власності складається з двох частин:</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1. У разі безпосереднього управління територіальною громадою або органами місцевого самоврядування:</w:t>
      </w:r>
    </w:p>
    <w:p w:rsidR="00B233DE" w:rsidRPr="00AE63CB" w:rsidRDefault="00B233DE" w:rsidP="00B233DE">
      <w:pPr>
        <w:pStyle w:val="ad"/>
        <w:widowControl w:val="0"/>
        <w:numPr>
          <w:ilvl w:val="0"/>
          <w:numId w:val="62"/>
        </w:numPr>
        <w:tabs>
          <w:tab w:val="left" w:pos="993"/>
        </w:tabs>
        <w:autoSpaceDE w:val="0"/>
        <w:autoSpaceDN w:val="0"/>
        <w:adjustRightInd w:val="0"/>
        <w:ind w:left="0" w:firstLine="709"/>
        <w:jc w:val="both"/>
        <w:rPr>
          <w:rFonts w:ascii="Times New Roman" w:hAnsi="Times New Roman"/>
          <w:sz w:val="21"/>
          <w:szCs w:val="21"/>
        </w:rPr>
      </w:pPr>
      <w:r w:rsidRPr="00AE63CB">
        <w:rPr>
          <w:rFonts w:ascii="Times New Roman" w:hAnsi="Times New Roman"/>
          <w:sz w:val="21"/>
          <w:szCs w:val="21"/>
        </w:rPr>
        <w:t>частки чистого прибутку, яка надходить до місцевого бюджету і витрачається на соціальні цілі;</w:t>
      </w:r>
    </w:p>
    <w:p w:rsidR="00B233DE" w:rsidRPr="00AE63CB" w:rsidRDefault="00B233DE" w:rsidP="00B233DE">
      <w:pPr>
        <w:pStyle w:val="ad"/>
        <w:widowControl w:val="0"/>
        <w:numPr>
          <w:ilvl w:val="0"/>
          <w:numId w:val="62"/>
        </w:numPr>
        <w:tabs>
          <w:tab w:val="left" w:pos="993"/>
        </w:tabs>
        <w:autoSpaceDE w:val="0"/>
        <w:autoSpaceDN w:val="0"/>
        <w:adjustRightInd w:val="0"/>
        <w:ind w:left="0" w:firstLine="709"/>
        <w:jc w:val="both"/>
        <w:rPr>
          <w:rFonts w:ascii="Times New Roman" w:hAnsi="Times New Roman"/>
          <w:sz w:val="21"/>
          <w:szCs w:val="21"/>
        </w:rPr>
      </w:pPr>
      <w:r w:rsidRPr="00AE63CB">
        <w:rPr>
          <w:rFonts w:ascii="Times New Roman" w:hAnsi="Times New Roman"/>
          <w:sz w:val="21"/>
          <w:szCs w:val="21"/>
        </w:rPr>
        <w:t>частки чистого прибутку, яка залишається у розпорядженні комерційного об’єкта комунальної власності і також спрямовується на соціальні цілі;</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2. У разі здачі в оренду:</w:t>
      </w:r>
    </w:p>
    <w:p w:rsidR="00B233DE" w:rsidRPr="00AE63CB" w:rsidRDefault="00B233DE" w:rsidP="00B233DE">
      <w:pPr>
        <w:pStyle w:val="ad"/>
        <w:widowControl w:val="0"/>
        <w:numPr>
          <w:ilvl w:val="0"/>
          <w:numId w:val="63"/>
        </w:numPr>
        <w:tabs>
          <w:tab w:val="left" w:pos="993"/>
        </w:tabs>
        <w:autoSpaceDE w:val="0"/>
        <w:autoSpaceDN w:val="0"/>
        <w:adjustRightInd w:val="0"/>
        <w:ind w:left="0" w:firstLine="709"/>
        <w:jc w:val="both"/>
        <w:rPr>
          <w:rFonts w:ascii="Times New Roman" w:hAnsi="Times New Roman"/>
          <w:sz w:val="21"/>
          <w:szCs w:val="21"/>
        </w:rPr>
      </w:pPr>
      <w:r w:rsidRPr="00AE63CB">
        <w:rPr>
          <w:rFonts w:ascii="Times New Roman" w:hAnsi="Times New Roman"/>
          <w:sz w:val="21"/>
          <w:szCs w:val="21"/>
        </w:rPr>
        <w:t>частки орендної плати, яка надходить до місцевого бюджету і спрямовується на соціальні цілі;</w:t>
      </w:r>
    </w:p>
    <w:p w:rsidR="00B233DE" w:rsidRPr="00AE63CB" w:rsidRDefault="00B233DE" w:rsidP="00B233DE">
      <w:pPr>
        <w:pStyle w:val="ad"/>
        <w:widowControl w:val="0"/>
        <w:numPr>
          <w:ilvl w:val="0"/>
          <w:numId w:val="63"/>
        </w:numPr>
        <w:tabs>
          <w:tab w:val="left" w:pos="993"/>
        </w:tabs>
        <w:autoSpaceDE w:val="0"/>
        <w:autoSpaceDN w:val="0"/>
        <w:adjustRightInd w:val="0"/>
        <w:ind w:left="0" w:firstLine="709"/>
        <w:jc w:val="both"/>
        <w:rPr>
          <w:rFonts w:ascii="Times New Roman" w:hAnsi="Times New Roman"/>
          <w:sz w:val="21"/>
          <w:szCs w:val="21"/>
        </w:rPr>
      </w:pPr>
      <w:r w:rsidRPr="00AE63CB">
        <w:rPr>
          <w:rFonts w:ascii="Times New Roman" w:hAnsi="Times New Roman"/>
          <w:sz w:val="21"/>
          <w:szCs w:val="21"/>
        </w:rPr>
        <w:t>частки чистого прибутку, яка за ініціативою орендаря може спрямуватися на соціальні цілі.</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 xml:space="preserve">Необхідною умовою, яка повинна виконуватися і контролюватися з боку територіальної громади, є отримання </w:t>
      </w:r>
      <w:r w:rsidRPr="00AE63CB">
        <w:rPr>
          <w:rFonts w:ascii="Times New Roman" w:hAnsi="Times New Roman"/>
          <w:sz w:val="21"/>
          <w:szCs w:val="21"/>
        </w:rPr>
        <w:lastRenderedPageBreak/>
        <w:t>прибутку у результаті функціонування комерційних об’єктів комунальної власності шляхом не завдання соціальних збитків.</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Що стосується іншої частини комунальної власності – безпосередньо соціальних об’єктів, визначення соціальної ефективності може бути можливим лише за індивідуального підходу не лише до окремої сфери, а й до конкретного аспекту діяльності у цій сфері.</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До прикладу, одним із багатьох аспектів реформування системи охорони здоров’я є запровадження системи первинної медико-санітарної допомоги (ПМСД) на засадах сімейної медицини. Всесвітня організація охорони здоров’я (ВООЗ) не надала переконливих доказів, які б вказували, що при побудові національних систем охорони здоров’я необхідно використовувати підходи, які б спирались на ПМСД чи на більш спеціалізовану медичну допомогу. Саме тому територіальні громади, органи місцевої влади та самоврядування повинні самостійно вирішувати, яким чином їм розвивати власну системи охорони здоров’я.</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Прийняття таких відповідальних рішень повинно базуватися на всебічній оцінці вигод і витрат кожного з підходів, одним із методів якої є розрахунок соціальної ефективності кожного з варіантів.</w:t>
      </w:r>
    </w:p>
    <w:p w:rsidR="00B233DE"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Як уже зазначалося вище, розрахунок соціальної ефективності являє собою співвідношення соціального ефекту і витрат на його отримання. Ми вважаємо, що для оцінки таких складних процесів доцільно використовувати показники, які уособлюватимуть соціальний ефект у короткостроковій та довгостроковій перспективі. Соціальним ефектом від запровадження інституту сімейної медицини у довгостроковій перспективі можна вважати зростання тривалості життя та рівнів народжуваності, а також зниження рівнів смертності та інвалідності. У якості короткострокового соціального ефекту ми пропонуємо використовувати такі показники, як зменшення кількості випадків госпіталізації пацієнтів, скорочення кількості звернень до лікарів-спеціалістів та ви</w:t>
      </w:r>
      <w:r>
        <w:rPr>
          <w:rFonts w:ascii="Times New Roman" w:hAnsi="Times New Roman"/>
          <w:sz w:val="21"/>
          <w:szCs w:val="21"/>
        </w:rPr>
        <w:t>кликів швидкої допомоги (табл.</w:t>
      </w:r>
      <w:r w:rsidRPr="00AE63CB">
        <w:rPr>
          <w:rFonts w:ascii="Times New Roman" w:hAnsi="Times New Roman"/>
          <w:sz w:val="21"/>
          <w:szCs w:val="21"/>
        </w:rPr>
        <w:t xml:space="preserve"> </w:t>
      </w:r>
      <w:r>
        <w:rPr>
          <w:rFonts w:ascii="Times New Roman" w:hAnsi="Times New Roman"/>
          <w:sz w:val="21"/>
          <w:szCs w:val="21"/>
        </w:rPr>
        <w:t>6</w:t>
      </w:r>
      <w:r w:rsidRPr="00AE63CB">
        <w:rPr>
          <w:rFonts w:ascii="Times New Roman" w:hAnsi="Times New Roman"/>
          <w:sz w:val="21"/>
          <w:szCs w:val="21"/>
        </w:rPr>
        <w:t>.3).</w:t>
      </w: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r w:rsidRPr="00AE63CB">
        <w:rPr>
          <w:rFonts w:ascii="Times New Roman" w:hAnsi="Times New Roman"/>
          <w:sz w:val="21"/>
          <w:szCs w:val="21"/>
        </w:rPr>
        <w:t>Найбільш проблемним у визначення соціальної ефективності є етап відображення соціального ефекту у вартісному вираженні.</w:t>
      </w: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widowControl w:val="0"/>
        <w:autoSpaceDE w:val="0"/>
        <w:autoSpaceDN w:val="0"/>
        <w:adjustRightInd w:val="0"/>
        <w:jc w:val="right"/>
        <w:rPr>
          <w:rFonts w:ascii="Times New Roman" w:hAnsi="Times New Roman"/>
          <w:sz w:val="21"/>
          <w:szCs w:val="21"/>
        </w:rPr>
      </w:pPr>
      <w:r w:rsidRPr="00AE63CB">
        <w:rPr>
          <w:rFonts w:ascii="Times New Roman" w:hAnsi="Times New Roman"/>
          <w:sz w:val="21"/>
          <w:szCs w:val="21"/>
        </w:rPr>
        <w:lastRenderedPageBreak/>
        <w:t xml:space="preserve">Таблиця </w:t>
      </w:r>
      <w:r>
        <w:rPr>
          <w:rFonts w:ascii="Times New Roman" w:hAnsi="Times New Roman"/>
          <w:sz w:val="21"/>
          <w:szCs w:val="21"/>
        </w:rPr>
        <w:t>6</w:t>
      </w:r>
      <w:r w:rsidRPr="00AE63CB">
        <w:rPr>
          <w:rFonts w:ascii="Times New Roman" w:hAnsi="Times New Roman"/>
          <w:sz w:val="21"/>
          <w:szCs w:val="21"/>
        </w:rPr>
        <w:t>.3</w:t>
      </w:r>
    </w:p>
    <w:p w:rsidR="00B233DE" w:rsidRPr="0028380E" w:rsidRDefault="00B233DE" w:rsidP="00B233DE">
      <w:pPr>
        <w:widowControl w:val="0"/>
        <w:autoSpaceDE w:val="0"/>
        <w:autoSpaceDN w:val="0"/>
        <w:adjustRightInd w:val="0"/>
        <w:jc w:val="center"/>
        <w:rPr>
          <w:rFonts w:ascii="Times New Roman" w:hAnsi="Times New Roman"/>
          <w:b/>
          <w:sz w:val="21"/>
          <w:szCs w:val="21"/>
        </w:rPr>
      </w:pPr>
      <w:r w:rsidRPr="0028380E">
        <w:rPr>
          <w:rFonts w:ascii="Times New Roman" w:hAnsi="Times New Roman"/>
          <w:b/>
          <w:sz w:val="21"/>
          <w:szCs w:val="21"/>
        </w:rPr>
        <w:t>Соціальний ефект від запровадження системи первинної медико-санітарної допомоги на засадах сімейної медицини у регіоні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0"/>
        <w:gridCol w:w="3120"/>
      </w:tblGrid>
      <w:tr w:rsidR="00B233DE" w:rsidRPr="0028380E" w:rsidTr="0023489B">
        <w:trPr>
          <w:jc w:val="center"/>
        </w:trPr>
        <w:tc>
          <w:tcPr>
            <w:tcW w:w="3220" w:type="dxa"/>
            <w:shd w:val="clear" w:color="auto" w:fill="auto"/>
          </w:tcPr>
          <w:p w:rsidR="00B233DE" w:rsidRPr="0028380E" w:rsidRDefault="00B233DE" w:rsidP="0023489B">
            <w:pPr>
              <w:widowControl w:val="0"/>
              <w:autoSpaceDE w:val="0"/>
              <w:autoSpaceDN w:val="0"/>
              <w:adjustRightInd w:val="0"/>
              <w:ind w:firstLine="0"/>
              <w:jc w:val="center"/>
              <w:rPr>
                <w:rFonts w:ascii="Times New Roman" w:eastAsia="Times New Roman" w:hAnsi="Times New Roman"/>
                <w:sz w:val="18"/>
                <w:szCs w:val="18"/>
              </w:rPr>
            </w:pPr>
            <w:r w:rsidRPr="0028380E">
              <w:rPr>
                <w:rFonts w:ascii="Times New Roman" w:eastAsia="Times New Roman" w:hAnsi="Times New Roman"/>
                <w:sz w:val="18"/>
                <w:szCs w:val="18"/>
              </w:rPr>
              <w:t>Соціальний ефект у короткостроковій перспективі</w:t>
            </w:r>
          </w:p>
        </w:tc>
        <w:tc>
          <w:tcPr>
            <w:tcW w:w="3120" w:type="dxa"/>
            <w:shd w:val="clear" w:color="auto" w:fill="auto"/>
          </w:tcPr>
          <w:p w:rsidR="00B233DE" w:rsidRPr="0028380E" w:rsidRDefault="00B233DE" w:rsidP="0023489B">
            <w:pPr>
              <w:widowControl w:val="0"/>
              <w:autoSpaceDE w:val="0"/>
              <w:autoSpaceDN w:val="0"/>
              <w:adjustRightInd w:val="0"/>
              <w:ind w:firstLine="0"/>
              <w:jc w:val="center"/>
              <w:rPr>
                <w:rFonts w:ascii="Times New Roman" w:eastAsia="Times New Roman" w:hAnsi="Times New Roman"/>
                <w:sz w:val="18"/>
                <w:szCs w:val="18"/>
              </w:rPr>
            </w:pPr>
            <w:r w:rsidRPr="0028380E">
              <w:rPr>
                <w:rFonts w:ascii="Times New Roman" w:eastAsia="Times New Roman" w:hAnsi="Times New Roman"/>
                <w:sz w:val="18"/>
                <w:szCs w:val="18"/>
              </w:rPr>
              <w:t>Соціальний ефект у довгостроковій перспективі</w:t>
            </w:r>
          </w:p>
        </w:tc>
      </w:tr>
      <w:tr w:rsidR="00B233DE" w:rsidRPr="0028380E" w:rsidTr="0023489B">
        <w:trPr>
          <w:jc w:val="center"/>
        </w:trPr>
        <w:tc>
          <w:tcPr>
            <w:tcW w:w="3220" w:type="dxa"/>
            <w:shd w:val="clear" w:color="auto" w:fill="auto"/>
          </w:tcPr>
          <w:p w:rsidR="00B233DE" w:rsidRPr="0028380E" w:rsidRDefault="00B233DE" w:rsidP="0023489B">
            <w:pPr>
              <w:widowControl w:val="0"/>
              <w:autoSpaceDE w:val="0"/>
              <w:autoSpaceDN w:val="0"/>
              <w:adjustRightInd w:val="0"/>
              <w:ind w:firstLine="0"/>
              <w:jc w:val="both"/>
              <w:rPr>
                <w:rFonts w:ascii="Times New Roman" w:eastAsia="Times New Roman" w:hAnsi="Times New Roman"/>
                <w:sz w:val="18"/>
                <w:szCs w:val="18"/>
              </w:rPr>
            </w:pPr>
            <w:r w:rsidRPr="0028380E">
              <w:rPr>
                <w:rFonts w:ascii="Times New Roman" w:eastAsia="Times New Roman" w:hAnsi="Times New Roman"/>
                <w:sz w:val="18"/>
                <w:szCs w:val="18"/>
              </w:rPr>
              <w:t>1. Зменшення кількості випадків госпіталі-зації пацієнтів:</w:t>
            </w:r>
          </w:p>
          <w:p w:rsidR="00B233DE" w:rsidRPr="0028380E" w:rsidRDefault="00B233DE" w:rsidP="0023489B">
            <w:pPr>
              <w:widowControl w:val="0"/>
              <w:autoSpaceDE w:val="0"/>
              <w:autoSpaceDN w:val="0"/>
              <w:adjustRightInd w:val="0"/>
              <w:ind w:firstLine="0"/>
              <w:jc w:val="both"/>
              <w:rPr>
                <w:rFonts w:ascii="Times New Roman" w:eastAsia="Times New Roman" w:hAnsi="Times New Roman"/>
                <w:sz w:val="18"/>
                <w:szCs w:val="18"/>
              </w:rPr>
            </w:pPr>
            <w:r w:rsidRPr="0028380E">
              <w:rPr>
                <w:rFonts w:ascii="Times New Roman" w:eastAsia="Times New Roman" w:hAnsi="Times New Roman"/>
                <w:sz w:val="18"/>
                <w:szCs w:val="18"/>
              </w:rPr>
              <w:t>2. Скорочення кількості звернень до лікарів-спеціалістів:</w:t>
            </w:r>
          </w:p>
          <w:p w:rsidR="00B233DE" w:rsidRPr="0028380E" w:rsidRDefault="00B233DE" w:rsidP="0023489B">
            <w:pPr>
              <w:widowControl w:val="0"/>
              <w:autoSpaceDE w:val="0"/>
              <w:autoSpaceDN w:val="0"/>
              <w:adjustRightInd w:val="0"/>
              <w:ind w:firstLine="0"/>
              <w:jc w:val="both"/>
              <w:rPr>
                <w:rFonts w:ascii="Times New Roman" w:eastAsia="Times New Roman" w:hAnsi="Times New Roman"/>
                <w:sz w:val="18"/>
                <w:szCs w:val="18"/>
              </w:rPr>
            </w:pPr>
            <w:r w:rsidRPr="0028380E">
              <w:rPr>
                <w:rFonts w:ascii="Times New Roman" w:eastAsia="Times New Roman" w:hAnsi="Times New Roman"/>
                <w:sz w:val="18"/>
                <w:szCs w:val="18"/>
              </w:rPr>
              <w:t>2.1. Вторинного рівня.</w:t>
            </w:r>
          </w:p>
          <w:p w:rsidR="00B233DE" w:rsidRPr="0028380E" w:rsidRDefault="00B233DE" w:rsidP="0023489B">
            <w:pPr>
              <w:widowControl w:val="0"/>
              <w:autoSpaceDE w:val="0"/>
              <w:autoSpaceDN w:val="0"/>
              <w:adjustRightInd w:val="0"/>
              <w:ind w:firstLine="0"/>
              <w:jc w:val="both"/>
              <w:rPr>
                <w:rFonts w:ascii="Times New Roman" w:eastAsia="Times New Roman" w:hAnsi="Times New Roman"/>
                <w:sz w:val="18"/>
                <w:szCs w:val="18"/>
              </w:rPr>
            </w:pPr>
            <w:r w:rsidRPr="0028380E">
              <w:rPr>
                <w:rFonts w:ascii="Times New Roman" w:eastAsia="Times New Roman" w:hAnsi="Times New Roman"/>
                <w:sz w:val="18"/>
                <w:szCs w:val="18"/>
              </w:rPr>
              <w:t>2.2. Третинного рівня.</w:t>
            </w:r>
          </w:p>
          <w:p w:rsidR="00B233DE" w:rsidRPr="0028380E" w:rsidRDefault="00B233DE" w:rsidP="0023489B">
            <w:pPr>
              <w:widowControl w:val="0"/>
              <w:autoSpaceDE w:val="0"/>
              <w:autoSpaceDN w:val="0"/>
              <w:adjustRightInd w:val="0"/>
              <w:ind w:firstLine="0"/>
              <w:jc w:val="both"/>
              <w:rPr>
                <w:rFonts w:ascii="Times New Roman" w:eastAsia="Times New Roman" w:hAnsi="Times New Roman"/>
                <w:sz w:val="18"/>
                <w:szCs w:val="18"/>
              </w:rPr>
            </w:pPr>
            <w:r w:rsidRPr="0028380E">
              <w:rPr>
                <w:rFonts w:ascii="Times New Roman" w:eastAsia="Times New Roman" w:hAnsi="Times New Roman"/>
                <w:sz w:val="18"/>
                <w:szCs w:val="18"/>
              </w:rPr>
              <w:t>3. Зниження кількості викликів «швидкої допомоги».</w:t>
            </w:r>
          </w:p>
        </w:tc>
        <w:tc>
          <w:tcPr>
            <w:tcW w:w="3120" w:type="dxa"/>
            <w:shd w:val="clear" w:color="auto" w:fill="auto"/>
          </w:tcPr>
          <w:p w:rsidR="00B233DE" w:rsidRPr="0028380E" w:rsidRDefault="00B233DE" w:rsidP="0023489B">
            <w:pPr>
              <w:widowControl w:val="0"/>
              <w:autoSpaceDE w:val="0"/>
              <w:autoSpaceDN w:val="0"/>
              <w:adjustRightInd w:val="0"/>
              <w:ind w:firstLine="0"/>
              <w:jc w:val="both"/>
              <w:rPr>
                <w:rFonts w:ascii="Times New Roman" w:eastAsia="Times New Roman" w:hAnsi="Times New Roman"/>
                <w:sz w:val="18"/>
                <w:szCs w:val="18"/>
              </w:rPr>
            </w:pPr>
            <w:r w:rsidRPr="0028380E">
              <w:rPr>
                <w:rFonts w:ascii="Times New Roman" w:eastAsia="Times New Roman" w:hAnsi="Times New Roman"/>
                <w:sz w:val="18"/>
                <w:szCs w:val="18"/>
              </w:rPr>
              <w:t>1. Зростання тривалості життя населення регіону.</w:t>
            </w:r>
          </w:p>
          <w:p w:rsidR="00B233DE" w:rsidRPr="0028380E" w:rsidRDefault="00B233DE" w:rsidP="0023489B">
            <w:pPr>
              <w:widowControl w:val="0"/>
              <w:autoSpaceDE w:val="0"/>
              <w:autoSpaceDN w:val="0"/>
              <w:adjustRightInd w:val="0"/>
              <w:ind w:firstLine="0"/>
              <w:jc w:val="both"/>
              <w:rPr>
                <w:rFonts w:ascii="Times New Roman" w:eastAsia="Times New Roman" w:hAnsi="Times New Roman"/>
                <w:sz w:val="18"/>
                <w:szCs w:val="18"/>
              </w:rPr>
            </w:pPr>
            <w:r w:rsidRPr="0028380E">
              <w:rPr>
                <w:rFonts w:ascii="Times New Roman" w:eastAsia="Times New Roman" w:hAnsi="Times New Roman"/>
                <w:sz w:val="18"/>
                <w:szCs w:val="18"/>
              </w:rPr>
              <w:t>2. Підвищення рівнів народжуваності у регіоні.</w:t>
            </w:r>
          </w:p>
          <w:p w:rsidR="00B233DE" w:rsidRPr="0028380E" w:rsidRDefault="00B233DE" w:rsidP="0023489B">
            <w:pPr>
              <w:widowControl w:val="0"/>
              <w:autoSpaceDE w:val="0"/>
              <w:autoSpaceDN w:val="0"/>
              <w:adjustRightInd w:val="0"/>
              <w:ind w:firstLine="0"/>
              <w:jc w:val="both"/>
              <w:rPr>
                <w:rFonts w:ascii="Times New Roman" w:eastAsia="Times New Roman" w:hAnsi="Times New Roman"/>
                <w:sz w:val="18"/>
                <w:szCs w:val="18"/>
              </w:rPr>
            </w:pPr>
            <w:r w:rsidRPr="0028380E">
              <w:rPr>
                <w:rFonts w:ascii="Times New Roman" w:eastAsia="Times New Roman" w:hAnsi="Times New Roman"/>
                <w:sz w:val="18"/>
                <w:szCs w:val="18"/>
              </w:rPr>
              <w:t>3. Скорочення рівнів смертності населен-ня регіону.</w:t>
            </w:r>
          </w:p>
          <w:p w:rsidR="00B233DE" w:rsidRPr="0028380E" w:rsidRDefault="00B233DE" w:rsidP="0023489B">
            <w:pPr>
              <w:widowControl w:val="0"/>
              <w:autoSpaceDE w:val="0"/>
              <w:autoSpaceDN w:val="0"/>
              <w:adjustRightInd w:val="0"/>
              <w:ind w:firstLine="0"/>
              <w:jc w:val="both"/>
              <w:rPr>
                <w:rFonts w:ascii="Times New Roman" w:eastAsia="Times New Roman" w:hAnsi="Times New Roman"/>
                <w:sz w:val="18"/>
                <w:szCs w:val="18"/>
              </w:rPr>
            </w:pPr>
            <w:r w:rsidRPr="0028380E">
              <w:rPr>
                <w:rFonts w:ascii="Times New Roman" w:eastAsia="Times New Roman" w:hAnsi="Times New Roman"/>
                <w:sz w:val="18"/>
                <w:szCs w:val="18"/>
              </w:rPr>
              <w:t>4. Зменшення рівнів інвалідності населен-ня регіону.</w:t>
            </w:r>
          </w:p>
        </w:tc>
      </w:tr>
    </w:tbl>
    <w:p w:rsidR="00B233DE" w:rsidRPr="00AE63CB" w:rsidRDefault="00B233DE" w:rsidP="00B233DE">
      <w:pPr>
        <w:widowControl w:val="0"/>
        <w:autoSpaceDE w:val="0"/>
        <w:autoSpaceDN w:val="0"/>
        <w:adjustRightInd w:val="0"/>
        <w:ind w:firstLine="709"/>
        <w:rPr>
          <w:rFonts w:ascii="Times New Roman" w:hAnsi="Times New Roman"/>
          <w:sz w:val="21"/>
          <w:szCs w:val="21"/>
        </w:rPr>
      </w:pP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Насамперед це стосується показників, які відображають зміни у довготривалій перспективі, що, зокрема, пов’язано із значно більшою кількістю факторів, які впливають на даний соціальний ефект. У короткостроковому періоді такі розрахунки є більш реальними для проведення на основі використання методу, який у якості вартісного вираження ефекту від впровадження заходу реформування сфери охорони здоров’я дозволяє розуміти економію відповідних витрат. У випадку запровадження інституту сімейної медицини це буде показник економії коштів за рахунок більш ефективної роботи сімейних лікарів у порівнянні з дільничними терапевтами. Додатковою умовою такої інтерпретації показника економії коштів є їх подальше спрямування на соціальні цілі.</w:t>
      </w:r>
    </w:p>
    <w:p w:rsidR="00B233DE" w:rsidRPr="00AE63CB" w:rsidRDefault="00B233DE" w:rsidP="00B233DE">
      <w:pPr>
        <w:widowControl w:val="0"/>
        <w:autoSpaceDE w:val="0"/>
        <w:autoSpaceDN w:val="0"/>
        <w:adjustRightInd w:val="0"/>
        <w:ind w:firstLine="709"/>
        <w:jc w:val="both"/>
        <w:rPr>
          <w:rFonts w:ascii="Times New Roman" w:hAnsi="Times New Roman"/>
          <w:sz w:val="21"/>
          <w:szCs w:val="21"/>
        </w:rPr>
      </w:pPr>
      <w:r w:rsidRPr="00AE63CB">
        <w:rPr>
          <w:rFonts w:ascii="Times New Roman" w:hAnsi="Times New Roman"/>
          <w:sz w:val="21"/>
          <w:szCs w:val="21"/>
        </w:rPr>
        <w:t>Використовуючи такий підхід ми пропонуємо розраховувати соціальну ефективність запровадження системи первинної медико-санітарної допомоги на засадах сімейної медицини у регіоні на основі співвідношення загальної від усіх названих результатів економії до загальних витрат на охорону здоров’я у регіоні за певний період. Таким чином, результуючий показник буде складатися з соціальної ефективності запровадження системи первинної медико-санітарної допомоги на засадах сімейної медицини у регіоні за рахунок зменшення кількості випадків госпіталізації, зменшення кількості випадків викликів швидкої медичної допомоги та кількості відвідувань лікарів-спеціалістів відповідно вторинного і третинного рівнів:</w:t>
      </w:r>
    </w:p>
    <w:p w:rsidR="00B233DE" w:rsidRPr="00AE63CB" w:rsidRDefault="00B233DE" w:rsidP="00B233DE">
      <w:pPr>
        <w:widowControl w:val="0"/>
        <w:autoSpaceDE w:val="0"/>
        <w:autoSpaceDN w:val="0"/>
        <w:adjustRightInd w:val="0"/>
        <w:jc w:val="center"/>
        <w:rPr>
          <w:rFonts w:ascii="Times New Roman" w:hAnsi="Times New Roman"/>
          <w:sz w:val="21"/>
          <w:szCs w:val="21"/>
        </w:rPr>
      </w:pPr>
    </w:p>
    <w:p w:rsidR="00B233DE" w:rsidRPr="0028380E" w:rsidRDefault="00B233DE" w:rsidP="00B233DE">
      <w:pPr>
        <w:widowControl w:val="0"/>
        <w:tabs>
          <w:tab w:val="left" w:pos="8789"/>
        </w:tabs>
        <w:autoSpaceDE w:val="0"/>
        <w:autoSpaceDN w:val="0"/>
        <w:adjustRightInd w:val="0"/>
        <w:ind w:firstLine="709"/>
        <w:jc w:val="center"/>
        <w:rPr>
          <w:rFonts w:ascii="Times New Roman" w:hAnsi="Times New Roman" w:cs="Times New Roman"/>
          <w:sz w:val="21"/>
          <w:szCs w:val="21"/>
        </w:rPr>
      </w:pPr>
      <w:r>
        <w:rPr>
          <w:rFonts w:ascii="Times New Roman" w:hAnsi="Times New Roman"/>
          <w:sz w:val="21"/>
          <w:szCs w:val="21"/>
        </w:rPr>
        <w:t xml:space="preserve">                  </w:t>
      </w:r>
      <m:oMath>
        <m:sSubSup>
          <m:sSubSupPr>
            <m:ctrlPr>
              <w:rPr>
                <w:rFonts w:ascii="Cambria Math" w:hAnsi="Cambria Math" w:cs="Times New Roman"/>
                <w:i/>
                <w:sz w:val="21"/>
                <w:szCs w:val="21"/>
              </w:rPr>
            </m:ctrlPr>
          </m:sSubSupPr>
          <m:e>
            <m:r>
              <w:rPr>
                <w:rFonts w:ascii="Cambria Math" w:hAnsi="Cambria Math" w:cs="Times New Roman"/>
                <w:sz w:val="21"/>
                <w:szCs w:val="21"/>
              </w:rPr>
              <m:t>Е</m:t>
            </m:r>
          </m:e>
          <m:sub>
            <m:r>
              <w:rPr>
                <w:rFonts w:ascii="Cambria Math" w:hAnsi="Cambria Math" w:cs="Times New Roman"/>
                <w:sz w:val="21"/>
                <w:szCs w:val="21"/>
              </w:rPr>
              <m:t>соц</m:t>
            </m:r>
          </m:sub>
          <m:sup>
            <m:r>
              <w:rPr>
                <w:rFonts w:ascii="Cambria Math" w:hAnsi="Cambria Math" w:cs="Times New Roman"/>
                <w:sz w:val="21"/>
                <w:szCs w:val="21"/>
              </w:rPr>
              <m:t>ПМСД/СМ</m:t>
            </m:r>
          </m:sup>
        </m:sSubSup>
        <m:r>
          <w:rPr>
            <w:rFonts w:ascii="Cambria Math" w:hAnsi="Cambria Math" w:cs="Times New Roman"/>
            <w:sz w:val="21"/>
            <w:szCs w:val="21"/>
          </w:rPr>
          <m:t>=</m:t>
        </m:r>
        <m:sSubSup>
          <m:sSubSupPr>
            <m:ctrlPr>
              <w:rPr>
                <w:rFonts w:ascii="Cambria Math" w:hAnsi="Cambria Math" w:cs="Times New Roman"/>
                <w:i/>
                <w:sz w:val="21"/>
                <w:szCs w:val="21"/>
              </w:rPr>
            </m:ctrlPr>
          </m:sSubSupPr>
          <m:e>
            <m:r>
              <w:rPr>
                <w:rFonts w:ascii="Cambria Math" w:hAnsi="Cambria Math" w:cs="Times New Roman"/>
                <w:sz w:val="21"/>
                <w:szCs w:val="21"/>
              </w:rPr>
              <m:t>Е</m:t>
            </m:r>
          </m:e>
          <m:sub>
            <m:r>
              <w:rPr>
                <w:rFonts w:ascii="Cambria Math" w:hAnsi="Cambria Math" w:cs="Times New Roman"/>
                <w:sz w:val="21"/>
                <w:szCs w:val="21"/>
              </w:rPr>
              <m:t>соц</m:t>
            </m:r>
          </m:sub>
          <m:sup>
            <m:r>
              <w:rPr>
                <w:rFonts w:ascii="Cambria Math" w:hAnsi="Cambria Math" w:cs="Times New Roman"/>
                <w:sz w:val="21"/>
                <w:szCs w:val="21"/>
              </w:rPr>
              <m:t>г</m:t>
            </m:r>
          </m:sup>
        </m:sSubSup>
        <m:r>
          <w:rPr>
            <w:rFonts w:ascii="Cambria Math" w:hAnsi="Cambria Math" w:cs="Times New Roman"/>
            <w:sz w:val="21"/>
            <w:szCs w:val="21"/>
          </w:rPr>
          <m:t>+</m:t>
        </m:r>
        <m:sSubSup>
          <m:sSubSupPr>
            <m:ctrlPr>
              <w:rPr>
                <w:rFonts w:ascii="Cambria Math" w:hAnsi="Cambria Math" w:cs="Times New Roman"/>
                <w:i/>
                <w:sz w:val="21"/>
                <w:szCs w:val="21"/>
              </w:rPr>
            </m:ctrlPr>
          </m:sSubSupPr>
          <m:e>
            <m:r>
              <w:rPr>
                <w:rFonts w:ascii="Cambria Math" w:hAnsi="Cambria Math" w:cs="Times New Roman"/>
                <w:sz w:val="21"/>
                <w:szCs w:val="21"/>
              </w:rPr>
              <m:t>Е</m:t>
            </m:r>
          </m:e>
          <m:sub>
            <m:r>
              <w:rPr>
                <w:rFonts w:ascii="Cambria Math" w:hAnsi="Cambria Math" w:cs="Times New Roman"/>
                <w:sz w:val="21"/>
                <w:szCs w:val="21"/>
              </w:rPr>
              <m:t>соц</m:t>
            </m:r>
          </m:sub>
          <m:sup>
            <m:r>
              <w:rPr>
                <w:rFonts w:ascii="Cambria Math" w:hAnsi="Cambria Math" w:cs="Times New Roman"/>
                <w:sz w:val="21"/>
                <w:szCs w:val="21"/>
              </w:rPr>
              <m:t>ШД</m:t>
            </m:r>
          </m:sup>
        </m:sSubSup>
        <m:r>
          <w:rPr>
            <w:rFonts w:ascii="Cambria Math" w:hAnsi="Cambria Math" w:cs="Times New Roman"/>
            <w:sz w:val="21"/>
            <w:szCs w:val="21"/>
          </w:rPr>
          <m:t>+</m:t>
        </m:r>
        <m:sSubSup>
          <m:sSubSupPr>
            <m:ctrlPr>
              <w:rPr>
                <w:rFonts w:ascii="Cambria Math" w:hAnsi="Cambria Math" w:cs="Times New Roman"/>
                <w:i/>
                <w:sz w:val="21"/>
                <w:szCs w:val="21"/>
              </w:rPr>
            </m:ctrlPr>
          </m:sSubSupPr>
          <m:e>
            <m:r>
              <w:rPr>
                <w:rFonts w:ascii="Cambria Math" w:hAnsi="Cambria Math" w:cs="Times New Roman"/>
                <w:sz w:val="21"/>
                <w:szCs w:val="21"/>
              </w:rPr>
              <m:t>Е</m:t>
            </m:r>
          </m:e>
          <m:sub>
            <m:r>
              <w:rPr>
                <w:rFonts w:ascii="Cambria Math" w:hAnsi="Cambria Math" w:cs="Times New Roman"/>
                <w:sz w:val="21"/>
                <w:szCs w:val="21"/>
              </w:rPr>
              <m:t>соц</m:t>
            </m:r>
          </m:sub>
          <m:sup>
            <m:r>
              <w:rPr>
                <w:rFonts w:ascii="Cambria Math" w:hAnsi="Cambria Math" w:cs="Times New Roman"/>
                <w:sz w:val="21"/>
                <w:szCs w:val="21"/>
              </w:rPr>
              <m:t>ВС</m:t>
            </m:r>
          </m:sup>
        </m:sSubSup>
        <m:r>
          <w:rPr>
            <w:rFonts w:ascii="Cambria Math" w:hAnsi="Cambria Math" w:cs="Times New Roman"/>
            <w:sz w:val="21"/>
            <w:szCs w:val="21"/>
          </w:rPr>
          <m:t xml:space="preserve">       </m:t>
        </m:r>
      </m:oMath>
      <w:r>
        <w:rPr>
          <w:rFonts w:ascii="Times New Roman" w:eastAsia="Times New Roman" w:hAnsi="Times New Roman" w:cs="Times New Roman"/>
          <w:sz w:val="21"/>
          <w:szCs w:val="21"/>
        </w:rPr>
        <w:t xml:space="preserve">                   </w:t>
      </w:r>
      <w:r w:rsidRPr="0028380E">
        <w:rPr>
          <w:rFonts w:ascii="Times New Roman" w:eastAsia="Times New Roman" w:hAnsi="Times New Roman" w:cs="Times New Roman"/>
          <w:sz w:val="21"/>
          <w:szCs w:val="21"/>
        </w:rPr>
        <w:t>(</w:t>
      </w:r>
      <w:r>
        <w:rPr>
          <w:rFonts w:ascii="Times New Roman" w:eastAsia="Times New Roman" w:hAnsi="Times New Roman" w:cs="Times New Roman"/>
          <w:sz w:val="21"/>
          <w:szCs w:val="21"/>
        </w:rPr>
        <w:t>6</w:t>
      </w:r>
      <w:r w:rsidRPr="0028380E">
        <w:rPr>
          <w:rFonts w:ascii="Times New Roman" w:eastAsia="Times New Roman" w:hAnsi="Times New Roman" w:cs="Times New Roman"/>
          <w:sz w:val="21"/>
          <w:szCs w:val="21"/>
        </w:rPr>
        <w:t>.6)</w:t>
      </w:r>
    </w:p>
    <w:p w:rsidR="00B233DE" w:rsidRPr="0028380E" w:rsidRDefault="00B233DE" w:rsidP="00B233DE">
      <w:pPr>
        <w:widowControl w:val="0"/>
        <w:autoSpaceDE w:val="0"/>
        <w:autoSpaceDN w:val="0"/>
        <w:adjustRightInd w:val="0"/>
        <w:ind w:firstLine="709"/>
        <w:jc w:val="both"/>
        <w:rPr>
          <w:rFonts w:ascii="Times New Roman" w:hAnsi="Times New Roman" w:cs="Times New Roman"/>
          <w:sz w:val="21"/>
          <w:szCs w:val="21"/>
        </w:rPr>
      </w:pPr>
    </w:p>
    <w:p w:rsidR="00B233DE" w:rsidRPr="0028380E" w:rsidRDefault="00B233DE" w:rsidP="00B233DE">
      <w:pPr>
        <w:widowControl w:val="0"/>
        <w:autoSpaceDE w:val="0"/>
        <w:autoSpaceDN w:val="0"/>
        <w:adjustRightInd w:val="0"/>
        <w:ind w:firstLine="709"/>
        <w:jc w:val="both"/>
        <w:rPr>
          <w:rFonts w:ascii="Times New Roman" w:hAnsi="Times New Roman" w:cs="Times New Roman"/>
          <w:sz w:val="21"/>
          <w:szCs w:val="21"/>
        </w:rPr>
      </w:pPr>
      <w:r w:rsidRPr="0028380E">
        <w:rPr>
          <w:rFonts w:ascii="Times New Roman" w:hAnsi="Times New Roman" w:cs="Times New Roman"/>
          <w:sz w:val="21"/>
          <w:szCs w:val="21"/>
        </w:rPr>
        <w:t xml:space="preserve">де </w:t>
      </w:r>
      <m:oMath>
        <m:sSubSup>
          <m:sSubSupPr>
            <m:ctrlPr>
              <w:rPr>
                <w:rFonts w:ascii="Cambria Math" w:hAnsi="Cambria Math" w:cs="Times New Roman"/>
                <w:i/>
                <w:sz w:val="21"/>
                <w:szCs w:val="21"/>
              </w:rPr>
            </m:ctrlPr>
          </m:sSubSupPr>
          <m:e>
            <m:r>
              <w:rPr>
                <w:rFonts w:ascii="Cambria Math" w:hAnsi="Cambria Math" w:cs="Times New Roman"/>
                <w:sz w:val="21"/>
                <w:szCs w:val="21"/>
              </w:rPr>
              <m:t>Е</m:t>
            </m:r>
          </m:e>
          <m:sub>
            <m:r>
              <w:rPr>
                <w:rFonts w:ascii="Cambria Math" w:hAnsi="Cambria Math" w:cs="Times New Roman"/>
                <w:sz w:val="21"/>
                <w:szCs w:val="21"/>
              </w:rPr>
              <m:t>соц</m:t>
            </m:r>
          </m:sub>
          <m:sup>
            <m:r>
              <w:rPr>
                <w:rFonts w:ascii="Cambria Math" w:hAnsi="Cambria Math" w:cs="Times New Roman"/>
                <w:sz w:val="21"/>
                <w:szCs w:val="21"/>
              </w:rPr>
              <m:t>ПМСД/СМ</m:t>
            </m:r>
          </m:sup>
        </m:sSubSup>
      </m:oMath>
      <w:r w:rsidRPr="0028380E">
        <w:rPr>
          <w:rFonts w:ascii="Times New Roman" w:eastAsia="Times New Roman" w:hAnsi="Times New Roman" w:cs="Times New Roman"/>
          <w:sz w:val="21"/>
          <w:szCs w:val="21"/>
        </w:rPr>
        <w:t xml:space="preserve"> – соціальна ефективність </w:t>
      </w:r>
      <w:r w:rsidRPr="0028380E">
        <w:rPr>
          <w:rFonts w:ascii="Times New Roman" w:hAnsi="Times New Roman" w:cs="Times New Roman"/>
          <w:sz w:val="21"/>
          <w:szCs w:val="21"/>
        </w:rPr>
        <w:t>запровадження системи первинної медико-санітарної допомоги на засадах сімейної медицини у регіоні;</w:t>
      </w:r>
    </w:p>
    <w:p w:rsidR="00B233DE" w:rsidRPr="0028380E" w:rsidRDefault="00EC2A0E" w:rsidP="00B233DE">
      <w:pPr>
        <w:widowControl w:val="0"/>
        <w:autoSpaceDE w:val="0"/>
        <w:autoSpaceDN w:val="0"/>
        <w:adjustRightInd w:val="0"/>
        <w:ind w:firstLine="709"/>
        <w:jc w:val="both"/>
        <w:rPr>
          <w:rFonts w:ascii="Times New Roman" w:hAnsi="Times New Roman" w:cs="Times New Roman"/>
          <w:sz w:val="21"/>
          <w:szCs w:val="21"/>
        </w:rPr>
      </w:pPr>
      <m:oMath>
        <m:sSubSup>
          <m:sSubSupPr>
            <m:ctrlPr>
              <w:rPr>
                <w:rFonts w:ascii="Cambria Math" w:hAnsi="Cambria Math" w:cs="Times New Roman"/>
                <w:i/>
                <w:sz w:val="21"/>
                <w:szCs w:val="21"/>
              </w:rPr>
            </m:ctrlPr>
          </m:sSubSupPr>
          <m:e>
            <m:r>
              <w:rPr>
                <w:rFonts w:ascii="Cambria Math" w:hAnsi="Cambria Math" w:cs="Times New Roman"/>
                <w:sz w:val="21"/>
                <w:szCs w:val="21"/>
              </w:rPr>
              <m:t>Е</m:t>
            </m:r>
          </m:e>
          <m:sub>
            <m:r>
              <w:rPr>
                <w:rFonts w:ascii="Cambria Math" w:hAnsi="Cambria Math" w:cs="Times New Roman"/>
                <w:sz w:val="21"/>
                <w:szCs w:val="21"/>
              </w:rPr>
              <m:t>соц</m:t>
            </m:r>
          </m:sub>
          <m:sup>
            <m:r>
              <w:rPr>
                <w:rFonts w:ascii="Cambria Math" w:hAnsi="Cambria Math" w:cs="Times New Roman"/>
                <w:sz w:val="21"/>
                <w:szCs w:val="21"/>
              </w:rPr>
              <m:t>г</m:t>
            </m:r>
          </m:sup>
        </m:sSubSup>
      </m:oMath>
      <w:r w:rsidR="00B233DE" w:rsidRPr="0028380E">
        <w:rPr>
          <w:rFonts w:ascii="Times New Roman" w:eastAsia="Times New Roman" w:hAnsi="Times New Roman" w:cs="Times New Roman"/>
          <w:sz w:val="21"/>
          <w:szCs w:val="21"/>
        </w:rPr>
        <w:t xml:space="preserve"> – соціальна ефективність </w:t>
      </w:r>
      <w:r w:rsidR="00B233DE" w:rsidRPr="0028380E">
        <w:rPr>
          <w:rFonts w:ascii="Times New Roman" w:hAnsi="Times New Roman" w:cs="Times New Roman"/>
          <w:sz w:val="21"/>
          <w:szCs w:val="21"/>
        </w:rPr>
        <w:t>запровадження системи первинної медико-санітарної допомоги на засадах сімейної медицини у регіоні за рахунок зменшення кількості випадків госпіталізації;</w:t>
      </w:r>
    </w:p>
    <w:p w:rsidR="00B233DE" w:rsidRPr="0028380E" w:rsidRDefault="00EC2A0E" w:rsidP="00722AF1">
      <w:pPr>
        <w:widowControl w:val="0"/>
        <w:autoSpaceDE w:val="0"/>
        <w:autoSpaceDN w:val="0"/>
        <w:adjustRightInd w:val="0"/>
        <w:spacing w:line="228" w:lineRule="auto"/>
        <w:ind w:firstLine="709"/>
        <w:jc w:val="both"/>
        <w:rPr>
          <w:rFonts w:ascii="Times New Roman" w:hAnsi="Times New Roman" w:cs="Times New Roman"/>
          <w:sz w:val="21"/>
          <w:szCs w:val="21"/>
        </w:rPr>
      </w:pPr>
      <m:oMath>
        <m:sSubSup>
          <m:sSubSupPr>
            <m:ctrlPr>
              <w:rPr>
                <w:rFonts w:ascii="Cambria Math" w:hAnsi="Cambria Math" w:cs="Times New Roman"/>
                <w:sz w:val="21"/>
                <w:szCs w:val="21"/>
              </w:rPr>
            </m:ctrlPr>
          </m:sSubSupPr>
          <m:e>
            <m:r>
              <m:rPr>
                <m:sty m:val="p"/>
              </m:rPr>
              <w:rPr>
                <w:rFonts w:ascii="Cambria Math" w:hAnsi="Cambria Math" w:cs="Times New Roman"/>
                <w:sz w:val="21"/>
                <w:szCs w:val="21"/>
              </w:rPr>
              <m:t>Е</m:t>
            </m:r>
          </m:e>
          <m:sub>
            <m:r>
              <m:rPr>
                <m:sty m:val="p"/>
              </m:rPr>
              <w:rPr>
                <w:rFonts w:ascii="Cambria Math" w:hAnsi="Cambria Math" w:cs="Times New Roman"/>
                <w:sz w:val="21"/>
                <w:szCs w:val="21"/>
              </w:rPr>
              <m:t>соц</m:t>
            </m:r>
          </m:sub>
          <m:sup>
            <m:r>
              <m:rPr>
                <m:sty m:val="p"/>
              </m:rPr>
              <w:rPr>
                <w:rFonts w:ascii="Cambria Math" w:hAnsi="Cambria Math" w:cs="Times New Roman"/>
                <w:sz w:val="21"/>
                <w:szCs w:val="21"/>
              </w:rPr>
              <m:t>ШД</m:t>
            </m:r>
          </m:sup>
        </m:sSubSup>
      </m:oMath>
      <w:r w:rsidR="00B233DE" w:rsidRPr="0028380E">
        <w:rPr>
          <w:rFonts w:ascii="Times New Roman" w:eastAsia="Times New Roman" w:hAnsi="Times New Roman" w:cs="Times New Roman"/>
          <w:sz w:val="21"/>
          <w:szCs w:val="21"/>
        </w:rPr>
        <w:t xml:space="preserve"> – соціальна ефективність </w:t>
      </w:r>
      <w:r w:rsidR="00B233DE" w:rsidRPr="0028380E">
        <w:rPr>
          <w:rFonts w:ascii="Times New Roman" w:hAnsi="Times New Roman" w:cs="Times New Roman"/>
          <w:sz w:val="21"/>
          <w:szCs w:val="21"/>
        </w:rPr>
        <w:t>запровадження системи первинної медико-санітарної допомоги на засадах сімейної медицини у регіоні за рахунок зменшення кількості випадків викликів швидкої медичної допомоги;</w:t>
      </w:r>
    </w:p>
    <w:p w:rsidR="00B233DE" w:rsidRPr="0028380E" w:rsidRDefault="00EC2A0E" w:rsidP="00B233DE">
      <w:pPr>
        <w:widowControl w:val="0"/>
        <w:autoSpaceDE w:val="0"/>
        <w:autoSpaceDN w:val="0"/>
        <w:adjustRightInd w:val="0"/>
        <w:ind w:firstLine="709"/>
        <w:jc w:val="both"/>
        <w:rPr>
          <w:rFonts w:ascii="Times New Roman" w:hAnsi="Times New Roman" w:cs="Times New Roman"/>
          <w:sz w:val="21"/>
          <w:szCs w:val="21"/>
        </w:rPr>
      </w:pPr>
      <m:oMath>
        <m:sSubSup>
          <m:sSubSupPr>
            <m:ctrlPr>
              <w:rPr>
                <w:rFonts w:ascii="Cambria Math" w:hAnsi="Cambria Math" w:cs="Times New Roman"/>
                <w:i/>
                <w:sz w:val="21"/>
                <w:szCs w:val="21"/>
              </w:rPr>
            </m:ctrlPr>
          </m:sSubSupPr>
          <m:e>
            <m:r>
              <w:rPr>
                <w:rFonts w:ascii="Cambria Math" w:hAnsi="Cambria Math" w:cs="Times New Roman"/>
                <w:sz w:val="21"/>
                <w:szCs w:val="21"/>
              </w:rPr>
              <m:t>Е</m:t>
            </m:r>
          </m:e>
          <m:sub>
            <m:r>
              <w:rPr>
                <w:rFonts w:ascii="Cambria Math" w:hAnsi="Cambria Math" w:cs="Times New Roman"/>
                <w:sz w:val="21"/>
                <w:szCs w:val="21"/>
              </w:rPr>
              <m:t>соц</m:t>
            </m:r>
          </m:sub>
          <m:sup>
            <m:r>
              <w:rPr>
                <w:rFonts w:ascii="Cambria Math" w:hAnsi="Cambria Math" w:cs="Times New Roman"/>
                <w:sz w:val="21"/>
                <w:szCs w:val="21"/>
              </w:rPr>
              <m:t>ВС</m:t>
            </m:r>
          </m:sup>
        </m:sSubSup>
      </m:oMath>
      <w:r w:rsidR="00B233DE" w:rsidRPr="0028380E">
        <w:rPr>
          <w:rFonts w:ascii="Times New Roman" w:eastAsia="Times New Roman" w:hAnsi="Times New Roman" w:cs="Times New Roman"/>
          <w:sz w:val="21"/>
          <w:szCs w:val="21"/>
        </w:rPr>
        <w:t xml:space="preserve"> – соціальна ефективність </w:t>
      </w:r>
      <w:r w:rsidR="00B233DE" w:rsidRPr="0028380E">
        <w:rPr>
          <w:rFonts w:ascii="Times New Roman" w:hAnsi="Times New Roman" w:cs="Times New Roman"/>
          <w:sz w:val="21"/>
          <w:szCs w:val="21"/>
        </w:rPr>
        <w:t>запровадження системи первинної медико-санітарної допомоги на засадах сімейної медицини у регіоні за рахунок зменшення кількості відвідувань лікарів-спеціалістів відповідно вторинного і третинного рівнів.</w:t>
      </w:r>
    </w:p>
    <w:p w:rsidR="00B233DE" w:rsidRPr="0028380E" w:rsidRDefault="00B233DE" w:rsidP="00B233DE">
      <w:pPr>
        <w:widowControl w:val="0"/>
        <w:autoSpaceDE w:val="0"/>
        <w:autoSpaceDN w:val="0"/>
        <w:adjustRightInd w:val="0"/>
        <w:ind w:firstLine="709"/>
        <w:jc w:val="both"/>
        <w:rPr>
          <w:rFonts w:ascii="Times New Roman" w:eastAsia="Times New Roman" w:hAnsi="Times New Roman" w:cs="Times New Roman"/>
          <w:sz w:val="21"/>
          <w:szCs w:val="21"/>
        </w:rPr>
      </w:pPr>
      <w:r w:rsidRPr="0028380E">
        <w:rPr>
          <w:rFonts w:ascii="Times New Roman" w:eastAsia="Times New Roman" w:hAnsi="Times New Roman" w:cs="Times New Roman"/>
          <w:sz w:val="21"/>
          <w:szCs w:val="21"/>
        </w:rPr>
        <w:t xml:space="preserve">Соціальну ефективність </w:t>
      </w:r>
      <w:r w:rsidRPr="0028380E">
        <w:rPr>
          <w:rFonts w:ascii="Times New Roman" w:hAnsi="Times New Roman" w:cs="Times New Roman"/>
          <w:sz w:val="21"/>
          <w:szCs w:val="21"/>
        </w:rPr>
        <w:t xml:space="preserve">за рахунок зменшення кількості випадків госпіталізації можна розрахувати на основі співвідношення економії коштів на госпіталізацію пацієнтів (спрямованих у подальшому на соціальні цілі) до загальних </w:t>
      </w:r>
      <w:r w:rsidRPr="0028380E">
        <w:rPr>
          <w:rFonts w:ascii="Times New Roman" w:eastAsia="Times New Roman" w:hAnsi="Times New Roman" w:cs="Times New Roman"/>
          <w:sz w:val="21"/>
          <w:szCs w:val="21"/>
        </w:rPr>
        <w:t>витрат у регіоні на систему охорони здоров’я у середньому за весь період дослідження в розрахунку на рік (півріччя, квартал тощо). Додатково у чисельнику, який відображає ефект від запровадження заходу має бути враховано зміну кількості випадків спрямування пацієнтів на денний або домашній стаціонар, у тому числі, як альтернативу госпіталізації:</w:t>
      </w:r>
    </w:p>
    <w:p w:rsidR="00B233DE" w:rsidRPr="0028380E" w:rsidRDefault="00B233DE" w:rsidP="00B233DE">
      <w:pPr>
        <w:widowControl w:val="0"/>
        <w:autoSpaceDE w:val="0"/>
        <w:autoSpaceDN w:val="0"/>
        <w:adjustRightInd w:val="0"/>
        <w:ind w:firstLine="709"/>
        <w:jc w:val="both"/>
        <w:rPr>
          <w:rFonts w:ascii="Times New Roman" w:hAnsi="Times New Roman" w:cs="Times New Roman"/>
          <w:sz w:val="21"/>
          <w:szCs w:val="21"/>
        </w:rPr>
      </w:pPr>
    </w:p>
    <w:tbl>
      <w:tblPr>
        <w:tblW w:w="9494" w:type="dxa"/>
        <w:jc w:val="center"/>
        <w:tblLook w:val="04A0" w:firstRow="1" w:lastRow="0" w:firstColumn="1" w:lastColumn="0" w:noHBand="0" w:noVBand="1"/>
      </w:tblPr>
      <w:tblGrid>
        <w:gridCol w:w="8912"/>
        <w:gridCol w:w="582"/>
      </w:tblGrid>
      <w:tr w:rsidR="00B233DE" w:rsidRPr="0028380E" w:rsidTr="0023489B">
        <w:trPr>
          <w:jc w:val="center"/>
        </w:trPr>
        <w:tc>
          <w:tcPr>
            <w:tcW w:w="8912" w:type="dxa"/>
            <w:shd w:val="clear" w:color="auto" w:fill="auto"/>
          </w:tcPr>
          <w:p w:rsidR="00B233DE" w:rsidRPr="0028380E" w:rsidRDefault="00B233DE" w:rsidP="0023489B">
            <w:pPr>
              <w:widowControl w:val="0"/>
              <w:autoSpaceDE w:val="0"/>
              <w:autoSpaceDN w:val="0"/>
              <w:adjustRightInd w:val="0"/>
              <w:ind w:left="1577" w:hanging="567"/>
              <w:jc w:val="center"/>
              <w:rPr>
                <w:rFonts w:ascii="Times New Roman" w:eastAsia="Times New Roman" w:hAnsi="Times New Roman" w:cs="Times New Roman"/>
                <w:sz w:val="21"/>
                <w:szCs w:val="21"/>
              </w:rPr>
            </w:pPr>
            <w:r>
              <w:rPr>
                <w:rFonts w:ascii="Times New Roman" w:hAnsi="Times New Roman" w:cs="Times New Roman"/>
                <w:sz w:val="21"/>
                <w:szCs w:val="21"/>
              </w:rPr>
              <w:t xml:space="preserve">        </w:t>
            </w:r>
            <m:oMath>
              <m:sSubSup>
                <m:sSubSupPr>
                  <m:ctrlPr>
                    <w:rPr>
                      <w:rFonts w:ascii="Cambria Math" w:hAnsi="Cambria Math" w:cs="Times New Roman"/>
                      <w:i/>
                      <w:sz w:val="21"/>
                      <w:szCs w:val="21"/>
                    </w:rPr>
                  </m:ctrlPr>
                </m:sSubSupPr>
                <m:e>
                  <m:r>
                    <w:rPr>
                      <w:rFonts w:ascii="Cambria Math" w:hAnsi="Cambria Math" w:cs="Times New Roman"/>
                      <w:sz w:val="21"/>
                      <w:szCs w:val="21"/>
                    </w:rPr>
                    <m:t>Е</m:t>
                  </m:r>
                </m:e>
                <m:sub>
                  <m:r>
                    <w:rPr>
                      <w:rFonts w:ascii="Cambria Math" w:hAnsi="Cambria Math" w:cs="Times New Roman"/>
                      <w:sz w:val="21"/>
                      <w:szCs w:val="21"/>
                    </w:rPr>
                    <m:t>соц</m:t>
                  </m:r>
                </m:sub>
                <m:sup>
                  <m:r>
                    <w:rPr>
                      <w:rFonts w:ascii="Cambria Math" w:hAnsi="Cambria Math" w:cs="Times New Roman"/>
                      <w:sz w:val="21"/>
                      <w:szCs w:val="21"/>
                    </w:rPr>
                    <m:t>г</m:t>
                  </m:r>
                </m:sup>
              </m:sSubSup>
              <m:r>
                <w:rPr>
                  <w:rFonts w:ascii="Cambria Math" w:hAnsi="Cambria Math" w:cs="Times New Roman"/>
                  <w:sz w:val="21"/>
                  <w:szCs w:val="21"/>
                </w:rPr>
                <m:t>=</m:t>
              </m:r>
              <m:f>
                <m:fPr>
                  <m:ctrlPr>
                    <w:rPr>
                      <w:rFonts w:ascii="Cambria Math" w:hAnsi="Cambria Math" w:cs="Times New Roman"/>
                      <w:i/>
                      <w:sz w:val="21"/>
                      <w:szCs w:val="21"/>
                    </w:rPr>
                  </m:ctrlPr>
                </m:fPr>
                <m:num>
                  <m:d>
                    <m:dPr>
                      <m:ctrlPr>
                        <w:rPr>
                          <w:rFonts w:ascii="Cambria Math" w:hAnsi="Cambria Math" w:cs="Times New Roman"/>
                          <w:i/>
                          <w:sz w:val="21"/>
                          <w:szCs w:val="21"/>
                        </w:rPr>
                      </m:ctrlPr>
                    </m:dPr>
                    <m:e>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г</m:t>
                          </m:r>
                        </m:sub>
                        <m:sup>
                          <m:r>
                            <w:rPr>
                              <w:rFonts w:ascii="Cambria Math" w:hAnsi="Cambria Math" w:cs="Times New Roman"/>
                              <w:sz w:val="21"/>
                              <w:szCs w:val="21"/>
                            </w:rPr>
                            <m:t>1</m:t>
                          </m:r>
                        </m:sup>
                      </m:sSubSup>
                      <m:r>
                        <w:rPr>
                          <w:rFonts w:ascii="Cambria Math" w:hAnsi="Cambria Math" w:cs="Times New Roman"/>
                          <w:sz w:val="21"/>
                          <w:szCs w:val="21"/>
                        </w:rPr>
                        <m:t>-</m:t>
                      </m:r>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г</m:t>
                          </m:r>
                        </m:sub>
                        <m:sup>
                          <m:r>
                            <w:rPr>
                              <w:rFonts w:ascii="Cambria Math" w:hAnsi="Cambria Math" w:cs="Times New Roman"/>
                              <w:sz w:val="21"/>
                              <w:szCs w:val="21"/>
                            </w:rPr>
                            <m:t>2</m:t>
                          </m:r>
                        </m:sup>
                      </m:sSubSup>
                    </m:e>
                  </m:d>
                  <m:r>
                    <w:rPr>
                      <w:rFonts w:ascii="Cambria Math" w:hAnsi="Cambria Math" w:cs="Times New Roman"/>
                      <w:sz w:val="21"/>
                      <w:szCs w:val="21"/>
                    </w:rPr>
                    <m:t>∙</m:t>
                  </m:r>
                  <m:sSubSup>
                    <m:sSubSupPr>
                      <m:ctrlPr>
                        <w:rPr>
                          <w:rFonts w:ascii="Cambria Math" w:hAnsi="Cambria Math" w:cs="Times New Roman"/>
                          <w:i/>
                          <w:sz w:val="21"/>
                          <w:szCs w:val="21"/>
                        </w:rPr>
                      </m:ctrlPr>
                    </m:sSubSupPr>
                    <m:e>
                      <m:r>
                        <w:rPr>
                          <w:rFonts w:ascii="Cambria Math" w:hAnsi="Cambria Math" w:cs="Times New Roman"/>
                          <w:sz w:val="21"/>
                          <w:szCs w:val="21"/>
                        </w:rPr>
                        <m:t>В</m:t>
                      </m:r>
                    </m:e>
                    <m:sub>
                      <m:r>
                        <w:rPr>
                          <w:rFonts w:ascii="Cambria Math" w:hAnsi="Cambria Math" w:cs="Times New Roman"/>
                          <w:sz w:val="21"/>
                          <w:szCs w:val="21"/>
                        </w:rPr>
                        <m:t>г</m:t>
                      </m:r>
                    </m:sub>
                    <m:sup>
                      <m:r>
                        <w:rPr>
                          <w:rFonts w:ascii="Cambria Math" w:hAnsi="Cambria Math" w:cs="Times New Roman"/>
                          <w:sz w:val="21"/>
                          <w:szCs w:val="21"/>
                        </w:rPr>
                        <m:t>1п</m:t>
                      </m:r>
                    </m:sup>
                  </m:sSubSup>
                  <m:r>
                    <w:rPr>
                      <w:rFonts w:ascii="Cambria Math" w:hAnsi="Cambria Math" w:cs="Times New Roman"/>
                      <w:sz w:val="21"/>
                      <w:szCs w:val="21"/>
                    </w:rPr>
                    <m:t>+</m:t>
                  </m:r>
                  <m:d>
                    <m:dPr>
                      <m:ctrlPr>
                        <w:rPr>
                          <w:rFonts w:ascii="Cambria Math" w:hAnsi="Cambria Math" w:cs="Times New Roman"/>
                          <w:i/>
                          <w:sz w:val="21"/>
                          <w:szCs w:val="21"/>
                        </w:rPr>
                      </m:ctrlPr>
                    </m:dPr>
                    <m:e>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ДенС</m:t>
                          </m:r>
                        </m:sub>
                        <m:sup>
                          <m:r>
                            <w:rPr>
                              <w:rFonts w:ascii="Cambria Math" w:hAnsi="Cambria Math" w:cs="Times New Roman"/>
                              <w:sz w:val="21"/>
                              <w:szCs w:val="21"/>
                            </w:rPr>
                            <m:t>1</m:t>
                          </m:r>
                        </m:sup>
                      </m:sSubSup>
                      <m:r>
                        <w:rPr>
                          <w:rFonts w:ascii="Cambria Math" w:hAnsi="Cambria Math" w:cs="Times New Roman"/>
                          <w:sz w:val="21"/>
                          <w:szCs w:val="21"/>
                        </w:rPr>
                        <m:t>-</m:t>
                      </m:r>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ДенС</m:t>
                          </m:r>
                        </m:sub>
                        <m:sup>
                          <m:r>
                            <w:rPr>
                              <w:rFonts w:ascii="Cambria Math" w:hAnsi="Cambria Math" w:cs="Times New Roman"/>
                              <w:sz w:val="21"/>
                              <w:szCs w:val="21"/>
                            </w:rPr>
                            <m:t>2</m:t>
                          </m:r>
                        </m:sup>
                      </m:sSubSup>
                    </m:e>
                  </m:d>
                  <m:r>
                    <w:rPr>
                      <w:rFonts w:ascii="Cambria Math" w:hAnsi="Cambria Math" w:cs="Times New Roman"/>
                      <w:sz w:val="21"/>
                      <w:szCs w:val="21"/>
                    </w:rPr>
                    <m:t>∙</m:t>
                  </m:r>
                  <m:sSubSup>
                    <m:sSubSupPr>
                      <m:ctrlPr>
                        <w:rPr>
                          <w:rFonts w:ascii="Cambria Math" w:hAnsi="Cambria Math" w:cs="Times New Roman"/>
                          <w:i/>
                          <w:sz w:val="21"/>
                          <w:szCs w:val="21"/>
                        </w:rPr>
                      </m:ctrlPr>
                    </m:sSubSupPr>
                    <m:e>
                      <m:r>
                        <w:rPr>
                          <w:rFonts w:ascii="Cambria Math" w:hAnsi="Cambria Math" w:cs="Times New Roman"/>
                          <w:sz w:val="21"/>
                          <w:szCs w:val="21"/>
                        </w:rPr>
                        <m:t>В</m:t>
                      </m:r>
                    </m:e>
                    <m:sub>
                      <m:r>
                        <w:rPr>
                          <w:rFonts w:ascii="Cambria Math" w:hAnsi="Cambria Math" w:cs="Times New Roman"/>
                          <w:sz w:val="21"/>
                          <w:szCs w:val="21"/>
                        </w:rPr>
                        <m:t>ДенС</m:t>
                      </m:r>
                    </m:sub>
                    <m:sup>
                      <m:r>
                        <w:rPr>
                          <w:rFonts w:ascii="Cambria Math" w:hAnsi="Cambria Math" w:cs="Times New Roman"/>
                          <w:sz w:val="21"/>
                          <w:szCs w:val="21"/>
                        </w:rPr>
                        <m:t>1п</m:t>
                      </m:r>
                    </m:sup>
                  </m:sSubSup>
                  <m:r>
                    <w:rPr>
                      <w:rFonts w:ascii="Cambria Math" w:hAnsi="Cambria Math" w:cs="Times New Roman"/>
                      <w:sz w:val="21"/>
                      <w:szCs w:val="21"/>
                    </w:rPr>
                    <m:t>+</m:t>
                  </m:r>
                  <m:d>
                    <m:dPr>
                      <m:ctrlPr>
                        <w:rPr>
                          <w:rFonts w:ascii="Cambria Math" w:hAnsi="Cambria Math" w:cs="Times New Roman"/>
                          <w:i/>
                          <w:sz w:val="21"/>
                          <w:szCs w:val="21"/>
                        </w:rPr>
                      </m:ctrlPr>
                    </m:dPr>
                    <m:e>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ДомС</m:t>
                          </m:r>
                        </m:sub>
                        <m:sup>
                          <m:r>
                            <w:rPr>
                              <w:rFonts w:ascii="Cambria Math" w:hAnsi="Cambria Math" w:cs="Times New Roman"/>
                              <w:sz w:val="21"/>
                              <w:szCs w:val="21"/>
                            </w:rPr>
                            <m:t>1</m:t>
                          </m:r>
                        </m:sup>
                      </m:sSubSup>
                      <m:r>
                        <w:rPr>
                          <w:rFonts w:ascii="Cambria Math" w:hAnsi="Cambria Math" w:cs="Times New Roman"/>
                          <w:sz w:val="21"/>
                          <w:szCs w:val="21"/>
                        </w:rPr>
                        <m:t>-</m:t>
                      </m:r>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ДомС</m:t>
                          </m:r>
                        </m:sub>
                        <m:sup>
                          <m:r>
                            <w:rPr>
                              <w:rFonts w:ascii="Cambria Math" w:hAnsi="Cambria Math" w:cs="Times New Roman"/>
                              <w:sz w:val="21"/>
                              <w:szCs w:val="21"/>
                            </w:rPr>
                            <m:t>2</m:t>
                          </m:r>
                        </m:sup>
                      </m:sSubSup>
                    </m:e>
                  </m:d>
                  <m:r>
                    <w:rPr>
                      <w:rFonts w:ascii="Cambria Math" w:hAnsi="Cambria Math" w:cs="Times New Roman"/>
                      <w:sz w:val="21"/>
                      <w:szCs w:val="21"/>
                    </w:rPr>
                    <m:t>∙</m:t>
                  </m:r>
                  <m:sSubSup>
                    <m:sSubSupPr>
                      <m:ctrlPr>
                        <w:rPr>
                          <w:rFonts w:ascii="Cambria Math" w:hAnsi="Cambria Math" w:cs="Times New Roman"/>
                          <w:i/>
                          <w:sz w:val="21"/>
                          <w:szCs w:val="21"/>
                        </w:rPr>
                      </m:ctrlPr>
                    </m:sSubSupPr>
                    <m:e>
                      <m:r>
                        <w:rPr>
                          <w:rFonts w:ascii="Cambria Math" w:hAnsi="Cambria Math" w:cs="Times New Roman"/>
                          <w:sz w:val="21"/>
                          <w:szCs w:val="21"/>
                        </w:rPr>
                        <m:t>В</m:t>
                      </m:r>
                    </m:e>
                    <m:sub>
                      <m:r>
                        <w:rPr>
                          <w:rFonts w:ascii="Cambria Math" w:hAnsi="Cambria Math" w:cs="Times New Roman"/>
                          <w:sz w:val="21"/>
                          <w:szCs w:val="21"/>
                        </w:rPr>
                        <m:t>ДенС</m:t>
                      </m:r>
                    </m:sub>
                    <m:sup>
                      <m:r>
                        <w:rPr>
                          <w:rFonts w:ascii="Cambria Math" w:hAnsi="Cambria Math" w:cs="Times New Roman"/>
                          <w:sz w:val="21"/>
                          <w:szCs w:val="21"/>
                        </w:rPr>
                        <m:t>1п</m:t>
                      </m:r>
                    </m:sup>
                  </m:sSubSup>
                </m:num>
                <m:den>
                  <m:sSubSup>
                    <m:sSubSupPr>
                      <m:ctrlPr>
                        <w:rPr>
                          <w:rFonts w:ascii="Cambria Math" w:hAnsi="Cambria Math" w:cs="Times New Roman"/>
                          <w:i/>
                          <w:sz w:val="21"/>
                          <w:szCs w:val="21"/>
                        </w:rPr>
                      </m:ctrlPr>
                    </m:sSubSupPr>
                    <m:e>
                      <m:r>
                        <w:rPr>
                          <w:rFonts w:ascii="Cambria Math" w:hAnsi="Cambria Math" w:cs="Times New Roman"/>
                          <w:sz w:val="21"/>
                          <w:szCs w:val="21"/>
                        </w:rPr>
                        <m:t>В</m:t>
                      </m:r>
                    </m:e>
                    <m:sub>
                      <m:r>
                        <w:rPr>
                          <w:rFonts w:ascii="Cambria Math" w:hAnsi="Cambria Math" w:cs="Times New Roman"/>
                          <w:sz w:val="21"/>
                          <w:szCs w:val="21"/>
                        </w:rPr>
                        <m:t>заг</m:t>
                      </m:r>
                    </m:sub>
                    <m:sup>
                      <m:r>
                        <w:rPr>
                          <w:rFonts w:ascii="Cambria Math" w:hAnsi="Cambria Math" w:cs="Times New Roman"/>
                          <w:sz w:val="21"/>
                          <w:szCs w:val="21"/>
                        </w:rPr>
                        <m:t>ОЗ</m:t>
                      </m:r>
                    </m:sup>
                  </m:sSubSup>
                </m:den>
              </m:f>
              <m:r>
                <w:rPr>
                  <w:rFonts w:ascii="Cambria Math" w:hAnsi="Cambria Math" w:cs="Times New Roman"/>
                  <w:sz w:val="21"/>
                  <w:szCs w:val="21"/>
                </w:rPr>
                <m:t xml:space="preserve"> </m:t>
              </m:r>
            </m:oMath>
            <w:r>
              <w:rPr>
                <w:rFonts w:ascii="Times New Roman" w:eastAsia="Times New Roman" w:hAnsi="Times New Roman" w:cs="Times New Roman"/>
                <w:sz w:val="21"/>
                <w:szCs w:val="21"/>
              </w:rPr>
              <w:t xml:space="preserve">     (6.7)</w:t>
            </w:r>
          </w:p>
        </w:tc>
        <w:tc>
          <w:tcPr>
            <w:tcW w:w="582" w:type="dxa"/>
            <w:shd w:val="clear" w:color="auto" w:fill="auto"/>
            <w:vAlign w:val="center"/>
          </w:tcPr>
          <w:p w:rsidR="00B233DE" w:rsidRPr="0028380E" w:rsidRDefault="00B233DE" w:rsidP="0023489B">
            <w:pPr>
              <w:widowControl w:val="0"/>
              <w:autoSpaceDE w:val="0"/>
              <w:autoSpaceDN w:val="0"/>
              <w:adjustRightInd w:val="0"/>
              <w:ind w:left="-95" w:right="-76"/>
              <w:jc w:val="center"/>
              <w:rPr>
                <w:rFonts w:ascii="Times New Roman" w:eastAsia="Times New Roman" w:hAnsi="Times New Roman" w:cs="Times New Roman"/>
                <w:sz w:val="21"/>
                <w:szCs w:val="21"/>
              </w:rPr>
            </w:pPr>
            <w:r w:rsidRPr="0028380E">
              <w:rPr>
                <w:rFonts w:ascii="Times New Roman" w:eastAsia="Times New Roman" w:hAnsi="Times New Roman" w:cs="Times New Roman"/>
                <w:sz w:val="21"/>
                <w:szCs w:val="21"/>
              </w:rPr>
              <w:t>(3.7)</w:t>
            </w:r>
          </w:p>
        </w:tc>
      </w:tr>
    </w:tbl>
    <w:p w:rsidR="00B233DE" w:rsidRPr="0028380E" w:rsidRDefault="00B233DE" w:rsidP="00B233DE">
      <w:pPr>
        <w:widowControl w:val="0"/>
        <w:autoSpaceDE w:val="0"/>
        <w:autoSpaceDN w:val="0"/>
        <w:adjustRightInd w:val="0"/>
        <w:ind w:firstLine="709"/>
        <w:jc w:val="both"/>
        <w:rPr>
          <w:rFonts w:ascii="Times New Roman" w:hAnsi="Times New Roman" w:cs="Times New Roman"/>
          <w:sz w:val="21"/>
          <w:szCs w:val="21"/>
        </w:rPr>
      </w:pPr>
    </w:p>
    <w:p w:rsidR="00B233DE" w:rsidRPr="0028380E" w:rsidRDefault="00B233DE" w:rsidP="00B233DE">
      <w:pPr>
        <w:widowControl w:val="0"/>
        <w:autoSpaceDE w:val="0"/>
        <w:autoSpaceDN w:val="0"/>
        <w:adjustRightInd w:val="0"/>
        <w:ind w:firstLine="709"/>
        <w:jc w:val="both"/>
        <w:rPr>
          <w:rFonts w:ascii="Times New Roman" w:eastAsia="Times New Roman" w:hAnsi="Times New Roman" w:cs="Times New Roman"/>
          <w:sz w:val="21"/>
          <w:szCs w:val="21"/>
        </w:rPr>
      </w:pPr>
      <w:r w:rsidRPr="0028380E">
        <w:rPr>
          <w:rFonts w:ascii="Times New Roman" w:hAnsi="Times New Roman" w:cs="Times New Roman"/>
          <w:sz w:val="21"/>
          <w:szCs w:val="21"/>
        </w:rPr>
        <w:t xml:space="preserve">де </w:t>
      </w:r>
      <m:oMath>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г</m:t>
            </m:r>
          </m:sub>
          <m:sup>
            <m:r>
              <w:rPr>
                <w:rFonts w:ascii="Cambria Math" w:hAnsi="Cambria Math" w:cs="Times New Roman"/>
                <w:sz w:val="21"/>
                <w:szCs w:val="21"/>
              </w:rPr>
              <m:t>1</m:t>
            </m:r>
          </m:sup>
        </m:sSubSup>
      </m:oMath>
      <w:r w:rsidRPr="0028380E">
        <w:rPr>
          <w:rFonts w:ascii="Times New Roman" w:eastAsia="Times New Roman" w:hAnsi="Times New Roman" w:cs="Times New Roman"/>
          <w:sz w:val="21"/>
          <w:szCs w:val="21"/>
        </w:rPr>
        <w:t xml:space="preserve"> – кількість випадків госпіталізації у першому періоді дослідження, одиниць;</w:t>
      </w:r>
    </w:p>
    <w:p w:rsidR="00B233DE" w:rsidRPr="0028380E" w:rsidRDefault="00EC2A0E" w:rsidP="00B233DE">
      <w:pPr>
        <w:widowControl w:val="0"/>
        <w:autoSpaceDE w:val="0"/>
        <w:autoSpaceDN w:val="0"/>
        <w:adjustRightInd w:val="0"/>
        <w:ind w:firstLine="709"/>
        <w:jc w:val="both"/>
        <w:rPr>
          <w:rFonts w:ascii="Times New Roman" w:eastAsia="Times New Roman" w:hAnsi="Times New Roman" w:cs="Times New Roman"/>
          <w:sz w:val="21"/>
          <w:szCs w:val="21"/>
        </w:rPr>
      </w:pPr>
      <m:oMath>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г</m:t>
            </m:r>
          </m:sub>
          <m:sup>
            <m:r>
              <w:rPr>
                <w:rFonts w:ascii="Cambria Math" w:hAnsi="Cambria Math" w:cs="Times New Roman"/>
                <w:sz w:val="21"/>
                <w:szCs w:val="21"/>
              </w:rPr>
              <m:t>2</m:t>
            </m:r>
          </m:sup>
        </m:sSubSup>
      </m:oMath>
      <w:r w:rsidR="00B233DE" w:rsidRPr="0028380E">
        <w:rPr>
          <w:rFonts w:ascii="Times New Roman" w:eastAsia="Times New Roman" w:hAnsi="Times New Roman" w:cs="Times New Roman"/>
          <w:sz w:val="21"/>
          <w:szCs w:val="21"/>
        </w:rPr>
        <w:t xml:space="preserve"> – кількість випадків госпіталізації у останньому періоді дослідження, одиниць;</w:t>
      </w:r>
    </w:p>
    <w:p w:rsidR="00B233DE" w:rsidRDefault="00EC2A0E" w:rsidP="00B233DE">
      <w:pPr>
        <w:tabs>
          <w:tab w:val="left" w:pos="0"/>
          <w:tab w:val="left" w:pos="180"/>
          <w:tab w:val="left" w:pos="993"/>
          <w:tab w:val="left" w:pos="1134"/>
        </w:tabs>
        <w:ind w:firstLine="709"/>
        <w:jc w:val="both"/>
        <w:rPr>
          <w:rFonts w:ascii="Times New Roman" w:hAnsi="Times New Roman" w:cs="Times New Roman"/>
          <w:sz w:val="21"/>
          <w:szCs w:val="21"/>
        </w:rPr>
      </w:pPr>
      <m:oMath>
        <m:sSubSup>
          <m:sSubSupPr>
            <m:ctrlPr>
              <w:rPr>
                <w:rFonts w:ascii="Cambria Math" w:hAnsi="Cambria Math" w:cs="Times New Roman"/>
                <w:i/>
                <w:sz w:val="21"/>
                <w:szCs w:val="21"/>
              </w:rPr>
            </m:ctrlPr>
          </m:sSubSupPr>
          <m:e>
            <m:r>
              <w:rPr>
                <w:rFonts w:ascii="Cambria Math" w:hAnsi="Cambria Math" w:cs="Times New Roman"/>
                <w:sz w:val="21"/>
                <w:szCs w:val="21"/>
              </w:rPr>
              <m:t>В</m:t>
            </m:r>
          </m:e>
          <m:sub>
            <m:r>
              <w:rPr>
                <w:rFonts w:ascii="Cambria Math" w:hAnsi="Cambria Math" w:cs="Times New Roman"/>
                <w:sz w:val="21"/>
                <w:szCs w:val="21"/>
              </w:rPr>
              <m:t>г</m:t>
            </m:r>
          </m:sub>
          <m:sup>
            <m:r>
              <w:rPr>
                <w:rFonts w:ascii="Cambria Math" w:hAnsi="Cambria Math" w:cs="Times New Roman"/>
                <w:sz w:val="21"/>
                <w:szCs w:val="21"/>
              </w:rPr>
              <m:t>1п</m:t>
            </m:r>
          </m:sup>
        </m:sSubSup>
      </m:oMath>
      <w:r w:rsidR="00B233DE" w:rsidRPr="0028380E">
        <w:rPr>
          <w:rFonts w:ascii="Times New Roman" w:eastAsia="Times New Roman" w:hAnsi="Times New Roman" w:cs="Times New Roman"/>
          <w:sz w:val="21"/>
          <w:szCs w:val="21"/>
        </w:rPr>
        <w:t xml:space="preserve"> – витрати госпіталізації у розрахунку на 1 пацієнта у середньому за весь період дослідження в розрахунку на рік</w:t>
      </w:r>
    </w:p>
    <w:p w:rsidR="00B233DE" w:rsidRPr="0028380E" w:rsidRDefault="00B233DE" w:rsidP="00B233DE">
      <w:pPr>
        <w:widowControl w:val="0"/>
        <w:autoSpaceDE w:val="0"/>
        <w:autoSpaceDN w:val="0"/>
        <w:adjustRightInd w:val="0"/>
        <w:ind w:firstLine="709"/>
        <w:jc w:val="both"/>
        <w:rPr>
          <w:rFonts w:ascii="Times New Roman" w:eastAsia="Times New Roman" w:hAnsi="Times New Roman" w:cs="Times New Roman"/>
          <w:sz w:val="21"/>
          <w:szCs w:val="21"/>
        </w:rPr>
      </w:pPr>
      <w:r w:rsidRPr="0028380E">
        <w:rPr>
          <w:rFonts w:ascii="Times New Roman" w:eastAsia="Times New Roman" w:hAnsi="Times New Roman" w:cs="Times New Roman"/>
          <w:sz w:val="21"/>
          <w:szCs w:val="21"/>
        </w:rPr>
        <w:lastRenderedPageBreak/>
        <w:t>(півріччя, квартал тощо), грн;</w:t>
      </w:r>
    </w:p>
    <w:p w:rsidR="00B233DE" w:rsidRPr="0028380E" w:rsidRDefault="00EC2A0E" w:rsidP="00B233DE">
      <w:pPr>
        <w:widowControl w:val="0"/>
        <w:autoSpaceDE w:val="0"/>
        <w:autoSpaceDN w:val="0"/>
        <w:adjustRightInd w:val="0"/>
        <w:ind w:firstLine="709"/>
        <w:jc w:val="both"/>
        <w:rPr>
          <w:rFonts w:ascii="Times New Roman" w:eastAsia="Times New Roman" w:hAnsi="Times New Roman" w:cs="Times New Roman"/>
          <w:sz w:val="21"/>
          <w:szCs w:val="21"/>
        </w:rPr>
      </w:pPr>
      <m:oMath>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ДенС</m:t>
            </m:r>
          </m:sub>
          <m:sup>
            <m:r>
              <w:rPr>
                <w:rFonts w:ascii="Cambria Math" w:hAnsi="Cambria Math" w:cs="Times New Roman"/>
                <w:sz w:val="21"/>
                <w:szCs w:val="21"/>
              </w:rPr>
              <m:t>1</m:t>
            </m:r>
          </m:sup>
        </m:sSubSup>
      </m:oMath>
      <w:r w:rsidR="00B233DE" w:rsidRPr="0028380E">
        <w:rPr>
          <w:rFonts w:ascii="Times New Roman" w:eastAsia="Times New Roman" w:hAnsi="Times New Roman" w:cs="Times New Roman"/>
          <w:sz w:val="21"/>
          <w:szCs w:val="21"/>
        </w:rPr>
        <w:t xml:space="preserve"> – кількість випадків спрямування на денний стаціонар у першому періоді дослідження, одиниць;</w:t>
      </w:r>
    </w:p>
    <w:p w:rsidR="00B233DE" w:rsidRPr="0028380E" w:rsidRDefault="00EC2A0E" w:rsidP="00B233DE">
      <w:pPr>
        <w:widowControl w:val="0"/>
        <w:autoSpaceDE w:val="0"/>
        <w:autoSpaceDN w:val="0"/>
        <w:adjustRightInd w:val="0"/>
        <w:ind w:firstLine="709"/>
        <w:jc w:val="both"/>
        <w:rPr>
          <w:rFonts w:ascii="Times New Roman" w:eastAsia="Times New Roman" w:hAnsi="Times New Roman" w:cs="Times New Roman"/>
          <w:sz w:val="21"/>
          <w:szCs w:val="21"/>
        </w:rPr>
      </w:pPr>
      <m:oMath>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ДенС</m:t>
            </m:r>
          </m:sub>
          <m:sup>
            <m:r>
              <w:rPr>
                <w:rFonts w:ascii="Cambria Math" w:hAnsi="Cambria Math" w:cs="Times New Roman"/>
                <w:sz w:val="21"/>
                <w:szCs w:val="21"/>
              </w:rPr>
              <m:t>2</m:t>
            </m:r>
          </m:sup>
        </m:sSubSup>
      </m:oMath>
      <w:r w:rsidR="00B233DE" w:rsidRPr="0028380E">
        <w:rPr>
          <w:rFonts w:ascii="Times New Roman" w:eastAsia="Times New Roman" w:hAnsi="Times New Roman" w:cs="Times New Roman"/>
          <w:sz w:val="21"/>
          <w:szCs w:val="21"/>
        </w:rPr>
        <w:t xml:space="preserve"> – кількість випадків спрямування на денний стаціонар у останньому періоді дослідження, одиниць;</w:t>
      </w:r>
    </w:p>
    <w:p w:rsidR="00B233DE" w:rsidRPr="0028380E" w:rsidRDefault="00EC2A0E" w:rsidP="00B233DE">
      <w:pPr>
        <w:widowControl w:val="0"/>
        <w:autoSpaceDE w:val="0"/>
        <w:autoSpaceDN w:val="0"/>
        <w:adjustRightInd w:val="0"/>
        <w:ind w:firstLine="709"/>
        <w:jc w:val="both"/>
        <w:rPr>
          <w:rFonts w:ascii="Times New Roman" w:eastAsia="Times New Roman" w:hAnsi="Times New Roman" w:cs="Times New Roman"/>
          <w:sz w:val="21"/>
          <w:szCs w:val="21"/>
        </w:rPr>
      </w:pPr>
      <m:oMath>
        <m:sSubSup>
          <m:sSubSupPr>
            <m:ctrlPr>
              <w:rPr>
                <w:rFonts w:ascii="Cambria Math" w:hAnsi="Cambria Math" w:cs="Times New Roman"/>
                <w:i/>
                <w:sz w:val="21"/>
                <w:szCs w:val="21"/>
              </w:rPr>
            </m:ctrlPr>
          </m:sSubSupPr>
          <m:e>
            <m:r>
              <w:rPr>
                <w:rFonts w:ascii="Cambria Math" w:hAnsi="Cambria Math" w:cs="Times New Roman"/>
                <w:sz w:val="21"/>
                <w:szCs w:val="21"/>
              </w:rPr>
              <m:t>В</m:t>
            </m:r>
          </m:e>
          <m:sub>
            <m:r>
              <w:rPr>
                <w:rFonts w:ascii="Cambria Math" w:hAnsi="Cambria Math" w:cs="Times New Roman"/>
                <w:sz w:val="21"/>
                <w:szCs w:val="21"/>
              </w:rPr>
              <m:t>ДенС</m:t>
            </m:r>
          </m:sub>
          <m:sup>
            <m:r>
              <w:rPr>
                <w:rFonts w:ascii="Cambria Math" w:hAnsi="Cambria Math" w:cs="Times New Roman"/>
                <w:sz w:val="21"/>
                <w:szCs w:val="21"/>
              </w:rPr>
              <m:t>1п</m:t>
            </m:r>
          </m:sup>
        </m:sSubSup>
      </m:oMath>
      <w:r w:rsidR="00B233DE" w:rsidRPr="0028380E">
        <w:rPr>
          <w:rFonts w:ascii="Times New Roman" w:eastAsia="Times New Roman" w:hAnsi="Times New Roman" w:cs="Times New Roman"/>
          <w:sz w:val="21"/>
          <w:szCs w:val="21"/>
        </w:rPr>
        <w:t xml:space="preserve"> – витрати спрямування на денний стаціонар у розрахунку на 1 пацієнта у середньому за весь період дослідження в розрахунку на рік (півріччя, квартал тощо), грн;</w:t>
      </w:r>
    </w:p>
    <w:p w:rsidR="00B233DE" w:rsidRPr="0028380E" w:rsidRDefault="00EC2A0E" w:rsidP="00B233DE">
      <w:pPr>
        <w:widowControl w:val="0"/>
        <w:autoSpaceDE w:val="0"/>
        <w:autoSpaceDN w:val="0"/>
        <w:adjustRightInd w:val="0"/>
        <w:ind w:firstLine="709"/>
        <w:jc w:val="both"/>
        <w:rPr>
          <w:rFonts w:ascii="Times New Roman" w:eastAsia="Times New Roman" w:hAnsi="Times New Roman" w:cs="Times New Roman"/>
          <w:sz w:val="21"/>
          <w:szCs w:val="21"/>
        </w:rPr>
      </w:pPr>
      <m:oMath>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ДомС</m:t>
            </m:r>
          </m:sub>
          <m:sup>
            <m:r>
              <w:rPr>
                <w:rFonts w:ascii="Cambria Math" w:hAnsi="Cambria Math" w:cs="Times New Roman"/>
                <w:sz w:val="21"/>
                <w:szCs w:val="21"/>
              </w:rPr>
              <m:t>1</m:t>
            </m:r>
          </m:sup>
        </m:sSubSup>
      </m:oMath>
      <w:r w:rsidR="00B233DE" w:rsidRPr="0028380E">
        <w:rPr>
          <w:rFonts w:ascii="Times New Roman" w:eastAsia="Times New Roman" w:hAnsi="Times New Roman" w:cs="Times New Roman"/>
          <w:sz w:val="21"/>
          <w:szCs w:val="21"/>
        </w:rPr>
        <w:t xml:space="preserve"> – кількість випадків спрямування на домашній стаціонар у першому періоді дослідження, одиниць;</w:t>
      </w:r>
    </w:p>
    <w:p w:rsidR="00B233DE" w:rsidRPr="0028380E" w:rsidRDefault="00EC2A0E" w:rsidP="00B233DE">
      <w:pPr>
        <w:widowControl w:val="0"/>
        <w:autoSpaceDE w:val="0"/>
        <w:autoSpaceDN w:val="0"/>
        <w:adjustRightInd w:val="0"/>
        <w:ind w:firstLine="709"/>
        <w:jc w:val="both"/>
        <w:rPr>
          <w:rFonts w:ascii="Times New Roman" w:eastAsia="Times New Roman" w:hAnsi="Times New Roman" w:cs="Times New Roman"/>
          <w:sz w:val="21"/>
          <w:szCs w:val="21"/>
        </w:rPr>
      </w:pPr>
      <m:oMath>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ДомС</m:t>
            </m:r>
          </m:sub>
          <m:sup>
            <m:r>
              <w:rPr>
                <w:rFonts w:ascii="Cambria Math" w:hAnsi="Cambria Math" w:cs="Times New Roman"/>
                <w:sz w:val="21"/>
                <w:szCs w:val="21"/>
              </w:rPr>
              <m:t>2</m:t>
            </m:r>
          </m:sup>
        </m:sSubSup>
      </m:oMath>
      <w:r w:rsidR="00B233DE" w:rsidRPr="0028380E">
        <w:rPr>
          <w:rFonts w:ascii="Times New Roman" w:eastAsia="Times New Roman" w:hAnsi="Times New Roman" w:cs="Times New Roman"/>
          <w:sz w:val="21"/>
          <w:szCs w:val="21"/>
        </w:rPr>
        <w:t xml:space="preserve"> – кількість випадків спрямування на домашній стаціонар у останньому періоді дослідження, одиниць;</w:t>
      </w:r>
    </w:p>
    <w:p w:rsidR="00B233DE" w:rsidRPr="0028380E" w:rsidRDefault="00EC2A0E" w:rsidP="00B233DE">
      <w:pPr>
        <w:widowControl w:val="0"/>
        <w:autoSpaceDE w:val="0"/>
        <w:autoSpaceDN w:val="0"/>
        <w:adjustRightInd w:val="0"/>
        <w:ind w:firstLine="709"/>
        <w:jc w:val="both"/>
        <w:rPr>
          <w:rFonts w:ascii="Times New Roman" w:eastAsia="Times New Roman" w:hAnsi="Times New Roman" w:cs="Times New Roman"/>
          <w:sz w:val="21"/>
          <w:szCs w:val="21"/>
        </w:rPr>
      </w:pPr>
      <m:oMath>
        <m:sSubSup>
          <m:sSubSupPr>
            <m:ctrlPr>
              <w:rPr>
                <w:rFonts w:ascii="Cambria Math" w:hAnsi="Cambria Math" w:cs="Times New Roman"/>
                <w:i/>
                <w:sz w:val="21"/>
                <w:szCs w:val="21"/>
              </w:rPr>
            </m:ctrlPr>
          </m:sSubSupPr>
          <m:e>
            <m:r>
              <w:rPr>
                <w:rFonts w:ascii="Cambria Math" w:hAnsi="Cambria Math" w:cs="Times New Roman"/>
                <w:sz w:val="21"/>
                <w:szCs w:val="21"/>
              </w:rPr>
              <m:t>В</m:t>
            </m:r>
          </m:e>
          <m:sub>
            <m:r>
              <w:rPr>
                <w:rFonts w:ascii="Cambria Math" w:hAnsi="Cambria Math" w:cs="Times New Roman"/>
                <w:sz w:val="21"/>
                <w:szCs w:val="21"/>
              </w:rPr>
              <m:t>ДомС</m:t>
            </m:r>
          </m:sub>
          <m:sup>
            <m:r>
              <w:rPr>
                <w:rFonts w:ascii="Cambria Math" w:hAnsi="Cambria Math" w:cs="Times New Roman"/>
                <w:sz w:val="21"/>
                <w:szCs w:val="21"/>
              </w:rPr>
              <m:t>1п</m:t>
            </m:r>
          </m:sup>
        </m:sSubSup>
      </m:oMath>
      <w:r w:rsidR="00B233DE" w:rsidRPr="0028380E">
        <w:rPr>
          <w:rFonts w:ascii="Times New Roman" w:eastAsia="Times New Roman" w:hAnsi="Times New Roman" w:cs="Times New Roman"/>
          <w:sz w:val="21"/>
          <w:szCs w:val="21"/>
        </w:rPr>
        <w:t xml:space="preserve"> – витрати спрямування на домашній стаціонар у розрахунку на 1 пацієнта у середньому за весь період дослідження в розрахунку на рік (півріччя, квартал тощо), грн;</w:t>
      </w:r>
    </w:p>
    <w:p w:rsidR="00B233DE" w:rsidRPr="0028380E" w:rsidRDefault="00EC2A0E" w:rsidP="00B233DE">
      <w:pPr>
        <w:widowControl w:val="0"/>
        <w:autoSpaceDE w:val="0"/>
        <w:autoSpaceDN w:val="0"/>
        <w:adjustRightInd w:val="0"/>
        <w:ind w:firstLine="709"/>
        <w:jc w:val="both"/>
        <w:rPr>
          <w:rFonts w:ascii="Times New Roman" w:eastAsia="Times New Roman" w:hAnsi="Times New Roman" w:cs="Times New Roman"/>
          <w:sz w:val="21"/>
          <w:szCs w:val="21"/>
        </w:rPr>
      </w:pPr>
      <m:oMath>
        <m:sSubSup>
          <m:sSubSupPr>
            <m:ctrlPr>
              <w:rPr>
                <w:rFonts w:ascii="Cambria Math" w:eastAsia="Times New Roman" w:hAnsi="Cambria Math" w:cs="Times New Roman"/>
                <w:i/>
                <w:sz w:val="21"/>
                <w:szCs w:val="21"/>
              </w:rPr>
            </m:ctrlPr>
          </m:sSubSupPr>
          <m:e>
            <m:r>
              <w:rPr>
                <w:rFonts w:ascii="Cambria Math" w:eastAsia="Times New Roman" w:hAnsi="Cambria Math" w:cs="Times New Roman"/>
                <w:sz w:val="21"/>
                <w:szCs w:val="21"/>
              </w:rPr>
              <m:t>В</m:t>
            </m:r>
          </m:e>
          <m:sub>
            <m:r>
              <w:rPr>
                <w:rFonts w:ascii="Cambria Math" w:eastAsia="Times New Roman" w:hAnsi="Cambria Math" w:cs="Times New Roman"/>
                <w:sz w:val="21"/>
                <w:szCs w:val="21"/>
              </w:rPr>
              <m:t>заг</m:t>
            </m:r>
          </m:sub>
          <m:sup>
            <m:r>
              <w:rPr>
                <w:rFonts w:ascii="Cambria Math" w:eastAsia="Times New Roman" w:hAnsi="Cambria Math" w:cs="Times New Roman"/>
                <w:sz w:val="21"/>
                <w:szCs w:val="21"/>
              </w:rPr>
              <m:t>ОЗ</m:t>
            </m:r>
          </m:sup>
        </m:sSubSup>
      </m:oMath>
      <w:r w:rsidR="00B233DE" w:rsidRPr="0028380E">
        <w:rPr>
          <w:rFonts w:ascii="Times New Roman" w:eastAsia="Times New Roman" w:hAnsi="Times New Roman" w:cs="Times New Roman"/>
          <w:sz w:val="21"/>
          <w:szCs w:val="21"/>
        </w:rPr>
        <w:t xml:space="preserve"> – загальні витрати у регіоні на систему охорони здоров’я у середньому за весь період дослідження, грн.</w:t>
      </w:r>
    </w:p>
    <w:p w:rsidR="00B233DE" w:rsidRPr="0028380E" w:rsidRDefault="00B233DE" w:rsidP="00B233DE">
      <w:pPr>
        <w:widowControl w:val="0"/>
        <w:autoSpaceDE w:val="0"/>
        <w:autoSpaceDN w:val="0"/>
        <w:adjustRightInd w:val="0"/>
        <w:ind w:firstLine="709"/>
        <w:jc w:val="both"/>
        <w:rPr>
          <w:rFonts w:ascii="Times New Roman" w:hAnsi="Times New Roman" w:cs="Times New Roman"/>
          <w:sz w:val="21"/>
          <w:szCs w:val="21"/>
        </w:rPr>
      </w:pPr>
      <w:r w:rsidRPr="0028380E">
        <w:rPr>
          <w:rFonts w:ascii="Times New Roman" w:eastAsia="Times New Roman" w:hAnsi="Times New Roman" w:cs="Times New Roman"/>
          <w:sz w:val="21"/>
          <w:szCs w:val="21"/>
        </w:rPr>
        <w:t xml:space="preserve">Соціальна ефективність </w:t>
      </w:r>
      <w:r w:rsidRPr="0028380E">
        <w:rPr>
          <w:rFonts w:ascii="Times New Roman" w:hAnsi="Times New Roman" w:cs="Times New Roman"/>
          <w:sz w:val="21"/>
          <w:szCs w:val="21"/>
        </w:rPr>
        <w:t>запровадження системи первинної медико-санітарної допомоги на засадах сімейної медицини у регіоні за рахунок зменшення кількості випадків викликів швидкої медичної допомоги розраховується наступним чином:</w:t>
      </w:r>
    </w:p>
    <w:p w:rsidR="00B233DE" w:rsidRPr="0028380E" w:rsidRDefault="00B233DE" w:rsidP="00B233DE">
      <w:pPr>
        <w:widowControl w:val="0"/>
        <w:autoSpaceDE w:val="0"/>
        <w:autoSpaceDN w:val="0"/>
        <w:adjustRightInd w:val="0"/>
        <w:ind w:firstLine="709"/>
        <w:jc w:val="both"/>
        <w:rPr>
          <w:rFonts w:ascii="Times New Roman" w:hAnsi="Times New Roman" w:cs="Times New Roman"/>
          <w:sz w:val="21"/>
          <w:szCs w:val="21"/>
        </w:rPr>
      </w:pPr>
    </w:p>
    <w:tbl>
      <w:tblPr>
        <w:tblW w:w="0" w:type="auto"/>
        <w:jc w:val="center"/>
        <w:tblLook w:val="04A0" w:firstRow="1" w:lastRow="0" w:firstColumn="1" w:lastColumn="0" w:noHBand="0" w:noVBand="1"/>
      </w:tblPr>
      <w:tblGrid>
        <w:gridCol w:w="5672"/>
        <w:gridCol w:w="668"/>
      </w:tblGrid>
      <w:tr w:rsidR="00B233DE" w:rsidRPr="0028380E" w:rsidTr="0023489B">
        <w:trPr>
          <w:jc w:val="center"/>
        </w:trPr>
        <w:tc>
          <w:tcPr>
            <w:tcW w:w="8703" w:type="dxa"/>
            <w:shd w:val="clear" w:color="auto" w:fill="auto"/>
          </w:tcPr>
          <w:p w:rsidR="00B233DE" w:rsidRPr="0028380E" w:rsidRDefault="00EC2A0E" w:rsidP="0023489B">
            <w:pPr>
              <w:widowControl w:val="0"/>
              <w:tabs>
                <w:tab w:val="left" w:pos="8931"/>
              </w:tabs>
              <w:autoSpaceDE w:val="0"/>
              <w:autoSpaceDN w:val="0"/>
              <w:adjustRightInd w:val="0"/>
              <w:ind w:firstLine="709"/>
              <w:jc w:val="center"/>
              <w:rPr>
                <w:rFonts w:ascii="Times New Roman" w:eastAsia="Times New Roman" w:hAnsi="Times New Roman" w:cs="Times New Roman"/>
                <w:sz w:val="21"/>
                <w:szCs w:val="21"/>
              </w:rPr>
            </w:pPr>
            <m:oMathPara>
              <m:oMath>
                <m:sSubSup>
                  <m:sSubSupPr>
                    <m:ctrlPr>
                      <w:rPr>
                        <w:rFonts w:ascii="Cambria Math" w:hAnsi="Cambria Math" w:cs="Times New Roman"/>
                        <w:i/>
                        <w:sz w:val="21"/>
                        <w:szCs w:val="21"/>
                      </w:rPr>
                    </m:ctrlPr>
                  </m:sSubSupPr>
                  <m:e>
                    <m:r>
                      <w:rPr>
                        <w:rFonts w:ascii="Cambria Math" w:hAnsi="Cambria Math" w:cs="Times New Roman"/>
                        <w:sz w:val="21"/>
                        <w:szCs w:val="21"/>
                      </w:rPr>
                      <m:t>Е</m:t>
                    </m:r>
                  </m:e>
                  <m:sub>
                    <m:r>
                      <w:rPr>
                        <w:rFonts w:ascii="Cambria Math" w:hAnsi="Cambria Math" w:cs="Times New Roman"/>
                        <w:sz w:val="21"/>
                        <w:szCs w:val="21"/>
                      </w:rPr>
                      <m:t>соц</m:t>
                    </m:r>
                  </m:sub>
                  <m:sup>
                    <m:r>
                      <w:rPr>
                        <w:rFonts w:ascii="Cambria Math" w:hAnsi="Cambria Math" w:cs="Times New Roman"/>
                        <w:sz w:val="21"/>
                        <w:szCs w:val="21"/>
                      </w:rPr>
                      <m:t>ШД</m:t>
                    </m:r>
                  </m:sup>
                </m:sSubSup>
                <m:r>
                  <w:rPr>
                    <w:rFonts w:ascii="Cambria Math" w:hAnsi="Cambria Math" w:cs="Times New Roman"/>
                    <w:sz w:val="21"/>
                    <w:szCs w:val="21"/>
                  </w:rPr>
                  <m:t>=</m:t>
                </m:r>
                <m:f>
                  <m:fPr>
                    <m:ctrlPr>
                      <w:rPr>
                        <w:rFonts w:ascii="Cambria Math" w:hAnsi="Cambria Math" w:cs="Times New Roman"/>
                        <w:i/>
                        <w:sz w:val="21"/>
                        <w:szCs w:val="21"/>
                      </w:rPr>
                    </m:ctrlPr>
                  </m:fPr>
                  <m:num>
                    <m:d>
                      <m:dPr>
                        <m:ctrlPr>
                          <w:rPr>
                            <w:rFonts w:ascii="Cambria Math" w:hAnsi="Cambria Math" w:cs="Times New Roman"/>
                            <w:i/>
                            <w:sz w:val="21"/>
                            <w:szCs w:val="21"/>
                          </w:rPr>
                        </m:ctrlPr>
                      </m:dPr>
                      <m:e>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ШД</m:t>
                            </m:r>
                          </m:sub>
                          <m:sup>
                            <m:r>
                              <w:rPr>
                                <w:rFonts w:ascii="Cambria Math" w:hAnsi="Cambria Math" w:cs="Times New Roman"/>
                                <w:sz w:val="21"/>
                                <w:szCs w:val="21"/>
                              </w:rPr>
                              <m:t>1</m:t>
                            </m:r>
                          </m:sup>
                        </m:sSubSup>
                        <m:r>
                          <w:rPr>
                            <w:rFonts w:ascii="Cambria Math" w:hAnsi="Cambria Math" w:cs="Times New Roman"/>
                            <w:sz w:val="21"/>
                            <w:szCs w:val="21"/>
                          </w:rPr>
                          <m:t>-</m:t>
                        </m:r>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ШД</m:t>
                            </m:r>
                          </m:sub>
                          <m:sup>
                            <m:r>
                              <w:rPr>
                                <w:rFonts w:ascii="Cambria Math" w:hAnsi="Cambria Math" w:cs="Times New Roman"/>
                                <w:sz w:val="21"/>
                                <w:szCs w:val="21"/>
                              </w:rPr>
                              <m:t>2</m:t>
                            </m:r>
                          </m:sup>
                        </m:sSubSup>
                      </m:e>
                    </m:d>
                    <m:r>
                      <w:rPr>
                        <w:rFonts w:ascii="Cambria Math" w:hAnsi="Cambria Math" w:cs="Times New Roman"/>
                        <w:sz w:val="21"/>
                        <w:szCs w:val="21"/>
                      </w:rPr>
                      <m:t>∙</m:t>
                    </m:r>
                    <m:sSubSup>
                      <m:sSubSupPr>
                        <m:ctrlPr>
                          <w:rPr>
                            <w:rFonts w:ascii="Cambria Math" w:hAnsi="Cambria Math" w:cs="Times New Roman"/>
                            <w:i/>
                            <w:sz w:val="21"/>
                            <w:szCs w:val="21"/>
                          </w:rPr>
                        </m:ctrlPr>
                      </m:sSubSupPr>
                      <m:e>
                        <m:r>
                          <w:rPr>
                            <w:rFonts w:ascii="Cambria Math" w:hAnsi="Cambria Math" w:cs="Times New Roman"/>
                            <w:sz w:val="21"/>
                            <w:szCs w:val="21"/>
                          </w:rPr>
                          <m:t>В</m:t>
                        </m:r>
                      </m:e>
                      <m:sub>
                        <m:r>
                          <w:rPr>
                            <w:rFonts w:ascii="Cambria Math" w:hAnsi="Cambria Math" w:cs="Times New Roman"/>
                            <w:sz w:val="21"/>
                            <w:szCs w:val="21"/>
                          </w:rPr>
                          <m:t>ШД</m:t>
                        </m:r>
                      </m:sub>
                      <m:sup>
                        <m:r>
                          <w:rPr>
                            <w:rFonts w:ascii="Cambria Math" w:hAnsi="Cambria Math" w:cs="Times New Roman"/>
                            <w:sz w:val="21"/>
                            <w:szCs w:val="21"/>
                          </w:rPr>
                          <m:t>1п</m:t>
                        </m:r>
                      </m:sup>
                    </m:sSubSup>
                  </m:num>
                  <m:den>
                    <m:sSubSup>
                      <m:sSubSupPr>
                        <m:ctrlPr>
                          <w:rPr>
                            <w:rFonts w:ascii="Cambria Math" w:hAnsi="Cambria Math" w:cs="Times New Roman"/>
                            <w:i/>
                            <w:sz w:val="21"/>
                            <w:szCs w:val="21"/>
                          </w:rPr>
                        </m:ctrlPr>
                      </m:sSubSupPr>
                      <m:e>
                        <m:r>
                          <w:rPr>
                            <w:rFonts w:ascii="Cambria Math" w:hAnsi="Cambria Math" w:cs="Times New Roman"/>
                            <w:sz w:val="21"/>
                            <w:szCs w:val="21"/>
                          </w:rPr>
                          <m:t>В</m:t>
                        </m:r>
                      </m:e>
                      <m:sub>
                        <m:r>
                          <w:rPr>
                            <w:rFonts w:ascii="Cambria Math" w:hAnsi="Cambria Math" w:cs="Times New Roman"/>
                            <w:sz w:val="21"/>
                            <w:szCs w:val="21"/>
                          </w:rPr>
                          <m:t>заг</m:t>
                        </m:r>
                      </m:sub>
                      <m:sup>
                        <m:r>
                          <w:rPr>
                            <w:rFonts w:ascii="Cambria Math" w:hAnsi="Cambria Math" w:cs="Times New Roman"/>
                            <w:sz w:val="21"/>
                            <w:szCs w:val="21"/>
                          </w:rPr>
                          <m:t>ОЗ</m:t>
                        </m:r>
                      </m:sup>
                    </m:sSubSup>
                  </m:den>
                </m:f>
              </m:oMath>
            </m:oMathPara>
          </w:p>
        </w:tc>
        <w:tc>
          <w:tcPr>
            <w:tcW w:w="710" w:type="dxa"/>
            <w:shd w:val="clear" w:color="auto" w:fill="auto"/>
            <w:vAlign w:val="center"/>
          </w:tcPr>
          <w:p w:rsidR="00B233DE" w:rsidRPr="0028380E" w:rsidRDefault="00B233DE" w:rsidP="0023489B">
            <w:pPr>
              <w:widowControl w:val="0"/>
              <w:autoSpaceDE w:val="0"/>
              <w:autoSpaceDN w:val="0"/>
              <w:adjustRightInd w:val="0"/>
              <w:ind w:firstLine="0"/>
              <w:rPr>
                <w:rFonts w:ascii="Times New Roman" w:eastAsia="Times New Roman" w:hAnsi="Times New Roman" w:cs="Times New Roman"/>
                <w:sz w:val="21"/>
                <w:szCs w:val="21"/>
              </w:rPr>
            </w:pPr>
            <w:r w:rsidRPr="0028380E">
              <w:rPr>
                <w:rFonts w:ascii="Times New Roman" w:eastAsia="Times New Roman" w:hAnsi="Times New Roman" w:cs="Times New Roman"/>
                <w:sz w:val="21"/>
                <w:szCs w:val="21"/>
              </w:rPr>
              <w:t>(</w:t>
            </w:r>
            <w:r>
              <w:rPr>
                <w:rFonts w:ascii="Times New Roman" w:eastAsia="Times New Roman" w:hAnsi="Times New Roman" w:cs="Times New Roman"/>
                <w:sz w:val="21"/>
                <w:szCs w:val="21"/>
              </w:rPr>
              <w:t>6</w:t>
            </w:r>
            <w:r w:rsidRPr="0028380E">
              <w:rPr>
                <w:rFonts w:ascii="Times New Roman" w:eastAsia="Times New Roman" w:hAnsi="Times New Roman" w:cs="Times New Roman"/>
                <w:sz w:val="21"/>
                <w:szCs w:val="21"/>
              </w:rPr>
              <w:t>.8)</w:t>
            </w:r>
          </w:p>
        </w:tc>
      </w:tr>
    </w:tbl>
    <w:p w:rsidR="00B233DE" w:rsidRPr="0028380E" w:rsidRDefault="00B233DE" w:rsidP="00B233DE">
      <w:pPr>
        <w:widowControl w:val="0"/>
        <w:autoSpaceDE w:val="0"/>
        <w:autoSpaceDN w:val="0"/>
        <w:adjustRightInd w:val="0"/>
        <w:ind w:firstLine="709"/>
        <w:jc w:val="both"/>
        <w:rPr>
          <w:rFonts w:ascii="Times New Roman" w:hAnsi="Times New Roman" w:cs="Times New Roman"/>
          <w:sz w:val="21"/>
          <w:szCs w:val="21"/>
        </w:rPr>
      </w:pPr>
    </w:p>
    <w:p w:rsidR="00B233DE" w:rsidRPr="0028380E" w:rsidRDefault="00B233DE" w:rsidP="00B233DE">
      <w:pPr>
        <w:widowControl w:val="0"/>
        <w:autoSpaceDE w:val="0"/>
        <w:autoSpaceDN w:val="0"/>
        <w:adjustRightInd w:val="0"/>
        <w:ind w:firstLine="709"/>
        <w:jc w:val="both"/>
        <w:rPr>
          <w:rFonts w:ascii="Times New Roman" w:eastAsia="Times New Roman" w:hAnsi="Times New Roman" w:cs="Times New Roman"/>
          <w:sz w:val="21"/>
          <w:szCs w:val="21"/>
        </w:rPr>
      </w:pPr>
      <w:r w:rsidRPr="0028380E">
        <w:rPr>
          <w:rFonts w:ascii="Times New Roman" w:eastAsia="Times New Roman" w:hAnsi="Times New Roman" w:cs="Times New Roman"/>
          <w:sz w:val="21"/>
          <w:szCs w:val="21"/>
        </w:rPr>
        <w:t xml:space="preserve">де </w:t>
      </w:r>
      <m:oMath>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ШД</m:t>
            </m:r>
          </m:sub>
          <m:sup>
            <m:r>
              <w:rPr>
                <w:rFonts w:ascii="Cambria Math" w:hAnsi="Cambria Math" w:cs="Times New Roman"/>
                <w:sz w:val="21"/>
                <w:szCs w:val="21"/>
              </w:rPr>
              <m:t>1</m:t>
            </m:r>
          </m:sup>
        </m:sSubSup>
      </m:oMath>
      <w:r w:rsidRPr="0028380E">
        <w:rPr>
          <w:rFonts w:ascii="Times New Roman" w:eastAsia="Times New Roman" w:hAnsi="Times New Roman" w:cs="Times New Roman"/>
          <w:sz w:val="21"/>
          <w:szCs w:val="21"/>
        </w:rPr>
        <w:t xml:space="preserve"> – кількість випадків викликів швидкої медичної допомоги у першому періоді, одиниць;</w:t>
      </w:r>
    </w:p>
    <w:p w:rsidR="00B233DE" w:rsidRPr="0028380E" w:rsidRDefault="00EC2A0E" w:rsidP="00B233DE">
      <w:pPr>
        <w:widowControl w:val="0"/>
        <w:autoSpaceDE w:val="0"/>
        <w:autoSpaceDN w:val="0"/>
        <w:adjustRightInd w:val="0"/>
        <w:ind w:firstLine="709"/>
        <w:jc w:val="both"/>
        <w:rPr>
          <w:rFonts w:ascii="Times New Roman" w:eastAsia="Times New Roman" w:hAnsi="Times New Roman" w:cs="Times New Roman"/>
          <w:sz w:val="21"/>
          <w:szCs w:val="21"/>
        </w:rPr>
      </w:pPr>
      <m:oMath>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ШД</m:t>
            </m:r>
          </m:sub>
          <m:sup>
            <m:r>
              <w:rPr>
                <w:rFonts w:ascii="Cambria Math" w:hAnsi="Cambria Math" w:cs="Times New Roman"/>
                <w:sz w:val="21"/>
                <w:szCs w:val="21"/>
              </w:rPr>
              <m:t>2</m:t>
            </m:r>
          </m:sup>
        </m:sSubSup>
      </m:oMath>
      <w:r w:rsidR="00B233DE" w:rsidRPr="0028380E">
        <w:rPr>
          <w:rFonts w:ascii="Times New Roman" w:eastAsia="Times New Roman" w:hAnsi="Times New Roman" w:cs="Times New Roman"/>
          <w:sz w:val="21"/>
          <w:szCs w:val="21"/>
        </w:rPr>
        <w:t xml:space="preserve"> – кількість випадків викликів швидкої медичної допомоги у останньому періоді, одиниць;</w:t>
      </w:r>
    </w:p>
    <w:p w:rsidR="00B233DE" w:rsidRPr="0028380E" w:rsidRDefault="00EC2A0E" w:rsidP="00B233DE">
      <w:pPr>
        <w:widowControl w:val="0"/>
        <w:autoSpaceDE w:val="0"/>
        <w:autoSpaceDN w:val="0"/>
        <w:adjustRightInd w:val="0"/>
        <w:ind w:firstLine="709"/>
        <w:jc w:val="both"/>
        <w:rPr>
          <w:rFonts w:ascii="Times New Roman" w:eastAsia="Times New Roman" w:hAnsi="Times New Roman" w:cs="Times New Roman"/>
          <w:sz w:val="21"/>
          <w:szCs w:val="21"/>
        </w:rPr>
      </w:pPr>
      <m:oMath>
        <m:sSubSup>
          <m:sSubSupPr>
            <m:ctrlPr>
              <w:rPr>
                <w:rFonts w:ascii="Cambria Math" w:hAnsi="Cambria Math" w:cs="Times New Roman"/>
                <w:i/>
                <w:sz w:val="21"/>
                <w:szCs w:val="21"/>
              </w:rPr>
            </m:ctrlPr>
          </m:sSubSupPr>
          <m:e>
            <m:r>
              <w:rPr>
                <w:rFonts w:ascii="Cambria Math" w:hAnsi="Cambria Math" w:cs="Times New Roman"/>
                <w:sz w:val="21"/>
                <w:szCs w:val="21"/>
              </w:rPr>
              <m:t>В</m:t>
            </m:r>
          </m:e>
          <m:sub>
            <m:r>
              <w:rPr>
                <w:rFonts w:ascii="Cambria Math" w:hAnsi="Cambria Math" w:cs="Times New Roman"/>
                <w:sz w:val="21"/>
                <w:szCs w:val="21"/>
              </w:rPr>
              <m:t>ШД</m:t>
            </m:r>
          </m:sub>
          <m:sup>
            <m:r>
              <w:rPr>
                <w:rFonts w:ascii="Cambria Math" w:hAnsi="Cambria Math" w:cs="Times New Roman"/>
                <w:sz w:val="21"/>
                <w:szCs w:val="21"/>
              </w:rPr>
              <m:t>1в</m:t>
            </m:r>
          </m:sup>
        </m:sSubSup>
      </m:oMath>
      <w:r w:rsidR="00B233DE" w:rsidRPr="0028380E">
        <w:rPr>
          <w:rFonts w:ascii="Times New Roman" w:eastAsia="Times New Roman" w:hAnsi="Times New Roman" w:cs="Times New Roman"/>
          <w:sz w:val="21"/>
          <w:szCs w:val="21"/>
        </w:rPr>
        <w:t xml:space="preserve"> – витрати виклику швидкої медичної допомоги у розрахунку на один виклик у середньому за весь період дослідження на рік (півріччя, квартал тощо), грн.</w:t>
      </w:r>
    </w:p>
    <w:p w:rsidR="00B233DE" w:rsidRPr="0028380E" w:rsidRDefault="00B233DE" w:rsidP="00B233DE">
      <w:pPr>
        <w:widowControl w:val="0"/>
        <w:autoSpaceDE w:val="0"/>
        <w:autoSpaceDN w:val="0"/>
        <w:adjustRightInd w:val="0"/>
        <w:ind w:firstLine="709"/>
        <w:jc w:val="both"/>
        <w:rPr>
          <w:rFonts w:ascii="Times New Roman" w:hAnsi="Times New Roman" w:cs="Times New Roman"/>
          <w:sz w:val="21"/>
          <w:szCs w:val="21"/>
        </w:rPr>
      </w:pPr>
      <w:r w:rsidRPr="0028380E">
        <w:rPr>
          <w:rFonts w:ascii="Times New Roman" w:eastAsia="Times New Roman" w:hAnsi="Times New Roman" w:cs="Times New Roman"/>
          <w:sz w:val="21"/>
          <w:szCs w:val="21"/>
        </w:rPr>
        <w:t xml:space="preserve">Задля розрахунку соціальної ефективності </w:t>
      </w:r>
      <w:r w:rsidRPr="0028380E">
        <w:rPr>
          <w:rFonts w:ascii="Times New Roman" w:hAnsi="Times New Roman" w:cs="Times New Roman"/>
          <w:sz w:val="21"/>
          <w:szCs w:val="21"/>
        </w:rPr>
        <w:t>запровадження системи первинної медико-санітарної допомоги на засадах сімейної медицини у регіоні за рахунок зменшення кількості відвідувань лікарів-спеціалістів, потрібно врахувати різницю у витратах на відвідування спеціалістів відповідно вторинного і третинного</w:t>
      </w:r>
      <w:r>
        <w:rPr>
          <w:rFonts w:ascii="Times New Roman" w:hAnsi="Times New Roman" w:cs="Times New Roman"/>
          <w:sz w:val="21"/>
          <w:szCs w:val="21"/>
        </w:rPr>
        <w:t xml:space="preserve"> </w:t>
      </w:r>
      <w:r w:rsidRPr="0028380E">
        <w:rPr>
          <w:rFonts w:ascii="Times New Roman" w:hAnsi="Times New Roman" w:cs="Times New Roman"/>
          <w:sz w:val="21"/>
          <w:szCs w:val="21"/>
        </w:rPr>
        <w:lastRenderedPageBreak/>
        <w:t>рівнів:</w:t>
      </w:r>
    </w:p>
    <w:p w:rsidR="00B233DE" w:rsidRPr="0028380E" w:rsidRDefault="00B233DE" w:rsidP="00B233DE">
      <w:pPr>
        <w:widowControl w:val="0"/>
        <w:autoSpaceDE w:val="0"/>
        <w:autoSpaceDN w:val="0"/>
        <w:adjustRightInd w:val="0"/>
        <w:ind w:firstLine="709"/>
        <w:jc w:val="both"/>
        <w:rPr>
          <w:rFonts w:ascii="Times New Roman" w:hAnsi="Times New Roman" w:cs="Times New Roman"/>
          <w:sz w:val="21"/>
          <w:szCs w:val="21"/>
        </w:rPr>
      </w:pPr>
    </w:p>
    <w:tbl>
      <w:tblPr>
        <w:tblW w:w="0" w:type="auto"/>
        <w:jc w:val="center"/>
        <w:tblLook w:val="04A0" w:firstRow="1" w:lastRow="0" w:firstColumn="1" w:lastColumn="0" w:noHBand="0" w:noVBand="1"/>
      </w:tblPr>
      <w:tblGrid>
        <w:gridCol w:w="5676"/>
        <w:gridCol w:w="664"/>
      </w:tblGrid>
      <w:tr w:rsidR="00B233DE" w:rsidRPr="0028380E" w:rsidTr="0023489B">
        <w:trPr>
          <w:jc w:val="center"/>
        </w:trPr>
        <w:tc>
          <w:tcPr>
            <w:tcW w:w="8703" w:type="dxa"/>
            <w:shd w:val="clear" w:color="auto" w:fill="auto"/>
          </w:tcPr>
          <w:p w:rsidR="00B233DE" w:rsidRPr="0028380E" w:rsidRDefault="00B233DE" w:rsidP="0023489B">
            <w:pPr>
              <w:widowControl w:val="0"/>
              <w:autoSpaceDE w:val="0"/>
              <w:autoSpaceDN w:val="0"/>
              <w:adjustRightInd w:val="0"/>
              <w:jc w:val="center"/>
              <w:rPr>
                <w:rFonts w:ascii="Times New Roman" w:eastAsia="Times New Roman" w:hAnsi="Times New Roman" w:cs="Times New Roman"/>
                <w:sz w:val="21"/>
                <w:szCs w:val="21"/>
              </w:rPr>
            </w:pPr>
            <w:r>
              <w:rPr>
                <w:rFonts w:ascii="Times New Roman" w:hAnsi="Times New Roman" w:cs="Times New Roman"/>
                <w:sz w:val="21"/>
                <w:szCs w:val="21"/>
              </w:rPr>
              <w:t xml:space="preserve">        </w:t>
            </w:r>
            <m:oMath>
              <m:sSubSup>
                <m:sSubSupPr>
                  <m:ctrlPr>
                    <w:rPr>
                      <w:rFonts w:ascii="Cambria Math" w:hAnsi="Cambria Math" w:cs="Times New Roman"/>
                      <w:i/>
                      <w:sz w:val="21"/>
                      <w:szCs w:val="21"/>
                    </w:rPr>
                  </m:ctrlPr>
                </m:sSubSupPr>
                <m:e>
                  <m:r>
                    <w:rPr>
                      <w:rFonts w:ascii="Cambria Math" w:hAnsi="Cambria Math" w:cs="Times New Roman"/>
                      <w:sz w:val="21"/>
                      <w:szCs w:val="21"/>
                    </w:rPr>
                    <m:t>Е</m:t>
                  </m:r>
                </m:e>
                <m:sub>
                  <m:r>
                    <w:rPr>
                      <w:rFonts w:ascii="Cambria Math" w:hAnsi="Cambria Math" w:cs="Times New Roman"/>
                      <w:sz w:val="21"/>
                      <w:szCs w:val="21"/>
                    </w:rPr>
                    <m:t>соц</m:t>
                  </m:r>
                </m:sub>
                <m:sup>
                  <m:r>
                    <w:rPr>
                      <w:rFonts w:ascii="Cambria Math" w:hAnsi="Cambria Math" w:cs="Times New Roman"/>
                      <w:sz w:val="21"/>
                      <w:szCs w:val="21"/>
                    </w:rPr>
                    <m:t>ВС</m:t>
                  </m:r>
                </m:sup>
              </m:sSubSup>
              <m:r>
                <w:rPr>
                  <w:rFonts w:ascii="Cambria Math" w:hAnsi="Cambria Math" w:cs="Times New Roman"/>
                  <w:sz w:val="21"/>
                  <w:szCs w:val="21"/>
                </w:rPr>
                <m:t>=</m:t>
              </m:r>
              <m:f>
                <m:fPr>
                  <m:ctrlPr>
                    <w:rPr>
                      <w:rFonts w:ascii="Cambria Math" w:hAnsi="Cambria Math" w:cs="Times New Roman"/>
                      <w:i/>
                      <w:sz w:val="21"/>
                      <w:szCs w:val="21"/>
                    </w:rPr>
                  </m:ctrlPr>
                </m:fPr>
                <m:num>
                  <m:d>
                    <m:dPr>
                      <m:ctrlPr>
                        <w:rPr>
                          <w:rFonts w:ascii="Cambria Math" w:hAnsi="Cambria Math" w:cs="Times New Roman"/>
                          <w:i/>
                          <w:sz w:val="21"/>
                          <w:szCs w:val="21"/>
                        </w:rPr>
                      </m:ctrlPr>
                    </m:dPr>
                    <m:e>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ВСВ</m:t>
                          </m:r>
                        </m:sub>
                        <m:sup>
                          <m:r>
                            <w:rPr>
                              <w:rFonts w:ascii="Cambria Math" w:hAnsi="Cambria Math" w:cs="Times New Roman"/>
                              <w:sz w:val="21"/>
                              <w:szCs w:val="21"/>
                            </w:rPr>
                            <m:t>1</m:t>
                          </m:r>
                        </m:sup>
                      </m:sSubSup>
                      <m:r>
                        <w:rPr>
                          <w:rFonts w:ascii="Cambria Math" w:hAnsi="Cambria Math" w:cs="Times New Roman"/>
                          <w:sz w:val="21"/>
                          <w:szCs w:val="21"/>
                        </w:rPr>
                        <m:t>-</m:t>
                      </m:r>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ВСВ</m:t>
                          </m:r>
                        </m:sub>
                        <m:sup>
                          <m:r>
                            <w:rPr>
                              <w:rFonts w:ascii="Cambria Math" w:hAnsi="Cambria Math" w:cs="Times New Roman"/>
                              <w:sz w:val="21"/>
                              <w:szCs w:val="21"/>
                            </w:rPr>
                            <m:t>2</m:t>
                          </m:r>
                        </m:sup>
                      </m:sSubSup>
                    </m:e>
                  </m:d>
                  <m:r>
                    <w:rPr>
                      <w:rFonts w:ascii="Cambria Math" w:hAnsi="Cambria Math" w:cs="Times New Roman"/>
                      <w:sz w:val="21"/>
                      <w:szCs w:val="21"/>
                    </w:rPr>
                    <m:t>∙</m:t>
                  </m:r>
                  <m:sSubSup>
                    <m:sSubSupPr>
                      <m:ctrlPr>
                        <w:rPr>
                          <w:rFonts w:ascii="Cambria Math" w:hAnsi="Cambria Math" w:cs="Times New Roman"/>
                          <w:i/>
                          <w:sz w:val="21"/>
                          <w:szCs w:val="21"/>
                        </w:rPr>
                      </m:ctrlPr>
                    </m:sSubSupPr>
                    <m:e>
                      <m:r>
                        <w:rPr>
                          <w:rFonts w:ascii="Cambria Math" w:hAnsi="Cambria Math" w:cs="Times New Roman"/>
                          <w:sz w:val="21"/>
                          <w:szCs w:val="21"/>
                        </w:rPr>
                        <m:t>В</m:t>
                      </m:r>
                    </m:e>
                    <m:sub>
                      <m:r>
                        <w:rPr>
                          <w:rFonts w:ascii="Cambria Math" w:hAnsi="Cambria Math" w:cs="Times New Roman"/>
                          <w:sz w:val="21"/>
                          <w:szCs w:val="21"/>
                        </w:rPr>
                        <m:t>ВСВ</m:t>
                      </m:r>
                    </m:sub>
                    <m:sup>
                      <m:r>
                        <w:rPr>
                          <w:rFonts w:ascii="Cambria Math" w:hAnsi="Cambria Math" w:cs="Times New Roman"/>
                          <w:sz w:val="21"/>
                          <w:szCs w:val="21"/>
                        </w:rPr>
                        <m:t>1п</m:t>
                      </m:r>
                    </m:sup>
                  </m:sSubSup>
                  <m:r>
                    <w:rPr>
                      <w:rFonts w:ascii="Cambria Math" w:hAnsi="Cambria Math" w:cs="Times New Roman"/>
                      <w:sz w:val="21"/>
                      <w:szCs w:val="21"/>
                    </w:rPr>
                    <m:t>+</m:t>
                  </m:r>
                  <m:d>
                    <m:dPr>
                      <m:ctrlPr>
                        <w:rPr>
                          <w:rFonts w:ascii="Cambria Math" w:hAnsi="Cambria Math" w:cs="Times New Roman"/>
                          <w:i/>
                          <w:sz w:val="21"/>
                          <w:szCs w:val="21"/>
                        </w:rPr>
                      </m:ctrlPr>
                    </m:dPr>
                    <m:e>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ВСТ</m:t>
                          </m:r>
                        </m:sub>
                        <m:sup>
                          <m:r>
                            <w:rPr>
                              <w:rFonts w:ascii="Cambria Math" w:hAnsi="Cambria Math" w:cs="Times New Roman"/>
                              <w:sz w:val="21"/>
                              <w:szCs w:val="21"/>
                            </w:rPr>
                            <m:t>1</m:t>
                          </m:r>
                        </m:sup>
                      </m:sSubSup>
                      <m:r>
                        <w:rPr>
                          <w:rFonts w:ascii="Cambria Math" w:hAnsi="Cambria Math" w:cs="Times New Roman"/>
                          <w:sz w:val="21"/>
                          <w:szCs w:val="21"/>
                        </w:rPr>
                        <m:t>-</m:t>
                      </m:r>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ВСТ</m:t>
                          </m:r>
                        </m:sub>
                        <m:sup>
                          <m:r>
                            <w:rPr>
                              <w:rFonts w:ascii="Cambria Math" w:hAnsi="Cambria Math" w:cs="Times New Roman"/>
                              <w:sz w:val="21"/>
                              <w:szCs w:val="21"/>
                            </w:rPr>
                            <m:t>2</m:t>
                          </m:r>
                        </m:sup>
                      </m:sSubSup>
                    </m:e>
                  </m:d>
                  <m:r>
                    <w:rPr>
                      <w:rFonts w:ascii="Cambria Math" w:hAnsi="Cambria Math" w:cs="Times New Roman"/>
                      <w:sz w:val="21"/>
                      <w:szCs w:val="21"/>
                    </w:rPr>
                    <m:t>∙</m:t>
                  </m:r>
                  <m:sSubSup>
                    <m:sSubSupPr>
                      <m:ctrlPr>
                        <w:rPr>
                          <w:rFonts w:ascii="Cambria Math" w:hAnsi="Cambria Math" w:cs="Times New Roman"/>
                          <w:i/>
                          <w:sz w:val="21"/>
                          <w:szCs w:val="21"/>
                        </w:rPr>
                      </m:ctrlPr>
                    </m:sSubSupPr>
                    <m:e>
                      <m:r>
                        <w:rPr>
                          <w:rFonts w:ascii="Cambria Math" w:hAnsi="Cambria Math" w:cs="Times New Roman"/>
                          <w:sz w:val="21"/>
                          <w:szCs w:val="21"/>
                        </w:rPr>
                        <m:t>В</m:t>
                      </m:r>
                    </m:e>
                    <m:sub>
                      <m:r>
                        <w:rPr>
                          <w:rFonts w:ascii="Cambria Math" w:hAnsi="Cambria Math" w:cs="Times New Roman"/>
                          <w:sz w:val="21"/>
                          <w:szCs w:val="21"/>
                        </w:rPr>
                        <m:t>ВСТ</m:t>
                      </m:r>
                    </m:sub>
                    <m:sup>
                      <m:r>
                        <w:rPr>
                          <w:rFonts w:ascii="Cambria Math" w:hAnsi="Cambria Math" w:cs="Times New Roman"/>
                          <w:sz w:val="21"/>
                          <w:szCs w:val="21"/>
                        </w:rPr>
                        <m:t>1п</m:t>
                      </m:r>
                    </m:sup>
                  </m:sSubSup>
                </m:num>
                <m:den>
                  <m:sSubSup>
                    <m:sSubSupPr>
                      <m:ctrlPr>
                        <w:rPr>
                          <w:rFonts w:ascii="Cambria Math" w:hAnsi="Cambria Math" w:cs="Times New Roman"/>
                          <w:i/>
                          <w:sz w:val="21"/>
                          <w:szCs w:val="21"/>
                        </w:rPr>
                      </m:ctrlPr>
                    </m:sSubSupPr>
                    <m:e>
                      <m:r>
                        <w:rPr>
                          <w:rFonts w:ascii="Cambria Math" w:hAnsi="Cambria Math" w:cs="Times New Roman"/>
                          <w:sz w:val="21"/>
                          <w:szCs w:val="21"/>
                        </w:rPr>
                        <m:t>В</m:t>
                      </m:r>
                    </m:e>
                    <m:sub>
                      <m:r>
                        <w:rPr>
                          <w:rFonts w:ascii="Cambria Math" w:hAnsi="Cambria Math" w:cs="Times New Roman"/>
                          <w:sz w:val="21"/>
                          <w:szCs w:val="21"/>
                        </w:rPr>
                        <m:t>заг</m:t>
                      </m:r>
                    </m:sub>
                    <m:sup>
                      <m:r>
                        <w:rPr>
                          <w:rFonts w:ascii="Cambria Math" w:hAnsi="Cambria Math" w:cs="Times New Roman"/>
                          <w:sz w:val="21"/>
                          <w:szCs w:val="21"/>
                        </w:rPr>
                        <m:t>ОЗ</m:t>
                      </m:r>
                    </m:sup>
                  </m:sSubSup>
                </m:den>
              </m:f>
            </m:oMath>
          </w:p>
        </w:tc>
        <w:tc>
          <w:tcPr>
            <w:tcW w:w="710" w:type="dxa"/>
            <w:shd w:val="clear" w:color="auto" w:fill="auto"/>
            <w:vAlign w:val="center"/>
          </w:tcPr>
          <w:p w:rsidR="00B233DE" w:rsidRPr="0028380E" w:rsidRDefault="00B233DE" w:rsidP="0023489B">
            <w:pPr>
              <w:widowControl w:val="0"/>
              <w:autoSpaceDE w:val="0"/>
              <w:autoSpaceDN w:val="0"/>
              <w:adjustRightInd w:val="0"/>
              <w:ind w:firstLine="0"/>
              <w:rPr>
                <w:rFonts w:ascii="Times New Roman" w:eastAsia="Times New Roman" w:hAnsi="Times New Roman" w:cs="Times New Roman"/>
                <w:sz w:val="21"/>
                <w:szCs w:val="21"/>
              </w:rPr>
            </w:pPr>
            <w:r w:rsidRPr="0028380E">
              <w:rPr>
                <w:rFonts w:ascii="Times New Roman" w:eastAsia="Times New Roman" w:hAnsi="Times New Roman" w:cs="Times New Roman"/>
                <w:sz w:val="21"/>
                <w:szCs w:val="21"/>
              </w:rPr>
              <w:t>(</w:t>
            </w:r>
            <w:r>
              <w:rPr>
                <w:rFonts w:ascii="Times New Roman" w:eastAsia="Times New Roman" w:hAnsi="Times New Roman" w:cs="Times New Roman"/>
                <w:sz w:val="21"/>
                <w:szCs w:val="21"/>
              </w:rPr>
              <w:t>6</w:t>
            </w:r>
            <w:r w:rsidRPr="0028380E">
              <w:rPr>
                <w:rFonts w:ascii="Times New Roman" w:eastAsia="Times New Roman" w:hAnsi="Times New Roman" w:cs="Times New Roman"/>
                <w:sz w:val="21"/>
                <w:szCs w:val="21"/>
              </w:rPr>
              <w:t>.9)</w:t>
            </w:r>
          </w:p>
        </w:tc>
      </w:tr>
    </w:tbl>
    <w:p w:rsidR="00B233DE" w:rsidRPr="0028380E" w:rsidRDefault="00B233DE" w:rsidP="00B233DE">
      <w:pPr>
        <w:widowControl w:val="0"/>
        <w:autoSpaceDE w:val="0"/>
        <w:autoSpaceDN w:val="0"/>
        <w:adjustRightInd w:val="0"/>
        <w:ind w:firstLine="709"/>
        <w:jc w:val="both"/>
        <w:rPr>
          <w:rFonts w:ascii="Times New Roman" w:hAnsi="Times New Roman" w:cs="Times New Roman"/>
          <w:sz w:val="21"/>
          <w:szCs w:val="21"/>
        </w:rPr>
      </w:pPr>
    </w:p>
    <w:p w:rsidR="00B233DE" w:rsidRPr="0028380E" w:rsidRDefault="00B233DE" w:rsidP="00B233DE">
      <w:pPr>
        <w:widowControl w:val="0"/>
        <w:autoSpaceDE w:val="0"/>
        <w:autoSpaceDN w:val="0"/>
        <w:adjustRightInd w:val="0"/>
        <w:ind w:firstLine="709"/>
        <w:jc w:val="both"/>
        <w:rPr>
          <w:rFonts w:ascii="Times New Roman" w:eastAsia="Times New Roman" w:hAnsi="Times New Roman" w:cs="Times New Roman"/>
          <w:sz w:val="21"/>
          <w:szCs w:val="21"/>
        </w:rPr>
      </w:pPr>
      <w:r w:rsidRPr="0028380E">
        <w:rPr>
          <w:rFonts w:ascii="Times New Roman" w:eastAsia="Times New Roman" w:hAnsi="Times New Roman" w:cs="Times New Roman"/>
          <w:sz w:val="21"/>
          <w:szCs w:val="21"/>
        </w:rPr>
        <w:t xml:space="preserve">де </w:t>
      </w:r>
      <m:oMath>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ВСВ</m:t>
            </m:r>
          </m:sub>
          <m:sup>
            <m:r>
              <w:rPr>
                <w:rFonts w:ascii="Cambria Math" w:hAnsi="Cambria Math" w:cs="Times New Roman"/>
                <w:sz w:val="21"/>
                <w:szCs w:val="21"/>
              </w:rPr>
              <m:t>1</m:t>
            </m:r>
          </m:sup>
        </m:sSubSup>
      </m:oMath>
      <w:r w:rsidRPr="0028380E">
        <w:rPr>
          <w:rFonts w:ascii="Times New Roman" w:eastAsia="Times New Roman" w:hAnsi="Times New Roman" w:cs="Times New Roman"/>
          <w:sz w:val="21"/>
          <w:szCs w:val="21"/>
        </w:rPr>
        <w:t xml:space="preserve"> – кількість відвідувань лікарів-спеціалістів вторинного рівня у першому періоді, одиниць;</w:t>
      </w:r>
    </w:p>
    <w:p w:rsidR="00B233DE" w:rsidRPr="0028380E" w:rsidRDefault="00EC2A0E" w:rsidP="00B233DE">
      <w:pPr>
        <w:widowControl w:val="0"/>
        <w:autoSpaceDE w:val="0"/>
        <w:autoSpaceDN w:val="0"/>
        <w:adjustRightInd w:val="0"/>
        <w:ind w:firstLine="709"/>
        <w:jc w:val="both"/>
        <w:rPr>
          <w:rFonts w:ascii="Times New Roman" w:eastAsia="Times New Roman" w:hAnsi="Times New Roman" w:cs="Times New Roman"/>
          <w:sz w:val="21"/>
          <w:szCs w:val="21"/>
        </w:rPr>
      </w:pPr>
      <m:oMath>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ВСВ</m:t>
            </m:r>
          </m:sub>
          <m:sup>
            <m:r>
              <w:rPr>
                <w:rFonts w:ascii="Cambria Math" w:hAnsi="Cambria Math" w:cs="Times New Roman"/>
                <w:sz w:val="21"/>
                <w:szCs w:val="21"/>
              </w:rPr>
              <m:t>2</m:t>
            </m:r>
          </m:sup>
        </m:sSubSup>
      </m:oMath>
      <w:r w:rsidR="00B233DE" w:rsidRPr="0028380E">
        <w:rPr>
          <w:rFonts w:ascii="Times New Roman" w:eastAsia="Times New Roman" w:hAnsi="Times New Roman" w:cs="Times New Roman"/>
          <w:sz w:val="21"/>
          <w:szCs w:val="21"/>
        </w:rPr>
        <w:t xml:space="preserve"> – кількість відвідувань лікарів-спеціалістів вторинного рівня у останньому періоді, одиниць;</w:t>
      </w:r>
    </w:p>
    <w:p w:rsidR="00B233DE" w:rsidRPr="0028380E" w:rsidRDefault="00EC2A0E" w:rsidP="00B233DE">
      <w:pPr>
        <w:widowControl w:val="0"/>
        <w:autoSpaceDE w:val="0"/>
        <w:autoSpaceDN w:val="0"/>
        <w:adjustRightInd w:val="0"/>
        <w:ind w:firstLine="709"/>
        <w:jc w:val="both"/>
        <w:rPr>
          <w:rFonts w:ascii="Times New Roman" w:eastAsia="Times New Roman" w:hAnsi="Times New Roman" w:cs="Times New Roman"/>
          <w:sz w:val="21"/>
          <w:szCs w:val="21"/>
        </w:rPr>
      </w:pPr>
      <m:oMath>
        <m:sSubSup>
          <m:sSubSupPr>
            <m:ctrlPr>
              <w:rPr>
                <w:rFonts w:ascii="Cambria Math" w:hAnsi="Cambria Math" w:cs="Times New Roman"/>
                <w:i/>
                <w:sz w:val="21"/>
                <w:szCs w:val="21"/>
              </w:rPr>
            </m:ctrlPr>
          </m:sSubSupPr>
          <m:e>
            <m:r>
              <w:rPr>
                <w:rFonts w:ascii="Cambria Math" w:hAnsi="Cambria Math" w:cs="Times New Roman"/>
                <w:sz w:val="21"/>
                <w:szCs w:val="21"/>
              </w:rPr>
              <m:t>В</m:t>
            </m:r>
          </m:e>
          <m:sub>
            <m:r>
              <w:rPr>
                <w:rFonts w:ascii="Cambria Math" w:hAnsi="Cambria Math" w:cs="Times New Roman"/>
                <w:sz w:val="21"/>
                <w:szCs w:val="21"/>
              </w:rPr>
              <m:t>ВСВ</m:t>
            </m:r>
          </m:sub>
          <m:sup>
            <m:r>
              <w:rPr>
                <w:rFonts w:ascii="Cambria Math" w:hAnsi="Cambria Math" w:cs="Times New Roman"/>
                <w:sz w:val="21"/>
                <w:szCs w:val="21"/>
              </w:rPr>
              <m:t>1п</m:t>
            </m:r>
          </m:sup>
        </m:sSubSup>
      </m:oMath>
      <w:r w:rsidR="00B233DE" w:rsidRPr="0028380E">
        <w:rPr>
          <w:rFonts w:ascii="Times New Roman" w:eastAsia="Times New Roman" w:hAnsi="Times New Roman" w:cs="Times New Roman"/>
          <w:sz w:val="21"/>
          <w:szCs w:val="21"/>
        </w:rPr>
        <w:t xml:space="preserve"> – витрати на відвідування лікарів-спеціалістів вторинного рівня у середньому за весь період дослідження у розрахунку на рік (півріччя, квартал тощо), грн;</w:t>
      </w:r>
    </w:p>
    <w:p w:rsidR="00B233DE" w:rsidRPr="0028380E" w:rsidRDefault="00EC2A0E" w:rsidP="00B233DE">
      <w:pPr>
        <w:widowControl w:val="0"/>
        <w:autoSpaceDE w:val="0"/>
        <w:autoSpaceDN w:val="0"/>
        <w:adjustRightInd w:val="0"/>
        <w:ind w:firstLine="709"/>
        <w:jc w:val="both"/>
        <w:rPr>
          <w:rFonts w:ascii="Times New Roman" w:eastAsia="Times New Roman" w:hAnsi="Times New Roman" w:cs="Times New Roman"/>
          <w:sz w:val="21"/>
          <w:szCs w:val="21"/>
        </w:rPr>
      </w:pPr>
      <m:oMath>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ВСТ</m:t>
            </m:r>
          </m:sub>
          <m:sup>
            <m:r>
              <w:rPr>
                <w:rFonts w:ascii="Cambria Math" w:hAnsi="Cambria Math" w:cs="Times New Roman"/>
                <w:sz w:val="21"/>
                <w:szCs w:val="21"/>
              </w:rPr>
              <m:t>1</m:t>
            </m:r>
          </m:sup>
        </m:sSubSup>
      </m:oMath>
      <w:r w:rsidR="00B233DE" w:rsidRPr="0028380E">
        <w:rPr>
          <w:rFonts w:ascii="Times New Roman" w:eastAsia="Times New Roman" w:hAnsi="Times New Roman" w:cs="Times New Roman"/>
          <w:sz w:val="21"/>
          <w:szCs w:val="21"/>
        </w:rPr>
        <w:t xml:space="preserve"> – кількість відвідувань лікарів-спеціалістів третинного рівня у першому періоді, одиниць;</w:t>
      </w:r>
    </w:p>
    <w:p w:rsidR="00B233DE" w:rsidRPr="0028380E" w:rsidRDefault="00EC2A0E" w:rsidP="00B233DE">
      <w:pPr>
        <w:widowControl w:val="0"/>
        <w:autoSpaceDE w:val="0"/>
        <w:autoSpaceDN w:val="0"/>
        <w:adjustRightInd w:val="0"/>
        <w:ind w:firstLine="709"/>
        <w:jc w:val="both"/>
        <w:rPr>
          <w:rFonts w:ascii="Times New Roman" w:eastAsia="Times New Roman" w:hAnsi="Times New Roman" w:cs="Times New Roman"/>
          <w:sz w:val="21"/>
          <w:szCs w:val="21"/>
        </w:rPr>
      </w:pPr>
      <m:oMath>
        <m:sSubSup>
          <m:sSubSupPr>
            <m:ctrlPr>
              <w:rPr>
                <w:rFonts w:ascii="Cambria Math" w:hAnsi="Cambria Math" w:cs="Times New Roman"/>
                <w:i/>
                <w:sz w:val="21"/>
                <w:szCs w:val="21"/>
              </w:rPr>
            </m:ctrlPr>
          </m:sSubSupPr>
          <m:e>
            <m:r>
              <w:rPr>
                <w:rFonts w:ascii="Cambria Math" w:hAnsi="Cambria Math" w:cs="Times New Roman"/>
                <w:sz w:val="21"/>
                <w:szCs w:val="21"/>
              </w:rPr>
              <m:t>К</m:t>
            </m:r>
          </m:e>
          <m:sub>
            <m:r>
              <w:rPr>
                <w:rFonts w:ascii="Cambria Math" w:hAnsi="Cambria Math" w:cs="Times New Roman"/>
                <w:sz w:val="21"/>
                <w:szCs w:val="21"/>
              </w:rPr>
              <m:t>ВСТ</m:t>
            </m:r>
          </m:sub>
          <m:sup>
            <m:r>
              <w:rPr>
                <w:rFonts w:ascii="Cambria Math" w:hAnsi="Cambria Math" w:cs="Times New Roman"/>
                <w:sz w:val="21"/>
                <w:szCs w:val="21"/>
              </w:rPr>
              <m:t>2</m:t>
            </m:r>
          </m:sup>
        </m:sSubSup>
      </m:oMath>
      <w:r w:rsidR="00B233DE" w:rsidRPr="0028380E">
        <w:rPr>
          <w:rFonts w:ascii="Times New Roman" w:eastAsia="Times New Roman" w:hAnsi="Times New Roman" w:cs="Times New Roman"/>
          <w:sz w:val="21"/>
          <w:szCs w:val="21"/>
        </w:rPr>
        <w:t xml:space="preserve"> – кількість відвідувань лікарів-спеціалістів третинного рівня у останньому періоді, одиниць;</w:t>
      </w:r>
    </w:p>
    <w:p w:rsidR="00B233DE" w:rsidRPr="0028380E" w:rsidRDefault="00EC2A0E" w:rsidP="00B233DE">
      <w:pPr>
        <w:widowControl w:val="0"/>
        <w:autoSpaceDE w:val="0"/>
        <w:autoSpaceDN w:val="0"/>
        <w:adjustRightInd w:val="0"/>
        <w:ind w:firstLine="709"/>
        <w:jc w:val="both"/>
        <w:rPr>
          <w:rFonts w:ascii="Times New Roman" w:eastAsia="Times New Roman" w:hAnsi="Times New Roman" w:cs="Times New Roman"/>
          <w:sz w:val="21"/>
          <w:szCs w:val="21"/>
        </w:rPr>
      </w:pPr>
      <m:oMath>
        <m:sSubSup>
          <m:sSubSupPr>
            <m:ctrlPr>
              <w:rPr>
                <w:rFonts w:ascii="Cambria Math" w:hAnsi="Cambria Math" w:cs="Times New Roman"/>
                <w:i/>
                <w:sz w:val="21"/>
                <w:szCs w:val="21"/>
              </w:rPr>
            </m:ctrlPr>
          </m:sSubSupPr>
          <m:e>
            <m:r>
              <w:rPr>
                <w:rFonts w:ascii="Cambria Math" w:hAnsi="Cambria Math" w:cs="Times New Roman"/>
                <w:sz w:val="21"/>
                <w:szCs w:val="21"/>
              </w:rPr>
              <m:t>В</m:t>
            </m:r>
          </m:e>
          <m:sub>
            <m:r>
              <w:rPr>
                <w:rFonts w:ascii="Cambria Math" w:hAnsi="Cambria Math" w:cs="Times New Roman"/>
                <w:sz w:val="21"/>
                <w:szCs w:val="21"/>
              </w:rPr>
              <m:t>ВСТ</m:t>
            </m:r>
          </m:sub>
          <m:sup>
            <m:r>
              <w:rPr>
                <w:rFonts w:ascii="Cambria Math" w:hAnsi="Cambria Math" w:cs="Times New Roman"/>
                <w:sz w:val="21"/>
                <w:szCs w:val="21"/>
              </w:rPr>
              <m:t>1п</m:t>
            </m:r>
          </m:sup>
        </m:sSubSup>
      </m:oMath>
      <w:r w:rsidR="00B233DE" w:rsidRPr="0028380E">
        <w:rPr>
          <w:rFonts w:ascii="Times New Roman" w:eastAsia="Times New Roman" w:hAnsi="Times New Roman" w:cs="Times New Roman"/>
          <w:sz w:val="21"/>
          <w:szCs w:val="21"/>
        </w:rPr>
        <w:t xml:space="preserve"> – витрати на відвідування лікарів-спеціалістів третинного рівня у середньому за весь період дослідження у розрахунку на рік (півріччя, квартал тощо), грн.</w:t>
      </w:r>
    </w:p>
    <w:p w:rsidR="00B233DE" w:rsidRPr="0028380E" w:rsidRDefault="00B233DE" w:rsidP="00B233DE">
      <w:pPr>
        <w:widowControl w:val="0"/>
        <w:autoSpaceDE w:val="0"/>
        <w:autoSpaceDN w:val="0"/>
        <w:adjustRightInd w:val="0"/>
        <w:ind w:firstLine="709"/>
        <w:jc w:val="both"/>
        <w:rPr>
          <w:rFonts w:ascii="Times New Roman" w:hAnsi="Times New Roman" w:cs="Times New Roman"/>
          <w:sz w:val="21"/>
          <w:szCs w:val="21"/>
        </w:rPr>
      </w:pPr>
      <w:r w:rsidRPr="0028380E">
        <w:rPr>
          <w:rFonts w:ascii="Times New Roman" w:eastAsia="Times New Roman" w:hAnsi="Times New Roman" w:cs="Times New Roman"/>
          <w:sz w:val="21"/>
          <w:szCs w:val="21"/>
        </w:rPr>
        <w:t xml:space="preserve">Реформування комунальної власності передбачає серед іншого процес переходу об’єктів комунальної власності до приватної. Переваги і недоліки функціонування сімейних лікарів на основі комунальної та приватної форм власності також є важливим питанням, яке постає перед територіальною громадою та органами місцевого самоврядування під час реформування сфери охорони здоров’я в аспекті </w:t>
      </w:r>
      <w:r w:rsidRPr="0028380E">
        <w:rPr>
          <w:rFonts w:ascii="Times New Roman" w:hAnsi="Times New Roman" w:cs="Times New Roman"/>
          <w:sz w:val="21"/>
          <w:szCs w:val="21"/>
        </w:rPr>
        <w:t xml:space="preserve">запровадження системи первинної медико-санітарної допомоги на засадах сімейної медицини. </w:t>
      </w:r>
    </w:p>
    <w:p w:rsidR="00B233DE" w:rsidRPr="00AE63CB" w:rsidRDefault="00B233DE" w:rsidP="00B233DE">
      <w:pPr>
        <w:widowControl w:val="0"/>
        <w:autoSpaceDE w:val="0"/>
        <w:autoSpaceDN w:val="0"/>
        <w:adjustRightInd w:val="0"/>
        <w:ind w:firstLine="709"/>
        <w:jc w:val="both"/>
        <w:rPr>
          <w:rFonts w:ascii="Times New Roman" w:eastAsia="Times New Roman" w:hAnsi="Times New Roman"/>
          <w:sz w:val="21"/>
          <w:szCs w:val="21"/>
        </w:rPr>
      </w:pPr>
      <w:r w:rsidRPr="0028380E">
        <w:rPr>
          <w:rFonts w:ascii="Times New Roman" w:eastAsia="Times New Roman" w:hAnsi="Times New Roman" w:cs="Times New Roman"/>
          <w:sz w:val="21"/>
          <w:szCs w:val="21"/>
        </w:rPr>
        <w:t>Відповідно до результатів досліджень, які проводилися у</w:t>
      </w:r>
      <w:r w:rsidRPr="00AE63CB">
        <w:rPr>
          <w:rFonts w:ascii="Times New Roman" w:eastAsia="Times New Roman" w:hAnsi="Times New Roman"/>
          <w:sz w:val="21"/>
          <w:szCs w:val="21"/>
        </w:rPr>
        <w:t xml:space="preserve"> м. Вінниця у 2005-2010 рр. значення коефіцієнта загальної смертності населення, яке обслуговується приватними сімейними лікарями, на 18 % менше порівняно з аналогічним показником населення, що обслуговується поліклінікою-центром ПМСД та системою ПМСД міста у цілому. Індекс здоров‘я дітей першого року життя, які обслуговуються приватними сімейними лікарями, покращився на 30 %; коефіцієнт госпіталізації громадян – зменшився на 18 %, коефіцієнт викликів «швидкої допомоги» протягом зазначеного періоду серед громадян, які обслуговуються приватними сімейними лікарями, зменшився більш ніж на 33% .</w:t>
      </w: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r w:rsidRPr="00AE63CB">
        <w:rPr>
          <w:rFonts w:ascii="Times New Roman" w:hAnsi="Times New Roman"/>
          <w:sz w:val="21"/>
          <w:szCs w:val="21"/>
        </w:rPr>
        <w:lastRenderedPageBreak/>
        <w:t>Розрахунок соціальної ефективності діяльності комуналь</w:t>
      </w:r>
      <w:r>
        <w:rPr>
          <w:rFonts w:ascii="Times New Roman" w:hAnsi="Times New Roman"/>
          <w:sz w:val="21"/>
          <w:szCs w:val="21"/>
        </w:rPr>
        <w:t>-</w:t>
      </w:r>
      <w:r w:rsidRPr="00AE63CB">
        <w:rPr>
          <w:rFonts w:ascii="Times New Roman" w:hAnsi="Times New Roman"/>
          <w:sz w:val="21"/>
          <w:szCs w:val="21"/>
        </w:rPr>
        <w:t>них і приватних лікарів сімейної медицини є ключовим етапом визначення напрямів подальшого реформування галузі у регіоні.</w:t>
      </w:r>
    </w:p>
    <w:p w:rsidR="00F30309" w:rsidRPr="005656FB" w:rsidRDefault="00F30309" w:rsidP="00F30309">
      <w:pPr>
        <w:widowControl w:val="0"/>
        <w:autoSpaceDE w:val="0"/>
        <w:autoSpaceDN w:val="0"/>
        <w:adjustRightInd w:val="0"/>
        <w:ind w:firstLine="709"/>
        <w:jc w:val="both"/>
        <w:rPr>
          <w:rFonts w:ascii="Times New Roman" w:hAnsi="Times New Roman"/>
          <w:sz w:val="21"/>
          <w:szCs w:val="21"/>
        </w:rPr>
      </w:pPr>
      <w:r w:rsidRPr="005656FB">
        <w:rPr>
          <w:rFonts w:ascii="Times New Roman" w:hAnsi="Times New Roman"/>
          <w:sz w:val="21"/>
          <w:szCs w:val="21"/>
        </w:rPr>
        <w:t>На нашу думку, соціальну ефективність діяльності комунальних та приватних лікарів сімейної медицини можна розрахувати на основі співвідношення економії коштів від запровадження системи ПМСД на засадах сімейної медицини за рахунок зменшення випадків госпіталізації, викликів «швидкої допомоги» та звернень до лікарів-спеціалістів вторинного і третинного рівнів (спрямованих у подальшому на соціальні цілі) до загальних витрат на систему ПМСД на засадах сімейної медицини відповідно комунальної та приватної сфер:</w:t>
      </w:r>
    </w:p>
    <w:p w:rsidR="00F30309" w:rsidRPr="005656FB" w:rsidRDefault="00F30309" w:rsidP="00F30309">
      <w:pPr>
        <w:widowControl w:val="0"/>
        <w:autoSpaceDE w:val="0"/>
        <w:autoSpaceDN w:val="0"/>
        <w:adjustRightInd w:val="0"/>
        <w:jc w:val="both"/>
        <w:rPr>
          <w:rFonts w:ascii="Times New Roman" w:hAnsi="Times New Roman"/>
          <w:sz w:val="21"/>
          <w:szCs w:val="21"/>
        </w:rPr>
      </w:pPr>
    </w:p>
    <w:p w:rsidR="00F30309" w:rsidRPr="005656FB" w:rsidRDefault="00F30309" w:rsidP="00F30309">
      <w:pPr>
        <w:widowControl w:val="0"/>
        <w:tabs>
          <w:tab w:val="left" w:pos="8647"/>
        </w:tabs>
        <w:autoSpaceDE w:val="0"/>
        <w:autoSpaceDN w:val="0"/>
        <w:adjustRightInd w:val="0"/>
        <w:ind w:firstLine="1134"/>
        <w:jc w:val="both"/>
        <w:rPr>
          <w:rFonts w:ascii="Times New Roman" w:hAnsi="Times New Roman"/>
          <w:sz w:val="21"/>
          <w:szCs w:val="21"/>
        </w:rPr>
      </w:pPr>
      <w:r>
        <w:rPr>
          <w:rFonts w:ascii="Times New Roman" w:hAnsi="Times New Roman"/>
          <w:sz w:val="21"/>
          <w:szCs w:val="21"/>
        </w:rPr>
        <w:t xml:space="preserve">                 </w:t>
      </w:r>
      <m:oMath>
        <m:sSubSup>
          <m:sSubSupPr>
            <m:ctrlPr>
              <w:rPr>
                <w:rFonts w:ascii="Cambria Math" w:hAnsi="Cambria Math"/>
                <w:i/>
                <w:sz w:val="21"/>
                <w:szCs w:val="21"/>
              </w:rPr>
            </m:ctrlPr>
          </m:sSubSupPr>
          <m:e>
            <m:r>
              <w:rPr>
                <w:rFonts w:ascii="Cambria Math" w:hAnsi="Cambria Math"/>
                <w:sz w:val="21"/>
                <w:szCs w:val="21"/>
              </w:rPr>
              <m:t>Е</m:t>
            </m:r>
          </m:e>
          <m:sub>
            <m:r>
              <w:rPr>
                <w:rFonts w:ascii="Cambria Math" w:hAnsi="Cambria Math"/>
                <w:sz w:val="21"/>
                <w:szCs w:val="21"/>
              </w:rPr>
              <m:t>соц</m:t>
            </m:r>
          </m:sub>
          <m:sup>
            <m:f>
              <m:fPr>
                <m:ctrlPr>
                  <w:rPr>
                    <w:rFonts w:ascii="Cambria Math" w:hAnsi="Cambria Math"/>
                    <w:i/>
                    <w:sz w:val="21"/>
                    <w:szCs w:val="21"/>
                  </w:rPr>
                </m:ctrlPr>
              </m:fPr>
              <m:num>
                <m:r>
                  <w:rPr>
                    <w:rFonts w:ascii="Cambria Math" w:hAnsi="Cambria Math"/>
                    <w:sz w:val="21"/>
                    <w:szCs w:val="21"/>
                  </w:rPr>
                  <m:t>ПМСД</m:t>
                </m:r>
              </m:num>
              <m:den>
                <m:r>
                  <w:rPr>
                    <w:rFonts w:ascii="Cambria Math" w:hAnsi="Cambria Math"/>
                    <w:sz w:val="21"/>
                    <w:szCs w:val="21"/>
                  </w:rPr>
                  <m:t>СМ</m:t>
                </m:r>
              </m:den>
            </m:f>
            <m:r>
              <w:rPr>
                <w:rFonts w:ascii="Cambria Math" w:hAnsi="Cambria Math"/>
                <w:sz w:val="21"/>
                <w:szCs w:val="21"/>
              </w:rPr>
              <m:t>К</m:t>
            </m:r>
          </m:sup>
        </m:sSubSup>
        <m:r>
          <w:rPr>
            <w:rFonts w:ascii="Cambria Math" w:hAnsi="Cambria Math"/>
            <w:sz w:val="21"/>
            <w:szCs w:val="21"/>
          </w:rPr>
          <m:t>=</m:t>
        </m:r>
        <m:sSubSup>
          <m:sSubSupPr>
            <m:ctrlPr>
              <w:rPr>
                <w:rFonts w:ascii="Cambria Math" w:hAnsi="Cambria Math"/>
                <w:i/>
                <w:sz w:val="21"/>
                <w:szCs w:val="21"/>
              </w:rPr>
            </m:ctrlPr>
          </m:sSubSupPr>
          <m:e>
            <m:r>
              <w:rPr>
                <w:rFonts w:ascii="Cambria Math" w:hAnsi="Cambria Math"/>
                <w:sz w:val="21"/>
                <w:szCs w:val="21"/>
              </w:rPr>
              <m:t>Е</m:t>
            </m:r>
          </m:e>
          <m:sub>
            <m:r>
              <w:rPr>
                <w:rFonts w:ascii="Cambria Math" w:hAnsi="Cambria Math"/>
                <w:sz w:val="21"/>
                <w:szCs w:val="21"/>
              </w:rPr>
              <m:t>соц</m:t>
            </m:r>
          </m:sub>
          <m:sup>
            <m:r>
              <w:rPr>
                <w:rFonts w:ascii="Cambria Math" w:hAnsi="Cambria Math"/>
                <w:sz w:val="21"/>
                <w:szCs w:val="21"/>
              </w:rPr>
              <m:t>г К</m:t>
            </m:r>
          </m:sup>
        </m:sSubSup>
        <m:r>
          <w:rPr>
            <w:rFonts w:ascii="Cambria Math" w:hAnsi="Cambria Math"/>
            <w:sz w:val="21"/>
            <w:szCs w:val="21"/>
          </w:rPr>
          <m:t>+</m:t>
        </m:r>
        <m:sSubSup>
          <m:sSubSupPr>
            <m:ctrlPr>
              <w:rPr>
                <w:rFonts w:ascii="Cambria Math" w:hAnsi="Cambria Math"/>
                <w:i/>
                <w:sz w:val="21"/>
                <w:szCs w:val="21"/>
              </w:rPr>
            </m:ctrlPr>
          </m:sSubSupPr>
          <m:e>
            <m:r>
              <w:rPr>
                <w:rFonts w:ascii="Cambria Math" w:hAnsi="Cambria Math"/>
                <w:sz w:val="21"/>
                <w:szCs w:val="21"/>
              </w:rPr>
              <m:t>Е</m:t>
            </m:r>
          </m:e>
          <m:sub>
            <m:r>
              <w:rPr>
                <w:rFonts w:ascii="Cambria Math" w:hAnsi="Cambria Math"/>
                <w:sz w:val="21"/>
                <w:szCs w:val="21"/>
              </w:rPr>
              <m:t>соц</m:t>
            </m:r>
          </m:sub>
          <m:sup>
            <m:r>
              <w:rPr>
                <w:rFonts w:ascii="Cambria Math" w:hAnsi="Cambria Math"/>
                <w:sz w:val="21"/>
                <w:szCs w:val="21"/>
              </w:rPr>
              <m:t>ШД К</m:t>
            </m:r>
          </m:sup>
        </m:sSubSup>
        <m:r>
          <w:rPr>
            <w:rFonts w:ascii="Cambria Math" w:hAnsi="Cambria Math"/>
            <w:sz w:val="21"/>
            <w:szCs w:val="21"/>
          </w:rPr>
          <m:t>+</m:t>
        </m:r>
        <m:sSubSup>
          <m:sSubSupPr>
            <m:ctrlPr>
              <w:rPr>
                <w:rFonts w:ascii="Cambria Math" w:hAnsi="Cambria Math"/>
                <w:i/>
                <w:sz w:val="21"/>
                <w:szCs w:val="21"/>
              </w:rPr>
            </m:ctrlPr>
          </m:sSubSupPr>
          <m:e>
            <m:r>
              <w:rPr>
                <w:rFonts w:ascii="Cambria Math" w:hAnsi="Cambria Math"/>
                <w:sz w:val="21"/>
                <w:szCs w:val="21"/>
              </w:rPr>
              <m:t>Е</m:t>
            </m:r>
          </m:e>
          <m:sub>
            <m:r>
              <w:rPr>
                <w:rFonts w:ascii="Cambria Math" w:hAnsi="Cambria Math"/>
                <w:sz w:val="21"/>
                <w:szCs w:val="21"/>
              </w:rPr>
              <m:t>соц</m:t>
            </m:r>
          </m:sub>
          <m:sup>
            <m:r>
              <w:rPr>
                <w:rFonts w:ascii="Cambria Math" w:hAnsi="Cambria Math"/>
                <w:sz w:val="21"/>
                <w:szCs w:val="21"/>
              </w:rPr>
              <m:t>ВС К</m:t>
            </m:r>
          </m:sup>
        </m:sSubSup>
      </m:oMath>
      <w:r w:rsidRPr="005656FB">
        <w:rPr>
          <w:rFonts w:ascii="Times New Roman" w:eastAsia="Times New Roman" w:hAnsi="Times New Roman"/>
          <w:sz w:val="21"/>
          <w:szCs w:val="21"/>
        </w:rPr>
        <w:fldChar w:fldCharType="begin"/>
      </w:r>
      <w:r w:rsidRPr="005656FB">
        <w:rPr>
          <w:rFonts w:ascii="Times New Roman" w:eastAsia="Times New Roman" w:hAnsi="Times New Roman"/>
          <w:sz w:val="21"/>
          <w:szCs w:val="21"/>
        </w:rPr>
        <w:instrText xml:space="preserve"> QUOTE </w:instrText>
      </w:r>
      <m:oMath>
        <m:sSubSup>
          <m:sSubSupPr>
            <m:ctrlPr>
              <w:rPr>
                <w:rFonts w:ascii="Cambria Math" w:hAnsi="Cambria Math"/>
                <w:i/>
                <w:sz w:val="21"/>
                <w:szCs w:val="21"/>
              </w:rPr>
            </m:ctrlPr>
          </m:sSubSupPr>
          <m:e>
            <m:r>
              <m:rPr>
                <m:sty m:val="p"/>
              </m:rPr>
              <w:rPr>
                <w:rFonts w:ascii="Cambria Math" w:hAnsi="Cambria Math"/>
                <w:sz w:val="21"/>
                <w:szCs w:val="21"/>
              </w:rPr>
              <m:t>Е</m:t>
            </m:r>
          </m:e>
          <m:sub>
            <m:r>
              <m:rPr>
                <m:sty m:val="p"/>
              </m:rPr>
              <w:rPr>
                <w:rFonts w:ascii="Cambria Math" w:hAnsi="Cambria Math"/>
                <w:sz w:val="21"/>
                <w:szCs w:val="21"/>
              </w:rPr>
              <m:t>соц</m:t>
            </m:r>
          </m:sub>
          <m:sup>
            <m:f>
              <m:fPr>
                <m:ctrlPr>
                  <w:rPr>
                    <w:rFonts w:ascii="Cambria Math" w:hAnsi="Cambria Math"/>
                    <w:i/>
                    <w:sz w:val="21"/>
                    <w:szCs w:val="21"/>
                  </w:rPr>
                </m:ctrlPr>
              </m:fPr>
              <m:num>
                <m:r>
                  <m:rPr>
                    <m:sty m:val="p"/>
                  </m:rPr>
                  <w:rPr>
                    <w:rFonts w:ascii="Cambria Math" w:hAnsi="Cambria Math"/>
                    <w:sz w:val="21"/>
                    <w:szCs w:val="21"/>
                  </w:rPr>
                  <m:t>ПМСД</m:t>
                </m:r>
              </m:num>
              <m:den>
                <m:r>
                  <m:rPr>
                    <m:sty m:val="p"/>
                  </m:rPr>
                  <w:rPr>
                    <w:rFonts w:ascii="Cambria Math" w:hAnsi="Cambria Math"/>
                    <w:sz w:val="21"/>
                    <w:szCs w:val="21"/>
                  </w:rPr>
                  <m:t>СМ</m:t>
                </m:r>
              </m:den>
            </m:f>
            <m:r>
              <m:rPr>
                <m:sty m:val="p"/>
              </m:rPr>
              <w:rPr>
                <w:rFonts w:ascii="Cambria Math" w:hAnsi="Cambria Math"/>
                <w:sz w:val="21"/>
                <w:szCs w:val="21"/>
              </w:rPr>
              <m:t>К</m:t>
            </m:r>
          </m:sup>
        </m:sSubSup>
        <m:r>
          <m:rPr>
            <m:sty m:val="p"/>
          </m:rPr>
          <w:rPr>
            <w:rFonts w:ascii="Cambria Math" w:hAnsi="Cambria Math"/>
            <w:sz w:val="21"/>
            <w:szCs w:val="21"/>
          </w:rPr>
          <m:t>=</m:t>
        </m:r>
        <m:sSubSup>
          <m:sSubSupPr>
            <m:ctrlPr>
              <w:rPr>
                <w:rFonts w:ascii="Cambria Math" w:hAnsi="Cambria Math"/>
                <w:i/>
                <w:sz w:val="21"/>
                <w:szCs w:val="21"/>
              </w:rPr>
            </m:ctrlPr>
          </m:sSubSupPr>
          <m:e>
            <m:r>
              <m:rPr>
                <m:sty m:val="p"/>
              </m:rPr>
              <w:rPr>
                <w:rFonts w:ascii="Cambria Math" w:hAnsi="Cambria Math"/>
                <w:sz w:val="21"/>
                <w:szCs w:val="21"/>
              </w:rPr>
              <m:t>Е</m:t>
            </m:r>
          </m:e>
          <m:sub>
            <m:r>
              <m:rPr>
                <m:sty m:val="p"/>
              </m:rPr>
              <w:rPr>
                <w:rFonts w:ascii="Cambria Math" w:hAnsi="Cambria Math"/>
                <w:sz w:val="21"/>
                <w:szCs w:val="21"/>
              </w:rPr>
              <m:t>соц</m:t>
            </m:r>
          </m:sub>
          <m:sup>
            <m:r>
              <m:rPr>
                <m:sty m:val="p"/>
              </m:rPr>
              <w:rPr>
                <w:rFonts w:ascii="Cambria Math" w:hAnsi="Cambria Math"/>
                <w:sz w:val="21"/>
                <w:szCs w:val="21"/>
              </w:rPr>
              <m:t>г К</m:t>
            </m:r>
          </m:sup>
        </m:sSubSup>
        <m:r>
          <m:rPr>
            <m:sty m:val="p"/>
          </m:rPr>
          <w:rPr>
            <w:rFonts w:ascii="Cambria Math" w:hAnsi="Cambria Math"/>
            <w:sz w:val="21"/>
            <w:szCs w:val="21"/>
          </w:rPr>
          <m:t>+</m:t>
        </m:r>
        <m:sSubSup>
          <m:sSubSupPr>
            <m:ctrlPr>
              <w:rPr>
                <w:rFonts w:ascii="Cambria Math" w:hAnsi="Cambria Math"/>
                <w:i/>
                <w:sz w:val="21"/>
                <w:szCs w:val="21"/>
              </w:rPr>
            </m:ctrlPr>
          </m:sSubSupPr>
          <m:e>
            <m:r>
              <m:rPr>
                <m:sty m:val="p"/>
              </m:rPr>
              <w:rPr>
                <w:rFonts w:ascii="Cambria Math" w:hAnsi="Cambria Math"/>
                <w:sz w:val="21"/>
                <w:szCs w:val="21"/>
              </w:rPr>
              <m:t>Е</m:t>
            </m:r>
          </m:e>
          <m:sub>
            <m:r>
              <m:rPr>
                <m:sty m:val="p"/>
              </m:rPr>
              <w:rPr>
                <w:rFonts w:ascii="Cambria Math" w:hAnsi="Cambria Math"/>
                <w:sz w:val="21"/>
                <w:szCs w:val="21"/>
              </w:rPr>
              <m:t>соц</m:t>
            </m:r>
          </m:sub>
          <m:sup>
            <m:r>
              <m:rPr>
                <m:sty m:val="p"/>
              </m:rPr>
              <w:rPr>
                <w:rFonts w:ascii="Cambria Math" w:hAnsi="Cambria Math"/>
                <w:sz w:val="21"/>
                <w:szCs w:val="21"/>
              </w:rPr>
              <m:t>ШД К</m:t>
            </m:r>
          </m:sup>
        </m:sSubSup>
        <m:r>
          <m:rPr>
            <m:sty m:val="p"/>
          </m:rPr>
          <w:rPr>
            <w:rFonts w:ascii="Cambria Math" w:hAnsi="Cambria Math"/>
            <w:sz w:val="21"/>
            <w:szCs w:val="21"/>
          </w:rPr>
          <m:t>+</m:t>
        </m:r>
        <m:sSubSup>
          <m:sSubSupPr>
            <m:ctrlPr>
              <w:rPr>
                <w:rFonts w:ascii="Cambria Math" w:hAnsi="Cambria Math"/>
                <w:i/>
                <w:sz w:val="21"/>
                <w:szCs w:val="21"/>
              </w:rPr>
            </m:ctrlPr>
          </m:sSubSupPr>
          <m:e>
            <m:r>
              <m:rPr>
                <m:sty m:val="p"/>
              </m:rPr>
              <w:rPr>
                <w:rFonts w:ascii="Cambria Math" w:hAnsi="Cambria Math"/>
                <w:sz w:val="21"/>
                <w:szCs w:val="21"/>
              </w:rPr>
              <m:t>Е</m:t>
            </m:r>
          </m:e>
          <m:sub>
            <m:r>
              <m:rPr>
                <m:sty m:val="p"/>
              </m:rPr>
              <w:rPr>
                <w:rFonts w:ascii="Cambria Math" w:hAnsi="Cambria Math"/>
                <w:sz w:val="21"/>
                <w:szCs w:val="21"/>
              </w:rPr>
              <m:t>соц</m:t>
            </m:r>
          </m:sub>
          <m:sup>
            <m:r>
              <m:rPr>
                <m:sty m:val="p"/>
              </m:rPr>
              <w:rPr>
                <w:rFonts w:ascii="Cambria Math" w:hAnsi="Cambria Math"/>
                <w:sz w:val="21"/>
                <w:szCs w:val="21"/>
              </w:rPr>
              <m:t>ВС К</m:t>
            </m:r>
          </m:sup>
        </m:sSubSup>
      </m:oMath>
      <w:r w:rsidRPr="005656FB">
        <w:rPr>
          <w:rFonts w:ascii="Times New Roman" w:eastAsia="Times New Roman" w:hAnsi="Times New Roman"/>
          <w:sz w:val="21"/>
          <w:szCs w:val="21"/>
        </w:rPr>
        <w:instrText xml:space="preserve"> </w:instrText>
      </w:r>
      <w:r w:rsidRPr="005656FB">
        <w:rPr>
          <w:rFonts w:ascii="Times New Roman" w:eastAsia="Times New Roman" w:hAnsi="Times New Roman"/>
          <w:sz w:val="21"/>
          <w:szCs w:val="21"/>
        </w:rPr>
        <w:fldChar w:fldCharType="end"/>
      </w:r>
      <w:r w:rsidRPr="005656FB">
        <w:rPr>
          <w:rFonts w:ascii="Times New Roman" w:eastAsia="Times New Roman" w:hAnsi="Times New Roman"/>
          <w:sz w:val="21"/>
          <w:szCs w:val="21"/>
        </w:rPr>
        <w:t xml:space="preserve"> </w:t>
      </w:r>
      <w:r>
        <w:rPr>
          <w:rFonts w:ascii="Times New Roman" w:eastAsia="Times New Roman" w:hAnsi="Times New Roman"/>
          <w:sz w:val="21"/>
          <w:szCs w:val="21"/>
        </w:rPr>
        <w:t xml:space="preserve">                 </w:t>
      </w:r>
      <w:r w:rsidRPr="005656FB">
        <w:rPr>
          <w:rFonts w:ascii="Times New Roman" w:eastAsia="Times New Roman" w:hAnsi="Times New Roman"/>
          <w:sz w:val="21"/>
          <w:szCs w:val="21"/>
        </w:rPr>
        <w:t>(</w:t>
      </w:r>
      <w:r>
        <w:rPr>
          <w:rFonts w:ascii="Times New Roman" w:eastAsia="Times New Roman" w:hAnsi="Times New Roman"/>
          <w:sz w:val="21"/>
          <w:szCs w:val="21"/>
        </w:rPr>
        <w:t>6</w:t>
      </w:r>
      <w:r w:rsidRPr="005656FB">
        <w:rPr>
          <w:rFonts w:ascii="Times New Roman" w:eastAsia="Times New Roman" w:hAnsi="Times New Roman"/>
          <w:sz w:val="21"/>
          <w:szCs w:val="21"/>
        </w:rPr>
        <w:t>.10)</w:t>
      </w:r>
    </w:p>
    <w:p w:rsidR="00F30309" w:rsidRPr="005656FB" w:rsidRDefault="00F30309" w:rsidP="00F30309">
      <w:pPr>
        <w:widowControl w:val="0"/>
        <w:autoSpaceDE w:val="0"/>
        <w:autoSpaceDN w:val="0"/>
        <w:adjustRightInd w:val="0"/>
        <w:jc w:val="both"/>
        <w:rPr>
          <w:rFonts w:ascii="Times New Roman" w:hAnsi="Times New Roman"/>
          <w:sz w:val="21"/>
          <w:szCs w:val="21"/>
        </w:rPr>
      </w:pPr>
    </w:p>
    <w:p w:rsidR="00F30309" w:rsidRPr="005656FB" w:rsidRDefault="00F30309" w:rsidP="00F30309">
      <w:pPr>
        <w:widowControl w:val="0"/>
        <w:autoSpaceDE w:val="0"/>
        <w:autoSpaceDN w:val="0"/>
        <w:adjustRightInd w:val="0"/>
        <w:ind w:firstLine="709"/>
        <w:jc w:val="both"/>
        <w:rPr>
          <w:rFonts w:ascii="Times New Roman" w:hAnsi="Times New Roman"/>
          <w:sz w:val="21"/>
          <w:szCs w:val="21"/>
        </w:rPr>
      </w:pPr>
      <w:r w:rsidRPr="005656FB">
        <w:rPr>
          <w:rFonts w:ascii="Times New Roman" w:hAnsi="Times New Roman"/>
          <w:sz w:val="21"/>
          <w:szCs w:val="21"/>
        </w:rPr>
        <w:t xml:space="preserve">де </w:t>
      </w:r>
      <m:oMath>
        <m:sSubSup>
          <m:sSubSupPr>
            <m:ctrlPr>
              <w:rPr>
                <w:rFonts w:ascii="Cambria Math" w:hAnsi="Cambria Math"/>
                <w:i/>
                <w:sz w:val="21"/>
                <w:szCs w:val="21"/>
              </w:rPr>
            </m:ctrlPr>
          </m:sSubSupPr>
          <m:e>
            <m:r>
              <w:rPr>
                <w:rFonts w:ascii="Cambria Math" w:hAnsi="Cambria Math"/>
                <w:sz w:val="21"/>
                <w:szCs w:val="21"/>
              </w:rPr>
              <m:t>Е</m:t>
            </m:r>
          </m:e>
          <m:sub>
            <m:r>
              <w:rPr>
                <w:rFonts w:ascii="Cambria Math" w:hAnsi="Cambria Math"/>
                <w:sz w:val="21"/>
                <w:szCs w:val="21"/>
              </w:rPr>
              <m:t>соц</m:t>
            </m:r>
          </m:sub>
          <m:sup>
            <m:f>
              <m:fPr>
                <m:ctrlPr>
                  <w:rPr>
                    <w:rFonts w:ascii="Cambria Math" w:hAnsi="Cambria Math"/>
                    <w:i/>
                    <w:sz w:val="21"/>
                    <w:szCs w:val="21"/>
                  </w:rPr>
                </m:ctrlPr>
              </m:fPr>
              <m:num>
                <m:r>
                  <w:rPr>
                    <w:rFonts w:ascii="Cambria Math" w:hAnsi="Cambria Math"/>
                    <w:sz w:val="21"/>
                    <w:szCs w:val="21"/>
                  </w:rPr>
                  <m:t>ПМСД</m:t>
                </m:r>
              </m:num>
              <m:den>
                <m:r>
                  <w:rPr>
                    <w:rFonts w:ascii="Cambria Math" w:hAnsi="Cambria Math"/>
                    <w:sz w:val="21"/>
                    <w:szCs w:val="21"/>
                  </w:rPr>
                  <m:t>СМ</m:t>
                </m:r>
              </m:den>
            </m:f>
            <m:r>
              <w:rPr>
                <w:rFonts w:ascii="Cambria Math" w:hAnsi="Cambria Math"/>
                <w:sz w:val="21"/>
                <w:szCs w:val="21"/>
              </w:rPr>
              <m:t>К</m:t>
            </m:r>
          </m:sup>
        </m:sSubSup>
      </m:oMath>
      <w:r w:rsidRPr="005656FB">
        <w:rPr>
          <w:rFonts w:ascii="Times New Roman" w:eastAsia="Times New Roman" w:hAnsi="Times New Roman"/>
          <w:sz w:val="21"/>
          <w:szCs w:val="21"/>
        </w:rPr>
        <w:t xml:space="preserve"> – соціальна ефективність </w:t>
      </w:r>
      <w:r w:rsidRPr="005656FB">
        <w:rPr>
          <w:rFonts w:ascii="Times New Roman" w:hAnsi="Times New Roman"/>
          <w:sz w:val="21"/>
          <w:szCs w:val="21"/>
        </w:rPr>
        <w:t>запровадження системи первинної медико-санітарної допомоги на засадах сімейної медицини у регіоні на базі комунальної власності;</w:t>
      </w:r>
    </w:p>
    <w:p w:rsidR="00F30309" w:rsidRPr="005656FB" w:rsidRDefault="00EC2A0E" w:rsidP="00F30309">
      <w:pPr>
        <w:widowControl w:val="0"/>
        <w:autoSpaceDE w:val="0"/>
        <w:autoSpaceDN w:val="0"/>
        <w:adjustRightInd w:val="0"/>
        <w:ind w:firstLine="709"/>
        <w:jc w:val="both"/>
        <w:rPr>
          <w:rFonts w:ascii="Times New Roman" w:hAnsi="Times New Roman"/>
          <w:sz w:val="21"/>
          <w:szCs w:val="21"/>
        </w:rPr>
      </w:pPr>
      <m:oMath>
        <m:sSubSup>
          <m:sSubSupPr>
            <m:ctrlPr>
              <w:rPr>
                <w:rFonts w:ascii="Cambria Math" w:hAnsi="Cambria Math"/>
                <w:i/>
                <w:sz w:val="21"/>
                <w:szCs w:val="21"/>
              </w:rPr>
            </m:ctrlPr>
          </m:sSubSupPr>
          <m:e>
            <m:r>
              <w:rPr>
                <w:rFonts w:ascii="Cambria Math" w:hAnsi="Cambria Math"/>
                <w:sz w:val="21"/>
                <w:szCs w:val="21"/>
              </w:rPr>
              <m:t>Е</m:t>
            </m:r>
          </m:e>
          <m:sub>
            <m:r>
              <w:rPr>
                <w:rFonts w:ascii="Cambria Math" w:hAnsi="Cambria Math"/>
                <w:sz w:val="21"/>
                <w:szCs w:val="21"/>
              </w:rPr>
              <m:t>соц</m:t>
            </m:r>
          </m:sub>
          <m:sup>
            <m:r>
              <w:rPr>
                <w:rFonts w:ascii="Cambria Math" w:hAnsi="Cambria Math"/>
                <w:sz w:val="21"/>
                <w:szCs w:val="21"/>
              </w:rPr>
              <m:t>г К</m:t>
            </m:r>
          </m:sup>
        </m:sSubSup>
      </m:oMath>
      <w:r w:rsidR="00F30309" w:rsidRPr="005656FB">
        <w:rPr>
          <w:rFonts w:ascii="Times New Roman" w:eastAsia="Times New Roman" w:hAnsi="Times New Roman"/>
          <w:sz w:val="21"/>
          <w:szCs w:val="21"/>
        </w:rPr>
        <w:t xml:space="preserve"> – соціальна ефективність </w:t>
      </w:r>
      <w:r w:rsidR="00F30309" w:rsidRPr="005656FB">
        <w:rPr>
          <w:rFonts w:ascii="Times New Roman" w:hAnsi="Times New Roman"/>
          <w:sz w:val="21"/>
          <w:szCs w:val="21"/>
        </w:rPr>
        <w:t>запровадження системи первинної медико-санітарної допомоги на засадах сімейної медицини у регіоні на базі комунальної власності за рахунок зменшення кількості випадків госпіталізації;</w:t>
      </w:r>
    </w:p>
    <w:p w:rsidR="00F30309" w:rsidRPr="005656FB" w:rsidRDefault="00EC2A0E" w:rsidP="00F30309">
      <w:pPr>
        <w:widowControl w:val="0"/>
        <w:autoSpaceDE w:val="0"/>
        <w:autoSpaceDN w:val="0"/>
        <w:adjustRightInd w:val="0"/>
        <w:ind w:firstLine="709"/>
        <w:jc w:val="both"/>
        <w:rPr>
          <w:rFonts w:ascii="Times New Roman" w:hAnsi="Times New Roman"/>
          <w:sz w:val="21"/>
          <w:szCs w:val="21"/>
        </w:rPr>
      </w:pPr>
      <m:oMath>
        <m:sSubSup>
          <m:sSubSupPr>
            <m:ctrlPr>
              <w:rPr>
                <w:rFonts w:ascii="Cambria Math" w:hAnsi="Cambria Math"/>
                <w:i/>
                <w:sz w:val="21"/>
                <w:szCs w:val="21"/>
              </w:rPr>
            </m:ctrlPr>
          </m:sSubSupPr>
          <m:e>
            <m:r>
              <w:rPr>
                <w:rFonts w:ascii="Cambria Math" w:hAnsi="Cambria Math"/>
                <w:sz w:val="21"/>
                <w:szCs w:val="21"/>
              </w:rPr>
              <m:t>Е</m:t>
            </m:r>
          </m:e>
          <m:sub>
            <m:r>
              <w:rPr>
                <w:rFonts w:ascii="Cambria Math" w:hAnsi="Cambria Math"/>
                <w:sz w:val="21"/>
                <w:szCs w:val="21"/>
              </w:rPr>
              <m:t>соц</m:t>
            </m:r>
          </m:sub>
          <m:sup>
            <m:r>
              <w:rPr>
                <w:rFonts w:ascii="Cambria Math" w:hAnsi="Cambria Math"/>
                <w:sz w:val="21"/>
                <w:szCs w:val="21"/>
              </w:rPr>
              <m:t>ШД К</m:t>
            </m:r>
          </m:sup>
        </m:sSubSup>
      </m:oMath>
      <w:r w:rsidR="00F30309" w:rsidRPr="005656FB">
        <w:rPr>
          <w:rFonts w:ascii="Times New Roman" w:eastAsia="Times New Roman" w:hAnsi="Times New Roman"/>
          <w:sz w:val="21"/>
          <w:szCs w:val="21"/>
        </w:rPr>
        <w:t xml:space="preserve"> – соціальна ефективність </w:t>
      </w:r>
      <w:r w:rsidR="00F30309" w:rsidRPr="005656FB">
        <w:rPr>
          <w:rFonts w:ascii="Times New Roman" w:hAnsi="Times New Roman"/>
          <w:sz w:val="21"/>
          <w:szCs w:val="21"/>
        </w:rPr>
        <w:t>запровадження системи первинної медико-санітарної допомоги на засадах сімейної медицини у регіоні на базі комунальної власності за рахунок зменшення кількості випадків викликів швидкої медичної допомоги;</w:t>
      </w:r>
    </w:p>
    <w:p w:rsidR="00F30309" w:rsidRPr="005656FB" w:rsidRDefault="00EC2A0E" w:rsidP="00F30309">
      <w:pPr>
        <w:widowControl w:val="0"/>
        <w:autoSpaceDE w:val="0"/>
        <w:autoSpaceDN w:val="0"/>
        <w:adjustRightInd w:val="0"/>
        <w:ind w:firstLine="709"/>
        <w:jc w:val="both"/>
        <w:rPr>
          <w:rFonts w:ascii="Times New Roman" w:hAnsi="Times New Roman"/>
          <w:sz w:val="21"/>
          <w:szCs w:val="21"/>
        </w:rPr>
      </w:pPr>
      <m:oMath>
        <m:sSubSup>
          <m:sSubSupPr>
            <m:ctrlPr>
              <w:rPr>
                <w:rFonts w:ascii="Cambria Math" w:hAnsi="Cambria Math"/>
                <w:i/>
                <w:sz w:val="21"/>
                <w:szCs w:val="21"/>
              </w:rPr>
            </m:ctrlPr>
          </m:sSubSupPr>
          <m:e>
            <m:r>
              <w:rPr>
                <w:rFonts w:ascii="Cambria Math" w:hAnsi="Cambria Math"/>
                <w:sz w:val="21"/>
                <w:szCs w:val="21"/>
              </w:rPr>
              <m:t>Е</m:t>
            </m:r>
          </m:e>
          <m:sub>
            <m:r>
              <w:rPr>
                <w:rFonts w:ascii="Cambria Math" w:hAnsi="Cambria Math"/>
                <w:sz w:val="21"/>
                <w:szCs w:val="21"/>
              </w:rPr>
              <m:t>соц</m:t>
            </m:r>
          </m:sub>
          <m:sup>
            <m:r>
              <w:rPr>
                <w:rFonts w:ascii="Cambria Math" w:hAnsi="Cambria Math"/>
                <w:sz w:val="21"/>
                <w:szCs w:val="21"/>
              </w:rPr>
              <m:t>ВС К</m:t>
            </m:r>
          </m:sup>
        </m:sSubSup>
      </m:oMath>
      <w:r w:rsidR="00F30309" w:rsidRPr="005656FB">
        <w:rPr>
          <w:rFonts w:ascii="Times New Roman" w:eastAsia="Times New Roman" w:hAnsi="Times New Roman"/>
          <w:sz w:val="21"/>
          <w:szCs w:val="21"/>
        </w:rPr>
        <w:t xml:space="preserve"> – соціальна ефективність </w:t>
      </w:r>
      <w:r w:rsidR="00F30309" w:rsidRPr="005656FB">
        <w:rPr>
          <w:rFonts w:ascii="Times New Roman" w:hAnsi="Times New Roman"/>
          <w:sz w:val="21"/>
          <w:szCs w:val="21"/>
        </w:rPr>
        <w:t>запровадження системи первинної медико-санітарної допомоги на засадах сімейної медицини у регіоні на базі комунальної власності за рахунок зменшення кількості відвідувань лікарів-спеціалістів відповідно вторинного і третинного рівнів.</w:t>
      </w:r>
    </w:p>
    <w:p w:rsidR="00F30309" w:rsidRPr="005656FB" w:rsidRDefault="00F30309" w:rsidP="00F30309">
      <w:pPr>
        <w:widowControl w:val="0"/>
        <w:autoSpaceDE w:val="0"/>
        <w:autoSpaceDN w:val="0"/>
        <w:adjustRightInd w:val="0"/>
        <w:ind w:firstLine="709"/>
        <w:jc w:val="both"/>
        <w:rPr>
          <w:rFonts w:ascii="Times New Roman" w:hAnsi="Times New Roman"/>
          <w:sz w:val="21"/>
          <w:szCs w:val="21"/>
        </w:rPr>
      </w:pPr>
    </w:p>
    <w:p w:rsidR="00F30309" w:rsidRPr="005656FB" w:rsidRDefault="00F30309" w:rsidP="00F30309">
      <w:pPr>
        <w:widowControl w:val="0"/>
        <w:tabs>
          <w:tab w:val="left" w:pos="8647"/>
        </w:tabs>
        <w:autoSpaceDE w:val="0"/>
        <w:autoSpaceDN w:val="0"/>
        <w:adjustRightInd w:val="0"/>
        <w:ind w:firstLine="1134"/>
        <w:jc w:val="both"/>
        <w:rPr>
          <w:rFonts w:ascii="Times New Roman" w:hAnsi="Times New Roman"/>
          <w:sz w:val="21"/>
          <w:szCs w:val="21"/>
        </w:rPr>
      </w:pPr>
      <w:r>
        <w:rPr>
          <w:rFonts w:ascii="Times New Roman" w:hAnsi="Times New Roman"/>
          <w:sz w:val="21"/>
          <w:szCs w:val="21"/>
        </w:rPr>
        <w:t xml:space="preserve">                </w:t>
      </w:r>
      <m:oMath>
        <m:sSubSup>
          <m:sSubSupPr>
            <m:ctrlPr>
              <w:rPr>
                <w:rFonts w:ascii="Cambria Math" w:hAnsi="Cambria Math"/>
                <w:i/>
                <w:sz w:val="21"/>
                <w:szCs w:val="21"/>
              </w:rPr>
            </m:ctrlPr>
          </m:sSubSupPr>
          <m:e>
            <m:r>
              <w:rPr>
                <w:rFonts w:ascii="Cambria Math" w:hAnsi="Cambria Math"/>
                <w:sz w:val="21"/>
                <w:szCs w:val="21"/>
              </w:rPr>
              <m:t>Е</m:t>
            </m:r>
          </m:e>
          <m:sub>
            <m:r>
              <w:rPr>
                <w:rFonts w:ascii="Cambria Math" w:hAnsi="Cambria Math"/>
                <w:sz w:val="21"/>
                <w:szCs w:val="21"/>
              </w:rPr>
              <m:t>соц</m:t>
            </m:r>
          </m:sub>
          <m:sup>
            <m:f>
              <m:fPr>
                <m:ctrlPr>
                  <w:rPr>
                    <w:rFonts w:ascii="Cambria Math" w:hAnsi="Cambria Math"/>
                    <w:i/>
                    <w:sz w:val="21"/>
                    <w:szCs w:val="21"/>
                  </w:rPr>
                </m:ctrlPr>
              </m:fPr>
              <m:num>
                <m:r>
                  <w:rPr>
                    <w:rFonts w:ascii="Cambria Math" w:hAnsi="Cambria Math"/>
                    <w:sz w:val="21"/>
                    <w:szCs w:val="21"/>
                  </w:rPr>
                  <m:t>ПМСД</m:t>
                </m:r>
              </m:num>
              <m:den>
                <m:r>
                  <w:rPr>
                    <w:rFonts w:ascii="Cambria Math" w:hAnsi="Cambria Math"/>
                    <w:sz w:val="21"/>
                    <w:szCs w:val="21"/>
                  </w:rPr>
                  <m:t>СМ</m:t>
                </m:r>
              </m:den>
            </m:f>
            <m:r>
              <w:rPr>
                <w:rFonts w:ascii="Cambria Math" w:hAnsi="Cambria Math"/>
                <w:sz w:val="21"/>
                <w:szCs w:val="21"/>
              </w:rPr>
              <m:t>Пр</m:t>
            </m:r>
          </m:sup>
        </m:sSubSup>
        <m:r>
          <w:rPr>
            <w:rFonts w:ascii="Cambria Math" w:hAnsi="Cambria Math"/>
            <w:sz w:val="21"/>
            <w:szCs w:val="21"/>
          </w:rPr>
          <m:t>=</m:t>
        </m:r>
        <m:sSubSup>
          <m:sSubSupPr>
            <m:ctrlPr>
              <w:rPr>
                <w:rFonts w:ascii="Cambria Math" w:hAnsi="Cambria Math"/>
                <w:i/>
                <w:sz w:val="21"/>
                <w:szCs w:val="21"/>
              </w:rPr>
            </m:ctrlPr>
          </m:sSubSupPr>
          <m:e>
            <m:r>
              <w:rPr>
                <w:rFonts w:ascii="Cambria Math" w:hAnsi="Cambria Math"/>
                <w:sz w:val="21"/>
                <w:szCs w:val="21"/>
              </w:rPr>
              <m:t>Е</m:t>
            </m:r>
          </m:e>
          <m:sub>
            <m:r>
              <w:rPr>
                <w:rFonts w:ascii="Cambria Math" w:hAnsi="Cambria Math"/>
                <w:sz w:val="21"/>
                <w:szCs w:val="21"/>
              </w:rPr>
              <m:t>соц</m:t>
            </m:r>
          </m:sub>
          <m:sup>
            <m:r>
              <w:rPr>
                <w:rFonts w:ascii="Cambria Math" w:hAnsi="Cambria Math"/>
                <w:sz w:val="21"/>
                <w:szCs w:val="21"/>
              </w:rPr>
              <m:t>г Пр</m:t>
            </m:r>
          </m:sup>
        </m:sSubSup>
        <m:r>
          <w:rPr>
            <w:rFonts w:ascii="Cambria Math" w:hAnsi="Cambria Math"/>
            <w:sz w:val="21"/>
            <w:szCs w:val="21"/>
          </w:rPr>
          <m:t>+</m:t>
        </m:r>
        <m:sSubSup>
          <m:sSubSupPr>
            <m:ctrlPr>
              <w:rPr>
                <w:rFonts w:ascii="Cambria Math" w:hAnsi="Cambria Math"/>
                <w:i/>
                <w:sz w:val="21"/>
                <w:szCs w:val="21"/>
              </w:rPr>
            </m:ctrlPr>
          </m:sSubSupPr>
          <m:e>
            <m:r>
              <w:rPr>
                <w:rFonts w:ascii="Cambria Math" w:hAnsi="Cambria Math"/>
                <w:sz w:val="21"/>
                <w:szCs w:val="21"/>
              </w:rPr>
              <m:t>Е</m:t>
            </m:r>
          </m:e>
          <m:sub>
            <m:r>
              <w:rPr>
                <w:rFonts w:ascii="Cambria Math" w:hAnsi="Cambria Math"/>
                <w:sz w:val="21"/>
                <w:szCs w:val="21"/>
              </w:rPr>
              <m:t>соц</m:t>
            </m:r>
          </m:sub>
          <m:sup>
            <m:r>
              <w:rPr>
                <w:rFonts w:ascii="Cambria Math" w:hAnsi="Cambria Math"/>
                <w:sz w:val="21"/>
                <w:szCs w:val="21"/>
              </w:rPr>
              <m:t>ШД Пр</m:t>
            </m:r>
          </m:sup>
        </m:sSubSup>
        <m:r>
          <w:rPr>
            <w:rFonts w:ascii="Cambria Math" w:hAnsi="Cambria Math"/>
            <w:sz w:val="21"/>
            <w:szCs w:val="21"/>
          </w:rPr>
          <m:t>+</m:t>
        </m:r>
        <m:sSubSup>
          <m:sSubSupPr>
            <m:ctrlPr>
              <w:rPr>
                <w:rFonts w:ascii="Cambria Math" w:hAnsi="Cambria Math"/>
                <w:i/>
                <w:sz w:val="21"/>
                <w:szCs w:val="21"/>
              </w:rPr>
            </m:ctrlPr>
          </m:sSubSupPr>
          <m:e>
            <m:r>
              <w:rPr>
                <w:rFonts w:ascii="Cambria Math" w:hAnsi="Cambria Math"/>
                <w:sz w:val="21"/>
                <w:szCs w:val="21"/>
              </w:rPr>
              <m:t>Е</m:t>
            </m:r>
          </m:e>
          <m:sub>
            <m:r>
              <w:rPr>
                <w:rFonts w:ascii="Cambria Math" w:hAnsi="Cambria Math"/>
                <w:sz w:val="21"/>
                <w:szCs w:val="21"/>
              </w:rPr>
              <m:t>соц</m:t>
            </m:r>
          </m:sub>
          <m:sup>
            <m:r>
              <w:rPr>
                <w:rFonts w:ascii="Cambria Math" w:hAnsi="Cambria Math"/>
                <w:sz w:val="21"/>
                <w:szCs w:val="21"/>
              </w:rPr>
              <m:t>ВС Пр</m:t>
            </m:r>
          </m:sup>
        </m:sSubSup>
      </m:oMath>
      <w:r>
        <w:rPr>
          <w:rFonts w:ascii="Times New Roman" w:eastAsia="Times New Roman" w:hAnsi="Times New Roman"/>
          <w:sz w:val="21"/>
          <w:szCs w:val="21"/>
        </w:rPr>
        <w:t xml:space="preserve">             </w:t>
      </w:r>
      <w:r w:rsidRPr="005656FB">
        <w:rPr>
          <w:rFonts w:ascii="Times New Roman" w:eastAsia="Times New Roman" w:hAnsi="Times New Roman"/>
          <w:sz w:val="21"/>
          <w:szCs w:val="21"/>
        </w:rPr>
        <w:t>(</w:t>
      </w:r>
      <w:r>
        <w:rPr>
          <w:rFonts w:ascii="Times New Roman" w:eastAsia="Times New Roman" w:hAnsi="Times New Roman"/>
          <w:sz w:val="21"/>
          <w:szCs w:val="21"/>
        </w:rPr>
        <w:t>6</w:t>
      </w:r>
      <w:r w:rsidRPr="005656FB">
        <w:rPr>
          <w:rFonts w:ascii="Times New Roman" w:eastAsia="Times New Roman" w:hAnsi="Times New Roman"/>
          <w:sz w:val="21"/>
          <w:szCs w:val="21"/>
        </w:rPr>
        <w:t>.11)</w:t>
      </w:r>
    </w:p>
    <w:p w:rsidR="00F30309" w:rsidRPr="005656FB" w:rsidRDefault="00F30309" w:rsidP="00F30309">
      <w:pPr>
        <w:widowControl w:val="0"/>
        <w:autoSpaceDE w:val="0"/>
        <w:autoSpaceDN w:val="0"/>
        <w:adjustRightInd w:val="0"/>
        <w:ind w:firstLine="709"/>
        <w:jc w:val="both"/>
        <w:rPr>
          <w:rFonts w:ascii="Times New Roman" w:hAnsi="Times New Roman"/>
          <w:sz w:val="21"/>
          <w:szCs w:val="21"/>
        </w:rPr>
      </w:pPr>
    </w:p>
    <w:p w:rsidR="00F30309" w:rsidRPr="005656FB" w:rsidRDefault="00F30309" w:rsidP="00F30309">
      <w:pPr>
        <w:widowControl w:val="0"/>
        <w:autoSpaceDE w:val="0"/>
        <w:autoSpaceDN w:val="0"/>
        <w:adjustRightInd w:val="0"/>
        <w:ind w:firstLine="709"/>
        <w:jc w:val="both"/>
        <w:rPr>
          <w:rFonts w:ascii="Times New Roman" w:hAnsi="Times New Roman"/>
          <w:sz w:val="21"/>
          <w:szCs w:val="21"/>
        </w:rPr>
      </w:pPr>
      <w:r w:rsidRPr="005656FB">
        <w:rPr>
          <w:rFonts w:ascii="Times New Roman" w:hAnsi="Times New Roman"/>
          <w:sz w:val="21"/>
          <w:szCs w:val="21"/>
        </w:rPr>
        <w:lastRenderedPageBreak/>
        <w:t xml:space="preserve">де </w:t>
      </w:r>
      <m:oMath>
        <m:sSubSup>
          <m:sSubSupPr>
            <m:ctrlPr>
              <w:rPr>
                <w:rFonts w:ascii="Cambria Math" w:hAnsi="Cambria Math"/>
                <w:i/>
                <w:sz w:val="21"/>
                <w:szCs w:val="21"/>
              </w:rPr>
            </m:ctrlPr>
          </m:sSubSupPr>
          <m:e>
            <m:r>
              <w:rPr>
                <w:rFonts w:ascii="Cambria Math" w:hAnsi="Cambria Math"/>
                <w:sz w:val="21"/>
                <w:szCs w:val="21"/>
              </w:rPr>
              <m:t>Е</m:t>
            </m:r>
          </m:e>
          <m:sub>
            <m:r>
              <w:rPr>
                <w:rFonts w:ascii="Cambria Math" w:hAnsi="Cambria Math"/>
                <w:sz w:val="21"/>
                <w:szCs w:val="21"/>
              </w:rPr>
              <m:t>соц</m:t>
            </m:r>
          </m:sub>
          <m:sup>
            <m:f>
              <m:fPr>
                <m:ctrlPr>
                  <w:rPr>
                    <w:rFonts w:ascii="Cambria Math" w:hAnsi="Cambria Math"/>
                    <w:i/>
                    <w:sz w:val="21"/>
                    <w:szCs w:val="21"/>
                  </w:rPr>
                </m:ctrlPr>
              </m:fPr>
              <m:num>
                <m:r>
                  <w:rPr>
                    <w:rFonts w:ascii="Cambria Math" w:hAnsi="Cambria Math"/>
                    <w:sz w:val="21"/>
                    <w:szCs w:val="21"/>
                  </w:rPr>
                  <m:t>ПМСД</m:t>
                </m:r>
              </m:num>
              <m:den>
                <m:r>
                  <w:rPr>
                    <w:rFonts w:ascii="Cambria Math" w:hAnsi="Cambria Math"/>
                    <w:sz w:val="21"/>
                    <w:szCs w:val="21"/>
                  </w:rPr>
                  <m:t>СМ</m:t>
                </m:r>
              </m:den>
            </m:f>
            <m:r>
              <w:rPr>
                <w:rFonts w:ascii="Cambria Math" w:hAnsi="Cambria Math"/>
                <w:sz w:val="21"/>
                <w:szCs w:val="21"/>
              </w:rPr>
              <m:t>Пр</m:t>
            </m:r>
          </m:sup>
        </m:sSubSup>
      </m:oMath>
      <w:r w:rsidRPr="005656FB">
        <w:rPr>
          <w:rFonts w:ascii="Times New Roman" w:eastAsia="Times New Roman" w:hAnsi="Times New Roman"/>
          <w:sz w:val="21"/>
          <w:szCs w:val="21"/>
        </w:rPr>
        <w:t xml:space="preserve"> – соціальна ефективність </w:t>
      </w:r>
      <w:r w:rsidRPr="005656FB">
        <w:rPr>
          <w:rFonts w:ascii="Times New Roman" w:hAnsi="Times New Roman"/>
          <w:sz w:val="21"/>
          <w:szCs w:val="21"/>
        </w:rPr>
        <w:t>запровадження системи первинної медико-санітарної допомоги на засадах сімейної медицини у регіоні на базі приватної власності;</w:t>
      </w:r>
    </w:p>
    <w:p w:rsidR="00F30309" w:rsidRPr="005656FB" w:rsidRDefault="00EC2A0E" w:rsidP="00F30309">
      <w:pPr>
        <w:widowControl w:val="0"/>
        <w:autoSpaceDE w:val="0"/>
        <w:autoSpaceDN w:val="0"/>
        <w:adjustRightInd w:val="0"/>
        <w:ind w:firstLine="709"/>
        <w:jc w:val="both"/>
        <w:rPr>
          <w:rFonts w:ascii="Times New Roman" w:hAnsi="Times New Roman"/>
          <w:sz w:val="21"/>
          <w:szCs w:val="21"/>
        </w:rPr>
      </w:pPr>
      <m:oMath>
        <m:sSubSup>
          <m:sSubSupPr>
            <m:ctrlPr>
              <w:rPr>
                <w:rFonts w:ascii="Cambria Math" w:hAnsi="Cambria Math"/>
                <w:i/>
                <w:sz w:val="21"/>
                <w:szCs w:val="21"/>
              </w:rPr>
            </m:ctrlPr>
          </m:sSubSupPr>
          <m:e>
            <m:r>
              <w:rPr>
                <w:rFonts w:ascii="Cambria Math" w:hAnsi="Cambria Math"/>
                <w:sz w:val="21"/>
                <w:szCs w:val="21"/>
              </w:rPr>
              <m:t>Е</m:t>
            </m:r>
          </m:e>
          <m:sub>
            <m:r>
              <w:rPr>
                <w:rFonts w:ascii="Cambria Math" w:hAnsi="Cambria Math"/>
                <w:sz w:val="21"/>
                <w:szCs w:val="21"/>
              </w:rPr>
              <m:t>соц</m:t>
            </m:r>
          </m:sub>
          <m:sup>
            <m:r>
              <w:rPr>
                <w:rFonts w:ascii="Cambria Math" w:hAnsi="Cambria Math"/>
                <w:sz w:val="21"/>
                <w:szCs w:val="21"/>
              </w:rPr>
              <m:t>г Пр</m:t>
            </m:r>
          </m:sup>
        </m:sSubSup>
      </m:oMath>
      <w:r w:rsidR="00F30309" w:rsidRPr="005656FB">
        <w:rPr>
          <w:rFonts w:ascii="Times New Roman" w:eastAsia="Times New Roman" w:hAnsi="Times New Roman"/>
          <w:sz w:val="21"/>
          <w:szCs w:val="21"/>
        </w:rPr>
        <w:t xml:space="preserve"> – соціальна ефективність </w:t>
      </w:r>
      <w:r w:rsidR="00F30309" w:rsidRPr="005656FB">
        <w:rPr>
          <w:rFonts w:ascii="Times New Roman" w:hAnsi="Times New Roman"/>
          <w:sz w:val="21"/>
          <w:szCs w:val="21"/>
        </w:rPr>
        <w:t>запровадження системи первинної медико-санітарної допомоги на засадах сімейної медицини у регіоні на базі приватної власності за рахунок зменшення кількості випадків госпіталізації;</w:t>
      </w:r>
    </w:p>
    <w:p w:rsidR="00F30309" w:rsidRPr="005656FB" w:rsidRDefault="00EC2A0E" w:rsidP="00F30309">
      <w:pPr>
        <w:widowControl w:val="0"/>
        <w:autoSpaceDE w:val="0"/>
        <w:autoSpaceDN w:val="0"/>
        <w:adjustRightInd w:val="0"/>
        <w:ind w:firstLine="709"/>
        <w:jc w:val="both"/>
        <w:rPr>
          <w:rFonts w:ascii="Times New Roman" w:hAnsi="Times New Roman"/>
          <w:sz w:val="21"/>
          <w:szCs w:val="21"/>
        </w:rPr>
      </w:pPr>
      <m:oMath>
        <m:sSubSup>
          <m:sSubSupPr>
            <m:ctrlPr>
              <w:rPr>
                <w:rFonts w:ascii="Cambria Math" w:hAnsi="Cambria Math"/>
                <w:i/>
                <w:sz w:val="21"/>
                <w:szCs w:val="21"/>
              </w:rPr>
            </m:ctrlPr>
          </m:sSubSupPr>
          <m:e>
            <m:r>
              <w:rPr>
                <w:rFonts w:ascii="Cambria Math" w:hAnsi="Cambria Math"/>
                <w:sz w:val="21"/>
                <w:szCs w:val="21"/>
              </w:rPr>
              <m:t>Е</m:t>
            </m:r>
          </m:e>
          <m:sub>
            <m:r>
              <w:rPr>
                <w:rFonts w:ascii="Cambria Math" w:hAnsi="Cambria Math"/>
                <w:sz w:val="21"/>
                <w:szCs w:val="21"/>
              </w:rPr>
              <m:t>соц</m:t>
            </m:r>
          </m:sub>
          <m:sup>
            <m:r>
              <w:rPr>
                <w:rFonts w:ascii="Cambria Math" w:hAnsi="Cambria Math"/>
                <w:sz w:val="21"/>
                <w:szCs w:val="21"/>
              </w:rPr>
              <m:t>ШД Пр</m:t>
            </m:r>
          </m:sup>
        </m:sSubSup>
      </m:oMath>
      <w:r w:rsidR="00F30309" w:rsidRPr="005656FB">
        <w:rPr>
          <w:rFonts w:ascii="Times New Roman" w:eastAsia="Times New Roman" w:hAnsi="Times New Roman"/>
          <w:sz w:val="21"/>
          <w:szCs w:val="21"/>
        </w:rPr>
        <w:t xml:space="preserve"> – соціальна ефективність </w:t>
      </w:r>
      <w:r w:rsidR="00F30309" w:rsidRPr="005656FB">
        <w:rPr>
          <w:rFonts w:ascii="Times New Roman" w:hAnsi="Times New Roman"/>
          <w:sz w:val="21"/>
          <w:szCs w:val="21"/>
        </w:rPr>
        <w:t>запровадження системи первинної медико-санітарної допомоги на засадах сімейної медицини у регіоні на базі приватної власності за рахунок зменшення кількості випадків викликів швидкої медичної допомоги;</w:t>
      </w:r>
    </w:p>
    <w:p w:rsidR="00F30309" w:rsidRPr="005656FB" w:rsidRDefault="00EC2A0E" w:rsidP="00F30309">
      <w:pPr>
        <w:widowControl w:val="0"/>
        <w:autoSpaceDE w:val="0"/>
        <w:autoSpaceDN w:val="0"/>
        <w:adjustRightInd w:val="0"/>
        <w:ind w:firstLine="709"/>
        <w:jc w:val="both"/>
        <w:rPr>
          <w:rFonts w:ascii="Times New Roman" w:hAnsi="Times New Roman"/>
          <w:sz w:val="21"/>
          <w:szCs w:val="21"/>
        </w:rPr>
      </w:pPr>
      <m:oMath>
        <m:sSubSup>
          <m:sSubSupPr>
            <m:ctrlPr>
              <w:rPr>
                <w:rFonts w:ascii="Cambria Math" w:hAnsi="Cambria Math"/>
                <w:i/>
                <w:sz w:val="21"/>
                <w:szCs w:val="21"/>
              </w:rPr>
            </m:ctrlPr>
          </m:sSubSupPr>
          <m:e>
            <m:r>
              <w:rPr>
                <w:rFonts w:ascii="Cambria Math" w:hAnsi="Cambria Math"/>
                <w:sz w:val="21"/>
                <w:szCs w:val="21"/>
              </w:rPr>
              <m:t>Е</m:t>
            </m:r>
          </m:e>
          <m:sub>
            <m:r>
              <w:rPr>
                <w:rFonts w:ascii="Cambria Math" w:hAnsi="Cambria Math"/>
                <w:sz w:val="21"/>
                <w:szCs w:val="21"/>
              </w:rPr>
              <m:t>соц</m:t>
            </m:r>
          </m:sub>
          <m:sup>
            <m:r>
              <w:rPr>
                <w:rFonts w:ascii="Cambria Math" w:hAnsi="Cambria Math"/>
                <w:sz w:val="21"/>
                <w:szCs w:val="21"/>
              </w:rPr>
              <m:t>ВС Пр</m:t>
            </m:r>
          </m:sup>
        </m:sSubSup>
      </m:oMath>
      <w:r w:rsidR="00F30309" w:rsidRPr="005656FB">
        <w:rPr>
          <w:rFonts w:ascii="Times New Roman" w:eastAsia="Times New Roman" w:hAnsi="Times New Roman"/>
          <w:sz w:val="21"/>
          <w:szCs w:val="21"/>
        </w:rPr>
        <w:t xml:space="preserve"> – соціальна ефективність </w:t>
      </w:r>
      <w:r w:rsidR="00F30309" w:rsidRPr="005656FB">
        <w:rPr>
          <w:rFonts w:ascii="Times New Roman" w:hAnsi="Times New Roman"/>
          <w:sz w:val="21"/>
          <w:szCs w:val="21"/>
        </w:rPr>
        <w:t>запровадження системи первинної медико-санітарної допомоги на засадах сімейної медицини у регіоні на базі приватної власності за рахунок зменшення кількості відвідувань лікарів-спеціалістів відповідно вторинного і третинного рівнів.</w:t>
      </w:r>
    </w:p>
    <w:p w:rsidR="00F30309" w:rsidRPr="005656FB" w:rsidRDefault="00F30309" w:rsidP="00F30309">
      <w:pPr>
        <w:widowControl w:val="0"/>
        <w:autoSpaceDE w:val="0"/>
        <w:autoSpaceDN w:val="0"/>
        <w:adjustRightInd w:val="0"/>
        <w:ind w:firstLine="709"/>
        <w:jc w:val="both"/>
        <w:rPr>
          <w:rFonts w:ascii="Times New Roman" w:hAnsi="Times New Roman"/>
          <w:sz w:val="21"/>
          <w:szCs w:val="21"/>
        </w:rPr>
      </w:pPr>
      <w:r w:rsidRPr="005656FB">
        <w:rPr>
          <w:rFonts w:ascii="Times New Roman" w:hAnsi="Times New Roman"/>
          <w:sz w:val="21"/>
          <w:szCs w:val="21"/>
        </w:rPr>
        <w:t xml:space="preserve">Розрахунок складових у наведених формулах проводиться аналогічно до розрахунків, наведених у формулах </w:t>
      </w:r>
      <w:r>
        <w:rPr>
          <w:rFonts w:ascii="Times New Roman" w:hAnsi="Times New Roman"/>
          <w:sz w:val="21"/>
          <w:szCs w:val="21"/>
        </w:rPr>
        <w:t>6</w:t>
      </w:r>
      <w:r w:rsidRPr="005656FB">
        <w:rPr>
          <w:rFonts w:ascii="Times New Roman" w:hAnsi="Times New Roman"/>
          <w:sz w:val="21"/>
          <w:szCs w:val="21"/>
        </w:rPr>
        <w:t>.7</w:t>
      </w:r>
      <w:r>
        <w:rPr>
          <w:rFonts w:ascii="Times New Roman" w:hAnsi="Times New Roman"/>
          <w:sz w:val="21"/>
          <w:szCs w:val="21"/>
        </w:rPr>
        <w:t>–6</w:t>
      </w:r>
      <w:r w:rsidRPr="005656FB">
        <w:rPr>
          <w:rFonts w:ascii="Times New Roman" w:hAnsi="Times New Roman"/>
          <w:sz w:val="21"/>
          <w:szCs w:val="21"/>
        </w:rPr>
        <w:t>.9.</w:t>
      </w:r>
    </w:p>
    <w:p w:rsidR="00F30309" w:rsidRPr="005656FB" w:rsidRDefault="00F30309" w:rsidP="00F30309">
      <w:pPr>
        <w:widowControl w:val="0"/>
        <w:autoSpaceDE w:val="0"/>
        <w:autoSpaceDN w:val="0"/>
        <w:adjustRightInd w:val="0"/>
        <w:ind w:firstLine="709"/>
        <w:jc w:val="both"/>
        <w:rPr>
          <w:rFonts w:ascii="Times New Roman" w:hAnsi="Times New Roman"/>
          <w:sz w:val="21"/>
          <w:szCs w:val="21"/>
        </w:rPr>
      </w:pPr>
      <w:r w:rsidRPr="005656FB">
        <w:rPr>
          <w:rFonts w:ascii="Times New Roman" w:hAnsi="Times New Roman"/>
          <w:sz w:val="21"/>
          <w:szCs w:val="21"/>
        </w:rPr>
        <w:t>На основі визначення соціальної ефективності діяльності лікарів сімейної медицини в обох випадках, територіальна громада зможе обрати оптимальний шлях реформування системи охорони здоров’я регіону, яка розвиватиметься на засадах комунальної або приватної форм власності.</w:t>
      </w:r>
    </w:p>
    <w:p w:rsidR="00B233DE" w:rsidRDefault="00F30309" w:rsidP="00F30309">
      <w:pPr>
        <w:tabs>
          <w:tab w:val="left" w:pos="0"/>
          <w:tab w:val="left" w:pos="180"/>
          <w:tab w:val="left" w:pos="993"/>
          <w:tab w:val="left" w:pos="1134"/>
        </w:tabs>
        <w:ind w:firstLine="709"/>
        <w:jc w:val="both"/>
        <w:rPr>
          <w:rFonts w:ascii="Times New Roman" w:hAnsi="Times New Roman" w:cs="Times New Roman"/>
          <w:sz w:val="21"/>
          <w:szCs w:val="21"/>
        </w:rPr>
      </w:pPr>
      <w:r w:rsidRPr="005656FB">
        <w:rPr>
          <w:rFonts w:ascii="Times New Roman" w:hAnsi="Times New Roman"/>
          <w:sz w:val="21"/>
          <w:szCs w:val="21"/>
        </w:rPr>
        <w:t>Отже, наявність ефективного громадського контролю за використанням комунальної власності є основою соціального розвитку громади. Він має базуватися на принципах активної участі кожного члена громади у досягненні соціального ефекту та розумінні потенціалу окремої особи, об’єднання осіб, наявного комунального майна як переваги, яка є точкою відліку для майбутніх соціальних перетворень. А прийняття оптимальних рішень з боку територіальної громади та її органів місцевого самоврядування має відбуватися на основі визначення соціальної ефективності перетворень у соціальній сфері та у значною мірою забезпечуючій її сфері комунальної власності.</w:t>
      </w: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90303" w:rsidRDefault="00B90303" w:rsidP="00B90303">
      <w:pPr>
        <w:widowControl w:val="0"/>
        <w:spacing w:line="233" w:lineRule="auto"/>
        <w:ind w:firstLine="709"/>
        <w:contextualSpacing/>
        <w:jc w:val="center"/>
        <w:rPr>
          <w:rFonts w:ascii="UkrainianPeterburg" w:hAnsi="UkrainianPeterburg"/>
          <w:b/>
          <w:sz w:val="21"/>
          <w:szCs w:val="21"/>
        </w:rPr>
      </w:pPr>
      <w:r w:rsidRPr="00EA63EC">
        <w:rPr>
          <w:rFonts w:ascii="UkrainianPeterburg" w:hAnsi="UkrainianPeterburg"/>
          <w:b/>
          <w:sz w:val="21"/>
          <w:szCs w:val="21"/>
        </w:rPr>
        <w:lastRenderedPageBreak/>
        <w:t>Список використаних джерел</w:t>
      </w:r>
    </w:p>
    <w:p w:rsidR="00B90303" w:rsidRDefault="00B90303" w:rsidP="00B90303">
      <w:pPr>
        <w:ind w:firstLine="709"/>
        <w:jc w:val="both"/>
        <w:rPr>
          <w:rFonts w:ascii="Times New Roman" w:hAnsi="Times New Roman" w:cs="Times New Roman"/>
          <w:sz w:val="21"/>
          <w:szCs w:val="21"/>
        </w:rPr>
      </w:pPr>
    </w:p>
    <w:p w:rsidR="00B90303" w:rsidRDefault="00B90303" w:rsidP="00B90303">
      <w:pPr>
        <w:ind w:firstLine="709"/>
        <w:jc w:val="both"/>
        <w:rPr>
          <w:rFonts w:ascii="Times New Roman" w:hAnsi="Times New Roman" w:cs="Times New Roman"/>
          <w:sz w:val="21"/>
          <w:szCs w:val="21"/>
        </w:rPr>
      </w:pPr>
    </w:p>
    <w:p w:rsidR="003738F2" w:rsidRPr="00FC3E63" w:rsidRDefault="003738F2"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57" w:name="_Ref436211301"/>
      <w:r w:rsidRPr="00FC3E63">
        <w:rPr>
          <w:rFonts w:ascii="Times New Roman" w:hAnsi="Times New Roman" w:cs="Times New Roman"/>
          <w:bCs/>
          <w:color w:val="000000" w:themeColor="text1"/>
          <w:sz w:val="21"/>
          <w:szCs w:val="21"/>
        </w:rPr>
        <w:t>Адміністративно-територіальна реформа : завдання, шляхи реалізації, критерії ефективності : мат. «круглого столу» / за ред. З. С. Варналія. – К. : НІСД, 2005. – С. 21–23.</w:t>
      </w:r>
      <w:bookmarkEnd w:id="557"/>
    </w:p>
    <w:p w:rsidR="005C5CD0" w:rsidRPr="00FC3E63" w:rsidRDefault="00567CF5"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58" w:name="_Ref436211240"/>
      <w:r w:rsidRPr="00FC3E63">
        <w:rPr>
          <w:rFonts w:ascii="Times New Roman" w:hAnsi="Times New Roman" w:cs="Times New Roman"/>
          <w:bCs/>
          <w:color w:val="000000" w:themeColor="text1"/>
          <w:sz w:val="21"/>
          <w:szCs w:val="21"/>
        </w:rPr>
        <w:t xml:space="preserve">Амоша О. </w:t>
      </w:r>
      <w:r w:rsidR="005C5CD0" w:rsidRPr="00FC3E63">
        <w:rPr>
          <w:rFonts w:ascii="Times New Roman" w:hAnsi="Times New Roman" w:cs="Times New Roman"/>
          <w:bCs/>
          <w:color w:val="000000" w:themeColor="text1"/>
          <w:sz w:val="21"/>
          <w:szCs w:val="21"/>
        </w:rPr>
        <w:t>І. Якість трудового потенціалу та управ</w:t>
      </w:r>
      <w:r w:rsidRPr="00FC3E63">
        <w:rPr>
          <w:rFonts w:ascii="Times New Roman" w:hAnsi="Times New Roman" w:cs="Times New Roman"/>
          <w:bCs/>
          <w:color w:val="000000" w:themeColor="text1"/>
          <w:sz w:val="21"/>
          <w:szCs w:val="21"/>
        </w:rPr>
        <w:t xml:space="preserve">ління трудовою сферою в Україні </w:t>
      </w:r>
      <w:r w:rsidR="005C5CD0" w:rsidRPr="00FC3E63">
        <w:rPr>
          <w:rFonts w:ascii="Times New Roman" w:hAnsi="Times New Roman" w:cs="Times New Roman"/>
          <w:bCs/>
          <w:color w:val="000000" w:themeColor="text1"/>
          <w:sz w:val="21"/>
          <w:szCs w:val="21"/>
        </w:rPr>
        <w:t>: соціальна експ</w:t>
      </w:r>
      <w:r w:rsidRPr="00FC3E63">
        <w:rPr>
          <w:rFonts w:ascii="Times New Roman" w:hAnsi="Times New Roman" w:cs="Times New Roman"/>
          <w:bCs/>
          <w:color w:val="000000" w:themeColor="text1"/>
          <w:sz w:val="21"/>
          <w:szCs w:val="21"/>
        </w:rPr>
        <w:t xml:space="preserve">ертиза / [О. І. Амоша, О. Ф. Новікова, В. П. Антонюк, Л. В. Шаульська та ін.]. – Донецьк : ІЕП, 2006. – 208 </w:t>
      </w:r>
      <w:r w:rsidR="005C5CD0" w:rsidRPr="00FC3E63">
        <w:rPr>
          <w:rFonts w:ascii="Times New Roman" w:hAnsi="Times New Roman" w:cs="Times New Roman"/>
          <w:bCs/>
          <w:color w:val="000000" w:themeColor="text1"/>
          <w:sz w:val="21"/>
          <w:szCs w:val="21"/>
        </w:rPr>
        <w:t>с.</w:t>
      </w:r>
      <w:bookmarkEnd w:id="558"/>
    </w:p>
    <w:p w:rsidR="003738F2" w:rsidRPr="00FC3E63" w:rsidRDefault="003738F2" w:rsidP="00FC3E63">
      <w:pPr>
        <w:pStyle w:val="ad"/>
        <w:widowControl w:val="0"/>
        <w:numPr>
          <w:ilvl w:val="0"/>
          <w:numId w:val="76"/>
        </w:numPr>
        <w:tabs>
          <w:tab w:val="left" w:pos="993"/>
        </w:tabs>
        <w:ind w:left="0" w:firstLine="709"/>
        <w:jc w:val="both"/>
        <w:rPr>
          <w:rStyle w:val="rvts64"/>
          <w:rFonts w:ascii="Times New Roman" w:hAnsi="Times New Roman" w:cs="Times New Roman"/>
          <w:color w:val="000000" w:themeColor="text1"/>
          <w:sz w:val="21"/>
          <w:szCs w:val="21"/>
        </w:rPr>
      </w:pPr>
      <w:bookmarkStart w:id="559" w:name="_Ref436211326"/>
      <w:r w:rsidRPr="00FC3E63">
        <w:rPr>
          <w:rFonts w:ascii="Times New Roman" w:hAnsi="Times New Roman" w:cs="Times New Roman"/>
          <w:bCs/>
          <w:color w:val="000000" w:themeColor="text1"/>
          <w:sz w:val="21"/>
          <w:szCs w:val="21"/>
        </w:rPr>
        <w:t>Баймуратов М. Децентралізація та компетенція місцевого самоврядування в Україні / М. Баймуратов. – Віче. – 2015. – № 12. – С. 31–34.</w:t>
      </w:r>
      <w:bookmarkEnd w:id="559"/>
    </w:p>
    <w:p w:rsidR="00FC3E63" w:rsidRPr="00FC3E63" w:rsidRDefault="00FC3E63"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60" w:name="_Ref436211774"/>
      <w:r w:rsidRPr="00FC3E63">
        <w:rPr>
          <w:rFonts w:ascii="Times New Roman" w:hAnsi="Times New Roman" w:cs="Times New Roman"/>
          <w:bCs/>
          <w:color w:val="000000" w:themeColor="text1"/>
          <w:sz w:val="21"/>
          <w:szCs w:val="21"/>
        </w:rPr>
        <w:t>Батанов О. В. Конституційно-правовий статус територіальних громад в Україні : монографія / О. В. Батанов / За заг. ред. В. Ф. Погорілка. – К. : Ін Юре, 2003. – 512 с.</w:t>
      </w:r>
      <w:bookmarkEnd w:id="560"/>
    </w:p>
    <w:p w:rsidR="006219C6" w:rsidRPr="00FC3E63" w:rsidRDefault="006219C6" w:rsidP="00FC3E63">
      <w:pPr>
        <w:pStyle w:val="ad"/>
        <w:widowControl w:val="0"/>
        <w:numPr>
          <w:ilvl w:val="0"/>
          <w:numId w:val="76"/>
        </w:numPr>
        <w:tabs>
          <w:tab w:val="left" w:pos="993"/>
        </w:tabs>
        <w:ind w:left="0" w:firstLine="709"/>
        <w:jc w:val="both"/>
        <w:rPr>
          <w:rStyle w:val="rvts64"/>
          <w:rFonts w:ascii="Times New Roman" w:hAnsi="Times New Roman" w:cs="Times New Roman"/>
          <w:color w:val="000000" w:themeColor="text1"/>
          <w:sz w:val="21"/>
          <w:szCs w:val="21"/>
        </w:rPr>
      </w:pPr>
      <w:bookmarkStart w:id="561" w:name="_Ref436211395"/>
      <w:r w:rsidRPr="00FC3E63">
        <w:rPr>
          <w:rFonts w:ascii="Times New Roman" w:hAnsi="Times New Roman" w:cs="Times New Roman"/>
          <w:bCs/>
          <w:color w:val="000000" w:themeColor="text1"/>
          <w:sz w:val="21"/>
          <w:szCs w:val="21"/>
        </w:rPr>
        <w:t>Батанов О. Розвиток конституційного законодавства про статус територіальних громад в Україні : доктринальні та прикладні аспекти / О. Батанов // Віче. – 2015. – № 12. – С. 15–18.</w:t>
      </w:r>
      <w:bookmarkEnd w:id="561"/>
    </w:p>
    <w:p w:rsidR="00567CF5" w:rsidRPr="00FC3E63" w:rsidRDefault="005C5CD0"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62" w:name="_Ref436211533"/>
      <w:r w:rsidRPr="00FC3E63">
        <w:rPr>
          <w:rStyle w:val="rvts64"/>
          <w:rFonts w:ascii="Times New Roman" w:hAnsi="Times New Roman" w:cs="Times New Roman"/>
          <w:color w:val="000000" w:themeColor="text1"/>
          <w:sz w:val="21"/>
          <w:szCs w:val="21"/>
        </w:rPr>
        <w:t xml:space="preserve">Бюджетний кодекс України </w:t>
      </w:r>
      <w:r w:rsidR="00567CF5" w:rsidRPr="00FC3E63">
        <w:rPr>
          <w:rStyle w:val="rvts64"/>
          <w:rFonts w:ascii="Times New Roman" w:hAnsi="Times New Roman" w:cs="Times New Roman"/>
          <w:color w:val="000000" w:themeColor="text1"/>
          <w:sz w:val="21"/>
          <w:szCs w:val="21"/>
        </w:rPr>
        <w:t xml:space="preserve">: закон України </w:t>
      </w:r>
      <w:r w:rsidRPr="00FC3E63">
        <w:rPr>
          <w:rFonts w:ascii="Times New Roman" w:hAnsi="Times New Roman" w:cs="Times New Roman"/>
          <w:color w:val="000000" w:themeColor="text1"/>
          <w:sz w:val="21"/>
          <w:szCs w:val="21"/>
        </w:rPr>
        <w:t>від 08.</w:t>
      </w:r>
      <w:r w:rsidR="00567CF5" w:rsidRPr="00FC3E63">
        <w:rPr>
          <w:rFonts w:ascii="Times New Roman" w:hAnsi="Times New Roman" w:cs="Times New Roman"/>
          <w:color w:val="000000" w:themeColor="text1"/>
          <w:sz w:val="21"/>
          <w:szCs w:val="21"/>
        </w:rPr>
        <w:t xml:space="preserve"> </w:t>
      </w:r>
      <w:r w:rsidRPr="00FC3E63">
        <w:rPr>
          <w:rFonts w:ascii="Times New Roman" w:hAnsi="Times New Roman" w:cs="Times New Roman"/>
          <w:color w:val="000000" w:themeColor="text1"/>
          <w:sz w:val="21"/>
          <w:szCs w:val="21"/>
        </w:rPr>
        <w:t>07.</w:t>
      </w:r>
      <w:r w:rsidR="00567CF5" w:rsidRPr="00FC3E63">
        <w:rPr>
          <w:rFonts w:ascii="Times New Roman" w:hAnsi="Times New Roman" w:cs="Times New Roman"/>
          <w:color w:val="000000" w:themeColor="text1"/>
          <w:sz w:val="21"/>
          <w:szCs w:val="21"/>
        </w:rPr>
        <w:t xml:space="preserve"> 2010 р. № </w:t>
      </w:r>
      <w:r w:rsidRPr="00FC3E63">
        <w:rPr>
          <w:rFonts w:ascii="Times New Roman" w:hAnsi="Times New Roman" w:cs="Times New Roman"/>
          <w:bCs/>
          <w:color w:val="000000" w:themeColor="text1"/>
          <w:sz w:val="21"/>
          <w:szCs w:val="21"/>
        </w:rPr>
        <w:t xml:space="preserve">2456-VI </w:t>
      </w:r>
      <w:r w:rsidR="00567CF5" w:rsidRPr="00FC3E63">
        <w:rPr>
          <w:rFonts w:ascii="Times New Roman" w:hAnsi="Times New Roman" w:cs="Times New Roman"/>
          <w:bCs/>
          <w:color w:val="000000" w:themeColor="text1"/>
          <w:sz w:val="21"/>
          <w:szCs w:val="21"/>
        </w:rPr>
        <w:t>[Електронний ресурс]. – Режим доступу : http://zakon2.rada.gov.ua/laws/show/2456-17</w:t>
      </w:r>
      <w:bookmarkEnd w:id="562"/>
    </w:p>
    <w:p w:rsidR="003738F2" w:rsidRPr="00FC3E63" w:rsidRDefault="003738F2"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63" w:name="_Ref436211403"/>
      <w:r w:rsidRPr="00FC3E63">
        <w:rPr>
          <w:rFonts w:ascii="Times New Roman" w:hAnsi="Times New Roman" w:cs="Times New Roman"/>
          <w:bCs/>
          <w:color w:val="000000" w:themeColor="text1"/>
          <w:sz w:val="21"/>
          <w:szCs w:val="21"/>
        </w:rPr>
        <w:t>Воротін В. Є. Макроекономічне регулювання в умовах глобальних трансформацій : монографія / В. Є. Воротін. – К. : УАДУ, 2002. – 244 с.</w:t>
      </w:r>
      <w:bookmarkEnd w:id="563"/>
    </w:p>
    <w:p w:rsidR="00FC3E63" w:rsidRPr="00FC3E63" w:rsidRDefault="00FC3E63"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64" w:name="_Ref436211745"/>
      <w:r w:rsidRPr="00FC3E63">
        <w:rPr>
          <w:rFonts w:ascii="Times New Roman" w:hAnsi="Times New Roman" w:cs="Times New Roman"/>
          <w:bCs/>
          <w:color w:val="000000" w:themeColor="text1"/>
          <w:sz w:val="21"/>
          <w:szCs w:val="21"/>
        </w:rPr>
        <w:t>Гуляк О. О. Проблеми та перспективи обліку майна комунальної власності в Україні / О. О. Гуляк // Теорія та практика державного управління. – 2010. – № 2 (29). – С. 52–59.</w:t>
      </w:r>
      <w:bookmarkEnd w:id="564"/>
    </w:p>
    <w:p w:rsidR="003738F2" w:rsidRPr="00FC3E63" w:rsidRDefault="003738F2"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65" w:name="_Ref436211309"/>
      <w:r w:rsidRPr="00FC3E63">
        <w:rPr>
          <w:rFonts w:ascii="Times New Roman" w:hAnsi="Times New Roman" w:cs="Times New Roman"/>
          <w:bCs/>
          <w:color w:val="000000" w:themeColor="text1"/>
          <w:sz w:val="21"/>
          <w:szCs w:val="21"/>
        </w:rPr>
        <w:t xml:space="preserve">Державна стратегія регіонального розвитку на період до 2015 р. : Постанова Кабінету Міністрів України від 21 липня 2006 р. № 1001 [Електронний ресурс]. – Режим доступу : </w:t>
      </w:r>
      <w:hyperlink r:id="rId130" w:history="1">
        <w:r w:rsidRPr="00FC3E63">
          <w:rPr>
            <w:rStyle w:val="aff"/>
            <w:rFonts w:ascii="Times New Roman" w:hAnsi="Times New Roman" w:cs="Times New Roman"/>
            <w:bCs/>
            <w:color w:val="000000" w:themeColor="text1"/>
            <w:sz w:val="21"/>
            <w:szCs w:val="21"/>
            <w:u w:val="none"/>
          </w:rPr>
          <w:t>http://zakon.rada.gov.ua/cgi-bin/laws/main.cgi?nreg=1001-2006-%EF</w:t>
        </w:r>
      </w:hyperlink>
      <w:r w:rsidRPr="00FC3E63">
        <w:rPr>
          <w:rFonts w:ascii="Times New Roman" w:hAnsi="Times New Roman" w:cs="Times New Roman"/>
          <w:bCs/>
          <w:color w:val="000000" w:themeColor="text1"/>
          <w:sz w:val="21"/>
          <w:szCs w:val="21"/>
        </w:rPr>
        <w:t>.</w:t>
      </w:r>
      <w:bookmarkEnd w:id="565"/>
    </w:p>
    <w:p w:rsidR="00E90684" w:rsidRPr="00FC3E63" w:rsidRDefault="00E90684"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66" w:name="_Ref436211423"/>
      <w:r w:rsidRPr="00FC3E63">
        <w:rPr>
          <w:rFonts w:ascii="Times New Roman" w:hAnsi="Times New Roman" w:cs="Times New Roman"/>
          <w:bCs/>
          <w:color w:val="000000" w:themeColor="text1"/>
          <w:sz w:val="21"/>
          <w:szCs w:val="21"/>
        </w:rPr>
        <w:t>Державне управління регіональним розвитком України : монографія / за заг. ред. В. Є. Воротіна, Я. А. Жаліла. – К. : НІСД, 2010. – 288 с.</w:t>
      </w:r>
      <w:bookmarkEnd w:id="566"/>
    </w:p>
    <w:p w:rsidR="00FC3E63" w:rsidRPr="00FC3E63" w:rsidRDefault="00FC3E63"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67" w:name="_Ref436211768"/>
      <w:r w:rsidRPr="00FC3E63">
        <w:rPr>
          <w:rFonts w:ascii="Times New Roman" w:hAnsi="Times New Roman" w:cs="Times New Roman"/>
          <w:bCs/>
          <w:color w:val="000000" w:themeColor="text1"/>
          <w:sz w:val="21"/>
          <w:szCs w:val="21"/>
        </w:rPr>
        <w:t>Державне управління : теорія і практика / За загальною редакцією доктора юридичних наук, професора Авер</w:t>
      </w:r>
      <w:r w:rsidRPr="00FC3E63">
        <w:rPr>
          <w:rFonts w:ascii="Times New Roman" w:hAnsi="Times New Roman" w:cs="Times New Roman"/>
          <w:bCs/>
          <w:color w:val="000000" w:themeColor="text1"/>
          <w:sz w:val="21"/>
          <w:szCs w:val="21"/>
          <w:lang w:val="ru-RU"/>
        </w:rPr>
        <w:t>’</w:t>
      </w:r>
      <w:r w:rsidRPr="00FC3E63">
        <w:rPr>
          <w:rFonts w:ascii="Times New Roman" w:hAnsi="Times New Roman" w:cs="Times New Roman"/>
          <w:bCs/>
          <w:color w:val="000000" w:themeColor="text1"/>
          <w:sz w:val="21"/>
          <w:szCs w:val="21"/>
        </w:rPr>
        <w:t>янова В. Б. – К. : Юрінком Інтер, 1998 – 432 с.</w:t>
      </w:r>
      <w:bookmarkEnd w:id="567"/>
    </w:p>
    <w:p w:rsidR="006219C6" w:rsidRPr="00FC3E63" w:rsidRDefault="006219C6" w:rsidP="00FC3E63">
      <w:pPr>
        <w:pStyle w:val="ad"/>
        <w:widowControl w:val="0"/>
        <w:numPr>
          <w:ilvl w:val="0"/>
          <w:numId w:val="76"/>
        </w:numPr>
        <w:tabs>
          <w:tab w:val="left" w:pos="993"/>
        </w:tabs>
        <w:ind w:left="0" w:firstLine="709"/>
        <w:jc w:val="both"/>
        <w:rPr>
          <w:rFonts w:ascii="Times New Roman" w:hAnsi="Times New Roman" w:cs="Times New Roman"/>
          <w:bCs/>
          <w:sz w:val="21"/>
          <w:szCs w:val="21"/>
        </w:rPr>
      </w:pPr>
      <w:bookmarkStart w:id="568" w:name="_Ref436211443"/>
      <w:r w:rsidRPr="00FC3E63">
        <w:rPr>
          <w:rFonts w:ascii="Times New Roman" w:hAnsi="Times New Roman" w:cs="Times New Roman"/>
          <w:bCs/>
          <w:color w:val="000000" w:themeColor="text1"/>
          <w:sz w:val="21"/>
          <w:szCs w:val="21"/>
        </w:rPr>
        <w:t xml:space="preserve">Європейська хартія місцевого самоврядування : Хартія, </w:t>
      </w:r>
      <w:r w:rsidRPr="00FC3E63">
        <w:rPr>
          <w:rFonts w:ascii="Times New Roman" w:hAnsi="Times New Roman" w:cs="Times New Roman"/>
          <w:bCs/>
          <w:color w:val="000000" w:themeColor="text1"/>
          <w:sz w:val="21"/>
          <w:szCs w:val="21"/>
        </w:rPr>
        <w:lastRenderedPageBreak/>
        <w:t xml:space="preserve">Міжнародний документ від 15. 10. 1985 р. / Рада Європи [Електронний ресурс]. – Режим доступу : </w:t>
      </w:r>
      <w:hyperlink w:history="1">
        <w:r w:rsidRPr="00FC3E63">
          <w:rPr>
            <w:rStyle w:val="aff"/>
            <w:rFonts w:ascii="Times New Roman" w:hAnsi="Times New Roman" w:cs="Times New Roman"/>
            <w:bCs/>
            <w:color w:val="auto"/>
            <w:sz w:val="21"/>
            <w:szCs w:val="21"/>
            <w:u w:val="none"/>
          </w:rPr>
          <w:t>http://zakon4.rada.gov.ua /laws/show/994_036</w:t>
        </w:r>
      </w:hyperlink>
      <w:r w:rsidRPr="00FC3E63">
        <w:rPr>
          <w:rFonts w:ascii="Times New Roman" w:hAnsi="Times New Roman" w:cs="Times New Roman"/>
          <w:bCs/>
          <w:sz w:val="21"/>
          <w:szCs w:val="21"/>
        </w:rPr>
        <w:t>.</w:t>
      </w:r>
      <w:bookmarkEnd w:id="568"/>
    </w:p>
    <w:p w:rsidR="00567CF5" w:rsidRPr="00FC3E63" w:rsidRDefault="005C5CD0"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69" w:name="_Ref436211632"/>
      <w:r w:rsidRPr="00FC3E63">
        <w:rPr>
          <w:rFonts w:ascii="Times New Roman" w:hAnsi="Times New Roman" w:cs="Times New Roman"/>
          <w:bCs/>
          <w:color w:val="000000" w:themeColor="text1"/>
          <w:sz w:val="21"/>
          <w:szCs w:val="21"/>
        </w:rPr>
        <w:t>Земельний кодекс України</w:t>
      </w:r>
      <w:r w:rsidR="00567CF5" w:rsidRPr="00FC3E63">
        <w:rPr>
          <w:rFonts w:ascii="Times New Roman" w:hAnsi="Times New Roman" w:cs="Times New Roman"/>
          <w:bCs/>
          <w:color w:val="000000" w:themeColor="text1"/>
          <w:sz w:val="21"/>
          <w:szCs w:val="21"/>
        </w:rPr>
        <w:t xml:space="preserve"> : закон України</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color w:val="000000" w:themeColor="text1"/>
          <w:sz w:val="21"/>
          <w:szCs w:val="21"/>
        </w:rPr>
        <w:t>від 25.10.2001 р. № </w:t>
      </w:r>
      <w:r w:rsidRPr="00FC3E63">
        <w:rPr>
          <w:rFonts w:ascii="Times New Roman" w:hAnsi="Times New Roman" w:cs="Times New Roman"/>
          <w:bCs/>
          <w:color w:val="000000" w:themeColor="text1"/>
          <w:sz w:val="21"/>
          <w:szCs w:val="21"/>
        </w:rPr>
        <w:t xml:space="preserve">2768-III </w:t>
      </w:r>
      <w:r w:rsidR="00567CF5" w:rsidRPr="00FC3E63">
        <w:rPr>
          <w:rFonts w:ascii="Times New Roman" w:hAnsi="Times New Roman" w:cs="Times New Roman"/>
          <w:bCs/>
          <w:color w:val="000000" w:themeColor="text1"/>
          <w:sz w:val="21"/>
          <w:szCs w:val="21"/>
        </w:rPr>
        <w:t>[Електронний ресурс]. – Режим доступу : http://zakon3.rada.gov.ua/laws/show/2768-14</w:t>
      </w:r>
      <w:bookmarkEnd w:id="569"/>
    </w:p>
    <w:p w:rsidR="0008519C" w:rsidRPr="00FC3E63" w:rsidRDefault="0008519C"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70" w:name="_Ref436211599"/>
      <w:r w:rsidRPr="00FC3E63">
        <w:rPr>
          <w:rFonts w:ascii="Times New Roman" w:hAnsi="Times New Roman" w:cs="Times New Roman"/>
          <w:bCs/>
          <w:color w:val="000000" w:themeColor="text1"/>
          <w:sz w:val="21"/>
          <w:szCs w:val="21"/>
        </w:rPr>
        <w:t>Иваненко Л. В. Создание социального кластера как механизм инновационных преобразований социальной сферы в регионе / Л. В. Иваненко, Н. А. Тимощук // Вестник Самарского государственного университета. – 2013. – № 10. – С. 121–127.</w:t>
      </w:r>
      <w:bookmarkEnd w:id="570"/>
    </w:p>
    <w:p w:rsidR="006219C6" w:rsidRPr="00FC3E63" w:rsidRDefault="006219C6" w:rsidP="00FC3E63">
      <w:pPr>
        <w:pStyle w:val="ad"/>
        <w:widowControl w:val="0"/>
        <w:numPr>
          <w:ilvl w:val="0"/>
          <w:numId w:val="76"/>
        </w:numPr>
        <w:tabs>
          <w:tab w:val="left" w:pos="993"/>
        </w:tabs>
        <w:ind w:left="0" w:firstLine="709"/>
        <w:jc w:val="both"/>
        <w:rPr>
          <w:rFonts w:ascii="Times New Roman" w:hAnsi="Times New Roman" w:cs="Times New Roman"/>
          <w:color w:val="000000" w:themeColor="text1"/>
          <w:sz w:val="21"/>
          <w:szCs w:val="21"/>
        </w:rPr>
      </w:pPr>
      <w:bookmarkStart w:id="571" w:name="_Ref436211554"/>
      <w:r w:rsidRPr="00FC3E63">
        <w:rPr>
          <w:rFonts w:ascii="Times New Roman" w:hAnsi="Times New Roman" w:cs="Times New Roman"/>
          <w:bCs/>
          <w:color w:val="000000" w:themeColor="text1"/>
          <w:sz w:val="21"/>
          <w:szCs w:val="21"/>
        </w:rPr>
        <w:t>Каспрук А. Ю. Муніципальні позики як складова доходів бюджету розвитку місцевих бюджетів / А. Ю. Каспрук // Наукові записки Національного університету «Острозька академія». Серія «Економіка». – 2012. – № 19. – С. 27–30.</w:t>
      </w:r>
      <w:bookmarkEnd w:id="571"/>
    </w:p>
    <w:p w:rsidR="00567CF5" w:rsidRPr="00FC3E63" w:rsidRDefault="005C5CD0"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72" w:name="_Ref436211647"/>
      <w:r w:rsidRPr="00FC3E63">
        <w:rPr>
          <w:rFonts w:ascii="Times New Roman" w:hAnsi="Times New Roman" w:cs="Times New Roman"/>
          <w:color w:val="000000" w:themeColor="text1"/>
          <w:sz w:val="21"/>
          <w:szCs w:val="21"/>
        </w:rPr>
        <w:t xml:space="preserve">Конституція України </w:t>
      </w:r>
      <w:r w:rsidR="00567CF5" w:rsidRPr="00FC3E63">
        <w:rPr>
          <w:rFonts w:ascii="Times New Roman" w:hAnsi="Times New Roman" w:cs="Times New Roman"/>
          <w:color w:val="000000" w:themeColor="text1"/>
          <w:sz w:val="21"/>
          <w:szCs w:val="21"/>
        </w:rPr>
        <w:t xml:space="preserve">: закон України </w:t>
      </w:r>
      <w:r w:rsidRPr="00FC3E63">
        <w:rPr>
          <w:rFonts w:ascii="Times New Roman" w:hAnsi="Times New Roman" w:cs="Times New Roman"/>
          <w:color w:val="000000" w:themeColor="text1"/>
          <w:sz w:val="21"/>
          <w:szCs w:val="21"/>
        </w:rPr>
        <w:t>від 28.</w:t>
      </w:r>
      <w:r w:rsidR="00567CF5" w:rsidRPr="00FC3E63">
        <w:rPr>
          <w:rFonts w:ascii="Times New Roman" w:hAnsi="Times New Roman" w:cs="Times New Roman"/>
          <w:color w:val="000000" w:themeColor="text1"/>
          <w:sz w:val="21"/>
          <w:szCs w:val="21"/>
        </w:rPr>
        <w:t xml:space="preserve"> </w:t>
      </w:r>
      <w:r w:rsidRPr="00FC3E63">
        <w:rPr>
          <w:rFonts w:ascii="Times New Roman" w:hAnsi="Times New Roman" w:cs="Times New Roman"/>
          <w:color w:val="000000" w:themeColor="text1"/>
          <w:sz w:val="21"/>
          <w:szCs w:val="21"/>
        </w:rPr>
        <w:t>06.</w:t>
      </w:r>
      <w:r w:rsidR="00567CF5" w:rsidRPr="00FC3E63">
        <w:rPr>
          <w:rFonts w:ascii="Times New Roman" w:hAnsi="Times New Roman" w:cs="Times New Roman"/>
          <w:color w:val="000000" w:themeColor="text1"/>
          <w:sz w:val="21"/>
          <w:szCs w:val="21"/>
        </w:rPr>
        <w:t xml:space="preserve"> </w:t>
      </w:r>
      <w:r w:rsidRPr="00FC3E63">
        <w:rPr>
          <w:rFonts w:ascii="Times New Roman" w:hAnsi="Times New Roman" w:cs="Times New Roman"/>
          <w:color w:val="000000" w:themeColor="text1"/>
          <w:sz w:val="21"/>
          <w:szCs w:val="21"/>
        </w:rPr>
        <w:t>1996</w:t>
      </w:r>
      <w:r w:rsidR="00567CF5" w:rsidRPr="00FC3E63">
        <w:rPr>
          <w:rFonts w:ascii="Times New Roman" w:hAnsi="Times New Roman" w:cs="Times New Roman"/>
          <w:color w:val="000000" w:themeColor="text1"/>
          <w:sz w:val="21"/>
          <w:szCs w:val="21"/>
        </w:rPr>
        <w:t xml:space="preserve"> </w:t>
      </w:r>
      <w:r w:rsidRPr="00FC3E63">
        <w:rPr>
          <w:rFonts w:ascii="Times New Roman" w:hAnsi="Times New Roman" w:cs="Times New Roman"/>
          <w:color w:val="000000" w:themeColor="text1"/>
          <w:sz w:val="21"/>
          <w:szCs w:val="21"/>
        </w:rPr>
        <w:t>р. №</w:t>
      </w:r>
      <w:r w:rsidR="00567CF5" w:rsidRPr="00FC3E63">
        <w:rPr>
          <w:rFonts w:ascii="Times New Roman" w:hAnsi="Times New Roman" w:cs="Times New Roman"/>
          <w:color w:val="000000" w:themeColor="text1"/>
          <w:sz w:val="21"/>
          <w:szCs w:val="21"/>
        </w:rPr>
        <w:t> </w:t>
      </w:r>
      <w:r w:rsidRPr="00FC3E63">
        <w:rPr>
          <w:rFonts w:ascii="Times New Roman" w:hAnsi="Times New Roman" w:cs="Times New Roman"/>
          <w:bCs/>
          <w:color w:val="000000" w:themeColor="text1"/>
          <w:sz w:val="21"/>
          <w:szCs w:val="21"/>
        </w:rPr>
        <w:t>254к/96-ВР</w:t>
      </w:r>
      <w:r w:rsidR="00567CF5" w:rsidRPr="00FC3E63">
        <w:rPr>
          <w:rFonts w:ascii="Times New Roman" w:hAnsi="Times New Roman" w:cs="Times New Roman"/>
          <w:bCs/>
          <w:color w:val="000000" w:themeColor="text1"/>
          <w:sz w:val="21"/>
          <w:szCs w:val="21"/>
        </w:rPr>
        <w:t xml:space="preserve"> [Електронний ресурс]. – Режим доступу : http:// zakon3.rada.gov.ua/laws/show/254%D0%BA/96-%D0%B2%D1%80</w:t>
      </w:r>
      <w:bookmarkEnd w:id="572"/>
    </w:p>
    <w:p w:rsidR="00FC3E63" w:rsidRPr="00FC3E63" w:rsidRDefault="00FC3E63"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73" w:name="_Ref436211760"/>
      <w:r w:rsidRPr="00FC3E63">
        <w:rPr>
          <w:rFonts w:ascii="Times New Roman" w:hAnsi="Times New Roman" w:cs="Times New Roman"/>
          <w:bCs/>
          <w:color w:val="000000" w:themeColor="text1"/>
          <w:sz w:val="21"/>
          <w:szCs w:val="21"/>
        </w:rPr>
        <w:t>Кравченко В. В. Конституційне право України : навчальний посібник / В. В. Кравченко. – [Вид. 3-тє, виправл. та доповн.]. – К. : Атіка, 2004. – 512 с.</w:t>
      </w:r>
      <w:bookmarkEnd w:id="573"/>
    </w:p>
    <w:p w:rsidR="0008519C" w:rsidRPr="00FC3E63" w:rsidRDefault="0008519C"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74" w:name="_Ref436211626"/>
      <w:r w:rsidRPr="00FC3E63">
        <w:rPr>
          <w:rFonts w:ascii="Times New Roman" w:hAnsi="Times New Roman" w:cs="Times New Roman"/>
          <w:bCs/>
          <w:color w:val="000000" w:themeColor="text1"/>
          <w:sz w:val="21"/>
          <w:szCs w:val="21"/>
        </w:rPr>
        <w:t>Крупник А. Зарубіжний досвід громадського контролю : уроки для України / А. Крупник // Громадянське суспільство. – 2008. – № 5 (7) – С. 12–15.</w:t>
      </w:r>
      <w:bookmarkEnd w:id="574"/>
    </w:p>
    <w:p w:rsidR="006219C6" w:rsidRPr="00FC3E63" w:rsidRDefault="006219C6"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75" w:name="_Ref436211525"/>
      <w:r w:rsidRPr="00FC3E63">
        <w:rPr>
          <w:rFonts w:ascii="Times New Roman" w:hAnsi="Times New Roman" w:cs="Times New Roman"/>
          <w:bCs/>
          <w:color w:val="000000" w:themeColor="text1"/>
          <w:sz w:val="21"/>
          <w:szCs w:val="21"/>
        </w:rPr>
        <w:t xml:space="preserve">Лендьел М. Державно-приватне партнерство як інструмент підвищення конкурентоспроможності територій : доповідь на Національному форумі (12 листопада 2008 року) [Електронний ресурс] / М. Лендьел. – Режим доступу </w:t>
      </w:r>
      <w:r w:rsidRPr="00FC3E63">
        <w:rPr>
          <w:rFonts w:ascii="Times New Roman" w:hAnsi="Times New Roman" w:cs="Times New Roman"/>
          <w:bCs/>
          <w:sz w:val="21"/>
          <w:szCs w:val="21"/>
        </w:rPr>
        <w:t xml:space="preserve">: </w:t>
      </w:r>
      <w:hyperlink w:history="1">
        <w:r w:rsidRPr="00FC3E63">
          <w:rPr>
            <w:rStyle w:val="aff"/>
            <w:rFonts w:ascii="Times New Roman" w:hAnsi="Times New Roman" w:cs="Times New Roman"/>
            <w:bCs/>
            <w:color w:val="auto"/>
            <w:sz w:val="21"/>
            <w:szCs w:val="21"/>
            <w:u w:val="none"/>
          </w:rPr>
          <w:t>http://www.rgd.org.ua /project_activities/round_tables/4th_annual_forum/lendel.ppt</w:t>
        </w:r>
      </w:hyperlink>
      <w:r w:rsidRPr="00FC3E63">
        <w:rPr>
          <w:rFonts w:ascii="Times New Roman" w:hAnsi="Times New Roman" w:cs="Times New Roman"/>
          <w:bCs/>
          <w:color w:val="000000" w:themeColor="text1"/>
          <w:sz w:val="21"/>
          <w:szCs w:val="21"/>
        </w:rPr>
        <w:t>.</w:t>
      </w:r>
      <w:bookmarkEnd w:id="575"/>
    </w:p>
    <w:p w:rsidR="00FC3E63" w:rsidRPr="00FC3E63" w:rsidRDefault="00FC3E63"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76" w:name="_Ref436211779"/>
      <w:r w:rsidRPr="00FC3E63">
        <w:rPr>
          <w:rFonts w:ascii="Times New Roman" w:hAnsi="Times New Roman" w:cs="Times New Roman"/>
          <w:bCs/>
          <w:color w:val="000000" w:themeColor="text1"/>
          <w:sz w:val="21"/>
          <w:szCs w:val="21"/>
        </w:rPr>
        <w:t>Лиска О. Г. Члени територіальної громади : від клієнтів до партнерів / О. Г. Лиска // Гуманітарний вісник ЗДІА. – 2007. – Вип. 30. – С. 225–232.</w:t>
      </w:r>
      <w:bookmarkEnd w:id="576"/>
    </w:p>
    <w:p w:rsidR="00567CF5" w:rsidRPr="00FC3E63" w:rsidRDefault="00567CF5"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77" w:name="_Ref436211273"/>
      <w:r w:rsidRPr="00FC3E63">
        <w:rPr>
          <w:rFonts w:ascii="Times New Roman" w:hAnsi="Times New Roman" w:cs="Times New Roman"/>
          <w:bCs/>
          <w:color w:val="000000" w:themeColor="text1"/>
          <w:sz w:val="21"/>
          <w:szCs w:val="21"/>
        </w:rPr>
        <w:t>Лібанова Е. М. Людський розвиток регіонів України : аналіз та прогноз : монографія / Е. М. Лібанова. – К. : Ін-т демографії та соціальних досліджень НАН України, 2007. – 327 с.</w:t>
      </w:r>
      <w:bookmarkEnd w:id="577"/>
    </w:p>
    <w:p w:rsidR="005C5CD0" w:rsidRPr="00FC3E63" w:rsidRDefault="00567CF5"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78" w:name="_Ref436211256"/>
      <w:r w:rsidRPr="00FC3E63">
        <w:rPr>
          <w:rFonts w:ascii="Times New Roman" w:hAnsi="Times New Roman" w:cs="Times New Roman"/>
          <w:bCs/>
          <w:color w:val="000000" w:themeColor="text1"/>
          <w:sz w:val="21"/>
          <w:szCs w:val="21"/>
        </w:rPr>
        <w:t xml:space="preserve">Лібанова Е. </w:t>
      </w:r>
      <w:r w:rsidR="005C5CD0" w:rsidRPr="00FC3E63">
        <w:rPr>
          <w:rFonts w:ascii="Times New Roman" w:hAnsi="Times New Roman" w:cs="Times New Roman"/>
          <w:bCs/>
          <w:color w:val="000000" w:themeColor="text1"/>
          <w:sz w:val="21"/>
          <w:szCs w:val="21"/>
        </w:rPr>
        <w:t>М. Люд</w:t>
      </w:r>
      <w:r w:rsidRPr="00FC3E63">
        <w:rPr>
          <w:rFonts w:ascii="Times New Roman" w:hAnsi="Times New Roman" w:cs="Times New Roman"/>
          <w:bCs/>
          <w:color w:val="000000" w:themeColor="text1"/>
          <w:sz w:val="21"/>
          <w:szCs w:val="21"/>
        </w:rPr>
        <w:t xml:space="preserve">ський розвиток регіонів України </w:t>
      </w:r>
      <w:r w:rsidR="005C5CD0" w:rsidRPr="00FC3E63">
        <w:rPr>
          <w:rFonts w:ascii="Times New Roman" w:hAnsi="Times New Roman" w:cs="Times New Roman"/>
          <w:bCs/>
          <w:color w:val="000000" w:themeColor="text1"/>
          <w:sz w:val="21"/>
          <w:szCs w:val="21"/>
        </w:rPr>
        <w:t>: мето</w:t>
      </w:r>
      <w:r w:rsidRPr="00FC3E63">
        <w:rPr>
          <w:rFonts w:ascii="Times New Roman" w:hAnsi="Times New Roman" w:cs="Times New Roman"/>
          <w:bCs/>
          <w:color w:val="000000" w:themeColor="text1"/>
          <w:sz w:val="21"/>
          <w:szCs w:val="21"/>
        </w:rPr>
        <w:t>-</w:t>
      </w:r>
      <w:r w:rsidR="005C5CD0" w:rsidRPr="00FC3E63">
        <w:rPr>
          <w:rFonts w:ascii="Times New Roman" w:hAnsi="Times New Roman" w:cs="Times New Roman"/>
          <w:bCs/>
          <w:color w:val="000000" w:themeColor="text1"/>
          <w:sz w:val="21"/>
          <w:szCs w:val="21"/>
        </w:rPr>
        <w:t>ди</w:t>
      </w:r>
      <w:r w:rsidRPr="00FC3E63">
        <w:rPr>
          <w:rFonts w:ascii="Times New Roman" w:hAnsi="Times New Roman" w:cs="Times New Roman"/>
          <w:bCs/>
          <w:color w:val="000000" w:themeColor="text1"/>
          <w:sz w:val="21"/>
          <w:szCs w:val="21"/>
        </w:rPr>
        <w:t xml:space="preserve">ка оцінки та сучасний стан / [Е. М. Лібанова, Н. С. </w:t>
      </w:r>
      <w:r w:rsidR="005C5CD0" w:rsidRPr="00FC3E63">
        <w:rPr>
          <w:rFonts w:ascii="Times New Roman" w:hAnsi="Times New Roman" w:cs="Times New Roman"/>
          <w:bCs/>
          <w:color w:val="000000" w:themeColor="text1"/>
          <w:sz w:val="21"/>
          <w:szCs w:val="21"/>
        </w:rPr>
        <w:t>Власенко, О. С. Власюк, І. В. К</w:t>
      </w:r>
      <w:r w:rsidRPr="00FC3E63">
        <w:rPr>
          <w:rFonts w:ascii="Times New Roman" w:hAnsi="Times New Roman" w:cs="Times New Roman"/>
          <w:bCs/>
          <w:color w:val="000000" w:themeColor="text1"/>
          <w:sz w:val="21"/>
          <w:szCs w:val="21"/>
        </w:rPr>
        <w:t xml:space="preserve">алачова </w:t>
      </w:r>
      <w:r w:rsidR="005C5CD0" w:rsidRPr="00FC3E63">
        <w:rPr>
          <w:rFonts w:ascii="Times New Roman" w:hAnsi="Times New Roman" w:cs="Times New Roman"/>
          <w:bCs/>
          <w:color w:val="000000" w:themeColor="text1"/>
          <w:sz w:val="21"/>
          <w:szCs w:val="21"/>
        </w:rPr>
        <w:t>та ін.]</w:t>
      </w:r>
      <w:r w:rsidRPr="00FC3E63">
        <w:rPr>
          <w:rFonts w:ascii="Times New Roman" w:hAnsi="Times New Roman" w:cs="Times New Roman"/>
          <w:bCs/>
          <w:color w:val="000000" w:themeColor="text1"/>
          <w:sz w:val="21"/>
          <w:szCs w:val="21"/>
        </w:rPr>
        <w:t xml:space="preserve"> </w:t>
      </w:r>
      <w:r w:rsidR="005C5CD0" w:rsidRPr="00FC3E63">
        <w:rPr>
          <w:rFonts w:ascii="Times New Roman" w:hAnsi="Times New Roman" w:cs="Times New Roman"/>
          <w:bCs/>
          <w:color w:val="000000" w:themeColor="text1"/>
          <w:sz w:val="21"/>
          <w:szCs w:val="21"/>
        </w:rPr>
        <w:t>; Рада з вивченн</w:t>
      </w:r>
      <w:r w:rsidRPr="00FC3E63">
        <w:rPr>
          <w:rFonts w:ascii="Times New Roman" w:hAnsi="Times New Roman" w:cs="Times New Roman"/>
          <w:bCs/>
          <w:color w:val="000000" w:themeColor="text1"/>
          <w:sz w:val="21"/>
          <w:szCs w:val="21"/>
        </w:rPr>
        <w:t xml:space="preserve">я продуктивних сил України НАНУ ; ПРООН. – К. : СПД Савчина, </w:t>
      </w:r>
      <w:r w:rsidRPr="00FC3E63">
        <w:rPr>
          <w:rFonts w:ascii="Times New Roman" w:hAnsi="Times New Roman" w:cs="Times New Roman"/>
          <w:bCs/>
          <w:color w:val="000000" w:themeColor="text1"/>
          <w:sz w:val="21"/>
          <w:szCs w:val="21"/>
        </w:rPr>
        <w:lastRenderedPageBreak/>
        <w:t xml:space="preserve">2002. – 123 </w:t>
      </w:r>
      <w:r w:rsidR="005C5CD0" w:rsidRPr="00FC3E63">
        <w:rPr>
          <w:rFonts w:ascii="Times New Roman" w:hAnsi="Times New Roman" w:cs="Times New Roman"/>
          <w:bCs/>
          <w:color w:val="000000" w:themeColor="text1"/>
          <w:sz w:val="21"/>
          <w:szCs w:val="21"/>
        </w:rPr>
        <w:t>с.</w:t>
      </w:r>
      <w:bookmarkEnd w:id="578"/>
    </w:p>
    <w:p w:rsidR="006219C6" w:rsidRPr="00FC3E63" w:rsidRDefault="006219C6"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79" w:name="_Ref436211519"/>
      <w:r w:rsidRPr="00FC3E63">
        <w:rPr>
          <w:rFonts w:ascii="Times New Roman" w:hAnsi="Times New Roman" w:cs="Times New Roman"/>
          <w:bCs/>
          <w:color w:val="000000" w:themeColor="text1"/>
          <w:sz w:val="21"/>
          <w:szCs w:val="21"/>
        </w:rPr>
        <w:t xml:space="preserve">Мамонова В. В. </w:t>
      </w:r>
      <w:hyperlink r:id="rId131" w:tgtFrame="_blank" w:history="1">
        <w:r w:rsidRPr="00FC3E63">
          <w:rPr>
            <w:rFonts w:ascii="Times New Roman" w:hAnsi="Times New Roman" w:cs="Times New Roman"/>
            <w:bCs/>
            <w:color w:val="000000" w:themeColor="text1"/>
            <w:sz w:val="21"/>
            <w:szCs w:val="21"/>
          </w:rPr>
          <w:t>Управління об’єктами комунальної власності : проблеми та шляхи їх вирішення</w:t>
        </w:r>
      </w:hyperlink>
      <w:r w:rsidRPr="00FC3E63">
        <w:rPr>
          <w:rFonts w:ascii="Times New Roman" w:hAnsi="Times New Roman" w:cs="Times New Roman"/>
          <w:bCs/>
          <w:color w:val="000000" w:themeColor="text1"/>
          <w:sz w:val="21"/>
          <w:szCs w:val="21"/>
        </w:rPr>
        <w:t xml:space="preserve"> / В. В. Мамонова, О. Є. Сердюкова // </w:t>
      </w:r>
      <w:hyperlink r:id="rId132" w:tooltip="Періодичне видання" w:history="1">
        <w:r w:rsidRPr="00FC3E63">
          <w:rPr>
            <w:rFonts w:ascii="Times New Roman" w:hAnsi="Times New Roman" w:cs="Times New Roman"/>
            <w:bCs/>
            <w:color w:val="000000" w:themeColor="text1"/>
            <w:sz w:val="21"/>
            <w:szCs w:val="21"/>
          </w:rPr>
          <w:t>Теорія та практика державного управління</w:t>
        </w:r>
      </w:hyperlink>
      <w:r w:rsidRPr="00FC3E63">
        <w:rPr>
          <w:rFonts w:ascii="Times New Roman" w:hAnsi="Times New Roman" w:cs="Times New Roman"/>
          <w:bCs/>
          <w:color w:val="000000" w:themeColor="text1"/>
          <w:sz w:val="21"/>
          <w:szCs w:val="21"/>
        </w:rPr>
        <w:t>. – 2011. – Вип. 3. – С. 302–311.</w:t>
      </w:r>
      <w:bookmarkEnd w:id="579"/>
    </w:p>
    <w:p w:rsidR="0008519C" w:rsidRPr="00FC3E63" w:rsidRDefault="0008519C"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80" w:name="_Ref436211605"/>
      <w:r w:rsidRPr="00FC3E63">
        <w:rPr>
          <w:rFonts w:ascii="Times New Roman" w:hAnsi="Times New Roman" w:cs="Times New Roman"/>
          <w:bCs/>
          <w:color w:val="000000" w:themeColor="text1"/>
          <w:sz w:val="21"/>
          <w:szCs w:val="21"/>
        </w:rPr>
        <w:t>Маркушина Е. В. Кластеры и кластерные стратегии в развитии экономики региона / Е. В. Маркушина // Проблемы современной экономики. – 2010. – № 2 (34). – С. 321–323.</w:t>
      </w:r>
      <w:bookmarkEnd w:id="580"/>
    </w:p>
    <w:p w:rsidR="0008519C" w:rsidRPr="00FC3E63" w:rsidRDefault="0008519C"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81" w:name="_Ref436211614"/>
      <w:r w:rsidRPr="00FC3E63">
        <w:rPr>
          <w:rFonts w:ascii="Times New Roman" w:hAnsi="Times New Roman" w:cs="Times New Roman"/>
          <w:bCs/>
          <w:color w:val="000000" w:themeColor="text1"/>
          <w:sz w:val="21"/>
          <w:szCs w:val="21"/>
        </w:rPr>
        <w:t>Михайлов А. С. Формирование международных кластеров в Балтийском регионе / А. С. Михайлов // Балтийский регион. – 2013. – № 1. – С. 53–66.</w:t>
      </w:r>
      <w:bookmarkEnd w:id="581"/>
    </w:p>
    <w:p w:rsidR="0008519C" w:rsidRPr="00FC3E63" w:rsidRDefault="0008519C" w:rsidP="00FC3E63">
      <w:pPr>
        <w:pStyle w:val="ad"/>
        <w:widowControl w:val="0"/>
        <w:numPr>
          <w:ilvl w:val="0"/>
          <w:numId w:val="76"/>
        </w:numPr>
        <w:tabs>
          <w:tab w:val="left" w:pos="993"/>
        </w:tabs>
        <w:ind w:left="0" w:firstLine="709"/>
        <w:jc w:val="both"/>
        <w:rPr>
          <w:rFonts w:ascii="Times New Roman" w:hAnsi="Times New Roman" w:cs="Times New Roman"/>
          <w:bCs/>
          <w:sz w:val="21"/>
          <w:szCs w:val="21"/>
        </w:rPr>
      </w:pPr>
      <w:bookmarkStart w:id="582" w:name="_Ref436211592"/>
      <w:r w:rsidRPr="00FC3E63">
        <w:rPr>
          <w:rFonts w:ascii="Times New Roman" w:hAnsi="Times New Roman" w:cs="Times New Roman"/>
          <w:bCs/>
          <w:color w:val="000000" w:themeColor="text1"/>
          <w:sz w:val="21"/>
          <w:szCs w:val="21"/>
        </w:rPr>
        <w:t xml:space="preserve">Новосьолова Є. С. Кластери як основа модернізації соціальної сфери [Електронний ресурс] / Є. С. Новосьолова, А. А. Курасова, Д. А. Есаулова. – Режим доступу : </w:t>
      </w:r>
      <w:hyperlink w:history="1">
        <w:r w:rsidRPr="00FC3E63">
          <w:rPr>
            <w:rStyle w:val="aff"/>
            <w:rFonts w:ascii="Times New Roman" w:hAnsi="Times New Roman" w:cs="Times New Roman"/>
            <w:bCs/>
            <w:color w:val="auto"/>
            <w:sz w:val="21"/>
            <w:szCs w:val="21"/>
            <w:u w:val="none"/>
          </w:rPr>
          <w:t>http://www. rusnauka.com/29_NNM_2008/Gosupravlenie/35948.doc.htm</w:t>
        </w:r>
      </w:hyperlink>
      <w:r w:rsidRPr="00FC3E63">
        <w:rPr>
          <w:rFonts w:ascii="Times New Roman" w:hAnsi="Times New Roman" w:cs="Times New Roman"/>
          <w:bCs/>
          <w:sz w:val="21"/>
          <w:szCs w:val="21"/>
        </w:rPr>
        <w:t>.</w:t>
      </w:r>
      <w:bookmarkEnd w:id="582"/>
    </w:p>
    <w:p w:rsidR="006219C6" w:rsidRPr="00FC3E63" w:rsidRDefault="006219C6"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83" w:name="_Ref436211449"/>
      <w:r w:rsidRPr="00FC3E63">
        <w:rPr>
          <w:rFonts w:ascii="Times New Roman" w:hAnsi="Times New Roman" w:cs="Times New Roman"/>
          <w:bCs/>
          <w:color w:val="000000" w:themeColor="text1"/>
          <w:sz w:val="21"/>
          <w:szCs w:val="21"/>
        </w:rPr>
        <w:t>Перегуда Є. Про деякі політичні та соціально-економічні механізми політики децентралізації / Є. Перегуда // Віче. – 2015. – № 12. – С. 7–11.</w:t>
      </w:r>
      <w:bookmarkEnd w:id="583"/>
    </w:p>
    <w:p w:rsidR="003738F2" w:rsidRPr="00FC3E63" w:rsidRDefault="003738F2"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84" w:name="_Ref436211337"/>
      <w:r w:rsidRPr="00FC3E63">
        <w:rPr>
          <w:rFonts w:ascii="Times New Roman" w:hAnsi="Times New Roman" w:cs="Times New Roman"/>
          <w:bCs/>
          <w:color w:val="000000" w:themeColor="text1"/>
          <w:sz w:val="21"/>
          <w:szCs w:val="21"/>
        </w:rPr>
        <w:t>Практичний посібник з питань формування спроможних територіальних громад : проект «Ініціатива захисту прав та представлення інтересів місцевого самоврядування в Україні» / Асоціація міст України. – 39 с.</w:t>
      </w:r>
      <w:bookmarkEnd w:id="584"/>
    </w:p>
    <w:p w:rsidR="00FC3E63" w:rsidRPr="00FC3E63" w:rsidRDefault="00FC3E63"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85" w:name="_Ref436211738"/>
      <w:r w:rsidRPr="00FC3E63">
        <w:rPr>
          <w:rFonts w:ascii="Times New Roman" w:hAnsi="Times New Roman" w:cs="Times New Roman"/>
          <w:bCs/>
          <w:color w:val="000000" w:themeColor="text1"/>
          <w:sz w:val="21"/>
          <w:szCs w:val="21"/>
        </w:rPr>
        <w:t>Про дозвільну систему у сфері господарської діяльності : закон України від 06. 09. 2005 р. № 2806-</w:t>
      </w:r>
      <w:r w:rsidRPr="00FC3E63">
        <w:rPr>
          <w:rFonts w:ascii="Times New Roman" w:hAnsi="Times New Roman" w:cs="Times New Roman"/>
          <w:bCs/>
          <w:color w:val="000000" w:themeColor="text1"/>
          <w:sz w:val="21"/>
          <w:szCs w:val="21"/>
          <w:lang w:val="en-US"/>
        </w:rPr>
        <w:t>IV</w:t>
      </w:r>
      <w:r w:rsidRPr="00FC3E63">
        <w:rPr>
          <w:rFonts w:ascii="Times New Roman" w:hAnsi="Times New Roman" w:cs="Times New Roman"/>
          <w:bCs/>
          <w:color w:val="000000" w:themeColor="text1"/>
          <w:sz w:val="21"/>
          <w:szCs w:val="21"/>
        </w:rPr>
        <w:t xml:space="preserve"> [Електронний ресурс]. – Режим доступу : http://zakon0.rada.gov.ua/laws/show/2806-15</w:t>
      </w:r>
      <w:bookmarkEnd w:id="585"/>
    </w:p>
    <w:p w:rsidR="0008519C" w:rsidRPr="00FC3E63" w:rsidRDefault="0008519C"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86" w:name="_Ref436211731"/>
      <w:r w:rsidRPr="00FC3E63">
        <w:rPr>
          <w:rFonts w:ascii="Times New Roman" w:hAnsi="Times New Roman" w:cs="Times New Roman"/>
          <w:bCs/>
          <w:color w:val="000000" w:themeColor="text1"/>
          <w:sz w:val="21"/>
          <w:szCs w:val="21"/>
        </w:rPr>
        <w:t>Про засади державної регуляторної політики у сфері господарської діяльності : закон України від 11. 09. 2003 р. № 1160-</w:t>
      </w:r>
      <w:r w:rsidRPr="00FC3E63">
        <w:rPr>
          <w:rFonts w:ascii="Times New Roman" w:hAnsi="Times New Roman" w:cs="Times New Roman"/>
          <w:bCs/>
          <w:color w:val="000000" w:themeColor="text1"/>
          <w:sz w:val="21"/>
          <w:szCs w:val="21"/>
          <w:lang w:val="en-US"/>
        </w:rPr>
        <w:t>IV</w:t>
      </w:r>
      <w:r w:rsidRPr="00FC3E63">
        <w:rPr>
          <w:rFonts w:ascii="Times New Roman" w:hAnsi="Times New Roman" w:cs="Times New Roman"/>
          <w:bCs/>
          <w:color w:val="000000" w:themeColor="text1"/>
          <w:sz w:val="21"/>
          <w:szCs w:val="21"/>
        </w:rPr>
        <w:t xml:space="preserve"> [Електронний ресурс]. – Режим доступу : http://zakon1.rada.gov.ua/laws/show/1160-15</w:t>
      </w:r>
      <w:bookmarkEnd w:id="586"/>
    </w:p>
    <w:p w:rsidR="003738F2" w:rsidRPr="00FC3E63" w:rsidRDefault="003738F2" w:rsidP="00FC3E63">
      <w:pPr>
        <w:pStyle w:val="ad"/>
        <w:widowControl w:val="0"/>
        <w:numPr>
          <w:ilvl w:val="0"/>
          <w:numId w:val="76"/>
        </w:numPr>
        <w:tabs>
          <w:tab w:val="left" w:pos="993"/>
        </w:tabs>
        <w:ind w:left="0" w:firstLine="709"/>
        <w:jc w:val="both"/>
        <w:rPr>
          <w:rStyle w:val="rvts0"/>
          <w:rFonts w:ascii="Times New Roman" w:hAnsi="Times New Roman"/>
          <w:color w:val="000000" w:themeColor="text1"/>
          <w:sz w:val="21"/>
          <w:szCs w:val="21"/>
        </w:rPr>
      </w:pPr>
      <w:bookmarkStart w:id="587" w:name="_Ref436211317"/>
      <w:r w:rsidRPr="00FC3E63">
        <w:rPr>
          <w:rFonts w:ascii="Times New Roman" w:hAnsi="Times New Roman" w:cs="Times New Roman"/>
          <w:bCs/>
          <w:color w:val="000000" w:themeColor="text1"/>
          <w:sz w:val="21"/>
          <w:szCs w:val="21"/>
        </w:rPr>
        <w:t xml:space="preserve">Про затвердження Державної стратегії регіонального розвитку на період до 2020 року : Постанова Кабінету Міністрів України від 06. 08. 2014 р. № 385 [Електронний ресурс]. – Режим </w:t>
      </w:r>
      <w:r w:rsidRPr="00FC3E63">
        <w:rPr>
          <w:rFonts w:ascii="Times New Roman" w:hAnsi="Times New Roman" w:cs="Times New Roman"/>
          <w:bCs/>
          <w:color w:val="000000" w:themeColor="text1"/>
          <w:spacing w:val="-4"/>
          <w:sz w:val="21"/>
          <w:szCs w:val="21"/>
        </w:rPr>
        <w:t xml:space="preserve">доступу : </w:t>
      </w:r>
      <w:hyperlink r:id="rId133" w:anchor="n11" w:history="1">
        <w:r w:rsidRPr="00FC3E63">
          <w:rPr>
            <w:rFonts w:ascii="Times New Roman" w:hAnsi="Times New Roman" w:cs="Times New Roman"/>
            <w:bCs/>
            <w:color w:val="000000" w:themeColor="text1"/>
            <w:spacing w:val="-4"/>
            <w:sz w:val="21"/>
            <w:szCs w:val="21"/>
          </w:rPr>
          <w:t>http://zakon2.rada.gov.ua/laws/show/385-2014-%D0%BF#n11</w:t>
        </w:r>
      </w:hyperlink>
      <w:r w:rsidRPr="00FC3E63">
        <w:rPr>
          <w:rFonts w:ascii="Times New Roman" w:hAnsi="Times New Roman" w:cs="Times New Roman"/>
          <w:bCs/>
          <w:color w:val="000000" w:themeColor="text1"/>
          <w:spacing w:val="-4"/>
          <w:sz w:val="21"/>
          <w:szCs w:val="21"/>
        </w:rPr>
        <w:t>.</w:t>
      </w:r>
      <w:bookmarkEnd w:id="587"/>
    </w:p>
    <w:p w:rsidR="0008519C" w:rsidRPr="00FC3E63" w:rsidRDefault="0008519C"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88" w:name="_Ref436211583"/>
      <w:r w:rsidRPr="00FC3E63">
        <w:rPr>
          <w:rFonts w:ascii="Times New Roman" w:hAnsi="Times New Roman" w:cs="Times New Roman"/>
          <w:bCs/>
          <w:color w:val="000000" w:themeColor="text1"/>
          <w:sz w:val="21"/>
          <w:szCs w:val="21"/>
        </w:rPr>
        <w:t xml:space="preserve">Про затвердження плану заходів з виконання Програми діяльності Кабінету Міністрів України та Стратегії сталого розвитку «Україна-2020» у 2015 році : Постанова Кабінету Міністрів України від 04. 03. 2015 р. № 213-р [Електронний ресурс]. – Режим доступу : </w:t>
      </w:r>
      <w:hyperlink r:id="rId134" w:history="1">
        <w:r w:rsidRPr="00FC3E63">
          <w:rPr>
            <w:rFonts w:ascii="Times New Roman" w:hAnsi="Times New Roman" w:cs="Times New Roman"/>
            <w:bCs/>
            <w:color w:val="000000" w:themeColor="text1"/>
            <w:sz w:val="21"/>
            <w:szCs w:val="21"/>
          </w:rPr>
          <w:t>http://zakon4.rada.gov.ua/laws/show/213-2015-%D1%80</w:t>
        </w:r>
      </w:hyperlink>
      <w:r w:rsidRPr="00FC3E63">
        <w:rPr>
          <w:rFonts w:ascii="Times New Roman" w:hAnsi="Times New Roman" w:cs="Times New Roman"/>
          <w:bCs/>
          <w:color w:val="000000" w:themeColor="text1"/>
          <w:sz w:val="21"/>
          <w:szCs w:val="21"/>
        </w:rPr>
        <w:t>.</w:t>
      </w:r>
      <w:bookmarkEnd w:id="588"/>
    </w:p>
    <w:p w:rsidR="0008519C" w:rsidRPr="00FC3E63" w:rsidRDefault="0008519C"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89" w:name="_Ref436211656"/>
      <w:r w:rsidRPr="00FC3E63">
        <w:rPr>
          <w:rFonts w:ascii="Times New Roman" w:hAnsi="Times New Roman" w:cs="Times New Roman"/>
          <w:bCs/>
          <w:color w:val="000000" w:themeColor="text1"/>
          <w:sz w:val="21"/>
          <w:szCs w:val="21"/>
        </w:rPr>
        <w:lastRenderedPageBreak/>
        <w:t>Про звернення громадян : закон України від 02. 10. 1996 р. № 393/96-ВР [Електронний ресурс]. – Режим доступу : http://zakon0.rada.gov.ua/laws/show/393/96-%D0%B2%D1%80</w:t>
      </w:r>
      <w:bookmarkEnd w:id="589"/>
    </w:p>
    <w:p w:rsidR="006219C6" w:rsidRPr="00FC3E63" w:rsidRDefault="006219C6" w:rsidP="00FC3E63">
      <w:pPr>
        <w:pStyle w:val="ad"/>
        <w:widowControl w:val="0"/>
        <w:numPr>
          <w:ilvl w:val="0"/>
          <w:numId w:val="76"/>
        </w:numPr>
        <w:tabs>
          <w:tab w:val="left" w:pos="993"/>
        </w:tabs>
        <w:ind w:left="0" w:firstLine="709"/>
        <w:jc w:val="both"/>
        <w:rPr>
          <w:rStyle w:val="rvts0"/>
          <w:rFonts w:ascii="Times New Roman" w:hAnsi="Times New Roman"/>
          <w:sz w:val="21"/>
          <w:szCs w:val="21"/>
        </w:rPr>
      </w:pPr>
      <w:bookmarkStart w:id="590" w:name="_Ref436211507"/>
      <w:r w:rsidRPr="00FC3E63">
        <w:rPr>
          <w:rFonts w:ascii="Times New Roman" w:hAnsi="Times New Roman" w:cs="Times New Roman"/>
          <w:bCs/>
          <w:color w:val="000000" w:themeColor="text1"/>
          <w:sz w:val="21"/>
          <w:szCs w:val="21"/>
        </w:rPr>
        <w:t xml:space="preserve">Про концесії : закон України від 16. 07. 1999 р. № 997-XIV [Електронний ресурс]. – Режим доступу : </w:t>
      </w:r>
      <w:hyperlink w:history="1">
        <w:r w:rsidRPr="00FC3E63">
          <w:rPr>
            <w:rStyle w:val="aff"/>
            <w:rFonts w:ascii="Times New Roman" w:hAnsi="Times New Roman" w:cs="Times New Roman"/>
            <w:bCs/>
            <w:color w:val="auto"/>
            <w:sz w:val="21"/>
            <w:szCs w:val="21"/>
            <w:u w:val="none"/>
          </w:rPr>
          <w:t>http://zakon4.rada.gov.ua /laws/show/997-14</w:t>
        </w:r>
      </w:hyperlink>
      <w:r w:rsidRPr="00FC3E63">
        <w:rPr>
          <w:rFonts w:ascii="Times New Roman" w:hAnsi="Times New Roman" w:cs="Times New Roman"/>
          <w:bCs/>
          <w:sz w:val="21"/>
          <w:szCs w:val="21"/>
        </w:rPr>
        <w:t>.</w:t>
      </w:r>
      <w:bookmarkEnd w:id="590"/>
    </w:p>
    <w:p w:rsidR="00567CF5" w:rsidRPr="00FC3E63" w:rsidRDefault="005C5CD0"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91" w:name="_Ref436211677"/>
      <w:r w:rsidRPr="00FC3E63">
        <w:rPr>
          <w:rStyle w:val="rvts0"/>
          <w:rFonts w:ascii="Times New Roman" w:hAnsi="Times New Roman"/>
          <w:color w:val="000000" w:themeColor="text1"/>
          <w:sz w:val="21"/>
          <w:szCs w:val="21"/>
        </w:rPr>
        <w:t>Про м</w:t>
      </w:r>
      <w:r w:rsidR="00567CF5" w:rsidRPr="00FC3E63">
        <w:rPr>
          <w:rStyle w:val="rvts0"/>
          <w:rFonts w:ascii="Times New Roman" w:hAnsi="Times New Roman"/>
          <w:color w:val="000000" w:themeColor="text1"/>
          <w:sz w:val="21"/>
          <w:szCs w:val="21"/>
        </w:rPr>
        <w:t xml:space="preserve">ісцеве самоврядування в Україні </w:t>
      </w:r>
      <w:r w:rsidRPr="00FC3E63">
        <w:rPr>
          <w:rStyle w:val="rvts0"/>
          <w:rFonts w:ascii="Times New Roman" w:hAnsi="Times New Roman"/>
          <w:color w:val="000000" w:themeColor="text1"/>
          <w:sz w:val="21"/>
          <w:szCs w:val="21"/>
        </w:rPr>
        <w:t xml:space="preserve">: </w:t>
      </w:r>
      <w:r w:rsidR="00567CF5" w:rsidRPr="00FC3E63">
        <w:rPr>
          <w:rStyle w:val="rvts0"/>
          <w:rFonts w:ascii="Times New Roman" w:hAnsi="Times New Roman"/>
          <w:color w:val="000000" w:themeColor="text1"/>
          <w:sz w:val="21"/>
          <w:szCs w:val="21"/>
        </w:rPr>
        <w:t>з</w:t>
      </w:r>
      <w:r w:rsidRPr="00FC3E63">
        <w:rPr>
          <w:rStyle w:val="rvts0"/>
          <w:rFonts w:ascii="Times New Roman" w:hAnsi="Times New Roman"/>
          <w:color w:val="000000" w:themeColor="text1"/>
          <w:sz w:val="21"/>
          <w:szCs w:val="21"/>
        </w:rPr>
        <w:t xml:space="preserve">акон України від </w:t>
      </w:r>
      <w:r w:rsidR="00567CF5" w:rsidRPr="00FC3E63">
        <w:rPr>
          <w:rFonts w:ascii="Times New Roman" w:hAnsi="Times New Roman" w:cs="Times New Roman"/>
          <w:color w:val="000000" w:themeColor="text1"/>
          <w:sz w:val="21"/>
          <w:szCs w:val="21"/>
        </w:rPr>
        <w:t xml:space="preserve">21.05.1997 </w:t>
      </w:r>
      <w:r w:rsidRPr="00FC3E63">
        <w:rPr>
          <w:rFonts w:ascii="Times New Roman" w:hAnsi="Times New Roman" w:cs="Times New Roman"/>
          <w:color w:val="000000" w:themeColor="text1"/>
          <w:sz w:val="21"/>
          <w:szCs w:val="21"/>
        </w:rPr>
        <w:t>р.</w:t>
      </w:r>
      <w:r w:rsidR="00567CF5" w:rsidRPr="00FC3E63">
        <w:rPr>
          <w:rFonts w:ascii="Times New Roman" w:hAnsi="Times New Roman" w:cs="Times New Roman"/>
          <w:color w:val="000000" w:themeColor="text1"/>
          <w:sz w:val="21"/>
          <w:szCs w:val="21"/>
        </w:rPr>
        <w:t xml:space="preserve"> № </w:t>
      </w:r>
      <w:r w:rsidRPr="00FC3E63">
        <w:rPr>
          <w:rFonts w:ascii="Times New Roman" w:hAnsi="Times New Roman" w:cs="Times New Roman"/>
          <w:bCs/>
          <w:color w:val="000000" w:themeColor="text1"/>
          <w:sz w:val="21"/>
          <w:szCs w:val="21"/>
        </w:rPr>
        <w:t xml:space="preserve">280/97-ВР </w:t>
      </w:r>
      <w:r w:rsidR="00567CF5" w:rsidRPr="00FC3E63">
        <w:rPr>
          <w:rFonts w:ascii="Times New Roman" w:hAnsi="Times New Roman" w:cs="Times New Roman"/>
          <w:bCs/>
          <w:color w:val="000000" w:themeColor="text1"/>
          <w:sz w:val="21"/>
          <w:szCs w:val="21"/>
        </w:rPr>
        <w:t>[Електронний ресурс]. – Режим доступу : http://zakon2.rada.gov.ua/laws/show/280/97-%D0%B2%D1%80</w:t>
      </w:r>
      <w:bookmarkEnd w:id="591"/>
    </w:p>
    <w:p w:rsidR="003738F2" w:rsidRPr="00FC3E63" w:rsidRDefault="003738F2" w:rsidP="00FC3E63">
      <w:pPr>
        <w:pStyle w:val="ad"/>
        <w:widowControl w:val="0"/>
        <w:numPr>
          <w:ilvl w:val="0"/>
          <w:numId w:val="76"/>
        </w:numPr>
        <w:tabs>
          <w:tab w:val="left" w:pos="993"/>
        </w:tabs>
        <w:ind w:left="0" w:firstLine="709"/>
        <w:jc w:val="both"/>
        <w:rPr>
          <w:rFonts w:ascii="Times New Roman" w:hAnsi="Times New Roman" w:cs="Times New Roman"/>
          <w:color w:val="000000" w:themeColor="text1"/>
          <w:sz w:val="21"/>
          <w:szCs w:val="21"/>
        </w:rPr>
      </w:pPr>
      <w:bookmarkStart w:id="592" w:name="_Ref436211351"/>
      <w:r w:rsidRPr="00FC3E63">
        <w:rPr>
          <w:rFonts w:ascii="Times New Roman" w:hAnsi="Times New Roman" w:cs="Times New Roman"/>
          <w:bCs/>
          <w:color w:val="000000" w:themeColor="text1"/>
          <w:sz w:val="21"/>
          <w:szCs w:val="21"/>
        </w:rPr>
        <w:t xml:space="preserve">Про органи самоорганізації населення : закон України від 11. 07. 2001 р. № 2625-III [Електронний ресурс]. – Режим доступу : </w:t>
      </w:r>
      <w:hyperlink r:id="rId135" w:history="1">
        <w:r w:rsidRPr="00FC3E63">
          <w:rPr>
            <w:rStyle w:val="aff"/>
            <w:rFonts w:ascii="Times New Roman" w:hAnsi="Times New Roman" w:cs="Times New Roman"/>
            <w:bCs/>
            <w:color w:val="000000" w:themeColor="text1"/>
            <w:sz w:val="21"/>
            <w:szCs w:val="21"/>
            <w:u w:val="none"/>
          </w:rPr>
          <w:t>http://zakon4.rada.gov.ua/laws/show/2625-14</w:t>
        </w:r>
      </w:hyperlink>
      <w:r w:rsidRPr="00FC3E63">
        <w:rPr>
          <w:rFonts w:ascii="Times New Roman" w:hAnsi="Times New Roman" w:cs="Times New Roman"/>
          <w:bCs/>
          <w:color w:val="000000" w:themeColor="text1"/>
          <w:sz w:val="21"/>
          <w:szCs w:val="21"/>
        </w:rPr>
        <w:t>.</w:t>
      </w:r>
      <w:bookmarkEnd w:id="592"/>
    </w:p>
    <w:p w:rsidR="00567CF5" w:rsidRPr="00FC3E63" w:rsidRDefault="005C5CD0"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93" w:name="_Ref436211512"/>
      <w:r w:rsidRPr="00FC3E63">
        <w:rPr>
          <w:rFonts w:ascii="Times New Roman" w:hAnsi="Times New Roman" w:cs="Times New Roman"/>
          <w:color w:val="000000" w:themeColor="text1"/>
          <w:sz w:val="21"/>
          <w:szCs w:val="21"/>
        </w:rPr>
        <w:t xml:space="preserve">Про оренду </w:t>
      </w:r>
      <w:r w:rsidR="00567CF5" w:rsidRPr="00FC3E63">
        <w:rPr>
          <w:rFonts w:ascii="Times New Roman" w:hAnsi="Times New Roman" w:cs="Times New Roman"/>
          <w:color w:val="000000" w:themeColor="text1"/>
          <w:sz w:val="21"/>
          <w:szCs w:val="21"/>
        </w:rPr>
        <w:t xml:space="preserve">державного і комунального майна </w:t>
      </w:r>
      <w:r w:rsidRPr="00FC3E63">
        <w:rPr>
          <w:rFonts w:ascii="Times New Roman" w:hAnsi="Times New Roman" w:cs="Times New Roman"/>
          <w:color w:val="000000" w:themeColor="text1"/>
          <w:sz w:val="21"/>
          <w:szCs w:val="21"/>
        </w:rPr>
        <w:t xml:space="preserve">: </w:t>
      </w:r>
      <w:r w:rsidR="00567CF5" w:rsidRPr="00FC3E63">
        <w:rPr>
          <w:rFonts w:ascii="Times New Roman" w:hAnsi="Times New Roman" w:cs="Times New Roman"/>
          <w:color w:val="000000" w:themeColor="text1"/>
          <w:sz w:val="21"/>
          <w:szCs w:val="21"/>
        </w:rPr>
        <w:t xml:space="preserve">закон України від 10. 04. 1992 р. № </w:t>
      </w:r>
      <w:r w:rsidRPr="00FC3E63">
        <w:rPr>
          <w:rFonts w:ascii="Times New Roman" w:hAnsi="Times New Roman" w:cs="Times New Roman"/>
          <w:bCs/>
          <w:color w:val="000000" w:themeColor="text1"/>
          <w:sz w:val="21"/>
          <w:szCs w:val="21"/>
        </w:rPr>
        <w:t>2269-XII</w:t>
      </w:r>
      <w:r w:rsidR="00567CF5" w:rsidRPr="00FC3E63">
        <w:rPr>
          <w:rFonts w:ascii="Times New Roman" w:hAnsi="Times New Roman" w:cs="Times New Roman"/>
          <w:bCs/>
          <w:color w:val="000000" w:themeColor="text1"/>
          <w:sz w:val="21"/>
          <w:szCs w:val="21"/>
        </w:rPr>
        <w:t xml:space="preserve"> [Електронний ресурс]. – Режим доступу : http://zakon5.rada.gov.ua/laws/show/2269-12</w:t>
      </w:r>
      <w:bookmarkEnd w:id="593"/>
    </w:p>
    <w:p w:rsidR="006219C6" w:rsidRPr="00FC3E63" w:rsidRDefault="006219C6" w:rsidP="00FC3E63">
      <w:pPr>
        <w:pStyle w:val="ad"/>
        <w:widowControl w:val="0"/>
        <w:numPr>
          <w:ilvl w:val="0"/>
          <w:numId w:val="76"/>
        </w:numPr>
        <w:tabs>
          <w:tab w:val="left" w:pos="993"/>
        </w:tabs>
        <w:ind w:left="0" w:firstLine="709"/>
        <w:jc w:val="both"/>
        <w:rPr>
          <w:rFonts w:ascii="Times New Roman" w:hAnsi="Times New Roman" w:cs="Times New Roman"/>
          <w:bCs/>
          <w:sz w:val="21"/>
          <w:szCs w:val="21"/>
        </w:rPr>
      </w:pPr>
      <w:bookmarkStart w:id="594" w:name="_Ref436211436"/>
      <w:r w:rsidRPr="00FC3E63">
        <w:rPr>
          <w:rFonts w:ascii="Times New Roman" w:hAnsi="Times New Roman" w:cs="Times New Roman"/>
          <w:bCs/>
          <w:color w:val="000000" w:themeColor="text1"/>
          <w:sz w:val="21"/>
          <w:szCs w:val="21"/>
        </w:rPr>
        <w:t xml:space="preserve">Про ратифікацію Європейської хартії місцевого самоврядування : закон України від 15. 07. 1997 р. № 452/97-ВР [Електронний ресурс]. – Режим доступу : </w:t>
      </w:r>
      <w:hyperlink w:history="1">
        <w:r w:rsidRPr="00FC3E63">
          <w:rPr>
            <w:rStyle w:val="aff"/>
            <w:rFonts w:ascii="Times New Roman" w:hAnsi="Times New Roman" w:cs="Times New Roman"/>
            <w:bCs/>
            <w:color w:val="auto"/>
            <w:sz w:val="21"/>
            <w:szCs w:val="21"/>
            <w:u w:val="none"/>
          </w:rPr>
          <w:t>http://zakon4.rada.gov.ua /laws/show/452/97-%D0%B2%D1%80</w:t>
        </w:r>
      </w:hyperlink>
      <w:r w:rsidRPr="00FC3E63">
        <w:rPr>
          <w:rFonts w:ascii="Times New Roman" w:hAnsi="Times New Roman" w:cs="Times New Roman"/>
          <w:bCs/>
          <w:sz w:val="21"/>
          <w:szCs w:val="21"/>
        </w:rPr>
        <w:t>.</w:t>
      </w:r>
      <w:bookmarkEnd w:id="594"/>
    </w:p>
    <w:p w:rsidR="00FC3E63" w:rsidRPr="00FC3E63" w:rsidRDefault="00FC3E63"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95" w:name="_Ref436211829"/>
      <w:r w:rsidRPr="00FC3E63">
        <w:rPr>
          <w:rFonts w:ascii="Times New Roman" w:hAnsi="Times New Roman" w:cs="Times New Roman"/>
          <w:bCs/>
          <w:color w:val="000000" w:themeColor="text1"/>
          <w:sz w:val="21"/>
          <w:szCs w:val="21"/>
        </w:rPr>
        <w:t>Райзберг Б. А. Методологические подходы к оценке эффективности управления государственной собственностью / Б. А. Райзберг, В. Ю. Буряк // Управление собственностью. – 2004 – № 3 – С. 55–61.</w:t>
      </w:r>
      <w:bookmarkEnd w:id="595"/>
    </w:p>
    <w:p w:rsidR="006219C6" w:rsidRPr="00FC3E63" w:rsidRDefault="006219C6"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96" w:name="_Ref436211545"/>
      <w:r w:rsidRPr="00FC3E63">
        <w:rPr>
          <w:rFonts w:ascii="Times New Roman" w:hAnsi="Times New Roman" w:cs="Times New Roman"/>
          <w:bCs/>
          <w:color w:val="000000" w:themeColor="text1"/>
          <w:sz w:val="21"/>
          <w:szCs w:val="21"/>
        </w:rPr>
        <w:t>Савенко О. А. Ринок муніципальних облігацій України : проблеми та перспективи розвитку / О. А. Савенко // Ринок цінних паперів : Вісник Державної комісії з цінних паперів та фондового ринку. – 2009. – № 3. – C. 41–47.</w:t>
      </w:r>
      <w:bookmarkEnd w:id="596"/>
    </w:p>
    <w:p w:rsidR="006219C6" w:rsidRPr="00FC3E63" w:rsidRDefault="006219C6"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97" w:name="_Ref436211431"/>
      <w:r w:rsidRPr="00FC3E63">
        <w:rPr>
          <w:rFonts w:ascii="Times New Roman" w:hAnsi="Times New Roman" w:cs="Times New Roman"/>
          <w:bCs/>
          <w:color w:val="000000" w:themeColor="text1"/>
          <w:sz w:val="21"/>
          <w:szCs w:val="21"/>
        </w:rPr>
        <w:t>Семенченко С. А. Виконання бюджетів місцевого самоврядування за доходами : європейський досвід та проблеми правового регулювання в Україні / С. А. Семенченко // Проблеми реформування місцевого самоврядування в Україні в контексті наближення до європейських стандартів : матеріали міжнародної науково-практичної конференції (м. Харків, 28 жовтня 2009 р.). – Х. : НДІ держ. буд-ва та місц. самоврядування, 2009. – С. 209–211.</w:t>
      </w:r>
      <w:bookmarkEnd w:id="597"/>
    </w:p>
    <w:p w:rsidR="006219C6" w:rsidRPr="00FC3E63" w:rsidRDefault="006219C6"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98" w:name="_Ref436211569"/>
      <w:r w:rsidRPr="00FC3E63">
        <w:rPr>
          <w:rFonts w:ascii="Times New Roman" w:hAnsi="Times New Roman" w:cs="Times New Roman"/>
          <w:bCs/>
          <w:color w:val="000000" w:themeColor="text1"/>
          <w:sz w:val="21"/>
          <w:szCs w:val="21"/>
        </w:rPr>
        <w:t xml:space="preserve">Скиба М. Перспективи становлення ринку муніципальних цінних паперів в Україні [Електронний ресурс] / М. Скиба / Аналітичні записки щодо проблем і подій суспільного розвитку. – Режим доступу : </w:t>
      </w:r>
      <w:hyperlink r:id="rId136" w:history="1">
        <w:r w:rsidRPr="00FC3E63">
          <w:rPr>
            <w:rStyle w:val="aff"/>
            <w:rFonts w:ascii="Times New Roman" w:hAnsi="Times New Roman" w:cs="Times New Roman"/>
            <w:bCs/>
            <w:color w:val="000000" w:themeColor="text1"/>
            <w:sz w:val="21"/>
            <w:szCs w:val="21"/>
            <w:u w:val="none"/>
          </w:rPr>
          <w:t>http://old.niss.gov.ua/Monitor/june2009/12.htm</w:t>
        </w:r>
      </w:hyperlink>
      <w:r w:rsidRPr="00FC3E63">
        <w:rPr>
          <w:rFonts w:ascii="Times New Roman" w:hAnsi="Times New Roman" w:cs="Times New Roman"/>
          <w:bCs/>
          <w:color w:val="000000" w:themeColor="text1"/>
          <w:sz w:val="21"/>
          <w:szCs w:val="21"/>
        </w:rPr>
        <w:t>.</w:t>
      </w:r>
      <w:bookmarkEnd w:id="598"/>
    </w:p>
    <w:p w:rsidR="005C5CD0" w:rsidRPr="00FC3E63" w:rsidRDefault="00567CF5"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599" w:name="_Ref436211265"/>
      <w:r w:rsidRPr="00FC3E63">
        <w:rPr>
          <w:rFonts w:ascii="Times New Roman" w:hAnsi="Times New Roman" w:cs="Times New Roman"/>
          <w:bCs/>
          <w:color w:val="000000" w:themeColor="text1"/>
          <w:sz w:val="21"/>
          <w:szCs w:val="21"/>
        </w:rPr>
        <w:t xml:space="preserve">Соціально–трудовий потенціал : теорія і практика : у двох частинах / [М. І. Долішній, С. М. Злупко, С. І. Бандур та ін.] </w:t>
      </w:r>
      <w:r w:rsidR="005C5CD0" w:rsidRPr="00FC3E63">
        <w:rPr>
          <w:rFonts w:ascii="Times New Roman" w:hAnsi="Times New Roman" w:cs="Times New Roman"/>
          <w:bCs/>
          <w:color w:val="000000" w:themeColor="text1"/>
          <w:sz w:val="21"/>
          <w:szCs w:val="21"/>
        </w:rPr>
        <w:t xml:space="preserve">; відп. </w:t>
      </w:r>
      <w:r w:rsidRPr="00FC3E63">
        <w:rPr>
          <w:rFonts w:ascii="Times New Roman" w:hAnsi="Times New Roman" w:cs="Times New Roman"/>
          <w:bCs/>
          <w:color w:val="000000" w:themeColor="text1"/>
          <w:sz w:val="21"/>
          <w:szCs w:val="21"/>
        </w:rPr>
        <w:t xml:space="preserve">ред. М. І. Долішній, С. М. Злупко. – К. : Наук. думка, 1994. – Ч. 2. – 211 </w:t>
      </w:r>
      <w:r w:rsidR="005C5CD0" w:rsidRPr="00FC3E63">
        <w:rPr>
          <w:rFonts w:ascii="Times New Roman" w:hAnsi="Times New Roman" w:cs="Times New Roman"/>
          <w:bCs/>
          <w:color w:val="000000" w:themeColor="text1"/>
          <w:sz w:val="21"/>
          <w:szCs w:val="21"/>
        </w:rPr>
        <w:t>с.</w:t>
      </w:r>
      <w:bookmarkEnd w:id="599"/>
    </w:p>
    <w:p w:rsidR="003738F2" w:rsidRPr="00FC3E63" w:rsidRDefault="003738F2"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600" w:name="_Ref436211380"/>
      <w:r w:rsidRPr="00FC3E63">
        <w:rPr>
          <w:rFonts w:ascii="Times New Roman" w:hAnsi="Times New Roman" w:cs="Times New Roman"/>
          <w:bCs/>
          <w:color w:val="000000" w:themeColor="text1"/>
          <w:sz w:val="21"/>
          <w:szCs w:val="21"/>
        </w:rPr>
        <w:t>Статус та організація роботи депутата сільської, селищної ради : практичний посібник / За ред. В. В. Кравченка, М. В. Піт-цика, В. К. Терещенка. – К. : Купріянова О. О., 2005. – 118 с.</w:t>
      </w:r>
      <w:bookmarkEnd w:id="600"/>
    </w:p>
    <w:p w:rsidR="00FC3E63" w:rsidRPr="00FC3E63" w:rsidRDefault="00FC3E63"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601" w:name="_Ref436211754"/>
      <w:r w:rsidRPr="00FC3E63">
        <w:rPr>
          <w:rFonts w:ascii="Times New Roman" w:hAnsi="Times New Roman" w:cs="Times New Roman"/>
          <w:bCs/>
          <w:color w:val="000000" w:themeColor="text1"/>
          <w:sz w:val="21"/>
          <w:szCs w:val="21"/>
        </w:rPr>
        <w:t>Токвиль А. Демократия в Америке / А. Токвиль ; пер. с франц. ; предисл. Г. Дж. Ласки. – М. : Прогресс, 1992. – 554 с.</w:t>
      </w:r>
      <w:bookmarkEnd w:id="601"/>
    </w:p>
    <w:p w:rsidR="0008519C" w:rsidRPr="00FC3E63" w:rsidRDefault="0008519C"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602" w:name="_Ref436211683"/>
      <w:r w:rsidRPr="00FC3E63">
        <w:rPr>
          <w:rFonts w:ascii="Times New Roman" w:hAnsi="Times New Roman" w:cs="Times New Roman"/>
          <w:bCs/>
          <w:color w:val="000000" w:themeColor="text1"/>
          <w:sz w:val="21"/>
          <w:szCs w:val="21"/>
        </w:rPr>
        <w:t>Троицкая Т. В. Понятие и юридическая природа общественной экспертизы / Т. В. Троицкая // Юридический мир.– 2006. – № 9. – С. 67–69.</w:t>
      </w:r>
      <w:bookmarkEnd w:id="602"/>
    </w:p>
    <w:p w:rsidR="003738F2" w:rsidRPr="00FC3E63" w:rsidRDefault="003738F2"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603" w:name="_Ref436211374"/>
      <w:r w:rsidRPr="00FC3E63">
        <w:rPr>
          <w:rFonts w:ascii="Times New Roman" w:hAnsi="Times New Roman" w:cs="Times New Roman"/>
          <w:bCs/>
          <w:color w:val="000000" w:themeColor="text1"/>
          <w:sz w:val="21"/>
          <w:szCs w:val="21"/>
        </w:rPr>
        <w:t>Участь громадян у здійсненні місцевого самоврядування : навчальний посібник / За ред. В. В. Кравченка. – К. : Атіка, 2004. – 264 с.</w:t>
      </w:r>
      <w:bookmarkEnd w:id="603"/>
    </w:p>
    <w:p w:rsidR="005C5CD0" w:rsidRPr="00FC3E63" w:rsidRDefault="00567CF5"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604" w:name="_Ref436211282"/>
      <w:r w:rsidRPr="00FC3E63">
        <w:rPr>
          <w:rFonts w:ascii="Times New Roman" w:hAnsi="Times New Roman" w:cs="Times New Roman"/>
          <w:bCs/>
          <w:color w:val="000000" w:themeColor="text1"/>
          <w:sz w:val="21"/>
          <w:szCs w:val="21"/>
        </w:rPr>
        <w:t xml:space="preserve">Шамхалов </w:t>
      </w:r>
      <w:r w:rsidR="005C5CD0" w:rsidRPr="00FC3E63">
        <w:rPr>
          <w:rFonts w:ascii="Times New Roman" w:hAnsi="Times New Roman" w:cs="Times New Roman"/>
          <w:bCs/>
          <w:color w:val="000000" w:themeColor="text1"/>
          <w:sz w:val="21"/>
          <w:szCs w:val="21"/>
        </w:rPr>
        <w:t>Ф. Взаимодействие государственных властных и предпринимат</w:t>
      </w:r>
      <w:r w:rsidRPr="00FC3E63">
        <w:rPr>
          <w:rFonts w:ascii="Times New Roman" w:hAnsi="Times New Roman" w:cs="Times New Roman"/>
          <w:bCs/>
          <w:color w:val="000000" w:themeColor="text1"/>
          <w:sz w:val="21"/>
          <w:szCs w:val="21"/>
        </w:rPr>
        <w:t xml:space="preserve">ельских структур в регионе / Ф. </w:t>
      </w:r>
      <w:r w:rsidR="005C5CD0" w:rsidRPr="00FC3E63">
        <w:rPr>
          <w:rFonts w:ascii="Times New Roman" w:hAnsi="Times New Roman" w:cs="Times New Roman"/>
          <w:bCs/>
          <w:color w:val="000000" w:themeColor="text1"/>
          <w:sz w:val="21"/>
          <w:szCs w:val="21"/>
        </w:rPr>
        <w:t>Шам</w:t>
      </w:r>
      <w:r w:rsidRPr="00FC3E63">
        <w:rPr>
          <w:rFonts w:ascii="Times New Roman" w:hAnsi="Times New Roman" w:cs="Times New Roman"/>
          <w:bCs/>
          <w:color w:val="000000" w:themeColor="text1"/>
          <w:sz w:val="21"/>
          <w:szCs w:val="21"/>
        </w:rPr>
        <w:t xml:space="preserve">халов // Маркетинг. – 1997. – № 5. – С. </w:t>
      </w:r>
      <w:r w:rsidR="005C5CD0" w:rsidRPr="00FC3E63">
        <w:rPr>
          <w:rFonts w:ascii="Times New Roman" w:hAnsi="Times New Roman" w:cs="Times New Roman"/>
          <w:bCs/>
          <w:color w:val="000000" w:themeColor="text1"/>
          <w:sz w:val="21"/>
          <w:szCs w:val="21"/>
        </w:rPr>
        <w:t>15</w:t>
      </w:r>
      <w:r w:rsidRPr="00FC3E63">
        <w:rPr>
          <w:rFonts w:ascii="Times New Roman" w:hAnsi="Times New Roman" w:cs="Times New Roman"/>
          <w:bCs/>
          <w:color w:val="000000" w:themeColor="text1"/>
          <w:sz w:val="21"/>
          <w:szCs w:val="21"/>
        </w:rPr>
        <w:t>–</w:t>
      </w:r>
      <w:r w:rsidR="005C5CD0" w:rsidRPr="00FC3E63">
        <w:rPr>
          <w:rFonts w:ascii="Times New Roman" w:hAnsi="Times New Roman" w:cs="Times New Roman"/>
          <w:bCs/>
          <w:color w:val="000000" w:themeColor="text1"/>
          <w:sz w:val="21"/>
          <w:szCs w:val="21"/>
        </w:rPr>
        <w:t>21.</w:t>
      </w:r>
      <w:bookmarkEnd w:id="604"/>
    </w:p>
    <w:p w:rsidR="006219C6" w:rsidRPr="00FC3E63" w:rsidRDefault="006219C6"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605" w:name="_Ref436211460"/>
      <w:r w:rsidRPr="00FC3E63">
        <w:rPr>
          <w:rFonts w:ascii="Times New Roman" w:hAnsi="Times New Roman" w:cs="Times New Roman"/>
          <w:bCs/>
          <w:color w:val="000000" w:themeColor="text1"/>
          <w:sz w:val="21"/>
          <w:szCs w:val="21"/>
        </w:rPr>
        <w:t>Шевченко О. Формування комунальної власності як джерела економічної самодостатності територіальних громад [Електронний ресурс] / О. Шевченко / А</w:t>
      </w:r>
      <w:r w:rsidRPr="00FC3E63">
        <w:rPr>
          <w:rFonts w:ascii="Times New Roman" w:hAnsi="Times New Roman" w:cs="Times New Roman"/>
          <w:color w:val="000000" w:themeColor="text1"/>
          <w:sz w:val="21"/>
          <w:szCs w:val="21"/>
        </w:rPr>
        <w:t xml:space="preserve">налітичні записки щодо проблем і подій суспільного розвитку. – </w:t>
      </w:r>
      <w:r w:rsidRPr="00FC3E63">
        <w:rPr>
          <w:rFonts w:ascii="Times New Roman" w:hAnsi="Times New Roman" w:cs="Times New Roman"/>
          <w:bCs/>
          <w:color w:val="000000" w:themeColor="text1"/>
          <w:sz w:val="21"/>
          <w:szCs w:val="21"/>
        </w:rPr>
        <w:t xml:space="preserve">Режим доступу : </w:t>
      </w:r>
      <w:hyperlink r:id="rId137" w:history="1">
        <w:r w:rsidRPr="00FC3E63">
          <w:rPr>
            <w:rStyle w:val="aff"/>
            <w:rFonts w:ascii="Times New Roman" w:hAnsi="Times New Roman" w:cs="Times New Roman"/>
            <w:bCs/>
            <w:color w:val="000000" w:themeColor="text1"/>
            <w:sz w:val="21"/>
            <w:szCs w:val="21"/>
            <w:u w:val="none"/>
          </w:rPr>
          <w:t>http://old.niss.gov.ua/Monitor/November/18.htm</w:t>
        </w:r>
      </w:hyperlink>
      <w:r w:rsidRPr="00FC3E63">
        <w:rPr>
          <w:rFonts w:ascii="Times New Roman" w:hAnsi="Times New Roman" w:cs="Times New Roman"/>
          <w:bCs/>
          <w:color w:val="000000" w:themeColor="text1"/>
          <w:sz w:val="21"/>
          <w:szCs w:val="21"/>
        </w:rPr>
        <w:t>.</w:t>
      </w:r>
      <w:bookmarkEnd w:id="605"/>
    </w:p>
    <w:p w:rsidR="003738F2" w:rsidRPr="00FC3E63" w:rsidRDefault="003738F2"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606" w:name="_Ref436211411"/>
      <w:r w:rsidRPr="00FC3E63">
        <w:rPr>
          <w:rFonts w:ascii="Times New Roman" w:hAnsi="Times New Roman" w:cs="Times New Roman"/>
          <w:bCs/>
          <w:color w:val="000000" w:themeColor="text1"/>
          <w:sz w:val="21"/>
          <w:szCs w:val="21"/>
        </w:rPr>
        <w:t>Шумахер У. Фінансовий федералізм у Федеративній Республіці Німеччина / У. Шумахер / Фонд «Україна-США» : Програма сприяння парламентові України. – 28 с.</w:t>
      </w:r>
      <w:bookmarkEnd w:id="606"/>
    </w:p>
    <w:p w:rsidR="00567CF5" w:rsidRPr="00FC3E63" w:rsidRDefault="003738F2"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607" w:name="_Ref436211385"/>
      <w:r w:rsidRPr="00FC3E63">
        <w:rPr>
          <w:rFonts w:ascii="Times New Roman" w:hAnsi="Times New Roman" w:cs="Times New Roman"/>
          <w:bCs/>
          <w:color w:val="000000" w:themeColor="text1"/>
          <w:sz w:val="21"/>
          <w:szCs w:val="21"/>
        </w:rPr>
        <w:t>Щербань Т. Підвищення значення та ролі органів самоорганізації населення в системі місцевого самоврядування / Т. Щербань // Вісник Центральної виборчої комісії. – 2008. – № 2 (12). – С. 84–91.</w:t>
      </w:r>
      <w:bookmarkEnd w:id="607"/>
    </w:p>
    <w:p w:rsidR="00FC3E63" w:rsidRPr="00FC3E63" w:rsidRDefault="00FC3E63"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608" w:name="_Ref436211793"/>
      <w:r w:rsidRPr="00FC3E63">
        <w:rPr>
          <w:rFonts w:ascii="Times New Roman" w:hAnsi="Times New Roman" w:cs="Times New Roman"/>
          <w:bCs/>
          <w:color w:val="000000" w:themeColor="text1"/>
          <w:sz w:val="21"/>
          <w:szCs w:val="21"/>
          <w:lang w:val="en-US"/>
        </w:rPr>
        <w:t>Allen J. C. Building on</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Assets and Mobilizing for Collective Action. Community Guide</w:t>
      </w:r>
      <w:r w:rsidRPr="00FC3E63">
        <w:rPr>
          <w:rFonts w:ascii="Times New Roman" w:hAnsi="Times New Roman" w:cs="Times New Roman"/>
          <w:bCs/>
          <w:color w:val="000000" w:themeColor="text1"/>
          <w:sz w:val="21"/>
          <w:szCs w:val="21"/>
        </w:rPr>
        <w:t xml:space="preserve"> / [</w:t>
      </w:r>
      <w:r w:rsidRPr="00FC3E63">
        <w:rPr>
          <w:rFonts w:ascii="Times New Roman" w:hAnsi="Times New Roman" w:cs="Times New Roman"/>
          <w:bCs/>
          <w:color w:val="000000" w:themeColor="text1"/>
          <w:sz w:val="21"/>
          <w:szCs w:val="21"/>
          <w:lang w:val="en-US"/>
        </w:rPr>
        <w:t>J. C.</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Allen, S. M.</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Cordes, S.</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Covey and others</w:t>
      </w:r>
      <w:r w:rsidRPr="00FC3E63">
        <w:rPr>
          <w:rFonts w:ascii="Times New Roman" w:hAnsi="Times New Roman" w:cs="Times New Roman"/>
          <w:bCs/>
          <w:color w:val="000000" w:themeColor="text1"/>
          <w:sz w:val="21"/>
          <w:szCs w:val="21"/>
        </w:rPr>
        <w:t>]. –</w:t>
      </w:r>
      <w:r w:rsidRPr="00FC3E63">
        <w:rPr>
          <w:rFonts w:ascii="Times New Roman" w:hAnsi="Times New Roman" w:cs="Times New Roman"/>
          <w:bCs/>
          <w:color w:val="000000" w:themeColor="text1"/>
          <w:sz w:val="21"/>
          <w:szCs w:val="21"/>
          <w:lang w:val="en-US"/>
        </w:rPr>
        <w:t xml:space="preserve"> Center for</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Applied Rural Innovation (CARI)</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 xml:space="preserve"> University of Nebraska-Lincoln, 2002. –</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39</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p.</w:t>
      </w:r>
      <w:bookmarkEnd w:id="608"/>
    </w:p>
    <w:p w:rsidR="00FC3E63" w:rsidRPr="00FC3E63" w:rsidRDefault="00FC3E63"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609" w:name="_Ref436211788"/>
      <w:r w:rsidRPr="00FC3E63">
        <w:rPr>
          <w:rFonts w:ascii="Times New Roman" w:hAnsi="Times New Roman" w:cs="Times New Roman"/>
          <w:bCs/>
          <w:color w:val="000000" w:themeColor="text1"/>
          <w:sz w:val="21"/>
          <w:szCs w:val="21"/>
          <w:lang w:val="en-US"/>
        </w:rPr>
        <w:t>Community Development Technical Assistance</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 xml:space="preserve"> handbook /</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Community Development Programs. Rural Development</w:t>
      </w:r>
      <w:r w:rsidRPr="00FC3E63">
        <w:rPr>
          <w:rFonts w:ascii="Times New Roman" w:hAnsi="Times New Roman" w:cs="Times New Roman"/>
          <w:bCs/>
          <w:color w:val="000000" w:themeColor="text1"/>
          <w:sz w:val="21"/>
          <w:szCs w:val="21"/>
        </w:rPr>
        <w:t>,</w:t>
      </w:r>
      <w:r w:rsidRPr="00FC3E63">
        <w:rPr>
          <w:rFonts w:ascii="Times New Roman" w:hAnsi="Times New Roman" w:cs="Times New Roman"/>
          <w:bCs/>
          <w:color w:val="000000" w:themeColor="text1"/>
          <w:sz w:val="21"/>
          <w:szCs w:val="21"/>
          <w:lang w:val="en-US"/>
        </w:rPr>
        <w:t xml:space="preserve"> 2005. </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54</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р.</w:t>
      </w:r>
      <w:bookmarkEnd w:id="609"/>
    </w:p>
    <w:p w:rsidR="00FC3E63" w:rsidRPr="00FC3E63" w:rsidRDefault="00FC3E63"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610" w:name="_Ref436211811"/>
      <w:r w:rsidRPr="00FC3E63">
        <w:rPr>
          <w:rFonts w:ascii="Times New Roman" w:hAnsi="Times New Roman" w:cs="Times New Roman"/>
          <w:bCs/>
          <w:color w:val="000000" w:themeColor="text1"/>
          <w:sz w:val="21"/>
          <w:szCs w:val="21"/>
          <w:lang w:val="en-US"/>
        </w:rPr>
        <w:t>Kretzmann J. P. Discovering community power</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 xml:space="preserve">: </w:t>
      </w:r>
      <w:r w:rsidRPr="00FC3E63">
        <w:rPr>
          <w:rFonts w:ascii="Times New Roman" w:hAnsi="Times New Roman" w:cs="Times New Roman"/>
          <w:bCs/>
          <w:color w:val="000000" w:themeColor="text1"/>
          <w:sz w:val="21"/>
          <w:szCs w:val="21"/>
        </w:rPr>
        <w:t xml:space="preserve">а </w:t>
      </w:r>
      <w:r w:rsidRPr="00FC3E63">
        <w:rPr>
          <w:rFonts w:ascii="Times New Roman" w:hAnsi="Times New Roman" w:cs="Times New Roman"/>
          <w:bCs/>
          <w:color w:val="000000" w:themeColor="text1"/>
          <w:sz w:val="21"/>
          <w:szCs w:val="21"/>
          <w:lang w:val="en-US"/>
        </w:rPr>
        <w:t>guide to mo</w:t>
      </w:r>
      <w:r w:rsidRPr="00FC3E63">
        <w:rPr>
          <w:rFonts w:ascii="Times New Roman" w:hAnsi="Times New Roman" w:cs="Times New Roman"/>
          <w:bCs/>
          <w:color w:val="000000" w:themeColor="text1"/>
          <w:sz w:val="21"/>
          <w:szCs w:val="21"/>
        </w:rPr>
        <w:t>-</w:t>
      </w:r>
      <w:r w:rsidRPr="00FC3E63">
        <w:rPr>
          <w:rFonts w:ascii="Times New Roman" w:hAnsi="Times New Roman" w:cs="Times New Roman"/>
          <w:bCs/>
          <w:color w:val="000000" w:themeColor="text1"/>
          <w:sz w:val="21"/>
          <w:szCs w:val="21"/>
          <w:lang w:val="en-US"/>
        </w:rPr>
        <w:t>bilizing local assets and your organization's capacity</w:t>
      </w:r>
      <w:r w:rsidRPr="00FC3E63">
        <w:rPr>
          <w:rFonts w:ascii="Times New Roman" w:hAnsi="Times New Roman" w:cs="Times New Roman"/>
          <w:bCs/>
          <w:color w:val="000000" w:themeColor="text1"/>
          <w:sz w:val="21"/>
          <w:szCs w:val="21"/>
        </w:rPr>
        <w:t xml:space="preserve"> / </w:t>
      </w:r>
      <w:r w:rsidRPr="00FC3E63">
        <w:rPr>
          <w:rFonts w:ascii="Times New Roman" w:hAnsi="Times New Roman" w:cs="Times New Roman"/>
          <w:bCs/>
          <w:color w:val="000000" w:themeColor="text1"/>
          <w:sz w:val="21"/>
          <w:szCs w:val="21"/>
          <w:lang w:val="en-US"/>
        </w:rPr>
        <w:t xml:space="preserve">J. </w:t>
      </w:r>
      <w:r w:rsidRPr="00FC3E63">
        <w:rPr>
          <w:rFonts w:ascii="Times New Roman" w:hAnsi="Times New Roman" w:cs="Times New Roman"/>
          <w:bCs/>
          <w:color w:val="000000" w:themeColor="text1"/>
          <w:sz w:val="21"/>
          <w:szCs w:val="21"/>
          <w:lang w:val="en-US"/>
        </w:rPr>
        <w:lastRenderedPageBreak/>
        <w:t>P.Kretzmann, J.</w:t>
      </w:r>
      <w:r w:rsidRPr="00FC3E63">
        <w:rPr>
          <w:rFonts w:ascii="Times New Roman" w:hAnsi="Times New Roman" w:cs="Times New Roman"/>
          <w:bCs/>
          <w:color w:val="000000" w:themeColor="text1"/>
          <w:sz w:val="21"/>
          <w:szCs w:val="21"/>
        </w:rPr>
        <w:t> </w:t>
      </w:r>
      <w:r w:rsidRPr="00FC3E63">
        <w:rPr>
          <w:rFonts w:ascii="Times New Roman" w:hAnsi="Times New Roman" w:cs="Times New Roman"/>
          <w:bCs/>
          <w:color w:val="000000" w:themeColor="text1"/>
          <w:sz w:val="21"/>
          <w:szCs w:val="21"/>
          <w:lang w:val="en-US"/>
        </w:rPr>
        <w:t xml:space="preserve">L. McKnight. </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School of Education and Social Policy</w:t>
      </w:r>
      <w:r w:rsidRPr="00FC3E63">
        <w:rPr>
          <w:rFonts w:ascii="Times New Roman" w:hAnsi="Times New Roman" w:cs="Times New Roman"/>
          <w:bCs/>
          <w:color w:val="000000" w:themeColor="text1"/>
          <w:sz w:val="21"/>
          <w:szCs w:val="21"/>
        </w:rPr>
        <w:t xml:space="preserve"> : </w:t>
      </w:r>
      <w:r w:rsidRPr="00FC3E63">
        <w:rPr>
          <w:rFonts w:ascii="Times New Roman" w:hAnsi="Times New Roman" w:cs="Times New Roman"/>
          <w:bCs/>
          <w:color w:val="000000" w:themeColor="text1"/>
          <w:sz w:val="21"/>
          <w:szCs w:val="21"/>
          <w:lang w:val="en-US"/>
        </w:rPr>
        <w:t>Northwestern University, 2005. – 34</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p.</w:t>
      </w:r>
      <w:bookmarkEnd w:id="610"/>
    </w:p>
    <w:p w:rsidR="00567CF5" w:rsidRPr="00FC3E63" w:rsidRDefault="003738F2"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611" w:name="_Ref436211417"/>
      <w:r w:rsidRPr="00FC3E63">
        <w:rPr>
          <w:rFonts w:ascii="Times New Roman" w:hAnsi="Times New Roman" w:cs="Times New Roman"/>
          <w:bCs/>
          <w:color w:val="000000" w:themeColor="text1"/>
          <w:sz w:val="21"/>
          <w:szCs w:val="21"/>
          <w:lang w:val="en-US"/>
        </w:rPr>
        <w:t>Masgrave</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R. The Theory of Public Finance</w:t>
      </w:r>
      <w:r w:rsidRPr="00FC3E63">
        <w:rPr>
          <w:rFonts w:ascii="Times New Roman" w:hAnsi="Times New Roman" w:cs="Times New Roman"/>
          <w:bCs/>
          <w:color w:val="000000" w:themeColor="text1"/>
          <w:sz w:val="21"/>
          <w:szCs w:val="21"/>
        </w:rPr>
        <w:t xml:space="preserve"> / </w:t>
      </w:r>
      <w:r w:rsidRPr="00FC3E63">
        <w:rPr>
          <w:rFonts w:ascii="Times New Roman" w:hAnsi="Times New Roman" w:cs="Times New Roman"/>
          <w:bCs/>
          <w:color w:val="000000" w:themeColor="text1"/>
          <w:sz w:val="21"/>
          <w:szCs w:val="21"/>
          <w:lang w:val="en-US"/>
        </w:rPr>
        <w:t>R.</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Masgrave</w:t>
      </w:r>
      <w:r w:rsidRPr="00FC3E63">
        <w:rPr>
          <w:rFonts w:ascii="Times New Roman" w:hAnsi="Times New Roman" w:cs="Times New Roman"/>
          <w:bCs/>
          <w:color w:val="000000" w:themeColor="text1"/>
          <w:sz w:val="21"/>
          <w:szCs w:val="21"/>
        </w:rPr>
        <w:t>.</w:t>
      </w:r>
      <w:r w:rsidRPr="00FC3E63">
        <w:rPr>
          <w:rFonts w:ascii="Times New Roman" w:hAnsi="Times New Roman" w:cs="Times New Roman"/>
          <w:bCs/>
          <w:color w:val="000000" w:themeColor="text1"/>
          <w:sz w:val="21"/>
          <w:szCs w:val="21"/>
          <w:lang w:val="en-US"/>
        </w:rPr>
        <w:t xml:space="preserve"> – New York, McGrow</w:t>
      </w:r>
      <w:r w:rsidRPr="00FC3E63">
        <w:rPr>
          <w:rFonts w:ascii="Times New Roman" w:hAnsi="Times New Roman" w:cs="Times New Roman"/>
          <w:bCs/>
          <w:color w:val="000000" w:themeColor="text1"/>
          <w:sz w:val="21"/>
          <w:szCs w:val="21"/>
        </w:rPr>
        <w:t>-</w:t>
      </w:r>
      <w:r w:rsidRPr="00FC3E63">
        <w:rPr>
          <w:rFonts w:ascii="Times New Roman" w:hAnsi="Times New Roman" w:cs="Times New Roman"/>
          <w:bCs/>
          <w:color w:val="000000" w:themeColor="text1"/>
          <w:sz w:val="21"/>
          <w:szCs w:val="21"/>
          <w:lang w:val="en-US"/>
        </w:rPr>
        <w:t>Hill, 1959</w:t>
      </w:r>
      <w:r w:rsidRPr="00FC3E63">
        <w:rPr>
          <w:rFonts w:ascii="Times New Roman" w:hAnsi="Times New Roman" w:cs="Times New Roman"/>
          <w:bCs/>
          <w:color w:val="000000" w:themeColor="text1"/>
          <w:sz w:val="21"/>
          <w:szCs w:val="21"/>
        </w:rPr>
        <w:t>. – 256 с.</w:t>
      </w:r>
      <w:bookmarkEnd w:id="611"/>
    </w:p>
    <w:p w:rsidR="00FC3E63" w:rsidRPr="00FC3E63" w:rsidRDefault="00FC3E63"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612" w:name="_Ref436211805"/>
      <w:r w:rsidRPr="00FC3E63">
        <w:rPr>
          <w:rFonts w:ascii="Times New Roman" w:hAnsi="Times New Roman" w:cs="Times New Roman"/>
          <w:bCs/>
          <w:color w:val="000000" w:themeColor="text1"/>
          <w:spacing w:val="-4"/>
          <w:sz w:val="21"/>
          <w:szCs w:val="21"/>
          <w:lang w:val="en-US"/>
        </w:rPr>
        <w:t>McKnight J. L.</w:t>
      </w:r>
      <w:r w:rsidRPr="00FC3E63">
        <w:rPr>
          <w:rFonts w:ascii="Times New Roman" w:hAnsi="Times New Roman" w:cs="Times New Roman"/>
          <w:bCs/>
          <w:color w:val="000000" w:themeColor="text1"/>
          <w:spacing w:val="-4"/>
          <w:sz w:val="21"/>
          <w:szCs w:val="21"/>
        </w:rPr>
        <w:t xml:space="preserve"> </w:t>
      </w:r>
      <w:r w:rsidRPr="00FC3E63">
        <w:rPr>
          <w:rFonts w:ascii="Times New Roman" w:hAnsi="Times New Roman" w:cs="Times New Roman"/>
          <w:bCs/>
          <w:color w:val="000000" w:themeColor="text1"/>
          <w:spacing w:val="-4"/>
          <w:sz w:val="21"/>
          <w:szCs w:val="21"/>
          <w:lang w:val="en-US"/>
        </w:rPr>
        <w:t>Mapping Community Capacity</w:t>
      </w:r>
      <w:r w:rsidRPr="00FC3E63">
        <w:rPr>
          <w:rFonts w:ascii="Times New Roman" w:hAnsi="Times New Roman" w:cs="Times New Roman"/>
          <w:bCs/>
          <w:color w:val="000000" w:themeColor="text1"/>
          <w:spacing w:val="-4"/>
          <w:sz w:val="21"/>
          <w:szCs w:val="21"/>
        </w:rPr>
        <w:t xml:space="preserve"> / </w:t>
      </w:r>
      <w:r w:rsidRPr="00FC3E63">
        <w:rPr>
          <w:rFonts w:ascii="Times New Roman" w:hAnsi="Times New Roman" w:cs="Times New Roman"/>
          <w:bCs/>
          <w:color w:val="000000" w:themeColor="text1"/>
          <w:spacing w:val="-4"/>
          <w:sz w:val="21"/>
          <w:szCs w:val="21"/>
          <w:lang w:val="en-US"/>
        </w:rPr>
        <w:t>J. L.</w:t>
      </w:r>
      <w:r w:rsidRPr="00FC3E63">
        <w:rPr>
          <w:rFonts w:ascii="Times New Roman" w:hAnsi="Times New Roman" w:cs="Times New Roman"/>
          <w:bCs/>
          <w:color w:val="000000" w:themeColor="text1"/>
          <w:spacing w:val="-4"/>
          <w:sz w:val="21"/>
          <w:szCs w:val="21"/>
        </w:rPr>
        <w:t xml:space="preserve"> </w:t>
      </w:r>
      <w:r w:rsidRPr="00FC3E63">
        <w:rPr>
          <w:rFonts w:ascii="Times New Roman" w:hAnsi="Times New Roman" w:cs="Times New Roman"/>
          <w:bCs/>
          <w:color w:val="000000" w:themeColor="text1"/>
          <w:spacing w:val="-4"/>
          <w:sz w:val="21"/>
          <w:szCs w:val="21"/>
          <w:lang w:val="en-US"/>
        </w:rPr>
        <w:t>McKnight,</w:t>
      </w:r>
      <w:r w:rsidRPr="00FC3E63">
        <w:rPr>
          <w:rFonts w:ascii="Times New Roman" w:hAnsi="Times New Roman" w:cs="Times New Roman"/>
          <w:bCs/>
          <w:color w:val="000000" w:themeColor="text1"/>
          <w:sz w:val="21"/>
          <w:szCs w:val="21"/>
          <w:lang w:val="en-US"/>
        </w:rPr>
        <w:t xml:space="preserve"> J.</w:t>
      </w:r>
      <w:r w:rsidRPr="00FC3E63">
        <w:rPr>
          <w:rFonts w:ascii="Times New Roman" w:hAnsi="Times New Roman" w:cs="Times New Roman"/>
          <w:bCs/>
          <w:color w:val="000000" w:themeColor="text1"/>
          <w:sz w:val="21"/>
          <w:szCs w:val="21"/>
        </w:rPr>
        <w:t> </w:t>
      </w:r>
      <w:r w:rsidRPr="00FC3E63">
        <w:rPr>
          <w:rFonts w:ascii="Times New Roman" w:hAnsi="Times New Roman" w:cs="Times New Roman"/>
          <w:bCs/>
          <w:color w:val="000000" w:themeColor="text1"/>
          <w:sz w:val="21"/>
          <w:szCs w:val="21"/>
          <w:lang w:val="en-US"/>
        </w:rPr>
        <w:t>P.</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 xml:space="preserve">Kretzmann </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The Asset-Based Community Development Institute.</w:t>
      </w:r>
      <w:r w:rsidRPr="00FC3E63">
        <w:rPr>
          <w:rFonts w:ascii="Times New Roman" w:hAnsi="Times New Roman" w:cs="Times New Roman"/>
          <w:bCs/>
          <w:color w:val="000000" w:themeColor="text1"/>
          <w:sz w:val="21"/>
          <w:szCs w:val="21"/>
        </w:rPr>
        <w:t xml:space="preserve"> – </w:t>
      </w:r>
      <w:r w:rsidRPr="00FC3E63">
        <w:rPr>
          <w:rFonts w:ascii="Times New Roman" w:hAnsi="Times New Roman" w:cs="Times New Roman"/>
          <w:bCs/>
          <w:color w:val="000000" w:themeColor="text1"/>
          <w:sz w:val="21"/>
          <w:szCs w:val="21"/>
          <w:lang w:val="en-US"/>
        </w:rPr>
        <w:t>Institute for Policy</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 xml:space="preserve">Research </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Northwestern University, 1996 – 21</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р.</w:t>
      </w:r>
      <w:bookmarkEnd w:id="612"/>
    </w:p>
    <w:p w:rsidR="005C5CD0" w:rsidRPr="00FC3E63" w:rsidRDefault="003738F2"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613" w:name="_Ref436211892"/>
      <w:r w:rsidRPr="00FC3E63">
        <w:rPr>
          <w:rFonts w:ascii="Times New Roman" w:hAnsi="Times New Roman" w:cs="Times New Roman"/>
          <w:bCs/>
          <w:color w:val="000000" w:themeColor="text1"/>
          <w:sz w:val="21"/>
          <w:szCs w:val="21"/>
          <w:lang w:val="en-US"/>
        </w:rPr>
        <w:t>Oats</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W.</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 xml:space="preserve">An Essay on Fiscal Federalism </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W.</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Oats</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 Journal of Economic</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Literature. – 1999. – Vol.</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37 – Р.</w:t>
      </w:r>
      <w:r w:rsidRPr="00FC3E63">
        <w:rPr>
          <w:rFonts w:ascii="Times New Roman" w:hAnsi="Times New Roman" w:cs="Times New Roman"/>
          <w:bCs/>
          <w:color w:val="000000" w:themeColor="text1"/>
          <w:sz w:val="21"/>
          <w:szCs w:val="21"/>
        </w:rPr>
        <w:t xml:space="preserve"> </w:t>
      </w:r>
      <w:r w:rsidRPr="00FC3E63">
        <w:rPr>
          <w:rFonts w:ascii="Times New Roman" w:hAnsi="Times New Roman" w:cs="Times New Roman"/>
          <w:bCs/>
          <w:color w:val="000000" w:themeColor="text1"/>
          <w:sz w:val="21"/>
          <w:szCs w:val="21"/>
          <w:lang w:val="en-US"/>
        </w:rPr>
        <w:t>1120</w:t>
      </w:r>
      <w:r w:rsidRPr="00FC3E63">
        <w:rPr>
          <w:rFonts w:ascii="Times New Roman" w:hAnsi="Times New Roman" w:cs="Times New Roman"/>
          <w:bCs/>
          <w:color w:val="000000" w:themeColor="text1"/>
          <w:sz w:val="21"/>
          <w:szCs w:val="21"/>
        </w:rPr>
        <w:t>–</w:t>
      </w:r>
      <w:r w:rsidRPr="00FC3E63">
        <w:rPr>
          <w:rFonts w:ascii="Times New Roman" w:hAnsi="Times New Roman" w:cs="Times New Roman"/>
          <w:bCs/>
          <w:color w:val="000000" w:themeColor="text1"/>
          <w:sz w:val="21"/>
          <w:szCs w:val="21"/>
          <w:lang w:val="en-US"/>
        </w:rPr>
        <w:t>1149.</w:t>
      </w:r>
      <w:bookmarkEnd w:id="613"/>
    </w:p>
    <w:p w:rsidR="005C5CD0" w:rsidRPr="00FC3E63" w:rsidRDefault="006219C6" w:rsidP="00FC3E63">
      <w:pPr>
        <w:pStyle w:val="ad"/>
        <w:widowControl w:val="0"/>
        <w:numPr>
          <w:ilvl w:val="0"/>
          <w:numId w:val="76"/>
        </w:numPr>
        <w:tabs>
          <w:tab w:val="left" w:pos="993"/>
        </w:tabs>
        <w:ind w:left="0" w:firstLine="709"/>
        <w:jc w:val="both"/>
        <w:rPr>
          <w:rFonts w:ascii="Times New Roman" w:hAnsi="Times New Roman" w:cs="Times New Roman"/>
          <w:bCs/>
          <w:color w:val="000000" w:themeColor="text1"/>
          <w:sz w:val="21"/>
          <w:szCs w:val="21"/>
        </w:rPr>
      </w:pPr>
      <w:bookmarkStart w:id="614" w:name="_Ref436211491"/>
      <w:r w:rsidRPr="00FC3E63">
        <w:rPr>
          <w:rFonts w:ascii="Times New Roman" w:hAnsi="Times New Roman" w:cs="Times New Roman"/>
          <w:bCs/>
          <w:color w:val="000000" w:themeColor="text1"/>
          <w:sz w:val="21"/>
          <w:szCs w:val="21"/>
        </w:rPr>
        <w:t>Public Private Partnership. A Guide for Local Government. – Canada : Ministry of Municipal Affairs, 1999. – 106 p.</w:t>
      </w:r>
      <w:bookmarkEnd w:id="614"/>
    </w:p>
    <w:p w:rsidR="005C5CD0" w:rsidRPr="005C5CD0" w:rsidRDefault="005C5CD0" w:rsidP="005C5CD0">
      <w:pPr>
        <w:widowControl w:val="0"/>
        <w:ind w:firstLine="709"/>
        <w:jc w:val="both"/>
        <w:rPr>
          <w:rFonts w:ascii="Times New Roman" w:hAnsi="Times New Roman" w:cs="Times New Roman"/>
          <w:bCs/>
          <w:color w:val="000000" w:themeColor="text1"/>
          <w:sz w:val="21"/>
          <w:szCs w:val="21"/>
        </w:rPr>
      </w:pPr>
    </w:p>
    <w:p w:rsidR="005C5CD0" w:rsidRPr="005C5CD0" w:rsidRDefault="005C5CD0" w:rsidP="005C5CD0">
      <w:pPr>
        <w:widowControl w:val="0"/>
        <w:ind w:firstLine="709"/>
        <w:jc w:val="both"/>
        <w:rPr>
          <w:rFonts w:ascii="Times New Roman" w:hAnsi="Times New Roman" w:cs="Times New Roman"/>
          <w:bCs/>
          <w:color w:val="000000" w:themeColor="text1"/>
          <w:sz w:val="21"/>
          <w:szCs w:val="21"/>
        </w:rPr>
      </w:pPr>
    </w:p>
    <w:p w:rsidR="005C5CD0" w:rsidRPr="005C5CD0" w:rsidRDefault="005C5CD0" w:rsidP="005C5CD0">
      <w:pPr>
        <w:widowControl w:val="0"/>
        <w:ind w:firstLine="709"/>
        <w:jc w:val="both"/>
        <w:rPr>
          <w:rFonts w:ascii="Times New Roman" w:hAnsi="Times New Roman" w:cs="Times New Roman"/>
          <w:bCs/>
          <w:color w:val="000000" w:themeColor="text1"/>
          <w:sz w:val="21"/>
          <w:szCs w:val="21"/>
        </w:rPr>
      </w:pPr>
    </w:p>
    <w:p w:rsidR="005C5CD0" w:rsidRPr="005C5CD0" w:rsidRDefault="005C5CD0" w:rsidP="00FC3E63">
      <w:pPr>
        <w:widowControl w:val="0"/>
        <w:ind w:firstLine="709"/>
        <w:jc w:val="both"/>
        <w:rPr>
          <w:rFonts w:ascii="Times New Roman" w:hAnsi="Times New Roman" w:cs="Times New Roman"/>
          <w:bCs/>
          <w:color w:val="000000" w:themeColor="text1"/>
          <w:sz w:val="21"/>
          <w:szCs w:val="21"/>
        </w:rPr>
      </w:pPr>
    </w:p>
    <w:p w:rsidR="005C5CD0" w:rsidRPr="005C5CD0" w:rsidRDefault="005C5CD0" w:rsidP="00FC3E63">
      <w:pPr>
        <w:widowControl w:val="0"/>
        <w:ind w:firstLine="709"/>
        <w:jc w:val="both"/>
        <w:rPr>
          <w:rFonts w:ascii="Times New Roman" w:hAnsi="Times New Roman" w:cs="Times New Roman"/>
          <w:bCs/>
          <w:color w:val="000000" w:themeColor="text1"/>
          <w:sz w:val="21"/>
          <w:szCs w:val="21"/>
        </w:rPr>
      </w:pPr>
    </w:p>
    <w:p w:rsidR="005C5CD0" w:rsidRPr="005C5CD0" w:rsidRDefault="005C5CD0" w:rsidP="005C5CD0">
      <w:pPr>
        <w:widowControl w:val="0"/>
        <w:ind w:firstLine="709"/>
        <w:jc w:val="both"/>
        <w:rPr>
          <w:rFonts w:ascii="Times New Roman" w:hAnsi="Times New Roman" w:cs="Times New Roman"/>
          <w:bCs/>
          <w:color w:val="000000" w:themeColor="text1"/>
          <w:sz w:val="21"/>
          <w:szCs w:val="21"/>
        </w:rPr>
      </w:pPr>
    </w:p>
    <w:p w:rsidR="005C5CD0" w:rsidRPr="00365B8B" w:rsidRDefault="005C5CD0" w:rsidP="005C5CD0">
      <w:pPr>
        <w:widowControl w:val="0"/>
        <w:ind w:firstLine="709"/>
        <w:jc w:val="both"/>
        <w:rPr>
          <w:rFonts w:ascii="Times New Roman" w:hAnsi="Times New Roman" w:cs="Times New Roman"/>
          <w:bCs/>
          <w:color w:val="000000" w:themeColor="text1"/>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B233DE" w:rsidRDefault="00B233DE" w:rsidP="00B233DE">
      <w:pPr>
        <w:tabs>
          <w:tab w:val="left" w:pos="0"/>
          <w:tab w:val="left" w:pos="180"/>
          <w:tab w:val="left" w:pos="993"/>
          <w:tab w:val="left" w:pos="1134"/>
        </w:tabs>
        <w:ind w:firstLine="709"/>
        <w:jc w:val="both"/>
        <w:rPr>
          <w:rFonts w:ascii="Times New Roman" w:hAnsi="Times New Roman" w:cs="Times New Roman"/>
          <w:sz w:val="21"/>
          <w:szCs w:val="21"/>
        </w:rPr>
      </w:pPr>
    </w:p>
    <w:p w:rsidR="00A273F1" w:rsidRDefault="00A273F1">
      <w:pPr>
        <w:rPr>
          <w:rFonts w:ascii="Times New Roman" w:hAnsi="Times New Roman" w:cs="Times New Roman"/>
          <w:sz w:val="21"/>
          <w:szCs w:val="21"/>
        </w:rPr>
      </w:pPr>
      <w:r>
        <w:rPr>
          <w:rFonts w:ascii="Times New Roman" w:hAnsi="Times New Roman" w:cs="Times New Roman"/>
          <w:sz w:val="21"/>
          <w:szCs w:val="21"/>
        </w:rPr>
        <w:br w:type="page"/>
      </w:r>
    </w:p>
    <w:p w:rsidR="00A273F1" w:rsidRDefault="00A273F1" w:rsidP="00A273F1">
      <w:pPr>
        <w:ind w:firstLine="709"/>
        <w:rPr>
          <w:rFonts w:ascii="Times New Roman" w:hAnsi="Times New Roman" w:cs="Times New Roman"/>
          <w:sz w:val="21"/>
          <w:szCs w:val="21"/>
        </w:rPr>
      </w:pPr>
    </w:p>
    <w:p w:rsidR="00A273F1" w:rsidRDefault="00A273F1" w:rsidP="00A273F1">
      <w:pPr>
        <w:ind w:firstLine="709"/>
        <w:rPr>
          <w:rFonts w:ascii="Times New Roman" w:hAnsi="Times New Roman" w:cs="Times New Roman"/>
          <w:sz w:val="21"/>
          <w:szCs w:val="21"/>
        </w:rPr>
      </w:pPr>
    </w:p>
    <w:p w:rsidR="00A273F1" w:rsidRDefault="00A273F1" w:rsidP="00A273F1">
      <w:pPr>
        <w:ind w:firstLine="709"/>
        <w:rPr>
          <w:rFonts w:ascii="Times New Roman" w:hAnsi="Times New Roman" w:cs="Times New Roman"/>
          <w:sz w:val="21"/>
          <w:szCs w:val="21"/>
        </w:rPr>
      </w:pPr>
    </w:p>
    <w:p w:rsidR="00A273F1" w:rsidRDefault="00A273F1" w:rsidP="00A273F1">
      <w:pPr>
        <w:ind w:firstLine="709"/>
        <w:rPr>
          <w:rFonts w:ascii="Times New Roman" w:hAnsi="Times New Roman" w:cs="Times New Roman"/>
          <w:sz w:val="21"/>
          <w:szCs w:val="21"/>
        </w:rPr>
      </w:pPr>
    </w:p>
    <w:p w:rsidR="00A273F1" w:rsidRDefault="00A273F1" w:rsidP="00A273F1">
      <w:pPr>
        <w:ind w:firstLine="709"/>
        <w:rPr>
          <w:rFonts w:ascii="Times New Roman" w:hAnsi="Times New Roman" w:cs="Times New Roman"/>
          <w:sz w:val="21"/>
          <w:szCs w:val="21"/>
        </w:rPr>
      </w:pPr>
    </w:p>
    <w:p w:rsidR="00A273F1" w:rsidRDefault="00A273F1" w:rsidP="00A273F1">
      <w:pPr>
        <w:ind w:firstLine="709"/>
        <w:jc w:val="center"/>
        <w:rPr>
          <w:rFonts w:ascii="Times New Roman" w:hAnsi="Times New Roman" w:cs="Times New Roman"/>
          <w:b/>
          <w:sz w:val="21"/>
          <w:szCs w:val="21"/>
        </w:rPr>
      </w:pPr>
      <w:r w:rsidRPr="006C7057">
        <w:rPr>
          <w:rFonts w:ascii="Times New Roman" w:hAnsi="Times New Roman" w:cs="Times New Roman"/>
          <w:b/>
          <w:sz w:val="21"/>
          <w:szCs w:val="21"/>
        </w:rPr>
        <w:t xml:space="preserve">РОЗДІЛ </w:t>
      </w:r>
      <w:r>
        <w:rPr>
          <w:rFonts w:ascii="Times New Roman" w:hAnsi="Times New Roman" w:cs="Times New Roman"/>
          <w:b/>
          <w:sz w:val="21"/>
          <w:szCs w:val="21"/>
        </w:rPr>
        <w:t>7. РОЗВИТОК ТА ПРОГНОЗУВАННЯ НАПРЯМІВ ПІДВИЩЕННЯ ОСВІТНЬО-КВАЛІФІКАЦІЙНОГО ПОТЕНЦІАЛУ УКРАЇНИ</w:t>
      </w:r>
    </w:p>
    <w:p w:rsidR="00A273F1" w:rsidRDefault="00A273F1" w:rsidP="00A273F1">
      <w:pPr>
        <w:ind w:firstLine="709"/>
        <w:jc w:val="center"/>
        <w:rPr>
          <w:rFonts w:ascii="Times New Roman" w:hAnsi="Times New Roman" w:cs="Times New Roman"/>
          <w:b/>
          <w:sz w:val="21"/>
          <w:szCs w:val="21"/>
        </w:rPr>
      </w:pPr>
    </w:p>
    <w:p w:rsidR="00A273F1" w:rsidRDefault="00A273F1" w:rsidP="00A273F1">
      <w:pPr>
        <w:ind w:firstLine="709"/>
        <w:jc w:val="center"/>
        <w:rPr>
          <w:rFonts w:ascii="Times New Roman" w:hAnsi="Times New Roman" w:cs="Times New Roman"/>
          <w:b/>
          <w:sz w:val="21"/>
          <w:szCs w:val="21"/>
        </w:rPr>
      </w:pPr>
    </w:p>
    <w:p w:rsidR="00A273F1" w:rsidRPr="00E20C1F" w:rsidRDefault="001610CA" w:rsidP="00A273F1">
      <w:pPr>
        <w:pStyle w:val="afb"/>
        <w:shd w:val="clear" w:color="auto" w:fill="auto"/>
        <w:tabs>
          <w:tab w:val="left" w:pos="394"/>
          <w:tab w:val="left" w:pos="426"/>
        </w:tabs>
        <w:spacing w:before="0" w:line="240" w:lineRule="auto"/>
        <w:ind w:right="40"/>
        <w:contextualSpacing/>
        <w:jc w:val="center"/>
        <w:rPr>
          <w:b/>
          <w:sz w:val="21"/>
          <w:szCs w:val="21"/>
        </w:rPr>
      </w:pPr>
      <w:r>
        <w:rPr>
          <w:rFonts w:ascii="UkrainianPeterburg" w:hAnsi="UkrainianPeterburg"/>
          <w:b/>
          <w:sz w:val="21"/>
          <w:szCs w:val="21"/>
        </w:rPr>
        <w:t>7</w:t>
      </w:r>
      <w:r w:rsidR="00A273F1" w:rsidRPr="00E20C1F">
        <w:rPr>
          <w:rFonts w:ascii="UkrainianPeterburg" w:hAnsi="UkrainianPeterburg"/>
          <w:b/>
          <w:sz w:val="21"/>
          <w:szCs w:val="21"/>
        </w:rPr>
        <w:t xml:space="preserve">.1. </w:t>
      </w:r>
      <w:r w:rsidR="00A273F1">
        <w:rPr>
          <w:rFonts w:ascii="UkrainianPeterburg" w:hAnsi="UkrainianPeterburg"/>
          <w:b/>
          <w:sz w:val="21"/>
          <w:szCs w:val="21"/>
        </w:rPr>
        <w:t>Забезпечення доступності та якості вищої освіти в контексті реалізації сучасної нормативно-правової бази</w:t>
      </w:r>
    </w:p>
    <w:p w:rsidR="00A273F1" w:rsidRPr="00F8667D" w:rsidRDefault="00A273F1" w:rsidP="00A273F1">
      <w:pPr>
        <w:ind w:firstLine="709"/>
        <w:jc w:val="both"/>
        <w:rPr>
          <w:rFonts w:ascii="Times New Roman" w:hAnsi="Times New Roman" w:cs="Times New Roman"/>
          <w:sz w:val="21"/>
          <w:szCs w:val="21"/>
        </w:rPr>
      </w:pPr>
    </w:p>
    <w:p w:rsidR="00A273F1" w:rsidRPr="00F8667D" w:rsidRDefault="00A273F1" w:rsidP="00A273F1">
      <w:pPr>
        <w:ind w:firstLine="709"/>
        <w:jc w:val="both"/>
        <w:rPr>
          <w:rFonts w:ascii="Times New Roman" w:hAnsi="Times New Roman" w:cs="Times New Roman"/>
          <w:sz w:val="21"/>
          <w:szCs w:val="21"/>
        </w:rPr>
      </w:pPr>
    </w:p>
    <w:p w:rsidR="001610CA" w:rsidRPr="002A5FB4" w:rsidRDefault="001610CA" w:rsidP="001610CA">
      <w:pPr>
        <w:tabs>
          <w:tab w:val="left" w:pos="4680"/>
        </w:tabs>
        <w:ind w:firstLine="709"/>
        <w:jc w:val="both"/>
        <w:rPr>
          <w:rFonts w:ascii="Times New Roman" w:hAnsi="Times New Roman"/>
          <w:sz w:val="21"/>
          <w:szCs w:val="21"/>
        </w:rPr>
      </w:pPr>
      <w:r w:rsidRPr="002A5FB4">
        <w:rPr>
          <w:rFonts w:ascii="Times New Roman" w:hAnsi="Times New Roman"/>
          <w:sz w:val="21"/>
          <w:szCs w:val="21"/>
        </w:rPr>
        <w:t>У сучасному інформаційному суспільстві динаміку соціально-економічного розвитку країни значною мірою визначає вища освіта. Очевидним є той факт, що перспективне майбутнє кожної людини багато в чому визначається рівнем і якістю вищої освіти.</w:t>
      </w:r>
    </w:p>
    <w:p w:rsidR="001610CA" w:rsidRPr="002A5FB4" w:rsidRDefault="001610CA" w:rsidP="001610CA">
      <w:pPr>
        <w:pStyle w:val="Default"/>
        <w:ind w:firstLine="709"/>
        <w:jc w:val="both"/>
        <w:rPr>
          <w:rFonts w:eastAsia="Times New Roman"/>
          <w:color w:val="auto"/>
          <w:sz w:val="21"/>
          <w:szCs w:val="21"/>
          <w:lang w:val="uk-UA"/>
        </w:rPr>
      </w:pPr>
      <w:r w:rsidRPr="00D97691">
        <w:rPr>
          <w:color w:val="auto"/>
          <w:sz w:val="21"/>
          <w:szCs w:val="21"/>
          <w:lang w:val="uk-UA"/>
        </w:rPr>
        <w:t xml:space="preserve"> У зв’язку з процесом глобалізації та євроінтеграції та тими змінами, що відбуваються в сфері вищої освіти, питання забезпечення якості вищої освіти набуває особливої актуальності та потребує розгляду її у контексті визначень сучасності як плинної цілісної складності у ситуації глобальних трансформацій [</w:t>
      </w:r>
      <w:r w:rsidR="00772FFF">
        <w:rPr>
          <w:color w:val="auto"/>
          <w:sz w:val="21"/>
          <w:szCs w:val="21"/>
          <w:highlight w:val="yellow"/>
          <w:lang w:val="uk-UA"/>
        </w:rPr>
        <w:fldChar w:fldCharType="begin"/>
      </w:r>
      <w:r w:rsidR="00772FFF">
        <w:rPr>
          <w:color w:val="auto"/>
          <w:sz w:val="21"/>
          <w:szCs w:val="21"/>
          <w:lang w:val="uk-UA"/>
        </w:rPr>
        <w:instrText xml:space="preserve"> REF _Ref436215565 \r \h </w:instrText>
      </w:r>
      <w:r w:rsidR="00772FFF">
        <w:rPr>
          <w:color w:val="auto"/>
          <w:sz w:val="21"/>
          <w:szCs w:val="21"/>
          <w:highlight w:val="yellow"/>
          <w:lang w:val="uk-UA"/>
        </w:rPr>
      </w:r>
      <w:r w:rsidR="00772FFF">
        <w:rPr>
          <w:color w:val="auto"/>
          <w:sz w:val="21"/>
          <w:szCs w:val="21"/>
          <w:highlight w:val="yellow"/>
          <w:lang w:val="uk-UA"/>
        </w:rPr>
        <w:fldChar w:fldCharType="separate"/>
      </w:r>
      <w:r w:rsidR="00772FFF">
        <w:rPr>
          <w:color w:val="auto"/>
          <w:sz w:val="21"/>
          <w:szCs w:val="21"/>
          <w:lang w:val="uk-UA"/>
        </w:rPr>
        <w:t>42</w:t>
      </w:r>
      <w:r w:rsidR="00772FFF">
        <w:rPr>
          <w:color w:val="auto"/>
          <w:sz w:val="21"/>
          <w:szCs w:val="21"/>
          <w:highlight w:val="yellow"/>
          <w:lang w:val="uk-UA"/>
        </w:rPr>
        <w:fldChar w:fldCharType="end"/>
      </w:r>
      <w:r w:rsidRPr="00D97691">
        <w:rPr>
          <w:rFonts w:eastAsia="Times New Roman"/>
          <w:color w:val="auto"/>
          <w:sz w:val="21"/>
          <w:szCs w:val="21"/>
          <w:lang w:val="uk-UA"/>
        </w:rPr>
        <w:t xml:space="preserve">; </w:t>
      </w:r>
      <w:r w:rsidR="00772FFF">
        <w:rPr>
          <w:rFonts w:eastAsia="Times New Roman"/>
          <w:color w:val="auto"/>
          <w:sz w:val="21"/>
          <w:szCs w:val="21"/>
          <w:highlight w:val="yellow"/>
          <w:lang w:val="uk-UA"/>
        </w:rPr>
        <w:fldChar w:fldCharType="begin"/>
      </w:r>
      <w:r w:rsidR="00772FFF">
        <w:rPr>
          <w:rFonts w:eastAsia="Times New Roman"/>
          <w:color w:val="auto"/>
          <w:sz w:val="21"/>
          <w:szCs w:val="21"/>
          <w:lang w:val="uk-UA"/>
        </w:rPr>
        <w:instrText xml:space="preserve"> REF _Ref436215570 \r \h </w:instrText>
      </w:r>
      <w:r w:rsidR="00772FFF">
        <w:rPr>
          <w:rFonts w:eastAsia="Times New Roman"/>
          <w:color w:val="auto"/>
          <w:sz w:val="21"/>
          <w:szCs w:val="21"/>
          <w:highlight w:val="yellow"/>
          <w:lang w:val="uk-UA"/>
        </w:rPr>
      </w:r>
      <w:r w:rsidR="00772FFF">
        <w:rPr>
          <w:rFonts w:eastAsia="Times New Roman"/>
          <w:color w:val="auto"/>
          <w:sz w:val="21"/>
          <w:szCs w:val="21"/>
          <w:highlight w:val="yellow"/>
          <w:lang w:val="uk-UA"/>
        </w:rPr>
        <w:fldChar w:fldCharType="separate"/>
      </w:r>
      <w:r w:rsidR="00772FFF">
        <w:rPr>
          <w:rFonts w:eastAsia="Times New Roman"/>
          <w:color w:val="auto"/>
          <w:sz w:val="21"/>
          <w:szCs w:val="21"/>
          <w:lang w:val="uk-UA"/>
        </w:rPr>
        <w:t>45</w:t>
      </w:r>
      <w:r w:rsidR="00772FFF">
        <w:rPr>
          <w:rFonts w:eastAsia="Times New Roman"/>
          <w:color w:val="auto"/>
          <w:sz w:val="21"/>
          <w:szCs w:val="21"/>
          <w:highlight w:val="yellow"/>
          <w:lang w:val="uk-UA"/>
        </w:rPr>
        <w:fldChar w:fldCharType="end"/>
      </w:r>
      <w:r w:rsidRPr="00D97691">
        <w:rPr>
          <w:rFonts w:eastAsia="Times New Roman"/>
          <w:color w:val="auto"/>
          <w:sz w:val="21"/>
          <w:szCs w:val="21"/>
          <w:lang w:val="uk-UA"/>
        </w:rPr>
        <w:t xml:space="preserve">]. </w:t>
      </w:r>
    </w:p>
    <w:p w:rsidR="001610CA" w:rsidRPr="002A5FB4" w:rsidRDefault="001610CA" w:rsidP="001610CA">
      <w:pPr>
        <w:tabs>
          <w:tab w:val="left" w:pos="4680"/>
        </w:tabs>
        <w:ind w:firstLine="709"/>
        <w:jc w:val="both"/>
        <w:rPr>
          <w:rFonts w:ascii="Times New Roman" w:eastAsia="Times New Roman" w:hAnsi="Times New Roman"/>
          <w:sz w:val="21"/>
          <w:szCs w:val="21"/>
          <w:lang w:val="ru-RU" w:eastAsia="ru-RU"/>
        </w:rPr>
      </w:pPr>
      <w:r w:rsidRPr="002A5FB4">
        <w:rPr>
          <w:rFonts w:ascii="Times New Roman" w:hAnsi="Times New Roman"/>
          <w:sz w:val="21"/>
          <w:szCs w:val="21"/>
        </w:rPr>
        <w:t>Трансформаційні зміни в українському суспільстві ініціюють процеси вдосконалення і системи вищої освіти, особливо в світлі приєднання України до Болонського процесу. Розвиток вищої освіти залежить, в першу чергу, від державного регулювання, спрямованого на забезпечення її якості та доступності.</w:t>
      </w:r>
      <w:r w:rsidRPr="002A5FB4">
        <w:rPr>
          <w:rFonts w:ascii="Times New Roman" w:eastAsia="Times New Roman" w:hAnsi="Times New Roman"/>
          <w:sz w:val="21"/>
          <w:szCs w:val="21"/>
          <w:lang w:val="ru-RU" w:eastAsia="ru-RU"/>
        </w:rPr>
        <w:t xml:space="preserve"> </w:t>
      </w:r>
    </w:p>
    <w:p w:rsidR="001610CA" w:rsidRPr="002A5FB4" w:rsidRDefault="001610CA" w:rsidP="001610CA">
      <w:pPr>
        <w:pStyle w:val="Default"/>
        <w:ind w:firstLine="709"/>
        <w:jc w:val="both"/>
        <w:rPr>
          <w:rFonts w:eastAsia="Times New Roman"/>
          <w:color w:val="auto"/>
          <w:sz w:val="21"/>
          <w:szCs w:val="21"/>
        </w:rPr>
      </w:pPr>
      <w:r w:rsidRPr="002A5FB4">
        <w:rPr>
          <w:color w:val="auto"/>
          <w:sz w:val="21"/>
          <w:szCs w:val="21"/>
        </w:rPr>
        <w:t xml:space="preserve">У </w:t>
      </w:r>
      <w:r w:rsidR="00291F85">
        <w:rPr>
          <w:color w:val="auto"/>
          <w:sz w:val="21"/>
          <w:szCs w:val="21"/>
          <w:lang w:val="uk-UA"/>
        </w:rPr>
        <w:t>Б</w:t>
      </w:r>
      <w:r w:rsidRPr="002A5FB4">
        <w:rPr>
          <w:color w:val="auto"/>
          <w:sz w:val="21"/>
          <w:szCs w:val="21"/>
        </w:rPr>
        <w:t xml:space="preserve">олонських комюніке (2005, 2007, 2009, 2010, 2012) країнами-учасницями, якою Україна є з 2005 року, приділяється увага щодо забезпечення якості вищої освіти. Зокрема, у </w:t>
      </w:r>
      <w:r w:rsidRPr="002A5FB4">
        <w:rPr>
          <w:iCs/>
          <w:color w:val="auto"/>
          <w:sz w:val="21"/>
          <w:szCs w:val="21"/>
        </w:rPr>
        <w:t xml:space="preserve">Бергенському комюніке </w:t>
      </w:r>
      <w:r w:rsidRPr="002A5FB4">
        <w:rPr>
          <w:color w:val="auto"/>
          <w:sz w:val="21"/>
          <w:szCs w:val="21"/>
        </w:rPr>
        <w:t>[</w:t>
      </w:r>
      <w:r w:rsidR="00772FFF">
        <w:rPr>
          <w:color w:val="auto"/>
          <w:sz w:val="21"/>
          <w:szCs w:val="21"/>
          <w:highlight w:val="yellow"/>
        </w:rPr>
        <w:fldChar w:fldCharType="begin"/>
      </w:r>
      <w:r w:rsidR="00772FFF">
        <w:rPr>
          <w:color w:val="auto"/>
          <w:sz w:val="21"/>
          <w:szCs w:val="21"/>
        </w:rPr>
        <w:instrText xml:space="preserve"> REF _Ref436215575 \r \h </w:instrText>
      </w:r>
      <w:r w:rsidR="00772FFF">
        <w:rPr>
          <w:color w:val="auto"/>
          <w:sz w:val="21"/>
          <w:szCs w:val="21"/>
          <w:highlight w:val="yellow"/>
        </w:rPr>
      </w:r>
      <w:r w:rsidR="00772FFF">
        <w:rPr>
          <w:color w:val="auto"/>
          <w:sz w:val="21"/>
          <w:szCs w:val="21"/>
          <w:highlight w:val="yellow"/>
        </w:rPr>
        <w:fldChar w:fldCharType="separate"/>
      </w:r>
      <w:r w:rsidR="00772FFF">
        <w:rPr>
          <w:color w:val="auto"/>
          <w:sz w:val="21"/>
          <w:szCs w:val="21"/>
        </w:rPr>
        <w:t>15</w:t>
      </w:r>
      <w:r w:rsidR="00772FFF">
        <w:rPr>
          <w:color w:val="auto"/>
          <w:sz w:val="21"/>
          <w:szCs w:val="21"/>
          <w:highlight w:val="yellow"/>
        </w:rPr>
        <w:fldChar w:fldCharType="end"/>
      </w:r>
      <w:r w:rsidRPr="002A5FB4">
        <w:rPr>
          <w:rFonts w:eastAsia="Times New Roman"/>
          <w:color w:val="auto"/>
          <w:sz w:val="21"/>
          <w:szCs w:val="21"/>
        </w:rPr>
        <w:t xml:space="preserve">] країни-учасниці закликаються докласти зусиль для підвищення якості діяльності вищих навчальних закладів шляхом прийняття та впровадження </w:t>
      </w:r>
      <w:r w:rsidRPr="002A5FB4">
        <w:rPr>
          <w:rFonts w:eastAsia="Times New Roman"/>
          <w:iCs/>
          <w:color w:val="auto"/>
          <w:sz w:val="21"/>
          <w:szCs w:val="21"/>
        </w:rPr>
        <w:t xml:space="preserve">Стандартів та рекомендацій щодо забезпечення якості в Європейському просторі вищої освіти </w:t>
      </w:r>
      <w:r w:rsidRPr="002A5FB4">
        <w:rPr>
          <w:rFonts w:eastAsia="Times New Roman"/>
          <w:color w:val="auto"/>
          <w:sz w:val="21"/>
          <w:szCs w:val="21"/>
        </w:rPr>
        <w:t>[</w:t>
      </w:r>
      <w:r w:rsidR="00772FFF">
        <w:rPr>
          <w:rFonts w:eastAsia="Times New Roman"/>
          <w:color w:val="auto"/>
          <w:sz w:val="21"/>
          <w:szCs w:val="21"/>
          <w:highlight w:val="yellow"/>
        </w:rPr>
        <w:fldChar w:fldCharType="begin"/>
      </w:r>
      <w:r w:rsidR="00772FFF">
        <w:rPr>
          <w:rFonts w:eastAsia="Times New Roman"/>
          <w:color w:val="auto"/>
          <w:sz w:val="21"/>
          <w:szCs w:val="21"/>
        </w:rPr>
        <w:instrText xml:space="preserve"> REF _Ref436215582 \r \h </w:instrText>
      </w:r>
      <w:r w:rsidR="00772FFF">
        <w:rPr>
          <w:rFonts w:eastAsia="Times New Roman"/>
          <w:color w:val="auto"/>
          <w:sz w:val="21"/>
          <w:szCs w:val="21"/>
          <w:highlight w:val="yellow"/>
        </w:rPr>
      </w:r>
      <w:r w:rsidR="00772FFF">
        <w:rPr>
          <w:rFonts w:eastAsia="Times New Roman"/>
          <w:color w:val="auto"/>
          <w:sz w:val="21"/>
          <w:szCs w:val="21"/>
          <w:highlight w:val="yellow"/>
        </w:rPr>
        <w:fldChar w:fldCharType="separate"/>
      </w:r>
      <w:r w:rsidR="00772FFF">
        <w:rPr>
          <w:rFonts w:eastAsia="Times New Roman"/>
          <w:color w:val="auto"/>
          <w:sz w:val="21"/>
          <w:szCs w:val="21"/>
        </w:rPr>
        <w:t>40</w:t>
      </w:r>
      <w:r w:rsidR="00772FFF">
        <w:rPr>
          <w:rFonts w:eastAsia="Times New Roman"/>
          <w:color w:val="auto"/>
          <w:sz w:val="21"/>
          <w:szCs w:val="21"/>
          <w:highlight w:val="yellow"/>
        </w:rPr>
        <w:fldChar w:fldCharType="end"/>
      </w:r>
      <w:r w:rsidRPr="002A5FB4">
        <w:rPr>
          <w:rFonts w:eastAsia="Times New Roman"/>
          <w:color w:val="auto"/>
          <w:sz w:val="21"/>
          <w:szCs w:val="21"/>
        </w:rPr>
        <w:t xml:space="preserve">], які згідно з </w:t>
      </w:r>
      <w:r w:rsidRPr="002A5FB4">
        <w:rPr>
          <w:rFonts w:eastAsia="Times New Roman"/>
          <w:iCs/>
          <w:color w:val="auto"/>
          <w:sz w:val="21"/>
          <w:szCs w:val="21"/>
        </w:rPr>
        <w:lastRenderedPageBreak/>
        <w:t xml:space="preserve">Лондонським комюніке </w:t>
      </w:r>
      <w:r w:rsidRPr="002A5FB4">
        <w:rPr>
          <w:rFonts w:eastAsia="Times New Roman"/>
          <w:color w:val="auto"/>
          <w:sz w:val="21"/>
          <w:szCs w:val="21"/>
        </w:rPr>
        <w:t>[</w:t>
      </w:r>
      <w:r w:rsidR="00772FFF">
        <w:rPr>
          <w:rFonts w:eastAsia="Times New Roman"/>
          <w:color w:val="auto"/>
          <w:sz w:val="21"/>
          <w:szCs w:val="21"/>
          <w:highlight w:val="yellow"/>
        </w:rPr>
        <w:fldChar w:fldCharType="begin"/>
      </w:r>
      <w:r w:rsidR="00772FFF">
        <w:rPr>
          <w:rFonts w:eastAsia="Times New Roman"/>
          <w:color w:val="auto"/>
          <w:sz w:val="21"/>
          <w:szCs w:val="21"/>
        </w:rPr>
        <w:instrText xml:space="preserve"> REF _Ref436215589 \r \h </w:instrText>
      </w:r>
      <w:r w:rsidR="00772FFF">
        <w:rPr>
          <w:rFonts w:eastAsia="Times New Roman"/>
          <w:color w:val="auto"/>
          <w:sz w:val="21"/>
          <w:szCs w:val="21"/>
          <w:highlight w:val="yellow"/>
        </w:rPr>
      </w:r>
      <w:r w:rsidR="00772FFF">
        <w:rPr>
          <w:rFonts w:eastAsia="Times New Roman"/>
          <w:color w:val="auto"/>
          <w:sz w:val="21"/>
          <w:szCs w:val="21"/>
          <w:highlight w:val="yellow"/>
        </w:rPr>
        <w:fldChar w:fldCharType="separate"/>
      </w:r>
      <w:r w:rsidR="00772FFF">
        <w:rPr>
          <w:rFonts w:eastAsia="Times New Roman"/>
          <w:color w:val="auto"/>
          <w:sz w:val="21"/>
          <w:szCs w:val="21"/>
        </w:rPr>
        <w:t>31</w:t>
      </w:r>
      <w:r w:rsidR="00772FFF">
        <w:rPr>
          <w:rFonts w:eastAsia="Times New Roman"/>
          <w:color w:val="auto"/>
          <w:sz w:val="21"/>
          <w:szCs w:val="21"/>
          <w:highlight w:val="yellow"/>
        </w:rPr>
        <w:fldChar w:fldCharType="end"/>
      </w:r>
      <w:r w:rsidRPr="002A5FB4">
        <w:rPr>
          <w:rFonts w:eastAsia="Times New Roman"/>
          <w:color w:val="auto"/>
          <w:sz w:val="21"/>
          <w:szCs w:val="21"/>
        </w:rPr>
        <w:t>] є визначальним чинником змін у забезпеченні якості. Також у Лондонському комюніке звертається увага на те, що вищі навчальні заклади повинні продовжувати розробку внутрішніх систем забезпечення якості.</w:t>
      </w:r>
    </w:p>
    <w:p w:rsidR="001610CA" w:rsidRPr="002A5FB4" w:rsidRDefault="001610CA" w:rsidP="001610CA">
      <w:pPr>
        <w:autoSpaceDE w:val="0"/>
        <w:autoSpaceDN w:val="0"/>
        <w:adjustRightInd w:val="0"/>
        <w:ind w:firstLine="709"/>
        <w:jc w:val="both"/>
        <w:rPr>
          <w:rFonts w:ascii="Times New Roman" w:eastAsia="Times New Roman" w:hAnsi="Times New Roman"/>
          <w:sz w:val="21"/>
          <w:szCs w:val="21"/>
          <w:lang w:val="ru-RU" w:eastAsia="ru-RU"/>
        </w:rPr>
      </w:pPr>
      <w:r w:rsidRPr="002A5FB4">
        <w:rPr>
          <w:rFonts w:ascii="Times New Roman" w:eastAsia="Times New Roman" w:hAnsi="Times New Roman"/>
          <w:sz w:val="21"/>
          <w:szCs w:val="21"/>
          <w:lang w:val="ru-RU" w:eastAsia="ru-RU"/>
        </w:rPr>
        <w:t xml:space="preserve">Проте, </w:t>
      </w:r>
      <w:r w:rsidRPr="002A5FB4">
        <w:rPr>
          <w:rFonts w:ascii="Times New Roman" w:eastAsia="Times New Roman" w:hAnsi="Times New Roman"/>
          <w:iCs/>
          <w:sz w:val="21"/>
          <w:szCs w:val="21"/>
          <w:lang w:val="ru-RU" w:eastAsia="ru-RU"/>
        </w:rPr>
        <w:t xml:space="preserve">Бухарестським комюніке </w:t>
      </w:r>
      <w:r w:rsidRPr="00772FFF">
        <w:rPr>
          <w:rFonts w:ascii="Times New Roman" w:eastAsia="Times New Roman" w:hAnsi="Times New Roman"/>
          <w:sz w:val="21"/>
          <w:szCs w:val="21"/>
          <w:lang w:val="ru-RU" w:eastAsia="ru-RU"/>
        </w:rPr>
        <w:t>[</w:t>
      </w:r>
      <w:r w:rsidR="00772FFF" w:rsidRPr="00772FFF">
        <w:rPr>
          <w:rFonts w:ascii="Times New Roman" w:eastAsia="Times New Roman" w:hAnsi="Times New Roman"/>
          <w:sz w:val="21"/>
          <w:szCs w:val="21"/>
          <w:lang w:val="ru-RU" w:eastAsia="ru-RU"/>
        </w:rPr>
        <w:fldChar w:fldCharType="begin"/>
      </w:r>
      <w:r w:rsidR="00772FFF" w:rsidRPr="00772FFF">
        <w:rPr>
          <w:rFonts w:ascii="Times New Roman" w:eastAsia="Times New Roman" w:hAnsi="Times New Roman"/>
          <w:sz w:val="21"/>
          <w:szCs w:val="21"/>
          <w:lang w:val="ru-RU" w:eastAsia="ru-RU"/>
        </w:rPr>
        <w:instrText xml:space="preserve"> REF _Ref436215603 \r \h </w:instrText>
      </w:r>
      <w:r w:rsidR="00772FFF">
        <w:rPr>
          <w:rFonts w:ascii="Times New Roman" w:eastAsia="Times New Roman" w:hAnsi="Times New Roman"/>
          <w:sz w:val="21"/>
          <w:szCs w:val="21"/>
          <w:lang w:val="ru-RU" w:eastAsia="ru-RU"/>
        </w:rPr>
        <w:instrText xml:space="preserve"> \* MERGEFORMAT </w:instrText>
      </w:r>
      <w:r w:rsidR="00772FFF" w:rsidRPr="00772FFF">
        <w:rPr>
          <w:rFonts w:ascii="Times New Roman" w:eastAsia="Times New Roman" w:hAnsi="Times New Roman"/>
          <w:sz w:val="21"/>
          <w:szCs w:val="21"/>
          <w:lang w:val="ru-RU" w:eastAsia="ru-RU"/>
        </w:rPr>
      </w:r>
      <w:r w:rsidR="00772FFF" w:rsidRPr="00772FFF">
        <w:rPr>
          <w:rFonts w:ascii="Times New Roman" w:eastAsia="Times New Roman" w:hAnsi="Times New Roman"/>
          <w:sz w:val="21"/>
          <w:szCs w:val="21"/>
          <w:lang w:val="ru-RU" w:eastAsia="ru-RU"/>
        </w:rPr>
        <w:fldChar w:fldCharType="separate"/>
      </w:r>
      <w:r w:rsidR="00772FFF" w:rsidRPr="00772FFF">
        <w:rPr>
          <w:rFonts w:ascii="Times New Roman" w:eastAsia="Times New Roman" w:hAnsi="Times New Roman"/>
          <w:sz w:val="21"/>
          <w:szCs w:val="21"/>
          <w:lang w:val="ru-RU" w:eastAsia="ru-RU"/>
        </w:rPr>
        <w:t>9</w:t>
      </w:r>
      <w:r w:rsidR="00772FFF" w:rsidRPr="00772FFF">
        <w:rPr>
          <w:rFonts w:ascii="Times New Roman" w:eastAsia="Times New Roman" w:hAnsi="Times New Roman"/>
          <w:sz w:val="21"/>
          <w:szCs w:val="21"/>
          <w:lang w:val="ru-RU" w:eastAsia="ru-RU"/>
        </w:rPr>
        <w:fldChar w:fldCharType="end"/>
      </w:r>
      <w:r w:rsidRPr="00772FFF">
        <w:rPr>
          <w:rFonts w:ascii="Times New Roman" w:eastAsia="Times New Roman" w:hAnsi="Times New Roman"/>
          <w:sz w:val="21"/>
          <w:szCs w:val="21"/>
          <w:lang w:val="ru-RU" w:eastAsia="ru-RU"/>
        </w:rPr>
        <w:t>] визнано</w:t>
      </w:r>
      <w:r w:rsidRPr="002A5FB4">
        <w:rPr>
          <w:rFonts w:ascii="Times New Roman" w:eastAsia="Times New Roman" w:hAnsi="Times New Roman"/>
          <w:sz w:val="21"/>
          <w:szCs w:val="21"/>
          <w:lang w:val="ru-RU" w:eastAsia="ru-RU"/>
        </w:rPr>
        <w:t xml:space="preserve"> про необхідність зосередження вищими навчальними закладами і стейкхолдерами подальших зусиль щодо всебічного впровадження та удосконалення внутрішньої системи забезпечення якості. </w:t>
      </w:r>
    </w:p>
    <w:p w:rsidR="001610CA" w:rsidRPr="002A5FB4" w:rsidRDefault="001610CA" w:rsidP="001610CA">
      <w:pPr>
        <w:pStyle w:val="Default"/>
        <w:ind w:firstLine="709"/>
        <w:jc w:val="both"/>
        <w:rPr>
          <w:rFonts w:eastAsia="Times New Roman"/>
          <w:color w:val="auto"/>
          <w:sz w:val="21"/>
          <w:szCs w:val="21"/>
        </w:rPr>
      </w:pPr>
      <w:r w:rsidRPr="002A5FB4">
        <w:rPr>
          <w:color w:val="auto"/>
          <w:sz w:val="21"/>
          <w:szCs w:val="21"/>
        </w:rPr>
        <w:t xml:space="preserve">Одним з кроків, спрямованих на підвищення якості і конкурентоспроможності освіти за для вирішення стратегічних завдань, що стоять перед національною системою освіти в умовах її інтеграцію в європейський і світовий освітній простір, було розроблення </w:t>
      </w:r>
      <w:r w:rsidRPr="002A5FB4">
        <w:rPr>
          <w:iCs/>
          <w:color w:val="auto"/>
          <w:sz w:val="21"/>
          <w:szCs w:val="21"/>
        </w:rPr>
        <w:t xml:space="preserve">Національної стратегії розвитку освіти в Україні на період до 2021 року, </w:t>
      </w:r>
      <w:r w:rsidRPr="002A5FB4">
        <w:rPr>
          <w:color w:val="auto"/>
          <w:sz w:val="21"/>
          <w:szCs w:val="21"/>
        </w:rPr>
        <w:t>схваленої Указом Президента України від 25.06.2013 р. № 344/2013, де зазначено, що одним із ключових напрямом державної освітньої політики має стати підвищення якості освіти. Документ також констатує, що «задекларовані у попередні десятиріччя стратегічні завдання щодо забезпечення рівного доступу дітей і молоді до якісної освіти, її стабільного та сучасного розвитку, демократизації управління не набули повної реалізації» [</w:t>
      </w:r>
      <w:r w:rsidR="00772FFF">
        <w:rPr>
          <w:color w:val="auto"/>
          <w:sz w:val="21"/>
          <w:szCs w:val="21"/>
          <w:highlight w:val="yellow"/>
        </w:rPr>
        <w:fldChar w:fldCharType="begin"/>
      </w:r>
      <w:r w:rsidR="00772FFF">
        <w:rPr>
          <w:color w:val="auto"/>
          <w:sz w:val="21"/>
          <w:szCs w:val="21"/>
        </w:rPr>
        <w:instrText xml:space="preserve"> REF _Ref436215621 \r \h </w:instrText>
      </w:r>
      <w:r w:rsidR="00772FFF">
        <w:rPr>
          <w:color w:val="auto"/>
          <w:sz w:val="21"/>
          <w:szCs w:val="21"/>
          <w:highlight w:val="yellow"/>
        </w:rPr>
      </w:r>
      <w:r w:rsidR="00772FFF">
        <w:rPr>
          <w:color w:val="auto"/>
          <w:sz w:val="21"/>
          <w:szCs w:val="21"/>
          <w:highlight w:val="yellow"/>
        </w:rPr>
        <w:fldChar w:fldCharType="separate"/>
      </w:r>
      <w:r w:rsidR="00772FFF">
        <w:rPr>
          <w:color w:val="auto"/>
          <w:sz w:val="21"/>
          <w:szCs w:val="21"/>
        </w:rPr>
        <w:t>30</w:t>
      </w:r>
      <w:r w:rsidR="00772FFF">
        <w:rPr>
          <w:color w:val="auto"/>
          <w:sz w:val="21"/>
          <w:szCs w:val="21"/>
          <w:highlight w:val="yellow"/>
        </w:rPr>
        <w:fldChar w:fldCharType="end"/>
      </w:r>
      <w:r w:rsidRPr="002A5FB4">
        <w:rPr>
          <w:rFonts w:eastAsia="Times New Roman"/>
          <w:color w:val="auto"/>
          <w:sz w:val="21"/>
          <w:szCs w:val="21"/>
        </w:rPr>
        <w:t>].</w:t>
      </w:r>
    </w:p>
    <w:p w:rsidR="001610CA" w:rsidRPr="002A5FB4" w:rsidRDefault="001610CA" w:rsidP="001610CA">
      <w:pPr>
        <w:autoSpaceDE w:val="0"/>
        <w:autoSpaceDN w:val="0"/>
        <w:adjustRightInd w:val="0"/>
        <w:ind w:firstLine="709"/>
        <w:jc w:val="both"/>
        <w:rPr>
          <w:rFonts w:ascii="Times New Roman" w:eastAsia="Times New Roman" w:hAnsi="Times New Roman"/>
          <w:sz w:val="21"/>
          <w:szCs w:val="21"/>
          <w:lang w:val="ru-RU" w:eastAsia="ru-RU"/>
        </w:rPr>
      </w:pPr>
      <w:r w:rsidRPr="002A5FB4">
        <w:rPr>
          <w:rFonts w:ascii="Times New Roman" w:eastAsia="Times New Roman" w:hAnsi="Times New Roman"/>
          <w:sz w:val="21"/>
          <w:szCs w:val="21"/>
          <w:lang w:val="ru-RU" w:eastAsia="ru-RU"/>
        </w:rPr>
        <w:t xml:space="preserve">З огляду на те, що Україна взяла на себе зобов'язання проводити роботу з приведення якості національної освіти у відповідність до європейських стандартів, та узгодженні нормативно-правових змін у системі вищої освіти, згідно зі стандартами і рекомендаціями Європейського простору вищої освіти, вкрай важливим є розуміння поняття якості вищої освіти. </w:t>
      </w:r>
    </w:p>
    <w:p w:rsidR="001610CA" w:rsidRPr="002A5FB4" w:rsidRDefault="001610CA" w:rsidP="001610CA">
      <w:pPr>
        <w:autoSpaceDE w:val="0"/>
        <w:autoSpaceDN w:val="0"/>
        <w:adjustRightInd w:val="0"/>
        <w:ind w:firstLine="709"/>
        <w:jc w:val="both"/>
        <w:rPr>
          <w:rFonts w:ascii="Times New Roman" w:eastAsia="Times New Roman" w:hAnsi="Times New Roman"/>
          <w:sz w:val="21"/>
          <w:szCs w:val="21"/>
          <w:lang w:val="ru-RU" w:eastAsia="ru-RU"/>
        </w:rPr>
      </w:pPr>
      <w:r w:rsidRPr="002A5FB4">
        <w:rPr>
          <w:rFonts w:ascii="Times New Roman" w:eastAsia="Times New Roman" w:hAnsi="Times New Roman"/>
          <w:sz w:val="21"/>
          <w:szCs w:val="21"/>
          <w:lang w:val="ru-RU" w:eastAsia="ru-RU"/>
        </w:rPr>
        <w:t>«Національний освітній глосарій: вища освіта» дає таке визначення терміну: «Якість вищої освіти (Quality in Higher Education) – характеристика вищої освіти, що відображає відповідність результатів навчання, освітніх процесів та інституційних умов актуальним цілям розвитку особи і суспільства» [</w:t>
      </w:r>
      <w:r w:rsidR="00772FFF">
        <w:rPr>
          <w:rFonts w:ascii="Times New Roman" w:eastAsia="Times New Roman" w:hAnsi="Times New Roman"/>
          <w:sz w:val="21"/>
          <w:szCs w:val="21"/>
          <w:highlight w:val="yellow"/>
          <w:lang w:val="ru-RU" w:eastAsia="ru-RU"/>
        </w:rPr>
        <w:fldChar w:fldCharType="begin"/>
      </w:r>
      <w:r w:rsidR="00772FFF">
        <w:rPr>
          <w:rFonts w:ascii="Times New Roman" w:eastAsia="Times New Roman" w:hAnsi="Times New Roman"/>
          <w:sz w:val="21"/>
          <w:szCs w:val="21"/>
          <w:lang w:val="ru-RU" w:eastAsia="ru-RU"/>
        </w:rPr>
        <w:instrText xml:space="preserve"> REF _Ref436215625 \r \h </w:instrText>
      </w:r>
      <w:r w:rsidR="00772FFF">
        <w:rPr>
          <w:rFonts w:ascii="Times New Roman" w:eastAsia="Times New Roman" w:hAnsi="Times New Roman"/>
          <w:sz w:val="21"/>
          <w:szCs w:val="21"/>
          <w:highlight w:val="yellow"/>
          <w:lang w:val="ru-RU" w:eastAsia="ru-RU"/>
        </w:rPr>
      </w:r>
      <w:r w:rsidR="00772FFF">
        <w:rPr>
          <w:rFonts w:ascii="Times New Roman" w:eastAsia="Times New Roman" w:hAnsi="Times New Roman"/>
          <w:sz w:val="21"/>
          <w:szCs w:val="21"/>
          <w:highlight w:val="yellow"/>
          <w:lang w:val="ru-RU" w:eastAsia="ru-RU"/>
        </w:rPr>
        <w:fldChar w:fldCharType="separate"/>
      </w:r>
      <w:r w:rsidR="00772FFF">
        <w:rPr>
          <w:rFonts w:ascii="Times New Roman" w:eastAsia="Times New Roman" w:hAnsi="Times New Roman"/>
          <w:sz w:val="21"/>
          <w:szCs w:val="21"/>
          <w:lang w:val="ru-RU" w:eastAsia="ru-RU"/>
        </w:rPr>
        <w:t>29</w:t>
      </w:r>
      <w:r w:rsidR="00772FFF">
        <w:rPr>
          <w:rFonts w:ascii="Times New Roman" w:eastAsia="Times New Roman" w:hAnsi="Times New Roman"/>
          <w:sz w:val="21"/>
          <w:szCs w:val="21"/>
          <w:highlight w:val="yellow"/>
          <w:lang w:val="ru-RU" w:eastAsia="ru-RU"/>
        </w:rPr>
        <w:fldChar w:fldCharType="end"/>
      </w:r>
      <w:r w:rsidRPr="002A5FB4">
        <w:rPr>
          <w:rFonts w:ascii="Times New Roman" w:eastAsia="Times New Roman" w:hAnsi="Times New Roman"/>
          <w:sz w:val="21"/>
          <w:szCs w:val="21"/>
          <w:lang w:val="ru-RU" w:eastAsia="ru-RU"/>
        </w:rPr>
        <w:t xml:space="preserve">]. </w:t>
      </w:r>
    </w:p>
    <w:p w:rsidR="001610CA" w:rsidRPr="002A5FB4" w:rsidRDefault="001610CA" w:rsidP="001610CA">
      <w:pPr>
        <w:pStyle w:val="Default"/>
        <w:ind w:firstLine="709"/>
        <w:jc w:val="both"/>
        <w:rPr>
          <w:rFonts w:eastAsia="Times New Roman"/>
          <w:color w:val="auto"/>
          <w:sz w:val="21"/>
          <w:szCs w:val="21"/>
        </w:rPr>
      </w:pPr>
      <w:r w:rsidRPr="002A5FB4">
        <w:rPr>
          <w:color w:val="auto"/>
          <w:sz w:val="21"/>
          <w:szCs w:val="21"/>
        </w:rPr>
        <w:t xml:space="preserve">У Законі України «Про вищу освіту» якість вищої освіти визначається як «рівень здобутих особою знань, умінь, навичок, інших компетентностей, що відображає її компетентність відповідно до стандартів вищої освіти» «якість освітньої діяльності - рівень організації освітнього процесу у вищому навчальному закладі, що відповідає стандартам вищої освіти, забезпечує </w:t>
      </w:r>
      <w:r w:rsidRPr="002A5FB4">
        <w:rPr>
          <w:color w:val="auto"/>
          <w:sz w:val="21"/>
          <w:szCs w:val="21"/>
        </w:rPr>
        <w:lastRenderedPageBreak/>
        <w:t>здобуття особами якісної вищої освіти та сприяє створенню нових знань» [</w:t>
      </w:r>
      <w:r w:rsidR="00772FFF">
        <w:rPr>
          <w:color w:val="auto"/>
          <w:sz w:val="21"/>
          <w:szCs w:val="21"/>
          <w:highlight w:val="yellow"/>
        </w:rPr>
        <w:fldChar w:fldCharType="begin"/>
      </w:r>
      <w:r w:rsidR="00772FFF">
        <w:rPr>
          <w:color w:val="auto"/>
          <w:sz w:val="21"/>
          <w:szCs w:val="21"/>
        </w:rPr>
        <w:instrText xml:space="preserve"> REF _Ref436215632 \r \h </w:instrText>
      </w:r>
      <w:r w:rsidR="00772FFF">
        <w:rPr>
          <w:color w:val="auto"/>
          <w:sz w:val="21"/>
          <w:szCs w:val="21"/>
          <w:highlight w:val="yellow"/>
        </w:rPr>
      </w:r>
      <w:r w:rsidR="00772FFF">
        <w:rPr>
          <w:color w:val="auto"/>
          <w:sz w:val="21"/>
          <w:szCs w:val="21"/>
          <w:highlight w:val="yellow"/>
        </w:rPr>
        <w:fldChar w:fldCharType="separate"/>
      </w:r>
      <w:r w:rsidR="00772FFF">
        <w:rPr>
          <w:color w:val="auto"/>
          <w:sz w:val="21"/>
          <w:szCs w:val="21"/>
        </w:rPr>
        <w:t>38</w:t>
      </w:r>
      <w:r w:rsidR="00772FFF">
        <w:rPr>
          <w:color w:val="auto"/>
          <w:sz w:val="21"/>
          <w:szCs w:val="21"/>
          <w:highlight w:val="yellow"/>
        </w:rPr>
        <w:fldChar w:fldCharType="end"/>
      </w:r>
      <w:r w:rsidRPr="002A5FB4">
        <w:rPr>
          <w:rFonts w:eastAsia="Times New Roman"/>
          <w:color w:val="auto"/>
          <w:sz w:val="21"/>
          <w:szCs w:val="21"/>
        </w:rPr>
        <w:t xml:space="preserve">]. </w:t>
      </w:r>
    </w:p>
    <w:p w:rsidR="001610CA" w:rsidRPr="002A5FB4" w:rsidRDefault="001610CA" w:rsidP="001610CA">
      <w:pPr>
        <w:pStyle w:val="Default"/>
        <w:ind w:firstLine="709"/>
        <w:jc w:val="both"/>
        <w:rPr>
          <w:rFonts w:eastAsia="Times New Roman"/>
          <w:color w:val="auto"/>
          <w:sz w:val="21"/>
          <w:szCs w:val="21"/>
        </w:rPr>
      </w:pPr>
      <w:r w:rsidRPr="002A5FB4">
        <w:rPr>
          <w:color w:val="auto"/>
          <w:sz w:val="21"/>
          <w:szCs w:val="21"/>
        </w:rPr>
        <w:t>Дослідник Кучма Р. визначає якість вищої освіти як збалансовану відповідність освіти (результату, процесу, освітньої системи) визначеним потребам, цілям, вимогам, нормам (стандартам), що відповідають необхідності сучасного суспільного розвитку. Автор вважає, що якість вищої освіти складається з якості таких компонентів, як: якість викладання (навчального процесу, педагогічної діяльності), якість науково-педагогічних кадрів, якість освітніх програм, якість матеріально-технічної бази та інформаційно-освітнього середовища, якість абітурієнтів, якість наукових досліджень, якість управління освітою тощо [</w:t>
      </w:r>
      <w:r w:rsidR="00772FFF">
        <w:rPr>
          <w:color w:val="auto"/>
          <w:sz w:val="21"/>
          <w:szCs w:val="21"/>
          <w:highlight w:val="yellow"/>
        </w:rPr>
        <w:fldChar w:fldCharType="begin"/>
      </w:r>
      <w:r w:rsidR="00772FFF">
        <w:rPr>
          <w:color w:val="auto"/>
          <w:sz w:val="21"/>
          <w:szCs w:val="21"/>
        </w:rPr>
        <w:instrText xml:space="preserve"> REF _Ref436215640 \r \h </w:instrText>
      </w:r>
      <w:r w:rsidR="00772FFF">
        <w:rPr>
          <w:color w:val="auto"/>
          <w:sz w:val="21"/>
          <w:szCs w:val="21"/>
          <w:highlight w:val="yellow"/>
        </w:rPr>
      </w:r>
      <w:r w:rsidR="00772FFF">
        <w:rPr>
          <w:color w:val="auto"/>
          <w:sz w:val="21"/>
          <w:szCs w:val="21"/>
          <w:highlight w:val="yellow"/>
        </w:rPr>
        <w:fldChar w:fldCharType="separate"/>
      </w:r>
      <w:r w:rsidR="00772FFF">
        <w:rPr>
          <w:color w:val="auto"/>
          <w:sz w:val="21"/>
          <w:szCs w:val="21"/>
        </w:rPr>
        <w:t>20</w:t>
      </w:r>
      <w:r w:rsidR="00772FFF">
        <w:rPr>
          <w:color w:val="auto"/>
          <w:sz w:val="21"/>
          <w:szCs w:val="21"/>
          <w:highlight w:val="yellow"/>
        </w:rPr>
        <w:fldChar w:fldCharType="end"/>
      </w:r>
      <w:r w:rsidRPr="002A5FB4">
        <w:rPr>
          <w:rFonts w:eastAsia="Times New Roman"/>
          <w:color w:val="auto"/>
          <w:sz w:val="21"/>
          <w:szCs w:val="21"/>
        </w:rPr>
        <w:t xml:space="preserve">]. </w:t>
      </w:r>
    </w:p>
    <w:p w:rsidR="001610CA" w:rsidRPr="002A5FB4" w:rsidRDefault="001610CA" w:rsidP="001610CA">
      <w:pPr>
        <w:pStyle w:val="Default"/>
        <w:ind w:firstLine="709"/>
        <w:jc w:val="both"/>
        <w:rPr>
          <w:rFonts w:eastAsia="Times New Roman"/>
          <w:color w:val="auto"/>
          <w:sz w:val="21"/>
          <w:szCs w:val="21"/>
        </w:rPr>
      </w:pPr>
      <w:r w:rsidRPr="002A5FB4">
        <w:rPr>
          <w:color w:val="auto"/>
          <w:sz w:val="21"/>
          <w:szCs w:val="21"/>
        </w:rPr>
        <w:t xml:space="preserve">На думку </w:t>
      </w:r>
      <w:r w:rsidR="00D97691">
        <w:rPr>
          <w:color w:val="auto"/>
          <w:sz w:val="21"/>
          <w:szCs w:val="21"/>
          <w:lang w:val="uk-UA"/>
        </w:rPr>
        <w:t>ряду інших фахівців</w:t>
      </w:r>
      <w:r w:rsidRPr="002A5FB4">
        <w:rPr>
          <w:color w:val="auto"/>
          <w:sz w:val="21"/>
          <w:szCs w:val="21"/>
        </w:rPr>
        <w:t xml:space="preserve"> «якість вищої освіти має три важливі аспекти: конструктивну якість курсу професійної підготовки, відповідну його змістовним первинним і організаційним можливостям; експлуатаційну якість, відповідну рівню реалізації навчального процесу; функціональну якість, відповідну міри досягнення кінцевої мети професійної освіти фахівців» [</w:t>
      </w:r>
      <w:r w:rsidR="00772FFF">
        <w:rPr>
          <w:color w:val="auto"/>
          <w:sz w:val="21"/>
          <w:szCs w:val="21"/>
          <w:highlight w:val="yellow"/>
        </w:rPr>
        <w:fldChar w:fldCharType="begin"/>
      </w:r>
      <w:r w:rsidR="00772FFF">
        <w:rPr>
          <w:color w:val="auto"/>
          <w:sz w:val="21"/>
          <w:szCs w:val="21"/>
        </w:rPr>
        <w:instrText xml:space="preserve"> REF _Ref436215650 \r \h </w:instrText>
      </w:r>
      <w:r w:rsidR="00772FFF">
        <w:rPr>
          <w:color w:val="auto"/>
          <w:sz w:val="21"/>
          <w:szCs w:val="21"/>
          <w:highlight w:val="yellow"/>
        </w:rPr>
      </w:r>
      <w:r w:rsidR="00772FFF">
        <w:rPr>
          <w:color w:val="auto"/>
          <w:sz w:val="21"/>
          <w:szCs w:val="21"/>
          <w:highlight w:val="yellow"/>
        </w:rPr>
        <w:fldChar w:fldCharType="separate"/>
      </w:r>
      <w:r w:rsidR="00772FFF">
        <w:rPr>
          <w:color w:val="auto"/>
          <w:sz w:val="21"/>
          <w:szCs w:val="21"/>
        </w:rPr>
        <w:t>43</w:t>
      </w:r>
      <w:r w:rsidR="00772FFF">
        <w:rPr>
          <w:color w:val="auto"/>
          <w:sz w:val="21"/>
          <w:szCs w:val="21"/>
          <w:highlight w:val="yellow"/>
        </w:rPr>
        <w:fldChar w:fldCharType="end"/>
      </w:r>
      <w:r w:rsidR="00D97691">
        <w:rPr>
          <w:color w:val="auto"/>
          <w:sz w:val="21"/>
          <w:szCs w:val="21"/>
          <w:lang w:val="uk-UA"/>
        </w:rPr>
        <w:t>;</w:t>
      </w:r>
      <w:r w:rsidRPr="002A5FB4">
        <w:rPr>
          <w:rFonts w:eastAsia="Times New Roman"/>
          <w:color w:val="auto"/>
          <w:sz w:val="21"/>
          <w:szCs w:val="21"/>
        </w:rPr>
        <w:t xml:space="preserve"> </w:t>
      </w:r>
      <w:r w:rsidR="00772FFF">
        <w:rPr>
          <w:rFonts w:eastAsia="Times New Roman"/>
          <w:color w:val="auto"/>
          <w:sz w:val="21"/>
          <w:szCs w:val="21"/>
          <w:highlight w:val="yellow"/>
        </w:rPr>
        <w:fldChar w:fldCharType="begin"/>
      </w:r>
      <w:r w:rsidR="00772FFF">
        <w:rPr>
          <w:rFonts w:eastAsia="Times New Roman"/>
          <w:color w:val="auto"/>
          <w:sz w:val="21"/>
          <w:szCs w:val="21"/>
        </w:rPr>
        <w:instrText xml:space="preserve"> REF _Ref436215656 \r \h </w:instrText>
      </w:r>
      <w:r w:rsidR="00772FFF">
        <w:rPr>
          <w:rFonts w:eastAsia="Times New Roman"/>
          <w:color w:val="auto"/>
          <w:sz w:val="21"/>
          <w:szCs w:val="21"/>
          <w:highlight w:val="yellow"/>
        </w:rPr>
      </w:r>
      <w:r w:rsidR="00772FFF">
        <w:rPr>
          <w:rFonts w:eastAsia="Times New Roman"/>
          <w:color w:val="auto"/>
          <w:sz w:val="21"/>
          <w:szCs w:val="21"/>
          <w:highlight w:val="yellow"/>
        </w:rPr>
        <w:fldChar w:fldCharType="separate"/>
      </w:r>
      <w:r w:rsidR="00772FFF">
        <w:rPr>
          <w:rFonts w:eastAsia="Times New Roman"/>
          <w:color w:val="auto"/>
          <w:sz w:val="21"/>
          <w:szCs w:val="21"/>
        </w:rPr>
        <w:t>46</w:t>
      </w:r>
      <w:r w:rsidR="00772FFF">
        <w:rPr>
          <w:rFonts w:eastAsia="Times New Roman"/>
          <w:color w:val="auto"/>
          <w:sz w:val="21"/>
          <w:szCs w:val="21"/>
          <w:highlight w:val="yellow"/>
        </w:rPr>
        <w:fldChar w:fldCharType="end"/>
      </w:r>
      <w:r w:rsidRPr="002A5FB4">
        <w:rPr>
          <w:rFonts w:eastAsia="Times New Roman"/>
          <w:color w:val="auto"/>
          <w:sz w:val="21"/>
          <w:szCs w:val="21"/>
        </w:rPr>
        <w:t xml:space="preserve">]. </w:t>
      </w:r>
    </w:p>
    <w:p w:rsidR="001610CA" w:rsidRPr="002A5FB4" w:rsidRDefault="001610CA" w:rsidP="001610CA">
      <w:pPr>
        <w:pStyle w:val="Default"/>
        <w:ind w:firstLine="709"/>
        <w:jc w:val="both"/>
        <w:rPr>
          <w:rFonts w:eastAsia="Times New Roman"/>
          <w:color w:val="auto"/>
          <w:sz w:val="21"/>
          <w:szCs w:val="21"/>
        </w:rPr>
      </w:pPr>
      <w:r w:rsidRPr="002A5FB4">
        <w:rPr>
          <w:color w:val="auto"/>
          <w:sz w:val="21"/>
          <w:szCs w:val="21"/>
        </w:rPr>
        <w:t xml:space="preserve">У своєму дослідженні Зайчук В. виокремлює наступні основні </w:t>
      </w:r>
      <w:r w:rsidRPr="002A5FB4">
        <w:rPr>
          <w:iCs/>
          <w:color w:val="auto"/>
          <w:sz w:val="21"/>
          <w:szCs w:val="21"/>
        </w:rPr>
        <w:t>параметри якості вищої освіти</w:t>
      </w:r>
      <w:r w:rsidRPr="002A5FB4">
        <w:rPr>
          <w:color w:val="auto"/>
          <w:sz w:val="21"/>
          <w:szCs w:val="21"/>
        </w:rPr>
        <w:t>: відповідність навчальних досягнень студентів державним освітнім стандартам; якість навчально-виховного процесу, що забезпечує рівень особистісного розвитку; динаміка індивідуальних досягнень у самовизначенні, саморозвитку, самореалізації; навчально-методичне забезпечення процесу підготовки; позитивна мотивація навчання, готовність до пізнавальної діяльності; якість управління освітніми програмами, що мають бути спрямовані на основну мету системи освіти-забезпечити умови для всебічного розвитку студентів, виховання громадянина демократичного суспільства [</w:t>
      </w:r>
      <w:r w:rsidR="00772FFF">
        <w:rPr>
          <w:color w:val="auto"/>
          <w:sz w:val="21"/>
          <w:szCs w:val="21"/>
          <w:highlight w:val="yellow"/>
        </w:rPr>
        <w:fldChar w:fldCharType="begin"/>
      </w:r>
      <w:r w:rsidR="00772FFF">
        <w:rPr>
          <w:color w:val="auto"/>
          <w:sz w:val="21"/>
          <w:szCs w:val="21"/>
        </w:rPr>
        <w:instrText xml:space="preserve"> REF _Ref436215663 \r \h </w:instrText>
      </w:r>
      <w:r w:rsidR="00772FFF">
        <w:rPr>
          <w:color w:val="auto"/>
          <w:sz w:val="21"/>
          <w:szCs w:val="21"/>
          <w:highlight w:val="yellow"/>
        </w:rPr>
      </w:r>
      <w:r w:rsidR="00772FFF">
        <w:rPr>
          <w:color w:val="auto"/>
          <w:sz w:val="21"/>
          <w:szCs w:val="21"/>
          <w:highlight w:val="yellow"/>
        </w:rPr>
        <w:fldChar w:fldCharType="separate"/>
      </w:r>
      <w:r w:rsidR="00772FFF">
        <w:rPr>
          <w:color w:val="auto"/>
          <w:sz w:val="21"/>
          <w:szCs w:val="21"/>
        </w:rPr>
        <w:t>16</w:t>
      </w:r>
      <w:r w:rsidR="00772FFF">
        <w:rPr>
          <w:color w:val="auto"/>
          <w:sz w:val="21"/>
          <w:szCs w:val="21"/>
          <w:highlight w:val="yellow"/>
        </w:rPr>
        <w:fldChar w:fldCharType="end"/>
      </w:r>
      <w:r w:rsidRPr="002A5FB4">
        <w:rPr>
          <w:color w:val="auto"/>
          <w:sz w:val="21"/>
          <w:szCs w:val="21"/>
        </w:rPr>
        <w:t xml:space="preserve">]. </w:t>
      </w:r>
    </w:p>
    <w:p w:rsidR="001610CA" w:rsidRPr="002A5FB4" w:rsidRDefault="00D97691" w:rsidP="001610CA">
      <w:pPr>
        <w:pStyle w:val="Default"/>
        <w:ind w:firstLine="709"/>
        <w:jc w:val="both"/>
        <w:rPr>
          <w:rFonts w:eastAsia="Times New Roman"/>
          <w:color w:val="auto"/>
          <w:sz w:val="21"/>
          <w:szCs w:val="21"/>
        </w:rPr>
      </w:pPr>
      <w:r>
        <w:rPr>
          <w:color w:val="auto"/>
          <w:sz w:val="21"/>
          <w:szCs w:val="21"/>
          <w:lang w:val="uk-UA"/>
        </w:rPr>
        <w:t>У</w:t>
      </w:r>
      <w:r w:rsidR="001610CA" w:rsidRPr="002A5FB4">
        <w:rPr>
          <w:color w:val="auto"/>
          <w:sz w:val="21"/>
          <w:szCs w:val="21"/>
        </w:rPr>
        <w:t xml:space="preserve">загальненим </w:t>
      </w:r>
      <w:r w:rsidR="001610CA" w:rsidRPr="002A5FB4">
        <w:rPr>
          <w:iCs/>
          <w:color w:val="auto"/>
          <w:sz w:val="21"/>
          <w:szCs w:val="21"/>
        </w:rPr>
        <w:t xml:space="preserve">критерієм якості вищої освіти </w:t>
      </w:r>
      <w:r w:rsidR="001610CA" w:rsidRPr="002A5FB4">
        <w:rPr>
          <w:color w:val="auto"/>
          <w:sz w:val="21"/>
          <w:szCs w:val="21"/>
        </w:rPr>
        <w:t>є володіння випускником усіма компетенціями, необхідними для виконання на високому творчому рівні професійних завдань, можливість його працевлаштування за спеціальністю та безболісного періоду адаптації на робочому місті [</w:t>
      </w:r>
      <w:r w:rsidR="00772FFF">
        <w:rPr>
          <w:color w:val="auto"/>
          <w:sz w:val="21"/>
          <w:szCs w:val="21"/>
          <w:highlight w:val="yellow"/>
        </w:rPr>
        <w:fldChar w:fldCharType="begin"/>
      </w:r>
      <w:r w:rsidR="00772FFF">
        <w:rPr>
          <w:color w:val="auto"/>
          <w:sz w:val="21"/>
          <w:szCs w:val="21"/>
        </w:rPr>
        <w:instrText xml:space="preserve"> REF _Ref436215632 \r \h </w:instrText>
      </w:r>
      <w:r w:rsidR="00772FFF">
        <w:rPr>
          <w:color w:val="auto"/>
          <w:sz w:val="21"/>
          <w:szCs w:val="21"/>
          <w:highlight w:val="yellow"/>
        </w:rPr>
      </w:r>
      <w:r w:rsidR="00772FFF">
        <w:rPr>
          <w:color w:val="auto"/>
          <w:sz w:val="21"/>
          <w:szCs w:val="21"/>
          <w:highlight w:val="yellow"/>
        </w:rPr>
        <w:fldChar w:fldCharType="separate"/>
      </w:r>
      <w:r w:rsidR="00772FFF">
        <w:rPr>
          <w:color w:val="auto"/>
          <w:sz w:val="21"/>
          <w:szCs w:val="21"/>
        </w:rPr>
        <w:t>38</w:t>
      </w:r>
      <w:r w:rsidR="00772FFF">
        <w:rPr>
          <w:color w:val="auto"/>
          <w:sz w:val="21"/>
          <w:szCs w:val="21"/>
          <w:highlight w:val="yellow"/>
        </w:rPr>
        <w:fldChar w:fldCharType="end"/>
      </w:r>
      <w:r w:rsidR="001610CA" w:rsidRPr="002A5FB4">
        <w:rPr>
          <w:rFonts w:eastAsia="Times New Roman"/>
          <w:color w:val="auto"/>
          <w:sz w:val="21"/>
          <w:szCs w:val="21"/>
        </w:rPr>
        <w:t xml:space="preserve">]. </w:t>
      </w:r>
    </w:p>
    <w:p w:rsidR="001610CA" w:rsidRPr="002A5FB4" w:rsidRDefault="001610CA" w:rsidP="001610CA">
      <w:pPr>
        <w:pStyle w:val="Default"/>
        <w:ind w:firstLine="709"/>
        <w:jc w:val="both"/>
        <w:rPr>
          <w:rFonts w:eastAsia="Times New Roman"/>
          <w:color w:val="auto"/>
          <w:sz w:val="21"/>
          <w:szCs w:val="21"/>
        </w:rPr>
      </w:pPr>
      <w:r w:rsidRPr="002A5FB4">
        <w:rPr>
          <w:color w:val="auto"/>
          <w:sz w:val="21"/>
          <w:szCs w:val="21"/>
        </w:rPr>
        <w:t xml:space="preserve">В монографії «Філософсько-методологічні засади підвищення якості вищої освіти України: європейський вимір» група науковців визначають важливі </w:t>
      </w:r>
      <w:r w:rsidRPr="002A5FB4">
        <w:rPr>
          <w:iCs/>
          <w:color w:val="auto"/>
          <w:sz w:val="21"/>
          <w:szCs w:val="21"/>
        </w:rPr>
        <w:t>критерії забезпечення якості вищої освіти</w:t>
      </w:r>
      <w:r w:rsidRPr="002A5FB4">
        <w:rPr>
          <w:color w:val="auto"/>
          <w:sz w:val="21"/>
          <w:szCs w:val="21"/>
        </w:rPr>
        <w:t>. Зокрема, науковий потенціал професорсько-</w:t>
      </w:r>
      <w:r w:rsidRPr="002A5FB4">
        <w:rPr>
          <w:color w:val="auto"/>
          <w:sz w:val="21"/>
          <w:szCs w:val="21"/>
        </w:rPr>
        <w:lastRenderedPageBreak/>
        <w:t>викладацького складу, задоволеність студентів якістю й організацією навчального процесу, сучасне матеріально-технічне забезпечення навчального закладу тощо [</w:t>
      </w:r>
      <w:r w:rsidR="00772FFF">
        <w:rPr>
          <w:color w:val="auto"/>
          <w:sz w:val="21"/>
          <w:szCs w:val="21"/>
          <w:highlight w:val="yellow"/>
        </w:rPr>
        <w:fldChar w:fldCharType="begin"/>
      </w:r>
      <w:r w:rsidR="00772FFF">
        <w:rPr>
          <w:color w:val="auto"/>
          <w:sz w:val="21"/>
          <w:szCs w:val="21"/>
        </w:rPr>
        <w:instrText xml:space="preserve"> REF _Ref436215570 \r \h </w:instrText>
      </w:r>
      <w:r w:rsidR="00772FFF">
        <w:rPr>
          <w:color w:val="auto"/>
          <w:sz w:val="21"/>
          <w:szCs w:val="21"/>
          <w:highlight w:val="yellow"/>
        </w:rPr>
      </w:r>
      <w:r w:rsidR="00772FFF">
        <w:rPr>
          <w:color w:val="auto"/>
          <w:sz w:val="21"/>
          <w:szCs w:val="21"/>
          <w:highlight w:val="yellow"/>
        </w:rPr>
        <w:fldChar w:fldCharType="separate"/>
      </w:r>
      <w:r w:rsidR="00772FFF">
        <w:rPr>
          <w:color w:val="auto"/>
          <w:sz w:val="21"/>
          <w:szCs w:val="21"/>
        </w:rPr>
        <w:t>45</w:t>
      </w:r>
      <w:r w:rsidR="00772FFF">
        <w:rPr>
          <w:color w:val="auto"/>
          <w:sz w:val="21"/>
          <w:szCs w:val="21"/>
          <w:highlight w:val="yellow"/>
        </w:rPr>
        <w:fldChar w:fldCharType="end"/>
      </w:r>
      <w:r w:rsidR="00D97691">
        <w:rPr>
          <w:color w:val="auto"/>
          <w:sz w:val="21"/>
          <w:szCs w:val="21"/>
          <w:lang w:val="uk-UA"/>
        </w:rPr>
        <w:t>,</w:t>
      </w:r>
      <w:r w:rsidRPr="002A5FB4">
        <w:rPr>
          <w:color w:val="auto"/>
          <w:sz w:val="21"/>
          <w:szCs w:val="21"/>
        </w:rPr>
        <w:t xml:space="preserve"> </w:t>
      </w:r>
      <w:r w:rsidR="00D97691">
        <w:rPr>
          <w:color w:val="auto"/>
          <w:sz w:val="21"/>
          <w:szCs w:val="21"/>
          <w:lang w:val="uk-UA"/>
        </w:rPr>
        <w:t>с</w:t>
      </w:r>
      <w:r w:rsidRPr="002A5FB4">
        <w:rPr>
          <w:rFonts w:eastAsia="Times New Roman"/>
          <w:color w:val="auto"/>
          <w:sz w:val="21"/>
          <w:szCs w:val="21"/>
        </w:rPr>
        <w:t xml:space="preserve">. 127]. </w:t>
      </w:r>
    </w:p>
    <w:p w:rsidR="001610CA" w:rsidRPr="002A5FB4" w:rsidRDefault="001610CA" w:rsidP="001610CA">
      <w:pPr>
        <w:pStyle w:val="Default"/>
        <w:ind w:firstLine="709"/>
        <w:jc w:val="both"/>
        <w:rPr>
          <w:rFonts w:eastAsia="Times New Roman"/>
          <w:color w:val="auto"/>
          <w:sz w:val="21"/>
          <w:szCs w:val="21"/>
        </w:rPr>
      </w:pPr>
      <w:r w:rsidRPr="002A5FB4">
        <w:rPr>
          <w:color w:val="auto"/>
          <w:sz w:val="21"/>
          <w:szCs w:val="21"/>
        </w:rPr>
        <w:t xml:space="preserve">Підтвердження цього ми знаходимо у таких вчених як, Ніколаєвський В., Хлєбнікова Т., які вважають, що основними </w:t>
      </w:r>
      <w:r w:rsidRPr="002A5FB4">
        <w:rPr>
          <w:iCs/>
          <w:color w:val="auto"/>
          <w:sz w:val="21"/>
          <w:szCs w:val="21"/>
        </w:rPr>
        <w:t xml:space="preserve">чинниками забезпечення якості вищої освіти </w:t>
      </w:r>
      <w:r w:rsidRPr="002A5FB4">
        <w:rPr>
          <w:color w:val="auto"/>
          <w:sz w:val="21"/>
          <w:szCs w:val="21"/>
        </w:rPr>
        <w:t>є: професійна підготовка викладачів; сучасне матеріально-технічне та навчально-методичне забезпечення навчального процесу; відповідність програм навчальних дисциплін сучасним вимогам; використання у навчальному процесі сучасних освітніх технологій; наявність системи контролю й оцінювання викладання; рівень знань студентів; стимулювання самостійної роботи студентів; спрямованість викладання на формування соціальних якостей сучасного фахівця; залучення викладачів і студентів до науково-дослідної діяльності; використання матеріалів соціологічних та інших досліджень; контакти з провідними зарубіжними фахівцями [</w:t>
      </w:r>
      <w:r w:rsidR="00772FFF">
        <w:rPr>
          <w:color w:val="auto"/>
          <w:sz w:val="21"/>
          <w:szCs w:val="21"/>
          <w:highlight w:val="yellow"/>
        </w:rPr>
        <w:fldChar w:fldCharType="begin"/>
      </w:r>
      <w:r w:rsidR="00772FFF">
        <w:rPr>
          <w:color w:val="auto"/>
          <w:sz w:val="21"/>
          <w:szCs w:val="21"/>
        </w:rPr>
        <w:instrText xml:space="preserve"> REF _Ref436215656 \r \h </w:instrText>
      </w:r>
      <w:r w:rsidR="00772FFF">
        <w:rPr>
          <w:color w:val="auto"/>
          <w:sz w:val="21"/>
          <w:szCs w:val="21"/>
          <w:highlight w:val="yellow"/>
        </w:rPr>
      </w:r>
      <w:r w:rsidR="00772FFF">
        <w:rPr>
          <w:color w:val="auto"/>
          <w:sz w:val="21"/>
          <w:szCs w:val="21"/>
          <w:highlight w:val="yellow"/>
        </w:rPr>
        <w:fldChar w:fldCharType="separate"/>
      </w:r>
      <w:r w:rsidR="00772FFF">
        <w:rPr>
          <w:color w:val="auto"/>
          <w:sz w:val="21"/>
          <w:szCs w:val="21"/>
        </w:rPr>
        <w:t>46</w:t>
      </w:r>
      <w:r w:rsidR="00772FFF">
        <w:rPr>
          <w:color w:val="auto"/>
          <w:sz w:val="21"/>
          <w:szCs w:val="21"/>
          <w:highlight w:val="yellow"/>
        </w:rPr>
        <w:fldChar w:fldCharType="end"/>
      </w:r>
      <w:r w:rsidR="00D97691" w:rsidRPr="00D97691">
        <w:rPr>
          <w:color w:val="auto"/>
          <w:sz w:val="21"/>
          <w:szCs w:val="21"/>
        </w:rPr>
        <w:t>]</w:t>
      </w:r>
      <w:r w:rsidRPr="00D97691">
        <w:rPr>
          <w:rFonts w:eastAsia="Times New Roman"/>
          <w:color w:val="auto"/>
          <w:sz w:val="21"/>
          <w:szCs w:val="21"/>
        </w:rPr>
        <w:t>.</w:t>
      </w:r>
      <w:r w:rsidRPr="002A5FB4">
        <w:rPr>
          <w:rFonts w:eastAsia="Times New Roman"/>
          <w:color w:val="auto"/>
          <w:sz w:val="21"/>
          <w:szCs w:val="21"/>
        </w:rPr>
        <w:t xml:space="preserve"> </w:t>
      </w:r>
    </w:p>
    <w:p w:rsidR="001610CA" w:rsidRPr="002A5FB4" w:rsidRDefault="00291F85" w:rsidP="001610CA">
      <w:pPr>
        <w:pStyle w:val="Default"/>
        <w:ind w:firstLine="709"/>
        <w:jc w:val="both"/>
        <w:rPr>
          <w:rFonts w:eastAsia="Times New Roman"/>
          <w:color w:val="auto"/>
          <w:sz w:val="21"/>
          <w:szCs w:val="21"/>
        </w:rPr>
      </w:pPr>
      <w:r>
        <w:rPr>
          <w:color w:val="auto"/>
          <w:sz w:val="21"/>
          <w:szCs w:val="21"/>
          <w:lang w:val="uk-UA"/>
        </w:rPr>
        <w:t>Одні з п</w:t>
      </w:r>
      <w:r w:rsidR="001610CA" w:rsidRPr="002A5FB4">
        <w:rPr>
          <w:color w:val="auto"/>
          <w:sz w:val="21"/>
          <w:szCs w:val="21"/>
        </w:rPr>
        <w:t>р</w:t>
      </w:r>
      <w:r>
        <w:rPr>
          <w:color w:val="auto"/>
          <w:sz w:val="21"/>
          <w:szCs w:val="21"/>
        </w:rPr>
        <w:t>овідн</w:t>
      </w:r>
      <w:r>
        <w:rPr>
          <w:color w:val="auto"/>
          <w:sz w:val="21"/>
          <w:szCs w:val="21"/>
          <w:lang w:val="uk-UA"/>
        </w:rPr>
        <w:t>их</w:t>
      </w:r>
      <w:r w:rsidR="001610CA" w:rsidRPr="002A5FB4">
        <w:rPr>
          <w:color w:val="auto"/>
          <w:sz w:val="21"/>
          <w:szCs w:val="21"/>
        </w:rPr>
        <w:t xml:space="preserve"> українськ</w:t>
      </w:r>
      <w:r>
        <w:rPr>
          <w:color w:val="auto"/>
          <w:sz w:val="21"/>
          <w:szCs w:val="21"/>
          <w:lang w:val="uk-UA"/>
        </w:rPr>
        <w:t>их</w:t>
      </w:r>
      <w:r>
        <w:rPr>
          <w:color w:val="auto"/>
          <w:sz w:val="21"/>
          <w:szCs w:val="21"/>
        </w:rPr>
        <w:t xml:space="preserve"> науковці</w:t>
      </w:r>
      <w:r>
        <w:rPr>
          <w:color w:val="auto"/>
          <w:sz w:val="21"/>
          <w:szCs w:val="21"/>
          <w:lang w:val="uk-UA"/>
        </w:rPr>
        <w:t>в</w:t>
      </w:r>
      <w:r w:rsidR="001610CA" w:rsidRPr="002A5FB4">
        <w:rPr>
          <w:color w:val="auto"/>
          <w:sz w:val="21"/>
          <w:szCs w:val="21"/>
        </w:rPr>
        <w:t xml:space="preserve"> (</w:t>
      </w:r>
      <w:r>
        <w:rPr>
          <w:color w:val="auto"/>
          <w:sz w:val="21"/>
          <w:szCs w:val="21"/>
          <w:lang w:val="uk-UA"/>
        </w:rPr>
        <w:t xml:space="preserve">В. </w:t>
      </w:r>
      <w:r>
        <w:rPr>
          <w:color w:val="auto"/>
          <w:sz w:val="21"/>
          <w:szCs w:val="21"/>
        </w:rPr>
        <w:t>Луговий</w:t>
      </w:r>
      <w:r w:rsidR="001610CA" w:rsidRPr="002A5FB4">
        <w:rPr>
          <w:color w:val="auto"/>
          <w:sz w:val="21"/>
          <w:szCs w:val="21"/>
        </w:rPr>
        <w:t xml:space="preserve">, </w:t>
      </w:r>
      <w:r>
        <w:rPr>
          <w:color w:val="auto"/>
          <w:sz w:val="21"/>
          <w:szCs w:val="21"/>
          <w:lang w:val="uk-UA"/>
        </w:rPr>
        <w:t>Ж. </w:t>
      </w:r>
      <w:r>
        <w:rPr>
          <w:color w:val="auto"/>
          <w:sz w:val="21"/>
          <w:szCs w:val="21"/>
        </w:rPr>
        <w:t>Таланова</w:t>
      </w:r>
      <w:r w:rsidR="001610CA" w:rsidRPr="002A5FB4">
        <w:rPr>
          <w:color w:val="auto"/>
          <w:sz w:val="21"/>
          <w:szCs w:val="21"/>
        </w:rPr>
        <w:t xml:space="preserve">) наголошують, що ефективними інструментами ідентифікації якості вищої освіти слугують європейські та національні рамки кваліфікацій, зокрема Рамка кваліфікацій Європейського простору вищої освіти (РК ЄПВО, 2005 р.), Європейська рамка кваліфікацій для навчання впродовж життя (ЄРК НВЖ, 2008 р.), Національна рамка кваліфікацій (НРК, 2011 р.). Вчені також вважають, що дієвим інструментарієм щодо </w:t>
      </w:r>
      <w:r w:rsidR="001610CA" w:rsidRPr="002A5FB4">
        <w:rPr>
          <w:iCs/>
          <w:color w:val="auto"/>
          <w:sz w:val="21"/>
          <w:szCs w:val="21"/>
        </w:rPr>
        <w:t xml:space="preserve">забезпечення якості для української вищої освіти </w:t>
      </w:r>
      <w:r w:rsidR="001610CA" w:rsidRPr="002A5FB4">
        <w:rPr>
          <w:color w:val="auto"/>
          <w:sz w:val="21"/>
          <w:szCs w:val="21"/>
        </w:rPr>
        <w:t xml:space="preserve">є імплементація систем внутрішнього та зовнішнього забезпечення якості відповідно до Стандартів і рекомендацій щодо забезпечення якості у Європейському просторі вищої освіти (ESG), якій містить перелік стандартів та перелік рекомендацій для вищих навчальних закладів та агенції забезпечення якості вищої </w:t>
      </w:r>
      <w:r w:rsidR="001610CA" w:rsidRPr="00772FFF">
        <w:rPr>
          <w:color w:val="auto"/>
          <w:sz w:val="21"/>
          <w:szCs w:val="21"/>
        </w:rPr>
        <w:t>освіти [</w:t>
      </w:r>
      <w:r w:rsidR="00772FFF" w:rsidRPr="00772FFF">
        <w:rPr>
          <w:color w:val="auto"/>
          <w:sz w:val="21"/>
          <w:szCs w:val="21"/>
        </w:rPr>
        <w:fldChar w:fldCharType="begin"/>
      </w:r>
      <w:r w:rsidR="00772FFF" w:rsidRPr="00772FFF">
        <w:rPr>
          <w:color w:val="auto"/>
          <w:sz w:val="21"/>
          <w:szCs w:val="21"/>
          <w:lang w:val="uk-UA"/>
        </w:rPr>
        <w:instrText xml:space="preserve"> REF _Ref436215713 \r \h </w:instrText>
      </w:r>
      <w:r w:rsidR="00772FFF">
        <w:rPr>
          <w:color w:val="auto"/>
          <w:sz w:val="21"/>
          <w:szCs w:val="21"/>
        </w:rPr>
        <w:instrText xml:space="preserve"> \* MERGEFORMAT </w:instrText>
      </w:r>
      <w:r w:rsidR="00772FFF" w:rsidRPr="00772FFF">
        <w:rPr>
          <w:color w:val="auto"/>
          <w:sz w:val="21"/>
          <w:szCs w:val="21"/>
        </w:rPr>
      </w:r>
      <w:r w:rsidR="00772FFF" w:rsidRPr="00772FFF">
        <w:rPr>
          <w:color w:val="auto"/>
          <w:sz w:val="21"/>
          <w:szCs w:val="21"/>
        </w:rPr>
        <w:fldChar w:fldCharType="separate"/>
      </w:r>
      <w:r w:rsidR="00772FFF" w:rsidRPr="00772FFF">
        <w:rPr>
          <w:color w:val="auto"/>
          <w:sz w:val="21"/>
          <w:szCs w:val="21"/>
          <w:lang w:val="uk-UA"/>
        </w:rPr>
        <w:t>1</w:t>
      </w:r>
      <w:r w:rsidR="00772FFF" w:rsidRPr="00772FFF">
        <w:rPr>
          <w:color w:val="auto"/>
          <w:sz w:val="21"/>
          <w:szCs w:val="21"/>
        </w:rPr>
        <w:fldChar w:fldCharType="end"/>
      </w:r>
      <w:r w:rsidR="00772FFF" w:rsidRPr="00772FFF">
        <w:rPr>
          <w:color w:val="auto"/>
          <w:sz w:val="21"/>
          <w:szCs w:val="21"/>
          <w:lang w:val="uk-UA"/>
        </w:rPr>
        <w:t xml:space="preserve">, </w:t>
      </w:r>
      <w:r w:rsidR="00772FFF" w:rsidRPr="00772FFF">
        <w:rPr>
          <w:color w:val="auto"/>
          <w:sz w:val="21"/>
          <w:szCs w:val="21"/>
        </w:rPr>
        <w:fldChar w:fldCharType="begin"/>
      </w:r>
      <w:r w:rsidR="00772FFF" w:rsidRPr="00772FFF">
        <w:rPr>
          <w:color w:val="auto"/>
          <w:sz w:val="21"/>
          <w:szCs w:val="21"/>
        </w:rPr>
        <w:instrText xml:space="preserve"> REF _Ref436215696 \r \h </w:instrText>
      </w:r>
      <w:r w:rsidR="00772FFF">
        <w:rPr>
          <w:color w:val="auto"/>
          <w:sz w:val="21"/>
          <w:szCs w:val="21"/>
        </w:rPr>
        <w:instrText xml:space="preserve"> \* MERGEFORMAT </w:instrText>
      </w:r>
      <w:r w:rsidR="00772FFF" w:rsidRPr="00772FFF">
        <w:rPr>
          <w:color w:val="auto"/>
          <w:sz w:val="21"/>
          <w:szCs w:val="21"/>
        </w:rPr>
      </w:r>
      <w:r w:rsidR="00772FFF" w:rsidRPr="00772FFF">
        <w:rPr>
          <w:color w:val="auto"/>
          <w:sz w:val="21"/>
          <w:szCs w:val="21"/>
        </w:rPr>
        <w:fldChar w:fldCharType="separate"/>
      </w:r>
      <w:r w:rsidR="00772FFF" w:rsidRPr="00772FFF">
        <w:rPr>
          <w:color w:val="auto"/>
          <w:sz w:val="21"/>
          <w:szCs w:val="21"/>
        </w:rPr>
        <w:t>23</w:t>
      </w:r>
      <w:r w:rsidR="00772FFF" w:rsidRPr="00772FFF">
        <w:rPr>
          <w:color w:val="auto"/>
          <w:sz w:val="21"/>
          <w:szCs w:val="21"/>
        </w:rPr>
        <w:fldChar w:fldCharType="end"/>
      </w:r>
      <w:r w:rsidR="005E04D5">
        <w:rPr>
          <w:color w:val="auto"/>
          <w:sz w:val="21"/>
          <w:szCs w:val="21"/>
          <w:lang w:val="uk-UA"/>
        </w:rPr>
        <w:t>, с</w:t>
      </w:r>
      <w:r w:rsidR="001610CA" w:rsidRPr="002A5FB4">
        <w:rPr>
          <w:color w:val="auto"/>
          <w:sz w:val="21"/>
          <w:szCs w:val="21"/>
        </w:rPr>
        <w:t>. 6–10</w:t>
      </w:r>
      <w:r w:rsidR="001610CA" w:rsidRPr="002A5FB4">
        <w:rPr>
          <w:rFonts w:eastAsia="Times New Roman"/>
          <w:color w:val="auto"/>
          <w:sz w:val="21"/>
          <w:szCs w:val="21"/>
        </w:rPr>
        <w:t xml:space="preserve">; </w:t>
      </w:r>
      <w:r w:rsidR="00772FFF">
        <w:rPr>
          <w:color w:val="auto"/>
          <w:sz w:val="21"/>
          <w:szCs w:val="21"/>
          <w:highlight w:val="yellow"/>
        </w:rPr>
        <w:fldChar w:fldCharType="begin"/>
      </w:r>
      <w:r w:rsidR="00772FFF">
        <w:rPr>
          <w:rFonts w:eastAsia="Times New Roman"/>
          <w:color w:val="auto"/>
          <w:sz w:val="21"/>
          <w:szCs w:val="21"/>
        </w:rPr>
        <w:instrText xml:space="preserve"> REF _Ref436215706 \r \h </w:instrText>
      </w:r>
      <w:r w:rsidR="00772FFF">
        <w:rPr>
          <w:color w:val="auto"/>
          <w:sz w:val="21"/>
          <w:szCs w:val="21"/>
          <w:highlight w:val="yellow"/>
        </w:rPr>
      </w:r>
      <w:r w:rsidR="00772FFF">
        <w:rPr>
          <w:color w:val="auto"/>
          <w:sz w:val="21"/>
          <w:szCs w:val="21"/>
          <w:highlight w:val="yellow"/>
        </w:rPr>
        <w:fldChar w:fldCharType="separate"/>
      </w:r>
      <w:r w:rsidR="00772FFF">
        <w:rPr>
          <w:rFonts w:eastAsia="Times New Roman"/>
          <w:color w:val="auto"/>
          <w:sz w:val="21"/>
          <w:szCs w:val="21"/>
        </w:rPr>
        <w:t>37</w:t>
      </w:r>
      <w:r w:rsidR="00772FFF">
        <w:rPr>
          <w:color w:val="auto"/>
          <w:sz w:val="21"/>
          <w:szCs w:val="21"/>
          <w:highlight w:val="yellow"/>
        </w:rPr>
        <w:fldChar w:fldCharType="end"/>
      </w:r>
      <w:r w:rsidR="005E04D5">
        <w:rPr>
          <w:color w:val="auto"/>
          <w:sz w:val="21"/>
          <w:szCs w:val="21"/>
          <w:lang w:val="uk-UA"/>
        </w:rPr>
        <w:t>,</w:t>
      </w:r>
      <w:r w:rsidR="001610CA" w:rsidRPr="002A5FB4">
        <w:rPr>
          <w:color w:val="auto"/>
          <w:sz w:val="21"/>
          <w:szCs w:val="21"/>
        </w:rPr>
        <w:t xml:space="preserve"> </w:t>
      </w:r>
      <w:r w:rsidR="005E04D5">
        <w:rPr>
          <w:color w:val="auto"/>
          <w:sz w:val="21"/>
          <w:szCs w:val="21"/>
          <w:lang w:val="uk-UA"/>
        </w:rPr>
        <w:t>с</w:t>
      </w:r>
      <w:r w:rsidR="005E04D5">
        <w:rPr>
          <w:color w:val="auto"/>
          <w:sz w:val="21"/>
          <w:szCs w:val="21"/>
        </w:rPr>
        <w:t>. 65–</w:t>
      </w:r>
      <w:r w:rsidR="001610CA" w:rsidRPr="002A5FB4">
        <w:rPr>
          <w:color w:val="auto"/>
          <w:sz w:val="21"/>
          <w:szCs w:val="21"/>
        </w:rPr>
        <w:t>95</w:t>
      </w:r>
      <w:r w:rsidR="005E04D5">
        <w:rPr>
          <w:color w:val="auto"/>
          <w:sz w:val="21"/>
          <w:szCs w:val="21"/>
          <w:lang w:val="uk-UA"/>
        </w:rPr>
        <w:t>;</w:t>
      </w:r>
      <w:r w:rsidR="001610CA" w:rsidRPr="002A5FB4">
        <w:rPr>
          <w:color w:val="auto"/>
          <w:sz w:val="21"/>
          <w:szCs w:val="21"/>
        </w:rPr>
        <w:t>].</w:t>
      </w:r>
    </w:p>
    <w:p w:rsidR="001610CA" w:rsidRPr="00F42A0D" w:rsidRDefault="001610CA" w:rsidP="001610CA">
      <w:pPr>
        <w:ind w:firstLine="709"/>
        <w:jc w:val="both"/>
        <w:rPr>
          <w:rFonts w:ascii="Times New Roman" w:hAnsi="Times New Roman"/>
          <w:sz w:val="21"/>
          <w:szCs w:val="21"/>
        </w:rPr>
      </w:pPr>
      <w:r w:rsidRPr="00F42A0D">
        <w:rPr>
          <w:rFonts w:ascii="Times New Roman" w:hAnsi="Times New Roman"/>
          <w:sz w:val="21"/>
          <w:szCs w:val="21"/>
        </w:rPr>
        <w:t xml:space="preserve">Державне регулювання освіти є досить складним процесом, що полягає у реалізації державно-владних повноважень суб’єктами державного управління у сфері освіти. Процес державного управління вищою освітою спрямований на втілення в життя державної стратегії та </w:t>
      </w:r>
      <w:r w:rsidR="005B0F7B">
        <w:rPr>
          <w:rFonts w:ascii="Times New Roman" w:hAnsi="Times New Roman"/>
          <w:sz w:val="21"/>
          <w:szCs w:val="21"/>
        </w:rPr>
        <w:t>політики в галузі вищої освіти</w:t>
      </w:r>
      <w:r w:rsidRPr="00F42A0D">
        <w:rPr>
          <w:rFonts w:ascii="Times New Roman" w:hAnsi="Times New Roman"/>
          <w:sz w:val="21"/>
          <w:szCs w:val="21"/>
        </w:rPr>
        <w:t xml:space="preserve">. Варто відзначити, що недосконалість вітчизняного ринку вищої освіти зумовлює необхідність державного регулювання даної сфери, </w:t>
      </w:r>
      <w:r w:rsidRPr="00F42A0D">
        <w:rPr>
          <w:rFonts w:ascii="Times New Roman" w:hAnsi="Times New Roman"/>
          <w:sz w:val="21"/>
          <w:szCs w:val="21"/>
        </w:rPr>
        <w:lastRenderedPageBreak/>
        <w:t>однак, у той же час, варто відзначити, що система управління вищою освітою в Україні занадто централізована, хоча і були зроблені окремі кроки, спрямовані на її децентралізацію.</w:t>
      </w:r>
    </w:p>
    <w:p w:rsidR="001610CA" w:rsidRPr="00F42A0D" w:rsidRDefault="001610CA" w:rsidP="001610CA">
      <w:pPr>
        <w:ind w:firstLine="709"/>
        <w:jc w:val="both"/>
        <w:rPr>
          <w:rFonts w:ascii="Times New Roman" w:hAnsi="Times New Roman"/>
          <w:sz w:val="21"/>
          <w:szCs w:val="21"/>
        </w:rPr>
      </w:pPr>
      <w:r w:rsidRPr="00F42A0D">
        <w:rPr>
          <w:rFonts w:ascii="Times New Roman" w:hAnsi="Times New Roman"/>
          <w:sz w:val="21"/>
          <w:szCs w:val="21"/>
        </w:rPr>
        <w:t>Перші зрушення у вказаному напрямі відбулися у 2005 р., коли Україною було підписано Болонську декларацію, тобто, коли відбулося фактичне приєднання України до Болонського процесу, направленого на модернізацію вищої освіти в Європі. Підписання Болонської декларації змусило вітчизняні вищі навчальні заклади активізувати свою діяльність, особливо в частині участі у різноманітних міжнародних проектах, оскільки вирішальне значення в оновленні академічних стандартів і культури українських ВНЗ має саме досвід міжнародної співпраці.</w:t>
      </w:r>
    </w:p>
    <w:p w:rsidR="001610CA" w:rsidRPr="00F42A0D" w:rsidRDefault="001610CA" w:rsidP="001610CA">
      <w:pPr>
        <w:ind w:firstLine="709"/>
        <w:jc w:val="both"/>
        <w:rPr>
          <w:rFonts w:ascii="Times New Roman" w:hAnsi="Times New Roman"/>
          <w:spacing w:val="-8"/>
          <w:sz w:val="21"/>
          <w:szCs w:val="21"/>
        </w:rPr>
      </w:pPr>
      <w:r w:rsidRPr="00F42A0D">
        <w:rPr>
          <w:rFonts w:ascii="Times New Roman" w:hAnsi="Times New Roman"/>
          <w:color w:val="000000"/>
          <w:spacing w:val="-6"/>
          <w:sz w:val="21"/>
          <w:szCs w:val="21"/>
        </w:rPr>
        <w:t>У 2008 році Міністерством освіти і науки була розпочата реалізація реформ у сфері вищої освіти. Так, уряд</w:t>
      </w:r>
      <w:r w:rsidRPr="00F42A0D">
        <w:rPr>
          <w:rFonts w:ascii="Times New Roman" w:hAnsi="Times New Roman"/>
          <w:color w:val="000000"/>
          <w:sz w:val="21"/>
          <w:szCs w:val="21"/>
        </w:rPr>
        <w:t xml:space="preserve"> України проголосив курс на створення нової моделі економічної діяльності університетів, що базується на </w:t>
      </w:r>
      <w:r w:rsidRPr="00F42A0D">
        <w:rPr>
          <w:rFonts w:ascii="Times New Roman" w:hAnsi="Times New Roman"/>
          <w:color w:val="000000"/>
          <w:spacing w:val="-8"/>
          <w:sz w:val="21"/>
          <w:szCs w:val="21"/>
        </w:rPr>
        <w:t>солідарній участі держави, бізнесових кіл і громадян; відповідності системи вищої освіти вимогам Болонської декларації.</w:t>
      </w:r>
    </w:p>
    <w:p w:rsidR="001610CA" w:rsidRPr="00F42A0D" w:rsidRDefault="001610CA" w:rsidP="001610CA">
      <w:pPr>
        <w:ind w:firstLine="709"/>
        <w:jc w:val="both"/>
        <w:rPr>
          <w:rFonts w:ascii="Times New Roman" w:hAnsi="Times New Roman"/>
          <w:sz w:val="21"/>
          <w:szCs w:val="21"/>
        </w:rPr>
      </w:pPr>
      <w:r w:rsidRPr="00F42A0D">
        <w:rPr>
          <w:rFonts w:ascii="Times New Roman" w:hAnsi="Times New Roman"/>
          <w:sz w:val="21"/>
          <w:szCs w:val="21"/>
        </w:rPr>
        <w:t>Подальше реформування вітчизняної системи вищої освіти закріпилося у Законі України «Про вищу освіту» від 01.07.2014 р. № 1556-</w:t>
      </w:r>
      <w:r w:rsidRPr="00F42A0D">
        <w:rPr>
          <w:rFonts w:ascii="Times New Roman" w:hAnsi="Times New Roman"/>
          <w:sz w:val="21"/>
          <w:szCs w:val="21"/>
          <w:lang w:val="en-US"/>
        </w:rPr>
        <w:t>V</w:t>
      </w:r>
      <w:r w:rsidRPr="00F42A0D">
        <w:rPr>
          <w:rFonts w:ascii="Times New Roman" w:hAnsi="Times New Roman"/>
          <w:sz w:val="21"/>
          <w:szCs w:val="21"/>
        </w:rPr>
        <w:t>II [</w:t>
      </w:r>
      <w:r w:rsidR="00772FFF">
        <w:rPr>
          <w:rFonts w:ascii="Times New Roman" w:hAnsi="Times New Roman"/>
          <w:sz w:val="21"/>
          <w:szCs w:val="21"/>
          <w:highlight w:val="yellow"/>
        </w:rPr>
        <w:fldChar w:fldCharType="begin"/>
      </w:r>
      <w:r w:rsidR="00772FFF">
        <w:rPr>
          <w:rFonts w:ascii="Times New Roman" w:hAnsi="Times New Roman"/>
          <w:sz w:val="21"/>
          <w:szCs w:val="21"/>
        </w:rPr>
        <w:instrText xml:space="preserve"> REF _Ref436215632 \r \h </w:instrText>
      </w:r>
      <w:r w:rsidR="00772FFF">
        <w:rPr>
          <w:rFonts w:ascii="Times New Roman" w:hAnsi="Times New Roman"/>
          <w:sz w:val="21"/>
          <w:szCs w:val="21"/>
          <w:highlight w:val="yellow"/>
        </w:rPr>
      </w:r>
      <w:r w:rsidR="00772FFF">
        <w:rPr>
          <w:rFonts w:ascii="Times New Roman" w:hAnsi="Times New Roman"/>
          <w:sz w:val="21"/>
          <w:szCs w:val="21"/>
          <w:highlight w:val="yellow"/>
        </w:rPr>
        <w:fldChar w:fldCharType="separate"/>
      </w:r>
      <w:r w:rsidR="00772FFF">
        <w:rPr>
          <w:rFonts w:ascii="Times New Roman" w:hAnsi="Times New Roman"/>
          <w:sz w:val="21"/>
          <w:szCs w:val="21"/>
        </w:rPr>
        <w:t>38</w:t>
      </w:r>
      <w:r w:rsidR="00772FFF">
        <w:rPr>
          <w:rFonts w:ascii="Times New Roman" w:hAnsi="Times New Roman"/>
          <w:sz w:val="21"/>
          <w:szCs w:val="21"/>
          <w:highlight w:val="yellow"/>
        </w:rPr>
        <w:fldChar w:fldCharType="end"/>
      </w:r>
      <w:r w:rsidRPr="00F42A0D">
        <w:rPr>
          <w:rFonts w:ascii="Times New Roman" w:hAnsi="Times New Roman"/>
          <w:sz w:val="21"/>
          <w:szCs w:val="21"/>
        </w:rPr>
        <w:t xml:space="preserve">]. Однак, у той же час, управління вищою освітою залишилося сконцентрованим в Міністерстві освіти і науки України, якому надані виключні повноваження по визначенню державної політики в галузі вищої освіти, науки, підготовки фахівців з вищою освітою, розробці програм розвитку вищої освіти, нормативів матеріально-технічного і фінансового забезпечення вищих навчальних закладів, ліцензування та акредитації тощо. </w:t>
      </w:r>
    </w:p>
    <w:p w:rsidR="001610CA" w:rsidRPr="00F42A0D" w:rsidRDefault="001610CA" w:rsidP="001610CA">
      <w:pPr>
        <w:ind w:firstLine="709"/>
        <w:jc w:val="both"/>
        <w:rPr>
          <w:rFonts w:ascii="Times New Roman" w:hAnsi="Times New Roman"/>
          <w:sz w:val="21"/>
          <w:szCs w:val="21"/>
        </w:rPr>
      </w:pPr>
      <w:r w:rsidRPr="00F42A0D">
        <w:rPr>
          <w:rFonts w:ascii="Times New Roman" w:hAnsi="Times New Roman"/>
          <w:sz w:val="21"/>
          <w:szCs w:val="21"/>
        </w:rPr>
        <w:t>Серед позитивних новацій нового законодавства про вищу освіту – поява основ системного підходу щодо забезпечення якості вищої освіти. Так, відповідно до закону, система забезпечення якості вищої освіти в Україні містить:</w:t>
      </w:r>
    </w:p>
    <w:p w:rsidR="001610CA" w:rsidRPr="00F42A0D" w:rsidRDefault="001610CA" w:rsidP="001610CA">
      <w:pPr>
        <w:pStyle w:val="ad"/>
        <w:numPr>
          <w:ilvl w:val="0"/>
          <w:numId w:val="64"/>
        </w:numPr>
        <w:tabs>
          <w:tab w:val="left" w:pos="993"/>
        </w:tabs>
        <w:ind w:left="0" w:firstLine="709"/>
        <w:jc w:val="both"/>
        <w:rPr>
          <w:rFonts w:ascii="Times New Roman" w:hAnsi="Times New Roman"/>
          <w:sz w:val="21"/>
          <w:szCs w:val="21"/>
        </w:rPr>
      </w:pPr>
      <w:r w:rsidRPr="00F42A0D">
        <w:rPr>
          <w:rFonts w:ascii="Times New Roman" w:hAnsi="Times New Roman"/>
          <w:sz w:val="21"/>
          <w:szCs w:val="21"/>
        </w:rPr>
        <w:t>систему забезпечення вищими навчальними закладами якості освітньої діяльності та якості вищої освіти (систему внутрішнього забезпечення якості);</w:t>
      </w:r>
    </w:p>
    <w:p w:rsidR="001610CA" w:rsidRPr="00F42A0D" w:rsidRDefault="001610CA" w:rsidP="001610CA">
      <w:pPr>
        <w:pStyle w:val="ad"/>
        <w:numPr>
          <w:ilvl w:val="0"/>
          <w:numId w:val="64"/>
        </w:numPr>
        <w:tabs>
          <w:tab w:val="left" w:pos="993"/>
        </w:tabs>
        <w:ind w:left="0" w:firstLine="709"/>
        <w:jc w:val="both"/>
        <w:rPr>
          <w:rFonts w:ascii="Times New Roman" w:hAnsi="Times New Roman"/>
          <w:sz w:val="21"/>
          <w:szCs w:val="21"/>
        </w:rPr>
      </w:pPr>
      <w:r w:rsidRPr="00F42A0D">
        <w:rPr>
          <w:rFonts w:ascii="Times New Roman" w:hAnsi="Times New Roman"/>
          <w:sz w:val="21"/>
          <w:szCs w:val="21"/>
        </w:rPr>
        <w:t>систему зовнішнього забезпечення якості освітньої діяльності вищих навчальних закладів та якості вищої освіти;</w:t>
      </w:r>
    </w:p>
    <w:p w:rsidR="001610CA" w:rsidRPr="00F42A0D" w:rsidRDefault="001610CA" w:rsidP="001610CA">
      <w:pPr>
        <w:pStyle w:val="ad"/>
        <w:numPr>
          <w:ilvl w:val="0"/>
          <w:numId w:val="64"/>
        </w:numPr>
        <w:tabs>
          <w:tab w:val="left" w:pos="993"/>
        </w:tabs>
        <w:ind w:left="0" w:firstLine="709"/>
        <w:jc w:val="both"/>
        <w:rPr>
          <w:rFonts w:ascii="Times New Roman" w:hAnsi="Times New Roman"/>
          <w:sz w:val="21"/>
          <w:szCs w:val="21"/>
        </w:rPr>
      </w:pPr>
      <w:r w:rsidRPr="00F42A0D">
        <w:rPr>
          <w:rFonts w:ascii="Times New Roman" w:hAnsi="Times New Roman"/>
          <w:sz w:val="21"/>
          <w:szCs w:val="21"/>
        </w:rPr>
        <w:lastRenderedPageBreak/>
        <w:t>систему забезпечення якості діяльності Національного агентства із забезпечення якості вищої освіти і незалежних установ оцінювання та забезпечення якості вищої освіти [</w:t>
      </w:r>
      <w:r w:rsidR="00772FFF">
        <w:rPr>
          <w:rFonts w:ascii="Times New Roman" w:hAnsi="Times New Roman"/>
          <w:sz w:val="21"/>
          <w:szCs w:val="21"/>
          <w:highlight w:val="yellow"/>
        </w:rPr>
        <w:fldChar w:fldCharType="begin"/>
      </w:r>
      <w:r w:rsidR="00772FFF">
        <w:rPr>
          <w:rFonts w:ascii="Times New Roman" w:hAnsi="Times New Roman"/>
          <w:sz w:val="21"/>
          <w:szCs w:val="21"/>
        </w:rPr>
        <w:instrText xml:space="preserve"> REF _Ref436215632 \r \h </w:instrText>
      </w:r>
      <w:r w:rsidR="00772FFF">
        <w:rPr>
          <w:rFonts w:ascii="Times New Roman" w:hAnsi="Times New Roman"/>
          <w:sz w:val="21"/>
          <w:szCs w:val="21"/>
          <w:highlight w:val="yellow"/>
        </w:rPr>
      </w:r>
      <w:r w:rsidR="00772FFF">
        <w:rPr>
          <w:rFonts w:ascii="Times New Roman" w:hAnsi="Times New Roman"/>
          <w:sz w:val="21"/>
          <w:szCs w:val="21"/>
          <w:highlight w:val="yellow"/>
        </w:rPr>
        <w:fldChar w:fldCharType="separate"/>
      </w:r>
      <w:r w:rsidR="00772FFF">
        <w:rPr>
          <w:rFonts w:ascii="Times New Roman" w:hAnsi="Times New Roman"/>
          <w:sz w:val="21"/>
          <w:szCs w:val="21"/>
        </w:rPr>
        <w:t>38</w:t>
      </w:r>
      <w:r w:rsidR="00772FFF">
        <w:rPr>
          <w:rFonts w:ascii="Times New Roman" w:hAnsi="Times New Roman"/>
          <w:sz w:val="21"/>
          <w:szCs w:val="21"/>
          <w:highlight w:val="yellow"/>
        </w:rPr>
        <w:fldChar w:fldCharType="end"/>
      </w:r>
      <w:r w:rsidRPr="00F42A0D">
        <w:rPr>
          <w:rFonts w:ascii="Times New Roman" w:hAnsi="Times New Roman"/>
          <w:sz w:val="21"/>
          <w:szCs w:val="21"/>
        </w:rPr>
        <w:t>].</w:t>
      </w:r>
    </w:p>
    <w:p w:rsidR="001610CA" w:rsidRPr="00F42A0D" w:rsidRDefault="001610CA" w:rsidP="001610CA">
      <w:pPr>
        <w:ind w:firstLine="709"/>
        <w:jc w:val="both"/>
        <w:rPr>
          <w:rFonts w:ascii="Times New Roman" w:hAnsi="Times New Roman"/>
          <w:sz w:val="21"/>
          <w:szCs w:val="21"/>
        </w:rPr>
      </w:pPr>
      <w:r w:rsidRPr="00F42A0D">
        <w:rPr>
          <w:rFonts w:ascii="Times New Roman" w:hAnsi="Times New Roman"/>
          <w:sz w:val="21"/>
          <w:szCs w:val="21"/>
        </w:rPr>
        <w:t>Ще однією новацією Закону України «Про вищу освіту» стало нормативне затвердження створення Національного агентства із забезпечення якості вищої освіти та виділення в його складі Комітету з питань етики для розгляду питань академічного плагіату та Апеляційного комітету для розгляду звернень, заяв і скарг щодо діяльності та рішень спеціалізованих вчених рад.</w:t>
      </w:r>
    </w:p>
    <w:p w:rsidR="001610CA" w:rsidRPr="00F42A0D" w:rsidRDefault="001610CA" w:rsidP="001610CA">
      <w:pPr>
        <w:ind w:firstLine="709"/>
        <w:jc w:val="both"/>
        <w:rPr>
          <w:rFonts w:ascii="Times New Roman" w:hAnsi="Times New Roman"/>
          <w:sz w:val="21"/>
          <w:szCs w:val="21"/>
        </w:rPr>
      </w:pPr>
      <w:r w:rsidRPr="00F42A0D">
        <w:rPr>
          <w:rFonts w:ascii="Times New Roman" w:hAnsi="Times New Roman"/>
          <w:sz w:val="21"/>
          <w:szCs w:val="21"/>
        </w:rPr>
        <w:t>Таким чином, наразі зроблена і законодавчо закріплена спроба створення повної і послідовної системи забезпечення якості вищої освіти в Україні. В той же час, процес створення Національного агентства із забезпечення якості вищої освіти наразі лише розпочинається, а, отже, можна припустити, що навіть за найбільш сприятливих обставин відчутні результати діяльності вказаного органу державного регулювання стануть помітні лише в середньостроковій перспективі. Так, наразі лише розпочинається процес розробки процедур і механізму моніторингу якості вищої освіти. В цьому контексті доцільно відзначити, що при розгляді даного питання, особливо в частині розробки процедур моніторингу якості в системі її внутрішнього забезпечення, варто відійти від усталеної практики, коли процедури моніторингу якості виконувалися вищими навчальними закладами на основі централізовано встановлених критеріїв, що зовсім не враховували різнотипності навчальних закладів.</w:t>
      </w:r>
    </w:p>
    <w:p w:rsidR="001610CA" w:rsidRPr="00F42A0D" w:rsidRDefault="001610CA" w:rsidP="001610CA">
      <w:pPr>
        <w:ind w:firstLine="709"/>
        <w:jc w:val="both"/>
        <w:rPr>
          <w:rFonts w:ascii="Times New Roman" w:hAnsi="Times New Roman"/>
          <w:sz w:val="21"/>
          <w:szCs w:val="21"/>
        </w:rPr>
      </w:pPr>
      <w:r w:rsidRPr="00F42A0D">
        <w:rPr>
          <w:rFonts w:ascii="Times New Roman" w:hAnsi="Times New Roman"/>
          <w:sz w:val="21"/>
          <w:szCs w:val="21"/>
        </w:rPr>
        <w:t xml:space="preserve">Ще одним важливим моментом в системі забезпечення вітчизняної якості вищої освіти є необхідність зниження рівня бюрократизації. Проте зміна законодавства в системі державного регулювання вищої освіти практично жодним чином не вплинула на цю ситуацію, а навіть навпаки, нормативно закріпила додаткові бюрократичні вимоги щодо звітності викладачів, керівництва ВНЗ тощо. Таким чином, на сьогодні діяльність викладацького складу вищих навчальних закладів переважним чином полягає у звітування, внаслідок чого створюється ситуація, коли звіти про результати стають важливішими самих результатів, що, звісно ж, абсолютно не створює мотивації до підвищення якості освіти. </w:t>
      </w:r>
    </w:p>
    <w:p w:rsidR="001610CA" w:rsidRPr="00F42A0D" w:rsidRDefault="001610CA" w:rsidP="001610CA">
      <w:pPr>
        <w:ind w:firstLine="709"/>
        <w:jc w:val="both"/>
        <w:rPr>
          <w:rFonts w:ascii="Times New Roman" w:hAnsi="Times New Roman"/>
          <w:sz w:val="21"/>
          <w:szCs w:val="21"/>
        </w:rPr>
      </w:pPr>
      <w:r w:rsidRPr="00F42A0D">
        <w:rPr>
          <w:rFonts w:ascii="Times New Roman" w:hAnsi="Times New Roman"/>
          <w:sz w:val="21"/>
          <w:szCs w:val="21"/>
        </w:rPr>
        <w:t xml:space="preserve">Проблемним питанням в системі забезпечення якості та доступності вищої освіти в Україні залишається і відсутність процедур планування стратегічного розвитку вищих навчальних </w:t>
      </w:r>
      <w:r w:rsidRPr="00F42A0D">
        <w:rPr>
          <w:rFonts w:ascii="Times New Roman" w:hAnsi="Times New Roman"/>
          <w:sz w:val="21"/>
          <w:szCs w:val="21"/>
        </w:rPr>
        <w:lastRenderedPageBreak/>
        <w:t>закладів, затвердження на державному рівні змісту навчальних програм, а також фіксований перелік предметів та</w:t>
      </w:r>
      <w:r w:rsidR="003658FB">
        <w:rPr>
          <w:rFonts w:ascii="Times New Roman" w:hAnsi="Times New Roman"/>
          <w:sz w:val="21"/>
          <w:szCs w:val="21"/>
        </w:rPr>
        <w:t xml:space="preserve"> годин їх викладання</w:t>
      </w:r>
      <w:r w:rsidRPr="00F42A0D">
        <w:rPr>
          <w:rFonts w:ascii="Times New Roman" w:hAnsi="Times New Roman"/>
          <w:sz w:val="21"/>
          <w:szCs w:val="21"/>
        </w:rPr>
        <w:t>. Такий підхід, по-перше, не дозволяє вищим навчальним закладам (їх керівництву, викладацьким колективам тощо) автономно підходити до навчання студентів – вводити окремі навчальні предмети, збільшувати кількість годин викладання тих чи інших навчальних програм, в залежності від бачення специфіки спеціальності, появи нових теоретичних чи практичних знань (гіпотез, теорій, наукових шкіл) з питань, що розглядаються у навчальній програмі тощо. Тобто, знову ж таки не створюється мотивація вищих навчальних закладів та, відповідно, їх працівників до розвитку, самовдосконалення, постійного оновлення навчальних курсів та програм, а це, в свою чергу, позначається на якості вітчизняної вищої освіти.</w:t>
      </w:r>
    </w:p>
    <w:p w:rsidR="001610CA" w:rsidRPr="00F42A0D" w:rsidRDefault="001610CA" w:rsidP="001610CA">
      <w:pPr>
        <w:ind w:firstLine="709"/>
        <w:jc w:val="both"/>
        <w:rPr>
          <w:rFonts w:ascii="Times New Roman" w:hAnsi="Times New Roman"/>
          <w:sz w:val="21"/>
          <w:szCs w:val="21"/>
        </w:rPr>
      </w:pPr>
      <w:r w:rsidRPr="00F42A0D">
        <w:rPr>
          <w:rFonts w:ascii="Times New Roman" w:hAnsi="Times New Roman"/>
          <w:sz w:val="21"/>
          <w:szCs w:val="21"/>
        </w:rPr>
        <w:t>В цьому ж контексті доцільно відзначити, що не лишнім є і вивчення та адаптація до вітчизняних реалій досвіду провідних вищих навчальних закладів світу, де студенти мають право самостійно обирати ті навчальні курси та тих викладачів, які їм до душі, тобто які можуть, на їхню думку, максимально ефективно підготувати їх до майбутньої професійної діяльності. Надання певної свободи студентам дозволить їм більш відповідально ставитися до свого навчання та до опанування навиків майбутньої професії, а також дасть їм можливість вибору між викладачами, створивши, тим самим, додаткову мотивацію саме для викладацького складу вищих навчальних закладів.</w:t>
      </w:r>
    </w:p>
    <w:p w:rsidR="001610CA" w:rsidRPr="00F42A0D" w:rsidRDefault="001610CA" w:rsidP="001610CA">
      <w:pPr>
        <w:ind w:firstLine="709"/>
        <w:jc w:val="both"/>
        <w:rPr>
          <w:rFonts w:ascii="Times New Roman" w:hAnsi="Times New Roman"/>
          <w:sz w:val="21"/>
          <w:szCs w:val="21"/>
        </w:rPr>
      </w:pPr>
      <w:r w:rsidRPr="00F42A0D">
        <w:rPr>
          <w:rFonts w:ascii="Times New Roman" w:hAnsi="Times New Roman"/>
          <w:sz w:val="21"/>
          <w:szCs w:val="21"/>
        </w:rPr>
        <w:t xml:space="preserve">Таким чином, можемо говорити про те, що змістом трансформації державного регулювання якості вищої освіти має стати, в першу чергу, відмова від надання вищим навчальним закладам директив для виконання рішень виконавчого органу, оскільки така практика, як свідчить сьогодення, абсолютно не виправдовує себе. Тобто, необхідним є надання більшої автономії вищим навчальним закладам, у тому числі і фінансової. На сьогодні практично не існує зв’язку між продуктивністю діяльності вищого навчального закладу та обсягами отриманого ним державного фінансування, а, отже, такі навчальні заклади абсолютно не мотивовані до забезпечення високої ефективності діяльності, активного розвитку тощо. Крім того, принцип бюджетного фінансування в залежності від кількості студентів сприяє лише активній роботі вищих навчальних закладів щодо залучення </w:t>
      </w:r>
      <w:r w:rsidRPr="00F42A0D">
        <w:rPr>
          <w:rFonts w:ascii="Times New Roman" w:hAnsi="Times New Roman"/>
          <w:sz w:val="21"/>
          <w:szCs w:val="21"/>
        </w:rPr>
        <w:lastRenderedPageBreak/>
        <w:t>студентів, однак абсолютно не створює умов для того, аби забезпечити високий рівень освітніх послуг, що їм надаються. Така ситуація однозначно знижує якість вищої освіти в Україні, а, отже, потребує перегляду сам принцип фінансування вищих навчальних закладів у державі.</w:t>
      </w:r>
    </w:p>
    <w:p w:rsidR="001610CA" w:rsidRPr="00F42A0D" w:rsidRDefault="001610CA" w:rsidP="001610CA">
      <w:pPr>
        <w:ind w:firstLine="709"/>
        <w:jc w:val="both"/>
        <w:rPr>
          <w:rFonts w:ascii="Times New Roman" w:hAnsi="Times New Roman"/>
          <w:color w:val="000000"/>
          <w:sz w:val="21"/>
          <w:szCs w:val="21"/>
        </w:rPr>
      </w:pPr>
      <w:r w:rsidRPr="00F42A0D">
        <w:rPr>
          <w:rFonts w:ascii="Times New Roman" w:hAnsi="Times New Roman"/>
          <w:sz w:val="21"/>
          <w:szCs w:val="21"/>
        </w:rPr>
        <w:t>Одним з найбільш важливих кроків у модернізації вищої освіти в Україні має стати надання ширшої автономії вищим навчальним закладам.</w:t>
      </w:r>
      <w:r w:rsidRPr="00F42A0D">
        <w:rPr>
          <w:rFonts w:ascii="Times New Roman" w:hAnsi="Times New Roman"/>
          <w:color w:val="000000"/>
          <w:sz w:val="21"/>
          <w:szCs w:val="21"/>
        </w:rPr>
        <w:t xml:space="preserve"> А</w:t>
      </w:r>
      <w:r w:rsidRPr="00F42A0D">
        <w:rPr>
          <w:rStyle w:val="rvts0"/>
          <w:rFonts w:ascii="Times New Roman" w:hAnsi="Times New Roman"/>
          <w:sz w:val="21"/>
          <w:szCs w:val="21"/>
        </w:rPr>
        <w:t>втономія ВНЗ – самостійність, незалежність і відповідальність вищого навчального закладу у прийнятті рішень стосовно розвитку академічних свобод, організації освітнього процесу, наукових досліджень, внутрішнього управління, економічної та іншої діяльності, самостійного добору і розстановки кадрів [</w:t>
      </w:r>
      <w:r w:rsidR="00772FFF">
        <w:rPr>
          <w:rStyle w:val="rvts0"/>
          <w:rFonts w:ascii="Times New Roman" w:hAnsi="Times New Roman"/>
          <w:sz w:val="21"/>
          <w:szCs w:val="21"/>
          <w:highlight w:val="yellow"/>
        </w:rPr>
        <w:fldChar w:fldCharType="begin"/>
      </w:r>
      <w:r w:rsidR="00772FFF">
        <w:rPr>
          <w:rStyle w:val="rvts0"/>
          <w:rFonts w:ascii="Times New Roman" w:hAnsi="Times New Roman"/>
          <w:sz w:val="21"/>
          <w:szCs w:val="21"/>
        </w:rPr>
        <w:instrText xml:space="preserve"> REF _Ref436215632 \r \h </w:instrText>
      </w:r>
      <w:r w:rsidR="00772FFF">
        <w:rPr>
          <w:rStyle w:val="rvts0"/>
          <w:rFonts w:ascii="Times New Roman" w:hAnsi="Times New Roman"/>
          <w:sz w:val="21"/>
          <w:szCs w:val="21"/>
          <w:highlight w:val="yellow"/>
        </w:rPr>
      </w:r>
      <w:r w:rsidR="00772FFF">
        <w:rPr>
          <w:rStyle w:val="rvts0"/>
          <w:rFonts w:ascii="Times New Roman" w:hAnsi="Times New Roman"/>
          <w:sz w:val="21"/>
          <w:szCs w:val="21"/>
          <w:highlight w:val="yellow"/>
        </w:rPr>
        <w:fldChar w:fldCharType="separate"/>
      </w:r>
      <w:r w:rsidR="00772FFF">
        <w:rPr>
          <w:rStyle w:val="rvts0"/>
          <w:rFonts w:ascii="Times New Roman" w:hAnsi="Times New Roman"/>
          <w:sz w:val="21"/>
          <w:szCs w:val="21"/>
        </w:rPr>
        <w:t>38</w:t>
      </w:r>
      <w:r w:rsidR="00772FFF">
        <w:rPr>
          <w:rStyle w:val="rvts0"/>
          <w:rFonts w:ascii="Times New Roman" w:hAnsi="Times New Roman"/>
          <w:sz w:val="21"/>
          <w:szCs w:val="21"/>
          <w:highlight w:val="yellow"/>
        </w:rPr>
        <w:fldChar w:fldCharType="end"/>
      </w:r>
      <w:r w:rsidRPr="00F42A0D">
        <w:rPr>
          <w:rStyle w:val="rvts0"/>
          <w:rFonts w:ascii="Times New Roman" w:hAnsi="Times New Roman"/>
          <w:sz w:val="21"/>
          <w:szCs w:val="21"/>
        </w:rPr>
        <w:t>].</w:t>
      </w:r>
      <w:r w:rsidRPr="00F42A0D">
        <w:rPr>
          <w:rFonts w:ascii="Times New Roman" w:hAnsi="Times New Roman"/>
          <w:color w:val="000000"/>
          <w:sz w:val="21"/>
          <w:szCs w:val="21"/>
        </w:rPr>
        <w:t xml:space="preserve"> </w:t>
      </w:r>
      <w:r w:rsidRPr="00F42A0D">
        <w:rPr>
          <w:rFonts w:ascii="Times New Roman" w:hAnsi="Times New Roman"/>
          <w:sz w:val="21"/>
          <w:szCs w:val="21"/>
        </w:rPr>
        <w:t>Ч</w:t>
      </w:r>
      <w:r w:rsidRPr="00F42A0D">
        <w:rPr>
          <w:rFonts w:ascii="Times New Roman" w:eastAsia="Times New Roman" w:hAnsi="Times New Roman"/>
          <w:sz w:val="21"/>
          <w:szCs w:val="21"/>
        </w:rPr>
        <w:t>инне законодавство певною мірою забезпечує майнову самостій</w:t>
      </w:r>
      <w:r w:rsidRPr="00F42A0D">
        <w:rPr>
          <w:rFonts w:ascii="Times New Roman" w:hAnsi="Times New Roman"/>
          <w:sz w:val="21"/>
          <w:szCs w:val="21"/>
        </w:rPr>
        <w:t>ність вищих навчальних закладів, о</w:t>
      </w:r>
      <w:r w:rsidRPr="00F42A0D">
        <w:rPr>
          <w:rFonts w:ascii="Times New Roman" w:eastAsia="Times New Roman" w:hAnsi="Times New Roman"/>
          <w:sz w:val="21"/>
          <w:szCs w:val="21"/>
        </w:rPr>
        <w:t>днак централізований контроль ресурсів ВНЗ за сучасних умов функціонування передбачає обмеження у розпорядженні та використанні активів.</w:t>
      </w:r>
      <w:r w:rsidRPr="00F42A0D">
        <w:rPr>
          <w:rFonts w:ascii="Times New Roman" w:hAnsi="Times New Roman"/>
          <w:color w:val="000000"/>
          <w:sz w:val="21"/>
          <w:szCs w:val="21"/>
        </w:rPr>
        <w:t xml:space="preserve"> </w:t>
      </w:r>
      <w:r w:rsidRPr="00F42A0D">
        <w:rPr>
          <w:rFonts w:ascii="Times New Roman" w:eastAsia="Times New Roman" w:hAnsi="Times New Roman"/>
          <w:sz w:val="21"/>
          <w:szCs w:val="21"/>
        </w:rPr>
        <w:t xml:space="preserve">Так, певні обмеження у використанні коштів </w:t>
      </w:r>
      <w:r w:rsidRPr="00F42A0D">
        <w:rPr>
          <w:rFonts w:ascii="Times New Roman" w:hAnsi="Times New Roman"/>
          <w:sz w:val="21"/>
          <w:szCs w:val="21"/>
        </w:rPr>
        <w:t>вищих навчальних закладів</w:t>
      </w:r>
      <w:r w:rsidRPr="00F42A0D">
        <w:rPr>
          <w:rFonts w:ascii="Times New Roman" w:eastAsia="Times New Roman" w:hAnsi="Times New Roman"/>
          <w:sz w:val="21"/>
          <w:szCs w:val="21"/>
        </w:rPr>
        <w:t xml:space="preserve"> обумовлюються їх статусом бюджетних установ, що визначає використання коштів згідно з кошторисами, які затверджуються вищою установою.</w:t>
      </w:r>
    </w:p>
    <w:p w:rsidR="001610CA" w:rsidRPr="00F42A0D" w:rsidRDefault="001610CA" w:rsidP="001610CA">
      <w:pPr>
        <w:ind w:firstLine="709"/>
        <w:jc w:val="both"/>
        <w:rPr>
          <w:rFonts w:ascii="Times New Roman" w:hAnsi="Times New Roman"/>
          <w:color w:val="000000"/>
          <w:spacing w:val="-6"/>
          <w:sz w:val="21"/>
          <w:szCs w:val="21"/>
        </w:rPr>
      </w:pPr>
      <w:r w:rsidRPr="00F42A0D">
        <w:rPr>
          <w:rFonts w:ascii="Times New Roman" w:eastAsia="Times New Roman" w:hAnsi="Times New Roman"/>
          <w:sz w:val="21"/>
          <w:szCs w:val="21"/>
        </w:rPr>
        <w:t>Наразі кошторис доходів і видатків вищого навчального закладу визначає загальний обсяг, цільове спрямування та поквартальний розподіл усіх надходжень, що виділяються на його утримання, в тому числі і коштів, отриманих навчальним закла</w:t>
      </w:r>
      <w:r w:rsidR="003658FB">
        <w:rPr>
          <w:rFonts w:ascii="Times New Roman" w:eastAsia="Times New Roman" w:hAnsi="Times New Roman"/>
          <w:sz w:val="21"/>
          <w:szCs w:val="21"/>
        </w:rPr>
        <w:t>дом від надання платних послуг</w:t>
      </w:r>
      <w:r w:rsidRPr="00F42A0D">
        <w:rPr>
          <w:rFonts w:ascii="Times New Roman" w:eastAsia="Times New Roman" w:hAnsi="Times New Roman"/>
          <w:sz w:val="21"/>
          <w:szCs w:val="21"/>
        </w:rPr>
        <w:t xml:space="preserve">. Здійснення видатків, не передбачених кошторисом та перевищення їх фактичних показників понад планові не допускається. Поділяємо думку українських фахівців про те, що держава не повинна визначати напрямки використання коштів, залучених з додаткових джерел, оскільки така процедура суттєво знижує мотивацію керівництва </w:t>
      </w:r>
      <w:r w:rsidRPr="00F42A0D">
        <w:rPr>
          <w:rFonts w:ascii="Times New Roman" w:hAnsi="Times New Roman"/>
          <w:sz w:val="21"/>
          <w:szCs w:val="21"/>
        </w:rPr>
        <w:t>вищого навчального закладу</w:t>
      </w:r>
      <w:r w:rsidRPr="00F42A0D">
        <w:rPr>
          <w:rFonts w:ascii="Times New Roman" w:eastAsia="Times New Roman" w:hAnsi="Times New Roman"/>
          <w:sz w:val="21"/>
          <w:szCs w:val="21"/>
        </w:rPr>
        <w:t xml:space="preserve"> щодо підвищення якості послуг при одночасному зниженні витрат, створюючи перешкоди в гнучкому реагуванні на різноманітні ситуації, що виникають в ході здійснення господар</w:t>
      </w:r>
      <w:r w:rsidRPr="00F42A0D">
        <w:rPr>
          <w:rFonts w:ascii="Times New Roman" w:hAnsi="Times New Roman"/>
          <w:sz w:val="21"/>
          <w:szCs w:val="21"/>
        </w:rPr>
        <w:t>ської діяльності</w:t>
      </w:r>
      <w:r w:rsidRPr="00F42A0D">
        <w:rPr>
          <w:rFonts w:ascii="Times New Roman" w:eastAsia="Times New Roman" w:hAnsi="Times New Roman"/>
          <w:sz w:val="21"/>
          <w:szCs w:val="21"/>
        </w:rPr>
        <w:t xml:space="preserve">. Потрібно надати навчальним закладам більше самостійності у розпорядженні фінансовими ресурсами, зокрема надати право установам системи освіти, які отримують бюджетні кошти, самостійно розробляти і затверджувати кошторис </w:t>
      </w:r>
      <w:r w:rsidRPr="00F42A0D">
        <w:rPr>
          <w:rFonts w:ascii="Times New Roman" w:eastAsia="Times New Roman" w:hAnsi="Times New Roman"/>
          <w:spacing w:val="-6"/>
          <w:sz w:val="21"/>
          <w:szCs w:val="21"/>
        </w:rPr>
        <w:t>бюджетних коштів у межах виділених бюджетних асигнувань, вносити до ньо</w:t>
      </w:r>
      <w:r w:rsidR="003658FB">
        <w:rPr>
          <w:rFonts w:ascii="Times New Roman" w:eastAsia="Times New Roman" w:hAnsi="Times New Roman"/>
          <w:spacing w:val="-6"/>
          <w:sz w:val="21"/>
          <w:szCs w:val="21"/>
        </w:rPr>
        <w:t>го необхідні зміни і уточнення</w:t>
      </w:r>
      <w:r w:rsidRPr="00F42A0D">
        <w:rPr>
          <w:rFonts w:ascii="Times New Roman" w:eastAsia="Times New Roman" w:hAnsi="Times New Roman"/>
          <w:spacing w:val="-6"/>
          <w:sz w:val="21"/>
          <w:szCs w:val="21"/>
        </w:rPr>
        <w:t>.</w:t>
      </w:r>
    </w:p>
    <w:p w:rsidR="001610CA" w:rsidRPr="002A5FB4" w:rsidRDefault="001610CA" w:rsidP="001610CA">
      <w:pPr>
        <w:ind w:firstLine="709"/>
        <w:jc w:val="both"/>
        <w:rPr>
          <w:rFonts w:ascii="Times New Roman" w:eastAsia="Times New Roman" w:hAnsi="Times New Roman"/>
          <w:sz w:val="21"/>
          <w:szCs w:val="21"/>
        </w:rPr>
      </w:pPr>
      <w:r w:rsidRPr="002A5FB4">
        <w:rPr>
          <w:rFonts w:ascii="Times New Roman" w:eastAsia="Times New Roman" w:hAnsi="Times New Roman"/>
          <w:sz w:val="21"/>
          <w:szCs w:val="21"/>
        </w:rPr>
        <w:lastRenderedPageBreak/>
        <w:t>Зазначимо, що даний підхід спрямований на забезпечення певного рівня державної підтримки ВНЗ незалежно від результатів діяльності. Істотним його недоліком є те, що сформовані в базовому періоді положення з позитивними чи негативними аспектами переносяться на плановий період шляхом математичної екстраполяції, часто не враховуючи об’єктивну величину фінансових надходжень, яку потребує навчальний заклад в поточному році. Останнім часом кошторисне фінансування справедливо піддається критиці як таке, що не сприяє економії у використанні бюджетних коштів та характеризується низьким коефіцієнтом віддачі державних інвестицій в освіту.</w:t>
      </w:r>
    </w:p>
    <w:p w:rsidR="001610CA" w:rsidRPr="002A5FB4" w:rsidRDefault="001610CA" w:rsidP="00B84813">
      <w:pPr>
        <w:spacing w:line="247" w:lineRule="auto"/>
        <w:ind w:firstLine="709"/>
        <w:jc w:val="both"/>
        <w:rPr>
          <w:rFonts w:ascii="Times New Roman" w:hAnsi="Times New Roman"/>
          <w:sz w:val="21"/>
          <w:szCs w:val="21"/>
        </w:rPr>
      </w:pPr>
      <w:r w:rsidRPr="002A5FB4">
        <w:rPr>
          <w:rFonts w:ascii="Times New Roman" w:hAnsi="Times New Roman"/>
          <w:sz w:val="21"/>
          <w:szCs w:val="21"/>
        </w:rPr>
        <w:t>В сучасних умовах функціонування вітчизняних ВНЗ інноваційний напрям економічного розвитку забезпечується пошуком додаткових джерел фінансових надходжень за умов використання наявної матеріально-технічної бази та кадрового потенціалу. Ефективним у забезпеченні такої діяльності є створення науково-навчальних виробничих центрів (ННВЦ), які очолюються працівниками з числа професорсько-викладацького складу та передбачає залучення активної та ініціативної частини студентства. Досвід створення та діяльності ННВЦ у складі українських вищих навчальних закладів свідчить про позитивний вплив цих підрозділів на якість практичної підготовки студентів та підвищення рівня співпраці з підприємствами та організаціями. Діяльність таких ННВЦ покликана вирішити проблеми фахової підготовки майбутніх спеціалістів, проблему їх соціальної адаптації та сприяти покращанню фінансового стану навчального закладу. Наприклад, студенти економічних спеціальностей набувають практичних навиків професійної діяльності, досвіду практичної роботи із законодавством, інформаційними технологіями, документального відображення господарських операцій та процесів, планування та прогнозування економічних процесів, вирішення проблемних питань ведення бізнесу та оподаткування суб’єктів господарювання. Це сприяє підвищенню конкурентоздатності випускника, формує позитивний імідж навчального закладу. Висококваліфіковані та адаптовані до реалій сьогодення випускники користуються попитом на ринку праці, що є своєрідною рекламою для ВНЗ.</w:t>
      </w:r>
    </w:p>
    <w:p w:rsidR="001610CA" w:rsidRPr="002A5FB4" w:rsidRDefault="001610CA" w:rsidP="00B84813">
      <w:pPr>
        <w:spacing w:line="247" w:lineRule="auto"/>
        <w:ind w:firstLine="709"/>
        <w:jc w:val="both"/>
        <w:rPr>
          <w:rFonts w:ascii="Times New Roman" w:hAnsi="Times New Roman"/>
          <w:sz w:val="21"/>
          <w:szCs w:val="21"/>
        </w:rPr>
      </w:pPr>
      <w:r w:rsidRPr="002A5FB4">
        <w:rPr>
          <w:rFonts w:ascii="Times New Roman" w:hAnsi="Times New Roman"/>
          <w:sz w:val="21"/>
          <w:szCs w:val="21"/>
        </w:rPr>
        <w:lastRenderedPageBreak/>
        <w:t>За сучасних умов функціонування якість освітніх послуг є визначальним чинником конкурентоспроможності закладу освіти. Забезпечення конкуренто-спроможності ВНЗ можливе за умови об’єктивного оцінювання результатів діяльності на основі оперативної своєчасної та достовірної інформації, що є підставою для вироблення ефективних управлінських рішень.</w:t>
      </w:r>
    </w:p>
    <w:p w:rsidR="001610CA" w:rsidRPr="002A5FB4" w:rsidRDefault="001610CA" w:rsidP="00B84813">
      <w:pPr>
        <w:spacing w:line="247" w:lineRule="auto"/>
        <w:ind w:firstLine="709"/>
        <w:jc w:val="both"/>
        <w:rPr>
          <w:rFonts w:ascii="Times New Roman" w:hAnsi="Times New Roman"/>
          <w:sz w:val="21"/>
          <w:szCs w:val="21"/>
        </w:rPr>
      </w:pPr>
      <w:r w:rsidRPr="002A5FB4">
        <w:rPr>
          <w:rFonts w:ascii="Times New Roman" w:eastAsia="Times New Roman" w:hAnsi="Times New Roman"/>
          <w:sz w:val="21"/>
          <w:szCs w:val="21"/>
        </w:rPr>
        <w:t xml:space="preserve">Інший підхід до фінансування пов’язується з виконанням вищими навчальними закладами якісних показників, спрямованих на задоволення суспільних потреб. За загальноприйнятою науковою думкою, державне замовлення на підготовку спеціалістів має формуватись відповідно до пріоритетів державного розвитку економіки (регіону), що впливає на оптимізацію рівня зайнятості, забезпечує подолання диспропорції на ринку праці, підвищує рівень підготовки фахівців. Державна підтримка за таких умов забезпечується незалежно від підпорядкування, адміністративного розташування чи джерела фінансування (державний чи місцеві бюджети) навчального закладу. </w:t>
      </w:r>
    </w:p>
    <w:p w:rsidR="001610CA" w:rsidRPr="002A5FB4" w:rsidRDefault="001610CA" w:rsidP="00B84813">
      <w:pPr>
        <w:spacing w:line="247" w:lineRule="auto"/>
        <w:ind w:firstLine="709"/>
        <w:jc w:val="both"/>
        <w:rPr>
          <w:rFonts w:ascii="Times New Roman" w:hAnsi="Times New Roman"/>
          <w:sz w:val="21"/>
          <w:szCs w:val="21"/>
        </w:rPr>
      </w:pPr>
      <w:r w:rsidRPr="002A5FB4">
        <w:rPr>
          <w:rFonts w:ascii="Times New Roman" w:eastAsia="Times New Roman" w:hAnsi="Times New Roman"/>
          <w:sz w:val="21"/>
          <w:szCs w:val="21"/>
        </w:rPr>
        <w:t>Розглядаючи перспективу переходу від кошторисної системи фінансування освіти до нормативного фінансування, Бугай</w:t>
      </w:r>
      <w:r w:rsidRPr="002A5FB4">
        <w:rPr>
          <w:rFonts w:ascii="Times New Roman" w:eastAsia="Times New Roman" w:hAnsi="Times New Roman"/>
          <w:sz w:val="21"/>
          <w:szCs w:val="21"/>
          <w:lang w:val="en-US"/>
        </w:rPr>
        <w:t> </w:t>
      </w:r>
      <w:r w:rsidRPr="002A5FB4">
        <w:rPr>
          <w:rFonts w:ascii="Times New Roman" w:eastAsia="Times New Roman" w:hAnsi="Times New Roman"/>
          <w:sz w:val="21"/>
          <w:szCs w:val="21"/>
        </w:rPr>
        <w:t>І.</w:t>
      </w:r>
      <w:r w:rsidRPr="002A5FB4">
        <w:rPr>
          <w:rFonts w:ascii="Times New Roman" w:hAnsi="Times New Roman"/>
          <w:sz w:val="21"/>
          <w:szCs w:val="21"/>
        </w:rPr>
        <w:t> </w:t>
      </w:r>
      <w:r w:rsidRPr="002A5FB4">
        <w:rPr>
          <w:rFonts w:ascii="Times New Roman" w:eastAsia="Times New Roman" w:hAnsi="Times New Roman"/>
          <w:sz w:val="21"/>
          <w:szCs w:val="21"/>
        </w:rPr>
        <w:t>В. зазначає, що таке фінансування, як спосіб оптимізації діяльності системи освіти, має активізувати освітні заклади до підвищення ефективності використання бюджетних коштів, є елементом розвитку конкуренції між освітніми закладами, забезпечує деякий гарантований рівень фінансування одиничного об’єкта, виходячи з установлених параметрів його функціонування, і задоволення обґрунтованої потреби об’єкта у фінансових ресурсах, при якому цей об’єкт нормально функціонує, тобто вирішує покладені на нього завдання [</w:t>
      </w:r>
      <w:r w:rsidR="00772FFF">
        <w:rPr>
          <w:rFonts w:ascii="Times New Roman" w:hAnsi="Times New Roman"/>
          <w:sz w:val="21"/>
          <w:szCs w:val="21"/>
          <w:highlight w:val="yellow"/>
        </w:rPr>
        <w:fldChar w:fldCharType="begin"/>
      </w:r>
      <w:r w:rsidR="00772FFF">
        <w:rPr>
          <w:rFonts w:ascii="Times New Roman" w:eastAsia="Times New Roman" w:hAnsi="Times New Roman"/>
          <w:sz w:val="21"/>
          <w:szCs w:val="21"/>
        </w:rPr>
        <w:instrText xml:space="preserve"> REF _Ref436215751 \r \h </w:instrText>
      </w:r>
      <w:r w:rsidR="00772FFF">
        <w:rPr>
          <w:rFonts w:ascii="Times New Roman" w:hAnsi="Times New Roman"/>
          <w:sz w:val="21"/>
          <w:szCs w:val="21"/>
          <w:highlight w:val="yellow"/>
        </w:rPr>
      </w:r>
      <w:r w:rsidR="00772FFF">
        <w:rPr>
          <w:rFonts w:ascii="Times New Roman" w:hAnsi="Times New Roman"/>
          <w:sz w:val="21"/>
          <w:szCs w:val="21"/>
          <w:highlight w:val="yellow"/>
        </w:rPr>
        <w:fldChar w:fldCharType="separate"/>
      </w:r>
      <w:r w:rsidR="00772FFF">
        <w:rPr>
          <w:rFonts w:ascii="Times New Roman" w:eastAsia="Times New Roman" w:hAnsi="Times New Roman"/>
          <w:sz w:val="21"/>
          <w:szCs w:val="21"/>
        </w:rPr>
        <w:t>4</w:t>
      </w:r>
      <w:r w:rsidR="00772FFF">
        <w:rPr>
          <w:rFonts w:ascii="Times New Roman" w:hAnsi="Times New Roman"/>
          <w:sz w:val="21"/>
          <w:szCs w:val="21"/>
          <w:highlight w:val="yellow"/>
        </w:rPr>
        <w:fldChar w:fldCharType="end"/>
      </w:r>
      <w:r w:rsidRPr="002A5FB4">
        <w:rPr>
          <w:rFonts w:ascii="Times New Roman" w:eastAsia="Times New Roman" w:hAnsi="Times New Roman"/>
          <w:sz w:val="21"/>
          <w:szCs w:val="21"/>
        </w:rPr>
        <w:t xml:space="preserve">, с. 49]. </w:t>
      </w:r>
    </w:p>
    <w:p w:rsidR="001610CA" w:rsidRPr="002A5FB4" w:rsidRDefault="001610CA" w:rsidP="00B84813">
      <w:pPr>
        <w:spacing w:line="247" w:lineRule="auto"/>
        <w:ind w:firstLine="709"/>
        <w:jc w:val="both"/>
        <w:rPr>
          <w:rFonts w:ascii="Times New Roman" w:hAnsi="Times New Roman"/>
          <w:sz w:val="21"/>
          <w:szCs w:val="21"/>
        </w:rPr>
      </w:pPr>
      <w:r w:rsidRPr="002A5FB4">
        <w:rPr>
          <w:rFonts w:ascii="Times New Roman" w:eastAsia="Times New Roman" w:hAnsi="Times New Roman"/>
          <w:sz w:val="21"/>
          <w:szCs w:val="21"/>
        </w:rPr>
        <w:t>В основу нормативного фінансування має бути покладений витратний підхід, при якому визначаються потреби в коштах на забезпечення освітнього процесу з дотриманням чинних норм і нормативів планування витрат по статтях кошторису або окремих видах витрат. Це дозволить дотримуватись обґрунтованих видатків з відповідних бюджетів та сприятиме ефективному ціноутворенню.</w:t>
      </w:r>
    </w:p>
    <w:p w:rsidR="001610CA" w:rsidRPr="002A5FB4" w:rsidRDefault="001610CA" w:rsidP="00B84813">
      <w:pPr>
        <w:spacing w:line="247" w:lineRule="auto"/>
        <w:ind w:firstLine="709"/>
        <w:jc w:val="both"/>
        <w:rPr>
          <w:rFonts w:ascii="Times New Roman" w:hAnsi="Times New Roman"/>
          <w:sz w:val="21"/>
          <w:szCs w:val="21"/>
        </w:rPr>
      </w:pPr>
      <w:r w:rsidRPr="002A5FB4">
        <w:rPr>
          <w:rFonts w:ascii="Times New Roman" w:hAnsi="Times New Roman"/>
          <w:sz w:val="21"/>
          <w:szCs w:val="21"/>
        </w:rPr>
        <w:t xml:space="preserve">Крім того, необхідно на державному рівні закріпити зв’язок між обсягами державного фінансування вищої освіти та результатами їх використання. Зокрема, в цьому напрямі доцільним є розроблення дієвої статистичної звітності з метою контролю </w:t>
      </w:r>
      <w:r w:rsidRPr="002A5FB4">
        <w:rPr>
          <w:rFonts w:ascii="Times New Roman" w:hAnsi="Times New Roman"/>
          <w:sz w:val="21"/>
          <w:szCs w:val="21"/>
        </w:rPr>
        <w:lastRenderedPageBreak/>
        <w:t>показників державного замовлення на підготовку кадрів та їх фактичного виконання, показників працевлаштування підготовлених за державні кошти фахівців за спеціальністю тощо.</w:t>
      </w:r>
    </w:p>
    <w:p w:rsidR="001610CA" w:rsidRPr="002A5FB4" w:rsidRDefault="001610CA" w:rsidP="00B84813">
      <w:pPr>
        <w:spacing w:line="247" w:lineRule="auto"/>
        <w:ind w:firstLine="709"/>
        <w:jc w:val="both"/>
        <w:rPr>
          <w:rFonts w:ascii="Times New Roman" w:hAnsi="Times New Roman"/>
          <w:sz w:val="21"/>
          <w:szCs w:val="21"/>
        </w:rPr>
      </w:pPr>
      <w:r w:rsidRPr="002A5FB4">
        <w:rPr>
          <w:rFonts w:ascii="Times New Roman" w:hAnsi="Times New Roman"/>
          <w:sz w:val="21"/>
          <w:szCs w:val="21"/>
        </w:rPr>
        <w:t>Також необхідним є здійснення трансформації підходів до обґрунтування обсягів державного замовлення на підготовку кадрів, запровадження системи тендерів на його розміщення та надання державної підтримки у підготовці спеціалістів за професіями, щодо яких утворився дефіцит на ринку праці. Нові підходи до механізму формування та розміщення державного замовлення на підготовку кадрів мають передбачати визначення в ньому повноважень зацікавлених центральних та місцевих органів виконавчої влади, соціальних партнерів, роботодавців, навчальних закладів. Має бути чітко визначено, на кого поширюється встановлена чинним законодавством гарантія держави на отримання першого робочого місця.</w:t>
      </w:r>
    </w:p>
    <w:p w:rsidR="001610CA" w:rsidRDefault="001610CA" w:rsidP="00B84813">
      <w:pPr>
        <w:autoSpaceDE w:val="0"/>
        <w:autoSpaceDN w:val="0"/>
        <w:adjustRightInd w:val="0"/>
        <w:spacing w:line="247" w:lineRule="auto"/>
        <w:ind w:firstLine="709"/>
        <w:jc w:val="both"/>
        <w:rPr>
          <w:rFonts w:ascii="Times New Roman" w:eastAsia="Times New Roman" w:hAnsi="Times New Roman"/>
          <w:sz w:val="21"/>
          <w:szCs w:val="21"/>
          <w:lang w:eastAsia="ru-RU"/>
        </w:rPr>
      </w:pPr>
      <w:r w:rsidRPr="002A5FB4">
        <w:rPr>
          <w:rFonts w:ascii="Times New Roman" w:eastAsia="Times New Roman" w:hAnsi="Times New Roman"/>
          <w:color w:val="000000"/>
          <w:sz w:val="21"/>
          <w:szCs w:val="21"/>
          <w:lang w:eastAsia="ru-RU"/>
        </w:rPr>
        <w:t xml:space="preserve">Для забезпечення якості вищої освіти необхідне створення комплексної системи нормативної документації регулювання освітньої діяльності вищого навчального закладу, яка включає традиційні підходи, що склалися в національних університетах, використовує прогресивний досвід зарубіжних освітніх систем та спирається на розроблені Європейською Асоціацією з гарантування якості у вищій освіті стандарти забезпечення якості вищої </w:t>
      </w:r>
      <w:r>
        <w:rPr>
          <w:rFonts w:ascii="Times New Roman" w:eastAsia="Times New Roman" w:hAnsi="Times New Roman"/>
          <w:sz w:val="21"/>
          <w:szCs w:val="21"/>
          <w:lang w:eastAsia="ru-RU"/>
        </w:rPr>
        <w:t>освіти.</w:t>
      </w:r>
    </w:p>
    <w:p w:rsidR="009E7249" w:rsidRDefault="001610CA" w:rsidP="00B84813">
      <w:pPr>
        <w:autoSpaceDE w:val="0"/>
        <w:autoSpaceDN w:val="0"/>
        <w:adjustRightInd w:val="0"/>
        <w:spacing w:line="247" w:lineRule="auto"/>
        <w:ind w:firstLine="709"/>
        <w:jc w:val="both"/>
        <w:rPr>
          <w:rFonts w:ascii="Times New Roman" w:eastAsia="Times New Roman" w:hAnsi="Times New Roman"/>
          <w:color w:val="000000"/>
          <w:sz w:val="21"/>
          <w:szCs w:val="21"/>
          <w:lang w:eastAsia="ru-RU"/>
        </w:rPr>
      </w:pPr>
      <w:r w:rsidRPr="00143C0C">
        <w:rPr>
          <w:rFonts w:ascii="Times New Roman" w:eastAsia="Times New Roman" w:hAnsi="Times New Roman"/>
          <w:color w:val="000000"/>
          <w:sz w:val="21"/>
          <w:szCs w:val="21"/>
          <w:lang w:eastAsia="ru-RU"/>
        </w:rPr>
        <w:t xml:space="preserve">Відповідно до рекомендацій Європейської Асоціації з гарантування якості у вищій освіті </w:t>
      </w:r>
      <w:r w:rsidRPr="00143C0C">
        <w:rPr>
          <w:rFonts w:ascii="Times New Roman" w:eastAsia="Times New Roman" w:hAnsi="Times New Roman"/>
          <w:color w:val="000000"/>
          <w:sz w:val="21"/>
          <w:szCs w:val="21"/>
          <w:lang w:val="ru-RU" w:eastAsia="ru-RU"/>
        </w:rPr>
        <w:t>ENQA</w:t>
      </w:r>
      <w:r w:rsidRPr="00143C0C">
        <w:rPr>
          <w:rFonts w:ascii="Times New Roman" w:eastAsia="Times New Roman" w:hAnsi="Times New Roman"/>
          <w:color w:val="000000"/>
          <w:sz w:val="21"/>
          <w:szCs w:val="21"/>
          <w:lang w:eastAsia="ru-RU"/>
        </w:rPr>
        <w:t xml:space="preserve"> для забезпечення інституційного рівня гарантування якості [</w:t>
      </w:r>
      <w:r w:rsidR="00772FFF">
        <w:rPr>
          <w:rFonts w:ascii="Times New Roman" w:hAnsi="Times New Roman"/>
          <w:sz w:val="21"/>
          <w:szCs w:val="21"/>
          <w:highlight w:val="yellow"/>
        </w:rPr>
        <w:fldChar w:fldCharType="begin"/>
      </w:r>
      <w:r w:rsidR="00772FFF">
        <w:rPr>
          <w:rFonts w:ascii="Times New Roman" w:eastAsia="Times New Roman" w:hAnsi="Times New Roman"/>
          <w:color w:val="000000"/>
          <w:sz w:val="21"/>
          <w:szCs w:val="21"/>
          <w:lang w:eastAsia="ru-RU"/>
        </w:rPr>
        <w:instrText xml:space="preserve"> REF _Ref436215582 \r \h </w:instrText>
      </w:r>
      <w:r w:rsidR="00772FFF">
        <w:rPr>
          <w:rFonts w:ascii="Times New Roman" w:hAnsi="Times New Roman"/>
          <w:sz w:val="21"/>
          <w:szCs w:val="21"/>
          <w:highlight w:val="yellow"/>
        </w:rPr>
      </w:r>
      <w:r w:rsidR="00772FFF">
        <w:rPr>
          <w:rFonts w:ascii="Times New Roman" w:hAnsi="Times New Roman"/>
          <w:sz w:val="21"/>
          <w:szCs w:val="21"/>
          <w:highlight w:val="yellow"/>
        </w:rPr>
        <w:fldChar w:fldCharType="separate"/>
      </w:r>
      <w:r w:rsidR="00772FFF">
        <w:rPr>
          <w:rFonts w:ascii="Times New Roman" w:eastAsia="Times New Roman" w:hAnsi="Times New Roman"/>
          <w:color w:val="000000"/>
          <w:sz w:val="21"/>
          <w:szCs w:val="21"/>
          <w:lang w:eastAsia="ru-RU"/>
        </w:rPr>
        <w:t>40</w:t>
      </w:r>
      <w:r w:rsidR="00772FFF">
        <w:rPr>
          <w:rFonts w:ascii="Times New Roman" w:hAnsi="Times New Roman"/>
          <w:sz w:val="21"/>
          <w:szCs w:val="21"/>
          <w:highlight w:val="yellow"/>
        </w:rPr>
        <w:fldChar w:fldCharType="end"/>
      </w:r>
      <w:r w:rsidRPr="00143C0C">
        <w:rPr>
          <w:rFonts w:ascii="Times New Roman" w:eastAsia="Times New Roman" w:hAnsi="Times New Roman"/>
          <w:color w:val="000000"/>
          <w:sz w:val="21"/>
          <w:szCs w:val="21"/>
          <w:lang w:eastAsia="ru-RU"/>
        </w:rPr>
        <w:t xml:space="preserve">], вищі навчальні заклади для внутрішнього забезпечення якості розгортають діяльність, зміст якої визначається відповідною складовою стандарту (табл. </w:t>
      </w:r>
      <w:r w:rsidR="0073162D">
        <w:rPr>
          <w:rFonts w:ascii="Times New Roman" w:eastAsia="Times New Roman" w:hAnsi="Times New Roman"/>
          <w:color w:val="000000"/>
          <w:sz w:val="21"/>
          <w:szCs w:val="21"/>
          <w:lang w:eastAsia="ru-RU"/>
        </w:rPr>
        <w:t>7.</w:t>
      </w:r>
      <w:r w:rsidR="00B84813">
        <w:rPr>
          <w:rFonts w:ascii="Times New Roman" w:eastAsia="Times New Roman" w:hAnsi="Times New Roman"/>
          <w:color w:val="000000"/>
          <w:sz w:val="21"/>
          <w:szCs w:val="21"/>
          <w:lang w:eastAsia="ru-RU"/>
        </w:rPr>
        <w:t>1).</w:t>
      </w:r>
    </w:p>
    <w:p w:rsidR="009E7249" w:rsidRPr="002A5FB4" w:rsidRDefault="009E7249" w:rsidP="009E7249">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Для визначення політики вищого навчального закладу щодо забезпечення якості, університет розробляє базовий документ – програмну заяву, яка включає: </w:t>
      </w:r>
    </w:p>
    <w:p w:rsidR="009E7249" w:rsidRPr="002A5FB4" w:rsidRDefault="009E7249" w:rsidP="009E7249">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характеристику стану освітньої та науково-дослідницької діяльності науково-педагогічних працівників, відбиває рівень взаємодії викладання і досліджень в університеті; </w:t>
      </w:r>
    </w:p>
    <w:p w:rsidR="009E7249" w:rsidRPr="002A5FB4" w:rsidRDefault="009E7249" w:rsidP="009E7249">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w:t>
      </w:r>
      <w:r w:rsidRPr="00197F22">
        <w:rPr>
          <w:rFonts w:ascii="Times New Roman" w:eastAsia="Times New Roman" w:hAnsi="Times New Roman"/>
          <w:color w:val="000000"/>
          <w:spacing w:val="-4"/>
          <w:sz w:val="21"/>
          <w:szCs w:val="21"/>
          <w:lang w:val="ru-RU" w:eastAsia="ru-RU"/>
        </w:rPr>
        <w:t>стратегі</w:t>
      </w:r>
      <w:r w:rsidR="00197F22" w:rsidRPr="00197F22">
        <w:rPr>
          <w:rFonts w:ascii="Times New Roman" w:eastAsia="Times New Roman" w:hAnsi="Times New Roman"/>
          <w:color w:val="000000"/>
          <w:spacing w:val="-4"/>
          <w:sz w:val="21"/>
          <w:szCs w:val="21"/>
          <w:lang w:val="ru-RU" w:eastAsia="ru-RU"/>
        </w:rPr>
        <w:t>чні напрям</w:t>
      </w:r>
      <w:r w:rsidRPr="00197F22">
        <w:rPr>
          <w:rFonts w:ascii="Times New Roman" w:eastAsia="Times New Roman" w:hAnsi="Times New Roman"/>
          <w:color w:val="000000"/>
          <w:spacing w:val="-4"/>
          <w:sz w:val="21"/>
          <w:szCs w:val="21"/>
          <w:lang w:val="ru-RU" w:eastAsia="ru-RU"/>
        </w:rPr>
        <w:t>и діяльності навчального закладу в забез</w:t>
      </w:r>
      <w:r w:rsidR="00197F22" w:rsidRPr="00197F22">
        <w:rPr>
          <w:rFonts w:ascii="Times New Roman" w:eastAsia="Times New Roman" w:hAnsi="Times New Roman"/>
          <w:color w:val="000000"/>
          <w:spacing w:val="-4"/>
          <w:sz w:val="21"/>
          <w:szCs w:val="21"/>
          <w:lang w:val="ru-RU" w:eastAsia="ru-RU"/>
        </w:rPr>
        <w:t>-</w:t>
      </w:r>
      <w:r w:rsidRPr="00197F22">
        <w:rPr>
          <w:rFonts w:ascii="Times New Roman" w:eastAsia="Times New Roman" w:hAnsi="Times New Roman"/>
          <w:color w:val="000000"/>
          <w:spacing w:val="-4"/>
          <w:sz w:val="21"/>
          <w:szCs w:val="21"/>
          <w:lang w:val="ru-RU" w:eastAsia="ru-RU"/>
        </w:rPr>
        <w:t>печенні відповідності підготовки до стандартів вищої освіти та євро</w:t>
      </w:r>
      <w:r w:rsidR="00197F22" w:rsidRPr="00197F22">
        <w:rPr>
          <w:rFonts w:ascii="Times New Roman" w:eastAsia="Times New Roman" w:hAnsi="Times New Roman"/>
          <w:color w:val="000000"/>
          <w:spacing w:val="-4"/>
          <w:sz w:val="21"/>
          <w:szCs w:val="21"/>
          <w:lang w:val="ru-RU" w:eastAsia="ru-RU"/>
        </w:rPr>
        <w:t>-</w:t>
      </w:r>
      <w:r w:rsidRPr="002A5FB4">
        <w:rPr>
          <w:rFonts w:ascii="Times New Roman" w:eastAsia="Times New Roman" w:hAnsi="Times New Roman"/>
          <w:color w:val="000000"/>
          <w:sz w:val="21"/>
          <w:szCs w:val="21"/>
          <w:lang w:val="ru-RU" w:eastAsia="ru-RU"/>
        </w:rPr>
        <w:t xml:space="preserve">пейських стандартів внутрішнього забезпечення якості навчання; </w:t>
      </w:r>
    </w:p>
    <w:p w:rsidR="009E7249" w:rsidRPr="002A5FB4" w:rsidRDefault="009E7249" w:rsidP="009E7249">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lastRenderedPageBreak/>
        <w:t xml:space="preserve">– опис організаційних принципів та структури системи забезпечення якості на інституційному рівні; </w:t>
      </w:r>
    </w:p>
    <w:p w:rsidR="009E7249" w:rsidRPr="002A5FB4" w:rsidRDefault="009E7249" w:rsidP="00197F22">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визначає рівні відповідальності кафедр, факультетів, інститутів та інших структурних підрозділів та відповідних керівників та осіб за реалізацію</w:t>
      </w:r>
      <w:r w:rsidR="00197F22">
        <w:rPr>
          <w:rFonts w:ascii="Times New Roman" w:eastAsia="Times New Roman" w:hAnsi="Times New Roman"/>
          <w:color w:val="000000"/>
          <w:sz w:val="21"/>
          <w:szCs w:val="21"/>
          <w:lang w:val="ru-RU" w:eastAsia="ru-RU"/>
        </w:rPr>
        <w:t xml:space="preserve"> процедур забезпечення якості; </w:t>
      </w:r>
    </w:p>
    <w:p w:rsidR="001610CA" w:rsidRPr="00143C0C" w:rsidRDefault="009E7249" w:rsidP="009E7249">
      <w:pPr>
        <w:autoSpaceDE w:val="0"/>
        <w:autoSpaceDN w:val="0"/>
        <w:adjustRightInd w:val="0"/>
        <w:spacing w:line="247" w:lineRule="auto"/>
        <w:ind w:firstLine="709"/>
        <w:jc w:val="both"/>
        <w:rPr>
          <w:rFonts w:ascii="Times New Roman" w:eastAsia="Times New Roman" w:hAnsi="Times New Roman"/>
          <w:sz w:val="21"/>
          <w:szCs w:val="21"/>
          <w:lang w:eastAsia="ru-RU"/>
        </w:rPr>
      </w:pPr>
      <w:r w:rsidRPr="002A5FB4">
        <w:rPr>
          <w:rFonts w:ascii="Times New Roman" w:eastAsia="Times New Roman" w:hAnsi="Times New Roman"/>
          <w:color w:val="000000"/>
          <w:sz w:val="21"/>
          <w:szCs w:val="21"/>
          <w:lang w:val="ru-RU" w:eastAsia="ru-RU"/>
        </w:rPr>
        <w:t>– напрями та способи реалізації політики, механізми її моніторингу, перегляду та вдосконалення системи забезпечення.</w:t>
      </w:r>
      <w:r w:rsidR="001610CA" w:rsidRPr="00143C0C">
        <w:rPr>
          <w:rFonts w:ascii="Times New Roman" w:eastAsia="Times New Roman" w:hAnsi="Times New Roman"/>
          <w:color w:val="000000"/>
          <w:sz w:val="21"/>
          <w:szCs w:val="21"/>
          <w:lang w:eastAsia="ru-RU"/>
        </w:rPr>
        <w:t xml:space="preserve"> </w:t>
      </w:r>
    </w:p>
    <w:p w:rsidR="0073162D" w:rsidRDefault="0073162D" w:rsidP="001610CA">
      <w:pPr>
        <w:autoSpaceDE w:val="0"/>
        <w:autoSpaceDN w:val="0"/>
        <w:adjustRightInd w:val="0"/>
        <w:ind w:firstLine="709"/>
        <w:jc w:val="right"/>
        <w:rPr>
          <w:rFonts w:ascii="Times New Roman" w:eastAsia="Times New Roman" w:hAnsi="Times New Roman"/>
          <w:sz w:val="21"/>
          <w:szCs w:val="21"/>
          <w:lang w:eastAsia="ru-RU"/>
        </w:rPr>
      </w:pPr>
    </w:p>
    <w:p w:rsidR="001610CA" w:rsidRDefault="001610CA" w:rsidP="001610CA">
      <w:pPr>
        <w:autoSpaceDE w:val="0"/>
        <w:autoSpaceDN w:val="0"/>
        <w:adjustRightInd w:val="0"/>
        <w:ind w:firstLine="709"/>
        <w:jc w:val="right"/>
        <w:rPr>
          <w:rFonts w:ascii="Times New Roman" w:eastAsia="Times New Roman" w:hAnsi="Times New Roman"/>
          <w:sz w:val="21"/>
          <w:szCs w:val="21"/>
          <w:lang w:eastAsia="ru-RU"/>
        </w:rPr>
      </w:pPr>
      <w:r>
        <w:rPr>
          <w:rFonts w:ascii="Times New Roman" w:eastAsia="Times New Roman" w:hAnsi="Times New Roman"/>
          <w:sz w:val="21"/>
          <w:szCs w:val="21"/>
          <w:lang w:eastAsia="ru-RU"/>
        </w:rPr>
        <w:t xml:space="preserve">Таблиця </w:t>
      </w:r>
      <w:r w:rsidR="0073162D">
        <w:rPr>
          <w:rFonts w:ascii="Times New Roman" w:eastAsia="Times New Roman" w:hAnsi="Times New Roman"/>
          <w:sz w:val="21"/>
          <w:szCs w:val="21"/>
          <w:lang w:eastAsia="ru-RU"/>
        </w:rPr>
        <w:t>7.</w:t>
      </w:r>
      <w:r>
        <w:rPr>
          <w:rFonts w:ascii="Times New Roman" w:eastAsia="Times New Roman" w:hAnsi="Times New Roman"/>
          <w:sz w:val="21"/>
          <w:szCs w:val="21"/>
          <w:lang w:eastAsia="ru-RU"/>
        </w:rPr>
        <w:t>1</w:t>
      </w:r>
    </w:p>
    <w:p w:rsidR="001610CA" w:rsidRPr="0073162D" w:rsidRDefault="001610CA" w:rsidP="0073162D">
      <w:pPr>
        <w:autoSpaceDE w:val="0"/>
        <w:autoSpaceDN w:val="0"/>
        <w:adjustRightInd w:val="0"/>
        <w:jc w:val="center"/>
        <w:rPr>
          <w:rFonts w:ascii="Times New Roman" w:eastAsia="Times New Roman" w:hAnsi="Times New Roman"/>
          <w:b/>
          <w:sz w:val="21"/>
          <w:szCs w:val="21"/>
          <w:lang w:eastAsia="ru-RU"/>
        </w:rPr>
      </w:pPr>
      <w:r w:rsidRPr="0073162D">
        <w:rPr>
          <w:rFonts w:ascii="Times New Roman" w:eastAsia="Times New Roman" w:hAnsi="Times New Roman"/>
          <w:b/>
          <w:color w:val="000000"/>
          <w:sz w:val="21"/>
          <w:szCs w:val="21"/>
          <w:lang w:eastAsia="ru-RU"/>
        </w:rPr>
        <w:t xml:space="preserve">Рекомендацій Європейської Асоціації з гарантування якості у вищій освіті </w:t>
      </w:r>
      <w:r w:rsidRPr="0073162D">
        <w:rPr>
          <w:rFonts w:ascii="Times New Roman" w:eastAsia="Times New Roman" w:hAnsi="Times New Roman"/>
          <w:b/>
          <w:color w:val="000000"/>
          <w:sz w:val="21"/>
          <w:szCs w:val="21"/>
          <w:lang w:val="ru-RU" w:eastAsia="ru-RU"/>
        </w:rPr>
        <w:t>ENQA</w:t>
      </w:r>
    </w:p>
    <w:tbl>
      <w:tblPr>
        <w:tblW w:w="61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3892"/>
      </w:tblGrid>
      <w:tr w:rsidR="001610CA" w:rsidRPr="0073162D" w:rsidTr="00197F22">
        <w:trPr>
          <w:trHeight w:val="232"/>
        </w:trPr>
        <w:tc>
          <w:tcPr>
            <w:tcW w:w="2268" w:type="dxa"/>
            <w:vAlign w:val="center"/>
          </w:tcPr>
          <w:p w:rsidR="001610CA" w:rsidRPr="0073162D" w:rsidRDefault="001610CA" w:rsidP="0073162D">
            <w:pPr>
              <w:autoSpaceDE w:val="0"/>
              <w:autoSpaceDN w:val="0"/>
              <w:adjustRightInd w:val="0"/>
              <w:ind w:firstLine="0"/>
              <w:jc w:val="center"/>
              <w:rPr>
                <w:rFonts w:ascii="Times New Roman" w:eastAsia="Times New Roman" w:hAnsi="Times New Roman"/>
                <w:color w:val="000000"/>
                <w:sz w:val="18"/>
                <w:szCs w:val="18"/>
                <w:lang w:eastAsia="ru-RU"/>
              </w:rPr>
            </w:pPr>
            <w:r w:rsidRPr="0073162D">
              <w:rPr>
                <w:rFonts w:ascii="Times New Roman" w:eastAsia="Times New Roman" w:hAnsi="Times New Roman"/>
                <w:b/>
                <w:bCs/>
                <w:color w:val="000000"/>
                <w:sz w:val="18"/>
                <w:szCs w:val="18"/>
                <w:lang w:eastAsia="ru-RU"/>
              </w:rPr>
              <w:t>Складова стандарту</w:t>
            </w:r>
          </w:p>
        </w:tc>
        <w:tc>
          <w:tcPr>
            <w:tcW w:w="3892" w:type="dxa"/>
            <w:vAlign w:val="center"/>
          </w:tcPr>
          <w:p w:rsidR="001610CA" w:rsidRPr="0073162D" w:rsidRDefault="001610CA" w:rsidP="0073162D">
            <w:pPr>
              <w:autoSpaceDE w:val="0"/>
              <w:autoSpaceDN w:val="0"/>
              <w:adjustRightInd w:val="0"/>
              <w:ind w:firstLine="0"/>
              <w:jc w:val="center"/>
              <w:rPr>
                <w:rFonts w:ascii="Times New Roman" w:eastAsia="Times New Roman" w:hAnsi="Times New Roman"/>
                <w:color w:val="000000"/>
                <w:sz w:val="18"/>
                <w:szCs w:val="18"/>
                <w:lang w:val="ru-RU" w:eastAsia="ru-RU"/>
              </w:rPr>
            </w:pPr>
            <w:r w:rsidRPr="0073162D">
              <w:rPr>
                <w:rFonts w:ascii="Times New Roman" w:eastAsia="Times New Roman" w:hAnsi="Times New Roman"/>
                <w:b/>
                <w:bCs/>
                <w:color w:val="000000"/>
                <w:sz w:val="18"/>
                <w:szCs w:val="18"/>
                <w:lang w:val="ru-RU" w:eastAsia="ru-RU"/>
              </w:rPr>
              <w:t>Зміст діяльності по забезпеченню</w:t>
            </w:r>
          </w:p>
          <w:p w:rsidR="001610CA" w:rsidRPr="0073162D" w:rsidRDefault="001610CA" w:rsidP="0073162D">
            <w:pPr>
              <w:autoSpaceDE w:val="0"/>
              <w:autoSpaceDN w:val="0"/>
              <w:adjustRightInd w:val="0"/>
              <w:ind w:firstLine="0"/>
              <w:jc w:val="center"/>
              <w:rPr>
                <w:rFonts w:ascii="Times New Roman" w:eastAsia="Times New Roman" w:hAnsi="Times New Roman"/>
                <w:color w:val="000000"/>
                <w:sz w:val="18"/>
                <w:szCs w:val="18"/>
                <w:lang w:val="ru-RU" w:eastAsia="ru-RU"/>
              </w:rPr>
            </w:pPr>
            <w:r w:rsidRPr="0073162D">
              <w:rPr>
                <w:rFonts w:ascii="Times New Roman" w:eastAsia="Times New Roman" w:hAnsi="Times New Roman"/>
                <w:b/>
                <w:bCs/>
                <w:color w:val="000000"/>
                <w:sz w:val="18"/>
                <w:szCs w:val="18"/>
                <w:lang w:val="ru-RU" w:eastAsia="ru-RU"/>
              </w:rPr>
              <w:t>виконання стандарту</w:t>
            </w:r>
          </w:p>
        </w:tc>
      </w:tr>
      <w:tr w:rsidR="001610CA" w:rsidRPr="0073162D" w:rsidTr="00197F22">
        <w:trPr>
          <w:trHeight w:val="359"/>
        </w:trPr>
        <w:tc>
          <w:tcPr>
            <w:tcW w:w="2268" w:type="dxa"/>
            <w:vAlign w:val="center"/>
          </w:tcPr>
          <w:p w:rsidR="001610CA" w:rsidRPr="0073162D" w:rsidRDefault="001610CA" w:rsidP="0073162D">
            <w:pPr>
              <w:autoSpaceDE w:val="0"/>
              <w:autoSpaceDN w:val="0"/>
              <w:adjustRightInd w:val="0"/>
              <w:ind w:firstLine="0"/>
              <w:jc w:val="center"/>
              <w:rPr>
                <w:rFonts w:ascii="Times New Roman" w:eastAsia="Times New Roman" w:hAnsi="Times New Roman"/>
                <w:color w:val="000000"/>
                <w:sz w:val="18"/>
                <w:szCs w:val="18"/>
                <w:lang w:val="ru-RU" w:eastAsia="ru-RU"/>
              </w:rPr>
            </w:pPr>
            <w:r w:rsidRPr="0073162D">
              <w:rPr>
                <w:rFonts w:ascii="Times New Roman" w:eastAsia="Times New Roman" w:hAnsi="Times New Roman"/>
                <w:color w:val="000000"/>
                <w:sz w:val="18"/>
                <w:szCs w:val="18"/>
                <w:lang w:val="ru-RU" w:eastAsia="ru-RU"/>
              </w:rPr>
              <w:t>1. Політика закладу і процедури забезпечення якості</w:t>
            </w:r>
          </w:p>
        </w:tc>
        <w:tc>
          <w:tcPr>
            <w:tcW w:w="3892" w:type="dxa"/>
            <w:vAlign w:val="center"/>
          </w:tcPr>
          <w:p w:rsidR="001610CA" w:rsidRPr="0073162D" w:rsidRDefault="001610CA" w:rsidP="0073162D">
            <w:pPr>
              <w:autoSpaceDE w:val="0"/>
              <w:autoSpaceDN w:val="0"/>
              <w:adjustRightInd w:val="0"/>
              <w:ind w:firstLine="0"/>
              <w:jc w:val="center"/>
              <w:rPr>
                <w:rFonts w:ascii="Times New Roman" w:eastAsia="Times New Roman" w:hAnsi="Times New Roman"/>
                <w:color w:val="000000"/>
                <w:sz w:val="18"/>
                <w:szCs w:val="18"/>
                <w:lang w:val="ru-RU" w:eastAsia="ru-RU"/>
              </w:rPr>
            </w:pPr>
            <w:r w:rsidRPr="0073162D">
              <w:rPr>
                <w:rFonts w:ascii="Times New Roman" w:eastAsia="Times New Roman" w:hAnsi="Times New Roman"/>
                <w:color w:val="000000"/>
                <w:sz w:val="18"/>
                <w:szCs w:val="18"/>
                <w:lang w:val="ru-RU" w:eastAsia="ru-RU"/>
              </w:rPr>
              <w:t>Визначити стратегію, політику</w:t>
            </w:r>
          </w:p>
          <w:p w:rsidR="001610CA" w:rsidRPr="0073162D" w:rsidRDefault="001610CA" w:rsidP="0073162D">
            <w:pPr>
              <w:autoSpaceDE w:val="0"/>
              <w:autoSpaceDN w:val="0"/>
              <w:adjustRightInd w:val="0"/>
              <w:ind w:firstLine="0"/>
              <w:jc w:val="center"/>
              <w:rPr>
                <w:rFonts w:ascii="Times New Roman" w:eastAsia="Times New Roman" w:hAnsi="Times New Roman"/>
                <w:color w:val="000000"/>
                <w:sz w:val="18"/>
                <w:szCs w:val="18"/>
                <w:lang w:val="ru-RU" w:eastAsia="ru-RU"/>
              </w:rPr>
            </w:pPr>
            <w:r w:rsidRPr="0073162D">
              <w:rPr>
                <w:rFonts w:ascii="Times New Roman" w:eastAsia="Times New Roman" w:hAnsi="Times New Roman"/>
                <w:color w:val="000000"/>
                <w:sz w:val="18"/>
                <w:szCs w:val="18"/>
                <w:lang w:val="ru-RU" w:eastAsia="ru-RU"/>
              </w:rPr>
              <w:t>і процедури постійного підвищення якості освіти та забезпечити офіційний статус</w:t>
            </w:r>
          </w:p>
        </w:tc>
      </w:tr>
      <w:tr w:rsidR="001610CA" w:rsidRPr="0073162D" w:rsidTr="00197F22">
        <w:trPr>
          <w:trHeight w:val="483"/>
        </w:trPr>
        <w:tc>
          <w:tcPr>
            <w:tcW w:w="2268" w:type="dxa"/>
            <w:vAlign w:val="center"/>
          </w:tcPr>
          <w:p w:rsidR="001610CA" w:rsidRPr="0073162D" w:rsidRDefault="001610CA" w:rsidP="0073162D">
            <w:pPr>
              <w:autoSpaceDE w:val="0"/>
              <w:autoSpaceDN w:val="0"/>
              <w:adjustRightInd w:val="0"/>
              <w:ind w:firstLine="0"/>
              <w:jc w:val="center"/>
              <w:rPr>
                <w:rFonts w:ascii="Times New Roman" w:eastAsia="Times New Roman" w:hAnsi="Times New Roman"/>
                <w:color w:val="000000"/>
                <w:sz w:val="18"/>
                <w:szCs w:val="18"/>
                <w:lang w:val="ru-RU" w:eastAsia="ru-RU"/>
              </w:rPr>
            </w:pPr>
            <w:r w:rsidRPr="0073162D">
              <w:rPr>
                <w:rFonts w:ascii="Times New Roman" w:eastAsia="Times New Roman" w:hAnsi="Times New Roman"/>
                <w:color w:val="000000"/>
                <w:sz w:val="18"/>
                <w:szCs w:val="18"/>
                <w:lang w:val="ru-RU" w:eastAsia="ru-RU"/>
              </w:rPr>
              <w:t>2. Затвердження, моніторинг і періодичний перегляд програм і дипломів</w:t>
            </w:r>
          </w:p>
        </w:tc>
        <w:tc>
          <w:tcPr>
            <w:tcW w:w="3892" w:type="dxa"/>
            <w:vAlign w:val="center"/>
          </w:tcPr>
          <w:p w:rsidR="00197F22" w:rsidRDefault="001610CA" w:rsidP="0073162D">
            <w:pPr>
              <w:autoSpaceDE w:val="0"/>
              <w:autoSpaceDN w:val="0"/>
              <w:adjustRightInd w:val="0"/>
              <w:ind w:firstLine="0"/>
              <w:jc w:val="center"/>
              <w:rPr>
                <w:rFonts w:ascii="Times New Roman" w:eastAsia="Times New Roman" w:hAnsi="Times New Roman"/>
                <w:color w:val="000000"/>
                <w:sz w:val="18"/>
                <w:szCs w:val="18"/>
                <w:lang w:val="ru-RU" w:eastAsia="ru-RU"/>
              </w:rPr>
            </w:pPr>
            <w:r w:rsidRPr="0073162D">
              <w:rPr>
                <w:rFonts w:ascii="Times New Roman" w:eastAsia="Times New Roman" w:hAnsi="Times New Roman"/>
                <w:color w:val="000000"/>
                <w:sz w:val="18"/>
                <w:szCs w:val="18"/>
                <w:lang w:val="ru-RU" w:eastAsia="ru-RU"/>
              </w:rPr>
              <w:t xml:space="preserve">Розробити та офіційно затвердити механізми періодичного перегляду, моніторингу </w:t>
            </w:r>
          </w:p>
          <w:p w:rsidR="001610CA" w:rsidRPr="0073162D" w:rsidRDefault="00197F22" w:rsidP="00197F22">
            <w:pPr>
              <w:autoSpaceDE w:val="0"/>
              <w:autoSpaceDN w:val="0"/>
              <w:adjustRightInd w:val="0"/>
              <w:ind w:firstLine="0"/>
              <w:jc w:val="center"/>
              <w:rPr>
                <w:rFonts w:ascii="Times New Roman" w:eastAsia="Times New Roman" w:hAnsi="Times New Roman"/>
                <w:color w:val="000000"/>
                <w:sz w:val="18"/>
                <w:szCs w:val="18"/>
                <w:lang w:val="ru-RU" w:eastAsia="ru-RU"/>
              </w:rPr>
            </w:pPr>
            <w:r>
              <w:rPr>
                <w:rFonts w:ascii="Times New Roman" w:eastAsia="Times New Roman" w:hAnsi="Times New Roman"/>
                <w:color w:val="000000"/>
                <w:sz w:val="18"/>
                <w:szCs w:val="18"/>
                <w:lang w:val="ru-RU" w:eastAsia="ru-RU"/>
              </w:rPr>
              <w:t xml:space="preserve">та вдосконалення </w:t>
            </w:r>
            <w:r w:rsidR="0073162D">
              <w:rPr>
                <w:rFonts w:ascii="Times New Roman" w:eastAsia="Times New Roman" w:hAnsi="Times New Roman"/>
                <w:color w:val="000000"/>
                <w:sz w:val="18"/>
                <w:szCs w:val="18"/>
                <w:lang w:val="ru-RU" w:eastAsia="ru-RU"/>
              </w:rPr>
              <w:t>своїх навчальних програм</w:t>
            </w:r>
          </w:p>
        </w:tc>
      </w:tr>
      <w:tr w:rsidR="001610CA" w:rsidRPr="0073162D" w:rsidTr="00197F22">
        <w:trPr>
          <w:trHeight w:val="358"/>
        </w:trPr>
        <w:tc>
          <w:tcPr>
            <w:tcW w:w="2268" w:type="dxa"/>
            <w:vAlign w:val="center"/>
          </w:tcPr>
          <w:p w:rsidR="001610CA" w:rsidRPr="0073162D" w:rsidRDefault="001610CA" w:rsidP="0073162D">
            <w:pPr>
              <w:autoSpaceDE w:val="0"/>
              <w:autoSpaceDN w:val="0"/>
              <w:adjustRightInd w:val="0"/>
              <w:ind w:firstLine="0"/>
              <w:jc w:val="center"/>
              <w:rPr>
                <w:rFonts w:ascii="Times New Roman" w:eastAsia="Times New Roman" w:hAnsi="Times New Roman"/>
                <w:color w:val="000000"/>
                <w:sz w:val="18"/>
                <w:szCs w:val="18"/>
                <w:lang w:val="ru-RU" w:eastAsia="ru-RU"/>
              </w:rPr>
            </w:pPr>
            <w:r w:rsidRPr="0073162D">
              <w:rPr>
                <w:rFonts w:ascii="Times New Roman" w:eastAsia="Times New Roman" w:hAnsi="Times New Roman"/>
                <w:color w:val="000000"/>
                <w:sz w:val="18"/>
                <w:szCs w:val="18"/>
                <w:lang w:val="ru-RU" w:eastAsia="ru-RU"/>
              </w:rPr>
              <w:t>3. Оцінювання студентів</w:t>
            </w:r>
          </w:p>
        </w:tc>
        <w:tc>
          <w:tcPr>
            <w:tcW w:w="3892" w:type="dxa"/>
            <w:vAlign w:val="center"/>
          </w:tcPr>
          <w:p w:rsidR="00197F22" w:rsidRDefault="001610CA" w:rsidP="0073162D">
            <w:pPr>
              <w:autoSpaceDE w:val="0"/>
              <w:autoSpaceDN w:val="0"/>
              <w:adjustRightInd w:val="0"/>
              <w:ind w:firstLine="0"/>
              <w:jc w:val="center"/>
              <w:rPr>
                <w:rFonts w:ascii="Times New Roman" w:eastAsia="Times New Roman" w:hAnsi="Times New Roman"/>
                <w:color w:val="000000"/>
                <w:sz w:val="18"/>
                <w:szCs w:val="18"/>
                <w:lang w:val="ru-RU" w:eastAsia="ru-RU"/>
              </w:rPr>
            </w:pPr>
            <w:r w:rsidRPr="0073162D">
              <w:rPr>
                <w:rFonts w:ascii="Times New Roman" w:eastAsia="Times New Roman" w:hAnsi="Times New Roman"/>
                <w:color w:val="000000"/>
                <w:sz w:val="18"/>
                <w:szCs w:val="18"/>
                <w:lang w:val="ru-RU" w:eastAsia="ru-RU"/>
              </w:rPr>
              <w:t xml:space="preserve">Розробити, офіційно затвердити та реалізовувати систему оцінки знань, яка включає загальновідомі критерії, правила </w:t>
            </w:r>
          </w:p>
          <w:p w:rsidR="001610CA" w:rsidRPr="0073162D" w:rsidRDefault="001610CA" w:rsidP="0073162D">
            <w:pPr>
              <w:autoSpaceDE w:val="0"/>
              <w:autoSpaceDN w:val="0"/>
              <w:adjustRightInd w:val="0"/>
              <w:ind w:firstLine="0"/>
              <w:jc w:val="center"/>
              <w:rPr>
                <w:rFonts w:ascii="Times New Roman" w:eastAsia="Times New Roman" w:hAnsi="Times New Roman"/>
                <w:color w:val="000000"/>
                <w:sz w:val="18"/>
                <w:szCs w:val="18"/>
                <w:lang w:val="ru-RU" w:eastAsia="ru-RU"/>
              </w:rPr>
            </w:pPr>
            <w:r w:rsidRPr="0073162D">
              <w:rPr>
                <w:rFonts w:ascii="Times New Roman" w:eastAsia="Times New Roman" w:hAnsi="Times New Roman"/>
                <w:color w:val="000000"/>
                <w:sz w:val="18"/>
                <w:szCs w:val="18"/>
                <w:lang w:val="ru-RU" w:eastAsia="ru-RU"/>
              </w:rPr>
              <w:t>і процедури об’єктивності</w:t>
            </w:r>
          </w:p>
        </w:tc>
      </w:tr>
      <w:tr w:rsidR="001610CA" w:rsidRPr="0073162D" w:rsidTr="00197F22">
        <w:trPr>
          <w:trHeight w:val="359"/>
        </w:trPr>
        <w:tc>
          <w:tcPr>
            <w:tcW w:w="2268" w:type="dxa"/>
            <w:vAlign w:val="center"/>
          </w:tcPr>
          <w:p w:rsidR="001610CA" w:rsidRPr="0073162D" w:rsidRDefault="001610CA" w:rsidP="0073162D">
            <w:pPr>
              <w:autoSpaceDE w:val="0"/>
              <w:autoSpaceDN w:val="0"/>
              <w:adjustRightInd w:val="0"/>
              <w:ind w:firstLine="0"/>
              <w:jc w:val="center"/>
              <w:rPr>
                <w:rFonts w:ascii="Times New Roman" w:eastAsia="Times New Roman" w:hAnsi="Times New Roman"/>
                <w:color w:val="000000"/>
                <w:sz w:val="18"/>
                <w:szCs w:val="18"/>
                <w:lang w:val="ru-RU" w:eastAsia="ru-RU"/>
              </w:rPr>
            </w:pPr>
            <w:r w:rsidRPr="0073162D">
              <w:rPr>
                <w:rFonts w:ascii="Times New Roman" w:eastAsia="Times New Roman" w:hAnsi="Times New Roman"/>
                <w:color w:val="000000"/>
                <w:sz w:val="18"/>
                <w:szCs w:val="18"/>
                <w:lang w:val="ru-RU" w:eastAsia="ru-RU"/>
              </w:rPr>
              <w:t>4. Забезпечення якості викладацького складу</w:t>
            </w:r>
          </w:p>
        </w:tc>
        <w:tc>
          <w:tcPr>
            <w:tcW w:w="3892" w:type="dxa"/>
            <w:vAlign w:val="center"/>
          </w:tcPr>
          <w:p w:rsidR="0073162D" w:rsidRDefault="001610CA" w:rsidP="0073162D">
            <w:pPr>
              <w:autoSpaceDE w:val="0"/>
              <w:autoSpaceDN w:val="0"/>
              <w:adjustRightInd w:val="0"/>
              <w:ind w:firstLine="0"/>
              <w:jc w:val="center"/>
              <w:rPr>
                <w:rFonts w:ascii="Times New Roman" w:eastAsia="Times New Roman" w:hAnsi="Times New Roman"/>
                <w:color w:val="000000"/>
                <w:sz w:val="18"/>
                <w:szCs w:val="18"/>
                <w:lang w:val="ru-RU" w:eastAsia="ru-RU"/>
              </w:rPr>
            </w:pPr>
            <w:r w:rsidRPr="0073162D">
              <w:rPr>
                <w:rFonts w:ascii="Times New Roman" w:eastAsia="Times New Roman" w:hAnsi="Times New Roman"/>
                <w:color w:val="000000"/>
                <w:sz w:val="18"/>
                <w:szCs w:val="18"/>
                <w:lang w:val="ru-RU" w:eastAsia="ru-RU"/>
              </w:rPr>
              <w:t xml:space="preserve">Визначити процедури і критерії, які б засвідчували відповідну кваліфікацію </w:t>
            </w:r>
          </w:p>
          <w:p w:rsidR="001610CA" w:rsidRPr="0073162D" w:rsidRDefault="001610CA" w:rsidP="0073162D">
            <w:pPr>
              <w:autoSpaceDE w:val="0"/>
              <w:autoSpaceDN w:val="0"/>
              <w:adjustRightInd w:val="0"/>
              <w:ind w:firstLine="0"/>
              <w:jc w:val="center"/>
              <w:rPr>
                <w:rFonts w:ascii="Times New Roman" w:eastAsia="Times New Roman" w:hAnsi="Times New Roman"/>
                <w:color w:val="000000"/>
                <w:sz w:val="18"/>
                <w:szCs w:val="18"/>
                <w:lang w:val="ru-RU" w:eastAsia="ru-RU"/>
              </w:rPr>
            </w:pPr>
            <w:r w:rsidRPr="0073162D">
              <w:rPr>
                <w:rFonts w:ascii="Times New Roman" w:eastAsia="Times New Roman" w:hAnsi="Times New Roman"/>
                <w:color w:val="000000"/>
                <w:sz w:val="18"/>
                <w:szCs w:val="18"/>
                <w:lang w:val="ru-RU" w:eastAsia="ru-RU"/>
              </w:rPr>
              <w:t>і високий фаховий рівень викладачів</w:t>
            </w:r>
          </w:p>
        </w:tc>
      </w:tr>
      <w:tr w:rsidR="001610CA" w:rsidRPr="0073162D" w:rsidTr="00197F22">
        <w:trPr>
          <w:trHeight w:val="609"/>
        </w:trPr>
        <w:tc>
          <w:tcPr>
            <w:tcW w:w="2268" w:type="dxa"/>
            <w:vAlign w:val="center"/>
          </w:tcPr>
          <w:p w:rsidR="001610CA" w:rsidRPr="0073162D" w:rsidRDefault="001610CA" w:rsidP="0073162D">
            <w:pPr>
              <w:autoSpaceDE w:val="0"/>
              <w:autoSpaceDN w:val="0"/>
              <w:adjustRightInd w:val="0"/>
              <w:ind w:firstLine="0"/>
              <w:jc w:val="center"/>
              <w:rPr>
                <w:rFonts w:ascii="Times New Roman" w:eastAsia="Times New Roman" w:hAnsi="Times New Roman"/>
                <w:color w:val="000000"/>
                <w:sz w:val="18"/>
                <w:szCs w:val="18"/>
                <w:lang w:val="ru-RU" w:eastAsia="ru-RU"/>
              </w:rPr>
            </w:pPr>
            <w:r w:rsidRPr="0073162D">
              <w:rPr>
                <w:rFonts w:ascii="Times New Roman" w:eastAsia="Times New Roman" w:hAnsi="Times New Roman"/>
                <w:color w:val="000000"/>
                <w:sz w:val="18"/>
                <w:szCs w:val="18"/>
                <w:lang w:val="ru-RU" w:eastAsia="ru-RU"/>
              </w:rPr>
              <w:t>5. Навчальні ресурси та підтримка студентів</w:t>
            </w:r>
          </w:p>
        </w:tc>
        <w:tc>
          <w:tcPr>
            <w:tcW w:w="3892" w:type="dxa"/>
            <w:vAlign w:val="center"/>
          </w:tcPr>
          <w:p w:rsidR="00197F22" w:rsidRDefault="001610CA" w:rsidP="0073162D">
            <w:pPr>
              <w:autoSpaceDE w:val="0"/>
              <w:autoSpaceDN w:val="0"/>
              <w:adjustRightInd w:val="0"/>
              <w:ind w:firstLine="0"/>
              <w:jc w:val="center"/>
              <w:rPr>
                <w:rFonts w:ascii="Times New Roman" w:eastAsia="Times New Roman" w:hAnsi="Times New Roman"/>
                <w:color w:val="000000"/>
                <w:sz w:val="18"/>
                <w:szCs w:val="18"/>
                <w:lang w:val="ru-RU" w:eastAsia="ru-RU"/>
              </w:rPr>
            </w:pPr>
            <w:r w:rsidRPr="0073162D">
              <w:rPr>
                <w:rFonts w:ascii="Times New Roman" w:eastAsia="Times New Roman" w:hAnsi="Times New Roman"/>
                <w:color w:val="000000"/>
                <w:sz w:val="18"/>
                <w:szCs w:val="18"/>
                <w:lang w:val="ru-RU" w:eastAsia="ru-RU"/>
              </w:rPr>
              <w:t xml:space="preserve">Достатня забезпеченість навчально-лабораторним обладнанням і навчально-методичними матеріалами, лабораторними </w:t>
            </w:r>
          </w:p>
          <w:p w:rsidR="001610CA" w:rsidRPr="0073162D" w:rsidRDefault="001610CA" w:rsidP="0073162D">
            <w:pPr>
              <w:autoSpaceDE w:val="0"/>
              <w:autoSpaceDN w:val="0"/>
              <w:adjustRightInd w:val="0"/>
              <w:ind w:firstLine="0"/>
              <w:jc w:val="center"/>
              <w:rPr>
                <w:rFonts w:ascii="Times New Roman" w:eastAsia="Times New Roman" w:hAnsi="Times New Roman"/>
                <w:color w:val="000000"/>
                <w:sz w:val="18"/>
                <w:szCs w:val="18"/>
                <w:lang w:val="ru-RU" w:eastAsia="ru-RU"/>
              </w:rPr>
            </w:pPr>
            <w:r w:rsidRPr="0073162D">
              <w:rPr>
                <w:rFonts w:ascii="Times New Roman" w:eastAsia="Times New Roman" w:hAnsi="Times New Roman"/>
                <w:color w:val="000000"/>
                <w:sz w:val="18"/>
                <w:szCs w:val="18"/>
                <w:lang w:val="ru-RU" w:eastAsia="ru-RU"/>
              </w:rPr>
              <w:t>і навчальними приміщеннями, які відповідают</w:t>
            </w:r>
            <w:r w:rsidR="0073162D">
              <w:rPr>
                <w:rFonts w:ascii="Times New Roman" w:eastAsia="Times New Roman" w:hAnsi="Times New Roman"/>
                <w:color w:val="000000"/>
                <w:sz w:val="18"/>
                <w:szCs w:val="18"/>
                <w:lang w:val="ru-RU" w:eastAsia="ru-RU"/>
              </w:rPr>
              <w:t>ь програмним вимогам викладання</w:t>
            </w:r>
          </w:p>
        </w:tc>
      </w:tr>
      <w:tr w:rsidR="001610CA" w:rsidRPr="0073162D" w:rsidTr="00197F22">
        <w:trPr>
          <w:trHeight w:val="483"/>
        </w:trPr>
        <w:tc>
          <w:tcPr>
            <w:tcW w:w="2268" w:type="dxa"/>
            <w:vAlign w:val="center"/>
          </w:tcPr>
          <w:p w:rsidR="001610CA" w:rsidRPr="0073162D" w:rsidRDefault="001610CA" w:rsidP="0073162D">
            <w:pPr>
              <w:autoSpaceDE w:val="0"/>
              <w:autoSpaceDN w:val="0"/>
              <w:adjustRightInd w:val="0"/>
              <w:ind w:firstLine="0"/>
              <w:jc w:val="center"/>
              <w:rPr>
                <w:rFonts w:ascii="Times New Roman" w:eastAsia="Times New Roman" w:hAnsi="Times New Roman"/>
                <w:color w:val="000000"/>
                <w:sz w:val="18"/>
                <w:szCs w:val="18"/>
                <w:lang w:val="ru-RU" w:eastAsia="ru-RU"/>
              </w:rPr>
            </w:pPr>
            <w:r w:rsidRPr="0073162D">
              <w:rPr>
                <w:rFonts w:ascii="Times New Roman" w:eastAsia="Times New Roman" w:hAnsi="Times New Roman"/>
                <w:color w:val="000000"/>
                <w:sz w:val="18"/>
                <w:szCs w:val="18"/>
                <w:lang w:val="ru-RU" w:eastAsia="ru-RU"/>
              </w:rPr>
              <w:t>6. Інформаційні системи</w:t>
            </w:r>
          </w:p>
        </w:tc>
        <w:tc>
          <w:tcPr>
            <w:tcW w:w="3892" w:type="dxa"/>
            <w:vAlign w:val="center"/>
          </w:tcPr>
          <w:p w:rsidR="0073162D" w:rsidRDefault="001610CA" w:rsidP="0073162D">
            <w:pPr>
              <w:autoSpaceDE w:val="0"/>
              <w:autoSpaceDN w:val="0"/>
              <w:adjustRightInd w:val="0"/>
              <w:ind w:firstLine="0"/>
              <w:jc w:val="center"/>
              <w:rPr>
                <w:rFonts w:ascii="Times New Roman" w:eastAsia="Times New Roman" w:hAnsi="Times New Roman"/>
                <w:color w:val="000000"/>
                <w:sz w:val="18"/>
                <w:szCs w:val="18"/>
                <w:lang w:val="ru-RU" w:eastAsia="ru-RU"/>
              </w:rPr>
            </w:pPr>
            <w:r w:rsidRPr="0073162D">
              <w:rPr>
                <w:rFonts w:ascii="Times New Roman" w:eastAsia="Times New Roman" w:hAnsi="Times New Roman"/>
                <w:color w:val="000000"/>
                <w:sz w:val="18"/>
                <w:szCs w:val="18"/>
                <w:lang w:val="ru-RU" w:eastAsia="ru-RU"/>
              </w:rPr>
              <w:t xml:space="preserve">Розробка, запровадження </w:t>
            </w:r>
          </w:p>
          <w:p w:rsidR="001610CA" w:rsidRPr="0073162D" w:rsidRDefault="001610CA" w:rsidP="0073162D">
            <w:pPr>
              <w:autoSpaceDE w:val="0"/>
              <w:autoSpaceDN w:val="0"/>
              <w:adjustRightInd w:val="0"/>
              <w:ind w:firstLine="0"/>
              <w:jc w:val="center"/>
              <w:rPr>
                <w:rFonts w:ascii="Times New Roman" w:eastAsia="Times New Roman" w:hAnsi="Times New Roman"/>
                <w:color w:val="000000"/>
                <w:sz w:val="18"/>
                <w:szCs w:val="18"/>
                <w:lang w:val="ru-RU" w:eastAsia="ru-RU"/>
              </w:rPr>
            </w:pPr>
            <w:r w:rsidRPr="0073162D">
              <w:rPr>
                <w:rFonts w:ascii="Times New Roman" w:eastAsia="Times New Roman" w:hAnsi="Times New Roman"/>
                <w:color w:val="000000"/>
                <w:sz w:val="18"/>
                <w:szCs w:val="18"/>
                <w:lang w:val="ru-RU" w:eastAsia="ru-RU"/>
              </w:rPr>
              <w:t>та використання інформаційних систем збору, аналізу і використання об’єктивної інформації для ефективного управління навчальними програмами</w:t>
            </w:r>
          </w:p>
        </w:tc>
      </w:tr>
      <w:tr w:rsidR="001610CA" w:rsidRPr="0073162D" w:rsidTr="00197F22">
        <w:trPr>
          <w:trHeight w:val="358"/>
        </w:trPr>
        <w:tc>
          <w:tcPr>
            <w:tcW w:w="2268" w:type="dxa"/>
            <w:vAlign w:val="center"/>
          </w:tcPr>
          <w:p w:rsidR="001610CA" w:rsidRPr="0073162D" w:rsidRDefault="0073162D" w:rsidP="0073162D">
            <w:pPr>
              <w:autoSpaceDE w:val="0"/>
              <w:autoSpaceDN w:val="0"/>
              <w:adjustRightInd w:val="0"/>
              <w:ind w:firstLine="0"/>
              <w:jc w:val="center"/>
              <w:rPr>
                <w:rFonts w:ascii="Times New Roman" w:eastAsia="Times New Roman" w:hAnsi="Times New Roman"/>
                <w:color w:val="000000"/>
                <w:sz w:val="18"/>
                <w:szCs w:val="18"/>
                <w:lang w:val="ru-RU" w:eastAsia="ru-RU"/>
              </w:rPr>
            </w:pPr>
            <w:r>
              <w:rPr>
                <w:rFonts w:ascii="Times New Roman" w:eastAsia="Times New Roman" w:hAnsi="Times New Roman"/>
                <w:color w:val="000000"/>
                <w:sz w:val="18"/>
                <w:szCs w:val="18"/>
                <w:lang w:val="ru-RU" w:eastAsia="ru-RU"/>
              </w:rPr>
              <w:t>7. Публічність інформації</w:t>
            </w:r>
          </w:p>
        </w:tc>
        <w:tc>
          <w:tcPr>
            <w:tcW w:w="3892" w:type="dxa"/>
            <w:vAlign w:val="center"/>
          </w:tcPr>
          <w:p w:rsidR="001610CA" w:rsidRPr="0073162D" w:rsidRDefault="001610CA" w:rsidP="00197F22">
            <w:pPr>
              <w:autoSpaceDE w:val="0"/>
              <w:autoSpaceDN w:val="0"/>
              <w:adjustRightInd w:val="0"/>
              <w:ind w:firstLine="0"/>
              <w:jc w:val="center"/>
              <w:rPr>
                <w:rFonts w:ascii="Times New Roman" w:eastAsia="Times New Roman" w:hAnsi="Times New Roman"/>
                <w:color w:val="000000"/>
                <w:sz w:val="18"/>
                <w:szCs w:val="18"/>
                <w:lang w:val="ru-RU" w:eastAsia="ru-RU"/>
              </w:rPr>
            </w:pPr>
            <w:r w:rsidRPr="0073162D">
              <w:rPr>
                <w:rFonts w:ascii="Times New Roman" w:eastAsia="Times New Roman" w:hAnsi="Times New Roman"/>
                <w:color w:val="000000"/>
                <w:sz w:val="18"/>
                <w:szCs w:val="18"/>
                <w:lang w:val="ru-RU" w:eastAsia="ru-RU"/>
              </w:rPr>
              <w:t>Публікація найновішої та об’єктивної інформації про навчальні програми, умови отримання академічних ступенів, системи оцінювання та атестації</w:t>
            </w:r>
          </w:p>
        </w:tc>
      </w:tr>
    </w:tbl>
    <w:p w:rsidR="001610CA" w:rsidRPr="00130BFD" w:rsidRDefault="001610CA" w:rsidP="001610CA">
      <w:pPr>
        <w:autoSpaceDE w:val="0"/>
        <w:autoSpaceDN w:val="0"/>
        <w:adjustRightInd w:val="0"/>
        <w:rPr>
          <w:rFonts w:ascii="Georgia" w:eastAsia="Times New Roman" w:hAnsi="Georgia" w:cs="Georgia"/>
          <w:color w:val="000000"/>
          <w:lang w:val="ru-RU" w:eastAsia="ru-RU"/>
        </w:rPr>
      </w:pP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lastRenderedPageBreak/>
        <w:t xml:space="preserve">Створення і офіційне визначення політики і процедур забезпечення якості визначають шляхи і практичні засоби, які використовуються для досягнення високої ефективності функціонування системи забезпечення якості та сприяють визнанню з боку громадськості права університету на автономію.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iCs/>
          <w:color w:val="000000"/>
          <w:sz w:val="21"/>
          <w:szCs w:val="21"/>
          <w:lang w:val="ru-RU" w:eastAsia="ru-RU"/>
        </w:rPr>
        <w:t xml:space="preserve">2. Затвердження, моніторинг та періодичний перегляд навчальних програм і дипломів.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Стандарт: Розробити та офіційно затвердити механізми періодичного перегляду, моніторингу та вдосконалення своїх навчальних програм.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Забезпечення виконання стандарту: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Для забезпечення прозорості і привабливості навчальних програм, підтримання їхньої актуальності та попиту на них передбачається створення механізмів, які включають: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порядок розробки і формулювання очікуваних цілей і результатів навчання;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офіційно затверджені рекомендації та нормативні вимоги щодо створення освітньо-професійних програм, навчальних планів і навчальних програм дисциплін;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визначені вимоги та характеристики диференціації програм підготовки за формами навчання (денна, заочна, вечірня, дистанційне навчання) та за типами вищої освіти (академічна, професійна);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порядок внутрішньої експертизи, оцінки та затвердження програм, навчальних планів і навчальних програм дисциплін;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умови реалізації освітньо-професійних програм підготовки, їхня забезпеченість відповідними навчальними ресурсами;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аналіз ефективності реалізації навчальних програм, моніторинг успішності та досягнень студентів;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розробку процедур регулярного періодичного перегляду програм за участю працедавців, студентів та інших зацікавлених сторін.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iCs/>
          <w:color w:val="000000"/>
          <w:sz w:val="21"/>
          <w:szCs w:val="21"/>
          <w:lang w:val="ru-RU" w:eastAsia="ru-RU"/>
        </w:rPr>
        <w:t xml:space="preserve">3. Оцінювання студентів. </w:t>
      </w:r>
    </w:p>
    <w:p w:rsidR="001610CA" w:rsidRPr="002A5FB4" w:rsidRDefault="0073162D" w:rsidP="00291F85">
      <w:pPr>
        <w:autoSpaceDE w:val="0"/>
        <w:autoSpaceDN w:val="0"/>
        <w:adjustRightInd w:val="0"/>
        <w:ind w:firstLine="709"/>
        <w:jc w:val="both"/>
        <w:rPr>
          <w:rFonts w:ascii="Times New Roman" w:eastAsia="Times New Roman" w:hAnsi="Times New Roman"/>
          <w:color w:val="000000"/>
          <w:sz w:val="21"/>
          <w:szCs w:val="21"/>
          <w:lang w:val="ru-RU" w:eastAsia="ru-RU"/>
        </w:rPr>
      </w:pPr>
      <w:r>
        <w:rPr>
          <w:rFonts w:ascii="Times New Roman" w:eastAsia="Times New Roman" w:hAnsi="Times New Roman"/>
          <w:color w:val="000000"/>
          <w:sz w:val="21"/>
          <w:szCs w:val="21"/>
          <w:lang w:val="ru-RU" w:eastAsia="ru-RU"/>
        </w:rPr>
        <w:t>Стандарт: р</w:t>
      </w:r>
      <w:r w:rsidR="001610CA" w:rsidRPr="002A5FB4">
        <w:rPr>
          <w:rFonts w:ascii="Times New Roman" w:eastAsia="Times New Roman" w:hAnsi="Times New Roman"/>
          <w:color w:val="000000"/>
          <w:sz w:val="21"/>
          <w:szCs w:val="21"/>
          <w:lang w:val="ru-RU" w:eastAsia="ru-RU"/>
        </w:rPr>
        <w:t xml:space="preserve">озробити, офіційно затвердити та реалізовувати систему оцінювання знань, яка включає загальновідомі критерії, правила і процедури об’єктивності визначення результатів навчання.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lastRenderedPageBreak/>
        <w:t xml:space="preserve">Система оцінювання навчальних досягнень студентів має передбачати процедури: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встановлення відповідності досягнутих запланованих навчальних результатів передбачуваним цілям і результатам навчальної програми;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забезпечення проведення різнорівневих діагностичних заходів на етапах поточного та підсумкового контролю;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визначення однозначних, чітких й широкодоступних критеріїв оцінювання і екзаменаційних правил для всіх випадків контролю і атестації;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залучення викладачів та інших фахівців освітніх вимірювань, які здатні проводити оцінювання з врахуванням досягнення вимог майбутньої кваліфікації;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забезпечення об’єктивності і незалежності лише від одного екзаменатора результатів оцінювання; </w:t>
      </w:r>
    </w:p>
    <w:p w:rsidR="001610CA" w:rsidRPr="002A5FB4" w:rsidRDefault="0023489B" w:rsidP="001610CA">
      <w:pPr>
        <w:pStyle w:val="Default"/>
        <w:ind w:firstLine="709"/>
        <w:jc w:val="both"/>
        <w:rPr>
          <w:rFonts w:eastAsia="Times New Roman"/>
          <w:sz w:val="21"/>
          <w:szCs w:val="21"/>
        </w:rPr>
      </w:pPr>
      <w:r>
        <w:rPr>
          <w:rFonts w:eastAsia="Times New Roman"/>
          <w:sz w:val="21"/>
          <w:szCs w:val="21"/>
        </w:rPr>
        <w:t xml:space="preserve">– </w:t>
      </w:r>
      <w:r w:rsidR="001610CA" w:rsidRPr="002A5FB4">
        <w:rPr>
          <w:rFonts w:eastAsia="Times New Roman"/>
          <w:sz w:val="21"/>
          <w:szCs w:val="21"/>
        </w:rPr>
        <w:t xml:space="preserve">встановлення чітких правил врегулювання випадків відсутності студента через поважні обставини;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забезпечення адміністративного нагляду і перевірок дотримання встановлених вищим навчальним закладом процедур оцінювання.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Важливою умовою функціонування системи оцінювання навчальних досягнень є реалізації чіткого механізму інформування студентів про стратегію оцінювання, яка впроваджена в університеті та її конкретне застосування щодо їхньої навчальної програми, а також оприлюднення критеріїв оцінювання успішності з даної навчальної дисципліни.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iCs/>
          <w:color w:val="000000"/>
          <w:sz w:val="21"/>
          <w:szCs w:val="21"/>
          <w:lang w:val="ru-RU" w:eastAsia="ru-RU"/>
        </w:rPr>
        <w:t xml:space="preserve">4. Забезпечення якості викладацького складу. </w:t>
      </w:r>
    </w:p>
    <w:p w:rsidR="001610CA" w:rsidRPr="002A5FB4" w:rsidRDefault="0073162D"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Pr>
          <w:rFonts w:ascii="Times New Roman" w:eastAsia="Times New Roman" w:hAnsi="Times New Roman"/>
          <w:color w:val="000000"/>
          <w:sz w:val="21"/>
          <w:szCs w:val="21"/>
          <w:lang w:val="ru-RU" w:eastAsia="ru-RU"/>
        </w:rPr>
        <w:t>Стандарт: в</w:t>
      </w:r>
      <w:r w:rsidR="001610CA" w:rsidRPr="002A5FB4">
        <w:rPr>
          <w:rFonts w:ascii="Times New Roman" w:eastAsia="Times New Roman" w:hAnsi="Times New Roman"/>
          <w:color w:val="000000"/>
          <w:sz w:val="21"/>
          <w:szCs w:val="21"/>
          <w:lang w:val="ru-RU" w:eastAsia="ru-RU"/>
        </w:rPr>
        <w:t xml:space="preserve">изначити процедури і критерії, які б засвідчували відповідну кваліфікацію і високий фаховий рівень викладачів.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Забезпечення виконання стандарту: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Якість освітніх послуг, ефективність навчальних програм в першу чергу визначаються якісним складом викладачів та умовами в яких вони можуть ефективно передавати студентам свої знання, досвід і розуміння предмету в різних ситуаціях навчання. Вищий навчальний заклад має запровадити систему кадрового забезпечення, яка передбачає: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lastRenderedPageBreak/>
        <w:t xml:space="preserve">– офіційно визначені процедури відбору та призначення на посаду нових викладачів відповідно до їхнього рівня професійної компетенції;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розроблені засоби оцінки якості навчальної діяльності професорсько-викладацького складу, та умови доступу викладачів до інформації про оцінку їхньої роботи;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реалізацію механізму підвищення кваліфікації і вдосконалення фахової майстерності, який включає умови стимулювання і визнання професійних досягнень;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передбачати умови професійного вдосконалення до необхідного рівня для слабких викладачів, та встановлені механізми звільнення з викладацьких посад осіб, що виявляють професійну нездатність.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iCs/>
          <w:color w:val="000000"/>
          <w:sz w:val="21"/>
          <w:szCs w:val="21"/>
          <w:lang w:val="ru-RU" w:eastAsia="ru-RU"/>
        </w:rPr>
        <w:t xml:space="preserve">5. Навчальні ресурси та підтримка студентів. </w:t>
      </w:r>
    </w:p>
    <w:p w:rsidR="001610CA" w:rsidRPr="002A5FB4" w:rsidRDefault="0073162D"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Pr>
          <w:rFonts w:ascii="Times New Roman" w:eastAsia="Times New Roman" w:hAnsi="Times New Roman"/>
          <w:color w:val="000000"/>
          <w:sz w:val="21"/>
          <w:szCs w:val="21"/>
          <w:lang w:val="ru-RU" w:eastAsia="ru-RU"/>
        </w:rPr>
        <w:t>Стандарт: д</w:t>
      </w:r>
      <w:r w:rsidR="001610CA" w:rsidRPr="002A5FB4">
        <w:rPr>
          <w:rFonts w:ascii="Times New Roman" w:eastAsia="Times New Roman" w:hAnsi="Times New Roman"/>
          <w:color w:val="000000"/>
          <w:sz w:val="21"/>
          <w:szCs w:val="21"/>
          <w:lang w:val="ru-RU" w:eastAsia="ru-RU"/>
        </w:rPr>
        <w:t xml:space="preserve">остатня забезпеченість навчально-лабораторним обладнанням і навчально-методичними матеріалами, лабораторними і навчальними приміщеннями, які відповідають програмним вимогам викладання.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Забезпечення виконання стандарту: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Для успішного виконання навчальних програм студенти мають забезпечуватися крім високого рівня викладання ще й іншими ресурсами, які допомагають їхньому навчанню. До цих ресурсів потрібно віднести бібліотеки, навчальні й лабораторні приміщення, навчальне обладнанням і методичні матеріалами, комп’ютери і програмне забезпечення, а також допомогу різного роду служб і консультантів.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Вищі навчальні заклади повинні постійно реагувати на відгуки студентів, відслідковувати, переглядати і вдосконалювати ефективність роботи служб підтримки, доступних для студентів.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iCs/>
          <w:color w:val="000000"/>
          <w:sz w:val="21"/>
          <w:szCs w:val="21"/>
          <w:lang w:val="ru-RU" w:eastAsia="ru-RU"/>
        </w:rPr>
        <w:t xml:space="preserve">6. Інформаційні системи. </w:t>
      </w:r>
    </w:p>
    <w:p w:rsidR="001610CA" w:rsidRPr="002A5FB4" w:rsidRDefault="0073162D"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Pr>
          <w:rFonts w:ascii="Times New Roman" w:eastAsia="Times New Roman" w:hAnsi="Times New Roman"/>
          <w:color w:val="000000"/>
          <w:sz w:val="21"/>
          <w:szCs w:val="21"/>
          <w:lang w:val="ru-RU" w:eastAsia="ru-RU"/>
        </w:rPr>
        <w:t>Стандарт: р</w:t>
      </w:r>
      <w:r w:rsidR="001610CA" w:rsidRPr="002A5FB4">
        <w:rPr>
          <w:rFonts w:ascii="Times New Roman" w:eastAsia="Times New Roman" w:hAnsi="Times New Roman"/>
          <w:color w:val="000000"/>
          <w:sz w:val="21"/>
          <w:szCs w:val="21"/>
          <w:lang w:val="ru-RU" w:eastAsia="ru-RU"/>
        </w:rPr>
        <w:t>озроб</w:t>
      </w:r>
      <w:r>
        <w:rPr>
          <w:rFonts w:ascii="Times New Roman" w:eastAsia="Times New Roman" w:hAnsi="Times New Roman"/>
          <w:color w:val="000000"/>
          <w:sz w:val="21"/>
          <w:szCs w:val="21"/>
          <w:lang w:val="ru-RU" w:eastAsia="ru-RU"/>
        </w:rPr>
        <w:t>ити та</w:t>
      </w:r>
      <w:r w:rsidR="001610CA" w:rsidRPr="002A5FB4">
        <w:rPr>
          <w:rFonts w:ascii="Times New Roman" w:eastAsia="Times New Roman" w:hAnsi="Times New Roman"/>
          <w:color w:val="000000"/>
          <w:sz w:val="21"/>
          <w:szCs w:val="21"/>
          <w:lang w:val="ru-RU" w:eastAsia="ru-RU"/>
        </w:rPr>
        <w:t xml:space="preserve"> запровад</w:t>
      </w:r>
      <w:r>
        <w:rPr>
          <w:rFonts w:ascii="Times New Roman" w:eastAsia="Times New Roman" w:hAnsi="Times New Roman"/>
          <w:color w:val="000000"/>
          <w:sz w:val="21"/>
          <w:szCs w:val="21"/>
          <w:lang w:val="ru-RU" w:eastAsia="ru-RU"/>
        </w:rPr>
        <w:t>ити</w:t>
      </w:r>
      <w:r w:rsidR="001610CA" w:rsidRPr="002A5FB4">
        <w:rPr>
          <w:rFonts w:ascii="Times New Roman" w:eastAsia="Times New Roman" w:hAnsi="Times New Roman"/>
          <w:color w:val="000000"/>
          <w:sz w:val="21"/>
          <w:szCs w:val="21"/>
          <w:lang w:val="ru-RU" w:eastAsia="ru-RU"/>
        </w:rPr>
        <w:t xml:space="preserve"> </w:t>
      </w:r>
      <w:r>
        <w:rPr>
          <w:rFonts w:ascii="Times New Roman" w:eastAsia="Times New Roman" w:hAnsi="Times New Roman"/>
          <w:color w:val="000000"/>
          <w:sz w:val="21"/>
          <w:szCs w:val="21"/>
          <w:lang w:val="ru-RU" w:eastAsia="ru-RU"/>
        </w:rPr>
        <w:t>у</w:t>
      </w:r>
      <w:r w:rsidR="001610CA" w:rsidRPr="002A5FB4">
        <w:rPr>
          <w:rFonts w:ascii="Times New Roman" w:eastAsia="Times New Roman" w:hAnsi="Times New Roman"/>
          <w:color w:val="000000"/>
          <w:sz w:val="21"/>
          <w:szCs w:val="21"/>
          <w:lang w:val="ru-RU" w:eastAsia="ru-RU"/>
        </w:rPr>
        <w:t xml:space="preserve"> використання інформаційн</w:t>
      </w:r>
      <w:r>
        <w:rPr>
          <w:rFonts w:ascii="Times New Roman" w:eastAsia="Times New Roman" w:hAnsi="Times New Roman"/>
          <w:color w:val="000000"/>
          <w:sz w:val="21"/>
          <w:szCs w:val="21"/>
          <w:lang w:val="ru-RU" w:eastAsia="ru-RU"/>
        </w:rPr>
        <w:t>і</w:t>
      </w:r>
      <w:r w:rsidR="001610CA" w:rsidRPr="002A5FB4">
        <w:rPr>
          <w:rFonts w:ascii="Times New Roman" w:eastAsia="Times New Roman" w:hAnsi="Times New Roman"/>
          <w:color w:val="000000"/>
          <w:sz w:val="21"/>
          <w:szCs w:val="21"/>
          <w:lang w:val="ru-RU" w:eastAsia="ru-RU"/>
        </w:rPr>
        <w:t xml:space="preserve"> систем</w:t>
      </w:r>
      <w:r>
        <w:rPr>
          <w:rFonts w:ascii="Times New Roman" w:eastAsia="Times New Roman" w:hAnsi="Times New Roman"/>
          <w:color w:val="000000"/>
          <w:sz w:val="21"/>
          <w:szCs w:val="21"/>
          <w:lang w:val="ru-RU" w:eastAsia="ru-RU"/>
        </w:rPr>
        <w:t>и</w:t>
      </w:r>
      <w:r w:rsidR="001610CA" w:rsidRPr="002A5FB4">
        <w:rPr>
          <w:rFonts w:ascii="Times New Roman" w:eastAsia="Times New Roman" w:hAnsi="Times New Roman"/>
          <w:color w:val="000000"/>
          <w:sz w:val="21"/>
          <w:szCs w:val="21"/>
          <w:lang w:val="ru-RU" w:eastAsia="ru-RU"/>
        </w:rPr>
        <w:t xml:space="preserve"> збору, аналізу і використання об’єктивної інформації для ефективного управління навчальними програмами.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Забезпечення виконання стандарту: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Вищий навчальний заклад для ефективного забезпечення якості має здійснювати постійний самоаналіз, для чого йому необхідні засоби збору й аналізу інформації про свою власну діяльність.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lastRenderedPageBreak/>
        <w:t xml:space="preserve">Знаряддям забезпечення об’єктивної сторони такого самоаналізу послуговує інформаційна система конкретного навчального закладу, яка забезпечує моніторинг якості, оперативний облік процесів і ресурсів, достовірну архівацію даних про стан навчальних (кадрових, навчально-методичних, інформаційно-бібліотечних, матеріальних тощо) ресурсів, аналітичну обробку, оперативний пошук, передачу і необхідне представлення відповідної інформації.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До переліку основних складових такої інформаційної системи щонайменше мають входити модулі, що відображатимуть: </w:t>
      </w:r>
    </w:p>
    <w:p w:rsidR="001610CA" w:rsidRPr="002A5FB4" w:rsidRDefault="001610CA" w:rsidP="001610CA">
      <w:pPr>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характеристики контингенту студентського складу;</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результати моніторингу досягнень студентів та показники їхньої успішності;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структуру навчальних програм та їх ресурсного забезпечення;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механізми оцінювання студентами якості діючих навчальних програм;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ефективність роботи професорсько-викладацького складу;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загальні характеристики та основні показники діяльності вищого навчального закладу та порівняння з показниками інших однопрофільних закладів;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 інформацію про місце навчального закладу серед інших університетів з посиланнями на результати вітчизняних, європейських та світових рейтингів.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Системний облік і аналіз ресурсів має стати ефективним інструментом в руках керівництва вищого навчального закладу для забезпечення та поліпшення якості освітньої діяльності закладу.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iCs/>
          <w:color w:val="000000"/>
          <w:sz w:val="21"/>
          <w:szCs w:val="21"/>
          <w:lang w:val="ru-RU" w:eastAsia="ru-RU"/>
        </w:rPr>
        <w:t xml:space="preserve">7. Публічність інформації.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Стандарт: Публікація найновішої та об’єктивної інформації про навчальні програми, умови отримання академічних ступенів, системи оцінювання та атестації.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Забезпечення виконання стандарту: </w:t>
      </w:r>
    </w:p>
    <w:p w:rsidR="001610CA" w:rsidRPr="002A5FB4" w:rsidRDefault="001610CA" w:rsidP="001610CA">
      <w:pPr>
        <w:autoSpaceDE w:val="0"/>
        <w:autoSpaceDN w:val="0"/>
        <w:adjustRightInd w:val="0"/>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 xml:space="preserve">Вищий навчальний заклад має забезпечувати прозорість своєї освітньої діяльності, надавати інформацію про пропоновані програми і присвоювані кваліфікації, очікувані результати навчання, оприлюднювати процедури викладання, навчання і оцінювання знань та повідомляти про інші навчальні можливості, які доступні студентам. Навчальний заклад повинен відповідально </w:t>
      </w:r>
      <w:r w:rsidRPr="002A5FB4">
        <w:rPr>
          <w:rFonts w:ascii="Times New Roman" w:eastAsia="Times New Roman" w:hAnsi="Times New Roman"/>
          <w:color w:val="000000"/>
          <w:sz w:val="21"/>
          <w:szCs w:val="21"/>
          <w:lang w:val="ru-RU" w:eastAsia="ru-RU"/>
        </w:rPr>
        <w:lastRenderedPageBreak/>
        <w:t>забезпечувати точність, неупередженість, об’єктивність і широку доступність пропонованої інформації [</w:t>
      </w:r>
      <w:r w:rsidR="00772FFF">
        <w:rPr>
          <w:rFonts w:ascii="Times New Roman" w:eastAsia="Times New Roman" w:hAnsi="Times New Roman"/>
          <w:color w:val="000000"/>
          <w:sz w:val="21"/>
          <w:szCs w:val="21"/>
          <w:highlight w:val="yellow"/>
          <w:lang w:val="ru-RU" w:eastAsia="ru-RU"/>
        </w:rPr>
        <w:fldChar w:fldCharType="begin"/>
      </w:r>
      <w:r w:rsidR="00772FFF">
        <w:rPr>
          <w:rFonts w:ascii="Times New Roman" w:eastAsia="Times New Roman" w:hAnsi="Times New Roman"/>
          <w:color w:val="000000"/>
          <w:sz w:val="21"/>
          <w:szCs w:val="21"/>
          <w:lang w:val="ru-RU" w:eastAsia="ru-RU"/>
        </w:rPr>
        <w:instrText xml:space="preserve"> REF _Ref436215582 \r \h </w:instrText>
      </w:r>
      <w:r w:rsidR="00772FFF">
        <w:rPr>
          <w:rFonts w:ascii="Times New Roman" w:eastAsia="Times New Roman" w:hAnsi="Times New Roman"/>
          <w:color w:val="000000"/>
          <w:sz w:val="21"/>
          <w:szCs w:val="21"/>
          <w:highlight w:val="yellow"/>
          <w:lang w:val="ru-RU" w:eastAsia="ru-RU"/>
        </w:rPr>
      </w:r>
      <w:r w:rsidR="00772FFF">
        <w:rPr>
          <w:rFonts w:ascii="Times New Roman" w:eastAsia="Times New Roman" w:hAnsi="Times New Roman"/>
          <w:color w:val="000000"/>
          <w:sz w:val="21"/>
          <w:szCs w:val="21"/>
          <w:highlight w:val="yellow"/>
          <w:lang w:val="ru-RU" w:eastAsia="ru-RU"/>
        </w:rPr>
        <w:fldChar w:fldCharType="separate"/>
      </w:r>
      <w:r w:rsidR="00772FFF">
        <w:rPr>
          <w:rFonts w:ascii="Times New Roman" w:eastAsia="Times New Roman" w:hAnsi="Times New Roman"/>
          <w:color w:val="000000"/>
          <w:sz w:val="21"/>
          <w:szCs w:val="21"/>
          <w:lang w:val="ru-RU" w:eastAsia="ru-RU"/>
        </w:rPr>
        <w:t>40</w:t>
      </w:r>
      <w:r w:rsidR="00772FFF">
        <w:rPr>
          <w:rFonts w:ascii="Times New Roman" w:eastAsia="Times New Roman" w:hAnsi="Times New Roman"/>
          <w:color w:val="000000"/>
          <w:sz w:val="21"/>
          <w:szCs w:val="21"/>
          <w:highlight w:val="yellow"/>
          <w:lang w:val="ru-RU" w:eastAsia="ru-RU"/>
        </w:rPr>
        <w:fldChar w:fldCharType="end"/>
      </w:r>
      <w:r w:rsidRPr="002A5FB4">
        <w:rPr>
          <w:rFonts w:ascii="Times New Roman" w:eastAsia="Times New Roman" w:hAnsi="Times New Roman"/>
          <w:color w:val="000000"/>
          <w:sz w:val="21"/>
          <w:szCs w:val="21"/>
          <w:lang w:val="ru-RU" w:eastAsia="ru-RU"/>
        </w:rPr>
        <w:t xml:space="preserve">]. </w:t>
      </w:r>
    </w:p>
    <w:p w:rsidR="001610CA" w:rsidRPr="00D558C2" w:rsidRDefault="001610CA" w:rsidP="001610CA">
      <w:pPr>
        <w:ind w:firstLine="709"/>
        <w:jc w:val="both"/>
        <w:rPr>
          <w:rFonts w:ascii="Times New Roman" w:eastAsia="Times New Roman" w:hAnsi="Times New Roman"/>
          <w:color w:val="000000"/>
          <w:sz w:val="21"/>
          <w:szCs w:val="21"/>
          <w:lang w:val="ru-RU" w:eastAsia="ru-RU"/>
        </w:rPr>
      </w:pPr>
      <w:r w:rsidRPr="002A5FB4">
        <w:rPr>
          <w:rFonts w:ascii="Times New Roman" w:eastAsia="Times New Roman" w:hAnsi="Times New Roman"/>
          <w:color w:val="000000"/>
          <w:sz w:val="21"/>
          <w:szCs w:val="21"/>
          <w:lang w:val="ru-RU" w:eastAsia="ru-RU"/>
        </w:rPr>
        <w:t>Отже, розбудова системи забезпечення якості вищої освіти на інституційному рівні може спиратися на європейські стандарти внутрішнього забезпечення якості у вищих навчальних закладах для досягнення високої ефективності функціонування університету, його визнання з боку громадськості та підвищення статусу університету на міжнародному рівні. Реалізація представлених напрямів забезпечення виконання стандарту через розробку і впровадження відповідних положень, інформаційних і методичних систем, нормативних документів і рекомендацій реально наповнить представлену теоретичну модель і спрятиме ефективному функціонуванню системи забезпечен</w:t>
      </w:r>
      <w:r w:rsidR="00772FFF">
        <w:rPr>
          <w:rFonts w:ascii="Times New Roman" w:eastAsia="Times New Roman" w:hAnsi="Times New Roman"/>
          <w:color w:val="000000"/>
          <w:sz w:val="21"/>
          <w:szCs w:val="21"/>
          <w:lang w:val="ru-RU" w:eastAsia="ru-RU"/>
        </w:rPr>
        <w:t>ня якості</w:t>
      </w:r>
      <w:r w:rsidRPr="002A5FB4">
        <w:rPr>
          <w:rFonts w:ascii="Times New Roman" w:eastAsia="Times New Roman" w:hAnsi="Times New Roman"/>
          <w:color w:val="000000"/>
          <w:sz w:val="21"/>
          <w:szCs w:val="21"/>
          <w:lang w:val="ru-RU" w:eastAsia="ru-RU"/>
        </w:rPr>
        <w:t>.</w:t>
      </w:r>
    </w:p>
    <w:p w:rsidR="00B233DE" w:rsidRDefault="001610CA" w:rsidP="001610CA">
      <w:pPr>
        <w:tabs>
          <w:tab w:val="left" w:pos="0"/>
          <w:tab w:val="left" w:pos="180"/>
          <w:tab w:val="left" w:pos="993"/>
          <w:tab w:val="left" w:pos="1134"/>
        </w:tabs>
        <w:ind w:firstLine="709"/>
        <w:jc w:val="both"/>
        <w:rPr>
          <w:rFonts w:ascii="Times New Roman" w:hAnsi="Times New Roman" w:cs="Times New Roman"/>
          <w:sz w:val="21"/>
          <w:szCs w:val="21"/>
        </w:rPr>
      </w:pPr>
      <w:r w:rsidRPr="00F42A0D">
        <w:rPr>
          <w:rFonts w:ascii="Times New Roman" w:hAnsi="Times New Roman"/>
          <w:sz w:val="21"/>
          <w:szCs w:val="21"/>
        </w:rPr>
        <w:t>На сьогодні в Україні лише формується система забезпечення якості вищої освіти. Так, на державному рівні розробляються і приймаються нормативні документи з питань забезпечення якості освіти, затверджуються механізм і процедури її контролю. В той же час, на сьогодні у сфері вищої освіти, і, зокрема, в питань державного регулювання забезпечення її якості, існує ще цілий ряд проблем, які потребують нагального вирішення.</w:t>
      </w:r>
    </w:p>
    <w:p w:rsidR="00B233DE" w:rsidRDefault="00B233DE" w:rsidP="00A273F1">
      <w:pPr>
        <w:tabs>
          <w:tab w:val="left" w:pos="0"/>
          <w:tab w:val="left" w:pos="180"/>
          <w:tab w:val="left" w:pos="993"/>
          <w:tab w:val="left" w:pos="1134"/>
        </w:tabs>
        <w:ind w:firstLine="709"/>
        <w:jc w:val="both"/>
        <w:rPr>
          <w:rFonts w:ascii="Times New Roman" w:hAnsi="Times New Roman" w:cs="Times New Roman"/>
          <w:sz w:val="21"/>
          <w:szCs w:val="21"/>
        </w:rPr>
      </w:pPr>
    </w:p>
    <w:p w:rsidR="0023489B" w:rsidRDefault="0023489B" w:rsidP="00A273F1">
      <w:pPr>
        <w:tabs>
          <w:tab w:val="left" w:pos="0"/>
          <w:tab w:val="left" w:pos="180"/>
          <w:tab w:val="left" w:pos="993"/>
          <w:tab w:val="left" w:pos="1134"/>
        </w:tabs>
        <w:ind w:firstLine="709"/>
        <w:jc w:val="both"/>
        <w:rPr>
          <w:rFonts w:ascii="Times New Roman" w:hAnsi="Times New Roman" w:cs="Times New Roman"/>
          <w:sz w:val="21"/>
          <w:szCs w:val="21"/>
        </w:rPr>
      </w:pPr>
    </w:p>
    <w:p w:rsidR="0023489B" w:rsidRPr="00E20C1F" w:rsidRDefault="0023489B" w:rsidP="0023489B">
      <w:pPr>
        <w:pStyle w:val="afb"/>
        <w:shd w:val="clear" w:color="auto" w:fill="auto"/>
        <w:tabs>
          <w:tab w:val="left" w:pos="394"/>
          <w:tab w:val="left" w:pos="426"/>
        </w:tabs>
        <w:spacing w:before="0" w:line="240" w:lineRule="auto"/>
        <w:ind w:right="40" w:firstLine="709"/>
        <w:contextualSpacing/>
        <w:jc w:val="center"/>
        <w:rPr>
          <w:b/>
          <w:sz w:val="21"/>
          <w:szCs w:val="21"/>
        </w:rPr>
      </w:pPr>
      <w:r>
        <w:rPr>
          <w:rFonts w:ascii="UkrainianPeterburg" w:hAnsi="UkrainianPeterburg"/>
          <w:b/>
          <w:sz w:val="21"/>
          <w:szCs w:val="21"/>
        </w:rPr>
        <w:t>7</w:t>
      </w:r>
      <w:r w:rsidRPr="00E20C1F">
        <w:rPr>
          <w:rFonts w:ascii="UkrainianPeterburg" w:hAnsi="UkrainianPeterburg"/>
          <w:b/>
          <w:sz w:val="21"/>
          <w:szCs w:val="21"/>
        </w:rPr>
        <w:t>.</w:t>
      </w:r>
      <w:r>
        <w:rPr>
          <w:rFonts w:ascii="UkrainianPeterburg" w:hAnsi="UkrainianPeterburg"/>
          <w:b/>
          <w:sz w:val="21"/>
          <w:szCs w:val="21"/>
        </w:rPr>
        <w:t>2</w:t>
      </w:r>
      <w:r w:rsidRPr="00E20C1F">
        <w:rPr>
          <w:rFonts w:ascii="UkrainianPeterburg" w:hAnsi="UkrainianPeterburg"/>
          <w:b/>
          <w:sz w:val="21"/>
          <w:szCs w:val="21"/>
        </w:rPr>
        <w:t xml:space="preserve">. </w:t>
      </w:r>
      <w:r>
        <w:rPr>
          <w:rFonts w:ascii="UkrainianPeterburg" w:hAnsi="UkrainianPeterburg"/>
          <w:b/>
          <w:sz w:val="21"/>
          <w:szCs w:val="21"/>
        </w:rPr>
        <w:t>Реформування фінансово-господарської діяльності ВНЗ у підвищенні людського потенціалу</w:t>
      </w:r>
    </w:p>
    <w:p w:rsidR="0023489B" w:rsidRDefault="0023489B" w:rsidP="00A273F1">
      <w:pPr>
        <w:tabs>
          <w:tab w:val="left" w:pos="0"/>
          <w:tab w:val="left" w:pos="180"/>
          <w:tab w:val="left" w:pos="993"/>
          <w:tab w:val="left" w:pos="1134"/>
        </w:tabs>
        <w:ind w:firstLine="709"/>
        <w:jc w:val="both"/>
        <w:rPr>
          <w:rFonts w:ascii="Times New Roman" w:hAnsi="Times New Roman" w:cs="Times New Roman"/>
          <w:sz w:val="21"/>
          <w:szCs w:val="21"/>
        </w:rPr>
      </w:pPr>
    </w:p>
    <w:p w:rsidR="00197F22" w:rsidRDefault="00197F22" w:rsidP="00A273F1">
      <w:pPr>
        <w:tabs>
          <w:tab w:val="left" w:pos="0"/>
          <w:tab w:val="left" w:pos="180"/>
          <w:tab w:val="left" w:pos="993"/>
          <w:tab w:val="left" w:pos="1134"/>
        </w:tabs>
        <w:ind w:firstLine="709"/>
        <w:jc w:val="both"/>
        <w:rPr>
          <w:rFonts w:ascii="Times New Roman" w:hAnsi="Times New Roman" w:cs="Times New Roman"/>
          <w:sz w:val="21"/>
          <w:szCs w:val="21"/>
        </w:rPr>
      </w:pPr>
    </w:p>
    <w:p w:rsidR="0023489B" w:rsidRPr="005C70D4" w:rsidRDefault="0023489B" w:rsidP="0023489B">
      <w:pPr>
        <w:ind w:firstLine="709"/>
        <w:jc w:val="both"/>
        <w:rPr>
          <w:rFonts w:ascii="Times New Roman" w:hAnsi="Times New Roman"/>
          <w:sz w:val="21"/>
          <w:szCs w:val="21"/>
        </w:rPr>
      </w:pPr>
      <w:r>
        <w:rPr>
          <w:rFonts w:ascii="Times New Roman" w:hAnsi="Times New Roman"/>
          <w:sz w:val="21"/>
          <w:szCs w:val="21"/>
        </w:rPr>
        <w:t>Вітчизняний</w:t>
      </w:r>
      <w:r w:rsidRPr="005C70D4">
        <w:rPr>
          <w:rFonts w:ascii="Times New Roman" w:hAnsi="Times New Roman"/>
          <w:sz w:val="21"/>
          <w:szCs w:val="21"/>
        </w:rPr>
        <w:t xml:space="preserve"> досвід управління в сфері вищої освіти </w:t>
      </w:r>
      <w:r>
        <w:rPr>
          <w:rFonts w:ascii="Times New Roman" w:hAnsi="Times New Roman"/>
          <w:sz w:val="21"/>
          <w:szCs w:val="21"/>
        </w:rPr>
        <w:t xml:space="preserve">слід </w:t>
      </w:r>
      <w:r w:rsidRPr="005C70D4">
        <w:rPr>
          <w:rFonts w:ascii="Times New Roman" w:hAnsi="Times New Roman"/>
          <w:sz w:val="21"/>
          <w:szCs w:val="21"/>
        </w:rPr>
        <w:t>розгля</w:t>
      </w:r>
      <w:r>
        <w:rPr>
          <w:rFonts w:ascii="Times New Roman" w:hAnsi="Times New Roman"/>
          <w:sz w:val="21"/>
          <w:szCs w:val="21"/>
        </w:rPr>
        <w:t>дати</w:t>
      </w:r>
      <w:r w:rsidRPr="005C70D4">
        <w:rPr>
          <w:rFonts w:ascii="Times New Roman" w:hAnsi="Times New Roman"/>
          <w:sz w:val="21"/>
          <w:szCs w:val="21"/>
        </w:rPr>
        <w:t xml:space="preserve"> з точки зору суспільно-економічних процесів у державі з початку ХХ століття і до сьогодні. Умовно зазначений період </w:t>
      </w:r>
      <w:r>
        <w:rPr>
          <w:rFonts w:ascii="Times New Roman" w:hAnsi="Times New Roman"/>
          <w:sz w:val="21"/>
          <w:szCs w:val="21"/>
        </w:rPr>
        <w:t>можна розділити</w:t>
      </w:r>
      <w:r w:rsidRPr="005C70D4">
        <w:rPr>
          <w:rFonts w:ascii="Times New Roman" w:hAnsi="Times New Roman"/>
          <w:sz w:val="21"/>
          <w:szCs w:val="21"/>
        </w:rPr>
        <w:t xml:space="preserve"> на декілька етапів та </w:t>
      </w:r>
      <w:r>
        <w:rPr>
          <w:rFonts w:ascii="Times New Roman" w:hAnsi="Times New Roman"/>
          <w:sz w:val="21"/>
          <w:szCs w:val="21"/>
        </w:rPr>
        <w:t>визначити</w:t>
      </w:r>
      <w:r w:rsidRPr="005C70D4">
        <w:rPr>
          <w:rFonts w:ascii="Times New Roman" w:hAnsi="Times New Roman"/>
          <w:sz w:val="21"/>
          <w:szCs w:val="21"/>
        </w:rPr>
        <w:t xml:space="preserve"> характерні ознаки розвитку вищої школи для кожного з цих періодів.</w:t>
      </w:r>
    </w:p>
    <w:p w:rsidR="0023489B" w:rsidRPr="002B60ED" w:rsidRDefault="0023489B" w:rsidP="0023489B">
      <w:pPr>
        <w:ind w:firstLine="708"/>
        <w:jc w:val="both"/>
        <w:rPr>
          <w:rFonts w:ascii="Times New Roman" w:hAnsi="Times New Roman" w:cs="Times New Roman"/>
          <w:sz w:val="21"/>
          <w:szCs w:val="21"/>
        </w:rPr>
      </w:pPr>
      <w:r w:rsidRPr="005C70D4">
        <w:rPr>
          <w:rFonts w:ascii="Times New Roman" w:hAnsi="Times New Roman"/>
          <w:sz w:val="21"/>
          <w:szCs w:val="21"/>
        </w:rPr>
        <w:t>У</w:t>
      </w:r>
      <w:r>
        <w:rPr>
          <w:rFonts w:ascii="Times New Roman" w:hAnsi="Times New Roman"/>
          <w:sz w:val="21"/>
          <w:szCs w:val="21"/>
        </w:rPr>
        <w:t xml:space="preserve"> дореволюційній Україні (1900–</w:t>
      </w:r>
      <w:r w:rsidRPr="005C70D4">
        <w:rPr>
          <w:rFonts w:ascii="Times New Roman" w:hAnsi="Times New Roman"/>
          <w:sz w:val="21"/>
          <w:szCs w:val="21"/>
        </w:rPr>
        <w:t xml:space="preserve">1917 роки) вищі навчальні заклади були в складі розгалуженої системи урядових інстанцій та місцевих органів, побудованої за принципом централізму, на чолі якої стояв імператор. На початок 1917 року система вищої освіти включала 31 державний вищий навчальний заклад, що підпорядковувались державним міністерствам та відомствам, та неурядові вищі навчальні заклади, створені за ініціативою інтелігенції та на кошти торгово-промислових кіл. Причому, </w:t>
      </w:r>
      <w:r w:rsidRPr="005C70D4">
        <w:rPr>
          <w:rFonts w:ascii="Times New Roman" w:hAnsi="Times New Roman"/>
          <w:sz w:val="21"/>
          <w:szCs w:val="21"/>
        </w:rPr>
        <w:lastRenderedPageBreak/>
        <w:t>кількість останніх, які мали статус приватних, у період останніх дореволюційних років, н</w:t>
      </w:r>
      <w:r>
        <w:rPr>
          <w:rFonts w:ascii="Times New Roman" w:hAnsi="Times New Roman"/>
          <w:sz w:val="21"/>
          <w:szCs w:val="21"/>
        </w:rPr>
        <w:t>евпинно збільшувалась. У 1900–</w:t>
      </w:r>
      <w:r w:rsidRPr="005C70D4">
        <w:rPr>
          <w:rFonts w:ascii="Times New Roman" w:hAnsi="Times New Roman"/>
          <w:sz w:val="21"/>
          <w:szCs w:val="21"/>
        </w:rPr>
        <w:t xml:space="preserve">1917 рр. у Російській імперії працювало біля 80 недержавних навчальних закладів, біля третини з яких знаходилась на Україні. Ці ВНЗ утримувались за рахунок доброчинних пожертвувань </w:t>
      </w:r>
      <w:r w:rsidRPr="002B60ED">
        <w:rPr>
          <w:rFonts w:ascii="Times New Roman" w:hAnsi="Times New Roman" w:cs="Times New Roman"/>
          <w:sz w:val="21"/>
          <w:szCs w:val="21"/>
        </w:rPr>
        <w:t>кооперативних і громадських об’єднань, меценатів і плати за навчання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_Ref436215801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32</w:t>
      </w:r>
      <w:r w:rsidR="00772FFF">
        <w:rPr>
          <w:rFonts w:ascii="Times New Roman" w:hAnsi="Times New Roman" w:cs="Times New Roman"/>
          <w:sz w:val="21"/>
          <w:szCs w:val="21"/>
          <w:highlight w:val="yellow"/>
        </w:rPr>
        <w:fldChar w:fldCharType="end"/>
      </w:r>
      <w:r w:rsidRPr="002B60ED">
        <w:rPr>
          <w:rFonts w:ascii="Times New Roman" w:hAnsi="Times New Roman" w:cs="Times New Roman"/>
          <w:sz w:val="21"/>
          <w:szCs w:val="21"/>
        </w:rPr>
        <w:t>, с. 43]. Контроль за їхньою діяльністю здійснював опікун, безпосередньо підпорядкований Міністерству народної освіти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_Ref436215808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24</w:t>
      </w:r>
      <w:r w:rsidR="00772FFF">
        <w:rPr>
          <w:rFonts w:ascii="Times New Roman" w:hAnsi="Times New Roman" w:cs="Times New Roman"/>
          <w:sz w:val="21"/>
          <w:szCs w:val="21"/>
          <w:highlight w:val="yellow"/>
        </w:rPr>
        <w:fldChar w:fldCharType="end"/>
      </w:r>
      <w:r w:rsidRPr="002B60ED">
        <w:rPr>
          <w:rFonts w:ascii="Times New Roman" w:hAnsi="Times New Roman" w:cs="Times New Roman"/>
          <w:sz w:val="21"/>
          <w:szCs w:val="21"/>
        </w:rPr>
        <w:t xml:space="preserve">]. </w:t>
      </w:r>
    </w:p>
    <w:p w:rsidR="0023489B" w:rsidRPr="002B60ED" w:rsidRDefault="0023489B" w:rsidP="0023489B">
      <w:pPr>
        <w:ind w:firstLine="708"/>
        <w:jc w:val="both"/>
        <w:rPr>
          <w:rFonts w:ascii="Times New Roman" w:hAnsi="Times New Roman" w:cs="Times New Roman"/>
          <w:sz w:val="21"/>
          <w:szCs w:val="21"/>
        </w:rPr>
      </w:pPr>
      <w:r w:rsidRPr="002B60ED">
        <w:rPr>
          <w:rFonts w:ascii="Times New Roman" w:hAnsi="Times New Roman" w:cs="Times New Roman"/>
          <w:sz w:val="21"/>
          <w:szCs w:val="21"/>
        </w:rPr>
        <w:t>За часів Центральної Ради, Гетьманату і Директорії (1917–1919 роки) розпочато процеси демократизації</w:t>
      </w:r>
      <w:r w:rsidRPr="005C70D4">
        <w:rPr>
          <w:rFonts w:ascii="Times New Roman" w:hAnsi="Times New Roman"/>
          <w:sz w:val="21"/>
          <w:szCs w:val="21"/>
        </w:rPr>
        <w:t xml:space="preserve">, гуманізації і децентралізації державного управління освітньою галуззю. Загальну функцію </w:t>
      </w:r>
      <w:r w:rsidRPr="002B60ED">
        <w:rPr>
          <w:rFonts w:ascii="Times New Roman" w:hAnsi="Times New Roman" w:cs="Times New Roman"/>
          <w:sz w:val="21"/>
          <w:szCs w:val="21"/>
        </w:rPr>
        <w:t>контролю покладено на Міністерство освіти та Генеральний секретаріат, які на науковій основі визначали потребу в спеціалістах, здійснювали контроль законності дій вищих навчальних закладів незалежно від форм власності, розподіляли бюджетні кошти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_Ref436215808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24</w:t>
      </w:r>
      <w:r w:rsidR="00772FFF">
        <w:rPr>
          <w:rFonts w:ascii="Times New Roman" w:hAnsi="Times New Roman" w:cs="Times New Roman"/>
          <w:sz w:val="21"/>
          <w:szCs w:val="21"/>
          <w:highlight w:val="yellow"/>
        </w:rPr>
        <w:fldChar w:fldCharType="end"/>
      </w:r>
      <w:r w:rsidRPr="002B60ED">
        <w:rPr>
          <w:rFonts w:ascii="Times New Roman" w:hAnsi="Times New Roman" w:cs="Times New Roman"/>
          <w:sz w:val="21"/>
          <w:szCs w:val="21"/>
        </w:rPr>
        <w:t>]. В цей період створюються нові державні ВНЗ політехнічного</w:t>
      </w:r>
      <w:r w:rsidRPr="005C70D4">
        <w:rPr>
          <w:rFonts w:ascii="Times New Roman" w:hAnsi="Times New Roman"/>
          <w:sz w:val="21"/>
          <w:szCs w:val="21"/>
        </w:rPr>
        <w:t xml:space="preserve"> типу та університети, в структурі яких </w:t>
      </w:r>
      <w:r w:rsidRPr="002B60ED">
        <w:rPr>
          <w:rFonts w:ascii="Times New Roman" w:hAnsi="Times New Roman" w:cs="Times New Roman"/>
          <w:sz w:val="21"/>
          <w:szCs w:val="21"/>
        </w:rPr>
        <w:t>передбачалась підготовка агрономів та інженерів різних спеціальностей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_Ref436215827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49</w:t>
      </w:r>
      <w:r w:rsidR="00772FFF">
        <w:rPr>
          <w:rFonts w:ascii="Times New Roman" w:hAnsi="Times New Roman" w:cs="Times New Roman"/>
          <w:sz w:val="21"/>
          <w:szCs w:val="21"/>
          <w:highlight w:val="yellow"/>
        </w:rPr>
        <w:fldChar w:fldCharType="end"/>
      </w:r>
      <w:r w:rsidRPr="002B60ED">
        <w:rPr>
          <w:rFonts w:ascii="Times New Roman" w:hAnsi="Times New Roman" w:cs="Times New Roman"/>
          <w:sz w:val="21"/>
          <w:szCs w:val="21"/>
        </w:rPr>
        <w:t xml:space="preserve">, с. 22]. </w:t>
      </w:r>
    </w:p>
    <w:p w:rsidR="0023489B" w:rsidRPr="002B60ED" w:rsidRDefault="0023489B" w:rsidP="0023489B">
      <w:pPr>
        <w:ind w:firstLine="708"/>
        <w:jc w:val="both"/>
        <w:rPr>
          <w:rFonts w:ascii="Times New Roman" w:hAnsi="Times New Roman" w:cs="Times New Roman"/>
          <w:sz w:val="21"/>
          <w:szCs w:val="21"/>
        </w:rPr>
      </w:pPr>
      <w:r w:rsidRPr="005C70D4">
        <w:rPr>
          <w:rFonts w:ascii="Times New Roman" w:hAnsi="Times New Roman"/>
          <w:sz w:val="21"/>
          <w:szCs w:val="21"/>
        </w:rPr>
        <w:t xml:space="preserve">В 20-х – на початку 30-х років минулого століття відбувається уніфікація системи освіти. Для даного періоду характерні централізація </w:t>
      </w:r>
      <w:r w:rsidRPr="002B60ED">
        <w:rPr>
          <w:rFonts w:ascii="Times New Roman" w:hAnsi="Times New Roman" w:cs="Times New Roman"/>
          <w:sz w:val="21"/>
          <w:szCs w:val="21"/>
        </w:rPr>
        <w:t>управління, утвердження командно-адміністративної системи управління вищою освітою, практично повна втрата децентралізації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_Ref436215808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24</w:t>
      </w:r>
      <w:r w:rsidR="00772FFF">
        <w:rPr>
          <w:rFonts w:ascii="Times New Roman" w:hAnsi="Times New Roman" w:cs="Times New Roman"/>
          <w:sz w:val="21"/>
          <w:szCs w:val="21"/>
          <w:highlight w:val="yellow"/>
        </w:rPr>
        <w:fldChar w:fldCharType="end"/>
      </w:r>
      <w:r w:rsidRPr="002B60ED">
        <w:rPr>
          <w:rFonts w:ascii="Times New Roman" w:hAnsi="Times New Roman" w:cs="Times New Roman"/>
          <w:sz w:val="21"/>
          <w:szCs w:val="21"/>
        </w:rPr>
        <w:t>]. З 1924/1925 навчального року у зв’язку з неможливістю фінансувати ВНЗ в повному обсязі відбувається згортання мережі навчальних закладів за рахунок нерентабельних і зменшення норм прийому студентів.</w:t>
      </w:r>
    </w:p>
    <w:p w:rsidR="0023489B" w:rsidRPr="002B60ED" w:rsidRDefault="0023489B" w:rsidP="0023489B">
      <w:pPr>
        <w:ind w:firstLine="709"/>
        <w:jc w:val="both"/>
        <w:rPr>
          <w:rFonts w:ascii="Times New Roman" w:hAnsi="Times New Roman" w:cs="Times New Roman"/>
          <w:sz w:val="21"/>
          <w:szCs w:val="21"/>
        </w:rPr>
      </w:pPr>
      <w:r w:rsidRPr="002B60ED">
        <w:rPr>
          <w:rFonts w:ascii="Times New Roman" w:hAnsi="Times New Roman" w:cs="Times New Roman"/>
          <w:sz w:val="21"/>
          <w:szCs w:val="21"/>
        </w:rPr>
        <w:t>В період індустріалізації та колективізації (1931–1944 роки) здійснюється ліквідація та об’єднання невеликих ВНЗ, не забезпечених науково-навчальною базою, належним професорсько-викладацьким складом. Відбувається значне зменшення кількості вищих навчальних закладів протягом 5 років (123 в 1937/38 навчальному році проти 203 – в 1932/33 навчальному році), забезпечення об’єднаних ВНЗ навчально-науковою, матеріальною базою та кваліфікованими науково-педагогічними кадрами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_Ref436215808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24</w:t>
      </w:r>
      <w:r w:rsidR="00772FFF">
        <w:rPr>
          <w:rFonts w:ascii="Times New Roman" w:hAnsi="Times New Roman" w:cs="Times New Roman"/>
          <w:sz w:val="21"/>
          <w:szCs w:val="21"/>
          <w:highlight w:val="yellow"/>
        </w:rPr>
        <w:fldChar w:fldCharType="end"/>
      </w:r>
      <w:r w:rsidRPr="002B60ED">
        <w:rPr>
          <w:rFonts w:ascii="Times New Roman" w:hAnsi="Times New Roman" w:cs="Times New Roman"/>
          <w:sz w:val="21"/>
          <w:szCs w:val="21"/>
        </w:rPr>
        <w:t>, с. 241].</w:t>
      </w:r>
    </w:p>
    <w:p w:rsidR="0023489B" w:rsidRPr="002B60ED" w:rsidRDefault="0023489B" w:rsidP="0023489B">
      <w:pPr>
        <w:ind w:firstLine="708"/>
        <w:jc w:val="both"/>
        <w:rPr>
          <w:rFonts w:ascii="Times New Roman" w:hAnsi="Times New Roman" w:cs="Times New Roman"/>
          <w:sz w:val="21"/>
          <w:szCs w:val="21"/>
        </w:rPr>
      </w:pPr>
      <w:r w:rsidRPr="002B60ED">
        <w:rPr>
          <w:rFonts w:ascii="Times New Roman" w:hAnsi="Times New Roman" w:cs="Times New Roman"/>
          <w:sz w:val="21"/>
          <w:szCs w:val="21"/>
        </w:rPr>
        <w:t>Період післявоєнної розбудови ви</w:t>
      </w:r>
      <w:r w:rsidR="009F7F6F" w:rsidRPr="002B60ED">
        <w:rPr>
          <w:rFonts w:ascii="Times New Roman" w:hAnsi="Times New Roman" w:cs="Times New Roman"/>
          <w:sz w:val="21"/>
          <w:szCs w:val="21"/>
        </w:rPr>
        <w:t>щих навчальних закладів (1945–</w:t>
      </w:r>
      <w:r w:rsidRPr="002B60ED">
        <w:rPr>
          <w:rFonts w:ascii="Times New Roman" w:hAnsi="Times New Roman" w:cs="Times New Roman"/>
          <w:sz w:val="21"/>
          <w:szCs w:val="21"/>
        </w:rPr>
        <w:t>1952 роки) характерний розбудовою матеріальної</w:t>
      </w:r>
      <w:r w:rsidRPr="005C70D4">
        <w:rPr>
          <w:rFonts w:ascii="Times New Roman" w:hAnsi="Times New Roman"/>
          <w:sz w:val="21"/>
          <w:szCs w:val="21"/>
        </w:rPr>
        <w:t xml:space="preserve"> бази ВНЗ, </w:t>
      </w:r>
      <w:r w:rsidRPr="005C70D4">
        <w:rPr>
          <w:rFonts w:ascii="Times New Roman" w:hAnsi="Times New Roman"/>
          <w:sz w:val="21"/>
          <w:szCs w:val="21"/>
        </w:rPr>
        <w:lastRenderedPageBreak/>
        <w:t xml:space="preserve">забезпечення їх викладацькими кадрами. Урядом України, місцевими державними й господарськими органами та промисловими підприємствами виділяються додаткові кошти на їх відбудування. З метою посилення контролю влади за вищою освітою створюється централізована система підпорядкування та </w:t>
      </w:r>
      <w:r w:rsidRPr="002B60ED">
        <w:rPr>
          <w:rFonts w:ascii="Times New Roman" w:hAnsi="Times New Roman" w:cs="Times New Roman"/>
          <w:sz w:val="21"/>
          <w:szCs w:val="21"/>
        </w:rPr>
        <w:t>контролю за діяльністю вищих навчальних закладів. У підпорядкування Міністерству вищої освіти СРСР передано 70 ВНЗ України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_Ref436215846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7</w:t>
      </w:r>
      <w:r w:rsidR="00772FFF">
        <w:rPr>
          <w:rFonts w:ascii="Times New Roman" w:hAnsi="Times New Roman" w:cs="Times New Roman"/>
          <w:sz w:val="21"/>
          <w:szCs w:val="21"/>
          <w:highlight w:val="yellow"/>
        </w:rPr>
        <w:fldChar w:fldCharType="end"/>
      </w:r>
      <w:r w:rsidRPr="002B60ED">
        <w:rPr>
          <w:rFonts w:ascii="Times New Roman" w:hAnsi="Times New Roman" w:cs="Times New Roman"/>
          <w:sz w:val="21"/>
          <w:szCs w:val="21"/>
        </w:rPr>
        <w:t>].</w:t>
      </w:r>
    </w:p>
    <w:p w:rsidR="0023489B" w:rsidRPr="002B60ED" w:rsidRDefault="009F7F6F" w:rsidP="0023489B">
      <w:pPr>
        <w:ind w:firstLine="708"/>
        <w:jc w:val="both"/>
        <w:rPr>
          <w:rFonts w:ascii="Times New Roman" w:hAnsi="Times New Roman" w:cs="Times New Roman"/>
          <w:color w:val="000000"/>
          <w:sz w:val="21"/>
          <w:szCs w:val="21"/>
        </w:rPr>
      </w:pPr>
      <w:r w:rsidRPr="002B60ED">
        <w:rPr>
          <w:rFonts w:ascii="Times New Roman" w:hAnsi="Times New Roman" w:cs="Times New Roman"/>
          <w:sz w:val="21"/>
          <w:szCs w:val="21"/>
        </w:rPr>
        <w:t>Період хрущовських реформ (1953–</w:t>
      </w:r>
      <w:r w:rsidR="0023489B" w:rsidRPr="002B60ED">
        <w:rPr>
          <w:rFonts w:ascii="Times New Roman" w:hAnsi="Times New Roman" w:cs="Times New Roman"/>
          <w:sz w:val="21"/>
          <w:szCs w:val="21"/>
        </w:rPr>
        <w:t>1964 роки) характерний наступними рисами</w:t>
      </w:r>
      <w:r w:rsidR="0023489B" w:rsidRPr="005C70D4">
        <w:rPr>
          <w:rFonts w:ascii="Times New Roman" w:hAnsi="Times New Roman"/>
          <w:sz w:val="21"/>
          <w:szCs w:val="21"/>
        </w:rPr>
        <w:t xml:space="preserve">: децентралізацією управління вищими навчальними закладами, розширенням їх навчально-матеріальної бази, зміцненням зв’язків з виробництвом, зміною структури ВНЗ, створенням нових шляхом реорганізації та укрупнення діючих, для насамперед, забезпечення раціонального використання їх навчально-матеріальної бази. Відбувається зміцнення економічного становища закладів освіти, задоволення їхніх потреб в бюджетних коштах з союзного та республіканського бюджетів, зміцнення зв’язків вищих навчальних закладів з виробництвом (промисловими підприємствами надавалась істотна допомога в створенні </w:t>
      </w:r>
      <w:r w:rsidR="0023489B" w:rsidRPr="002B60ED">
        <w:rPr>
          <w:rFonts w:ascii="Times New Roman" w:hAnsi="Times New Roman" w:cs="Times New Roman"/>
          <w:sz w:val="21"/>
          <w:szCs w:val="21"/>
        </w:rPr>
        <w:t>лабораторно-експериментальної бази вищих навчальних закладів) [</w:t>
      </w:r>
      <w:r w:rsidR="00772FFF">
        <w:rPr>
          <w:rFonts w:ascii="Times New Roman" w:hAnsi="Times New Roman" w:cs="Times New Roman"/>
          <w:color w:val="000000"/>
          <w:sz w:val="21"/>
          <w:szCs w:val="21"/>
          <w:highlight w:val="yellow"/>
        </w:rPr>
        <w:fldChar w:fldCharType="begin"/>
      </w:r>
      <w:r w:rsidR="00772FFF">
        <w:rPr>
          <w:rFonts w:ascii="Times New Roman" w:hAnsi="Times New Roman" w:cs="Times New Roman"/>
          <w:sz w:val="21"/>
          <w:szCs w:val="21"/>
        </w:rPr>
        <w:instrText xml:space="preserve"> REF _Ref436215849 \r \h </w:instrText>
      </w:r>
      <w:r w:rsidR="00772FFF">
        <w:rPr>
          <w:rFonts w:ascii="Times New Roman" w:hAnsi="Times New Roman" w:cs="Times New Roman"/>
          <w:color w:val="000000"/>
          <w:sz w:val="21"/>
          <w:szCs w:val="21"/>
          <w:highlight w:val="yellow"/>
        </w:rPr>
      </w:r>
      <w:r w:rsidR="00772FFF">
        <w:rPr>
          <w:rFonts w:ascii="Times New Roman" w:hAnsi="Times New Roman" w:cs="Times New Roman"/>
          <w:color w:val="000000"/>
          <w:sz w:val="21"/>
          <w:szCs w:val="21"/>
          <w:highlight w:val="yellow"/>
        </w:rPr>
        <w:fldChar w:fldCharType="separate"/>
      </w:r>
      <w:r w:rsidR="00772FFF">
        <w:rPr>
          <w:rFonts w:ascii="Times New Roman" w:hAnsi="Times New Roman" w:cs="Times New Roman"/>
          <w:sz w:val="21"/>
          <w:szCs w:val="21"/>
        </w:rPr>
        <w:t>11</w:t>
      </w:r>
      <w:r w:rsidR="00772FFF">
        <w:rPr>
          <w:rFonts w:ascii="Times New Roman" w:hAnsi="Times New Roman" w:cs="Times New Roman"/>
          <w:color w:val="000000"/>
          <w:sz w:val="21"/>
          <w:szCs w:val="21"/>
          <w:highlight w:val="yellow"/>
        </w:rPr>
        <w:fldChar w:fldCharType="end"/>
      </w:r>
      <w:r w:rsidRPr="002B60ED">
        <w:rPr>
          <w:rFonts w:ascii="Times New Roman" w:hAnsi="Times New Roman" w:cs="Times New Roman"/>
          <w:sz w:val="21"/>
          <w:szCs w:val="21"/>
        </w:rPr>
        <w:t>, с. 215–</w:t>
      </w:r>
      <w:r w:rsidR="0023489B" w:rsidRPr="002B60ED">
        <w:rPr>
          <w:rFonts w:ascii="Times New Roman" w:hAnsi="Times New Roman" w:cs="Times New Roman"/>
          <w:sz w:val="21"/>
          <w:szCs w:val="21"/>
        </w:rPr>
        <w:t>216]. Збільшується чисельність студентів: за десять років кількість студентів у ВНЗ III-IV рівнів акредитації збільшилось в 2,1 рази (690 тис. в 1965/66 навчальному році проти 326 тис. в 1955/56 навчальному році). Забезпечується рівний доступ до вищої освіти усіх верств населення. Невирішеними залишаються проблеми: відсталість матеріально-технічної бази, недостатнє забезпечення ВНЗ навчальними площами, науково-дослідними приміщеннями, гуртожитками, підручниками і посібниками.</w:t>
      </w:r>
    </w:p>
    <w:p w:rsidR="0023489B" w:rsidRPr="002B60ED" w:rsidRDefault="0023489B" w:rsidP="0023489B">
      <w:pPr>
        <w:ind w:firstLine="708"/>
        <w:jc w:val="both"/>
        <w:rPr>
          <w:rFonts w:ascii="Times New Roman" w:hAnsi="Times New Roman" w:cs="Times New Roman"/>
          <w:sz w:val="21"/>
          <w:szCs w:val="21"/>
        </w:rPr>
      </w:pPr>
      <w:r w:rsidRPr="002B60ED">
        <w:rPr>
          <w:rFonts w:ascii="Times New Roman" w:hAnsi="Times New Roman" w:cs="Times New Roman"/>
          <w:sz w:val="21"/>
          <w:szCs w:val="21"/>
        </w:rPr>
        <w:t>З середини 60-х – до початку 80-х років відзначається згортанням «відлиги» у вищій освіті: посиленням адміністративно-командних методів та централізованого управління вищою освітою та абсолютною залежністю навчальних закладів від центральних органів управління (лише великі навчальні заклади і у вигляді виключення могли отримати від МВССО СРСР право на видавничу діяльність, додаткове залучення кваліфікованих кадрів на викладацьку роботу мало відбуватись за участі центру та партійних організацій, а певна фінансова самостійність узгоджувалась з Держпланом СРСР)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_Ref436215854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19</w:t>
      </w:r>
      <w:r w:rsidR="00772FFF">
        <w:rPr>
          <w:rFonts w:ascii="Times New Roman" w:hAnsi="Times New Roman" w:cs="Times New Roman"/>
          <w:sz w:val="21"/>
          <w:szCs w:val="21"/>
          <w:highlight w:val="yellow"/>
        </w:rPr>
        <w:fldChar w:fldCharType="end"/>
      </w:r>
      <w:r w:rsidRPr="002B60ED">
        <w:rPr>
          <w:rFonts w:ascii="Times New Roman" w:hAnsi="Times New Roman" w:cs="Times New Roman"/>
          <w:sz w:val="21"/>
          <w:szCs w:val="21"/>
        </w:rPr>
        <w:t>, с. 29].</w:t>
      </w:r>
    </w:p>
    <w:p w:rsidR="0023489B" w:rsidRPr="002B60ED" w:rsidRDefault="0023489B" w:rsidP="0023489B">
      <w:pPr>
        <w:ind w:firstLine="708"/>
        <w:jc w:val="both"/>
        <w:rPr>
          <w:rFonts w:ascii="Times New Roman" w:hAnsi="Times New Roman" w:cs="Times New Roman"/>
          <w:sz w:val="21"/>
          <w:szCs w:val="21"/>
        </w:rPr>
      </w:pPr>
      <w:r w:rsidRPr="002B60ED">
        <w:rPr>
          <w:rFonts w:ascii="Times New Roman" w:hAnsi="Times New Roman" w:cs="Times New Roman"/>
          <w:sz w:val="21"/>
          <w:szCs w:val="21"/>
        </w:rPr>
        <w:lastRenderedPageBreak/>
        <w:t>Загострення кризових явищ в освіті на початку 80-х років призводить до переростання у системну кризу вищої школи. Періоду з середини 80-х – початку 90-х років притаманні наступні ознаки: невідповідність фактичних асигнувань реальним потребам освіти, суттєві недоліки в управлінні на рівні Міністерства вищої та середньої спеціальної освіти; значне відставання матеріальної бази; незадовільне забезпечення навчальних закладів електронно-обчислювальною та іншою технікою; недостатня кількість навчальних приміщень, бібліотек, гуртожитків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_Ref436215860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33</w:t>
      </w:r>
      <w:r w:rsidR="00772FFF">
        <w:rPr>
          <w:rFonts w:ascii="Times New Roman" w:hAnsi="Times New Roman" w:cs="Times New Roman"/>
          <w:sz w:val="21"/>
          <w:szCs w:val="21"/>
          <w:highlight w:val="yellow"/>
        </w:rPr>
        <w:fldChar w:fldCharType="end"/>
      </w:r>
      <w:r w:rsidRPr="002B60ED">
        <w:rPr>
          <w:rFonts w:ascii="Times New Roman" w:hAnsi="Times New Roman" w:cs="Times New Roman"/>
          <w:sz w:val="21"/>
          <w:szCs w:val="21"/>
        </w:rPr>
        <w:t xml:space="preserve">]. </w:t>
      </w:r>
    </w:p>
    <w:p w:rsidR="0023489B" w:rsidRPr="005C70D4" w:rsidRDefault="0023489B" w:rsidP="0023489B">
      <w:pPr>
        <w:ind w:firstLine="708"/>
        <w:jc w:val="both"/>
        <w:rPr>
          <w:rFonts w:ascii="Times New Roman" w:hAnsi="Times New Roman"/>
          <w:sz w:val="21"/>
          <w:szCs w:val="21"/>
        </w:rPr>
      </w:pPr>
      <w:r w:rsidRPr="002B60ED">
        <w:rPr>
          <w:rFonts w:ascii="Times New Roman" w:hAnsi="Times New Roman" w:cs="Times New Roman"/>
          <w:sz w:val="21"/>
          <w:szCs w:val="21"/>
        </w:rPr>
        <w:t>Неналежна фінансова підтримка розвитку вищих навчальних закладів з боку міністерств та відомств негативно</w:t>
      </w:r>
      <w:r w:rsidRPr="005C70D4">
        <w:rPr>
          <w:rFonts w:ascii="Times New Roman" w:hAnsi="Times New Roman"/>
          <w:sz w:val="21"/>
          <w:szCs w:val="21"/>
        </w:rPr>
        <w:t xml:space="preserve"> відобразилось на рівні кваліфікації науково-педагогічних кадрів та матеріально-технічному забезпеченні навчальних закладів. </w:t>
      </w:r>
    </w:p>
    <w:p w:rsidR="0023489B" w:rsidRPr="005C70D4" w:rsidRDefault="0023489B" w:rsidP="0023489B">
      <w:pPr>
        <w:ind w:firstLine="708"/>
        <w:jc w:val="both"/>
        <w:rPr>
          <w:rFonts w:ascii="Times New Roman" w:hAnsi="Times New Roman"/>
          <w:i/>
          <w:iCs/>
          <w:sz w:val="21"/>
          <w:szCs w:val="21"/>
        </w:rPr>
      </w:pPr>
      <w:r w:rsidRPr="005C70D4">
        <w:rPr>
          <w:rFonts w:ascii="Times New Roman" w:hAnsi="Times New Roman"/>
          <w:sz w:val="21"/>
          <w:szCs w:val="21"/>
        </w:rPr>
        <w:t xml:space="preserve">Зазначимо, що в цілому система вищої освіти України була максимально пристосована до економічних, політичних та ідеологічних реалій радянського ладу. Радянській системі управління освітою був притаманний імперативний метод регулювання суспільних відносин, який включав метод владних приписів, субординації, централізованого регулювання. Принцип централізації, який забезпечував зосередження керівництва, організації, управління в центральних владних структурах, в колишній системі освіти характеризувався: державною власністю на засоби виробництва, плануванням діяльності та розвитком закладів освіти на рівні відповідних владних структур, централізованим державним управлінням на основі нормативних документів, прямим підпорядкуванням і контролем держави за всіма сферами діяльності освітніх закладів. </w:t>
      </w:r>
    </w:p>
    <w:p w:rsidR="0023489B" w:rsidRPr="005C70D4" w:rsidRDefault="0023489B" w:rsidP="0023489B">
      <w:pPr>
        <w:ind w:firstLine="709"/>
        <w:jc w:val="both"/>
        <w:rPr>
          <w:rFonts w:ascii="Times New Roman" w:hAnsi="Times New Roman"/>
          <w:color w:val="000000"/>
          <w:sz w:val="21"/>
          <w:szCs w:val="21"/>
        </w:rPr>
      </w:pPr>
      <w:r w:rsidRPr="005C70D4">
        <w:rPr>
          <w:rFonts w:ascii="Times New Roman" w:hAnsi="Times New Roman"/>
          <w:sz w:val="21"/>
          <w:szCs w:val="21"/>
        </w:rPr>
        <w:t>Фінансова стабільність та економічний розвиток радянських вищих навчальних закладів впродовж тривалого часу забезпечувались функціонуванням механізму повного державного фінансування за рахунок коштів державного бюджету і капітальними вкладеннями, передбаченими в планах економічного та соціального розвитку країни.</w:t>
      </w:r>
      <w:r w:rsidRPr="005C70D4">
        <w:rPr>
          <w:rFonts w:ascii="Times New Roman" w:hAnsi="Times New Roman"/>
          <w:color w:val="000000"/>
          <w:sz w:val="21"/>
          <w:szCs w:val="21"/>
        </w:rPr>
        <w:t xml:space="preserve"> </w:t>
      </w:r>
      <w:r w:rsidRPr="005C70D4">
        <w:rPr>
          <w:rFonts w:ascii="Times New Roman" w:hAnsi="Times New Roman"/>
          <w:sz w:val="21"/>
          <w:szCs w:val="21"/>
        </w:rPr>
        <w:t xml:space="preserve">Сутність фінансово-господарської діяльності вищих навчальних закладів зводилась до виконання бюджетів, які надавались міністерствами, відповідно до відомчого підпорядкування. Державне регулювання всіх сфер діяльності ВНЗ виключало можливість самостійного прийняття рішень, особливо у фінансовій сфері, що ускладнювало застосування регулятивних варіантів господарювання у вищих навчальних закладах. </w:t>
      </w:r>
      <w:r w:rsidRPr="005C70D4">
        <w:rPr>
          <w:rFonts w:ascii="Times New Roman" w:hAnsi="Times New Roman"/>
          <w:sz w:val="21"/>
          <w:szCs w:val="21"/>
        </w:rPr>
        <w:lastRenderedPageBreak/>
        <w:t>Спостерігалися невідповідність фактичних асигнувань реальним потребам освіти, недоліки в управлінні на рівні Міністерства вищої та середньої спеціальної освіти СРСР, що створювало в економічній діяльності навчальних закладів певні проблеми. Вищі навчальні заклади працювали в умовах обмеження фінансування окремих статей видатків, посилення державного контролю за надходженням коштів та їх витрачанням, регламентації напрямків використання бюджетних коштів. Проводилось укрупнення ВНЗ за рахунок згортання діяльності невеликих навчальних закладів, що дозволяло забезпечити економію коштів на обслуговування та управлінські видатки.</w:t>
      </w:r>
    </w:p>
    <w:p w:rsidR="0023489B" w:rsidRPr="002B60ED" w:rsidRDefault="0023489B" w:rsidP="0023489B">
      <w:pPr>
        <w:ind w:firstLine="709"/>
        <w:jc w:val="both"/>
        <w:rPr>
          <w:rFonts w:ascii="Times New Roman" w:hAnsi="Times New Roman" w:cs="Times New Roman"/>
          <w:sz w:val="21"/>
          <w:szCs w:val="21"/>
        </w:rPr>
      </w:pPr>
      <w:r w:rsidRPr="005C70D4">
        <w:rPr>
          <w:rFonts w:ascii="Times New Roman" w:hAnsi="Times New Roman"/>
          <w:sz w:val="21"/>
          <w:szCs w:val="21"/>
        </w:rPr>
        <w:t xml:space="preserve">Система освіти потребувала реформування, яке керівництво державою вбачало в покращенні централізованого управління з одночасним розширенням прав та відповідальності ВНЗ в усіх сферах діяльності, в тому числі і в фінансово-господарських питаннях. Виникла нагальна потреба розробки нормативно-правової бази і здійснення системи заходів, які б забезпечували посилення взаємної зацікавленості і відповідальності вищих навчальних закладів, підприємств, організацій в підвищенні рівня підготовки спеціалістів. Основою таких взаємовідносин мали були договірні зобов’язання, що передбачали з однієї сторони здійснення підготовки кадрів навчальними закладами на державній основі, а з іншої – часткове відшкодування </w:t>
      </w:r>
      <w:r w:rsidRPr="002B60ED">
        <w:rPr>
          <w:rFonts w:ascii="Times New Roman" w:hAnsi="Times New Roman" w:cs="Times New Roman"/>
          <w:sz w:val="21"/>
          <w:szCs w:val="21"/>
        </w:rPr>
        <w:t>витрат на навчання спеціалістів за рахунок галузей народного господарства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_Ref436215860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33</w:t>
      </w:r>
      <w:r w:rsidR="00772FFF">
        <w:rPr>
          <w:rFonts w:ascii="Times New Roman" w:hAnsi="Times New Roman" w:cs="Times New Roman"/>
          <w:sz w:val="21"/>
          <w:szCs w:val="21"/>
          <w:highlight w:val="yellow"/>
        </w:rPr>
        <w:fldChar w:fldCharType="end"/>
      </w:r>
      <w:r w:rsidRPr="002B60ED">
        <w:rPr>
          <w:rFonts w:ascii="Times New Roman" w:hAnsi="Times New Roman" w:cs="Times New Roman"/>
          <w:sz w:val="21"/>
          <w:szCs w:val="21"/>
        </w:rPr>
        <w:t>]. Перебудова вищої та середньої освіти, розглядалась як одне з невідкладних завдань розвитку суспільства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_Ref436215860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33</w:t>
      </w:r>
      <w:r w:rsidR="00772FFF">
        <w:rPr>
          <w:rFonts w:ascii="Times New Roman" w:hAnsi="Times New Roman" w:cs="Times New Roman"/>
          <w:sz w:val="21"/>
          <w:szCs w:val="21"/>
          <w:highlight w:val="yellow"/>
        </w:rPr>
        <w:fldChar w:fldCharType="end"/>
      </w:r>
      <w:r w:rsidRPr="002B60ED">
        <w:rPr>
          <w:rFonts w:ascii="Times New Roman" w:hAnsi="Times New Roman" w:cs="Times New Roman"/>
          <w:sz w:val="21"/>
          <w:szCs w:val="21"/>
        </w:rPr>
        <w:t>].</w:t>
      </w:r>
    </w:p>
    <w:p w:rsidR="0023489B" w:rsidRPr="005C70D4" w:rsidRDefault="0023489B" w:rsidP="0023489B">
      <w:pPr>
        <w:ind w:firstLine="709"/>
        <w:jc w:val="both"/>
        <w:rPr>
          <w:rFonts w:ascii="Times New Roman" w:hAnsi="Times New Roman"/>
          <w:sz w:val="21"/>
          <w:szCs w:val="21"/>
          <w:lang w:eastAsia="uk-UA"/>
        </w:rPr>
      </w:pPr>
      <w:r w:rsidRPr="002B60ED">
        <w:rPr>
          <w:rFonts w:ascii="Times New Roman" w:hAnsi="Times New Roman" w:cs="Times New Roman"/>
          <w:sz w:val="21"/>
          <w:szCs w:val="21"/>
          <w:lang w:eastAsia="uk-UA"/>
        </w:rPr>
        <w:t>Суспільні перетворення початку 90-х років ХХ ст., пов'язані з утворенням та становленням української державності, створили передумови для процесів реформування системи</w:t>
      </w:r>
      <w:r w:rsidRPr="005C70D4">
        <w:rPr>
          <w:rFonts w:ascii="Times New Roman" w:hAnsi="Times New Roman"/>
          <w:sz w:val="21"/>
          <w:szCs w:val="21"/>
          <w:lang w:eastAsia="uk-UA"/>
        </w:rPr>
        <w:t xml:space="preserve"> вищої освіти, які супроводжувались розробкою та розвитком законодавчої бази, що регламентує діяльність ВНЗ, появою перших приватних вищих навчальних закладів, скороченням державного фінансування освітньої галузі та погіршенням якості освіти. </w:t>
      </w:r>
    </w:p>
    <w:p w:rsidR="0023489B" w:rsidRPr="005C70D4" w:rsidRDefault="0023489B" w:rsidP="0023489B">
      <w:pPr>
        <w:ind w:firstLine="709"/>
        <w:jc w:val="both"/>
        <w:rPr>
          <w:rFonts w:ascii="Times New Roman" w:hAnsi="Times New Roman"/>
          <w:sz w:val="21"/>
          <w:szCs w:val="21"/>
          <w:lang w:eastAsia="uk-UA"/>
        </w:rPr>
      </w:pPr>
      <w:r w:rsidRPr="005C70D4">
        <w:rPr>
          <w:rFonts w:ascii="Times New Roman" w:hAnsi="Times New Roman"/>
          <w:sz w:val="21"/>
          <w:szCs w:val="21"/>
          <w:lang w:eastAsia="uk-UA"/>
        </w:rPr>
        <w:t xml:space="preserve">Прийнятий у 1991 році Закон України «Про вищу освіту» окреслив </w:t>
      </w:r>
      <w:r w:rsidRPr="005C70D4">
        <w:rPr>
          <w:rFonts w:ascii="Times New Roman" w:hAnsi="Times New Roman"/>
          <w:color w:val="000000"/>
          <w:sz w:val="21"/>
          <w:szCs w:val="21"/>
        </w:rPr>
        <w:t>правові, організаційні, фінансові та інші засади функціонування системи вищої освіти</w:t>
      </w:r>
      <w:r w:rsidRPr="005C70D4">
        <w:rPr>
          <w:rFonts w:ascii="Times New Roman" w:hAnsi="Times New Roman"/>
          <w:sz w:val="21"/>
          <w:szCs w:val="21"/>
        </w:rPr>
        <w:t xml:space="preserve"> в Україні. Характерними рисами періоду ринкових перетворень вищої освіти (з 1991 року – по сьогодні) є зміна принципів фінансування освіти, функцій та компетенції органів управління, надання закладам освіти певної </w:t>
      </w:r>
      <w:r w:rsidRPr="005C70D4">
        <w:rPr>
          <w:rFonts w:ascii="Times New Roman" w:hAnsi="Times New Roman"/>
          <w:sz w:val="21"/>
          <w:szCs w:val="21"/>
        </w:rPr>
        <w:lastRenderedPageBreak/>
        <w:t>автономії, підвищення вартості підготовки спеціалістів, поява приватних вищих навчальних закладів в якості альтернативи державним. Цьому періоду характерні фактори, що негативно впливали на економічний розвиток ВНЗ:</w:t>
      </w:r>
    </w:p>
    <w:p w:rsidR="0023489B" w:rsidRPr="002B60ED" w:rsidRDefault="0023489B" w:rsidP="0023489B">
      <w:pPr>
        <w:ind w:firstLine="709"/>
        <w:jc w:val="both"/>
        <w:rPr>
          <w:rFonts w:ascii="Times New Roman" w:hAnsi="Times New Roman" w:cs="Times New Roman"/>
          <w:i/>
          <w:iCs/>
          <w:sz w:val="21"/>
          <w:szCs w:val="21"/>
        </w:rPr>
      </w:pPr>
      <w:r w:rsidRPr="005C70D4">
        <w:rPr>
          <w:rFonts w:ascii="Times New Roman" w:hAnsi="Times New Roman"/>
          <w:sz w:val="21"/>
          <w:szCs w:val="21"/>
        </w:rPr>
        <w:t xml:space="preserve">1) </w:t>
      </w:r>
      <w:r w:rsidRPr="002B60ED">
        <w:rPr>
          <w:rFonts w:ascii="Times New Roman" w:hAnsi="Times New Roman" w:cs="Times New Roman"/>
          <w:sz w:val="21"/>
          <w:szCs w:val="21"/>
        </w:rPr>
        <w:t>фінансова нестабільність освітніх установ</w:t>
      </w:r>
      <w:r w:rsidRPr="002B60ED">
        <w:rPr>
          <w:rFonts w:ascii="Times New Roman" w:hAnsi="Times New Roman" w:cs="Times New Roman"/>
          <w:iCs/>
          <w:sz w:val="21"/>
          <w:szCs w:val="21"/>
        </w:rPr>
        <w:t>;</w:t>
      </w:r>
    </w:p>
    <w:p w:rsidR="0023489B" w:rsidRPr="002B60ED" w:rsidRDefault="0023489B" w:rsidP="0023489B">
      <w:pPr>
        <w:ind w:firstLine="709"/>
        <w:jc w:val="both"/>
        <w:rPr>
          <w:rFonts w:ascii="Times New Roman" w:hAnsi="Times New Roman" w:cs="Times New Roman"/>
          <w:sz w:val="21"/>
          <w:szCs w:val="21"/>
        </w:rPr>
      </w:pPr>
      <w:r w:rsidRPr="002B60ED">
        <w:rPr>
          <w:rFonts w:ascii="Times New Roman" w:hAnsi="Times New Roman" w:cs="Times New Roman"/>
          <w:sz w:val="21"/>
          <w:szCs w:val="21"/>
        </w:rPr>
        <w:t>2) нечітке визначення автономії навчальних закладів різних рівнів акредитації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_Ref436215889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13</w:t>
      </w:r>
      <w:r w:rsidR="00772FFF">
        <w:rPr>
          <w:rFonts w:ascii="Times New Roman" w:hAnsi="Times New Roman" w:cs="Times New Roman"/>
          <w:sz w:val="21"/>
          <w:szCs w:val="21"/>
          <w:highlight w:val="yellow"/>
        </w:rPr>
        <w:fldChar w:fldCharType="end"/>
      </w:r>
      <w:r w:rsidRPr="002B60ED">
        <w:rPr>
          <w:rFonts w:ascii="Times New Roman" w:hAnsi="Times New Roman" w:cs="Times New Roman"/>
          <w:sz w:val="21"/>
          <w:szCs w:val="21"/>
        </w:rPr>
        <w:t xml:space="preserve">, с. 41]; </w:t>
      </w:r>
    </w:p>
    <w:p w:rsidR="0023489B" w:rsidRPr="002B60ED" w:rsidRDefault="0023489B" w:rsidP="0023489B">
      <w:pPr>
        <w:ind w:firstLine="709"/>
        <w:jc w:val="both"/>
        <w:rPr>
          <w:rFonts w:ascii="Times New Roman" w:hAnsi="Times New Roman" w:cs="Times New Roman"/>
          <w:sz w:val="21"/>
          <w:szCs w:val="21"/>
        </w:rPr>
      </w:pPr>
      <w:r w:rsidRPr="005C70D4">
        <w:rPr>
          <w:rFonts w:ascii="Times New Roman" w:hAnsi="Times New Roman"/>
          <w:sz w:val="21"/>
          <w:szCs w:val="21"/>
        </w:rPr>
        <w:t xml:space="preserve">3) </w:t>
      </w:r>
      <w:r w:rsidRPr="002B60ED">
        <w:rPr>
          <w:rFonts w:ascii="Times New Roman" w:hAnsi="Times New Roman" w:cs="Times New Roman"/>
          <w:sz w:val="21"/>
          <w:szCs w:val="21"/>
        </w:rPr>
        <w:t>невідповідність нових цілей і завдань навчальних закладів системі управління вищої освіти, інтересів суб’єктів освіти їхнім можливостям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_Ref436215904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2</w:t>
      </w:r>
      <w:r w:rsidR="00772FFF">
        <w:rPr>
          <w:rFonts w:ascii="Times New Roman" w:hAnsi="Times New Roman" w:cs="Times New Roman"/>
          <w:sz w:val="21"/>
          <w:szCs w:val="21"/>
          <w:highlight w:val="yellow"/>
        </w:rPr>
        <w:fldChar w:fldCharType="end"/>
      </w:r>
      <w:r w:rsidRPr="002B60ED">
        <w:rPr>
          <w:rFonts w:ascii="Times New Roman" w:hAnsi="Times New Roman" w:cs="Times New Roman"/>
          <w:sz w:val="21"/>
          <w:szCs w:val="21"/>
        </w:rPr>
        <w:t xml:space="preserve">, с. 401]. </w:t>
      </w:r>
    </w:p>
    <w:p w:rsidR="0023489B" w:rsidRPr="005C70D4" w:rsidRDefault="009F7F6F" w:rsidP="0023489B">
      <w:pPr>
        <w:pStyle w:val="aff5"/>
        <w:spacing w:before="0" w:beforeAutospacing="0" w:after="0" w:afterAutospacing="0"/>
        <w:ind w:firstLine="709"/>
        <w:jc w:val="both"/>
        <w:rPr>
          <w:sz w:val="21"/>
          <w:szCs w:val="21"/>
        </w:rPr>
      </w:pPr>
      <w:r w:rsidRPr="002B60ED">
        <w:rPr>
          <w:color w:val="000000"/>
          <w:sz w:val="21"/>
          <w:szCs w:val="21"/>
        </w:rPr>
        <w:t>Державна національна програма «Освіта. Україна ХХІ століття»</w:t>
      </w:r>
      <w:r w:rsidR="0023489B" w:rsidRPr="002B60ED">
        <w:rPr>
          <w:color w:val="000000"/>
          <w:sz w:val="21"/>
          <w:szCs w:val="21"/>
        </w:rPr>
        <w:t xml:space="preserve"> (1993 рік) започаткувала процеси реформації освітньої системи, </w:t>
      </w:r>
      <w:r w:rsidR="0023489B" w:rsidRPr="002B60ED">
        <w:rPr>
          <w:sz w:val="21"/>
          <w:szCs w:val="21"/>
        </w:rPr>
        <w:t>децентралізації та регіоналізації</w:t>
      </w:r>
      <w:r w:rsidR="0023489B" w:rsidRPr="005C70D4">
        <w:rPr>
          <w:sz w:val="21"/>
          <w:szCs w:val="21"/>
        </w:rPr>
        <w:t xml:space="preserve"> управління системою освіти. </w:t>
      </w:r>
    </w:p>
    <w:p w:rsidR="0023489B" w:rsidRPr="002B60ED" w:rsidRDefault="0023489B" w:rsidP="0023489B">
      <w:pPr>
        <w:ind w:firstLine="709"/>
        <w:jc w:val="both"/>
        <w:rPr>
          <w:rFonts w:ascii="Times New Roman" w:hAnsi="Times New Roman" w:cs="Times New Roman"/>
          <w:sz w:val="21"/>
          <w:szCs w:val="21"/>
        </w:rPr>
      </w:pPr>
      <w:r w:rsidRPr="005C70D4">
        <w:rPr>
          <w:rFonts w:ascii="Times New Roman" w:hAnsi="Times New Roman"/>
          <w:sz w:val="21"/>
          <w:szCs w:val="21"/>
        </w:rPr>
        <w:t xml:space="preserve">В суспільних та наукових колах дедалі частіше наголошується на необхідності закладення в основу регулювання суспільних відносин у галузі вищої освіти диспозитивного методу «…(інакше – методу автономії, координації, децентралізованого регулювання), що означає юридичну рівність сторін (учасників суспільних відносин) і передбачає свободу вибору вищими навчальними закладами стратегії і тактики своєї статутної діяльності, здійснення ними управління на засадах незалежності та самоврядування, вільне укладання угод з будь-якими фізичними та юридичними особами </w:t>
      </w:r>
      <w:r w:rsidRPr="002B60ED">
        <w:rPr>
          <w:rFonts w:ascii="Times New Roman" w:hAnsi="Times New Roman" w:cs="Times New Roman"/>
          <w:sz w:val="21"/>
          <w:szCs w:val="21"/>
        </w:rPr>
        <w:t>тощо»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_Ref436215911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28</w:t>
      </w:r>
      <w:r w:rsidR="00772FFF">
        <w:rPr>
          <w:rFonts w:ascii="Times New Roman" w:hAnsi="Times New Roman" w:cs="Times New Roman"/>
          <w:sz w:val="21"/>
          <w:szCs w:val="21"/>
          <w:highlight w:val="yellow"/>
        </w:rPr>
        <w:fldChar w:fldCharType="end"/>
      </w:r>
      <w:r w:rsidRPr="002B60ED">
        <w:rPr>
          <w:rFonts w:ascii="Times New Roman" w:hAnsi="Times New Roman" w:cs="Times New Roman"/>
          <w:sz w:val="21"/>
          <w:szCs w:val="21"/>
        </w:rPr>
        <w:t>].</w:t>
      </w:r>
    </w:p>
    <w:p w:rsidR="0023489B" w:rsidRPr="002B60ED" w:rsidRDefault="0023489B" w:rsidP="0023489B">
      <w:pPr>
        <w:ind w:firstLine="709"/>
        <w:jc w:val="both"/>
        <w:rPr>
          <w:rFonts w:ascii="Times New Roman" w:hAnsi="Times New Roman" w:cs="Times New Roman"/>
          <w:sz w:val="21"/>
          <w:szCs w:val="21"/>
        </w:rPr>
      </w:pPr>
      <w:r w:rsidRPr="005C70D4">
        <w:rPr>
          <w:rFonts w:ascii="Times New Roman" w:hAnsi="Times New Roman"/>
          <w:sz w:val="21"/>
          <w:szCs w:val="21"/>
        </w:rPr>
        <w:t xml:space="preserve">Підписання Україною у 2005 р. Болонської декларації сприяло розвитку сучасних економічних відносин в освітній сфері. Болонський процес надає питанню автономії ВНЗ великого значення, адже навчальні заклади з реальними правами автономії здатні до ефективного та гнучкого управління, до ринкового маневрування, вони </w:t>
      </w:r>
      <w:r w:rsidRPr="002B60ED">
        <w:rPr>
          <w:rFonts w:ascii="Times New Roman" w:hAnsi="Times New Roman" w:cs="Times New Roman"/>
          <w:sz w:val="21"/>
          <w:szCs w:val="21"/>
        </w:rPr>
        <w:t>можуть швидко приймати відповідні рішення, підбирати необхідні кадри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_Ref436215918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10</w:t>
      </w:r>
      <w:r w:rsidR="00772FFF">
        <w:rPr>
          <w:rFonts w:ascii="Times New Roman" w:hAnsi="Times New Roman" w:cs="Times New Roman"/>
          <w:sz w:val="21"/>
          <w:szCs w:val="21"/>
          <w:highlight w:val="yellow"/>
        </w:rPr>
        <w:fldChar w:fldCharType="end"/>
      </w:r>
      <w:r w:rsidRPr="002B60ED">
        <w:rPr>
          <w:rFonts w:ascii="Times New Roman" w:hAnsi="Times New Roman" w:cs="Times New Roman"/>
          <w:sz w:val="21"/>
          <w:szCs w:val="21"/>
        </w:rPr>
        <w:t>, с. 187].</w:t>
      </w:r>
    </w:p>
    <w:p w:rsidR="0023489B" w:rsidRPr="005C70D4" w:rsidRDefault="0023489B" w:rsidP="0023489B">
      <w:pPr>
        <w:ind w:firstLine="709"/>
        <w:jc w:val="both"/>
        <w:rPr>
          <w:rFonts w:ascii="Times New Roman" w:hAnsi="Times New Roman"/>
          <w:color w:val="000000"/>
          <w:sz w:val="21"/>
          <w:szCs w:val="21"/>
        </w:rPr>
      </w:pPr>
      <w:r w:rsidRPr="005C70D4">
        <w:rPr>
          <w:rFonts w:ascii="Times New Roman" w:hAnsi="Times New Roman"/>
          <w:color w:val="000000"/>
          <w:sz w:val="21"/>
          <w:szCs w:val="21"/>
        </w:rPr>
        <w:t xml:space="preserve">У 2008 році Міністерством освіти і науки розпочато реалізацію реформ у вищій освіті. Уряд України проголосив курс на створення нової моделі економічної діяльності університетів, що базується на солідарній участі держави, бізнесових кіл і громадян; відповідності системи вищої освіти вимогам Болонської декларації. Тодішній міністр освіти і науки Іван Вакарчук у доповіді «Університетська автономія і реформа вищої освіти. Ситуація в Україні» на міжнародній конференції «Еліта, публічний діалог і </w:t>
      </w:r>
      <w:r w:rsidRPr="005C70D4">
        <w:rPr>
          <w:rFonts w:ascii="Times New Roman" w:hAnsi="Times New Roman"/>
          <w:color w:val="000000"/>
          <w:sz w:val="21"/>
          <w:szCs w:val="21"/>
        </w:rPr>
        <w:lastRenderedPageBreak/>
        <w:t xml:space="preserve">реформа вищої освіти» серед умов підвищення якості вищої освіти відзначив посилення відповідальності університетів за результати діяльності шляхом розширення демократичних засад їх функціонування та поглиблення університетської автономії. </w:t>
      </w:r>
    </w:p>
    <w:p w:rsidR="0023489B" w:rsidRPr="005C70D4" w:rsidRDefault="009F7F6F" w:rsidP="0023489B">
      <w:pPr>
        <w:ind w:firstLine="709"/>
        <w:jc w:val="both"/>
        <w:rPr>
          <w:rFonts w:ascii="Times New Roman" w:hAnsi="Times New Roman"/>
          <w:sz w:val="21"/>
          <w:szCs w:val="21"/>
        </w:rPr>
      </w:pPr>
      <w:r>
        <w:rPr>
          <w:rFonts w:ascii="Times New Roman" w:hAnsi="Times New Roman"/>
          <w:sz w:val="21"/>
          <w:szCs w:val="21"/>
        </w:rPr>
        <w:t>Кожна з країн–</w:t>
      </w:r>
      <w:r w:rsidR="0023489B" w:rsidRPr="005C70D4">
        <w:rPr>
          <w:rFonts w:ascii="Times New Roman" w:hAnsi="Times New Roman"/>
          <w:sz w:val="21"/>
          <w:szCs w:val="21"/>
        </w:rPr>
        <w:t xml:space="preserve">учасниць Болонського процесу набула певного досвіду впровадження автономії в діяльність навчальних закладів, в зв’язку з чим особливу зацікавленість викликає практика автономізації суб’єктів фінансово-господарських стосунків, зміст форм і методів державного впливу на фінансово-господарську діяльність освітніх закладів, їх взаємодія з державними структурами тощо. Варто зазначити, що вища освіта багатьох країн Європи формувалась як невід’ємна частина соціально-орієнтованої ринкової економіки і характеризувалась суттєвим втручанням держави в усі сфери діяльності навчальних закладів. В 90-і роки в Європі доцільність збереження традиційної </w:t>
      </w:r>
      <w:r w:rsidR="0023489B" w:rsidRPr="002B60ED">
        <w:rPr>
          <w:rFonts w:ascii="Times New Roman" w:hAnsi="Times New Roman" w:cs="Times New Roman"/>
          <w:sz w:val="21"/>
          <w:szCs w:val="21"/>
        </w:rPr>
        <w:t>системи функціонування вищих навчальних закладів, заснованої на державній підтримці, стала піддаватись сумнівам на офіційному рівні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_Ref436215924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50</w:t>
      </w:r>
      <w:r w:rsidR="00772FFF">
        <w:rPr>
          <w:rFonts w:ascii="Times New Roman" w:hAnsi="Times New Roman" w:cs="Times New Roman"/>
          <w:sz w:val="21"/>
          <w:szCs w:val="21"/>
          <w:highlight w:val="yellow"/>
        </w:rPr>
        <w:fldChar w:fldCharType="end"/>
      </w:r>
      <w:r w:rsidR="0023489B" w:rsidRPr="002B60ED">
        <w:rPr>
          <w:rFonts w:ascii="Times New Roman" w:hAnsi="Times New Roman" w:cs="Times New Roman"/>
          <w:sz w:val="21"/>
          <w:szCs w:val="21"/>
        </w:rPr>
        <w:t>, с.</w:t>
      </w:r>
      <w:r w:rsidRPr="002B60ED">
        <w:rPr>
          <w:rFonts w:ascii="Times New Roman" w:hAnsi="Times New Roman" w:cs="Times New Roman"/>
          <w:sz w:val="21"/>
          <w:szCs w:val="21"/>
        </w:rPr>
        <w:t xml:space="preserve"> </w:t>
      </w:r>
      <w:r w:rsidR="0023489B" w:rsidRPr="002B60ED">
        <w:rPr>
          <w:rFonts w:ascii="Times New Roman" w:hAnsi="Times New Roman" w:cs="Times New Roman"/>
          <w:sz w:val="21"/>
          <w:szCs w:val="21"/>
        </w:rPr>
        <w:t>7]. Нові тенденції вдосконалення концепції управління вищою школою в багатьох європейських</w:t>
      </w:r>
      <w:r w:rsidR="0023489B" w:rsidRPr="005C70D4">
        <w:rPr>
          <w:rFonts w:ascii="Times New Roman" w:hAnsi="Times New Roman"/>
          <w:sz w:val="21"/>
          <w:szCs w:val="21"/>
        </w:rPr>
        <w:t xml:space="preserve"> країнах характеризувались: </w:t>
      </w:r>
    </w:p>
    <w:p w:rsidR="0023489B" w:rsidRPr="005C70D4" w:rsidRDefault="0023489B" w:rsidP="0023489B">
      <w:pPr>
        <w:ind w:firstLine="567"/>
        <w:jc w:val="both"/>
        <w:rPr>
          <w:rFonts w:ascii="Times New Roman" w:hAnsi="Times New Roman"/>
          <w:color w:val="000000"/>
          <w:sz w:val="21"/>
          <w:szCs w:val="21"/>
        </w:rPr>
      </w:pPr>
      <w:r w:rsidRPr="005C70D4">
        <w:rPr>
          <w:rFonts w:ascii="Times New Roman" w:hAnsi="Times New Roman"/>
          <w:color w:val="000000"/>
          <w:sz w:val="21"/>
          <w:szCs w:val="21"/>
        </w:rPr>
        <w:t>– зміною методів управління вищим навчальним закладом на методи управління та організації бізнесу. Зокрема, теорія та методи стратегічного управління великими фірмами адаптувалися для визначення напрямку розвитку ВНЗ;</w:t>
      </w:r>
    </w:p>
    <w:p w:rsidR="0023489B" w:rsidRPr="005C70D4" w:rsidRDefault="0023489B" w:rsidP="0023489B">
      <w:pPr>
        <w:ind w:firstLine="567"/>
        <w:jc w:val="both"/>
        <w:rPr>
          <w:rFonts w:ascii="Times New Roman" w:hAnsi="Times New Roman"/>
          <w:color w:val="000000"/>
          <w:sz w:val="21"/>
          <w:szCs w:val="21"/>
        </w:rPr>
      </w:pPr>
      <w:r w:rsidRPr="005C70D4">
        <w:rPr>
          <w:rFonts w:ascii="Times New Roman" w:hAnsi="Times New Roman"/>
          <w:color w:val="000000"/>
          <w:sz w:val="21"/>
          <w:szCs w:val="21"/>
        </w:rPr>
        <w:t>– пристосовуванням існуючої організаційної структури до вирішення нових завдань;</w:t>
      </w:r>
    </w:p>
    <w:p w:rsidR="0023489B" w:rsidRPr="002B60ED" w:rsidRDefault="0023489B" w:rsidP="0023489B">
      <w:pPr>
        <w:pStyle w:val="61"/>
        <w:spacing w:after="0" w:line="240" w:lineRule="auto"/>
        <w:ind w:left="0" w:firstLine="709"/>
        <w:jc w:val="both"/>
        <w:rPr>
          <w:rFonts w:ascii="Times New Roman" w:hAnsi="Times New Roman"/>
          <w:sz w:val="21"/>
          <w:szCs w:val="21"/>
          <w:lang w:val="uk-UA"/>
        </w:rPr>
      </w:pPr>
      <w:r w:rsidRPr="005C70D4">
        <w:rPr>
          <w:rFonts w:ascii="Times New Roman" w:hAnsi="Times New Roman"/>
          <w:sz w:val="21"/>
          <w:szCs w:val="21"/>
          <w:lang w:val="uk-UA"/>
        </w:rPr>
        <w:t xml:space="preserve">– переходом від державного регулювання системи вищої освіти до ринкового регулювання із значним розширенням автономії ВНЗ </w:t>
      </w:r>
      <w:r w:rsidRPr="002B60ED">
        <w:rPr>
          <w:rFonts w:ascii="Times New Roman" w:hAnsi="Times New Roman"/>
          <w:sz w:val="21"/>
          <w:szCs w:val="21"/>
          <w:lang w:val="uk-UA"/>
        </w:rPr>
        <w:t>та мінімізацією централізованого впливу держави на їх діяльність [</w:t>
      </w:r>
      <w:r w:rsidR="00772FFF">
        <w:rPr>
          <w:rFonts w:ascii="Times New Roman" w:hAnsi="Times New Roman"/>
          <w:color w:val="000000"/>
          <w:sz w:val="21"/>
          <w:szCs w:val="21"/>
          <w:highlight w:val="yellow"/>
          <w:lang w:val="uk-UA"/>
        </w:rPr>
        <w:fldChar w:fldCharType="begin"/>
      </w:r>
      <w:r w:rsidR="00772FFF">
        <w:rPr>
          <w:rFonts w:ascii="Times New Roman" w:hAnsi="Times New Roman"/>
          <w:sz w:val="21"/>
          <w:szCs w:val="21"/>
          <w:lang w:val="uk-UA"/>
        </w:rPr>
        <w:instrText xml:space="preserve"> REF _Ref436215930 \r \h </w:instrText>
      </w:r>
      <w:r w:rsidR="00772FFF">
        <w:rPr>
          <w:rFonts w:ascii="Times New Roman" w:hAnsi="Times New Roman"/>
          <w:color w:val="000000"/>
          <w:sz w:val="21"/>
          <w:szCs w:val="21"/>
          <w:highlight w:val="yellow"/>
          <w:lang w:val="uk-UA"/>
        </w:rPr>
      </w:r>
      <w:r w:rsidR="00772FFF">
        <w:rPr>
          <w:rFonts w:ascii="Times New Roman" w:hAnsi="Times New Roman"/>
          <w:color w:val="000000"/>
          <w:sz w:val="21"/>
          <w:szCs w:val="21"/>
          <w:highlight w:val="yellow"/>
          <w:lang w:val="uk-UA"/>
        </w:rPr>
        <w:fldChar w:fldCharType="separate"/>
      </w:r>
      <w:r w:rsidR="00772FFF">
        <w:rPr>
          <w:rFonts w:ascii="Times New Roman" w:hAnsi="Times New Roman"/>
          <w:sz w:val="21"/>
          <w:szCs w:val="21"/>
          <w:lang w:val="uk-UA"/>
        </w:rPr>
        <w:t>12</w:t>
      </w:r>
      <w:r w:rsidR="00772FFF">
        <w:rPr>
          <w:rFonts w:ascii="Times New Roman" w:hAnsi="Times New Roman"/>
          <w:color w:val="000000"/>
          <w:sz w:val="21"/>
          <w:szCs w:val="21"/>
          <w:highlight w:val="yellow"/>
          <w:lang w:val="uk-UA"/>
        </w:rPr>
        <w:fldChar w:fldCharType="end"/>
      </w:r>
      <w:r w:rsidR="009F7F6F" w:rsidRPr="002B60ED">
        <w:rPr>
          <w:rFonts w:ascii="Times New Roman" w:hAnsi="Times New Roman"/>
          <w:sz w:val="21"/>
          <w:szCs w:val="21"/>
          <w:lang w:val="uk-UA"/>
        </w:rPr>
        <w:t>, с. 12–</w:t>
      </w:r>
      <w:r w:rsidRPr="002B60ED">
        <w:rPr>
          <w:rFonts w:ascii="Times New Roman" w:hAnsi="Times New Roman"/>
          <w:sz w:val="21"/>
          <w:szCs w:val="21"/>
          <w:lang w:val="uk-UA"/>
        </w:rPr>
        <w:t>13].</w:t>
      </w:r>
      <w:r w:rsidRPr="002B60ED">
        <w:rPr>
          <w:rStyle w:val="affd"/>
          <w:rFonts w:ascii="Times New Roman" w:hAnsi="Times New Roman"/>
          <w:sz w:val="21"/>
          <w:szCs w:val="21"/>
          <w:lang w:val="uk-UA"/>
        </w:rPr>
        <w:t xml:space="preserve"> </w:t>
      </w:r>
    </w:p>
    <w:p w:rsidR="0023489B" w:rsidRPr="005C70D4" w:rsidRDefault="0023489B" w:rsidP="0023489B">
      <w:pPr>
        <w:ind w:firstLine="709"/>
        <w:jc w:val="both"/>
        <w:rPr>
          <w:rFonts w:ascii="Times New Roman" w:hAnsi="Times New Roman"/>
          <w:sz w:val="21"/>
          <w:szCs w:val="21"/>
        </w:rPr>
      </w:pPr>
      <w:r w:rsidRPr="002B60ED">
        <w:rPr>
          <w:rFonts w:ascii="Times New Roman" w:hAnsi="Times New Roman" w:cs="Times New Roman"/>
          <w:sz w:val="21"/>
          <w:szCs w:val="21"/>
        </w:rPr>
        <w:t>Для прикладу, визначальною рисою системи управління вищою освітою Німеччини</w:t>
      </w:r>
      <w:r w:rsidRPr="005C70D4">
        <w:rPr>
          <w:rFonts w:ascii="Times New Roman" w:hAnsi="Times New Roman"/>
          <w:sz w:val="21"/>
          <w:szCs w:val="21"/>
        </w:rPr>
        <w:t xml:space="preserve"> став високий рівень централізації, що забезпечив тісну взаємодію та координацію політики земель у сфері вищої освіти. Разом з цим, сформований механізм функціонування вищої школи не </w:t>
      </w:r>
      <w:r w:rsidRPr="002B60ED">
        <w:rPr>
          <w:rFonts w:ascii="Times New Roman" w:hAnsi="Times New Roman" w:cs="Times New Roman"/>
          <w:sz w:val="21"/>
          <w:szCs w:val="21"/>
        </w:rPr>
        <w:t>призвів до відповідного реагування на потреби сучасної економіки та суспільства та стримував розвиток конкуренції між ВНЗ [</w:t>
      </w:r>
      <w:r w:rsidR="00772FFF">
        <w:rPr>
          <w:rFonts w:ascii="Times New Roman" w:hAnsi="Times New Roman" w:cs="Times New Roman"/>
          <w:color w:val="000000"/>
          <w:sz w:val="21"/>
          <w:szCs w:val="21"/>
          <w:highlight w:val="yellow"/>
        </w:rPr>
        <w:fldChar w:fldCharType="begin"/>
      </w:r>
      <w:r w:rsidR="00772FFF">
        <w:rPr>
          <w:rFonts w:ascii="Times New Roman" w:hAnsi="Times New Roman" w:cs="Times New Roman"/>
          <w:sz w:val="21"/>
          <w:szCs w:val="21"/>
        </w:rPr>
        <w:instrText xml:space="preserve"> REF _Ref436215930 \r \h </w:instrText>
      </w:r>
      <w:r w:rsidR="00772FFF">
        <w:rPr>
          <w:rFonts w:ascii="Times New Roman" w:hAnsi="Times New Roman" w:cs="Times New Roman"/>
          <w:color w:val="000000"/>
          <w:sz w:val="21"/>
          <w:szCs w:val="21"/>
          <w:highlight w:val="yellow"/>
        </w:rPr>
      </w:r>
      <w:r w:rsidR="00772FFF">
        <w:rPr>
          <w:rFonts w:ascii="Times New Roman" w:hAnsi="Times New Roman" w:cs="Times New Roman"/>
          <w:color w:val="000000"/>
          <w:sz w:val="21"/>
          <w:szCs w:val="21"/>
          <w:highlight w:val="yellow"/>
        </w:rPr>
        <w:fldChar w:fldCharType="separate"/>
      </w:r>
      <w:r w:rsidR="00772FFF">
        <w:rPr>
          <w:rFonts w:ascii="Times New Roman" w:hAnsi="Times New Roman" w:cs="Times New Roman"/>
          <w:sz w:val="21"/>
          <w:szCs w:val="21"/>
        </w:rPr>
        <w:t>12</w:t>
      </w:r>
      <w:r w:rsidR="00772FFF">
        <w:rPr>
          <w:rFonts w:ascii="Times New Roman" w:hAnsi="Times New Roman" w:cs="Times New Roman"/>
          <w:color w:val="000000"/>
          <w:sz w:val="21"/>
          <w:szCs w:val="21"/>
          <w:highlight w:val="yellow"/>
        </w:rPr>
        <w:fldChar w:fldCharType="end"/>
      </w:r>
      <w:r w:rsidRPr="002B60ED">
        <w:rPr>
          <w:rFonts w:ascii="Times New Roman" w:hAnsi="Times New Roman" w:cs="Times New Roman"/>
          <w:sz w:val="21"/>
          <w:szCs w:val="21"/>
        </w:rPr>
        <w:t xml:space="preserve">, с. 2]. Пошук оптимальної структури, спрямованої на підвищення якості освіти, є складовою соціально-економічної політики Німеччини починаючи </w:t>
      </w:r>
      <w:r w:rsidRPr="002B60ED">
        <w:rPr>
          <w:rFonts w:ascii="Times New Roman" w:hAnsi="Times New Roman" w:cs="Times New Roman"/>
          <w:sz w:val="21"/>
          <w:szCs w:val="21"/>
        </w:rPr>
        <w:lastRenderedPageBreak/>
        <w:t>з повоєнного</w:t>
      </w:r>
      <w:r w:rsidRPr="005C70D4">
        <w:rPr>
          <w:rFonts w:ascii="Times New Roman" w:hAnsi="Times New Roman"/>
          <w:sz w:val="21"/>
          <w:szCs w:val="21"/>
        </w:rPr>
        <w:t xml:space="preserve"> періоду. Політичні та суспільні зміни в державі, впровадження ринкової економіки спричинили нову фазу реформування системи освіти Німеччини: ВНЗ отримали вищий рівень автономії у всіх питаннях внутрішньої і зовнішньої діяльності, право приймати частину студентів з оплатою навчання, виникло чимало приватних навчальних закладів.</w:t>
      </w:r>
    </w:p>
    <w:p w:rsidR="0023489B" w:rsidRPr="002B60ED" w:rsidRDefault="0023489B" w:rsidP="0023489B">
      <w:pPr>
        <w:ind w:firstLine="709"/>
        <w:jc w:val="both"/>
        <w:rPr>
          <w:rFonts w:ascii="Times New Roman" w:hAnsi="Times New Roman" w:cs="Times New Roman"/>
          <w:sz w:val="21"/>
          <w:szCs w:val="21"/>
        </w:rPr>
      </w:pPr>
      <w:r w:rsidRPr="005C70D4">
        <w:rPr>
          <w:rFonts w:ascii="Times New Roman" w:hAnsi="Times New Roman"/>
          <w:color w:val="000000"/>
          <w:sz w:val="21"/>
          <w:szCs w:val="21"/>
        </w:rPr>
        <w:t>Висока централізація управління та фінансування в освітній сфері у Франції протягом довгого періоду забезпечувались завдяки зосередженню в особі Міністерства освіти повноважень щодо регламентації практично всіх сторін діяльності університетів, в тому числі і в сфері розподілу державних коштів.</w:t>
      </w:r>
      <w:r w:rsidRPr="005C70D4">
        <w:rPr>
          <w:rFonts w:ascii="Times New Roman" w:hAnsi="Times New Roman"/>
          <w:color w:val="666666"/>
          <w:sz w:val="21"/>
          <w:szCs w:val="21"/>
        </w:rPr>
        <w:t xml:space="preserve"> </w:t>
      </w:r>
      <w:r w:rsidRPr="005C70D4">
        <w:rPr>
          <w:rFonts w:ascii="Times New Roman" w:hAnsi="Times New Roman"/>
          <w:color w:val="000000"/>
          <w:sz w:val="21"/>
          <w:szCs w:val="21"/>
        </w:rPr>
        <w:t xml:space="preserve">Законодавство обмежувало можливості університетів не лише у використанні бюджетних надходжень, але і в питаннях залучення позабюджетних </w:t>
      </w:r>
      <w:r w:rsidRPr="002B60ED">
        <w:rPr>
          <w:rFonts w:ascii="Times New Roman" w:hAnsi="Times New Roman" w:cs="Times New Roman"/>
          <w:color w:val="000000"/>
          <w:sz w:val="21"/>
          <w:szCs w:val="21"/>
        </w:rPr>
        <w:t>коштів [</w:t>
      </w:r>
      <w:r w:rsidR="00772FFF">
        <w:rPr>
          <w:rFonts w:ascii="Times New Roman" w:hAnsi="Times New Roman" w:cs="Times New Roman"/>
          <w:sz w:val="21"/>
          <w:szCs w:val="21"/>
          <w:highlight w:val="yellow"/>
        </w:rPr>
        <w:fldChar w:fldCharType="begin"/>
      </w:r>
      <w:r w:rsidR="00772FFF">
        <w:rPr>
          <w:rFonts w:ascii="Times New Roman" w:hAnsi="Times New Roman" w:cs="Times New Roman"/>
          <w:color w:val="000000"/>
          <w:sz w:val="21"/>
          <w:szCs w:val="21"/>
        </w:rPr>
        <w:instrText xml:space="preserve"> REF _Ref436215954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color w:val="000000"/>
          <w:sz w:val="21"/>
          <w:szCs w:val="21"/>
        </w:rPr>
        <w:t>47</w:t>
      </w:r>
      <w:r w:rsidR="00772FFF">
        <w:rPr>
          <w:rFonts w:ascii="Times New Roman" w:hAnsi="Times New Roman" w:cs="Times New Roman"/>
          <w:sz w:val="21"/>
          <w:szCs w:val="21"/>
          <w:highlight w:val="yellow"/>
        </w:rPr>
        <w:fldChar w:fldCharType="end"/>
      </w:r>
      <w:r w:rsidRPr="002B60ED">
        <w:rPr>
          <w:rFonts w:ascii="Times New Roman" w:hAnsi="Times New Roman" w:cs="Times New Roman"/>
          <w:color w:val="000000"/>
          <w:sz w:val="21"/>
          <w:szCs w:val="21"/>
        </w:rPr>
        <w:t xml:space="preserve">]. З середини 80-х років минулого століття дебатуються питання правомірності одержання плати за навчання, яка наразі носить символічний характер і не покриває затрат на підготовку спеціаліста. В результаті скорочення бюджетного фінансування протягом 70-х – середини </w:t>
      </w:r>
      <w:r w:rsidRPr="002B60ED">
        <w:rPr>
          <w:rFonts w:ascii="Times New Roman" w:hAnsi="Times New Roman" w:cs="Times New Roman"/>
          <w:color w:val="000000"/>
          <w:sz w:val="21"/>
          <w:szCs w:val="21"/>
        </w:rPr>
        <w:br/>
        <w:t xml:space="preserve">80-х років більшість університетів Франції опинились у важкому матеріально-технічному стані. З прийняттям в 1984 році Закону «Про вищу освіту» спостерігаються посилення тенденцій децентралізації управління та розширення автономії навчальних закладів, відбувається диверсифікація джерел фінансування ВНЗ, розширяються права в розпорядженні коштами від комерційної діяльності. Щоб урегулювати питання організаційної автономії французьких ВНЗ і їхньої відповідальності за витрати суспільних коштів, було впроваджено практику укладання довгострокових контрактів на основі стратегічного проекту, який розробляється кожним університетом. Впровадження концепції так званого нового суспільного управління дає можливість державі визначати державні пріоритети, стимулюючи ВНЗ прогнозувати майбутню діяльність і поліпшувати управління </w:t>
      </w:r>
      <w:r w:rsidRPr="002B60ED">
        <w:rPr>
          <w:rFonts w:ascii="Times New Roman" w:hAnsi="Times New Roman" w:cs="Times New Roman"/>
          <w:sz w:val="21"/>
          <w:szCs w:val="21"/>
        </w:rPr>
        <w:t>[</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_Ref436215954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47</w:t>
      </w:r>
      <w:r w:rsidR="00772FFF">
        <w:rPr>
          <w:rFonts w:ascii="Times New Roman" w:hAnsi="Times New Roman" w:cs="Times New Roman"/>
          <w:sz w:val="21"/>
          <w:szCs w:val="21"/>
          <w:highlight w:val="yellow"/>
        </w:rPr>
        <w:fldChar w:fldCharType="end"/>
      </w:r>
      <w:r w:rsidRPr="002B60ED">
        <w:rPr>
          <w:rFonts w:ascii="Times New Roman" w:hAnsi="Times New Roman" w:cs="Times New Roman"/>
          <w:sz w:val="21"/>
          <w:szCs w:val="21"/>
        </w:rPr>
        <w:t>, с. 93]</w:t>
      </w:r>
      <w:r w:rsidRPr="002B60ED">
        <w:rPr>
          <w:rFonts w:ascii="Times New Roman" w:hAnsi="Times New Roman" w:cs="Times New Roman"/>
          <w:color w:val="000000"/>
          <w:sz w:val="21"/>
          <w:szCs w:val="21"/>
        </w:rPr>
        <w:t>.</w:t>
      </w:r>
    </w:p>
    <w:p w:rsidR="0023489B" w:rsidRPr="005C70D4" w:rsidRDefault="0023489B" w:rsidP="0023489B">
      <w:pPr>
        <w:ind w:firstLine="709"/>
        <w:jc w:val="both"/>
        <w:rPr>
          <w:rFonts w:ascii="Times New Roman" w:hAnsi="Times New Roman"/>
          <w:sz w:val="21"/>
          <w:szCs w:val="21"/>
        </w:rPr>
      </w:pPr>
      <w:r w:rsidRPr="002B60ED">
        <w:rPr>
          <w:rFonts w:ascii="Times New Roman" w:hAnsi="Times New Roman" w:cs="Times New Roman"/>
          <w:color w:val="000000"/>
          <w:sz w:val="21"/>
          <w:szCs w:val="21"/>
        </w:rPr>
        <w:t>На початку 60-х років минулого століття система вищої освіти Великої Британії, яка</w:t>
      </w:r>
      <w:r w:rsidRPr="005C70D4">
        <w:rPr>
          <w:rFonts w:ascii="Times New Roman" w:hAnsi="Times New Roman"/>
          <w:color w:val="000000"/>
          <w:sz w:val="21"/>
          <w:szCs w:val="21"/>
        </w:rPr>
        <w:t xml:space="preserve"> застосовувала </w:t>
      </w:r>
      <w:r w:rsidRPr="005C70D4">
        <w:rPr>
          <w:rFonts w:ascii="Times New Roman" w:hAnsi="Times New Roman"/>
          <w:sz w:val="21"/>
          <w:szCs w:val="21"/>
        </w:rPr>
        <w:t>анти ринкову модель, орієнтовану на блокування ринкових відносин у сфері вищої освіти,</w:t>
      </w:r>
      <w:r w:rsidRPr="005C70D4">
        <w:rPr>
          <w:rFonts w:ascii="Times New Roman" w:hAnsi="Times New Roman"/>
          <w:color w:val="000000"/>
          <w:sz w:val="21"/>
          <w:szCs w:val="21"/>
        </w:rPr>
        <w:t xml:space="preserve"> також почала зазнавати процесів реформування. Зміни у вищій школі наприкінці XX століття були спрямовані на поступовий перехід від централізованої до більш децентралізованої ринково-орієнтованої системи, що відобразилось у обсягах, </w:t>
      </w:r>
      <w:r w:rsidRPr="005C70D4">
        <w:rPr>
          <w:rFonts w:ascii="Times New Roman" w:hAnsi="Times New Roman"/>
          <w:color w:val="000000"/>
          <w:sz w:val="21"/>
          <w:szCs w:val="21"/>
        </w:rPr>
        <w:lastRenderedPageBreak/>
        <w:t xml:space="preserve">механізмі та </w:t>
      </w:r>
      <w:r w:rsidRPr="002B60ED">
        <w:rPr>
          <w:rFonts w:ascii="Times New Roman" w:hAnsi="Times New Roman" w:cs="Times New Roman"/>
          <w:color w:val="000000"/>
          <w:sz w:val="21"/>
          <w:szCs w:val="21"/>
        </w:rPr>
        <w:t xml:space="preserve">структурі її державного фінансування. Урядом здійснюється ряд заходів, спрямованих на скорочення державою видатків на вищу освіту, стимулювання комерційної діяльності університетів, розширення їх контактів з промисловістю </w:t>
      </w:r>
      <w:r w:rsidRPr="002B60ED">
        <w:rPr>
          <w:rFonts w:ascii="Times New Roman" w:hAnsi="Times New Roman" w:cs="Times New Roman"/>
          <w:sz w:val="21"/>
          <w:szCs w:val="21"/>
        </w:rPr>
        <w:t>[</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_Ref436215924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50</w:t>
      </w:r>
      <w:r w:rsidR="00772FFF">
        <w:rPr>
          <w:rFonts w:ascii="Times New Roman" w:hAnsi="Times New Roman" w:cs="Times New Roman"/>
          <w:sz w:val="21"/>
          <w:szCs w:val="21"/>
          <w:highlight w:val="yellow"/>
        </w:rPr>
        <w:fldChar w:fldCharType="end"/>
      </w:r>
      <w:r w:rsidRPr="002B60ED">
        <w:rPr>
          <w:rFonts w:ascii="Times New Roman" w:hAnsi="Times New Roman" w:cs="Times New Roman"/>
          <w:sz w:val="21"/>
          <w:szCs w:val="21"/>
        </w:rPr>
        <w:t>, с. 17]</w:t>
      </w:r>
      <w:r w:rsidRPr="002B60ED">
        <w:rPr>
          <w:rFonts w:ascii="Times New Roman" w:hAnsi="Times New Roman" w:cs="Times New Roman"/>
          <w:color w:val="000000"/>
          <w:sz w:val="21"/>
          <w:szCs w:val="21"/>
        </w:rPr>
        <w:t>. В країні, де осв</w:t>
      </w:r>
      <w:r w:rsidR="009F7F6F" w:rsidRPr="002B60ED">
        <w:rPr>
          <w:rFonts w:ascii="Times New Roman" w:hAnsi="Times New Roman" w:cs="Times New Roman"/>
          <w:color w:val="000000"/>
          <w:sz w:val="21"/>
          <w:szCs w:val="21"/>
        </w:rPr>
        <w:t>іта була безкоштовною, у 1998–</w:t>
      </w:r>
      <w:r w:rsidRPr="002B60ED">
        <w:rPr>
          <w:rFonts w:ascii="Times New Roman" w:hAnsi="Times New Roman" w:cs="Times New Roman"/>
          <w:color w:val="000000"/>
          <w:sz w:val="21"/>
          <w:szCs w:val="21"/>
        </w:rPr>
        <w:t>1999 н.р. вперше введено плату за навчання для студентів повного курсу навчання. В результаті такої освітньої політики</w:t>
      </w:r>
      <w:r w:rsidRPr="005C70D4">
        <w:rPr>
          <w:rFonts w:ascii="Times New Roman" w:hAnsi="Times New Roman"/>
          <w:color w:val="000000"/>
          <w:sz w:val="21"/>
          <w:szCs w:val="21"/>
        </w:rPr>
        <w:t xml:space="preserve"> уряду було сформовано так звану «квазиринкову» систему, згідно з якою фінансування здійснюється: централізовано шляхом виділення блокових субсидій безпосередньо ВНЗ та місцевим органам освіти для компенсації навчання студентів повного курсу навчання; студенти оплачують навчання самостійно. Децентралізація забезпечується невтручанням міністерства освіти і науки в поточну діяльність навчальних закладів. Вплив на діяльність ВНЗ здійснюється шляхом виділення фінансових ресурсів на підставі відповідних критеріїв. </w:t>
      </w:r>
    </w:p>
    <w:p w:rsidR="0023489B" w:rsidRPr="002B60ED" w:rsidRDefault="0023489B" w:rsidP="0023489B">
      <w:pPr>
        <w:ind w:firstLine="709"/>
        <w:jc w:val="both"/>
        <w:rPr>
          <w:rFonts w:ascii="Times New Roman" w:hAnsi="Times New Roman" w:cs="Times New Roman"/>
          <w:sz w:val="21"/>
          <w:szCs w:val="21"/>
        </w:rPr>
      </w:pPr>
      <w:r w:rsidRPr="005C70D4">
        <w:rPr>
          <w:rFonts w:ascii="Times New Roman" w:hAnsi="Times New Roman"/>
          <w:sz w:val="21"/>
          <w:szCs w:val="21"/>
        </w:rPr>
        <w:t>Економічні умови діяльності росі</w:t>
      </w:r>
      <w:r w:rsidR="009F7F6F">
        <w:rPr>
          <w:rFonts w:ascii="Times New Roman" w:hAnsi="Times New Roman"/>
          <w:sz w:val="21"/>
          <w:szCs w:val="21"/>
        </w:rPr>
        <w:t xml:space="preserve">йських </w:t>
      </w:r>
      <w:r w:rsidR="00291F85">
        <w:rPr>
          <w:rFonts w:ascii="Times New Roman" w:hAnsi="Times New Roman"/>
          <w:sz w:val="21"/>
          <w:szCs w:val="21"/>
        </w:rPr>
        <w:t>ВНЗ</w:t>
      </w:r>
      <w:r w:rsidR="009F7F6F">
        <w:rPr>
          <w:rFonts w:ascii="Times New Roman" w:hAnsi="Times New Roman"/>
          <w:sz w:val="21"/>
          <w:szCs w:val="21"/>
        </w:rPr>
        <w:t xml:space="preserve"> в другій половині </w:t>
      </w:r>
      <w:r w:rsidRPr="005C70D4">
        <w:rPr>
          <w:rFonts w:ascii="Times New Roman" w:hAnsi="Times New Roman"/>
          <w:sz w:val="21"/>
          <w:szCs w:val="21"/>
        </w:rPr>
        <w:t xml:space="preserve">1990-х рр. були надзвичайно складними та характеризувались: низьким рівнем оплати праці викладачів та стипендій студентам; відсутністю </w:t>
      </w:r>
      <w:r w:rsidRPr="002B60ED">
        <w:rPr>
          <w:rFonts w:ascii="Times New Roman" w:hAnsi="Times New Roman" w:cs="Times New Roman"/>
          <w:sz w:val="21"/>
          <w:szCs w:val="21"/>
        </w:rPr>
        <w:t>фінансування в повному обсязі на забезпечення потреб діяльності ВНЗ, на придбання нового обладнання, на нове будівництво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_Ref436215976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6</w:t>
      </w:r>
      <w:r w:rsidR="00772FFF">
        <w:rPr>
          <w:rFonts w:ascii="Times New Roman" w:hAnsi="Times New Roman" w:cs="Times New Roman"/>
          <w:sz w:val="21"/>
          <w:szCs w:val="21"/>
          <w:highlight w:val="yellow"/>
        </w:rPr>
        <w:fldChar w:fldCharType="end"/>
      </w:r>
      <w:r w:rsidRPr="002B60ED">
        <w:rPr>
          <w:rFonts w:ascii="Times New Roman" w:hAnsi="Times New Roman" w:cs="Times New Roman"/>
          <w:sz w:val="21"/>
          <w:szCs w:val="21"/>
        </w:rPr>
        <w:t>, с. 40]. Росія розпочала освітні реформи, упроваджуючи механізм фінансування освіти, елементи якого характерні для моделі вільного ринку</w:t>
      </w:r>
      <w:r w:rsidRPr="005C70D4">
        <w:rPr>
          <w:rFonts w:ascii="Times New Roman" w:hAnsi="Times New Roman"/>
          <w:sz w:val="21"/>
          <w:szCs w:val="21"/>
        </w:rPr>
        <w:t xml:space="preserve">. Особливою рисою російських нововведень стало зменшення державних витрат в абсолютному виразі та відносному обрахуванні на одного студента, наближення вищої школи до ринкового середовища, пошук шляхів фінансового самозабезпечення, одним з яких є введення плати за навчання. У 2004 році в системі освіти почали діяти нові економічні механізми, спрямовані на </w:t>
      </w:r>
      <w:r w:rsidRPr="002B60ED">
        <w:rPr>
          <w:rFonts w:ascii="Times New Roman" w:hAnsi="Times New Roman" w:cs="Times New Roman"/>
          <w:sz w:val="21"/>
          <w:szCs w:val="21"/>
        </w:rPr>
        <w:t>перехід від фінансування безпосередньо установи до фінансування виконання державного замовлення на роботи та послуги через субсидії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_Ref436215983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21</w:t>
      </w:r>
      <w:r w:rsidR="00772FFF">
        <w:rPr>
          <w:rFonts w:ascii="Times New Roman" w:hAnsi="Times New Roman" w:cs="Times New Roman"/>
          <w:sz w:val="21"/>
          <w:szCs w:val="21"/>
          <w:highlight w:val="yellow"/>
        </w:rPr>
        <w:fldChar w:fldCharType="end"/>
      </w:r>
      <w:r w:rsidRPr="002B60ED">
        <w:rPr>
          <w:rFonts w:ascii="Times New Roman" w:hAnsi="Times New Roman" w:cs="Times New Roman"/>
          <w:sz w:val="21"/>
          <w:szCs w:val="21"/>
        </w:rPr>
        <w:t>, с. 50].</w:t>
      </w:r>
    </w:p>
    <w:p w:rsidR="0023489B" w:rsidRPr="00E95ECA" w:rsidRDefault="0023489B" w:rsidP="0023489B">
      <w:pPr>
        <w:ind w:firstLine="709"/>
        <w:jc w:val="both"/>
        <w:rPr>
          <w:rFonts w:ascii="Times New Roman" w:hAnsi="Times New Roman" w:cs="Times New Roman"/>
          <w:sz w:val="21"/>
          <w:szCs w:val="21"/>
        </w:rPr>
      </w:pPr>
      <w:r w:rsidRPr="002B60ED">
        <w:rPr>
          <w:rFonts w:ascii="Times New Roman" w:hAnsi="Times New Roman" w:cs="Times New Roman"/>
          <w:sz w:val="21"/>
          <w:szCs w:val="21"/>
        </w:rPr>
        <w:t>Польща, як і інші країни ЦСЄ, в кінці</w:t>
      </w:r>
      <w:r w:rsidRPr="005C70D4">
        <w:rPr>
          <w:rFonts w:ascii="Times New Roman" w:hAnsi="Times New Roman"/>
          <w:sz w:val="21"/>
          <w:szCs w:val="21"/>
        </w:rPr>
        <w:t xml:space="preserve"> минулого століття започаткувала реформи у вищій освіті. У 1998 році в Польщі відбулася адміністративна реформа, яка забезпечила скорочення прямого втручання держави в управління освітою, розширення демократичних засад функціонування ВНЗ та поглиблення університетської автономії. В управлінні вищим навчальним закладом </w:t>
      </w:r>
      <w:r w:rsidRPr="00E95ECA">
        <w:rPr>
          <w:rFonts w:ascii="Times New Roman" w:hAnsi="Times New Roman" w:cs="Times New Roman"/>
          <w:sz w:val="21"/>
          <w:szCs w:val="21"/>
        </w:rPr>
        <w:t xml:space="preserve">почали переважати принципи децентралізованого </w:t>
      </w:r>
      <w:r w:rsidRPr="00E95ECA">
        <w:rPr>
          <w:rFonts w:ascii="Times New Roman" w:hAnsi="Times New Roman" w:cs="Times New Roman"/>
          <w:sz w:val="21"/>
          <w:szCs w:val="21"/>
        </w:rPr>
        <w:lastRenderedPageBreak/>
        <w:t>керівництва, колегіальності при прийнятті рішень. У фінансово-економічну сферу діяльності ВНЗ почали вводитись ринкові елементи, зокрема плата за навчання на зао</w:t>
      </w:r>
      <w:r w:rsidR="009F7F6F" w:rsidRPr="00E95ECA">
        <w:rPr>
          <w:rFonts w:ascii="Times New Roman" w:hAnsi="Times New Roman" w:cs="Times New Roman"/>
          <w:sz w:val="21"/>
          <w:szCs w:val="21"/>
        </w:rPr>
        <w:t>чному та вечірньому відділеннях</w:t>
      </w:r>
      <w:r w:rsidRPr="00E95ECA">
        <w:rPr>
          <w:rFonts w:ascii="Times New Roman" w:hAnsi="Times New Roman" w:cs="Times New Roman"/>
          <w:sz w:val="21"/>
          <w:szCs w:val="21"/>
        </w:rPr>
        <w:t xml:space="preserve">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_Ref436215994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34</w:t>
      </w:r>
      <w:r w:rsidR="00772FFF">
        <w:rPr>
          <w:rFonts w:ascii="Times New Roman" w:hAnsi="Times New Roman" w:cs="Times New Roman"/>
          <w:sz w:val="21"/>
          <w:szCs w:val="21"/>
          <w:highlight w:val="yellow"/>
        </w:rPr>
        <w:fldChar w:fldCharType="end"/>
      </w:r>
      <w:r w:rsidRPr="00E95ECA">
        <w:rPr>
          <w:rFonts w:ascii="Times New Roman" w:hAnsi="Times New Roman" w:cs="Times New Roman"/>
          <w:sz w:val="21"/>
          <w:szCs w:val="21"/>
        </w:rPr>
        <w:t>, с. 43].</w:t>
      </w:r>
    </w:p>
    <w:p w:rsidR="0023489B" w:rsidRPr="005C70D4" w:rsidRDefault="0023489B" w:rsidP="0023489B">
      <w:pPr>
        <w:tabs>
          <w:tab w:val="num" w:pos="851"/>
        </w:tabs>
        <w:ind w:firstLine="709"/>
        <w:jc w:val="both"/>
        <w:rPr>
          <w:rFonts w:ascii="Times New Roman" w:hAnsi="Times New Roman"/>
          <w:sz w:val="21"/>
          <w:szCs w:val="21"/>
        </w:rPr>
      </w:pPr>
      <w:r w:rsidRPr="00E95ECA">
        <w:rPr>
          <w:rFonts w:ascii="Times New Roman" w:hAnsi="Times New Roman" w:cs="Times New Roman"/>
          <w:sz w:val="21"/>
          <w:szCs w:val="21"/>
        </w:rPr>
        <w:t>Сучасні концепції управління вищою освітою західноєвропейських країн будуються</w:t>
      </w:r>
      <w:r w:rsidRPr="005C70D4">
        <w:rPr>
          <w:rFonts w:ascii="Times New Roman" w:hAnsi="Times New Roman"/>
          <w:sz w:val="21"/>
          <w:szCs w:val="21"/>
        </w:rPr>
        <w:t xml:space="preserve"> на досвіді ліберальної моделі управління вищою освітою Сполучених Штатів Америки. Особливістю управління американською системою вищою освітою є нагляд за державними ВНЗ з боку буферних організацій, діяльність яких відбувається одним із двох можливих способів: половина місцевих урядів підтримує відносну децентралізацію керованих на місцях коледжів і університетів, але забезпечує координацію (на рівні штату) через організацію, що здійснює планування та регулювання; інші об’єднали всі (або більшу частину) </w:t>
      </w:r>
      <w:r w:rsidRPr="00E95ECA">
        <w:rPr>
          <w:rFonts w:ascii="Times New Roman" w:hAnsi="Times New Roman" w:cs="Times New Roman"/>
          <w:sz w:val="21"/>
          <w:szCs w:val="21"/>
        </w:rPr>
        <w:t>своїх державних коледжів та університетів під керівництвом однієї або двох центральних рад з вищої освіти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_Ref436216007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8</w:t>
      </w:r>
      <w:r w:rsidR="00772FFF">
        <w:rPr>
          <w:rFonts w:ascii="Times New Roman" w:hAnsi="Times New Roman" w:cs="Times New Roman"/>
          <w:sz w:val="21"/>
          <w:szCs w:val="21"/>
          <w:highlight w:val="yellow"/>
        </w:rPr>
        <w:fldChar w:fldCharType="end"/>
      </w:r>
      <w:r w:rsidRPr="00E95ECA">
        <w:rPr>
          <w:rFonts w:ascii="Times New Roman" w:hAnsi="Times New Roman" w:cs="Times New Roman"/>
          <w:sz w:val="21"/>
          <w:szCs w:val="21"/>
        </w:rPr>
        <w:t>, с. 69]. Саме ці організації здійснюють контроль за діяльністю кожного з державних коледжів та університетів, в тому числі за надання бюджетного</w:t>
      </w:r>
      <w:r w:rsidRPr="005C70D4">
        <w:rPr>
          <w:rFonts w:ascii="Times New Roman" w:hAnsi="Times New Roman"/>
          <w:sz w:val="21"/>
          <w:szCs w:val="21"/>
        </w:rPr>
        <w:t xml:space="preserve"> фінансування та виділення державних коштів кожному з підпорядкованих навчальних закладів, управління програмами з надання студентських дотацій та позичок. Джерелами фінансування американських державних вищих навчальних закладів є: кошти федерального уряду та штатів, плата за навчання, відсоток з основного капіталу ВНЗ, гранти, індивідуальні та інші пожертви і внески, продаж товарів та послуг, інші джерела. Скорочення фінансової підтримки зі сторони федерального уряду і уряду штатів призвело до пошуку альтернативних джерел фінансування і спонукало розвиток університетського підпри</w:t>
      </w:r>
      <w:r w:rsidR="009F7F6F">
        <w:rPr>
          <w:rFonts w:ascii="Times New Roman" w:hAnsi="Times New Roman"/>
          <w:sz w:val="21"/>
          <w:szCs w:val="21"/>
        </w:rPr>
        <w:t>-</w:t>
      </w:r>
      <w:r w:rsidRPr="005C70D4">
        <w:rPr>
          <w:rFonts w:ascii="Times New Roman" w:hAnsi="Times New Roman"/>
          <w:sz w:val="21"/>
          <w:szCs w:val="21"/>
        </w:rPr>
        <w:t xml:space="preserve">ємництва в </w:t>
      </w:r>
      <w:r w:rsidRPr="00E95ECA">
        <w:rPr>
          <w:rFonts w:ascii="Times New Roman" w:hAnsi="Times New Roman" w:cs="Times New Roman"/>
          <w:sz w:val="21"/>
          <w:szCs w:val="21"/>
        </w:rPr>
        <w:t>сфері освітніх послуг та наукових досліджень. У багатьох штатах існує система, яка стимулює університети на пошук коштів. Американські університети функціонують як самоврядні установи і мають значну незалежність і свободу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_Ref436216015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41</w:t>
      </w:r>
      <w:r w:rsidR="00772FFF">
        <w:rPr>
          <w:rFonts w:ascii="Times New Roman" w:hAnsi="Times New Roman" w:cs="Times New Roman"/>
          <w:sz w:val="21"/>
          <w:szCs w:val="21"/>
          <w:highlight w:val="yellow"/>
        </w:rPr>
        <w:fldChar w:fldCharType="end"/>
      </w:r>
      <w:r w:rsidRPr="00E95ECA">
        <w:rPr>
          <w:rFonts w:ascii="Times New Roman" w:hAnsi="Times New Roman" w:cs="Times New Roman"/>
          <w:sz w:val="21"/>
          <w:szCs w:val="21"/>
        </w:rPr>
        <w:t>]. На сьогодні більшість ВНЗ накопичили значні капітали завдяки власній цілеспрямованій діяльності та допомозі зі сторони федерального уряду та урядів штатів. Значною мірою цьому сприяли політика підтримки розвитку наукових досліджень</w:t>
      </w:r>
      <w:r w:rsidRPr="005C70D4">
        <w:rPr>
          <w:rFonts w:ascii="Times New Roman" w:hAnsi="Times New Roman"/>
          <w:sz w:val="21"/>
          <w:szCs w:val="21"/>
        </w:rPr>
        <w:t xml:space="preserve"> та розробок, спрямованих на посилення безпеки чи оборони країни; введення пільгової системи оподаткування коштів, які надаються у вигляді пожертв; стимулювання залучення коштів навчальними </w:t>
      </w:r>
      <w:r w:rsidRPr="005C70D4">
        <w:rPr>
          <w:rFonts w:ascii="Times New Roman" w:hAnsi="Times New Roman"/>
          <w:sz w:val="21"/>
          <w:szCs w:val="21"/>
        </w:rPr>
        <w:lastRenderedPageBreak/>
        <w:t>закладами зі сторони урядів штатів; встановлення цільових зв’язків з бізнесом та промисловістю, де останні були джерелами фінансування та експериментальною базою для впровадження результатів досліджень; надання значної фінансової самостійності університетським підрозділам у залученні та використанні коштів.</w:t>
      </w:r>
    </w:p>
    <w:p w:rsidR="0023489B" w:rsidRPr="005C70D4" w:rsidRDefault="0023489B" w:rsidP="0023489B">
      <w:pPr>
        <w:tabs>
          <w:tab w:val="num" w:pos="851"/>
        </w:tabs>
        <w:ind w:firstLine="709"/>
        <w:jc w:val="both"/>
        <w:rPr>
          <w:rFonts w:ascii="Times New Roman" w:hAnsi="Times New Roman"/>
          <w:sz w:val="21"/>
          <w:szCs w:val="21"/>
        </w:rPr>
      </w:pPr>
      <w:r w:rsidRPr="005C70D4">
        <w:rPr>
          <w:rFonts w:ascii="Times New Roman" w:hAnsi="Times New Roman"/>
          <w:sz w:val="21"/>
          <w:szCs w:val="21"/>
        </w:rPr>
        <w:t xml:space="preserve">Особливої уваги заслуговує досвід Китайської народної республіки у модернізації освітньої сфери, яка проголошена як невід’ємна складова соціально-економічних реформ, спрямованих на принципово новий курс розвитку країни. В результаті дій уряду безкоштовна освіта у державних ВНЗ поступово трансформувалась в загально розповсюджену платну освіту. З початку 1996 року студенти, які навчались на </w:t>
      </w:r>
      <w:r w:rsidRPr="00E95ECA">
        <w:rPr>
          <w:rFonts w:ascii="Times New Roman" w:hAnsi="Times New Roman" w:cs="Times New Roman"/>
          <w:sz w:val="21"/>
          <w:szCs w:val="21"/>
        </w:rPr>
        <w:t>бюджетній основі, почали самостійно відшкодовувати частину вартості навчання. Разом з тим, вища освіта стала доступною для представників малозахищених верств населення завдяки розробці ефективного механізму кредитування освіти населення та надання грантів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_Ref436216052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25</w:t>
      </w:r>
      <w:r w:rsidR="00772FFF">
        <w:rPr>
          <w:rFonts w:ascii="Times New Roman" w:hAnsi="Times New Roman" w:cs="Times New Roman"/>
          <w:sz w:val="21"/>
          <w:szCs w:val="21"/>
          <w:highlight w:val="yellow"/>
        </w:rPr>
        <w:fldChar w:fldCharType="end"/>
      </w:r>
      <w:r w:rsidRPr="00E95ECA">
        <w:rPr>
          <w:rFonts w:ascii="Times New Roman" w:hAnsi="Times New Roman" w:cs="Times New Roman"/>
          <w:sz w:val="21"/>
          <w:szCs w:val="21"/>
        </w:rPr>
        <w:t>, с. 94]. Витрати центрального і місцевих бюджетів займають важливе місце в фінансуванні вищої освіти Китаю. Внаслідок скорочення держа</w:t>
      </w:r>
      <w:r w:rsidR="009F7F6F" w:rsidRPr="00E95ECA">
        <w:rPr>
          <w:rFonts w:ascii="Times New Roman" w:hAnsi="Times New Roman" w:cs="Times New Roman"/>
          <w:sz w:val="21"/>
          <w:szCs w:val="21"/>
        </w:rPr>
        <w:t>-</w:t>
      </w:r>
      <w:r w:rsidRPr="00E95ECA">
        <w:rPr>
          <w:rFonts w:ascii="Times New Roman" w:hAnsi="Times New Roman" w:cs="Times New Roman"/>
          <w:sz w:val="21"/>
          <w:szCs w:val="21"/>
        </w:rPr>
        <w:t>вних видатків, відбуваються процеси диверсифікації джерел фінан</w:t>
      </w:r>
      <w:r w:rsidR="009F7F6F" w:rsidRPr="00E95ECA">
        <w:rPr>
          <w:rFonts w:ascii="Times New Roman" w:hAnsi="Times New Roman" w:cs="Times New Roman"/>
          <w:sz w:val="21"/>
          <w:szCs w:val="21"/>
        </w:rPr>
        <w:t>-</w:t>
      </w:r>
      <w:r w:rsidRPr="00E95ECA">
        <w:rPr>
          <w:rFonts w:ascii="Times New Roman" w:hAnsi="Times New Roman" w:cs="Times New Roman"/>
          <w:sz w:val="21"/>
          <w:szCs w:val="21"/>
        </w:rPr>
        <w:t>сування вищої освіти. Відповідно до «Плану дій з відновлення освіти у XXI столітті», вищим навчальним закладам</w:t>
      </w:r>
      <w:r w:rsidRPr="005C70D4">
        <w:rPr>
          <w:rFonts w:ascii="Times New Roman" w:hAnsi="Times New Roman"/>
          <w:sz w:val="21"/>
          <w:szCs w:val="21"/>
        </w:rPr>
        <w:t xml:space="preserve"> надано значні права та свободи у пошуку позабюджетних джерел фінансування. Завдяки цьому невпинно зростають надходження коштів за навчання від студентів, від надання платних освітніх та інших по</w:t>
      </w:r>
      <w:r w:rsidR="009F7F6F">
        <w:rPr>
          <w:rFonts w:ascii="Times New Roman" w:hAnsi="Times New Roman"/>
          <w:sz w:val="21"/>
          <w:szCs w:val="21"/>
        </w:rPr>
        <w:t>-</w:t>
      </w:r>
      <w:r w:rsidRPr="005C70D4">
        <w:rPr>
          <w:rFonts w:ascii="Times New Roman" w:hAnsi="Times New Roman"/>
          <w:sz w:val="21"/>
          <w:szCs w:val="21"/>
        </w:rPr>
        <w:t xml:space="preserve">слуг, здійснення операцій з цінними паперами, отримання відсотків по депозитних внесках, дольової участі у комерційних проектах з іншими організаціями. Залучається спонсорська допомога. </w:t>
      </w:r>
    </w:p>
    <w:p w:rsidR="0023489B" w:rsidRPr="005C70D4" w:rsidRDefault="0023489B" w:rsidP="0023489B">
      <w:pPr>
        <w:ind w:firstLine="709"/>
        <w:jc w:val="both"/>
        <w:rPr>
          <w:rFonts w:ascii="Times New Roman" w:hAnsi="Times New Roman"/>
          <w:sz w:val="21"/>
          <w:szCs w:val="21"/>
        </w:rPr>
      </w:pPr>
      <w:r w:rsidRPr="005C70D4">
        <w:rPr>
          <w:rFonts w:ascii="Times New Roman" w:hAnsi="Times New Roman"/>
          <w:sz w:val="21"/>
          <w:szCs w:val="21"/>
        </w:rPr>
        <w:t xml:space="preserve">Узагальнюючи наведене, зазначимо, що основою переважної більшості освітніх реформ, було роздержавлення та обмеження втручання держави в освітню галузь. Внаслідок реформування освітньої сфери в багатьох країнах Європи досягнуто оптимальне визначення меж втручання державних органів в діяльність вищих навчальних закладів. </w:t>
      </w:r>
    </w:p>
    <w:p w:rsidR="0023489B" w:rsidRPr="005C70D4" w:rsidRDefault="0023489B" w:rsidP="0023489B">
      <w:pPr>
        <w:pStyle w:val="aff5"/>
        <w:spacing w:before="0" w:beforeAutospacing="0" w:after="0" w:afterAutospacing="0"/>
        <w:ind w:firstLine="709"/>
        <w:jc w:val="both"/>
        <w:rPr>
          <w:color w:val="000000"/>
          <w:sz w:val="21"/>
          <w:szCs w:val="21"/>
        </w:rPr>
      </w:pPr>
      <w:r w:rsidRPr="005C70D4">
        <w:rPr>
          <w:sz w:val="21"/>
          <w:szCs w:val="21"/>
        </w:rPr>
        <w:t>Порівняльний аналіз існуючих систем управління</w:t>
      </w:r>
      <w:r w:rsidRPr="005C70D4">
        <w:rPr>
          <w:color w:val="000000"/>
          <w:sz w:val="21"/>
          <w:szCs w:val="21"/>
        </w:rPr>
        <w:t xml:space="preserve"> освітою в різних країнах світу дає підстави виділити такі переваги децентралізації: 1) отримання суб’єктом господарювання самостійності, що дає змогу своєчасно реагувати на зміни, які відбуваються в сучасній економіці і суспільстві; 2) підтримка ініціативи ВНЗ в пошуку шляхів оптимізації діяльності; 3) </w:t>
      </w:r>
      <w:r w:rsidRPr="005C70D4">
        <w:rPr>
          <w:color w:val="000000"/>
          <w:sz w:val="21"/>
          <w:szCs w:val="21"/>
        </w:rPr>
        <w:lastRenderedPageBreak/>
        <w:t>спрощення процесу прийняття управлінських рішень на підставі відповідної інформації в залежності від конкретної ситуації; 4) сприяння розвитку конкуренції між ВНЗ.</w:t>
      </w:r>
    </w:p>
    <w:p w:rsidR="0023489B" w:rsidRDefault="0023489B" w:rsidP="0023489B">
      <w:pPr>
        <w:ind w:firstLine="709"/>
        <w:jc w:val="both"/>
        <w:rPr>
          <w:rFonts w:ascii="Times New Roman" w:hAnsi="Times New Roman"/>
          <w:color w:val="000000"/>
          <w:sz w:val="21"/>
          <w:szCs w:val="21"/>
        </w:rPr>
      </w:pPr>
      <w:r w:rsidRPr="005C70D4">
        <w:rPr>
          <w:rFonts w:ascii="Times New Roman" w:hAnsi="Times New Roman"/>
          <w:color w:val="000000"/>
          <w:sz w:val="21"/>
          <w:szCs w:val="21"/>
        </w:rPr>
        <w:t xml:space="preserve">Відмінності централізованої та децентралізованої систем управління вищими навчальними закладами на основі аналізу існуючих систем управління освітою наведені в табл. </w:t>
      </w:r>
      <w:r w:rsidR="009F7F6F">
        <w:rPr>
          <w:rFonts w:ascii="Times New Roman" w:hAnsi="Times New Roman"/>
          <w:color w:val="000000"/>
          <w:sz w:val="21"/>
          <w:szCs w:val="21"/>
        </w:rPr>
        <w:t>7.2</w:t>
      </w:r>
      <w:r w:rsidRPr="005C70D4">
        <w:rPr>
          <w:rFonts w:ascii="Times New Roman" w:hAnsi="Times New Roman"/>
          <w:color w:val="000000"/>
          <w:sz w:val="21"/>
          <w:szCs w:val="21"/>
        </w:rPr>
        <w:t xml:space="preserve">. </w:t>
      </w:r>
    </w:p>
    <w:p w:rsidR="009F7F6F" w:rsidRPr="005C70D4" w:rsidRDefault="009F7F6F" w:rsidP="0023489B">
      <w:pPr>
        <w:ind w:firstLine="709"/>
        <w:jc w:val="both"/>
        <w:rPr>
          <w:rFonts w:ascii="Times New Roman" w:hAnsi="Times New Roman"/>
          <w:color w:val="000000"/>
          <w:sz w:val="21"/>
          <w:szCs w:val="21"/>
        </w:rPr>
      </w:pPr>
    </w:p>
    <w:p w:rsidR="0023489B" w:rsidRPr="005C70D4" w:rsidRDefault="0023489B" w:rsidP="0023489B">
      <w:pPr>
        <w:jc w:val="right"/>
        <w:rPr>
          <w:rFonts w:ascii="Times New Roman" w:hAnsi="Times New Roman"/>
          <w:color w:val="000000"/>
          <w:sz w:val="21"/>
          <w:szCs w:val="21"/>
        </w:rPr>
      </w:pPr>
      <w:r w:rsidRPr="005C70D4">
        <w:rPr>
          <w:rFonts w:ascii="Times New Roman" w:hAnsi="Times New Roman"/>
          <w:color w:val="000000"/>
          <w:sz w:val="21"/>
          <w:szCs w:val="21"/>
        </w:rPr>
        <w:t xml:space="preserve">Таблиця </w:t>
      </w:r>
      <w:r w:rsidR="009F7F6F">
        <w:rPr>
          <w:rFonts w:ascii="Times New Roman" w:hAnsi="Times New Roman"/>
          <w:color w:val="000000"/>
          <w:sz w:val="21"/>
          <w:szCs w:val="21"/>
        </w:rPr>
        <w:t>7.2</w:t>
      </w:r>
    </w:p>
    <w:p w:rsidR="0023489B" w:rsidRPr="009F7F6F" w:rsidRDefault="0023489B" w:rsidP="0023489B">
      <w:pPr>
        <w:ind w:firstLine="709"/>
        <w:jc w:val="center"/>
        <w:rPr>
          <w:rFonts w:ascii="Times New Roman" w:hAnsi="Times New Roman"/>
          <w:b/>
          <w:color w:val="000000"/>
          <w:sz w:val="21"/>
          <w:szCs w:val="21"/>
        </w:rPr>
      </w:pPr>
      <w:r w:rsidRPr="009F7F6F">
        <w:rPr>
          <w:rFonts w:ascii="Times New Roman" w:hAnsi="Times New Roman"/>
          <w:b/>
          <w:color w:val="000000"/>
          <w:sz w:val="21"/>
          <w:szCs w:val="21"/>
        </w:rPr>
        <w:t>Відмінності централізованої та децентралізованої систем управління вищими навчальними закладами*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085"/>
        <w:gridCol w:w="3255"/>
      </w:tblGrid>
      <w:tr w:rsidR="0023489B" w:rsidRPr="009F7F6F" w:rsidTr="0023489B">
        <w:tc>
          <w:tcPr>
            <w:tcW w:w="4886" w:type="dxa"/>
            <w:tcBorders>
              <w:top w:val="single" w:sz="4" w:space="0" w:color="000000"/>
              <w:left w:val="single" w:sz="4" w:space="0" w:color="000000"/>
              <w:bottom w:val="single" w:sz="4" w:space="0" w:color="000000"/>
              <w:right w:val="single" w:sz="4" w:space="0" w:color="000000"/>
            </w:tcBorders>
          </w:tcPr>
          <w:p w:rsidR="0023489B" w:rsidRPr="009F7F6F" w:rsidRDefault="0023489B" w:rsidP="0023489B">
            <w:pPr>
              <w:jc w:val="center"/>
              <w:rPr>
                <w:rFonts w:ascii="Times New Roman" w:hAnsi="Times New Roman"/>
                <w:sz w:val="18"/>
                <w:szCs w:val="18"/>
              </w:rPr>
            </w:pPr>
            <w:r w:rsidRPr="009F7F6F">
              <w:rPr>
                <w:rFonts w:ascii="Times New Roman" w:hAnsi="Times New Roman"/>
                <w:sz w:val="18"/>
                <w:szCs w:val="18"/>
              </w:rPr>
              <w:t>ЦЕНТРАЛІЗОВАНА СИСТЕМА</w:t>
            </w:r>
          </w:p>
          <w:p w:rsidR="0023489B" w:rsidRPr="009F7F6F" w:rsidRDefault="0023489B" w:rsidP="0023489B">
            <w:pPr>
              <w:jc w:val="center"/>
              <w:rPr>
                <w:rFonts w:ascii="Times New Roman" w:hAnsi="Times New Roman"/>
                <w:sz w:val="18"/>
                <w:szCs w:val="18"/>
              </w:rPr>
            </w:pPr>
            <w:r w:rsidRPr="009F7F6F">
              <w:rPr>
                <w:rFonts w:ascii="Times New Roman" w:hAnsi="Times New Roman"/>
                <w:sz w:val="18"/>
                <w:szCs w:val="18"/>
              </w:rPr>
              <w:t>управління вищими навчальними закладами</w:t>
            </w:r>
          </w:p>
        </w:tc>
        <w:tc>
          <w:tcPr>
            <w:tcW w:w="4967" w:type="dxa"/>
            <w:tcBorders>
              <w:top w:val="single" w:sz="4" w:space="0" w:color="000000"/>
              <w:left w:val="single" w:sz="4" w:space="0" w:color="000000"/>
              <w:bottom w:val="single" w:sz="4" w:space="0" w:color="000000"/>
              <w:right w:val="single" w:sz="4" w:space="0" w:color="000000"/>
            </w:tcBorders>
          </w:tcPr>
          <w:p w:rsidR="0023489B" w:rsidRPr="009F7F6F" w:rsidRDefault="0023489B" w:rsidP="0023489B">
            <w:pPr>
              <w:jc w:val="center"/>
              <w:rPr>
                <w:rFonts w:ascii="Times New Roman" w:hAnsi="Times New Roman"/>
                <w:sz w:val="18"/>
                <w:szCs w:val="18"/>
              </w:rPr>
            </w:pPr>
            <w:r w:rsidRPr="009F7F6F">
              <w:rPr>
                <w:rFonts w:ascii="Times New Roman" w:hAnsi="Times New Roman"/>
                <w:sz w:val="18"/>
                <w:szCs w:val="18"/>
              </w:rPr>
              <w:t>ДЕЦЕНТРАЛІЗОВАНА СИСТЕМА</w:t>
            </w:r>
          </w:p>
          <w:p w:rsidR="0023489B" w:rsidRPr="009F7F6F" w:rsidRDefault="0023489B" w:rsidP="0023489B">
            <w:pPr>
              <w:jc w:val="center"/>
              <w:rPr>
                <w:rFonts w:ascii="Times New Roman" w:hAnsi="Times New Roman"/>
                <w:sz w:val="18"/>
                <w:szCs w:val="18"/>
              </w:rPr>
            </w:pPr>
            <w:r w:rsidRPr="009F7F6F">
              <w:rPr>
                <w:rFonts w:ascii="Times New Roman" w:hAnsi="Times New Roman"/>
                <w:sz w:val="18"/>
                <w:szCs w:val="18"/>
              </w:rPr>
              <w:t>управління вищими навчальними закладами</w:t>
            </w:r>
          </w:p>
        </w:tc>
      </w:tr>
      <w:tr w:rsidR="0023489B" w:rsidRPr="009F7F6F" w:rsidTr="0023489B">
        <w:tc>
          <w:tcPr>
            <w:tcW w:w="4886" w:type="dxa"/>
            <w:tcBorders>
              <w:top w:val="single" w:sz="4" w:space="0" w:color="000000"/>
              <w:left w:val="single" w:sz="4" w:space="0" w:color="000000"/>
              <w:bottom w:val="single" w:sz="4" w:space="0" w:color="000000"/>
              <w:right w:val="single" w:sz="4" w:space="0" w:color="000000"/>
            </w:tcBorders>
          </w:tcPr>
          <w:p w:rsidR="0023489B" w:rsidRPr="009F7F6F" w:rsidRDefault="0023489B" w:rsidP="0023489B">
            <w:pPr>
              <w:pStyle w:val="a"/>
              <w:numPr>
                <w:ilvl w:val="0"/>
                <w:numId w:val="66"/>
              </w:numPr>
              <w:tabs>
                <w:tab w:val="clear" w:pos="851"/>
                <w:tab w:val="left" w:pos="142"/>
              </w:tabs>
              <w:spacing w:line="240" w:lineRule="auto"/>
              <w:ind w:left="0" w:firstLine="0"/>
              <w:rPr>
                <w:sz w:val="18"/>
                <w:szCs w:val="18"/>
              </w:rPr>
            </w:pPr>
            <w:r w:rsidRPr="009F7F6F">
              <w:rPr>
                <w:sz w:val="18"/>
                <w:szCs w:val="18"/>
              </w:rPr>
              <w:t xml:space="preserve">підлеглість більшості компонентів системи вищої освіти національним міністерствам освіти або іншим аналогічним органам; </w:t>
            </w:r>
          </w:p>
          <w:p w:rsidR="0023489B" w:rsidRPr="009F7F6F" w:rsidRDefault="0023489B" w:rsidP="0023489B">
            <w:pPr>
              <w:pStyle w:val="a"/>
              <w:numPr>
                <w:ilvl w:val="0"/>
                <w:numId w:val="66"/>
              </w:numPr>
              <w:tabs>
                <w:tab w:val="clear" w:pos="851"/>
                <w:tab w:val="left" w:pos="142"/>
                <w:tab w:val="left" w:pos="426"/>
              </w:tabs>
              <w:spacing w:line="240" w:lineRule="auto"/>
              <w:ind w:left="0" w:firstLine="0"/>
              <w:rPr>
                <w:sz w:val="18"/>
                <w:szCs w:val="18"/>
              </w:rPr>
            </w:pPr>
            <w:r w:rsidRPr="009F7F6F">
              <w:rPr>
                <w:sz w:val="18"/>
                <w:szCs w:val="18"/>
              </w:rPr>
              <w:t>державне регулювання багатьох питань поточної діяльності ВНЗ;</w:t>
            </w:r>
          </w:p>
          <w:p w:rsidR="0023489B" w:rsidRPr="009F7F6F" w:rsidRDefault="0023489B" w:rsidP="0023489B">
            <w:pPr>
              <w:pStyle w:val="a"/>
              <w:numPr>
                <w:ilvl w:val="0"/>
                <w:numId w:val="66"/>
              </w:numPr>
              <w:tabs>
                <w:tab w:val="clear" w:pos="851"/>
                <w:tab w:val="left" w:pos="142"/>
                <w:tab w:val="left" w:pos="426"/>
              </w:tabs>
              <w:spacing w:line="240" w:lineRule="auto"/>
              <w:ind w:left="0" w:firstLine="0"/>
              <w:rPr>
                <w:sz w:val="18"/>
                <w:szCs w:val="18"/>
              </w:rPr>
            </w:pPr>
            <w:r w:rsidRPr="009F7F6F">
              <w:rPr>
                <w:sz w:val="18"/>
                <w:szCs w:val="18"/>
              </w:rPr>
              <w:t xml:space="preserve">повна фінансова залежність закладів освіти від держави; </w:t>
            </w:r>
          </w:p>
          <w:p w:rsidR="0023489B" w:rsidRPr="009F7F6F" w:rsidRDefault="0023489B" w:rsidP="0023489B">
            <w:pPr>
              <w:pStyle w:val="a"/>
              <w:numPr>
                <w:ilvl w:val="0"/>
                <w:numId w:val="66"/>
              </w:numPr>
              <w:tabs>
                <w:tab w:val="clear" w:pos="851"/>
                <w:tab w:val="left" w:pos="142"/>
                <w:tab w:val="left" w:pos="426"/>
              </w:tabs>
              <w:spacing w:line="240" w:lineRule="auto"/>
              <w:ind w:left="0" w:firstLine="0"/>
              <w:rPr>
                <w:sz w:val="18"/>
                <w:szCs w:val="18"/>
              </w:rPr>
            </w:pPr>
            <w:r w:rsidRPr="009F7F6F">
              <w:rPr>
                <w:sz w:val="18"/>
                <w:szCs w:val="18"/>
              </w:rPr>
              <w:t xml:space="preserve">здійснення планування та контролю за складом вищої освіти на рівні центральних рівнів управління; </w:t>
            </w:r>
          </w:p>
          <w:p w:rsidR="0023489B" w:rsidRPr="009F7F6F" w:rsidRDefault="0023489B" w:rsidP="0023489B">
            <w:pPr>
              <w:pStyle w:val="a"/>
              <w:numPr>
                <w:ilvl w:val="0"/>
                <w:numId w:val="66"/>
              </w:numPr>
              <w:tabs>
                <w:tab w:val="clear" w:pos="851"/>
                <w:tab w:val="left" w:pos="142"/>
                <w:tab w:val="left" w:pos="720"/>
              </w:tabs>
              <w:spacing w:line="240" w:lineRule="auto"/>
              <w:ind w:left="0" w:firstLine="0"/>
              <w:rPr>
                <w:sz w:val="18"/>
                <w:szCs w:val="18"/>
              </w:rPr>
            </w:pPr>
            <w:r w:rsidRPr="009F7F6F">
              <w:rPr>
                <w:sz w:val="18"/>
                <w:szCs w:val="18"/>
              </w:rPr>
              <w:t>регламентація організаційної структури ВНЗ</w:t>
            </w:r>
          </w:p>
        </w:tc>
        <w:tc>
          <w:tcPr>
            <w:tcW w:w="4967" w:type="dxa"/>
            <w:tcBorders>
              <w:top w:val="single" w:sz="4" w:space="0" w:color="000000"/>
              <w:left w:val="single" w:sz="4" w:space="0" w:color="000000"/>
              <w:bottom w:val="single" w:sz="4" w:space="0" w:color="000000"/>
              <w:right w:val="single" w:sz="4" w:space="0" w:color="000000"/>
            </w:tcBorders>
          </w:tcPr>
          <w:p w:rsidR="0023489B" w:rsidRPr="009F7F6F" w:rsidRDefault="0023489B" w:rsidP="0023489B">
            <w:pPr>
              <w:pStyle w:val="a"/>
              <w:numPr>
                <w:ilvl w:val="0"/>
                <w:numId w:val="66"/>
              </w:numPr>
              <w:tabs>
                <w:tab w:val="clear" w:pos="851"/>
                <w:tab w:val="left" w:pos="194"/>
              </w:tabs>
              <w:spacing w:line="240" w:lineRule="auto"/>
              <w:ind w:left="0" w:firstLine="0"/>
              <w:rPr>
                <w:sz w:val="18"/>
                <w:szCs w:val="18"/>
              </w:rPr>
            </w:pPr>
            <w:r w:rsidRPr="009F7F6F">
              <w:rPr>
                <w:sz w:val="18"/>
                <w:szCs w:val="18"/>
              </w:rPr>
              <w:t xml:space="preserve">управління ВНЗ здійснюється в основному на регіональному і місцевому рівнях; </w:t>
            </w:r>
          </w:p>
          <w:p w:rsidR="0023489B" w:rsidRPr="009F7F6F" w:rsidRDefault="0023489B" w:rsidP="0023489B">
            <w:pPr>
              <w:pStyle w:val="a"/>
              <w:numPr>
                <w:ilvl w:val="0"/>
                <w:numId w:val="66"/>
              </w:numPr>
              <w:tabs>
                <w:tab w:val="clear" w:pos="851"/>
                <w:tab w:val="left" w:pos="194"/>
              </w:tabs>
              <w:spacing w:line="240" w:lineRule="auto"/>
              <w:ind w:left="0" w:firstLine="0"/>
              <w:rPr>
                <w:sz w:val="18"/>
                <w:szCs w:val="18"/>
              </w:rPr>
            </w:pPr>
            <w:r w:rsidRPr="009F7F6F">
              <w:rPr>
                <w:sz w:val="18"/>
                <w:szCs w:val="18"/>
              </w:rPr>
              <w:t xml:space="preserve">центральні органи управління обмежуються визначенням загальної стратегії розвитку вищої школи та не втручаються в поточну діяльність; </w:t>
            </w:r>
          </w:p>
          <w:p w:rsidR="0023489B" w:rsidRPr="009F7F6F" w:rsidRDefault="0023489B" w:rsidP="0023489B">
            <w:pPr>
              <w:pStyle w:val="a"/>
              <w:numPr>
                <w:ilvl w:val="0"/>
                <w:numId w:val="66"/>
              </w:numPr>
              <w:tabs>
                <w:tab w:val="clear" w:pos="851"/>
                <w:tab w:val="left" w:pos="194"/>
              </w:tabs>
              <w:spacing w:line="240" w:lineRule="auto"/>
              <w:ind w:left="0" w:firstLine="0"/>
              <w:rPr>
                <w:sz w:val="18"/>
                <w:szCs w:val="18"/>
              </w:rPr>
            </w:pPr>
            <w:r w:rsidRPr="009F7F6F">
              <w:rPr>
                <w:sz w:val="18"/>
                <w:szCs w:val="18"/>
              </w:rPr>
              <w:t xml:space="preserve">цільове виділення центральними органами управління відповідних фінансових ресурсів; </w:t>
            </w:r>
          </w:p>
          <w:p w:rsidR="0023489B" w:rsidRPr="009F7F6F" w:rsidRDefault="0023489B" w:rsidP="0023489B">
            <w:pPr>
              <w:pStyle w:val="a"/>
              <w:numPr>
                <w:ilvl w:val="0"/>
                <w:numId w:val="66"/>
              </w:numPr>
              <w:tabs>
                <w:tab w:val="clear" w:pos="851"/>
                <w:tab w:val="left" w:pos="194"/>
              </w:tabs>
              <w:spacing w:line="240" w:lineRule="auto"/>
              <w:ind w:left="0" w:firstLine="0"/>
              <w:rPr>
                <w:sz w:val="18"/>
                <w:szCs w:val="18"/>
              </w:rPr>
            </w:pPr>
            <w:r w:rsidRPr="009F7F6F">
              <w:rPr>
                <w:sz w:val="18"/>
                <w:szCs w:val="18"/>
              </w:rPr>
              <w:t>значна автономія ВНЗ, в т.ч. в питаннях визначення організаційної структури та розпорядженні фінансовими ресурсами</w:t>
            </w:r>
          </w:p>
        </w:tc>
      </w:tr>
    </w:tbl>
    <w:p w:rsidR="0023489B" w:rsidRPr="00E95ECA" w:rsidRDefault="0023489B" w:rsidP="009F7F6F">
      <w:pPr>
        <w:tabs>
          <w:tab w:val="center" w:pos="851"/>
        </w:tabs>
        <w:ind w:firstLine="709"/>
        <w:jc w:val="both"/>
        <w:rPr>
          <w:rFonts w:ascii="Times New Roman" w:hAnsi="Times New Roman" w:cs="Times New Roman"/>
          <w:sz w:val="18"/>
          <w:szCs w:val="18"/>
        </w:rPr>
      </w:pPr>
      <w:r w:rsidRPr="009F7F6F">
        <w:rPr>
          <w:rFonts w:ascii="Times New Roman" w:hAnsi="Times New Roman"/>
          <w:sz w:val="18"/>
          <w:szCs w:val="18"/>
        </w:rPr>
        <w:t>* – складено автор</w:t>
      </w:r>
      <w:r w:rsidR="009F7F6F">
        <w:rPr>
          <w:rFonts w:ascii="Times New Roman" w:hAnsi="Times New Roman"/>
          <w:sz w:val="18"/>
          <w:szCs w:val="18"/>
        </w:rPr>
        <w:t>ами розділу</w:t>
      </w:r>
      <w:r w:rsidRPr="009F7F6F">
        <w:rPr>
          <w:rFonts w:ascii="Times New Roman" w:hAnsi="Times New Roman"/>
          <w:sz w:val="18"/>
          <w:szCs w:val="18"/>
        </w:rPr>
        <w:t xml:space="preserve"> на </w:t>
      </w:r>
      <w:r w:rsidRPr="00E95ECA">
        <w:rPr>
          <w:rFonts w:ascii="Times New Roman" w:hAnsi="Times New Roman" w:cs="Times New Roman"/>
          <w:sz w:val="18"/>
          <w:szCs w:val="18"/>
        </w:rPr>
        <w:t>основі [</w:t>
      </w:r>
      <w:r w:rsidR="00772FFF">
        <w:rPr>
          <w:rFonts w:ascii="Times New Roman" w:hAnsi="Times New Roman" w:cs="Times New Roman"/>
          <w:color w:val="000000"/>
          <w:sz w:val="21"/>
          <w:szCs w:val="21"/>
          <w:highlight w:val="yellow"/>
        </w:rPr>
        <w:fldChar w:fldCharType="begin"/>
      </w:r>
      <w:r w:rsidR="00772FFF">
        <w:rPr>
          <w:rFonts w:ascii="Times New Roman" w:hAnsi="Times New Roman" w:cs="Times New Roman"/>
          <w:sz w:val="18"/>
          <w:szCs w:val="18"/>
        </w:rPr>
        <w:instrText xml:space="preserve"> REF _Ref436215930 \r \h </w:instrText>
      </w:r>
      <w:r w:rsidR="00772FFF">
        <w:rPr>
          <w:rFonts w:ascii="Times New Roman" w:hAnsi="Times New Roman" w:cs="Times New Roman"/>
          <w:color w:val="000000"/>
          <w:sz w:val="21"/>
          <w:szCs w:val="21"/>
          <w:highlight w:val="yellow"/>
        </w:rPr>
      </w:r>
      <w:r w:rsidR="00772FFF">
        <w:rPr>
          <w:rFonts w:ascii="Times New Roman" w:hAnsi="Times New Roman" w:cs="Times New Roman"/>
          <w:color w:val="000000"/>
          <w:sz w:val="21"/>
          <w:szCs w:val="21"/>
          <w:highlight w:val="yellow"/>
        </w:rPr>
        <w:fldChar w:fldCharType="separate"/>
      </w:r>
      <w:r w:rsidR="00772FFF">
        <w:rPr>
          <w:rFonts w:ascii="Times New Roman" w:hAnsi="Times New Roman" w:cs="Times New Roman"/>
          <w:sz w:val="18"/>
          <w:szCs w:val="18"/>
        </w:rPr>
        <w:t>12</w:t>
      </w:r>
      <w:r w:rsidR="00772FFF">
        <w:rPr>
          <w:rFonts w:ascii="Times New Roman" w:hAnsi="Times New Roman" w:cs="Times New Roman"/>
          <w:color w:val="000000"/>
          <w:sz w:val="21"/>
          <w:szCs w:val="21"/>
          <w:highlight w:val="yellow"/>
        </w:rPr>
        <w:fldChar w:fldCharType="end"/>
      </w:r>
      <w:r w:rsidRPr="00E95ECA">
        <w:rPr>
          <w:rFonts w:ascii="Times New Roman" w:hAnsi="Times New Roman" w:cs="Times New Roman"/>
          <w:sz w:val="18"/>
          <w:szCs w:val="18"/>
        </w:rPr>
        <w:t>, с. 1, 6]</w:t>
      </w:r>
    </w:p>
    <w:p w:rsidR="0023489B" w:rsidRPr="00E95ECA" w:rsidRDefault="0023489B" w:rsidP="0023489B">
      <w:pPr>
        <w:pStyle w:val="aff5"/>
        <w:spacing w:before="0" w:beforeAutospacing="0" w:after="0" w:afterAutospacing="0"/>
        <w:ind w:firstLine="709"/>
        <w:jc w:val="both"/>
        <w:rPr>
          <w:sz w:val="21"/>
          <w:szCs w:val="21"/>
          <w:lang w:eastAsia="en-US"/>
        </w:rPr>
      </w:pPr>
    </w:p>
    <w:p w:rsidR="00197F22" w:rsidRPr="005C70D4" w:rsidRDefault="00197F22" w:rsidP="00197F22">
      <w:pPr>
        <w:pStyle w:val="aff5"/>
        <w:spacing w:before="0" w:beforeAutospacing="0" w:after="0" w:afterAutospacing="0"/>
        <w:ind w:firstLine="709"/>
        <w:jc w:val="both"/>
        <w:rPr>
          <w:sz w:val="21"/>
          <w:szCs w:val="21"/>
        </w:rPr>
      </w:pPr>
      <w:r w:rsidRPr="005C70D4">
        <w:rPr>
          <w:sz w:val="21"/>
          <w:szCs w:val="21"/>
        </w:rPr>
        <w:t>Європейський досвід засвідчує, що адміністрування та керування вищими навчальними закладами повинно ґрунтуватись на принципах: оптимального співвідношення централізації та децентралізації, поваги до інституційної автономії та академічної свободи, відкритості та прозорості, суспільної відповідальності.</w:t>
      </w:r>
    </w:p>
    <w:p w:rsidR="00197F22" w:rsidRDefault="00197F22" w:rsidP="00197F22">
      <w:pPr>
        <w:ind w:firstLine="709"/>
        <w:jc w:val="both"/>
        <w:rPr>
          <w:rFonts w:ascii="Times New Roman" w:hAnsi="Times New Roman"/>
          <w:color w:val="000000"/>
          <w:sz w:val="21"/>
          <w:szCs w:val="21"/>
        </w:rPr>
      </w:pPr>
      <w:r w:rsidRPr="005C70D4">
        <w:rPr>
          <w:rFonts w:ascii="Times New Roman" w:hAnsi="Times New Roman"/>
          <w:color w:val="000000"/>
          <w:sz w:val="21"/>
          <w:szCs w:val="21"/>
        </w:rPr>
        <w:t>Принцип автономії, як один з принципів державної політики в сфері освіти, запроваджується в якості головного при реформуванні та адаптації системи вищої освіти до мінливих соціально-економічних умов.</w:t>
      </w:r>
    </w:p>
    <w:p w:rsidR="00197F22" w:rsidRPr="00E95ECA" w:rsidRDefault="00197F22" w:rsidP="00197F22">
      <w:pPr>
        <w:ind w:firstLine="709"/>
        <w:jc w:val="both"/>
        <w:rPr>
          <w:rFonts w:ascii="Times New Roman" w:hAnsi="Times New Roman" w:cs="Times New Roman"/>
          <w:color w:val="000000"/>
          <w:sz w:val="21"/>
          <w:szCs w:val="21"/>
        </w:rPr>
      </w:pPr>
      <w:r w:rsidRPr="005C70D4">
        <w:rPr>
          <w:rFonts w:ascii="Times New Roman" w:hAnsi="Times New Roman"/>
          <w:color w:val="000000"/>
          <w:sz w:val="21"/>
          <w:szCs w:val="21"/>
        </w:rPr>
        <w:t xml:space="preserve">Автономія як правова </w:t>
      </w:r>
      <w:r w:rsidRPr="00E95ECA">
        <w:rPr>
          <w:rFonts w:ascii="Times New Roman" w:hAnsi="Times New Roman" w:cs="Times New Roman"/>
          <w:color w:val="000000"/>
          <w:sz w:val="21"/>
          <w:szCs w:val="21"/>
        </w:rPr>
        <w:t xml:space="preserve">категорія передбачає право самостійного здійснення управління в межах, передбачених законодавством. У широкому розумінні автономія означає право </w:t>
      </w:r>
      <w:r w:rsidRPr="00E95ECA">
        <w:rPr>
          <w:rFonts w:ascii="Times New Roman" w:hAnsi="Times New Roman" w:cs="Times New Roman"/>
          <w:color w:val="000000"/>
          <w:sz w:val="21"/>
          <w:szCs w:val="21"/>
        </w:rPr>
        <w:lastRenderedPageBreak/>
        <w:t xml:space="preserve">підприємства, установи, організації на самоврядування, тобто самостійно розв'язувати певні питання </w:t>
      </w:r>
      <w:r w:rsidRPr="00E95ECA">
        <w:rPr>
          <w:rFonts w:ascii="Times New Roman" w:hAnsi="Times New Roman" w:cs="Times New Roman"/>
          <w:sz w:val="21"/>
          <w:szCs w:val="21"/>
        </w:rPr>
        <w:t>[</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_Ref436216089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44</w:t>
      </w:r>
      <w:r>
        <w:rPr>
          <w:rFonts w:ascii="Times New Roman" w:hAnsi="Times New Roman" w:cs="Times New Roman"/>
          <w:sz w:val="21"/>
          <w:szCs w:val="21"/>
          <w:highlight w:val="yellow"/>
        </w:rPr>
        <w:fldChar w:fldCharType="end"/>
      </w:r>
      <w:r w:rsidRPr="00E95ECA">
        <w:rPr>
          <w:rFonts w:ascii="Times New Roman" w:hAnsi="Times New Roman" w:cs="Times New Roman"/>
          <w:sz w:val="21"/>
          <w:szCs w:val="21"/>
        </w:rPr>
        <w:t xml:space="preserve"> с. 48]</w:t>
      </w:r>
      <w:r w:rsidRPr="00E95ECA">
        <w:rPr>
          <w:rFonts w:ascii="Times New Roman" w:hAnsi="Times New Roman" w:cs="Times New Roman"/>
          <w:color w:val="000000"/>
          <w:sz w:val="21"/>
          <w:szCs w:val="21"/>
        </w:rPr>
        <w:t>.</w:t>
      </w:r>
    </w:p>
    <w:p w:rsidR="00197F22" w:rsidRDefault="00197F22" w:rsidP="00197F22">
      <w:pPr>
        <w:pStyle w:val="aff5"/>
        <w:spacing w:before="0" w:beforeAutospacing="0" w:after="0" w:afterAutospacing="0"/>
        <w:ind w:firstLine="709"/>
        <w:jc w:val="both"/>
        <w:rPr>
          <w:sz w:val="21"/>
          <w:szCs w:val="21"/>
        </w:rPr>
      </w:pPr>
      <w:r w:rsidRPr="00E95ECA">
        <w:rPr>
          <w:sz w:val="21"/>
          <w:szCs w:val="21"/>
        </w:rPr>
        <w:t>Система управління вищою освітою в Україні відноситься до централізованого типу. Загальне управління вищою освітою сконцентроване в Міністерстві освіти</w:t>
      </w:r>
      <w:r w:rsidRPr="009F7F6F">
        <w:rPr>
          <w:sz w:val="21"/>
          <w:szCs w:val="21"/>
        </w:rPr>
        <w:t xml:space="preserve"> і науки України, якому надані виключні повноваження по визначенню державної політики в галузі вищої освіти, науки, професійної підготовки кадрів, розробці програм розвитку та державних стандартів освіти, нормативів діяльності вищих навчальних закладів, ліцензування та акредитації, міжнародних освітніх зв’язків.</w:t>
      </w:r>
    </w:p>
    <w:p w:rsidR="0023489B" w:rsidRPr="005C70D4" w:rsidRDefault="0023489B" w:rsidP="0023489B">
      <w:pPr>
        <w:pStyle w:val="aff5"/>
        <w:spacing w:before="0" w:beforeAutospacing="0" w:after="0" w:afterAutospacing="0"/>
        <w:ind w:firstLine="709"/>
        <w:jc w:val="both"/>
        <w:rPr>
          <w:sz w:val="21"/>
          <w:szCs w:val="21"/>
        </w:rPr>
      </w:pPr>
      <w:r w:rsidRPr="005C70D4">
        <w:rPr>
          <w:sz w:val="21"/>
          <w:szCs w:val="21"/>
        </w:rPr>
        <w:t>Одним із головних дискусійних питань серед теоретиків і практиків освітньої політики є визначення оптимального співвідношення між державним регулюванням і ступенем автономії освітніх закладів, в тому числі у здійсненні фінансово-господарської діяльності. Відповідаючи на питання «у чому полягає принцип автономії вузів» О.</w:t>
      </w:r>
      <w:r w:rsidR="009F7F6F">
        <w:rPr>
          <w:sz w:val="21"/>
          <w:szCs w:val="21"/>
        </w:rPr>
        <w:t xml:space="preserve"> </w:t>
      </w:r>
      <w:r w:rsidRPr="005C70D4">
        <w:rPr>
          <w:sz w:val="21"/>
          <w:szCs w:val="21"/>
        </w:rPr>
        <w:t>І. Козієвська зазначає наступне: «автономія – це питання централізації та децентралізації повноважень у прийнятті рішень у системі вищої освіти: що віддати навчальним закладам, а що залишити за державою» [</w:t>
      </w:r>
      <w:r w:rsidR="00772FFF">
        <w:rPr>
          <w:sz w:val="21"/>
          <w:szCs w:val="21"/>
          <w:highlight w:val="yellow"/>
        </w:rPr>
        <w:fldChar w:fldCharType="begin"/>
      </w:r>
      <w:r w:rsidR="00772FFF">
        <w:rPr>
          <w:sz w:val="21"/>
          <w:szCs w:val="21"/>
        </w:rPr>
        <w:instrText xml:space="preserve"> REF _Ref436215918 \r \h </w:instrText>
      </w:r>
      <w:r w:rsidR="00772FFF">
        <w:rPr>
          <w:sz w:val="21"/>
          <w:szCs w:val="21"/>
          <w:highlight w:val="yellow"/>
        </w:rPr>
      </w:r>
      <w:r w:rsidR="00772FFF">
        <w:rPr>
          <w:sz w:val="21"/>
          <w:szCs w:val="21"/>
          <w:highlight w:val="yellow"/>
        </w:rPr>
        <w:fldChar w:fldCharType="separate"/>
      </w:r>
      <w:r w:rsidR="00772FFF">
        <w:rPr>
          <w:sz w:val="21"/>
          <w:szCs w:val="21"/>
        </w:rPr>
        <w:t>10</w:t>
      </w:r>
      <w:r w:rsidR="00772FFF">
        <w:rPr>
          <w:sz w:val="21"/>
          <w:szCs w:val="21"/>
          <w:highlight w:val="yellow"/>
        </w:rPr>
        <w:fldChar w:fldCharType="end"/>
      </w:r>
      <w:r w:rsidRPr="005C70D4">
        <w:rPr>
          <w:sz w:val="21"/>
          <w:szCs w:val="21"/>
        </w:rPr>
        <w:t>, с. 187]. Університетська автономія вкрай потрібна як невід’ємна умова інституалізації, вибору власного шляху становлення та розвитку, здійснення визначеної місії [</w:t>
      </w:r>
      <w:r w:rsidR="00772FFF">
        <w:rPr>
          <w:sz w:val="21"/>
          <w:szCs w:val="21"/>
          <w:highlight w:val="yellow"/>
        </w:rPr>
        <w:fldChar w:fldCharType="begin"/>
      </w:r>
      <w:r w:rsidR="00772FFF">
        <w:rPr>
          <w:sz w:val="21"/>
          <w:szCs w:val="21"/>
        </w:rPr>
        <w:instrText xml:space="preserve"> REF _Ref436216176 \r \h </w:instrText>
      </w:r>
      <w:r w:rsidR="00772FFF">
        <w:rPr>
          <w:sz w:val="21"/>
          <w:szCs w:val="21"/>
          <w:highlight w:val="yellow"/>
        </w:rPr>
      </w:r>
      <w:r w:rsidR="00772FFF">
        <w:rPr>
          <w:sz w:val="21"/>
          <w:szCs w:val="21"/>
          <w:highlight w:val="yellow"/>
        </w:rPr>
        <w:fldChar w:fldCharType="separate"/>
      </w:r>
      <w:r w:rsidR="00772FFF">
        <w:rPr>
          <w:sz w:val="21"/>
          <w:szCs w:val="21"/>
        </w:rPr>
        <w:t>27</w:t>
      </w:r>
      <w:r w:rsidR="00772FFF">
        <w:rPr>
          <w:sz w:val="21"/>
          <w:szCs w:val="21"/>
          <w:highlight w:val="yellow"/>
        </w:rPr>
        <w:fldChar w:fldCharType="end"/>
      </w:r>
      <w:r w:rsidRPr="005C70D4">
        <w:rPr>
          <w:sz w:val="21"/>
          <w:szCs w:val="21"/>
        </w:rPr>
        <w:t>]. Нам імпонує позиція Н.Є. Карягіна, який зазначає, що в сучасних умовах ні университетська автономія, ані самоврядування не є абсолютними, та, як правило, обмежені законодавчими актами та іншими діючими механізмами [</w:t>
      </w:r>
      <w:r w:rsidR="00772FFF">
        <w:rPr>
          <w:sz w:val="21"/>
          <w:szCs w:val="21"/>
          <w:highlight w:val="yellow"/>
        </w:rPr>
        <w:fldChar w:fldCharType="begin"/>
      </w:r>
      <w:r w:rsidR="00772FFF">
        <w:rPr>
          <w:sz w:val="21"/>
          <w:szCs w:val="21"/>
        </w:rPr>
        <w:instrText xml:space="preserve"> REF _Ref436216195 \r \h </w:instrText>
      </w:r>
      <w:r w:rsidR="00772FFF">
        <w:rPr>
          <w:sz w:val="21"/>
          <w:szCs w:val="21"/>
          <w:highlight w:val="yellow"/>
        </w:rPr>
      </w:r>
      <w:r w:rsidR="00772FFF">
        <w:rPr>
          <w:sz w:val="21"/>
          <w:szCs w:val="21"/>
          <w:highlight w:val="yellow"/>
        </w:rPr>
        <w:fldChar w:fldCharType="separate"/>
      </w:r>
      <w:r w:rsidR="00772FFF">
        <w:rPr>
          <w:sz w:val="21"/>
          <w:szCs w:val="21"/>
        </w:rPr>
        <w:t>17</w:t>
      </w:r>
      <w:r w:rsidR="00772FFF">
        <w:rPr>
          <w:sz w:val="21"/>
          <w:szCs w:val="21"/>
          <w:highlight w:val="yellow"/>
        </w:rPr>
        <w:fldChar w:fldCharType="end"/>
      </w:r>
      <w:r w:rsidRPr="005C70D4">
        <w:rPr>
          <w:sz w:val="21"/>
          <w:szCs w:val="21"/>
        </w:rPr>
        <w:t>, с. 45].</w:t>
      </w:r>
    </w:p>
    <w:p w:rsidR="0023489B" w:rsidRDefault="0023489B" w:rsidP="0023489B">
      <w:pPr>
        <w:pStyle w:val="aff5"/>
        <w:spacing w:before="0" w:beforeAutospacing="0" w:after="0" w:afterAutospacing="0"/>
        <w:ind w:firstLine="709"/>
        <w:jc w:val="both"/>
        <w:rPr>
          <w:sz w:val="21"/>
          <w:szCs w:val="21"/>
        </w:rPr>
      </w:pPr>
      <w:r w:rsidRPr="005C70D4">
        <w:rPr>
          <w:color w:val="000000"/>
          <w:sz w:val="21"/>
          <w:szCs w:val="21"/>
        </w:rPr>
        <w:t>Базові елементи університетської автономії все-таки присутні в наявному законодавстві про вищу освіту. Автономія та самоврядування вищих навчальних закладів реалізуються відпові</w:t>
      </w:r>
      <w:r w:rsidR="009F7F6F">
        <w:rPr>
          <w:color w:val="000000"/>
          <w:sz w:val="21"/>
          <w:szCs w:val="21"/>
        </w:rPr>
        <w:t>-</w:t>
      </w:r>
      <w:r w:rsidRPr="005C70D4">
        <w:rPr>
          <w:color w:val="000000"/>
          <w:sz w:val="21"/>
          <w:szCs w:val="21"/>
        </w:rPr>
        <w:t>дно до законодавства України, яким визначаються рамки автономії і самоврядування у різних напрямах їх діяльності. У фінансово-господарській діяльності державних і комунальних ВНЗ принцип автономії передбачає право надавати додаткові освітні та інші платні послуги, самостійно розпоряджається доходами та іншими надходженнями, одержаними від надання дозволених законодав</w:t>
      </w:r>
      <w:r w:rsidR="009F7F6F">
        <w:rPr>
          <w:color w:val="000000"/>
          <w:sz w:val="21"/>
          <w:szCs w:val="21"/>
        </w:rPr>
        <w:t>-</w:t>
      </w:r>
      <w:r w:rsidRPr="005C70D4">
        <w:rPr>
          <w:color w:val="000000"/>
          <w:sz w:val="21"/>
          <w:szCs w:val="21"/>
        </w:rPr>
        <w:t xml:space="preserve">ством України платних послуг </w:t>
      </w:r>
      <w:r w:rsidRPr="005C70D4">
        <w:rPr>
          <w:sz w:val="21"/>
          <w:szCs w:val="21"/>
        </w:rPr>
        <w:t>[</w:t>
      </w:r>
      <w:r w:rsidR="00772FFF">
        <w:rPr>
          <w:sz w:val="21"/>
          <w:szCs w:val="21"/>
          <w:highlight w:val="yellow"/>
        </w:rPr>
        <w:fldChar w:fldCharType="begin"/>
      </w:r>
      <w:r w:rsidR="00772FFF">
        <w:rPr>
          <w:sz w:val="21"/>
          <w:szCs w:val="21"/>
        </w:rPr>
        <w:instrText xml:space="preserve"> REF _Ref436215632 \r \h </w:instrText>
      </w:r>
      <w:r w:rsidR="00772FFF">
        <w:rPr>
          <w:sz w:val="21"/>
          <w:szCs w:val="21"/>
          <w:highlight w:val="yellow"/>
        </w:rPr>
      </w:r>
      <w:r w:rsidR="00772FFF">
        <w:rPr>
          <w:sz w:val="21"/>
          <w:szCs w:val="21"/>
          <w:highlight w:val="yellow"/>
        </w:rPr>
        <w:fldChar w:fldCharType="separate"/>
      </w:r>
      <w:r w:rsidR="00772FFF">
        <w:rPr>
          <w:sz w:val="21"/>
          <w:szCs w:val="21"/>
        </w:rPr>
        <w:t>38</w:t>
      </w:r>
      <w:r w:rsidR="00772FFF">
        <w:rPr>
          <w:sz w:val="21"/>
          <w:szCs w:val="21"/>
          <w:highlight w:val="yellow"/>
        </w:rPr>
        <w:fldChar w:fldCharType="end"/>
      </w:r>
      <w:r w:rsidRPr="005C70D4">
        <w:rPr>
          <w:sz w:val="21"/>
          <w:szCs w:val="21"/>
        </w:rPr>
        <w:t>]</w:t>
      </w:r>
      <w:r w:rsidRPr="005C70D4">
        <w:rPr>
          <w:color w:val="000000"/>
          <w:sz w:val="21"/>
          <w:szCs w:val="21"/>
        </w:rPr>
        <w:t xml:space="preserve">. </w:t>
      </w:r>
      <w:r w:rsidRPr="005C70D4">
        <w:rPr>
          <w:sz w:val="21"/>
          <w:szCs w:val="21"/>
        </w:rPr>
        <w:t xml:space="preserve">Одним з перших кроків на шляху до забезпечення фінансової стабільності ВНЗ в ринкових умовах стало внесення до переліку можливих джерел фінансування крім коштів відповідних бюджетів, коштів галузей національної </w:t>
      </w:r>
      <w:r w:rsidRPr="005C70D4">
        <w:rPr>
          <w:sz w:val="21"/>
          <w:szCs w:val="21"/>
        </w:rPr>
        <w:lastRenderedPageBreak/>
        <w:t>економіки, державних підприємств і організацій, а також додат</w:t>
      </w:r>
      <w:r w:rsidR="009F7F6F">
        <w:rPr>
          <w:sz w:val="21"/>
          <w:szCs w:val="21"/>
        </w:rPr>
        <w:t>-</w:t>
      </w:r>
      <w:r w:rsidRPr="005C70D4">
        <w:rPr>
          <w:sz w:val="21"/>
          <w:szCs w:val="21"/>
        </w:rPr>
        <w:t>кових джерел фінансування. Вищим навчальним закладам згідно чинного законодавства надано право формувати власні надход</w:t>
      </w:r>
      <w:r w:rsidR="009F7F6F">
        <w:rPr>
          <w:sz w:val="21"/>
          <w:szCs w:val="21"/>
        </w:rPr>
        <w:t>-</w:t>
      </w:r>
      <w:r w:rsidRPr="009F7F6F">
        <w:rPr>
          <w:spacing w:val="-4"/>
          <w:sz w:val="21"/>
          <w:szCs w:val="21"/>
        </w:rPr>
        <w:t xml:space="preserve">ження шляхом надання послуг у багатьох сферах діяльності (рис. </w:t>
      </w:r>
      <w:r w:rsidR="009F7F6F" w:rsidRPr="009F7F6F">
        <w:rPr>
          <w:spacing w:val="-4"/>
          <w:sz w:val="21"/>
          <w:szCs w:val="21"/>
        </w:rPr>
        <w:t>7.1</w:t>
      </w:r>
      <w:r w:rsidRPr="009F7F6F">
        <w:rPr>
          <w:spacing w:val="-4"/>
          <w:sz w:val="21"/>
          <w:szCs w:val="21"/>
        </w:rPr>
        <w:t>).</w:t>
      </w:r>
    </w:p>
    <w:p w:rsidR="009F7F6F" w:rsidRPr="00E95ECA" w:rsidRDefault="009F7F6F" w:rsidP="009F7F6F">
      <w:pPr>
        <w:ind w:firstLine="709"/>
        <w:jc w:val="both"/>
        <w:rPr>
          <w:rFonts w:ascii="Times New Roman" w:hAnsi="Times New Roman" w:cs="Times New Roman"/>
          <w:sz w:val="21"/>
          <w:szCs w:val="21"/>
        </w:rPr>
      </w:pPr>
      <w:r w:rsidRPr="005C70D4">
        <w:rPr>
          <w:rFonts w:ascii="Times New Roman" w:hAnsi="Times New Roman"/>
          <w:sz w:val="21"/>
          <w:szCs w:val="21"/>
        </w:rPr>
        <w:t xml:space="preserve">Формування </w:t>
      </w:r>
      <w:r w:rsidRPr="00E95ECA">
        <w:rPr>
          <w:rFonts w:ascii="Times New Roman" w:hAnsi="Times New Roman" w:cs="Times New Roman"/>
          <w:sz w:val="21"/>
          <w:szCs w:val="21"/>
        </w:rPr>
        <w:t>та реалізація державної освітньої політики неможливі без належного правового та організаційно-економічного сприяння. Нормативно-правова база повинна бути надійним підґрунтям і системою орієнтирів у практичній діяльності ВНЗ та їхніх керівників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_Ref436216204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3</w:t>
      </w:r>
      <w:r w:rsidR="00772FFF">
        <w:rPr>
          <w:rFonts w:ascii="Times New Roman" w:hAnsi="Times New Roman" w:cs="Times New Roman"/>
          <w:sz w:val="21"/>
          <w:szCs w:val="21"/>
          <w:highlight w:val="yellow"/>
        </w:rPr>
        <w:fldChar w:fldCharType="end"/>
      </w:r>
      <w:r w:rsidRPr="00E95ECA">
        <w:rPr>
          <w:rFonts w:ascii="Times New Roman" w:hAnsi="Times New Roman" w:cs="Times New Roman"/>
          <w:sz w:val="21"/>
          <w:szCs w:val="21"/>
        </w:rPr>
        <w:t>, с. 80]. Наразі ВНЗ змушені функціонувати в умовах цілого ряду законодавчих обмежень і протиріч.</w:t>
      </w:r>
    </w:p>
    <w:p w:rsidR="0023489B" w:rsidRPr="00E95ECA" w:rsidRDefault="009F7F6F" w:rsidP="009F7F6F">
      <w:pPr>
        <w:pStyle w:val="aff5"/>
        <w:spacing w:before="0" w:beforeAutospacing="0" w:after="0" w:afterAutospacing="0"/>
        <w:ind w:firstLine="709"/>
        <w:jc w:val="both"/>
        <w:rPr>
          <w:sz w:val="21"/>
          <w:szCs w:val="21"/>
        </w:rPr>
      </w:pPr>
      <w:r w:rsidRPr="00E95ECA">
        <w:rPr>
          <w:sz w:val="21"/>
          <w:szCs w:val="21"/>
        </w:rPr>
        <w:t>Зазначимо, що чинне законодавство певною мірою забезпечує майнову самостійність вищих навчальних закладів. Однак централізований контроль ресурсів ВНЗ за сучасних умов функціонування передбачає обмеження у розпорядженні та використанні активів.</w:t>
      </w:r>
    </w:p>
    <w:p w:rsidR="0023489B" w:rsidRPr="005C70D4" w:rsidRDefault="009F7F6F" w:rsidP="0023489B">
      <w:pPr>
        <w:ind w:firstLine="709"/>
        <w:jc w:val="both"/>
        <w:rPr>
          <w:rFonts w:ascii="Times New Roman" w:hAnsi="Times New Roman"/>
          <w:sz w:val="21"/>
          <w:szCs w:val="21"/>
          <w:lang w:eastAsia="uk-UA"/>
        </w:rPr>
      </w:pPr>
      <w:r w:rsidRPr="00E95ECA">
        <w:rPr>
          <w:rFonts w:ascii="Times New Roman" w:hAnsi="Times New Roman" w:cs="Times New Roman"/>
          <w:sz w:val="21"/>
          <w:szCs w:val="21"/>
        </w:rPr>
        <w:t>Так, певні обмеження у використанні коштів ВНЗ обумовлюються їх статусом бюджетних</w:t>
      </w:r>
      <w:r w:rsidRPr="005C70D4">
        <w:rPr>
          <w:rFonts w:ascii="Times New Roman" w:hAnsi="Times New Roman"/>
          <w:sz w:val="21"/>
          <w:szCs w:val="21"/>
        </w:rPr>
        <w:t xml:space="preserve"> установ, що визначає використання коштів згідно з кошторисами, які затверджуються вищою установою.</w:t>
      </w:r>
      <w:r w:rsidR="0023489B">
        <w:rPr>
          <w:rFonts w:ascii="Times New Roman" w:hAnsi="Times New Roman"/>
          <w:noProof/>
          <w:sz w:val="21"/>
          <w:szCs w:val="21"/>
          <w:lang w:val="ru-RU" w:eastAsia="ru-RU"/>
        </w:rPr>
        <mc:AlternateContent>
          <mc:Choice Requires="wps">
            <w:drawing>
              <wp:anchor distT="0" distB="0" distL="114300" distR="114300" simplePos="0" relativeHeight="251724800" behindDoc="0" locked="0" layoutInCell="1" allowOverlap="1" wp14:anchorId="3E850F53" wp14:editId="11A9B773">
                <wp:simplePos x="0" y="0"/>
                <wp:positionH relativeFrom="column">
                  <wp:posOffset>4585970</wp:posOffset>
                </wp:positionH>
                <wp:positionV relativeFrom="paragraph">
                  <wp:posOffset>30480</wp:posOffset>
                </wp:positionV>
                <wp:extent cx="1404620" cy="780415"/>
                <wp:effectExtent l="13970" t="11430" r="10160" b="8255"/>
                <wp:wrapNone/>
                <wp:docPr id="1845" name="Text Box 2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4620" cy="780415"/>
                        </a:xfrm>
                        <a:prstGeom prst="rect">
                          <a:avLst/>
                        </a:prstGeom>
                        <a:solidFill>
                          <a:srgbClr val="FFFFFF"/>
                        </a:solidFill>
                        <a:ln w="9525">
                          <a:solidFill>
                            <a:srgbClr val="000000"/>
                          </a:solidFill>
                          <a:miter lim="800000"/>
                          <a:headEnd/>
                          <a:tailEnd/>
                        </a:ln>
                      </wps:spPr>
                      <wps:txbx>
                        <w:txbxContent>
                          <w:p w:rsidR="00BE40F8" w:rsidRPr="0012251B" w:rsidRDefault="00BE40F8" w:rsidP="0023489B">
                            <w:pPr>
                              <w:pStyle w:val="25"/>
                              <w:jc w:val="center"/>
                            </w:pPr>
                            <w:r w:rsidRPr="0012251B">
                              <w:t>Кошти, які отримують ВНЗ для виконання цільових заходів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850F53" id="Text Box 201" o:spid="_x0000_s2376" type="#_x0000_t202" style="position:absolute;left:0;text-align:left;margin-left:361.1pt;margin-top:2.4pt;width:110.6pt;height:61.4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">
                <v:textbox>
                  <w:txbxContent>
                    <w:p w:rsidR="00BE40F8" w:rsidRPr="0012251B" w:rsidRDefault="00BE40F8" w:rsidP="0023489B">
                      <w:pPr>
                        <w:pStyle w:val="25"/>
                        <w:jc w:val="center"/>
                      </w:pPr>
                      <w:r w:rsidRPr="0012251B">
                        <w:t>Кошти, які отримують ВНЗ для виконання цільових заходів</w:t>
                      </w:r>
                    </w:p>
                  </w:txbxContent>
                </v:textbox>
              </v:shape>
            </w:pict>
          </mc:Fallback>
        </mc:AlternateContent>
      </w:r>
    </w:p>
    <w:p w:rsidR="00197F22" w:rsidRDefault="009F7F6F" w:rsidP="0023489B">
      <w:pPr>
        <w:ind w:firstLine="709"/>
        <w:jc w:val="both"/>
        <w:rPr>
          <w:rFonts w:ascii="Times New Roman" w:hAnsi="Times New Roman"/>
          <w:sz w:val="21"/>
          <w:szCs w:val="21"/>
        </w:rPr>
      </w:pPr>
      <w:r w:rsidRPr="005C70D4">
        <w:rPr>
          <w:rFonts w:ascii="Times New Roman" w:hAnsi="Times New Roman"/>
          <w:sz w:val="21"/>
          <w:szCs w:val="21"/>
        </w:rPr>
        <w:t>Таке фінансування вищих навчальних закладів здійснювалось ще за часів СРСР як невід’ємна складова реалізації принципу демократичного централізму, який передбачав здійснення централізованого керівництва господарюючими суб’єктами та надання їм обмеженої господарської самостійності.</w:t>
      </w:r>
    </w:p>
    <w:p w:rsidR="0023489B" w:rsidRPr="005C70D4" w:rsidRDefault="00197F22" w:rsidP="0023489B">
      <w:pPr>
        <w:ind w:firstLine="709"/>
        <w:jc w:val="both"/>
        <w:rPr>
          <w:rFonts w:ascii="Times New Roman" w:hAnsi="Times New Roman"/>
          <w:sz w:val="21"/>
          <w:szCs w:val="21"/>
          <w:lang w:eastAsia="uk-UA"/>
        </w:rPr>
      </w:pPr>
      <w:r w:rsidRPr="00E95ECA">
        <w:rPr>
          <w:rFonts w:ascii="Times New Roman" w:hAnsi="Times New Roman" w:cs="Times New Roman"/>
          <w:sz w:val="21"/>
          <w:szCs w:val="21"/>
        </w:rPr>
        <w:t>Кошторисне фінансування ВНЗ збереглось і до тепер. Наразі кошторис доходів і видатків вищого навчального закладу визначає загальний обсяг, цільове спрямування та поквартальний розподіл усіх надходжень, що виділяються на його утримання, в тому числі і коштів, отриманих навчальним закладом від надання платних послуг. Здійснення</w:t>
      </w:r>
      <w:r w:rsidRPr="005C70D4">
        <w:rPr>
          <w:rFonts w:ascii="Times New Roman" w:hAnsi="Times New Roman"/>
          <w:sz w:val="21"/>
          <w:szCs w:val="21"/>
        </w:rPr>
        <w:t xml:space="preserve"> видатків, не передбачених кошторисом та перевищення їх фактичних показників понад планові не допускається. Поділяємо думку українських фахівців про те, що держава не повинна визначати напрямки використання коштів, залучених з додаткових джерел</w:t>
      </w:r>
      <w:r w:rsidRPr="00E95ECA">
        <w:rPr>
          <w:rFonts w:ascii="Times New Roman" w:hAnsi="Times New Roman" w:cs="Times New Roman"/>
          <w:sz w:val="21"/>
          <w:szCs w:val="21"/>
        </w:rPr>
        <w:t>, оскільки така процедура суттєво знижує мотивацію керівництва ВНЗ щодо підвищення якості послуг при одночасному зниженні витрат, створюючи перешкоди в гнучкому реагуванні на різноманітні ситуації, що виникають в ході здійснення господарської діяльності [</w:t>
      </w:r>
      <w:r>
        <w:rPr>
          <w:rFonts w:ascii="Times New Roman" w:hAnsi="Times New Roman" w:cs="Times New Roman"/>
          <w:sz w:val="21"/>
          <w:szCs w:val="21"/>
          <w:highlight w:val="yellow"/>
        </w:rPr>
        <w:fldChar w:fldCharType="begin"/>
      </w:r>
      <w:r>
        <w:rPr>
          <w:rFonts w:ascii="Times New Roman" w:hAnsi="Times New Roman" w:cs="Times New Roman"/>
          <w:sz w:val="21"/>
          <w:szCs w:val="21"/>
        </w:rPr>
        <w:instrText xml:space="preserve"> REF _Ref436216229 \r \h </w:instrText>
      </w:r>
      <w:r>
        <w:rPr>
          <w:rFonts w:ascii="Times New Roman" w:hAnsi="Times New Roman" w:cs="Times New Roman"/>
          <w:sz w:val="21"/>
          <w:szCs w:val="21"/>
          <w:highlight w:val="yellow"/>
        </w:rPr>
      </w:r>
      <w:r>
        <w:rPr>
          <w:rFonts w:ascii="Times New Roman" w:hAnsi="Times New Roman" w:cs="Times New Roman"/>
          <w:sz w:val="21"/>
          <w:szCs w:val="21"/>
          <w:highlight w:val="yellow"/>
        </w:rPr>
        <w:fldChar w:fldCharType="separate"/>
      </w:r>
      <w:r>
        <w:rPr>
          <w:rFonts w:ascii="Times New Roman" w:hAnsi="Times New Roman" w:cs="Times New Roman"/>
          <w:sz w:val="21"/>
          <w:szCs w:val="21"/>
        </w:rPr>
        <w:t>48</w:t>
      </w:r>
      <w:r>
        <w:rPr>
          <w:rFonts w:ascii="Times New Roman" w:hAnsi="Times New Roman" w:cs="Times New Roman"/>
          <w:sz w:val="21"/>
          <w:szCs w:val="21"/>
          <w:highlight w:val="yellow"/>
        </w:rPr>
        <w:fldChar w:fldCharType="end"/>
      </w:r>
      <w:r w:rsidRPr="00E95ECA">
        <w:rPr>
          <w:rFonts w:ascii="Times New Roman" w:hAnsi="Times New Roman" w:cs="Times New Roman"/>
          <w:sz w:val="21"/>
          <w:szCs w:val="21"/>
        </w:rPr>
        <w:t>, с. 35].</w:t>
      </w:r>
      <w:r w:rsidR="0023489B">
        <w:rPr>
          <w:rFonts w:ascii="Times New Roman" w:hAnsi="Times New Roman"/>
          <w:noProof/>
          <w:sz w:val="21"/>
          <w:szCs w:val="21"/>
          <w:lang w:val="ru-RU" w:eastAsia="ru-RU"/>
        </w:rPr>
        <mc:AlternateContent>
          <mc:Choice Requires="wps">
            <w:drawing>
              <wp:anchor distT="0" distB="0" distL="114300" distR="114300" simplePos="0" relativeHeight="251725824" behindDoc="0" locked="0" layoutInCell="1" allowOverlap="1" wp14:anchorId="36EF7784" wp14:editId="1BC8DA66">
                <wp:simplePos x="0" y="0"/>
                <wp:positionH relativeFrom="column">
                  <wp:posOffset>5990590</wp:posOffset>
                </wp:positionH>
                <wp:positionV relativeFrom="paragraph">
                  <wp:posOffset>66675</wp:posOffset>
                </wp:positionV>
                <wp:extent cx="143510" cy="5715"/>
                <wp:effectExtent l="18415" t="47625" r="9525" b="60960"/>
                <wp:wrapNone/>
                <wp:docPr id="1844" name="Line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3510" cy="5715"/>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A7A8A2" id="Line 205" o:spid="_x0000_s1026" style="position:absolute;flip:y;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1.7pt,5.25pt" to="483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">
                <v:stroke startarrow="block"/>
              </v:line>
            </w:pict>
          </mc:Fallback>
        </mc:AlternateContent>
      </w:r>
    </w:p>
    <w:p w:rsidR="0023489B" w:rsidRDefault="00197F22" w:rsidP="00197F22">
      <w:pPr>
        <w:ind w:firstLine="0"/>
        <w:jc w:val="both"/>
        <w:rPr>
          <w:rFonts w:ascii="Times New Roman" w:hAnsi="Times New Roman"/>
          <w:sz w:val="21"/>
          <w:szCs w:val="21"/>
        </w:rPr>
      </w:pPr>
      <w:r>
        <w:rPr>
          <w:rFonts w:ascii="Times New Roman" w:hAnsi="Times New Roman"/>
          <w:noProof/>
          <w:sz w:val="21"/>
          <w:szCs w:val="21"/>
          <w:lang w:val="ru-RU" w:eastAsia="ru-RU"/>
        </w:rPr>
        <w:lastRenderedPageBreak/>
        <mc:AlternateContent>
          <mc:Choice Requires="wpg">
            <w:drawing>
              <wp:anchor distT="0" distB="0" distL="114300" distR="114300" simplePos="0" relativeHeight="251731968" behindDoc="0" locked="0" layoutInCell="1" allowOverlap="1" wp14:anchorId="6FD22BB6" wp14:editId="6CE3CC4B">
                <wp:simplePos x="0" y="0"/>
                <wp:positionH relativeFrom="column">
                  <wp:posOffset>7511</wp:posOffset>
                </wp:positionH>
                <wp:positionV relativeFrom="paragraph">
                  <wp:posOffset>1147445</wp:posOffset>
                </wp:positionV>
                <wp:extent cx="3978910" cy="899160"/>
                <wp:effectExtent l="0" t="0" r="21590" b="15240"/>
                <wp:wrapNone/>
                <wp:docPr id="1854" name="Группа 1854"/>
                <wp:cNvGraphicFramePr/>
                <a:graphic xmlns:a="http://schemas.openxmlformats.org/drawingml/2006/main">
                  <a:graphicData uri="http://schemas.microsoft.com/office/word/2010/wordprocessingGroup">
                    <wpg:wgp>
                      <wpg:cNvGrpSpPr/>
                      <wpg:grpSpPr>
                        <a:xfrm>
                          <a:off x="0" y="0"/>
                          <a:ext cx="3978910" cy="899160"/>
                          <a:chOff x="0" y="0"/>
                          <a:chExt cx="3979124" cy="899372"/>
                        </a:xfrm>
                      </wpg:grpSpPr>
                      <wps:wsp>
                        <wps:cNvPr id="1849" name="Прямая со стрелкой 1849"/>
                        <wps:cNvCnPr/>
                        <wps:spPr>
                          <a:xfrm>
                            <a:off x="1419225" y="133350"/>
                            <a:ext cx="0" cy="128545"/>
                          </a:xfrm>
                          <a:prstGeom prst="straightConnector1">
                            <a:avLst/>
                          </a:prstGeom>
                          <a:ln w="31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50" name="Прямая со стрелкой 1850"/>
                        <wps:cNvCnPr/>
                        <wps:spPr>
                          <a:xfrm>
                            <a:off x="3571875" y="152400"/>
                            <a:ext cx="0" cy="128270"/>
                          </a:xfrm>
                          <a:prstGeom prst="straightConnector1">
                            <a:avLst/>
                          </a:prstGeom>
                          <a:ln w="31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51" name="Прямая соединительная линия 1851"/>
                        <wps:cNvCnPr/>
                        <wps:spPr>
                          <a:xfrm flipH="1">
                            <a:off x="3886200" y="752475"/>
                            <a:ext cx="92924" cy="0"/>
                          </a:xfrm>
                          <a:prstGeom prst="line">
                            <a:avLst/>
                          </a:prstGeom>
                        </wps:spPr>
                        <wps:style>
                          <a:lnRef idx="1">
                            <a:schemeClr val="dk1"/>
                          </a:lnRef>
                          <a:fillRef idx="0">
                            <a:schemeClr val="dk1"/>
                          </a:fillRef>
                          <a:effectRef idx="0">
                            <a:schemeClr val="dk1"/>
                          </a:effectRef>
                          <a:fontRef idx="minor">
                            <a:schemeClr val="tx1"/>
                          </a:fontRef>
                        </wps:style>
                        <wps:bodyPr/>
                      </wps:wsp>
                      <wps:wsp>
                        <wps:cNvPr id="1853" name="Прямая соединительная линия 1853"/>
                        <wps:cNvCnPr/>
                        <wps:spPr>
                          <a:xfrm>
                            <a:off x="0" y="0"/>
                            <a:ext cx="0" cy="899372"/>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49F0CA74" id="Группа 1854" o:spid="_x0000_s1026" style="position:absolute;margin-left:.6pt;margin-top:90.35pt;width:313.3pt;height:70.8pt;z-index:251731968" coordsize="39791,89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">
                <v:shape id="Прямая со стрелкой 1849" o:spid="_x0000_s1027" type="#_x0000_t32" style="position:absolute;left:14192;top:1333;width:0;height:12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" strokecolor="black [3213]" strokeweight=".25pt">
                  <v:stroke endarrow="block"/>
                </v:shape>
                <v:shape id="Прямая со стрелкой 1850" o:spid="_x0000_s1028" type="#_x0000_t32" style="position:absolute;left:35718;top:1524;width:0;height:12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" strokecolor="black [3213]" strokeweight=".25pt">
                  <v:stroke endarrow="block"/>
                </v:shape>
                <v:line id="Прямая соединительная линия 1851" o:spid="_x0000_s1029" style="position:absolute;flip:x;visibility:visible;mso-wrap-style:square" from="38862,7524" to="39791,7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" strokecolor="black [3040]"/>
                <v:line id="Прямая соединительная линия 1853" o:spid="_x0000_s1030" style="position:absolute;visibility:visible;mso-wrap-style:square" from="0,0" to="0,89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" strokecolor="black [3040]"/>
              </v:group>
            </w:pict>
          </mc:Fallback>
        </mc:AlternateContent>
      </w:r>
      <w:r w:rsidR="00BC39AF">
        <w:rPr>
          <w:noProof/>
          <w:lang w:val="ru-RU" w:eastAsia="ru-RU"/>
        </w:rPr>
        <mc:AlternateContent>
          <mc:Choice Requires="wps">
            <w:drawing>
              <wp:anchor distT="0" distB="0" distL="114300" distR="114300" simplePos="0" relativeHeight="251736064" behindDoc="0" locked="0" layoutInCell="1" allowOverlap="1" wp14:anchorId="1C6E5C9D" wp14:editId="50E3C1A3">
                <wp:simplePos x="0" y="0"/>
                <wp:positionH relativeFrom="column">
                  <wp:posOffset>3204210</wp:posOffset>
                </wp:positionH>
                <wp:positionV relativeFrom="paragraph">
                  <wp:posOffset>4070985</wp:posOffset>
                </wp:positionV>
                <wp:extent cx="909320" cy="1318895"/>
                <wp:effectExtent l="0" t="0" r="24130" b="14605"/>
                <wp:wrapNone/>
                <wp:docPr id="1856" name="Text Box 2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9320" cy="1318895"/>
                        </a:xfrm>
                        <a:prstGeom prst="rect">
                          <a:avLst/>
                        </a:prstGeom>
                        <a:solidFill>
                          <a:srgbClr val="FFFFFF"/>
                        </a:solidFill>
                        <a:ln w="9525">
                          <a:solidFill>
                            <a:srgbClr val="000000"/>
                          </a:solidFill>
                          <a:miter lim="800000"/>
                          <a:headEnd/>
                          <a:tailEnd/>
                        </a:ln>
                      </wps:spPr>
                      <wps:txbx>
                        <w:txbxContent>
                          <w:p w:rsidR="00BE40F8" w:rsidRPr="004F5FC6" w:rsidRDefault="00BE40F8" w:rsidP="00BC39AF">
                            <w:pPr>
                              <w:pStyle w:val="aff5"/>
                              <w:jc w:val="center"/>
                            </w:pPr>
                            <w:r>
                              <w:rPr>
                                <w:color w:val="000000"/>
                                <w:sz w:val="16"/>
                                <w:szCs w:val="16"/>
                              </w:rPr>
                              <w:t>Кошти, що отримують ВНЗ від розміщення на депозитах тимчасово вільних бюджетних коштів</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 w14:anchorId="1C6E5C9D" id="Text Box 292" o:spid="_x0000_s2377" type="#_x0000_t202" style="position:absolute;left:0;text-align:left;margin-left:252.3pt;margin-top:320.55pt;width:71.6pt;height:103.85pt;z-index:2517360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">
                <v:textbox>
                  <w:txbxContent>
                    <w:p w:rsidR="00BE40F8" w:rsidRPr="004F5FC6" w:rsidRDefault="00BE40F8" w:rsidP="00BC39AF">
                      <w:pPr>
                        <w:pStyle w:val="aff5"/>
                        <w:jc w:val="center"/>
                      </w:pPr>
                      <w:r>
                        <w:rPr>
                          <w:color w:val="000000"/>
                          <w:sz w:val="16"/>
                          <w:szCs w:val="16"/>
                        </w:rPr>
                        <w:t>Кошти, що отримують ВНЗ від розміщення на депозитах тимчасово вільних бюджетних коштів</w:t>
                      </w:r>
                    </w:p>
                  </w:txbxContent>
                </v:textbox>
              </v:shape>
            </w:pict>
          </mc:Fallback>
        </mc:AlternateContent>
      </w:r>
      <w:r w:rsidR="00BC39AF">
        <w:rPr>
          <w:noProof/>
          <w:lang w:val="ru-RU" w:eastAsia="ru-RU"/>
        </w:rPr>
        <mc:AlternateContent>
          <mc:Choice Requires="wps">
            <w:drawing>
              <wp:anchor distT="0" distB="0" distL="114300" distR="114300" simplePos="0" relativeHeight="251734016" behindDoc="0" locked="0" layoutInCell="1" allowOverlap="1" wp14:anchorId="4C885DF2" wp14:editId="2688F956">
                <wp:simplePos x="0" y="0"/>
                <wp:positionH relativeFrom="column">
                  <wp:posOffset>3192145</wp:posOffset>
                </wp:positionH>
                <wp:positionV relativeFrom="paragraph">
                  <wp:posOffset>3132455</wp:posOffset>
                </wp:positionV>
                <wp:extent cx="909320" cy="780415"/>
                <wp:effectExtent l="0" t="0" r="24130" b="19685"/>
                <wp:wrapNone/>
                <wp:docPr id="1855" name="Text Box 2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9320" cy="780415"/>
                        </a:xfrm>
                        <a:prstGeom prst="rect">
                          <a:avLst/>
                        </a:prstGeom>
                        <a:solidFill>
                          <a:srgbClr val="FFFFFF"/>
                        </a:solidFill>
                        <a:ln w="9525">
                          <a:solidFill>
                            <a:srgbClr val="000000"/>
                          </a:solidFill>
                          <a:miter lim="800000"/>
                          <a:headEnd/>
                          <a:tailEnd/>
                        </a:ln>
                      </wps:spPr>
                      <wps:txbx>
                        <w:txbxContent>
                          <w:p w:rsidR="00BE40F8" w:rsidRPr="00BC39AF" w:rsidRDefault="00BE40F8" w:rsidP="00BC39AF">
                            <w:pPr>
                              <w:pStyle w:val="aff5"/>
                              <w:jc w:val="center"/>
                              <w:rPr>
                                <w:color w:val="000000"/>
                                <w:sz w:val="20"/>
                                <w:szCs w:val="20"/>
                              </w:rPr>
                            </w:pPr>
                            <w:r>
                              <w:rPr>
                                <w:color w:val="000000"/>
                                <w:sz w:val="16"/>
                                <w:szCs w:val="16"/>
                              </w:rPr>
                              <w:t>Кошти, які отримують ВНЗ для виконання цільових заходів</w:t>
                            </w:r>
                          </w:p>
                          <w:p w:rsidR="00BE40F8" w:rsidRPr="00BC39AF" w:rsidRDefault="00BE40F8" w:rsidP="00BC39AF">
                            <w:pPr>
                              <w:pStyle w:val="aff5"/>
                              <w:jc w:val="both"/>
                              <w:rPr>
                                <w:color w:val="000000"/>
                              </w:rPr>
                            </w:pPr>
                          </w:p>
                          <w:p w:rsidR="00BE40F8" w:rsidRPr="004F5FC6" w:rsidRDefault="00BE40F8" w:rsidP="00BC39AF">
                            <w:pPr>
                              <w:pStyle w:val="aff5"/>
                              <w:spacing w:line="360" w:lineRule="auto"/>
                              <w:jc w:val="both"/>
                              <w:rPr>
                                <w:color w:val="000000"/>
                              </w:rPr>
                            </w:pPr>
                          </w:p>
                          <w:p w:rsidR="00BE40F8" w:rsidRPr="004F5FC6" w:rsidRDefault="00BE40F8" w:rsidP="00BC39AF">
                            <w:pPr>
                              <w:pStyle w:val="aff5"/>
                              <w:spacing w:line="360" w:lineRule="auto"/>
                              <w:jc w:val="both"/>
                              <w:rPr>
                                <w:color w:val="000000"/>
                              </w:rPr>
                            </w:pPr>
                          </w:p>
                          <w:p w:rsidR="00BE40F8" w:rsidRPr="004F5FC6" w:rsidRDefault="00BE40F8" w:rsidP="00BC39AF">
                            <w:pPr>
                              <w:rPr>
                                <w:rFonts w:ascii="Times New Roman" w:hAnsi="Times New Roman" w:cs="Times New Roman"/>
                              </w:rPr>
                            </w:pPr>
                          </w:p>
                        </w:txbxContent>
                      </wps:txbx>
                      <wps:bodyPr rot="0" vert="horz" wrap="square" lIns="91440" tIns="45720" rIns="91440" bIns="45720" anchor="t" anchorCtr="0" upright="1">
                        <a:noAutofit/>
                      </wps:bodyPr>
                    </wps:wsp>
                  </a:graphicData>
                </a:graphic>
              </wp:anchor>
            </w:drawing>
          </mc:Choice>
          <mc:Fallback>
            <w:pict>
              <v:shape w14:anchorId="4C885DF2" id="_x0000_s2378" type="#_x0000_t202" style="position:absolute;left:0;text-align:left;margin-left:251.35pt;margin-top:246.65pt;width:71.6pt;height:61.45pt;z-index:251734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">
                <v:textbox>
                  <w:txbxContent>
                    <w:p w:rsidR="00BE40F8" w:rsidRPr="00BC39AF" w:rsidRDefault="00BE40F8" w:rsidP="00BC39AF">
                      <w:pPr>
                        <w:pStyle w:val="aff5"/>
                        <w:jc w:val="center"/>
                        <w:rPr>
                          <w:color w:val="000000"/>
                          <w:sz w:val="20"/>
                          <w:szCs w:val="20"/>
                        </w:rPr>
                      </w:pPr>
                      <w:r>
                        <w:rPr>
                          <w:color w:val="000000"/>
                          <w:sz w:val="16"/>
                          <w:szCs w:val="16"/>
                        </w:rPr>
                        <w:t>Кошти, які отримують ВНЗ для виконання цільових заходів</w:t>
                      </w:r>
                    </w:p>
                    <w:p w:rsidR="00BE40F8" w:rsidRPr="00BC39AF" w:rsidRDefault="00BE40F8" w:rsidP="00BC39AF">
                      <w:pPr>
                        <w:pStyle w:val="aff5"/>
                        <w:jc w:val="both"/>
                        <w:rPr>
                          <w:color w:val="000000"/>
                        </w:rPr>
                      </w:pPr>
                    </w:p>
                    <w:p w:rsidR="00BE40F8" w:rsidRPr="004F5FC6" w:rsidRDefault="00BE40F8" w:rsidP="00BC39AF">
                      <w:pPr>
                        <w:pStyle w:val="aff5"/>
                        <w:spacing w:line="360" w:lineRule="auto"/>
                        <w:jc w:val="both"/>
                        <w:rPr>
                          <w:color w:val="000000"/>
                        </w:rPr>
                      </w:pPr>
                    </w:p>
                    <w:p w:rsidR="00BE40F8" w:rsidRPr="004F5FC6" w:rsidRDefault="00BE40F8" w:rsidP="00BC39AF">
                      <w:pPr>
                        <w:pStyle w:val="aff5"/>
                        <w:spacing w:line="360" w:lineRule="auto"/>
                        <w:jc w:val="both"/>
                        <w:rPr>
                          <w:color w:val="000000"/>
                        </w:rPr>
                      </w:pPr>
                    </w:p>
                    <w:p w:rsidR="00BE40F8" w:rsidRPr="004F5FC6" w:rsidRDefault="00BE40F8" w:rsidP="00BC39AF">
                      <w:pPr>
                        <w:rPr>
                          <w:rFonts w:ascii="Times New Roman" w:hAnsi="Times New Roman" w:cs="Times New Roman"/>
                        </w:rPr>
                      </w:pPr>
                    </w:p>
                  </w:txbxContent>
                </v:textbox>
              </v:shape>
            </w:pict>
          </mc:Fallback>
        </mc:AlternateContent>
      </w:r>
      <w:r w:rsidR="0023489B">
        <w:rPr>
          <w:rFonts w:ascii="Times New Roman" w:hAnsi="Times New Roman"/>
          <w:noProof/>
          <w:sz w:val="21"/>
          <w:szCs w:val="21"/>
          <w:lang w:val="ru-RU" w:eastAsia="ru-RU"/>
        </w:rPr>
        <mc:AlternateContent>
          <mc:Choice Requires="wpg">
            <w:drawing>
              <wp:inline distT="0" distB="0" distL="0" distR="0" wp14:anchorId="24175185" wp14:editId="2D9F2E90">
                <wp:extent cx="3971925" cy="5386070"/>
                <wp:effectExtent l="0" t="0" r="28575" b="24130"/>
                <wp:docPr id="1652" name="Group 2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71925" cy="5386070"/>
                          <a:chOff x="1418" y="4934"/>
                          <a:chExt cx="9660" cy="7542"/>
                        </a:xfrm>
                      </wpg:grpSpPr>
                      <wps:wsp>
                        <wps:cNvPr id="1653" name="Text Box 279"/>
                        <wps:cNvSpPr txBox="1">
                          <a:spLocks noChangeArrowheads="1"/>
                        </wps:cNvSpPr>
                        <wps:spPr bwMode="auto">
                          <a:xfrm>
                            <a:off x="1418" y="6041"/>
                            <a:ext cx="2955" cy="495"/>
                          </a:xfrm>
                          <a:prstGeom prst="rect">
                            <a:avLst/>
                          </a:prstGeom>
                          <a:solidFill>
                            <a:srgbClr val="FFFFFF"/>
                          </a:solidFill>
                          <a:ln w="9525">
                            <a:solidFill>
                              <a:srgbClr val="000000"/>
                            </a:solidFill>
                            <a:miter lim="800000"/>
                            <a:headEnd/>
                            <a:tailEnd/>
                          </a:ln>
                        </wps:spPr>
                        <wps:txbx>
                          <w:txbxContent>
                            <w:p w:rsidR="00BE40F8" w:rsidRPr="004F5FC6" w:rsidRDefault="00BE40F8" w:rsidP="0023489B">
                              <w:pPr>
                                <w:pStyle w:val="aff5"/>
                                <w:jc w:val="center"/>
                                <w:rPr>
                                  <w:b/>
                                  <w:color w:val="000000"/>
                                  <w:sz w:val="16"/>
                                  <w:szCs w:val="16"/>
                                </w:rPr>
                              </w:pPr>
                              <w:r w:rsidRPr="004F5FC6">
                                <w:rPr>
                                  <w:b/>
                                  <w:color w:val="000000"/>
                                  <w:sz w:val="16"/>
                                  <w:szCs w:val="16"/>
                                </w:rPr>
                                <w:t>Бюджетне фінансування</w:t>
                              </w:r>
                            </w:p>
                            <w:p w:rsidR="00BE40F8" w:rsidRPr="004F5FC6" w:rsidRDefault="00BE40F8" w:rsidP="0023489B">
                              <w:pPr>
                                <w:rPr>
                                  <w:rFonts w:ascii="Times New Roman" w:hAnsi="Times New Roman" w:cs="Times New Roman"/>
                                  <w:sz w:val="20"/>
                                  <w:szCs w:val="20"/>
                                </w:rPr>
                              </w:pPr>
                            </w:p>
                          </w:txbxContent>
                        </wps:txbx>
                        <wps:bodyPr rot="0" vert="horz" wrap="square" lIns="91440" tIns="45720" rIns="91440" bIns="45720" anchor="t" anchorCtr="0" upright="1">
                          <a:noAutofit/>
                        </wps:bodyPr>
                      </wps:wsp>
                      <wps:wsp>
                        <wps:cNvPr id="1654" name="Text Box 280"/>
                        <wps:cNvSpPr txBox="1">
                          <a:spLocks noChangeArrowheads="1"/>
                        </wps:cNvSpPr>
                        <wps:spPr bwMode="auto">
                          <a:xfrm>
                            <a:off x="1567" y="6716"/>
                            <a:ext cx="2472" cy="589"/>
                          </a:xfrm>
                          <a:prstGeom prst="rect">
                            <a:avLst/>
                          </a:prstGeom>
                          <a:solidFill>
                            <a:srgbClr val="FFFFFF"/>
                          </a:solidFill>
                          <a:ln w="9525">
                            <a:solidFill>
                              <a:srgbClr val="000000"/>
                            </a:solidFill>
                            <a:miter lim="800000"/>
                            <a:headEnd/>
                            <a:tailEnd/>
                          </a:ln>
                        </wps:spPr>
                        <wps:txbx>
                          <w:txbxContent>
                            <w:p w:rsidR="00BE40F8" w:rsidRPr="00BC39AF" w:rsidRDefault="00BE40F8" w:rsidP="00BC39AF">
                              <w:pPr>
                                <w:ind w:firstLine="0"/>
                                <w:jc w:val="center"/>
                                <w:rPr>
                                  <w:rFonts w:ascii="Times New Roman" w:hAnsi="Times New Roman" w:cs="Times New Roman"/>
                                  <w:sz w:val="16"/>
                                  <w:szCs w:val="16"/>
                                </w:rPr>
                              </w:pPr>
                              <w:r w:rsidRPr="00BC39AF">
                                <w:rPr>
                                  <w:rFonts w:ascii="Times New Roman" w:hAnsi="Times New Roman" w:cs="Times New Roman"/>
                                  <w:sz w:val="16"/>
                                  <w:szCs w:val="16"/>
                                </w:rPr>
                                <w:t>Надходження</w:t>
                              </w:r>
                            </w:p>
                            <w:p w:rsidR="00BE40F8" w:rsidRPr="00BC39AF" w:rsidRDefault="00BE40F8" w:rsidP="00BC39AF">
                              <w:pPr>
                                <w:ind w:firstLine="0"/>
                                <w:jc w:val="center"/>
                                <w:rPr>
                                  <w:rFonts w:ascii="Times New Roman" w:hAnsi="Times New Roman" w:cs="Times New Roman"/>
                                  <w:sz w:val="16"/>
                                  <w:szCs w:val="16"/>
                                </w:rPr>
                              </w:pPr>
                              <w:r w:rsidRPr="00BC39AF">
                                <w:rPr>
                                  <w:rFonts w:ascii="Times New Roman" w:hAnsi="Times New Roman" w:cs="Times New Roman"/>
                                  <w:sz w:val="16"/>
                                  <w:szCs w:val="16"/>
                                </w:rPr>
                                <w:t>з державного бюджету</w:t>
                              </w:r>
                            </w:p>
                            <w:p w:rsidR="00BE40F8" w:rsidRPr="004F5FC6" w:rsidRDefault="00BE40F8" w:rsidP="0023489B">
                              <w:pPr>
                                <w:rPr>
                                  <w:rFonts w:ascii="Times New Roman" w:hAnsi="Times New Roman" w:cs="Times New Roman"/>
                                </w:rPr>
                              </w:pPr>
                            </w:p>
                          </w:txbxContent>
                        </wps:txbx>
                        <wps:bodyPr rot="0" vert="horz" wrap="square" lIns="91440" tIns="45720" rIns="91440" bIns="45720" anchor="t" anchorCtr="0" upright="1">
                          <a:noAutofit/>
                        </wps:bodyPr>
                      </wps:wsp>
                      <wps:wsp>
                        <wps:cNvPr id="1657" name="Text Box 281"/>
                        <wps:cNvSpPr txBox="1">
                          <a:spLocks noChangeArrowheads="1"/>
                        </wps:cNvSpPr>
                        <wps:spPr bwMode="auto">
                          <a:xfrm>
                            <a:off x="1707" y="7436"/>
                            <a:ext cx="2472" cy="589"/>
                          </a:xfrm>
                          <a:prstGeom prst="rect">
                            <a:avLst/>
                          </a:prstGeom>
                          <a:solidFill>
                            <a:srgbClr val="FFFFFF"/>
                          </a:solidFill>
                          <a:ln w="9525">
                            <a:solidFill>
                              <a:srgbClr val="000000"/>
                            </a:solidFill>
                            <a:miter lim="800000"/>
                            <a:headEnd/>
                            <a:tailEnd/>
                          </a:ln>
                        </wps:spPr>
                        <wps:txbx>
                          <w:txbxContent>
                            <w:p w:rsidR="00BE40F8" w:rsidRDefault="00BE40F8" w:rsidP="00BC39AF">
                              <w:pPr>
                                <w:ind w:firstLine="0"/>
                                <w:jc w:val="center"/>
                                <w:rPr>
                                  <w:rFonts w:ascii="Times New Roman" w:hAnsi="Times New Roman" w:cs="Times New Roman"/>
                                  <w:sz w:val="16"/>
                                  <w:szCs w:val="16"/>
                                </w:rPr>
                              </w:pPr>
                              <w:r w:rsidRPr="00BC39AF">
                                <w:rPr>
                                  <w:rFonts w:ascii="Times New Roman" w:hAnsi="Times New Roman" w:cs="Times New Roman"/>
                                  <w:sz w:val="16"/>
                                  <w:szCs w:val="16"/>
                                </w:rPr>
                                <w:t>Надходження</w:t>
                              </w:r>
                            </w:p>
                            <w:p w:rsidR="00BE40F8" w:rsidRPr="004F5FC6" w:rsidRDefault="00BE40F8" w:rsidP="00BC39AF">
                              <w:pPr>
                                <w:ind w:firstLine="0"/>
                                <w:jc w:val="center"/>
                                <w:rPr>
                                  <w:rFonts w:ascii="Times New Roman" w:hAnsi="Times New Roman" w:cs="Times New Roman"/>
                                  <w:color w:val="000000"/>
                                  <w:sz w:val="16"/>
                                  <w:szCs w:val="16"/>
                                </w:rPr>
                              </w:pPr>
                              <w:r w:rsidRPr="004F5FC6">
                                <w:rPr>
                                  <w:rFonts w:ascii="Times New Roman" w:hAnsi="Times New Roman" w:cs="Times New Roman"/>
                                  <w:color w:val="000000"/>
                                  <w:sz w:val="16"/>
                                  <w:szCs w:val="16"/>
                                </w:rPr>
                                <w:t>з місцевих бюджетів</w:t>
                              </w:r>
                            </w:p>
                            <w:p w:rsidR="00BE40F8" w:rsidRPr="004F5FC6" w:rsidRDefault="00BE40F8" w:rsidP="0023489B">
                              <w:pPr>
                                <w:rPr>
                                  <w:rFonts w:ascii="Times New Roman" w:hAnsi="Times New Roman" w:cs="Times New Roman"/>
                                </w:rPr>
                              </w:pPr>
                            </w:p>
                          </w:txbxContent>
                        </wps:txbx>
                        <wps:bodyPr rot="0" vert="horz" wrap="square" lIns="91440" tIns="45720" rIns="91440" bIns="45720" anchor="t" anchorCtr="0" upright="1">
                          <a:noAutofit/>
                        </wps:bodyPr>
                      </wps:wsp>
                      <wps:wsp>
                        <wps:cNvPr id="1723" name="Text Box 282"/>
                        <wps:cNvSpPr txBox="1">
                          <a:spLocks noChangeArrowheads="1"/>
                        </wps:cNvSpPr>
                        <wps:spPr bwMode="auto">
                          <a:xfrm>
                            <a:off x="3408" y="4934"/>
                            <a:ext cx="4320" cy="700"/>
                          </a:xfrm>
                          <a:prstGeom prst="rect">
                            <a:avLst/>
                          </a:prstGeom>
                          <a:solidFill>
                            <a:srgbClr val="FFFFFF"/>
                          </a:solidFill>
                          <a:ln w="9525">
                            <a:solidFill>
                              <a:srgbClr val="000000"/>
                            </a:solidFill>
                            <a:miter lim="800000"/>
                            <a:headEnd/>
                            <a:tailEnd/>
                          </a:ln>
                        </wps:spPr>
                        <wps:txbx>
                          <w:txbxContent>
                            <w:p w:rsidR="00BE40F8" w:rsidRPr="004F5FC6" w:rsidRDefault="00BE40F8" w:rsidP="00BC39AF">
                              <w:pPr>
                                <w:ind w:firstLine="0"/>
                                <w:jc w:val="center"/>
                                <w:rPr>
                                  <w:rFonts w:ascii="Times New Roman" w:hAnsi="Times New Roman" w:cs="Times New Roman"/>
                                  <w:sz w:val="16"/>
                                  <w:szCs w:val="16"/>
                                </w:rPr>
                              </w:pPr>
                              <w:r w:rsidRPr="004F5FC6">
                                <w:rPr>
                                  <w:rFonts w:ascii="Times New Roman" w:hAnsi="Times New Roman" w:cs="Times New Roman"/>
                                  <w:sz w:val="16"/>
                                  <w:szCs w:val="16"/>
                                </w:rPr>
                                <w:t>ДЖЕРЕЛА НАДХОДЖЕНЬ ВИЩИХ НАВЧАЛЬНИХ ЗАКЛАДІВ</w:t>
                              </w:r>
                            </w:p>
                          </w:txbxContent>
                        </wps:txbx>
                        <wps:bodyPr rot="0" vert="horz" wrap="square" lIns="91440" tIns="45720" rIns="91440" bIns="45720" anchor="t" anchorCtr="0" upright="1">
                          <a:noAutofit/>
                        </wps:bodyPr>
                      </wps:wsp>
                      <wps:wsp>
                        <wps:cNvPr id="1724" name="AutoShape 283"/>
                        <wps:cNvCnPr/>
                        <wps:spPr bwMode="auto">
                          <a:xfrm>
                            <a:off x="1427" y="7796"/>
                            <a:ext cx="3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25" name="AutoShape 284"/>
                        <wps:cNvCnPr/>
                        <wps:spPr bwMode="auto">
                          <a:xfrm>
                            <a:off x="1418" y="7076"/>
                            <a:ext cx="169"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26" name="AutoShape 285"/>
                        <wps:cNvCnPr/>
                        <wps:spPr bwMode="auto">
                          <a:xfrm>
                            <a:off x="5653" y="5634"/>
                            <a:ext cx="0" cy="1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27" name="AutoShape 286"/>
                        <wps:cNvCnPr/>
                        <wps:spPr bwMode="auto">
                          <a:xfrm>
                            <a:off x="2993" y="5814"/>
                            <a:ext cx="0" cy="2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24" name="AutoShape 287"/>
                        <wps:cNvCnPr/>
                        <wps:spPr bwMode="auto">
                          <a:xfrm>
                            <a:off x="6673" y="5814"/>
                            <a:ext cx="0" cy="2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25" name="AutoShape 288"/>
                        <wps:cNvCnPr/>
                        <wps:spPr bwMode="auto">
                          <a:xfrm>
                            <a:off x="2993" y="5814"/>
                            <a:ext cx="369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26" name="Text Box 289"/>
                        <wps:cNvSpPr txBox="1">
                          <a:spLocks noChangeArrowheads="1"/>
                        </wps:cNvSpPr>
                        <wps:spPr bwMode="auto">
                          <a:xfrm>
                            <a:off x="5976" y="6041"/>
                            <a:ext cx="2949" cy="495"/>
                          </a:xfrm>
                          <a:prstGeom prst="rect">
                            <a:avLst/>
                          </a:prstGeom>
                          <a:solidFill>
                            <a:srgbClr val="FFFFFF"/>
                          </a:solidFill>
                          <a:ln w="9525">
                            <a:solidFill>
                              <a:srgbClr val="000000"/>
                            </a:solidFill>
                            <a:miter lim="800000"/>
                            <a:headEnd/>
                            <a:tailEnd/>
                          </a:ln>
                        </wps:spPr>
                        <wps:txbx>
                          <w:txbxContent>
                            <w:p w:rsidR="00BE40F8" w:rsidRPr="004F5FC6" w:rsidRDefault="00BE40F8" w:rsidP="0023489B">
                              <w:pPr>
                                <w:pStyle w:val="aff5"/>
                                <w:jc w:val="center"/>
                                <w:rPr>
                                  <w:b/>
                                  <w:color w:val="000000"/>
                                  <w:sz w:val="16"/>
                                  <w:szCs w:val="16"/>
                                </w:rPr>
                              </w:pPr>
                              <w:r w:rsidRPr="004F5FC6">
                                <w:rPr>
                                  <w:b/>
                                  <w:color w:val="000000"/>
                                  <w:sz w:val="16"/>
                                  <w:szCs w:val="16"/>
                                </w:rPr>
                                <w:t>Власні надходження ВНЗ</w:t>
                              </w:r>
                            </w:p>
                            <w:p w:rsidR="00BE40F8" w:rsidRPr="004F5FC6" w:rsidRDefault="00BE40F8" w:rsidP="0023489B">
                              <w:pPr>
                                <w:rPr>
                                  <w:rFonts w:ascii="Times New Roman" w:hAnsi="Times New Roman" w:cs="Times New Roman"/>
                                  <w:sz w:val="20"/>
                                  <w:szCs w:val="20"/>
                                </w:rPr>
                              </w:pPr>
                            </w:p>
                          </w:txbxContent>
                        </wps:txbx>
                        <wps:bodyPr rot="0" vert="horz" wrap="square" lIns="91440" tIns="45720" rIns="91440" bIns="45720" anchor="t" anchorCtr="0" upright="1">
                          <a:noAutofit/>
                        </wps:bodyPr>
                      </wps:wsp>
                      <wps:wsp>
                        <wps:cNvPr id="1827" name="Line 290"/>
                        <wps:cNvCnPr/>
                        <wps:spPr bwMode="auto">
                          <a:xfrm>
                            <a:off x="11078" y="7582"/>
                            <a:ext cx="0" cy="44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28" name="Text Box 291"/>
                        <wps:cNvSpPr txBox="1">
                          <a:spLocks noChangeArrowheads="1"/>
                        </wps:cNvSpPr>
                        <wps:spPr bwMode="auto">
                          <a:xfrm>
                            <a:off x="4646" y="6896"/>
                            <a:ext cx="2467" cy="900"/>
                          </a:xfrm>
                          <a:prstGeom prst="rect">
                            <a:avLst/>
                          </a:prstGeom>
                          <a:solidFill>
                            <a:srgbClr val="FFFFFF"/>
                          </a:solidFill>
                          <a:ln w="9525">
                            <a:solidFill>
                              <a:srgbClr val="000000"/>
                            </a:solidFill>
                            <a:miter lim="800000"/>
                            <a:headEnd/>
                            <a:tailEnd/>
                          </a:ln>
                        </wps:spPr>
                        <wps:txbx>
                          <w:txbxContent>
                            <w:p w:rsidR="00BE40F8" w:rsidRPr="00BC39AF" w:rsidRDefault="00BE40F8" w:rsidP="00BC39AF">
                              <w:pPr>
                                <w:ind w:firstLine="0"/>
                                <w:jc w:val="center"/>
                                <w:rPr>
                                  <w:rFonts w:ascii="Times New Roman" w:hAnsi="Times New Roman" w:cs="Times New Roman"/>
                                  <w:sz w:val="16"/>
                                  <w:szCs w:val="16"/>
                                </w:rPr>
                              </w:pPr>
                              <w:r w:rsidRPr="00BC39AF">
                                <w:rPr>
                                  <w:rFonts w:ascii="Times New Roman" w:hAnsi="Times New Roman" w:cs="Times New Roman"/>
                                  <w:sz w:val="16"/>
                                  <w:szCs w:val="16"/>
                                </w:rPr>
                                <w:t>Плата за послуги, що надаються ВНЗ</w:t>
                              </w:r>
                            </w:p>
                            <w:p w:rsidR="00BE40F8" w:rsidRPr="00BC39AF" w:rsidRDefault="00BE40F8" w:rsidP="00BC39AF">
                              <w:pPr>
                                <w:ind w:firstLine="0"/>
                                <w:jc w:val="center"/>
                                <w:rPr>
                                  <w:rFonts w:ascii="Times New Roman" w:hAnsi="Times New Roman" w:cs="Times New Roman"/>
                                  <w:sz w:val="16"/>
                                  <w:szCs w:val="16"/>
                                </w:rPr>
                              </w:pPr>
                            </w:p>
                          </w:txbxContent>
                        </wps:txbx>
                        <wps:bodyPr rot="0" vert="horz" wrap="square" lIns="91440" tIns="45720" rIns="91440" bIns="45720" anchor="t" anchorCtr="0" upright="1">
                          <a:noAutofit/>
                        </wps:bodyPr>
                      </wps:wsp>
                      <wps:wsp>
                        <wps:cNvPr id="1829" name="Text Box 292"/>
                        <wps:cNvSpPr txBox="1">
                          <a:spLocks noChangeArrowheads="1"/>
                        </wps:cNvSpPr>
                        <wps:spPr bwMode="auto">
                          <a:xfrm>
                            <a:off x="8640" y="6928"/>
                            <a:ext cx="2212" cy="1093"/>
                          </a:xfrm>
                          <a:prstGeom prst="rect">
                            <a:avLst/>
                          </a:prstGeom>
                          <a:solidFill>
                            <a:srgbClr val="FFFFFF"/>
                          </a:solidFill>
                          <a:ln w="9525">
                            <a:solidFill>
                              <a:srgbClr val="000000"/>
                            </a:solidFill>
                            <a:miter lim="800000"/>
                            <a:headEnd/>
                            <a:tailEnd/>
                          </a:ln>
                        </wps:spPr>
                        <wps:txbx>
                          <w:txbxContent>
                            <w:p w:rsidR="00BE40F8" w:rsidRPr="00BC39AF" w:rsidRDefault="00BE40F8" w:rsidP="0023489B">
                              <w:pPr>
                                <w:pStyle w:val="aff5"/>
                                <w:jc w:val="center"/>
                                <w:rPr>
                                  <w:color w:val="000000"/>
                                  <w:sz w:val="20"/>
                                  <w:szCs w:val="20"/>
                                </w:rPr>
                              </w:pPr>
                              <w:r w:rsidRPr="00BC39AF">
                                <w:rPr>
                                  <w:color w:val="000000"/>
                                  <w:sz w:val="16"/>
                                  <w:szCs w:val="16"/>
                                </w:rPr>
                                <w:t>Інші джерела власних  надходжень</w:t>
                              </w:r>
                              <w:r w:rsidRPr="00BC39AF">
                                <w:rPr>
                                  <w:color w:val="000000"/>
                                  <w:sz w:val="20"/>
                                  <w:szCs w:val="20"/>
                                </w:rPr>
                                <w:t xml:space="preserve"> ВНЗ</w:t>
                              </w:r>
                            </w:p>
                            <w:p w:rsidR="00BE40F8" w:rsidRPr="00BC39AF" w:rsidRDefault="00BE40F8" w:rsidP="0023489B">
                              <w:pPr>
                                <w:pStyle w:val="aff5"/>
                                <w:jc w:val="both"/>
                                <w:rPr>
                                  <w:color w:val="000000"/>
                                </w:rPr>
                              </w:pPr>
                            </w:p>
                            <w:p w:rsidR="00BE40F8" w:rsidRPr="004F5FC6" w:rsidRDefault="00BE40F8" w:rsidP="0023489B">
                              <w:pPr>
                                <w:pStyle w:val="aff5"/>
                                <w:spacing w:line="360" w:lineRule="auto"/>
                                <w:jc w:val="both"/>
                                <w:rPr>
                                  <w:color w:val="000000"/>
                                </w:rPr>
                              </w:pPr>
                            </w:p>
                            <w:p w:rsidR="00BE40F8" w:rsidRPr="004F5FC6" w:rsidRDefault="00BE40F8" w:rsidP="0023489B">
                              <w:pPr>
                                <w:pStyle w:val="aff5"/>
                                <w:spacing w:line="360" w:lineRule="auto"/>
                                <w:jc w:val="both"/>
                                <w:rPr>
                                  <w:color w:val="000000"/>
                                </w:rPr>
                              </w:pPr>
                            </w:p>
                            <w:p w:rsidR="00BE40F8" w:rsidRPr="004F5FC6" w:rsidRDefault="00BE40F8" w:rsidP="0023489B">
                              <w:pPr>
                                <w:rPr>
                                  <w:rFonts w:ascii="Times New Roman" w:hAnsi="Times New Roman" w:cs="Times New Roman"/>
                                </w:rPr>
                              </w:pPr>
                            </w:p>
                          </w:txbxContent>
                        </wps:txbx>
                        <wps:bodyPr rot="0" vert="horz" wrap="square" lIns="91440" tIns="45720" rIns="91440" bIns="45720" anchor="t" anchorCtr="0" upright="1">
                          <a:noAutofit/>
                        </wps:bodyPr>
                      </wps:wsp>
                      <wps:wsp>
                        <wps:cNvPr id="1830" name="Text Box 293"/>
                        <wps:cNvSpPr txBox="1">
                          <a:spLocks noChangeArrowheads="1"/>
                        </wps:cNvSpPr>
                        <wps:spPr bwMode="auto">
                          <a:xfrm>
                            <a:off x="6208" y="7976"/>
                            <a:ext cx="2211" cy="474"/>
                          </a:xfrm>
                          <a:prstGeom prst="rect">
                            <a:avLst/>
                          </a:prstGeom>
                          <a:solidFill>
                            <a:srgbClr val="FFFFFF"/>
                          </a:solidFill>
                          <a:ln w="9525">
                            <a:solidFill>
                              <a:srgbClr val="000000"/>
                            </a:solidFill>
                            <a:miter lim="800000"/>
                            <a:headEnd/>
                            <a:tailEnd/>
                          </a:ln>
                        </wps:spPr>
                        <wps:txbx>
                          <w:txbxContent>
                            <w:p w:rsidR="00BE40F8" w:rsidRPr="00BC39AF" w:rsidRDefault="00BE40F8" w:rsidP="0023489B">
                              <w:pPr>
                                <w:pStyle w:val="aff5"/>
                                <w:jc w:val="center"/>
                                <w:rPr>
                                  <w:bCs/>
                                  <w:color w:val="000000"/>
                                  <w:sz w:val="16"/>
                                  <w:szCs w:val="16"/>
                                </w:rPr>
                              </w:pPr>
                              <w:r w:rsidRPr="00BC39AF">
                                <w:rPr>
                                  <w:color w:val="000000"/>
                                  <w:sz w:val="16"/>
                                  <w:szCs w:val="16"/>
                                </w:rPr>
                                <w:t>Плата за оренду майна</w:t>
                              </w:r>
                              <w:r w:rsidRPr="00BC39AF">
                                <w:rPr>
                                  <w:bCs/>
                                  <w:color w:val="000000"/>
                                  <w:sz w:val="16"/>
                                  <w:szCs w:val="16"/>
                                </w:rPr>
                                <w:t xml:space="preserve"> ВНЗ</w:t>
                              </w:r>
                            </w:p>
                            <w:p w:rsidR="00BE40F8" w:rsidRPr="004F5FC6" w:rsidRDefault="00BE40F8" w:rsidP="0023489B">
                              <w:pPr>
                                <w:jc w:val="both"/>
                                <w:rPr>
                                  <w:rFonts w:ascii="Times New Roman" w:hAnsi="Times New Roman" w:cs="Times New Roman"/>
                                </w:rPr>
                              </w:pPr>
                            </w:p>
                          </w:txbxContent>
                        </wps:txbx>
                        <wps:bodyPr rot="0" vert="horz" wrap="square" lIns="91440" tIns="45720" rIns="91440" bIns="45720" anchor="t" anchorCtr="0" upright="1">
                          <a:noAutofit/>
                        </wps:bodyPr>
                      </wps:wsp>
                      <wps:wsp>
                        <wps:cNvPr id="1831" name="Text Box 294"/>
                        <wps:cNvSpPr txBox="1">
                          <a:spLocks noChangeArrowheads="1"/>
                        </wps:cNvSpPr>
                        <wps:spPr bwMode="auto">
                          <a:xfrm>
                            <a:off x="1778" y="8156"/>
                            <a:ext cx="3600" cy="1260"/>
                          </a:xfrm>
                          <a:prstGeom prst="rect">
                            <a:avLst/>
                          </a:prstGeom>
                          <a:solidFill>
                            <a:srgbClr val="FFFFFF"/>
                          </a:solidFill>
                          <a:ln w="9525">
                            <a:solidFill>
                              <a:srgbClr val="000000"/>
                            </a:solidFill>
                            <a:miter lim="800000"/>
                            <a:headEnd/>
                            <a:tailEnd/>
                          </a:ln>
                        </wps:spPr>
                        <wps:txbx>
                          <w:txbxContent>
                            <w:p w:rsidR="00BE40F8" w:rsidRDefault="00BE40F8" w:rsidP="0023489B">
                              <w:pPr>
                                <w:pStyle w:val="aff5"/>
                                <w:tabs>
                                  <w:tab w:val="left" w:pos="0"/>
                                </w:tabs>
                                <w:spacing w:before="0" w:beforeAutospacing="0" w:after="0" w:afterAutospacing="0" w:line="228" w:lineRule="auto"/>
                                <w:jc w:val="center"/>
                                <w:rPr>
                                  <w:color w:val="000000"/>
                                  <w:sz w:val="16"/>
                                  <w:szCs w:val="16"/>
                                </w:rPr>
                              </w:pPr>
                            </w:p>
                            <w:p w:rsidR="00BE40F8" w:rsidRPr="004F5FC6" w:rsidRDefault="00BE40F8" w:rsidP="0023489B">
                              <w:pPr>
                                <w:pStyle w:val="aff5"/>
                                <w:tabs>
                                  <w:tab w:val="left" w:pos="0"/>
                                </w:tabs>
                                <w:spacing w:before="0" w:beforeAutospacing="0" w:after="0" w:afterAutospacing="0" w:line="228" w:lineRule="auto"/>
                                <w:jc w:val="center"/>
                                <w:rPr>
                                  <w:color w:val="000000"/>
                                  <w:sz w:val="16"/>
                                  <w:szCs w:val="16"/>
                                </w:rPr>
                              </w:pPr>
                              <w:r w:rsidRPr="004F5FC6">
                                <w:rPr>
                                  <w:color w:val="000000"/>
                                  <w:sz w:val="16"/>
                                  <w:szCs w:val="16"/>
                                </w:rPr>
                                <w:t>Послуги, пов’язані з виконанням основних функцій і завдань:</w:t>
                              </w:r>
                            </w:p>
                            <w:p w:rsidR="00BE40F8" w:rsidRPr="004F5FC6" w:rsidRDefault="00BE40F8" w:rsidP="0023489B">
                              <w:pPr>
                                <w:pStyle w:val="aff5"/>
                                <w:tabs>
                                  <w:tab w:val="left" w:pos="0"/>
                                </w:tabs>
                                <w:spacing w:before="0" w:beforeAutospacing="0" w:after="0" w:afterAutospacing="0" w:line="228" w:lineRule="auto"/>
                                <w:jc w:val="both"/>
                                <w:rPr>
                                  <w:color w:val="000000"/>
                                  <w:sz w:val="16"/>
                                  <w:szCs w:val="16"/>
                                </w:rPr>
                              </w:pPr>
                              <w:r w:rsidRPr="004F5FC6">
                                <w:rPr>
                                  <w:color w:val="000000"/>
                                  <w:sz w:val="16"/>
                                  <w:szCs w:val="16"/>
                                </w:rPr>
                                <w:t>1. У сфері освітньої діяльності;</w:t>
                              </w:r>
                            </w:p>
                            <w:p w:rsidR="00BE40F8" w:rsidRPr="004F5FC6" w:rsidRDefault="00BE40F8" w:rsidP="0023489B">
                              <w:pPr>
                                <w:pStyle w:val="aff5"/>
                                <w:tabs>
                                  <w:tab w:val="left" w:pos="0"/>
                                </w:tabs>
                                <w:spacing w:before="0" w:beforeAutospacing="0" w:after="0" w:afterAutospacing="0" w:line="228" w:lineRule="auto"/>
                                <w:jc w:val="both"/>
                                <w:rPr>
                                  <w:sz w:val="16"/>
                                  <w:szCs w:val="16"/>
                                </w:rPr>
                              </w:pPr>
                              <w:r w:rsidRPr="004F5FC6">
                                <w:rPr>
                                  <w:color w:val="000000"/>
                                  <w:sz w:val="16"/>
                                  <w:szCs w:val="16"/>
                                </w:rPr>
                                <w:t>2. У сфері наукової та науково-технічної діяльності.</w:t>
                              </w:r>
                            </w:p>
                          </w:txbxContent>
                        </wps:txbx>
                        <wps:bodyPr rot="0" vert="horz" wrap="square" lIns="0" tIns="0" rIns="0" bIns="0" anchor="t" anchorCtr="0" upright="1">
                          <a:noAutofit/>
                        </wps:bodyPr>
                      </wps:wsp>
                      <wps:wsp>
                        <wps:cNvPr id="1832" name="Text Box 295"/>
                        <wps:cNvSpPr txBox="1">
                          <a:spLocks noChangeArrowheads="1"/>
                        </wps:cNvSpPr>
                        <wps:spPr bwMode="auto">
                          <a:xfrm>
                            <a:off x="8640" y="8336"/>
                            <a:ext cx="2212" cy="728"/>
                          </a:xfrm>
                          <a:prstGeom prst="rect">
                            <a:avLst/>
                          </a:prstGeom>
                          <a:solidFill>
                            <a:srgbClr val="FFFFFF"/>
                          </a:solidFill>
                          <a:ln w="9525">
                            <a:solidFill>
                              <a:srgbClr val="000000"/>
                            </a:solidFill>
                            <a:miter lim="800000"/>
                            <a:headEnd/>
                            <a:tailEnd/>
                          </a:ln>
                        </wps:spPr>
                        <wps:txbx>
                          <w:txbxContent>
                            <w:p w:rsidR="00BE40F8" w:rsidRPr="004F5FC6" w:rsidRDefault="00BE40F8" w:rsidP="0023489B">
                              <w:pPr>
                                <w:pStyle w:val="aff5"/>
                                <w:jc w:val="center"/>
                                <w:rPr>
                                  <w:color w:val="000000"/>
                                  <w:sz w:val="16"/>
                                  <w:szCs w:val="16"/>
                                </w:rPr>
                              </w:pPr>
                              <w:r w:rsidRPr="004F5FC6">
                                <w:rPr>
                                  <w:color w:val="000000"/>
                                  <w:sz w:val="16"/>
                                  <w:szCs w:val="16"/>
                                </w:rPr>
                                <w:t>Благодійні внески, гранти та дарунки</w:t>
                              </w:r>
                            </w:p>
                            <w:p w:rsidR="00BE40F8" w:rsidRPr="004F5FC6" w:rsidRDefault="00BE40F8" w:rsidP="0023489B">
                              <w:pPr>
                                <w:jc w:val="both"/>
                                <w:rPr>
                                  <w:rFonts w:ascii="Times New Roman" w:hAnsi="Times New Roman" w:cs="Times New Roman"/>
                                </w:rPr>
                              </w:pPr>
                            </w:p>
                          </w:txbxContent>
                        </wps:txbx>
                        <wps:bodyPr rot="0" vert="horz" wrap="square" lIns="91440" tIns="45720" rIns="91440" bIns="45720" anchor="t" anchorCtr="0" upright="1">
                          <a:noAutofit/>
                        </wps:bodyPr>
                      </wps:wsp>
                      <wps:wsp>
                        <wps:cNvPr id="1834" name="Line 297"/>
                        <wps:cNvCnPr/>
                        <wps:spPr bwMode="auto">
                          <a:xfrm>
                            <a:off x="4838" y="6716"/>
                            <a:ext cx="525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35" name="Text Box 298"/>
                        <wps:cNvSpPr txBox="1">
                          <a:spLocks noChangeArrowheads="1"/>
                        </wps:cNvSpPr>
                        <wps:spPr bwMode="auto">
                          <a:xfrm>
                            <a:off x="3542" y="9596"/>
                            <a:ext cx="4356" cy="2880"/>
                          </a:xfrm>
                          <a:prstGeom prst="rect">
                            <a:avLst/>
                          </a:prstGeom>
                          <a:solidFill>
                            <a:srgbClr val="FFFFFF"/>
                          </a:solidFill>
                          <a:ln w="9525">
                            <a:solidFill>
                              <a:srgbClr val="000000"/>
                            </a:solidFill>
                            <a:miter lim="800000"/>
                            <a:headEnd/>
                            <a:tailEnd/>
                          </a:ln>
                        </wps:spPr>
                        <wps:txbx>
                          <w:txbxContent>
                            <w:p w:rsidR="00BE40F8" w:rsidRPr="004F5FC6" w:rsidRDefault="00BE40F8" w:rsidP="0023489B">
                              <w:pPr>
                                <w:pStyle w:val="aff5"/>
                                <w:spacing w:before="0" w:beforeAutospacing="0" w:after="0" w:afterAutospacing="0" w:line="228" w:lineRule="auto"/>
                                <w:jc w:val="center"/>
                                <w:rPr>
                                  <w:color w:val="000000"/>
                                  <w:sz w:val="16"/>
                                  <w:szCs w:val="16"/>
                                </w:rPr>
                              </w:pPr>
                              <w:r w:rsidRPr="004F5FC6">
                                <w:rPr>
                                  <w:color w:val="000000"/>
                                  <w:sz w:val="16"/>
                                  <w:szCs w:val="16"/>
                                </w:rPr>
                                <w:t>Надходження ВНЗ від господарської та/або виробничої діяльності</w:t>
                              </w:r>
                            </w:p>
                            <w:p w:rsidR="00BE40F8" w:rsidRPr="004F5FC6" w:rsidRDefault="00BE40F8" w:rsidP="0023489B">
                              <w:pPr>
                                <w:pStyle w:val="aff5"/>
                                <w:spacing w:before="0" w:beforeAutospacing="0" w:after="0" w:afterAutospacing="0" w:line="228" w:lineRule="auto"/>
                                <w:jc w:val="both"/>
                                <w:rPr>
                                  <w:color w:val="000000"/>
                                  <w:sz w:val="16"/>
                                  <w:szCs w:val="16"/>
                                </w:rPr>
                              </w:pPr>
                              <w:r w:rsidRPr="004F5FC6">
                                <w:rPr>
                                  <w:color w:val="000000"/>
                                  <w:sz w:val="16"/>
                                  <w:szCs w:val="16"/>
                                </w:rPr>
                                <w:t>У сферах:</w:t>
                              </w:r>
                            </w:p>
                            <w:p w:rsidR="00BE40F8" w:rsidRPr="004F5FC6" w:rsidRDefault="00BE40F8" w:rsidP="0023489B">
                              <w:pPr>
                                <w:pStyle w:val="aff5"/>
                                <w:spacing w:before="0" w:beforeAutospacing="0" w:after="0" w:afterAutospacing="0" w:line="228" w:lineRule="auto"/>
                                <w:jc w:val="both"/>
                                <w:rPr>
                                  <w:color w:val="000000"/>
                                  <w:sz w:val="16"/>
                                  <w:szCs w:val="16"/>
                                </w:rPr>
                              </w:pPr>
                              <w:r w:rsidRPr="004F5FC6">
                                <w:rPr>
                                  <w:color w:val="000000"/>
                                  <w:sz w:val="16"/>
                                  <w:szCs w:val="16"/>
                                </w:rPr>
                                <w:t>- міжнародного співробітництва;</w:t>
                              </w:r>
                            </w:p>
                            <w:p w:rsidR="00BE40F8" w:rsidRPr="004F5FC6" w:rsidRDefault="00BE40F8" w:rsidP="0023489B">
                              <w:pPr>
                                <w:pStyle w:val="aff5"/>
                                <w:spacing w:before="0" w:beforeAutospacing="0" w:after="0" w:afterAutospacing="0" w:line="228" w:lineRule="auto"/>
                                <w:ind w:right="-60"/>
                                <w:jc w:val="both"/>
                                <w:rPr>
                                  <w:color w:val="000000"/>
                                  <w:sz w:val="16"/>
                                  <w:szCs w:val="16"/>
                                </w:rPr>
                              </w:pPr>
                              <w:r w:rsidRPr="004F5FC6">
                                <w:rPr>
                                  <w:color w:val="000000"/>
                                  <w:sz w:val="16"/>
                                  <w:szCs w:val="16"/>
                                </w:rPr>
                                <w:t>- охорони здоров'я, відпочинку, дозвілля, оздоровлення, туризму, фізичної культури та спорту;</w:t>
                              </w:r>
                            </w:p>
                            <w:p w:rsidR="00BE40F8" w:rsidRPr="004F5FC6" w:rsidRDefault="00BE40F8" w:rsidP="0023489B">
                              <w:pPr>
                                <w:pStyle w:val="aff5"/>
                                <w:spacing w:before="0" w:beforeAutospacing="0" w:after="0" w:afterAutospacing="0" w:line="228" w:lineRule="auto"/>
                                <w:jc w:val="both"/>
                                <w:rPr>
                                  <w:color w:val="000000"/>
                                  <w:sz w:val="16"/>
                                  <w:szCs w:val="16"/>
                                </w:rPr>
                              </w:pPr>
                              <w:r w:rsidRPr="004F5FC6">
                                <w:rPr>
                                  <w:color w:val="000000"/>
                                  <w:sz w:val="16"/>
                                  <w:szCs w:val="16"/>
                                </w:rPr>
                                <w:t>- фізичної культури і спорту;</w:t>
                              </w:r>
                            </w:p>
                            <w:p w:rsidR="00BE40F8" w:rsidRPr="004F5FC6" w:rsidRDefault="00BE40F8" w:rsidP="0023489B">
                              <w:pPr>
                                <w:pStyle w:val="aff5"/>
                                <w:spacing w:before="0" w:beforeAutospacing="0" w:after="0" w:afterAutospacing="0" w:line="228" w:lineRule="auto"/>
                                <w:jc w:val="both"/>
                                <w:rPr>
                                  <w:color w:val="000000"/>
                                  <w:sz w:val="16"/>
                                  <w:szCs w:val="16"/>
                                </w:rPr>
                              </w:pPr>
                              <w:r w:rsidRPr="004F5FC6">
                                <w:rPr>
                                  <w:color w:val="000000"/>
                                  <w:sz w:val="16"/>
                                  <w:szCs w:val="16"/>
                                </w:rPr>
                                <w:t>- туризму та екскурсій;</w:t>
                              </w:r>
                            </w:p>
                            <w:p w:rsidR="00BE40F8" w:rsidRPr="004F5FC6" w:rsidRDefault="00BE40F8" w:rsidP="0023489B">
                              <w:pPr>
                                <w:pStyle w:val="aff5"/>
                                <w:spacing w:before="0" w:beforeAutospacing="0" w:after="0" w:afterAutospacing="0" w:line="228" w:lineRule="auto"/>
                                <w:jc w:val="both"/>
                                <w:rPr>
                                  <w:color w:val="000000"/>
                                  <w:sz w:val="16"/>
                                  <w:szCs w:val="16"/>
                                </w:rPr>
                              </w:pPr>
                              <w:r w:rsidRPr="004F5FC6">
                                <w:rPr>
                                  <w:color w:val="000000"/>
                                  <w:sz w:val="16"/>
                                  <w:szCs w:val="16"/>
                                </w:rPr>
                                <w:t>- побутових послуг;</w:t>
                              </w:r>
                            </w:p>
                            <w:p w:rsidR="00BE40F8" w:rsidRPr="004F5FC6" w:rsidRDefault="00BE40F8" w:rsidP="0023489B">
                              <w:pPr>
                                <w:pStyle w:val="aff5"/>
                                <w:spacing w:before="0" w:beforeAutospacing="0" w:after="0" w:afterAutospacing="0" w:line="228" w:lineRule="auto"/>
                                <w:jc w:val="both"/>
                                <w:rPr>
                                  <w:color w:val="000000"/>
                                  <w:sz w:val="16"/>
                                  <w:szCs w:val="16"/>
                                </w:rPr>
                              </w:pPr>
                              <w:r w:rsidRPr="004F5FC6">
                                <w:rPr>
                                  <w:color w:val="000000"/>
                                  <w:sz w:val="16"/>
                                  <w:szCs w:val="16"/>
                                </w:rPr>
                                <w:t>- транспортних послуг;</w:t>
                              </w:r>
                            </w:p>
                            <w:p w:rsidR="00BE40F8" w:rsidRPr="004F5FC6" w:rsidRDefault="00BE40F8" w:rsidP="0023489B">
                              <w:pPr>
                                <w:pStyle w:val="aff5"/>
                                <w:spacing w:before="0" w:beforeAutospacing="0" w:after="0" w:afterAutospacing="0" w:line="228" w:lineRule="auto"/>
                                <w:jc w:val="both"/>
                                <w:rPr>
                                  <w:color w:val="000000"/>
                                  <w:sz w:val="16"/>
                                  <w:szCs w:val="16"/>
                                </w:rPr>
                              </w:pPr>
                              <w:r w:rsidRPr="004F5FC6">
                                <w:rPr>
                                  <w:color w:val="000000"/>
                                  <w:sz w:val="16"/>
                                  <w:szCs w:val="16"/>
                                </w:rPr>
                                <w:t>- житлово-комунальних послуг, тощо.</w:t>
                              </w:r>
                            </w:p>
                          </w:txbxContent>
                        </wps:txbx>
                        <wps:bodyPr rot="0" vert="horz" wrap="square" lIns="91440" tIns="45720" rIns="91440" bIns="45720" anchor="t" anchorCtr="0" upright="1">
                          <a:noAutofit/>
                        </wps:bodyPr>
                      </wps:wsp>
                      <wps:wsp>
                        <wps:cNvPr id="1836" name="Text Box 299"/>
                        <wps:cNvSpPr txBox="1">
                          <a:spLocks noChangeArrowheads="1"/>
                        </wps:cNvSpPr>
                        <wps:spPr bwMode="auto">
                          <a:xfrm>
                            <a:off x="6046" y="8696"/>
                            <a:ext cx="2212" cy="678"/>
                          </a:xfrm>
                          <a:prstGeom prst="rect">
                            <a:avLst/>
                          </a:prstGeom>
                          <a:solidFill>
                            <a:srgbClr val="FFFFFF"/>
                          </a:solidFill>
                          <a:ln w="9525">
                            <a:solidFill>
                              <a:srgbClr val="000000"/>
                            </a:solidFill>
                            <a:miter lim="800000"/>
                            <a:headEnd/>
                            <a:tailEnd/>
                          </a:ln>
                        </wps:spPr>
                        <wps:txbx>
                          <w:txbxContent>
                            <w:p w:rsidR="00BE40F8" w:rsidRPr="004F5FC6" w:rsidRDefault="00BE40F8" w:rsidP="0023489B">
                              <w:pPr>
                                <w:pStyle w:val="aff5"/>
                                <w:jc w:val="center"/>
                                <w:rPr>
                                  <w:color w:val="000000"/>
                                  <w:sz w:val="16"/>
                                  <w:szCs w:val="16"/>
                                </w:rPr>
                              </w:pPr>
                              <w:r w:rsidRPr="004F5FC6">
                                <w:rPr>
                                  <w:color w:val="000000"/>
                                  <w:sz w:val="16"/>
                                  <w:szCs w:val="16"/>
                                </w:rPr>
                                <w:t>Надходження від реалізації майна</w:t>
                              </w:r>
                            </w:p>
                            <w:p w:rsidR="00BE40F8" w:rsidRPr="004F5FC6" w:rsidRDefault="00BE40F8" w:rsidP="0023489B">
                              <w:pPr>
                                <w:pStyle w:val="aff5"/>
                                <w:spacing w:line="360" w:lineRule="auto"/>
                                <w:jc w:val="both"/>
                                <w:rPr>
                                  <w:color w:val="000000"/>
                                </w:rPr>
                              </w:pPr>
                              <w:r w:rsidRPr="004F5FC6">
                                <w:rPr>
                                  <w:color w:val="000000"/>
                                </w:rPr>
                                <w:t>ВНЗ</w:t>
                              </w:r>
                            </w:p>
                            <w:p w:rsidR="00BE40F8" w:rsidRPr="004F5FC6" w:rsidRDefault="00BE40F8" w:rsidP="0023489B">
                              <w:pPr>
                                <w:jc w:val="both"/>
                                <w:rPr>
                                  <w:rFonts w:ascii="Times New Roman" w:hAnsi="Times New Roman" w:cs="Times New Roman"/>
                                </w:rPr>
                              </w:pPr>
                            </w:p>
                          </w:txbxContent>
                        </wps:txbx>
                        <wps:bodyPr rot="0" vert="horz" wrap="square" lIns="91440" tIns="45720" rIns="91440" bIns="45720" anchor="t" anchorCtr="0" upright="1">
                          <a:noAutofit/>
                        </wps:bodyPr>
                      </wps:wsp>
                      <wps:wsp>
                        <wps:cNvPr id="1837" name="Line 300"/>
                        <wps:cNvCnPr/>
                        <wps:spPr bwMode="auto">
                          <a:xfrm flipV="1">
                            <a:off x="10852" y="9776"/>
                            <a:ext cx="226" cy="9"/>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1838" name="Line 301"/>
                        <wps:cNvCnPr/>
                        <wps:spPr bwMode="auto">
                          <a:xfrm flipV="1">
                            <a:off x="10833" y="8696"/>
                            <a:ext cx="227" cy="11"/>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1840" name="Line 303"/>
                        <wps:cNvCnPr/>
                        <wps:spPr bwMode="auto">
                          <a:xfrm flipV="1">
                            <a:off x="10852" y="12086"/>
                            <a:ext cx="226" cy="9"/>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1841" name="Line 304"/>
                        <wps:cNvCnPr/>
                        <wps:spPr bwMode="auto">
                          <a:xfrm>
                            <a:off x="5198" y="7796"/>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46" name="Line 305"/>
                        <wps:cNvCnPr/>
                        <wps:spPr bwMode="auto">
                          <a:xfrm>
                            <a:off x="6818" y="7796"/>
                            <a:ext cx="0"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47" name="Line 306"/>
                        <wps:cNvCnPr/>
                        <wps:spPr bwMode="auto">
                          <a:xfrm>
                            <a:off x="5738" y="7796"/>
                            <a:ext cx="0" cy="1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48" name="AutoShape 307"/>
                        <wps:cNvCnPr/>
                        <wps:spPr bwMode="auto">
                          <a:xfrm>
                            <a:off x="6913" y="6536"/>
                            <a:ext cx="0" cy="1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24175185" id="Group 278" o:spid="_x0000_s2379" style="width:312.75pt;height:424.1pt;mso-position-horizontal-relative:char;mso-position-vertical-relative:line" coordorigin="1418,4934" coordsize="9660,75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">
                <v:shape id="Text Box 279" o:spid="_x0000_s2380" type="#_x0000_t202" style="position:absolute;left:1418;top:6041;width:2955;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">
                  <v:textbox>
                    <w:txbxContent>
                      <w:p w:rsidR="00BE40F8" w:rsidRPr="004F5FC6" w:rsidRDefault="00BE40F8" w:rsidP="0023489B">
                        <w:pPr>
                          <w:pStyle w:val="aff5"/>
                          <w:jc w:val="center"/>
                          <w:rPr>
                            <w:b/>
                            <w:color w:val="000000"/>
                            <w:sz w:val="16"/>
                            <w:szCs w:val="16"/>
                          </w:rPr>
                        </w:pPr>
                        <w:r w:rsidRPr="004F5FC6">
                          <w:rPr>
                            <w:b/>
                            <w:color w:val="000000"/>
                            <w:sz w:val="16"/>
                            <w:szCs w:val="16"/>
                          </w:rPr>
                          <w:t>Бюджетне фінансування</w:t>
                        </w:r>
                      </w:p>
                      <w:p w:rsidR="00BE40F8" w:rsidRPr="004F5FC6" w:rsidRDefault="00BE40F8" w:rsidP="0023489B">
                        <w:pPr>
                          <w:rPr>
                            <w:rFonts w:ascii="Times New Roman" w:hAnsi="Times New Roman" w:cs="Times New Roman"/>
                            <w:sz w:val="20"/>
                            <w:szCs w:val="20"/>
                          </w:rPr>
                        </w:pPr>
                      </w:p>
                    </w:txbxContent>
                  </v:textbox>
                </v:shape>
                <v:shape id="Text Box 280" o:spid="_x0000_s2381" type="#_x0000_t202" style="position:absolute;left:1567;top:6716;width:2472;height:5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">
                  <v:textbox>
                    <w:txbxContent>
                      <w:p w:rsidR="00BE40F8" w:rsidRPr="00BC39AF" w:rsidRDefault="00BE40F8" w:rsidP="00BC39AF">
                        <w:pPr>
                          <w:ind w:firstLine="0"/>
                          <w:jc w:val="center"/>
                          <w:rPr>
                            <w:rFonts w:ascii="Times New Roman" w:hAnsi="Times New Roman" w:cs="Times New Roman"/>
                            <w:sz w:val="16"/>
                            <w:szCs w:val="16"/>
                          </w:rPr>
                        </w:pPr>
                        <w:r w:rsidRPr="00BC39AF">
                          <w:rPr>
                            <w:rFonts w:ascii="Times New Roman" w:hAnsi="Times New Roman" w:cs="Times New Roman"/>
                            <w:sz w:val="16"/>
                            <w:szCs w:val="16"/>
                          </w:rPr>
                          <w:t>Надходження</w:t>
                        </w:r>
                      </w:p>
                      <w:p w:rsidR="00BE40F8" w:rsidRPr="00BC39AF" w:rsidRDefault="00BE40F8" w:rsidP="00BC39AF">
                        <w:pPr>
                          <w:ind w:firstLine="0"/>
                          <w:jc w:val="center"/>
                          <w:rPr>
                            <w:rFonts w:ascii="Times New Roman" w:hAnsi="Times New Roman" w:cs="Times New Roman"/>
                            <w:sz w:val="16"/>
                            <w:szCs w:val="16"/>
                          </w:rPr>
                        </w:pPr>
                        <w:r w:rsidRPr="00BC39AF">
                          <w:rPr>
                            <w:rFonts w:ascii="Times New Roman" w:hAnsi="Times New Roman" w:cs="Times New Roman"/>
                            <w:sz w:val="16"/>
                            <w:szCs w:val="16"/>
                          </w:rPr>
                          <w:t>з державного бюджету</w:t>
                        </w:r>
                      </w:p>
                      <w:p w:rsidR="00BE40F8" w:rsidRPr="004F5FC6" w:rsidRDefault="00BE40F8" w:rsidP="0023489B">
                        <w:pPr>
                          <w:rPr>
                            <w:rFonts w:ascii="Times New Roman" w:hAnsi="Times New Roman" w:cs="Times New Roman"/>
                          </w:rPr>
                        </w:pPr>
                      </w:p>
                    </w:txbxContent>
                  </v:textbox>
                </v:shape>
                <v:shape id="Text Box 281" o:spid="_x0000_s2382" type="#_x0000_t202" style="position:absolute;left:1707;top:7436;width:2472;height:5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">
                  <v:textbox>
                    <w:txbxContent>
                      <w:p w:rsidR="00BE40F8" w:rsidRDefault="00BE40F8" w:rsidP="00BC39AF">
                        <w:pPr>
                          <w:ind w:firstLine="0"/>
                          <w:jc w:val="center"/>
                          <w:rPr>
                            <w:rFonts w:ascii="Times New Roman" w:hAnsi="Times New Roman" w:cs="Times New Roman"/>
                            <w:sz w:val="16"/>
                            <w:szCs w:val="16"/>
                          </w:rPr>
                        </w:pPr>
                        <w:r w:rsidRPr="00BC39AF">
                          <w:rPr>
                            <w:rFonts w:ascii="Times New Roman" w:hAnsi="Times New Roman" w:cs="Times New Roman"/>
                            <w:sz w:val="16"/>
                            <w:szCs w:val="16"/>
                          </w:rPr>
                          <w:t>Надходження</w:t>
                        </w:r>
                      </w:p>
                      <w:p w:rsidR="00BE40F8" w:rsidRPr="004F5FC6" w:rsidRDefault="00BE40F8" w:rsidP="00BC39AF">
                        <w:pPr>
                          <w:ind w:firstLine="0"/>
                          <w:jc w:val="center"/>
                          <w:rPr>
                            <w:rFonts w:ascii="Times New Roman" w:hAnsi="Times New Roman" w:cs="Times New Roman"/>
                            <w:color w:val="000000"/>
                            <w:sz w:val="16"/>
                            <w:szCs w:val="16"/>
                          </w:rPr>
                        </w:pPr>
                        <w:r w:rsidRPr="004F5FC6">
                          <w:rPr>
                            <w:rFonts w:ascii="Times New Roman" w:hAnsi="Times New Roman" w:cs="Times New Roman"/>
                            <w:color w:val="000000"/>
                            <w:sz w:val="16"/>
                            <w:szCs w:val="16"/>
                          </w:rPr>
                          <w:t>з місцевих бюджетів</w:t>
                        </w:r>
                      </w:p>
                      <w:p w:rsidR="00BE40F8" w:rsidRPr="004F5FC6" w:rsidRDefault="00BE40F8" w:rsidP="0023489B">
                        <w:pPr>
                          <w:rPr>
                            <w:rFonts w:ascii="Times New Roman" w:hAnsi="Times New Roman" w:cs="Times New Roman"/>
                          </w:rPr>
                        </w:pPr>
                      </w:p>
                    </w:txbxContent>
                  </v:textbox>
                </v:shape>
                <v:shape id="Text Box 282" o:spid="_x0000_s2383" type="#_x0000_t202" style="position:absolute;left:3408;top:4934;width:4320;height: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">
                  <v:textbox>
                    <w:txbxContent>
                      <w:p w:rsidR="00BE40F8" w:rsidRPr="004F5FC6" w:rsidRDefault="00BE40F8" w:rsidP="00BC39AF">
                        <w:pPr>
                          <w:ind w:firstLine="0"/>
                          <w:jc w:val="center"/>
                          <w:rPr>
                            <w:rFonts w:ascii="Times New Roman" w:hAnsi="Times New Roman" w:cs="Times New Roman"/>
                            <w:sz w:val="16"/>
                            <w:szCs w:val="16"/>
                          </w:rPr>
                        </w:pPr>
                        <w:r w:rsidRPr="004F5FC6">
                          <w:rPr>
                            <w:rFonts w:ascii="Times New Roman" w:hAnsi="Times New Roman" w:cs="Times New Roman"/>
                            <w:sz w:val="16"/>
                            <w:szCs w:val="16"/>
                          </w:rPr>
                          <w:t>ДЖЕРЕЛА НАДХОДЖЕНЬ ВИЩИХ НАВЧАЛЬНИХ ЗАКЛАДІВ</w:t>
                        </w:r>
                      </w:p>
                    </w:txbxContent>
                  </v:textbox>
                </v:shape>
                <v:shape id="AutoShape 283" o:spid="_x0000_s2384" type="#_x0000_t32" style="position:absolute;left:1427;top:7796;width:3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">
                  <v:stroke endarrow="block"/>
                </v:shape>
                <v:shape id="AutoShape 284" o:spid="_x0000_s2385" type="#_x0000_t32" style="position:absolute;left:1418;top:7076;width:169;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">
                  <v:stroke endarrow="block"/>
                </v:shape>
                <v:shape id="AutoShape 285" o:spid="_x0000_s2386" type="#_x0000_t32" style="position:absolute;left:5653;top:5634;width:0;height: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">
                  <v:stroke endarrow="block"/>
                </v:shape>
                <v:shape id="AutoShape 286" o:spid="_x0000_s2387" type="#_x0000_t32" style="position:absolute;left:2993;top:5814;width:0;height:2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">
                  <v:stroke endarrow="block"/>
                </v:shape>
                <v:shape id="AutoShape 287" o:spid="_x0000_s2388" type="#_x0000_t32" style="position:absolute;left:6673;top:5814;width:0;height:2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">
                  <v:stroke endarrow="block"/>
                </v:shape>
                <v:shape id="AutoShape 288" o:spid="_x0000_s2389" type="#_x0000_t32" style="position:absolute;left:2993;top:5814;width:369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"/>
                <v:shape id="Text Box 289" o:spid="_x0000_s2390" type="#_x0000_t202" style="position:absolute;left:5976;top:6041;width:2949;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">
                  <v:textbox>
                    <w:txbxContent>
                      <w:p w:rsidR="00BE40F8" w:rsidRPr="004F5FC6" w:rsidRDefault="00BE40F8" w:rsidP="0023489B">
                        <w:pPr>
                          <w:pStyle w:val="aff5"/>
                          <w:jc w:val="center"/>
                          <w:rPr>
                            <w:b/>
                            <w:color w:val="000000"/>
                            <w:sz w:val="16"/>
                            <w:szCs w:val="16"/>
                          </w:rPr>
                        </w:pPr>
                        <w:r w:rsidRPr="004F5FC6">
                          <w:rPr>
                            <w:b/>
                            <w:color w:val="000000"/>
                            <w:sz w:val="16"/>
                            <w:szCs w:val="16"/>
                          </w:rPr>
                          <w:t>Власні надходження ВНЗ</w:t>
                        </w:r>
                      </w:p>
                      <w:p w:rsidR="00BE40F8" w:rsidRPr="004F5FC6" w:rsidRDefault="00BE40F8" w:rsidP="0023489B">
                        <w:pPr>
                          <w:rPr>
                            <w:rFonts w:ascii="Times New Roman" w:hAnsi="Times New Roman" w:cs="Times New Roman"/>
                            <w:sz w:val="20"/>
                            <w:szCs w:val="20"/>
                          </w:rPr>
                        </w:pPr>
                      </w:p>
                    </w:txbxContent>
                  </v:textbox>
                </v:shape>
                <v:line id="Line 290" o:spid="_x0000_s2391" style="position:absolute;visibility:visible;mso-wrap-style:square" from="11078,7582" to="11078,120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"/>
                <v:shape id="Text Box 291" o:spid="_x0000_s2392" type="#_x0000_t202" style="position:absolute;left:4646;top:6896;width:2467;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">
                  <v:textbox>
                    <w:txbxContent>
                      <w:p w:rsidR="00BE40F8" w:rsidRPr="00BC39AF" w:rsidRDefault="00BE40F8" w:rsidP="00BC39AF">
                        <w:pPr>
                          <w:ind w:firstLine="0"/>
                          <w:jc w:val="center"/>
                          <w:rPr>
                            <w:rFonts w:ascii="Times New Roman" w:hAnsi="Times New Roman" w:cs="Times New Roman"/>
                            <w:sz w:val="16"/>
                            <w:szCs w:val="16"/>
                          </w:rPr>
                        </w:pPr>
                        <w:r w:rsidRPr="00BC39AF">
                          <w:rPr>
                            <w:rFonts w:ascii="Times New Roman" w:hAnsi="Times New Roman" w:cs="Times New Roman"/>
                            <w:sz w:val="16"/>
                            <w:szCs w:val="16"/>
                          </w:rPr>
                          <w:t>Плата за послуги, що надаються ВНЗ</w:t>
                        </w:r>
                      </w:p>
                      <w:p w:rsidR="00BE40F8" w:rsidRPr="00BC39AF" w:rsidRDefault="00BE40F8" w:rsidP="00BC39AF">
                        <w:pPr>
                          <w:ind w:firstLine="0"/>
                          <w:jc w:val="center"/>
                          <w:rPr>
                            <w:rFonts w:ascii="Times New Roman" w:hAnsi="Times New Roman" w:cs="Times New Roman"/>
                            <w:sz w:val="16"/>
                            <w:szCs w:val="16"/>
                          </w:rPr>
                        </w:pPr>
                      </w:p>
                    </w:txbxContent>
                  </v:textbox>
                </v:shape>
                <v:shape id="_x0000_s2393" type="#_x0000_t202" style="position:absolute;left:8640;top:6928;width:2212;height:10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">
                  <v:textbox>
                    <w:txbxContent>
                      <w:p w:rsidR="00BE40F8" w:rsidRPr="00BC39AF" w:rsidRDefault="00BE40F8" w:rsidP="0023489B">
                        <w:pPr>
                          <w:pStyle w:val="aff5"/>
                          <w:jc w:val="center"/>
                          <w:rPr>
                            <w:color w:val="000000"/>
                            <w:sz w:val="20"/>
                            <w:szCs w:val="20"/>
                          </w:rPr>
                        </w:pPr>
                        <w:r w:rsidRPr="00BC39AF">
                          <w:rPr>
                            <w:color w:val="000000"/>
                            <w:sz w:val="16"/>
                            <w:szCs w:val="16"/>
                          </w:rPr>
                          <w:t>Інші джерела власних  надходжень</w:t>
                        </w:r>
                        <w:r w:rsidRPr="00BC39AF">
                          <w:rPr>
                            <w:color w:val="000000"/>
                            <w:sz w:val="20"/>
                            <w:szCs w:val="20"/>
                          </w:rPr>
                          <w:t xml:space="preserve"> ВНЗ</w:t>
                        </w:r>
                      </w:p>
                      <w:p w:rsidR="00BE40F8" w:rsidRPr="00BC39AF" w:rsidRDefault="00BE40F8" w:rsidP="0023489B">
                        <w:pPr>
                          <w:pStyle w:val="aff5"/>
                          <w:jc w:val="both"/>
                          <w:rPr>
                            <w:color w:val="000000"/>
                          </w:rPr>
                        </w:pPr>
                      </w:p>
                      <w:p w:rsidR="00BE40F8" w:rsidRPr="004F5FC6" w:rsidRDefault="00BE40F8" w:rsidP="0023489B">
                        <w:pPr>
                          <w:pStyle w:val="aff5"/>
                          <w:spacing w:line="360" w:lineRule="auto"/>
                          <w:jc w:val="both"/>
                          <w:rPr>
                            <w:color w:val="000000"/>
                          </w:rPr>
                        </w:pPr>
                      </w:p>
                      <w:p w:rsidR="00BE40F8" w:rsidRPr="004F5FC6" w:rsidRDefault="00BE40F8" w:rsidP="0023489B">
                        <w:pPr>
                          <w:pStyle w:val="aff5"/>
                          <w:spacing w:line="360" w:lineRule="auto"/>
                          <w:jc w:val="both"/>
                          <w:rPr>
                            <w:color w:val="000000"/>
                          </w:rPr>
                        </w:pPr>
                      </w:p>
                      <w:p w:rsidR="00BE40F8" w:rsidRPr="004F5FC6" w:rsidRDefault="00BE40F8" w:rsidP="0023489B">
                        <w:pPr>
                          <w:rPr>
                            <w:rFonts w:ascii="Times New Roman" w:hAnsi="Times New Roman" w:cs="Times New Roman"/>
                          </w:rPr>
                        </w:pPr>
                      </w:p>
                    </w:txbxContent>
                  </v:textbox>
                </v:shape>
                <v:shape id="Text Box 293" o:spid="_x0000_s2394" type="#_x0000_t202" style="position:absolute;left:6208;top:7976;width:2211;height:4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">
                  <v:textbox>
                    <w:txbxContent>
                      <w:p w:rsidR="00BE40F8" w:rsidRPr="00BC39AF" w:rsidRDefault="00BE40F8" w:rsidP="0023489B">
                        <w:pPr>
                          <w:pStyle w:val="aff5"/>
                          <w:jc w:val="center"/>
                          <w:rPr>
                            <w:bCs/>
                            <w:color w:val="000000"/>
                            <w:sz w:val="16"/>
                            <w:szCs w:val="16"/>
                          </w:rPr>
                        </w:pPr>
                        <w:r w:rsidRPr="00BC39AF">
                          <w:rPr>
                            <w:color w:val="000000"/>
                            <w:sz w:val="16"/>
                            <w:szCs w:val="16"/>
                          </w:rPr>
                          <w:t>Плата за оренду майна</w:t>
                        </w:r>
                        <w:r w:rsidRPr="00BC39AF">
                          <w:rPr>
                            <w:bCs/>
                            <w:color w:val="000000"/>
                            <w:sz w:val="16"/>
                            <w:szCs w:val="16"/>
                          </w:rPr>
                          <w:t xml:space="preserve"> ВНЗ</w:t>
                        </w:r>
                      </w:p>
                      <w:p w:rsidR="00BE40F8" w:rsidRPr="004F5FC6" w:rsidRDefault="00BE40F8" w:rsidP="0023489B">
                        <w:pPr>
                          <w:jc w:val="both"/>
                          <w:rPr>
                            <w:rFonts w:ascii="Times New Roman" w:hAnsi="Times New Roman" w:cs="Times New Roman"/>
                          </w:rPr>
                        </w:pPr>
                      </w:p>
                    </w:txbxContent>
                  </v:textbox>
                </v:shape>
                <v:shape id="Text Box 294" o:spid="_x0000_s2395" type="#_x0000_t202" style="position:absolute;left:1778;top:8156;width:3600;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">
                  <v:textbox inset="0,0,0,0">
                    <w:txbxContent>
                      <w:p w:rsidR="00BE40F8" w:rsidRDefault="00BE40F8" w:rsidP="0023489B">
                        <w:pPr>
                          <w:pStyle w:val="aff5"/>
                          <w:tabs>
                            <w:tab w:val="left" w:pos="0"/>
                          </w:tabs>
                          <w:spacing w:before="0" w:beforeAutospacing="0" w:after="0" w:afterAutospacing="0" w:line="228" w:lineRule="auto"/>
                          <w:jc w:val="center"/>
                          <w:rPr>
                            <w:color w:val="000000"/>
                            <w:sz w:val="16"/>
                            <w:szCs w:val="16"/>
                          </w:rPr>
                        </w:pPr>
                      </w:p>
                      <w:p w:rsidR="00BE40F8" w:rsidRPr="004F5FC6" w:rsidRDefault="00BE40F8" w:rsidP="0023489B">
                        <w:pPr>
                          <w:pStyle w:val="aff5"/>
                          <w:tabs>
                            <w:tab w:val="left" w:pos="0"/>
                          </w:tabs>
                          <w:spacing w:before="0" w:beforeAutospacing="0" w:after="0" w:afterAutospacing="0" w:line="228" w:lineRule="auto"/>
                          <w:jc w:val="center"/>
                          <w:rPr>
                            <w:color w:val="000000"/>
                            <w:sz w:val="16"/>
                            <w:szCs w:val="16"/>
                          </w:rPr>
                        </w:pPr>
                        <w:r w:rsidRPr="004F5FC6">
                          <w:rPr>
                            <w:color w:val="000000"/>
                            <w:sz w:val="16"/>
                            <w:szCs w:val="16"/>
                          </w:rPr>
                          <w:t>Послуги, пов’язані з виконанням основних функцій і завдань:</w:t>
                        </w:r>
                      </w:p>
                      <w:p w:rsidR="00BE40F8" w:rsidRPr="004F5FC6" w:rsidRDefault="00BE40F8" w:rsidP="0023489B">
                        <w:pPr>
                          <w:pStyle w:val="aff5"/>
                          <w:tabs>
                            <w:tab w:val="left" w:pos="0"/>
                          </w:tabs>
                          <w:spacing w:before="0" w:beforeAutospacing="0" w:after="0" w:afterAutospacing="0" w:line="228" w:lineRule="auto"/>
                          <w:jc w:val="both"/>
                          <w:rPr>
                            <w:color w:val="000000"/>
                            <w:sz w:val="16"/>
                            <w:szCs w:val="16"/>
                          </w:rPr>
                        </w:pPr>
                        <w:r w:rsidRPr="004F5FC6">
                          <w:rPr>
                            <w:color w:val="000000"/>
                            <w:sz w:val="16"/>
                            <w:szCs w:val="16"/>
                          </w:rPr>
                          <w:t>1. У сфері освітньої діяльності;</w:t>
                        </w:r>
                      </w:p>
                      <w:p w:rsidR="00BE40F8" w:rsidRPr="004F5FC6" w:rsidRDefault="00BE40F8" w:rsidP="0023489B">
                        <w:pPr>
                          <w:pStyle w:val="aff5"/>
                          <w:tabs>
                            <w:tab w:val="left" w:pos="0"/>
                          </w:tabs>
                          <w:spacing w:before="0" w:beforeAutospacing="0" w:after="0" w:afterAutospacing="0" w:line="228" w:lineRule="auto"/>
                          <w:jc w:val="both"/>
                          <w:rPr>
                            <w:sz w:val="16"/>
                            <w:szCs w:val="16"/>
                          </w:rPr>
                        </w:pPr>
                        <w:r w:rsidRPr="004F5FC6">
                          <w:rPr>
                            <w:color w:val="000000"/>
                            <w:sz w:val="16"/>
                            <w:szCs w:val="16"/>
                          </w:rPr>
                          <w:t>2. У сфері наукової та науково-технічної діяльності.</w:t>
                        </w:r>
                      </w:p>
                    </w:txbxContent>
                  </v:textbox>
                </v:shape>
                <v:shape id="Text Box 295" o:spid="_x0000_s2396" type="#_x0000_t202" style="position:absolute;left:8640;top:8336;width:2212;height:7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">
                  <v:textbox>
                    <w:txbxContent>
                      <w:p w:rsidR="00BE40F8" w:rsidRPr="004F5FC6" w:rsidRDefault="00BE40F8" w:rsidP="0023489B">
                        <w:pPr>
                          <w:pStyle w:val="aff5"/>
                          <w:jc w:val="center"/>
                          <w:rPr>
                            <w:color w:val="000000"/>
                            <w:sz w:val="16"/>
                            <w:szCs w:val="16"/>
                          </w:rPr>
                        </w:pPr>
                        <w:r w:rsidRPr="004F5FC6">
                          <w:rPr>
                            <w:color w:val="000000"/>
                            <w:sz w:val="16"/>
                            <w:szCs w:val="16"/>
                          </w:rPr>
                          <w:t>Благодійні внески, гранти та дарунки</w:t>
                        </w:r>
                      </w:p>
                      <w:p w:rsidR="00BE40F8" w:rsidRPr="004F5FC6" w:rsidRDefault="00BE40F8" w:rsidP="0023489B">
                        <w:pPr>
                          <w:jc w:val="both"/>
                          <w:rPr>
                            <w:rFonts w:ascii="Times New Roman" w:hAnsi="Times New Roman" w:cs="Times New Roman"/>
                          </w:rPr>
                        </w:pPr>
                      </w:p>
                    </w:txbxContent>
                  </v:textbox>
                </v:shape>
                <v:line id="Line 297" o:spid="_x0000_s2397" style="position:absolute;visibility:visible;mso-wrap-style:square" from="4838,6716" to="10089,67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"/>
                <v:shape id="Text Box 298" o:spid="_x0000_s2398" type="#_x0000_t202" style="position:absolute;left:3542;top:9596;width:4356;height:2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">
                  <v:textbox>
                    <w:txbxContent>
                      <w:p w:rsidR="00BE40F8" w:rsidRPr="004F5FC6" w:rsidRDefault="00BE40F8" w:rsidP="0023489B">
                        <w:pPr>
                          <w:pStyle w:val="aff5"/>
                          <w:spacing w:before="0" w:beforeAutospacing="0" w:after="0" w:afterAutospacing="0" w:line="228" w:lineRule="auto"/>
                          <w:jc w:val="center"/>
                          <w:rPr>
                            <w:color w:val="000000"/>
                            <w:sz w:val="16"/>
                            <w:szCs w:val="16"/>
                          </w:rPr>
                        </w:pPr>
                        <w:r w:rsidRPr="004F5FC6">
                          <w:rPr>
                            <w:color w:val="000000"/>
                            <w:sz w:val="16"/>
                            <w:szCs w:val="16"/>
                          </w:rPr>
                          <w:t>Надходження ВНЗ від господарської та/або виробничої діяльності</w:t>
                        </w:r>
                      </w:p>
                      <w:p w:rsidR="00BE40F8" w:rsidRPr="004F5FC6" w:rsidRDefault="00BE40F8" w:rsidP="0023489B">
                        <w:pPr>
                          <w:pStyle w:val="aff5"/>
                          <w:spacing w:before="0" w:beforeAutospacing="0" w:after="0" w:afterAutospacing="0" w:line="228" w:lineRule="auto"/>
                          <w:jc w:val="both"/>
                          <w:rPr>
                            <w:color w:val="000000"/>
                            <w:sz w:val="16"/>
                            <w:szCs w:val="16"/>
                          </w:rPr>
                        </w:pPr>
                        <w:r w:rsidRPr="004F5FC6">
                          <w:rPr>
                            <w:color w:val="000000"/>
                            <w:sz w:val="16"/>
                            <w:szCs w:val="16"/>
                          </w:rPr>
                          <w:t>У сферах:</w:t>
                        </w:r>
                      </w:p>
                      <w:p w:rsidR="00BE40F8" w:rsidRPr="004F5FC6" w:rsidRDefault="00BE40F8" w:rsidP="0023489B">
                        <w:pPr>
                          <w:pStyle w:val="aff5"/>
                          <w:spacing w:before="0" w:beforeAutospacing="0" w:after="0" w:afterAutospacing="0" w:line="228" w:lineRule="auto"/>
                          <w:jc w:val="both"/>
                          <w:rPr>
                            <w:color w:val="000000"/>
                            <w:sz w:val="16"/>
                            <w:szCs w:val="16"/>
                          </w:rPr>
                        </w:pPr>
                        <w:r w:rsidRPr="004F5FC6">
                          <w:rPr>
                            <w:color w:val="000000"/>
                            <w:sz w:val="16"/>
                            <w:szCs w:val="16"/>
                          </w:rPr>
                          <w:t>- міжнародного співробітництва;</w:t>
                        </w:r>
                      </w:p>
                      <w:p w:rsidR="00BE40F8" w:rsidRPr="004F5FC6" w:rsidRDefault="00BE40F8" w:rsidP="0023489B">
                        <w:pPr>
                          <w:pStyle w:val="aff5"/>
                          <w:spacing w:before="0" w:beforeAutospacing="0" w:after="0" w:afterAutospacing="0" w:line="228" w:lineRule="auto"/>
                          <w:ind w:right="-60"/>
                          <w:jc w:val="both"/>
                          <w:rPr>
                            <w:color w:val="000000"/>
                            <w:sz w:val="16"/>
                            <w:szCs w:val="16"/>
                          </w:rPr>
                        </w:pPr>
                        <w:r w:rsidRPr="004F5FC6">
                          <w:rPr>
                            <w:color w:val="000000"/>
                            <w:sz w:val="16"/>
                            <w:szCs w:val="16"/>
                          </w:rPr>
                          <w:t>- охорони здоров'я, відпочинку, дозвілля, оздоровлення, туризму, фізичної культури та спорту;</w:t>
                        </w:r>
                      </w:p>
                      <w:p w:rsidR="00BE40F8" w:rsidRPr="004F5FC6" w:rsidRDefault="00BE40F8" w:rsidP="0023489B">
                        <w:pPr>
                          <w:pStyle w:val="aff5"/>
                          <w:spacing w:before="0" w:beforeAutospacing="0" w:after="0" w:afterAutospacing="0" w:line="228" w:lineRule="auto"/>
                          <w:jc w:val="both"/>
                          <w:rPr>
                            <w:color w:val="000000"/>
                            <w:sz w:val="16"/>
                            <w:szCs w:val="16"/>
                          </w:rPr>
                        </w:pPr>
                        <w:r w:rsidRPr="004F5FC6">
                          <w:rPr>
                            <w:color w:val="000000"/>
                            <w:sz w:val="16"/>
                            <w:szCs w:val="16"/>
                          </w:rPr>
                          <w:t>- фізичної культури і спорту;</w:t>
                        </w:r>
                      </w:p>
                      <w:p w:rsidR="00BE40F8" w:rsidRPr="004F5FC6" w:rsidRDefault="00BE40F8" w:rsidP="0023489B">
                        <w:pPr>
                          <w:pStyle w:val="aff5"/>
                          <w:spacing w:before="0" w:beforeAutospacing="0" w:after="0" w:afterAutospacing="0" w:line="228" w:lineRule="auto"/>
                          <w:jc w:val="both"/>
                          <w:rPr>
                            <w:color w:val="000000"/>
                            <w:sz w:val="16"/>
                            <w:szCs w:val="16"/>
                          </w:rPr>
                        </w:pPr>
                        <w:r w:rsidRPr="004F5FC6">
                          <w:rPr>
                            <w:color w:val="000000"/>
                            <w:sz w:val="16"/>
                            <w:szCs w:val="16"/>
                          </w:rPr>
                          <w:t>- туризму та екскурсій;</w:t>
                        </w:r>
                      </w:p>
                      <w:p w:rsidR="00BE40F8" w:rsidRPr="004F5FC6" w:rsidRDefault="00BE40F8" w:rsidP="0023489B">
                        <w:pPr>
                          <w:pStyle w:val="aff5"/>
                          <w:spacing w:before="0" w:beforeAutospacing="0" w:after="0" w:afterAutospacing="0" w:line="228" w:lineRule="auto"/>
                          <w:jc w:val="both"/>
                          <w:rPr>
                            <w:color w:val="000000"/>
                            <w:sz w:val="16"/>
                            <w:szCs w:val="16"/>
                          </w:rPr>
                        </w:pPr>
                        <w:r w:rsidRPr="004F5FC6">
                          <w:rPr>
                            <w:color w:val="000000"/>
                            <w:sz w:val="16"/>
                            <w:szCs w:val="16"/>
                          </w:rPr>
                          <w:t>- побутових послуг;</w:t>
                        </w:r>
                      </w:p>
                      <w:p w:rsidR="00BE40F8" w:rsidRPr="004F5FC6" w:rsidRDefault="00BE40F8" w:rsidP="0023489B">
                        <w:pPr>
                          <w:pStyle w:val="aff5"/>
                          <w:spacing w:before="0" w:beforeAutospacing="0" w:after="0" w:afterAutospacing="0" w:line="228" w:lineRule="auto"/>
                          <w:jc w:val="both"/>
                          <w:rPr>
                            <w:color w:val="000000"/>
                            <w:sz w:val="16"/>
                            <w:szCs w:val="16"/>
                          </w:rPr>
                        </w:pPr>
                        <w:r w:rsidRPr="004F5FC6">
                          <w:rPr>
                            <w:color w:val="000000"/>
                            <w:sz w:val="16"/>
                            <w:szCs w:val="16"/>
                          </w:rPr>
                          <w:t>- транспортних послуг;</w:t>
                        </w:r>
                      </w:p>
                      <w:p w:rsidR="00BE40F8" w:rsidRPr="004F5FC6" w:rsidRDefault="00BE40F8" w:rsidP="0023489B">
                        <w:pPr>
                          <w:pStyle w:val="aff5"/>
                          <w:spacing w:before="0" w:beforeAutospacing="0" w:after="0" w:afterAutospacing="0" w:line="228" w:lineRule="auto"/>
                          <w:jc w:val="both"/>
                          <w:rPr>
                            <w:color w:val="000000"/>
                            <w:sz w:val="16"/>
                            <w:szCs w:val="16"/>
                          </w:rPr>
                        </w:pPr>
                        <w:r w:rsidRPr="004F5FC6">
                          <w:rPr>
                            <w:color w:val="000000"/>
                            <w:sz w:val="16"/>
                            <w:szCs w:val="16"/>
                          </w:rPr>
                          <w:t>- житлово-комунальних послуг, тощо.</w:t>
                        </w:r>
                      </w:p>
                    </w:txbxContent>
                  </v:textbox>
                </v:shape>
                <v:shape id="Text Box 299" o:spid="_x0000_s2399" type="#_x0000_t202" style="position:absolute;left:6046;top:8696;width:2212;height:6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">
                  <v:textbox>
                    <w:txbxContent>
                      <w:p w:rsidR="00BE40F8" w:rsidRPr="004F5FC6" w:rsidRDefault="00BE40F8" w:rsidP="0023489B">
                        <w:pPr>
                          <w:pStyle w:val="aff5"/>
                          <w:jc w:val="center"/>
                          <w:rPr>
                            <w:color w:val="000000"/>
                            <w:sz w:val="16"/>
                            <w:szCs w:val="16"/>
                          </w:rPr>
                        </w:pPr>
                        <w:r w:rsidRPr="004F5FC6">
                          <w:rPr>
                            <w:color w:val="000000"/>
                            <w:sz w:val="16"/>
                            <w:szCs w:val="16"/>
                          </w:rPr>
                          <w:t>Надходження від реалізації майна</w:t>
                        </w:r>
                      </w:p>
                      <w:p w:rsidR="00BE40F8" w:rsidRPr="004F5FC6" w:rsidRDefault="00BE40F8" w:rsidP="0023489B">
                        <w:pPr>
                          <w:pStyle w:val="aff5"/>
                          <w:spacing w:line="360" w:lineRule="auto"/>
                          <w:jc w:val="both"/>
                          <w:rPr>
                            <w:color w:val="000000"/>
                          </w:rPr>
                        </w:pPr>
                        <w:r w:rsidRPr="004F5FC6">
                          <w:rPr>
                            <w:color w:val="000000"/>
                          </w:rPr>
                          <w:t>ВНЗ</w:t>
                        </w:r>
                      </w:p>
                      <w:p w:rsidR="00BE40F8" w:rsidRPr="004F5FC6" w:rsidRDefault="00BE40F8" w:rsidP="0023489B">
                        <w:pPr>
                          <w:jc w:val="both"/>
                          <w:rPr>
                            <w:rFonts w:ascii="Times New Roman" w:hAnsi="Times New Roman" w:cs="Times New Roman"/>
                          </w:rPr>
                        </w:pPr>
                      </w:p>
                    </w:txbxContent>
                  </v:textbox>
                </v:shape>
                <v:line id="Line 300" o:spid="_x0000_s2400" style="position:absolute;flip:y;visibility:visible;mso-wrap-style:square" from="10852,9776" to="11078,97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">
                  <v:stroke startarrow="block"/>
                </v:line>
                <v:line id="Line 301" o:spid="_x0000_s2401" style="position:absolute;flip:y;visibility:visible;mso-wrap-style:square" from="10833,8696" to="11060,87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">
                  <v:stroke startarrow="block"/>
                </v:line>
                <v:line id="Line 303" o:spid="_x0000_s2402" style="position:absolute;flip:y;visibility:visible;mso-wrap-style:square" from="10852,12086" to="11078,12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">
                  <v:stroke startarrow="block"/>
                </v:line>
                <v:line id="Line 304" o:spid="_x0000_s2403" style="position:absolute;visibility:visible;mso-wrap-style:square" from="5198,7796" to="5198,8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">
                  <v:stroke endarrow="block"/>
                </v:line>
                <v:line id="Line 305" o:spid="_x0000_s2404" style="position:absolute;visibility:visible;mso-wrap-style:square" from="6818,7796" to="6818,79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">
                  <v:stroke endarrow="block"/>
                </v:line>
                <v:line id="Line 306" o:spid="_x0000_s2405" style="position:absolute;visibility:visible;mso-wrap-style:square" from="5738,7796" to="5738,9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">
                  <v:stroke endarrow="block"/>
                </v:line>
                <v:shape id="AutoShape 307" o:spid="_x0000_s2406" type="#_x0000_t32" style="position:absolute;left:6913;top:6536;width:0;height: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">
                  <v:stroke endarrow="block"/>
                </v:shape>
                <w10:anchorlock/>
              </v:group>
            </w:pict>
          </mc:Fallback>
        </mc:AlternateContent>
      </w:r>
    </w:p>
    <w:p w:rsidR="0023489B" w:rsidRDefault="0023489B" w:rsidP="0023489B">
      <w:pPr>
        <w:ind w:firstLine="709"/>
        <w:jc w:val="both"/>
        <w:rPr>
          <w:rFonts w:ascii="Times New Roman" w:hAnsi="Times New Roman"/>
          <w:sz w:val="21"/>
          <w:szCs w:val="21"/>
        </w:rPr>
      </w:pPr>
    </w:p>
    <w:p w:rsidR="0023489B" w:rsidRPr="00BC39AF" w:rsidRDefault="0023489B" w:rsidP="00BC39AF">
      <w:pPr>
        <w:tabs>
          <w:tab w:val="left" w:pos="6521"/>
        </w:tabs>
        <w:ind w:firstLine="709"/>
        <w:jc w:val="center"/>
        <w:rPr>
          <w:rFonts w:ascii="Times New Roman" w:hAnsi="Times New Roman"/>
          <w:b/>
          <w:sz w:val="21"/>
          <w:szCs w:val="21"/>
          <w:lang w:eastAsia="uk-UA"/>
        </w:rPr>
      </w:pPr>
      <w:r w:rsidRPr="00BC39AF">
        <w:rPr>
          <w:rFonts w:ascii="Times New Roman" w:hAnsi="Times New Roman"/>
          <w:b/>
          <w:sz w:val="21"/>
          <w:szCs w:val="21"/>
          <w:lang w:eastAsia="uk-UA"/>
        </w:rPr>
        <w:t xml:space="preserve">Рис. </w:t>
      </w:r>
      <w:r w:rsidR="00BC39AF" w:rsidRPr="00BC39AF">
        <w:rPr>
          <w:rFonts w:ascii="Times New Roman" w:hAnsi="Times New Roman"/>
          <w:b/>
          <w:sz w:val="21"/>
          <w:szCs w:val="21"/>
          <w:lang w:eastAsia="uk-UA"/>
        </w:rPr>
        <w:t>7.1</w:t>
      </w:r>
      <w:r w:rsidRPr="00BC39AF">
        <w:rPr>
          <w:rFonts w:ascii="Times New Roman" w:hAnsi="Times New Roman"/>
          <w:b/>
          <w:sz w:val="21"/>
          <w:szCs w:val="21"/>
          <w:lang w:eastAsia="uk-UA"/>
        </w:rPr>
        <w:t>. Напрями формування надходжень вищих навчальних закладів*</w:t>
      </w:r>
    </w:p>
    <w:p w:rsidR="0023489B" w:rsidRPr="00E95ECA" w:rsidRDefault="0023489B" w:rsidP="00BC39AF">
      <w:pPr>
        <w:tabs>
          <w:tab w:val="left" w:pos="851"/>
        </w:tabs>
        <w:ind w:firstLine="709"/>
        <w:jc w:val="both"/>
        <w:rPr>
          <w:rFonts w:ascii="Times New Roman" w:hAnsi="Times New Roman" w:cs="Times New Roman"/>
          <w:sz w:val="21"/>
          <w:szCs w:val="21"/>
        </w:rPr>
      </w:pPr>
      <w:r w:rsidRPr="005C70D4">
        <w:rPr>
          <w:rFonts w:ascii="Times New Roman" w:hAnsi="Times New Roman"/>
          <w:sz w:val="21"/>
          <w:szCs w:val="21"/>
        </w:rPr>
        <w:t xml:space="preserve">* </w:t>
      </w:r>
      <w:r w:rsidRPr="00E95ECA">
        <w:rPr>
          <w:rFonts w:ascii="Times New Roman" w:hAnsi="Times New Roman" w:cs="Times New Roman"/>
          <w:sz w:val="21"/>
          <w:szCs w:val="21"/>
        </w:rPr>
        <w:t>– складено автор</w:t>
      </w:r>
      <w:r w:rsidR="00BC39AF" w:rsidRPr="00E95ECA">
        <w:rPr>
          <w:rFonts w:ascii="Times New Roman" w:hAnsi="Times New Roman" w:cs="Times New Roman"/>
          <w:sz w:val="21"/>
          <w:szCs w:val="21"/>
        </w:rPr>
        <w:t>ами розділу</w:t>
      </w:r>
      <w:r w:rsidRPr="00E95ECA">
        <w:rPr>
          <w:rFonts w:ascii="Times New Roman" w:hAnsi="Times New Roman" w:cs="Times New Roman"/>
          <w:sz w:val="21"/>
          <w:szCs w:val="21"/>
        </w:rPr>
        <w:t xml:space="preserve"> на основі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_Ref436216223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39</w:t>
      </w:r>
      <w:r w:rsidR="00772FFF">
        <w:rPr>
          <w:rFonts w:ascii="Times New Roman" w:hAnsi="Times New Roman" w:cs="Times New Roman"/>
          <w:sz w:val="21"/>
          <w:szCs w:val="21"/>
          <w:highlight w:val="yellow"/>
        </w:rPr>
        <w:fldChar w:fldCharType="end"/>
      </w:r>
      <w:r w:rsidRPr="00E95ECA">
        <w:rPr>
          <w:rFonts w:ascii="Times New Roman" w:hAnsi="Times New Roman" w:cs="Times New Roman"/>
          <w:sz w:val="21"/>
          <w:szCs w:val="21"/>
        </w:rPr>
        <w:t>]</w:t>
      </w:r>
    </w:p>
    <w:p w:rsidR="0023489B" w:rsidRPr="00E95ECA" w:rsidRDefault="0023489B" w:rsidP="0023489B">
      <w:pPr>
        <w:ind w:firstLine="709"/>
        <w:jc w:val="both"/>
        <w:rPr>
          <w:rFonts w:ascii="Times New Roman" w:hAnsi="Times New Roman" w:cs="Times New Roman"/>
          <w:sz w:val="21"/>
          <w:szCs w:val="21"/>
        </w:rPr>
      </w:pPr>
      <w:r w:rsidRPr="00E95ECA">
        <w:rPr>
          <w:rFonts w:ascii="Times New Roman" w:hAnsi="Times New Roman" w:cs="Times New Roman"/>
          <w:sz w:val="21"/>
          <w:szCs w:val="21"/>
        </w:rPr>
        <w:lastRenderedPageBreak/>
        <w:t>Потрібно надати навчальним закладам більше самостійності у розпорядженні фінансовими ресурсами, зокрема надати право установам системи освіти, які отримують бюджетні кошти, самостійно розробляти і затверджувати кошторис бюджетних коштів у межах виділених бюджетних асигнувань, вносити до нього необхідні зміни і уточнення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_Ref436215751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4</w:t>
      </w:r>
      <w:r w:rsidR="00772FFF">
        <w:rPr>
          <w:rFonts w:ascii="Times New Roman" w:hAnsi="Times New Roman" w:cs="Times New Roman"/>
          <w:sz w:val="21"/>
          <w:szCs w:val="21"/>
          <w:highlight w:val="yellow"/>
        </w:rPr>
        <w:fldChar w:fldCharType="end"/>
      </w:r>
      <w:r w:rsidRPr="00E95ECA">
        <w:rPr>
          <w:rFonts w:ascii="Times New Roman" w:hAnsi="Times New Roman" w:cs="Times New Roman"/>
          <w:sz w:val="21"/>
          <w:szCs w:val="21"/>
        </w:rPr>
        <w:t>, с.</w:t>
      </w:r>
      <w:r w:rsidR="00CC270A" w:rsidRPr="00E95ECA">
        <w:rPr>
          <w:rFonts w:ascii="Times New Roman" w:hAnsi="Times New Roman" w:cs="Times New Roman"/>
          <w:sz w:val="21"/>
          <w:szCs w:val="21"/>
        </w:rPr>
        <w:t xml:space="preserve"> </w:t>
      </w:r>
      <w:r w:rsidRPr="00E95ECA">
        <w:rPr>
          <w:rFonts w:ascii="Times New Roman" w:hAnsi="Times New Roman" w:cs="Times New Roman"/>
          <w:sz w:val="21"/>
          <w:szCs w:val="21"/>
        </w:rPr>
        <w:t>66].</w:t>
      </w:r>
    </w:p>
    <w:p w:rsidR="0023489B" w:rsidRPr="005C70D4" w:rsidRDefault="0023489B" w:rsidP="0023489B">
      <w:pPr>
        <w:ind w:firstLine="709"/>
        <w:jc w:val="both"/>
        <w:rPr>
          <w:rFonts w:ascii="Times New Roman" w:hAnsi="Times New Roman"/>
          <w:sz w:val="21"/>
          <w:szCs w:val="21"/>
        </w:rPr>
      </w:pPr>
      <w:r w:rsidRPr="00E95ECA">
        <w:rPr>
          <w:rFonts w:ascii="Times New Roman" w:hAnsi="Times New Roman" w:cs="Times New Roman"/>
          <w:sz w:val="21"/>
          <w:szCs w:val="21"/>
        </w:rPr>
        <w:t>Зазначимо, що даний підхід спрямований на забезпечення певного рівня державної підтримки ВНЗ незалежно від результатів діяльності. Істотним його недоліком є те</w:t>
      </w:r>
      <w:r w:rsidRPr="005C70D4">
        <w:rPr>
          <w:rFonts w:ascii="Times New Roman" w:hAnsi="Times New Roman"/>
          <w:sz w:val="21"/>
          <w:szCs w:val="21"/>
        </w:rPr>
        <w:t xml:space="preserve">, що сформовані в базовому періоді положення з позитивними чи негативними аспектами переносяться на плановий період шляхом математичної екстраполяції, часто не враховуючи об’єктивну величину фінансових надходжень, яку потребує навчальний заклад в поточному році. Останнім часом кошторисне фінансування справедливо піддається критиці як таке, що не сприяє економії у використанні бюджетних коштів та характеризується низьким коефіцієнтом віддачі державних інвестицій в освіту. </w:t>
      </w:r>
    </w:p>
    <w:p w:rsidR="0023489B" w:rsidRPr="00E95ECA" w:rsidRDefault="0023489B" w:rsidP="0023489B">
      <w:pPr>
        <w:pStyle w:val="61"/>
        <w:spacing w:after="0" w:line="240" w:lineRule="auto"/>
        <w:ind w:left="0" w:firstLine="709"/>
        <w:jc w:val="both"/>
        <w:rPr>
          <w:rFonts w:ascii="Times New Roman" w:hAnsi="Times New Roman"/>
          <w:sz w:val="21"/>
          <w:szCs w:val="21"/>
        </w:rPr>
      </w:pPr>
      <w:r w:rsidRPr="005C70D4">
        <w:rPr>
          <w:rFonts w:ascii="Times New Roman" w:hAnsi="Times New Roman"/>
          <w:sz w:val="21"/>
          <w:szCs w:val="21"/>
        </w:rPr>
        <w:t>Інший підхід до фінансування пов’язується з виконанням вищими навчальними закладами якісних показників, спрямованих на задоволення суспільних потреб. За загальноприйнятою науковою думкою, державне замовлення на підготовку спеціалістів має формуватись відповідно до пріоритетів державного розвитку економіки (регіону), що впливає на оптимізацію рівня зайнятості, забезпечує подолання диспропорції на ринку праці, підвищує рівень підготовки фахівців. Державна підтримка за таких умов забезпечується незалежно від підпорядкування, адміністративного розташування чи джерела фінансування (державний чи місцеві бюджети) навчального закладу. Розглядаючи перспективу переходу від кошторисної системи фінансування освіти до нормативного фінансування, Бугай І.</w:t>
      </w:r>
      <w:r w:rsidR="00CC270A">
        <w:rPr>
          <w:rFonts w:ascii="Times New Roman" w:hAnsi="Times New Roman"/>
          <w:sz w:val="21"/>
          <w:szCs w:val="21"/>
          <w:lang w:val="uk-UA"/>
        </w:rPr>
        <w:t xml:space="preserve"> </w:t>
      </w:r>
      <w:r w:rsidRPr="005C70D4">
        <w:rPr>
          <w:rFonts w:ascii="Times New Roman" w:hAnsi="Times New Roman"/>
          <w:sz w:val="21"/>
          <w:szCs w:val="21"/>
        </w:rPr>
        <w:t xml:space="preserve">В. зазначає, що таке фінансування, як спосіб оптимізації діяльності системи освіти, має активізувати освітні заклади до підвищення ефективності використання бюджетних коштів, є елементом розвитку конкуренції між освітніми закладами, забезпечує </w:t>
      </w:r>
      <w:r w:rsidRPr="00E95ECA">
        <w:rPr>
          <w:rFonts w:ascii="Times New Roman" w:hAnsi="Times New Roman"/>
          <w:sz w:val="21"/>
          <w:szCs w:val="21"/>
        </w:rPr>
        <w:t>деякий гарантований рівень фінансування одиничного об’єкта, виходячи з установлених параметрів його функціонування, і задоволення обґрунтованої потреби об’єкта у фінансових ресурсах, при якому цей об’єкт нормально функціонує, тобто вирішує покладені на нього завдання [</w:t>
      </w:r>
      <w:r w:rsidR="00772FFF">
        <w:rPr>
          <w:rFonts w:ascii="Times New Roman" w:hAnsi="Times New Roman"/>
          <w:sz w:val="21"/>
          <w:szCs w:val="21"/>
          <w:highlight w:val="yellow"/>
        </w:rPr>
        <w:fldChar w:fldCharType="begin"/>
      </w:r>
      <w:r w:rsidR="00772FFF">
        <w:rPr>
          <w:rFonts w:ascii="Times New Roman" w:hAnsi="Times New Roman"/>
          <w:sz w:val="21"/>
          <w:szCs w:val="21"/>
        </w:rPr>
        <w:instrText xml:space="preserve"> REF _Ref436216248 \r \h </w:instrText>
      </w:r>
      <w:r w:rsidR="00772FFF">
        <w:rPr>
          <w:rFonts w:ascii="Times New Roman" w:hAnsi="Times New Roman"/>
          <w:sz w:val="21"/>
          <w:szCs w:val="21"/>
          <w:highlight w:val="yellow"/>
        </w:rPr>
      </w:r>
      <w:r w:rsidR="00772FFF">
        <w:rPr>
          <w:rFonts w:ascii="Times New Roman" w:hAnsi="Times New Roman"/>
          <w:sz w:val="21"/>
          <w:szCs w:val="21"/>
          <w:highlight w:val="yellow"/>
        </w:rPr>
        <w:fldChar w:fldCharType="separate"/>
      </w:r>
      <w:r w:rsidR="00772FFF">
        <w:rPr>
          <w:rFonts w:ascii="Times New Roman" w:hAnsi="Times New Roman"/>
          <w:sz w:val="21"/>
          <w:szCs w:val="21"/>
        </w:rPr>
        <w:t>5</w:t>
      </w:r>
      <w:r w:rsidR="00772FFF">
        <w:rPr>
          <w:rFonts w:ascii="Times New Roman" w:hAnsi="Times New Roman"/>
          <w:sz w:val="21"/>
          <w:szCs w:val="21"/>
          <w:highlight w:val="yellow"/>
        </w:rPr>
        <w:fldChar w:fldCharType="end"/>
      </w:r>
      <w:r w:rsidRPr="00E95ECA">
        <w:rPr>
          <w:rFonts w:ascii="Times New Roman" w:hAnsi="Times New Roman"/>
          <w:sz w:val="21"/>
          <w:szCs w:val="21"/>
        </w:rPr>
        <w:t xml:space="preserve">, с. 49]. В основу нормативного фінансування має бути покладений витратний підхід, </w:t>
      </w:r>
      <w:r w:rsidRPr="00E95ECA">
        <w:rPr>
          <w:rFonts w:ascii="Times New Roman" w:hAnsi="Times New Roman"/>
          <w:sz w:val="21"/>
          <w:szCs w:val="21"/>
        </w:rPr>
        <w:lastRenderedPageBreak/>
        <w:t>при якому визначаються потреби в коштах на забезпечення освітнього процесу з дотриманням чинних норм і нормативів планування витрат по статтях кошторису або окремих видах витрат. Це дозволить дотримуватись обґрунтованих видатків з відповідних бюджетів та сприятиме ефективному ціноутворенню.</w:t>
      </w:r>
    </w:p>
    <w:p w:rsidR="0023489B" w:rsidRPr="00E95ECA" w:rsidRDefault="0023489B" w:rsidP="0023489B">
      <w:pPr>
        <w:pStyle w:val="61"/>
        <w:spacing w:after="0" w:line="240" w:lineRule="auto"/>
        <w:ind w:left="0" w:firstLine="709"/>
        <w:jc w:val="both"/>
        <w:rPr>
          <w:rFonts w:ascii="Times New Roman" w:hAnsi="Times New Roman"/>
          <w:sz w:val="21"/>
          <w:szCs w:val="21"/>
          <w:lang w:val="uk-UA"/>
        </w:rPr>
      </w:pPr>
      <w:r w:rsidRPr="00E95ECA">
        <w:rPr>
          <w:rFonts w:ascii="Times New Roman" w:hAnsi="Times New Roman"/>
          <w:sz w:val="21"/>
          <w:szCs w:val="21"/>
          <w:lang w:val="uk-UA"/>
        </w:rPr>
        <w:t>Кігель Р.Ю. справедливо зауважує, що така категорія як норма, норматив, заслуговує на більшу увагу з боку економічної науки</w:t>
      </w:r>
      <w:r w:rsidRPr="00E95ECA">
        <w:rPr>
          <w:rFonts w:ascii="Times New Roman" w:hAnsi="Times New Roman"/>
          <w:sz w:val="21"/>
          <w:szCs w:val="21"/>
        </w:rPr>
        <w:t xml:space="preserve"> [</w:t>
      </w:r>
      <w:r w:rsidR="00772FFF">
        <w:rPr>
          <w:rFonts w:ascii="Times New Roman" w:hAnsi="Times New Roman"/>
          <w:sz w:val="21"/>
          <w:szCs w:val="21"/>
          <w:highlight w:val="yellow"/>
          <w:lang w:val="uk-UA"/>
        </w:rPr>
        <w:fldChar w:fldCharType="begin"/>
      </w:r>
      <w:r w:rsidR="00772FFF">
        <w:rPr>
          <w:rFonts w:ascii="Times New Roman" w:hAnsi="Times New Roman"/>
          <w:sz w:val="21"/>
          <w:szCs w:val="21"/>
        </w:rPr>
        <w:instrText xml:space="preserve"> REF _Ref436216254 \r \h </w:instrText>
      </w:r>
      <w:r w:rsidR="00772FFF">
        <w:rPr>
          <w:rFonts w:ascii="Times New Roman" w:hAnsi="Times New Roman"/>
          <w:sz w:val="21"/>
          <w:szCs w:val="21"/>
          <w:highlight w:val="yellow"/>
          <w:lang w:val="uk-UA"/>
        </w:rPr>
      </w:r>
      <w:r w:rsidR="00772FFF">
        <w:rPr>
          <w:rFonts w:ascii="Times New Roman" w:hAnsi="Times New Roman"/>
          <w:sz w:val="21"/>
          <w:szCs w:val="21"/>
          <w:highlight w:val="yellow"/>
          <w:lang w:val="uk-UA"/>
        </w:rPr>
        <w:fldChar w:fldCharType="separate"/>
      </w:r>
      <w:r w:rsidR="00772FFF">
        <w:rPr>
          <w:rFonts w:ascii="Times New Roman" w:hAnsi="Times New Roman"/>
          <w:sz w:val="21"/>
          <w:szCs w:val="21"/>
        </w:rPr>
        <w:t>18</w:t>
      </w:r>
      <w:r w:rsidR="00772FFF">
        <w:rPr>
          <w:rFonts w:ascii="Times New Roman" w:hAnsi="Times New Roman"/>
          <w:sz w:val="21"/>
          <w:szCs w:val="21"/>
          <w:highlight w:val="yellow"/>
          <w:lang w:val="uk-UA"/>
        </w:rPr>
        <w:fldChar w:fldCharType="end"/>
      </w:r>
      <w:r w:rsidRPr="00E95ECA">
        <w:rPr>
          <w:rFonts w:ascii="Times New Roman" w:hAnsi="Times New Roman"/>
          <w:sz w:val="21"/>
          <w:szCs w:val="21"/>
          <w:lang w:val="uk-UA"/>
        </w:rPr>
        <w:t>, с. 138</w:t>
      </w:r>
      <w:r w:rsidRPr="00E95ECA">
        <w:rPr>
          <w:rFonts w:ascii="Times New Roman" w:hAnsi="Times New Roman"/>
          <w:sz w:val="21"/>
          <w:szCs w:val="21"/>
        </w:rPr>
        <w:t>]</w:t>
      </w:r>
      <w:r w:rsidRPr="00E95ECA">
        <w:rPr>
          <w:rFonts w:ascii="Times New Roman" w:hAnsi="Times New Roman"/>
          <w:sz w:val="21"/>
          <w:szCs w:val="21"/>
          <w:lang w:val="uk-UA"/>
        </w:rPr>
        <w:t>. Зокрема, це стосується визначення вартості підготовки спеціаліста з вищою освітою і стабільних економічних нормативів бюджетного фінансування ВНЗ.</w:t>
      </w:r>
    </w:p>
    <w:p w:rsidR="0023489B" w:rsidRPr="005C70D4" w:rsidRDefault="0023489B" w:rsidP="0023489B">
      <w:pPr>
        <w:pStyle w:val="61"/>
        <w:spacing w:after="0" w:line="240" w:lineRule="auto"/>
        <w:ind w:left="0" w:firstLine="709"/>
        <w:jc w:val="both"/>
        <w:rPr>
          <w:rFonts w:ascii="Times New Roman" w:hAnsi="Times New Roman"/>
          <w:sz w:val="21"/>
          <w:szCs w:val="21"/>
          <w:lang w:val="uk-UA"/>
        </w:rPr>
      </w:pPr>
      <w:r w:rsidRPr="00E95ECA">
        <w:rPr>
          <w:rFonts w:ascii="Times New Roman" w:hAnsi="Times New Roman"/>
          <w:sz w:val="21"/>
          <w:szCs w:val="21"/>
          <w:lang w:val="uk-UA"/>
        </w:rPr>
        <w:t>Про необхідність розроблення нормативів, як найважливішого інструменту економічного механізму в системі освіти, йдеться в багатьох документах про освіту незалежної України.</w:t>
      </w:r>
      <w:r w:rsidRPr="00E95ECA">
        <w:rPr>
          <w:rFonts w:ascii="Times New Roman" w:hAnsi="Times New Roman"/>
          <w:spacing w:val="-1"/>
          <w:sz w:val="21"/>
          <w:szCs w:val="21"/>
          <w:lang w:val="uk-UA"/>
        </w:rPr>
        <w:t xml:space="preserve"> Н</w:t>
      </w:r>
      <w:r w:rsidRPr="00E95ECA">
        <w:rPr>
          <w:rFonts w:ascii="Times New Roman" w:hAnsi="Times New Roman"/>
          <w:sz w:val="21"/>
          <w:szCs w:val="21"/>
          <w:lang w:val="uk-UA"/>
        </w:rPr>
        <w:t>ині діючими нормативно-правовими документами (Закон «Про вищу освіту» [</w:t>
      </w:r>
      <w:r w:rsidR="00E95ECA" w:rsidRPr="00E95ECA">
        <w:rPr>
          <w:rFonts w:ascii="Times New Roman" w:hAnsi="Times New Roman"/>
          <w:sz w:val="21"/>
          <w:szCs w:val="21"/>
          <w:lang w:val="uk-UA"/>
        </w:rPr>
        <w:t>Про вищу освіту</w:t>
      </w:r>
      <w:r w:rsidRPr="00E95ECA">
        <w:rPr>
          <w:rFonts w:ascii="Times New Roman" w:hAnsi="Times New Roman"/>
          <w:sz w:val="21"/>
          <w:szCs w:val="21"/>
          <w:lang w:val="uk-UA"/>
        </w:rPr>
        <w:t>], Ліцензійні умови надання освітніх послуг у сфері вищої освіти», затверджені наказом Міністерства освіти і науки України від 24 грудня 2003 р. N 847 [</w:t>
      </w:r>
      <w:r w:rsidR="00772FFF" w:rsidRPr="00772FFF">
        <w:rPr>
          <w:rFonts w:ascii="Times New Roman" w:hAnsi="Times New Roman"/>
          <w:sz w:val="21"/>
          <w:szCs w:val="21"/>
          <w:lang w:val="uk-UA"/>
        </w:rPr>
        <w:fldChar w:fldCharType="begin"/>
      </w:r>
      <w:r w:rsidR="00772FFF" w:rsidRPr="00772FFF">
        <w:rPr>
          <w:rFonts w:ascii="Times New Roman" w:hAnsi="Times New Roman"/>
          <w:sz w:val="21"/>
          <w:szCs w:val="21"/>
          <w:lang w:val="uk-UA"/>
        </w:rPr>
        <w:instrText xml:space="preserve"> REF _Ref436216259 \r \h </w:instrText>
      </w:r>
      <w:r w:rsidR="00772FFF">
        <w:rPr>
          <w:rFonts w:ascii="Times New Roman" w:hAnsi="Times New Roman"/>
          <w:sz w:val="21"/>
          <w:szCs w:val="21"/>
          <w:lang w:val="uk-UA"/>
        </w:rPr>
        <w:instrText xml:space="preserve"> \* MERGEFORMAT </w:instrText>
      </w:r>
      <w:r w:rsidR="00772FFF" w:rsidRPr="00772FFF">
        <w:rPr>
          <w:rFonts w:ascii="Times New Roman" w:hAnsi="Times New Roman"/>
          <w:sz w:val="21"/>
          <w:szCs w:val="21"/>
          <w:lang w:val="uk-UA"/>
        </w:rPr>
      </w:r>
      <w:r w:rsidR="00772FFF" w:rsidRPr="00772FFF">
        <w:rPr>
          <w:rFonts w:ascii="Times New Roman" w:hAnsi="Times New Roman"/>
          <w:sz w:val="21"/>
          <w:szCs w:val="21"/>
          <w:lang w:val="uk-UA"/>
        </w:rPr>
        <w:fldChar w:fldCharType="separate"/>
      </w:r>
      <w:r w:rsidR="00772FFF" w:rsidRPr="00772FFF">
        <w:rPr>
          <w:rFonts w:ascii="Times New Roman" w:hAnsi="Times New Roman"/>
          <w:sz w:val="21"/>
          <w:szCs w:val="21"/>
          <w:lang w:val="uk-UA"/>
        </w:rPr>
        <w:t>22</w:t>
      </w:r>
      <w:r w:rsidR="00772FFF" w:rsidRPr="00772FFF">
        <w:rPr>
          <w:rFonts w:ascii="Times New Roman" w:hAnsi="Times New Roman"/>
          <w:sz w:val="21"/>
          <w:szCs w:val="21"/>
          <w:lang w:val="uk-UA"/>
        </w:rPr>
        <w:fldChar w:fldCharType="end"/>
      </w:r>
      <w:r w:rsidR="00772FFF" w:rsidRPr="00772FFF">
        <w:rPr>
          <w:rFonts w:ascii="Times New Roman" w:hAnsi="Times New Roman"/>
          <w:sz w:val="21"/>
          <w:szCs w:val="21"/>
          <w:lang w:val="uk-UA"/>
        </w:rPr>
        <w:t>]</w:t>
      </w:r>
      <w:r w:rsidRPr="00772FFF">
        <w:rPr>
          <w:rFonts w:ascii="Times New Roman" w:hAnsi="Times New Roman"/>
          <w:sz w:val="21"/>
          <w:szCs w:val="21"/>
          <w:lang w:val="uk-UA"/>
        </w:rPr>
        <w:t>) регламентуються</w:t>
      </w:r>
      <w:r w:rsidRPr="00E95ECA">
        <w:rPr>
          <w:rFonts w:ascii="Times New Roman" w:hAnsi="Times New Roman"/>
          <w:sz w:val="21"/>
          <w:szCs w:val="21"/>
          <w:lang w:val="uk-UA"/>
        </w:rPr>
        <w:t xml:space="preserve"> результативні показники діяльності ВНЗ, які не можна брати</w:t>
      </w:r>
      <w:r w:rsidRPr="005C70D4">
        <w:rPr>
          <w:rFonts w:ascii="Times New Roman" w:hAnsi="Times New Roman"/>
          <w:sz w:val="21"/>
          <w:szCs w:val="21"/>
          <w:lang w:val="uk-UA"/>
        </w:rPr>
        <w:t xml:space="preserve"> за вихідні для визначення витрат та формування вартості навчання. Розроблення науково обґрунтованих норм та нормативів надасть можливість встановити єдині стандарти вартості навчання одного студента та сприятиме оптимізації співвідношення доходів і видатків ВНЗ. </w:t>
      </w:r>
    </w:p>
    <w:p w:rsidR="0023489B" w:rsidRPr="00E95ECA" w:rsidRDefault="0023489B" w:rsidP="0023489B">
      <w:pPr>
        <w:shd w:val="clear" w:color="auto" w:fill="FFFFFF"/>
        <w:ind w:firstLine="709"/>
        <w:jc w:val="both"/>
        <w:rPr>
          <w:rFonts w:ascii="Times New Roman" w:hAnsi="Times New Roman" w:cs="Times New Roman"/>
          <w:sz w:val="21"/>
          <w:szCs w:val="21"/>
        </w:rPr>
      </w:pPr>
      <w:r w:rsidRPr="005C70D4">
        <w:rPr>
          <w:rFonts w:ascii="Times New Roman" w:hAnsi="Times New Roman"/>
          <w:sz w:val="21"/>
          <w:szCs w:val="21"/>
        </w:rPr>
        <w:t xml:space="preserve">Слід зазначити, що статус бюджетної установи також зумовлює особливі умови розпорядження активами навчального закладу, зокрема при списанні матеріальних цінностей з балансу ВНЗ, їх безоплатної передачі та продажу. Так, в залежності від вартості активів, на здійснення таких господарських операцій потрібний </w:t>
      </w:r>
      <w:r w:rsidRPr="00E95ECA">
        <w:rPr>
          <w:rFonts w:ascii="Times New Roman" w:hAnsi="Times New Roman" w:cs="Times New Roman"/>
          <w:sz w:val="21"/>
          <w:szCs w:val="21"/>
        </w:rPr>
        <w:t>відповідний дозвіл, який може надаватись установою вищого рівня, центральним органом виконавчої влади, місцевою державною адміністрацією, органом місцевого самоврядування або іншим головним розпорядником бюджетних коштів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_Ref436216279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36</w:t>
      </w:r>
      <w:r w:rsidR="00772FFF">
        <w:rPr>
          <w:rFonts w:ascii="Times New Roman" w:hAnsi="Times New Roman" w:cs="Times New Roman"/>
          <w:sz w:val="21"/>
          <w:szCs w:val="21"/>
          <w:highlight w:val="yellow"/>
        </w:rPr>
        <w:fldChar w:fldCharType="end"/>
      </w:r>
      <w:r w:rsidRPr="00E95ECA">
        <w:rPr>
          <w:rFonts w:ascii="Times New Roman" w:hAnsi="Times New Roman" w:cs="Times New Roman"/>
          <w:sz w:val="21"/>
          <w:szCs w:val="21"/>
        </w:rPr>
        <w:t>].</w:t>
      </w:r>
    </w:p>
    <w:p w:rsidR="0023489B" w:rsidRPr="005C70D4" w:rsidRDefault="0023489B" w:rsidP="0023489B">
      <w:pPr>
        <w:shd w:val="clear" w:color="auto" w:fill="FFFFFF"/>
        <w:ind w:firstLine="709"/>
        <w:jc w:val="both"/>
        <w:rPr>
          <w:rFonts w:ascii="Times New Roman" w:hAnsi="Times New Roman"/>
          <w:sz w:val="21"/>
          <w:szCs w:val="21"/>
        </w:rPr>
      </w:pPr>
      <w:r w:rsidRPr="00E95ECA">
        <w:rPr>
          <w:rFonts w:ascii="Times New Roman" w:hAnsi="Times New Roman" w:cs="Times New Roman"/>
          <w:sz w:val="21"/>
          <w:szCs w:val="21"/>
        </w:rPr>
        <w:t>Відбулося посилення контролю з боку держави за використанням коштів ВНЗ внаслідок їх переведення на банківське обслуговування в органи ГУ ДКСУ та обмеження в розміщенні коштів на рахунках в банківських установах. Відповідно до ч.9 ст.13 Бюджетного кодексу України та п.1.7 Порядку надання платних освітніх послуг державними та комунальними навчальними закладами [</w:t>
      </w:r>
      <w:r w:rsidR="00772FFF">
        <w:rPr>
          <w:rFonts w:ascii="Times New Roman" w:hAnsi="Times New Roman" w:cs="Times New Roman"/>
          <w:sz w:val="21"/>
          <w:szCs w:val="21"/>
          <w:highlight w:val="yellow"/>
        </w:rPr>
        <w:fldChar w:fldCharType="begin"/>
      </w:r>
      <w:r w:rsidR="00772FFF">
        <w:rPr>
          <w:rFonts w:ascii="Times New Roman" w:hAnsi="Times New Roman" w:cs="Times New Roman"/>
          <w:sz w:val="21"/>
          <w:szCs w:val="21"/>
        </w:rPr>
        <w:instrText xml:space="preserve"> REF _Ref436216286 \r \h </w:instrText>
      </w:r>
      <w:r w:rsidR="00772FFF">
        <w:rPr>
          <w:rFonts w:ascii="Times New Roman" w:hAnsi="Times New Roman" w:cs="Times New Roman"/>
          <w:sz w:val="21"/>
          <w:szCs w:val="21"/>
          <w:highlight w:val="yellow"/>
        </w:rPr>
      </w:r>
      <w:r w:rsidR="00772FFF">
        <w:rPr>
          <w:rFonts w:ascii="Times New Roman" w:hAnsi="Times New Roman" w:cs="Times New Roman"/>
          <w:sz w:val="21"/>
          <w:szCs w:val="21"/>
          <w:highlight w:val="yellow"/>
        </w:rPr>
        <w:fldChar w:fldCharType="separate"/>
      </w:r>
      <w:r w:rsidR="00772FFF">
        <w:rPr>
          <w:rFonts w:ascii="Times New Roman" w:hAnsi="Times New Roman" w:cs="Times New Roman"/>
          <w:sz w:val="21"/>
          <w:szCs w:val="21"/>
        </w:rPr>
        <w:t>35</w:t>
      </w:r>
      <w:r w:rsidR="00772FFF">
        <w:rPr>
          <w:rFonts w:ascii="Times New Roman" w:hAnsi="Times New Roman" w:cs="Times New Roman"/>
          <w:sz w:val="21"/>
          <w:szCs w:val="21"/>
          <w:highlight w:val="yellow"/>
        </w:rPr>
        <w:fldChar w:fldCharType="end"/>
      </w:r>
      <w:r w:rsidRPr="00E95ECA">
        <w:rPr>
          <w:rFonts w:ascii="Times New Roman" w:hAnsi="Times New Roman" w:cs="Times New Roman"/>
          <w:sz w:val="21"/>
          <w:szCs w:val="21"/>
        </w:rPr>
        <w:t xml:space="preserve">], згідно з якими відкриття </w:t>
      </w:r>
      <w:r w:rsidRPr="00E95ECA">
        <w:rPr>
          <w:rFonts w:ascii="Times New Roman" w:hAnsi="Times New Roman" w:cs="Times New Roman"/>
          <w:sz w:val="21"/>
          <w:szCs w:val="21"/>
        </w:rPr>
        <w:lastRenderedPageBreak/>
        <w:t xml:space="preserve">позабюджетних рахунків для розміщення бюджетних коштів, включаючи власні надходження, бюджетними установами забороняється, крім розміщення вищими навчальними закладами на депозитах тимчасово вільних бюджетних коштів, отриманих за надання платних послуг, якщо таким закладам законом надано відповідне право. </w:t>
      </w:r>
      <w:r w:rsidRPr="00E95ECA">
        <w:rPr>
          <w:rFonts w:ascii="Times New Roman" w:hAnsi="Times New Roman" w:cs="Times New Roman"/>
          <w:color w:val="000000"/>
          <w:sz w:val="21"/>
          <w:szCs w:val="21"/>
        </w:rPr>
        <w:t>Кошти,</w:t>
      </w:r>
      <w:r w:rsidRPr="005C70D4">
        <w:rPr>
          <w:rFonts w:ascii="Times New Roman" w:hAnsi="Times New Roman"/>
          <w:color w:val="000000"/>
          <w:sz w:val="21"/>
          <w:szCs w:val="21"/>
        </w:rPr>
        <w:t xml:space="preserve"> отримані навчальним закладом від надання платних освітніх послуг, зараховуються на відповідні рахунки, відкриті в органах </w:t>
      </w:r>
      <w:r w:rsidRPr="005C70D4">
        <w:rPr>
          <w:rFonts w:ascii="Times New Roman" w:hAnsi="Times New Roman"/>
          <w:sz w:val="21"/>
          <w:szCs w:val="21"/>
        </w:rPr>
        <w:t>ГУ ДКСУ</w:t>
      </w:r>
      <w:r w:rsidRPr="005C70D4">
        <w:rPr>
          <w:rFonts w:ascii="Times New Roman" w:hAnsi="Times New Roman"/>
          <w:color w:val="000000"/>
          <w:sz w:val="21"/>
          <w:szCs w:val="21"/>
        </w:rPr>
        <w:t>.</w:t>
      </w:r>
      <w:r w:rsidRPr="005C70D4">
        <w:rPr>
          <w:rFonts w:ascii="Times New Roman" w:hAnsi="Times New Roman"/>
          <w:sz w:val="21"/>
          <w:szCs w:val="21"/>
        </w:rPr>
        <w:t xml:space="preserve"> Виключення складають лише розміщення навчальними закладами на депозитах в банківських установах тимчасово вільних бюджетних коштів, отриманих від надання платних послуг.</w:t>
      </w:r>
    </w:p>
    <w:p w:rsidR="0023489B" w:rsidRPr="005C70D4" w:rsidRDefault="0023489B" w:rsidP="0023489B">
      <w:pPr>
        <w:pStyle w:val="aff5"/>
        <w:spacing w:before="0" w:beforeAutospacing="0" w:after="0" w:afterAutospacing="0"/>
        <w:ind w:firstLine="709"/>
        <w:jc w:val="both"/>
        <w:rPr>
          <w:color w:val="000000"/>
          <w:sz w:val="21"/>
          <w:szCs w:val="21"/>
        </w:rPr>
      </w:pPr>
      <w:r w:rsidRPr="005C70D4">
        <w:rPr>
          <w:color w:val="000000"/>
          <w:sz w:val="21"/>
          <w:szCs w:val="21"/>
        </w:rPr>
        <w:t xml:space="preserve">Вищим навчальним закладам державної та комунальної форм власності надано право самостійно розпоряджатись доходами та іншими надходженнями, одержаними від надання дозволених законодавством платних послуг </w:t>
      </w:r>
      <w:r w:rsidRPr="005C70D4">
        <w:rPr>
          <w:sz w:val="21"/>
          <w:szCs w:val="21"/>
        </w:rPr>
        <w:t>[</w:t>
      </w:r>
      <w:r w:rsidR="00772FFF">
        <w:rPr>
          <w:sz w:val="21"/>
          <w:szCs w:val="21"/>
        </w:rPr>
        <w:fldChar w:fldCharType="begin"/>
      </w:r>
      <w:r w:rsidR="00772FFF">
        <w:rPr>
          <w:sz w:val="21"/>
          <w:szCs w:val="21"/>
        </w:rPr>
        <w:instrText xml:space="preserve"> REF _Ref436215632 \r \h </w:instrText>
      </w:r>
      <w:r w:rsidR="00772FFF">
        <w:rPr>
          <w:sz w:val="21"/>
          <w:szCs w:val="21"/>
        </w:rPr>
      </w:r>
      <w:r w:rsidR="00772FFF">
        <w:rPr>
          <w:sz w:val="21"/>
          <w:szCs w:val="21"/>
        </w:rPr>
        <w:fldChar w:fldCharType="separate"/>
      </w:r>
      <w:r w:rsidR="00772FFF">
        <w:rPr>
          <w:sz w:val="21"/>
          <w:szCs w:val="21"/>
        </w:rPr>
        <w:t>38</w:t>
      </w:r>
      <w:r w:rsidR="00772FFF">
        <w:rPr>
          <w:sz w:val="21"/>
          <w:szCs w:val="21"/>
        </w:rPr>
        <w:fldChar w:fldCharType="end"/>
      </w:r>
      <w:r w:rsidRPr="005C70D4">
        <w:rPr>
          <w:sz w:val="21"/>
          <w:szCs w:val="21"/>
        </w:rPr>
        <w:t>]</w:t>
      </w:r>
      <w:r w:rsidRPr="005C70D4">
        <w:rPr>
          <w:color w:val="000000"/>
          <w:sz w:val="21"/>
          <w:szCs w:val="21"/>
        </w:rPr>
        <w:t xml:space="preserve">. Натомість додаткові вимоги, визначені чиним законодавством, певною мірою ускладнюють його реалізацію. Це стосується, наприклад, необхідності підтвердження цільового спрямування коштів та факту взяття зобов'язань на здійснення капітальних ремонтів, реконструкції та реставрації, занадто обтяжливим переліком підтвердних документів, подання яких до органів </w:t>
      </w:r>
      <w:r w:rsidRPr="005C70D4">
        <w:rPr>
          <w:sz w:val="21"/>
          <w:szCs w:val="21"/>
        </w:rPr>
        <w:t>ГУ ДКСУ</w:t>
      </w:r>
      <w:r w:rsidRPr="005C70D4">
        <w:rPr>
          <w:color w:val="000000"/>
          <w:sz w:val="21"/>
          <w:szCs w:val="21"/>
        </w:rPr>
        <w:t xml:space="preserve"> є обов'язковим </w:t>
      </w:r>
      <w:r w:rsidRPr="005C70D4">
        <w:rPr>
          <w:sz w:val="21"/>
          <w:szCs w:val="21"/>
        </w:rPr>
        <w:t>[</w:t>
      </w:r>
      <w:r w:rsidR="00772FFF">
        <w:rPr>
          <w:color w:val="000000"/>
          <w:sz w:val="21"/>
          <w:szCs w:val="21"/>
          <w:highlight w:val="yellow"/>
        </w:rPr>
        <w:fldChar w:fldCharType="begin"/>
      </w:r>
      <w:r w:rsidR="00772FFF">
        <w:rPr>
          <w:sz w:val="21"/>
          <w:szCs w:val="21"/>
        </w:rPr>
        <w:instrText xml:space="preserve"> REF _Ref436216297 \r \h </w:instrText>
      </w:r>
      <w:r w:rsidR="00772FFF">
        <w:rPr>
          <w:color w:val="000000"/>
          <w:sz w:val="21"/>
          <w:szCs w:val="21"/>
          <w:highlight w:val="yellow"/>
        </w:rPr>
      </w:r>
      <w:r w:rsidR="00772FFF">
        <w:rPr>
          <w:color w:val="000000"/>
          <w:sz w:val="21"/>
          <w:szCs w:val="21"/>
          <w:highlight w:val="yellow"/>
        </w:rPr>
        <w:fldChar w:fldCharType="separate"/>
      </w:r>
      <w:r w:rsidR="00772FFF">
        <w:rPr>
          <w:sz w:val="21"/>
          <w:szCs w:val="21"/>
        </w:rPr>
        <w:t>26</w:t>
      </w:r>
      <w:r w:rsidR="00772FFF">
        <w:rPr>
          <w:color w:val="000000"/>
          <w:sz w:val="21"/>
          <w:szCs w:val="21"/>
          <w:highlight w:val="yellow"/>
        </w:rPr>
        <w:fldChar w:fldCharType="end"/>
      </w:r>
      <w:r w:rsidRPr="005C70D4">
        <w:rPr>
          <w:sz w:val="21"/>
          <w:szCs w:val="21"/>
        </w:rPr>
        <w:t>].</w:t>
      </w:r>
    </w:p>
    <w:p w:rsidR="0023489B" w:rsidRPr="00E95ECA" w:rsidRDefault="0023489B" w:rsidP="0023489B">
      <w:pPr>
        <w:pStyle w:val="61"/>
        <w:spacing w:after="0" w:line="240" w:lineRule="auto"/>
        <w:ind w:left="0" w:firstLine="709"/>
        <w:jc w:val="both"/>
        <w:rPr>
          <w:rFonts w:ascii="Times New Roman" w:hAnsi="Times New Roman"/>
          <w:sz w:val="21"/>
          <w:szCs w:val="21"/>
          <w:lang w:val="uk-UA"/>
        </w:rPr>
      </w:pPr>
      <w:r w:rsidRPr="005C70D4">
        <w:rPr>
          <w:rFonts w:ascii="Times New Roman" w:hAnsi="Times New Roman"/>
          <w:sz w:val="21"/>
          <w:szCs w:val="21"/>
        </w:rPr>
        <w:t xml:space="preserve">Державою визначено правовий статус майна, який використовується навчальним закладом на праві оперативного управління. Відповідно до ст. 66 Закону «Про вищу освіту» від </w:t>
      </w:r>
      <w:r w:rsidRPr="005C70D4">
        <w:rPr>
          <w:rFonts w:ascii="Times New Roman" w:hAnsi="Times New Roman"/>
          <w:color w:val="000000"/>
          <w:sz w:val="21"/>
          <w:szCs w:val="21"/>
        </w:rPr>
        <w:t>17 січня 2002 року N 2984-III </w:t>
      </w:r>
      <w:r w:rsidRPr="005C70D4">
        <w:rPr>
          <w:rFonts w:ascii="Times New Roman" w:hAnsi="Times New Roman"/>
          <w:sz w:val="21"/>
          <w:szCs w:val="21"/>
        </w:rPr>
        <w:t xml:space="preserve"> вищий навчальний заклад у межах, визначених законодавством України, та відповідно до статуту має право: використовувати майно, передане в оперативне управління, в тому числі для здійснення освітньої діяльності, ведення господарської діяльності, надання майна в оренду та в користування.</w:t>
      </w:r>
      <w:r w:rsidRPr="005C70D4">
        <w:rPr>
          <w:rFonts w:ascii="Times New Roman" w:hAnsi="Times New Roman"/>
          <w:color w:val="FF0000"/>
          <w:sz w:val="21"/>
          <w:szCs w:val="21"/>
        </w:rPr>
        <w:t xml:space="preserve"> </w:t>
      </w:r>
      <w:r w:rsidRPr="005C70D4">
        <w:rPr>
          <w:rFonts w:ascii="Times New Roman" w:hAnsi="Times New Roman"/>
          <w:sz w:val="21"/>
          <w:szCs w:val="21"/>
        </w:rPr>
        <w:t xml:space="preserve">Разом з тим, для уникнення безгосподарного використання та неефективного </w:t>
      </w:r>
      <w:r w:rsidRPr="00E95ECA">
        <w:rPr>
          <w:rFonts w:ascii="Times New Roman" w:hAnsi="Times New Roman"/>
          <w:sz w:val="21"/>
          <w:szCs w:val="21"/>
        </w:rPr>
        <w:t xml:space="preserve">розпорядження майном, що передане ВНЗ в оперативне управління, ст. 137 Господарського кодексу України, передбачено наступне: власник майна, закріпленого на праві оперативного управління за суб’єктом господарювання, здійснює контроль за використанням і збереженням переданого в оперативне управління майна безпосередньо або через уповноважений ним орган і має право вилучати у суб’єкта господарювання надлишкове майно, а також </w:t>
      </w:r>
      <w:r w:rsidRPr="00E95ECA">
        <w:rPr>
          <w:rFonts w:ascii="Times New Roman" w:hAnsi="Times New Roman"/>
          <w:sz w:val="21"/>
          <w:szCs w:val="21"/>
        </w:rPr>
        <w:lastRenderedPageBreak/>
        <w:t>майно, що не використовується, та майно, що використовується ним не за призначенням [</w:t>
      </w:r>
      <w:r w:rsidR="00772FFF">
        <w:rPr>
          <w:rFonts w:ascii="Times New Roman" w:hAnsi="Times New Roman"/>
          <w:sz w:val="21"/>
          <w:szCs w:val="21"/>
          <w:highlight w:val="yellow"/>
          <w:lang w:val="uk-UA"/>
        </w:rPr>
        <w:fldChar w:fldCharType="begin"/>
      </w:r>
      <w:r w:rsidR="00772FFF">
        <w:rPr>
          <w:rFonts w:ascii="Times New Roman" w:hAnsi="Times New Roman"/>
          <w:sz w:val="21"/>
          <w:szCs w:val="21"/>
        </w:rPr>
        <w:instrText xml:space="preserve"> REF _Ref436216304 \r \h </w:instrText>
      </w:r>
      <w:r w:rsidR="00772FFF">
        <w:rPr>
          <w:rFonts w:ascii="Times New Roman" w:hAnsi="Times New Roman"/>
          <w:sz w:val="21"/>
          <w:szCs w:val="21"/>
          <w:highlight w:val="yellow"/>
          <w:lang w:val="uk-UA"/>
        </w:rPr>
      </w:r>
      <w:r w:rsidR="00772FFF">
        <w:rPr>
          <w:rFonts w:ascii="Times New Roman" w:hAnsi="Times New Roman"/>
          <w:sz w:val="21"/>
          <w:szCs w:val="21"/>
          <w:highlight w:val="yellow"/>
          <w:lang w:val="uk-UA"/>
        </w:rPr>
        <w:fldChar w:fldCharType="separate"/>
      </w:r>
      <w:r w:rsidR="00772FFF">
        <w:rPr>
          <w:rFonts w:ascii="Times New Roman" w:hAnsi="Times New Roman"/>
          <w:sz w:val="21"/>
          <w:szCs w:val="21"/>
        </w:rPr>
        <w:t>14</w:t>
      </w:r>
      <w:r w:rsidR="00772FFF">
        <w:rPr>
          <w:rFonts w:ascii="Times New Roman" w:hAnsi="Times New Roman"/>
          <w:sz w:val="21"/>
          <w:szCs w:val="21"/>
          <w:highlight w:val="yellow"/>
          <w:lang w:val="uk-UA"/>
        </w:rPr>
        <w:fldChar w:fldCharType="end"/>
      </w:r>
      <w:r w:rsidRPr="00E95ECA">
        <w:rPr>
          <w:rFonts w:ascii="Times New Roman" w:hAnsi="Times New Roman"/>
          <w:sz w:val="21"/>
          <w:szCs w:val="21"/>
        </w:rPr>
        <w:t>].</w:t>
      </w:r>
      <w:r w:rsidRPr="00E95ECA">
        <w:rPr>
          <w:rFonts w:ascii="Times New Roman" w:hAnsi="Times New Roman"/>
          <w:color w:val="FF0000"/>
          <w:sz w:val="21"/>
          <w:szCs w:val="21"/>
        </w:rPr>
        <w:t xml:space="preserve"> </w:t>
      </w:r>
    </w:p>
    <w:p w:rsidR="0023489B" w:rsidRPr="00E95ECA" w:rsidRDefault="0023489B" w:rsidP="0023489B">
      <w:pPr>
        <w:pStyle w:val="61"/>
        <w:spacing w:after="0" w:line="240" w:lineRule="auto"/>
        <w:ind w:left="0" w:firstLine="709"/>
        <w:jc w:val="both"/>
        <w:rPr>
          <w:rFonts w:ascii="Times New Roman" w:hAnsi="Times New Roman"/>
          <w:sz w:val="21"/>
          <w:szCs w:val="21"/>
          <w:lang w:val="uk-UA"/>
        </w:rPr>
      </w:pPr>
      <w:r w:rsidRPr="00E95ECA">
        <w:rPr>
          <w:rFonts w:ascii="Times New Roman" w:hAnsi="Times New Roman"/>
          <w:sz w:val="21"/>
          <w:szCs w:val="21"/>
          <w:lang w:val="uk-UA"/>
        </w:rPr>
        <w:t>Таким чином, аналіз вітчизняного та зарубіжного досвіду управління вищими навчальними закладами підтверджує той факт, що значне коло проблем освіти пов’язане, насамперед, із необхідністю підвищення ефективності управління розвитком навчального закладу.</w:t>
      </w:r>
    </w:p>
    <w:p w:rsidR="0023489B" w:rsidRPr="005C70D4" w:rsidRDefault="0023489B" w:rsidP="0023489B">
      <w:pPr>
        <w:pStyle w:val="61"/>
        <w:spacing w:after="0" w:line="240" w:lineRule="auto"/>
        <w:ind w:left="0" w:firstLine="709"/>
        <w:jc w:val="both"/>
        <w:rPr>
          <w:rFonts w:ascii="Times New Roman" w:hAnsi="Times New Roman"/>
          <w:sz w:val="21"/>
          <w:szCs w:val="21"/>
          <w:lang w:val="uk-UA"/>
        </w:rPr>
      </w:pPr>
      <w:r w:rsidRPr="00E95ECA">
        <w:rPr>
          <w:rFonts w:ascii="Times New Roman" w:hAnsi="Times New Roman"/>
          <w:sz w:val="21"/>
          <w:szCs w:val="21"/>
          <w:lang w:val="uk-UA"/>
        </w:rPr>
        <w:t>Значну кількість проблем, що стоять перед</w:t>
      </w:r>
      <w:r w:rsidRPr="005C70D4">
        <w:rPr>
          <w:rFonts w:ascii="Times New Roman" w:hAnsi="Times New Roman"/>
          <w:sz w:val="21"/>
          <w:szCs w:val="21"/>
          <w:lang w:val="uk-UA"/>
        </w:rPr>
        <w:t xml:space="preserve"> вищими навчальними закладами, необхідно вирішувати на загальнодержавному рівні. Раніше функціонування державних ВНЗ базувалось на використанні стандартних підходів, розроблених в централізованому порядку вищими установами. Сьогодні система освіти функціонує у напрямку розширення можливостей навчальних закладів вирішувати проблеми самостійно власними силами. Використовуючи власні ресурси та внутрішній потенціал, вищий навчальний заклад здатний покращити характеристики системи управління освітою шляхом зміни її якісних показників. </w:t>
      </w:r>
    </w:p>
    <w:p w:rsidR="0023489B" w:rsidRPr="00CC270A" w:rsidRDefault="0023489B" w:rsidP="00CC270A">
      <w:pPr>
        <w:ind w:firstLine="709"/>
        <w:jc w:val="both"/>
        <w:rPr>
          <w:rFonts w:ascii="Times New Roman" w:hAnsi="Times New Roman" w:cs="Times New Roman"/>
          <w:sz w:val="21"/>
          <w:szCs w:val="21"/>
        </w:rPr>
      </w:pPr>
      <w:r w:rsidRPr="00CC270A">
        <w:rPr>
          <w:rFonts w:ascii="Times New Roman" w:hAnsi="Times New Roman" w:cs="Times New Roman"/>
          <w:sz w:val="21"/>
          <w:szCs w:val="21"/>
        </w:rPr>
        <w:t xml:space="preserve">Питання економічного розвитку навчальних закладів вимагають уваги і повинні вирішуватись шляхом поєднання елементів централізованого та децентралізованого управління із врахуванням вітчизняних традицій і зарубіжного досвіду. Прийняття багатьох рішень безпосередньо на рівні навчального закладу та концентрація на рівні державних органів влади лише найсуттєвіших функцій керівництва і управління забезпечить </w:t>
      </w:r>
      <w:r w:rsidR="00CC270A" w:rsidRPr="00CC270A">
        <w:rPr>
          <w:rFonts w:ascii="Times New Roman" w:hAnsi="Times New Roman" w:cs="Times New Roman"/>
          <w:sz w:val="21"/>
          <w:szCs w:val="21"/>
        </w:rPr>
        <w:t xml:space="preserve">ефективне </w:t>
      </w:r>
      <w:r w:rsidRPr="00CC270A">
        <w:rPr>
          <w:rFonts w:ascii="Times New Roman" w:hAnsi="Times New Roman" w:cs="Times New Roman"/>
          <w:sz w:val="21"/>
          <w:szCs w:val="21"/>
        </w:rPr>
        <w:t>функціонування вищих навчальних закладів.</w:t>
      </w:r>
    </w:p>
    <w:p w:rsidR="00CC270A" w:rsidRDefault="00CC270A" w:rsidP="00CC270A">
      <w:pPr>
        <w:ind w:firstLine="709"/>
        <w:jc w:val="both"/>
        <w:rPr>
          <w:rFonts w:ascii="Times New Roman" w:hAnsi="Times New Roman" w:cs="Times New Roman"/>
          <w:sz w:val="21"/>
          <w:szCs w:val="21"/>
        </w:rPr>
      </w:pPr>
    </w:p>
    <w:p w:rsidR="00E95ECA" w:rsidRPr="00CC270A" w:rsidRDefault="00E95ECA" w:rsidP="00CC270A">
      <w:pPr>
        <w:ind w:firstLine="709"/>
        <w:jc w:val="both"/>
        <w:rPr>
          <w:rFonts w:ascii="Times New Roman" w:hAnsi="Times New Roman" w:cs="Times New Roman"/>
          <w:sz w:val="21"/>
          <w:szCs w:val="21"/>
        </w:rPr>
      </w:pPr>
    </w:p>
    <w:p w:rsidR="0023489B" w:rsidRDefault="00CC270A" w:rsidP="00197F22">
      <w:pPr>
        <w:tabs>
          <w:tab w:val="left" w:pos="0"/>
          <w:tab w:val="left" w:pos="180"/>
          <w:tab w:val="left" w:pos="993"/>
          <w:tab w:val="left" w:pos="1134"/>
        </w:tabs>
        <w:ind w:firstLine="709"/>
        <w:jc w:val="center"/>
        <w:rPr>
          <w:rFonts w:ascii="Times New Roman" w:hAnsi="Times New Roman" w:cs="Times New Roman"/>
          <w:sz w:val="21"/>
          <w:szCs w:val="21"/>
        </w:rPr>
      </w:pPr>
      <w:r>
        <w:rPr>
          <w:rFonts w:ascii="UkrainianPeterburg" w:hAnsi="UkrainianPeterburg"/>
          <w:b/>
          <w:sz w:val="21"/>
          <w:szCs w:val="21"/>
        </w:rPr>
        <w:t>7</w:t>
      </w:r>
      <w:r w:rsidRPr="00E20C1F">
        <w:rPr>
          <w:rFonts w:ascii="UkrainianPeterburg" w:hAnsi="UkrainianPeterburg"/>
          <w:b/>
          <w:sz w:val="21"/>
          <w:szCs w:val="21"/>
        </w:rPr>
        <w:t>.</w:t>
      </w:r>
      <w:r>
        <w:rPr>
          <w:rFonts w:ascii="UkrainianPeterburg" w:hAnsi="UkrainianPeterburg"/>
          <w:b/>
          <w:sz w:val="21"/>
          <w:szCs w:val="21"/>
        </w:rPr>
        <w:t>3</w:t>
      </w:r>
      <w:r w:rsidRPr="00E20C1F">
        <w:rPr>
          <w:rFonts w:ascii="UkrainianPeterburg" w:hAnsi="UkrainianPeterburg"/>
          <w:b/>
          <w:sz w:val="21"/>
          <w:szCs w:val="21"/>
        </w:rPr>
        <w:t xml:space="preserve">. </w:t>
      </w:r>
      <w:r w:rsidR="00B20650">
        <w:rPr>
          <w:rFonts w:ascii="UkrainianPeterburg" w:hAnsi="UkrainianPeterburg"/>
          <w:b/>
          <w:sz w:val="21"/>
          <w:szCs w:val="21"/>
        </w:rPr>
        <w:t>Розробка функціональної та інсти</w:t>
      </w:r>
      <w:r w:rsidR="00197F22">
        <w:rPr>
          <w:rFonts w:ascii="UkrainianPeterburg" w:hAnsi="UkrainianPeterburg"/>
          <w:b/>
          <w:sz w:val="21"/>
          <w:szCs w:val="21"/>
        </w:rPr>
        <w:t>-</w:t>
      </w:r>
      <w:r w:rsidR="00B20650">
        <w:rPr>
          <w:rFonts w:ascii="UkrainianPeterburg" w:hAnsi="UkrainianPeterburg"/>
          <w:b/>
          <w:sz w:val="21"/>
          <w:szCs w:val="21"/>
        </w:rPr>
        <w:t>туційної моделі фінансового механізму підвищення освітньо-професійного потенціалу</w:t>
      </w:r>
    </w:p>
    <w:p w:rsidR="0023489B" w:rsidRDefault="0023489B" w:rsidP="00A273F1">
      <w:pPr>
        <w:tabs>
          <w:tab w:val="left" w:pos="0"/>
          <w:tab w:val="left" w:pos="180"/>
          <w:tab w:val="left" w:pos="993"/>
          <w:tab w:val="left" w:pos="1134"/>
        </w:tabs>
        <w:ind w:firstLine="709"/>
        <w:jc w:val="both"/>
        <w:rPr>
          <w:rFonts w:ascii="Times New Roman" w:hAnsi="Times New Roman" w:cs="Times New Roman"/>
          <w:sz w:val="21"/>
          <w:szCs w:val="21"/>
        </w:rPr>
      </w:pPr>
    </w:p>
    <w:p w:rsidR="0023489B" w:rsidRDefault="0023489B" w:rsidP="00A273F1">
      <w:pPr>
        <w:tabs>
          <w:tab w:val="left" w:pos="0"/>
          <w:tab w:val="left" w:pos="180"/>
          <w:tab w:val="left" w:pos="993"/>
          <w:tab w:val="left" w:pos="1134"/>
        </w:tabs>
        <w:ind w:firstLine="709"/>
        <w:jc w:val="both"/>
        <w:rPr>
          <w:rFonts w:ascii="Times New Roman" w:hAnsi="Times New Roman" w:cs="Times New Roman"/>
          <w:sz w:val="21"/>
          <w:szCs w:val="21"/>
        </w:rPr>
      </w:pPr>
    </w:p>
    <w:p w:rsidR="00B20650" w:rsidRPr="00984A98" w:rsidRDefault="00B20650" w:rsidP="00B20650">
      <w:pPr>
        <w:ind w:firstLine="709"/>
        <w:jc w:val="both"/>
        <w:rPr>
          <w:rFonts w:ascii="Times New Roman" w:hAnsi="Times New Roman"/>
          <w:sz w:val="21"/>
          <w:szCs w:val="21"/>
        </w:rPr>
      </w:pPr>
      <w:r w:rsidRPr="00984A98">
        <w:rPr>
          <w:rFonts w:ascii="Times New Roman" w:hAnsi="Times New Roman"/>
          <w:sz w:val="21"/>
          <w:szCs w:val="21"/>
        </w:rPr>
        <w:t xml:space="preserve">Для вітчизняної вищої освіти проблеми розвитку навчальних закладів в цілому, та їх економічного розвитку, зокрема, є актуальними як у теоретичному, так і в практичному аспектах. Актуальним є формування механізму управління фінансово-господарською діяльністю ВНЗ, який дозволяє через узгодження цілей навчального закладу та інтересів суспільства </w:t>
      </w:r>
      <w:r w:rsidRPr="00984A98">
        <w:rPr>
          <w:rFonts w:ascii="Times New Roman" w:hAnsi="Times New Roman"/>
          <w:sz w:val="21"/>
          <w:szCs w:val="21"/>
        </w:rPr>
        <w:lastRenderedPageBreak/>
        <w:t xml:space="preserve">забезпечити досягнення економічного розвитку навчального закладу. </w:t>
      </w:r>
    </w:p>
    <w:p w:rsidR="00B20650" w:rsidRPr="00984A98" w:rsidRDefault="00B20650" w:rsidP="00B20650">
      <w:pPr>
        <w:pStyle w:val="61"/>
        <w:spacing w:after="0" w:line="240" w:lineRule="auto"/>
        <w:ind w:left="0" w:firstLine="709"/>
        <w:jc w:val="both"/>
        <w:rPr>
          <w:rFonts w:ascii="Times New Roman" w:hAnsi="Times New Roman"/>
          <w:sz w:val="21"/>
          <w:szCs w:val="21"/>
          <w:lang w:val="uk-UA"/>
        </w:rPr>
      </w:pPr>
      <w:r w:rsidRPr="00984A98">
        <w:rPr>
          <w:rFonts w:ascii="Times New Roman" w:hAnsi="Times New Roman"/>
          <w:sz w:val="21"/>
          <w:szCs w:val="21"/>
          <w:lang w:val="uk-UA"/>
        </w:rPr>
        <w:t>Механізм управління фінансово-господарською діяльністю визначається зв’язками структурних елементів управління – мети, завдань, функцій, методів, суб’єктів й об’єктів управління, взаємодія яких забезпечує досягнення поставлених цілей. Для механізму управління фінансово-господарською діяльністю ВНЗ важливими є усі елементи системи управління, їх взаємозв’язки і рівень впливу на систему, послідовність дій для реалізації функцій управління фінансово-господарською діяльністю, критерії оцінки ефективності функціонування механізму.</w:t>
      </w:r>
    </w:p>
    <w:p w:rsidR="00B20650" w:rsidRPr="00984A98" w:rsidRDefault="00B20650" w:rsidP="00B20650">
      <w:pPr>
        <w:pStyle w:val="61"/>
        <w:spacing w:after="0" w:line="240" w:lineRule="auto"/>
        <w:ind w:left="0" w:firstLine="709"/>
        <w:jc w:val="both"/>
        <w:rPr>
          <w:rFonts w:ascii="Times New Roman" w:hAnsi="Times New Roman"/>
          <w:sz w:val="21"/>
          <w:szCs w:val="21"/>
          <w:lang w:val="uk-UA"/>
        </w:rPr>
      </w:pPr>
      <w:r w:rsidRPr="00984A98">
        <w:rPr>
          <w:rFonts w:ascii="Times New Roman" w:hAnsi="Times New Roman"/>
          <w:sz w:val="21"/>
          <w:szCs w:val="21"/>
          <w:lang w:val="uk-UA"/>
        </w:rPr>
        <w:t xml:space="preserve">Розглянемо особливості формування механізму управління фінансово-господарською діяльністю ВНЗ з позицій системного, ситуаційного, стратегічного, програмно-цільового, інформаційного та комплексного підходів. </w:t>
      </w:r>
    </w:p>
    <w:p w:rsidR="00B20650" w:rsidRPr="00984A98" w:rsidRDefault="00B20650" w:rsidP="00B20650">
      <w:pPr>
        <w:pStyle w:val="61"/>
        <w:spacing w:after="0" w:line="240" w:lineRule="auto"/>
        <w:ind w:left="0" w:firstLine="567"/>
        <w:jc w:val="both"/>
        <w:rPr>
          <w:rFonts w:ascii="Times New Roman" w:hAnsi="Times New Roman"/>
          <w:sz w:val="21"/>
          <w:szCs w:val="21"/>
          <w:lang w:val="uk-UA"/>
        </w:rPr>
      </w:pPr>
      <w:r w:rsidRPr="00984A98">
        <w:rPr>
          <w:rFonts w:ascii="Times New Roman" w:hAnsi="Times New Roman"/>
          <w:sz w:val="21"/>
          <w:szCs w:val="21"/>
          <w:lang w:val="uk-UA"/>
        </w:rPr>
        <w:t xml:space="preserve">З позицій системного підходу фінансово-господарська діяльність ВНЗ розглядається як складна система, котра постійно змінюється і знаходиться під впливом ряду факторів зовнішнього і внутрішнього середовищ, характеризується єдністю її складових частин та їх зв’язками із зовнішнім середовищем. Зміна властивостей одного або декількох елементів призводить до зміни інших елементів системи. Ситуаційний підхід передбачає управління за обставинами. Використання методів управління фінансово-господарською діяльністю ВНЗ визначається конкретною ситуацією. З точки зору стратегічного підходу результатом фінансово-господарської діяльності є досягнутий економічний розвиток. </w:t>
      </w:r>
      <w:r w:rsidRPr="00984A98">
        <w:rPr>
          <w:rFonts w:ascii="Times New Roman" w:hAnsi="Times New Roman"/>
          <w:color w:val="000000"/>
          <w:sz w:val="21"/>
          <w:szCs w:val="21"/>
          <w:lang w:val="uk-UA"/>
        </w:rPr>
        <w:t xml:space="preserve">Програмно-цільовий підхід у фінансово-господарській діяльності ВНЗ передбачає забезпечення виконавцем цільового та ефективного використання бюджетних коштів упродовж усього строку реалізації відповідних бюджетних програм у межах визначених бюджетних призначень. Результативні показники бюджетної програми використовуються для оцінки її ефективності і включають кількісні та якісні показники результатів виконання бюджетної програми, характеризують хід її реалізації, ступінь досягнення поставленої мети та виконання завдань бюджетної програми. На всіх стадіях бюджетного процесу здійснюється оцінка ефективності бюджетних програм, що передбачає моніторинг, аналіз та контроль за цільовим та ефективним використанням бюджетних коштів. Інформаційний </w:t>
      </w:r>
      <w:r w:rsidRPr="00984A98">
        <w:rPr>
          <w:rFonts w:ascii="Times New Roman" w:hAnsi="Times New Roman"/>
          <w:color w:val="000000"/>
          <w:sz w:val="21"/>
          <w:szCs w:val="21"/>
          <w:lang w:val="uk-UA"/>
        </w:rPr>
        <w:lastRenderedPageBreak/>
        <w:t>підхід передбачає ефективне використання інформаційних потоків для здійснення фінансово-господарської діяльності і розглядається як сукупність процесів одержання, пошуку та розповсюдження інформації, вирішення проблем її доступності та ефективного використання.</w:t>
      </w:r>
      <w:r w:rsidRPr="00984A98">
        <w:rPr>
          <w:rFonts w:ascii="Times New Roman" w:hAnsi="Times New Roman"/>
          <w:sz w:val="21"/>
          <w:szCs w:val="21"/>
          <w:lang w:val="uk-UA"/>
        </w:rPr>
        <w:t xml:space="preserve"> Комплексний підхід поєднує всі вищезазначені підходи. Цей підхід забезпечує погодження та інтеграцію усіх рішень з питань фінансово-господарської діяльності з позиції різних галузей знань і різнопланового досвіду.</w:t>
      </w:r>
    </w:p>
    <w:p w:rsidR="00B20650" w:rsidRDefault="00B20650" w:rsidP="00B20650">
      <w:pPr>
        <w:ind w:firstLine="709"/>
        <w:jc w:val="both"/>
        <w:rPr>
          <w:rFonts w:ascii="Times New Roman" w:hAnsi="Times New Roman"/>
          <w:sz w:val="21"/>
          <w:szCs w:val="21"/>
        </w:rPr>
      </w:pPr>
      <w:r w:rsidRPr="00984A98">
        <w:rPr>
          <w:rFonts w:ascii="Times New Roman" w:hAnsi="Times New Roman"/>
          <w:sz w:val="21"/>
          <w:szCs w:val="21"/>
        </w:rPr>
        <w:t xml:space="preserve">Схема механізму управління фінансово-господарською діяльністю вищого навчального закладу наведена на рис. </w:t>
      </w:r>
      <w:r w:rsidR="00FC1FAF">
        <w:rPr>
          <w:rFonts w:ascii="Times New Roman" w:hAnsi="Times New Roman"/>
          <w:sz w:val="21"/>
          <w:szCs w:val="21"/>
        </w:rPr>
        <w:t>7</w:t>
      </w:r>
      <w:r w:rsidRPr="00984A98">
        <w:rPr>
          <w:rFonts w:ascii="Times New Roman" w:hAnsi="Times New Roman"/>
          <w:sz w:val="21"/>
          <w:szCs w:val="21"/>
        </w:rPr>
        <w:t>.</w:t>
      </w:r>
      <w:r w:rsidR="00FC1FAF">
        <w:rPr>
          <w:rFonts w:ascii="Times New Roman" w:hAnsi="Times New Roman"/>
          <w:sz w:val="21"/>
          <w:szCs w:val="21"/>
        </w:rPr>
        <w:t>2</w:t>
      </w:r>
      <w:r w:rsidRPr="00984A98">
        <w:rPr>
          <w:rFonts w:ascii="Times New Roman" w:hAnsi="Times New Roman"/>
          <w:sz w:val="21"/>
          <w:szCs w:val="21"/>
        </w:rPr>
        <w:t>.</w:t>
      </w:r>
    </w:p>
    <w:p w:rsidR="00197F22" w:rsidRDefault="00197F22" w:rsidP="00B20650">
      <w:pPr>
        <w:ind w:firstLine="709"/>
        <w:jc w:val="both"/>
        <w:rPr>
          <w:rFonts w:ascii="Times New Roman" w:hAnsi="Times New Roman"/>
          <w:sz w:val="21"/>
          <w:szCs w:val="21"/>
        </w:rPr>
      </w:pPr>
    </w:p>
    <w:p w:rsidR="00FC1FAF" w:rsidRDefault="00197F22" w:rsidP="00B20650">
      <w:pPr>
        <w:ind w:firstLine="709"/>
        <w:jc w:val="both"/>
        <w:rPr>
          <w:rFonts w:ascii="Times New Roman" w:hAnsi="Times New Roman"/>
          <w:sz w:val="21"/>
          <w:szCs w:val="21"/>
        </w:rPr>
      </w:pPr>
      <w:r>
        <w:rPr>
          <w:noProof/>
          <w:sz w:val="28"/>
          <w:szCs w:val="28"/>
          <w:lang w:val="ru-RU" w:eastAsia="ru-RU"/>
        </w:rPr>
        <mc:AlternateContent>
          <mc:Choice Requires="wpg">
            <w:drawing>
              <wp:anchor distT="0" distB="0" distL="114300" distR="114300" simplePos="0" relativeHeight="251738112" behindDoc="0" locked="0" layoutInCell="1" allowOverlap="1" wp14:anchorId="2F69E795" wp14:editId="0CE5FBF9">
                <wp:simplePos x="0" y="0"/>
                <wp:positionH relativeFrom="column">
                  <wp:posOffset>22860</wp:posOffset>
                </wp:positionH>
                <wp:positionV relativeFrom="paragraph">
                  <wp:posOffset>117475</wp:posOffset>
                </wp:positionV>
                <wp:extent cx="3895725" cy="2800350"/>
                <wp:effectExtent l="0" t="0" r="28575" b="19050"/>
                <wp:wrapNone/>
                <wp:docPr id="1857" name="Group 7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95725" cy="2800350"/>
                          <a:chOff x="1874" y="1698"/>
                          <a:chExt cx="9510" cy="5993"/>
                        </a:xfrm>
                      </wpg:grpSpPr>
                      <wps:wsp>
                        <wps:cNvPr id="1858" name="AutoShape 704"/>
                        <wps:cNvCnPr>
                          <a:cxnSpLocks noChangeShapeType="1"/>
                        </wps:cNvCnPr>
                        <wps:spPr bwMode="auto">
                          <a:xfrm>
                            <a:off x="1874" y="2456"/>
                            <a:ext cx="0" cy="52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59" name="AutoShape 705"/>
                        <wps:cNvCnPr>
                          <a:cxnSpLocks noChangeShapeType="1"/>
                        </wps:cNvCnPr>
                        <wps:spPr bwMode="auto">
                          <a:xfrm>
                            <a:off x="1874" y="7691"/>
                            <a:ext cx="95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860" name="Group 706"/>
                        <wpg:cNvGrpSpPr>
                          <a:grpSpLocks/>
                        </wpg:cNvGrpSpPr>
                        <wpg:grpSpPr bwMode="auto">
                          <a:xfrm>
                            <a:off x="1874" y="1698"/>
                            <a:ext cx="9510" cy="5993"/>
                            <a:chOff x="1874" y="1698"/>
                            <a:chExt cx="9510" cy="5993"/>
                          </a:xfrm>
                        </wpg:grpSpPr>
                        <wps:wsp>
                          <wps:cNvPr id="1861" name="Text Box 707"/>
                          <wps:cNvSpPr txBox="1">
                            <a:spLocks noChangeArrowheads="1"/>
                          </wps:cNvSpPr>
                          <wps:spPr bwMode="auto">
                            <a:xfrm>
                              <a:off x="3029" y="3107"/>
                              <a:ext cx="3330" cy="675"/>
                            </a:xfrm>
                            <a:prstGeom prst="rect">
                              <a:avLst/>
                            </a:prstGeom>
                            <a:solidFill>
                              <a:srgbClr val="FFFFFF"/>
                            </a:solidFill>
                            <a:ln w="9525">
                              <a:solidFill>
                                <a:srgbClr val="000000"/>
                              </a:solidFill>
                              <a:miter lim="800000"/>
                              <a:headEnd/>
                              <a:tailEnd/>
                            </a:ln>
                          </wps:spPr>
                          <wps:txbx>
                            <w:txbxContent>
                              <w:p w:rsidR="00BE40F8" w:rsidRPr="005A258D" w:rsidRDefault="00BE40F8" w:rsidP="00FC1FAF">
                                <w:pPr>
                                  <w:ind w:firstLine="0"/>
                                  <w:jc w:val="center"/>
                                  <w:rPr>
                                    <w:rFonts w:ascii="Times New Roman" w:hAnsi="Times New Roman"/>
                                    <w:sz w:val="16"/>
                                    <w:szCs w:val="16"/>
                                  </w:rPr>
                                </w:pPr>
                                <w:r w:rsidRPr="005A258D">
                                  <w:rPr>
                                    <w:rFonts w:ascii="Times New Roman" w:hAnsi="Times New Roman"/>
                                    <w:sz w:val="16"/>
                                    <w:szCs w:val="16"/>
                                  </w:rPr>
                                  <w:t>Мета – економічний розвиток ВНЗ</w:t>
                                </w:r>
                              </w:p>
                            </w:txbxContent>
                          </wps:txbx>
                          <wps:bodyPr rot="0" vert="horz" wrap="square" lIns="91440" tIns="45720" rIns="91440" bIns="45720" anchor="t" anchorCtr="0" upright="1">
                            <a:noAutofit/>
                          </wps:bodyPr>
                        </wps:wsp>
                        <wps:wsp>
                          <wps:cNvPr id="1862" name="Text Box 708"/>
                          <wps:cNvSpPr txBox="1">
                            <a:spLocks noChangeArrowheads="1"/>
                          </wps:cNvSpPr>
                          <wps:spPr bwMode="auto">
                            <a:xfrm>
                              <a:off x="7094" y="3107"/>
                              <a:ext cx="3330" cy="675"/>
                            </a:xfrm>
                            <a:prstGeom prst="rect">
                              <a:avLst/>
                            </a:prstGeom>
                            <a:solidFill>
                              <a:srgbClr val="FFFFFF"/>
                            </a:solidFill>
                            <a:ln w="9525">
                              <a:solidFill>
                                <a:srgbClr val="000000"/>
                              </a:solidFill>
                              <a:miter lim="800000"/>
                              <a:headEnd/>
                              <a:tailEnd/>
                            </a:ln>
                          </wps:spPr>
                          <wps:txbx>
                            <w:txbxContent>
                              <w:p w:rsidR="00BE40F8" w:rsidRPr="005A258D" w:rsidRDefault="00BE40F8" w:rsidP="00FC1FAF">
                                <w:pPr>
                                  <w:ind w:firstLine="0"/>
                                  <w:jc w:val="center"/>
                                  <w:rPr>
                                    <w:rFonts w:ascii="Times New Roman" w:hAnsi="Times New Roman"/>
                                    <w:sz w:val="16"/>
                                    <w:szCs w:val="16"/>
                                  </w:rPr>
                                </w:pPr>
                                <w:r w:rsidRPr="005A258D">
                                  <w:rPr>
                                    <w:rFonts w:ascii="Times New Roman" w:hAnsi="Times New Roman"/>
                                    <w:sz w:val="16"/>
                                    <w:szCs w:val="16"/>
                                  </w:rPr>
                                  <w:t>Суб’єкти – адміністрація, трудовий колектив</w:t>
                                </w:r>
                              </w:p>
                            </w:txbxContent>
                          </wps:txbx>
                          <wps:bodyPr rot="0" vert="horz" wrap="square" lIns="91440" tIns="45720" rIns="91440" bIns="45720" anchor="t" anchorCtr="0" upright="1">
                            <a:noAutofit/>
                          </wps:bodyPr>
                        </wps:wsp>
                        <wps:wsp>
                          <wps:cNvPr id="1863" name="AutoShape 709"/>
                          <wps:cNvCnPr>
                            <a:cxnSpLocks noChangeShapeType="1"/>
                          </wps:cNvCnPr>
                          <wps:spPr bwMode="auto">
                            <a:xfrm>
                              <a:off x="6359" y="3437"/>
                              <a:ext cx="73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g:grpSp>
                          <wpg:cNvPr id="1864" name="Group 710"/>
                          <wpg:cNvGrpSpPr>
                            <a:grpSpLocks/>
                          </wpg:cNvGrpSpPr>
                          <wpg:grpSpPr bwMode="auto">
                            <a:xfrm>
                              <a:off x="1874" y="1698"/>
                              <a:ext cx="9510" cy="5993"/>
                              <a:chOff x="1874" y="1698"/>
                              <a:chExt cx="9510" cy="5993"/>
                            </a:xfrm>
                          </wpg:grpSpPr>
                          <wps:wsp>
                            <wps:cNvPr id="1865" name="AutoShape 711"/>
                            <wps:cNvCnPr>
                              <a:cxnSpLocks noChangeShapeType="1"/>
                            </wps:cNvCnPr>
                            <wps:spPr bwMode="auto">
                              <a:xfrm>
                                <a:off x="1874" y="2471"/>
                                <a:ext cx="95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866" name="Group 712"/>
                            <wpg:cNvGrpSpPr>
                              <a:grpSpLocks/>
                            </wpg:cNvGrpSpPr>
                            <wpg:grpSpPr bwMode="auto">
                              <a:xfrm>
                                <a:off x="1958" y="1698"/>
                                <a:ext cx="9426" cy="5993"/>
                                <a:chOff x="1958" y="1698"/>
                                <a:chExt cx="9426" cy="5993"/>
                              </a:xfrm>
                            </wpg:grpSpPr>
                            <wps:wsp>
                              <wps:cNvPr id="1867" name="AutoShape 713"/>
                              <wps:cNvCnPr>
                                <a:cxnSpLocks noChangeShapeType="1"/>
                              </wps:cNvCnPr>
                              <wps:spPr bwMode="auto">
                                <a:xfrm>
                                  <a:off x="2069" y="4757"/>
                                  <a:ext cx="9075"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868" name="Group 714"/>
                              <wpg:cNvGrpSpPr>
                                <a:grpSpLocks/>
                              </wpg:cNvGrpSpPr>
                              <wpg:grpSpPr bwMode="auto">
                                <a:xfrm>
                                  <a:off x="1958" y="1698"/>
                                  <a:ext cx="9426" cy="5993"/>
                                  <a:chOff x="1958" y="1698"/>
                                  <a:chExt cx="9426" cy="5993"/>
                                </a:xfrm>
                              </wpg:grpSpPr>
                              <wps:wsp>
                                <wps:cNvPr id="1869" name="Text Box 715"/>
                                <wps:cNvSpPr txBox="1">
                                  <a:spLocks noChangeArrowheads="1"/>
                                </wps:cNvSpPr>
                                <wps:spPr bwMode="auto">
                                  <a:xfrm>
                                    <a:off x="2159" y="4067"/>
                                    <a:ext cx="1500" cy="465"/>
                                  </a:xfrm>
                                  <a:prstGeom prst="rect">
                                    <a:avLst/>
                                  </a:prstGeom>
                                  <a:solidFill>
                                    <a:srgbClr val="FFFFFF"/>
                                  </a:solidFill>
                                  <a:ln w="9525">
                                    <a:solidFill>
                                      <a:srgbClr val="000000"/>
                                    </a:solidFill>
                                    <a:miter lim="800000"/>
                                    <a:headEnd/>
                                    <a:tailEnd/>
                                  </a:ln>
                                </wps:spPr>
                                <wps:txbx>
                                  <w:txbxContent>
                                    <w:p w:rsidR="00BE40F8" w:rsidRPr="005A258D" w:rsidRDefault="00BE40F8" w:rsidP="00FC1FAF">
                                      <w:pPr>
                                        <w:ind w:firstLine="0"/>
                                        <w:jc w:val="center"/>
                                        <w:rPr>
                                          <w:rFonts w:ascii="Times New Roman" w:hAnsi="Times New Roman"/>
                                          <w:sz w:val="16"/>
                                          <w:szCs w:val="16"/>
                                        </w:rPr>
                                      </w:pPr>
                                      <w:r w:rsidRPr="005A258D">
                                        <w:rPr>
                                          <w:rFonts w:ascii="Times New Roman" w:hAnsi="Times New Roman"/>
                                          <w:sz w:val="16"/>
                                          <w:szCs w:val="16"/>
                                        </w:rPr>
                                        <w:t>Принципи</w:t>
                                      </w:r>
                                    </w:p>
                                  </w:txbxContent>
                                </wps:txbx>
                                <wps:bodyPr rot="0" vert="horz" wrap="square" lIns="0" tIns="0" rIns="0" bIns="0" anchor="t" anchorCtr="0" upright="1">
                                  <a:noAutofit/>
                                </wps:bodyPr>
                              </wps:wsp>
                              <wps:wsp>
                                <wps:cNvPr id="1870" name="Text Box 716"/>
                                <wps:cNvSpPr txBox="1">
                                  <a:spLocks noChangeArrowheads="1"/>
                                </wps:cNvSpPr>
                                <wps:spPr bwMode="auto">
                                  <a:xfrm>
                                    <a:off x="3794" y="4067"/>
                                    <a:ext cx="1365" cy="465"/>
                                  </a:xfrm>
                                  <a:prstGeom prst="rect">
                                    <a:avLst/>
                                  </a:prstGeom>
                                  <a:solidFill>
                                    <a:srgbClr val="FFFFFF"/>
                                  </a:solidFill>
                                  <a:ln w="9525">
                                    <a:solidFill>
                                      <a:srgbClr val="000000"/>
                                    </a:solidFill>
                                    <a:miter lim="800000"/>
                                    <a:headEnd/>
                                    <a:tailEnd/>
                                  </a:ln>
                                </wps:spPr>
                                <wps:txbx>
                                  <w:txbxContent>
                                    <w:p w:rsidR="00BE40F8" w:rsidRPr="005A258D" w:rsidRDefault="00BE40F8" w:rsidP="00FC1FAF">
                                      <w:pPr>
                                        <w:ind w:firstLine="0"/>
                                        <w:jc w:val="center"/>
                                        <w:rPr>
                                          <w:rFonts w:ascii="Times New Roman" w:hAnsi="Times New Roman"/>
                                          <w:sz w:val="16"/>
                                          <w:szCs w:val="16"/>
                                        </w:rPr>
                                      </w:pPr>
                                      <w:r w:rsidRPr="005A258D">
                                        <w:rPr>
                                          <w:rFonts w:ascii="Times New Roman" w:hAnsi="Times New Roman"/>
                                          <w:sz w:val="16"/>
                                          <w:szCs w:val="16"/>
                                        </w:rPr>
                                        <w:t>Функції</w:t>
                                      </w:r>
                                    </w:p>
                                  </w:txbxContent>
                                </wps:txbx>
                                <wps:bodyPr rot="0" vert="horz" wrap="square" lIns="91440" tIns="45720" rIns="91440" bIns="45720" anchor="t" anchorCtr="0" upright="1">
                                  <a:noAutofit/>
                                </wps:bodyPr>
                              </wps:wsp>
                              <wps:wsp>
                                <wps:cNvPr id="1871" name="Text Box 717"/>
                                <wps:cNvSpPr txBox="1">
                                  <a:spLocks noChangeArrowheads="1"/>
                                </wps:cNvSpPr>
                                <wps:spPr bwMode="auto">
                                  <a:xfrm>
                                    <a:off x="5309" y="4067"/>
                                    <a:ext cx="1125" cy="465"/>
                                  </a:xfrm>
                                  <a:prstGeom prst="rect">
                                    <a:avLst/>
                                  </a:prstGeom>
                                  <a:solidFill>
                                    <a:srgbClr val="FFFFFF"/>
                                  </a:solidFill>
                                  <a:ln w="9525">
                                    <a:solidFill>
                                      <a:srgbClr val="000000"/>
                                    </a:solidFill>
                                    <a:miter lim="800000"/>
                                    <a:headEnd/>
                                    <a:tailEnd/>
                                  </a:ln>
                                </wps:spPr>
                                <wps:txbx>
                                  <w:txbxContent>
                                    <w:p w:rsidR="00BE40F8" w:rsidRPr="005A258D" w:rsidRDefault="00BE40F8" w:rsidP="00FC1FAF">
                                      <w:pPr>
                                        <w:ind w:firstLine="0"/>
                                        <w:jc w:val="center"/>
                                        <w:rPr>
                                          <w:rFonts w:ascii="Times New Roman" w:hAnsi="Times New Roman"/>
                                          <w:sz w:val="16"/>
                                          <w:szCs w:val="16"/>
                                        </w:rPr>
                                      </w:pPr>
                                      <w:r w:rsidRPr="005A258D">
                                        <w:rPr>
                                          <w:rFonts w:ascii="Times New Roman" w:hAnsi="Times New Roman"/>
                                          <w:sz w:val="16"/>
                                          <w:szCs w:val="16"/>
                                        </w:rPr>
                                        <w:t>Методи</w:t>
                                      </w:r>
                                    </w:p>
                                  </w:txbxContent>
                                </wps:txbx>
                                <wps:bodyPr rot="0" vert="horz" wrap="square" lIns="0" tIns="0" rIns="0" bIns="0" anchor="t" anchorCtr="0" upright="1">
                                  <a:noAutofit/>
                                </wps:bodyPr>
                              </wps:wsp>
                              <wps:wsp>
                                <wps:cNvPr id="1872" name="Text Box 718"/>
                                <wps:cNvSpPr txBox="1">
                                  <a:spLocks noChangeArrowheads="1"/>
                                </wps:cNvSpPr>
                                <wps:spPr bwMode="auto">
                                  <a:xfrm>
                                    <a:off x="6569" y="4067"/>
                                    <a:ext cx="1710" cy="465"/>
                                  </a:xfrm>
                                  <a:prstGeom prst="rect">
                                    <a:avLst/>
                                  </a:prstGeom>
                                  <a:solidFill>
                                    <a:srgbClr val="FFFFFF"/>
                                  </a:solidFill>
                                  <a:ln w="9525">
                                    <a:solidFill>
                                      <a:srgbClr val="000000"/>
                                    </a:solidFill>
                                    <a:miter lim="800000"/>
                                    <a:headEnd/>
                                    <a:tailEnd/>
                                  </a:ln>
                                </wps:spPr>
                                <wps:txbx>
                                  <w:txbxContent>
                                    <w:p w:rsidR="00BE40F8" w:rsidRPr="005A258D" w:rsidRDefault="00BE40F8" w:rsidP="00FC1FAF">
                                      <w:pPr>
                                        <w:ind w:firstLine="0"/>
                                        <w:jc w:val="center"/>
                                        <w:rPr>
                                          <w:rFonts w:ascii="Times New Roman" w:hAnsi="Times New Roman"/>
                                          <w:sz w:val="16"/>
                                          <w:szCs w:val="16"/>
                                        </w:rPr>
                                      </w:pPr>
                                      <w:r w:rsidRPr="005A258D">
                                        <w:rPr>
                                          <w:rFonts w:ascii="Times New Roman" w:hAnsi="Times New Roman"/>
                                          <w:sz w:val="16"/>
                                          <w:szCs w:val="16"/>
                                        </w:rPr>
                                        <w:t>Інструменти</w:t>
                                      </w:r>
                                    </w:p>
                                  </w:txbxContent>
                                </wps:txbx>
                                <wps:bodyPr rot="0" vert="horz" wrap="square" lIns="0" tIns="0" rIns="0" bIns="0" anchor="t" anchorCtr="0" upright="1">
                                  <a:noAutofit/>
                                </wps:bodyPr>
                              </wps:wsp>
                              <wps:wsp>
                                <wps:cNvPr id="1873" name="Text Box 719"/>
                                <wps:cNvSpPr txBox="1">
                                  <a:spLocks noChangeArrowheads="1"/>
                                </wps:cNvSpPr>
                                <wps:spPr bwMode="auto">
                                  <a:xfrm>
                                    <a:off x="8414" y="4067"/>
                                    <a:ext cx="1245" cy="465"/>
                                  </a:xfrm>
                                  <a:prstGeom prst="rect">
                                    <a:avLst/>
                                  </a:prstGeom>
                                  <a:solidFill>
                                    <a:srgbClr val="FFFFFF"/>
                                  </a:solidFill>
                                  <a:ln w="9525">
                                    <a:solidFill>
                                      <a:srgbClr val="000000"/>
                                    </a:solidFill>
                                    <a:miter lim="800000"/>
                                    <a:headEnd/>
                                    <a:tailEnd/>
                                  </a:ln>
                                </wps:spPr>
                                <wps:txbx>
                                  <w:txbxContent>
                                    <w:p w:rsidR="00BE40F8" w:rsidRPr="005A258D" w:rsidRDefault="00BE40F8" w:rsidP="00FC1FAF">
                                      <w:pPr>
                                        <w:ind w:firstLine="0"/>
                                        <w:jc w:val="center"/>
                                        <w:rPr>
                                          <w:rFonts w:ascii="Times New Roman" w:hAnsi="Times New Roman"/>
                                          <w:sz w:val="16"/>
                                          <w:szCs w:val="16"/>
                                        </w:rPr>
                                      </w:pPr>
                                      <w:r w:rsidRPr="005A258D">
                                        <w:rPr>
                                          <w:rFonts w:ascii="Times New Roman" w:hAnsi="Times New Roman"/>
                                          <w:sz w:val="16"/>
                                          <w:szCs w:val="16"/>
                                        </w:rPr>
                                        <w:t>Критерії</w:t>
                                      </w:r>
                                    </w:p>
                                  </w:txbxContent>
                                </wps:txbx>
                                <wps:bodyPr rot="0" vert="horz" wrap="square" lIns="0" tIns="0" rIns="0" bIns="0" anchor="t" anchorCtr="0" upright="1">
                                  <a:noAutofit/>
                                </wps:bodyPr>
                              </wps:wsp>
                              <wps:wsp>
                                <wps:cNvPr id="1874" name="Text Box 720"/>
                                <wps:cNvSpPr txBox="1">
                                  <a:spLocks noChangeArrowheads="1"/>
                                </wps:cNvSpPr>
                                <wps:spPr bwMode="auto">
                                  <a:xfrm>
                                    <a:off x="9809" y="4067"/>
                                    <a:ext cx="1245" cy="465"/>
                                  </a:xfrm>
                                  <a:prstGeom prst="rect">
                                    <a:avLst/>
                                  </a:prstGeom>
                                  <a:solidFill>
                                    <a:srgbClr val="FFFFFF"/>
                                  </a:solidFill>
                                  <a:ln w="9525">
                                    <a:solidFill>
                                      <a:srgbClr val="000000"/>
                                    </a:solidFill>
                                    <a:miter lim="800000"/>
                                    <a:headEnd/>
                                    <a:tailEnd/>
                                  </a:ln>
                                </wps:spPr>
                                <wps:txbx>
                                  <w:txbxContent>
                                    <w:p w:rsidR="00BE40F8" w:rsidRPr="005A258D" w:rsidRDefault="00BE40F8" w:rsidP="00FC1FAF">
                                      <w:pPr>
                                        <w:ind w:firstLine="0"/>
                                        <w:rPr>
                                          <w:rFonts w:ascii="Times New Roman" w:hAnsi="Times New Roman"/>
                                          <w:sz w:val="16"/>
                                          <w:szCs w:val="16"/>
                                        </w:rPr>
                                      </w:pPr>
                                      <w:r w:rsidRPr="005A258D">
                                        <w:rPr>
                                          <w:rFonts w:ascii="Times New Roman" w:hAnsi="Times New Roman"/>
                                          <w:sz w:val="16"/>
                                          <w:szCs w:val="16"/>
                                        </w:rPr>
                                        <w:t>Важелі</w:t>
                                      </w:r>
                                    </w:p>
                                  </w:txbxContent>
                                </wps:txbx>
                                <wps:bodyPr rot="0" vert="horz" wrap="square" lIns="91440" tIns="45720" rIns="91440" bIns="45720" anchor="t" anchorCtr="0" upright="1">
                                  <a:noAutofit/>
                                </wps:bodyPr>
                              </wps:wsp>
                              <wps:wsp>
                                <wps:cNvPr id="1875" name="AutoShape 721"/>
                                <wps:cNvCnPr>
                                  <a:cxnSpLocks noChangeShapeType="1"/>
                                </wps:cNvCnPr>
                                <wps:spPr bwMode="auto">
                                  <a:xfrm>
                                    <a:off x="2069" y="2596"/>
                                    <a:ext cx="9075"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76" name="AutoShape 722"/>
                                <wps:cNvCnPr>
                                  <a:cxnSpLocks noChangeShapeType="1"/>
                                </wps:cNvCnPr>
                                <wps:spPr bwMode="auto">
                                  <a:xfrm>
                                    <a:off x="2069" y="2567"/>
                                    <a:ext cx="0" cy="2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877" name="Group 723"/>
                                <wpg:cNvGrpSpPr>
                                  <a:grpSpLocks/>
                                </wpg:cNvGrpSpPr>
                                <wpg:grpSpPr bwMode="auto">
                                  <a:xfrm>
                                    <a:off x="1958" y="1698"/>
                                    <a:ext cx="9426" cy="5993"/>
                                    <a:chOff x="1958" y="1698"/>
                                    <a:chExt cx="9426" cy="5993"/>
                                  </a:xfrm>
                                </wpg:grpSpPr>
                                <wps:wsp>
                                  <wps:cNvPr id="1878" name="Text Box 724"/>
                                  <wps:cNvSpPr txBox="1">
                                    <a:spLocks noChangeArrowheads="1"/>
                                  </wps:cNvSpPr>
                                  <wps:spPr bwMode="auto">
                                    <a:xfrm>
                                      <a:off x="1958" y="1698"/>
                                      <a:ext cx="9360" cy="585"/>
                                    </a:xfrm>
                                    <a:prstGeom prst="rect">
                                      <a:avLst/>
                                    </a:prstGeom>
                                    <a:solidFill>
                                      <a:srgbClr val="FFFFFF"/>
                                    </a:solidFill>
                                    <a:ln w="9525">
                                      <a:solidFill>
                                        <a:srgbClr val="000000"/>
                                      </a:solidFill>
                                      <a:miter lim="800000"/>
                                      <a:headEnd/>
                                      <a:tailEnd/>
                                    </a:ln>
                                  </wps:spPr>
                                  <wps:txbx>
                                    <w:txbxContent>
                                      <w:p w:rsidR="00BE40F8" w:rsidRPr="005A258D" w:rsidRDefault="00BE40F8" w:rsidP="00B20650">
                                        <w:pPr>
                                          <w:jc w:val="center"/>
                                          <w:rPr>
                                            <w:rFonts w:ascii="Times New Roman" w:hAnsi="Times New Roman"/>
                                            <w:sz w:val="16"/>
                                            <w:szCs w:val="16"/>
                                          </w:rPr>
                                        </w:pPr>
                                        <w:r w:rsidRPr="005A258D">
                                          <w:rPr>
                                            <w:rFonts w:ascii="Times New Roman" w:hAnsi="Times New Roman"/>
                                            <w:sz w:val="16"/>
                                            <w:szCs w:val="16"/>
                                          </w:rPr>
                                          <w:t>Зовнішнє середовище вищого навчального закладу</w:t>
                                        </w:r>
                                      </w:p>
                                    </w:txbxContent>
                                  </wps:txbx>
                                  <wps:bodyPr rot="0" vert="horz" wrap="square" lIns="91440" tIns="45720" rIns="91440" bIns="45720" anchor="t" anchorCtr="0" upright="1">
                                    <a:noAutofit/>
                                  </wps:bodyPr>
                                </wps:wsp>
                                <wps:wsp>
                                  <wps:cNvPr id="1879" name="Text Box 725"/>
                                  <wps:cNvSpPr txBox="1">
                                    <a:spLocks noChangeArrowheads="1"/>
                                  </wps:cNvSpPr>
                                  <wps:spPr bwMode="auto">
                                    <a:xfrm>
                                      <a:off x="4484" y="2627"/>
                                      <a:ext cx="4440" cy="4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40F8" w:rsidRPr="005A258D" w:rsidRDefault="00BE40F8" w:rsidP="00B20650">
                                        <w:pPr>
                                          <w:jc w:val="center"/>
                                          <w:rPr>
                                            <w:rFonts w:ascii="Times New Roman" w:hAnsi="Times New Roman"/>
                                            <w:b/>
                                            <w:sz w:val="16"/>
                                            <w:szCs w:val="16"/>
                                          </w:rPr>
                                        </w:pPr>
                                        <w:r w:rsidRPr="005A258D">
                                          <w:rPr>
                                            <w:rFonts w:ascii="Times New Roman" w:hAnsi="Times New Roman"/>
                                            <w:b/>
                                            <w:sz w:val="16"/>
                                            <w:szCs w:val="16"/>
                                          </w:rPr>
                                          <w:t>Керуюча підсистема</w:t>
                                        </w:r>
                                      </w:p>
                                    </w:txbxContent>
                                  </wps:txbx>
                                  <wps:bodyPr rot="0" vert="horz" wrap="square" lIns="91440" tIns="45720" rIns="91440" bIns="45720" anchor="t" anchorCtr="0" upright="1">
                                    <a:noAutofit/>
                                  </wps:bodyPr>
                                </wps:wsp>
                                <wps:wsp>
                                  <wps:cNvPr id="1880" name="AutoShape 726"/>
                                  <wps:cNvCnPr>
                                    <a:cxnSpLocks noChangeShapeType="1"/>
                                  </wps:cNvCnPr>
                                  <wps:spPr bwMode="auto">
                                    <a:xfrm flipH="1">
                                      <a:off x="11144" y="2567"/>
                                      <a:ext cx="15" cy="2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1" name="Text Box 727"/>
                                  <wps:cNvSpPr txBox="1">
                                    <a:spLocks noChangeArrowheads="1"/>
                                  </wps:cNvSpPr>
                                  <wps:spPr bwMode="auto">
                                    <a:xfrm>
                                      <a:off x="3578" y="5657"/>
                                      <a:ext cx="5940" cy="594"/>
                                    </a:xfrm>
                                    <a:prstGeom prst="rect">
                                      <a:avLst/>
                                    </a:prstGeom>
                                    <a:solidFill>
                                      <a:srgbClr val="FFFFFF"/>
                                    </a:solidFill>
                                    <a:ln w="9525">
                                      <a:solidFill>
                                        <a:srgbClr val="000000"/>
                                      </a:solidFill>
                                      <a:miter lim="800000"/>
                                      <a:headEnd/>
                                      <a:tailEnd/>
                                    </a:ln>
                                  </wps:spPr>
                                  <wps:txbx>
                                    <w:txbxContent>
                                      <w:p w:rsidR="00BE40F8" w:rsidRPr="005A258D" w:rsidRDefault="00BE40F8" w:rsidP="00FC1FAF">
                                        <w:pPr>
                                          <w:ind w:firstLine="0"/>
                                          <w:jc w:val="center"/>
                                          <w:rPr>
                                            <w:rFonts w:ascii="Times New Roman" w:hAnsi="Times New Roman"/>
                                            <w:sz w:val="16"/>
                                            <w:szCs w:val="16"/>
                                          </w:rPr>
                                        </w:pPr>
                                        <w:r w:rsidRPr="005A258D">
                                          <w:rPr>
                                            <w:rFonts w:ascii="Times New Roman" w:hAnsi="Times New Roman"/>
                                            <w:sz w:val="16"/>
                                            <w:szCs w:val="16"/>
                                          </w:rPr>
                                          <w:t>Об’єкт – фінансово-господарська діяльність ВНЗ</w:t>
                                        </w:r>
                                      </w:p>
                                    </w:txbxContent>
                                  </wps:txbx>
                                  <wps:bodyPr rot="0" vert="horz" wrap="square" lIns="91440" tIns="45720" rIns="91440" bIns="45720" anchor="t" anchorCtr="0" upright="1">
                                    <a:noAutofit/>
                                  </wps:bodyPr>
                                </wps:wsp>
                                <wps:wsp>
                                  <wps:cNvPr id="1882" name="Text Box 728"/>
                                  <wps:cNvSpPr txBox="1">
                                    <a:spLocks noChangeArrowheads="1"/>
                                  </wps:cNvSpPr>
                                  <wps:spPr bwMode="auto">
                                    <a:xfrm>
                                      <a:off x="4799" y="6431"/>
                                      <a:ext cx="3405" cy="435"/>
                                    </a:xfrm>
                                    <a:prstGeom prst="rect">
                                      <a:avLst/>
                                    </a:prstGeom>
                                    <a:solidFill>
                                      <a:srgbClr val="FFFFFF"/>
                                    </a:solidFill>
                                    <a:ln w="9525">
                                      <a:solidFill>
                                        <a:srgbClr val="000000"/>
                                      </a:solidFill>
                                      <a:miter lim="800000"/>
                                      <a:headEnd/>
                                      <a:tailEnd/>
                                    </a:ln>
                                  </wps:spPr>
                                  <wps:txbx>
                                    <w:txbxContent>
                                      <w:p w:rsidR="00BE40F8" w:rsidRPr="005A258D" w:rsidRDefault="00BE40F8" w:rsidP="00FC1FAF">
                                        <w:pPr>
                                          <w:ind w:firstLine="0"/>
                                          <w:jc w:val="center"/>
                                          <w:rPr>
                                            <w:rFonts w:ascii="Times New Roman" w:hAnsi="Times New Roman"/>
                                            <w:sz w:val="16"/>
                                            <w:szCs w:val="16"/>
                                          </w:rPr>
                                        </w:pPr>
                                        <w:r w:rsidRPr="005A258D">
                                          <w:rPr>
                                            <w:rFonts w:ascii="Times New Roman" w:hAnsi="Times New Roman"/>
                                            <w:sz w:val="16"/>
                                            <w:szCs w:val="16"/>
                                          </w:rPr>
                                          <w:t>Показники діяльності</w:t>
                                        </w:r>
                                      </w:p>
                                    </w:txbxContent>
                                  </wps:txbx>
                                  <wps:bodyPr rot="0" vert="horz" wrap="square" lIns="91440" tIns="45720" rIns="91440" bIns="45720" anchor="t" anchorCtr="0" upright="1">
                                    <a:noAutofit/>
                                  </wps:bodyPr>
                                </wps:wsp>
                                <wps:wsp>
                                  <wps:cNvPr id="1883" name="AutoShape 729"/>
                                  <wps:cNvCnPr>
                                    <a:cxnSpLocks noChangeShapeType="1"/>
                                  </wps:cNvCnPr>
                                  <wps:spPr bwMode="auto">
                                    <a:xfrm>
                                      <a:off x="2039" y="5117"/>
                                      <a:ext cx="91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4" name="AutoShape 730"/>
                                  <wps:cNvCnPr>
                                    <a:cxnSpLocks noChangeShapeType="1"/>
                                  </wps:cNvCnPr>
                                  <wps:spPr bwMode="auto">
                                    <a:xfrm>
                                      <a:off x="2054" y="5117"/>
                                      <a:ext cx="0" cy="20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5" name="AutoShape 731"/>
                                  <wps:cNvCnPr>
                                    <a:cxnSpLocks noChangeShapeType="1"/>
                                  </wps:cNvCnPr>
                                  <wps:spPr bwMode="auto">
                                    <a:xfrm>
                                      <a:off x="11144" y="5117"/>
                                      <a:ext cx="0" cy="20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6" name="AutoShape 732"/>
                                  <wps:cNvCnPr>
                                    <a:cxnSpLocks noChangeShapeType="1"/>
                                  </wps:cNvCnPr>
                                  <wps:spPr bwMode="auto">
                                    <a:xfrm>
                                      <a:off x="2048" y="7151"/>
                                      <a:ext cx="9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7" name="AutoShape 733"/>
                                  <wps:cNvCnPr>
                                    <a:cxnSpLocks noChangeShapeType="1"/>
                                  </wps:cNvCnPr>
                                  <wps:spPr bwMode="auto">
                                    <a:xfrm>
                                      <a:off x="11384" y="2456"/>
                                      <a:ext cx="0" cy="52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8" name="Text Box 734"/>
                                  <wps:cNvSpPr txBox="1">
                                    <a:spLocks noChangeArrowheads="1"/>
                                  </wps:cNvSpPr>
                                  <wps:spPr bwMode="auto">
                                    <a:xfrm>
                                      <a:off x="2069" y="7278"/>
                                      <a:ext cx="9090" cy="4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E40F8" w:rsidRPr="005A258D" w:rsidRDefault="00BE40F8" w:rsidP="00FC1FAF">
                                        <w:pPr>
                                          <w:spacing w:line="192" w:lineRule="auto"/>
                                          <w:ind w:firstLine="0"/>
                                          <w:jc w:val="center"/>
                                          <w:rPr>
                                            <w:rFonts w:ascii="Times New Roman" w:hAnsi="Times New Roman"/>
                                            <w:sz w:val="16"/>
                                            <w:szCs w:val="16"/>
                                          </w:rPr>
                                        </w:pPr>
                                        <w:r w:rsidRPr="005A258D">
                                          <w:rPr>
                                            <w:rFonts w:ascii="Times New Roman" w:hAnsi="Times New Roman"/>
                                            <w:sz w:val="16"/>
                                            <w:szCs w:val="16"/>
                                          </w:rPr>
                                          <w:t>Внутрішнє середовище вищого навчального закладу</w:t>
                                        </w:r>
                                      </w:p>
                                    </w:txbxContent>
                                  </wps:txbx>
                                  <wps:bodyPr rot="0" vert="horz" wrap="square" lIns="91440" tIns="45720" rIns="91440" bIns="45720" anchor="t" anchorCtr="0" upright="1">
                                    <a:noAutofit/>
                                  </wps:bodyPr>
                                </wps:wsp>
                                <wps:wsp>
                                  <wps:cNvPr id="1889" name="AutoShape 735"/>
                                  <wps:cNvSpPr>
                                    <a:spLocks noChangeArrowheads="1"/>
                                  </wps:cNvSpPr>
                                  <wps:spPr bwMode="auto">
                                    <a:xfrm>
                                      <a:off x="6638" y="2291"/>
                                      <a:ext cx="180" cy="18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1890" name="AutoShape 736"/>
                                  <wps:cNvSpPr>
                                    <a:spLocks noChangeArrowheads="1"/>
                                  </wps:cNvSpPr>
                                  <wps:spPr bwMode="auto">
                                    <a:xfrm>
                                      <a:off x="6458" y="4757"/>
                                      <a:ext cx="360" cy="36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g:grpSp>
                            </wpg:grpSp>
                          </wpg:grpSp>
                        </wpg:grpSp>
                      </wpg:grpSp>
                    </wpg:wgp>
                  </a:graphicData>
                </a:graphic>
                <wp14:sizeRelH relativeFrom="page">
                  <wp14:pctWidth>0</wp14:pctWidth>
                </wp14:sizeRelH>
                <wp14:sizeRelV relativeFrom="page">
                  <wp14:pctHeight>0</wp14:pctHeight>
                </wp14:sizeRelV>
              </wp:anchor>
            </w:drawing>
          </mc:Choice>
          <mc:Fallback>
            <w:pict>
              <v:group w14:anchorId="2F69E795" id="Group 703" o:spid="_x0000_s2407" style="position:absolute;left:0;text-align:left;margin-left:1.8pt;margin-top:9.25pt;width:306.75pt;height:220.5pt;z-index:251738112;mso-position-horizontal-relative:text;mso-position-vertical-relative:text" coordorigin="1874,1698" coordsize="9510,59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">
                <v:shape id="AutoShape 704" o:spid="_x0000_s2408" type="#_x0000_t32" style="position:absolute;left:1874;top:2456;width:0;height:5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"/>
                <v:shape id="AutoShape 705" o:spid="_x0000_s2409" type="#_x0000_t32" style="position:absolute;left:1874;top:7691;width:95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"/>
                <v:group id="Group 706" o:spid="_x0000_s2410" style="position:absolute;left:1874;top:1698;width:9510;height:5993" coordorigin="1874,1698" coordsize="9510,5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">
                  <v:shape id="Text Box 707" o:spid="_x0000_s2411" type="#_x0000_t202" style="position:absolute;left:3029;top:3107;width:3330;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">
                    <v:textbox>
                      <w:txbxContent>
                        <w:p w:rsidR="00BE40F8" w:rsidRPr="005A258D" w:rsidRDefault="00BE40F8" w:rsidP="00FC1FAF">
                          <w:pPr>
                            <w:ind w:firstLine="0"/>
                            <w:jc w:val="center"/>
                            <w:rPr>
                              <w:rFonts w:ascii="Times New Roman" w:hAnsi="Times New Roman"/>
                              <w:sz w:val="16"/>
                              <w:szCs w:val="16"/>
                            </w:rPr>
                          </w:pPr>
                          <w:r w:rsidRPr="005A258D">
                            <w:rPr>
                              <w:rFonts w:ascii="Times New Roman" w:hAnsi="Times New Roman"/>
                              <w:sz w:val="16"/>
                              <w:szCs w:val="16"/>
                            </w:rPr>
                            <w:t>Мета – економічний розвиток ВНЗ</w:t>
                          </w:r>
                        </w:p>
                      </w:txbxContent>
                    </v:textbox>
                  </v:shape>
                  <v:shape id="Text Box 708" o:spid="_x0000_s2412" type="#_x0000_t202" style="position:absolute;left:7094;top:3107;width:3330;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">
                    <v:textbox>
                      <w:txbxContent>
                        <w:p w:rsidR="00BE40F8" w:rsidRPr="005A258D" w:rsidRDefault="00BE40F8" w:rsidP="00FC1FAF">
                          <w:pPr>
                            <w:ind w:firstLine="0"/>
                            <w:jc w:val="center"/>
                            <w:rPr>
                              <w:rFonts w:ascii="Times New Roman" w:hAnsi="Times New Roman"/>
                              <w:sz w:val="16"/>
                              <w:szCs w:val="16"/>
                            </w:rPr>
                          </w:pPr>
                          <w:r w:rsidRPr="005A258D">
                            <w:rPr>
                              <w:rFonts w:ascii="Times New Roman" w:hAnsi="Times New Roman"/>
                              <w:sz w:val="16"/>
                              <w:szCs w:val="16"/>
                            </w:rPr>
                            <w:t>Суб’єкти – адміністрація, трудовий колектив</w:t>
                          </w:r>
                        </w:p>
                      </w:txbxContent>
                    </v:textbox>
                  </v:shape>
                  <v:shape id="AutoShape 709" o:spid="_x0000_s2413" type="#_x0000_t32" style="position:absolute;left:6359;top:3437;width:73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">
                    <v:stroke startarrow="block" endarrow="block"/>
                  </v:shape>
                  <v:group id="Group 710" o:spid="_x0000_s2414" style="position:absolute;left:1874;top:1698;width:9510;height:5993" coordorigin="1874,1698" coordsize="9510,5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">
                    <v:shape id="AutoShape 711" o:spid="_x0000_s2415" type="#_x0000_t32" style="position:absolute;left:1874;top:2471;width:95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"/>
                    <v:group id="Group 712" o:spid="_x0000_s2416" style="position:absolute;left:1958;top:1698;width:9426;height:5993" coordorigin="1958,1698" coordsize="9426,5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">
                      <v:shape id="AutoShape 713" o:spid="_x0000_s2417" type="#_x0000_t32" style="position:absolute;left:2069;top:4757;width:9075;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"/>
                      <v:group id="Group 714" o:spid="_x0000_s2418" style="position:absolute;left:1958;top:1698;width:9426;height:5993" coordorigin="1958,1698" coordsize="9426,5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">
                        <v:shape id="Text Box 715" o:spid="_x0000_s2419" type="#_x0000_t202" style="position:absolute;left:2159;top:4067;width:1500;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">
                          <v:textbox inset="0,0,0,0">
                            <w:txbxContent>
                              <w:p w:rsidR="00BE40F8" w:rsidRPr="005A258D" w:rsidRDefault="00BE40F8" w:rsidP="00FC1FAF">
                                <w:pPr>
                                  <w:ind w:firstLine="0"/>
                                  <w:jc w:val="center"/>
                                  <w:rPr>
                                    <w:rFonts w:ascii="Times New Roman" w:hAnsi="Times New Roman"/>
                                    <w:sz w:val="16"/>
                                    <w:szCs w:val="16"/>
                                  </w:rPr>
                                </w:pPr>
                                <w:r w:rsidRPr="005A258D">
                                  <w:rPr>
                                    <w:rFonts w:ascii="Times New Roman" w:hAnsi="Times New Roman"/>
                                    <w:sz w:val="16"/>
                                    <w:szCs w:val="16"/>
                                  </w:rPr>
                                  <w:t>Принципи</w:t>
                                </w:r>
                              </w:p>
                            </w:txbxContent>
                          </v:textbox>
                        </v:shape>
                        <v:shape id="Text Box 716" o:spid="_x0000_s2420" type="#_x0000_t202" style="position:absolute;left:3794;top:4067;width:136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">
                          <v:textbox>
                            <w:txbxContent>
                              <w:p w:rsidR="00BE40F8" w:rsidRPr="005A258D" w:rsidRDefault="00BE40F8" w:rsidP="00FC1FAF">
                                <w:pPr>
                                  <w:ind w:firstLine="0"/>
                                  <w:jc w:val="center"/>
                                  <w:rPr>
                                    <w:rFonts w:ascii="Times New Roman" w:hAnsi="Times New Roman"/>
                                    <w:sz w:val="16"/>
                                    <w:szCs w:val="16"/>
                                  </w:rPr>
                                </w:pPr>
                                <w:r w:rsidRPr="005A258D">
                                  <w:rPr>
                                    <w:rFonts w:ascii="Times New Roman" w:hAnsi="Times New Roman"/>
                                    <w:sz w:val="16"/>
                                    <w:szCs w:val="16"/>
                                  </w:rPr>
                                  <w:t>Функції</w:t>
                                </w:r>
                              </w:p>
                            </w:txbxContent>
                          </v:textbox>
                        </v:shape>
                        <v:shape id="Text Box 717" o:spid="_x0000_s2421" type="#_x0000_t202" style="position:absolute;left:5309;top:4067;width:112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">
                          <v:textbox inset="0,0,0,0">
                            <w:txbxContent>
                              <w:p w:rsidR="00BE40F8" w:rsidRPr="005A258D" w:rsidRDefault="00BE40F8" w:rsidP="00FC1FAF">
                                <w:pPr>
                                  <w:ind w:firstLine="0"/>
                                  <w:jc w:val="center"/>
                                  <w:rPr>
                                    <w:rFonts w:ascii="Times New Roman" w:hAnsi="Times New Roman"/>
                                    <w:sz w:val="16"/>
                                    <w:szCs w:val="16"/>
                                  </w:rPr>
                                </w:pPr>
                                <w:r w:rsidRPr="005A258D">
                                  <w:rPr>
                                    <w:rFonts w:ascii="Times New Roman" w:hAnsi="Times New Roman"/>
                                    <w:sz w:val="16"/>
                                    <w:szCs w:val="16"/>
                                  </w:rPr>
                                  <w:t>Методи</w:t>
                                </w:r>
                              </w:p>
                            </w:txbxContent>
                          </v:textbox>
                        </v:shape>
                        <v:shape id="Text Box 718" o:spid="_x0000_s2422" type="#_x0000_t202" style="position:absolute;left:6569;top:4067;width:1710;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">
                          <v:textbox inset="0,0,0,0">
                            <w:txbxContent>
                              <w:p w:rsidR="00BE40F8" w:rsidRPr="005A258D" w:rsidRDefault="00BE40F8" w:rsidP="00FC1FAF">
                                <w:pPr>
                                  <w:ind w:firstLine="0"/>
                                  <w:jc w:val="center"/>
                                  <w:rPr>
                                    <w:rFonts w:ascii="Times New Roman" w:hAnsi="Times New Roman"/>
                                    <w:sz w:val="16"/>
                                    <w:szCs w:val="16"/>
                                  </w:rPr>
                                </w:pPr>
                                <w:r w:rsidRPr="005A258D">
                                  <w:rPr>
                                    <w:rFonts w:ascii="Times New Roman" w:hAnsi="Times New Roman"/>
                                    <w:sz w:val="16"/>
                                    <w:szCs w:val="16"/>
                                  </w:rPr>
                                  <w:t>Інструменти</w:t>
                                </w:r>
                              </w:p>
                            </w:txbxContent>
                          </v:textbox>
                        </v:shape>
                        <v:shape id="Text Box 719" o:spid="_x0000_s2423" type="#_x0000_t202" style="position:absolute;left:8414;top:4067;width:124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">
                          <v:textbox inset="0,0,0,0">
                            <w:txbxContent>
                              <w:p w:rsidR="00BE40F8" w:rsidRPr="005A258D" w:rsidRDefault="00BE40F8" w:rsidP="00FC1FAF">
                                <w:pPr>
                                  <w:ind w:firstLine="0"/>
                                  <w:jc w:val="center"/>
                                  <w:rPr>
                                    <w:rFonts w:ascii="Times New Roman" w:hAnsi="Times New Roman"/>
                                    <w:sz w:val="16"/>
                                    <w:szCs w:val="16"/>
                                  </w:rPr>
                                </w:pPr>
                                <w:r w:rsidRPr="005A258D">
                                  <w:rPr>
                                    <w:rFonts w:ascii="Times New Roman" w:hAnsi="Times New Roman"/>
                                    <w:sz w:val="16"/>
                                    <w:szCs w:val="16"/>
                                  </w:rPr>
                                  <w:t>Критерії</w:t>
                                </w:r>
                              </w:p>
                            </w:txbxContent>
                          </v:textbox>
                        </v:shape>
                        <v:shape id="Text Box 720" o:spid="_x0000_s2424" type="#_x0000_t202" style="position:absolute;left:9809;top:4067;width:124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">
                          <v:textbox>
                            <w:txbxContent>
                              <w:p w:rsidR="00BE40F8" w:rsidRPr="005A258D" w:rsidRDefault="00BE40F8" w:rsidP="00FC1FAF">
                                <w:pPr>
                                  <w:ind w:firstLine="0"/>
                                  <w:rPr>
                                    <w:rFonts w:ascii="Times New Roman" w:hAnsi="Times New Roman"/>
                                    <w:sz w:val="16"/>
                                    <w:szCs w:val="16"/>
                                  </w:rPr>
                                </w:pPr>
                                <w:r w:rsidRPr="005A258D">
                                  <w:rPr>
                                    <w:rFonts w:ascii="Times New Roman" w:hAnsi="Times New Roman"/>
                                    <w:sz w:val="16"/>
                                    <w:szCs w:val="16"/>
                                  </w:rPr>
                                  <w:t>Важелі</w:t>
                                </w:r>
                              </w:p>
                            </w:txbxContent>
                          </v:textbox>
                        </v:shape>
                        <v:shape id="AutoShape 721" o:spid="_x0000_s2425" type="#_x0000_t32" style="position:absolute;left:2069;top:2596;width:9075;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"/>
                        <v:shape id="AutoShape 722" o:spid="_x0000_s2426" type="#_x0000_t32" style="position:absolute;left:2069;top:2567;width:0;height:2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"/>
                        <v:group id="Group 723" o:spid="_x0000_s2427" style="position:absolute;left:1958;top:1698;width:9426;height:5993" coordorigin="1958,1698" coordsize="9426,5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">
                          <v:shape id="Text Box 724" o:spid="_x0000_s2428" type="#_x0000_t202" style="position:absolute;left:1958;top:1698;width:936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">
                            <v:textbox>
                              <w:txbxContent>
                                <w:p w:rsidR="00BE40F8" w:rsidRPr="005A258D" w:rsidRDefault="00BE40F8" w:rsidP="00B20650">
                                  <w:pPr>
                                    <w:jc w:val="center"/>
                                    <w:rPr>
                                      <w:rFonts w:ascii="Times New Roman" w:hAnsi="Times New Roman"/>
                                      <w:sz w:val="16"/>
                                      <w:szCs w:val="16"/>
                                    </w:rPr>
                                  </w:pPr>
                                  <w:r w:rsidRPr="005A258D">
                                    <w:rPr>
                                      <w:rFonts w:ascii="Times New Roman" w:hAnsi="Times New Roman"/>
                                      <w:sz w:val="16"/>
                                      <w:szCs w:val="16"/>
                                    </w:rPr>
                                    <w:t>Зовнішнє середовище вищого навчального закладу</w:t>
                                  </w:r>
                                </w:p>
                              </w:txbxContent>
                            </v:textbox>
                          </v:shape>
                          <v:shape id="Text Box 725" o:spid="_x0000_s2429" type="#_x0000_t202" style="position:absolute;left:4484;top:2627;width:4440;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" stroked="f">
                            <v:textbox>
                              <w:txbxContent>
                                <w:p w:rsidR="00BE40F8" w:rsidRPr="005A258D" w:rsidRDefault="00BE40F8" w:rsidP="00B20650">
                                  <w:pPr>
                                    <w:jc w:val="center"/>
                                    <w:rPr>
                                      <w:rFonts w:ascii="Times New Roman" w:hAnsi="Times New Roman"/>
                                      <w:b/>
                                      <w:sz w:val="16"/>
                                      <w:szCs w:val="16"/>
                                    </w:rPr>
                                  </w:pPr>
                                  <w:r w:rsidRPr="005A258D">
                                    <w:rPr>
                                      <w:rFonts w:ascii="Times New Roman" w:hAnsi="Times New Roman"/>
                                      <w:b/>
                                      <w:sz w:val="16"/>
                                      <w:szCs w:val="16"/>
                                    </w:rPr>
                                    <w:t>Керуюча підсистема</w:t>
                                  </w:r>
                                </w:p>
                              </w:txbxContent>
                            </v:textbox>
                          </v:shape>
                          <v:shape id="AutoShape 726" o:spid="_x0000_s2430" type="#_x0000_t32" style="position:absolute;left:11144;top:2567;width:15;height:219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"/>
                          <v:shape id="Text Box 727" o:spid="_x0000_s2431" type="#_x0000_t202" style="position:absolute;left:3578;top:5657;width:5940;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">
                            <v:textbox>
                              <w:txbxContent>
                                <w:p w:rsidR="00BE40F8" w:rsidRPr="005A258D" w:rsidRDefault="00BE40F8" w:rsidP="00FC1FAF">
                                  <w:pPr>
                                    <w:ind w:firstLine="0"/>
                                    <w:jc w:val="center"/>
                                    <w:rPr>
                                      <w:rFonts w:ascii="Times New Roman" w:hAnsi="Times New Roman"/>
                                      <w:sz w:val="16"/>
                                      <w:szCs w:val="16"/>
                                    </w:rPr>
                                  </w:pPr>
                                  <w:r w:rsidRPr="005A258D">
                                    <w:rPr>
                                      <w:rFonts w:ascii="Times New Roman" w:hAnsi="Times New Roman"/>
                                      <w:sz w:val="16"/>
                                      <w:szCs w:val="16"/>
                                    </w:rPr>
                                    <w:t>Об’єкт – фінансово-господарська діяльність ВНЗ</w:t>
                                  </w:r>
                                </w:p>
                              </w:txbxContent>
                            </v:textbox>
                          </v:shape>
                          <v:shape id="Text Box 728" o:spid="_x0000_s2432" type="#_x0000_t202" style="position:absolute;left:4799;top:6431;width:3405;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">
                            <v:textbox>
                              <w:txbxContent>
                                <w:p w:rsidR="00BE40F8" w:rsidRPr="005A258D" w:rsidRDefault="00BE40F8" w:rsidP="00FC1FAF">
                                  <w:pPr>
                                    <w:ind w:firstLine="0"/>
                                    <w:jc w:val="center"/>
                                    <w:rPr>
                                      <w:rFonts w:ascii="Times New Roman" w:hAnsi="Times New Roman"/>
                                      <w:sz w:val="16"/>
                                      <w:szCs w:val="16"/>
                                    </w:rPr>
                                  </w:pPr>
                                  <w:r w:rsidRPr="005A258D">
                                    <w:rPr>
                                      <w:rFonts w:ascii="Times New Roman" w:hAnsi="Times New Roman"/>
                                      <w:sz w:val="16"/>
                                      <w:szCs w:val="16"/>
                                    </w:rPr>
                                    <w:t>Показники діяльності</w:t>
                                  </w:r>
                                </w:p>
                              </w:txbxContent>
                            </v:textbox>
                          </v:shape>
                          <v:shape id="AutoShape 729" o:spid="_x0000_s2433" type="#_x0000_t32" style="position:absolute;left:2039;top:5117;width:91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"/>
                          <v:shape id="AutoShape 730" o:spid="_x0000_s2434" type="#_x0000_t32" style="position:absolute;left:2054;top:5117;width:0;height:20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"/>
                          <v:shape id="AutoShape 731" o:spid="_x0000_s2435" type="#_x0000_t32" style="position:absolute;left:11144;top:5117;width:0;height:20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"/>
                          <v:shape id="AutoShape 732" o:spid="_x0000_s2436" type="#_x0000_t32" style="position:absolute;left:2048;top:7151;width:909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"/>
                          <v:shape id="AutoShape 733" o:spid="_x0000_s2437" type="#_x0000_t32" style="position:absolute;left:11384;top:2456;width:0;height:5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"/>
                          <v:shape id="Text Box 734" o:spid="_x0000_s2438" type="#_x0000_t202" style="position:absolute;left:2069;top:7278;width:9090;height: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" filled="f" stroked="f">
                            <v:textbox>
                              <w:txbxContent>
                                <w:p w:rsidR="00BE40F8" w:rsidRPr="005A258D" w:rsidRDefault="00BE40F8" w:rsidP="00FC1FAF">
                                  <w:pPr>
                                    <w:spacing w:line="192" w:lineRule="auto"/>
                                    <w:ind w:firstLine="0"/>
                                    <w:jc w:val="center"/>
                                    <w:rPr>
                                      <w:rFonts w:ascii="Times New Roman" w:hAnsi="Times New Roman"/>
                                      <w:sz w:val="16"/>
                                      <w:szCs w:val="16"/>
                                    </w:rPr>
                                  </w:pPr>
                                  <w:r w:rsidRPr="005A258D">
                                    <w:rPr>
                                      <w:rFonts w:ascii="Times New Roman" w:hAnsi="Times New Roman"/>
                                      <w:sz w:val="16"/>
                                      <w:szCs w:val="16"/>
                                    </w:rPr>
                                    <w:t>Внутрішнє середовище вищого навчального закладу</w:t>
                                  </w:r>
                                </w:p>
                              </w:txbxContent>
                            </v:textbox>
                          </v:shape>
                          <v:shape id="AutoShape 735" o:spid="_x0000_s2439" type="#_x0000_t67" style="position:absolute;left:6638;top:2291;width:18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">
                            <v:textbox style="layout-flow:vertical-ideographic"/>
                          </v:shape>
                          <v:shape id="AutoShape 736" o:spid="_x0000_s2440" type="#_x0000_t67" style="position:absolute;left:6458;top:4757;width:3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">
                            <v:textbox style="layout-flow:vertical-ideographic"/>
                          </v:shape>
                        </v:group>
                      </v:group>
                    </v:group>
                  </v:group>
                </v:group>
              </v:group>
            </w:pict>
          </mc:Fallback>
        </mc:AlternateContent>
      </w:r>
    </w:p>
    <w:p w:rsidR="00FC1FAF" w:rsidRDefault="00FC1FAF" w:rsidP="00B20650">
      <w:pPr>
        <w:ind w:firstLine="709"/>
        <w:jc w:val="both"/>
        <w:rPr>
          <w:rFonts w:ascii="Times New Roman" w:hAnsi="Times New Roman"/>
          <w:sz w:val="21"/>
          <w:szCs w:val="21"/>
        </w:rPr>
      </w:pPr>
    </w:p>
    <w:p w:rsidR="00FC1FAF" w:rsidRDefault="00FC1FAF" w:rsidP="00B20650">
      <w:pPr>
        <w:ind w:firstLine="709"/>
        <w:jc w:val="both"/>
        <w:rPr>
          <w:rFonts w:ascii="Times New Roman" w:hAnsi="Times New Roman"/>
          <w:sz w:val="21"/>
          <w:szCs w:val="21"/>
        </w:rPr>
      </w:pPr>
    </w:p>
    <w:p w:rsidR="00FC1FAF" w:rsidRDefault="00FC1FAF" w:rsidP="00B20650">
      <w:pPr>
        <w:ind w:firstLine="709"/>
        <w:jc w:val="both"/>
        <w:rPr>
          <w:rFonts w:ascii="Times New Roman" w:hAnsi="Times New Roman"/>
          <w:sz w:val="21"/>
          <w:szCs w:val="21"/>
        </w:rPr>
      </w:pPr>
    </w:p>
    <w:p w:rsidR="00FC1FAF" w:rsidRDefault="00FC1FAF" w:rsidP="00B20650">
      <w:pPr>
        <w:ind w:firstLine="709"/>
        <w:jc w:val="both"/>
        <w:rPr>
          <w:rFonts w:ascii="Times New Roman" w:hAnsi="Times New Roman"/>
          <w:sz w:val="21"/>
          <w:szCs w:val="21"/>
        </w:rPr>
      </w:pPr>
    </w:p>
    <w:p w:rsidR="00FC1FAF" w:rsidRDefault="00FC1FAF" w:rsidP="00B20650">
      <w:pPr>
        <w:ind w:firstLine="709"/>
        <w:jc w:val="both"/>
        <w:rPr>
          <w:rFonts w:ascii="Times New Roman" w:hAnsi="Times New Roman"/>
          <w:sz w:val="21"/>
          <w:szCs w:val="21"/>
        </w:rPr>
      </w:pPr>
    </w:p>
    <w:p w:rsidR="00FC1FAF" w:rsidRDefault="00FC1FAF" w:rsidP="00B20650">
      <w:pPr>
        <w:ind w:firstLine="709"/>
        <w:jc w:val="both"/>
        <w:rPr>
          <w:rFonts w:ascii="Times New Roman" w:hAnsi="Times New Roman"/>
          <w:sz w:val="21"/>
          <w:szCs w:val="21"/>
        </w:rPr>
      </w:pPr>
    </w:p>
    <w:p w:rsidR="00FC1FAF" w:rsidRDefault="00FC1FAF" w:rsidP="00B20650">
      <w:pPr>
        <w:ind w:firstLine="709"/>
        <w:jc w:val="both"/>
        <w:rPr>
          <w:rFonts w:ascii="Times New Roman" w:hAnsi="Times New Roman"/>
          <w:sz w:val="21"/>
          <w:szCs w:val="21"/>
        </w:rPr>
      </w:pPr>
    </w:p>
    <w:p w:rsidR="00FC1FAF" w:rsidRDefault="00FC1FAF" w:rsidP="00B20650">
      <w:pPr>
        <w:ind w:firstLine="709"/>
        <w:jc w:val="both"/>
        <w:rPr>
          <w:rFonts w:ascii="Times New Roman" w:hAnsi="Times New Roman"/>
          <w:sz w:val="21"/>
          <w:szCs w:val="21"/>
        </w:rPr>
      </w:pPr>
    </w:p>
    <w:p w:rsidR="00FC1FAF" w:rsidRPr="00984A98" w:rsidRDefault="00FC1FAF" w:rsidP="00B20650">
      <w:pPr>
        <w:ind w:firstLine="709"/>
        <w:jc w:val="both"/>
        <w:rPr>
          <w:rFonts w:ascii="Times New Roman" w:hAnsi="Times New Roman"/>
          <w:sz w:val="21"/>
          <w:szCs w:val="21"/>
        </w:rPr>
      </w:pPr>
    </w:p>
    <w:p w:rsidR="00B20650" w:rsidRDefault="00B20650" w:rsidP="00B20650">
      <w:pPr>
        <w:pStyle w:val="61"/>
        <w:spacing w:after="0" w:line="240" w:lineRule="auto"/>
        <w:ind w:left="0" w:firstLine="709"/>
        <w:jc w:val="both"/>
        <w:rPr>
          <w:sz w:val="28"/>
          <w:szCs w:val="28"/>
          <w:lang w:val="uk-UA"/>
        </w:rPr>
      </w:pPr>
    </w:p>
    <w:p w:rsidR="00B20650" w:rsidRPr="00F65433" w:rsidRDefault="00B20650" w:rsidP="00B20650">
      <w:pPr>
        <w:pStyle w:val="61"/>
        <w:spacing w:after="0" w:line="240" w:lineRule="auto"/>
        <w:ind w:left="0" w:firstLine="709"/>
        <w:jc w:val="both"/>
        <w:rPr>
          <w:sz w:val="28"/>
          <w:szCs w:val="28"/>
          <w:lang w:val="uk-UA"/>
        </w:rPr>
      </w:pPr>
    </w:p>
    <w:p w:rsidR="00B20650" w:rsidRDefault="00B20650" w:rsidP="00B20650">
      <w:pPr>
        <w:jc w:val="center"/>
        <w:rPr>
          <w:rFonts w:ascii="Times New Roman" w:hAnsi="Times New Roman"/>
        </w:rPr>
      </w:pPr>
    </w:p>
    <w:p w:rsidR="00B20650" w:rsidRPr="005A258D" w:rsidRDefault="00B20650" w:rsidP="00B20650">
      <w:pPr>
        <w:rPr>
          <w:rFonts w:ascii="Times New Roman" w:hAnsi="Times New Roman"/>
        </w:rPr>
      </w:pPr>
    </w:p>
    <w:p w:rsidR="00B20650" w:rsidRPr="005A258D" w:rsidRDefault="00B20650" w:rsidP="00B20650">
      <w:pPr>
        <w:rPr>
          <w:rFonts w:ascii="Times New Roman" w:hAnsi="Times New Roman"/>
        </w:rPr>
      </w:pPr>
    </w:p>
    <w:p w:rsidR="00B20650" w:rsidRPr="005A258D" w:rsidRDefault="00B20650" w:rsidP="00B20650">
      <w:pPr>
        <w:rPr>
          <w:rFonts w:ascii="Times New Roman" w:hAnsi="Times New Roman"/>
        </w:rPr>
      </w:pPr>
    </w:p>
    <w:p w:rsidR="00B20650" w:rsidRPr="005A258D" w:rsidRDefault="00B20650" w:rsidP="00B20650">
      <w:pPr>
        <w:rPr>
          <w:rFonts w:ascii="Times New Roman" w:hAnsi="Times New Roman"/>
        </w:rPr>
      </w:pPr>
    </w:p>
    <w:p w:rsidR="00B20650" w:rsidRPr="005A258D" w:rsidRDefault="00B20650" w:rsidP="00B20650">
      <w:pPr>
        <w:rPr>
          <w:rFonts w:ascii="Times New Roman" w:hAnsi="Times New Roman"/>
        </w:rPr>
      </w:pPr>
    </w:p>
    <w:p w:rsidR="00B20650" w:rsidRPr="005A258D" w:rsidRDefault="00B20650" w:rsidP="00B20650">
      <w:pPr>
        <w:rPr>
          <w:rFonts w:ascii="Times New Roman" w:hAnsi="Times New Roman"/>
        </w:rPr>
      </w:pPr>
    </w:p>
    <w:p w:rsidR="00B20650" w:rsidRPr="00FC1FAF" w:rsidRDefault="00B20650" w:rsidP="00FC1FAF">
      <w:pPr>
        <w:ind w:firstLine="709"/>
        <w:jc w:val="center"/>
        <w:rPr>
          <w:rFonts w:ascii="Times New Roman" w:hAnsi="Times New Roman"/>
          <w:b/>
          <w:sz w:val="21"/>
          <w:szCs w:val="21"/>
        </w:rPr>
      </w:pPr>
      <w:r w:rsidRPr="00FC1FAF">
        <w:rPr>
          <w:rFonts w:ascii="Times New Roman" w:hAnsi="Times New Roman"/>
          <w:b/>
          <w:sz w:val="21"/>
          <w:szCs w:val="21"/>
        </w:rPr>
        <w:t xml:space="preserve">Рис. </w:t>
      </w:r>
      <w:r w:rsidR="00FC1FAF" w:rsidRPr="00FC1FAF">
        <w:rPr>
          <w:rFonts w:ascii="Times New Roman" w:hAnsi="Times New Roman"/>
          <w:b/>
          <w:sz w:val="21"/>
          <w:szCs w:val="21"/>
        </w:rPr>
        <w:t>7.2</w:t>
      </w:r>
      <w:r w:rsidRPr="00FC1FAF">
        <w:rPr>
          <w:rFonts w:ascii="Times New Roman" w:hAnsi="Times New Roman"/>
          <w:b/>
          <w:sz w:val="21"/>
          <w:szCs w:val="21"/>
        </w:rPr>
        <w:t>. Схема механізму управління фінансово-господарською діяльністю вищого навчального закладу (організаційно-структурна підсистема механізму)*</w:t>
      </w:r>
    </w:p>
    <w:p w:rsidR="00B20650" w:rsidRPr="00FC1FAF" w:rsidRDefault="00B20650" w:rsidP="00FC1FAF">
      <w:pPr>
        <w:ind w:firstLine="709"/>
        <w:jc w:val="center"/>
        <w:rPr>
          <w:rFonts w:ascii="Times New Roman" w:hAnsi="Times New Roman"/>
          <w:sz w:val="18"/>
          <w:szCs w:val="18"/>
        </w:rPr>
      </w:pPr>
      <w:r w:rsidRPr="00FC1FAF">
        <w:rPr>
          <w:rFonts w:ascii="Times New Roman" w:hAnsi="Times New Roman"/>
          <w:sz w:val="18"/>
          <w:szCs w:val="18"/>
        </w:rPr>
        <w:t xml:space="preserve">* – запропоновано </w:t>
      </w:r>
      <w:r w:rsidR="00FC1FAF">
        <w:rPr>
          <w:rFonts w:ascii="Times New Roman" w:hAnsi="Times New Roman"/>
          <w:sz w:val="18"/>
          <w:szCs w:val="18"/>
        </w:rPr>
        <w:t>авторами розділу</w:t>
      </w:r>
    </w:p>
    <w:p w:rsidR="00B20650" w:rsidRPr="00DE1795" w:rsidRDefault="00B20650" w:rsidP="00B20650">
      <w:pPr>
        <w:ind w:firstLine="709"/>
        <w:jc w:val="both"/>
        <w:rPr>
          <w:rFonts w:ascii="Times New Roman" w:hAnsi="Times New Roman"/>
          <w:sz w:val="21"/>
          <w:szCs w:val="21"/>
        </w:rPr>
      </w:pPr>
    </w:p>
    <w:p w:rsidR="00197F22" w:rsidRPr="00984A98" w:rsidRDefault="00197F22" w:rsidP="00197F22">
      <w:pPr>
        <w:ind w:firstLine="709"/>
        <w:jc w:val="both"/>
        <w:rPr>
          <w:rFonts w:ascii="Times New Roman" w:hAnsi="Times New Roman"/>
          <w:sz w:val="21"/>
          <w:szCs w:val="21"/>
        </w:rPr>
      </w:pPr>
      <w:r w:rsidRPr="00984A98">
        <w:rPr>
          <w:rFonts w:ascii="Times New Roman" w:hAnsi="Times New Roman"/>
          <w:sz w:val="21"/>
          <w:szCs w:val="21"/>
        </w:rPr>
        <w:t>Механізм управління фінансово-господарською діяльністю вищого навчального закладу повинен складатися з двох взаємо</w:t>
      </w:r>
      <w:r>
        <w:rPr>
          <w:rFonts w:ascii="Times New Roman" w:hAnsi="Times New Roman"/>
          <w:sz w:val="21"/>
          <w:szCs w:val="21"/>
        </w:rPr>
        <w:t>-</w:t>
      </w:r>
      <w:r w:rsidRPr="00984A98">
        <w:rPr>
          <w:rFonts w:ascii="Times New Roman" w:hAnsi="Times New Roman"/>
          <w:sz w:val="21"/>
          <w:szCs w:val="21"/>
        </w:rPr>
        <w:t xml:space="preserve">зв’язаних підсистем: керуючої та керованої. Керуюча підсистема </w:t>
      </w:r>
      <w:r w:rsidRPr="00984A98">
        <w:rPr>
          <w:rFonts w:ascii="Times New Roman" w:hAnsi="Times New Roman"/>
          <w:sz w:val="21"/>
          <w:szCs w:val="21"/>
        </w:rPr>
        <w:lastRenderedPageBreak/>
        <w:t>забезпечує реалізацію мети та завдань фінансово-господарської діяльності і здійснює виконання основних її функ</w:t>
      </w:r>
      <w:r>
        <w:rPr>
          <w:rFonts w:ascii="Times New Roman" w:hAnsi="Times New Roman"/>
          <w:sz w:val="21"/>
          <w:szCs w:val="21"/>
        </w:rPr>
        <w:t>-</w:t>
      </w:r>
      <w:r w:rsidRPr="00984A98">
        <w:rPr>
          <w:rFonts w:ascii="Times New Roman" w:hAnsi="Times New Roman"/>
          <w:sz w:val="21"/>
          <w:szCs w:val="21"/>
        </w:rPr>
        <w:t>цій: аналізу, планування та прогнозування, організації фінансово-господарської діяльності та її контролю. Керована підсистема пред</w:t>
      </w:r>
      <w:r>
        <w:rPr>
          <w:rFonts w:ascii="Times New Roman" w:hAnsi="Times New Roman"/>
          <w:sz w:val="21"/>
          <w:szCs w:val="21"/>
        </w:rPr>
        <w:t>-</w:t>
      </w:r>
      <w:r w:rsidRPr="00984A98">
        <w:rPr>
          <w:rFonts w:ascii="Times New Roman" w:hAnsi="Times New Roman"/>
          <w:sz w:val="21"/>
          <w:szCs w:val="21"/>
        </w:rPr>
        <w:t xml:space="preserve">ставлена параметрами та результатами фінансово-господарської діяльності. </w:t>
      </w:r>
    </w:p>
    <w:p w:rsidR="00197F22" w:rsidRDefault="00197F22" w:rsidP="00197F22">
      <w:pPr>
        <w:ind w:firstLine="709"/>
        <w:jc w:val="both"/>
        <w:rPr>
          <w:rFonts w:ascii="Times New Roman" w:hAnsi="Times New Roman"/>
          <w:sz w:val="21"/>
          <w:szCs w:val="21"/>
        </w:rPr>
      </w:pPr>
      <w:r w:rsidRPr="00DE1795">
        <w:rPr>
          <w:rFonts w:ascii="Times New Roman" w:hAnsi="Times New Roman"/>
          <w:sz w:val="21"/>
          <w:szCs w:val="21"/>
        </w:rPr>
        <w:t>Різні управлінські рішення повинні прийматися за єдиними принципами. На нашу думку, це принципи ефективного управління фінансо</w:t>
      </w:r>
      <w:r>
        <w:rPr>
          <w:rFonts w:ascii="Times New Roman" w:hAnsi="Times New Roman"/>
          <w:sz w:val="21"/>
          <w:szCs w:val="21"/>
        </w:rPr>
        <w:t>во-господарською діяльністю ВНЗ</w:t>
      </w:r>
      <w:r w:rsidRPr="00DE1795">
        <w:rPr>
          <w:rFonts w:ascii="Times New Roman" w:hAnsi="Times New Roman"/>
          <w:sz w:val="21"/>
          <w:szCs w:val="21"/>
        </w:rPr>
        <w:t>: інтегрованості із загальною системою управління ВНЗ, адаптивності, фінансово-економічної раціональності, інформаційної достатності, спрямування на досягнення стратегічної мети – економічного розвитку ВНЗ.</w:t>
      </w:r>
    </w:p>
    <w:p w:rsidR="00B20650" w:rsidRPr="00DE1795" w:rsidRDefault="00B20650" w:rsidP="00B20650">
      <w:pPr>
        <w:ind w:firstLine="709"/>
        <w:jc w:val="both"/>
        <w:rPr>
          <w:rFonts w:ascii="Times New Roman" w:hAnsi="Times New Roman"/>
          <w:sz w:val="21"/>
          <w:szCs w:val="21"/>
        </w:rPr>
      </w:pPr>
      <w:r w:rsidRPr="00DE1795">
        <w:rPr>
          <w:rFonts w:ascii="Times New Roman" w:hAnsi="Times New Roman"/>
          <w:sz w:val="21"/>
          <w:szCs w:val="21"/>
        </w:rPr>
        <w:t xml:space="preserve">Формування механізму управління фінансово-господарською діяльністю ВНЗ передбачає реалізацію основних функцій управління, а саме: аналіз, прогнозування і планування, організація, контроль та оцінка ефективності управління фінансово-господарською діяльністю, які і визначають структурно-функціональні підсистеми механізму (рис. </w:t>
      </w:r>
      <w:r w:rsidR="00FC1FAF">
        <w:rPr>
          <w:rFonts w:ascii="Times New Roman" w:hAnsi="Times New Roman"/>
          <w:sz w:val="21"/>
          <w:szCs w:val="21"/>
        </w:rPr>
        <w:t>7.3</w:t>
      </w:r>
      <w:r w:rsidRPr="00DE1795">
        <w:rPr>
          <w:rFonts w:ascii="Times New Roman" w:hAnsi="Times New Roman"/>
          <w:sz w:val="21"/>
          <w:szCs w:val="21"/>
        </w:rPr>
        <w:t>).</w:t>
      </w:r>
    </w:p>
    <w:p w:rsidR="00B20650" w:rsidRDefault="00FC1FAF" w:rsidP="00FC1FAF">
      <w:pPr>
        <w:tabs>
          <w:tab w:val="left" w:pos="1058"/>
        </w:tabs>
        <w:ind w:firstLine="709"/>
        <w:jc w:val="both"/>
        <w:rPr>
          <w:rFonts w:ascii="Times New Roman" w:hAnsi="Times New Roman"/>
          <w:sz w:val="21"/>
          <w:szCs w:val="21"/>
        </w:rPr>
      </w:pPr>
      <w:r w:rsidRPr="00EE522E">
        <w:rPr>
          <w:rFonts w:ascii="Times New Roman" w:hAnsi="Times New Roman"/>
          <w:sz w:val="21"/>
          <w:szCs w:val="21"/>
        </w:rPr>
        <w:t>Для визначення реального стану і умов функціонування ВНЗ здійснюється аналіз фінансово-господарської діяльності. На етапі прогнозування і планування визначаються способи досягнення визначених мети і завдань фінансово-господарської діяльності.</w:t>
      </w:r>
      <w:r w:rsidRPr="00FC1FAF">
        <w:rPr>
          <w:rFonts w:ascii="Times New Roman" w:hAnsi="Times New Roman"/>
          <w:sz w:val="21"/>
          <w:szCs w:val="21"/>
        </w:rPr>
        <w:t xml:space="preserve"> </w:t>
      </w:r>
      <w:r w:rsidRPr="00EE522E">
        <w:rPr>
          <w:rFonts w:ascii="Times New Roman" w:hAnsi="Times New Roman"/>
          <w:sz w:val="21"/>
          <w:szCs w:val="21"/>
        </w:rPr>
        <w:t>Підсистема організації передбачає забезпечення та розподіл фінансових, матеріальних, трудових та інформаційних ресурсів для досягнення цілей ВНЗ.</w:t>
      </w:r>
    </w:p>
    <w:p w:rsidR="00197F22" w:rsidRDefault="00197F22" w:rsidP="00FC1FAF">
      <w:pPr>
        <w:tabs>
          <w:tab w:val="left" w:pos="1058"/>
        </w:tabs>
        <w:ind w:firstLine="709"/>
        <w:jc w:val="both"/>
        <w:rPr>
          <w:rFonts w:ascii="Times New Roman" w:hAnsi="Times New Roman"/>
          <w:sz w:val="21"/>
          <w:szCs w:val="21"/>
        </w:rPr>
      </w:pPr>
      <w:r w:rsidRPr="00EE522E">
        <w:rPr>
          <w:rFonts w:ascii="Times New Roman" w:hAnsi="Times New Roman"/>
          <w:sz w:val="21"/>
          <w:szCs w:val="21"/>
        </w:rPr>
        <w:t>Результатом виконання функції контролю є оцінка ефективності управління фінансово-господарською діяльністю. Опишемо основні підсистеми запропонованої моделі механізму управління, реалізація яких забезпечить виконання означених функцій.</w:t>
      </w:r>
    </w:p>
    <w:p w:rsidR="00197F22" w:rsidRDefault="00197F22" w:rsidP="00FC1FAF">
      <w:pPr>
        <w:tabs>
          <w:tab w:val="left" w:pos="1058"/>
        </w:tabs>
        <w:ind w:firstLine="709"/>
        <w:jc w:val="both"/>
        <w:rPr>
          <w:rFonts w:ascii="Times New Roman" w:hAnsi="Times New Roman"/>
          <w:sz w:val="21"/>
          <w:szCs w:val="21"/>
        </w:rPr>
      </w:pPr>
      <w:r w:rsidRPr="00EE522E">
        <w:rPr>
          <w:rFonts w:ascii="Times New Roman" w:hAnsi="Times New Roman"/>
          <w:sz w:val="21"/>
          <w:szCs w:val="21"/>
        </w:rPr>
        <w:t>Практика свідчить, що ефективне управління фінансово-господарською діяльністю ВНЗ забезпечується застосуванням управління по випереджальному алгоритму, який передбачає проведення діагностики сучасного стану та прогнозування розвитку ситуації, у відповідності до яких здійснюються випереджувальні зміни. Для прийняття таких рішень здійснюється аналіз не лише фінансово-господарського стану навчального закладу, але й його місця знаходження на ринку освітніх послуг та науково-технічної продукції.</w:t>
      </w:r>
    </w:p>
    <w:p w:rsidR="00197F22" w:rsidRDefault="00197F22" w:rsidP="00FC1FAF">
      <w:pPr>
        <w:tabs>
          <w:tab w:val="left" w:pos="1058"/>
        </w:tabs>
        <w:ind w:firstLine="709"/>
        <w:jc w:val="both"/>
        <w:rPr>
          <w:rFonts w:ascii="Times New Roman" w:hAnsi="Times New Roman"/>
          <w:sz w:val="21"/>
          <w:szCs w:val="21"/>
        </w:rPr>
      </w:pPr>
      <w:r>
        <w:rPr>
          <w:noProof/>
          <w:lang w:val="ru-RU" w:eastAsia="ru-RU"/>
        </w:rPr>
        <w:lastRenderedPageBreak/>
        <mc:AlternateContent>
          <mc:Choice Requires="wpg">
            <w:drawing>
              <wp:anchor distT="0" distB="0" distL="114300" distR="114300" simplePos="0" relativeHeight="251741184" behindDoc="0" locked="0" layoutInCell="1" allowOverlap="1" wp14:anchorId="05A0FFEF" wp14:editId="0C871625">
                <wp:simplePos x="0" y="0"/>
                <wp:positionH relativeFrom="column">
                  <wp:posOffset>-43815</wp:posOffset>
                </wp:positionH>
                <wp:positionV relativeFrom="paragraph">
                  <wp:posOffset>-85818</wp:posOffset>
                </wp:positionV>
                <wp:extent cx="3921125" cy="5452668"/>
                <wp:effectExtent l="0" t="0" r="22225" b="15240"/>
                <wp:wrapNone/>
                <wp:docPr id="2003" name="Group 8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21125" cy="5452668"/>
                          <a:chOff x="1057" y="9803"/>
                          <a:chExt cx="9444" cy="13045"/>
                        </a:xfrm>
                      </wpg:grpSpPr>
                      <wps:wsp>
                        <wps:cNvPr id="2004" name="Rectangle 811"/>
                        <wps:cNvSpPr>
                          <a:spLocks noChangeArrowheads="1"/>
                        </wps:cNvSpPr>
                        <wps:spPr bwMode="auto">
                          <a:xfrm>
                            <a:off x="3398" y="9803"/>
                            <a:ext cx="5579" cy="422"/>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ind w:firstLine="0"/>
                                <w:jc w:val="center"/>
                                <w:rPr>
                                  <w:rFonts w:ascii="Times New Roman" w:hAnsi="Times New Roman" w:cs="Times New Roman"/>
                                  <w:sz w:val="15"/>
                                  <w:szCs w:val="15"/>
                                </w:rPr>
                              </w:pPr>
                              <w:r w:rsidRPr="00FC1FAF">
                                <w:rPr>
                                  <w:rFonts w:ascii="Times New Roman" w:hAnsi="Times New Roman" w:cs="Times New Roman"/>
                                  <w:sz w:val="15"/>
                                  <w:szCs w:val="15"/>
                                </w:rPr>
                                <w:t>Визначення мети і завдань</w:t>
                              </w:r>
                            </w:p>
                          </w:txbxContent>
                        </wps:txbx>
                        <wps:bodyPr rot="0" vert="horz" wrap="square" lIns="54000" tIns="0" rIns="54000" bIns="0" anchor="t" anchorCtr="0" upright="1">
                          <a:noAutofit/>
                        </wps:bodyPr>
                      </wps:wsp>
                      <wps:wsp>
                        <wps:cNvPr id="2005" name="Text Box 812"/>
                        <wps:cNvSpPr txBox="1">
                          <a:spLocks noChangeArrowheads="1"/>
                        </wps:cNvSpPr>
                        <wps:spPr bwMode="auto">
                          <a:xfrm>
                            <a:off x="1057" y="10302"/>
                            <a:ext cx="720" cy="2880"/>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ind w:firstLine="0"/>
                                <w:jc w:val="center"/>
                                <w:rPr>
                                  <w:rFonts w:ascii="Times New Roman" w:hAnsi="Times New Roman" w:cs="Times New Roman"/>
                                  <w:sz w:val="15"/>
                                  <w:szCs w:val="15"/>
                                </w:rPr>
                              </w:pPr>
                              <w:r w:rsidRPr="00FC1FAF">
                                <w:rPr>
                                  <w:rFonts w:ascii="Times New Roman" w:hAnsi="Times New Roman" w:cs="Times New Roman"/>
                                  <w:sz w:val="15"/>
                                  <w:szCs w:val="15"/>
                                </w:rPr>
                                <w:t>Підсистема аналізу</w:t>
                              </w:r>
                            </w:p>
                          </w:txbxContent>
                        </wps:txbx>
                        <wps:bodyPr rot="0" vert="vert270" wrap="square" lIns="90000" tIns="82800" rIns="90000" bIns="82800" anchor="t" anchorCtr="0" upright="1">
                          <a:noAutofit/>
                        </wps:bodyPr>
                      </wps:wsp>
                      <wps:wsp>
                        <wps:cNvPr id="2006" name="Text Box 813"/>
                        <wps:cNvSpPr txBox="1">
                          <a:spLocks noChangeArrowheads="1"/>
                        </wps:cNvSpPr>
                        <wps:spPr bwMode="auto">
                          <a:xfrm>
                            <a:off x="1057" y="13362"/>
                            <a:ext cx="720" cy="6414"/>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ind w:firstLine="0"/>
                                <w:jc w:val="center"/>
                                <w:rPr>
                                  <w:rFonts w:ascii="Times New Roman" w:hAnsi="Times New Roman" w:cs="Times New Roman"/>
                                  <w:sz w:val="15"/>
                                  <w:szCs w:val="15"/>
                                </w:rPr>
                              </w:pPr>
                              <w:r w:rsidRPr="00FC1FAF">
                                <w:rPr>
                                  <w:rFonts w:ascii="Times New Roman" w:hAnsi="Times New Roman" w:cs="Times New Roman"/>
                                  <w:sz w:val="15"/>
                                  <w:szCs w:val="15"/>
                                </w:rPr>
                                <w:t>Підсистема прогнозування і планування</w:t>
                              </w:r>
                            </w:p>
                          </w:txbxContent>
                        </wps:txbx>
                        <wps:bodyPr rot="0" vert="vert270" wrap="square" lIns="91440" tIns="45720" rIns="91440" bIns="45720" anchor="t" anchorCtr="0" upright="1">
                          <a:noAutofit/>
                        </wps:bodyPr>
                      </wps:wsp>
                      <wps:wsp>
                        <wps:cNvPr id="2007" name="Text Box 814"/>
                        <wps:cNvSpPr txBox="1">
                          <a:spLocks noChangeArrowheads="1"/>
                        </wps:cNvSpPr>
                        <wps:spPr bwMode="auto">
                          <a:xfrm>
                            <a:off x="1066" y="19956"/>
                            <a:ext cx="711" cy="1260"/>
                          </a:xfrm>
                          <a:prstGeom prst="rect">
                            <a:avLst/>
                          </a:prstGeom>
                          <a:solidFill>
                            <a:srgbClr val="FFFFFF"/>
                          </a:solidFill>
                          <a:ln w="9525">
                            <a:solidFill>
                              <a:srgbClr val="000000"/>
                            </a:solidFill>
                            <a:miter lim="800000"/>
                            <a:headEnd/>
                            <a:tailEnd/>
                          </a:ln>
                        </wps:spPr>
                        <wps:txbx>
                          <w:txbxContent>
                            <w:p w:rsidR="00BE40F8" w:rsidRPr="00FC1FAF" w:rsidRDefault="00BE40F8" w:rsidP="007D5F7E">
                              <w:pPr>
                                <w:spacing w:line="192" w:lineRule="auto"/>
                                <w:ind w:firstLine="0"/>
                                <w:jc w:val="center"/>
                                <w:rPr>
                                  <w:rFonts w:ascii="Times New Roman" w:hAnsi="Times New Roman" w:cs="Times New Roman"/>
                                  <w:sz w:val="15"/>
                                  <w:szCs w:val="15"/>
                                </w:rPr>
                              </w:pPr>
                              <w:r w:rsidRPr="00FC1FAF">
                                <w:rPr>
                                  <w:rFonts w:ascii="Times New Roman" w:hAnsi="Times New Roman" w:cs="Times New Roman"/>
                                  <w:sz w:val="15"/>
                                  <w:szCs w:val="15"/>
                                </w:rPr>
                                <w:t>Підсистема організації</w:t>
                              </w:r>
                            </w:p>
                          </w:txbxContent>
                        </wps:txbx>
                        <wps:bodyPr rot="0" vert="vert270" wrap="square" lIns="18000" tIns="10800" rIns="18000" bIns="10800" anchor="t" anchorCtr="0" upright="1">
                          <a:noAutofit/>
                        </wps:bodyPr>
                      </wps:wsp>
                      <wps:wsp>
                        <wps:cNvPr id="2008" name="Text Box 815"/>
                        <wps:cNvSpPr txBox="1">
                          <a:spLocks noChangeArrowheads="1"/>
                        </wps:cNvSpPr>
                        <wps:spPr bwMode="auto">
                          <a:xfrm>
                            <a:off x="1057" y="21396"/>
                            <a:ext cx="720" cy="1440"/>
                          </a:xfrm>
                          <a:prstGeom prst="rect">
                            <a:avLst/>
                          </a:prstGeom>
                          <a:solidFill>
                            <a:srgbClr val="FFFFFF"/>
                          </a:solidFill>
                          <a:ln w="9525">
                            <a:solidFill>
                              <a:srgbClr val="000000"/>
                            </a:solidFill>
                            <a:miter lim="800000"/>
                            <a:headEnd/>
                            <a:tailEnd/>
                          </a:ln>
                        </wps:spPr>
                        <wps:txbx>
                          <w:txbxContent>
                            <w:p w:rsidR="00BE40F8" w:rsidRDefault="00BE40F8" w:rsidP="00197F22">
                              <w:pPr>
                                <w:spacing w:line="204" w:lineRule="auto"/>
                                <w:ind w:firstLine="0"/>
                                <w:jc w:val="center"/>
                                <w:rPr>
                                  <w:rFonts w:ascii="Times New Roman" w:hAnsi="Times New Roman" w:cs="Times New Roman"/>
                                  <w:sz w:val="15"/>
                                  <w:szCs w:val="15"/>
                                </w:rPr>
                              </w:pPr>
                              <w:r w:rsidRPr="00FC1FAF">
                                <w:rPr>
                                  <w:rFonts w:ascii="Times New Roman" w:hAnsi="Times New Roman" w:cs="Times New Roman"/>
                                  <w:sz w:val="15"/>
                                  <w:szCs w:val="15"/>
                                </w:rPr>
                                <w:t>Підсистема контролю</w:t>
                              </w:r>
                            </w:p>
                            <w:p w:rsidR="00BE40F8" w:rsidRPr="00FC1FAF" w:rsidRDefault="00BE40F8" w:rsidP="007D5F7E">
                              <w:pPr>
                                <w:spacing w:line="204" w:lineRule="auto"/>
                                <w:ind w:firstLine="0"/>
                                <w:jc w:val="center"/>
                                <w:rPr>
                                  <w:rFonts w:ascii="Times New Roman" w:hAnsi="Times New Roman" w:cs="Times New Roman"/>
                                  <w:sz w:val="15"/>
                                  <w:szCs w:val="15"/>
                                </w:rPr>
                              </w:pPr>
                              <w:r w:rsidRPr="00FC1FAF">
                                <w:rPr>
                                  <w:rFonts w:ascii="Times New Roman" w:hAnsi="Times New Roman" w:cs="Times New Roman"/>
                                  <w:sz w:val="15"/>
                                  <w:szCs w:val="15"/>
                                </w:rPr>
                                <w:t>та оцінки</w:t>
                              </w:r>
                            </w:p>
                            <w:p w:rsidR="00BE40F8" w:rsidRPr="00FC1FAF" w:rsidRDefault="00BE40F8" w:rsidP="00FC1FAF">
                              <w:pPr>
                                <w:spacing w:line="204" w:lineRule="auto"/>
                                <w:rPr>
                                  <w:rFonts w:ascii="Times New Roman" w:hAnsi="Times New Roman" w:cs="Times New Roman"/>
                                  <w:sz w:val="15"/>
                                  <w:szCs w:val="15"/>
                                </w:rPr>
                              </w:pPr>
                            </w:p>
                          </w:txbxContent>
                        </wps:txbx>
                        <wps:bodyPr rot="0" vert="vert270" wrap="square" lIns="18000" tIns="10800" rIns="18000" bIns="10800" anchor="t" anchorCtr="0" upright="1">
                          <a:noAutofit/>
                        </wps:bodyPr>
                      </wps:wsp>
                      <wpg:grpSp>
                        <wpg:cNvPr id="2009" name="Group 816"/>
                        <wpg:cNvGrpSpPr>
                          <a:grpSpLocks/>
                        </wpg:cNvGrpSpPr>
                        <wpg:grpSpPr bwMode="auto">
                          <a:xfrm>
                            <a:off x="1773" y="10225"/>
                            <a:ext cx="8106" cy="12623"/>
                            <a:chOff x="1773" y="10225"/>
                            <a:chExt cx="8106" cy="12623"/>
                          </a:xfrm>
                        </wpg:grpSpPr>
                        <wps:wsp>
                          <wps:cNvPr id="2010" name="Rectangle 817"/>
                          <wps:cNvSpPr>
                            <a:spLocks noChangeArrowheads="1"/>
                          </wps:cNvSpPr>
                          <wps:spPr bwMode="auto">
                            <a:xfrm>
                              <a:off x="2581" y="11202"/>
                              <a:ext cx="6300" cy="720"/>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tabs>
                                    <w:tab w:val="left" w:pos="4320"/>
                                  </w:tabs>
                                  <w:jc w:val="center"/>
                                  <w:rPr>
                                    <w:rFonts w:ascii="Times New Roman" w:hAnsi="Times New Roman" w:cs="Times New Roman"/>
                                    <w:sz w:val="15"/>
                                    <w:szCs w:val="15"/>
                                  </w:rPr>
                                </w:pPr>
                                <w:r w:rsidRPr="00FC1FAF">
                                  <w:rPr>
                                    <w:rFonts w:ascii="Times New Roman" w:hAnsi="Times New Roman" w:cs="Times New Roman"/>
                                    <w:sz w:val="15"/>
                                    <w:szCs w:val="15"/>
                                  </w:rPr>
                                  <w:t>Встановлення факторів впливу зовнішнього середовища на фінансово-господарську діяльність ВНЗ</w:t>
                                </w:r>
                              </w:p>
                            </w:txbxContent>
                          </wps:txbx>
                          <wps:bodyPr rot="0" vert="horz" wrap="square" lIns="54000" tIns="10800" rIns="54000" bIns="10800" anchor="t" anchorCtr="0" upright="1">
                            <a:noAutofit/>
                          </wps:bodyPr>
                        </wps:wsp>
                        <wps:wsp>
                          <wps:cNvPr id="2011" name="Rectangle 818"/>
                          <wps:cNvSpPr>
                            <a:spLocks noChangeArrowheads="1"/>
                          </wps:cNvSpPr>
                          <wps:spPr bwMode="auto">
                            <a:xfrm>
                              <a:off x="2582" y="12102"/>
                              <a:ext cx="6300" cy="540"/>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ind w:firstLine="0"/>
                                  <w:jc w:val="center"/>
                                  <w:rPr>
                                    <w:rFonts w:ascii="Times New Roman" w:hAnsi="Times New Roman" w:cs="Times New Roman"/>
                                    <w:sz w:val="15"/>
                                    <w:szCs w:val="15"/>
                                  </w:rPr>
                                </w:pPr>
                                <w:r w:rsidRPr="00FC1FAF">
                                  <w:rPr>
                                    <w:rFonts w:ascii="Times New Roman" w:hAnsi="Times New Roman" w:cs="Times New Roman"/>
                                    <w:sz w:val="15"/>
                                    <w:szCs w:val="15"/>
                                  </w:rPr>
                                  <w:t>Виявлення сильних та слабких сторін діяльності ВНЗ</w:t>
                                </w:r>
                              </w:p>
                            </w:txbxContent>
                          </wps:txbx>
                          <wps:bodyPr rot="0" vert="horz" wrap="square" lIns="54000" tIns="10800" rIns="54000" bIns="10800" anchor="t" anchorCtr="0" upright="1">
                            <a:noAutofit/>
                          </wps:bodyPr>
                        </wps:wsp>
                        <wps:wsp>
                          <wps:cNvPr id="2012" name="Rectangle 819"/>
                          <wps:cNvSpPr>
                            <a:spLocks noChangeArrowheads="1"/>
                          </wps:cNvSpPr>
                          <wps:spPr bwMode="auto">
                            <a:xfrm>
                              <a:off x="2137" y="13902"/>
                              <a:ext cx="7380" cy="720"/>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spacing w:line="230" w:lineRule="auto"/>
                                  <w:jc w:val="center"/>
                                  <w:rPr>
                                    <w:rFonts w:ascii="Times New Roman" w:hAnsi="Times New Roman" w:cs="Times New Roman"/>
                                    <w:sz w:val="15"/>
                                    <w:szCs w:val="15"/>
                                  </w:rPr>
                                </w:pPr>
                                <w:r w:rsidRPr="00FC1FAF">
                                  <w:rPr>
                                    <w:rFonts w:ascii="Times New Roman" w:hAnsi="Times New Roman" w:cs="Times New Roman"/>
                                    <w:sz w:val="15"/>
                                    <w:szCs w:val="15"/>
                                  </w:rPr>
                                  <w:t>Вибір способів вирішення проблеми фінансового забезпечення та економічного розвитку</w:t>
                                </w:r>
                              </w:p>
                              <w:p w:rsidR="00BE40F8" w:rsidRPr="00FC1FAF" w:rsidRDefault="00BE40F8" w:rsidP="00FC1FAF">
                                <w:pPr>
                                  <w:spacing w:line="230" w:lineRule="auto"/>
                                  <w:rPr>
                                    <w:rFonts w:ascii="Times New Roman" w:hAnsi="Times New Roman" w:cs="Times New Roman"/>
                                    <w:sz w:val="15"/>
                                    <w:szCs w:val="15"/>
                                  </w:rPr>
                                </w:pPr>
                              </w:p>
                              <w:p w:rsidR="00BE40F8" w:rsidRPr="00FC1FAF" w:rsidRDefault="00BE40F8" w:rsidP="00FC1FAF">
                                <w:pPr>
                                  <w:spacing w:line="230" w:lineRule="auto"/>
                                  <w:rPr>
                                    <w:rFonts w:ascii="Times New Roman" w:hAnsi="Times New Roman" w:cs="Times New Roman"/>
                                    <w:sz w:val="15"/>
                                    <w:szCs w:val="15"/>
                                  </w:rPr>
                                </w:pPr>
                              </w:p>
                            </w:txbxContent>
                          </wps:txbx>
                          <wps:bodyPr rot="0" vert="horz" wrap="square" lIns="91440" tIns="45720" rIns="91440" bIns="45720" anchor="t" anchorCtr="0" upright="1">
                            <a:noAutofit/>
                          </wps:bodyPr>
                        </wps:wsp>
                        <wps:wsp>
                          <wps:cNvPr id="2013" name="Rectangle 820"/>
                          <wps:cNvSpPr>
                            <a:spLocks noChangeArrowheads="1"/>
                          </wps:cNvSpPr>
                          <wps:spPr bwMode="auto">
                            <a:xfrm>
                              <a:off x="2137" y="15456"/>
                              <a:ext cx="7380" cy="426"/>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Збільшення обсягів бюджетного фінансування</w:t>
                                </w:r>
                              </w:p>
                            </w:txbxContent>
                          </wps:txbx>
                          <wps:bodyPr rot="0" vert="horz" wrap="square" lIns="91440" tIns="10800" rIns="91440" bIns="10800" anchor="t" anchorCtr="0" upright="1">
                            <a:noAutofit/>
                          </wps:bodyPr>
                        </wps:wsp>
                        <wps:wsp>
                          <wps:cNvPr id="2014" name="Rectangle 821"/>
                          <wps:cNvSpPr>
                            <a:spLocks noChangeArrowheads="1"/>
                          </wps:cNvSpPr>
                          <wps:spPr bwMode="auto">
                            <a:xfrm>
                              <a:off x="2137" y="17502"/>
                              <a:ext cx="7380" cy="474"/>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Оптимізація видатків</w:t>
                                </w:r>
                              </w:p>
                            </w:txbxContent>
                          </wps:txbx>
                          <wps:bodyPr rot="0" vert="horz" wrap="square" lIns="91440" tIns="45720" rIns="91440" bIns="45720" anchor="t" anchorCtr="0" upright="1">
                            <a:noAutofit/>
                          </wps:bodyPr>
                        </wps:wsp>
                        <wps:wsp>
                          <wps:cNvPr id="2015" name="Rectangle 822"/>
                          <wps:cNvSpPr>
                            <a:spLocks noChangeArrowheads="1"/>
                          </wps:cNvSpPr>
                          <wps:spPr bwMode="auto">
                            <a:xfrm>
                              <a:off x="2137" y="17976"/>
                              <a:ext cx="7379" cy="426"/>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Оптимізація організаційної структури управління ФГД</w:t>
                                </w:r>
                              </w:p>
                            </w:txbxContent>
                          </wps:txbx>
                          <wps:bodyPr rot="0" vert="horz" wrap="square" lIns="54000" tIns="10800" rIns="54000" bIns="10800" anchor="t" anchorCtr="0" upright="1">
                            <a:noAutofit/>
                          </wps:bodyPr>
                        </wps:wsp>
                        <wps:wsp>
                          <wps:cNvPr id="2016" name="Rectangle 823"/>
                          <wps:cNvSpPr>
                            <a:spLocks noChangeArrowheads="1"/>
                          </wps:cNvSpPr>
                          <wps:spPr bwMode="auto">
                            <a:xfrm>
                              <a:off x="2137" y="18582"/>
                              <a:ext cx="7380" cy="540"/>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ind w:firstLine="0"/>
                                  <w:jc w:val="center"/>
                                  <w:rPr>
                                    <w:rFonts w:ascii="Times New Roman" w:hAnsi="Times New Roman" w:cs="Times New Roman"/>
                                    <w:sz w:val="15"/>
                                    <w:szCs w:val="15"/>
                                  </w:rPr>
                                </w:pPr>
                                <w:r w:rsidRPr="00FC1FAF">
                                  <w:rPr>
                                    <w:rFonts w:ascii="Times New Roman" w:hAnsi="Times New Roman" w:cs="Times New Roman"/>
                                    <w:sz w:val="15"/>
                                    <w:szCs w:val="15"/>
                                  </w:rPr>
                                  <w:t>Узгодження всіх заходів у відповідності до визначених напрямів діяльності</w:t>
                                </w:r>
                              </w:p>
                            </w:txbxContent>
                          </wps:txbx>
                          <wps:bodyPr rot="0" vert="horz" wrap="square" lIns="0" tIns="0" rIns="0" bIns="0" anchor="t" anchorCtr="0" upright="1">
                            <a:noAutofit/>
                          </wps:bodyPr>
                        </wps:wsp>
                        <wps:wsp>
                          <wps:cNvPr id="2017" name="Rectangle 824"/>
                          <wps:cNvSpPr>
                            <a:spLocks noChangeArrowheads="1"/>
                          </wps:cNvSpPr>
                          <wps:spPr bwMode="auto">
                            <a:xfrm>
                              <a:off x="2137" y="16422"/>
                              <a:ext cx="7379" cy="540"/>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Розширення обсягів діяльності по наданню освітніх послуг</w:t>
                                </w:r>
                              </w:p>
                            </w:txbxContent>
                          </wps:txbx>
                          <wps:bodyPr rot="0" vert="horz" wrap="square" lIns="91440" tIns="45720" rIns="91440" bIns="45720" anchor="t" anchorCtr="0" upright="1">
                            <a:noAutofit/>
                          </wps:bodyPr>
                        </wps:wsp>
                        <wps:wsp>
                          <wps:cNvPr id="2018" name="Rectangle 825"/>
                          <wps:cNvSpPr>
                            <a:spLocks noChangeArrowheads="1"/>
                          </wps:cNvSpPr>
                          <wps:spPr bwMode="auto">
                            <a:xfrm>
                              <a:off x="2137" y="15882"/>
                              <a:ext cx="7379" cy="540"/>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Залучення інвестиційних ресурсів</w:t>
                                </w:r>
                              </w:p>
                            </w:txbxContent>
                          </wps:txbx>
                          <wps:bodyPr rot="0" vert="horz" wrap="square" lIns="91440" tIns="45720" rIns="91440" bIns="45720" anchor="t" anchorCtr="0" upright="1">
                            <a:noAutofit/>
                          </wps:bodyPr>
                        </wps:wsp>
                        <wps:wsp>
                          <wps:cNvPr id="2019" name="Rectangle 826"/>
                          <wps:cNvSpPr>
                            <a:spLocks noChangeArrowheads="1"/>
                          </wps:cNvSpPr>
                          <wps:spPr bwMode="auto">
                            <a:xfrm>
                              <a:off x="2137" y="16962"/>
                              <a:ext cx="7380" cy="540"/>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Розвиток діяльності з надання додаткових платних послуг</w:t>
                                </w:r>
                              </w:p>
                            </w:txbxContent>
                          </wps:txbx>
                          <wps:bodyPr rot="0" vert="horz" wrap="square" lIns="91440" tIns="45720" rIns="91440" bIns="45720" anchor="t" anchorCtr="0" upright="1">
                            <a:noAutofit/>
                          </wps:bodyPr>
                        </wps:wsp>
                        <wps:wsp>
                          <wps:cNvPr id="2020" name="Line 827"/>
                          <wps:cNvCnPr/>
                          <wps:spPr bwMode="auto">
                            <a:xfrm>
                              <a:off x="5750" y="13182"/>
                              <a:ext cx="1"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21" name="Rectangle 828"/>
                          <wps:cNvSpPr>
                            <a:spLocks noChangeArrowheads="1"/>
                          </wps:cNvSpPr>
                          <wps:spPr bwMode="auto">
                            <a:xfrm>
                              <a:off x="2137" y="14802"/>
                              <a:ext cx="7380" cy="654"/>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ind w:firstLine="0"/>
                                  <w:jc w:val="center"/>
                                  <w:rPr>
                                    <w:rFonts w:ascii="Times New Roman" w:hAnsi="Times New Roman" w:cs="Times New Roman"/>
                                    <w:sz w:val="15"/>
                                    <w:szCs w:val="15"/>
                                  </w:rPr>
                                </w:pPr>
                                <w:r w:rsidRPr="00FC1FAF">
                                  <w:rPr>
                                    <w:rFonts w:ascii="Times New Roman" w:hAnsi="Times New Roman" w:cs="Times New Roman"/>
                                    <w:sz w:val="15"/>
                                    <w:szCs w:val="15"/>
                                  </w:rPr>
                                  <w:t>Визначення напрямів діяльності та вироблення заходів для їх здійснення</w:t>
                                </w:r>
                              </w:p>
                              <w:p w:rsidR="00BE40F8" w:rsidRPr="00FC1FAF" w:rsidRDefault="00BE40F8" w:rsidP="00FC1FAF">
                                <w:pPr>
                                  <w:rPr>
                                    <w:rFonts w:ascii="Times New Roman" w:hAnsi="Times New Roman" w:cs="Times New Roman"/>
                                    <w:sz w:val="15"/>
                                    <w:szCs w:val="15"/>
                                  </w:rPr>
                                </w:pPr>
                              </w:p>
                            </w:txbxContent>
                          </wps:txbx>
                          <wps:bodyPr rot="0" vert="horz" wrap="square" lIns="0" tIns="0" rIns="0" bIns="0" anchor="t" anchorCtr="0" upright="1">
                            <a:noAutofit/>
                          </wps:bodyPr>
                        </wps:wsp>
                        <wps:wsp>
                          <wps:cNvPr id="2022" name="Rectangle 829"/>
                          <wps:cNvSpPr>
                            <a:spLocks noChangeArrowheads="1"/>
                          </wps:cNvSpPr>
                          <wps:spPr bwMode="auto">
                            <a:xfrm>
                              <a:off x="2137" y="19956"/>
                              <a:ext cx="7380" cy="540"/>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Визначення методів управління та інструментів їх реалізації</w:t>
                                </w:r>
                              </w:p>
                            </w:txbxContent>
                          </wps:txbx>
                          <wps:bodyPr rot="0" vert="horz" wrap="square" lIns="91440" tIns="45720" rIns="91440" bIns="45720" anchor="t" anchorCtr="0" upright="1">
                            <a:noAutofit/>
                          </wps:bodyPr>
                        </wps:wsp>
                        <wps:wsp>
                          <wps:cNvPr id="2023" name="Rectangle 830"/>
                          <wps:cNvSpPr>
                            <a:spLocks noChangeArrowheads="1"/>
                          </wps:cNvSpPr>
                          <wps:spPr bwMode="auto">
                            <a:xfrm>
                              <a:off x="2137" y="13362"/>
                              <a:ext cx="7379" cy="540"/>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Розробка перспективного плану розвитку</w:t>
                                </w:r>
                              </w:p>
                            </w:txbxContent>
                          </wps:txbx>
                          <wps:bodyPr rot="0" vert="horz" wrap="square" lIns="91440" tIns="45720" rIns="91440" bIns="45720" anchor="t" anchorCtr="0" upright="1">
                            <a:noAutofit/>
                          </wps:bodyPr>
                        </wps:wsp>
                        <wps:wsp>
                          <wps:cNvPr id="2024" name="Rectangle 831"/>
                          <wps:cNvSpPr>
                            <a:spLocks noChangeArrowheads="1"/>
                          </wps:cNvSpPr>
                          <wps:spPr bwMode="auto">
                            <a:xfrm>
                              <a:off x="2136" y="19302"/>
                              <a:ext cx="7380" cy="474"/>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Визначення відповідальних осіб і строків виконання</w:t>
                                </w:r>
                              </w:p>
                            </w:txbxContent>
                          </wps:txbx>
                          <wps:bodyPr rot="0" vert="horz" wrap="square" lIns="91440" tIns="45720" rIns="91440" bIns="45720" anchor="t" anchorCtr="0" upright="1">
                            <a:noAutofit/>
                          </wps:bodyPr>
                        </wps:wsp>
                        <wps:wsp>
                          <wps:cNvPr id="2025" name="Line 832"/>
                          <wps:cNvCnPr/>
                          <wps:spPr bwMode="auto">
                            <a:xfrm>
                              <a:off x="5752" y="19776"/>
                              <a:ext cx="1"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26" name="Line 833"/>
                          <wps:cNvCnPr/>
                          <wps:spPr bwMode="auto">
                            <a:xfrm>
                              <a:off x="5754" y="18402"/>
                              <a:ext cx="1"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27" name="Line 834"/>
                          <wps:cNvCnPr/>
                          <wps:spPr bwMode="auto">
                            <a:xfrm>
                              <a:off x="5753" y="19122"/>
                              <a:ext cx="1"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28" name="Line 835"/>
                          <wps:cNvCnPr/>
                          <wps:spPr bwMode="auto">
                            <a:xfrm>
                              <a:off x="5751" y="20496"/>
                              <a:ext cx="1"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29" name="Rectangle 836"/>
                          <wps:cNvSpPr>
                            <a:spLocks noChangeArrowheads="1"/>
                          </wps:cNvSpPr>
                          <wps:spPr bwMode="auto">
                            <a:xfrm>
                              <a:off x="2137" y="20676"/>
                              <a:ext cx="7380" cy="426"/>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Реалізація заходів у відповідності до напрямів діяльності</w:t>
                                </w:r>
                              </w:p>
                            </w:txbxContent>
                          </wps:txbx>
                          <wps:bodyPr rot="0" vert="horz" wrap="square" lIns="18000" tIns="10800" rIns="18000" bIns="10800" anchor="t" anchorCtr="0" upright="1">
                            <a:noAutofit/>
                          </wps:bodyPr>
                        </wps:wsp>
                        <wps:wsp>
                          <wps:cNvPr id="2030" name="Rectangle 837"/>
                          <wps:cNvSpPr>
                            <a:spLocks noChangeArrowheads="1"/>
                          </wps:cNvSpPr>
                          <wps:spPr bwMode="auto">
                            <a:xfrm>
                              <a:off x="2137" y="21282"/>
                              <a:ext cx="7380" cy="720"/>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Визначення критеріїв та параметрів фінансово-господарської діяльності та контроль за їх виконанням</w:t>
                                </w:r>
                              </w:p>
                            </w:txbxContent>
                          </wps:txbx>
                          <wps:bodyPr rot="0" vert="horz" wrap="square" lIns="91440" tIns="45720" rIns="91440" bIns="45720" anchor="t" anchorCtr="0" upright="1">
                            <a:noAutofit/>
                          </wps:bodyPr>
                        </wps:wsp>
                        <wps:wsp>
                          <wps:cNvPr id="2031" name="Line 838"/>
                          <wps:cNvCnPr/>
                          <wps:spPr bwMode="auto">
                            <a:xfrm>
                              <a:off x="5746" y="21084"/>
                              <a:ext cx="1"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32" name="Line 839"/>
                          <wps:cNvCnPr/>
                          <wps:spPr bwMode="auto">
                            <a:xfrm flipH="1">
                              <a:off x="1957" y="20202"/>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33" name="Line 840"/>
                          <wps:cNvCnPr/>
                          <wps:spPr bwMode="auto">
                            <a:xfrm flipH="1">
                              <a:off x="1957" y="20922"/>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34" name="Line 841"/>
                          <wps:cNvCnPr/>
                          <wps:spPr bwMode="auto">
                            <a:xfrm flipH="1">
                              <a:off x="9517" y="20920"/>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35" name="Line 842"/>
                          <wps:cNvCnPr/>
                          <wps:spPr bwMode="auto">
                            <a:xfrm flipH="1">
                              <a:off x="9517" y="20199"/>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36" name="Line 843"/>
                          <wps:cNvCnPr/>
                          <wps:spPr bwMode="auto">
                            <a:xfrm>
                              <a:off x="1956" y="20202"/>
                              <a:ext cx="1"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37" name="Line 844"/>
                          <wps:cNvCnPr/>
                          <wps:spPr bwMode="auto">
                            <a:xfrm>
                              <a:off x="9697" y="20199"/>
                              <a:ext cx="1"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38" name="Line 845"/>
                          <wps:cNvCnPr/>
                          <wps:spPr bwMode="auto">
                            <a:xfrm>
                              <a:off x="1957" y="13542"/>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39" name="Line 846"/>
                          <wps:cNvCnPr/>
                          <wps:spPr bwMode="auto">
                            <a:xfrm>
                              <a:off x="9516" y="13540"/>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40" name="Line 847"/>
                          <wps:cNvCnPr/>
                          <wps:spPr bwMode="auto">
                            <a:xfrm flipH="1">
                              <a:off x="1957" y="19482"/>
                              <a:ext cx="180" cy="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41" name="Line 848"/>
                          <wps:cNvCnPr/>
                          <wps:spPr bwMode="auto">
                            <a:xfrm flipH="1">
                              <a:off x="9516" y="19481"/>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42" name="Line 849"/>
                          <wps:cNvCnPr/>
                          <wps:spPr bwMode="auto">
                            <a:xfrm>
                              <a:off x="9696" y="13545"/>
                              <a:ext cx="1" cy="59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43" name="Rectangle 850"/>
                          <wps:cNvSpPr>
                            <a:spLocks noChangeArrowheads="1"/>
                          </wps:cNvSpPr>
                          <wps:spPr bwMode="auto">
                            <a:xfrm>
                              <a:off x="2582" y="12822"/>
                              <a:ext cx="6300" cy="360"/>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ind w:firstLine="0"/>
                                  <w:jc w:val="center"/>
                                  <w:rPr>
                                    <w:rFonts w:ascii="Times New Roman" w:hAnsi="Times New Roman" w:cs="Times New Roman"/>
                                    <w:sz w:val="15"/>
                                    <w:szCs w:val="15"/>
                                  </w:rPr>
                                </w:pPr>
                                <w:r w:rsidRPr="00FC1FAF">
                                  <w:rPr>
                                    <w:rFonts w:ascii="Times New Roman" w:hAnsi="Times New Roman" w:cs="Times New Roman"/>
                                    <w:sz w:val="15"/>
                                    <w:szCs w:val="15"/>
                                  </w:rPr>
                                  <w:t>Визначення ризиків та способів їх нейтралізації</w:t>
                                </w:r>
                              </w:p>
                            </w:txbxContent>
                          </wps:txbx>
                          <wps:bodyPr rot="0" vert="horz" wrap="square" lIns="18000" tIns="10800" rIns="18000" bIns="10800" anchor="t" anchorCtr="0" upright="1">
                            <a:noAutofit/>
                          </wps:bodyPr>
                        </wps:wsp>
                        <wps:wsp>
                          <wps:cNvPr id="2044" name="Line 851"/>
                          <wps:cNvCnPr/>
                          <wps:spPr bwMode="auto">
                            <a:xfrm>
                              <a:off x="5749" y="12642"/>
                              <a:ext cx="1"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45" name="Line 852"/>
                          <wps:cNvCnPr/>
                          <wps:spPr bwMode="auto">
                            <a:xfrm>
                              <a:off x="5748" y="11922"/>
                              <a:ext cx="1"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46" name="Rectangle 853"/>
                          <wps:cNvSpPr>
                            <a:spLocks noChangeArrowheads="1"/>
                          </wps:cNvSpPr>
                          <wps:spPr bwMode="auto">
                            <a:xfrm>
                              <a:off x="2581" y="10405"/>
                              <a:ext cx="6300" cy="617"/>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ind w:firstLine="0"/>
                                  <w:jc w:val="center"/>
                                  <w:rPr>
                                    <w:rFonts w:ascii="Times New Roman" w:hAnsi="Times New Roman" w:cs="Times New Roman"/>
                                    <w:sz w:val="15"/>
                                    <w:szCs w:val="15"/>
                                  </w:rPr>
                                </w:pPr>
                                <w:r w:rsidRPr="00FC1FAF">
                                  <w:rPr>
                                    <w:rFonts w:ascii="Times New Roman" w:hAnsi="Times New Roman" w:cs="Times New Roman"/>
                                    <w:sz w:val="15"/>
                                    <w:szCs w:val="15"/>
                                  </w:rPr>
                                  <w:t>Аналіз стану і умов фінансово-господарської діяльності ВНЗ</w:t>
                                </w:r>
                              </w:p>
                            </w:txbxContent>
                          </wps:txbx>
                          <wps:bodyPr rot="0" vert="horz" wrap="square" lIns="0" tIns="0" rIns="0" bIns="0" anchor="t" anchorCtr="0" upright="1">
                            <a:noAutofit/>
                          </wps:bodyPr>
                        </wps:wsp>
                        <wps:wsp>
                          <wps:cNvPr id="2047" name="Line 854"/>
                          <wps:cNvCnPr/>
                          <wps:spPr bwMode="auto">
                            <a:xfrm>
                              <a:off x="5747" y="11022"/>
                              <a:ext cx="1"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48" name="Line 855"/>
                          <wps:cNvCnPr/>
                          <wps:spPr bwMode="auto">
                            <a:xfrm>
                              <a:off x="2401" y="10660"/>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49" name="Line 856"/>
                          <wps:cNvCnPr/>
                          <wps:spPr bwMode="auto">
                            <a:xfrm>
                              <a:off x="2402" y="13000"/>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0" name="Line 857"/>
                          <wps:cNvCnPr/>
                          <wps:spPr bwMode="auto">
                            <a:xfrm flipV="1">
                              <a:off x="8881" y="10660"/>
                              <a:ext cx="196"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1" name="Line 858"/>
                          <wps:cNvCnPr/>
                          <wps:spPr bwMode="auto">
                            <a:xfrm>
                              <a:off x="8881" y="12999"/>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2" name="Line 859"/>
                          <wps:cNvCnPr/>
                          <wps:spPr bwMode="auto">
                            <a:xfrm>
                              <a:off x="2401" y="10661"/>
                              <a:ext cx="1" cy="23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3" name="Line 860"/>
                          <wps:cNvCnPr/>
                          <wps:spPr bwMode="auto">
                            <a:xfrm>
                              <a:off x="9076" y="10662"/>
                              <a:ext cx="1" cy="23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4" name="AutoShape 861"/>
                          <wps:cNvSpPr>
                            <a:spLocks noChangeArrowheads="1"/>
                          </wps:cNvSpPr>
                          <wps:spPr bwMode="auto">
                            <a:xfrm>
                              <a:off x="5557" y="10225"/>
                              <a:ext cx="360" cy="18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2055" name="Rectangle 862"/>
                          <wps:cNvSpPr>
                            <a:spLocks noChangeArrowheads="1"/>
                          </wps:cNvSpPr>
                          <wps:spPr bwMode="auto">
                            <a:xfrm>
                              <a:off x="2137" y="22182"/>
                              <a:ext cx="7380" cy="666"/>
                            </a:xfrm>
                            <a:prstGeom prst="rect">
                              <a:avLst/>
                            </a:prstGeom>
                            <a:solidFill>
                              <a:srgbClr val="FFFFFF"/>
                            </a:solidFill>
                            <a:ln w="9525">
                              <a:solidFill>
                                <a:srgbClr val="000000"/>
                              </a:solidFill>
                              <a:miter lim="800000"/>
                              <a:headEnd/>
                              <a:tailEnd/>
                            </a:ln>
                          </wps:spPr>
                          <wps:txbx>
                            <w:txbxContent>
                              <w:p w:rsidR="00BE40F8" w:rsidRPr="00FC1FAF" w:rsidRDefault="00BE40F8" w:rsidP="007D5F7E">
                                <w:pPr>
                                  <w:ind w:firstLine="0"/>
                                  <w:jc w:val="center"/>
                                  <w:rPr>
                                    <w:rFonts w:ascii="Times New Roman" w:hAnsi="Times New Roman" w:cs="Times New Roman"/>
                                    <w:sz w:val="15"/>
                                    <w:szCs w:val="15"/>
                                  </w:rPr>
                                </w:pPr>
                                <w:r w:rsidRPr="00FC1FAF">
                                  <w:rPr>
                                    <w:rFonts w:ascii="Times New Roman" w:hAnsi="Times New Roman" w:cs="Times New Roman"/>
                                    <w:sz w:val="15"/>
                                    <w:szCs w:val="15"/>
                                  </w:rPr>
                                  <w:t xml:space="preserve">Оцінка ефективності управління фінансово-господарською діяльністю ВНЗ </w:t>
                                </w:r>
                              </w:p>
                            </w:txbxContent>
                          </wps:txbx>
                          <wps:bodyPr rot="0" vert="horz" wrap="square" lIns="0" tIns="0" rIns="0" bIns="0" anchor="t" anchorCtr="0" upright="1">
                            <a:noAutofit/>
                          </wps:bodyPr>
                        </wps:wsp>
                        <wps:wsp>
                          <wps:cNvPr id="2056" name="Line 863"/>
                          <wps:cNvCnPr/>
                          <wps:spPr bwMode="auto">
                            <a:xfrm>
                              <a:off x="6097" y="22002"/>
                              <a:ext cx="1"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7" name="Line 864"/>
                          <wps:cNvCnPr/>
                          <wps:spPr bwMode="auto">
                            <a:xfrm>
                              <a:off x="5747" y="14622"/>
                              <a:ext cx="1"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8" name="Line 865"/>
                          <wps:cNvCnPr/>
                          <wps:spPr bwMode="auto">
                            <a:xfrm>
                              <a:off x="1956" y="13542"/>
                              <a:ext cx="2" cy="59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9" name="Line 866"/>
                          <wps:cNvCnPr/>
                          <wps:spPr bwMode="auto">
                            <a:xfrm flipH="1">
                              <a:off x="1957" y="21642"/>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0" name="Line 867"/>
                          <wps:cNvCnPr/>
                          <wps:spPr bwMode="auto">
                            <a:xfrm flipH="1">
                              <a:off x="1957" y="22361"/>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1" name="Line 868"/>
                          <wps:cNvCnPr/>
                          <wps:spPr bwMode="auto">
                            <a:xfrm>
                              <a:off x="1957" y="21642"/>
                              <a:ext cx="1"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2" name="Line 869"/>
                          <wps:cNvCnPr/>
                          <wps:spPr bwMode="auto">
                            <a:xfrm flipH="1">
                              <a:off x="9518" y="21640"/>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3" name="Line 870"/>
                          <wps:cNvCnPr/>
                          <wps:spPr bwMode="auto">
                            <a:xfrm flipH="1">
                              <a:off x="9516" y="22359"/>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4" name="Line 871"/>
                          <wps:cNvCnPr/>
                          <wps:spPr bwMode="auto">
                            <a:xfrm>
                              <a:off x="9698" y="21643"/>
                              <a:ext cx="1"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5" name="AutoShape 872"/>
                          <wps:cNvSpPr>
                            <a:spLocks noChangeArrowheads="1"/>
                          </wps:cNvSpPr>
                          <wps:spPr bwMode="auto">
                            <a:xfrm>
                              <a:off x="1773" y="11562"/>
                              <a:ext cx="628" cy="540"/>
                            </a:xfrm>
                            <a:prstGeom prst="stripedRightArrow">
                              <a:avLst>
                                <a:gd name="adj1" fmla="val 50000"/>
                                <a:gd name="adj2" fmla="val 2907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66" name="AutoShape 873"/>
                          <wps:cNvSpPr>
                            <a:spLocks noChangeArrowheads="1"/>
                          </wps:cNvSpPr>
                          <wps:spPr bwMode="auto">
                            <a:xfrm>
                              <a:off x="1777" y="16242"/>
                              <a:ext cx="180" cy="540"/>
                            </a:xfrm>
                            <a:prstGeom prst="striped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67" name="AutoShape 874"/>
                          <wps:cNvSpPr>
                            <a:spLocks noChangeArrowheads="1"/>
                          </wps:cNvSpPr>
                          <wps:spPr bwMode="auto">
                            <a:xfrm>
                              <a:off x="1777" y="20382"/>
                              <a:ext cx="180" cy="360"/>
                            </a:xfrm>
                            <a:prstGeom prst="striped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68" name="AutoShape 875"/>
                          <wps:cNvSpPr>
                            <a:spLocks noChangeArrowheads="1"/>
                          </wps:cNvSpPr>
                          <wps:spPr bwMode="auto">
                            <a:xfrm>
                              <a:off x="1777" y="21822"/>
                              <a:ext cx="180" cy="360"/>
                            </a:xfrm>
                            <a:prstGeom prst="striped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69" name="AutoShape 876"/>
                          <wps:cNvSpPr>
                            <a:spLocks noChangeArrowheads="1"/>
                          </wps:cNvSpPr>
                          <wps:spPr bwMode="auto">
                            <a:xfrm>
                              <a:off x="9699" y="16062"/>
                              <a:ext cx="180" cy="90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s:wsp>
                        <wps:cNvPr id="2070" name="Text Box 877"/>
                        <wps:cNvSpPr txBox="1">
                          <a:spLocks noChangeArrowheads="1"/>
                        </wps:cNvSpPr>
                        <wps:spPr bwMode="auto">
                          <a:xfrm>
                            <a:off x="9953" y="9947"/>
                            <a:ext cx="548" cy="12761"/>
                          </a:xfrm>
                          <a:prstGeom prst="rect">
                            <a:avLst/>
                          </a:prstGeom>
                          <a:solidFill>
                            <a:srgbClr val="FFFFFF"/>
                          </a:solidFill>
                          <a:ln w="9525">
                            <a:solidFill>
                              <a:srgbClr val="000000"/>
                            </a:solidFill>
                            <a:miter lim="800000"/>
                            <a:headEnd/>
                            <a:tailEnd/>
                          </a:ln>
                        </wps:spPr>
                        <wps:txbx>
                          <w:txbxContent>
                            <w:p w:rsidR="00BE40F8" w:rsidRPr="00FC1FAF" w:rsidRDefault="00BE40F8" w:rsidP="00FC1FAF">
                              <w:pPr>
                                <w:jc w:val="center"/>
                                <w:rPr>
                                  <w:rFonts w:ascii="Times New Roman" w:hAnsi="Times New Roman" w:cs="Times New Roman"/>
                                  <w:b/>
                                  <w:sz w:val="15"/>
                                  <w:szCs w:val="15"/>
                                </w:rPr>
                              </w:pPr>
                              <w:r w:rsidRPr="00FC1FAF">
                                <w:rPr>
                                  <w:rFonts w:ascii="Times New Roman" w:hAnsi="Times New Roman" w:cs="Times New Roman"/>
                                  <w:b/>
                                  <w:sz w:val="15"/>
                                  <w:szCs w:val="15"/>
                                </w:rPr>
                                <w:t>ЕКОНОМІЧНИЙ РОЗВИТОК ВНЗ</w:t>
                              </w:r>
                            </w:p>
                            <w:p w:rsidR="00BE40F8" w:rsidRPr="00FC1FAF" w:rsidRDefault="00BE40F8" w:rsidP="00FC1FAF">
                              <w:pPr>
                                <w:jc w:val="center"/>
                                <w:rPr>
                                  <w:rFonts w:ascii="Times New Roman" w:hAnsi="Times New Roman" w:cs="Times New Roman"/>
                                  <w:b/>
                                  <w:sz w:val="15"/>
                                  <w:szCs w:val="15"/>
                                </w:rPr>
                              </w:pPr>
                              <w:r w:rsidRPr="00FC1FAF">
                                <w:rPr>
                                  <w:rFonts w:ascii="Times New Roman" w:hAnsi="Times New Roman" w:cs="Times New Roman"/>
                                  <w:b/>
                                  <w:sz w:val="15"/>
                                  <w:szCs w:val="15"/>
                                </w:rPr>
                                <w:t>ЕКОНОМІЧНИЙ РОЗВИТОК ВНЗ</w:t>
                              </w:r>
                            </w:p>
                          </w:txbxContent>
                        </wps:txbx>
                        <wps:bodyPr rot="0" vert="vert270" wrap="square" lIns="54000" tIns="10800" rIns="54000" bIns="1080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05A0FFEF" id="_x0000_s2441" style="position:absolute;left:0;text-align:left;margin-left:-3.45pt;margin-top:-6.75pt;width:308.75pt;height:429.35pt;z-index:251741184;mso-position-horizontal-relative:text;mso-position-vertical-relative:text;mso-width-relative:margin;mso-height-relative:margin" coordorigin="1057,9803" coordsize="9444,13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">
                <v:rect id="Rectangle 811" o:spid="_x0000_s2442" style="position:absolute;left:3398;top:9803;width:5579;height: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">
                  <v:textbox inset="1.5mm,0,1.5mm,0">
                    <w:txbxContent>
                      <w:p w:rsidR="00BE40F8" w:rsidRPr="00FC1FAF" w:rsidRDefault="00BE40F8" w:rsidP="00FC1FAF">
                        <w:pPr>
                          <w:ind w:firstLine="0"/>
                          <w:jc w:val="center"/>
                          <w:rPr>
                            <w:rFonts w:ascii="Times New Roman" w:hAnsi="Times New Roman" w:cs="Times New Roman"/>
                            <w:sz w:val="15"/>
                            <w:szCs w:val="15"/>
                          </w:rPr>
                        </w:pPr>
                        <w:r w:rsidRPr="00FC1FAF">
                          <w:rPr>
                            <w:rFonts w:ascii="Times New Roman" w:hAnsi="Times New Roman" w:cs="Times New Roman"/>
                            <w:sz w:val="15"/>
                            <w:szCs w:val="15"/>
                          </w:rPr>
                          <w:t>Визначення мети і завдань</w:t>
                        </w:r>
                      </w:p>
                    </w:txbxContent>
                  </v:textbox>
                </v:rect>
                <v:shape id="Text Box 812" o:spid="_x0000_s2443" type="#_x0000_t202" style="position:absolute;left:1057;top:10302;width:720;height:2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">
                  <v:textbox style="layout-flow:vertical;mso-layout-flow-alt:bottom-to-top" inset="2.5mm,2.3mm,2.5mm,2.3mm">
                    <w:txbxContent>
                      <w:p w:rsidR="00BE40F8" w:rsidRPr="00FC1FAF" w:rsidRDefault="00BE40F8" w:rsidP="00FC1FAF">
                        <w:pPr>
                          <w:ind w:firstLine="0"/>
                          <w:jc w:val="center"/>
                          <w:rPr>
                            <w:rFonts w:ascii="Times New Roman" w:hAnsi="Times New Roman" w:cs="Times New Roman"/>
                            <w:sz w:val="15"/>
                            <w:szCs w:val="15"/>
                          </w:rPr>
                        </w:pPr>
                        <w:r w:rsidRPr="00FC1FAF">
                          <w:rPr>
                            <w:rFonts w:ascii="Times New Roman" w:hAnsi="Times New Roman" w:cs="Times New Roman"/>
                            <w:sz w:val="15"/>
                            <w:szCs w:val="15"/>
                          </w:rPr>
                          <w:t>Підсистема аналізу</w:t>
                        </w:r>
                      </w:p>
                    </w:txbxContent>
                  </v:textbox>
                </v:shape>
                <v:shape id="Text Box 813" o:spid="_x0000_s2444" type="#_x0000_t202" style="position:absolute;left:1057;top:13362;width:720;height:64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">
                  <v:textbox style="layout-flow:vertical;mso-layout-flow-alt:bottom-to-top">
                    <w:txbxContent>
                      <w:p w:rsidR="00BE40F8" w:rsidRPr="00FC1FAF" w:rsidRDefault="00BE40F8" w:rsidP="00FC1FAF">
                        <w:pPr>
                          <w:ind w:firstLine="0"/>
                          <w:jc w:val="center"/>
                          <w:rPr>
                            <w:rFonts w:ascii="Times New Roman" w:hAnsi="Times New Roman" w:cs="Times New Roman"/>
                            <w:sz w:val="15"/>
                            <w:szCs w:val="15"/>
                          </w:rPr>
                        </w:pPr>
                        <w:r w:rsidRPr="00FC1FAF">
                          <w:rPr>
                            <w:rFonts w:ascii="Times New Roman" w:hAnsi="Times New Roman" w:cs="Times New Roman"/>
                            <w:sz w:val="15"/>
                            <w:szCs w:val="15"/>
                          </w:rPr>
                          <w:t>Підсистема прогнозування і планування</w:t>
                        </w:r>
                      </w:p>
                    </w:txbxContent>
                  </v:textbox>
                </v:shape>
                <v:shape id="Text Box 814" o:spid="_x0000_s2445" type="#_x0000_t202" style="position:absolute;left:1066;top:19956;width:711;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">
                  <v:textbox style="layout-flow:vertical;mso-layout-flow-alt:bottom-to-top" inset=".5mm,.3mm,.5mm,.3mm">
                    <w:txbxContent>
                      <w:p w:rsidR="00BE40F8" w:rsidRPr="00FC1FAF" w:rsidRDefault="00BE40F8" w:rsidP="007D5F7E">
                        <w:pPr>
                          <w:spacing w:line="192" w:lineRule="auto"/>
                          <w:ind w:firstLine="0"/>
                          <w:jc w:val="center"/>
                          <w:rPr>
                            <w:rFonts w:ascii="Times New Roman" w:hAnsi="Times New Roman" w:cs="Times New Roman"/>
                            <w:sz w:val="15"/>
                            <w:szCs w:val="15"/>
                          </w:rPr>
                        </w:pPr>
                        <w:r w:rsidRPr="00FC1FAF">
                          <w:rPr>
                            <w:rFonts w:ascii="Times New Roman" w:hAnsi="Times New Roman" w:cs="Times New Roman"/>
                            <w:sz w:val="15"/>
                            <w:szCs w:val="15"/>
                          </w:rPr>
                          <w:t>Підсистема організації</w:t>
                        </w:r>
                      </w:p>
                    </w:txbxContent>
                  </v:textbox>
                </v:shape>
                <v:shape id="Text Box 815" o:spid="_x0000_s2446" type="#_x0000_t202" style="position:absolute;left:1057;top:21396;width:72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">
                  <v:textbox style="layout-flow:vertical;mso-layout-flow-alt:bottom-to-top" inset=".5mm,.3mm,.5mm,.3mm">
                    <w:txbxContent>
                      <w:p w:rsidR="00BE40F8" w:rsidRDefault="00BE40F8" w:rsidP="00197F22">
                        <w:pPr>
                          <w:spacing w:line="204" w:lineRule="auto"/>
                          <w:ind w:firstLine="0"/>
                          <w:jc w:val="center"/>
                          <w:rPr>
                            <w:rFonts w:ascii="Times New Roman" w:hAnsi="Times New Roman" w:cs="Times New Roman"/>
                            <w:sz w:val="15"/>
                            <w:szCs w:val="15"/>
                          </w:rPr>
                        </w:pPr>
                        <w:r w:rsidRPr="00FC1FAF">
                          <w:rPr>
                            <w:rFonts w:ascii="Times New Roman" w:hAnsi="Times New Roman" w:cs="Times New Roman"/>
                            <w:sz w:val="15"/>
                            <w:szCs w:val="15"/>
                          </w:rPr>
                          <w:t>Підсистема контролю</w:t>
                        </w:r>
                      </w:p>
                      <w:p w:rsidR="00BE40F8" w:rsidRPr="00FC1FAF" w:rsidRDefault="00BE40F8" w:rsidP="007D5F7E">
                        <w:pPr>
                          <w:spacing w:line="204" w:lineRule="auto"/>
                          <w:ind w:firstLine="0"/>
                          <w:jc w:val="center"/>
                          <w:rPr>
                            <w:rFonts w:ascii="Times New Roman" w:hAnsi="Times New Roman" w:cs="Times New Roman"/>
                            <w:sz w:val="15"/>
                            <w:szCs w:val="15"/>
                          </w:rPr>
                        </w:pPr>
                        <w:r w:rsidRPr="00FC1FAF">
                          <w:rPr>
                            <w:rFonts w:ascii="Times New Roman" w:hAnsi="Times New Roman" w:cs="Times New Roman"/>
                            <w:sz w:val="15"/>
                            <w:szCs w:val="15"/>
                          </w:rPr>
                          <w:t>та оцінки</w:t>
                        </w:r>
                      </w:p>
                      <w:p w:rsidR="00BE40F8" w:rsidRPr="00FC1FAF" w:rsidRDefault="00BE40F8" w:rsidP="00FC1FAF">
                        <w:pPr>
                          <w:spacing w:line="204" w:lineRule="auto"/>
                          <w:rPr>
                            <w:rFonts w:ascii="Times New Roman" w:hAnsi="Times New Roman" w:cs="Times New Roman"/>
                            <w:sz w:val="15"/>
                            <w:szCs w:val="15"/>
                          </w:rPr>
                        </w:pPr>
                      </w:p>
                    </w:txbxContent>
                  </v:textbox>
                </v:shape>
                <v:group id="Group 816" o:spid="_x0000_s2447" style="position:absolute;left:1773;top:10225;width:8106;height:12623" coordorigin="1773,10225" coordsize="8106,12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">
                  <v:rect id="Rectangle 817" o:spid="_x0000_s2448" style="position:absolute;left:2581;top:11202;width:630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">
                    <v:textbox inset="1.5mm,.3mm,1.5mm,.3mm">
                      <w:txbxContent>
                        <w:p w:rsidR="00BE40F8" w:rsidRPr="00FC1FAF" w:rsidRDefault="00BE40F8" w:rsidP="00FC1FAF">
                          <w:pPr>
                            <w:tabs>
                              <w:tab w:val="left" w:pos="4320"/>
                            </w:tabs>
                            <w:jc w:val="center"/>
                            <w:rPr>
                              <w:rFonts w:ascii="Times New Roman" w:hAnsi="Times New Roman" w:cs="Times New Roman"/>
                              <w:sz w:val="15"/>
                              <w:szCs w:val="15"/>
                            </w:rPr>
                          </w:pPr>
                          <w:r w:rsidRPr="00FC1FAF">
                            <w:rPr>
                              <w:rFonts w:ascii="Times New Roman" w:hAnsi="Times New Roman" w:cs="Times New Roman"/>
                              <w:sz w:val="15"/>
                              <w:szCs w:val="15"/>
                            </w:rPr>
                            <w:t>Встановлення факторів впливу зовнішнього середовища на фінансово-господарську діяльність ВНЗ</w:t>
                          </w:r>
                        </w:p>
                      </w:txbxContent>
                    </v:textbox>
                  </v:rect>
                  <v:rect id="Rectangle 818" o:spid="_x0000_s2449" style="position:absolute;left:2582;top:12102;width:63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">
                    <v:textbox inset="1.5mm,.3mm,1.5mm,.3mm">
                      <w:txbxContent>
                        <w:p w:rsidR="00BE40F8" w:rsidRPr="00FC1FAF" w:rsidRDefault="00BE40F8" w:rsidP="00FC1FAF">
                          <w:pPr>
                            <w:ind w:firstLine="0"/>
                            <w:jc w:val="center"/>
                            <w:rPr>
                              <w:rFonts w:ascii="Times New Roman" w:hAnsi="Times New Roman" w:cs="Times New Roman"/>
                              <w:sz w:val="15"/>
                              <w:szCs w:val="15"/>
                            </w:rPr>
                          </w:pPr>
                          <w:r w:rsidRPr="00FC1FAF">
                            <w:rPr>
                              <w:rFonts w:ascii="Times New Roman" w:hAnsi="Times New Roman" w:cs="Times New Roman"/>
                              <w:sz w:val="15"/>
                              <w:szCs w:val="15"/>
                            </w:rPr>
                            <w:t>Виявлення сильних та слабких сторін діяльності ВНЗ</w:t>
                          </w:r>
                        </w:p>
                      </w:txbxContent>
                    </v:textbox>
                  </v:rect>
                  <v:rect id="Rectangle 819" o:spid="_x0000_s2450" style="position:absolute;left:2137;top:13902;width:73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">
                    <v:textbox>
                      <w:txbxContent>
                        <w:p w:rsidR="00BE40F8" w:rsidRPr="00FC1FAF" w:rsidRDefault="00BE40F8" w:rsidP="00FC1FAF">
                          <w:pPr>
                            <w:spacing w:line="230" w:lineRule="auto"/>
                            <w:jc w:val="center"/>
                            <w:rPr>
                              <w:rFonts w:ascii="Times New Roman" w:hAnsi="Times New Roman" w:cs="Times New Roman"/>
                              <w:sz w:val="15"/>
                              <w:szCs w:val="15"/>
                            </w:rPr>
                          </w:pPr>
                          <w:r w:rsidRPr="00FC1FAF">
                            <w:rPr>
                              <w:rFonts w:ascii="Times New Roman" w:hAnsi="Times New Roman" w:cs="Times New Roman"/>
                              <w:sz w:val="15"/>
                              <w:szCs w:val="15"/>
                            </w:rPr>
                            <w:t>Вибір способів вирішення проблеми фінансового забезпечення та економічного розвитку</w:t>
                          </w:r>
                        </w:p>
                        <w:p w:rsidR="00BE40F8" w:rsidRPr="00FC1FAF" w:rsidRDefault="00BE40F8" w:rsidP="00FC1FAF">
                          <w:pPr>
                            <w:spacing w:line="230" w:lineRule="auto"/>
                            <w:rPr>
                              <w:rFonts w:ascii="Times New Roman" w:hAnsi="Times New Roman" w:cs="Times New Roman"/>
                              <w:sz w:val="15"/>
                              <w:szCs w:val="15"/>
                            </w:rPr>
                          </w:pPr>
                        </w:p>
                        <w:p w:rsidR="00BE40F8" w:rsidRPr="00FC1FAF" w:rsidRDefault="00BE40F8" w:rsidP="00FC1FAF">
                          <w:pPr>
                            <w:spacing w:line="230" w:lineRule="auto"/>
                            <w:rPr>
                              <w:rFonts w:ascii="Times New Roman" w:hAnsi="Times New Roman" w:cs="Times New Roman"/>
                              <w:sz w:val="15"/>
                              <w:szCs w:val="15"/>
                            </w:rPr>
                          </w:pPr>
                        </w:p>
                      </w:txbxContent>
                    </v:textbox>
                  </v:rect>
                  <v:rect id="Rectangle 820" o:spid="_x0000_s2451" style="position:absolute;left:2137;top:15456;width:7380;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">
                    <v:textbox inset=",.3mm,,.3mm">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Збільшення обсягів бюджетного фінансування</w:t>
                          </w:r>
                        </w:p>
                      </w:txbxContent>
                    </v:textbox>
                  </v:rect>
                  <v:rect id="Rectangle 821" o:spid="_x0000_s2452" style="position:absolute;left:2137;top:17502;width:7380;height:4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">
                    <v:textbox>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Оптимізація видатків</w:t>
                          </w:r>
                        </w:p>
                      </w:txbxContent>
                    </v:textbox>
                  </v:rect>
                  <v:rect id="Rectangle 822" o:spid="_x0000_s2453" style="position:absolute;left:2137;top:17976;width:7379;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">
                    <v:textbox inset="1.5mm,.3mm,1.5mm,.3mm">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Оптимізація організаційної структури управління ФГД</w:t>
                          </w:r>
                        </w:p>
                      </w:txbxContent>
                    </v:textbox>
                  </v:rect>
                  <v:rect id="Rectangle 823" o:spid="_x0000_s2454" style="position:absolute;left:2137;top:18582;width:73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">
                    <v:textbox inset="0,0,0,0">
                      <w:txbxContent>
                        <w:p w:rsidR="00BE40F8" w:rsidRPr="00FC1FAF" w:rsidRDefault="00BE40F8" w:rsidP="00FC1FAF">
                          <w:pPr>
                            <w:ind w:firstLine="0"/>
                            <w:jc w:val="center"/>
                            <w:rPr>
                              <w:rFonts w:ascii="Times New Roman" w:hAnsi="Times New Roman" w:cs="Times New Roman"/>
                              <w:sz w:val="15"/>
                              <w:szCs w:val="15"/>
                            </w:rPr>
                          </w:pPr>
                          <w:r w:rsidRPr="00FC1FAF">
                            <w:rPr>
                              <w:rFonts w:ascii="Times New Roman" w:hAnsi="Times New Roman" w:cs="Times New Roman"/>
                              <w:sz w:val="15"/>
                              <w:szCs w:val="15"/>
                            </w:rPr>
                            <w:t>Узгодження всіх заходів у відповідності до визначених напрямів діяльності</w:t>
                          </w:r>
                        </w:p>
                      </w:txbxContent>
                    </v:textbox>
                  </v:rect>
                  <v:rect id="Rectangle 824" o:spid="_x0000_s2455" style="position:absolute;left:2137;top:16422;width:7379;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">
                    <v:textbox>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Розширення обсягів діяльності по наданню освітніх послуг</w:t>
                          </w:r>
                        </w:p>
                      </w:txbxContent>
                    </v:textbox>
                  </v:rect>
                  <v:rect id="Rectangle 825" o:spid="_x0000_s2456" style="position:absolute;left:2137;top:15882;width:7379;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">
                    <v:textbox>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Залучення інвестиційних ресурсів</w:t>
                          </w:r>
                        </w:p>
                      </w:txbxContent>
                    </v:textbox>
                  </v:rect>
                  <v:rect id="Rectangle 826" o:spid="_x0000_s2457" style="position:absolute;left:2137;top:16962;width:73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">
                    <v:textbox>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Розвиток діяльності з надання додаткових платних послуг</w:t>
                          </w:r>
                        </w:p>
                      </w:txbxContent>
                    </v:textbox>
                  </v:rect>
                  <v:line id="Line 827" o:spid="_x0000_s2458" style="position:absolute;visibility:visible;mso-wrap-style:square" from="5750,13182" to="5751,13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">
                    <v:stroke endarrow="block"/>
                  </v:line>
                  <v:rect id="Rectangle 828" o:spid="_x0000_s2459" style="position:absolute;left:2137;top:14802;width:7380;height:6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">
                    <v:textbox inset="0,0,0,0">
                      <w:txbxContent>
                        <w:p w:rsidR="00BE40F8" w:rsidRPr="00FC1FAF" w:rsidRDefault="00BE40F8" w:rsidP="00FC1FAF">
                          <w:pPr>
                            <w:ind w:firstLine="0"/>
                            <w:jc w:val="center"/>
                            <w:rPr>
                              <w:rFonts w:ascii="Times New Roman" w:hAnsi="Times New Roman" w:cs="Times New Roman"/>
                              <w:sz w:val="15"/>
                              <w:szCs w:val="15"/>
                            </w:rPr>
                          </w:pPr>
                          <w:r w:rsidRPr="00FC1FAF">
                            <w:rPr>
                              <w:rFonts w:ascii="Times New Roman" w:hAnsi="Times New Roman" w:cs="Times New Roman"/>
                              <w:sz w:val="15"/>
                              <w:szCs w:val="15"/>
                            </w:rPr>
                            <w:t>Визначення напрямів діяльності та вироблення заходів для їх здійснення</w:t>
                          </w:r>
                        </w:p>
                        <w:p w:rsidR="00BE40F8" w:rsidRPr="00FC1FAF" w:rsidRDefault="00BE40F8" w:rsidP="00FC1FAF">
                          <w:pPr>
                            <w:rPr>
                              <w:rFonts w:ascii="Times New Roman" w:hAnsi="Times New Roman" w:cs="Times New Roman"/>
                              <w:sz w:val="15"/>
                              <w:szCs w:val="15"/>
                            </w:rPr>
                          </w:pPr>
                        </w:p>
                      </w:txbxContent>
                    </v:textbox>
                  </v:rect>
                  <v:rect id="Rectangle 829" o:spid="_x0000_s2460" style="position:absolute;left:2137;top:19956;width:73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">
                    <v:textbox>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Визначення методів управління та інструментів їх реалізації</w:t>
                          </w:r>
                        </w:p>
                      </w:txbxContent>
                    </v:textbox>
                  </v:rect>
                  <v:rect id="Rectangle 830" o:spid="_x0000_s2461" style="position:absolute;left:2137;top:13362;width:7379;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">
                    <v:textbox>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Розробка перспективного плану розвитку</w:t>
                          </w:r>
                        </w:p>
                      </w:txbxContent>
                    </v:textbox>
                  </v:rect>
                  <v:rect id="Rectangle 831" o:spid="_x0000_s2462" style="position:absolute;left:2136;top:19302;width:7380;height:4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">
                    <v:textbox>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Визначення відповідальних осіб і строків виконання</w:t>
                          </w:r>
                        </w:p>
                      </w:txbxContent>
                    </v:textbox>
                  </v:rect>
                  <v:line id="Line 832" o:spid="_x0000_s2463" style="position:absolute;visibility:visible;mso-wrap-style:square" from="5752,19776" to="5753,199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">
                    <v:stroke endarrow="block"/>
                  </v:line>
                  <v:line id="Line 833" o:spid="_x0000_s2464" style="position:absolute;visibility:visible;mso-wrap-style:square" from="5754,18402" to="5755,185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"/>
                  <v:line id="Line 834" o:spid="_x0000_s2465" style="position:absolute;visibility:visible;mso-wrap-style:square" from="5753,19122" to="5754,193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"/>
                  <v:line id="Line 835" o:spid="_x0000_s2466" style="position:absolute;visibility:visible;mso-wrap-style:square" from="5751,20496" to="5752,206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"/>
                  <v:rect id="Rectangle 836" o:spid="_x0000_s2467" style="position:absolute;left:2137;top:20676;width:7380;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">
                    <v:textbox inset=".5mm,.3mm,.5mm,.3mm">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Реалізація заходів у відповідності до напрямів діяльності</w:t>
                          </w:r>
                        </w:p>
                      </w:txbxContent>
                    </v:textbox>
                  </v:rect>
                  <v:rect id="Rectangle 837" o:spid="_x0000_s2468" style="position:absolute;left:2137;top:21282;width:73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">
                    <v:textbox>
                      <w:txbxContent>
                        <w:p w:rsidR="00BE40F8" w:rsidRPr="00FC1FAF" w:rsidRDefault="00BE40F8" w:rsidP="00FC1FAF">
                          <w:pPr>
                            <w:jc w:val="center"/>
                            <w:rPr>
                              <w:rFonts w:ascii="Times New Roman" w:hAnsi="Times New Roman" w:cs="Times New Roman"/>
                              <w:sz w:val="15"/>
                              <w:szCs w:val="15"/>
                            </w:rPr>
                          </w:pPr>
                          <w:r w:rsidRPr="00FC1FAF">
                            <w:rPr>
                              <w:rFonts w:ascii="Times New Roman" w:hAnsi="Times New Roman" w:cs="Times New Roman"/>
                              <w:sz w:val="15"/>
                              <w:szCs w:val="15"/>
                            </w:rPr>
                            <w:t>Визначення критеріїв та параметрів фінансово-господарської діяльності та контроль за їх виконанням</w:t>
                          </w:r>
                        </w:p>
                      </w:txbxContent>
                    </v:textbox>
                  </v:rect>
                  <v:line id="Line 838" o:spid="_x0000_s2469" style="position:absolute;visibility:visible;mso-wrap-style:square" from="5746,21084" to="5747,21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">
                    <v:stroke endarrow="block"/>
                  </v:line>
                  <v:line id="Line 839" o:spid="_x0000_s2470" style="position:absolute;flip:x;visibility:visible;mso-wrap-style:square" from="1957,20202" to="2137,20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"/>
                  <v:line id="Line 840" o:spid="_x0000_s2471" style="position:absolute;flip:x;visibility:visible;mso-wrap-style:square" from="1957,20922" to="2137,20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"/>
                  <v:line id="Line 841" o:spid="_x0000_s2472" style="position:absolute;flip:x;visibility:visible;mso-wrap-style:square" from="9517,20920" to="9697,209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"/>
                  <v:line id="Line 842" o:spid="_x0000_s2473" style="position:absolute;flip:x;visibility:visible;mso-wrap-style:square" from="9517,20199" to="9697,20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"/>
                  <v:line id="Line 843" o:spid="_x0000_s2474" style="position:absolute;visibility:visible;mso-wrap-style:square" from="1956,20202" to="1957,209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"/>
                  <v:line id="Line 844" o:spid="_x0000_s2475" style="position:absolute;visibility:visible;mso-wrap-style:square" from="9697,20199" to="9698,209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"/>
                  <v:line id="Line 845" o:spid="_x0000_s2476" style="position:absolute;visibility:visible;mso-wrap-style:square" from="1957,13542" to="2137,135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"/>
                  <v:line id="Line 846" o:spid="_x0000_s2477" style="position:absolute;visibility:visible;mso-wrap-style:square" from="9516,13540" to="9696,135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"/>
                  <v:line id="Line 847" o:spid="_x0000_s2478" style="position:absolute;flip:x;visibility:visible;mso-wrap-style:square" from="1957,19482" to="2137,19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"/>
                  <v:line id="Line 848" o:spid="_x0000_s2479" style="position:absolute;flip:x;visibility:visible;mso-wrap-style:square" from="9516,19481" to="9696,194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"/>
                  <v:line id="Line 849" o:spid="_x0000_s2480" style="position:absolute;visibility:visible;mso-wrap-style:square" from="9696,13545" to="9697,19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"/>
                  <v:rect id="Rectangle 850" o:spid="_x0000_s2481" style="position:absolute;left:2582;top:12822;width:63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">
                    <v:textbox inset=".5mm,.3mm,.5mm,.3mm">
                      <w:txbxContent>
                        <w:p w:rsidR="00BE40F8" w:rsidRPr="00FC1FAF" w:rsidRDefault="00BE40F8" w:rsidP="00FC1FAF">
                          <w:pPr>
                            <w:ind w:firstLine="0"/>
                            <w:jc w:val="center"/>
                            <w:rPr>
                              <w:rFonts w:ascii="Times New Roman" w:hAnsi="Times New Roman" w:cs="Times New Roman"/>
                              <w:sz w:val="15"/>
                              <w:szCs w:val="15"/>
                            </w:rPr>
                          </w:pPr>
                          <w:r w:rsidRPr="00FC1FAF">
                            <w:rPr>
                              <w:rFonts w:ascii="Times New Roman" w:hAnsi="Times New Roman" w:cs="Times New Roman"/>
                              <w:sz w:val="15"/>
                              <w:szCs w:val="15"/>
                            </w:rPr>
                            <w:t>Визначення ризиків та способів їх нейтралізації</w:t>
                          </w:r>
                        </w:p>
                      </w:txbxContent>
                    </v:textbox>
                  </v:rect>
                  <v:line id="Line 851" o:spid="_x0000_s2482" style="position:absolute;visibility:visible;mso-wrap-style:square" from="5749,12642" to="5750,128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"/>
                  <v:line id="Line 852" o:spid="_x0000_s2483" style="position:absolute;visibility:visible;mso-wrap-style:square" from="5748,11922" to="5749,12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"/>
                  <v:rect id="Rectangle 853" o:spid="_x0000_s2484" style="position:absolute;left:2581;top:10405;width:6300;height:6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">
                    <v:textbox inset="0,0,0,0">
                      <w:txbxContent>
                        <w:p w:rsidR="00BE40F8" w:rsidRPr="00FC1FAF" w:rsidRDefault="00BE40F8" w:rsidP="00FC1FAF">
                          <w:pPr>
                            <w:ind w:firstLine="0"/>
                            <w:jc w:val="center"/>
                            <w:rPr>
                              <w:rFonts w:ascii="Times New Roman" w:hAnsi="Times New Roman" w:cs="Times New Roman"/>
                              <w:sz w:val="15"/>
                              <w:szCs w:val="15"/>
                            </w:rPr>
                          </w:pPr>
                          <w:r w:rsidRPr="00FC1FAF">
                            <w:rPr>
                              <w:rFonts w:ascii="Times New Roman" w:hAnsi="Times New Roman" w:cs="Times New Roman"/>
                              <w:sz w:val="15"/>
                              <w:szCs w:val="15"/>
                            </w:rPr>
                            <w:t>Аналіз стану і умов фінансово-господарської діяльності ВНЗ</w:t>
                          </w:r>
                        </w:p>
                      </w:txbxContent>
                    </v:textbox>
                  </v:rect>
                  <v:line id="Line 854" o:spid="_x0000_s2485" style="position:absolute;visibility:visible;mso-wrap-style:square" from="5747,11022" to="5748,11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"/>
                  <v:line id="Line 855" o:spid="_x0000_s2486" style="position:absolute;visibility:visible;mso-wrap-style:square" from="2401,10660" to="2581,106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"/>
                  <v:line id="Line 856" o:spid="_x0000_s2487" style="position:absolute;visibility:visible;mso-wrap-style:square" from="2402,13000" to="2582,13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"/>
                  <v:line id="Line 857" o:spid="_x0000_s2488" style="position:absolute;flip:y;visibility:visible;mso-wrap-style:square" from="8881,10660" to="9077,106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"/>
                  <v:line id="Line 858" o:spid="_x0000_s2489" style="position:absolute;visibility:visible;mso-wrap-style:square" from="8881,12999" to="9061,13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"/>
                  <v:line id="Line 859" o:spid="_x0000_s2490" style="position:absolute;visibility:visible;mso-wrap-style:square" from="2401,10661" to="2402,13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"/>
                  <v:line id="Line 860" o:spid="_x0000_s2491" style="position:absolute;visibility:visible;mso-wrap-style:square" from="9076,10662" to="9077,13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"/>
                  <v:shape id="AutoShape 861" o:spid="_x0000_s2492" type="#_x0000_t67" style="position:absolute;left:5557;top:10225;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">
                    <v:textbox style="layout-flow:vertical-ideographic"/>
                  </v:shape>
                  <v:rect id="Rectangle 862" o:spid="_x0000_s2493" style="position:absolute;left:2137;top:22182;width:7380;height:6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">
                    <v:textbox inset="0,0,0,0">
                      <w:txbxContent>
                        <w:p w:rsidR="00BE40F8" w:rsidRPr="00FC1FAF" w:rsidRDefault="00BE40F8" w:rsidP="007D5F7E">
                          <w:pPr>
                            <w:ind w:firstLine="0"/>
                            <w:jc w:val="center"/>
                            <w:rPr>
                              <w:rFonts w:ascii="Times New Roman" w:hAnsi="Times New Roman" w:cs="Times New Roman"/>
                              <w:sz w:val="15"/>
                              <w:szCs w:val="15"/>
                            </w:rPr>
                          </w:pPr>
                          <w:r w:rsidRPr="00FC1FAF">
                            <w:rPr>
                              <w:rFonts w:ascii="Times New Roman" w:hAnsi="Times New Roman" w:cs="Times New Roman"/>
                              <w:sz w:val="15"/>
                              <w:szCs w:val="15"/>
                            </w:rPr>
                            <w:t xml:space="preserve">Оцінка ефективності управління фінансово-господарською діяльністю ВНЗ </w:t>
                          </w:r>
                        </w:p>
                      </w:txbxContent>
                    </v:textbox>
                  </v:rect>
                  <v:line id="Line 863" o:spid="_x0000_s2494" style="position:absolute;visibility:visible;mso-wrap-style:square" from="6097,22002" to="6098,2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"/>
                  <v:line id="Line 864" o:spid="_x0000_s2495" style="position:absolute;visibility:visible;mso-wrap-style:square" from="5747,14622" to="5748,148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"/>
                  <v:line id="Line 865" o:spid="_x0000_s2496" style="position:absolute;visibility:visible;mso-wrap-style:square" from="1956,13542" to="1958,19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"/>
                  <v:line id="Line 866" o:spid="_x0000_s2497" style="position:absolute;flip:x;visibility:visible;mso-wrap-style:square" from="1957,21642" to="2137,216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"/>
                  <v:line id="Line 867" o:spid="_x0000_s2498" style="position:absolute;flip:x;visibility:visible;mso-wrap-style:square" from="1957,22361" to="2137,22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"/>
                  <v:line id="Line 868" o:spid="_x0000_s2499" style="position:absolute;visibility:visible;mso-wrap-style:square" from="1957,21642" to="1958,22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"/>
                  <v:line id="Line 869" o:spid="_x0000_s2500" style="position:absolute;flip:x;visibility:visible;mso-wrap-style:square" from="9518,21640" to="9698,216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"/>
                  <v:line id="Line 870" o:spid="_x0000_s2501" style="position:absolute;flip:x;visibility:visible;mso-wrap-style:square" from="9516,22359" to="9696,22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"/>
                  <v:line id="Line 871" o:spid="_x0000_s2502" style="position:absolute;visibility:visible;mso-wrap-style:square" from="9698,21643" to="9699,22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"/>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872" o:spid="_x0000_s2503" type="#_x0000_t93" style="position:absolute;left:1773;top:11562;width:62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"/>
                  <v:shape id="AutoShape 873" o:spid="_x0000_s2504" type="#_x0000_t93" style="position:absolute;left:1777;top:16242;width:1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"/>
                  <v:shape id="AutoShape 874" o:spid="_x0000_s2505" type="#_x0000_t93" style="position:absolute;left:1777;top:20382;width:18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"/>
                  <v:shape id="AutoShape 875" o:spid="_x0000_s2506" type="#_x0000_t93" style="position:absolute;left:1777;top:21822;width:18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876" o:spid="_x0000_s2507" type="#_x0000_t13" style="position:absolute;left:9699;top:16062;width:18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"/>
                </v:group>
                <v:shape id="Text Box 877" o:spid="_x0000_s2508" type="#_x0000_t202" style="position:absolute;left:9953;top:9947;width:548;height:127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">
                  <v:textbox style="layout-flow:vertical;mso-layout-flow-alt:bottom-to-top" inset="1.5mm,.3mm,1.5mm,.3mm">
                    <w:txbxContent>
                      <w:p w:rsidR="00BE40F8" w:rsidRPr="00FC1FAF" w:rsidRDefault="00BE40F8" w:rsidP="00FC1FAF">
                        <w:pPr>
                          <w:jc w:val="center"/>
                          <w:rPr>
                            <w:rFonts w:ascii="Times New Roman" w:hAnsi="Times New Roman" w:cs="Times New Roman"/>
                            <w:b/>
                            <w:sz w:val="15"/>
                            <w:szCs w:val="15"/>
                          </w:rPr>
                        </w:pPr>
                        <w:r w:rsidRPr="00FC1FAF">
                          <w:rPr>
                            <w:rFonts w:ascii="Times New Roman" w:hAnsi="Times New Roman" w:cs="Times New Roman"/>
                            <w:b/>
                            <w:sz w:val="15"/>
                            <w:szCs w:val="15"/>
                          </w:rPr>
                          <w:t>ЕКОНОМІЧНИЙ РОЗВИТОК ВНЗ</w:t>
                        </w:r>
                      </w:p>
                      <w:p w:rsidR="00BE40F8" w:rsidRPr="00FC1FAF" w:rsidRDefault="00BE40F8" w:rsidP="00FC1FAF">
                        <w:pPr>
                          <w:jc w:val="center"/>
                          <w:rPr>
                            <w:rFonts w:ascii="Times New Roman" w:hAnsi="Times New Roman" w:cs="Times New Roman"/>
                            <w:b/>
                            <w:sz w:val="15"/>
                            <w:szCs w:val="15"/>
                          </w:rPr>
                        </w:pPr>
                        <w:r w:rsidRPr="00FC1FAF">
                          <w:rPr>
                            <w:rFonts w:ascii="Times New Roman" w:hAnsi="Times New Roman" w:cs="Times New Roman"/>
                            <w:b/>
                            <w:sz w:val="15"/>
                            <w:szCs w:val="15"/>
                          </w:rPr>
                          <w:t>ЕКОНОМІЧНИЙ РОЗВИТОК ВНЗ</w:t>
                        </w:r>
                      </w:p>
                    </w:txbxContent>
                  </v:textbox>
                </v:shape>
              </v:group>
            </w:pict>
          </mc:Fallback>
        </mc:AlternateContent>
      </w:r>
    </w:p>
    <w:p w:rsidR="00197F22" w:rsidRDefault="00197F22" w:rsidP="00FC1FAF">
      <w:pPr>
        <w:tabs>
          <w:tab w:val="left" w:pos="1058"/>
        </w:tabs>
        <w:ind w:firstLine="709"/>
        <w:jc w:val="both"/>
        <w:rPr>
          <w:rFonts w:ascii="Times New Roman" w:hAnsi="Times New Roman"/>
        </w:rPr>
      </w:pPr>
    </w:p>
    <w:p w:rsidR="00B20650" w:rsidRDefault="00B20650" w:rsidP="00B20650">
      <w:pPr>
        <w:tabs>
          <w:tab w:val="left" w:pos="1058"/>
        </w:tabs>
        <w:rPr>
          <w:sz w:val="16"/>
          <w:szCs w:val="16"/>
        </w:rPr>
      </w:pPr>
    </w:p>
    <w:p w:rsidR="00B20650" w:rsidRPr="00FC1FAF" w:rsidRDefault="00B20650" w:rsidP="00FC1FAF">
      <w:pPr>
        <w:tabs>
          <w:tab w:val="left" w:pos="1058"/>
        </w:tabs>
        <w:ind w:firstLine="0"/>
        <w:rPr>
          <w:rFonts w:ascii="Times New Roman" w:hAnsi="Times New Roman" w:cs="Times New Roman"/>
          <w:noProof/>
          <w:sz w:val="21"/>
          <w:szCs w:val="21"/>
          <w:lang w:eastAsia="uk-UA"/>
        </w:rPr>
      </w:pPr>
    </w:p>
    <w:p w:rsidR="00FC1FAF" w:rsidRPr="00FC1FAF" w:rsidRDefault="00FC1FAF" w:rsidP="00FC1FAF">
      <w:pPr>
        <w:tabs>
          <w:tab w:val="left" w:pos="1058"/>
        </w:tabs>
        <w:ind w:firstLine="0"/>
        <w:rPr>
          <w:rFonts w:ascii="Times New Roman" w:hAnsi="Times New Roman" w:cs="Times New Roman"/>
          <w:noProof/>
          <w:sz w:val="21"/>
          <w:szCs w:val="21"/>
          <w:lang w:eastAsia="uk-UA"/>
        </w:rPr>
      </w:pPr>
    </w:p>
    <w:p w:rsidR="00FC1FAF" w:rsidRPr="00FC1FAF" w:rsidRDefault="00FC1FAF" w:rsidP="00FC1FAF">
      <w:pPr>
        <w:tabs>
          <w:tab w:val="left" w:pos="1058"/>
        </w:tabs>
        <w:ind w:firstLine="0"/>
        <w:rPr>
          <w:rFonts w:ascii="Times New Roman" w:hAnsi="Times New Roman" w:cs="Times New Roman"/>
          <w:noProof/>
          <w:sz w:val="21"/>
          <w:szCs w:val="21"/>
          <w:lang w:eastAsia="uk-UA"/>
        </w:rPr>
      </w:pPr>
    </w:p>
    <w:p w:rsidR="00FC1FAF" w:rsidRPr="00FC1FAF" w:rsidRDefault="00FC1FAF" w:rsidP="00FC1FAF">
      <w:pPr>
        <w:tabs>
          <w:tab w:val="left" w:pos="1058"/>
        </w:tabs>
        <w:ind w:firstLine="0"/>
        <w:rPr>
          <w:rFonts w:ascii="Times New Roman" w:hAnsi="Times New Roman" w:cs="Times New Roman"/>
          <w:noProof/>
          <w:sz w:val="21"/>
          <w:szCs w:val="21"/>
          <w:lang w:eastAsia="uk-UA"/>
        </w:rPr>
      </w:pPr>
    </w:p>
    <w:p w:rsidR="00FC1FAF" w:rsidRPr="00FC1FAF" w:rsidRDefault="00FC1FAF" w:rsidP="00FC1FAF">
      <w:pPr>
        <w:tabs>
          <w:tab w:val="left" w:pos="1058"/>
        </w:tabs>
        <w:ind w:firstLine="0"/>
        <w:rPr>
          <w:rFonts w:ascii="Times New Roman" w:hAnsi="Times New Roman" w:cs="Times New Roman"/>
          <w:noProof/>
          <w:sz w:val="21"/>
          <w:szCs w:val="21"/>
          <w:lang w:eastAsia="uk-UA"/>
        </w:rPr>
      </w:pPr>
    </w:p>
    <w:p w:rsidR="00FC1FAF" w:rsidRPr="00FC1FAF" w:rsidRDefault="00FC1FAF" w:rsidP="00FC1FAF">
      <w:pPr>
        <w:tabs>
          <w:tab w:val="left" w:pos="1058"/>
        </w:tabs>
        <w:ind w:firstLine="0"/>
        <w:rPr>
          <w:rFonts w:ascii="Times New Roman" w:hAnsi="Times New Roman" w:cs="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FC1FAF" w:rsidRDefault="00FC1FAF" w:rsidP="00B20650">
      <w:pPr>
        <w:jc w:val="center"/>
        <w:rPr>
          <w:rFonts w:ascii="Times New Roman" w:hAnsi="Times New Roman"/>
          <w:sz w:val="21"/>
          <w:szCs w:val="21"/>
        </w:rPr>
      </w:pPr>
    </w:p>
    <w:p w:rsidR="00B20650" w:rsidRPr="00FC1FAF" w:rsidRDefault="00B20650" w:rsidP="00FC1FAF">
      <w:pPr>
        <w:ind w:firstLine="709"/>
        <w:jc w:val="center"/>
        <w:rPr>
          <w:rFonts w:ascii="Times New Roman" w:hAnsi="Times New Roman"/>
          <w:b/>
          <w:sz w:val="21"/>
          <w:szCs w:val="21"/>
        </w:rPr>
      </w:pPr>
      <w:r w:rsidRPr="00FC1FAF">
        <w:rPr>
          <w:rFonts w:ascii="Times New Roman" w:hAnsi="Times New Roman"/>
          <w:b/>
          <w:sz w:val="21"/>
          <w:szCs w:val="21"/>
        </w:rPr>
        <w:t xml:space="preserve">Рис. </w:t>
      </w:r>
      <w:r w:rsidR="00FC1FAF">
        <w:rPr>
          <w:rFonts w:ascii="Times New Roman" w:hAnsi="Times New Roman"/>
          <w:b/>
          <w:sz w:val="21"/>
          <w:szCs w:val="21"/>
        </w:rPr>
        <w:t>7.3</w:t>
      </w:r>
      <w:r w:rsidRPr="00FC1FAF">
        <w:rPr>
          <w:rFonts w:ascii="Times New Roman" w:hAnsi="Times New Roman"/>
          <w:b/>
          <w:sz w:val="21"/>
          <w:szCs w:val="21"/>
        </w:rPr>
        <w:t>. Структурно-функціональні підсистеми механізму управління фінансово-господарською діяльністю ВНЗ*</w:t>
      </w:r>
    </w:p>
    <w:p w:rsidR="00B20650" w:rsidRDefault="00B20650" w:rsidP="00B20650">
      <w:pPr>
        <w:tabs>
          <w:tab w:val="left" w:pos="1058"/>
        </w:tabs>
        <w:rPr>
          <w:rFonts w:ascii="Times New Roman" w:hAnsi="Times New Roman"/>
          <w:sz w:val="21"/>
          <w:szCs w:val="21"/>
        </w:rPr>
      </w:pPr>
      <w:r w:rsidRPr="006B75B8">
        <w:rPr>
          <w:rFonts w:ascii="Times New Roman" w:hAnsi="Times New Roman"/>
          <w:sz w:val="21"/>
          <w:szCs w:val="21"/>
        </w:rPr>
        <w:t>* – запропоновано автор</w:t>
      </w:r>
      <w:r w:rsidR="00FC1FAF">
        <w:rPr>
          <w:rFonts w:ascii="Times New Roman" w:hAnsi="Times New Roman"/>
          <w:sz w:val="21"/>
          <w:szCs w:val="21"/>
        </w:rPr>
        <w:t>ами розділу</w:t>
      </w:r>
    </w:p>
    <w:p w:rsidR="00B20650" w:rsidRPr="00EE522E" w:rsidRDefault="00B20650" w:rsidP="00B20650">
      <w:pPr>
        <w:ind w:firstLine="709"/>
        <w:jc w:val="both"/>
        <w:rPr>
          <w:rFonts w:ascii="Times New Roman" w:hAnsi="Times New Roman"/>
          <w:sz w:val="21"/>
          <w:szCs w:val="21"/>
        </w:rPr>
      </w:pPr>
      <w:r w:rsidRPr="00EE522E">
        <w:rPr>
          <w:rFonts w:ascii="Times New Roman" w:hAnsi="Times New Roman"/>
          <w:sz w:val="21"/>
          <w:szCs w:val="21"/>
        </w:rPr>
        <w:lastRenderedPageBreak/>
        <w:t xml:space="preserve">Аналіз стану та умов ФГД передбачає комплексну оцінку фінансово-господарської діяльності ВНЗ з метою визначення можливостей і небезпеки, сильних і слабких місць для прийняття оптимальних оперативних і стратегічних рішень та визначення основних пріоритетів його економічного розвитку. Для цього застосовуються спеціальні методи, серед яких методи PEST-аналізу, SWOT-аналізу, аналізу чутливості. </w:t>
      </w:r>
    </w:p>
    <w:p w:rsidR="00B20650" w:rsidRPr="00EE522E" w:rsidRDefault="00B20650" w:rsidP="00B20650">
      <w:pPr>
        <w:ind w:firstLine="709"/>
        <w:jc w:val="both"/>
        <w:rPr>
          <w:rFonts w:ascii="Times New Roman" w:hAnsi="Times New Roman"/>
          <w:sz w:val="21"/>
          <w:szCs w:val="21"/>
        </w:rPr>
      </w:pPr>
      <w:r w:rsidRPr="00EE522E">
        <w:rPr>
          <w:rFonts w:ascii="Times New Roman" w:hAnsi="Times New Roman"/>
          <w:sz w:val="21"/>
          <w:szCs w:val="21"/>
        </w:rPr>
        <w:t xml:space="preserve">Реалізація цілей і завдань фінансово-господарської діяльності ВНЗ у навчальному закладі забезпечується розробкою та виконанням перспективного планування (наприклад, строком на п’ять років), із урахуванням економічної ситуації та стратегічних пріоритетів. Між поточним станом та станом, якого прагне досягти навчальний заклад, існує різниця. Цільові програми та проекти забезпечують реалізацію змін, що ведуть до наміченої мети. Планування дозволяє співставити витрати та результат, комплексно розглянути організаційні, правові, технічні та економічні наслідки в найближчий період та на перспективу для окремих підрозділів і для ВНЗ в цілому. Перспективний план розвитку може бути змодельований в залежності від умов функціонування вищого навчального закладу, та спрямований на посилення слабких сторін при використанні можливостей зовнішнього середовища і за рахунок сильних сторін. У плані розвитку ВНЗ необхідно визначити напрями діяльності, заходи для їх здійснення, відповідальних осіб та терміни виконання. Перспективний план економічного розвитку вищого навчального закладу представимо в </w:t>
      </w:r>
      <w:r w:rsidRPr="00E95ECA">
        <w:rPr>
          <w:rFonts w:ascii="Times New Roman" w:hAnsi="Times New Roman"/>
          <w:sz w:val="21"/>
          <w:szCs w:val="21"/>
        </w:rPr>
        <w:t xml:space="preserve">Додатку </w:t>
      </w:r>
      <w:r w:rsidR="007D5F7E" w:rsidRPr="00E95ECA">
        <w:rPr>
          <w:rFonts w:ascii="Times New Roman" w:hAnsi="Times New Roman"/>
          <w:sz w:val="21"/>
          <w:szCs w:val="21"/>
        </w:rPr>
        <w:t>А</w:t>
      </w:r>
      <w:r w:rsidRPr="00E95ECA">
        <w:rPr>
          <w:rFonts w:ascii="Times New Roman" w:hAnsi="Times New Roman"/>
          <w:sz w:val="21"/>
          <w:szCs w:val="21"/>
        </w:rPr>
        <w:t>.</w:t>
      </w:r>
    </w:p>
    <w:p w:rsidR="00B20650" w:rsidRPr="00EE522E" w:rsidRDefault="00B20650" w:rsidP="00B20650">
      <w:pPr>
        <w:ind w:firstLine="709"/>
        <w:jc w:val="both"/>
        <w:rPr>
          <w:rFonts w:ascii="Times New Roman" w:hAnsi="Times New Roman"/>
          <w:sz w:val="21"/>
          <w:szCs w:val="21"/>
        </w:rPr>
      </w:pPr>
      <w:r w:rsidRPr="00EE522E">
        <w:rPr>
          <w:rFonts w:ascii="Times New Roman" w:hAnsi="Times New Roman"/>
          <w:sz w:val="21"/>
          <w:szCs w:val="21"/>
        </w:rPr>
        <w:t xml:space="preserve">Підсистема організації передбачає розроблення методів управління і відповідного інструментарію. Слід враховувати те, що метою формування механізму є забезпечення освітнього процесу в навчальному закладі. Тому, методи управління мають забезпечити: оптимальний розподіл ресурсів та планування; ліквідацію або оптимізацію структурних підрозділів вищого навчального закладу та напрямків діяльності, які не приймають значної участі в освітньому процесі, але на утримання яких йде значна частина витрат; підвищення відповідальності та прав керівників облікових та фінансових підрозділів; економічний підхід до результатів праці структурних господарських підрозділів, економічну оцінку всіх значимих управлінських рішень; формування зацікавленості підрозділів в результатах діяльності шляхом створення системи </w:t>
      </w:r>
      <w:r w:rsidRPr="00EE522E">
        <w:rPr>
          <w:rFonts w:ascii="Times New Roman" w:hAnsi="Times New Roman"/>
          <w:sz w:val="21"/>
          <w:szCs w:val="21"/>
        </w:rPr>
        <w:lastRenderedPageBreak/>
        <w:t xml:space="preserve">стимулів до економії поточних видатків та залученню позабюджетних коштів. Матеріальна винагорода повинна поєднуватись з моральною винагородою на засадах публічності та своєчасності; особисту відповідальність керівників за сферу свого управління, відповідальність і гласність результатів діяльності. Враховуючи зазначене, в механізмі управління фінансово-господарською діяльністю ВНЗ пропонуємо застосовувати комплекс методів управління та інструментів їх реалізації,: </w:t>
      </w:r>
    </w:p>
    <w:p w:rsidR="00B20650" w:rsidRPr="00EE522E" w:rsidRDefault="00B20650" w:rsidP="00B20650">
      <w:pPr>
        <w:numPr>
          <w:ilvl w:val="0"/>
          <w:numId w:val="69"/>
        </w:numPr>
        <w:ind w:left="0" w:firstLine="567"/>
        <w:jc w:val="both"/>
        <w:rPr>
          <w:rFonts w:ascii="Times New Roman" w:hAnsi="Times New Roman"/>
          <w:sz w:val="21"/>
          <w:szCs w:val="21"/>
        </w:rPr>
      </w:pPr>
      <w:r w:rsidRPr="00EE522E">
        <w:rPr>
          <w:rFonts w:ascii="Times New Roman" w:hAnsi="Times New Roman"/>
          <w:sz w:val="21"/>
          <w:szCs w:val="21"/>
        </w:rPr>
        <w:t>фінансово-економічних (планування, прогнозування, ціноутворення, формування джерел надходження фінансових ресурсів, оптимізація витрат,</w:t>
      </w:r>
    </w:p>
    <w:p w:rsidR="00B20650" w:rsidRPr="00EE522E" w:rsidRDefault="00B20650" w:rsidP="00B20650">
      <w:pPr>
        <w:jc w:val="both"/>
        <w:rPr>
          <w:rFonts w:ascii="Times New Roman" w:hAnsi="Times New Roman"/>
          <w:sz w:val="21"/>
          <w:szCs w:val="21"/>
        </w:rPr>
      </w:pPr>
      <w:r w:rsidRPr="00EE522E">
        <w:rPr>
          <w:rFonts w:ascii="Times New Roman" w:hAnsi="Times New Roman"/>
          <w:sz w:val="21"/>
          <w:szCs w:val="21"/>
        </w:rPr>
        <w:t xml:space="preserve"> аналіз ФГД, внутрішній аудит, економічні санкції);</w:t>
      </w:r>
    </w:p>
    <w:p w:rsidR="00B20650" w:rsidRPr="00EE522E" w:rsidRDefault="00B20650" w:rsidP="007D5F7E">
      <w:pPr>
        <w:numPr>
          <w:ilvl w:val="0"/>
          <w:numId w:val="68"/>
        </w:numPr>
        <w:tabs>
          <w:tab w:val="clear" w:pos="720"/>
          <w:tab w:val="left" w:pos="993"/>
        </w:tabs>
        <w:ind w:left="0" w:firstLine="709"/>
        <w:jc w:val="both"/>
        <w:rPr>
          <w:rFonts w:ascii="Times New Roman" w:hAnsi="Times New Roman"/>
          <w:sz w:val="21"/>
          <w:szCs w:val="21"/>
        </w:rPr>
      </w:pPr>
      <w:r w:rsidRPr="00EE522E">
        <w:rPr>
          <w:rFonts w:ascii="Times New Roman" w:hAnsi="Times New Roman"/>
          <w:sz w:val="21"/>
          <w:szCs w:val="21"/>
        </w:rPr>
        <w:t>організаційно-розпорядчі (формування організаційної структури; складання та контроль за дотриманням штатного розпису, посадових інструкцій; формування системи документообігу, апарату управління; контроль за здійсненням фінансово-господарської діяльності, виконанням рішень, а також оцінка ефективності управління);</w:t>
      </w:r>
    </w:p>
    <w:p w:rsidR="00B20650" w:rsidRPr="00EE522E" w:rsidRDefault="00B20650" w:rsidP="007D5F7E">
      <w:pPr>
        <w:numPr>
          <w:ilvl w:val="0"/>
          <w:numId w:val="68"/>
        </w:numPr>
        <w:tabs>
          <w:tab w:val="clear" w:pos="720"/>
          <w:tab w:val="left" w:pos="993"/>
        </w:tabs>
        <w:ind w:left="0" w:firstLine="709"/>
        <w:jc w:val="both"/>
        <w:rPr>
          <w:rFonts w:ascii="Times New Roman" w:hAnsi="Times New Roman"/>
          <w:sz w:val="21"/>
          <w:szCs w:val="21"/>
        </w:rPr>
      </w:pPr>
      <w:r w:rsidRPr="00EE522E">
        <w:rPr>
          <w:rFonts w:ascii="Times New Roman" w:hAnsi="Times New Roman"/>
          <w:sz w:val="21"/>
          <w:szCs w:val="21"/>
        </w:rPr>
        <w:t>нормативно-правові (дотримання норм, визначених на державному рівні; встановлення внутрішніх нормативів, норм, лімітів);</w:t>
      </w:r>
    </w:p>
    <w:p w:rsidR="00B20650" w:rsidRPr="00EE522E" w:rsidRDefault="00B20650" w:rsidP="007D5F7E">
      <w:pPr>
        <w:numPr>
          <w:ilvl w:val="0"/>
          <w:numId w:val="68"/>
        </w:numPr>
        <w:tabs>
          <w:tab w:val="clear" w:pos="720"/>
          <w:tab w:val="left" w:pos="993"/>
        </w:tabs>
        <w:ind w:left="0" w:firstLine="709"/>
        <w:jc w:val="both"/>
        <w:rPr>
          <w:rFonts w:ascii="Times New Roman" w:hAnsi="Times New Roman"/>
          <w:sz w:val="21"/>
          <w:szCs w:val="21"/>
        </w:rPr>
      </w:pPr>
      <w:r w:rsidRPr="00EE522E">
        <w:rPr>
          <w:rFonts w:ascii="Times New Roman" w:hAnsi="Times New Roman"/>
          <w:sz w:val="21"/>
          <w:szCs w:val="21"/>
        </w:rPr>
        <w:t>соціально-психологічні (навчання, перепідготовка та підвищення кваліфікації працівників; колективне прийняття рішень; комунікаційний процес; мотивація; формування правил поведінки працівників; корпоративна культура).</w:t>
      </w:r>
    </w:p>
    <w:p w:rsidR="00B20650" w:rsidRPr="00EE522E" w:rsidRDefault="00B20650" w:rsidP="00B20650">
      <w:pPr>
        <w:ind w:firstLine="709"/>
        <w:jc w:val="both"/>
        <w:rPr>
          <w:rFonts w:ascii="Times New Roman" w:hAnsi="Times New Roman"/>
          <w:sz w:val="21"/>
          <w:szCs w:val="21"/>
        </w:rPr>
      </w:pPr>
      <w:r w:rsidRPr="00EE522E">
        <w:rPr>
          <w:rFonts w:ascii="Times New Roman" w:hAnsi="Times New Roman"/>
          <w:sz w:val="21"/>
          <w:szCs w:val="21"/>
        </w:rPr>
        <w:t>Прийняття рішень є ключовим процесом в управлінні фінансовими та господарськими операціями. Основною метою управлінського рішення є забезпечення регулюючого впливу на систему управління для досягнення поставлених перед нею цілей. Прийняття рішень – це обгрунтований вибір із великої кількості альтернатив однієї, найкращої та найбільш вигідної, що здійснює вплив на економічний розвиток навчального закладу. На наш погляд, для швидкого та об’єктивного аналізу ситуації має функціонувати інформаційна база, що є запорукою для ефективного управлінського рішення. Наявна інформаційна база сприяє процесу формалізації прийняття рішень, дозволяє спростити дану процедуру, заощаджуючи ресурси.</w:t>
      </w:r>
    </w:p>
    <w:p w:rsidR="00B20650" w:rsidRPr="00EE522E" w:rsidRDefault="00B20650" w:rsidP="00B20650">
      <w:pPr>
        <w:ind w:firstLine="709"/>
        <w:jc w:val="both"/>
        <w:rPr>
          <w:rFonts w:ascii="Times New Roman" w:hAnsi="Times New Roman"/>
          <w:sz w:val="21"/>
          <w:szCs w:val="21"/>
        </w:rPr>
      </w:pPr>
      <w:r w:rsidRPr="00EE522E">
        <w:rPr>
          <w:rFonts w:ascii="Times New Roman" w:hAnsi="Times New Roman"/>
          <w:sz w:val="21"/>
          <w:szCs w:val="21"/>
        </w:rPr>
        <w:t xml:space="preserve">Функціонування механізму пов’язане з опрацюванням великих інформаційних масивів, обміном інформацією між усіма </w:t>
      </w:r>
      <w:r w:rsidRPr="00EE522E">
        <w:rPr>
          <w:rFonts w:ascii="Times New Roman" w:hAnsi="Times New Roman"/>
          <w:sz w:val="21"/>
          <w:szCs w:val="21"/>
        </w:rPr>
        <w:lastRenderedPageBreak/>
        <w:t xml:space="preserve">рівнями управління. Для коригування стратегічних цілей розвитку навчального закладу, моніторингу процесу реалізації плану розвитку, керівництво ВНЗ має регулярно, оперативно та у повному обсязі отримувати інформацію про ключові показники фінансово-господарської діяльності. З цією метою здійснюється контролінг, суть якого полягає в тому, що відбувається узгодження діяльності усіх структурних підрозділів з метою їх адаптації до змінних зовнішніх умов; здійснюється інформаційне забезпечення прийняття управлінських рішень та оптимальне використання всіх видів ресурсів. </w:t>
      </w:r>
    </w:p>
    <w:p w:rsidR="00B20650" w:rsidRPr="00EE522E" w:rsidRDefault="00B20650" w:rsidP="00B20650">
      <w:pPr>
        <w:ind w:firstLine="709"/>
        <w:jc w:val="both"/>
        <w:rPr>
          <w:rFonts w:ascii="Times New Roman" w:hAnsi="Times New Roman"/>
          <w:sz w:val="21"/>
          <w:szCs w:val="21"/>
        </w:rPr>
      </w:pPr>
      <w:r w:rsidRPr="00EE522E">
        <w:rPr>
          <w:rFonts w:ascii="Times New Roman" w:hAnsi="Times New Roman"/>
          <w:sz w:val="21"/>
          <w:szCs w:val="21"/>
        </w:rPr>
        <w:t>В результаті контролінгу визначаються відхилення діяльності від заданої програми, керована система набуває нового стану за допомогою важелів, задіяних в управлінні. Важелі, як елементи механізму управління фінансово-господарською діяльностю ВНЗ, являють собою спосіб впливу на об’єкт задля досягнення поставленої мети. В контексті нашого наукового дослідження слід розглядати загальнодержавні – ліцензування та акредитація, державне фінансування, збалансування співвідношення централізації та децентралізації управління, автономія, та внутрішньогосподарські управлінські важелі – підприємницька активність керівників структурних підрозділів, інноваційна діяльність, розмежування компетенції та делегування повноважень між різними рівнями управління, ресурсне забезпечення.</w:t>
      </w:r>
    </w:p>
    <w:p w:rsidR="00B20650" w:rsidRPr="00EE522E" w:rsidRDefault="00B20650" w:rsidP="00B20650">
      <w:pPr>
        <w:ind w:firstLine="709"/>
        <w:jc w:val="both"/>
        <w:rPr>
          <w:rFonts w:ascii="Times New Roman" w:hAnsi="Times New Roman"/>
          <w:sz w:val="21"/>
          <w:szCs w:val="21"/>
        </w:rPr>
      </w:pPr>
      <w:r w:rsidRPr="00EE522E">
        <w:rPr>
          <w:rFonts w:ascii="Times New Roman" w:hAnsi="Times New Roman"/>
          <w:sz w:val="21"/>
          <w:szCs w:val="21"/>
        </w:rPr>
        <w:t xml:space="preserve">Під час контролю виявляють: якість самого управлінського рішення, ефективність тих організаційних заходів, яких було вжито для його виконання, відповідність організації об’єкта цілям успішного виконання настанов управлінського рішення, а також доцільності розстановки кадрів, які виконують ці рішення. Для успішного управління керівник повинен знати результати управлінського впливу на об’єкти управління. Контроль є засобом зворотного зв’язку між об’єктом і системою управління, він надає інформацію про дійсний стан керованого об’єкта, фактичне виконання управлінського рішення. </w:t>
      </w:r>
    </w:p>
    <w:p w:rsidR="00B20650" w:rsidRPr="00EE522E" w:rsidRDefault="00B20650" w:rsidP="00B20650">
      <w:pPr>
        <w:ind w:firstLine="709"/>
        <w:jc w:val="both"/>
        <w:rPr>
          <w:rFonts w:ascii="Times New Roman" w:hAnsi="Times New Roman"/>
          <w:sz w:val="21"/>
          <w:szCs w:val="21"/>
        </w:rPr>
      </w:pPr>
      <w:r w:rsidRPr="00EE522E">
        <w:rPr>
          <w:rFonts w:ascii="Times New Roman" w:hAnsi="Times New Roman"/>
          <w:sz w:val="21"/>
          <w:szCs w:val="21"/>
        </w:rPr>
        <w:t xml:space="preserve">Впровадження механізму передбачає: підвищення ефективності управління, розширення матеріально-технічної бази, поліпшення якісних та кількісних показників фінансово-господарської діяльності. В зв’язку з цим, необхідним є визначення комплексу завдань механізму управління фінансово-господарською </w:t>
      </w:r>
      <w:r w:rsidRPr="00EE522E">
        <w:rPr>
          <w:rFonts w:ascii="Times New Roman" w:hAnsi="Times New Roman"/>
          <w:sz w:val="21"/>
          <w:szCs w:val="21"/>
        </w:rPr>
        <w:lastRenderedPageBreak/>
        <w:t>діяльністю ВНЗ, вирішення яких впливатиме на усі сторони поточної життєдіяльності та на довготривалу перспективу. Завданнями механізму управління фінансово-господарською діяльністю освітнього закладу є: цільове використання коштів; оптимізація та регулювання ресурсного забезпечення; оптимальне використання наявних ресурсів; забезпечення  платоспроможності навчального закладу та організація своєчасного виконання зобов’язань; досягнення ефективності фінансово-господарської діяльності та економічного розвитку. Для реалізації зазначених завдань механізму управління фінансово-господарською діяльністю ВНЗ доцільно означити наступні напрями управління:</w:t>
      </w:r>
    </w:p>
    <w:p w:rsidR="00B20650" w:rsidRPr="00EE522E" w:rsidRDefault="00B20650" w:rsidP="00B20650">
      <w:pPr>
        <w:pStyle w:val="ad"/>
        <w:numPr>
          <w:ilvl w:val="0"/>
          <w:numId w:val="67"/>
        </w:numPr>
        <w:tabs>
          <w:tab w:val="left" w:pos="851"/>
        </w:tabs>
        <w:ind w:left="0" w:firstLine="567"/>
        <w:contextualSpacing w:val="0"/>
        <w:jc w:val="both"/>
        <w:rPr>
          <w:rFonts w:ascii="Times New Roman" w:hAnsi="Times New Roman"/>
          <w:sz w:val="21"/>
          <w:szCs w:val="21"/>
        </w:rPr>
      </w:pPr>
      <w:r w:rsidRPr="00EE522E">
        <w:rPr>
          <w:rFonts w:ascii="Times New Roman" w:hAnsi="Times New Roman"/>
          <w:sz w:val="21"/>
          <w:szCs w:val="21"/>
        </w:rPr>
        <w:t>збільшення обсягів надходжень із залученням усіх можливих джерел надходжень коштів;</w:t>
      </w:r>
    </w:p>
    <w:p w:rsidR="00B20650" w:rsidRPr="00EE522E" w:rsidRDefault="00B20650" w:rsidP="00B20650">
      <w:pPr>
        <w:pStyle w:val="ad"/>
        <w:numPr>
          <w:ilvl w:val="0"/>
          <w:numId w:val="67"/>
        </w:numPr>
        <w:tabs>
          <w:tab w:val="left" w:pos="851"/>
        </w:tabs>
        <w:ind w:left="0" w:firstLine="567"/>
        <w:contextualSpacing w:val="0"/>
        <w:jc w:val="both"/>
        <w:rPr>
          <w:rFonts w:ascii="Times New Roman" w:hAnsi="Times New Roman"/>
          <w:sz w:val="21"/>
          <w:szCs w:val="21"/>
        </w:rPr>
      </w:pPr>
      <w:r w:rsidRPr="00EE522E">
        <w:rPr>
          <w:rFonts w:ascii="Times New Roman" w:hAnsi="Times New Roman"/>
          <w:sz w:val="21"/>
          <w:szCs w:val="21"/>
        </w:rPr>
        <w:t>оптимізація видатків навчального закладу та економного використання матеріально-фінансових ресурсів;</w:t>
      </w:r>
    </w:p>
    <w:p w:rsidR="00B20650" w:rsidRPr="00EE522E" w:rsidRDefault="00B20650" w:rsidP="00B20650">
      <w:pPr>
        <w:pStyle w:val="ad"/>
        <w:numPr>
          <w:ilvl w:val="0"/>
          <w:numId w:val="67"/>
        </w:numPr>
        <w:tabs>
          <w:tab w:val="left" w:pos="851"/>
        </w:tabs>
        <w:ind w:left="0" w:firstLine="567"/>
        <w:contextualSpacing w:val="0"/>
        <w:jc w:val="both"/>
        <w:rPr>
          <w:rFonts w:ascii="Times New Roman" w:hAnsi="Times New Roman"/>
          <w:sz w:val="21"/>
          <w:szCs w:val="21"/>
        </w:rPr>
      </w:pPr>
      <w:r w:rsidRPr="00EE522E">
        <w:rPr>
          <w:rFonts w:ascii="Times New Roman" w:hAnsi="Times New Roman"/>
          <w:sz w:val="21"/>
          <w:szCs w:val="21"/>
        </w:rPr>
        <w:t>оптимізація організаційної структури фінансово-господарської діяльності ВНЗ;</w:t>
      </w:r>
    </w:p>
    <w:p w:rsidR="00B20650" w:rsidRPr="00EE522E" w:rsidRDefault="00B20650" w:rsidP="00B20650">
      <w:pPr>
        <w:pStyle w:val="ad"/>
        <w:numPr>
          <w:ilvl w:val="0"/>
          <w:numId w:val="67"/>
        </w:numPr>
        <w:tabs>
          <w:tab w:val="left" w:pos="851"/>
        </w:tabs>
        <w:ind w:left="0" w:firstLine="567"/>
        <w:contextualSpacing w:val="0"/>
        <w:jc w:val="both"/>
        <w:rPr>
          <w:rFonts w:ascii="Times New Roman" w:hAnsi="Times New Roman"/>
          <w:sz w:val="21"/>
          <w:szCs w:val="21"/>
        </w:rPr>
      </w:pPr>
      <w:r w:rsidRPr="00EE522E">
        <w:rPr>
          <w:rFonts w:ascii="Times New Roman" w:hAnsi="Times New Roman"/>
          <w:sz w:val="21"/>
          <w:szCs w:val="21"/>
        </w:rPr>
        <w:t>впровадження автоматизованої системи управління фінансово-господарською діяльністю вищого навчального закладу;</w:t>
      </w:r>
    </w:p>
    <w:p w:rsidR="00B20650" w:rsidRDefault="00B20650" w:rsidP="00B20650">
      <w:pPr>
        <w:pStyle w:val="ad"/>
        <w:numPr>
          <w:ilvl w:val="0"/>
          <w:numId w:val="67"/>
        </w:numPr>
        <w:tabs>
          <w:tab w:val="left" w:pos="851"/>
        </w:tabs>
        <w:ind w:left="0" w:firstLine="567"/>
        <w:contextualSpacing w:val="0"/>
        <w:jc w:val="both"/>
        <w:rPr>
          <w:rFonts w:ascii="Times New Roman" w:hAnsi="Times New Roman"/>
          <w:sz w:val="21"/>
          <w:szCs w:val="21"/>
        </w:rPr>
      </w:pPr>
      <w:r w:rsidRPr="00EE522E">
        <w:rPr>
          <w:rFonts w:ascii="Times New Roman" w:hAnsi="Times New Roman"/>
          <w:sz w:val="21"/>
          <w:szCs w:val="21"/>
        </w:rPr>
        <w:t>здійснення оперативного контролю за виконанням господарських операцій та дотр</w:t>
      </w:r>
      <w:r w:rsidR="007D5F7E">
        <w:rPr>
          <w:rFonts w:ascii="Times New Roman" w:hAnsi="Times New Roman"/>
          <w:sz w:val="21"/>
          <w:szCs w:val="21"/>
        </w:rPr>
        <w:t>иманням фінансової дисципліни (р</w:t>
      </w:r>
      <w:r w:rsidRPr="00EE522E">
        <w:rPr>
          <w:rFonts w:ascii="Times New Roman" w:hAnsi="Times New Roman"/>
          <w:sz w:val="21"/>
          <w:szCs w:val="21"/>
        </w:rPr>
        <w:t xml:space="preserve">ис. </w:t>
      </w:r>
      <w:r w:rsidR="007D5F7E">
        <w:rPr>
          <w:rFonts w:ascii="Times New Roman" w:hAnsi="Times New Roman"/>
          <w:sz w:val="21"/>
          <w:szCs w:val="21"/>
        </w:rPr>
        <w:t>7</w:t>
      </w:r>
      <w:r w:rsidRPr="00EE522E">
        <w:rPr>
          <w:rFonts w:ascii="Times New Roman" w:hAnsi="Times New Roman"/>
          <w:sz w:val="21"/>
          <w:szCs w:val="21"/>
        </w:rPr>
        <w:t>.3).</w:t>
      </w:r>
    </w:p>
    <w:p w:rsidR="00197F22" w:rsidRPr="00FD6B50" w:rsidRDefault="00197F22" w:rsidP="00197F22">
      <w:pPr>
        <w:pStyle w:val="ad"/>
        <w:ind w:left="0" w:firstLine="708"/>
        <w:contextualSpacing w:val="0"/>
        <w:jc w:val="both"/>
        <w:rPr>
          <w:rFonts w:ascii="Times New Roman" w:hAnsi="Times New Roman"/>
          <w:sz w:val="21"/>
          <w:szCs w:val="21"/>
        </w:rPr>
      </w:pPr>
      <w:r w:rsidRPr="00FD6B50">
        <w:rPr>
          <w:rFonts w:ascii="Times New Roman" w:hAnsi="Times New Roman"/>
          <w:sz w:val="21"/>
          <w:szCs w:val="21"/>
          <w:lang w:val="ru-RU"/>
        </w:rPr>
        <w:t xml:space="preserve">Вказані блоки повинні узгоджуватись та поєднуватись один з одним. Розглянемо детально кожний із них. </w:t>
      </w:r>
    </w:p>
    <w:p w:rsidR="00197F22" w:rsidRPr="00FD6B50" w:rsidRDefault="00197F22" w:rsidP="00197F22">
      <w:pPr>
        <w:ind w:firstLine="709"/>
        <w:jc w:val="both"/>
        <w:rPr>
          <w:rFonts w:ascii="Times New Roman" w:hAnsi="Times New Roman"/>
          <w:sz w:val="21"/>
          <w:szCs w:val="21"/>
        </w:rPr>
      </w:pPr>
      <w:r w:rsidRPr="00FD6B50">
        <w:rPr>
          <w:rFonts w:ascii="Times New Roman" w:hAnsi="Times New Roman"/>
          <w:sz w:val="21"/>
          <w:szCs w:val="21"/>
        </w:rPr>
        <w:t>1). Збільшення обсягів доходів можна досягнути, залучивши усі можливі джерела надходжень коштів. Даний напрямок буде реалізовано, якщо:</w:t>
      </w:r>
    </w:p>
    <w:p w:rsidR="00197F22" w:rsidRPr="00662748" w:rsidRDefault="00197F22" w:rsidP="00197F22">
      <w:pPr>
        <w:pStyle w:val="ad"/>
        <w:numPr>
          <w:ilvl w:val="0"/>
          <w:numId w:val="70"/>
        </w:numPr>
        <w:tabs>
          <w:tab w:val="left" w:pos="993"/>
        </w:tabs>
        <w:ind w:left="0" w:firstLine="709"/>
        <w:jc w:val="both"/>
        <w:rPr>
          <w:rFonts w:ascii="Times New Roman" w:hAnsi="Times New Roman"/>
          <w:sz w:val="21"/>
          <w:szCs w:val="21"/>
        </w:rPr>
      </w:pPr>
      <w:r w:rsidRPr="00662748">
        <w:rPr>
          <w:rFonts w:ascii="Times New Roman" w:hAnsi="Times New Roman"/>
          <w:sz w:val="21"/>
          <w:szCs w:val="21"/>
        </w:rPr>
        <w:t>забезпечити обсяги фінансування з державного та місцевого бюджетів у відповідності до норм Закону «Про вищу освіту»;</w:t>
      </w:r>
    </w:p>
    <w:p w:rsidR="00197F22" w:rsidRPr="00662748" w:rsidRDefault="00197F22" w:rsidP="00197F22">
      <w:pPr>
        <w:pStyle w:val="ad"/>
        <w:numPr>
          <w:ilvl w:val="0"/>
          <w:numId w:val="70"/>
        </w:numPr>
        <w:tabs>
          <w:tab w:val="left" w:pos="993"/>
        </w:tabs>
        <w:ind w:left="0" w:firstLine="709"/>
        <w:jc w:val="both"/>
        <w:rPr>
          <w:rFonts w:ascii="Times New Roman" w:hAnsi="Times New Roman"/>
          <w:sz w:val="21"/>
          <w:szCs w:val="21"/>
        </w:rPr>
      </w:pPr>
      <w:r w:rsidRPr="00662748">
        <w:rPr>
          <w:rFonts w:ascii="Times New Roman" w:hAnsi="Times New Roman"/>
          <w:sz w:val="21"/>
          <w:szCs w:val="21"/>
        </w:rPr>
        <w:t>розширити обсяги освітньої діяльності через відкриття філій, коледжів, нових напрямів та спеціальностей, впровадження новітніх технологій навчання, відкриття або розширення мережі аспірантури чи докторантури);</w:t>
      </w:r>
    </w:p>
    <w:p w:rsidR="00197F22" w:rsidRPr="00662748" w:rsidRDefault="00197F22" w:rsidP="00197F22">
      <w:pPr>
        <w:pStyle w:val="ad"/>
        <w:numPr>
          <w:ilvl w:val="0"/>
          <w:numId w:val="70"/>
        </w:numPr>
        <w:tabs>
          <w:tab w:val="left" w:pos="993"/>
        </w:tabs>
        <w:ind w:left="0" w:firstLine="709"/>
        <w:jc w:val="both"/>
        <w:rPr>
          <w:rFonts w:ascii="Times New Roman" w:hAnsi="Times New Roman"/>
          <w:sz w:val="21"/>
          <w:szCs w:val="21"/>
        </w:rPr>
      </w:pPr>
      <w:r w:rsidRPr="00662748">
        <w:rPr>
          <w:rFonts w:ascii="Times New Roman" w:hAnsi="Times New Roman"/>
          <w:sz w:val="21"/>
          <w:szCs w:val="21"/>
        </w:rPr>
        <w:t>залучити інвестиції, в тому числі у вигляді технічної допомоги, для здійснення навчальної, наукової, науково-дослідної та іншої освітньої діяльності;</w:t>
      </w:r>
    </w:p>
    <w:p w:rsidR="00197F22" w:rsidRPr="00662748" w:rsidRDefault="00197F22" w:rsidP="00197F22">
      <w:pPr>
        <w:pStyle w:val="ad"/>
        <w:numPr>
          <w:ilvl w:val="0"/>
          <w:numId w:val="70"/>
        </w:numPr>
        <w:tabs>
          <w:tab w:val="left" w:pos="993"/>
        </w:tabs>
        <w:ind w:left="0" w:firstLine="709"/>
        <w:jc w:val="both"/>
        <w:rPr>
          <w:rFonts w:ascii="Times New Roman" w:hAnsi="Times New Roman"/>
          <w:sz w:val="21"/>
          <w:szCs w:val="21"/>
        </w:rPr>
      </w:pPr>
      <w:r w:rsidRPr="00662748">
        <w:rPr>
          <w:rFonts w:ascii="Times New Roman" w:hAnsi="Times New Roman"/>
          <w:sz w:val="21"/>
          <w:szCs w:val="21"/>
        </w:rPr>
        <w:t>залучити спонсорські кошти;</w:t>
      </w:r>
    </w:p>
    <w:p w:rsidR="00197F22" w:rsidRDefault="00197F22" w:rsidP="00197F22">
      <w:pPr>
        <w:pStyle w:val="ad"/>
        <w:numPr>
          <w:ilvl w:val="0"/>
          <w:numId w:val="70"/>
        </w:numPr>
        <w:tabs>
          <w:tab w:val="left" w:pos="993"/>
        </w:tabs>
        <w:ind w:left="0" w:firstLine="709"/>
        <w:jc w:val="both"/>
        <w:rPr>
          <w:rFonts w:ascii="Times New Roman" w:hAnsi="Times New Roman"/>
          <w:sz w:val="21"/>
          <w:szCs w:val="21"/>
        </w:rPr>
      </w:pPr>
      <w:r w:rsidRPr="00662748">
        <w:rPr>
          <w:rFonts w:ascii="Times New Roman" w:hAnsi="Times New Roman"/>
          <w:sz w:val="21"/>
          <w:szCs w:val="21"/>
        </w:rPr>
        <w:lastRenderedPageBreak/>
        <w:t>впровадити нові види та розширити обсяги надання додаткових платних послуг;</w:t>
      </w:r>
    </w:p>
    <w:p w:rsidR="00197F22" w:rsidRPr="00197F22" w:rsidRDefault="00197F22" w:rsidP="00197F22">
      <w:pPr>
        <w:pStyle w:val="ad"/>
        <w:numPr>
          <w:ilvl w:val="0"/>
          <w:numId w:val="70"/>
        </w:numPr>
        <w:tabs>
          <w:tab w:val="left" w:pos="993"/>
        </w:tabs>
        <w:ind w:left="0" w:firstLine="709"/>
        <w:jc w:val="both"/>
        <w:rPr>
          <w:rFonts w:ascii="Times New Roman" w:hAnsi="Times New Roman"/>
          <w:sz w:val="21"/>
          <w:szCs w:val="21"/>
        </w:rPr>
      </w:pPr>
      <w:r w:rsidRPr="00197F22">
        <w:rPr>
          <w:rFonts w:ascii="Times New Roman" w:hAnsi="Times New Roman"/>
          <w:sz w:val="21"/>
          <w:szCs w:val="21"/>
        </w:rPr>
        <w:t>здійснювати міжнародну діяльність в межах міжнародних програм і фондів.</w:t>
      </w:r>
    </w:p>
    <w:p w:rsidR="00B20650" w:rsidRDefault="00B20650" w:rsidP="00B20650">
      <w:pPr>
        <w:tabs>
          <w:tab w:val="left" w:pos="1058"/>
        </w:tabs>
        <w:rPr>
          <w:rFonts w:ascii="Times New Roman" w:hAnsi="Times New Roman"/>
          <w:sz w:val="21"/>
          <w:szCs w:val="21"/>
        </w:rPr>
      </w:pPr>
    </w:p>
    <w:p w:rsidR="00B20650" w:rsidRDefault="006C1B1F" w:rsidP="00B20650">
      <w:pPr>
        <w:tabs>
          <w:tab w:val="left" w:pos="1058"/>
        </w:tabs>
        <w:rPr>
          <w:rFonts w:ascii="Times New Roman" w:hAnsi="Times New Roman"/>
          <w:sz w:val="21"/>
          <w:szCs w:val="21"/>
        </w:rPr>
      </w:pPr>
      <w:r>
        <w:rPr>
          <w:rFonts w:ascii="Times New Roman" w:hAnsi="Times New Roman"/>
          <w:noProof/>
          <w:sz w:val="14"/>
          <w:szCs w:val="14"/>
          <w:lang w:val="ru-RU" w:eastAsia="ru-RU"/>
        </w:rPr>
        <mc:AlternateContent>
          <mc:Choice Requires="wpg">
            <w:drawing>
              <wp:anchor distT="0" distB="0" distL="114300" distR="114300" simplePos="0" relativeHeight="251739136" behindDoc="0" locked="0" layoutInCell="1" allowOverlap="1" wp14:anchorId="2D411FCE" wp14:editId="366DF2AF">
                <wp:simplePos x="0" y="0"/>
                <wp:positionH relativeFrom="column">
                  <wp:posOffset>-5715</wp:posOffset>
                </wp:positionH>
                <wp:positionV relativeFrom="paragraph">
                  <wp:posOffset>3175</wp:posOffset>
                </wp:positionV>
                <wp:extent cx="3935095" cy="3990975"/>
                <wp:effectExtent l="0" t="0" r="27305" b="28575"/>
                <wp:wrapNone/>
                <wp:docPr id="1960" name="Group 8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35095" cy="3990975"/>
                          <a:chOff x="1418" y="6939"/>
                          <a:chExt cx="9900" cy="6152"/>
                        </a:xfrm>
                      </wpg:grpSpPr>
                      <wps:wsp>
                        <wps:cNvPr id="1961" name="Text Box 879"/>
                        <wps:cNvSpPr txBox="1">
                          <a:spLocks noChangeArrowheads="1"/>
                        </wps:cNvSpPr>
                        <wps:spPr bwMode="auto">
                          <a:xfrm>
                            <a:off x="5378" y="11078"/>
                            <a:ext cx="1800" cy="1080"/>
                          </a:xfrm>
                          <a:prstGeom prst="rect">
                            <a:avLst/>
                          </a:prstGeom>
                          <a:solidFill>
                            <a:srgbClr val="FFFFFF"/>
                          </a:solidFill>
                          <a:ln w="9525">
                            <a:solidFill>
                              <a:srgbClr val="000000"/>
                            </a:solidFill>
                            <a:miter lim="800000"/>
                            <a:headEnd/>
                            <a:tailEnd/>
                          </a:ln>
                        </wps:spPr>
                        <wps:txbx>
                          <w:txbxContent>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 xml:space="preserve">Професійно-кваліфіка-ційний відбір працівників </w:t>
                              </w:r>
                            </w:p>
                          </w:txbxContent>
                        </wps:txbx>
                        <wps:bodyPr rot="0" vert="horz" wrap="square" lIns="91440" tIns="45720" rIns="91440" bIns="45720" anchor="t" anchorCtr="0" upright="1">
                          <a:noAutofit/>
                        </wps:bodyPr>
                      </wps:wsp>
                      <wpg:grpSp>
                        <wpg:cNvPr id="1962" name="Group 880"/>
                        <wpg:cNvGrpSpPr>
                          <a:grpSpLocks/>
                        </wpg:cNvGrpSpPr>
                        <wpg:grpSpPr bwMode="auto">
                          <a:xfrm>
                            <a:off x="1418" y="6939"/>
                            <a:ext cx="9900" cy="6152"/>
                            <a:chOff x="1418" y="6939"/>
                            <a:chExt cx="9900" cy="6152"/>
                          </a:xfrm>
                        </wpg:grpSpPr>
                        <wps:wsp>
                          <wps:cNvPr id="1963" name="Text Box 881"/>
                          <wps:cNvSpPr txBox="1">
                            <a:spLocks noChangeArrowheads="1"/>
                          </wps:cNvSpPr>
                          <wps:spPr bwMode="auto">
                            <a:xfrm>
                              <a:off x="5378" y="8918"/>
                              <a:ext cx="1800" cy="1080"/>
                            </a:xfrm>
                            <a:prstGeom prst="rect">
                              <a:avLst/>
                            </a:prstGeom>
                            <a:solidFill>
                              <a:srgbClr val="FFFFFF"/>
                            </a:solidFill>
                            <a:ln w="9525">
                              <a:solidFill>
                                <a:srgbClr val="000000"/>
                              </a:solidFill>
                              <a:miter lim="800000"/>
                              <a:headEnd/>
                              <a:tailEnd/>
                            </a:ln>
                          </wps:spPr>
                          <wps:txbx>
                            <w:txbxContent>
                              <w:p w:rsidR="00BE40F8" w:rsidRDefault="00BE40F8" w:rsidP="006C1B1F">
                                <w:pPr>
                                  <w:spacing w:line="192" w:lineRule="auto"/>
                                  <w:ind w:firstLine="0"/>
                                  <w:jc w:val="center"/>
                                  <w:rPr>
                                    <w:rFonts w:ascii="Times New Roman" w:hAnsi="Times New Roman" w:cs="Times New Roman"/>
                                    <w:sz w:val="16"/>
                                    <w:szCs w:val="16"/>
                                  </w:rPr>
                                </w:pPr>
                              </w:p>
                              <w:p w:rsidR="00BE40F8" w:rsidRPr="006C1B1F" w:rsidRDefault="00BE40F8" w:rsidP="006C1B1F">
                                <w:pPr>
                                  <w:spacing w:line="192" w:lineRule="auto"/>
                                  <w:ind w:firstLine="0"/>
                                  <w:jc w:val="center"/>
                                  <w:rPr>
                                    <w:rFonts w:ascii="Times New Roman" w:hAnsi="Times New Roman" w:cs="Times New Roman"/>
                                    <w:sz w:val="16"/>
                                    <w:szCs w:val="16"/>
                                  </w:rPr>
                                </w:pPr>
                                <w:r w:rsidRPr="006C1B1F">
                                  <w:rPr>
                                    <w:rFonts w:ascii="Times New Roman" w:hAnsi="Times New Roman" w:cs="Times New Roman"/>
                                    <w:sz w:val="16"/>
                                    <w:szCs w:val="16"/>
                                  </w:rPr>
                                  <w:t>Приведення структури підрозділів у відповідність</w:t>
                                </w:r>
                                <w:r>
                                  <w:rPr>
                                    <w:rFonts w:ascii="Times New Roman" w:hAnsi="Times New Roman" w:cs="Times New Roman"/>
                                    <w:sz w:val="16"/>
                                    <w:szCs w:val="16"/>
                                  </w:rPr>
                                  <w:t xml:space="preserve"> </w:t>
                                </w:r>
                                <w:r w:rsidRPr="006C1B1F">
                                  <w:rPr>
                                    <w:rFonts w:ascii="Times New Roman" w:hAnsi="Times New Roman" w:cs="Times New Roman"/>
                                    <w:sz w:val="16"/>
                                    <w:szCs w:val="16"/>
                                  </w:rPr>
                                  <w:t>вимогам</w:t>
                                </w:r>
                              </w:p>
                            </w:txbxContent>
                          </wps:txbx>
                          <wps:bodyPr rot="0" vert="horz" wrap="square" lIns="0" tIns="0" rIns="0" bIns="0" anchor="t" anchorCtr="0" upright="1">
                            <a:noAutofit/>
                          </wps:bodyPr>
                        </wps:wsp>
                        <wpg:grpSp>
                          <wpg:cNvPr id="1964" name="Group 882"/>
                          <wpg:cNvGrpSpPr>
                            <a:grpSpLocks/>
                          </wpg:cNvGrpSpPr>
                          <wpg:grpSpPr bwMode="auto">
                            <a:xfrm>
                              <a:off x="1418" y="6939"/>
                              <a:ext cx="9900" cy="6152"/>
                              <a:chOff x="1418" y="6939"/>
                              <a:chExt cx="9900" cy="6152"/>
                            </a:xfrm>
                          </wpg:grpSpPr>
                          <wps:wsp>
                            <wps:cNvPr id="1965" name="Text Box 883"/>
                            <wps:cNvSpPr txBox="1">
                              <a:spLocks noChangeArrowheads="1"/>
                            </wps:cNvSpPr>
                            <wps:spPr bwMode="auto">
                              <a:xfrm>
                                <a:off x="3398" y="8132"/>
                                <a:ext cx="1800" cy="606"/>
                              </a:xfrm>
                              <a:prstGeom prst="rect">
                                <a:avLst/>
                              </a:prstGeom>
                              <a:solidFill>
                                <a:srgbClr val="FFFFFF"/>
                              </a:solidFill>
                              <a:ln w="9525">
                                <a:solidFill>
                                  <a:srgbClr val="000000"/>
                                </a:solidFill>
                                <a:miter lim="800000"/>
                                <a:headEnd/>
                                <a:tailEnd/>
                              </a:ln>
                            </wps:spPr>
                            <wps:txbx>
                              <w:txbxContent>
                                <w:p w:rsidR="00BE40F8" w:rsidRPr="007D5F7E" w:rsidRDefault="00BE40F8" w:rsidP="006C1B1F">
                                  <w:pPr>
                                    <w:spacing w:line="216" w:lineRule="auto"/>
                                    <w:ind w:firstLine="0"/>
                                    <w:jc w:val="center"/>
                                    <w:rPr>
                                      <w:rFonts w:ascii="Times New Roman" w:hAnsi="Times New Roman" w:cs="Times New Roman"/>
                                      <w:spacing w:val="-6"/>
                                      <w:sz w:val="16"/>
                                      <w:szCs w:val="16"/>
                                    </w:rPr>
                                  </w:pPr>
                                  <w:r w:rsidRPr="007D5F7E">
                                    <w:rPr>
                                      <w:rFonts w:ascii="Times New Roman" w:hAnsi="Times New Roman" w:cs="Times New Roman"/>
                                      <w:spacing w:val="-6"/>
                                      <w:sz w:val="16"/>
                                      <w:szCs w:val="16"/>
                                    </w:rPr>
                                    <w:t xml:space="preserve">Оптимізація </w:t>
                                  </w:r>
                                </w:p>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видатків</w:t>
                                  </w:r>
                                </w:p>
                              </w:txbxContent>
                            </wps:txbx>
                            <wps:bodyPr rot="0" vert="horz" wrap="square" lIns="91440" tIns="45720" rIns="91440" bIns="45720" anchor="t" anchorCtr="0" upright="1">
                              <a:noAutofit/>
                            </wps:bodyPr>
                          </wps:wsp>
                          <wpg:grpSp>
                            <wpg:cNvPr id="1966" name="Group 884"/>
                            <wpg:cNvGrpSpPr>
                              <a:grpSpLocks/>
                            </wpg:cNvGrpSpPr>
                            <wpg:grpSpPr bwMode="auto">
                              <a:xfrm>
                                <a:off x="1418" y="6939"/>
                                <a:ext cx="9900" cy="6152"/>
                                <a:chOff x="1418" y="6939"/>
                                <a:chExt cx="9900" cy="6152"/>
                              </a:xfrm>
                            </wpg:grpSpPr>
                            <wps:wsp>
                              <wps:cNvPr id="1967" name="Text Box 885"/>
                              <wps:cNvSpPr txBox="1">
                                <a:spLocks noChangeArrowheads="1"/>
                              </wps:cNvSpPr>
                              <wps:spPr bwMode="auto">
                                <a:xfrm>
                                  <a:off x="3398" y="9818"/>
                                  <a:ext cx="1800" cy="1080"/>
                                </a:xfrm>
                                <a:prstGeom prst="rect">
                                  <a:avLst/>
                                </a:prstGeom>
                                <a:solidFill>
                                  <a:srgbClr val="FFFFFF"/>
                                </a:solidFill>
                                <a:ln w="9525">
                                  <a:solidFill>
                                    <a:srgbClr val="000000"/>
                                  </a:solidFill>
                                  <a:miter lim="800000"/>
                                  <a:headEnd/>
                                  <a:tailEnd/>
                                </a:ln>
                              </wps:spPr>
                              <wps:txbx>
                                <w:txbxContent>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Розробка внутрішніх нормативів, норм, лімітів</w:t>
                                    </w:r>
                                  </w:p>
                                </w:txbxContent>
                              </wps:txbx>
                              <wps:bodyPr rot="0" vert="horz" wrap="square" lIns="91440" tIns="45720" rIns="91440" bIns="45720" anchor="t" anchorCtr="0" upright="1">
                                <a:noAutofit/>
                              </wps:bodyPr>
                            </wps:wsp>
                            <wpg:grpSp>
                              <wpg:cNvPr id="1968" name="Group 886"/>
                              <wpg:cNvGrpSpPr>
                                <a:grpSpLocks/>
                              </wpg:cNvGrpSpPr>
                              <wpg:grpSpPr bwMode="auto">
                                <a:xfrm>
                                  <a:off x="1418" y="6939"/>
                                  <a:ext cx="9900" cy="6152"/>
                                  <a:chOff x="1418" y="6939"/>
                                  <a:chExt cx="9900" cy="6152"/>
                                </a:xfrm>
                              </wpg:grpSpPr>
                              <wps:wsp>
                                <wps:cNvPr id="1969" name="Text Box 887"/>
                                <wps:cNvSpPr txBox="1">
                                  <a:spLocks noChangeArrowheads="1"/>
                                </wps:cNvSpPr>
                                <wps:spPr bwMode="auto">
                                  <a:xfrm>
                                    <a:off x="1418" y="8889"/>
                                    <a:ext cx="1800" cy="782"/>
                                  </a:xfrm>
                                  <a:prstGeom prst="rect">
                                    <a:avLst/>
                                  </a:prstGeom>
                                  <a:solidFill>
                                    <a:srgbClr val="FFFFFF"/>
                                  </a:solidFill>
                                  <a:ln w="9525">
                                    <a:solidFill>
                                      <a:srgbClr val="000000"/>
                                    </a:solidFill>
                                    <a:miter lim="800000"/>
                                    <a:headEnd/>
                                    <a:tailEnd/>
                                  </a:ln>
                                </wps:spPr>
                                <wps:txbx>
                                  <w:txbxContent>
                                    <w:p w:rsidR="00BE40F8" w:rsidRDefault="00BE40F8" w:rsidP="006C1B1F">
                                      <w:pPr>
                                        <w:spacing w:line="216" w:lineRule="auto"/>
                                        <w:ind w:firstLine="0"/>
                                        <w:jc w:val="center"/>
                                        <w:rPr>
                                          <w:rFonts w:ascii="Times New Roman" w:hAnsi="Times New Roman" w:cs="Times New Roman"/>
                                          <w:sz w:val="16"/>
                                          <w:szCs w:val="16"/>
                                        </w:rPr>
                                      </w:pPr>
                                    </w:p>
                                    <w:p w:rsidR="00BE40F8" w:rsidRPr="006C1B1F" w:rsidRDefault="00BE40F8" w:rsidP="006C1B1F">
                                      <w:pPr>
                                        <w:spacing w:line="216" w:lineRule="auto"/>
                                        <w:ind w:firstLine="0"/>
                                        <w:jc w:val="center"/>
                                        <w:rPr>
                                          <w:rFonts w:ascii="Times New Roman" w:hAnsi="Times New Roman" w:cs="Times New Roman"/>
                                          <w:sz w:val="16"/>
                                          <w:szCs w:val="16"/>
                                        </w:rPr>
                                      </w:pPr>
                                      <w:r w:rsidRPr="006C1B1F">
                                        <w:rPr>
                                          <w:rFonts w:ascii="Times New Roman" w:hAnsi="Times New Roman" w:cs="Times New Roman"/>
                                          <w:sz w:val="16"/>
                                          <w:szCs w:val="16"/>
                                        </w:rPr>
                                        <w:t>Забезпечення бюджетного фінансування</w:t>
                                      </w:r>
                                    </w:p>
                                  </w:txbxContent>
                                </wps:txbx>
                                <wps:bodyPr rot="0" vert="horz" wrap="square" lIns="0" tIns="0" rIns="0" bIns="0" anchor="t" anchorCtr="0" upright="1">
                                  <a:noAutofit/>
                                </wps:bodyPr>
                              </wps:wsp>
                              <wpg:grpSp>
                                <wpg:cNvPr id="1970" name="Group 888"/>
                                <wpg:cNvGrpSpPr>
                                  <a:grpSpLocks/>
                                </wpg:cNvGrpSpPr>
                                <wpg:grpSpPr bwMode="auto">
                                  <a:xfrm>
                                    <a:off x="1418" y="6939"/>
                                    <a:ext cx="9900" cy="6152"/>
                                    <a:chOff x="1418" y="6939"/>
                                    <a:chExt cx="9900" cy="6152"/>
                                  </a:xfrm>
                                </wpg:grpSpPr>
                                <wps:wsp>
                                  <wps:cNvPr id="1971" name="Text Box 889"/>
                                  <wps:cNvSpPr txBox="1">
                                    <a:spLocks noChangeArrowheads="1"/>
                                  </wps:cNvSpPr>
                                  <wps:spPr bwMode="auto">
                                    <a:xfrm>
                                      <a:off x="1418" y="11584"/>
                                      <a:ext cx="1800" cy="787"/>
                                    </a:xfrm>
                                    <a:prstGeom prst="rect">
                                      <a:avLst/>
                                    </a:prstGeom>
                                    <a:solidFill>
                                      <a:srgbClr val="FFFFFF"/>
                                    </a:solidFill>
                                    <a:ln w="9525">
                                      <a:solidFill>
                                        <a:srgbClr val="000000"/>
                                      </a:solidFill>
                                      <a:miter lim="800000"/>
                                      <a:headEnd/>
                                      <a:tailEnd/>
                                    </a:ln>
                                  </wps:spPr>
                                  <wps:txbx>
                                    <w:txbxContent>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Надання додаткових платних послуг</w:t>
                                        </w:r>
                                      </w:p>
                                    </w:txbxContent>
                                  </wps:txbx>
                                  <wps:bodyPr rot="0" vert="horz" wrap="square" lIns="91440" tIns="45720" rIns="91440" bIns="45720" anchor="t" anchorCtr="0" upright="1">
                                    <a:noAutofit/>
                                  </wps:bodyPr>
                                </wps:wsp>
                                <wpg:grpSp>
                                  <wpg:cNvPr id="1972" name="Group 890"/>
                                  <wpg:cNvGrpSpPr>
                                    <a:grpSpLocks/>
                                  </wpg:cNvGrpSpPr>
                                  <wpg:grpSpPr bwMode="auto">
                                    <a:xfrm>
                                      <a:off x="1418" y="6939"/>
                                      <a:ext cx="9900" cy="6152"/>
                                      <a:chOff x="1418" y="6939"/>
                                      <a:chExt cx="9900" cy="6152"/>
                                    </a:xfrm>
                                  </wpg:grpSpPr>
                                  <wpg:grpSp>
                                    <wpg:cNvPr id="1973" name="Group 891"/>
                                    <wpg:cNvGrpSpPr>
                                      <a:grpSpLocks/>
                                    </wpg:cNvGrpSpPr>
                                    <wpg:grpSpPr bwMode="auto">
                                      <a:xfrm>
                                        <a:off x="1418" y="10325"/>
                                        <a:ext cx="3780" cy="2734"/>
                                        <a:chOff x="1418" y="10325"/>
                                        <a:chExt cx="3780" cy="2734"/>
                                      </a:xfrm>
                                    </wpg:grpSpPr>
                                    <wps:wsp>
                                      <wps:cNvPr id="1974" name="Text Box 892"/>
                                      <wps:cNvSpPr txBox="1">
                                        <a:spLocks noChangeArrowheads="1"/>
                                      </wps:cNvSpPr>
                                      <wps:spPr bwMode="auto">
                                        <a:xfrm>
                                          <a:off x="1418" y="10325"/>
                                          <a:ext cx="1800" cy="606"/>
                                        </a:xfrm>
                                        <a:prstGeom prst="rect">
                                          <a:avLst/>
                                        </a:prstGeom>
                                        <a:solidFill>
                                          <a:srgbClr val="FFFFFF"/>
                                        </a:solidFill>
                                        <a:ln w="9525">
                                          <a:solidFill>
                                            <a:srgbClr val="000000"/>
                                          </a:solidFill>
                                          <a:miter lim="800000"/>
                                          <a:headEnd/>
                                          <a:tailEnd/>
                                        </a:ln>
                                      </wps:spPr>
                                      <wps:txbx>
                                        <w:txbxContent>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Залучення інвестицій</w:t>
                                            </w:r>
                                          </w:p>
                                        </w:txbxContent>
                                      </wps:txbx>
                                      <wps:bodyPr rot="0" vert="horz" wrap="square" lIns="91440" tIns="45720" rIns="91440" bIns="45720" anchor="t" anchorCtr="0" upright="1">
                                        <a:noAutofit/>
                                      </wps:bodyPr>
                                    </wps:wsp>
                                    <wps:wsp>
                                      <wps:cNvPr id="1975" name="Text Box 893"/>
                                      <wps:cNvSpPr txBox="1">
                                        <a:spLocks noChangeArrowheads="1"/>
                                      </wps:cNvSpPr>
                                      <wps:spPr bwMode="auto">
                                        <a:xfrm>
                                          <a:off x="3398" y="11979"/>
                                          <a:ext cx="1800" cy="1080"/>
                                        </a:xfrm>
                                        <a:prstGeom prst="rect">
                                          <a:avLst/>
                                        </a:prstGeom>
                                        <a:solidFill>
                                          <a:srgbClr val="FFFFFF"/>
                                        </a:solidFill>
                                        <a:ln w="9525">
                                          <a:solidFill>
                                            <a:srgbClr val="000000"/>
                                          </a:solidFill>
                                          <a:miter lim="800000"/>
                                          <a:headEnd/>
                                          <a:tailEnd/>
                                        </a:ln>
                                      </wps:spPr>
                                      <wps:txbx>
                                        <w:txbxContent>
                                          <w:p w:rsidR="00BE40F8" w:rsidRDefault="00BE40F8" w:rsidP="006C1B1F">
                                            <w:pPr>
                                              <w:spacing w:line="204" w:lineRule="auto"/>
                                              <w:ind w:firstLine="0"/>
                                              <w:jc w:val="center"/>
                                              <w:rPr>
                                                <w:rFonts w:ascii="Times New Roman" w:hAnsi="Times New Roman" w:cs="Times New Roman"/>
                                                <w:sz w:val="16"/>
                                                <w:szCs w:val="16"/>
                                              </w:rPr>
                                            </w:pPr>
                                          </w:p>
                                          <w:p w:rsidR="00BE40F8" w:rsidRPr="007D5F7E" w:rsidRDefault="00BE40F8" w:rsidP="006C1B1F">
                                            <w:pPr>
                                              <w:spacing w:line="204" w:lineRule="auto"/>
                                              <w:ind w:firstLine="0"/>
                                              <w:jc w:val="center"/>
                                              <w:rPr>
                                                <w:rFonts w:ascii="Times New Roman" w:hAnsi="Times New Roman" w:cs="Times New Roman"/>
                                                <w:sz w:val="16"/>
                                                <w:szCs w:val="16"/>
                                              </w:rPr>
                                            </w:pPr>
                                            <w:r>
                                              <w:rPr>
                                                <w:rFonts w:ascii="Times New Roman" w:hAnsi="Times New Roman" w:cs="Times New Roman"/>
                                                <w:sz w:val="16"/>
                                                <w:szCs w:val="16"/>
                                              </w:rPr>
                                              <w:t>Стимулю</w:t>
                                            </w:r>
                                            <w:r w:rsidRPr="007D5F7E">
                                              <w:rPr>
                                                <w:rFonts w:ascii="Times New Roman" w:hAnsi="Times New Roman" w:cs="Times New Roman"/>
                                                <w:sz w:val="16"/>
                                                <w:szCs w:val="16"/>
                                              </w:rPr>
                                              <w:t xml:space="preserve">вання працівників за </w:t>
                                            </w:r>
                                            <w:r w:rsidRPr="007D5F7E">
                                              <w:rPr>
                                                <w:rFonts w:ascii="Times New Roman" w:hAnsi="Times New Roman" w:cs="Times New Roman"/>
                                                <w:spacing w:val="-6"/>
                                                <w:sz w:val="16"/>
                                                <w:szCs w:val="16"/>
                                              </w:rPr>
                                              <w:t xml:space="preserve">результатами </w:t>
                                            </w:r>
                                            <w:r w:rsidRPr="007D5F7E">
                                              <w:rPr>
                                                <w:rFonts w:ascii="Times New Roman" w:hAnsi="Times New Roman" w:cs="Times New Roman"/>
                                                <w:sz w:val="16"/>
                                                <w:szCs w:val="16"/>
                                              </w:rPr>
                                              <w:t>діяльності</w:t>
                                            </w:r>
                                          </w:p>
                                        </w:txbxContent>
                                      </wps:txbx>
                                      <wps:bodyPr rot="0" vert="horz" wrap="square" lIns="0" tIns="0" rIns="0" bIns="0" anchor="t" anchorCtr="0" upright="1">
                                        <a:noAutofit/>
                                      </wps:bodyPr>
                                    </wps:wsp>
                                  </wpg:grpSp>
                                  <wpg:grpSp>
                                    <wpg:cNvPr id="1976" name="Group 894"/>
                                    <wpg:cNvGrpSpPr>
                                      <a:grpSpLocks/>
                                    </wpg:cNvGrpSpPr>
                                    <wpg:grpSpPr bwMode="auto">
                                      <a:xfrm>
                                        <a:off x="1418" y="6939"/>
                                        <a:ext cx="9900" cy="6152"/>
                                        <a:chOff x="1418" y="6939"/>
                                        <a:chExt cx="9900" cy="6152"/>
                                      </a:xfrm>
                                    </wpg:grpSpPr>
                                    <wps:wsp>
                                      <wps:cNvPr id="1977" name="Text Box 895"/>
                                      <wps:cNvSpPr txBox="1">
                                        <a:spLocks noChangeArrowheads="1"/>
                                      </wps:cNvSpPr>
                                      <wps:spPr bwMode="auto">
                                        <a:xfrm>
                                          <a:off x="1418" y="8136"/>
                                          <a:ext cx="1800" cy="815"/>
                                        </a:xfrm>
                                        <a:prstGeom prst="rect">
                                          <a:avLst/>
                                        </a:prstGeom>
                                        <a:solidFill>
                                          <a:srgbClr val="FFFFFF"/>
                                        </a:solidFill>
                                        <a:ln w="9525">
                                          <a:solidFill>
                                            <a:srgbClr val="000000"/>
                                          </a:solidFill>
                                          <a:miter lim="800000"/>
                                          <a:headEnd/>
                                          <a:tailEnd/>
                                        </a:ln>
                                      </wps:spPr>
                                      <wps:txbx>
                                        <w:txbxContent>
                                          <w:p w:rsidR="00BE40F8" w:rsidRPr="007D5F7E" w:rsidRDefault="00BE40F8" w:rsidP="006C1B1F">
                                            <w:pPr>
                                              <w:spacing w:line="192" w:lineRule="auto"/>
                                              <w:ind w:firstLine="0"/>
                                              <w:jc w:val="center"/>
                                              <w:rPr>
                                                <w:rFonts w:ascii="Times New Roman" w:hAnsi="Times New Roman" w:cs="Times New Roman"/>
                                                <w:spacing w:val="-4"/>
                                                <w:sz w:val="16"/>
                                                <w:szCs w:val="16"/>
                                              </w:rPr>
                                            </w:pPr>
                                            <w:r w:rsidRPr="007D5F7E">
                                              <w:rPr>
                                                <w:rFonts w:ascii="Times New Roman" w:hAnsi="Times New Roman" w:cs="Times New Roman"/>
                                                <w:spacing w:val="-4"/>
                                                <w:sz w:val="16"/>
                                                <w:szCs w:val="16"/>
                                              </w:rPr>
                                              <w:t>Збільшення обсягів надходжень</w:t>
                                            </w:r>
                                          </w:p>
                                        </w:txbxContent>
                                      </wps:txbx>
                                      <wps:bodyPr rot="0" vert="horz" wrap="square" lIns="91440" tIns="45720" rIns="91440" bIns="45720" anchor="t" anchorCtr="0" upright="1">
                                        <a:noAutofit/>
                                      </wps:bodyPr>
                                    </wps:wsp>
                                    <wps:wsp>
                                      <wps:cNvPr id="1978" name="Text Box 896"/>
                                      <wps:cNvSpPr txBox="1">
                                        <a:spLocks noChangeArrowheads="1"/>
                                      </wps:cNvSpPr>
                                      <wps:spPr bwMode="auto">
                                        <a:xfrm>
                                          <a:off x="5378" y="8132"/>
                                          <a:ext cx="1800" cy="786"/>
                                        </a:xfrm>
                                        <a:prstGeom prst="rect">
                                          <a:avLst/>
                                        </a:prstGeom>
                                        <a:solidFill>
                                          <a:srgbClr val="FFFFFF"/>
                                        </a:solidFill>
                                        <a:ln w="9525">
                                          <a:solidFill>
                                            <a:srgbClr val="000000"/>
                                          </a:solidFill>
                                          <a:miter lim="800000"/>
                                          <a:headEnd/>
                                          <a:tailEnd/>
                                        </a:ln>
                                      </wps:spPr>
                                      <wps:txbx>
                                        <w:txbxContent>
                                          <w:p w:rsidR="00BE40F8" w:rsidRPr="006C1B1F" w:rsidRDefault="00BE40F8" w:rsidP="006C1B1F">
                                            <w:pPr>
                                              <w:spacing w:line="216" w:lineRule="auto"/>
                                              <w:ind w:firstLine="0"/>
                                              <w:jc w:val="center"/>
                                              <w:rPr>
                                                <w:rFonts w:ascii="Times New Roman" w:hAnsi="Times New Roman" w:cs="Times New Roman"/>
                                                <w:sz w:val="16"/>
                                                <w:szCs w:val="16"/>
                                              </w:rPr>
                                            </w:pPr>
                                            <w:r w:rsidRPr="006C1B1F">
                                              <w:rPr>
                                                <w:rFonts w:ascii="Times New Roman" w:hAnsi="Times New Roman" w:cs="Times New Roman"/>
                                                <w:sz w:val="16"/>
                                                <w:szCs w:val="16"/>
                                              </w:rPr>
                                              <w:t>Оптимізація організаційної</w:t>
                                            </w:r>
                                          </w:p>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 xml:space="preserve"> структури</w:t>
                                            </w:r>
                                          </w:p>
                                        </w:txbxContent>
                                      </wps:txbx>
                                      <wps:bodyPr rot="0" vert="horz" wrap="square" lIns="0" tIns="0" rIns="0" bIns="0" anchor="t" anchorCtr="0" upright="1">
                                        <a:noAutofit/>
                                      </wps:bodyPr>
                                    </wps:wsp>
                                    <wps:wsp>
                                      <wps:cNvPr id="1979" name="Text Box 897"/>
                                      <wps:cNvSpPr txBox="1">
                                        <a:spLocks noChangeArrowheads="1"/>
                                      </wps:cNvSpPr>
                                      <wps:spPr bwMode="auto">
                                        <a:xfrm>
                                          <a:off x="7358" y="8132"/>
                                          <a:ext cx="1980" cy="1506"/>
                                        </a:xfrm>
                                        <a:prstGeom prst="rect">
                                          <a:avLst/>
                                        </a:prstGeom>
                                        <a:solidFill>
                                          <a:srgbClr val="FFFFFF"/>
                                        </a:solidFill>
                                        <a:ln w="9525">
                                          <a:solidFill>
                                            <a:srgbClr val="000000"/>
                                          </a:solidFill>
                                          <a:miter lim="800000"/>
                                          <a:headEnd/>
                                          <a:tailEnd/>
                                        </a:ln>
                                      </wps:spPr>
                                      <wps:txbx>
                                        <w:txbxContent>
                                          <w:p w:rsidR="00BE40F8" w:rsidRPr="007D5F7E" w:rsidRDefault="00BE40F8" w:rsidP="00662748">
                                            <w:pPr>
                                              <w:spacing w:line="216" w:lineRule="auto"/>
                                              <w:ind w:firstLine="0"/>
                                              <w:jc w:val="center"/>
                                              <w:rPr>
                                                <w:rFonts w:ascii="Times New Roman" w:hAnsi="Times New Roman" w:cs="Times New Roman"/>
                                                <w:sz w:val="16"/>
                                                <w:szCs w:val="16"/>
                                              </w:rPr>
                                            </w:pPr>
                                            <w:r w:rsidRPr="007D5F7E">
                                              <w:rPr>
                                                <w:rFonts w:ascii="Times New Roman" w:hAnsi="Times New Roman" w:cs="Times New Roman"/>
                                                <w:spacing w:val="-4"/>
                                                <w:sz w:val="16"/>
                                                <w:szCs w:val="16"/>
                                              </w:rPr>
                                              <w:t xml:space="preserve">Інформаційне </w:t>
                                            </w:r>
                                            <w:r w:rsidRPr="007D5F7E">
                                              <w:rPr>
                                                <w:rFonts w:ascii="Times New Roman" w:hAnsi="Times New Roman" w:cs="Times New Roman"/>
                                                <w:sz w:val="16"/>
                                                <w:szCs w:val="16"/>
                                              </w:rPr>
                                              <w:t xml:space="preserve">забезпечення управління фінансово-господарської діяльності </w:t>
                                            </w:r>
                                          </w:p>
                                        </w:txbxContent>
                                      </wps:txbx>
                                      <wps:bodyPr rot="0" vert="horz" wrap="square" lIns="91440" tIns="45720" rIns="91440" bIns="45720" anchor="t" anchorCtr="0" upright="1">
                                        <a:noAutofit/>
                                      </wps:bodyPr>
                                    </wps:wsp>
                                    <wps:wsp>
                                      <wps:cNvPr id="1980" name="Text Box 898"/>
                                      <wps:cNvSpPr txBox="1">
                                        <a:spLocks noChangeArrowheads="1"/>
                                      </wps:cNvSpPr>
                                      <wps:spPr bwMode="auto">
                                        <a:xfrm>
                                          <a:off x="9518" y="8132"/>
                                          <a:ext cx="1800" cy="900"/>
                                        </a:xfrm>
                                        <a:prstGeom prst="rect">
                                          <a:avLst/>
                                        </a:prstGeom>
                                        <a:solidFill>
                                          <a:srgbClr val="FFFFFF"/>
                                        </a:solidFill>
                                        <a:ln w="9525">
                                          <a:solidFill>
                                            <a:srgbClr val="000000"/>
                                          </a:solidFill>
                                          <a:miter lim="800000"/>
                                          <a:headEnd/>
                                          <a:tailEnd/>
                                        </a:ln>
                                      </wps:spPr>
                                      <wps:txbx>
                                        <w:txbxContent>
                                          <w:p w:rsidR="00BE40F8" w:rsidRPr="007D5F7E" w:rsidRDefault="00BE40F8" w:rsidP="00662748">
                                            <w:pPr>
                                              <w:ind w:firstLine="0"/>
                                              <w:jc w:val="center"/>
                                              <w:rPr>
                                                <w:rFonts w:ascii="Times New Roman" w:hAnsi="Times New Roman" w:cs="Times New Roman"/>
                                                <w:sz w:val="16"/>
                                                <w:szCs w:val="16"/>
                                              </w:rPr>
                                            </w:pPr>
                                            <w:r w:rsidRPr="007D5F7E">
                                              <w:rPr>
                                                <w:rFonts w:ascii="Times New Roman" w:hAnsi="Times New Roman" w:cs="Times New Roman"/>
                                                <w:sz w:val="16"/>
                                                <w:szCs w:val="16"/>
                                              </w:rPr>
                                              <w:t>Здійснення оператив-ного контролю</w:t>
                                            </w:r>
                                          </w:p>
                                        </w:txbxContent>
                                      </wps:txbx>
                                      <wps:bodyPr rot="0" vert="horz" wrap="square" lIns="91440" tIns="45720" rIns="91440" bIns="45720" anchor="t" anchorCtr="0" upright="1">
                                        <a:noAutofit/>
                                      </wps:bodyPr>
                                    </wps:wsp>
                                    <wps:wsp>
                                      <wps:cNvPr id="1981" name="Text Box 899"/>
                                      <wps:cNvSpPr txBox="1">
                                        <a:spLocks noChangeArrowheads="1"/>
                                      </wps:cNvSpPr>
                                      <wps:spPr bwMode="auto">
                                        <a:xfrm>
                                          <a:off x="1418" y="9609"/>
                                          <a:ext cx="1800" cy="782"/>
                                        </a:xfrm>
                                        <a:prstGeom prst="rect">
                                          <a:avLst/>
                                        </a:prstGeom>
                                        <a:solidFill>
                                          <a:srgbClr val="FFFFFF"/>
                                        </a:solidFill>
                                        <a:ln w="9525">
                                          <a:solidFill>
                                            <a:srgbClr val="000000"/>
                                          </a:solidFill>
                                          <a:miter lim="800000"/>
                                          <a:headEnd/>
                                          <a:tailEnd/>
                                        </a:ln>
                                      </wps:spPr>
                                      <wps:txbx>
                                        <w:txbxContent>
                                          <w:p w:rsidR="00BE40F8" w:rsidRDefault="00BE40F8" w:rsidP="006C1B1F">
                                            <w:pPr>
                                              <w:spacing w:line="204" w:lineRule="auto"/>
                                              <w:ind w:left="-142" w:right="-1119" w:firstLine="0"/>
                                              <w:jc w:val="center"/>
                                              <w:rPr>
                                                <w:rFonts w:ascii="Times New Roman" w:hAnsi="Times New Roman" w:cs="Times New Roman"/>
                                                <w:sz w:val="16"/>
                                                <w:szCs w:val="16"/>
                                              </w:rPr>
                                            </w:pPr>
                                          </w:p>
                                          <w:p w:rsidR="00BE40F8" w:rsidRPr="007D5F7E" w:rsidRDefault="00BE40F8" w:rsidP="006C1B1F">
                                            <w:pPr>
                                              <w:spacing w:line="204" w:lineRule="auto"/>
                                              <w:ind w:left="-142" w:right="-1119" w:firstLine="0"/>
                                              <w:jc w:val="center"/>
                                              <w:rPr>
                                                <w:rFonts w:ascii="Times New Roman" w:hAnsi="Times New Roman" w:cs="Times New Roman"/>
                                                <w:sz w:val="16"/>
                                                <w:szCs w:val="16"/>
                                              </w:rPr>
                                            </w:pPr>
                                            <w:r w:rsidRPr="007D5F7E">
                                              <w:rPr>
                                                <w:rFonts w:ascii="Times New Roman" w:hAnsi="Times New Roman" w:cs="Times New Roman"/>
                                                <w:sz w:val="16"/>
                                                <w:szCs w:val="16"/>
                                              </w:rPr>
                                              <w:t>Розширення обсягів освітньої діяльності</w:t>
                                            </w:r>
                                          </w:p>
                                        </w:txbxContent>
                                      </wps:txbx>
                                      <wps:bodyPr rot="0" vert="horz" wrap="square" lIns="0" tIns="0" rIns="1800000" bIns="0" anchor="t" anchorCtr="0" upright="1">
                                        <a:noAutofit/>
                                      </wps:bodyPr>
                                    </wps:wsp>
                                    <wps:wsp>
                                      <wps:cNvPr id="1982" name="Text Box 900"/>
                                      <wps:cNvSpPr txBox="1">
                                        <a:spLocks noChangeArrowheads="1"/>
                                      </wps:cNvSpPr>
                                      <wps:spPr bwMode="auto">
                                        <a:xfrm>
                                          <a:off x="3398" y="8738"/>
                                          <a:ext cx="1800" cy="1080"/>
                                        </a:xfrm>
                                        <a:prstGeom prst="rect">
                                          <a:avLst/>
                                        </a:prstGeom>
                                        <a:solidFill>
                                          <a:srgbClr val="FFFFFF"/>
                                        </a:solidFill>
                                        <a:ln w="9525">
                                          <a:solidFill>
                                            <a:srgbClr val="000000"/>
                                          </a:solidFill>
                                          <a:miter lim="800000"/>
                                          <a:headEnd/>
                                          <a:tailEnd/>
                                        </a:ln>
                                      </wps:spPr>
                                      <wps:txbx>
                                        <w:txbxContent>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Здійснення процедури державних закупівель</w:t>
                                            </w:r>
                                          </w:p>
                                        </w:txbxContent>
                                      </wps:txbx>
                                      <wps:bodyPr rot="0" vert="horz" wrap="square" lIns="91440" tIns="45720" rIns="91440" bIns="45720" anchor="t" anchorCtr="0" upright="1">
                                        <a:noAutofit/>
                                      </wps:bodyPr>
                                    </wps:wsp>
                                    <wps:wsp>
                                      <wps:cNvPr id="1983" name="Text Box 901"/>
                                      <wps:cNvSpPr txBox="1">
                                        <a:spLocks noChangeArrowheads="1"/>
                                      </wps:cNvSpPr>
                                      <wps:spPr bwMode="auto">
                                        <a:xfrm>
                                          <a:off x="5378" y="9998"/>
                                          <a:ext cx="1800" cy="1080"/>
                                        </a:xfrm>
                                        <a:prstGeom prst="rect">
                                          <a:avLst/>
                                        </a:prstGeom>
                                        <a:solidFill>
                                          <a:srgbClr val="FFFFFF"/>
                                        </a:solidFill>
                                        <a:ln w="9525">
                                          <a:solidFill>
                                            <a:srgbClr val="000000"/>
                                          </a:solidFill>
                                          <a:miter lim="800000"/>
                                          <a:headEnd/>
                                          <a:tailEnd/>
                                        </a:ln>
                                      </wps:spPr>
                                      <wps:txbx>
                                        <w:txbxContent>
                                          <w:p w:rsidR="00BE40F8" w:rsidRDefault="00BE40F8" w:rsidP="006C1B1F">
                                            <w:pPr>
                                              <w:spacing w:line="216" w:lineRule="auto"/>
                                              <w:ind w:firstLine="0"/>
                                              <w:jc w:val="center"/>
                                              <w:rPr>
                                                <w:rFonts w:ascii="Times New Roman" w:hAnsi="Times New Roman" w:cs="Times New Roman"/>
                                                <w:spacing w:val="-10"/>
                                                <w:sz w:val="16"/>
                                                <w:szCs w:val="16"/>
                                              </w:rPr>
                                            </w:pPr>
                                          </w:p>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pacing w:val="-10"/>
                                                <w:sz w:val="16"/>
                                                <w:szCs w:val="16"/>
                                              </w:rPr>
                                              <w:t>З</w:t>
                                            </w:r>
                                            <w:r w:rsidRPr="006C1B1F">
                                              <w:rPr>
                                                <w:rFonts w:ascii="Times New Roman" w:hAnsi="Times New Roman" w:cs="Times New Roman"/>
                                                <w:sz w:val="16"/>
                                                <w:szCs w:val="16"/>
                                              </w:rPr>
                                              <w:t xml:space="preserve">абезпечення </w:t>
                                            </w:r>
                                            <w:r w:rsidRPr="007D5F7E">
                                              <w:rPr>
                                                <w:rFonts w:ascii="Times New Roman" w:hAnsi="Times New Roman" w:cs="Times New Roman"/>
                                                <w:sz w:val="16"/>
                                                <w:szCs w:val="16"/>
                                              </w:rPr>
                                              <w:t xml:space="preserve">кількісного та якісного складу працівників </w:t>
                                            </w:r>
                                          </w:p>
                                        </w:txbxContent>
                                      </wps:txbx>
                                      <wps:bodyPr rot="0" vert="horz" wrap="square" lIns="0" tIns="0" rIns="0" bIns="0" anchor="t" anchorCtr="0" upright="1">
                                        <a:noAutofit/>
                                      </wps:bodyPr>
                                    </wps:wsp>
                                    <wps:wsp>
                                      <wps:cNvPr id="1984" name="Text Box 902"/>
                                      <wps:cNvSpPr txBox="1">
                                        <a:spLocks noChangeArrowheads="1"/>
                                      </wps:cNvSpPr>
                                      <wps:spPr bwMode="auto">
                                        <a:xfrm>
                                          <a:off x="9518" y="9032"/>
                                          <a:ext cx="1800" cy="1260"/>
                                        </a:xfrm>
                                        <a:prstGeom prst="rect">
                                          <a:avLst/>
                                        </a:prstGeom>
                                        <a:solidFill>
                                          <a:srgbClr val="FFFFFF"/>
                                        </a:solidFill>
                                        <a:ln w="9525">
                                          <a:solidFill>
                                            <a:srgbClr val="000000"/>
                                          </a:solidFill>
                                          <a:miter lim="800000"/>
                                          <a:headEnd/>
                                          <a:tailEnd/>
                                        </a:ln>
                                      </wps:spPr>
                                      <wps:txbx>
                                        <w:txbxContent>
                                          <w:p w:rsidR="00BE40F8" w:rsidRPr="007D5F7E" w:rsidRDefault="00BE40F8" w:rsidP="00662748">
                                            <w:pPr>
                                              <w:ind w:firstLine="0"/>
                                              <w:jc w:val="center"/>
                                              <w:rPr>
                                                <w:rFonts w:ascii="Times New Roman" w:hAnsi="Times New Roman" w:cs="Times New Roman"/>
                                                <w:sz w:val="16"/>
                                                <w:szCs w:val="16"/>
                                              </w:rPr>
                                            </w:pPr>
                                            <w:r w:rsidRPr="007D5F7E">
                                              <w:rPr>
                                                <w:rFonts w:ascii="Times New Roman" w:hAnsi="Times New Roman" w:cs="Times New Roman"/>
                                                <w:sz w:val="16"/>
                                                <w:szCs w:val="16"/>
                                              </w:rPr>
                                              <w:t>Регламентува</w:t>
                                            </w:r>
                                            <w:r>
                                              <w:rPr>
                                                <w:rFonts w:ascii="Times New Roman" w:hAnsi="Times New Roman" w:cs="Times New Roman"/>
                                                <w:sz w:val="16"/>
                                                <w:szCs w:val="16"/>
                                              </w:rPr>
                                              <w:t>-</w:t>
                                            </w:r>
                                            <w:r w:rsidRPr="007D5F7E">
                                              <w:rPr>
                                                <w:rFonts w:ascii="Times New Roman" w:hAnsi="Times New Roman" w:cs="Times New Roman"/>
                                                <w:sz w:val="16"/>
                                                <w:szCs w:val="16"/>
                                              </w:rPr>
                                              <w:t>ння процедур прийняття відповідних рішень</w:t>
                                            </w:r>
                                          </w:p>
                                        </w:txbxContent>
                                      </wps:txbx>
                                      <wps:bodyPr rot="0" vert="horz" wrap="square" lIns="0" tIns="0" rIns="0" bIns="0" anchor="t" anchorCtr="0" upright="1">
                                        <a:noAutofit/>
                                      </wps:bodyPr>
                                    </wps:wsp>
                                    <wps:wsp>
                                      <wps:cNvPr id="1985" name="Text Box 903"/>
                                      <wps:cNvSpPr txBox="1">
                                        <a:spLocks noChangeArrowheads="1"/>
                                      </wps:cNvSpPr>
                                      <wps:spPr bwMode="auto">
                                        <a:xfrm>
                                          <a:off x="9518" y="10292"/>
                                          <a:ext cx="1800" cy="1080"/>
                                        </a:xfrm>
                                        <a:prstGeom prst="rect">
                                          <a:avLst/>
                                        </a:prstGeom>
                                        <a:solidFill>
                                          <a:srgbClr val="FFFFFF"/>
                                        </a:solidFill>
                                        <a:ln w="9525">
                                          <a:solidFill>
                                            <a:srgbClr val="000000"/>
                                          </a:solidFill>
                                          <a:miter lim="800000"/>
                                          <a:headEnd/>
                                          <a:tailEnd/>
                                        </a:ln>
                                      </wps:spPr>
                                      <wps:txbx>
                                        <w:txbxContent>
                                          <w:p w:rsidR="00BE40F8" w:rsidRPr="007D5F7E" w:rsidRDefault="00BE40F8" w:rsidP="00662748">
                                            <w:pPr>
                                              <w:ind w:firstLine="0"/>
                                              <w:jc w:val="center"/>
                                              <w:rPr>
                                                <w:rFonts w:ascii="Times New Roman" w:hAnsi="Times New Roman" w:cs="Times New Roman"/>
                                                <w:sz w:val="16"/>
                                                <w:szCs w:val="16"/>
                                              </w:rPr>
                                            </w:pPr>
                                            <w:r w:rsidRPr="007D5F7E">
                                              <w:rPr>
                                                <w:rFonts w:ascii="Times New Roman" w:hAnsi="Times New Roman" w:cs="Times New Roman"/>
                                                <w:sz w:val="16"/>
                                                <w:szCs w:val="16"/>
                                              </w:rPr>
                                              <w:t>Проведення аналізу за підсумками часового періоду</w:t>
                                            </w:r>
                                          </w:p>
                                        </w:txbxContent>
                                      </wps:txbx>
                                      <wps:bodyPr rot="0" vert="horz" wrap="square" lIns="91440" tIns="45720" rIns="91440" bIns="45720" anchor="t" anchorCtr="0" upright="1">
                                        <a:noAutofit/>
                                      </wps:bodyPr>
                                    </wps:wsp>
                                    <wps:wsp>
                                      <wps:cNvPr id="1986" name="Text Box 904"/>
                                      <wps:cNvSpPr txBox="1">
                                        <a:spLocks noChangeArrowheads="1"/>
                                      </wps:cNvSpPr>
                                      <wps:spPr bwMode="auto">
                                        <a:xfrm>
                                          <a:off x="1418" y="10864"/>
                                          <a:ext cx="1800" cy="787"/>
                                        </a:xfrm>
                                        <a:prstGeom prst="rect">
                                          <a:avLst/>
                                        </a:prstGeom>
                                        <a:solidFill>
                                          <a:srgbClr val="FFFFFF"/>
                                        </a:solidFill>
                                        <a:ln w="9525">
                                          <a:solidFill>
                                            <a:srgbClr val="000000"/>
                                          </a:solidFill>
                                          <a:miter lim="800000"/>
                                          <a:headEnd/>
                                          <a:tailEnd/>
                                        </a:ln>
                                      </wps:spPr>
                                      <wps:txbx>
                                        <w:txbxContent>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Залучення спонсорсь-ких коштів</w:t>
                                            </w:r>
                                          </w:p>
                                        </w:txbxContent>
                                      </wps:txbx>
                                      <wps:bodyPr rot="0" vert="horz" wrap="square" lIns="91440" tIns="45720" rIns="91440" bIns="45720" anchor="t" anchorCtr="0" upright="1">
                                        <a:noAutofit/>
                                      </wps:bodyPr>
                                    </wps:wsp>
                                    <wps:wsp>
                                      <wps:cNvPr id="1987" name="Text Box 905"/>
                                      <wps:cNvSpPr txBox="1">
                                        <a:spLocks noChangeArrowheads="1"/>
                                      </wps:cNvSpPr>
                                      <wps:spPr bwMode="auto">
                                        <a:xfrm>
                                          <a:off x="1418" y="12305"/>
                                          <a:ext cx="1800" cy="786"/>
                                        </a:xfrm>
                                        <a:prstGeom prst="rect">
                                          <a:avLst/>
                                        </a:prstGeom>
                                        <a:solidFill>
                                          <a:srgbClr val="FFFFFF"/>
                                        </a:solidFill>
                                        <a:ln w="9525">
                                          <a:solidFill>
                                            <a:srgbClr val="000000"/>
                                          </a:solidFill>
                                          <a:miter lim="800000"/>
                                          <a:headEnd/>
                                          <a:tailEnd/>
                                        </a:ln>
                                      </wps:spPr>
                                      <wps:txbx>
                                        <w:txbxContent>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Здійснення міжнародної діяльності</w:t>
                                            </w:r>
                                          </w:p>
                                        </w:txbxContent>
                                      </wps:txbx>
                                      <wps:bodyPr rot="0" vert="horz" wrap="square" lIns="0" tIns="0" rIns="0" bIns="0" anchor="t" anchorCtr="0" upright="1">
                                        <a:noAutofit/>
                                      </wps:bodyPr>
                                    </wps:wsp>
                                    <wps:wsp>
                                      <wps:cNvPr id="1988" name="Text Box 906"/>
                                      <wps:cNvSpPr txBox="1">
                                        <a:spLocks noChangeArrowheads="1"/>
                                      </wps:cNvSpPr>
                                      <wps:spPr bwMode="auto">
                                        <a:xfrm>
                                          <a:off x="3398" y="10898"/>
                                          <a:ext cx="1800" cy="1080"/>
                                        </a:xfrm>
                                        <a:prstGeom prst="rect">
                                          <a:avLst/>
                                        </a:prstGeom>
                                        <a:solidFill>
                                          <a:srgbClr val="FFFFFF"/>
                                        </a:solidFill>
                                        <a:ln w="9525">
                                          <a:solidFill>
                                            <a:srgbClr val="000000"/>
                                          </a:solidFill>
                                          <a:miter lim="800000"/>
                                          <a:headEnd/>
                                          <a:tailEnd/>
                                        </a:ln>
                                      </wps:spPr>
                                      <wps:txbx>
                                        <w:txbxContent>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Забезпечення виконавців інструктивними матеріалами</w:t>
                                            </w:r>
                                          </w:p>
                                        </w:txbxContent>
                                      </wps:txbx>
                                      <wps:bodyPr rot="0" vert="horz" wrap="square" lIns="0" tIns="0" rIns="0" bIns="0" anchor="t" anchorCtr="0" upright="1">
                                        <a:noAutofit/>
                                      </wps:bodyPr>
                                    </wps:wsp>
                                    <wps:wsp>
                                      <wps:cNvPr id="1989" name="Text Box 907"/>
                                      <wps:cNvSpPr txBox="1">
                                        <a:spLocks noChangeArrowheads="1"/>
                                      </wps:cNvSpPr>
                                      <wps:spPr bwMode="auto">
                                        <a:xfrm>
                                          <a:off x="9518" y="11372"/>
                                          <a:ext cx="1800" cy="900"/>
                                        </a:xfrm>
                                        <a:prstGeom prst="rect">
                                          <a:avLst/>
                                        </a:prstGeom>
                                        <a:solidFill>
                                          <a:srgbClr val="FFFFFF"/>
                                        </a:solidFill>
                                        <a:ln w="9525">
                                          <a:solidFill>
                                            <a:srgbClr val="000000"/>
                                          </a:solidFill>
                                          <a:miter lim="800000"/>
                                          <a:headEnd/>
                                          <a:tailEnd/>
                                        </a:ln>
                                      </wps:spPr>
                                      <wps:txbx>
                                        <w:txbxContent>
                                          <w:p w:rsidR="00BE40F8" w:rsidRPr="007D5F7E" w:rsidRDefault="00BE40F8" w:rsidP="00662748">
                                            <w:pPr>
                                              <w:ind w:firstLine="0"/>
                                              <w:jc w:val="center"/>
                                              <w:rPr>
                                                <w:rFonts w:ascii="Times New Roman" w:hAnsi="Times New Roman" w:cs="Times New Roman"/>
                                                <w:sz w:val="16"/>
                                                <w:szCs w:val="16"/>
                                              </w:rPr>
                                            </w:pPr>
                                            <w:r w:rsidRPr="007D5F7E">
                                              <w:rPr>
                                                <w:rFonts w:ascii="Times New Roman" w:hAnsi="Times New Roman" w:cs="Times New Roman"/>
                                                <w:sz w:val="16"/>
                                                <w:szCs w:val="16"/>
                                              </w:rPr>
                                              <w:t xml:space="preserve">Проведення </w:t>
                                            </w:r>
                                            <w:r w:rsidRPr="007D5F7E">
                                              <w:rPr>
                                                <w:rFonts w:ascii="Times New Roman" w:hAnsi="Times New Roman" w:cs="Times New Roman"/>
                                                <w:spacing w:val="-6"/>
                                                <w:sz w:val="16"/>
                                                <w:szCs w:val="16"/>
                                              </w:rPr>
                                              <w:t>оперативних</w:t>
                                            </w:r>
                                            <w:r w:rsidRPr="007D5F7E">
                                              <w:rPr>
                                                <w:rFonts w:ascii="Times New Roman" w:hAnsi="Times New Roman" w:cs="Times New Roman"/>
                                                <w:sz w:val="16"/>
                                                <w:szCs w:val="16"/>
                                              </w:rPr>
                                              <w:t xml:space="preserve"> перевірок</w:t>
                                            </w:r>
                                          </w:p>
                                        </w:txbxContent>
                                      </wps:txbx>
                                      <wps:bodyPr rot="0" vert="horz" wrap="square" lIns="91440" tIns="45720" rIns="91440" bIns="45720" anchor="t" anchorCtr="0" upright="1">
                                        <a:noAutofit/>
                                      </wps:bodyPr>
                                    </wps:wsp>
                                    <wpg:grpSp>
                                      <wpg:cNvPr id="1990" name="Group 908"/>
                                      <wpg:cNvGrpSpPr>
                                        <a:grpSpLocks/>
                                      </wpg:cNvGrpSpPr>
                                      <wpg:grpSpPr bwMode="auto">
                                        <a:xfrm>
                                          <a:off x="1418" y="6939"/>
                                          <a:ext cx="9900" cy="1197"/>
                                          <a:chOff x="1418" y="6939"/>
                                          <a:chExt cx="9900" cy="1197"/>
                                        </a:xfrm>
                                      </wpg:grpSpPr>
                                      <wps:wsp>
                                        <wps:cNvPr id="1991" name="Text Box 909"/>
                                        <wps:cNvSpPr txBox="1">
                                          <a:spLocks noChangeArrowheads="1"/>
                                        </wps:cNvSpPr>
                                        <wps:spPr bwMode="auto">
                                          <a:xfrm>
                                            <a:off x="1418" y="6939"/>
                                            <a:ext cx="9900" cy="478"/>
                                          </a:xfrm>
                                          <a:prstGeom prst="rect">
                                            <a:avLst/>
                                          </a:prstGeom>
                                          <a:solidFill>
                                            <a:srgbClr val="FFFFFF"/>
                                          </a:solidFill>
                                          <a:ln w="9525">
                                            <a:solidFill>
                                              <a:srgbClr val="000000"/>
                                            </a:solidFill>
                                            <a:miter lim="800000"/>
                                            <a:headEnd/>
                                            <a:tailEnd/>
                                          </a:ln>
                                        </wps:spPr>
                                        <wps:txbx>
                                          <w:txbxContent>
                                            <w:p w:rsidR="00BE40F8" w:rsidRPr="007D5F7E" w:rsidRDefault="00BE40F8" w:rsidP="00B20650">
                                              <w:pPr>
                                                <w:spacing w:line="216" w:lineRule="auto"/>
                                                <w:jc w:val="center"/>
                                                <w:rPr>
                                                  <w:rFonts w:ascii="Times New Roman" w:hAnsi="Times New Roman" w:cs="Times New Roman"/>
                                                  <w:b/>
                                                  <w:sz w:val="16"/>
                                                  <w:szCs w:val="16"/>
                                                </w:rPr>
                                              </w:pPr>
                                              <w:r w:rsidRPr="007D5F7E">
                                                <w:rPr>
                                                  <w:rFonts w:ascii="Times New Roman" w:hAnsi="Times New Roman" w:cs="Times New Roman"/>
                                                  <w:b/>
                                                  <w:sz w:val="16"/>
                                                  <w:szCs w:val="16"/>
                                                </w:rPr>
                                                <w:t>Управління фінансово-господарською діяльністю вищого навчального закладу</w:t>
                                              </w:r>
                                            </w:p>
                                          </w:txbxContent>
                                        </wps:txbx>
                                        <wps:bodyPr rot="0" vert="horz" wrap="square" lIns="91440" tIns="45720" rIns="91440" bIns="45720" anchor="t" anchorCtr="0" upright="1">
                                          <a:noAutofit/>
                                        </wps:bodyPr>
                                      </wps:wsp>
                                      <wps:wsp>
                                        <wps:cNvPr id="1992" name="Line 910"/>
                                        <wps:cNvCnPr/>
                                        <wps:spPr bwMode="auto">
                                          <a:xfrm>
                                            <a:off x="2318" y="7956"/>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93" name="Line 911"/>
                                        <wps:cNvCnPr/>
                                        <wps:spPr bwMode="auto">
                                          <a:xfrm>
                                            <a:off x="4298" y="7956"/>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94" name="Line 912"/>
                                        <wps:cNvCnPr/>
                                        <wps:spPr bwMode="auto">
                                          <a:xfrm>
                                            <a:off x="6278" y="7956"/>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95" name="Line 913"/>
                                        <wps:cNvCnPr/>
                                        <wps:spPr bwMode="auto">
                                          <a:xfrm>
                                            <a:off x="10418" y="7956"/>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96" name="Line 914"/>
                                        <wps:cNvCnPr/>
                                        <wps:spPr bwMode="auto">
                                          <a:xfrm>
                                            <a:off x="6278" y="7417"/>
                                            <a:ext cx="0" cy="1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97" name="Text Box 915"/>
                                        <wps:cNvSpPr txBox="1">
                                          <a:spLocks noChangeArrowheads="1"/>
                                        </wps:cNvSpPr>
                                        <wps:spPr bwMode="auto">
                                          <a:xfrm>
                                            <a:off x="2318" y="7593"/>
                                            <a:ext cx="8100" cy="364"/>
                                          </a:xfrm>
                                          <a:prstGeom prst="rect">
                                            <a:avLst/>
                                          </a:prstGeom>
                                          <a:solidFill>
                                            <a:srgbClr val="FFFFFF"/>
                                          </a:solidFill>
                                          <a:ln w="9525">
                                            <a:solidFill>
                                              <a:srgbClr val="000000"/>
                                            </a:solidFill>
                                            <a:miter lim="800000"/>
                                            <a:headEnd/>
                                            <a:tailEnd/>
                                          </a:ln>
                                        </wps:spPr>
                                        <wps:txbx>
                                          <w:txbxContent>
                                            <w:p w:rsidR="00BE40F8" w:rsidRPr="007D5F7E" w:rsidRDefault="00BE40F8" w:rsidP="00B20650">
                                              <w:pPr>
                                                <w:jc w:val="center"/>
                                                <w:rPr>
                                                  <w:rFonts w:ascii="Times New Roman" w:hAnsi="Times New Roman" w:cs="Times New Roman"/>
                                                  <w:sz w:val="16"/>
                                                  <w:szCs w:val="16"/>
                                                </w:rPr>
                                              </w:pPr>
                                              <w:r w:rsidRPr="007D5F7E">
                                                <w:rPr>
                                                  <w:rFonts w:ascii="Times New Roman" w:hAnsi="Times New Roman" w:cs="Times New Roman"/>
                                                  <w:sz w:val="16"/>
                                                  <w:szCs w:val="16"/>
                                                </w:rPr>
                                                <w:t>НАПРЯМИ УПРАВЛІННЯ</w:t>
                                              </w:r>
                                            </w:p>
                                          </w:txbxContent>
                                        </wps:txbx>
                                        <wps:bodyPr rot="0" vert="horz" wrap="square" lIns="91440" tIns="45720" rIns="91440" bIns="45720" anchor="t" anchorCtr="0" upright="1">
                                          <a:noAutofit/>
                                        </wps:bodyPr>
                                      </wps:wsp>
                                      <wps:wsp>
                                        <wps:cNvPr id="1998" name="Line 916"/>
                                        <wps:cNvCnPr/>
                                        <wps:spPr bwMode="auto">
                                          <a:xfrm>
                                            <a:off x="8258" y="7952"/>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1999" name="Text Box 917"/>
                                      <wps:cNvSpPr txBox="1">
                                        <a:spLocks noChangeArrowheads="1"/>
                                      </wps:cNvSpPr>
                                      <wps:spPr bwMode="auto">
                                        <a:xfrm>
                                          <a:off x="7358" y="9638"/>
                                          <a:ext cx="1980" cy="1260"/>
                                        </a:xfrm>
                                        <a:prstGeom prst="rect">
                                          <a:avLst/>
                                        </a:prstGeom>
                                        <a:solidFill>
                                          <a:srgbClr val="FFFFFF"/>
                                        </a:solidFill>
                                        <a:ln w="9525">
                                          <a:solidFill>
                                            <a:srgbClr val="000000"/>
                                          </a:solidFill>
                                          <a:miter lim="800000"/>
                                          <a:headEnd/>
                                          <a:tailEnd/>
                                        </a:ln>
                                      </wps:spPr>
                                      <wps:txbx>
                                        <w:txbxContent>
                                          <w:p w:rsidR="00BE40F8" w:rsidRPr="007D5F7E" w:rsidRDefault="00BE40F8" w:rsidP="00662748">
                                            <w:pPr>
                                              <w:spacing w:line="216" w:lineRule="auto"/>
                                              <w:ind w:firstLine="0"/>
                                              <w:jc w:val="center"/>
                                              <w:rPr>
                                                <w:rFonts w:ascii="Times New Roman" w:hAnsi="Times New Roman" w:cs="Times New Roman"/>
                                                <w:sz w:val="16"/>
                                                <w:szCs w:val="16"/>
                                              </w:rPr>
                                            </w:pPr>
                                            <w:r w:rsidRPr="007D5F7E">
                                              <w:rPr>
                                                <w:rFonts w:ascii="Times New Roman" w:hAnsi="Times New Roman" w:cs="Times New Roman"/>
                                                <w:spacing w:val="-10"/>
                                                <w:sz w:val="16"/>
                                                <w:szCs w:val="16"/>
                                              </w:rPr>
                                              <w:t>Вдосконалення</w:t>
                                            </w:r>
                                            <w:r w:rsidRPr="007D5F7E">
                                              <w:rPr>
                                                <w:rFonts w:ascii="Times New Roman" w:hAnsi="Times New Roman" w:cs="Times New Roman"/>
                                                <w:sz w:val="16"/>
                                                <w:szCs w:val="16"/>
                                              </w:rPr>
                                              <w:t xml:space="preserve"> автоматизо-ваної інформацій-ної системи  управління</w:t>
                                            </w:r>
                                          </w:p>
                                        </w:txbxContent>
                                      </wps:txbx>
                                      <wps:bodyPr rot="0" vert="horz" wrap="square" lIns="91440" tIns="45720" rIns="91440" bIns="45720" anchor="t" anchorCtr="0" upright="1">
                                        <a:noAutofit/>
                                      </wps:bodyPr>
                                    </wps:wsp>
                                    <wps:wsp>
                                      <wps:cNvPr id="2000" name="Text Box 918"/>
                                      <wps:cNvSpPr txBox="1">
                                        <a:spLocks noChangeArrowheads="1"/>
                                      </wps:cNvSpPr>
                                      <wps:spPr bwMode="auto">
                                        <a:xfrm>
                                          <a:off x="5378" y="12159"/>
                                          <a:ext cx="1800" cy="900"/>
                                        </a:xfrm>
                                        <a:prstGeom prst="rect">
                                          <a:avLst/>
                                        </a:prstGeom>
                                        <a:solidFill>
                                          <a:srgbClr val="FFFFFF"/>
                                        </a:solidFill>
                                        <a:ln w="9525">
                                          <a:solidFill>
                                            <a:srgbClr val="000000"/>
                                          </a:solidFill>
                                          <a:miter lim="800000"/>
                                          <a:headEnd/>
                                          <a:tailEnd/>
                                        </a:ln>
                                      </wps:spPr>
                                      <wps:txbx>
                                        <w:txbxContent>
                                          <w:p w:rsidR="00BE40F8" w:rsidRPr="007D5F7E" w:rsidRDefault="00BE40F8" w:rsidP="00662748">
                                            <w:pPr>
                                              <w:spacing w:line="192" w:lineRule="auto"/>
                                              <w:ind w:firstLine="0"/>
                                              <w:jc w:val="center"/>
                                              <w:rPr>
                                                <w:rFonts w:ascii="Times New Roman" w:hAnsi="Times New Roman" w:cs="Times New Roman"/>
                                                <w:sz w:val="16"/>
                                                <w:szCs w:val="16"/>
                                              </w:rPr>
                                            </w:pPr>
                                            <w:r w:rsidRPr="007D5F7E">
                                              <w:rPr>
                                                <w:rFonts w:ascii="Times New Roman" w:hAnsi="Times New Roman" w:cs="Times New Roman"/>
                                                <w:spacing w:val="-4"/>
                                                <w:sz w:val="16"/>
                                                <w:szCs w:val="16"/>
                                              </w:rPr>
                                              <w:t>Приведення</w:t>
                                            </w:r>
                                            <w:r w:rsidRPr="007D5F7E">
                                              <w:rPr>
                                                <w:rFonts w:ascii="Times New Roman" w:hAnsi="Times New Roman" w:cs="Times New Roman"/>
                                                <w:sz w:val="16"/>
                                                <w:szCs w:val="16"/>
                                              </w:rPr>
                                              <w:t xml:space="preserve"> чисельності ПВС до </w:t>
                                            </w:r>
                                            <w:r w:rsidRPr="007D5F7E">
                                              <w:rPr>
                                                <w:rFonts w:ascii="Times New Roman" w:hAnsi="Times New Roman" w:cs="Times New Roman"/>
                                                <w:spacing w:val="-6"/>
                                                <w:sz w:val="16"/>
                                                <w:szCs w:val="16"/>
                                              </w:rPr>
                                              <w:t>контингенту</w:t>
                                            </w:r>
                                            <w:r w:rsidRPr="007D5F7E">
                                              <w:rPr>
                                                <w:rFonts w:ascii="Times New Roman" w:hAnsi="Times New Roman" w:cs="Times New Roman"/>
                                                <w:sz w:val="16"/>
                                                <w:szCs w:val="16"/>
                                              </w:rPr>
                                              <w:t xml:space="preserve"> студентів</w:t>
                                            </w:r>
                                          </w:p>
                                        </w:txbxContent>
                                      </wps:txbx>
                                      <wps:bodyPr rot="0" vert="horz" wrap="square" lIns="91440" tIns="45720" rIns="91440" bIns="45720" anchor="t" anchorCtr="0" upright="1">
                                        <a:noAutofit/>
                                      </wps:bodyPr>
                                    </wps:wsp>
                                    <wps:wsp>
                                      <wps:cNvPr id="2001" name="Text Box 919"/>
                                      <wps:cNvSpPr txBox="1">
                                        <a:spLocks noChangeArrowheads="1"/>
                                      </wps:cNvSpPr>
                                      <wps:spPr bwMode="auto">
                                        <a:xfrm>
                                          <a:off x="7358" y="10898"/>
                                          <a:ext cx="1980" cy="2160"/>
                                        </a:xfrm>
                                        <a:prstGeom prst="rect">
                                          <a:avLst/>
                                        </a:prstGeom>
                                        <a:solidFill>
                                          <a:srgbClr val="FFFFFF"/>
                                        </a:solidFill>
                                        <a:ln w="9525">
                                          <a:solidFill>
                                            <a:srgbClr val="000000"/>
                                          </a:solidFill>
                                          <a:miter lim="800000"/>
                                          <a:headEnd/>
                                          <a:tailEnd/>
                                        </a:ln>
                                      </wps:spPr>
                                      <wps:txbx>
                                        <w:txbxContent>
                                          <w:p w:rsidR="00BE40F8" w:rsidRDefault="00BE40F8" w:rsidP="00662748">
                                            <w:pPr>
                                              <w:spacing w:line="216" w:lineRule="auto"/>
                                              <w:ind w:firstLine="0"/>
                                              <w:jc w:val="center"/>
                                              <w:rPr>
                                                <w:rFonts w:ascii="Times New Roman" w:hAnsi="Times New Roman" w:cs="Times New Roman"/>
                                                <w:sz w:val="16"/>
                                                <w:szCs w:val="16"/>
                                              </w:rPr>
                                            </w:pPr>
                                          </w:p>
                                          <w:p w:rsidR="00BE40F8" w:rsidRPr="007D5F7E" w:rsidRDefault="00BE40F8" w:rsidP="00662748">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 xml:space="preserve">Забезпечення </w:t>
                                            </w:r>
                                            <w:r w:rsidRPr="007D5F7E">
                                              <w:rPr>
                                                <w:rFonts w:ascii="Times New Roman" w:hAnsi="Times New Roman" w:cs="Times New Roman"/>
                                                <w:spacing w:val="-6"/>
                                                <w:sz w:val="16"/>
                                                <w:szCs w:val="16"/>
                                              </w:rPr>
                                              <w:t>взаємозв’язку</w:t>
                                            </w:r>
                                            <w:r w:rsidRPr="007D5F7E">
                                              <w:rPr>
                                                <w:rFonts w:ascii="Times New Roman" w:hAnsi="Times New Roman" w:cs="Times New Roman"/>
                                                <w:sz w:val="16"/>
                                                <w:szCs w:val="16"/>
                                              </w:rPr>
                                              <w:t xml:space="preserve"> функцій підрозділів, що здійснюють управління фінансово-господарською діяльністю</w:t>
                                            </w:r>
                                          </w:p>
                                        </w:txbxContent>
                                      </wps:txbx>
                                      <wps:bodyPr rot="0" vert="horz" wrap="square" lIns="0" tIns="0" rIns="0" bIns="0" anchor="t" anchorCtr="0" upright="1">
                                        <a:noAutofit/>
                                      </wps:bodyPr>
                                    </wps:wsp>
                                  </wpg:grpSp>
                                </wpg:grpSp>
                              </wpg:grpSp>
                            </wpg:grpSp>
                          </wpg:grpSp>
                        </wpg:grpSp>
                      </wpg:grpSp>
                    </wpg:wgp>
                  </a:graphicData>
                </a:graphic>
                <wp14:sizeRelH relativeFrom="page">
                  <wp14:pctWidth>0</wp14:pctWidth>
                </wp14:sizeRelH>
                <wp14:sizeRelV relativeFrom="page">
                  <wp14:pctHeight>0</wp14:pctHeight>
                </wp14:sizeRelV>
              </wp:anchor>
            </w:drawing>
          </mc:Choice>
          <mc:Fallback>
            <w:pict>
              <v:group w14:anchorId="2D411FCE" id="Group 878" o:spid="_x0000_s2509" style="position:absolute;left:0;text-align:left;margin-left:-.45pt;margin-top:.25pt;width:309.85pt;height:314.25pt;z-index:251739136;mso-position-horizontal-relative:text;mso-position-vertical-relative:text" coordorigin="1418,6939" coordsize="9900,6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">
                <v:shape id="Text Box 879" o:spid="_x0000_s2510" type="#_x0000_t202" style="position:absolute;left:5378;top:11078;width:180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">
                  <v:textbox>
                    <w:txbxContent>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 xml:space="preserve">Професійно-кваліфіка-ційний відбір працівників </w:t>
                        </w:r>
                      </w:p>
                    </w:txbxContent>
                  </v:textbox>
                </v:shape>
                <v:group id="Group 880" o:spid="_x0000_s2511" style="position:absolute;left:1418;top:6939;width:9900;height:6152" coordorigin="1418,6939" coordsize="9900,6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">
                  <v:shape id="Text Box 881" o:spid="_x0000_s2512" type="#_x0000_t202" style="position:absolute;left:5378;top:8918;width:180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">
                    <v:textbox inset="0,0,0,0">
                      <w:txbxContent>
                        <w:p w:rsidR="00BE40F8" w:rsidRDefault="00BE40F8" w:rsidP="006C1B1F">
                          <w:pPr>
                            <w:spacing w:line="192" w:lineRule="auto"/>
                            <w:ind w:firstLine="0"/>
                            <w:jc w:val="center"/>
                            <w:rPr>
                              <w:rFonts w:ascii="Times New Roman" w:hAnsi="Times New Roman" w:cs="Times New Roman"/>
                              <w:sz w:val="16"/>
                              <w:szCs w:val="16"/>
                            </w:rPr>
                          </w:pPr>
                        </w:p>
                        <w:p w:rsidR="00BE40F8" w:rsidRPr="006C1B1F" w:rsidRDefault="00BE40F8" w:rsidP="006C1B1F">
                          <w:pPr>
                            <w:spacing w:line="192" w:lineRule="auto"/>
                            <w:ind w:firstLine="0"/>
                            <w:jc w:val="center"/>
                            <w:rPr>
                              <w:rFonts w:ascii="Times New Roman" w:hAnsi="Times New Roman" w:cs="Times New Roman"/>
                              <w:sz w:val="16"/>
                              <w:szCs w:val="16"/>
                            </w:rPr>
                          </w:pPr>
                          <w:r w:rsidRPr="006C1B1F">
                            <w:rPr>
                              <w:rFonts w:ascii="Times New Roman" w:hAnsi="Times New Roman" w:cs="Times New Roman"/>
                              <w:sz w:val="16"/>
                              <w:szCs w:val="16"/>
                            </w:rPr>
                            <w:t>Приведення структури підрозділів у відповідність</w:t>
                          </w:r>
                          <w:r>
                            <w:rPr>
                              <w:rFonts w:ascii="Times New Roman" w:hAnsi="Times New Roman" w:cs="Times New Roman"/>
                              <w:sz w:val="16"/>
                              <w:szCs w:val="16"/>
                            </w:rPr>
                            <w:t xml:space="preserve"> </w:t>
                          </w:r>
                          <w:r w:rsidRPr="006C1B1F">
                            <w:rPr>
                              <w:rFonts w:ascii="Times New Roman" w:hAnsi="Times New Roman" w:cs="Times New Roman"/>
                              <w:sz w:val="16"/>
                              <w:szCs w:val="16"/>
                            </w:rPr>
                            <w:t>вимогам</w:t>
                          </w:r>
                        </w:p>
                      </w:txbxContent>
                    </v:textbox>
                  </v:shape>
                  <v:group id="Group 882" o:spid="_x0000_s2513" style="position:absolute;left:1418;top:6939;width:9900;height:6152" coordorigin="1418,6939" coordsize="9900,6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">
                    <v:shape id="Text Box 883" o:spid="_x0000_s2514" type="#_x0000_t202" style="position:absolute;left:3398;top:8132;width:1800;height: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">
                      <v:textbox>
                        <w:txbxContent>
                          <w:p w:rsidR="00BE40F8" w:rsidRPr="007D5F7E" w:rsidRDefault="00BE40F8" w:rsidP="006C1B1F">
                            <w:pPr>
                              <w:spacing w:line="216" w:lineRule="auto"/>
                              <w:ind w:firstLine="0"/>
                              <w:jc w:val="center"/>
                              <w:rPr>
                                <w:rFonts w:ascii="Times New Roman" w:hAnsi="Times New Roman" w:cs="Times New Roman"/>
                                <w:spacing w:val="-6"/>
                                <w:sz w:val="16"/>
                                <w:szCs w:val="16"/>
                              </w:rPr>
                            </w:pPr>
                            <w:r w:rsidRPr="007D5F7E">
                              <w:rPr>
                                <w:rFonts w:ascii="Times New Roman" w:hAnsi="Times New Roman" w:cs="Times New Roman"/>
                                <w:spacing w:val="-6"/>
                                <w:sz w:val="16"/>
                                <w:szCs w:val="16"/>
                              </w:rPr>
                              <w:t xml:space="preserve">Оптимізація </w:t>
                            </w:r>
                          </w:p>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видатків</w:t>
                            </w:r>
                          </w:p>
                        </w:txbxContent>
                      </v:textbox>
                    </v:shape>
                    <v:group id="Group 884" o:spid="_x0000_s2515" style="position:absolute;left:1418;top:6939;width:9900;height:6152" coordorigin="1418,6939" coordsize="9900,6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">
                      <v:shape id="Text Box 885" o:spid="_x0000_s2516" type="#_x0000_t202" style="position:absolute;left:3398;top:9818;width:180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">
                        <v:textbox>
                          <w:txbxContent>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Розробка внутрішніх нормативів, норм, лімітів</w:t>
                              </w:r>
                            </w:p>
                          </w:txbxContent>
                        </v:textbox>
                      </v:shape>
                      <v:group id="Group 886" o:spid="_x0000_s2517" style="position:absolute;left:1418;top:6939;width:9900;height:6152" coordorigin="1418,6939" coordsize="9900,6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">
                        <v:shape id="Text Box 887" o:spid="_x0000_s2518" type="#_x0000_t202" style="position:absolute;left:1418;top:8889;width:1800;height:7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">
                          <v:textbox inset="0,0,0,0">
                            <w:txbxContent>
                              <w:p w:rsidR="00BE40F8" w:rsidRDefault="00BE40F8" w:rsidP="006C1B1F">
                                <w:pPr>
                                  <w:spacing w:line="216" w:lineRule="auto"/>
                                  <w:ind w:firstLine="0"/>
                                  <w:jc w:val="center"/>
                                  <w:rPr>
                                    <w:rFonts w:ascii="Times New Roman" w:hAnsi="Times New Roman" w:cs="Times New Roman"/>
                                    <w:sz w:val="16"/>
                                    <w:szCs w:val="16"/>
                                  </w:rPr>
                                </w:pPr>
                              </w:p>
                              <w:p w:rsidR="00BE40F8" w:rsidRPr="006C1B1F" w:rsidRDefault="00BE40F8" w:rsidP="006C1B1F">
                                <w:pPr>
                                  <w:spacing w:line="216" w:lineRule="auto"/>
                                  <w:ind w:firstLine="0"/>
                                  <w:jc w:val="center"/>
                                  <w:rPr>
                                    <w:rFonts w:ascii="Times New Roman" w:hAnsi="Times New Roman" w:cs="Times New Roman"/>
                                    <w:sz w:val="16"/>
                                    <w:szCs w:val="16"/>
                                  </w:rPr>
                                </w:pPr>
                                <w:r w:rsidRPr="006C1B1F">
                                  <w:rPr>
                                    <w:rFonts w:ascii="Times New Roman" w:hAnsi="Times New Roman" w:cs="Times New Roman"/>
                                    <w:sz w:val="16"/>
                                    <w:szCs w:val="16"/>
                                  </w:rPr>
                                  <w:t>Забезпечення бюджетного фінансування</w:t>
                                </w:r>
                              </w:p>
                            </w:txbxContent>
                          </v:textbox>
                        </v:shape>
                        <v:group id="Group 888" o:spid="_x0000_s2519" style="position:absolute;left:1418;top:6939;width:9900;height:6152" coordorigin="1418,6939" coordsize="9900,6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">
                          <v:shape id="Text Box 889" o:spid="_x0000_s2520" type="#_x0000_t202" style="position:absolute;left:1418;top:11584;width:1800;height:7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">
                            <v:textbox>
                              <w:txbxContent>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Надання додаткових платних послуг</w:t>
                                  </w:r>
                                </w:p>
                              </w:txbxContent>
                            </v:textbox>
                          </v:shape>
                          <v:group id="Group 890" o:spid="_x0000_s2521" style="position:absolute;left:1418;top:6939;width:9900;height:6152" coordorigin="1418,6939" coordsize="9900,6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">
                            <v:group id="Group 891" o:spid="_x0000_s2522" style="position:absolute;left:1418;top:10325;width:3780;height:2734" coordorigin="1418,10325" coordsize="3780,27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">
                              <v:shape id="Text Box 892" o:spid="_x0000_s2523" type="#_x0000_t202" style="position:absolute;left:1418;top:10325;width:1800;height: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">
                                <v:textbox>
                                  <w:txbxContent>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Залучення інвестицій</w:t>
                                      </w:r>
                                    </w:p>
                                  </w:txbxContent>
                                </v:textbox>
                              </v:shape>
                              <v:shape id="Text Box 893" o:spid="_x0000_s2524" type="#_x0000_t202" style="position:absolute;left:3398;top:11979;width:180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">
                                <v:textbox inset="0,0,0,0">
                                  <w:txbxContent>
                                    <w:p w:rsidR="00BE40F8" w:rsidRDefault="00BE40F8" w:rsidP="006C1B1F">
                                      <w:pPr>
                                        <w:spacing w:line="204" w:lineRule="auto"/>
                                        <w:ind w:firstLine="0"/>
                                        <w:jc w:val="center"/>
                                        <w:rPr>
                                          <w:rFonts w:ascii="Times New Roman" w:hAnsi="Times New Roman" w:cs="Times New Roman"/>
                                          <w:sz w:val="16"/>
                                          <w:szCs w:val="16"/>
                                        </w:rPr>
                                      </w:pPr>
                                    </w:p>
                                    <w:p w:rsidR="00BE40F8" w:rsidRPr="007D5F7E" w:rsidRDefault="00BE40F8" w:rsidP="006C1B1F">
                                      <w:pPr>
                                        <w:spacing w:line="204" w:lineRule="auto"/>
                                        <w:ind w:firstLine="0"/>
                                        <w:jc w:val="center"/>
                                        <w:rPr>
                                          <w:rFonts w:ascii="Times New Roman" w:hAnsi="Times New Roman" w:cs="Times New Roman"/>
                                          <w:sz w:val="16"/>
                                          <w:szCs w:val="16"/>
                                        </w:rPr>
                                      </w:pPr>
                                      <w:r>
                                        <w:rPr>
                                          <w:rFonts w:ascii="Times New Roman" w:hAnsi="Times New Roman" w:cs="Times New Roman"/>
                                          <w:sz w:val="16"/>
                                          <w:szCs w:val="16"/>
                                        </w:rPr>
                                        <w:t>Стимулю</w:t>
                                      </w:r>
                                      <w:r w:rsidRPr="007D5F7E">
                                        <w:rPr>
                                          <w:rFonts w:ascii="Times New Roman" w:hAnsi="Times New Roman" w:cs="Times New Roman"/>
                                          <w:sz w:val="16"/>
                                          <w:szCs w:val="16"/>
                                        </w:rPr>
                                        <w:t xml:space="preserve">вання працівників за </w:t>
                                      </w:r>
                                      <w:r w:rsidRPr="007D5F7E">
                                        <w:rPr>
                                          <w:rFonts w:ascii="Times New Roman" w:hAnsi="Times New Roman" w:cs="Times New Roman"/>
                                          <w:spacing w:val="-6"/>
                                          <w:sz w:val="16"/>
                                          <w:szCs w:val="16"/>
                                        </w:rPr>
                                        <w:t xml:space="preserve">результатами </w:t>
                                      </w:r>
                                      <w:r w:rsidRPr="007D5F7E">
                                        <w:rPr>
                                          <w:rFonts w:ascii="Times New Roman" w:hAnsi="Times New Roman" w:cs="Times New Roman"/>
                                          <w:sz w:val="16"/>
                                          <w:szCs w:val="16"/>
                                        </w:rPr>
                                        <w:t>діяльності</w:t>
                                      </w:r>
                                    </w:p>
                                  </w:txbxContent>
                                </v:textbox>
                              </v:shape>
                            </v:group>
                            <v:group id="Group 894" o:spid="_x0000_s2525" style="position:absolute;left:1418;top:6939;width:9900;height:6152" coordorigin="1418,6939" coordsize="9900,6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">
                              <v:shape id="Text Box 895" o:spid="_x0000_s2526" type="#_x0000_t202" style="position:absolute;left:1418;top:8136;width:1800;height:8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">
                                <v:textbox>
                                  <w:txbxContent>
                                    <w:p w:rsidR="00BE40F8" w:rsidRPr="007D5F7E" w:rsidRDefault="00BE40F8" w:rsidP="006C1B1F">
                                      <w:pPr>
                                        <w:spacing w:line="192" w:lineRule="auto"/>
                                        <w:ind w:firstLine="0"/>
                                        <w:jc w:val="center"/>
                                        <w:rPr>
                                          <w:rFonts w:ascii="Times New Roman" w:hAnsi="Times New Roman" w:cs="Times New Roman"/>
                                          <w:spacing w:val="-4"/>
                                          <w:sz w:val="16"/>
                                          <w:szCs w:val="16"/>
                                        </w:rPr>
                                      </w:pPr>
                                      <w:r w:rsidRPr="007D5F7E">
                                        <w:rPr>
                                          <w:rFonts w:ascii="Times New Roman" w:hAnsi="Times New Roman" w:cs="Times New Roman"/>
                                          <w:spacing w:val="-4"/>
                                          <w:sz w:val="16"/>
                                          <w:szCs w:val="16"/>
                                        </w:rPr>
                                        <w:t>Збільшення обсягів надходжень</w:t>
                                      </w:r>
                                    </w:p>
                                  </w:txbxContent>
                                </v:textbox>
                              </v:shape>
                              <v:shape id="Text Box 896" o:spid="_x0000_s2527" type="#_x0000_t202" style="position:absolute;left:5378;top:8132;width:1800;height:7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">
                                <v:textbox inset="0,0,0,0">
                                  <w:txbxContent>
                                    <w:p w:rsidR="00BE40F8" w:rsidRPr="006C1B1F" w:rsidRDefault="00BE40F8" w:rsidP="006C1B1F">
                                      <w:pPr>
                                        <w:spacing w:line="216" w:lineRule="auto"/>
                                        <w:ind w:firstLine="0"/>
                                        <w:jc w:val="center"/>
                                        <w:rPr>
                                          <w:rFonts w:ascii="Times New Roman" w:hAnsi="Times New Roman" w:cs="Times New Roman"/>
                                          <w:sz w:val="16"/>
                                          <w:szCs w:val="16"/>
                                        </w:rPr>
                                      </w:pPr>
                                      <w:r w:rsidRPr="006C1B1F">
                                        <w:rPr>
                                          <w:rFonts w:ascii="Times New Roman" w:hAnsi="Times New Roman" w:cs="Times New Roman"/>
                                          <w:sz w:val="16"/>
                                          <w:szCs w:val="16"/>
                                        </w:rPr>
                                        <w:t>Оптимізація організаційної</w:t>
                                      </w:r>
                                    </w:p>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 xml:space="preserve"> структури</w:t>
                                      </w:r>
                                    </w:p>
                                  </w:txbxContent>
                                </v:textbox>
                              </v:shape>
                              <v:shape id="Text Box 897" o:spid="_x0000_s2528" type="#_x0000_t202" style="position:absolute;left:7358;top:8132;width:1980;height:1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">
                                <v:textbox>
                                  <w:txbxContent>
                                    <w:p w:rsidR="00BE40F8" w:rsidRPr="007D5F7E" w:rsidRDefault="00BE40F8" w:rsidP="00662748">
                                      <w:pPr>
                                        <w:spacing w:line="216" w:lineRule="auto"/>
                                        <w:ind w:firstLine="0"/>
                                        <w:jc w:val="center"/>
                                        <w:rPr>
                                          <w:rFonts w:ascii="Times New Roman" w:hAnsi="Times New Roman" w:cs="Times New Roman"/>
                                          <w:sz w:val="16"/>
                                          <w:szCs w:val="16"/>
                                        </w:rPr>
                                      </w:pPr>
                                      <w:r w:rsidRPr="007D5F7E">
                                        <w:rPr>
                                          <w:rFonts w:ascii="Times New Roman" w:hAnsi="Times New Roman" w:cs="Times New Roman"/>
                                          <w:spacing w:val="-4"/>
                                          <w:sz w:val="16"/>
                                          <w:szCs w:val="16"/>
                                        </w:rPr>
                                        <w:t xml:space="preserve">Інформаційне </w:t>
                                      </w:r>
                                      <w:r w:rsidRPr="007D5F7E">
                                        <w:rPr>
                                          <w:rFonts w:ascii="Times New Roman" w:hAnsi="Times New Roman" w:cs="Times New Roman"/>
                                          <w:sz w:val="16"/>
                                          <w:szCs w:val="16"/>
                                        </w:rPr>
                                        <w:t xml:space="preserve">забезпечення управління фінансово-господарської діяльності </w:t>
                                      </w:r>
                                    </w:p>
                                  </w:txbxContent>
                                </v:textbox>
                              </v:shape>
                              <v:shape id="Text Box 898" o:spid="_x0000_s2529" type="#_x0000_t202" style="position:absolute;left:9518;top:8132;width:180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">
                                <v:textbox>
                                  <w:txbxContent>
                                    <w:p w:rsidR="00BE40F8" w:rsidRPr="007D5F7E" w:rsidRDefault="00BE40F8" w:rsidP="00662748">
                                      <w:pPr>
                                        <w:ind w:firstLine="0"/>
                                        <w:jc w:val="center"/>
                                        <w:rPr>
                                          <w:rFonts w:ascii="Times New Roman" w:hAnsi="Times New Roman" w:cs="Times New Roman"/>
                                          <w:sz w:val="16"/>
                                          <w:szCs w:val="16"/>
                                        </w:rPr>
                                      </w:pPr>
                                      <w:r w:rsidRPr="007D5F7E">
                                        <w:rPr>
                                          <w:rFonts w:ascii="Times New Roman" w:hAnsi="Times New Roman" w:cs="Times New Roman"/>
                                          <w:sz w:val="16"/>
                                          <w:szCs w:val="16"/>
                                        </w:rPr>
                                        <w:t>Здійснення оператив-ного контролю</w:t>
                                      </w:r>
                                    </w:p>
                                  </w:txbxContent>
                                </v:textbox>
                              </v:shape>
                              <v:shape id="Text Box 899" o:spid="_x0000_s2530" type="#_x0000_t202" style="position:absolute;left:1418;top:9609;width:1800;height:7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">
                                <v:textbox inset="0,0,50mm,0">
                                  <w:txbxContent>
                                    <w:p w:rsidR="00BE40F8" w:rsidRDefault="00BE40F8" w:rsidP="006C1B1F">
                                      <w:pPr>
                                        <w:spacing w:line="204" w:lineRule="auto"/>
                                        <w:ind w:left="-142" w:right="-1119" w:firstLine="0"/>
                                        <w:jc w:val="center"/>
                                        <w:rPr>
                                          <w:rFonts w:ascii="Times New Roman" w:hAnsi="Times New Roman" w:cs="Times New Roman"/>
                                          <w:sz w:val="16"/>
                                          <w:szCs w:val="16"/>
                                        </w:rPr>
                                      </w:pPr>
                                    </w:p>
                                    <w:p w:rsidR="00BE40F8" w:rsidRPr="007D5F7E" w:rsidRDefault="00BE40F8" w:rsidP="006C1B1F">
                                      <w:pPr>
                                        <w:spacing w:line="204" w:lineRule="auto"/>
                                        <w:ind w:left="-142" w:right="-1119" w:firstLine="0"/>
                                        <w:jc w:val="center"/>
                                        <w:rPr>
                                          <w:rFonts w:ascii="Times New Roman" w:hAnsi="Times New Roman" w:cs="Times New Roman"/>
                                          <w:sz w:val="16"/>
                                          <w:szCs w:val="16"/>
                                        </w:rPr>
                                      </w:pPr>
                                      <w:r w:rsidRPr="007D5F7E">
                                        <w:rPr>
                                          <w:rFonts w:ascii="Times New Roman" w:hAnsi="Times New Roman" w:cs="Times New Roman"/>
                                          <w:sz w:val="16"/>
                                          <w:szCs w:val="16"/>
                                        </w:rPr>
                                        <w:t>Розширення обсягів освітньої діяльності</w:t>
                                      </w:r>
                                    </w:p>
                                  </w:txbxContent>
                                </v:textbox>
                              </v:shape>
                              <v:shape id="Text Box 900" o:spid="_x0000_s2531" type="#_x0000_t202" style="position:absolute;left:3398;top:8738;width:180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">
                                <v:textbox>
                                  <w:txbxContent>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Здійснення процедури державних закупівель</w:t>
                                      </w:r>
                                    </w:p>
                                  </w:txbxContent>
                                </v:textbox>
                              </v:shape>
                              <v:shape id="Text Box 901" o:spid="_x0000_s2532" type="#_x0000_t202" style="position:absolute;left:5378;top:9998;width:180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">
                                <v:textbox inset="0,0,0,0">
                                  <w:txbxContent>
                                    <w:p w:rsidR="00BE40F8" w:rsidRDefault="00BE40F8" w:rsidP="006C1B1F">
                                      <w:pPr>
                                        <w:spacing w:line="216" w:lineRule="auto"/>
                                        <w:ind w:firstLine="0"/>
                                        <w:jc w:val="center"/>
                                        <w:rPr>
                                          <w:rFonts w:ascii="Times New Roman" w:hAnsi="Times New Roman" w:cs="Times New Roman"/>
                                          <w:spacing w:val="-10"/>
                                          <w:sz w:val="16"/>
                                          <w:szCs w:val="16"/>
                                        </w:rPr>
                                      </w:pPr>
                                    </w:p>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pacing w:val="-10"/>
                                          <w:sz w:val="16"/>
                                          <w:szCs w:val="16"/>
                                        </w:rPr>
                                        <w:t>З</w:t>
                                      </w:r>
                                      <w:r w:rsidRPr="006C1B1F">
                                        <w:rPr>
                                          <w:rFonts w:ascii="Times New Roman" w:hAnsi="Times New Roman" w:cs="Times New Roman"/>
                                          <w:sz w:val="16"/>
                                          <w:szCs w:val="16"/>
                                        </w:rPr>
                                        <w:t xml:space="preserve">абезпечення </w:t>
                                      </w:r>
                                      <w:r w:rsidRPr="007D5F7E">
                                        <w:rPr>
                                          <w:rFonts w:ascii="Times New Roman" w:hAnsi="Times New Roman" w:cs="Times New Roman"/>
                                          <w:sz w:val="16"/>
                                          <w:szCs w:val="16"/>
                                        </w:rPr>
                                        <w:t xml:space="preserve">кількісного та якісного складу працівників </w:t>
                                      </w:r>
                                    </w:p>
                                  </w:txbxContent>
                                </v:textbox>
                              </v:shape>
                              <v:shape id="Text Box 902" o:spid="_x0000_s2533" type="#_x0000_t202" style="position:absolute;left:9518;top:9032;width:1800;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">
                                <v:textbox inset="0,0,0,0">
                                  <w:txbxContent>
                                    <w:p w:rsidR="00BE40F8" w:rsidRPr="007D5F7E" w:rsidRDefault="00BE40F8" w:rsidP="00662748">
                                      <w:pPr>
                                        <w:ind w:firstLine="0"/>
                                        <w:jc w:val="center"/>
                                        <w:rPr>
                                          <w:rFonts w:ascii="Times New Roman" w:hAnsi="Times New Roman" w:cs="Times New Roman"/>
                                          <w:sz w:val="16"/>
                                          <w:szCs w:val="16"/>
                                        </w:rPr>
                                      </w:pPr>
                                      <w:r w:rsidRPr="007D5F7E">
                                        <w:rPr>
                                          <w:rFonts w:ascii="Times New Roman" w:hAnsi="Times New Roman" w:cs="Times New Roman"/>
                                          <w:sz w:val="16"/>
                                          <w:szCs w:val="16"/>
                                        </w:rPr>
                                        <w:t>Регламентува</w:t>
                                      </w:r>
                                      <w:r>
                                        <w:rPr>
                                          <w:rFonts w:ascii="Times New Roman" w:hAnsi="Times New Roman" w:cs="Times New Roman"/>
                                          <w:sz w:val="16"/>
                                          <w:szCs w:val="16"/>
                                        </w:rPr>
                                        <w:t>-</w:t>
                                      </w:r>
                                      <w:r w:rsidRPr="007D5F7E">
                                        <w:rPr>
                                          <w:rFonts w:ascii="Times New Roman" w:hAnsi="Times New Roman" w:cs="Times New Roman"/>
                                          <w:sz w:val="16"/>
                                          <w:szCs w:val="16"/>
                                        </w:rPr>
                                        <w:t>ння процедур прийняття відповідних рішень</w:t>
                                      </w:r>
                                    </w:p>
                                  </w:txbxContent>
                                </v:textbox>
                              </v:shape>
                              <v:shape id="Text Box 903" o:spid="_x0000_s2534" type="#_x0000_t202" style="position:absolute;left:9518;top:10292;width:180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">
                                <v:textbox>
                                  <w:txbxContent>
                                    <w:p w:rsidR="00BE40F8" w:rsidRPr="007D5F7E" w:rsidRDefault="00BE40F8" w:rsidP="00662748">
                                      <w:pPr>
                                        <w:ind w:firstLine="0"/>
                                        <w:jc w:val="center"/>
                                        <w:rPr>
                                          <w:rFonts w:ascii="Times New Roman" w:hAnsi="Times New Roman" w:cs="Times New Roman"/>
                                          <w:sz w:val="16"/>
                                          <w:szCs w:val="16"/>
                                        </w:rPr>
                                      </w:pPr>
                                      <w:r w:rsidRPr="007D5F7E">
                                        <w:rPr>
                                          <w:rFonts w:ascii="Times New Roman" w:hAnsi="Times New Roman" w:cs="Times New Roman"/>
                                          <w:sz w:val="16"/>
                                          <w:szCs w:val="16"/>
                                        </w:rPr>
                                        <w:t>Проведення аналізу за підсумками часового періоду</w:t>
                                      </w:r>
                                    </w:p>
                                  </w:txbxContent>
                                </v:textbox>
                              </v:shape>
                              <v:shape id="Text Box 904" o:spid="_x0000_s2535" type="#_x0000_t202" style="position:absolute;left:1418;top:10864;width:1800;height:7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">
                                <v:textbox>
                                  <w:txbxContent>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Залучення спонсорсь-ких коштів</w:t>
                                      </w:r>
                                    </w:p>
                                  </w:txbxContent>
                                </v:textbox>
                              </v:shape>
                              <v:shape id="Text Box 905" o:spid="_x0000_s2536" type="#_x0000_t202" style="position:absolute;left:1418;top:12305;width:1800;height:7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">
                                <v:textbox inset="0,0,0,0">
                                  <w:txbxContent>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Здійснення міжнародної діяльності</w:t>
                                      </w:r>
                                    </w:p>
                                  </w:txbxContent>
                                </v:textbox>
                              </v:shape>
                              <v:shape id="Text Box 906" o:spid="_x0000_s2537" type="#_x0000_t202" style="position:absolute;left:3398;top:10898;width:180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">
                                <v:textbox inset="0,0,0,0">
                                  <w:txbxContent>
                                    <w:p w:rsidR="00BE40F8" w:rsidRPr="007D5F7E" w:rsidRDefault="00BE40F8" w:rsidP="006C1B1F">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Забезпечення виконавців інструктивними матеріалами</w:t>
                                      </w:r>
                                    </w:p>
                                  </w:txbxContent>
                                </v:textbox>
                              </v:shape>
                              <v:shape id="Text Box 907" o:spid="_x0000_s2538" type="#_x0000_t202" style="position:absolute;left:9518;top:11372;width:180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">
                                <v:textbox>
                                  <w:txbxContent>
                                    <w:p w:rsidR="00BE40F8" w:rsidRPr="007D5F7E" w:rsidRDefault="00BE40F8" w:rsidP="00662748">
                                      <w:pPr>
                                        <w:ind w:firstLine="0"/>
                                        <w:jc w:val="center"/>
                                        <w:rPr>
                                          <w:rFonts w:ascii="Times New Roman" w:hAnsi="Times New Roman" w:cs="Times New Roman"/>
                                          <w:sz w:val="16"/>
                                          <w:szCs w:val="16"/>
                                        </w:rPr>
                                      </w:pPr>
                                      <w:r w:rsidRPr="007D5F7E">
                                        <w:rPr>
                                          <w:rFonts w:ascii="Times New Roman" w:hAnsi="Times New Roman" w:cs="Times New Roman"/>
                                          <w:sz w:val="16"/>
                                          <w:szCs w:val="16"/>
                                        </w:rPr>
                                        <w:t xml:space="preserve">Проведення </w:t>
                                      </w:r>
                                      <w:r w:rsidRPr="007D5F7E">
                                        <w:rPr>
                                          <w:rFonts w:ascii="Times New Roman" w:hAnsi="Times New Roman" w:cs="Times New Roman"/>
                                          <w:spacing w:val="-6"/>
                                          <w:sz w:val="16"/>
                                          <w:szCs w:val="16"/>
                                        </w:rPr>
                                        <w:t>оперативних</w:t>
                                      </w:r>
                                      <w:r w:rsidRPr="007D5F7E">
                                        <w:rPr>
                                          <w:rFonts w:ascii="Times New Roman" w:hAnsi="Times New Roman" w:cs="Times New Roman"/>
                                          <w:sz w:val="16"/>
                                          <w:szCs w:val="16"/>
                                        </w:rPr>
                                        <w:t xml:space="preserve"> перевірок</w:t>
                                      </w:r>
                                    </w:p>
                                  </w:txbxContent>
                                </v:textbox>
                              </v:shape>
                              <v:group id="Group 908" o:spid="_x0000_s2539" style="position:absolute;left:1418;top:6939;width:9900;height:1197" coordorigin="1418,6939" coordsize="9900,1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">
                                <v:shape id="Text Box 909" o:spid="_x0000_s2540" type="#_x0000_t202" style="position:absolute;left:1418;top:6939;width:9900;height: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">
                                  <v:textbox>
                                    <w:txbxContent>
                                      <w:p w:rsidR="00BE40F8" w:rsidRPr="007D5F7E" w:rsidRDefault="00BE40F8" w:rsidP="00B20650">
                                        <w:pPr>
                                          <w:spacing w:line="216" w:lineRule="auto"/>
                                          <w:jc w:val="center"/>
                                          <w:rPr>
                                            <w:rFonts w:ascii="Times New Roman" w:hAnsi="Times New Roman" w:cs="Times New Roman"/>
                                            <w:b/>
                                            <w:sz w:val="16"/>
                                            <w:szCs w:val="16"/>
                                          </w:rPr>
                                        </w:pPr>
                                        <w:r w:rsidRPr="007D5F7E">
                                          <w:rPr>
                                            <w:rFonts w:ascii="Times New Roman" w:hAnsi="Times New Roman" w:cs="Times New Roman"/>
                                            <w:b/>
                                            <w:sz w:val="16"/>
                                            <w:szCs w:val="16"/>
                                          </w:rPr>
                                          <w:t>Управління фінансово-господарською діяльністю вищого навчального закладу</w:t>
                                        </w:r>
                                      </w:p>
                                    </w:txbxContent>
                                  </v:textbox>
                                </v:shape>
                                <v:line id="Line 910" o:spid="_x0000_s2541" style="position:absolute;visibility:visible;mso-wrap-style:square" from="2318,7956" to="2318,8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"/>
                                <v:line id="Line 911" o:spid="_x0000_s2542" style="position:absolute;visibility:visible;mso-wrap-style:square" from="4298,7956" to="4298,8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"/>
                                <v:line id="Line 912" o:spid="_x0000_s2543" style="position:absolute;visibility:visible;mso-wrap-style:square" from="6278,7956" to="6278,8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"/>
                                <v:line id="Line 913" o:spid="_x0000_s2544" style="position:absolute;visibility:visible;mso-wrap-style:square" from="10418,7956" to="10418,8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"/>
                                <v:line id="Line 914" o:spid="_x0000_s2545" style="position:absolute;visibility:visible;mso-wrap-style:square" from="6278,7417" to="6278,7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"/>
                                <v:shape id="Text Box 915" o:spid="_x0000_s2546" type="#_x0000_t202" style="position:absolute;left:2318;top:7593;width:8100;height:3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">
                                  <v:textbox>
                                    <w:txbxContent>
                                      <w:p w:rsidR="00BE40F8" w:rsidRPr="007D5F7E" w:rsidRDefault="00BE40F8" w:rsidP="00B20650">
                                        <w:pPr>
                                          <w:jc w:val="center"/>
                                          <w:rPr>
                                            <w:rFonts w:ascii="Times New Roman" w:hAnsi="Times New Roman" w:cs="Times New Roman"/>
                                            <w:sz w:val="16"/>
                                            <w:szCs w:val="16"/>
                                          </w:rPr>
                                        </w:pPr>
                                        <w:r w:rsidRPr="007D5F7E">
                                          <w:rPr>
                                            <w:rFonts w:ascii="Times New Roman" w:hAnsi="Times New Roman" w:cs="Times New Roman"/>
                                            <w:sz w:val="16"/>
                                            <w:szCs w:val="16"/>
                                          </w:rPr>
                                          <w:t>НАПРЯМИ УПРАВЛІННЯ</w:t>
                                        </w:r>
                                      </w:p>
                                    </w:txbxContent>
                                  </v:textbox>
                                </v:shape>
                                <v:line id="Line 916" o:spid="_x0000_s2547" style="position:absolute;visibility:visible;mso-wrap-style:square" from="8258,7952" to="8258,81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"/>
                              </v:group>
                              <v:shape id="Text Box 917" o:spid="_x0000_s2548" type="#_x0000_t202" style="position:absolute;left:7358;top:9638;width:1980;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">
                                <v:textbox>
                                  <w:txbxContent>
                                    <w:p w:rsidR="00BE40F8" w:rsidRPr="007D5F7E" w:rsidRDefault="00BE40F8" w:rsidP="00662748">
                                      <w:pPr>
                                        <w:spacing w:line="216" w:lineRule="auto"/>
                                        <w:ind w:firstLine="0"/>
                                        <w:jc w:val="center"/>
                                        <w:rPr>
                                          <w:rFonts w:ascii="Times New Roman" w:hAnsi="Times New Roman" w:cs="Times New Roman"/>
                                          <w:sz w:val="16"/>
                                          <w:szCs w:val="16"/>
                                        </w:rPr>
                                      </w:pPr>
                                      <w:r w:rsidRPr="007D5F7E">
                                        <w:rPr>
                                          <w:rFonts w:ascii="Times New Roman" w:hAnsi="Times New Roman" w:cs="Times New Roman"/>
                                          <w:spacing w:val="-10"/>
                                          <w:sz w:val="16"/>
                                          <w:szCs w:val="16"/>
                                        </w:rPr>
                                        <w:t>Вдосконалення</w:t>
                                      </w:r>
                                      <w:r w:rsidRPr="007D5F7E">
                                        <w:rPr>
                                          <w:rFonts w:ascii="Times New Roman" w:hAnsi="Times New Roman" w:cs="Times New Roman"/>
                                          <w:sz w:val="16"/>
                                          <w:szCs w:val="16"/>
                                        </w:rPr>
                                        <w:t xml:space="preserve"> автоматизо-ваної інформацій-ної системи  управління</w:t>
                                      </w:r>
                                    </w:p>
                                  </w:txbxContent>
                                </v:textbox>
                              </v:shape>
                              <v:shape id="Text Box 918" o:spid="_x0000_s2549" type="#_x0000_t202" style="position:absolute;left:5378;top:12159;width:180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">
                                <v:textbox>
                                  <w:txbxContent>
                                    <w:p w:rsidR="00BE40F8" w:rsidRPr="007D5F7E" w:rsidRDefault="00BE40F8" w:rsidP="00662748">
                                      <w:pPr>
                                        <w:spacing w:line="192" w:lineRule="auto"/>
                                        <w:ind w:firstLine="0"/>
                                        <w:jc w:val="center"/>
                                        <w:rPr>
                                          <w:rFonts w:ascii="Times New Roman" w:hAnsi="Times New Roman" w:cs="Times New Roman"/>
                                          <w:sz w:val="16"/>
                                          <w:szCs w:val="16"/>
                                        </w:rPr>
                                      </w:pPr>
                                      <w:r w:rsidRPr="007D5F7E">
                                        <w:rPr>
                                          <w:rFonts w:ascii="Times New Roman" w:hAnsi="Times New Roman" w:cs="Times New Roman"/>
                                          <w:spacing w:val="-4"/>
                                          <w:sz w:val="16"/>
                                          <w:szCs w:val="16"/>
                                        </w:rPr>
                                        <w:t>Приведення</w:t>
                                      </w:r>
                                      <w:r w:rsidRPr="007D5F7E">
                                        <w:rPr>
                                          <w:rFonts w:ascii="Times New Roman" w:hAnsi="Times New Roman" w:cs="Times New Roman"/>
                                          <w:sz w:val="16"/>
                                          <w:szCs w:val="16"/>
                                        </w:rPr>
                                        <w:t xml:space="preserve"> чисельності ПВС до </w:t>
                                      </w:r>
                                      <w:r w:rsidRPr="007D5F7E">
                                        <w:rPr>
                                          <w:rFonts w:ascii="Times New Roman" w:hAnsi="Times New Roman" w:cs="Times New Roman"/>
                                          <w:spacing w:val="-6"/>
                                          <w:sz w:val="16"/>
                                          <w:szCs w:val="16"/>
                                        </w:rPr>
                                        <w:t>контингенту</w:t>
                                      </w:r>
                                      <w:r w:rsidRPr="007D5F7E">
                                        <w:rPr>
                                          <w:rFonts w:ascii="Times New Roman" w:hAnsi="Times New Roman" w:cs="Times New Roman"/>
                                          <w:sz w:val="16"/>
                                          <w:szCs w:val="16"/>
                                        </w:rPr>
                                        <w:t xml:space="preserve"> студентів</w:t>
                                      </w:r>
                                    </w:p>
                                  </w:txbxContent>
                                </v:textbox>
                              </v:shape>
                              <v:shape id="Text Box 919" o:spid="_x0000_s2550" type="#_x0000_t202" style="position:absolute;left:7358;top:10898;width:1980;height:2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">
                                <v:textbox inset="0,0,0,0">
                                  <w:txbxContent>
                                    <w:p w:rsidR="00BE40F8" w:rsidRDefault="00BE40F8" w:rsidP="00662748">
                                      <w:pPr>
                                        <w:spacing w:line="216" w:lineRule="auto"/>
                                        <w:ind w:firstLine="0"/>
                                        <w:jc w:val="center"/>
                                        <w:rPr>
                                          <w:rFonts w:ascii="Times New Roman" w:hAnsi="Times New Roman" w:cs="Times New Roman"/>
                                          <w:sz w:val="16"/>
                                          <w:szCs w:val="16"/>
                                        </w:rPr>
                                      </w:pPr>
                                    </w:p>
                                    <w:p w:rsidR="00BE40F8" w:rsidRPr="007D5F7E" w:rsidRDefault="00BE40F8" w:rsidP="00662748">
                                      <w:pPr>
                                        <w:spacing w:line="216" w:lineRule="auto"/>
                                        <w:ind w:firstLine="0"/>
                                        <w:jc w:val="center"/>
                                        <w:rPr>
                                          <w:rFonts w:ascii="Times New Roman" w:hAnsi="Times New Roman" w:cs="Times New Roman"/>
                                          <w:sz w:val="16"/>
                                          <w:szCs w:val="16"/>
                                        </w:rPr>
                                      </w:pPr>
                                      <w:r w:rsidRPr="007D5F7E">
                                        <w:rPr>
                                          <w:rFonts w:ascii="Times New Roman" w:hAnsi="Times New Roman" w:cs="Times New Roman"/>
                                          <w:sz w:val="16"/>
                                          <w:szCs w:val="16"/>
                                        </w:rPr>
                                        <w:t xml:space="preserve">Забезпечення </w:t>
                                      </w:r>
                                      <w:r w:rsidRPr="007D5F7E">
                                        <w:rPr>
                                          <w:rFonts w:ascii="Times New Roman" w:hAnsi="Times New Roman" w:cs="Times New Roman"/>
                                          <w:spacing w:val="-6"/>
                                          <w:sz w:val="16"/>
                                          <w:szCs w:val="16"/>
                                        </w:rPr>
                                        <w:t>взаємозв’язку</w:t>
                                      </w:r>
                                      <w:r w:rsidRPr="007D5F7E">
                                        <w:rPr>
                                          <w:rFonts w:ascii="Times New Roman" w:hAnsi="Times New Roman" w:cs="Times New Roman"/>
                                          <w:sz w:val="16"/>
                                          <w:szCs w:val="16"/>
                                        </w:rPr>
                                        <w:t xml:space="preserve"> функцій підрозділів, що здійснюють управління фінансово-господарською діяльністю</w:t>
                                      </w:r>
                                    </w:p>
                                  </w:txbxContent>
                                </v:textbox>
                              </v:shape>
                            </v:group>
                          </v:group>
                        </v:group>
                      </v:group>
                    </v:group>
                  </v:group>
                </v:group>
              </v:group>
            </w:pict>
          </mc:Fallback>
        </mc:AlternateContent>
      </w:r>
    </w:p>
    <w:p w:rsidR="00B20650" w:rsidRPr="00673CE8" w:rsidRDefault="00B20650" w:rsidP="00B20650">
      <w:pPr>
        <w:rPr>
          <w:rFonts w:ascii="Times New Roman" w:hAnsi="Times New Roman"/>
          <w:sz w:val="21"/>
          <w:szCs w:val="21"/>
        </w:rPr>
      </w:pPr>
    </w:p>
    <w:p w:rsidR="00B20650" w:rsidRPr="00673CE8" w:rsidRDefault="00B20650" w:rsidP="00B20650">
      <w:pPr>
        <w:rPr>
          <w:rFonts w:ascii="Times New Roman" w:hAnsi="Times New Roman"/>
          <w:sz w:val="21"/>
          <w:szCs w:val="21"/>
        </w:rPr>
      </w:pPr>
    </w:p>
    <w:p w:rsidR="00B20650" w:rsidRPr="00673CE8" w:rsidRDefault="00B20650" w:rsidP="00B20650">
      <w:pPr>
        <w:rPr>
          <w:rFonts w:ascii="Times New Roman" w:hAnsi="Times New Roman"/>
          <w:sz w:val="21"/>
          <w:szCs w:val="21"/>
        </w:rPr>
      </w:pPr>
    </w:p>
    <w:p w:rsidR="00B20650" w:rsidRPr="00673CE8" w:rsidRDefault="00B20650" w:rsidP="00B20650">
      <w:pPr>
        <w:rPr>
          <w:rFonts w:ascii="Times New Roman" w:hAnsi="Times New Roman"/>
          <w:sz w:val="21"/>
          <w:szCs w:val="21"/>
        </w:rPr>
      </w:pPr>
    </w:p>
    <w:p w:rsidR="00B20650" w:rsidRPr="00673CE8" w:rsidRDefault="00B20650" w:rsidP="00B20650">
      <w:pPr>
        <w:rPr>
          <w:rFonts w:ascii="Times New Roman" w:hAnsi="Times New Roman"/>
          <w:sz w:val="21"/>
          <w:szCs w:val="21"/>
        </w:rPr>
      </w:pPr>
    </w:p>
    <w:p w:rsidR="00B20650" w:rsidRPr="00673CE8" w:rsidRDefault="00B20650" w:rsidP="00B20650">
      <w:pPr>
        <w:rPr>
          <w:rFonts w:ascii="Times New Roman" w:hAnsi="Times New Roman"/>
          <w:sz w:val="21"/>
          <w:szCs w:val="21"/>
        </w:rPr>
      </w:pPr>
    </w:p>
    <w:p w:rsidR="00B20650" w:rsidRPr="00673CE8" w:rsidRDefault="00B20650" w:rsidP="00B20650">
      <w:pPr>
        <w:rPr>
          <w:rFonts w:ascii="Times New Roman" w:hAnsi="Times New Roman"/>
          <w:sz w:val="21"/>
          <w:szCs w:val="21"/>
        </w:rPr>
      </w:pPr>
    </w:p>
    <w:p w:rsidR="00B20650" w:rsidRDefault="00B20650" w:rsidP="00B20650">
      <w:pPr>
        <w:rPr>
          <w:rFonts w:ascii="Times New Roman" w:hAnsi="Times New Roman"/>
          <w:sz w:val="21"/>
          <w:szCs w:val="21"/>
        </w:rPr>
      </w:pPr>
    </w:p>
    <w:p w:rsidR="007D5F7E" w:rsidRDefault="007D5F7E" w:rsidP="00B20650">
      <w:pPr>
        <w:rPr>
          <w:rFonts w:ascii="Times New Roman" w:hAnsi="Times New Roman"/>
          <w:sz w:val="21"/>
          <w:szCs w:val="21"/>
        </w:rPr>
      </w:pPr>
    </w:p>
    <w:p w:rsidR="007D5F7E" w:rsidRDefault="007D5F7E" w:rsidP="00B20650">
      <w:pPr>
        <w:rPr>
          <w:rFonts w:ascii="Times New Roman" w:hAnsi="Times New Roman"/>
          <w:sz w:val="21"/>
          <w:szCs w:val="21"/>
        </w:rPr>
      </w:pPr>
    </w:p>
    <w:p w:rsidR="007D5F7E" w:rsidRDefault="007D5F7E" w:rsidP="00B20650">
      <w:pPr>
        <w:rPr>
          <w:rFonts w:ascii="Times New Roman" w:hAnsi="Times New Roman"/>
          <w:sz w:val="21"/>
          <w:szCs w:val="21"/>
        </w:rPr>
      </w:pPr>
    </w:p>
    <w:p w:rsidR="007D5F7E" w:rsidRDefault="007D5F7E" w:rsidP="00B20650">
      <w:pPr>
        <w:rPr>
          <w:rFonts w:ascii="Times New Roman" w:hAnsi="Times New Roman"/>
          <w:sz w:val="21"/>
          <w:szCs w:val="21"/>
        </w:rPr>
      </w:pPr>
    </w:p>
    <w:p w:rsidR="007D5F7E" w:rsidRDefault="007D5F7E" w:rsidP="00B20650">
      <w:pPr>
        <w:rPr>
          <w:rFonts w:ascii="Times New Roman" w:hAnsi="Times New Roman"/>
          <w:sz w:val="21"/>
          <w:szCs w:val="21"/>
        </w:rPr>
      </w:pPr>
    </w:p>
    <w:p w:rsidR="007D5F7E" w:rsidRDefault="007D5F7E" w:rsidP="00B20650">
      <w:pPr>
        <w:rPr>
          <w:rFonts w:ascii="Times New Roman" w:hAnsi="Times New Roman"/>
          <w:sz w:val="21"/>
          <w:szCs w:val="21"/>
        </w:rPr>
      </w:pPr>
    </w:p>
    <w:p w:rsidR="007D5F7E" w:rsidRDefault="007D5F7E" w:rsidP="00B20650">
      <w:pPr>
        <w:rPr>
          <w:rFonts w:ascii="Times New Roman" w:hAnsi="Times New Roman"/>
          <w:sz w:val="21"/>
          <w:szCs w:val="21"/>
        </w:rPr>
      </w:pPr>
    </w:p>
    <w:p w:rsidR="007D5F7E" w:rsidRDefault="007D5F7E" w:rsidP="00B20650">
      <w:pPr>
        <w:rPr>
          <w:rFonts w:ascii="Times New Roman" w:hAnsi="Times New Roman"/>
          <w:sz w:val="21"/>
          <w:szCs w:val="21"/>
        </w:rPr>
      </w:pPr>
    </w:p>
    <w:p w:rsidR="007D5F7E" w:rsidRDefault="007D5F7E" w:rsidP="00B20650">
      <w:pPr>
        <w:rPr>
          <w:rFonts w:ascii="Times New Roman" w:hAnsi="Times New Roman"/>
          <w:sz w:val="21"/>
          <w:szCs w:val="21"/>
        </w:rPr>
      </w:pPr>
    </w:p>
    <w:p w:rsidR="007D5F7E" w:rsidRDefault="007D5F7E" w:rsidP="00B20650">
      <w:pPr>
        <w:rPr>
          <w:rFonts w:ascii="Times New Roman" w:hAnsi="Times New Roman"/>
          <w:sz w:val="21"/>
          <w:szCs w:val="21"/>
        </w:rPr>
      </w:pPr>
    </w:p>
    <w:p w:rsidR="007D5F7E" w:rsidRDefault="007D5F7E" w:rsidP="00B20650">
      <w:pPr>
        <w:rPr>
          <w:rFonts w:ascii="Times New Roman" w:hAnsi="Times New Roman"/>
          <w:sz w:val="21"/>
          <w:szCs w:val="21"/>
        </w:rPr>
      </w:pPr>
    </w:p>
    <w:p w:rsidR="007D5F7E" w:rsidRDefault="007D5F7E" w:rsidP="00B20650">
      <w:pPr>
        <w:rPr>
          <w:rFonts w:ascii="Times New Roman" w:hAnsi="Times New Roman"/>
          <w:sz w:val="21"/>
          <w:szCs w:val="21"/>
        </w:rPr>
      </w:pPr>
    </w:p>
    <w:p w:rsidR="007D5F7E" w:rsidRDefault="007D5F7E" w:rsidP="00B20650">
      <w:pPr>
        <w:rPr>
          <w:rFonts w:ascii="Times New Roman" w:hAnsi="Times New Roman"/>
          <w:sz w:val="21"/>
          <w:szCs w:val="21"/>
        </w:rPr>
      </w:pPr>
    </w:p>
    <w:p w:rsidR="007D5F7E" w:rsidRDefault="007D5F7E" w:rsidP="00B20650">
      <w:pPr>
        <w:rPr>
          <w:rFonts w:ascii="Times New Roman" w:hAnsi="Times New Roman"/>
          <w:sz w:val="21"/>
          <w:szCs w:val="21"/>
        </w:rPr>
      </w:pPr>
    </w:p>
    <w:p w:rsidR="007D5F7E" w:rsidRDefault="007D5F7E" w:rsidP="00B20650">
      <w:pPr>
        <w:rPr>
          <w:rFonts w:ascii="Times New Roman" w:hAnsi="Times New Roman"/>
          <w:sz w:val="21"/>
          <w:szCs w:val="21"/>
        </w:rPr>
      </w:pPr>
    </w:p>
    <w:p w:rsidR="007D5F7E" w:rsidRDefault="007D5F7E" w:rsidP="00B20650">
      <w:pPr>
        <w:rPr>
          <w:rFonts w:ascii="Times New Roman" w:hAnsi="Times New Roman"/>
          <w:sz w:val="21"/>
          <w:szCs w:val="21"/>
        </w:rPr>
      </w:pPr>
    </w:p>
    <w:p w:rsidR="007D5F7E" w:rsidRPr="00673CE8" w:rsidRDefault="007D5F7E" w:rsidP="00B20650">
      <w:pPr>
        <w:rPr>
          <w:rFonts w:ascii="Times New Roman" w:hAnsi="Times New Roman"/>
          <w:sz w:val="21"/>
          <w:szCs w:val="21"/>
        </w:rPr>
      </w:pPr>
    </w:p>
    <w:p w:rsidR="00B20650" w:rsidRDefault="00B20650" w:rsidP="00B20650">
      <w:pPr>
        <w:jc w:val="right"/>
        <w:rPr>
          <w:rFonts w:ascii="Times New Roman" w:hAnsi="Times New Roman"/>
          <w:sz w:val="21"/>
          <w:szCs w:val="21"/>
        </w:rPr>
      </w:pPr>
    </w:p>
    <w:p w:rsidR="00B20650" w:rsidRPr="00F032BD" w:rsidRDefault="00B20650" w:rsidP="00F032BD">
      <w:pPr>
        <w:pStyle w:val="ad"/>
        <w:ind w:left="0" w:firstLine="284"/>
        <w:contextualSpacing w:val="0"/>
        <w:jc w:val="center"/>
        <w:rPr>
          <w:rFonts w:ascii="Times New Roman Полужирный" w:hAnsi="Times New Roman Полужирный"/>
          <w:b/>
          <w:spacing w:val="-6"/>
          <w:sz w:val="21"/>
          <w:szCs w:val="21"/>
        </w:rPr>
      </w:pPr>
      <w:r w:rsidRPr="007D5F7E">
        <w:rPr>
          <w:rFonts w:ascii="Times New Roman" w:hAnsi="Times New Roman"/>
          <w:b/>
          <w:sz w:val="21"/>
          <w:szCs w:val="21"/>
        </w:rPr>
        <w:t xml:space="preserve">Рис. </w:t>
      </w:r>
      <w:r w:rsidR="007D5F7E" w:rsidRPr="007D5F7E">
        <w:rPr>
          <w:rFonts w:ascii="Times New Roman" w:hAnsi="Times New Roman"/>
          <w:b/>
          <w:sz w:val="21"/>
          <w:szCs w:val="21"/>
        </w:rPr>
        <w:t>7</w:t>
      </w:r>
      <w:r w:rsidRPr="007D5F7E">
        <w:rPr>
          <w:rFonts w:ascii="Times New Roman" w:hAnsi="Times New Roman"/>
          <w:b/>
          <w:sz w:val="21"/>
          <w:szCs w:val="21"/>
        </w:rPr>
        <w:t>.3. Комплекс рекомендацій щодо підвищення ефек</w:t>
      </w:r>
      <w:r w:rsidR="00F032BD">
        <w:rPr>
          <w:rFonts w:ascii="Times New Roman" w:hAnsi="Times New Roman"/>
          <w:b/>
          <w:sz w:val="21"/>
          <w:szCs w:val="21"/>
        </w:rPr>
        <w:t>-</w:t>
      </w:r>
      <w:r w:rsidRPr="00F032BD">
        <w:rPr>
          <w:rFonts w:ascii="Times New Roman Полужирный" w:hAnsi="Times New Roman Полужирный"/>
          <w:b/>
          <w:spacing w:val="-6"/>
          <w:sz w:val="21"/>
          <w:szCs w:val="21"/>
        </w:rPr>
        <w:t xml:space="preserve">тивності управління фінансово-господарською діяльністю </w:t>
      </w:r>
      <w:r w:rsidR="00F032BD" w:rsidRPr="00F032BD">
        <w:rPr>
          <w:rFonts w:ascii="Times New Roman Полужирный" w:hAnsi="Times New Roman Полужирный"/>
          <w:b/>
          <w:spacing w:val="-6"/>
          <w:sz w:val="21"/>
          <w:szCs w:val="21"/>
        </w:rPr>
        <w:t>ВНЗ</w:t>
      </w:r>
      <w:r w:rsidRPr="00F032BD">
        <w:rPr>
          <w:rFonts w:ascii="Times New Roman Полужирный" w:hAnsi="Times New Roman Полужирный"/>
          <w:b/>
          <w:spacing w:val="-6"/>
          <w:sz w:val="21"/>
          <w:szCs w:val="21"/>
        </w:rPr>
        <w:t>*</w:t>
      </w:r>
    </w:p>
    <w:p w:rsidR="00B20650" w:rsidRPr="007D5F7E" w:rsidRDefault="00B20650" w:rsidP="00B20650">
      <w:pPr>
        <w:pStyle w:val="ad"/>
        <w:ind w:left="0"/>
        <w:contextualSpacing w:val="0"/>
        <w:jc w:val="both"/>
        <w:rPr>
          <w:rFonts w:ascii="Times New Roman" w:hAnsi="Times New Roman"/>
          <w:sz w:val="18"/>
          <w:szCs w:val="18"/>
        </w:rPr>
      </w:pPr>
      <w:r w:rsidRPr="007D5F7E">
        <w:rPr>
          <w:rFonts w:ascii="Times New Roman" w:hAnsi="Times New Roman"/>
          <w:i/>
          <w:sz w:val="18"/>
          <w:szCs w:val="18"/>
        </w:rPr>
        <w:t xml:space="preserve">* </w:t>
      </w:r>
      <w:r w:rsidRPr="007D5F7E">
        <w:rPr>
          <w:rFonts w:ascii="Times New Roman" w:hAnsi="Times New Roman"/>
          <w:sz w:val="18"/>
          <w:szCs w:val="18"/>
        </w:rPr>
        <w:t>– запропоновано автор</w:t>
      </w:r>
      <w:r w:rsidR="007D5F7E" w:rsidRPr="007D5F7E">
        <w:rPr>
          <w:rFonts w:ascii="Times New Roman" w:hAnsi="Times New Roman"/>
          <w:sz w:val="18"/>
          <w:szCs w:val="18"/>
        </w:rPr>
        <w:t>ами розділу</w:t>
      </w:r>
    </w:p>
    <w:p w:rsidR="00B20650" w:rsidRPr="00637B56" w:rsidRDefault="00B20650" w:rsidP="00B20650">
      <w:pPr>
        <w:pStyle w:val="ad"/>
        <w:ind w:left="0" w:firstLine="708"/>
        <w:contextualSpacing w:val="0"/>
        <w:jc w:val="both"/>
        <w:rPr>
          <w:rFonts w:ascii="Times New Roman" w:hAnsi="Times New Roman"/>
          <w:sz w:val="21"/>
          <w:szCs w:val="21"/>
        </w:rPr>
      </w:pPr>
    </w:p>
    <w:p w:rsidR="00B20650" w:rsidRPr="00FD6B50" w:rsidRDefault="00B20650" w:rsidP="00B20650">
      <w:pPr>
        <w:ind w:firstLine="709"/>
        <w:jc w:val="both"/>
        <w:rPr>
          <w:rFonts w:ascii="Times New Roman" w:hAnsi="Times New Roman"/>
          <w:sz w:val="21"/>
          <w:szCs w:val="21"/>
        </w:rPr>
      </w:pPr>
      <w:r w:rsidRPr="00FD6B50">
        <w:rPr>
          <w:rFonts w:ascii="Times New Roman" w:hAnsi="Times New Roman"/>
          <w:sz w:val="21"/>
          <w:szCs w:val="21"/>
        </w:rPr>
        <w:t xml:space="preserve">Практика залучення усіх можливих джерел надходжень дає змогу вирішити проблему нестачі фінансових та матеріальних ресурсів через впровадження інноваційних технологій в усі сфери </w:t>
      </w:r>
      <w:r w:rsidRPr="00FD6B50">
        <w:rPr>
          <w:rFonts w:ascii="Times New Roman" w:hAnsi="Times New Roman"/>
          <w:sz w:val="21"/>
          <w:szCs w:val="21"/>
        </w:rPr>
        <w:lastRenderedPageBreak/>
        <w:t>життєдіяльності навчального закладу. Одним із напрямів застосовування новітніх інноваційних підходів в управлінні ВНЗ є розвиток підприємницької активності його структурних підрозділів.</w:t>
      </w:r>
    </w:p>
    <w:p w:rsidR="00B20650" w:rsidRPr="00FD6B50" w:rsidRDefault="00B20650" w:rsidP="00B20650">
      <w:pPr>
        <w:ind w:firstLine="709"/>
        <w:jc w:val="both"/>
        <w:rPr>
          <w:rFonts w:ascii="Times New Roman" w:hAnsi="Times New Roman"/>
          <w:sz w:val="21"/>
          <w:szCs w:val="21"/>
        </w:rPr>
      </w:pPr>
      <w:r w:rsidRPr="00FD6B50">
        <w:rPr>
          <w:rFonts w:ascii="Times New Roman" w:hAnsi="Times New Roman"/>
          <w:sz w:val="21"/>
          <w:szCs w:val="21"/>
        </w:rPr>
        <w:t>В сучасних умовах функціонування вітчизняних ВНЗ інноваційний напрям економічного розвитку забезпечується пошуком додаткових джерел фінансових надходжень за умов використання наявної матеріально-технічної бази та кадрового потенціалу. Ефективним у забезпеченні такої діяльності є створення науково-навчальних виробничих центрів (ННВЦ), які очолюються працівниками з числа професорсько-викладацького складу та передбачає залучення активної та ініціативної частини студентства. Досвід створення та діяльності ННВЦ у складі українських вищих навчальних закладів свідчить про позитивний вплив цих підрозділів на якість практичної підготовки студентів та підвищення рівня співпраці з підприємствами та організаціями. Діяльність таких ННВЦ покликана вирішити проблеми фахової підготовки майбутніх спеціалістів, проблему їх соціальної адаптації та сприяти покращанню фінансового стану навчального закладу. Наприклад, студенти економічних спеціальностей набувають практичних навиків професійної діяльності, досвіду практичної роботи із законодавством, інформаційними технологіями, документального відображення господарських операцій та процесів, планування та прогнозування економічних процесів, вирішення проблемних питань ведення бізнесу та оподаткування суб’єктів господарювання. Це сприяє підвищенню конкурентоздатності випускника, формує позитивний імідж навчального закладу. Висококваліфіковані та адаптовані до реалій сьогодення випускники користуються попитом на ринку праці, що є своєрідною рекламою для ВНЗ.</w:t>
      </w:r>
    </w:p>
    <w:p w:rsidR="00B20650" w:rsidRPr="00FD6B50" w:rsidRDefault="00B20650" w:rsidP="00B20650">
      <w:pPr>
        <w:ind w:firstLine="709"/>
        <w:jc w:val="both"/>
        <w:rPr>
          <w:rFonts w:ascii="Times New Roman" w:hAnsi="Times New Roman"/>
          <w:sz w:val="21"/>
          <w:szCs w:val="21"/>
        </w:rPr>
      </w:pPr>
      <w:r w:rsidRPr="00FD6B50">
        <w:rPr>
          <w:rFonts w:ascii="Times New Roman" w:hAnsi="Times New Roman"/>
          <w:sz w:val="21"/>
          <w:szCs w:val="21"/>
        </w:rPr>
        <w:t xml:space="preserve">Для навчального закладу важливою складовою діяльності ННВЦ є збільшення надходжень від здійснення фінансово-господарської діяльності. Ефективна діяльність ННВЦ у економічній сфері забезпечує отримання коштів від надання платних послуг, які частково покривають витрати на заробітну плату працівників ННВЦ, придбання матеріальних ресурсів, утримання приміщень, оплату комунальних послуг. Функціонування ННВЦ є одним з інноваційних підходів в управлінні ВНЗ, який стимулює підприємницьку активність </w:t>
      </w:r>
      <w:r w:rsidRPr="00FD6B50">
        <w:rPr>
          <w:rFonts w:ascii="Times New Roman" w:hAnsi="Times New Roman"/>
          <w:sz w:val="21"/>
          <w:szCs w:val="21"/>
        </w:rPr>
        <w:lastRenderedPageBreak/>
        <w:t xml:space="preserve">підрозділів університету та сприяє залученню додаткових фінансових ресурсів. </w:t>
      </w:r>
    </w:p>
    <w:p w:rsidR="00B20650" w:rsidRPr="00FD6B50" w:rsidRDefault="00B20650" w:rsidP="00B20650">
      <w:pPr>
        <w:ind w:firstLine="709"/>
        <w:jc w:val="both"/>
        <w:rPr>
          <w:rFonts w:ascii="Times New Roman" w:hAnsi="Times New Roman"/>
          <w:sz w:val="21"/>
          <w:szCs w:val="21"/>
        </w:rPr>
      </w:pPr>
      <w:r w:rsidRPr="00FD6B50">
        <w:rPr>
          <w:rFonts w:ascii="Times New Roman" w:hAnsi="Times New Roman"/>
          <w:sz w:val="21"/>
          <w:szCs w:val="21"/>
        </w:rPr>
        <w:t xml:space="preserve">Співробітництво з вітчизняними та іноземними підприємствами (бізнес-структурами) через сумісну реалізацію бізнес-проектів відкриває перед вищими навчальними закладами можливість залучення додаткових фінансових і матеріальних ресурсів у вигляді спонсорської допомоги. Останнім часом підтримка освітніх програм для студентів активно проваджується суб’єктами господарювання в межах реалізації програм корпоративної соціальної відповідальності. </w:t>
      </w:r>
    </w:p>
    <w:p w:rsidR="00B20650" w:rsidRPr="00FD6B50" w:rsidRDefault="00B20650" w:rsidP="00B20650">
      <w:pPr>
        <w:ind w:firstLine="709"/>
        <w:jc w:val="both"/>
        <w:rPr>
          <w:rFonts w:ascii="Times New Roman" w:hAnsi="Times New Roman"/>
          <w:sz w:val="21"/>
          <w:szCs w:val="21"/>
        </w:rPr>
      </w:pPr>
      <w:r w:rsidRPr="00FD6B50">
        <w:rPr>
          <w:rFonts w:ascii="Times New Roman" w:hAnsi="Times New Roman"/>
          <w:sz w:val="21"/>
          <w:szCs w:val="21"/>
        </w:rPr>
        <w:t>2). Управління видатками навчального закладу спрямоване на оптимізацію та економне використання фінансових, матеріальних, трудових та інформаційних ресурсів. Економія та оптимізація витрат досягається через:</w:t>
      </w:r>
    </w:p>
    <w:p w:rsidR="00B20650" w:rsidRPr="00662748" w:rsidRDefault="00B20650" w:rsidP="002179DE">
      <w:pPr>
        <w:pStyle w:val="ad"/>
        <w:numPr>
          <w:ilvl w:val="0"/>
          <w:numId w:val="71"/>
        </w:numPr>
        <w:tabs>
          <w:tab w:val="left" w:pos="993"/>
        </w:tabs>
        <w:ind w:left="0" w:firstLine="709"/>
        <w:jc w:val="both"/>
        <w:rPr>
          <w:rFonts w:ascii="Times New Roman" w:hAnsi="Times New Roman"/>
          <w:sz w:val="21"/>
          <w:szCs w:val="21"/>
        </w:rPr>
      </w:pPr>
      <w:r w:rsidRPr="00662748">
        <w:rPr>
          <w:rFonts w:ascii="Times New Roman" w:hAnsi="Times New Roman"/>
          <w:sz w:val="21"/>
          <w:szCs w:val="21"/>
        </w:rPr>
        <w:t xml:space="preserve">здійснення процедури державних закупівель у відповідності до вимог нормативно-правової бази; </w:t>
      </w:r>
    </w:p>
    <w:p w:rsidR="00B20650" w:rsidRPr="00662748" w:rsidRDefault="00B20650" w:rsidP="002179DE">
      <w:pPr>
        <w:pStyle w:val="ad"/>
        <w:numPr>
          <w:ilvl w:val="0"/>
          <w:numId w:val="71"/>
        </w:numPr>
        <w:tabs>
          <w:tab w:val="left" w:pos="993"/>
        </w:tabs>
        <w:ind w:left="0" w:firstLine="709"/>
        <w:jc w:val="both"/>
        <w:rPr>
          <w:rFonts w:ascii="Times New Roman" w:hAnsi="Times New Roman"/>
          <w:sz w:val="21"/>
          <w:szCs w:val="21"/>
        </w:rPr>
      </w:pPr>
      <w:r w:rsidRPr="00662748">
        <w:rPr>
          <w:rFonts w:ascii="Times New Roman" w:hAnsi="Times New Roman"/>
          <w:sz w:val="21"/>
          <w:szCs w:val="21"/>
        </w:rPr>
        <w:t xml:space="preserve">розробку внутрішніх технічно та економічно обґрунтованих нормативів, норм, лімітів використання трудових, фінансових, матеріальних та енергетичних ресурсів на основі чинного законодавства та відповідно до умов діяльності навчального закладу; </w:t>
      </w:r>
    </w:p>
    <w:p w:rsidR="00B20650" w:rsidRPr="00662748" w:rsidRDefault="00B20650" w:rsidP="002179DE">
      <w:pPr>
        <w:pStyle w:val="ad"/>
        <w:numPr>
          <w:ilvl w:val="0"/>
          <w:numId w:val="71"/>
        </w:numPr>
        <w:tabs>
          <w:tab w:val="left" w:pos="993"/>
        </w:tabs>
        <w:ind w:left="0" w:firstLine="709"/>
        <w:jc w:val="both"/>
        <w:rPr>
          <w:rFonts w:ascii="Times New Roman" w:hAnsi="Times New Roman"/>
          <w:sz w:val="21"/>
          <w:szCs w:val="21"/>
        </w:rPr>
      </w:pPr>
      <w:r w:rsidRPr="00662748">
        <w:rPr>
          <w:rFonts w:ascii="Times New Roman" w:hAnsi="Times New Roman"/>
          <w:sz w:val="21"/>
          <w:szCs w:val="21"/>
        </w:rPr>
        <w:t>забезпечення виконавців інструктивними матеріалами щодо врегулювання окремих аспектів фінансово-господарської діяльності;</w:t>
      </w:r>
    </w:p>
    <w:p w:rsidR="00B20650" w:rsidRPr="00662748" w:rsidRDefault="00B20650" w:rsidP="002179DE">
      <w:pPr>
        <w:pStyle w:val="ad"/>
        <w:numPr>
          <w:ilvl w:val="0"/>
          <w:numId w:val="71"/>
        </w:numPr>
        <w:tabs>
          <w:tab w:val="left" w:pos="993"/>
        </w:tabs>
        <w:ind w:left="0" w:firstLine="709"/>
        <w:jc w:val="both"/>
        <w:rPr>
          <w:rFonts w:ascii="Times New Roman" w:hAnsi="Times New Roman"/>
          <w:sz w:val="21"/>
          <w:szCs w:val="21"/>
        </w:rPr>
      </w:pPr>
      <w:r w:rsidRPr="00662748">
        <w:rPr>
          <w:rFonts w:ascii="Times New Roman" w:hAnsi="Times New Roman"/>
          <w:sz w:val="21"/>
          <w:szCs w:val="21"/>
        </w:rPr>
        <w:t>здійснення матеріального стимулювання працівників за виконання показників діяльності та застосування дисциплінарних заходів за невиконання поставлених завдань.</w:t>
      </w:r>
    </w:p>
    <w:p w:rsidR="00B20650" w:rsidRPr="00FD6B50" w:rsidRDefault="00B20650" w:rsidP="00B20650">
      <w:pPr>
        <w:ind w:firstLine="709"/>
        <w:jc w:val="both"/>
        <w:rPr>
          <w:rFonts w:ascii="Times New Roman" w:hAnsi="Times New Roman"/>
          <w:sz w:val="21"/>
          <w:szCs w:val="21"/>
        </w:rPr>
      </w:pPr>
      <w:r w:rsidRPr="00FD6B50">
        <w:rPr>
          <w:rFonts w:ascii="Times New Roman" w:hAnsi="Times New Roman"/>
          <w:sz w:val="21"/>
          <w:szCs w:val="21"/>
        </w:rPr>
        <w:t xml:space="preserve">Управління видатками навчального закладу не може бути ефективним без регламентації фінансово-господарської діяльності. Частина таких складових (вихідні показники при обчисленні заробітної плати та витрат на відрядження працівникам, стипендії та інших виплат студентам, ставки для здійснення нарахування податків і зборів до бюджету, нарахування амортизації та списання необоротних активів та ін.) регламентуються на законодавчому рівні. Залишаються неврегульованими та визначаються на рівні вищого навчального закладу показники витрачання оборотних активів: сировини та матеріалів, запасних частин, комплектуючих, енергоресурсів та інших матеріальних цінностей. В зв’язку з цим виникає необхідність розробки внутрішньо-вузівських норм та </w:t>
      </w:r>
      <w:r w:rsidRPr="00FD6B50">
        <w:rPr>
          <w:rFonts w:ascii="Times New Roman" w:hAnsi="Times New Roman"/>
          <w:sz w:val="21"/>
          <w:szCs w:val="21"/>
        </w:rPr>
        <w:lastRenderedPageBreak/>
        <w:t>нормативів, що визначають показники використання фінансових, матеріальних, трудових та енергетичних ресурсів. Ця інформація доводиться відповідальним посадовим особам. Виконання локальних нормативно-правових документів забезпечується внутрішнім документообігом.</w:t>
      </w:r>
    </w:p>
    <w:p w:rsidR="00B20650" w:rsidRPr="00FD6B50" w:rsidRDefault="00B20650" w:rsidP="00B20650">
      <w:pPr>
        <w:ind w:firstLine="709"/>
        <w:jc w:val="both"/>
        <w:rPr>
          <w:rFonts w:ascii="Times New Roman" w:hAnsi="Times New Roman"/>
          <w:sz w:val="21"/>
          <w:szCs w:val="21"/>
        </w:rPr>
      </w:pPr>
      <w:r w:rsidRPr="00FD6B50">
        <w:rPr>
          <w:rFonts w:ascii="Times New Roman" w:hAnsi="Times New Roman"/>
          <w:sz w:val="21"/>
          <w:szCs w:val="21"/>
        </w:rPr>
        <w:t>3). Оптимізація організаційної структури управління фінансово-господарською діяльністю забезпечується реалізацією наступних заходів:</w:t>
      </w:r>
    </w:p>
    <w:p w:rsidR="00B20650" w:rsidRPr="00662748" w:rsidRDefault="00B20650" w:rsidP="002179DE">
      <w:pPr>
        <w:pStyle w:val="ad"/>
        <w:numPr>
          <w:ilvl w:val="0"/>
          <w:numId w:val="72"/>
        </w:numPr>
        <w:tabs>
          <w:tab w:val="left" w:pos="993"/>
        </w:tabs>
        <w:ind w:left="0" w:firstLine="709"/>
        <w:jc w:val="both"/>
        <w:rPr>
          <w:rFonts w:ascii="Times New Roman" w:hAnsi="Times New Roman"/>
          <w:sz w:val="21"/>
          <w:szCs w:val="21"/>
        </w:rPr>
      </w:pPr>
      <w:r w:rsidRPr="00662748">
        <w:rPr>
          <w:rFonts w:ascii="Times New Roman" w:hAnsi="Times New Roman"/>
          <w:sz w:val="21"/>
          <w:szCs w:val="21"/>
        </w:rPr>
        <w:t xml:space="preserve">приведенням структури фінансових та господарських підрозділів у відповідність до потреб навчального закладу. При необхідності розглядаються питання про створення відділів маркетингу, інформаційно-технічного забезпечення; </w:t>
      </w:r>
    </w:p>
    <w:p w:rsidR="00B20650" w:rsidRPr="00662748" w:rsidRDefault="00B20650" w:rsidP="002179DE">
      <w:pPr>
        <w:pStyle w:val="ad"/>
        <w:numPr>
          <w:ilvl w:val="0"/>
          <w:numId w:val="72"/>
        </w:numPr>
        <w:tabs>
          <w:tab w:val="left" w:pos="993"/>
        </w:tabs>
        <w:ind w:left="0" w:firstLine="709"/>
        <w:jc w:val="both"/>
        <w:rPr>
          <w:rFonts w:ascii="Times New Roman" w:hAnsi="Times New Roman"/>
          <w:sz w:val="21"/>
          <w:szCs w:val="21"/>
        </w:rPr>
      </w:pPr>
      <w:r w:rsidRPr="00662748">
        <w:rPr>
          <w:rFonts w:ascii="Times New Roman" w:hAnsi="Times New Roman"/>
          <w:sz w:val="21"/>
          <w:szCs w:val="21"/>
        </w:rPr>
        <w:t>забезпеченням кількісного та якісного складу працівників фінансових та господарських підрозділів у відповідності до вимог чинного законодавства;</w:t>
      </w:r>
    </w:p>
    <w:p w:rsidR="00B20650" w:rsidRPr="00662748" w:rsidRDefault="00B20650" w:rsidP="002179DE">
      <w:pPr>
        <w:pStyle w:val="ad"/>
        <w:numPr>
          <w:ilvl w:val="0"/>
          <w:numId w:val="72"/>
        </w:numPr>
        <w:tabs>
          <w:tab w:val="left" w:pos="993"/>
        </w:tabs>
        <w:ind w:left="0" w:firstLine="709"/>
        <w:jc w:val="both"/>
        <w:rPr>
          <w:rFonts w:ascii="Times New Roman" w:hAnsi="Times New Roman"/>
          <w:sz w:val="21"/>
          <w:szCs w:val="21"/>
        </w:rPr>
      </w:pPr>
      <w:r w:rsidRPr="00662748">
        <w:rPr>
          <w:rFonts w:ascii="Times New Roman" w:hAnsi="Times New Roman"/>
          <w:sz w:val="21"/>
          <w:szCs w:val="21"/>
        </w:rPr>
        <w:t>відбір працівників відповідного професійно-кваліфікаційного рівня, підвищення даного рівня відповідно до зміни вимог у професійній діяльності;</w:t>
      </w:r>
    </w:p>
    <w:p w:rsidR="00B20650" w:rsidRPr="00662748" w:rsidRDefault="00B20650" w:rsidP="002179DE">
      <w:pPr>
        <w:pStyle w:val="ad"/>
        <w:numPr>
          <w:ilvl w:val="0"/>
          <w:numId w:val="72"/>
        </w:numPr>
        <w:tabs>
          <w:tab w:val="left" w:pos="993"/>
        </w:tabs>
        <w:ind w:left="0" w:firstLine="709"/>
        <w:jc w:val="both"/>
        <w:rPr>
          <w:rFonts w:ascii="Times New Roman" w:hAnsi="Times New Roman"/>
          <w:sz w:val="21"/>
          <w:szCs w:val="21"/>
        </w:rPr>
      </w:pPr>
      <w:r w:rsidRPr="00662748">
        <w:rPr>
          <w:rFonts w:ascii="Times New Roman" w:hAnsi="Times New Roman"/>
          <w:sz w:val="21"/>
          <w:szCs w:val="21"/>
        </w:rPr>
        <w:t>приведення чисельності професорсько-викладацького складу у відповідність до контингенту студентів</w:t>
      </w:r>
    </w:p>
    <w:p w:rsidR="00B20650" w:rsidRPr="00FD6B50" w:rsidRDefault="00B20650" w:rsidP="00B20650">
      <w:pPr>
        <w:ind w:firstLine="709"/>
        <w:jc w:val="both"/>
        <w:rPr>
          <w:rFonts w:ascii="Times New Roman" w:hAnsi="Times New Roman"/>
          <w:sz w:val="21"/>
          <w:szCs w:val="21"/>
        </w:rPr>
      </w:pPr>
      <w:r w:rsidRPr="00FD6B50">
        <w:rPr>
          <w:rFonts w:ascii="Times New Roman" w:hAnsi="Times New Roman"/>
          <w:sz w:val="21"/>
          <w:szCs w:val="21"/>
        </w:rPr>
        <w:t xml:space="preserve">Пропонуємо надати керівникам фінансово-господарських підрозділів відносну самостійність у прийнятті оперативних рішень. На нашу думку, це сприятиме підвищенню відповідальності за результати діяльності та ефективності управлінського процесу. </w:t>
      </w:r>
    </w:p>
    <w:p w:rsidR="00B20650" w:rsidRPr="00FD6B50" w:rsidRDefault="00B20650" w:rsidP="00B20650">
      <w:pPr>
        <w:ind w:firstLine="709"/>
        <w:jc w:val="both"/>
        <w:rPr>
          <w:rFonts w:ascii="Times New Roman" w:hAnsi="Times New Roman"/>
          <w:sz w:val="21"/>
          <w:szCs w:val="21"/>
        </w:rPr>
      </w:pPr>
      <w:r w:rsidRPr="00FD6B50">
        <w:rPr>
          <w:rFonts w:ascii="Times New Roman" w:hAnsi="Times New Roman"/>
          <w:sz w:val="21"/>
          <w:szCs w:val="21"/>
        </w:rPr>
        <w:t>4). Структуру ВНЗ формують підрозділи, які здатні реалізувати власний потенціал за умови чіткої координації їх організаційного, ресурсного та інформаційного забезпечення в рамках ВНЗ. Ми переконані, що таке координування буде ефективним в управлінні фінансово-господарською діяльністю ВНЗ. Оптимальна система взаємовідносин структурних підрозділів з одного боку забезпечить достатню гнучкість, здатність оперативно реагувати на вплив факторів зовнішнього та вну</w:t>
      </w:r>
      <w:r w:rsidR="00197F22">
        <w:rPr>
          <w:rFonts w:ascii="Times New Roman" w:hAnsi="Times New Roman"/>
          <w:sz w:val="21"/>
          <w:szCs w:val="21"/>
        </w:rPr>
        <w:t>-</w:t>
      </w:r>
      <w:r w:rsidRPr="00FD6B50">
        <w:rPr>
          <w:rFonts w:ascii="Times New Roman" w:hAnsi="Times New Roman"/>
          <w:sz w:val="21"/>
          <w:szCs w:val="21"/>
        </w:rPr>
        <w:t>трішнього середовищ, з іншого – економічність функці</w:t>
      </w:r>
      <w:r w:rsidR="00197F22">
        <w:rPr>
          <w:rFonts w:ascii="Times New Roman" w:hAnsi="Times New Roman"/>
          <w:sz w:val="21"/>
          <w:szCs w:val="21"/>
        </w:rPr>
        <w:t>-</w:t>
      </w:r>
      <w:r w:rsidRPr="00FD6B50">
        <w:rPr>
          <w:rFonts w:ascii="Times New Roman" w:hAnsi="Times New Roman"/>
          <w:sz w:val="21"/>
          <w:szCs w:val="21"/>
        </w:rPr>
        <w:t>онування. Це обумовить формування автоматизованої структури управління фінансово-господарською діяльністю ВНЗ, що сприятиме економії фінансових ресурсів та максимізації адаптивних можливостей навчального закладу, знизить негативний вплив ризиків. Автома</w:t>
      </w:r>
      <w:r w:rsidR="00197F22">
        <w:rPr>
          <w:rFonts w:ascii="Times New Roman" w:hAnsi="Times New Roman"/>
          <w:sz w:val="21"/>
          <w:szCs w:val="21"/>
        </w:rPr>
        <w:t>-</w:t>
      </w:r>
      <w:r w:rsidRPr="00FD6B50">
        <w:rPr>
          <w:rFonts w:ascii="Times New Roman" w:hAnsi="Times New Roman"/>
          <w:sz w:val="21"/>
          <w:szCs w:val="21"/>
        </w:rPr>
        <w:t xml:space="preserve">тизована інформаційна система управління передбачає постійний </w:t>
      </w:r>
      <w:r w:rsidRPr="00FD6B50">
        <w:rPr>
          <w:rFonts w:ascii="Times New Roman" w:hAnsi="Times New Roman"/>
          <w:sz w:val="21"/>
          <w:szCs w:val="21"/>
        </w:rPr>
        <w:lastRenderedPageBreak/>
        <w:t>вільний доступ для працівників усіх структурних підрозділів до інформації, організацію комунікаційних зв’язків.</w:t>
      </w:r>
    </w:p>
    <w:p w:rsidR="00B20650" w:rsidRPr="00FD6B50" w:rsidRDefault="00B20650" w:rsidP="00B20650">
      <w:pPr>
        <w:ind w:firstLine="709"/>
        <w:jc w:val="both"/>
        <w:rPr>
          <w:rFonts w:ascii="Times New Roman" w:hAnsi="Times New Roman"/>
          <w:sz w:val="21"/>
          <w:szCs w:val="21"/>
        </w:rPr>
      </w:pPr>
      <w:r w:rsidRPr="00FD6B50">
        <w:rPr>
          <w:rFonts w:ascii="Times New Roman" w:hAnsi="Times New Roman"/>
          <w:sz w:val="21"/>
          <w:szCs w:val="21"/>
        </w:rPr>
        <w:t>5). У процесі управління фінансово-господарською діяльністю ВНЗ контрольні заходи проводяться з метою захисту від суб’єктивізму прийняття рішень, узгодження рішень, формування уявлення керівників про реальну фінансову ситуацію, забезпечення деталізації та доступності управлінської звітності. Всі контрольні заходи поділяються на групи:</w:t>
      </w:r>
    </w:p>
    <w:p w:rsidR="00B20650" w:rsidRPr="00FD6B50" w:rsidRDefault="00B20650" w:rsidP="002179DE">
      <w:pPr>
        <w:numPr>
          <w:ilvl w:val="0"/>
          <w:numId w:val="73"/>
        </w:numPr>
        <w:tabs>
          <w:tab w:val="clear" w:pos="1080"/>
          <w:tab w:val="num" w:pos="993"/>
        </w:tabs>
        <w:ind w:left="0" w:firstLine="720"/>
        <w:jc w:val="both"/>
        <w:rPr>
          <w:rFonts w:ascii="Times New Roman" w:hAnsi="Times New Roman"/>
          <w:sz w:val="21"/>
          <w:szCs w:val="21"/>
        </w:rPr>
      </w:pPr>
      <w:r w:rsidRPr="00FD6B50">
        <w:rPr>
          <w:rFonts w:ascii="Times New Roman" w:hAnsi="Times New Roman"/>
          <w:sz w:val="21"/>
          <w:szCs w:val="21"/>
        </w:rPr>
        <w:t>регламентування процедур прийняття відповідних рішень;</w:t>
      </w:r>
    </w:p>
    <w:p w:rsidR="00B20650" w:rsidRPr="00FD6B50" w:rsidRDefault="00B20650" w:rsidP="002179DE">
      <w:pPr>
        <w:numPr>
          <w:ilvl w:val="0"/>
          <w:numId w:val="73"/>
        </w:numPr>
        <w:tabs>
          <w:tab w:val="clear" w:pos="1080"/>
          <w:tab w:val="num" w:pos="993"/>
        </w:tabs>
        <w:ind w:left="0" w:firstLine="720"/>
        <w:jc w:val="both"/>
        <w:rPr>
          <w:rFonts w:ascii="Times New Roman" w:hAnsi="Times New Roman"/>
          <w:sz w:val="21"/>
          <w:szCs w:val="21"/>
        </w:rPr>
      </w:pPr>
      <w:r w:rsidRPr="00FD6B50">
        <w:rPr>
          <w:rFonts w:ascii="Times New Roman" w:hAnsi="Times New Roman"/>
          <w:sz w:val="21"/>
          <w:szCs w:val="21"/>
        </w:rPr>
        <w:t>проведення аналізу за підсумками часового періоду;</w:t>
      </w:r>
    </w:p>
    <w:p w:rsidR="00B20650" w:rsidRPr="00FD6B50" w:rsidRDefault="00B20650" w:rsidP="002179DE">
      <w:pPr>
        <w:numPr>
          <w:ilvl w:val="0"/>
          <w:numId w:val="73"/>
        </w:numPr>
        <w:tabs>
          <w:tab w:val="clear" w:pos="1080"/>
          <w:tab w:val="num" w:pos="993"/>
        </w:tabs>
        <w:ind w:left="0" w:firstLine="720"/>
        <w:jc w:val="both"/>
        <w:rPr>
          <w:rFonts w:ascii="Times New Roman" w:hAnsi="Times New Roman"/>
          <w:sz w:val="21"/>
          <w:szCs w:val="21"/>
        </w:rPr>
      </w:pPr>
      <w:r w:rsidRPr="00FD6B50">
        <w:rPr>
          <w:rFonts w:ascii="Times New Roman" w:hAnsi="Times New Roman"/>
          <w:sz w:val="21"/>
          <w:szCs w:val="21"/>
        </w:rPr>
        <w:t>проведення оперативних перевірок з нагальних питань.</w:t>
      </w:r>
    </w:p>
    <w:p w:rsidR="00B20650" w:rsidRPr="00FD6B50" w:rsidRDefault="00B20650" w:rsidP="00B20650">
      <w:pPr>
        <w:ind w:firstLine="709"/>
        <w:jc w:val="both"/>
        <w:rPr>
          <w:rFonts w:ascii="Times New Roman" w:hAnsi="Times New Roman"/>
          <w:sz w:val="21"/>
          <w:szCs w:val="21"/>
        </w:rPr>
      </w:pPr>
      <w:r w:rsidRPr="00FD6B50">
        <w:rPr>
          <w:rFonts w:ascii="Times New Roman" w:hAnsi="Times New Roman"/>
          <w:sz w:val="21"/>
          <w:szCs w:val="21"/>
        </w:rPr>
        <w:t xml:space="preserve">Одним з методів забезпечення контролю за фінансово-господарською діяльністю є оперативний контроль за окремими </w:t>
      </w:r>
      <w:r w:rsidRPr="00E95ECA">
        <w:rPr>
          <w:rFonts w:ascii="Times New Roman" w:hAnsi="Times New Roman"/>
          <w:sz w:val="21"/>
          <w:szCs w:val="21"/>
        </w:rPr>
        <w:t xml:space="preserve">напрямами діяльності. Він реалізується через складання звіту про стан фінансової діяльності вищого навчального закладу на поточну дату (Додаток </w:t>
      </w:r>
      <w:r w:rsidR="00662748" w:rsidRPr="00E95ECA">
        <w:rPr>
          <w:rFonts w:ascii="Times New Roman" w:hAnsi="Times New Roman"/>
          <w:sz w:val="21"/>
          <w:szCs w:val="21"/>
        </w:rPr>
        <w:t>Б</w:t>
      </w:r>
      <w:r w:rsidRPr="00E95ECA">
        <w:rPr>
          <w:rFonts w:ascii="Times New Roman" w:hAnsi="Times New Roman"/>
          <w:sz w:val="21"/>
          <w:szCs w:val="21"/>
        </w:rPr>
        <w:t>). Даний звіт складається з розділів, у яких згруповані дані, що відображають окремі складові фінансово-господарської діяльності навчального закладу. По кожному показнику ведеться облік змін. Перелік розділів визначається особою, відповідальною за ведення</w:t>
      </w:r>
      <w:r w:rsidRPr="00FD6B50">
        <w:rPr>
          <w:rFonts w:ascii="Times New Roman" w:hAnsi="Times New Roman"/>
          <w:sz w:val="21"/>
          <w:szCs w:val="21"/>
        </w:rPr>
        <w:t xml:space="preserve"> фінансово-господарської діяльності в залежності від значимості даних показників для ВНЗ на даний час. Дані про зміни показників є підставою для втручання керівника в ситуацію та прийняття управлінського рішення. Звіт може включати наступні розділи:</w:t>
      </w:r>
    </w:p>
    <w:p w:rsidR="00B20650" w:rsidRPr="00FD6B50" w:rsidRDefault="00B20650" w:rsidP="00B20650">
      <w:pPr>
        <w:ind w:firstLine="567"/>
        <w:jc w:val="both"/>
        <w:rPr>
          <w:rFonts w:ascii="Times New Roman" w:hAnsi="Times New Roman"/>
          <w:sz w:val="21"/>
          <w:szCs w:val="21"/>
        </w:rPr>
      </w:pPr>
      <w:r w:rsidRPr="00FD6B50">
        <w:rPr>
          <w:rFonts w:ascii="Times New Roman" w:hAnsi="Times New Roman"/>
          <w:sz w:val="21"/>
          <w:szCs w:val="21"/>
        </w:rPr>
        <w:t>1. Залишки коштів на банківських рахунках навчального закладу. В даному розділі надається інформація по кожному розрахунковому рахунку, відкритому в установі Державної казначейської служби або іншої банківської установи: залишок на початок року; надішло на рахунок за період з початку року; знято коштів з рахунку; залишок коштів на звітну дату.</w:t>
      </w:r>
    </w:p>
    <w:p w:rsidR="00B20650" w:rsidRPr="00FD6B50" w:rsidRDefault="00B20650" w:rsidP="00B20650">
      <w:pPr>
        <w:ind w:firstLine="567"/>
        <w:jc w:val="both"/>
        <w:rPr>
          <w:rFonts w:ascii="Times New Roman" w:hAnsi="Times New Roman"/>
          <w:sz w:val="21"/>
          <w:szCs w:val="21"/>
        </w:rPr>
      </w:pPr>
      <w:r w:rsidRPr="00FD6B50">
        <w:rPr>
          <w:rFonts w:ascii="Times New Roman" w:hAnsi="Times New Roman"/>
          <w:sz w:val="21"/>
          <w:szCs w:val="21"/>
        </w:rPr>
        <w:t>2. Стан виконання кошторисів в розрізі програмної класифікації видатків. Даний розділ включає дані про суму коштів по кожному з кодів економічної класифікації видатків (КЕКВ), затверджену по кошторису, стан виконання кошторисів за надходженнями та за видатками.</w:t>
      </w:r>
    </w:p>
    <w:p w:rsidR="00B20650" w:rsidRPr="00FD6B50" w:rsidRDefault="00B20650" w:rsidP="00B20650">
      <w:pPr>
        <w:ind w:firstLine="567"/>
        <w:jc w:val="both"/>
        <w:rPr>
          <w:rFonts w:ascii="Times New Roman" w:hAnsi="Times New Roman"/>
          <w:sz w:val="21"/>
          <w:szCs w:val="21"/>
        </w:rPr>
      </w:pPr>
      <w:r w:rsidRPr="00FD6B50">
        <w:rPr>
          <w:rFonts w:ascii="Times New Roman" w:hAnsi="Times New Roman"/>
          <w:sz w:val="21"/>
          <w:szCs w:val="21"/>
        </w:rPr>
        <w:t xml:space="preserve">3. Стан використання лімітів на відрядження по кожному структурному підрозділу (фонду, темі НДР) передбачає відображення визначених на рік лімітів для кожного структурного </w:t>
      </w:r>
      <w:r w:rsidRPr="00FD6B50">
        <w:rPr>
          <w:rFonts w:ascii="Times New Roman" w:hAnsi="Times New Roman"/>
          <w:sz w:val="21"/>
          <w:szCs w:val="21"/>
        </w:rPr>
        <w:lastRenderedPageBreak/>
        <w:t>підрозділу; видатки з початку року; залишок коштів за даним напрямком видатків на звітну дату; кошти, отримані у поточному семестрі; суму боргу або попередньої оплати на звітну дату.</w:t>
      </w:r>
    </w:p>
    <w:p w:rsidR="00B20650" w:rsidRPr="00FD6B50" w:rsidRDefault="00B20650" w:rsidP="00B20650">
      <w:pPr>
        <w:ind w:firstLine="567"/>
        <w:jc w:val="both"/>
        <w:rPr>
          <w:rFonts w:ascii="Times New Roman" w:hAnsi="Times New Roman"/>
          <w:sz w:val="21"/>
          <w:szCs w:val="21"/>
        </w:rPr>
      </w:pPr>
      <w:r w:rsidRPr="00FD6B50">
        <w:rPr>
          <w:rFonts w:ascii="Times New Roman" w:hAnsi="Times New Roman"/>
          <w:sz w:val="21"/>
          <w:szCs w:val="21"/>
        </w:rPr>
        <w:t>4. Стан розрахунків за проживання в гуртожитках університету. В даному розділі відображається сума боргу або переплати від проживаючих; суму боргу або переплати відділу субсидій.</w:t>
      </w:r>
    </w:p>
    <w:p w:rsidR="00B20650" w:rsidRPr="00FD6B50" w:rsidRDefault="00B20650" w:rsidP="00B20650">
      <w:pPr>
        <w:spacing w:line="230" w:lineRule="auto"/>
        <w:ind w:firstLine="567"/>
        <w:jc w:val="both"/>
        <w:rPr>
          <w:rFonts w:ascii="Times New Roman" w:hAnsi="Times New Roman"/>
          <w:sz w:val="21"/>
          <w:szCs w:val="21"/>
        </w:rPr>
      </w:pPr>
      <w:r w:rsidRPr="00FD6B50">
        <w:rPr>
          <w:rFonts w:ascii="Times New Roman" w:hAnsi="Times New Roman"/>
          <w:sz w:val="21"/>
          <w:szCs w:val="21"/>
        </w:rPr>
        <w:t>5. Стан розрахунків з постачальниками університету: дебіторська або кредиторська заборгованість по розрахунках з постачальниками.</w:t>
      </w:r>
    </w:p>
    <w:p w:rsidR="00B20650" w:rsidRPr="00FD6B50" w:rsidRDefault="00B20650" w:rsidP="00B20650">
      <w:pPr>
        <w:spacing w:line="230" w:lineRule="auto"/>
        <w:ind w:firstLine="567"/>
        <w:jc w:val="both"/>
        <w:rPr>
          <w:rFonts w:ascii="Times New Roman" w:hAnsi="Times New Roman"/>
          <w:sz w:val="21"/>
          <w:szCs w:val="21"/>
        </w:rPr>
      </w:pPr>
      <w:r w:rsidRPr="00FD6B50">
        <w:rPr>
          <w:rFonts w:ascii="Times New Roman" w:hAnsi="Times New Roman"/>
          <w:sz w:val="21"/>
          <w:szCs w:val="21"/>
        </w:rPr>
        <w:t>6. Списки осіб, які не відзвітували за отримані довіреності станом на звітну дату із зазначенням серії та номера довіреності; назви організації; суми; номера та дати виписки прибуткової накладної.</w:t>
      </w:r>
    </w:p>
    <w:p w:rsidR="00B20650" w:rsidRPr="00FD6B50" w:rsidRDefault="00B20650" w:rsidP="00B20650">
      <w:pPr>
        <w:spacing w:line="230" w:lineRule="auto"/>
        <w:ind w:firstLine="567"/>
        <w:jc w:val="both"/>
        <w:rPr>
          <w:rFonts w:ascii="Times New Roman" w:hAnsi="Times New Roman"/>
          <w:sz w:val="21"/>
          <w:szCs w:val="21"/>
        </w:rPr>
      </w:pPr>
      <w:r w:rsidRPr="00FD6B50">
        <w:rPr>
          <w:rFonts w:ascii="Times New Roman" w:hAnsi="Times New Roman"/>
          <w:sz w:val="21"/>
          <w:szCs w:val="21"/>
        </w:rPr>
        <w:t>7. Стан розрахунків за отримані підзвітні суми: вказується прізвище, посада, підрозділ співробітника; сума неоплачених прийнятих авансових звітів.</w:t>
      </w:r>
    </w:p>
    <w:p w:rsidR="00B20650" w:rsidRPr="00FD6B50" w:rsidRDefault="00B20650" w:rsidP="00B20650">
      <w:pPr>
        <w:spacing w:line="230" w:lineRule="auto"/>
        <w:ind w:firstLine="567"/>
        <w:jc w:val="both"/>
        <w:rPr>
          <w:rFonts w:ascii="Times New Roman" w:hAnsi="Times New Roman"/>
          <w:sz w:val="21"/>
          <w:szCs w:val="21"/>
        </w:rPr>
      </w:pPr>
      <w:r w:rsidRPr="00FD6B50">
        <w:rPr>
          <w:rFonts w:ascii="Times New Roman" w:hAnsi="Times New Roman"/>
          <w:sz w:val="21"/>
          <w:szCs w:val="21"/>
        </w:rPr>
        <w:t>8. Стан розрахунків за орендовані об’єкти навчального закладу із зазначенням назви об’єкта та орендаря; суми дебіторської (кредиторської) заборгованості.</w:t>
      </w:r>
    </w:p>
    <w:p w:rsidR="00B20650" w:rsidRPr="00FD6B50" w:rsidRDefault="00B20650" w:rsidP="00B20650">
      <w:pPr>
        <w:spacing w:line="230" w:lineRule="auto"/>
        <w:ind w:firstLine="567"/>
        <w:jc w:val="both"/>
        <w:rPr>
          <w:rFonts w:ascii="Times New Roman" w:hAnsi="Times New Roman"/>
          <w:sz w:val="21"/>
          <w:szCs w:val="21"/>
        </w:rPr>
      </w:pPr>
      <w:r w:rsidRPr="00FD6B50">
        <w:rPr>
          <w:rFonts w:ascii="Times New Roman" w:hAnsi="Times New Roman"/>
          <w:sz w:val="21"/>
          <w:szCs w:val="21"/>
        </w:rPr>
        <w:t>9. Наявність матеріальних запасів та їх використання. В даному розділі розкривається інформація по групах матеріальних запасів про наявність матеріальних запасів (на складі та в підрозділах) та списані матеріальні запаси.</w:t>
      </w:r>
    </w:p>
    <w:p w:rsidR="00B20650" w:rsidRPr="00FD6B50" w:rsidRDefault="00B20650" w:rsidP="00B20650">
      <w:pPr>
        <w:spacing w:line="230" w:lineRule="auto"/>
        <w:ind w:firstLine="567"/>
        <w:jc w:val="both"/>
        <w:rPr>
          <w:rFonts w:ascii="Times New Roman" w:hAnsi="Times New Roman"/>
          <w:sz w:val="21"/>
          <w:szCs w:val="21"/>
        </w:rPr>
      </w:pPr>
      <w:r w:rsidRPr="00FD6B50">
        <w:rPr>
          <w:rFonts w:ascii="Times New Roman" w:hAnsi="Times New Roman"/>
          <w:sz w:val="21"/>
          <w:szCs w:val="21"/>
        </w:rPr>
        <w:t>10. Стан використання наявних площ. В даному розділі наводяться дані про навні площі, що використовуються у навчальному процесі та передані орендарям. Така інформація надає можливість відслідкувати тимчасово вільні площі, що не використовуються в навчальному процесі з метою прийняття рішення про їх передачу в оренду.</w:t>
      </w:r>
    </w:p>
    <w:p w:rsidR="00B20650" w:rsidRPr="00FD6B50" w:rsidRDefault="00B20650" w:rsidP="00B20650">
      <w:pPr>
        <w:spacing w:line="230" w:lineRule="auto"/>
        <w:ind w:firstLine="709"/>
        <w:jc w:val="both"/>
        <w:rPr>
          <w:rFonts w:ascii="Times New Roman" w:hAnsi="Times New Roman"/>
          <w:sz w:val="21"/>
          <w:szCs w:val="21"/>
        </w:rPr>
      </w:pPr>
      <w:r w:rsidRPr="00FD6B50">
        <w:rPr>
          <w:rFonts w:ascii="Times New Roman" w:hAnsi="Times New Roman"/>
          <w:sz w:val="21"/>
          <w:szCs w:val="21"/>
        </w:rPr>
        <w:t xml:space="preserve">Наведена структура звіту відображає показники фінансово-господарської діяльності ВНЗ, що дозволяє проводити оцінку попередньо прийнятих рішень на результати діяльності, виявляти відхилення у кожній окремій складовій діяльності навчального закладу та оперативно реагувати.  </w:t>
      </w:r>
    </w:p>
    <w:p w:rsidR="00197F22" w:rsidRDefault="00B20650" w:rsidP="00197F22">
      <w:pPr>
        <w:tabs>
          <w:tab w:val="left" w:pos="0"/>
          <w:tab w:val="left" w:pos="180"/>
          <w:tab w:val="left" w:pos="993"/>
          <w:tab w:val="left" w:pos="1134"/>
        </w:tabs>
        <w:ind w:firstLine="709"/>
        <w:jc w:val="both"/>
        <w:rPr>
          <w:rFonts w:ascii="Times New Roman" w:hAnsi="Times New Roman" w:cs="Times New Roman"/>
          <w:sz w:val="21"/>
          <w:szCs w:val="21"/>
        </w:rPr>
      </w:pPr>
      <w:r w:rsidRPr="00FD6B50">
        <w:rPr>
          <w:rFonts w:ascii="Times New Roman" w:hAnsi="Times New Roman"/>
          <w:sz w:val="21"/>
          <w:szCs w:val="21"/>
        </w:rPr>
        <w:t xml:space="preserve">Узагальнюючи викладене, пропонуємо представити механізм управління фінансово-господарською діяльністю ВНЗ </w:t>
      </w:r>
      <w:r>
        <w:rPr>
          <w:rFonts w:ascii="Times New Roman" w:hAnsi="Times New Roman"/>
          <w:sz w:val="21"/>
          <w:szCs w:val="21"/>
        </w:rPr>
        <w:t>у такому вигляді (</w:t>
      </w:r>
      <w:r w:rsidRPr="00FD6B50">
        <w:rPr>
          <w:rFonts w:ascii="Times New Roman" w:hAnsi="Times New Roman"/>
          <w:sz w:val="21"/>
          <w:szCs w:val="21"/>
        </w:rPr>
        <w:t xml:space="preserve">рис. </w:t>
      </w:r>
      <w:r w:rsidR="003658FB">
        <w:rPr>
          <w:rFonts w:ascii="Times New Roman" w:hAnsi="Times New Roman"/>
          <w:sz w:val="21"/>
          <w:szCs w:val="21"/>
        </w:rPr>
        <w:t>7</w:t>
      </w:r>
      <w:r w:rsidRPr="00FD6B50">
        <w:rPr>
          <w:rFonts w:ascii="Times New Roman" w:hAnsi="Times New Roman"/>
          <w:sz w:val="21"/>
          <w:szCs w:val="21"/>
        </w:rPr>
        <w:t xml:space="preserve">.4). </w:t>
      </w: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sectPr w:rsidR="00662748" w:rsidSect="0023489B">
          <w:pgSz w:w="8392" w:h="11907" w:code="11"/>
          <w:pgMar w:top="1134" w:right="1134" w:bottom="1134" w:left="1134" w:header="709" w:footer="709" w:gutter="0"/>
          <w:cols w:space="708"/>
          <w:docGrid w:linePitch="360"/>
        </w:sectPr>
      </w:pPr>
    </w:p>
    <w:p w:rsidR="00662748" w:rsidRDefault="00662748" w:rsidP="00662748">
      <w:pPr>
        <w:tabs>
          <w:tab w:val="left" w:pos="0"/>
          <w:tab w:val="left" w:pos="180"/>
          <w:tab w:val="left" w:pos="993"/>
          <w:tab w:val="left" w:pos="1134"/>
        </w:tabs>
        <w:ind w:firstLine="709"/>
        <w:jc w:val="both"/>
        <w:rPr>
          <w:rFonts w:ascii="Times New Roman" w:hAnsi="Times New Roman" w:cs="Times New Roman"/>
          <w:sz w:val="21"/>
          <w:szCs w:val="21"/>
        </w:rPr>
      </w:pPr>
      <w:r>
        <w:rPr>
          <w:rFonts w:ascii="Times New Roman" w:hAnsi="Times New Roman"/>
          <w:noProof/>
          <w:sz w:val="21"/>
          <w:szCs w:val="21"/>
          <w:lang w:val="ru-RU" w:eastAsia="ru-RU"/>
        </w:rPr>
        <w:lastRenderedPageBreak/>
        <mc:AlternateContent>
          <mc:Choice Requires="wpg">
            <w:drawing>
              <wp:anchor distT="0" distB="0" distL="114300" distR="114300" simplePos="0" relativeHeight="251743232" behindDoc="0" locked="0" layoutInCell="1" allowOverlap="1" wp14:anchorId="3303FD0A" wp14:editId="3B0F3DD4">
                <wp:simplePos x="0" y="0"/>
                <wp:positionH relativeFrom="column">
                  <wp:posOffset>60960</wp:posOffset>
                </wp:positionH>
                <wp:positionV relativeFrom="paragraph">
                  <wp:posOffset>-81915</wp:posOffset>
                </wp:positionV>
                <wp:extent cx="5989173" cy="3546449"/>
                <wp:effectExtent l="0" t="0" r="12065" b="35560"/>
                <wp:wrapNone/>
                <wp:docPr id="2071" name="Group 9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9173" cy="3546449"/>
                          <a:chOff x="683" y="1080"/>
                          <a:chExt cx="15185" cy="9181"/>
                        </a:xfrm>
                      </wpg:grpSpPr>
                      <wps:wsp>
                        <wps:cNvPr id="2072" name="Text Box 513"/>
                        <wps:cNvSpPr txBox="1">
                          <a:spLocks noChangeArrowheads="1"/>
                        </wps:cNvSpPr>
                        <wps:spPr bwMode="auto">
                          <a:xfrm>
                            <a:off x="4245" y="1080"/>
                            <a:ext cx="8163" cy="356"/>
                          </a:xfrm>
                          <a:prstGeom prst="rect">
                            <a:avLst/>
                          </a:prstGeom>
                          <a:solidFill>
                            <a:srgbClr val="FFFFFF"/>
                          </a:solidFill>
                          <a:ln w="9525">
                            <a:solidFill>
                              <a:srgbClr val="000000"/>
                            </a:solidFill>
                            <a:miter lim="800000"/>
                            <a:headEnd/>
                            <a:tailEnd/>
                          </a:ln>
                        </wps:spPr>
                        <wps:txbx>
                          <w:txbxContent>
                            <w:p w:rsidR="00BE40F8" w:rsidRPr="00637B56" w:rsidRDefault="00BE40F8" w:rsidP="00662748">
                              <w:pPr>
                                <w:spacing w:line="192" w:lineRule="auto"/>
                                <w:jc w:val="center"/>
                                <w:rPr>
                                  <w:rFonts w:ascii="Times New Roman" w:hAnsi="Times New Roman" w:cs="Times New Roman"/>
                                  <w:b/>
                                  <w:bCs/>
                                  <w:sz w:val="14"/>
                                  <w:szCs w:val="14"/>
                                </w:rPr>
                              </w:pPr>
                              <w:r w:rsidRPr="00637B56">
                                <w:rPr>
                                  <w:rFonts w:ascii="Times New Roman" w:hAnsi="Times New Roman" w:cs="Times New Roman"/>
                                  <w:b/>
                                  <w:bCs/>
                                  <w:sz w:val="14"/>
                                  <w:szCs w:val="14"/>
                                </w:rPr>
                                <w:t>Механізм управління фінансово-господарською діяльністю ВНЗ</w:t>
                              </w:r>
                            </w:p>
                          </w:txbxContent>
                        </wps:txbx>
                        <wps:bodyPr rot="0" vert="horz" wrap="square" lIns="0" tIns="0" rIns="0" bIns="0" anchor="t" anchorCtr="0" upright="1">
                          <a:noAutofit/>
                        </wps:bodyPr>
                      </wps:wsp>
                      <wps:wsp>
                        <wps:cNvPr id="2073" name="Text Box 514"/>
                        <wps:cNvSpPr txBox="1">
                          <a:spLocks noChangeArrowheads="1"/>
                        </wps:cNvSpPr>
                        <wps:spPr bwMode="auto">
                          <a:xfrm>
                            <a:off x="1929" y="1614"/>
                            <a:ext cx="13176" cy="2346"/>
                          </a:xfrm>
                          <a:prstGeom prst="rect">
                            <a:avLst/>
                          </a:prstGeom>
                          <a:solidFill>
                            <a:srgbClr val="FFFFFF"/>
                          </a:solidFill>
                          <a:ln w="19050">
                            <a:solidFill>
                              <a:srgbClr val="000000"/>
                            </a:solidFill>
                            <a:miter lim="800000"/>
                            <a:headEnd/>
                            <a:tailEnd/>
                          </a:ln>
                        </wps:spPr>
                        <wps:txbx>
                          <w:txbxContent>
                            <w:p w:rsidR="00BE40F8" w:rsidRPr="00637B56" w:rsidRDefault="00BE40F8" w:rsidP="00662748">
                              <w:pPr>
                                <w:spacing w:line="192" w:lineRule="auto"/>
                                <w:jc w:val="center"/>
                                <w:rPr>
                                  <w:rFonts w:ascii="Times New Roman" w:hAnsi="Times New Roman" w:cs="Times New Roman"/>
                                  <w:b/>
                                  <w:bCs/>
                                  <w:i/>
                                  <w:iCs/>
                                  <w:sz w:val="14"/>
                                  <w:szCs w:val="14"/>
                                </w:rPr>
                              </w:pPr>
                              <w:r w:rsidRPr="00637B56">
                                <w:rPr>
                                  <w:rFonts w:ascii="Times New Roman" w:hAnsi="Times New Roman" w:cs="Times New Roman"/>
                                  <w:b/>
                                  <w:bCs/>
                                  <w:i/>
                                  <w:iCs/>
                                  <w:sz w:val="14"/>
                                  <w:szCs w:val="14"/>
                                </w:rPr>
                                <w:t>Формування механізму управління фінансово-господарською діяльністю вищого навчального закладу</w:t>
                              </w:r>
                            </w:p>
                          </w:txbxContent>
                        </wps:txbx>
                        <wps:bodyPr rot="0" vert="horz" wrap="square" lIns="91440" tIns="45720" rIns="91440" bIns="45720" anchor="t" anchorCtr="0" upright="1">
                          <a:noAutofit/>
                        </wps:bodyPr>
                      </wps:wsp>
                      <wps:wsp>
                        <wps:cNvPr id="2074" name="Text Box 515"/>
                        <wps:cNvSpPr txBox="1">
                          <a:spLocks noChangeArrowheads="1"/>
                        </wps:cNvSpPr>
                        <wps:spPr bwMode="auto">
                          <a:xfrm>
                            <a:off x="2123" y="3497"/>
                            <a:ext cx="1980" cy="463"/>
                          </a:xfrm>
                          <a:prstGeom prst="rect">
                            <a:avLst/>
                          </a:prstGeom>
                          <a:solidFill>
                            <a:srgbClr val="FFFFFF"/>
                          </a:solidFill>
                          <a:ln w="9525">
                            <a:solidFill>
                              <a:srgbClr val="000000"/>
                            </a:solidFill>
                            <a:miter lim="800000"/>
                            <a:headEnd/>
                            <a:tailEnd/>
                          </a:ln>
                        </wps:spPr>
                        <wps:txbx>
                          <w:txbxContent>
                            <w:p w:rsidR="00BE40F8" w:rsidRPr="00637B56" w:rsidRDefault="00BE40F8" w:rsidP="00815BE1">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Принципи реалізації:</w:t>
                              </w:r>
                            </w:p>
                            <w:p w:rsidR="00BE40F8" w:rsidRPr="00637B56" w:rsidRDefault="00BE40F8" w:rsidP="00662748">
                              <w:pPr>
                                <w:rPr>
                                  <w:rFonts w:ascii="Times New Roman" w:hAnsi="Times New Roman" w:cs="Times New Roman"/>
                                  <w:sz w:val="14"/>
                                  <w:szCs w:val="14"/>
                                </w:rPr>
                              </w:pPr>
                            </w:p>
                          </w:txbxContent>
                        </wps:txbx>
                        <wps:bodyPr rot="0" vert="horz" wrap="square" lIns="0" tIns="0" rIns="0" bIns="0" anchor="t" anchorCtr="0" upright="1">
                          <a:noAutofit/>
                        </wps:bodyPr>
                      </wps:wsp>
                      <wps:wsp>
                        <wps:cNvPr id="2075" name="Text Box 517"/>
                        <wps:cNvSpPr txBox="1">
                          <a:spLocks noChangeArrowheads="1"/>
                        </wps:cNvSpPr>
                        <wps:spPr bwMode="auto">
                          <a:xfrm>
                            <a:off x="15283" y="1614"/>
                            <a:ext cx="585" cy="7926"/>
                          </a:xfrm>
                          <a:prstGeom prst="rect">
                            <a:avLst/>
                          </a:prstGeom>
                          <a:solidFill>
                            <a:srgbClr val="FFFFFF"/>
                          </a:solidFill>
                          <a:ln w="9525">
                            <a:solidFill>
                              <a:srgbClr val="000000"/>
                            </a:solidFill>
                            <a:miter lim="800000"/>
                            <a:headEnd/>
                            <a:tailEnd/>
                          </a:ln>
                        </wps:spPr>
                        <wps:txbx>
                          <w:txbxContent>
                            <w:p w:rsidR="00BE40F8" w:rsidRPr="00637B56" w:rsidRDefault="00BE40F8" w:rsidP="00662748">
                              <w:pPr>
                                <w:spacing w:line="192" w:lineRule="auto"/>
                                <w:jc w:val="center"/>
                                <w:rPr>
                                  <w:rFonts w:ascii="Times New Roman" w:hAnsi="Times New Roman" w:cs="Times New Roman"/>
                                  <w:b/>
                                  <w:bCs/>
                                  <w:sz w:val="14"/>
                                  <w:szCs w:val="14"/>
                                </w:rPr>
                              </w:pPr>
                              <w:r w:rsidRPr="00637B56">
                                <w:rPr>
                                  <w:rFonts w:ascii="Times New Roman" w:hAnsi="Times New Roman" w:cs="Times New Roman"/>
                                  <w:b/>
                                  <w:bCs/>
                                  <w:sz w:val="14"/>
                                  <w:szCs w:val="14"/>
                                </w:rPr>
                                <w:t>Вплив внутрішнього середовища вищого навчального закладу</w:t>
                              </w:r>
                            </w:p>
                          </w:txbxContent>
                        </wps:txbx>
                        <wps:bodyPr rot="0" vert="vert270" wrap="square" lIns="0" tIns="0" rIns="0" bIns="0" anchor="t" anchorCtr="0" upright="1">
                          <a:noAutofit/>
                        </wps:bodyPr>
                      </wps:wsp>
                      <wps:wsp>
                        <wps:cNvPr id="2076" name="Text Box 518"/>
                        <wps:cNvSpPr txBox="1">
                          <a:spLocks noChangeArrowheads="1"/>
                        </wps:cNvSpPr>
                        <wps:spPr bwMode="auto">
                          <a:xfrm>
                            <a:off x="4103" y="3497"/>
                            <a:ext cx="1980" cy="463"/>
                          </a:xfrm>
                          <a:prstGeom prst="rect">
                            <a:avLst/>
                          </a:prstGeom>
                          <a:solidFill>
                            <a:srgbClr val="FFFFFF"/>
                          </a:solidFill>
                          <a:ln w="9525">
                            <a:solidFill>
                              <a:srgbClr val="000000"/>
                            </a:solidFill>
                            <a:miter lim="800000"/>
                            <a:headEnd/>
                            <a:tailEnd/>
                          </a:ln>
                        </wps:spPr>
                        <wps:txbx>
                          <w:txbxContent>
                            <w:p w:rsidR="00BE40F8" w:rsidRDefault="00BE40F8" w:rsidP="00815BE1">
                              <w:pPr>
                                <w:spacing w:line="228"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 xml:space="preserve">Взаємодії </w:t>
                              </w:r>
                            </w:p>
                            <w:p w:rsidR="00BE40F8" w:rsidRPr="00637B56" w:rsidRDefault="00BE40F8" w:rsidP="00815BE1">
                              <w:pPr>
                                <w:spacing w:line="228"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елементів</w:t>
                              </w:r>
                            </w:p>
                          </w:txbxContent>
                        </wps:txbx>
                        <wps:bodyPr rot="0" vert="horz" wrap="square" lIns="0" tIns="0" rIns="0" bIns="0" anchor="t" anchorCtr="0" upright="1">
                          <a:noAutofit/>
                        </wps:bodyPr>
                      </wps:wsp>
                      <wps:wsp>
                        <wps:cNvPr id="2077" name="Text Box 519"/>
                        <wps:cNvSpPr txBox="1">
                          <a:spLocks noChangeArrowheads="1"/>
                        </wps:cNvSpPr>
                        <wps:spPr bwMode="auto">
                          <a:xfrm>
                            <a:off x="8783" y="3600"/>
                            <a:ext cx="1440" cy="360"/>
                          </a:xfrm>
                          <a:prstGeom prst="rect">
                            <a:avLst/>
                          </a:prstGeom>
                          <a:solidFill>
                            <a:srgbClr val="FFFFFF"/>
                          </a:solidFill>
                          <a:ln w="9525">
                            <a:solidFill>
                              <a:srgbClr val="000000"/>
                            </a:solidFill>
                            <a:miter lim="800000"/>
                            <a:headEnd/>
                            <a:tailEnd/>
                          </a:ln>
                        </wps:spPr>
                        <wps:txbx>
                          <w:txbxContent>
                            <w:p w:rsidR="00BE40F8" w:rsidRPr="00637B56" w:rsidRDefault="00BE40F8" w:rsidP="00815BE1">
                              <w:pPr>
                                <w:spacing w:line="192" w:lineRule="auto"/>
                                <w:ind w:firstLine="0"/>
                                <w:jc w:val="center"/>
                                <w:rPr>
                                  <w:rFonts w:ascii="Times New Roman" w:hAnsi="Times New Roman" w:cs="Times New Roman"/>
                                  <w:spacing w:val="-6"/>
                                  <w:kern w:val="14"/>
                                  <w:sz w:val="14"/>
                                  <w:szCs w:val="14"/>
                                </w:rPr>
                              </w:pPr>
                              <w:r w:rsidRPr="00637B56">
                                <w:rPr>
                                  <w:rFonts w:ascii="Times New Roman" w:hAnsi="Times New Roman" w:cs="Times New Roman"/>
                                  <w:spacing w:val="-6"/>
                                  <w:kern w:val="14"/>
                                  <w:sz w:val="14"/>
                                  <w:szCs w:val="14"/>
                                </w:rPr>
                                <w:t>Економічності</w:t>
                              </w:r>
                            </w:p>
                            <w:p w:rsidR="00BE40F8" w:rsidRPr="00637B56" w:rsidRDefault="00BE40F8" w:rsidP="00662748">
                              <w:pPr>
                                <w:rPr>
                                  <w:rFonts w:ascii="Times New Roman" w:hAnsi="Times New Roman" w:cs="Times New Roman"/>
                                  <w:sz w:val="14"/>
                                  <w:szCs w:val="14"/>
                                </w:rPr>
                              </w:pPr>
                            </w:p>
                          </w:txbxContent>
                        </wps:txbx>
                        <wps:bodyPr rot="0" vert="horz" wrap="square" lIns="0" tIns="0" rIns="0" bIns="0" anchor="t" anchorCtr="0" upright="1">
                          <a:noAutofit/>
                        </wps:bodyPr>
                      </wps:wsp>
                      <wps:wsp>
                        <wps:cNvPr id="2078" name="Text Box 520"/>
                        <wps:cNvSpPr txBox="1">
                          <a:spLocks noChangeArrowheads="1"/>
                        </wps:cNvSpPr>
                        <wps:spPr bwMode="auto">
                          <a:xfrm>
                            <a:off x="7703" y="3600"/>
                            <a:ext cx="1080" cy="360"/>
                          </a:xfrm>
                          <a:prstGeom prst="rect">
                            <a:avLst/>
                          </a:prstGeom>
                          <a:solidFill>
                            <a:srgbClr val="FFFFFF"/>
                          </a:solidFill>
                          <a:ln w="9525">
                            <a:solidFill>
                              <a:srgbClr val="000000"/>
                            </a:solidFill>
                            <a:miter lim="800000"/>
                            <a:headEnd/>
                            <a:tailEnd/>
                          </a:ln>
                        </wps:spPr>
                        <wps:txbx>
                          <w:txbxContent>
                            <w:p w:rsidR="00BE40F8" w:rsidRPr="00637B56" w:rsidRDefault="00BE40F8" w:rsidP="00815BE1">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Стійкості</w:t>
                              </w:r>
                            </w:p>
                            <w:p w:rsidR="00BE40F8" w:rsidRPr="00637B56" w:rsidRDefault="00BE40F8" w:rsidP="00662748">
                              <w:pPr>
                                <w:rPr>
                                  <w:rFonts w:ascii="Times New Roman" w:hAnsi="Times New Roman" w:cs="Times New Roman"/>
                                  <w:sz w:val="14"/>
                                  <w:szCs w:val="14"/>
                                </w:rPr>
                              </w:pPr>
                            </w:p>
                          </w:txbxContent>
                        </wps:txbx>
                        <wps:bodyPr rot="0" vert="horz" wrap="square" lIns="0" tIns="0" rIns="0" bIns="0" anchor="t" anchorCtr="0" upright="1">
                          <a:noAutofit/>
                        </wps:bodyPr>
                      </wps:wsp>
                      <wps:wsp>
                        <wps:cNvPr id="2079" name="Text Box 521"/>
                        <wps:cNvSpPr txBox="1">
                          <a:spLocks noChangeArrowheads="1"/>
                        </wps:cNvSpPr>
                        <wps:spPr bwMode="auto">
                          <a:xfrm>
                            <a:off x="10223" y="3600"/>
                            <a:ext cx="1620" cy="360"/>
                          </a:xfrm>
                          <a:prstGeom prst="rect">
                            <a:avLst/>
                          </a:prstGeom>
                          <a:solidFill>
                            <a:srgbClr val="FFFFFF"/>
                          </a:solidFill>
                          <a:ln w="9525">
                            <a:solidFill>
                              <a:srgbClr val="000000"/>
                            </a:solidFill>
                            <a:miter lim="800000"/>
                            <a:headEnd/>
                            <a:tailEnd/>
                          </a:ln>
                        </wps:spPr>
                        <wps:txbx>
                          <w:txbxContent>
                            <w:p w:rsidR="00BE40F8" w:rsidRPr="00637B56" w:rsidRDefault="00BE40F8" w:rsidP="00815BE1">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Комплексності</w:t>
                              </w:r>
                            </w:p>
                            <w:p w:rsidR="00BE40F8" w:rsidRPr="00637B56" w:rsidRDefault="00BE40F8" w:rsidP="00662748">
                              <w:pPr>
                                <w:spacing w:line="192" w:lineRule="auto"/>
                                <w:ind w:firstLine="522"/>
                                <w:rPr>
                                  <w:rFonts w:ascii="Times New Roman" w:hAnsi="Times New Roman" w:cs="Times New Roman"/>
                                  <w:sz w:val="14"/>
                                  <w:szCs w:val="14"/>
                                </w:rPr>
                              </w:pPr>
                            </w:p>
                          </w:txbxContent>
                        </wps:txbx>
                        <wps:bodyPr rot="0" vert="horz" wrap="square" lIns="0" tIns="0" rIns="0" bIns="0" anchor="t" anchorCtr="0" upright="1">
                          <a:noAutofit/>
                        </wps:bodyPr>
                      </wps:wsp>
                      <wps:wsp>
                        <wps:cNvPr id="2080" name="Text Box 522"/>
                        <wps:cNvSpPr txBox="1">
                          <a:spLocks noChangeArrowheads="1"/>
                        </wps:cNvSpPr>
                        <wps:spPr bwMode="auto">
                          <a:xfrm>
                            <a:off x="11843" y="3600"/>
                            <a:ext cx="1620" cy="360"/>
                          </a:xfrm>
                          <a:prstGeom prst="rect">
                            <a:avLst/>
                          </a:prstGeom>
                          <a:solidFill>
                            <a:srgbClr val="FFFFFF"/>
                          </a:solidFill>
                          <a:ln w="9525">
                            <a:solidFill>
                              <a:srgbClr val="000000"/>
                            </a:solidFill>
                            <a:miter lim="800000"/>
                            <a:headEnd/>
                            <a:tailEnd/>
                          </a:ln>
                        </wps:spPr>
                        <wps:txbx>
                          <w:txbxContent>
                            <w:p w:rsidR="00BE40F8" w:rsidRPr="00637B56" w:rsidRDefault="00BE40F8" w:rsidP="00815BE1">
                              <w:pPr>
                                <w:spacing w:line="192" w:lineRule="auto"/>
                                <w:ind w:firstLine="0"/>
                                <w:jc w:val="center"/>
                                <w:rPr>
                                  <w:rFonts w:ascii="Times New Roman" w:hAnsi="Times New Roman" w:cs="Times New Roman"/>
                                  <w:spacing w:val="-4"/>
                                  <w:sz w:val="14"/>
                                  <w:szCs w:val="14"/>
                                </w:rPr>
                              </w:pPr>
                              <w:r w:rsidRPr="00637B56">
                                <w:rPr>
                                  <w:rFonts w:ascii="Times New Roman" w:hAnsi="Times New Roman" w:cs="Times New Roman"/>
                                  <w:spacing w:val="-4"/>
                                  <w:sz w:val="14"/>
                                  <w:szCs w:val="14"/>
                                </w:rPr>
                                <w:t>Перспективності</w:t>
                              </w:r>
                            </w:p>
                            <w:p w:rsidR="00BE40F8" w:rsidRPr="00637B56" w:rsidRDefault="00BE40F8" w:rsidP="00662748">
                              <w:pPr>
                                <w:rPr>
                                  <w:rFonts w:ascii="Times New Roman" w:hAnsi="Times New Roman" w:cs="Times New Roman"/>
                                  <w:sz w:val="14"/>
                                  <w:szCs w:val="14"/>
                                </w:rPr>
                              </w:pPr>
                            </w:p>
                          </w:txbxContent>
                        </wps:txbx>
                        <wps:bodyPr rot="0" vert="horz" wrap="square" lIns="0" tIns="0" rIns="0" bIns="0" anchor="t" anchorCtr="0" upright="1">
                          <a:noAutofit/>
                        </wps:bodyPr>
                      </wps:wsp>
                      <wps:wsp>
                        <wps:cNvPr id="2081" name="Text Box 523"/>
                        <wps:cNvSpPr txBox="1">
                          <a:spLocks noChangeArrowheads="1"/>
                        </wps:cNvSpPr>
                        <wps:spPr bwMode="auto">
                          <a:xfrm>
                            <a:off x="13463" y="3600"/>
                            <a:ext cx="1642" cy="360"/>
                          </a:xfrm>
                          <a:prstGeom prst="rect">
                            <a:avLst/>
                          </a:prstGeom>
                          <a:solidFill>
                            <a:srgbClr val="FFFFFF"/>
                          </a:solidFill>
                          <a:ln w="9525">
                            <a:solidFill>
                              <a:srgbClr val="000000"/>
                            </a:solidFill>
                            <a:miter lim="800000"/>
                            <a:headEnd/>
                            <a:tailEnd/>
                          </a:ln>
                        </wps:spPr>
                        <wps:txbx>
                          <w:txbxContent>
                            <w:p w:rsidR="00BE40F8" w:rsidRPr="00637B56" w:rsidRDefault="00BE40F8" w:rsidP="00815BE1">
                              <w:pPr>
                                <w:spacing w:line="199" w:lineRule="auto"/>
                                <w:ind w:firstLine="0"/>
                                <w:rPr>
                                  <w:rFonts w:ascii="Times New Roman" w:hAnsi="Times New Roman" w:cs="Times New Roman"/>
                                  <w:sz w:val="14"/>
                                  <w:szCs w:val="14"/>
                                </w:rPr>
                              </w:pPr>
                              <w:r w:rsidRPr="00637B56">
                                <w:rPr>
                                  <w:rFonts w:ascii="Times New Roman" w:hAnsi="Times New Roman" w:cs="Times New Roman"/>
                                  <w:sz w:val="14"/>
                                  <w:szCs w:val="14"/>
                                </w:rPr>
                                <w:t>Оптимальності</w:t>
                              </w:r>
                            </w:p>
                          </w:txbxContent>
                        </wps:txbx>
                        <wps:bodyPr rot="0" vert="horz" wrap="square" lIns="0" tIns="0" rIns="0" bIns="0" anchor="t" anchorCtr="0" upright="1">
                          <a:noAutofit/>
                        </wps:bodyPr>
                      </wps:wsp>
                      <wps:wsp>
                        <wps:cNvPr id="2082" name="Text Box 535"/>
                        <wps:cNvSpPr txBox="1">
                          <a:spLocks noChangeArrowheads="1"/>
                        </wps:cNvSpPr>
                        <wps:spPr bwMode="auto">
                          <a:xfrm>
                            <a:off x="2107" y="1970"/>
                            <a:ext cx="2137" cy="712"/>
                          </a:xfrm>
                          <a:prstGeom prst="rect">
                            <a:avLst/>
                          </a:prstGeom>
                          <a:solidFill>
                            <a:srgbClr val="FFFFFF"/>
                          </a:solidFill>
                          <a:ln w="9525">
                            <a:solidFill>
                              <a:srgbClr val="000000"/>
                            </a:solidFill>
                            <a:miter lim="800000"/>
                            <a:headEnd/>
                            <a:tailEnd/>
                          </a:ln>
                        </wps:spPr>
                        <wps:txbx>
                          <w:txbxContent>
                            <w:p w:rsidR="00BE40F8" w:rsidRPr="00637B56" w:rsidRDefault="00BE40F8" w:rsidP="00637B5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Завдання</w:t>
                              </w:r>
                            </w:p>
                          </w:txbxContent>
                        </wps:txbx>
                        <wps:bodyPr rot="0" vert="horz" wrap="square" lIns="91440" tIns="45720" rIns="91440" bIns="45720" anchor="t" anchorCtr="0" upright="1">
                          <a:noAutofit/>
                        </wps:bodyPr>
                      </wps:wsp>
                      <wps:wsp>
                        <wps:cNvPr id="2083" name="Text Box 536"/>
                        <wps:cNvSpPr txBox="1">
                          <a:spLocks noChangeArrowheads="1"/>
                        </wps:cNvSpPr>
                        <wps:spPr bwMode="auto">
                          <a:xfrm>
                            <a:off x="6083" y="1970"/>
                            <a:ext cx="2700" cy="712"/>
                          </a:xfrm>
                          <a:prstGeom prst="rect">
                            <a:avLst/>
                          </a:prstGeom>
                          <a:solidFill>
                            <a:srgbClr val="FFFFFF"/>
                          </a:solidFill>
                          <a:ln w="9525">
                            <a:solidFill>
                              <a:srgbClr val="000000"/>
                            </a:solidFill>
                            <a:miter lim="800000"/>
                            <a:headEnd/>
                            <a:tailEnd/>
                          </a:ln>
                        </wps:spPr>
                        <wps:txbx>
                          <w:txbxContent>
                            <w:p w:rsidR="00BE40F8" w:rsidRPr="00637B56" w:rsidRDefault="00BE40F8" w:rsidP="00637B5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Оптимізація та регулювання ресурсного забезпечення</w:t>
                              </w:r>
                            </w:p>
                            <w:p w:rsidR="00BE40F8" w:rsidRPr="00637B56" w:rsidRDefault="00BE40F8" w:rsidP="00662748">
                              <w:pPr>
                                <w:rPr>
                                  <w:rFonts w:ascii="Times New Roman" w:hAnsi="Times New Roman" w:cs="Times New Roman"/>
                                  <w:sz w:val="14"/>
                                  <w:szCs w:val="14"/>
                                </w:rPr>
                              </w:pPr>
                            </w:p>
                          </w:txbxContent>
                        </wps:txbx>
                        <wps:bodyPr rot="0" vert="horz" wrap="square" lIns="54000" tIns="10800" rIns="54000" bIns="10800" anchor="t" anchorCtr="0" upright="1">
                          <a:noAutofit/>
                        </wps:bodyPr>
                      </wps:wsp>
                      <wps:wsp>
                        <wps:cNvPr id="2084" name="Text Box 537"/>
                        <wps:cNvSpPr txBox="1">
                          <a:spLocks noChangeArrowheads="1"/>
                        </wps:cNvSpPr>
                        <wps:spPr bwMode="auto">
                          <a:xfrm>
                            <a:off x="4244" y="1970"/>
                            <a:ext cx="1839" cy="712"/>
                          </a:xfrm>
                          <a:prstGeom prst="rect">
                            <a:avLst/>
                          </a:prstGeom>
                          <a:solidFill>
                            <a:srgbClr val="FFFFFF"/>
                          </a:solidFill>
                          <a:ln w="9525">
                            <a:solidFill>
                              <a:srgbClr val="000000"/>
                            </a:solidFill>
                            <a:miter lim="800000"/>
                            <a:headEnd/>
                            <a:tailEnd/>
                          </a:ln>
                        </wps:spPr>
                        <wps:txbx>
                          <w:txbxContent>
                            <w:p w:rsidR="00BE40F8" w:rsidRPr="00637B56" w:rsidRDefault="00BE40F8" w:rsidP="00637B5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Цільове використання коштів</w:t>
                              </w:r>
                            </w:p>
                            <w:p w:rsidR="00BE40F8" w:rsidRPr="00637B56" w:rsidRDefault="00BE40F8" w:rsidP="00662748">
                              <w:pPr>
                                <w:spacing w:line="192" w:lineRule="auto"/>
                                <w:jc w:val="center"/>
                                <w:rPr>
                                  <w:rFonts w:ascii="Times New Roman" w:hAnsi="Times New Roman" w:cs="Times New Roman"/>
                                  <w:sz w:val="14"/>
                                  <w:szCs w:val="14"/>
                                </w:rPr>
                              </w:pPr>
                              <w:r w:rsidRPr="00637B56">
                                <w:rPr>
                                  <w:rFonts w:ascii="Times New Roman" w:hAnsi="Times New Roman" w:cs="Times New Roman"/>
                                  <w:sz w:val="14"/>
                                  <w:szCs w:val="14"/>
                                </w:rPr>
                                <w:t>використання коштів</w:t>
                              </w:r>
                            </w:p>
                            <w:p w:rsidR="00BE40F8" w:rsidRPr="00637B56" w:rsidRDefault="00BE40F8" w:rsidP="00662748">
                              <w:pPr>
                                <w:spacing w:line="192" w:lineRule="auto"/>
                                <w:jc w:val="center"/>
                                <w:rPr>
                                  <w:rFonts w:ascii="Times New Roman" w:hAnsi="Times New Roman" w:cs="Times New Roman"/>
                                  <w:sz w:val="14"/>
                                  <w:szCs w:val="14"/>
                                </w:rPr>
                              </w:pPr>
                            </w:p>
                          </w:txbxContent>
                        </wps:txbx>
                        <wps:bodyPr rot="0" vert="horz" wrap="square" lIns="54000" tIns="10800" rIns="54000" bIns="10800" anchor="t" anchorCtr="0" upright="1">
                          <a:noAutofit/>
                        </wps:bodyPr>
                      </wps:wsp>
                      <wps:wsp>
                        <wps:cNvPr id="2085" name="Text Box 538"/>
                        <wps:cNvSpPr txBox="1">
                          <a:spLocks noChangeArrowheads="1"/>
                        </wps:cNvSpPr>
                        <wps:spPr bwMode="auto">
                          <a:xfrm>
                            <a:off x="8783" y="1970"/>
                            <a:ext cx="1800" cy="712"/>
                          </a:xfrm>
                          <a:prstGeom prst="rect">
                            <a:avLst/>
                          </a:prstGeom>
                          <a:solidFill>
                            <a:srgbClr val="FFFFFF"/>
                          </a:solidFill>
                          <a:ln w="9525">
                            <a:solidFill>
                              <a:srgbClr val="000000"/>
                            </a:solidFill>
                            <a:miter lim="800000"/>
                            <a:headEnd/>
                            <a:tailEnd/>
                          </a:ln>
                        </wps:spPr>
                        <wps:txbx>
                          <w:txbxContent>
                            <w:p w:rsidR="00BE40F8" w:rsidRPr="00637B56" w:rsidRDefault="00BE40F8" w:rsidP="00637B5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Оптимальне використання ресурсів</w:t>
                              </w:r>
                            </w:p>
                            <w:p w:rsidR="00BE40F8" w:rsidRPr="00637B56" w:rsidRDefault="00BE40F8" w:rsidP="00662748">
                              <w:pPr>
                                <w:spacing w:line="192" w:lineRule="auto"/>
                                <w:jc w:val="center"/>
                                <w:rPr>
                                  <w:rFonts w:ascii="Times New Roman" w:hAnsi="Times New Roman" w:cs="Times New Roman"/>
                                  <w:sz w:val="14"/>
                                  <w:szCs w:val="14"/>
                                </w:rPr>
                              </w:pPr>
                            </w:p>
                          </w:txbxContent>
                        </wps:txbx>
                        <wps:bodyPr rot="0" vert="horz" wrap="square" lIns="54000" tIns="10800" rIns="54000" bIns="10800" anchor="t" anchorCtr="0" upright="1">
                          <a:noAutofit/>
                        </wps:bodyPr>
                      </wps:wsp>
                      <wps:wsp>
                        <wps:cNvPr id="2086" name="Text Box 539"/>
                        <wps:cNvSpPr txBox="1">
                          <a:spLocks noChangeArrowheads="1"/>
                        </wps:cNvSpPr>
                        <wps:spPr bwMode="auto">
                          <a:xfrm>
                            <a:off x="10583" y="1970"/>
                            <a:ext cx="2340" cy="712"/>
                          </a:xfrm>
                          <a:prstGeom prst="rect">
                            <a:avLst/>
                          </a:prstGeom>
                          <a:solidFill>
                            <a:srgbClr val="FFFFFF"/>
                          </a:solidFill>
                          <a:ln w="9525">
                            <a:solidFill>
                              <a:srgbClr val="000000"/>
                            </a:solidFill>
                            <a:miter lim="800000"/>
                            <a:headEnd/>
                            <a:tailEnd/>
                          </a:ln>
                        </wps:spPr>
                        <wps:txbx>
                          <w:txbxContent>
                            <w:p w:rsidR="00BE40F8" w:rsidRPr="00637B56" w:rsidRDefault="00BE40F8" w:rsidP="00637B5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Забезпечення платоспроможності</w:t>
                              </w:r>
                            </w:p>
                            <w:p w:rsidR="00BE40F8" w:rsidRPr="00637B56" w:rsidRDefault="00BE40F8" w:rsidP="00662748">
                              <w:pPr>
                                <w:spacing w:line="192" w:lineRule="auto"/>
                                <w:jc w:val="center"/>
                                <w:rPr>
                                  <w:rFonts w:ascii="Times New Roman" w:hAnsi="Times New Roman" w:cs="Times New Roman"/>
                                  <w:sz w:val="14"/>
                                  <w:szCs w:val="14"/>
                                </w:rPr>
                              </w:pPr>
                            </w:p>
                          </w:txbxContent>
                        </wps:txbx>
                        <wps:bodyPr rot="0" vert="horz" wrap="square" lIns="54000" tIns="10800" rIns="54000" bIns="10800" anchor="t" anchorCtr="0" upright="1">
                          <a:noAutofit/>
                        </wps:bodyPr>
                      </wps:wsp>
                      <wps:wsp>
                        <wps:cNvPr id="2087" name="Text Box 541"/>
                        <wps:cNvSpPr txBox="1">
                          <a:spLocks noChangeArrowheads="1"/>
                        </wps:cNvSpPr>
                        <wps:spPr bwMode="auto">
                          <a:xfrm>
                            <a:off x="12923" y="1970"/>
                            <a:ext cx="2182" cy="712"/>
                          </a:xfrm>
                          <a:prstGeom prst="rect">
                            <a:avLst/>
                          </a:prstGeom>
                          <a:solidFill>
                            <a:srgbClr val="FFFFFF"/>
                          </a:solidFill>
                          <a:ln w="9525">
                            <a:solidFill>
                              <a:srgbClr val="000000"/>
                            </a:solidFill>
                            <a:miter lim="800000"/>
                            <a:headEnd/>
                            <a:tailEnd/>
                          </a:ln>
                        </wps:spPr>
                        <wps:txbx>
                          <w:txbxContent>
                            <w:p w:rsidR="00BE40F8" w:rsidRPr="00637B56" w:rsidRDefault="00BE40F8" w:rsidP="00637B5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Ефективність ФГД</w:t>
                              </w:r>
                            </w:p>
                            <w:p w:rsidR="00BE40F8" w:rsidRPr="00637B56" w:rsidRDefault="00BE40F8" w:rsidP="00662748">
                              <w:pPr>
                                <w:rPr>
                                  <w:rFonts w:ascii="Times New Roman" w:hAnsi="Times New Roman" w:cs="Times New Roman"/>
                                  <w:sz w:val="14"/>
                                  <w:szCs w:val="14"/>
                                </w:rPr>
                              </w:pPr>
                            </w:p>
                          </w:txbxContent>
                        </wps:txbx>
                        <wps:bodyPr rot="0" vert="horz" wrap="square" lIns="54000" tIns="10800" rIns="54000" bIns="10800" anchor="t" anchorCtr="0" upright="1">
                          <a:noAutofit/>
                        </wps:bodyPr>
                      </wps:wsp>
                      <wps:wsp>
                        <wps:cNvPr id="2088" name="Text Box 542"/>
                        <wps:cNvSpPr txBox="1">
                          <a:spLocks noChangeArrowheads="1"/>
                        </wps:cNvSpPr>
                        <wps:spPr bwMode="auto">
                          <a:xfrm>
                            <a:off x="2107" y="2860"/>
                            <a:ext cx="2176" cy="534"/>
                          </a:xfrm>
                          <a:prstGeom prst="rect">
                            <a:avLst/>
                          </a:prstGeom>
                          <a:solidFill>
                            <a:srgbClr val="FFFFFF"/>
                          </a:solidFill>
                          <a:ln w="9525">
                            <a:solidFill>
                              <a:srgbClr val="000000"/>
                            </a:solidFill>
                            <a:miter lim="800000"/>
                            <a:headEnd/>
                            <a:tailEnd/>
                          </a:ln>
                        </wps:spPr>
                        <wps:txbx>
                          <w:txbxContent>
                            <w:p w:rsidR="00BE40F8" w:rsidRPr="00637B56" w:rsidRDefault="00BE40F8" w:rsidP="00637B5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Підходи до побудови:</w:t>
                              </w:r>
                            </w:p>
                            <w:p w:rsidR="00BE40F8" w:rsidRPr="00637B56" w:rsidRDefault="00BE40F8" w:rsidP="00662748">
                              <w:pPr>
                                <w:rPr>
                                  <w:rFonts w:ascii="Times New Roman" w:hAnsi="Times New Roman" w:cs="Times New Roman"/>
                                  <w:sz w:val="14"/>
                                  <w:szCs w:val="14"/>
                                </w:rPr>
                              </w:pPr>
                            </w:p>
                          </w:txbxContent>
                        </wps:txbx>
                        <wps:bodyPr rot="0" vert="horz" wrap="square" lIns="18000" tIns="18000" rIns="18000" bIns="18000" anchor="t" anchorCtr="0" upright="1">
                          <a:noAutofit/>
                        </wps:bodyPr>
                      </wps:wsp>
                      <wps:wsp>
                        <wps:cNvPr id="2089" name="Text Box 543"/>
                        <wps:cNvSpPr txBox="1">
                          <a:spLocks noChangeArrowheads="1"/>
                        </wps:cNvSpPr>
                        <wps:spPr bwMode="auto">
                          <a:xfrm>
                            <a:off x="4283" y="2860"/>
                            <a:ext cx="1440" cy="534"/>
                          </a:xfrm>
                          <a:prstGeom prst="rect">
                            <a:avLst/>
                          </a:prstGeom>
                          <a:solidFill>
                            <a:srgbClr val="FFFFFF"/>
                          </a:solidFill>
                          <a:ln w="9525">
                            <a:solidFill>
                              <a:srgbClr val="000000"/>
                            </a:solidFill>
                            <a:miter lim="800000"/>
                            <a:headEnd/>
                            <a:tailEnd/>
                          </a:ln>
                        </wps:spPr>
                        <wps:txbx>
                          <w:txbxContent>
                            <w:p w:rsidR="00BE40F8" w:rsidRPr="00637B56" w:rsidRDefault="00BE40F8" w:rsidP="00637B5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Системний</w:t>
                              </w:r>
                            </w:p>
                            <w:p w:rsidR="00BE40F8" w:rsidRPr="00637B56" w:rsidRDefault="00BE40F8" w:rsidP="00662748">
                              <w:pPr>
                                <w:rPr>
                                  <w:rFonts w:ascii="Times New Roman" w:hAnsi="Times New Roman" w:cs="Times New Roman"/>
                                  <w:sz w:val="14"/>
                                  <w:szCs w:val="14"/>
                                </w:rPr>
                              </w:pPr>
                            </w:p>
                          </w:txbxContent>
                        </wps:txbx>
                        <wps:bodyPr rot="0" vert="horz" wrap="square" lIns="0" tIns="0" rIns="0" bIns="0" anchor="t" anchorCtr="0" upright="1">
                          <a:noAutofit/>
                        </wps:bodyPr>
                      </wps:wsp>
                      <wps:wsp>
                        <wps:cNvPr id="2090" name="Text Box 544"/>
                        <wps:cNvSpPr txBox="1">
                          <a:spLocks noChangeArrowheads="1"/>
                        </wps:cNvSpPr>
                        <wps:spPr bwMode="auto">
                          <a:xfrm>
                            <a:off x="5723" y="2860"/>
                            <a:ext cx="1440" cy="534"/>
                          </a:xfrm>
                          <a:prstGeom prst="rect">
                            <a:avLst/>
                          </a:prstGeom>
                          <a:solidFill>
                            <a:srgbClr val="FFFFFF"/>
                          </a:solidFill>
                          <a:ln w="9525">
                            <a:solidFill>
                              <a:srgbClr val="000000"/>
                            </a:solidFill>
                            <a:miter lim="800000"/>
                            <a:headEnd/>
                            <a:tailEnd/>
                          </a:ln>
                        </wps:spPr>
                        <wps:txbx>
                          <w:txbxContent>
                            <w:p w:rsidR="00BE40F8" w:rsidRPr="00637B56" w:rsidRDefault="00BE40F8" w:rsidP="00815BE1">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Процесний</w:t>
                              </w:r>
                            </w:p>
                            <w:p w:rsidR="00BE40F8" w:rsidRPr="00637B56" w:rsidRDefault="00BE40F8" w:rsidP="00662748">
                              <w:pPr>
                                <w:rPr>
                                  <w:rFonts w:ascii="Times New Roman" w:hAnsi="Times New Roman" w:cs="Times New Roman"/>
                                  <w:sz w:val="14"/>
                                  <w:szCs w:val="14"/>
                                </w:rPr>
                              </w:pPr>
                            </w:p>
                          </w:txbxContent>
                        </wps:txbx>
                        <wps:bodyPr rot="0" vert="horz" wrap="square" lIns="0" tIns="0" rIns="0" bIns="0" anchor="t" anchorCtr="0" upright="1">
                          <a:noAutofit/>
                        </wps:bodyPr>
                      </wps:wsp>
                      <wps:wsp>
                        <wps:cNvPr id="2091" name="Text Box 545"/>
                        <wps:cNvSpPr txBox="1">
                          <a:spLocks noChangeArrowheads="1"/>
                        </wps:cNvSpPr>
                        <wps:spPr bwMode="auto">
                          <a:xfrm>
                            <a:off x="7163" y="2860"/>
                            <a:ext cx="1620" cy="534"/>
                          </a:xfrm>
                          <a:prstGeom prst="rect">
                            <a:avLst/>
                          </a:prstGeom>
                          <a:solidFill>
                            <a:srgbClr val="FFFFFF"/>
                          </a:solidFill>
                          <a:ln w="9525">
                            <a:solidFill>
                              <a:srgbClr val="000000"/>
                            </a:solidFill>
                            <a:miter lim="800000"/>
                            <a:headEnd/>
                            <a:tailEnd/>
                          </a:ln>
                        </wps:spPr>
                        <wps:txbx>
                          <w:txbxContent>
                            <w:p w:rsidR="00BE40F8" w:rsidRPr="00637B56" w:rsidRDefault="00BE40F8" w:rsidP="00815BE1">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Ситуаційний</w:t>
                              </w:r>
                            </w:p>
                            <w:p w:rsidR="00BE40F8" w:rsidRPr="00637B56" w:rsidRDefault="00BE40F8" w:rsidP="00662748">
                              <w:pPr>
                                <w:rPr>
                                  <w:rFonts w:ascii="Times New Roman" w:hAnsi="Times New Roman" w:cs="Times New Roman"/>
                                  <w:sz w:val="14"/>
                                  <w:szCs w:val="14"/>
                                </w:rPr>
                              </w:pPr>
                            </w:p>
                          </w:txbxContent>
                        </wps:txbx>
                        <wps:bodyPr rot="0" vert="horz" wrap="square" lIns="0" tIns="0" rIns="0" bIns="0" anchor="t" anchorCtr="0" upright="1">
                          <a:noAutofit/>
                        </wps:bodyPr>
                      </wps:wsp>
                      <wps:wsp>
                        <wps:cNvPr id="2092" name="Text Box 546"/>
                        <wps:cNvSpPr txBox="1">
                          <a:spLocks noChangeArrowheads="1"/>
                        </wps:cNvSpPr>
                        <wps:spPr bwMode="auto">
                          <a:xfrm>
                            <a:off x="8783" y="2880"/>
                            <a:ext cx="2880" cy="534"/>
                          </a:xfrm>
                          <a:prstGeom prst="rect">
                            <a:avLst/>
                          </a:prstGeom>
                          <a:solidFill>
                            <a:srgbClr val="FFFFFF"/>
                          </a:solidFill>
                          <a:ln w="9525">
                            <a:solidFill>
                              <a:srgbClr val="000000"/>
                            </a:solidFill>
                            <a:miter lim="800000"/>
                            <a:headEnd/>
                            <a:tailEnd/>
                          </a:ln>
                        </wps:spPr>
                        <wps:txbx>
                          <w:txbxContent>
                            <w:p w:rsidR="00BE40F8" w:rsidRPr="00637B56" w:rsidRDefault="00BE40F8" w:rsidP="00815BE1">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Програмно-цільовий</w:t>
                              </w:r>
                            </w:p>
                            <w:p w:rsidR="00BE40F8" w:rsidRPr="00637B56" w:rsidRDefault="00BE40F8" w:rsidP="00662748">
                              <w:pPr>
                                <w:rPr>
                                  <w:rFonts w:ascii="Times New Roman" w:hAnsi="Times New Roman" w:cs="Times New Roman"/>
                                  <w:sz w:val="14"/>
                                  <w:szCs w:val="14"/>
                                </w:rPr>
                              </w:pPr>
                            </w:p>
                          </w:txbxContent>
                        </wps:txbx>
                        <wps:bodyPr rot="0" vert="horz" wrap="square" lIns="0" tIns="0" rIns="0" bIns="0" anchor="t" anchorCtr="0" upright="1">
                          <a:noAutofit/>
                        </wps:bodyPr>
                      </wps:wsp>
                      <wps:wsp>
                        <wps:cNvPr id="2093" name="Text Box 547"/>
                        <wps:cNvSpPr txBox="1">
                          <a:spLocks noChangeArrowheads="1"/>
                        </wps:cNvSpPr>
                        <wps:spPr bwMode="auto">
                          <a:xfrm>
                            <a:off x="11663" y="2860"/>
                            <a:ext cx="1620" cy="534"/>
                          </a:xfrm>
                          <a:prstGeom prst="rect">
                            <a:avLst/>
                          </a:prstGeom>
                          <a:solidFill>
                            <a:srgbClr val="FFFFFF"/>
                          </a:solidFill>
                          <a:ln w="9525">
                            <a:solidFill>
                              <a:srgbClr val="000000"/>
                            </a:solidFill>
                            <a:miter lim="800000"/>
                            <a:headEnd/>
                            <a:tailEnd/>
                          </a:ln>
                        </wps:spPr>
                        <wps:txbx>
                          <w:txbxContent>
                            <w:p w:rsidR="00BE40F8" w:rsidRPr="00637B56" w:rsidRDefault="00BE40F8" w:rsidP="00815BE1">
                              <w:pPr>
                                <w:spacing w:line="192" w:lineRule="auto"/>
                                <w:ind w:firstLine="0"/>
                                <w:jc w:val="center"/>
                                <w:rPr>
                                  <w:rFonts w:ascii="Times New Roman" w:hAnsi="Times New Roman" w:cs="Times New Roman"/>
                                  <w:spacing w:val="-8"/>
                                  <w:sz w:val="14"/>
                                  <w:szCs w:val="14"/>
                                </w:rPr>
                              </w:pPr>
                              <w:r w:rsidRPr="00637B56">
                                <w:rPr>
                                  <w:rFonts w:ascii="Times New Roman" w:hAnsi="Times New Roman" w:cs="Times New Roman"/>
                                  <w:spacing w:val="-8"/>
                                  <w:sz w:val="14"/>
                                  <w:szCs w:val="14"/>
                                </w:rPr>
                                <w:t>Інформаційний</w:t>
                              </w:r>
                            </w:p>
                            <w:p w:rsidR="00BE40F8" w:rsidRPr="00637B56" w:rsidRDefault="00BE40F8" w:rsidP="00662748">
                              <w:pPr>
                                <w:rPr>
                                  <w:rFonts w:ascii="Times New Roman" w:hAnsi="Times New Roman" w:cs="Times New Roman"/>
                                  <w:sz w:val="14"/>
                                  <w:szCs w:val="14"/>
                                </w:rPr>
                              </w:pPr>
                            </w:p>
                          </w:txbxContent>
                        </wps:txbx>
                        <wps:bodyPr rot="0" vert="horz" wrap="square" lIns="0" tIns="0" rIns="0" bIns="0" anchor="t" anchorCtr="0" upright="1">
                          <a:noAutofit/>
                        </wps:bodyPr>
                      </wps:wsp>
                      <wps:wsp>
                        <wps:cNvPr id="2094" name="AutoShape 548"/>
                        <wps:cNvSpPr>
                          <a:spLocks noChangeArrowheads="1"/>
                        </wps:cNvSpPr>
                        <wps:spPr bwMode="auto">
                          <a:xfrm>
                            <a:off x="15086" y="3384"/>
                            <a:ext cx="197" cy="366"/>
                          </a:xfrm>
                          <a:prstGeom prst="lef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95" name="AutoShape 549"/>
                        <wps:cNvSpPr>
                          <a:spLocks noChangeArrowheads="1"/>
                        </wps:cNvSpPr>
                        <wps:spPr bwMode="auto">
                          <a:xfrm>
                            <a:off x="15105" y="7312"/>
                            <a:ext cx="178" cy="356"/>
                          </a:xfrm>
                          <a:prstGeom prst="lef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96" name="Text Box 551"/>
                        <wps:cNvSpPr txBox="1">
                          <a:spLocks noChangeArrowheads="1"/>
                        </wps:cNvSpPr>
                        <wps:spPr bwMode="auto">
                          <a:xfrm>
                            <a:off x="1217" y="5710"/>
                            <a:ext cx="534" cy="4272"/>
                          </a:xfrm>
                          <a:prstGeom prst="rect">
                            <a:avLst/>
                          </a:prstGeom>
                          <a:solidFill>
                            <a:srgbClr val="FFFFFF"/>
                          </a:solidFill>
                          <a:ln w="9525">
                            <a:solidFill>
                              <a:srgbClr val="000000"/>
                            </a:solidFill>
                            <a:miter lim="800000"/>
                            <a:headEnd/>
                            <a:tailEnd/>
                          </a:ln>
                        </wps:spPr>
                        <wps:txbx>
                          <w:txbxContent>
                            <w:p w:rsidR="00BE40F8" w:rsidRPr="00637B56" w:rsidRDefault="00BE40F8" w:rsidP="00637B5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Фактори середовища непрямого впливу</w:t>
                              </w:r>
                            </w:p>
                          </w:txbxContent>
                        </wps:txbx>
                        <wps:bodyPr rot="0" vert="vert270" wrap="square" lIns="54000" tIns="10800" rIns="54000" bIns="10800" anchor="t" anchorCtr="0" upright="1">
                          <a:noAutofit/>
                        </wps:bodyPr>
                      </wps:wsp>
                      <wps:wsp>
                        <wps:cNvPr id="2097" name="Text Box 552"/>
                        <wps:cNvSpPr txBox="1">
                          <a:spLocks noChangeArrowheads="1"/>
                        </wps:cNvSpPr>
                        <wps:spPr bwMode="auto">
                          <a:xfrm>
                            <a:off x="1217" y="1614"/>
                            <a:ext cx="534" cy="4096"/>
                          </a:xfrm>
                          <a:prstGeom prst="rect">
                            <a:avLst/>
                          </a:prstGeom>
                          <a:solidFill>
                            <a:srgbClr val="FFFFFF"/>
                          </a:solidFill>
                          <a:ln w="9525">
                            <a:solidFill>
                              <a:srgbClr val="000000"/>
                            </a:solidFill>
                            <a:miter lim="800000"/>
                            <a:headEnd/>
                            <a:tailEnd/>
                          </a:ln>
                        </wps:spPr>
                        <wps:txbx>
                          <w:txbxContent>
                            <w:p w:rsidR="00BE40F8" w:rsidRPr="00637B56" w:rsidRDefault="00BE40F8" w:rsidP="00637B5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Факторисередовища прямого впливу</w:t>
                              </w:r>
                            </w:p>
                          </w:txbxContent>
                        </wps:txbx>
                        <wps:bodyPr rot="0" vert="vert270" wrap="square" lIns="54000" tIns="10800" rIns="54000" bIns="10800" anchor="t" anchorCtr="0" upright="1">
                          <a:noAutofit/>
                        </wps:bodyPr>
                      </wps:wsp>
                      <wps:wsp>
                        <wps:cNvPr id="2098" name="Text Box 553"/>
                        <wps:cNvSpPr txBox="1">
                          <a:spLocks noChangeArrowheads="1"/>
                        </wps:cNvSpPr>
                        <wps:spPr bwMode="auto">
                          <a:xfrm>
                            <a:off x="683" y="1606"/>
                            <a:ext cx="534" cy="8376"/>
                          </a:xfrm>
                          <a:prstGeom prst="rect">
                            <a:avLst/>
                          </a:prstGeom>
                          <a:solidFill>
                            <a:srgbClr val="FFFFFF"/>
                          </a:solidFill>
                          <a:ln w="9525">
                            <a:solidFill>
                              <a:srgbClr val="000000"/>
                            </a:solidFill>
                            <a:miter lim="800000"/>
                            <a:headEnd/>
                            <a:tailEnd/>
                          </a:ln>
                        </wps:spPr>
                        <wps:txbx>
                          <w:txbxContent>
                            <w:p w:rsidR="00BE40F8" w:rsidRPr="00637B56" w:rsidRDefault="00BE40F8" w:rsidP="00637B56">
                              <w:pPr>
                                <w:spacing w:line="192" w:lineRule="auto"/>
                                <w:ind w:firstLine="0"/>
                                <w:jc w:val="center"/>
                                <w:rPr>
                                  <w:rFonts w:ascii="Times New Roman" w:hAnsi="Times New Roman" w:cs="Times New Roman"/>
                                  <w:bCs/>
                                  <w:sz w:val="14"/>
                                  <w:szCs w:val="14"/>
                                </w:rPr>
                              </w:pPr>
                              <w:r w:rsidRPr="00637B56">
                                <w:rPr>
                                  <w:rFonts w:ascii="Times New Roman" w:hAnsi="Times New Roman" w:cs="Times New Roman"/>
                                  <w:bCs/>
                                  <w:sz w:val="14"/>
                                  <w:szCs w:val="14"/>
                                </w:rPr>
                                <w:t>Вплив зовнішнього середовища вищого навчального закладу</w:t>
                              </w:r>
                            </w:p>
                          </w:txbxContent>
                        </wps:txbx>
                        <wps:bodyPr rot="0" vert="vert270" wrap="square" lIns="54000" tIns="10800" rIns="54000" bIns="10800" anchor="t" anchorCtr="0" upright="1">
                          <a:noAutofit/>
                        </wps:bodyPr>
                      </wps:wsp>
                      <wps:wsp>
                        <wps:cNvPr id="2099" name="AutoShape 554"/>
                        <wps:cNvSpPr>
                          <a:spLocks/>
                        </wps:cNvSpPr>
                        <wps:spPr bwMode="auto">
                          <a:xfrm rot="16200000" flipH="1">
                            <a:off x="8517" y="-3639"/>
                            <a:ext cx="178" cy="12820"/>
                          </a:xfrm>
                          <a:prstGeom prst="rightBrace">
                            <a:avLst>
                              <a:gd name="adj1" fmla="val 600187"/>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0" name="AutoShape 555"/>
                        <wps:cNvSpPr>
                          <a:spLocks/>
                        </wps:cNvSpPr>
                        <wps:spPr bwMode="auto">
                          <a:xfrm rot="-5400000">
                            <a:off x="8517" y="-2927"/>
                            <a:ext cx="178" cy="12820"/>
                          </a:xfrm>
                          <a:prstGeom prst="leftBrace">
                            <a:avLst>
                              <a:gd name="adj1" fmla="val 1121350"/>
                              <a:gd name="adj2" fmla="val 50144"/>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1" name="AutoShape 557"/>
                        <wps:cNvSpPr>
                          <a:spLocks/>
                        </wps:cNvSpPr>
                        <wps:spPr bwMode="auto">
                          <a:xfrm rot="5400000" flipH="1">
                            <a:off x="8518" y="-2482"/>
                            <a:ext cx="178" cy="12997"/>
                          </a:xfrm>
                          <a:prstGeom prst="leftBrace">
                            <a:avLst>
                              <a:gd name="adj1" fmla="val 1825421"/>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2" name="Text Box 561"/>
                        <wps:cNvSpPr txBox="1">
                          <a:spLocks noChangeArrowheads="1"/>
                        </wps:cNvSpPr>
                        <wps:spPr bwMode="auto">
                          <a:xfrm>
                            <a:off x="1929" y="4140"/>
                            <a:ext cx="13154" cy="540"/>
                          </a:xfrm>
                          <a:prstGeom prst="rect">
                            <a:avLst/>
                          </a:prstGeom>
                          <a:solidFill>
                            <a:srgbClr val="FFFFFF"/>
                          </a:solidFill>
                          <a:ln w="9525">
                            <a:solidFill>
                              <a:srgbClr val="000000"/>
                            </a:solidFill>
                            <a:miter lim="800000"/>
                            <a:headEnd/>
                            <a:tailEnd/>
                          </a:ln>
                        </wps:spPr>
                        <wps:txbx>
                          <w:txbxContent>
                            <w:p w:rsidR="00BE40F8" w:rsidRPr="00637B56" w:rsidRDefault="00BE40F8" w:rsidP="00662748">
                              <w:pPr>
                                <w:spacing w:line="192" w:lineRule="auto"/>
                                <w:jc w:val="center"/>
                                <w:rPr>
                                  <w:rFonts w:ascii="Times New Roman" w:hAnsi="Times New Roman" w:cs="Times New Roman"/>
                                  <w:b/>
                                  <w:bCs/>
                                  <w:i/>
                                  <w:iCs/>
                                  <w:sz w:val="14"/>
                                  <w:szCs w:val="14"/>
                                </w:rPr>
                              </w:pPr>
                              <w:r w:rsidRPr="00637B56">
                                <w:rPr>
                                  <w:rFonts w:ascii="Times New Roman" w:hAnsi="Times New Roman" w:cs="Times New Roman"/>
                                  <w:b/>
                                  <w:bCs/>
                                  <w:i/>
                                  <w:iCs/>
                                  <w:sz w:val="14"/>
                                  <w:szCs w:val="14"/>
                                </w:rPr>
                                <w:t>Функціонування механізму управління фінансово-господарською діяльністю вищого навчального закладу</w:t>
                              </w:r>
                            </w:p>
                          </w:txbxContent>
                        </wps:txbx>
                        <wps:bodyPr rot="0" vert="horz" wrap="square" lIns="91440" tIns="45720" rIns="91440" bIns="45720" anchor="t" anchorCtr="0" upright="1">
                          <a:noAutofit/>
                        </wps:bodyPr>
                      </wps:wsp>
                      <wps:wsp>
                        <wps:cNvPr id="2103" name="Text Box 567"/>
                        <wps:cNvSpPr txBox="1">
                          <a:spLocks noChangeArrowheads="1"/>
                        </wps:cNvSpPr>
                        <wps:spPr bwMode="auto">
                          <a:xfrm>
                            <a:off x="7702" y="7310"/>
                            <a:ext cx="1260" cy="429"/>
                          </a:xfrm>
                          <a:prstGeom prst="rect">
                            <a:avLst/>
                          </a:prstGeom>
                          <a:solidFill>
                            <a:srgbClr val="FFFFFF"/>
                          </a:solidFill>
                          <a:ln w="9525">
                            <a:solidFill>
                              <a:srgbClr val="000000"/>
                            </a:solidFill>
                            <a:miter lim="800000"/>
                            <a:headEnd/>
                            <a:tailEnd/>
                          </a:ln>
                        </wps:spPr>
                        <wps:txbx>
                          <w:txbxContent>
                            <w:p w:rsidR="00BE40F8" w:rsidRPr="00873076" w:rsidRDefault="00BE40F8" w:rsidP="00873076">
                              <w:pPr>
                                <w:tabs>
                                  <w:tab w:val="left" w:pos="4140"/>
                                </w:tabs>
                                <w:spacing w:line="192" w:lineRule="auto"/>
                                <w:ind w:firstLine="0"/>
                                <w:jc w:val="center"/>
                                <w:rPr>
                                  <w:rFonts w:ascii="Times New Roman" w:hAnsi="Times New Roman" w:cs="Times New Roman"/>
                                  <w:sz w:val="13"/>
                                  <w:szCs w:val="13"/>
                                </w:rPr>
                              </w:pPr>
                              <w:r w:rsidRPr="00873076">
                                <w:rPr>
                                  <w:rFonts w:ascii="Times New Roman" w:hAnsi="Times New Roman" w:cs="Times New Roman"/>
                                  <w:sz w:val="13"/>
                                  <w:szCs w:val="13"/>
                                </w:rPr>
                                <w:t>Збільшення надходжень</w:t>
                              </w:r>
                            </w:p>
                          </w:txbxContent>
                        </wps:txbx>
                        <wps:bodyPr rot="0" vert="horz" wrap="square" lIns="0" tIns="0" rIns="0" bIns="0" anchor="t" anchorCtr="0" upright="1">
                          <a:noAutofit/>
                        </wps:bodyPr>
                      </wps:wsp>
                      <wps:wsp>
                        <wps:cNvPr id="2104" name="Text Box 568"/>
                        <wps:cNvSpPr txBox="1">
                          <a:spLocks noChangeArrowheads="1"/>
                        </wps:cNvSpPr>
                        <wps:spPr bwMode="auto">
                          <a:xfrm>
                            <a:off x="10220" y="7306"/>
                            <a:ext cx="1260" cy="433"/>
                          </a:xfrm>
                          <a:prstGeom prst="rect">
                            <a:avLst/>
                          </a:prstGeom>
                          <a:solidFill>
                            <a:srgbClr val="FFFFFF"/>
                          </a:solidFill>
                          <a:ln w="9525">
                            <a:solidFill>
                              <a:srgbClr val="000000"/>
                            </a:solidFill>
                            <a:miter lim="800000"/>
                            <a:headEnd/>
                            <a:tailEnd/>
                          </a:ln>
                        </wps:spPr>
                        <wps:txbx>
                          <w:txbxContent>
                            <w:p w:rsidR="00BE40F8" w:rsidRDefault="00BE40F8" w:rsidP="00873076">
                              <w:pPr>
                                <w:spacing w:line="192" w:lineRule="auto"/>
                                <w:ind w:firstLine="0"/>
                                <w:jc w:val="center"/>
                                <w:rPr>
                                  <w:rFonts w:ascii="Times New Roman" w:hAnsi="Times New Roman" w:cs="Times New Roman"/>
                                  <w:sz w:val="13"/>
                                  <w:szCs w:val="13"/>
                                </w:rPr>
                              </w:pPr>
                              <w:r w:rsidRPr="00B5166C">
                                <w:rPr>
                                  <w:rFonts w:ascii="Times New Roman" w:hAnsi="Times New Roman" w:cs="Times New Roman"/>
                                  <w:sz w:val="13"/>
                                  <w:szCs w:val="13"/>
                                </w:rPr>
                                <w:t>Оптимізація</w:t>
                              </w:r>
                            </w:p>
                            <w:p w:rsidR="00BE40F8" w:rsidRDefault="00BE40F8" w:rsidP="00873076">
                              <w:pPr>
                                <w:spacing w:line="192" w:lineRule="auto"/>
                                <w:ind w:firstLine="0"/>
                                <w:jc w:val="center"/>
                                <w:rPr>
                                  <w:rFonts w:ascii="Times New Roman" w:hAnsi="Times New Roman" w:cs="Times New Roman"/>
                                  <w:sz w:val="13"/>
                                  <w:szCs w:val="13"/>
                                </w:rPr>
                              </w:pPr>
                              <w:r>
                                <w:rPr>
                                  <w:rFonts w:ascii="Times New Roman" w:hAnsi="Times New Roman" w:cs="Times New Roman"/>
                                  <w:sz w:val="13"/>
                                  <w:szCs w:val="13"/>
                                </w:rPr>
                                <w:t>структури</w:t>
                              </w:r>
                            </w:p>
                          </w:txbxContent>
                        </wps:txbx>
                        <wps:bodyPr rot="0" vert="horz" wrap="square" lIns="0" tIns="0" rIns="0" bIns="0" anchor="t" anchorCtr="0" upright="1">
                          <a:noAutofit/>
                        </wps:bodyPr>
                      </wps:wsp>
                      <wps:wsp>
                        <wps:cNvPr id="2105" name="Text Box 569"/>
                        <wps:cNvSpPr txBox="1">
                          <a:spLocks noChangeArrowheads="1"/>
                        </wps:cNvSpPr>
                        <wps:spPr bwMode="auto">
                          <a:xfrm>
                            <a:off x="12742" y="7306"/>
                            <a:ext cx="1260" cy="427"/>
                          </a:xfrm>
                          <a:prstGeom prst="rect">
                            <a:avLst/>
                          </a:prstGeom>
                          <a:solidFill>
                            <a:srgbClr val="FFFFFF"/>
                          </a:solidFill>
                          <a:ln w="9525">
                            <a:solidFill>
                              <a:srgbClr val="000000"/>
                            </a:solidFill>
                            <a:miter lim="800000"/>
                            <a:headEnd/>
                            <a:tailEnd/>
                          </a:ln>
                        </wps:spPr>
                        <wps:txbx>
                          <w:txbxContent>
                            <w:p w:rsidR="00BE40F8" w:rsidRPr="00B5166C" w:rsidRDefault="00BE40F8" w:rsidP="00B5166C">
                              <w:pPr>
                                <w:spacing w:line="192" w:lineRule="auto"/>
                                <w:ind w:firstLine="0"/>
                                <w:jc w:val="center"/>
                                <w:rPr>
                                  <w:rFonts w:ascii="Times New Roman" w:hAnsi="Times New Roman" w:cs="Times New Roman"/>
                                  <w:sz w:val="13"/>
                                  <w:szCs w:val="13"/>
                                </w:rPr>
                              </w:pPr>
                              <w:r w:rsidRPr="00B5166C">
                                <w:rPr>
                                  <w:rFonts w:ascii="Times New Roman" w:hAnsi="Times New Roman" w:cs="Times New Roman"/>
                                  <w:sz w:val="13"/>
                                  <w:szCs w:val="13"/>
                                </w:rPr>
                                <w:t>Здійснення</w:t>
                              </w:r>
                            </w:p>
                            <w:p w:rsidR="00BE40F8" w:rsidRPr="00B5166C" w:rsidRDefault="00BE40F8" w:rsidP="00B5166C">
                              <w:pPr>
                                <w:spacing w:line="192" w:lineRule="auto"/>
                                <w:ind w:firstLine="0"/>
                                <w:jc w:val="center"/>
                                <w:rPr>
                                  <w:rFonts w:ascii="Times New Roman" w:hAnsi="Times New Roman" w:cs="Times New Roman"/>
                                  <w:sz w:val="13"/>
                                  <w:szCs w:val="13"/>
                                </w:rPr>
                              </w:pPr>
                              <w:r w:rsidRPr="00B5166C">
                                <w:rPr>
                                  <w:rFonts w:ascii="Times New Roman" w:hAnsi="Times New Roman" w:cs="Times New Roman"/>
                                  <w:sz w:val="13"/>
                                  <w:szCs w:val="13"/>
                                </w:rPr>
                                <w:t>контролю</w:t>
                              </w:r>
                            </w:p>
                          </w:txbxContent>
                        </wps:txbx>
                        <wps:bodyPr rot="0" vert="horz" wrap="square" lIns="0" tIns="0" rIns="0" bIns="0" anchor="t" anchorCtr="0" upright="1">
                          <a:noAutofit/>
                        </wps:bodyPr>
                      </wps:wsp>
                      <wps:wsp>
                        <wps:cNvPr id="2106" name="Line 570"/>
                        <wps:cNvCnPr/>
                        <wps:spPr bwMode="auto">
                          <a:xfrm flipV="1">
                            <a:off x="14183" y="4860"/>
                            <a:ext cx="1" cy="522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107" name="Line 571"/>
                        <wps:cNvCnPr/>
                        <wps:spPr bwMode="auto">
                          <a:xfrm flipH="1">
                            <a:off x="14036" y="4860"/>
                            <a:ext cx="178"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08" name="Text Box 572"/>
                        <wps:cNvSpPr txBox="1">
                          <a:spLocks noChangeArrowheads="1"/>
                        </wps:cNvSpPr>
                        <wps:spPr bwMode="auto">
                          <a:xfrm>
                            <a:off x="14393" y="5887"/>
                            <a:ext cx="534" cy="213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40F8" w:rsidRPr="00637B56" w:rsidRDefault="00BE40F8" w:rsidP="00637B56">
                              <w:pPr>
                                <w:spacing w:line="192" w:lineRule="auto"/>
                                <w:ind w:firstLine="0"/>
                                <w:rPr>
                                  <w:rFonts w:ascii="Times New Roman" w:hAnsi="Times New Roman" w:cs="Times New Roman"/>
                                  <w:sz w:val="14"/>
                                  <w:szCs w:val="14"/>
                                </w:rPr>
                              </w:pPr>
                              <w:r w:rsidRPr="00637B56">
                                <w:rPr>
                                  <w:rFonts w:ascii="Times New Roman" w:hAnsi="Times New Roman" w:cs="Times New Roman"/>
                                  <w:sz w:val="14"/>
                                  <w:szCs w:val="14"/>
                                </w:rPr>
                                <w:t>Зворотний зв’язок</w:t>
                              </w:r>
                            </w:p>
                          </w:txbxContent>
                        </wps:txbx>
                        <wps:bodyPr rot="0" vert="vert270" wrap="square" lIns="0" tIns="0" rIns="0" bIns="0" anchor="t" anchorCtr="0" upright="1">
                          <a:noAutofit/>
                        </wps:bodyPr>
                      </wps:wsp>
                      <wps:wsp>
                        <wps:cNvPr id="2109" name="Line 573"/>
                        <wps:cNvCnPr/>
                        <wps:spPr bwMode="auto">
                          <a:xfrm>
                            <a:off x="1943" y="4140"/>
                            <a:ext cx="1" cy="61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110" name="Line 574"/>
                        <wps:cNvCnPr/>
                        <wps:spPr bwMode="auto">
                          <a:xfrm>
                            <a:off x="1929" y="4140"/>
                            <a:ext cx="13176"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111" name="Line 575"/>
                        <wps:cNvCnPr/>
                        <wps:spPr bwMode="auto">
                          <a:xfrm flipH="1">
                            <a:off x="15083" y="4140"/>
                            <a:ext cx="1" cy="61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112" name="AutoShape 576"/>
                        <wps:cNvSpPr>
                          <a:spLocks noChangeArrowheads="1"/>
                        </wps:cNvSpPr>
                        <wps:spPr bwMode="auto">
                          <a:xfrm>
                            <a:off x="8160" y="1436"/>
                            <a:ext cx="179" cy="178"/>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2113" name="Text Box 582"/>
                        <wps:cNvSpPr txBox="1">
                          <a:spLocks noChangeArrowheads="1"/>
                        </wps:cNvSpPr>
                        <wps:spPr bwMode="auto">
                          <a:xfrm>
                            <a:off x="1943" y="7740"/>
                            <a:ext cx="4500" cy="1080"/>
                          </a:xfrm>
                          <a:prstGeom prst="rect">
                            <a:avLst/>
                          </a:prstGeom>
                          <a:solidFill>
                            <a:srgbClr val="FFFFFF"/>
                          </a:solidFill>
                          <a:ln w="9525">
                            <a:solidFill>
                              <a:srgbClr val="000000"/>
                            </a:solidFill>
                            <a:miter lim="800000"/>
                            <a:headEnd/>
                            <a:tailEnd/>
                          </a:ln>
                        </wps:spPr>
                        <wps:txbx>
                          <w:txbxContent>
                            <w:p w:rsidR="00BE40F8" w:rsidRPr="00637B56" w:rsidRDefault="00BE40F8" w:rsidP="00873076">
                              <w:pPr>
                                <w:ind w:firstLine="0"/>
                                <w:jc w:val="center"/>
                                <w:rPr>
                                  <w:rFonts w:ascii="Times New Roman" w:hAnsi="Times New Roman" w:cs="Times New Roman"/>
                                  <w:sz w:val="14"/>
                                  <w:szCs w:val="14"/>
                                </w:rPr>
                              </w:pPr>
                              <w:r w:rsidRPr="00637B56">
                                <w:rPr>
                                  <w:rFonts w:ascii="Times New Roman" w:hAnsi="Times New Roman" w:cs="Times New Roman"/>
                                  <w:sz w:val="14"/>
                                  <w:szCs w:val="14"/>
                                </w:rPr>
                                <w:t>Методи управління та інструменти їх реалі</w:t>
                              </w:r>
                              <w:r>
                                <w:rPr>
                                  <w:rFonts w:ascii="Times New Roman" w:hAnsi="Times New Roman" w:cs="Times New Roman"/>
                                  <w:sz w:val="14"/>
                                  <w:szCs w:val="14"/>
                                </w:rPr>
                                <w:t>-</w:t>
                              </w:r>
                              <w:r w:rsidRPr="00637B56">
                                <w:rPr>
                                  <w:rFonts w:ascii="Times New Roman" w:hAnsi="Times New Roman" w:cs="Times New Roman"/>
                                  <w:sz w:val="14"/>
                                  <w:szCs w:val="14"/>
                                </w:rPr>
                                <w:t>зації:</w:t>
                              </w:r>
                              <w:r>
                                <w:rPr>
                                  <w:rFonts w:ascii="Times New Roman" w:hAnsi="Times New Roman" w:cs="Times New Roman"/>
                                  <w:sz w:val="14"/>
                                  <w:szCs w:val="14"/>
                                </w:rPr>
                                <w:t xml:space="preserve"> </w:t>
                              </w:r>
                              <w:r w:rsidRPr="00637B56">
                                <w:rPr>
                                  <w:rFonts w:ascii="Times New Roman" w:hAnsi="Times New Roman" w:cs="Times New Roman"/>
                                  <w:sz w:val="14"/>
                                  <w:szCs w:val="14"/>
                                </w:rPr>
                                <w:t>фінансово-економічні</w:t>
                              </w:r>
                              <w:r>
                                <w:rPr>
                                  <w:rFonts w:ascii="Times New Roman" w:hAnsi="Times New Roman" w:cs="Times New Roman"/>
                                  <w:sz w:val="14"/>
                                  <w:szCs w:val="14"/>
                                </w:rPr>
                                <w:t xml:space="preserve">; організаційно-розпорядчі; </w:t>
                              </w:r>
                              <w:r w:rsidRPr="00637B56">
                                <w:rPr>
                                  <w:rFonts w:ascii="Times New Roman" w:hAnsi="Times New Roman" w:cs="Times New Roman"/>
                                  <w:sz w:val="14"/>
                                  <w:szCs w:val="14"/>
                                </w:rPr>
                                <w:t>нормативно-правові</w:t>
                              </w:r>
                              <w:r>
                                <w:rPr>
                                  <w:rFonts w:ascii="Times New Roman" w:hAnsi="Times New Roman" w:cs="Times New Roman"/>
                                  <w:sz w:val="14"/>
                                  <w:szCs w:val="14"/>
                                </w:rPr>
                                <w:t xml:space="preserve">; </w:t>
                              </w:r>
                              <w:r w:rsidRPr="00637B56">
                                <w:rPr>
                                  <w:rFonts w:ascii="Times New Roman" w:hAnsi="Times New Roman" w:cs="Times New Roman"/>
                                  <w:sz w:val="14"/>
                                  <w:szCs w:val="14"/>
                                </w:rPr>
                                <w:t>соціально-психологічні</w:t>
                              </w:r>
                            </w:p>
                          </w:txbxContent>
                        </wps:txbx>
                        <wps:bodyPr rot="0" vert="horz" wrap="square" lIns="0" tIns="0" rIns="0" bIns="0" anchor="t" anchorCtr="0" upright="1">
                          <a:noAutofit/>
                        </wps:bodyPr>
                      </wps:wsp>
                      <wps:wsp>
                        <wps:cNvPr id="2114" name="AutoShape 587"/>
                        <wps:cNvSpPr>
                          <a:spLocks/>
                        </wps:cNvSpPr>
                        <wps:spPr bwMode="auto">
                          <a:xfrm>
                            <a:off x="1788" y="1614"/>
                            <a:ext cx="141" cy="8348"/>
                          </a:xfrm>
                          <a:prstGeom prst="rightBrace">
                            <a:avLst>
                              <a:gd name="adj1" fmla="val 493381"/>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15" name="AutoShape 588"/>
                        <wps:cNvCnPr/>
                        <wps:spPr bwMode="auto">
                          <a:xfrm>
                            <a:off x="1929" y="5788"/>
                            <a:ext cx="1" cy="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16" name="AutoShape 589"/>
                        <wps:cNvCnPr/>
                        <wps:spPr bwMode="auto">
                          <a:xfrm>
                            <a:off x="1929" y="5788"/>
                            <a:ext cx="1" cy="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17" name="AutoShape 590"/>
                        <wps:cNvCnPr/>
                        <wps:spPr bwMode="auto">
                          <a:xfrm>
                            <a:off x="1929" y="5788"/>
                            <a:ext cx="1" cy="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18" name="Text Box 594"/>
                        <wps:cNvSpPr txBox="1">
                          <a:spLocks noChangeArrowheads="1"/>
                        </wps:cNvSpPr>
                        <wps:spPr bwMode="auto">
                          <a:xfrm>
                            <a:off x="7703" y="5040"/>
                            <a:ext cx="6333" cy="540"/>
                          </a:xfrm>
                          <a:prstGeom prst="rect">
                            <a:avLst/>
                          </a:prstGeom>
                          <a:solidFill>
                            <a:srgbClr val="FFFFFF"/>
                          </a:solidFill>
                          <a:ln w="9525">
                            <a:solidFill>
                              <a:srgbClr val="000000"/>
                            </a:solidFill>
                            <a:miter lim="800000"/>
                            <a:headEnd/>
                            <a:tailEnd/>
                          </a:ln>
                        </wps:spPr>
                        <wps:txbx>
                          <w:txbxContent>
                            <w:p w:rsidR="00BE40F8" w:rsidRPr="00637B56"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Встановлення факторів впливу зовнішнього середовища на фінансово-господарську діяльність ВНЗ</w:t>
                              </w:r>
                            </w:p>
                          </w:txbxContent>
                        </wps:txbx>
                        <wps:bodyPr rot="0" vert="horz" wrap="square" lIns="54000" tIns="10800" rIns="54000" bIns="10800" anchor="t" anchorCtr="0" upright="1">
                          <a:noAutofit/>
                        </wps:bodyPr>
                      </wps:wsp>
                      <wps:wsp>
                        <wps:cNvPr id="2119" name="Text Box 595"/>
                        <wps:cNvSpPr txBox="1">
                          <a:spLocks noChangeArrowheads="1"/>
                        </wps:cNvSpPr>
                        <wps:spPr bwMode="auto">
                          <a:xfrm>
                            <a:off x="7703" y="5580"/>
                            <a:ext cx="6333" cy="360"/>
                          </a:xfrm>
                          <a:prstGeom prst="rect">
                            <a:avLst/>
                          </a:prstGeom>
                          <a:solidFill>
                            <a:srgbClr val="FFFFFF"/>
                          </a:solidFill>
                          <a:ln w="9525">
                            <a:solidFill>
                              <a:srgbClr val="000000"/>
                            </a:solidFill>
                            <a:miter lim="800000"/>
                            <a:headEnd/>
                            <a:tailEnd/>
                          </a:ln>
                        </wps:spPr>
                        <wps:txbx>
                          <w:txbxContent>
                            <w:p w:rsidR="00BE40F8" w:rsidRPr="00637B56"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Виявлення сильних та слабких сторін діяльності ВНЗ</w:t>
                              </w:r>
                            </w:p>
                            <w:p w:rsidR="00BE40F8" w:rsidRPr="00637B56" w:rsidRDefault="00BE40F8" w:rsidP="00662748">
                              <w:pPr>
                                <w:rPr>
                                  <w:rFonts w:ascii="Times New Roman" w:hAnsi="Times New Roman" w:cs="Times New Roman"/>
                                  <w:sz w:val="14"/>
                                  <w:szCs w:val="14"/>
                                </w:rPr>
                              </w:pPr>
                            </w:p>
                          </w:txbxContent>
                        </wps:txbx>
                        <wps:bodyPr rot="0" vert="horz" wrap="square" lIns="54000" tIns="10800" rIns="54000" bIns="10800" anchor="t" anchorCtr="0" upright="1">
                          <a:noAutofit/>
                        </wps:bodyPr>
                      </wps:wsp>
                      <wps:wsp>
                        <wps:cNvPr id="2120" name="Text Box 596"/>
                        <wps:cNvSpPr txBox="1">
                          <a:spLocks noChangeArrowheads="1"/>
                        </wps:cNvSpPr>
                        <wps:spPr bwMode="auto">
                          <a:xfrm>
                            <a:off x="7703" y="5940"/>
                            <a:ext cx="6333" cy="356"/>
                          </a:xfrm>
                          <a:prstGeom prst="rect">
                            <a:avLst/>
                          </a:prstGeom>
                          <a:solidFill>
                            <a:srgbClr val="FFFFFF"/>
                          </a:solidFill>
                          <a:ln w="9525">
                            <a:solidFill>
                              <a:srgbClr val="000000"/>
                            </a:solidFill>
                            <a:miter lim="800000"/>
                            <a:headEnd/>
                            <a:tailEnd/>
                          </a:ln>
                        </wps:spPr>
                        <wps:txbx>
                          <w:txbxContent>
                            <w:p w:rsidR="00BE40F8" w:rsidRPr="00637B56"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Визначення ризиків та способів їх нейтралізації</w:t>
                              </w:r>
                            </w:p>
                            <w:p w:rsidR="00BE40F8" w:rsidRPr="00637B56" w:rsidRDefault="00BE40F8" w:rsidP="00662748">
                              <w:pPr>
                                <w:rPr>
                                  <w:rFonts w:ascii="Times New Roman" w:hAnsi="Times New Roman" w:cs="Times New Roman"/>
                                  <w:sz w:val="14"/>
                                  <w:szCs w:val="14"/>
                                </w:rPr>
                              </w:pPr>
                            </w:p>
                          </w:txbxContent>
                        </wps:txbx>
                        <wps:bodyPr rot="0" vert="horz" wrap="square" lIns="54000" tIns="10800" rIns="54000" bIns="10800" anchor="t" anchorCtr="0" upright="1">
                          <a:noAutofit/>
                        </wps:bodyPr>
                      </wps:wsp>
                      <wps:wsp>
                        <wps:cNvPr id="2121" name="Line 601"/>
                        <wps:cNvCnPr/>
                        <wps:spPr bwMode="auto">
                          <a:xfrm flipH="1">
                            <a:off x="14214" y="6956"/>
                            <a:ext cx="17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22" name="Text Box 602"/>
                        <wps:cNvSpPr txBox="1">
                          <a:spLocks noChangeArrowheads="1"/>
                        </wps:cNvSpPr>
                        <wps:spPr bwMode="auto">
                          <a:xfrm>
                            <a:off x="8962" y="7309"/>
                            <a:ext cx="1260" cy="424"/>
                          </a:xfrm>
                          <a:prstGeom prst="rect">
                            <a:avLst/>
                          </a:prstGeom>
                          <a:solidFill>
                            <a:srgbClr val="FFFFFF"/>
                          </a:solidFill>
                          <a:ln w="9525">
                            <a:solidFill>
                              <a:srgbClr val="000000"/>
                            </a:solidFill>
                            <a:miter lim="800000"/>
                            <a:headEnd/>
                            <a:tailEnd/>
                          </a:ln>
                        </wps:spPr>
                        <wps:txbx>
                          <w:txbxContent>
                            <w:p w:rsidR="00BE40F8" w:rsidRPr="00873076" w:rsidRDefault="00BE40F8" w:rsidP="00873076">
                              <w:pPr>
                                <w:spacing w:line="192" w:lineRule="auto"/>
                                <w:ind w:firstLine="0"/>
                                <w:jc w:val="center"/>
                                <w:rPr>
                                  <w:rFonts w:ascii="Times New Roman" w:hAnsi="Times New Roman" w:cs="Times New Roman"/>
                                  <w:sz w:val="13"/>
                                  <w:szCs w:val="13"/>
                                </w:rPr>
                              </w:pPr>
                              <w:r w:rsidRPr="00873076">
                                <w:rPr>
                                  <w:rFonts w:ascii="Times New Roman" w:hAnsi="Times New Roman" w:cs="Times New Roman"/>
                                  <w:sz w:val="13"/>
                                  <w:szCs w:val="13"/>
                                </w:rPr>
                                <w:t>Оптимізація</w:t>
                              </w:r>
                            </w:p>
                            <w:p w:rsidR="00BE40F8" w:rsidRPr="00873076" w:rsidRDefault="00BE40F8" w:rsidP="00873076">
                              <w:pPr>
                                <w:spacing w:line="192" w:lineRule="auto"/>
                                <w:ind w:firstLine="0"/>
                                <w:jc w:val="center"/>
                                <w:rPr>
                                  <w:rFonts w:ascii="Times New Roman" w:hAnsi="Times New Roman" w:cs="Times New Roman"/>
                                  <w:sz w:val="13"/>
                                  <w:szCs w:val="13"/>
                                </w:rPr>
                              </w:pPr>
                              <w:r w:rsidRPr="00873076">
                                <w:rPr>
                                  <w:rFonts w:ascii="Times New Roman" w:hAnsi="Times New Roman" w:cs="Times New Roman"/>
                                  <w:sz w:val="13"/>
                                  <w:szCs w:val="13"/>
                                </w:rPr>
                                <w:t>видатків</w:t>
                              </w:r>
                            </w:p>
                          </w:txbxContent>
                        </wps:txbx>
                        <wps:bodyPr rot="0" vert="horz" wrap="square" lIns="0" tIns="0" rIns="0" bIns="0" anchor="t" anchorCtr="0" upright="1">
                          <a:noAutofit/>
                        </wps:bodyPr>
                      </wps:wsp>
                      <wps:wsp>
                        <wps:cNvPr id="2123" name="Line 604"/>
                        <wps:cNvCnPr/>
                        <wps:spPr bwMode="auto">
                          <a:xfrm flipH="1">
                            <a:off x="10763" y="10080"/>
                            <a:ext cx="3420" cy="1"/>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124" name="Пряма сполучна лінія 572"/>
                        <wps:cNvCnPr/>
                        <wps:spPr bwMode="auto">
                          <a:xfrm flipH="1">
                            <a:off x="1929" y="10260"/>
                            <a:ext cx="13176"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125" name="Text Box 596"/>
                        <wps:cNvSpPr txBox="1">
                          <a:spLocks noChangeArrowheads="1"/>
                        </wps:cNvSpPr>
                        <wps:spPr bwMode="auto">
                          <a:xfrm>
                            <a:off x="7703" y="8280"/>
                            <a:ext cx="6300" cy="360"/>
                          </a:xfrm>
                          <a:prstGeom prst="rect">
                            <a:avLst/>
                          </a:prstGeom>
                          <a:solidFill>
                            <a:srgbClr val="FFFFFF"/>
                          </a:solidFill>
                          <a:ln w="9525">
                            <a:solidFill>
                              <a:srgbClr val="000000"/>
                            </a:solidFill>
                            <a:miter lim="800000"/>
                            <a:headEnd/>
                            <a:tailEnd/>
                          </a:ln>
                        </wps:spPr>
                        <wps:txbx>
                          <w:txbxContent>
                            <w:p w:rsidR="00BE40F8" w:rsidRPr="00637B56" w:rsidRDefault="00BE40F8" w:rsidP="00B5166C">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Визначення методів управління та інструментів їх реалізації</w:t>
                              </w:r>
                            </w:p>
                          </w:txbxContent>
                        </wps:txbx>
                        <wps:bodyPr rot="0" vert="horz" wrap="square" lIns="0" tIns="0" rIns="0" bIns="0" anchor="t" anchorCtr="0" upright="1">
                          <a:noAutofit/>
                        </wps:bodyPr>
                      </wps:wsp>
                      <wps:wsp>
                        <wps:cNvPr id="2126" name="Line 975"/>
                        <wps:cNvCnPr/>
                        <wps:spPr bwMode="auto">
                          <a:xfrm>
                            <a:off x="11123" y="684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27" name="Line 976"/>
                        <wps:cNvCnPr/>
                        <wps:spPr bwMode="auto">
                          <a:xfrm>
                            <a:off x="10943" y="684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28" name="Line 977"/>
                        <wps:cNvCnPr/>
                        <wps:spPr bwMode="auto">
                          <a:xfrm>
                            <a:off x="10763" y="6300"/>
                            <a:ext cx="1"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29" name="Line 978"/>
                        <wps:cNvCnPr/>
                        <wps:spPr bwMode="auto">
                          <a:xfrm>
                            <a:off x="10763" y="8100"/>
                            <a:ext cx="1"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30" name="Text Box 594"/>
                        <wps:cNvSpPr txBox="1">
                          <a:spLocks noChangeArrowheads="1"/>
                        </wps:cNvSpPr>
                        <wps:spPr bwMode="auto">
                          <a:xfrm>
                            <a:off x="7703" y="4680"/>
                            <a:ext cx="6333" cy="360"/>
                          </a:xfrm>
                          <a:prstGeom prst="rect">
                            <a:avLst/>
                          </a:prstGeom>
                          <a:solidFill>
                            <a:srgbClr val="FFFFFF"/>
                          </a:solidFill>
                          <a:ln w="9525">
                            <a:solidFill>
                              <a:srgbClr val="000000"/>
                            </a:solidFill>
                            <a:miter lim="800000"/>
                            <a:headEnd/>
                            <a:tailEnd/>
                          </a:ln>
                        </wps:spPr>
                        <wps:txbx>
                          <w:txbxContent>
                            <w:p w:rsidR="00BE40F8" w:rsidRPr="00637B56"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Аналіз стану і умов фінансово-господарської діяльності ВНЗ</w:t>
                              </w:r>
                            </w:p>
                          </w:txbxContent>
                        </wps:txbx>
                        <wps:bodyPr rot="0" vert="horz" wrap="square" lIns="54000" tIns="10800" rIns="54000" bIns="10800" anchor="t" anchorCtr="0" upright="1">
                          <a:noAutofit/>
                        </wps:bodyPr>
                      </wps:wsp>
                      <wps:wsp>
                        <wps:cNvPr id="2131" name="Line 605"/>
                        <wps:cNvCnPr/>
                        <wps:spPr bwMode="auto">
                          <a:xfrm>
                            <a:off x="10763" y="9902"/>
                            <a:ext cx="1" cy="1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32" name="Text Box 603"/>
                        <wps:cNvSpPr txBox="1">
                          <a:spLocks noChangeArrowheads="1"/>
                        </wps:cNvSpPr>
                        <wps:spPr bwMode="auto">
                          <a:xfrm>
                            <a:off x="11482" y="7307"/>
                            <a:ext cx="1246" cy="426"/>
                          </a:xfrm>
                          <a:prstGeom prst="rect">
                            <a:avLst/>
                          </a:prstGeom>
                          <a:solidFill>
                            <a:srgbClr val="FFFFFF"/>
                          </a:solidFill>
                          <a:ln w="9525">
                            <a:solidFill>
                              <a:srgbClr val="000000"/>
                            </a:solidFill>
                            <a:miter lim="800000"/>
                            <a:headEnd/>
                            <a:tailEnd/>
                          </a:ln>
                        </wps:spPr>
                        <wps:txbx>
                          <w:txbxContent>
                            <w:p w:rsidR="00BE40F8" w:rsidRPr="00B5166C" w:rsidRDefault="00BE40F8" w:rsidP="00B5166C">
                              <w:pPr>
                                <w:spacing w:line="192" w:lineRule="auto"/>
                                <w:ind w:firstLine="0"/>
                                <w:jc w:val="center"/>
                                <w:rPr>
                                  <w:rFonts w:ascii="Times New Roman" w:hAnsi="Times New Roman" w:cs="Times New Roman"/>
                                  <w:sz w:val="13"/>
                                  <w:szCs w:val="13"/>
                                </w:rPr>
                              </w:pPr>
                              <w:r w:rsidRPr="00B5166C">
                                <w:rPr>
                                  <w:rFonts w:ascii="Times New Roman" w:hAnsi="Times New Roman" w:cs="Times New Roman"/>
                                  <w:spacing w:val="-4"/>
                                  <w:sz w:val="13"/>
                                  <w:szCs w:val="13"/>
                                </w:rPr>
                                <w:t xml:space="preserve">Інформаційне </w:t>
                              </w:r>
                              <w:r w:rsidRPr="00B5166C">
                                <w:rPr>
                                  <w:rFonts w:ascii="Times New Roman" w:hAnsi="Times New Roman" w:cs="Times New Roman"/>
                                  <w:sz w:val="13"/>
                                  <w:szCs w:val="13"/>
                                </w:rPr>
                                <w:t>забезпечення</w:t>
                              </w:r>
                            </w:p>
                          </w:txbxContent>
                        </wps:txbx>
                        <wps:bodyPr rot="0" vert="horz" wrap="square" lIns="0" tIns="0" rIns="0" bIns="0" anchor="t" anchorCtr="0" upright="1">
                          <a:noAutofit/>
                        </wps:bodyPr>
                      </wps:wsp>
                      <wps:wsp>
                        <wps:cNvPr id="2133" name="Text Box 613"/>
                        <wps:cNvSpPr txBox="1">
                          <a:spLocks noChangeArrowheads="1"/>
                        </wps:cNvSpPr>
                        <wps:spPr bwMode="auto">
                          <a:xfrm>
                            <a:off x="14363" y="9720"/>
                            <a:ext cx="1505" cy="530"/>
                          </a:xfrm>
                          <a:prstGeom prst="rect">
                            <a:avLst/>
                          </a:prstGeom>
                          <a:solidFill>
                            <a:srgbClr val="FFFFFF"/>
                          </a:solidFill>
                          <a:ln w="9525">
                            <a:solidFill>
                              <a:srgbClr val="000000"/>
                            </a:solidFill>
                            <a:miter lim="800000"/>
                            <a:headEnd/>
                            <a:tailEnd/>
                          </a:ln>
                        </wps:spPr>
                        <wps:txbx>
                          <w:txbxContent>
                            <w:p w:rsidR="00BE40F8" w:rsidRPr="00B5166C" w:rsidRDefault="00BE40F8" w:rsidP="00B5166C">
                              <w:pPr>
                                <w:spacing w:line="168" w:lineRule="auto"/>
                                <w:ind w:firstLine="0"/>
                                <w:jc w:val="center"/>
                                <w:rPr>
                                  <w:rFonts w:ascii="Times New Roman" w:hAnsi="Times New Roman" w:cs="Times New Roman"/>
                                  <w:bCs/>
                                  <w:sz w:val="14"/>
                                  <w:szCs w:val="14"/>
                                </w:rPr>
                              </w:pPr>
                              <w:r w:rsidRPr="00B5166C">
                                <w:rPr>
                                  <w:rFonts w:ascii="Times New Roman" w:hAnsi="Times New Roman" w:cs="Times New Roman"/>
                                  <w:bCs/>
                                  <w:sz w:val="14"/>
                                  <w:szCs w:val="14"/>
                                </w:rPr>
                                <w:t>Економічний розвиток</w:t>
                              </w:r>
                            </w:p>
                          </w:txbxContent>
                        </wps:txbx>
                        <wps:bodyPr rot="0" vert="horz" wrap="square" lIns="0" tIns="0" rIns="0" bIns="0" anchor="t" anchorCtr="0" upright="1">
                          <a:noAutofit/>
                        </wps:bodyPr>
                      </wps:wsp>
                      <wps:wsp>
                        <wps:cNvPr id="2134" name="AutoShape 983"/>
                        <wps:cNvSpPr>
                          <a:spLocks noChangeArrowheads="1"/>
                        </wps:cNvSpPr>
                        <wps:spPr bwMode="auto">
                          <a:xfrm>
                            <a:off x="14003" y="9540"/>
                            <a:ext cx="540" cy="180"/>
                          </a:xfrm>
                          <a:prstGeom prst="curvedDownArrow">
                            <a:avLst>
                              <a:gd name="adj1" fmla="val 60000"/>
                              <a:gd name="adj2" fmla="val 12000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35" name="Text Box 984"/>
                        <wps:cNvSpPr txBox="1">
                          <a:spLocks noChangeArrowheads="1"/>
                        </wps:cNvSpPr>
                        <wps:spPr bwMode="auto">
                          <a:xfrm>
                            <a:off x="6083" y="3600"/>
                            <a:ext cx="1620" cy="360"/>
                          </a:xfrm>
                          <a:prstGeom prst="rect">
                            <a:avLst/>
                          </a:prstGeom>
                          <a:solidFill>
                            <a:srgbClr val="FFFFFF"/>
                          </a:solidFill>
                          <a:ln w="9525">
                            <a:solidFill>
                              <a:srgbClr val="000000"/>
                            </a:solidFill>
                            <a:miter lim="800000"/>
                            <a:headEnd/>
                            <a:tailEnd/>
                          </a:ln>
                        </wps:spPr>
                        <wps:txbx>
                          <w:txbxContent>
                            <w:p w:rsidR="00BE40F8" w:rsidRPr="00637B56" w:rsidRDefault="00BE40F8" w:rsidP="00815BE1">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Безперервності</w:t>
                              </w:r>
                            </w:p>
                          </w:txbxContent>
                        </wps:txbx>
                        <wps:bodyPr rot="0" vert="horz" wrap="square" lIns="0" tIns="0" rIns="0" bIns="0" anchor="t" anchorCtr="0" upright="1">
                          <a:noAutofit/>
                        </wps:bodyPr>
                      </wps:wsp>
                      <wps:wsp>
                        <wps:cNvPr id="2136" name="Text Box 985"/>
                        <wps:cNvSpPr txBox="1">
                          <a:spLocks noChangeArrowheads="1"/>
                        </wps:cNvSpPr>
                        <wps:spPr bwMode="auto">
                          <a:xfrm>
                            <a:off x="13283" y="2880"/>
                            <a:ext cx="1800" cy="540"/>
                          </a:xfrm>
                          <a:prstGeom prst="rect">
                            <a:avLst/>
                          </a:prstGeom>
                          <a:solidFill>
                            <a:srgbClr val="FFFFFF"/>
                          </a:solidFill>
                          <a:ln w="9525">
                            <a:solidFill>
                              <a:srgbClr val="000000"/>
                            </a:solidFill>
                            <a:miter lim="800000"/>
                            <a:headEnd/>
                            <a:tailEnd/>
                          </a:ln>
                        </wps:spPr>
                        <wps:txbx>
                          <w:txbxContent>
                            <w:p w:rsidR="00BE40F8" w:rsidRPr="00637B56" w:rsidRDefault="00BE40F8" w:rsidP="00815BE1">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lang w:val="en-US"/>
                                </w:rPr>
                                <w:t>Комплексний</w:t>
                              </w:r>
                            </w:p>
                            <w:p w:rsidR="00BE40F8" w:rsidRPr="00637B56" w:rsidRDefault="00BE40F8" w:rsidP="00662748">
                              <w:pPr>
                                <w:rPr>
                                  <w:rFonts w:ascii="Times New Roman" w:hAnsi="Times New Roman" w:cs="Times New Roman"/>
                                  <w:sz w:val="14"/>
                                  <w:szCs w:val="14"/>
                                </w:rPr>
                              </w:pPr>
                            </w:p>
                          </w:txbxContent>
                        </wps:txbx>
                        <wps:bodyPr rot="0" vert="horz" wrap="square" lIns="0" tIns="0" rIns="0" bIns="0" anchor="t" anchorCtr="0" upright="1">
                          <a:noAutofit/>
                        </wps:bodyPr>
                      </wps:wsp>
                      <wps:wsp>
                        <wps:cNvPr id="2137" name="Text Box 986"/>
                        <wps:cNvSpPr txBox="1">
                          <a:spLocks noChangeArrowheads="1"/>
                        </wps:cNvSpPr>
                        <wps:spPr bwMode="auto">
                          <a:xfrm>
                            <a:off x="6803" y="4680"/>
                            <a:ext cx="900" cy="1620"/>
                          </a:xfrm>
                          <a:prstGeom prst="rect">
                            <a:avLst/>
                          </a:prstGeom>
                          <a:solidFill>
                            <a:srgbClr val="FFFFFF"/>
                          </a:solidFill>
                          <a:ln w="9525">
                            <a:solidFill>
                              <a:srgbClr val="000000"/>
                            </a:solidFill>
                            <a:miter lim="800000"/>
                            <a:headEnd/>
                            <a:tailEnd/>
                          </a:ln>
                        </wps:spPr>
                        <wps:txbx>
                          <w:txbxContent>
                            <w:p w:rsidR="00BE40F8" w:rsidRPr="00873076" w:rsidRDefault="00BE40F8" w:rsidP="00873076">
                              <w:pPr>
                                <w:ind w:firstLine="0"/>
                                <w:jc w:val="center"/>
                                <w:rPr>
                                  <w:rFonts w:ascii="Times New Roman" w:hAnsi="Times New Roman" w:cs="Times New Roman"/>
                                  <w:sz w:val="13"/>
                                  <w:szCs w:val="13"/>
                                </w:rPr>
                              </w:pPr>
                              <w:r w:rsidRPr="00873076">
                                <w:rPr>
                                  <w:rFonts w:ascii="Times New Roman" w:hAnsi="Times New Roman" w:cs="Times New Roman"/>
                                  <w:sz w:val="13"/>
                                  <w:szCs w:val="13"/>
                                </w:rPr>
                                <w:t>Підсистема аналізу</w:t>
                              </w:r>
                            </w:p>
                          </w:txbxContent>
                        </wps:txbx>
                        <wps:bodyPr rot="0" vert="vert270" wrap="square" lIns="0" tIns="0" rIns="0" bIns="0" anchor="t" anchorCtr="0" upright="1">
                          <a:noAutofit/>
                        </wps:bodyPr>
                      </wps:wsp>
                      <wps:wsp>
                        <wps:cNvPr id="2138" name="Text Box 596"/>
                        <wps:cNvSpPr txBox="1">
                          <a:spLocks noChangeArrowheads="1"/>
                        </wps:cNvSpPr>
                        <wps:spPr bwMode="auto">
                          <a:xfrm>
                            <a:off x="7703" y="6480"/>
                            <a:ext cx="6333" cy="360"/>
                          </a:xfrm>
                          <a:prstGeom prst="rect">
                            <a:avLst/>
                          </a:prstGeom>
                          <a:solidFill>
                            <a:srgbClr val="FFFFFF"/>
                          </a:solidFill>
                          <a:ln w="9525">
                            <a:solidFill>
                              <a:srgbClr val="000000"/>
                            </a:solidFill>
                            <a:miter lim="800000"/>
                            <a:headEnd/>
                            <a:tailEnd/>
                          </a:ln>
                        </wps:spPr>
                        <wps:txbx>
                          <w:txbxContent>
                            <w:p w:rsidR="00BE40F8" w:rsidRPr="00637B56"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Розробка перспективного плану розвитку</w:t>
                              </w:r>
                            </w:p>
                            <w:p w:rsidR="00BE40F8" w:rsidRPr="00637B56" w:rsidRDefault="00BE40F8" w:rsidP="00662748">
                              <w:pPr>
                                <w:rPr>
                                  <w:rFonts w:ascii="Times New Roman" w:hAnsi="Times New Roman" w:cs="Times New Roman"/>
                                  <w:sz w:val="14"/>
                                  <w:szCs w:val="14"/>
                                </w:rPr>
                              </w:pPr>
                            </w:p>
                          </w:txbxContent>
                        </wps:txbx>
                        <wps:bodyPr rot="0" vert="horz" wrap="square" lIns="54000" tIns="10800" rIns="54000" bIns="10800" anchor="t" anchorCtr="0" upright="1">
                          <a:noAutofit/>
                        </wps:bodyPr>
                      </wps:wsp>
                      <wps:wsp>
                        <wps:cNvPr id="2139" name="Text Box 596"/>
                        <wps:cNvSpPr txBox="1">
                          <a:spLocks noChangeArrowheads="1"/>
                        </wps:cNvSpPr>
                        <wps:spPr bwMode="auto">
                          <a:xfrm>
                            <a:off x="7701" y="6763"/>
                            <a:ext cx="6333" cy="548"/>
                          </a:xfrm>
                          <a:prstGeom prst="rect">
                            <a:avLst/>
                          </a:prstGeom>
                          <a:solidFill>
                            <a:srgbClr val="FFFFFF"/>
                          </a:solidFill>
                          <a:ln w="9525">
                            <a:solidFill>
                              <a:srgbClr val="000000"/>
                            </a:solidFill>
                            <a:miter lim="800000"/>
                            <a:headEnd/>
                            <a:tailEnd/>
                          </a:ln>
                        </wps:spPr>
                        <wps:txbx>
                          <w:txbxContent>
                            <w:p w:rsidR="00BE40F8" w:rsidRPr="00637B56"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Визначення напрямів діяльності та вироблення заходів для їх здійснення</w:t>
                              </w:r>
                            </w:p>
                            <w:p w:rsidR="00BE40F8" w:rsidRPr="00637B56" w:rsidRDefault="00BE40F8" w:rsidP="00662748">
                              <w:pPr>
                                <w:rPr>
                                  <w:rFonts w:ascii="Times New Roman" w:hAnsi="Times New Roman" w:cs="Times New Roman"/>
                                  <w:sz w:val="14"/>
                                  <w:szCs w:val="14"/>
                                </w:rPr>
                              </w:pPr>
                            </w:p>
                          </w:txbxContent>
                        </wps:txbx>
                        <wps:bodyPr rot="0" vert="horz" wrap="square" lIns="54000" tIns="10800" rIns="54000" bIns="10800" anchor="t" anchorCtr="0" upright="1">
                          <a:noAutofit/>
                        </wps:bodyPr>
                      </wps:wsp>
                      <wps:wsp>
                        <wps:cNvPr id="2140" name="Text Box 596"/>
                        <wps:cNvSpPr txBox="1">
                          <a:spLocks noChangeArrowheads="1"/>
                        </wps:cNvSpPr>
                        <wps:spPr bwMode="auto">
                          <a:xfrm>
                            <a:off x="7703" y="7740"/>
                            <a:ext cx="6333" cy="360"/>
                          </a:xfrm>
                          <a:prstGeom prst="rect">
                            <a:avLst/>
                          </a:prstGeom>
                          <a:solidFill>
                            <a:srgbClr val="FFFFFF"/>
                          </a:solidFill>
                          <a:ln w="9525">
                            <a:solidFill>
                              <a:srgbClr val="000000"/>
                            </a:solidFill>
                            <a:miter lim="800000"/>
                            <a:headEnd/>
                            <a:tailEnd/>
                          </a:ln>
                        </wps:spPr>
                        <wps:txbx>
                          <w:txbxContent>
                            <w:p w:rsidR="00BE40F8" w:rsidRPr="00637B56" w:rsidRDefault="00BE40F8" w:rsidP="00B5166C">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Визначення відповідальних осіб і строків виконання</w:t>
                              </w:r>
                            </w:p>
                          </w:txbxContent>
                        </wps:txbx>
                        <wps:bodyPr rot="0" vert="horz" wrap="square" lIns="0" tIns="0" rIns="0" bIns="0" anchor="t" anchorCtr="0" upright="1">
                          <a:noAutofit/>
                        </wps:bodyPr>
                      </wps:wsp>
                      <wps:wsp>
                        <wps:cNvPr id="2141" name="Text Box 596"/>
                        <wps:cNvSpPr txBox="1">
                          <a:spLocks noChangeArrowheads="1"/>
                        </wps:cNvSpPr>
                        <wps:spPr bwMode="auto">
                          <a:xfrm>
                            <a:off x="7703" y="8640"/>
                            <a:ext cx="6300" cy="360"/>
                          </a:xfrm>
                          <a:prstGeom prst="rect">
                            <a:avLst/>
                          </a:prstGeom>
                          <a:solidFill>
                            <a:srgbClr val="FFFFFF"/>
                          </a:solidFill>
                          <a:ln w="9525">
                            <a:solidFill>
                              <a:srgbClr val="000000"/>
                            </a:solidFill>
                            <a:miter lim="800000"/>
                            <a:headEnd/>
                            <a:tailEnd/>
                          </a:ln>
                        </wps:spPr>
                        <wps:txbx>
                          <w:txbxContent>
                            <w:p w:rsidR="00BE40F8" w:rsidRPr="00637B56" w:rsidRDefault="00BE40F8" w:rsidP="00662748">
                              <w:pPr>
                                <w:spacing w:line="192" w:lineRule="auto"/>
                                <w:jc w:val="center"/>
                                <w:rPr>
                                  <w:rFonts w:ascii="Times New Roman" w:hAnsi="Times New Roman" w:cs="Times New Roman"/>
                                  <w:sz w:val="14"/>
                                  <w:szCs w:val="14"/>
                                </w:rPr>
                              </w:pPr>
                              <w:r w:rsidRPr="00637B56">
                                <w:rPr>
                                  <w:rFonts w:ascii="Times New Roman" w:hAnsi="Times New Roman" w:cs="Times New Roman"/>
                                  <w:sz w:val="14"/>
                                  <w:szCs w:val="14"/>
                                </w:rPr>
                                <w:t xml:space="preserve">Реалізація заходів у відповідності до напрямів діяльності </w:t>
                              </w:r>
                            </w:p>
                          </w:txbxContent>
                        </wps:txbx>
                        <wps:bodyPr rot="0" vert="horz" wrap="square" lIns="0" tIns="0" rIns="0" bIns="0" anchor="t" anchorCtr="0" upright="1">
                          <a:noAutofit/>
                        </wps:bodyPr>
                      </wps:wsp>
                      <wps:wsp>
                        <wps:cNvPr id="2142" name="Text Box 596"/>
                        <wps:cNvSpPr txBox="1">
                          <a:spLocks noChangeArrowheads="1"/>
                        </wps:cNvSpPr>
                        <wps:spPr bwMode="auto">
                          <a:xfrm>
                            <a:off x="7702" y="9082"/>
                            <a:ext cx="6300" cy="457"/>
                          </a:xfrm>
                          <a:prstGeom prst="rect">
                            <a:avLst/>
                          </a:prstGeom>
                          <a:solidFill>
                            <a:srgbClr val="FFFFFF"/>
                          </a:solidFill>
                          <a:ln w="9525">
                            <a:solidFill>
                              <a:srgbClr val="000000"/>
                            </a:solidFill>
                            <a:miter lim="800000"/>
                            <a:headEnd/>
                            <a:tailEnd/>
                          </a:ln>
                        </wps:spPr>
                        <wps:txbx>
                          <w:txbxContent>
                            <w:p w:rsidR="00BE40F8" w:rsidRPr="00637B56" w:rsidRDefault="00BE40F8" w:rsidP="00B5166C">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Визначення критеріїв та параметрів ФГД та контроль за їх виконанням</w:t>
                              </w:r>
                            </w:p>
                          </w:txbxContent>
                        </wps:txbx>
                        <wps:bodyPr rot="0" vert="horz" wrap="square" lIns="0" tIns="0" rIns="0" bIns="0" anchor="t" anchorCtr="0" upright="1">
                          <a:noAutofit/>
                        </wps:bodyPr>
                      </wps:wsp>
                      <wps:wsp>
                        <wps:cNvPr id="2143" name="Line 992"/>
                        <wps:cNvCnPr/>
                        <wps:spPr bwMode="auto">
                          <a:xfrm>
                            <a:off x="10763" y="9000"/>
                            <a:ext cx="1" cy="1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44" name="Text Box 596"/>
                        <wps:cNvSpPr txBox="1">
                          <a:spLocks noChangeArrowheads="1"/>
                        </wps:cNvSpPr>
                        <wps:spPr bwMode="auto">
                          <a:xfrm>
                            <a:off x="7703" y="9540"/>
                            <a:ext cx="6300" cy="360"/>
                          </a:xfrm>
                          <a:prstGeom prst="rect">
                            <a:avLst/>
                          </a:prstGeom>
                          <a:solidFill>
                            <a:srgbClr val="FFFFFF"/>
                          </a:solidFill>
                          <a:ln w="9525">
                            <a:solidFill>
                              <a:srgbClr val="000000"/>
                            </a:solidFill>
                            <a:miter lim="800000"/>
                            <a:headEnd/>
                            <a:tailEnd/>
                          </a:ln>
                        </wps:spPr>
                        <wps:txbx>
                          <w:txbxContent>
                            <w:p w:rsidR="00BE40F8" w:rsidRPr="00637B56" w:rsidRDefault="00BE40F8" w:rsidP="00B5166C">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 xml:space="preserve">Оцінка ефективності управління ФГД ВНЗ </w:t>
                              </w:r>
                            </w:p>
                          </w:txbxContent>
                        </wps:txbx>
                        <wps:bodyPr rot="0" vert="horz" wrap="square" lIns="54000" tIns="10800" rIns="54000" bIns="10800" anchor="t" anchorCtr="0" upright="1">
                          <a:noAutofit/>
                        </wps:bodyPr>
                      </wps:wsp>
                      <wps:wsp>
                        <wps:cNvPr id="2145" name="Text Box 994"/>
                        <wps:cNvSpPr txBox="1">
                          <a:spLocks noChangeArrowheads="1"/>
                        </wps:cNvSpPr>
                        <wps:spPr bwMode="auto">
                          <a:xfrm>
                            <a:off x="6803" y="6480"/>
                            <a:ext cx="900" cy="1620"/>
                          </a:xfrm>
                          <a:prstGeom prst="rect">
                            <a:avLst/>
                          </a:prstGeom>
                          <a:solidFill>
                            <a:srgbClr val="FFFFFF"/>
                          </a:solidFill>
                          <a:ln w="9525">
                            <a:solidFill>
                              <a:srgbClr val="000000"/>
                            </a:solidFill>
                            <a:miter lim="800000"/>
                            <a:headEnd/>
                            <a:tailEnd/>
                          </a:ln>
                        </wps:spPr>
                        <wps:txbx>
                          <w:txbxContent>
                            <w:p w:rsidR="00BE40F8" w:rsidRPr="00873076" w:rsidRDefault="00BE40F8" w:rsidP="00873076">
                              <w:pPr>
                                <w:spacing w:line="199" w:lineRule="auto"/>
                                <w:ind w:firstLine="0"/>
                                <w:jc w:val="center"/>
                                <w:rPr>
                                  <w:rFonts w:ascii="Times New Roman" w:hAnsi="Times New Roman" w:cs="Times New Roman"/>
                                  <w:sz w:val="13"/>
                                  <w:szCs w:val="13"/>
                                </w:rPr>
                              </w:pPr>
                              <w:r w:rsidRPr="00873076">
                                <w:rPr>
                                  <w:rFonts w:ascii="Times New Roman" w:hAnsi="Times New Roman" w:cs="Times New Roman"/>
                                  <w:sz w:val="13"/>
                                  <w:szCs w:val="13"/>
                                </w:rPr>
                                <w:t>Підсистема прогнозування і планування</w:t>
                              </w:r>
                            </w:p>
                          </w:txbxContent>
                        </wps:txbx>
                        <wps:bodyPr rot="0" vert="vert270" wrap="square" lIns="0" tIns="0" rIns="0" bIns="0" anchor="t" anchorCtr="0" upright="1">
                          <a:noAutofit/>
                        </wps:bodyPr>
                      </wps:wsp>
                      <wps:wsp>
                        <wps:cNvPr id="2146" name="Text Box 995"/>
                        <wps:cNvSpPr txBox="1">
                          <a:spLocks noChangeArrowheads="1"/>
                        </wps:cNvSpPr>
                        <wps:spPr bwMode="auto">
                          <a:xfrm>
                            <a:off x="6802" y="8182"/>
                            <a:ext cx="900" cy="816"/>
                          </a:xfrm>
                          <a:prstGeom prst="rect">
                            <a:avLst/>
                          </a:prstGeom>
                          <a:solidFill>
                            <a:srgbClr val="FFFFFF"/>
                          </a:solidFill>
                          <a:ln w="9525">
                            <a:solidFill>
                              <a:srgbClr val="000000"/>
                            </a:solidFill>
                            <a:miter lim="800000"/>
                            <a:headEnd/>
                            <a:tailEnd/>
                          </a:ln>
                        </wps:spPr>
                        <wps:txbx>
                          <w:txbxContent>
                            <w:p w:rsidR="00BE40F8" w:rsidRPr="00873076" w:rsidRDefault="00BE40F8" w:rsidP="00873076">
                              <w:pPr>
                                <w:ind w:firstLine="0"/>
                                <w:jc w:val="center"/>
                                <w:rPr>
                                  <w:rFonts w:ascii="Times New Roman" w:hAnsi="Times New Roman" w:cs="Times New Roman"/>
                                  <w:spacing w:val="-6"/>
                                  <w:sz w:val="13"/>
                                  <w:szCs w:val="13"/>
                                </w:rPr>
                              </w:pPr>
                              <w:r w:rsidRPr="00873076">
                                <w:rPr>
                                  <w:rFonts w:ascii="Times New Roman" w:hAnsi="Times New Roman" w:cs="Times New Roman"/>
                                  <w:spacing w:val="-6"/>
                                  <w:sz w:val="13"/>
                                  <w:szCs w:val="13"/>
                                </w:rPr>
                                <w:t>Підсистема органі</w:t>
                              </w:r>
                            </w:p>
                            <w:p w:rsidR="00BE40F8" w:rsidRPr="00873076" w:rsidRDefault="00BE40F8" w:rsidP="00873076">
                              <w:pPr>
                                <w:ind w:firstLine="0"/>
                                <w:jc w:val="center"/>
                                <w:rPr>
                                  <w:rFonts w:ascii="Times New Roman" w:hAnsi="Times New Roman" w:cs="Times New Roman"/>
                                  <w:sz w:val="13"/>
                                  <w:szCs w:val="13"/>
                                </w:rPr>
                              </w:pPr>
                              <w:r w:rsidRPr="00873076">
                                <w:rPr>
                                  <w:rFonts w:ascii="Times New Roman" w:hAnsi="Times New Roman" w:cs="Times New Roman"/>
                                  <w:spacing w:val="-6"/>
                                  <w:sz w:val="13"/>
                                  <w:szCs w:val="13"/>
                                </w:rPr>
                                <w:t>за</w:t>
                              </w:r>
                              <w:r w:rsidRPr="00873076">
                                <w:rPr>
                                  <w:rFonts w:ascii="Times New Roman" w:hAnsi="Times New Roman" w:cs="Times New Roman"/>
                                  <w:sz w:val="13"/>
                                  <w:szCs w:val="13"/>
                                </w:rPr>
                                <w:t>ції</w:t>
                              </w:r>
                            </w:p>
                          </w:txbxContent>
                        </wps:txbx>
                        <wps:bodyPr rot="0" vert="vert270" wrap="square" lIns="0" tIns="0" rIns="0" bIns="0" anchor="t" anchorCtr="0" upright="1">
                          <a:noAutofit/>
                        </wps:bodyPr>
                      </wps:wsp>
                      <wps:wsp>
                        <wps:cNvPr id="2147" name="Text Box 996"/>
                        <wps:cNvSpPr txBox="1">
                          <a:spLocks noChangeArrowheads="1"/>
                        </wps:cNvSpPr>
                        <wps:spPr bwMode="auto">
                          <a:xfrm>
                            <a:off x="6802" y="8999"/>
                            <a:ext cx="900" cy="962"/>
                          </a:xfrm>
                          <a:prstGeom prst="rect">
                            <a:avLst/>
                          </a:prstGeom>
                          <a:solidFill>
                            <a:srgbClr val="FFFFFF"/>
                          </a:solidFill>
                          <a:ln w="9525">
                            <a:solidFill>
                              <a:srgbClr val="000000"/>
                            </a:solidFill>
                            <a:miter lim="800000"/>
                            <a:headEnd/>
                            <a:tailEnd/>
                          </a:ln>
                        </wps:spPr>
                        <wps:txbx>
                          <w:txbxContent>
                            <w:p w:rsidR="00BE40F8" w:rsidRPr="00873076" w:rsidRDefault="00BE40F8" w:rsidP="00873076">
                              <w:pPr>
                                <w:ind w:firstLine="0"/>
                                <w:jc w:val="center"/>
                                <w:rPr>
                                  <w:rFonts w:ascii="Times New Roman" w:hAnsi="Times New Roman" w:cs="Times New Roman"/>
                                  <w:spacing w:val="-6"/>
                                  <w:sz w:val="13"/>
                                  <w:szCs w:val="13"/>
                                </w:rPr>
                              </w:pPr>
                              <w:r w:rsidRPr="00873076">
                                <w:rPr>
                                  <w:rFonts w:ascii="Times New Roman" w:hAnsi="Times New Roman" w:cs="Times New Roman"/>
                                  <w:spacing w:val="-8"/>
                                  <w:sz w:val="13"/>
                                  <w:szCs w:val="13"/>
                                </w:rPr>
                                <w:t xml:space="preserve">Підсистема </w:t>
                              </w:r>
                              <w:r w:rsidRPr="00873076">
                                <w:rPr>
                                  <w:rFonts w:ascii="Times New Roman" w:hAnsi="Times New Roman" w:cs="Times New Roman"/>
                                  <w:spacing w:val="-6"/>
                                  <w:sz w:val="13"/>
                                  <w:szCs w:val="13"/>
                                </w:rPr>
                                <w:t>контролю та оцінки</w:t>
                              </w:r>
                            </w:p>
                          </w:txbxContent>
                        </wps:txbx>
                        <wps:bodyPr rot="0" vert="vert270" wrap="square" lIns="0" tIns="0" rIns="0" bIns="0" anchor="t" anchorCtr="0" upright="1">
                          <a:noAutofit/>
                        </wps:bodyPr>
                      </wps:wsp>
                      <wps:wsp>
                        <wps:cNvPr id="2148" name="AutoShape 997"/>
                        <wps:cNvSpPr>
                          <a:spLocks noChangeArrowheads="1"/>
                        </wps:cNvSpPr>
                        <wps:spPr bwMode="auto">
                          <a:xfrm>
                            <a:off x="6443" y="8100"/>
                            <a:ext cx="1800" cy="180"/>
                          </a:xfrm>
                          <a:prstGeom prst="curvedDownArrow">
                            <a:avLst>
                              <a:gd name="adj1" fmla="val 200000"/>
                              <a:gd name="adj2" fmla="val 40000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49" name="Text Box 550"/>
                        <wps:cNvSpPr txBox="1">
                          <a:spLocks noChangeArrowheads="1"/>
                        </wps:cNvSpPr>
                        <wps:spPr bwMode="auto">
                          <a:xfrm>
                            <a:off x="1943" y="9720"/>
                            <a:ext cx="4500" cy="530"/>
                          </a:xfrm>
                          <a:prstGeom prst="rect">
                            <a:avLst/>
                          </a:prstGeom>
                          <a:solidFill>
                            <a:srgbClr val="FFFFFF"/>
                          </a:solidFill>
                          <a:ln w="9525">
                            <a:solidFill>
                              <a:srgbClr val="000000"/>
                            </a:solidFill>
                            <a:miter lim="800000"/>
                            <a:headEnd/>
                            <a:tailEnd/>
                          </a:ln>
                        </wps:spPr>
                        <wps:txbx>
                          <w:txbxContent>
                            <w:p w:rsidR="00BE40F8" w:rsidRPr="00637B56"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Критерії ефективності управління ФГД</w:t>
                              </w:r>
                            </w:p>
                            <w:p w:rsidR="00BE40F8" w:rsidRPr="00637B56" w:rsidRDefault="00BE40F8" w:rsidP="00662748">
                              <w:pPr>
                                <w:spacing w:line="216" w:lineRule="auto"/>
                                <w:jc w:val="center"/>
                                <w:rPr>
                                  <w:rFonts w:ascii="Times New Roman" w:hAnsi="Times New Roman" w:cs="Times New Roman"/>
                                  <w:sz w:val="14"/>
                                  <w:szCs w:val="14"/>
                                </w:rPr>
                              </w:pPr>
                            </w:p>
                          </w:txbxContent>
                        </wps:txbx>
                        <wps:bodyPr rot="0" vert="horz" wrap="square" lIns="54000" tIns="10800" rIns="54000" bIns="10800" anchor="t" anchorCtr="0" upright="1">
                          <a:noAutofit/>
                        </wps:bodyPr>
                      </wps:wsp>
                      <wps:wsp>
                        <wps:cNvPr id="2150" name="AutoShape 999"/>
                        <wps:cNvSpPr>
                          <a:spLocks noChangeArrowheads="1"/>
                        </wps:cNvSpPr>
                        <wps:spPr bwMode="auto">
                          <a:xfrm>
                            <a:off x="2123" y="5220"/>
                            <a:ext cx="4140" cy="234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151" name="Line 1000"/>
                        <wps:cNvCnPr/>
                        <wps:spPr bwMode="auto">
                          <a:xfrm>
                            <a:off x="6623" y="5400"/>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52" name="Line 1001"/>
                        <wps:cNvCnPr/>
                        <wps:spPr bwMode="auto">
                          <a:xfrm flipV="1">
                            <a:off x="6623" y="7380"/>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53" name="Line 1002"/>
                        <wps:cNvCnPr/>
                        <wps:spPr bwMode="auto">
                          <a:xfrm>
                            <a:off x="6623" y="8640"/>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54" name="Line 1003"/>
                        <wps:cNvCnPr/>
                        <wps:spPr bwMode="auto">
                          <a:xfrm>
                            <a:off x="6623" y="9540"/>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55" name="Line 1004"/>
                        <wps:cNvCnPr/>
                        <wps:spPr bwMode="auto">
                          <a:xfrm>
                            <a:off x="6623" y="5400"/>
                            <a:ext cx="0" cy="41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56" name="Text Box 1005"/>
                        <wps:cNvSpPr txBox="1">
                          <a:spLocks noChangeArrowheads="1"/>
                        </wps:cNvSpPr>
                        <wps:spPr bwMode="auto">
                          <a:xfrm>
                            <a:off x="2483" y="5309"/>
                            <a:ext cx="3420" cy="990"/>
                          </a:xfrm>
                          <a:prstGeom prst="rect">
                            <a:avLst/>
                          </a:prstGeom>
                          <a:solidFill>
                            <a:srgbClr val="FFFFFF"/>
                          </a:solidFill>
                          <a:ln w="9525">
                            <a:solidFill>
                              <a:srgbClr val="000000"/>
                            </a:solidFill>
                            <a:miter lim="800000"/>
                            <a:headEnd/>
                            <a:tailEnd/>
                          </a:ln>
                        </wps:spPr>
                        <wps:txbx>
                          <w:txbxContent>
                            <w:p w:rsidR="00BE40F8" w:rsidRPr="00637B56" w:rsidRDefault="00BE40F8" w:rsidP="00873076">
                              <w:pPr>
                                <w:spacing w:line="228"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Функціональні компоненти:</w:t>
                              </w:r>
                              <w:r>
                                <w:rPr>
                                  <w:rFonts w:ascii="Times New Roman" w:hAnsi="Times New Roman" w:cs="Times New Roman"/>
                                  <w:sz w:val="14"/>
                                  <w:szCs w:val="14"/>
                                </w:rPr>
                                <w:t xml:space="preserve"> ф</w:t>
                              </w:r>
                              <w:r w:rsidRPr="00637B56">
                                <w:rPr>
                                  <w:rFonts w:ascii="Times New Roman" w:hAnsi="Times New Roman" w:cs="Times New Roman"/>
                                  <w:sz w:val="14"/>
                                  <w:szCs w:val="14"/>
                                </w:rPr>
                                <w:t>ун</w:t>
                              </w:r>
                              <w:r>
                                <w:rPr>
                                  <w:rFonts w:ascii="Times New Roman" w:hAnsi="Times New Roman" w:cs="Times New Roman"/>
                                  <w:sz w:val="14"/>
                                  <w:szCs w:val="14"/>
                                </w:rPr>
                                <w:t xml:space="preserve">-кції управління </w:t>
                              </w:r>
                              <w:r w:rsidRPr="00637B56">
                                <w:rPr>
                                  <w:rFonts w:ascii="Times New Roman" w:hAnsi="Times New Roman" w:cs="Times New Roman"/>
                                  <w:sz w:val="14"/>
                                  <w:szCs w:val="14"/>
                                </w:rPr>
                                <w:t>комплексні фун</w:t>
                              </w:r>
                              <w:r>
                                <w:rPr>
                                  <w:rFonts w:ascii="Times New Roman" w:hAnsi="Times New Roman" w:cs="Times New Roman"/>
                                  <w:sz w:val="14"/>
                                  <w:szCs w:val="14"/>
                                </w:rPr>
                                <w:t>-</w:t>
                              </w:r>
                              <w:r w:rsidRPr="00637B56">
                                <w:rPr>
                                  <w:rFonts w:ascii="Times New Roman" w:hAnsi="Times New Roman" w:cs="Times New Roman"/>
                                  <w:sz w:val="14"/>
                                  <w:szCs w:val="14"/>
                                </w:rPr>
                                <w:t>кціональні підсистеми</w:t>
                              </w:r>
                              <w:r>
                                <w:rPr>
                                  <w:rFonts w:ascii="Times New Roman" w:hAnsi="Times New Roman" w:cs="Times New Roman"/>
                                  <w:sz w:val="14"/>
                                  <w:szCs w:val="14"/>
                                </w:rPr>
                                <w:t xml:space="preserve">, </w:t>
                              </w:r>
                              <w:r w:rsidRPr="00637B56">
                                <w:rPr>
                                  <w:rFonts w:ascii="Times New Roman" w:hAnsi="Times New Roman" w:cs="Times New Roman"/>
                                  <w:sz w:val="14"/>
                                  <w:szCs w:val="14"/>
                                </w:rPr>
                                <w:t>функціо</w:t>
                              </w:r>
                              <w:r>
                                <w:rPr>
                                  <w:rFonts w:ascii="Times New Roman" w:hAnsi="Times New Roman" w:cs="Times New Roman"/>
                                  <w:sz w:val="14"/>
                                  <w:szCs w:val="14"/>
                                </w:rPr>
                                <w:t>-</w:t>
                              </w:r>
                              <w:r w:rsidRPr="00637B56">
                                <w:rPr>
                                  <w:rFonts w:ascii="Times New Roman" w:hAnsi="Times New Roman" w:cs="Times New Roman"/>
                                  <w:sz w:val="14"/>
                                  <w:szCs w:val="14"/>
                                </w:rPr>
                                <w:t>нальні завдання</w:t>
                              </w:r>
                            </w:p>
                          </w:txbxContent>
                        </wps:txbx>
                        <wps:bodyPr rot="0" vert="horz" wrap="square" lIns="0" tIns="0" rIns="0" bIns="0" anchor="t" anchorCtr="0" upright="1">
                          <a:noAutofit/>
                        </wps:bodyPr>
                      </wps:wsp>
                      <wps:wsp>
                        <wps:cNvPr id="2157" name="Text Box 1006"/>
                        <wps:cNvSpPr txBox="1">
                          <a:spLocks noChangeArrowheads="1"/>
                        </wps:cNvSpPr>
                        <wps:spPr bwMode="auto">
                          <a:xfrm>
                            <a:off x="2663" y="4680"/>
                            <a:ext cx="3240" cy="360"/>
                          </a:xfrm>
                          <a:prstGeom prst="rect">
                            <a:avLst/>
                          </a:prstGeom>
                          <a:solidFill>
                            <a:srgbClr val="FFFFFF"/>
                          </a:solidFill>
                          <a:ln w="9525">
                            <a:solidFill>
                              <a:srgbClr val="000000"/>
                            </a:solidFill>
                            <a:miter lim="800000"/>
                            <a:headEnd/>
                            <a:tailEnd/>
                          </a:ln>
                        </wps:spPr>
                        <wps:txbx>
                          <w:txbxContent>
                            <w:p w:rsidR="00BE40F8" w:rsidRPr="00637B56" w:rsidRDefault="00BE40F8" w:rsidP="00815BE1">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АІСУ</w:t>
                              </w:r>
                            </w:p>
                          </w:txbxContent>
                        </wps:txbx>
                        <wps:bodyPr rot="0" vert="horz" wrap="square" lIns="54000" tIns="10800" rIns="54000" bIns="10800" anchor="t" anchorCtr="0" upright="1">
                          <a:noAutofit/>
                        </wps:bodyPr>
                      </wps:wsp>
                      <wps:wsp>
                        <wps:cNvPr id="2158" name="Line 1007"/>
                        <wps:cNvCnPr/>
                        <wps:spPr bwMode="auto">
                          <a:xfrm>
                            <a:off x="4282" y="5040"/>
                            <a:ext cx="1"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59" name="Text Box 1008"/>
                        <wps:cNvSpPr txBox="1">
                          <a:spLocks noChangeArrowheads="1"/>
                        </wps:cNvSpPr>
                        <wps:spPr bwMode="auto">
                          <a:xfrm>
                            <a:off x="2483" y="6419"/>
                            <a:ext cx="3420" cy="476"/>
                          </a:xfrm>
                          <a:prstGeom prst="rect">
                            <a:avLst/>
                          </a:prstGeom>
                          <a:solidFill>
                            <a:srgbClr val="FFFFFF"/>
                          </a:solidFill>
                          <a:ln w="9525">
                            <a:solidFill>
                              <a:srgbClr val="000000"/>
                            </a:solidFill>
                            <a:miter lim="800000"/>
                            <a:headEnd/>
                            <a:tailEnd/>
                          </a:ln>
                        </wps:spPr>
                        <wps:txbx>
                          <w:txbxContent>
                            <w:p w:rsidR="00BE40F8" w:rsidRPr="00637B56"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Компоненти системи обробки даних</w:t>
                              </w:r>
                            </w:p>
                          </w:txbxContent>
                        </wps:txbx>
                        <wps:bodyPr rot="0" vert="horz" wrap="square" lIns="0" tIns="0" rIns="0" bIns="0" anchor="t" anchorCtr="0" upright="1">
                          <a:noAutofit/>
                        </wps:bodyPr>
                      </wps:wsp>
                      <wps:wsp>
                        <wps:cNvPr id="2160" name="Text Box 1009"/>
                        <wps:cNvSpPr txBox="1">
                          <a:spLocks noChangeArrowheads="1"/>
                        </wps:cNvSpPr>
                        <wps:spPr bwMode="auto">
                          <a:xfrm>
                            <a:off x="2483" y="7020"/>
                            <a:ext cx="3420" cy="360"/>
                          </a:xfrm>
                          <a:prstGeom prst="rect">
                            <a:avLst/>
                          </a:prstGeom>
                          <a:solidFill>
                            <a:srgbClr val="FFFFFF"/>
                          </a:solidFill>
                          <a:ln w="9525">
                            <a:solidFill>
                              <a:srgbClr val="000000"/>
                            </a:solidFill>
                            <a:miter lim="800000"/>
                            <a:headEnd/>
                            <a:tailEnd/>
                          </a:ln>
                        </wps:spPr>
                        <wps:txbx>
                          <w:txbxContent>
                            <w:p w:rsidR="00BE40F8" w:rsidRPr="00637B56"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Організаційні компоненти</w:t>
                              </w:r>
                            </w:p>
                          </w:txbxContent>
                        </wps:txbx>
                        <wps:bodyPr rot="0" vert="horz" wrap="square" lIns="0" tIns="0" rIns="0" bIns="0" anchor="t" anchorCtr="0" upright="1">
                          <a:noAutofit/>
                        </wps:bodyPr>
                      </wps:wsp>
                      <wps:wsp>
                        <wps:cNvPr id="2161" name="Line 1010"/>
                        <wps:cNvCnPr>
                          <a:stCxn id="2159" idx="2"/>
                          <a:endCxn id="2160" idx="0"/>
                        </wps:cNvCnPr>
                        <wps:spPr bwMode="auto">
                          <a:xfrm>
                            <a:off x="4193" y="6894"/>
                            <a:ext cx="0" cy="1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62" name="Line 1011"/>
                        <wps:cNvCnPr>
                          <a:stCxn id="2156" idx="2"/>
                          <a:endCxn id="2159" idx="0"/>
                        </wps:cNvCnPr>
                        <wps:spPr bwMode="auto">
                          <a:xfrm>
                            <a:off x="4193" y="6298"/>
                            <a:ext cx="0" cy="1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63" name="AutoShape 1012"/>
                        <wps:cNvSpPr>
                          <a:spLocks noChangeArrowheads="1"/>
                        </wps:cNvSpPr>
                        <wps:spPr bwMode="auto">
                          <a:xfrm>
                            <a:off x="6263" y="6120"/>
                            <a:ext cx="360" cy="720"/>
                          </a:xfrm>
                          <a:prstGeom prst="striped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64" name="Text Box 550"/>
                        <wps:cNvSpPr txBox="1">
                          <a:spLocks noChangeArrowheads="1"/>
                        </wps:cNvSpPr>
                        <wps:spPr bwMode="auto">
                          <a:xfrm>
                            <a:off x="1943" y="9000"/>
                            <a:ext cx="4500" cy="530"/>
                          </a:xfrm>
                          <a:prstGeom prst="rect">
                            <a:avLst/>
                          </a:prstGeom>
                          <a:solidFill>
                            <a:srgbClr val="FFFFFF"/>
                          </a:solidFill>
                          <a:ln w="9525">
                            <a:solidFill>
                              <a:srgbClr val="000000"/>
                            </a:solidFill>
                            <a:miter lim="800000"/>
                            <a:headEnd/>
                            <a:tailEnd/>
                          </a:ln>
                        </wps:spPr>
                        <wps:txbx>
                          <w:txbxContent>
                            <w:p w:rsidR="00BE40F8"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 xml:space="preserve">Важелі: загальнодержавні, </w:t>
                              </w:r>
                            </w:p>
                            <w:p w:rsidR="00BE40F8" w:rsidRPr="00637B56"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внутрішньогосподарські</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03FD0A" id="Group 920" o:spid="_x0000_s2551" style="position:absolute;left:0;text-align:left;margin-left:4.8pt;margin-top:-6.45pt;width:471.6pt;height:279.25pt;z-index:251743232;mso-position-horizontal-relative:text;mso-position-vertical-relative:text" coordorigin="683,1080" coordsize="15185,9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">
                <v:shape id="Text Box 513" o:spid="_x0000_s2552" type="#_x0000_t202" style="position:absolute;left:4245;top:1080;width:8163;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">
                  <v:textbox inset="0,0,0,0">
                    <w:txbxContent>
                      <w:p w:rsidR="00BE40F8" w:rsidRPr="00637B56" w:rsidRDefault="00BE40F8" w:rsidP="00662748">
                        <w:pPr>
                          <w:spacing w:line="192" w:lineRule="auto"/>
                          <w:jc w:val="center"/>
                          <w:rPr>
                            <w:rFonts w:ascii="Times New Roman" w:hAnsi="Times New Roman" w:cs="Times New Roman"/>
                            <w:b/>
                            <w:bCs/>
                            <w:sz w:val="14"/>
                            <w:szCs w:val="14"/>
                          </w:rPr>
                        </w:pPr>
                        <w:r w:rsidRPr="00637B56">
                          <w:rPr>
                            <w:rFonts w:ascii="Times New Roman" w:hAnsi="Times New Roman" w:cs="Times New Roman"/>
                            <w:b/>
                            <w:bCs/>
                            <w:sz w:val="14"/>
                            <w:szCs w:val="14"/>
                          </w:rPr>
                          <w:t>Механізм управління фінансово-господарською діяльністю ВНЗ</w:t>
                        </w:r>
                      </w:p>
                    </w:txbxContent>
                  </v:textbox>
                </v:shape>
                <v:shape id="Text Box 514" o:spid="_x0000_s2553" type="#_x0000_t202" style="position:absolute;left:1929;top:1614;width:13176;height:2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" strokeweight="1.5pt">
                  <v:textbox>
                    <w:txbxContent>
                      <w:p w:rsidR="00BE40F8" w:rsidRPr="00637B56" w:rsidRDefault="00BE40F8" w:rsidP="00662748">
                        <w:pPr>
                          <w:spacing w:line="192" w:lineRule="auto"/>
                          <w:jc w:val="center"/>
                          <w:rPr>
                            <w:rFonts w:ascii="Times New Roman" w:hAnsi="Times New Roman" w:cs="Times New Roman"/>
                            <w:b/>
                            <w:bCs/>
                            <w:i/>
                            <w:iCs/>
                            <w:sz w:val="14"/>
                            <w:szCs w:val="14"/>
                          </w:rPr>
                        </w:pPr>
                        <w:r w:rsidRPr="00637B56">
                          <w:rPr>
                            <w:rFonts w:ascii="Times New Roman" w:hAnsi="Times New Roman" w:cs="Times New Roman"/>
                            <w:b/>
                            <w:bCs/>
                            <w:i/>
                            <w:iCs/>
                            <w:sz w:val="14"/>
                            <w:szCs w:val="14"/>
                          </w:rPr>
                          <w:t>Формування механізму управління фінансово-господарською діяльністю вищого навчального закладу</w:t>
                        </w:r>
                      </w:p>
                    </w:txbxContent>
                  </v:textbox>
                </v:shape>
                <v:shape id="Text Box 515" o:spid="_x0000_s2554" type="#_x0000_t202" style="position:absolute;left:2123;top:3497;width:1980;height: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">
                  <v:textbox inset="0,0,0,0">
                    <w:txbxContent>
                      <w:p w:rsidR="00BE40F8" w:rsidRPr="00637B56" w:rsidRDefault="00BE40F8" w:rsidP="00815BE1">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Принципи реалізації:</w:t>
                        </w:r>
                      </w:p>
                      <w:p w:rsidR="00BE40F8" w:rsidRPr="00637B56" w:rsidRDefault="00BE40F8" w:rsidP="00662748">
                        <w:pPr>
                          <w:rPr>
                            <w:rFonts w:ascii="Times New Roman" w:hAnsi="Times New Roman" w:cs="Times New Roman"/>
                            <w:sz w:val="14"/>
                            <w:szCs w:val="14"/>
                          </w:rPr>
                        </w:pPr>
                      </w:p>
                    </w:txbxContent>
                  </v:textbox>
                </v:shape>
                <v:shape id="Text Box 517" o:spid="_x0000_s2555" type="#_x0000_t202" style="position:absolute;left:15283;top:1614;width:585;height:79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">
                  <v:textbox style="layout-flow:vertical;mso-layout-flow-alt:bottom-to-top" inset="0,0,0,0">
                    <w:txbxContent>
                      <w:p w:rsidR="00BE40F8" w:rsidRPr="00637B56" w:rsidRDefault="00BE40F8" w:rsidP="00662748">
                        <w:pPr>
                          <w:spacing w:line="192" w:lineRule="auto"/>
                          <w:jc w:val="center"/>
                          <w:rPr>
                            <w:rFonts w:ascii="Times New Roman" w:hAnsi="Times New Roman" w:cs="Times New Roman"/>
                            <w:b/>
                            <w:bCs/>
                            <w:sz w:val="14"/>
                            <w:szCs w:val="14"/>
                          </w:rPr>
                        </w:pPr>
                        <w:r w:rsidRPr="00637B56">
                          <w:rPr>
                            <w:rFonts w:ascii="Times New Roman" w:hAnsi="Times New Roman" w:cs="Times New Roman"/>
                            <w:b/>
                            <w:bCs/>
                            <w:sz w:val="14"/>
                            <w:szCs w:val="14"/>
                          </w:rPr>
                          <w:t>Вплив внутрішнього середовища вищого навчального закладу</w:t>
                        </w:r>
                      </w:p>
                    </w:txbxContent>
                  </v:textbox>
                </v:shape>
                <v:shape id="Text Box 518" o:spid="_x0000_s2556" type="#_x0000_t202" style="position:absolute;left:4103;top:3497;width:1980;height: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">
                  <v:textbox inset="0,0,0,0">
                    <w:txbxContent>
                      <w:p w:rsidR="00BE40F8" w:rsidRDefault="00BE40F8" w:rsidP="00815BE1">
                        <w:pPr>
                          <w:spacing w:line="228"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 xml:space="preserve">Взаємодії </w:t>
                        </w:r>
                      </w:p>
                      <w:p w:rsidR="00BE40F8" w:rsidRPr="00637B56" w:rsidRDefault="00BE40F8" w:rsidP="00815BE1">
                        <w:pPr>
                          <w:spacing w:line="228"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елементів</w:t>
                        </w:r>
                      </w:p>
                    </w:txbxContent>
                  </v:textbox>
                </v:shape>
                <v:shape id="Text Box 519" o:spid="_x0000_s2557" type="#_x0000_t202" style="position:absolute;left:8783;top:3600;width:14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">
                  <v:textbox inset="0,0,0,0">
                    <w:txbxContent>
                      <w:p w:rsidR="00BE40F8" w:rsidRPr="00637B56" w:rsidRDefault="00BE40F8" w:rsidP="00815BE1">
                        <w:pPr>
                          <w:spacing w:line="192" w:lineRule="auto"/>
                          <w:ind w:firstLine="0"/>
                          <w:jc w:val="center"/>
                          <w:rPr>
                            <w:rFonts w:ascii="Times New Roman" w:hAnsi="Times New Roman" w:cs="Times New Roman"/>
                            <w:spacing w:val="-6"/>
                            <w:kern w:val="14"/>
                            <w:sz w:val="14"/>
                            <w:szCs w:val="14"/>
                          </w:rPr>
                        </w:pPr>
                        <w:r w:rsidRPr="00637B56">
                          <w:rPr>
                            <w:rFonts w:ascii="Times New Roman" w:hAnsi="Times New Roman" w:cs="Times New Roman"/>
                            <w:spacing w:val="-6"/>
                            <w:kern w:val="14"/>
                            <w:sz w:val="14"/>
                            <w:szCs w:val="14"/>
                          </w:rPr>
                          <w:t>Економічності</w:t>
                        </w:r>
                      </w:p>
                      <w:p w:rsidR="00BE40F8" w:rsidRPr="00637B56" w:rsidRDefault="00BE40F8" w:rsidP="00662748">
                        <w:pPr>
                          <w:rPr>
                            <w:rFonts w:ascii="Times New Roman" w:hAnsi="Times New Roman" w:cs="Times New Roman"/>
                            <w:sz w:val="14"/>
                            <w:szCs w:val="14"/>
                          </w:rPr>
                        </w:pPr>
                      </w:p>
                    </w:txbxContent>
                  </v:textbox>
                </v:shape>
                <v:shape id="Text Box 520" o:spid="_x0000_s2558" type="#_x0000_t202" style="position:absolute;left:7703;top:3600;width:108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">
                  <v:textbox inset="0,0,0,0">
                    <w:txbxContent>
                      <w:p w:rsidR="00BE40F8" w:rsidRPr="00637B56" w:rsidRDefault="00BE40F8" w:rsidP="00815BE1">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Стійкості</w:t>
                        </w:r>
                      </w:p>
                      <w:p w:rsidR="00BE40F8" w:rsidRPr="00637B56" w:rsidRDefault="00BE40F8" w:rsidP="00662748">
                        <w:pPr>
                          <w:rPr>
                            <w:rFonts w:ascii="Times New Roman" w:hAnsi="Times New Roman" w:cs="Times New Roman"/>
                            <w:sz w:val="14"/>
                            <w:szCs w:val="14"/>
                          </w:rPr>
                        </w:pPr>
                      </w:p>
                    </w:txbxContent>
                  </v:textbox>
                </v:shape>
                <v:shape id="Text Box 521" o:spid="_x0000_s2559" type="#_x0000_t202" style="position:absolute;left:10223;top:3600;width:16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">
                  <v:textbox inset="0,0,0,0">
                    <w:txbxContent>
                      <w:p w:rsidR="00BE40F8" w:rsidRPr="00637B56" w:rsidRDefault="00BE40F8" w:rsidP="00815BE1">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Комплексності</w:t>
                        </w:r>
                      </w:p>
                      <w:p w:rsidR="00BE40F8" w:rsidRPr="00637B56" w:rsidRDefault="00BE40F8" w:rsidP="00662748">
                        <w:pPr>
                          <w:spacing w:line="192" w:lineRule="auto"/>
                          <w:ind w:firstLine="522"/>
                          <w:rPr>
                            <w:rFonts w:ascii="Times New Roman" w:hAnsi="Times New Roman" w:cs="Times New Roman"/>
                            <w:sz w:val="14"/>
                            <w:szCs w:val="14"/>
                          </w:rPr>
                        </w:pPr>
                      </w:p>
                    </w:txbxContent>
                  </v:textbox>
                </v:shape>
                <v:shape id="Text Box 522" o:spid="_x0000_s2560" type="#_x0000_t202" style="position:absolute;left:11843;top:3600;width:16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">
                  <v:textbox inset="0,0,0,0">
                    <w:txbxContent>
                      <w:p w:rsidR="00BE40F8" w:rsidRPr="00637B56" w:rsidRDefault="00BE40F8" w:rsidP="00815BE1">
                        <w:pPr>
                          <w:spacing w:line="192" w:lineRule="auto"/>
                          <w:ind w:firstLine="0"/>
                          <w:jc w:val="center"/>
                          <w:rPr>
                            <w:rFonts w:ascii="Times New Roman" w:hAnsi="Times New Roman" w:cs="Times New Roman"/>
                            <w:spacing w:val="-4"/>
                            <w:sz w:val="14"/>
                            <w:szCs w:val="14"/>
                          </w:rPr>
                        </w:pPr>
                        <w:r w:rsidRPr="00637B56">
                          <w:rPr>
                            <w:rFonts w:ascii="Times New Roman" w:hAnsi="Times New Roman" w:cs="Times New Roman"/>
                            <w:spacing w:val="-4"/>
                            <w:sz w:val="14"/>
                            <w:szCs w:val="14"/>
                          </w:rPr>
                          <w:t>Перспективності</w:t>
                        </w:r>
                      </w:p>
                      <w:p w:rsidR="00BE40F8" w:rsidRPr="00637B56" w:rsidRDefault="00BE40F8" w:rsidP="00662748">
                        <w:pPr>
                          <w:rPr>
                            <w:rFonts w:ascii="Times New Roman" w:hAnsi="Times New Roman" w:cs="Times New Roman"/>
                            <w:sz w:val="14"/>
                            <w:szCs w:val="14"/>
                          </w:rPr>
                        </w:pPr>
                      </w:p>
                    </w:txbxContent>
                  </v:textbox>
                </v:shape>
                <v:shape id="Text Box 523" o:spid="_x0000_s2561" type="#_x0000_t202" style="position:absolute;left:13463;top:3600;width:1642;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">
                  <v:textbox inset="0,0,0,0">
                    <w:txbxContent>
                      <w:p w:rsidR="00BE40F8" w:rsidRPr="00637B56" w:rsidRDefault="00BE40F8" w:rsidP="00815BE1">
                        <w:pPr>
                          <w:spacing w:line="199" w:lineRule="auto"/>
                          <w:ind w:firstLine="0"/>
                          <w:rPr>
                            <w:rFonts w:ascii="Times New Roman" w:hAnsi="Times New Roman" w:cs="Times New Roman"/>
                            <w:sz w:val="14"/>
                            <w:szCs w:val="14"/>
                          </w:rPr>
                        </w:pPr>
                        <w:r w:rsidRPr="00637B56">
                          <w:rPr>
                            <w:rFonts w:ascii="Times New Roman" w:hAnsi="Times New Roman" w:cs="Times New Roman"/>
                            <w:sz w:val="14"/>
                            <w:szCs w:val="14"/>
                          </w:rPr>
                          <w:t>Оптимальності</w:t>
                        </w:r>
                      </w:p>
                    </w:txbxContent>
                  </v:textbox>
                </v:shape>
                <v:shape id="Text Box 535" o:spid="_x0000_s2562" type="#_x0000_t202" style="position:absolute;left:2107;top:1970;width:2137;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">
                  <v:textbox>
                    <w:txbxContent>
                      <w:p w:rsidR="00BE40F8" w:rsidRPr="00637B56" w:rsidRDefault="00BE40F8" w:rsidP="00637B5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Завдання</w:t>
                        </w:r>
                      </w:p>
                    </w:txbxContent>
                  </v:textbox>
                </v:shape>
                <v:shape id="Text Box 536" o:spid="_x0000_s2563" type="#_x0000_t202" style="position:absolute;left:6083;top:1970;width:270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">
                  <v:textbox inset="1.5mm,.3mm,1.5mm,.3mm">
                    <w:txbxContent>
                      <w:p w:rsidR="00BE40F8" w:rsidRPr="00637B56" w:rsidRDefault="00BE40F8" w:rsidP="00637B5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Оптимізація та регулювання ресурсного забезпечення</w:t>
                        </w:r>
                      </w:p>
                      <w:p w:rsidR="00BE40F8" w:rsidRPr="00637B56" w:rsidRDefault="00BE40F8" w:rsidP="00662748">
                        <w:pPr>
                          <w:rPr>
                            <w:rFonts w:ascii="Times New Roman" w:hAnsi="Times New Roman" w:cs="Times New Roman"/>
                            <w:sz w:val="14"/>
                            <w:szCs w:val="14"/>
                          </w:rPr>
                        </w:pPr>
                      </w:p>
                    </w:txbxContent>
                  </v:textbox>
                </v:shape>
                <v:shape id="Text Box 537" o:spid="_x0000_s2564" type="#_x0000_t202" style="position:absolute;left:4244;top:1970;width:1839;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">
                  <v:textbox inset="1.5mm,.3mm,1.5mm,.3mm">
                    <w:txbxContent>
                      <w:p w:rsidR="00BE40F8" w:rsidRPr="00637B56" w:rsidRDefault="00BE40F8" w:rsidP="00637B5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Цільове використання коштів</w:t>
                        </w:r>
                      </w:p>
                      <w:p w:rsidR="00BE40F8" w:rsidRPr="00637B56" w:rsidRDefault="00BE40F8" w:rsidP="00662748">
                        <w:pPr>
                          <w:spacing w:line="192" w:lineRule="auto"/>
                          <w:jc w:val="center"/>
                          <w:rPr>
                            <w:rFonts w:ascii="Times New Roman" w:hAnsi="Times New Roman" w:cs="Times New Roman"/>
                            <w:sz w:val="14"/>
                            <w:szCs w:val="14"/>
                          </w:rPr>
                        </w:pPr>
                        <w:r w:rsidRPr="00637B56">
                          <w:rPr>
                            <w:rFonts w:ascii="Times New Roman" w:hAnsi="Times New Roman" w:cs="Times New Roman"/>
                            <w:sz w:val="14"/>
                            <w:szCs w:val="14"/>
                          </w:rPr>
                          <w:t>використання коштів</w:t>
                        </w:r>
                      </w:p>
                      <w:p w:rsidR="00BE40F8" w:rsidRPr="00637B56" w:rsidRDefault="00BE40F8" w:rsidP="00662748">
                        <w:pPr>
                          <w:spacing w:line="192" w:lineRule="auto"/>
                          <w:jc w:val="center"/>
                          <w:rPr>
                            <w:rFonts w:ascii="Times New Roman" w:hAnsi="Times New Roman" w:cs="Times New Roman"/>
                            <w:sz w:val="14"/>
                            <w:szCs w:val="14"/>
                          </w:rPr>
                        </w:pPr>
                      </w:p>
                    </w:txbxContent>
                  </v:textbox>
                </v:shape>
                <v:shape id="Text Box 538" o:spid="_x0000_s2565" type="#_x0000_t202" style="position:absolute;left:8783;top:1970;width:180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">
                  <v:textbox inset="1.5mm,.3mm,1.5mm,.3mm">
                    <w:txbxContent>
                      <w:p w:rsidR="00BE40F8" w:rsidRPr="00637B56" w:rsidRDefault="00BE40F8" w:rsidP="00637B5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Оптимальне використання ресурсів</w:t>
                        </w:r>
                      </w:p>
                      <w:p w:rsidR="00BE40F8" w:rsidRPr="00637B56" w:rsidRDefault="00BE40F8" w:rsidP="00662748">
                        <w:pPr>
                          <w:spacing w:line="192" w:lineRule="auto"/>
                          <w:jc w:val="center"/>
                          <w:rPr>
                            <w:rFonts w:ascii="Times New Roman" w:hAnsi="Times New Roman" w:cs="Times New Roman"/>
                            <w:sz w:val="14"/>
                            <w:szCs w:val="14"/>
                          </w:rPr>
                        </w:pPr>
                      </w:p>
                    </w:txbxContent>
                  </v:textbox>
                </v:shape>
                <v:shape id="Text Box 539" o:spid="_x0000_s2566" type="#_x0000_t202" style="position:absolute;left:10583;top:1970;width:234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">
                  <v:textbox inset="1.5mm,.3mm,1.5mm,.3mm">
                    <w:txbxContent>
                      <w:p w:rsidR="00BE40F8" w:rsidRPr="00637B56" w:rsidRDefault="00BE40F8" w:rsidP="00637B5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Забезпечення платоспроможності</w:t>
                        </w:r>
                      </w:p>
                      <w:p w:rsidR="00BE40F8" w:rsidRPr="00637B56" w:rsidRDefault="00BE40F8" w:rsidP="00662748">
                        <w:pPr>
                          <w:spacing w:line="192" w:lineRule="auto"/>
                          <w:jc w:val="center"/>
                          <w:rPr>
                            <w:rFonts w:ascii="Times New Roman" w:hAnsi="Times New Roman" w:cs="Times New Roman"/>
                            <w:sz w:val="14"/>
                            <w:szCs w:val="14"/>
                          </w:rPr>
                        </w:pPr>
                      </w:p>
                    </w:txbxContent>
                  </v:textbox>
                </v:shape>
                <v:shape id="Text Box 541" o:spid="_x0000_s2567" type="#_x0000_t202" style="position:absolute;left:12923;top:1970;width:2182;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">
                  <v:textbox inset="1.5mm,.3mm,1.5mm,.3mm">
                    <w:txbxContent>
                      <w:p w:rsidR="00BE40F8" w:rsidRPr="00637B56" w:rsidRDefault="00BE40F8" w:rsidP="00637B5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Ефективність ФГД</w:t>
                        </w:r>
                      </w:p>
                      <w:p w:rsidR="00BE40F8" w:rsidRPr="00637B56" w:rsidRDefault="00BE40F8" w:rsidP="00662748">
                        <w:pPr>
                          <w:rPr>
                            <w:rFonts w:ascii="Times New Roman" w:hAnsi="Times New Roman" w:cs="Times New Roman"/>
                            <w:sz w:val="14"/>
                            <w:szCs w:val="14"/>
                          </w:rPr>
                        </w:pPr>
                      </w:p>
                    </w:txbxContent>
                  </v:textbox>
                </v:shape>
                <v:shape id="Text Box 542" o:spid="_x0000_s2568" type="#_x0000_t202" style="position:absolute;left:2107;top:2860;width:2176;height: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">
                  <v:textbox inset=".5mm,.5mm,.5mm,.5mm">
                    <w:txbxContent>
                      <w:p w:rsidR="00BE40F8" w:rsidRPr="00637B56" w:rsidRDefault="00BE40F8" w:rsidP="00637B5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Підходи до побудови:</w:t>
                        </w:r>
                      </w:p>
                      <w:p w:rsidR="00BE40F8" w:rsidRPr="00637B56" w:rsidRDefault="00BE40F8" w:rsidP="00662748">
                        <w:pPr>
                          <w:rPr>
                            <w:rFonts w:ascii="Times New Roman" w:hAnsi="Times New Roman" w:cs="Times New Roman"/>
                            <w:sz w:val="14"/>
                            <w:szCs w:val="14"/>
                          </w:rPr>
                        </w:pPr>
                      </w:p>
                    </w:txbxContent>
                  </v:textbox>
                </v:shape>
                <v:shape id="Text Box 543" o:spid="_x0000_s2569" type="#_x0000_t202" style="position:absolute;left:4283;top:2860;width:1440;height: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">
                  <v:textbox inset="0,0,0,0">
                    <w:txbxContent>
                      <w:p w:rsidR="00BE40F8" w:rsidRPr="00637B56" w:rsidRDefault="00BE40F8" w:rsidP="00637B5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Системний</w:t>
                        </w:r>
                      </w:p>
                      <w:p w:rsidR="00BE40F8" w:rsidRPr="00637B56" w:rsidRDefault="00BE40F8" w:rsidP="00662748">
                        <w:pPr>
                          <w:rPr>
                            <w:rFonts w:ascii="Times New Roman" w:hAnsi="Times New Roman" w:cs="Times New Roman"/>
                            <w:sz w:val="14"/>
                            <w:szCs w:val="14"/>
                          </w:rPr>
                        </w:pPr>
                      </w:p>
                    </w:txbxContent>
                  </v:textbox>
                </v:shape>
                <v:shape id="Text Box 544" o:spid="_x0000_s2570" type="#_x0000_t202" style="position:absolute;left:5723;top:2860;width:1440;height: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">
                  <v:textbox inset="0,0,0,0">
                    <w:txbxContent>
                      <w:p w:rsidR="00BE40F8" w:rsidRPr="00637B56" w:rsidRDefault="00BE40F8" w:rsidP="00815BE1">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Процесний</w:t>
                        </w:r>
                      </w:p>
                      <w:p w:rsidR="00BE40F8" w:rsidRPr="00637B56" w:rsidRDefault="00BE40F8" w:rsidP="00662748">
                        <w:pPr>
                          <w:rPr>
                            <w:rFonts w:ascii="Times New Roman" w:hAnsi="Times New Roman" w:cs="Times New Roman"/>
                            <w:sz w:val="14"/>
                            <w:szCs w:val="14"/>
                          </w:rPr>
                        </w:pPr>
                      </w:p>
                    </w:txbxContent>
                  </v:textbox>
                </v:shape>
                <v:shape id="Text Box 545" o:spid="_x0000_s2571" type="#_x0000_t202" style="position:absolute;left:7163;top:2860;width:1620;height: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">
                  <v:textbox inset="0,0,0,0">
                    <w:txbxContent>
                      <w:p w:rsidR="00BE40F8" w:rsidRPr="00637B56" w:rsidRDefault="00BE40F8" w:rsidP="00815BE1">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Ситуаційний</w:t>
                        </w:r>
                      </w:p>
                      <w:p w:rsidR="00BE40F8" w:rsidRPr="00637B56" w:rsidRDefault="00BE40F8" w:rsidP="00662748">
                        <w:pPr>
                          <w:rPr>
                            <w:rFonts w:ascii="Times New Roman" w:hAnsi="Times New Roman" w:cs="Times New Roman"/>
                            <w:sz w:val="14"/>
                            <w:szCs w:val="14"/>
                          </w:rPr>
                        </w:pPr>
                      </w:p>
                    </w:txbxContent>
                  </v:textbox>
                </v:shape>
                <v:shape id="Text Box 546" o:spid="_x0000_s2572" type="#_x0000_t202" style="position:absolute;left:8783;top:2880;width:2880;height: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">
                  <v:textbox inset="0,0,0,0">
                    <w:txbxContent>
                      <w:p w:rsidR="00BE40F8" w:rsidRPr="00637B56" w:rsidRDefault="00BE40F8" w:rsidP="00815BE1">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Програмно-цільовий</w:t>
                        </w:r>
                      </w:p>
                      <w:p w:rsidR="00BE40F8" w:rsidRPr="00637B56" w:rsidRDefault="00BE40F8" w:rsidP="00662748">
                        <w:pPr>
                          <w:rPr>
                            <w:rFonts w:ascii="Times New Roman" w:hAnsi="Times New Roman" w:cs="Times New Roman"/>
                            <w:sz w:val="14"/>
                            <w:szCs w:val="14"/>
                          </w:rPr>
                        </w:pPr>
                      </w:p>
                    </w:txbxContent>
                  </v:textbox>
                </v:shape>
                <v:shape id="Text Box 547" o:spid="_x0000_s2573" type="#_x0000_t202" style="position:absolute;left:11663;top:2860;width:1620;height: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">
                  <v:textbox inset="0,0,0,0">
                    <w:txbxContent>
                      <w:p w:rsidR="00BE40F8" w:rsidRPr="00637B56" w:rsidRDefault="00BE40F8" w:rsidP="00815BE1">
                        <w:pPr>
                          <w:spacing w:line="192" w:lineRule="auto"/>
                          <w:ind w:firstLine="0"/>
                          <w:jc w:val="center"/>
                          <w:rPr>
                            <w:rFonts w:ascii="Times New Roman" w:hAnsi="Times New Roman" w:cs="Times New Roman"/>
                            <w:spacing w:val="-8"/>
                            <w:sz w:val="14"/>
                            <w:szCs w:val="14"/>
                          </w:rPr>
                        </w:pPr>
                        <w:r w:rsidRPr="00637B56">
                          <w:rPr>
                            <w:rFonts w:ascii="Times New Roman" w:hAnsi="Times New Roman" w:cs="Times New Roman"/>
                            <w:spacing w:val="-8"/>
                            <w:sz w:val="14"/>
                            <w:szCs w:val="14"/>
                          </w:rPr>
                          <w:t>Інформаційний</w:t>
                        </w:r>
                      </w:p>
                      <w:p w:rsidR="00BE40F8" w:rsidRPr="00637B56" w:rsidRDefault="00BE40F8" w:rsidP="00662748">
                        <w:pPr>
                          <w:rPr>
                            <w:rFonts w:ascii="Times New Roman" w:hAnsi="Times New Roman" w:cs="Times New Roman"/>
                            <w:sz w:val="14"/>
                            <w:szCs w:val="14"/>
                          </w:rPr>
                        </w:pPr>
                      </w:p>
                    </w:txbxContent>
                  </v:textbox>
                </v:shape>
                <v:shape id="AutoShape 548" o:spid="_x0000_s2574" type="#_x0000_t66" style="position:absolute;left:15086;top:3384;width:197;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"/>
                <v:shape id="AutoShape 549" o:spid="_x0000_s2575" type="#_x0000_t66" style="position:absolute;left:15105;top:7312;width:178;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"/>
                <v:shape id="Text Box 551" o:spid="_x0000_s2576" type="#_x0000_t202" style="position:absolute;left:1217;top:5710;width:534;height:4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">
                  <v:textbox style="layout-flow:vertical;mso-layout-flow-alt:bottom-to-top" inset="1.5mm,.3mm,1.5mm,.3mm">
                    <w:txbxContent>
                      <w:p w:rsidR="00BE40F8" w:rsidRPr="00637B56" w:rsidRDefault="00BE40F8" w:rsidP="00637B5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Фактори середовища непрямого впливу</w:t>
                        </w:r>
                      </w:p>
                    </w:txbxContent>
                  </v:textbox>
                </v:shape>
                <v:shape id="Text Box 552" o:spid="_x0000_s2577" type="#_x0000_t202" style="position:absolute;left:1217;top:1614;width:534;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">
                  <v:textbox style="layout-flow:vertical;mso-layout-flow-alt:bottom-to-top" inset="1.5mm,.3mm,1.5mm,.3mm">
                    <w:txbxContent>
                      <w:p w:rsidR="00BE40F8" w:rsidRPr="00637B56" w:rsidRDefault="00BE40F8" w:rsidP="00637B5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Факторисередовища прямого впливу</w:t>
                        </w:r>
                      </w:p>
                    </w:txbxContent>
                  </v:textbox>
                </v:shape>
                <v:shape id="Text Box 553" o:spid="_x0000_s2578" type="#_x0000_t202" style="position:absolute;left:683;top:1606;width:534;height:8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">
                  <v:textbox style="layout-flow:vertical;mso-layout-flow-alt:bottom-to-top" inset="1.5mm,.3mm,1.5mm,.3mm">
                    <w:txbxContent>
                      <w:p w:rsidR="00BE40F8" w:rsidRPr="00637B56" w:rsidRDefault="00BE40F8" w:rsidP="00637B56">
                        <w:pPr>
                          <w:spacing w:line="192" w:lineRule="auto"/>
                          <w:ind w:firstLine="0"/>
                          <w:jc w:val="center"/>
                          <w:rPr>
                            <w:rFonts w:ascii="Times New Roman" w:hAnsi="Times New Roman" w:cs="Times New Roman"/>
                            <w:bCs/>
                            <w:sz w:val="14"/>
                            <w:szCs w:val="14"/>
                          </w:rPr>
                        </w:pPr>
                        <w:r w:rsidRPr="00637B56">
                          <w:rPr>
                            <w:rFonts w:ascii="Times New Roman" w:hAnsi="Times New Roman" w:cs="Times New Roman"/>
                            <w:bCs/>
                            <w:sz w:val="14"/>
                            <w:szCs w:val="14"/>
                          </w:rPr>
                          <w:t>Вплив зовнішнього середовища вищого навчального закладу</w:t>
                        </w:r>
                      </w:p>
                    </w:txbxContent>
                  </v:textbox>
                </v:shape>
                <v:shape id="AutoShape 554" o:spid="_x0000_s2579" type="#_x0000_t88" style="position:absolute;left:8517;top:-3639;width:178;height:12820;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"/>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555" o:spid="_x0000_s2580" type="#_x0000_t87" style="position:absolute;left:8517;top:-2927;width:178;height:1282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" adj="3363,10831"/>
                <v:shape id="AutoShape 557" o:spid="_x0000_s2581" type="#_x0000_t87" style="position:absolute;left:8518;top:-2482;width:178;height:12997;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" adj="5400"/>
                <v:shape id="Text Box 561" o:spid="_x0000_s2582" type="#_x0000_t202" style="position:absolute;left:1929;top:4140;width:13154;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">
                  <v:textbox>
                    <w:txbxContent>
                      <w:p w:rsidR="00BE40F8" w:rsidRPr="00637B56" w:rsidRDefault="00BE40F8" w:rsidP="00662748">
                        <w:pPr>
                          <w:spacing w:line="192" w:lineRule="auto"/>
                          <w:jc w:val="center"/>
                          <w:rPr>
                            <w:rFonts w:ascii="Times New Roman" w:hAnsi="Times New Roman" w:cs="Times New Roman"/>
                            <w:b/>
                            <w:bCs/>
                            <w:i/>
                            <w:iCs/>
                            <w:sz w:val="14"/>
                            <w:szCs w:val="14"/>
                          </w:rPr>
                        </w:pPr>
                        <w:r w:rsidRPr="00637B56">
                          <w:rPr>
                            <w:rFonts w:ascii="Times New Roman" w:hAnsi="Times New Roman" w:cs="Times New Roman"/>
                            <w:b/>
                            <w:bCs/>
                            <w:i/>
                            <w:iCs/>
                            <w:sz w:val="14"/>
                            <w:szCs w:val="14"/>
                          </w:rPr>
                          <w:t>Функціонування механізму управління фінансово-господарською діяльністю вищого навчального закладу</w:t>
                        </w:r>
                      </w:p>
                    </w:txbxContent>
                  </v:textbox>
                </v:shape>
                <v:shape id="Text Box 567" o:spid="_x0000_s2583" type="#_x0000_t202" style="position:absolute;left:7702;top:7310;width:1260;height: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">
                  <v:textbox inset="0,0,0,0">
                    <w:txbxContent>
                      <w:p w:rsidR="00BE40F8" w:rsidRPr="00873076" w:rsidRDefault="00BE40F8" w:rsidP="00873076">
                        <w:pPr>
                          <w:tabs>
                            <w:tab w:val="left" w:pos="4140"/>
                          </w:tabs>
                          <w:spacing w:line="192" w:lineRule="auto"/>
                          <w:ind w:firstLine="0"/>
                          <w:jc w:val="center"/>
                          <w:rPr>
                            <w:rFonts w:ascii="Times New Roman" w:hAnsi="Times New Roman" w:cs="Times New Roman"/>
                            <w:sz w:val="13"/>
                            <w:szCs w:val="13"/>
                          </w:rPr>
                        </w:pPr>
                        <w:r w:rsidRPr="00873076">
                          <w:rPr>
                            <w:rFonts w:ascii="Times New Roman" w:hAnsi="Times New Roman" w:cs="Times New Roman"/>
                            <w:sz w:val="13"/>
                            <w:szCs w:val="13"/>
                          </w:rPr>
                          <w:t>Збільшення надходжень</w:t>
                        </w:r>
                      </w:p>
                    </w:txbxContent>
                  </v:textbox>
                </v:shape>
                <v:shape id="Text Box 568" o:spid="_x0000_s2584" type="#_x0000_t202" style="position:absolute;left:10220;top:7306;width:1260;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">
                  <v:textbox inset="0,0,0,0">
                    <w:txbxContent>
                      <w:p w:rsidR="00BE40F8" w:rsidRDefault="00BE40F8" w:rsidP="00873076">
                        <w:pPr>
                          <w:spacing w:line="192" w:lineRule="auto"/>
                          <w:ind w:firstLine="0"/>
                          <w:jc w:val="center"/>
                          <w:rPr>
                            <w:rFonts w:ascii="Times New Roman" w:hAnsi="Times New Roman" w:cs="Times New Roman"/>
                            <w:sz w:val="13"/>
                            <w:szCs w:val="13"/>
                          </w:rPr>
                        </w:pPr>
                        <w:r w:rsidRPr="00B5166C">
                          <w:rPr>
                            <w:rFonts w:ascii="Times New Roman" w:hAnsi="Times New Roman" w:cs="Times New Roman"/>
                            <w:sz w:val="13"/>
                            <w:szCs w:val="13"/>
                          </w:rPr>
                          <w:t>Оптимізація</w:t>
                        </w:r>
                      </w:p>
                      <w:p w:rsidR="00BE40F8" w:rsidRDefault="00BE40F8" w:rsidP="00873076">
                        <w:pPr>
                          <w:spacing w:line="192" w:lineRule="auto"/>
                          <w:ind w:firstLine="0"/>
                          <w:jc w:val="center"/>
                          <w:rPr>
                            <w:rFonts w:ascii="Times New Roman" w:hAnsi="Times New Roman" w:cs="Times New Roman"/>
                            <w:sz w:val="13"/>
                            <w:szCs w:val="13"/>
                          </w:rPr>
                        </w:pPr>
                        <w:r>
                          <w:rPr>
                            <w:rFonts w:ascii="Times New Roman" w:hAnsi="Times New Roman" w:cs="Times New Roman"/>
                            <w:sz w:val="13"/>
                            <w:szCs w:val="13"/>
                          </w:rPr>
                          <w:t>структури</w:t>
                        </w:r>
                      </w:p>
                    </w:txbxContent>
                  </v:textbox>
                </v:shape>
                <v:shape id="Text Box 569" o:spid="_x0000_s2585" type="#_x0000_t202" style="position:absolute;left:12742;top:7306;width:1260;height: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">
                  <v:textbox inset="0,0,0,0">
                    <w:txbxContent>
                      <w:p w:rsidR="00BE40F8" w:rsidRPr="00B5166C" w:rsidRDefault="00BE40F8" w:rsidP="00B5166C">
                        <w:pPr>
                          <w:spacing w:line="192" w:lineRule="auto"/>
                          <w:ind w:firstLine="0"/>
                          <w:jc w:val="center"/>
                          <w:rPr>
                            <w:rFonts w:ascii="Times New Roman" w:hAnsi="Times New Roman" w:cs="Times New Roman"/>
                            <w:sz w:val="13"/>
                            <w:szCs w:val="13"/>
                          </w:rPr>
                        </w:pPr>
                        <w:r w:rsidRPr="00B5166C">
                          <w:rPr>
                            <w:rFonts w:ascii="Times New Roman" w:hAnsi="Times New Roman" w:cs="Times New Roman"/>
                            <w:sz w:val="13"/>
                            <w:szCs w:val="13"/>
                          </w:rPr>
                          <w:t>Здійснення</w:t>
                        </w:r>
                      </w:p>
                      <w:p w:rsidR="00BE40F8" w:rsidRPr="00B5166C" w:rsidRDefault="00BE40F8" w:rsidP="00B5166C">
                        <w:pPr>
                          <w:spacing w:line="192" w:lineRule="auto"/>
                          <w:ind w:firstLine="0"/>
                          <w:jc w:val="center"/>
                          <w:rPr>
                            <w:rFonts w:ascii="Times New Roman" w:hAnsi="Times New Roman" w:cs="Times New Roman"/>
                            <w:sz w:val="13"/>
                            <w:szCs w:val="13"/>
                          </w:rPr>
                        </w:pPr>
                        <w:r w:rsidRPr="00B5166C">
                          <w:rPr>
                            <w:rFonts w:ascii="Times New Roman" w:hAnsi="Times New Roman" w:cs="Times New Roman"/>
                            <w:sz w:val="13"/>
                            <w:szCs w:val="13"/>
                          </w:rPr>
                          <w:t>контролю</w:t>
                        </w:r>
                      </w:p>
                    </w:txbxContent>
                  </v:textbox>
                </v:shape>
                <v:line id="Line 570" o:spid="_x0000_s2586" style="position:absolute;flip:y;visibility:visible;mso-wrap-style:square" from="14183,4860" to="14184,10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">
                  <v:stroke dashstyle="dash"/>
                </v:line>
                <v:line id="Line 571" o:spid="_x0000_s2587" style="position:absolute;flip:x;visibility:visible;mso-wrap-style:square" from="14036,4860" to="14214,48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">
                  <v:stroke endarrow="block"/>
                </v:line>
                <v:shape id="Text Box 572" o:spid="_x0000_s2588" type="#_x0000_t202" style="position:absolute;left:14393;top:5887;width:534;height:2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" stroked="f">
                  <v:textbox style="layout-flow:vertical;mso-layout-flow-alt:bottom-to-top" inset="0,0,0,0">
                    <w:txbxContent>
                      <w:p w:rsidR="00BE40F8" w:rsidRPr="00637B56" w:rsidRDefault="00BE40F8" w:rsidP="00637B56">
                        <w:pPr>
                          <w:spacing w:line="192" w:lineRule="auto"/>
                          <w:ind w:firstLine="0"/>
                          <w:rPr>
                            <w:rFonts w:ascii="Times New Roman" w:hAnsi="Times New Roman" w:cs="Times New Roman"/>
                            <w:sz w:val="14"/>
                            <w:szCs w:val="14"/>
                          </w:rPr>
                        </w:pPr>
                        <w:r w:rsidRPr="00637B56">
                          <w:rPr>
                            <w:rFonts w:ascii="Times New Roman" w:hAnsi="Times New Roman" w:cs="Times New Roman"/>
                            <w:sz w:val="14"/>
                            <w:szCs w:val="14"/>
                          </w:rPr>
                          <w:t>Зворотний зв’язок</w:t>
                        </w:r>
                      </w:p>
                    </w:txbxContent>
                  </v:textbox>
                </v:shape>
                <v:line id="Line 573" o:spid="_x0000_s2589" style="position:absolute;visibility:visible;mso-wrap-style:square" from="1943,4140" to="1944,102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" strokeweight="1.5pt"/>
                <v:line id="Line 574" o:spid="_x0000_s2590" style="position:absolute;visibility:visible;mso-wrap-style:square" from="1929,4140" to="15105,4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" strokeweight="1.5pt"/>
                <v:line id="Line 575" o:spid="_x0000_s2591" style="position:absolute;flip:x;visibility:visible;mso-wrap-style:square" from="15083,4140" to="15084,102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" strokeweight="1.5pt"/>
                <v:shape id="AutoShape 576" o:spid="_x0000_s2592" type="#_x0000_t67" style="position:absolute;left:8160;top:1436;width:179;height:1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">
                  <v:textbox style="layout-flow:vertical-ideographic"/>
                </v:shape>
                <v:shape id="Text Box 582" o:spid="_x0000_s2593" type="#_x0000_t202" style="position:absolute;left:1943;top:7740;width:450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">
                  <v:textbox inset="0,0,0,0">
                    <w:txbxContent>
                      <w:p w:rsidR="00BE40F8" w:rsidRPr="00637B56" w:rsidRDefault="00BE40F8" w:rsidP="00873076">
                        <w:pPr>
                          <w:ind w:firstLine="0"/>
                          <w:jc w:val="center"/>
                          <w:rPr>
                            <w:rFonts w:ascii="Times New Roman" w:hAnsi="Times New Roman" w:cs="Times New Roman"/>
                            <w:sz w:val="14"/>
                            <w:szCs w:val="14"/>
                          </w:rPr>
                        </w:pPr>
                        <w:r w:rsidRPr="00637B56">
                          <w:rPr>
                            <w:rFonts w:ascii="Times New Roman" w:hAnsi="Times New Roman" w:cs="Times New Roman"/>
                            <w:sz w:val="14"/>
                            <w:szCs w:val="14"/>
                          </w:rPr>
                          <w:t>Методи управління та інструменти їх реалі</w:t>
                        </w:r>
                        <w:r>
                          <w:rPr>
                            <w:rFonts w:ascii="Times New Roman" w:hAnsi="Times New Roman" w:cs="Times New Roman"/>
                            <w:sz w:val="14"/>
                            <w:szCs w:val="14"/>
                          </w:rPr>
                          <w:t>-</w:t>
                        </w:r>
                        <w:r w:rsidRPr="00637B56">
                          <w:rPr>
                            <w:rFonts w:ascii="Times New Roman" w:hAnsi="Times New Roman" w:cs="Times New Roman"/>
                            <w:sz w:val="14"/>
                            <w:szCs w:val="14"/>
                          </w:rPr>
                          <w:t>зації:</w:t>
                        </w:r>
                        <w:r>
                          <w:rPr>
                            <w:rFonts w:ascii="Times New Roman" w:hAnsi="Times New Roman" w:cs="Times New Roman"/>
                            <w:sz w:val="14"/>
                            <w:szCs w:val="14"/>
                          </w:rPr>
                          <w:t xml:space="preserve"> </w:t>
                        </w:r>
                        <w:r w:rsidRPr="00637B56">
                          <w:rPr>
                            <w:rFonts w:ascii="Times New Roman" w:hAnsi="Times New Roman" w:cs="Times New Roman"/>
                            <w:sz w:val="14"/>
                            <w:szCs w:val="14"/>
                          </w:rPr>
                          <w:t>фінансово-економічні</w:t>
                        </w:r>
                        <w:r>
                          <w:rPr>
                            <w:rFonts w:ascii="Times New Roman" w:hAnsi="Times New Roman" w:cs="Times New Roman"/>
                            <w:sz w:val="14"/>
                            <w:szCs w:val="14"/>
                          </w:rPr>
                          <w:t xml:space="preserve">; організаційно-розпорядчі; </w:t>
                        </w:r>
                        <w:r w:rsidRPr="00637B56">
                          <w:rPr>
                            <w:rFonts w:ascii="Times New Roman" w:hAnsi="Times New Roman" w:cs="Times New Roman"/>
                            <w:sz w:val="14"/>
                            <w:szCs w:val="14"/>
                          </w:rPr>
                          <w:t>нормативно-правові</w:t>
                        </w:r>
                        <w:r>
                          <w:rPr>
                            <w:rFonts w:ascii="Times New Roman" w:hAnsi="Times New Roman" w:cs="Times New Roman"/>
                            <w:sz w:val="14"/>
                            <w:szCs w:val="14"/>
                          </w:rPr>
                          <w:t xml:space="preserve">; </w:t>
                        </w:r>
                        <w:r w:rsidRPr="00637B56">
                          <w:rPr>
                            <w:rFonts w:ascii="Times New Roman" w:hAnsi="Times New Roman" w:cs="Times New Roman"/>
                            <w:sz w:val="14"/>
                            <w:szCs w:val="14"/>
                          </w:rPr>
                          <w:t>соціально-психологічні</w:t>
                        </w:r>
                      </w:p>
                    </w:txbxContent>
                  </v:textbox>
                </v:shape>
                <v:shape id="AutoShape 587" o:spid="_x0000_s2594" type="#_x0000_t88" style="position:absolute;left:1788;top:1614;width:141;height:83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"/>
                <v:shape id="AutoShape 588" o:spid="_x0000_s2595" type="#_x0000_t32" style="position:absolute;left:1929;top:5788;width:1;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"/>
                <v:shape id="AutoShape 589" o:spid="_x0000_s2596" type="#_x0000_t32" style="position:absolute;left:1929;top:5788;width:1;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"/>
                <v:shape id="AutoShape 590" o:spid="_x0000_s2597" type="#_x0000_t32" style="position:absolute;left:1929;top:5788;width:1;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"/>
                <v:shape id="Text Box 594" o:spid="_x0000_s2598" type="#_x0000_t202" style="position:absolute;left:7703;top:5040;width:6333;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">
                  <v:textbox inset="1.5mm,.3mm,1.5mm,.3mm">
                    <w:txbxContent>
                      <w:p w:rsidR="00BE40F8" w:rsidRPr="00637B56"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Встановлення факторів впливу зовнішнього середовища на фінансово-господарську діяльність ВНЗ</w:t>
                        </w:r>
                      </w:p>
                    </w:txbxContent>
                  </v:textbox>
                </v:shape>
                <v:shape id="Text Box 595" o:spid="_x0000_s2599" type="#_x0000_t202" style="position:absolute;left:7703;top:5580;width:6333;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">
                  <v:textbox inset="1.5mm,.3mm,1.5mm,.3mm">
                    <w:txbxContent>
                      <w:p w:rsidR="00BE40F8" w:rsidRPr="00637B56"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Виявлення сильних та слабких сторін діяльності ВНЗ</w:t>
                        </w:r>
                      </w:p>
                      <w:p w:rsidR="00BE40F8" w:rsidRPr="00637B56" w:rsidRDefault="00BE40F8" w:rsidP="00662748">
                        <w:pPr>
                          <w:rPr>
                            <w:rFonts w:ascii="Times New Roman" w:hAnsi="Times New Roman" w:cs="Times New Roman"/>
                            <w:sz w:val="14"/>
                            <w:szCs w:val="14"/>
                          </w:rPr>
                        </w:pPr>
                      </w:p>
                    </w:txbxContent>
                  </v:textbox>
                </v:shape>
                <v:shape id="Text Box 596" o:spid="_x0000_s2600" type="#_x0000_t202" style="position:absolute;left:7703;top:5940;width:6333;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">
                  <v:textbox inset="1.5mm,.3mm,1.5mm,.3mm">
                    <w:txbxContent>
                      <w:p w:rsidR="00BE40F8" w:rsidRPr="00637B56"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Визначення ризиків та способів їх нейтралізації</w:t>
                        </w:r>
                      </w:p>
                      <w:p w:rsidR="00BE40F8" w:rsidRPr="00637B56" w:rsidRDefault="00BE40F8" w:rsidP="00662748">
                        <w:pPr>
                          <w:rPr>
                            <w:rFonts w:ascii="Times New Roman" w:hAnsi="Times New Roman" w:cs="Times New Roman"/>
                            <w:sz w:val="14"/>
                            <w:szCs w:val="14"/>
                          </w:rPr>
                        </w:pPr>
                      </w:p>
                    </w:txbxContent>
                  </v:textbox>
                </v:shape>
                <v:line id="Line 601" o:spid="_x0000_s2601" style="position:absolute;flip:x;visibility:visible;mso-wrap-style:square" from="14214,6956" to="14393,69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">
                  <v:stroke endarrow="block"/>
                </v:line>
                <v:shape id="Text Box 602" o:spid="_x0000_s2602" type="#_x0000_t202" style="position:absolute;left:8962;top:7309;width:1260;height: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">
                  <v:textbox inset="0,0,0,0">
                    <w:txbxContent>
                      <w:p w:rsidR="00BE40F8" w:rsidRPr="00873076" w:rsidRDefault="00BE40F8" w:rsidP="00873076">
                        <w:pPr>
                          <w:spacing w:line="192" w:lineRule="auto"/>
                          <w:ind w:firstLine="0"/>
                          <w:jc w:val="center"/>
                          <w:rPr>
                            <w:rFonts w:ascii="Times New Roman" w:hAnsi="Times New Roman" w:cs="Times New Roman"/>
                            <w:sz w:val="13"/>
                            <w:szCs w:val="13"/>
                          </w:rPr>
                        </w:pPr>
                        <w:r w:rsidRPr="00873076">
                          <w:rPr>
                            <w:rFonts w:ascii="Times New Roman" w:hAnsi="Times New Roman" w:cs="Times New Roman"/>
                            <w:sz w:val="13"/>
                            <w:szCs w:val="13"/>
                          </w:rPr>
                          <w:t>Оптимізація</w:t>
                        </w:r>
                      </w:p>
                      <w:p w:rsidR="00BE40F8" w:rsidRPr="00873076" w:rsidRDefault="00BE40F8" w:rsidP="00873076">
                        <w:pPr>
                          <w:spacing w:line="192" w:lineRule="auto"/>
                          <w:ind w:firstLine="0"/>
                          <w:jc w:val="center"/>
                          <w:rPr>
                            <w:rFonts w:ascii="Times New Roman" w:hAnsi="Times New Roman" w:cs="Times New Roman"/>
                            <w:sz w:val="13"/>
                            <w:szCs w:val="13"/>
                          </w:rPr>
                        </w:pPr>
                        <w:r w:rsidRPr="00873076">
                          <w:rPr>
                            <w:rFonts w:ascii="Times New Roman" w:hAnsi="Times New Roman" w:cs="Times New Roman"/>
                            <w:sz w:val="13"/>
                            <w:szCs w:val="13"/>
                          </w:rPr>
                          <w:t>видатків</w:t>
                        </w:r>
                      </w:p>
                    </w:txbxContent>
                  </v:textbox>
                </v:shape>
                <v:line id="Line 604" o:spid="_x0000_s2603" style="position:absolute;flip:x;visibility:visible;mso-wrap-style:square" from="10763,10080" to="14183,10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">
                  <v:stroke dashstyle="dash"/>
                </v:line>
                <v:line id="Пряма сполучна лінія 572" o:spid="_x0000_s2604" style="position:absolute;flip:x;visibility:visible;mso-wrap-style:square" from="1929,10260" to="15105,10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" strokeweight="1.5pt"/>
                <v:shape id="Text Box 596" o:spid="_x0000_s2605" type="#_x0000_t202" style="position:absolute;left:7703;top:8280;width:63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">
                  <v:textbox inset="0,0,0,0">
                    <w:txbxContent>
                      <w:p w:rsidR="00BE40F8" w:rsidRPr="00637B56" w:rsidRDefault="00BE40F8" w:rsidP="00B5166C">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Визначення методів управління та інструментів їх реалізації</w:t>
                        </w:r>
                      </w:p>
                    </w:txbxContent>
                  </v:textbox>
                </v:shape>
                <v:line id="Line 975" o:spid="_x0000_s2606" style="position:absolute;visibility:visible;mso-wrap-style:square" from="11123,6840" to="11123,68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">
                  <v:stroke endarrow="block"/>
                </v:line>
                <v:line id="Line 976" o:spid="_x0000_s2607" style="position:absolute;visibility:visible;mso-wrap-style:square" from="10943,6840" to="10943,68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">
                  <v:stroke endarrow="block"/>
                </v:line>
                <v:line id="Line 977" o:spid="_x0000_s2608" style="position:absolute;visibility:visible;mso-wrap-style:square" from="10763,6300" to="10764,6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">
                  <v:stroke endarrow="block"/>
                </v:line>
                <v:line id="Line 978" o:spid="_x0000_s2609" style="position:absolute;visibility:visible;mso-wrap-style:square" from="10763,8100" to="10764,82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">
                  <v:stroke endarrow="block"/>
                </v:line>
                <v:shape id="Text Box 594" o:spid="_x0000_s2610" type="#_x0000_t202" style="position:absolute;left:7703;top:4680;width:6333;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">
                  <v:textbox inset="1.5mm,.3mm,1.5mm,.3mm">
                    <w:txbxContent>
                      <w:p w:rsidR="00BE40F8" w:rsidRPr="00637B56"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Аналіз стану і умов фінансово-господарської діяльності ВНЗ</w:t>
                        </w:r>
                      </w:p>
                    </w:txbxContent>
                  </v:textbox>
                </v:shape>
                <v:line id="Line 605" o:spid="_x0000_s2611" style="position:absolute;visibility:visible;mso-wrap-style:square" from="10763,9902" to="10764,10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">
                  <v:stroke endarrow="block"/>
                </v:line>
                <v:shape id="Text Box 603" o:spid="_x0000_s2612" type="#_x0000_t202" style="position:absolute;left:11482;top:7307;width:1246;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">
                  <v:textbox inset="0,0,0,0">
                    <w:txbxContent>
                      <w:p w:rsidR="00BE40F8" w:rsidRPr="00B5166C" w:rsidRDefault="00BE40F8" w:rsidP="00B5166C">
                        <w:pPr>
                          <w:spacing w:line="192" w:lineRule="auto"/>
                          <w:ind w:firstLine="0"/>
                          <w:jc w:val="center"/>
                          <w:rPr>
                            <w:rFonts w:ascii="Times New Roman" w:hAnsi="Times New Roman" w:cs="Times New Roman"/>
                            <w:sz w:val="13"/>
                            <w:szCs w:val="13"/>
                          </w:rPr>
                        </w:pPr>
                        <w:r w:rsidRPr="00B5166C">
                          <w:rPr>
                            <w:rFonts w:ascii="Times New Roman" w:hAnsi="Times New Roman" w:cs="Times New Roman"/>
                            <w:spacing w:val="-4"/>
                            <w:sz w:val="13"/>
                            <w:szCs w:val="13"/>
                          </w:rPr>
                          <w:t xml:space="preserve">Інформаційне </w:t>
                        </w:r>
                        <w:r w:rsidRPr="00B5166C">
                          <w:rPr>
                            <w:rFonts w:ascii="Times New Roman" w:hAnsi="Times New Roman" w:cs="Times New Roman"/>
                            <w:sz w:val="13"/>
                            <w:szCs w:val="13"/>
                          </w:rPr>
                          <w:t>забезпечення</w:t>
                        </w:r>
                      </w:p>
                    </w:txbxContent>
                  </v:textbox>
                </v:shape>
                <v:shape id="Text Box 613" o:spid="_x0000_s2613" type="#_x0000_t202" style="position:absolute;left:14363;top:9720;width:1505;height:5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">
                  <v:textbox inset="0,0,0,0">
                    <w:txbxContent>
                      <w:p w:rsidR="00BE40F8" w:rsidRPr="00B5166C" w:rsidRDefault="00BE40F8" w:rsidP="00B5166C">
                        <w:pPr>
                          <w:spacing w:line="168" w:lineRule="auto"/>
                          <w:ind w:firstLine="0"/>
                          <w:jc w:val="center"/>
                          <w:rPr>
                            <w:rFonts w:ascii="Times New Roman" w:hAnsi="Times New Roman" w:cs="Times New Roman"/>
                            <w:bCs/>
                            <w:sz w:val="14"/>
                            <w:szCs w:val="14"/>
                          </w:rPr>
                        </w:pPr>
                        <w:r w:rsidRPr="00B5166C">
                          <w:rPr>
                            <w:rFonts w:ascii="Times New Roman" w:hAnsi="Times New Roman" w:cs="Times New Roman"/>
                            <w:bCs/>
                            <w:sz w:val="14"/>
                            <w:szCs w:val="14"/>
                          </w:rPr>
                          <w:t>Економічний розвиток</w:t>
                        </w:r>
                      </w:p>
                    </w:txbxContent>
                  </v:textbox>
                </v:shape>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AutoShape 983" o:spid="_x0000_s2614" type="#_x0000_t105" style="position:absolute;left:14003;top:9540;width:54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"/>
                <v:shape id="Text Box 984" o:spid="_x0000_s2615" type="#_x0000_t202" style="position:absolute;left:6083;top:3600;width:16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">
                  <v:textbox inset="0,0,0,0">
                    <w:txbxContent>
                      <w:p w:rsidR="00BE40F8" w:rsidRPr="00637B56" w:rsidRDefault="00BE40F8" w:rsidP="00815BE1">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Безперервності</w:t>
                        </w:r>
                      </w:p>
                    </w:txbxContent>
                  </v:textbox>
                </v:shape>
                <v:shape id="Text Box 985" o:spid="_x0000_s2616" type="#_x0000_t202" style="position:absolute;left:13283;top:2880;width:18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">
                  <v:textbox inset="0,0,0,0">
                    <w:txbxContent>
                      <w:p w:rsidR="00BE40F8" w:rsidRPr="00637B56" w:rsidRDefault="00BE40F8" w:rsidP="00815BE1">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lang w:val="en-US"/>
                          </w:rPr>
                          <w:t>Комплексний</w:t>
                        </w:r>
                      </w:p>
                      <w:p w:rsidR="00BE40F8" w:rsidRPr="00637B56" w:rsidRDefault="00BE40F8" w:rsidP="00662748">
                        <w:pPr>
                          <w:rPr>
                            <w:rFonts w:ascii="Times New Roman" w:hAnsi="Times New Roman" w:cs="Times New Roman"/>
                            <w:sz w:val="14"/>
                            <w:szCs w:val="14"/>
                          </w:rPr>
                        </w:pPr>
                      </w:p>
                    </w:txbxContent>
                  </v:textbox>
                </v:shape>
                <v:shape id="Text Box 986" o:spid="_x0000_s2617" type="#_x0000_t202" style="position:absolute;left:6803;top:4680;width:900;height:1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">
                  <v:textbox style="layout-flow:vertical;mso-layout-flow-alt:bottom-to-top" inset="0,0,0,0">
                    <w:txbxContent>
                      <w:p w:rsidR="00BE40F8" w:rsidRPr="00873076" w:rsidRDefault="00BE40F8" w:rsidP="00873076">
                        <w:pPr>
                          <w:ind w:firstLine="0"/>
                          <w:jc w:val="center"/>
                          <w:rPr>
                            <w:rFonts w:ascii="Times New Roman" w:hAnsi="Times New Roman" w:cs="Times New Roman"/>
                            <w:sz w:val="13"/>
                            <w:szCs w:val="13"/>
                          </w:rPr>
                        </w:pPr>
                        <w:r w:rsidRPr="00873076">
                          <w:rPr>
                            <w:rFonts w:ascii="Times New Roman" w:hAnsi="Times New Roman" w:cs="Times New Roman"/>
                            <w:sz w:val="13"/>
                            <w:szCs w:val="13"/>
                          </w:rPr>
                          <w:t>Підсистема аналізу</w:t>
                        </w:r>
                      </w:p>
                    </w:txbxContent>
                  </v:textbox>
                </v:shape>
                <v:shape id="Text Box 596" o:spid="_x0000_s2618" type="#_x0000_t202" style="position:absolute;left:7703;top:6480;width:6333;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">
                  <v:textbox inset="1.5mm,.3mm,1.5mm,.3mm">
                    <w:txbxContent>
                      <w:p w:rsidR="00BE40F8" w:rsidRPr="00637B56"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Розробка перспективного плану розвитку</w:t>
                        </w:r>
                      </w:p>
                      <w:p w:rsidR="00BE40F8" w:rsidRPr="00637B56" w:rsidRDefault="00BE40F8" w:rsidP="00662748">
                        <w:pPr>
                          <w:rPr>
                            <w:rFonts w:ascii="Times New Roman" w:hAnsi="Times New Roman" w:cs="Times New Roman"/>
                            <w:sz w:val="14"/>
                            <w:szCs w:val="14"/>
                          </w:rPr>
                        </w:pPr>
                      </w:p>
                    </w:txbxContent>
                  </v:textbox>
                </v:shape>
                <v:shape id="Text Box 596" o:spid="_x0000_s2619" type="#_x0000_t202" style="position:absolute;left:7701;top:6763;width:6333;height: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">
                  <v:textbox inset="1.5mm,.3mm,1.5mm,.3mm">
                    <w:txbxContent>
                      <w:p w:rsidR="00BE40F8" w:rsidRPr="00637B56"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Визначення напрямів діяльності та вироблення заходів для їх здійснення</w:t>
                        </w:r>
                      </w:p>
                      <w:p w:rsidR="00BE40F8" w:rsidRPr="00637B56" w:rsidRDefault="00BE40F8" w:rsidP="00662748">
                        <w:pPr>
                          <w:rPr>
                            <w:rFonts w:ascii="Times New Roman" w:hAnsi="Times New Roman" w:cs="Times New Roman"/>
                            <w:sz w:val="14"/>
                            <w:szCs w:val="14"/>
                          </w:rPr>
                        </w:pPr>
                      </w:p>
                    </w:txbxContent>
                  </v:textbox>
                </v:shape>
                <v:shape id="Text Box 596" o:spid="_x0000_s2620" type="#_x0000_t202" style="position:absolute;left:7703;top:7740;width:6333;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">
                  <v:textbox inset="0,0,0,0">
                    <w:txbxContent>
                      <w:p w:rsidR="00BE40F8" w:rsidRPr="00637B56" w:rsidRDefault="00BE40F8" w:rsidP="00B5166C">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Визначення відповідальних осіб і строків виконання</w:t>
                        </w:r>
                      </w:p>
                    </w:txbxContent>
                  </v:textbox>
                </v:shape>
                <v:shape id="Text Box 596" o:spid="_x0000_s2621" type="#_x0000_t202" style="position:absolute;left:7703;top:8640;width:63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">
                  <v:textbox inset="0,0,0,0">
                    <w:txbxContent>
                      <w:p w:rsidR="00BE40F8" w:rsidRPr="00637B56" w:rsidRDefault="00BE40F8" w:rsidP="00662748">
                        <w:pPr>
                          <w:spacing w:line="192" w:lineRule="auto"/>
                          <w:jc w:val="center"/>
                          <w:rPr>
                            <w:rFonts w:ascii="Times New Roman" w:hAnsi="Times New Roman" w:cs="Times New Roman"/>
                            <w:sz w:val="14"/>
                            <w:szCs w:val="14"/>
                          </w:rPr>
                        </w:pPr>
                        <w:r w:rsidRPr="00637B56">
                          <w:rPr>
                            <w:rFonts w:ascii="Times New Roman" w:hAnsi="Times New Roman" w:cs="Times New Roman"/>
                            <w:sz w:val="14"/>
                            <w:szCs w:val="14"/>
                          </w:rPr>
                          <w:t xml:space="preserve">Реалізація заходів у відповідності до напрямів діяльності </w:t>
                        </w:r>
                      </w:p>
                    </w:txbxContent>
                  </v:textbox>
                </v:shape>
                <v:shape id="Text Box 596" o:spid="_x0000_s2622" type="#_x0000_t202" style="position:absolute;left:7702;top:9082;width:6300;height: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">
                  <v:textbox inset="0,0,0,0">
                    <w:txbxContent>
                      <w:p w:rsidR="00BE40F8" w:rsidRPr="00637B56" w:rsidRDefault="00BE40F8" w:rsidP="00B5166C">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Визначення критеріїв та параметрів ФГД та контроль за їх виконанням</w:t>
                        </w:r>
                      </w:p>
                    </w:txbxContent>
                  </v:textbox>
                </v:shape>
                <v:line id="Line 992" o:spid="_x0000_s2623" style="position:absolute;visibility:visible;mso-wrap-style:square" from="10763,9000" to="10764,91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">
                  <v:stroke endarrow="block"/>
                </v:line>
                <v:shape id="Text Box 596" o:spid="_x0000_s2624" type="#_x0000_t202" style="position:absolute;left:7703;top:9540;width:63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">
                  <v:textbox inset="1.5mm,.3mm,1.5mm,.3mm">
                    <w:txbxContent>
                      <w:p w:rsidR="00BE40F8" w:rsidRPr="00637B56" w:rsidRDefault="00BE40F8" w:rsidP="00B5166C">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 xml:space="preserve">Оцінка ефективності управління ФГД ВНЗ </w:t>
                        </w:r>
                      </w:p>
                    </w:txbxContent>
                  </v:textbox>
                </v:shape>
                <v:shape id="Text Box 994" o:spid="_x0000_s2625" type="#_x0000_t202" style="position:absolute;left:6803;top:6480;width:900;height:1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">
                  <v:textbox style="layout-flow:vertical;mso-layout-flow-alt:bottom-to-top" inset="0,0,0,0">
                    <w:txbxContent>
                      <w:p w:rsidR="00BE40F8" w:rsidRPr="00873076" w:rsidRDefault="00BE40F8" w:rsidP="00873076">
                        <w:pPr>
                          <w:spacing w:line="199" w:lineRule="auto"/>
                          <w:ind w:firstLine="0"/>
                          <w:jc w:val="center"/>
                          <w:rPr>
                            <w:rFonts w:ascii="Times New Roman" w:hAnsi="Times New Roman" w:cs="Times New Roman"/>
                            <w:sz w:val="13"/>
                            <w:szCs w:val="13"/>
                          </w:rPr>
                        </w:pPr>
                        <w:r w:rsidRPr="00873076">
                          <w:rPr>
                            <w:rFonts w:ascii="Times New Roman" w:hAnsi="Times New Roman" w:cs="Times New Roman"/>
                            <w:sz w:val="13"/>
                            <w:szCs w:val="13"/>
                          </w:rPr>
                          <w:t>Підсистема прогнозування і планування</w:t>
                        </w:r>
                      </w:p>
                    </w:txbxContent>
                  </v:textbox>
                </v:shape>
                <v:shape id="Text Box 995" o:spid="_x0000_s2626" type="#_x0000_t202" style="position:absolute;left:6802;top:8182;width:900;height:8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">
                  <v:textbox style="layout-flow:vertical;mso-layout-flow-alt:bottom-to-top" inset="0,0,0,0">
                    <w:txbxContent>
                      <w:p w:rsidR="00BE40F8" w:rsidRPr="00873076" w:rsidRDefault="00BE40F8" w:rsidP="00873076">
                        <w:pPr>
                          <w:ind w:firstLine="0"/>
                          <w:jc w:val="center"/>
                          <w:rPr>
                            <w:rFonts w:ascii="Times New Roman" w:hAnsi="Times New Roman" w:cs="Times New Roman"/>
                            <w:spacing w:val="-6"/>
                            <w:sz w:val="13"/>
                            <w:szCs w:val="13"/>
                          </w:rPr>
                        </w:pPr>
                        <w:r w:rsidRPr="00873076">
                          <w:rPr>
                            <w:rFonts w:ascii="Times New Roman" w:hAnsi="Times New Roman" w:cs="Times New Roman"/>
                            <w:spacing w:val="-6"/>
                            <w:sz w:val="13"/>
                            <w:szCs w:val="13"/>
                          </w:rPr>
                          <w:t>Підсистема органі</w:t>
                        </w:r>
                      </w:p>
                      <w:p w:rsidR="00BE40F8" w:rsidRPr="00873076" w:rsidRDefault="00BE40F8" w:rsidP="00873076">
                        <w:pPr>
                          <w:ind w:firstLine="0"/>
                          <w:jc w:val="center"/>
                          <w:rPr>
                            <w:rFonts w:ascii="Times New Roman" w:hAnsi="Times New Roman" w:cs="Times New Roman"/>
                            <w:sz w:val="13"/>
                            <w:szCs w:val="13"/>
                          </w:rPr>
                        </w:pPr>
                        <w:r w:rsidRPr="00873076">
                          <w:rPr>
                            <w:rFonts w:ascii="Times New Roman" w:hAnsi="Times New Roman" w:cs="Times New Roman"/>
                            <w:spacing w:val="-6"/>
                            <w:sz w:val="13"/>
                            <w:szCs w:val="13"/>
                          </w:rPr>
                          <w:t>за</w:t>
                        </w:r>
                        <w:r w:rsidRPr="00873076">
                          <w:rPr>
                            <w:rFonts w:ascii="Times New Roman" w:hAnsi="Times New Roman" w:cs="Times New Roman"/>
                            <w:sz w:val="13"/>
                            <w:szCs w:val="13"/>
                          </w:rPr>
                          <w:t>ції</w:t>
                        </w:r>
                      </w:p>
                    </w:txbxContent>
                  </v:textbox>
                </v:shape>
                <v:shape id="Text Box 996" o:spid="_x0000_s2627" type="#_x0000_t202" style="position:absolute;left:6802;top:8999;width:900;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">
                  <v:textbox style="layout-flow:vertical;mso-layout-flow-alt:bottom-to-top" inset="0,0,0,0">
                    <w:txbxContent>
                      <w:p w:rsidR="00BE40F8" w:rsidRPr="00873076" w:rsidRDefault="00BE40F8" w:rsidP="00873076">
                        <w:pPr>
                          <w:ind w:firstLine="0"/>
                          <w:jc w:val="center"/>
                          <w:rPr>
                            <w:rFonts w:ascii="Times New Roman" w:hAnsi="Times New Roman" w:cs="Times New Roman"/>
                            <w:spacing w:val="-6"/>
                            <w:sz w:val="13"/>
                            <w:szCs w:val="13"/>
                          </w:rPr>
                        </w:pPr>
                        <w:r w:rsidRPr="00873076">
                          <w:rPr>
                            <w:rFonts w:ascii="Times New Roman" w:hAnsi="Times New Roman" w:cs="Times New Roman"/>
                            <w:spacing w:val="-8"/>
                            <w:sz w:val="13"/>
                            <w:szCs w:val="13"/>
                          </w:rPr>
                          <w:t xml:space="preserve">Підсистема </w:t>
                        </w:r>
                        <w:r w:rsidRPr="00873076">
                          <w:rPr>
                            <w:rFonts w:ascii="Times New Roman" w:hAnsi="Times New Roman" w:cs="Times New Roman"/>
                            <w:spacing w:val="-6"/>
                            <w:sz w:val="13"/>
                            <w:szCs w:val="13"/>
                          </w:rPr>
                          <w:t>контролю та оцінки</w:t>
                        </w:r>
                      </w:p>
                    </w:txbxContent>
                  </v:textbox>
                </v:shape>
                <v:shape id="AutoShape 997" o:spid="_x0000_s2628" type="#_x0000_t105" style="position:absolute;left:6443;top:8100;width:180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"/>
                <v:shape id="Text Box 550" o:spid="_x0000_s2629" type="#_x0000_t202" style="position:absolute;left:1943;top:9720;width:4500;height:5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">
                  <v:textbox inset="1.5mm,.3mm,1.5mm,.3mm">
                    <w:txbxContent>
                      <w:p w:rsidR="00BE40F8" w:rsidRPr="00637B56"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Критерії ефективності управління ФГД</w:t>
                        </w:r>
                      </w:p>
                      <w:p w:rsidR="00BE40F8" w:rsidRPr="00637B56" w:rsidRDefault="00BE40F8" w:rsidP="00662748">
                        <w:pPr>
                          <w:spacing w:line="216" w:lineRule="auto"/>
                          <w:jc w:val="center"/>
                          <w:rPr>
                            <w:rFonts w:ascii="Times New Roman" w:hAnsi="Times New Roman" w:cs="Times New Roman"/>
                            <w:sz w:val="14"/>
                            <w:szCs w:val="14"/>
                          </w:rPr>
                        </w:pPr>
                      </w:p>
                    </w:txbxContent>
                  </v:textbox>
                </v:shape>
                <v:roundrect id="AutoShape 999" o:spid="_x0000_s2630" style="position:absolute;left:2123;top:5220;width:4140;height:23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"/>
                <v:line id="Line 1000" o:spid="_x0000_s2631" style="position:absolute;visibility:visible;mso-wrap-style:square" from="6623,5400" to="6803,54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"/>
                <v:line id="Line 1001" o:spid="_x0000_s2632" style="position:absolute;flip:y;visibility:visible;mso-wrap-style:square" from="6623,7380" to="6803,7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"/>
                <v:line id="Line 1002" o:spid="_x0000_s2633" style="position:absolute;visibility:visible;mso-wrap-style:square" from="6623,8640" to="6803,8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"/>
                <v:line id="Line 1003" o:spid="_x0000_s2634" style="position:absolute;visibility:visible;mso-wrap-style:square" from="6623,9540" to="6803,95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"/>
                <v:line id="Line 1004" o:spid="_x0000_s2635" style="position:absolute;visibility:visible;mso-wrap-style:square" from="6623,5400" to="6623,95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"/>
                <v:shape id="Text Box 1005" o:spid="_x0000_s2636" type="#_x0000_t202" style="position:absolute;left:2483;top:5309;width:3420;height: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">
                  <v:textbox inset="0,0,0,0">
                    <w:txbxContent>
                      <w:p w:rsidR="00BE40F8" w:rsidRPr="00637B56" w:rsidRDefault="00BE40F8" w:rsidP="00873076">
                        <w:pPr>
                          <w:spacing w:line="228"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Функціональні компоненти:</w:t>
                        </w:r>
                        <w:r>
                          <w:rPr>
                            <w:rFonts w:ascii="Times New Roman" w:hAnsi="Times New Roman" w:cs="Times New Roman"/>
                            <w:sz w:val="14"/>
                            <w:szCs w:val="14"/>
                          </w:rPr>
                          <w:t xml:space="preserve"> ф</w:t>
                        </w:r>
                        <w:r w:rsidRPr="00637B56">
                          <w:rPr>
                            <w:rFonts w:ascii="Times New Roman" w:hAnsi="Times New Roman" w:cs="Times New Roman"/>
                            <w:sz w:val="14"/>
                            <w:szCs w:val="14"/>
                          </w:rPr>
                          <w:t>ун</w:t>
                        </w:r>
                        <w:r>
                          <w:rPr>
                            <w:rFonts w:ascii="Times New Roman" w:hAnsi="Times New Roman" w:cs="Times New Roman"/>
                            <w:sz w:val="14"/>
                            <w:szCs w:val="14"/>
                          </w:rPr>
                          <w:t xml:space="preserve">-кції управління </w:t>
                        </w:r>
                        <w:r w:rsidRPr="00637B56">
                          <w:rPr>
                            <w:rFonts w:ascii="Times New Roman" w:hAnsi="Times New Roman" w:cs="Times New Roman"/>
                            <w:sz w:val="14"/>
                            <w:szCs w:val="14"/>
                          </w:rPr>
                          <w:t>комплексні фун</w:t>
                        </w:r>
                        <w:r>
                          <w:rPr>
                            <w:rFonts w:ascii="Times New Roman" w:hAnsi="Times New Roman" w:cs="Times New Roman"/>
                            <w:sz w:val="14"/>
                            <w:szCs w:val="14"/>
                          </w:rPr>
                          <w:t>-</w:t>
                        </w:r>
                        <w:r w:rsidRPr="00637B56">
                          <w:rPr>
                            <w:rFonts w:ascii="Times New Roman" w:hAnsi="Times New Roman" w:cs="Times New Roman"/>
                            <w:sz w:val="14"/>
                            <w:szCs w:val="14"/>
                          </w:rPr>
                          <w:t>кціональні підсистеми</w:t>
                        </w:r>
                        <w:r>
                          <w:rPr>
                            <w:rFonts w:ascii="Times New Roman" w:hAnsi="Times New Roman" w:cs="Times New Roman"/>
                            <w:sz w:val="14"/>
                            <w:szCs w:val="14"/>
                          </w:rPr>
                          <w:t xml:space="preserve">, </w:t>
                        </w:r>
                        <w:r w:rsidRPr="00637B56">
                          <w:rPr>
                            <w:rFonts w:ascii="Times New Roman" w:hAnsi="Times New Roman" w:cs="Times New Roman"/>
                            <w:sz w:val="14"/>
                            <w:szCs w:val="14"/>
                          </w:rPr>
                          <w:t>функціо</w:t>
                        </w:r>
                        <w:r>
                          <w:rPr>
                            <w:rFonts w:ascii="Times New Roman" w:hAnsi="Times New Roman" w:cs="Times New Roman"/>
                            <w:sz w:val="14"/>
                            <w:szCs w:val="14"/>
                          </w:rPr>
                          <w:t>-</w:t>
                        </w:r>
                        <w:r w:rsidRPr="00637B56">
                          <w:rPr>
                            <w:rFonts w:ascii="Times New Roman" w:hAnsi="Times New Roman" w:cs="Times New Roman"/>
                            <w:sz w:val="14"/>
                            <w:szCs w:val="14"/>
                          </w:rPr>
                          <w:t>нальні завдання</w:t>
                        </w:r>
                      </w:p>
                    </w:txbxContent>
                  </v:textbox>
                </v:shape>
                <v:shape id="Text Box 1006" o:spid="_x0000_s2637" type="#_x0000_t202" style="position:absolute;left:2663;top:4680;width:32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">
                  <v:textbox inset="1.5mm,.3mm,1.5mm,.3mm">
                    <w:txbxContent>
                      <w:p w:rsidR="00BE40F8" w:rsidRPr="00637B56" w:rsidRDefault="00BE40F8" w:rsidP="00815BE1">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АІСУ</w:t>
                        </w:r>
                      </w:p>
                    </w:txbxContent>
                  </v:textbox>
                </v:shape>
                <v:line id="Line 1007" o:spid="_x0000_s2638" style="position:absolute;visibility:visible;mso-wrap-style:square" from="4282,5040" to="4283,52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"/>
                <v:shape id="Text Box 1008" o:spid="_x0000_s2639" type="#_x0000_t202" style="position:absolute;left:2483;top:6419;width:342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">
                  <v:textbox inset="0,0,0,0">
                    <w:txbxContent>
                      <w:p w:rsidR="00BE40F8" w:rsidRPr="00637B56"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Компоненти системи обробки даних</w:t>
                        </w:r>
                      </w:p>
                    </w:txbxContent>
                  </v:textbox>
                </v:shape>
                <v:shape id="Text Box 1009" o:spid="_x0000_s2640" type="#_x0000_t202" style="position:absolute;left:2483;top:7020;width:34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">
                  <v:textbox inset="0,0,0,0">
                    <w:txbxContent>
                      <w:p w:rsidR="00BE40F8" w:rsidRPr="00637B56"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Організаційні компоненти</w:t>
                        </w:r>
                      </w:p>
                    </w:txbxContent>
                  </v:textbox>
                </v:shape>
                <v:line id="Line 1010" o:spid="_x0000_s2641" style="position:absolute;visibility:visible;mso-wrap-style:square" from="4193,6894" to="4193,7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"/>
                <v:line id="Line 1011" o:spid="_x0000_s2642" style="position:absolute;visibility:visible;mso-wrap-style:square" from="4193,6298" to="4193,6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"/>
                <v:shape id="AutoShape 1012" o:spid="_x0000_s2643" type="#_x0000_t93" style="position:absolute;left:6263;top:6120;width:36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"/>
                <v:shape id="Text Box 550" o:spid="_x0000_s2644" type="#_x0000_t202" style="position:absolute;left:1943;top:9000;width:4500;height:5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">
                  <v:textbox inset="0,0,0,0">
                    <w:txbxContent>
                      <w:p w:rsidR="00BE40F8"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 xml:space="preserve">Важелі: загальнодержавні, </w:t>
                        </w:r>
                      </w:p>
                      <w:p w:rsidR="00BE40F8" w:rsidRPr="00637B56" w:rsidRDefault="00BE40F8" w:rsidP="00873076">
                        <w:pPr>
                          <w:spacing w:line="192" w:lineRule="auto"/>
                          <w:ind w:firstLine="0"/>
                          <w:jc w:val="center"/>
                          <w:rPr>
                            <w:rFonts w:ascii="Times New Roman" w:hAnsi="Times New Roman" w:cs="Times New Roman"/>
                            <w:sz w:val="14"/>
                            <w:szCs w:val="14"/>
                          </w:rPr>
                        </w:pPr>
                        <w:r w:rsidRPr="00637B56">
                          <w:rPr>
                            <w:rFonts w:ascii="Times New Roman" w:hAnsi="Times New Roman" w:cs="Times New Roman"/>
                            <w:sz w:val="14"/>
                            <w:szCs w:val="14"/>
                          </w:rPr>
                          <w:t>внутрішньогосподарські</w:t>
                        </w:r>
                      </w:p>
                    </w:txbxContent>
                  </v:textbox>
                </v:shape>
              </v:group>
            </w:pict>
          </mc:Fallback>
        </mc:AlternateContent>
      </w: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sz w:val="18"/>
          <w:szCs w:val="18"/>
        </w:rPr>
      </w:pPr>
    </w:p>
    <w:p w:rsidR="00662748" w:rsidRPr="00662748" w:rsidRDefault="00662748" w:rsidP="00662748">
      <w:pPr>
        <w:tabs>
          <w:tab w:val="left" w:pos="0"/>
          <w:tab w:val="left" w:pos="180"/>
          <w:tab w:val="left" w:pos="993"/>
          <w:tab w:val="left" w:pos="1134"/>
        </w:tabs>
        <w:ind w:firstLine="284"/>
        <w:jc w:val="center"/>
        <w:rPr>
          <w:rFonts w:ascii="Times New Roman" w:hAnsi="Times New Roman"/>
          <w:b/>
          <w:sz w:val="18"/>
          <w:szCs w:val="18"/>
        </w:rPr>
      </w:pPr>
      <w:r w:rsidRPr="00662748">
        <w:rPr>
          <w:rFonts w:ascii="Times New Roman" w:hAnsi="Times New Roman"/>
          <w:b/>
          <w:sz w:val="18"/>
          <w:szCs w:val="18"/>
        </w:rPr>
        <w:t xml:space="preserve">Рис. </w:t>
      </w:r>
      <w:r>
        <w:rPr>
          <w:rFonts w:ascii="Times New Roman" w:hAnsi="Times New Roman"/>
          <w:b/>
          <w:sz w:val="18"/>
          <w:szCs w:val="18"/>
        </w:rPr>
        <w:t>7</w:t>
      </w:r>
      <w:r w:rsidRPr="00662748">
        <w:rPr>
          <w:rFonts w:ascii="Times New Roman" w:hAnsi="Times New Roman"/>
          <w:b/>
          <w:sz w:val="18"/>
          <w:szCs w:val="18"/>
        </w:rPr>
        <w:t>.4. Структура механізму управління фінансово-господарською діяльністю вищого навчального закладу*</w:t>
      </w: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r w:rsidRPr="001C771E">
        <w:rPr>
          <w:rFonts w:ascii="Times New Roman" w:hAnsi="Times New Roman"/>
          <w:sz w:val="18"/>
          <w:szCs w:val="18"/>
        </w:rPr>
        <w:t>*– запропоновано автор</w:t>
      </w:r>
      <w:r>
        <w:rPr>
          <w:rFonts w:ascii="Times New Roman" w:hAnsi="Times New Roman"/>
          <w:sz w:val="18"/>
          <w:szCs w:val="18"/>
        </w:rPr>
        <w:t>ами розділу</w:t>
      </w: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sectPr w:rsidR="00662748" w:rsidSect="00662748">
          <w:pgSz w:w="11907" w:h="8392" w:orient="landscape" w:code="11"/>
          <w:pgMar w:top="1134" w:right="1134" w:bottom="1134" w:left="1134" w:header="709" w:footer="709" w:gutter="0"/>
          <w:cols w:space="708"/>
          <w:docGrid w:linePitch="360"/>
        </w:sectPr>
      </w:pPr>
    </w:p>
    <w:p w:rsidR="00197F22" w:rsidRDefault="00197F22" w:rsidP="00197F22">
      <w:pPr>
        <w:tabs>
          <w:tab w:val="left" w:pos="0"/>
          <w:tab w:val="left" w:pos="180"/>
          <w:tab w:val="left" w:pos="993"/>
          <w:tab w:val="left" w:pos="1134"/>
        </w:tabs>
        <w:ind w:firstLine="709"/>
        <w:jc w:val="both"/>
        <w:rPr>
          <w:rFonts w:ascii="Times New Roman" w:hAnsi="Times New Roman" w:cs="Times New Roman"/>
          <w:sz w:val="21"/>
          <w:szCs w:val="21"/>
        </w:rPr>
      </w:pPr>
      <w:r w:rsidRPr="00FD6B50">
        <w:rPr>
          <w:rFonts w:ascii="Times New Roman" w:hAnsi="Times New Roman"/>
          <w:sz w:val="21"/>
          <w:szCs w:val="21"/>
        </w:rPr>
        <w:lastRenderedPageBreak/>
        <w:t>Сукупність елементів механізму управління фінансово-господарською діяльністю ВНЗ, з одного боку, представлена самостійною системою, а з іншого – є елементом загальної системи управління навчальним закладом. Відповідно до цього при створенні механізму управління фінансово-господарською діяльністю необхідно забезпечити його відповідність та узгодженість з системою управління вищим навчальним закладом в цілому. Процес формування ефективного механізму управління фінансово-господарською діяльністю повинен бути безперервним, відповідати завданням стратегічного розвитку і враховувати специфіку функціонування ВНЗ.</w:t>
      </w:r>
    </w:p>
    <w:p w:rsidR="00197F22" w:rsidRDefault="00197F22" w:rsidP="00197F22">
      <w:pPr>
        <w:pStyle w:val="61"/>
        <w:spacing w:after="0" w:line="240" w:lineRule="auto"/>
        <w:ind w:left="0" w:firstLine="709"/>
        <w:jc w:val="both"/>
        <w:rPr>
          <w:rFonts w:ascii="Times New Roman" w:hAnsi="Times New Roman"/>
          <w:sz w:val="21"/>
          <w:szCs w:val="21"/>
          <w:lang w:val="uk-UA"/>
        </w:rPr>
      </w:pPr>
      <w:r w:rsidRPr="00FD774C">
        <w:rPr>
          <w:rFonts w:ascii="Times New Roman" w:hAnsi="Times New Roman"/>
          <w:sz w:val="21"/>
          <w:szCs w:val="21"/>
        </w:rPr>
        <w:t>Структура і функціональність механізму управління залежить від умов розвитку навчального закладу. Механізм управління кожного окремого вищого навчального закладу може мати суттєві відмінності у формах і методах здійснення фінансово-господарської діяльності, що обумовлено його специфікою діяльності.</w:t>
      </w:r>
      <w:r>
        <w:rPr>
          <w:rFonts w:ascii="Times New Roman" w:hAnsi="Times New Roman"/>
          <w:sz w:val="21"/>
          <w:szCs w:val="21"/>
        </w:rPr>
        <w:t xml:space="preserve"> </w:t>
      </w:r>
      <w:r w:rsidRPr="00FD774C">
        <w:rPr>
          <w:rFonts w:ascii="Times New Roman" w:hAnsi="Times New Roman"/>
          <w:sz w:val="21"/>
          <w:szCs w:val="21"/>
        </w:rPr>
        <w:t>Але його можна адаптувати до умов функціонування навчального закладу, враховуючи степінь впливу факторів зовнішнього та внутрішнього середовища. Наведена структура механізму управління фінансово-господарською діяльністю ВНЗ відображає можливий вплив факторів зовнішнього та внутрішнього середовищ на його діяльність.</w:t>
      </w:r>
    </w:p>
    <w:p w:rsidR="00662748" w:rsidRPr="00FD774C" w:rsidRDefault="00662748" w:rsidP="00662748">
      <w:pPr>
        <w:pStyle w:val="61"/>
        <w:spacing w:after="0" w:line="240" w:lineRule="auto"/>
        <w:ind w:left="0" w:firstLine="709"/>
        <w:jc w:val="both"/>
        <w:rPr>
          <w:rFonts w:ascii="Times New Roman" w:hAnsi="Times New Roman"/>
          <w:sz w:val="21"/>
          <w:szCs w:val="21"/>
          <w:lang w:val="uk-UA"/>
        </w:rPr>
      </w:pPr>
      <w:r w:rsidRPr="00FD774C">
        <w:rPr>
          <w:rFonts w:ascii="Times New Roman" w:hAnsi="Times New Roman"/>
          <w:sz w:val="21"/>
          <w:szCs w:val="21"/>
          <w:lang w:val="uk-UA"/>
        </w:rPr>
        <w:t>Зважаючи на те, що ВНЗ функціонує в середовищі, що постійно змінюється, відповідно і механізм управління фінансово-господарською діяльністю повинен характеризуватись високим ступенем маневреності, швидким реагуванням на зміни, що відбуваються у внутрішньому і зовнішньому середовищі навчального закладу та оперативне коригування його діяльності.</w:t>
      </w:r>
    </w:p>
    <w:p w:rsidR="00662748" w:rsidRDefault="00662748" w:rsidP="00662748">
      <w:pPr>
        <w:tabs>
          <w:tab w:val="left" w:pos="0"/>
          <w:tab w:val="left" w:pos="180"/>
          <w:tab w:val="left" w:pos="993"/>
          <w:tab w:val="left" w:pos="1134"/>
        </w:tabs>
        <w:ind w:firstLine="709"/>
        <w:jc w:val="both"/>
        <w:rPr>
          <w:rFonts w:ascii="Times New Roman" w:hAnsi="Times New Roman" w:cs="Times New Roman"/>
          <w:sz w:val="21"/>
          <w:szCs w:val="21"/>
        </w:rPr>
      </w:pPr>
      <w:r w:rsidRPr="00FD774C">
        <w:rPr>
          <w:rFonts w:ascii="Times New Roman" w:hAnsi="Times New Roman"/>
          <w:sz w:val="21"/>
          <w:szCs w:val="21"/>
        </w:rPr>
        <w:t>Метою впровадження механізму управління фінансово-господарською діяльністю є досягнення економічного розвитку вищого навчального закладу, що є, у свою чергу, запорукою надання якісних освітніх послуг. За сучасних умов функціонування якість освітніх послуг є визначальним чинником конкурентоспроможності закладу освіти. Забезпечення конкуренто-спроможності ВНЗ можливе за умови об’єктивного оцінювання результатів діяльності на основі оперативної своєчасної та достовірної інформації, що є підставою для вироблення ефективних управлінських рішень.</w:t>
      </w:r>
    </w:p>
    <w:p w:rsidR="00662748" w:rsidRPr="00826DB3" w:rsidRDefault="00826DB3" w:rsidP="00826DB3">
      <w:pPr>
        <w:tabs>
          <w:tab w:val="left" w:pos="0"/>
          <w:tab w:val="left" w:pos="180"/>
          <w:tab w:val="left" w:pos="993"/>
          <w:tab w:val="left" w:pos="1134"/>
        </w:tabs>
        <w:ind w:firstLine="709"/>
        <w:jc w:val="both"/>
        <w:rPr>
          <w:rFonts w:ascii="Times New Roman" w:hAnsi="Times New Roman" w:cs="Times New Roman"/>
          <w:sz w:val="21"/>
          <w:szCs w:val="21"/>
        </w:rPr>
      </w:pPr>
      <w:r>
        <w:rPr>
          <w:rFonts w:ascii="Times New Roman" w:hAnsi="Times New Roman" w:cs="Times New Roman"/>
          <w:sz w:val="21"/>
          <w:szCs w:val="21"/>
        </w:rPr>
        <w:lastRenderedPageBreak/>
        <w:t xml:space="preserve">Таким чином, </w:t>
      </w:r>
      <w:r w:rsidRPr="00826DB3">
        <w:rPr>
          <w:rFonts w:ascii="Times New Roman" w:hAnsi="Times New Roman" w:cs="Times New Roman"/>
          <w:sz w:val="21"/>
          <w:szCs w:val="21"/>
        </w:rPr>
        <w:t>розроблено механізм управління фінансово-господарською діяльністю вищого навчального закладу, який включає взаємопов’язані комплексні функціональні підсистеми, орієнтовані на оптимальний розподіл ресурсів, оптимізацію структурних підрозділів і напрямів діяльності ВНЗ за значимістю їх участі в освітньому процесі, враховує взаємовплив факторів внутрішнього та зовнішнього середовищ та може бути адаптований до специфіки діяльності конкретного навчального закладу, що сприятиме ефективному функціонуванню та економічному розвитку вищого навчального закладу</w:t>
      </w:r>
      <w:r>
        <w:rPr>
          <w:rFonts w:ascii="Times New Roman" w:hAnsi="Times New Roman" w:cs="Times New Roman"/>
          <w:sz w:val="21"/>
          <w:szCs w:val="21"/>
        </w:rPr>
        <w:t>.</w:t>
      </w: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FE5333" w:rsidRDefault="00FE5333" w:rsidP="00FE5333">
      <w:pPr>
        <w:widowControl w:val="0"/>
        <w:spacing w:line="233" w:lineRule="auto"/>
        <w:ind w:firstLine="709"/>
        <w:contextualSpacing/>
        <w:jc w:val="center"/>
        <w:rPr>
          <w:rFonts w:ascii="UkrainianPeterburg" w:hAnsi="UkrainianPeterburg"/>
          <w:b/>
          <w:sz w:val="21"/>
          <w:szCs w:val="21"/>
        </w:rPr>
      </w:pPr>
      <w:r w:rsidRPr="00EA63EC">
        <w:rPr>
          <w:rFonts w:ascii="UkrainianPeterburg" w:hAnsi="UkrainianPeterburg"/>
          <w:b/>
          <w:sz w:val="21"/>
          <w:szCs w:val="21"/>
        </w:rPr>
        <w:t>Список використаних джерел</w:t>
      </w:r>
    </w:p>
    <w:p w:rsidR="00FE5333" w:rsidRDefault="00FE5333" w:rsidP="00FE5333">
      <w:pPr>
        <w:ind w:firstLine="709"/>
        <w:jc w:val="both"/>
        <w:rPr>
          <w:rFonts w:ascii="Times New Roman" w:hAnsi="Times New Roman" w:cs="Times New Roman"/>
          <w:sz w:val="21"/>
          <w:szCs w:val="21"/>
        </w:rPr>
      </w:pPr>
    </w:p>
    <w:p w:rsidR="00FE5333" w:rsidRDefault="00FE5333" w:rsidP="00FE5333">
      <w:pPr>
        <w:ind w:firstLine="709"/>
        <w:jc w:val="both"/>
        <w:rPr>
          <w:rFonts w:ascii="Times New Roman" w:hAnsi="Times New Roman" w:cs="Times New Roman"/>
          <w:sz w:val="21"/>
          <w:szCs w:val="21"/>
        </w:rPr>
      </w:pPr>
    </w:p>
    <w:p w:rsidR="005B0F7B" w:rsidRDefault="005B0F7B" w:rsidP="00772FFF">
      <w:pPr>
        <w:pStyle w:val="Default"/>
        <w:numPr>
          <w:ilvl w:val="0"/>
          <w:numId w:val="78"/>
        </w:numPr>
        <w:tabs>
          <w:tab w:val="left" w:pos="993"/>
        </w:tabs>
        <w:ind w:left="0" w:firstLine="709"/>
        <w:jc w:val="both"/>
        <w:rPr>
          <w:rFonts w:eastAsia="Times New Roman"/>
          <w:sz w:val="21"/>
          <w:szCs w:val="21"/>
          <w:lang w:val="uk-UA" w:eastAsia="ru-RU"/>
        </w:rPr>
      </w:pPr>
      <w:bookmarkStart w:id="615" w:name="_Ref436215713"/>
      <w:r w:rsidRPr="005B0F7B">
        <w:rPr>
          <w:color w:val="auto"/>
          <w:sz w:val="21"/>
          <w:szCs w:val="21"/>
          <w:lang w:val="uk-UA"/>
        </w:rPr>
        <w:t xml:space="preserve">Альохіна Г. М. Якість освіти у контексті сучасних трансформацій вищої освіти [Електронний ресурс] / Г. М. Альохіна. – Режим доступу : </w:t>
      </w:r>
      <w:hyperlink r:id="rId138" w:history="1">
        <w:r w:rsidRPr="005B0F7B">
          <w:rPr>
            <w:rStyle w:val="aff"/>
            <w:color w:val="auto"/>
            <w:sz w:val="21"/>
            <w:szCs w:val="21"/>
            <w:u w:val="none"/>
            <w:lang w:val="en-US"/>
          </w:rPr>
          <w:t>http</w:t>
        </w:r>
        <w:r w:rsidRPr="005B0F7B">
          <w:rPr>
            <w:rStyle w:val="aff"/>
            <w:color w:val="auto"/>
            <w:sz w:val="21"/>
            <w:szCs w:val="21"/>
            <w:u w:val="none"/>
            <w:lang w:val="uk-UA"/>
          </w:rPr>
          <w:t>://</w:t>
        </w:r>
        <w:r w:rsidRPr="005B0F7B">
          <w:rPr>
            <w:rStyle w:val="aff"/>
            <w:color w:val="auto"/>
            <w:sz w:val="21"/>
            <w:szCs w:val="21"/>
            <w:u w:val="none"/>
            <w:lang w:val="en-US"/>
          </w:rPr>
          <w:t>elibrary</w:t>
        </w:r>
        <w:r w:rsidRPr="005B0F7B">
          <w:rPr>
            <w:rStyle w:val="aff"/>
            <w:color w:val="auto"/>
            <w:sz w:val="21"/>
            <w:szCs w:val="21"/>
            <w:u w:val="none"/>
            <w:lang w:val="uk-UA"/>
          </w:rPr>
          <w:t>.</w:t>
        </w:r>
        <w:r w:rsidRPr="005B0F7B">
          <w:rPr>
            <w:rStyle w:val="aff"/>
            <w:color w:val="auto"/>
            <w:sz w:val="21"/>
            <w:szCs w:val="21"/>
            <w:u w:val="none"/>
            <w:lang w:val="en-US"/>
          </w:rPr>
          <w:t>kubg</w:t>
        </w:r>
        <w:r w:rsidRPr="005B0F7B">
          <w:rPr>
            <w:rStyle w:val="aff"/>
            <w:color w:val="auto"/>
            <w:sz w:val="21"/>
            <w:szCs w:val="21"/>
            <w:u w:val="none"/>
            <w:lang w:val="uk-UA"/>
          </w:rPr>
          <w:t>.</w:t>
        </w:r>
        <w:r w:rsidRPr="005B0F7B">
          <w:rPr>
            <w:rStyle w:val="aff"/>
            <w:color w:val="auto"/>
            <w:sz w:val="21"/>
            <w:szCs w:val="21"/>
            <w:u w:val="none"/>
            <w:lang w:val="en-US"/>
          </w:rPr>
          <w:t>edu</w:t>
        </w:r>
        <w:r w:rsidRPr="005B0F7B">
          <w:rPr>
            <w:rStyle w:val="aff"/>
            <w:color w:val="auto"/>
            <w:sz w:val="21"/>
            <w:szCs w:val="21"/>
            <w:u w:val="none"/>
            <w:lang w:val="uk-UA"/>
          </w:rPr>
          <w:t>.</w:t>
        </w:r>
        <w:r w:rsidRPr="005B0F7B">
          <w:rPr>
            <w:rStyle w:val="aff"/>
            <w:color w:val="auto"/>
            <w:sz w:val="21"/>
            <w:szCs w:val="21"/>
            <w:u w:val="none"/>
            <w:lang w:val="en-US"/>
          </w:rPr>
          <w:t>ua</w:t>
        </w:r>
        <w:r w:rsidRPr="005B0F7B">
          <w:rPr>
            <w:rStyle w:val="aff"/>
            <w:color w:val="auto"/>
            <w:sz w:val="21"/>
            <w:szCs w:val="21"/>
            <w:u w:val="none"/>
            <w:lang w:val="uk-UA"/>
          </w:rPr>
          <w:t>/6866/1/</w:t>
        </w:r>
        <w:r w:rsidRPr="005B0F7B">
          <w:rPr>
            <w:rStyle w:val="aff"/>
            <w:color w:val="auto"/>
            <w:sz w:val="21"/>
            <w:szCs w:val="21"/>
            <w:u w:val="none"/>
            <w:lang w:val="en-US"/>
          </w:rPr>
          <w:t>H</w:t>
        </w:r>
        <w:r w:rsidRPr="005B0F7B">
          <w:rPr>
            <w:rStyle w:val="aff"/>
            <w:color w:val="auto"/>
            <w:sz w:val="21"/>
            <w:szCs w:val="21"/>
            <w:u w:val="none"/>
            <w:lang w:val="uk-UA"/>
          </w:rPr>
          <w:t>_</w:t>
        </w:r>
        <w:r w:rsidRPr="005B0F7B">
          <w:rPr>
            <w:rStyle w:val="aff"/>
            <w:color w:val="auto"/>
            <w:sz w:val="21"/>
            <w:szCs w:val="21"/>
            <w:u w:val="none"/>
            <w:lang w:val="en-US"/>
          </w:rPr>
          <w:t>Alokhina</w:t>
        </w:r>
      </w:hyperlink>
      <w:r w:rsidRPr="005B0F7B">
        <w:rPr>
          <w:color w:val="auto"/>
          <w:sz w:val="21"/>
          <w:szCs w:val="21"/>
          <w:lang w:val="uk-UA"/>
        </w:rPr>
        <w:t xml:space="preserve"> _</w:t>
      </w:r>
      <w:r w:rsidRPr="002A5FB4">
        <w:rPr>
          <w:color w:val="auto"/>
          <w:sz w:val="21"/>
          <w:szCs w:val="21"/>
          <w:lang w:val="en-US"/>
        </w:rPr>
        <w:t>VOU</w:t>
      </w:r>
      <w:r w:rsidRPr="005B0F7B">
        <w:rPr>
          <w:color w:val="auto"/>
          <w:sz w:val="21"/>
          <w:szCs w:val="21"/>
          <w:lang w:val="uk-UA"/>
        </w:rPr>
        <w:t>_2014_3_</w:t>
      </w:r>
      <w:r w:rsidRPr="002A5FB4">
        <w:rPr>
          <w:color w:val="auto"/>
          <w:sz w:val="21"/>
          <w:szCs w:val="21"/>
          <w:lang w:val="en-US"/>
        </w:rPr>
        <w:t>IS</w:t>
      </w:r>
      <w:r w:rsidRPr="005B0F7B">
        <w:rPr>
          <w:color w:val="auto"/>
          <w:sz w:val="21"/>
          <w:szCs w:val="21"/>
          <w:lang w:val="uk-UA"/>
        </w:rPr>
        <w:t>.</w:t>
      </w:r>
      <w:r w:rsidRPr="002A5FB4">
        <w:rPr>
          <w:color w:val="auto"/>
          <w:sz w:val="21"/>
          <w:szCs w:val="21"/>
          <w:lang w:val="en-US"/>
        </w:rPr>
        <w:t>pdf</w:t>
      </w:r>
      <w:r w:rsidRPr="005B0F7B">
        <w:rPr>
          <w:color w:val="auto"/>
          <w:sz w:val="21"/>
          <w:szCs w:val="21"/>
          <w:lang w:val="uk-UA"/>
        </w:rPr>
        <w:t>.</w:t>
      </w:r>
      <w:bookmarkEnd w:id="615"/>
    </w:p>
    <w:p w:rsidR="00772FFF" w:rsidRDefault="00772FFF" w:rsidP="00772FFF">
      <w:pPr>
        <w:pStyle w:val="Default"/>
        <w:numPr>
          <w:ilvl w:val="0"/>
          <w:numId w:val="78"/>
        </w:numPr>
        <w:tabs>
          <w:tab w:val="left" w:pos="993"/>
        </w:tabs>
        <w:ind w:left="0" w:firstLine="709"/>
        <w:jc w:val="both"/>
        <w:rPr>
          <w:sz w:val="21"/>
          <w:szCs w:val="21"/>
          <w:lang w:val="uk-UA"/>
        </w:rPr>
      </w:pPr>
      <w:bookmarkStart w:id="616" w:name="_Ref436215904"/>
      <w:r>
        <w:rPr>
          <w:sz w:val="21"/>
          <w:szCs w:val="21"/>
        </w:rPr>
        <w:t xml:space="preserve">Артемова Л. В. Історія педагогіки України </w:t>
      </w:r>
      <w:r w:rsidRPr="008A05B6">
        <w:rPr>
          <w:sz w:val="21"/>
          <w:szCs w:val="21"/>
        </w:rPr>
        <w:t>: підручник</w:t>
      </w:r>
      <w:r>
        <w:rPr>
          <w:sz w:val="21"/>
          <w:szCs w:val="21"/>
        </w:rPr>
        <w:t xml:space="preserve"> / Л. В. Артемова</w:t>
      </w:r>
      <w:r w:rsidRPr="008A05B6">
        <w:rPr>
          <w:sz w:val="21"/>
          <w:szCs w:val="21"/>
        </w:rPr>
        <w:t>. – К.</w:t>
      </w:r>
      <w:r>
        <w:rPr>
          <w:sz w:val="21"/>
          <w:szCs w:val="21"/>
        </w:rPr>
        <w:t xml:space="preserve"> </w:t>
      </w:r>
      <w:r w:rsidRPr="008A05B6">
        <w:rPr>
          <w:sz w:val="21"/>
          <w:szCs w:val="21"/>
        </w:rPr>
        <w:t>: Либідь, 2006. – 424</w:t>
      </w:r>
      <w:r>
        <w:rPr>
          <w:sz w:val="21"/>
          <w:szCs w:val="21"/>
        </w:rPr>
        <w:t xml:space="preserve"> </w:t>
      </w:r>
      <w:r w:rsidRPr="008A05B6">
        <w:rPr>
          <w:sz w:val="21"/>
          <w:szCs w:val="21"/>
        </w:rPr>
        <w:t>с.</w:t>
      </w:r>
      <w:bookmarkEnd w:id="616"/>
    </w:p>
    <w:p w:rsidR="00772FFF" w:rsidRDefault="00772FFF" w:rsidP="00772FFF">
      <w:pPr>
        <w:pStyle w:val="Default"/>
        <w:numPr>
          <w:ilvl w:val="0"/>
          <w:numId w:val="78"/>
        </w:numPr>
        <w:tabs>
          <w:tab w:val="left" w:pos="993"/>
        </w:tabs>
        <w:ind w:left="0" w:firstLine="709"/>
        <w:jc w:val="both"/>
        <w:rPr>
          <w:sz w:val="21"/>
          <w:szCs w:val="21"/>
          <w:lang w:val="uk-UA"/>
        </w:rPr>
      </w:pPr>
      <w:bookmarkStart w:id="617" w:name="_Ref436216204"/>
      <w:r>
        <w:rPr>
          <w:sz w:val="21"/>
          <w:szCs w:val="21"/>
        </w:rPr>
        <w:t xml:space="preserve">Бесчастний В. </w:t>
      </w:r>
      <w:r w:rsidRPr="008A05B6">
        <w:rPr>
          <w:sz w:val="21"/>
          <w:szCs w:val="21"/>
        </w:rPr>
        <w:t xml:space="preserve">М. Створення нової нормативно-правової бази державного </w:t>
      </w:r>
      <w:r>
        <w:rPr>
          <w:sz w:val="21"/>
          <w:szCs w:val="21"/>
        </w:rPr>
        <w:t xml:space="preserve">управління вищою освітою / В. М. </w:t>
      </w:r>
      <w:r w:rsidRPr="008A05B6">
        <w:rPr>
          <w:sz w:val="21"/>
          <w:szCs w:val="21"/>
        </w:rPr>
        <w:t>Бесчастний // Ек</w:t>
      </w:r>
      <w:r>
        <w:rPr>
          <w:sz w:val="21"/>
          <w:szCs w:val="21"/>
        </w:rPr>
        <w:t xml:space="preserve">ономіка та держава. – 2008. – № 12. – С. </w:t>
      </w:r>
      <w:r w:rsidRPr="008A05B6">
        <w:rPr>
          <w:sz w:val="21"/>
          <w:szCs w:val="21"/>
        </w:rPr>
        <w:t>78–80.</w:t>
      </w:r>
      <w:bookmarkEnd w:id="617"/>
    </w:p>
    <w:p w:rsidR="003658FB" w:rsidRDefault="003658FB" w:rsidP="00772FFF">
      <w:pPr>
        <w:pStyle w:val="Default"/>
        <w:numPr>
          <w:ilvl w:val="0"/>
          <w:numId w:val="78"/>
        </w:numPr>
        <w:tabs>
          <w:tab w:val="left" w:pos="993"/>
        </w:tabs>
        <w:ind w:left="0" w:firstLine="709"/>
        <w:jc w:val="both"/>
        <w:rPr>
          <w:rFonts w:eastAsia="Times New Roman"/>
          <w:sz w:val="21"/>
          <w:szCs w:val="21"/>
          <w:lang w:val="uk-UA" w:eastAsia="ru-RU"/>
        </w:rPr>
      </w:pPr>
      <w:bookmarkStart w:id="618" w:name="_Ref436215751"/>
      <w:r w:rsidRPr="00772FFF">
        <w:rPr>
          <w:sz w:val="21"/>
          <w:szCs w:val="21"/>
          <w:lang w:val="uk-UA"/>
        </w:rPr>
        <w:t>Бугай І. В. Механізм фінансування освіти / І. В. Бугай // Держава та регіони. Сер. : Економіка та підприємництво. – 2007. – № 1. – С. 63–67.</w:t>
      </w:r>
      <w:bookmarkEnd w:id="618"/>
    </w:p>
    <w:p w:rsidR="00772FFF" w:rsidRDefault="00772FFF" w:rsidP="00772FFF">
      <w:pPr>
        <w:pStyle w:val="Default"/>
        <w:numPr>
          <w:ilvl w:val="0"/>
          <w:numId w:val="78"/>
        </w:numPr>
        <w:tabs>
          <w:tab w:val="left" w:pos="993"/>
        </w:tabs>
        <w:ind w:left="0" w:firstLine="709"/>
        <w:jc w:val="both"/>
        <w:rPr>
          <w:rFonts w:eastAsia="Times New Roman"/>
          <w:sz w:val="21"/>
          <w:szCs w:val="21"/>
          <w:lang w:val="uk-UA" w:eastAsia="ru-RU"/>
        </w:rPr>
      </w:pPr>
      <w:bookmarkStart w:id="619" w:name="_Ref436216248"/>
      <w:r w:rsidRPr="00772FFF">
        <w:rPr>
          <w:sz w:val="21"/>
          <w:szCs w:val="21"/>
          <w:lang w:val="uk-UA"/>
        </w:rPr>
        <w:t>Бугай І. В. Нормативне фінансування освіти / І. В. Бугай // Держава та регіони. Серія : Економіка та підприємництво. – 2007. – № 2. – С. 48–52.</w:t>
      </w:r>
      <w:bookmarkEnd w:id="619"/>
    </w:p>
    <w:p w:rsidR="00772FFF" w:rsidRDefault="00772FFF" w:rsidP="00772FFF">
      <w:pPr>
        <w:pStyle w:val="Default"/>
        <w:numPr>
          <w:ilvl w:val="0"/>
          <w:numId w:val="78"/>
        </w:numPr>
        <w:tabs>
          <w:tab w:val="left" w:pos="993"/>
        </w:tabs>
        <w:ind w:left="0" w:firstLine="709"/>
        <w:jc w:val="both"/>
        <w:rPr>
          <w:rFonts w:eastAsia="Times New Roman"/>
          <w:sz w:val="21"/>
          <w:szCs w:val="21"/>
          <w:lang w:val="uk-UA" w:eastAsia="ru-RU"/>
        </w:rPr>
      </w:pPr>
      <w:bookmarkStart w:id="620" w:name="_Ref436215976"/>
      <w:r>
        <w:rPr>
          <w:sz w:val="21"/>
          <w:szCs w:val="21"/>
        </w:rPr>
        <w:t xml:space="preserve">Васильев Ю. </w:t>
      </w:r>
      <w:r w:rsidRPr="008A05B6">
        <w:rPr>
          <w:sz w:val="21"/>
          <w:szCs w:val="21"/>
        </w:rPr>
        <w:t>С. Экономика и орга</w:t>
      </w:r>
      <w:r>
        <w:rPr>
          <w:sz w:val="21"/>
          <w:szCs w:val="21"/>
        </w:rPr>
        <w:t>низация управления вузом</w:t>
      </w:r>
      <w:r w:rsidRPr="008A05B6">
        <w:rPr>
          <w:sz w:val="21"/>
          <w:szCs w:val="21"/>
        </w:rPr>
        <w:t xml:space="preserve"> / </w:t>
      </w:r>
      <w:r>
        <w:rPr>
          <w:sz w:val="21"/>
          <w:szCs w:val="21"/>
        </w:rPr>
        <w:t>Ю. С. Васильев</w:t>
      </w:r>
      <w:r w:rsidRPr="008A05B6">
        <w:rPr>
          <w:sz w:val="21"/>
          <w:szCs w:val="21"/>
        </w:rPr>
        <w:t xml:space="preserve">, </w:t>
      </w:r>
      <w:r>
        <w:rPr>
          <w:sz w:val="21"/>
          <w:szCs w:val="21"/>
        </w:rPr>
        <w:t>В. В. Глухов</w:t>
      </w:r>
      <w:r w:rsidRPr="008A05B6">
        <w:rPr>
          <w:sz w:val="21"/>
          <w:szCs w:val="21"/>
        </w:rPr>
        <w:t xml:space="preserve">, </w:t>
      </w:r>
      <w:r>
        <w:rPr>
          <w:sz w:val="21"/>
          <w:szCs w:val="21"/>
        </w:rPr>
        <w:t xml:space="preserve">М. П. Федоров. – СПб. : Лань, 2004. – 608 </w:t>
      </w:r>
      <w:r w:rsidRPr="008A05B6">
        <w:rPr>
          <w:sz w:val="21"/>
          <w:szCs w:val="21"/>
        </w:rPr>
        <w:t>с.</w:t>
      </w:r>
      <w:bookmarkEnd w:id="620"/>
    </w:p>
    <w:p w:rsidR="00772FFF" w:rsidRPr="00772FFF" w:rsidRDefault="00772FFF" w:rsidP="00772FFF">
      <w:pPr>
        <w:pStyle w:val="ad"/>
        <w:numPr>
          <w:ilvl w:val="0"/>
          <w:numId w:val="78"/>
        </w:numPr>
        <w:tabs>
          <w:tab w:val="left" w:pos="993"/>
        </w:tabs>
        <w:ind w:left="0" w:firstLine="709"/>
        <w:jc w:val="both"/>
        <w:rPr>
          <w:rFonts w:ascii="Times New Roman" w:hAnsi="Times New Roman" w:cs="Times New Roman"/>
          <w:sz w:val="21"/>
          <w:szCs w:val="21"/>
        </w:rPr>
      </w:pPr>
      <w:bookmarkStart w:id="621" w:name="_Ref436215846"/>
      <w:r w:rsidRPr="00772FFF">
        <w:rPr>
          <w:rFonts w:ascii="Times New Roman" w:hAnsi="Times New Roman" w:cs="Times New Roman"/>
          <w:sz w:val="21"/>
          <w:szCs w:val="21"/>
        </w:rPr>
        <w:t>Васильчук Т. В. Відновлення та розвиток системи вищої освіти в Україні (1943–1950 рр.) : автореф. дис. на здобуття наук. ступеня канд. істор. Наук : спец. 07.00.01 «Історія України» / Т. В. Васильчук. – Запоріжжя, 2007. – 20 с.</w:t>
      </w:r>
      <w:bookmarkEnd w:id="621"/>
    </w:p>
    <w:p w:rsidR="00772FFF" w:rsidRDefault="00772FFF" w:rsidP="00772FFF">
      <w:pPr>
        <w:pStyle w:val="Default"/>
        <w:numPr>
          <w:ilvl w:val="0"/>
          <w:numId w:val="78"/>
        </w:numPr>
        <w:tabs>
          <w:tab w:val="left" w:pos="993"/>
        </w:tabs>
        <w:ind w:left="0" w:firstLine="709"/>
        <w:jc w:val="both"/>
        <w:rPr>
          <w:rFonts w:eastAsia="Times New Roman"/>
          <w:sz w:val="21"/>
          <w:szCs w:val="21"/>
          <w:lang w:val="uk-UA" w:eastAsia="ru-RU"/>
        </w:rPr>
      </w:pPr>
      <w:bookmarkStart w:id="622" w:name="_Ref436216007"/>
      <w:r>
        <w:rPr>
          <w:sz w:val="21"/>
          <w:szCs w:val="21"/>
        </w:rPr>
        <w:t xml:space="preserve">Верхогляд О. </w:t>
      </w:r>
      <w:r w:rsidRPr="008A05B6">
        <w:rPr>
          <w:sz w:val="21"/>
          <w:szCs w:val="21"/>
        </w:rPr>
        <w:t>О. Розвиток американського законодавств</w:t>
      </w:r>
      <w:r>
        <w:rPr>
          <w:sz w:val="21"/>
          <w:szCs w:val="21"/>
        </w:rPr>
        <w:t xml:space="preserve">а у сфері вищої освіти у XX–XXI сторіччі / О. О. </w:t>
      </w:r>
      <w:r w:rsidRPr="008A05B6">
        <w:rPr>
          <w:sz w:val="21"/>
          <w:szCs w:val="21"/>
        </w:rPr>
        <w:lastRenderedPageBreak/>
        <w:t>Верхогляд, Ю. Ю. Романовська, О. О. Романовський // Ви</w:t>
      </w:r>
      <w:r>
        <w:rPr>
          <w:sz w:val="21"/>
          <w:szCs w:val="21"/>
        </w:rPr>
        <w:t xml:space="preserve">ща школа. – 2010. – № 5–6. – С. </w:t>
      </w:r>
      <w:r w:rsidRPr="008A05B6">
        <w:rPr>
          <w:sz w:val="21"/>
          <w:szCs w:val="21"/>
        </w:rPr>
        <w:t>68–78.</w:t>
      </w:r>
      <w:bookmarkEnd w:id="622"/>
    </w:p>
    <w:p w:rsidR="005B0F7B" w:rsidRDefault="005B0F7B" w:rsidP="00772FFF">
      <w:pPr>
        <w:pStyle w:val="Default"/>
        <w:numPr>
          <w:ilvl w:val="0"/>
          <w:numId w:val="78"/>
        </w:numPr>
        <w:tabs>
          <w:tab w:val="left" w:pos="993"/>
        </w:tabs>
        <w:ind w:left="0" w:firstLine="709"/>
        <w:jc w:val="both"/>
        <w:rPr>
          <w:color w:val="auto"/>
          <w:sz w:val="21"/>
          <w:szCs w:val="21"/>
          <w:lang w:val="uk-UA"/>
        </w:rPr>
      </w:pPr>
      <w:bookmarkStart w:id="623" w:name="_Ref436215603"/>
      <w:r w:rsidRPr="005B0F7B">
        <w:rPr>
          <w:rFonts w:eastAsia="Times New Roman"/>
          <w:sz w:val="21"/>
          <w:szCs w:val="21"/>
          <w:lang w:val="uk-UA" w:eastAsia="ru-RU"/>
        </w:rPr>
        <w:t xml:space="preserve">Використання нашого потенціалу з найбільшою користю: консолідація Європейського простору вищої освіти : Бухарестське комюніке (26–27 квітня 2012 р.). – [Електронний ресурс]. – Режим доступу: </w:t>
      </w:r>
      <w:hyperlink r:id="rId139" w:history="1">
        <w:r w:rsidRPr="005B0F7B">
          <w:rPr>
            <w:rStyle w:val="aff"/>
            <w:rFonts w:eastAsia="Times New Roman"/>
            <w:color w:val="auto"/>
            <w:sz w:val="21"/>
            <w:szCs w:val="21"/>
            <w:u w:val="none"/>
            <w:lang w:eastAsia="ru-RU"/>
          </w:rPr>
          <w:t>http</w:t>
        </w:r>
        <w:r w:rsidRPr="005B0F7B">
          <w:rPr>
            <w:rStyle w:val="aff"/>
            <w:rFonts w:eastAsia="Times New Roman"/>
            <w:color w:val="auto"/>
            <w:sz w:val="21"/>
            <w:szCs w:val="21"/>
            <w:u w:val="none"/>
            <w:lang w:val="uk-UA" w:eastAsia="ru-RU"/>
          </w:rPr>
          <w:t>://</w:t>
        </w:r>
        <w:r w:rsidRPr="005B0F7B">
          <w:rPr>
            <w:rStyle w:val="aff"/>
            <w:rFonts w:eastAsia="Times New Roman"/>
            <w:color w:val="auto"/>
            <w:sz w:val="21"/>
            <w:szCs w:val="21"/>
            <w:u w:val="none"/>
            <w:lang w:eastAsia="ru-RU"/>
          </w:rPr>
          <w:t>www</w:t>
        </w:r>
        <w:r w:rsidRPr="005B0F7B">
          <w:rPr>
            <w:rStyle w:val="aff"/>
            <w:rFonts w:eastAsia="Times New Roman"/>
            <w:color w:val="auto"/>
            <w:sz w:val="21"/>
            <w:szCs w:val="21"/>
            <w:u w:val="none"/>
            <w:lang w:val="uk-UA" w:eastAsia="ru-RU"/>
          </w:rPr>
          <w:t>.</w:t>
        </w:r>
        <w:r w:rsidRPr="005B0F7B">
          <w:rPr>
            <w:rStyle w:val="aff"/>
            <w:rFonts w:eastAsia="Times New Roman"/>
            <w:color w:val="auto"/>
            <w:sz w:val="21"/>
            <w:szCs w:val="21"/>
            <w:u w:val="none"/>
            <w:lang w:eastAsia="ru-RU"/>
          </w:rPr>
          <w:t>edupolicy</w:t>
        </w:r>
        <w:r w:rsidRPr="005B0F7B">
          <w:rPr>
            <w:rStyle w:val="aff"/>
            <w:rFonts w:eastAsia="Times New Roman"/>
            <w:color w:val="auto"/>
            <w:sz w:val="21"/>
            <w:szCs w:val="21"/>
            <w:u w:val="none"/>
            <w:lang w:val="uk-UA" w:eastAsia="ru-RU"/>
          </w:rPr>
          <w:t>.</w:t>
        </w:r>
        <w:r w:rsidRPr="005B0F7B">
          <w:rPr>
            <w:rStyle w:val="aff"/>
            <w:rFonts w:eastAsia="Times New Roman"/>
            <w:color w:val="auto"/>
            <w:sz w:val="21"/>
            <w:szCs w:val="21"/>
            <w:u w:val="none"/>
            <w:lang w:eastAsia="ru-RU"/>
          </w:rPr>
          <w:t>org</w:t>
        </w:r>
        <w:r w:rsidRPr="005B0F7B">
          <w:rPr>
            <w:rStyle w:val="aff"/>
            <w:rFonts w:eastAsia="Times New Roman"/>
            <w:color w:val="auto"/>
            <w:sz w:val="21"/>
            <w:szCs w:val="21"/>
            <w:u w:val="none"/>
            <w:lang w:val="uk-UA" w:eastAsia="ru-RU"/>
          </w:rPr>
          <w:t>.</w:t>
        </w:r>
        <w:r w:rsidRPr="005B0F7B">
          <w:rPr>
            <w:rStyle w:val="aff"/>
            <w:rFonts w:eastAsia="Times New Roman"/>
            <w:color w:val="auto"/>
            <w:sz w:val="21"/>
            <w:szCs w:val="21"/>
            <w:u w:val="none"/>
            <w:lang w:eastAsia="ru-RU"/>
          </w:rPr>
          <w:t>ua</w:t>
        </w:r>
        <w:r w:rsidRPr="005B0F7B">
          <w:rPr>
            <w:rStyle w:val="aff"/>
            <w:rFonts w:eastAsia="Times New Roman"/>
            <w:color w:val="auto"/>
            <w:sz w:val="21"/>
            <w:szCs w:val="21"/>
            <w:u w:val="none"/>
            <w:lang w:val="uk-UA" w:eastAsia="ru-RU"/>
          </w:rPr>
          <w:t>/</w:t>
        </w:r>
        <w:r w:rsidRPr="005B0F7B">
          <w:rPr>
            <w:rStyle w:val="aff"/>
            <w:rFonts w:eastAsia="Times New Roman"/>
            <w:color w:val="auto"/>
            <w:sz w:val="21"/>
            <w:szCs w:val="21"/>
            <w:u w:val="none"/>
            <w:lang w:eastAsia="ru-RU"/>
          </w:rPr>
          <w:t>files</w:t>
        </w:r>
        <w:r w:rsidRPr="005B0F7B">
          <w:rPr>
            <w:rStyle w:val="aff"/>
            <w:rFonts w:eastAsia="Times New Roman"/>
            <w:color w:val="auto"/>
            <w:sz w:val="21"/>
            <w:szCs w:val="21"/>
            <w:u w:val="none"/>
            <w:lang w:val="uk-UA" w:eastAsia="ru-RU"/>
          </w:rPr>
          <w:t>/</w:t>
        </w:r>
        <w:r w:rsidRPr="005B0F7B">
          <w:rPr>
            <w:rStyle w:val="aff"/>
            <w:rFonts w:eastAsia="Times New Roman"/>
            <w:color w:val="auto"/>
            <w:sz w:val="21"/>
            <w:szCs w:val="21"/>
            <w:u w:val="none"/>
            <w:lang w:eastAsia="ru-RU"/>
          </w:rPr>
          <w:t>Bucharest</w:t>
        </w:r>
        <w:r w:rsidRPr="005B0F7B">
          <w:rPr>
            <w:rStyle w:val="aff"/>
            <w:rFonts w:eastAsia="Times New Roman"/>
            <w:color w:val="auto"/>
            <w:sz w:val="21"/>
            <w:szCs w:val="21"/>
            <w:u w:val="none"/>
            <w:lang w:val="uk-UA" w:eastAsia="ru-RU"/>
          </w:rPr>
          <w:t>_</w:t>
        </w:r>
        <w:r w:rsidRPr="005B0F7B">
          <w:rPr>
            <w:rStyle w:val="aff"/>
            <w:rFonts w:eastAsia="Times New Roman"/>
            <w:color w:val="auto"/>
            <w:sz w:val="21"/>
            <w:szCs w:val="21"/>
            <w:u w:val="none"/>
            <w:lang w:eastAsia="ru-RU"/>
          </w:rPr>
          <w:t>Communique</w:t>
        </w:r>
      </w:hyperlink>
      <w:r w:rsidRPr="005B0F7B">
        <w:rPr>
          <w:rFonts w:eastAsia="Times New Roman"/>
          <w:color w:val="auto"/>
          <w:sz w:val="21"/>
          <w:szCs w:val="21"/>
          <w:lang w:val="uk-UA" w:eastAsia="ru-RU"/>
        </w:rPr>
        <w:t xml:space="preserve"> </w:t>
      </w:r>
      <w:r w:rsidRPr="005B0F7B">
        <w:rPr>
          <w:rFonts w:eastAsia="Times New Roman"/>
          <w:sz w:val="21"/>
          <w:szCs w:val="21"/>
          <w:lang w:val="uk-UA" w:eastAsia="ru-RU"/>
        </w:rPr>
        <w:t>(2012).</w:t>
      </w:r>
      <w:r w:rsidRPr="002A5FB4">
        <w:rPr>
          <w:rFonts w:eastAsia="Times New Roman"/>
          <w:sz w:val="21"/>
          <w:szCs w:val="21"/>
          <w:lang w:eastAsia="ru-RU"/>
        </w:rPr>
        <w:t>pdf</w:t>
      </w:r>
      <w:bookmarkEnd w:id="623"/>
    </w:p>
    <w:p w:rsidR="00772FFF" w:rsidRPr="00772FFF" w:rsidRDefault="00772FFF" w:rsidP="00772FFF">
      <w:pPr>
        <w:pStyle w:val="ad"/>
        <w:numPr>
          <w:ilvl w:val="0"/>
          <w:numId w:val="78"/>
        </w:numPr>
        <w:tabs>
          <w:tab w:val="left" w:pos="993"/>
        </w:tabs>
        <w:ind w:left="0" w:firstLine="709"/>
        <w:jc w:val="both"/>
        <w:rPr>
          <w:rFonts w:ascii="Times New Roman" w:hAnsi="Times New Roman" w:cs="Times New Roman"/>
          <w:sz w:val="21"/>
          <w:szCs w:val="21"/>
        </w:rPr>
      </w:pPr>
      <w:bookmarkStart w:id="624" w:name="_Ref436215918"/>
      <w:r w:rsidRPr="00772FFF">
        <w:rPr>
          <w:rFonts w:ascii="Times New Roman" w:hAnsi="Times New Roman" w:cs="Times New Roman"/>
          <w:sz w:val="21"/>
          <w:szCs w:val="21"/>
        </w:rPr>
        <w:t>Вища освіта : європейський вимір та українські перспективи / [ред. кол. : В. І. Полохало (голова) та ін.]. – К. : Парламентське вид-во, 2009. – 632 с.</w:t>
      </w:r>
      <w:bookmarkEnd w:id="624"/>
    </w:p>
    <w:p w:rsidR="00772FFF" w:rsidRPr="00772FFF" w:rsidRDefault="00772FFF" w:rsidP="00772FFF">
      <w:pPr>
        <w:pStyle w:val="ad"/>
        <w:numPr>
          <w:ilvl w:val="0"/>
          <w:numId w:val="78"/>
        </w:numPr>
        <w:tabs>
          <w:tab w:val="left" w:pos="993"/>
        </w:tabs>
        <w:ind w:left="0" w:firstLine="709"/>
        <w:jc w:val="both"/>
        <w:rPr>
          <w:rFonts w:ascii="Times New Roman" w:hAnsi="Times New Roman" w:cs="Times New Roman"/>
          <w:sz w:val="21"/>
          <w:szCs w:val="21"/>
        </w:rPr>
      </w:pPr>
      <w:bookmarkStart w:id="625" w:name="_Ref436215849"/>
      <w:r w:rsidRPr="00772FFF">
        <w:rPr>
          <w:rFonts w:ascii="Times New Roman" w:hAnsi="Times New Roman" w:cs="Times New Roman"/>
          <w:sz w:val="21"/>
          <w:szCs w:val="21"/>
        </w:rPr>
        <w:t>Высшая школа. Основные постановления, приказы, инструкции. – М. : Советская наука, 1957. – 656 с.</w:t>
      </w:r>
      <w:bookmarkEnd w:id="625"/>
    </w:p>
    <w:p w:rsidR="00772FFF" w:rsidRPr="00772FFF" w:rsidRDefault="00772FFF" w:rsidP="00772FFF">
      <w:pPr>
        <w:pStyle w:val="ad"/>
        <w:numPr>
          <w:ilvl w:val="0"/>
          <w:numId w:val="78"/>
        </w:numPr>
        <w:tabs>
          <w:tab w:val="left" w:pos="993"/>
        </w:tabs>
        <w:ind w:left="0" w:firstLine="709"/>
        <w:jc w:val="both"/>
        <w:rPr>
          <w:rFonts w:ascii="Times New Roman" w:hAnsi="Times New Roman" w:cs="Times New Roman"/>
          <w:sz w:val="21"/>
          <w:szCs w:val="21"/>
        </w:rPr>
      </w:pPr>
      <w:bookmarkStart w:id="626" w:name="_Ref436215930"/>
      <w:r w:rsidRPr="00772FFF">
        <w:rPr>
          <w:rFonts w:ascii="Times New Roman" w:hAnsi="Times New Roman" w:cs="Times New Roman"/>
          <w:sz w:val="21"/>
          <w:szCs w:val="21"/>
        </w:rPr>
        <w:t>Габриэлова Т. Ю. Современные концепции и проблемы управления вузами / Т. Ю. Габриэлова, В. Т. Кондратов. – К. : Ин-т кибернетики им. В. М. Глушкова, 1995. – 36 с.</w:t>
      </w:r>
      <w:bookmarkEnd w:id="626"/>
    </w:p>
    <w:p w:rsidR="00772FFF" w:rsidRPr="00772FFF" w:rsidRDefault="00772FFF" w:rsidP="00772FFF">
      <w:pPr>
        <w:pStyle w:val="ad"/>
        <w:numPr>
          <w:ilvl w:val="0"/>
          <w:numId w:val="78"/>
        </w:numPr>
        <w:tabs>
          <w:tab w:val="left" w:pos="993"/>
        </w:tabs>
        <w:ind w:left="0" w:firstLine="709"/>
        <w:jc w:val="both"/>
        <w:rPr>
          <w:rFonts w:ascii="Times New Roman" w:hAnsi="Times New Roman" w:cs="Times New Roman"/>
          <w:sz w:val="21"/>
          <w:szCs w:val="21"/>
        </w:rPr>
      </w:pPr>
      <w:bookmarkStart w:id="627" w:name="_Ref436215889"/>
      <w:r w:rsidRPr="00772FFF">
        <w:rPr>
          <w:rFonts w:ascii="Times New Roman" w:hAnsi="Times New Roman" w:cs="Times New Roman"/>
          <w:sz w:val="21"/>
          <w:szCs w:val="21"/>
        </w:rPr>
        <w:t>Гончаренко М. Л. Экономические отношения в сфере образовательных услуг в период рыночной трансформации : дис. … канд. эконом. Наук : 08.01.01 / М. Л. Гончаренко. – Харьков, 2003. – 211 с.</w:t>
      </w:r>
      <w:bookmarkEnd w:id="627"/>
    </w:p>
    <w:p w:rsidR="00772FFF" w:rsidRDefault="00772FFF" w:rsidP="00772FFF">
      <w:pPr>
        <w:pStyle w:val="Default"/>
        <w:numPr>
          <w:ilvl w:val="0"/>
          <w:numId w:val="78"/>
        </w:numPr>
        <w:tabs>
          <w:tab w:val="left" w:pos="993"/>
        </w:tabs>
        <w:ind w:left="0" w:firstLine="709"/>
        <w:jc w:val="both"/>
        <w:rPr>
          <w:color w:val="auto"/>
          <w:sz w:val="21"/>
          <w:szCs w:val="21"/>
          <w:lang w:val="uk-UA"/>
        </w:rPr>
      </w:pPr>
      <w:bookmarkStart w:id="628" w:name="_Ref436216304"/>
      <w:r w:rsidRPr="008A05B6">
        <w:rPr>
          <w:sz w:val="21"/>
          <w:szCs w:val="21"/>
        </w:rPr>
        <w:t xml:space="preserve">Господарський кодекс України </w:t>
      </w:r>
      <w:r>
        <w:rPr>
          <w:sz w:val="21"/>
          <w:szCs w:val="21"/>
        </w:rPr>
        <w:t xml:space="preserve">: закон України </w:t>
      </w:r>
      <w:r w:rsidRPr="008A05B6">
        <w:rPr>
          <w:sz w:val="21"/>
          <w:szCs w:val="21"/>
        </w:rPr>
        <w:t xml:space="preserve">від 16 січня 2003 р. № 436-IV </w:t>
      </w:r>
      <w:r>
        <w:rPr>
          <w:sz w:val="21"/>
          <w:szCs w:val="21"/>
        </w:rPr>
        <w:t xml:space="preserve">[Електронний ресурс]. – Режим доступу : </w:t>
      </w:r>
      <w:r w:rsidRPr="002758D9">
        <w:rPr>
          <w:sz w:val="21"/>
          <w:szCs w:val="21"/>
        </w:rPr>
        <w:t>http://zakon0.rada.gov.ua/laws/show/436-15</w:t>
      </w:r>
      <w:bookmarkEnd w:id="628"/>
    </w:p>
    <w:p w:rsidR="00FE5333" w:rsidRDefault="00FE5333" w:rsidP="00772FFF">
      <w:pPr>
        <w:pStyle w:val="Default"/>
        <w:numPr>
          <w:ilvl w:val="0"/>
          <w:numId w:val="78"/>
        </w:numPr>
        <w:tabs>
          <w:tab w:val="left" w:pos="993"/>
        </w:tabs>
        <w:ind w:left="0" w:firstLine="709"/>
        <w:jc w:val="both"/>
        <w:rPr>
          <w:color w:val="auto"/>
          <w:sz w:val="21"/>
          <w:szCs w:val="21"/>
          <w:lang w:val="uk-UA"/>
        </w:rPr>
      </w:pPr>
      <w:bookmarkStart w:id="629" w:name="_Ref436215575"/>
      <w:r w:rsidRPr="007E4829">
        <w:rPr>
          <w:color w:val="auto"/>
          <w:sz w:val="21"/>
          <w:szCs w:val="21"/>
          <w:lang w:val="uk-UA"/>
        </w:rPr>
        <w:t>Загальноєвропейський простір освіти – досягнення мети</w:t>
      </w:r>
      <w:r>
        <w:rPr>
          <w:color w:val="auto"/>
          <w:sz w:val="21"/>
          <w:szCs w:val="21"/>
          <w:lang w:val="uk-UA"/>
        </w:rPr>
        <w:t xml:space="preserve"> </w:t>
      </w:r>
      <w:r w:rsidRPr="007E4829">
        <w:rPr>
          <w:color w:val="auto"/>
          <w:sz w:val="21"/>
          <w:szCs w:val="21"/>
          <w:lang w:val="uk-UA"/>
        </w:rPr>
        <w:t>: Комюніке Конференції європейських міністрів осв</w:t>
      </w:r>
      <w:r>
        <w:rPr>
          <w:color w:val="auto"/>
          <w:sz w:val="21"/>
          <w:szCs w:val="21"/>
          <w:lang w:val="uk-UA"/>
        </w:rPr>
        <w:t>іти</w:t>
      </w:r>
      <w:r w:rsidRPr="007E4829">
        <w:rPr>
          <w:color w:val="auto"/>
          <w:sz w:val="21"/>
          <w:szCs w:val="21"/>
          <w:lang w:val="uk-UA"/>
        </w:rPr>
        <w:t xml:space="preserve"> </w:t>
      </w:r>
      <w:r>
        <w:rPr>
          <w:color w:val="auto"/>
          <w:sz w:val="21"/>
          <w:szCs w:val="21"/>
          <w:lang w:val="uk-UA"/>
        </w:rPr>
        <w:t>(</w:t>
      </w:r>
      <w:r w:rsidRPr="007E4829">
        <w:rPr>
          <w:color w:val="auto"/>
          <w:sz w:val="21"/>
          <w:szCs w:val="21"/>
          <w:lang w:val="uk-UA"/>
        </w:rPr>
        <w:t>м. Берген, 19</w:t>
      </w:r>
      <w:r>
        <w:rPr>
          <w:color w:val="auto"/>
          <w:sz w:val="21"/>
          <w:szCs w:val="21"/>
          <w:lang w:val="uk-UA"/>
        </w:rPr>
        <w:t>–</w:t>
      </w:r>
      <w:r w:rsidRPr="007E4829">
        <w:rPr>
          <w:color w:val="auto"/>
          <w:sz w:val="21"/>
          <w:szCs w:val="21"/>
          <w:lang w:val="uk-UA"/>
        </w:rPr>
        <w:t>20 травня 2005 р.</w:t>
      </w:r>
      <w:r>
        <w:rPr>
          <w:color w:val="auto"/>
          <w:sz w:val="21"/>
          <w:szCs w:val="21"/>
          <w:lang w:val="uk-UA"/>
        </w:rPr>
        <w:t>).</w:t>
      </w:r>
      <w:r w:rsidRPr="007E4829">
        <w:rPr>
          <w:color w:val="auto"/>
          <w:sz w:val="21"/>
          <w:szCs w:val="21"/>
          <w:lang w:val="uk-UA"/>
        </w:rPr>
        <w:t xml:space="preserve"> – [Електронний ресурс]. – Режим доступу: </w:t>
      </w:r>
      <w:r w:rsidRPr="00FE5333">
        <w:rPr>
          <w:color w:val="auto"/>
          <w:spacing w:val="-4"/>
          <w:sz w:val="21"/>
          <w:szCs w:val="21"/>
        </w:rPr>
        <w:t>http</w:t>
      </w:r>
      <w:r w:rsidRPr="00FE5333">
        <w:rPr>
          <w:color w:val="auto"/>
          <w:spacing w:val="-4"/>
          <w:sz w:val="21"/>
          <w:szCs w:val="21"/>
          <w:lang w:val="uk-UA"/>
        </w:rPr>
        <w:t>://</w:t>
      </w:r>
      <w:r w:rsidRPr="00FE5333">
        <w:rPr>
          <w:color w:val="auto"/>
          <w:spacing w:val="-4"/>
          <w:sz w:val="21"/>
          <w:szCs w:val="21"/>
        </w:rPr>
        <w:t>www</w:t>
      </w:r>
      <w:r w:rsidRPr="00FE5333">
        <w:rPr>
          <w:color w:val="auto"/>
          <w:spacing w:val="-4"/>
          <w:sz w:val="21"/>
          <w:szCs w:val="21"/>
          <w:lang w:val="uk-UA"/>
        </w:rPr>
        <w:t>.</w:t>
      </w:r>
      <w:r w:rsidRPr="00FE5333">
        <w:rPr>
          <w:color w:val="auto"/>
          <w:spacing w:val="-4"/>
          <w:sz w:val="21"/>
          <w:szCs w:val="21"/>
        </w:rPr>
        <w:t>edupolicy</w:t>
      </w:r>
      <w:r w:rsidRPr="00FE5333">
        <w:rPr>
          <w:color w:val="auto"/>
          <w:spacing w:val="-4"/>
          <w:sz w:val="21"/>
          <w:szCs w:val="21"/>
          <w:lang w:val="uk-UA"/>
        </w:rPr>
        <w:t>.</w:t>
      </w:r>
      <w:r w:rsidRPr="00FE5333">
        <w:rPr>
          <w:color w:val="auto"/>
          <w:spacing w:val="-4"/>
          <w:sz w:val="21"/>
          <w:szCs w:val="21"/>
        </w:rPr>
        <w:t>org</w:t>
      </w:r>
      <w:r w:rsidRPr="00FE5333">
        <w:rPr>
          <w:color w:val="auto"/>
          <w:spacing w:val="-4"/>
          <w:sz w:val="21"/>
          <w:szCs w:val="21"/>
          <w:lang w:val="uk-UA"/>
        </w:rPr>
        <w:t>.</w:t>
      </w:r>
      <w:r w:rsidRPr="00FE5333">
        <w:rPr>
          <w:color w:val="auto"/>
          <w:spacing w:val="-4"/>
          <w:sz w:val="21"/>
          <w:szCs w:val="21"/>
        </w:rPr>
        <w:t>ua</w:t>
      </w:r>
      <w:r w:rsidRPr="00FE5333">
        <w:rPr>
          <w:color w:val="auto"/>
          <w:spacing w:val="-4"/>
          <w:sz w:val="21"/>
          <w:szCs w:val="21"/>
          <w:lang w:val="uk-UA"/>
        </w:rPr>
        <w:t>/_</w:t>
      </w:r>
      <w:r w:rsidRPr="00FE5333">
        <w:rPr>
          <w:color w:val="auto"/>
          <w:spacing w:val="-4"/>
          <w:sz w:val="21"/>
          <w:szCs w:val="21"/>
        </w:rPr>
        <w:t>dx</w:t>
      </w:r>
      <w:r w:rsidRPr="00FE5333">
        <w:rPr>
          <w:color w:val="auto"/>
          <w:spacing w:val="-4"/>
          <w:sz w:val="21"/>
          <w:szCs w:val="21"/>
          <w:lang w:val="uk-UA"/>
        </w:rPr>
        <w:t>/</w:t>
      </w:r>
      <w:r w:rsidRPr="00FE5333">
        <w:rPr>
          <w:color w:val="auto"/>
          <w:spacing w:val="-4"/>
          <w:sz w:val="21"/>
          <w:szCs w:val="21"/>
        </w:rPr>
        <w:t>main</w:t>
      </w:r>
      <w:r w:rsidRPr="00FE5333">
        <w:rPr>
          <w:color w:val="auto"/>
          <w:spacing w:val="-4"/>
          <w:sz w:val="21"/>
          <w:szCs w:val="21"/>
          <w:lang w:val="uk-UA"/>
        </w:rPr>
        <w:t>_</w:t>
      </w:r>
      <w:r w:rsidRPr="00FE5333">
        <w:rPr>
          <w:color w:val="auto"/>
          <w:spacing w:val="-4"/>
          <w:sz w:val="21"/>
          <w:szCs w:val="21"/>
        </w:rPr>
        <w:t>ua</w:t>
      </w:r>
      <w:r w:rsidRPr="00FE5333">
        <w:rPr>
          <w:color w:val="auto"/>
          <w:spacing w:val="-4"/>
          <w:sz w:val="21"/>
          <w:szCs w:val="21"/>
          <w:lang w:val="uk-UA"/>
        </w:rPr>
        <w:t>/</w:t>
      </w:r>
      <w:r w:rsidRPr="00FE5333">
        <w:rPr>
          <w:color w:val="auto"/>
          <w:spacing w:val="-4"/>
          <w:sz w:val="21"/>
          <w:szCs w:val="21"/>
        </w:rPr>
        <w:t>high</w:t>
      </w:r>
      <w:r w:rsidRPr="00FE5333">
        <w:rPr>
          <w:color w:val="auto"/>
          <w:spacing w:val="-4"/>
          <w:sz w:val="21"/>
          <w:szCs w:val="21"/>
          <w:lang w:val="uk-UA"/>
        </w:rPr>
        <w:t>-</w:t>
      </w:r>
      <w:r w:rsidRPr="00FE5333">
        <w:rPr>
          <w:color w:val="auto"/>
          <w:spacing w:val="-4"/>
          <w:sz w:val="21"/>
          <w:szCs w:val="21"/>
        </w:rPr>
        <w:t>edu</w:t>
      </w:r>
      <w:r w:rsidRPr="00FE5333">
        <w:rPr>
          <w:color w:val="auto"/>
          <w:spacing w:val="-4"/>
          <w:sz w:val="21"/>
          <w:szCs w:val="21"/>
          <w:lang w:val="uk-UA"/>
        </w:rPr>
        <w:t>_</w:t>
      </w:r>
      <w:r w:rsidRPr="00FE5333">
        <w:rPr>
          <w:color w:val="auto"/>
          <w:spacing w:val="-4"/>
          <w:sz w:val="21"/>
          <w:szCs w:val="21"/>
        </w:rPr>
        <w:t>ua</w:t>
      </w:r>
      <w:r w:rsidRPr="00FE5333">
        <w:rPr>
          <w:color w:val="auto"/>
          <w:spacing w:val="-4"/>
          <w:sz w:val="21"/>
          <w:szCs w:val="21"/>
          <w:lang w:val="uk-UA"/>
        </w:rPr>
        <w:t>/</w:t>
      </w:r>
      <w:r w:rsidRPr="00FE5333">
        <w:rPr>
          <w:color w:val="auto"/>
          <w:spacing w:val="-4"/>
          <w:sz w:val="21"/>
          <w:szCs w:val="21"/>
        </w:rPr>
        <w:t>bologna</w:t>
      </w:r>
      <w:r w:rsidRPr="00FE5333">
        <w:rPr>
          <w:color w:val="auto"/>
          <w:spacing w:val="-4"/>
          <w:sz w:val="21"/>
          <w:szCs w:val="21"/>
          <w:lang w:val="uk-UA"/>
        </w:rPr>
        <w:t>_</w:t>
      </w:r>
      <w:r w:rsidRPr="00FE5333">
        <w:rPr>
          <w:color w:val="auto"/>
          <w:spacing w:val="-4"/>
          <w:sz w:val="21"/>
          <w:szCs w:val="21"/>
        </w:rPr>
        <w:t>ua</w:t>
      </w:r>
      <w:r w:rsidRPr="00FE5333">
        <w:rPr>
          <w:color w:val="auto"/>
          <w:spacing w:val="-4"/>
          <w:sz w:val="21"/>
          <w:szCs w:val="21"/>
          <w:lang w:val="uk-UA"/>
        </w:rPr>
        <w:t>.</w:t>
      </w:r>
      <w:r w:rsidRPr="00FE5333">
        <w:rPr>
          <w:color w:val="auto"/>
          <w:spacing w:val="-4"/>
          <w:sz w:val="21"/>
          <w:szCs w:val="21"/>
        </w:rPr>
        <w:t>html</w:t>
      </w:r>
      <w:r w:rsidRPr="00FE5333">
        <w:rPr>
          <w:rFonts w:eastAsia="Times New Roman"/>
          <w:color w:val="auto"/>
          <w:spacing w:val="-4"/>
          <w:sz w:val="21"/>
          <w:szCs w:val="21"/>
          <w:lang w:val="uk-UA"/>
        </w:rPr>
        <w:t>.</w:t>
      </w:r>
      <w:bookmarkEnd w:id="629"/>
    </w:p>
    <w:p w:rsidR="005B0F7B" w:rsidRDefault="005B0F7B" w:rsidP="00772FFF">
      <w:pPr>
        <w:pStyle w:val="Default"/>
        <w:numPr>
          <w:ilvl w:val="0"/>
          <w:numId w:val="78"/>
        </w:numPr>
        <w:tabs>
          <w:tab w:val="left" w:pos="993"/>
        </w:tabs>
        <w:ind w:left="0" w:firstLine="709"/>
        <w:jc w:val="both"/>
        <w:rPr>
          <w:color w:val="auto"/>
          <w:sz w:val="21"/>
          <w:szCs w:val="21"/>
          <w:lang w:val="uk-UA"/>
        </w:rPr>
      </w:pPr>
      <w:bookmarkStart w:id="630" w:name="_Ref436215663"/>
      <w:r w:rsidRPr="005B0F7B">
        <w:rPr>
          <w:color w:val="auto"/>
          <w:sz w:val="21"/>
          <w:szCs w:val="21"/>
          <w:lang w:val="uk-UA"/>
        </w:rPr>
        <w:t>Зайчук В. Управління якістю освіти як складова державної освітньої політики / В.</w:t>
      </w:r>
      <w:r>
        <w:rPr>
          <w:color w:val="auto"/>
          <w:sz w:val="21"/>
          <w:szCs w:val="21"/>
          <w:lang w:val="uk-UA"/>
        </w:rPr>
        <w:t xml:space="preserve"> </w:t>
      </w:r>
      <w:r w:rsidRPr="005B0F7B">
        <w:rPr>
          <w:color w:val="auto"/>
          <w:sz w:val="21"/>
          <w:szCs w:val="21"/>
          <w:lang w:val="uk-UA"/>
        </w:rPr>
        <w:t>О. Зайчук // Педагогіка і психологія. – 2009. – № 1. – С. 56–78.</w:t>
      </w:r>
      <w:bookmarkEnd w:id="630"/>
    </w:p>
    <w:p w:rsidR="00772FFF" w:rsidRPr="00772FFF" w:rsidRDefault="00772FFF" w:rsidP="00772FFF">
      <w:pPr>
        <w:pStyle w:val="ad"/>
        <w:numPr>
          <w:ilvl w:val="0"/>
          <w:numId w:val="78"/>
        </w:numPr>
        <w:tabs>
          <w:tab w:val="left" w:pos="993"/>
        </w:tabs>
        <w:ind w:left="0" w:firstLine="709"/>
        <w:jc w:val="both"/>
        <w:rPr>
          <w:rFonts w:ascii="Times New Roman" w:hAnsi="Times New Roman" w:cs="Times New Roman"/>
          <w:sz w:val="21"/>
          <w:szCs w:val="21"/>
        </w:rPr>
      </w:pPr>
      <w:bookmarkStart w:id="631" w:name="_Ref436216195"/>
      <w:r w:rsidRPr="00772FFF">
        <w:rPr>
          <w:rFonts w:ascii="Times New Roman" w:hAnsi="Times New Roman" w:cs="Times New Roman"/>
          <w:sz w:val="21"/>
          <w:szCs w:val="21"/>
        </w:rPr>
        <w:t>Карягин Н. Е. Вузы : правовые основы деятельности / Н. Е. Карягин. – Казань : Таглимат, 2000. – 136 с.</w:t>
      </w:r>
      <w:bookmarkEnd w:id="631"/>
    </w:p>
    <w:p w:rsidR="00772FFF" w:rsidRPr="00772FFF" w:rsidRDefault="00772FFF" w:rsidP="00772FFF">
      <w:pPr>
        <w:pStyle w:val="ad"/>
        <w:numPr>
          <w:ilvl w:val="0"/>
          <w:numId w:val="78"/>
        </w:numPr>
        <w:tabs>
          <w:tab w:val="left" w:pos="993"/>
        </w:tabs>
        <w:ind w:left="0" w:firstLine="709"/>
        <w:jc w:val="both"/>
        <w:rPr>
          <w:rFonts w:ascii="Times New Roman" w:hAnsi="Times New Roman" w:cs="Times New Roman"/>
          <w:sz w:val="21"/>
          <w:szCs w:val="21"/>
        </w:rPr>
      </w:pPr>
      <w:bookmarkStart w:id="632" w:name="_Ref436216254"/>
      <w:r w:rsidRPr="00772FFF">
        <w:rPr>
          <w:rFonts w:ascii="Times New Roman" w:hAnsi="Times New Roman" w:cs="Times New Roman"/>
          <w:sz w:val="21"/>
          <w:szCs w:val="21"/>
        </w:rPr>
        <w:t>Кігель Р. Ю. Вища школа і перехід до ринкової економіки / Р. Ю. Кігель. – Вінниця : Вид-во при Вінницькому держ. техн. ун-ті, 1994. – 415 с.</w:t>
      </w:r>
      <w:bookmarkEnd w:id="632"/>
    </w:p>
    <w:p w:rsidR="00772FFF" w:rsidRDefault="00772FFF" w:rsidP="00772FFF">
      <w:pPr>
        <w:pStyle w:val="Default"/>
        <w:numPr>
          <w:ilvl w:val="0"/>
          <w:numId w:val="78"/>
        </w:numPr>
        <w:tabs>
          <w:tab w:val="left" w:pos="993"/>
        </w:tabs>
        <w:ind w:left="0" w:firstLine="709"/>
        <w:jc w:val="both"/>
        <w:rPr>
          <w:color w:val="auto"/>
          <w:sz w:val="21"/>
          <w:szCs w:val="21"/>
          <w:lang w:val="uk-UA"/>
        </w:rPr>
      </w:pPr>
      <w:bookmarkStart w:id="633" w:name="_Ref436215854"/>
      <w:r w:rsidRPr="00772FFF">
        <w:rPr>
          <w:sz w:val="21"/>
          <w:szCs w:val="21"/>
          <w:lang w:val="uk-UA"/>
        </w:rPr>
        <w:t xml:space="preserve">Куцаєва Т. О. Розвиток вищої освіти в УРСР (1965–1985 рр.) : дис канд. іст. наук: 07.00.01 / Т. О. Куцаєва / Київський націо-нальний ун-т ім. </w:t>
      </w:r>
      <w:r w:rsidRPr="008A05B6">
        <w:rPr>
          <w:sz w:val="21"/>
          <w:szCs w:val="21"/>
        </w:rPr>
        <w:t>Тараса Шевченка. – К., 2007. – 208</w:t>
      </w:r>
      <w:r>
        <w:rPr>
          <w:sz w:val="21"/>
          <w:szCs w:val="21"/>
        </w:rPr>
        <w:t xml:space="preserve"> с</w:t>
      </w:r>
      <w:r w:rsidRPr="008A05B6">
        <w:rPr>
          <w:sz w:val="21"/>
          <w:szCs w:val="21"/>
        </w:rPr>
        <w:t>.</w:t>
      </w:r>
      <w:bookmarkEnd w:id="633"/>
    </w:p>
    <w:p w:rsidR="005B0F7B" w:rsidRDefault="005B0F7B" w:rsidP="00772FFF">
      <w:pPr>
        <w:pStyle w:val="Default"/>
        <w:numPr>
          <w:ilvl w:val="0"/>
          <w:numId w:val="78"/>
        </w:numPr>
        <w:tabs>
          <w:tab w:val="left" w:pos="993"/>
        </w:tabs>
        <w:ind w:left="0" w:firstLine="709"/>
        <w:jc w:val="both"/>
        <w:rPr>
          <w:rFonts w:eastAsia="Times New Roman"/>
          <w:sz w:val="21"/>
          <w:szCs w:val="21"/>
          <w:lang w:val="uk-UA" w:eastAsia="ru-RU"/>
        </w:rPr>
      </w:pPr>
      <w:bookmarkStart w:id="634" w:name="_Ref436215640"/>
      <w:r w:rsidRPr="005B0F7B">
        <w:rPr>
          <w:color w:val="auto"/>
          <w:sz w:val="21"/>
          <w:szCs w:val="21"/>
          <w:lang w:val="uk-UA"/>
        </w:rPr>
        <w:lastRenderedPageBreak/>
        <w:t xml:space="preserve">Кучма Р. </w:t>
      </w:r>
      <w:r>
        <w:rPr>
          <w:color w:val="auto"/>
          <w:sz w:val="21"/>
          <w:szCs w:val="21"/>
          <w:lang w:val="uk-UA"/>
        </w:rPr>
        <w:t xml:space="preserve">М. </w:t>
      </w:r>
      <w:r w:rsidRPr="005B0F7B">
        <w:rPr>
          <w:color w:val="auto"/>
          <w:sz w:val="21"/>
          <w:szCs w:val="21"/>
          <w:lang w:val="uk-UA"/>
        </w:rPr>
        <w:t>Сучасні системи управління якістю вищої освіти в контексті вимог Болонського процесу / Р.</w:t>
      </w:r>
      <w:r>
        <w:rPr>
          <w:color w:val="auto"/>
          <w:sz w:val="21"/>
          <w:szCs w:val="21"/>
          <w:lang w:val="uk-UA"/>
        </w:rPr>
        <w:t xml:space="preserve"> </w:t>
      </w:r>
      <w:r w:rsidRPr="005B0F7B">
        <w:rPr>
          <w:color w:val="auto"/>
          <w:sz w:val="21"/>
          <w:szCs w:val="21"/>
          <w:lang w:val="uk-UA"/>
        </w:rPr>
        <w:t>М.</w:t>
      </w:r>
      <w:r>
        <w:rPr>
          <w:color w:val="auto"/>
          <w:sz w:val="21"/>
          <w:szCs w:val="21"/>
          <w:lang w:val="uk-UA"/>
        </w:rPr>
        <w:t xml:space="preserve"> </w:t>
      </w:r>
      <w:r w:rsidRPr="005B0F7B">
        <w:rPr>
          <w:color w:val="auto"/>
          <w:sz w:val="21"/>
          <w:szCs w:val="21"/>
          <w:lang w:val="uk-UA"/>
        </w:rPr>
        <w:t>Кучма // Вісник Київського національного університету імені Тараса Шевченка</w:t>
      </w:r>
      <w:r>
        <w:rPr>
          <w:color w:val="auto"/>
          <w:sz w:val="21"/>
          <w:szCs w:val="21"/>
          <w:lang w:val="uk-UA"/>
        </w:rPr>
        <w:t xml:space="preserve"> :</w:t>
      </w:r>
      <w:r w:rsidRPr="005B0F7B">
        <w:rPr>
          <w:color w:val="auto"/>
          <w:sz w:val="21"/>
          <w:szCs w:val="21"/>
          <w:lang w:val="uk-UA"/>
        </w:rPr>
        <w:t xml:space="preserve"> Філософія. Політологія. – 2010. – Випуск 94–96. – С. 87–93</w:t>
      </w:r>
      <w:r w:rsidRPr="005B0F7B">
        <w:rPr>
          <w:rFonts w:eastAsia="Times New Roman"/>
          <w:color w:val="auto"/>
          <w:sz w:val="21"/>
          <w:szCs w:val="21"/>
          <w:lang w:val="uk-UA"/>
        </w:rPr>
        <w:t>.</w:t>
      </w:r>
      <w:bookmarkEnd w:id="634"/>
    </w:p>
    <w:p w:rsidR="00772FFF" w:rsidRPr="00772FFF" w:rsidRDefault="00772FFF" w:rsidP="00772FFF">
      <w:pPr>
        <w:pStyle w:val="ad"/>
        <w:numPr>
          <w:ilvl w:val="0"/>
          <w:numId w:val="78"/>
        </w:numPr>
        <w:tabs>
          <w:tab w:val="left" w:pos="993"/>
        </w:tabs>
        <w:ind w:left="0" w:firstLine="709"/>
        <w:jc w:val="both"/>
        <w:rPr>
          <w:rFonts w:ascii="Times New Roman" w:hAnsi="Times New Roman" w:cs="Times New Roman"/>
          <w:sz w:val="21"/>
          <w:szCs w:val="21"/>
        </w:rPr>
      </w:pPr>
      <w:bookmarkStart w:id="635" w:name="_Ref436215983"/>
      <w:r w:rsidRPr="00772FFF">
        <w:rPr>
          <w:rFonts w:ascii="Times New Roman" w:hAnsi="Times New Roman" w:cs="Times New Roman"/>
          <w:sz w:val="21"/>
          <w:szCs w:val="21"/>
        </w:rPr>
        <w:t>Левицкий М. Л. Госзадание на услуги высшей школы : критерии эффективности / М. Л. Левицкий // Вестник высшей школы. – 2011. – № 5. – С. 50–57.</w:t>
      </w:r>
      <w:bookmarkEnd w:id="635"/>
    </w:p>
    <w:p w:rsidR="00772FFF" w:rsidRDefault="00772FFF" w:rsidP="00772FFF">
      <w:pPr>
        <w:pStyle w:val="Default"/>
        <w:numPr>
          <w:ilvl w:val="0"/>
          <w:numId w:val="78"/>
        </w:numPr>
        <w:tabs>
          <w:tab w:val="left" w:pos="993"/>
        </w:tabs>
        <w:ind w:left="0" w:firstLine="709"/>
        <w:jc w:val="both"/>
        <w:rPr>
          <w:color w:val="auto"/>
          <w:sz w:val="21"/>
          <w:szCs w:val="21"/>
          <w:lang w:val="uk-UA"/>
        </w:rPr>
      </w:pPr>
      <w:bookmarkStart w:id="636" w:name="_Ref436216259"/>
      <w:r w:rsidRPr="00772FFF">
        <w:rPr>
          <w:sz w:val="21"/>
          <w:szCs w:val="21"/>
          <w:lang w:val="uk-UA"/>
        </w:rPr>
        <w:t xml:space="preserve">Ліцензійні умови надання освітніх послуг у сфері вищої освіти : Наказ Міністерства освіти і науки України від 24 грудня 2003 р. № 847 [Електронний ресурс]. – Режим доступу: </w:t>
      </w:r>
      <w:hyperlink r:id="rId140" w:history="1">
        <w:r w:rsidRPr="002758D9">
          <w:rPr>
            <w:rStyle w:val="aff"/>
            <w:color w:val="auto"/>
            <w:sz w:val="21"/>
            <w:szCs w:val="21"/>
            <w:u w:val="none"/>
          </w:rPr>
          <w:t>http</w:t>
        </w:r>
        <w:r w:rsidRPr="00772FFF">
          <w:rPr>
            <w:rStyle w:val="aff"/>
            <w:color w:val="auto"/>
            <w:sz w:val="21"/>
            <w:szCs w:val="21"/>
            <w:u w:val="none"/>
            <w:lang w:val="uk-UA"/>
          </w:rPr>
          <w:t>://</w:t>
        </w:r>
        <w:r w:rsidRPr="002758D9">
          <w:rPr>
            <w:rStyle w:val="aff"/>
            <w:color w:val="auto"/>
            <w:sz w:val="21"/>
            <w:szCs w:val="21"/>
            <w:u w:val="none"/>
          </w:rPr>
          <w:t>zakon</w:t>
        </w:r>
        <w:r w:rsidRPr="00772FFF">
          <w:rPr>
            <w:rStyle w:val="aff"/>
            <w:color w:val="auto"/>
            <w:sz w:val="21"/>
            <w:szCs w:val="21"/>
            <w:u w:val="none"/>
            <w:lang w:val="uk-UA"/>
          </w:rPr>
          <w:t>4.</w:t>
        </w:r>
        <w:r w:rsidRPr="002758D9">
          <w:rPr>
            <w:rStyle w:val="aff"/>
            <w:color w:val="auto"/>
            <w:sz w:val="21"/>
            <w:szCs w:val="21"/>
            <w:u w:val="none"/>
          </w:rPr>
          <w:t>rada</w:t>
        </w:r>
        <w:r w:rsidRPr="00772FFF">
          <w:rPr>
            <w:rStyle w:val="aff"/>
            <w:color w:val="auto"/>
            <w:sz w:val="21"/>
            <w:szCs w:val="21"/>
            <w:u w:val="none"/>
            <w:lang w:val="uk-UA"/>
          </w:rPr>
          <w:t>.</w:t>
        </w:r>
        <w:r w:rsidRPr="002758D9">
          <w:rPr>
            <w:rStyle w:val="aff"/>
            <w:color w:val="auto"/>
            <w:sz w:val="21"/>
            <w:szCs w:val="21"/>
            <w:u w:val="none"/>
          </w:rPr>
          <w:t>gov</w:t>
        </w:r>
        <w:r w:rsidRPr="00772FFF">
          <w:rPr>
            <w:rStyle w:val="aff"/>
            <w:color w:val="auto"/>
            <w:sz w:val="21"/>
            <w:szCs w:val="21"/>
            <w:u w:val="none"/>
            <w:lang w:val="uk-UA"/>
          </w:rPr>
          <w:t>.</w:t>
        </w:r>
        <w:r w:rsidRPr="002758D9">
          <w:rPr>
            <w:rStyle w:val="aff"/>
            <w:color w:val="auto"/>
            <w:sz w:val="21"/>
            <w:szCs w:val="21"/>
            <w:u w:val="none"/>
          </w:rPr>
          <w:t>ua</w:t>
        </w:r>
        <w:r w:rsidRPr="00772FFF">
          <w:rPr>
            <w:rStyle w:val="aff"/>
            <w:color w:val="auto"/>
            <w:sz w:val="21"/>
            <w:szCs w:val="21"/>
            <w:u w:val="none"/>
            <w:lang w:val="uk-UA"/>
          </w:rPr>
          <w:t>/</w:t>
        </w:r>
        <w:r w:rsidRPr="002758D9">
          <w:rPr>
            <w:rStyle w:val="aff"/>
            <w:color w:val="auto"/>
            <w:sz w:val="21"/>
            <w:szCs w:val="21"/>
            <w:u w:val="none"/>
          </w:rPr>
          <w:t>laws</w:t>
        </w:r>
        <w:r w:rsidRPr="00772FFF">
          <w:rPr>
            <w:rStyle w:val="aff"/>
            <w:color w:val="auto"/>
            <w:sz w:val="21"/>
            <w:szCs w:val="21"/>
            <w:u w:val="none"/>
            <w:lang w:val="uk-UA"/>
          </w:rPr>
          <w:t>/</w:t>
        </w:r>
        <w:r w:rsidRPr="002758D9">
          <w:rPr>
            <w:rStyle w:val="aff"/>
            <w:color w:val="auto"/>
            <w:sz w:val="21"/>
            <w:szCs w:val="21"/>
            <w:u w:val="none"/>
          </w:rPr>
          <w:t>show</w:t>
        </w:r>
        <w:r w:rsidRPr="00772FFF">
          <w:rPr>
            <w:rStyle w:val="aff"/>
            <w:color w:val="auto"/>
            <w:sz w:val="21"/>
            <w:szCs w:val="21"/>
            <w:u w:val="none"/>
            <w:lang w:val="uk-UA"/>
          </w:rPr>
          <w:t>/</w:t>
        </w:r>
        <w:r w:rsidRPr="002758D9">
          <w:rPr>
            <w:rStyle w:val="aff"/>
            <w:color w:val="auto"/>
            <w:sz w:val="21"/>
            <w:szCs w:val="21"/>
            <w:u w:val="none"/>
          </w:rPr>
          <w:t>z</w:t>
        </w:r>
        <w:r w:rsidRPr="00772FFF">
          <w:rPr>
            <w:rStyle w:val="aff"/>
            <w:color w:val="auto"/>
            <w:sz w:val="21"/>
            <w:szCs w:val="21"/>
            <w:u w:val="none"/>
            <w:lang w:val="uk-UA"/>
          </w:rPr>
          <w:t>0075-04</w:t>
        </w:r>
      </w:hyperlink>
      <w:bookmarkEnd w:id="636"/>
    </w:p>
    <w:p w:rsidR="005B0F7B" w:rsidRDefault="005B0F7B" w:rsidP="00772FFF">
      <w:pPr>
        <w:pStyle w:val="Default"/>
        <w:numPr>
          <w:ilvl w:val="0"/>
          <w:numId w:val="78"/>
        </w:numPr>
        <w:tabs>
          <w:tab w:val="left" w:pos="993"/>
        </w:tabs>
        <w:ind w:left="0" w:firstLine="709"/>
        <w:jc w:val="both"/>
        <w:rPr>
          <w:rFonts w:eastAsia="Times New Roman"/>
          <w:sz w:val="21"/>
          <w:szCs w:val="21"/>
          <w:lang w:val="uk-UA" w:eastAsia="ru-RU"/>
        </w:rPr>
      </w:pPr>
      <w:bookmarkStart w:id="637" w:name="_Ref436215696"/>
      <w:r>
        <w:rPr>
          <w:color w:val="auto"/>
          <w:sz w:val="21"/>
          <w:szCs w:val="21"/>
          <w:lang w:val="uk-UA"/>
        </w:rPr>
        <w:t>Луговий В</w:t>
      </w:r>
      <w:r w:rsidRPr="005B0F7B">
        <w:rPr>
          <w:color w:val="auto"/>
          <w:sz w:val="21"/>
          <w:szCs w:val="21"/>
          <w:lang w:val="uk-UA"/>
        </w:rPr>
        <w:t>. Якість вищої освіти в Україні</w:t>
      </w:r>
      <w:r>
        <w:rPr>
          <w:color w:val="auto"/>
          <w:sz w:val="21"/>
          <w:szCs w:val="21"/>
          <w:lang w:val="uk-UA"/>
        </w:rPr>
        <w:t xml:space="preserve"> </w:t>
      </w:r>
      <w:r w:rsidRPr="005B0F7B">
        <w:rPr>
          <w:color w:val="auto"/>
          <w:sz w:val="21"/>
          <w:szCs w:val="21"/>
          <w:lang w:val="uk-UA"/>
        </w:rPr>
        <w:t>: проблеми забезпечення та визначення / В.</w:t>
      </w:r>
      <w:r>
        <w:rPr>
          <w:color w:val="auto"/>
          <w:sz w:val="21"/>
          <w:szCs w:val="21"/>
          <w:lang w:val="uk-UA"/>
        </w:rPr>
        <w:t xml:space="preserve"> </w:t>
      </w:r>
      <w:r w:rsidRPr="005B0F7B">
        <w:rPr>
          <w:color w:val="auto"/>
          <w:sz w:val="21"/>
          <w:szCs w:val="21"/>
          <w:lang w:val="uk-UA"/>
        </w:rPr>
        <w:t>І.</w:t>
      </w:r>
      <w:r>
        <w:rPr>
          <w:color w:val="auto"/>
          <w:sz w:val="21"/>
          <w:szCs w:val="21"/>
          <w:lang w:val="uk-UA"/>
        </w:rPr>
        <w:t xml:space="preserve"> </w:t>
      </w:r>
      <w:r w:rsidRPr="005B0F7B">
        <w:rPr>
          <w:color w:val="auto"/>
          <w:sz w:val="21"/>
          <w:szCs w:val="21"/>
          <w:lang w:val="uk-UA"/>
        </w:rPr>
        <w:t>Луговий, Ж.</w:t>
      </w:r>
      <w:r>
        <w:rPr>
          <w:color w:val="auto"/>
          <w:sz w:val="21"/>
          <w:szCs w:val="21"/>
          <w:lang w:val="uk-UA"/>
        </w:rPr>
        <w:t xml:space="preserve"> </w:t>
      </w:r>
      <w:r w:rsidRPr="005B0F7B">
        <w:rPr>
          <w:color w:val="auto"/>
          <w:sz w:val="21"/>
          <w:szCs w:val="21"/>
          <w:lang w:val="uk-UA"/>
        </w:rPr>
        <w:t>В.Таланова // Вища освіта України</w:t>
      </w:r>
      <w:r>
        <w:rPr>
          <w:color w:val="auto"/>
          <w:sz w:val="21"/>
          <w:szCs w:val="21"/>
          <w:lang w:val="uk-UA"/>
        </w:rPr>
        <w:t xml:space="preserve"> </w:t>
      </w:r>
      <w:r w:rsidRPr="005B0F7B">
        <w:rPr>
          <w:color w:val="auto"/>
          <w:sz w:val="21"/>
          <w:szCs w:val="21"/>
          <w:lang w:val="uk-UA"/>
        </w:rPr>
        <w:t>: Тематичний випуск «Європейська інтеграція вищої освіти України в контексті Болонського про</w:t>
      </w:r>
      <w:r>
        <w:rPr>
          <w:color w:val="auto"/>
          <w:sz w:val="21"/>
          <w:szCs w:val="21"/>
          <w:lang w:val="uk-UA"/>
        </w:rPr>
        <w:t>цесу» – 2013. – № 3 (додаток 2). –</w:t>
      </w:r>
      <w:r w:rsidRPr="005B0F7B">
        <w:rPr>
          <w:color w:val="auto"/>
          <w:sz w:val="21"/>
          <w:szCs w:val="21"/>
          <w:lang w:val="uk-UA"/>
        </w:rPr>
        <w:t xml:space="preserve"> С. 6–10</w:t>
      </w:r>
      <w:bookmarkEnd w:id="637"/>
    </w:p>
    <w:p w:rsidR="00772FFF" w:rsidRPr="00772FFF" w:rsidRDefault="00772FFF" w:rsidP="00772FFF">
      <w:pPr>
        <w:pStyle w:val="ad"/>
        <w:numPr>
          <w:ilvl w:val="0"/>
          <w:numId w:val="78"/>
        </w:numPr>
        <w:tabs>
          <w:tab w:val="left" w:pos="993"/>
        </w:tabs>
        <w:ind w:left="0" w:firstLine="709"/>
        <w:jc w:val="both"/>
        <w:rPr>
          <w:rFonts w:ascii="Times New Roman" w:hAnsi="Times New Roman" w:cs="Times New Roman"/>
          <w:sz w:val="21"/>
          <w:szCs w:val="21"/>
        </w:rPr>
      </w:pPr>
      <w:bookmarkStart w:id="638" w:name="_Ref436215808"/>
      <w:r w:rsidRPr="00772FFF">
        <w:rPr>
          <w:rFonts w:ascii="Times New Roman" w:hAnsi="Times New Roman" w:cs="Times New Roman"/>
          <w:sz w:val="21"/>
          <w:szCs w:val="21"/>
        </w:rPr>
        <w:t xml:space="preserve">Майборода С. В. Державне управління вищою освітою в Україні : структура, функції, тенденції розвитку (1917–1959 рр.) : </w:t>
      </w:r>
      <w:r w:rsidRPr="00772FFF">
        <w:rPr>
          <w:rFonts w:ascii="Times New Roman" w:hAnsi="Times New Roman" w:cs="Times New Roman"/>
          <w:spacing w:val="-2"/>
          <w:sz w:val="21"/>
          <w:szCs w:val="21"/>
        </w:rPr>
        <w:t>монографія / С. В. Майборода ; редкол.: [В. І. Луговий, В. М. Князєв,</w:t>
      </w:r>
      <w:r w:rsidRPr="00772FFF">
        <w:rPr>
          <w:rFonts w:ascii="Times New Roman" w:hAnsi="Times New Roman" w:cs="Times New Roman"/>
          <w:sz w:val="21"/>
          <w:szCs w:val="21"/>
        </w:rPr>
        <w:t xml:space="preserve"> П. І. Надолішній та ін.] ; Укр. Акад. держ. упр. при Президентові України. – К. : Вид-во УАДУ, 2000. – 307 с.</w:t>
      </w:r>
      <w:bookmarkEnd w:id="638"/>
      <w:r w:rsidRPr="00772FFF">
        <w:rPr>
          <w:rFonts w:ascii="Times New Roman" w:hAnsi="Times New Roman" w:cs="Times New Roman"/>
          <w:sz w:val="21"/>
          <w:szCs w:val="21"/>
        </w:rPr>
        <w:t> </w:t>
      </w:r>
    </w:p>
    <w:p w:rsidR="00772FFF" w:rsidRPr="00772FFF" w:rsidRDefault="00772FFF" w:rsidP="00772FFF">
      <w:pPr>
        <w:pStyle w:val="ad"/>
        <w:numPr>
          <w:ilvl w:val="0"/>
          <w:numId w:val="78"/>
        </w:numPr>
        <w:tabs>
          <w:tab w:val="left" w:pos="993"/>
        </w:tabs>
        <w:ind w:left="0" w:firstLine="709"/>
        <w:jc w:val="both"/>
        <w:rPr>
          <w:rFonts w:ascii="Times New Roman" w:hAnsi="Times New Roman" w:cs="Times New Roman"/>
          <w:sz w:val="21"/>
          <w:szCs w:val="21"/>
        </w:rPr>
      </w:pPr>
      <w:bookmarkStart w:id="639" w:name="_Ref436216052"/>
      <w:r w:rsidRPr="00772FFF">
        <w:rPr>
          <w:rFonts w:ascii="Times New Roman" w:hAnsi="Times New Roman" w:cs="Times New Roman"/>
          <w:sz w:val="21"/>
          <w:szCs w:val="21"/>
        </w:rPr>
        <w:t>Майбуров И. Опыт образовательной реформы в КНР / И. Майбуров, Л. Стровский, Цзян Цзин // Мировая экономика и международные отношения. – 2006. – № 6. – С. 90–99.</w:t>
      </w:r>
      <w:bookmarkEnd w:id="639"/>
    </w:p>
    <w:p w:rsidR="00772FFF" w:rsidRPr="00772FFF" w:rsidRDefault="00772FFF" w:rsidP="00772FFF">
      <w:pPr>
        <w:pStyle w:val="ad"/>
        <w:numPr>
          <w:ilvl w:val="0"/>
          <w:numId w:val="78"/>
        </w:numPr>
        <w:tabs>
          <w:tab w:val="left" w:pos="993"/>
        </w:tabs>
        <w:ind w:left="0" w:firstLine="709"/>
        <w:jc w:val="both"/>
        <w:rPr>
          <w:rFonts w:ascii="Times New Roman" w:hAnsi="Times New Roman" w:cs="Times New Roman"/>
          <w:sz w:val="21"/>
          <w:szCs w:val="21"/>
        </w:rPr>
      </w:pPr>
      <w:bookmarkStart w:id="640" w:name="_Ref436216297"/>
      <w:r w:rsidRPr="00772FFF">
        <w:rPr>
          <w:rFonts w:ascii="Times New Roman" w:hAnsi="Times New Roman" w:cs="Times New Roman"/>
          <w:sz w:val="21"/>
          <w:szCs w:val="21"/>
        </w:rPr>
        <w:t>Методичні рекомендації щодо переліку підтвердних документів для реєстрації бюджетних зобов’язань, бюджетних фінансових зобов’язань та проведення платежів : Наказ Державної казначейської служби України від 29 квітня 2013 р. № 68. [Електронний ресурс]. — Режим доступу : http://ukrbudget.ru /news/2013-05-07-279.</w:t>
      </w:r>
      <w:bookmarkEnd w:id="640"/>
    </w:p>
    <w:p w:rsidR="00772FFF" w:rsidRPr="00772FFF" w:rsidRDefault="00772FFF" w:rsidP="00772FFF">
      <w:pPr>
        <w:pStyle w:val="ad"/>
        <w:numPr>
          <w:ilvl w:val="0"/>
          <w:numId w:val="78"/>
        </w:numPr>
        <w:tabs>
          <w:tab w:val="left" w:pos="993"/>
        </w:tabs>
        <w:ind w:left="0" w:firstLine="709"/>
        <w:jc w:val="both"/>
        <w:rPr>
          <w:rFonts w:ascii="Times New Roman" w:hAnsi="Times New Roman" w:cs="Times New Roman"/>
          <w:sz w:val="21"/>
          <w:szCs w:val="21"/>
        </w:rPr>
      </w:pPr>
      <w:bookmarkStart w:id="641" w:name="_Ref436216176"/>
      <w:r w:rsidRPr="00772FFF">
        <w:rPr>
          <w:rFonts w:ascii="Times New Roman" w:hAnsi="Times New Roman" w:cs="Times New Roman"/>
          <w:sz w:val="21"/>
          <w:szCs w:val="21"/>
        </w:rPr>
        <w:t xml:space="preserve">Мещанінов О. П. Університетська автономія для сталого розвитку Чорноморського регіону [Електронний ресурс] / О. П. Мещанінов. – Режим доступу : </w:t>
      </w:r>
      <w:hyperlink r:id="rId141" w:history="1">
        <w:r w:rsidRPr="00772FFF">
          <w:rPr>
            <w:rStyle w:val="aff"/>
            <w:rFonts w:ascii="Times New Roman" w:hAnsi="Times New Roman" w:cs="Times New Roman"/>
            <w:color w:val="auto"/>
            <w:sz w:val="21"/>
            <w:szCs w:val="21"/>
            <w:u w:val="none"/>
          </w:rPr>
          <w:t>http://lib.chdu.edu.ua /pdf/ naukpraci/pedagogika/2010/136-123-1.pdf</w:t>
        </w:r>
      </w:hyperlink>
      <w:r w:rsidRPr="00772FFF">
        <w:rPr>
          <w:rFonts w:ascii="Times New Roman" w:hAnsi="Times New Roman" w:cs="Times New Roman"/>
          <w:sz w:val="21"/>
          <w:szCs w:val="21"/>
        </w:rPr>
        <w:t>.</w:t>
      </w:r>
      <w:bookmarkEnd w:id="641"/>
    </w:p>
    <w:p w:rsidR="00772FFF" w:rsidRDefault="00772FFF" w:rsidP="00772FFF">
      <w:pPr>
        <w:pStyle w:val="Default"/>
        <w:numPr>
          <w:ilvl w:val="0"/>
          <w:numId w:val="78"/>
        </w:numPr>
        <w:tabs>
          <w:tab w:val="left" w:pos="993"/>
        </w:tabs>
        <w:ind w:left="0" w:firstLine="709"/>
        <w:jc w:val="both"/>
        <w:rPr>
          <w:rFonts w:eastAsia="Times New Roman"/>
          <w:sz w:val="21"/>
          <w:szCs w:val="21"/>
          <w:lang w:val="uk-UA" w:eastAsia="ru-RU"/>
        </w:rPr>
      </w:pPr>
      <w:bookmarkStart w:id="642" w:name="_Ref436215911"/>
      <w:r>
        <w:rPr>
          <w:sz w:val="21"/>
          <w:szCs w:val="21"/>
        </w:rPr>
        <w:t xml:space="preserve">Мірошниченко </w:t>
      </w:r>
      <w:r w:rsidRPr="008A05B6">
        <w:rPr>
          <w:sz w:val="21"/>
          <w:szCs w:val="21"/>
        </w:rPr>
        <w:t>Ю. Вища освіта</w:t>
      </w:r>
      <w:r>
        <w:rPr>
          <w:sz w:val="21"/>
          <w:szCs w:val="21"/>
        </w:rPr>
        <w:t xml:space="preserve"> </w:t>
      </w:r>
      <w:r w:rsidRPr="008A05B6">
        <w:rPr>
          <w:sz w:val="21"/>
          <w:szCs w:val="21"/>
        </w:rPr>
        <w:t>: від держконтролю – до самоуправ</w:t>
      </w:r>
      <w:r>
        <w:rPr>
          <w:sz w:val="21"/>
          <w:szCs w:val="21"/>
        </w:rPr>
        <w:t xml:space="preserve">ління [Електронний ресурс] / Ю. </w:t>
      </w:r>
      <w:r w:rsidRPr="008A05B6">
        <w:rPr>
          <w:sz w:val="21"/>
          <w:szCs w:val="21"/>
        </w:rPr>
        <w:t>Мірошниченко</w:t>
      </w:r>
      <w:r>
        <w:rPr>
          <w:sz w:val="21"/>
          <w:szCs w:val="21"/>
        </w:rPr>
        <w:t xml:space="preserve"> // Дзеркало тижня. – 2011. – № </w:t>
      </w:r>
      <w:r w:rsidRPr="008A05B6">
        <w:rPr>
          <w:sz w:val="21"/>
          <w:szCs w:val="21"/>
        </w:rPr>
        <w:t>2. – Режим доступу</w:t>
      </w:r>
      <w:r>
        <w:rPr>
          <w:sz w:val="21"/>
          <w:szCs w:val="21"/>
        </w:rPr>
        <w:t xml:space="preserve"> </w:t>
      </w:r>
      <w:r w:rsidRPr="008A05B6">
        <w:rPr>
          <w:sz w:val="21"/>
          <w:szCs w:val="21"/>
        </w:rPr>
        <w:t>:</w:t>
      </w:r>
      <w:r>
        <w:rPr>
          <w:sz w:val="21"/>
          <w:szCs w:val="21"/>
        </w:rPr>
        <w:t xml:space="preserve"> </w:t>
      </w:r>
      <w:hyperlink r:id="rId142" w:history="1">
        <w:r w:rsidRPr="002758D9">
          <w:rPr>
            <w:rStyle w:val="aff"/>
            <w:color w:val="auto"/>
            <w:sz w:val="21"/>
            <w:szCs w:val="21"/>
            <w:u w:val="none"/>
          </w:rPr>
          <w:t>http://osvita.ua/vnz/high_school/13355/print/</w:t>
        </w:r>
      </w:hyperlink>
      <w:r w:rsidRPr="002758D9">
        <w:rPr>
          <w:color w:val="auto"/>
          <w:sz w:val="21"/>
          <w:szCs w:val="21"/>
        </w:rPr>
        <w:t>.</w:t>
      </w:r>
      <w:bookmarkEnd w:id="642"/>
    </w:p>
    <w:p w:rsidR="005B0F7B" w:rsidRDefault="005B0F7B" w:rsidP="00772FFF">
      <w:pPr>
        <w:pStyle w:val="Default"/>
        <w:numPr>
          <w:ilvl w:val="0"/>
          <w:numId w:val="78"/>
        </w:numPr>
        <w:tabs>
          <w:tab w:val="left" w:pos="993"/>
        </w:tabs>
        <w:ind w:left="0" w:firstLine="709"/>
        <w:jc w:val="both"/>
        <w:rPr>
          <w:color w:val="auto"/>
          <w:sz w:val="21"/>
          <w:szCs w:val="21"/>
          <w:lang w:val="uk-UA"/>
        </w:rPr>
      </w:pPr>
      <w:bookmarkStart w:id="643" w:name="_Ref436215625"/>
      <w:r w:rsidRPr="002A5FB4">
        <w:rPr>
          <w:rFonts w:eastAsia="Times New Roman"/>
          <w:sz w:val="21"/>
          <w:szCs w:val="21"/>
          <w:lang w:eastAsia="ru-RU"/>
        </w:rPr>
        <w:lastRenderedPageBreak/>
        <w:t>Національний освітній глосарій</w:t>
      </w:r>
      <w:r>
        <w:rPr>
          <w:rFonts w:eastAsia="Times New Roman"/>
          <w:sz w:val="21"/>
          <w:szCs w:val="21"/>
          <w:lang w:eastAsia="ru-RU"/>
        </w:rPr>
        <w:t xml:space="preserve"> </w:t>
      </w:r>
      <w:r w:rsidRPr="002A5FB4">
        <w:rPr>
          <w:rFonts w:eastAsia="Times New Roman"/>
          <w:sz w:val="21"/>
          <w:szCs w:val="21"/>
          <w:lang w:eastAsia="ru-RU"/>
        </w:rPr>
        <w:t>: вища освіта</w:t>
      </w:r>
      <w:r>
        <w:rPr>
          <w:rFonts w:eastAsia="Times New Roman"/>
          <w:sz w:val="21"/>
          <w:szCs w:val="21"/>
          <w:lang w:eastAsia="ru-RU"/>
        </w:rPr>
        <w:t xml:space="preserve"> </w:t>
      </w:r>
      <w:r w:rsidRPr="002A5FB4">
        <w:rPr>
          <w:rFonts w:eastAsia="Times New Roman"/>
          <w:sz w:val="21"/>
          <w:szCs w:val="21"/>
          <w:lang w:eastAsia="ru-RU"/>
        </w:rPr>
        <w:t xml:space="preserve">[Електронний </w:t>
      </w:r>
      <w:r w:rsidRPr="005B0F7B">
        <w:rPr>
          <w:rFonts w:eastAsia="Times New Roman"/>
          <w:spacing w:val="-8"/>
          <w:sz w:val="21"/>
          <w:szCs w:val="21"/>
          <w:lang w:eastAsia="ru-RU"/>
        </w:rPr>
        <w:t>ресурс]. – Режим доступу: http://ihed.org.ua/images/pdf/glossariy_a5_v.6.pdf.</w:t>
      </w:r>
      <w:bookmarkEnd w:id="643"/>
    </w:p>
    <w:p w:rsidR="005B0F7B" w:rsidRDefault="005B0F7B" w:rsidP="00772FFF">
      <w:pPr>
        <w:pStyle w:val="Default"/>
        <w:numPr>
          <w:ilvl w:val="0"/>
          <w:numId w:val="78"/>
        </w:numPr>
        <w:tabs>
          <w:tab w:val="left" w:pos="993"/>
        </w:tabs>
        <w:ind w:left="0" w:firstLine="709"/>
        <w:jc w:val="both"/>
        <w:rPr>
          <w:rFonts w:eastAsia="Times New Roman"/>
          <w:color w:val="auto"/>
          <w:sz w:val="21"/>
          <w:szCs w:val="21"/>
          <w:lang w:val="uk-UA"/>
        </w:rPr>
      </w:pPr>
      <w:bookmarkStart w:id="644" w:name="_Ref436215621"/>
      <w:r w:rsidRPr="002A5FB4">
        <w:rPr>
          <w:color w:val="auto"/>
          <w:sz w:val="21"/>
          <w:szCs w:val="21"/>
        </w:rPr>
        <w:t>Національна стратегія розвитку освіти в Україні на період до 2021 року від 25.06.2013 р. №344/2013. – [Електронний ресурс]. – Режим доступу: http://zakon4.rada.gov.ua/laws/show/344/2013</w:t>
      </w:r>
      <w:r w:rsidRPr="002A5FB4">
        <w:rPr>
          <w:rFonts w:eastAsia="Times New Roman"/>
          <w:color w:val="auto"/>
          <w:sz w:val="21"/>
          <w:szCs w:val="21"/>
        </w:rPr>
        <w:t>].</w:t>
      </w:r>
      <w:bookmarkEnd w:id="644"/>
    </w:p>
    <w:p w:rsidR="005B0F7B" w:rsidRDefault="005B0F7B" w:rsidP="00772FFF">
      <w:pPr>
        <w:pStyle w:val="Default"/>
        <w:numPr>
          <w:ilvl w:val="0"/>
          <w:numId w:val="78"/>
        </w:numPr>
        <w:tabs>
          <w:tab w:val="left" w:pos="993"/>
        </w:tabs>
        <w:ind w:left="0" w:firstLine="709"/>
        <w:jc w:val="both"/>
        <w:rPr>
          <w:rFonts w:eastAsia="Times New Roman"/>
          <w:color w:val="auto"/>
          <w:sz w:val="21"/>
          <w:szCs w:val="21"/>
          <w:lang w:val="uk-UA"/>
        </w:rPr>
      </w:pPr>
      <w:bookmarkStart w:id="645" w:name="_Ref436215589"/>
      <w:r w:rsidRPr="007E4829">
        <w:rPr>
          <w:rFonts w:eastAsia="Times New Roman"/>
          <w:color w:val="auto"/>
          <w:sz w:val="21"/>
          <w:szCs w:val="21"/>
          <w:lang w:val="uk-UA"/>
        </w:rPr>
        <w:t>На шляху до Європейського простору вищої освіти</w:t>
      </w:r>
      <w:r>
        <w:rPr>
          <w:rFonts w:eastAsia="Times New Roman"/>
          <w:color w:val="auto"/>
          <w:sz w:val="21"/>
          <w:szCs w:val="21"/>
          <w:lang w:val="uk-UA"/>
        </w:rPr>
        <w:t xml:space="preserve"> </w:t>
      </w:r>
      <w:r w:rsidRPr="007E4829">
        <w:rPr>
          <w:rFonts w:eastAsia="Times New Roman"/>
          <w:color w:val="auto"/>
          <w:sz w:val="21"/>
          <w:szCs w:val="21"/>
          <w:lang w:val="uk-UA"/>
        </w:rPr>
        <w:t xml:space="preserve">: відповіді на виклики глобалізації </w:t>
      </w:r>
      <w:r>
        <w:rPr>
          <w:rFonts w:eastAsia="Times New Roman"/>
          <w:color w:val="auto"/>
          <w:sz w:val="21"/>
          <w:szCs w:val="21"/>
          <w:lang w:val="uk-UA"/>
        </w:rPr>
        <w:t>: Комюніке к</w:t>
      </w:r>
      <w:r w:rsidRPr="007E4829">
        <w:rPr>
          <w:rFonts w:eastAsia="Times New Roman"/>
          <w:color w:val="auto"/>
          <w:sz w:val="21"/>
          <w:szCs w:val="21"/>
          <w:lang w:val="uk-UA"/>
        </w:rPr>
        <w:t>онференції Міністрів європейських країн, відповід</w:t>
      </w:r>
      <w:r>
        <w:rPr>
          <w:rFonts w:eastAsia="Times New Roman"/>
          <w:color w:val="auto"/>
          <w:sz w:val="21"/>
          <w:szCs w:val="21"/>
          <w:lang w:val="uk-UA"/>
        </w:rPr>
        <w:t>альних за сферу вищої освіти</w:t>
      </w:r>
      <w:r w:rsidRPr="007E4829">
        <w:rPr>
          <w:rFonts w:eastAsia="Times New Roman"/>
          <w:color w:val="auto"/>
          <w:sz w:val="21"/>
          <w:szCs w:val="21"/>
          <w:lang w:val="uk-UA"/>
        </w:rPr>
        <w:t xml:space="preserve"> </w:t>
      </w:r>
      <w:r>
        <w:rPr>
          <w:rFonts w:eastAsia="Times New Roman"/>
          <w:color w:val="auto"/>
          <w:sz w:val="21"/>
          <w:szCs w:val="21"/>
          <w:lang w:val="uk-UA"/>
        </w:rPr>
        <w:t>(</w:t>
      </w:r>
      <w:r w:rsidRPr="007E4829">
        <w:rPr>
          <w:rFonts w:eastAsia="Times New Roman"/>
          <w:color w:val="auto"/>
          <w:sz w:val="21"/>
          <w:szCs w:val="21"/>
          <w:lang w:val="uk-UA"/>
        </w:rPr>
        <w:t>м. Лондон, 16</w:t>
      </w:r>
      <w:r>
        <w:rPr>
          <w:rFonts w:eastAsia="Times New Roman"/>
          <w:color w:val="auto"/>
          <w:sz w:val="21"/>
          <w:szCs w:val="21"/>
          <w:lang w:val="uk-UA"/>
        </w:rPr>
        <w:t>–</w:t>
      </w:r>
      <w:r w:rsidRPr="007E4829">
        <w:rPr>
          <w:rFonts w:eastAsia="Times New Roman"/>
          <w:color w:val="auto"/>
          <w:sz w:val="21"/>
          <w:szCs w:val="21"/>
          <w:lang w:val="uk-UA"/>
        </w:rPr>
        <w:t>19 травня 2007</w:t>
      </w:r>
      <w:r>
        <w:rPr>
          <w:rFonts w:eastAsia="Times New Roman"/>
          <w:color w:val="auto"/>
          <w:sz w:val="21"/>
          <w:szCs w:val="21"/>
          <w:lang w:val="uk-UA"/>
        </w:rPr>
        <w:t xml:space="preserve"> р.)</w:t>
      </w:r>
      <w:r w:rsidRPr="007E4829">
        <w:rPr>
          <w:rFonts w:eastAsia="Times New Roman"/>
          <w:color w:val="auto"/>
          <w:sz w:val="21"/>
          <w:szCs w:val="21"/>
          <w:lang w:val="uk-UA"/>
        </w:rPr>
        <w:t xml:space="preserve">. – [Електронний ресурс]. – Режим доступу: </w:t>
      </w:r>
      <w:hyperlink r:id="rId143" w:history="1">
        <w:r w:rsidRPr="005B0F7B">
          <w:rPr>
            <w:rStyle w:val="aff"/>
            <w:rFonts w:eastAsia="Times New Roman"/>
            <w:color w:val="auto"/>
            <w:sz w:val="21"/>
            <w:szCs w:val="21"/>
            <w:u w:val="none"/>
          </w:rPr>
          <w:t>http</w:t>
        </w:r>
        <w:r w:rsidRPr="005B0F7B">
          <w:rPr>
            <w:rStyle w:val="aff"/>
            <w:rFonts w:eastAsia="Times New Roman"/>
            <w:color w:val="auto"/>
            <w:sz w:val="21"/>
            <w:szCs w:val="21"/>
            <w:u w:val="none"/>
            <w:lang w:val="uk-UA"/>
          </w:rPr>
          <w:t>://</w:t>
        </w:r>
        <w:r w:rsidRPr="005B0F7B">
          <w:rPr>
            <w:rStyle w:val="aff"/>
            <w:rFonts w:eastAsia="Times New Roman"/>
            <w:color w:val="auto"/>
            <w:sz w:val="21"/>
            <w:szCs w:val="21"/>
            <w:u w:val="none"/>
          </w:rPr>
          <w:t>www</w:t>
        </w:r>
        <w:r w:rsidRPr="005B0F7B">
          <w:rPr>
            <w:rStyle w:val="aff"/>
            <w:rFonts w:eastAsia="Times New Roman"/>
            <w:color w:val="auto"/>
            <w:sz w:val="21"/>
            <w:szCs w:val="21"/>
            <w:u w:val="none"/>
            <w:lang w:val="uk-UA"/>
          </w:rPr>
          <w:t>.</w:t>
        </w:r>
        <w:r w:rsidRPr="005B0F7B">
          <w:rPr>
            <w:rStyle w:val="aff"/>
            <w:rFonts w:eastAsia="Times New Roman"/>
            <w:color w:val="auto"/>
            <w:sz w:val="21"/>
            <w:szCs w:val="21"/>
            <w:u w:val="none"/>
          </w:rPr>
          <w:t>edupolicy</w:t>
        </w:r>
        <w:r w:rsidRPr="005B0F7B">
          <w:rPr>
            <w:rStyle w:val="aff"/>
            <w:rFonts w:eastAsia="Times New Roman"/>
            <w:color w:val="auto"/>
            <w:sz w:val="21"/>
            <w:szCs w:val="21"/>
            <w:u w:val="none"/>
            <w:lang w:val="uk-UA"/>
          </w:rPr>
          <w:t>.</w:t>
        </w:r>
        <w:r w:rsidRPr="005B0F7B">
          <w:rPr>
            <w:rStyle w:val="aff"/>
            <w:rFonts w:eastAsia="Times New Roman"/>
            <w:color w:val="auto"/>
            <w:sz w:val="21"/>
            <w:szCs w:val="21"/>
            <w:u w:val="none"/>
          </w:rPr>
          <w:t>org</w:t>
        </w:r>
        <w:r w:rsidRPr="005B0F7B">
          <w:rPr>
            <w:rStyle w:val="aff"/>
            <w:rFonts w:eastAsia="Times New Roman"/>
            <w:color w:val="auto"/>
            <w:sz w:val="21"/>
            <w:szCs w:val="21"/>
            <w:u w:val="none"/>
            <w:lang w:val="uk-UA"/>
          </w:rPr>
          <w:t>.</w:t>
        </w:r>
        <w:r w:rsidRPr="005B0F7B">
          <w:rPr>
            <w:rStyle w:val="aff"/>
            <w:rFonts w:eastAsia="Times New Roman"/>
            <w:color w:val="auto"/>
            <w:sz w:val="21"/>
            <w:szCs w:val="21"/>
            <w:u w:val="none"/>
          </w:rPr>
          <w:t>ua</w:t>
        </w:r>
        <w:r w:rsidRPr="005B0F7B">
          <w:rPr>
            <w:rStyle w:val="aff"/>
            <w:rFonts w:eastAsia="Times New Roman"/>
            <w:color w:val="auto"/>
            <w:sz w:val="21"/>
            <w:szCs w:val="21"/>
            <w:u w:val="none"/>
            <w:lang w:val="uk-UA"/>
          </w:rPr>
          <w:t>/_</w:t>
        </w:r>
        <w:r w:rsidRPr="005B0F7B">
          <w:rPr>
            <w:rStyle w:val="aff"/>
            <w:rFonts w:eastAsia="Times New Roman"/>
            <w:color w:val="auto"/>
            <w:sz w:val="21"/>
            <w:szCs w:val="21"/>
            <w:u w:val="none"/>
          </w:rPr>
          <w:t>dx</w:t>
        </w:r>
        <w:r w:rsidRPr="005B0F7B">
          <w:rPr>
            <w:rStyle w:val="aff"/>
            <w:rFonts w:eastAsia="Times New Roman"/>
            <w:color w:val="auto"/>
            <w:sz w:val="21"/>
            <w:szCs w:val="21"/>
            <w:u w:val="none"/>
            <w:lang w:val="uk-UA"/>
          </w:rPr>
          <w:t>/</w:t>
        </w:r>
        <w:r w:rsidRPr="005B0F7B">
          <w:rPr>
            <w:rStyle w:val="aff"/>
            <w:rFonts w:eastAsia="Times New Roman"/>
            <w:color w:val="auto"/>
            <w:sz w:val="21"/>
            <w:szCs w:val="21"/>
            <w:u w:val="none"/>
          </w:rPr>
          <w:t>main</w:t>
        </w:r>
        <w:r w:rsidRPr="005B0F7B">
          <w:rPr>
            <w:rStyle w:val="aff"/>
            <w:rFonts w:eastAsia="Times New Roman"/>
            <w:color w:val="auto"/>
            <w:sz w:val="21"/>
            <w:szCs w:val="21"/>
            <w:u w:val="none"/>
            <w:lang w:val="uk-UA"/>
          </w:rPr>
          <w:t>_</w:t>
        </w:r>
        <w:r w:rsidRPr="005B0F7B">
          <w:rPr>
            <w:rStyle w:val="aff"/>
            <w:rFonts w:eastAsia="Times New Roman"/>
            <w:color w:val="auto"/>
            <w:sz w:val="21"/>
            <w:szCs w:val="21"/>
            <w:u w:val="none"/>
          </w:rPr>
          <w:t>ua</w:t>
        </w:r>
        <w:r w:rsidRPr="005B0F7B">
          <w:rPr>
            <w:rStyle w:val="aff"/>
            <w:rFonts w:eastAsia="Times New Roman"/>
            <w:color w:val="auto"/>
            <w:sz w:val="21"/>
            <w:szCs w:val="21"/>
            <w:u w:val="none"/>
            <w:lang w:val="uk-UA"/>
          </w:rPr>
          <w:t>/</w:t>
        </w:r>
        <w:r w:rsidRPr="005B0F7B">
          <w:rPr>
            <w:rStyle w:val="aff"/>
            <w:rFonts w:eastAsia="Times New Roman"/>
            <w:color w:val="auto"/>
            <w:sz w:val="21"/>
            <w:szCs w:val="21"/>
            <w:u w:val="none"/>
          </w:rPr>
          <w:t>high</w:t>
        </w:r>
        <w:r w:rsidRPr="005B0F7B">
          <w:rPr>
            <w:rStyle w:val="aff"/>
            <w:rFonts w:eastAsia="Times New Roman"/>
            <w:color w:val="auto"/>
            <w:sz w:val="21"/>
            <w:szCs w:val="21"/>
            <w:u w:val="none"/>
            <w:lang w:val="uk-UA"/>
          </w:rPr>
          <w:t>-</w:t>
        </w:r>
        <w:r w:rsidRPr="005B0F7B">
          <w:rPr>
            <w:rStyle w:val="aff"/>
            <w:rFonts w:eastAsia="Times New Roman"/>
            <w:color w:val="auto"/>
            <w:sz w:val="21"/>
            <w:szCs w:val="21"/>
            <w:u w:val="none"/>
          </w:rPr>
          <w:t>edu</w:t>
        </w:r>
        <w:r w:rsidRPr="005B0F7B">
          <w:rPr>
            <w:rStyle w:val="aff"/>
            <w:rFonts w:eastAsia="Times New Roman"/>
            <w:color w:val="auto"/>
            <w:sz w:val="21"/>
            <w:szCs w:val="21"/>
            <w:u w:val="none"/>
            <w:lang w:val="uk-UA"/>
          </w:rPr>
          <w:t>_</w:t>
        </w:r>
        <w:r w:rsidRPr="005B0F7B">
          <w:rPr>
            <w:rStyle w:val="aff"/>
            <w:rFonts w:eastAsia="Times New Roman"/>
            <w:color w:val="auto"/>
            <w:sz w:val="21"/>
            <w:szCs w:val="21"/>
            <w:u w:val="none"/>
          </w:rPr>
          <w:t>ua</w:t>
        </w:r>
        <w:r w:rsidRPr="005B0F7B">
          <w:rPr>
            <w:rStyle w:val="aff"/>
            <w:rFonts w:eastAsia="Times New Roman"/>
            <w:color w:val="auto"/>
            <w:sz w:val="21"/>
            <w:szCs w:val="21"/>
            <w:u w:val="none"/>
            <w:lang w:val="uk-UA"/>
          </w:rPr>
          <w:t>/</w:t>
        </w:r>
      </w:hyperlink>
      <w:r w:rsidRPr="002A5FB4">
        <w:rPr>
          <w:rFonts w:eastAsia="Times New Roman"/>
          <w:color w:val="auto"/>
          <w:sz w:val="21"/>
          <w:szCs w:val="21"/>
        </w:rPr>
        <w:t>bolo</w:t>
      </w:r>
      <w:r>
        <w:rPr>
          <w:rFonts w:eastAsia="Times New Roman"/>
          <w:color w:val="auto"/>
          <w:sz w:val="21"/>
          <w:szCs w:val="21"/>
          <w:lang w:val="uk-UA"/>
        </w:rPr>
        <w:t>-</w:t>
      </w:r>
      <w:r w:rsidRPr="002A5FB4">
        <w:rPr>
          <w:rFonts w:eastAsia="Times New Roman"/>
          <w:color w:val="auto"/>
          <w:sz w:val="21"/>
          <w:szCs w:val="21"/>
        </w:rPr>
        <w:t>gna</w:t>
      </w:r>
      <w:r w:rsidRPr="007E4829">
        <w:rPr>
          <w:rFonts w:eastAsia="Times New Roman"/>
          <w:color w:val="auto"/>
          <w:sz w:val="21"/>
          <w:szCs w:val="21"/>
          <w:lang w:val="uk-UA"/>
        </w:rPr>
        <w:t>_</w:t>
      </w:r>
      <w:r w:rsidRPr="002A5FB4">
        <w:rPr>
          <w:rFonts w:eastAsia="Times New Roman"/>
          <w:color w:val="auto"/>
          <w:sz w:val="21"/>
          <w:szCs w:val="21"/>
        </w:rPr>
        <w:t>ua</w:t>
      </w:r>
      <w:r w:rsidRPr="007E4829">
        <w:rPr>
          <w:rFonts w:eastAsia="Times New Roman"/>
          <w:color w:val="auto"/>
          <w:sz w:val="21"/>
          <w:szCs w:val="21"/>
          <w:lang w:val="uk-UA"/>
        </w:rPr>
        <w:t>.</w:t>
      </w:r>
      <w:r w:rsidRPr="002A5FB4">
        <w:rPr>
          <w:rFonts w:eastAsia="Times New Roman"/>
          <w:color w:val="auto"/>
          <w:sz w:val="21"/>
          <w:szCs w:val="21"/>
        </w:rPr>
        <w:t>html</w:t>
      </w:r>
      <w:bookmarkEnd w:id="645"/>
    </w:p>
    <w:p w:rsidR="00772FFF" w:rsidRPr="00772FFF" w:rsidRDefault="00772FFF" w:rsidP="00772FFF">
      <w:pPr>
        <w:pStyle w:val="ad"/>
        <w:numPr>
          <w:ilvl w:val="0"/>
          <w:numId w:val="78"/>
        </w:numPr>
        <w:tabs>
          <w:tab w:val="left" w:pos="993"/>
        </w:tabs>
        <w:ind w:left="0" w:firstLine="709"/>
        <w:jc w:val="both"/>
        <w:rPr>
          <w:rFonts w:ascii="Times New Roman" w:hAnsi="Times New Roman" w:cs="Times New Roman"/>
          <w:sz w:val="21"/>
          <w:szCs w:val="21"/>
        </w:rPr>
      </w:pPr>
      <w:bookmarkStart w:id="646" w:name="_Ref436215801"/>
      <w:r w:rsidRPr="00772FFF">
        <w:rPr>
          <w:rFonts w:ascii="Times New Roman" w:hAnsi="Times New Roman" w:cs="Times New Roman"/>
          <w:sz w:val="21"/>
          <w:szCs w:val="21"/>
        </w:rPr>
        <w:t>Огаренко В. М. Розвиток недержавної вищої школи в Україні (кінець 80-х – 2001 рр.) : Дис... канд. іст. наук: 07.00.01 / В. М. Огаренко ; Гуманітарний ун-т «Запорізький ін-т держ. та муніципального управління». – Запоріжжя, 2001. – 227 с.</w:t>
      </w:r>
      <w:bookmarkEnd w:id="646"/>
    </w:p>
    <w:p w:rsidR="00772FFF" w:rsidRDefault="00772FFF" w:rsidP="00772FFF">
      <w:pPr>
        <w:pStyle w:val="Default"/>
        <w:numPr>
          <w:ilvl w:val="0"/>
          <w:numId w:val="78"/>
        </w:numPr>
        <w:tabs>
          <w:tab w:val="left" w:pos="993"/>
        </w:tabs>
        <w:ind w:left="0" w:firstLine="709"/>
        <w:jc w:val="both"/>
        <w:rPr>
          <w:color w:val="auto"/>
          <w:sz w:val="21"/>
          <w:szCs w:val="21"/>
          <w:lang w:val="uk-UA"/>
        </w:rPr>
      </w:pPr>
      <w:bookmarkStart w:id="647" w:name="_Ref436215860"/>
      <w:r w:rsidRPr="008A05B6">
        <w:rPr>
          <w:sz w:val="21"/>
          <w:szCs w:val="21"/>
        </w:rPr>
        <w:t xml:space="preserve">Основные направления перестройки высшего и среднего </w:t>
      </w:r>
      <w:r w:rsidRPr="00901632">
        <w:rPr>
          <w:spacing w:val="-4"/>
          <w:sz w:val="21"/>
          <w:szCs w:val="21"/>
        </w:rPr>
        <w:t>специального образования в стране. – М. : Высшая школа, 1987. – 77 с.</w:t>
      </w:r>
      <w:bookmarkEnd w:id="647"/>
    </w:p>
    <w:p w:rsidR="00772FFF" w:rsidRDefault="00772FFF" w:rsidP="00772FFF">
      <w:pPr>
        <w:pStyle w:val="Default"/>
        <w:numPr>
          <w:ilvl w:val="0"/>
          <w:numId w:val="78"/>
        </w:numPr>
        <w:tabs>
          <w:tab w:val="left" w:pos="993"/>
        </w:tabs>
        <w:ind w:left="0" w:firstLine="709"/>
        <w:jc w:val="both"/>
        <w:rPr>
          <w:color w:val="auto"/>
          <w:sz w:val="21"/>
          <w:szCs w:val="21"/>
          <w:lang w:val="uk-UA"/>
        </w:rPr>
      </w:pPr>
      <w:bookmarkStart w:id="648" w:name="_Ref436215994"/>
      <w:r>
        <w:rPr>
          <w:sz w:val="21"/>
          <w:szCs w:val="21"/>
        </w:rPr>
        <w:t xml:space="preserve">Патора </w:t>
      </w:r>
      <w:r w:rsidRPr="008A05B6">
        <w:rPr>
          <w:sz w:val="21"/>
          <w:szCs w:val="21"/>
        </w:rPr>
        <w:t>Р.</w:t>
      </w:r>
      <w:r>
        <w:rPr>
          <w:sz w:val="21"/>
          <w:szCs w:val="21"/>
        </w:rPr>
        <w:t xml:space="preserve"> Реформа освіти в Польщі</w:t>
      </w:r>
      <w:r w:rsidRPr="008A05B6">
        <w:rPr>
          <w:sz w:val="21"/>
          <w:szCs w:val="21"/>
        </w:rPr>
        <w:t xml:space="preserve"> / Р. Патора // Маркетинг в Україні. </w:t>
      </w:r>
      <w:r>
        <w:rPr>
          <w:sz w:val="21"/>
          <w:szCs w:val="21"/>
        </w:rPr>
        <w:t xml:space="preserve">– </w:t>
      </w:r>
      <w:r w:rsidRPr="008A05B6">
        <w:rPr>
          <w:sz w:val="21"/>
          <w:szCs w:val="21"/>
        </w:rPr>
        <w:t>2001. – № 3. – С. 42</w:t>
      </w:r>
      <w:r>
        <w:rPr>
          <w:sz w:val="21"/>
          <w:szCs w:val="21"/>
        </w:rPr>
        <w:t>–</w:t>
      </w:r>
      <w:r w:rsidRPr="008A05B6">
        <w:rPr>
          <w:sz w:val="21"/>
          <w:szCs w:val="21"/>
        </w:rPr>
        <w:t>43.</w:t>
      </w:r>
      <w:bookmarkEnd w:id="648"/>
    </w:p>
    <w:p w:rsidR="00772FFF" w:rsidRPr="00772FFF" w:rsidRDefault="00772FFF" w:rsidP="00772FFF">
      <w:pPr>
        <w:pStyle w:val="Default"/>
        <w:numPr>
          <w:ilvl w:val="0"/>
          <w:numId w:val="78"/>
        </w:numPr>
        <w:tabs>
          <w:tab w:val="left" w:pos="993"/>
        </w:tabs>
        <w:ind w:left="0" w:firstLine="709"/>
        <w:jc w:val="both"/>
        <w:rPr>
          <w:color w:val="auto"/>
          <w:sz w:val="21"/>
          <w:szCs w:val="21"/>
          <w:lang w:val="uk-UA"/>
        </w:rPr>
      </w:pPr>
      <w:bookmarkStart w:id="649" w:name="_Ref436216286"/>
      <w:r w:rsidRPr="00772FFF">
        <w:rPr>
          <w:sz w:val="21"/>
          <w:szCs w:val="21"/>
          <w:lang w:val="uk-UA"/>
        </w:rPr>
        <w:t>Порядок надання платних освітніх послуг державними та комунальними навчальними закладами : Наказ Міністерства освіти і науки України, Міністерства економіки України, Міністерства фінансів України від 23 липня 2010 р. № 736/902/758 // Офіційний вісник України. – 2010. – № 94. – Ст. 3367.</w:t>
      </w:r>
      <w:bookmarkEnd w:id="649"/>
    </w:p>
    <w:p w:rsidR="00772FFF" w:rsidRPr="00772FFF" w:rsidRDefault="00772FFF" w:rsidP="00772FFF">
      <w:pPr>
        <w:pStyle w:val="Default"/>
        <w:numPr>
          <w:ilvl w:val="0"/>
          <w:numId w:val="78"/>
        </w:numPr>
        <w:tabs>
          <w:tab w:val="left" w:pos="993"/>
        </w:tabs>
        <w:ind w:left="0" w:firstLine="709"/>
        <w:jc w:val="both"/>
        <w:rPr>
          <w:color w:val="auto"/>
          <w:sz w:val="21"/>
          <w:szCs w:val="21"/>
          <w:lang w:val="uk-UA"/>
        </w:rPr>
      </w:pPr>
      <w:bookmarkStart w:id="650" w:name="_Ref436216279"/>
      <w:r w:rsidRPr="00772FFF">
        <w:rPr>
          <w:sz w:val="21"/>
          <w:szCs w:val="21"/>
          <w:lang w:val="uk-UA"/>
        </w:rPr>
        <w:t>Порядок списання об’єктів державної власності : Постанова Кабінету Міністрів України від 08 листопада 2007 р. № 1314 // Офіційний вісник України. – 2007. – № 86. – Ст. 3168.</w:t>
      </w:r>
      <w:bookmarkEnd w:id="650"/>
    </w:p>
    <w:p w:rsidR="005B0F7B" w:rsidRDefault="005B0F7B" w:rsidP="00772FFF">
      <w:pPr>
        <w:pStyle w:val="Default"/>
        <w:numPr>
          <w:ilvl w:val="0"/>
          <w:numId w:val="78"/>
        </w:numPr>
        <w:tabs>
          <w:tab w:val="left" w:pos="993"/>
        </w:tabs>
        <w:ind w:left="0" w:firstLine="709"/>
        <w:jc w:val="both"/>
        <w:rPr>
          <w:color w:val="auto"/>
          <w:sz w:val="21"/>
          <w:szCs w:val="21"/>
          <w:lang w:val="uk-UA"/>
        </w:rPr>
      </w:pPr>
      <w:bookmarkStart w:id="651" w:name="_Ref436215706"/>
      <w:r w:rsidRPr="007E4829">
        <w:rPr>
          <w:color w:val="auto"/>
          <w:sz w:val="21"/>
          <w:szCs w:val="21"/>
          <w:lang w:val="uk-UA"/>
        </w:rPr>
        <w:t>Правові засади реалізації Болонського процесу в Україні</w:t>
      </w:r>
      <w:r>
        <w:rPr>
          <w:color w:val="auto"/>
          <w:sz w:val="21"/>
          <w:szCs w:val="21"/>
          <w:lang w:val="uk-UA"/>
        </w:rPr>
        <w:t xml:space="preserve"> </w:t>
      </w:r>
      <w:r w:rsidRPr="007E4829">
        <w:rPr>
          <w:color w:val="auto"/>
          <w:sz w:val="21"/>
          <w:szCs w:val="21"/>
          <w:lang w:val="uk-UA"/>
        </w:rPr>
        <w:t>: монографія / [</w:t>
      </w:r>
      <w:r>
        <w:rPr>
          <w:color w:val="auto"/>
          <w:sz w:val="21"/>
          <w:szCs w:val="21"/>
          <w:lang w:val="uk-UA"/>
        </w:rPr>
        <w:t>В. Бугров</w:t>
      </w:r>
      <w:r w:rsidRPr="007E4829">
        <w:rPr>
          <w:color w:val="auto"/>
          <w:sz w:val="21"/>
          <w:szCs w:val="21"/>
          <w:lang w:val="uk-UA"/>
        </w:rPr>
        <w:t xml:space="preserve">, </w:t>
      </w:r>
      <w:r>
        <w:rPr>
          <w:color w:val="auto"/>
          <w:sz w:val="21"/>
          <w:szCs w:val="21"/>
          <w:lang w:val="uk-UA"/>
        </w:rPr>
        <w:t>А. Гожик</w:t>
      </w:r>
      <w:r w:rsidRPr="007E4829">
        <w:rPr>
          <w:color w:val="auto"/>
          <w:sz w:val="21"/>
          <w:szCs w:val="21"/>
          <w:lang w:val="uk-UA"/>
        </w:rPr>
        <w:t xml:space="preserve">, </w:t>
      </w:r>
      <w:r>
        <w:rPr>
          <w:color w:val="auto"/>
          <w:sz w:val="21"/>
          <w:szCs w:val="21"/>
          <w:lang w:val="uk-UA"/>
        </w:rPr>
        <w:t>К. Жданова</w:t>
      </w:r>
      <w:r w:rsidRPr="007E4829">
        <w:rPr>
          <w:color w:val="auto"/>
          <w:sz w:val="21"/>
          <w:szCs w:val="21"/>
          <w:lang w:val="uk-UA"/>
        </w:rPr>
        <w:t xml:space="preserve">, </w:t>
      </w:r>
      <w:r>
        <w:rPr>
          <w:color w:val="auto"/>
          <w:sz w:val="21"/>
          <w:szCs w:val="21"/>
          <w:lang w:val="uk-UA"/>
        </w:rPr>
        <w:t xml:space="preserve">І. </w:t>
      </w:r>
      <w:r w:rsidRPr="007E4829">
        <w:rPr>
          <w:color w:val="auto"/>
          <w:sz w:val="21"/>
          <w:szCs w:val="21"/>
          <w:lang w:val="uk-UA"/>
        </w:rPr>
        <w:t xml:space="preserve">Зарубінська </w:t>
      </w:r>
      <w:r>
        <w:rPr>
          <w:color w:val="auto"/>
          <w:sz w:val="21"/>
          <w:szCs w:val="21"/>
          <w:lang w:val="uk-UA"/>
        </w:rPr>
        <w:t xml:space="preserve">та ін.] </w:t>
      </w:r>
      <w:r w:rsidRPr="007E4829">
        <w:rPr>
          <w:color w:val="auto"/>
          <w:sz w:val="21"/>
          <w:szCs w:val="21"/>
          <w:lang w:val="uk-UA"/>
        </w:rPr>
        <w:t xml:space="preserve">; за заг. ред. </w:t>
      </w:r>
      <w:r w:rsidRPr="005B0F7B">
        <w:rPr>
          <w:color w:val="auto"/>
          <w:sz w:val="21"/>
          <w:szCs w:val="21"/>
          <w:lang w:val="uk-UA"/>
        </w:rPr>
        <w:t>В. Лугового, С. Калашнікової. – К.</w:t>
      </w:r>
      <w:r>
        <w:rPr>
          <w:color w:val="auto"/>
          <w:sz w:val="21"/>
          <w:szCs w:val="21"/>
          <w:lang w:val="uk-UA"/>
        </w:rPr>
        <w:t xml:space="preserve"> </w:t>
      </w:r>
      <w:r w:rsidRPr="005B0F7B">
        <w:rPr>
          <w:color w:val="auto"/>
          <w:sz w:val="21"/>
          <w:szCs w:val="21"/>
          <w:lang w:val="uk-UA"/>
        </w:rPr>
        <w:t>: Пріоритети</w:t>
      </w:r>
      <w:r>
        <w:rPr>
          <w:color w:val="auto"/>
          <w:sz w:val="21"/>
          <w:szCs w:val="21"/>
          <w:lang w:val="uk-UA"/>
        </w:rPr>
        <w:t>,</w:t>
      </w:r>
      <w:r w:rsidRPr="005B0F7B">
        <w:rPr>
          <w:color w:val="auto"/>
          <w:sz w:val="21"/>
          <w:szCs w:val="21"/>
          <w:lang w:val="uk-UA"/>
        </w:rPr>
        <w:t xml:space="preserve"> 20</w:t>
      </w:r>
      <w:r>
        <w:rPr>
          <w:color w:val="auto"/>
          <w:sz w:val="21"/>
          <w:szCs w:val="21"/>
          <w:lang w:val="uk-UA"/>
        </w:rPr>
        <w:t>14. – 156 с.</w:t>
      </w:r>
      <w:bookmarkEnd w:id="651"/>
    </w:p>
    <w:p w:rsidR="005B0F7B" w:rsidRDefault="005B0F7B" w:rsidP="00772FFF">
      <w:pPr>
        <w:pStyle w:val="Default"/>
        <w:numPr>
          <w:ilvl w:val="0"/>
          <w:numId w:val="78"/>
        </w:numPr>
        <w:tabs>
          <w:tab w:val="left" w:pos="993"/>
        </w:tabs>
        <w:ind w:left="0" w:firstLine="709"/>
        <w:jc w:val="both"/>
        <w:rPr>
          <w:rFonts w:eastAsia="Times New Roman"/>
          <w:color w:val="auto"/>
          <w:sz w:val="21"/>
          <w:szCs w:val="21"/>
          <w:lang w:val="uk-UA"/>
        </w:rPr>
      </w:pPr>
      <w:bookmarkStart w:id="652" w:name="_Ref436215632"/>
      <w:r>
        <w:rPr>
          <w:color w:val="auto"/>
          <w:sz w:val="21"/>
          <w:szCs w:val="21"/>
        </w:rPr>
        <w:t>Про вищу освіту</w:t>
      </w:r>
      <w:r>
        <w:rPr>
          <w:color w:val="auto"/>
          <w:sz w:val="21"/>
          <w:szCs w:val="21"/>
          <w:lang w:val="uk-UA"/>
        </w:rPr>
        <w:t xml:space="preserve"> : закон України</w:t>
      </w:r>
      <w:r>
        <w:rPr>
          <w:color w:val="auto"/>
          <w:sz w:val="21"/>
          <w:szCs w:val="21"/>
        </w:rPr>
        <w:t xml:space="preserve"> від 01.07.2014 р. № 1556-VII</w:t>
      </w:r>
      <w:r w:rsidRPr="002A5FB4">
        <w:rPr>
          <w:color w:val="auto"/>
          <w:sz w:val="21"/>
          <w:szCs w:val="21"/>
        </w:rPr>
        <w:t xml:space="preserve"> [Електронний ресурс]. – Режим доступу: http://zakon2.rada.gov.ua/laws/show/1556-18</w:t>
      </w:r>
      <w:r w:rsidRPr="002A5FB4">
        <w:rPr>
          <w:rFonts w:eastAsia="Times New Roman"/>
          <w:color w:val="auto"/>
          <w:sz w:val="21"/>
          <w:szCs w:val="21"/>
        </w:rPr>
        <w:t>.</w:t>
      </w:r>
      <w:bookmarkEnd w:id="652"/>
    </w:p>
    <w:p w:rsidR="00772FFF" w:rsidRDefault="00772FFF" w:rsidP="00772FFF">
      <w:pPr>
        <w:pStyle w:val="Default"/>
        <w:numPr>
          <w:ilvl w:val="0"/>
          <w:numId w:val="78"/>
        </w:numPr>
        <w:tabs>
          <w:tab w:val="left" w:pos="993"/>
        </w:tabs>
        <w:ind w:left="0" w:firstLine="709"/>
        <w:jc w:val="both"/>
        <w:rPr>
          <w:rFonts w:eastAsia="Times New Roman"/>
          <w:color w:val="auto"/>
          <w:sz w:val="21"/>
          <w:szCs w:val="21"/>
          <w:lang w:val="uk-UA"/>
        </w:rPr>
      </w:pPr>
      <w:bookmarkStart w:id="653" w:name="_Ref436216223"/>
      <w:r w:rsidRPr="008A05B6">
        <w:rPr>
          <w:sz w:val="21"/>
          <w:szCs w:val="21"/>
        </w:rPr>
        <w:t xml:space="preserve">Про затвердження переліку платних послуг, які можуть надаватися навчальними закладами, іншими установами та закладами системи освіти, що належать до державної і комунальної </w:t>
      </w:r>
      <w:r w:rsidRPr="008A05B6">
        <w:rPr>
          <w:sz w:val="21"/>
          <w:szCs w:val="21"/>
        </w:rPr>
        <w:lastRenderedPageBreak/>
        <w:t>форми власності : затверджений Постановою Ка</w:t>
      </w:r>
      <w:r>
        <w:rPr>
          <w:sz w:val="21"/>
          <w:szCs w:val="21"/>
        </w:rPr>
        <w:t xml:space="preserve">бінету Міністрів України від 27 серпня 2010 р. № </w:t>
      </w:r>
      <w:r w:rsidRPr="008A05B6">
        <w:rPr>
          <w:sz w:val="21"/>
          <w:szCs w:val="21"/>
        </w:rPr>
        <w:t>796 (із змінами) // Офіційний вісник України. – 2010. – № 67. - Ст. 2410.</w:t>
      </w:r>
      <w:bookmarkEnd w:id="653"/>
    </w:p>
    <w:p w:rsidR="005B0F7B" w:rsidRDefault="005B0F7B" w:rsidP="00772FFF">
      <w:pPr>
        <w:pStyle w:val="Default"/>
        <w:numPr>
          <w:ilvl w:val="0"/>
          <w:numId w:val="78"/>
        </w:numPr>
        <w:tabs>
          <w:tab w:val="left" w:pos="993"/>
        </w:tabs>
        <w:ind w:left="0" w:firstLine="709"/>
        <w:jc w:val="both"/>
        <w:rPr>
          <w:color w:val="auto"/>
          <w:sz w:val="21"/>
          <w:szCs w:val="21"/>
          <w:lang w:val="uk-UA"/>
        </w:rPr>
      </w:pPr>
      <w:bookmarkStart w:id="654" w:name="_Ref436215582"/>
      <w:r w:rsidRPr="007E4829">
        <w:rPr>
          <w:rFonts w:eastAsia="Times New Roman"/>
          <w:color w:val="auto"/>
          <w:sz w:val="21"/>
          <w:szCs w:val="21"/>
          <w:lang w:val="uk-UA"/>
        </w:rPr>
        <w:t>Стандарти і рекомендації щодо забезпечення якості в Європейському просторі вищої освіти. – К.</w:t>
      </w:r>
      <w:r>
        <w:rPr>
          <w:rFonts w:eastAsia="Times New Roman"/>
          <w:color w:val="auto"/>
          <w:sz w:val="21"/>
          <w:szCs w:val="21"/>
          <w:lang w:val="uk-UA"/>
        </w:rPr>
        <w:t xml:space="preserve"> : Ленвіт, 2006. – 35 с.</w:t>
      </w:r>
      <w:bookmarkEnd w:id="654"/>
    </w:p>
    <w:p w:rsidR="00772FFF" w:rsidRDefault="00772FFF" w:rsidP="00772FFF">
      <w:pPr>
        <w:pStyle w:val="Default"/>
        <w:numPr>
          <w:ilvl w:val="0"/>
          <w:numId w:val="78"/>
        </w:numPr>
        <w:tabs>
          <w:tab w:val="left" w:pos="993"/>
        </w:tabs>
        <w:ind w:left="0" w:firstLine="709"/>
        <w:jc w:val="both"/>
        <w:rPr>
          <w:color w:val="auto"/>
          <w:sz w:val="21"/>
          <w:szCs w:val="21"/>
          <w:lang w:val="uk-UA"/>
        </w:rPr>
      </w:pPr>
      <w:bookmarkStart w:id="655" w:name="_Ref436216015"/>
      <w:r w:rsidRPr="008A05B6">
        <w:rPr>
          <w:sz w:val="21"/>
          <w:szCs w:val="21"/>
        </w:rPr>
        <w:t>Суспільство і цінності. Коледжі та університети у Сполучених Штатах [Електронний ресурс] / Державний департамент США. Бюро міжнародних інф</w:t>
      </w:r>
      <w:r>
        <w:rPr>
          <w:sz w:val="21"/>
          <w:szCs w:val="21"/>
        </w:rPr>
        <w:t xml:space="preserve">ормаційних програм. – Вашингтон </w:t>
      </w:r>
      <w:r w:rsidRPr="008A05B6">
        <w:rPr>
          <w:sz w:val="21"/>
          <w:szCs w:val="21"/>
        </w:rPr>
        <w:t>: ejournal, 2005. –</w:t>
      </w:r>
      <w:r>
        <w:rPr>
          <w:sz w:val="21"/>
          <w:szCs w:val="21"/>
        </w:rPr>
        <w:t xml:space="preserve"> Режим доступу </w:t>
      </w:r>
      <w:r w:rsidRPr="008A05B6">
        <w:rPr>
          <w:sz w:val="21"/>
          <w:szCs w:val="21"/>
        </w:rPr>
        <w:t>:</w:t>
      </w:r>
      <w:r>
        <w:rPr>
          <w:sz w:val="21"/>
          <w:szCs w:val="21"/>
        </w:rPr>
        <w:t xml:space="preserve"> </w:t>
      </w:r>
      <w:hyperlink w:history="1">
        <w:r w:rsidRPr="00772FFF">
          <w:rPr>
            <w:rStyle w:val="aff"/>
            <w:color w:val="auto"/>
            <w:sz w:val="21"/>
            <w:szCs w:val="21"/>
            <w:u w:val="none"/>
          </w:rPr>
          <w:t>http://usinfo.state.gov /pub/ejournalusa.htm</w:t>
        </w:r>
      </w:hyperlink>
      <w:r w:rsidRPr="00772FFF">
        <w:rPr>
          <w:color w:val="auto"/>
          <w:sz w:val="21"/>
          <w:szCs w:val="21"/>
        </w:rPr>
        <w:t>].</w:t>
      </w:r>
      <w:bookmarkEnd w:id="655"/>
    </w:p>
    <w:p w:rsidR="00FE5333" w:rsidRDefault="00FE5333" w:rsidP="00772FFF">
      <w:pPr>
        <w:pStyle w:val="Default"/>
        <w:numPr>
          <w:ilvl w:val="0"/>
          <w:numId w:val="78"/>
        </w:numPr>
        <w:tabs>
          <w:tab w:val="left" w:pos="993"/>
        </w:tabs>
        <w:ind w:left="0" w:firstLine="709"/>
        <w:jc w:val="both"/>
        <w:rPr>
          <w:color w:val="auto"/>
          <w:sz w:val="21"/>
          <w:szCs w:val="21"/>
          <w:lang w:val="uk-UA"/>
        </w:rPr>
      </w:pPr>
      <w:bookmarkStart w:id="656" w:name="_Ref436215565"/>
      <w:r w:rsidRPr="007E4829">
        <w:rPr>
          <w:color w:val="auto"/>
          <w:sz w:val="21"/>
          <w:szCs w:val="21"/>
          <w:lang w:val="uk-UA"/>
        </w:rPr>
        <w:t>Теоретичні засади моніторингу якості вищої природничої та інженерної освіти</w:t>
      </w:r>
      <w:r>
        <w:rPr>
          <w:color w:val="auto"/>
          <w:sz w:val="21"/>
          <w:szCs w:val="21"/>
          <w:lang w:val="uk-UA"/>
        </w:rPr>
        <w:t xml:space="preserve"> </w:t>
      </w:r>
      <w:r w:rsidRPr="007E4829">
        <w:rPr>
          <w:color w:val="auto"/>
          <w:sz w:val="21"/>
          <w:szCs w:val="21"/>
          <w:lang w:val="uk-UA"/>
        </w:rPr>
        <w:t xml:space="preserve">: монографія / </w:t>
      </w:r>
      <w:r>
        <w:rPr>
          <w:color w:val="auto"/>
          <w:sz w:val="21"/>
          <w:szCs w:val="21"/>
          <w:lang w:val="uk-UA"/>
        </w:rPr>
        <w:t>[</w:t>
      </w:r>
      <w:r w:rsidRPr="007E4829">
        <w:rPr>
          <w:color w:val="auto"/>
          <w:sz w:val="21"/>
          <w:szCs w:val="21"/>
          <w:lang w:val="uk-UA"/>
        </w:rPr>
        <w:t>К.</w:t>
      </w:r>
      <w:r>
        <w:rPr>
          <w:color w:val="auto"/>
          <w:sz w:val="21"/>
          <w:szCs w:val="21"/>
          <w:lang w:val="uk-UA"/>
        </w:rPr>
        <w:t xml:space="preserve"> </w:t>
      </w:r>
      <w:r w:rsidRPr="007E4829">
        <w:rPr>
          <w:color w:val="auto"/>
          <w:sz w:val="21"/>
          <w:szCs w:val="21"/>
          <w:lang w:val="uk-UA"/>
        </w:rPr>
        <w:t>В. Корсак, Ю.</w:t>
      </w:r>
      <w:r>
        <w:rPr>
          <w:color w:val="auto"/>
          <w:sz w:val="21"/>
          <w:szCs w:val="21"/>
          <w:lang w:val="uk-UA"/>
        </w:rPr>
        <w:t xml:space="preserve"> К. Корсак, З. Є. Тарутіна, А. К. Похресник </w:t>
      </w:r>
      <w:r w:rsidRPr="007E4829">
        <w:rPr>
          <w:color w:val="auto"/>
          <w:sz w:val="21"/>
          <w:szCs w:val="21"/>
          <w:lang w:val="uk-UA"/>
        </w:rPr>
        <w:t>та ін.</w:t>
      </w:r>
      <w:r>
        <w:rPr>
          <w:color w:val="auto"/>
          <w:sz w:val="21"/>
          <w:szCs w:val="21"/>
          <w:lang w:val="uk-UA"/>
        </w:rPr>
        <w:t xml:space="preserve">]. </w:t>
      </w:r>
      <w:r w:rsidRPr="007E4829">
        <w:rPr>
          <w:color w:val="auto"/>
          <w:sz w:val="21"/>
          <w:szCs w:val="21"/>
          <w:lang w:val="uk-UA"/>
        </w:rPr>
        <w:t xml:space="preserve">– </w:t>
      </w:r>
      <w:r w:rsidRPr="00FE5333">
        <w:rPr>
          <w:color w:val="auto"/>
          <w:sz w:val="21"/>
          <w:szCs w:val="21"/>
          <w:lang w:val="uk-UA"/>
        </w:rPr>
        <w:t>К.</w:t>
      </w:r>
      <w:r>
        <w:rPr>
          <w:color w:val="auto"/>
          <w:sz w:val="21"/>
          <w:szCs w:val="21"/>
          <w:lang w:val="uk-UA"/>
        </w:rPr>
        <w:t xml:space="preserve"> </w:t>
      </w:r>
      <w:r w:rsidRPr="00FE5333">
        <w:rPr>
          <w:color w:val="auto"/>
          <w:sz w:val="21"/>
          <w:szCs w:val="21"/>
          <w:lang w:val="uk-UA"/>
        </w:rPr>
        <w:t>: Педагогічна думка, 2012. – 208 с.</w:t>
      </w:r>
      <w:bookmarkEnd w:id="656"/>
      <w:r w:rsidRPr="00FE5333">
        <w:rPr>
          <w:color w:val="auto"/>
          <w:sz w:val="21"/>
          <w:szCs w:val="21"/>
          <w:lang w:val="uk-UA"/>
        </w:rPr>
        <w:t xml:space="preserve"> </w:t>
      </w:r>
    </w:p>
    <w:p w:rsidR="005B0F7B" w:rsidRPr="005B0F7B" w:rsidRDefault="005B0F7B" w:rsidP="00772FFF">
      <w:pPr>
        <w:pStyle w:val="Default"/>
        <w:numPr>
          <w:ilvl w:val="0"/>
          <w:numId w:val="78"/>
        </w:numPr>
        <w:tabs>
          <w:tab w:val="left" w:pos="993"/>
        </w:tabs>
        <w:ind w:left="0" w:firstLine="709"/>
        <w:jc w:val="both"/>
        <w:rPr>
          <w:rFonts w:eastAsia="Times New Roman"/>
          <w:color w:val="auto"/>
          <w:sz w:val="21"/>
          <w:szCs w:val="21"/>
          <w:lang w:val="uk-UA"/>
        </w:rPr>
      </w:pPr>
      <w:bookmarkStart w:id="657" w:name="_Ref436215650"/>
      <w:r w:rsidRPr="002A5FB4">
        <w:rPr>
          <w:color w:val="auto"/>
          <w:sz w:val="21"/>
          <w:szCs w:val="21"/>
        </w:rPr>
        <w:t>Токман</w:t>
      </w:r>
      <w:r>
        <w:rPr>
          <w:color w:val="auto"/>
          <w:sz w:val="21"/>
          <w:szCs w:val="21"/>
        </w:rPr>
        <w:t xml:space="preserve"> А.</w:t>
      </w:r>
      <w:r>
        <w:rPr>
          <w:color w:val="auto"/>
          <w:sz w:val="21"/>
          <w:szCs w:val="21"/>
          <w:lang w:val="uk-UA"/>
        </w:rPr>
        <w:t xml:space="preserve"> </w:t>
      </w:r>
      <w:r w:rsidRPr="002A5FB4">
        <w:rPr>
          <w:color w:val="auto"/>
          <w:sz w:val="21"/>
          <w:szCs w:val="21"/>
        </w:rPr>
        <w:t>Сутність і структура поняття «якість освіти у ВНЗ» в педагогічній літературі / А.</w:t>
      </w:r>
      <w:r>
        <w:rPr>
          <w:color w:val="auto"/>
          <w:sz w:val="21"/>
          <w:szCs w:val="21"/>
          <w:lang w:val="uk-UA"/>
        </w:rPr>
        <w:t xml:space="preserve"> </w:t>
      </w:r>
      <w:r w:rsidRPr="002A5FB4">
        <w:rPr>
          <w:color w:val="auto"/>
          <w:sz w:val="21"/>
          <w:szCs w:val="21"/>
        </w:rPr>
        <w:t>Токман, І.</w:t>
      </w:r>
      <w:r>
        <w:rPr>
          <w:color w:val="auto"/>
          <w:sz w:val="21"/>
          <w:szCs w:val="21"/>
          <w:lang w:val="uk-UA"/>
        </w:rPr>
        <w:t xml:space="preserve"> </w:t>
      </w:r>
      <w:r w:rsidRPr="002A5FB4">
        <w:rPr>
          <w:color w:val="auto"/>
          <w:sz w:val="21"/>
          <w:szCs w:val="21"/>
        </w:rPr>
        <w:t>Распошнюк // Освіта на Луганщині. – 2013.– № 1. – C. 25–29</w:t>
      </w:r>
      <w:r>
        <w:rPr>
          <w:color w:val="auto"/>
          <w:sz w:val="21"/>
          <w:szCs w:val="21"/>
          <w:lang w:val="uk-UA"/>
        </w:rPr>
        <w:t>.</w:t>
      </w:r>
      <w:bookmarkEnd w:id="657"/>
    </w:p>
    <w:p w:rsidR="00772FFF" w:rsidRDefault="00772FFF" w:rsidP="00772FFF">
      <w:pPr>
        <w:pStyle w:val="Default"/>
        <w:numPr>
          <w:ilvl w:val="0"/>
          <w:numId w:val="78"/>
        </w:numPr>
        <w:tabs>
          <w:tab w:val="left" w:pos="993"/>
        </w:tabs>
        <w:ind w:left="0" w:firstLine="709"/>
        <w:jc w:val="both"/>
        <w:rPr>
          <w:rFonts w:eastAsia="Times New Roman"/>
          <w:color w:val="auto"/>
          <w:sz w:val="21"/>
          <w:szCs w:val="21"/>
          <w:lang w:val="uk-UA"/>
        </w:rPr>
      </w:pPr>
      <w:bookmarkStart w:id="658" w:name="_Ref436216089"/>
      <w:r w:rsidRPr="008A05B6">
        <w:rPr>
          <w:sz w:val="21"/>
          <w:szCs w:val="21"/>
        </w:rPr>
        <w:t>Ук</w:t>
      </w:r>
      <w:r>
        <w:rPr>
          <w:sz w:val="21"/>
          <w:szCs w:val="21"/>
        </w:rPr>
        <w:t xml:space="preserve">раїнська радянська енциклопедія </w:t>
      </w:r>
      <w:r w:rsidRPr="008A05B6">
        <w:rPr>
          <w:sz w:val="21"/>
          <w:szCs w:val="21"/>
        </w:rPr>
        <w:t xml:space="preserve">: в 12 т. / [за ред. </w:t>
      </w:r>
      <w:r>
        <w:rPr>
          <w:sz w:val="21"/>
          <w:szCs w:val="21"/>
        </w:rPr>
        <w:t xml:space="preserve">М. Бажана]. – [2-е вид.]. – К. </w:t>
      </w:r>
      <w:r w:rsidRPr="008A05B6">
        <w:rPr>
          <w:sz w:val="21"/>
          <w:szCs w:val="21"/>
        </w:rPr>
        <w:t>: Головна редакція української радянсько</w:t>
      </w:r>
      <w:r>
        <w:rPr>
          <w:sz w:val="21"/>
          <w:szCs w:val="21"/>
        </w:rPr>
        <w:t xml:space="preserve">ї енциклопедії, 1977–1985. – Т. </w:t>
      </w:r>
      <w:r w:rsidRPr="008A05B6">
        <w:rPr>
          <w:sz w:val="21"/>
          <w:szCs w:val="21"/>
        </w:rPr>
        <w:t>1. – 1977. – 544 с.</w:t>
      </w:r>
      <w:bookmarkEnd w:id="658"/>
    </w:p>
    <w:p w:rsidR="00FE5333" w:rsidRPr="002A5FB4" w:rsidRDefault="00FE5333" w:rsidP="00772FFF">
      <w:pPr>
        <w:pStyle w:val="Default"/>
        <w:numPr>
          <w:ilvl w:val="0"/>
          <w:numId w:val="78"/>
        </w:numPr>
        <w:tabs>
          <w:tab w:val="left" w:pos="993"/>
        </w:tabs>
        <w:ind w:left="0" w:firstLine="709"/>
        <w:jc w:val="both"/>
        <w:rPr>
          <w:rFonts w:eastAsia="Times New Roman"/>
          <w:color w:val="auto"/>
          <w:sz w:val="21"/>
          <w:szCs w:val="21"/>
          <w:lang w:val="uk-UA"/>
        </w:rPr>
      </w:pPr>
      <w:bookmarkStart w:id="659" w:name="_Ref436215570"/>
      <w:r w:rsidRPr="007E4829">
        <w:rPr>
          <w:rFonts w:eastAsia="Times New Roman"/>
          <w:color w:val="auto"/>
          <w:sz w:val="21"/>
          <w:szCs w:val="21"/>
          <w:lang w:val="uk-UA"/>
        </w:rPr>
        <w:t>Філософсько-методологічні засади підвищення якості вищої освіти України</w:t>
      </w:r>
      <w:r>
        <w:rPr>
          <w:rFonts w:eastAsia="Times New Roman"/>
          <w:color w:val="auto"/>
          <w:sz w:val="21"/>
          <w:szCs w:val="21"/>
          <w:lang w:val="uk-UA"/>
        </w:rPr>
        <w:t xml:space="preserve"> </w:t>
      </w:r>
      <w:r w:rsidRPr="007E4829">
        <w:rPr>
          <w:rFonts w:eastAsia="Times New Roman"/>
          <w:color w:val="auto"/>
          <w:sz w:val="21"/>
          <w:szCs w:val="21"/>
          <w:lang w:val="uk-UA"/>
        </w:rPr>
        <w:t>: європейський вимір</w:t>
      </w:r>
      <w:r>
        <w:rPr>
          <w:rFonts w:eastAsia="Times New Roman"/>
          <w:color w:val="auto"/>
          <w:sz w:val="21"/>
          <w:szCs w:val="21"/>
          <w:lang w:val="uk-UA"/>
        </w:rPr>
        <w:t xml:space="preserve"> </w:t>
      </w:r>
      <w:r w:rsidRPr="007E4829">
        <w:rPr>
          <w:rFonts w:eastAsia="Times New Roman"/>
          <w:color w:val="auto"/>
          <w:sz w:val="21"/>
          <w:szCs w:val="21"/>
          <w:lang w:val="uk-UA"/>
        </w:rPr>
        <w:t>: монографія / [</w:t>
      </w:r>
      <w:r>
        <w:rPr>
          <w:rFonts w:eastAsia="Times New Roman"/>
          <w:color w:val="auto"/>
          <w:sz w:val="21"/>
          <w:szCs w:val="21"/>
          <w:lang w:val="uk-UA"/>
        </w:rPr>
        <w:t>В. </w:t>
      </w:r>
      <w:r w:rsidRPr="007E4829">
        <w:rPr>
          <w:rFonts w:eastAsia="Times New Roman"/>
          <w:color w:val="auto"/>
          <w:sz w:val="21"/>
          <w:szCs w:val="21"/>
          <w:lang w:val="uk-UA"/>
        </w:rPr>
        <w:t>Андрущенко (керівник)</w:t>
      </w:r>
      <w:r>
        <w:rPr>
          <w:rFonts w:eastAsia="Times New Roman"/>
          <w:color w:val="auto"/>
          <w:sz w:val="21"/>
          <w:szCs w:val="21"/>
          <w:lang w:val="uk-UA"/>
        </w:rPr>
        <w:t>, М. Бойченко, Л. Горбунова, І. </w:t>
      </w:r>
      <w:r w:rsidRPr="007E4829">
        <w:rPr>
          <w:rFonts w:eastAsia="Times New Roman"/>
          <w:color w:val="auto"/>
          <w:sz w:val="21"/>
          <w:szCs w:val="21"/>
          <w:lang w:val="uk-UA"/>
        </w:rPr>
        <w:t>Надольний та ін.] – К. : Педагогічна думка, 2012. – 220 с.</w:t>
      </w:r>
      <w:bookmarkEnd w:id="659"/>
      <w:r>
        <w:rPr>
          <w:rFonts w:eastAsia="Times New Roman"/>
          <w:color w:val="auto"/>
          <w:sz w:val="21"/>
          <w:szCs w:val="21"/>
          <w:lang w:val="uk-UA"/>
        </w:rPr>
        <w:t xml:space="preserve"> </w:t>
      </w:r>
      <w:r w:rsidRPr="007E4829">
        <w:rPr>
          <w:rFonts w:eastAsia="Times New Roman"/>
          <w:color w:val="auto"/>
          <w:sz w:val="21"/>
          <w:szCs w:val="21"/>
          <w:lang w:val="uk-UA"/>
        </w:rPr>
        <w:t xml:space="preserve"> </w:t>
      </w:r>
    </w:p>
    <w:p w:rsidR="00FE5333" w:rsidRDefault="005B0F7B" w:rsidP="00772FFF">
      <w:pPr>
        <w:pStyle w:val="Default"/>
        <w:numPr>
          <w:ilvl w:val="0"/>
          <w:numId w:val="78"/>
        </w:numPr>
        <w:tabs>
          <w:tab w:val="left" w:pos="993"/>
        </w:tabs>
        <w:ind w:left="0" w:firstLine="709"/>
        <w:jc w:val="both"/>
        <w:rPr>
          <w:rFonts w:eastAsia="Times New Roman"/>
          <w:color w:val="auto"/>
          <w:sz w:val="21"/>
          <w:szCs w:val="21"/>
          <w:lang w:val="uk-UA"/>
        </w:rPr>
      </w:pPr>
      <w:bookmarkStart w:id="660" w:name="_Ref436215656"/>
      <w:r w:rsidRPr="005B0F7B">
        <w:rPr>
          <w:rFonts w:eastAsia="Times New Roman"/>
          <w:color w:val="auto"/>
          <w:sz w:val="21"/>
          <w:szCs w:val="21"/>
          <w:lang w:val="uk-UA"/>
        </w:rPr>
        <w:t>Хлєбнікова Т. Кваліметричний підхід до вивчення якості вищої освіти</w:t>
      </w:r>
      <w:r>
        <w:rPr>
          <w:rFonts w:eastAsia="Times New Roman"/>
          <w:color w:val="auto"/>
          <w:sz w:val="21"/>
          <w:szCs w:val="21"/>
          <w:lang w:val="uk-UA"/>
        </w:rPr>
        <w:t xml:space="preserve"> </w:t>
      </w:r>
      <w:r w:rsidRPr="005B0F7B">
        <w:rPr>
          <w:rFonts w:eastAsia="Times New Roman"/>
          <w:color w:val="auto"/>
          <w:sz w:val="21"/>
          <w:szCs w:val="21"/>
          <w:lang w:val="uk-UA"/>
        </w:rPr>
        <w:t>[Електронний ресурс]</w:t>
      </w:r>
      <w:r>
        <w:rPr>
          <w:rFonts w:eastAsia="Times New Roman"/>
          <w:color w:val="auto"/>
          <w:sz w:val="21"/>
          <w:szCs w:val="21"/>
          <w:lang w:val="uk-UA"/>
        </w:rPr>
        <w:t xml:space="preserve"> / Т. Хлєбнікова.</w:t>
      </w:r>
      <w:r w:rsidRPr="005B0F7B">
        <w:rPr>
          <w:rFonts w:eastAsia="Times New Roman"/>
          <w:color w:val="auto"/>
          <w:sz w:val="21"/>
          <w:szCs w:val="21"/>
          <w:lang w:val="uk-UA"/>
        </w:rPr>
        <w:t xml:space="preserve"> –</w:t>
      </w:r>
      <w:r>
        <w:rPr>
          <w:rFonts w:eastAsia="Times New Roman"/>
          <w:color w:val="auto"/>
          <w:sz w:val="21"/>
          <w:szCs w:val="21"/>
          <w:lang w:val="uk-UA"/>
        </w:rPr>
        <w:t xml:space="preserve"> </w:t>
      </w:r>
      <w:r w:rsidRPr="005B0F7B">
        <w:rPr>
          <w:rFonts w:eastAsia="Times New Roman"/>
          <w:color w:val="auto"/>
          <w:sz w:val="21"/>
          <w:szCs w:val="21"/>
          <w:lang w:val="uk-UA"/>
        </w:rPr>
        <w:t>Режим доступу</w:t>
      </w:r>
      <w:r>
        <w:rPr>
          <w:rFonts w:eastAsia="Times New Roman"/>
          <w:color w:val="auto"/>
          <w:sz w:val="21"/>
          <w:szCs w:val="21"/>
          <w:lang w:val="uk-UA"/>
        </w:rPr>
        <w:t xml:space="preserve"> </w:t>
      </w:r>
      <w:r w:rsidRPr="005B0F7B">
        <w:rPr>
          <w:rFonts w:eastAsia="Times New Roman"/>
          <w:color w:val="auto"/>
          <w:sz w:val="21"/>
          <w:szCs w:val="21"/>
          <w:lang w:val="uk-UA"/>
        </w:rPr>
        <w:t xml:space="preserve">: </w:t>
      </w:r>
      <w:r w:rsidRPr="002A5FB4">
        <w:rPr>
          <w:rFonts w:eastAsia="Times New Roman"/>
          <w:color w:val="auto"/>
          <w:sz w:val="21"/>
          <w:szCs w:val="21"/>
        </w:rPr>
        <w:t>http</w:t>
      </w:r>
      <w:r w:rsidRPr="005B0F7B">
        <w:rPr>
          <w:rFonts w:eastAsia="Times New Roman"/>
          <w:color w:val="auto"/>
          <w:sz w:val="21"/>
          <w:szCs w:val="21"/>
          <w:lang w:val="uk-UA"/>
        </w:rPr>
        <w:t>://</w:t>
      </w:r>
      <w:r w:rsidRPr="002A5FB4">
        <w:rPr>
          <w:rFonts w:eastAsia="Times New Roman"/>
          <w:color w:val="auto"/>
          <w:sz w:val="21"/>
          <w:szCs w:val="21"/>
        </w:rPr>
        <w:t>tme</w:t>
      </w:r>
      <w:r w:rsidRPr="005B0F7B">
        <w:rPr>
          <w:rFonts w:eastAsia="Times New Roman"/>
          <w:color w:val="auto"/>
          <w:sz w:val="21"/>
          <w:szCs w:val="21"/>
          <w:lang w:val="uk-UA"/>
        </w:rPr>
        <w:t>.</w:t>
      </w:r>
      <w:r w:rsidRPr="002A5FB4">
        <w:rPr>
          <w:rFonts w:eastAsia="Times New Roman"/>
          <w:color w:val="auto"/>
          <w:sz w:val="21"/>
          <w:szCs w:val="21"/>
        </w:rPr>
        <w:t>umo</w:t>
      </w:r>
      <w:r w:rsidRPr="005B0F7B">
        <w:rPr>
          <w:rFonts w:eastAsia="Times New Roman"/>
          <w:color w:val="auto"/>
          <w:sz w:val="21"/>
          <w:szCs w:val="21"/>
          <w:lang w:val="uk-UA"/>
        </w:rPr>
        <w:t>.</w:t>
      </w:r>
      <w:r w:rsidRPr="002A5FB4">
        <w:rPr>
          <w:rFonts w:eastAsia="Times New Roman"/>
          <w:color w:val="auto"/>
          <w:sz w:val="21"/>
          <w:szCs w:val="21"/>
        </w:rPr>
        <w:t>edu</w:t>
      </w:r>
      <w:r w:rsidRPr="005B0F7B">
        <w:rPr>
          <w:rFonts w:eastAsia="Times New Roman"/>
          <w:color w:val="auto"/>
          <w:sz w:val="21"/>
          <w:szCs w:val="21"/>
          <w:lang w:val="uk-UA"/>
        </w:rPr>
        <w:t>.</w:t>
      </w:r>
      <w:r w:rsidRPr="002A5FB4">
        <w:rPr>
          <w:rFonts w:eastAsia="Times New Roman"/>
          <w:color w:val="auto"/>
          <w:sz w:val="21"/>
          <w:szCs w:val="21"/>
        </w:rPr>
        <w:t>ua</w:t>
      </w:r>
      <w:r w:rsidRPr="005B0F7B">
        <w:rPr>
          <w:rFonts w:eastAsia="Times New Roman"/>
          <w:color w:val="auto"/>
          <w:sz w:val="21"/>
          <w:szCs w:val="21"/>
          <w:lang w:val="uk-UA"/>
        </w:rPr>
        <w:t>/</w:t>
      </w:r>
      <w:r w:rsidRPr="002A5FB4">
        <w:rPr>
          <w:rFonts w:eastAsia="Times New Roman"/>
          <w:color w:val="auto"/>
          <w:sz w:val="21"/>
          <w:szCs w:val="21"/>
        </w:rPr>
        <w:t>docs</w:t>
      </w:r>
      <w:r w:rsidRPr="005B0F7B">
        <w:rPr>
          <w:rFonts w:eastAsia="Times New Roman"/>
          <w:color w:val="auto"/>
          <w:sz w:val="21"/>
          <w:szCs w:val="21"/>
          <w:lang w:val="uk-UA"/>
        </w:rPr>
        <w:t>/5/11</w:t>
      </w:r>
      <w:r w:rsidRPr="002A5FB4">
        <w:rPr>
          <w:rFonts w:eastAsia="Times New Roman"/>
          <w:color w:val="auto"/>
          <w:sz w:val="21"/>
          <w:szCs w:val="21"/>
        </w:rPr>
        <w:t>hleqhe</w:t>
      </w:r>
      <w:r w:rsidRPr="005B0F7B">
        <w:rPr>
          <w:rFonts w:eastAsia="Times New Roman"/>
          <w:color w:val="auto"/>
          <w:sz w:val="21"/>
          <w:szCs w:val="21"/>
          <w:lang w:val="uk-UA"/>
        </w:rPr>
        <w:t>.</w:t>
      </w:r>
      <w:r w:rsidRPr="002A5FB4">
        <w:rPr>
          <w:rFonts w:eastAsia="Times New Roman"/>
          <w:color w:val="auto"/>
          <w:sz w:val="21"/>
          <w:szCs w:val="21"/>
        </w:rPr>
        <w:t>pdf</w:t>
      </w:r>
      <w:r w:rsidRPr="005B0F7B">
        <w:rPr>
          <w:rFonts w:eastAsia="Times New Roman"/>
          <w:color w:val="auto"/>
          <w:sz w:val="21"/>
          <w:szCs w:val="21"/>
          <w:lang w:val="uk-UA"/>
        </w:rPr>
        <w:t>.</w:t>
      </w:r>
      <w:bookmarkEnd w:id="660"/>
    </w:p>
    <w:p w:rsidR="00772FFF" w:rsidRPr="00772FFF" w:rsidRDefault="00772FFF" w:rsidP="00772FFF">
      <w:pPr>
        <w:pStyle w:val="ad"/>
        <w:numPr>
          <w:ilvl w:val="0"/>
          <w:numId w:val="78"/>
        </w:numPr>
        <w:tabs>
          <w:tab w:val="left" w:pos="993"/>
        </w:tabs>
        <w:ind w:left="0" w:firstLine="709"/>
        <w:jc w:val="both"/>
        <w:rPr>
          <w:rFonts w:ascii="Times New Roman" w:hAnsi="Times New Roman" w:cs="Times New Roman"/>
          <w:sz w:val="21"/>
          <w:szCs w:val="21"/>
        </w:rPr>
      </w:pPr>
      <w:bookmarkStart w:id="661" w:name="_Ref436215954"/>
      <w:r w:rsidRPr="00772FFF">
        <w:rPr>
          <w:rFonts w:ascii="Times New Roman" w:hAnsi="Times New Roman" w:cs="Times New Roman"/>
          <w:sz w:val="21"/>
          <w:szCs w:val="21"/>
        </w:rPr>
        <w:t>Шевальє Т. Фінансування вищої освіти : десять років змін / Т. Шевальє, Е. Жак-Клод // Вища школа. – 2005. – № 2. – С. 86–94.</w:t>
      </w:r>
      <w:bookmarkEnd w:id="661"/>
    </w:p>
    <w:p w:rsidR="00FE5333" w:rsidRPr="00772FFF" w:rsidRDefault="00772FFF" w:rsidP="00772FFF">
      <w:pPr>
        <w:pStyle w:val="Default"/>
        <w:numPr>
          <w:ilvl w:val="0"/>
          <w:numId w:val="78"/>
        </w:numPr>
        <w:tabs>
          <w:tab w:val="left" w:pos="993"/>
        </w:tabs>
        <w:ind w:left="0" w:firstLine="709"/>
        <w:jc w:val="both"/>
        <w:rPr>
          <w:rFonts w:eastAsia="Times New Roman"/>
          <w:color w:val="auto"/>
          <w:sz w:val="21"/>
          <w:szCs w:val="21"/>
          <w:lang w:val="uk-UA"/>
        </w:rPr>
      </w:pPr>
      <w:bookmarkStart w:id="662" w:name="_Ref436216229"/>
      <w:r w:rsidRPr="00772FFF">
        <w:rPr>
          <w:sz w:val="21"/>
          <w:szCs w:val="21"/>
          <w:lang w:val="uk-UA"/>
        </w:rPr>
        <w:t>Шумар Н. А. Умови фінансування освіти / Н.</w:t>
      </w:r>
      <w:r w:rsidRPr="008A05B6">
        <w:rPr>
          <w:sz w:val="21"/>
          <w:szCs w:val="21"/>
        </w:rPr>
        <w:t> </w:t>
      </w:r>
      <w:r w:rsidRPr="00772FFF">
        <w:rPr>
          <w:sz w:val="21"/>
          <w:szCs w:val="21"/>
          <w:lang w:val="uk-UA"/>
        </w:rPr>
        <w:t>А.</w:t>
      </w:r>
      <w:r w:rsidRPr="008A05B6">
        <w:rPr>
          <w:sz w:val="21"/>
          <w:szCs w:val="21"/>
        </w:rPr>
        <w:t> </w:t>
      </w:r>
      <w:r w:rsidRPr="00772FFF">
        <w:rPr>
          <w:sz w:val="21"/>
          <w:szCs w:val="21"/>
          <w:lang w:val="uk-UA"/>
        </w:rPr>
        <w:t>Шумар // Інвестиції : практика та досвід. – 2007. – №</w:t>
      </w:r>
      <w:r w:rsidRPr="008A05B6">
        <w:rPr>
          <w:sz w:val="21"/>
          <w:szCs w:val="21"/>
        </w:rPr>
        <w:t> </w:t>
      </w:r>
      <w:r w:rsidRPr="00772FFF">
        <w:rPr>
          <w:sz w:val="21"/>
          <w:szCs w:val="21"/>
          <w:lang w:val="uk-UA"/>
        </w:rPr>
        <w:t>18. – С.</w:t>
      </w:r>
      <w:r w:rsidRPr="008A05B6">
        <w:rPr>
          <w:sz w:val="21"/>
          <w:szCs w:val="21"/>
        </w:rPr>
        <w:t> </w:t>
      </w:r>
      <w:r w:rsidRPr="00772FFF">
        <w:rPr>
          <w:sz w:val="21"/>
          <w:szCs w:val="21"/>
          <w:lang w:val="uk-UA"/>
        </w:rPr>
        <w:t>32–36.</w:t>
      </w:r>
      <w:bookmarkEnd w:id="662"/>
    </w:p>
    <w:p w:rsidR="00E95ECA" w:rsidRPr="00772FFF" w:rsidRDefault="00E95ECA" w:rsidP="00772FFF">
      <w:pPr>
        <w:pStyle w:val="ad"/>
        <w:numPr>
          <w:ilvl w:val="0"/>
          <w:numId w:val="78"/>
        </w:numPr>
        <w:tabs>
          <w:tab w:val="left" w:pos="993"/>
        </w:tabs>
        <w:ind w:left="0" w:firstLine="709"/>
        <w:jc w:val="both"/>
        <w:rPr>
          <w:rFonts w:ascii="Times New Roman" w:hAnsi="Times New Roman" w:cs="Times New Roman"/>
          <w:sz w:val="21"/>
          <w:szCs w:val="21"/>
        </w:rPr>
      </w:pPr>
      <w:bookmarkStart w:id="663" w:name="_Ref436215827"/>
      <w:r w:rsidRPr="00772FFF">
        <w:rPr>
          <w:rFonts w:ascii="Times New Roman" w:hAnsi="Times New Roman" w:cs="Times New Roman"/>
          <w:sz w:val="21"/>
          <w:szCs w:val="21"/>
        </w:rPr>
        <w:t xml:space="preserve">Экономика и управление материально-технической базой </w:t>
      </w:r>
      <w:r w:rsidR="00772FFF" w:rsidRPr="00772FFF">
        <w:rPr>
          <w:rFonts w:ascii="Times New Roman" w:hAnsi="Times New Roman" w:cs="Times New Roman"/>
          <w:sz w:val="21"/>
          <w:szCs w:val="21"/>
        </w:rPr>
        <w:t>высших учебных заведений / В. А. Жамин</w:t>
      </w:r>
      <w:r w:rsidRPr="00772FFF">
        <w:rPr>
          <w:rFonts w:ascii="Times New Roman" w:hAnsi="Times New Roman" w:cs="Times New Roman"/>
          <w:sz w:val="21"/>
          <w:szCs w:val="21"/>
        </w:rPr>
        <w:t xml:space="preserve">, </w:t>
      </w:r>
      <w:r w:rsidR="00772FFF" w:rsidRPr="00772FFF">
        <w:rPr>
          <w:rFonts w:ascii="Times New Roman" w:hAnsi="Times New Roman" w:cs="Times New Roman"/>
          <w:sz w:val="21"/>
          <w:szCs w:val="21"/>
        </w:rPr>
        <w:t>Д. И. Чупрунов</w:t>
      </w:r>
      <w:r w:rsidRPr="00772FFF">
        <w:rPr>
          <w:rFonts w:ascii="Times New Roman" w:hAnsi="Times New Roman" w:cs="Times New Roman"/>
          <w:sz w:val="21"/>
          <w:szCs w:val="21"/>
        </w:rPr>
        <w:t xml:space="preserve">, </w:t>
      </w:r>
      <w:r w:rsidR="00772FFF" w:rsidRPr="00772FFF">
        <w:rPr>
          <w:rFonts w:ascii="Times New Roman" w:hAnsi="Times New Roman" w:cs="Times New Roman"/>
          <w:sz w:val="21"/>
          <w:szCs w:val="21"/>
        </w:rPr>
        <w:t>А. М. Бабич</w:t>
      </w:r>
      <w:r w:rsidRPr="00772FFF">
        <w:rPr>
          <w:rFonts w:ascii="Times New Roman" w:hAnsi="Times New Roman" w:cs="Times New Roman"/>
          <w:sz w:val="21"/>
          <w:szCs w:val="21"/>
        </w:rPr>
        <w:t xml:space="preserve">, </w:t>
      </w:r>
      <w:r w:rsidR="00772FFF" w:rsidRPr="00772FFF">
        <w:rPr>
          <w:rFonts w:ascii="Times New Roman" w:hAnsi="Times New Roman" w:cs="Times New Roman"/>
          <w:sz w:val="21"/>
          <w:szCs w:val="21"/>
        </w:rPr>
        <w:t xml:space="preserve">А. П. Фетодов. – М. : Высшая шк., 1978. – 239 </w:t>
      </w:r>
      <w:r w:rsidRPr="00772FFF">
        <w:rPr>
          <w:rFonts w:ascii="Times New Roman" w:hAnsi="Times New Roman" w:cs="Times New Roman"/>
          <w:sz w:val="21"/>
          <w:szCs w:val="21"/>
        </w:rPr>
        <w:t>с.</w:t>
      </w:r>
      <w:bookmarkEnd w:id="663"/>
    </w:p>
    <w:p w:rsidR="00826DB3" w:rsidRPr="00901632" w:rsidRDefault="00E95ECA" w:rsidP="00901632">
      <w:pPr>
        <w:pStyle w:val="ad"/>
        <w:numPr>
          <w:ilvl w:val="0"/>
          <w:numId w:val="78"/>
        </w:numPr>
        <w:tabs>
          <w:tab w:val="left" w:pos="0"/>
          <w:tab w:val="left" w:pos="180"/>
          <w:tab w:val="left" w:pos="993"/>
          <w:tab w:val="left" w:pos="1134"/>
        </w:tabs>
        <w:ind w:left="0" w:firstLine="709"/>
        <w:jc w:val="both"/>
        <w:rPr>
          <w:rFonts w:ascii="Times New Roman" w:hAnsi="Times New Roman" w:cs="Times New Roman"/>
          <w:sz w:val="21"/>
          <w:szCs w:val="21"/>
        </w:rPr>
      </w:pPr>
      <w:bookmarkStart w:id="664" w:name="_Ref436215924"/>
      <w:r w:rsidRPr="00901632">
        <w:rPr>
          <w:rFonts w:ascii="Times New Roman" w:hAnsi="Times New Roman" w:cs="Times New Roman"/>
          <w:sz w:val="21"/>
          <w:szCs w:val="21"/>
        </w:rPr>
        <w:t>Экономические проблемы высшего образования в стра</w:t>
      </w:r>
      <w:r w:rsidR="00772FFF" w:rsidRPr="00901632">
        <w:rPr>
          <w:rFonts w:ascii="Times New Roman" w:hAnsi="Times New Roman" w:cs="Times New Roman"/>
          <w:sz w:val="21"/>
          <w:szCs w:val="21"/>
        </w:rPr>
        <w:t xml:space="preserve">нах Западной Европы (90-е годы) </w:t>
      </w:r>
      <w:r w:rsidRPr="00901632">
        <w:rPr>
          <w:rFonts w:ascii="Times New Roman" w:hAnsi="Times New Roman" w:cs="Times New Roman"/>
          <w:sz w:val="21"/>
          <w:szCs w:val="21"/>
        </w:rPr>
        <w:t>: сборник обзоров / [отв. ред. и сост. С. Л. За</w:t>
      </w:r>
      <w:r w:rsidR="00772FFF" w:rsidRPr="00901632">
        <w:rPr>
          <w:rFonts w:ascii="Times New Roman" w:hAnsi="Times New Roman" w:cs="Times New Roman"/>
          <w:sz w:val="21"/>
          <w:szCs w:val="21"/>
        </w:rPr>
        <w:t>рецкая, Л. Д. Капранова]</w:t>
      </w:r>
      <w:r w:rsidRPr="00901632">
        <w:rPr>
          <w:rFonts w:ascii="Times New Roman" w:hAnsi="Times New Roman" w:cs="Times New Roman"/>
          <w:sz w:val="21"/>
          <w:szCs w:val="21"/>
        </w:rPr>
        <w:t>. – М.</w:t>
      </w:r>
      <w:r w:rsidR="00772FFF" w:rsidRPr="00901632">
        <w:rPr>
          <w:rFonts w:ascii="Times New Roman" w:hAnsi="Times New Roman" w:cs="Times New Roman"/>
          <w:sz w:val="21"/>
          <w:szCs w:val="21"/>
        </w:rPr>
        <w:t xml:space="preserve"> </w:t>
      </w:r>
      <w:r w:rsidRPr="00901632">
        <w:rPr>
          <w:rFonts w:ascii="Times New Roman" w:hAnsi="Times New Roman" w:cs="Times New Roman"/>
          <w:sz w:val="21"/>
          <w:szCs w:val="21"/>
        </w:rPr>
        <w:t>: РАН ИНИОН, 1999. – 132 с.</w:t>
      </w:r>
      <w:bookmarkEnd w:id="664"/>
      <w:r w:rsidR="00826DB3" w:rsidRPr="00901632">
        <w:rPr>
          <w:rFonts w:ascii="Times New Roman" w:hAnsi="Times New Roman" w:cs="Times New Roman"/>
          <w:sz w:val="21"/>
          <w:szCs w:val="21"/>
        </w:rPr>
        <w:br w:type="page"/>
      </w:r>
    </w:p>
    <w:p w:rsidR="00826DB3" w:rsidRDefault="00826DB3" w:rsidP="00826DB3">
      <w:pPr>
        <w:tabs>
          <w:tab w:val="left" w:pos="0"/>
          <w:tab w:val="left" w:pos="180"/>
          <w:tab w:val="left" w:pos="993"/>
          <w:tab w:val="left" w:pos="1134"/>
        </w:tabs>
        <w:ind w:firstLine="709"/>
        <w:jc w:val="center"/>
        <w:rPr>
          <w:rFonts w:ascii="Times New Roman" w:hAnsi="Times New Roman" w:cs="Times New Roman"/>
          <w:b/>
          <w:sz w:val="21"/>
          <w:szCs w:val="21"/>
        </w:rPr>
        <w:sectPr w:rsidR="00826DB3" w:rsidSect="0023489B">
          <w:pgSz w:w="8392" w:h="11907" w:code="11"/>
          <w:pgMar w:top="1134" w:right="1134" w:bottom="1134" w:left="1134" w:header="709" w:footer="709" w:gutter="0"/>
          <w:cols w:space="708"/>
          <w:docGrid w:linePitch="360"/>
        </w:sectPr>
      </w:pPr>
    </w:p>
    <w:p w:rsidR="00662748" w:rsidRPr="00826DB3" w:rsidRDefault="00826DB3" w:rsidP="00826DB3">
      <w:pPr>
        <w:tabs>
          <w:tab w:val="left" w:pos="0"/>
          <w:tab w:val="left" w:pos="180"/>
          <w:tab w:val="left" w:pos="993"/>
          <w:tab w:val="left" w:pos="1134"/>
        </w:tabs>
        <w:ind w:firstLine="709"/>
        <w:jc w:val="center"/>
        <w:rPr>
          <w:rFonts w:ascii="Times New Roman" w:hAnsi="Times New Roman" w:cs="Times New Roman"/>
          <w:b/>
          <w:sz w:val="21"/>
          <w:szCs w:val="21"/>
        </w:rPr>
      </w:pPr>
      <w:r w:rsidRPr="00826DB3">
        <w:rPr>
          <w:rFonts w:ascii="Times New Roman" w:hAnsi="Times New Roman" w:cs="Times New Roman"/>
          <w:b/>
          <w:sz w:val="21"/>
          <w:szCs w:val="21"/>
        </w:rPr>
        <w:lastRenderedPageBreak/>
        <w:t>ДОДАТКИ</w:t>
      </w: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662748" w:rsidRDefault="00826DB3" w:rsidP="00826DB3">
      <w:pPr>
        <w:tabs>
          <w:tab w:val="left" w:pos="0"/>
          <w:tab w:val="left" w:pos="180"/>
          <w:tab w:val="left" w:pos="993"/>
          <w:tab w:val="left" w:pos="1134"/>
        </w:tabs>
        <w:ind w:firstLine="709"/>
        <w:jc w:val="right"/>
        <w:rPr>
          <w:rFonts w:ascii="Times New Roman" w:hAnsi="Times New Roman" w:cs="Times New Roman"/>
          <w:sz w:val="21"/>
          <w:szCs w:val="21"/>
        </w:rPr>
      </w:pPr>
      <w:r>
        <w:rPr>
          <w:rFonts w:ascii="Times New Roman" w:hAnsi="Times New Roman" w:cs="Times New Roman"/>
          <w:sz w:val="21"/>
          <w:szCs w:val="21"/>
        </w:rPr>
        <w:t>ДОДАТОК А</w:t>
      </w:r>
    </w:p>
    <w:p w:rsidR="00826DB3" w:rsidRPr="00826DB3" w:rsidRDefault="00826DB3" w:rsidP="00826DB3">
      <w:pPr>
        <w:tabs>
          <w:tab w:val="left" w:pos="0"/>
          <w:tab w:val="left" w:pos="180"/>
          <w:tab w:val="left" w:pos="993"/>
          <w:tab w:val="left" w:pos="1134"/>
        </w:tabs>
        <w:ind w:firstLine="709"/>
        <w:jc w:val="center"/>
        <w:rPr>
          <w:rFonts w:ascii="Times New Roman" w:hAnsi="Times New Roman" w:cs="Times New Roman"/>
          <w:b/>
          <w:sz w:val="21"/>
          <w:szCs w:val="21"/>
        </w:rPr>
      </w:pPr>
      <w:r w:rsidRPr="00826DB3">
        <w:rPr>
          <w:rFonts w:ascii="Times New Roman" w:hAnsi="Times New Roman" w:cs="Times New Roman"/>
          <w:b/>
          <w:sz w:val="21"/>
          <w:szCs w:val="21"/>
        </w:rPr>
        <w:t>Перспективний план економічного розвитку вищого навчального закладу</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63"/>
        <w:gridCol w:w="1134"/>
        <w:gridCol w:w="850"/>
      </w:tblGrid>
      <w:tr w:rsidR="00826DB3" w:rsidRPr="00826DB3" w:rsidTr="00826DB3">
        <w:tc>
          <w:tcPr>
            <w:tcW w:w="7763" w:type="dxa"/>
          </w:tcPr>
          <w:p w:rsidR="00826DB3" w:rsidRPr="00826DB3" w:rsidRDefault="00826DB3" w:rsidP="00826DB3">
            <w:pPr>
              <w:ind w:firstLine="0"/>
              <w:jc w:val="center"/>
              <w:rPr>
                <w:rFonts w:ascii="Times New Roman" w:hAnsi="Times New Roman" w:cs="Times New Roman"/>
                <w:sz w:val="16"/>
                <w:szCs w:val="16"/>
              </w:rPr>
            </w:pPr>
            <w:r w:rsidRPr="00826DB3">
              <w:rPr>
                <w:rFonts w:ascii="Times New Roman" w:hAnsi="Times New Roman" w:cs="Times New Roman"/>
                <w:sz w:val="16"/>
                <w:szCs w:val="16"/>
              </w:rPr>
              <w:t>Напрямки діяльності та заходи щодо їх виконання</w:t>
            </w:r>
          </w:p>
        </w:tc>
        <w:tc>
          <w:tcPr>
            <w:tcW w:w="1134" w:type="dxa"/>
          </w:tcPr>
          <w:p w:rsidR="00826DB3" w:rsidRPr="00826DB3" w:rsidRDefault="00826DB3" w:rsidP="00826DB3">
            <w:pPr>
              <w:ind w:left="-108" w:right="-108" w:firstLine="0"/>
              <w:jc w:val="center"/>
              <w:rPr>
                <w:rFonts w:ascii="Times New Roman" w:hAnsi="Times New Roman" w:cs="Times New Roman"/>
                <w:sz w:val="16"/>
                <w:szCs w:val="16"/>
              </w:rPr>
            </w:pPr>
            <w:r w:rsidRPr="00826DB3">
              <w:rPr>
                <w:rFonts w:ascii="Times New Roman" w:hAnsi="Times New Roman" w:cs="Times New Roman"/>
                <w:sz w:val="16"/>
                <w:szCs w:val="16"/>
              </w:rPr>
              <w:t>Відповідальні особи</w:t>
            </w:r>
          </w:p>
        </w:tc>
        <w:tc>
          <w:tcPr>
            <w:tcW w:w="850" w:type="dxa"/>
          </w:tcPr>
          <w:p w:rsidR="00826DB3" w:rsidRPr="00826DB3" w:rsidRDefault="00826DB3" w:rsidP="00826DB3">
            <w:pPr>
              <w:ind w:left="-108" w:right="-108" w:firstLine="0"/>
              <w:jc w:val="center"/>
              <w:rPr>
                <w:rFonts w:ascii="Times New Roman" w:hAnsi="Times New Roman" w:cs="Times New Roman"/>
                <w:sz w:val="16"/>
                <w:szCs w:val="16"/>
              </w:rPr>
            </w:pPr>
            <w:r w:rsidRPr="00826DB3">
              <w:rPr>
                <w:rFonts w:ascii="Times New Roman" w:hAnsi="Times New Roman" w:cs="Times New Roman"/>
                <w:sz w:val="16"/>
                <w:szCs w:val="16"/>
              </w:rPr>
              <w:t>Термін виконання</w:t>
            </w:r>
          </w:p>
        </w:tc>
      </w:tr>
      <w:tr w:rsidR="00826DB3" w:rsidRPr="00826DB3" w:rsidTr="00A61E33">
        <w:tc>
          <w:tcPr>
            <w:tcW w:w="9747" w:type="dxa"/>
            <w:gridSpan w:val="3"/>
          </w:tcPr>
          <w:p w:rsidR="00826DB3" w:rsidRPr="00826DB3" w:rsidRDefault="00826DB3" w:rsidP="00826DB3">
            <w:pPr>
              <w:ind w:firstLine="0"/>
              <w:jc w:val="both"/>
              <w:rPr>
                <w:rFonts w:ascii="Times New Roman" w:hAnsi="Times New Roman" w:cs="Times New Roman"/>
                <w:sz w:val="16"/>
                <w:szCs w:val="16"/>
              </w:rPr>
            </w:pPr>
            <w:r w:rsidRPr="00826DB3">
              <w:rPr>
                <w:rFonts w:ascii="Times New Roman" w:hAnsi="Times New Roman" w:cs="Times New Roman"/>
                <w:sz w:val="16"/>
                <w:szCs w:val="16"/>
              </w:rPr>
              <w:t>1. Збільшення обсягів доходів шляхом через уведення багатоканальної системи фінансування із залученням усіх мо</w:t>
            </w:r>
            <w:r>
              <w:rPr>
                <w:rFonts w:ascii="Times New Roman" w:hAnsi="Times New Roman" w:cs="Times New Roman"/>
                <w:sz w:val="16"/>
                <w:szCs w:val="16"/>
              </w:rPr>
              <w:t>жливих джерел надходжень коштів</w:t>
            </w:r>
          </w:p>
        </w:tc>
      </w:tr>
      <w:tr w:rsidR="00826DB3" w:rsidRPr="00826DB3" w:rsidTr="00826DB3">
        <w:tc>
          <w:tcPr>
            <w:tcW w:w="7763" w:type="dxa"/>
          </w:tcPr>
          <w:p w:rsidR="00826DB3" w:rsidRPr="00826DB3" w:rsidRDefault="00826DB3" w:rsidP="00826DB3">
            <w:pPr>
              <w:ind w:firstLine="0"/>
              <w:jc w:val="both"/>
              <w:rPr>
                <w:rFonts w:ascii="Times New Roman" w:hAnsi="Times New Roman" w:cs="Times New Roman"/>
                <w:sz w:val="16"/>
                <w:szCs w:val="16"/>
              </w:rPr>
            </w:pPr>
            <w:r w:rsidRPr="00826DB3">
              <w:rPr>
                <w:rFonts w:ascii="Times New Roman" w:hAnsi="Times New Roman" w:cs="Times New Roman"/>
                <w:sz w:val="16"/>
                <w:szCs w:val="16"/>
              </w:rPr>
              <w:t>1.1. Забезпечення фінансування державного замовлення навчання студентів у відповідності до норм Закону «Про вищу освіту».</w:t>
            </w:r>
          </w:p>
          <w:p w:rsidR="00826DB3" w:rsidRPr="00826DB3" w:rsidRDefault="00826DB3" w:rsidP="00826DB3">
            <w:pPr>
              <w:ind w:firstLine="0"/>
              <w:jc w:val="both"/>
              <w:rPr>
                <w:rFonts w:ascii="Times New Roman" w:hAnsi="Times New Roman" w:cs="Times New Roman"/>
                <w:sz w:val="16"/>
                <w:szCs w:val="16"/>
              </w:rPr>
            </w:pPr>
            <w:r w:rsidRPr="00826DB3">
              <w:rPr>
                <w:rFonts w:ascii="Times New Roman" w:hAnsi="Times New Roman" w:cs="Times New Roman"/>
                <w:sz w:val="16"/>
                <w:szCs w:val="16"/>
              </w:rPr>
              <w:t>1.2. Розширення обсягів діяльності по наданню освітніх послуг:</w:t>
            </w:r>
          </w:p>
          <w:p w:rsidR="00826DB3" w:rsidRPr="00826DB3" w:rsidRDefault="00826DB3" w:rsidP="002179DE">
            <w:pPr>
              <w:numPr>
                <w:ilvl w:val="0"/>
                <w:numId w:val="75"/>
              </w:numPr>
              <w:tabs>
                <w:tab w:val="clear" w:pos="432"/>
                <w:tab w:val="num" w:pos="426"/>
              </w:tabs>
              <w:ind w:left="284" w:hanging="6"/>
              <w:jc w:val="both"/>
              <w:rPr>
                <w:rFonts w:ascii="Times New Roman" w:hAnsi="Times New Roman" w:cs="Times New Roman"/>
                <w:sz w:val="16"/>
                <w:szCs w:val="16"/>
              </w:rPr>
            </w:pPr>
            <w:r w:rsidRPr="00826DB3">
              <w:rPr>
                <w:rFonts w:ascii="Times New Roman" w:hAnsi="Times New Roman" w:cs="Times New Roman"/>
                <w:sz w:val="16"/>
                <w:szCs w:val="16"/>
              </w:rPr>
              <w:t>відкриття філій;</w:t>
            </w:r>
          </w:p>
          <w:p w:rsidR="00826DB3" w:rsidRPr="00826DB3" w:rsidRDefault="00826DB3" w:rsidP="002179DE">
            <w:pPr>
              <w:numPr>
                <w:ilvl w:val="0"/>
                <w:numId w:val="75"/>
              </w:numPr>
              <w:tabs>
                <w:tab w:val="clear" w:pos="432"/>
                <w:tab w:val="num" w:pos="426"/>
              </w:tabs>
              <w:ind w:left="284" w:hanging="6"/>
              <w:jc w:val="both"/>
              <w:rPr>
                <w:rFonts w:ascii="Times New Roman" w:hAnsi="Times New Roman" w:cs="Times New Roman"/>
                <w:sz w:val="16"/>
                <w:szCs w:val="16"/>
              </w:rPr>
            </w:pPr>
            <w:r w:rsidRPr="00826DB3">
              <w:rPr>
                <w:rFonts w:ascii="Times New Roman" w:hAnsi="Times New Roman" w:cs="Times New Roman"/>
                <w:sz w:val="16"/>
                <w:szCs w:val="16"/>
              </w:rPr>
              <w:t>відкриття коледжів при ВНЗ III-IV рівня акредитації;</w:t>
            </w:r>
          </w:p>
          <w:p w:rsidR="00826DB3" w:rsidRPr="00826DB3" w:rsidRDefault="00826DB3" w:rsidP="002179DE">
            <w:pPr>
              <w:numPr>
                <w:ilvl w:val="0"/>
                <w:numId w:val="75"/>
              </w:numPr>
              <w:tabs>
                <w:tab w:val="clear" w:pos="432"/>
                <w:tab w:val="num" w:pos="426"/>
              </w:tabs>
              <w:ind w:left="284" w:hanging="6"/>
              <w:jc w:val="both"/>
              <w:rPr>
                <w:rFonts w:ascii="Times New Roman" w:hAnsi="Times New Roman" w:cs="Times New Roman"/>
                <w:sz w:val="16"/>
                <w:szCs w:val="16"/>
              </w:rPr>
            </w:pPr>
            <w:r w:rsidRPr="00826DB3">
              <w:rPr>
                <w:rFonts w:ascii="Times New Roman" w:hAnsi="Times New Roman" w:cs="Times New Roman"/>
                <w:sz w:val="16"/>
                <w:szCs w:val="16"/>
              </w:rPr>
              <w:t>відкриття нових напрямів та спеціальностей;</w:t>
            </w:r>
          </w:p>
          <w:p w:rsidR="00826DB3" w:rsidRPr="00826DB3" w:rsidRDefault="00826DB3" w:rsidP="002179DE">
            <w:pPr>
              <w:numPr>
                <w:ilvl w:val="0"/>
                <w:numId w:val="75"/>
              </w:numPr>
              <w:tabs>
                <w:tab w:val="clear" w:pos="432"/>
                <w:tab w:val="num" w:pos="426"/>
              </w:tabs>
              <w:ind w:left="284" w:hanging="6"/>
              <w:jc w:val="both"/>
              <w:rPr>
                <w:rFonts w:ascii="Times New Roman" w:hAnsi="Times New Roman" w:cs="Times New Roman"/>
                <w:sz w:val="16"/>
                <w:szCs w:val="16"/>
              </w:rPr>
            </w:pPr>
            <w:r w:rsidRPr="00826DB3">
              <w:rPr>
                <w:rFonts w:ascii="Times New Roman" w:hAnsi="Times New Roman" w:cs="Times New Roman"/>
                <w:sz w:val="16"/>
                <w:szCs w:val="16"/>
              </w:rPr>
              <w:t>відкриття нових форм навчання (екстернатної та дистанційної);</w:t>
            </w:r>
          </w:p>
          <w:p w:rsidR="00826DB3" w:rsidRPr="00826DB3" w:rsidRDefault="00826DB3" w:rsidP="002179DE">
            <w:pPr>
              <w:numPr>
                <w:ilvl w:val="0"/>
                <w:numId w:val="75"/>
              </w:numPr>
              <w:tabs>
                <w:tab w:val="clear" w:pos="432"/>
                <w:tab w:val="num" w:pos="426"/>
              </w:tabs>
              <w:ind w:left="284" w:hanging="6"/>
              <w:jc w:val="both"/>
              <w:rPr>
                <w:rFonts w:ascii="Times New Roman" w:hAnsi="Times New Roman" w:cs="Times New Roman"/>
                <w:sz w:val="16"/>
                <w:szCs w:val="16"/>
              </w:rPr>
            </w:pPr>
            <w:r w:rsidRPr="00826DB3">
              <w:rPr>
                <w:rFonts w:ascii="Times New Roman" w:hAnsi="Times New Roman" w:cs="Times New Roman"/>
                <w:sz w:val="16"/>
                <w:szCs w:val="16"/>
              </w:rPr>
              <w:t>відкриття (розширення) мережі аспірантури чи докторантури.</w:t>
            </w:r>
          </w:p>
          <w:p w:rsidR="00826DB3" w:rsidRPr="00826DB3" w:rsidRDefault="00826DB3" w:rsidP="00826DB3">
            <w:pPr>
              <w:ind w:firstLine="0"/>
              <w:jc w:val="both"/>
              <w:rPr>
                <w:rFonts w:ascii="Times New Roman" w:hAnsi="Times New Roman" w:cs="Times New Roman"/>
                <w:sz w:val="16"/>
                <w:szCs w:val="16"/>
              </w:rPr>
            </w:pPr>
            <w:r w:rsidRPr="00826DB3">
              <w:rPr>
                <w:rFonts w:ascii="Times New Roman" w:hAnsi="Times New Roman" w:cs="Times New Roman"/>
                <w:sz w:val="16"/>
                <w:szCs w:val="16"/>
              </w:rPr>
              <w:t>1.3. Створення структур в складі навчального закладу, до функцій яких входило  би надання додаткових платних послуг в межах чинного законодавства:</w:t>
            </w:r>
          </w:p>
          <w:p w:rsidR="00826DB3" w:rsidRPr="00826DB3" w:rsidRDefault="00826DB3" w:rsidP="002179DE">
            <w:pPr>
              <w:numPr>
                <w:ilvl w:val="0"/>
                <w:numId w:val="74"/>
              </w:numPr>
              <w:tabs>
                <w:tab w:val="clear" w:pos="432"/>
                <w:tab w:val="num" w:pos="426"/>
              </w:tabs>
              <w:ind w:left="284" w:firstLine="0"/>
              <w:jc w:val="both"/>
              <w:rPr>
                <w:rFonts w:ascii="Times New Roman" w:hAnsi="Times New Roman" w:cs="Times New Roman"/>
                <w:sz w:val="16"/>
                <w:szCs w:val="16"/>
              </w:rPr>
            </w:pPr>
            <w:r w:rsidRPr="00826DB3">
              <w:rPr>
                <w:rFonts w:ascii="Times New Roman" w:hAnsi="Times New Roman" w:cs="Times New Roman"/>
                <w:sz w:val="16"/>
                <w:szCs w:val="16"/>
              </w:rPr>
              <w:t>створення студентських бізнес-центрів та бізнес-інкубаторів;</w:t>
            </w:r>
          </w:p>
          <w:p w:rsidR="00826DB3" w:rsidRPr="00826DB3" w:rsidRDefault="00826DB3" w:rsidP="002179DE">
            <w:pPr>
              <w:numPr>
                <w:ilvl w:val="0"/>
                <w:numId w:val="74"/>
              </w:numPr>
              <w:tabs>
                <w:tab w:val="clear" w:pos="432"/>
                <w:tab w:val="num" w:pos="426"/>
              </w:tabs>
              <w:ind w:left="284" w:firstLine="0"/>
              <w:jc w:val="both"/>
              <w:rPr>
                <w:rFonts w:ascii="Times New Roman" w:hAnsi="Times New Roman" w:cs="Times New Roman"/>
                <w:sz w:val="16"/>
                <w:szCs w:val="16"/>
              </w:rPr>
            </w:pPr>
            <w:r w:rsidRPr="00826DB3">
              <w:rPr>
                <w:rFonts w:ascii="Times New Roman" w:hAnsi="Times New Roman" w:cs="Times New Roman"/>
                <w:sz w:val="16"/>
                <w:szCs w:val="16"/>
              </w:rPr>
              <w:t>створення лабораторій соціологічних досліджень;</w:t>
            </w:r>
          </w:p>
          <w:p w:rsidR="00826DB3" w:rsidRPr="00826DB3" w:rsidRDefault="00826DB3" w:rsidP="002179DE">
            <w:pPr>
              <w:numPr>
                <w:ilvl w:val="0"/>
                <w:numId w:val="74"/>
              </w:numPr>
              <w:tabs>
                <w:tab w:val="clear" w:pos="432"/>
                <w:tab w:val="num" w:pos="426"/>
              </w:tabs>
              <w:ind w:left="284" w:firstLine="0"/>
              <w:jc w:val="both"/>
              <w:rPr>
                <w:rFonts w:ascii="Times New Roman" w:hAnsi="Times New Roman" w:cs="Times New Roman"/>
                <w:sz w:val="16"/>
                <w:szCs w:val="16"/>
              </w:rPr>
            </w:pPr>
            <w:r w:rsidRPr="00826DB3">
              <w:rPr>
                <w:rFonts w:ascii="Times New Roman" w:hAnsi="Times New Roman" w:cs="Times New Roman"/>
                <w:sz w:val="16"/>
                <w:szCs w:val="16"/>
              </w:rPr>
              <w:t>виконання науково-дослідних робіт на замовлення органів державної влади, місцевого самоврядуван</w:t>
            </w:r>
            <w:r>
              <w:rPr>
                <w:rFonts w:ascii="Times New Roman" w:hAnsi="Times New Roman" w:cs="Times New Roman"/>
                <w:sz w:val="16"/>
                <w:szCs w:val="16"/>
              </w:rPr>
              <w:t>-</w:t>
            </w:r>
            <w:r w:rsidRPr="00826DB3">
              <w:rPr>
                <w:rFonts w:ascii="Times New Roman" w:hAnsi="Times New Roman" w:cs="Times New Roman"/>
                <w:sz w:val="16"/>
                <w:szCs w:val="16"/>
              </w:rPr>
              <w:t>ня, юридичних та фізичних осіб на госпрозрахункових засадах;</w:t>
            </w:r>
          </w:p>
          <w:p w:rsidR="00826DB3" w:rsidRPr="00826DB3" w:rsidRDefault="00826DB3" w:rsidP="002179DE">
            <w:pPr>
              <w:numPr>
                <w:ilvl w:val="0"/>
                <w:numId w:val="74"/>
              </w:numPr>
              <w:tabs>
                <w:tab w:val="clear" w:pos="432"/>
                <w:tab w:val="num" w:pos="426"/>
              </w:tabs>
              <w:ind w:left="284" w:firstLine="0"/>
              <w:jc w:val="both"/>
              <w:rPr>
                <w:rFonts w:ascii="Times New Roman" w:hAnsi="Times New Roman" w:cs="Times New Roman"/>
                <w:sz w:val="16"/>
                <w:szCs w:val="16"/>
              </w:rPr>
            </w:pPr>
            <w:r w:rsidRPr="00826DB3">
              <w:rPr>
                <w:rFonts w:ascii="Times New Roman" w:hAnsi="Times New Roman" w:cs="Times New Roman"/>
                <w:sz w:val="16"/>
                <w:szCs w:val="16"/>
              </w:rPr>
              <w:t>відкриття комбінатів харчування студентів та працівників.</w:t>
            </w:r>
          </w:p>
          <w:p w:rsidR="00826DB3" w:rsidRPr="00826DB3" w:rsidRDefault="00826DB3" w:rsidP="00826DB3">
            <w:pPr>
              <w:ind w:firstLine="0"/>
              <w:jc w:val="both"/>
              <w:rPr>
                <w:rFonts w:ascii="Times New Roman" w:hAnsi="Times New Roman" w:cs="Times New Roman"/>
                <w:sz w:val="16"/>
                <w:szCs w:val="16"/>
              </w:rPr>
            </w:pPr>
            <w:r w:rsidRPr="00826DB3">
              <w:rPr>
                <w:rFonts w:ascii="Times New Roman" w:hAnsi="Times New Roman" w:cs="Times New Roman"/>
                <w:sz w:val="16"/>
                <w:szCs w:val="16"/>
              </w:rPr>
              <w:t>1.4. Залучення інвестицій, в тому числі у вигляді технічної допомоги, для здійснення навчальної, наукової, науково-дослідної та іншої освітянської діяльності.</w:t>
            </w:r>
          </w:p>
        </w:tc>
        <w:tc>
          <w:tcPr>
            <w:tcW w:w="1134" w:type="dxa"/>
          </w:tcPr>
          <w:p w:rsidR="00826DB3" w:rsidRPr="00826DB3" w:rsidRDefault="00826DB3" w:rsidP="00826DB3">
            <w:pPr>
              <w:ind w:firstLine="0"/>
              <w:jc w:val="both"/>
              <w:rPr>
                <w:rFonts w:ascii="Times New Roman" w:hAnsi="Times New Roman" w:cs="Times New Roman"/>
                <w:sz w:val="16"/>
                <w:szCs w:val="16"/>
              </w:rPr>
            </w:pPr>
          </w:p>
        </w:tc>
        <w:tc>
          <w:tcPr>
            <w:tcW w:w="850" w:type="dxa"/>
          </w:tcPr>
          <w:p w:rsidR="00826DB3" w:rsidRPr="00826DB3" w:rsidRDefault="00826DB3" w:rsidP="00826DB3">
            <w:pPr>
              <w:ind w:firstLine="0"/>
              <w:jc w:val="both"/>
              <w:rPr>
                <w:rFonts w:ascii="Times New Roman" w:hAnsi="Times New Roman" w:cs="Times New Roman"/>
                <w:sz w:val="16"/>
                <w:szCs w:val="16"/>
              </w:rPr>
            </w:pPr>
          </w:p>
        </w:tc>
      </w:tr>
      <w:tr w:rsidR="00826DB3" w:rsidRPr="00826DB3" w:rsidTr="00A61E33">
        <w:tc>
          <w:tcPr>
            <w:tcW w:w="9747" w:type="dxa"/>
            <w:gridSpan w:val="3"/>
          </w:tcPr>
          <w:p w:rsidR="00826DB3" w:rsidRPr="00826DB3" w:rsidRDefault="00826DB3" w:rsidP="00826DB3">
            <w:pPr>
              <w:ind w:firstLine="0"/>
              <w:jc w:val="both"/>
              <w:rPr>
                <w:rFonts w:ascii="Times New Roman" w:hAnsi="Times New Roman" w:cs="Times New Roman"/>
                <w:sz w:val="16"/>
                <w:szCs w:val="16"/>
              </w:rPr>
            </w:pPr>
            <w:r w:rsidRPr="00826DB3">
              <w:rPr>
                <w:rFonts w:ascii="Times New Roman" w:hAnsi="Times New Roman" w:cs="Times New Roman"/>
                <w:sz w:val="16"/>
                <w:szCs w:val="16"/>
              </w:rPr>
              <w:t>2. Управління видатками навчального закладу.</w:t>
            </w:r>
          </w:p>
        </w:tc>
      </w:tr>
      <w:tr w:rsidR="00826DB3" w:rsidRPr="00826DB3" w:rsidTr="00826DB3">
        <w:tc>
          <w:tcPr>
            <w:tcW w:w="7763" w:type="dxa"/>
          </w:tcPr>
          <w:p w:rsidR="00826DB3" w:rsidRPr="00826DB3" w:rsidRDefault="00826DB3" w:rsidP="00826DB3">
            <w:pPr>
              <w:ind w:firstLine="0"/>
              <w:jc w:val="both"/>
              <w:rPr>
                <w:rFonts w:ascii="Times New Roman" w:hAnsi="Times New Roman" w:cs="Times New Roman"/>
                <w:sz w:val="16"/>
                <w:szCs w:val="16"/>
              </w:rPr>
            </w:pPr>
            <w:r>
              <w:rPr>
                <w:rFonts w:ascii="Times New Roman" w:hAnsi="Times New Roman" w:cs="Times New Roman"/>
                <w:sz w:val="16"/>
                <w:szCs w:val="16"/>
              </w:rPr>
              <w:t xml:space="preserve">2.1. Розробка заходів задля </w:t>
            </w:r>
            <w:r w:rsidRPr="00826DB3">
              <w:rPr>
                <w:rFonts w:ascii="Times New Roman" w:hAnsi="Times New Roman" w:cs="Times New Roman"/>
                <w:sz w:val="16"/>
                <w:szCs w:val="16"/>
              </w:rPr>
              <w:t>оптимізаці</w:t>
            </w:r>
            <w:r>
              <w:rPr>
                <w:rFonts w:ascii="Times New Roman" w:hAnsi="Times New Roman" w:cs="Times New Roman"/>
                <w:sz w:val="16"/>
                <w:szCs w:val="16"/>
              </w:rPr>
              <w:t>ї</w:t>
            </w:r>
            <w:r w:rsidRPr="00826DB3">
              <w:rPr>
                <w:rFonts w:ascii="Times New Roman" w:hAnsi="Times New Roman" w:cs="Times New Roman"/>
                <w:sz w:val="16"/>
                <w:szCs w:val="16"/>
              </w:rPr>
              <w:t xml:space="preserve"> та економн</w:t>
            </w:r>
            <w:r>
              <w:rPr>
                <w:rFonts w:ascii="Times New Roman" w:hAnsi="Times New Roman" w:cs="Times New Roman"/>
                <w:sz w:val="16"/>
                <w:szCs w:val="16"/>
              </w:rPr>
              <w:t>ого</w:t>
            </w:r>
            <w:r w:rsidRPr="00826DB3">
              <w:rPr>
                <w:rFonts w:ascii="Times New Roman" w:hAnsi="Times New Roman" w:cs="Times New Roman"/>
                <w:sz w:val="16"/>
                <w:szCs w:val="16"/>
              </w:rPr>
              <w:t xml:space="preserve"> використання матеріально-фінансових ресурсів:</w:t>
            </w:r>
          </w:p>
          <w:p w:rsidR="00826DB3" w:rsidRPr="00826DB3" w:rsidRDefault="00826DB3" w:rsidP="002179DE">
            <w:pPr>
              <w:numPr>
                <w:ilvl w:val="0"/>
                <w:numId w:val="74"/>
              </w:numPr>
              <w:tabs>
                <w:tab w:val="clear" w:pos="432"/>
                <w:tab w:val="num" w:pos="426"/>
              </w:tabs>
              <w:ind w:left="284" w:firstLine="0"/>
              <w:jc w:val="both"/>
              <w:rPr>
                <w:rFonts w:ascii="Times New Roman" w:hAnsi="Times New Roman" w:cs="Times New Roman"/>
                <w:sz w:val="16"/>
                <w:szCs w:val="16"/>
              </w:rPr>
            </w:pPr>
            <w:r w:rsidRPr="00826DB3">
              <w:rPr>
                <w:rFonts w:ascii="Times New Roman" w:hAnsi="Times New Roman" w:cs="Times New Roman"/>
                <w:sz w:val="16"/>
                <w:szCs w:val="16"/>
              </w:rPr>
              <w:t>забезпечення здійснення процедури державних закупівель відповідно до норм законодавства;</w:t>
            </w:r>
          </w:p>
          <w:p w:rsidR="00826DB3" w:rsidRPr="00826DB3" w:rsidRDefault="00826DB3" w:rsidP="002179DE">
            <w:pPr>
              <w:numPr>
                <w:ilvl w:val="0"/>
                <w:numId w:val="74"/>
              </w:numPr>
              <w:tabs>
                <w:tab w:val="clear" w:pos="432"/>
                <w:tab w:val="num" w:pos="426"/>
              </w:tabs>
              <w:ind w:left="284" w:firstLine="0"/>
              <w:jc w:val="both"/>
              <w:rPr>
                <w:rFonts w:ascii="Times New Roman" w:hAnsi="Times New Roman" w:cs="Times New Roman"/>
                <w:sz w:val="16"/>
                <w:szCs w:val="16"/>
              </w:rPr>
            </w:pPr>
            <w:r w:rsidRPr="00826DB3">
              <w:rPr>
                <w:rFonts w:ascii="Times New Roman" w:hAnsi="Times New Roman" w:cs="Times New Roman"/>
                <w:sz w:val="16"/>
                <w:szCs w:val="16"/>
              </w:rPr>
              <w:t>розробка внутрішніх нормативів, норм, лімітів витрачання трудових, фінансових та матеріальних ресурсів на основі чинного законодавства та відповідно до умов діяльності навчального закладу;</w:t>
            </w:r>
          </w:p>
          <w:p w:rsidR="00826DB3" w:rsidRPr="00826DB3" w:rsidRDefault="00826DB3" w:rsidP="002179DE">
            <w:pPr>
              <w:numPr>
                <w:ilvl w:val="0"/>
                <w:numId w:val="74"/>
              </w:numPr>
              <w:tabs>
                <w:tab w:val="clear" w:pos="432"/>
                <w:tab w:val="num" w:pos="426"/>
              </w:tabs>
              <w:ind w:left="284" w:firstLine="0"/>
              <w:jc w:val="both"/>
              <w:rPr>
                <w:rFonts w:ascii="Times New Roman" w:hAnsi="Times New Roman" w:cs="Times New Roman"/>
                <w:sz w:val="16"/>
                <w:szCs w:val="16"/>
              </w:rPr>
            </w:pPr>
            <w:r w:rsidRPr="00826DB3">
              <w:rPr>
                <w:rFonts w:ascii="Times New Roman" w:hAnsi="Times New Roman" w:cs="Times New Roman"/>
                <w:sz w:val="16"/>
                <w:szCs w:val="16"/>
              </w:rPr>
              <w:lastRenderedPageBreak/>
              <w:t xml:space="preserve">забезпечення виконавців інструктивними матеріалами щодо врегулювання окремих аспектів фінансово-господарської діяльності з метою економії та оптимізації витрат. </w:t>
            </w:r>
          </w:p>
          <w:p w:rsidR="00826DB3" w:rsidRPr="00826DB3" w:rsidRDefault="00826DB3" w:rsidP="00826DB3">
            <w:pPr>
              <w:ind w:firstLine="0"/>
              <w:jc w:val="both"/>
              <w:rPr>
                <w:rFonts w:ascii="Times New Roman" w:hAnsi="Times New Roman" w:cs="Times New Roman"/>
                <w:sz w:val="16"/>
                <w:szCs w:val="16"/>
              </w:rPr>
            </w:pPr>
            <w:r w:rsidRPr="00826DB3">
              <w:rPr>
                <w:rFonts w:ascii="Times New Roman" w:hAnsi="Times New Roman" w:cs="Times New Roman"/>
                <w:sz w:val="16"/>
                <w:szCs w:val="16"/>
              </w:rPr>
              <w:t>2.2. Впорядкування внутрішньої (локальної) документації:</w:t>
            </w:r>
          </w:p>
          <w:p w:rsidR="00826DB3" w:rsidRPr="00826DB3" w:rsidRDefault="00826DB3" w:rsidP="002179DE">
            <w:pPr>
              <w:numPr>
                <w:ilvl w:val="0"/>
                <w:numId w:val="74"/>
              </w:numPr>
              <w:ind w:left="142" w:firstLine="0"/>
              <w:jc w:val="both"/>
              <w:rPr>
                <w:rFonts w:ascii="Times New Roman" w:hAnsi="Times New Roman" w:cs="Times New Roman"/>
                <w:sz w:val="16"/>
                <w:szCs w:val="16"/>
              </w:rPr>
            </w:pPr>
            <w:r w:rsidRPr="00826DB3">
              <w:rPr>
                <w:rFonts w:ascii="Times New Roman" w:hAnsi="Times New Roman" w:cs="Times New Roman"/>
                <w:sz w:val="16"/>
                <w:szCs w:val="16"/>
              </w:rPr>
              <w:t>розробка системи внутрішнього документообігу;</w:t>
            </w:r>
          </w:p>
          <w:p w:rsidR="00826DB3" w:rsidRPr="00826DB3" w:rsidRDefault="00826DB3" w:rsidP="002179DE">
            <w:pPr>
              <w:numPr>
                <w:ilvl w:val="0"/>
                <w:numId w:val="74"/>
              </w:numPr>
              <w:ind w:left="142" w:firstLine="0"/>
              <w:jc w:val="both"/>
              <w:rPr>
                <w:rFonts w:ascii="Times New Roman" w:hAnsi="Times New Roman" w:cs="Times New Roman"/>
                <w:sz w:val="16"/>
                <w:szCs w:val="16"/>
              </w:rPr>
            </w:pPr>
            <w:r w:rsidRPr="00826DB3">
              <w:rPr>
                <w:rFonts w:ascii="Times New Roman" w:hAnsi="Times New Roman" w:cs="Times New Roman"/>
                <w:sz w:val="16"/>
                <w:szCs w:val="16"/>
              </w:rPr>
              <w:t>розробка та доведення прийнятих вн</w:t>
            </w:r>
            <w:r>
              <w:rPr>
                <w:rFonts w:ascii="Times New Roman" w:hAnsi="Times New Roman" w:cs="Times New Roman"/>
                <w:sz w:val="16"/>
                <w:szCs w:val="16"/>
              </w:rPr>
              <w:t>утрішніх актів до працівників,</w:t>
            </w:r>
            <w:r w:rsidRPr="00826DB3">
              <w:rPr>
                <w:rFonts w:ascii="Times New Roman" w:hAnsi="Times New Roman" w:cs="Times New Roman"/>
                <w:sz w:val="16"/>
                <w:szCs w:val="16"/>
              </w:rPr>
              <w:t xml:space="preserve"> здійс</w:t>
            </w:r>
            <w:r>
              <w:rPr>
                <w:rFonts w:ascii="Times New Roman" w:hAnsi="Times New Roman" w:cs="Times New Roman"/>
                <w:sz w:val="16"/>
                <w:szCs w:val="16"/>
              </w:rPr>
              <w:t>нення контролю за їх виконанням</w:t>
            </w:r>
          </w:p>
        </w:tc>
        <w:tc>
          <w:tcPr>
            <w:tcW w:w="1134" w:type="dxa"/>
          </w:tcPr>
          <w:p w:rsidR="00826DB3" w:rsidRPr="00826DB3" w:rsidRDefault="00826DB3" w:rsidP="00826DB3">
            <w:pPr>
              <w:ind w:firstLine="0"/>
              <w:jc w:val="both"/>
              <w:rPr>
                <w:rFonts w:ascii="Times New Roman" w:hAnsi="Times New Roman" w:cs="Times New Roman"/>
                <w:sz w:val="16"/>
                <w:szCs w:val="16"/>
              </w:rPr>
            </w:pPr>
          </w:p>
        </w:tc>
        <w:tc>
          <w:tcPr>
            <w:tcW w:w="850" w:type="dxa"/>
          </w:tcPr>
          <w:p w:rsidR="00826DB3" w:rsidRPr="00826DB3" w:rsidRDefault="00826DB3" w:rsidP="00826DB3">
            <w:pPr>
              <w:ind w:firstLine="0"/>
              <w:jc w:val="both"/>
              <w:rPr>
                <w:rFonts w:ascii="Times New Roman" w:hAnsi="Times New Roman" w:cs="Times New Roman"/>
                <w:sz w:val="16"/>
                <w:szCs w:val="16"/>
              </w:rPr>
            </w:pPr>
          </w:p>
        </w:tc>
      </w:tr>
      <w:tr w:rsidR="00826DB3" w:rsidRPr="00826DB3" w:rsidTr="00A61E33">
        <w:tc>
          <w:tcPr>
            <w:tcW w:w="9747" w:type="dxa"/>
            <w:gridSpan w:val="3"/>
          </w:tcPr>
          <w:p w:rsidR="00826DB3" w:rsidRPr="00826DB3" w:rsidRDefault="00826DB3" w:rsidP="00826DB3">
            <w:pPr>
              <w:ind w:firstLine="0"/>
              <w:jc w:val="both"/>
              <w:rPr>
                <w:rFonts w:ascii="Times New Roman" w:hAnsi="Times New Roman" w:cs="Times New Roman"/>
                <w:sz w:val="16"/>
                <w:szCs w:val="16"/>
              </w:rPr>
            </w:pPr>
            <w:r w:rsidRPr="00826DB3">
              <w:rPr>
                <w:rFonts w:ascii="Times New Roman" w:hAnsi="Times New Roman" w:cs="Times New Roman"/>
                <w:sz w:val="16"/>
                <w:szCs w:val="16"/>
              </w:rPr>
              <w:lastRenderedPageBreak/>
              <w:t>3. Оптимізація організаційної структури управління фінансово-господарською діяльністю.</w:t>
            </w:r>
          </w:p>
        </w:tc>
      </w:tr>
      <w:tr w:rsidR="00826DB3" w:rsidRPr="00826DB3" w:rsidTr="00826DB3">
        <w:tc>
          <w:tcPr>
            <w:tcW w:w="7763" w:type="dxa"/>
          </w:tcPr>
          <w:p w:rsidR="00826DB3" w:rsidRPr="00826DB3" w:rsidRDefault="00826DB3" w:rsidP="00826DB3">
            <w:pPr>
              <w:ind w:firstLine="0"/>
              <w:jc w:val="both"/>
              <w:rPr>
                <w:rFonts w:ascii="Times New Roman" w:hAnsi="Times New Roman" w:cs="Times New Roman"/>
                <w:sz w:val="16"/>
                <w:szCs w:val="16"/>
              </w:rPr>
            </w:pPr>
            <w:r w:rsidRPr="00826DB3">
              <w:rPr>
                <w:rFonts w:ascii="Times New Roman" w:hAnsi="Times New Roman" w:cs="Times New Roman"/>
                <w:sz w:val="16"/>
                <w:szCs w:val="16"/>
              </w:rPr>
              <w:t xml:space="preserve"> 3.1. Приведення структури та кількості фінансових та господарських підрозділів у відповідність до існуючих потреб навчального закладу:</w:t>
            </w:r>
          </w:p>
          <w:p w:rsidR="00826DB3" w:rsidRPr="00826DB3" w:rsidRDefault="00826DB3" w:rsidP="002179DE">
            <w:pPr>
              <w:numPr>
                <w:ilvl w:val="0"/>
                <w:numId w:val="74"/>
              </w:numPr>
              <w:ind w:left="0" w:firstLine="0"/>
              <w:jc w:val="both"/>
              <w:rPr>
                <w:rFonts w:ascii="Times New Roman" w:hAnsi="Times New Roman" w:cs="Times New Roman"/>
                <w:sz w:val="16"/>
                <w:szCs w:val="16"/>
              </w:rPr>
            </w:pPr>
            <w:r w:rsidRPr="00826DB3">
              <w:rPr>
                <w:rFonts w:ascii="Times New Roman" w:hAnsi="Times New Roman" w:cs="Times New Roman"/>
                <w:sz w:val="16"/>
                <w:szCs w:val="16"/>
              </w:rPr>
              <w:t>відкриття служби маркетингу;</w:t>
            </w:r>
          </w:p>
          <w:p w:rsidR="00826DB3" w:rsidRPr="00826DB3" w:rsidRDefault="00826DB3" w:rsidP="002179DE">
            <w:pPr>
              <w:numPr>
                <w:ilvl w:val="0"/>
                <w:numId w:val="74"/>
              </w:numPr>
              <w:ind w:left="0" w:firstLine="0"/>
              <w:jc w:val="both"/>
              <w:rPr>
                <w:rFonts w:ascii="Times New Roman" w:hAnsi="Times New Roman" w:cs="Times New Roman"/>
                <w:sz w:val="16"/>
                <w:szCs w:val="16"/>
              </w:rPr>
            </w:pPr>
            <w:r w:rsidRPr="00826DB3">
              <w:rPr>
                <w:rFonts w:ascii="Times New Roman" w:hAnsi="Times New Roman" w:cs="Times New Roman"/>
                <w:sz w:val="16"/>
                <w:szCs w:val="16"/>
              </w:rPr>
              <w:t xml:space="preserve">відкриття відділу інформаційно-технічного забезпечення. </w:t>
            </w:r>
          </w:p>
          <w:p w:rsidR="00826DB3" w:rsidRPr="00826DB3" w:rsidRDefault="00826DB3" w:rsidP="00826DB3">
            <w:pPr>
              <w:ind w:firstLine="0"/>
              <w:jc w:val="both"/>
              <w:rPr>
                <w:rFonts w:ascii="Times New Roman" w:hAnsi="Times New Roman" w:cs="Times New Roman"/>
                <w:sz w:val="16"/>
                <w:szCs w:val="16"/>
              </w:rPr>
            </w:pPr>
            <w:r w:rsidRPr="00826DB3">
              <w:rPr>
                <w:rFonts w:ascii="Times New Roman" w:hAnsi="Times New Roman" w:cs="Times New Roman"/>
                <w:sz w:val="16"/>
                <w:szCs w:val="16"/>
              </w:rPr>
              <w:t>3.2. Приведення кількісного та якісного складу працівників фінансових та господарських підрозділів у відповідність до вимог чинного законодавства:</w:t>
            </w:r>
          </w:p>
          <w:p w:rsidR="00826DB3" w:rsidRPr="00826DB3" w:rsidRDefault="00826DB3" w:rsidP="002179DE">
            <w:pPr>
              <w:numPr>
                <w:ilvl w:val="0"/>
                <w:numId w:val="74"/>
              </w:numPr>
              <w:ind w:left="0" w:firstLine="0"/>
              <w:jc w:val="both"/>
              <w:rPr>
                <w:rFonts w:ascii="Times New Roman" w:hAnsi="Times New Roman" w:cs="Times New Roman"/>
                <w:sz w:val="16"/>
                <w:szCs w:val="16"/>
              </w:rPr>
            </w:pPr>
            <w:r w:rsidRPr="00826DB3">
              <w:rPr>
                <w:rFonts w:ascii="Times New Roman" w:hAnsi="Times New Roman" w:cs="Times New Roman"/>
                <w:sz w:val="16"/>
                <w:szCs w:val="16"/>
              </w:rPr>
              <w:t>визначення нормативу чисельності типового складу робіт та працівників;</w:t>
            </w:r>
          </w:p>
          <w:p w:rsidR="00826DB3" w:rsidRPr="00826DB3" w:rsidRDefault="00826DB3" w:rsidP="002179DE">
            <w:pPr>
              <w:numPr>
                <w:ilvl w:val="0"/>
                <w:numId w:val="74"/>
              </w:numPr>
              <w:ind w:left="0" w:firstLine="0"/>
              <w:jc w:val="both"/>
              <w:rPr>
                <w:rFonts w:ascii="Times New Roman" w:hAnsi="Times New Roman" w:cs="Times New Roman"/>
                <w:sz w:val="16"/>
                <w:szCs w:val="16"/>
              </w:rPr>
            </w:pPr>
            <w:r w:rsidRPr="00826DB3">
              <w:rPr>
                <w:rFonts w:ascii="Times New Roman" w:hAnsi="Times New Roman" w:cs="Times New Roman"/>
                <w:sz w:val="16"/>
                <w:szCs w:val="16"/>
              </w:rPr>
              <w:t>здійснення відбору працівників на основі оцінки професійно-кваліфікаційного рівня;</w:t>
            </w:r>
          </w:p>
          <w:p w:rsidR="00826DB3" w:rsidRPr="00826DB3" w:rsidRDefault="00826DB3" w:rsidP="002179DE">
            <w:pPr>
              <w:numPr>
                <w:ilvl w:val="0"/>
                <w:numId w:val="74"/>
              </w:numPr>
              <w:ind w:left="0" w:firstLine="0"/>
              <w:jc w:val="both"/>
              <w:rPr>
                <w:rFonts w:ascii="Times New Roman" w:hAnsi="Times New Roman" w:cs="Times New Roman"/>
                <w:sz w:val="16"/>
                <w:szCs w:val="16"/>
              </w:rPr>
            </w:pPr>
            <w:r w:rsidRPr="00826DB3">
              <w:rPr>
                <w:rFonts w:ascii="Times New Roman" w:hAnsi="Times New Roman" w:cs="Times New Roman"/>
                <w:sz w:val="16"/>
                <w:szCs w:val="16"/>
              </w:rPr>
              <w:t>забезпечення підвищення кваліфікаційного рівня протягом професійної діяльності.</w:t>
            </w:r>
          </w:p>
        </w:tc>
        <w:tc>
          <w:tcPr>
            <w:tcW w:w="1134" w:type="dxa"/>
          </w:tcPr>
          <w:p w:rsidR="00826DB3" w:rsidRPr="00826DB3" w:rsidRDefault="00826DB3" w:rsidP="00826DB3">
            <w:pPr>
              <w:ind w:firstLine="0"/>
              <w:jc w:val="both"/>
              <w:rPr>
                <w:rFonts w:ascii="Times New Roman" w:hAnsi="Times New Roman" w:cs="Times New Roman"/>
                <w:sz w:val="16"/>
                <w:szCs w:val="16"/>
              </w:rPr>
            </w:pPr>
          </w:p>
        </w:tc>
        <w:tc>
          <w:tcPr>
            <w:tcW w:w="850" w:type="dxa"/>
          </w:tcPr>
          <w:p w:rsidR="00826DB3" w:rsidRPr="00826DB3" w:rsidRDefault="00826DB3" w:rsidP="00826DB3">
            <w:pPr>
              <w:ind w:firstLine="0"/>
              <w:jc w:val="both"/>
              <w:rPr>
                <w:rFonts w:ascii="Times New Roman" w:hAnsi="Times New Roman" w:cs="Times New Roman"/>
                <w:sz w:val="16"/>
                <w:szCs w:val="16"/>
              </w:rPr>
            </w:pPr>
          </w:p>
        </w:tc>
      </w:tr>
      <w:tr w:rsidR="00826DB3" w:rsidRPr="00826DB3" w:rsidTr="00A61E33">
        <w:tc>
          <w:tcPr>
            <w:tcW w:w="9747" w:type="dxa"/>
            <w:gridSpan w:val="3"/>
          </w:tcPr>
          <w:p w:rsidR="00826DB3" w:rsidRPr="00826DB3" w:rsidRDefault="00826DB3" w:rsidP="00826DB3">
            <w:pPr>
              <w:ind w:firstLine="0"/>
              <w:jc w:val="both"/>
              <w:rPr>
                <w:rFonts w:ascii="Times New Roman" w:hAnsi="Times New Roman" w:cs="Times New Roman"/>
                <w:sz w:val="16"/>
                <w:szCs w:val="16"/>
              </w:rPr>
            </w:pPr>
            <w:r w:rsidRPr="00826DB3">
              <w:rPr>
                <w:rFonts w:ascii="Times New Roman" w:hAnsi="Times New Roman" w:cs="Times New Roman"/>
                <w:sz w:val="16"/>
                <w:szCs w:val="16"/>
              </w:rPr>
              <w:t>4. Створення автоматизованої системи управління фінансово-господарською діяльністю вищого навчального закладу.</w:t>
            </w:r>
          </w:p>
        </w:tc>
      </w:tr>
      <w:tr w:rsidR="00826DB3" w:rsidRPr="00826DB3" w:rsidTr="00826DB3">
        <w:tc>
          <w:tcPr>
            <w:tcW w:w="7763" w:type="dxa"/>
          </w:tcPr>
          <w:p w:rsidR="00826DB3" w:rsidRPr="00826DB3" w:rsidRDefault="00826DB3" w:rsidP="00826DB3">
            <w:pPr>
              <w:ind w:firstLine="0"/>
              <w:jc w:val="both"/>
              <w:rPr>
                <w:rFonts w:ascii="Times New Roman" w:hAnsi="Times New Roman" w:cs="Times New Roman"/>
                <w:sz w:val="16"/>
                <w:szCs w:val="16"/>
              </w:rPr>
            </w:pPr>
            <w:r w:rsidRPr="00826DB3">
              <w:rPr>
                <w:rFonts w:ascii="Times New Roman" w:hAnsi="Times New Roman" w:cs="Times New Roman"/>
                <w:sz w:val="16"/>
                <w:szCs w:val="16"/>
              </w:rPr>
              <w:t>4. Забезпечення належного інформаційного забезпечення:</w:t>
            </w:r>
          </w:p>
          <w:p w:rsidR="00826DB3" w:rsidRPr="00826DB3" w:rsidRDefault="00826DB3" w:rsidP="002179DE">
            <w:pPr>
              <w:numPr>
                <w:ilvl w:val="0"/>
                <w:numId w:val="74"/>
              </w:numPr>
              <w:ind w:left="0" w:firstLine="0"/>
              <w:jc w:val="both"/>
              <w:rPr>
                <w:rFonts w:ascii="Times New Roman" w:hAnsi="Times New Roman" w:cs="Times New Roman"/>
                <w:sz w:val="16"/>
                <w:szCs w:val="16"/>
              </w:rPr>
            </w:pPr>
            <w:r w:rsidRPr="00826DB3">
              <w:rPr>
                <w:rFonts w:ascii="Times New Roman" w:hAnsi="Times New Roman" w:cs="Times New Roman"/>
                <w:sz w:val="16"/>
                <w:szCs w:val="16"/>
              </w:rPr>
              <w:t>створення електронної системи доступу та обробки інформації;</w:t>
            </w:r>
          </w:p>
          <w:p w:rsidR="00826DB3" w:rsidRPr="00826DB3" w:rsidRDefault="00826DB3" w:rsidP="002179DE">
            <w:pPr>
              <w:numPr>
                <w:ilvl w:val="0"/>
                <w:numId w:val="74"/>
              </w:numPr>
              <w:ind w:left="0" w:firstLine="0"/>
              <w:jc w:val="both"/>
              <w:rPr>
                <w:rFonts w:ascii="Times New Roman" w:hAnsi="Times New Roman" w:cs="Times New Roman"/>
                <w:sz w:val="16"/>
                <w:szCs w:val="16"/>
              </w:rPr>
            </w:pPr>
            <w:r w:rsidRPr="00826DB3">
              <w:rPr>
                <w:rFonts w:ascii="Times New Roman" w:hAnsi="Times New Roman" w:cs="Times New Roman"/>
                <w:sz w:val="16"/>
                <w:szCs w:val="16"/>
              </w:rPr>
              <w:t>розробка і впровадження заходів, спрямованих на організацію комунікаційних зв’язків;</w:t>
            </w:r>
          </w:p>
          <w:p w:rsidR="00826DB3" w:rsidRPr="00826DB3" w:rsidRDefault="00826DB3" w:rsidP="002179DE">
            <w:pPr>
              <w:numPr>
                <w:ilvl w:val="0"/>
                <w:numId w:val="74"/>
              </w:numPr>
              <w:ind w:left="0" w:firstLine="0"/>
              <w:jc w:val="both"/>
              <w:rPr>
                <w:rFonts w:ascii="Times New Roman" w:hAnsi="Times New Roman" w:cs="Times New Roman"/>
                <w:sz w:val="16"/>
                <w:szCs w:val="16"/>
              </w:rPr>
            </w:pPr>
            <w:r w:rsidRPr="00826DB3">
              <w:rPr>
                <w:rFonts w:ascii="Times New Roman" w:hAnsi="Times New Roman" w:cs="Times New Roman"/>
                <w:sz w:val="16"/>
                <w:szCs w:val="16"/>
              </w:rPr>
              <w:t>розробка або придбання відповідного програмного забезпечення.</w:t>
            </w:r>
          </w:p>
        </w:tc>
        <w:tc>
          <w:tcPr>
            <w:tcW w:w="1134" w:type="dxa"/>
          </w:tcPr>
          <w:p w:rsidR="00826DB3" w:rsidRPr="00826DB3" w:rsidRDefault="00826DB3" w:rsidP="00826DB3">
            <w:pPr>
              <w:ind w:firstLine="0"/>
              <w:jc w:val="both"/>
              <w:rPr>
                <w:rFonts w:ascii="Times New Roman" w:hAnsi="Times New Roman" w:cs="Times New Roman"/>
                <w:sz w:val="16"/>
                <w:szCs w:val="16"/>
              </w:rPr>
            </w:pPr>
          </w:p>
        </w:tc>
        <w:tc>
          <w:tcPr>
            <w:tcW w:w="850" w:type="dxa"/>
          </w:tcPr>
          <w:p w:rsidR="00826DB3" w:rsidRPr="00826DB3" w:rsidRDefault="00826DB3" w:rsidP="00826DB3">
            <w:pPr>
              <w:ind w:firstLine="0"/>
              <w:jc w:val="both"/>
              <w:rPr>
                <w:rFonts w:ascii="Times New Roman" w:hAnsi="Times New Roman" w:cs="Times New Roman"/>
                <w:sz w:val="16"/>
                <w:szCs w:val="16"/>
              </w:rPr>
            </w:pPr>
          </w:p>
        </w:tc>
      </w:tr>
      <w:tr w:rsidR="00826DB3" w:rsidRPr="00826DB3" w:rsidTr="00A61E33">
        <w:tc>
          <w:tcPr>
            <w:tcW w:w="9747" w:type="dxa"/>
            <w:gridSpan w:val="3"/>
          </w:tcPr>
          <w:p w:rsidR="00826DB3" w:rsidRPr="00826DB3" w:rsidRDefault="00826DB3" w:rsidP="00826DB3">
            <w:pPr>
              <w:ind w:firstLine="0"/>
              <w:jc w:val="both"/>
              <w:rPr>
                <w:rFonts w:ascii="Times New Roman" w:hAnsi="Times New Roman" w:cs="Times New Roman"/>
                <w:sz w:val="16"/>
                <w:szCs w:val="16"/>
              </w:rPr>
            </w:pPr>
            <w:r w:rsidRPr="00826DB3">
              <w:rPr>
                <w:rFonts w:ascii="Times New Roman" w:hAnsi="Times New Roman" w:cs="Times New Roman"/>
                <w:sz w:val="16"/>
                <w:szCs w:val="16"/>
              </w:rPr>
              <w:t>5. Здійснення контролю за виконанням господарських операцій та дотриманням фінансової дисципліни.</w:t>
            </w:r>
          </w:p>
        </w:tc>
      </w:tr>
      <w:tr w:rsidR="00826DB3" w:rsidRPr="00826DB3" w:rsidTr="00826DB3">
        <w:trPr>
          <w:trHeight w:val="855"/>
        </w:trPr>
        <w:tc>
          <w:tcPr>
            <w:tcW w:w="7763" w:type="dxa"/>
          </w:tcPr>
          <w:p w:rsidR="00826DB3" w:rsidRPr="00826DB3" w:rsidRDefault="00826DB3" w:rsidP="00826DB3">
            <w:pPr>
              <w:ind w:firstLine="0"/>
              <w:jc w:val="both"/>
              <w:rPr>
                <w:rFonts w:ascii="Times New Roman" w:hAnsi="Times New Roman" w:cs="Times New Roman"/>
                <w:sz w:val="16"/>
                <w:szCs w:val="16"/>
              </w:rPr>
            </w:pPr>
            <w:r w:rsidRPr="00826DB3">
              <w:rPr>
                <w:rFonts w:ascii="Times New Roman" w:hAnsi="Times New Roman" w:cs="Times New Roman"/>
                <w:sz w:val="16"/>
                <w:szCs w:val="16"/>
              </w:rPr>
              <w:t>5.1.Створення системи внутрішнього аудиту та контролінгу:</w:t>
            </w:r>
          </w:p>
          <w:p w:rsidR="00826DB3" w:rsidRPr="00826DB3" w:rsidRDefault="00826DB3" w:rsidP="002179DE">
            <w:pPr>
              <w:numPr>
                <w:ilvl w:val="0"/>
                <w:numId w:val="74"/>
              </w:numPr>
              <w:ind w:left="0" w:firstLine="0"/>
              <w:jc w:val="both"/>
              <w:rPr>
                <w:rFonts w:ascii="Times New Roman" w:hAnsi="Times New Roman" w:cs="Times New Roman"/>
                <w:sz w:val="16"/>
                <w:szCs w:val="16"/>
              </w:rPr>
            </w:pPr>
            <w:r w:rsidRPr="00826DB3">
              <w:rPr>
                <w:rFonts w:ascii="Times New Roman" w:hAnsi="Times New Roman" w:cs="Times New Roman"/>
                <w:sz w:val="16"/>
                <w:szCs w:val="16"/>
              </w:rPr>
              <w:t>застосування методів оперативного контролінгу;</w:t>
            </w:r>
          </w:p>
          <w:p w:rsidR="00826DB3" w:rsidRPr="00826DB3" w:rsidRDefault="00826DB3" w:rsidP="002179DE">
            <w:pPr>
              <w:numPr>
                <w:ilvl w:val="0"/>
                <w:numId w:val="74"/>
              </w:numPr>
              <w:ind w:left="0" w:firstLine="0"/>
              <w:jc w:val="both"/>
              <w:rPr>
                <w:rFonts w:ascii="Times New Roman" w:hAnsi="Times New Roman" w:cs="Times New Roman"/>
                <w:sz w:val="16"/>
                <w:szCs w:val="16"/>
              </w:rPr>
            </w:pPr>
            <w:r w:rsidRPr="00826DB3">
              <w:rPr>
                <w:rFonts w:ascii="Times New Roman" w:hAnsi="Times New Roman" w:cs="Times New Roman"/>
                <w:sz w:val="16"/>
                <w:szCs w:val="16"/>
              </w:rPr>
              <w:t>експертна діагностика фінансово-господарського стану ВНЗ;</w:t>
            </w:r>
          </w:p>
          <w:p w:rsidR="00826DB3" w:rsidRPr="00826DB3" w:rsidRDefault="00826DB3" w:rsidP="002179DE">
            <w:pPr>
              <w:numPr>
                <w:ilvl w:val="0"/>
                <w:numId w:val="74"/>
              </w:numPr>
              <w:ind w:left="0" w:firstLine="0"/>
              <w:jc w:val="both"/>
              <w:rPr>
                <w:rFonts w:ascii="Times New Roman" w:hAnsi="Times New Roman" w:cs="Times New Roman"/>
                <w:sz w:val="16"/>
                <w:szCs w:val="16"/>
              </w:rPr>
            </w:pPr>
            <w:r w:rsidRPr="00826DB3">
              <w:rPr>
                <w:rFonts w:ascii="Times New Roman" w:hAnsi="Times New Roman" w:cs="Times New Roman"/>
                <w:sz w:val="16"/>
                <w:szCs w:val="16"/>
              </w:rPr>
              <w:t>підтримка ухвалення управлінських рішень.</w:t>
            </w:r>
          </w:p>
        </w:tc>
        <w:tc>
          <w:tcPr>
            <w:tcW w:w="1134" w:type="dxa"/>
          </w:tcPr>
          <w:p w:rsidR="00826DB3" w:rsidRPr="00826DB3" w:rsidRDefault="00826DB3" w:rsidP="00826DB3">
            <w:pPr>
              <w:ind w:firstLine="0"/>
              <w:jc w:val="both"/>
              <w:rPr>
                <w:rFonts w:ascii="Times New Roman" w:hAnsi="Times New Roman" w:cs="Times New Roman"/>
                <w:sz w:val="16"/>
                <w:szCs w:val="16"/>
              </w:rPr>
            </w:pPr>
          </w:p>
        </w:tc>
        <w:tc>
          <w:tcPr>
            <w:tcW w:w="850" w:type="dxa"/>
          </w:tcPr>
          <w:p w:rsidR="00826DB3" w:rsidRPr="00826DB3" w:rsidRDefault="00826DB3" w:rsidP="00826DB3">
            <w:pPr>
              <w:ind w:firstLine="0"/>
              <w:jc w:val="both"/>
              <w:rPr>
                <w:rFonts w:ascii="Times New Roman" w:hAnsi="Times New Roman" w:cs="Times New Roman"/>
                <w:sz w:val="16"/>
                <w:szCs w:val="16"/>
              </w:rPr>
            </w:pPr>
          </w:p>
        </w:tc>
      </w:tr>
    </w:tbl>
    <w:p w:rsidR="00826DB3" w:rsidRDefault="00826DB3" w:rsidP="00826DB3">
      <w:pPr>
        <w:tabs>
          <w:tab w:val="left" w:pos="0"/>
          <w:tab w:val="left" w:pos="180"/>
          <w:tab w:val="left" w:pos="993"/>
          <w:tab w:val="left" w:pos="1134"/>
        </w:tabs>
        <w:ind w:firstLine="709"/>
        <w:jc w:val="right"/>
        <w:rPr>
          <w:rFonts w:ascii="Times New Roman" w:hAnsi="Times New Roman" w:cs="Times New Roman"/>
          <w:sz w:val="21"/>
          <w:szCs w:val="21"/>
        </w:rPr>
      </w:pPr>
    </w:p>
    <w:p w:rsidR="00826DB3" w:rsidRDefault="00826DB3" w:rsidP="00826DB3">
      <w:pPr>
        <w:tabs>
          <w:tab w:val="left" w:pos="0"/>
          <w:tab w:val="left" w:pos="180"/>
          <w:tab w:val="left" w:pos="993"/>
          <w:tab w:val="left" w:pos="1134"/>
        </w:tabs>
        <w:ind w:firstLine="709"/>
        <w:jc w:val="right"/>
        <w:rPr>
          <w:rFonts w:ascii="Times New Roman" w:hAnsi="Times New Roman" w:cs="Times New Roman"/>
          <w:sz w:val="21"/>
          <w:szCs w:val="21"/>
        </w:rPr>
      </w:pPr>
    </w:p>
    <w:p w:rsidR="00826DB3" w:rsidRDefault="00826DB3" w:rsidP="00826DB3">
      <w:pPr>
        <w:tabs>
          <w:tab w:val="left" w:pos="0"/>
          <w:tab w:val="left" w:pos="180"/>
          <w:tab w:val="left" w:pos="993"/>
          <w:tab w:val="left" w:pos="1134"/>
        </w:tabs>
        <w:ind w:firstLine="709"/>
        <w:jc w:val="right"/>
        <w:rPr>
          <w:rFonts w:ascii="Times New Roman" w:hAnsi="Times New Roman" w:cs="Times New Roman"/>
          <w:sz w:val="21"/>
          <w:szCs w:val="21"/>
        </w:rPr>
      </w:pPr>
    </w:p>
    <w:p w:rsidR="00662748" w:rsidRDefault="00662748" w:rsidP="00A273F1">
      <w:pPr>
        <w:tabs>
          <w:tab w:val="left" w:pos="0"/>
          <w:tab w:val="left" w:pos="180"/>
          <w:tab w:val="left" w:pos="993"/>
          <w:tab w:val="left" w:pos="1134"/>
        </w:tabs>
        <w:ind w:firstLine="709"/>
        <w:jc w:val="both"/>
        <w:rPr>
          <w:rFonts w:ascii="Times New Roman" w:hAnsi="Times New Roman" w:cs="Times New Roman"/>
          <w:sz w:val="21"/>
          <w:szCs w:val="21"/>
        </w:rPr>
      </w:pPr>
    </w:p>
    <w:p w:rsidR="00826DB3" w:rsidRDefault="00826DB3" w:rsidP="00A273F1">
      <w:pPr>
        <w:tabs>
          <w:tab w:val="left" w:pos="0"/>
          <w:tab w:val="left" w:pos="180"/>
          <w:tab w:val="left" w:pos="993"/>
          <w:tab w:val="left" w:pos="1134"/>
        </w:tabs>
        <w:ind w:firstLine="709"/>
        <w:jc w:val="both"/>
        <w:rPr>
          <w:rFonts w:ascii="Times New Roman" w:hAnsi="Times New Roman" w:cs="Times New Roman"/>
          <w:sz w:val="21"/>
          <w:szCs w:val="21"/>
        </w:rPr>
        <w:sectPr w:rsidR="00826DB3" w:rsidSect="00826DB3">
          <w:pgSz w:w="11907" w:h="8392" w:orient="landscape" w:code="11"/>
          <w:pgMar w:top="1134" w:right="1134" w:bottom="1134" w:left="1134" w:header="709" w:footer="709" w:gutter="0"/>
          <w:cols w:space="708"/>
          <w:docGrid w:linePitch="360"/>
        </w:sectPr>
      </w:pPr>
    </w:p>
    <w:p w:rsidR="00662748" w:rsidRDefault="00826DB3" w:rsidP="00826DB3">
      <w:pPr>
        <w:tabs>
          <w:tab w:val="left" w:pos="0"/>
          <w:tab w:val="left" w:pos="180"/>
          <w:tab w:val="left" w:pos="993"/>
          <w:tab w:val="left" w:pos="1134"/>
        </w:tabs>
        <w:ind w:firstLine="709"/>
        <w:jc w:val="right"/>
        <w:rPr>
          <w:rFonts w:ascii="Times New Roman" w:hAnsi="Times New Roman" w:cs="Times New Roman"/>
          <w:sz w:val="21"/>
          <w:szCs w:val="21"/>
        </w:rPr>
      </w:pPr>
      <w:r>
        <w:rPr>
          <w:rFonts w:ascii="Times New Roman" w:hAnsi="Times New Roman" w:cs="Times New Roman"/>
          <w:sz w:val="21"/>
          <w:szCs w:val="21"/>
        </w:rPr>
        <w:lastRenderedPageBreak/>
        <w:t>ДОДАТОК Б</w:t>
      </w:r>
    </w:p>
    <w:p w:rsidR="00826DB3" w:rsidRDefault="00826DB3" w:rsidP="00A273F1">
      <w:pPr>
        <w:tabs>
          <w:tab w:val="left" w:pos="0"/>
          <w:tab w:val="left" w:pos="180"/>
          <w:tab w:val="left" w:pos="993"/>
          <w:tab w:val="left" w:pos="1134"/>
        </w:tabs>
        <w:ind w:firstLine="709"/>
        <w:jc w:val="both"/>
        <w:rPr>
          <w:rFonts w:ascii="Times New Roman" w:hAnsi="Times New Roman" w:cs="Times New Roman"/>
          <w:sz w:val="21"/>
          <w:szCs w:val="21"/>
        </w:rPr>
      </w:pPr>
    </w:p>
    <w:p w:rsidR="00826DB3" w:rsidRPr="00826DB3" w:rsidRDefault="00826DB3" w:rsidP="00826DB3">
      <w:pPr>
        <w:tabs>
          <w:tab w:val="left" w:pos="0"/>
          <w:tab w:val="left" w:pos="180"/>
          <w:tab w:val="left" w:pos="993"/>
          <w:tab w:val="left" w:pos="1134"/>
        </w:tabs>
        <w:ind w:firstLine="709"/>
        <w:jc w:val="center"/>
        <w:rPr>
          <w:rFonts w:ascii="Times New Roman" w:hAnsi="Times New Roman" w:cs="Times New Roman"/>
          <w:b/>
          <w:sz w:val="21"/>
          <w:szCs w:val="21"/>
        </w:rPr>
      </w:pPr>
      <w:r w:rsidRPr="00826DB3">
        <w:rPr>
          <w:rFonts w:ascii="Times New Roman" w:hAnsi="Times New Roman" w:cs="Times New Roman"/>
          <w:b/>
          <w:sz w:val="21"/>
          <w:szCs w:val="21"/>
        </w:rPr>
        <w:t>Звіт про стан фінансово-господарської діяльності університету</w:t>
      </w:r>
    </w:p>
    <w:p w:rsidR="00826DB3" w:rsidRDefault="00826DB3" w:rsidP="00A273F1">
      <w:pPr>
        <w:tabs>
          <w:tab w:val="left" w:pos="0"/>
          <w:tab w:val="left" w:pos="180"/>
          <w:tab w:val="left" w:pos="993"/>
          <w:tab w:val="left" w:pos="1134"/>
        </w:tabs>
        <w:ind w:firstLine="709"/>
        <w:jc w:val="both"/>
        <w:rPr>
          <w:rFonts w:ascii="Times New Roman" w:hAnsi="Times New Roman" w:cs="Times New Roman"/>
          <w:sz w:val="21"/>
          <w:szCs w:val="21"/>
        </w:rPr>
      </w:pPr>
    </w:p>
    <w:p w:rsidR="004A1A45" w:rsidRPr="007760E3" w:rsidRDefault="004A1A45" w:rsidP="00BF0F54">
      <w:pPr>
        <w:ind w:firstLine="709"/>
        <w:jc w:val="both"/>
        <w:rPr>
          <w:rFonts w:ascii="Times New Roman" w:hAnsi="Times New Roman" w:cs="Times New Roman"/>
          <w:sz w:val="21"/>
          <w:szCs w:val="21"/>
        </w:rPr>
      </w:pPr>
      <w:r w:rsidRPr="007760E3">
        <w:rPr>
          <w:rFonts w:ascii="Times New Roman" w:hAnsi="Times New Roman" w:cs="Times New Roman"/>
          <w:sz w:val="21"/>
          <w:szCs w:val="21"/>
        </w:rPr>
        <w:t>Розділ I. Залишки коштів на ба</w:t>
      </w:r>
      <w:r w:rsidR="00BF0F54">
        <w:rPr>
          <w:rFonts w:ascii="Times New Roman" w:hAnsi="Times New Roman" w:cs="Times New Roman"/>
          <w:sz w:val="21"/>
          <w:szCs w:val="21"/>
        </w:rPr>
        <w:t>нківських рахунках університету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5"/>
        <w:gridCol w:w="1056"/>
        <w:gridCol w:w="1114"/>
        <w:gridCol w:w="814"/>
        <w:gridCol w:w="933"/>
        <w:gridCol w:w="939"/>
        <w:gridCol w:w="829"/>
      </w:tblGrid>
      <w:tr w:rsidR="004A1A45" w:rsidRPr="007760E3" w:rsidTr="00A61E33">
        <w:tc>
          <w:tcPr>
            <w:tcW w:w="675" w:type="dxa"/>
          </w:tcPr>
          <w:p w:rsidR="004A1A45" w:rsidRPr="007760E3" w:rsidRDefault="004A1A45" w:rsidP="00BF0F54">
            <w:pPr>
              <w:ind w:firstLine="0"/>
              <w:jc w:val="center"/>
              <w:rPr>
                <w:rFonts w:ascii="Times New Roman" w:hAnsi="Times New Roman" w:cs="Times New Roman"/>
                <w:sz w:val="16"/>
                <w:szCs w:val="16"/>
              </w:rPr>
            </w:pPr>
            <w:r w:rsidRPr="007760E3">
              <w:rPr>
                <w:rFonts w:ascii="Times New Roman" w:hAnsi="Times New Roman" w:cs="Times New Roman"/>
                <w:sz w:val="16"/>
                <w:szCs w:val="16"/>
              </w:rPr>
              <w:t>Звітна дата</w:t>
            </w:r>
          </w:p>
        </w:tc>
        <w:tc>
          <w:tcPr>
            <w:tcW w:w="1056" w:type="dxa"/>
          </w:tcPr>
          <w:p w:rsidR="004A1A45" w:rsidRPr="007760E3" w:rsidRDefault="004A1A45" w:rsidP="00BF0F54">
            <w:pPr>
              <w:ind w:firstLine="0"/>
              <w:jc w:val="center"/>
              <w:rPr>
                <w:rFonts w:ascii="Times New Roman" w:hAnsi="Times New Roman" w:cs="Times New Roman"/>
                <w:sz w:val="16"/>
                <w:szCs w:val="16"/>
              </w:rPr>
            </w:pPr>
            <w:r w:rsidRPr="007760E3">
              <w:rPr>
                <w:rFonts w:ascii="Times New Roman" w:hAnsi="Times New Roman" w:cs="Times New Roman"/>
                <w:sz w:val="16"/>
                <w:szCs w:val="16"/>
              </w:rPr>
              <w:t>Банківський рахунок</w:t>
            </w:r>
          </w:p>
        </w:tc>
        <w:tc>
          <w:tcPr>
            <w:tcW w:w="1114" w:type="dxa"/>
          </w:tcPr>
          <w:p w:rsidR="004A1A45" w:rsidRPr="007760E3" w:rsidRDefault="004A1A45" w:rsidP="00BF0F54">
            <w:pPr>
              <w:ind w:firstLine="0"/>
              <w:jc w:val="center"/>
              <w:rPr>
                <w:rFonts w:ascii="Times New Roman" w:hAnsi="Times New Roman" w:cs="Times New Roman"/>
                <w:sz w:val="16"/>
                <w:szCs w:val="16"/>
              </w:rPr>
            </w:pPr>
            <w:r w:rsidRPr="007760E3">
              <w:rPr>
                <w:rFonts w:ascii="Times New Roman" w:hAnsi="Times New Roman" w:cs="Times New Roman"/>
                <w:sz w:val="16"/>
                <w:szCs w:val="16"/>
              </w:rPr>
              <w:t>Призначення</w:t>
            </w:r>
          </w:p>
        </w:tc>
        <w:tc>
          <w:tcPr>
            <w:tcW w:w="814" w:type="dxa"/>
          </w:tcPr>
          <w:p w:rsidR="004A1A45" w:rsidRPr="007760E3" w:rsidRDefault="004A1A45" w:rsidP="00BF0F54">
            <w:pPr>
              <w:ind w:firstLine="0"/>
              <w:jc w:val="center"/>
              <w:rPr>
                <w:rFonts w:ascii="Times New Roman" w:hAnsi="Times New Roman" w:cs="Times New Roman"/>
                <w:sz w:val="16"/>
                <w:szCs w:val="16"/>
              </w:rPr>
            </w:pPr>
            <w:r w:rsidRPr="007760E3">
              <w:rPr>
                <w:rFonts w:ascii="Times New Roman" w:hAnsi="Times New Roman" w:cs="Times New Roman"/>
                <w:sz w:val="16"/>
                <w:szCs w:val="16"/>
              </w:rPr>
              <w:t>Залишок на поча</w:t>
            </w:r>
            <w:r w:rsidR="00BF0F54">
              <w:rPr>
                <w:rFonts w:ascii="Times New Roman" w:hAnsi="Times New Roman" w:cs="Times New Roman"/>
                <w:sz w:val="16"/>
                <w:szCs w:val="16"/>
              </w:rPr>
              <w:t>-</w:t>
            </w:r>
            <w:r w:rsidRPr="00BF0F54">
              <w:rPr>
                <w:rFonts w:ascii="Times New Roman" w:hAnsi="Times New Roman" w:cs="Times New Roman"/>
                <w:spacing w:val="-6"/>
                <w:sz w:val="16"/>
                <w:szCs w:val="16"/>
              </w:rPr>
              <w:t>ток року,</w:t>
            </w:r>
          </w:p>
          <w:p w:rsidR="004A1A45" w:rsidRPr="007760E3" w:rsidRDefault="004A1A45" w:rsidP="00BF0F54">
            <w:pPr>
              <w:ind w:firstLine="0"/>
              <w:jc w:val="center"/>
              <w:rPr>
                <w:rFonts w:ascii="Times New Roman" w:hAnsi="Times New Roman" w:cs="Times New Roman"/>
                <w:sz w:val="16"/>
                <w:szCs w:val="16"/>
              </w:rPr>
            </w:pPr>
            <w:r w:rsidRPr="007760E3">
              <w:rPr>
                <w:rFonts w:ascii="Times New Roman" w:hAnsi="Times New Roman" w:cs="Times New Roman"/>
                <w:sz w:val="16"/>
                <w:szCs w:val="16"/>
              </w:rPr>
              <w:t>грн.</w:t>
            </w:r>
          </w:p>
        </w:tc>
        <w:tc>
          <w:tcPr>
            <w:tcW w:w="985" w:type="dxa"/>
          </w:tcPr>
          <w:p w:rsidR="004A1A45" w:rsidRPr="007760E3" w:rsidRDefault="004A1A45" w:rsidP="00BF0F54">
            <w:pPr>
              <w:ind w:firstLine="0"/>
              <w:jc w:val="center"/>
              <w:rPr>
                <w:rFonts w:ascii="Times New Roman" w:hAnsi="Times New Roman" w:cs="Times New Roman"/>
                <w:sz w:val="16"/>
                <w:szCs w:val="16"/>
              </w:rPr>
            </w:pPr>
            <w:r w:rsidRPr="007760E3">
              <w:rPr>
                <w:rFonts w:ascii="Times New Roman" w:hAnsi="Times New Roman" w:cs="Times New Roman"/>
                <w:sz w:val="16"/>
                <w:szCs w:val="16"/>
              </w:rPr>
              <w:t>Надійшло на раху</w:t>
            </w:r>
            <w:r w:rsidR="00BF0F54">
              <w:rPr>
                <w:rFonts w:ascii="Times New Roman" w:hAnsi="Times New Roman" w:cs="Times New Roman"/>
                <w:sz w:val="16"/>
                <w:szCs w:val="16"/>
              </w:rPr>
              <w:t>-</w:t>
            </w:r>
            <w:r w:rsidRPr="007760E3">
              <w:rPr>
                <w:rFonts w:ascii="Times New Roman" w:hAnsi="Times New Roman" w:cs="Times New Roman"/>
                <w:sz w:val="16"/>
                <w:szCs w:val="16"/>
              </w:rPr>
              <w:t>нок, грн.</w:t>
            </w:r>
          </w:p>
        </w:tc>
        <w:tc>
          <w:tcPr>
            <w:tcW w:w="1134" w:type="dxa"/>
          </w:tcPr>
          <w:p w:rsidR="00BF0F54" w:rsidRDefault="004A1A45" w:rsidP="00BF0F54">
            <w:pPr>
              <w:ind w:firstLine="0"/>
              <w:jc w:val="center"/>
              <w:rPr>
                <w:rFonts w:ascii="Times New Roman" w:hAnsi="Times New Roman" w:cs="Times New Roman"/>
                <w:sz w:val="16"/>
                <w:szCs w:val="16"/>
              </w:rPr>
            </w:pPr>
            <w:r w:rsidRPr="007760E3">
              <w:rPr>
                <w:rFonts w:ascii="Times New Roman" w:hAnsi="Times New Roman" w:cs="Times New Roman"/>
                <w:sz w:val="16"/>
                <w:szCs w:val="16"/>
              </w:rPr>
              <w:t xml:space="preserve">Знято коштів </w:t>
            </w:r>
          </w:p>
          <w:p w:rsidR="004A1A45" w:rsidRPr="007760E3" w:rsidRDefault="004A1A45" w:rsidP="00BF0F54">
            <w:pPr>
              <w:ind w:firstLine="0"/>
              <w:jc w:val="center"/>
              <w:rPr>
                <w:rFonts w:ascii="Times New Roman" w:hAnsi="Times New Roman" w:cs="Times New Roman"/>
                <w:sz w:val="16"/>
                <w:szCs w:val="16"/>
              </w:rPr>
            </w:pPr>
            <w:r w:rsidRPr="007760E3">
              <w:rPr>
                <w:rFonts w:ascii="Times New Roman" w:hAnsi="Times New Roman" w:cs="Times New Roman"/>
                <w:sz w:val="16"/>
                <w:szCs w:val="16"/>
              </w:rPr>
              <w:t>з рахунку, грн.</w:t>
            </w:r>
          </w:p>
        </w:tc>
        <w:tc>
          <w:tcPr>
            <w:tcW w:w="851" w:type="dxa"/>
          </w:tcPr>
          <w:p w:rsidR="004A1A45" w:rsidRPr="007760E3" w:rsidRDefault="004A1A45" w:rsidP="00BF0F54">
            <w:pPr>
              <w:ind w:firstLine="0"/>
              <w:jc w:val="center"/>
              <w:rPr>
                <w:rFonts w:ascii="Times New Roman" w:hAnsi="Times New Roman" w:cs="Times New Roman"/>
                <w:sz w:val="16"/>
                <w:szCs w:val="16"/>
              </w:rPr>
            </w:pPr>
            <w:r w:rsidRPr="007760E3">
              <w:rPr>
                <w:rFonts w:ascii="Times New Roman" w:hAnsi="Times New Roman" w:cs="Times New Roman"/>
                <w:sz w:val="16"/>
                <w:szCs w:val="16"/>
              </w:rPr>
              <w:t>Залишок коштів, грн.</w:t>
            </w:r>
          </w:p>
        </w:tc>
      </w:tr>
      <w:tr w:rsidR="004A1A45" w:rsidRPr="007760E3" w:rsidTr="00A61E33">
        <w:tc>
          <w:tcPr>
            <w:tcW w:w="675" w:type="dxa"/>
          </w:tcPr>
          <w:p w:rsidR="004A1A45" w:rsidRPr="007760E3" w:rsidRDefault="004A1A45" w:rsidP="00A61E33">
            <w:pPr>
              <w:jc w:val="both"/>
              <w:rPr>
                <w:rFonts w:ascii="Times New Roman" w:hAnsi="Times New Roman" w:cs="Times New Roman"/>
                <w:sz w:val="16"/>
                <w:szCs w:val="16"/>
              </w:rPr>
            </w:pPr>
          </w:p>
        </w:tc>
        <w:tc>
          <w:tcPr>
            <w:tcW w:w="1056" w:type="dxa"/>
          </w:tcPr>
          <w:p w:rsidR="004A1A45" w:rsidRPr="007760E3" w:rsidRDefault="004A1A45" w:rsidP="00A61E33">
            <w:pPr>
              <w:jc w:val="both"/>
              <w:rPr>
                <w:rFonts w:ascii="Times New Roman" w:hAnsi="Times New Roman" w:cs="Times New Roman"/>
                <w:sz w:val="16"/>
                <w:szCs w:val="16"/>
              </w:rPr>
            </w:pPr>
          </w:p>
        </w:tc>
        <w:tc>
          <w:tcPr>
            <w:tcW w:w="1114" w:type="dxa"/>
          </w:tcPr>
          <w:p w:rsidR="004A1A45" w:rsidRPr="007760E3" w:rsidRDefault="004A1A45" w:rsidP="00A61E33">
            <w:pPr>
              <w:jc w:val="both"/>
              <w:rPr>
                <w:rFonts w:ascii="Times New Roman" w:hAnsi="Times New Roman" w:cs="Times New Roman"/>
                <w:sz w:val="16"/>
                <w:szCs w:val="16"/>
              </w:rPr>
            </w:pPr>
          </w:p>
        </w:tc>
        <w:tc>
          <w:tcPr>
            <w:tcW w:w="814" w:type="dxa"/>
          </w:tcPr>
          <w:p w:rsidR="004A1A45" w:rsidRPr="007760E3" w:rsidRDefault="004A1A45" w:rsidP="00A61E33">
            <w:pPr>
              <w:jc w:val="both"/>
              <w:rPr>
                <w:rFonts w:ascii="Times New Roman" w:hAnsi="Times New Roman" w:cs="Times New Roman"/>
                <w:sz w:val="16"/>
                <w:szCs w:val="16"/>
              </w:rPr>
            </w:pPr>
          </w:p>
        </w:tc>
        <w:tc>
          <w:tcPr>
            <w:tcW w:w="985" w:type="dxa"/>
          </w:tcPr>
          <w:p w:rsidR="004A1A45" w:rsidRPr="007760E3" w:rsidRDefault="004A1A45" w:rsidP="00A61E33">
            <w:pPr>
              <w:jc w:val="both"/>
              <w:rPr>
                <w:rFonts w:ascii="Times New Roman" w:hAnsi="Times New Roman" w:cs="Times New Roman"/>
                <w:sz w:val="16"/>
                <w:szCs w:val="16"/>
              </w:rPr>
            </w:pPr>
          </w:p>
        </w:tc>
        <w:tc>
          <w:tcPr>
            <w:tcW w:w="1134" w:type="dxa"/>
          </w:tcPr>
          <w:p w:rsidR="004A1A45" w:rsidRPr="007760E3" w:rsidRDefault="004A1A45" w:rsidP="00A61E33">
            <w:pPr>
              <w:jc w:val="both"/>
              <w:rPr>
                <w:rFonts w:ascii="Times New Roman" w:hAnsi="Times New Roman" w:cs="Times New Roman"/>
                <w:sz w:val="16"/>
                <w:szCs w:val="16"/>
              </w:rPr>
            </w:pPr>
          </w:p>
        </w:tc>
        <w:tc>
          <w:tcPr>
            <w:tcW w:w="851" w:type="dxa"/>
          </w:tcPr>
          <w:p w:rsidR="004A1A45" w:rsidRPr="007760E3" w:rsidRDefault="004A1A45" w:rsidP="00A61E33">
            <w:pPr>
              <w:jc w:val="both"/>
              <w:rPr>
                <w:rFonts w:ascii="Times New Roman" w:hAnsi="Times New Roman" w:cs="Times New Roman"/>
                <w:sz w:val="16"/>
                <w:szCs w:val="16"/>
              </w:rPr>
            </w:pPr>
          </w:p>
        </w:tc>
      </w:tr>
      <w:tr w:rsidR="004A1A45" w:rsidRPr="007760E3" w:rsidTr="00A61E33">
        <w:tc>
          <w:tcPr>
            <w:tcW w:w="675" w:type="dxa"/>
          </w:tcPr>
          <w:p w:rsidR="004A1A45" w:rsidRPr="007760E3" w:rsidRDefault="004A1A45" w:rsidP="00A61E33">
            <w:pPr>
              <w:jc w:val="both"/>
              <w:rPr>
                <w:rFonts w:ascii="Times New Roman" w:hAnsi="Times New Roman" w:cs="Times New Roman"/>
                <w:sz w:val="16"/>
                <w:szCs w:val="16"/>
              </w:rPr>
            </w:pPr>
          </w:p>
        </w:tc>
        <w:tc>
          <w:tcPr>
            <w:tcW w:w="1056" w:type="dxa"/>
          </w:tcPr>
          <w:p w:rsidR="004A1A45" w:rsidRPr="007760E3" w:rsidRDefault="004A1A45" w:rsidP="00A61E33">
            <w:pPr>
              <w:jc w:val="both"/>
              <w:rPr>
                <w:rFonts w:ascii="Times New Roman" w:hAnsi="Times New Roman" w:cs="Times New Roman"/>
                <w:sz w:val="16"/>
                <w:szCs w:val="16"/>
              </w:rPr>
            </w:pPr>
          </w:p>
        </w:tc>
        <w:tc>
          <w:tcPr>
            <w:tcW w:w="1114" w:type="dxa"/>
          </w:tcPr>
          <w:p w:rsidR="004A1A45" w:rsidRPr="007760E3" w:rsidRDefault="004A1A45" w:rsidP="00A61E33">
            <w:pPr>
              <w:jc w:val="both"/>
              <w:rPr>
                <w:rFonts w:ascii="Times New Roman" w:hAnsi="Times New Roman" w:cs="Times New Roman"/>
                <w:sz w:val="16"/>
                <w:szCs w:val="16"/>
              </w:rPr>
            </w:pPr>
          </w:p>
        </w:tc>
        <w:tc>
          <w:tcPr>
            <w:tcW w:w="814" w:type="dxa"/>
          </w:tcPr>
          <w:p w:rsidR="004A1A45" w:rsidRPr="007760E3" w:rsidRDefault="004A1A45" w:rsidP="00A61E33">
            <w:pPr>
              <w:jc w:val="both"/>
              <w:rPr>
                <w:rFonts w:ascii="Times New Roman" w:hAnsi="Times New Roman" w:cs="Times New Roman"/>
                <w:sz w:val="16"/>
                <w:szCs w:val="16"/>
              </w:rPr>
            </w:pPr>
          </w:p>
        </w:tc>
        <w:tc>
          <w:tcPr>
            <w:tcW w:w="985" w:type="dxa"/>
          </w:tcPr>
          <w:p w:rsidR="004A1A45" w:rsidRPr="007760E3" w:rsidRDefault="004A1A45" w:rsidP="00A61E33">
            <w:pPr>
              <w:jc w:val="both"/>
              <w:rPr>
                <w:rFonts w:ascii="Times New Roman" w:hAnsi="Times New Roman" w:cs="Times New Roman"/>
                <w:sz w:val="16"/>
                <w:szCs w:val="16"/>
              </w:rPr>
            </w:pPr>
          </w:p>
        </w:tc>
        <w:tc>
          <w:tcPr>
            <w:tcW w:w="1134" w:type="dxa"/>
          </w:tcPr>
          <w:p w:rsidR="004A1A45" w:rsidRPr="007760E3" w:rsidRDefault="004A1A45" w:rsidP="00A61E33">
            <w:pPr>
              <w:jc w:val="both"/>
              <w:rPr>
                <w:rFonts w:ascii="Times New Roman" w:hAnsi="Times New Roman" w:cs="Times New Roman"/>
                <w:sz w:val="16"/>
                <w:szCs w:val="16"/>
              </w:rPr>
            </w:pPr>
          </w:p>
        </w:tc>
        <w:tc>
          <w:tcPr>
            <w:tcW w:w="851" w:type="dxa"/>
          </w:tcPr>
          <w:p w:rsidR="004A1A45" w:rsidRPr="007760E3" w:rsidRDefault="004A1A45" w:rsidP="00A61E33">
            <w:pPr>
              <w:jc w:val="both"/>
              <w:rPr>
                <w:rFonts w:ascii="Times New Roman" w:hAnsi="Times New Roman" w:cs="Times New Roman"/>
                <w:sz w:val="16"/>
                <w:szCs w:val="16"/>
              </w:rPr>
            </w:pPr>
          </w:p>
        </w:tc>
      </w:tr>
    </w:tbl>
    <w:p w:rsidR="004A1A45" w:rsidRPr="00BF0F54" w:rsidRDefault="004A1A45" w:rsidP="00BF0F54">
      <w:pPr>
        <w:ind w:firstLine="709"/>
        <w:jc w:val="both"/>
        <w:rPr>
          <w:rFonts w:ascii="Times New Roman" w:hAnsi="Times New Roman" w:cs="Times New Roman"/>
          <w:sz w:val="21"/>
          <w:szCs w:val="21"/>
        </w:rPr>
      </w:pPr>
    </w:p>
    <w:p w:rsidR="004A1A45" w:rsidRPr="00BF0F54" w:rsidRDefault="004A1A45" w:rsidP="00BF0F54">
      <w:pPr>
        <w:ind w:firstLine="709"/>
        <w:jc w:val="both"/>
        <w:rPr>
          <w:rFonts w:ascii="Times New Roman" w:hAnsi="Times New Roman" w:cs="Times New Roman"/>
          <w:sz w:val="21"/>
          <w:szCs w:val="21"/>
        </w:rPr>
      </w:pPr>
      <w:r w:rsidRPr="00BF0F54">
        <w:rPr>
          <w:rFonts w:ascii="Times New Roman" w:hAnsi="Times New Roman" w:cs="Times New Roman"/>
          <w:sz w:val="21"/>
          <w:szCs w:val="21"/>
        </w:rPr>
        <w:t>Розділ II. Стан виконання кошторисів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4"/>
        <w:gridCol w:w="1093"/>
        <w:gridCol w:w="1087"/>
        <w:gridCol w:w="1091"/>
        <w:gridCol w:w="1448"/>
        <w:gridCol w:w="987"/>
      </w:tblGrid>
      <w:tr w:rsidR="004A1A45" w:rsidRPr="007760E3" w:rsidTr="00BF0F54">
        <w:tc>
          <w:tcPr>
            <w:tcW w:w="634" w:type="dxa"/>
          </w:tcPr>
          <w:p w:rsidR="004A1A45" w:rsidRPr="007760E3" w:rsidRDefault="004A1A45" w:rsidP="00BF0F54">
            <w:pPr>
              <w:ind w:left="-30" w:right="-131" w:firstLine="0"/>
              <w:jc w:val="center"/>
              <w:rPr>
                <w:rFonts w:ascii="Times New Roman" w:hAnsi="Times New Roman" w:cs="Times New Roman"/>
                <w:sz w:val="16"/>
                <w:szCs w:val="16"/>
              </w:rPr>
            </w:pPr>
            <w:r w:rsidRPr="007760E3">
              <w:rPr>
                <w:rFonts w:ascii="Times New Roman" w:hAnsi="Times New Roman" w:cs="Times New Roman"/>
                <w:sz w:val="16"/>
                <w:szCs w:val="16"/>
              </w:rPr>
              <w:t>Звітна</w:t>
            </w:r>
          </w:p>
          <w:p w:rsidR="004A1A45" w:rsidRPr="007760E3" w:rsidRDefault="004A1A45" w:rsidP="00BF0F54">
            <w:pPr>
              <w:ind w:left="-30" w:right="-131" w:firstLine="0"/>
              <w:jc w:val="center"/>
              <w:rPr>
                <w:rFonts w:ascii="Times New Roman" w:hAnsi="Times New Roman" w:cs="Times New Roman"/>
                <w:sz w:val="16"/>
                <w:szCs w:val="16"/>
              </w:rPr>
            </w:pPr>
            <w:r w:rsidRPr="007760E3">
              <w:rPr>
                <w:rFonts w:ascii="Times New Roman" w:hAnsi="Times New Roman" w:cs="Times New Roman"/>
                <w:sz w:val="16"/>
                <w:szCs w:val="16"/>
              </w:rPr>
              <w:t>дата</w:t>
            </w:r>
          </w:p>
        </w:tc>
        <w:tc>
          <w:tcPr>
            <w:tcW w:w="1093" w:type="dxa"/>
          </w:tcPr>
          <w:p w:rsidR="004A1A45" w:rsidRPr="007760E3" w:rsidRDefault="004A1A45" w:rsidP="00BF0F54">
            <w:pPr>
              <w:ind w:left="-30" w:right="-131" w:firstLine="0"/>
              <w:jc w:val="center"/>
              <w:rPr>
                <w:rFonts w:ascii="Times New Roman" w:hAnsi="Times New Roman" w:cs="Times New Roman"/>
                <w:sz w:val="16"/>
                <w:szCs w:val="16"/>
              </w:rPr>
            </w:pPr>
            <w:r w:rsidRPr="007760E3">
              <w:rPr>
                <w:rFonts w:ascii="Times New Roman" w:hAnsi="Times New Roman" w:cs="Times New Roman"/>
                <w:sz w:val="16"/>
                <w:szCs w:val="16"/>
              </w:rPr>
              <w:t>Програмна класифікація</w:t>
            </w:r>
          </w:p>
          <w:p w:rsidR="004A1A45" w:rsidRPr="007760E3" w:rsidRDefault="004A1A45" w:rsidP="00BF0F54">
            <w:pPr>
              <w:ind w:left="-30" w:right="-131" w:firstLine="0"/>
              <w:jc w:val="center"/>
              <w:rPr>
                <w:rFonts w:ascii="Times New Roman" w:hAnsi="Times New Roman" w:cs="Times New Roman"/>
                <w:sz w:val="16"/>
                <w:szCs w:val="16"/>
              </w:rPr>
            </w:pPr>
            <w:r w:rsidRPr="007760E3">
              <w:rPr>
                <w:rFonts w:ascii="Times New Roman" w:hAnsi="Times New Roman" w:cs="Times New Roman"/>
                <w:sz w:val="16"/>
                <w:szCs w:val="16"/>
              </w:rPr>
              <w:t>(КЕКВ)</w:t>
            </w:r>
          </w:p>
        </w:tc>
        <w:tc>
          <w:tcPr>
            <w:tcW w:w="1087" w:type="dxa"/>
          </w:tcPr>
          <w:p w:rsidR="004A1A45" w:rsidRPr="007760E3" w:rsidRDefault="004A1A45" w:rsidP="00BF0F54">
            <w:pPr>
              <w:ind w:left="-30" w:right="-131" w:firstLine="0"/>
              <w:jc w:val="center"/>
              <w:rPr>
                <w:rFonts w:ascii="Times New Roman" w:hAnsi="Times New Roman" w:cs="Times New Roman"/>
                <w:sz w:val="16"/>
                <w:szCs w:val="16"/>
              </w:rPr>
            </w:pPr>
            <w:r w:rsidRPr="007760E3">
              <w:rPr>
                <w:rFonts w:ascii="Times New Roman" w:hAnsi="Times New Roman" w:cs="Times New Roman"/>
                <w:sz w:val="16"/>
                <w:szCs w:val="16"/>
              </w:rPr>
              <w:t>Назва програ</w:t>
            </w:r>
            <w:r w:rsidR="00BF0F54">
              <w:rPr>
                <w:rFonts w:ascii="Times New Roman" w:hAnsi="Times New Roman" w:cs="Times New Roman"/>
                <w:sz w:val="16"/>
                <w:szCs w:val="16"/>
              </w:rPr>
              <w:t>-</w:t>
            </w:r>
            <w:r w:rsidRPr="007760E3">
              <w:rPr>
                <w:rFonts w:ascii="Times New Roman" w:hAnsi="Times New Roman" w:cs="Times New Roman"/>
                <w:sz w:val="16"/>
                <w:szCs w:val="16"/>
              </w:rPr>
              <w:t>мної класифі</w:t>
            </w:r>
            <w:r w:rsidR="00BF0F54">
              <w:rPr>
                <w:rFonts w:ascii="Times New Roman" w:hAnsi="Times New Roman" w:cs="Times New Roman"/>
                <w:sz w:val="16"/>
                <w:szCs w:val="16"/>
              </w:rPr>
              <w:t>-</w:t>
            </w:r>
            <w:r w:rsidRPr="007760E3">
              <w:rPr>
                <w:rFonts w:ascii="Times New Roman" w:hAnsi="Times New Roman" w:cs="Times New Roman"/>
                <w:sz w:val="16"/>
                <w:szCs w:val="16"/>
              </w:rPr>
              <w:t>кації видатків</w:t>
            </w:r>
          </w:p>
        </w:tc>
        <w:tc>
          <w:tcPr>
            <w:tcW w:w="1091" w:type="dxa"/>
          </w:tcPr>
          <w:p w:rsidR="004A1A45" w:rsidRPr="007760E3" w:rsidRDefault="004A1A45" w:rsidP="00BF0F54">
            <w:pPr>
              <w:ind w:left="-30" w:right="-131" w:firstLine="0"/>
              <w:jc w:val="center"/>
              <w:rPr>
                <w:rFonts w:ascii="Times New Roman" w:hAnsi="Times New Roman" w:cs="Times New Roman"/>
                <w:sz w:val="16"/>
                <w:szCs w:val="16"/>
              </w:rPr>
            </w:pPr>
            <w:r w:rsidRPr="007760E3">
              <w:rPr>
                <w:rFonts w:ascii="Times New Roman" w:hAnsi="Times New Roman" w:cs="Times New Roman"/>
                <w:sz w:val="16"/>
                <w:szCs w:val="16"/>
              </w:rPr>
              <w:t>Затверджено по коштори</w:t>
            </w:r>
            <w:r w:rsidR="00BF0F54">
              <w:rPr>
                <w:rFonts w:ascii="Times New Roman" w:hAnsi="Times New Roman" w:cs="Times New Roman"/>
                <w:sz w:val="16"/>
                <w:szCs w:val="16"/>
              </w:rPr>
              <w:t>-</w:t>
            </w:r>
            <w:r w:rsidRPr="007760E3">
              <w:rPr>
                <w:rFonts w:ascii="Times New Roman" w:hAnsi="Times New Roman" w:cs="Times New Roman"/>
                <w:sz w:val="16"/>
                <w:szCs w:val="16"/>
              </w:rPr>
              <w:t>су, грн.</w:t>
            </w:r>
          </w:p>
        </w:tc>
        <w:tc>
          <w:tcPr>
            <w:tcW w:w="1448" w:type="dxa"/>
          </w:tcPr>
          <w:p w:rsidR="004A1A45" w:rsidRPr="007760E3" w:rsidRDefault="004A1A45" w:rsidP="00BF0F54">
            <w:pPr>
              <w:ind w:left="-30" w:right="-131" w:firstLine="0"/>
              <w:jc w:val="center"/>
              <w:rPr>
                <w:rFonts w:ascii="Times New Roman" w:hAnsi="Times New Roman" w:cs="Times New Roman"/>
                <w:sz w:val="16"/>
                <w:szCs w:val="16"/>
              </w:rPr>
            </w:pPr>
            <w:r w:rsidRPr="007760E3">
              <w:rPr>
                <w:rFonts w:ascii="Times New Roman" w:hAnsi="Times New Roman" w:cs="Times New Roman"/>
                <w:sz w:val="16"/>
                <w:szCs w:val="16"/>
              </w:rPr>
              <w:t>Виконано за над</w:t>
            </w:r>
            <w:r w:rsidR="00BF0F54">
              <w:rPr>
                <w:rFonts w:ascii="Times New Roman" w:hAnsi="Times New Roman" w:cs="Times New Roman"/>
                <w:sz w:val="16"/>
                <w:szCs w:val="16"/>
              </w:rPr>
              <w:t>-</w:t>
            </w:r>
            <w:r w:rsidRPr="007760E3">
              <w:rPr>
                <w:rFonts w:ascii="Times New Roman" w:hAnsi="Times New Roman" w:cs="Times New Roman"/>
                <w:sz w:val="16"/>
                <w:szCs w:val="16"/>
              </w:rPr>
              <w:t>ходженнями, грн.</w:t>
            </w:r>
          </w:p>
        </w:tc>
        <w:tc>
          <w:tcPr>
            <w:tcW w:w="987" w:type="dxa"/>
          </w:tcPr>
          <w:p w:rsidR="00BF0F54" w:rsidRDefault="004A1A45" w:rsidP="00BF0F54">
            <w:pPr>
              <w:ind w:left="-30" w:right="-131" w:firstLine="0"/>
              <w:jc w:val="center"/>
              <w:rPr>
                <w:rFonts w:ascii="Times New Roman" w:hAnsi="Times New Roman" w:cs="Times New Roman"/>
                <w:sz w:val="16"/>
                <w:szCs w:val="16"/>
              </w:rPr>
            </w:pPr>
            <w:r w:rsidRPr="007760E3">
              <w:rPr>
                <w:rFonts w:ascii="Times New Roman" w:hAnsi="Times New Roman" w:cs="Times New Roman"/>
                <w:sz w:val="16"/>
                <w:szCs w:val="16"/>
              </w:rPr>
              <w:t>Виконано</w:t>
            </w:r>
          </w:p>
          <w:p w:rsidR="004A1A45" w:rsidRPr="007760E3" w:rsidRDefault="004A1A45" w:rsidP="00BF0F54">
            <w:pPr>
              <w:ind w:left="-30" w:right="-131" w:firstLine="0"/>
              <w:jc w:val="center"/>
              <w:rPr>
                <w:rFonts w:ascii="Times New Roman" w:hAnsi="Times New Roman" w:cs="Times New Roman"/>
                <w:sz w:val="16"/>
                <w:szCs w:val="16"/>
              </w:rPr>
            </w:pPr>
            <w:r w:rsidRPr="007760E3">
              <w:rPr>
                <w:rFonts w:ascii="Times New Roman" w:hAnsi="Times New Roman" w:cs="Times New Roman"/>
                <w:sz w:val="16"/>
                <w:szCs w:val="16"/>
              </w:rPr>
              <w:t>за видатка</w:t>
            </w:r>
            <w:r w:rsidR="00BF0F54">
              <w:rPr>
                <w:rFonts w:ascii="Times New Roman" w:hAnsi="Times New Roman" w:cs="Times New Roman"/>
                <w:sz w:val="16"/>
                <w:szCs w:val="16"/>
              </w:rPr>
              <w:t>-</w:t>
            </w:r>
            <w:r w:rsidRPr="007760E3">
              <w:rPr>
                <w:rFonts w:ascii="Times New Roman" w:hAnsi="Times New Roman" w:cs="Times New Roman"/>
                <w:sz w:val="16"/>
                <w:szCs w:val="16"/>
              </w:rPr>
              <w:t>ми, грн.</w:t>
            </w:r>
          </w:p>
        </w:tc>
      </w:tr>
      <w:tr w:rsidR="004A1A45" w:rsidRPr="007760E3" w:rsidTr="00BF0F54">
        <w:tc>
          <w:tcPr>
            <w:tcW w:w="634" w:type="dxa"/>
          </w:tcPr>
          <w:p w:rsidR="004A1A45" w:rsidRPr="007760E3" w:rsidRDefault="004A1A45" w:rsidP="00A61E33">
            <w:pPr>
              <w:jc w:val="both"/>
              <w:rPr>
                <w:rFonts w:ascii="Times New Roman" w:hAnsi="Times New Roman" w:cs="Times New Roman"/>
                <w:sz w:val="16"/>
                <w:szCs w:val="16"/>
              </w:rPr>
            </w:pPr>
          </w:p>
        </w:tc>
        <w:tc>
          <w:tcPr>
            <w:tcW w:w="1093" w:type="dxa"/>
          </w:tcPr>
          <w:p w:rsidR="004A1A45" w:rsidRPr="007760E3" w:rsidRDefault="004A1A45" w:rsidP="00A61E33">
            <w:pPr>
              <w:jc w:val="both"/>
              <w:rPr>
                <w:rFonts w:ascii="Times New Roman" w:hAnsi="Times New Roman" w:cs="Times New Roman"/>
                <w:sz w:val="16"/>
                <w:szCs w:val="16"/>
              </w:rPr>
            </w:pPr>
          </w:p>
        </w:tc>
        <w:tc>
          <w:tcPr>
            <w:tcW w:w="1087" w:type="dxa"/>
          </w:tcPr>
          <w:p w:rsidR="004A1A45" w:rsidRPr="007760E3" w:rsidRDefault="004A1A45" w:rsidP="00A61E33">
            <w:pPr>
              <w:jc w:val="both"/>
              <w:rPr>
                <w:rFonts w:ascii="Times New Roman" w:hAnsi="Times New Roman" w:cs="Times New Roman"/>
                <w:sz w:val="16"/>
                <w:szCs w:val="16"/>
              </w:rPr>
            </w:pPr>
          </w:p>
        </w:tc>
        <w:tc>
          <w:tcPr>
            <w:tcW w:w="1091" w:type="dxa"/>
          </w:tcPr>
          <w:p w:rsidR="004A1A45" w:rsidRPr="007760E3" w:rsidRDefault="004A1A45" w:rsidP="00A61E33">
            <w:pPr>
              <w:jc w:val="both"/>
              <w:rPr>
                <w:rFonts w:ascii="Times New Roman" w:hAnsi="Times New Roman" w:cs="Times New Roman"/>
                <w:sz w:val="16"/>
                <w:szCs w:val="16"/>
              </w:rPr>
            </w:pPr>
          </w:p>
        </w:tc>
        <w:tc>
          <w:tcPr>
            <w:tcW w:w="1448" w:type="dxa"/>
          </w:tcPr>
          <w:p w:rsidR="004A1A45" w:rsidRPr="007760E3" w:rsidRDefault="004A1A45" w:rsidP="00A61E33">
            <w:pPr>
              <w:jc w:val="both"/>
              <w:rPr>
                <w:rFonts w:ascii="Times New Roman" w:hAnsi="Times New Roman" w:cs="Times New Roman"/>
                <w:sz w:val="16"/>
                <w:szCs w:val="16"/>
              </w:rPr>
            </w:pPr>
          </w:p>
        </w:tc>
        <w:tc>
          <w:tcPr>
            <w:tcW w:w="987" w:type="dxa"/>
          </w:tcPr>
          <w:p w:rsidR="004A1A45" w:rsidRPr="007760E3" w:rsidRDefault="004A1A45" w:rsidP="00A61E33">
            <w:pPr>
              <w:jc w:val="both"/>
              <w:rPr>
                <w:rFonts w:ascii="Times New Roman" w:hAnsi="Times New Roman" w:cs="Times New Roman"/>
                <w:sz w:val="16"/>
                <w:szCs w:val="16"/>
              </w:rPr>
            </w:pPr>
          </w:p>
        </w:tc>
      </w:tr>
      <w:tr w:rsidR="004A1A45" w:rsidRPr="007760E3" w:rsidTr="00BF0F54">
        <w:tc>
          <w:tcPr>
            <w:tcW w:w="634" w:type="dxa"/>
          </w:tcPr>
          <w:p w:rsidR="004A1A45" w:rsidRPr="007760E3" w:rsidRDefault="004A1A45" w:rsidP="00A61E33">
            <w:pPr>
              <w:jc w:val="both"/>
              <w:rPr>
                <w:rFonts w:ascii="Times New Roman" w:hAnsi="Times New Roman" w:cs="Times New Roman"/>
                <w:sz w:val="16"/>
                <w:szCs w:val="16"/>
              </w:rPr>
            </w:pPr>
          </w:p>
        </w:tc>
        <w:tc>
          <w:tcPr>
            <w:tcW w:w="1093" w:type="dxa"/>
          </w:tcPr>
          <w:p w:rsidR="004A1A45" w:rsidRPr="007760E3" w:rsidRDefault="004A1A45" w:rsidP="00A61E33">
            <w:pPr>
              <w:jc w:val="both"/>
              <w:rPr>
                <w:rFonts w:ascii="Times New Roman" w:hAnsi="Times New Roman" w:cs="Times New Roman"/>
                <w:sz w:val="16"/>
                <w:szCs w:val="16"/>
              </w:rPr>
            </w:pPr>
          </w:p>
        </w:tc>
        <w:tc>
          <w:tcPr>
            <w:tcW w:w="1087" w:type="dxa"/>
          </w:tcPr>
          <w:p w:rsidR="004A1A45" w:rsidRPr="007760E3" w:rsidRDefault="004A1A45" w:rsidP="00A61E33">
            <w:pPr>
              <w:jc w:val="both"/>
              <w:rPr>
                <w:rFonts w:ascii="Times New Roman" w:hAnsi="Times New Roman" w:cs="Times New Roman"/>
                <w:sz w:val="16"/>
                <w:szCs w:val="16"/>
              </w:rPr>
            </w:pPr>
          </w:p>
        </w:tc>
        <w:tc>
          <w:tcPr>
            <w:tcW w:w="1091" w:type="dxa"/>
          </w:tcPr>
          <w:p w:rsidR="004A1A45" w:rsidRPr="007760E3" w:rsidRDefault="004A1A45" w:rsidP="00A61E33">
            <w:pPr>
              <w:jc w:val="both"/>
              <w:rPr>
                <w:rFonts w:ascii="Times New Roman" w:hAnsi="Times New Roman" w:cs="Times New Roman"/>
                <w:sz w:val="16"/>
                <w:szCs w:val="16"/>
              </w:rPr>
            </w:pPr>
          </w:p>
        </w:tc>
        <w:tc>
          <w:tcPr>
            <w:tcW w:w="1448" w:type="dxa"/>
          </w:tcPr>
          <w:p w:rsidR="004A1A45" w:rsidRPr="007760E3" w:rsidRDefault="004A1A45" w:rsidP="00A61E33">
            <w:pPr>
              <w:jc w:val="both"/>
              <w:rPr>
                <w:rFonts w:ascii="Times New Roman" w:hAnsi="Times New Roman" w:cs="Times New Roman"/>
                <w:sz w:val="16"/>
                <w:szCs w:val="16"/>
              </w:rPr>
            </w:pPr>
          </w:p>
        </w:tc>
        <w:tc>
          <w:tcPr>
            <w:tcW w:w="987" w:type="dxa"/>
          </w:tcPr>
          <w:p w:rsidR="004A1A45" w:rsidRPr="007760E3" w:rsidRDefault="004A1A45" w:rsidP="00A61E33">
            <w:pPr>
              <w:jc w:val="both"/>
              <w:rPr>
                <w:rFonts w:ascii="Times New Roman" w:hAnsi="Times New Roman" w:cs="Times New Roman"/>
                <w:sz w:val="16"/>
                <w:szCs w:val="16"/>
              </w:rPr>
            </w:pPr>
          </w:p>
        </w:tc>
      </w:tr>
    </w:tbl>
    <w:p w:rsidR="004A1A45" w:rsidRPr="00BF0F54" w:rsidRDefault="004A1A45" w:rsidP="00BF0F54">
      <w:pPr>
        <w:ind w:firstLine="709"/>
        <w:jc w:val="both"/>
        <w:rPr>
          <w:rFonts w:ascii="Times New Roman" w:hAnsi="Times New Roman" w:cs="Times New Roman"/>
          <w:sz w:val="21"/>
          <w:szCs w:val="21"/>
        </w:rPr>
      </w:pPr>
    </w:p>
    <w:p w:rsidR="004A1A45" w:rsidRPr="00BF0F54" w:rsidRDefault="004A1A45" w:rsidP="00BF0F54">
      <w:pPr>
        <w:ind w:firstLine="709"/>
        <w:jc w:val="both"/>
        <w:rPr>
          <w:rFonts w:ascii="Times New Roman" w:hAnsi="Times New Roman" w:cs="Times New Roman"/>
          <w:sz w:val="21"/>
          <w:szCs w:val="21"/>
        </w:rPr>
      </w:pPr>
      <w:r w:rsidRPr="00BF0F54">
        <w:rPr>
          <w:rFonts w:ascii="Times New Roman" w:hAnsi="Times New Roman" w:cs="Times New Roman"/>
          <w:sz w:val="21"/>
          <w:szCs w:val="21"/>
        </w:rPr>
        <w:t>Розділ III. Стан використання лімітів на відрядження</w:t>
      </w:r>
    </w:p>
    <w:tbl>
      <w:tblPr>
        <w:tblW w:w="6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26"/>
        <w:gridCol w:w="992"/>
        <w:gridCol w:w="567"/>
        <w:gridCol w:w="851"/>
        <w:gridCol w:w="1134"/>
        <w:gridCol w:w="1275"/>
      </w:tblGrid>
      <w:tr w:rsidR="00BF0F54" w:rsidRPr="007760E3" w:rsidTr="00BF0F54">
        <w:tc>
          <w:tcPr>
            <w:tcW w:w="1526" w:type="dxa"/>
            <w:vMerge w:val="restart"/>
            <w:vAlign w:val="center"/>
          </w:tcPr>
          <w:p w:rsidR="00BF0F54" w:rsidRPr="007760E3" w:rsidRDefault="00BF0F54" w:rsidP="00BF0F54">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Підрозділ (фонд, тема НДР)</w:t>
            </w:r>
          </w:p>
        </w:tc>
        <w:tc>
          <w:tcPr>
            <w:tcW w:w="992" w:type="dxa"/>
            <w:vMerge w:val="restart"/>
            <w:vAlign w:val="center"/>
          </w:tcPr>
          <w:p w:rsidR="00BF0F54" w:rsidRPr="007760E3" w:rsidRDefault="00BF0F54" w:rsidP="00BF0F54">
            <w:pPr>
              <w:ind w:right="-108" w:firstLine="0"/>
              <w:jc w:val="center"/>
              <w:rPr>
                <w:rFonts w:ascii="Times New Roman" w:hAnsi="Times New Roman" w:cs="Times New Roman"/>
                <w:sz w:val="16"/>
                <w:szCs w:val="16"/>
              </w:rPr>
            </w:pPr>
            <w:r>
              <w:rPr>
                <w:rFonts w:ascii="Times New Roman" w:hAnsi="Times New Roman" w:cs="Times New Roman"/>
                <w:sz w:val="16"/>
                <w:szCs w:val="16"/>
              </w:rPr>
              <w:t xml:space="preserve">Ліміти на рік, </w:t>
            </w:r>
            <w:r w:rsidRPr="007760E3">
              <w:rPr>
                <w:rFonts w:ascii="Times New Roman" w:hAnsi="Times New Roman" w:cs="Times New Roman"/>
                <w:sz w:val="16"/>
                <w:szCs w:val="16"/>
              </w:rPr>
              <w:t>грн.</w:t>
            </w:r>
          </w:p>
        </w:tc>
        <w:tc>
          <w:tcPr>
            <w:tcW w:w="1418" w:type="dxa"/>
            <w:gridSpan w:val="2"/>
            <w:vAlign w:val="center"/>
          </w:tcPr>
          <w:p w:rsidR="00BF0F54" w:rsidRPr="007760E3" w:rsidRDefault="00BF0F54" w:rsidP="00BF0F54">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Видатки з початку року</w:t>
            </w:r>
          </w:p>
        </w:tc>
        <w:tc>
          <w:tcPr>
            <w:tcW w:w="1134" w:type="dxa"/>
            <w:vMerge w:val="restart"/>
            <w:vAlign w:val="center"/>
          </w:tcPr>
          <w:p w:rsidR="00BF0F54" w:rsidRPr="007760E3" w:rsidRDefault="00BF0F54" w:rsidP="00BF0F54">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Залишок по лімітах, грн.</w:t>
            </w:r>
          </w:p>
        </w:tc>
        <w:tc>
          <w:tcPr>
            <w:tcW w:w="1275" w:type="dxa"/>
            <w:vMerge w:val="restart"/>
            <w:vAlign w:val="center"/>
          </w:tcPr>
          <w:p w:rsidR="00BF0F54" w:rsidRPr="007760E3" w:rsidRDefault="00BF0F54" w:rsidP="00BF0F54">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Залишок по кошторису, грн.</w:t>
            </w:r>
          </w:p>
        </w:tc>
      </w:tr>
      <w:tr w:rsidR="00BF0F54" w:rsidRPr="007760E3" w:rsidTr="00BF0F54">
        <w:tc>
          <w:tcPr>
            <w:tcW w:w="1526" w:type="dxa"/>
            <w:vMerge/>
          </w:tcPr>
          <w:p w:rsidR="00BF0F54" w:rsidRPr="007760E3" w:rsidRDefault="00BF0F54" w:rsidP="00BF0F54">
            <w:pPr>
              <w:ind w:right="-108" w:firstLine="0"/>
              <w:jc w:val="center"/>
              <w:rPr>
                <w:rFonts w:ascii="Times New Roman" w:hAnsi="Times New Roman" w:cs="Times New Roman"/>
                <w:sz w:val="16"/>
                <w:szCs w:val="16"/>
              </w:rPr>
            </w:pPr>
          </w:p>
        </w:tc>
        <w:tc>
          <w:tcPr>
            <w:tcW w:w="992" w:type="dxa"/>
            <w:vMerge/>
          </w:tcPr>
          <w:p w:rsidR="00BF0F54" w:rsidRPr="007760E3" w:rsidRDefault="00BF0F54" w:rsidP="00BF0F54">
            <w:pPr>
              <w:ind w:right="-108" w:firstLine="0"/>
              <w:jc w:val="center"/>
              <w:rPr>
                <w:rFonts w:ascii="Times New Roman" w:hAnsi="Times New Roman" w:cs="Times New Roman"/>
                <w:sz w:val="16"/>
                <w:szCs w:val="16"/>
              </w:rPr>
            </w:pPr>
          </w:p>
        </w:tc>
        <w:tc>
          <w:tcPr>
            <w:tcW w:w="567" w:type="dxa"/>
            <w:vAlign w:val="center"/>
          </w:tcPr>
          <w:p w:rsidR="00BF0F54" w:rsidRPr="007760E3" w:rsidRDefault="00BF0F54" w:rsidP="00BF0F54">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w:t>
            </w:r>
          </w:p>
        </w:tc>
        <w:tc>
          <w:tcPr>
            <w:tcW w:w="851" w:type="dxa"/>
            <w:vAlign w:val="center"/>
          </w:tcPr>
          <w:p w:rsidR="00BF0F54" w:rsidRPr="007760E3" w:rsidRDefault="00BF0F54" w:rsidP="00BF0F54">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Сума, грн.</w:t>
            </w:r>
          </w:p>
        </w:tc>
        <w:tc>
          <w:tcPr>
            <w:tcW w:w="1134" w:type="dxa"/>
            <w:vMerge/>
          </w:tcPr>
          <w:p w:rsidR="00BF0F54" w:rsidRPr="007760E3" w:rsidRDefault="00BF0F54" w:rsidP="00BF0F54">
            <w:pPr>
              <w:ind w:right="-108" w:firstLine="0"/>
              <w:jc w:val="center"/>
              <w:rPr>
                <w:rFonts w:ascii="Times New Roman" w:hAnsi="Times New Roman" w:cs="Times New Roman"/>
                <w:sz w:val="16"/>
                <w:szCs w:val="16"/>
              </w:rPr>
            </w:pPr>
          </w:p>
        </w:tc>
        <w:tc>
          <w:tcPr>
            <w:tcW w:w="1275" w:type="dxa"/>
            <w:vMerge/>
          </w:tcPr>
          <w:p w:rsidR="00BF0F54" w:rsidRPr="007760E3" w:rsidRDefault="00BF0F54" w:rsidP="00BF0F54">
            <w:pPr>
              <w:ind w:right="-108" w:firstLine="0"/>
              <w:jc w:val="center"/>
              <w:rPr>
                <w:rFonts w:ascii="Times New Roman" w:hAnsi="Times New Roman" w:cs="Times New Roman"/>
                <w:sz w:val="16"/>
                <w:szCs w:val="16"/>
              </w:rPr>
            </w:pPr>
          </w:p>
        </w:tc>
      </w:tr>
      <w:tr w:rsidR="00BF0F54" w:rsidRPr="007760E3" w:rsidTr="00BF0F54">
        <w:tc>
          <w:tcPr>
            <w:tcW w:w="1526" w:type="dxa"/>
          </w:tcPr>
          <w:p w:rsidR="004A1A45" w:rsidRPr="007760E3" w:rsidRDefault="004A1A45" w:rsidP="00A61E33">
            <w:pPr>
              <w:jc w:val="both"/>
              <w:rPr>
                <w:rFonts w:ascii="Times New Roman" w:hAnsi="Times New Roman" w:cs="Times New Roman"/>
                <w:sz w:val="16"/>
                <w:szCs w:val="16"/>
              </w:rPr>
            </w:pPr>
          </w:p>
        </w:tc>
        <w:tc>
          <w:tcPr>
            <w:tcW w:w="992" w:type="dxa"/>
          </w:tcPr>
          <w:p w:rsidR="004A1A45" w:rsidRPr="007760E3" w:rsidRDefault="004A1A45" w:rsidP="00A61E33">
            <w:pPr>
              <w:jc w:val="both"/>
              <w:rPr>
                <w:rFonts w:ascii="Times New Roman" w:hAnsi="Times New Roman" w:cs="Times New Roman"/>
                <w:sz w:val="16"/>
                <w:szCs w:val="16"/>
              </w:rPr>
            </w:pPr>
          </w:p>
        </w:tc>
        <w:tc>
          <w:tcPr>
            <w:tcW w:w="567" w:type="dxa"/>
          </w:tcPr>
          <w:p w:rsidR="004A1A45" w:rsidRPr="007760E3" w:rsidRDefault="004A1A45" w:rsidP="00A61E33">
            <w:pPr>
              <w:jc w:val="both"/>
              <w:rPr>
                <w:rFonts w:ascii="Times New Roman" w:hAnsi="Times New Roman" w:cs="Times New Roman"/>
                <w:sz w:val="16"/>
                <w:szCs w:val="16"/>
              </w:rPr>
            </w:pPr>
          </w:p>
        </w:tc>
        <w:tc>
          <w:tcPr>
            <w:tcW w:w="851" w:type="dxa"/>
          </w:tcPr>
          <w:p w:rsidR="004A1A45" w:rsidRPr="007760E3" w:rsidRDefault="004A1A45" w:rsidP="00A61E33">
            <w:pPr>
              <w:jc w:val="both"/>
              <w:rPr>
                <w:rFonts w:ascii="Times New Roman" w:hAnsi="Times New Roman" w:cs="Times New Roman"/>
                <w:sz w:val="16"/>
                <w:szCs w:val="16"/>
              </w:rPr>
            </w:pPr>
          </w:p>
        </w:tc>
        <w:tc>
          <w:tcPr>
            <w:tcW w:w="1134" w:type="dxa"/>
          </w:tcPr>
          <w:p w:rsidR="004A1A45" w:rsidRPr="007760E3" w:rsidRDefault="004A1A45" w:rsidP="00A61E33">
            <w:pPr>
              <w:jc w:val="both"/>
              <w:rPr>
                <w:rFonts w:ascii="Times New Roman" w:hAnsi="Times New Roman" w:cs="Times New Roman"/>
                <w:sz w:val="16"/>
                <w:szCs w:val="16"/>
              </w:rPr>
            </w:pPr>
          </w:p>
        </w:tc>
        <w:tc>
          <w:tcPr>
            <w:tcW w:w="1275" w:type="dxa"/>
          </w:tcPr>
          <w:p w:rsidR="004A1A45" w:rsidRPr="007760E3" w:rsidRDefault="004A1A45" w:rsidP="00A61E33">
            <w:pPr>
              <w:jc w:val="both"/>
              <w:rPr>
                <w:rFonts w:ascii="Times New Roman" w:hAnsi="Times New Roman" w:cs="Times New Roman"/>
                <w:sz w:val="16"/>
                <w:szCs w:val="16"/>
              </w:rPr>
            </w:pPr>
          </w:p>
        </w:tc>
      </w:tr>
      <w:tr w:rsidR="00BF0F54" w:rsidRPr="007760E3" w:rsidTr="00BF0F54">
        <w:tc>
          <w:tcPr>
            <w:tcW w:w="1526" w:type="dxa"/>
          </w:tcPr>
          <w:p w:rsidR="004A1A45" w:rsidRPr="007760E3" w:rsidRDefault="004A1A45" w:rsidP="00A61E33">
            <w:pPr>
              <w:jc w:val="both"/>
              <w:rPr>
                <w:rFonts w:ascii="Times New Roman" w:hAnsi="Times New Roman" w:cs="Times New Roman"/>
                <w:sz w:val="16"/>
                <w:szCs w:val="16"/>
              </w:rPr>
            </w:pPr>
          </w:p>
        </w:tc>
        <w:tc>
          <w:tcPr>
            <w:tcW w:w="992" w:type="dxa"/>
          </w:tcPr>
          <w:p w:rsidR="004A1A45" w:rsidRPr="007760E3" w:rsidRDefault="004A1A45" w:rsidP="00A61E33">
            <w:pPr>
              <w:jc w:val="both"/>
              <w:rPr>
                <w:rFonts w:ascii="Times New Roman" w:hAnsi="Times New Roman" w:cs="Times New Roman"/>
                <w:sz w:val="16"/>
                <w:szCs w:val="16"/>
              </w:rPr>
            </w:pPr>
          </w:p>
        </w:tc>
        <w:tc>
          <w:tcPr>
            <w:tcW w:w="567" w:type="dxa"/>
          </w:tcPr>
          <w:p w:rsidR="004A1A45" w:rsidRPr="007760E3" w:rsidRDefault="004A1A45" w:rsidP="00A61E33">
            <w:pPr>
              <w:jc w:val="both"/>
              <w:rPr>
                <w:rFonts w:ascii="Times New Roman" w:hAnsi="Times New Roman" w:cs="Times New Roman"/>
                <w:sz w:val="16"/>
                <w:szCs w:val="16"/>
              </w:rPr>
            </w:pPr>
          </w:p>
        </w:tc>
        <w:tc>
          <w:tcPr>
            <w:tcW w:w="851" w:type="dxa"/>
          </w:tcPr>
          <w:p w:rsidR="004A1A45" w:rsidRPr="007760E3" w:rsidRDefault="004A1A45" w:rsidP="00A61E33">
            <w:pPr>
              <w:jc w:val="both"/>
              <w:rPr>
                <w:rFonts w:ascii="Times New Roman" w:hAnsi="Times New Roman" w:cs="Times New Roman"/>
                <w:sz w:val="16"/>
                <w:szCs w:val="16"/>
              </w:rPr>
            </w:pPr>
          </w:p>
        </w:tc>
        <w:tc>
          <w:tcPr>
            <w:tcW w:w="1134" w:type="dxa"/>
          </w:tcPr>
          <w:p w:rsidR="004A1A45" w:rsidRPr="007760E3" w:rsidRDefault="004A1A45" w:rsidP="00A61E33">
            <w:pPr>
              <w:jc w:val="both"/>
              <w:rPr>
                <w:rFonts w:ascii="Times New Roman" w:hAnsi="Times New Roman" w:cs="Times New Roman"/>
                <w:sz w:val="16"/>
                <w:szCs w:val="16"/>
              </w:rPr>
            </w:pPr>
          </w:p>
        </w:tc>
        <w:tc>
          <w:tcPr>
            <w:tcW w:w="1275" w:type="dxa"/>
          </w:tcPr>
          <w:p w:rsidR="004A1A45" w:rsidRPr="007760E3" w:rsidRDefault="004A1A45" w:rsidP="00A61E33">
            <w:pPr>
              <w:jc w:val="both"/>
              <w:rPr>
                <w:rFonts w:ascii="Times New Roman" w:hAnsi="Times New Roman" w:cs="Times New Roman"/>
                <w:sz w:val="16"/>
                <w:szCs w:val="16"/>
              </w:rPr>
            </w:pPr>
          </w:p>
        </w:tc>
      </w:tr>
    </w:tbl>
    <w:p w:rsidR="004A1A45" w:rsidRPr="00BF0F54" w:rsidRDefault="004A1A45" w:rsidP="00BF0F54">
      <w:pPr>
        <w:ind w:firstLine="709"/>
        <w:jc w:val="both"/>
        <w:rPr>
          <w:rFonts w:ascii="Times New Roman" w:hAnsi="Times New Roman" w:cs="Times New Roman"/>
          <w:sz w:val="21"/>
          <w:szCs w:val="21"/>
        </w:rPr>
      </w:pPr>
    </w:p>
    <w:p w:rsidR="004A1A45" w:rsidRPr="00BF0F54" w:rsidRDefault="004A1A45" w:rsidP="00BF0F54">
      <w:pPr>
        <w:ind w:firstLine="709"/>
        <w:jc w:val="both"/>
        <w:rPr>
          <w:rFonts w:ascii="Times New Roman" w:hAnsi="Times New Roman" w:cs="Times New Roman"/>
          <w:sz w:val="21"/>
          <w:szCs w:val="21"/>
        </w:rPr>
      </w:pPr>
      <w:r w:rsidRPr="00BF0F54">
        <w:rPr>
          <w:rFonts w:ascii="Times New Roman" w:hAnsi="Times New Roman" w:cs="Times New Roman"/>
          <w:sz w:val="21"/>
          <w:szCs w:val="21"/>
        </w:rPr>
        <w:t>Розділ IV. Звіт про виконання плану надходжень по оплаті наданих освітніх послуг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3"/>
        <w:gridCol w:w="680"/>
        <w:gridCol w:w="975"/>
        <w:gridCol w:w="1062"/>
        <w:gridCol w:w="1126"/>
        <w:gridCol w:w="579"/>
        <w:gridCol w:w="975"/>
      </w:tblGrid>
      <w:tr w:rsidR="004A1A45" w:rsidRPr="007760E3" w:rsidTr="00BF0F54">
        <w:tc>
          <w:tcPr>
            <w:tcW w:w="943" w:type="dxa"/>
            <w:vMerge w:val="restart"/>
          </w:tcPr>
          <w:p w:rsidR="004A1A45" w:rsidRPr="007760E3" w:rsidRDefault="004A1A45" w:rsidP="00ED0E93">
            <w:pPr>
              <w:ind w:right="-117" w:firstLine="0"/>
              <w:jc w:val="both"/>
              <w:rPr>
                <w:rFonts w:ascii="Times New Roman" w:hAnsi="Times New Roman" w:cs="Times New Roman"/>
                <w:sz w:val="16"/>
                <w:szCs w:val="16"/>
              </w:rPr>
            </w:pPr>
            <w:r w:rsidRPr="007760E3">
              <w:rPr>
                <w:rFonts w:ascii="Times New Roman" w:hAnsi="Times New Roman" w:cs="Times New Roman"/>
                <w:sz w:val="16"/>
                <w:szCs w:val="16"/>
              </w:rPr>
              <w:t>Факультет</w:t>
            </w:r>
          </w:p>
        </w:tc>
        <w:tc>
          <w:tcPr>
            <w:tcW w:w="1655" w:type="dxa"/>
            <w:gridSpan w:val="2"/>
          </w:tcPr>
          <w:p w:rsidR="004A1A45" w:rsidRPr="007760E3" w:rsidRDefault="004A1A45" w:rsidP="00ED0E93">
            <w:pPr>
              <w:ind w:right="-117" w:firstLine="0"/>
              <w:jc w:val="both"/>
              <w:rPr>
                <w:rFonts w:ascii="Times New Roman" w:hAnsi="Times New Roman" w:cs="Times New Roman"/>
                <w:sz w:val="16"/>
                <w:szCs w:val="16"/>
              </w:rPr>
            </w:pPr>
            <w:r w:rsidRPr="007760E3">
              <w:rPr>
                <w:rFonts w:ascii="Times New Roman" w:hAnsi="Times New Roman" w:cs="Times New Roman"/>
                <w:sz w:val="16"/>
                <w:szCs w:val="16"/>
              </w:rPr>
              <w:t>На початок семестру</w:t>
            </w:r>
          </w:p>
        </w:tc>
        <w:tc>
          <w:tcPr>
            <w:tcW w:w="1062" w:type="dxa"/>
            <w:vMerge w:val="restart"/>
          </w:tcPr>
          <w:p w:rsidR="004A1A45" w:rsidRPr="007760E3" w:rsidRDefault="004A1A45" w:rsidP="00ED0E93">
            <w:pPr>
              <w:ind w:right="-117" w:firstLine="0"/>
              <w:jc w:val="center"/>
              <w:rPr>
                <w:rFonts w:ascii="Times New Roman" w:hAnsi="Times New Roman" w:cs="Times New Roman"/>
                <w:sz w:val="16"/>
                <w:szCs w:val="16"/>
              </w:rPr>
            </w:pPr>
            <w:r w:rsidRPr="007760E3">
              <w:rPr>
                <w:rFonts w:ascii="Times New Roman" w:hAnsi="Times New Roman" w:cs="Times New Roman"/>
                <w:sz w:val="16"/>
                <w:szCs w:val="16"/>
              </w:rPr>
              <w:t>Уточнений план надход</w:t>
            </w:r>
            <w:r w:rsidR="00ED0E93">
              <w:rPr>
                <w:rFonts w:ascii="Times New Roman" w:hAnsi="Times New Roman" w:cs="Times New Roman"/>
                <w:sz w:val="16"/>
                <w:szCs w:val="16"/>
              </w:rPr>
              <w:t>-</w:t>
            </w:r>
            <w:r w:rsidRPr="007760E3">
              <w:rPr>
                <w:rFonts w:ascii="Times New Roman" w:hAnsi="Times New Roman" w:cs="Times New Roman"/>
                <w:sz w:val="16"/>
                <w:szCs w:val="16"/>
              </w:rPr>
              <w:t>жень, грн.</w:t>
            </w:r>
          </w:p>
        </w:tc>
        <w:tc>
          <w:tcPr>
            <w:tcW w:w="1126" w:type="dxa"/>
            <w:vMerge w:val="restart"/>
          </w:tcPr>
          <w:p w:rsidR="004A1A45" w:rsidRPr="007760E3" w:rsidRDefault="004A1A45" w:rsidP="00ED0E93">
            <w:pPr>
              <w:ind w:right="-117" w:firstLine="0"/>
              <w:jc w:val="center"/>
              <w:rPr>
                <w:rFonts w:ascii="Times New Roman" w:hAnsi="Times New Roman" w:cs="Times New Roman"/>
                <w:sz w:val="16"/>
                <w:szCs w:val="16"/>
              </w:rPr>
            </w:pPr>
            <w:r w:rsidRPr="007760E3">
              <w:rPr>
                <w:rFonts w:ascii="Times New Roman" w:hAnsi="Times New Roman" w:cs="Times New Roman"/>
                <w:sz w:val="16"/>
                <w:szCs w:val="16"/>
              </w:rPr>
              <w:t>Отримано ко</w:t>
            </w:r>
            <w:r w:rsidR="00BF0F54">
              <w:rPr>
                <w:rFonts w:ascii="Times New Roman" w:hAnsi="Times New Roman" w:cs="Times New Roman"/>
                <w:sz w:val="16"/>
                <w:szCs w:val="16"/>
              </w:rPr>
              <w:t>-</w:t>
            </w:r>
            <w:r w:rsidRPr="007760E3">
              <w:rPr>
                <w:rFonts w:ascii="Times New Roman" w:hAnsi="Times New Roman" w:cs="Times New Roman"/>
                <w:sz w:val="16"/>
                <w:szCs w:val="16"/>
              </w:rPr>
              <w:t>штів у поточ</w:t>
            </w:r>
            <w:r w:rsidR="00BF0F54">
              <w:rPr>
                <w:rFonts w:ascii="Times New Roman" w:hAnsi="Times New Roman" w:cs="Times New Roman"/>
                <w:sz w:val="16"/>
                <w:szCs w:val="16"/>
              </w:rPr>
              <w:t>-</w:t>
            </w:r>
            <w:r w:rsidR="00ED0E93">
              <w:rPr>
                <w:rFonts w:ascii="Times New Roman" w:hAnsi="Times New Roman" w:cs="Times New Roman"/>
                <w:sz w:val="16"/>
                <w:szCs w:val="16"/>
              </w:rPr>
              <w:t>ному семестрі,</w:t>
            </w:r>
          </w:p>
        </w:tc>
        <w:tc>
          <w:tcPr>
            <w:tcW w:w="1554" w:type="dxa"/>
            <w:gridSpan w:val="2"/>
          </w:tcPr>
          <w:p w:rsidR="004A1A45" w:rsidRPr="007760E3" w:rsidRDefault="004A1A45" w:rsidP="00ED0E93">
            <w:pPr>
              <w:ind w:right="-117" w:firstLine="0"/>
              <w:jc w:val="center"/>
              <w:rPr>
                <w:rFonts w:ascii="Times New Roman" w:hAnsi="Times New Roman" w:cs="Times New Roman"/>
                <w:sz w:val="16"/>
                <w:szCs w:val="16"/>
              </w:rPr>
            </w:pPr>
            <w:r w:rsidRPr="007760E3">
              <w:rPr>
                <w:rFonts w:ascii="Times New Roman" w:hAnsi="Times New Roman" w:cs="Times New Roman"/>
                <w:sz w:val="16"/>
                <w:szCs w:val="16"/>
              </w:rPr>
              <w:t>На звітну дату</w:t>
            </w:r>
          </w:p>
        </w:tc>
      </w:tr>
      <w:tr w:rsidR="004A1A45" w:rsidRPr="007760E3" w:rsidTr="00BF0F54">
        <w:tc>
          <w:tcPr>
            <w:tcW w:w="943" w:type="dxa"/>
            <w:vMerge/>
          </w:tcPr>
          <w:p w:rsidR="004A1A45" w:rsidRPr="007760E3" w:rsidRDefault="004A1A45" w:rsidP="00ED0E93">
            <w:pPr>
              <w:ind w:right="-117" w:firstLine="0"/>
              <w:jc w:val="both"/>
              <w:rPr>
                <w:rFonts w:ascii="Times New Roman" w:hAnsi="Times New Roman" w:cs="Times New Roman"/>
                <w:sz w:val="16"/>
                <w:szCs w:val="16"/>
              </w:rPr>
            </w:pPr>
          </w:p>
        </w:tc>
        <w:tc>
          <w:tcPr>
            <w:tcW w:w="680" w:type="dxa"/>
          </w:tcPr>
          <w:p w:rsidR="004A1A45" w:rsidRPr="007760E3" w:rsidRDefault="004A1A45" w:rsidP="00ED0E93">
            <w:pPr>
              <w:ind w:right="-117" w:firstLine="0"/>
              <w:jc w:val="both"/>
              <w:rPr>
                <w:rFonts w:ascii="Times New Roman" w:hAnsi="Times New Roman" w:cs="Times New Roman"/>
                <w:sz w:val="16"/>
                <w:szCs w:val="16"/>
              </w:rPr>
            </w:pPr>
            <w:r w:rsidRPr="007760E3">
              <w:rPr>
                <w:rFonts w:ascii="Times New Roman" w:hAnsi="Times New Roman" w:cs="Times New Roman"/>
                <w:sz w:val="16"/>
                <w:szCs w:val="16"/>
              </w:rPr>
              <w:t>Борг, грн.</w:t>
            </w:r>
          </w:p>
        </w:tc>
        <w:tc>
          <w:tcPr>
            <w:tcW w:w="975" w:type="dxa"/>
          </w:tcPr>
          <w:p w:rsidR="004A1A45" w:rsidRPr="007760E3" w:rsidRDefault="004A1A45" w:rsidP="00ED0E93">
            <w:pPr>
              <w:ind w:right="-117" w:firstLine="0"/>
              <w:jc w:val="both"/>
              <w:rPr>
                <w:rFonts w:ascii="Times New Roman" w:hAnsi="Times New Roman" w:cs="Times New Roman"/>
                <w:sz w:val="16"/>
                <w:szCs w:val="16"/>
              </w:rPr>
            </w:pPr>
            <w:r w:rsidRPr="007760E3">
              <w:rPr>
                <w:rFonts w:ascii="Times New Roman" w:hAnsi="Times New Roman" w:cs="Times New Roman"/>
                <w:sz w:val="16"/>
                <w:szCs w:val="16"/>
              </w:rPr>
              <w:t>Попередня оплата, грн.</w:t>
            </w:r>
          </w:p>
        </w:tc>
        <w:tc>
          <w:tcPr>
            <w:tcW w:w="1062" w:type="dxa"/>
            <w:vMerge/>
          </w:tcPr>
          <w:p w:rsidR="004A1A45" w:rsidRPr="007760E3" w:rsidRDefault="004A1A45" w:rsidP="00ED0E93">
            <w:pPr>
              <w:ind w:right="-117" w:firstLine="0"/>
              <w:jc w:val="both"/>
              <w:rPr>
                <w:rFonts w:ascii="Times New Roman" w:hAnsi="Times New Roman" w:cs="Times New Roman"/>
                <w:sz w:val="16"/>
                <w:szCs w:val="16"/>
              </w:rPr>
            </w:pPr>
          </w:p>
        </w:tc>
        <w:tc>
          <w:tcPr>
            <w:tcW w:w="1126" w:type="dxa"/>
            <w:vMerge/>
          </w:tcPr>
          <w:p w:rsidR="004A1A45" w:rsidRPr="007760E3" w:rsidRDefault="004A1A45" w:rsidP="00ED0E93">
            <w:pPr>
              <w:ind w:right="-117" w:firstLine="0"/>
              <w:jc w:val="both"/>
              <w:rPr>
                <w:rFonts w:ascii="Times New Roman" w:hAnsi="Times New Roman" w:cs="Times New Roman"/>
                <w:sz w:val="16"/>
                <w:szCs w:val="16"/>
              </w:rPr>
            </w:pPr>
          </w:p>
        </w:tc>
        <w:tc>
          <w:tcPr>
            <w:tcW w:w="579" w:type="dxa"/>
          </w:tcPr>
          <w:p w:rsidR="004A1A45" w:rsidRPr="007760E3" w:rsidRDefault="004A1A45" w:rsidP="00ED0E93">
            <w:pPr>
              <w:ind w:right="-117" w:firstLine="0"/>
              <w:jc w:val="both"/>
              <w:rPr>
                <w:rFonts w:ascii="Times New Roman" w:hAnsi="Times New Roman" w:cs="Times New Roman"/>
                <w:sz w:val="16"/>
                <w:szCs w:val="16"/>
              </w:rPr>
            </w:pPr>
            <w:r w:rsidRPr="007760E3">
              <w:rPr>
                <w:rFonts w:ascii="Times New Roman" w:hAnsi="Times New Roman" w:cs="Times New Roman"/>
                <w:sz w:val="16"/>
                <w:szCs w:val="16"/>
              </w:rPr>
              <w:t>Борг, грн.</w:t>
            </w:r>
          </w:p>
        </w:tc>
        <w:tc>
          <w:tcPr>
            <w:tcW w:w="975" w:type="dxa"/>
          </w:tcPr>
          <w:p w:rsidR="004A1A45" w:rsidRPr="007760E3" w:rsidRDefault="004A1A45" w:rsidP="00ED0E93">
            <w:pPr>
              <w:ind w:right="-117" w:firstLine="0"/>
              <w:jc w:val="both"/>
              <w:rPr>
                <w:rFonts w:ascii="Times New Roman" w:hAnsi="Times New Roman" w:cs="Times New Roman"/>
                <w:sz w:val="16"/>
                <w:szCs w:val="16"/>
              </w:rPr>
            </w:pPr>
            <w:r w:rsidRPr="007760E3">
              <w:rPr>
                <w:rFonts w:ascii="Times New Roman" w:hAnsi="Times New Roman" w:cs="Times New Roman"/>
                <w:sz w:val="16"/>
                <w:szCs w:val="16"/>
              </w:rPr>
              <w:t>Попередня оплата, грн.</w:t>
            </w:r>
          </w:p>
        </w:tc>
      </w:tr>
      <w:tr w:rsidR="004A1A45" w:rsidRPr="007760E3" w:rsidTr="00BF0F54">
        <w:tc>
          <w:tcPr>
            <w:tcW w:w="943" w:type="dxa"/>
          </w:tcPr>
          <w:p w:rsidR="004A1A45" w:rsidRPr="007760E3" w:rsidRDefault="004A1A45" w:rsidP="00A61E33">
            <w:pPr>
              <w:jc w:val="both"/>
              <w:rPr>
                <w:rFonts w:ascii="Times New Roman" w:hAnsi="Times New Roman" w:cs="Times New Roman"/>
                <w:sz w:val="16"/>
                <w:szCs w:val="16"/>
              </w:rPr>
            </w:pPr>
          </w:p>
        </w:tc>
        <w:tc>
          <w:tcPr>
            <w:tcW w:w="680" w:type="dxa"/>
          </w:tcPr>
          <w:p w:rsidR="004A1A45" w:rsidRPr="007760E3" w:rsidRDefault="004A1A45" w:rsidP="00A61E33">
            <w:pPr>
              <w:jc w:val="both"/>
              <w:rPr>
                <w:rFonts w:ascii="Times New Roman" w:hAnsi="Times New Roman" w:cs="Times New Roman"/>
                <w:sz w:val="16"/>
                <w:szCs w:val="16"/>
              </w:rPr>
            </w:pPr>
          </w:p>
        </w:tc>
        <w:tc>
          <w:tcPr>
            <w:tcW w:w="975" w:type="dxa"/>
          </w:tcPr>
          <w:p w:rsidR="004A1A45" w:rsidRPr="007760E3" w:rsidRDefault="004A1A45" w:rsidP="00A61E33">
            <w:pPr>
              <w:jc w:val="both"/>
              <w:rPr>
                <w:rFonts w:ascii="Times New Roman" w:hAnsi="Times New Roman" w:cs="Times New Roman"/>
                <w:sz w:val="16"/>
                <w:szCs w:val="16"/>
              </w:rPr>
            </w:pPr>
          </w:p>
        </w:tc>
        <w:tc>
          <w:tcPr>
            <w:tcW w:w="1062" w:type="dxa"/>
          </w:tcPr>
          <w:p w:rsidR="004A1A45" w:rsidRPr="007760E3" w:rsidRDefault="004A1A45" w:rsidP="00A61E33">
            <w:pPr>
              <w:jc w:val="both"/>
              <w:rPr>
                <w:rFonts w:ascii="Times New Roman" w:hAnsi="Times New Roman" w:cs="Times New Roman"/>
                <w:sz w:val="16"/>
                <w:szCs w:val="16"/>
              </w:rPr>
            </w:pPr>
          </w:p>
        </w:tc>
        <w:tc>
          <w:tcPr>
            <w:tcW w:w="1126" w:type="dxa"/>
          </w:tcPr>
          <w:p w:rsidR="004A1A45" w:rsidRPr="007760E3" w:rsidRDefault="004A1A45" w:rsidP="00A61E33">
            <w:pPr>
              <w:jc w:val="both"/>
              <w:rPr>
                <w:rFonts w:ascii="Times New Roman" w:hAnsi="Times New Roman" w:cs="Times New Roman"/>
                <w:sz w:val="16"/>
                <w:szCs w:val="16"/>
              </w:rPr>
            </w:pPr>
          </w:p>
        </w:tc>
        <w:tc>
          <w:tcPr>
            <w:tcW w:w="579" w:type="dxa"/>
          </w:tcPr>
          <w:p w:rsidR="004A1A45" w:rsidRPr="007760E3" w:rsidRDefault="004A1A45" w:rsidP="00A61E33">
            <w:pPr>
              <w:jc w:val="both"/>
              <w:rPr>
                <w:rFonts w:ascii="Times New Roman" w:hAnsi="Times New Roman" w:cs="Times New Roman"/>
                <w:sz w:val="16"/>
                <w:szCs w:val="16"/>
              </w:rPr>
            </w:pPr>
          </w:p>
        </w:tc>
        <w:tc>
          <w:tcPr>
            <w:tcW w:w="975" w:type="dxa"/>
          </w:tcPr>
          <w:p w:rsidR="004A1A45" w:rsidRPr="007760E3" w:rsidRDefault="004A1A45" w:rsidP="00A61E33">
            <w:pPr>
              <w:jc w:val="both"/>
              <w:rPr>
                <w:rFonts w:ascii="Times New Roman" w:hAnsi="Times New Roman" w:cs="Times New Roman"/>
                <w:sz w:val="16"/>
                <w:szCs w:val="16"/>
              </w:rPr>
            </w:pPr>
          </w:p>
        </w:tc>
      </w:tr>
    </w:tbl>
    <w:p w:rsidR="004A1A45" w:rsidRPr="00ED0E93" w:rsidRDefault="004A1A45" w:rsidP="00ED0E93">
      <w:pPr>
        <w:ind w:firstLine="709"/>
        <w:jc w:val="both"/>
        <w:rPr>
          <w:rFonts w:ascii="Times New Roman" w:hAnsi="Times New Roman" w:cs="Times New Roman"/>
          <w:sz w:val="21"/>
          <w:szCs w:val="21"/>
        </w:rPr>
      </w:pPr>
    </w:p>
    <w:p w:rsidR="004A1A45" w:rsidRPr="00ED0E93" w:rsidRDefault="004A1A45" w:rsidP="00ED0E93">
      <w:pPr>
        <w:ind w:firstLine="709"/>
        <w:jc w:val="both"/>
        <w:rPr>
          <w:rFonts w:ascii="Times New Roman" w:hAnsi="Times New Roman" w:cs="Times New Roman"/>
          <w:sz w:val="21"/>
          <w:szCs w:val="21"/>
        </w:rPr>
      </w:pPr>
      <w:r w:rsidRPr="00ED0E93">
        <w:rPr>
          <w:rFonts w:ascii="Times New Roman" w:hAnsi="Times New Roman" w:cs="Times New Roman"/>
          <w:sz w:val="21"/>
          <w:szCs w:val="21"/>
        </w:rPr>
        <w:t>Розділ V. Стан розрахунків за проживання в гуртожитках</w:t>
      </w:r>
    </w:p>
    <w:tbl>
      <w:tblPr>
        <w:tblW w:w="6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9"/>
        <w:gridCol w:w="1417"/>
        <w:gridCol w:w="851"/>
        <w:gridCol w:w="992"/>
        <w:gridCol w:w="992"/>
        <w:gridCol w:w="1134"/>
      </w:tblGrid>
      <w:tr w:rsidR="004A1A45" w:rsidRPr="007760E3" w:rsidTr="00ED0E93">
        <w:tc>
          <w:tcPr>
            <w:tcW w:w="959" w:type="dxa"/>
            <w:vMerge w:val="restart"/>
          </w:tcPr>
          <w:p w:rsidR="004A1A45" w:rsidRPr="007760E3" w:rsidRDefault="004A1A45" w:rsidP="00ED0E93">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Звітна</w:t>
            </w:r>
          </w:p>
          <w:p w:rsidR="004A1A45" w:rsidRPr="007760E3" w:rsidRDefault="004A1A45" w:rsidP="00ED0E93">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дата</w:t>
            </w:r>
          </w:p>
        </w:tc>
        <w:tc>
          <w:tcPr>
            <w:tcW w:w="1417" w:type="dxa"/>
            <w:vMerge w:val="restart"/>
          </w:tcPr>
          <w:p w:rsidR="004A1A45" w:rsidRPr="007760E3" w:rsidRDefault="004A1A45" w:rsidP="00ED0E93">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Гуртожиток, адреса</w:t>
            </w:r>
          </w:p>
        </w:tc>
        <w:tc>
          <w:tcPr>
            <w:tcW w:w="1843" w:type="dxa"/>
            <w:gridSpan w:val="2"/>
          </w:tcPr>
          <w:p w:rsidR="004A1A45" w:rsidRPr="007760E3" w:rsidRDefault="004A1A45" w:rsidP="00ED0E93">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Проживаючі</w:t>
            </w:r>
          </w:p>
        </w:tc>
        <w:tc>
          <w:tcPr>
            <w:tcW w:w="2126" w:type="dxa"/>
            <w:gridSpan w:val="2"/>
          </w:tcPr>
          <w:p w:rsidR="004A1A45" w:rsidRPr="007760E3" w:rsidRDefault="004A1A45" w:rsidP="00ED0E93">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Відділ субсидій</w:t>
            </w:r>
          </w:p>
        </w:tc>
      </w:tr>
      <w:tr w:rsidR="004A1A45" w:rsidRPr="007760E3" w:rsidTr="00ED0E93">
        <w:tc>
          <w:tcPr>
            <w:tcW w:w="959" w:type="dxa"/>
            <w:vMerge/>
          </w:tcPr>
          <w:p w:rsidR="004A1A45" w:rsidRPr="007760E3" w:rsidRDefault="004A1A45" w:rsidP="00ED0E93">
            <w:pPr>
              <w:ind w:right="-108" w:firstLine="0"/>
              <w:jc w:val="center"/>
              <w:rPr>
                <w:rFonts w:ascii="Times New Roman" w:hAnsi="Times New Roman" w:cs="Times New Roman"/>
                <w:sz w:val="16"/>
                <w:szCs w:val="16"/>
              </w:rPr>
            </w:pPr>
          </w:p>
        </w:tc>
        <w:tc>
          <w:tcPr>
            <w:tcW w:w="1417" w:type="dxa"/>
            <w:vMerge/>
          </w:tcPr>
          <w:p w:rsidR="004A1A45" w:rsidRPr="007760E3" w:rsidRDefault="004A1A45" w:rsidP="00ED0E93">
            <w:pPr>
              <w:ind w:right="-108" w:firstLine="0"/>
              <w:jc w:val="center"/>
              <w:rPr>
                <w:rFonts w:ascii="Times New Roman" w:hAnsi="Times New Roman" w:cs="Times New Roman"/>
                <w:sz w:val="16"/>
                <w:szCs w:val="16"/>
              </w:rPr>
            </w:pPr>
          </w:p>
        </w:tc>
        <w:tc>
          <w:tcPr>
            <w:tcW w:w="851" w:type="dxa"/>
          </w:tcPr>
          <w:p w:rsidR="004A1A45" w:rsidRPr="007760E3" w:rsidRDefault="004A1A45" w:rsidP="00ED0E93">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Борг, грн.</w:t>
            </w:r>
          </w:p>
        </w:tc>
        <w:tc>
          <w:tcPr>
            <w:tcW w:w="992" w:type="dxa"/>
          </w:tcPr>
          <w:p w:rsidR="004A1A45" w:rsidRPr="007760E3" w:rsidRDefault="004A1A45" w:rsidP="00ED0E93">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Переплата, грн.</w:t>
            </w:r>
          </w:p>
        </w:tc>
        <w:tc>
          <w:tcPr>
            <w:tcW w:w="992" w:type="dxa"/>
          </w:tcPr>
          <w:p w:rsidR="004A1A45" w:rsidRPr="007760E3" w:rsidRDefault="004A1A45" w:rsidP="00ED0E93">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Борг, грн.</w:t>
            </w:r>
          </w:p>
        </w:tc>
        <w:tc>
          <w:tcPr>
            <w:tcW w:w="1134" w:type="dxa"/>
          </w:tcPr>
          <w:p w:rsidR="004A1A45" w:rsidRPr="007760E3" w:rsidRDefault="004A1A45" w:rsidP="00ED0E93">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Переплата, грн.</w:t>
            </w:r>
          </w:p>
        </w:tc>
      </w:tr>
      <w:tr w:rsidR="004A1A45" w:rsidRPr="007760E3" w:rsidTr="00ED0E93">
        <w:tc>
          <w:tcPr>
            <w:tcW w:w="959" w:type="dxa"/>
          </w:tcPr>
          <w:p w:rsidR="004A1A45" w:rsidRPr="007760E3" w:rsidRDefault="004A1A45" w:rsidP="00A61E33">
            <w:pPr>
              <w:jc w:val="both"/>
              <w:rPr>
                <w:rFonts w:ascii="Times New Roman" w:hAnsi="Times New Roman" w:cs="Times New Roman"/>
                <w:sz w:val="16"/>
                <w:szCs w:val="16"/>
              </w:rPr>
            </w:pPr>
          </w:p>
        </w:tc>
        <w:tc>
          <w:tcPr>
            <w:tcW w:w="1417" w:type="dxa"/>
          </w:tcPr>
          <w:p w:rsidR="004A1A45" w:rsidRPr="007760E3" w:rsidRDefault="004A1A45" w:rsidP="00A61E33">
            <w:pPr>
              <w:jc w:val="both"/>
              <w:rPr>
                <w:rFonts w:ascii="Times New Roman" w:hAnsi="Times New Roman" w:cs="Times New Roman"/>
                <w:sz w:val="16"/>
                <w:szCs w:val="16"/>
              </w:rPr>
            </w:pPr>
          </w:p>
        </w:tc>
        <w:tc>
          <w:tcPr>
            <w:tcW w:w="851" w:type="dxa"/>
          </w:tcPr>
          <w:p w:rsidR="004A1A45" w:rsidRPr="007760E3" w:rsidRDefault="004A1A45" w:rsidP="00A61E33">
            <w:pPr>
              <w:jc w:val="both"/>
              <w:rPr>
                <w:rFonts w:ascii="Times New Roman" w:hAnsi="Times New Roman" w:cs="Times New Roman"/>
                <w:sz w:val="16"/>
                <w:szCs w:val="16"/>
              </w:rPr>
            </w:pPr>
          </w:p>
        </w:tc>
        <w:tc>
          <w:tcPr>
            <w:tcW w:w="992" w:type="dxa"/>
          </w:tcPr>
          <w:p w:rsidR="004A1A45" w:rsidRPr="007760E3" w:rsidRDefault="004A1A45" w:rsidP="00A61E33">
            <w:pPr>
              <w:jc w:val="both"/>
              <w:rPr>
                <w:rFonts w:ascii="Times New Roman" w:hAnsi="Times New Roman" w:cs="Times New Roman"/>
                <w:sz w:val="16"/>
                <w:szCs w:val="16"/>
              </w:rPr>
            </w:pPr>
          </w:p>
        </w:tc>
        <w:tc>
          <w:tcPr>
            <w:tcW w:w="992" w:type="dxa"/>
          </w:tcPr>
          <w:p w:rsidR="004A1A45" w:rsidRPr="007760E3" w:rsidRDefault="004A1A45" w:rsidP="00A61E33">
            <w:pPr>
              <w:jc w:val="both"/>
              <w:rPr>
                <w:rFonts w:ascii="Times New Roman" w:hAnsi="Times New Roman" w:cs="Times New Roman"/>
                <w:sz w:val="16"/>
                <w:szCs w:val="16"/>
              </w:rPr>
            </w:pPr>
          </w:p>
        </w:tc>
        <w:tc>
          <w:tcPr>
            <w:tcW w:w="1134" w:type="dxa"/>
          </w:tcPr>
          <w:p w:rsidR="004A1A45" w:rsidRPr="007760E3" w:rsidRDefault="004A1A45" w:rsidP="00A61E33">
            <w:pPr>
              <w:jc w:val="both"/>
              <w:rPr>
                <w:rFonts w:ascii="Times New Roman" w:hAnsi="Times New Roman" w:cs="Times New Roman"/>
                <w:sz w:val="16"/>
                <w:szCs w:val="16"/>
              </w:rPr>
            </w:pPr>
          </w:p>
        </w:tc>
      </w:tr>
      <w:tr w:rsidR="004A1A45" w:rsidRPr="007760E3" w:rsidTr="00ED0E93">
        <w:tc>
          <w:tcPr>
            <w:tcW w:w="959" w:type="dxa"/>
          </w:tcPr>
          <w:p w:rsidR="004A1A45" w:rsidRPr="007760E3" w:rsidRDefault="004A1A45" w:rsidP="00A61E33">
            <w:pPr>
              <w:jc w:val="both"/>
              <w:rPr>
                <w:rFonts w:ascii="Times New Roman" w:hAnsi="Times New Roman" w:cs="Times New Roman"/>
                <w:sz w:val="16"/>
                <w:szCs w:val="16"/>
              </w:rPr>
            </w:pPr>
          </w:p>
        </w:tc>
        <w:tc>
          <w:tcPr>
            <w:tcW w:w="1417" w:type="dxa"/>
          </w:tcPr>
          <w:p w:rsidR="004A1A45" w:rsidRPr="007760E3" w:rsidRDefault="004A1A45" w:rsidP="00A61E33">
            <w:pPr>
              <w:jc w:val="both"/>
              <w:rPr>
                <w:rFonts w:ascii="Times New Roman" w:hAnsi="Times New Roman" w:cs="Times New Roman"/>
                <w:sz w:val="16"/>
                <w:szCs w:val="16"/>
              </w:rPr>
            </w:pPr>
          </w:p>
        </w:tc>
        <w:tc>
          <w:tcPr>
            <w:tcW w:w="851" w:type="dxa"/>
          </w:tcPr>
          <w:p w:rsidR="004A1A45" w:rsidRPr="007760E3" w:rsidRDefault="004A1A45" w:rsidP="00A61E33">
            <w:pPr>
              <w:jc w:val="both"/>
              <w:rPr>
                <w:rFonts w:ascii="Times New Roman" w:hAnsi="Times New Roman" w:cs="Times New Roman"/>
                <w:sz w:val="16"/>
                <w:szCs w:val="16"/>
              </w:rPr>
            </w:pPr>
          </w:p>
        </w:tc>
        <w:tc>
          <w:tcPr>
            <w:tcW w:w="992" w:type="dxa"/>
          </w:tcPr>
          <w:p w:rsidR="004A1A45" w:rsidRPr="007760E3" w:rsidRDefault="004A1A45" w:rsidP="00A61E33">
            <w:pPr>
              <w:jc w:val="both"/>
              <w:rPr>
                <w:rFonts w:ascii="Times New Roman" w:hAnsi="Times New Roman" w:cs="Times New Roman"/>
                <w:sz w:val="16"/>
                <w:szCs w:val="16"/>
              </w:rPr>
            </w:pPr>
          </w:p>
        </w:tc>
        <w:tc>
          <w:tcPr>
            <w:tcW w:w="992" w:type="dxa"/>
          </w:tcPr>
          <w:p w:rsidR="004A1A45" w:rsidRPr="007760E3" w:rsidRDefault="004A1A45" w:rsidP="00A61E33">
            <w:pPr>
              <w:jc w:val="both"/>
              <w:rPr>
                <w:rFonts w:ascii="Times New Roman" w:hAnsi="Times New Roman" w:cs="Times New Roman"/>
                <w:sz w:val="16"/>
                <w:szCs w:val="16"/>
              </w:rPr>
            </w:pPr>
          </w:p>
        </w:tc>
        <w:tc>
          <w:tcPr>
            <w:tcW w:w="1134" w:type="dxa"/>
          </w:tcPr>
          <w:p w:rsidR="004A1A45" w:rsidRPr="007760E3" w:rsidRDefault="004A1A45" w:rsidP="00A61E33">
            <w:pPr>
              <w:jc w:val="both"/>
              <w:rPr>
                <w:rFonts w:ascii="Times New Roman" w:hAnsi="Times New Roman" w:cs="Times New Roman"/>
                <w:sz w:val="16"/>
                <w:szCs w:val="16"/>
              </w:rPr>
            </w:pPr>
          </w:p>
        </w:tc>
      </w:tr>
    </w:tbl>
    <w:p w:rsidR="004A1A45" w:rsidRPr="00ED0E93" w:rsidRDefault="004A1A45" w:rsidP="00ED0E93">
      <w:pPr>
        <w:ind w:firstLine="709"/>
        <w:jc w:val="both"/>
        <w:rPr>
          <w:rFonts w:ascii="Times New Roman" w:hAnsi="Times New Roman" w:cs="Times New Roman"/>
          <w:sz w:val="21"/>
          <w:szCs w:val="21"/>
        </w:rPr>
      </w:pPr>
    </w:p>
    <w:p w:rsidR="004A1A45" w:rsidRDefault="004A1A45" w:rsidP="00ED0E93">
      <w:pPr>
        <w:ind w:firstLine="709"/>
        <w:jc w:val="both"/>
        <w:rPr>
          <w:rFonts w:ascii="Times New Roman" w:hAnsi="Times New Roman" w:cs="Times New Roman"/>
          <w:sz w:val="21"/>
          <w:szCs w:val="21"/>
        </w:rPr>
      </w:pPr>
      <w:r w:rsidRPr="00ED0E93">
        <w:rPr>
          <w:rFonts w:ascii="Times New Roman" w:hAnsi="Times New Roman" w:cs="Times New Roman"/>
          <w:sz w:val="21"/>
          <w:szCs w:val="21"/>
        </w:rPr>
        <w:t>Розділ VI. Стан розрахунків з постачальниками</w:t>
      </w:r>
    </w:p>
    <w:p w:rsidR="00ED0E93" w:rsidRPr="00ED0E93" w:rsidRDefault="00ED0E93" w:rsidP="00ED0E93">
      <w:pPr>
        <w:ind w:firstLine="709"/>
        <w:jc w:val="both"/>
        <w:rPr>
          <w:rFonts w:ascii="Times New Roman" w:hAnsi="Times New Roman" w:cs="Times New Roman"/>
          <w:sz w:val="21"/>
          <w:szCs w:val="2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7"/>
        <w:gridCol w:w="1276"/>
        <w:gridCol w:w="1282"/>
        <w:gridCol w:w="2829"/>
      </w:tblGrid>
      <w:tr w:rsidR="004A1A45" w:rsidRPr="007760E3" w:rsidTr="00ED0E93">
        <w:tc>
          <w:tcPr>
            <w:tcW w:w="817" w:type="dxa"/>
            <w:vAlign w:val="center"/>
          </w:tcPr>
          <w:p w:rsidR="004A1A45" w:rsidRPr="007760E3" w:rsidRDefault="004A1A45" w:rsidP="00ED0E93">
            <w:pPr>
              <w:ind w:firstLine="0"/>
              <w:jc w:val="center"/>
              <w:rPr>
                <w:rFonts w:ascii="Times New Roman" w:hAnsi="Times New Roman" w:cs="Times New Roman"/>
                <w:sz w:val="16"/>
                <w:szCs w:val="16"/>
              </w:rPr>
            </w:pPr>
            <w:r w:rsidRPr="007760E3">
              <w:rPr>
                <w:rFonts w:ascii="Times New Roman" w:hAnsi="Times New Roman" w:cs="Times New Roman"/>
                <w:sz w:val="16"/>
                <w:szCs w:val="16"/>
              </w:rPr>
              <w:lastRenderedPageBreak/>
              <w:t>Звітна</w:t>
            </w:r>
          </w:p>
          <w:p w:rsidR="004A1A45" w:rsidRPr="007760E3" w:rsidRDefault="004A1A45" w:rsidP="00ED0E93">
            <w:pPr>
              <w:ind w:firstLine="0"/>
              <w:jc w:val="center"/>
              <w:rPr>
                <w:rFonts w:ascii="Times New Roman" w:hAnsi="Times New Roman" w:cs="Times New Roman"/>
                <w:sz w:val="16"/>
                <w:szCs w:val="16"/>
              </w:rPr>
            </w:pPr>
            <w:r w:rsidRPr="007760E3">
              <w:rPr>
                <w:rFonts w:ascii="Times New Roman" w:hAnsi="Times New Roman" w:cs="Times New Roman"/>
                <w:sz w:val="16"/>
                <w:szCs w:val="16"/>
              </w:rPr>
              <w:t>дата</w:t>
            </w:r>
          </w:p>
        </w:tc>
        <w:tc>
          <w:tcPr>
            <w:tcW w:w="1276" w:type="dxa"/>
            <w:vAlign w:val="center"/>
          </w:tcPr>
          <w:p w:rsidR="004A1A45" w:rsidRPr="007760E3" w:rsidRDefault="004A1A45" w:rsidP="00ED0E93">
            <w:pPr>
              <w:ind w:firstLine="0"/>
              <w:jc w:val="center"/>
              <w:rPr>
                <w:rFonts w:ascii="Times New Roman" w:hAnsi="Times New Roman" w:cs="Times New Roman"/>
                <w:sz w:val="16"/>
                <w:szCs w:val="16"/>
              </w:rPr>
            </w:pPr>
            <w:r w:rsidRPr="007760E3">
              <w:rPr>
                <w:rFonts w:ascii="Times New Roman" w:hAnsi="Times New Roman" w:cs="Times New Roman"/>
                <w:sz w:val="16"/>
                <w:szCs w:val="16"/>
              </w:rPr>
              <w:t>Назва постачальника</w:t>
            </w:r>
          </w:p>
        </w:tc>
        <w:tc>
          <w:tcPr>
            <w:tcW w:w="1282" w:type="dxa"/>
            <w:vAlign w:val="center"/>
          </w:tcPr>
          <w:p w:rsidR="004A1A45" w:rsidRPr="007760E3" w:rsidRDefault="004A1A45" w:rsidP="00ED0E93">
            <w:pPr>
              <w:ind w:firstLine="0"/>
              <w:jc w:val="center"/>
              <w:rPr>
                <w:rFonts w:ascii="Times New Roman" w:hAnsi="Times New Roman" w:cs="Times New Roman"/>
                <w:sz w:val="16"/>
                <w:szCs w:val="16"/>
              </w:rPr>
            </w:pPr>
            <w:r w:rsidRPr="007760E3">
              <w:rPr>
                <w:rFonts w:ascii="Times New Roman" w:hAnsi="Times New Roman" w:cs="Times New Roman"/>
                <w:sz w:val="16"/>
                <w:szCs w:val="16"/>
              </w:rPr>
              <w:t>Борги постачальників (дебіторська заборгованість)</w:t>
            </w:r>
          </w:p>
        </w:tc>
        <w:tc>
          <w:tcPr>
            <w:tcW w:w="2829" w:type="dxa"/>
            <w:vAlign w:val="center"/>
          </w:tcPr>
          <w:p w:rsidR="004A1A45" w:rsidRPr="007760E3" w:rsidRDefault="004A1A45" w:rsidP="00ED0E93">
            <w:pPr>
              <w:ind w:firstLine="0"/>
              <w:jc w:val="center"/>
              <w:rPr>
                <w:rFonts w:ascii="Times New Roman" w:hAnsi="Times New Roman" w:cs="Times New Roman"/>
                <w:sz w:val="16"/>
                <w:szCs w:val="16"/>
              </w:rPr>
            </w:pPr>
            <w:r w:rsidRPr="007760E3">
              <w:rPr>
                <w:rFonts w:ascii="Times New Roman" w:hAnsi="Times New Roman" w:cs="Times New Roman"/>
                <w:sz w:val="16"/>
                <w:szCs w:val="16"/>
              </w:rPr>
              <w:t>Борг навчального закладу (кредиторська заборгованість)</w:t>
            </w:r>
          </w:p>
        </w:tc>
      </w:tr>
      <w:tr w:rsidR="004A1A45" w:rsidRPr="007760E3" w:rsidTr="00ED0E93">
        <w:tc>
          <w:tcPr>
            <w:tcW w:w="817" w:type="dxa"/>
          </w:tcPr>
          <w:p w:rsidR="004A1A45" w:rsidRPr="007760E3" w:rsidRDefault="004A1A45" w:rsidP="00A61E33">
            <w:pPr>
              <w:jc w:val="both"/>
              <w:rPr>
                <w:rFonts w:ascii="Times New Roman" w:hAnsi="Times New Roman" w:cs="Times New Roman"/>
                <w:sz w:val="16"/>
                <w:szCs w:val="16"/>
              </w:rPr>
            </w:pPr>
          </w:p>
        </w:tc>
        <w:tc>
          <w:tcPr>
            <w:tcW w:w="1276" w:type="dxa"/>
          </w:tcPr>
          <w:p w:rsidR="004A1A45" w:rsidRPr="007760E3" w:rsidRDefault="004A1A45" w:rsidP="00A61E33">
            <w:pPr>
              <w:jc w:val="both"/>
              <w:rPr>
                <w:rFonts w:ascii="Times New Roman" w:hAnsi="Times New Roman" w:cs="Times New Roman"/>
                <w:sz w:val="16"/>
                <w:szCs w:val="16"/>
              </w:rPr>
            </w:pPr>
          </w:p>
        </w:tc>
        <w:tc>
          <w:tcPr>
            <w:tcW w:w="1282" w:type="dxa"/>
          </w:tcPr>
          <w:p w:rsidR="004A1A45" w:rsidRPr="007760E3" w:rsidRDefault="004A1A45" w:rsidP="00A61E33">
            <w:pPr>
              <w:jc w:val="both"/>
              <w:rPr>
                <w:rFonts w:ascii="Times New Roman" w:hAnsi="Times New Roman" w:cs="Times New Roman"/>
                <w:sz w:val="16"/>
                <w:szCs w:val="16"/>
              </w:rPr>
            </w:pPr>
          </w:p>
        </w:tc>
        <w:tc>
          <w:tcPr>
            <w:tcW w:w="2829" w:type="dxa"/>
          </w:tcPr>
          <w:p w:rsidR="004A1A45" w:rsidRPr="007760E3" w:rsidRDefault="004A1A45" w:rsidP="00A61E33">
            <w:pPr>
              <w:jc w:val="both"/>
              <w:rPr>
                <w:rFonts w:ascii="Times New Roman" w:hAnsi="Times New Roman" w:cs="Times New Roman"/>
                <w:sz w:val="16"/>
                <w:szCs w:val="16"/>
              </w:rPr>
            </w:pPr>
          </w:p>
        </w:tc>
      </w:tr>
      <w:tr w:rsidR="004A1A45" w:rsidRPr="007760E3" w:rsidTr="00ED0E93">
        <w:tc>
          <w:tcPr>
            <w:tcW w:w="817" w:type="dxa"/>
          </w:tcPr>
          <w:p w:rsidR="004A1A45" w:rsidRPr="007760E3" w:rsidRDefault="004A1A45" w:rsidP="00A61E33">
            <w:pPr>
              <w:jc w:val="both"/>
              <w:rPr>
                <w:rFonts w:ascii="Times New Roman" w:hAnsi="Times New Roman" w:cs="Times New Roman"/>
                <w:sz w:val="16"/>
                <w:szCs w:val="16"/>
              </w:rPr>
            </w:pPr>
          </w:p>
        </w:tc>
        <w:tc>
          <w:tcPr>
            <w:tcW w:w="1276" w:type="dxa"/>
          </w:tcPr>
          <w:p w:rsidR="004A1A45" w:rsidRPr="007760E3" w:rsidRDefault="004A1A45" w:rsidP="00A61E33">
            <w:pPr>
              <w:jc w:val="both"/>
              <w:rPr>
                <w:rFonts w:ascii="Times New Roman" w:hAnsi="Times New Roman" w:cs="Times New Roman"/>
                <w:sz w:val="16"/>
                <w:szCs w:val="16"/>
              </w:rPr>
            </w:pPr>
          </w:p>
        </w:tc>
        <w:tc>
          <w:tcPr>
            <w:tcW w:w="1282" w:type="dxa"/>
          </w:tcPr>
          <w:p w:rsidR="004A1A45" w:rsidRPr="007760E3" w:rsidRDefault="004A1A45" w:rsidP="00A61E33">
            <w:pPr>
              <w:jc w:val="both"/>
              <w:rPr>
                <w:rFonts w:ascii="Times New Roman" w:hAnsi="Times New Roman" w:cs="Times New Roman"/>
                <w:sz w:val="16"/>
                <w:szCs w:val="16"/>
              </w:rPr>
            </w:pPr>
          </w:p>
        </w:tc>
        <w:tc>
          <w:tcPr>
            <w:tcW w:w="2829" w:type="dxa"/>
          </w:tcPr>
          <w:p w:rsidR="004A1A45" w:rsidRPr="007760E3" w:rsidRDefault="004A1A45" w:rsidP="00A61E33">
            <w:pPr>
              <w:jc w:val="both"/>
              <w:rPr>
                <w:rFonts w:ascii="Times New Roman" w:hAnsi="Times New Roman" w:cs="Times New Roman"/>
                <w:sz w:val="16"/>
                <w:szCs w:val="16"/>
              </w:rPr>
            </w:pPr>
          </w:p>
        </w:tc>
      </w:tr>
    </w:tbl>
    <w:p w:rsidR="004A1A45" w:rsidRPr="00ED0E93" w:rsidRDefault="004A1A45" w:rsidP="00ED0E93">
      <w:pPr>
        <w:ind w:firstLine="709"/>
        <w:jc w:val="both"/>
        <w:rPr>
          <w:rFonts w:ascii="Times New Roman" w:hAnsi="Times New Roman" w:cs="Times New Roman"/>
          <w:sz w:val="21"/>
          <w:szCs w:val="21"/>
        </w:rPr>
      </w:pPr>
    </w:p>
    <w:p w:rsidR="004A1A45" w:rsidRPr="00ED0E93" w:rsidRDefault="004A1A45" w:rsidP="00ED0E93">
      <w:pPr>
        <w:ind w:firstLine="709"/>
        <w:jc w:val="both"/>
        <w:rPr>
          <w:rFonts w:ascii="Times New Roman" w:hAnsi="Times New Roman" w:cs="Times New Roman"/>
          <w:sz w:val="21"/>
          <w:szCs w:val="21"/>
        </w:rPr>
      </w:pPr>
      <w:r w:rsidRPr="00ED0E93">
        <w:rPr>
          <w:rFonts w:ascii="Times New Roman" w:hAnsi="Times New Roman" w:cs="Times New Roman"/>
          <w:sz w:val="21"/>
          <w:szCs w:val="21"/>
        </w:rPr>
        <w:t>Розділ V</w:t>
      </w:r>
      <w:r w:rsidRPr="00ED0E93">
        <w:rPr>
          <w:rFonts w:ascii="Times New Roman" w:hAnsi="Times New Roman" w:cs="Times New Roman"/>
          <w:sz w:val="21"/>
          <w:szCs w:val="21"/>
          <w:lang w:val="en-US"/>
        </w:rPr>
        <w:t>II</w:t>
      </w:r>
      <w:r w:rsidRPr="00ED0E93">
        <w:rPr>
          <w:rFonts w:ascii="Times New Roman" w:hAnsi="Times New Roman" w:cs="Times New Roman"/>
          <w:sz w:val="21"/>
          <w:szCs w:val="21"/>
        </w:rPr>
        <w:t>. Списки осіб, які не відзвітували за отримані довіреності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1019"/>
        <w:gridCol w:w="822"/>
        <w:gridCol w:w="1017"/>
        <w:gridCol w:w="575"/>
        <w:gridCol w:w="393"/>
        <w:gridCol w:w="1031"/>
        <w:gridCol w:w="697"/>
      </w:tblGrid>
      <w:tr w:rsidR="004A1A45" w:rsidRPr="007760E3" w:rsidTr="00900149">
        <w:tc>
          <w:tcPr>
            <w:tcW w:w="1694" w:type="dxa"/>
            <w:gridSpan w:val="2"/>
            <w:vAlign w:val="center"/>
          </w:tcPr>
          <w:p w:rsidR="004A1A45" w:rsidRPr="007760E3" w:rsidRDefault="004A1A45" w:rsidP="00900149">
            <w:pPr>
              <w:ind w:right="-108" w:firstLine="0"/>
              <w:jc w:val="center"/>
              <w:rPr>
                <w:rFonts w:ascii="Times New Roman" w:hAnsi="Times New Roman" w:cs="Times New Roman"/>
                <w:sz w:val="16"/>
                <w:szCs w:val="16"/>
              </w:rPr>
            </w:pPr>
            <w:r w:rsidRPr="007760E3">
              <w:rPr>
                <w:rFonts w:ascii="Times New Roman" w:hAnsi="Times New Roman" w:cs="Times New Roman"/>
                <w:sz w:val="16"/>
                <w:szCs w:val="16"/>
                <w:lang w:val="en-US"/>
              </w:rPr>
              <w:t>Довіреність</w:t>
            </w:r>
          </w:p>
        </w:tc>
        <w:tc>
          <w:tcPr>
            <w:tcW w:w="822" w:type="dxa"/>
            <w:vMerge w:val="restart"/>
            <w:vAlign w:val="center"/>
          </w:tcPr>
          <w:p w:rsidR="004A1A45" w:rsidRPr="007760E3" w:rsidRDefault="004A1A45" w:rsidP="00900149">
            <w:pPr>
              <w:tabs>
                <w:tab w:val="left" w:pos="960"/>
              </w:tabs>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Отримав</w:t>
            </w:r>
          </w:p>
        </w:tc>
        <w:tc>
          <w:tcPr>
            <w:tcW w:w="1017" w:type="dxa"/>
            <w:vMerge w:val="restart"/>
            <w:vAlign w:val="center"/>
          </w:tcPr>
          <w:p w:rsidR="004A1A45" w:rsidRPr="007760E3" w:rsidRDefault="004A1A45" w:rsidP="00900149">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Організація</w:t>
            </w:r>
          </w:p>
        </w:tc>
        <w:tc>
          <w:tcPr>
            <w:tcW w:w="575" w:type="dxa"/>
            <w:vMerge w:val="restart"/>
            <w:vAlign w:val="center"/>
          </w:tcPr>
          <w:p w:rsidR="004A1A45" w:rsidRPr="007760E3" w:rsidRDefault="004A1A45" w:rsidP="00900149">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Сума</w:t>
            </w:r>
          </w:p>
        </w:tc>
        <w:tc>
          <w:tcPr>
            <w:tcW w:w="1424" w:type="dxa"/>
            <w:gridSpan w:val="2"/>
            <w:vAlign w:val="center"/>
          </w:tcPr>
          <w:p w:rsidR="004A1A45" w:rsidRPr="007760E3" w:rsidRDefault="004A1A45" w:rsidP="00900149">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Прибуткова накладна</w:t>
            </w:r>
          </w:p>
        </w:tc>
        <w:tc>
          <w:tcPr>
            <w:tcW w:w="697" w:type="dxa"/>
            <w:vMerge w:val="restart"/>
            <w:vAlign w:val="center"/>
          </w:tcPr>
          <w:p w:rsidR="004A1A45" w:rsidRPr="007760E3" w:rsidRDefault="004A1A45" w:rsidP="00900149">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Термін (днів)</w:t>
            </w:r>
          </w:p>
        </w:tc>
      </w:tr>
      <w:tr w:rsidR="004A1A45" w:rsidRPr="007760E3" w:rsidTr="00900149">
        <w:tc>
          <w:tcPr>
            <w:tcW w:w="675" w:type="dxa"/>
            <w:vAlign w:val="center"/>
          </w:tcPr>
          <w:p w:rsidR="004A1A45" w:rsidRPr="007760E3" w:rsidRDefault="004A1A45" w:rsidP="00900149">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Серія та №</w:t>
            </w:r>
          </w:p>
        </w:tc>
        <w:tc>
          <w:tcPr>
            <w:tcW w:w="1019" w:type="dxa"/>
            <w:vAlign w:val="center"/>
          </w:tcPr>
          <w:p w:rsidR="004A1A45" w:rsidRPr="007760E3" w:rsidRDefault="004A1A45" w:rsidP="00900149">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Дата</w:t>
            </w:r>
          </w:p>
        </w:tc>
        <w:tc>
          <w:tcPr>
            <w:tcW w:w="822" w:type="dxa"/>
            <w:vMerge/>
            <w:vAlign w:val="center"/>
          </w:tcPr>
          <w:p w:rsidR="004A1A45" w:rsidRPr="007760E3" w:rsidRDefault="004A1A45" w:rsidP="00900149">
            <w:pPr>
              <w:ind w:right="-108" w:firstLine="0"/>
              <w:jc w:val="center"/>
              <w:rPr>
                <w:rFonts w:ascii="Times New Roman" w:hAnsi="Times New Roman" w:cs="Times New Roman"/>
                <w:sz w:val="16"/>
                <w:szCs w:val="16"/>
                <w:lang w:val="en-US"/>
              </w:rPr>
            </w:pPr>
          </w:p>
        </w:tc>
        <w:tc>
          <w:tcPr>
            <w:tcW w:w="1017" w:type="dxa"/>
            <w:vMerge/>
            <w:vAlign w:val="center"/>
          </w:tcPr>
          <w:p w:rsidR="004A1A45" w:rsidRPr="007760E3" w:rsidRDefault="004A1A45" w:rsidP="00900149">
            <w:pPr>
              <w:ind w:right="-108" w:firstLine="0"/>
              <w:jc w:val="center"/>
              <w:rPr>
                <w:rFonts w:ascii="Times New Roman" w:hAnsi="Times New Roman" w:cs="Times New Roman"/>
                <w:sz w:val="16"/>
                <w:szCs w:val="16"/>
                <w:lang w:val="en-US"/>
              </w:rPr>
            </w:pPr>
          </w:p>
        </w:tc>
        <w:tc>
          <w:tcPr>
            <w:tcW w:w="575" w:type="dxa"/>
            <w:vMerge/>
            <w:vAlign w:val="center"/>
          </w:tcPr>
          <w:p w:rsidR="004A1A45" w:rsidRPr="007760E3" w:rsidRDefault="004A1A45" w:rsidP="00900149">
            <w:pPr>
              <w:ind w:right="-108" w:firstLine="0"/>
              <w:jc w:val="center"/>
              <w:rPr>
                <w:rFonts w:ascii="Times New Roman" w:hAnsi="Times New Roman" w:cs="Times New Roman"/>
                <w:sz w:val="16"/>
                <w:szCs w:val="16"/>
                <w:lang w:val="en-US"/>
              </w:rPr>
            </w:pPr>
          </w:p>
        </w:tc>
        <w:tc>
          <w:tcPr>
            <w:tcW w:w="393" w:type="dxa"/>
            <w:vAlign w:val="center"/>
          </w:tcPr>
          <w:p w:rsidR="004A1A45" w:rsidRPr="007760E3" w:rsidRDefault="004A1A45" w:rsidP="00900149">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w:t>
            </w:r>
          </w:p>
        </w:tc>
        <w:tc>
          <w:tcPr>
            <w:tcW w:w="1031" w:type="dxa"/>
            <w:vAlign w:val="center"/>
          </w:tcPr>
          <w:p w:rsidR="004A1A45" w:rsidRPr="007760E3" w:rsidRDefault="004A1A45" w:rsidP="00900149">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Дата</w:t>
            </w:r>
          </w:p>
        </w:tc>
        <w:tc>
          <w:tcPr>
            <w:tcW w:w="697" w:type="dxa"/>
            <w:vMerge/>
            <w:vAlign w:val="center"/>
          </w:tcPr>
          <w:p w:rsidR="004A1A45" w:rsidRPr="007760E3" w:rsidRDefault="004A1A45" w:rsidP="00900149">
            <w:pPr>
              <w:ind w:right="-108" w:firstLine="0"/>
              <w:jc w:val="center"/>
              <w:rPr>
                <w:rFonts w:ascii="Times New Roman" w:hAnsi="Times New Roman" w:cs="Times New Roman"/>
                <w:sz w:val="16"/>
                <w:szCs w:val="16"/>
                <w:lang w:val="en-US"/>
              </w:rPr>
            </w:pPr>
          </w:p>
        </w:tc>
      </w:tr>
      <w:tr w:rsidR="004A1A45" w:rsidRPr="007760E3" w:rsidTr="00900149">
        <w:tc>
          <w:tcPr>
            <w:tcW w:w="675" w:type="dxa"/>
            <w:vAlign w:val="center"/>
          </w:tcPr>
          <w:p w:rsidR="004A1A45" w:rsidRPr="007760E3" w:rsidRDefault="004A1A45" w:rsidP="00900149">
            <w:pPr>
              <w:ind w:right="-108" w:firstLine="0"/>
              <w:jc w:val="center"/>
              <w:rPr>
                <w:rFonts w:ascii="Times New Roman" w:hAnsi="Times New Roman" w:cs="Times New Roman"/>
                <w:sz w:val="16"/>
                <w:szCs w:val="16"/>
                <w:lang w:val="en-US"/>
              </w:rPr>
            </w:pPr>
          </w:p>
        </w:tc>
        <w:tc>
          <w:tcPr>
            <w:tcW w:w="1019" w:type="dxa"/>
            <w:vAlign w:val="center"/>
          </w:tcPr>
          <w:p w:rsidR="004A1A45" w:rsidRPr="007760E3" w:rsidRDefault="004A1A45" w:rsidP="00900149">
            <w:pPr>
              <w:ind w:right="-108" w:firstLine="0"/>
              <w:jc w:val="center"/>
              <w:rPr>
                <w:rFonts w:ascii="Times New Roman" w:hAnsi="Times New Roman" w:cs="Times New Roman"/>
                <w:sz w:val="16"/>
                <w:szCs w:val="16"/>
                <w:lang w:val="en-US"/>
              </w:rPr>
            </w:pPr>
          </w:p>
        </w:tc>
        <w:tc>
          <w:tcPr>
            <w:tcW w:w="822" w:type="dxa"/>
            <w:vAlign w:val="center"/>
          </w:tcPr>
          <w:p w:rsidR="004A1A45" w:rsidRPr="007760E3" w:rsidRDefault="004A1A45" w:rsidP="00900149">
            <w:pPr>
              <w:ind w:right="-108" w:firstLine="0"/>
              <w:jc w:val="center"/>
              <w:rPr>
                <w:rFonts w:ascii="Times New Roman" w:hAnsi="Times New Roman" w:cs="Times New Roman"/>
                <w:sz w:val="16"/>
                <w:szCs w:val="16"/>
                <w:lang w:val="en-US"/>
              </w:rPr>
            </w:pPr>
          </w:p>
        </w:tc>
        <w:tc>
          <w:tcPr>
            <w:tcW w:w="1017" w:type="dxa"/>
            <w:vAlign w:val="center"/>
          </w:tcPr>
          <w:p w:rsidR="004A1A45" w:rsidRPr="007760E3" w:rsidRDefault="004A1A45" w:rsidP="00900149">
            <w:pPr>
              <w:ind w:right="-108" w:firstLine="0"/>
              <w:jc w:val="center"/>
              <w:rPr>
                <w:rFonts w:ascii="Times New Roman" w:hAnsi="Times New Roman" w:cs="Times New Roman"/>
                <w:sz w:val="16"/>
                <w:szCs w:val="16"/>
                <w:lang w:val="en-US"/>
              </w:rPr>
            </w:pPr>
          </w:p>
        </w:tc>
        <w:tc>
          <w:tcPr>
            <w:tcW w:w="575" w:type="dxa"/>
            <w:vAlign w:val="center"/>
          </w:tcPr>
          <w:p w:rsidR="004A1A45" w:rsidRPr="007760E3" w:rsidRDefault="004A1A45" w:rsidP="00900149">
            <w:pPr>
              <w:ind w:right="-108" w:firstLine="0"/>
              <w:jc w:val="center"/>
              <w:rPr>
                <w:rFonts w:ascii="Times New Roman" w:hAnsi="Times New Roman" w:cs="Times New Roman"/>
                <w:sz w:val="16"/>
                <w:szCs w:val="16"/>
                <w:lang w:val="en-US"/>
              </w:rPr>
            </w:pPr>
          </w:p>
        </w:tc>
        <w:tc>
          <w:tcPr>
            <w:tcW w:w="393" w:type="dxa"/>
            <w:vAlign w:val="center"/>
          </w:tcPr>
          <w:p w:rsidR="004A1A45" w:rsidRPr="007760E3" w:rsidRDefault="004A1A45" w:rsidP="00900149">
            <w:pPr>
              <w:ind w:right="-108" w:firstLine="0"/>
              <w:jc w:val="center"/>
              <w:rPr>
                <w:rFonts w:ascii="Times New Roman" w:hAnsi="Times New Roman" w:cs="Times New Roman"/>
                <w:sz w:val="16"/>
                <w:szCs w:val="16"/>
                <w:lang w:val="en-US"/>
              </w:rPr>
            </w:pPr>
          </w:p>
        </w:tc>
        <w:tc>
          <w:tcPr>
            <w:tcW w:w="1031" w:type="dxa"/>
            <w:vAlign w:val="center"/>
          </w:tcPr>
          <w:p w:rsidR="004A1A45" w:rsidRPr="007760E3" w:rsidRDefault="004A1A45" w:rsidP="00900149">
            <w:pPr>
              <w:ind w:right="-108" w:firstLine="0"/>
              <w:jc w:val="center"/>
              <w:rPr>
                <w:rFonts w:ascii="Times New Roman" w:hAnsi="Times New Roman" w:cs="Times New Roman"/>
                <w:sz w:val="16"/>
                <w:szCs w:val="16"/>
                <w:lang w:val="en-US"/>
              </w:rPr>
            </w:pPr>
          </w:p>
        </w:tc>
        <w:tc>
          <w:tcPr>
            <w:tcW w:w="697" w:type="dxa"/>
            <w:vAlign w:val="center"/>
          </w:tcPr>
          <w:p w:rsidR="004A1A45" w:rsidRPr="007760E3" w:rsidRDefault="004A1A45" w:rsidP="00900149">
            <w:pPr>
              <w:ind w:right="-108" w:firstLine="0"/>
              <w:jc w:val="center"/>
              <w:rPr>
                <w:rFonts w:ascii="Times New Roman" w:hAnsi="Times New Roman" w:cs="Times New Roman"/>
                <w:sz w:val="16"/>
                <w:szCs w:val="16"/>
                <w:lang w:val="en-US"/>
              </w:rPr>
            </w:pPr>
          </w:p>
        </w:tc>
      </w:tr>
      <w:tr w:rsidR="004A1A45" w:rsidRPr="007760E3" w:rsidTr="00900149">
        <w:tc>
          <w:tcPr>
            <w:tcW w:w="675" w:type="dxa"/>
          </w:tcPr>
          <w:p w:rsidR="004A1A45" w:rsidRPr="007760E3" w:rsidRDefault="004A1A45" w:rsidP="00A61E33">
            <w:pPr>
              <w:jc w:val="both"/>
              <w:rPr>
                <w:rFonts w:ascii="Times New Roman" w:hAnsi="Times New Roman" w:cs="Times New Roman"/>
                <w:sz w:val="16"/>
                <w:szCs w:val="16"/>
                <w:lang w:val="en-US"/>
              </w:rPr>
            </w:pPr>
          </w:p>
        </w:tc>
        <w:tc>
          <w:tcPr>
            <w:tcW w:w="1019" w:type="dxa"/>
          </w:tcPr>
          <w:p w:rsidR="004A1A45" w:rsidRPr="007760E3" w:rsidRDefault="004A1A45" w:rsidP="00A61E33">
            <w:pPr>
              <w:jc w:val="both"/>
              <w:rPr>
                <w:rFonts w:ascii="Times New Roman" w:hAnsi="Times New Roman" w:cs="Times New Roman"/>
                <w:sz w:val="16"/>
                <w:szCs w:val="16"/>
                <w:lang w:val="en-US"/>
              </w:rPr>
            </w:pPr>
          </w:p>
        </w:tc>
        <w:tc>
          <w:tcPr>
            <w:tcW w:w="822" w:type="dxa"/>
          </w:tcPr>
          <w:p w:rsidR="004A1A45" w:rsidRPr="007760E3" w:rsidRDefault="004A1A45" w:rsidP="00A61E33">
            <w:pPr>
              <w:jc w:val="both"/>
              <w:rPr>
                <w:rFonts w:ascii="Times New Roman" w:hAnsi="Times New Roman" w:cs="Times New Roman"/>
                <w:sz w:val="16"/>
                <w:szCs w:val="16"/>
                <w:lang w:val="en-US"/>
              </w:rPr>
            </w:pPr>
          </w:p>
        </w:tc>
        <w:tc>
          <w:tcPr>
            <w:tcW w:w="1017" w:type="dxa"/>
          </w:tcPr>
          <w:p w:rsidR="004A1A45" w:rsidRPr="007760E3" w:rsidRDefault="004A1A45" w:rsidP="00A61E33">
            <w:pPr>
              <w:jc w:val="both"/>
              <w:rPr>
                <w:rFonts w:ascii="Times New Roman" w:hAnsi="Times New Roman" w:cs="Times New Roman"/>
                <w:sz w:val="16"/>
                <w:szCs w:val="16"/>
                <w:lang w:val="en-US"/>
              </w:rPr>
            </w:pPr>
          </w:p>
        </w:tc>
        <w:tc>
          <w:tcPr>
            <w:tcW w:w="575" w:type="dxa"/>
          </w:tcPr>
          <w:p w:rsidR="004A1A45" w:rsidRPr="007760E3" w:rsidRDefault="004A1A45" w:rsidP="00A61E33">
            <w:pPr>
              <w:jc w:val="both"/>
              <w:rPr>
                <w:rFonts w:ascii="Times New Roman" w:hAnsi="Times New Roman" w:cs="Times New Roman"/>
                <w:sz w:val="16"/>
                <w:szCs w:val="16"/>
                <w:lang w:val="en-US"/>
              </w:rPr>
            </w:pPr>
          </w:p>
        </w:tc>
        <w:tc>
          <w:tcPr>
            <w:tcW w:w="393" w:type="dxa"/>
          </w:tcPr>
          <w:p w:rsidR="004A1A45" w:rsidRPr="007760E3" w:rsidRDefault="004A1A45" w:rsidP="00A61E33">
            <w:pPr>
              <w:jc w:val="both"/>
              <w:rPr>
                <w:rFonts w:ascii="Times New Roman" w:hAnsi="Times New Roman" w:cs="Times New Roman"/>
                <w:sz w:val="16"/>
                <w:szCs w:val="16"/>
                <w:lang w:val="en-US"/>
              </w:rPr>
            </w:pPr>
          </w:p>
        </w:tc>
        <w:tc>
          <w:tcPr>
            <w:tcW w:w="1031" w:type="dxa"/>
          </w:tcPr>
          <w:p w:rsidR="004A1A45" w:rsidRPr="007760E3" w:rsidRDefault="004A1A45" w:rsidP="00A61E33">
            <w:pPr>
              <w:jc w:val="both"/>
              <w:rPr>
                <w:rFonts w:ascii="Times New Roman" w:hAnsi="Times New Roman" w:cs="Times New Roman"/>
                <w:sz w:val="16"/>
                <w:szCs w:val="16"/>
                <w:lang w:val="en-US"/>
              </w:rPr>
            </w:pPr>
          </w:p>
        </w:tc>
        <w:tc>
          <w:tcPr>
            <w:tcW w:w="697" w:type="dxa"/>
          </w:tcPr>
          <w:p w:rsidR="004A1A45" w:rsidRPr="007760E3" w:rsidRDefault="004A1A45" w:rsidP="00A61E33">
            <w:pPr>
              <w:jc w:val="both"/>
              <w:rPr>
                <w:rFonts w:ascii="Times New Roman" w:hAnsi="Times New Roman" w:cs="Times New Roman"/>
                <w:sz w:val="16"/>
                <w:szCs w:val="16"/>
                <w:lang w:val="en-US"/>
              </w:rPr>
            </w:pPr>
          </w:p>
        </w:tc>
      </w:tr>
    </w:tbl>
    <w:p w:rsidR="004A1A45" w:rsidRPr="00ED0E93" w:rsidRDefault="004A1A45" w:rsidP="00ED0E93">
      <w:pPr>
        <w:ind w:firstLine="709"/>
        <w:jc w:val="both"/>
        <w:rPr>
          <w:rFonts w:ascii="Times New Roman" w:hAnsi="Times New Roman" w:cs="Times New Roman"/>
          <w:sz w:val="21"/>
          <w:szCs w:val="21"/>
        </w:rPr>
      </w:pPr>
    </w:p>
    <w:p w:rsidR="004A1A45" w:rsidRPr="00ED0E93" w:rsidRDefault="004A1A45" w:rsidP="00ED0E93">
      <w:pPr>
        <w:ind w:firstLine="709"/>
        <w:jc w:val="both"/>
        <w:rPr>
          <w:rFonts w:ascii="Times New Roman" w:hAnsi="Times New Roman" w:cs="Times New Roman"/>
          <w:sz w:val="21"/>
          <w:szCs w:val="21"/>
        </w:rPr>
      </w:pPr>
      <w:r w:rsidRPr="00ED0E93">
        <w:rPr>
          <w:rFonts w:ascii="Times New Roman" w:hAnsi="Times New Roman" w:cs="Times New Roman"/>
          <w:sz w:val="21"/>
          <w:szCs w:val="21"/>
        </w:rPr>
        <w:t>Розділ VIII. Стан розрахунків за отримані підзвітні суми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7"/>
        <w:gridCol w:w="1985"/>
        <w:gridCol w:w="1134"/>
        <w:gridCol w:w="992"/>
        <w:gridCol w:w="1276"/>
      </w:tblGrid>
      <w:tr w:rsidR="004A1A45" w:rsidRPr="007760E3" w:rsidTr="00900149">
        <w:tc>
          <w:tcPr>
            <w:tcW w:w="817" w:type="dxa"/>
            <w:vAlign w:val="center"/>
          </w:tcPr>
          <w:p w:rsidR="004A1A45" w:rsidRPr="007760E3" w:rsidRDefault="004A1A45" w:rsidP="00900149">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Звітна</w:t>
            </w:r>
          </w:p>
          <w:p w:rsidR="004A1A45" w:rsidRPr="007760E3" w:rsidRDefault="004A1A45" w:rsidP="00900149">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дата</w:t>
            </w:r>
          </w:p>
        </w:tc>
        <w:tc>
          <w:tcPr>
            <w:tcW w:w="1985" w:type="dxa"/>
            <w:vAlign w:val="center"/>
          </w:tcPr>
          <w:p w:rsidR="004A1A45" w:rsidRPr="007760E3" w:rsidRDefault="004A1A45" w:rsidP="00900149">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Прізвище, посада, підрозділ співробітника</w:t>
            </w:r>
          </w:p>
        </w:tc>
        <w:tc>
          <w:tcPr>
            <w:tcW w:w="1134" w:type="dxa"/>
            <w:vAlign w:val="center"/>
          </w:tcPr>
          <w:p w:rsidR="004A1A45" w:rsidRPr="007760E3" w:rsidRDefault="004A1A45" w:rsidP="00900149">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Строк здачі авансового звіту</w:t>
            </w:r>
          </w:p>
        </w:tc>
        <w:tc>
          <w:tcPr>
            <w:tcW w:w="992" w:type="dxa"/>
            <w:vAlign w:val="center"/>
          </w:tcPr>
          <w:p w:rsidR="004A1A45" w:rsidRPr="007760E3" w:rsidRDefault="004A1A45" w:rsidP="00900149">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Сума, на яку відсутній звіт, грн.</w:t>
            </w:r>
          </w:p>
        </w:tc>
        <w:tc>
          <w:tcPr>
            <w:tcW w:w="1276" w:type="dxa"/>
            <w:vAlign w:val="center"/>
          </w:tcPr>
          <w:p w:rsidR="004A1A45" w:rsidRPr="007760E3" w:rsidRDefault="004A1A45" w:rsidP="00900149">
            <w:pPr>
              <w:ind w:right="-108" w:firstLine="0"/>
              <w:jc w:val="center"/>
              <w:rPr>
                <w:rFonts w:ascii="Times New Roman" w:hAnsi="Times New Roman" w:cs="Times New Roman"/>
                <w:sz w:val="16"/>
                <w:szCs w:val="16"/>
              </w:rPr>
            </w:pPr>
            <w:r w:rsidRPr="007760E3">
              <w:rPr>
                <w:rFonts w:ascii="Times New Roman" w:hAnsi="Times New Roman" w:cs="Times New Roman"/>
                <w:sz w:val="16"/>
                <w:szCs w:val="16"/>
              </w:rPr>
              <w:t>Сума неоплачених прийнятих авансових звітів, грн.</w:t>
            </w:r>
          </w:p>
        </w:tc>
      </w:tr>
      <w:tr w:rsidR="004A1A45" w:rsidRPr="007760E3" w:rsidTr="00900149">
        <w:tc>
          <w:tcPr>
            <w:tcW w:w="817" w:type="dxa"/>
          </w:tcPr>
          <w:p w:rsidR="004A1A45" w:rsidRPr="007760E3" w:rsidRDefault="004A1A45" w:rsidP="00A61E33">
            <w:pPr>
              <w:jc w:val="both"/>
              <w:rPr>
                <w:rFonts w:ascii="Times New Roman" w:hAnsi="Times New Roman" w:cs="Times New Roman"/>
                <w:sz w:val="16"/>
                <w:szCs w:val="16"/>
              </w:rPr>
            </w:pPr>
          </w:p>
        </w:tc>
        <w:tc>
          <w:tcPr>
            <w:tcW w:w="1985" w:type="dxa"/>
          </w:tcPr>
          <w:p w:rsidR="004A1A45" w:rsidRPr="007760E3" w:rsidRDefault="004A1A45" w:rsidP="00A61E33">
            <w:pPr>
              <w:jc w:val="both"/>
              <w:rPr>
                <w:rFonts w:ascii="Times New Roman" w:hAnsi="Times New Roman" w:cs="Times New Roman"/>
                <w:sz w:val="16"/>
                <w:szCs w:val="16"/>
              </w:rPr>
            </w:pPr>
          </w:p>
        </w:tc>
        <w:tc>
          <w:tcPr>
            <w:tcW w:w="1134" w:type="dxa"/>
          </w:tcPr>
          <w:p w:rsidR="004A1A45" w:rsidRPr="007760E3" w:rsidRDefault="004A1A45" w:rsidP="00A61E33">
            <w:pPr>
              <w:jc w:val="both"/>
              <w:rPr>
                <w:rFonts w:ascii="Times New Roman" w:hAnsi="Times New Roman" w:cs="Times New Roman"/>
                <w:sz w:val="16"/>
                <w:szCs w:val="16"/>
              </w:rPr>
            </w:pPr>
          </w:p>
        </w:tc>
        <w:tc>
          <w:tcPr>
            <w:tcW w:w="992" w:type="dxa"/>
          </w:tcPr>
          <w:p w:rsidR="004A1A45" w:rsidRPr="007760E3" w:rsidRDefault="004A1A45" w:rsidP="00A61E33">
            <w:pPr>
              <w:jc w:val="both"/>
              <w:rPr>
                <w:rFonts w:ascii="Times New Roman" w:hAnsi="Times New Roman" w:cs="Times New Roman"/>
                <w:sz w:val="16"/>
                <w:szCs w:val="16"/>
              </w:rPr>
            </w:pPr>
          </w:p>
        </w:tc>
        <w:tc>
          <w:tcPr>
            <w:tcW w:w="1276" w:type="dxa"/>
          </w:tcPr>
          <w:p w:rsidR="004A1A45" w:rsidRPr="007760E3" w:rsidRDefault="004A1A45" w:rsidP="00A61E33">
            <w:pPr>
              <w:jc w:val="both"/>
              <w:rPr>
                <w:rFonts w:ascii="Times New Roman" w:hAnsi="Times New Roman" w:cs="Times New Roman"/>
                <w:sz w:val="16"/>
                <w:szCs w:val="16"/>
              </w:rPr>
            </w:pPr>
          </w:p>
        </w:tc>
      </w:tr>
      <w:tr w:rsidR="004A1A45" w:rsidRPr="007760E3" w:rsidTr="00900149">
        <w:tc>
          <w:tcPr>
            <w:tcW w:w="817" w:type="dxa"/>
          </w:tcPr>
          <w:p w:rsidR="004A1A45" w:rsidRPr="007760E3" w:rsidRDefault="004A1A45" w:rsidP="00A61E33">
            <w:pPr>
              <w:jc w:val="both"/>
              <w:rPr>
                <w:rFonts w:ascii="Times New Roman" w:hAnsi="Times New Roman" w:cs="Times New Roman"/>
                <w:sz w:val="16"/>
                <w:szCs w:val="16"/>
              </w:rPr>
            </w:pPr>
          </w:p>
        </w:tc>
        <w:tc>
          <w:tcPr>
            <w:tcW w:w="1985" w:type="dxa"/>
          </w:tcPr>
          <w:p w:rsidR="004A1A45" w:rsidRPr="007760E3" w:rsidRDefault="004A1A45" w:rsidP="00A61E33">
            <w:pPr>
              <w:jc w:val="both"/>
              <w:rPr>
                <w:rFonts w:ascii="Times New Roman" w:hAnsi="Times New Roman" w:cs="Times New Roman"/>
                <w:sz w:val="16"/>
                <w:szCs w:val="16"/>
              </w:rPr>
            </w:pPr>
          </w:p>
        </w:tc>
        <w:tc>
          <w:tcPr>
            <w:tcW w:w="1134" w:type="dxa"/>
          </w:tcPr>
          <w:p w:rsidR="004A1A45" w:rsidRPr="007760E3" w:rsidRDefault="004A1A45" w:rsidP="00A61E33">
            <w:pPr>
              <w:jc w:val="both"/>
              <w:rPr>
                <w:rFonts w:ascii="Times New Roman" w:hAnsi="Times New Roman" w:cs="Times New Roman"/>
                <w:sz w:val="16"/>
                <w:szCs w:val="16"/>
              </w:rPr>
            </w:pPr>
          </w:p>
        </w:tc>
        <w:tc>
          <w:tcPr>
            <w:tcW w:w="992" w:type="dxa"/>
          </w:tcPr>
          <w:p w:rsidR="004A1A45" w:rsidRPr="007760E3" w:rsidRDefault="004A1A45" w:rsidP="00A61E33">
            <w:pPr>
              <w:jc w:val="both"/>
              <w:rPr>
                <w:rFonts w:ascii="Times New Roman" w:hAnsi="Times New Roman" w:cs="Times New Roman"/>
                <w:sz w:val="16"/>
                <w:szCs w:val="16"/>
              </w:rPr>
            </w:pPr>
          </w:p>
        </w:tc>
        <w:tc>
          <w:tcPr>
            <w:tcW w:w="1276" w:type="dxa"/>
          </w:tcPr>
          <w:p w:rsidR="004A1A45" w:rsidRPr="007760E3" w:rsidRDefault="004A1A45" w:rsidP="00A61E33">
            <w:pPr>
              <w:jc w:val="both"/>
              <w:rPr>
                <w:rFonts w:ascii="Times New Roman" w:hAnsi="Times New Roman" w:cs="Times New Roman"/>
                <w:sz w:val="16"/>
                <w:szCs w:val="16"/>
              </w:rPr>
            </w:pPr>
          </w:p>
        </w:tc>
      </w:tr>
    </w:tbl>
    <w:p w:rsidR="004A1A45" w:rsidRPr="00ED0E93" w:rsidRDefault="004A1A45" w:rsidP="00ED0E93">
      <w:pPr>
        <w:ind w:firstLine="709"/>
        <w:jc w:val="both"/>
        <w:rPr>
          <w:rFonts w:ascii="Times New Roman" w:hAnsi="Times New Roman" w:cs="Times New Roman"/>
          <w:sz w:val="21"/>
          <w:szCs w:val="21"/>
        </w:rPr>
      </w:pPr>
    </w:p>
    <w:p w:rsidR="004A1A45" w:rsidRPr="00ED0E93" w:rsidRDefault="004A1A45" w:rsidP="00ED0E93">
      <w:pPr>
        <w:ind w:firstLine="709"/>
        <w:jc w:val="both"/>
        <w:rPr>
          <w:rFonts w:ascii="Times New Roman" w:hAnsi="Times New Roman" w:cs="Times New Roman"/>
          <w:sz w:val="21"/>
          <w:szCs w:val="21"/>
        </w:rPr>
      </w:pPr>
      <w:r w:rsidRPr="00ED0E93">
        <w:rPr>
          <w:rFonts w:ascii="Times New Roman" w:hAnsi="Times New Roman" w:cs="Times New Roman"/>
          <w:sz w:val="21"/>
          <w:szCs w:val="21"/>
        </w:rPr>
        <w:t>Розділ IX. Стан розрахунків за орендовані об’єкти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701"/>
        <w:gridCol w:w="1701"/>
        <w:gridCol w:w="1701"/>
      </w:tblGrid>
      <w:tr w:rsidR="004A1A45" w:rsidRPr="007760E3" w:rsidTr="00900149">
        <w:tc>
          <w:tcPr>
            <w:tcW w:w="1101" w:type="dxa"/>
            <w:vAlign w:val="center"/>
          </w:tcPr>
          <w:p w:rsidR="004A1A45" w:rsidRPr="007760E3" w:rsidRDefault="004A1A45" w:rsidP="00900149">
            <w:pPr>
              <w:ind w:firstLine="0"/>
              <w:jc w:val="center"/>
              <w:rPr>
                <w:rFonts w:ascii="Times New Roman" w:hAnsi="Times New Roman" w:cs="Times New Roman"/>
                <w:sz w:val="16"/>
                <w:szCs w:val="16"/>
              </w:rPr>
            </w:pPr>
            <w:r w:rsidRPr="007760E3">
              <w:rPr>
                <w:rFonts w:ascii="Times New Roman" w:hAnsi="Times New Roman" w:cs="Times New Roman"/>
                <w:sz w:val="16"/>
                <w:szCs w:val="16"/>
              </w:rPr>
              <w:t>Звітна</w:t>
            </w:r>
          </w:p>
          <w:p w:rsidR="004A1A45" w:rsidRPr="007760E3" w:rsidRDefault="004A1A45" w:rsidP="00900149">
            <w:pPr>
              <w:ind w:firstLine="0"/>
              <w:jc w:val="center"/>
              <w:rPr>
                <w:rFonts w:ascii="Times New Roman" w:hAnsi="Times New Roman" w:cs="Times New Roman"/>
                <w:sz w:val="16"/>
                <w:szCs w:val="16"/>
              </w:rPr>
            </w:pPr>
            <w:r w:rsidRPr="007760E3">
              <w:rPr>
                <w:rFonts w:ascii="Times New Roman" w:hAnsi="Times New Roman" w:cs="Times New Roman"/>
                <w:sz w:val="16"/>
                <w:szCs w:val="16"/>
              </w:rPr>
              <w:t>дата</w:t>
            </w:r>
          </w:p>
        </w:tc>
        <w:tc>
          <w:tcPr>
            <w:tcW w:w="1701" w:type="dxa"/>
            <w:vAlign w:val="center"/>
          </w:tcPr>
          <w:p w:rsidR="004A1A45" w:rsidRPr="007760E3" w:rsidRDefault="004A1A45" w:rsidP="00900149">
            <w:pPr>
              <w:ind w:firstLine="0"/>
              <w:jc w:val="center"/>
              <w:rPr>
                <w:rFonts w:ascii="Times New Roman" w:hAnsi="Times New Roman" w:cs="Times New Roman"/>
                <w:sz w:val="16"/>
                <w:szCs w:val="16"/>
              </w:rPr>
            </w:pPr>
            <w:r w:rsidRPr="007760E3">
              <w:rPr>
                <w:rFonts w:ascii="Times New Roman" w:hAnsi="Times New Roman" w:cs="Times New Roman"/>
                <w:sz w:val="16"/>
                <w:szCs w:val="16"/>
              </w:rPr>
              <w:t>Назва об’єкта оренди та орендаря</w:t>
            </w:r>
          </w:p>
        </w:tc>
        <w:tc>
          <w:tcPr>
            <w:tcW w:w="1701" w:type="dxa"/>
            <w:vAlign w:val="center"/>
          </w:tcPr>
          <w:p w:rsidR="004A1A45" w:rsidRPr="007760E3" w:rsidRDefault="004A1A45" w:rsidP="00900149">
            <w:pPr>
              <w:ind w:firstLine="0"/>
              <w:jc w:val="center"/>
              <w:rPr>
                <w:rFonts w:ascii="Times New Roman" w:hAnsi="Times New Roman" w:cs="Times New Roman"/>
                <w:sz w:val="16"/>
                <w:szCs w:val="16"/>
              </w:rPr>
            </w:pPr>
            <w:r w:rsidRPr="007760E3">
              <w:rPr>
                <w:rFonts w:ascii="Times New Roman" w:hAnsi="Times New Roman" w:cs="Times New Roman"/>
                <w:sz w:val="16"/>
                <w:szCs w:val="16"/>
              </w:rPr>
              <w:t>Борги орендаря (дебіторська заборгованість), грн.</w:t>
            </w:r>
          </w:p>
        </w:tc>
        <w:tc>
          <w:tcPr>
            <w:tcW w:w="1701" w:type="dxa"/>
            <w:vAlign w:val="center"/>
          </w:tcPr>
          <w:p w:rsidR="004A1A45" w:rsidRPr="007760E3" w:rsidRDefault="004A1A45" w:rsidP="00900149">
            <w:pPr>
              <w:ind w:firstLine="0"/>
              <w:jc w:val="center"/>
              <w:rPr>
                <w:rFonts w:ascii="Times New Roman" w:hAnsi="Times New Roman" w:cs="Times New Roman"/>
                <w:sz w:val="16"/>
                <w:szCs w:val="16"/>
              </w:rPr>
            </w:pPr>
            <w:r w:rsidRPr="007760E3">
              <w:rPr>
                <w:rFonts w:ascii="Times New Roman" w:hAnsi="Times New Roman" w:cs="Times New Roman"/>
                <w:sz w:val="16"/>
                <w:szCs w:val="16"/>
              </w:rPr>
              <w:t>Борг університету (кредиторська заборгованість), грн.</w:t>
            </w:r>
          </w:p>
        </w:tc>
      </w:tr>
      <w:tr w:rsidR="004A1A45" w:rsidRPr="007760E3" w:rsidTr="00900149">
        <w:tc>
          <w:tcPr>
            <w:tcW w:w="1101" w:type="dxa"/>
          </w:tcPr>
          <w:p w:rsidR="004A1A45" w:rsidRPr="007760E3" w:rsidRDefault="004A1A45" w:rsidP="00A61E33">
            <w:pPr>
              <w:jc w:val="both"/>
              <w:rPr>
                <w:rFonts w:ascii="Times New Roman" w:hAnsi="Times New Roman" w:cs="Times New Roman"/>
                <w:sz w:val="16"/>
                <w:szCs w:val="16"/>
              </w:rPr>
            </w:pPr>
          </w:p>
        </w:tc>
        <w:tc>
          <w:tcPr>
            <w:tcW w:w="1701" w:type="dxa"/>
          </w:tcPr>
          <w:p w:rsidR="004A1A45" w:rsidRPr="007760E3" w:rsidRDefault="004A1A45" w:rsidP="00A61E33">
            <w:pPr>
              <w:jc w:val="both"/>
              <w:rPr>
                <w:rFonts w:ascii="Times New Roman" w:hAnsi="Times New Roman" w:cs="Times New Roman"/>
                <w:sz w:val="16"/>
                <w:szCs w:val="16"/>
              </w:rPr>
            </w:pPr>
          </w:p>
        </w:tc>
        <w:tc>
          <w:tcPr>
            <w:tcW w:w="1701" w:type="dxa"/>
          </w:tcPr>
          <w:p w:rsidR="004A1A45" w:rsidRPr="007760E3" w:rsidRDefault="004A1A45" w:rsidP="00A61E33">
            <w:pPr>
              <w:jc w:val="both"/>
              <w:rPr>
                <w:rFonts w:ascii="Times New Roman" w:hAnsi="Times New Roman" w:cs="Times New Roman"/>
                <w:sz w:val="16"/>
                <w:szCs w:val="16"/>
              </w:rPr>
            </w:pPr>
          </w:p>
        </w:tc>
        <w:tc>
          <w:tcPr>
            <w:tcW w:w="1701" w:type="dxa"/>
          </w:tcPr>
          <w:p w:rsidR="004A1A45" w:rsidRPr="007760E3" w:rsidRDefault="004A1A45" w:rsidP="00A61E33">
            <w:pPr>
              <w:jc w:val="both"/>
              <w:rPr>
                <w:rFonts w:ascii="Times New Roman" w:hAnsi="Times New Roman" w:cs="Times New Roman"/>
                <w:sz w:val="16"/>
                <w:szCs w:val="16"/>
              </w:rPr>
            </w:pPr>
          </w:p>
        </w:tc>
      </w:tr>
      <w:tr w:rsidR="004A1A45" w:rsidRPr="007760E3" w:rsidTr="00900149">
        <w:tc>
          <w:tcPr>
            <w:tcW w:w="1101" w:type="dxa"/>
          </w:tcPr>
          <w:p w:rsidR="004A1A45" w:rsidRPr="007760E3" w:rsidRDefault="004A1A45" w:rsidP="00A61E33">
            <w:pPr>
              <w:jc w:val="both"/>
              <w:rPr>
                <w:rFonts w:ascii="Times New Roman" w:hAnsi="Times New Roman" w:cs="Times New Roman"/>
                <w:sz w:val="16"/>
                <w:szCs w:val="16"/>
              </w:rPr>
            </w:pPr>
          </w:p>
        </w:tc>
        <w:tc>
          <w:tcPr>
            <w:tcW w:w="1701" w:type="dxa"/>
          </w:tcPr>
          <w:p w:rsidR="004A1A45" w:rsidRPr="007760E3" w:rsidRDefault="004A1A45" w:rsidP="00A61E33">
            <w:pPr>
              <w:jc w:val="both"/>
              <w:rPr>
                <w:rFonts w:ascii="Times New Roman" w:hAnsi="Times New Roman" w:cs="Times New Roman"/>
                <w:sz w:val="16"/>
                <w:szCs w:val="16"/>
              </w:rPr>
            </w:pPr>
          </w:p>
        </w:tc>
        <w:tc>
          <w:tcPr>
            <w:tcW w:w="1701" w:type="dxa"/>
          </w:tcPr>
          <w:p w:rsidR="004A1A45" w:rsidRPr="007760E3" w:rsidRDefault="004A1A45" w:rsidP="00A61E33">
            <w:pPr>
              <w:jc w:val="both"/>
              <w:rPr>
                <w:rFonts w:ascii="Times New Roman" w:hAnsi="Times New Roman" w:cs="Times New Roman"/>
                <w:sz w:val="16"/>
                <w:szCs w:val="16"/>
              </w:rPr>
            </w:pPr>
          </w:p>
        </w:tc>
        <w:tc>
          <w:tcPr>
            <w:tcW w:w="1701" w:type="dxa"/>
          </w:tcPr>
          <w:p w:rsidR="004A1A45" w:rsidRPr="007760E3" w:rsidRDefault="004A1A45" w:rsidP="00A61E33">
            <w:pPr>
              <w:jc w:val="both"/>
              <w:rPr>
                <w:rFonts w:ascii="Times New Roman" w:hAnsi="Times New Roman" w:cs="Times New Roman"/>
                <w:sz w:val="16"/>
                <w:szCs w:val="16"/>
              </w:rPr>
            </w:pPr>
          </w:p>
        </w:tc>
      </w:tr>
    </w:tbl>
    <w:p w:rsidR="004A1A45" w:rsidRPr="00ED0E93" w:rsidRDefault="004A1A45" w:rsidP="00ED0E93">
      <w:pPr>
        <w:ind w:firstLine="709"/>
        <w:jc w:val="both"/>
        <w:rPr>
          <w:rFonts w:ascii="Times New Roman" w:hAnsi="Times New Roman" w:cs="Times New Roman"/>
          <w:sz w:val="21"/>
          <w:szCs w:val="21"/>
        </w:rPr>
      </w:pPr>
    </w:p>
    <w:p w:rsidR="004A1A45" w:rsidRPr="00ED0E93" w:rsidRDefault="004A1A45" w:rsidP="00ED0E93">
      <w:pPr>
        <w:ind w:firstLine="709"/>
        <w:jc w:val="both"/>
        <w:rPr>
          <w:rFonts w:ascii="Times New Roman" w:hAnsi="Times New Roman" w:cs="Times New Roman"/>
          <w:sz w:val="21"/>
          <w:szCs w:val="21"/>
        </w:rPr>
      </w:pPr>
      <w:r w:rsidRPr="00ED0E93">
        <w:rPr>
          <w:rFonts w:ascii="Times New Roman" w:hAnsi="Times New Roman" w:cs="Times New Roman"/>
          <w:sz w:val="21"/>
          <w:szCs w:val="21"/>
        </w:rPr>
        <w:t>Розділ X. Наявність матеріальних запасів та їх використання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7"/>
        <w:gridCol w:w="1418"/>
        <w:gridCol w:w="1275"/>
        <w:gridCol w:w="1418"/>
        <w:gridCol w:w="1134"/>
      </w:tblGrid>
      <w:tr w:rsidR="004A1A45" w:rsidRPr="007760E3" w:rsidTr="00900149">
        <w:tc>
          <w:tcPr>
            <w:tcW w:w="817" w:type="dxa"/>
            <w:vMerge w:val="restart"/>
            <w:vAlign w:val="center"/>
          </w:tcPr>
          <w:p w:rsidR="004A1A45" w:rsidRPr="007760E3" w:rsidRDefault="004A1A45" w:rsidP="00900149">
            <w:pPr>
              <w:ind w:firstLine="0"/>
              <w:jc w:val="center"/>
              <w:rPr>
                <w:rFonts w:ascii="Times New Roman" w:hAnsi="Times New Roman" w:cs="Times New Roman"/>
                <w:sz w:val="16"/>
                <w:szCs w:val="16"/>
              </w:rPr>
            </w:pPr>
            <w:r w:rsidRPr="007760E3">
              <w:rPr>
                <w:rFonts w:ascii="Times New Roman" w:hAnsi="Times New Roman" w:cs="Times New Roman"/>
                <w:sz w:val="16"/>
                <w:szCs w:val="16"/>
              </w:rPr>
              <w:t>Звітна</w:t>
            </w:r>
          </w:p>
          <w:p w:rsidR="004A1A45" w:rsidRPr="007760E3" w:rsidRDefault="004A1A45" w:rsidP="00900149">
            <w:pPr>
              <w:ind w:firstLine="0"/>
              <w:jc w:val="center"/>
              <w:rPr>
                <w:rFonts w:ascii="Times New Roman" w:hAnsi="Times New Roman" w:cs="Times New Roman"/>
                <w:sz w:val="16"/>
                <w:szCs w:val="16"/>
              </w:rPr>
            </w:pPr>
            <w:r w:rsidRPr="007760E3">
              <w:rPr>
                <w:rFonts w:ascii="Times New Roman" w:hAnsi="Times New Roman" w:cs="Times New Roman"/>
                <w:sz w:val="16"/>
                <w:szCs w:val="16"/>
              </w:rPr>
              <w:t>дата</w:t>
            </w:r>
          </w:p>
        </w:tc>
        <w:tc>
          <w:tcPr>
            <w:tcW w:w="1418" w:type="dxa"/>
            <w:vMerge w:val="restart"/>
            <w:vAlign w:val="center"/>
          </w:tcPr>
          <w:p w:rsidR="004A1A45" w:rsidRPr="007760E3" w:rsidRDefault="004A1A45" w:rsidP="00900149">
            <w:pPr>
              <w:ind w:firstLine="0"/>
              <w:jc w:val="center"/>
              <w:rPr>
                <w:rFonts w:ascii="Times New Roman" w:hAnsi="Times New Roman" w:cs="Times New Roman"/>
                <w:sz w:val="16"/>
                <w:szCs w:val="16"/>
              </w:rPr>
            </w:pPr>
            <w:r w:rsidRPr="007760E3">
              <w:rPr>
                <w:rFonts w:ascii="Times New Roman" w:hAnsi="Times New Roman" w:cs="Times New Roman"/>
                <w:sz w:val="16"/>
                <w:szCs w:val="16"/>
              </w:rPr>
              <w:t>Група матеріальних запасів</w:t>
            </w:r>
          </w:p>
        </w:tc>
        <w:tc>
          <w:tcPr>
            <w:tcW w:w="2693" w:type="dxa"/>
            <w:gridSpan w:val="2"/>
            <w:vAlign w:val="center"/>
          </w:tcPr>
          <w:p w:rsidR="004A1A45" w:rsidRPr="007760E3" w:rsidRDefault="004A1A45" w:rsidP="00900149">
            <w:pPr>
              <w:ind w:firstLine="0"/>
              <w:jc w:val="center"/>
              <w:rPr>
                <w:rFonts w:ascii="Times New Roman" w:hAnsi="Times New Roman" w:cs="Times New Roman"/>
                <w:sz w:val="16"/>
                <w:szCs w:val="16"/>
              </w:rPr>
            </w:pPr>
            <w:r w:rsidRPr="007760E3">
              <w:rPr>
                <w:rFonts w:ascii="Times New Roman" w:hAnsi="Times New Roman" w:cs="Times New Roman"/>
                <w:sz w:val="16"/>
                <w:szCs w:val="16"/>
              </w:rPr>
              <w:t>Наявність, грн.</w:t>
            </w:r>
          </w:p>
        </w:tc>
        <w:tc>
          <w:tcPr>
            <w:tcW w:w="1134" w:type="dxa"/>
            <w:vMerge w:val="restart"/>
            <w:vAlign w:val="center"/>
          </w:tcPr>
          <w:p w:rsidR="004A1A45" w:rsidRPr="007760E3" w:rsidRDefault="004A1A45" w:rsidP="00900149">
            <w:pPr>
              <w:ind w:firstLine="0"/>
              <w:jc w:val="center"/>
              <w:rPr>
                <w:rFonts w:ascii="Times New Roman" w:hAnsi="Times New Roman" w:cs="Times New Roman"/>
                <w:sz w:val="16"/>
                <w:szCs w:val="16"/>
              </w:rPr>
            </w:pPr>
            <w:r w:rsidRPr="007760E3">
              <w:rPr>
                <w:rFonts w:ascii="Times New Roman" w:hAnsi="Times New Roman" w:cs="Times New Roman"/>
                <w:sz w:val="16"/>
                <w:szCs w:val="16"/>
              </w:rPr>
              <w:t>Списано в поточному році, грн.</w:t>
            </w:r>
          </w:p>
        </w:tc>
      </w:tr>
      <w:tr w:rsidR="004A1A45" w:rsidRPr="007760E3" w:rsidTr="00900149">
        <w:tc>
          <w:tcPr>
            <w:tcW w:w="817" w:type="dxa"/>
            <w:vMerge/>
            <w:vAlign w:val="center"/>
          </w:tcPr>
          <w:p w:rsidR="004A1A45" w:rsidRPr="007760E3" w:rsidRDefault="004A1A45" w:rsidP="00900149">
            <w:pPr>
              <w:ind w:firstLine="0"/>
              <w:jc w:val="center"/>
              <w:rPr>
                <w:rFonts w:ascii="Times New Roman" w:hAnsi="Times New Roman" w:cs="Times New Roman"/>
                <w:sz w:val="16"/>
                <w:szCs w:val="16"/>
              </w:rPr>
            </w:pPr>
          </w:p>
        </w:tc>
        <w:tc>
          <w:tcPr>
            <w:tcW w:w="1418" w:type="dxa"/>
            <w:vMerge/>
            <w:vAlign w:val="center"/>
          </w:tcPr>
          <w:p w:rsidR="004A1A45" w:rsidRPr="007760E3" w:rsidRDefault="004A1A45" w:rsidP="00900149">
            <w:pPr>
              <w:ind w:firstLine="0"/>
              <w:jc w:val="center"/>
              <w:rPr>
                <w:rFonts w:ascii="Times New Roman" w:hAnsi="Times New Roman" w:cs="Times New Roman"/>
                <w:sz w:val="16"/>
                <w:szCs w:val="16"/>
              </w:rPr>
            </w:pPr>
          </w:p>
        </w:tc>
        <w:tc>
          <w:tcPr>
            <w:tcW w:w="1275" w:type="dxa"/>
            <w:vAlign w:val="center"/>
          </w:tcPr>
          <w:p w:rsidR="004A1A45" w:rsidRPr="007760E3" w:rsidRDefault="004A1A45" w:rsidP="00900149">
            <w:pPr>
              <w:ind w:firstLine="0"/>
              <w:jc w:val="center"/>
              <w:rPr>
                <w:rFonts w:ascii="Times New Roman" w:hAnsi="Times New Roman" w:cs="Times New Roman"/>
                <w:sz w:val="16"/>
                <w:szCs w:val="16"/>
              </w:rPr>
            </w:pPr>
            <w:r w:rsidRPr="007760E3">
              <w:rPr>
                <w:rFonts w:ascii="Times New Roman" w:hAnsi="Times New Roman" w:cs="Times New Roman"/>
                <w:sz w:val="16"/>
                <w:szCs w:val="16"/>
              </w:rPr>
              <w:t>На складі</w:t>
            </w:r>
          </w:p>
        </w:tc>
        <w:tc>
          <w:tcPr>
            <w:tcW w:w="1418" w:type="dxa"/>
            <w:vAlign w:val="center"/>
          </w:tcPr>
          <w:p w:rsidR="004A1A45" w:rsidRPr="007760E3" w:rsidRDefault="004A1A45" w:rsidP="00900149">
            <w:pPr>
              <w:ind w:firstLine="0"/>
              <w:jc w:val="center"/>
              <w:rPr>
                <w:rFonts w:ascii="Times New Roman" w:hAnsi="Times New Roman" w:cs="Times New Roman"/>
                <w:sz w:val="16"/>
                <w:szCs w:val="16"/>
              </w:rPr>
            </w:pPr>
            <w:r w:rsidRPr="007760E3">
              <w:rPr>
                <w:rFonts w:ascii="Times New Roman" w:hAnsi="Times New Roman" w:cs="Times New Roman"/>
                <w:sz w:val="16"/>
                <w:szCs w:val="16"/>
              </w:rPr>
              <w:t>В підрозділах</w:t>
            </w:r>
          </w:p>
        </w:tc>
        <w:tc>
          <w:tcPr>
            <w:tcW w:w="1134" w:type="dxa"/>
            <w:vMerge/>
            <w:vAlign w:val="center"/>
          </w:tcPr>
          <w:p w:rsidR="004A1A45" w:rsidRPr="007760E3" w:rsidRDefault="004A1A45" w:rsidP="00900149">
            <w:pPr>
              <w:ind w:firstLine="0"/>
              <w:jc w:val="center"/>
              <w:rPr>
                <w:rFonts w:ascii="Times New Roman" w:hAnsi="Times New Roman" w:cs="Times New Roman"/>
                <w:sz w:val="16"/>
                <w:szCs w:val="16"/>
              </w:rPr>
            </w:pPr>
          </w:p>
        </w:tc>
      </w:tr>
      <w:tr w:rsidR="004A1A45" w:rsidRPr="007760E3" w:rsidTr="00900149">
        <w:tc>
          <w:tcPr>
            <w:tcW w:w="817" w:type="dxa"/>
            <w:vAlign w:val="center"/>
          </w:tcPr>
          <w:p w:rsidR="004A1A45" w:rsidRPr="007760E3" w:rsidRDefault="004A1A45" w:rsidP="00900149">
            <w:pPr>
              <w:ind w:firstLine="0"/>
              <w:jc w:val="center"/>
              <w:rPr>
                <w:rFonts w:ascii="Times New Roman" w:hAnsi="Times New Roman" w:cs="Times New Roman"/>
                <w:sz w:val="16"/>
                <w:szCs w:val="16"/>
              </w:rPr>
            </w:pPr>
          </w:p>
        </w:tc>
        <w:tc>
          <w:tcPr>
            <w:tcW w:w="1418" w:type="dxa"/>
            <w:vAlign w:val="center"/>
          </w:tcPr>
          <w:p w:rsidR="004A1A45" w:rsidRPr="007760E3" w:rsidRDefault="004A1A45" w:rsidP="00900149">
            <w:pPr>
              <w:ind w:firstLine="0"/>
              <w:jc w:val="center"/>
              <w:rPr>
                <w:rFonts w:ascii="Times New Roman" w:hAnsi="Times New Roman" w:cs="Times New Roman"/>
                <w:sz w:val="16"/>
                <w:szCs w:val="16"/>
              </w:rPr>
            </w:pPr>
          </w:p>
        </w:tc>
        <w:tc>
          <w:tcPr>
            <w:tcW w:w="1275" w:type="dxa"/>
            <w:vAlign w:val="center"/>
          </w:tcPr>
          <w:p w:rsidR="004A1A45" w:rsidRPr="007760E3" w:rsidRDefault="004A1A45" w:rsidP="00900149">
            <w:pPr>
              <w:ind w:firstLine="0"/>
              <w:jc w:val="center"/>
              <w:rPr>
                <w:rFonts w:ascii="Times New Roman" w:hAnsi="Times New Roman" w:cs="Times New Roman"/>
                <w:sz w:val="16"/>
                <w:szCs w:val="16"/>
              </w:rPr>
            </w:pPr>
          </w:p>
        </w:tc>
        <w:tc>
          <w:tcPr>
            <w:tcW w:w="1418" w:type="dxa"/>
            <w:vAlign w:val="center"/>
          </w:tcPr>
          <w:p w:rsidR="004A1A45" w:rsidRPr="007760E3" w:rsidRDefault="004A1A45" w:rsidP="00900149">
            <w:pPr>
              <w:ind w:firstLine="0"/>
              <w:jc w:val="center"/>
              <w:rPr>
                <w:rFonts w:ascii="Times New Roman" w:hAnsi="Times New Roman" w:cs="Times New Roman"/>
                <w:sz w:val="16"/>
                <w:szCs w:val="16"/>
              </w:rPr>
            </w:pPr>
          </w:p>
        </w:tc>
        <w:tc>
          <w:tcPr>
            <w:tcW w:w="1134" w:type="dxa"/>
            <w:vAlign w:val="center"/>
          </w:tcPr>
          <w:p w:rsidR="004A1A45" w:rsidRPr="007760E3" w:rsidRDefault="004A1A45" w:rsidP="00900149">
            <w:pPr>
              <w:ind w:firstLine="0"/>
              <w:jc w:val="center"/>
              <w:rPr>
                <w:rFonts w:ascii="Times New Roman" w:hAnsi="Times New Roman" w:cs="Times New Roman"/>
                <w:sz w:val="16"/>
                <w:szCs w:val="16"/>
              </w:rPr>
            </w:pPr>
          </w:p>
        </w:tc>
      </w:tr>
      <w:tr w:rsidR="004A1A45" w:rsidRPr="007760E3" w:rsidTr="00A61E33">
        <w:tc>
          <w:tcPr>
            <w:tcW w:w="817" w:type="dxa"/>
          </w:tcPr>
          <w:p w:rsidR="004A1A45" w:rsidRPr="007760E3" w:rsidRDefault="004A1A45" w:rsidP="00A61E33">
            <w:pPr>
              <w:jc w:val="both"/>
              <w:rPr>
                <w:rFonts w:ascii="Times New Roman" w:hAnsi="Times New Roman" w:cs="Times New Roman"/>
                <w:sz w:val="16"/>
                <w:szCs w:val="16"/>
              </w:rPr>
            </w:pPr>
          </w:p>
        </w:tc>
        <w:tc>
          <w:tcPr>
            <w:tcW w:w="1418" w:type="dxa"/>
          </w:tcPr>
          <w:p w:rsidR="004A1A45" w:rsidRPr="007760E3" w:rsidRDefault="004A1A45" w:rsidP="00A61E33">
            <w:pPr>
              <w:jc w:val="both"/>
              <w:rPr>
                <w:rFonts w:ascii="Times New Roman" w:hAnsi="Times New Roman" w:cs="Times New Roman"/>
                <w:sz w:val="16"/>
                <w:szCs w:val="16"/>
              </w:rPr>
            </w:pPr>
          </w:p>
        </w:tc>
        <w:tc>
          <w:tcPr>
            <w:tcW w:w="1275" w:type="dxa"/>
          </w:tcPr>
          <w:p w:rsidR="004A1A45" w:rsidRPr="007760E3" w:rsidRDefault="004A1A45" w:rsidP="00A61E33">
            <w:pPr>
              <w:jc w:val="both"/>
              <w:rPr>
                <w:rFonts w:ascii="Times New Roman" w:hAnsi="Times New Roman" w:cs="Times New Roman"/>
                <w:sz w:val="16"/>
                <w:szCs w:val="16"/>
              </w:rPr>
            </w:pPr>
          </w:p>
        </w:tc>
        <w:tc>
          <w:tcPr>
            <w:tcW w:w="1418" w:type="dxa"/>
          </w:tcPr>
          <w:p w:rsidR="004A1A45" w:rsidRPr="007760E3" w:rsidRDefault="004A1A45" w:rsidP="00A61E33">
            <w:pPr>
              <w:jc w:val="both"/>
              <w:rPr>
                <w:rFonts w:ascii="Times New Roman" w:hAnsi="Times New Roman" w:cs="Times New Roman"/>
                <w:sz w:val="16"/>
                <w:szCs w:val="16"/>
              </w:rPr>
            </w:pPr>
          </w:p>
        </w:tc>
        <w:tc>
          <w:tcPr>
            <w:tcW w:w="1134" w:type="dxa"/>
          </w:tcPr>
          <w:p w:rsidR="004A1A45" w:rsidRPr="007760E3" w:rsidRDefault="004A1A45" w:rsidP="00A61E33">
            <w:pPr>
              <w:jc w:val="both"/>
              <w:rPr>
                <w:rFonts w:ascii="Times New Roman" w:hAnsi="Times New Roman" w:cs="Times New Roman"/>
                <w:sz w:val="16"/>
                <w:szCs w:val="16"/>
              </w:rPr>
            </w:pPr>
          </w:p>
        </w:tc>
      </w:tr>
    </w:tbl>
    <w:p w:rsidR="00826DB3" w:rsidRDefault="00826DB3" w:rsidP="00A273F1">
      <w:pPr>
        <w:tabs>
          <w:tab w:val="left" w:pos="0"/>
          <w:tab w:val="left" w:pos="180"/>
          <w:tab w:val="left" w:pos="993"/>
          <w:tab w:val="left" w:pos="1134"/>
        </w:tabs>
        <w:ind w:firstLine="709"/>
        <w:jc w:val="both"/>
        <w:rPr>
          <w:rFonts w:ascii="Times New Roman" w:hAnsi="Times New Roman" w:cs="Times New Roman"/>
          <w:sz w:val="21"/>
          <w:szCs w:val="21"/>
        </w:rPr>
      </w:pPr>
    </w:p>
    <w:p w:rsidR="00826DB3" w:rsidRDefault="00826DB3" w:rsidP="00A273F1">
      <w:pPr>
        <w:tabs>
          <w:tab w:val="left" w:pos="0"/>
          <w:tab w:val="left" w:pos="180"/>
          <w:tab w:val="left" w:pos="993"/>
          <w:tab w:val="left" w:pos="1134"/>
        </w:tabs>
        <w:ind w:firstLine="709"/>
        <w:jc w:val="both"/>
        <w:rPr>
          <w:rFonts w:ascii="Times New Roman" w:hAnsi="Times New Roman" w:cs="Times New Roman"/>
          <w:sz w:val="21"/>
          <w:szCs w:val="21"/>
        </w:rPr>
      </w:pPr>
    </w:p>
    <w:p w:rsidR="00826DB3" w:rsidRDefault="00826DB3" w:rsidP="00A273F1">
      <w:pPr>
        <w:tabs>
          <w:tab w:val="left" w:pos="0"/>
          <w:tab w:val="left" w:pos="180"/>
          <w:tab w:val="left" w:pos="993"/>
          <w:tab w:val="left" w:pos="1134"/>
        </w:tabs>
        <w:ind w:firstLine="709"/>
        <w:jc w:val="both"/>
        <w:rPr>
          <w:rFonts w:ascii="Times New Roman" w:hAnsi="Times New Roman" w:cs="Times New Roman"/>
          <w:sz w:val="21"/>
          <w:szCs w:val="21"/>
        </w:rPr>
      </w:pPr>
    </w:p>
    <w:p w:rsidR="00826DB3" w:rsidRDefault="00826DB3" w:rsidP="00A273F1">
      <w:pPr>
        <w:tabs>
          <w:tab w:val="left" w:pos="0"/>
          <w:tab w:val="left" w:pos="180"/>
          <w:tab w:val="left" w:pos="993"/>
          <w:tab w:val="left" w:pos="1134"/>
        </w:tabs>
        <w:ind w:firstLine="709"/>
        <w:jc w:val="both"/>
        <w:rPr>
          <w:rFonts w:ascii="Times New Roman" w:hAnsi="Times New Roman" w:cs="Times New Roman"/>
          <w:sz w:val="21"/>
          <w:szCs w:val="21"/>
        </w:rPr>
      </w:pPr>
    </w:p>
    <w:p w:rsidR="00826DB3" w:rsidRDefault="00826DB3" w:rsidP="00A273F1">
      <w:pPr>
        <w:tabs>
          <w:tab w:val="left" w:pos="0"/>
          <w:tab w:val="left" w:pos="180"/>
          <w:tab w:val="left" w:pos="993"/>
          <w:tab w:val="left" w:pos="1134"/>
        </w:tabs>
        <w:ind w:firstLine="709"/>
        <w:jc w:val="both"/>
        <w:rPr>
          <w:rFonts w:ascii="Times New Roman" w:hAnsi="Times New Roman" w:cs="Times New Roman"/>
          <w:sz w:val="21"/>
          <w:szCs w:val="21"/>
        </w:rPr>
      </w:pPr>
    </w:p>
    <w:p w:rsidR="00826DB3" w:rsidRDefault="00826DB3">
      <w:pPr>
        <w:rPr>
          <w:rFonts w:ascii="Times New Roman" w:hAnsi="Times New Roman"/>
          <w:bCs/>
          <w:sz w:val="20"/>
          <w:szCs w:val="20"/>
        </w:rPr>
      </w:pPr>
      <w:r>
        <w:rPr>
          <w:rFonts w:ascii="Times New Roman" w:hAnsi="Times New Roman"/>
          <w:bCs/>
          <w:sz w:val="20"/>
          <w:szCs w:val="20"/>
        </w:rPr>
        <w:br w:type="page"/>
      </w:r>
    </w:p>
    <w:p w:rsidR="00B233DE" w:rsidRDefault="00B233DE" w:rsidP="00B233DE">
      <w:pPr>
        <w:widowControl w:val="0"/>
        <w:jc w:val="center"/>
        <w:rPr>
          <w:rFonts w:ascii="Times New Roman" w:hAnsi="Times New Roman"/>
          <w:bCs/>
          <w:sz w:val="20"/>
          <w:szCs w:val="20"/>
        </w:rPr>
      </w:pPr>
    </w:p>
    <w:p w:rsidR="00B233DE" w:rsidRDefault="00B233DE" w:rsidP="00B233DE">
      <w:pPr>
        <w:widowControl w:val="0"/>
        <w:jc w:val="center"/>
        <w:rPr>
          <w:rFonts w:ascii="Times New Roman" w:hAnsi="Times New Roman"/>
          <w:bCs/>
          <w:sz w:val="20"/>
          <w:szCs w:val="20"/>
        </w:rPr>
      </w:pPr>
    </w:p>
    <w:p w:rsidR="00B233DE" w:rsidRDefault="00B233DE" w:rsidP="00B233DE">
      <w:pPr>
        <w:widowControl w:val="0"/>
        <w:jc w:val="center"/>
        <w:rPr>
          <w:rFonts w:ascii="Times New Roman" w:hAnsi="Times New Roman"/>
          <w:bCs/>
          <w:sz w:val="20"/>
          <w:szCs w:val="20"/>
        </w:rPr>
      </w:pPr>
    </w:p>
    <w:p w:rsidR="00B233DE" w:rsidRDefault="00B233DE" w:rsidP="00B233DE">
      <w:pPr>
        <w:widowControl w:val="0"/>
        <w:jc w:val="center"/>
        <w:rPr>
          <w:rFonts w:ascii="Times New Roman" w:hAnsi="Times New Roman"/>
          <w:bCs/>
          <w:sz w:val="20"/>
          <w:szCs w:val="20"/>
        </w:rPr>
      </w:pPr>
    </w:p>
    <w:p w:rsidR="00B233DE" w:rsidRDefault="00B233DE" w:rsidP="00B233DE">
      <w:pPr>
        <w:widowControl w:val="0"/>
        <w:jc w:val="right"/>
        <w:rPr>
          <w:rFonts w:ascii="Times New Roman" w:hAnsi="Times New Roman"/>
          <w:bCs/>
          <w:sz w:val="21"/>
          <w:szCs w:val="21"/>
        </w:rPr>
      </w:pPr>
      <w:r>
        <w:rPr>
          <w:noProof/>
          <w:lang w:val="ru-RU" w:eastAsia="ru-RU"/>
        </w:rPr>
        <w:drawing>
          <wp:inline distT="0" distB="0" distL="0" distR="0" wp14:anchorId="3E08D4CC" wp14:editId="73D8623C">
            <wp:extent cx="3886200" cy="245745"/>
            <wp:effectExtent l="0" t="0" r="0" b="1905"/>
            <wp:docPr id="945" name="Рисунок 9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3886200" cy="245745"/>
                    </a:xfrm>
                    <a:prstGeom prst="rect">
                      <a:avLst/>
                    </a:prstGeom>
                    <a:noFill/>
                    <a:ln>
                      <a:noFill/>
                    </a:ln>
                  </pic:spPr>
                </pic:pic>
              </a:graphicData>
            </a:graphic>
          </wp:inline>
        </w:drawing>
      </w:r>
    </w:p>
    <w:p w:rsidR="00B233DE" w:rsidRPr="00F032BD" w:rsidRDefault="00B233DE" w:rsidP="00B233DE">
      <w:pPr>
        <w:widowControl w:val="0"/>
        <w:ind w:firstLine="709"/>
        <w:jc w:val="both"/>
        <w:rPr>
          <w:rFonts w:ascii="Times New Roman" w:hAnsi="Times New Roman"/>
          <w:bCs/>
          <w:sz w:val="12"/>
          <w:szCs w:val="12"/>
        </w:rPr>
      </w:pPr>
    </w:p>
    <w:p w:rsidR="00B233DE" w:rsidRPr="0011391F" w:rsidRDefault="00B233DE" w:rsidP="00B233DE">
      <w:pPr>
        <w:ind w:firstLine="709"/>
        <w:rPr>
          <w:rFonts w:ascii="Times New Roman" w:hAnsi="Times New Roman" w:cs="Times New Roman"/>
          <w:b/>
          <w:sz w:val="20"/>
          <w:szCs w:val="20"/>
        </w:rPr>
      </w:pPr>
      <w:r>
        <w:rPr>
          <w:rFonts w:ascii="Times New Roman" w:hAnsi="Times New Roman" w:cs="Times New Roman"/>
          <w:b/>
          <w:sz w:val="20"/>
          <w:szCs w:val="20"/>
        </w:rPr>
        <w:t>Вступ……………………………………………………………4</w:t>
      </w:r>
    </w:p>
    <w:p w:rsidR="00B233DE" w:rsidRPr="00F032BD" w:rsidRDefault="00B233DE" w:rsidP="00B233DE">
      <w:pPr>
        <w:ind w:firstLine="709"/>
        <w:rPr>
          <w:rFonts w:ascii="Times New Roman" w:hAnsi="Times New Roman" w:cs="Times New Roman"/>
          <w:sz w:val="12"/>
          <w:szCs w:val="12"/>
        </w:rPr>
      </w:pPr>
    </w:p>
    <w:p w:rsidR="00B233DE" w:rsidRPr="00874EFC" w:rsidRDefault="00F032BD" w:rsidP="00F032BD">
      <w:pPr>
        <w:ind w:firstLine="709"/>
        <w:jc w:val="center"/>
        <w:rPr>
          <w:rFonts w:ascii="Times New Roman" w:hAnsi="Times New Roman" w:cs="Times New Roman"/>
          <w:b/>
          <w:sz w:val="20"/>
        </w:rPr>
      </w:pPr>
      <w:r>
        <w:rPr>
          <w:rFonts w:ascii="Times New Roman" w:hAnsi="Times New Roman" w:cs="Times New Roman"/>
          <w:b/>
          <w:sz w:val="20"/>
        </w:rPr>
        <w:t xml:space="preserve">Розділ І </w:t>
      </w:r>
      <w:r w:rsidR="00B233DE" w:rsidRPr="00874EFC">
        <w:rPr>
          <w:rFonts w:ascii="Times New Roman" w:hAnsi="Times New Roman" w:cs="Times New Roman"/>
          <w:b/>
          <w:sz w:val="20"/>
        </w:rPr>
        <w:t>Сутнісна характеристика людського потенціалу</w:t>
      </w:r>
    </w:p>
    <w:p w:rsidR="00B233DE" w:rsidRPr="00874EFC" w:rsidRDefault="00B233DE" w:rsidP="00B233DE">
      <w:pPr>
        <w:ind w:firstLine="709"/>
        <w:rPr>
          <w:rFonts w:ascii="Times New Roman" w:hAnsi="Times New Roman" w:cs="Times New Roman"/>
          <w:sz w:val="20"/>
          <w:szCs w:val="10"/>
        </w:rPr>
      </w:pPr>
    </w:p>
    <w:p w:rsidR="00B233DE" w:rsidRPr="0011391F" w:rsidRDefault="00B233DE" w:rsidP="00B233DE">
      <w:pPr>
        <w:ind w:left="709" w:firstLine="0"/>
        <w:rPr>
          <w:rFonts w:ascii="Times New Roman" w:hAnsi="Times New Roman" w:cs="Times New Roman"/>
          <w:sz w:val="19"/>
          <w:szCs w:val="19"/>
        </w:rPr>
      </w:pPr>
      <w:r w:rsidRPr="00874EFC">
        <w:rPr>
          <w:rFonts w:ascii="Times New Roman" w:hAnsi="Times New Roman" w:cs="Times New Roman"/>
          <w:sz w:val="19"/>
          <w:szCs w:val="19"/>
        </w:rPr>
        <w:t>1.1. Еволюція наукових поглядів</w:t>
      </w:r>
      <w:r>
        <w:rPr>
          <w:rFonts w:ascii="Times New Roman" w:hAnsi="Times New Roman" w:cs="Times New Roman"/>
          <w:sz w:val="19"/>
          <w:szCs w:val="19"/>
        </w:rPr>
        <w:t xml:space="preserve"> </w:t>
      </w:r>
      <w:r w:rsidRPr="00874EFC">
        <w:rPr>
          <w:rFonts w:ascii="Times New Roman" w:hAnsi="Times New Roman" w:cs="Times New Roman"/>
          <w:sz w:val="19"/>
          <w:szCs w:val="19"/>
        </w:rPr>
        <w:t xml:space="preserve">та концепцій </w:t>
      </w:r>
      <w:r>
        <w:rPr>
          <w:rFonts w:ascii="Times New Roman" w:hAnsi="Times New Roman" w:cs="Times New Roman"/>
          <w:sz w:val="19"/>
          <w:szCs w:val="19"/>
        </w:rPr>
        <w:t>формування</w:t>
      </w:r>
      <w:r w:rsidRPr="00874EFC">
        <w:rPr>
          <w:rFonts w:ascii="Times New Roman" w:hAnsi="Times New Roman" w:cs="Times New Roman"/>
          <w:sz w:val="19"/>
          <w:szCs w:val="19"/>
        </w:rPr>
        <w:t xml:space="preserve"> людського потенціалу</w:t>
      </w:r>
      <w:r>
        <w:rPr>
          <w:rFonts w:ascii="Times New Roman" w:hAnsi="Times New Roman" w:cs="Times New Roman"/>
          <w:sz w:val="19"/>
          <w:szCs w:val="19"/>
        </w:rPr>
        <w:t>……………………………………………...13</w:t>
      </w:r>
    </w:p>
    <w:p w:rsidR="00B233DE" w:rsidRPr="00874EFC" w:rsidRDefault="00B233DE" w:rsidP="00B233DE">
      <w:pPr>
        <w:ind w:firstLine="709"/>
        <w:rPr>
          <w:rFonts w:ascii="Times New Roman" w:hAnsi="Times New Roman" w:cs="Times New Roman"/>
          <w:sz w:val="19"/>
          <w:szCs w:val="19"/>
        </w:rPr>
      </w:pPr>
      <w:r w:rsidRPr="00874EFC">
        <w:rPr>
          <w:rFonts w:ascii="Times New Roman" w:hAnsi="Times New Roman" w:cs="Times New Roman"/>
          <w:sz w:val="19"/>
          <w:szCs w:val="19"/>
        </w:rPr>
        <w:t xml:space="preserve">1.2. Компонентна структура людського потенціалу </w:t>
      </w:r>
    </w:p>
    <w:p w:rsidR="00B233DE" w:rsidRPr="00874EFC" w:rsidRDefault="00B233DE" w:rsidP="00B233DE">
      <w:pPr>
        <w:ind w:firstLine="709"/>
        <w:rPr>
          <w:rFonts w:ascii="Times New Roman" w:hAnsi="Times New Roman" w:cs="Times New Roman"/>
          <w:iCs/>
          <w:sz w:val="19"/>
          <w:szCs w:val="19"/>
        </w:rPr>
      </w:pPr>
      <w:r w:rsidRPr="00874EFC">
        <w:rPr>
          <w:rFonts w:ascii="Times New Roman" w:hAnsi="Times New Roman" w:cs="Times New Roman"/>
          <w:sz w:val="19"/>
          <w:szCs w:val="19"/>
        </w:rPr>
        <w:t>за сучасних умов розвитку економіки</w:t>
      </w:r>
      <w:r>
        <w:rPr>
          <w:rFonts w:ascii="Times New Roman" w:hAnsi="Times New Roman" w:cs="Times New Roman"/>
          <w:iCs/>
          <w:sz w:val="19"/>
          <w:szCs w:val="19"/>
        </w:rPr>
        <w:t>…………………………….26</w:t>
      </w:r>
    </w:p>
    <w:p w:rsidR="00B233DE" w:rsidRPr="00874EFC" w:rsidRDefault="00B233DE" w:rsidP="00B233DE">
      <w:pPr>
        <w:ind w:firstLine="709"/>
        <w:rPr>
          <w:rFonts w:ascii="Times New Roman" w:hAnsi="Times New Roman" w:cs="Times New Roman"/>
          <w:sz w:val="19"/>
          <w:szCs w:val="19"/>
        </w:rPr>
      </w:pPr>
      <w:r w:rsidRPr="00874EFC">
        <w:rPr>
          <w:rFonts w:ascii="Times New Roman" w:hAnsi="Times New Roman" w:cs="Times New Roman"/>
          <w:sz w:val="19"/>
          <w:szCs w:val="19"/>
        </w:rPr>
        <w:t>1.3. Оцінка розвитку людського потенціалу</w:t>
      </w:r>
    </w:p>
    <w:p w:rsidR="00B233DE" w:rsidRPr="00874EFC" w:rsidRDefault="00B233DE" w:rsidP="00B233DE">
      <w:pPr>
        <w:ind w:firstLine="709"/>
        <w:rPr>
          <w:rFonts w:ascii="Times New Roman" w:hAnsi="Times New Roman" w:cs="Times New Roman"/>
          <w:iCs/>
          <w:sz w:val="19"/>
          <w:szCs w:val="19"/>
        </w:rPr>
      </w:pPr>
      <w:r w:rsidRPr="00874EFC">
        <w:rPr>
          <w:rFonts w:ascii="Times New Roman" w:hAnsi="Times New Roman" w:cs="Times New Roman"/>
          <w:sz w:val="19"/>
          <w:szCs w:val="19"/>
        </w:rPr>
        <w:t>в системі соціально-економічних концепцій</w:t>
      </w:r>
      <w:r w:rsidR="00900149">
        <w:rPr>
          <w:rFonts w:ascii="Times New Roman" w:hAnsi="Times New Roman" w:cs="Times New Roman"/>
          <w:iCs/>
          <w:sz w:val="19"/>
          <w:szCs w:val="19"/>
        </w:rPr>
        <w:t>……………………..33</w:t>
      </w:r>
    </w:p>
    <w:p w:rsidR="00B233DE" w:rsidRPr="00874EFC" w:rsidRDefault="00B233DE" w:rsidP="00B233DE">
      <w:pPr>
        <w:ind w:firstLine="709"/>
        <w:rPr>
          <w:rFonts w:ascii="Times New Roman" w:hAnsi="Times New Roman" w:cs="Times New Roman"/>
          <w:sz w:val="20"/>
        </w:rPr>
      </w:pPr>
    </w:p>
    <w:p w:rsidR="00B233DE" w:rsidRPr="00874EFC" w:rsidRDefault="00F032BD" w:rsidP="00F032BD">
      <w:pPr>
        <w:ind w:firstLine="709"/>
        <w:jc w:val="center"/>
        <w:rPr>
          <w:rFonts w:ascii="Times New Roman" w:hAnsi="Times New Roman" w:cs="Times New Roman"/>
          <w:b/>
          <w:sz w:val="20"/>
        </w:rPr>
      </w:pPr>
      <w:r>
        <w:rPr>
          <w:rFonts w:ascii="Times New Roman" w:hAnsi="Times New Roman" w:cs="Times New Roman"/>
          <w:b/>
          <w:sz w:val="20"/>
        </w:rPr>
        <w:t xml:space="preserve">Розділ ІІ </w:t>
      </w:r>
      <w:r w:rsidR="00B233DE" w:rsidRPr="00874EFC">
        <w:rPr>
          <w:rFonts w:ascii="Times New Roman" w:hAnsi="Times New Roman" w:cs="Times New Roman"/>
          <w:b/>
          <w:sz w:val="20"/>
        </w:rPr>
        <w:t>Стан соціально-де</w:t>
      </w:r>
      <w:r>
        <w:rPr>
          <w:rFonts w:ascii="Times New Roman" w:hAnsi="Times New Roman" w:cs="Times New Roman"/>
          <w:b/>
          <w:sz w:val="20"/>
        </w:rPr>
        <w:t xml:space="preserve">мографічного потенціалу України </w:t>
      </w:r>
      <w:r w:rsidR="00B233DE" w:rsidRPr="00874EFC">
        <w:rPr>
          <w:rFonts w:ascii="Times New Roman" w:hAnsi="Times New Roman" w:cs="Times New Roman"/>
          <w:b/>
          <w:sz w:val="20"/>
        </w:rPr>
        <w:t>та проблеми його використання</w:t>
      </w:r>
    </w:p>
    <w:p w:rsidR="00B233DE" w:rsidRPr="00874EFC" w:rsidRDefault="00B233DE" w:rsidP="00B233DE">
      <w:pPr>
        <w:ind w:firstLine="709"/>
        <w:rPr>
          <w:rFonts w:ascii="Times New Roman" w:hAnsi="Times New Roman" w:cs="Times New Roman"/>
          <w:sz w:val="20"/>
          <w:szCs w:val="10"/>
        </w:rPr>
      </w:pPr>
    </w:p>
    <w:p w:rsidR="00B233DE" w:rsidRPr="00874EFC" w:rsidRDefault="00B233DE" w:rsidP="00B233DE">
      <w:pPr>
        <w:ind w:firstLine="709"/>
        <w:rPr>
          <w:rFonts w:ascii="Times New Roman" w:hAnsi="Times New Roman" w:cs="Times New Roman"/>
          <w:sz w:val="19"/>
          <w:szCs w:val="19"/>
          <w:lang w:eastAsia="ru-RU"/>
        </w:rPr>
      </w:pPr>
      <w:r w:rsidRPr="00874EFC">
        <w:rPr>
          <w:rFonts w:ascii="Times New Roman" w:hAnsi="Times New Roman" w:cs="Times New Roman"/>
          <w:sz w:val="19"/>
          <w:szCs w:val="19"/>
          <w:lang w:val="ru-RU"/>
        </w:rPr>
        <w:t>2</w:t>
      </w:r>
      <w:r w:rsidRPr="00874EFC">
        <w:rPr>
          <w:rFonts w:ascii="Times New Roman" w:hAnsi="Times New Roman" w:cs="Times New Roman"/>
          <w:sz w:val="19"/>
          <w:szCs w:val="19"/>
        </w:rPr>
        <w:t>.1. </w:t>
      </w:r>
      <w:r w:rsidRPr="00874EFC">
        <w:rPr>
          <w:rFonts w:ascii="Times New Roman" w:hAnsi="Times New Roman" w:cs="Times New Roman"/>
          <w:sz w:val="19"/>
          <w:szCs w:val="19"/>
          <w:lang w:eastAsia="ru-RU"/>
        </w:rPr>
        <w:t xml:space="preserve">Генезис </w:t>
      </w:r>
      <w:r>
        <w:rPr>
          <w:rFonts w:ascii="Times New Roman" w:hAnsi="Times New Roman" w:cs="Times New Roman"/>
          <w:sz w:val="19"/>
          <w:szCs w:val="19"/>
          <w:lang w:eastAsia="ru-RU"/>
        </w:rPr>
        <w:t>формування</w:t>
      </w:r>
      <w:r w:rsidRPr="00874EFC">
        <w:rPr>
          <w:rFonts w:ascii="Times New Roman" w:hAnsi="Times New Roman" w:cs="Times New Roman"/>
          <w:sz w:val="19"/>
          <w:szCs w:val="19"/>
          <w:lang w:eastAsia="ru-RU"/>
        </w:rPr>
        <w:t xml:space="preserve"> демографічного потенціалу </w:t>
      </w:r>
    </w:p>
    <w:p w:rsidR="00B233DE" w:rsidRPr="00874EFC" w:rsidRDefault="00B233DE" w:rsidP="00B233DE">
      <w:pPr>
        <w:ind w:firstLine="709"/>
        <w:rPr>
          <w:rFonts w:ascii="Times New Roman" w:hAnsi="Times New Roman" w:cs="Times New Roman"/>
          <w:iCs/>
          <w:lang w:eastAsia="ru-RU"/>
        </w:rPr>
      </w:pPr>
      <w:r w:rsidRPr="00874EFC">
        <w:rPr>
          <w:rFonts w:ascii="Times New Roman" w:hAnsi="Times New Roman" w:cs="Times New Roman"/>
          <w:sz w:val="19"/>
          <w:szCs w:val="19"/>
        </w:rPr>
        <w:t xml:space="preserve">та передумови його </w:t>
      </w:r>
      <w:r>
        <w:rPr>
          <w:rFonts w:ascii="Times New Roman" w:hAnsi="Times New Roman" w:cs="Times New Roman"/>
          <w:sz w:val="19"/>
          <w:szCs w:val="19"/>
        </w:rPr>
        <w:t>розвитку</w:t>
      </w:r>
      <w:r w:rsidRPr="00874EFC">
        <w:rPr>
          <w:rFonts w:ascii="Times New Roman" w:hAnsi="Times New Roman" w:cs="Times New Roman"/>
          <w:sz w:val="19"/>
          <w:szCs w:val="19"/>
        </w:rPr>
        <w:t xml:space="preserve"> в Україні</w:t>
      </w:r>
      <w:r w:rsidR="00900149">
        <w:rPr>
          <w:rFonts w:ascii="Times New Roman" w:hAnsi="Times New Roman" w:cs="Times New Roman"/>
          <w:iCs/>
        </w:rPr>
        <w:t>………………………56</w:t>
      </w:r>
    </w:p>
    <w:p w:rsidR="00B233DE" w:rsidRPr="00874EFC" w:rsidRDefault="00B233DE" w:rsidP="00B233DE">
      <w:pPr>
        <w:ind w:firstLine="709"/>
        <w:rPr>
          <w:rFonts w:ascii="Times New Roman" w:hAnsi="Times New Roman" w:cs="Times New Roman"/>
          <w:sz w:val="19"/>
          <w:szCs w:val="19"/>
        </w:rPr>
      </w:pPr>
      <w:r w:rsidRPr="00874EFC">
        <w:rPr>
          <w:rFonts w:ascii="Times New Roman" w:hAnsi="Times New Roman" w:cs="Times New Roman"/>
          <w:sz w:val="19"/>
          <w:szCs w:val="19"/>
        </w:rPr>
        <w:t>2.2. Методичні підходи до оцінки стану</w:t>
      </w:r>
    </w:p>
    <w:p w:rsidR="00B233DE" w:rsidRPr="00874EFC" w:rsidRDefault="00B233DE" w:rsidP="00B233DE">
      <w:pPr>
        <w:ind w:firstLine="709"/>
        <w:rPr>
          <w:rFonts w:ascii="Times New Roman" w:hAnsi="Times New Roman" w:cs="Times New Roman"/>
          <w:iCs/>
        </w:rPr>
      </w:pPr>
      <w:r w:rsidRPr="00874EFC">
        <w:rPr>
          <w:rFonts w:ascii="Times New Roman" w:hAnsi="Times New Roman" w:cs="Times New Roman"/>
          <w:sz w:val="19"/>
          <w:szCs w:val="19"/>
        </w:rPr>
        <w:t>соціально-демографічногопотенціалу України</w:t>
      </w:r>
      <w:r w:rsidR="00900149">
        <w:rPr>
          <w:rFonts w:ascii="Times New Roman" w:hAnsi="Times New Roman" w:cs="Times New Roman"/>
          <w:iCs/>
        </w:rPr>
        <w:t>………………..70</w:t>
      </w:r>
    </w:p>
    <w:p w:rsidR="00B233DE" w:rsidRPr="00874EFC" w:rsidRDefault="00B233DE" w:rsidP="00B233DE">
      <w:pPr>
        <w:ind w:firstLine="709"/>
        <w:rPr>
          <w:rFonts w:ascii="Times New Roman" w:hAnsi="Times New Roman" w:cs="Times New Roman"/>
          <w:sz w:val="19"/>
          <w:szCs w:val="19"/>
        </w:rPr>
      </w:pPr>
      <w:r w:rsidRPr="00874EFC">
        <w:rPr>
          <w:rFonts w:ascii="Times New Roman" w:hAnsi="Times New Roman" w:cs="Times New Roman"/>
          <w:sz w:val="19"/>
          <w:szCs w:val="19"/>
        </w:rPr>
        <w:t xml:space="preserve">2.3. Оцінка </w:t>
      </w:r>
      <w:r>
        <w:rPr>
          <w:rFonts w:ascii="Times New Roman" w:hAnsi="Times New Roman" w:cs="Times New Roman"/>
          <w:sz w:val="19"/>
          <w:szCs w:val="19"/>
        </w:rPr>
        <w:t>стану</w:t>
      </w:r>
      <w:r w:rsidRPr="00874EFC">
        <w:rPr>
          <w:rFonts w:ascii="Times New Roman" w:hAnsi="Times New Roman" w:cs="Times New Roman"/>
          <w:sz w:val="19"/>
          <w:szCs w:val="19"/>
        </w:rPr>
        <w:t xml:space="preserve"> системи охорони здоров’я у забезпеченні </w:t>
      </w:r>
    </w:p>
    <w:p w:rsidR="00B233DE" w:rsidRPr="00874EFC" w:rsidRDefault="00B233DE" w:rsidP="00B233DE">
      <w:pPr>
        <w:ind w:firstLine="709"/>
        <w:rPr>
          <w:rFonts w:ascii="Times New Roman" w:hAnsi="Times New Roman" w:cs="Times New Roman"/>
          <w:iCs/>
        </w:rPr>
      </w:pPr>
      <w:r w:rsidRPr="00874EFC">
        <w:rPr>
          <w:rFonts w:ascii="Times New Roman" w:hAnsi="Times New Roman" w:cs="Times New Roman"/>
          <w:sz w:val="19"/>
          <w:szCs w:val="19"/>
        </w:rPr>
        <w:t>формування соціально-демографічного потенціалу</w:t>
      </w:r>
      <w:r w:rsidR="00900149">
        <w:rPr>
          <w:rFonts w:ascii="Times New Roman" w:hAnsi="Times New Roman" w:cs="Times New Roman"/>
        </w:rPr>
        <w:t>…………...90</w:t>
      </w:r>
    </w:p>
    <w:p w:rsidR="00B233DE" w:rsidRPr="00874EFC" w:rsidRDefault="00B233DE" w:rsidP="00B233DE">
      <w:pPr>
        <w:ind w:firstLine="709"/>
        <w:rPr>
          <w:rFonts w:ascii="Times New Roman" w:hAnsi="Times New Roman" w:cs="Times New Roman"/>
          <w:sz w:val="19"/>
          <w:szCs w:val="19"/>
        </w:rPr>
      </w:pPr>
      <w:r w:rsidRPr="00874EFC">
        <w:rPr>
          <w:rFonts w:ascii="Times New Roman" w:hAnsi="Times New Roman" w:cs="Times New Roman"/>
          <w:sz w:val="19"/>
          <w:szCs w:val="19"/>
        </w:rPr>
        <w:t xml:space="preserve">2.4. Аналіз </w:t>
      </w:r>
      <w:r>
        <w:rPr>
          <w:rFonts w:ascii="Times New Roman" w:hAnsi="Times New Roman" w:cs="Times New Roman"/>
          <w:sz w:val="19"/>
          <w:szCs w:val="19"/>
        </w:rPr>
        <w:t>рівня</w:t>
      </w:r>
      <w:r w:rsidRPr="00874EFC">
        <w:rPr>
          <w:rFonts w:ascii="Times New Roman" w:hAnsi="Times New Roman" w:cs="Times New Roman"/>
          <w:sz w:val="19"/>
          <w:szCs w:val="19"/>
        </w:rPr>
        <w:t xml:space="preserve"> соціально-демографічного потенціалу </w:t>
      </w:r>
    </w:p>
    <w:p w:rsidR="00B233DE" w:rsidRPr="00874EFC" w:rsidRDefault="00B233DE" w:rsidP="00B233DE">
      <w:pPr>
        <w:ind w:firstLine="709"/>
        <w:rPr>
          <w:rFonts w:ascii="Times New Roman" w:hAnsi="Times New Roman" w:cs="Times New Roman"/>
          <w:iCs/>
        </w:rPr>
      </w:pPr>
      <w:r w:rsidRPr="00874EFC">
        <w:rPr>
          <w:rFonts w:ascii="Times New Roman" w:hAnsi="Times New Roman" w:cs="Times New Roman"/>
          <w:sz w:val="19"/>
          <w:szCs w:val="19"/>
        </w:rPr>
        <w:t>Подільського регіону</w:t>
      </w:r>
      <w:r w:rsidR="00900149">
        <w:rPr>
          <w:rFonts w:ascii="Times New Roman" w:hAnsi="Times New Roman" w:cs="Times New Roman"/>
        </w:rPr>
        <w:t>………………………………………101</w:t>
      </w:r>
    </w:p>
    <w:p w:rsidR="00B233DE" w:rsidRPr="00874EFC" w:rsidRDefault="00B233DE" w:rsidP="00B233DE">
      <w:pPr>
        <w:ind w:firstLine="709"/>
        <w:rPr>
          <w:rFonts w:ascii="Times New Roman" w:hAnsi="Times New Roman" w:cs="Times New Roman"/>
          <w:sz w:val="20"/>
          <w:lang w:eastAsia="ru-RU"/>
        </w:rPr>
      </w:pPr>
    </w:p>
    <w:p w:rsidR="00B233DE" w:rsidRPr="00874EFC" w:rsidRDefault="00F032BD" w:rsidP="00F032BD">
      <w:pPr>
        <w:ind w:firstLine="709"/>
        <w:jc w:val="center"/>
        <w:rPr>
          <w:rFonts w:ascii="Times New Roman" w:hAnsi="Times New Roman" w:cs="Times New Roman"/>
          <w:b/>
          <w:sz w:val="20"/>
        </w:rPr>
      </w:pPr>
      <w:r>
        <w:rPr>
          <w:rFonts w:ascii="Times New Roman" w:hAnsi="Times New Roman" w:cs="Times New Roman"/>
          <w:b/>
          <w:sz w:val="20"/>
        </w:rPr>
        <w:t xml:space="preserve">Розділ ІІІ </w:t>
      </w:r>
      <w:r w:rsidR="00B233DE" w:rsidRPr="00874EFC">
        <w:rPr>
          <w:rFonts w:ascii="Times New Roman" w:hAnsi="Times New Roman" w:cs="Times New Roman"/>
          <w:b/>
          <w:sz w:val="20"/>
        </w:rPr>
        <w:t>Реалізація людського потенціалу на ринку праці України</w:t>
      </w:r>
    </w:p>
    <w:p w:rsidR="00B233DE" w:rsidRPr="00F032BD" w:rsidRDefault="00B233DE" w:rsidP="00B233DE">
      <w:pPr>
        <w:ind w:firstLine="709"/>
        <w:rPr>
          <w:rFonts w:ascii="Times New Roman" w:hAnsi="Times New Roman" w:cs="Times New Roman"/>
          <w:sz w:val="19"/>
          <w:szCs w:val="19"/>
        </w:rPr>
      </w:pPr>
    </w:p>
    <w:p w:rsidR="00B233DE" w:rsidRPr="00A363CD" w:rsidRDefault="00B233DE" w:rsidP="00B233DE">
      <w:pPr>
        <w:ind w:firstLine="709"/>
        <w:rPr>
          <w:rFonts w:ascii="Times New Roman" w:hAnsi="Times New Roman" w:cs="Times New Roman"/>
          <w:sz w:val="19"/>
          <w:szCs w:val="19"/>
        </w:rPr>
      </w:pPr>
      <w:r w:rsidRPr="00874EFC">
        <w:rPr>
          <w:rFonts w:ascii="Times New Roman" w:hAnsi="Times New Roman" w:cs="Times New Roman"/>
          <w:sz w:val="19"/>
          <w:szCs w:val="19"/>
        </w:rPr>
        <w:t xml:space="preserve">3.1. </w:t>
      </w:r>
      <w:r w:rsidRPr="00A363CD">
        <w:rPr>
          <w:rFonts w:ascii="Times New Roman" w:hAnsi="Times New Roman" w:cs="Times New Roman"/>
          <w:sz w:val="19"/>
          <w:szCs w:val="19"/>
        </w:rPr>
        <w:t xml:space="preserve">Формування та розвиток соціально-орієнтованого ринку праці </w:t>
      </w:r>
    </w:p>
    <w:p w:rsidR="00B233DE" w:rsidRPr="00A363CD" w:rsidRDefault="00B233DE" w:rsidP="00B233DE">
      <w:pPr>
        <w:ind w:firstLine="709"/>
        <w:rPr>
          <w:rFonts w:ascii="Times New Roman" w:hAnsi="Times New Roman" w:cs="Times New Roman"/>
          <w:iCs/>
          <w:sz w:val="19"/>
          <w:szCs w:val="19"/>
        </w:rPr>
      </w:pPr>
      <w:r w:rsidRPr="00A363CD">
        <w:rPr>
          <w:rFonts w:ascii="Times New Roman" w:hAnsi="Times New Roman" w:cs="Times New Roman"/>
          <w:sz w:val="19"/>
          <w:szCs w:val="19"/>
        </w:rPr>
        <w:t>за сучасних умов господарювання</w:t>
      </w:r>
      <w:r w:rsidRPr="00A363CD">
        <w:rPr>
          <w:rFonts w:ascii="Times New Roman" w:hAnsi="Times New Roman" w:cs="Times New Roman"/>
          <w:iCs/>
          <w:sz w:val="19"/>
          <w:szCs w:val="19"/>
        </w:rPr>
        <w:tab/>
      </w:r>
      <w:r w:rsidR="00900149">
        <w:rPr>
          <w:rFonts w:ascii="Times New Roman" w:hAnsi="Times New Roman" w:cs="Times New Roman"/>
          <w:iCs/>
          <w:sz w:val="19"/>
          <w:szCs w:val="19"/>
        </w:rPr>
        <w:t>………………………………132</w:t>
      </w:r>
    </w:p>
    <w:p w:rsidR="00B233DE" w:rsidRPr="00A363CD" w:rsidRDefault="00B233DE" w:rsidP="00B233DE">
      <w:pPr>
        <w:ind w:firstLine="709"/>
        <w:rPr>
          <w:rFonts w:ascii="Times New Roman" w:hAnsi="Times New Roman" w:cs="Times New Roman"/>
          <w:sz w:val="19"/>
          <w:szCs w:val="19"/>
        </w:rPr>
      </w:pPr>
      <w:r w:rsidRPr="00A363CD">
        <w:rPr>
          <w:rFonts w:ascii="Times New Roman" w:hAnsi="Times New Roman" w:cs="Times New Roman"/>
          <w:sz w:val="19"/>
          <w:szCs w:val="19"/>
        </w:rPr>
        <w:t>3.2. Інституціональні перетворення у становленні</w:t>
      </w:r>
    </w:p>
    <w:p w:rsidR="00B233DE" w:rsidRPr="00A363CD" w:rsidRDefault="00B233DE" w:rsidP="00B233DE">
      <w:pPr>
        <w:ind w:firstLine="709"/>
        <w:rPr>
          <w:rFonts w:ascii="Times New Roman" w:hAnsi="Times New Roman" w:cs="Times New Roman"/>
          <w:iCs/>
          <w:sz w:val="19"/>
          <w:szCs w:val="19"/>
        </w:rPr>
      </w:pPr>
      <w:r w:rsidRPr="00A363CD">
        <w:rPr>
          <w:rFonts w:ascii="Times New Roman" w:hAnsi="Times New Roman" w:cs="Times New Roman"/>
          <w:iCs/>
          <w:sz w:val="19"/>
          <w:szCs w:val="19"/>
        </w:rPr>
        <w:t xml:space="preserve"> </w:t>
      </w:r>
      <w:r w:rsidR="00900149">
        <w:rPr>
          <w:rFonts w:ascii="Times New Roman" w:hAnsi="Times New Roman" w:cs="Times New Roman"/>
          <w:iCs/>
          <w:sz w:val="19"/>
          <w:szCs w:val="19"/>
        </w:rPr>
        <w:t>ринку праці в Україні…………………………………………….157</w:t>
      </w:r>
    </w:p>
    <w:p w:rsidR="00B233DE" w:rsidRPr="00A363CD" w:rsidRDefault="00B233DE" w:rsidP="00B233DE">
      <w:pPr>
        <w:ind w:firstLine="709"/>
        <w:rPr>
          <w:rFonts w:ascii="Times New Roman" w:hAnsi="Times New Roman" w:cs="Times New Roman"/>
          <w:sz w:val="19"/>
          <w:szCs w:val="19"/>
        </w:rPr>
      </w:pPr>
      <w:r w:rsidRPr="00A363CD">
        <w:rPr>
          <w:rFonts w:ascii="Times New Roman" w:hAnsi="Times New Roman" w:cs="Times New Roman"/>
          <w:sz w:val="19"/>
          <w:szCs w:val="19"/>
        </w:rPr>
        <w:t xml:space="preserve">3.3. Розвиток інфраструктури інститутів ринку праці </w:t>
      </w:r>
    </w:p>
    <w:p w:rsidR="00B233DE" w:rsidRPr="00874EFC" w:rsidRDefault="00B233DE" w:rsidP="00B233DE">
      <w:pPr>
        <w:ind w:firstLine="709"/>
        <w:rPr>
          <w:rFonts w:ascii="Times New Roman" w:hAnsi="Times New Roman" w:cs="Times New Roman"/>
          <w:iCs/>
        </w:rPr>
      </w:pPr>
      <w:r w:rsidRPr="00A363CD">
        <w:rPr>
          <w:rFonts w:ascii="Times New Roman" w:hAnsi="Times New Roman" w:cs="Times New Roman"/>
          <w:sz w:val="19"/>
          <w:szCs w:val="19"/>
        </w:rPr>
        <w:t>в регіонах України</w:t>
      </w:r>
      <w:r w:rsidR="00900149">
        <w:rPr>
          <w:rFonts w:ascii="Times New Roman" w:hAnsi="Times New Roman" w:cs="Times New Roman"/>
          <w:iCs/>
          <w:sz w:val="19"/>
          <w:szCs w:val="19"/>
        </w:rPr>
        <w:t>………………………………………………...168</w:t>
      </w:r>
    </w:p>
    <w:p w:rsidR="00B233DE" w:rsidRPr="00874EFC" w:rsidRDefault="00B233DE" w:rsidP="00901632">
      <w:pPr>
        <w:ind w:left="709" w:firstLine="0"/>
        <w:rPr>
          <w:rFonts w:ascii="Times New Roman" w:hAnsi="Times New Roman" w:cs="Times New Roman"/>
          <w:sz w:val="19"/>
          <w:szCs w:val="19"/>
        </w:rPr>
      </w:pPr>
      <w:r w:rsidRPr="00874EFC">
        <w:rPr>
          <w:rFonts w:ascii="Times New Roman" w:hAnsi="Times New Roman" w:cs="Times New Roman"/>
          <w:sz w:val="19"/>
          <w:szCs w:val="19"/>
        </w:rPr>
        <w:t>3.4. Формування людського капіталу</w:t>
      </w:r>
      <w:r>
        <w:rPr>
          <w:rFonts w:ascii="Times New Roman" w:hAnsi="Times New Roman" w:cs="Times New Roman"/>
          <w:sz w:val="19"/>
          <w:szCs w:val="19"/>
        </w:rPr>
        <w:t xml:space="preserve"> як реалізованого потенціалу та</w:t>
      </w:r>
      <w:r w:rsidRPr="00874EFC">
        <w:rPr>
          <w:rFonts w:ascii="Times New Roman" w:hAnsi="Times New Roman" w:cs="Times New Roman"/>
          <w:sz w:val="19"/>
          <w:szCs w:val="19"/>
        </w:rPr>
        <w:t xml:space="preserve"> забезпечення його конкурентоспроможності</w:t>
      </w:r>
      <w:r w:rsidR="00900149">
        <w:rPr>
          <w:rFonts w:ascii="Times New Roman" w:hAnsi="Times New Roman" w:cs="Times New Roman"/>
          <w:sz w:val="19"/>
          <w:szCs w:val="19"/>
        </w:rPr>
        <w:t>………………186</w:t>
      </w:r>
    </w:p>
    <w:p w:rsidR="00900149" w:rsidRDefault="00900149" w:rsidP="00B233DE">
      <w:pPr>
        <w:ind w:firstLine="709"/>
        <w:jc w:val="center"/>
        <w:rPr>
          <w:rFonts w:ascii="Times New Roman" w:hAnsi="Times New Roman" w:cs="Times New Roman"/>
          <w:b/>
          <w:sz w:val="20"/>
        </w:rPr>
      </w:pPr>
    </w:p>
    <w:p w:rsidR="00B233DE" w:rsidRPr="00874EFC" w:rsidRDefault="00B233DE" w:rsidP="00F032BD">
      <w:pPr>
        <w:ind w:firstLine="709"/>
        <w:jc w:val="center"/>
        <w:rPr>
          <w:rFonts w:ascii="Times New Roman" w:hAnsi="Times New Roman" w:cs="Times New Roman"/>
          <w:b/>
          <w:sz w:val="20"/>
        </w:rPr>
      </w:pPr>
      <w:r w:rsidRPr="00874EFC">
        <w:rPr>
          <w:rFonts w:ascii="Times New Roman" w:hAnsi="Times New Roman" w:cs="Times New Roman"/>
          <w:b/>
          <w:sz w:val="20"/>
        </w:rPr>
        <w:t>Розділ І</w:t>
      </w:r>
      <w:r w:rsidRPr="00874EFC">
        <w:rPr>
          <w:rFonts w:ascii="Times New Roman" w:hAnsi="Times New Roman" w:cs="Times New Roman"/>
          <w:b/>
          <w:sz w:val="20"/>
          <w:lang w:val="en-US"/>
        </w:rPr>
        <w:t>V</w:t>
      </w:r>
      <w:r w:rsidR="00F032BD">
        <w:rPr>
          <w:rFonts w:ascii="Times New Roman" w:hAnsi="Times New Roman" w:cs="Times New Roman"/>
          <w:b/>
          <w:sz w:val="20"/>
        </w:rPr>
        <w:t xml:space="preserve"> </w:t>
      </w:r>
      <w:r w:rsidRPr="00874EFC">
        <w:rPr>
          <w:rFonts w:ascii="Times New Roman" w:hAnsi="Times New Roman" w:cs="Times New Roman"/>
          <w:b/>
          <w:sz w:val="20"/>
        </w:rPr>
        <w:t>Оцінка міграційної складової</w:t>
      </w:r>
    </w:p>
    <w:p w:rsidR="00B233DE" w:rsidRPr="00874EFC" w:rsidRDefault="00B233DE" w:rsidP="00B233DE">
      <w:pPr>
        <w:ind w:firstLine="709"/>
        <w:jc w:val="center"/>
        <w:rPr>
          <w:rFonts w:ascii="Times New Roman" w:hAnsi="Times New Roman" w:cs="Times New Roman"/>
          <w:b/>
          <w:sz w:val="20"/>
        </w:rPr>
      </w:pPr>
      <w:r w:rsidRPr="00874EFC">
        <w:rPr>
          <w:rFonts w:ascii="Times New Roman" w:hAnsi="Times New Roman" w:cs="Times New Roman"/>
          <w:b/>
          <w:sz w:val="20"/>
        </w:rPr>
        <w:lastRenderedPageBreak/>
        <w:t>формування людського потенціалу</w:t>
      </w:r>
    </w:p>
    <w:p w:rsidR="00B233DE" w:rsidRPr="00900149" w:rsidRDefault="00B233DE" w:rsidP="00B233DE">
      <w:pPr>
        <w:ind w:firstLine="709"/>
        <w:rPr>
          <w:rFonts w:ascii="Times New Roman" w:hAnsi="Times New Roman" w:cs="Times New Roman"/>
          <w:sz w:val="19"/>
          <w:szCs w:val="19"/>
        </w:rPr>
      </w:pPr>
    </w:p>
    <w:p w:rsidR="00B233DE" w:rsidRPr="00900149" w:rsidRDefault="00B233DE" w:rsidP="00B233DE">
      <w:pPr>
        <w:ind w:firstLine="709"/>
        <w:rPr>
          <w:rFonts w:ascii="Times New Roman" w:hAnsi="Times New Roman" w:cs="Times New Roman"/>
          <w:sz w:val="19"/>
          <w:szCs w:val="19"/>
        </w:rPr>
      </w:pPr>
      <w:r w:rsidRPr="00900149">
        <w:rPr>
          <w:rFonts w:ascii="Times New Roman" w:hAnsi="Times New Roman" w:cs="Times New Roman"/>
          <w:sz w:val="19"/>
          <w:szCs w:val="19"/>
        </w:rPr>
        <w:t xml:space="preserve">4.1. Вплив міграційних тенденцій на формування </w:t>
      </w:r>
    </w:p>
    <w:p w:rsidR="00B233DE" w:rsidRPr="00900149" w:rsidRDefault="00B233DE" w:rsidP="00B233DE">
      <w:pPr>
        <w:ind w:firstLine="709"/>
        <w:rPr>
          <w:rFonts w:ascii="Times New Roman" w:hAnsi="Times New Roman" w:cs="Times New Roman"/>
          <w:iCs/>
          <w:sz w:val="19"/>
          <w:szCs w:val="19"/>
        </w:rPr>
      </w:pPr>
      <w:r w:rsidRPr="00900149">
        <w:rPr>
          <w:rFonts w:ascii="Times New Roman" w:hAnsi="Times New Roman" w:cs="Times New Roman"/>
          <w:sz w:val="19"/>
          <w:szCs w:val="19"/>
        </w:rPr>
        <w:t>людського потенціалу України</w:t>
      </w:r>
      <w:r w:rsidR="00900149" w:rsidRPr="00900149">
        <w:rPr>
          <w:rFonts w:ascii="Times New Roman" w:hAnsi="Times New Roman" w:cs="Times New Roman"/>
          <w:iCs/>
          <w:sz w:val="19"/>
          <w:szCs w:val="19"/>
        </w:rPr>
        <w:t>……………………………</w:t>
      </w:r>
      <w:r w:rsidR="00900149">
        <w:rPr>
          <w:rFonts w:ascii="Times New Roman" w:hAnsi="Times New Roman" w:cs="Times New Roman"/>
          <w:iCs/>
          <w:sz w:val="19"/>
          <w:szCs w:val="19"/>
        </w:rPr>
        <w:t>……...</w:t>
      </w:r>
      <w:r w:rsidR="00900149" w:rsidRPr="00900149">
        <w:rPr>
          <w:rFonts w:ascii="Times New Roman" w:hAnsi="Times New Roman" w:cs="Times New Roman"/>
          <w:iCs/>
          <w:sz w:val="19"/>
          <w:szCs w:val="19"/>
        </w:rPr>
        <w:t>213</w:t>
      </w:r>
    </w:p>
    <w:p w:rsidR="00B233DE" w:rsidRPr="00900149" w:rsidRDefault="00B233DE" w:rsidP="00B233DE">
      <w:pPr>
        <w:ind w:firstLine="709"/>
        <w:rPr>
          <w:rFonts w:ascii="Times New Roman" w:hAnsi="Times New Roman" w:cs="Times New Roman"/>
          <w:sz w:val="19"/>
          <w:szCs w:val="19"/>
        </w:rPr>
      </w:pPr>
      <w:r w:rsidRPr="00900149">
        <w:rPr>
          <w:rFonts w:ascii="Times New Roman" w:hAnsi="Times New Roman" w:cs="Times New Roman"/>
          <w:sz w:val="19"/>
          <w:szCs w:val="19"/>
        </w:rPr>
        <w:t xml:space="preserve">4.2. Чинники розвитку людських ресурсів </w:t>
      </w:r>
    </w:p>
    <w:p w:rsidR="00B233DE" w:rsidRPr="00900149" w:rsidRDefault="00B233DE" w:rsidP="00B233DE">
      <w:pPr>
        <w:ind w:firstLine="709"/>
        <w:rPr>
          <w:rFonts w:ascii="Times New Roman" w:hAnsi="Times New Roman" w:cs="Times New Roman"/>
          <w:iCs/>
          <w:sz w:val="19"/>
          <w:szCs w:val="19"/>
        </w:rPr>
      </w:pPr>
      <w:r w:rsidRPr="00900149">
        <w:rPr>
          <w:rFonts w:ascii="Times New Roman" w:hAnsi="Times New Roman" w:cs="Times New Roman"/>
          <w:sz w:val="19"/>
          <w:szCs w:val="19"/>
        </w:rPr>
        <w:t>в системі сучасних міграційних процесів</w:t>
      </w:r>
      <w:r w:rsidR="00900149">
        <w:rPr>
          <w:rFonts w:ascii="Times New Roman" w:hAnsi="Times New Roman" w:cs="Times New Roman"/>
          <w:iCs/>
          <w:sz w:val="19"/>
          <w:szCs w:val="19"/>
        </w:rPr>
        <w:t>………………………..236</w:t>
      </w:r>
    </w:p>
    <w:p w:rsidR="00B233DE" w:rsidRPr="00900149" w:rsidRDefault="00B233DE" w:rsidP="00B233DE">
      <w:pPr>
        <w:ind w:firstLine="709"/>
        <w:rPr>
          <w:rFonts w:ascii="Times New Roman" w:hAnsi="Times New Roman" w:cs="Times New Roman"/>
          <w:sz w:val="19"/>
          <w:szCs w:val="19"/>
        </w:rPr>
      </w:pPr>
      <w:r w:rsidRPr="00900149">
        <w:rPr>
          <w:rFonts w:ascii="Times New Roman" w:hAnsi="Times New Roman" w:cs="Times New Roman"/>
          <w:sz w:val="19"/>
          <w:szCs w:val="19"/>
        </w:rPr>
        <w:t xml:space="preserve">4.3. Система формування людського потенціалу України </w:t>
      </w:r>
    </w:p>
    <w:p w:rsidR="00B233DE" w:rsidRPr="00900149" w:rsidRDefault="00B233DE" w:rsidP="00B233DE">
      <w:pPr>
        <w:ind w:firstLine="709"/>
        <w:rPr>
          <w:rFonts w:ascii="Times New Roman" w:hAnsi="Times New Roman" w:cs="Times New Roman"/>
          <w:sz w:val="19"/>
          <w:szCs w:val="19"/>
        </w:rPr>
      </w:pPr>
      <w:r w:rsidRPr="00900149">
        <w:rPr>
          <w:rFonts w:ascii="Times New Roman" w:hAnsi="Times New Roman" w:cs="Times New Roman"/>
          <w:sz w:val="19"/>
          <w:szCs w:val="19"/>
        </w:rPr>
        <w:t>в результаті регіональної та зовнішньої міграції</w:t>
      </w:r>
      <w:r w:rsidR="00900149">
        <w:rPr>
          <w:rFonts w:ascii="Times New Roman" w:hAnsi="Times New Roman" w:cs="Times New Roman"/>
          <w:iCs/>
          <w:sz w:val="19"/>
          <w:szCs w:val="19"/>
        </w:rPr>
        <w:t>………………..266</w:t>
      </w:r>
    </w:p>
    <w:p w:rsidR="00B233DE" w:rsidRPr="00874EFC" w:rsidRDefault="00B233DE" w:rsidP="00B233DE">
      <w:pPr>
        <w:ind w:firstLine="709"/>
        <w:rPr>
          <w:rFonts w:ascii="Times New Roman" w:hAnsi="Times New Roman" w:cs="Times New Roman"/>
          <w:sz w:val="20"/>
          <w:szCs w:val="18"/>
        </w:rPr>
      </w:pPr>
    </w:p>
    <w:p w:rsidR="00B233DE" w:rsidRPr="00874EFC" w:rsidRDefault="00B233DE" w:rsidP="00F032BD">
      <w:pPr>
        <w:ind w:firstLine="709"/>
        <w:jc w:val="center"/>
        <w:rPr>
          <w:rFonts w:ascii="Times New Roman" w:hAnsi="Times New Roman" w:cs="Times New Roman"/>
          <w:b/>
          <w:sz w:val="20"/>
        </w:rPr>
      </w:pPr>
      <w:r w:rsidRPr="00874EFC">
        <w:rPr>
          <w:rFonts w:ascii="Times New Roman" w:hAnsi="Times New Roman" w:cs="Times New Roman"/>
          <w:b/>
          <w:sz w:val="20"/>
        </w:rPr>
        <w:t xml:space="preserve">Розділ </w:t>
      </w:r>
      <w:r w:rsidRPr="00874EFC">
        <w:rPr>
          <w:rFonts w:ascii="Times New Roman" w:hAnsi="Times New Roman" w:cs="Times New Roman"/>
          <w:b/>
          <w:sz w:val="20"/>
          <w:lang w:val="en-US"/>
        </w:rPr>
        <w:t>V</w:t>
      </w:r>
      <w:r w:rsidR="00F032BD">
        <w:rPr>
          <w:rFonts w:ascii="Times New Roman" w:hAnsi="Times New Roman" w:cs="Times New Roman"/>
          <w:b/>
          <w:sz w:val="20"/>
        </w:rPr>
        <w:t xml:space="preserve"> </w:t>
      </w:r>
      <w:r w:rsidRPr="00874EFC">
        <w:rPr>
          <w:rFonts w:ascii="Times New Roman" w:hAnsi="Times New Roman" w:cs="Times New Roman"/>
          <w:b/>
          <w:sz w:val="20"/>
        </w:rPr>
        <w:t xml:space="preserve">Регіональна політика </w:t>
      </w:r>
      <w:r>
        <w:rPr>
          <w:rFonts w:ascii="Times New Roman" w:hAnsi="Times New Roman" w:cs="Times New Roman"/>
          <w:b/>
          <w:sz w:val="20"/>
        </w:rPr>
        <w:t>підвищення рівня</w:t>
      </w:r>
      <w:r w:rsidRPr="00874EFC">
        <w:rPr>
          <w:rFonts w:ascii="Times New Roman" w:hAnsi="Times New Roman" w:cs="Times New Roman"/>
          <w:b/>
          <w:sz w:val="20"/>
        </w:rPr>
        <w:t xml:space="preserve"> людського потенціалу за умов інтеграційних процесів</w:t>
      </w:r>
    </w:p>
    <w:p w:rsidR="00B233DE" w:rsidRPr="00874EFC" w:rsidRDefault="00B233DE" w:rsidP="00B233DE">
      <w:pPr>
        <w:ind w:firstLine="709"/>
        <w:rPr>
          <w:rFonts w:ascii="Times New Roman" w:hAnsi="Times New Roman" w:cs="Times New Roman"/>
          <w:i/>
          <w:sz w:val="20"/>
          <w:szCs w:val="10"/>
        </w:rPr>
      </w:pPr>
    </w:p>
    <w:p w:rsidR="00B233DE" w:rsidRPr="00900149" w:rsidRDefault="00B233DE" w:rsidP="00B233DE">
      <w:pPr>
        <w:ind w:firstLine="709"/>
        <w:rPr>
          <w:rFonts w:ascii="Times New Roman" w:hAnsi="Times New Roman" w:cs="Times New Roman"/>
          <w:sz w:val="19"/>
          <w:szCs w:val="19"/>
        </w:rPr>
      </w:pPr>
      <w:r w:rsidRPr="00874EFC">
        <w:rPr>
          <w:rFonts w:ascii="Times New Roman" w:hAnsi="Times New Roman" w:cs="Times New Roman"/>
          <w:sz w:val="19"/>
          <w:szCs w:val="19"/>
        </w:rPr>
        <w:t xml:space="preserve">5.1. Соціальна регіональна </w:t>
      </w:r>
      <w:r w:rsidRPr="00900149">
        <w:rPr>
          <w:rFonts w:ascii="Times New Roman" w:hAnsi="Times New Roman" w:cs="Times New Roman"/>
          <w:sz w:val="19"/>
          <w:szCs w:val="19"/>
        </w:rPr>
        <w:t xml:space="preserve">політика в управлінні розвитком </w:t>
      </w:r>
    </w:p>
    <w:p w:rsidR="00B233DE" w:rsidRPr="00900149" w:rsidRDefault="00B233DE" w:rsidP="00B233DE">
      <w:pPr>
        <w:ind w:firstLine="709"/>
        <w:rPr>
          <w:rFonts w:ascii="Times New Roman" w:hAnsi="Times New Roman" w:cs="Times New Roman"/>
          <w:iCs/>
          <w:sz w:val="19"/>
          <w:szCs w:val="19"/>
        </w:rPr>
      </w:pPr>
      <w:r w:rsidRPr="00900149">
        <w:rPr>
          <w:rFonts w:ascii="Times New Roman" w:hAnsi="Times New Roman" w:cs="Times New Roman"/>
          <w:sz w:val="19"/>
          <w:szCs w:val="19"/>
        </w:rPr>
        <w:t>людського потенціалу</w:t>
      </w:r>
      <w:r w:rsidR="00900149" w:rsidRPr="00900149">
        <w:rPr>
          <w:rFonts w:ascii="Times New Roman" w:hAnsi="Times New Roman" w:cs="Times New Roman"/>
          <w:iCs/>
          <w:sz w:val="19"/>
          <w:szCs w:val="19"/>
        </w:rPr>
        <w:t>……………………………………</w:t>
      </w:r>
      <w:r w:rsidR="00900149">
        <w:rPr>
          <w:rFonts w:ascii="Times New Roman" w:hAnsi="Times New Roman" w:cs="Times New Roman"/>
          <w:iCs/>
          <w:sz w:val="19"/>
          <w:szCs w:val="19"/>
        </w:rPr>
        <w:t>………</w:t>
      </w:r>
      <w:r w:rsidR="00900149" w:rsidRPr="00900149">
        <w:rPr>
          <w:rFonts w:ascii="Times New Roman" w:hAnsi="Times New Roman" w:cs="Times New Roman"/>
          <w:iCs/>
          <w:sz w:val="19"/>
          <w:szCs w:val="19"/>
        </w:rPr>
        <w:t>305</w:t>
      </w:r>
    </w:p>
    <w:p w:rsidR="00B233DE" w:rsidRPr="00900149" w:rsidRDefault="00B233DE" w:rsidP="00B233DE">
      <w:pPr>
        <w:ind w:firstLine="709"/>
        <w:rPr>
          <w:rFonts w:ascii="Times New Roman" w:hAnsi="Times New Roman" w:cs="Times New Roman"/>
          <w:sz w:val="19"/>
          <w:szCs w:val="19"/>
        </w:rPr>
      </w:pPr>
      <w:r w:rsidRPr="00900149">
        <w:rPr>
          <w:rFonts w:ascii="Times New Roman" w:hAnsi="Times New Roman" w:cs="Times New Roman"/>
          <w:sz w:val="19"/>
          <w:szCs w:val="19"/>
        </w:rPr>
        <w:t xml:space="preserve">5.2. Принципи формування соціального капіталу </w:t>
      </w:r>
    </w:p>
    <w:p w:rsidR="00B233DE" w:rsidRPr="00900149" w:rsidRDefault="00900149" w:rsidP="00B233DE">
      <w:pPr>
        <w:ind w:firstLine="709"/>
        <w:rPr>
          <w:rFonts w:ascii="Times New Roman" w:hAnsi="Times New Roman" w:cs="Times New Roman"/>
          <w:iCs/>
          <w:sz w:val="19"/>
          <w:szCs w:val="19"/>
        </w:rPr>
      </w:pPr>
      <w:r>
        <w:rPr>
          <w:rFonts w:ascii="Times New Roman" w:hAnsi="Times New Roman" w:cs="Times New Roman"/>
          <w:sz w:val="19"/>
          <w:szCs w:val="19"/>
        </w:rPr>
        <w:t>регіонів України…………………………………………………327</w:t>
      </w:r>
    </w:p>
    <w:p w:rsidR="00B233DE" w:rsidRPr="00900149" w:rsidRDefault="00B233DE" w:rsidP="00B233DE">
      <w:pPr>
        <w:ind w:firstLine="709"/>
        <w:rPr>
          <w:rFonts w:ascii="Times New Roman" w:hAnsi="Times New Roman" w:cs="Times New Roman"/>
          <w:sz w:val="19"/>
          <w:szCs w:val="19"/>
        </w:rPr>
      </w:pPr>
      <w:r w:rsidRPr="00900149">
        <w:rPr>
          <w:rFonts w:ascii="Times New Roman" w:hAnsi="Times New Roman" w:cs="Times New Roman"/>
          <w:sz w:val="19"/>
          <w:szCs w:val="19"/>
        </w:rPr>
        <w:t>5.3. Регулювання регіонального розвитку людського потенціалу</w:t>
      </w:r>
    </w:p>
    <w:p w:rsidR="00B233DE" w:rsidRPr="00900149" w:rsidRDefault="00B233DE" w:rsidP="00B233DE">
      <w:pPr>
        <w:ind w:firstLine="709"/>
        <w:rPr>
          <w:rFonts w:ascii="Times New Roman" w:hAnsi="Times New Roman" w:cs="Times New Roman"/>
          <w:iCs/>
          <w:sz w:val="19"/>
          <w:szCs w:val="19"/>
        </w:rPr>
      </w:pPr>
      <w:r w:rsidRPr="00900149">
        <w:rPr>
          <w:rFonts w:ascii="Times New Roman" w:hAnsi="Times New Roman" w:cs="Times New Roman"/>
          <w:sz w:val="19"/>
          <w:szCs w:val="19"/>
        </w:rPr>
        <w:t>в системі державної соціальної політики</w:t>
      </w:r>
      <w:r w:rsidR="00900149">
        <w:rPr>
          <w:rFonts w:ascii="Times New Roman" w:hAnsi="Times New Roman" w:cs="Times New Roman"/>
          <w:iCs/>
          <w:sz w:val="19"/>
          <w:szCs w:val="19"/>
        </w:rPr>
        <w:t>………………………344</w:t>
      </w:r>
    </w:p>
    <w:p w:rsidR="00B233DE" w:rsidRPr="00900149" w:rsidRDefault="00B233DE" w:rsidP="00B233DE">
      <w:pPr>
        <w:ind w:firstLine="709"/>
        <w:rPr>
          <w:rFonts w:ascii="Times New Roman" w:hAnsi="Times New Roman" w:cs="Times New Roman"/>
          <w:sz w:val="19"/>
          <w:szCs w:val="19"/>
        </w:rPr>
      </w:pPr>
      <w:r w:rsidRPr="00900149">
        <w:rPr>
          <w:rFonts w:ascii="Times New Roman" w:hAnsi="Times New Roman" w:cs="Times New Roman"/>
          <w:sz w:val="19"/>
          <w:szCs w:val="19"/>
        </w:rPr>
        <w:t>5.4. Специфічні напрями формування людського потенціалу</w:t>
      </w:r>
    </w:p>
    <w:p w:rsidR="00B233DE" w:rsidRPr="00900149" w:rsidRDefault="00900149" w:rsidP="00B233DE">
      <w:pPr>
        <w:ind w:firstLine="709"/>
        <w:rPr>
          <w:rFonts w:ascii="Times New Roman" w:hAnsi="Times New Roman" w:cs="Times New Roman"/>
          <w:iCs/>
          <w:sz w:val="19"/>
          <w:szCs w:val="19"/>
        </w:rPr>
      </w:pPr>
      <w:r>
        <w:rPr>
          <w:rFonts w:ascii="Times New Roman" w:hAnsi="Times New Roman" w:cs="Times New Roman"/>
          <w:iCs/>
          <w:sz w:val="19"/>
          <w:szCs w:val="19"/>
        </w:rPr>
        <w:t>та процесів його реалізації………………………………………370</w:t>
      </w:r>
    </w:p>
    <w:p w:rsidR="00B233DE" w:rsidRPr="00900149" w:rsidRDefault="00B233DE" w:rsidP="00B233DE">
      <w:pPr>
        <w:ind w:firstLine="709"/>
        <w:rPr>
          <w:rFonts w:ascii="Times New Roman" w:hAnsi="Times New Roman" w:cs="Times New Roman"/>
          <w:sz w:val="19"/>
          <w:szCs w:val="19"/>
        </w:rPr>
      </w:pPr>
    </w:p>
    <w:p w:rsidR="00F032BD" w:rsidRDefault="00B233DE" w:rsidP="00F032BD">
      <w:pPr>
        <w:ind w:firstLine="709"/>
        <w:jc w:val="center"/>
        <w:rPr>
          <w:rFonts w:ascii="Times New Roman" w:hAnsi="Times New Roman" w:cs="Times New Roman"/>
          <w:b/>
          <w:sz w:val="20"/>
        </w:rPr>
      </w:pPr>
      <w:r w:rsidRPr="00874EFC">
        <w:rPr>
          <w:rFonts w:ascii="Times New Roman" w:hAnsi="Times New Roman" w:cs="Times New Roman"/>
          <w:b/>
          <w:sz w:val="20"/>
        </w:rPr>
        <w:t xml:space="preserve">Розділ </w:t>
      </w:r>
      <w:r w:rsidRPr="00874EFC">
        <w:rPr>
          <w:rFonts w:ascii="Times New Roman" w:hAnsi="Times New Roman" w:cs="Times New Roman"/>
          <w:b/>
          <w:sz w:val="20"/>
          <w:lang w:val="en-US"/>
        </w:rPr>
        <w:t>V</w:t>
      </w:r>
      <w:r w:rsidR="00F032BD">
        <w:rPr>
          <w:rFonts w:ascii="Times New Roman" w:hAnsi="Times New Roman" w:cs="Times New Roman"/>
          <w:b/>
          <w:sz w:val="20"/>
        </w:rPr>
        <w:t xml:space="preserve">І </w:t>
      </w:r>
      <w:r w:rsidRPr="00874EFC">
        <w:rPr>
          <w:rFonts w:ascii="Times New Roman" w:hAnsi="Times New Roman" w:cs="Times New Roman"/>
          <w:b/>
          <w:sz w:val="20"/>
        </w:rPr>
        <w:t xml:space="preserve">Шляхи реформування комунальної власності </w:t>
      </w:r>
    </w:p>
    <w:p w:rsidR="00B233DE" w:rsidRPr="00874EFC" w:rsidRDefault="00B233DE" w:rsidP="00F032BD">
      <w:pPr>
        <w:ind w:firstLine="709"/>
        <w:jc w:val="center"/>
        <w:rPr>
          <w:rFonts w:ascii="Times New Roman" w:hAnsi="Times New Roman" w:cs="Times New Roman"/>
          <w:b/>
          <w:sz w:val="20"/>
        </w:rPr>
      </w:pPr>
      <w:r w:rsidRPr="00874EFC">
        <w:rPr>
          <w:rFonts w:ascii="Times New Roman" w:hAnsi="Times New Roman" w:cs="Times New Roman"/>
          <w:b/>
          <w:sz w:val="20"/>
        </w:rPr>
        <w:t>у підвищенні людського потенціалу територіальних громад</w:t>
      </w:r>
    </w:p>
    <w:p w:rsidR="00B233DE" w:rsidRPr="00874EFC" w:rsidRDefault="00B233DE" w:rsidP="00B233DE">
      <w:pPr>
        <w:ind w:firstLine="709"/>
        <w:rPr>
          <w:rFonts w:ascii="Times New Roman" w:hAnsi="Times New Roman" w:cs="Times New Roman"/>
          <w:sz w:val="20"/>
          <w:szCs w:val="10"/>
        </w:rPr>
      </w:pPr>
    </w:p>
    <w:p w:rsidR="00B233DE" w:rsidRPr="00900149" w:rsidRDefault="00B233DE" w:rsidP="00B233DE">
      <w:pPr>
        <w:ind w:firstLine="709"/>
        <w:rPr>
          <w:rFonts w:ascii="Times New Roman" w:hAnsi="Times New Roman" w:cs="Times New Roman"/>
          <w:sz w:val="19"/>
          <w:szCs w:val="19"/>
        </w:rPr>
      </w:pPr>
      <w:r w:rsidRPr="00874EFC">
        <w:rPr>
          <w:rFonts w:ascii="Times New Roman" w:hAnsi="Times New Roman" w:cs="Times New Roman"/>
          <w:sz w:val="19"/>
          <w:szCs w:val="19"/>
        </w:rPr>
        <w:t>6.1. </w:t>
      </w:r>
      <w:r w:rsidRPr="00900149">
        <w:rPr>
          <w:rFonts w:ascii="Times New Roman" w:hAnsi="Times New Roman" w:cs="Times New Roman"/>
          <w:sz w:val="19"/>
          <w:szCs w:val="19"/>
        </w:rPr>
        <w:t>Реформування комунальної власності в умовах трансформації</w:t>
      </w:r>
    </w:p>
    <w:p w:rsidR="00B233DE" w:rsidRPr="00900149" w:rsidRDefault="00B233DE" w:rsidP="00B233DE">
      <w:pPr>
        <w:ind w:firstLine="709"/>
        <w:rPr>
          <w:rFonts w:ascii="Times New Roman" w:hAnsi="Times New Roman" w:cs="Times New Roman"/>
          <w:sz w:val="19"/>
          <w:szCs w:val="19"/>
        </w:rPr>
      </w:pPr>
      <w:r w:rsidRPr="00900149">
        <w:rPr>
          <w:rFonts w:ascii="Times New Roman" w:hAnsi="Times New Roman" w:cs="Times New Roman"/>
          <w:sz w:val="19"/>
          <w:szCs w:val="19"/>
        </w:rPr>
        <w:t>місцевого самоврядування та територіальної реорганізації……</w:t>
      </w:r>
      <w:r w:rsidR="00900149" w:rsidRPr="00900149">
        <w:rPr>
          <w:rFonts w:ascii="Times New Roman" w:hAnsi="Times New Roman" w:cs="Times New Roman"/>
          <w:sz w:val="19"/>
          <w:szCs w:val="19"/>
        </w:rPr>
        <w:t>396</w:t>
      </w:r>
    </w:p>
    <w:p w:rsidR="00B233DE" w:rsidRPr="00900149" w:rsidRDefault="00B233DE" w:rsidP="00B233DE">
      <w:pPr>
        <w:ind w:firstLine="709"/>
        <w:rPr>
          <w:rFonts w:ascii="Times New Roman" w:hAnsi="Times New Roman" w:cs="Times New Roman"/>
          <w:iCs/>
          <w:sz w:val="19"/>
          <w:szCs w:val="19"/>
        </w:rPr>
      </w:pPr>
      <w:r w:rsidRPr="00900149">
        <w:rPr>
          <w:rFonts w:ascii="Times New Roman" w:hAnsi="Times New Roman" w:cs="Times New Roman"/>
          <w:sz w:val="19"/>
          <w:szCs w:val="19"/>
        </w:rPr>
        <w:t>6.2. Удосконалення системи фінансування соціальної регіональної політики на основі розвитку комунальної власності</w:t>
      </w:r>
      <w:r w:rsidRPr="00900149">
        <w:rPr>
          <w:rFonts w:ascii="Times New Roman" w:hAnsi="Times New Roman" w:cs="Times New Roman"/>
          <w:iCs/>
          <w:sz w:val="19"/>
          <w:szCs w:val="19"/>
        </w:rPr>
        <w:tab/>
      </w:r>
      <w:r w:rsidR="00900149" w:rsidRPr="00900149">
        <w:rPr>
          <w:rFonts w:ascii="Times New Roman" w:hAnsi="Times New Roman" w:cs="Times New Roman"/>
          <w:iCs/>
          <w:sz w:val="19"/>
          <w:szCs w:val="19"/>
        </w:rPr>
        <w:t>…………………</w:t>
      </w:r>
      <w:r w:rsidR="00900149">
        <w:rPr>
          <w:rFonts w:ascii="Times New Roman" w:hAnsi="Times New Roman" w:cs="Times New Roman"/>
          <w:iCs/>
          <w:sz w:val="19"/>
          <w:szCs w:val="19"/>
        </w:rPr>
        <w:t>….</w:t>
      </w:r>
      <w:r w:rsidR="00900149" w:rsidRPr="00900149">
        <w:rPr>
          <w:rFonts w:ascii="Times New Roman" w:hAnsi="Times New Roman" w:cs="Times New Roman"/>
          <w:iCs/>
          <w:sz w:val="19"/>
          <w:szCs w:val="19"/>
        </w:rPr>
        <w:t>417</w:t>
      </w:r>
    </w:p>
    <w:p w:rsidR="00B233DE" w:rsidRPr="00900149" w:rsidRDefault="00B233DE" w:rsidP="00B233DE">
      <w:pPr>
        <w:ind w:firstLine="709"/>
        <w:rPr>
          <w:rFonts w:ascii="Times New Roman" w:hAnsi="Times New Roman" w:cs="Times New Roman"/>
          <w:iCs/>
          <w:sz w:val="19"/>
          <w:szCs w:val="19"/>
        </w:rPr>
      </w:pPr>
      <w:r w:rsidRPr="00900149">
        <w:rPr>
          <w:rFonts w:ascii="Times New Roman" w:hAnsi="Times New Roman" w:cs="Times New Roman"/>
          <w:sz w:val="19"/>
          <w:szCs w:val="19"/>
        </w:rPr>
        <w:t>6.3. Громадський контроль за використанням комунальної власності як основа соціального розвитку територіальних громад</w:t>
      </w:r>
      <w:r w:rsidR="00900149">
        <w:rPr>
          <w:rFonts w:ascii="Times New Roman" w:hAnsi="Times New Roman" w:cs="Times New Roman"/>
          <w:iCs/>
          <w:sz w:val="19"/>
          <w:szCs w:val="19"/>
        </w:rPr>
        <w:t>……443</w:t>
      </w:r>
    </w:p>
    <w:p w:rsidR="00B233DE" w:rsidRPr="00900149" w:rsidRDefault="00B233DE" w:rsidP="00B233DE">
      <w:pPr>
        <w:ind w:firstLine="709"/>
        <w:rPr>
          <w:rFonts w:ascii="Times New Roman" w:hAnsi="Times New Roman" w:cs="Times New Roman"/>
          <w:sz w:val="19"/>
          <w:szCs w:val="19"/>
        </w:rPr>
      </w:pPr>
    </w:p>
    <w:p w:rsidR="00B233DE" w:rsidRPr="00874EFC" w:rsidRDefault="00B233DE" w:rsidP="00F032BD">
      <w:pPr>
        <w:ind w:firstLine="709"/>
        <w:jc w:val="center"/>
        <w:rPr>
          <w:rFonts w:ascii="Times New Roman" w:hAnsi="Times New Roman" w:cs="Times New Roman"/>
          <w:b/>
          <w:sz w:val="20"/>
        </w:rPr>
      </w:pPr>
      <w:r w:rsidRPr="00874EFC">
        <w:rPr>
          <w:rFonts w:ascii="Times New Roman" w:hAnsi="Times New Roman" w:cs="Times New Roman"/>
          <w:b/>
          <w:sz w:val="20"/>
        </w:rPr>
        <w:t xml:space="preserve">Розділ </w:t>
      </w:r>
      <w:r w:rsidRPr="00874EFC">
        <w:rPr>
          <w:rFonts w:ascii="Times New Roman" w:hAnsi="Times New Roman" w:cs="Times New Roman"/>
          <w:b/>
          <w:sz w:val="20"/>
          <w:lang w:val="en-US"/>
        </w:rPr>
        <w:t>V</w:t>
      </w:r>
      <w:r w:rsidR="00F032BD">
        <w:rPr>
          <w:rFonts w:ascii="Times New Roman" w:hAnsi="Times New Roman" w:cs="Times New Roman"/>
          <w:b/>
          <w:sz w:val="20"/>
        </w:rPr>
        <w:t xml:space="preserve">ІІ </w:t>
      </w:r>
      <w:r w:rsidRPr="00874EFC">
        <w:rPr>
          <w:rFonts w:ascii="Times New Roman" w:hAnsi="Times New Roman" w:cs="Times New Roman"/>
          <w:b/>
          <w:sz w:val="20"/>
        </w:rPr>
        <w:t>Роз</w:t>
      </w:r>
      <w:r w:rsidR="00F032BD">
        <w:rPr>
          <w:rFonts w:ascii="Times New Roman" w:hAnsi="Times New Roman" w:cs="Times New Roman"/>
          <w:b/>
          <w:sz w:val="20"/>
        </w:rPr>
        <w:t xml:space="preserve">виток та прогнозування напрямів </w:t>
      </w:r>
      <w:r w:rsidRPr="00874EFC">
        <w:rPr>
          <w:rFonts w:ascii="Times New Roman" w:hAnsi="Times New Roman" w:cs="Times New Roman"/>
          <w:b/>
          <w:sz w:val="20"/>
        </w:rPr>
        <w:t>підви</w:t>
      </w:r>
      <w:r w:rsidR="00F032BD">
        <w:rPr>
          <w:rFonts w:ascii="Times New Roman" w:hAnsi="Times New Roman" w:cs="Times New Roman"/>
          <w:b/>
          <w:sz w:val="20"/>
        </w:rPr>
        <w:t xml:space="preserve">щення освітньо-кваліфікаційного </w:t>
      </w:r>
      <w:r w:rsidRPr="00874EFC">
        <w:rPr>
          <w:rFonts w:ascii="Times New Roman" w:hAnsi="Times New Roman" w:cs="Times New Roman"/>
          <w:b/>
          <w:sz w:val="20"/>
        </w:rPr>
        <w:t>потенціалу України</w:t>
      </w:r>
    </w:p>
    <w:p w:rsidR="00B233DE" w:rsidRPr="00874EFC" w:rsidRDefault="00B233DE" w:rsidP="00B233DE">
      <w:pPr>
        <w:ind w:firstLine="709"/>
        <w:rPr>
          <w:rFonts w:ascii="Times New Roman" w:hAnsi="Times New Roman" w:cs="Times New Roman"/>
          <w:sz w:val="20"/>
          <w:szCs w:val="10"/>
        </w:rPr>
      </w:pPr>
    </w:p>
    <w:p w:rsidR="00B233DE" w:rsidRPr="00900149" w:rsidRDefault="00B233DE" w:rsidP="00B233DE">
      <w:pPr>
        <w:ind w:firstLine="709"/>
        <w:rPr>
          <w:rFonts w:ascii="Times New Roman" w:hAnsi="Times New Roman" w:cs="Times New Roman"/>
          <w:sz w:val="19"/>
          <w:szCs w:val="19"/>
        </w:rPr>
      </w:pPr>
      <w:r w:rsidRPr="00874EFC">
        <w:rPr>
          <w:rFonts w:ascii="Times New Roman" w:hAnsi="Times New Roman" w:cs="Times New Roman"/>
          <w:sz w:val="19"/>
          <w:szCs w:val="19"/>
        </w:rPr>
        <w:t xml:space="preserve">7.1. Забезпечення </w:t>
      </w:r>
      <w:r w:rsidRPr="00900149">
        <w:rPr>
          <w:rFonts w:ascii="Times New Roman" w:hAnsi="Times New Roman" w:cs="Times New Roman"/>
          <w:sz w:val="19"/>
          <w:szCs w:val="19"/>
        </w:rPr>
        <w:t>доступності та якості вищої освіти в контексті</w:t>
      </w:r>
    </w:p>
    <w:p w:rsidR="00B233DE" w:rsidRPr="00900149" w:rsidRDefault="00B233DE" w:rsidP="00B233DE">
      <w:pPr>
        <w:ind w:firstLine="709"/>
        <w:rPr>
          <w:rFonts w:ascii="Times New Roman" w:hAnsi="Times New Roman" w:cs="Times New Roman"/>
          <w:iCs/>
          <w:sz w:val="19"/>
          <w:szCs w:val="19"/>
        </w:rPr>
      </w:pPr>
      <w:r w:rsidRPr="00900149">
        <w:rPr>
          <w:rFonts w:ascii="Times New Roman" w:hAnsi="Times New Roman" w:cs="Times New Roman"/>
          <w:sz w:val="19"/>
          <w:szCs w:val="19"/>
        </w:rPr>
        <w:t>реалізації сучасної норма</w:t>
      </w:r>
      <w:r w:rsidR="00900149">
        <w:rPr>
          <w:rFonts w:ascii="Times New Roman" w:hAnsi="Times New Roman" w:cs="Times New Roman"/>
          <w:sz w:val="19"/>
          <w:szCs w:val="19"/>
        </w:rPr>
        <w:t>тивно-правової бази…………………470</w:t>
      </w:r>
    </w:p>
    <w:p w:rsidR="00B233DE" w:rsidRPr="00900149" w:rsidRDefault="00B233DE" w:rsidP="00B233DE">
      <w:pPr>
        <w:ind w:firstLine="709"/>
        <w:rPr>
          <w:rFonts w:ascii="Times New Roman" w:hAnsi="Times New Roman" w:cs="Times New Roman"/>
          <w:sz w:val="19"/>
          <w:szCs w:val="19"/>
        </w:rPr>
      </w:pPr>
      <w:r w:rsidRPr="00900149">
        <w:rPr>
          <w:rFonts w:ascii="Times New Roman" w:hAnsi="Times New Roman" w:cs="Times New Roman"/>
          <w:sz w:val="19"/>
          <w:szCs w:val="19"/>
        </w:rPr>
        <w:t>7.2. Реформування фінансово-господарської діяльності ВНЗ</w:t>
      </w:r>
    </w:p>
    <w:p w:rsidR="00B233DE" w:rsidRPr="00900149" w:rsidRDefault="00B233DE" w:rsidP="00B233DE">
      <w:pPr>
        <w:ind w:firstLine="709"/>
        <w:rPr>
          <w:rFonts w:ascii="Times New Roman" w:hAnsi="Times New Roman" w:cs="Times New Roman"/>
          <w:iCs/>
          <w:sz w:val="19"/>
          <w:szCs w:val="19"/>
        </w:rPr>
      </w:pPr>
      <w:r w:rsidRPr="00900149">
        <w:rPr>
          <w:rFonts w:ascii="Times New Roman" w:hAnsi="Times New Roman" w:cs="Times New Roman"/>
          <w:iCs/>
          <w:sz w:val="19"/>
          <w:szCs w:val="19"/>
        </w:rPr>
        <w:t xml:space="preserve"> у </w:t>
      </w:r>
      <w:r w:rsidR="00900149">
        <w:rPr>
          <w:rFonts w:ascii="Times New Roman" w:hAnsi="Times New Roman" w:cs="Times New Roman"/>
          <w:iCs/>
          <w:sz w:val="19"/>
          <w:szCs w:val="19"/>
        </w:rPr>
        <w:t>підвищенні людського потенціалу…………………………….486</w:t>
      </w:r>
    </w:p>
    <w:p w:rsidR="00B233DE" w:rsidRPr="00900149" w:rsidRDefault="00B233DE" w:rsidP="00B233DE">
      <w:pPr>
        <w:ind w:firstLine="709"/>
        <w:rPr>
          <w:rFonts w:ascii="Times New Roman" w:hAnsi="Times New Roman" w:cs="Times New Roman"/>
          <w:sz w:val="19"/>
          <w:szCs w:val="19"/>
        </w:rPr>
      </w:pPr>
      <w:r w:rsidRPr="00900149">
        <w:rPr>
          <w:rFonts w:ascii="Times New Roman" w:hAnsi="Times New Roman" w:cs="Times New Roman"/>
          <w:sz w:val="19"/>
          <w:szCs w:val="19"/>
        </w:rPr>
        <w:t>7.3. Розробка функціональної та інституційної моделі фінансового</w:t>
      </w:r>
    </w:p>
    <w:p w:rsidR="00B233DE" w:rsidRPr="00900149" w:rsidRDefault="00B233DE" w:rsidP="00B233DE">
      <w:pPr>
        <w:ind w:firstLine="709"/>
        <w:rPr>
          <w:rFonts w:ascii="Times New Roman" w:hAnsi="Times New Roman" w:cs="Times New Roman"/>
          <w:sz w:val="19"/>
          <w:szCs w:val="19"/>
        </w:rPr>
      </w:pPr>
      <w:r w:rsidRPr="00900149">
        <w:rPr>
          <w:rFonts w:ascii="Times New Roman" w:hAnsi="Times New Roman" w:cs="Times New Roman"/>
          <w:sz w:val="19"/>
          <w:szCs w:val="19"/>
        </w:rPr>
        <w:t>механізму підвищення освітньо-професійного потенціалу</w:t>
      </w:r>
      <w:r w:rsidR="00900149">
        <w:rPr>
          <w:rFonts w:ascii="Times New Roman" w:hAnsi="Times New Roman" w:cs="Times New Roman"/>
          <w:sz w:val="19"/>
          <w:szCs w:val="19"/>
        </w:rPr>
        <w:t>……504</w:t>
      </w:r>
    </w:p>
    <w:p w:rsidR="00F032BD" w:rsidRPr="00F032BD" w:rsidRDefault="00F032BD" w:rsidP="00B233DE">
      <w:pPr>
        <w:ind w:firstLine="709"/>
        <w:rPr>
          <w:rFonts w:ascii="Times New Roman" w:hAnsi="Times New Roman" w:cs="Times New Roman"/>
          <w:b/>
          <w:sz w:val="12"/>
          <w:szCs w:val="12"/>
        </w:rPr>
      </w:pPr>
    </w:p>
    <w:p w:rsidR="00827BAF" w:rsidRDefault="00B233DE" w:rsidP="00B233DE">
      <w:pPr>
        <w:ind w:firstLine="709"/>
        <w:rPr>
          <w:rFonts w:ascii="Times New Roman" w:hAnsi="Times New Roman" w:cs="Times New Roman"/>
          <w:b/>
        </w:rPr>
      </w:pPr>
      <w:r w:rsidRPr="00874EFC">
        <w:rPr>
          <w:rFonts w:ascii="Times New Roman" w:hAnsi="Times New Roman" w:cs="Times New Roman"/>
          <w:b/>
          <w:sz w:val="20"/>
        </w:rPr>
        <w:t>Додатки</w:t>
      </w:r>
      <w:r w:rsidR="00900149">
        <w:rPr>
          <w:rFonts w:ascii="Times New Roman" w:hAnsi="Times New Roman" w:cs="Times New Roman"/>
          <w:b/>
        </w:rPr>
        <w:t>…………………………………………………..526</w:t>
      </w:r>
    </w:p>
    <w:p w:rsidR="00D957E1" w:rsidRPr="00691486" w:rsidRDefault="00D957E1" w:rsidP="00D957E1">
      <w:pPr>
        <w:contextualSpacing/>
        <w:jc w:val="center"/>
        <w:rPr>
          <w:rFonts w:ascii="Arial" w:hAnsi="Arial" w:cs="Arial"/>
          <w:b/>
          <w:sz w:val="20"/>
          <w:szCs w:val="20"/>
        </w:rPr>
      </w:pPr>
      <w:r w:rsidRPr="00691486">
        <w:rPr>
          <w:rFonts w:ascii="Arial" w:hAnsi="Arial" w:cs="Arial"/>
          <w:b/>
          <w:sz w:val="20"/>
          <w:szCs w:val="20"/>
        </w:rPr>
        <w:lastRenderedPageBreak/>
        <w:t>Наукове видання</w:t>
      </w:r>
    </w:p>
    <w:p w:rsidR="00D957E1" w:rsidRDefault="00D957E1" w:rsidP="00D957E1">
      <w:pPr>
        <w:pStyle w:val="afff0"/>
        <w:tabs>
          <w:tab w:val="left" w:pos="993"/>
        </w:tabs>
        <w:contextualSpacing/>
        <w:jc w:val="center"/>
        <w:rPr>
          <w:sz w:val="20"/>
          <w:szCs w:val="20"/>
          <w:lang w:val="uk-UA"/>
        </w:rPr>
      </w:pPr>
    </w:p>
    <w:p w:rsidR="00D957E1" w:rsidRPr="002305C2" w:rsidRDefault="00D957E1" w:rsidP="00D957E1">
      <w:pPr>
        <w:pStyle w:val="afff0"/>
        <w:tabs>
          <w:tab w:val="left" w:pos="993"/>
        </w:tabs>
        <w:contextualSpacing/>
        <w:jc w:val="center"/>
        <w:rPr>
          <w:sz w:val="20"/>
          <w:szCs w:val="20"/>
          <w:lang w:val="uk-UA"/>
        </w:rPr>
      </w:pPr>
    </w:p>
    <w:p w:rsidR="00D957E1" w:rsidRPr="002305C2" w:rsidRDefault="00D957E1" w:rsidP="00D957E1">
      <w:pPr>
        <w:pStyle w:val="afff0"/>
        <w:tabs>
          <w:tab w:val="left" w:pos="993"/>
        </w:tabs>
        <w:contextualSpacing/>
        <w:jc w:val="center"/>
        <w:rPr>
          <w:sz w:val="20"/>
          <w:szCs w:val="20"/>
          <w:lang w:val="uk-UA"/>
        </w:rPr>
      </w:pPr>
    </w:p>
    <w:p w:rsidR="00D957E1" w:rsidRPr="002F12A5" w:rsidRDefault="00D957E1" w:rsidP="00D957E1">
      <w:pPr>
        <w:spacing w:line="264" w:lineRule="auto"/>
        <w:contextualSpacing/>
        <w:jc w:val="center"/>
        <w:rPr>
          <w:rFonts w:ascii="UkrainianSchoolBook" w:hAnsi="UkrainianSchoolBook"/>
          <w:b/>
          <w:i/>
          <w:sz w:val="24"/>
          <w:szCs w:val="24"/>
        </w:rPr>
      </w:pPr>
      <w:r w:rsidRPr="002F12A5">
        <w:rPr>
          <w:rFonts w:ascii="UkrainianSchoolBook" w:hAnsi="UkrainianSchoolBook"/>
          <w:b/>
          <w:i/>
          <w:sz w:val="24"/>
          <w:szCs w:val="24"/>
          <w:lang w:val="ru-RU"/>
        </w:rPr>
        <w:t>Нижник В</w:t>
      </w:r>
      <w:r w:rsidRPr="002F12A5">
        <w:rPr>
          <w:rFonts w:ascii="UkrainianSchoolBook" w:hAnsi="UkrainianSchoolBook"/>
          <w:b/>
          <w:i/>
          <w:sz w:val="24"/>
          <w:szCs w:val="24"/>
        </w:rPr>
        <w:t>іктор Михайлович</w:t>
      </w:r>
    </w:p>
    <w:p w:rsidR="00D957E1" w:rsidRPr="002F12A5" w:rsidRDefault="00D957E1" w:rsidP="00D957E1">
      <w:pPr>
        <w:spacing w:line="264" w:lineRule="auto"/>
        <w:contextualSpacing/>
        <w:jc w:val="center"/>
        <w:rPr>
          <w:rFonts w:ascii="UkrainianSchoolBook" w:hAnsi="UkrainianSchoolBook"/>
          <w:b/>
          <w:i/>
          <w:sz w:val="24"/>
          <w:szCs w:val="24"/>
        </w:rPr>
      </w:pPr>
      <w:r>
        <w:rPr>
          <w:rFonts w:ascii="UkrainianSchoolBook" w:hAnsi="UkrainianSchoolBook"/>
          <w:b/>
          <w:i/>
          <w:sz w:val="24"/>
          <w:szCs w:val="24"/>
        </w:rPr>
        <w:t>Мартинова Лілія Борисівна</w:t>
      </w:r>
    </w:p>
    <w:p w:rsidR="00D957E1" w:rsidRPr="007966C6" w:rsidRDefault="00D957E1" w:rsidP="00D957E1">
      <w:pPr>
        <w:spacing w:line="264" w:lineRule="auto"/>
        <w:contextualSpacing/>
        <w:jc w:val="center"/>
        <w:rPr>
          <w:rFonts w:ascii="UkrainianSchoolBook" w:hAnsi="UkrainianSchoolBook"/>
          <w:b/>
          <w:i/>
          <w:sz w:val="24"/>
          <w:szCs w:val="24"/>
        </w:rPr>
      </w:pPr>
      <w:r w:rsidRPr="007966C6">
        <w:rPr>
          <w:rFonts w:ascii="UkrainianSchoolBook" w:hAnsi="UkrainianSchoolBook"/>
          <w:b/>
          <w:i/>
          <w:sz w:val="24"/>
          <w:szCs w:val="24"/>
        </w:rPr>
        <w:t>та ін.</w:t>
      </w:r>
    </w:p>
    <w:p w:rsidR="00D957E1" w:rsidRDefault="00D957E1" w:rsidP="00D957E1">
      <w:pPr>
        <w:pStyle w:val="afff0"/>
        <w:tabs>
          <w:tab w:val="left" w:pos="993"/>
        </w:tabs>
        <w:contextualSpacing/>
        <w:jc w:val="center"/>
        <w:rPr>
          <w:sz w:val="20"/>
          <w:szCs w:val="20"/>
          <w:lang w:val="uk-UA"/>
        </w:rPr>
      </w:pPr>
    </w:p>
    <w:p w:rsidR="00D957E1" w:rsidRPr="002305C2" w:rsidRDefault="00D957E1" w:rsidP="00D957E1">
      <w:pPr>
        <w:pStyle w:val="afff0"/>
        <w:tabs>
          <w:tab w:val="left" w:pos="993"/>
        </w:tabs>
        <w:contextualSpacing/>
        <w:jc w:val="center"/>
        <w:rPr>
          <w:sz w:val="20"/>
          <w:szCs w:val="20"/>
          <w:lang w:val="uk-UA"/>
        </w:rPr>
      </w:pPr>
    </w:p>
    <w:p w:rsidR="00D957E1" w:rsidRDefault="00D957E1" w:rsidP="00D957E1">
      <w:pPr>
        <w:pStyle w:val="afff0"/>
        <w:tabs>
          <w:tab w:val="left" w:pos="993"/>
        </w:tabs>
        <w:contextualSpacing/>
        <w:jc w:val="center"/>
        <w:rPr>
          <w:sz w:val="20"/>
          <w:szCs w:val="20"/>
          <w:lang w:val="uk-UA"/>
        </w:rPr>
      </w:pPr>
    </w:p>
    <w:p w:rsidR="00D957E1" w:rsidRDefault="00D957E1" w:rsidP="00D957E1">
      <w:pPr>
        <w:pStyle w:val="afff0"/>
        <w:tabs>
          <w:tab w:val="left" w:pos="993"/>
        </w:tabs>
        <w:contextualSpacing/>
        <w:jc w:val="center"/>
        <w:rPr>
          <w:sz w:val="20"/>
          <w:szCs w:val="20"/>
          <w:lang w:val="uk-UA"/>
        </w:rPr>
      </w:pPr>
    </w:p>
    <w:p w:rsidR="00D957E1" w:rsidRDefault="00D957E1" w:rsidP="00D957E1">
      <w:pPr>
        <w:pStyle w:val="ad"/>
        <w:ind w:left="0"/>
        <w:jc w:val="center"/>
        <w:rPr>
          <w:rFonts w:ascii="Uk_Baltica" w:hAnsi="Uk_Baltica"/>
          <w:b/>
          <w:spacing w:val="-4"/>
          <w:sz w:val="36"/>
          <w:szCs w:val="36"/>
        </w:rPr>
      </w:pPr>
      <w:r>
        <w:rPr>
          <w:rFonts w:ascii="Uk_Baltica" w:hAnsi="Uk_Baltica"/>
          <w:b/>
          <w:spacing w:val="-4"/>
          <w:sz w:val="36"/>
          <w:szCs w:val="36"/>
        </w:rPr>
        <w:t xml:space="preserve">ОЦІНКА ЛЮДСЬКОГО ПОТЕНЦІАЛУ: РЕГІОНАЛЬНИЙ АНАЛІЗ </w:t>
      </w:r>
    </w:p>
    <w:p w:rsidR="00D957E1" w:rsidRPr="00941A35" w:rsidRDefault="00D957E1" w:rsidP="00D957E1">
      <w:pPr>
        <w:pStyle w:val="ad"/>
        <w:ind w:left="0"/>
        <w:jc w:val="center"/>
        <w:rPr>
          <w:rFonts w:ascii="Uk_Baltica" w:hAnsi="Uk_Baltica"/>
          <w:b/>
          <w:spacing w:val="-4"/>
          <w:sz w:val="36"/>
          <w:szCs w:val="36"/>
        </w:rPr>
      </w:pPr>
      <w:r>
        <w:rPr>
          <w:rFonts w:ascii="Uk_Baltica" w:hAnsi="Uk_Baltica"/>
          <w:b/>
          <w:spacing w:val="-4"/>
          <w:sz w:val="36"/>
          <w:szCs w:val="36"/>
        </w:rPr>
        <w:t>І ПР</w:t>
      </w:r>
      <w:r>
        <w:rPr>
          <w:rFonts w:ascii="Uk_Baltica" w:hAnsi="Uk_Baltica"/>
          <w:b/>
          <w:spacing w:val="-4"/>
          <w:sz w:val="36"/>
          <w:szCs w:val="36"/>
        </w:rPr>
        <w:t>О</w:t>
      </w:r>
      <w:r>
        <w:rPr>
          <w:rFonts w:ascii="Uk_Baltica" w:hAnsi="Uk_Baltica"/>
          <w:b/>
          <w:spacing w:val="-4"/>
          <w:sz w:val="36"/>
          <w:szCs w:val="36"/>
        </w:rPr>
        <w:t>ГНОЗ</w:t>
      </w:r>
    </w:p>
    <w:p w:rsidR="00D957E1" w:rsidRPr="00691486" w:rsidRDefault="00D957E1" w:rsidP="00D957E1">
      <w:pPr>
        <w:contextualSpacing/>
        <w:jc w:val="center"/>
        <w:rPr>
          <w:rFonts w:ascii="Times New Roman" w:hAnsi="Times New Roman"/>
          <w:b/>
          <w:sz w:val="18"/>
          <w:szCs w:val="18"/>
        </w:rPr>
      </w:pPr>
    </w:p>
    <w:p w:rsidR="00D957E1" w:rsidRPr="00D546EF" w:rsidRDefault="00D957E1" w:rsidP="00D957E1">
      <w:pPr>
        <w:contextualSpacing/>
        <w:jc w:val="center"/>
        <w:rPr>
          <w:rFonts w:ascii="Times New Roman" w:hAnsi="Times New Roman"/>
          <w:b/>
          <w:sz w:val="14"/>
          <w:szCs w:val="14"/>
        </w:rPr>
      </w:pPr>
    </w:p>
    <w:p w:rsidR="00D957E1" w:rsidRPr="00B42E46" w:rsidRDefault="00D957E1" w:rsidP="00D957E1">
      <w:pPr>
        <w:contextualSpacing/>
        <w:jc w:val="center"/>
        <w:rPr>
          <w:rFonts w:ascii="UkrainianSchoolBook" w:hAnsi="UkrainianSchoolBook" w:cs="Arial"/>
          <w:b/>
          <w:sz w:val="14"/>
          <w:szCs w:val="14"/>
          <w:lang w:val="ru-RU"/>
        </w:rPr>
      </w:pPr>
    </w:p>
    <w:p w:rsidR="00D957E1" w:rsidRPr="00691486" w:rsidRDefault="00D957E1" w:rsidP="00D957E1">
      <w:pPr>
        <w:pStyle w:val="afff0"/>
        <w:tabs>
          <w:tab w:val="left" w:pos="993"/>
        </w:tabs>
        <w:contextualSpacing/>
        <w:jc w:val="center"/>
        <w:rPr>
          <w:sz w:val="20"/>
          <w:szCs w:val="20"/>
          <w:lang w:val="uk-UA"/>
        </w:rPr>
      </w:pPr>
    </w:p>
    <w:p w:rsidR="00D957E1" w:rsidRDefault="00D957E1" w:rsidP="00D957E1">
      <w:pPr>
        <w:pStyle w:val="Style26"/>
        <w:widowControl/>
        <w:ind w:firstLine="31"/>
        <w:contextualSpacing/>
        <w:rPr>
          <w:i/>
          <w:sz w:val="18"/>
          <w:szCs w:val="18"/>
          <w:lang w:val="uk-UA"/>
        </w:rPr>
      </w:pPr>
      <w:r w:rsidRPr="00107A06">
        <w:rPr>
          <w:i/>
          <w:sz w:val="18"/>
          <w:szCs w:val="18"/>
          <w:lang w:val="uk-UA"/>
        </w:rPr>
        <w:t xml:space="preserve">Опубліковано за </w:t>
      </w:r>
      <w:r>
        <w:rPr>
          <w:i/>
          <w:sz w:val="18"/>
          <w:szCs w:val="18"/>
          <w:lang w:val="uk-UA"/>
        </w:rPr>
        <w:t>результатами</w:t>
      </w:r>
      <w:r w:rsidRPr="00107A06">
        <w:rPr>
          <w:i/>
          <w:sz w:val="18"/>
          <w:szCs w:val="18"/>
          <w:lang w:val="uk-UA"/>
        </w:rPr>
        <w:t xml:space="preserve"> виконання теми </w:t>
      </w:r>
      <w:r>
        <w:rPr>
          <w:i/>
          <w:sz w:val="18"/>
          <w:szCs w:val="18"/>
          <w:lang w:val="uk-UA"/>
        </w:rPr>
        <w:t>6</w:t>
      </w:r>
      <w:r w:rsidRPr="00107A06">
        <w:rPr>
          <w:i/>
          <w:sz w:val="18"/>
          <w:szCs w:val="18"/>
          <w:lang w:val="uk-UA"/>
        </w:rPr>
        <w:t>Б-201</w:t>
      </w:r>
      <w:r>
        <w:rPr>
          <w:i/>
          <w:sz w:val="18"/>
          <w:szCs w:val="18"/>
          <w:lang w:val="uk-UA"/>
        </w:rPr>
        <w:t>5</w:t>
      </w:r>
      <w:r w:rsidRPr="00107A06">
        <w:rPr>
          <w:i/>
          <w:sz w:val="18"/>
          <w:szCs w:val="18"/>
          <w:lang w:val="uk-UA"/>
        </w:rPr>
        <w:t xml:space="preserve"> </w:t>
      </w:r>
    </w:p>
    <w:p w:rsidR="00D957E1" w:rsidRPr="00843258" w:rsidRDefault="00D957E1" w:rsidP="00D957E1">
      <w:pPr>
        <w:pStyle w:val="Style26"/>
        <w:widowControl/>
        <w:ind w:firstLine="31"/>
        <w:contextualSpacing/>
        <w:rPr>
          <w:i/>
          <w:sz w:val="18"/>
          <w:szCs w:val="18"/>
          <w:lang w:val="uk-UA"/>
        </w:rPr>
      </w:pPr>
      <w:r>
        <w:rPr>
          <w:i/>
          <w:sz w:val="18"/>
          <w:szCs w:val="18"/>
          <w:lang w:val="uk-UA"/>
        </w:rPr>
        <w:t>«Механізми підвищення якості та конкурентоспроможності людського п</w:t>
      </w:r>
      <w:r>
        <w:rPr>
          <w:i/>
          <w:sz w:val="18"/>
          <w:szCs w:val="18"/>
          <w:lang w:val="uk-UA"/>
        </w:rPr>
        <w:t>о</w:t>
      </w:r>
      <w:r>
        <w:rPr>
          <w:i/>
          <w:sz w:val="18"/>
          <w:szCs w:val="18"/>
          <w:lang w:val="uk-UA"/>
        </w:rPr>
        <w:t>тенціалу в системі забезпечення соціально-економічних ефектів інтеграції України до ЄС»</w:t>
      </w:r>
      <w:r w:rsidRPr="00107A06">
        <w:rPr>
          <w:i/>
          <w:sz w:val="18"/>
          <w:szCs w:val="18"/>
          <w:lang w:val="uk-UA"/>
        </w:rPr>
        <w:t xml:space="preserve"> </w:t>
      </w:r>
      <w:r w:rsidRPr="007966C6">
        <w:rPr>
          <w:sz w:val="18"/>
          <w:szCs w:val="18"/>
          <w:lang w:val="uk-UA"/>
        </w:rPr>
        <w:t>(</w:t>
      </w:r>
      <w:r w:rsidRPr="00107A06">
        <w:rPr>
          <w:i/>
          <w:sz w:val="18"/>
          <w:szCs w:val="18"/>
          <w:lang w:val="uk-UA"/>
        </w:rPr>
        <w:t xml:space="preserve">держ. реєстрація № </w:t>
      </w:r>
      <w:r w:rsidRPr="00107A06">
        <w:rPr>
          <w:rStyle w:val="FontStyle47"/>
          <w:i/>
          <w:sz w:val="18"/>
          <w:szCs w:val="18"/>
          <w:lang w:val="uk-UA" w:eastAsia="uk-UA"/>
        </w:rPr>
        <w:t>011</w:t>
      </w:r>
      <w:r>
        <w:rPr>
          <w:rStyle w:val="FontStyle47"/>
          <w:i/>
          <w:sz w:val="18"/>
          <w:szCs w:val="18"/>
          <w:lang w:val="uk-UA" w:eastAsia="uk-UA"/>
        </w:rPr>
        <w:t>5</w:t>
      </w:r>
      <w:r w:rsidRPr="00107A06">
        <w:rPr>
          <w:rStyle w:val="FontStyle47"/>
          <w:i/>
          <w:sz w:val="18"/>
          <w:szCs w:val="18"/>
          <w:lang w:val="uk-UA" w:eastAsia="uk-UA"/>
        </w:rPr>
        <w:t>U00</w:t>
      </w:r>
      <w:r>
        <w:rPr>
          <w:rStyle w:val="FontStyle47"/>
          <w:i/>
          <w:sz w:val="18"/>
          <w:szCs w:val="18"/>
          <w:lang w:val="uk-UA" w:eastAsia="uk-UA"/>
        </w:rPr>
        <w:t>0223</w:t>
      </w:r>
      <w:r w:rsidRPr="007966C6">
        <w:rPr>
          <w:sz w:val="18"/>
          <w:szCs w:val="18"/>
          <w:lang w:val="uk-UA"/>
        </w:rPr>
        <w:t>)</w:t>
      </w:r>
    </w:p>
    <w:p w:rsidR="00D957E1" w:rsidRPr="00311733" w:rsidRDefault="00D957E1" w:rsidP="00D957E1">
      <w:pPr>
        <w:pStyle w:val="afff0"/>
        <w:tabs>
          <w:tab w:val="left" w:pos="993"/>
        </w:tabs>
        <w:contextualSpacing/>
        <w:jc w:val="center"/>
        <w:rPr>
          <w:sz w:val="20"/>
          <w:szCs w:val="20"/>
          <w:lang w:val="uk-UA"/>
        </w:rPr>
      </w:pPr>
    </w:p>
    <w:p w:rsidR="00D957E1" w:rsidRDefault="00D957E1" w:rsidP="00D957E1">
      <w:pPr>
        <w:pStyle w:val="afff0"/>
        <w:tabs>
          <w:tab w:val="left" w:pos="993"/>
        </w:tabs>
        <w:contextualSpacing/>
        <w:jc w:val="center"/>
        <w:rPr>
          <w:rFonts w:ascii="Arial" w:hAnsi="Arial" w:cs="Arial"/>
          <w:sz w:val="16"/>
          <w:szCs w:val="16"/>
          <w:lang w:val="uk-UA"/>
        </w:rPr>
      </w:pPr>
    </w:p>
    <w:p w:rsidR="00D957E1" w:rsidRDefault="00D957E1" w:rsidP="00D957E1">
      <w:pPr>
        <w:pStyle w:val="afff0"/>
        <w:tabs>
          <w:tab w:val="left" w:pos="993"/>
        </w:tabs>
        <w:contextualSpacing/>
        <w:jc w:val="center"/>
        <w:rPr>
          <w:rFonts w:ascii="Arial" w:hAnsi="Arial" w:cs="Arial"/>
          <w:sz w:val="16"/>
          <w:szCs w:val="16"/>
          <w:lang w:val="uk-UA"/>
        </w:rPr>
      </w:pPr>
    </w:p>
    <w:p w:rsidR="00D957E1" w:rsidRDefault="00D957E1" w:rsidP="00D957E1">
      <w:pPr>
        <w:pStyle w:val="afff0"/>
        <w:tabs>
          <w:tab w:val="left" w:pos="993"/>
        </w:tabs>
        <w:contextualSpacing/>
        <w:jc w:val="center"/>
        <w:rPr>
          <w:rFonts w:ascii="Arial" w:hAnsi="Arial" w:cs="Arial"/>
          <w:sz w:val="16"/>
          <w:szCs w:val="16"/>
          <w:lang w:val="uk-UA"/>
        </w:rPr>
      </w:pPr>
    </w:p>
    <w:p w:rsidR="00D957E1" w:rsidRPr="00D957E1" w:rsidRDefault="00D957E1" w:rsidP="00D957E1">
      <w:pPr>
        <w:pStyle w:val="afff0"/>
        <w:tabs>
          <w:tab w:val="left" w:pos="993"/>
        </w:tabs>
        <w:contextualSpacing/>
        <w:jc w:val="center"/>
        <w:rPr>
          <w:rFonts w:ascii="Arial" w:hAnsi="Arial" w:cs="Arial"/>
          <w:b/>
          <w:i/>
          <w:iCs/>
          <w:sz w:val="16"/>
          <w:szCs w:val="16"/>
          <w:lang w:val="uk-UA"/>
        </w:rPr>
      </w:pPr>
      <w:r w:rsidRPr="00D957E1">
        <w:rPr>
          <w:rFonts w:ascii="Arial" w:hAnsi="Arial" w:cs="Arial"/>
          <w:sz w:val="16"/>
          <w:szCs w:val="16"/>
          <w:lang w:val="uk-UA"/>
        </w:rPr>
        <w:t xml:space="preserve">Відповідальний за випуск: </w:t>
      </w:r>
      <w:r w:rsidRPr="00D957E1">
        <w:rPr>
          <w:rFonts w:ascii="Arial" w:hAnsi="Arial" w:cs="Arial"/>
          <w:b/>
          <w:i/>
          <w:iCs/>
          <w:sz w:val="16"/>
          <w:szCs w:val="16"/>
          <w:lang w:val="uk-UA"/>
        </w:rPr>
        <w:t xml:space="preserve">В. С. Яремчук </w:t>
      </w:r>
    </w:p>
    <w:p w:rsidR="00D957E1" w:rsidRPr="00D957E1" w:rsidRDefault="00D957E1" w:rsidP="00D957E1">
      <w:pPr>
        <w:pStyle w:val="afff0"/>
        <w:tabs>
          <w:tab w:val="left" w:pos="993"/>
        </w:tabs>
        <w:contextualSpacing/>
        <w:jc w:val="center"/>
        <w:rPr>
          <w:rFonts w:ascii="Arial" w:hAnsi="Arial" w:cs="Arial"/>
          <w:i/>
          <w:iCs/>
          <w:sz w:val="10"/>
          <w:szCs w:val="10"/>
          <w:lang w:val="uk-UA"/>
        </w:rPr>
      </w:pPr>
    </w:p>
    <w:p w:rsidR="00D957E1" w:rsidRPr="00D957E1" w:rsidRDefault="00D957E1" w:rsidP="00D957E1">
      <w:pPr>
        <w:pStyle w:val="afff0"/>
        <w:tabs>
          <w:tab w:val="left" w:pos="993"/>
        </w:tabs>
        <w:contextualSpacing/>
        <w:jc w:val="center"/>
        <w:rPr>
          <w:rFonts w:ascii="Arial" w:hAnsi="Arial" w:cs="Arial"/>
          <w:b/>
          <w:i/>
          <w:iCs/>
          <w:sz w:val="16"/>
          <w:szCs w:val="16"/>
          <w:lang w:val="uk-UA"/>
        </w:rPr>
      </w:pPr>
      <w:r w:rsidRPr="00D957E1">
        <w:rPr>
          <w:rFonts w:ascii="Arial" w:hAnsi="Arial" w:cs="Arial"/>
          <w:sz w:val="16"/>
          <w:szCs w:val="16"/>
          <w:lang w:val="uk-UA"/>
        </w:rPr>
        <w:t xml:space="preserve">Художнє оформлення обкладинки: </w:t>
      </w:r>
      <w:r w:rsidRPr="00D957E1">
        <w:rPr>
          <w:rFonts w:ascii="Arial" w:hAnsi="Arial" w:cs="Arial"/>
          <w:b/>
          <w:i/>
          <w:iCs/>
          <w:sz w:val="16"/>
          <w:szCs w:val="16"/>
          <w:lang w:val="uk-UA"/>
        </w:rPr>
        <w:t>О. О. Поліщук, О. С. Ванчурова</w:t>
      </w:r>
    </w:p>
    <w:p w:rsidR="00D957E1" w:rsidRPr="00D957E1" w:rsidRDefault="00D957E1" w:rsidP="00D957E1">
      <w:pPr>
        <w:ind w:firstLine="14"/>
        <w:contextualSpacing/>
        <w:jc w:val="center"/>
        <w:rPr>
          <w:rFonts w:ascii="Arial" w:hAnsi="Arial" w:cs="Arial"/>
          <w:i/>
          <w:iCs/>
          <w:sz w:val="10"/>
          <w:szCs w:val="10"/>
        </w:rPr>
      </w:pPr>
    </w:p>
    <w:p w:rsidR="00D957E1" w:rsidRPr="00D957E1" w:rsidRDefault="00D957E1" w:rsidP="00D957E1">
      <w:pPr>
        <w:pStyle w:val="afff0"/>
        <w:tabs>
          <w:tab w:val="left" w:pos="993"/>
        </w:tabs>
        <w:contextualSpacing/>
        <w:jc w:val="center"/>
        <w:rPr>
          <w:rFonts w:ascii="Arial" w:hAnsi="Arial" w:cs="Arial"/>
          <w:b/>
          <w:i/>
          <w:iCs/>
          <w:sz w:val="16"/>
          <w:szCs w:val="16"/>
          <w:lang w:val="uk-UA"/>
        </w:rPr>
      </w:pPr>
      <w:r w:rsidRPr="00D957E1">
        <w:rPr>
          <w:rFonts w:ascii="Arial" w:hAnsi="Arial" w:cs="Arial"/>
          <w:sz w:val="16"/>
          <w:szCs w:val="16"/>
          <w:lang w:val="uk-UA"/>
        </w:rPr>
        <w:t xml:space="preserve">Комп’ютерна верстка: </w:t>
      </w:r>
      <w:r w:rsidRPr="00D957E1">
        <w:rPr>
          <w:rFonts w:ascii="Arial" w:hAnsi="Arial" w:cs="Arial"/>
          <w:b/>
          <w:i/>
          <w:sz w:val="16"/>
          <w:szCs w:val="16"/>
          <w:lang w:val="uk-UA"/>
        </w:rPr>
        <w:t>О. В. Чопенко</w:t>
      </w:r>
    </w:p>
    <w:p w:rsidR="00D957E1" w:rsidRPr="00D957E1" w:rsidRDefault="00D957E1" w:rsidP="00D957E1">
      <w:pPr>
        <w:pStyle w:val="afff0"/>
        <w:tabs>
          <w:tab w:val="left" w:pos="993"/>
        </w:tabs>
        <w:contextualSpacing/>
        <w:jc w:val="center"/>
        <w:rPr>
          <w:rFonts w:ascii="Arial" w:hAnsi="Arial" w:cs="Arial"/>
          <w:i/>
          <w:iCs/>
          <w:sz w:val="10"/>
          <w:szCs w:val="10"/>
          <w:lang w:val="uk-UA"/>
        </w:rPr>
      </w:pPr>
    </w:p>
    <w:p w:rsidR="00D957E1" w:rsidRPr="00D957E1" w:rsidRDefault="00D957E1" w:rsidP="00D957E1">
      <w:pPr>
        <w:pStyle w:val="afff0"/>
        <w:tabs>
          <w:tab w:val="left" w:pos="993"/>
        </w:tabs>
        <w:contextualSpacing/>
        <w:jc w:val="center"/>
        <w:rPr>
          <w:rFonts w:ascii="Arial" w:hAnsi="Arial" w:cs="Arial"/>
          <w:i/>
          <w:iCs/>
          <w:sz w:val="10"/>
          <w:szCs w:val="10"/>
          <w:lang w:val="uk-UA"/>
        </w:rPr>
      </w:pPr>
    </w:p>
    <w:p w:rsidR="00D957E1" w:rsidRPr="00D957E1" w:rsidRDefault="00D957E1" w:rsidP="00D957E1">
      <w:pPr>
        <w:pStyle w:val="afff0"/>
        <w:tabs>
          <w:tab w:val="left" w:pos="993"/>
        </w:tabs>
        <w:contextualSpacing/>
        <w:jc w:val="center"/>
        <w:rPr>
          <w:rFonts w:ascii="Arial" w:hAnsi="Arial" w:cs="Arial"/>
          <w:i/>
          <w:iCs/>
          <w:sz w:val="10"/>
          <w:szCs w:val="10"/>
          <w:lang w:val="uk-UA"/>
        </w:rPr>
      </w:pPr>
    </w:p>
    <w:p w:rsidR="00D957E1" w:rsidRPr="00D957E1" w:rsidRDefault="00D957E1" w:rsidP="00D957E1">
      <w:pPr>
        <w:pStyle w:val="afff0"/>
        <w:tabs>
          <w:tab w:val="left" w:pos="993"/>
        </w:tabs>
        <w:contextualSpacing/>
        <w:jc w:val="center"/>
        <w:rPr>
          <w:rFonts w:ascii="Arial" w:hAnsi="Arial" w:cs="Arial"/>
          <w:i/>
          <w:iCs/>
          <w:sz w:val="10"/>
          <w:szCs w:val="10"/>
          <w:lang w:val="uk-UA"/>
        </w:rPr>
      </w:pPr>
    </w:p>
    <w:p w:rsidR="00D957E1" w:rsidRPr="00D957E1" w:rsidRDefault="00D957E1" w:rsidP="00D957E1">
      <w:pPr>
        <w:pStyle w:val="afff0"/>
        <w:tabs>
          <w:tab w:val="left" w:pos="993"/>
        </w:tabs>
        <w:contextualSpacing/>
        <w:jc w:val="center"/>
        <w:rPr>
          <w:sz w:val="19"/>
          <w:szCs w:val="19"/>
          <w:lang w:val="uk-UA"/>
        </w:rPr>
      </w:pPr>
      <w:r w:rsidRPr="00D957E1">
        <w:rPr>
          <w:sz w:val="19"/>
          <w:szCs w:val="19"/>
          <w:lang w:val="uk-UA"/>
        </w:rPr>
        <w:t>Підписано до друку 27.11.2015</w:t>
      </w:r>
    </w:p>
    <w:p w:rsidR="00D957E1" w:rsidRPr="00D957E1" w:rsidRDefault="00D957E1" w:rsidP="00D957E1">
      <w:pPr>
        <w:pStyle w:val="afff0"/>
        <w:tabs>
          <w:tab w:val="left" w:pos="993"/>
        </w:tabs>
        <w:contextualSpacing/>
        <w:jc w:val="center"/>
        <w:rPr>
          <w:sz w:val="19"/>
          <w:szCs w:val="19"/>
          <w:lang w:val="uk-UA"/>
        </w:rPr>
      </w:pPr>
      <w:r w:rsidRPr="00D957E1">
        <w:rPr>
          <w:sz w:val="19"/>
          <w:szCs w:val="19"/>
          <w:lang w:val="uk-UA"/>
        </w:rPr>
        <w:t>Формат 30×42/2. Папір офс. Гарн. Times New Roman</w:t>
      </w:r>
    </w:p>
    <w:p w:rsidR="00D957E1" w:rsidRPr="00D957E1" w:rsidRDefault="00D957E1" w:rsidP="00D957E1">
      <w:pPr>
        <w:pStyle w:val="afff0"/>
        <w:tabs>
          <w:tab w:val="left" w:pos="993"/>
        </w:tabs>
        <w:contextualSpacing/>
        <w:jc w:val="center"/>
        <w:rPr>
          <w:sz w:val="19"/>
          <w:szCs w:val="19"/>
          <w:lang w:val="uk-UA"/>
        </w:rPr>
      </w:pPr>
      <w:r w:rsidRPr="00D957E1">
        <w:rPr>
          <w:sz w:val="19"/>
          <w:szCs w:val="19"/>
          <w:lang w:val="uk-UA"/>
        </w:rPr>
        <w:t>Друк різографією. Ум. друк. арк. – 20,30. Обл.-вид. арк. – 17,47</w:t>
      </w:r>
    </w:p>
    <w:p w:rsidR="00D957E1" w:rsidRPr="00D957E1" w:rsidRDefault="00D957E1" w:rsidP="00D957E1">
      <w:pPr>
        <w:pStyle w:val="afff0"/>
        <w:tabs>
          <w:tab w:val="left" w:pos="993"/>
        </w:tabs>
        <w:jc w:val="center"/>
        <w:rPr>
          <w:sz w:val="19"/>
          <w:szCs w:val="19"/>
          <w:lang w:val="uk-UA"/>
        </w:rPr>
      </w:pPr>
      <w:r w:rsidRPr="00D957E1">
        <w:rPr>
          <w:sz w:val="19"/>
          <w:szCs w:val="19"/>
          <w:lang w:val="uk-UA"/>
        </w:rPr>
        <w:t>Тираж 300. Зам. № 316/12</w:t>
      </w:r>
    </w:p>
    <w:tbl>
      <w:tblPr>
        <w:tblW w:w="0" w:type="auto"/>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65"/>
      </w:tblGrid>
      <w:tr w:rsidR="00D957E1" w:rsidRPr="00D957E1" w:rsidTr="00A40681">
        <w:tblPrEx>
          <w:tblCellMar>
            <w:top w:w="0" w:type="dxa"/>
            <w:bottom w:w="0" w:type="dxa"/>
          </w:tblCellMar>
        </w:tblPrEx>
        <w:trPr>
          <w:trHeight w:val="124"/>
        </w:trPr>
        <w:tc>
          <w:tcPr>
            <w:tcW w:w="6265" w:type="dxa"/>
            <w:tcBorders>
              <w:top w:val="nil"/>
              <w:left w:val="nil"/>
              <w:bottom w:val="single" w:sz="4" w:space="0" w:color="auto"/>
              <w:right w:val="nil"/>
            </w:tcBorders>
          </w:tcPr>
          <w:p w:rsidR="00D957E1" w:rsidRPr="00D957E1" w:rsidRDefault="00D957E1" w:rsidP="00A40681">
            <w:pPr>
              <w:pStyle w:val="afff0"/>
              <w:tabs>
                <w:tab w:val="left" w:pos="993"/>
              </w:tabs>
              <w:contextualSpacing/>
              <w:jc w:val="center"/>
              <w:rPr>
                <w:sz w:val="10"/>
                <w:szCs w:val="10"/>
                <w:lang w:val="uk-UA"/>
              </w:rPr>
            </w:pPr>
          </w:p>
        </w:tc>
      </w:tr>
    </w:tbl>
    <w:p w:rsidR="00D957E1" w:rsidRPr="00D957E1" w:rsidRDefault="00D957E1" w:rsidP="00D957E1">
      <w:pPr>
        <w:contextualSpacing/>
        <w:jc w:val="center"/>
        <w:rPr>
          <w:rFonts w:ascii="Times New Roman" w:hAnsi="Times New Roman"/>
          <w:sz w:val="10"/>
          <w:szCs w:val="10"/>
        </w:rPr>
      </w:pPr>
    </w:p>
    <w:p w:rsidR="00D957E1" w:rsidRPr="00D957E1" w:rsidRDefault="00D957E1" w:rsidP="00D957E1">
      <w:pPr>
        <w:contextualSpacing/>
        <w:jc w:val="center"/>
        <w:rPr>
          <w:rFonts w:ascii="Times New Roman" w:hAnsi="Times New Roman"/>
          <w:sz w:val="19"/>
          <w:szCs w:val="19"/>
        </w:rPr>
      </w:pPr>
      <w:r w:rsidRPr="00D957E1">
        <w:rPr>
          <w:rFonts w:ascii="Times New Roman" w:hAnsi="Times New Roman"/>
          <w:sz w:val="19"/>
          <w:szCs w:val="19"/>
        </w:rPr>
        <w:t>Віддруковано в редакційно-видавничому центрі ХНУ</w:t>
      </w:r>
    </w:p>
    <w:p w:rsidR="00D957E1" w:rsidRPr="00080AC0" w:rsidRDefault="00D957E1" w:rsidP="00D957E1">
      <w:pPr>
        <w:widowControl w:val="0"/>
        <w:contextualSpacing/>
        <w:jc w:val="center"/>
        <w:rPr>
          <w:rFonts w:ascii="Times New Roman" w:hAnsi="Times New Roman"/>
          <w:sz w:val="21"/>
          <w:szCs w:val="21"/>
          <w:lang w:eastAsia="ru-RU"/>
        </w:rPr>
      </w:pPr>
      <w:r w:rsidRPr="00D957E1">
        <w:rPr>
          <w:noProof/>
          <w:lang w:val="ru-RU" w:eastAsia="ru-RU"/>
        </w:rPr>
        <mc:AlternateContent>
          <mc:Choice Requires="wps">
            <w:drawing>
              <wp:anchor distT="0" distB="0" distL="114300" distR="114300" simplePos="0" relativeHeight="251750400" behindDoc="0" locked="0" layoutInCell="1" allowOverlap="1">
                <wp:simplePos x="0" y="0"/>
                <wp:positionH relativeFrom="column">
                  <wp:posOffset>1828800</wp:posOffset>
                </wp:positionH>
                <wp:positionV relativeFrom="paragraph">
                  <wp:posOffset>274320</wp:posOffset>
                </wp:positionV>
                <wp:extent cx="342900" cy="228600"/>
                <wp:effectExtent l="0" t="0" r="3810" b="3175"/>
                <wp:wrapTight wrapText="bothSides">
                  <wp:wrapPolygon edited="0">
                    <wp:start x="-600" y="0"/>
                    <wp:lineTo x="-600" y="20700"/>
                    <wp:lineTo x="21600" y="20700"/>
                    <wp:lineTo x="21600" y="0"/>
                    <wp:lineTo x="-600" y="0"/>
                  </wp:wrapPolygon>
                </wp:wrapTight>
                <wp:docPr id="1843" name="Надпись 18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957E1" w:rsidRDefault="00D957E1" w:rsidP="00D957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843" o:spid="_x0000_s2645" type="#_x0000_t202" style="position:absolute;left:0;text-align:left;margin-left:2in;margin-top:21.6pt;width:27pt;height:18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" stroked="f">
                <v:textbox>
                  <w:txbxContent>
                    <w:p w:rsidR="00D957E1" w:rsidRDefault="00D957E1" w:rsidP="00D957E1"/>
                  </w:txbxContent>
                </v:textbox>
                <w10:wrap type="tight"/>
              </v:shape>
            </w:pict>
          </mc:Fallback>
        </mc:AlternateContent>
      </w:r>
      <w:r w:rsidRPr="00D957E1">
        <w:rPr>
          <w:noProof/>
          <w:lang w:val="ru-RU" w:eastAsia="ru-RU"/>
        </w:rPr>
        <mc:AlternateContent>
          <mc:Choice Requires="wps">
            <w:drawing>
              <wp:anchor distT="0" distB="0" distL="114300" distR="114300" simplePos="0" relativeHeight="251749376" behindDoc="0" locked="0" layoutInCell="1" allowOverlap="1">
                <wp:simplePos x="0" y="0"/>
                <wp:positionH relativeFrom="column">
                  <wp:posOffset>5257800</wp:posOffset>
                </wp:positionH>
                <wp:positionV relativeFrom="paragraph">
                  <wp:posOffset>586105</wp:posOffset>
                </wp:positionV>
                <wp:extent cx="342900" cy="342900"/>
                <wp:effectExtent l="0" t="0" r="0" b="0"/>
                <wp:wrapNone/>
                <wp:docPr id="1842" name="Надпись 18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957E1" w:rsidRDefault="00D957E1" w:rsidP="00D957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842" o:spid="_x0000_s2646" type="#_x0000_t202" style="position:absolute;left:0;text-align:left;margin-left:414pt;margin-top:46.15pt;width:27pt;height:27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" stroked="f">
                <v:textbox>
                  <w:txbxContent>
                    <w:p w:rsidR="00D957E1" w:rsidRDefault="00D957E1" w:rsidP="00D957E1"/>
                  </w:txbxContent>
                </v:textbox>
              </v:shape>
            </w:pict>
          </mc:Fallback>
        </mc:AlternateContent>
      </w:r>
      <w:r w:rsidRPr="00D957E1">
        <w:rPr>
          <w:rFonts w:ascii="Times New Roman" w:hAnsi="Times New Roman"/>
          <w:sz w:val="19"/>
          <w:szCs w:val="19"/>
        </w:rPr>
        <w:t>29016, м. Хмельницький, вул. Інститутська, 7/1</w:t>
      </w:r>
      <w:bookmarkStart w:id="665" w:name="_GoBack"/>
      <w:bookmarkEnd w:id="665"/>
    </w:p>
    <w:p w:rsidR="00D957E1" w:rsidRPr="00B233DE" w:rsidRDefault="00D957E1" w:rsidP="00B233DE">
      <w:pPr>
        <w:ind w:firstLine="709"/>
        <w:rPr>
          <w:rFonts w:ascii="Times New Roman" w:hAnsi="Times New Roman" w:cs="Times New Roman"/>
          <w:sz w:val="21"/>
          <w:szCs w:val="21"/>
        </w:rPr>
      </w:pPr>
    </w:p>
    <w:sectPr w:rsidR="00D957E1" w:rsidRPr="00B233DE" w:rsidSect="0023489B">
      <w:pgSz w:w="8392" w:h="11907" w:code="1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7C07" w:rsidRDefault="000F7C07">
      <w:r>
        <w:separator/>
      </w:r>
    </w:p>
  </w:endnote>
  <w:endnote w:type="continuationSeparator" w:id="0">
    <w:p w:rsidR="000F7C07" w:rsidRDefault="000F7C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TimesNewRoman">
    <w:altName w:val="Times New Roman"/>
    <w:panose1 w:val="00000000000000000000"/>
    <w:charset w:val="CC"/>
    <w:family w:val="auto"/>
    <w:notTrueType/>
    <w:pitch w:val="default"/>
    <w:sig w:usb0="00000201" w:usb1="00000000" w:usb2="00000000" w:usb3="00000000" w:csb0="00000004" w:csb1="00000000"/>
  </w:font>
  <w:font w:name="Arial Unicode MS">
    <w:panose1 w:val="020B0604020202020204"/>
    <w:charset w:val="80"/>
    <w:family w:val="swiss"/>
    <w:pitch w:val="variable"/>
    <w:sig w:usb0="F7FFAFFF" w:usb1="E9DFFFFF" w:usb2="0000003F" w:usb3="00000000" w:csb0="003F01FF" w:csb1="00000000"/>
  </w:font>
  <w:font w:name="UkrainianPeterburg">
    <w:altName w:val="Courier New"/>
    <w:charset w:val="00"/>
    <w:family w:val="roman"/>
    <w:pitch w:val="variable"/>
    <w:sig w:usb0="00000001" w:usb1="00000000" w:usb2="00000000" w:usb3="00000000" w:csb0="00000005" w:csb1="00000000"/>
  </w:font>
  <w:font w:name="PetersburgC">
    <w:panose1 w:val="00000000000000000000"/>
    <w:charset w:val="CC"/>
    <w:family w:val="auto"/>
    <w:notTrueType/>
    <w:pitch w:val="default"/>
    <w:sig w:usb0="00000201" w:usb1="00000000" w:usb2="00000000" w:usb3="00000000" w:csb0="00000004" w:csb1="00000000"/>
  </w:font>
  <w:font w:name="PalatinoLinotype-Bold">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 w:name="TimesNewRomanPSMT">
    <w:altName w:val="Times New Roman"/>
    <w:panose1 w:val="00000000000000000000"/>
    <w:charset w:val="00"/>
    <w:family w:val="auto"/>
    <w:notTrueType/>
    <w:pitch w:val="default"/>
    <w:sig w:usb0="00000001" w:usb1="00000000" w:usb2="00000000" w:usb3="00000000" w:csb0="00000005" w:csb1="00000000"/>
  </w:font>
  <w:font w:name="ArialMT">
    <w:altName w:val="MS Mincho"/>
    <w:panose1 w:val="00000000000000000000"/>
    <w:charset w:val="CC"/>
    <w:family w:val="auto"/>
    <w:notTrueType/>
    <w:pitch w:val="default"/>
    <w:sig w:usb0="00000203" w:usb1="00000000" w:usb2="00000000" w:usb3="00000000" w:csb0="00000005" w:csb1="00000000"/>
  </w:font>
  <w:font w:name="TimesNewRomanPS-BoldMT">
    <w:panose1 w:val="00000000000000000000"/>
    <w:charset w:val="80"/>
    <w:family w:val="auto"/>
    <w:notTrueType/>
    <w:pitch w:val="default"/>
    <w:sig w:usb0="00000203" w:usb1="08070000" w:usb2="00000010" w:usb3="00000000" w:csb0="00020005" w:csb1="00000000"/>
  </w:font>
  <w:font w:name="Arial-ItalicMT">
    <w:altName w:val="Arial Unicode MS"/>
    <w:panose1 w:val="00000000000000000000"/>
    <w:charset w:val="80"/>
    <w:family w:val="auto"/>
    <w:notTrueType/>
    <w:pitch w:val="default"/>
    <w:sig w:usb0="00000001" w:usb1="08070000" w:usb2="00000010" w:usb3="00000000" w:csb0="00020000" w:csb1="00000000"/>
  </w:font>
  <w:font w:name="TimesNewRomanPS-BoldItalicMT">
    <w:panose1 w:val="00000000000000000000"/>
    <w:charset w:val="CC"/>
    <w:family w:val="auto"/>
    <w:notTrueType/>
    <w:pitch w:val="default"/>
    <w:sig w:usb0="00000201" w:usb1="00000000" w:usb2="00000000" w:usb3="00000000" w:csb0="00000004" w:csb1="00000000"/>
  </w:font>
  <w:font w:name="Times New Roman Полужирный">
    <w:panose1 w:val="00000000000000000000"/>
    <w:charset w:val="00"/>
    <w:family w:val="roman"/>
    <w:notTrueType/>
    <w:pitch w:val="default"/>
  </w:font>
  <w:font w:name="Times-Roman">
    <w:altName w:val="Arial Unicode MS"/>
    <w:panose1 w:val="00000000000000000000"/>
    <w:charset w:val="80"/>
    <w:family w:val="roman"/>
    <w:notTrueType/>
    <w:pitch w:val="default"/>
    <w:sig w:usb0="00000001" w:usb1="08070000" w:usb2="00000010" w:usb3="00000000" w:csb0="00020000" w:csb1="00000000"/>
  </w:font>
  <w:font w:name="Times-Italic">
    <w:altName w:val="Arial Unicode MS"/>
    <w:panose1 w:val="00000000000000000000"/>
    <w:charset w:val="80"/>
    <w:family w:val="roman"/>
    <w:notTrueType/>
    <w:pitch w:val="default"/>
    <w:sig w:usb0="00000001" w:usb1="08070000" w:usb2="00000010" w:usb3="00000000" w:csb0="00020000" w:csb1="00000000"/>
  </w:font>
  <w:font w:name="Georgia">
    <w:panose1 w:val="02040502050405020303"/>
    <w:charset w:val="CC"/>
    <w:family w:val="roman"/>
    <w:pitch w:val="variable"/>
    <w:sig w:usb0="00000287" w:usb1="00000000" w:usb2="00000000" w:usb3="00000000" w:csb0="0000009F" w:csb1="00000000"/>
  </w:font>
  <w:font w:name="UkrainianSchoolBook">
    <w:altName w:val="Courier New"/>
    <w:charset w:val="00"/>
    <w:family w:val="roman"/>
    <w:pitch w:val="variable"/>
    <w:sig w:usb0="00000001" w:usb1="00000000" w:usb2="00000000" w:usb3="00000000" w:csb0="00000005" w:csb1="00000000"/>
  </w:font>
  <w:font w:name="Uk_Baltica">
    <w:altName w:val="Courier New"/>
    <w:charset w:val="00"/>
    <w:family w:val="swiss"/>
    <w:pitch w:val="variable"/>
    <w:sig w:usb0="00000001" w:usb1="00000000" w:usb2="00000000" w:usb3="00000000" w:csb0="00000005"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7E1" w:rsidRDefault="00D957E1" w:rsidP="00047123">
    <w:pPr>
      <w:pStyle w:val="af8"/>
      <w:framePr w:wrap="around" w:vAnchor="text" w:hAnchor="margin" w:xAlign="right" w:y="1"/>
      <w:rPr>
        <w:rStyle w:val="affc"/>
      </w:rPr>
    </w:pPr>
    <w:r>
      <w:rPr>
        <w:rStyle w:val="affc"/>
      </w:rPr>
      <w:fldChar w:fldCharType="begin"/>
    </w:r>
    <w:r>
      <w:rPr>
        <w:rStyle w:val="affc"/>
      </w:rPr>
      <w:instrText xml:space="preserve">PAGE  </w:instrText>
    </w:r>
    <w:r>
      <w:rPr>
        <w:rStyle w:val="affc"/>
      </w:rPr>
      <w:fldChar w:fldCharType="end"/>
    </w:r>
  </w:p>
  <w:p w:rsidR="00D957E1" w:rsidRDefault="00D957E1" w:rsidP="00047123">
    <w:pPr>
      <w:pStyle w:val="af8"/>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7E1" w:rsidRDefault="00D957E1" w:rsidP="00047123">
    <w:pPr>
      <w:pStyle w:val="af8"/>
      <w:ind w:right="360"/>
      <w:jc w:val="center"/>
    </w:pPr>
  </w:p>
  <w:p w:rsidR="00D957E1" w:rsidRDefault="00D957E1">
    <w:pPr>
      <w:pStyle w:val="af8"/>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7E1" w:rsidRDefault="00D957E1">
    <w:pPr>
      <w:pStyle w:val="af8"/>
      <w:jc w:val="center"/>
    </w:pPr>
    <w:r>
      <w:fldChar w:fldCharType="begin"/>
    </w:r>
    <w:r>
      <w:instrText>PAGE   \* MERGEFORMAT</w:instrText>
    </w:r>
    <w:r>
      <w:fldChar w:fldCharType="separate"/>
    </w:r>
    <w:r w:rsidRPr="00E135E6">
      <w:rPr>
        <w:noProof/>
      </w:rPr>
      <w:t>1</w:t>
    </w:r>
    <w:r>
      <w:fldChar w:fldCharType="end"/>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87351406"/>
      <w:docPartObj>
        <w:docPartGallery w:val="Page Numbers (Bottom of Page)"/>
        <w:docPartUnique/>
      </w:docPartObj>
    </w:sdtPr>
    <w:sdtEndPr/>
    <w:sdtContent>
      <w:p w:rsidR="00BE40F8" w:rsidRDefault="00BE40F8">
        <w:pPr>
          <w:pStyle w:val="af8"/>
          <w:jc w:val="center"/>
        </w:pPr>
        <w:r w:rsidRPr="00A165EA">
          <w:rPr>
            <w:rFonts w:ascii="Arial" w:hAnsi="Arial" w:cs="Arial"/>
            <w:sz w:val="20"/>
          </w:rPr>
          <w:fldChar w:fldCharType="begin"/>
        </w:r>
        <w:r w:rsidRPr="00A165EA">
          <w:rPr>
            <w:rFonts w:ascii="Arial" w:hAnsi="Arial" w:cs="Arial"/>
            <w:sz w:val="20"/>
          </w:rPr>
          <w:instrText>PAGE   \* MERGEFORMAT</w:instrText>
        </w:r>
        <w:r w:rsidRPr="00A165EA">
          <w:rPr>
            <w:rFonts w:ascii="Arial" w:hAnsi="Arial" w:cs="Arial"/>
            <w:sz w:val="20"/>
          </w:rPr>
          <w:fldChar w:fldCharType="separate"/>
        </w:r>
        <w:r w:rsidR="00EC2A0E" w:rsidRPr="00EC2A0E">
          <w:rPr>
            <w:rFonts w:ascii="Arial" w:hAnsi="Arial" w:cs="Arial"/>
            <w:noProof/>
            <w:sz w:val="20"/>
            <w:lang w:val="ru-RU"/>
          </w:rPr>
          <w:t>238</w:t>
        </w:r>
        <w:r w:rsidRPr="00A165EA">
          <w:rPr>
            <w:rFonts w:ascii="Arial" w:hAnsi="Arial" w:cs="Arial"/>
            <w:sz w:val="20"/>
          </w:rPr>
          <w:fldChar w:fldCharType="end"/>
        </w:r>
      </w:p>
    </w:sdtContent>
  </w:sdt>
  <w:p w:rsidR="00BE40F8" w:rsidRDefault="00BE40F8">
    <w:pPr>
      <w:pStyle w:val="af8"/>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85995325"/>
      <w:docPartObj>
        <w:docPartGallery w:val="Page Numbers (Bottom of Page)"/>
        <w:docPartUnique/>
      </w:docPartObj>
    </w:sdtPr>
    <w:sdtEndPr/>
    <w:sdtContent>
      <w:p w:rsidR="00BE40F8" w:rsidRDefault="00BE40F8">
        <w:pPr>
          <w:pStyle w:val="af8"/>
          <w:jc w:val="center"/>
        </w:pPr>
        <w:r>
          <w:fldChar w:fldCharType="begin"/>
        </w:r>
        <w:r>
          <w:instrText>PAGE   \* MERGEFORMAT</w:instrText>
        </w:r>
        <w:r>
          <w:fldChar w:fldCharType="separate"/>
        </w:r>
        <w:r w:rsidR="00EC2A0E" w:rsidRPr="00EC2A0E">
          <w:rPr>
            <w:noProof/>
            <w:lang w:val="ru-RU"/>
          </w:rPr>
          <w:t>250</w:t>
        </w:r>
        <w:r>
          <w:fldChar w:fldCharType="end"/>
        </w:r>
      </w:p>
    </w:sdtContent>
  </w:sdt>
  <w:p w:rsidR="00BE40F8" w:rsidRPr="00C27D0F" w:rsidRDefault="00BE40F8" w:rsidP="0023489B">
    <w:pPr>
      <w:pStyle w:val="af8"/>
      <w:tabs>
        <w:tab w:val="left" w:pos="13400"/>
      </w:tabs>
      <w:ind w:right="360"/>
      <w:rPr>
        <w:rFonts w:ascii="Times New Roman" w:hAnsi="Times New Roman"/>
      </w:rP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33403894"/>
      <w:docPartObj>
        <w:docPartGallery w:val="Page Numbers (Bottom of Page)"/>
        <w:docPartUnique/>
      </w:docPartObj>
    </w:sdtPr>
    <w:sdtEndPr/>
    <w:sdtContent>
      <w:p w:rsidR="00BE40F8" w:rsidRDefault="00BE40F8">
        <w:pPr>
          <w:pStyle w:val="af8"/>
          <w:jc w:val="center"/>
        </w:pPr>
        <w:r>
          <w:fldChar w:fldCharType="begin"/>
        </w:r>
        <w:r>
          <w:instrText>PAGE   \* MERGEFORMAT</w:instrText>
        </w:r>
        <w:r>
          <w:fldChar w:fldCharType="separate"/>
        </w:r>
        <w:r w:rsidR="00EC2A0E" w:rsidRPr="00EC2A0E">
          <w:rPr>
            <w:noProof/>
            <w:lang w:val="ru-RU"/>
          </w:rPr>
          <w:t>254</w:t>
        </w:r>
        <w:r>
          <w:fldChar w:fldCharType="end"/>
        </w:r>
      </w:p>
    </w:sdtContent>
  </w:sdt>
  <w:p w:rsidR="00BE40F8" w:rsidRPr="00C27D0F" w:rsidRDefault="00BE40F8" w:rsidP="0023489B">
    <w:pPr>
      <w:pStyle w:val="af8"/>
      <w:tabs>
        <w:tab w:val="left" w:pos="13400"/>
      </w:tabs>
      <w:ind w:right="360"/>
      <w:rPr>
        <w:rFonts w:ascii="Times New Roman" w:hAnsi="Times New Roman"/>
      </w:rPr>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8423035"/>
      <w:docPartObj>
        <w:docPartGallery w:val="Page Numbers (Bottom of Page)"/>
        <w:docPartUnique/>
      </w:docPartObj>
    </w:sdtPr>
    <w:sdtEndPr/>
    <w:sdtContent>
      <w:p w:rsidR="00BE40F8" w:rsidRDefault="00BE40F8">
        <w:pPr>
          <w:pStyle w:val="af8"/>
          <w:jc w:val="center"/>
        </w:pPr>
        <w:r>
          <w:fldChar w:fldCharType="begin"/>
        </w:r>
        <w:r>
          <w:instrText>PAGE   \* MERGEFORMAT</w:instrText>
        </w:r>
        <w:r>
          <w:fldChar w:fldCharType="separate"/>
        </w:r>
        <w:r w:rsidR="00EC2A0E" w:rsidRPr="00EC2A0E">
          <w:rPr>
            <w:noProof/>
            <w:lang w:val="ru-RU"/>
          </w:rPr>
          <w:t>533</w:t>
        </w:r>
        <w:r>
          <w:fldChar w:fldCharType="end"/>
        </w:r>
      </w:p>
    </w:sdtContent>
  </w:sdt>
  <w:p w:rsidR="00BE40F8" w:rsidRPr="00C27D0F" w:rsidRDefault="00BE40F8" w:rsidP="0023489B">
    <w:pPr>
      <w:pStyle w:val="af8"/>
      <w:tabs>
        <w:tab w:val="left" w:pos="13400"/>
      </w:tabs>
      <w:ind w:right="360"/>
      <w:rPr>
        <w:rFonts w:ascii="Times New Roman" w:hAnsi="Times New Roman"/>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7C07" w:rsidRDefault="000F7C07">
      <w:r>
        <w:separator/>
      </w:r>
    </w:p>
  </w:footnote>
  <w:footnote w:type="continuationSeparator" w:id="0">
    <w:p w:rsidR="000F7C07" w:rsidRDefault="000F7C0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40F8" w:rsidRPr="005D2A4A" w:rsidRDefault="00BE40F8" w:rsidP="0023489B">
    <w:pPr>
      <w:pStyle w:val="af6"/>
      <w:ind w:right="360"/>
      <w:rPr>
        <w:rFonts w:ascii="Times New Roman" w:hAnsi="Times New Roman"/>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40F8" w:rsidRPr="005D2A4A" w:rsidRDefault="00BE40F8" w:rsidP="0023489B">
    <w:pPr>
      <w:pStyle w:val="af6"/>
      <w:ind w:right="360"/>
      <w:jc w:val="right"/>
      <w:rPr>
        <w:rFonts w:ascii="Times New Roman" w:hAnsi="Times New Roman"/>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40F8" w:rsidRPr="005D2A4A" w:rsidRDefault="00BE40F8" w:rsidP="0023489B">
    <w:pPr>
      <w:pStyle w:val="af6"/>
      <w:ind w:right="360"/>
      <w:jc w:val="right"/>
      <w:rPr>
        <w:rFonts w:ascii="Times New Roman" w:hAnsi="Times New Roman"/>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95B6DE90"/>
    <w:lvl w:ilvl="0">
      <w:start w:val="1"/>
      <w:numFmt w:val="bullet"/>
      <w:pStyle w:val="a"/>
      <w:lvlText w:val="-"/>
      <w:lvlJc w:val="left"/>
      <w:pPr>
        <w:tabs>
          <w:tab w:val="num" w:pos="927"/>
        </w:tabs>
        <w:ind w:left="851" w:hanging="284"/>
      </w:pPr>
      <w:rPr>
        <w:rFonts w:ascii="Times New Roman" w:hAnsi="Times New Roman" w:cs="Times New Roman" w:hint="default"/>
      </w:rPr>
    </w:lvl>
  </w:abstractNum>
  <w:abstractNum w:abstractNumId="1" w15:restartNumberingAfterBreak="0">
    <w:nsid w:val="016232A6"/>
    <w:multiLevelType w:val="hybridMultilevel"/>
    <w:tmpl w:val="B2C83FEE"/>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23844A8"/>
    <w:multiLevelType w:val="hybridMultilevel"/>
    <w:tmpl w:val="585C3CE6"/>
    <w:lvl w:ilvl="0" w:tplc="8C3E9A88">
      <w:start w:val="1"/>
      <w:numFmt w:val="bullet"/>
      <w:lvlText w:val=""/>
      <w:lvlJc w:val="left"/>
      <w:pPr>
        <w:ind w:left="612" w:hanging="360"/>
      </w:pPr>
      <w:rPr>
        <w:rFonts w:ascii="Symbol" w:hAnsi="Symbol" w:hint="default"/>
      </w:rPr>
    </w:lvl>
    <w:lvl w:ilvl="1" w:tplc="8C3E9A88">
      <w:start w:val="1"/>
      <w:numFmt w:val="bullet"/>
      <w:lvlText w:val=""/>
      <w:lvlJc w:val="left"/>
      <w:pPr>
        <w:ind w:left="1332" w:hanging="360"/>
      </w:pPr>
      <w:rPr>
        <w:rFonts w:ascii="Symbol" w:hAnsi="Symbol" w:hint="default"/>
      </w:rPr>
    </w:lvl>
    <w:lvl w:ilvl="2" w:tplc="04220005" w:tentative="1">
      <w:start w:val="1"/>
      <w:numFmt w:val="bullet"/>
      <w:lvlText w:val=""/>
      <w:lvlJc w:val="left"/>
      <w:pPr>
        <w:ind w:left="2052" w:hanging="360"/>
      </w:pPr>
      <w:rPr>
        <w:rFonts w:ascii="Wingdings" w:hAnsi="Wingdings" w:hint="default"/>
      </w:rPr>
    </w:lvl>
    <w:lvl w:ilvl="3" w:tplc="04220001" w:tentative="1">
      <w:start w:val="1"/>
      <w:numFmt w:val="bullet"/>
      <w:lvlText w:val=""/>
      <w:lvlJc w:val="left"/>
      <w:pPr>
        <w:ind w:left="2772" w:hanging="360"/>
      </w:pPr>
      <w:rPr>
        <w:rFonts w:ascii="Symbol" w:hAnsi="Symbol" w:hint="default"/>
      </w:rPr>
    </w:lvl>
    <w:lvl w:ilvl="4" w:tplc="04220003" w:tentative="1">
      <w:start w:val="1"/>
      <w:numFmt w:val="bullet"/>
      <w:lvlText w:val="o"/>
      <w:lvlJc w:val="left"/>
      <w:pPr>
        <w:ind w:left="3492" w:hanging="360"/>
      </w:pPr>
      <w:rPr>
        <w:rFonts w:ascii="Courier New" w:hAnsi="Courier New" w:cs="Courier New" w:hint="default"/>
      </w:rPr>
    </w:lvl>
    <w:lvl w:ilvl="5" w:tplc="04220005" w:tentative="1">
      <w:start w:val="1"/>
      <w:numFmt w:val="bullet"/>
      <w:lvlText w:val=""/>
      <w:lvlJc w:val="left"/>
      <w:pPr>
        <w:ind w:left="4212" w:hanging="360"/>
      </w:pPr>
      <w:rPr>
        <w:rFonts w:ascii="Wingdings" w:hAnsi="Wingdings" w:hint="default"/>
      </w:rPr>
    </w:lvl>
    <w:lvl w:ilvl="6" w:tplc="04220001" w:tentative="1">
      <w:start w:val="1"/>
      <w:numFmt w:val="bullet"/>
      <w:lvlText w:val=""/>
      <w:lvlJc w:val="left"/>
      <w:pPr>
        <w:ind w:left="4932" w:hanging="360"/>
      </w:pPr>
      <w:rPr>
        <w:rFonts w:ascii="Symbol" w:hAnsi="Symbol" w:hint="default"/>
      </w:rPr>
    </w:lvl>
    <w:lvl w:ilvl="7" w:tplc="04220003" w:tentative="1">
      <w:start w:val="1"/>
      <w:numFmt w:val="bullet"/>
      <w:lvlText w:val="o"/>
      <w:lvlJc w:val="left"/>
      <w:pPr>
        <w:ind w:left="5652" w:hanging="360"/>
      </w:pPr>
      <w:rPr>
        <w:rFonts w:ascii="Courier New" w:hAnsi="Courier New" w:cs="Courier New" w:hint="default"/>
      </w:rPr>
    </w:lvl>
    <w:lvl w:ilvl="8" w:tplc="04220005" w:tentative="1">
      <w:start w:val="1"/>
      <w:numFmt w:val="bullet"/>
      <w:lvlText w:val=""/>
      <w:lvlJc w:val="left"/>
      <w:pPr>
        <w:ind w:left="6372" w:hanging="360"/>
      </w:pPr>
      <w:rPr>
        <w:rFonts w:ascii="Wingdings" w:hAnsi="Wingdings" w:hint="default"/>
      </w:rPr>
    </w:lvl>
  </w:abstractNum>
  <w:abstractNum w:abstractNumId="3" w15:restartNumberingAfterBreak="0">
    <w:nsid w:val="02676A81"/>
    <w:multiLevelType w:val="hybridMultilevel"/>
    <w:tmpl w:val="523E9FFA"/>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5D97B57"/>
    <w:multiLevelType w:val="hybridMultilevel"/>
    <w:tmpl w:val="19A655B4"/>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074346BF"/>
    <w:multiLevelType w:val="hybridMultilevel"/>
    <w:tmpl w:val="8E5A9442"/>
    <w:lvl w:ilvl="0" w:tplc="8C3E9A8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0759197F"/>
    <w:multiLevelType w:val="hybridMultilevel"/>
    <w:tmpl w:val="9D880A4A"/>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0A103115"/>
    <w:multiLevelType w:val="hybridMultilevel"/>
    <w:tmpl w:val="CBD2CFFA"/>
    <w:lvl w:ilvl="0" w:tplc="042EA5CA">
      <w:start w:val="5"/>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A16322A"/>
    <w:multiLevelType w:val="hybridMultilevel"/>
    <w:tmpl w:val="8062A334"/>
    <w:lvl w:ilvl="0" w:tplc="28083EA4">
      <w:start w:val="6"/>
      <w:numFmt w:val="bullet"/>
      <w:lvlText w:val="-"/>
      <w:lvlJc w:val="left"/>
      <w:pPr>
        <w:tabs>
          <w:tab w:val="num" w:pos="365"/>
        </w:tabs>
        <w:ind w:left="365" w:hanging="360"/>
      </w:pPr>
      <w:rPr>
        <w:rFonts w:ascii="Times New Roman" w:eastAsia="Times New Roman" w:hAnsi="Times New Roman" w:hint="default"/>
        <w:sz w:val="24"/>
      </w:rPr>
    </w:lvl>
    <w:lvl w:ilvl="1" w:tplc="04190003" w:tentative="1">
      <w:start w:val="1"/>
      <w:numFmt w:val="bullet"/>
      <w:lvlText w:val="o"/>
      <w:lvlJc w:val="left"/>
      <w:pPr>
        <w:tabs>
          <w:tab w:val="num" w:pos="1085"/>
        </w:tabs>
        <w:ind w:left="1085" w:hanging="360"/>
      </w:pPr>
      <w:rPr>
        <w:rFonts w:ascii="Courier New" w:hAnsi="Courier New" w:hint="default"/>
      </w:rPr>
    </w:lvl>
    <w:lvl w:ilvl="2" w:tplc="04190005" w:tentative="1">
      <w:start w:val="1"/>
      <w:numFmt w:val="bullet"/>
      <w:lvlText w:val=""/>
      <w:lvlJc w:val="left"/>
      <w:pPr>
        <w:tabs>
          <w:tab w:val="num" w:pos="1805"/>
        </w:tabs>
        <w:ind w:left="1805" w:hanging="360"/>
      </w:pPr>
      <w:rPr>
        <w:rFonts w:ascii="Wingdings" w:hAnsi="Wingdings" w:hint="default"/>
      </w:rPr>
    </w:lvl>
    <w:lvl w:ilvl="3" w:tplc="04190001" w:tentative="1">
      <w:start w:val="1"/>
      <w:numFmt w:val="bullet"/>
      <w:lvlText w:val=""/>
      <w:lvlJc w:val="left"/>
      <w:pPr>
        <w:tabs>
          <w:tab w:val="num" w:pos="2525"/>
        </w:tabs>
        <w:ind w:left="2525" w:hanging="360"/>
      </w:pPr>
      <w:rPr>
        <w:rFonts w:ascii="Symbol" w:hAnsi="Symbol" w:hint="default"/>
      </w:rPr>
    </w:lvl>
    <w:lvl w:ilvl="4" w:tplc="04190003" w:tentative="1">
      <w:start w:val="1"/>
      <w:numFmt w:val="bullet"/>
      <w:lvlText w:val="o"/>
      <w:lvlJc w:val="left"/>
      <w:pPr>
        <w:tabs>
          <w:tab w:val="num" w:pos="3245"/>
        </w:tabs>
        <w:ind w:left="3245" w:hanging="360"/>
      </w:pPr>
      <w:rPr>
        <w:rFonts w:ascii="Courier New" w:hAnsi="Courier New" w:hint="default"/>
      </w:rPr>
    </w:lvl>
    <w:lvl w:ilvl="5" w:tplc="04190005" w:tentative="1">
      <w:start w:val="1"/>
      <w:numFmt w:val="bullet"/>
      <w:lvlText w:val=""/>
      <w:lvlJc w:val="left"/>
      <w:pPr>
        <w:tabs>
          <w:tab w:val="num" w:pos="3965"/>
        </w:tabs>
        <w:ind w:left="3965" w:hanging="360"/>
      </w:pPr>
      <w:rPr>
        <w:rFonts w:ascii="Wingdings" w:hAnsi="Wingdings" w:hint="default"/>
      </w:rPr>
    </w:lvl>
    <w:lvl w:ilvl="6" w:tplc="04190001" w:tentative="1">
      <w:start w:val="1"/>
      <w:numFmt w:val="bullet"/>
      <w:lvlText w:val=""/>
      <w:lvlJc w:val="left"/>
      <w:pPr>
        <w:tabs>
          <w:tab w:val="num" w:pos="4685"/>
        </w:tabs>
        <w:ind w:left="4685" w:hanging="360"/>
      </w:pPr>
      <w:rPr>
        <w:rFonts w:ascii="Symbol" w:hAnsi="Symbol" w:hint="default"/>
      </w:rPr>
    </w:lvl>
    <w:lvl w:ilvl="7" w:tplc="04190003" w:tentative="1">
      <w:start w:val="1"/>
      <w:numFmt w:val="bullet"/>
      <w:lvlText w:val="o"/>
      <w:lvlJc w:val="left"/>
      <w:pPr>
        <w:tabs>
          <w:tab w:val="num" w:pos="5405"/>
        </w:tabs>
        <w:ind w:left="5405" w:hanging="360"/>
      </w:pPr>
      <w:rPr>
        <w:rFonts w:ascii="Courier New" w:hAnsi="Courier New" w:hint="default"/>
      </w:rPr>
    </w:lvl>
    <w:lvl w:ilvl="8" w:tplc="04190005" w:tentative="1">
      <w:start w:val="1"/>
      <w:numFmt w:val="bullet"/>
      <w:lvlText w:val=""/>
      <w:lvlJc w:val="left"/>
      <w:pPr>
        <w:tabs>
          <w:tab w:val="num" w:pos="6125"/>
        </w:tabs>
        <w:ind w:left="6125" w:hanging="360"/>
      </w:pPr>
      <w:rPr>
        <w:rFonts w:ascii="Wingdings" w:hAnsi="Wingdings" w:hint="default"/>
      </w:rPr>
    </w:lvl>
  </w:abstractNum>
  <w:abstractNum w:abstractNumId="9" w15:restartNumberingAfterBreak="0">
    <w:nsid w:val="0A465805"/>
    <w:multiLevelType w:val="hybridMultilevel"/>
    <w:tmpl w:val="837E1B6E"/>
    <w:lvl w:ilvl="0" w:tplc="3E7A1E4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0E020FB4"/>
    <w:multiLevelType w:val="hybridMultilevel"/>
    <w:tmpl w:val="5380B02C"/>
    <w:lvl w:ilvl="0" w:tplc="6110424A">
      <w:start w:val="1"/>
      <w:numFmt w:val="decimal"/>
      <w:lvlText w:val="%1."/>
      <w:lvlJc w:val="left"/>
      <w:pPr>
        <w:tabs>
          <w:tab w:val="num" w:pos="1080"/>
        </w:tabs>
        <w:ind w:left="1080" w:hanging="360"/>
      </w:pPr>
      <w:rPr>
        <w:rFonts w:cs="Times New Roman" w:hint="default"/>
      </w:rPr>
    </w:lvl>
    <w:lvl w:ilvl="1" w:tplc="8C3E9A88">
      <w:start w:val="1"/>
      <w:numFmt w:val="bullet"/>
      <w:lvlText w:val=""/>
      <w:lvlJc w:val="left"/>
      <w:pPr>
        <w:tabs>
          <w:tab w:val="num" w:pos="1800"/>
        </w:tabs>
        <w:ind w:left="1800" w:hanging="360"/>
      </w:pPr>
      <w:rPr>
        <w:rFonts w:ascii="Symbol" w:hAnsi="Symbol" w:hint="default"/>
        <w:b/>
        <w:color w:val="auto"/>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11" w15:restartNumberingAfterBreak="0">
    <w:nsid w:val="0E866E6C"/>
    <w:multiLevelType w:val="hybridMultilevel"/>
    <w:tmpl w:val="F6969F90"/>
    <w:lvl w:ilvl="0" w:tplc="8C3E9A88">
      <w:start w:val="1"/>
      <w:numFmt w:val="bullet"/>
      <w:lvlText w:val=""/>
      <w:lvlJc w:val="left"/>
      <w:pPr>
        <w:tabs>
          <w:tab w:val="num" w:pos="900"/>
        </w:tabs>
        <w:ind w:left="900" w:hanging="360"/>
      </w:pPr>
      <w:rPr>
        <w:rFonts w:ascii="Symbol" w:hAnsi="Symbol" w:hint="default"/>
      </w:rPr>
    </w:lvl>
    <w:lvl w:ilvl="1" w:tplc="04190003" w:tentative="1">
      <w:start w:val="1"/>
      <w:numFmt w:val="bullet"/>
      <w:lvlText w:val="o"/>
      <w:lvlJc w:val="left"/>
      <w:pPr>
        <w:tabs>
          <w:tab w:val="num" w:pos="1620"/>
        </w:tabs>
        <w:ind w:left="1620" w:hanging="360"/>
      </w:pPr>
      <w:rPr>
        <w:rFonts w:ascii="Courier New" w:hAnsi="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2" w15:restartNumberingAfterBreak="0">
    <w:nsid w:val="0F8E7866"/>
    <w:multiLevelType w:val="hybridMultilevel"/>
    <w:tmpl w:val="50AA1574"/>
    <w:lvl w:ilvl="0" w:tplc="33CEF61A">
      <w:start w:val="1"/>
      <w:numFmt w:val="decimal"/>
      <w:lvlText w:val="%1"/>
      <w:lvlJc w:val="left"/>
      <w:pPr>
        <w:ind w:left="1428" w:hanging="360"/>
      </w:pPr>
      <w:rPr>
        <w:rFonts w:hint="default"/>
      </w:r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3" w15:restartNumberingAfterBreak="0">
    <w:nsid w:val="0FF135F9"/>
    <w:multiLevelType w:val="hybridMultilevel"/>
    <w:tmpl w:val="80248B92"/>
    <w:lvl w:ilvl="0" w:tplc="8C3E9A88">
      <w:start w:val="1"/>
      <w:numFmt w:val="bullet"/>
      <w:lvlText w:val=""/>
      <w:lvlJc w:val="left"/>
      <w:pPr>
        <w:tabs>
          <w:tab w:val="num" w:pos="432"/>
        </w:tabs>
        <w:ind w:left="432" w:hanging="360"/>
      </w:pPr>
      <w:rPr>
        <w:rFonts w:ascii="Symbol" w:hAnsi="Symbol" w:hint="default"/>
      </w:rPr>
    </w:lvl>
    <w:lvl w:ilvl="1" w:tplc="04220003" w:tentative="1">
      <w:start w:val="1"/>
      <w:numFmt w:val="bullet"/>
      <w:lvlText w:val="o"/>
      <w:lvlJc w:val="left"/>
      <w:pPr>
        <w:tabs>
          <w:tab w:val="num" w:pos="1152"/>
        </w:tabs>
        <w:ind w:left="1152" w:hanging="360"/>
      </w:pPr>
      <w:rPr>
        <w:rFonts w:ascii="Courier New" w:hAnsi="Courier New" w:cs="Courier New" w:hint="default"/>
      </w:rPr>
    </w:lvl>
    <w:lvl w:ilvl="2" w:tplc="04220005" w:tentative="1">
      <w:start w:val="1"/>
      <w:numFmt w:val="bullet"/>
      <w:lvlText w:val=""/>
      <w:lvlJc w:val="left"/>
      <w:pPr>
        <w:tabs>
          <w:tab w:val="num" w:pos="1872"/>
        </w:tabs>
        <w:ind w:left="1872" w:hanging="360"/>
      </w:pPr>
      <w:rPr>
        <w:rFonts w:ascii="Wingdings" w:hAnsi="Wingdings" w:hint="default"/>
      </w:rPr>
    </w:lvl>
    <w:lvl w:ilvl="3" w:tplc="04220001" w:tentative="1">
      <w:start w:val="1"/>
      <w:numFmt w:val="bullet"/>
      <w:lvlText w:val=""/>
      <w:lvlJc w:val="left"/>
      <w:pPr>
        <w:tabs>
          <w:tab w:val="num" w:pos="2592"/>
        </w:tabs>
        <w:ind w:left="2592" w:hanging="360"/>
      </w:pPr>
      <w:rPr>
        <w:rFonts w:ascii="Symbol" w:hAnsi="Symbol" w:hint="default"/>
      </w:rPr>
    </w:lvl>
    <w:lvl w:ilvl="4" w:tplc="04220003" w:tentative="1">
      <w:start w:val="1"/>
      <w:numFmt w:val="bullet"/>
      <w:lvlText w:val="o"/>
      <w:lvlJc w:val="left"/>
      <w:pPr>
        <w:tabs>
          <w:tab w:val="num" w:pos="3312"/>
        </w:tabs>
        <w:ind w:left="3312" w:hanging="360"/>
      </w:pPr>
      <w:rPr>
        <w:rFonts w:ascii="Courier New" w:hAnsi="Courier New" w:cs="Courier New" w:hint="default"/>
      </w:rPr>
    </w:lvl>
    <w:lvl w:ilvl="5" w:tplc="04220005" w:tentative="1">
      <w:start w:val="1"/>
      <w:numFmt w:val="bullet"/>
      <w:lvlText w:val=""/>
      <w:lvlJc w:val="left"/>
      <w:pPr>
        <w:tabs>
          <w:tab w:val="num" w:pos="4032"/>
        </w:tabs>
        <w:ind w:left="4032" w:hanging="360"/>
      </w:pPr>
      <w:rPr>
        <w:rFonts w:ascii="Wingdings" w:hAnsi="Wingdings" w:hint="default"/>
      </w:rPr>
    </w:lvl>
    <w:lvl w:ilvl="6" w:tplc="04220001" w:tentative="1">
      <w:start w:val="1"/>
      <w:numFmt w:val="bullet"/>
      <w:lvlText w:val=""/>
      <w:lvlJc w:val="left"/>
      <w:pPr>
        <w:tabs>
          <w:tab w:val="num" w:pos="4752"/>
        </w:tabs>
        <w:ind w:left="4752" w:hanging="360"/>
      </w:pPr>
      <w:rPr>
        <w:rFonts w:ascii="Symbol" w:hAnsi="Symbol" w:hint="default"/>
      </w:rPr>
    </w:lvl>
    <w:lvl w:ilvl="7" w:tplc="04220003" w:tentative="1">
      <w:start w:val="1"/>
      <w:numFmt w:val="bullet"/>
      <w:lvlText w:val="o"/>
      <w:lvlJc w:val="left"/>
      <w:pPr>
        <w:tabs>
          <w:tab w:val="num" w:pos="5472"/>
        </w:tabs>
        <w:ind w:left="5472" w:hanging="360"/>
      </w:pPr>
      <w:rPr>
        <w:rFonts w:ascii="Courier New" w:hAnsi="Courier New" w:cs="Courier New" w:hint="default"/>
      </w:rPr>
    </w:lvl>
    <w:lvl w:ilvl="8" w:tplc="04220005" w:tentative="1">
      <w:start w:val="1"/>
      <w:numFmt w:val="bullet"/>
      <w:lvlText w:val=""/>
      <w:lvlJc w:val="left"/>
      <w:pPr>
        <w:tabs>
          <w:tab w:val="num" w:pos="6192"/>
        </w:tabs>
        <w:ind w:left="6192" w:hanging="360"/>
      </w:pPr>
      <w:rPr>
        <w:rFonts w:ascii="Wingdings" w:hAnsi="Wingdings" w:hint="default"/>
      </w:rPr>
    </w:lvl>
  </w:abstractNum>
  <w:abstractNum w:abstractNumId="14" w15:restartNumberingAfterBreak="0">
    <w:nsid w:val="11B16272"/>
    <w:multiLevelType w:val="hybridMultilevel"/>
    <w:tmpl w:val="F1841BAC"/>
    <w:lvl w:ilvl="0" w:tplc="8C3E9A8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8C3E9A88">
      <w:start w:val="1"/>
      <w:numFmt w:val="bullet"/>
      <w:lvlText w:val=""/>
      <w:lvlJc w:val="left"/>
      <w:pPr>
        <w:ind w:left="2869" w:hanging="360"/>
      </w:pPr>
      <w:rPr>
        <w:rFonts w:ascii="Symbol" w:hAnsi="Symbol"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11DA1136"/>
    <w:multiLevelType w:val="hybridMultilevel"/>
    <w:tmpl w:val="6FC8D432"/>
    <w:lvl w:ilvl="0" w:tplc="1DFA5578">
      <w:start w:val="1"/>
      <w:numFmt w:val="decimal"/>
      <w:lvlText w:val="%1."/>
      <w:lvlJc w:val="left"/>
      <w:pPr>
        <w:ind w:left="1699" w:hanging="99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6" w15:restartNumberingAfterBreak="0">
    <w:nsid w:val="12C95197"/>
    <w:multiLevelType w:val="hybridMultilevel"/>
    <w:tmpl w:val="A25AF6C0"/>
    <w:lvl w:ilvl="0" w:tplc="8C3E9A88">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7" w15:restartNumberingAfterBreak="0">
    <w:nsid w:val="12D76EAC"/>
    <w:multiLevelType w:val="hybridMultilevel"/>
    <w:tmpl w:val="F918AA34"/>
    <w:lvl w:ilvl="0" w:tplc="33CEF61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12F15E91"/>
    <w:multiLevelType w:val="hybridMultilevel"/>
    <w:tmpl w:val="67DCEA3C"/>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134978B9"/>
    <w:multiLevelType w:val="hybridMultilevel"/>
    <w:tmpl w:val="41023858"/>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13E73239"/>
    <w:multiLevelType w:val="hybridMultilevel"/>
    <w:tmpl w:val="93362024"/>
    <w:lvl w:ilvl="0" w:tplc="70D2C39A">
      <w:start w:val="1"/>
      <w:numFmt w:val="decimal"/>
      <w:lvlText w:val="%1."/>
      <w:lvlJc w:val="left"/>
      <w:pPr>
        <w:tabs>
          <w:tab w:val="num" w:pos="900"/>
        </w:tabs>
        <w:ind w:left="900" w:hanging="54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15:restartNumberingAfterBreak="0">
    <w:nsid w:val="14CF04E6"/>
    <w:multiLevelType w:val="hybridMultilevel"/>
    <w:tmpl w:val="3C8C144A"/>
    <w:lvl w:ilvl="0" w:tplc="E4DEDB8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14DE32A0"/>
    <w:multiLevelType w:val="hybridMultilevel"/>
    <w:tmpl w:val="CE5AD832"/>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14FE1B3A"/>
    <w:multiLevelType w:val="hybridMultilevel"/>
    <w:tmpl w:val="5CF6B1C0"/>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152E47C9"/>
    <w:multiLevelType w:val="hybridMultilevel"/>
    <w:tmpl w:val="7958AB16"/>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15395F8A"/>
    <w:multiLevelType w:val="hybridMultilevel"/>
    <w:tmpl w:val="03D2F3E6"/>
    <w:lvl w:ilvl="0" w:tplc="8C3E9A8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193B1BA7"/>
    <w:multiLevelType w:val="hybridMultilevel"/>
    <w:tmpl w:val="128613AC"/>
    <w:lvl w:ilvl="0" w:tplc="B232CBAA">
      <w:start w:val="1"/>
      <w:numFmt w:val="bullet"/>
      <w:lvlText w:val=""/>
      <w:lvlJc w:val="left"/>
      <w:pPr>
        <w:ind w:left="1429" w:hanging="360"/>
      </w:pPr>
      <w:rPr>
        <w:rFonts w:ascii="Symbol" w:hAnsi="Symbol" w:hint="default"/>
      </w:rPr>
    </w:lvl>
    <w:lvl w:ilvl="1" w:tplc="B232CBAA">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1C9252CA"/>
    <w:multiLevelType w:val="hybridMultilevel"/>
    <w:tmpl w:val="B6DEE990"/>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1CB2177E"/>
    <w:multiLevelType w:val="hybridMultilevel"/>
    <w:tmpl w:val="CA189A70"/>
    <w:lvl w:ilvl="0" w:tplc="B232CBA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1CDC6B61"/>
    <w:multiLevelType w:val="hybridMultilevel"/>
    <w:tmpl w:val="939EB9C2"/>
    <w:lvl w:ilvl="0" w:tplc="AD449D26">
      <w:numFmt w:val="bullet"/>
      <w:lvlText w:val="–"/>
      <w:lvlJc w:val="left"/>
      <w:pPr>
        <w:ind w:firstLine="709"/>
      </w:pPr>
      <w:rPr>
        <w:rFonts w:ascii="Times New Roman" w:eastAsia="Times New Roman" w:hAnsi="Times New Roman"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30" w15:restartNumberingAfterBreak="0">
    <w:nsid w:val="1DF8676F"/>
    <w:multiLevelType w:val="hybridMultilevel"/>
    <w:tmpl w:val="A238A91A"/>
    <w:lvl w:ilvl="0" w:tplc="33CEF61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1E7D57D3"/>
    <w:multiLevelType w:val="hybridMultilevel"/>
    <w:tmpl w:val="67B85CE2"/>
    <w:lvl w:ilvl="0" w:tplc="5872794E">
      <w:start w:val="1"/>
      <w:numFmt w:val="bullet"/>
      <w:lvlText w:val="-"/>
      <w:lvlJc w:val="left"/>
      <w:pPr>
        <w:ind w:left="720" w:hanging="360"/>
      </w:pPr>
      <w:rPr>
        <w:rFonts w:ascii="Arial" w:hAnsi="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1F9546B0"/>
    <w:multiLevelType w:val="hybridMultilevel"/>
    <w:tmpl w:val="1590A456"/>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21FC6EFC"/>
    <w:multiLevelType w:val="hybridMultilevel"/>
    <w:tmpl w:val="F6BC0D68"/>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24866085"/>
    <w:multiLevelType w:val="hybridMultilevel"/>
    <w:tmpl w:val="15409716"/>
    <w:lvl w:ilvl="0" w:tplc="8C3E9A8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15:restartNumberingAfterBreak="0">
    <w:nsid w:val="251F510B"/>
    <w:multiLevelType w:val="hybridMultilevel"/>
    <w:tmpl w:val="C0B6BFBC"/>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25A977C1"/>
    <w:multiLevelType w:val="hybridMultilevel"/>
    <w:tmpl w:val="F1C48E40"/>
    <w:lvl w:ilvl="0" w:tplc="8C3E9A8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15:restartNumberingAfterBreak="0">
    <w:nsid w:val="26105AB0"/>
    <w:multiLevelType w:val="hybridMultilevel"/>
    <w:tmpl w:val="B94E8558"/>
    <w:lvl w:ilvl="0" w:tplc="8C3E9A88">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38" w15:restartNumberingAfterBreak="0">
    <w:nsid w:val="28601D1A"/>
    <w:multiLevelType w:val="hybridMultilevel"/>
    <w:tmpl w:val="519E6D2E"/>
    <w:lvl w:ilvl="0" w:tplc="33CEF61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29C40B07"/>
    <w:multiLevelType w:val="hybridMultilevel"/>
    <w:tmpl w:val="9C6AFA76"/>
    <w:lvl w:ilvl="0" w:tplc="572C9AE6">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40" w15:restartNumberingAfterBreak="0">
    <w:nsid w:val="2AEC5DBA"/>
    <w:multiLevelType w:val="hybridMultilevel"/>
    <w:tmpl w:val="00668104"/>
    <w:lvl w:ilvl="0" w:tplc="F7808A3C">
      <w:start w:val="1"/>
      <w:numFmt w:val="decimal"/>
      <w:lvlText w:val="%1."/>
      <w:lvlJc w:val="left"/>
      <w:pPr>
        <w:tabs>
          <w:tab w:val="num" w:pos="1935"/>
        </w:tabs>
        <w:ind w:left="1935" w:hanging="1215"/>
      </w:pPr>
      <w:rPr>
        <w:rFonts w:hint="default"/>
        <w:b w:val="0"/>
        <w:i w:val="0"/>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1" w15:restartNumberingAfterBreak="0">
    <w:nsid w:val="2C532B48"/>
    <w:multiLevelType w:val="hybridMultilevel"/>
    <w:tmpl w:val="383EEB5A"/>
    <w:lvl w:ilvl="0" w:tplc="B4025CB6">
      <w:start w:val="1"/>
      <w:numFmt w:val="decimal"/>
      <w:lvlText w:val="%1."/>
      <w:lvlJc w:val="left"/>
      <w:pPr>
        <w:tabs>
          <w:tab w:val="num" w:pos="720"/>
        </w:tabs>
        <w:ind w:left="680" w:hanging="51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2" w15:restartNumberingAfterBreak="0">
    <w:nsid w:val="2D0C6D28"/>
    <w:multiLevelType w:val="hybridMultilevel"/>
    <w:tmpl w:val="AAE6D0E8"/>
    <w:lvl w:ilvl="0" w:tplc="8C3E9A88">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3" w15:restartNumberingAfterBreak="0">
    <w:nsid w:val="2EF933E8"/>
    <w:multiLevelType w:val="hybridMultilevel"/>
    <w:tmpl w:val="F6E65670"/>
    <w:lvl w:ilvl="0" w:tplc="94AACB54">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4" w15:restartNumberingAfterBreak="0">
    <w:nsid w:val="32C3198B"/>
    <w:multiLevelType w:val="hybridMultilevel"/>
    <w:tmpl w:val="4254ED50"/>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15:restartNumberingAfterBreak="0">
    <w:nsid w:val="385962B5"/>
    <w:multiLevelType w:val="hybridMultilevel"/>
    <w:tmpl w:val="42ECE50C"/>
    <w:lvl w:ilvl="0" w:tplc="80D4D584">
      <w:start w:val="1"/>
      <w:numFmt w:val="decimal"/>
      <w:lvlText w:val="%1."/>
      <w:lvlJc w:val="left"/>
      <w:pPr>
        <w:tabs>
          <w:tab w:val="num" w:pos="1776"/>
        </w:tabs>
        <w:ind w:left="1776" w:hanging="1050"/>
      </w:pPr>
      <w:rPr>
        <w:rFonts w:cs="Times New Roman" w:hint="default"/>
      </w:rPr>
    </w:lvl>
    <w:lvl w:ilvl="1" w:tplc="7FB247E8">
      <w:start w:val="3"/>
      <w:numFmt w:val="decimal"/>
      <w:lvlText w:val="%2)"/>
      <w:lvlJc w:val="left"/>
      <w:pPr>
        <w:tabs>
          <w:tab w:val="num" w:pos="1070"/>
        </w:tabs>
        <w:ind w:left="1070" w:hanging="360"/>
      </w:pPr>
      <w:rPr>
        <w:rFonts w:cs="Times New Roman" w:hint="default"/>
      </w:rPr>
    </w:lvl>
    <w:lvl w:ilvl="2" w:tplc="0419001B" w:tentative="1">
      <w:start w:val="1"/>
      <w:numFmt w:val="lowerRoman"/>
      <w:lvlText w:val="%3."/>
      <w:lvlJc w:val="right"/>
      <w:pPr>
        <w:tabs>
          <w:tab w:val="num" w:pos="2526"/>
        </w:tabs>
        <w:ind w:left="2526" w:hanging="180"/>
      </w:pPr>
      <w:rPr>
        <w:rFonts w:cs="Times New Roman"/>
      </w:rPr>
    </w:lvl>
    <w:lvl w:ilvl="3" w:tplc="0419000F" w:tentative="1">
      <w:start w:val="1"/>
      <w:numFmt w:val="decimal"/>
      <w:lvlText w:val="%4."/>
      <w:lvlJc w:val="left"/>
      <w:pPr>
        <w:tabs>
          <w:tab w:val="num" w:pos="3246"/>
        </w:tabs>
        <w:ind w:left="3246" w:hanging="360"/>
      </w:pPr>
      <w:rPr>
        <w:rFonts w:cs="Times New Roman"/>
      </w:rPr>
    </w:lvl>
    <w:lvl w:ilvl="4" w:tplc="04190019" w:tentative="1">
      <w:start w:val="1"/>
      <w:numFmt w:val="lowerLetter"/>
      <w:lvlText w:val="%5."/>
      <w:lvlJc w:val="left"/>
      <w:pPr>
        <w:tabs>
          <w:tab w:val="num" w:pos="3966"/>
        </w:tabs>
        <w:ind w:left="3966" w:hanging="360"/>
      </w:pPr>
      <w:rPr>
        <w:rFonts w:cs="Times New Roman"/>
      </w:rPr>
    </w:lvl>
    <w:lvl w:ilvl="5" w:tplc="0419001B" w:tentative="1">
      <w:start w:val="1"/>
      <w:numFmt w:val="lowerRoman"/>
      <w:lvlText w:val="%6."/>
      <w:lvlJc w:val="right"/>
      <w:pPr>
        <w:tabs>
          <w:tab w:val="num" w:pos="4686"/>
        </w:tabs>
        <w:ind w:left="4686" w:hanging="180"/>
      </w:pPr>
      <w:rPr>
        <w:rFonts w:cs="Times New Roman"/>
      </w:rPr>
    </w:lvl>
    <w:lvl w:ilvl="6" w:tplc="0419000F" w:tentative="1">
      <w:start w:val="1"/>
      <w:numFmt w:val="decimal"/>
      <w:lvlText w:val="%7."/>
      <w:lvlJc w:val="left"/>
      <w:pPr>
        <w:tabs>
          <w:tab w:val="num" w:pos="5406"/>
        </w:tabs>
        <w:ind w:left="5406" w:hanging="360"/>
      </w:pPr>
      <w:rPr>
        <w:rFonts w:cs="Times New Roman"/>
      </w:rPr>
    </w:lvl>
    <w:lvl w:ilvl="7" w:tplc="04190019" w:tentative="1">
      <w:start w:val="1"/>
      <w:numFmt w:val="lowerLetter"/>
      <w:lvlText w:val="%8."/>
      <w:lvlJc w:val="left"/>
      <w:pPr>
        <w:tabs>
          <w:tab w:val="num" w:pos="6126"/>
        </w:tabs>
        <w:ind w:left="6126" w:hanging="360"/>
      </w:pPr>
      <w:rPr>
        <w:rFonts w:cs="Times New Roman"/>
      </w:rPr>
    </w:lvl>
    <w:lvl w:ilvl="8" w:tplc="0419001B" w:tentative="1">
      <w:start w:val="1"/>
      <w:numFmt w:val="lowerRoman"/>
      <w:lvlText w:val="%9."/>
      <w:lvlJc w:val="right"/>
      <w:pPr>
        <w:tabs>
          <w:tab w:val="num" w:pos="6846"/>
        </w:tabs>
        <w:ind w:left="6846" w:hanging="180"/>
      </w:pPr>
      <w:rPr>
        <w:rFonts w:cs="Times New Roman"/>
      </w:rPr>
    </w:lvl>
  </w:abstractNum>
  <w:abstractNum w:abstractNumId="46" w15:restartNumberingAfterBreak="0">
    <w:nsid w:val="3880384C"/>
    <w:multiLevelType w:val="hybridMultilevel"/>
    <w:tmpl w:val="08A02894"/>
    <w:lvl w:ilvl="0" w:tplc="8C3E9A88">
      <w:start w:val="1"/>
      <w:numFmt w:val="bullet"/>
      <w:lvlText w:val=""/>
      <w:lvlJc w:val="left"/>
      <w:pPr>
        <w:tabs>
          <w:tab w:val="num" w:pos="1395"/>
        </w:tabs>
        <w:ind w:left="1395" w:hanging="855"/>
      </w:pPr>
      <w:rPr>
        <w:rFonts w:ascii="Symbol" w:hAnsi="Symbol" w:hint="default"/>
      </w:rPr>
    </w:lvl>
    <w:lvl w:ilvl="1" w:tplc="04190003" w:tentative="1">
      <w:start w:val="1"/>
      <w:numFmt w:val="bullet"/>
      <w:lvlText w:val="o"/>
      <w:lvlJc w:val="left"/>
      <w:pPr>
        <w:tabs>
          <w:tab w:val="num" w:pos="1620"/>
        </w:tabs>
        <w:ind w:left="1620" w:hanging="360"/>
      </w:pPr>
      <w:rPr>
        <w:rFonts w:ascii="Courier New" w:hAnsi="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47" w15:restartNumberingAfterBreak="0">
    <w:nsid w:val="3D1D366C"/>
    <w:multiLevelType w:val="hybridMultilevel"/>
    <w:tmpl w:val="F3AE0A4A"/>
    <w:lvl w:ilvl="0" w:tplc="F12E172E">
      <w:start w:val="1"/>
      <w:numFmt w:val="decimal"/>
      <w:lvlText w:val="%1."/>
      <w:lvlJc w:val="left"/>
      <w:pPr>
        <w:tabs>
          <w:tab w:val="num" w:pos="720"/>
        </w:tabs>
        <w:ind w:left="720" w:hanging="360"/>
      </w:pPr>
      <w:rPr>
        <w:rFonts w:ascii="Times New Roman" w:eastAsia="Times New Roman" w:hAnsi="Times New Roman" w:cs="Times New Roman"/>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48" w15:restartNumberingAfterBreak="0">
    <w:nsid w:val="3E37110D"/>
    <w:multiLevelType w:val="hybridMultilevel"/>
    <w:tmpl w:val="B4A49850"/>
    <w:lvl w:ilvl="0" w:tplc="B232CBAA">
      <w:start w:val="1"/>
      <w:numFmt w:val="bullet"/>
      <w:lvlText w:val=""/>
      <w:lvlJc w:val="left"/>
      <w:pPr>
        <w:ind w:left="1429" w:hanging="360"/>
      </w:pPr>
      <w:rPr>
        <w:rFonts w:ascii="Symbol" w:hAnsi="Symbol" w:hint="default"/>
      </w:rPr>
    </w:lvl>
    <w:lvl w:ilvl="1" w:tplc="5C301C24">
      <w:numFmt w:val="bullet"/>
      <w:lvlText w:val="–"/>
      <w:lvlJc w:val="left"/>
      <w:pPr>
        <w:ind w:left="2149" w:hanging="360"/>
      </w:pPr>
      <w:rPr>
        <w:rFonts w:ascii="Times New Roman" w:eastAsia="Calibri" w:hAnsi="Times New Roman" w:cs="Times New Roman" w:hint="default"/>
      </w:rPr>
    </w:lvl>
    <w:lvl w:ilvl="2" w:tplc="D000119E">
      <w:numFmt w:val="bullet"/>
      <w:lvlText w:val="•"/>
      <w:lvlJc w:val="left"/>
      <w:pPr>
        <w:ind w:left="3469" w:hanging="960"/>
      </w:pPr>
      <w:rPr>
        <w:rFonts w:ascii="Times New Roman" w:eastAsia="Calibri" w:hAnsi="Times New Roman" w:cs="Times New Roman"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9" w15:restartNumberingAfterBreak="0">
    <w:nsid w:val="42992BEB"/>
    <w:multiLevelType w:val="hybridMultilevel"/>
    <w:tmpl w:val="851619F0"/>
    <w:lvl w:ilvl="0" w:tplc="C6CAD4D4">
      <w:numFmt w:val="bullet"/>
      <w:lvlText w:val="–"/>
      <w:lvlJc w:val="left"/>
      <w:pPr>
        <w:ind w:left="104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0" w15:restartNumberingAfterBreak="0">
    <w:nsid w:val="47C750DD"/>
    <w:multiLevelType w:val="hybridMultilevel"/>
    <w:tmpl w:val="F35242DE"/>
    <w:lvl w:ilvl="0" w:tplc="8C3E9A8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1" w15:restartNumberingAfterBreak="0">
    <w:nsid w:val="47CA55D5"/>
    <w:multiLevelType w:val="hybridMultilevel"/>
    <w:tmpl w:val="3B04897A"/>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2" w15:restartNumberingAfterBreak="0">
    <w:nsid w:val="4A491328"/>
    <w:multiLevelType w:val="hybridMultilevel"/>
    <w:tmpl w:val="1B02954C"/>
    <w:lvl w:ilvl="0" w:tplc="8C3E9A88">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4A7104BC"/>
    <w:multiLevelType w:val="hybridMultilevel"/>
    <w:tmpl w:val="84B23A38"/>
    <w:lvl w:ilvl="0" w:tplc="8C3E9A8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4" w15:restartNumberingAfterBreak="0">
    <w:nsid w:val="4B763396"/>
    <w:multiLevelType w:val="hybridMultilevel"/>
    <w:tmpl w:val="703C2CCE"/>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5" w15:restartNumberingAfterBreak="0">
    <w:nsid w:val="4CAB6E93"/>
    <w:multiLevelType w:val="hybridMultilevel"/>
    <w:tmpl w:val="8C5E6134"/>
    <w:lvl w:ilvl="0" w:tplc="33CEF61A">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6" w15:restartNumberingAfterBreak="0">
    <w:nsid w:val="4E7C3AFA"/>
    <w:multiLevelType w:val="hybridMultilevel"/>
    <w:tmpl w:val="9900205A"/>
    <w:lvl w:ilvl="0" w:tplc="8C3E9A88">
      <w:start w:val="1"/>
      <w:numFmt w:val="bullet"/>
      <w:lvlText w:val=""/>
      <w:lvlJc w:val="left"/>
      <w:pPr>
        <w:ind w:left="612" w:hanging="360"/>
      </w:pPr>
      <w:rPr>
        <w:rFonts w:ascii="Symbol" w:hAnsi="Symbol" w:hint="default"/>
      </w:rPr>
    </w:lvl>
    <w:lvl w:ilvl="1" w:tplc="8C3E9A88">
      <w:start w:val="1"/>
      <w:numFmt w:val="bullet"/>
      <w:lvlText w:val=""/>
      <w:lvlJc w:val="left"/>
      <w:pPr>
        <w:ind w:left="1332" w:hanging="360"/>
      </w:pPr>
      <w:rPr>
        <w:rFonts w:ascii="Symbol" w:hAnsi="Symbol" w:hint="default"/>
      </w:rPr>
    </w:lvl>
    <w:lvl w:ilvl="2" w:tplc="04220005" w:tentative="1">
      <w:start w:val="1"/>
      <w:numFmt w:val="bullet"/>
      <w:lvlText w:val=""/>
      <w:lvlJc w:val="left"/>
      <w:pPr>
        <w:ind w:left="2052" w:hanging="360"/>
      </w:pPr>
      <w:rPr>
        <w:rFonts w:ascii="Wingdings" w:hAnsi="Wingdings" w:hint="default"/>
      </w:rPr>
    </w:lvl>
    <w:lvl w:ilvl="3" w:tplc="04220001" w:tentative="1">
      <w:start w:val="1"/>
      <w:numFmt w:val="bullet"/>
      <w:lvlText w:val=""/>
      <w:lvlJc w:val="left"/>
      <w:pPr>
        <w:ind w:left="2772" w:hanging="360"/>
      </w:pPr>
      <w:rPr>
        <w:rFonts w:ascii="Symbol" w:hAnsi="Symbol" w:hint="default"/>
      </w:rPr>
    </w:lvl>
    <w:lvl w:ilvl="4" w:tplc="04220003" w:tentative="1">
      <w:start w:val="1"/>
      <w:numFmt w:val="bullet"/>
      <w:lvlText w:val="o"/>
      <w:lvlJc w:val="left"/>
      <w:pPr>
        <w:ind w:left="3492" w:hanging="360"/>
      </w:pPr>
      <w:rPr>
        <w:rFonts w:ascii="Courier New" w:hAnsi="Courier New" w:cs="Courier New" w:hint="default"/>
      </w:rPr>
    </w:lvl>
    <w:lvl w:ilvl="5" w:tplc="04220005" w:tentative="1">
      <w:start w:val="1"/>
      <w:numFmt w:val="bullet"/>
      <w:lvlText w:val=""/>
      <w:lvlJc w:val="left"/>
      <w:pPr>
        <w:ind w:left="4212" w:hanging="360"/>
      </w:pPr>
      <w:rPr>
        <w:rFonts w:ascii="Wingdings" w:hAnsi="Wingdings" w:hint="default"/>
      </w:rPr>
    </w:lvl>
    <w:lvl w:ilvl="6" w:tplc="04220001" w:tentative="1">
      <w:start w:val="1"/>
      <w:numFmt w:val="bullet"/>
      <w:lvlText w:val=""/>
      <w:lvlJc w:val="left"/>
      <w:pPr>
        <w:ind w:left="4932" w:hanging="360"/>
      </w:pPr>
      <w:rPr>
        <w:rFonts w:ascii="Symbol" w:hAnsi="Symbol" w:hint="default"/>
      </w:rPr>
    </w:lvl>
    <w:lvl w:ilvl="7" w:tplc="04220003" w:tentative="1">
      <w:start w:val="1"/>
      <w:numFmt w:val="bullet"/>
      <w:lvlText w:val="o"/>
      <w:lvlJc w:val="left"/>
      <w:pPr>
        <w:ind w:left="5652" w:hanging="360"/>
      </w:pPr>
      <w:rPr>
        <w:rFonts w:ascii="Courier New" w:hAnsi="Courier New" w:cs="Courier New" w:hint="default"/>
      </w:rPr>
    </w:lvl>
    <w:lvl w:ilvl="8" w:tplc="04220005" w:tentative="1">
      <w:start w:val="1"/>
      <w:numFmt w:val="bullet"/>
      <w:lvlText w:val=""/>
      <w:lvlJc w:val="left"/>
      <w:pPr>
        <w:ind w:left="6372" w:hanging="360"/>
      </w:pPr>
      <w:rPr>
        <w:rFonts w:ascii="Wingdings" w:hAnsi="Wingdings" w:hint="default"/>
      </w:rPr>
    </w:lvl>
  </w:abstractNum>
  <w:abstractNum w:abstractNumId="57" w15:restartNumberingAfterBreak="0">
    <w:nsid w:val="52AE1DEA"/>
    <w:multiLevelType w:val="hybridMultilevel"/>
    <w:tmpl w:val="AB241C78"/>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8" w15:restartNumberingAfterBreak="0">
    <w:nsid w:val="5410420C"/>
    <w:multiLevelType w:val="hybridMultilevel"/>
    <w:tmpl w:val="6F28D032"/>
    <w:lvl w:ilvl="0" w:tplc="40CEA8A4">
      <w:start w:val="1"/>
      <w:numFmt w:val="decimal"/>
      <w:lvlText w:val="%1)"/>
      <w:lvlJc w:val="left"/>
      <w:pPr>
        <w:tabs>
          <w:tab w:val="num" w:pos="720"/>
        </w:tabs>
        <w:ind w:left="720" w:hanging="360"/>
      </w:pPr>
      <w:rPr>
        <w:rFonts w:cs="Times New Roman" w:hint="default"/>
        <w:sz w:val="21"/>
        <w:szCs w:val="21"/>
      </w:rPr>
    </w:lvl>
    <w:lvl w:ilvl="1" w:tplc="89D66D68">
      <w:numFmt w:val="bullet"/>
      <w:lvlText w:val="-"/>
      <w:lvlJc w:val="left"/>
      <w:pPr>
        <w:ind w:left="1440" w:hanging="360"/>
      </w:pPr>
      <w:rPr>
        <w:rFonts w:ascii="Times New Roman" w:eastAsiaTheme="minorEastAsia" w:hAnsi="Times New Roman" w:cs="Times New Roman" w:hint="default"/>
      </w:rPr>
    </w:lvl>
    <w:lvl w:ilvl="2" w:tplc="8EF613F4">
      <w:start w:val="1"/>
      <w:numFmt w:val="decimal"/>
      <w:lvlText w:val="%3."/>
      <w:lvlJc w:val="left"/>
      <w:pPr>
        <w:ind w:left="2340" w:hanging="360"/>
      </w:pPr>
      <w:rPr>
        <w:rFonts w:hint="default"/>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57AF0B4A"/>
    <w:multiLevelType w:val="hybridMultilevel"/>
    <w:tmpl w:val="980C9250"/>
    <w:lvl w:ilvl="0" w:tplc="8C3E9A8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0" w15:restartNumberingAfterBreak="0">
    <w:nsid w:val="5ED84515"/>
    <w:multiLevelType w:val="hybridMultilevel"/>
    <w:tmpl w:val="F75411EE"/>
    <w:lvl w:ilvl="0" w:tplc="8C3E9A8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1" w15:restartNumberingAfterBreak="0">
    <w:nsid w:val="603C3245"/>
    <w:multiLevelType w:val="hybridMultilevel"/>
    <w:tmpl w:val="DDC8C940"/>
    <w:lvl w:ilvl="0" w:tplc="104C91C6">
      <w:start w:val="1"/>
      <w:numFmt w:val="bullet"/>
      <w:lvlText w:val="-"/>
      <w:lvlJc w:val="left"/>
      <w:pPr>
        <w:tabs>
          <w:tab w:val="num" w:pos="720"/>
        </w:tabs>
        <w:ind w:left="720" w:hanging="360"/>
      </w:pPr>
      <w:rPr>
        <w:rFonts w:ascii="Times New Roman" w:eastAsia="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61891FC3"/>
    <w:multiLevelType w:val="hybridMultilevel"/>
    <w:tmpl w:val="F6360678"/>
    <w:lvl w:ilvl="0" w:tplc="F1F4D244">
      <w:start w:val="1"/>
      <w:numFmt w:val="bullet"/>
      <w:lvlText w:val="-"/>
      <w:lvlJc w:val="left"/>
      <w:pPr>
        <w:tabs>
          <w:tab w:val="num" w:pos="432"/>
        </w:tabs>
        <w:ind w:left="432" w:hanging="360"/>
      </w:pPr>
      <w:rPr>
        <w:rFonts w:ascii="Times New Roman" w:eastAsia="Times New Roman" w:hAnsi="Times New Roman" w:cs="Times New Roman" w:hint="default"/>
      </w:rPr>
    </w:lvl>
    <w:lvl w:ilvl="1" w:tplc="04220003" w:tentative="1">
      <w:start w:val="1"/>
      <w:numFmt w:val="bullet"/>
      <w:lvlText w:val="o"/>
      <w:lvlJc w:val="left"/>
      <w:pPr>
        <w:tabs>
          <w:tab w:val="num" w:pos="1152"/>
        </w:tabs>
        <w:ind w:left="1152" w:hanging="360"/>
      </w:pPr>
      <w:rPr>
        <w:rFonts w:ascii="Courier New" w:hAnsi="Courier New" w:cs="Courier New" w:hint="default"/>
      </w:rPr>
    </w:lvl>
    <w:lvl w:ilvl="2" w:tplc="04220005" w:tentative="1">
      <w:start w:val="1"/>
      <w:numFmt w:val="bullet"/>
      <w:lvlText w:val=""/>
      <w:lvlJc w:val="left"/>
      <w:pPr>
        <w:tabs>
          <w:tab w:val="num" w:pos="1872"/>
        </w:tabs>
        <w:ind w:left="1872" w:hanging="360"/>
      </w:pPr>
      <w:rPr>
        <w:rFonts w:ascii="Wingdings" w:hAnsi="Wingdings" w:hint="default"/>
      </w:rPr>
    </w:lvl>
    <w:lvl w:ilvl="3" w:tplc="04220001" w:tentative="1">
      <w:start w:val="1"/>
      <w:numFmt w:val="bullet"/>
      <w:lvlText w:val=""/>
      <w:lvlJc w:val="left"/>
      <w:pPr>
        <w:tabs>
          <w:tab w:val="num" w:pos="2592"/>
        </w:tabs>
        <w:ind w:left="2592" w:hanging="360"/>
      </w:pPr>
      <w:rPr>
        <w:rFonts w:ascii="Symbol" w:hAnsi="Symbol" w:hint="default"/>
      </w:rPr>
    </w:lvl>
    <w:lvl w:ilvl="4" w:tplc="04220003" w:tentative="1">
      <w:start w:val="1"/>
      <w:numFmt w:val="bullet"/>
      <w:lvlText w:val="o"/>
      <w:lvlJc w:val="left"/>
      <w:pPr>
        <w:tabs>
          <w:tab w:val="num" w:pos="3312"/>
        </w:tabs>
        <w:ind w:left="3312" w:hanging="360"/>
      </w:pPr>
      <w:rPr>
        <w:rFonts w:ascii="Courier New" w:hAnsi="Courier New" w:cs="Courier New" w:hint="default"/>
      </w:rPr>
    </w:lvl>
    <w:lvl w:ilvl="5" w:tplc="04220005" w:tentative="1">
      <w:start w:val="1"/>
      <w:numFmt w:val="bullet"/>
      <w:lvlText w:val=""/>
      <w:lvlJc w:val="left"/>
      <w:pPr>
        <w:tabs>
          <w:tab w:val="num" w:pos="4032"/>
        </w:tabs>
        <w:ind w:left="4032" w:hanging="360"/>
      </w:pPr>
      <w:rPr>
        <w:rFonts w:ascii="Wingdings" w:hAnsi="Wingdings" w:hint="default"/>
      </w:rPr>
    </w:lvl>
    <w:lvl w:ilvl="6" w:tplc="04220001" w:tentative="1">
      <w:start w:val="1"/>
      <w:numFmt w:val="bullet"/>
      <w:lvlText w:val=""/>
      <w:lvlJc w:val="left"/>
      <w:pPr>
        <w:tabs>
          <w:tab w:val="num" w:pos="4752"/>
        </w:tabs>
        <w:ind w:left="4752" w:hanging="360"/>
      </w:pPr>
      <w:rPr>
        <w:rFonts w:ascii="Symbol" w:hAnsi="Symbol" w:hint="default"/>
      </w:rPr>
    </w:lvl>
    <w:lvl w:ilvl="7" w:tplc="04220003" w:tentative="1">
      <w:start w:val="1"/>
      <w:numFmt w:val="bullet"/>
      <w:lvlText w:val="o"/>
      <w:lvlJc w:val="left"/>
      <w:pPr>
        <w:tabs>
          <w:tab w:val="num" w:pos="5472"/>
        </w:tabs>
        <w:ind w:left="5472" w:hanging="360"/>
      </w:pPr>
      <w:rPr>
        <w:rFonts w:ascii="Courier New" w:hAnsi="Courier New" w:cs="Courier New" w:hint="default"/>
      </w:rPr>
    </w:lvl>
    <w:lvl w:ilvl="8" w:tplc="04220005" w:tentative="1">
      <w:start w:val="1"/>
      <w:numFmt w:val="bullet"/>
      <w:lvlText w:val=""/>
      <w:lvlJc w:val="left"/>
      <w:pPr>
        <w:tabs>
          <w:tab w:val="num" w:pos="6192"/>
        </w:tabs>
        <w:ind w:left="6192" w:hanging="360"/>
      </w:pPr>
      <w:rPr>
        <w:rFonts w:ascii="Wingdings" w:hAnsi="Wingdings" w:hint="default"/>
      </w:rPr>
    </w:lvl>
  </w:abstractNum>
  <w:abstractNum w:abstractNumId="63" w15:restartNumberingAfterBreak="0">
    <w:nsid w:val="676B4F87"/>
    <w:multiLevelType w:val="hybridMultilevel"/>
    <w:tmpl w:val="61F686AE"/>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4" w15:restartNumberingAfterBreak="0">
    <w:nsid w:val="6A201050"/>
    <w:multiLevelType w:val="hybridMultilevel"/>
    <w:tmpl w:val="0B1476AE"/>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5" w15:restartNumberingAfterBreak="0">
    <w:nsid w:val="70B232A1"/>
    <w:multiLevelType w:val="hybridMultilevel"/>
    <w:tmpl w:val="33A467A8"/>
    <w:lvl w:ilvl="0" w:tplc="8C3E9A8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6" w15:restartNumberingAfterBreak="0">
    <w:nsid w:val="73CE0120"/>
    <w:multiLevelType w:val="hybridMultilevel"/>
    <w:tmpl w:val="B45255AC"/>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7" w15:restartNumberingAfterBreak="0">
    <w:nsid w:val="745F3C43"/>
    <w:multiLevelType w:val="hybridMultilevel"/>
    <w:tmpl w:val="40F69D10"/>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8" w15:restartNumberingAfterBreak="0">
    <w:nsid w:val="79ED3CF6"/>
    <w:multiLevelType w:val="hybridMultilevel"/>
    <w:tmpl w:val="C35A045E"/>
    <w:lvl w:ilvl="0" w:tplc="8C3E9A8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9" w15:restartNumberingAfterBreak="0">
    <w:nsid w:val="7A1125A2"/>
    <w:multiLevelType w:val="hybridMultilevel"/>
    <w:tmpl w:val="D6A2C316"/>
    <w:lvl w:ilvl="0" w:tplc="B232CBAA">
      <w:start w:val="1"/>
      <w:numFmt w:val="bullet"/>
      <w:lvlText w:val=""/>
      <w:lvlJc w:val="left"/>
      <w:pPr>
        <w:ind w:left="1429" w:hanging="360"/>
      </w:pPr>
      <w:rPr>
        <w:rFonts w:ascii="Symbol" w:hAnsi="Symbol" w:hint="default"/>
      </w:rPr>
    </w:lvl>
    <w:lvl w:ilvl="1" w:tplc="B232CBAA">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0" w15:restartNumberingAfterBreak="0">
    <w:nsid w:val="7A402DFF"/>
    <w:multiLevelType w:val="hybridMultilevel"/>
    <w:tmpl w:val="A3208C5A"/>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1" w15:restartNumberingAfterBreak="0">
    <w:nsid w:val="7BF66554"/>
    <w:multiLevelType w:val="hybridMultilevel"/>
    <w:tmpl w:val="4C4A2DD8"/>
    <w:lvl w:ilvl="0" w:tplc="8C3E9A8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2" w15:restartNumberingAfterBreak="0">
    <w:nsid w:val="7BFB0EC3"/>
    <w:multiLevelType w:val="hybridMultilevel"/>
    <w:tmpl w:val="09A66938"/>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3" w15:restartNumberingAfterBreak="0">
    <w:nsid w:val="7C175C3A"/>
    <w:multiLevelType w:val="hybridMultilevel"/>
    <w:tmpl w:val="3A809A66"/>
    <w:lvl w:ilvl="0" w:tplc="CB32D90C">
      <w:start w:val="1"/>
      <w:numFmt w:val="decimal"/>
      <w:lvlText w:val="%1"/>
      <w:lvlJc w:val="left"/>
      <w:pPr>
        <w:ind w:left="1211" w:hanging="360"/>
      </w:pPr>
      <w:rPr>
        <w:rFonts w:hint="default"/>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4" w15:restartNumberingAfterBreak="0">
    <w:nsid w:val="7C37137C"/>
    <w:multiLevelType w:val="hybridMultilevel"/>
    <w:tmpl w:val="4D1E04C8"/>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5" w15:restartNumberingAfterBreak="0">
    <w:nsid w:val="7CC26A6F"/>
    <w:multiLevelType w:val="hybridMultilevel"/>
    <w:tmpl w:val="D18C7740"/>
    <w:lvl w:ilvl="0" w:tplc="8C3E9A8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6" w15:restartNumberingAfterBreak="0">
    <w:nsid w:val="7D6C7E8F"/>
    <w:multiLevelType w:val="hybridMultilevel"/>
    <w:tmpl w:val="EC3A2390"/>
    <w:lvl w:ilvl="0" w:tplc="8C3E9A88">
      <w:start w:val="1"/>
      <w:numFmt w:val="bullet"/>
      <w:lvlText w:val=""/>
      <w:lvlJc w:val="left"/>
      <w:pPr>
        <w:tabs>
          <w:tab w:val="num" w:pos="1080"/>
        </w:tabs>
        <w:ind w:left="1080" w:hanging="360"/>
      </w:pPr>
      <w:rPr>
        <w:rFonts w:ascii="Symbol" w:hAnsi="Symbol" w:hint="default"/>
      </w:rPr>
    </w:lvl>
    <w:lvl w:ilvl="1" w:tplc="04220003" w:tentative="1">
      <w:start w:val="1"/>
      <w:numFmt w:val="bullet"/>
      <w:lvlText w:val="o"/>
      <w:lvlJc w:val="left"/>
      <w:pPr>
        <w:tabs>
          <w:tab w:val="num" w:pos="1800"/>
        </w:tabs>
        <w:ind w:left="1800" w:hanging="360"/>
      </w:pPr>
      <w:rPr>
        <w:rFonts w:ascii="Courier New" w:hAnsi="Courier New" w:cs="Courier New" w:hint="default"/>
      </w:rPr>
    </w:lvl>
    <w:lvl w:ilvl="2" w:tplc="04220005" w:tentative="1">
      <w:start w:val="1"/>
      <w:numFmt w:val="bullet"/>
      <w:lvlText w:val=""/>
      <w:lvlJc w:val="left"/>
      <w:pPr>
        <w:tabs>
          <w:tab w:val="num" w:pos="2520"/>
        </w:tabs>
        <w:ind w:left="2520" w:hanging="360"/>
      </w:pPr>
      <w:rPr>
        <w:rFonts w:ascii="Wingdings" w:hAnsi="Wingdings" w:hint="default"/>
      </w:rPr>
    </w:lvl>
    <w:lvl w:ilvl="3" w:tplc="04220001" w:tentative="1">
      <w:start w:val="1"/>
      <w:numFmt w:val="bullet"/>
      <w:lvlText w:val=""/>
      <w:lvlJc w:val="left"/>
      <w:pPr>
        <w:tabs>
          <w:tab w:val="num" w:pos="3240"/>
        </w:tabs>
        <w:ind w:left="3240" w:hanging="360"/>
      </w:pPr>
      <w:rPr>
        <w:rFonts w:ascii="Symbol" w:hAnsi="Symbol" w:hint="default"/>
      </w:rPr>
    </w:lvl>
    <w:lvl w:ilvl="4" w:tplc="04220003" w:tentative="1">
      <w:start w:val="1"/>
      <w:numFmt w:val="bullet"/>
      <w:lvlText w:val="o"/>
      <w:lvlJc w:val="left"/>
      <w:pPr>
        <w:tabs>
          <w:tab w:val="num" w:pos="3960"/>
        </w:tabs>
        <w:ind w:left="3960" w:hanging="360"/>
      </w:pPr>
      <w:rPr>
        <w:rFonts w:ascii="Courier New" w:hAnsi="Courier New" w:cs="Courier New" w:hint="default"/>
      </w:rPr>
    </w:lvl>
    <w:lvl w:ilvl="5" w:tplc="04220005" w:tentative="1">
      <w:start w:val="1"/>
      <w:numFmt w:val="bullet"/>
      <w:lvlText w:val=""/>
      <w:lvlJc w:val="left"/>
      <w:pPr>
        <w:tabs>
          <w:tab w:val="num" w:pos="4680"/>
        </w:tabs>
        <w:ind w:left="4680" w:hanging="360"/>
      </w:pPr>
      <w:rPr>
        <w:rFonts w:ascii="Wingdings" w:hAnsi="Wingdings" w:hint="default"/>
      </w:rPr>
    </w:lvl>
    <w:lvl w:ilvl="6" w:tplc="04220001" w:tentative="1">
      <w:start w:val="1"/>
      <w:numFmt w:val="bullet"/>
      <w:lvlText w:val=""/>
      <w:lvlJc w:val="left"/>
      <w:pPr>
        <w:tabs>
          <w:tab w:val="num" w:pos="5400"/>
        </w:tabs>
        <w:ind w:left="5400" w:hanging="360"/>
      </w:pPr>
      <w:rPr>
        <w:rFonts w:ascii="Symbol" w:hAnsi="Symbol" w:hint="default"/>
      </w:rPr>
    </w:lvl>
    <w:lvl w:ilvl="7" w:tplc="04220003" w:tentative="1">
      <w:start w:val="1"/>
      <w:numFmt w:val="bullet"/>
      <w:lvlText w:val="o"/>
      <w:lvlJc w:val="left"/>
      <w:pPr>
        <w:tabs>
          <w:tab w:val="num" w:pos="6120"/>
        </w:tabs>
        <w:ind w:left="6120" w:hanging="360"/>
      </w:pPr>
      <w:rPr>
        <w:rFonts w:ascii="Courier New" w:hAnsi="Courier New" w:cs="Courier New" w:hint="default"/>
      </w:rPr>
    </w:lvl>
    <w:lvl w:ilvl="8" w:tplc="04220005" w:tentative="1">
      <w:start w:val="1"/>
      <w:numFmt w:val="bullet"/>
      <w:lvlText w:val=""/>
      <w:lvlJc w:val="left"/>
      <w:pPr>
        <w:tabs>
          <w:tab w:val="num" w:pos="6840"/>
        </w:tabs>
        <w:ind w:left="6840" w:hanging="360"/>
      </w:pPr>
      <w:rPr>
        <w:rFonts w:ascii="Wingdings" w:hAnsi="Wingdings" w:hint="default"/>
      </w:rPr>
    </w:lvl>
  </w:abstractNum>
  <w:abstractNum w:abstractNumId="77" w15:restartNumberingAfterBreak="0">
    <w:nsid w:val="7F066609"/>
    <w:multiLevelType w:val="hybridMultilevel"/>
    <w:tmpl w:val="4D226D16"/>
    <w:lvl w:ilvl="0" w:tplc="B232CB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1"/>
  </w:num>
  <w:num w:numId="2">
    <w:abstractNumId w:val="20"/>
  </w:num>
  <w:num w:numId="3">
    <w:abstractNumId w:val="40"/>
  </w:num>
  <w:num w:numId="4">
    <w:abstractNumId w:val="59"/>
  </w:num>
  <w:num w:numId="5">
    <w:abstractNumId w:val="16"/>
  </w:num>
  <w:num w:numId="6">
    <w:abstractNumId w:val="29"/>
  </w:num>
  <w:num w:numId="7">
    <w:abstractNumId w:val="60"/>
  </w:num>
  <w:num w:numId="8">
    <w:abstractNumId w:val="7"/>
  </w:num>
  <w:num w:numId="9">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5"/>
  </w:num>
  <w:num w:numId="11">
    <w:abstractNumId w:val="42"/>
  </w:num>
  <w:num w:numId="12">
    <w:abstractNumId w:val="50"/>
  </w:num>
  <w:num w:numId="13">
    <w:abstractNumId w:val="12"/>
  </w:num>
  <w:num w:numId="14">
    <w:abstractNumId w:val="39"/>
  </w:num>
  <w:num w:numId="15">
    <w:abstractNumId w:val="10"/>
  </w:num>
  <w:num w:numId="16">
    <w:abstractNumId w:val="58"/>
  </w:num>
  <w:num w:numId="17">
    <w:abstractNumId w:val="45"/>
  </w:num>
  <w:num w:numId="18">
    <w:abstractNumId w:val="2"/>
  </w:num>
  <w:num w:numId="19">
    <w:abstractNumId w:val="56"/>
  </w:num>
  <w:num w:numId="20">
    <w:abstractNumId w:val="8"/>
  </w:num>
  <w:num w:numId="21">
    <w:abstractNumId w:val="30"/>
  </w:num>
  <w:num w:numId="22">
    <w:abstractNumId w:val="28"/>
  </w:num>
  <w:num w:numId="23">
    <w:abstractNumId w:val="15"/>
  </w:num>
  <w:num w:numId="24">
    <w:abstractNumId w:val="22"/>
  </w:num>
  <w:num w:numId="25">
    <w:abstractNumId w:val="23"/>
  </w:num>
  <w:num w:numId="26">
    <w:abstractNumId w:val="66"/>
  </w:num>
  <w:num w:numId="27">
    <w:abstractNumId w:val="63"/>
  </w:num>
  <w:num w:numId="28">
    <w:abstractNumId w:val="4"/>
  </w:num>
  <w:num w:numId="29">
    <w:abstractNumId w:val="73"/>
  </w:num>
  <w:num w:numId="30">
    <w:abstractNumId w:val="34"/>
  </w:num>
  <w:num w:numId="31">
    <w:abstractNumId w:val="25"/>
  </w:num>
  <w:num w:numId="32">
    <w:abstractNumId w:val="11"/>
  </w:num>
  <w:num w:numId="33">
    <w:abstractNumId w:val="46"/>
  </w:num>
  <w:num w:numId="34">
    <w:abstractNumId w:val="5"/>
  </w:num>
  <w:num w:numId="35">
    <w:abstractNumId w:val="37"/>
  </w:num>
  <w:num w:numId="36">
    <w:abstractNumId w:val="52"/>
  </w:num>
  <w:num w:numId="37">
    <w:abstractNumId w:val="14"/>
  </w:num>
  <w:num w:numId="38">
    <w:abstractNumId w:val="75"/>
  </w:num>
  <w:num w:numId="39">
    <w:abstractNumId w:val="71"/>
  </w:num>
  <w:num w:numId="40">
    <w:abstractNumId w:val="53"/>
  </w:num>
  <w:num w:numId="41">
    <w:abstractNumId w:val="54"/>
  </w:num>
  <w:num w:numId="42">
    <w:abstractNumId w:val="19"/>
  </w:num>
  <w:num w:numId="43">
    <w:abstractNumId w:val="27"/>
  </w:num>
  <w:num w:numId="44">
    <w:abstractNumId w:val="6"/>
  </w:num>
  <w:num w:numId="45">
    <w:abstractNumId w:val="1"/>
  </w:num>
  <w:num w:numId="46">
    <w:abstractNumId w:val="64"/>
  </w:num>
  <w:num w:numId="47">
    <w:abstractNumId w:val="67"/>
  </w:num>
  <w:num w:numId="48">
    <w:abstractNumId w:val="18"/>
  </w:num>
  <w:num w:numId="49">
    <w:abstractNumId w:val="57"/>
  </w:num>
  <w:num w:numId="50">
    <w:abstractNumId w:val="35"/>
  </w:num>
  <w:num w:numId="51">
    <w:abstractNumId w:val="3"/>
  </w:num>
  <w:num w:numId="52">
    <w:abstractNumId w:val="48"/>
  </w:num>
  <w:num w:numId="53">
    <w:abstractNumId w:val="70"/>
  </w:num>
  <w:num w:numId="54">
    <w:abstractNumId w:val="74"/>
  </w:num>
  <w:num w:numId="55">
    <w:abstractNumId w:val="69"/>
  </w:num>
  <w:num w:numId="56">
    <w:abstractNumId w:val="26"/>
  </w:num>
  <w:num w:numId="57">
    <w:abstractNumId w:val="24"/>
  </w:num>
  <w:num w:numId="58">
    <w:abstractNumId w:val="72"/>
  </w:num>
  <w:num w:numId="59">
    <w:abstractNumId w:val="77"/>
  </w:num>
  <w:num w:numId="60">
    <w:abstractNumId w:val="33"/>
  </w:num>
  <w:num w:numId="61">
    <w:abstractNumId w:val="32"/>
  </w:num>
  <w:num w:numId="62">
    <w:abstractNumId w:val="44"/>
  </w:num>
  <w:num w:numId="63">
    <w:abstractNumId w:val="51"/>
  </w:num>
  <w:num w:numId="64">
    <w:abstractNumId w:val="21"/>
  </w:num>
  <w:num w:numId="65">
    <w:abstractNumId w:val="0"/>
  </w:num>
  <w:num w:numId="66">
    <w:abstractNumId w:val="31"/>
  </w:num>
  <w:num w:numId="6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1"/>
  </w:num>
  <w:num w:numId="69">
    <w:abstractNumId w:val="43"/>
  </w:num>
  <w:num w:numId="70">
    <w:abstractNumId w:val="36"/>
  </w:num>
  <w:num w:numId="71">
    <w:abstractNumId w:val="68"/>
  </w:num>
  <w:num w:numId="72">
    <w:abstractNumId w:val="65"/>
  </w:num>
  <w:num w:numId="73">
    <w:abstractNumId w:val="76"/>
  </w:num>
  <w:num w:numId="74">
    <w:abstractNumId w:val="62"/>
  </w:num>
  <w:num w:numId="75">
    <w:abstractNumId w:val="13"/>
  </w:num>
  <w:num w:numId="76">
    <w:abstractNumId w:val="38"/>
  </w:num>
  <w:num w:numId="77">
    <w:abstractNumId w:val="47"/>
  </w:num>
  <w:num w:numId="78">
    <w:abstractNumId w:val="17"/>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3703"/>
    <w:rsid w:val="00046F7D"/>
    <w:rsid w:val="0008519C"/>
    <w:rsid w:val="000B0D3C"/>
    <w:rsid w:val="000F7C07"/>
    <w:rsid w:val="001610CA"/>
    <w:rsid w:val="00194709"/>
    <w:rsid w:val="00197F22"/>
    <w:rsid w:val="002179DE"/>
    <w:rsid w:val="0023489B"/>
    <w:rsid w:val="00240E4E"/>
    <w:rsid w:val="002758D9"/>
    <w:rsid w:val="00291F85"/>
    <w:rsid w:val="002B60ED"/>
    <w:rsid w:val="003658FB"/>
    <w:rsid w:val="003738F2"/>
    <w:rsid w:val="004A1A45"/>
    <w:rsid w:val="004F5FC6"/>
    <w:rsid w:val="00567CF5"/>
    <w:rsid w:val="005720DB"/>
    <w:rsid w:val="005B0F7B"/>
    <w:rsid w:val="005C5CD0"/>
    <w:rsid w:val="005E04D5"/>
    <w:rsid w:val="006219C6"/>
    <w:rsid w:val="00637B56"/>
    <w:rsid w:val="00662748"/>
    <w:rsid w:val="006725BE"/>
    <w:rsid w:val="006C1B1F"/>
    <w:rsid w:val="00722AF1"/>
    <w:rsid w:val="0073162D"/>
    <w:rsid w:val="00772FFF"/>
    <w:rsid w:val="007D5F7E"/>
    <w:rsid w:val="007F4D40"/>
    <w:rsid w:val="00815BE1"/>
    <w:rsid w:val="00826DB3"/>
    <w:rsid w:val="00827BAF"/>
    <w:rsid w:val="00873076"/>
    <w:rsid w:val="008A05B6"/>
    <w:rsid w:val="008E1EBE"/>
    <w:rsid w:val="00900149"/>
    <w:rsid w:val="00901632"/>
    <w:rsid w:val="009E3F2B"/>
    <w:rsid w:val="009E7249"/>
    <w:rsid w:val="009F7F6F"/>
    <w:rsid w:val="00A273F1"/>
    <w:rsid w:val="00A61E33"/>
    <w:rsid w:val="00B20650"/>
    <w:rsid w:val="00B233DE"/>
    <w:rsid w:val="00B5166C"/>
    <w:rsid w:val="00B84813"/>
    <w:rsid w:val="00B90303"/>
    <w:rsid w:val="00B96633"/>
    <w:rsid w:val="00BC39AF"/>
    <w:rsid w:val="00BC5AB8"/>
    <w:rsid w:val="00BE40F8"/>
    <w:rsid w:val="00BF0F54"/>
    <w:rsid w:val="00C92C70"/>
    <w:rsid w:val="00CC270A"/>
    <w:rsid w:val="00D957E1"/>
    <w:rsid w:val="00D97691"/>
    <w:rsid w:val="00E53703"/>
    <w:rsid w:val="00E90684"/>
    <w:rsid w:val="00E95ECA"/>
    <w:rsid w:val="00EC2A0E"/>
    <w:rsid w:val="00ED0E93"/>
    <w:rsid w:val="00F032BD"/>
    <w:rsid w:val="00F30309"/>
    <w:rsid w:val="00FC1FAF"/>
    <w:rsid w:val="00FC3E63"/>
    <w:rsid w:val="00FE533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55"/>
    <o:shapelayout v:ext="edit">
      <o:idmap v:ext="edit" data="1"/>
    </o:shapelayout>
  </w:shapeDefaults>
  <w:decimalSymbol w:val=","/>
  <w:listSeparator w:val=";"/>
  <w14:docId w14:val="0B77EA2A"/>
  <w15:docId w15:val="{C9C42560-68AB-4708-8D64-2E454E2799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en-US" w:bidi="ar-SA"/>
      </w:rPr>
    </w:rPrDefault>
    <w:pPrDefault>
      <w:pPr>
        <w:ind w:firstLine="3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CC270A"/>
  </w:style>
  <w:style w:type="paragraph" w:styleId="1">
    <w:name w:val="heading 1"/>
    <w:basedOn w:val="a0"/>
    <w:next w:val="a0"/>
    <w:link w:val="10"/>
    <w:uiPriority w:val="9"/>
    <w:qFormat/>
    <w:rsid w:val="00CC270A"/>
    <w:pPr>
      <w:pBdr>
        <w:bottom w:val="single" w:sz="12" w:space="1" w:color="365F91" w:themeColor="accent1" w:themeShade="BF"/>
      </w:pBdr>
      <w:spacing w:before="600" w:after="80"/>
      <w:ind w:firstLine="0"/>
      <w:outlineLvl w:val="0"/>
    </w:pPr>
    <w:rPr>
      <w:rFonts w:asciiTheme="majorHAnsi" w:eastAsiaTheme="majorEastAsia" w:hAnsiTheme="majorHAnsi" w:cstheme="majorBidi"/>
      <w:b/>
      <w:bCs/>
      <w:color w:val="365F91" w:themeColor="accent1" w:themeShade="BF"/>
      <w:sz w:val="24"/>
      <w:szCs w:val="24"/>
    </w:rPr>
  </w:style>
  <w:style w:type="paragraph" w:styleId="2">
    <w:name w:val="heading 2"/>
    <w:basedOn w:val="a0"/>
    <w:next w:val="a0"/>
    <w:link w:val="20"/>
    <w:uiPriority w:val="9"/>
    <w:semiHidden/>
    <w:unhideWhenUsed/>
    <w:qFormat/>
    <w:rsid w:val="00CC270A"/>
    <w:pPr>
      <w:pBdr>
        <w:bottom w:val="single" w:sz="8" w:space="1" w:color="4F81BD" w:themeColor="accent1"/>
      </w:pBdr>
      <w:spacing w:before="200" w:after="80"/>
      <w:ind w:firstLine="0"/>
      <w:outlineLvl w:val="1"/>
    </w:pPr>
    <w:rPr>
      <w:rFonts w:asciiTheme="majorHAnsi" w:eastAsiaTheme="majorEastAsia" w:hAnsiTheme="majorHAnsi" w:cstheme="majorBidi"/>
      <w:color w:val="365F91" w:themeColor="accent1" w:themeShade="BF"/>
      <w:sz w:val="24"/>
      <w:szCs w:val="24"/>
    </w:rPr>
  </w:style>
  <w:style w:type="paragraph" w:styleId="3">
    <w:name w:val="heading 3"/>
    <w:basedOn w:val="a0"/>
    <w:next w:val="a0"/>
    <w:link w:val="30"/>
    <w:uiPriority w:val="9"/>
    <w:semiHidden/>
    <w:unhideWhenUsed/>
    <w:qFormat/>
    <w:rsid w:val="00CC270A"/>
    <w:pPr>
      <w:pBdr>
        <w:bottom w:val="single" w:sz="4" w:space="1" w:color="95B3D7" w:themeColor="accent1" w:themeTint="99"/>
      </w:pBdr>
      <w:spacing w:before="200" w:after="80"/>
      <w:ind w:firstLine="0"/>
      <w:outlineLvl w:val="2"/>
    </w:pPr>
    <w:rPr>
      <w:rFonts w:asciiTheme="majorHAnsi" w:eastAsiaTheme="majorEastAsia" w:hAnsiTheme="majorHAnsi" w:cstheme="majorBidi"/>
      <w:color w:val="4F81BD" w:themeColor="accent1"/>
      <w:sz w:val="24"/>
      <w:szCs w:val="24"/>
    </w:rPr>
  </w:style>
  <w:style w:type="paragraph" w:styleId="4">
    <w:name w:val="heading 4"/>
    <w:basedOn w:val="a0"/>
    <w:next w:val="a0"/>
    <w:link w:val="40"/>
    <w:uiPriority w:val="9"/>
    <w:semiHidden/>
    <w:unhideWhenUsed/>
    <w:qFormat/>
    <w:rsid w:val="00CC270A"/>
    <w:pPr>
      <w:pBdr>
        <w:bottom w:val="single" w:sz="4" w:space="2" w:color="B8CCE4" w:themeColor="accent1" w:themeTint="66"/>
      </w:pBdr>
      <w:spacing w:before="200" w:after="80"/>
      <w:ind w:firstLine="0"/>
      <w:outlineLvl w:val="3"/>
    </w:pPr>
    <w:rPr>
      <w:rFonts w:asciiTheme="majorHAnsi" w:eastAsiaTheme="majorEastAsia" w:hAnsiTheme="majorHAnsi" w:cstheme="majorBidi"/>
      <w:i/>
      <w:iCs/>
      <w:color w:val="4F81BD" w:themeColor="accent1"/>
      <w:sz w:val="24"/>
      <w:szCs w:val="24"/>
    </w:rPr>
  </w:style>
  <w:style w:type="paragraph" w:styleId="5">
    <w:name w:val="heading 5"/>
    <w:basedOn w:val="a0"/>
    <w:next w:val="a0"/>
    <w:link w:val="50"/>
    <w:uiPriority w:val="9"/>
    <w:semiHidden/>
    <w:unhideWhenUsed/>
    <w:qFormat/>
    <w:rsid w:val="00CC270A"/>
    <w:pPr>
      <w:spacing w:before="200" w:after="80"/>
      <w:ind w:firstLine="0"/>
      <w:outlineLvl w:val="4"/>
    </w:pPr>
    <w:rPr>
      <w:rFonts w:asciiTheme="majorHAnsi" w:eastAsiaTheme="majorEastAsia" w:hAnsiTheme="majorHAnsi" w:cstheme="majorBidi"/>
      <w:color w:val="4F81BD" w:themeColor="accent1"/>
    </w:rPr>
  </w:style>
  <w:style w:type="paragraph" w:styleId="6">
    <w:name w:val="heading 6"/>
    <w:basedOn w:val="a0"/>
    <w:next w:val="a0"/>
    <w:link w:val="60"/>
    <w:uiPriority w:val="9"/>
    <w:semiHidden/>
    <w:unhideWhenUsed/>
    <w:qFormat/>
    <w:rsid w:val="00CC270A"/>
    <w:pPr>
      <w:spacing w:before="280" w:after="100"/>
      <w:ind w:firstLine="0"/>
      <w:outlineLvl w:val="5"/>
    </w:pPr>
    <w:rPr>
      <w:rFonts w:asciiTheme="majorHAnsi" w:eastAsiaTheme="majorEastAsia" w:hAnsiTheme="majorHAnsi" w:cstheme="majorBidi"/>
      <w:i/>
      <w:iCs/>
      <w:color w:val="4F81BD" w:themeColor="accent1"/>
    </w:rPr>
  </w:style>
  <w:style w:type="paragraph" w:styleId="7">
    <w:name w:val="heading 7"/>
    <w:basedOn w:val="a0"/>
    <w:next w:val="a0"/>
    <w:link w:val="70"/>
    <w:uiPriority w:val="9"/>
    <w:semiHidden/>
    <w:unhideWhenUsed/>
    <w:qFormat/>
    <w:rsid w:val="00CC270A"/>
    <w:pPr>
      <w:spacing w:before="320" w:after="100"/>
      <w:ind w:firstLine="0"/>
      <w:outlineLvl w:val="6"/>
    </w:pPr>
    <w:rPr>
      <w:rFonts w:asciiTheme="majorHAnsi" w:eastAsiaTheme="majorEastAsia" w:hAnsiTheme="majorHAnsi" w:cstheme="majorBidi"/>
      <w:b/>
      <w:bCs/>
      <w:color w:val="9BBB59" w:themeColor="accent3"/>
      <w:sz w:val="20"/>
      <w:szCs w:val="20"/>
    </w:rPr>
  </w:style>
  <w:style w:type="paragraph" w:styleId="8">
    <w:name w:val="heading 8"/>
    <w:basedOn w:val="a0"/>
    <w:next w:val="a0"/>
    <w:link w:val="80"/>
    <w:uiPriority w:val="9"/>
    <w:semiHidden/>
    <w:unhideWhenUsed/>
    <w:qFormat/>
    <w:rsid w:val="00CC270A"/>
    <w:pPr>
      <w:spacing w:before="320" w:after="100"/>
      <w:ind w:firstLine="0"/>
      <w:outlineLvl w:val="7"/>
    </w:pPr>
    <w:rPr>
      <w:rFonts w:asciiTheme="majorHAnsi" w:eastAsiaTheme="majorEastAsia" w:hAnsiTheme="majorHAnsi" w:cstheme="majorBidi"/>
      <w:b/>
      <w:bCs/>
      <w:i/>
      <w:iCs/>
      <w:color w:val="9BBB59" w:themeColor="accent3"/>
      <w:sz w:val="20"/>
      <w:szCs w:val="20"/>
    </w:rPr>
  </w:style>
  <w:style w:type="paragraph" w:styleId="9">
    <w:name w:val="heading 9"/>
    <w:basedOn w:val="a0"/>
    <w:next w:val="a0"/>
    <w:link w:val="90"/>
    <w:uiPriority w:val="9"/>
    <w:semiHidden/>
    <w:unhideWhenUsed/>
    <w:qFormat/>
    <w:rsid w:val="00CC270A"/>
    <w:pPr>
      <w:spacing w:before="320" w:after="100"/>
      <w:ind w:firstLine="0"/>
      <w:outlineLvl w:val="8"/>
    </w:pPr>
    <w:rPr>
      <w:rFonts w:asciiTheme="majorHAnsi" w:eastAsiaTheme="majorEastAsia" w:hAnsiTheme="majorHAnsi" w:cstheme="majorBidi"/>
      <w:i/>
      <w:iCs/>
      <w:color w:val="9BBB59" w:themeColor="accent3"/>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CC270A"/>
    <w:rPr>
      <w:rFonts w:asciiTheme="majorHAnsi" w:eastAsiaTheme="majorEastAsia" w:hAnsiTheme="majorHAnsi" w:cstheme="majorBidi"/>
      <w:b/>
      <w:bCs/>
      <w:color w:val="365F91" w:themeColor="accent1" w:themeShade="BF"/>
      <w:sz w:val="24"/>
      <w:szCs w:val="24"/>
    </w:rPr>
  </w:style>
  <w:style w:type="character" w:customStyle="1" w:styleId="20">
    <w:name w:val="Заголовок 2 Знак"/>
    <w:basedOn w:val="a1"/>
    <w:link w:val="2"/>
    <w:uiPriority w:val="9"/>
    <w:semiHidden/>
    <w:rsid w:val="00CC270A"/>
    <w:rPr>
      <w:rFonts w:asciiTheme="majorHAnsi" w:eastAsiaTheme="majorEastAsia" w:hAnsiTheme="majorHAnsi" w:cstheme="majorBidi"/>
      <w:color w:val="365F91" w:themeColor="accent1" w:themeShade="BF"/>
      <w:sz w:val="24"/>
      <w:szCs w:val="24"/>
    </w:rPr>
  </w:style>
  <w:style w:type="character" w:customStyle="1" w:styleId="30">
    <w:name w:val="Заголовок 3 Знак"/>
    <w:basedOn w:val="a1"/>
    <w:link w:val="3"/>
    <w:uiPriority w:val="9"/>
    <w:semiHidden/>
    <w:rsid w:val="00CC270A"/>
    <w:rPr>
      <w:rFonts w:asciiTheme="majorHAnsi" w:eastAsiaTheme="majorEastAsia" w:hAnsiTheme="majorHAnsi" w:cstheme="majorBidi"/>
      <w:color w:val="4F81BD" w:themeColor="accent1"/>
      <w:sz w:val="24"/>
      <w:szCs w:val="24"/>
    </w:rPr>
  </w:style>
  <w:style w:type="character" w:customStyle="1" w:styleId="40">
    <w:name w:val="Заголовок 4 Знак"/>
    <w:basedOn w:val="a1"/>
    <w:link w:val="4"/>
    <w:uiPriority w:val="9"/>
    <w:semiHidden/>
    <w:rsid w:val="00CC270A"/>
    <w:rPr>
      <w:rFonts w:asciiTheme="majorHAnsi" w:eastAsiaTheme="majorEastAsia" w:hAnsiTheme="majorHAnsi" w:cstheme="majorBidi"/>
      <w:i/>
      <w:iCs/>
      <w:color w:val="4F81BD" w:themeColor="accent1"/>
      <w:sz w:val="24"/>
      <w:szCs w:val="24"/>
    </w:rPr>
  </w:style>
  <w:style w:type="character" w:customStyle="1" w:styleId="50">
    <w:name w:val="Заголовок 5 Знак"/>
    <w:basedOn w:val="a1"/>
    <w:link w:val="5"/>
    <w:uiPriority w:val="9"/>
    <w:semiHidden/>
    <w:rsid w:val="00CC270A"/>
    <w:rPr>
      <w:rFonts w:asciiTheme="majorHAnsi" w:eastAsiaTheme="majorEastAsia" w:hAnsiTheme="majorHAnsi" w:cstheme="majorBidi"/>
      <w:color w:val="4F81BD" w:themeColor="accent1"/>
    </w:rPr>
  </w:style>
  <w:style w:type="character" w:customStyle="1" w:styleId="60">
    <w:name w:val="Заголовок 6 Знак"/>
    <w:basedOn w:val="a1"/>
    <w:link w:val="6"/>
    <w:uiPriority w:val="9"/>
    <w:semiHidden/>
    <w:rsid w:val="00CC270A"/>
    <w:rPr>
      <w:rFonts w:asciiTheme="majorHAnsi" w:eastAsiaTheme="majorEastAsia" w:hAnsiTheme="majorHAnsi" w:cstheme="majorBidi"/>
      <w:i/>
      <w:iCs/>
      <w:color w:val="4F81BD" w:themeColor="accent1"/>
    </w:rPr>
  </w:style>
  <w:style w:type="character" w:customStyle="1" w:styleId="70">
    <w:name w:val="Заголовок 7 Знак"/>
    <w:basedOn w:val="a1"/>
    <w:link w:val="7"/>
    <w:uiPriority w:val="9"/>
    <w:semiHidden/>
    <w:rsid w:val="00CC270A"/>
    <w:rPr>
      <w:rFonts w:asciiTheme="majorHAnsi" w:eastAsiaTheme="majorEastAsia" w:hAnsiTheme="majorHAnsi" w:cstheme="majorBidi"/>
      <w:b/>
      <w:bCs/>
      <w:color w:val="9BBB59" w:themeColor="accent3"/>
      <w:sz w:val="20"/>
      <w:szCs w:val="20"/>
    </w:rPr>
  </w:style>
  <w:style w:type="character" w:customStyle="1" w:styleId="80">
    <w:name w:val="Заголовок 8 Знак"/>
    <w:basedOn w:val="a1"/>
    <w:link w:val="8"/>
    <w:uiPriority w:val="9"/>
    <w:semiHidden/>
    <w:rsid w:val="00CC270A"/>
    <w:rPr>
      <w:rFonts w:asciiTheme="majorHAnsi" w:eastAsiaTheme="majorEastAsia" w:hAnsiTheme="majorHAnsi" w:cstheme="majorBidi"/>
      <w:b/>
      <w:bCs/>
      <w:i/>
      <w:iCs/>
      <w:color w:val="9BBB59" w:themeColor="accent3"/>
      <w:sz w:val="20"/>
      <w:szCs w:val="20"/>
    </w:rPr>
  </w:style>
  <w:style w:type="character" w:customStyle="1" w:styleId="90">
    <w:name w:val="Заголовок 9 Знак"/>
    <w:basedOn w:val="a1"/>
    <w:link w:val="9"/>
    <w:uiPriority w:val="9"/>
    <w:semiHidden/>
    <w:rsid w:val="00CC270A"/>
    <w:rPr>
      <w:rFonts w:asciiTheme="majorHAnsi" w:eastAsiaTheme="majorEastAsia" w:hAnsiTheme="majorHAnsi" w:cstheme="majorBidi"/>
      <w:i/>
      <w:iCs/>
      <w:color w:val="9BBB59" w:themeColor="accent3"/>
      <w:sz w:val="20"/>
      <w:szCs w:val="20"/>
    </w:rPr>
  </w:style>
  <w:style w:type="paragraph" w:styleId="a4">
    <w:name w:val="caption"/>
    <w:basedOn w:val="a0"/>
    <w:next w:val="a0"/>
    <w:uiPriority w:val="35"/>
    <w:semiHidden/>
    <w:unhideWhenUsed/>
    <w:qFormat/>
    <w:rsid w:val="00CC270A"/>
    <w:rPr>
      <w:b/>
      <w:bCs/>
      <w:sz w:val="18"/>
      <w:szCs w:val="18"/>
    </w:rPr>
  </w:style>
  <w:style w:type="paragraph" w:styleId="a5">
    <w:name w:val="Title"/>
    <w:basedOn w:val="a0"/>
    <w:next w:val="a0"/>
    <w:link w:val="a6"/>
    <w:uiPriority w:val="10"/>
    <w:qFormat/>
    <w:rsid w:val="00CC270A"/>
    <w:pPr>
      <w:pBdr>
        <w:top w:val="single" w:sz="8" w:space="10" w:color="A7BFDE" w:themeColor="accent1" w:themeTint="7F"/>
        <w:bottom w:val="single" w:sz="24" w:space="15" w:color="9BBB59" w:themeColor="accent3"/>
      </w:pBdr>
      <w:ind w:firstLine="0"/>
      <w:jc w:val="center"/>
    </w:pPr>
    <w:rPr>
      <w:rFonts w:asciiTheme="majorHAnsi" w:eastAsiaTheme="majorEastAsia" w:hAnsiTheme="majorHAnsi" w:cstheme="majorBidi"/>
      <w:i/>
      <w:iCs/>
      <w:color w:val="243F60" w:themeColor="accent1" w:themeShade="7F"/>
      <w:sz w:val="60"/>
      <w:szCs w:val="60"/>
    </w:rPr>
  </w:style>
  <w:style w:type="character" w:customStyle="1" w:styleId="a6">
    <w:name w:val="Заголовок Знак"/>
    <w:basedOn w:val="a1"/>
    <w:link w:val="a5"/>
    <w:uiPriority w:val="10"/>
    <w:rsid w:val="00CC270A"/>
    <w:rPr>
      <w:rFonts w:asciiTheme="majorHAnsi" w:eastAsiaTheme="majorEastAsia" w:hAnsiTheme="majorHAnsi" w:cstheme="majorBidi"/>
      <w:i/>
      <w:iCs/>
      <w:color w:val="243F60" w:themeColor="accent1" w:themeShade="7F"/>
      <w:sz w:val="60"/>
      <w:szCs w:val="60"/>
    </w:rPr>
  </w:style>
  <w:style w:type="paragraph" w:styleId="a7">
    <w:name w:val="Subtitle"/>
    <w:basedOn w:val="a0"/>
    <w:next w:val="a0"/>
    <w:link w:val="a8"/>
    <w:uiPriority w:val="11"/>
    <w:qFormat/>
    <w:rsid w:val="00CC270A"/>
    <w:pPr>
      <w:spacing w:before="200" w:after="900"/>
      <w:ind w:firstLine="0"/>
      <w:jc w:val="right"/>
    </w:pPr>
    <w:rPr>
      <w:i/>
      <w:iCs/>
      <w:sz w:val="24"/>
      <w:szCs w:val="24"/>
    </w:rPr>
  </w:style>
  <w:style w:type="character" w:customStyle="1" w:styleId="a8">
    <w:name w:val="Подзаголовок Знак"/>
    <w:basedOn w:val="a1"/>
    <w:link w:val="a7"/>
    <w:uiPriority w:val="11"/>
    <w:rsid w:val="00CC270A"/>
    <w:rPr>
      <w:i/>
      <w:iCs/>
      <w:sz w:val="24"/>
      <w:szCs w:val="24"/>
    </w:rPr>
  </w:style>
  <w:style w:type="character" w:styleId="a9">
    <w:name w:val="Strong"/>
    <w:basedOn w:val="a1"/>
    <w:uiPriority w:val="22"/>
    <w:qFormat/>
    <w:rsid w:val="00CC270A"/>
    <w:rPr>
      <w:b/>
      <w:bCs/>
      <w:spacing w:val="0"/>
    </w:rPr>
  </w:style>
  <w:style w:type="character" w:styleId="aa">
    <w:name w:val="Emphasis"/>
    <w:uiPriority w:val="20"/>
    <w:qFormat/>
    <w:rsid w:val="00CC270A"/>
    <w:rPr>
      <w:b/>
      <w:bCs/>
      <w:i/>
      <w:iCs/>
      <w:color w:val="5A5A5A" w:themeColor="text1" w:themeTint="A5"/>
    </w:rPr>
  </w:style>
  <w:style w:type="paragraph" w:styleId="ab">
    <w:name w:val="No Spacing"/>
    <w:basedOn w:val="a0"/>
    <w:link w:val="ac"/>
    <w:uiPriority w:val="1"/>
    <w:qFormat/>
    <w:rsid w:val="00CC270A"/>
    <w:pPr>
      <w:ind w:firstLine="0"/>
    </w:pPr>
  </w:style>
  <w:style w:type="character" w:customStyle="1" w:styleId="ac">
    <w:name w:val="Без интервала Знак"/>
    <w:basedOn w:val="a1"/>
    <w:link w:val="ab"/>
    <w:uiPriority w:val="1"/>
    <w:rsid w:val="00CC270A"/>
  </w:style>
  <w:style w:type="paragraph" w:styleId="ad">
    <w:name w:val="List Paragraph"/>
    <w:basedOn w:val="a0"/>
    <w:uiPriority w:val="34"/>
    <w:qFormat/>
    <w:rsid w:val="00CC270A"/>
    <w:pPr>
      <w:ind w:left="720"/>
      <w:contextualSpacing/>
    </w:pPr>
  </w:style>
  <w:style w:type="paragraph" w:styleId="21">
    <w:name w:val="Quote"/>
    <w:basedOn w:val="a0"/>
    <w:next w:val="a0"/>
    <w:link w:val="22"/>
    <w:uiPriority w:val="29"/>
    <w:qFormat/>
    <w:rsid w:val="00CC270A"/>
    <w:rPr>
      <w:rFonts w:asciiTheme="majorHAnsi" w:eastAsiaTheme="majorEastAsia" w:hAnsiTheme="majorHAnsi" w:cstheme="majorBidi"/>
      <w:i/>
      <w:iCs/>
      <w:color w:val="5A5A5A" w:themeColor="text1" w:themeTint="A5"/>
    </w:rPr>
  </w:style>
  <w:style w:type="character" w:customStyle="1" w:styleId="22">
    <w:name w:val="Цитата 2 Знак"/>
    <w:basedOn w:val="a1"/>
    <w:link w:val="21"/>
    <w:uiPriority w:val="29"/>
    <w:rsid w:val="00CC270A"/>
    <w:rPr>
      <w:rFonts w:asciiTheme="majorHAnsi" w:eastAsiaTheme="majorEastAsia" w:hAnsiTheme="majorHAnsi" w:cstheme="majorBidi"/>
      <w:i/>
      <w:iCs/>
      <w:color w:val="5A5A5A" w:themeColor="text1" w:themeTint="A5"/>
    </w:rPr>
  </w:style>
  <w:style w:type="paragraph" w:styleId="ae">
    <w:name w:val="Intense Quote"/>
    <w:basedOn w:val="a0"/>
    <w:next w:val="a0"/>
    <w:link w:val="af"/>
    <w:uiPriority w:val="30"/>
    <w:qFormat/>
    <w:rsid w:val="00CC270A"/>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af">
    <w:name w:val="Выделенная цитата Знак"/>
    <w:basedOn w:val="a1"/>
    <w:link w:val="ae"/>
    <w:uiPriority w:val="30"/>
    <w:rsid w:val="00CC270A"/>
    <w:rPr>
      <w:rFonts w:asciiTheme="majorHAnsi" w:eastAsiaTheme="majorEastAsia" w:hAnsiTheme="majorHAnsi" w:cstheme="majorBidi"/>
      <w:i/>
      <w:iCs/>
      <w:color w:val="FFFFFF" w:themeColor="background1"/>
      <w:sz w:val="24"/>
      <w:szCs w:val="24"/>
      <w:shd w:val="clear" w:color="auto" w:fill="4F81BD" w:themeFill="accent1"/>
    </w:rPr>
  </w:style>
  <w:style w:type="character" w:styleId="af0">
    <w:name w:val="Subtle Emphasis"/>
    <w:uiPriority w:val="19"/>
    <w:qFormat/>
    <w:rsid w:val="00CC270A"/>
    <w:rPr>
      <w:i/>
      <w:iCs/>
      <w:color w:val="5A5A5A" w:themeColor="text1" w:themeTint="A5"/>
    </w:rPr>
  </w:style>
  <w:style w:type="character" w:styleId="af1">
    <w:name w:val="Intense Emphasis"/>
    <w:uiPriority w:val="21"/>
    <w:qFormat/>
    <w:rsid w:val="00CC270A"/>
    <w:rPr>
      <w:b/>
      <w:bCs/>
      <w:i/>
      <w:iCs/>
      <w:color w:val="4F81BD" w:themeColor="accent1"/>
      <w:sz w:val="22"/>
      <w:szCs w:val="22"/>
    </w:rPr>
  </w:style>
  <w:style w:type="character" w:styleId="af2">
    <w:name w:val="Subtle Reference"/>
    <w:uiPriority w:val="31"/>
    <w:qFormat/>
    <w:rsid w:val="00CC270A"/>
    <w:rPr>
      <w:color w:val="auto"/>
      <w:u w:val="single" w:color="9BBB59" w:themeColor="accent3"/>
    </w:rPr>
  </w:style>
  <w:style w:type="character" w:styleId="af3">
    <w:name w:val="Intense Reference"/>
    <w:basedOn w:val="a1"/>
    <w:uiPriority w:val="32"/>
    <w:qFormat/>
    <w:rsid w:val="00CC270A"/>
    <w:rPr>
      <w:b/>
      <w:bCs/>
      <w:color w:val="76923C" w:themeColor="accent3" w:themeShade="BF"/>
      <w:u w:val="single" w:color="9BBB59" w:themeColor="accent3"/>
    </w:rPr>
  </w:style>
  <w:style w:type="character" w:styleId="af4">
    <w:name w:val="Book Title"/>
    <w:basedOn w:val="a1"/>
    <w:uiPriority w:val="33"/>
    <w:qFormat/>
    <w:rsid w:val="00CC270A"/>
    <w:rPr>
      <w:rFonts w:asciiTheme="majorHAnsi" w:eastAsiaTheme="majorEastAsia" w:hAnsiTheme="majorHAnsi" w:cstheme="majorBidi"/>
      <w:b/>
      <w:bCs/>
      <w:i/>
      <w:iCs/>
      <w:color w:val="auto"/>
    </w:rPr>
  </w:style>
  <w:style w:type="paragraph" w:styleId="af5">
    <w:name w:val="TOC Heading"/>
    <w:basedOn w:val="1"/>
    <w:next w:val="a0"/>
    <w:uiPriority w:val="39"/>
    <w:semiHidden/>
    <w:unhideWhenUsed/>
    <w:qFormat/>
    <w:rsid w:val="00CC270A"/>
    <w:pPr>
      <w:outlineLvl w:val="9"/>
    </w:pPr>
    <w:rPr>
      <w:lang w:bidi="en-US"/>
    </w:rPr>
  </w:style>
  <w:style w:type="paragraph" w:styleId="af6">
    <w:name w:val="header"/>
    <w:basedOn w:val="a0"/>
    <w:link w:val="af7"/>
    <w:uiPriority w:val="99"/>
    <w:unhideWhenUsed/>
    <w:rsid w:val="00B233DE"/>
    <w:pPr>
      <w:tabs>
        <w:tab w:val="center" w:pos="4819"/>
        <w:tab w:val="right" w:pos="9639"/>
      </w:tabs>
    </w:pPr>
  </w:style>
  <w:style w:type="character" w:customStyle="1" w:styleId="af7">
    <w:name w:val="Верхний колонтитул Знак"/>
    <w:basedOn w:val="a1"/>
    <w:link w:val="af6"/>
    <w:uiPriority w:val="99"/>
    <w:rsid w:val="00B233DE"/>
  </w:style>
  <w:style w:type="paragraph" w:styleId="af8">
    <w:name w:val="footer"/>
    <w:basedOn w:val="a0"/>
    <w:link w:val="af9"/>
    <w:uiPriority w:val="99"/>
    <w:unhideWhenUsed/>
    <w:rsid w:val="00B233DE"/>
    <w:pPr>
      <w:tabs>
        <w:tab w:val="center" w:pos="4819"/>
        <w:tab w:val="right" w:pos="9639"/>
      </w:tabs>
    </w:pPr>
  </w:style>
  <w:style w:type="character" w:customStyle="1" w:styleId="af9">
    <w:name w:val="Нижний колонтитул Знак"/>
    <w:basedOn w:val="a1"/>
    <w:link w:val="af8"/>
    <w:uiPriority w:val="99"/>
    <w:rsid w:val="00B233DE"/>
  </w:style>
  <w:style w:type="character" w:customStyle="1" w:styleId="afa">
    <w:name w:val="Основний текст_"/>
    <w:link w:val="afb"/>
    <w:rsid w:val="00B233DE"/>
    <w:rPr>
      <w:rFonts w:ascii="Times New Roman" w:eastAsia="Times New Roman" w:hAnsi="Times New Roman" w:cs="Times New Roman"/>
      <w:sz w:val="19"/>
      <w:szCs w:val="19"/>
      <w:shd w:val="clear" w:color="auto" w:fill="FFFFFF"/>
    </w:rPr>
  </w:style>
  <w:style w:type="paragraph" w:customStyle="1" w:styleId="afb">
    <w:name w:val="Основний текст"/>
    <w:basedOn w:val="a0"/>
    <w:link w:val="afa"/>
    <w:rsid w:val="00B233DE"/>
    <w:pPr>
      <w:shd w:val="clear" w:color="auto" w:fill="FFFFFF"/>
      <w:spacing w:before="300" w:line="250" w:lineRule="exact"/>
      <w:ind w:firstLine="0"/>
    </w:pPr>
    <w:rPr>
      <w:rFonts w:ascii="Times New Roman" w:eastAsia="Times New Roman" w:hAnsi="Times New Roman" w:cs="Times New Roman"/>
      <w:sz w:val="19"/>
      <w:szCs w:val="19"/>
    </w:rPr>
  </w:style>
  <w:style w:type="paragraph" w:styleId="afc">
    <w:name w:val="Body Text Indent"/>
    <w:aliases w:val="Основной текст с отступом Знак Знак"/>
    <w:basedOn w:val="a0"/>
    <w:link w:val="afd"/>
    <w:rsid w:val="00B233DE"/>
    <w:pPr>
      <w:tabs>
        <w:tab w:val="num" w:pos="792"/>
      </w:tabs>
      <w:spacing w:line="360" w:lineRule="auto"/>
      <w:ind w:firstLine="709"/>
      <w:jc w:val="both"/>
    </w:pPr>
    <w:rPr>
      <w:rFonts w:ascii="Times New Roman" w:eastAsia="Calibri" w:hAnsi="Times New Roman" w:cs="Times New Roman"/>
      <w:sz w:val="28"/>
      <w:szCs w:val="28"/>
      <w:lang w:eastAsia="uk-UA"/>
    </w:rPr>
  </w:style>
  <w:style w:type="character" w:customStyle="1" w:styleId="afd">
    <w:name w:val="Основной текст с отступом Знак"/>
    <w:aliases w:val="Основной текст с отступом Знак Знак Знак"/>
    <w:basedOn w:val="a1"/>
    <w:link w:val="afc"/>
    <w:rsid w:val="00B233DE"/>
    <w:rPr>
      <w:rFonts w:ascii="Times New Roman" w:eastAsia="Calibri" w:hAnsi="Times New Roman" w:cs="Times New Roman"/>
      <w:sz w:val="28"/>
      <w:szCs w:val="28"/>
      <w:lang w:eastAsia="uk-UA"/>
    </w:rPr>
  </w:style>
  <w:style w:type="table" w:styleId="afe">
    <w:name w:val="Table Grid"/>
    <w:basedOn w:val="a2"/>
    <w:uiPriority w:val="99"/>
    <w:rsid w:val="00B233DE"/>
    <w:pPr>
      <w:ind w:firstLine="0"/>
    </w:pPr>
    <w:rPr>
      <w:rFonts w:ascii="Times New Roman" w:eastAsia="SimSu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Абзац списка1"/>
    <w:basedOn w:val="a0"/>
    <w:rsid w:val="00B233DE"/>
    <w:pPr>
      <w:spacing w:after="200" w:line="276" w:lineRule="auto"/>
      <w:ind w:left="720" w:firstLine="0"/>
    </w:pPr>
    <w:rPr>
      <w:rFonts w:ascii="Calibri" w:eastAsia="Times New Roman" w:hAnsi="Calibri" w:cs="Times New Roman"/>
    </w:rPr>
  </w:style>
  <w:style w:type="character" w:styleId="aff">
    <w:name w:val="Hyperlink"/>
    <w:basedOn w:val="a1"/>
    <w:uiPriority w:val="99"/>
    <w:rsid w:val="00B233DE"/>
    <w:rPr>
      <w:color w:val="0000FF"/>
      <w:u w:val="single"/>
    </w:rPr>
  </w:style>
  <w:style w:type="paragraph" w:customStyle="1" w:styleId="23">
    <w:name w:val="Абзац списка2"/>
    <w:basedOn w:val="a0"/>
    <w:rsid w:val="00B233DE"/>
    <w:pPr>
      <w:spacing w:after="200" w:line="276" w:lineRule="auto"/>
      <w:ind w:left="720" w:firstLine="0"/>
    </w:pPr>
    <w:rPr>
      <w:rFonts w:ascii="Calibri" w:eastAsia="Times New Roman" w:hAnsi="Calibri" w:cs="Times New Roman"/>
    </w:rPr>
  </w:style>
  <w:style w:type="paragraph" w:styleId="aff0">
    <w:name w:val="footnote text"/>
    <w:aliases w:val="-++,Текст сноски-FN,Знак,Footnote Text Char Знак Знак,Footnote Text Char Знак,Текст сноски Знак Знак Знак,Текст сноски Знак Знак Знак Знак,Текст сноски Знак Знак,Table_Footnote_last Знак,Table_Footnote_last Знак Знак Знак"/>
    <w:basedOn w:val="a0"/>
    <w:link w:val="aff1"/>
    <w:rsid w:val="00B233DE"/>
    <w:pPr>
      <w:overflowPunct w:val="0"/>
      <w:autoSpaceDE w:val="0"/>
      <w:autoSpaceDN w:val="0"/>
      <w:adjustRightInd w:val="0"/>
      <w:ind w:firstLine="0"/>
      <w:textAlignment w:val="baseline"/>
    </w:pPr>
    <w:rPr>
      <w:rFonts w:ascii="Times New Roman" w:eastAsia="Times New Roman" w:hAnsi="Times New Roman" w:cs="Times New Roman"/>
      <w:sz w:val="20"/>
      <w:szCs w:val="20"/>
      <w:lang w:val="en-GB" w:eastAsia="ru-RU"/>
    </w:rPr>
  </w:style>
  <w:style w:type="character" w:customStyle="1" w:styleId="aff1">
    <w:name w:val="Текст сноски Знак"/>
    <w:aliases w:val="-++ Знак,Текст сноски-FN Знак,Знак Знак,Footnote Text Char Знак Знак Знак,Footnote Text Char Знак Знак1,Текст сноски Знак Знак Знак Знак1,Текст сноски Знак Знак Знак Знак Знак,Текст сноски Знак Знак Знак1,Table_Footnote_last Знак Знак"/>
    <w:basedOn w:val="a1"/>
    <w:link w:val="aff0"/>
    <w:rsid w:val="00B233DE"/>
    <w:rPr>
      <w:rFonts w:ascii="Times New Roman" w:eastAsia="Times New Roman" w:hAnsi="Times New Roman" w:cs="Times New Roman"/>
      <w:sz w:val="20"/>
      <w:szCs w:val="20"/>
      <w:lang w:val="en-GB" w:eastAsia="ru-RU"/>
    </w:rPr>
  </w:style>
  <w:style w:type="character" w:customStyle="1" w:styleId="FontStyle17">
    <w:name w:val="Font Style17"/>
    <w:rsid w:val="00B233DE"/>
    <w:rPr>
      <w:rFonts w:ascii="Times New Roman" w:hAnsi="Times New Roman" w:cs="Times New Roman"/>
      <w:sz w:val="22"/>
      <w:szCs w:val="22"/>
    </w:rPr>
  </w:style>
  <w:style w:type="paragraph" w:customStyle="1" w:styleId="31">
    <w:name w:val="Абзац списка3"/>
    <w:basedOn w:val="a0"/>
    <w:rsid w:val="00B233DE"/>
    <w:pPr>
      <w:spacing w:after="200" w:line="276" w:lineRule="auto"/>
      <w:ind w:left="720" w:firstLine="0"/>
    </w:pPr>
    <w:rPr>
      <w:rFonts w:ascii="Calibri" w:eastAsia="Times New Roman" w:hAnsi="Calibri" w:cs="Times New Roman"/>
    </w:rPr>
  </w:style>
  <w:style w:type="character" w:styleId="aff2">
    <w:name w:val="Placeholder Text"/>
    <w:basedOn w:val="a1"/>
    <w:uiPriority w:val="99"/>
    <w:semiHidden/>
    <w:rsid w:val="00B233DE"/>
    <w:rPr>
      <w:color w:val="808080"/>
    </w:rPr>
  </w:style>
  <w:style w:type="paragraph" w:styleId="aff3">
    <w:name w:val="Balloon Text"/>
    <w:basedOn w:val="a0"/>
    <w:link w:val="aff4"/>
    <w:uiPriority w:val="99"/>
    <w:semiHidden/>
    <w:unhideWhenUsed/>
    <w:rsid w:val="00B233DE"/>
    <w:rPr>
      <w:rFonts w:ascii="Tahoma" w:hAnsi="Tahoma" w:cs="Tahoma"/>
      <w:sz w:val="16"/>
      <w:szCs w:val="16"/>
    </w:rPr>
  </w:style>
  <w:style w:type="character" w:customStyle="1" w:styleId="aff4">
    <w:name w:val="Текст выноски Знак"/>
    <w:basedOn w:val="a1"/>
    <w:link w:val="aff3"/>
    <w:uiPriority w:val="99"/>
    <w:semiHidden/>
    <w:rsid w:val="00B233DE"/>
    <w:rPr>
      <w:rFonts w:ascii="Tahoma" w:hAnsi="Tahoma" w:cs="Tahoma"/>
      <w:sz w:val="16"/>
      <w:szCs w:val="16"/>
    </w:rPr>
  </w:style>
  <w:style w:type="character" w:customStyle="1" w:styleId="apple-converted-space">
    <w:name w:val="apple-converted-space"/>
    <w:basedOn w:val="a1"/>
    <w:rsid w:val="00B233DE"/>
  </w:style>
  <w:style w:type="character" w:customStyle="1" w:styleId="maintitle">
    <w:name w:val="maintitle"/>
    <w:basedOn w:val="a1"/>
    <w:rsid w:val="00B233DE"/>
  </w:style>
  <w:style w:type="paragraph" w:styleId="aff5">
    <w:name w:val="Normal (Web)"/>
    <w:basedOn w:val="a0"/>
    <w:unhideWhenUsed/>
    <w:rsid w:val="00B233DE"/>
    <w:pPr>
      <w:spacing w:before="100" w:beforeAutospacing="1" w:after="100" w:afterAutospacing="1"/>
      <w:ind w:firstLine="0"/>
    </w:pPr>
    <w:rPr>
      <w:rFonts w:ascii="Times New Roman" w:eastAsia="Times New Roman" w:hAnsi="Times New Roman" w:cs="Times New Roman"/>
      <w:sz w:val="24"/>
      <w:szCs w:val="24"/>
      <w:lang w:eastAsia="uk-UA"/>
    </w:rPr>
  </w:style>
  <w:style w:type="paragraph" w:customStyle="1" w:styleId="articledetails">
    <w:name w:val="articledetails"/>
    <w:basedOn w:val="a0"/>
    <w:rsid w:val="00B233DE"/>
    <w:pPr>
      <w:spacing w:before="100" w:beforeAutospacing="1" w:after="100" w:afterAutospacing="1"/>
      <w:ind w:firstLine="0"/>
    </w:pPr>
    <w:rPr>
      <w:rFonts w:ascii="Times New Roman" w:eastAsia="Times New Roman" w:hAnsi="Times New Roman" w:cs="Times New Roman"/>
      <w:sz w:val="24"/>
      <w:szCs w:val="24"/>
      <w:lang w:eastAsia="uk-UA"/>
    </w:rPr>
  </w:style>
  <w:style w:type="paragraph" w:customStyle="1" w:styleId="12">
    <w:name w:val="1"/>
    <w:basedOn w:val="a0"/>
    <w:rsid w:val="00B233DE"/>
    <w:pPr>
      <w:spacing w:before="100" w:beforeAutospacing="1" w:after="100" w:afterAutospacing="1"/>
      <w:ind w:firstLine="0"/>
    </w:pPr>
    <w:rPr>
      <w:rFonts w:ascii="Times New Roman" w:eastAsia="Times New Roman" w:hAnsi="Times New Roman" w:cs="Times New Roman"/>
      <w:sz w:val="24"/>
      <w:szCs w:val="24"/>
      <w:lang w:val="ru-RU" w:eastAsia="ru-RU"/>
    </w:rPr>
  </w:style>
  <w:style w:type="character" w:customStyle="1" w:styleId="A00">
    <w:name w:val="A0"/>
    <w:rsid w:val="00B233DE"/>
    <w:rPr>
      <w:color w:val="000000"/>
    </w:rPr>
  </w:style>
  <w:style w:type="paragraph" w:customStyle="1" w:styleId="51">
    <w:name w:val="Знак Знак5 Знак Знак Знак Знак"/>
    <w:basedOn w:val="a0"/>
    <w:rsid w:val="00B233DE"/>
    <w:pPr>
      <w:spacing w:after="120"/>
      <w:ind w:firstLine="0"/>
    </w:pPr>
    <w:rPr>
      <w:rFonts w:ascii="Verdana" w:eastAsia="Times New Roman" w:hAnsi="Verdana" w:cs="Verdana"/>
      <w:sz w:val="20"/>
      <w:szCs w:val="20"/>
      <w:lang w:val="en-US"/>
    </w:rPr>
  </w:style>
  <w:style w:type="paragraph" w:customStyle="1" w:styleId="aff6">
    <w:name w:val="Знак Знак Знак Знак Знак"/>
    <w:basedOn w:val="a0"/>
    <w:rsid w:val="00B233DE"/>
    <w:pPr>
      <w:ind w:firstLine="0"/>
    </w:pPr>
    <w:rPr>
      <w:rFonts w:ascii="Verdana" w:eastAsia="Times New Roman" w:hAnsi="Verdana" w:cs="Verdana"/>
      <w:sz w:val="20"/>
      <w:szCs w:val="20"/>
      <w:lang w:val="en-US"/>
    </w:rPr>
  </w:style>
  <w:style w:type="character" w:customStyle="1" w:styleId="aff7">
    <w:name w:val="Основной текст Знак"/>
    <w:aliases w:val="Основной текст Знак2 Знак,Основной текст Знак Знак1 Знак,Основной текст Знак Знак Знак1 Знак,Основной текст Знак Знак Знак Знак Знак Знак Знак,Основной текст Знак Знак Знак Знак Знак1 Знак,Основной текст Знак1 Знак Знак"/>
    <w:basedOn w:val="a1"/>
    <w:link w:val="aff8"/>
    <w:semiHidden/>
    <w:locked/>
    <w:rsid w:val="00B233DE"/>
    <w:rPr>
      <w:rFonts w:ascii="Calibri" w:hAnsi="Calibri"/>
      <w:lang w:val="ru-RU" w:eastAsia="ru-RU"/>
    </w:rPr>
  </w:style>
  <w:style w:type="paragraph" w:styleId="aff8">
    <w:name w:val="Body Text"/>
    <w:aliases w:val="Основной текст Знак2,Основной текст Знак Знак1,Основной текст Знак Знак Знак1,Основной текст Знак Знак Знак Знак Знак Знак,Основной текст Знак Знак Знак Знак Знак1,Основной текст Знак1 Знак,Основной текст Знак Знак"/>
    <w:basedOn w:val="a0"/>
    <w:link w:val="aff7"/>
    <w:semiHidden/>
    <w:rsid w:val="00B233DE"/>
    <w:pPr>
      <w:spacing w:after="120" w:line="276" w:lineRule="auto"/>
      <w:ind w:firstLine="0"/>
    </w:pPr>
    <w:rPr>
      <w:rFonts w:ascii="Calibri" w:hAnsi="Calibri"/>
      <w:lang w:val="ru-RU" w:eastAsia="ru-RU"/>
    </w:rPr>
  </w:style>
  <w:style w:type="character" w:customStyle="1" w:styleId="13">
    <w:name w:val="Основной текст Знак1"/>
    <w:basedOn w:val="a1"/>
    <w:uiPriority w:val="99"/>
    <w:semiHidden/>
    <w:rsid w:val="00B233DE"/>
  </w:style>
  <w:style w:type="character" w:customStyle="1" w:styleId="24">
    <w:name w:val="Основной текст 2 Знак"/>
    <w:basedOn w:val="a1"/>
    <w:link w:val="25"/>
    <w:semiHidden/>
    <w:locked/>
    <w:rsid w:val="00B233DE"/>
    <w:rPr>
      <w:rFonts w:ascii="Calibri" w:hAnsi="Calibri"/>
      <w:shd w:val="clear" w:color="auto" w:fill="FFFF00"/>
      <w:lang w:val="ru-RU" w:eastAsia="ru-RU"/>
    </w:rPr>
  </w:style>
  <w:style w:type="paragraph" w:styleId="25">
    <w:name w:val="Body Text 2"/>
    <w:basedOn w:val="a0"/>
    <w:link w:val="24"/>
    <w:semiHidden/>
    <w:rsid w:val="00B233DE"/>
    <w:pPr>
      <w:shd w:val="clear" w:color="auto" w:fill="FFFF00"/>
      <w:ind w:firstLine="720"/>
      <w:jc w:val="both"/>
    </w:pPr>
    <w:rPr>
      <w:rFonts w:ascii="Calibri" w:hAnsi="Calibri"/>
      <w:lang w:val="ru-RU" w:eastAsia="ru-RU"/>
    </w:rPr>
  </w:style>
  <w:style w:type="character" w:customStyle="1" w:styleId="210">
    <w:name w:val="Основной текст 2 Знак1"/>
    <w:basedOn w:val="a1"/>
    <w:uiPriority w:val="99"/>
    <w:semiHidden/>
    <w:rsid w:val="00B233DE"/>
  </w:style>
  <w:style w:type="character" w:customStyle="1" w:styleId="32">
    <w:name w:val="Основной текст с отступом 3 Знак"/>
    <w:basedOn w:val="a1"/>
    <w:link w:val="33"/>
    <w:semiHidden/>
    <w:locked/>
    <w:rsid w:val="00B233DE"/>
    <w:rPr>
      <w:lang w:eastAsia="uk-UA"/>
    </w:rPr>
  </w:style>
  <w:style w:type="paragraph" w:styleId="33">
    <w:name w:val="Body Text Indent 3"/>
    <w:basedOn w:val="a0"/>
    <w:link w:val="32"/>
    <w:semiHidden/>
    <w:rsid w:val="00B233DE"/>
    <w:pPr>
      <w:ind w:firstLine="709"/>
      <w:jc w:val="both"/>
    </w:pPr>
    <w:rPr>
      <w:lang w:eastAsia="uk-UA"/>
    </w:rPr>
  </w:style>
  <w:style w:type="character" w:customStyle="1" w:styleId="310">
    <w:name w:val="Основной текст с отступом 3 Знак1"/>
    <w:basedOn w:val="a1"/>
    <w:uiPriority w:val="99"/>
    <w:semiHidden/>
    <w:rsid w:val="00B233DE"/>
    <w:rPr>
      <w:sz w:val="16"/>
      <w:szCs w:val="16"/>
    </w:rPr>
  </w:style>
  <w:style w:type="paragraph" w:styleId="HTML">
    <w:name w:val="HTML Preformatted"/>
    <w:basedOn w:val="a0"/>
    <w:link w:val="HTML0"/>
    <w:rsid w:val="00B2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pPr>
    <w:rPr>
      <w:rFonts w:ascii="Courier New" w:eastAsia="Times New Roman" w:hAnsi="Courier New" w:cs="Courier New"/>
      <w:sz w:val="20"/>
      <w:szCs w:val="20"/>
      <w:lang w:val="ru-RU" w:eastAsia="ja-JP"/>
    </w:rPr>
  </w:style>
  <w:style w:type="character" w:customStyle="1" w:styleId="HTML0">
    <w:name w:val="Стандартный HTML Знак"/>
    <w:basedOn w:val="a1"/>
    <w:link w:val="HTML"/>
    <w:rsid w:val="00B233DE"/>
    <w:rPr>
      <w:rFonts w:ascii="Courier New" w:eastAsia="Times New Roman" w:hAnsi="Courier New" w:cs="Courier New"/>
      <w:sz w:val="20"/>
      <w:szCs w:val="20"/>
      <w:lang w:val="ru-RU" w:eastAsia="ja-JP"/>
    </w:rPr>
  </w:style>
  <w:style w:type="paragraph" w:customStyle="1" w:styleId="14">
    <w:name w:val="Без интервала1"/>
    <w:rsid w:val="00B233DE"/>
    <w:pPr>
      <w:ind w:firstLine="0"/>
    </w:pPr>
    <w:rPr>
      <w:rFonts w:ascii="Calibri" w:eastAsia="Times New Roman" w:hAnsi="Calibri" w:cs="Calibri"/>
    </w:rPr>
  </w:style>
  <w:style w:type="character" w:customStyle="1" w:styleId="title1">
    <w:name w:val="title1"/>
    <w:basedOn w:val="a1"/>
    <w:rsid w:val="00B233DE"/>
    <w:rPr>
      <w:b/>
      <w:bCs/>
      <w:sz w:val="21"/>
      <w:szCs w:val="21"/>
    </w:rPr>
  </w:style>
  <w:style w:type="paragraph" w:customStyle="1" w:styleId="aff9">
    <w:name w:val="заг разд"/>
    <w:basedOn w:val="a0"/>
    <w:rsid w:val="00B233DE"/>
    <w:pPr>
      <w:spacing w:before="240" w:after="240"/>
      <w:ind w:firstLine="0"/>
      <w:jc w:val="center"/>
    </w:pPr>
    <w:rPr>
      <w:rFonts w:ascii="Times New Roman" w:eastAsia="Times New Roman" w:hAnsi="Times New Roman" w:cs="Times New Roman"/>
      <w:b/>
      <w:sz w:val="28"/>
      <w:szCs w:val="20"/>
      <w:lang w:eastAsia="ru-RU"/>
    </w:rPr>
  </w:style>
  <w:style w:type="character" w:customStyle="1" w:styleId="googqs-tidbit-2">
    <w:name w:val="goog_qs-tidbit-2"/>
    <w:basedOn w:val="a1"/>
    <w:rsid w:val="00B233DE"/>
  </w:style>
  <w:style w:type="character" w:customStyle="1" w:styleId="googqs-tidbit-3">
    <w:name w:val="goog_qs-tidbit-3"/>
    <w:basedOn w:val="a1"/>
    <w:rsid w:val="00B233DE"/>
  </w:style>
  <w:style w:type="character" w:customStyle="1" w:styleId="issue">
    <w:name w:val="issue"/>
    <w:basedOn w:val="a1"/>
    <w:rsid w:val="00B233DE"/>
  </w:style>
  <w:style w:type="character" w:customStyle="1" w:styleId="15">
    <w:name w:val="Название1"/>
    <w:basedOn w:val="a1"/>
    <w:rsid w:val="00B233DE"/>
  </w:style>
  <w:style w:type="character" w:customStyle="1" w:styleId="ft">
    <w:name w:val="ft"/>
    <w:basedOn w:val="a1"/>
    <w:rsid w:val="00B233DE"/>
  </w:style>
  <w:style w:type="paragraph" w:styleId="affa">
    <w:name w:val="endnote text"/>
    <w:basedOn w:val="a0"/>
    <w:link w:val="affb"/>
    <w:semiHidden/>
    <w:rsid w:val="00B233DE"/>
    <w:pPr>
      <w:ind w:firstLine="0"/>
    </w:pPr>
    <w:rPr>
      <w:rFonts w:ascii="Times New Roman" w:eastAsia="Times New Roman" w:hAnsi="Times New Roman" w:cs="Times New Roman"/>
      <w:sz w:val="20"/>
      <w:szCs w:val="20"/>
      <w:lang w:eastAsia="ru-RU"/>
    </w:rPr>
  </w:style>
  <w:style w:type="character" w:customStyle="1" w:styleId="affb">
    <w:name w:val="Текст концевой сноски Знак"/>
    <w:basedOn w:val="a1"/>
    <w:link w:val="affa"/>
    <w:semiHidden/>
    <w:rsid w:val="00B233DE"/>
    <w:rPr>
      <w:rFonts w:ascii="Times New Roman" w:eastAsia="Times New Roman" w:hAnsi="Times New Roman" w:cs="Times New Roman"/>
      <w:sz w:val="20"/>
      <w:szCs w:val="20"/>
      <w:lang w:eastAsia="ru-RU"/>
    </w:rPr>
  </w:style>
  <w:style w:type="paragraph" w:customStyle="1" w:styleId="Default">
    <w:name w:val="Default"/>
    <w:rsid w:val="00B233DE"/>
    <w:pPr>
      <w:autoSpaceDE w:val="0"/>
      <w:autoSpaceDN w:val="0"/>
      <w:adjustRightInd w:val="0"/>
      <w:ind w:firstLine="0"/>
    </w:pPr>
    <w:rPr>
      <w:rFonts w:ascii="Times New Roman" w:eastAsia="MS Mincho" w:hAnsi="Times New Roman" w:cs="Times New Roman"/>
      <w:color w:val="000000"/>
      <w:sz w:val="24"/>
      <w:szCs w:val="24"/>
      <w:lang w:val="ru-RU" w:eastAsia="ja-JP"/>
    </w:rPr>
  </w:style>
  <w:style w:type="paragraph" w:customStyle="1" w:styleId="41">
    <w:name w:val="Абзац списка4"/>
    <w:basedOn w:val="a0"/>
    <w:rsid w:val="00B233DE"/>
    <w:pPr>
      <w:ind w:left="720" w:firstLine="0"/>
      <w:contextualSpacing/>
    </w:pPr>
    <w:rPr>
      <w:rFonts w:ascii="Times New Roman" w:eastAsia="Calibri" w:hAnsi="Times New Roman" w:cs="Times New Roman"/>
      <w:sz w:val="24"/>
      <w:szCs w:val="24"/>
      <w:lang w:val="ru-RU" w:eastAsia="ru-RU"/>
    </w:rPr>
  </w:style>
  <w:style w:type="character" w:customStyle="1" w:styleId="w">
    <w:name w:val="w"/>
    <w:basedOn w:val="a1"/>
    <w:rsid w:val="00B233DE"/>
  </w:style>
  <w:style w:type="character" w:styleId="affc">
    <w:name w:val="page number"/>
    <w:basedOn w:val="a1"/>
    <w:rsid w:val="00B233DE"/>
    <w:rPr>
      <w:rFonts w:cs="Times New Roman"/>
    </w:rPr>
  </w:style>
  <w:style w:type="character" w:customStyle="1" w:styleId="heading">
    <w:name w:val="heading"/>
    <w:basedOn w:val="a1"/>
    <w:rsid w:val="00B233DE"/>
  </w:style>
  <w:style w:type="character" w:styleId="HTML1">
    <w:name w:val="HTML Cite"/>
    <w:rsid w:val="00B233DE"/>
    <w:rPr>
      <w:i/>
      <w:iCs/>
    </w:rPr>
  </w:style>
  <w:style w:type="character" w:customStyle="1" w:styleId="xfmc6">
    <w:name w:val="xfmc6"/>
    <w:basedOn w:val="a1"/>
    <w:rsid w:val="00B233DE"/>
  </w:style>
  <w:style w:type="character" w:customStyle="1" w:styleId="z3988">
    <w:name w:val="z3988"/>
    <w:basedOn w:val="a1"/>
    <w:rsid w:val="00B233DE"/>
  </w:style>
  <w:style w:type="character" w:customStyle="1" w:styleId="heading1">
    <w:name w:val="heading1"/>
    <w:basedOn w:val="a1"/>
    <w:rsid w:val="00B233DE"/>
  </w:style>
  <w:style w:type="character" w:customStyle="1" w:styleId="heading4">
    <w:name w:val="heading4"/>
    <w:basedOn w:val="a1"/>
    <w:rsid w:val="00B233DE"/>
  </w:style>
  <w:style w:type="character" w:customStyle="1" w:styleId="xfmc7">
    <w:name w:val="xfmc7"/>
    <w:basedOn w:val="a1"/>
    <w:rsid w:val="00B233DE"/>
  </w:style>
  <w:style w:type="character" w:customStyle="1" w:styleId="hps">
    <w:name w:val="hps"/>
    <w:basedOn w:val="a1"/>
    <w:rsid w:val="00B233DE"/>
    <w:rPr>
      <w:rFonts w:cs="Times New Roman"/>
    </w:rPr>
  </w:style>
  <w:style w:type="character" w:customStyle="1" w:styleId="rvts23">
    <w:name w:val="rvts23"/>
    <w:basedOn w:val="a1"/>
    <w:rsid w:val="00B233DE"/>
    <w:rPr>
      <w:rFonts w:cs="Times New Roman"/>
    </w:rPr>
  </w:style>
  <w:style w:type="paragraph" w:customStyle="1" w:styleId="Maintext">
    <w:name w:val="Main text Знак Знак"/>
    <w:basedOn w:val="a0"/>
    <w:uiPriority w:val="99"/>
    <w:rsid w:val="00B233DE"/>
    <w:pPr>
      <w:widowControl w:val="0"/>
      <w:autoSpaceDE w:val="0"/>
      <w:autoSpaceDN w:val="0"/>
      <w:adjustRightInd w:val="0"/>
      <w:spacing w:line="360" w:lineRule="auto"/>
      <w:ind w:firstLine="432"/>
      <w:jc w:val="both"/>
    </w:pPr>
    <w:rPr>
      <w:rFonts w:ascii="Times New Roman" w:eastAsia="Times New Roman" w:hAnsi="Times New Roman" w:cs="Times New Roman"/>
      <w:sz w:val="24"/>
      <w:szCs w:val="24"/>
    </w:rPr>
  </w:style>
  <w:style w:type="character" w:styleId="affd">
    <w:name w:val="footnote reference"/>
    <w:basedOn w:val="a1"/>
    <w:semiHidden/>
    <w:rsid w:val="00B233DE"/>
    <w:rPr>
      <w:rFonts w:cs="Times New Roman"/>
      <w:vertAlign w:val="superscript"/>
    </w:rPr>
  </w:style>
  <w:style w:type="character" w:customStyle="1" w:styleId="rvts6">
    <w:name w:val="rvts6"/>
    <w:basedOn w:val="a1"/>
    <w:uiPriority w:val="99"/>
    <w:rsid w:val="00B233DE"/>
    <w:rPr>
      <w:rFonts w:ascii="Times New Roman" w:hAnsi="Times New Roman" w:cs="Times New Roman"/>
      <w:sz w:val="24"/>
      <w:szCs w:val="24"/>
    </w:rPr>
  </w:style>
  <w:style w:type="character" w:customStyle="1" w:styleId="rvts7">
    <w:name w:val="rvts7"/>
    <w:basedOn w:val="a1"/>
    <w:uiPriority w:val="99"/>
    <w:rsid w:val="00B233DE"/>
    <w:rPr>
      <w:rFonts w:ascii="Times New Roman" w:hAnsi="Times New Roman" w:cs="Times New Roman"/>
      <w:color w:val="000000"/>
      <w:sz w:val="24"/>
      <w:szCs w:val="24"/>
    </w:rPr>
  </w:style>
  <w:style w:type="character" w:customStyle="1" w:styleId="rvts8">
    <w:name w:val="rvts8"/>
    <w:basedOn w:val="a1"/>
    <w:uiPriority w:val="99"/>
    <w:rsid w:val="00B233DE"/>
    <w:rPr>
      <w:rFonts w:ascii="Times New Roman" w:hAnsi="Times New Roman" w:cs="Times New Roman"/>
      <w:color w:val="000000"/>
      <w:sz w:val="24"/>
      <w:szCs w:val="24"/>
    </w:rPr>
  </w:style>
  <w:style w:type="character" w:customStyle="1" w:styleId="citation">
    <w:name w:val="citation"/>
    <w:basedOn w:val="a1"/>
    <w:uiPriority w:val="99"/>
    <w:rsid w:val="00B233DE"/>
    <w:rPr>
      <w:rFonts w:cs="Times New Roman"/>
    </w:rPr>
  </w:style>
  <w:style w:type="character" w:customStyle="1" w:styleId="FontStyle22">
    <w:name w:val="Font Style22"/>
    <w:basedOn w:val="a1"/>
    <w:uiPriority w:val="99"/>
    <w:rsid w:val="00B233DE"/>
    <w:rPr>
      <w:rFonts w:ascii="Times New Roman" w:hAnsi="Times New Roman" w:cs="Times New Roman"/>
      <w:sz w:val="24"/>
      <w:szCs w:val="24"/>
    </w:rPr>
  </w:style>
  <w:style w:type="character" w:customStyle="1" w:styleId="st1">
    <w:name w:val="st1"/>
    <w:basedOn w:val="a1"/>
    <w:uiPriority w:val="99"/>
    <w:rsid w:val="00B233DE"/>
    <w:rPr>
      <w:rFonts w:cs="Times New Roman"/>
    </w:rPr>
  </w:style>
  <w:style w:type="character" w:customStyle="1" w:styleId="rvts0">
    <w:name w:val="rvts0"/>
    <w:basedOn w:val="a1"/>
    <w:rsid w:val="00B233DE"/>
    <w:rPr>
      <w:rFonts w:cs="Times New Roman"/>
    </w:rPr>
  </w:style>
  <w:style w:type="paragraph" w:styleId="affe">
    <w:name w:val="Block Text"/>
    <w:basedOn w:val="a0"/>
    <w:unhideWhenUsed/>
    <w:rsid w:val="00B233DE"/>
    <w:pPr>
      <w:spacing w:line="360" w:lineRule="auto"/>
      <w:ind w:left="540" w:right="-81" w:hanging="540"/>
    </w:pPr>
    <w:rPr>
      <w:rFonts w:ascii="Times New Roman" w:eastAsia="Times New Roman" w:hAnsi="Times New Roman" w:cs="Times New Roman"/>
      <w:sz w:val="28"/>
      <w:szCs w:val="28"/>
      <w:lang w:eastAsia="uk-UA"/>
    </w:rPr>
  </w:style>
  <w:style w:type="paragraph" w:customStyle="1" w:styleId="52">
    <w:name w:val="Абзац списка5"/>
    <w:basedOn w:val="a0"/>
    <w:rsid w:val="00B233DE"/>
    <w:pPr>
      <w:spacing w:after="200" w:line="276" w:lineRule="auto"/>
      <w:ind w:left="720" w:firstLine="0"/>
      <w:jc w:val="center"/>
    </w:pPr>
    <w:rPr>
      <w:rFonts w:ascii="Calibri" w:eastAsia="Times New Roman" w:hAnsi="Calibri" w:cs="Times New Roman"/>
      <w:lang w:val="ru-RU"/>
    </w:rPr>
  </w:style>
  <w:style w:type="paragraph" w:styleId="a">
    <w:name w:val="List Bullet"/>
    <w:basedOn w:val="a0"/>
    <w:autoRedefine/>
    <w:rsid w:val="0023489B"/>
    <w:pPr>
      <w:numPr>
        <w:numId w:val="65"/>
      </w:numPr>
      <w:tabs>
        <w:tab w:val="left" w:pos="851"/>
      </w:tabs>
      <w:spacing w:line="360" w:lineRule="auto"/>
      <w:jc w:val="both"/>
    </w:pPr>
    <w:rPr>
      <w:rFonts w:ascii="Times New Roman" w:eastAsia="Times New Roman" w:hAnsi="Times New Roman" w:cs="Times New Roman"/>
      <w:sz w:val="28"/>
      <w:szCs w:val="20"/>
      <w:lang w:eastAsia="ru-RU"/>
    </w:rPr>
  </w:style>
  <w:style w:type="paragraph" w:customStyle="1" w:styleId="61">
    <w:name w:val="Абзац списка6"/>
    <w:basedOn w:val="a0"/>
    <w:rsid w:val="0023489B"/>
    <w:pPr>
      <w:spacing w:after="200" w:line="276" w:lineRule="auto"/>
      <w:ind w:left="720" w:firstLine="0"/>
      <w:jc w:val="center"/>
    </w:pPr>
    <w:rPr>
      <w:rFonts w:ascii="Calibri" w:eastAsia="Times New Roman" w:hAnsi="Calibri" w:cs="Times New Roman"/>
      <w:lang w:val="ru-RU"/>
    </w:rPr>
  </w:style>
  <w:style w:type="character" w:customStyle="1" w:styleId="rvts64">
    <w:name w:val="rvts64"/>
    <w:basedOn w:val="a1"/>
    <w:rsid w:val="00A61E33"/>
  </w:style>
  <w:style w:type="character" w:customStyle="1" w:styleId="rvts44">
    <w:name w:val="rvts44"/>
    <w:basedOn w:val="a1"/>
    <w:rsid w:val="005C5CD0"/>
  </w:style>
  <w:style w:type="paragraph" w:customStyle="1" w:styleId="afff">
    <w:name w:val=" Знак Знак Знак Знак Знак"/>
    <w:basedOn w:val="a0"/>
    <w:rsid w:val="00D957E1"/>
    <w:pPr>
      <w:ind w:firstLine="0"/>
    </w:pPr>
    <w:rPr>
      <w:rFonts w:ascii="Verdana" w:eastAsia="Times New Roman" w:hAnsi="Verdana" w:cs="Verdana"/>
      <w:color w:val="000000"/>
      <w:sz w:val="20"/>
      <w:szCs w:val="20"/>
      <w:lang w:val="en-US"/>
    </w:rPr>
  </w:style>
  <w:style w:type="paragraph" w:customStyle="1" w:styleId="afff0">
    <w:name w:val="Стандарт"/>
    <w:rsid w:val="00D957E1"/>
    <w:pPr>
      <w:widowControl w:val="0"/>
      <w:autoSpaceDE w:val="0"/>
      <w:autoSpaceDN w:val="0"/>
      <w:adjustRightInd w:val="0"/>
      <w:ind w:firstLine="0"/>
    </w:pPr>
    <w:rPr>
      <w:rFonts w:ascii="Times New Roman" w:eastAsia="Times New Roman" w:hAnsi="Times New Roman" w:cs="Times New Roman"/>
      <w:sz w:val="24"/>
      <w:szCs w:val="24"/>
      <w:lang w:val="ru-RU"/>
    </w:rPr>
  </w:style>
  <w:style w:type="paragraph" w:customStyle="1" w:styleId="Style26">
    <w:name w:val="Style26"/>
    <w:basedOn w:val="a0"/>
    <w:rsid w:val="00D957E1"/>
    <w:pPr>
      <w:widowControl w:val="0"/>
      <w:autoSpaceDE w:val="0"/>
      <w:autoSpaceDN w:val="0"/>
      <w:adjustRightInd w:val="0"/>
      <w:ind w:firstLine="0"/>
      <w:jc w:val="center"/>
    </w:pPr>
    <w:rPr>
      <w:rFonts w:ascii="Times New Roman" w:eastAsia="Times New Roman" w:hAnsi="Times New Roman" w:cs="Times New Roman"/>
      <w:sz w:val="24"/>
      <w:szCs w:val="24"/>
      <w:lang w:val="ru-RU" w:eastAsia="ru-RU"/>
    </w:rPr>
  </w:style>
  <w:style w:type="character" w:customStyle="1" w:styleId="FontStyle47">
    <w:name w:val="Font Style47"/>
    <w:rsid w:val="00D957E1"/>
    <w:rPr>
      <w:rFonts w:ascii="Times New Roman"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6.png"/><Relationship Id="rId117" Type="http://schemas.openxmlformats.org/officeDocument/2006/relationships/hyperlink" Target="http://www.hdr.undp.org/en/reports/global/hdr2009/.../HDRP_2009_57.pdf" TargetMode="External"/><Relationship Id="rId21" Type="http://schemas.openxmlformats.org/officeDocument/2006/relationships/image" Target="media/image1.jpeg"/><Relationship Id="rId42" Type="http://schemas.openxmlformats.org/officeDocument/2006/relationships/hyperlink" Target="http://pon.org.ua" TargetMode="External"/><Relationship Id="rId47" Type="http://schemas.openxmlformats.org/officeDocument/2006/relationships/hyperlink" Target="http://zakon2.rada.gov.ua/laws/show/2235-14" TargetMode="External"/><Relationship Id="rId63" Type="http://schemas.openxmlformats.org/officeDocument/2006/relationships/header" Target="header3.xml"/><Relationship Id="rId68" Type="http://schemas.openxmlformats.org/officeDocument/2006/relationships/chart" Target="charts/chart6.xml"/><Relationship Id="rId84" Type="http://schemas.openxmlformats.org/officeDocument/2006/relationships/oleObject" Target="embeddings/Microsoft_Excel_97-2003_Worksheet2.xls"/><Relationship Id="rId89" Type="http://schemas.openxmlformats.org/officeDocument/2006/relationships/image" Target="media/image27.emf"/><Relationship Id="rId112" Type="http://schemas.openxmlformats.org/officeDocument/2006/relationships/hyperlink" Target="http://publications.iom.int/bookstore/free/MRS43.pdf" TargetMode="External"/><Relationship Id="rId133" Type="http://schemas.openxmlformats.org/officeDocument/2006/relationships/hyperlink" Target="http://zakon2.rada.gov.ua/laws/show/385-2014-%D0%BF" TargetMode="External"/><Relationship Id="rId138" Type="http://schemas.openxmlformats.org/officeDocument/2006/relationships/hyperlink" Target="http://elibrary.kubg.edu.ua/6866/1/H_Alokhina" TargetMode="External"/><Relationship Id="rId16" Type="http://schemas.openxmlformats.org/officeDocument/2006/relationships/hyperlink" Target="http://www.nber.org/chapters/c3808.pdf" TargetMode="External"/><Relationship Id="rId107" Type="http://schemas.openxmlformats.org/officeDocument/2006/relationships/hyperlink" Target="http://mev.lac.lviv.ua/page.php?pageId=76" TargetMode="External"/><Relationship Id="rId11" Type="http://schemas.openxmlformats.org/officeDocument/2006/relationships/hyperlink" Target="http://www.gumer.info/bibliotek_Buks/Econom/kond/index.php" TargetMode="External"/><Relationship Id="rId32" Type="http://schemas.openxmlformats.org/officeDocument/2006/relationships/image" Target="media/image12.png"/><Relationship Id="rId37" Type="http://schemas.openxmlformats.org/officeDocument/2006/relationships/hyperlink" Target="http://mises.org/books/Essay_on_economic_theory_cantillon.pdf" TargetMode="External"/><Relationship Id="rId53" Type="http://schemas.openxmlformats.org/officeDocument/2006/relationships/hyperlink" Target="http://zakon.nau.ua/doc/?uid=1008.6381.0" TargetMode="External"/><Relationship Id="rId58" Type="http://schemas.openxmlformats.org/officeDocument/2006/relationships/footer" Target="footer5.xml"/><Relationship Id="rId74" Type="http://schemas.openxmlformats.org/officeDocument/2006/relationships/image" Target="media/image20.emf"/><Relationship Id="rId79" Type="http://schemas.openxmlformats.org/officeDocument/2006/relationships/image" Target="media/image22.emf"/><Relationship Id="rId102" Type="http://schemas.openxmlformats.org/officeDocument/2006/relationships/hyperlink" Target="http://www.ilo.org/public/russian/region/eurpro/moscow/.../mz_ee_pres_ru.pdf" TargetMode="External"/><Relationship Id="rId123" Type="http://schemas.openxmlformats.org/officeDocument/2006/relationships/hyperlink" Target="http://www.portalus.ru/%20modiiles/philosophy/" TargetMode="External"/><Relationship Id="rId128" Type="http://schemas.openxmlformats.org/officeDocument/2006/relationships/image" Target="media/image32.jpeg"/><Relationship Id="rId144" Type="http://schemas.openxmlformats.org/officeDocument/2006/relationships/image" Target="media/image34.emf"/><Relationship Id="rId5" Type="http://schemas.openxmlformats.org/officeDocument/2006/relationships/footnotes" Target="footnotes.xml"/><Relationship Id="rId90" Type="http://schemas.openxmlformats.org/officeDocument/2006/relationships/package" Target="embeddings/Microsoft_Excel_Worksheet9.xlsx"/><Relationship Id="rId95" Type="http://schemas.openxmlformats.org/officeDocument/2006/relationships/image" Target="media/image31.emf"/><Relationship Id="rId22" Type="http://schemas.openxmlformats.org/officeDocument/2006/relationships/image" Target="media/image2.png"/><Relationship Id="rId27" Type="http://schemas.openxmlformats.org/officeDocument/2006/relationships/image" Target="media/image7.png"/><Relationship Id="rId43"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48" Type="http://schemas.openxmlformats.org/officeDocument/2006/relationships/hyperlink" Target="http://zakon3.rada.gov.ua/laws/show/1001-2006-%D0%BF" TargetMode="External"/><Relationship Id="rId64" Type="http://schemas.openxmlformats.org/officeDocument/2006/relationships/footer" Target="footer7.xml"/><Relationship Id="rId69" Type="http://schemas.openxmlformats.org/officeDocument/2006/relationships/image" Target="media/image16.emf"/><Relationship Id="rId113" Type="http://schemas.openxmlformats.org/officeDocument/2006/relationships/hyperlink" Target="http://www.weforum.org/issues/global-competitiveness" TargetMode="External"/><Relationship Id="rId118" Type="http://schemas.openxmlformats.org/officeDocument/2006/relationships/hyperlink" Target="http://www.etf.europa.eu/pubmgmt.nsf/%28getAttachment%29/0305917BB9684A9FC125755F00460682/$File/NOTE7PBGXZ.pdf" TargetMode="External"/><Relationship Id="rId134" Type="http://schemas.openxmlformats.org/officeDocument/2006/relationships/hyperlink" Target="http://zakon4.rada.gov.ua/laws/show/213-2015-%D1%80" TargetMode="External"/><Relationship Id="rId139" Type="http://schemas.openxmlformats.org/officeDocument/2006/relationships/hyperlink" Target="http://www.edupolicy.org.ua/files/Bucharest_Communique" TargetMode="External"/><Relationship Id="rId80" Type="http://schemas.openxmlformats.org/officeDocument/2006/relationships/oleObject" Target="embeddings/Microsoft_Excel_97-2003_Worksheet1.xls"/><Relationship Id="rId85" Type="http://schemas.openxmlformats.org/officeDocument/2006/relationships/image" Target="media/image25.emf"/><Relationship Id="rId3" Type="http://schemas.openxmlformats.org/officeDocument/2006/relationships/settings" Target="settings.xml"/><Relationship Id="rId12" Type="http://schemas.openxmlformats.org/officeDocument/2006/relationships/hyperlink" Target="http://ru.wikipedia.org/w/index.php?title=%D0%AF%D0%BA%D0%BE%D0%B2%D0%B5%D1%86,_%D0%AE%D1%80%D0%B8%D0%B9_%D0%92%D0%BB%D0%B0%D0%B4%D0%B8%D0%BC%D0%B8%D1%80%D0%BE%D0%B2%D0%B8%D1%87&amp;action=edit&amp;redlink=1" TargetMode="External"/><Relationship Id="rId17" Type="http://schemas.openxmlformats.org/officeDocument/2006/relationships/hyperlink" Target="https://www.marxists.org/reference/subject/economics/keynes/%20general-theory/" TargetMode="External"/><Relationship Id="rId25" Type="http://schemas.openxmlformats.org/officeDocument/2006/relationships/image" Target="media/image5.png"/><Relationship Id="rId33" Type="http://schemas.openxmlformats.org/officeDocument/2006/relationships/chart" Target="charts/chart1.xml"/><Relationship Id="rId38" Type="http://schemas.openxmlformats.org/officeDocument/2006/relationships/hyperlink" Target="http://search.ligazakon.ua/l_doc2.nsf/link1/MU14097.html" TargetMode="External"/><Relationship Id="rId46" Type="http://schemas.openxmlformats.org/officeDocument/2006/relationships/hyperlink" Target="http://www.president.gov.ua/news/17307.html" TargetMode="External"/><Relationship Id="rId59" Type="http://schemas.openxmlformats.org/officeDocument/2006/relationships/image" Target="media/image13.emf"/><Relationship Id="rId67" Type="http://schemas.openxmlformats.org/officeDocument/2006/relationships/chart" Target="charts/chart5.xml"/><Relationship Id="rId103" Type="http://schemas.openxmlformats.org/officeDocument/2006/relationships/hyperlink" Target="http://www.scnm.gov.ua/control/uk/publish/article;jsessionid=D9B3164C241DE297407DDFA816804B31?art_id=134359&amp;cat_id=47922" TargetMode="External"/><Relationship Id="rId108" Type="http://schemas.openxmlformats.org/officeDocument/2006/relationships/hyperlink" Target="http://www.etf.europa.eu/pubmgmt.nsf/%28getAttachment%29/35847CEC6861C207C12574B9005665F4/$File/NOTE7J5LFR.pdf" TargetMode="External"/><Relationship Id="rId116" Type="http://schemas.openxmlformats.org/officeDocument/2006/relationships/hyperlink" Target="http://siteresources.worldbank.org/INTPROSPECTS/Resources/334934-1288990760745/MigrationDevelopmentBrief20.pdf" TargetMode="External"/><Relationship Id="rId124" Type="http://schemas.openxmlformats.org/officeDocument/2006/relationships/hyperlink" Target="http://irbis-nbuv.gov.ua/cgi-bin/irbis_nbuv/cgiirbis_64.exe?C21COM=2&amp;I21DBN=UJRN&amp;P21DBN=UJRN&amp;IMAGE_FILE_DOWNLOAD=1&amp;Image_file_name=PDF/DeBu_2012_2_50.pdf" TargetMode="External"/><Relationship Id="rId129" Type="http://schemas.openxmlformats.org/officeDocument/2006/relationships/image" Target="media/image33.jpeg"/><Relationship Id="rId137" Type="http://schemas.openxmlformats.org/officeDocument/2006/relationships/hyperlink" Target="http://old.niss.gov.ua/Monitor/November/18.htm" TargetMode="External"/><Relationship Id="rId20" Type="http://schemas.openxmlformats.org/officeDocument/2006/relationships/hyperlink" Target="http://www.ssc.wisc.edu/~%20walker/wp/wpcontent/uploads/2012/04/schultz61.pdf" TargetMode="External"/><Relationship Id="rId41" Type="http://schemas.openxmlformats.org/officeDocument/2006/relationships/hyperlink" Target="http://www.kapr.ru/articles/2003/10" TargetMode="External"/><Relationship Id="rId54" Type="http://schemas.openxmlformats.org/officeDocument/2006/relationships/hyperlink" Target="http://www.ucl.ac.uk/~uctprcp/jmp.pdf" TargetMode="External"/><Relationship Id="rId62" Type="http://schemas.openxmlformats.org/officeDocument/2006/relationships/footer" Target="footer6.xml"/><Relationship Id="rId70" Type="http://schemas.openxmlformats.org/officeDocument/2006/relationships/image" Target="media/image17.emf"/><Relationship Id="rId75" Type="http://schemas.openxmlformats.org/officeDocument/2006/relationships/oleObject" Target="embeddings/Microsoft_Excel_97-2003_Worksheet.xls"/><Relationship Id="rId83" Type="http://schemas.openxmlformats.org/officeDocument/2006/relationships/image" Target="media/image24.emf"/><Relationship Id="rId88" Type="http://schemas.openxmlformats.org/officeDocument/2006/relationships/package" Target="embeddings/Microsoft_Excel_Worksheet8.xlsx"/><Relationship Id="rId91" Type="http://schemas.openxmlformats.org/officeDocument/2006/relationships/image" Target="media/image28.emf"/><Relationship Id="rId96" Type="http://schemas.openxmlformats.org/officeDocument/2006/relationships/package" Target="embeddings/Microsoft_Excel_Worksheet11.xlsx"/><Relationship Id="rId111" Type="http://schemas.openxmlformats.org/officeDocument/2006/relationships/hyperlink" Target="http://news.thomasnet.com/IMT/archives/2009/03/global-research-and-development-outlook-forecast-2009-investment-spending-trends.html" TargetMode="External"/><Relationship Id="rId13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481" TargetMode="External"/><Relationship Id="rId140" Type="http://schemas.openxmlformats.org/officeDocument/2006/relationships/hyperlink" Target="http://zakon4.rada.gov.ua/laws/show/z0075-04" TargetMode="External"/><Relationship Id="rId14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wto.org/english%20/res_e/statis_e/statis_bis_e.htm?solution=WTO&amp;path=/Dashboards/MAPS&amp;file=Map.wcdf&amp;bookmarkState=%7b%22impl%22:%22client%22,%22params%22:%7b%22langParam%22:%22en%22%7d%7d" TargetMode="External"/><Relationship Id="rId23" Type="http://schemas.openxmlformats.org/officeDocument/2006/relationships/image" Target="media/image3.png"/><Relationship Id="rId28" Type="http://schemas.openxmlformats.org/officeDocument/2006/relationships/image" Target="media/image8.png"/><Relationship Id="rId36" Type="http://schemas.openxmlformats.org/officeDocument/2006/relationships/hyperlink" Target="http://www.irbis-nbuv.gov.ua/cgi-bin/irbis_nbuv/cgiirbis_64.exe?Z21ID=&amp;I21DBN=EC&amp;P21DBN=EC&amp;S21STN=1&amp;S21REF=10&amp;S21FMT=fullwebr&amp;C21COM=S&amp;S21CNR=20&amp;S21P01=0&amp;S21P02=0&amp;S21P03=A=&amp;S21COLORTERMS=1&amp;S21STR=%D0%9A%D0%BE%D0%BD%D1%84%D1%83%D1%86%D1%96%D0%B9$" TargetMode="External"/><Relationship Id="rId49" Type="http://schemas.openxmlformats.org/officeDocument/2006/relationships/hyperlink" Target="http://osvita.ua/legislation/other/8906" TargetMode="External"/><Relationship Id="rId57" Type="http://schemas.openxmlformats.org/officeDocument/2006/relationships/header" Target="header1.xml"/><Relationship Id="rId106" Type="http://schemas.openxmlformats.org/officeDocument/2006/relationships/hyperlink" Target="http://ru.wikipedia.org/wiki/%D0%90%D0%B1%D0%B0%D0%BB%D0%BA%D0%B8%D0%BD,_%D0%9B%D0%B5%D0%BE%D0%BD%D0%B8%D0%B4_%D0%98%D0%B2%D0%B0%D0%BD%D0%BE%D0%B2%D0%B8%D1%87" TargetMode="External"/><Relationship Id="rId114" Type="http://schemas.openxmlformats.org/officeDocument/2006/relationships/hyperlink" Target="http://www.immigrationpolicy.org/just-facts/immigrants-us-labor-force" TargetMode="External"/><Relationship Id="rId119" Type="http://schemas.openxmlformats.org/officeDocument/2006/relationships/hyperlink" Target="http://www.robzand.com/media/technopoles.pdf" TargetMode="External"/><Relationship Id="rId127" Type="http://schemas.openxmlformats.org/officeDocument/2006/relationships/hyperlink" Target="http://www.nbuv.gov.ua/portal/Soc_gum/aprer/2010_6_2/32.pdf" TargetMode="External"/><Relationship Id="rId10" Type="http://schemas.openxmlformats.org/officeDocument/2006/relationships/hyperlink" Target="http://www.irbis-nbuv.gov.ua/" TargetMode="External"/><Relationship Id="rId31" Type="http://schemas.openxmlformats.org/officeDocument/2006/relationships/image" Target="media/image11.png"/><Relationship Id="rId44" Type="http://schemas.openxmlformats.org/officeDocument/2006/relationships/hyperlink" Target="http://www.ukrstat.gov.ua" TargetMode="External"/><Relationship Id="rId52" Type="http://schemas.openxmlformats.org/officeDocument/2006/relationships/hyperlink" Target="http://zakon2.rada.gov.ua/laws/show/964-15" TargetMode="External"/><Relationship Id="rId60" Type="http://schemas.openxmlformats.org/officeDocument/2006/relationships/image" Target="media/image14.emf"/><Relationship Id="rId65" Type="http://schemas.openxmlformats.org/officeDocument/2006/relationships/image" Target="media/image15.emf"/><Relationship Id="rId73" Type="http://schemas.openxmlformats.org/officeDocument/2006/relationships/image" Target="media/image19.emf"/><Relationship Id="rId78" Type="http://schemas.openxmlformats.org/officeDocument/2006/relationships/chart" Target="charts/chart7.xml"/><Relationship Id="rId81" Type="http://schemas.openxmlformats.org/officeDocument/2006/relationships/image" Target="media/image23.emf"/><Relationship Id="rId86" Type="http://schemas.openxmlformats.org/officeDocument/2006/relationships/oleObject" Target="embeddings/Microsoft_Excel_97-2003_Worksheet3.xls"/><Relationship Id="rId94" Type="http://schemas.openxmlformats.org/officeDocument/2006/relationships/image" Target="media/image30.emf"/><Relationship Id="rId99" Type="http://schemas.openxmlformats.org/officeDocument/2006/relationships/hyperlink" Target="http://ukrstat.gov.ua/" TargetMode="External"/><Relationship Id="rId101" Type="http://schemas.openxmlformats.org/officeDocument/2006/relationships/hyperlink" Target="http://demoscope.ru/weekly/2009/0399/tema01.php" TargetMode="External"/><Relationship Id="rId122" Type="http://schemas.openxmlformats.org/officeDocument/2006/relationships/hyperlink" Target="http://www.ecsocman.edu.ru/db%20/msg/153802.html" TargetMode="External"/><Relationship Id="rId130" Type="http://schemas.openxmlformats.org/officeDocument/2006/relationships/hyperlink" Target="http://zakon.rada.gov.ua/cgi-bin/laws/main.cgi?nreg=1001-2006-%EF" TargetMode="External"/><Relationship Id="rId135" Type="http://schemas.openxmlformats.org/officeDocument/2006/relationships/hyperlink" Target="http://zakon4.rada.gov.ua/laws/show/2625-14" TargetMode="External"/><Relationship Id="rId143" Type="http://schemas.openxmlformats.org/officeDocument/2006/relationships/hyperlink" Target="http://www.edupolicy.org.ua/_dx/main_ua/high-edu_ua/" TargetMode="External"/><Relationship Id="rId4" Type="http://schemas.openxmlformats.org/officeDocument/2006/relationships/webSettings" Target="webSettings.xml"/><Relationship Id="rId9" Type="http://schemas.openxmlformats.org/officeDocument/2006/relationships/footer" Target="footer3.xml"/><Relationship Id="rId13" Type="http://schemas.openxmlformats.org/officeDocument/2006/relationships/hyperlink" Target="http://ru.wikipedia.org/wiki/%D0%90%D0%B1%D0%B0%D0%BB%D0%BA%D0%B8%D0%BD,_%D0%9B%D0%B5%D0%BE%D0%BD%D0%B8%D0%B4_%D0%98%D0%B2%D0%B0%D0%BD%D0%BE%D0%B2%D0%B8%D1%87" TargetMode="External"/><Relationship Id="rId18" Type="http://schemas.openxmlformats.org/officeDocument/2006/relationships/hyperlink" Target="http://www.gutenberg.org/files/30107/30107-pdf.pdf" TargetMode="External"/><Relationship Id="rId39" Type="http://schemas.openxmlformats.org/officeDocument/2006/relationships/hyperlink" Target="http://2008.dif.org.ua/ua/press/uhihojpj" TargetMode="External"/><Relationship Id="rId109" Type="http://schemas.openxmlformats.org/officeDocument/2006/relationships/hyperlink" Target="http://mirpal.org/files/files/Ukraine--Extended-Migration-Profile%20RU.pdf" TargetMode="External"/><Relationship Id="rId34" Type="http://schemas.openxmlformats.org/officeDocument/2006/relationships/chart" Target="charts/chart2.xml"/><Relationship Id="rId50" Type="http://schemas.openxmlformats.org/officeDocument/2006/relationships/hyperlink" Target="http://zakon2.rada.gov.ua/laws/show/1560-12" TargetMode="External"/><Relationship Id="rId55" Type="http://schemas.openxmlformats.org/officeDocument/2006/relationships/hyperlink" Target="http://uk.wikipedia.org/wiki/%D0%95%D0%BA%D0%BE%D0%BD%D0%BE%D0%BC%D1%96%D0%BA%D0%B0_%28%D0%B4%D1%96%D1%8F%D0%BB%D1%8C%D0%BD%D1%96%D1%81%D1%82%D1%8C%29" TargetMode="External"/><Relationship Id="rId76" Type="http://schemas.openxmlformats.org/officeDocument/2006/relationships/image" Target="media/image21.emf"/><Relationship Id="rId97" Type="http://schemas.openxmlformats.org/officeDocument/2006/relationships/hyperlink" Target="http://lib.ndu.edu.ua/CGI/irbis64r_91_opac/cgiirbis_64.exe?Z21ID=&amp;I21DBN=IBIS_PRINT&amp;P21DBN=IBIS&amp;S21STN=1&amp;S21REF=&amp;S21FMT=fullw_print&amp;C21COM=S&amp;S21CNR=&amp;S21P01=0&amp;S21P02=0&amp;S21P03=M=&amp;S21STR=" TargetMode="External"/><Relationship Id="rId104" Type="http://schemas.openxmlformats.org/officeDocument/2006/relationships/hyperlink" Target="http://www.gumer.info/bibliotek_Buks/Econom/kond/index.php" TargetMode="External"/><Relationship Id="rId120" Type="http://schemas.openxmlformats.org/officeDocument/2006/relationships/hyperlink" Target="http://www.ecsocman.edu.ru/db/msg/293990.html" TargetMode="External"/><Relationship Id="rId125" Type="http://schemas.openxmlformats.org/officeDocument/2006/relationships/hyperlink" Target="http://rnagazines.russ.ru/nz/2006/48/tul9.html" TargetMode="External"/><Relationship Id="rId141" Type="http://schemas.openxmlformats.org/officeDocument/2006/relationships/hyperlink" Target="http://lib.chdu.edu.ua/pdf/naukpraci/pedagogika/2010/136-123-1.pdf" TargetMode="External"/><Relationship Id="rId146" Type="http://schemas.openxmlformats.org/officeDocument/2006/relationships/theme" Target="theme/theme1.xml"/><Relationship Id="rId7" Type="http://schemas.openxmlformats.org/officeDocument/2006/relationships/footer" Target="footer1.xml"/><Relationship Id="rId71" Type="http://schemas.openxmlformats.org/officeDocument/2006/relationships/package" Target="embeddings/Microsoft_Excel_Worksheet4.xlsx"/><Relationship Id="rId92" Type="http://schemas.openxmlformats.org/officeDocument/2006/relationships/image" Target="media/image29.emf"/><Relationship Id="rId2" Type="http://schemas.openxmlformats.org/officeDocument/2006/relationships/styles" Target="styles.xml"/><Relationship Id="rId29" Type="http://schemas.openxmlformats.org/officeDocument/2006/relationships/image" Target="media/image9.png"/><Relationship Id="rId24" Type="http://schemas.openxmlformats.org/officeDocument/2006/relationships/image" Target="media/image4.png"/><Relationship Id="rId40" Type="http://schemas.openxmlformats.org/officeDocument/2006/relationships/hyperlink" Target="http://www.aup.ni/books/m63/8.htm" TargetMode="External"/><Relationship Id="rId45" Type="http://schemas.openxmlformats.org/officeDocument/2006/relationships/hyperlink" Target="http://www.fes.kiev.ua" TargetMode="External"/><Relationship Id="rId66" Type="http://schemas.openxmlformats.org/officeDocument/2006/relationships/chart" Target="charts/chart4.xml"/><Relationship Id="rId87" Type="http://schemas.openxmlformats.org/officeDocument/2006/relationships/image" Target="media/image26.emf"/><Relationship Id="rId110" Type="http://schemas.openxmlformats.org/officeDocument/2006/relationships/hyperlink" Target="http://mirpal.org/files/files/Article_2%20%D0%98%D0%BD%D1%84%D0%BE%D1%80%D0%BC%D0%B0%D1%86%D0%B8%D1%8F.pdf" TargetMode="External"/><Relationship Id="rId115" Type="http://schemas.openxmlformats.org/officeDocument/2006/relationships/hyperlink" Target="http://www.mipex.eu/" TargetMode="External"/><Relationship Id="rId131" Type="http://schemas.openxmlformats.org/officeDocument/2006/relationships/hyperlink" Target="http://kbuapa.kharkov.ua/e-book/tpdu/2011-3/doc/3/01.pdf" TargetMode="External"/><Relationship Id="rId136" Type="http://schemas.openxmlformats.org/officeDocument/2006/relationships/hyperlink" Target="http://old.niss.gov.ua/Monitor/june2009/12.htm" TargetMode="External"/><Relationship Id="rId61" Type="http://schemas.openxmlformats.org/officeDocument/2006/relationships/header" Target="header2.xml"/><Relationship Id="rId82" Type="http://schemas.openxmlformats.org/officeDocument/2006/relationships/package" Target="embeddings/Microsoft_Excel_Worksheet7.xlsx"/><Relationship Id="rId19" Type="http://schemas.openxmlformats.org/officeDocument/2006/relationships/hyperlink" Target="http://data.worldbank.org/indicator/GB.XPD.RSDV.GD.ZS" TargetMode="External"/><Relationship Id="rId14" Type="http://schemas.openxmlformats.org/officeDocument/2006/relationships/hyperlink" Target="http://zakon2.rada.gov.ua/laws/show/386-2013-&#1088;/page" TargetMode="External"/><Relationship Id="rId30" Type="http://schemas.openxmlformats.org/officeDocument/2006/relationships/image" Target="media/image10.png"/><Relationship Id="rId35" Type="http://schemas.openxmlformats.org/officeDocument/2006/relationships/chart" Target="charts/chart3.xml"/><Relationship Id="rId56" Type="http://schemas.openxmlformats.org/officeDocument/2006/relationships/footer" Target="footer4.xml"/><Relationship Id="rId77" Type="http://schemas.openxmlformats.org/officeDocument/2006/relationships/package" Target="embeddings/Microsoft_Excel_Worksheet5.xlsx"/><Relationship Id="rId100" Type="http://schemas.openxmlformats.org/officeDocument/2006/relationships/hyperlink" Target="http://www.nbuv.gov.ua/portal/soc_gum/Pubupr/2010/2010-2/doc/3/07.pdf" TargetMode="External"/><Relationship Id="rId105" Type="http://schemas.openxmlformats.org/officeDocument/2006/relationships/hyperlink" Target="http://ru.wikipedia.org/w/index.php?title=%D0%AF%D0%BA%D0%BE%D0%B2%D0%B5%D1%86,_%D0%AE%D1%80%D0%B8%D0%B9_%D0%92%D0%BB%D0%B0%D0%B4%D0%B8%D0%BC%D0%B8%D1%80%D0%BE%D0%B2%D0%B8%D1%87&amp;action=edit&amp;redlink=1" TargetMode="External"/><Relationship Id="rId126" Type="http://schemas.openxmlformats.org/officeDocument/2006/relationships/hyperlink" Target="http://www.pbroiect.ru/planetarv02.php" TargetMode="External"/><Relationship Id="rId8" Type="http://schemas.openxmlformats.org/officeDocument/2006/relationships/footer" Target="footer2.xml"/><Relationship Id="rId51" Type="http://schemas.openxmlformats.org/officeDocument/2006/relationships/hyperlink" Target="http://w1.c1.rada.gov.ua/pls/zweb_n/webproc4_1?pf3511=32175" TargetMode="External"/><Relationship Id="rId72" Type="http://schemas.openxmlformats.org/officeDocument/2006/relationships/image" Target="media/image18.emf"/><Relationship Id="rId93" Type="http://schemas.openxmlformats.org/officeDocument/2006/relationships/chart" Target="charts/chart8.xml"/><Relationship Id="rId98" Type="http://schemas.openxmlformats.org/officeDocument/2006/relationships/hyperlink" Target="http://www.demoscope.ru/weekly/2010/0441/analit07.php" TargetMode="External"/><Relationship Id="rId121" Type="http://schemas.openxmlformats.org/officeDocument/2006/relationships/hyperlink" Target="http://www.glossary.ru/cgi%22bin/gl_sch2.%20cgi?RRu.ogr;tg9!x(lwg" TargetMode="External"/><Relationship Id="rId142" Type="http://schemas.openxmlformats.org/officeDocument/2006/relationships/hyperlink" Target="http://osvita.ua/vnz/high_school/13355/print/"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C:\Users\&#1071;&#1088;&#1086;&#1089;&#1083;&#1072;&#1074;\Desktop\&#1076;&#1083;&#1103;%202%20&#1088;&#1086;&#1079;&#1076;&#1110;&#1083;&#1091;\&#1090;&#1072;&#1073;&#1083;&#1080;&#1094;&#1110;%20&#1087;&#1086;%20&#1086;&#1073;&#1083;&#1072;&#1089;&#1090;&#1110;.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1071;&#1088;&#1086;&#1089;&#1083;&#1072;&#1074;\Desktop\&#1076;&#1080;&#1089;&#1077;&#1088;\&#1076;&#1083;&#1103;%20&#1088;&#1086;&#1073;&#1086;&#1090;&#1080;\&#1090;&#1072;&#1073;&#1083;&#1080;&#1094;&#1110;%20&#1087;&#1086;%20&#1086;&#1073;&#1083;&#1072;&#1089;&#1090;&#1110;.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Лист9!$A$2</c:f>
              <c:strCache>
                <c:ptCount val="1"/>
                <c:pt idx="0">
                  <c:v>Україна, загальна</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Лист9!$B$1:$H$1</c:f>
              <c:numCache>
                <c:formatCode>General</c:formatCode>
                <c:ptCount val="7"/>
                <c:pt idx="0">
                  <c:v>1995</c:v>
                </c:pt>
                <c:pt idx="1">
                  <c:v>2000</c:v>
                </c:pt>
                <c:pt idx="2">
                  <c:v>2005</c:v>
                </c:pt>
                <c:pt idx="3">
                  <c:v>2010</c:v>
                </c:pt>
                <c:pt idx="4">
                  <c:v>2012</c:v>
                </c:pt>
                <c:pt idx="5">
                  <c:v>2013</c:v>
                </c:pt>
                <c:pt idx="6">
                  <c:v>2014</c:v>
                </c:pt>
              </c:numCache>
            </c:numRef>
          </c:cat>
          <c:val>
            <c:numRef>
              <c:f>Лист9!$B$2:$H$2</c:f>
            </c:numRef>
          </c:val>
          <c:smooth val="0"/>
          <c:extLst>
            <c:ext xmlns:c16="http://schemas.microsoft.com/office/drawing/2014/chart" uri="{C3380CC4-5D6E-409C-BE32-E72D297353CC}">
              <c16:uniqueId val="{00000000-F428-4043-BB7E-5DB45F045A2A}"/>
            </c:ext>
          </c:extLst>
        </c:ser>
        <c:ser>
          <c:idx val="1"/>
          <c:order val="1"/>
          <c:tx>
            <c:strRef>
              <c:f>Лист9!$A$3</c:f>
              <c:strCache>
                <c:ptCount val="1"/>
                <c:pt idx="0">
                  <c:v>Україна, осіб</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Лист9!$B$1:$H$1</c:f>
              <c:numCache>
                <c:formatCode>General</c:formatCode>
                <c:ptCount val="7"/>
                <c:pt idx="0">
                  <c:v>1995</c:v>
                </c:pt>
                <c:pt idx="1">
                  <c:v>2000</c:v>
                </c:pt>
                <c:pt idx="2">
                  <c:v>2005</c:v>
                </c:pt>
                <c:pt idx="3">
                  <c:v>2010</c:v>
                </c:pt>
                <c:pt idx="4">
                  <c:v>2012</c:v>
                </c:pt>
                <c:pt idx="5">
                  <c:v>2013</c:v>
                </c:pt>
                <c:pt idx="6">
                  <c:v>2014</c:v>
                </c:pt>
              </c:numCache>
            </c:numRef>
          </c:cat>
          <c:val>
            <c:numRef>
              <c:f>Лист9!$B$3:$H$3</c:f>
            </c:numRef>
          </c:val>
          <c:smooth val="0"/>
          <c:extLst>
            <c:ext xmlns:c16="http://schemas.microsoft.com/office/drawing/2014/chart" uri="{C3380CC4-5D6E-409C-BE32-E72D297353CC}">
              <c16:uniqueId val="{00000001-F428-4043-BB7E-5DB45F045A2A}"/>
            </c:ext>
          </c:extLst>
        </c:ser>
        <c:ser>
          <c:idx val="2"/>
          <c:order val="2"/>
          <c:tx>
            <c:strRef>
              <c:f>Лист9!$A$4</c:f>
              <c:strCache>
                <c:ptCount val="1"/>
                <c:pt idx="0">
                  <c:v>Україна</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Лист9!$B$1:$H$1</c:f>
              <c:numCache>
                <c:formatCode>General</c:formatCode>
                <c:ptCount val="7"/>
                <c:pt idx="0">
                  <c:v>1995</c:v>
                </c:pt>
                <c:pt idx="1">
                  <c:v>2000</c:v>
                </c:pt>
                <c:pt idx="2">
                  <c:v>2005</c:v>
                </c:pt>
                <c:pt idx="3">
                  <c:v>2010</c:v>
                </c:pt>
                <c:pt idx="4">
                  <c:v>2012</c:v>
                </c:pt>
                <c:pt idx="5">
                  <c:v>2013</c:v>
                </c:pt>
                <c:pt idx="6">
                  <c:v>2014</c:v>
                </c:pt>
              </c:numCache>
            </c:numRef>
          </c:cat>
          <c:val>
            <c:numRef>
              <c:f>Лист9!$B$4:$H$4</c:f>
              <c:numCache>
                <c:formatCode>0.0</c:formatCode>
                <c:ptCount val="7"/>
                <c:pt idx="0">
                  <c:v>14.838709677419356</c:v>
                </c:pt>
                <c:pt idx="1">
                  <c:v>11.960529732537003</c:v>
                </c:pt>
                <c:pt idx="2">
                  <c:v>9.9953062661347101</c:v>
                </c:pt>
                <c:pt idx="3">
                  <c:v>9.1701828410689163</c:v>
                </c:pt>
                <c:pt idx="4">
                  <c:v>8.3944689840599196</c:v>
                </c:pt>
                <c:pt idx="5">
                  <c:v>8.0007941234862017</c:v>
                </c:pt>
                <c:pt idx="6">
                  <c:v>7.8471775059025548</c:v>
                </c:pt>
              </c:numCache>
            </c:numRef>
          </c:val>
          <c:smooth val="0"/>
          <c:extLst>
            <c:ext xmlns:c16="http://schemas.microsoft.com/office/drawing/2014/chart" uri="{C3380CC4-5D6E-409C-BE32-E72D297353CC}">
              <c16:uniqueId val="{00000002-F428-4043-BB7E-5DB45F045A2A}"/>
            </c:ext>
          </c:extLst>
        </c:ser>
        <c:ser>
          <c:idx val="3"/>
          <c:order val="3"/>
          <c:tx>
            <c:strRef>
              <c:f>Лист9!$A$5</c:f>
              <c:strCache>
                <c:ptCount val="1"/>
                <c:pt idx="0">
                  <c:v>Вінницька область, загальна</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cat>
            <c:numRef>
              <c:f>Лист9!$B$1:$H$1</c:f>
              <c:numCache>
                <c:formatCode>General</c:formatCode>
                <c:ptCount val="7"/>
                <c:pt idx="0">
                  <c:v>1995</c:v>
                </c:pt>
                <c:pt idx="1">
                  <c:v>2000</c:v>
                </c:pt>
                <c:pt idx="2">
                  <c:v>2005</c:v>
                </c:pt>
                <c:pt idx="3">
                  <c:v>2010</c:v>
                </c:pt>
                <c:pt idx="4">
                  <c:v>2012</c:v>
                </c:pt>
                <c:pt idx="5">
                  <c:v>2013</c:v>
                </c:pt>
                <c:pt idx="6">
                  <c:v>2014</c:v>
                </c:pt>
              </c:numCache>
            </c:numRef>
          </c:cat>
          <c:val>
            <c:numRef>
              <c:f>Лист9!$B$5:$H$5</c:f>
            </c:numRef>
          </c:val>
          <c:smooth val="0"/>
          <c:extLst>
            <c:ext xmlns:c16="http://schemas.microsoft.com/office/drawing/2014/chart" uri="{C3380CC4-5D6E-409C-BE32-E72D297353CC}">
              <c16:uniqueId val="{00000003-F428-4043-BB7E-5DB45F045A2A}"/>
            </c:ext>
          </c:extLst>
        </c:ser>
        <c:ser>
          <c:idx val="4"/>
          <c:order val="4"/>
          <c:tx>
            <c:strRef>
              <c:f>Лист9!$A$6</c:f>
              <c:strCache>
                <c:ptCount val="1"/>
                <c:pt idx="0">
                  <c:v>Вінницька область, осіб</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cat>
            <c:numRef>
              <c:f>Лист9!$B$1:$H$1</c:f>
              <c:numCache>
                <c:formatCode>General</c:formatCode>
                <c:ptCount val="7"/>
                <c:pt idx="0">
                  <c:v>1995</c:v>
                </c:pt>
                <c:pt idx="1">
                  <c:v>2000</c:v>
                </c:pt>
                <c:pt idx="2">
                  <c:v>2005</c:v>
                </c:pt>
                <c:pt idx="3">
                  <c:v>2010</c:v>
                </c:pt>
                <c:pt idx="4">
                  <c:v>2012</c:v>
                </c:pt>
                <c:pt idx="5">
                  <c:v>2013</c:v>
                </c:pt>
                <c:pt idx="6">
                  <c:v>2014</c:v>
                </c:pt>
              </c:numCache>
            </c:numRef>
          </c:cat>
          <c:val>
            <c:numRef>
              <c:f>Лист9!$B$6:$H$6</c:f>
            </c:numRef>
          </c:val>
          <c:smooth val="0"/>
          <c:extLst>
            <c:ext xmlns:c16="http://schemas.microsoft.com/office/drawing/2014/chart" uri="{C3380CC4-5D6E-409C-BE32-E72D297353CC}">
              <c16:uniqueId val="{00000004-F428-4043-BB7E-5DB45F045A2A}"/>
            </c:ext>
          </c:extLst>
        </c:ser>
        <c:ser>
          <c:idx val="5"/>
          <c:order val="5"/>
          <c:tx>
            <c:strRef>
              <c:f>Лист9!$A$7</c:f>
              <c:strCache>
                <c:ptCount val="1"/>
                <c:pt idx="0">
                  <c:v>Вінницька область</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Лист9!$B$1:$H$1</c:f>
              <c:numCache>
                <c:formatCode>General</c:formatCode>
                <c:ptCount val="7"/>
                <c:pt idx="0">
                  <c:v>1995</c:v>
                </c:pt>
                <c:pt idx="1">
                  <c:v>2000</c:v>
                </c:pt>
                <c:pt idx="2">
                  <c:v>2005</c:v>
                </c:pt>
                <c:pt idx="3">
                  <c:v>2010</c:v>
                </c:pt>
                <c:pt idx="4">
                  <c:v>2012</c:v>
                </c:pt>
                <c:pt idx="5">
                  <c:v>2013</c:v>
                </c:pt>
                <c:pt idx="6">
                  <c:v>2014</c:v>
                </c:pt>
              </c:numCache>
            </c:numRef>
          </c:cat>
          <c:val>
            <c:numRef>
              <c:f>Лист9!$B$7:$H$7</c:f>
              <c:numCache>
                <c:formatCode>0.0</c:formatCode>
                <c:ptCount val="7"/>
                <c:pt idx="0">
                  <c:v>12.308000200130083</c:v>
                </c:pt>
                <c:pt idx="1">
                  <c:v>10.070893791824023</c:v>
                </c:pt>
                <c:pt idx="2">
                  <c:v>9.1604059575589822</c:v>
                </c:pt>
                <c:pt idx="3">
                  <c:v>8.4532785012565697</c:v>
                </c:pt>
                <c:pt idx="4">
                  <c:v>9.051254089422029</c:v>
                </c:pt>
                <c:pt idx="5">
                  <c:v>8.0289040545965484</c:v>
                </c:pt>
                <c:pt idx="6">
                  <c:v>6.4968370661651571</c:v>
                </c:pt>
              </c:numCache>
            </c:numRef>
          </c:val>
          <c:smooth val="0"/>
          <c:extLst>
            <c:ext xmlns:c16="http://schemas.microsoft.com/office/drawing/2014/chart" uri="{C3380CC4-5D6E-409C-BE32-E72D297353CC}">
              <c16:uniqueId val="{00000005-F428-4043-BB7E-5DB45F045A2A}"/>
            </c:ext>
          </c:extLst>
        </c:ser>
        <c:dLbls>
          <c:showLegendKey val="0"/>
          <c:showVal val="0"/>
          <c:showCatName val="0"/>
          <c:showSerName val="0"/>
          <c:showPercent val="0"/>
          <c:showBubbleSize val="0"/>
        </c:dLbls>
        <c:marker val="1"/>
        <c:smooth val="0"/>
        <c:axId val="351763072"/>
        <c:axId val="351765248"/>
      </c:lineChart>
      <c:catAx>
        <c:axId val="351763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1765248"/>
        <c:crosses val="autoZero"/>
        <c:auto val="1"/>
        <c:lblAlgn val="ctr"/>
        <c:lblOffset val="100"/>
        <c:noMultiLvlLbl val="0"/>
      </c:catAx>
      <c:valAx>
        <c:axId val="35176524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17630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Лист10!$A$2</c:f>
              <c:strCache>
                <c:ptCount val="1"/>
                <c:pt idx="0">
                  <c:v>Україна</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Лист10!$B$1:$H$1</c:f>
              <c:numCache>
                <c:formatCode>General</c:formatCode>
                <c:ptCount val="7"/>
                <c:pt idx="0">
                  <c:v>1995</c:v>
                </c:pt>
                <c:pt idx="1">
                  <c:v>2000</c:v>
                </c:pt>
                <c:pt idx="2">
                  <c:v>2005</c:v>
                </c:pt>
                <c:pt idx="3">
                  <c:v>2010</c:v>
                </c:pt>
                <c:pt idx="4">
                  <c:v>2012</c:v>
                </c:pt>
                <c:pt idx="5">
                  <c:v>2013</c:v>
                </c:pt>
                <c:pt idx="6">
                  <c:v>2014</c:v>
                </c:pt>
              </c:numCache>
            </c:numRef>
          </c:cat>
          <c:val>
            <c:numRef>
              <c:f>Лист10!$B$2:$H$2</c:f>
              <c:numCache>
                <c:formatCode>0.0</c:formatCode>
                <c:ptCount val="7"/>
                <c:pt idx="0">
                  <c:v>-5.8</c:v>
                </c:pt>
                <c:pt idx="1">
                  <c:v>-7.6</c:v>
                </c:pt>
                <c:pt idx="2">
                  <c:v>-7.6</c:v>
                </c:pt>
                <c:pt idx="3">
                  <c:v>-4.4000000000000004</c:v>
                </c:pt>
                <c:pt idx="4">
                  <c:v>-3.1</c:v>
                </c:pt>
                <c:pt idx="5">
                  <c:v>-3.5</c:v>
                </c:pt>
                <c:pt idx="6">
                  <c:v>-3.9</c:v>
                </c:pt>
              </c:numCache>
            </c:numRef>
          </c:val>
          <c:smooth val="0"/>
          <c:extLst>
            <c:ext xmlns:c16="http://schemas.microsoft.com/office/drawing/2014/chart" uri="{C3380CC4-5D6E-409C-BE32-E72D297353CC}">
              <c16:uniqueId val="{00000000-9AAA-4BBE-8486-DBD5E32767FC}"/>
            </c:ext>
          </c:extLst>
        </c:ser>
        <c:ser>
          <c:idx val="1"/>
          <c:order val="1"/>
          <c:tx>
            <c:strRef>
              <c:f>Лист10!$A$3</c:f>
              <c:strCache>
                <c:ptCount val="1"/>
                <c:pt idx="0">
                  <c:v>Вінницька область</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Лист10!$B$1:$H$1</c:f>
              <c:numCache>
                <c:formatCode>General</c:formatCode>
                <c:ptCount val="7"/>
                <c:pt idx="0">
                  <c:v>1995</c:v>
                </c:pt>
                <c:pt idx="1">
                  <c:v>2000</c:v>
                </c:pt>
                <c:pt idx="2">
                  <c:v>2005</c:v>
                </c:pt>
                <c:pt idx="3">
                  <c:v>2010</c:v>
                </c:pt>
                <c:pt idx="4">
                  <c:v>2012</c:v>
                </c:pt>
                <c:pt idx="5">
                  <c:v>2013</c:v>
                </c:pt>
                <c:pt idx="6">
                  <c:v>2014</c:v>
                </c:pt>
              </c:numCache>
            </c:numRef>
          </c:cat>
          <c:val>
            <c:numRef>
              <c:f>Лист10!$B$3:$H$3</c:f>
              <c:numCache>
                <c:formatCode>0.0</c:formatCode>
                <c:ptCount val="7"/>
                <c:pt idx="0">
                  <c:v>-6.7</c:v>
                </c:pt>
                <c:pt idx="1">
                  <c:v>-8.4</c:v>
                </c:pt>
                <c:pt idx="2">
                  <c:v>-9.1999999999999993</c:v>
                </c:pt>
                <c:pt idx="3">
                  <c:v>-5.5</c:v>
                </c:pt>
                <c:pt idx="4">
                  <c:v>-4.2</c:v>
                </c:pt>
                <c:pt idx="5">
                  <c:v>-5</c:v>
                </c:pt>
                <c:pt idx="6">
                  <c:v>-4.9000000000000004</c:v>
                </c:pt>
              </c:numCache>
            </c:numRef>
          </c:val>
          <c:smooth val="0"/>
          <c:extLst>
            <c:ext xmlns:c16="http://schemas.microsoft.com/office/drawing/2014/chart" uri="{C3380CC4-5D6E-409C-BE32-E72D297353CC}">
              <c16:uniqueId val="{00000001-9AAA-4BBE-8486-DBD5E32767FC}"/>
            </c:ext>
          </c:extLst>
        </c:ser>
        <c:dLbls>
          <c:dLblPos val="t"/>
          <c:showLegendKey val="0"/>
          <c:showVal val="1"/>
          <c:showCatName val="0"/>
          <c:showSerName val="0"/>
          <c:showPercent val="0"/>
          <c:showBubbleSize val="0"/>
        </c:dLbls>
        <c:marker val="1"/>
        <c:smooth val="0"/>
        <c:axId val="351823360"/>
        <c:axId val="351824896"/>
      </c:lineChart>
      <c:catAx>
        <c:axId val="35182336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1824896"/>
        <c:crosses val="autoZero"/>
        <c:auto val="1"/>
        <c:lblAlgn val="ctr"/>
        <c:lblOffset val="100"/>
        <c:noMultiLvlLbl val="0"/>
      </c:catAx>
      <c:valAx>
        <c:axId val="35182489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1823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Лист11!$A$2</c:f>
              <c:strCache>
                <c:ptCount val="1"/>
                <c:pt idx="0">
                  <c:v>Україна</c:v>
                </c:pt>
              </c:strCache>
            </c:strRef>
          </c:tx>
          <c:spPr>
            <a:ln w="28292" cap="rnd">
              <a:solidFill>
                <a:schemeClr val="accent1"/>
              </a:solidFill>
              <a:round/>
            </a:ln>
            <a:effectLst/>
          </c:spPr>
          <c:marker>
            <c:symbol val="none"/>
          </c:marker>
          <c:cat>
            <c:numRef>
              <c:f>Лист11!$B$1:$K$1</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Лист11!$B$2:$K$2</c:f>
              <c:numCache>
                <c:formatCode>0.0</c:formatCode>
                <c:ptCount val="10"/>
                <c:pt idx="0">
                  <c:v>1</c:v>
                </c:pt>
                <c:pt idx="1">
                  <c:v>3</c:v>
                </c:pt>
                <c:pt idx="2">
                  <c:v>3.6</c:v>
                </c:pt>
                <c:pt idx="3">
                  <c:v>3.2</c:v>
                </c:pt>
                <c:pt idx="4">
                  <c:v>2.9</c:v>
                </c:pt>
                <c:pt idx="5">
                  <c:v>3.5</c:v>
                </c:pt>
                <c:pt idx="6">
                  <c:v>3.7</c:v>
                </c:pt>
                <c:pt idx="7" formatCode="General">
                  <c:v>13.5</c:v>
                </c:pt>
                <c:pt idx="8" formatCode="General">
                  <c:v>7</c:v>
                </c:pt>
                <c:pt idx="9" formatCode="General">
                  <c:v>5</c:v>
                </c:pt>
              </c:numCache>
            </c:numRef>
          </c:val>
          <c:smooth val="0"/>
          <c:extLst>
            <c:ext xmlns:c16="http://schemas.microsoft.com/office/drawing/2014/chart" uri="{C3380CC4-5D6E-409C-BE32-E72D297353CC}">
              <c16:uniqueId val="{00000000-2F57-44E4-B67B-A1A6A7AC17BC}"/>
            </c:ext>
          </c:extLst>
        </c:ser>
        <c:ser>
          <c:idx val="1"/>
          <c:order val="1"/>
          <c:tx>
            <c:strRef>
              <c:f>Лист11!$A$3</c:f>
              <c:strCache>
                <c:ptCount val="1"/>
                <c:pt idx="0">
                  <c:v>Вінницька область</c:v>
                </c:pt>
              </c:strCache>
            </c:strRef>
          </c:tx>
          <c:spPr>
            <a:ln w="28292" cap="rnd">
              <a:solidFill>
                <a:schemeClr val="accent2"/>
              </a:solidFill>
              <a:round/>
            </a:ln>
            <a:effectLst/>
          </c:spPr>
          <c:marker>
            <c:symbol val="none"/>
          </c:marker>
          <c:cat>
            <c:numRef>
              <c:f>Лист11!$B$1:$K$1</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Лист11!$B$3:$K$3</c:f>
              <c:numCache>
                <c:formatCode>0.0</c:formatCode>
                <c:ptCount val="10"/>
                <c:pt idx="0">
                  <c:v>-16.3</c:v>
                </c:pt>
                <c:pt idx="1">
                  <c:v>-12.3</c:v>
                </c:pt>
                <c:pt idx="2">
                  <c:v>-8.9</c:v>
                </c:pt>
                <c:pt idx="3">
                  <c:v>-6</c:v>
                </c:pt>
                <c:pt idx="4">
                  <c:v>-3.6</c:v>
                </c:pt>
                <c:pt idx="5">
                  <c:v>-2.4</c:v>
                </c:pt>
                <c:pt idx="6">
                  <c:v>3</c:v>
                </c:pt>
                <c:pt idx="7" formatCode="General">
                  <c:v>-1.8</c:v>
                </c:pt>
                <c:pt idx="8" formatCode="General">
                  <c:v>-4.9000000000000004</c:v>
                </c:pt>
                <c:pt idx="9" formatCode="General">
                  <c:v>1.9</c:v>
                </c:pt>
              </c:numCache>
            </c:numRef>
          </c:val>
          <c:smooth val="0"/>
          <c:extLst>
            <c:ext xmlns:c16="http://schemas.microsoft.com/office/drawing/2014/chart" uri="{C3380CC4-5D6E-409C-BE32-E72D297353CC}">
              <c16:uniqueId val="{00000001-2F57-44E4-B67B-A1A6A7AC17BC}"/>
            </c:ext>
          </c:extLst>
        </c:ser>
        <c:dLbls>
          <c:showLegendKey val="0"/>
          <c:showVal val="0"/>
          <c:showCatName val="0"/>
          <c:showSerName val="0"/>
          <c:showPercent val="0"/>
          <c:showBubbleSize val="0"/>
        </c:dLbls>
        <c:smooth val="0"/>
        <c:axId val="351890816"/>
        <c:axId val="241267840"/>
      </c:lineChart>
      <c:catAx>
        <c:axId val="351890816"/>
        <c:scaling>
          <c:orientation val="minMax"/>
        </c:scaling>
        <c:delete val="0"/>
        <c:axPos val="b"/>
        <c:numFmt formatCode="General" sourceLinked="1"/>
        <c:majorTickMark val="none"/>
        <c:minorTickMark val="none"/>
        <c:tickLblPos val="nextTo"/>
        <c:spPr>
          <a:noFill/>
          <a:ln w="9431" cap="flat" cmpd="sng" algn="ctr">
            <a:solidFill>
              <a:schemeClr val="tx1">
                <a:lumMod val="15000"/>
                <a:lumOff val="85000"/>
              </a:schemeClr>
            </a:solidFill>
            <a:round/>
          </a:ln>
          <a:effectLst/>
        </c:spPr>
        <c:txPr>
          <a:bodyPr rot="-60000000" spcFirstLastPara="1" vertOverflow="ellipsis" vert="horz" wrap="square" anchor="ctr" anchorCtr="1"/>
          <a:lstStyle/>
          <a:p>
            <a:pPr>
              <a:defRPr sz="891" b="0" i="0" u="none" strike="noStrike" kern="1200" baseline="0">
                <a:solidFill>
                  <a:schemeClr val="tx1">
                    <a:lumMod val="65000"/>
                    <a:lumOff val="35000"/>
                  </a:schemeClr>
                </a:solidFill>
                <a:latin typeface="+mn-lt"/>
                <a:ea typeface="+mn-ea"/>
                <a:cs typeface="+mn-cs"/>
              </a:defRPr>
            </a:pPr>
            <a:endParaRPr lang="ru-RU"/>
          </a:p>
        </c:txPr>
        <c:crossAx val="241267840"/>
        <c:crosses val="autoZero"/>
        <c:auto val="1"/>
        <c:lblAlgn val="ctr"/>
        <c:lblOffset val="100"/>
        <c:noMultiLvlLbl val="0"/>
      </c:catAx>
      <c:valAx>
        <c:axId val="241267840"/>
        <c:scaling>
          <c:orientation val="minMax"/>
        </c:scaling>
        <c:delete val="0"/>
        <c:axPos val="l"/>
        <c:majorGridlines>
          <c:spPr>
            <a:ln w="9431" cap="flat" cmpd="sng" algn="ctr">
              <a:solidFill>
                <a:schemeClr val="tx1">
                  <a:lumMod val="15000"/>
                  <a:lumOff val="85000"/>
                </a:schemeClr>
              </a:solidFill>
              <a:round/>
            </a:ln>
            <a:effectLst/>
          </c:spPr>
        </c:majorGridlines>
        <c:numFmt formatCode="0.0" sourceLinked="1"/>
        <c:majorTickMark val="none"/>
        <c:minorTickMark val="none"/>
        <c:tickLblPos val="nextTo"/>
        <c:spPr>
          <a:ln w="9431">
            <a:noFill/>
          </a:ln>
        </c:spPr>
        <c:txPr>
          <a:bodyPr rot="-60000000" spcFirstLastPara="1" vertOverflow="ellipsis" vert="horz" wrap="square" anchor="ctr" anchorCtr="1"/>
          <a:lstStyle/>
          <a:p>
            <a:pPr>
              <a:defRPr sz="891" b="0" i="0" u="none" strike="noStrike" kern="1200" baseline="0">
                <a:solidFill>
                  <a:schemeClr val="tx1">
                    <a:lumMod val="65000"/>
                    <a:lumOff val="35000"/>
                  </a:schemeClr>
                </a:solidFill>
                <a:latin typeface="+mn-lt"/>
                <a:ea typeface="+mn-ea"/>
                <a:cs typeface="+mn-cs"/>
              </a:defRPr>
            </a:pPr>
            <a:endParaRPr lang="ru-RU"/>
          </a:p>
        </c:txPr>
        <c:crossAx val="351890816"/>
        <c:crosses val="autoZero"/>
        <c:crossBetween val="between"/>
      </c:valAx>
      <c:dTable>
        <c:showHorzBorder val="1"/>
        <c:showVertBorder val="1"/>
        <c:showOutline val="1"/>
        <c:showKeys val="1"/>
        <c:spPr>
          <a:noFill/>
          <a:ln w="9431" cap="flat" cmpd="sng" algn="ctr">
            <a:solidFill>
              <a:schemeClr val="tx1">
                <a:lumMod val="15000"/>
                <a:lumOff val="85000"/>
              </a:schemeClr>
            </a:solidFill>
            <a:round/>
          </a:ln>
          <a:effectLst/>
        </c:spPr>
        <c:txPr>
          <a:bodyPr rot="0" spcFirstLastPara="1" vertOverflow="ellipsis" vert="horz" wrap="square" anchor="ctr" anchorCtr="1"/>
          <a:lstStyle/>
          <a:p>
            <a:pPr rtl="0">
              <a:defRPr sz="891" b="0" i="0" u="none" strike="noStrike" kern="1200" baseline="0">
                <a:solidFill>
                  <a:schemeClr val="tx1">
                    <a:lumMod val="65000"/>
                    <a:lumOff val="35000"/>
                  </a:schemeClr>
                </a:solidFill>
                <a:latin typeface="+mn-lt"/>
                <a:ea typeface="+mn-ea"/>
                <a:cs typeface="+mn-cs"/>
              </a:defRPr>
            </a:pPr>
            <a:endParaRPr lang="ru-RU"/>
          </a:p>
        </c:txPr>
      </c:dTable>
      <c:spPr>
        <a:noFill/>
        <a:ln w="25149">
          <a:noFill/>
        </a:ln>
      </c:spPr>
    </c:plotArea>
    <c:legend>
      <c:legendPos val="b"/>
      <c:overlay val="0"/>
      <c:spPr>
        <a:noFill/>
        <a:ln w="25149">
          <a:noFill/>
        </a:ln>
      </c:spPr>
      <c:txPr>
        <a:bodyPr rot="0" spcFirstLastPara="1" vertOverflow="ellipsis" vert="horz" wrap="square" anchor="ctr" anchorCtr="1"/>
        <a:lstStyle/>
        <a:p>
          <a:pPr>
            <a:defRPr sz="891"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431"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0725388601036268"/>
          <c:y val="7.7192982456140355E-2"/>
          <c:w val="0.76683937823834192"/>
          <c:h val="0.84912280701754383"/>
        </c:manualLayout>
      </c:layout>
      <c:lineChart>
        <c:grouping val="standard"/>
        <c:varyColors val="0"/>
        <c:ser>
          <c:idx val="1"/>
          <c:order val="0"/>
          <c:spPr>
            <a:ln w="20160">
              <a:solidFill>
                <a:srgbClr val="333399"/>
              </a:solidFill>
              <a:prstDash val="solid"/>
            </a:ln>
          </c:spPr>
          <c:marker>
            <c:symbol val="square"/>
            <c:size val="7"/>
            <c:spPr>
              <a:solidFill>
                <a:srgbClr val="000080"/>
              </a:solidFill>
              <a:ln>
                <a:solidFill>
                  <a:srgbClr val="000080"/>
                </a:solidFill>
                <a:prstDash val="solid"/>
              </a:ln>
            </c:spPr>
          </c:marker>
          <c:cat>
            <c:numRef>
              <c:f>Лист2!$A$1:$A$14</c:f>
              <c:numCache>
                <c:formatCode>General</c:formatCode>
                <c:ptCount val="14"/>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numCache>
            </c:numRef>
          </c:cat>
          <c:val>
            <c:numRef>
              <c:f>Лист2!$B$1:$B$14</c:f>
              <c:numCache>
                <c:formatCode>General</c:formatCode>
                <c:ptCount val="14"/>
                <c:pt idx="0">
                  <c:v>-33471</c:v>
                </c:pt>
                <c:pt idx="1">
                  <c:v>-33791</c:v>
                </c:pt>
                <c:pt idx="2">
                  <c:v>-24210</c:v>
                </c:pt>
                <c:pt idx="3">
                  <c:v>-7615</c:v>
                </c:pt>
                <c:pt idx="4">
                  <c:v>4583</c:v>
                </c:pt>
                <c:pt idx="5">
                  <c:v>14245</c:v>
                </c:pt>
                <c:pt idx="6">
                  <c:v>16838</c:v>
                </c:pt>
                <c:pt idx="7">
                  <c:v>14879</c:v>
                </c:pt>
                <c:pt idx="8">
                  <c:v>13447</c:v>
                </c:pt>
                <c:pt idx="9">
                  <c:v>16133</c:v>
                </c:pt>
                <c:pt idx="10">
                  <c:v>17096</c:v>
                </c:pt>
                <c:pt idx="11">
                  <c:v>61844</c:v>
                </c:pt>
                <c:pt idx="12">
                  <c:v>31913</c:v>
                </c:pt>
                <c:pt idx="13">
                  <c:v>22592</c:v>
                </c:pt>
              </c:numCache>
            </c:numRef>
          </c:val>
          <c:smooth val="0"/>
          <c:extLst>
            <c:ext xmlns:c16="http://schemas.microsoft.com/office/drawing/2014/chart" uri="{C3380CC4-5D6E-409C-BE32-E72D297353CC}">
              <c16:uniqueId val="{00000000-2ECA-492E-BC3C-58031625D4E9}"/>
            </c:ext>
          </c:extLst>
        </c:ser>
        <c:dLbls>
          <c:showLegendKey val="0"/>
          <c:showVal val="0"/>
          <c:showCatName val="0"/>
          <c:showSerName val="0"/>
          <c:showPercent val="0"/>
          <c:showBubbleSize val="0"/>
        </c:dLbls>
        <c:marker val="1"/>
        <c:smooth val="0"/>
        <c:axId val="354051968"/>
        <c:axId val="354091008"/>
      </c:lineChart>
      <c:catAx>
        <c:axId val="354051968"/>
        <c:scaling>
          <c:orientation val="minMax"/>
        </c:scaling>
        <c:delete val="0"/>
        <c:axPos val="b"/>
        <c:numFmt formatCode="General" sourceLinked="1"/>
        <c:majorTickMark val="out"/>
        <c:minorTickMark val="none"/>
        <c:tickLblPos val="nextTo"/>
        <c:crossAx val="354091008"/>
        <c:crosses val="autoZero"/>
        <c:auto val="1"/>
        <c:lblAlgn val="ctr"/>
        <c:lblOffset val="100"/>
        <c:noMultiLvlLbl val="0"/>
      </c:catAx>
      <c:valAx>
        <c:axId val="354091008"/>
        <c:scaling>
          <c:orientation val="minMax"/>
        </c:scaling>
        <c:delete val="0"/>
        <c:axPos val="l"/>
        <c:majorGridlines/>
        <c:title>
          <c:tx>
            <c:rich>
              <a:bodyPr rot="-5400000" vert="horz"/>
              <a:lstStyle/>
              <a:p>
                <a:pPr>
                  <a:defRPr/>
                </a:pPr>
                <a:r>
                  <a:rPr lang="uk-UA"/>
                  <a:t>осіб</a:t>
                </a:r>
                <a:endParaRPr lang="ru-RU"/>
              </a:p>
            </c:rich>
          </c:tx>
          <c:overlay val="0"/>
          <c:spPr>
            <a:noFill/>
            <a:ln w="40320">
              <a:noFill/>
            </a:ln>
          </c:spPr>
        </c:title>
        <c:numFmt formatCode="General" sourceLinked="1"/>
        <c:majorTickMark val="out"/>
        <c:minorTickMark val="none"/>
        <c:tickLblPos val="nextTo"/>
        <c:crossAx val="354051968"/>
        <c:crosses val="autoZero"/>
        <c:crossBetween val="between"/>
      </c:valAx>
    </c:plotArea>
    <c:plotVisOnly val="1"/>
    <c:dispBlanksAs val="gap"/>
    <c:showDLblsOverMax val="0"/>
  </c:chart>
  <c:spPr>
    <a:ln>
      <a:noFill/>
    </a:ln>
  </c:spPr>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ru-RU" sz="1000"/>
              <a:t>б)</a:t>
            </a:r>
          </a:p>
        </c:rich>
      </c:tx>
      <c:layout>
        <c:manualLayout>
          <c:xMode val="edge"/>
          <c:yMode val="edge"/>
          <c:x val="0.51739588801399827"/>
          <c:y val="0.88425889472149322"/>
        </c:manualLayout>
      </c:layout>
      <c:overlay val="1"/>
      <c:spPr>
        <a:noFill/>
        <a:ln w="18145">
          <a:noFill/>
        </a:ln>
      </c:spPr>
    </c:title>
    <c:autoTitleDeleted val="0"/>
    <c:plotArea>
      <c:layout>
        <c:manualLayout>
          <c:layoutTarget val="inner"/>
          <c:xMode val="edge"/>
          <c:yMode val="edge"/>
          <c:x val="0.14222222222222222"/>
          <c:y val="0.21148036253776434"/>
          <c:w val="0.83555555555555561"/>
          <c:h val="0.54380664652567978"/>
        </c:manualLayout>
      </c:layout>
      <c:barChart>
        <c:barDir val="col"/>
        <c:grouping val="clustered"/>
        <c:varyColors val="0"/>
        <c:ser>
          <c:idx val="0"/>
          <c:order val="0"/>
          <c:invertIfNegative val="0"/>
          <c:dLbls>
            <c:spPr>
              <a:noFill/>
              <a:ln w="18145">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Лист5!$C$2:$C$6</c:f>
              <c:strCache>
                <c:ptCount val="5"/>
                <c:pt idx="0">
                  <c:v>Китай</c:v>
                </c:pt>
                <c:pt idx="1">
                  <c:v>Афганістан</c:v>
                </c:pt>
                <c:pt idx="2">
                  <c:v>Іран</c:v>
                </c:pt>
                <c:pt idx="3">
                  <c:v>Нігерія</c:v>
                </c:pt>
                <c:pt idx="4">
                  <c:v>Пакистан</c:v>
                </c:pt>
              </c:strCache>
            </c:strRef>
          </c:cat>
          <c:val>
            <c:numRef>
              <c:f>Лист5!$D$2:$D$6</c:f>
              <c:numCache>
                <c:formatCode>General</c:formatCode>
                <c:ptCount val="5"/>
                <c:pt idx="0">
                  <c:v>814</c:v>
                </c:pt>
                <c:pt idx="1">
                  <c:v>579</c:v>
                </c:pt>
                <c:pt idx="2">
                  <c:v>543</c:v>
                </c:pt>
                <c:pt idx="3">
                  <c:v>428</c:v>
                </c:pt>
                <c:pt idx="4">
                  <c:v>335</c:v>
                </c:pt>
              </c:numCache>
            </c:numRef>
          </c:val>
          <c:extLst>
            <c:ext xmlns:c16="http://schemas.microsoft.com/office/drawing/2014/chart" uri="{C3380CC4-5D6E-409C-BE32-E72D297353CC}">
              <c16:uniqueId val="{00000000-7F96-4CB1-B4E4-8BA82D23588F}"/>
            </c:ext>
          </c:extLst>
        </c:ser>
        <c:dLbls>
          <c:showLegendKey val="0"/>
          <c:showVal val="0"/>
          <c:showCatName val="0"/>
          <c:showSerName val="0"/>
          <c:showPercent val="0"/>
          <c:showBubbleSize val="0"/>
        </c:dLbls>
        <c:gapWidth val="51"/>
        <c:axId val="342667264"/>
        <c:axId val="342668800"/>
      </c:barChart>
      <c:catAx>
        <c:axId val="342667264"/>
        <c:scaling>
          <c:orientation val="minMax"/>
        </c:scaling>
        <c:delete val="0"/>
        <c:axPos val="b"/>
        <c:numFmt formatCode="General" sourceLinked="1"/>
        <c:majorTickMark val="out"/>
        <c:minorTickMark val="none"/>
        <c:tickLblPos val="nextTo"/>
        <c:crossAx val="342668800"/>
        <c:crosses val="autoZero"/>
        <c:auto val="1"/>
        <c:lblAlgn val="ctr"/>
        <c:lblOffset val="100"/>
        <c:noMultiLvlLbl val="0"/>
      </c:catAx>
      <c:valAx>
        <c:axId val="342668800"/>
        <c:scaling>
          <c:orientation val="minMax"/>
        </c:scaling>
        <c:delete val="0"/>
        <c:axPos val="l"/>
        <c:title>
          <c:tx>
            <c:rich>
              <a:bodyPr rot="-5400000" vert="horz"/>
              <a:lstStyle/>
              <a:p>
                <a:pPr>
                  <a:defRPr/>
                </a:pPr>
                <a:r>
                  <a:rPr lang="ru-RU"/>
                  <a:t>осіб</a:t>
                </a:r>
              </a:p>
            </c:rich>
          </c:tx>
          <c:layout>
            <c:manualLayout>
              <c:xMode val="edge"/>
              <c:yMode val="edge"/>
              <c:x val="6.978060070294792E-2"/>
              <c:y val="6.3171856185290143E-2"/>
            </c:manualLayout>
          </c:layout>
          <c:overlay val="0"/>
          <c:spPr>
            <a:noFill/>
            <a:ln w="18145">
              <a:noFill/>
            </a:ln>
          </c:spPr>
        </c:title>
        <c:numFmt formatCode="General" sourceLinked="1"/>
        <c:majorTickMark val="out"/>
        <c:minorTickMark val="none"/>
        <c:tickLblPos val="nextTo"/>
        <c:crossAx val="342667264"/>
        <c:crosses val="autoZero"/>
        <c:crossBetween val="between"/>
      </c:valAx>
      <c:spPr>
        <a:noFill/>
        <a:ln w="18145">
          <a:noFill/>
        </a:ln>
      </c:spPr>
    </c:plotArea>
    <c:plotVisOnly val="1"/>
    <c:dispBlanksAs val="gap"/>
    <c:showDLblsOverMax val="0"/>
  </c:chart>
  <c:spPr>
    <a:ln>
      <a:noFill/>
    </a:ln>
  </c:spPr>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56"/>
            </a:pPr>
            <a:r>
              <a:rPr lang="ru-RU" sz="1056"/>
              <a:t>а)</a:t>
            </a:r>
          </a:p>
        </c:rich>
      </c:tx>
      <c:layout>
        <c:manualLayout>
          <c:xMode val="edge"/>
          <c:yMode val="edge"/>
          <c:x val="0.8499357892763405"/>
          <c:y val="0.89096212219703697"/>
        </c:manualLayout>
      </c:layout>
      <c:overlay val="1"/>
      <c:spPr>
        <a:noFill/>
        <a:ln w="19153">
          <a:noFill/>
        </a:ln>
      </c:spPr>
    </c:title>
    <c:autoTitleDeleted val="0"/>
    <c:view3D>
      <c:rotX val="30"/>
      <c:rotY val="0"/>
      <c:rAngAx val="0"/>
    </c:view3D>
    <c:floor>
      <c:thickness val="0"/>
    </c:floor>
    <c:sideWall>
      <c:thickness val="0"/>
    </c:sideWall>
    <c:backWall>
      <c:thickness val="0"/>
    </c:backWall>
    <c:plotArea>
      <c:layout>
        <c:manualLayout>
          <c:layoutTarget val="inner"/>
          <c:xMode val="edge"/>
          <c:yMode val="edge"/>
          <c:x val="2.3809523809523808E-2"/>
          <c:y val="4.0110564068938639E-3"/>
          <c:w val="0.90912682789651278"/>
          <c:h val="0.79759484609878317"/>
        </c:manualLayout>
      </c:layout>
      <c:pie3DChart>
        <c:varyColors val="1"/>
        <c:ser>
          <c:idx val="0"/>
          <c:order val="0"/>
          <c:explosion val="25"/>
          <c:dPt>
            <c:idx val="0"/>
            <c:bubble3D val="0"/>
            <c:extLst>
              <c:ext xmlns:c16="http://schemas.microsoft.com/office/drawing/2014/chart" uri="{C3380CC4-5D6E-409C-BE32-E72D297353CC}">
                <c16:uniqueId val="{00000000-E476-4FEA-8DA2-812B3E052D0B}"/>
              </c:ext>
            </c:extLst>
          </c:dPt>
          <c:dPt>
            <c:idx val="1"/>
            <c:bubble3D val="0"/>
            <c:extLst>
              <c:ext xmlns:c16="http://schemas.microsoft.com/office/drawing/2014/chart" uri="{C3380CC4-5D6E-409C-BE32-E72D297353CC}">
                <c16:uniqueId val="{00000001-E476-4FEA-8DA2-812B3E052D0B}"/>
              </c:ext>
            </c:extLst>
          </c:dPt>
          <c:dPt>
            <c:idx val="2"/>
            <c:bubble3D val="0"/>
            <c:extLst>
              <c:ext xmlns:c16="http://schemas.microsoft.com/office/drawing/2014/chart" uri="{C3380CC4-5D6E-409C-BE32-E72D297353CC}">
                <c16:uniqueId val="{00000002-E476-4FEA-8DA2-812B3E052D0B}"/>
              </c:ext>
            </c:extLst>
          </c:dPt>
          <c:dPt>
            <c:idx val="3"/>
            <c:bubble3D val="0"/>
            <c:extLst>
              <c:ext xmlns:c16="http://schemas.microsoft.com/office/drawing/2014/chart" uri="{C3380CC4-5D6E-409C-BE32-E72D297353CC}">
                <c16:uniqueId val="{00000003-E476-4FEA-8DA2-812B3E052D0B}"/>
              </c:ext>
            </c:extLst>
          </c:dPt>
          <c:dPt>
            <c:idx val="4"/>
            <c:bubble3D val="0"/>
            <c:extLst>
              <c:ext xmlns:c16="http://schemas.microsoft.com/office/drawing/2014/chart" uri="{C3380CC4-5D6E-409C-BE32-E72D297353CC}">
                <c16:uniqueId val="{00000004-E476-4FEA-8DA2-812B3E052D0B}"/>
              </c:ext>
            </c:extLst>
          </c:dPt>
          <c:dPt>
            <c:idx val="5"/>
            <c:bubble3D val="0"/>
            <c:extLst>
              <c:ext xmlns:c16="http://schemas.microsoft.com/office/drawing/2014/chart" uri="{C3380CC4-5D6E-409C-BE32-E72D297353CC}">
                <c16:uniqueId val="{00000005-E476-4FEA-8DA2-812B3E052D0B}"/>
              </c:ext>
            </c:extLst>
          </c:dPt>
          <c:dPt>
            <c:idx val="6"/>
            <c:bubble3D val="0"/>
            <c:extLst>
              <c:ext xmlns:c16="http://schemas.microsoft.com/office/drawing/2014/chart" uri="{C3380CC4-5D6E-409C-BE32-E72D297353CC}">
                <c16:uniqueId val="{00000006-E476-4FEA-8DA2-812B3E052D0B}"/>
              </c:ext>
            </c:extLst>
          </c:dPt>
          <c:dPt>
            <c:idx val="7"/>
            <c:bubble3D val="0"/>
            <c:extLst>
              <c:ext xmlns:c16="http://schemas.microsoft.com/office/drawing/2014/chart" uri="{C3380CC4-5D6E-409C-BE32-E72D297353CC}">
                <c16:uniqueId val="{00000007-E476-4FEA-8DA2-812B3E052D0B}"/>
              </c:ext>
            </c:extLst>
          </c:dPt>
          <c:dPt>
            <c:idx val="8"/>
            <c:bubble3D val="0"/>
            <c:extLst>
              <c:ext xmlns:c16="http://schemas.microsoft.com/office/drawing/2014/chart" uri="{C3380CC4-5D6E-409C-BE32-E72D297353CC}">
                <c16:uniqueId val="{00000008-E476-4FEA-8DA2-812B3E052D0B}"/>
              </c:ext>
            </c:extLst>
          </c:dPt>
          <c:dLbls>
            <c:dLbl>
              <c:idx val="0"/>
              <c:layout>
                <c:manualLayout>
                  <c:x val="-0.22882669447917173"/>
                  <c:y val="-0.31414164586172538"/>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476-4FEA-8DA2-812B3E052D0B}"/>
                </c:ext>
              </c:extLst>
            </c:dLbl>
            <c:spPr>
              <a:noFill/>
              <a:ln w="19153">
                <a:noFill/>
              </a:ln>
            </c:spPr>
            <c:showLegendKey val="0"/>
            <c:showVal val="1"/>
            <c:showCatName val="0"/>
            <c:showSerName val="0"/>
            <c:showPercent val="0"/>
            <c:showBubbleSize val="0"/>
            <c:showLeaderLines val="1"/>
            <c:extLst>
              <c:ext xmlns:c15="http://schemas.microsoft.com/office/drawing/2012/chart" uri="{CE6537A1-D6FC-4f65-9D91-7224C49458BB}"/>
            </c:extLst>
          </c:dLbls>
          <c:cat>
            <c:strRef>
              <c:f>Лист5!$A$2:$A$10</c:f>
              <c:strCache>
                <c:ptCount val="9"/>
                <c:pt idx="0">
                  <c:v>Росія</c:v>
                </c:pt>
                <c:pt idx="1">
                  <c:v>Молдова</c:v>
                </c:pt>
                <c:pt idx="2">
                  <c:v>Вірменія</c:v>
                </c:pt>
                <c:pt idx="3">
                  <c:v>Грузія</c:v>
                </c:pt>
                <c:pt idx="4">
                  <c:v>Азербайджан</c:v>
                </c:pt>
                <c:pt idx="5">
                  <c:v>Білорусь</c:v>
                </c:pt>
                <c:pt idx="6">
                  <c:v>В'єтнам</c:v>
                </c:pt>
                <c:pt idx="7">
                  <c:v>Казахстан</c:v>
                </c:pt>
                <c:pt idx="8">
                  <c:v>Інші країни походження</c:v>
                </c:pt>
              </c:strCache>
            </c:strRef>
          </c:cat>
          <c:val>
            <c:numRef>
              <c:f>Лист5!$B$2:$B$10</c:f>
              <c:numCache>
                <c:formatCode>General</c:formatCode>
                <c:ptCount val="9"/>
                <c:pt idx="0">
                  <c:v>106.2</c:v>
                </c:pt>
                <c:pt idx="1">
                  <c:v>9.6999999999999993</c:v>
                </c:pt>
                <c:pt idx="2">
                  <c:v>8.1</c:v>
                </c:pt>
                <c:pt idx="3">
                  <c:v>6.7</c:v>
                </c:pt>
                <c:pt idx="4">
                  <c:v>6.3</c:v>
                </c:pt>
                <c:pt idx="5">
                  <c:v>4.5999999999999996</c:v>
                </c:pt>
                <c:pt idx="6">
                  <c:v>4.2</c:v>
                </c:pt>
                <c:pt idx="7">
                  <c:v>3.2</c:v>
                </c:pt>
                <c:pt idx="8">
                  <c:v>42.6</c:v>
                </c:pt>
              </c:numCache>
            </c:numRef>
          </c:val>
          <c:extLst>
            <c:ext xmlns:c16="http://schemas.microsoft.com/office/drawing/2014/chart" uri="{C3380CC4-5D6E-409C-BE32-E72D297353CC}">
              <c16:uniqueId val="{00000009-E476-4FEA-8DA2-812B3E052D0B}"/>
            </c:ext>
          </c:extLst>
        </c:ser>
        <c:dLbls>
          <c:showLegendKey val="0"/>
          <c:showVal val="0"/>
          <c:showCatName val="0"/>
          <c:showSerName val="0"/>
          <c:showPercent val="0"/>
          <c:showBubbleSize val="0"/>
          <c:showLeaderLines val="1"/>
        </c:dLbls>
      </c:pie3DChart>
      <c:spPr>
        <a:noFill/>
        <a:ln w="19153">
          <a:noFill/>
        </a:ln>
      </c:spPr>
    </c:plotArea>
    <c:legend>
      <c:legendPos val="b"/>
      <c:legendEntry>
        <c:idx val="0"/>
        <c:txPr>
          <a:bodyPr/>
          <a:lstStyle/>
          <a:p>
            <a:pPr>
              <a:defRPr sz="900"/>
            </a:pPr>
            <a:endParaRPr lang="ru-RU"/>
          </a:p>
        </c:txPr>
      </c:legendEntry>
      <c:legendEntry>
        <c:idx val="1"/>
        <c:txPr>
          <a:bodyPr/>
          <a:lstStyle/>
          <a:p>
            <a:pPr>
              <a:defRPr sz="900"/>
            </a:pPr>
            <a:endParaRPr lang="ru-RU"/>
          </a:p>
        </c:txPr>
      </c:legendEntry>
      <c:legendEntry>
        <c:idx val="2"/>
        <c:txPr>
          <a:bodyPr/>
          <a:lstStyle/>
          <a:p>
            <a:pPr>
              <a:defRPr sz="900"/>
            </a:pPr>
            <a:endParaRPr lang="ru-RU"/>
          </a:p>
        </c:txPr>
      </c:legendEntry>
      <c:legendEntry>
        <c:idx val="3"/>
        <c:txPr>
          <a:bodyPr/>
          <a:lstStyle/>
          <a:p>
            <a:pPr>
              <a:defRPr sz="900"/>
            </a:pPr>
            <a:endParaRPr lang="ru-RU"/>
          </a:p>
        </c:txPr>
      </c:legendEntry>
      <c:layout>
        <c:manualLayout>
          <c:xMode val="edge"/>
          <c:yMode val="edge"/>
          <c:x val="0.36802463296328242"/>
          <c:y val="0.62044174081127945"/>
          <c:w val="0.62601559964015108"/>
          <c:h val="0.37955825918872055"/>
        </c:manualLayout>
      </c:layout>
      <c:overlay val="0"/>
      <c:txPr>
        <a:bodyPr/>
        <a:lstStyle/>
        <a:p>
          <a:pPr>
            <a:defRPr sz="900"/>
          </a:pPr>
          <a:endParaRPr lang="ru-RU"/>
        </a:p>
      </c:txPr>
    </c:legend>
    <c:plotVisOnly val="1"/>
    <c:dispBlanksAs val="zero"/>
    <c:showDLblsOverMax val="0"/>
  </c:chart>
  <c:spPr>
    <a:ln>
      <a:noFill/>
    </a:ln>
  </c:spPr>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451776649746192"/>
          <c:y val="7.0967741935483872E-2"/>
          <c:w val="0.550761421319797"/>
          <c:h val="0.78064516129032258"/>
        </c:manualLayout>
      </c:layout>
      <c:lineChart>
        <c:grouping val="standard"/>
        <c:varyColors val="0"/>
        <c:ser>
          <c:idx val="0"/>
          <c:order val="0"/>
          <c:tx>
            <c:strRef>
              <c:f>Лист2!$C$1</c:f>
              <c:strCache>
                <c:ptCount val="1"/>
                <c:pt idx="0">
                  <c:v>0-15 років</c:v>
                </c:pt>
              </c:strCache>
            </c:strRef>
          </c:tx>
          <c:cat>
            <c:numRef>
              <c:f>Лист2!$B$2:$B$15</c:f>
              <c:numCache>
                <c:formatCode>General</c:formatCode>
                <c:ptCount val="14"/>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numCache>
            </c:numRef>
          </c:cat>
          <c:val>
            <c:numRef>
              <c:f>Лист2!$C$2:$C$15</c:f>
              <c:numCache>
                <c:formatCode>0.0</c:formatCode>
                <c:ptCount val="14"/>
                <c:pt idx="0">
                  <c:v>9144.7999999999993</c:v>
                </c:pt>
                <c:pt idx="1">
                  <c:v>8743.7000000000007</c:v>
                </c:pt>
                <c:pt idx="2">
                  <c:v>8315.9</c:v>
                </c:pt>
                <c:pt idx="3">
                  <c:v>7966.1</c:v>
                </c:pt>
                <c:pt idx="4">
                  <c:v>7664.8</c:v>
                </c:pt>
                <c:pt idx="5">
                  <c:v>7408.3</c:v>
                </c:pt>
                <c:pt idx="6">
                  <c:v>7218.1</c:v>
                </c:pt>
                <c:pt idx="7">
                  <c:v>7071</c:v>
                </c:pt>
                <c:pt idx="8">
                  <c:v>7005</c:v>
                </c:pt>
                <c:pt idx="9">
                  <c:v>6982.6</c:v>
                </c:pt>
                <c:pt idx="10">
                  <c:v>6975.7</c:v>
                </c:pt>
                <c:pt idx="11">
                  <c:v>6993.1</c:v>
                </c:pt>
                <c:pt idx="12">
                  <c:v>7047.7</c:v>
                </c:pt>
                <c:pt idx="13">
                  <c:v>7120.1</c:v>
                </c:pt>
              </c:numCache>
            </c:numRef>
          </c:val>
          <c:smooth val="0"/>
          <c:extLst>
            <c:ext xmlns:c16="http://schemas.microsoft.com/office/drawing/2014/chart" uri="{C3380CC4-5D6E-409C-BE32-E72D297353CC}">
              <c16:uniqueId val="{00000000-3474-452C-B06E-CA21417C28AB}"/>
            </c:ext>
          </c:extLst>
        </c:ser>
        <c:ser>
          <c:idx val="1"/>
          <c:order val="1"/>
          <c:tx>
            <c:strRef>
              <c:f>Лист2!$D$1</c:f>
              <c:strCache>
                <c:ptCount val="1"/>
                <c:pt idx="0">
                  <c:v>16-59 років</c:v>
                </c:pt>
              </c:strCache>
            </c:strRef>
          </c:tx>
          <c:cat>
            <c:numRef>
              <c:f>Лист2!$B$2:$B$15</c:f>
              <c:numCache>
                <c:formatCode>General</c:formatCode>
                <c:ptCount val="14"/>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numCache>
            </c:numRef>
          </c:cat>
          <c:val>
            <c:numRef>
              <c:f>Лист2!$D$2:$D$15</c:f>
              <c:numCache>
                <c:formatCode>0.0</c:formatCode>
                <c:ptCount val="14"/>
                <c:pt idx="0">
                  <c:v>29259.4</c:v>
                </c:pt>
                <c:pt idx="1">
                  <c:v>29154.6</c:v>
                </c:pt>
                <c:pt idx="2">
                  <c:v>29314.5</c:v>
                </c:pt>
                <c:pt idx="3">
                  <c:v>29514.6</c:v>
                </c:pt>
                <c:pt idx="4">
                  <c:v>29656.3</c:v>
                </c:pt>
                <c:pt idx="5">
                  <c:v>29812.1</c:v>
                </c:pt>
                <c:pt idx="6">
                  <c:v>29799.8</c:v>
                </c:pt>
                <c:pt idx="7">
                  <c:v>29738.5</c:v>
                </c:pt>
                <c:pt idx="8">
                  <c:v>29586</c:v>
                </c:pt>
                <c:pt idx="9">
                  <c:v>29328.6</c:v>
                </c:pt>
                <c:pt idx="10">
                  <c:v>29090.1</c:v>
                </c:pt>
                <c:pt idx="11">
                  <c:v>28842.2</c:v>
                </c:pt>
                <c:pt idx="12">
                  <c:v>28622.9</c:v>
                </c:pt>
                <c:pt idx="13">
                  <c:v>28372.5</c:v>
                </c:pt>
              </c:numCache>
            </c:numRef>
          </c:val>
          <c:smooth val="0"/>
          <c:extLst>
            <c:ext xmlns:c16="http://schemas.microsoft.com/office/drawing/2014/chart" uri="{C3380CC4-5D6E-409C-BE32-E72D297353CC}">
              <c16:uniqueId val="{00000001-3474-452C-B06E-CA21417C28AB}"/>
            </c:ext>
          </c:extLst>
        </c:ser>
        <c:ser>
          <c:idx val="2"/>
          <c:order val="2"/>
          <c:tx>
            <c:strRef>
              <c:f>Лист2!$E$1</c:f>
              <c:strCache>
                <c:ptCount val="1"/>
                <c:pt idx="0">
                  <c:v>60 років і старше</c:v>
                </c:pt>
              </c:strCache>
            </c:strRef>
          </c:tx>
          <c:cat>
            <c:numRef>
              <c:f>Лист2!$B$2:$B$15</c:f>
              <c:numCache>
                <c:formatCode>General</c:formatCode>
                <c:ptCount val="14"/>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numCache>
            </c:numRef>
          </c:cat>
          <c:val>
            <c:numRef>
              <c:f>Лист2!$E$2:$E$15</c:f>
              <c:numCache>
                <c:formatCode>0.0</c:formatCode>
                <c:ptCount val="14"/>
                <c:pt idx="0">
                  <c:v>10259.4</c:v>
                </c:pt>
                <c:pt idx="1">
                  <c:v>10342.6</c:v>
                </c:pt>
                <c:pt idx="2">
                  <c:v>10192.700000000001</c:v>
                </c:pt>
                <c:pt idx="3">
                  <c:v>9961.4</c:v>
                </c:pt>
                <c:pt idx="4">
                  <c:v>9779.4</c:v>
                </c:pt>
                <c:pt idx="5">
                  <c:v>9528.7999999999993</c:v>
                </c:pt>
                <c:pt idx="6">
                  <c:v>9447.7999999999993</c:v>
                </c:pt>
                <c:pt idx="7">
                  <c:v>9383.7999999999993</c:v>
                </c:pt>
                <c:pt idx="8">
                  <c:v>9372.4</c:v>
                </c:pt>
                <c:pt idx="9">
                  <c:v>9471.4</c:v>
                </c:pt>
                <c:pt idx="10">
                  <c:v>9532.4</c:v>
                </c:pt>
                <c:pt idx="11">
                  <c:v>9618</c:v>
                </c:pt>
                <c:pt idx="12">
                  <c:v>9702.1</c:v>
                </c:pt>
                <c:pt idx="13">
                  <c:v>9753.2999999999993</c:v>
                </c:pt>
              </c:numCache>
            </c:numRef>
          </c:val>
          <c:smooth val="0"/>
          <c:extLst>
            <c:ext xmlns:c16="http://schemas.microsoft.com/office/drawing/2014/chart" uri="{C3380CC4-5D6E-409C-BE32-E72D297353CC}">
              <c16:uniqueId val="{00000002-3474-452C-B06E-CA21417C28AB}"/>
            </c:ext>
          </c:extLst>
        </c:ser>
        <c:dLbls>
          <c:showLegendKey val="0"/>
          <c:showVal val="0"/>
          <c:showCatName val="0"/>
          <c:showSerName val="0"/>
          <c:showPercent val="0"/>
          <c:showBubbleSize val="0"/>
        </c:dLbls>
        <c:marker val="1"/>
        <c:smooth val="0"/>
        <c:axId val="343174144"/>
        <c:axId val="343343872"/>
      </c:lineChart>
      <c:catAx>
        <c:axId val="343174144"/>
        <c:scaling>
          <c:orientation val="minMax"/>
        </c:scaling>
        <c:delete val="0"/>
        <c:axPos val="b"/>
        <c:numFmt formatCode="General" sourceLinked="1"/>
        <c:majorTickMark val="out"/>
        <c:minorTickMark val="none"/>
        <c:tickLblPos val="nextTo"/>
        <c:txPr>
          <a:bodyPr rot="-5400000" vert="horz"/>
          <a:lstStyle/>
          <a:p>
            <a:pPr>
              <a:defRPr/>
            </a:pPr>
            <a:endParaRPr lang="ru-RU"/>
          </a:p>
        </c:txPr>
        <c:crossAx val="343343872"/>
        <c:crosses val="autoZero"/>
        <c:auto val="1"/>
        <c:lblAlgn val="ctr"/>
        <c:lblOffset val="100"/>
        <c:noMultiLvlLbl val="0"/>
      </c:catAx>
      <c:valAx>
        <c:axId val="343343872"/>
        <c:scaling>
          <c:orientation val="minMax"/>
          <c:min val="5000"/>
        </c:scaling>
        <c:delete val="0"/>
        <c:axPos val="l"/>
        <c:majorGridlines/>
        <c:numFmt formatCode="0" sourceLinked="0"/>
        <c:majorTickMark val="out"/>
        <c:minorTickMark val="none"/>
        <c:tickLblPos val="nextTo"/>
        <c:crossAx val="343174144"/>
        <c:crosses val="autoZero"/>
        <c:crossBetween val="between"/>
        <c:majorUnit val="2000"/>
      </c:valAx>
    </c:plotArea>
    <c:legend>
      <c:legendPos val="r"/>
      <c:layout>
        <c:manualLayout>
          <c:xMode val="edge"/>
          <c:yMode val="edge"/>
          <c:x val="0.6675126903553299"/>
          <c:y val="0.3193548387096774"/>
          <c:w val="0.33248730964467005"/>
          <c:h val="0.36451612903225805"/>
        </c:manualLayout>
      </c:layout>
      <c:overlay val="0"/>
    </c:legend>
    <c:plotVisOnly val="1"/>
    <c:dispBlanksAs val="gap"/>
    <c:showDLblsOverMax val="0"/>
  </c:chart>
  <c:spPr>
    <a:ln>
      <a:noFill/>
    </a:ln>
  </c:spPr>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1"/>
          <c:order val="1"/>
          <c:tx>
            <c:strRef>
              <c:f>Лист1!$C$1</c:f>
              <c:strCache>
                <c:ptCount val="1"/>
                <c:pt idx="0">
                  <c:v>Інституційний режим економіки</c:v>
                </c:pt>
              </c:strCache>
            </c:strRef>
          </c:tx>
          <c:invertIfNegative val="0"/>
          <c:dLbls>
            <c:spPr>
              <a:noFill/>
              <a:ln w="40319">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2000</c:v>
                </c:pt>
                <c:pt idx="1">
                  <c:v>2005</c:v>
                </c:pt>
                <c:pt idx="2">
                  <c:v>2012</c:v>
                </c:pt>
              </c:numCache>
            </c:numRef>
          </c:cat>
          <c:val>
            <c:numRef>
              <c:f>Лист1!$C$2:$C$4</c:f>
              <c:numCache>
                <c:formatCode>General</c:formatCode>
                <c:ptCount val="3"/>
                <c:pt idx="0">
                  <c:v>3.05</c:v>
                </c:pt>
                <c:pt idx="1">
                  <c:v>3.08</c:v>
                </c:pt>
                <c:pt idx="2">
                  <c:v>3.95</c:v>
                </c:pt>
              </c:numCache>
            </c:numRef>
          </c:val>
          <c:extLst>
            <c:ext xmlns:c16="http://schemas.microsoft.com/office/drawing/2014/chart" uri="{C3380CC4-5D6E-409C-BE32-E72D297353CC}">
              <c16:uniqueId val="{00000000-F47D-4BBE-9ACE-46F0A6C66984}"/>
            </c:ext>
          </c:extLst>
        </c:ser>
        <c:ser>
          <c:idx val="2"/>
          <c:order val="2"/>
          <c:tx>
            <c:strRef>
              <c:f>Лист1!$D$1</c:f>
              <c:strCache>
                <c:ptCount val="1"/>
                <c:pt idx="0">
                  <c:v>Інновації</c:v>
                </c:pt>
              </c:strCache>
            </c:strRef>
          </c:tx>
          <c:invertIfNegative val="0"/>
          <c:dLbls>
            <c:dLbl>
              <c:idx val="1"/>
              <c:layout>
                <c:manualLayout>
                  <c:x val="-8.333333333333335E-3"/>
                  <c:y val="0"/>
                </c:manualLayout>
              </c:layout>
              <c:spPr>
                <a:noFill/>
                <a:ln w="40319">
                  <a:noFill/>
                </a:ln>
              </c:spPr>
              <c:txPr>
                <a:bodyPr/>
                <a:lstStyle/>
                <a:p>
                  <a:pPr>
                    <a:defRPr/>
                  </a:pPr>
                  <a:endParaRPr lang="ru-RU"/>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47D-4BBE-9ACE-46F0A6C66984}"/>
                </c:ext>
              </c:extLst>
            </c:dLbl>
            <c:dLbl>
              <c:idx val="2"/>
              <c:layout>
                <c:manualLayout>
                  <c:x val="-8.333333333333335E-3"/>
                  <c:y val="0"/>
                </c:manualLayout>
              </c:layout>
              <c:spPr>
                <a:noFill/>
                <a:ln w="40319">
                  <a:noFill/>
                </a:ln>
              </c:spPr>
              <c:txPr>
                <a:bodyPr/>
                <a:lstStyle/>
                <a:p>
                  <a:pPr>
                    <a:defRPr/>
                  </a:pPr>
                  <a:endParaRPr lang="ru-RU"/>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47D-4BBE-9ACE-46F0A6C66984}"/>
                </c:ext>
              </c:extLst>
            </c:dLbl>
            <c:spPr>
              <a:noFill/>
              <a:ln w="40319">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2000</c:v>
                </c:pt>
                <c:pt idx="1">
                  <c:v>2005</c:v>
                </c:pt>
                <c:pt idx="2">
                  <c:v>2012</c:v>
                </c:pt>
              </c:numCache>
            </c:numRef>
          </c:cat>
          <c:val>
            <c:numRef>
              <c:f>Лист1!$D$2:$D$4</c:f>
              <c:numCache>
                <c:formatCode>General</c:formatCode>
                <c:ptCount val="3"/>
                <c:pt idx="0">
                  <c:v>6.1</c:v>
                </c:pt>
                <c:pt idx="1">
                  <c:v>5.76</c:v>
                </c:pt>
                <c:pt idx="2">
                  <c:v>6.35</c:v>
                </c:pt>
              </c:numCache>
            </c:numRef>
          </c:val>
          <c:extLst>
            <c:ext xmlns:c16="http://schemas.microsoft.com/office/drawing/2014/chart" uri="{C3380CC4-5D6E-409C-BE32-E72D297353CC}">
              <c16:uniqueId val="{00000003-F47D-4BBE-9ACE-46F0A6C66984}"/>
            </c:ext>
          </c:extLst>
        </c:ser>
        <c:ser>
          <c:idx val="3"/>
          <c:order val="3"/>
          <c:tx>
            <c:strRef>
              <c:f>Лист1!$E$1</c:f>
              <c:strCache>
                <c:ptCount val="1"/>
                <c:pt idx="0">
                  <c:v>Освіта</c:v>
                </c:pt>
              </c:strCache>
            </c:strRef>
          </c:tx>
          <c:invertIfNegative val="0"/>
          <c:dLbls>
            <c:spPr>
              <a:noFill/>
              <a:ln w="40319">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Лист1!$E$2:$E$4</c:f>
              <c:numCache>
                <c:formatCode>General</c:formatCode>
                <c:ptCount val="3"/>
                <c:pt idx="0">
                  <c:v>8.35</c:v>
                </c:pt>
                <c:pt idx="1">
                  <c:v>8.4700000000000006</c:v>
                </c:pt>
                <c:pt idx="2">
                  <c:v>8.26</c:v>
                </c:pt>
              </c:numCache>
            </c:numRef>
          </c:val>
          <c:extLst>
            <c:ext xmlns:c16="http://schemas.microsoft.com/office/drawing/2014/chart" uri="{C3380CC4-5D6E-409C-BE32-E72D297353CC}">
              <c16:uniqueId val="{00000004-F47D-4BBE-9ACE-46F0A6C66984}"/>
            </c:ext>
          </c:extLst>
        </c:ser>
        <c:ser>
          <c:idx val="4"/>
          <c:order val="4"/>
          <c:tx>
            <c:strRef>
              <c:f>Лист1!$F$1</c:f>
              <c:strCache>
                <c:ptCount val="1"/>
                <c:pt idx="0">
                  <c:v>Інформаційна інфраструктура</c:v>
                </c:pt>
              </c:strCache>
            </c:strRef>
          </c:tx>
          <c:invertIfNegative val="0"/>
          <c:dLbls>
            <c:dLbl>
              <c:idx val="0"/>
              <c:layout>
                <c:manualLayout>
                  <c:x val="1.666666666666667E-2"/>
                  <c:y val="9.2592592592592622E-3"/>
                </c:manualLayout>
              </c:layout>
              <c:spPr>
                <a:noFill/>
                <a:ln w="40319">
                  <a:noFill/>
                </a:ln>
              </c:spPr>
              <c:txPr>
                <a:bodyPr/>
                <a:lstStyle/>
                <a:p>
                  <a:pPr>
                    <a:defRPr/>
                  </a:pPr>
                  <a:endParaRPr lang="ru-RU"/>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47D-4BBE-9ACE-46F0A6C66984}"/>
                </c:ext>
              </c:extLst>
            </c:dLbl>
            <c:dLbl>
              <c:idx val="1"/>
              <c:layout>
                <c:manualLayout>
                  <c:x val="2.2201624922512781E-2"/>
                  <c:y val="-8.3654844255193553E-2"/>
                </c:manualLayout>
              </c:layout>
              <c:spPr>
                <a:noFill/>
                <a:ln w="40319">
                  <a:noFill/>
                </a:ln>
              </c:spPr>
              <c:txPr>
                <a:bodyPr/>
                <a:lstStyle/>
                <a:p>
                  <a:pPr>
                    <a:defRPr/>
                  </a:pPr>
                  <a:endParaRPr lang="ru-RU"/>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47D-4BBE-9ACE-46F0A6C66984}"/>
                </c:ext>
              </c:extLst>
            </c:dLbl>
            <c:dLbl>
              <c:idx val="2"/>
              <c:layout>
                <c:manualLayout>
                  <c:x val="1.666666666666667E-2"/>
                  <c:y val="-4.6296296296296302E-3"/>
                </c:manualLayout>
              </c:layout>
              <c:spPr>
                <a:noFill/>
                <a:ln w="40319">
                  <a:noFill/>
                </a:ln>
              </c:spPr>
              <c:txPr>
                <a:bodyPr/>
                <a:lstStyle/>
                <a:p>
                  <a:pPr>
                    <a:defRPr/>
                  </a:pPr>
                  <a:endParaRPr lang="ru-RU"/>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F47D-4BBE-9ACE-46F0A6C66984}"/>
                </c:ext>
              </c:extLst>
            </c:dLbl>
            <c:spPr>
              <a:noFill/>
              <a:ln w="40319">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Лист1!$F$2:$F$4</c:f>
              <c:numCache>
                <c:formatCode>General</c:formatCode>
                <c:ptCount val="3"/>
                <c:pt idx="0">
                  <c:v>6.32</c:v>
                </c:pt>
                <c:pt idx="1">
                  <c:v>4.96</c:v>
                </c:pt>
                <c:pt idx="2">
                  <c:v>4.71</c:v>
                </c:pt>
              </c:numCache>
            </c:numRef>
          </c:val>
          <c:extLst>
            <c:ext xmlns:c16="http://schemas.microsoft.com/office/drawing/2014/chart" uri="{C3380CC4-5D6E-409C-BE32-E72D297353CC}">
              <c16:uniqueId val="{00000008-F47D-4BBE-9ACE-46F0A6C66984}"/>
            </c:ext>
          </c:extLst>
        </c:ser>
        <c:dLbls>
          <c:showLegendKey val="0"/>
          <c:showVal val="0"/>
          <c:showCatName val="0"/>
          <c:showSerName val="0"/>
          <c:showPercent val="0"/>
          <c:showBubbleSize val="0"/>
        </c:dLbls>
        <c:gapWidth val="150"/>
        <c:axId val="343405696"/>
        <c:axId val="343407232"/>
      </c:barChart>
      <c:lineChart>
        <c:grouping val="standard"/>
        <c:varyColors val="0"/>
        <c:ser>
          <c:idx val="0"/>
          <c:order val="0"/>
          <c:tx>
            <c:strRef>
              <c:f>Лист1!$B$1</c:f>
              <c:strCache>
                <c:ptCount val="1"/>
                <c:pt idx="0">
                  <c:v>Індекс економіки знань</c:v>
                </c:pt>
              </c:strCache>
            </c:strRef>
          </c:tx>
          <c:spPr>
            <a:ln>
              <a:solidFill>
                <a:schemeClr val="tx1"/>
              </a:solidFill>
            </a:ln>
          </c:spPr>
          <c:marker>
            <c:spPr>
              <a:solidFill>
                <a:schemeClr val="tx1"/>
              </a:solidFill>
              <a:ln>
                <a:solidFill>
                  <a:schemeClr val="tx1"/>
                </a:solidFill>
              </a:ln>
            </c:spPr>
          </c:marker>
          <c:dLbls>
            <c:dLbl>
              <c:idx val="0"/>
              <c:layout>
                <c:manualLayout>
                  <c:x val="-4.4444881889763789E-2"/>
                  <c:y val="5.5555555555555539E-2"/>
                </c:manualLayout>
              </c:layout>
              <c:spPr>
                <a:noFill/>
                <a:ln w="40319">
                  <a:noFill/>
                </a:ln>
              </c:spPr>
              <c:txPr>
                <a:bodyPr/>
                <a:lstStyle/>
                <a:p>
                  <a:pPr>
                    <a:defRPr/>
                  </a:pPr>
                  <a:endParaRPr lang="ru-RU"/>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F47D-4BBE-9ACE-46F0A6C66984}"/>
                </c:ext>
              </c:extLst>
            </c:dLbl>
            <c:dLbl>
              <c:idx val="1"/>
              <c:layout>
                <c:manualLayout>
                  <c:x val="8.9170997802040901E-3"/>
                  <c:y val="1.4123231125092325E-2"/>
                </c:manualLayout>
              </c:layout>
              <c:spPr>
                <a:noFill/>
                <a:ln w="40319">
                  <a:noFill/>
                </a:ln>
              </c:spPr>
              <c:txPr>
                <a:bodyPr/>
                <a:lstStyle/>
                <a:p>
                  <a:pPr>
                    <a:defRPr/>
                  </a:pPr>
                  <a:endParaRPr lang="ru-RU"/>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F47D-4BBE-9ACE-46F0A6C66984}"/>
                </c:ext>
              </c:extLst>
            </c:dLbl>
            <c:dLbl>
              <c:idx val="2"/>
              <c:layout>
                <c:manualLayout>
                  <c:x val="1.5152076578662962E-2"/>
                  <c:y val="-0.10788432860774999"/>
                </c:manualLayout>
              </c:layout>
              <c:spPr>
                <a:noFill/>
                <a:ln w="40319">
                  <a:noFill/>
                </a:ln>
              </c:spPr>
              <c:txPr>
                <a:bodyPr/>
                <a:lstStyle/>
                <a:p>
                  <a:pPr>
                    <a:defRPr/>
                  </a:pPr>
                  <a:endParaRPr lang="ru-RU"/>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F47D-4BBE-9ACE-46F0A6C66984}"/>
                </c:ext>
              </c:extLst>
            </c:dLbl>
            <c:spPr>
              <a:noFill/>
              <a:ln w="40319">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2000</c:v>
                </c:pt>
                <c:pt idx="1">
                  <c:v>2005</c:v>
                </c:pt>
                <c:pt idx="2">
                  <c:v>2012</c:v>
                </c:pt>
              </c:numCache>
            </c:numRef>
          </c:cat>
          <c:val>
            <c:numRef>
              <c:f>Лист1!$B$2:$B$4</c:f>
              <c:numCache>
                <c:formatCode>General</c:formatCode>
                <c:ptCount val="3"/>
                <c:pt idx="0">
                  <c:v>5.96</c:v>
                </c:pt>
                <c:pt idx="1">
                  <c:v>5.65</c:v>
                </c:pt>
                <c:pt idx="2" formatCode="0.00">
                  <c:v>5.73</c:v>
                </c:pt>
              </c:numCache>
            </c:numRef>
          </c:val>
          <c:smooth val="0"/>
          <c:extLst>
            <c:ext xmlns:c16="http://schemas.microsoft.com/office/drawing/2014/chart" uri="{C3380CC4-5D6E-409C-BE32-E72D297353CC}">
              <c16:uniqueId val="{0000000C-F47D-4BBE-9ACE-46F0A6C66984}"/>
            </c:ext>
          </c:extLst>
        </c:ser>
        <c:dLbls>
          <c:showLegendKey val="0"/>
          <c:showVal val="0"/>
          <c:showCatName val="0"/>
          <c:showSerName val="0"/>
          <c:showPercent val="0"/>
          <c:showBubbleSize val="0"/>
        </c:dLbls>
        <c:marker val="1"/>
        <c:smooth val="0"/>
        <c:axId val="343405696"/>
        <c:axId val="343407232"/>
      </c:lineChart>
      <c:catAx>
        <c:axId val="343405696"/>
        <c:scaling>
          <c:orientation val="minMax"/>
        </c:scaling>
        <c:delete val="0"/>
        <c:axPos val="b"/>
        <c:numFmt formatCode="General" sourceLinked="1"/>
        <c:majorTickMark val="out"/>
        <c:minorTickMark val="none"/>
        <c:tickLblPos val="nextTo"/>
        <c:crossAx val="343407232"/>
        <c:crosses val="autoZero"/>
        <c:auto val="1"/>
        <c:lblAlgn val="ctr"/>
        <c:lblOffset val="100"/>
        <c:noMultiLvlLbl val="0"/>
      </c:catAx>
      <c:valAx>
        <c:axId val="343407232"/>
        <c:scaling>
          <c:orientation val="minMax"/>
        </c:scaling>
        <c:delete val="0"/>
        <c:axPos val="l"/>
        <c:numFmt formatCode="General" sourceLinked="1"/>
        <c:majorTickMark val="out"/>
        <c:minorTickMark val="none"/>
        <c:tickLblPos val="nextTo"/>
        <c:crossAx val="343405696"/>
        <c:crosses val="autoZero"/>
        <c:crossBetween val="between"/>
      </c:valAx>
    </c:plotArea>
    <c:legend>
      <c:legendPos val="r"/>
      <c:layout>
        <c:manualLayout>
          <c:xMode val="edge"/>
          <c:yMode val="edge"/>
          <c:x val="0.59045226130653261"/>
          <c:y val="0.13178294573643412"/>
          <c:w val="0.40954773869346733"/>
          <c:h val="0.72093023255813948"/>
        </c:manualLayout>
      </c:layout>
      <c:overlay val="0"/>
    </c:legend>
    <c:plotVisOnly val="1"/>
    <c:dispBlanksAs val="gap"/>
    <c:showDLblsOverMax val="0"/>
  </c:chart>
  <c:spPr>
    <a:ln>
      <a:noFill/>
    </a:ln>
  </c:spPr>
  <c:txPr>
    <a:bodyPr/>
    <a:lstStyle/>
    <a:p>
      <a:pPr>
        <a:defRPr>
          <a:latin typeface="Times New Roman" pitchFamily="18" charset="0"/>
          <a:cs typeface="Times New Roman"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533</Pages>
  <Words>160929</Words>
  <Characters>917296</Characters>
  <Application>Microsoft Office Word</Application>
  <DocSecurity>0</DocSecurity>
  <Lines>7644</Lines>
  <Paragraphs>2152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1076073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mev</dc:creator>
  <cp:keywords/>
  <dc:description/>
  <cp:lastModifiedBy>Пользователь</cp:lastModifiedBy>
  <cp:revision>2</cp:revision>
  <dcterms:created xsi:type="dcterms:W3CDTF">2019-10-23T19:05:00Z</dcterms:created>
  <dcterms:modified xsi:type="dcterms:W3CDTF">2019-10-23T19:05:00Z</dcterms:modified>
</cp:coreProperties>
</file>